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07537" w14:textId="713889ED" w:rsidR="001C2F95" w:rsidRPr="004E62C4" w:rsidRDefault="0078696E" w:rsidP="001C2F95">
      <w:pPr>
        <w:spacing w:line="240" w:lineRule="auto"/>
        <w:jc w:val="center"/>
        <w:rPr>
          <w:rFonts w:cs="Arial"/>
          <w:b/>
          <w:color w:val="333333"/>
          <w:sz w:val="24"/>
          <w:szCs w:val="24"/>
          <w:shd w:val="clear" w:color="auto" w:fill="FFFFFF"/>
        </w:rPr>
      </w:pPr>
      <w:bookmarkStart w:id="0" w:name="_Toc391821288"/>
      <w:bookmarkStart w:id="1" w:name="_Toc386103865"/>
      <w:r>
        <w:rPr>
          <w:noProof/>
        </w:rPr>
        <w:drawing>
          <wp:anchor distT="0" distB="0" distL="114300" distR="114300" simplePos="0" relativeHeight="251658241" behindDoc="0" locked="0" layoutInCell="1" allowOverlap="1" wp14:anchorId="2F9A4675" wp14:editId="205B7F8A">
            <wp:simplePos x="0" y="0"/>
            <wp:positionH relativeFrom="column">
              <wp:posOffset>5280025</wp:posOffset>
            </wp:positionH>
            <wp:positionV relativeFrom="paragraph">
              <wp:posOffset>6985</wp:posOffset>
            </wp:positionV>
            <wp:extent cx="754380" cy="755650"/>
            <wp:effectExtent l="0" t="0" r="0" b="0"/>
            <wp:wrapNone/>
            <wp:docPr id="202" name="Image 3" descr="Logo banque mond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banque mondi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8DBB36" wp14:editId="59551A1D">
            <wp:simplePos x="0" y="0"/>
            <wp:positionH relativeFrom="column">
              <wp:posOffset>-373380</wp:posOffset>
            </wp:positionH>
            <wp:positionV relativeFrom="paragraph">
              <wp:posOffset>0</wp:posOffset>
            </wp:positionV>
            <wp:extent cx="933450" cy="666750"/>
            <wp:effectExtent l="0" t="0" r="0" b="0"/>
            <wp:wrapNone/>
            <wp:docPr id="201" name="Image 11" descr="Description : 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Image associé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F95" w:rsidRPr="004E62C4">
        <w:rPr>
          <w:rFonts w:cs="Arial"/>
          <w:b/>
          <w:color w:val="007E39"/>
          <w:sz w:val="24"/>
          <w:szCs w:val="24"/>
          <w:shd w:val="clear" w:color="auto" w:fill="FFFFFF"/>
        </w:rPr>
        <w:t>R</w:t>
      </w:r>
      <w:r w:rsidR="001C2F95">
        <w:rPr>
          <w:rFonts w:cs="Arial"/>
          <w:b/>
          <w:color w:val="007E39"/>
          <w:sz w:val="24"/>
          <w:szCs w:val="24"/>
          <w:shd w:val="clear" w:color="auto" w:fill="FFFFFF"/>
        </w:rPr>
        <w:t>É</w:t>
      </w:r>
      <w:r w:rsidR="001C2F95" w:rsidRPr="004E62C4">
        <w:rPr>
          <w:rFonts w:cs="Arial"/>
          <w:b/>
          <w:color w:val="007E39"/>
          <w:sz w:val="24"/>
          <w:szCs w:val="24"/>
          <w:shd w:val="clear" w:color="auto" w:fill="FFFFFF"/>
        </w:rPr>
        <w:t>PUBLIQUE D</w:t>
      </w:r>
      <w:r w:rsidR="001C2F95">
        <w:rPr>
          <w:rFonts w:cs="Arial"/>
          <w:b/>
          <w:color w:val="007E39"/>
          <w:sz w:val="24"/>
          <w:szCs w:val="24"/>
          <w:shd w:val="clear" w:color="auto" w:fill="FFFFFF"/>
        </w:rPr>
        <w:t>É</w:t>
      </w:r>
      <w:r w:rsidR="001C2F95" w:rsidRPr="004E62C4">
        <w:rPr>
          <w:rFonts w:cs="Arial"/>
          <w:b/>
          <w:color w:val="007E39"/>
          <w:sz w:val="24"/>
          <w:szCs w:val="24"/>
          <w:shd w:val="clear" w:color="auto" w:fill="FFFFFF"/>
        </w:rPr>
        <w:t>MOCRATIQUE DU CONGO</w:t>
      </w:r>
    </w:p>
    <w:p w14:paraId="4E4D8975" w14:textId="77777777" w:rsidR="001C2F95" w:rsidRPr="004E62C4" w:rsidRDefault="001C2F95" w:rsidP="001C2F95">
      <w:pPr>
        <w:spacing w:line="240" w:lineRule="auto"/>
        <w:jc w:val="center"/>
        <w:rPr>
          <w:rFonts w:cs="Arial"/>
          <w:b/>
          <w:color w:val="007E39"/>
          <w:sz w:val="24"/>
          <w:szCs w:val="24"/>
          <w:shd w:val="clear" w:color="auto" w:fill="FFFFFF"/>
        </w:rPr>
      </w:pPr>
      <w:r w:rsidRPr="004E62C4">
        <w:rPr>
          <w:rFonts w:cs="Arial"/>
          <w:b/>
          <w:color w:val="007E39"/>
          <w:sz w:val="24"/>
          <w:szCs w:val="24"/>
          <w:shd w:val="clear" w:color="auto" w:fill="FFFFFF"/>
        </w:rPr>
        <w:t>MINIST</w:t>
      </w:r>
      <w:r>
        <w:rPr>
          <w:rFonts w:cs="Arial"/>
          <w:b/>
          <w:color w:val="007E39"/>
          <w:sz w:val="24"/>
          <w:szCs w:val="24"/>
          <w:shd w:val="clear" w:color="auto" w:fill="FFFFFF"/>
        </w:rPr>
        <w:t>È</w:t>
      </w:r>
      <w:r w:rsidRPr="004E62C4">
        <w:rPr>
          <w:rFonts w:cs="Arial"/>
          <w:b/>
          <w:color w:val="007E39"/>
          <w:sz w:val="24"/>
          <w:szCs w:val="24"/>
          <w:shd w:val="clear" w:color="auto" w:fill="FFFFFF"/>
        </w:rPr>
        <w:t>RE DE L’AGRICULTURE</w:t>
      </w:r>
    </w:p>
    <w:p w14:paraId="0F9F3C7A" w14:textId="77777777" w:rsidR="001C2F95" w:rsidRPr="004E62C4" w:rsidRDefault="001C2F95" w:rsidP="001C2F95">
      <w:pPr>
        <w:spacing w:line="240" w:lineRule="auto"/>
        <w:jc w:val="center"/>
        <w:rPr>
          <w:rFonts w:cs="Arial"/>
          <w:b/>
          <w:color w:val="007E39"/>
          <w:sz w:val="24"/>
          <w:szCs w:val="24"/>
          <w:shd w:val="clear" w:color="auto" w:fill="FFFFFF"/>
        </w:rPr>
      </w:pPr>
      <w:r w:rsidRPr="004E62C4">
        <w:rPr>
          <w:rFonts w:cs="Arial"/>
          <w:b/>
          <w:sz w:val="24"/>
          <w:szCs w:val="24"/>
          <w:shd w:val="clear" w:color="auto" w:fill="FFFFFF"/>
        </w:rPr>
        <w:t>SECR</w:t>
      </w:r>
      <w:r>
        <w:rPr>
          <w:rFonts w:cs="Arial"/>
          <w:b/>
          <w:sz w:val="24"/>
          <w:szCs w:val="24"/>
          <w:shd w:val="clear" w:color="auto" w:fill="FFFFFF"/>
        </w:rPr>
        <w:t>É</w:t>
      </w:r>
      <w:r w:rsidRPr="004E62C4">
        <w:rPr>
          <w:rFonts w:cs="Arial"/>
          <w:b/>
          <w:sz w:val="24"/>
          <w:szCs w:val="24"/>
          <w:shd w:val="clear" w:color="auto" w:fill="FFFFFF"/>
        </w:rPr>
        <w:t>TARIAT G</w:t>
      </w:r>
      <w:r>
        <w:rPr>
          <w:rFonts w:cs="Arial"/>
          <w:b/>
          <w:sz w:val="24"/>
          <w:szCs w:val="24"/>
          <w:shd w:val="clear" w:color="auto" w:fill="FFFFFF"/>
        </w:rPr>
        <w:t>É</w:t>
      </w:r>
      <w:r w:rsidRPr="004E62C4">
        <w:rPr>
          <w:rFonts w:cs="Arial"/>
          <w:b/>
          <w:sz w:val="24"/>
          <w:szCs w:val="24"/>
          <w:shd w:val="clear" w:color="auto" w:fill="FFFFFF"/>
        </w:rPr>
        <w:t>N</w:t>
      </w:r>
      <w:r>
        <w:rPr>
          <w:rFonts w:cs="Arial"/>
          <w:b/>
          <w:sz w:val="24"/>
          <w:szCs w:val="24"/>
          <w:shd w:val="clear" w:color="auto" w:fill="FFFFFF"/>
        </w:rPr>
        <w:t>É</w:t>
      </w:r>
      <w:r w:rsidRPr="004E62C4">
        <w:rPr>
          <w:rFonts w:cs="Arial"/>
          <w:b/>
          <w:sz w:val="24"/>
          <w:szCs w:val="24"/>
          <w:shd w:val="clear" w:color="auto" w:fill="FFFFFF"/>
        </w:rPr>
        <w:t>RAL DE L’AGRICULTURE</w:t>
      </w:r>
    </w:p>
    <w:p w14:paraId="6ADFC82B" w14:textId="77777777" w:rsidR="001C2F95" w:rsidRPr="004E62C4" w:rsidRDefault="001C2F95" w:rsidP="001C2F95">
      <w:pPr>
        <w:shd w:val="clear" w:color="auto" w:fill="FFFFFF"/>
        <w:tabs>
          <w:tab w:val="center" w:pos="4536"/>
          <w:tab w:val="right" w:pos="9072"/>
        </w:tabs>
        <w:spacing w:line="240" w:lineRule="auto"/>
        <w:rPr>
          <w:rFonts w:cs="Arial"/>
          <w:b/>
          <w:bCs/>
          <w:sz w:val="24"/>
          <w:szCs w:val="24"/>
        </w:rPr>
      </w:pPr>
    </w:p>
    <w:p w14:paraId="260F0E23" w14:textId="77777777" w:rsidR="001C2F95" w:rsidRDefault="001C2F95" w:rsidP="001C2F95">
      <w:pPr>
        <w:spacing w:line="240" w:lineRule="auto"/>
        <w:rPr>
          <w:rFonts w:cs="Arial"/>
          <w:b/>
          <w:sz w:val="24"/>
          <w:szCs w:val="24"/>
        </w:rPr>
      </w:pPr>
    </w:p>
    <w:p w14:paraId="2A9E1993" w14:textId="77777777" w:rsidR="001C2F95" w:rsidRDefault="001C2F95" w:rsidP="001C2F95">
      <w:pPr>
        <w:spacing w:line="240" w:lineRule="auto"/>
        <w:rPr>
          <w:rFonts w:cs="Arial"/>
          <w:b/>
          <w:sz w:val="24"/>
          <w:szCs w:val="24"/>
        </w:rPr>
      </w:pPr>
    </w:p>
    <w:p w14:paraId="0E47F379" w14:textId="77777777" w:rsidR="001C2F95" w:rsidRDefault="001C2F95" w:rsidP="001C2F95">
      <w:pPr>
        <w:spacing w:line="240" w:lineRule="auto"/>
        <w:rPr>
          <w:rFonts w:cs="Arial"/>
          <w:b/>
          <w:sz w:val="24"/>
          <w:szCs w:val="24"/>
        </w:rPr>
      </w:pPr>
    </w:p>
    <w:p w14:paraId="79541EFA" w14:textId="77777777" w:rsidR="001C2F95" w:rsidRDefault="001C2F95" w:rsidP="001C2F95">
      <w:pPr>
        <w:spacing w:line="240" w:lineRule="auto"/>
        <w:rPr>
          <w:rFonts w:cs="Arial"/>
          <w:b/>
          <w:sz w:val="24"/>
          <w:szCs w:val="24"/>
        </w:rPr>
      </w:pPr>
    </w:p>
    <w:p w14:paraId="2B355B9A" w14:textId="77777777" w:rsidR="001C2F95" w:rsidRPr="004E62C4" w:rsidRDefault="001C2F95" w:rsidP="001C2F95">
      <w:pPr>
        <w:spacing w:line="240" w:lineRule="auto"/>
        <w:rPr>
          <w:rFonts w:cs="Arial"/>
          <w:b/>
          <w:sz w:val="24"/>
          <w:szCs w:val="24"/>
        </w:rPr>
      </w:pPr>
    </w:p>
    <w:p w14:paraId="3907E34F" w14:textId="77777777" w:rsidR="001C2F95" w:rsidRPr="004E62C4" w:rsidRDefault="001C2F95" w:rsidP="001C2F95">
      <w:pPr>
        <w:spacing w:line="240" w:lineRule="auto"/>
        <w:jc w:val="center"/>
        <w:rPr>
          <w:rFonts w:cs="Arial"/>
          <w:b/>
          <w:sz w:val="24"/>
          <w:szCs w:val="24"/>
        </w:rPr>
      </w:pPr>
      <w:r w:rsidRPr="004E62C4">
        <w:rPr>
          <w:rFonts w:cs="Arial"/>
          <w:b/>
          <w:sz w:val="24"/>
          <w:szCs w:val="24"/>
        </w:rPr>
        <w:t>PROGRAMME NATIONAL DE D</w:t>
      </w:r>
      <w:r>
        <w:rPr>
          <w:rFonts w:cs="Arial"/>
          <w:b/>
          <w:sz w:val="24"/>
          <w:szCs w:val="24"/>
        </w:rPr>
        <w:t>É</w:t>
      </w:r>
      <w:r w:rsidRPr="004E62C4">
        <w:rPr>
          <w:rFonts w:cs="Arial"/>
          <w:b/>
          <w:sz w:val="24"/>
          <w:szCs w:val="24"/>
        </w:rPr>
        <w:t>VELOPPEMENT AGRICOLE</w:t>
      </w:r>
      <w:r>
        <w:rPr>
          <w:rFonts w:cs="Arial"/>
          <w:b/>
          <w:sz w:val="24"/>
          <w:szCs w:val="24"/>
        </w:rPr>
        <w:t xml:space="preserve"> </w:t>
      </w:r>
      <w:r w:rsidRPr="004E62C4">
        <w:rPr>
          <w:rFonts w:cs="Arial"/>
          <w:b/>
          <w:sz w:val="24"/>
          <w:szCs w:val="24"/>
        </w:rPr>
        <w:t>(PNDA)</w:t>
      </w:r>
    </w:p>
    <w:p w14:paraId="7EA828A9" w14:textId="77777777" w:rsidR="001C2F95" w:rsidRPr="004E62C4" w:rsidRDefault="00652264" w:rsidP="001C2F95">
      <w:pPr>
        <w:spacing w:line="240" w:lineRule="auto"/>
        <w:jc w:val="center"/>
        <w:rPr>
          <w:rFonts w:cs="Arial"/>
          <w:b/>
          <w:sz w:val="24"/>
          <w:szCs w:val="24"/>
          <w:lang w:val="en-US"/>
        </w:rPr>
      </w:pPr>
      <w:hyperlink r:id="rId13" w:history="1">
        <w:r w:rsidR="001C2F95" w:rsidRPr="004E62C4">
          <w:rPr>
            <w:rFonts w:cs="Arial"/>
            <w:b/>
            <w:sz w:val="24"/>
            <w:szCs w:val="24"/>
            <w:lang w:val="en-US"/>
          </w:rPr>
          <w:t>Project Details (P169021)</w:t>
        </w:r>
      </w:hyperlink>
    </w:p>
    <w:p w14:paraId="142CC8DE" w14:textId="77777777" w:rsidR="001C2F95" w:rsidRPr="004E62C4" w:rsidRDefault="001C2F95" w:rsidP="001C2F95">
      <w:pPr>
        <w:spacing w:line="240" w:lineRule="auto"/>
        <w:jc w:val="center"/>
        <w:rPr>
          <w:rFonts w:cs="Arial"/>
          <w:b/>
          <w:sz w:val="24"/>
          <w:szCs w:val="24"/>
          <w:lang w:val="en-US"/>
        </w:rPr>
      </w:pPr>
      <w:r>
        <w:rPr>
          <w:rFonts w:cs="Arial"/>
          <w:b/>
          <w:sz w:val="24"/>
          <w:szCs w:val="24"/>
          <w:lang w:val="en-US"/>
        </w:rPr>
        <w:t xml:space="preserve">PPA </w:t>
      </w:r>
      <w:r w:rsidRPr="004E62C4">
        <w:rPr>
          <w:rFonts w:cs="Arial"/>
          <w:b/>
          <w:sz w:val="24"/>
          <w:szCs w:val="24"/>
          <w:lang w:val="en-US"/>
        </w:rPr>
        <w:t>N°IDA-V3010</w:t>
      </w:r>
    </w:p>
    <w:p w14:paraId="1522AEAA" w14:textId="77777777" w:rsidR="001C2F95" w:rsidRPr="00123268" w:rsidRDefault="001C2F95" w:rsidP="001C2F95">
      <w:pPr>
        <w:jc w:val="center"/>
        <w:rPr>
          <w:rFonts w:cs="Arial"/>
          <w:b/>
        </w:rPr>
      </w:pPr>
      <w:r w:rsidRPr="00123268">
        <w:rPr>
          <w:rFonts w:cs="Arial"/>
          <w:b/>
        </w:rPr>
        <w:t>____________________</w:t>
      </w:r>
    </w:p>
    <w:p w14:paraId="6E936435" w14:textId="77777777" w:rsidR="001C2F95" w:rsidRDefault="001C2F95" w:rsidP="001C2F95">
      <w:pPr>
        <w:overflowPunct w:val="0"/>
        <w:autoSpaceDE w:val="0"/>
        <w:autoSpaceDN w:val="0"/>
        <w:adjustRightInd w:val="0"/>
        <w:jc w:val="center"/>
        <w:textAlignment w:val="baseline"/>
        <w:rPr>
          <w:rFonts w:cs="Arial"/>
          <w:b/>
          <w:sz w:val="26"/>
          <w:szCs w:val="26"/>
        </w:rPr>
      </w:pPr>
    </w:p>
    <w:p w14:paraId="277824CA" w14:textId="77777777" w:rsidR="001C2F95" w:rsidRDefault="001C2F95" w:rsidP="001C2F95">
      <w:pPr>
        <w:overflowPunct w:val="0"/>
        <w:autoSpaceDE w:val="0"/>
        <w:autoSpaceDN w:val="0"/>
        <w:adjustRightInd w:val="0"/>
        <w:jc w:val="center"/>
        <w:textAlignment w:val="baseline"/>
        <w:rPr>
          <w:rFonts w:cs="Arial"/>
          <w:b/>
          <w:sz w:val="26"/>
          <w:szCs w:val="26"/>
        </w:rPr>
      </w:pPr>
    </w:p>
    <w:p w14:paraId="472823A3" w14:textId="77777777" w:rsidR="001C2F95" w:rsidRDefault="001C2F95" w:rsidP="001C2F95">
      <w:pPr>
        <w:overflowPunct w:val="0"/>
        <w:autoSpaceDE w:val="0"/>
        <w:autoSpaceDN w:val="0"/>
        <w:adjustRightInd w:val="0"/>
        <w:jc w:val="center"/>
        <w:textAlignment w:val="baseline"/>
        <w:rPr>
          <w:rFonts w:cs="Arial"/>
          <w:b/>
          <w:sz w:val="26"/>
          <w:szCs w:val="26"/>
        </w:rPr>
      </w:pPr>
    </w:p>
    <w:p w14:paraId="69EBFE47" w14:textId="77777777" w:rsidR="001C2F95" w:rsidRDefault="001C2F95" w:rsidP="001C2F95">
      <w:pPr>
        <w:overflowPunct w:val="0"/>
        <w:autoSpaceDE w:val="0"/>
        <w:autoSpaceDN w:val="0"/>
        <w:adjustRightInd w:val="0"/>
        <w:jc w:val="center"/>
        <w:textAlignment w:val="baseline"/>
        <w:rPr>
          <w:rFonts w:cs="Arial"/>
          <w:b/>
          <w:sz w:val="26"/>
          <w:szCs w:val="26"/>
        </w:rPr>
      </w:pPr>
    </w:p>
    <w:p w14:paraId="1D86D05F" w14:textId="77777777" w:rsidR="001C2F95" w:rsidRDefault="001C2F95" w:rsidP="001C2F95">
      <w:pPr>
        <w:rPr>
          <w:rFonts w:cs="Arial"/>
          <w:b/>
          <w:sz w:val="26"/>
          <w:szCs w:val="26"/>
        </w:rPr>
      </w:pPr>
    </w:p>
    <w:p w14:paraId="57F49989" w14:textId="77777777" w:rsidR="001C2F95" w:rsidRDefault="001C2F95" w:rsidP="001C2F95">
      <w:pPr>
        <w:rPr>
          <w:rFonts w:cs="Arial"/>
          <w:sz w:val="28"/>
        </w:rPr>
      </w:pPr>
    </w:p>
    <w:p w14:paraId="5DB3127B" w14:textId="77777777" w:rsidR="001C2F95" w:rsidRDefault="001C2F95" w:rsidP="001C2F95">
      <w:pPr>
        <w:jc w:val="center"/>
        <w:rPr>
          <w:rFonts w:cs="Arial"/>
          <w:sz w:val="28"/>
        </w:rPr>
      </w:pPr>
    </w:p>
    <w:tbl>
      <w:tblPr>
        <w:tblW w:w="88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8"/>
      </w:tblGrid>
      <w:tr w:rsidR="001C2F95" w:rsidRPr="00AE22EC" w14:paraId="03E15D54" w14:textId="77777777" w:rsidTr="00971FD2">
        <w:trPr>
          <w:trHeight w:val="987"/>
        </w:trPr>
        <w:tc>
          <w:tcPr>
            <w:tcW w:w="8858" w:type="dxa"/>
            <w:shd w:val="clear" w:color="auto" w:fill="FFFFFF"/>
          </w:tcPr>
          <w:p w14:paraId="39D8E03C" w14:textId="77777777" w:rsidR="001C2F95" w:rsidRPr="00AE22EC" w:rsidRDefault="001C2F95" w:rsidP="00971FD2">
            <w:pPr>
              <w:jc w:val="center"/>
              <w:rPr>
                <w:rFonts w:cs="Arial"/>
                <w:b/>
                <w:sz w:val="28"/>
                <w:szCs w:val="28"/>
              </w:rPr>
            </w:pPr>
          </w:p>
          <w:p w14:paraId="501F38AF" w14:textId="77777777" w:rsidR="001C2F95" w:rsidRPr="00AE22EC" w:rsidRDefault="001C2F95" w:rsidP="00971FD2">
            <w:pPr>
              <w:jc w:val="center"/>
              <w:rPr>
                <w:rFonts w:cs="Arial"/>
                <w:b/>
                <w:sz w:val="28"/>
                <w:szCs w:val="28"/>
              </w:rPr>
            </w:pPr>
            <w:r w:rsidRPr="00AE22EC">
              <w:rPr>
                <w:rFonts w:cs="Arial"/>
                <w:b/>
                <w:sz w:val="28"/>
                <w:szCs w:val="28"/>
              </w:rPr>
              <w:t>CADRE DE GESTION ENVIRONNEMENTALE ET SOCIALE</w:t>
            </w:r>
            <w:r>
              <w:rPr>
                <w:rFonts w:cs="Arial"/>
                <w:b/>
                <w:sz w:val="28"/>
                <w:szCs w:val="28"/>
              </w:rPr>
              <w:t xml:space="preserve"> (CGES)</w:t>
            </w:r>
          </w:p>
          <w:p w14:paraId="58CE7813" w14:textId="77777777" w:rsidR="001C2F95" w:rsidRPr="00AE22EC" w:rsidRDefault="001C2F95" w:rsidP="00971FD2">
            <w:pPr>
              <w:jc w:val="center"/>
              <w:rPr>
                <w:rFonts w:cs="Arial"/>
                <w:b/>
                <w:sz w:val="28"/>
                <w:szCs w:val="28"/>
              </w:rPr>
            </w:pPr>
          </w:p>
        </w:tc>
      </w:tr>
    </w:tbl>
    <w:p w14:paraId="77C60C9F" w14:textId="77777777" w:rsidR="001C2F95" w:rsidRPr="00AE22EC" w:rsidRDefault="001C2F95" w:rsidP="001C2F95">
      <w:pPr>
        <w:rPr>
          <w:rFonts w:cs="Arial"/>
          <w:b/>
          <w:bCs/>
        </w:rPr>
      </w:pPr>
    </w:p>
    <w:p w14:paraId="03DF16F1" w14:textId="77777777" w:rsidR="001C2F95" w:rsidRPr="00087783" w:rsidRDefault="001C2F95" w:rsidP="001C2F95">
      <w:pPr>
        <w:jc w:val="center"/>
        <w:rPr>
          <w:rFonts w:cs="Arial"/>
          <w:szCs w:val="21"/>
        </w:rPr>
      </w:pPr>
    </w:p>
    <w:p w14:paraId="207FD3AD" w14:textId="77777777" w:rsidR="001C2F95" w:rsidRPr="00087783" w:rsidRDefault="001C2F95" w:rsidP="001C2F95">
      <w:pPr>
        <w:jc w:val="center"/>
        <w:rPr>
          <w:rFonts w:cs="Arial"/>
          <w:szCs w:val="21"/>
        </w:rPr>
      </w:pPr>
    </w:p>
    <w:p w14:paraId="62E84932" w14:textId="77777777" w:rsidR="001C2F95" w:rsidRPr="00087783" w:rsidRDefault="001C2F95" w:rsidP="001C2F95">
      <w:pPr>
        <w:jc w:val="center"/>
        <w:rPr>
          <w:rFonts w:cs="Arial"/>
          <w:szCs w:val="21"/>
        </w:rPr>
      </w:pPr>
    </w:p>
    <w:p w14:paraId="044CE998" w14:textId="77777777" w:rsidR="001C2F95" w:rsidRDefault="001C2F95" w:rsidP="001C2F95">
      <w:pPr>
        <w:tabs>
          <w:tab w:val="left" w:pos="3198"/>
        </w:tabs>
        <w:rPr>
          <w:rFonts w:cs="Arial"/>
          <w:szCs w:val="21"/>
        </w:rPr>
      </w:pPr>
    </w:p>
    <w:p w14:paraId="15AA2B50" w14:textId="77777777" w:rsidR="001C2F95" w:rsidRPr="0075607E" w:rsidRDefault="001C2F95" w:rsidP="001C2F95">
      <w:pPr>
        <w:rPr>
          <w:rFonts w:cs="Arial"/>
          <w:szCs w:val="21"/>
        </w:rPr>
      </w:pPr>
    </w:p>
    <w:p w14:paraId="3C4C4D4A" w14:textId="1644ECDF" w:rsidR="001C2F95" w:rsidRPr="00713706" w:rsidRDefault="001C2F95" w:rsidP="001C2F95">
      <w:pPr>
        <w:jc w:val="center"/>
        <w:rPr>
          <w:rFonts w:cs="Arial"/>
          <w:b/>
          <w:sz w:val="20"/>
          <w:szCs w:val="20"/>
        </w:rPr>
      </w:pPr>
      <w:r w:rsidRPr="00713706">
        <w:rPr>
          <w:rFonts w:cs="Arial"/>
          <w:b/>
          <w:sz w:val="26"/>
          <w:szCs w:val="26"/>
        </w:rPr>
        <w:t xml:space="preserve">RAPPORT </w:t>
      </w:r>
      <w:r w:rsidR="00FE2B7D">
        <w:rPr>
          <w:rFonts w:cs="Arial"/>
          <w:b/>
          <w:sz w:val="26"/>
          <w:szCs w:val="26"/>
        </w:rPr>
        <w:t>PROVISOIRE</w:t>
      </w:r>
    </w:p>
    <w:p w14:paraId="563DF6AF" w14:textId="77777777" w:rsidR="001C2F95" w:rsidRPr="00713706" w:rsidRDefault="001C2F95" w:rsidP="001C2F95">
      <w:pPr>
        <w:jc w:val="center"/>
        <w:rPr>
          <w:rFonts w:cs="Arial"/>
          <w:b/>
          <w:szCs w:val="21"/>
        </w:rPr>
      </w:pPr>
      <w:r w:rsidRPr="00713706">
        <w:rPr>
          <w:rFonts w:cs="Arial"/>
          <w:b/>
          <w:sz w:val="20"/>
          <w:szCs w:val="20"/>
        </w:rPr>
        <w:tab/>
      </w:r>
      <w:r w:rsidRPr="00713706">
        <w:rPr>
          <w:rFonts w:cs="Arial"/>
          <w:b/>
          <w:sz w:val="20"/>
          <w:szCs w:val="20"/>
        </w:rPr>
        <w:tab/>
      </w:r>
    </w:p>
    <w:p w14:paraId="222D7982" w14:textId="77777777" w:rsidR="001C2F95" w:rsidRPr="00713706" w:rsidRDefault="001C2F95" w:rsidP="001C2F95">
      <w:pPr>
        <w:jc w:val="right"/>
        <w:rPr>
          <w:rFonts w:cs="Arial"/>
          <w:b/>
          <w:i/>
          <w:noProof/>
          <w:color w:val="004813"/>
          <w:sz w:val="20"/>
          <w:szCs w:val="20"/>
        </w:rPr>
      </w:pPr>
    </w:p>
    <w:p w14:paraId="459B3336" w14:textId="77777777" w:rsidR="001C2F95" w:rsidRPr="00713706" w:rsidRDefault="001C2F95" w:rsidP="001C2F95">
      <w:pPr>
        <w:jc w:val="center"/>
        <w:rPr>
          <w:rFonts w:cs="Arial"/>
          <w:b/>
          <w:sz w:val="20"/>
          <w:szCs w:val="20"/>
        </w:rPr>
      </w:pPr>
    </w:p>
    <w:p w14:paraId="6E08874A" w14:textId="77777777" w:rsidR="001C2F95" w:rsidRPr="00713706" w:rsidRDefault="001C2F95" w:rsidP="001C2F95">
      <w:pPr>
        <w:jc w:val="center"/>
        <w:rPr>
          <w:rFonts w:cs="Arial"/>
          <w:b/>
          <w:sz w:val="20"/>
          <w:szCs w:val="20"/>
        </w:rPr>
      </w:pPr>
    </w:p>
    <w:p w14:paraId="583B1891" w14:textId="77777777" w:rsidR="001C2F95" w:rsidRPr="00713706" w:rsidRDefault="001C2F95" w:rsidP="001C2F95">
      <w:pPr>
        <w:jc w:val="center"/>
        <w:rPr>
          <w:rFonts w:cs="Arial"/>
          <w:b/>
          <w:sz w:val="20"/>
          <w:szCs w:val="20"/>
        </w:rPr>
      </w:pPr>
    </w:p>
    <w:p w14:paraId="6E2A6816" w14:textId="77777777" w:rsidR="001C2F95" w:rsidRPr="00713706" w:rsidRDefault="001C2F95" w:rsidP="001C2F95">
      <w:pPr>
        <w:jc w:val="center"/>
        <w:rPr>
          <w:rFonts w:cs="Arial"/>
          <w:b/>
          <w:sz w:val="20"/>
          <w:szCs w:val="20"/>
        </w:rPr>
      </w:pPr>
    </w:p>
    <w:p w14:paraId="6BE80608" w14:textId="77777777" w:rsidR="001C2F95" w:rsidRPr="00713706" w:rsidRDefault="001C2F95" w:rsidP="001C2F95">
      <w:pPr>
        <w:jc w:val="center"/>
        <w:rPr>
          <w:rFonts w:cs="Arial"/>
          <w:b/>
          <w:sz w:val="20"/>
          <w:szCs w:val="20"/>
        </w:rPr>
      </w:pPr>
    </w:p>
    <w:p w14:paraId="3F3C4C6E" w14:textId="77777777" w:rsidR="001C2F95" w:rsidRPr="00713706" w:rsidRDefault="001C2F95" w:rsidP="00730A4A">
      <w:pPr>
        <w:pStyle w:val="TM2"/>
      </w:pPr>
    </w:p>
    <w:p w14:paraId="074CE49E" w14:textId="77777777" w:rsidR="001C2F95" w:rsidRDefault="001C2F95" w:rsidP="001C2F95">
      <w:pPr>
        <w:rPr>
          <w:b/>
        </w:rPr>
      </w:pPr>
    </w:p>
    <w:p w14:paraId="2BEB2DE8" w14:textId="77777777" w:rsidR="00E430AE" w:rsidRDefault="00E430AE" w:rsidP="001C2F95">
      <w:pPr>
        <w:rPr>
          <w:b/>
        </w:rPr>
      </w:pPr>
    </w:p>
    <w:p w14:paraId="784CF312" w14:textId="77777777" w:rsidR="00E430AE" w:rsidRPr="00713706" w:rsidRDefault="00E430AE" w:rsidP="001C2F95">
      <w:pPr>
        <w:rPr>
          <w:b/>
        </w:rPr>
      </w:pPr>
    </w:p>
    <w:p w14:paraId="3B15F8EB" w14:textId="77777777" w:rsidR="001C2F95" w:rsidRPr="00713706" w:rsidRDefault="001C2F95" w:rsidP="001C2F95">
      <w:pPr>
        <w:rPr>
          <w:b/>
        </w:rPr>
      </w:pPr>
    </w:p>
    <w:p w14:paraId="54FB211E" w14:textId="77777777" w:rsidR="001C2F95" w:rsidRPr="00713706" w:rsidRDefault="001C2F95" w:rsidP="001C2F95">
      <w:pPr>
        <w:rPr>
          <w:b/>
        </w:rPr>
      </w:pPr>
    </w:p>
    <w:p w14:paraId="41325C42" w14:textId="788A7830" w:rsidR="001C2F95" w:rsidRPr="00F36F83" w:rsidRDefault="001C2F95" w:rsidP="00730A4A">
      <w:pPr>
        <w:pStyle w:val="TM2"/>
      </w:pPr>
      <w:r>
        <w:t xml:space="preserve">                                                              </w:t>
      </w:r>
      <w:r w:rsidR="00A720CE">
        <w:t>Mai</w:t>
      </w:r>
      <w:r>
        <w:t xml:space="preserve"> </w:t>
      </w:r>
      <w:r w:rsidRPr="00F36F83">
        <w:t>202</w:t>
      </w:r>
      <w:r>
        <w:t>1</w:t>
      </w:r>
    </w:p>
    <w:p w14:paraId="440A1A15" w14:textId="77777777" w:rsidR="001C2F95" w:rsidRDefault="001C2F95" w:rsidP="001C2F95">
      <w:pPr>
        <w:spacing w:line="240" w:lineRule="auto"/>
        <w:jc w:val="left"/>
        <w:rPr>
          <w:rStyle w:val="Lienhypertexte"/>
          <w:rFonts w:cs="Arial"/>
          <w:bCs/>
          <w:noProof/>
          <w:sz w:val="20"/>
          <w:szCs w:val="20"/>
        </w:rPr>
      </w:pPr>
      <w:r>
        <w:rPr>
          <w:rStyle w:val="Lienhypertexte"/>
        </w:rPr>
        <w:br w:type="page"/>
      </w:r>
    </w:p>
    <w:p w14:paraId="529763C1" w14:textId="77777777" w:rsidR="001C2F95" w:rsidRPr="00174053" w:rsidRDefault="001C2F95" w:rsidP="00730A4A">
      <w:pPr>
        <w:pStyle w:val="TM2"/>
        <w:rPr>
          <w:rStyle w:val="Lienhypertexte"/>
          <w:color w:val="auto"/>
          <w:u w:val="none"/>
        </w:rPr>
      </w:pPr>
      <w:r w:rsidRPr="00174053">
        <w:rPr>
          <w:rStyle w:val="Lienhypertexte"/>
          <w:color w:val="auto"/>
          <w:u w:val="none"/>
        </w:rPr>
        <w:lastRenderedPageBreak/>
        <w:t>TABLE DES MATIÈRES</w:t>
      </w:r>
    </w:p>
    <w:p w14:paraId="14DAD1EF" w14:textId="77777777" w:rsidR="00174053" w:rsidRPr="00B95951" w:rsidRDefault="001C2F95" w:rsidP="00B95951">
      <w:pPr>
        <w:pStyle w:val="TM2"/>
        <w:jc w:val="both"/>
        <w:rPr>
          <w:b w:val="0"/>
        </w:rPr>
      </w:pPr>
      <w:r w:rsidRPr="00B95951">
        <w:rPr>
          <w:rStyle w:val="Lienhypertexte"/>
          <w:b w:val="0"/>
          <w:highlight w:val="yellow"/>
        </w:rPr>
        <w:fldChar w:fldCharType="begin"/>
      </w:r>
      <w:r w:rsidRPr="00B95951">
        <w:rPr>
          <w:rStyle w:val="Lienhypertexte"/>
          <w:b w:val="0"/>
          <w:highlight w:val="yellow"/>
        </w:rPr>
        <w:instrText xml:space="preserve"> TOC \o "1-3" \h \z \u </w:instrText>
      </w:r>
      <w:r w:rsidRPr="00B95951">
        <w:rPr>
          <w:rStyle w:val="Lienhypertexte"/>
          <w:b w:val="0"/>
          <w:highlight w:val="yellow"/>
        </w:rPr>
        <w:fldChar w:fldCharType="separate"/>
      </w:r>
    </w:p>
    <w:p w14:paraId="29B48A1A" w14:textId="77777777" w:rsidR="00174053" w:rsidRPr="00B95951" w:rsidRDefault="00652264" w:rsidP="00B95951">
      <w:pPr>
        <w:pStyle w:val="TM1"/>
        <w:tabs>
          <w:tab w:val="right" w:pos="9062"/>
        </w:tabs>
        <w:rPr>
          <w:b w:val="0"/>
          <w:bCs w:val="0"/>
          <w:caps w:val="0"/>
          <w:color w:val="auto"/>
        </w:rPr>
      </w:pPr>
      <w:hyperlink w:anchor="_Toc70330310" w:history="1">
        <w:r w:rsidR="00174053" w:rsidRPr="00B95951">
          <w:rPr>
            <w:rStyle w:val="Lienhypertexte"/>
            <w:b w:val="0"/>
          </w:rPr>
          <w:t>LISTE DES ACRONYMES ET DES ABRÉVIATIONS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_Toc70330310 \h </w:instrText>
        </w:r>
        <w:r w:rsidR="00174053" w:rsidRPr="00B95951">
          <w:rPr>
            <w:b w:val="0"/>
            <w:webHidden/>
          </w:rPr>
        </w:r>
        <w:r w:rsidR="00174053" w:rsidRPr="00B95951">
          <w:rPr>
            <w:b w:val="0"/>
            <w:webHidden/>
          </w:rPr>
          <w:fldChar w:fldCharType="separate"/>
        </w:r>
        <w:r w:rsidR="00B95951" w:rsidRPr="00B95951">
          <w:rPr>
            <w:b w:val="0"/>
            <w:webHidden/>
          </w:rPr>
          <w:t>vi</w:t>
        </w:r>
        <w:r w:rsidR="00174053" w:rsidRPr="00B95951">
          <w:rPr>
            <w:b w:val="0"/>
            <w:webHidden/>
          </w:rPr>
          <w:fldChar w:fldCharType="end"/>
        </w:r>
      </w:hyperlink>
    </w:p>
    <w:p w14:paraId="0E22DDD7" w14:textId="77777777" w:rsidR="00174053" w:rsidRPr="00B95951" w:rsidRDefault="00652264" w:rsidP="00B95951">
      <w:pPr>
        <w:pStyle w:val="TM1"/>
        <w:tabs>
          <w:tab w:val="right" w:pos="9062"/>
        </w:tabs>
        <w:rPr>
          <w:b w:val="0"/>
          <w:bCs w:val="0"/>
          <w:caps w:val="0"/>
          <w:color w:val="auto"/>
        </w:rPr>
      </w:pPr>
      <w:hyperlink w:anchor="_Toc70330311" w:history="1">
        <w:r w:rsidR="00174053" w:rsidRPr="00B95951">
          <w:rPr>
            <w:rStyle w:val="Lienhypertexte"/>
            <w:b w:val="0"/>
          </w:rPr>
          <w:t>LISTE DES TABLEAUX</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_Toc70330311 \h </w:instrText>
        </w:r>
        <w:r w:rsidR="00174053" w:rsidRPr="00B95951">
          <w:rPr>
            <w:b w:val="0"/>
            <w:webHidden/>
          </w:rPr>
        </w:r>
        <w:r w:rsidR="00174053" w:rsidRPr="00B95951">
          <w:rPr>
            <w:b w:val="0"/>
            <w:webHidden/>
          </w:rPr>
          <w:fldChar w:fldCharType="separate"/>
        </w:r>
        <w:r w:rsidR="00B95951" w:rsidRPr="00B95951">
          <w:rPr>
            <w:b w:val="0"/>
            <w:webHidden/>
          </w:rPr>
          <w:t>x</w:t>
        </w:r>
        <w:r w:rsidR="00174053" w:rsidRPr="00B95951">
          <w:rPr>
            <w:b w:val="0"/>
            <w:webHidden/>
          </w:rPr>
          <w:fldChar w:fldCharType="end"/>
        </w:r>
      </w:hyperlink>
    </w:p>
    <w:p w14:paraId="6AA54523" w14:textId="77777777" w:rsidR="00174053" w:rsidRPr="00B95951" w:rsidRDefault="00652264" w:rsidP="00B95951">
      <w:pPr>
        <w:pStyle w:val="TM1"/>
        <w:tabs>
          <w:tab w:val="right" w:pos="9062"/>
        </w:tabs>
        <w:rPr>
          <w:b w:val="0"/>
          <w:bCs w:val="0"/>
          <w:caps w:val="0"/>
          <w:color w:val="auto"/>
        </w:rPr>
      </w:pPr>
      <w:hyperlink w:anchor="_Toc70330312" w:history="1">
        <w:r w:rsidR="00174053" w:rsidRPr="00B95951">
          <w:rPr>
            <w:rStyle w:val="Lienhypertexte"/>
            <w:b w:val="0"/>
          </w:rPr>
          <w:t>LISTE DES FIGURES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_Toc70330312 \h </w:instrText>
        </w:r>
        <w:r w:rsidR="00174053" w:rsidRPr="00B95951">
          <w:rPr>
            <w:b w:val="0"/>
            <w:webHidden/>
          </w:rPr>
        </w:r>
        <w:r w:rsidR="00174053" w:rsidRPr="00B95951">
          <w:rPr>
            <w:b w:val="0"/>
            <w:webHidden/>
          </w:rPr>
          <w:fldChar w:fldCharType="separate"/>
        </w:r>
        <w:r w:rsidR="00B95951" w:rsidRPr="00B95951">
          <w:rPr>
            <w:b w:val="0"/>
            <w:webHidden/>
          </w:rPr>
          <w:t>xii</w:t>
        </w:r>
        <w:r w:rsidR="00174053" w:rsidRPr="00B95951">
          <w:rPr>
            <w:b w:val="0"/>
            <w:webHidden/>
          </w:rPr>
          <w:fldChar w:fldCharType="end"/>
        </w:r>
      </w:hyperlink>
    </w:p>
    <w:p w14:paraId="615A4D38" w14:textId="77777777" w:rsidR="00174053" w:rsidRPr="00B95951" w:rsidRDefault="00652264" w:rsidP="00B95951">
      <w:pPr>
        <w:pStyle w:val="TM1"/>
        <w:tabs>
          <w:tab w:val="right" w:pos="9062"/>
        </w:tabs>
        <w:rPr>
          <w:b w:val="0"/>
          <w:bCs w:val="0"/>
          <w:caps w:val="0"/>
          <w:color w:val="auto"/>
        </w:rPr>
      </w:pPr>
      <w:hyperlink w:anchor="_Toc70330313" w:history="1">
        <w:r w:rsidR="00174053" w:rsidRPr="00B95951">
          <w:rPr>
            <w:rStyle w:val="Lienhypertexte"/>
            <w:b w:val="0"/>
          </w:rPr>
          <w:t>RÉSUMÉ EXÉCUTIF</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_Toc70330313 \h </w:instrText>
        </w:r>
        <w:r w:rsidR="00174053" w:rsidRPr="00B95951">
          <w:rPr>
            <w:b w:val="0"/>
            <w:webHidden/>
          </w:rPr>
        </w:r>
        <w:r w:rsidR="00174053" w:rsidRPr="00B95951">
          <w:rPr>
            <w:b w:val="0"/>
            <w:webHidden/>
          </w:rPr>
          <w:fldChar w:fldCharType="separate"/>
        </w:r>
        <w:r w:rsidR="00B95951" w:rsidRPr="00B95951">
          <w:rPr>
            <w:b w:val="0"/>
            <w:webHidden/>
          </w:rPr>
          <w:t>xiii</w:t>
        </w:r>
        <w:r w:rsidR="00174053" w:rsidRPr="00B95951">
          <w:rPr>
            <w:b w:val="0"/>
            <w:webHidden/>
          </w:rPr>
          <w:fldChar w:fldCharType="end"/>
        </w:r>
      </w:hyperlink>
    </w:p>
    <w:p w14:paraId="605140B2" w14:textId="77777777" w:rsidR="00174053" w:rsidRPr="00B95951" w:rsidRDefault="00652264" w:rsidP="00B95951">
      <w:pPr>
        <w:pStyle w:val="TM1"/>
        <w:tabs>
          <w:tab w:val="right" w:pos="9062"/>
        </w:tabs>
        <w:rPr>
          <w:b w:val="0"/>
          <w:bCs w:val="0"/>
          <w:caps w:val="0"/>
          <w:color w:val="auto"/>
        </w:rPr>
      </w:pPr>
      <w:hyperlink w:anchor="_Toc70330318" w:history="1">
        <w:r w:rsidR="00174053" w:rsidRPr="00B95951">
          <w:rPr>
            <w:rStyle w:val="Lienhypertexte"/>
            <w:b w:val="0"/>
          </w:rPr>
          <w:t>EXECUTIVE SUMMARY</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_Toc70330318 \h </w:instrText>
        </w:r>
        <w:r w:rsidR="00174053" w:rsidRPr="00B95951">
          <w:rPr>
            <w:b w:val="0"/>
            <w:webHidden/>
          </w:rPr>
        </w:r>
        <w:r w:rsidR="00174053" w:rsidRPr="00B95951">
          <w:rPr>
            <w:b w:val="0"/>
            <w:webHidden/>
          </w:rPr>
          <w:fldChar w:fldCharType="separate"/>
        </w:r>
        <w:r w:rsidR="00B95951" w:rsidRPr="00B95951">
          <w:rPr>
            <w:b w:val="0"/>
            <w:webHidden/>
          </w:rPr>
          <w:t>xxx</w:t>
        </w:r>
        <w:r w:rsidR="00174053" w:rsidRPr="00B95951">
          <w:rPr>
            <w:b w:val="0"/>
            <w:webHidden/>
          </w:rPr>
          <w:fldChar w:fldCharType="end"/>
        </w:r>
      </w:hyperlink>
    </w:p>
    <w:p w14:paraId="282BE753" w14:textId="77777777" w:rsidR="00174053" w:rsidRPr="00B95951" w:rsidRDefault="00652264" w:rsidP="00B95951">
      <w:pPr>
        <w:pStyle w:val="TM1"/>
        <w:tabs>
          <w:tab w:val="right" w:pos="9062"/>
        </w:tabs>
        <w:rPr>
          <w:b w:val="0"/>
          <w:bCs w:val="0"/>
          <w:caps w:val="0"/>
          <w:color w:val="auto"/>
        </w:rPr>
      </w:pPr>
      <w:hyperlink w:anchor="_Toc70330319" w:history="1">
        <w:r w:rsidR="00174053" w:rsidRPr="00B95951">
          <w:rPr>
            <w:rStyle w:val="Lienhypertexte"/>
            <w:b w:val="0"/>
            <w:lang w:val="en-US"/>
          </w:rPr>
          <w:t>R</w:t>
        </w:r>
        <w:r w:rsidR="00174053" w:rsidRPr="00B95951">
          <w:rPr>
            <w:rStyle w:val="Lienhypertexte"/>
            <w:b w:val="0"/>
            <w:lang w:val="pl-PL"/>
          </w:rPr>
          <w:t>RÉSUMÉ EXÉCUTIF EN TSHILUBA / TSHIKOSO TSHA TSHENA BWALU</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_Toc70330319 \h </w:instrText>
        </w:r>
        <w:r w:rsidR="00174053" w:rsidRPr="00B95951">
          <w:rPr>
            <w:b w:val="0"/>
            <w:webHidden/>
          </w:rPr>
        </w:r>
        <w:r w:rsidR="00174053" w:rsidRPr="00B95951">
          <w:rPr>
            <w:b w:val="0"/>
            <w:webHidden/>
          </w:rPr>
          <w:fldChar w:fldCharType="separate"/>
        </w:r>
        <w:r w:rsidR="00B95951" w:rsidRPr="00B95951">
          <w:rPr>
            <w:b w:val="0"/>
            <w:webHidden/>
          </w:rPr>
          <w:t>xlvi</w:t>
        </w:r>
        <w:r w:rsidR="00174053" w:rsidRPr="00B95951">
          <w:rPr>
            <w:b w:val="0"/>
            <w:webHidden/>
          </w:rPr>
          <w:fldChar w:fldCharType="end"/>
        </w:r>
      </w:hyperlink>
    </w:p>
    <w:p w14:paraId="37561BE4" w14:textId="77777777" w:rsidR="00174053" w:rsidRPr="00B95951" w:rsidRDefault="00652264" w:rsidP="00B95951">
      <w:pPr>
        <w:pStyle w:val="TM1"/>
        <w:tabs>
          <w:tab w:val="right" w:pos="9062"/>
        </w:tabs>
        <w:rPr>
          <w:b w:val="0"/>
          <w:bCs w:val="0"/>
          <w:caps w:val="0"/>
          <w:color w:val="auto"/>
        </w:rPr>
      </w:pPr>
      <w:hyperlink w:anchor="_Toc70330324" w:history="1">
        <w:r w:rsidR="00174053" w:rsidRPr="00B95951">
          <w:rPr>
            <w:rStyle w:val="Lienhypertexte"/>
            <w:b w:val="0"/>
          </w:rPr>
          <w:t>RÉSUMÉ EXÉCUTIF EN KIKONGO / KINKUFI YA MALONGI</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_Toc70330324 \h </w:instrText>
        </w:r>
        <w:r w:rsidR="00174053" w:rsidRPr="00B95951">
          <w:rPr>
            <w:b w:val="0"/>
            <w:webHidden/>
          </w:rPr>
        </w:r>
        <w:r w:rsidR="00174053" w:rsidRPr="00B95951">
          <w:rPr>
            <w:b w:val="0"/>
            <w:webHidden/>
          </w:rPr>
          <w:fldChar w:fldCharType="separate"/>
        </w:r>
        <w:r w:rsidR="00B95951" w:rsidRPr="00B95951">
          <w:rPr>
            <w:b w:val="0"/>
            <w:webHidden/>
          </w:rPr>
          <w:t>lxii</w:t>
        </w:r>
        <w:r w:rsidR="00174053" w:rsidRPr="00B95951">
          <w:rPr>
            <w:b w:val="0"/>
            <w:webHidden/>
          </w:rPr>
          <w:fldChar w:fldCharType="end"/>
        </w:r>
      </w:hyperlink>
    </w:p>
    <w:p w14:paraId="7D78D144" w14:textId="77777777" w:rsidR="00174053" w:rsidRPr="00B95951" w:rsidRDefault="00652264" w:rsidP="00B95951">
      <w:pPr>
        <w:pStyle w:val="TM1"/>
        <w:tabs>
          <w:tab w:val="right" w:pos="9062"/>
        </w:tabs>
        <w:rPr>
          <w:b w:val="0"/>
          <w:bCs w:val="0"/>
          <w:caps w:val="0"/>
          <w:color w:val="auto"/>
        </w:rPr>
      </w:pPr>
      <w:hyperlink w:anchor="_Toc70330329" w:history="1">
        <w:r w:rsidR="00174053" w:rsidRPr="00B95951">
          <w:rPr>
            <w:rStyle w:val="Lienhypertexte"/>
            <w:b w:val="0"/>
          </w:rPr>
          <w:t>RÉSUMÉ EXÉCUTIF EN SWAHILI / MUHTASARI KWA KISWAHILI</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_Toc70330329 \h </w:instrText>
        </w:r>
        <w:r w:rsidR="00174053" w:rsidRPr="00B95951">
          <w:rPr>
            <w:b w:val="0"/>
            <w:webHidden/>
          </w:rPr>
        </w:r>
        <w:r w:rsidR="00174053" w:rsidRPr="00B95951">
          <w:rPr>
            <w:b w:val="0"/>
            <w:webHidden/>
          </w:rPr>
          <w:fldChar w:fldCharType="separate"/>
        </w:r>
        <w:r w:rsidR="00B95951" w:rsidRPr="00B95951">
          <w:rPr>
            <w:b w:val="0"/>
            <w:webHidden/>
          </w:rPr>
          <w:t>lxxvii</w:t>
        </w:r>
        <w:r w:rsidR="00174053" w:rsidRPr="00B95951">
          <w:rPr>
            <w:b w:val="0"/>
            <w:webHidden/>
          </w:rPr>
          <w:fldChar w:fldCharType="end"/>
        </w:r>
      </w:hyperlink>
    </w:p>
    <w:p w14:paraId="1F011CEF" w14:textId="77777777" w:rsidR="00174053" w:rsidRPr="00B95951" w:rsidRDefault="00652264" w:rsidP="00B95951">
      <w:pPr>
        <w:pStyle w:val="TM1"/>
        <w:tabs>
          <w:tab w:val="right" w:pos="9062"/>
        </w:tabs>
        <w:rPr>
          <w:b w:val="0"/>
          <w:bCs w:val="0"/>
          <w:caps w:val="0"/>
          <w:color w:val="auto"/>
        </w:rPr>
      </w:pPr>
      <w:hyperlink w:anchor="_Toc70330330" w:history="1">
        <w:r w:rsidR="00174053" w:rsidRPr="00B95951">
          <w:rPr>
            <w:rStyle w:val="Lienhypertexte"/>
            <w:b w:val="0"/>
          </w:rPr>
          <w:t>1.</w:t>
        </w:r>
        <w:r w:rsidR="00174053" w:rsidRPr="00B95951">
          <w:rPr>
            <w:b w:val="0"/>
            <w:bCs w:val="0"/>
            <w:caps w:val="0"/>
            <w:color w:val="auto"/>
          </w:rPr>
          <w:tab/>
        </w:r>
        <w:r w:rsidR="00174053" w:rsidRPr="00B95951">
          <w:rPr>
            <w:rStyle w:val="Lienhypertexte"/>
            <w:b w:val="0"/>
          </w:rPr>
          <w:t>INTRODUCTION</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_Toc70330330 \h </w:instrText>
        </w:r>
        <w:r w:rsidR="00174053" w:rsidRPr="00B95951">
          <w:rPr>
            <w:b w:val="0"/>
            <w:webHidden/>
          </w:rPr>
        </w:r>
        <w:r w:rsidR="00174053" w:rsidRPr="00B95951">
          <w:rPr>
            <w:b w:val="0"/>
            <w:webHidden/>
          </w:rPr>
          <w:fldChar w:fldCharType="separate"/>
        </w:r>
        <w:r w:rsidR="00B95951" w:rsidRPr="00B95951">
          <w:rPr>
            <w:b w:val="0"/>
            <w:webHidden/>
          </w:rPr>
          <w:t>1</w:t>
        </w:r>
        <w:r w:rsidR="00174053" w:rsidRPr="00B95951">
          <w:rPr>
            <w:b w:val="0"/>
            <w:webHidden/>
          </w:rPr>
          <w:fldChar w:fldCharType="end"/>
        </w:r>
      </w:hyperlink>
    </w:p>
    <w:p w14:paraId="08BFC0CA" w14:textId="77777777" w:rsidR="00174053" w:rsidRPr="00B95951" w:rsidRDefault="00652264" w:rsidP="00B95951">
      <w:pPr>
        <w:pStyle w:val="TM2"/>
        <w:jc w:val="both"/>
        <w:rPr>
          <w:b w:val="0"/>
        </w:rPr>
      </w:pPr>
      <w:hyperlink w:anchor="_Toc70330331" w:history="1">
        <w:r w:rsidR="00174053" w:rsidRPr="00B95951">
          <w:rPr>
            <w:rStyle w:val="Lienhypertexte"/>
            <w:b w:val="0"/>
          </w:rPr>
          <w:t>1.1.</w:t>
        </w:r>
        <w:r w:rsidR="00174053" w:rsidRPr="00B95951">
          <w:rPr>
            <w:b w:val="0"/>
          </w:rPr>
          <w:tab/>
        </w:r>
        <w:r w:rsidR="00174053" w:rsidRPr="00B95951">
          <w:rPr>
            <w:rStyle w:val="Lienhypertexte"/>
            <w:b w:val="0"/>
          </w:rPr>
          <w:t>Contexte et justification du Projet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_Toc70330331 \h </w:instrText>
        </w:r>
        <w:r w:rsidR="00174053" w:rsidRPr="00B95951">
          <w:rPr>
            <w:b w:val="0"/>
            <w:webHidden/>
          </w:rPr>
        </w:r>
        <w:r w:rsidR="00174053" w:rsidRPr="00B95951">
          <w:rPr>
            <w:b w:val="0"/>
            <w:webHidden/>
          </w:rPr>
          <w:fldChar w:fldCharType="separate"/>
        </w:r>
        <w:r w:rsidR="00B95951" w:rsidRPr="00B95951">
          <w:rPr>
            <w:b w:val="0"/>
            <w:webHidden/>
          </w:rPr>
          <w:t>1</w:t>
        </w:r>
        <w:r w:rsidR="00174053" w:rsidRPr="00B95951">
          <w:rPr>
            <w:b w:val="0"/>
            <w:webHidden/>
          </w:rPr>
          <w:fldChar w:fldCharType="end"/>
        </w:r>
      </w:hyperlink>
    </w:p>
    <w:p w14:paraId="3F53AF31" w14:textId="77777777" w:rsidR="00174053" w:rsidRPr="00B95951" w:rsidRDefault="00652264" w:rsidP="00B95951">
      <w:pPr>
        <w:pStyle w:val="TM2"/>
        <w:jc w:val="both"/>
        <w:rPr>
          <w:b w:val="0"/>
        </w:rPr>
      </w:pPr>
      <w:hyperlink w:anchor="_Toc70330332" w:history="1">
        <w:r w:rsidR="00174053" w:rsidRPr="00B95951">
          <w:rPr>
            <w:rStyle w:val="Lienhypertexte"/>
            <w:b w:val="0"/>
          </w:rPr>
          <w:t>1.2.</w:t>
        </w:r>
        <w:r w:rsidR="00174053" w:rsidRPr="00B95951">
          <w:rPr>
            <w:b w:val="0"/>
          </w:rPr>
          <w:tab/>
        </w:r>
        <w:r w:rsidR="00174053" w:rsidRPr="00B95951">
          <w:rPr>
            <w:rStyle w:val="Lienhypertexte"/>
            <w:b w:val="0"/>
          </w:rPr>
          <w:t>Objectif du PNDA</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_Toc70330332 \h </w:instrText>
        </w:r>
        <w:r w:rsidR="00174053" w:rsidRPr="00B95951">
          <w:rPr>
            <w:b w:val="0"/>
            <w:webHidden/>
          </w:rPr>
        </w:r>
        <w:r w:rsidR="00174053" w:rsidRPr="00B95951">
          <w:rPr>
            <w:b w:val="0"/>
            <w:webHidden/>
          </w:rPr>
          <w:fldChar w:fldCharType="separate"/>
        </w:r>
        <w:r w:rsidR="00B95951" w:rsidRPr="00B95951">
          <w:rPr>
            <w:b w:val="0"/>
            <w:webHidden/>
          </w:rPr>
          <w:t>2</w:t>
        </w:r>
        <w:r w:rsidR="00174053" w:rsidRPr="00B95951">
          <w:rPr>
            <w:b w:val="0"/>
            <w:webHidden/>
          </w:rPr>
          <w:fldChar w:fldCharType="end"/>
        </w:r>
      </w:hyperlink>
    </w:p>
    <w:p w14:paraId="0874D248" w14:textId="77777777" w:rsidR="00174053" w:rsidRPr="00B95951" w:rsidRDefault="00652264" w:rsidP="00B95951">
      <w:pPr>
        <w:pStyle w:val="TM2"/>
        <w:jc w:val="both"/>
        <w:rPr>
          <w:b w:val="0"/>
        </w:rPr>
      </w:pPr>
      <w:hyperlink w:anchor="_Toc70330333" w:history="1">
        <w:r w:rsidR="00174053" w:rsidRPr="00B95951">
          <w:rPr>
            <w:rStyle w:val="Lienhypertexte"/>
            <w:b w:val="0"/>
          </w:rPr>
          <w:t>1.3.</w:t>
        </w:r>
        <w:r w:rsidR="00174053" w:rsidRPr="00B95951">
          <w:rPr>
            <w:b w:val="0"/>
          </w:rPr>
          <w:tab/>
        </w:r>
        <w:r w:rsidR="00174053" w:rsidRPr="00B95951">
          <w:rPr>
            <w:rStyle w:val="Lienhypertexte"/>
            <w:b w:val="0"/>
          </w:rPr>
          <w:t>Composantes du PNDA</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_Toc70330333 \h </w:instrText>
        </w:r>
        <w:r w:rsidR="00174053" w:rsidRPr="00B95951">
          <w:rPr>
            <w:b w:val="0"/>
            <w:webHidden/>
          </w:rPr>
        </w:r>
        <w:r w:rsidR="00174053" w:rsidRPr="00B95951">
          <w:rPr>
            <w:b w:val="0"/>
            <w:webHidden/>
          </w:rPr>
          <w:fldChar w:fldCharType="separate"/>
        </w:r>
        <w:r w:rsidR="00B95951" w:rsidRPr="00B95951">
          <w:rPr>
            <w:b w:val="0"/>
            <w:webHidden/>
          </w:rPr>
          <w:t>3</w:t>
        </w:r>
        <w:r w:rsidR="00174053" w:rsidRPr="00B95951">
          <w:rPr>
            <w:b w:val="0"/>
            <w:webHidden/>
          </w:rPr>
          <w:fldChar w:fldCharType="end"/>
        </w:r>
      </w:hyperlink>
    </w:p>
    <w:p w14:paraId="04B3C1B7" w14:textId="77777777" w:rsidR="00174053" w:rsidRPr="00B95951" w:rsidRDefault="00652264" w:rsidP="00B95951">
      <w:pPr>
        <w:pStyle w:val="TM2"/>
        <w:jc w:val="both"/>
        <w:rPr>
          <w:b w:val="0"/>
        </w:rPr>
      </w:pPr>
      <w:hyperlink w:anchor="_Toc70330334" w:history="1">
        <w:r w:rsidR="00174053" w:rsidRPr="00B95951">
          <w:rPr>
            <w:rStyle w:val="Lienhypertexte"/>
            <w:b w:val="0"/>
          </w:rPr>
          <w:t>1.4.</w:t>
        </w:r>
        <w:r w:rsidR="00174053" w:rsidRPr="00B95951">
          <w:rPr>
            <w:b w:val="0"/>
          </w:rPr>
          <w:tab/>
        </w:r>
        <w:r w:rsidR="00174053" w:rsidRPr="00B95951">
          <w:rPr>
            <w:rStyle w:val="Lienhypertexte"/>
            <w:b w:val="0"/>
          </w:rPr>
          <w:t>Objectif du Cadre de Gestion Environnementale et Sociale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_Toc70330334 \h </w:instrText>
        </w:r>
        <w:r w:rsidR="00174053" w:rsidRPr="00B95951">
          <w:rPr>
            <w:b w:val="0"/>
            <w:webHidden/>
          </w:rPr>
        </w:r>
        <w:r w:rsidR="00174053" w:rsidRPr="00B95951">
          <w:rPr>
            <w:b w:val="0"/>
            <w:webHidden/>
          </w:rPr>
          <w:fldChar w:fldCharType="separate"/>
        </w:r>
        <w:r w:rsidR="00B95951" w:rsidRPr="00B95951">
          <w:rPr>
            <w:b w:val="0"/>
            <w:webHidden/>
          </w:rPr>
          <w:t>4</w:t>
        </w:r>
        <w:r w:rsidR="00174053" w:rsidRPr="00B95951">
          <w:rPr>
            <w:b w:val="0"/>
            <w:webHidden/>
          </w:rPr>
          <w:fldChar w:fldCharType="end"/>
        </w:r>
      </w:hyperlink>
    </w:p>
    <w:p w14:paraId="7F1B4DBD" w14:textId="77777777" w:rsidR="00174053" w:rsidRPr="00B95951" w:rsidRDefault="00652264" w:rsidP="00B95951">
      <w:pPr>
        <w:pStyle w:val="TM2"/>
        <w:jc w:val="both"/>
        <w:rPr>
          <w:b w:val="0"/>
        </w:rPr>
      </w:pPr>
      <w:hyperlink w:anchor="_Toc70330335" w:history="1">
        <w:r w:rsidR="00174053" w:rsidRPr="00B95951">
          <w:rPr>
            <w:rStyle w:val="Lienhypertexte"/>
            <w:b w:val="0"/>
          </w:rPr>
          <w:t>1.5.</w:t>
        </w:r>
        <w:r w:rsidR="00174053" w:rsidRPr="00B95951">
          <w:rPr>
            <w:b w:val="0"/>
          </w:rPr>
          <w:tab/>
        </w:r>
        <w:r w:rsidR="00174053" w:rsidRPr="00B95951">
          <w:rPr>
            <w:rStyle w:val="Lienhypertexte"/>
            <w:b w:val="0"/>
          </w:rPr>
          <w:t>Méthodologie d’élaboration du CGES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_Toc70330335 \h </w:instrText>
        </w:r>
        <w:r w:rsidR="00174053" w:rsidRPr="00B95951">
          <w:rPr>
            <w:b w:val="0"/>
            <w:webHidden/>
          </w:rPr>
        </w:r>
        <w:r w:rsidR="00174053" w:rsidRPr="00B95951">
          <w:rPr>
            <w:b w:val="0"/>
            <w:webHidden/>
          </w:rPr>
          <w:fldChar w:fldCharType="separate"/>
        </w:r>
        <w:r w:rsidR="00B95951" w:rsidRPr="00B95951">
          <w:rPr>
            <w:b w:val="0"/>
            <w:webHidden/>
          </w:rPr>
          <w:t>5</w:t>
        </w:r>
        <w:r w:rsidR="00174053" w:rsidRPr="00B95951">
          <w:rPr>
            <w:b w:val="0"/>
            <w:webHidden/>
          </w:rPr>
          <w:fldChar w:fldCharType="end"/>
        </w:r>
      </w:hyperlink>
    </w:p>
    <w:p w14:paraId="558237B5" w14:textId="77777777" w:rsidR="00174053" w:rsidRPr="00B95951" w:rsidRDefault="00652264" w:rsidP="00B95951">
      <w:pPr>
        <w:pStyle w:val="TM2"/>
        <w:jc w:val="both"/>
        <w:rPr>
          <w:b w:val="0"/>
        </w:rPr>
      </w:pPr>
      <w:hyperlink w:anchor="_Toc70330336" w:history="1">
        <w:r w:rsidR="00174053" w:rsidRPr="00B95951">
          <w:rPr>
            <w:rStyle w:val="Lienhypertexte"/>
            <w:b w:val="0"/>
            <w:iCs/>
          </w:rPr>
          <w:t>1.5.1.</w:t>
        </w:r>
        <w:r w:rsidR="00174053" w:rsidRPr="00B95951">
          <w:rPr>
            <w:b w:val="0"/>
          </w:rPr>
          <w:tab/>
        </w:r>
        <w:r w:rsidR="00174053" w:rsidRPr="00B95951">
          <w:rPr>
            <w:rStyle w:val="Lienhypertexte"/>
            <w:b w:val="0"/>
            <w:i/>
          </w:rPr>
          <w:t>Cadrage de l’étude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_Toc70330336 \h </w:instrText>
        </w:r>
        <w:r w:rsidR="00174053" w:rsidRPr="00B95951">
          <w:rPr>
            <w:b w:val="0"/>
            <w:webHidden/>
          </w:rPr>
        </w:r>
        <w:r w:rsidR="00174053" w:rsidRPr="00B95951">
          <w:rPr>
            <w:b w:val="0"/>
            <w:webHidden/>
          </w:rPr>
          <w:fldChar w:fldCharType="separate"/>
        </w:r>
        <w:r w:rsidR="00B95951" w:rsidRPr="00B95951">
          <w:rPr>
            <w:b w:val="0"/>
            <w:webHidden/>
          </w:rPr>
          <w:t>5</w:t>
        </w:r>
        <w:r w:rsidR="00174053" w:rsidRPr="00B95951">
          <w:rPr>
            <w:b w:val="0"/>
            <w:webHidden/>
          </w:rPr>
          <w:fldChar w:fldCharType="end"/>
        </w:r>
      </w:hyperlink>
    </w:p>
    <w:p w14:paraId="7F9FF1E4" w14:textId="77777777" w:rsidR="00174053" w:rsidRPr="00B95951" w:rsidRDefault="00652264" w:rsidP="00B95951">
      <w:pPr>
        <w:pStyle w:val="TM2"/>
        <w:jc w:val="both"/>
        <w:rPr>
          <w:b w:val="0"/>
        </w:rPr>
      </w:pPr>
      <w:hyperlink w:anchor="_Toc70330337" w:history="1">
        <w:r w:rsidR="00174053" w:rsidRPr="00B95951">
          <w:rPr>
            <w:rStyle w:val="Lienhypertexte"/>
            <w:b w:val="0"/>
            <w:iCs/>
          </w:rPr>
          <w:t>1.5.2.</w:t>
        </w:r>
        <w:r w:rsidR="00174053" w:rsidRPr="00B95951">
          <w:rPr>
            <w:b w:val="0"/>
          </w:rPr>
          <w:tab/>
        </w:r>
        <w:r w:rsidR="00174053" w:rsidRPr="00B95951">
          <w:rPr>
            <w:rStyle w:val="Lienhypertexte"/>
            <w:b w:val="0"/>
            <w:i/>
          </w:rPr>
          <w:t>Collecte et revue documentaire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_Toc70330337 \h </w:instrText>
        </w:r>
        <w:r w:rsidR="00174053" w:rsidRPr="00B95951">
          <w:rPr>
            <w:b w:val="0"/>
            <w:webHidden/>
          </w:rPr>
        </w:r>
        <w:r w:rsidR="00174053" w:rsidRPr="00B95951">
          <w:rPr>
            <w:b w:val="0"/>
            <w:webHidden/>
          </w:rPr>
          <w:fldChar w:fldCharType="separate"/>
        </w:r>
        <w:r w:rsidR="00B95951" w:rsidRPr="00B95951">
          <w:rPr>
            <w:b w:val="0"/>
            <w:webHidden/>
          </w:rPr>
          <w:t>5</w:t>
        </w:r>
        <w:r w:rsidR="00174053" w:rsidRPr="00B95951">
          <w:rPr>
            <w:b w:val="0"/>
            <w:webHidden/>
          </w:rPr>
          <w:fldChar w:fldCharType="end"/>
        </w:r>
      </w:hyperlink>
    </w:p>
    <w:p w14:paraId="360FC18C" w14:textId="77777777" w:rsidR="00174053" w:rsidRPr="00B95951" w:rsidRDefault="00652264" w:rsidP="00B95951">
      <w:pPr>
        <w:pStyle w:val="TM2"/>
        <w:jc w:val="both"/>
        <w:rPr>
          <w:b w:val="0"/>
        </w:rPr>
      </w:pPr>
      <w:hyperlink w:anchor="_Toc70330338" w:history="1">
        <w:r w:rsidR="00174053" w:rsidRPr="00B95951">
          <w:rPr>
            <w:rStyle w:val="Lienhypertexte"/>
            <w:b w:val="0"/>
            <w:iCs/>
          </w:rPr>
          <w:t>1.5.3.</w:t>
        </w:r>
        <w:r w:rsidR="00174053" w:rsidRPr="00B95951">
          <w:rPr>
            <w:b w:val="0"/>
          </w:rPr>
          <w:tab/>
        </w:r>
        <w:r w:rsidR="00174053" w:rsidRPr="00B95951">
          <w:rPr>
            <w:rStyle w:val="Lienhypertexte"/>
            <w:b w:val="0"/>
            <w:i/>
          </w:rPr>
          <w:t>Rencontres institutionnelles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_Toc70330338 \h </w:instrText>
        </w:r>
        <w:r w:rsidR="00174053" w:rsidRPr="00B95951">
          <w:rPr>
            <w:b w:val="0"/>
            <w:webHidden/>
          </w:rPr>
        </w:r>
        <w:r w:rsidR="00174053" w:rsidRPr="00B95951">
          <w:rPr>
            <w:b w:val="0"/>
            <w:webHidden/>
          </w:rPr>
          <w:fldChar w:fldCharType="separate"/>
        </w:r>
        <w:r w:rsidR="00B95951" w:rsidRPr="00B95951">
          <w:rPr>
            <w:b w:val="0"/>
            <w:webHidden/>
          </w:rPr>
          <w:t>6</w:t>
        </w:r>
        <w:r w:rsidR="00174053" w:rsidRPr="00B95951">
          <w:rPr>
            <w:b w:val="0"/>
            <w:webHidden/>
          </w:rPr>
          <w:fldChar w:fldCharType="end"/>
        </w:r>
      </w:hyperlink>
    </w:p>
    <w:p w14:paraId="1580EC4E" w14:textId="77777777" w:rsidR="00174053" w:rsidRPr="00B95951" w:rsidRDefault="00652264" w:rsidP="00B95951">
      <w:pPr>
        <w:pStyle w:val="TM2"/>
        <w:jc w:val="both"/>
        <w:rPr>
          <w:b w:val="0"/>
        </w:rPr>
      </w:pPr>
      <w:hyperlink w:anchor="_Toc70330339" w:history="1">
        <w:r w:rsidR="00174053" w:rsidRPr="00B95951">
          <w:rPr>
            <w:rStyle w:val="Lienhypertexte"/>
            <w:b w:val="0"/>
            <w:iCs/>
          </w:rPr>
          <w:t>1.5.4.</w:t>
        </w:r>
        <w:r w:rsidR="00174053" w:rsidRPr="00B95951">
          <w:rPr>
            <w:b w:val="0"/>
          </w:rPr>
          <w:tab/>
        </w:r>
        <w:r w:rsidR="00174053" w:rsidRPr="00B95951">
          <w:rPr>
            <w:rStyle w:val="Lienhypertexte"/>
            <w:b w:val="0"/>
            <w:i/>
          </w:rPr>
          <w:t>Visites de terrain</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_Toc70330339 \h </w:instrText>
        </w:r>
        <w:r w:rsidR="00174053" w:rsidRPr="00B95951">
          <w:rPr>
            <w:b w:val="0"/>
            <w:webHidden/>
          </w:rPr>
        </w:r>
        <w:r w:rsidR="00174053" w:rsidRPr="00B95951">
          <w:rPr>
            <w:b w:val="0"/>
            <w:webHidden/>
          </w:rPr>
          <w:fldChar w:fldCharType="separate"/>
        </w:r>
        <w:r w:rsidR="00B95951" w:rsidRPr="00B95951">
          <w:rPr>
            <w:b w:val="0"/>
            <w:webHidden/>
          </w:rPr>
          <w:t>6</w:t>
        </w:r>
        <w:r w:rsidR="00174053" w:rsidRPr="00B95951">
          <w:rPr>
            <w:b w:val="0"/>
            <w:webHidden/>
          </w:rPr>
          <w:fldChar w:fldCharType="end"/>
        </w:r>
      </w:hyperlink>
    </w:p>
    <w:p w14:paraId="0DF63B04" w14:textId="77777777" w:rsidR="00174053" w:rsidRPr="00B95951" w:rsidRDefault="00652264" w:rsidP="00B95951">
      <w:pPr>
        <w:pStyle w:val="TM2"/>
        <w:jc w:val="both"/>
        <w:rPr>
          <w:b w:val="0"/>
        </w:rPr>
      </w:pPr>
      <w:hyperlink w:anchor="_Toc70330340" w:history="1">
        <w:r w:rsidR="00174053" w:rsidRPr="00B95951">
          <w:rPr>
            <w:rStyle w:val="Lienhypertexte"/>
            <w:b w:val="0"/>
            <w:iCs/>
          </w:rPr>
          <w:t>1.5.5.</w:t>
        </w:r>
        <w:r w:rsidR="00174053" w:rsidRPr="00B95951">
          <w:rPr>
            <w:b w:val="0"/>
          </w:rPr>
          <w:tab/>
        </w:r>
        <w:r w:rsidR="00174053" w:rsidRPr="00B95951">
          <w:rPr>
            <w:rStyle w:val="Lienhypertexte"/>
            <w:b w:val="0"/>
            <w:i/>
          </w:rPr>
          <w:t>Exploitation des données et rédaction du rapport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_Toc70330340 \h </w:instrText>
        </w:r>
        <w:r w:rsidR="00174053" w:rsidRPr="00B95951">
          <w:rPr>
            <w:b w:val="0"/>
            <w:webHidden/>
          </w:rPr>
        </w:r>
        <w:r w:rsidR="00174053" w:rsidRPr="00B95951">
          <w:rPr>
            <w:b w:val="0"/>
            <w:webHidden/>
          </w:rPr>
          <w:fldChar w:fldCharType="separate"/>
        </w:r>
        <w:r w:rsidR="00B95951" w:rsidRPr="00B95951">
          <w:rPr>
            <w:b w:val="0"/>
            <w:webHidden/>
          </w:rPr>
          <w:t>6</w:t>
        </w:r>
        <w:r w:rsidR="00174053" w:rsidRPr="00B95951">
          <w:rPr>
            <w:b w:val="0"/>
            <w:webHidden/>
          </w:rPr>
          <w:fldChar w:fldCharType="end"/>
        </w:r>
      </w:hyperlink>
    </w:p>
    <w:p w14:paraId="3A42B14A" w14:textId="77777777" w:rsidR="00174053" w:rsidRPr="00B95951" w:rsidRDefault="00652264" w:rsidP="00B95951">
      <w:pPr>
        <w:pStyle w:val="TM2"/>
        <w:jc w:val="both"/>
        <w:rPr>
          <w:b w:val="0"/>
        </w:rPr>
      </w:pPr>
      <w:hyperlink w:anchor="_Toc70330341" w:history="1">
        <w:r w:rsidR="00174053" w:rsidRPr="00B95951">
          <w:rPr>
            <w:rStyle w:val="Lienhypertexte"/>
            <w:rFonts w:eastAsia="Calibri"/>
            <w:b w:val="0"/>
          </w:rPr>
          <w:t>1.6.</w:t>
        </w:r>
        <w:r w:rsidR="00174053" w:rsidRPr="00B95951">
          <w:rPr>
            <w:b w:val="0"/>
          </w:rPr>
          <w:tab/>
        </w:r>
        <w:r w:rsidR="00174053" w:rsidRPr="00B95951">
          <w:rPr>
            <w:rStyle w:val="Lienhypertexte"/>
            <w:b w:val="0"/>
          </w:rPr>
          <w:t>Structure du rapport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_Toc70330341 \h </w:instrText>
        </w:r>
        <w:r w:rsidR="00174053" w:rsidRPr="00B95951">
          <w:rPr>
            <w:b w:val="0"/>
            <w:webHidden/>
          </w:rPr>
        </w:r>
        <w:r w:rsidR="00174053" w:rsidRPr="00B95951">
          <w:rPr>
            <w:b w:val="0"/>
            <w:webHidden/>
          </w:rPr>
          <w:fldChar w:fldCharType="separate"/>
        </w:r>
        <w:r w:rsidR="00B95951" w:rsidRPr="00B95951">
          <w:rPr>
            <w:b w:val="0"/>
            <w:webHidden/>
          </w:rPr>
          <w:t>6</w:t>
        </w:r>
        <w:r w:rsidR="00174053" w:rsidRPr="00B95951">
          <w:rPr>
            <w:b w:val="0"/>
            <w:webHidden/>
          </w:rPr>
          <w:fldChar w:fldCharType="end"/>
        </w:r>
      </w:hyperlink>
    </w:p>
    <w:p w14:paraId="2B983D80" w14:textId="77777777" w:rsidR="00174053" w:rsidRPr="00B95951" w:rsidRDefault="00652264" w:rsidP="00B95951">
      <w:pPr>
        <w:pStyle w:val="TM1"/>
        <w:tabs>
          <w:tab w:val="right" w:pos="9062"/>
        </w:tabs>
        <w:rPr>
          <w:b w:val="0"/>
          <w:bCs w:val="0"/>
          <w:caps w:val="0"/>
          <w:color w:val="auto"/>
        </w:rPr>
      </w:pPr>
      <w:hyperlink w:anchor="_Toc70330342" w:history="1">
        <w:r w:rsidR="00174053" w:rsidRPr="00B95951">
          <w:rPr>
            <w:rStyle w:val="Lienhypertexte"/>
            <w:b w:val="0"/>
          </w:rPr>
          <w:t>2.</w:t>
        </w:r>
        <w:r w:rsidR="00174053" w:rsidRPr="00B95951">
          <w:rPr>
            <w:b w:val="0"/>
            <w:bCs w:val="0"/>
            <w:caps w:val="0"/>
            <w:color w:val="auto"/>
          </w:rPr>
          <w:tab/>
        </w:r>
        <w:r w:rsidR="00174053" w:rsidRPr="00B95951">
          <w:rPr>
            <w:rStyle w:val="Lienhypertexte"/>
            <w:b w:val="0"/>
          </w:rPr>
          <w:t>DESCRIPTION DU PROJET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_Toc70330342 \h </w:instrText>
        </w:r>
        <w:r w:rsidR="00174053" w:rsidRPr="00B95951">
          <w:rPr>
            <w:b w:val="0"/>
            <w:webHidden/>
          </w:rPr>
        </w:r>
        <w:r w:rsidR="00174053" w:rsidRPr="00B95951">
          <w:rPr>
            <w:b w:val="0"/>
            <w:webHidden/>
          </w:rPr>
          <w:fldChar w:fldCharType="separate"/>
        </w:r>
        <w:r w:rsidR="00B95951" w:rsidRPr="00B95951">
          <w:rPr>
            <w:b w:val="0"/>
            <w:webHidden/>
          </w:rPr>
          <w:t>8</w:t>
        </w:r>
        <w:r w:rsidR="00174053" w:rsidRPr="00B95951">
          <w:rPr>
            <w:b w:val="0"/>
            <w:webHidden/>
          </w:rPr>
          <w:fldChar w:fldCharType="end"/>
        </w:r>
      </w:hyperlink>
    </w:p>
    <w:p w14:paraId="0A7C1445" w14:textId="77777777" w:rsidR="00174053" w:rsidRPr="00B95951" w:rsidRDefault="00652264" w:rsidP="00B95951">
      <w:pPr>
        <w:pStyle w:val="TM2"/>
        <w:jc w:val="both"/>
        <w:rPr>
          <w:b w:val="0"/>
        </w:rPr>
      </w:pPr>
      <w:hyperlink w:anchor="_Toc70330343" w:history="1">
        <w:r w:rsidR="00174053" w:rsidRPr="00B95951">
          <w:rPr>
            <w:rStyle w:val="Lienhypertexte"/>
            <w:b w:val="0"/>
          </w:rPr>
          <w:t>2.1.</w:t>
        </w:r>
        <w:r w:rsidR="00174053" w:rsidRPr="00B95951">
          <w:rPr>
            <w:b w:val="0"/>
          </w:rPr>
          <w:tab/>
        </w:r>
        <w:r w:rsidR="00174053" w:rsidRPr="00B95951">
          <w:rPr>
            <w:rStyle w:val="Lienhypertexte"/>
            <w:b w:val="0"/>
          </w:rPr>
          <w:t>Objectif du Projet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_Toc70330343 \h </w:instrText>
        </w:r>
        <w:r w:rsidR="00174053" w:rsidRPr="00B95951">
          <w:rPr>
            <w:b w:val="0"/>
            <w:webHidden/>
          </w:rPr>
        </w:r>
        <w:r w:rsidR="00174053" w:rsidRPr="00B95951">
          <w:rPr>
            <w:b w:val="0"/>
            <w:webHidden/>
          </w:rPr>
          <w:fldChar w:fldCharType="separate"/>
        </w:r>
        <w:r w:rsidR="00B95951" w:rsidRPr="00B95951">
          <w:rPr>
            <w:b w:val="0"/>
            <w:webHidden/>
          </w:rPr>
          <w:t>8</w:t>
        </w:r>
        <w:r w:rsidR="00174053" w:rsidRPr="00B95951">
          <w:rPr>
            <w:b w:val="0"/>
            <w:webHidden/>
          </w:rPr>
          <w:fldChar w:fldCharType="end"/>
        </w:r>
      </w:hyperlink>
    </w:p>
    <w:p w14:paraId="55225A74" w14:textId="77777777" w:rsidR="00174053" w:rsidRPr="00B95951" w:rsidRDefault="00652264" w:rsidP="00B95951">
      <w:pPr>
        <w:pStyle w:val="TM2"/>
        <w:jc w:val="both"/>
        <w:rPr>
          <w:b w:val="0"/>
        </w:rPr>
      </w:pPr>
      <w:hyperlink w:anchor="_Toc70330344" w:history="1">
        <w:r w:rsidR="00174053" w:rsidRPr="00B95951">
          <w:rPr>
            <w:rStyle w:val="Lienhypertexte"/>
            <w:b w:val="0"/>
          </w:rPr>
          <w:t>2.2.</w:t>
        </w:r>
        <w:r w:rsidR="00174053" w:rsidRPr="00B95951">
          <w:rPr>
            <w:b w:val="0"/>
          </w:rPr>
          <w:tab/>
        </w:r>
        <w:r w:rsidR="00174053" w:rsidRPr="00B95951">
          <w:rPr>
            <w:rStyle w:val="Lienhypertexte"/>
            <w:b w:val="0"/>
          </w:rPr>
          <w:t>Composantes du Projet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_Toc70330344 \h </w:instrText>
        </w:r>
        <w:r w:rsidR="00174053" w:rsidRPr="00B95951">
          <w:rPr>
            <w:b w:val="0"/>
            <w:webHidden/>
          </w:rPr>
        </w:r>
        <w:r w:rsidR="00174053" w:rsidRPr="00B95951">
          <w:rPr>
            <w:b w:val="0"/>
            <w:webHidden/>
          </w:rPr>
          <w:fldChar w:fldCharType="separate"/>
        </w:r>
        <w:r w:rsidR="00B95951" w:rsidRPr="00B95951">
          <w:rPr>
            <w:b w:val="0"/>
            <w:webHidden/>
          </w:rPr>
          <w:t>8</w:t>
        </w:r>
        <w:r w:rsidR="00174053" w:rsidRPr="00B95951">
          <w:rPr>
            <w:b w:val="0"/>
            <w:webHidden/>
          </w:rPr>
          <w:fldChar w:fldCharType="end"/>
        </w:r>
      </w:hyperlink>
    </w:p>
    <w:p w14:paraId="21F5079B" w14:textId="77777777" w:rsidR="00174053" w:rsidRPr="00B95951" w:rsidRDefault="00652264" w:rsidP="00B95951">
      <w:pPr>
        <w:pStyle w:val="TM2"/>
        <w:jc w:val="both"/>
        <w:rPr>
          <w:b w:val="0"/>
        </w:rPr>
      </w:pPr>
      <w:hyperlink w:anchor="_Toc70330345" w:history="1">
        <w:r w:rsidR="00174053" w:rsidRPr="00B95951">
          <w:rPr>
            <w:rStyle w:val="Lienhypertexte"/>
            <w:b w:val="0"/>
          </w:rPr>
          <w:t>2.3.</w:t>
        </w:r>
        <w:r w:rsidR="00174053" w:rsidRPr="00B95951">
          <w:rPr>
            <w:b w:val="0"/>
          </w:rPr>
          <w:tab/>
        </w:r>
        <w:r w:rsidR="00174053" w:rsidRPr="00B95951">
          <w:rPr>
            <w:rStyle w:val="Lienhypertexte"/>
            <w:b w:val="0"/>
          </w:rPr>
          <w:t>Dispositif de la mise en œuvre du Projet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_Toc70330345 \h </w:instrText>
        </w:r>
        <w:r w:rsidR="00174053" w:rsidRPr="00B95951">
          <w:rPr>
            <w:b w:val="0"/>
            <w:webHidden/>
          </w:rPr>
        </w:r>
        <w:r w:rsidR="00174053" w:rsidRPr="00B95951">
          <w:rPr>
            <w:b w:val="0"/>
            <w:webHidden/>
          </w:rPr>
          <w:fldChar w:fldCharType="separate"/>
        </w:r>
        <w:r w:rsidR="00B95951" w:rsidRPr="00B95951">
          <w:rPr>
            <w:b w:val="0"/>
            <w:webHidden/>
          </w:rPr>
          <w:t>13</w:t>
        </w:r>
        <w:r w:rsidR="00174053" w:rsidRPr="00B95951">
          <w:rPr>
            <w:b w:val="0"/>
            <w:webHidden/>
          </w:rPr>
          <w:fldChar w:fldCharType="end"/>
        </w:r>
      </w:hyperlink>
    </w:p>
    <w:p w14:paraId="50319BA0" w14:textId="77777777" w:rsidR="00174053" w:rsidRPr="00B95951" w:rsidRDefault="00652264" w:rsidP="00B95951">
      <w:pPr>
        <w:pStyle w:val="TM2"/>
        <w:jc w:val="both"/>
        <w:rPr>
          <w:b w:val="0"/>
        </w:rPr>
      </w:pPr>
      <w:hyperlink w:anchor="_Toc70330346" w:history="1">
        <w:r w:rsidR="00174053" w:rsidRPr="00B95951">
          <w:rPr>
            <w:rStyle w:val="Lienhypertexte"/>
            <w:b w:val="0"/>
          </w:rPr>
          <w:t>2.4.</w:t>
        </w:r>
        <w:r w:rsidR="00174053" w:rsidRPr="00B95951">
          <w:rPr>
            <w:b w:val="0"/>
          </w:rPr>
          <w:tab/>
        </w:r>
        <w:r w:rsidR="00174053" w:rsidRPr="00B95951">
          <w:rPr>
            <w:rStyle w:val="Lienhypertexte"/>
            <w:b w:val="0"/>
          </w:rPr>
          <w:t>Coût de la mise en œuvre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_Toc70330346 \h </w:instrText>
        </w:r>
        <w:r w:rsidR="00174053" w:rsidRPr="00B95951">
          <w:rPr>
            <w:b w:val="0"/>
            <w:webHidden/>
          </w:rPr>
        </w:r>
        <w:r w:rsidR="00174053" w:rsidRPr="00B95951">
          <w:rPr>
            <w:b w:val="0"/>
            <w:webHidden/>
          </w:rPr>
          <w:fldChar w:fldCharType="separate"/>
        </w:r>
        <w:r w:rsidR="00B95951" w:rsidRPr="00B95951">
          <w:rPr>
            <w:b w:val="0"/>
            <w:webHidden/>
          </w:rPr>
          <w:t>14</w:t>
        </w:r>
        <w:r w:rsidR="00174053" w:rsidRPr="00B95951">
          <w:rPr>
            <w:b w:val="0"/>
            <w:webHidden/>
          </w:rPr>
          <w:fldChar w:fldCharType="end"/>
        </w:r>
      </w:hyperlink>
    </w:p>
    <w:p w14:paraId="1A2C2C8F" w14:textId="77777777" w:rsidR="00174053" w:rsidRPr="00B95951" w:rsidRDefault="00652264" w:rsidP="00B95951">
      <w:pPr>
        <w:pStyle w:val="TM2"/>
        <w:jc w:val="both"/>
        <w:rPr>
          <w:b w:val="0"/>
        </w:rPr>
      </w:pPr>
      <w:hyperlink w:anchor="_Toc70330347" w:history="1">
        <w:r w:rsidR="00174053" w:rsidRPr="00B95951">
          <w:rPr>
            <w:rStyle w:val="Lienhypertexte"/>
            <w:b w:val="0"/>
          </w:rPr>
          <w:t>2.5.</w:t>
        </w:r>
        <w:r w:rsidR="00174053" w:rsidRPr="00B95951">
          <w:rPr>
            <w:b w:val="0"/>
          </w:rPr>
          <w:tab/>
        </w:r>
        <w:r w:rsidR="00174053" w:rsidRPr="00B95951">
          <w:rPr>
            <w:rStyle w:val="Lienhypertexte"/>
            <w:b w:val="0"/>
          </w:rPr>
          <w:t>Zone d’intervention du PNDA</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_Toc70330347 \h </w:instrText>
        </w:r>
        <w:r w:rsidR="00174053" w:rsidRPr="00B95951">
          <w:rPr>
            <w:b w:val="0"/>
            <w:webHidden/>
          </w:rPr>
        </w:r>
        <w:r w:rsidR="00174053" w:rsidRPr="00B95951">
          <w:rPr>
            <w:b w:val="0"/>
            <w:webHidden/>
          </w:rPr>
          <w:fldChar w:fldCharType="separate"/>
        </w:r>
        <w:r w:rsidR="00B95951" w:rsidRPr="00B95951">
          <w:rPr>
            <w:b w:val="0"/>
            <w:webHidden/>
          </w:rPr>
          <w:t>14</w:t>
        </w:r>
        <w:r w:rsidR="00174053" w:rsidRPr="00B95951">
          <w:rPr>
            <w:b w:val="0"/>
            <w:webHidden/>
          </w:rPr>
          <w:fldChar w:fldCharType="end"/>
        </w:r>
      </w:hyperlink>
    </w:p>
    <w:p w14:paraId="2BB61EDA" w14:textId="77777777" w:rsidR="00174053" w:rsidRPr="00B95951" w:rsidRDefault="00652264" w:rsidP="00B95951">
      <w:pPr>
        <w:pStyle w:val="TM1"/>
        <w:tabs>
          <w:tab w:val="right" w:pos="9062"/>
        </w:tabs>
        <w:rPr>
          <w:b w:val="0"/>
          <w:bCs w:val="0"/>
          <w:caps w:val="0"/>
          <w:color w:val="auto"/>
        </w:rPr>
      </w:pPr>
      <w:hyperlink w:anchor="_Toc70330348" w:history="1">
        <w:r w:rsidR="00174053" w:rsidRPr="00B95951">
          <w:rPr>
            <w:rStyle w:val="Lienhypertexte"/>
            <w:b w:val="0"/>
          </w:rPr>
          <w:t>3.</w:t>
        </w:r>
        <w:r w:rsidR="00174053" w:rsidRPr="00B95951">
          <w:rPr>
            <w:b w:val="0"/>
            <w:bCs w:val="0"/>
            <w:caps w:val="0"/>
            <w:color w:val="auto"/>
          </w:rPr>
          <w:tab/>
        </w:r>
        <w:r w:rsidR="00174053" w:rsidRPr="00B95951">
          <w:rPr>
            <w:rStyle w:val="Lienhypertexte"/>
            <w:b w:val="0"/>
          </w:rPr>
          <w:t>SITUATION ENVIRONNEMENTALE ET SOCIALE DANS LA ZONE DU PROGRAMME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_Toc70330348 \h </w:instrText>
        </w:r>
        <w:r w:rsidR="00174053" w:rsidRPr="00B95951">
          <w:rPr>
            <w:b w:val="0"/>
            <w:webHidden/>
          </w:rPr>
        </w:r>
        <w:r w:rsidR="00174053" w:rsidRPr="00B95951">
          <w:rPr>
            <w:b w:val="0"/>
            <w:webHidden/>
          </w:rPr>
          <w:fldChar w:fldCharType="separate"/>
        </w:r>
        <w:r w:rsidR="00B95951" w:rsidRPr="00B95951">
          <w:rPr>
            <w:b w:val="0"/>
            <w:webHidden/>
          </w:rPr>
          <w:t>16</w:t>
        </w:r>
        <w:r w:rsidR="00174053" w:rsidRPr="00B95951">
          <w:rPr>
            <w:b w:val="0"/>
            <w:webHidden/>
          </w:rPr>
          <w:fldChar w:fldCharType="end"/>
        </w:r>
      </w:hyperlink>
    </w:p>
    <w:p w14:paraId="04CA4DD1" w14:textId="77777777" w:rsidR="00174053" w:rsidRPr="00B95951" w:rsidRDefault="00652264" w:rsidP="00B95951">
      <w:pPr>
        <w:pStyle w:val="TM2"/>
        <w:jc w:val="both"/>
        <w:rPr>
          <w:b w:val="0"/>
        </w:rPr>
      </w:pPr>
      <w:hyperlink w:anchor="_Toc70330349" w:history="1">
        <w:r w:rsidR="00174053" w:rsidRPr="00B95951">
          <w:rPr>
            <w:rStyle w:val="Lienhypertexte"/>
            <w:b w:val="0"/>
          </w:rPr>
          <w:t>3.1.</w:t>
        </w:r>
        <w:r w:rsidR="00174053" w:rsidRPr="00B95951">
          <w:rPr>
            <w:b w:val="0"/>
          </w:rPr>
          <w:tab/>
        </w:r>
        <w:r w:rsidR="00174053" w:rsidRPr="00B95951">
          <w:rPr>
            <w:rStyle w:val="Lienhypertexte"/>
            <w:b w:val="0"/>
          </w:rPr>
          <w:t>Situation socio-économique des provinces concernées par le PNDA</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_Toc70330349 \h </w:instrText>
        </w:r>
        <w:r w:rsidR="00174053" w:rsidRPr="00B95951">
          <w:rPr>
            <w:b w:val="0"/>
            <w:webHidden/>
          </w:rPr>
        </w:r>
        <w:r w:rsidR="00174053" w:rsidRPr="00B95951">
          <w:rPr>
            <w:b w:val="0"/>
            <w:webHidden/>
          </w:rPr>
          <w:fldChar w:fldCharType="separate"/>
        </w:r>
        <w:r w:rsidR="00B95951" w:rsidRPr="00B95951">
          <w:rPr>
            <w:b w:val="0"/>
            <w:webHidden/>
          </w:rPr>
          <w:t>16</w:t>
        </w:r>
        <w:r w:rsidR="00174053" w:rsidRPr="00B95951">
          <w:rPr>
            <w:b w:val="0"/>
            <w:webHidden/>
          </w:rPr>
          <w:fldChar w:fldCharType="end"/>
        </w:r>
      </w:hyperlink>
    </w:p>
    <w:p w14:paraId="6017FC60" w14:textId="77777777" w:rsidR="00174053" w:rsidRPr="00B95951" w:rsidRDefault="00652264" w:rsidP="00B95951">
      <w:pPr>
        <w:pStyle w:val="TM2"/>
        <w:jc w:val="both"/>
        <w:rPr>
          <w:b w:val="0"/>
        </w:rPr>
      </w:pPr>
      <w:hyperlink w:anchor="_Toc70330350" w:history="1">
        <w:r w:rsidR="00174053" w:rsidRPr="00B95951">
          <w:rPr>
            <w:rStyle w:val="Lienhypertexte"/>
            <w:b w:val="0"/>
          </w:rPr>
          <w:t>3.2.</w:t>
        </w:r>
        <w:r w:rsidR="00174053" w:rsidRPr="00B95951">
          <w:rPr>
            <w:b w:val="0"/>
          </w:rPr>
          <w:tab/>
        </w:r>
        <w:r w:rsidR="00174053" w:rsidRPr="00B95951">
          <w:rPr>
            <w:rStyle w:val="Lienhypertexte"/>
            <w:b w:val="0"/>
          </w:rPr>
          <w:t>Nombre estimatif des agriculteurs et petits exploitants agricoles rencontrés dans la zone du Programme.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_Toc70330350 \h </w:instrText>
        </w:r>
        <w:r w:rsidR="00174053" w:rsidRPr="00B95951">
          <w:rPr>
            <w:b w:val="0"/>
            <w:webHidden/>
          </w:rPr>
        </w:r>
        <w:r w:rsidR="00174053" w:rsidRPr="00B95951">
          <w:rPr>
            <w:b w:val="0"/>
            <w:webHidden/>
          </w:rPr>
          <w:fldChar w:fldCharType="separate"/>
        </w:r>
        <w:r w:rsidR="00B95951" w:rsidRPr="00B95951">
          <w:rPr>
            <w:b w:val="0"/>
            <w:webHidden/>
          </w:rPr>
          <w:t>60</w:t>
        </w:r>
        <w:r w:rsidR="00174053" w:rsidRPr="00B95951">
          <w:rPr>
            <w:b w:val="0"/>
            <w:webHidden/>
          </w:rPr>
          <w:fldChar w:fldCharType="end"/>
        </w:r>
      </w:hyperlink>
    </w:p>
    <w:p w14:paraId="1339EA96" w14:textId="77777777" w:rsidR="00174053" w:rsidRPr="00B95951" w:rsidRDefault="00652264" w:rsidP="00B95951">
      <w:pPr>
        <w:pStyle w:val="TM2"/>
        <w:jc w:val="both"/>
        <w:rPr>
          <w:b w:val="0"/>
        </w:rPr>
      </w:pPr>
      <w:hyperlink w:anchor="_Toc70330351" w:history="1">
        <w:r w:rsidR="00174053" w:rsidRPr="00B95951">
          <w:rPr>
            <w:rStyle w:val="Lienhypertexte"/>
            <w:b w:val="0"/>
          </w:rPr>
          <w:t>3.3.</w:t>
        </w:r>
        <w:r w:rsidR="00174053" w:rsidRPr="00B95951">
          <w:rPr>
            <w:b w:val="0"/>
          </w:rPr>
          <w:tab/>
        </w:r>
        <w:r w:rsidR="00174053" w:rsidRPr="00B95951">
          <w:rPr>
            <w:rStyle w:val="Lienhypertexte"/>
            <w:b w:val="0"/>
          </w:rPr>
          <w:t>Situation de la pandémie de COVID-19 et de l’épidémie d’Ebola en RDC</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_Toc70330351 \h </w:instrText>
        </w:r>
        <w:r w:rsidR="00174053" w:rsidRPr="00B95951">
          <w:rPr>
            <w:b w:val="0"/>
            <w:webHidden/>
          </w:rPr>
        </w:r>
        <w:r w:rsidR="00174053" w:rsidRPr="00B95951">
          <w:rPr>
            <w:b w:val="0"/>
            <w:webHidden/>
          </w:rPr>
          <w:fldChar w:fldCharType="separate"/>
        </w:r>
        <w:r w:rsidR="00B95951" w:rsidRPr="00B95951">
          <w:rPr>
            <w:b w:val="0"/>
            <w:webHidden/>
          </w:rPr>
          <w:t>60</w:t>
        </w:r>
        <w:r w:rsidR="00174053" w:rsidRPr="00B95951">
          <w:rPr>
            <w:b w:val="0"/>
            <w:webHidden/>
          </w:rPr>
          <w:fldChar w:fldCharType="end"/>
        </w:r>
      </w:hyperlink>
    </w:p>
    <w:p w14:paraId="2FE92BB3" w14:textId="77777777" w:rsidR="00174053" w:rsidRPr="00B95951" w:rsidRDefault="00652264" w:rsidP="00B95951">
      <w:pPr>
        <w:pStyle w:val="TM1"/>
        <w:tabs>
          <w:tab w:val="right" w:pos="9062"/>
        </w:tabs>
        <w:rPr>
          <w:b w:val="0"/>
          <w:bCs w:val="0"/>
          <w:caps w:val="0"/>
          <w:color w:val="auto"/>
        </w:rPr>
      </w:pPr>
      <w:hyperlink w:anchor="_Toc70330352" w:history="1">
        <w:r w:rsidR="00174053" w:rsidRPr="00B95951">
          <w:rPr>
            <w:rStyle w:val="Lienhypertexte"/>
            <w:b w:val="0"/>
          </w:rPr>
          <w:t>4.</w:t>
        </w:r>
        <w:r w:rsidR="00174053" w:rsidRPr="00B95951">
          <w:rPr>
            <w:b w:val="0"/>
            <w:bCs w:val="0"/>
            <w:caps w:val="0"/>
            <w:color w:val="auto"/>
          </w:rPr>
          <w:tab/>
        </w:r>
        <w:r w:rsidR="00174053" w:rsidRPr="00B95951">
          <w:rPr>
            <w:rStyle w:val="Lienhypertexte"/>
            <w:b w:val="0"/>
          </w:rPr>
          <w:t>CADRE POLITIQUE, JURIDIQUE ET INSTITUTIONNEL</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_Toc70330352 \h </w:instrText>
        </w:r>
        <w:r w:rsidR="00174053" w:rsidRPr="00B95951">
          <w:rPr>
            <w:b w:val="0"/>
            <w:webHidden/>
          </w:rPr>
        </w:r>
        <w:r w:rsidR="00174053" w:rsidRPr="00B95951">
          <w:rPr>
            <w:b w:val="0"/>
            <w:webHidden/>
          </w:rPr>
          <w:fldChar w:fldCharType="separate"/>
        </w:r>
        <w:r w:rsidR="00B95951" w:rsidRPr="00B95951">
          <w:rPr>
            <w:b w:val="0"/>
            <w:webHidden/>
          </w:rPr>
          <w:t>65</w:t>
        </w:r>
        <w:r w:rsidR="00174053" w:rsidRPr="00B95951">
          <w:rPr>
            <w:b w:val="0"/>
            <w:webHidden/>
          </w:rPr>
          <w:fldChar w:fldCharType="end"/>
        </w:r>
      </w:hyperlink>
    </w:p>
    <w:p w14:paraId="1F3E3624" w14:textId="77777777" w:rsidR="00174053" w:rsidRPr="00B95951" w:rsidRDefault="00652264" w:rsidP="00B95951">
      <w:pPr>
        <w:pStyle w:val="TM2"/>
        <w:jc w:val="both"/>
        <w:rPr>
          <w:b w:val="0"/>
        </w:rPr>
      </w:pPr>
      <w:hyperlink w:anchor="_Toc70330353" w:history="1">
        <w:r w:rsidR="00174053" w:rsidRPr="00B95951">
          <w:rPr>
            <w:rStyle w:val="Lienhypertexte"/>
            <w:b w:val="0"/>
          </w:rPr>
          <w:t>4.1.</w:t>
        </w:r>
        <w:r w:rsidR="00174053" w:rsidRPr="00B95951">
          <w:rPr>
            <w:b w:val="0"/>
          </w:rPr>
          <w:tab/>
        </w:r>
        <w:r w:rsidR="00174053" w:rsidRPr="00B95951">
          <w:rPr>
            <w:rStyle w:val="Lienhypertexte"/>
            <w:b w:val="0"/>
          </w:rPr>
          <w:t>Cadre politique et programmes en rapport avec le PNDA</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_Toc70330353 \h </w:instrText>
        </w:r>
        <w:r w:rsidR="00174053" w:rsidRPr="00B95951">
          <w:rPr>
            <w:b w:val="0"/>
            <w:webHidden/>
          </w:rPr>
        </w:r>
        <w:r w:rsidR="00174053" w:rsidRPr="00B95951">
          <w:rPr>
            <w:b w:val="0"/>
            <w:webHidden/>
          </w:rPr>
          <w:fldChar w:fldCharType="separate"/>
        </w:r>
        <w:r w:rsidR="00B95951" w:rsidRPr="00B95951">
          <w:rPr>
            <w:b w:val="0"/>
            <w:webHidden/>
          </w:rPr>
          <w:t>65</w:t>
        </w:r>
        <w:r w:rsidR="00174053" w:rsidRPr="00B95951">
          <w:rPr>
            <w:b w:val="0"/>
            <w:webHidden/>
          </w:rPr>
          <w:fldChar w:fldCharType="end"/>
        </w:r>
      </w:hyperlink>
    </w:p>
    <w:p w14:paraId="30AFBAD3" w14:textId="77777777" w:rsidR="00174053" w:rsidRPr="00B95951" w:rsidRDefault="00652264" w:rsidP="00B95951">
      <w:pPr>
        <w:pStyle w:val="TM2"/>
        <w:jc w:val="both"/>
        <w:rPr>
          <w:b w:val="0"/>
        </w:rPr>
      </w:pPr>
      <w:hyperlink w:anchor="_Toc70330354" w:history="1">
        <w:r w:rsidR="00174053" w:rsidRPr="00B95951">
          <w:rPr>
            <w:rStyle w:val="Lienhypertexte"/>
            <w:b w:val="0"/>
          </w:rPr>
          <w:t>4.2.</w:t>
        </w:r>
        <w:r w:rsidR="00174053" w:rsidRPr="00B95951">
          <w:rPr>
            <w:b w:val="0"/>
          </w:rPr>
          <w:tab/>
        </w:r>
        <w:r w:rsidR="00174053" w:rsidRPr="00B95951">
          <w:rPr>
            <w:rStyle w:val="Lienhypertexte"/>
            <w:b w:val="0"/>
          </w:rPr>
          <w:t>Cadre juridique applicable au PNDA</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_Toc70330354 \h </w:instrText>
        </w:r>
        <w:r w:rsidR="00174053" w:rsidRPr="00B95951">
          <w:rPr>
            <w:b w:val="0"/>
            <w:webHidden/>
          </w:rPr>
        </w:r>
        <w:r w:rsidR="00174053" w:rsidRPr="00B95951">
          <w:rPr>
            <w:b w:val="0"/>
            <w:webHidden/>
          </w:rPr>
          <w:fldChar w:fldCharType="separate"/>
        </w:r>
        <w:r w:rsidR="00B95951" w:rsidRPr="00B95951">
          <w:rPr>
            <w:b w:val="0"/>
            <w:webHidden/>
          </w:rPr>
          <w:t>72</w:t>
        </w:r>
        <w:r w:rsidR="00174053" w:rsidRPr="00B95951">
          <w:rPr>
            <w:b w:val="0"/>
            <w:webHidden/>
          </w:rPr>
          <w:fldChar w:fldCharType="end"/>
        </w:r>
      </w:hyperlink>
    </w:p>
    <w:p w14:paraId="609F0FE2" w14:textId="77777777" w:rsidR="00174053" w:rsidRPr="00B95951" w:rsidRDefault="00652264" w:rsidP="00B95951">
      <w:pPr>
        <w:pStyle w:val="TM2"/>
        <w:jc w:val="both"/>
        <w:rPr>
          <w:b w:val="0"/>
        </w:rPr>
      </w:pPr>
      <w:hyperlink w:anchor="_Toc70330355" w:history="1">
        <w:r w:rsidR="00174053" w:rsidRPr="00B95951">
          <w:rPr>
            <w:rStyle w:val="Lienhypertexte"/>
            <w:b w:val="0"/>
            <w:iCs/>
          </w:rPr>
          <w:t>4.2.1.</w:t>
        </w:r>
        <w:r w:rsidR="00174053" w:rsidRPr="00B95951">
          <w:rPr>
            <w:b w:val="0"/>
          </w:rPr>
          <w:tab/>
        </w:r>
        <w:r w:rsidR="00174053" w:rsidRPr="00B95951">
          <w:rPr>
            <w:rStyle w:val="Lienhypertexte"/>
            <w:b w:val="0"/>
            <w:i/>
          </w:rPr>
          <w:t>Législation environnementale et sociale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_Toc70330355 \h </w:instrText>
        </w:r>
        <w:r w:rsidR="00174053" w:rsidRPr="00B95951">
          <w:rPr>
            <w:b w:val="0"/>
            <w:webHidden/>
          </w:rPr>
        </w:r>
        <w:r w:rsidR="00174053" w:rsidRPr="00B95951">
          <w:rPr>
            <w:b w:val="0"/>
            <w:webHidden/>
          </w:rPr>
          <w:fldChar w:fldCharType="separate"/>
        </w:r>
        <w:r w:rsidR="00B95951" w:rsidRPr="00B95951">
          <w:rPr>
            <w:b w:val="0"/>
            <w:webHidden/>
          </w:rPr>
          <w:t>72</w:t>
        </w:r>
        <w:r w:rsidR="00174053" w:rsidRPr="00B95951">
          <w:rPr>
            <w:b w:val="0"/>
            <w:webHidden/>
          </w:rPr>
          <w:fldChar w:fldCharType="end"/>
        </w:r>
      </w:hyperlink>
    </w:p>
    <w:p w14:paraId="51314C22" w14:textId="77777777" w:rsidR="00174053" w:rsidRPr="00B95951" w:rsidRDefault="00652264" w:rsidP="00B95951">
      <w:pPr>
        <w:pStyle w:val="TM2"/>
        <w:jc w:val="both"/>
        <w:rPr>
          <w:b w:val="0"/>
        </w:rPr>
      </w:pPr>
      <w:hyperlink w:anchor="_Toc70330356" w:history="1">
        <w:r w:rsidR="00174053" w:rsidRPr="00B95951">
          <w:rPr>
            <w:rStyle w:val="Lienhypertexte"/>
            <w:b w:val="0"/>
            <w:iCs/>
          </w:rPr>
          <w:t>4.2.2.</w:t>
        </w:r>
        <w:r w:rsidR="00174053" w:rsidRPr="00B95951">
          <w:rPr>
            <w:b w:val="0"/>
          </w:rPr>
          <w:tab/>
        </w:r>
        <w:r w:rsidR="00174053" w:rsidRPr="00B95951">
          <w:rPr>
            <w:rStyle w:val="Lienhypertexte"/>
            <w:b w:val="0"/>
            <w:i/>
          </w:rPr>
          <w:t>Conventions internationales en matière d’environnement et de social applicables au Projet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_Toc70330356 \h </w:instrText>
        </w:r>
        <w:r w:rsidR="00174053" w:rsidRPr="00B95951">
          <w:rPr>
            <w:b w:val="0"/>
            <w:webHidden/>
          </w:rPr>
        </w:r>
        <w:r w:rsidR="00174053" w:rsidRPr="00B95951">
          <w:rPr>
            <w:b w:val="0"/>
            <w:webHidden/>
          </w:rPr>
          <w:fldChar w:fldCharType="separate"/>
        </w:r>
        <w:r w:rsidR="00B95951" w:rsidRPr="00B95951">
          <w:rPr>
            <w:b w:val="0"/>
            <w:webHidden/>
          </w:rPr>
          <w:t>80</w:t>
        </w:r>
        <w:r w:rsidR="00174053" w:rsidRPr="00B95951">
          <w:rPr>
            <w:b w:val="0"/>
            <w:webHidden/>
          </w:rPr>
          <w:fldChar w:fldCharType="end"/>
        </w:r>
      </w:hyperlink>
    </w:p>
    <w:p w14:paraId="6B4297EE" w14:textId="77777777" w:rsidR="00174053" w:rsidRPr="00B95951" w:rsidRDefault="00652264" w:rsidP="00B95951">
      <w:pPr>
        <w:pStyle w:val="TM2"/>
        <w:jc w:val="both"/>
        <w:rPr>
          <w:b w:val="0"/>
        </w:rPr>
      </w:pPr>
      <w:hyperlink w:anchor="_Toc70330357" w:history="1">
        <w:r w:rsidR="00174053" w:rsidRPr="00B95951">
          <w:rPr>
            <w:rStyle w:val="Lienhypertexte"/>
            <w:b w:val="0"/>
            <w:iCs/>
          </w:rPr>
          <w:t>4.2.3.</w:t>
        </w:r>
        <w:r w:rsidR="00174053" w:rsidRPr="00B95951">
          <w:rPr>
            <w:b w:val="0"/>
          </w:rPr>
          <w:tab/>
        </w:r>
        <w:r w:rsidR="00174053" w:rsidRPr="00B95951">
          <w:rPr>
            <w:rStyle w:val="Lienhypertexte"/>
            <w:b w:val="0"/>
            <w:i/>
          </w:rPr>
          <w:t>Cadre Environnemental et Social de la Banque mondiale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_Toc70330357 \h </w:instrText>
        </w:r>
        <w:r w:rsidR="00174053" w:rsidRPr="00B95951">
          <w:rPr>
            <w:b w:val="0"/>
            <w:webHidden/>
          </w:rPr>
        </w:r>
        <w:r w:rsidR="00174053" w:rsidRPr="00B95951">
          <w:rPr>
            <w:b w:val="0"/>
            <w:webHidden/>
          </w:rPr>
          <w:fldChar w:fldCharType="separate"/>
        </w:r>
        <w:r w:rsidR="00B95951" w:rsidRPr="00B95951">
          <w:rPr>
            <w:b w:val="0"/>
            <w:webHidden/>
          </w:rPr>
          <w:t>91</w:t>
        </w:r>
        <w:r w:rsidR="00174053" w:rsidRPr="00B95951">
          <w:rPr>
            <w:b w:val="0"/>
            <w:webHidden/>
          </w:rPr>
          <w:fldChar w:fldCharType="end"/>
        </w:r>
      </w:hyperlink>
    </w:p>
    <w:p w14:paraId="74CB6EA8" w14:textId="77777777" w:rsidR="00174053" w:rsidRPr="00B95951" w:rsidRDefault="00652264" w:rsidP="00B95951">
      <w:pPr>
        <w:pStyle w:val="TM2"/>
        <w:jc w:val="both"/>
        <w:rPr>
          <w:b w:val="0"/>
        </w:rPr>
      </w:pPr>
      <w:hyperlink w:anchor="_Toc70330358" w:history="1">
        <w:r w:rsidR="00174053" w:rsidRPr="00B95951">
          <w:rPr>
            <w:rStyle w:val="Lienhypertexte"/>
            <w:b w:val="0"/>
            <w:iCs/>
          </w:rPr>
          <w:t>4.2.4.</w:t>
        </w:r>
        <w:r w:rsidR="00174053" w:rsidRPr="00B95951">
          <w:rPr>
            <w:b w:val="0"/>
          </w:rPr>
          <w:tab/>
        </w:r>
        <w:r w:rsidR="00174053" w:rsidRPr="00B95951">
          <w:rPr>
            <w:rStyle w:val="Lienhypertexte"/>
            <w:b w:val="0"/>
            <w:i/>
          </w:rPr>
          <w:t>Normes Environnementales et Sociales pertinentes au PNDA</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_Toc70330358 \h </w:instrText>
        </w:r>
        <w:r w:rsidR="00174053" w:rsidRPr="00B95951">
          <w:rPr>
            <w:b w:val="0"/>
            <w:webHidden/>
          </w:rPr>
        </w:r>
        <w:r w:rsidR="00174053" w:rsidRPr="00B95951">
          <w:rPr>
            <w:b w:val="0"/>
            <w:webHidden/>
          </w:rPr>
          <w:fldChar w:fldCharType="separate"/>
        </w:r>
        <w:r w:rsidR="00B95951" w:rsidRPr="00B95951">
          <w:rPr>
            <w:b w:val="0"/>
            <w:webHidden/>
          </w:rPr>
          <w:t>91</w:t>
        </w:r>
        <w:r w:rsidR="00174053" w:rsidRPr="00B95951">
          <w:rPr>
            <w:b w:val="0"/>
            <w:webHidden/>
          </w:rPr>
          <w:fldChar w:fldCharType="end"/>
        </w:r>
      </w:hyperlink>
    </w:p>
    <w:p w14:paraId="3B612422" w14:textId="77777777" w:rsidR="00174053" w:rsidRPr="00B95951" w:rsidRDefault="00652264" w:rsidP="00B95951">
      <w:pPr>
        <w:pStyle w:val="TM2"/>
        <w:jc w:val="both"/>
        <w:rPr>
          <w:b w:val="0"/>
        </w:rPr>
      </w:pPr>
      <w:hyperlink w:anchor="_Toc70330359" w:history="1">
        <w:r w:rsidR="00174053" w:rsidRPr="00B95951">
          <w:rPr>
            <w:rStyle w:val="Lienhypertexte"/>
            <w:b w:val="0"/>
          </w:rPr>
          <w:t>4.3.</w:t>
        </w:r>
        <w:r w:rsidR="00174053" w:rsidRPr="00B95951">
          <w:rPr>
            <w:b w:val="0"/>
          </w:rPr>
          <w:tab/>
        </w:r>
        <w:r w:rsidR="00174053" w:rsidRPr="00B95951">
          <w:rPr>
            <w:rStyle w:val="Lienhypertexte"/>
            <w:b w:val="0"/>
          </w:rPr>
          <w:t>Cadre institutionnel de gestion environnementale et sociale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_Toc70330359 \h </w:instrText>
        </w:r>
        <w:r w:rsidR="00174053" w:rsidRPr="00B95951">
          <w:rPr>
            <w:b w:val="0"/>
            <w:webHidden/>
          </w:rPr>
        </w:r>
        <w:r w:rsidR="00174053" w:rsidRPr="00B95951">
          <w:rPr>
            <w:b w:val="0"/>
            <w:webHidden/>
          </w:rPr>
          <w:fldChar w:fldCharType="separate"/>
        </w:r>
        <w:r w:rsidR="00B95951" w:rsidRPr="00B95951">
          <w:rPr>
            <w:b w:val="0"/>
            <w:webHidden/>
          </w:rPr>
          <w:t>123</w:t>
        </w:r>
        <w:r w:rsidR="00174053" w:rsidRPr="00B95951">
          <w:rPr>
            <w:b w:val="0"/>
            <w:webHidden/>
          </w:rPr>
          <w:fldChar w:fldCharType="end"/>
        </w:r>
      </w:hyperlink>
    </w:p>
    <w:p w14:paraId="18B404FF" w14:textId="77777777" w:rsidR="00174053" w:rsidRPr="00B95951" w:rsidRDefault="00652264" w:rsidP="00B95951">
      <w:pPr>
        <w:pStyle w:val="TM2"/>
        <w:jc w:val="both"/>
        <w:rPr>
          <w:b w:val="0"/>
        </w:rPr>
      </w:pPr>
      <w:hyperlink w:anchor="_Toc70330360" w:history="1">
        <w:r w:rsidR="00174053" w:rsidRPr="00B95951">
          <w:rPr>
            <w:rStyle w:val="Lienhypertexte"/>
            <w:b w:val="0"/>
            <w:iCs/>
          </w:rPr>
          <w:t>4.3.1.</w:t>
        </w:r>
        <w:r w:rsidR="00174053" w:rsidRPr="00B95951">
          <w:rPr>
            <w:b w:val="0"/>
          </w:rPr>
          <w:tab/>
        </w:r>
        <w:r w:rsidR="00174053" w:rsidRPr="00B95951">
          <w:rPr>
            <w:rStyle w:val="Lienhypertexte"/>
            <w:b w:val="0"/>
            <w:i/>
          </w:rPr>
          <w:t>Ministère de l’Agriculture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_Toc70330360 \h </w:instrText>
        </w:r>
        <w:r w:rsidR="00174053" w:rsidRPr="00B95951">
          <w:rPr>
            <w:b w:val="0"/>
            <w:webHidden/>
          </w:rPr>
        </w:r>
        <w:r w:rsidR="00174053" w:rsidRPr="00B95951">
          <w:rPr>
            <w:b w:val="0"/>
            <w:webHidden/>
          </w:rPr>
          <w:fldChar w:fldCharType="separate"/>
        </w:r>
        <w:r w:rsidR="00B95951" w:rsidRPr="00B95951">
          <w:rPr>
            <w:b w:val="0"/>
            <w:webHidden/>
          </w:rPr>
          <w:t>123</w:t>
        </w:r>
        <w:r w:rsidR="00174053" w:rsidRPr="00B95951">
          <w:rPr>
            <w:b w:val="0"/>
            <w:webHidden/>
          </w:rPr>
          <w:fldChar w:fldCharType="end"/>
        </w:r>
      </w:hyperlink>
    </w:p>
    <w:p w14:paraId="4D30598B" w14:textId="77777777" w:rsidR="00174053" w:rsidRPr="00B95951" w:rsidRDefault="00652264" w:rsidP="00B95951">
      <w:pPr>
        <w:pStyle w:val="TM2"/>
        <w:jc w:val="both"/>
        <w:rPr>
          <w:b w:val="0"/>
        </w:rPr>
      </w:pPr>
      <w:hyperlink w:anchor="_Toc70330363" w:history="1">
        <w:r w:rsidR="00174053" w:rsidRPr="00B95951">
          <w:rPr>
            <w:rStyle w:val="Lienhypertexte"/>
            <w:b w:val="0"/>
            <w:iCs/>
          </w:rPr>
          <w:t>4.3.2.</w:t>
        </w:r>
        <w:r w:rsidR="00174053" w:rsidRPr="00B95951">
          <w:rPr>
            <w:b w:val="0"/>
          </w:rPr>
          <w:tab/>
        </w:r>
        <w:r w:rsidR="00174053" w:rsidRPr="00B95951">
          <w:rPr>
            <w:rStyle w:val="Lienhypertexte"/>
            <w:b w:val="0"/>
            <w:i/>
          </w:rPr>
          <w:t>Ministère de la Pêche et Élevage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_Toc70330363 \h </w:instrText>
        </w:r>
        <w:r w:rsidR="00174053" w:rsidRPr="00B95951">
          <w:rPr>
            <w:b w:val="0"/>
            <w:webHidden/>
          </w:rPr>
        </w:r>
        <w:r w:rsidR="00174053" w:rsidRPr="00B95951">
          <w:rPr>
            <w:b w:val="0"/>
            <w:webHidden/>
          </w:rPr>
          <w:fldChar w:fldCharType="separate"/>
        </w:r>
        <w:r w:rsidR="00B95951" w:rsidRPr="00B95951">
          <w:rPr>
            <w:b w:val="0"/>
            <w:webHidden/>
          </w:rPr>
          <w:t>126</w:t>
        </w:r>
        <w:r w:rsidR="00174053" w:rsidRPr="00B95951">
          <w:rPr>
            <w:b w:val="0"/>
            <w:webHidden/>
          </w:rPr>
          <w:fldChar w:fldCharType="end"/>
        </w:r>
      </w:hyperlink>
    </w:p>
    <w:p w14:paraId="52E7F818" w14:textId="77777777" w:rsidR="00174053" w:rsidRPr="00B95951" w:rsidRDefault="00652264" w:rsidP="00B95951">
      <w:pPr>
        <w:pStyle w:val="TM2"/>
        <w:jc w:val="both"/>
        <w:rPr>
          <w:b w:val="0"/>
        </w:rPr>
      </w:pPr>
      <w:hyperlink w:anchor="_Toc70330365" w:history="1">
        <w:r w:rsidR="00174053" w:rsidRPr="00B95951">
          <w:rPr>
            <w:rStyle w:val="Lienhypertexte"/>
            <w:b w:val="0"/>
            <w:iCs/>
          </w:rPr>
          <w:t>4.3.3.</w:t>
        </w:r>
        <w:r w:rsidR="00174053" w:rsidRPr="00B95951">
          <w:rPr>
            <w:b w:val="0"/>
          </w:rPr>
          <w:tab/>
        </w:r>
        <w:r w:rsidR="00174053" w:rsidRPr="00B95951">
          <w:rPr>
            <w:rStyle w:val="Lienhypertexte"/>
            <w:b w:val="0"/>
            <w:i/>
          </w:rPr>
          <w:t>Ministère du Développement Rural</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_Toc70330365 \h </w:instrText>
        </w:r>
        <w:r w:rsidR="00174053" w:rsidRPr="00B95951">
          <w:rPr>
            <w:b w:val="0"/>
            <w:webHidden/>
          </w:rPr>
        </w:r>
        <w:r w:rsidR="00174053" w:rsidRPr="00B95951">
          <w:rPr>
            <w:b w:val="0"/>
            <w:webHidden/>
          </w:rPr>
          <w:fldChar w:fldCharType="separate"/>
        </w:r>
        <w:r w:rsidR="00B95951" w:rsidRPr="00B95951">
          <w:rPr>
            <w:b w:val="0"/>
            <w:webHidden/>
          </w:rPr>
          <w:t>127</w:t>
        </w:r>
        <w:r w:rsidR="00174053" w:rsidRPr="00B95951">
          <w:rPr>
            <w:b w:val="0"/>
            <w:webHidden/>
          </w:rPr>
          <w:fldChar w:fldCharType="end"/>
        </w:r>
      </w:hyperlink>
    </w:p>
    <w:p w14:paraId="28259F51" w14:textId="77777777" w:rsidR="00174053" w:rsidRPr="00B95951" w:rsidRDefault="00652264" w:rsidP="00B95951">
      <w:pPr>
        <w:pStyle w:val="TM2"/>
        <w:jc w:val="both"/>
        <w:rPr>
          <w:b w:val="0"/>
        </w:rPr>
      </w:pPr>
      <w:hyperlink w:anchor="_Toc70330366" w:history="1">
        <w:r w:rsidR="00174053" w:rsidRPr="00B95951">
          <w:rPr>
            <w:rStyle w:val="Lienhypertexte"/>
            <w:b w:val="0"/>
            <w:iCs/>
          </w:rPr>
          <w:t>4.3.4.</w:t>
        </w:r>
        <w:r w:rsidR="00174053" w:rsidRPr="00B95951">
          <w:rPr>
            <w:b w:val="0"/>
          </w:rPr>
          <w:tab/>
        </w:r>
        <w:r w:rsidR="00174053" w:rsidRPr="00B95951">
          <w:rPr>
            <w:rStyle w:val="Lienhypertexte"/>
            <w:b w:val="0"/>
            <w:i/>
          </w:rPr>
          <w:t>Ministère de l’Environnement et Développement Durable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_Toc70330366 \h </w:instrText>
        </w:r>
        <w:r w:rsidR="00174053" w:rsidRPr="00B95951">
          <w:rPr>
            <w:b w:val="0"/>
            <w:webHidden/>
          </w:rPr>
        </w:r>
        <w:r w:rsidR="00174053" w:rsidRPr="00B95951">
          <w:rPr>
            <w:b w:val="0"/>
            <w:webHidden/>
          </w:rPr>
          <w:fldChar w:fldCharType="separate"/>
        </w:r>
        <w:r w:rsidR="00B95951" w:rsidRPr="00B95951">
          <w:rPr>
            <w:b w:val="0"/>
            <w:webHidden/>
          </w:rPr>
          <w:t>129</w:t>
        </w:r>
        <w:r w:rsidR="00174053" w:rsidRPr="00B95951">
          <w:rPr>
            <w:b w:val="0"/>
            <w:webHidden/>
          </w:rPr>
          <w:fldChar w:fldCharType="end"/>
        </w:r>
      </w:hyperlink>
    </w:p>
    <w:p w14:paraId="465D9DCC" w14:textId="77777777" w:rsidR="00174053" w:rsidRPr="00B95951" w:rsidRDefault="00652264" w:rsidP="00B95951">
      <w:pPr>
        <w:pStyle w:val="TM2"/>
        <w:jc w:val="both"/>
        <w:rPr>
          <w:b w:val="0"/>
        </w:rPr>
      </w:pPr>
      <w:hyperlink w:anchor="_Toc70330367" w:history="1">
        <w:r w:rsidR="00174053" w:rsidRPr="00B95951">
          <w:rPr>
            <w:rStyle w:val="Lienhypertexte"/>
            <w:b w:val="0"/>
            <w:i/>
          </w:rPr>
          <w:t>Agence Congolaise de l’Environnement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_Toc70330367 \h </w:instrText>
        </w:r>
        <w:r w:rsidR="00174053" w:rsidRPr="00B95951">
          <w:rPr>
            <w:b w:val="0"/>
            <w:webHidden/>
          </w:rPr>
        </w:r>
        <w:r w:rsidR="00174053" w:rsidRPr="00B95951">
          <w:rPr>
            <w:b w:val="0"/>
            <w:webHidden/>
          </w:rPr>
          <w:fldChar w:fldCharType="separate"/>
        </w:r>
        <w:r w:rsidR="00B95951" w:rsidRPr="00B95951">
          <w:rPr>
            <w:b w:val="0"/>
            <w:webHidden/>
          </w:rPr>
          <w:t>129</w:t>
        </w:r>
        <w:r w:rsidR="00174053" w:rsidRPr="00B95951">
          <w:rPr>
            <w:b w:val="0"/>
            <w:webHidden/>
          </w:rPr>
          <w:fldChar w:fldCharType="end"/>
        </w:r>
      </w:hyperlink>
    </w:p>
    <w:p w14:paraId="107B7DDE" w14:textId="77777777" w:rsidR="00174053" w:rsidRPr="00B95951" w:rsidRDefault="00652264" w:rsidP="00B95951">
      <w:pPr>
        <w:pStyle w:val="TM2"/>
        <w:jc w:val="both"/>
        <w:rPr>
          <w:b w:val="0"/>
        </w:rPr>
      </w:pPr>
      <w:hyperlink w:anchor="_Toc70330369" w:history="1">
        <w:r w:rsidR="00174053" w:rsidRPr="00B95951">
          <w:rPr>
            <w:rStyle w:val="Lienhypertexte"/>
            <w:b w:val="0"/>
            <w:iCs/>
          </w:rPr>
          <w:t>4.3.5.</w:t>
        </w:r>
        <w:r w:rsidR="00174053" w:rsidRPr="00B95951">
          <w:rPr>
            <w:b w:val="0"/>
          </w:rPr>
          <w:tab/>
        </w:r>
        <w:r w:rsidR="00174053" w:rsidRPr="00B95951">
          <w:rPr>
            <w:rStyle w:val="Lienhypertexte"/>
            <w:b w:val="0"/>
            <w:i/>
          </w:rPr>
          <w:t>Agence Congolaise de Transition Écologique et Développement Durable (ACTEDD)</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_Toc70330369 \h </w:instrText>
        </w:r>
        <w:r w:rsidR="00174053" w:rsidRPr="00B95951">
          <w:rPr>
            <w:b w:val="0"/>
            <w:webHidden/>
          </w:rPr>
        </w:r>
        <w:r w:rsidR="00174053" w:rsidRPr="00B95951">
          <w:rPr>
            <w:b w:val="0"/>
            <w:webHidden/>
          </w:rPr>
          <w:fldChar w:fldCharType="separate"/>
        </w:r>
        <w:r w:rsidR="00B95951" w:rsidRPr="00B95951">
          <w:rPr>
            <w:b w:val="0"/>
            <w:webHidden/>
          </w:rPr>
          <w:t>130</w:t>
        </w:r>
        <w:r w:rsidR="00174053" w:rsidRPr="00B95951">
          <w:rPr>
            <w:b w:val="0"/>
            <w:webHidden/>
          </w:rPr>
          <w:fldChar w:fldCharType="end"/>
        </w:r>
      </w:hyperlink>
    </w:p>
    <w:p w14:paraId="6C98708F" w14:textId="77777777" w:rsidR="00174053" w:rsidRPr="00B95951" w:rsidRDefault="00652264" w:rsidP="00B95951">
      <w:pPr>
        <w:pStyle w:val="TM2"/>
        <w:jc w:val="both"/>
        <w:rPr>
          <w:b w:val="0"/>
        </w:rPr>
      </w:pPr>
      <w:hyperlink w:anchor="_Toc70330370" w:history="1">
        <w:r w:rsidR="00174053" w:rsidRPr="00B95951">
          <w:rPr>
            <w:rStyle w:val="Lienhypertexte"/>
            <w:b w:val="0"/>
            <w:iCs/>
          </w:rPr>
          <w:t>4.3.6.</w:t>
        </w:r>
        <w:r w:rsidR="00174053" w:rsidRPr="00B95951">
          <w:rPr>
            <w:b w:val="0"/>
          </w:rPr>
          <w:tab/>
        </w:r>
        <w:r w:rsidR="00174053" w:rsidRPr="00B95951">
          <w:rPr>
            <w:rStyle w:val="Lienhypertexte"/>
            <w:b w:val="0"/>
            <w:i/>
          </w:rPr>
          <w:t>Ministère des Affaires Foncières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_Toc70330370 \h </w:instrText>
        </w:r>
        <w:r w:rsidR="00174053" w:rsidRPr="00B95951">
          <w:rPr>
            <w:b w:val="0"/>
            <w:webHidden/>
          </w:rPr>
        </w:r>
        <w:r w:rsidR="00174053" w:rsidRPr="00B95951">
          <w:rPr>
            <w:b w:val="0"/>
            <w:webHidden/>
          </w:rPr>
          <w:fldChar w:fldCharType="separate"/>
        </w:r>
        <w:r w:rsidR="00B95951" w:rsidRPr="00B95951">
          <w:rPr>
            <w:b w:val="0"/>
            <w:webHidden/>
          </w:rPr>
          <w:t>130</w:t>
        </w:r>
        <w:r w:rsidR="00174053" w:rsidRPr="00B95951">
          <w:rPr>
            <w:b w:val="0"/>
            <w:webHidden/>
          </w:rPr>
          <w:fldChar w:fldCharType="end"/>
        </w:r>
      </w:hyperlink>
    </w:p>
    <w:p w14:paraId="2F22FFA8" w14:textId="77777777" w:rsidR="00174053" w:rsidRPr="00B95951" w:rsidRDefault="00652264" w:rsidP="00B95951">
      <w:pPr>
        <w:pStyle w:val="TM2"/>
        <w:jc w:val="both"/>
        <w:rPr>
          <w:b w:val="0"/>
        </w:rPr>
      </w:pPr>
      <w:hyperlink w:anchor="_Toc70330371" w:history="1">
        <w:r w:rsidR="00174053" w:rsidRPr="00B95951">
          <w:rPr>
            <w:rStyle w:val="Lienhypertexte"/>
            <w:b w:val="0"/>
            <w:iCs/>
          </w:rPr>
          <w:t>4.3.7.</w:t>
        </w:r>
        <w:r w:rsidR="00174053" w:rsidRPr="00B95951">
          <w:rPr>
            <w:b w:val="0"/>
          </w:rPr>
          <w:tab/>
        </w:r>
        <w:r w:rsidR="00174053" w:rsidRPr="00B95951">
          <w:rPr>
            <w:rStyle w:val="Lienhypertexte"/>
            <w:b w:val="0"/>
            <w:i/>
          </w:rPr>
          <w:t>Ministère de la Santé</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_Toc70330371 \h </w:instrText>
        </w:r>
        <w:r w:rsidR="00174053" w:rsidRPr="00B95951">
          <w:rPr>
            <w:b w:val="0"/>
            <w:webHidden/>
          </w:rPr>
        </w:r>
        <w:r w:rsidR="00174053" w:rsidRPr="00B95951">
          <w:rPr>
            <w:b w:val="0"/>
            <w:webHidden/>
          </w:rPr>
          <w:fldChar w:fldCharType="separate"/>
        </w:r>
        <w:r w:rsidR="00B95951" w:rsidRPr="00B95951">
          <w:rPr>
            <w:b w:val="0"/>
            <w:webHidden/>
          </w:rPr>
          <w:t>131</w:t>
        </w:r>
        <w:r w:rsidR="00174053" w:rsidRPr="00B95951">
          <w:rPr>
            <w:b w:val="0"/>
            <w:webHidden/>
          </w:rPr>
          <w:fldChar w:fldCharType="end"/>
        </w:r>
      </w:hyperlink>
    </w:p>
    <w:p w14:paraId="6CB6A479" w14:textId="77777777" w:rsidR="00174053" w:rsidRPr="00B95951" w:rsidRDefault="00652264" w:rsidP="00B95951">
      <w:pPr>
        <w:pStyle w:val="TM2"/>
        <w:jc w:val="both"/>
        <w:rPr>
          <w:b w:val="0"/>
        </w:rPr>
      </w:pPr>
      <w:hyperlink w:anchor="_Toc70330373" w:history="1">
        <w:r w:rsidR="00174053" w:rsidRPr="00B95951">
          <w:rPr>
            <w:rStyle w:val="Lienhypertexte"/>
            <w:b w:val="0"/>
            <w:iCs/>
          </w:rPr>
          <w:t>4.3.8.</w:t>
        </w:r>
        <w:r w:rsidR="00174053" w:rsidRPr="00B95951">
          <w:rPr>
            <w:b w:val="0"/>
          </w:rPr>
          <w:tab/>
        </w:r>
        <w:r w:rsidR="00174053" w:rsidRPr="00B95951">
          <w:rPr>
            <w:rStyle w:val="Lienhypertexte"/>
            <w:b w:val="0"/>
            <w:i/>
          </w:rPr>
          <w:t>Ministère des Affaires Sociales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_Toc70330373 \h </w:instrText>
        </w:r>
        <w:r w:rsidR="00174053" w:rsidRPr="00B95951">
          <w:rPr>
            <w:b w:val="0"/>
            <w:webHidden/>
          </w:rPr>
        </w:r>
        <w:r w:rsidR="00174053" w:rsidRPr="00B95951">
          <w:rPr>
            <w:b w:val="0"/>
            <w:webHidden/>
          </w:rPr>
          <w:fldChar w:fldCharType="separate"/>
        </w:r>
        <w:r w:rsidR="00B95951" w:rsidRPr="00B95951">
          <w:rPr>
            <w:b w:val="0"/>
            <w:webHidden/>
          </w:rPr>
          <w:t>131</w:t>
        </w:r>
        <w:r w:rsidR="00174053" w:rsidRPr="00B95951">
          <w:rPr>
            <w:b w:val="0"/>
            <w:webHidden/>
          </w:rPr>
          <w:fldChar w:fldCharType="end"/>
        </w:r>
      </w:hyperlink>
    </w:p>
    <w:p w14:paraId="35D0AAFF" w14:textId="77777777" w:rsidR="00174053" w:rsidRPr="00B95951" w:rsidRDefault="00652264" w:rsidP="00B95951">
      <w:pPr>
        <w:pStyle w:val="TM2"/>
        <w:jc w:val="both"/>
        <w:rPr>
          <w:b w:val="0"/>
        </w:rPr>
      </w:pPr>
      <w:hyperlink w:anchor="_Toc70330379" w:history="1">
        <w:r w:rsidR="00174053" w:rsidRPr="00B95951">
          <w:rPr>
            <w:rStyle w:val="Lienhypertexte"/>
            <w:b w:val="0"/>
            <w:iCs/>
          </w:rPr>
          <w:t>4.3.9.</w:t>
        </w:r>
        <w:r w:rsidR="00174053" w:rsidRPr="00B95951">
          <w:rPr>
            <w:b w:val="0"/>
          </w:rPr>
          <w:tab/>
        </w:r>
        <w:r w:rsidR="00174053" w:rsidRPr="00B95951">
          <w:rPr>
            <w:rStyle w:val="Lienhypertexte"/>
            <w:b w:val="0"/>
            <w:i/>
          </w:rPr>
          <w:t>Ministère de l’Emploi, Travail et Prévoyance Sociale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_Toc70330379 \h </w:instrText>
        </w:r>
        <w:r w:rsidR="00174053" w:rsidRPr="00B95951">
          <w:rPr>
            <w:b w:val="0"/>
            <w:webHidden/>
          </w:rPr>
        </w:r>
        <w:r w:rsidR="00174053" w:rsidRPr="00B95951">
          <w:rPr>
            <w:b w:val="0"/>
            <w:webHidden/>
          </w:rPr>
          <w:fldChar w:fldCharType="separate"/>
        </w:r>
        <w:r w:rsidR="00B95951" w:rsidRPr="00B95951">
          <w:rPr>
            <w:b w:val="0"/>
            <w:webHidden/>
          </w:rPr>
          <w:t>133</w:t>
        </w:r>
        <w:r w:rsidR="00174053" w:rsidRPr="00B95951">
          <w:rPr>
            <w:b w:val="0"/>
            <w:webHidden/>
          </w:rPr>
          <w:fldChar w:fldCharType="end"/>
        </w:r>
      </w:hyperlink>
    </w:p>
    <w:p w14:paraId="213CC7FD" w14:textId="77777777" w:rsidR="00174053" w:rsidRPr="00B95951" w:rsidRDefault="00652264" w:rsidP="00B95951">
      <w:pPr>
        <w:pStyle w:val="TM2"/>
        <w:jc w:val="both"/>
        <w:rPr>
          <w:b w:val="0"/>
        </w:rPr>
      </w:pPr>
      <w:hyperlink w:anchor="_Toc70330380" w:history="1">
        <w:r w:rsidR="00174053" w:rsidRPr="00B95951">
          <w:rPr>
            <w:rStyle w:val="Lienhypertexte"/>
            <w:b w:val="0"/>
            <w:iCs/>
          </w:rPr>
          <w:t>4.3.10.</w:t>
        </w:r>
        <w:r w:rsidR="00174053" w:rsidRPr="00B95951">
          <w:rPr>
            <w:b w:val="0"/>
          </w:rPr>
          <w:tab/>
        </w:r>
        <w:r w:rsidR="00174053" w:rsidRPr="00B95951">
          <w:rPr>
            <w:rStyle w:val="Lienhypertexte"/>
            <w:b w:val="0"/>
            <w:i/>
          </w:rPr>
          <w:t>Ministère du Genre, Famille et Enfant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_Toc70330380 \h </w:instrText>
        </w:r>
        <w:r w:rsidR="00174053" w:rsidRPr="00B95951">
          <w:rPr>
            <w:b w:val="0"/>
            <w:webHidden/>
          </w:rPr>
        </w:r>
        <w:r w:rsidR="00174053" w:rsidRPr="00B95951">
          <w:rPr>
            <w:b w:val="0"/>
            <w:webHidden/>
          </w:rPr>
          <w:fldChar w:fldCharType="separate"/>
        </w:r>
        <w:r w:rsidR="00B95951" w:rsidRPr="00B95951">
          <w:rPr>
            <w:b w:val="0"/>
            <w:webHidden/>
          </w:rPr>
          <w:t>133</w:t>
        </w:r>
        <w:r w:rsidR="00174053" w:rsidRPr="00B95951">
          <w:rPr>
            <w:b w:val="0"/>
            <w:webHidden/>
          </w:rPr>
          <w:fldChar w:fldCharType="end"/>
        </w:r>
      </w:hyperlink>
    </w:p>
    <w:p w14:paraId="33D0F619" w14:textId="77777777" w:rsidR="00174053" w:rsidRPr="00B95951" w:rsidRDefault="00652264" w:rsidP="00B95951">
      <w:pPr>
        <w:pStyle w:val="TM2"/>
        <w:jc w:val="both"/>
        <w:rPr>
          <w:b w:val="0"/>
        </w:rPr>
      </w:pPr>
      <w:hyperlink w:anchor="_Toc70330381" w:history="1">
        <w:r w:rsidR="00174053" w:rsidRPr="00B95951">
          <w:rPr>
            <w:rStyle w:val="Lienhypertexte"/>
            <w:b w:val="0"/>
            <w:iCs/>
          </w:rPr>
          <w:t>4.3.11.</w:t>
        </w:r>
        <w:r w:rsidR="00174053" w:rsidRPr="00B95951">
          <w:rPr>
            <w:b w:val="0"/>
          </w:rPr>
          <w:tab/>
        </w:r>
        <w:r w:rsidR="00174053" w:rsidRPr="00B95951">
          <w:rPr>
            <w:rStyle w:val="Lienhypertexte"/>
            <w:b w:val="0"/>
            <w:i/>
          </w:rPr>
          <w:t>Ministère des Transports et Voies de Communications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_Toc70330381 \h </w:instrText>
        </w:r>
        <w:r w:rsidR="00174053" w:rsidRPr="00B95951">
          <w:rPr>
            <w:b w:val="0"/>
            <w:webHidden/>
          </w:rPr>
        </w:r>
        <w:r w:rsidR="00174053" w:rsidRPr="00B95951">
          <w:rPr>
            <w:b w:val="0"/>
            <w:webHidden/>
          </w:rPr>
          <w:fldChar w:fldCharType="separate"/>
        </w:r>
        <w:r w:rsidR="00B95951" w:rsidRPr="00B95951">
          <w:rPr>
            <w:b w:val="0"/>
            <w:webHidden/>
          </w:rPr>
          <w:t>133</w:t>
        </w:r>
        <w:r w:rsidR="00174053" w:rsidRPr="00B95951">
          <w:rPr>
            <w:b w:val="0"/>
            <w:webHidden/>
          </w:rPr>
          <w:fldChar w:fldCharType="end"/>
        </w:r>
      </w:hyperlink>
    </w:p>
    <w:p w14:paraId="727DF7F8" w14:textId="77777777" w:rsidR="00174053" w:rsidRPr="00B95951" w:rsidRDefault="00652264" w:rsidP="00B95951">
      <w:pPr>
        <w:pStyle w:val="TM2"/>
        <w:jc w:val="both"/>
        <w:rPr>
          <w:b w:val="0"/>
        </w:rPr>
      </w:pPr>
      <w:hyperlink w:anchor="_Toc70330382" w:history="1">
        <w:r w:rsidR="00174053" w:rsidRPr="00B95951">
          <w:rPr>
            <w:rStyle w:val="Lienhypertexte"/>
            <w:b w:val="0"/>
            <w:iCs/>
          </w:rPr>
          <w:t>4.3.12.</w:t>
        </w:r>
        <w:r w:rsidR="00174053" w:rsidRPr="00B95951">
          <w:rPr>
            <w:b w:val="0"/>
          </w:rPr>
          <w:tab/>
        </w:r>
        <w:r w:rsidR="00174053" w:rsidRPr="00B95951">
          <w:rPr>
            <w:rStyle w:val="Lienhypertexte"/>
            <w:b w:val="0"/>
            <w:i/>
          </w:rPr>
          <w:t>5. Ministère des Infrastructures et Travaux Publics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_Toc70330382 \h </w:instrText>
        </w:r>
        <w:r w:rsidR="00174053" w:rsidRPr="00B95951">
          <w:rPr>
            <w:b w:val="0"/>
            <w:webHidden/>
          </w:rPr>
        </w:r>
        <w:r w:rsidR="00174053" w:rsidRPr="00B95951">
          <w:rPr>
            <w:b w:val="0"/>
            <w:webHidden/>
          </w:rPr>
          <w:fldChar w:fldCharType="separate"/>
        </w:r>
        <w:r w:rsidR="00B95951" w:rsidRPr="00B95951">
          <w:rPr>
            <w:b w:val="0"/>
            <w:webHidden/>
          </w:rPr>
          <w:t>134</w:t>
        </w:r>
        <w:r w:rsidR="00174053" w:rsidRPr="00B95951">
          <w:rPr>
            <w:b w:val="0"/>
            <w:webHidden/>
          </w:rPr>
          <w:fldChar w:fldCharType="end"/>
        </w:r>
      </w:hyperlink>
    </w:p>
    <w:p w14:paraId="659ECB98" w14:textId="77777777" w:rsidR="00174053" w:rsidRPr="00B95951" w:rsidRDefault="00652264" w:rsidP="00B95951">
      <w:pPr>
        <w:pStyle w:val="TM2"/>
        <w:jc w:val="both"/>
        <w:rPr>
          <w:b w:val="0"/>
        </w:rPr>
      </w:pPr>
      <w:hyperlink w:anchor="_Toc70330383" w:history="1">
        <w:r w:rsidR="00174053" w:rsidRPr="00B95951">
          <w:rPr>
            <w:rStyle w:val="Lienhypertexte"/>
            <w:b w:val="0"/>
            <w:iCs/>
          </w:rPr>
          <w:t>4.3.13.</w:t>
        </w:r>
        <w:r w:rsidR="00174053" w:rsidRPr="00B95951">
          <w:rPr>
            <w:b w:val="0"/>
          </w:rPr>
          <w:tab/>
        </w:r>
        <w:r w:rsidR="00174053" w:rsidRPr="00B95951">
          <w:rPr>
            <w:rStyle w:val="Lienhypertexte"/>
            <w:b w:val="0"/>
            <w:i/>
          </w:rPr>
          <w:t>Ministère des Classes Moyennes, Petites et Moyennes Entreprises, Artisanat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_Toc70330383 \h </w:instrText>
        </w:r>
        <w:r w:rsidR="00174053" w:rsidRPr="00B95951">
          <w:rPr>
            <w:b w:val="0"/>
            <w:webHidden/>
          </w:rPr>
        </w:r>
        <w:r w:rsidR="00174053" w:rsidRPr="00B95951">
          <w:rPr>
            <w:b w:val="0"/>
            <w:webHidden/>
          </w:rPr>
          <w:fldChar w:fldCharType="separate"/>
        </w:r>
        <w:r w:rsidR="00B95951" w:rsidRPr="00B95951">
          <w:rPr>
            <w:b w:val="0"/>
            <w:webHidden/>
          </w:rPr>
          <w:t>134</w:t>
        </w:r>
        <w:r w:rsidR="00174053" w:rsidRPr="00B95951">
          <w:rPr>
            <w:b w:val="0"/>
            <w:webHidden/>
          </w:rPr>
          <w:fldChar w:fldCharType="end"/>
        </w:r>
      </w:hyperlink>
    </w:p>
    <w:p w14:paraId="17F572A5" w14:textId="77777777" w:rsidR="00174053" w:rsidRPr="00B95951" w:rsidRDefault="00652264" w:rsidP="00B95951">
      <w:pPr>
        <w:pStyle w:val="TM2"/>
        <w:jc w:val="both"/>
        <w:rPr>
          <w:b w:val="0"/>
        </w:rPr>
      </w:pPr>
      <w:hyperlink w:anchor="_Toc70330384" w:history="1">
        <w:r w:rsidR="00174053" w:rsidRPr="00B95951">
          <w:rPr>
            <w:rStyle w:val="Lienhypertexte"/>
            <w:b w:val="0"/>
            <w:iCs/>
          </w:rPr>
          <w:t>4.3.14.</w:t>
        </w:r>
        <w:r w:rsidR="00174053" w:rsidRPr="00B95951">
          <w:rPr>
            <w:b w:val="0"/>
          </w:rPr>
          <w:tab/>
        </w:r>
        <w:r w:rsidR="00174053" w:rsidRPr="00B95951">
          <w:rPr>
            <w:rStyle w:val="Lienhypertexte"/>
            <w:b w:val="0"/>
            <w:i/>
          </w:rPr>
          <w:t>Autres Ministères Provinciaux impliqués dans la gestion environnementale et sociale du Projet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_Toc70330384 \h </w:instrText>
        </w:r>
        <w:r w:rsidR="00174053" w:rsidRPr="00B95951">
          <w:rPr>
            <w:b w:val="0"/>
            <w:webHidden/>
          </w:rPr>
        </w:r>
        <w:r w:rsidR="00174053" w:rsidRPr="00B95951">
          <w:rPr>
            <w:b w:val="0"/>
            <w:webHidden/>
          </w:rPr>
          <w:fldChar w:fldCharType="separate"/>
        </w:r>
        <w:r w:rsidR="00B95951" w:rsidRPr="00B95951">
          <w:rPr>
            <w:b w:val="0"/>
            <w:webHidden/>
          </w:rPr>
          <w:t>135</w:t>
        </w:r>
        <w:r w:rsidR="00174053" w:rsidRPr="00B95951">
          <w:rPr>
            <w:b w:val="0"/>
            <w:webHidden/>
          </w:rPr>
          <w:fldChar w:fldCharType="end"/>
        </w:r>
      </w:hyperlink>
    </w:p>
    <w:p w14:paraId="3E3BD10C" w14:textId="77777777" w:rsidR="00174053" w:rsidRPr="00B95951" w:rsidRDefault="00652264" w:rsidP="00B95951">
      <w:pPr>
        <w:pStyle w:val="TM2"/>
        <w:jc w:val="both"/>
        <w:rPr>
          <w:b w:val="0"/>
        </w:rPr>
      </w:pPr>
      <w:hyperlink w:anchor="_Toc70330385" w:history="1">
        <w:r w:rsidR="00174053" w:rsidRPr="00B95951">
          <w:rPr>
            <w:rStyle w:val="Lienhypertexte"/>
            <w:b w:val="0"/>
            <w:iCs/>
          </w:rPr>
          <w:t>4.3.15.</w:t>
        </w:r>
        <w:r w:rsidR="00174053" w:rsidRPr="00B95951">
          <w:rPr>
            <w:b w:val="0"/>
          </w:rPr>
          <w:tab/>
        </w:r>
        <w:r w:rsidR="00174053" w:rsidRPr="00B95951">
          <w:rPr>
            <w:rStyle w:val="Lienhypertexte"/>
            <w:b w:val="0"/>
            <w:i/>
          </w:rPr>
          <w:t>Administrations locales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_Toc70330385 \h </w:instrText>
        </w:r>
        <w:r w:rsidR="00174053" w:rsidRPr="00B95951">
          <w:rPr>
            <w:b w:val="0"/>
            <w:webHidden/>
          </w:rPr>
        </w:r>
        <w:r w:rsidR="00174053" w:rsidRPr="00B95951">
          <w:rPr>
            <w:b w:val="0"/>
            <w:webHidden/>
          </w:rPr>
          <w:fldChar w:fldCharType="separate"/>
        </w:r>
        <w:r w:rsidR="00B95951" w:rsidRPr="00B95951">
          <w:rPr>
            <w:b w:val="0"/>
            <w:webHidden/>
          </w:rPr>
          <w:t>135</w:t>
        </w:r>
        <w:r w:rsidR="00174053" w:rsidRPr="00B95951">
          <w:rPr>
            <w:b w:val="0"/>
            <w:webHidden/>
          </w:rPr>
          <w:fldChar w:fldCharType="end"/>
        </w:r>
      </w:hyperlink>
    </w:p>
    <w:p w14:paraId="17CFA08A" w14:textId="77777777" w:rsidR="00174053" w:rsidRPr="00B95951" w:rsidRDefault="00652264" w:rsidP="00B95951">
      <w:pPr>
        <w:pStyle w:val="TM2"/>
        <w:jc w:val="both"/>
        <w:rPr>
          <w:b w:val="0"/>
        </w:rPr>
      </w:pPr>
      <w:hyperlink w:anchor="_Toc70330386" w:history="1">
        <w:r w:rsidR="00174053" w:rsidRPr="00B95951">
          <w:rPr>
            <w:rStyle w:val="Lienhypertexte"/>
            <w:b w:val="0"/>
            <w:iCs/>
          </w:rPr>
          <w:t>4.3.16.</w:t>
        </w:r>
        <w:r w:rsidR="00174053" w:rsidRPr="00B95951">
          <w:rPr>
            <w:b w:val="0"/>
          </w:rPr>
          <w:tab/>
        </w:r>
        <w:r w:rsidR="00174053" w:rsidRPr="00B95951">
          <w:rPr>
            <w:rStyle w:val="Lienhypertexte"/>
            <w:b w:val="0"/>
            <w:i/>
          </w:rPr>
          <w:t>Acteurs Non Gouvernementaux</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_Toc70330386 \h </w:instrText>
        </w:r>
        <w:r w:rsidR="00174053" w:rsidRPr="00B95951">
          <w:rPr>
            <w:b w:val="0"/>
            <w:webHidden/>
          </w:rPr>
        </w:r>
        <w:r w:rsidR="00174053" w:rsidRPr="00B95951">
          <w:rPr>
            <w:b w:val="0"/>
            <w:webHidden/>
          </w:rPr>
          <w:fldChar w:fldCharType="separate"/>
        </w:r>
        <w:r w:rsidR="00B95951" w:rsidRPr="00B95951">
          <w:rPr>
            <w:b w:val="0"/>
            <w:webHidden/>
          </w:rPr>
          <w:t>136</w:t>
        </w:r>
        <w:r w:rsidR="00174053" w:rsidRPr="00B95951">
          <w:rPr>
            <w:b w:val="0"/>
            <w:webHidden/>
          </w:rPr>
          <w:fldChar w:fldCharType="end"/>
        </w:r>
      </w:hyperlink>
    </w:p>
    <w:p w14:paraId="134E862F" w14:textId="77777777" w:rsidR="00174053" w:rsidRPr="00B95951" w:rsidRDefault="00652264" w:rsidP="00B95951">
      <w:pPr>
        <w:pStyle w:val="TM2"/>
        <w:jc w:val="both"/>
        <w:rPr>
          <w:rStyle w:val="Lienhypertexte"/>
          <w:b w:val="0"/>
          <w:iCs/>
        </w:rPr>
      </w:pPr>
      <w:hyperlink w:anchor="_Toc70330387" w:history="1">
        <w:r w:rsidR="00174053" w:rsidRPr="00B95951">
          <w:rPr>
            <w:rStyle w:val="Lienhypertexte"/>
            <w:b w:val="0"/>
            <w:iCs/>
          </w:rPr>
          <w:t>4.3.17.</w:t>
        </w:r>
        <w:r w:rsidR="00174053" w:rsidRPr="00B95951">
          <w:rPr>
            <w:rStyle w:val="Lienhypertexte"/>
            <w:b w:val="0"/>
            <w:iCs/>
          </w:rPr>
          <w:tab/>
          <w:t>Quelques institutions intermédiaires financiers (les IF – banques, institutions de micro - finance, coopératives d'épargne et de crédit)</w:t>
        </w:r>
        <w:r w:rsidR="00174053" w:rsidRPr="00B95951">
          <w:rPr>
            <w:rStyle w:val="Lienhypertexte"/>
            <w:b w:val="0"/>
            <w:iCs/>
            <w:webHidden/>
          </w:rPr>
          <w:tab/>
        </w:r>
        <w:r w:rsidR="00174053" w:rsidRPr="00B95951">
          <w:rPr>
            <w:rStyle w:val="Lienhypertexte"/>
            <w:b w:val="0"/>
            <w:iCs/>
            <w:webHidden/>
          </w:rPr>
          <w:fldChar w:fldCharType="begin"/>
        </w:r>
        <w:r w:rsidR="00174053" w:rsidRPr="00B95951">
          <w:rPr>
            <w:rStyle w:val="Lienhypertexte"/>
            <w:b w:val="0"/>
            <w:iCs/>
            <w:webHidden/>
          </w:rPr>
          <w:instrText xml:space="preserve"> PAGEREF _Toc70330387 \h </w:instrText>
        </w:r>
        <w:r w:rsidR="00174053" w:rsidRPr="00B95951">
          <w:rPr>
            <w:rStyle w:val="Lienhypertexte"/>
            <w:b w:val="0"/>
            <w:iCs/>
            <w:webHidden/>
          </w:rPr>
        </w:r>
        <w:r w:rsidR="00174053" w:rsidRPr="00B95951">
          <w:rPr>
            <w:rStyle w:val="Lienhypertexte"/>
            <w:b w:val="0"/>
            <w:iCs/>
            <w:webHidden/>
          </w:rPr>
          <w:fldChar w:fldCharType="separate"/>
        </w:r>
        <w:r w:rsidR="00B95951" w:rsidRPr="00B95951">
          <w:rPr>
            <w:rStyle w:val="Lienhypertexte"/>
            <w:b w:val="0"/>
            <w:iCs/>
            <w:webHidden/>
          </w:rPr>
          <w:t>137</w:t>
        </w:r>
        <w:r w:rsidR="00174053" w:rsidRPr="00B95951">
          <w:rPr>
            <w:rStyle w:val="Lienhypertexte"/>
            <w:b w:val="0"/>
            <w:iCs/>
            <w:webHidden/>
          </w:rPr>
          <w:fldChar w:fldCharType="end"/>
        </w:r>
      </w:hyperlink>
    </w:p>
    <w:p w14:paraId="467E6774" w14:textId="77777777" w:rsidR="00174053" w:rsidRPr="00B95951" w:rsidRDefault="00652264" w:rsidP="00B95951">
      <w:pPr>
        <w:pStyle w:val="TM2"/>
        <w:jc w:val="both"/>
        <w:rPr>
          <w:b w:val="0"/>
        </w:rPr>
      </w:pPr>
      <w:hyperlink w:anchor="_Toc70330391" w:history="1">
        <w:r w:rsidR="00174053" w:rsidRPr="00B95951">
          <w:rPr>
            <w:rStyle w:val="Lienhypertexte"/>
            <w:b w:val="0"/>
          </w:rPr>
          <w:t>4.4.</w:t>
        </w:r>
        <w:r w:rsidR="00174053" w:rsidRPr="00B95951">
          <w:rPr>
            <w:b w:val="0"/>
          </w:rPr>
          <w:tab/>
        </w:r>
        <w:r w:rsidR="00174053" w:rsidRPr="00B95951">
          <w:rPr>
            <w:rStyle w:val="Lienhypertexte"/>
            <w:b w:val="0"/>
          </w:rPr>
          <w:t>Analyse des capacités de gestion environnementale et sociale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_Toc70330391 \h </w:instrText>
        </w:r>
        <w:r w:rsidR="00174053" w:rsidRPr="00B95951">
          <w:rPr>
            <w:b w:val="0"/>
            <w:webHidden/>
          </w:rPr>
        </w:r>
        <w:r w:rsidR="00174053" w:rsidRPr="00B95951">
          <w:rPr>
            <w:b w:val="0"/>
            <w:webHidden/>
          </w:rPr>
          <w:fldChar w:fldCharType="separate"/>
        </w:r>
        <w:r w:rsidR="00B95951" w:rsidRPr="00B95951">
          <w:rPr>
            <w:b w:val="0"/>
            <w:webHidden/>
          </w:rPr>
          <w:t>139</w:t>
        </w:r>
        <w:r w:rsidR="00174053" w:rsidRPr="00B95951">
          <w:rPr>
            <w:b w:val="0"/>
            <w:webHidden/>
          </w:rPr>
          <w:fldChar w:fldCharType="end"/>
        </w:r>
      </w:hyperlink>
    </w:p>
    <w:p w14:paraId="7A53B7AF" w14:textId="77777777" w:rsidR="00174053" w:rsidRPr="00B95951" w:rsidRDefault="00652264" w:rsidP="00B95951">
      <w:pPr>
        <w:pStyle w:val="TM2"/>
        <w:jc w:val="both"/>
        <w:rPr>
          <w:b w:val="0"/>
        </w:rPr>
      </w:pPr>
      <w:hyperlink w:anchor="_Toc70330392" w:history="1">
        <w:r w:rsidR="00174053" w:rsidRPr="00B95951">
          <w:rPr>
            <w:rStyle w:val="Lienhypertexte"/>
            <w:b w:val="0"/>
          </w:rPr>
          <w:t>4.5.</w:t>
        </w:r>
        <w:r w:rsidR="00174053" w:rsidRPr="00B95951">
          <w:rPr>
            <w:b w:val="0"/>
          </w:rPr>
          <w:tab/>
        </w:r>
        <w:r w:rsidR="00174053" w:rsidRPr="00B95951">
          <w:rPr>
            <w:rStyle w:val="Lienhypertexte"/>
            <w:b w:val="0"/>
          </w:rPr>
          <w:t>Activités de renforcement des capacités des acteurs responsables de la mise en œuvre du CGES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_Toc70330392 \h </w:instrText>
        </w:r>
        <w:r w:rsidR="00174053" w:rsidRPr="00B95951">
          <w:rPr>
            <w:b w:val="0"/>
            <w:webHidden/>
          </w:rPr>
        </w:r>
        <w:r w:rsidR="00174053" w:rsidRPr="00B95951">
          <w:rPr>
            <w:b w:val="0"/>
            <w:webHidden/>
          </w:rPr>
          <w:fldChar w:fldCharType="separate"/>
        </w:r>
        <w:r w:rsidR="00B95951" w:rsidRPr="00B95951">
          <w:rPr>
            <w:b w:val="0"/>
            <w:webHidden/>
          </w:rPr>
          <w:t>144</w:t>
        </w:r>
        <w:r w:rsidR="00174053" w:rsidRPr="00B95951">
          <w:rPr>
            <w:b w:val="0"/>
            <w:webHidden/>
          </w:rPr>
          <w:fldChar w:fldCharType="end"/>
        </w:r>
      </w:hyperlink>
    </w:p>
    <w:p w14:paraId="78BAC003" w14:textId="77777777" w:rsidR="00174053" w:rsidRPr="00B95951" w:rsidRDefault="00652264" w:rsidP="00B95951">
      <w:pPr>
        <w:pStyle w:val="TM2"/>
        <w:jc w:val="both"/>
        <w:rPr>
          <w:b w:val="0"/>
        </w:rPr>
      </w:pPr>
      <w:hyperlink w:anchor="_Toc70330406" w:history="1">
        <w:r w:rsidR="00174053" w:rsidRPr="00B95951">
          <w:rPr>
            <w:rStyle w:val="Lienhypertexte"/>
            <w:b w:val="0"/>
            <w:iCs/>
          </w:rPr>
          <w:t>4.5.1.</w:t>
        </w:r>
        <w:r w:rsidR="00174053" w:rsidRPr="00B95951">
          <w:rPr>
            <w:b w:val="0"/>
          </w:rPr>
          <w:tab/>
        </w:r>
        <w:r w:rsidR="00174053" w:rsidRPr="00B95951">
          <w:rPr>
            <w:rStyle w:val="Lienhypertexte"/>
            <w:b w:val="0"/>
            <w:i/>
          </w:rPr>
          <w:t>Mesures de renforcement institutionnel</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_Toc70330406 \h </w:instrText>
        </w:r>
        <w:r w:rsidR="00174053" w:rsidRPr="00B95951">
          <w:rPr>
            <w:b w:val="0"/>
            <w:webHidden/>
          </w:rPr>
        </w:r>
        <w:r w:rsidR="00174053" w:rsidRPr="00B95951">
          <w:rPr>
            <w:b w:val="0"/>
            <w:webHidden/>
          </w:rPr>
          <w:fldChar w:fldCharType="separate"/>
        </w:r>
        <w:r w:rsidR="00B95951" w:rsidRPr="00B95951">
          <w:rPr>
            <w:b w:val="0"/>
            <w:webHidden/>
          </w:rPr>
          <w:t>144</w:t>
        </w:r>
        <w:r w:rsidR="00174053" w:rsidRPr="00B95951">
          <w:rPr>
            <w:b w:val="0"/>
            <w:webHidden/>
          </w:rPr>
          <w:fldChar w:fldCharType="end"/>
        </w:r>
      </w:hyperlink>
    </w:p>
    <w:p w14:paraId="2F6534A4" w14:textId="77777777" w:rsidR="00174053" w:rsidRPr="00B95951" w:rsidRDefault="00652264" w:rsidP="00B95951">
      <w:pPr>
        <w:pStyle w:val="TM2"/>
        <w:jc w:val="both"/>
        <w:rPr>
          <w:b w:val="0"/>
        </w:rPr>
      </w:pPr>
      <w:hyperlink w:anchor="_Toc70330407" w:history="1">
        <w:r w:rsidR="00174053" w:rsidRPr="00B95951">
          <w:rPr>
            <w:rStyle w:val="Lienhypertexte"/>
            <w:b w:val="0"/>
            <w:iCs/>
          </w:rPr>
          <w:t>4.5.2.</w:t>
        </w:r>
        <w:r w:rsidR="00174053" w:rsidRPr="00B95951">
          <w:rPr>
            <w:b w:val="0"/>
          </w:rPr>
          <w:tab/>
        </w:r>
        <w:r w:rsidR="00174053" w:rsidRPr="00B95951">
          <w:rPr>
            <w:rStyle w:val="Lienhypertexte"/>
            <w:b w:val="0"/>
            <w:i/>
          </w:rPr>
          <w:t>Formation des acteurs impliqués dans la mise en œuvre du PNDA</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_Toc70330407 \h </w:instrText>
        </w:r>
        <w:r w:rsidR="00174053" w:rsidRPr="00B95951">
          <w:rPr>
            <w:b w:val="0"/>
            <w:webHidden/>
          </w:rPr>
        </w:r>
        <w:r w:rsidR="00174053" w:rsidRPr="00B95951">
          <w:rPr>
            <w:b w:val="0"/>
            <w:webHidden/>
          </w:rPr>
          <w:fldChar w:fldCharType="separate"/>
        </w:r>
        <w:r w:rsidR="00B95951" w:rsidRPr="00B95951">
          <w:rPr>
            <w:b w:val="0"/>
            <w:webHidden/>
          </w:rPr>
          <w:t>145</w:t>
        </w:r>
        <w:r w:rsidR="00174053" w:rsidRPr="00B95951">
          <w:rPr>
            <w:b w:val="0"/>
            <w:webHidden/>
          </w:rPr>
          <w:fldChar w:fldCharType="end"/>
        </w:r>
      </w:hyperlink>
    </w:p>
    <w:p w14:paraId="58A153AA" w14:textId="77777777" w:rsidR="00174053" w:rsidRPr="00B95951" w:rsidRDefault="00652264" w:rsidP="00B95951">
      <w:pPr>
        <w:pStyle w:val="TM2"/>
        <w:jc w:val="both"/>
        <w:rPr>
          <w:b w:val="0"/>
        </w:rPr>
      </w:pPr>
      <w:hyperlink w:anchor="_Toc70330408" w:history="1">
        <w:r w:rsidR="00174053" w:rsidRPr="00B95951">
          <w:rPr>
            <w:rStyle w:val="Lienhypertexte"/>
            <w:b w:val="0"/>
            <w:iCs/>
          </w:rPr>
          <w:t>4.5.3.</w:t>
        </w:r>
        <w:r w:rsidR="00174053" w:rsidRPr="00B95951">
          <w:rPr>
            <w:b w:val="0"/>
          </w:rPr>
          <w:tab/>
        </w:r>
        <w:r w:rsidR="00174053" w:rsidRPr="00B95951">
          <w:rPr>
            <w:rStyle w:val="Lienhypertexte"/>
            <w:b w:val="0"/>
            <w:i/>
          </w:rPr>
          <w:t>Programmes de sensibilisation et de mobilisation au niveau provincial/communal/territorial</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_Toc70330408 \h </w:instrText>
        </w:r>
        <w:r w:rsidR="00174053" w:rsidRPr="00B95951">
          <w:rPr>
            <w:b w:val="0"/>
            <w:webHidden/>
          </w:rPr>
        </w:r>
        <w:r w:rsidR="00174053" w:rsidRPr="00B95951">
          <w:rPr>
            <w:b w:val="0"/>
            <w:webHidden/>
          </w:rPr>
          <w:fldChar w:fldCharType="separate"/>
        </w:r>
        <w:r w:rsidR="00B95951" w:rsidRPr="00B95951">
          <w:rPr>
            <w:b w:val="0"/>
            <w:webHidden/>
          </w:rPr>
          <w:t>147</w:t>
        </w:r>
        <w:r w:rsidR="00174053" w:rsidRPr="00B95951">
          <w:rPr>
            <w:b w:val="0"/>
            <w:webHidden/>
          </w:rPr>
          <w:fldChar w:fldCharType="end"/>
        </w:r>
      </w:hyperlink>
    </w:p>
    <w:p w14:paraId="401383AA" w14:textId="77777777" w:rsidR="00174053" w:rsidRPr="00B95951" w:rsidRDefault="00652264" w:rsidP="00B95951">
      <w:pPr>
        <w:pStyle w:val="TM2"/>
        <w:jc w:val="both"/>
        <w:rPr>
          <w:b w:val="0"/>
        </w:rPr>
      </w:pPr>
      <w:hyperlink w:anchor="_Toc70330417" w:history="1">
        <w:r w:rsidR="00174053" w:rsidRPr="00B95951">
          <w:rPr>
            <w:rStyle w:val="Lienhypertexte"/>
            <w:b w:val="0"/>
          </w:rPr>
          <w:t>4.6.</w:t>
        </w:r>
        <w:r w:rsidR="00174053" w:rsidRPr="00B95951">
          <w:rPr>
            <w:b w:val="0"/>
          </w:rPr>
          <w:tab/>
        </w:r>
        <w:r w:rsidR="00174053" w:rsidRPr="00B95951">
          <w:rPr>
            <w:rStyle w:val="Lienhypertexte"/>
            <w:b w:val="0"/>
          </w:rPr>
          <w:t>Procédure de gestion environnementale et sociale en cas de situation d’urgence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_Toc70330417 \h </w:instrText>
        </w:r>
        <w:r w:rsidR="00174053" w:rsidRPr="00B95951">
          <w:rPr>
            <w:b w:val="0"/>
            <w:webHidden/>
          </w:rPr>
        </w:r>
        <w:r w:rsidR="00174053" w:rsidRPr="00B95951">
          <w:rPr>
            <w:b w:val="0"/>
            <w:webHidden/>
          </w:rPr>
          <w:fldChar w:fldCharType="separate"/>
        </w:r>
        <w:r w:rsidR="00B95951" w:rsidRPr="00B95951">
          <w:rPr>
            <w:b w:val="0"/>
            <w:webHidden/>
          </w:rPr>
          <w:t>149</w:t>
        </w:r>
        <w:r w:rsidR="00174053" w:rsidRPr="00B95951">
          <w:rPr>
            <w:b w:val="0"/>
            <w:webHidden/>
          </w:rPr>
          <w:fldChar w:fldCharType="end"/>
        </w:r>
      </w:hyperlink>
    </w:p>
    <w:p w14:paraId="47AEE19B" w14:textId="77777777" w:rsidR="00174053" w:rsidRPr="00B95951" w:rsidRDefault="00652264" w:rsidP="00B95951">
      <w:pPr>
        <w:pStyle w:val="TM2"/>
        <w:jc w:val="both"/>
        <w:rPr>
          <w:b w:val="0"/>
        </w:rPr>
      </w:pPr>
      <w:hyperlink w:anchor="_Toc70330418" w:history="1">
        <w:r w:rsidR="00174053" w:rsidRPr="00B95951">
          <w:rPr>
            <w:rStyle w:val="Lienhypertexte"/>
            <w:b w:val="0"/>
            <w:iCs/>
          </w:rPr>
          <w:t>4.6.1.</w:t>
        </w:r>
        <w:r w:rsidR="00174053" w:rsidRPr="00B95951">
          <w:rPr>
            <w:b w:val="0"/>
          </w:rPr>
          <w:tab/>
        </w:r>
        <w:r w:rsidR="00174053" w:rsidRPr="00B95951">
          <w:rPr>
            <w:rStyle w:val="Lienhypertexte"/>
            <w:b w:val="0"/>
            <w:iCs/>
          </w:rPr>
          <w:t>Arrangement institutionnel pour la mise en œuvre de la CERC</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_Toc70330418 \h </w:instrText>
        </w:r>
        <w:r w:rsidR="00174053" w:rsidRPr="00B95951">
          <w:rPr>
            <w:b w:val="0"/>
            <w:webHidden/>
          </w:rPr>
        </w:r>
        <w:r w:rsidR="00174053" w:rsidRPr="00B95951">
          <w:rPr>
            <w:b w:val="0"/>
            <w:webHidden/>
          </w:rPr>
          <w:fldChar w:fldCharType="separate"/>
        </w:r>
        <w:r w:rsidR="00B95951" w:rsidRPr="00B95951">
          <w:rPr>
            <w:b w:val="0"/>
            <w:webHidden/>
          </w:rPr>
          <w:t>149</w:t>
        </w:r>
        <w:r w:rsidR="00174053" w:rsidRPr="00B95951">
          <w:rPr>
            <w:b w:val="0"/>
            <w:webHidden/>
          </w:rPr>
          <w:fldChar w:fldCharType="end"/>
        </w:r>
      </w:hyperlink>
    </w:p>
    <w:p w14:paraId="1B11D0C7" w14:textId="77777777" w:rsidR="00174053" w:rsidRPr="00B95951" w:rsidRDefault="00652264" w:rsidP="00B95951">
      <w:pPr>
        <w:pStyle w:val="TM1"/>
        <w:tabs>
          <w:tab w:val="right" w:pos="9062"/>
        </w:tabs>
        <w:rPr>
          <w:b w:val="0"/>
          <w:bCs w:val="0"/>
          <w:caps w:val="0"/>
          <w:color w:val="auto"/>
        </w:rPr>
      </w:pPr>
      <w:hyperlink w:anchor="_Toc70330419" w:history="1">
        <w:r w:rsidR="00174053" w:rsidRPr="00B95951">
          <w:rPr>
            <w:rStyle w:val="Lienhypertexte"/>
            <w:b w:val="0"/>
          </w:rPr>
          <w:t>5.</w:t>
        </w:r>
        <w:r w:rsidR="00174053" w:rsidRPr="00B95951">
          <w:rPr>
            <w:b w:val="0"/>
            <w:bCs w:val="0"/>
            <w:caps w:val="0"/>
            <w:color w:val="auto"/>
          </w:rPr>
          <w:tab/>
        </w:r>
        <w:r w:rsidR="00174053" w:rsidRPr="00B95951">
          <w:rPr>
            <w:rStyle w:val="Lienhypertexte"/>
            <w:b w:val="0"/>
          </w:rPr>
          <w:t>RISQUES ET IMPACTS ENVIRONNEMENTAUX ET SOCIAUX POTENTIELS DU PROGRAMME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_Toc70330419 \h </w:instrText>
        </w:r>
        <w:r w:rsidR="00174053" w:rsidRPr="00B95951">
          <w:rPr>
            <w:b w:val="0"/>
            <w:webHidden/>
          </w:rPr>
        </w:r>
        <w:r w:rsidR="00174053" w:rsidRPr="00B95951">
          <w:rPr>
            <w:b w:val="0"/>
            <w:webHidden/>
          </w:rPr>
          <w:fldChar w:fldCharType="separate"/>
        </w:r>
        <w:r w:rsidR="00B95951" w:rsidRPr="00B95951">
          <w:rPr>
            <w:b w:val="0"/>
            <w:webHidden/>
          </w:rPr>
          <w:t>153</w:t>
        </w:r>
        <w:r w:rsidR="00174053" w:rsidRPr="00B95951">
          <w:rPr>
            <w:b w:val="0"/>
            <w:webHidden/>
          </w:rPr>
          <w:fldChar w:fldCharType="end"/>
        </w:r>
      </w:hyperlink>
    </w:p>
    <w:p w14:paraId="15831120" w14:textId="77777777" w:rsidR="00174053" w:rsidRPr="00B95951" w:rsidRDefault="00652264" w:rsidP="00B95951">
      <w:pPr>
        <w:pStyle w:val="TM2"/>
        <w:jc w:val="both"/>
        <w:rPr>
          <w:b w:val="0"/>
        </w:rPr>
      </w:pPr>
      <w:hyperlink w:anchor="_Toc70330420" w:history="1">
        <w:r w:rsidR="00174053" w:rsidRPr="00B95951">
          <w:rPr>
            <w:rStyle w:val="Lienhypertexte"/>
            <w:b w:val="0"/>
          </w:rPr>
          <w:t>5.1.</w:t>
        </w:r>
        <w:r w:rsidR="00174053" w:rsidRPr="00B95951">
          <w:rPr>
            <w:b w:val="0"/>
          </w:rPr>
          <w:tab/>
        </w:r>
        <w:r w:rsidR="00174053" w:rsidRPr="00B95951">
          <w:rPr>
            <w:rStyle w:val="Lienhypertexte"/>
            <w:b w:val="0"/>
          </w:rPr>
          <w:t>Impacts environnementaux et sociaux positifs potentiels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_Toc70330420 \h </w:instrText>
        </w:r>
        <w:r w:rsidR="00174053" w:rsidRPr="00B95951">
          <w:rPr>
            <w:b w:val="0"/>
            <w:webHidden/>
          </w:rPr>
        </w:r>
        <w:r w:rsidR="00174053" w:rsidRPr="00B95951">
          <w:rPr>
            <w:b w:val="0"/>
            <w:webHidden/>
          </w:rPr>
          <w:fldChar w:fldCharType="separate"/>
        </w:r>
        <w:r w:rsidR="00B95951" w:rsidRPr="00B95951">
          <w:rPr>
            <w:b w:val="0"/>
            <w:webHidden/>
          </w:rPr>
          <w:t>153</w:t>
        </w:r>
        <w:r w:rsidR="00174053" w:rsidRPr="00B95951">
          <w:rPr>
            <w:b w:val="0"/>
            <w:webHidden/>
          </w:rPr>
          <w:fldChar w:fldCharType="end"/>
        </w:r>
      </w:hyperlink>
    </w:p>
    <w:p w14:paraId="6034C041" w14:textId="77777777" w:rsidR="00174053" w:rsidRPr="00B95951" w:rsidRDefault="00652264" w:rsidP="00B95951">
      <w:pPr>
        <w:pStyle w:val="TM2"/>
        <w:jc w:val="both"/>
        <w:rPr>
          <w:b w:val="0"/>
        </w:rPr>
      </w:pPr>
      <w:hyperlink w:anchor="_Toc70330421" w:history="1">
        <w:r w:rsidR="00174053" w:rsidRPr="00B95951">
          <w:rPr>
            <w:rStyle w:val="Lienhypertexte"/>
            <w:b w:val="0"/>
            <w:iCs/>
          </w:rPr>
          <w:t>5.1.1.</w:t>
        </w:r>
        <w:r w:rsidR="00174053" w:rsidRPr="00B95951">
          <w:rPr>
            <w:b w:val="0"/>
          </w:rPr>
          <w:tab/>
        </w:r>
        <w:r w:rsidR="00174053" w:rsidRPr="00B95951">
          <w:rPr>
            <w:rStyle w:val="Lienhypertexte"/>
            <w:b w:val="0"/>
            <w:i/>
          </w:rPr>
          <w:t>Impacts positifs potentiels globaux communs à toutes les composantes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_Toc70330421 \h </w:instrText>
        </w:r>
        <w:r w:rsidR="00174053" w:rsidRPr="00B95951">
          <w:rPr>
            <w:b w:val="0"/>
            <w:webHidden/>
          </w:rPr>
        </w:r>
        <w:r w:rsidR="00174053" w:rsidRPr="00B95951">
          <w:rPr>
            <w:b w:val="0"/>
            <w:webHidden/>
          </w:rPr>
          <w:fldChar w:fldCharType="separate"/>
        </w:r>
        <w:r w:rsidR="00B95951" w:rsidRPr="00B95951">
          <w:rPr>
            <w:b w:val="0"/>
            <w:webHidden/>
          </w:rPr>
          <w:t>153</w:t>
        </w:r>
        <w:r w:rsidR="00174053" w:rsidRPr="00B95951">
          <w:rPr>
            <w:b w:val="0"/>
            <w:webHidden/>
          </w:rPr>
          <w:fldChar w:fldCharType="end"/>
        </w:r>
      </w:hyperlink>
    </w:p>
    <w:p w14:paraId="62C07054" w14:textId="77777777" w:rsidR="00174053" w:rsidRPr="00B95951" w:rsidRDefault="00652264" w:rsidP="00B95951">
      <w:pPr>
        <w:pStyle w:val="TM2"/>
        <w:jc w:val="both"/>
        <w:rPr>
          <w:b w:val="0"/>
        </w:rPr>
      </w:pPr>
      <w:hyperlink w:anchor="_Toc70330422" w:history="1">
        <w:r w:rsidR="00174053" w:rsidRPr="00B95951">
          <w:rPr>
            <w:rStyle w:val="Lienhypertexte"/>
            <w:b w:val="0"/>
            <w:iCs/>
          </w:rPr>
          <w:t>5.1.2.</w:t>
        </w:r>
        <w:r w:rsidR="00174053" w:rsidRPr="00B95951">
          <w:rPr>
            <w:b w:val="0"/>
          </w:rPr>
          <w:tab/>
        </w:r>
        <w:r w:rsidR="00174053" w:rsidRPr="00B95951">
          <w:rPr>
            <w:rStyle w:val="Lienhypertexte"/>
            <w:b w:val="0"/>
            <w:i/>
          </w:rPr>
          <w:t>Impacts positifs des catégories des sous-projets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_Toc70330422 \h </w:instrText>
        </w:r>
        <w:r w:rsidR="00174053" w:rsidRPr="00B95951">
          <w:rPr>
            <w:b w:val="0"/>
            <w:webHidden/>
          </w:rPr>
        </w:r>
        <w:r w:rsidR="00174053" w:rsidRPr="00B95951">
          <w:rPr>
            <w:b w:val="0"/>
            <w:webHidden/>
          </w:rPr>
          <w:fldChar w:fldCharType="separate"/>
        </w:r>
        <w:r w:rsidR="00B95951" w:rsidRPr="00B95951">
          <w:rPr>
            <w:b w:val="0"/>
            <w:webHidden/>
          </w:rPr>
          <w:t>155</w:t>
        </w:r>
        <w:r w:rsidR="00174053" w:rsidRPr="00B95951">
          <w:rPr>
            <w:b w:val="0"/>
            <w:webHidden/>
          </w:rPr>
          <w:fldChar w:fldCharType="end"/>
        </w:r>
      </w:hyperlink>
    </w:p>
    <w:p w14:paraId="0BA223E1" w14:textId="77777777" w:rsidR="00174053" w:rsidRPr="00B95951" w:rsidRDefault="00652264" w:rsidP="00B95951">
      <w:pPr>
        <w:pStyle w:val="TM2"/>
        <w:jc w:val="both"/>
        <w:rPr>
          <w:b w:val="0"/>
        </w:rPr>
      </w:pPr>
      <w:hyperlink w:anchor="_Toc70330423" w:history="1">
        <w:r w:rsidR="00174053" w:rsidRPr="00B95951">
          <w:rPr>
            <w:rStyle w:val="Lienhypertexte"/>
            <w:b w:val="0"/>
          </w:rPr>
          <w:t>5.2.</w:t>
        </w:r>
        <w:r w:rsidR="00174053" w:rsidRPr="00B95951">
          <w:rPr>
            <w:b w:val="0"/>
          </w:rPr>
          <w:tab/>
        </w:r>
        <w:r w:rsidR="00174053" w:rsidRPr="00B95951">
          <w:rPr>
            <w:rStyle w:val="Lienhypertexte"/>
            <w:b w:val="0"/>
          </w:rPr>
          <w:t>Risques et impacts environnementaux et sociaux négatifs potentiels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_Toc70330423 \h </w:instrText>
        </w:r>
        <w:r w:rsidR="00174053" w:rsidRPr="00B95951">
          <w:rPr>
            <w:b w:val="0"/>
            <w:webHidden/>
          </w:rPr>
        </w:r>
        <w:r w:rsidR="00174053" w:rsidRPr="00B95951">
          <w:rPr>
            <w:b w:val="0"/>
            <w:webHidden/>
          </w:rPr>
          <w:fldChar w:fldCharType="separate"/>
        </w:r>
        <w:r w:rsidR="00B95951" w:rsidRPr="00B95951">
          <w:rPr>
            <w:b w:val="0"/>
            <w:webHidden/>
          </w:rPr>
          <w:t>159</w:t>
        </w:r>
        <w:r w:rsidR="00174053" w:rsidRPr="00B95951">
          <w:rPr>
            <w:b w:val="0"/>
            <w:webHidden/>
          </w:rPr>
          <w:fldChar w:fldCharType="end"/>
        </w:r>
      </w:hyperlink>
    </w:p>
    <w:p w14:paraId="66472EA6" w14:textId="77777777" w:rsidR="00174053" w:rsidRPr="00B95951" w:rsidRDefault="00652264" w:rsidP="00B95951">
      <w:pPr>
        <w:pStyle w:val="TM2"/>
        <w:jc w:val="both"/>
        <w:rPr>
          <w:b w:val="0"/>
        </w:rPr>
      </w:pPr>
      <w:hyperlink w:anchor="_Toc70330424" w:history="1">
        <w:r w:rsidR="00174053" w:rsidRPr="00B95951">
          <w:rPr>
            <w:rStyle w:val="Lienhypertexte"/>
            <w:b w:val="0"/>
            <w:iCs/>
          </w:rPr>
          <w:t>5.2.1.</w:t>
        </w:r>
        <w:r w:rsidR="00174053" w:rsidRPr="00B95951">
          <w:rPr>
            <w:b w:val="0"/>
          </w:rPr>
          <w:tab/>
        </w:r>
        <w:r w:rsidR="00174053" w:rsidRPr="00B95951">
          <w:rPr>
            <w:rStyle w:val="Lienhypertexte"/>
            <w:b w:val="0"/>
            <w:i/>
          </w:rPr>
          <w:t>Impacts négatifs globaux communs à tous les sous-projets en phase de travaux</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_Toc70330424 \h </w:instrText>
        </w:r>
        <w:r w:rsidR="00174053" w:rsidRPr="00B95951">
          <w:rPr>
            <w:b w:val="0"/>
            <w:webHidden/>
          </w:rPr>
        </w:r>
        <w:r w:rsidR="00174053" w:rsidRPr="00B95951">
          <w:rPr>
            <w:b w:val="0"/>
            <w:webHidden/>
          </w:rPr>
          <w:fldChar w:fldCharType="separate"/>
        </w:r>
        <w:r w:rsidR="00B95951" w:rsidRPr="00B95951">
          <w:rPr>
            <w:b w:val="0"/>
            <w:webHidden/>
          </w:rPr>
          <w:t>159</w:t>
        </w:r>
        <w:r w:rsidR="00174053" w:rsidRPr="00B95951">
          <w:rPr>
            <w:b w:val="0"/>
            <w:webHidden/>
          </w:rPr>
          <w:fldChar w:fldCharType="end"/>
        </w:r>
      </w:hyperlink>
    </w:p>
    <w:p w14:paraId="53D5942F" w14:textId="77777777" w:rsidR="00174053" w:rsidRPr="00B95951" w:rsidRDefault="00652264" w:rsidP="00B95951">
      <w:pPr>
        <w:pStyle w:val="TM2"/>
        <w:jc w:val="both"/>
        <w:rPr>
          <w:b w:val="0"/>
        </w:rPr>
      </w:pPr>
      <w:hyperlink w:anchor="_Toc70330427" w:history="1">
        <w:r w:rsidR="00174053" w:rsidRPr="00B95951">
          <w:rPr>
            <w:rStyle w:val="Lienhypertexte"/>
            <w:b w:val="0"/>
            <w:iCs/>
          </w:rPr>
          <w:t>5.2.2.</w:t>
        </w:r>
        <w:r w:rsidR="00174053" w:rsidRPr="00B95951">
          <w:rPr>
            <w:b w:val="0"/>
          </w:rPr>
          <w:tab/>
        </w:r>
        <w:r w:rsidR="00174053" w:rsidRPr="00B95951">
          <w:rPr>
            <w:rStyle w:val="Lienhypertexte"/>
            <w:b w:val="0"/>
            <w:i/>
          </w:rPr>
          <w:t>Impacts négatifs spécifiques des travaux de réhabilitation des routes rurales, aménagement des marchés communautaires et abattoirs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_Toc70330427 \h </w:instrText>
        </w:r>
        <w:r w:rsidR="00174053" w:rsidRPr="00B95951">
          <w:rPr>
            <w:b w:val="0"/>
            <w:webHidden/>
          </w:rPr>
        </w:r>
        <w:r w:rsidR="00174053" w:rsidRPr="00B95951">
          <w:rPr>
            <w:b w:val="0"/>
            <w:webHidden/>
          </w:rPr>
          <w:fldChar w:fldCharType="separate"/>
        </w:r>
        <w:r w:rsidR="00B95951" w:rsidRPr="00B95951">
          <w:rPr>
            <w:b w:val="0"/>
            <w:webHidden/>
          </w:rPr>
          <w:t>167</w:t>
        </w:r>
        <w:r w:rsidR="00174053" w:rsidRPr="00B95951">
          <w:rPr>
            <w:b w:val="0"/>
            <w:webHidden/>
          </w:rPr>
          <w:fldChar w:fldCharType="end"/>
        </w:r>
      </w:hyperlink>
    </w:p>
    <w:p w14:paraId="43A2AEE8" w14:textId="77777777" w:rsidR="00174053" w:rsidRPr="00B95951" w:rsidRDefault="00652264" w:rsidP="00B95951">
      <w:pPr>
        <w:pStyle w:val="TM2"/>
        <w:jc w:val="both"/>
        <w:rPr>
          <w:b w:val="0"/>
        </w:rPr>
      </w:pPr>
      <w:hyperlink w:anchor="_Toc70330428" w:history="1">
        <w:r w:rsidR="00174053" w:rsidRPr="00B95951">
          <w:rPr>
            <w:rStyle w:val="Lienhypertexte"/>
            <w:b w:val="0"/>
            <w:iCs/>
          </w:rPr>
          <w:t>5.2.3.</w:t>
        </w:r>
        <w:r w:rsidR="00174053" w:rsidRPr="00B95951">
          <w:rPr>
            <w:b w:val="0"/>
          </w:rPr>
          <w:tab/>
        </w:r>
        <w:r w:rsidR="00174053" w:rsidRPr="00B95951">
          <w:rPr>
            <w:rStyle w:val="Lienhypertexte"/>
            <w:b w:val="0"/>
            <w:i/>
          </w:rPr>
          <w:t>Impacts négatifs sur les travaux d’aménagements hydro-agricoles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_Toc70330428 \h </w:instrText>
        </w:r>
        <w:r w:rsidR="00174053" w:rsidRPr="00B95951">
          <w:rPr>
            <w:b w:val="0"/>
            <w:webHidden/>
          </w:rPr>
        </w:r>
        <w:r w:rsidR="00174053" w:rsidRPr="00B95951">
          <w:rPr>
            <w:b w:val="0"/>
            <w:webHidden/>
          </w:rPr>
          <w:fldChar w:fldCharType="separate"/>
        </w:r>
        <w:r w:rsidR="00B95951" w:rsidRPr="00B95951">
          <w:rPr>
            <w:b w:val="0"/>
            <w:webHidden/>
          </w:rPr>
          <w:t>168</w:t>
        </w:r>
        <w:r w:rsidR="00174053" w:rsidRPr="00B95951">
          <w:rPr>
            <w:b w:val="0"/>
            <w:webHidden/>
          </w:rPr>
          <w:fldChar w:fldCharType="end"/>
        </w:r>
      </w:hyperlink>
    </w:p>
    <w:p w14:paraId="531CE055" w14:textId="77777777" w:rsidR="00174053" w:rsidRPr="00B95951" w:rsidRDefault="00652264" w:rsidP="00B95951">
      <w:pPr>
        <w:pStyle w:val="TM2"/>
        <w:jc w:val="both"/>
        <w:rPr>
          <w:b w:val="0"/>
        </w:rPr>
      </w:pPr>
      <w:hyperlink w:anchor="_Toc70330429" w:history="1">
        <w:r w:rsidR="00174053" w:rsidRPr="00B95951">
          <w:rPr>
            <w:rStyle w:val="Lienhypertexte"/>
            <w:b w:val="0"/>
            <w:iCs/>
          </w:rPr>
          <w:t>5.2.4.</w:t>
        </w:r>
        <w:r w:rsidR="00174053" w:rsidRPr="00B95951">
          <w:rPr>
            <w:b w:val="0"/>
          </w:rPr>
          <w:tab/>
        </w:r>
        <w:r w:rsidR="00174053" w:rsidRPr="00B95951">
          <w:rPr>
            <w:rStyle w:val="Lienhypertexte"/>
            <w:b w:val="0"/>
            <w:i/>
          </w:rPr>
          <w:t>Analyse des Impacts cumulatifs négatifs pontentiels et mesures d’atténuation des activités du Projet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_Toc70330429 \h </w:instrText>
        </w:r>
        <w:r w:rsidR="00174053" w:rsidRPr="00B95951">
          <w:rPr>
            <w:b w:val="0"/>
            <w:webHidden/>
          </w:rPr>
        </w:r>
        <w:r w:rsidR="00174053" w:rsidRPr="00B95951">
          <w:rPr>
            <w:b w:val="0"/>
            <w:webHidden/>
          </w:rPr>
          <w:fldChar w:fldCharType="separate"/>
        </w:r>
        <w:r w:rsidR="00B95951" w:rsidRPr="00B95951">
          <w:rPr>
            <w:b w:val="0"/>
            <w:webHidden/>
          </w:rPr>
          <w:t>169</w:t>
        </w:r>
        <w:r w:rsidR="00174053" w:rsidRPr="00B95951">
          <w:rPr>
            <w:b w:val="0"/>
            <w:webHidden/>
          </w:rPr>
          <w:fldChar w:fldCharType="end"/>
        </w:r>
      </w:hyperlink>
    </w:p>
    <w:p w14:paraId="15D705DB" w14:textId="77777777" w:rsidR="00174053" w:rsidRPr="00B95951" w:rsidRDefault="00652264" w:rsidP="00B95951">
      <w:pPr>
        <w:pStyle w:val="TM2"/>
        <w:jc w:val="both"/>
        <w:rPr>
          <w:b w:val="0"/>
        </w:rPr>
      </w:pPr>
      <w:hyperlink w:anchor="_Toc70330430" w:history="1">
        <w:r w:rsidR="00174053" w:rsidRPr="00B95951">
          <w:rPr>
            <w:rStyle w:val="Lienhypertexte"/>
            <w:b w:val="0"/>
            <w:iCs/>
          </w:rPr>
          <w:t>5.2.5.</w:t>
        </w:r>
        <w:r w:rsidR="00174053" w:rsidRPr="00B95951">
          <w:rPr>
            <w:b w:val="0"/>
          </w:rPr>
          <w:tab/>
        </w:r>
        <w:r w:rsidR="00174053" w:rsidRPr="00B95951">
          <w:rPr>
            <w:rStyle w:val="Lienhypertexte"/>
            <w:b w:val="0"/>
            <w:i/>
          </w:rPr>
          <w:t>Synthèse des impacts environnementaux et sociaux négatifs potentiels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_Toc70330430 \h </w:instrText>
        </w:r>
        <w:r w:rsidR="00174053" w:rsidRPr="00B95951">
          <w:rPr>
            <w:b w:val="0"/>
            <w:webHidden/>
          </w:rPr>
        </w:r>
        <w:r w:rsidR="00174053" w:rsidRPr="00B95951">
          <w:rPr>
            <w:b w:val="0"/>
            <w:webHidden/>
          </w:rPr>
          <w:fldChar w:fldCharType="separate"/>
        </w:r>
        <w:r w:rsidR="00B95951" w:rsidRPr="00B95951">
          <w:rPr>
            <w:b w:val="0"/>
            <w:webHidden/>
          </w:rPr>
          <w:t>176</w:t>
        </w:r>
        <w:r w:rsidR="00174053" w:rsidRPr="00B95951">
          <w:rPr>
            <w:b w:val="0"/>
            <w:webHidden/>
          </w:rPr>
          <w:fldChar w:fldCharType="end"/>
        </w:r>
      </w:hyperlink>
    </w:p>
    <w:p w14:paraId="75086864" w14:textId="77777777" w:rsidR="00174053" w:rsidRPr="00B95951" w:rsidRDefault="00652264" w:rsidP="00B95951">
      <w:pPr>
        <w:pStyle w:val="TM2"/>
        <w:jc w:val="both"/>
        <w:rPr>
          <w:b w:val="0"/>
        </w:rPr>
      </w:pPr>
      <w:hyperlink w:anchor="_Toc70330431" w:history="1">
        <w:r w:rsidR="00174053" w:rsidRPr="00B95951">
          <w:rPr>
            <w:rStyle w:val="Lienhypertexte"/>
            <w:b w:val="0"/>
            <w:iCs/>
          </w:rPr>
          <w:t>5.2.6.</w:t>
        </w:r>
        <w:r w:rsidR="00174053" w:rsidRPr="00B95951">
          <w:rPr>
            <w:b w:val="0"/>
          </w:rPr>
          <w:tab/>
        </w:r>
        <w:r w:rsidR="00174053" w:rsidRPr="00B95951">
          <w:rPr>
            <w:rStyle w:val="Lienhypertexte"/>
            <w:b w:val="0"/>
            <w:i/>
          </w:rPr>
          <w:t>Mesures de bonification des impacts positifs et d’atténuation des impacts négatifs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_Toc70330431 \h </w:instrText>
        </w:r>
        <w:r w:rsidR="00174053" w:rsidRPr="00B95951">
          <w:rPr>
            <w:b w:val="0"/>
            <w:webHidden/>
          </w:rPr>
        </w:r>
        <w:r w:rsidR="00174053" w:rsidRPr="00B95951">
          <w:rPr>
            <w:b w:val="0"/>
            <w:webHidden/>
          </w:rPr>
          <w:fldChar w:fldCharType="separate"/>
        </w:r>
        <w:r w:rsidR="00B95951" w:rsidRPr="00B95951">
          <w:rPr>
            <w:b w:val="0"/>
            <w:webHidden/>
          </w:rPr>
          <w:t>181</w:t>
        </w:r>
        <w:r w:rsidR="00174053" w:rsidRPr="00B95951">
          <w:rPr>
            <w:b w:val="0"/>
            <w:webHidden/>
          </w:rPr>
          <w:fldChar w:fldCharType="end"/>
        </w:r>
      </w:hyperlink>
    </w:p>
    <w:p w14:paraId="5E99A941" w14:textId="77777777" w:rsidR="00174053" w:rsidRPr="00B95951" w:rsidRDefault="00652264" w:rsidP="00B95951">
      <w:pPr>
        <w:pStyle w:val="TM2"/>
        <w:jc w:val="both"/>
        <w:rPr>
          <w:b w:val="0"/>
        </w:rPr>
      </w:pPr>
      <w:hyperlink w:anchor="_Toc70330432" w:history="1">
        <w:r w:rsidR="00174053" w:rsidRPr="00B95951">
          <w:rPr>
            <w:rStyle w:val="Lienhypertexte"/>
            <w:b w:val="0"/>
            <w:iCs/>
          </w:rPr>
          <w:t>5.2.7.</w:t>
        </w:r>
        <w:r w:rsidR="00174053" w:rsidRPr="00B95951">
          <w:rPr>
            <w:b w:val="0"/>
          </w:rPr>
          <w:tab/>
        </w:r>
        <w:r w:rsidR="00174053" w:rsidRPr="00B95951">
          <w:rPr>
            <w:rStyle w:val="Lienhypertexte"/>
            <w:b w:val="0"/>
            <w:i/>
          </w:rPr>
          <w:t>Mesures d’atténuation des impacts négatifs potentiels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_Toc70330432 \h </w:instrText>
        </w:r>
        <w:r w:rsidR="00174053" w:rsidRPr="00B95951">
          <w:rPr>
            <w:b w:val="0"/>
            <w:webHidden/>
          </w:rPr>
        </w:r>
        <w:r w:rsidR="00174053" w:rsidRPr="00B95951">
          <w:rPr>
            <w:b w:val="0"/>
            <w:webHidden/>
          </w:rPr>
          <w:fldChar w:fldCharType="separate"/>
        </w:r>
        <w:r w:rsidR="00B95951" w:rsidRPr="00B95951">
          <w:rPr>
            <w:b w:val="0"/>
            <w:webHidden/>
          </w:rPr>
          <w:t>184</w:t>
        </w:r>
        <w:r w:rsidR="00174053" w:rsidRPr="00B95951">
          <w:rPr>
            <w:b w:val="0"/>
            <w:webHidden/>
          </w:rPr>
          <w:fldChar w:fldCharType="end"/>
        </w:r>
      </w:hyperlink>
    </w:p>
    <w:p w14:paraId="47FF163A" w14:textId="77777777" w:rsidR="00174053" w:rsidRPr="00B95951" w:rsidRDefault="00652264" w:rsidP="00B95951">
      <w:pPr>
        <w:pStyle w:val="TM2"/>
        <w:jc w:val="both"/>
        <w:rPr>
          <w:b w:val="0"/>
        </w:rPr>
      </w:pPr>
      <w:hyperlink w:anchor="_Toc70330433" w:history="1">
        <w:r w:rsidR="00174053" w:rsidRPr="00B95951">
          <w:rPr>
            <w:rStyle w:val="Lienhypertexte"/>
            <w:b w:val="0"/>
            <w:iCs/>
          </w:rPr>
          <w:t>5.2.8.</w:t>
        </w:r>
        <w:r w:rsidR="00174053" w:rsidRPr="00B95951">
          <w:rPr>
            <w:b w:val="0"/>
          </w:rPr>
          <w:tab/>
        </w:r>
        <w:r w:rsidR="00174053" w:rsidRPr="00B95951">
          <w:rPr>
            <w:rStyle w:val="Lienhypertexte"/>
            <w:b w:val="0"/>
            <w:i/>
          </w:rPr>
          <w:t>Clauses environnementales et sociales pour les travaux</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_Toc70330433 \h </w:instrText>
        </w:r>
        <w:r w:rsidR="00174053" w:rsidRPr="00B95951">
          <w:rPr>
            <w:b w:val="0"/>
            <w:webHidden/>
          </w:rPr>
        </w:r>
        <w:r w:rsidR="00174053" w:rsidRPr="00B95951">
          <w:rPr>
            <w:b w:val="0"/>
            <w:webHidden/>
          </w:rPr>
          <w:fldChar w:fldCharType="separate"/>
        </w:r>
        <w:r w:rsidR="00B95951" w:rsidRPr="00B95951">
          <w:rPr>
            <w:b w:val="0"/>
            <w:webHidden/>
          </w:rPr>
          <w:t>216</w:t>
        </w:r>
        <w:r w:rsidR="00174053" w:rsidRPr="00B95951">
          <w:rPr>
            <w:b w:val="0"/>
            <w:webHidden/>
          </w:rPr>
          <w:fldChar w:fldCharType="end"/>
        </w:r>
      </w:hyperlink>
    </w:p>
    <w:p w14:paraId="20049354" w14:textId="77777777" w:rsidR="00174053" w:rsidRPr="00B95951" w:rsidRDefault="00652264" w:rsidP="00B95951">
      <w:pPr>
        <w:pStyle w:val="TM2"/>
        <w:jc w:val="both"/>
        <w:rPr>
          <w:b w:val="0"/>
        </w:rPr>
      </w:pPr>
      <w:hyperlink w:anchor="_Toc70330434" w:history="1">
        <w:r w:rsidR="00174053" w:rsidRPr="00B95951">
          <w:rPr>
            <w:rStyle w:val="Lienhypertexte"/>
            <w:b w:val="0"/>
            <w:iCs/>
          </w:rPr>
          <w:t>5.2.9.</w:t>
        </w:r>
        <w:r w:rsidR="00174053" w:rsidRPr="00B95951">
          <w:rPr>
            <w:b w:val="0"/>
          </w:rPr>
          <w:tab/>
        </w:r>
        <w:r w:rsidR="00174053" w:rsidRPr="00B95951">
          <w:rPr>
            <w:rStyle w:val="Lienhypertexte"/>
            <w:b w:val="0"/>
            <w:i/>
          </w:rPr>
          <w:t>Procédure en cas de découverte fortuite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_Toc70330434 \h </w:instrText>
        </w:r>
        <w:r w:rsidR="00174053" w:rsidRPr="00B95951">
          <w:rPr>
            <w:b w:val="0"/>
            <w:webHidden/>
          </w:rPr>
        </w:r>
        <w:r w:rsidR="00174053" w:rsidRPr="00B95951">
          <w:rPr>
            <w:b w:val="0"/>
            <w:webHidden/>
          </w:rPr>
          <w:fldChar w:fldCharType="separate"/>
        </w:r>
        <w:r w:rsidR="00B95951" w:rsidRPr="00B95951">
          <w:rPr>
            <w:b w:val="0"/>
            <w:webHidden/>
          </w:rPr>
          <w:t>219</w:t>
        </w:r>
        <w:r w:rsidR="00174053" w:rsidRPr="00B95951">
          <w:rPr>
            <w:b w:val="0"/>
            <w:webHidden/>
          </w:rPr>
          <w:fldChar w:fldCharType="end"/>
        </w:r>
      </w:hyperlink>
    </w:p>
    <w:p w14:paraId="6A94B256" w14:textId="77777777" w:rsidR="00174053" w:rsidRPr="00B95951" w:rsidRDefault="00652264" w:rsidP="00B95951">
      <w:pPr>
        <w:pStyle w:val="TM2"/>
        <w:jc w:val="both"/>
        <w:rPr>
          <w:b w:val="0"/>
        </w:rPr>
      </w:pPr>
      <w:hyperlink w:anchor="_Toc70330435" w:history="1">
        <w:r w:rsidR="00174053" w:rsidRPr="00B95951">
          <w:rPr>
            <w:rStyle w:val="Lienhypertexte"/>
            <w:b w:val="0"/>
            <w:iCs/>
          </w:rPr>
          <w:t>5.2.10.</w:t>
        </w:r>
        <w:r w:rsidR="00174053" w:rsidRPr="00B95951">
          <w:rPr>
            <w:b w:val="0"/>
          </w:rPr>
          <w:tab/>
        </w:r>
        <w:r w:rsidR="00174053" w:rsidRPr="00B95951">
          <w:rPr>
            <w:rStyle w:val="Lienhypertexte"/>
            <w:b w:val="0"/>
            <w:i/>
          </w:rPr>
          <w:t>Procédure découverte des mines terrestres et restes explosifs de guerre (REG)</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_Toc70330435 \h </w:instrText>
        </w:r>
        <w:r w:rsidR="00174053" w:rsidRPr="00B95951">
          <w:rPr>
            <w:b w:val="0"/>
            <w:webHidden/>
          </w:rPr>
        </w:r>
        <w:r w:rsidR="00174053" w:rsidRPr="00B95951">
          <w:rPr>
            <w:b w:val="0"/>
            <w:webHidden/>
          </w:rPr>
          <w:fldChar w:fldCharType="separate"/>
        </w:r>
        <w:r w:rsidR="00B95951" w:rsidRPr="00B95951">
          <w:rPr>
            <w:b w:val="0"/>
            <w:webHidden/>
          </w:rPr>
          <w:t>222</w:t>
        </w:r>
        <w:r w:rsidR="00174053" w:rsidRPr="00B95951">
          <w:rPr>
            <w:b w:val="0"/>
            <w:webHidden/>
          </w:rPr>
          <w:fldChar w:fldCharType="end"/>
        </w:r>
      </w:hyperlink>
    </w:p>
    <w:p w14:paraId="658A8F9E" w14:textId="77777777" w:rsidR="00174053" w:rsidRPr="00B95951" w:rsidRDefault="00652264" w:rsidP="00B95951">
      <w:pPr>
        <w:pStyle w:val="TM2"/>
        <w:jc w:val="both"/>
        <w:rPr>
          <w:b w:val="0"/>
        </w:rPr>
      </w:pPr>
      <w:hyperlink w:anchor="_Toc70330436" w:history="1">
        <w:r w:rsidR="00174053" w:rsidRPr="00B95951">
          <w:rPr>
            <w:rStyle w:val="Lienhypertexte"/>
            <w:b w:val="0"/>
            <w:iCs/>
          </w:rPr>
          <w:t>5.2.11.</w:t>
        </w:r>
        <w:r w:rsidR="00174053" w:rsidRPr="00B95951">
          <w:rPr>
            <w:b w:val="0"/>
          </w:rPr>
          <w:tab/>
        </w:r>
        <w:r w:rsidR="00174053" w:rsidRPr="00B95951">
          <w:rPr>
            <w:rStyle w:val="Lienhypertexte"/>
            <w:b w:val="0"/>
            <w:i/>
          </w:rPr>
          <w:t>Directives applicables sur Hygiène, Environnement et Sécurité</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_Toc70330436 \h </w:instrText>
        </w:r>
        <w:r w:rsidR="00174053" w:rsidRPr="00B95951">
          <w:rPr>
            <w:b w:val="0"/>
            <w:webHidden/>
          </w:rPr>
        </w:r>
        <w:r w:rsidR="00174053" w:rsidRPr="00B95951">
          <w:rPr>
            <w:b w:val="0"/>
            <w:webHidden/>
          </w:rPr>
          <w:fldChar w:fldCharType="separate"/>
        </w:r>
        <w:r w:rsidR="00B95951" w:rsidRPr="00B95951">
          <w:rPr>
            <w:b w:val="0"/>
            <w:webHidden/>
          </w:rPr>
          <w:t>224</w:t>
        </w:r>
        <w:r w:rsidR="00174053" w:rsidRPr="00B95951">
          <w:rPr>
            <w:b w:val="0"/>
            <w:webHidden/>
          </w:rPr>
          <w:fldChar w:fldCharType="end"/>
        </w:r>
      </w:hyperlink>
    </w:p>
    <w:p w14:paraId="0FB47C57" w14:textId="77777777" w:rsidR="00174053" w:rsidRPr="00B95951" w:rsidRDefault="00652264" w:rsidP="00B95951">
      <w:pPr>
        <w:pStyle w:val="TM2"/>
        <w:jc w:val="both"/>
        <w:rPr>
          <w:b w:val="0"/>
        </w:rPr>
      </w:pPr>
      <w:hyperlink w:anchor="_Toc70330437" w:history="1">
        <w:r w:rsidR="00174053" w:rsidRPr="00B95951">
          <w:rPr>
            <w:rStyle w:val="Lienhypertexte"/>
            <w:b w:val="0"/>
            <w:iCs/>
          </w:rPr>
          <w:t>5.2.12.</w:t>
        </w:r>
        <w:r w:rsidR="00174053" w:rsidRPr="00B95951">
          <w:rPr>
            <w:b w:val="0"/>
          </w:rPr>
          <w:tab/>
        </w:r>
        <w:r w:rsidR="00174053" w:rsidRPr="00B95951">
          <w:rPr>
            <w:rStyle w:val="Lienhypertexte"/>
            <w:b w:val="0"/>
            <w:i/>
          </w:rPr>
          <w:t>Code de bonne conduite pour les ouvriers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_Toc70330437 \h </w:instrText>
        </w:r>
        <w:r w:rsidR="00174053" w:rsidRPr="00B95951">
          <w:rPr>
            <w:b w:val="0"/>
            <w:webHidden/>
          </w:rPr>
        </w:r>
        <w:r w:rsidR="00174053" w:rsidRPr="00B95951">
          <w:rPr>
            <w:b w:val="0"/>
            <w:webHidden/>
          </w:rPr>
          <w:fldChar w:fldCharType="separate"/>
        </w:r>
        <w:r w:rsidR="00B95951" w:rsidRPr="00B95951">
          <w:rPr>
            <w:b w:val="0"/>
            <w:webHidden/>
          </w:rPr>
          <w:t>226</w:t>
        </w:r>
        <w:r w:rsidR="00174053" w:rsidRPr="00B95951">
          <w:rPr>
            <w:b w:val="0"/>
            <w:webHidden/>
          </w:rPr>
          <w:fldChar w:fldCharType="end"/>
        </w:r>
      </w:hyperlink>
    </w:p>
    <w:p w14:paraId="1A12C437" w14:textId="77777777" w:rsidR="00174053" w:rsidRPr="00B95951" w:rsidRDefault="00652264" w:rsidP="00B95951">
      <w:pPr>
        <w:pStyle w:val="TM2"/>
        <w:jc w:val="both"/>
        <w:rPr>
          <w:b w:val="0"/>
        </w:rPr>
      </w:pPr>
      <w:hyperlink w:anchor="_Toc70330438" w:history="1">
        <w:r w:rsidR="00174053" w:rsidRPr="00B95951">
          <w:rPr>
            <w:rStyle w:val="Lienhypertexte"/>
            <w:b w:val="0"/>
            <w:iCs/>
          </w:rPr>
          <w:t>5.2.13.</w:t>
        </w:r>
        <w:r w:rsidR="00174053" w:rsidRPr="00B95951">
          <w:rPr>
            <w:b w:val="0"/>
          </w:rPr>
          <w:tab/>
        </w:r>
        <w:r w:rsidR="00174053" w:rsidRPr="00B95951">
          <w:rPr>
            <w:rStyle w:val="Lienhypertexte"/>
            <w:b w:val="0"/>
            <w:i/>
          </w:rPr>
          <w:t>Clauses sociales sur les VBG, y compris l’EAS et le HS, et les VCE.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_Toc70330438 \h </w:instrText>
        </w:r>
        <w:r w:rsidR="00174053" w:rsidRPr="00B95951">
          <w:rPr>
            <w:b w:val="0"/>
            <w:webHidden/>
          </w:rPr>
        </w:r>
        <w:r w:rsidR="00174053" w:rsidRPr="00B95951">
          <w:rPr>
            <w:b w:val="0"/>
            <w:webHidden/>
          </w:rPr>
          <w:fldChar w:fldCharType="separate"/>
        </w:r>
        <w:r w:rsidR="00B95951" w:rsidRPr="00B95951">
          <w:rPr>
            <w:b w:val="0"/>
            <w:webHidden/>
          </w:rPr>
          <w:t>226</w:t>
        </w:r>
        <w:r w:rsidR="00174053" w:rsidRPr="00B95951">
          <w:rPr>
            <w:b w:val="0"/>
            <w:webHidden/>
          </w:rPr>
          <w:fldChar w:fldCharType="end"/>
        </w:r>
      </w:hyperlink>
    </w:p>
    <w:p w14:paraId="5CFE24B5" w14:textId="77777777" w:rsidR="00174053" w:rsidRPr="00B95951" w:rsidRDefault="00652264" w:rsidP="00B95951">
      <w:pPr>
        <w:pStyle w:val="TM2"/>
        <w:jc w:val="both"/>
        <w:rPr>
          <w:b w:val="0"/>
        </w:rPr>
      </w:pPr>
      <w:hyperlink w:anchor="_Toc70330439" w:history="1">
        <w:r w:rsidR="00174053" w:rsidRPr="00B95951">
          <w:rPr>
            <w:rStyle w:val="Lienhypertexte"/>
            <w:b w:val="0"/>
            <w:iCs/>
          </w:rPr>
          <w:t>5.2.14.</w:t>
        </w:r>
        <w:r w:rsidR="00174053" w:rsidRPr="00B95951">
          <w:rPr>
            <w:b w:val="0"/>
          </w:rPr>
          <w:tab/>
        </w:r>
        <w:r w:rsidR="00174053" w:rsidRPr="00B95951">
          <w:rPr>
            <w:rStyle w:val="Lienhypertexte"/>
            <w:b w:val="0"/>
            <w:i/>
          </w:rPr>
          <w:t>Harcèlement moral</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_Toc70330439 \h </w:instrText>
        </w:r>
        <w:r w:rsidR="00174053" w:rsidRPr="00B95951">
          <w:rPr>
            <w:b w:val="0"/>
            <w:webHidden/>
          </w:rPr>
        </w:r>
        <w:r w:rsidR="00174053" w:rsidRPr="00B95951">
          <w:rPr>
            <w:b w:val="0"/>
            <w:webHidden/>
          </w:rPr>
          <w:fldChar w:fldCharType="separate"/>
        </w:r>
        <w:r w:rsidR="00B95951" w:rsidRPr="00B95951">
          <w:rPr>
            <w:b w:val="0"/>
            <w:webHidden/>
          </w:rPr>
          <w:t>226</w:t>
        </w:r>
        <w:r w:rsidR="00174053" w:rsidRPr="00B95951">
          <w:rPr>
            <w:b w:val="0"/>
            <w:webHidden/>
          </w:rPr>
          <w:fldChar w:fldCharType="end"/>
        </w:r>
      </w:hyperlink>
    </w:p>
    <w:p w14:paraId="1CD30C79" w14:textId="77777777" w:rsidR="00174053" w:rsidRPr="00B95951" w:rsidRDefault="00652264" w:rsidP="00B95951">
      <w:pPr>
        <w:pStyle w:val="TM2"/>
        <w:jc w:val="both"/>
        <w:rPr>
          <w:b w:val="0"/>
        </w:rPr>
      </w:pPr>
      <w:hyperlink w:anchor="_Toc70330440" w:history="1">
        <w:r w:rsidR="00174053" w:rsidRPr="00B95951">
          <w:rPr>
            <w:rStyle w:val="Lienhypertexte"/>
            <w:b w:val="0"/>
            <w:iCs/>
          </w:rPr>
          <w:t>5.2.15.</w:t>
        </w:r>
        <w:r w:rsidR="00174053" w:rsidRPr="00B95951">
          <w:rPr>
            <w:b w:val="0"/>
          </w:rPr>
          <w:tab/>
        </w:r>
        <w:r w:rsidR="00174053" w:rsidRPr="00B95951">
          <w:rPr>
            <w:rStyle w:val="Lienhypertexte"/>
            <w:b w:val="0"/>
            <w:i/>
          </w:rPr>
          <w:t>Violences physiques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_Toc70330440 \h </w:instrText>
        </w:r>
        <w:r w:rsidR="00174053" w:rsidRPr="00B95951">
          <w:rPr>
            <w:b w:val="0"/>
            <w:webHidden/>
          </w:rPr>
        </w:r>
        <w:r w:rsidR="00174053" w:rsidRPr="00B95951">
          <w:rPr>
            <w:b w:val="0"/>
            <w:webHidden/>
          </w:rPr>
          <w:fldChar w:fldCharType="separate"/>
        </w:r>
        <w:r w:rsidR="00B95951" w:rsidRPr="00B95951">
          <w:rPr>
            <w:b w:val="0"/>
            <w:webHidden/>
          </w:rPr>
          <w:t>226</w:t>
        </w:r>
        <w:r w:rsidR="00174053" w:rsidRPr="00B95951">
          <w:rPr>
            <w:b w:val="0"/>
            <w:webHidden/>
          </w:rPr>
          <w:fldChar w:fldCharType="end"/>
        </w:r>
      </w:hyperlink>
    </w:p>
    <w:p w14:paraId="679233D4" w14:textId="77777777" w:rsidR="00174053" w:rsidRPr="00B95951" w:rsidRDefault="00652264" w:rsidP="00B95951">
      <w:pPr>
        <w:pStyle w:val="TM2"/>
        <w:jc w:val="both"/>
        <w:rPr>
          <w:b w:val="0"/>
        </w:rPr>
      </w:pPr>
      <w:hyperlink w:anchor="_Toc70330441" w:history="1">
        <w:r w:rsidR="00174053" w:rsidRPr="00B95951">
          <w:rPr>
            <w:rStyle w:val="Lienhypertexte"/>
            <w:b w:val="0"/>
            <w:iCs/>
          </w:rPr>
          <w:t>5.2.16.</w:t>
        </w:r>
        <w:r w:rsidR="00174053" w:rsidRPr="00B95951">
          <w:rPr>
            <w:b w:val="0"/>
          </w:rPr>
          <w:tab/>
        </w:r>
        <w:r w:rsidR="00174053" w:rsidRPr="00B95951">
          <w:rPr>
            <w:rStyle w:val="Lienhypertexte"/>
            <w:b w:val="0"/>
            <w:i/>
          </w:rPr>
          <w:t>Proxénétisme, harcèlement et violences sexuels et pédophilie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_Toc70330441 \h </w:instrText>
        </w:r>
        <w:r w:rsidR="00174053" w:rsidRPr="00B95951">
          <w:rPr>
            <w:b w:val="0"/>
            <w:webHidden/>
          </w:rPr>
        </w:r>
        <w:r w:rsidR="00174053" w:rsidRPr="00B95951">
          <w:rPr>
            <w:b w:val="0"/>
            <w:webHidden/>
          </w:rPr>
          <w:fldChar w:fldCharType="separate"/>
        </w:r>
        <w:r w:rsidR="00B95951" w:rsidRPr="00B95951">
          <w:rPr>
            <w:b w:val="0"/>
            <w:webHidden/>
          </w:rPr>
          <w:t>226</w:t>
        </w:r>
        <w:r w:rsidR="00174053" w:rsidRPr="00B95951">
          <w:rPr>
            <w:b w:val="0"/>
            <w:webHidden/>
          </w:rPr>
          <w:fldChar w:fldCharType="end"/>
        </w:r>
      </w:hyperlink>
    </w:p>
    <w:p w14:paraId="6EDB3CDB" w14:textId="77777777" w:rsidR="00174053" w:rsidRPr="00B95951" w:rsidRDefault="00652264" w:rsidP="00B95951">
      <w:pPr>
        <w:pStyle w:val="TM2"/>
        <w:jc w:val="both"/>
        <w:rPr>
          <w:b w:val="0"/>
        </w:rPr>
      </w:pPr>
      <w:hyperlink w:anchor="_Toc70330442" w:history="1">
        <w:r w:rsidR="00174053" w:rsidRPr="00B95951">
          <w:rPr>
            <w:rStyle w:val="Lienhypertexte"/>
            <w:b w:val="0"/>
            <w:iCs/>
          </w:rPr>
          <w:t>5.2.17.</w:t>
        </w:r>
        <w:r w:rsidR="00174053" w:rsidRPr="00B95951">
          <w:rPr>
            <w:b w:val="0"/>
          </w:rPr>
          <w:tab/>
        </w:r>
        <w:r w:rsidR="00174053" w:rsidRPr="00B95951">
          <w:rPr>
            <w:rStyle w:val="Lienhypertexte"/>
            <w:b w:val="0"/>
            <w:i/>
          </w:rPr>
          <w:t>Exploitation des enfants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_Toc70330442 \h </w:instrText>
        </w:r>
        <w:r w:rsidR="00174053" w:rsidRPr="00B95951">
          <w:rPr>
            <w:b w:val="0"/>
            <w:webHidden/>
          </w:rPr>
        </w:r>
        <w:r w:rsidR="00174053" w:rsidRPr="00B95951">
          <w:rPr>
            <w:b w:val="0"/>
            <w:webHidden/>
          </w:rPr>
          <w:fldChar w:fldCharType="separate"/>
        </w:r>
        <w:r w:rsidR="00B95951" w:rsidRPr="00B95951">
          <w:rPr>
            <w:b w:val="0"/>
            <w:webHidden/>
          </w:rPr>
          <w:t>227</w:t>
        </w:r>
        <w:r w:rsidR="00174053" w:rsidRPr="00B95951">
          <w:rPr>
            <w:b w:val="0"/>
            <w:webHidden/>
          </w:rPr>
          <w:fldChar w:fldCharType="end"/>
        </w:r>
      </w:hyperlink>
    </w:p>
    <w:p w14:paraId="6BBA8C86" w14:textId="77777777" w:rsidR="00174053" w:rsidRPr="00B95951" w:rsidRDefault="00652264" w:rsidP="00B95951">
      <w:pPr>
        <w:pStyle w:val="TM2"/>
        <w:jc w:val="both"/>
        <w:rPr>
          <w:b w:val="0"/>
        </w:rPr>
      </w:pPr>
      <w:hyperlink w:anchor="_Toc70330443" w:history="1">
        <w:r w:rsidR="00174053" w:rsidRPr="00B95951">
          <w:rPr>
            <w:rStyle w:val="Lienhypertexte"/>
            <w:b w:val="0"/>
            <w:iCs/>
          </w:rPr>
          <w:t>5.2.18.</w:t>
        </w:r>
        <w:r w:rsidR="00174053" w:rsidRPr="00B95951">
          <w:rPr>
            <w:b w:val="0"/>
          </w:rPr>
          <w:tab/>
        </w:r>
        <w:r w:rsidR="00174053" w:rsidRPr="00B95951">
          <w:rPr>
            <w:rStyle w:val="Lienhypertexte"/>
            <w:b w:val="0"/>
            <w:i/>
          </w:rPr>
          <w:t>Recours au personnel de sécurité pour la protection du chantier</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_Toc70330443 \h </w:instrText>
        </w:r>
        <w:r w:rsidR="00174053" w:rsidRPr="00B95951">
          <w:rPr>
            <w:b w:val="0"/>
            <w:webHidden/>
          </w:rPr>
        </w:r>
        <w:r w:rsidR="00174053" w:rsidRPr="00B95951">
          <w:rPr>
            <w:b w:val="0"/>
            <w:webHidden/>
          </w:rPr>
          <w:fldChar w:fldCharType="separate"/>
        </w:r>
        <w:r w:rsidR="00B95951" w:rsidRPr="00B95951">
          <w:rPr>
            <w:b w:val="0"/>
            <w:webHidden/>
          </w:rPr>
          <w:t>227</w:t>
        </w:r>
        <w:r w:rsidR="00174053" w:rsidRPr="00B95951">
          <w:rPr>
            <w:b w:val="0"/>
            <w:webHidden/>
          </w:rPr>
          <w:fldChar w:fldCharType="end"/>
        </w:r>
      </w:hyperlink>
    </w:p>
    <w:p w14:paraId="6EADF154" w14:textId="77777777" w:rsidR="00174053" w:rsidRPr="00B95951" w:rsidRDefault="00652264" w:rsidP="00B95951">
      <w:pPr>
        <w:pStyle w:val="TM2"/>
        <w:jc w:val="both"/>
        <w:rPr>
          <w:b w:val="0"/>
        </w:rPr>
      </w:pPr>
      <w:hyperlink w:anchor="_Toc70330444" w:history="1">
        <w:r w:rsidR="00174053" w:rsidRPr="00B95951">
          <w:rPr>
            <w:rStyle w:val="Lienhypertexte"/>
            <w:b w:val="0"/>
            <w:iCs/>
          </w:rPr>
          <w:t>5.2.19.</w:t>
        </w:r>
        <w:r w:rsidR="00174053" w:rsidRPr="00B95951">
          <w:rPr>
            <w:b w:val="0"/>
          </w:rPr>
          <w:tab/>
        </w:r>
        <w:r w:rsidR="00174053" w:rsidRPr="00B95951">
          <w:rPr>
            <w:rStyle w:val="Lienhypertexte"/>
            <w:b w:val="0"/>
            <w:i/>
          </w:rPr>
          <w:t>Clauses environnementales et sociales pour les travaux</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_Toc70330444 \h </w:instrText>
        </w:r>
        <w:r w:rsidR="00174053" w:rsidRPr="00B95951">
          <w:rPr>
            <w:b w:val="0"/>
            <w:webHidden/>
          </w:rPr>
        </w:r>
        <w:r w:rsidR="00174053" w:rsidRPr="00B95951">
          <w:rPr>
            <w:b w:val="0"/>
            <w:webHidden/>
          </w:rPr>
          <w:fldChar w:fldCharType="separate"/>
        </w:r>
        <w:r w:rsidR="00B95951" w:rsidRPr="00B95951">
          <w:rPr>
            <w:b w:val="0"/>
            <w:webHidden/>
          </w:rPr>
          <w:t>228</w:t>
        </w:r>
        <w:r w:rsidR="00174053" w:rsidRPr="00B95951">
          <w:rPr>
            <w:b w:val="0"/>
            <w:webHidden/>
          </w:rPr>
          <w:fldChar w:fldCharType="end"/>
        </w:r>
      </w:hyperlink>
    </w:p>
    <w:p w14:paraId="22101F13" w14:textId="77777777" w:rsidR="00174053" w:rsidRPr="00B95951" w:rsidRDefault="00652264" w:rsidP="00B95951">
      <w:pPr>
        <w:pStyle w:val="TM1"/>
        <w:tabs>
          <w:tab w:val="right" w:pos="9062"/>
        </w:tabs>
        <w:rPr>
          <w:b w:val="0"/>
          <w:bCs w:val="0"/>
          <w:caps w:val="0"/>
          <w:color w:val="auto"/>
        </w:rPr>
      </w:pPr>
      <w:hyperlink w:anchor="_Toc70330445" w:history="1">
        <w:r w:rsidR="00174053" w:rsidRPr="00B95951">
          <w:rPr>
            <w:rStyle w:val="Lienhypertexte"/>
            <w:b w:val="0"/>
          </w:rPr>
          <w:t>6.</w:t>
        </w:r>
        <w:r w:rsidR="00174053" w:rsidRPr="00B95951">
          <w:rPr>
            <w:b w:val="0"/>
            <w:bCs w:val="0"/>
            <w:caps w:val="0"/>
            <w:color w:val="auto"/>
          </w:rPr>
          <w:tab/>
        </w:r>
        <w:r w:rsidR="00174053" w:rsidRPr="00B95951">
          <w:rPr>
            <w:rStyle w:val="Lienhypertexte"/>
            <w:b w:val="0"/>
          </w:rPr>
          <w:t>PROCEDURES DE GESTION DES RISQUES ET IMPACTS ENVIRONNEMENTAUX ET SOCIAUX (PGRIES)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_Toc70330445 \h </w:instrText>
        </w:r>
        <w:r w:rsidR="00174053" w:rsidRPr="00B95951">
          <w:rPr>
            <w:b w:val="0"/>
            <w:webHidden/>
          </w:rPr>
        </w:r>
        <w:r w:rsidR="00174053" w:rsidRPr="00B95951">
          <w:rPr>
            <w:b w:val="0"/>
            <w:webHidden/>
          </w:rPr>
          <w:fldChar w:fldCharType="separate"/>
        </w:r>
        <w:r w:rsidR="00B95951" w:rsidRPr="00B95951">
          <w:rPr>
            <w:b w:val="0"/>
            <w:webHidden/>
          </w:rPr>
          <w:t>229</w:t>
        </w:r>
        <w:r w:rsidR="00174053" w:rsidRPr="00B95951">
          <w:rPr>
            <w:b w:val="0"/>
            <w:webHidden/>
          </w:rPr>
          <w:fldChar w:fldCharType="end"/>
        </w:r>
      </w:hyperlink>
    </w:p>
    <w:p w14:paraId="5F84E39B" w14:textId="77777777" w:rsidR="00174053" w:rsidRPr="00B95951" w:rsidRDefault="00652264" w:rsidP="00B95951">
      <w:pPr>
        <w:pStyle w:val="TM2"/>
        <w:jc w:val="both"/>
        <w:rPr>
          <w:b w:val="0"/>
        </w:rPr>
      </w:pPr>
      <w:hyperlink w:anchor="_Toc70330448" w:history="1">
        <w:r w:rsidR="00174053" w:rsidRPr="00B95951">
          <w:rPr>
            <w:rStyle w:val="Lienhypertexte"/>
            <w:b w:val="0"/>
          </w:rPr>
          <w:t>6.1.</w:t>
        </w:r>
        <w:r w:rsidR="00174053" w:rsidRPr="00B95951">
          <w:rPr>
            <w:b w:val="0"/>
          </w:rPr>
          <w:tab/>
        </w:r>
        <w:r w:rsidR="00174053" w:rsidRPr="00B95951">
          <w:rPr>
            <w:rStyle w:val="Lienhypertexte"/>
            <w:b w:val="0"/>
          </w:rPr>
          <w:t>Procédure de gestion environnementale et sociale des sous-projets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_Toc70330448 \h </w:instrText>
        </w:r>
        <w:r w:rsidR="00174053" w:rsidRPr="00B95951">
          <w:rPr>
            <w:b w:val="0"/>
            <w:webHidden/>
          </w:rPr>
        </w:r>
        <w:r w:rsidR="00174053" w:rsidRPr="00B95951">
          <w:rPr>
            <w:b w:val="0"/>
            <w:webHidden/>
          </w:rPr>
          <w:fldChar w:fldCharType="separate"/>
        </w:r>
        <w:r w:rsidR="00B95951" w:rsidRPr="00B95951">
          <w:rPr>
            <w:b w:val="0"/>
            <w:webHidden/>
          </w:rPr>
          <w:t>229</w:t>
        </w:r>
        <w:r w:rsidR="00174053" w:rsidRPr="00B95951">
          <w:rPr>
            <w:b w:val="0"/>
            <w:webHidden/>
          </w:rPr>
          <w:fldChar w:fldCharType="end"/>
        </w:r>
      </w:hyperlink>
    </w:p>
    <w:p w14:paraId="081CAAFF" w14:textId="77777777" w:rsidR="00174053" w:rsidRPr="00B95951" w:rsidRDefault="00652264" w:rsidP="00B95951">
      <w:pPr>
        <w:pStyle w:val="TM2"/>
        <w:jc w:val="both"/>
        <w:rPr>
          <w:b w:val="0"/>
        </w:rPr>
      </w:pPr>
      <w:hyperlink w:anchor="_Toc70330451" w:history="1">
        <w:r w:rsidR="00174053" w:rsidRPr="00B95951">
          <w:rPr>
            <w:rStyle w:val="Lienhypertexte"/>
            <w:b w:val="0"/>
            <w:iCs/>
          </w:rPr>
          <w:t>6.1.1.</w:t>
        </w:r>
        <w:r w:rsidR="00174053" w:rsidRPr="00B95951">
          <w:rPr>
            <w:b w:val="0"/>
          </w:rPr>
          <w:tab/>
        </w:r>
        <w:r w:rsidR="00174053" w:rsidRPr="00B95951">
          <w:rPr>
            <w:rStyle w:val="Lienhypertexte"/>
            <w:b w:val="0"/>
            <w:i/>
          </w:rPr>
          <w:t>Critères environnementaux et sociaux d’éligibilité des sous-projets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_Toc70330451 \h </w:instrText>
        </w:r>
        <w:r w:rsidR="00174053" w:rsidRPr="00B95951">
          <w:rPr>
            <w:b w:val="0"/>
            <w:webHidden/>
          </w:rPr>
        </w:r>
        <w:r w:rsidR="00174053" w:rsidRPr="00B95951">
          <w:rPr>
            <w:b w:val="0"/>
            <w:webHidden/>
          </w:rPr>
          <w:fldChar w:fldCharType="separate"/>
        </w:r>
        <w:r w:rsidR="00B95951" w:rsidRPr="00B95951">
          <w:rPr>
            <w:b w:val="0"/>
            <w:webHidden/>
          </w:rPr>
          <w:t>229</w:t>
        </w:r>
        <w:r w:rsidR="00174053" w:rsidRPr="00B95951">
          <w:rPr>
            <w:b w:val="0"/>
            <w:webHidden/>
          </w:rPr>
          <w:fldChar w:fldCharType="end"/>
        </w:r>
      </w:hyperlink>
    </w:p>
    <w:p w14:paraId="4ED8AB83" w14:textId="77777777" w:rsidR="00174053" w:rsidRPr="00B95951" w:rsidRDefault="00652264" w:rsidP="00B95951">
      <w:pPr>
        <w:pStyle w:val="TM2"/>
        <w:jc w:val="both"/>
        <w:rPr>
          <w:b w:val="0"/>
        </w:rPr>
      </w:pPr>
      <w:hyperlink w:anchor="_Toc70330452" w:history="1">
        <w:r w:rsidR="00174053" w:rsidRPr="00B95951">
          <w:rPr>
            <w:rStyle w:val="Lienhypertexte"/>
            <w:b w:val="0"/>
            <w:iCs/>
          </w:rPr>
          <w:t>6.1.2.</w:t>
        </w:r>
        <w:r w:rsidR="00174053" w:rsidRPr="00B95951">
          <w:rPr>
            <w:b w:val="0"/>
          </w:rPr>
          <w:tab/>
        </w:r>
        <w:r w:rsidR="00174053" w:rsidRPr="00B95951">
          <w:rPr>
            <w:rStyle w:val="Lienhypertexte"/>
            <w:b w:val="0"/>
            <w:i/>
          </w:rPr>
          <w:t>Procédures de gestion environnementale et sociale des sous-projets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_Toc70330452 \h </w:instrText>
        </w:r>
        <w:r w:rsidR="00174053" w:rsidRPr="00B95951">
          <w:rPr>
            <w:b w:val="0"/>
            <w:webHidden/>
          </w:rPr>
        </w:r>
        <w:r w:rsidR="00174053" w:rsidRPr="00B95951">
          <w:rPr>
            <w:b w:val="0"/>
            <w:webHidden/>
          </w:rPr>
          <w:fldChar w:fldCharType="separate"/>
        </w:r>
        <w:r w:rsidR="00B95951" w:rsidRPr="00B95951">
          <w:rPr>
            <w:b w:val="0"/>
            <w:webHidden/>
          </w:rPr>
          <w:t>230</w:t>
        </w:r>
        <w:r w:rsidR="00174053" w:rsidRPr="00B95951">
          <w:rPr>
            <w:b w:val="0"/>
            <w:webHidden/>
          </w:rPr>
          <w:fldChar w:fldCharType="end"/>
        </w:r>
      </w:hyperlink>
    </w:p>
    <w:p w14:paraId="6938A73D" w14:textId="77777777" w:rsidR="00174053" w:rsidRPr="00B95951" w:rsidRDefault="00652264" w:rsidP="00B95951">
      <w:pPr>
        <w:pStyle w:val="TM2"/>
        <w:jc w:val="both"/>
        <w:rPr>
          <w:b w:val="0"/>
        </w:rPr>
      </w:pPr>
      <w:hyperlink w:anchor="_Toc70330453" w:history="1">
        <w:r w:rsidR="00174053" w:rsidRPr="00B95951">
          <w:rPr>
            <w:rStyle w:val="Lienhypertexte"/>
            <w:b w:val="0"/>
          </w:rPr>
          <w:t>6.2.</w:t>
        </w:r>
        <w:r w:rsidR="00174053" w:rsidRPr="00B95951">
          <w:rPr>
            <w:b w:val="0"/>
          </w:rPr>
          <w:tab/>
        </w:r>
        <w:r w:rsidR="00174053" w:rsidRPr="00B95951">
          <w:rPr>
            <w:rStyle w:val="Lienhypertexte"/>
            <w:b w:val="0"/>
          </w:rPr>
          <w:t>Arrangements institutionnels pour la mise en œuvre et le suivi du PGRIES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_Toc70330453 \h </w:instrText>
        </w:r>
        <w:r w:rsidR="00174053" w:rsidRPr="00B95951">
          <w:rPr>
            <w:b w:val="0"/>
            <w:webHidden/>
          </w:rPr>
        </w:r>
        <w:r w:rsidR="00174053" w:rsidRPr="00B95951">
          <w:rPr>
            <w:b w:val="0"/>
            <w:webHidden/>
          </w:rPr>
          <w:fldChar w:fldCharType="separate"/>
        </w:r>
        <w:r w:rsidR="00B95951" w:rsidRPr="00B95951">
          <w:rPr>
            <w:b w:val="0"/>
            <w:webHidden/>
          </w:rPr>
          <w:t>237</w:t>
        </w:r>
        <w:r w:rsidR="00174053" w:rsidRPr="00B95951">
          <w:rPr>
            <w:b w:val="0"/>
            <w:webHidden/>
          </w:rPr>
          <w:fldChar w:fldCharType="end"/>
        </w:r>
      </w:hyperlink>
    </w:p>
    <w:p w14:paraId="3D74C985" w14:textId="77777777" w:rsidR="00174053" w:rsidRPr="00B95951" w:rsidRDefault="00652264" w:rsidP="00B95951">
      <w:pPr>
        <w:pStyle w:val="TM2"/>
        <w:jc w:val="both"/>
        <w:rPr>
          <w:b w:val="0"/>
        </w:rPr>
      </w:pPr>
      <w:hyperlink w:anchor="_Toc70330456" w:history="1">
        <w:r w:rsidR="00174053" w:rsidRPr="00B95951">
          <w:rPr>
            <w:rStyle w:val="Lienhypertexte"/>
            <w:b w:val="0"/>
            <w:iCs/>
          </w:rPr>
          <w:t>6.2.1.</w:t>
        </w:r>
        <w:r w:rsidR="00174053" w:rsidRPr="00B95951">
          <w:rPr>
            <w:b w:val="0"/>
          </w:rPr>
          <w:tab/>
        </w:r>
        <w:r w:rsidR="00174053" w:rsidRPr="00B95951">
          <w:rPr>
            <w:rStyle w:val="Lienhypertexte"/>
            <w:b w:val="0"/>
            <w:i/>
          </w:rPr>
          <w:t>Études, mesures d’accompagnement et suivi-évaluation</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_Toc70330456 \h </w:instrText>
        </w:r>
        <w:r w:rsidR="00174053" w:rsidRPr="00B95951">
          <w:rPr>
            <w:b w:val="0"/>
            <w:webHidden/>
          </w:rPr>
        </w:r>
        <w:r w:rsidR="00174053" w:rsidRPr="00B95951">
          <w:rPr>
            <w:b w:val="0"/>
            <w:webHidden/>
          </w:rPr>
          <w:fldChar w:fldCharType="separate"/>
        </w:r>
        <w:r w:rsidR="00B95951" w:rsidRPr="00B95951">
          <w:rPr>
            <w:b w:val="0"/>
            <w:webHidden/>
          </w:rPr>
          <w:t>244</w:t>
        </w:r>
        <w:r w:rsidR="00174053" w:rsidRPr="00B95951">
          <w:rPr>
            <w:b w:val="0"/>
            <w:webHidden/>
          </w:rPr>
          <w:fldChar w:fldCharType="end"/>
        </w:r>
      </w:hyperlink>
    </w:p>
    <w:p w14:paraId="4463BE8B" w14:textId="77777777" w:rsidR="00174053" w:rsidRPr="00B95951" w:rsidRDefault="00652264" w:rsidP="00B95951">
      <w:pPr>
        <w:pStyle w:val="TM2"/>
        <w:jc w:val="both"/>
        <w:rPr>
          <w:b w:val="0"/>
        </w:rPr>
      </w:pPr>
      <w:hyperlink w:anchor="_Toc70330457" w:history="1">
        <w:r w:rsidR="00174053" w:rsidRPr="00B95951">
          <w:rPr>
            <w:rStyle w:val="Lienhypertexte"/>
            <w:b w:val="0"/>
            <w:iCs/>
          </w:rPr>
          <w:t>6.2.2.</w:t>
        </w:r>
        <w:r w:rsidR="00174053" w:rsidRPr="00B95951">
          <w:rPr>
            <w:b w:val="0"/>
          </w:rPr>
          <w:tab/>
        </w:r>
        <w:r w:rsidR="00174053" w:rsidRPr="00B95951">
          <w:rPr>
            <w:rStyle w:val="Lienhypertexte"/>
            <w:b w:val="0"/>
            <w:i/>
            <w:iCs/>
          </w:rPr>
          <w:t>Mécanismes de surveillance environnementale et sociale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_Toc70330457 \h </w:instrText>
        </w:r>
        <w:r w:rsidR="00174053" w:rsidRPr="00B95951">
          <w:rPr>
            <w:b w:val="0"/>
            <w:webHidden/>
          </w:rPr>
        </w:r>
        <w:r w:rsidR="00174053" w:rsidRPr="00B95951">
          <w:rPr>
            <w:b w:val="0"/>
            <w:webHidden/>
          </w:rPr>
          <w:fldChar w:fldCharType="separate"/>
        </w:r>
        <w:r w:rsidR="00B95951" w:rsidRPr="00B95951">
          <w:rPr>
            <w:b w:val="0"/>
            <w:webHidden/>
          </w:rPr>
          <w:t>245</w:t>
        </w:r>
        <w:r w:rsidR="00174053" w:rsidRPr="00B95951">
          <w:rPr>
            <w:b w:val="0"/>
            <w:webHidden/>
          </w:rPr>
          <w:fldChar w:fldCharType="end"/>
        </w:r>
      </w:hyperlink>
    </w:p>
    <w:p w14:paraId="4191C26C" w14:textId="77777777" w:rsidR="00174053" w:rsidRPr="00B95951" w:rsidRDefault="00652264" w:rsidP="00B95951">
      <w:pPr>
        <w:pStyle w:val="TM2"/>
        <w:jc w:val="both"/>
        <w:rPr>
          <w:b w:val="0"/>
        </w:rPr>
      </w:pPr>
      <w:hyperlink w:anchor="_Toc70330464" w:history="1">
        <w:r w:rsidR="00174053" w:rsidRPr="00B95951">
          <w:rPr>
            <w:rStyle w:val="Lienhypertexte"/>
            <w:b w:val="0"/>
            <w:iCs/>
          </w:rPr>
          <w:t>6.2.3.</w:t>
        </w:r>
        <w:r w:rsidR="00174053" w:rsidRPr="00B95951">
          <w:rPr>
            <w:b w:val="0"/>
          </w:rPr>
          <w:tab/>
        </w:r>
        <w:r w:rsidR="00174053" w:rsidRPr="00B95951">
          <w:rPr>
            <w:rStyle w:val="Lienhypertexte"/>
            <w:b w:val="0"/>
            <w:i/>
          </w:rPr>
          <w:t>Suivi environnemental et social</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_Toc70330464 \h </w:instrText>
        </w:r>
        <w:r w:rsidR="00174053" w:rsidRPr="00B95951">
          <w:rPr>
            <w:b w:val="0"/>
            <w:webHidden/>
          </w:rPr>
        </w:r>
        <w:r w:rsidR="00174053" w:rsidRPr="00B95951">
          <w:rPr>
            <w:b w:val="0"/>
            <w:webHidden/>
          </w:rPr>
          <w:fldChar w:fldCharType="separate"/>
        </w:r>
        <w:r w:rsidR="00B95951" w:rsidRPr="00B95951">
          <w:rPr>
            <w:b w:val="0"/>
            <w:webHidden/>
          </w:rPr>
          <w:t>245</w:t>
        </w:r>
        <w:r w:rsidR="00174053" w:rsidRPr="00B95951">
          <w:rPr>
            <w:b w:val="0"/>
            <w:webHidden/>
          </w:rPr>
          <w:fldChar w:fldCharType="end"/>
        </w:r>
      </w:hyperlink>
    </w:p>
    <w:p w14:paraId="0FDC809B" w14:textId="77777777" w:rsidR="00174053" w:rsidRPr="00B95951" w:rsidRDefault="00652264" w:rsidP="00B95951">
      <w:pPr>
        <w:pStyle w:val="TM2"/>
        <w:jc w:val="both"/>
        <w:rPr>
          <w:b w:val="0"/>
        </w:rPr>
      </w:pPr>
      <w:hyperlink w:anchor="_Toc70330465" w:history="1">
        <w:r w:rsidR="00174053" w:rsidRPr="00B95951">
          <w:rPr>
            <w:rStyle w:val="Lienhypertexte"/>
            <w:b w:val="0"/>
            <w:iCs/>
          </w:rPr>
          <w:t>6.2.4.</w:t>
        </w:r>
        <w:r w:rsidR="00174053" w:rsidRPr="00B95951">
          <w:rPr>
            <w:b w:val="0"/>
          </w:rPr>
          <w:tab/>
        </w:r>
        <w:r w:rsidR="00174053" w:rsidRPr="00B95951">
          <w:rPr>
            <w:rStyle w:val="Lienhypertexte"/>
            <w:b w:val="0"/>
            <w:i/>
          </w:rPr>
          <w:t>Rôles et responsabilités pour le suivi-évaluation et rapportage environnemental et social du sous-projet/microprojet/activité</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_Toc70330465 \h </w:instrText>
        </w:r>
        <w:r w:rsidR="00174053" w:rsidRPr="00B95951">
          <w:rPr>
            <w:b w:val="0"/>
            <w:webHidden/>
          </w:rPr>
        </w:r>
        <w:r w:rsidR="00174053" w:rsidRPr="00B95951">
          <w:rPr>
            <w:b w:val="0"/>
            <w:webHidden/>
          </w:rPr>
          <w:fldChar w:fldCharType="separate"/>
        </w:r>
        <w:r w:rsidR="00B95951" w:rsidRPr="00B95951">
          <w:rPr>
            <w:b w:val="0"/>
            <w:webHidden/>
          </w:rPr>
          <w:t>245</w:t>
        </w:r>
        <w:r w:rsidR="00174053" w:rsidRPr="00B95951">
          <w:rPr>
            <w:b w:val="0"/>
            <w:webHidden/>
          </w:rPr>
          <w:fldChar w:fldCharType="end"/>
        </w:r>
      </w:hyperlink>
    </w:p>
    <w:p w14:paraId="193E65D8" w14:textId="77777777" w:rsidR="00174053" w:rsidRPr="00B95951" w:rsidRDefault="00652264" w:rsidP="00B95951">
      <w:pPr>
        <w:pStyle w:val="TM2"/>
        <w:jc w:val="both"/>
        <w:rPr>
          <w:b w:val="0"/>
        </w:rPr>
      </w:pPr>
      <w:hyperlink w:anchor="_Toc70330466" w:history="1">
        <w:r w:rsidR="00174053" w:rsidRPr="00B95951">
          <w:rPr>
            <w:rStyle w:val="Lienhypertexte"/>
            <w:b w:val="0"/>
            <w:iCs/>
          </w:rPr>
          <w:t>6.2.5.</w:t>
        </w:r>
        <w:r w:rsidR="00174053" w:rsidRPr="00B95951">
          <w:rPr>
            <w:b w:val="0"/>
          </w:rPr>
          <w:tab/>
        </w:r>
        <w:r w:rsidR="00174053" w:rsidRPr="00B95951">
          <w:rPr>
            <w:rStyle w:val="Lienhypertexte"/>
            <w:b w:val="0"/>
            <w:i/>
          </w:rPr>
          <w:t>Evaluation (audit)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_Toc70330466 \h </w:instrText>
        </w:r>
        <w:r w:rsidR="00174053" w:rsidRPr="00B95951">
          <w:rPr>
            <w:b w:val="0"/>
            <w:webHidden/>
          </w:rPr>
        </w:r>
        <w:r w:rsidR="00174053" w:rsidRPr="00B95951">
          <w:rPr>
            <w:b w:val="0"/>
            <w:webHidden/>
          </w:rPr>
          <w:fldChar w:fldCharType="separate"/>
        </w:r>
        <w:r w:rsidR="00B95951" w:rsidRPr="00B95951">
          <w:rPr>
            <w:b w:val="0"/>
            <w:webHidden/>
          </w:rPr>
          <w:t>248</w:t>
        </w:r>
        <w:r w:rsidR="00174053" w:rsidRPr="00B95951">
          <w:rPr>
            <w:b w:val="0"/>
            <w:webHidden/>
          </w:rPr>
          <w:fldChar w:fldCharType="end"/>
        </w:r>
      </w:hyperlink>
    </w:p>
    <w:p w14:paraId="09D5D767" w14:textId="77777777" w:rsidR="00174053" w:rsidRPr="00B95951" w:rsidRDefault="00652264" w:rsidP="00B95951">
      <w:pPr>
        <w:pStyle w:val="TM2"/>
        <w:jc w:val="both"/>
        <w:rPr>
          <w:b w:val="0"/>
        </w:rPr>
      </w:pPr>
      <w:hyperlink w:anchor="_Toc70330467" w:history="1">
        <w:r w:rsidR="00174053" w:rsidRPr="00B95951">
          <w:rPr>
            <w:rStyle w:val="Lienhypertexte"/>
            <w:b w:val="0"/>
            <w:iCs/>
          </w:rPr>
          <w:t>6.2.6.</w:t>
        </w:r>
        <w:r w:rsidR="00174053" w:rsidRPr="00B95951">
          <w:rPr>
            <w:b w:val="0"/>
          </w:rPr>
          <w:tab/>
        </w:r>
        <w:r w:rsidR="00174053" w:rsidRPr="00B95951">
          <w:rPr>
            <w:rStyle w:val="Lienhypertexte"/>
            <w:b w:val="0"/>
            <w:i/>
          </w:rPr>
          <w:t>Composantes environnementales et sociales à suivre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_Toc70330467 \h </w:instrText>
        </w:r>
        <w:r w:rsidR="00174053" w:rsidRPr="00B95951">
          <w:rPr>
            <w:b w:val="0"/>
            <w:webHidden/>
          </w:rPr>
        </w:r>
        <w:r w:rsidR="00174053" w:rsidRPr="00B95951">
          <w:rPr>
            <w:b w:val="0"/>
            <w:webHidden/>
          </w:rPr>
          <w:fldChar w:fldCharType="separate"/>
        </w:r>
        <w:r w:rsidR="00B95951" w:rsidRPr="00B95951">
          <w:rPr>
            <w:b w:val="0"/>
            <w:webHidden/>
          </w:rPr>
          <w:t>248</w:t>
        </w:r>
        <w:r w:rsidR="00174053" w:rsidRPr="00B95951">
          <w:rPr>
            <w:b w:val="0"/>
            <w:webHidden/>
          </w:rPr>
          <w:fldChar w:fldCharType="end"/>
        </w:r>
      </w:hyperlink>
    </w:p>
    <w:p w14:paraId="6BB54C47" w14:textId="77777777" w:rsidR="00174053" w:rsidRPr="00B95951" w:rsidRDefault="00652264" w:rsidP="00B95951">
      <w:pPr>
        <w:pStyle w:val="TM2"/>
        <w:jc w:val="both"/>
        <w:rPr>
          <w:b w:val="0"/>
        </w:rPr>
      </w:pPr>
      <w:hyperlink w:anchor="_Toc70330468" w:history="1">
        <w:r w:rsidR="00174053" w:rsidRPr="00B95951">
          <w:rPr>
            <w:rStyle w:val="Lienhypertexte"/>
            <w:b w:val="0"/>
            <w:iCs/>
          </w:rPr>
          <w:t>6.2.7.</w:t>
        </w:r>
        <w:r w:rsidR="00174053" w:rsidRPr="00B95951">
          <w:rPr>
            <w:b w:val="0"/>
          </w:rPr>
          <w:tab/>
        </w:r>
        <w:r w:rsidR="00174053" w:rsidRPr="00B95951">
          <w:rPr>
            <w:rStyle w:val="Lienhypertexte"/>
            <w:b w:val="0"/>
            <w:i/>
          </w:rPr>
          <w:t>Suivi en phase de préparation et de travaux</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_Toc70330468 \h </w:instrText>
        </w:r>
        <w:r w:rsidR="00174053" w:rsidRPr="00B95951">
          <w:rPr>
            <w:b w:val="0"/>
            <w:webHidden/>
          </w:rPr>
        </w:r>
        <w:r w:rsidR="00174053" w:rsidRPr="00B95951">
          <w:rPr>
            <w:b w:val="0"/>
            <w:webHidden/>
          </w:rPr>
          <w:fldChar w:fldCharType="separate"/>
        </w:r>
        <w:r w:rsidR="00B95951" w:rsidRPr="00B95951">
          <w:rPr>
            <w:b w:val="0"/>
            <w:webHidden/>
          </w:rPr>
          <w:t>248</w:t>
        </w:r>
        <w:r w:rsidR="00174053" w:rsidRPr="00B95951">
          <w:rPr>
            <w:b w:val="0"/>
            <w:webHidden/>
          </w:rPr>
          <w:fldChar w:fldCharType="end"/>
        </w:r>
      </w:hyperlink>
    </w:p>
    <w:p w14:paraId="253C3309" w14:textId="77777777" w:rsidR="00174053" w:rsidRPr="00B95951" w:rsidRDefault="00652264" w:rsidP="00B95951">
      <w:pPr>
        <w:pStyle w:val="TM2"/>
        <w:jc w:val="both"/>
        <w:rPr>
          <w:b w:val="0"/>
        </w:rPr>
      </w:pPr>
      <w:hyperlink w:anchor="_Toc70330469" w:history="1">
        <w:r w:rsidR="00174053" w:rsidRPr="00B95951">
          <w:rPr>
            <w:rStyle w:val="Lienhypertexte"/>
            <w:b w:val="0"/>
            <w:iCs/>
          </w:rPr>
          <w:t>6.2.8.</w:t>
        </w:r>
        <w:r w:rsidR="00174053" w:rsidRPr="00B95951">
          <w:rPr>
            <w:b w:val="0"/>
          </w:rPr>
          <w:tab/>
        </w:r>
        <w:r w:rsidR="00174053" w:rsidRPr="00B95951">
          <w:rPr>
            <w:rStyle w:val="Lienhypertexte"/>
            <w:b w:val="0"/>
            <w:i/>
          </w:rPr>
          <w:t>Indicateurs de suivi environnemental et social</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_Toc70330469 \h </w:instrText>
        </w:r>
        <w:r w:rsidR="00174053" w:rsidRPr="00B95951">
          <w:rPr>
            <w:b w:val="0"/>
            <w:webHidden/>
          </w:rPr>
        </w:r>
        <w:r w:rsidR="00174053" w:rsidRPr="00B95951">
          <w:rPr>
            <w:b w:val="0"/>
            <w:webHidden/>
          </w:rPr>
          <w:fldChar w:fldCharType="separate"/>
        </w:r>
        <w:r w:rsidR="00B95951" w:rsidRPr="00B95951">
          <w:rPr>
            <w:b w:val="0"/>
            <w:webHidden/>
          </w:rPr>
          <w:t>249</w:t>
        </w:r>
        <w:r w:rsidR="00174053" w:rsidRPr="00B95951">
          <w:rPr>
            <w:b w:val="0"/>
            <w:webHidden/>
          </w:rPr>
          <w:fldChar w:fldCharType="end"/>
        </w:r>
      </w:hyperlink>
    </w:p>
    <w:p w14:paraId="117EA1D6" w14:textId="77777777" w:rsidR="00174053" w:rsidRPr="00B95951" w:rsidRDefault="00652264" w:rsidP="00B95951">
      <w:pPr>
        <w:pStyle w:val="TM2"/>
        <w:jc w:val="both"/>
        <w:rPr>
          <w:b w:val="0"/>
        </w:rPr>
      </w:pPr>
      <w:hyperlink w:anchor="_Toc70330470" w:history="1">
        <w:r w:rsidR="00174053" w:rsidRPr="00B95951">
          <w:rPr>
            <w:rStyle w:val="Lienhypertexte"/>
            <w:b w:val="0"/>
          </w:rPr>
          <w:t>6.3.</w:t>
        </w:r>
        <w:r w:rsidR="00174053" w:rsidRPr="00B95951">
          <w:rPr>
            <w:b w:val="0"/>
          </w:rPr>
          <w:tab/>
        </w:r>
        <w:r w:rsidR="00174053" w:rsidRPr="00B95951">
          <w:rPr>
            <w:rStyle w:val="Lienhypertexte"/>
            <w:b w:val="0"/>
          </w:rPr>
          <w:t>Calendrier de mise en œuvre des mesures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_Toc70330470 \h </w:instrText>
        </w:r>
        <w:r w:rsidR="00174053" w:rsidRPr="00B95951">
          <w:rPr>
            <w:b w:val="0"/>
            <w:webHidden/>
          </w:rPr>
        </w:r>
        <w:r w:rsidR="00174053" w:rsidRPr="00B95951">
          <w:rPr>
            <w:b w:val="0"/>
            <w:webHidden/>
          </w:rPr>
          <w:fldChar w:fldCharType="separate"/>
        </w:r>
        <w:r w:rsidR="00B95951" w:rsidRPr="00B95951">
          <w:rPr>
            <w:b w:val="0"/>
            <w:webHidden/>
          </w:rPr>
          <w:t>256</w:t>
        </w:r>
        <w:r w:rsidR="00174053" w:rsidRPr="00B95951">
          <w:rPr>
            <w:b w:val="0"/>
            <w:webHidden/>
          </w:rPr>
          <w:fldChar w:fldCharType="end"/>
        </w:r>
      </w:hyperlink>
    </w:p>
    <w:p w14:paraId="42133FBF" w14:textId="77777777" w:rsidR="00174053" w:rsidRPr="00B95951" w:rsidRDefault="00652264" w:rsidP="00B95951">
      <w:pPr>
        <w:pStyle w:val="TM1"/>
        <w:tabs>
          <w:tab w:val="right" w:pos="9062"/>
        </w:tabs>
        <w:rPr>
          <w:b w:val="0"/>
          <w:bCs w:val="0"/>
          <w:caps w:val="0"/>
          <w:color w:val="auto"/>
        </w:rPr>
      </w:pPr>
      <w:hyperlink w:anchor="_Toc70330471" w:history="1">
        <w:r w:rsidR="00174053" w:rsidRPr="00B95951">
          <w:rPr>
            <w:rStyle w:val="Lienhypertexte"/>
            <w:b w:val="0"/>
          </w:rPr>
          <w:t>7.</w:t>
        </w:r>
        <w:r w:rsidR="00174053" w:rsidRPr="00B95951">
          <w:rPr>
            <w:b w:val="0"/>
            <w:bCs w:val="0"/>
            <w:caps w:val="0"/>
            <w:color w:val="auto"/>
          </w:rPr>
          <w:tab/>
        </w:r>
        <w:r w:rsidR="00174053" w:rsidRPr="00B95951">
          <w:rPr>
            <w:rStyle w:val="Lienhypertexte"/>
            <w:b w:val="0"/>
          </w:rPr>
          <w:t>CONSULTATIONS DU PUBLIC ET DIVULGATION</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_Toc70330471 \h </w:instrText>
        </w:r>
        <w:r w:rsidR="00174053" w:rsidRPr="00B95951">
          <w:rPr>
            <w:b w:val="0"/>
            <w:webHidden/>
          </w:rPr>
        </w:r>
        <w:r w:rsidR="00174053" w:rsidRPr="00B95951">
          <w:rPr>
            <w:b w:val="0"/>
            <w:webHidden/>
          </w:rPr>
          <w:fldChar w:fldCharType="separate"/>
        </w:r>
        <w:r w:rsidR="00B95951" w:rsidRPr="00B95951">
          <w:rPr>
            <w:b w:val="0"/>
            <w:webHidden/>
          </w:rPr>
          <w:t>258</w:t>
        </w:r>
        <w:r w:rsidR="00174053" w:rsidRPr="00B95951">
          <w:rPr>
            <w:b w:val="0"/>
            <w:webHidden/>
          </w:rPr>
          <w:fldChar w:fldCharType="end"/>
        </w:r>
      </w:hyperlink>
    </w:p>
    <w:p w14:paraId="77815448" w14:textId="77777777" w:rsidR="00174053" w:rsidRPr="00B95951" w:rsidRDefault="00652264" w:rsidP="00B95951">
      <w:pPr>
        <w:pStyle w:val="TM2"/>
        <w:jc w:val="both"/>
        <w:rPr>
          <w:b w:val="0"/>
        </w:rPr>
      </w:pPr>
      <w:hyperlink w:anchor="_Toc70330480" w:history="1">
        <w:r w:rsidR="00174053" w:rsidRPr="00B95951">
          <w:rPr>
            <w:rStyle w:val="Lienhypertexte"/>
            <w:b w:val="0"/>
          </w:rPr>
          <w:t>7.1.</w:t>
        </w:r>
        <w:r w:rsidR="00174053" w:rsidRPr="00B95951">
          <w:rPr>
            <w:b w:val="0"/>
          </w:rPr>
          <w:tab/>
        </w:r>
        <w:r w:rsidR="00174053" w:rsidRPr="00B95951">
          <w:rPr>
            <w:rStyle w:val="Lienhypertexte"/>
            <w:b w:val="0"/>
          </w:rPr>
          <w:t>Consultations du public lors de l’élaboration du CGES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_Toc70330480 \h </w:instrText>
        </w:r>
        <w:r w:rsidR="00174053" w:rsidRPr="00B95951">
          <w:rPr>
            <w:b w:val="0"/>
            <w:webHidden/>
          </w:rPr>
        </w:r>
        <w:r w:rsidR="00174053" w:rsidRPr="00B95951">
          <w:rPr>
            <w:b w:val="0"/>
            <w:webHidden/>
          </w:rPr>
          <w:fldChar w:fldCharType="separate"/>
        </w:r>
        <w:r w:rsidR="00B95951" w:rsidRPr="00B95951">
          <w:rPr>
            <w:b w:val="0"/>
            <w:webHidden/>
          </w:rPr>
          <w:t>259</w:t>
        </w:r>
        <w:r w:rsidR="00174053" w:rsidRPr="00B95951">
          <w:rPr>
            <w:b w:val="0"/>
            <w:webHidden/>
          </w:rPr>
          <w:fldChar w:fldCharType="end"/>
        </w:r>
      </w:hyperlink>
    </w:p>
    <w:p w14:paraId="378B3C74" w14:textId="77777777" w:rsidR="00174053" w:rsidRPr="00B95951" w:rsidRDefault="00652264" w:rsidP="00B95951">
      <w:pPr>
        <w:pStyle w:val="TM2"/>
        <w:jc w:val="both"/>
        <w:rPr>
          <w:b w:val="0"/>
        </w:rPr>
      </w:pPr>
      <w:hyperlink w:anchor="_Toc70330486" w:history="1">
        <w:r w:rsidR="00174053" w:rsidRPr="00B95951">
          <w:rPr>
            <w:rStyle w:val="Lienhypertexte"/>
            <w:b w:val="0"/>
            <w:iCs/>
          </w:rPr>
          <w:t>7.1.1.</w:t>
        </w:r>
        <w:r w:rsidR="00174053" w:rsidRPr="00B95951">
          <w:rPr>
            <w:b w:val="0"/>
          </w:rPr>
          <w:tab/>
        </w:r>
        <w:r w:rsidR="00174053" w:rsidRPr="00B95951">
          <w:rPr>
            <w:rStyle w:val="Lienhypertexte"/>
            <w:b w:val="0"/>
            <w:i/>
          </w:rPr>
          <w:t>Objectifs des consultations du public</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_Toc70330486 \h </w:instrText>
        </w:r>
        <w:r w:rsidR="00174053" w:rsidRPr="00B95951">
          <w:rPr>
            <w:b w:val="0"/>
            <w:webHidden/>
          </w:rPr>
        </w:r>
        <w:r w:rsidR="00174053" w:rsidRPr="00B95951">
          <w:rPr>
            <w:b w:val="0"/>
            <w:webHidden/>
          </w:rPr>
          <w:fldChar w:fldCharType="separate"/>
        </w:r>
        <w:r w:rsidR="00B95951" w:rsidRPr="00B95951">
          <w:rPr>
            <w:b w:val="0"/>
            <w:webHidden/>
          </w:rPr>
          <w:t>259</w:t>
        </w:r>
        <w:r w:rsidR="00174053" w:rsidRPr="00B95951">
          <w:rPr>
            <w:b w:val="0"/>
            <w:webHidden/>
          </w:rPr>
          <w:fldChar w:fldCharType="end"/>
        </w:r>
      </w:hyperlink>
    </w:p>
    <w:p w14:paraId="739AF000" w14:textId="77777777" w:rsidR="00174053" w:rsidRPr="00B95951" w:rsidRDefault="00652264" w:rsidP="00B95951">
      <w:pPr>
        <w:pStyle w:val="TM2"/>
        <w:jc w:val="both"/>
        <w:rPr>
          <w:b w:val="0"/>
        </w:rPr>
      </w:pPr>
      <w:hyperlink w:anchor="_Toc70330487" w:history="1">
        <w:r w:rsidR="00174053" w:rsidRPr="00B95951">
          <w:rPr>
            <w:rStyle w:val="Lienhypertexte"/>
            <w:b w:val="0"/>
            <w:iCs/>
          </w:rPr>
          <w:t>7.1.2.</w:t>
        </w:r>
        <w:r w:rsidR="00174053" w:rsidRPr="00B95951">
          <w:rPr>
            <w:b w:val="0"/>
          </w:rPr>
          <w:tab/>
        </w:r>
        <w:r w:rsidR="00174053" w:rsidRPr="00B95951">
          <w:rPr>
            <w:rStyle w:val="Lienhypertexte"/>
            <w:b w:val="0"/>
            <w:i/>
          </w:rPr>
          <w:t>Acteurs consultés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_Toc70330487 \h </w:instrText>
        </w:r>
        <w:r w:rsidR="00174053" w:rsidRPr="00B95951">
          <w:rPr>
            <w:b w:val="0"/>
            <w:webHidden/>
          </w:rPr>
        </w:r>
        <w:r w:rsidR="00174053" w:rsidRPr="00B95951">
          <w:rPr>
            <w:b w:val="0"/>
            <w:webHidden/>
          </w:rPr>
          <w:fldChar w:fldCharType="separate"/>
        </w:r>
        <w:r w:rsidR="00B95951" w:rsidRPr="00B95951">
          <w:rPr>
            <w:b w:val="0"/>
            <w:webHidden/>
          </w:rPr>
          <w:t>259</w:t>
        </w:r>
        <w:r w:rsidR="00174053" w:rsidRPr="00B95951">
          <w:rPr>
            <w:b w:val="0"/>
            <w:webHidden/>
          </w:rPr>
          <w:fldChar w:fldCharType="end"/>
        </w:r>
      </w:hyperlink>
    </w:p>
    <w:p w14:paraId="19F6233E" w14:textId="77777777" w:rsidR="00174053" w:rsidRPr="00B95951" w:rsidRDefault="00652264" w:rsidP="00B95951">
      <w:pPr>
        <w:pStyle w:val="TM2"/>
        <w:jc w:val="both"/>
        <w:rPr>
          <w:b w:val="0"/>
        </w:rPr>
      </w:pPr>
      <w:hyperlink w:anchor="_Toc70330488" w:history="1">
        <w:r w:rsidR="00174053" w:rsidRPr="00B95951">
          <w:rPr>
            <w:rStyle w:val="Lienhypertexte"/>
            <w:b w:val="0"/>
            <w:iCs/>
          </w:rPr>
          <w:t>7.1.3.</w:t>
        </w:r>
        <w:r w:rsidR="00174053" w:rsidRPr="00B95951">
          <w:rPr>
            <w:b w:val="0"/>
          </w:rPr>
          <w:tab/>
        </w:r>
        <w:r w:rsidR="00174053" w:rsidRPr="00B95951">
          <w:rPr>
            <w:rStyle w:val="Lienhypertexte"/>
            <w:b w:val="0"/>
            <w:i/>
          </w:rPr>
          <w:t>Consultations réalisées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_Toc70330488 \h </w:instrText>
        </w:r>
        <w:r w:rsidR="00174053" w:rsidRPr="00B95951">
          <w:rPr>
            <w:b w:val="0"/>
            <w:webHidden/>
          </w:rPr>
        </w:r>
        <w:r w:rsidR="00174053" w:rsidRPr="00B95951">
          <w:rPr>
            <w:b w:val="0"/>
            <w:webHidden/>
          </w:rPr>
          <w:fldChar w:fldCharType="separate"/>
        </w:r>
        <w:r w:rsidR="00B95951" w:rsidRPr="00B95951">
          <w:rPr>
            <w:b w:val="0"/>
            <w:webHidden/>
          </w:rPr>
          <w:t>260</w:t>
        </w:r>
        <w:r w:rsidR="00174053" w:rsidRPr="00B95951">
          <w:rPr>
            <w:b w:val="0"/>
            <w:webHidden/>
          </w:rPr>
          <w:fldChar w:fldCharType="end"/>
        </w:r>
      </w:hyperlink>
    </w:p>
    <w:p w14:paraId="12B2C317" w14:textId="77777777" w:rsidR="00174053" w:rsidRPr="00B95951" w:rsidRDefault="00652264" w:rsidP="00B95951">
      <w:pPr>
        <w:pStyle w:val="TM2"/>
        <w:jc w:val="both"/>
        <w:rPr>
          <w:b w:val="0"/>
        </w:rPr>
      </w:pPr>
      <w:hyperlink w:anchor="_Toc70330489" w:history="1">
        <w:r w:rsidR="00174053" w:rsidRPr="00B95951">
          <w:rPr>
            <w:rStyle w:val="Lienhypertexte"/>
            <w:b w:val="0"/>
            <w:iCs/>
          </w:rPr>
          <w:t>7.1.4.</w:t>
        </w:r>
        <w:r w:rsidR="00174053" w:rsidRPr="00B95951">
          <w:rPr>
            <w:b w:val="0"/>
          </w:rPr>
          <w:tab/>
        </w:r>
        <w:r w:rsidR="00174053" w:rsidRPr="00B95951">
          <w:rPr>
            <w:rStyle w:val="Lienhypertexte"/>
            <w:b w:val="0"/>
            <w:i/>
          </w:rPr>
          <w:t>Thématiques ou points discutés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_Toc70330489 \h </w:instrText>
        </w:r>
        <w:r w:rsidR="00174053" w:rsidRPr="00B95951">
          <w:rPr>
            <w:b w:val="0"/>
            <w:webHidden/>
          </w:rPr>
        </w:r>
        <w:r w:rsidR="00174053" w:rsidRPr="00B95951">
          <w:rPr>
            <w:b w:val="0"/>
            <w:webHidden/>
          </w:rPr>
          <w:fldChar w:fldCharType="separate"/>
        </w:r>
        <w:r w:rsidR="00B95951" w:rsidRPr="00B95951">
          <w:rPr>
            <w:b w:val="0"/>
            <w:webHidden/>
          </w:rPr>
          <w:t>260</w:t>
        </w:r>
        <w:r w:rsidR="00174053" w:rsidRPr="00B95951">
          <w:rPr>
            <w:b w:val="0"/>
            <w:webHidden/>
          </w:rPr>
          <w:fldChar w:fldCharType="end"/>
        </w:r>
      </w:hyperlink>
    </w:p>
    <w:p w14:paraId="6EF2FA5B" w14:textId="77777777" w:rsidR="00174053" w:rsidRPr="00B95951" w:rsidRDefault="00652264" w:rsidP="00B95951">
      <w:pPr>
        <w:pStyle w:val="TM2"/>
        <w:jc w:val="both"/>
        <w:rPr>
          <w:b w:val="0"/>
        </w:rPr>
      </w:pPr>
      <w:hyperlink w:anchor="_Toc70330490" w:history="1">
        <w:r w:rsidR="00174053" w:rsidRPr="00B95951">
          <w:rPr>
            <w:rStyle w:val="Lienhypertexte"/>
            <w:b w:val="0"/>
            <w:iCs/>
          </w:rPr>
          <w:t>7.1.5.</w:t>
        </w:r>
        <w:r w:rsidR="00174053" w:rsidRPr="00B95951">
          <w:rPr>
            <w:b w:val="0"/>
          </w:rPr>
          <w:tab/>
        </w:r>
        <w:r w:rsidR="00174053" w:rsidRPr="00B95951">
          <w:rPr>
            <w:rStyle w:val="Lienhypertexte"/>
            <w:b w:val="0"/>
            <w:i/>
          </w:rPr>
          <w:t>Résultats des consultations avec les services techniques de l’État</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_Toc70330490 \h </w:instrText>
        </w:r>
        <w:r w:rsidR="00174053" w:rsidRPr="00B95951">
          <w:rPr>
            <w:b w:val="0"/>
            <w:webHidden/>
          </w:rPr>
        </w:r>
        <w:r w:rsidR="00174053" w:rsidRPr="00B95951">
          <w:rPr>
            <w:b w:val="0"/>
            <w:webHidden/>
          </w:rPr>
          <w:fldChar w:fldCharType="separate"/>
        </w:r>
        <w:r w:rsidR="00B95951" w:rsidRPr="00B95951">
          <w:rPr>
            <w:b w:val="0"/>
            <w:webHidden/>
          </w:rPr>
          <w:t>261</w:t>
        </w:r>
        <w:r w:rsidR="00174053" w:rsidRPr="00B95951">
          <w:rPr>
            <w:b w:val="0"/>
            <w:webHidden/>
          </w:rPr>
          <w:fldChar w:fldCharType="end"/>
        </w:r>
      </w:hyperlink>
    </w:p>
    <w:p w14:paraId="7A7B6D51" w14:textId="77777777" w:rsidR="00174053" w:rsidRPr="00B95951" w:rsidRDefault="00652264" w:rsidP="00B95951">
      <w:pPr>
        <w:pStyle w:val="TM2"/>
        <w:jc w:val="both"/>
        <w:rPr>
          <w:b w:val="0"/>
        </w:rPr>
      </w:pPr>
      <w:hyperlink w:anchor="_Toc70330491" w:history="1">
        <w:r w:rsidR="00174053" w:rsidRPr="00B95951">
          <w:rPr>
            <w:rStyle w:val="Lienhypertexte"/>
            <w:b w:val="0"/>
            <w:iCs/>
          </w:rPr>
          <w:t>7.1.6.</w:t>
        </w:r>
        <w:r w:rsidR="00174053" w:rsidRPr="00B95951">
          <w:rPr>
            <w:b w:val="0"/>
          </w:rPr>
          <w:tab/>
        </w:r>
        <w:r w:rsidR="00174053" w:rsidRPr="00B95951">
          <w:rPr>
            <w:rStyle w:val="Lienhypertexte"/>
            <w:b w:val="0"/>
            <w:i/>
          </w:rPr>
          <w:t>Résultats des consultations avec les Provinces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_Toc70330491 \h </w:instrText>
        </w:r>
        <w:r w:rsidR="00174053" w:rsidRPr="00B95951">
          <w:rPr>
            <w:b w:val="0"/>
            <w:webHidden/>
          </w:rPr>
        </w:r>
        <w:r w:rsidR="00174053" w:rsidRPr="00B95951">
          <w:rPr>
            <w:b w:val="0"/>
            <w:webHidden/>
          </w:rPr>
          <w:fldChar w:fldCharType="separate"/>
        </w:r>
        <w:r w:rsidR="00B95951" w:rsidRPr="00B95951">
          <w:rPr>
            <w:b w:val="0"/>
            <w:webHidden/>
          </w:rPr>
          <w:t>261</w:t>
        </w:r>
        <w:r w:rsidR="00174053" w:rsidRPr="00B95951">
          <w:rPr>
            <w:b w:val="0"/>
            <w:webHidden/>
          </w:rPr>
          <w:fldChar w:fldCharType="end"/>
        </w:r>
      </w:hyperlink>
    </w:p>
    <w:p w14:paraId="6C1DAACB" w14:textId="77777777" w:rsidR="00174053" w:rsidRPr="00B95951" w:rsidRDefault="00652264" w:rsidP="00B95951">
      <w:pPr>
        <w:pStyle w:val="TM2"/>
        <w:jc w:val="both"/>
        <w:rPr>
          <w:b w:val="0"/>
        </w:rPr>
      </w:pPr>
      <w:hyperlink w:anchor="_Toc70330492" w:history="1">
        <w:r w:rsidR="00174053" w:rsidRPr="00B95951">
          <w:rPr>
            <w:rStyle w:val="Lienhypertexte"/>
            <w:b w:val="0"/>
          </w:rPr>
          <w:t>7.2.</w:t>
        </w:r>
        <w:r w:rsidR="00174053" w:rsidRPr="00B95951">
          <w:rPr>
            <w:b w:val="0"/>
          </w:rPr>
          <w:tab/>
        </w:r>
        <w:r w:rsidR="00174053" w:rsidRPr="00B95951">
          <w:rPr>
            <w:rStyle w:val="Lienhypertexte"/>
            <w:b w:val="0"/>
          </w:rPr>
          <w:t>Plan de Mobilisation des Parties Prenantes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_Toc70330492 \h </w:instrText>
        </w:r>
        <w:r w:rsidR="00174053" w:rsidRPr="00B95951">
          <w:rPr>
            <w:b w:val="0"/>
            <w:webHidden/>
          </w:rPr>
        </w:r>
        <w:r w:rsidR="00174053" w:rsidRPr="00B95951">
          <w:rPr>
            <w:b w:val="0"/>
            <w:webHidden/>
          </w:rPr>
          <w:fldChar w:fldCharType="separate"/>
        </w:r>
        <w:r w:rsidR="00B95951" w:rsidRPr="00B95951">
          <w:rPr>
            <w:b w:val="0"/>
            <w:webHidden/>
          </w:rPr>
          <w:t>262</w:t>
        </w:r>
        <w:r w:rsidR="00174053" w:rsidRPr="00B95951">
          <w:rPr>
            <w:b w:val="0"/>
            <w:webHidden/>
          </w:rPr>
          <w:fldChar w:fldCharType="end"/>
        </w:r>
      </w:hyperlink>
    </w:p>
    <w:p w14:paraId="492E1D04" w14:textId="77777777" w:rsidR="00174053" w:rsidRPr="00B95951" w:rsidRDefault="00652264" w:rsidP="00B95951">
      <w:pPr>
        <w:pStyle w:val="TM2"/>
        <w:jc w:val="both"/>
        <w:rPr>
          <w:b w:val="0"/>
        </w:rPr>
      </w:pPr>
      <w:hyperlink w:anchor="_Toc70330504" w:history="1">
        <w:r w:rsidR="00174053" w:rsidRPr="00B95951">
          <w:rPr>
            <w:rStyle w:val="Lienhypertexte"/>
            <w:b w:val="0"/>
            <w:iCs/>
          </w:rPr>
          <w:t>7.2.1.</w:t>
        </w:r>
        <w:r w:rsidR="00174053" w:rsidRPr="00B95951">
          <w:rPr>
            <w:b w:val="0"/>
          </w:rPr>
          <w:tab/>
        </w:r>
        <w:r w:rsidR="00174053" w:rsidRPr="00B95951">
          <w:rPr>
            <w:rStyle w:val="Lienhypertexte"/>
            <w:b w:val="0"/>
            <w:i/>
          </w:rPr>
          <w:t>Mécanismes et procédures de consultation</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_Toc70330504 \h </w:instrText>
        </w:r>
        <w:r w:rsidR="00174053" w:rsidRPr="00B95951">
          <w:rPr>
            <w:b w:val="0"/>
            <w:webHidden/>
          </w:rPr>
        </w:r>
        <w:r w:rsidR="00174053" w:rsidRPr="00B95951">
          <w:rPr>
            <w:b w:val="0"/>
            <w:webHidden/>
          </w:rPr>
          <w:fldChar w:fldCharType="separate"/>
        </w:r>
        <w:r w:rsidR="00B95951" w:rsidRPr="00B95951">
          <w:rPr>
            <w:b w:val="0"/>
            <w:webHidden/>
          </w:rPr>
          <w:t>263</w:t>
        </w:r>
        <w:r w:rsidR="00174053" w:rsidRPr="00B95951">
          <w:rPr>
            <w:b w:val="0"/>
            <w:webHidden/>
          </w:rPr>
          <w:fldChar w:fldCharType="end"/>
        </w:r>
      </w:hyperlink>
    </w:p>
    <w:p w14:paraId="091BF241" w14:textId="77777777" w:rsidR="00174053" w:rsidRPr="00B95951" w:rsidRDefault="00652264" w:rsidP="00B95951">
      <w:pPr>
        <w:pStyle w:val="TM2"/>
        <w:jc w:val="both"/>
        <w:rPr>
          <w:b w:val="0"/>
        </w:rPr>
      </w:pPr>
      <w:hyperlink w:anchor="_Toc70330505" w:history="1">
        <w:r w:rsidR="00174053" w:rsidRPr="00B95951">
          <w:rPr>
            <w:rStyle w:val="Lienhypertexte"/>
            <w:b w:val="0"/>
            <w:iCs/>
          </w:rPr>
          <w:t>7.2.2.</w:t>
        </w:r>
        <w:r w:rsidR="00174053" w:rsidRPr="00B95951">
          <w:rPr>
            <w:b w:val="0"/>
          </w:rPr>
          <w:tab/>
        </w:r>
        <w:r w:rsidR="00174053" w:rsidRPr="00B95951">
          <w:rPr>
            <w:rStyle w:val="Lienhypertexte"/>
            <w:b w:val="0"/>
            <w:i/>
          </w:rPr>
          <w:t>Synthèse des besoins des parties prenantes au programme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_Toc70330505 \h </w:instrText>
        </w:r>
        <w:r w:rsidR="00174053" w:rsidRPr="00B95951">
          <w:rPr>
            <w:b w:val="0"/>
            <w:webHidden/>
          </w:rPr>
        </w:r>
        <w:r w:rsidR="00174053" w:rsidRPr="00B95951">
          <w:rPr>
            <w:b w:val="0"/>
            <w:webHidden/>
          </w:rPr>
          <w:fldChar w:fldCharType="separate"/>
        </w:r>
        <w:r w:rsidR="00B95951" w:rsidRPr="00B95951">
          <w:rPr>
            <w:b w:val="0"/>
            <w:webHidden/>
          </w:rPr>
          <w:t>265</w:t>
        </w:r>
        <w:r w:rsidR="00174053" w:rsidRPr="00B95951">
          <w:rPr>
            <w:b w:val="0"/>
            <w:webHidden/>
          </w:rPr>
          <w:fldChar w:fldCharType="end"/>
        </w:r>
      </w:hyperlink>
    </w:p>
    <w:p w14:paraId="10296C40" w14:textId="77777777" w:rsidR="00174053" w:rsidRPr="00B95951" w:rsidRDefault="00652264" w:rsidP="00B95951">
      <w:pPr>
        <w:pStyle w:val="TM2"/>
        <w:jc w:val="both"/>
        <w:rPr>
          <w:b w:val="0"/>
        </w:rPr>
      </w:pPr>
      <w:hyperlink w:anchor="_Toc70330506" w:history="1">
        <w:r w:rsidR="00174053" w:rsidRPr="00B95951">
          <w:rPr>
            <w:rStyle w:val="Lienhypertexte"/>
            <w:b w:val="0"/>
            <w:iCs/>
          </w:rPr>
          <w:t>7.2.3.</w:t>
        </w:r>
        <w:r w:rsidR="00174053" w:rsidRPr="00B95951">
          <w:rPr>
            <w:b w:val="0"/>
          </w:rPr>
          <w:tab/>
        </w:r>
        <w:r w:rsidR="00174053" w:rsidRPr="00B95951">
          <w:rPr>
            <w:rStyle w:val="Lienhypertexte"/>
            <w:b w:val="0"/>
            <w:i/>
          </w:rPr>
          <w:t>Stratégie proposée pour les consultations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_Toc70330506 \h </w:instrText>
        </w:r>
        <w:r w:rsidR="00174053" w:rsidRPr="00B95951">
          <w:rPr>
            <w:b w:val="0"/>
            <w:webHidden/>
          </w:rPr>
        </w:r>
        <w:r w:rsidR="00174053" w:rsidRPr="00B95951">
          <w:rPr>
            <w:b w:val="0"/>
            <w:webHidden/>
          </w:rPr>
          <w:fldChar w:fldCharType="separate"/>
        </w:r>
        <w:r w:rsidR="00B95951" w:rsidRPr="00B95951">
          <w:rPr>
            <w:b w:val="0"/>
            <w:webHidden/>
          </w:rPr>
          <w:t>270</w:t>
        </w:r>
        <w:r w:rsidR="00174053" w:rsidRPr="00B95951">
          <w:rPr>
            <w:b w:val="0"/>
            <w:webHidden/>
          </w:rPr>
          <w:fldChar w:fldCharType="end"/>
        </w:r>
      </w:hyperlink>
    </w:p>
    <w:p w14:paraId="202A956A" w14:textId="77777777" w:rsidR="00174053" w:rsidRPr="00B95951" w:rsidRDefault="00652264" w:rsidP="00B95951">
      <w:pPr>
        <w:pStyle w:val="TM2"/>
        <w:jc w:val="both"/>
        <w:rPr>
          <w:b w:val="0"/>
        </w:rPr>
      </w:pPr>
      <w:hyperlink w:anchor="_Toc70330508" w:history="1">
        <w:r w:rsidR="00174053" w:rsidRPr="00B95951">
          <w:rPr>
            <w:rStyle w:val="Lienhypertexte"/>
            <w:b w:val="0"/>
            <w:iCs/>
          </w:rPr>
          <w:t>7.2.4.</w:t>
        </w:r>
        <w:r w:rsidR="00174053" w:rsidRPr="00B95951">
          <w:rPr>
            <w:b w:val="0"/>
          </w:rPr>
          <w:tab/>
        </w:r>
        <w:r w:rsidR="00174053" w:rsidRPr="00B95951">
          <w:rPr>
            <w:rStyle w:val="Lienhypertexte"/>
            <w:b w:val="0"/>
            <w:i/>
          </w:rPr>
          <w:t>Stratégie proposée pour la diffusion des informations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_Toc70330508 \h </w:instrText>
        </w:r>
        <w:r w:rsidR="00174053" w:rsidRPr="00B95951">
          <w:rPr>
            <w:b w:val="0"/>
            <w:webHidden/>
          </w:rPr>
        </w:r>
        <w:r w:rsidR="00174053" w:rsidRPr="00B95951">
          <w:rPr>
            <w:b w:val="0"/>
            <w:webHidden/>
          </w:rPr>
          <w:fldChar w:fldCharType="separate"/>
        </w:r>
        <w:r w:rsidR="00B95951" w:rsidRPr="00B95951">
          <w:rPr>
            <w:b w:val="0"/>
            <w:webHidden/>
          </w:rPr>
          <w:t>275</w:t>
        </w:r>
        <w:r w:rsidR="00174053" w:rsidRPr="00B95951">
          <w:rPr>
            <w:b w:val="0"/>
            <w:webHidden/>
          </w:rPr>
          <w:fldChar w:fldCharType="end"/>
        </w:r>
      </w:hyperlink>
    </w:p>
    <w:p w14:paraId="1CB2C5E6" w14:textId="77777777" w:rsidR="00174053" w:rsidRPr="00B95951" w:rsidRDefault="00652264" w:rsidP="00B95951">
      <w:pPr>
        <w:pStyle w:val="TM2"/>
        <w:jc w:val="both"/>
        <w:rPr>
          <w:b w:val="0"/>
        </w:rPr>
      </w:pPr>
      <w:hyperlink w:anchor="_Toc70330509" w:history="1">
        <w:r w:rsidR="00174053" w:rsidRPr="00B95951">
          <w:rPr>
            <w:rStyle w:val="Lienhypertexte"/>
            <w:b w:val="0"/>
          </w:rPr>
          <w:t>7.3.</w:t>
        </w:r>
        <w:r w:rsidR="00174053" w:rsidRPr="00B95951">
          <w:rPr>
            <w:b w:val="0"/>
          </w:rPr>
          <w:tab/>
        </w:r>
        <w:r w:rsidR="00174053" w:rsidRPr="00B95951">
          <w:rPr>
            <w:rStyle w:val="Lienhypertexte"/>
            <w:b w:val="0"/>
          </w:rPr>
          <w:t>Ateliers de restitution</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_Toc70330509 \h </w:instrText>
        </w:r>
        <w:r w:rsidR="00174053" w:rsidRPr="00B95951">
          <w:rPr>
            <w:b w:val="0"/>
            <w:webHidden/>
          </w:rPr>
        </w:r>
        <w:r w:rsidR="00174053" w:rsidRPr="00B95951">
          <w:rPr>
            <w:b w:val="0"/>
            <w:webHidden/>
          </w:rPr>
          <w:fldChar w:fldCharType="separate"/>
        </w:r>
        <w:r w:rsidR="00B95951" w:rsidRPr="00B95951">
          <w:rPr>
            <w:b w:val="0"/>
            <w:webHidden/>
          </w:rPr>
          <w:t>279</w:t>
        </w:r>
        <w:r w:rsidR="00174053" w:rsidRPr="00B95951">
          <w:rPr>
            <w:b w:val="0"/>
            <w:webHidden/>
          </w:rPr>
          <w:fldChar w:fldCharType="end"/>
        </w:r>
      </w:hyperlink>
    </w:p>
    <w:p w14:paraId="115EB97C" w14:textId="77777777" w:rsidR="00174053" w:rsidRPr="00B95951" w:rsidRDefault="00652264" w:rsidP="00B95951">
      <w:pPr>
        <w:pStyle w:val="TM2"/>
        <w:jc w:val="both"/>
        <w:rPr>
          <w:b w:val="0"/>
        </w:rPr>
      </w:pPr>
      <w:hyperlink w:anchor="_Toc70330510" w:history="1">
        <w:r w:rsidR="00174053" w:rsidRPr="00B95951">
          <w:rPr>
            <w:rStyle w:val="Lienhypertexte"/>
            <w:b w:val="0"/>
          </w:rPr>
          <w:t>7.4.</w:t>
        </w:r>
        <w:r w:rsidR="00174053" w:rsidRPr="00B95951">
          <w:rPr>
            <w:b w:val="0"/>
          </w:rPr>
          <w:tab/>
        </w:r>
        <w:r w:rsidR="00174053" w:rsidRPr="00B95951">
          <w:rPr>
            <w:rStyle w:val="Lienhypertexte"/>
            <w:b w:val="0"/>
          </w:rPr>
          <w:t>Mécanisme de Gestion des Plaintes (MGP)</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_Toc70330510 \h </w:instrText>
        </w:r>
        <w:r w:rsidR="00174053" w:rsidRPr="00B95951">
          <w:rPr>
            <w:b w:val="0"/>
            <w:webHidden/>
          </w:rPr>
        </w:r>
        <w:r w:rsidR="00174053" w:rsidRPr="00B95951">
          <w:rPr>
            <w:b w:val="0"/>
            <w:webHidden/>
          </w:rPr>
          <w:fldChar w:fldCharType="separate"/>
        </w:r>
        <w:r w:rsidR="00B95951" w:rsidRPr="00B95951">
          <w:rPr>
            <w:b w:val="0"/>
            <w:webHidden/>
          </w:rPr>
          <w:t>283</w:t>
        </w:r>
        <w:r w:rsidR="00174053" w:rsidRPr="00B95951">
          <w:rPr>
            <w:b w:val="0"/>
            <w:webHidden/>
          </w:rPr>
          <w:fldChar w:fldCharType="end"/>
        </w:r>
      </w:hyperlink>
    </w:p>
    <w:p w14:paraId="79FE94F9" w14:textId="77777777" w:rsidR="00174053" w:rsidRPr="00B95951" w:rsidRDefault="00652264" w:rsidP="00B95951">
      <w:pPr>
        <w:pStyle w:val="TM2"/>
        <w:jc w:val="both"/>
        <w:rPr>
          <w:b w:val="0"/>
        </w:rPr>
      </w:pPr>
      <w:hyperlink w:anchor="_Toc70330511" w:history="1">
        <w:r w:rsidR="00174053" w:rsidRPr="00B95951">
          <w:rPr>
            <w:rStyle w:val="Lienhypertexte"/>
            <w:b w:val="0"/>
            <w:iCs/>
          </w:rPr>
          <w:t>7.4.1.</w:t>
        </w:r>
        <w:r w:rsidR="00174053" w:rsidRPr="00B95951">
          <w:rPr>
            <w:b w:val="0"/>
          </w:rPr>
          <w:tab/>
        </w:r>
        <w:r w:rsidR="00174053" w:rsidRPr="00B95951">
          <w:rPr>
            <w:rStyle w:val="Lienhypertexte"/>
            <w:b w:val="0"/>
            <w:i/>
          </w:rPr>
          <w:t>Plaintes globales du Programme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_Toc70330511 \h </w:instrText>
        </w:r>
        <w:r w:rsidR="00174053" w:rsidRPr="00B95951">
          <w:rPr>
            <w:b w:val="0"/>
            <w:webHidden/>
          </w:rPr>
        </w:r>
        <w:r w:rsidR="00174053" w:rsidRPr="00B95951">
          <w:rPr>
            <w:b w:val="0"/>
            <w:webHidden/>
          </w:rPr>
          <w:fldChar w:fldCharType="separate"/>
        </w:r>
        <w:r w:rsidR="00B95951" w:rsidRPr="00B95951">
          <w:rPr>
            <w:b w:val="0"/>
            <w:webHidden/>
          </w:rPr>
          <w:t>283</w:t>
        </w:r>
        <w:r w:rsidR="00174053" w:rsidRPr="00B95951">
          <w:rPr>
            <w:b w:val="0"/>
            <w:webHidden/>
          </w:rPr>
          <w:fldChar w:fldCharType="end"/>
        </w:r>
      </w:hyperlink>
    </w:p>
    <w:p w14:paraId="36A606E0" w14:textId="77777777" w:rsidR="00174053" w:rsidRPr="00B95951" w:rsidRDefault="00652264" w:rsidP="00B95951">
      <w:pPr>
        <w:pStyle w:val="TM2"/>
        <w:jc w:val="both"/>
        <w:rPr>
          <w:b w:val="0"/>
        </w:rPr>
      </w:pPr>
      <w:hyperlink w:anchor="_Toc70330512" w:history="1">
        <w:r w:rsidR="00174053" w:rsidRPr="00B95951">
          <w:rPr>
            <w:rStyle w:val="Lienhypertexte"/>
            <w:b w:val="0"/>
            <w:iCs/>
          </w:rPr>
          <w:t>7.4.2.</w:t>
        </w:r>
        <w:r w:rsidR="00174053" w:rsidRPr="00B95951">
          <w:rPr>
            <w:b w:val="0"/>
          </w:rPr>
          <w:tab/>
        </w:r>
        <w:r w:rsidR="00174053" w:rsidRPr="00B95951">
          <w:rPr>
            <w:rStyle w:val="Lienhypertexte"/>
            <w:b w:val="0"/>
            <w:i/>
          </w:rPr>
          <w:t>Plaintes relatives aux VBG/EAS/HS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_Toc70330512 \h </w:instrText>
        </w:r>
        <w:r w:rsidR="00174053" w:rsidRPr="00B95951">
          <w:rPr>
            <w:b w:val="0"/>
            <w:webHidden/>
          </w:rPr>
        </w:r>
        <w:r w:rsidR="00174053" w:rsidRPr="00B95951">
          <w:rPr>
            <w:b w:val="0"/>
            <w:webHidden/>
          </w:rPr>
          <w:fldChar w:fldCharType="separate"/>
        </w:r>
        <w:r w:rsidR="00B95951" w:rsidRPr="00B95951">
          <w:rPr>
            <w:b w:val="0"/>
            <w:webHidden/>
          </w:rPr>
          <w:t>285</w:t>
        </w:r>
        <w:r w:rsidR="00174053" w:rsidRPr="00B95951">
          <w:rPr>
            <w:b w:val="0"/>
            <w:webHidden/>
          </w:rPr>
          <w:fldChar w:fldCharType="end"/>
        </w:r>
      </w:hyperlink>
    </w:p>
    <w:p w14:paraId="1A6280F1" w14:textId="77777777" w:rsidR="00174053" w:rsidRPr="00B95951" w:rsidRDefault="00652264" w:rsidP="00B95951">
      <w:pPr>
        <w:pStyle w:val="TM2"/>
        <w:jc w:val="both"/>
        <w:rPr>
          <w:b w:val="0"/>
        </w:rPr>
      </w:pPr>
      <w:hyperlink w:anchor="_Toc70330513" w:history="1">
        <w:r w:rsidR="00174053" w:rsidRPr="00B95951">
          <w:rPr>
            <w:rStyle w:val="Lienhypertexte"/>
            <w:b w:val="0"/>
            <w:iCs/>
          </w:rPr>
          <w:t>7.4.3.</w:t>
        </w:r>
        <w:r w:rsidR="00174053" w:rsidRPr="00B95951">
          <w:rPr>
            <w:b w:val="0"/>
          </w:rPr>
          <w:tab/>
        </w:r>
        <w:r w:rsidR="00174053" w:rsidRPr="00B95951">
          <w:rPr>
            <w:rStyle w:val="Lienhypertexte"/>
            <w:b w:val="0"/>
            <w:i/>
            <w:iCs/>
          </w:rPr>
          <w:t>Suivi et enregistrement des plaintes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_Toc70330513 \h </w:instrText>
        </w:r>
        <w:r w:rsidR="00174053" w:rsidRPr="00B95951">
          <w:rPr>
            <w:b w:val="0"/>
            <w:webHidden/>
          </w:rPr>
        </w:r>
        <w:r w:rsidR="00174053" w:rsidRPr="00B95951">
          <w:rPr>
            <w:b w:val="0"/>
            <w:webHidden/>
          </w:rPr>
          <w:fldChar w:fldCharType="separate"/>
        </w:r>
        <w:r w:rsidR="00B95951" w:rsidRPr="00B95951">
          <w:rPr>
            <w:b w:val="0"/>
            <w:webHidden/>
          </w:rPr>
          <w:t>287</w:t>
        </w:r>
        <w:r w:rsidR="00174053" w:rsidRPr="00B95951">
          <w:rPr>
            <w:b w:val="0"/>
            <w:webHidden/>
          </w:rPr>
          <w:fldChar w:fldCharType="end"/>
        </w:r>
      </w:hyperlink>
    </w:p>
    <w:p w14:paraId="4FF94E8E" w14:textId="77777777" w:rsidR="00174053" w:rsidRPr="00B95951" w:rsidRDefault="00652264" w:rsidP="00B95951">
      <w:pPr>
        <w:pStyle w:val="TM2"/>
        <w:jc w:val="both"/>
        <w:rPr>
          <w:b w:val="0"/>
        </w:rPr>
      </w:pPr>
      <w:hyperlink w:anchor="_Toc70330514" w:history="1">
        <w:r w:rsidR="00174053" w:rsidRPr="00B95951">
          <w:rPr>
            <w:rStyle w:val="Lienhypertexte"/>
            <w:b w:val="0"/>
            <w:iCs/>
          </w:rPr>
          <w:t>7.4.4.</w:t>
        </w:r>
        <w:r w:rsidR="00174053" w:rsidRPr="00B95951">
          <w:rPr>
            <w:b w:val="0"/>
          </w:rPr>
          <w:tab/>
        </w:r>
        <w:r w:rsidR="00174053" w:rsidRPr="00B95951">
          <w:rPr>
            <w:rStyle w:val="Lienhypertexte"/>
            <w:b w:val="0"/>
            <w:i/>
            <w:iCs/>
          </w:rPr>
          <w:t>Rôles et responsabilités institutionnels dans le suivi du MGP</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_Toc70330514 \h </w:instrText>
        </w:r>
        <w:r w:rsidR="00174053" w:rsidRPr="00B95951">
          <w:rPr>
            <w:b w:val="0"/>
            <w:webHidden/>
          </w:rPr>
        </w:r>
        <w:r w:rsidR="00174053" w:rsidRPr="00B95951">
          <w:rPr>
            <w:b w:val="0"/>
            <w:webHidden/>
          </w:rPr>
          <w:fldChar w:fldCharType="separate"/>
        </w:r>
        <w:r w:rsidR="00B95951" w:rsidRPr="00B95951">
          <w:rPr>
            <w:b w:val="0"/>
            <w:webHidden/>
          </w:rPr>
          <w:t>287</w:t>
        </w:r>
        <w:r w:rsidR="00174053" w:rsidRPr="00B95951">
          <w:rPr>
            <w:b w:val="0"/>
            <w:webHidden/>
          </w:rPr>
          <w:fldChar w:fldCharType="end"/>
        </w:r>
      </w:hyperlink>
    </w:p>
    <w:p w14:paraId="2A476F7C" w14:textId="77777777" w:rsidR="00174053" w:rsidRPr="00B95951" w:rsidRDefault="00652264" w:rsidP="00B95951">
      <w:pPr>
        <w:pStyle w:val="TM2"/>
        <w:jc w:val="both"/>
        <w:rPr>
          <w:b w:val="0"/>
        </w:rPr>
      </w:pPr>
      <w:hyperlink w:anchor="_Toc70330515" w:history="1">
        <w:r w:rsidR="00174053" w:rsidRPr="00B95951">
          <w:rPr>
            <w:rStyle w:val="Lienhypertexte"/>
            <w:b w:val="0"/>
            <w:iCs/>
          </w:rPr>
          <w:t>7.4.5.</w:t>
        </w:r>
        <w:r w:rsidR="00174053" w:rsidRPr="00B95951">
          <w:rPr>
            <w:b w:val="0"/>
          </w:rPr>
          <w:tab/>
        </w:r>
        <w:r w:rsidR="00174053" w:rsidRPr="00B95951">
          <w:rPr>
            <w:rStyle w:val="Lienhypertexte"/>
            <w:b w:val="0"/>
            <w:i/>
            <w:iCs/>
          </w:rPr>
          <w:t>Indicateurs de suivi</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_Toc70330515 \h </w:instrText>
        </w:r>
        <w:r w:rsidR="00174053" w:rsidRPr="00B95951">
          <w:rPr>
            <w:b w:val="0"/>
            <w:webHidden/>
          </w:rPr>
        </w:r>
        <w:r w:rsidR="00174053" w:rsidRPr="00B95951">
          <w:rPr>
            <w:b w:val="0"/>
            <w:webHidden/>
          </w:rPr>
          <w:fldChar w:fldCharType="separate"/>
        </w:r>
        <w:r w:rsidR="00B95951" w:rsidRPr="00B95951">
          <w:rPr>
            <w:b w:val="0"/>
            <w:webHidden/>
          </w:rPr>
          <w:t>287</w:t>
        </w:r>
        <w:r w:rsidR="00174053" w:rsidRPr="00B95951">
          <w:rPr>
            <w:b w:val="0"/>
            <w:webHidden/>
          </w:rPr>
          <w:fldChar w:fldCharType="end"/>
        </w:r>
      </w:hyperlink>
    </w:p>
    <w:p w14:paraId="118CAFFB" w14:textId="77777777" w:rsidR="00174053" w:rsidRPr="00B95951" w:rsidRDefault="00652264" w:rsidP="00B95951">
      <w:pPr>
        <w:pStyle w:val="TM2"/>
        <w:jc w:val="both"/>
        <w:rPr>
          <w:b w:val="0"/>
        </w:rPr>
      </w:pPr>
      <w:hyperlink w:anchor="_Toc70330516" w:history="1">
        <w:r w:rsidR="00174053" w:rsidRPr="00B95951">
          <w:rPr>
            <w:rStyle w:val="Lienhypertexte"/>
            <w:b w:val="0"/>
          </w:rPr>
          <w:t>7.5.</w:t>
        </w:r>
        <w:r w:rsidR="00174053" w:rsidRPr="00B95951">
          <w:rPr>
            <w:b w:val="0"/>
          </w:rPr>
          <w:tab/>
        </w:r>
        <w:r w:rsidR="00174053" w:rsidRPr="00B95951">
          <w:rPr>
            <w:rStyle w:val="Lienhypertexte"/>
            <w:b w:val="0"/>
          </w:rPr>
          <w:t>Service de règlement des plaintes de la Banque mondiale</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_Toc70330516 \h </w:instrText>
        </w:r>
        <w:r w:rsidR="00174053" w:rsidRPr="00B95951">
          <w:rPr>
            <w:b w:val="0"/>
            <w:webHidden/>
          </w:rPr>
        </w:r>
        <w:r w:rsidR="00174053" w:rsidRPr="00B95951">
          <w:rPr>
            <w:b w:val="0"/>
            <w:webHidden/>
          </w:rPr>
          <w:fldChar w:fldCharType="separate"/>
        </w:r>
        <w:r w:rsidR="00B95951" w:rsidRPr="00B95951">
          <w:rPr>
            <w:b w:val="0"/>
            <w:webHidden/>
          </w:rPr>
          <w:t>288</w:t>
        </w:r>
        <w:r w:rsidR="00174053" w:rsidRPr="00B95951">
          <w:rPr>
            <w:b w:val="0"/>
            <w:webHidden/>
          </w:rPr>
          <w:fldChar w:fldCharType="end"/>
        </w:r>
      </w:hyperlink>
    </w:p>
    <w:p w14:paraId="5D47F20B" w14:textId="77777777" w:rsidR="00174053" w:rsidRPr="00B95951" w:rsidRDefault="00652264" w:rsidP="00B95951">
      <w:pPr>
        <w:pStyle w:val="TM2"/>
        <w:jc w:val="both"/>
        <w:rPr>
          <w:b w:val="0"/>
        </w:rPr>
      </w:pPr>
      <w:hyperlink w:anchor="_Toc70330517" w:history="1">
        <w:r w:rsidR="00174053" w:rsidRPr="00B95951">
          <w:rPr>
            <w:rStyle w:val="Lienhypertexte"/>
            <w:b w:val="0"/>
          </w:rPr>
          <w:t>7.6.</w:t>
        </w:r>
        <w:r w:rsidR="00174053" w:rsidRPr="00B95951">
          <w:rPr>
            <w:b w:val="0"/>
          </w:rPr>
          <w:tab/>
        </w:r>
        <w:r w:rsidR="00174053" w:rsidRPr="00B95951">
          <w:rPr>
            <w:rStyle w:val="Lienhypertexte"/>
            <w:b w:val="0"/>
          </w:rPr>
          <w:t>Panel d’inspection</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_Toc70330517 \h </w:instrText>
        </w:r>
        <w:r w:rsidR="00174053" w:rsidRPr="00B95951">
          <w:rPr>
            <w:b w:val="0"/>
            <w:webHidden/>
          </w:rPr>
        </w:r>
        <w:r w:rsidR="00174053" w:rsidRPr="00B95951">
          <w:rPr>
            <w:b w:val="0"/>
            <w:webHidden/>
          </w:rPr>
          <w:fldChar w:fldCharType="separate"/>
        </w:r>
        <w:r w:rsidR="00B95951" w:rsidRPr="00B95951">
          <w:rPr>
            <w:b w:val="0"/>
            <w:webHidden/>
          </w:rPr>
          <w:t>289</w:t>
        </w:r>
        <w:r w:rsidR="00174053" w:rsidRPr="00B95951">
          <w:rPr>
            <w:b w:val="0"/>
            <w:webHidden/>
          </w:rPr>
          <w:fldChar w:fldCharType="end"/>
        </w:r>
      </w:hyperlink>
    </w:p>
    <w:p w14:paraId="2C1D833D" w14:textId="77777777" w:rsidR="00174053" w:rsidRPr="00B95951" w:rsidRDefault="00652264" w:rsidP="00B95951">
      <w:pPr>
        <w:pStyle w:val="TM1"/>
        <w:tabs>
          <w:tab w:val="right" w:pos="9062"/>
        </w:tabs>
        <w:rPr>
          <w:b w:val="0"/>
          <w:bCs w:val="0"/>
          <w:caps w:val="0"/>
          <w:color w:val="auto"/>
        </w:rPr>
      </w:pPr>
      <w:hyperlink w:anchor="_Toc70330518" w:history="1">
        <w:r w:rsidR="00174053" w:rsidRPr="00B95951">
          <w:rPr>
            <w:rStyle w:val="Lienhypertexte"/>
            <w:b w:val="0"/>
          </w:rPr>
          <w:t>8.</w:t>
        </w:r>
        <w:r w:rsidR="00174053" w:rsidRPr="00B95951">
          <w:rPr>
            <w:b w:val="0"/>
            <w:bCs w:val="0"/>
            <w:caps w:val="0"/>
            <w:color w:val="auto"/>
          </w:rPr>
          <w:tab/>
        </w:r>
        <w:r w:rsidR="00174053" w:rsidRPr="00B95951">
          <w:rPr>
            <w:rStyle w:val="Lienhypertexte"/>
            <w:b w:val="0"/>
          </w:rPr>
          <w:t>BUDGET ESTIMATIF DE LA MISE EN ŒUVRE DU CGES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_Toc70330518 \h </w:instrText>
        </w:r>
        <w:r w:rsidR="00174053" w:rsidRPr="00B95951">
          <w:rPr>
            <w:b w:val="0"/>
            <w:webHidden/>
          </w:rPr>
        </w:r>
        <w:r w:rsidR="00174053" w:rsidRPr="00B95951">
          <w:rPr>
            <w:b w:val="0"/>
            <w:webHidden/>
          </w:rPr>
          <w:fldChar w:fldCharType="separate"/>
        </w:r>
        <w:r w:rsidR="00B95951" w:rsidRPr="00B95951">
          <w:rPr>
            <w:b w:val="0"/>
            <w:webHidden/>
          </w:rPr>
          <w:t>292</w:t>
        </w:r>
        <w:r w:rsidR="00174053" w:rsidRPr="00B95951">
          <w:rPr>
            <w:b w:val="0"/>
            <w:webHidden/>
          </w:rPr>
          <w:fldChar w:fldCharType="end"/>
        </w:r>
      </w:hyperlink>
    </w:p>
    <w:p w14:paraId="03407C94" w14:textId="77777777" w:rsidR="00174053" w:rsidRPr="00B95951" w:rsidRDefault="00652264" w:rsidP="00B95951">
      <w:pPr>
        <w:pStyle w:val="TM1"/>
        <w:tabs>
          <w:tab w:val="right" w:pos="9062"/>
        </w:tabs>
        <w:rPr>
          <w:b w:val="0"/>
          <w:bCs w:val="0"/>
          <w:caps w:val="0"/>
          <w:color w:val="auto"/>
        </w:rPr>
      </w:pPr>
      <w:hyperlink w:anchor="_Toc70330526" w:history="1">
        <w:r w:rsidR="00174053" w:rsidRPr="00B95951">
          <w:rPr>
            <w:rStyle w:val="Lienhypertexte"/>
            <w:b w:val="0"/>
          </w:rPr>
          <w:t>9.</w:t>
        </w:r>
        <w:r w:rsidR="00174053" w:rsidRPr="00B95951">
          <w:rPr>
            <w:b w:val="0"/>
            <w:bCs w:val="0"/>
            <w:caps w:val="0"/>
            <w:color w:val="auto"/>
          </w:rPr>
          <w:tab/>
        </w:r>
        <w:r w:rsidR="00174053" w:rsidRPr="00B95951">
          <w:rPr>
            <w:rStyle w:val="Lienhypertexte"/>
            <w:b w:val="0"/>
          </w:rPr>
          <w:t>CONCLUSION</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_Toc70330526 \h </w:instrText>
        </w:r>
        <w:r w:rsidR="00174053" w:rsidRPr="00B95951">
          <w:rPr>
            <w:b w:val="0"/>
            <w:webHidden/>
          </w:rPr>
        </w:r>
        <w:r w:rsidR="00174053" w:rsidRPr="00B95951">
          <w:rPr>
            <w:b w:val="0"/>
            <w:webHidden/>
          </w:rPr>
          <w:fldChar w:fldCharType="separate"/>
        </w:r>
        <w:r w:rsidR="00B95951" w:rsidRPr="00B95951">
          <w:rPr>
            <w:b w:val="0"/>
            <w:webHidden/>
          </w:rPr>
          <w:t>294</w:t>
        </w:r>
        <w:r w:rsidR="00174053" w:rsidRPr="00B95951">
          <w:rPr>
            <w:b w:val="0"/>
            <w:webHidden/>
          </w:rPr>
          <w:fldChar w:fldCharType="end"/>
        </w:r>
      </w:hyperlink>
    </w:p>
    <w:p w14:paraId="5BF7DCD5" w14:textId="77777777" w:rsidR="00174053" w:rsidRPr="00B95951" w:rsidRDefault="00652264" w:rsidP="00B95951">
      <w:pPr>
        <w:pStyle w:val="TM1"/>
        <w:tabs>
          <w:tab w:val="right" w:pos="9062"/>
        </w:tabs>
        <w:rPr>
          <w:b w:val="0"/>
          <w:bCs w:val="0"/>
          <w:caps w:val="0"/>
          <w:color w:val="auto"/>
        </w:rPr>
      </w:pPr>
      <w:hyperlink w:anchor="_Toc70330527" w:history="1">
        <w:r w:rsidR="00174053" w:rsidRPr="00B95951">
          <w:rPr>
            <w:rStyle w:val="Lienhypertexte"/>
            <w:b w:val="0"/>
          </w:rPr>
          <w:t>10.</w:t>
        </w:r>
        <w:r w:rsidR="00174053" w:rsidRPr="00B95951">
          <w:rPr>
            <w:b w:val="0"/>
            <w:bCs w:val="0"/>
            <w:caps w:val="0"/>
            <w:color w:val="auto"/>
          </w:rPr>
          <w:tab/>
        </w:r>
        <w:r w:rsidR="00174053" w:rsidRPr="00B95951">
          <w:rPr>
            <w:rStyle w:val="Lienhypertexte"/>
            <w:b w:val="0"/>
          </w:rPr>
          <w:t>RÉFÉRENCES BIBLIOGRAPHIQUES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_Toc70330527 \h </w:instrText>
        </w:r>
        <w:r w:rsidR="00174053" w:rsidRPr="00B95951">
          <w:rPr>
            <w:b w:val="0"/>
            <w:webHidden/>
          </w:rPr>
        </w:r>
        <w:r w:rsidR="00174053" w:rsidRPr="00B95951">
          <w:rPr>
            <w:b w:val="0"/>
            <w:webHidden/>
          </w:rPr>
          <w:fldChar w:fldCharType="separate"/>
        </w:r>
        <w:r w:rsidR="00B95951" w:rsidRPr="00B95951">
          <w:rPr>
            <w:b w:val="0"/>
            <w:webHidden/>
          </w:rPr>
          <w:t>296</w:t>
        </w:r>
        <w:r w:rsidR="00174053" w:rsidRPr="00B95951">
          <w:rPr>
            <w:b w:val="0"/>
            <w:webHidden/>
          </w:rPr>
          <w:fldChar w:fldCharType="end"/>
        </w:r>
      </w:hyperlink>
    </w:p>
    <w:p w14:paraId="4EDFB185" w14:textId="77777777" w:rsidR="00174053" w:rsidRPr="00B95951" w:rsidRDefault="00652264" w:rsidP="00B95951">
      <w:pPr>
        <w:pStyle w:val="TM1"/>
        <w:tabs>
          <w:tab w:val="right" w:pos="9062"/>
        </w:tabs>
        <w:rPr>
          <w:b w:val="0"/>
          <w:bCs w:val="0"/>
          <w:caps w:val="0"/>
          <w:color w:val="auto"/>
        </w:rPr>
      </w:pPr>
      <w:hyperlink w:anchor="_Toc70330528" w:history="1">
        <w:r w:rsidR="00174053" w:rsidRPr="00B95951">
          <w:rPr>
            <w:rStyle w:val="Lienhypertexte"/>
            <w:b w:val="0"/>
            <w:lang w:val="en-US"/>
          </w:rPr>
          <w:t>11.</w:t>
        </w:r>
        <w:r w:rsidR="00174053" w:rsidRPr="00B95951">
          <w:rPr>
            <w:b w:val="0"/>
            <w:bCs w:val="0"/>
            <w:caps w:val="0"/>
            <w:color w:val="auto"/>
          </w:rPr>
          <w:tab/>
        </w:r>
        <w:r w:rsidR="00174053" w:rsidRPr="00B95951">
          <w:rPr>
            <w:rStyle w:val="Lienhypertexte"/>
            <w:b w:val="0"/>
          </w:rPr>
          <w:t>ANNEXES</w:t>
        </w:r>
        <w:r w:rsidR="00174053" w:rsidRPr="00B95951">
          <w:rPr>
            <w:b w:val="0"/>
            <w:webHidden/>
          </w:rPr>
          <w:tab/>
        </w:r>
        <w:r w:rsidR="00174053" w:rsidRPr="00B95951">
          <w:rPr>
            <w:b w:val="0"/>
            <w:webHidden/>
          </w:rPr>
          <w:fldChar w:fldCharType="begin"/>
        </w:r>
        <w:r w:rsidR="00174053" w:rsidRPr="00B95951">
          <w:rPr>
            <w:b w:val="0"/>
            <w:webHidden/>
          </w:rPr>
          <w:instrText xml:space="preserve"> PAGEREF _Toc70330528 \h </w:instrText>
        </w:r>
        <w:r w:rsidR="00174053" w:rsidRPr="00B95951">
          <w:rPr>
            <w:b w:val="0"/>
            <w:webHidden/>
          </w:rPr>
        </w:r>
        <w:r w:rsidR="00174053" w:rsidRPr="00B95951">
          <w:rPr>
            <w:b w:val="0"/>
            <w:webHidden/>
          </w:rPr>
          <w:fldChar w:fldCharType="separate"/>
        </w:r>
        <w:r w:rsidR="00B95951" w:rsidRPr="00B95951">
          <w:rPr>
            <w:b w:val="0"/>
            <w:webHidden/>
          </w:rPr>
          <w:t>299</w:t>
        </w:r>
        <w:r w:rsidR="00174053" w:rsidRPr="00B95951">
          <w:rPr>
            <w:b w:val="0"/>
            <w:webHidden/>
          </w:rPr>
          <w:fldChar w:fldCharType="end"/>
        </w:r>
      </w:hyperlink>
    </w:p>
    <w:p w14:paraId="76AA1980" w14:textId="77777777" w:rsidR="001C2F95" w:rsidRPr="00174053" w:rsidRDefault="001C2F95" w:rsidP="00B95951">
      <w:pPr>
        <w:pStyle w:val="Titre2"/>
        <w:tabs>
          <w:tab w:val="right" w:pos="9062"/>
        </w:tabs>
        <w:ind w:left="567" w:hanging="567"/>
        <w:rPr>
          <w:rFonts w:cs="Arial"/>
          <w:bCs w:val="0"/>
          <w:sz w:val="22"/>
          <w:szCs w:val="22"/>
        </w:rPr>
      </w:pPr>
      <w:r w:rsidRPr="00B95951">
        <w:rPr>
          <w:rStyle w:val="Lienhypertexte"/>
          <w:rFonts w:cs="Arial"/>
          <w:sz w:val="22"/>
          <w:szCs w:val="22"/>
          <w:highlight w:val="yellow"/>
        </w:rPr>
        <w:fldChar w:fldCharType="end"/>
      </w:r>
      <w:bookmarkStart w:id="2" w:name="_Toc64026093"/>
      <w:bookmarkStart w:id="3" w:name="_Toc70326713"/>
      <w:bookmarkStart w:id="4" w:name="_Toc70326945"/>
      <w:bookmarkStart w:id="5" w:name="_Toc70330308"/>
      <w:r w:rsidRPr="00174053">
        <w:rPr>
          <w:rFonts w:cs="Arial"/>
          <w:sz w:val="22"/>
          <w:szCs w:val="22"/>
        </w:rPr>
        <w:t>ANNEXE 1. FORMULAIRE DE SÉLECTION ENVIRONNEMENTALE ET SOCIALE</w:t>
      </w:r>
      <w:bookmarkEnd w:id="2"/>
      <w:bookmarkEnd w:id="3"/>
      <w:bookmarkEnd w:id="4"/>
      <w:bookmarkEnd w:id="5"/>
      <w:r w:rsidRPr="00174053">
        <w:rPr>
          <w:rFonts w:cs="Arial"/>
          <w:bCs w:val="0"/>
          <w:sz w:val="22"/>
          <w:szCs w:val="22"/>
        </w:rPr>
        <w:t xml:space="preserve"> </w:t>
      </w:r>
    </w:p>
    <w:p w14:paraId="76A129B3" w14:textId="77777777" w:rsidR="001C2F95" w:rsidRPr="00174053" w:rsidRDefault="001C2F95" w:rsidP="00174053">
      <w:pPr>
        <w:tabs>
          <w:tab w:val="right" w:pos="9062"/>
        </w:tabs>
        <w:ind w:left="142" w:hanging="142"/>
        <w:rPr>
          <w:rFonts w:cs="Arial"/>
          <w:sz w:val="22"/>
        </w:rPr>
      </w:pPr>
      <w:r w:rsidRPr="00174053">
        <w:rPr>
          <w:rFonts w:cs="Arial"/>
          <w:sz w:val="22"/>
        </w:rPr>
        <w:t xml:space="preserve">ANNEXE 2. LISTE DE CONTRÔLE ENVIRONNEMENTAL ET SOCIAL </w:t>
      </w:r>
    </w:p>
    <w:p w14:paraId="1FC9AEF1" w14:textId="77777777" w:rsidR="001C2F95" w:rsidRPr="00174053" w:rsidRDefault="001C2F95" w:rsidP="00174053">
      <w:pPr>
        <w:tabs>
          <w:tab w:val="right" w:pos="9062"/>
        </w:tabs>
        <w:ind w:left="1276" w:hanging="1276"/>
        <w:rPr>
          <w:rFonts w:cs="Arial"/>
          <w:sz w:val="22"/>
        </w:rPr>
      </w:pPr>
      <w:r w:rsidRPr="00174053">
        <w:rPr>
          <w:rFonts w:cs="Arial"/>
          <w:sz w:val="22"/>
        </w:rPr>
        <w:t>ANNEXE 3. CLAUSES ENVIRONNEMENTALES</w:t>
      </w:r>
      <w:r w:rsidR="00510ABB">
        <w:rPr>
          <w:rFonts w:cs="Arial"/>
          <w:sz w:val="22"/>
        </w:rPr>
        <w:t>,</w:t>
      </w:r>
      <w:r w:rsidRPr="00174053">
        <w:rPr>
          <w:rFonts w:cs="Arial"/>
          <w:sz w:val="22"/>
        </w:rPr>
        <w:t xml:space="preserve"> SOCIALES</w:t>
      </w:r>
      <w:r w:rsidR="00510ABB">
        <w:rPr>
          <w:rFonts w:cs="Arial"/>
          <w:sz w:val="22"/>
        </w:rPr>
        <w:t>, SANITAIRES (ESSS OU</w:t>
      </w:r>
      <w:r w:rsidRPr="00174053">
        <w:rPr>
          <w:rFonts w:cs="Arial"/>
          <w:sz w:val="22"/>
        </w:rPr>
        <w:t xml:space="preserve"> </w:t>
      </w:r>
      <w:r w:rsidR="00510ABB">
        <w:rPr>
          <w:rFonts w:cs="Arial"/>
          <w:sz w:val="22"/>
        </w:rPr>
        <w:t>E3S)</w:t>
      </w:r>
    </w:p>
    <w:p w14:paraId="17491138" w14:textId="77777777" w:rsidR="001C2F95" w:rsidRPr="00174053" w:rsidRDefault="001C2F95" w:rsidP="00174053">
      <w:pPr>
        <w:pStyle w:val="Titre2"/>
        <w:tabs>
          <w:tab w:val="right" w:pos="9062"/>
        </w:tabs>
        <w:ind w:left="1350" w:hanging="1350"/>
        <w:rPr>
          <w:rFonts w:cs="Arial"/>
          <w:sz w:val="22"/>
          <w:szCs w:val="22"/>
        </w:rPr>
      </w:pPr>
      <w:bookmarkStart w:id="6" w:name="_Toc64026094"/>
      <w:bookmarkStart w:id="7" w:name="_Toc70326714"/>
      <w:bookmarkStart w:id="8" w:name="_Toc70326946"/>
      <w:bookmarkStart w:id="9" w:name="_Toc70330309"/>
      <w:r w:rsidRPr="00174053">
        <w:rPr>
          <w:rFonts w:cs="Arial"/>
          <w:sz w:val="22"/>
          <w:szCs w:val="22"/>
        </w:rPr>
        <w:t>ANNEXE 4. TERMES DE RÉFÉRENCE TYPE POUR LA RÉALISATION D’UNE ÉTUDE D’IMPACT ENVIRONNEMENTAL ET SOCIAL</w:t>
      </w:r>
      <w:bookmarkEnd w:id="6"/>
      <w:bookmarkEnd w:id="7"/>
      <w:bookmarkEnd w:id="8"/>
      <w:bookmarkEnd w:id="9"/>
      <w:r w:rsidRPr="00174053">
        <w:rPr>
          <w:rFonts w:cs="Arial"/>
          <w:sz w:val="22"/>
          <w:szCs w:val="22"/>
        </w:rPr>
        <w:t xml:space="preserve"> </w:t>
      </w:r>
    </w:p>
    <w:p w14:paraId="692657A0" w14:textId="77777777" w:rsidR="001C2F95" w:rsidRPr="00174053" w:rsidRDefault="001C2F95" w:rsidP="00174053">
      <w:pPr>
        <w:tabs>
          <w:tab w:val="right" w:pos="9062"/>
        </w:tabs>
        <w:rPr>
          <w:rFonts w:cs="Arial"/>
          <w:sz w:val="22"/>
        </w:rPr>
      </w:pPr>
      <w:r w:rsidRPr="00174053">
        <w:rPr>
          <w:rFonts w:cs="Arial"/>
          <w:sz w:val="22"/>
        </w:rPr>
        <w:t>ANNEXE 5. TERMES DE RÉFÉRENCE POUR L’ÉLABORATION DU CGES</w:t>
      </w:r>
    </w:p>
    <w:p w14:paraId="7EFC7D7F" w14:textId="77777777" w:rsidR="001C2F95" w:rsidRPr="00174053" w:rsidRDefault="001C2F95" w:rsidP="00174053">
      <w:pPr>
        <w:tabs>
          <w:tab w:val="right" w:pos="9062"/>
        </w:tabs>
        <w:spacing w:line="240" w:lineRule="auto"/>
        <w:rPr>
          <w:rFonts w:cs="Arial"/>
          <w:sz w:val="22"/>
        </w:rPr>
      </w:pPr>
      <w:r w:rsidRPr="00174053">
        <w:rPr>
          <w:rFonts w:cs="Arial"/>
          <w:sz w:val="22"/>
        </w:rPr>
        <w:t>ANNEXE 6. LISTE DES PRESONNES RENCONTRÉES</w:t>
      </w:r>
    </w:p>
    <w:p w14:paraId="37677250" w14:textId="77777777" w:rsidR="001C2F95" w:rsidRPr="00174053" w:rsidRDefault="001C2F95" w:rsidP="00174053">
      <w:pPr>
        <w:tabs>
          <w:tab w:val="center" w:pos="4536"/>
          <w:tab w:val="right" w:pos="9062"/>
        </w:tabs>
        <w:ind w:left="1276" w:hanging="1276"/>
        <w:rPr>
          <w:rFonts w:cs="Arial"/>
          <w:sz w:val="22"/>
        </w:rPr>
      </w:pPr>
      <w:r w:rsidRPr="00174053">
        <w:rPr>
          <w:rFonts w:cs="Arial"/>
          <w:sz w:val="22"/>
        </w:rPr>
        <w:t xml:space="preserve">ANNEXE 7. QUELQUES EXEMPLAIRES DES PROCÈS-VERBAUX DES RÉUNIONS DE CONSULTATIONS DU PUBLIC ORGANISÉES DANS LES PROVINCES DU KWILU, KONGO CENTRAL, </w:t>
      </w:r>
      <w:r w:rsidR="001977A4" w:rsidRPr="00174053">
        <w:rPr>
          <w:rFonts w:cs="Arial"/>
          <w:sz w:val="22"/>
        </w:rPr>
        <w:t>KASAÏ</w:t>
      </w:r>
      <w:r w:rsidRPr="00174053">
        <w:rPr>
          <w:rFonts w:cs="Arial"/>
          <w:sz w:val="22"/>
        </w:rPr>
        <w:t xml:space="preserve">, </w:t>
      </w:r>
      <w:r w:rsidR="001977A4" w:rsidRPr="00174053">
        <w:rPr>
          <w:rFonts w:cs="Arial"/>
          <w:sz w:val="22"/>
        </w:rPr>
        <w:t>KASAÏ</w:t>
      </w:r>
      <w:r w:rsidRPr="00174053">
        <w:rPr>
          <w:rFonts w:cs="Arial"/>
          <w:sz w:val="22"/>
        </w:rPr>
        <w:t xml:space="preserve"> CENTRAL ET NORD-KIVU</w:t>
      </w:r>
    </w:p>
    <w:p w14:paraId="16994699" w14:textId="77777777" w:rsidR="001C2F95" w:rsidRPr="00174053" w:rsidRDefault="001C2F95" w:rsidP="00174053">
      <w:pPr>
        <w:tabs>
          <w:tab w:val="right" w:pos="9062"/>
        </w:tabs>
        <w:ind w:left="1170" w:hanging="1170"/>
        <w:rPr>
          <w:rFonts w:cs="Arial"/>
          <w:sz w:val="22"/>
        </w:rPr>
      </w:pPr>
      <w:r w:rsidRPr="00174053">
        <w:rPr>
          <w:rFonts w:cs="Arial"/>
          <w:sz w:val="22"/>
        </w:rPr>
        <w:lastRenderedPageBreak/>
        <w:t xml:space="preserve">ANNEXE 8. LISTES DES PRÉSENCES DES RÉUNIONS DE CONSULTATIONS DU PUBLIC ORGANISÉES DANS LES PROVINCE DU KWILU, KONGO CENTRAL, </w:t>
      </w:r>
      <w:r w:rsidR="001977A4" w:rsidRPr="00174053">
        <w:rPr>
          <w:rFonts w:cs="Arial"/>
          <w:sz w:val="22"/>
        </w:rPr>
        <w:t>KASAÏ</w:t>
      </w:r>
      <w:r w:rsidRPr="00174053">
        <w:rPr>
          <w:rFonts w:cs="Arial"/>
          <w:sz w:val="22"/>
        </w:rPr>
        <w:t xml:space="preserve">, </w:t>
      </w:r>
      <w:r w:rsidR="001977A4" w:rsidRPr="00174053">
        <w:rPr>
          <w:rFonts w:cs="Arial"/>
          <w:sz w:val="22"/>
        </w:rPr>
        <w:t>KASAÏ</w:t>
      </w:r>
      <w:r w:rsidRPr="00174053">
        <w:rPr>
          <w:rFonts w:cs="Arial"/>
          <w:sz w:val="22"/>
        </w:rPr>
        <w:t xml:space="preserve"> CENTRAL ET NORD-KIVU</w:t>
      </w:r>
    </w:p>
    <w:p w14:paraId="113625C4" w14:textId="77777777" w:rsidR="001C2F95" w:rsidRPr="00174053" w:rsidRDefault="001C2F95" w:rsidP="00AC5809">
      <w:pPr>
        <w:tabs>
          <w:tab w:val="right" w:pos="9062"/>
        </w:tabs>
        <w:ind w:left="1170" w:hanging="1170"/>
        <w:rPr>
          <w:rFonts w:cs="Arial"/>
          <w:sz w:val="22"/>
        </w:rPr>
      </w:pPr>
      <w:r w:rsidRPr="00174053">
        <w:rPr>
          <w:rFonts w:cs="Arial"/>
          <w:sz w:val="22"/>
        </w:rPr>
        <w:t>ANNEXE 9. QUELQUES EXEMPLAIRES DES COMMUNIQU</w:t>
      </w:r>
      <w:r w:rsidR="00AC5809" w:rsidRPr="00174053">
        <w:rPr>
          <w:rFonts w:cs="Arial"/>
          <w:sz w:val="22"/>
        </w:rPr>
        <w:t>É</w:t>
      </w:r>
      <w:r w:rsidRPr="00174053">
        <w:rPr>
          <w:rFonts w:cs="Arial"/>
          <w:sz w:val="22"/>
        </w:rPr>
        <w:t>S RADIOPHONIQUES DIFFUSES DANS LES VILLES MATADI, KANANGA, TSHIKAPA, BANDUNDU ET GOMA</w:t>
      </w:r>
    </w:p>
    <w:p w14:paraId="65537CEF" w14:textId="77777777" w:rsidR="0064102E" w:rsidRPr="00174053" w:rsidRDefault="0064102E" w:rsidP="00AC5809">
      <w:pPr>
        <w:ind w:left="1170" w:hanging="1170"/>
        <w:rPr>
          <w:rFonts w:cs="Arial"/>
          <w:sz w:val="22"/>
        </w:rPr>
      </w:pPr>
      <w:r w:rsidRPr="00174053">
        <w:rPr>
          <w:rFonts w:cs="Arial"/>
          <w:sz w:val="22"/>
        </w:rPr>
        <w:t>ANNEXE 10. QUELQUES PHOTOS DE LA TENUE DES CONSULTATIONS DU PUBLIC ET DES ATELIERS DE RESTITUTION</w:t>
      </w:r>
    </w:p>
    <w:p w14:paraId="4EECC786" w14:textId="77777777" w:rsidR="001C2F95" w:rsidRDefault="0064102E" w:rsidP="00AC5809">
      <w:pPr>
        <w:tabs>
          <w:tab w:val="right" w:pos="9062"/>
        </w:tabs>
        <w:spacing w:line="240" w:lineRule="auto"/>
        <w:rPr>
          <w:rFonts w:eastAsia="Arial Unicode MS" w:cs="Arial"/>
          <w:bCs/>
          <w:sz w:val="22"/>
          <w:lang w:eastAsia="zh-CN"/>
        </w:rPr>
      </w:pPr>
      <w:r w:rsidRPr="00174053">
        <w:rPr>
          <w:rFonts w:cs="Arial"/>
          <w:sz w:val="22"/>
        </w:rPr>
        <w:t>ANNEXE 11</w:t>
      </w:r>
      <w:r w:rsidR="001C2F95" w:rsidRPr="00174053">
        <w:rPr>
          <w:rFonts w:eastAsia="Arial Unicode MS" w:cs="Arial"/>
          <w:bCs/>
          <w:sz w:val="22"/>
          <w:lang w:eastAsia="zh-CN"/>
        </w:rPr>
        <w:t>. CODE DE BONNE CONDUITE</w:t>
      </w:r>
    </w:p>
    <w:p w14:paraId="6CAF2C54" w14:textId="77777777" w:rsidR="00AC5809" w:rsidRPr="00AC5809" w:rsidRDefault="00AC5809" w:rsidP="00AC5809">
      <w:pPr>
        <w:ind w:left="1170" w:hanging="1170"/>
        <w:rPr>
          <w:rFonts w:cs="Arial"/>
          <w:sz w:val="22"/>
        </w:rPr>
      </w:pPr>
      <w:r w:rsidRPr="00AC5809">
        <w:rPr>
          <w:rFonts w:cs="Arial"/>
          <w:sz w:val="22"/>
        </w:rPr>
        <w:t>ANNEXE 12. FICHE D’ENREGISTREMENT DES PLAINTES GLOBALES DU PROJET</w:t>
      </w:r>
    </w:p>
    <w:p w14:paraId="17448BC1" w14:textId="77777777" w:rsidR="00AC5809" w:rsidRPr="00AC5809" w:rsidRDefault="00AC5809" w:rsidP="00AC5809">
      <w:pPr>
        <w:ind w:left="1170" w:hanging="1170"/>
        <w:rPr>
          <w:rFonts w:cs="Arial"/>
          <w:sz w:val="22"/>
        </w:rPr>
      </w:pPr>
      <w:r w:rsidRPr="00AC5809">
        <w:rPr>
          <w:rFonts w:cs="Arial"/>
          <w:sz w:val="22"/>
        </w:rPr>
        <w:t xml:space="preserve">ANNEXE 13. CONSIDÉRATIONS SUR LE COVID-19 </w:t>
      </w:r>
      <w:r>
        <w:rPr>
          <w:rFonts w:cs="Arial"/>
          <w:sz w:val="22"/>
        </w:rPr>
        <w:t>À</w:t>
      </w:r>
      <w:r w:rsidRPr="00AC5809">
        <w:rPr>
          <w:rFonts w:cs="Arial"/>
          <w:sz w:val="22"/>
        </w:rPr>
        <w:t xml:space="preserve"> PRENDRE EN COMPTE</w:t>
      </w:r>
      <w:r>
        <w:rPr>
          <w:rFonts w:cs="Arial"/>
          <w:sz w:val="22"/>
        </w:rPr>
        <w:t xml:space="preserve"> </w:t>
      </w:r>
      <w:r w:rsidRPr="00AC5809">
        <w:rPr>
          <w:rFonts w:cs="Arial"/>
          <w:sz w:val="22"/>
        </w:rPr>
        <w:t>DANS LES PROJETS DE CONSTRUCTION / TRAVAUX CIVILS</w:t>
      </w:r>
    </w:p>
    <w:p w14:paraId="3BB21AB1" w14:textId="77777777" w:rsidR="00AC5809" w:rsidRPr="00AC5809" w:rsidRDefault="00AC5809" w:rsidP="00AC5809">
      <w:pPr>
        <w:ind w:left="1170" w:hanging="1170"/>
        <w:rPr>
          <w:rFonts w:cs="Arial"/>
          <w:sz w:val="22"/>
        </w:rPr>
      </w:pPr>
      <w:r w:rsidRPr="00AC5809">
        <w:rPr>
          <w:rFonts w:cs="Arial"/>
          <w:sz w:val="22"/>
        </w:rPr>
        <w:t>ANNEXE 14. LISTE D’EXCLUSION PR</w:t>
      </w:r>
      <w:r w:rsidRPr="00174053">
        <w:rPr>
          <w:rFonts w:cs="Arial"/>
          <w:sz w:val="22"/>
        </w:rPr>
        <w:t>É</w:t>
      </w:r>
      <w:r w:rsidRPr="00AC5809">
        <w:rPr>
          <w:rFonts w:cs="Arial"/>
          <w:sz w:val="22"/>
        </w:rPr>
        <w:t>LIMINAIRE POUR LES SECTEURS ET DES ACTIVIT</w:t>
      </w:r>
      <w:r w:rsidRPr="00174053">
        <w:rPr>
          <w:rFonts w:cs="Arial"/>
          <w:sz w:val="22"/>
        </w:rPr>
        <w:t>É</w:t>
      </w:r>
      <w:r w:rsidRPr="00AC5809">
        <w:rPr>
          <w:rFonts w:cs="Arial"/>
          <w:sz w:val="22"/>
        </w:rPr>
        <w:t xml:space="preserve">S E&amp;S </w:t>
      </w:r>
      <w:r>
        <w:rPr>
          <w:rFonts w:cs="Arial"/>
          <w:sz w:val="22"/>
        </w:rPr>
        <w:t>À</w:t>
      </w:r>
      <w:r w:rsidRPr="00AC5809">
        <w:rPr>
          <w:rFonts w:cs="Arial"/>
          <w:sz w:val="22"/>
        </w:rPr>
        <w:t xml:space="preserve"> RISQUE </w:t>
      </w:r>
      <w:r w:rsidRPr="00174053">
        <w:rPr>
          <w:rFonts w:cs="Arial"/>
          <w:sz w:val="22"/>
        </w:rPr>
        <w:t>É</w:t>
      </w:r>
      <w:r w:rsidRPr="00AC5809">
        <w:rPr>
          <w:rFonts w:cs="Arial"/>
          <w:sz w:val="22"/>
        </w:rPr>
        <w:t>LEV</w:t>
      </w:r>
      <w:r w:rsidRPr="00174053">
        <w:rPr>
          <w:rFonts w:cs="Arial"/>
          <w:sz w:val="22"/>
        </w:rPr>
        <w:t>É</w:t>
      </w:r>
      <w:r w:rsidRPr="00AC5809">
        <w:rPr>
          <w:rFonts w:cs="Arial"/>
          <w:sz w:val="22"/>
        </w:rPr>
        <w:t>.</w:t>
      </w:r>
    </w:p>
    <w:p w14:paraId="3AB6DF41" w14:textId="1CB7C562" w:rsidR="00AC5809" w:rsidRPr="00AC5809" w:rsidRDefault="00AC5809" w:rsidP="00AC5809">
      <w:pPr>
        <w:ind w:left="1170" w:hanging="1170"/>
        <w:rPr>
          <w:rFonts w:cs="Arial"/>
          <w:sz w:val="22"/>
        </w:rPr>
      </w:pPr>
      <w:r w:rsidRPr="00AC5809">
        <w:rPr>
          <w:rFonts w:cs="Arial"/>
          <w:sz w:val="22"/>
        </w:rPr>
        <w:t>ANNEXE 15</w:t>
      </w:r>
      <w:r>
        <w:rPr>
          <w:rFonts w:cs="Arial"/>
          <w:sz w:val="22"/>
        </w:rPr>
        <w:t>.</w:t>
      </w:r>
      <w:r w:rsidRPr="00AC5809">
        <w:rPr>
          <w:rFonts w:cs="Arial"/>
          <w:sz w:val="22"/>
        </w:rPr>
        <w:t xml:space="preserve"> </w:t>
      </w:r>
      <w:r w:rsidR="0001474B" w:rsidRPr="00AE6D7E">
        <w:rPr>
          <w:rFonts w:cs="Arial"/>
          <w:sz w:val="22"/>
        </w:rPr>
        <w:t xml:space="preserve">PLAN D’ACTION DE PREVENTION ET REPONSE AUX RISQUES D’EAHS </w:t>
      </w:r>
    </w:p>
    <w:p w14:paraId="149F8A1F" w14:textId="77777777" w:rsidR="00AC5809" w:rsidRPr="00E32763" w:rsidRDefault="00AC5809" w:rsidP="00AC5809">
      <w:pPr>
        <w:jc w:val="left"/>
        <w:rPr>
          <w:rFonts w:cs="Arial"/>
        </w:rPr>
      </w:pPr>
    </w:p>
    <w:p w14:paraId="47828201" w14:textId="77777777" w:rsidR="00AC5809" w:rsidRPr="00426D7E" w:rsidRDefault="00AC5809" w:rsidP="00AC5809">
      <w:pPr>
        <w:jc w:val="left"/>
        <w:rPr>
          <w:rFonts w:eastAsia="Arial Unicode MS" w:cs="Arial"/>
          <w:bCs/>
          <w:sz w:val="22"/>
          <w:lang w:eastAsia="zh-CN"/>
        </w:rPr>
      </w:pPr>
    </w:p>
    <w:p w14:paraId="74C249C9" w14:textId="77777777" w:rsidR="00AC5809" w:rsidRPr="00174053" w:rsidRDefault="00AC5809" w:rsidP="00174053">
      <w:pPr>
        <w:tabs>
          <w:tab w:val="right" w:pos="9062"/>
        </w:tabs>
        <w:spacing w:line="240" w:lineRule="auto"/>
        <w:rPr>
          <w:rFonts w:cs="Arial"/>
          <w:sz w:val="22"/>
        </w:rPr>
      </w:pPr>
    </w:p>
    <w:p w14:paraId="5C9593A9" w14:textId="77777777" w:rsidR="001C2F95" w:rsidRPr="00174053" w:rsidRDefault="001C2F95" w:rsidP="00730A4A">
      <w:pPr>
        <w:pStyle w:val="TM2"/>
      </w:pPr>
    </w:p>
    <w:p w14:paraId="714EAD1B" w14:textId="77777777" w:rsidR="001C2F95" w:rsidRPr="00174053" w:rsidRDefault="001C2F95" w:rsidP="004B1A19">
      <w:pPr>
        <w:tabs>
          <w:tab w:val="right" w:pos="9062"/>
        </w:tabs>
        <w:ind w:left="709" w:hanging="709"/>
        <w:rPr>
          <w:rFonts w:cs="Arial"/>
          <w:sz w:val="22"/>
        </w:rPr>
      </w:pPr>
      <w:r w:rsidRPr="00174053">
        <w:rPr>
          <w:rFonts w:cs="Arial"/>
          <w:sz w:val="22"/>
        </w:rPr>
        <w:t xml:space="preserve">            </w:t>
      </w:r>
    </w:p>
    <w:p w14:paraId="7253E888" w14:textId="77777777" w:rsidR="001C2F95" w:rsidRPr="00174053" w:rsidRDefault="001C2F95" w:rsidP="004B1A19">
      <w:pPr>
        <w:pStyle w:val="Titre1"/>
        <w:tabs>
          <w:tab w:val="right" w:pos="9062"/>
        </w:tabs>
        <w:jc w:val="center"/>
        <w:rPr>
          <w:rFonts w:cs="Arial"/>
          <w:b w:val="0"/>
          <w:sz w:val="22"/>
          <w:szCs w:val="22"/>
        </w:rPr>
      </w:pPr>
      <w:bookmarkStart w:id="10" w:name="_Toc464561964"/>
      <w:bookmarkStart w:id="11" w:name="_Toc404105850"/>
    </w:p>
    <w:p w14:paraId="180C8FD6" w14:textId="77777777" w:rsidR="001C2F95" w:rsidRPr="000A2C55" w:rsidRDefault="001C2F95" w:rsidP="004B1A19">
      <w:pPr>
        <w:pStyle w:val="Titre1"/>
        <w:tabs>
          <w:tab w:val="right" w:pos="9062"/>
        </w:tabs>
        <w:jc w:val="center"/>
        <w:rPr>
          <w:rFonts w:cs="Arial"/>
          <w:sz w:val="22"/>
          <w:szCs w:val="22"/>
          <w:highlight w:val="yellow"/>
        </w:rPr>
      </w:pPr>
      <w:r w:rsidRPr="00174053">
        <w:rPr>
          <w:rFonts w:cs="Arial"/>
          <w:b w:val="0"/>
          <w:sz w:val="22"/>
          <w:szCs w:val="22"/>
        </w:rPr>
        <w:br w:type="page"/>
      </w:r>
      <w:bookmarkStart w:id="12" w:name="_Toc500754619"/>
      <w:bookmarkStart w:id="13" w:name="_Toc44626778"/>
      <w:bookmarkStart w:id="14" w:name="_Toc70330310"/>
      <w:r w:rsidRPr="000A2C55">
        <w:rPr>
          <w:rFonts w:cs="Arial"/>
          <w:sz w:val="22"/>
          <w:szCs w:val="22"/>
        </w:rPr>
        <w:lastRenderedPageBreak/>
        <w:t>LISTE DES ACRONYMES ET DES ABRÉVIATIONS</w:t>
      </w:r>
      <w:bookmarkEnd w:id="12"/>
      <w:bookmarkEnd w:id="13"/>
      <w:bookmarkEnd w:id="14"/>
    </w:p>
    <w:p w14:paraId="34F6C3E8" w14:textId="77777777" w:rsidR="001C2F95" w:rsidRPr="00352D04" w:rsidRDefault="001C2F95" w:rsidP="001C2F95">
      <w:pPr>
        <w:rPr>
          <w:rFonts w:cs="Arial"/>
          <w:sz w:val="22"/>
        </w:rPr>
      </w:pPr>
      <w:bookmarkStart w:id="15" w:name="_Toc500754620"/>
    </w:p>
    <w:p w14:paraId="79C679D6" w14:textId="77777777" w:rsidR="001C2F95" w:rsidRPr="00DE0DEC" w:rsidRDefault="001C2F95" w:rsidP="001C2F95">
      <w:pPr>
        <w:rPr>
          <w:rFonts w:eastAsia="Calibri" w:cs="Arial"/>
          <w:color w:val="000000"/>
          <w:sz w:val="22"/>
        </w:rPr>
      </w:pPr>
      <w:r w:rsidRPr="00DE0DEC">
        <w:rPr>
          <w:rFonts w:eastAsia="Calibri" w:cs="Arial"/>
          <w:color w:val="000000"/>
          <w:sz w:val="22"/>
        </w:rPr>
        <w:t>ACE</w:t>
      </w:r>
      <w:r w:rsidRPr="00DE0DEC">
        <w:rPr>
          <w:rFonts w:eastAsia="Calibri" w:cs="Arial"/>
          <w:color w:val="000000"/>
          <w:sz w:val="22"/>
        </w:rPr>
        <w:tab/>
      </w:r>
      <w:r w:rsidRPr="00DE0DEC">
        <w:rPr>
          <w:rFonts w:eastAsia="Calibri" w:cs="Arial"/>
          <w:color w:val="000000"/>
          <w:sz w:val="22"/>
        </w:rPr>
        <w:tab/>
        <w:t>: Agence Congolaise de l’Environnement</w:t>
      </w:r>
    </w:p>
    <w:p w14:paraId="4E3D0FC9" w14:textId="77777777" w:rsidR="001C2F95" w:rsidRPr="00DE0DEC" w:rsidRDefault="001C2F95" w:rsidP="001C2F95">
      <w:pPr>
        <w:rPr>
          <w:rFonts w:eastAsia="Calibri" w:cs="Arial"/>
          <w:color w:val="000000"/>
          <w:sz w:val="22"/>
        </w:rPr>
      </w:pPr>
      <w:r w:rsidRPr="00DE0DEC">
        <w:rPr>
          <w:rFonts w:eastAsia="Calibri" w:cs="Arial"/>
          <w:color w:val="000000"/>
          <w:sz w:val="22"/>
        </w:rPr>
        <w:t>ACP</w:t>
      </w:r>
      <w:r w:rsidRPr="00DE0DEC">
        <w:rPr>
          <w:rFonts w:eastAsia="Calibri" w:cs="Arial"/>
          <w:color w:val="000000"/>
          <w:sz w:val="22"/>
        </w:rPr>
        <w:tab/>
      </w:r>
      <w:r w:rsidRPr="00DE0DEC">
        <w:rPr>
          <w:rFonts w:eastAsia="Calibri" w:cs="Arial"/>
          <w:color w:val="000000"/>
          <w:sz w:val="22"/>
        </w:rPr>
        <w:tab/>
        <w:t>: Agence Congolaise de Presse</w:t>
      </w:r>
    </w:p>
    <w:p w14:paraId="17937467" w14:textId="77777777" w:rsidR="001C2F95" w:rsidRPr="00DE0DEC" w:rsidRDefault="001C2F95" w:rsidP="001C2F95">
      <w:pPr>
        <w:rPr>
          <w:rFonts w:eastAsia="Calibri" w:cs="Arial"/>
          <w:color w:val="000000"/>
          <w:sz w:val="22"/>
        </w:rPr>
      </w:pPr>
      <w:r w:rsidRPr="00DE0DEC">
        <w:rPr>
          <w:rFonts w:eastAsia="Calibri" w:cs="Arial"/>
          <w:color w:val="000000"/>
          <w:sz w:val="22"/>
        </w:rPr>
        <w:t>ACTEDD </w:t>
      </w:r>
      <w:r w:rsidRPr="00DE0DEC">
        <w:rPr>
          <w:rFonts w:eastAsia="Calibri" w:cs="Arial"/>
          <w:color w:val="000000"/>
          <w:sz w:val="22"/>
        </w:rPr>
        <w:tab/>
        <w:t>: Agence Congolaise de Transition Écologique et Développement Durable</w:t>
      </w:r>
    </w:p>
    <w:p w14:paraId="0EE559DB" w14:textId="77777777" w:rsidR="001C2F95" w:rsidRPr="00DE0DEC" w:rsidRDefault="001C2F95" w:rsidP="001C2F95">
      <w:pPr>
        <w:rPr>
          <w:rFonts w:eastAsia="Calibri" w:cs="Arial"/>
          <w:color w:val="000000"/>
          <w:sz w:val="22"/>
        </w:rPr>
      </w:pPr>
      <w:r w:rsidRPr="00DE0DEC">
        <w:rPr>
          <w:rFonts w:eastAsia="Calibri" w:cs="Arial"/>
          <w:color w:val="000000"/>
          <w:sz w:val="22"/>
        </w:rPr>
        <w:t>ADF</w:t>
      </w:r>
      <w:r w:rsidRPr="00DE0DEC">
        <w:rPr>
          <w:rFonts w:eastAsia="Calibri" w:cs="Arial"/>
          <w:color w:val="000000"/>
          <w:sz w:val="22"/>
        </w:rPr>
        <w:tab/>
      </w:r>
      <w:r w:rsidRPr="00DE0DEC">
        <w:rPr>
          <w:rFonts w:eastAsia="Calibri" w:cs="Arial"/>
          <w:color w:val="000000"/>
          <w:sz w:val="22"/>
        </w:rPr>
        <w:tab/>
        <w:t>: Allied</w:t>
      </w:r>
      <w:r>
        <w:rPr>
          <w:rFonts w:eastAsia="Calibri" w:cs="Arial"/>
          <w:color w:val="000000"/>
          <w:sz w:val="22"/>
        </w:rPr>
        <w:t xml:space="preserve"> </w:t>
      </w:r>
      <w:r w:rsidRPr="00DE0DEC">
        <w:rPr>
          <w:rFonts w:eastAsia="Calibri" w:cs="Arial"/>
          <w:color w:val="000000"/>
          <w:sz w:val="22"/>
        </w:rPr>
        <w:t>Democratic Forces</w:t>
      </w:r>
    </w:p>
    <w:p w14:paraId="0FB4D026"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AGR </w:t>
      </w:r>
      <w:r w:rsidRPr="00DE0DEC">
        <w:rPr>
          <w:rFonts w:eastAsia="Calibri" w:cs="Arial"/>
          <w:color w:val="000000"/>
          <w:sz w:val="22"/>
        </w:rPr>
        <w:tab/>
      </w:r>
      <w:r w:rsidRPr="00DE0DEC">
        <w:rPr>
          <w:rFonts w:eastAsia="Calibri" w:cs="Arial"/>
          <w:color w:val="000000"/>
          <w:sz w:val="22"/>
        </w:rPr>
        <w:tab/>
        <w:t>: Activités Génératrices de Revenus </w:t>
      </w:r>
    </w:p>
    <w:p w14:paraId="26A1EE04" w14:textId="77777777" w:rsidR="001C2F95" w:rsidRPr="00DE0DEC" w:rsidRDefault="001C2F95" w:rsidP="001C2F95">
      <w:pPr>
        <w:rPr>
          <w:rFonts w:eastAsia="Calibri" w:cs="Arial"/>
          <w:color w:val="000000"/>
          <w:sz w:val="22"/>
        </w:rPr>
      </w:pPr>
      <w:r w:rsidRPr="00DE0DEC">
        <w:rPr>
          <w:rFonts w:eastAsia="Calibri" w:cs="Arial"/>
          <w:color w:val="000000"/>
          <w:sz w:val="22"/>
        </w:rPr>
        <w:t>AE</w:t>
      </w:r>
      <w:r w:rsidRPr="00DE0DEC">
        <w:rPr>
          <w:rFonts w:eastAsia="Calibri" w:cs="Arial"/>
          <w:color w:val="000000"/>
          <w:sz w:val="22"/>
        </w:rPr>
        <w:tab/>
      </w:r>
      <w:r w:rsidRPr="00DE0DEC">
        <w:rPr>
          <w:rFonts w:eastAsia="Calibri" w:cs="Arial"/>
          <w:color w:val="000000"/>
          <w:sz w:val="22"/>
        </w:rPr>
        <w:tab/>
        <w:t>: Agence d’Exécution</w:t>
      </w:r>
    </w:p>
    <w:p w14:paraId="2D34C960" w14:textId="77777777" w:rsidR="001C2F95" w:rsidRPr="00DE0DEC" w:rsidRDefault="001C2F95" w:rsidP="001C2F95">
      <w:pPr>
        <w:rPr>
          <w:rFonts w:eastAsia="Calibri" w:cs="Arial"/>
          <w:color w:val="000000"/>
          <w:sz w:val="22"/>
        </w:rPr>
      </w:pPr>
      <w:r w:rsidRPr="00DE0DEC">
        <w:rPr>
          <w:rFonts w:eastAsia="Calibri" w:cs="Arial"/>
          <w:color w:val="000000"/>
          <w:sz w:val="22"/>
        </w:rPr>
        <w:t>AIN </w:t>
      </w:r>
      <w:r w:rsidRPr="00DE0DEC">
        <w:rPr>
          <w:rFonts w:eastAsia="Calibri" w:cs="Arial"/>
          <w:color w:val="000000"/>
          <w:sz w:val="22"/>
        </w:rPr>
        <w:tab/>
      </w:r>
      <w:r w:rsidRPr="00DE0DEC">
        <w:rPr>
          <w:rFonts w:eastAsia="Calibri" w:cs="Arial"/>
          <w:color w:val="000000"/>
          <w:sz w:val="22"/>
        </w:rPr>
        <w:tab/>
        <w:t>: Agriculture Intelligente face à la Nutrition</w:t>
      </w:r>
    </w:p>
    <w:p w14:paraId="5D1E2B02" w14:textId="77777777" w:rsidR="001C2F95" w:rsidRPr="00DE0DEC" w:rsidRDefault="001C2F95" w:rsidP="001C2F95">
      <w:pPr>
        <w:rPr>
          <w:rFonts w:eastAsia="Calibri" w:cs="Arial"/>
          <w:color w:val="000000"/>
          <w:sz w:val="22"/>
        </w:rPr>
      </w:pPr>
      <w:r w:rsidRPr="00DE0DEC">
        <w:rPr>
          <w:rFonts w:eastAsia="Calibri" w:cs="Arial"/>
          <w:color w:val="000000"/>
          <w:sz w:val="22"/>
        </w:rPr>
        <w:t>ALE</w:t>
      </w:r>
      <w:r w:rsidRPr="00DE0DEC">
        <w:rPr>
          <w:rFonts w:eastAsia="Calibri" w:cs="Arial"/>
          <w:color w:val="000000"/>
          <w:sz w:val="22"/>
        </w:rPr>
        <w:tab/>
      </w:r>
      <w:r w:rsidRPr="00DE0DEC">
        <w:rPr>
          <w:rFonts w:eastAsia="Calibri" w:cs="Arial"/>
          <w:color w:val="000000"/>
          <w:sz w:val="22"/>
        </w:rPr>
        <w:tab/>
        <w:t>: Agence Locale d’Exécution</w:t>
      </w:r>
    </w:p>
    <w:p w14:paraId="6964E256" w14:textId="77777777" w:rsidR="001C2F95" w:rsidRDefault="001C2F95" w:rsidP="001C2F95">
      <w:pPr>
        <w:rPr>
          <w:rFonts w:eastAsia="Calibri" w:cs="Arial"/>
          <w:color w:val="000000"/>
          <w:sz w:val="22"/>
        </w:rPr>
      </w:pPr>
      <w:r w:rsidRPr="00FC2014">
        <w:rPr>
          <w:rFonts w:eastAsia="Calibri" w:cs="Arial"/>
          <w:color w:val="000000"/>
          <w:sz w:val="22"/>
        </w:rPr>
        <w:t xml:space="preserve">AVEC </w:t>
      </w:r>
      <w:r w:rsidRPr="00FC2014">
        <w:rPr>
          <w:rFonts w:eastAsia="Calibri" w:cs="Arial"/>
          <w:color w:val="000000"/>
          <w:sz w:val="22"/>
        </w:rPr>
        <w:tab/>
      </w:r>
      <w:r>
        <w:rPr>
          <w:rFonts w:eastAsia="Calibri" w:cs="Arial"/>
          <w:color w:val="000000"/>
          <w:sz w:val="22"/>
        </w:rPr>
        <w:tab/>
      </w:r>
      <w:r w:rsidRPr="00FC2014">
        <w:rPr>
          <w:rFonts w:eastAsia="Calibri" w:cs="Arial"/>
          <w:color w:val="000000"/>
          <w:sz w:val="22"/>
        </w:rPr>
        <w:t xml:space="preserve">: Associations Villageoises d’Épargnes et de Crédits  </w:t>
      </w:r>
    </w:p>
    <w:p w14:paraId="5E4BEBAF" w14:textId="77777777" w:rsidR="001C2F95" w:rsidRPr="00DE0DEC" w:rsidRDefault="001C2F95" w:rsidP="001C2F95">
      <w:pPr>
        <w:ind w:left="1560" w:hanging="1560"/>
        <w:rPr>
          <w:rFonts w:eastAsia="Calibri" w:cs="Arial"/>
          <w:color w:val="000000"/>
          <w:sz w:val="22"/>
        </w:rPr>
      </w:pPr>
      <w:r w:rsidRPr="00DE0DEC">
        <w:rPr>
          <w:rFonts w:eastAsia="Calibri" w:cs="Arial"/>
          <w:color w:val="000000"/>
          <w:sz w:val="22"/>
        </w:rPr>
        <w:t>AVIFEM</w:t>
      </w:r>
      <w:r>
        <w:rPr>
          <w:rFonts w:eastAsia="Calibri" w:cs="Arial"/>
          <w:color w:val="000000"/>
          <w:sz w:val="22"/>
        </w:rPr>
        <w:t xml:space="preserve">          </w:t>
      </w:r>
      <w:r w:rsidRPr="00DE0DEC">
        <w:rPr>
          <w:rFonts w:eastAsia="Calibri" w:cs="Arial"/>
          <w:color w:val="000000"/>
          <w:sz w:val="22"/>
        </w:rPr>
        <w:t xml:space="preserve">: Agence Nationale de lutte contre les </w:t>
      </w:r>
      <w:r>
        <w:rPr>
          <w:rFonts w:eastAsia="Calibri" w:cs="Arial"/>
          <w:color w:val="000000"/>
          <w:sz w:val="22"/>
        </w:rPr>
        <w:t>V</w:t>
      </w:r>
      <w:r w:rsidRPr="00DE0DEC">
        <w:rPr>
          <w:rFonts w:eastAsia="Calibri" w:cs="Arial"/>
          <w:color w:val="000000"/>
          <w:sz w:val="22"/>
        </w:rPr>
        <w:t xml:space="preserve">iolences faites à la </w:t>
      </w:r>
      <w:r>
        <w:rPr>
          <w:rFonts w:eastAsia="Calibri" w:cs="Arial"/>
          <w:color w:val="000000"/>
          <w:sz w:val="22"/>
        </w:rPr>
        <w:t>F</w:t>
      </w:r>
      <w:r w:rsidRPr="00DE0DEC">
        <w:rPr>
          <w:rFonts w:eastAsia="Calibri" w:cs="Arial"/>
          <w:color w:val="000000"/>
          <w:sz w:val="22"/>
        </w:rPr>
        <w:t>emme, à la jeune et petite fille</w:t>
      </w:r>
    </w:p>
    <w:p w14:paraId="219D8EBD" w14:textId="77777777" w:rsidR="001C2F95" w:rsidRPr="00DE0DEC" w:rsidRDefault="001C2F95" w:rsidP="001C2F95">
      <w:pPr>
        <w:rPr>
          <w:rFonts w:eastAsia="Calibri" w:cs="Arial"/>
          <w:color w:val="000000"/>
          <w:sz w:val="22"/>
        </w:rPr>
      </w:pPr>
      <w:r w:rsidRPr="00DE0DEC">
        <w:rPr>
          <w:rFonts w:eastAsia="Calibri" w:cs="Arial"/>
          <w:color w:val="000000"/>
          <w:sz w:val="22"/>
        </w:rPr>
        <w:t>CAID</w:t>
      </w:r>
      <w:r w:rsidRPr="00DE0DEC">
        <w:rPr>
          <w:rFonts w:eastAsia="Calibri" w:cs="Arial"/>
          <w:color w:val="000000"/>
          <w:sz w:val="22"/>
        </w:rPr>
        <w:tab/>
      </w:r>
      <w:r w:rsidRPr="00DE0DEC">
        <w:rPr>
          <w:rFonts w:eastAsia="Calibri" w:cs="Arial"/>
          <w:color w:val="000000"/>
          <w:sz w:val="22"/>
        </w:rPr>
        <w:tab/>
        <w:t>: Centre d’Analyse des Indicateurs du Développement</w:t>
      </w:r>
    </w:p>
    <w:p w14:paraId="3479AD4C" w14:textId="77777777" w:rsidR="001C2F95" w:rsidRPr="00DE0DEC" w:rsidRDefault="001C2F95" w:rsidP="001C2F95">
      <w:pPr>
        <w:rPr>
          <w:rFonts w:eastAsia="Calibri" w:cs="Arial"/>
          <w:color w:val="000000"/>
          <w:sz w:val="22"/>
        </w:rPr>
      </w:pPr>
      <w:r w:rsidRPr="00DE0DEC">
        <w:rPr>
          <w:rFonts w:eastAsia="Calibri" w:cs="Arial"/>
          <w:color w:val="000000"/>
          <w:sz w:val="22"/>
        </w:rPr>
        <w:t>CAVTK</w:t>
      </w:r>
      <w:r w:rsidRPr="00DE0DEC">
        <w:rPr>
          <w:rFonts w:eastAsia="Calibri" w:cs="Arial"/>
          <w:color w:val="000000"/>
          <w:sz w:val="22"/>
        </w:rPr>
        <w:tab/>
        <w:t xml:space="preserve">: </w:t>
      </w:r>
      <w:r w:rsidRPr="00DE0DEC">
        <w:rPr>
          <w:rFonts w:cs="Arial"/>
          <w:sz w:val="22"/>
        </w:rPr>
        <w:t>Clinique Centre Agronomique et Vétérinaire Tropical de Kinshasa</w:t>
      </w:r>
    </w:p>
    <w:p w14:paraId="3AF9FEC6"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CCC </w:t>
      </w:r>
      <w:r w:rsidRPr="00DE0DEC">
        <w:rPr>
          <w:rFonts w:eastAsia="Calibri" w:cs="Arial"/>
          <w:color w:val="000000"/>
          <w:sz w:val="22"/>
        </w:rPr>
        <w:tab/>
      </w:r>
      <w:r w:rsidRPr="00DE0DEC">
        <w:rPr>
          <w:rFonts w:eastAsia="Calibri" w:cs="Arial"/>
          <w:color w:val="000000"/>
          <w:sz w:val="22"/>
        </w:rPr>
        <w:tab/>
        <w:t xml:space="preserve">: Communication pour le Changement de Comportement </w:t>
      </w:r>
    </w:p>
    <w:p w14:paraId="23AFB451" w14:textId="77777777" w:rsidR="001C2F95" w:rsidRPr="00DE0DEC" w:rsidRDefault="001C2F95" w:rsidP="001C2F95">
      <w:pPr>
        <w:rPr>
          <w:rFonts w:eastAsia="Calibri" w:cs="Arial"/>
          <w:color w:val="000000"/>
          <w:sz w:val="22"/>
        </w:rPr>
      </w:pPr>
      <w:r w:rsidRPr="00DE0DEC">
        <w:rPr>
          <w:rFonts w:eastAsia="Calibri" w:cs="Arial"/>
          <w:color w:val="000000"/>
          <w:sz w:val="22"/>
        </w:rPr>
        <w:t>CES </w:t>
      </w:r>
      <w:r w:rsidRPr="00DE0DEC">
        <w:rPr>
          <w:rFonts w:eastAsia="Calibri" w:cs="Arial"/>
          <w:color w:val="000000"/>
          <w:sz w:val="22"/>
        </w:rPr>
        <w:tab/>
      </w:r>
      <w:r w:rsidRPr="00DE0DEC">
        <w:rPr>
          <w:rFonts w:eastAsia="Calibri" w:cs="Arial"/>
          <w:color w:val="000000"/>
          <w:sz w:val="22"/>
        </w:rPr>
        <w:tab/>
        <w:t>: Cadre Environnemental et Social</w:t>
      </w:r>
    </w:p>
    <w:p w14:paraId="26A55EB8"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CGES </w:t>
      </w:r>
      <w:r w:rsidRPr="00DE0DEC">
        <w:rPr>
          <w:rFonts w:eastAsia="Calibri" w:cs="Arial"/>
          <w:color w:val="000000"/>
          <w:sz w:val="22"/>
        </w:rPr>
        <w:tab/>
      </w:r>
      <w:r w:rsidRPr="00DE0DEC">
        <w:rPr>
          <w:rFonts w:eastAsia="Calibri" w:cs="Arial"/>
          <w:color w:val="000000"/>
          <w:sz w:val="22"/>
        </w:rPr>
        <w:tab/>
        <w:t>: Cadre de Gestion Environnementale et Sociale</w:t>
      </w:r>
    </w:p>
    <w:p w14:paraId="312F83C6" w14:textId="77777777" w:rsidR="001C2F95" w:rsidRPr="00DE0DEC" w:rsidRDefault="001C2F95" w:rsidP="001C2F95">
      <w:pPr>
        <w:rPr>
          <w:rFonts w:eastAsia="Calibri" w:cs="Arial"/>
          <w:color w:val="000000"/>
          <w:sz w:val="22"/>
        </w:rPr>
      </w:pPr>
      <w:r w:rsidRPr="00DE0DEC">
        <w:rPr>
          <w:rFonts w:eastAsia="Calibri" w:cs="Arial"/>
          <w:color w:val="000000"/>
          <w:sz w:val="22"/>
        </w:rPr>
        <w:t>CIPV</w:t>
      </w:r>
      <w:r w:rsidRPr="00DE0DEC">
        <w:rPr>
          <w:rFonts w:eastAsia="Calibri" w:cs="Arial"/>
          <w:color w:val="000000"/>
          <w:sz w:val="22"/>
        </w:rPr>
        <w:tab/>
      </w:r>
      <w:r w:rsidRPr="00DE0DEC">
        <w:rPr>
          <w:rFonts w:eastAsia="Calibri" w:cs="Arial"/>
          <w:color w:val="000000"/>
          <w:sz w:val="22"/>
        </w:rPr>
        <w:tab/>
        <w:t xml:space="preserve">: </w:t>
      </w:r>
      <w:r w:rsidRPr="00DE0DEC">
        <w:rPr>
          <w:rFonts w:cs="Arial"/>
          <w:sz w:val="22"/>
        </w:rPr>
        <w:t>Convention Internationale pour la Protection des Végétaux</w:t>
      </w:r>
    </w:p>
    <w:p w14:paraId="06DF0EFC" w14:textId="77777777" w:rsidR="001C2F95" w:rsidRPr="00DE0DEC" w:rsidRDefault="001C2F95" w:rsidP="001C2F95">
      <w:pPr>
        <w:rPr>
          <w:rFonts w:eastAsia="Calibri" w:cs="Arial"/>
          <w:color w:val="000000"/>
          <w:sz w:val="22"/>
        </w:rPr>
      </w:pPr>
      <w:r w:rsidRPr="00DE0DEC">
        <w:rPr>
          <w:rFonts w:eastAsia="Calibri" w:cs="Arial"/>
          <w:color w:val="000000"/>
          <w:sz w:val="22"/>
        </w:rPr>
        <w:t>CUNCPMP</w:t>
      </w:r>
      <w:r w:rsidRPr="00DE0DEC">
        <w:rPr>
          <w:rFonts w:eastAsia="Calibri" w:cs="Arial"/>
          <w:color w:val="000000"/>
          <w:sz w:val="22"/>
        </w:rPr>
        <w:tab/>
        <w:t>: Cellule de Gestion des Projets et des Marchés Publics</w:t>
      </w:r>
    </w:p>
    <w:p w14:paraId="364E9B09" w14:textId="77777777" w:rsidR="001C2F95" w:rsidRPr="00DE0DEC" w:rsidRDefault="001C2F95" w:rsidP="001C2F95">
      <w:pPr>
        <w:rPr>
          <w:rFonts w:eastAsia="Calibri" w:cs="Arial"/>
          <w:color w:val="000000"/>
          <w:sz w:val="22"/>
        </w:rPr>
      </w:pPr>
      <w:r w:rsidRPr="00DE0DEC">
        <w:rPr>
          <w:rFonts w:eastAsia="Calibri" w:cs="Arial"/>
          <w:color w:val="000000"/>
          <w:sz w:val="22"/>
        </w:rPr>
        <w:t>CMR</w:t>
      </w:r>
      <w:r w:rsidRPr="00DE0DEC">
        <w:rPr>
          <w:rFonts w:eastAsia="Calibri" w:cs="Arial"/>
          <w:color w:val="000000"/>
          <w:sz w:val="22"/>
        </w:rPr>
        <w:tab/>
      </w:r>
      <w:r w:rsidRPr="00DE0DEC">
        <w:rPr>
          <w:rFonts w:eastAsia="Calibri" w:cs="Arial"/>
          <w:color w:val="000000"/>
          <w:sz w:val="22"/>
        </w:rPr>
        <w:tab/>
        <w:t>: Comité Multisectoriel de Riposte</w:t>
      </w:r>
    </w:p>
    <w:p w14:paraId="009E78AC" w14:textId="77777777" w:rsidR="001C2F95" w:rsidRPr="00DE0DEC" w:rsidRDefault="001C2F95" w:rsidP="001C2F95">
      <w:pPr>
        <w:rPr>
          <w:rFonts w:eastAsia="Calibri" w:cs="Arial"/>
          <w:color w:val="000000"/>
          <w:sz w:val="22"/>
        </w:rPr>
      </w:pPr>
      <w:r w:rsidRPr="00DE0DEC">
        <w:rPr>
          <w:rFonts w:eastAsia="Calibri" w:cs="Arial"/>
          <w:color w:val="000000"/>
          <w:sz w:val="22"/>
        </w:rPr>
        <w:t>CONAPAC </w:t>
      </w:r>
      <w:r w:rsidRPr="00DE0DEC">
        <w:rPr>
          <w:rFonts w:eastAsia="Calibri" w:cs="Arial"/>
          <w:color w:val="000000"/>
          <w:sz w:val="22"/>
        </w:rPr>
        <w:tab/>
        <w:t>: Confédération Nationale des Producteurs Agricoles au Congo</w:t>
      </w:r>
    </w:p>
    <w:p w14:paraId="5A880E23" w14:textId="77777777" w:rsidR="001C2F95" w:rsidRPr="00DE0DEC" w:rsidRDefault="001C2F95" w:rsidP="001C2F95">
      <w:pPr>
        <w:rPr>
          <w:rFonts w:eastAsia="Calibri" w:cs="Arial"/>
          <w:color w:val="000000"/>
          <w:sz w:val="22"/>
        </w:rPr>
      </w:pPr>
      <w:r w:rsidRPr="00DE0DEC">
        <w:rPr>
          <w:rFonts w:eastAsia="Calibri" w:cs="Arial"/>
          <w:color w:val="000000"/>
          <w:sz w:val="22"/>
        </w:rPr>
        <w:t>CORDAID</w:t>
      </w:r>
      <w:r w:rsidRPr="00DE0DEC">
        <w:rPr>
          <w:rFonts w:eastAsia="Calibri" w:cs="Arial"/>
          <w:color w:val="000000"/>
          <w:sz w:val="22"/>
        </w:rPr>
        <w:tab/>
        <w:t>: Organisation Catholique pour les secours et l'Aide au Développement</w:t>
      </w:r>
    </w:p>
    <w:p w14:paraId="309342A3" w14:textId="77777777" w:rsidR="001C2F95" w:rsidRPr="00DE0DEC" w:rsidRDefault="001C2F95" w:rsidP="001C2F95">
      <w:pPr>
        <w:rPr>
          <w:rFonts w:eastAsia="Calibri" w:cs="Arial"/>
          <w:color w:val="000000"/>
          <w:sz w:val="22"/>
        </w:rPr>
      </w:pPr>
      <w:r w:rsidRPr="00DE0DEC">
        <w:rPr>
          <w:rFonts w:eastAsia="Calibri" w:cs="Arial"/>
          <w:color w:val="000000"/>
          <w:sz w:val="22"/>
        </w:rPr>
        <w:t>COVID-19 </w:t>
      </w:r>
      <w:r w:rsidRPr="00DE0DEC">
        <w:rPr>
          <w:rFonts w:eastAsia="Calibri" w:cs="Arial"/>
          <w:color w:val="000000"/>
          <w:sz w:val="22"/>
        </w:rPr>
        <w:tab/>
        <w:t>: Corona Virus – 19</w:t>
      </w:r>
    </w:p>
    <w:p w14:paraId="1C703811" w14:textId="77777777" w:rsidR="001C2F95" w:rsidRPr="00DE0DEC" w:rsidRDefault="001C2F95" w:rsidP="001C2F95">
      <w:pPr>
        <w:rPr>
          <w:rFonts w:eastAsia="Calibri" w:cs="Arial"/>
          <w:color w:val="000000"/>
          <w:sz w:val="22"/>
        </w:rPr>
      </w:pPr>
      <w:r w:rsidRPr="00DE0DEC">
        <w:rPr>
          <w:rFonts w:eastAsia="Calibri" w:cs="Arial"/>
          <w:color w:val="000000"/>
          <w:sz w:val="22"/>
        </w:rPr>
        <w:t>CPE</w:t>
      </w:r>
      <w:r w:rsidRPr="00DE0DEC">
        <w:rPr>
          <w:rFonts w:eastAsia="Calibri" w:cs="Arial"/>
          <w:color w:val="000000"/>
          <w:sz w:val="22"/>
        </w:rPr>
        <w:tab/>
      </w:r>
      <w:r w:rsidRPr="00DE0DEC">
        <w:rPr>
          <w:rFonts w:eastAsia="Calibri" w:cs="Arial"/>
          <w:color w:val="000000"/>
          <w:sz w:val="22"/>
        </w:rPr>
        <w:tab/>
        <w:t>: Coordination Provinciale de l’Environnement</w:t>
      </w:r>
    </w:p>
    <w:p w14:paraId="18239748"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CPPA </w:t>
      </w:r>
      <w:r w:rsidRPr="00DE0DEC">
        <w:rPr>
          <w:rFonts w:eastAsia="Calibri" w:cs="Arial"/>
          <w:color w:val="000000"/>
          <w:sz w:val="22"/>
        </w:rPr>
        <w:tab/>
      </w:r>
      <w:r w:rsidRPr="00DE0DEC">
        <w:rPr>
          <w:rFonts w:eastAsia="Calibri" w:cs="Arial"/>
          <w:color w:val="000000"/>
          <w:sz w:val="22"/>
        </w:rPr>
        <w:tab/>
        <w:t>: Cadre de Planification en faveur des Populations Autochtones</w:t>
      </w:r>
    </w:p>
    <w:p w14:paraId="286F53FD" w14:textId="77777777" w:rsidR="001C2F95" w:rsidRPr="00DE0DEC" w:rsidRDefault="001C2F95" w:rsidP="001C2F95">
      <w:pPr>
        <w:rPr>
          <w:rFonts w:eastAsia="Calibri" w:cs="Arial"/>
          <w:color w:val="000000"/>
          <w:sz w:val="22"/>
        </w:rPr>
      </w:pPr>
      <w:r w:rsidRPr="00DE0DEC">
        <w:rPr>
          <w:rFonts w:eastAsia="Calibri" w:cs="Arial"/>
          <w:color w:val="000000"/>
          <w:sz w:val="22"/>
        </w:rPr>
        <w:t>CPR</w:t>
      </w:r>
      <w:r w:rsidRPr="00DE0DEC">
        <w:rPr>
          <w:rFonts w:eastAsia="Calibri" w:cs="Arial"/>
          <w:color w:val="000000"/>
          <w:sz w:val="22"/>
        </w:rPr>
        <w:tab/>
      </w:r>
      <w:r w:rsidRPr="00DE0DEC">
        <w:rPr>
          <w:rFonts w:eastAsia="Calibri" w:cs="Arial"/>
          <w:color w:val="000000"/>
          <w:sz w:val="22"/>
        </w:rPr>
        <w:tab/>
        <w:t>: Cadre de Politique de Réinstallation</w:t>
      </w:r>
    </w:p>
    <w:p w14:paraId="51F5D88A"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CSA </w:t>
      </w:r>
      <w:r w:rsidRPr="00DE0DEC">
        <w:rPr>
          <w:rFonts w:eastAsia="Calibri" w:cs="Arial"/>
          <w:color w:val="000000"/>
          <w:sz w:val="22"/>
        </w:rPr>
        <w:tab/>
      </w:r>
      <w:r w:rsidRPr="00DE0DEC">
        <w:rPr>
          <w:rFonts w:eastAsia="Calibri" w:cs="Arial"/>
          <w:color w:val="000000"/>
          <w:sz w:val="22"/>
        </w:rPr>
        <w:tab/>
        <w:t>: Agriculture Intelligente face au Climat</w:t>
      </w:r>
    </w:p>
    <w:p w14:paraId="5F8118D9" w14:textId="77777777" w:rsidR="001C2F95" w:rsidRPr="00DE0DEC" w:rsidRDefault="001C2F95" w:rsidP="001C2F95">
      <w:pPr>
        <w:rPr>
          <w:rFonts w:eastAsia="Calibri" w:cs="Arial"/>
          <w:color w:val="000000"/>
          <w:sz w:val="22"/>
        </w:rPr>
      </w:pPr>
      <w:r w:rsidRPr="00DE0DEC">
        <w:rPr>
          <w:rFonts w:eastAsia="Calibri" w:cs="Arial"/>
          <w:color w:val="000000"/>
          <w:sz w:val="22"/>
        </w:rPr>
        <w:t>CSMOD</w:t>
      </w:r>
      <w:r w:rsidRPr="00DE0DEC">
        <w:rPr>
          <w:rFonts w:eastAsia="Calibri" w:cs="Arial"/>
          <w:color w:val="000000"/>
          <w:sz w:val="22"/>
        </w:rPr>
        <w:tab/>
        <w:t>: Cadre Stratégique de Mise en Œuvre de la Décentralisation</w:t>
      </w:r>
    </w:p>
    <w:p w14:paraId="76A31A31" w14:textId="77777777" w:rsidR="001C2F95" w:rsidRPr="00DE0DEC" w:rsidRDefault="001C2F95" w:rsidP="001C2F95">
      <w:pPr>
        <w:rPr>
          <w:rFonts w:eastAsia="Calibri" w:cs="Arial"/>
          <w:color w:val="000000"/>
          <w:sz w:val="22"/>
        </w:rPr>
      </w:pPr>
      <w:r w:rsidRPr="00DE0DEC">
        <w:rPr>
          <w:rFonts w:eastAsia="Calibri" w:cs="Arial"/>
          <w:color w:val="000000"/>
          <w:sz w:val="22"/>
        </w:rPr>
        <w:t>CTPS</w:t>
      </w:r>
      <w:r w:rsidRPr="00DE0DEC">
        <w:rPr>
          <w:rFonts w:eastAsia="Calibri" w:cs="Arial"/>
          <w:color w:val="000000"/>
          <w:sz w:val="22"/>
        </w:rPr>
        <w:tab/>
      </w:r>
      <w:r w:rsidRPr="00DE0DEC">
        <w:rPr>
          <w:rFonts w:eastAsia="Calibri" w:cs="Arial"/>
          <w:color w:val="000000"/>
          <w:sz w:val="22"/>
        </w:rPr>
        <w:tab/>
        <w:t>: Comité Technique Préparatoire et de Suivi</w:t>
      </w:r>
    </w:p>
    <w:p w14:paraId="6A30B013" w14:textId="77777777" w:rsidR="001C2F95" w:rsidRPr="00DE0DEC" w:rsidRDefault="001C2F95" w:rsidP="001C2F95">
      <w:pPr>
        <w:rPr>
          <w:rFonts w:eastAsia="Calibri" w:cs="Arial"/>
          <w:color w:val="000000"/>
          <w:sz w:val="22"/>
        </w:rPr>
      </w:pPr>
      <w:r w:rsidRPr="00DE0DEC">
        <w:rPr>
          <w:rFonts w:eastAsia="Calibri" w:cs="Arial"/>
          <w:color w:val="000000"/>
          <w:sz w:val="22"/>
        </w:rPr>
        <w:t>CUE</w:t>
      </w:r>
      <w:r w:rsidRPr="00DE0DEC">
        <w:rPr>
          <w:rFonts w:eastAsia="Calibri" w:cs="Arial"/>
          <w:color w:val="000000"/>
          <w:sz w:val="22"/>
        </w:rPr>
        <w:tab/>
      </w:r>
      <w:r w:rsidRPr="00DE0DEC">
        <w:rPr>
          <w:rFonts w:eastAsia="Calibri" w:cs="Arial"/>
          <w:color w:val="000000"/>
          <w:sz w:val="22"/>
        </w:rPr>
        <w:tab/>
        <w:t>: Coordinations Urbaines de l’Environnement</w:t>
      </w:r>
    </w:p>
    <w:p w14:paraId="68DFC6DB" w14:textId="77777777" w:rsidR="001C2F95" w:rsidRPr="00DE0DEC" w:rsidRDefault="001C2F95" w:rsidP="001C2F95">
      <w:pPr>
        <w:rPr>
          <w:rFonts w:eastAsia="Calibri" w:cs="Arial"/>
          <w:color w:val="000000"/>
          <w:sz w:val="22"/>
        </w:rPr>
      </w:pPr>
      <w:r w:rsidRPr="00DE0DEC">
        <w:rPr>
          <w:rFonts w:eastAsia="Calibri" w:cs="Arial"/>
          <w:color w:val="000000"/>
          <w:sz w:val="22"/>
        </w:rPr>
        <w:t>DAUNCP</w:t>
      </w:r>
      <w:r w:rsidRPr="00DE0DEC">
        <w:rPr>
          <w:rFonts w:eastAsia="Calibri" w:cs="Arial"/>
          <w:color w:val="000000"/>
          <w:sz w:val="22"/>
        </w:rPr>
        <w:tab/>
        <w:t>: Direction de l’Administration Générale des Projets</w:t>
      </w:r>
    </w:p>
    <w:p w14:paraId="6BDCA65C" w14:textId="77777777" w:rsidR="001C2F95" w:rsidRPr="00DE0DEC" w:rsidRDefault="001C2F95" w:rsidP="001C2F95">
      <w:pPr>
        <w:rPr>
          <w:rFonts w:eastAsia="Calibri" w:cs="Arial"/>
          <w:color w:val="000000"/>
          <w:sz w:val="22"/>
        </w:rPr>
      </w:pPr>
      <w:r w:rsidRPr="00DE0DEC">
        <w:rPr>
          <w:rFonts w:eastAsia="Calibri" w:cs="Arial"/>
          <w:color w:val="000000"/>
          <w:sz w:val="22"/>
        </w:rPr>
        <w:t>DAO</w:t>
      </w:r>
      <w:r w:rsidRPr="00DE0DEC">
        <w:rPr>
          <w:rFonts w:eastAsia="Calibri" w:cs="Arial"/>
          <w:color w:val="000000"/>
          <w:sz w:val="22"/>
        </w:rPr>
        <w:tab/>
      </w:r>
      <w:r w:rsidRPr="00DE0DEC">
        <w:rPr>
          <w:rFonts w:eastAsia="Calibri" w:cs="Arial"/>
          <w:color w:val="000000"/>
          <w:sz w:val="22"/>
        </w:rPr>
        <w:tab/>
        <w:t>: Dossier d’Appel d’Offres</w:t>
      </w:r>
    </w:p>
    <w:p w14:paraId="0AE6F95B" w14:textId="77777777" w:rsidR="001C2F95" w:rsidRPr="00DE0DEC" w:rsidRDefault="001C2F95" w:rsidP="001C2F95">
      <w:pPr>
        <w:rPr>
          <w:rFonts w:eastAsia="Calibri" w:cs="Arial"/>
          <w:color w:val="000000"/>
          <w:sz w:val="22"/>
        </w:rPr>
      </w:pPr>
      <w:r w:rsidRPr="00DE0DEC">
        <w:rPr>
          <w:rFonts w:eastAsia="Calibri" w:cs="Arial"/>
          <w:color w:val="000000"/>
          <w:sz w:val="22"/>
        </w:rPr>
        <w:t>DAGP</w:t>
      </w:r>
      <w:r w:rsidRPr="00DE0DEC">
        <w:rPr>
          <w:rFonts w:eastAsia="Calibri" w:cs="Arial"/>
          <w:color w:val="000000"/>
          <w:sz w:val="22"/>
        </w:rPr>
        <w:tab/>
      </w:r>
      <w:r w:rsidRPr="00DE0DEC">
        <w:rPr>
          <w:rFonts w:eastAsia="Calibri" w:cs="Arial"/>
          <w:color w:val="000000"/>
          <w:sz w:val="22"/>
        </w:rPr>
        <w:tab/>
        <w:t xml:space="preserve">: </w:t>
      </w:r>
      <w:r w:rsidRPr="00DE0DEC">
        <w:rPr>
          <w:rFonts w:cs="Arial"/>
          <w:color w:val="000000"/>
          <w:sz w:val="22"/>
        </w:rPr>
        <w:t>Direction de l’Administration Générale des Projets</w:t>
      </w:r>
    </w:p>
    <w:p w14:paraId="59F8DB1E" w14:textId="77777777" w:rsidR="001C2F95" w:rsidRPr="00DE0DEC" w:rsidRDefault="001C2F95" w:rsidP="001C2F95">
      <w:pPr>
        <w:rPr>
          <w:rFonts w:eastAsia="Calibri" w:cs="Arial"/>
          <w:color w:val="000000"/>
          <w:sz w:val="22"/>
        </w:rPr>
      </w:pPr>
      <w:r w:rsidRPr="00DE0DEC">
        <w:rPr>
          <w:rFonts w:eastAsia="Calibri" w:cs="Arial"/>
          <w:color w:val="000000"/>
          <w:sz w:val="22"/>
        </w:rPr>
        <w:t>DAPP </w:t>
      </w:r>
      <w:r w:rsidRPr="00DE0DEC">
        <w:rPr>
          <w:rFonts w:eastAsia="Calibri" w:cs="Arial"/>
          <w:color w:val="000000"/>
          <w:sz w:val="22"/>
        </w:rPr>
        <w:tab/>
      </w:r>
      <w:r w:rsidRPr="00DE0DEC">
        <w:rPr>
          <w:rFonts w:eastAsia="Calibri" w:cs="Arial"/>
          <w:color w:val="000000"/>
          <w:sz w:val="22"/>
        </w:rPr>
        <w:tab/>
        <w:t>: Direction des Analyses, Prospectives et de la Planification</w:t>
      </w:r>
    </w:p>
    <w:p w14:paraId="3AFAFD8B" w14:textId="77777777" w:rsidR="001C2F95" w:rsidRPr="00DE0DEC" w:rsidRDefault="001C2F95" w:rsidP="001C2F95">
      <w:pPr>
        <w:rPr>
          <w:rFonts w:eastAsia="Calibri" w:cs="Arial"/>
          <w:color w:val="000000"/>
          <w:sz w:val="22"/>
        </w:rPr>
      </w:pPr>
      <w:r w:rsidRPr="00DE0DEC">
        <w:rPr>
          <w:rFonts w:eastAsia="Calibri" w:cs="Arial"/>
          <w:color w:val="000000"/>
          <w:sz w:val="22"/>
        </w:rPr>
        <w:t>DCN</w:t>
      </w:r>
      <w:r w:rsidRPr="00DE0DEC">
        <w:rPr>
          <w:rFonts w:eastAsia="Calibri" w:cs="Arial"/>
          <w:color w:val="000000"/>
          <w:sz w:val="22"/>
        </w:rPr>
        <w:tab/>
      </w:r>
      <w:r w:rsidRPr="00DE0DEC">
        <w:rPr>
          <w:rFonts w:eastAsia="Calibri" w:cs="Arial"/>
          <w:color w:val="000000"/>
          <w:sz w:val="22"/>
        </w:rPr>
        <w:tab/>
        <w:t>: Direction de la Conservation de la Nature</w:t>
      </w:r>
    </w:p>
    <w:p w14:paraId="49DD89B3" w14:textId="77777777" w:rsidR="001C2F95" w:rsidRPr="00DE0DEC" w:rsidRDefault="001C2F95" w:rsidP="001C2F95">
      <w:pPr>
        <w:rPr>
          <w:rFonts w:eastAsia="Calibri" w:cs="Arial"/>
          <w:color w:val="000000"/>
          <w:sz w:val="22"/>
        </w:rPr>
      </w:pPr>
      <w:r w:rsidRPr="00DE0DEC">
        <w:rPr>
          <w:rFonts w:eastAsia="Calibri" w:cs="Arial"/>
          <w:color w:val="000000"/>
          <w:sz w:val="22"/>
        </w:rPr>
        <w:t>DCVI</w:t>
      </w:r>
      <w:r w:rsidRPr="00DE0DEC">
        <w:rPr>
          <w:rFonts w:eastAsia="Calibri" w:cs="Arial"/>
          <w:color w:val="000000"/>
          <w:sz w:val="22"/>
        </w:rPr>
        <w:tab/>
      </w:r>
      <w:r w:rsidRPr="00DE0DEC">
        <w:rPr>
          <w:rFonts w:eastAsia="Calibri" w:cs="Arial"/>
          <w:color w:val="000000"/>
          <w:sz w:val="22"/>
        </w:rPr>
        <w:tab/>
        <w:t>: Direction de Contrôle et de Vérification Interne</w:t>
      </w:r>
    </w:p>
    <w:p w14:paraId="52F86773" w14:textId="77777777" w:rsidR="001C2F95" w:rsidRPr="00DE0DEC" w:rsidRDefault="001C2F95" w:rsidP="001C2F95">
      <w:pPr>
        <w:rPr>
          <w:rFonts w:eastAsia="Calibri" w:cs="Arial"/>
          <w:color w:val="000000"/>
          <w:sz w:val="22"/>
        </w:rPr>
      </w:pPr>
      <w:r w:rsidRPr="00DE0DEC">
        <w:rPr>
          <w:rFonts w:eastAsia="Calibri" w:cs="Arial"/>
          <w:color w:val="000000"/>
          <w:sz w:val="22"/>
        </w:rPr>
        <w:t>DD</w:t>
      </w:r>
      <w:r w:rsidRPr="00DE0DEC">
        <w:rPr>
          <w:rFonts w:eastAsia="Calibri" w:cs="Arial"/>
          <w:color w:val="000000"/>
          <w:sz w:val="22"/>
        </w:rPr>
        <w:tab/>
      </w:r>
      <w:r w:rsidRPr="00DE0DEC">
        <w:rPr>
          <w:rFonts w:eastAsia="Calibri" w:cs="Arial"/>
          <w:color w:val="000000"/>
          <w:sz w:val="22"/>
        </w:rPr>
        <w:tab/>
        <w:t>: Développement Durable</w:t>
      </w:r>
    </w:p>
    <w:p w14:paraId="1EA5954D" w14:textId="77777777" w:rsidR="001C2F95" w:rsidRPr="00DE0DEC" w:rsidRDefault="001C2F95" w:rsidP="001C2F95">
      <w:pPr>
        <w:rPr>
          <w:rFonts w:eastAsia="Calibri" w:cs="Arial"/>
          <w:color w:val="000000"/>
          <w:sz w:val="22"/>
        </w:rPr>
      </w:pPr>
      <w:r w:rsidRPr="00DE0DEC">
        <w:rPr>
          <w:rFonts w:eastAsia="Calibri" w:cs="Arial"/>
          <w:color w:val="000000"/>
          <w:sz w:val="22"/>
        </w:rPr>
        <w:t>DEP</w:t>
      </w:r>
      <w:r w:rsidRPr="00DE0DEC">
        <w:rPr>
          <w:rFonts w:eastAsia="Calibri" w:cs="Arial"/>
          <w:color w:val="000000"/>
          <w:sz w:val="22"/>
        </w:rPr>
        <w:tab/>
      </w:r>
      <w:r w:rsidRPr="00DE0DEC">
        <w:rPr>
          <w:rFonts w:eastAsia="Calibri" w:cs="Arial"/>
          <w:color w:val="000000"/>
          <w:sz w:val="22"/>
        </w:rPr>
        <w:tab/>
        <w:t>: Direction d’Études et Planification</w:t>
      </w:r>
    </w:p>
    <w:p w14:paraId="515D5B60" w14:textId="77777777" w:rsidR="001C2F95" w:rsidRPr="00DE0DEC" w:rsidRDefault="001C2F95" w:rsidP="001C2F95">
      <w:pPr>
        <w:rPr>
          <w:rFonts w:eastAsia="Calibri" w:cs="Arial"/>
          <w:color w:val="000000"/>
          <w:sz w:val="22"/>
        </w:rPr>
      </w:pPr>
      <w:r w:rsidRPr="00DE0DEC">
        <w:rPr>
          <w:rFonts w:eastAsia="Calibri" w:cs="Arial"/>
          <w:color w:val="000000"/>
          <w:sz w:val="22"/>
        </w:rPr>
        <w:t>DMPCC</w:t>
      </w:r>
      <w:r w:rsidRPr="00DE0DEC">
        <w:rPr>
          <w:rFonts w:eastAsia="Calibri" w:cs="Arial"/>
          <w:color w:val="000000"/>
          <w:sz w:val="22"/>
        </w:rPr>
        <w:tab/>
        <w:t>: Direction des Marchés, Prix et Crédits de Campagne</w:t>
      </w:r>
    </w:p>
    <w:p w14:paraId="058758C1" w14:textId="77777777" w:rsidR="001C2F95" w:rsidRPr="00DE0DEC" w:rsidRDefault="001C2F95" w:rsidP="001C2F95">
      <w:pPr>
        <w:rPr>
          <w:rFonts w:eastAsia="Calibri" w:cs="Arial"/>
          <w:color w:val="000000"/>
          <w:sz w:val="22"/>
        </w:rPr>
      </w:pPr>
      <w:r w:rsidRPr="00DE0DEC">
        <w:rPr>
          <w:rFonts w:eastAsia="Calibri" w:cs="Arial"/>
          <w:color w:val="000000"/>
          <w:sz w:val="22"/>
        </w:rPr>
        <w:t>DP</w:t>
      </w:r>
      <w:r w:rsidRPr="00DE0DEC">
        <w:rPr>
          <w:rFonts w:eastAsia="Calibri" w:cs="Arial"/>
          <w:color w:val="000000"/>
          <w:sz w:val="22"/>
        </w:rPr>
        <w:tab/>
      </w:r>
      <w:r w:rsidRPr="00DE0DEC">
        <w:rPr>
          <w:rFonts w:eastAsia="Calibri" w:cs="Arial"/>
          <w:color w:val="000000"/>
          <w:sz w:val="22"/>
        </w:rPr>
        <w:tab/>
        <w:t>: Direction des Pêches</w:t>
      </w:r>
    </w:p>
    <w:p w14:paraId="3464A6A7" w14:textId="77777777" w:rsidR="001C2F95" w:rsidRPr="00DE0DEC" w:rsidRDefault="001C2F95" w:rsidP="001C2F95">
      <w:pPr>
        <w:rPr>
          <w:rFonts w:eastAsia="Calibri" w:cs="Arial"/>
          <w:color w:val="000000"/>
          <w:sz w:val="22"/>
        </w:rPr>
      </w:pPr>
      <w:r w:rsidRPr="00DE0DEC">
        <w:rPr>
          <w:rFonts w:eastAsia="Calibri" w:cs="Arial"/>
          <w:color w:val="000000"/>
          <w:sz w:val="22"/>
        </w:rPr>
        <w:t>DPPV</w:t>
      </w:r>
      <w:r w:rsidRPr="00DE0DEC">
        <w:rPr>
          <w:rFonts w:eastAsia="Calibri" w:cs="Arial"/>
          <w:color w:val="000000"/>
          <w:sz w:val="22"/>
        </w:rPr>
        <w:tab/>
      </w:r>
      <w:r w:rsidRPr="00DE0DEC">
        <w:rPr>
          <w:rFonts w:eastAsia="Calibri" w:cs="Arial"/>
          <w:color w:val="000000"/>
          <w:sz w:val="22"/>
        </w:rPr>
        <w:tab/>
        <w:t xml:space="preserve">: </w:t>
      </w:r>
      <w:r w:rsidRPr="00DE0DEC">
        <w:rPr>
          <w:rFonts w:cs="Arial"/>
          <w:color w:val="000000"/>
          <w:sz w:val="22"/>
        </w:rPr>
        <w:t>Direction de la Production et Protection des Végétaux</w:t>
      </w:r>
    </w:p>
    <w:p w14:paraId="145A1389" w14:textId="77777777" w:rsidR="001C2F95" w:rsidRPr="00DE0DEC" w:rsidRDefault="001C2F95" w:rsidP="001C2F95">
      <w:pPr>
        <w:rPr>
          <w:rFonts w:eastAsia="Calibri" w:cs="Arial"/>
          <w:color w:val="000000"/>
          <w:sz w:val="22"/>
        </w:rPr>
      </w:pPr>
      <w:r w:rsidRPr="00DE0DEC">
        <w:rPr>
          <w:rFonts w:eastAsia="Calibri" w:cs="Arial"/>
          <w:color w:val="000000"/>
          <w:sz w:val="22"/>
        </w:rPr>
        <w:t>DPSA</w:t>
      </w:r>
      <w:r w:rsidRPr="00DE0DEC">
        <w:rPr>
          <w:rFonts w:eastAsia="Calibri" w:cs="Arial"/>
          <w:color w:val="000000"/>
          <w:sz w:val="22"/>
        </w:rPr>
        <w:tab/>
      </w:r>
      <w:r w:rsidRPr="00DE0DEC">
        <w:rPr>
          <w:rFonts w:eastAsia="Calibri" w:cs="Arial"/>
          <w:color w:val="000000"/>
          <w:sz w:val="22"/>
        </w:rPr>
        <w:tab/>
        <w:t>: Direction de la Production et Protection des Végétaux</w:t>
      </w:r>
    </w:p>
    <w:p w14:paraId="5EAC3174"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DSCRP </w:t>
      </w:r>
      <w:r w:rsidRPr="00DE0DEC">
        <w:rPr>
          <w:rFonts w:eastAsia="Calibri" w:cs="Arial"/>
          <w:color w:val="000000"/>
          <w:sz w:val="22"/>
        </w:rPr>
        <w:tab/>
        <w:t>: Document de Stratégie de Croissance et de Réduction de la Pauvreté</w:t>
      </w:r>
    </w:p>
    <w:p w14:paraId="0EF2224F" w14:textId="77777777" w:rsidR="001C2F95" w:rsidRPr="00DE0DEC" w:rsidRDefault="001C2F95" w:rsidP="001C2F95">
      <w:pPr>
        <w:rPr>
          <w:rFonts w:eastAsia="Calibri" w:cs="Arial"/>
          <w:color w:val="000000"/>
          <w:sz w:val="22"/>
        </w:rPr>
      </w:pPr>
      <w:r>
        <w:rPr>
          <w:rFonts w:eastAsia="Calibri" w:cs="Arial"/>
          <w:color w:val="000000"/>
          <w:sz w:val="22"/>
        </w:rPr>
        <w:t>O</w:t>
      </w:r>
      <w:r w:rsidRPr="00DE0DEC">
        <w:rPr>
          <w:rFonts w:eastAsia="Calibri" w:cs="Arial"/>
          <w:color w:val="000000"/>
          <w:sz w:val="22"/>
        </w:rPr>
        <w:t xml:space="preserve">VDA </w:t>
      </w:r>
      <w:r w:rsidRPr="00DE0DEC">
        <w:rPr>
          <w:rFonts w:eastAsia="Calibri" w:cs="Arial"/>
          <w:color w:val="000000"/>
          <w:sz w:val="22"/>
        </w:rPr>
        <w:tab/>
      </w:r>
      <w:r w:rsidRPr="00DE0DEC">
        <w:rPr>
          <w:rFonts w:eastAsia="Calibri" w:cs="Arial"/>
          <w:color w:val="000000"/>
          <w:sz w:val="22"/>
        </w:rPr>
        <w:tab/>
        <w:t xml:space="preserve">: </w:t>
      </w:r>
      <w:r>
        <w:rPr>
          <w:rFonts w:eastAsia="Calibri" w:cs="Arial"/>
          <w:color w:val="000000"/>
          <w:sz w:val="22"/>
        </w:rPr>
        <w:t>Office</w:t>
      </w:r>
      <w:r w:rsidRPr="00DE0DEC">
        <w:rPr>
          <w:rFonts w:eastAsia="Calibri" w:cs="Arial"/>
          <w:color w:val="000000"/>
          <w:sz w:val="22"/>
        </w:rPr>
        <w:t xml:space="preserve"> des Voies de Desserte Agricole</w:t>
      </w:r>
    </w:p>
    <w:p w14:paraId="7A1AEB24" w14:textId="77777777" w:rsidR="001C2F95" w:rsidRPr="00DE0DEC" w:rsidRDefault="001C2F95" w:rsidP="001C2F95">
      <w:pPr>
        <w:rPr>
          <w:rFonts w:eastAsia="Calibri" w:cs="Arial"/>
          <w:color w:val="000000"/>
          <w:sz w:val="22"/>
        </w:rPr>
      </w:pPr>
      <w:r w:rsidRPr="00DE0DEC">
        <w:rPr>
          <w:rFonts w:eastAsia="Calibri" w:cs="Arial"/>
          <w:color w:val="000000"/>
          <w:sz w:val="22"/>
        </w:rPr>
        <w:t>EAS </w:t>
      </w:r>
      <w:r w:rsidRPr="00DE0DEC">
        <w:rPr>
          <w:rFonts w:eastAsia="Calibri" w:cs="Arial"/>
          <w:color w:val="000000"/>
          <w:sz w:val="22"/>
        </w:rPr>
        <w:tab/>
      </w:r>
      <w:r w:rsidRPr="00DE0DEC">
        <w:rPr>
          <w:rFonts w:eastAsia="Calibri" w:cs="Arial"/>
          <w:color w:val="000000"/>
          <w:sz w:val="22"/>
        </w:rPr>
        <w:tab/>
        <w:t>: Exploitation et Abus Sexuels</w:t>
      </w:r>
    </w:p>
    <w:p w14:paraId="75BBB7FD" w14:textId="77777777" w:rsidR="001C2F95" w:rsidRPr="00DE0DEC" w:rsidRDefault="001C2F95" w:rsidP="001C2F95">
      <w:pPr>
        <w:rPr>
          <w:rFonts w:eastAsia="Calibri" w:cs="Arial"/>
          <w:color w:val="000000"/>
          <w:sz w:val="22"/>
        </w:rPr>
      </w:pPr>
      <w:r w:rsidRPr="00DE0DEC">
        <w:rPr>
          <w:rFonts w:eastAsia="Calibri" w:cs="Arial"/>
          <w:color w:val="000000"/>
          <w:sz w:val="22"/>
        </w:rPr>
        <w:t>ECZ</w:t>
      </w:r>
      <w:r w:rsidRPr="00DE0DEC">
        <w:rPr>
          <w:rFonts w:eastAsia="Calibri" w:cs="Arial"/>
          <w:color w:val="000000"/>
          <w:sz w:val="22"/>
        </w:rPr>
        <w:tab/>
      </w:r>
      <w:r w:rsidRPr="00DE0DEC">
        <w:rPr>
          <w:rFonts w:eastAsia="Calibri" w:cs="Arial"/>
          <w:color w:val="000000"/>
          <w:sz w:val="22"/>
        </w:rPr>
        <w:tab/>
        <w:t>: Équipe Cadre de la Zone de Santé</w:t>
      </w:r>
    </w:p>
    <w:p w14:paraId="3D8E651D" w14:textId="77777777" w:rsidR="001C2F95" w:rsidRPr="00DE0DEC" w:rsidRDefault="001C2F95" w:rsidP="001C2F95">
      <w:pPr>
        <w:rPr>
          <w:rFonts w:eastAsia="Calibri" w:cs="Arial"/>
          <w:color w:val="000000"/>
          <w:sz w:val="22"/>
        </w:rPr>
      </w:pPr>
      <w:r w:rsidRPr="00DE0DEC">
        <w:rPr>
          <w:rFonts w:eastAsia="Calibri" w:cs="Arial"/>
          <w:color w:val="000000"/>
          <w:sz w:val="22"/>
        </w:rPr>
        <w:t>EDS</w:t>
      </w:r>
      <w:r w:rsidRPr="00DE0DEC">
        <w:rPr>
          <w:rFonts w:eastAsia="Calibri" w:cs="Arial"/>
          <w:color w:val="000000"/>
          <w:sz w:val="22"/>
        </w:rPr>
        <w:tab/>
      </w:r>
      <w:r w:rsidRPr="00DE0DEC">
        <w:rPr>
          <w:rFonts w:eastAsia="Calibri" w:cs="Arial"/>
          <w:color w:val="000000"/>
          <w:sz w:val="22"/>
        </w:rPr>
        <w:tab/>
        <w:t>: Enquête Démographique et de Santé</w:t>
      </w:r>
    </w:p>
    <w:p w14:paraId="1AC9DB49" w14:textId="77777777" w:rsidR="001C2F95" w:rsidRPr="00DE0DEC" w:rsidRDefault="001C2F95" w:rsidP="001C2F95">
      <w:pPr>
        <w:rPr>
          <w:rFonts w:eastAsia="Calibri" w:cs="Arial"/>
          <w:color w:val="000000"/>
          <w:sz w:val="22"/>
        </w:rPr>
      </w:pPr>
      <w:r w:rsidRPr="00DE0DEC">
        <w:rPr>
          <w:rFonts w:eastAsia="Calibri" w:cs="Arial"/>
          <w:color w:val="000000"/>
          <w:sz w:val="22"/>
        </w:rPr>
        <w:t>EF</w:t>
      </w:r>
      <w:r w:rsidRPr="00DE0DEC">
        <w:rPr>
          <w:rFonts w:eastAsia="Calibri" w:cs="Arial"/>
          <w:color w:val="000000"/>
          <w:sz w:val="22"/>
        </w:rPr>
        <w:tab/>
      </w:r>
      <w:r w:rsidRPr="00DE0DEC">
        <w:rPr>
          <w:rFonts w:eastAsia="Calibri" w:cs="Arial"/>
          <w:color w:val="000000"/>
          <w:sz w:val="22"/>
        </w:rPr>
        <w:tab/>
        <w:t>: Écosystèmes Forestiers</w:t>
      </w:r>
    </w:p>
    <w:p w14:paraId="4CEE3983" w14:textId="77777777" w:rsidR="001C2F95" w:rsidRPr="00DE0DEC" w:rsidRDefault="001C2F95" w:rsidP="001C2F95">
      <w:pPr>
        <w:rPr>
          <w:rFonts w:eastAsia="Calibri" w:cs="Arial"/>
          <w:color w:val="000000"/>
          <w:sz w:val="22"/>
        </w:rPr>
      </w:pPr>
      <w:r w:rsidRPr="00DE0DEC">
        <w:rPr>
          <w:rFonts w:eastAsia="Calibri" w:cs="Arial"/>
          <w:color w:val="000000"/>
          <w:sz w:val="22"/>
        </w:rPr>
        <w:t>ÉIES</w:t>
      </w:r>
      <w:r w:rsidRPr="00DE0DEC">
        <w:rPr>
          <w:rFonts w:eastAsia="Calibri" w:cs="Arial"/>
          <w:color w:val="000000"/>
          <w:sz w:val="22"/>
        </w:rPr>
        <w:tab/>
      </w:r>
      <w:r w:rsidRPr="00DE0DEC">
        <w:rPr>
          <w:rFonts w:eastAsia="Calibri" w:cs="Arial"/>
          <w:color w:val="000000"/>
          <w:sz w:val="22"/>
        </w:rPr>
        <w:tab/>
        <w:t>: Étude d’Impact Environnemental et Social</w:t>
      </w:r>
    </w:p>
    <w:p w14:paraId="6A21470E" w14:textId="77777777" w:rsidR="001C2F95" w:rsidRPr="00DE0DEC" w:rsidRDefault="001C2F95" w:rsidP="001C2F95">
      <w:pPr>
        <w:rPr>
          <w:rFonts w:eastAsia="Calibri" w:cs="Arial"/>
          <w:color w:val="000000"/>
          <w:sz w:val="22"/>
        </w:rPr>
      </w:pPr>
      <w:r w:rsidRPr="00DE0DEC">
        <w:rPr>
          <w:rFonts w:eastAsia="Calibri" w:cs="Arial"/>
          <w:color w:val="000000"/>
          <w:sz w:val="22"/>
        </w:rPr>
        <w:t>EOV</w:t>
      </w:r>
      <w:r w:rsidRPr="00DE0DEC">
        <w:rPr>
          <w:rFonts w:eastAsia="Calibri" w:cs="Arial"/>
          <w:color w:val="000000"/>
          <w:sz w:val="22"/>
        </w:rPr>
        <w:tab/>
      </w:r>
      <w:r w:rsidRPr="00DE0DEC">
        <w:rPr>
          <w:rFonts w:eastAsia="Calibri" w:cs="Arial"/>
          <w:color w:val="000000"/>
          <w:sz w:val="22"/>
        </w:rPr>
        <w:tab/>
        <w:t xml:space="preserve">: </w:t>
      </w:r>
      <w:r w:rsidRPr="00DE0DEC">
        <w:rPr>
          <w:rFonts w:cs="Arial"/>
          <w:color w:val="000000"/>
          <w:sz w:val="22"/>
        </w:rPr>
        <w:t>Enfants Orphelins Vulnérables</w:t>
      </w:r>
    </w:p>
    <w:p w14:paraId="19AFD694" w14:textId="77777777" w:rsidR="001C2F95" w:rsidRPr="00DE0DEC" w:rsidRDefault="001C2F95" w:rsidP="001C2F95">
      <w:pPr>
        <w:rPr>
          <w:rFonts w:eastAsia="Calibri" w:cs="Arial"/>
          <w:color w:val="000000"/>
          <w:sz w:val="22"/>
        </w:rPr>
      </w:pPr>
      <w:r w:rsidRPr="00DE0DEC">
        <w:rPr>
          <w:rFonts w:eastAsia="Calibri" w:cs="Arial"/>
          <w:color w:val="000000"/>
          <w:sz w:val="22"/>
        </w:rPr>
        <w:lastRenderedPageBreak/>
        <w:t>EPI</w:t>
      </w:r>
      <w:r w:rsidRPr="00DE0DEC">
        <w:rPr>
          <w:rFonts w:eastAsia="Calibri" w:cs="Arial"/>
          <w:color w:val="000000"/>
          <w:sz w:val="22"/>
        </w:rPr>
        <w:tab/>
      </w:r>
      <w:r w:rsidRPr="00DE0DEC">
        <w:rPr>
          <w:rFonts w:eastAsia="Calibri" w:cs="Arial"/>
          <w:color w:val="000000"/>
          <w:sz w:val="22"/>
        </w:rPr>
        <w:tab/>
        <w:t>: Équipements de Protection Individuelle</w:t>
      </w:r>
    </w:p>
    <w:p w14:paraId="09C7B43A" w14:textId="77777777" w:rsidR="001C2F95" w:rsidRPr="00DE0DEC" w:rsidRDefault="001C2F95" w:rsidP="001C2F95">
      <w:pPr>
        <w:rPr>
          <w:rFonts w:eastAsia="Calibri" w:cs="Arial"/>
          <w:color w:val="000000"/>
          <w:sz w:val="22"/>
        </w:rPr>
      </w:pPr>
      <w:r w:rsidRPr="00DE0DEC">
        <w:rPr>
          <w:rFonts w:eastAsia="Calibri" w:cs="Arial"/>
          <w:color w:val="000000"/>
          <w:sz w:val="22"/>
        </w:rPr>
        <w:t>ERS </w:t>
      </w:r>
      <w:r w:rsidRPr="00DE0DEC">
        <w:rPr>
          <w:rFonts w:eastAsia="Calibri" w:cs="Arial"/>
          <w:color w:val="000000"/>
          <w:sz w:val="22"/>
        </w:rPr>
        <w:tab/>
      </w:r>
      <w:r w:rsidRPr="00DE0DEC">
        <w:rPr>
          <w:rFonts w:eastAsia="Calibri" w:cs="Arial"/>
          <w:color w:val="000000"/>
          <w:sz w:val="22"/>
        </w:rPr>
        <w:tab/>
        <w:t>: Évaluation des Risques liés à la Sécurité</w:t>
      </w:r>
    </w:p>
    <w:p w14:paraId="4D59BAFC" w14:textId="77777777" w:rsidR="001C2F95" w:rsidRPr="00DE0DEC" w:rsidRDefault="001C2F95" w:rsidP="001C2F95">
      <w:pPr>
        <w:rPr>
          <w:rFonts w:eastAsia="Calibri" w:cs="Arial"/>
          <w:color w:val="000000"/>
          <w:sz w:val="22"/>
        </w:rPr>
      </w:pPr>
      <w:r w:rsidRPr="00DE0DEC">
        <w:rPr>
          <w:rFonts w:eastAsia="Calibri" w:cs="Arial"/>
          <w:color w:val="000000"/>
          <w:sz w:val="22"/>
        </w:rPr>
        <w:t>ESES</w:t>
      </w:r>
      <w:r w:rsidRPr="00DE0DEC">
        <w:rPr>
          <w:rFonts w:eastAsia="Calibri" w:cs="Arial"/>
          <w:color w:val="000000"/>
          <w:sz w:val="22"/>
        </w:rPr>
        <w:tab/>
      </w:r>
      <w:r w:rsidRPr="00DE0DEC">
        <w:rPr>
          <w:rFonts w:eastAsia="Calibri" w:cs="Arial"/>
          <w:color w:val="000000"/>
          <w:sz w:val="22"/>
        </w:rPr>
        <w:tab/>
        <w:t>: Expert Environnement et Social</w:t>
      </w:r>
    </w:p>
    <w:p w14:paraId="06672BF1"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ETD </w:t>
      </w:r>
      <w:r w:rsidRPr="00DE0DEC">
        <w:rPr>
          <w:rFonts w:eastAsia="Calibri" w:cs="Arial"/>
          <w:color w:val="000000"/>
          <w:sz w:val="22"/>
        </w:rPr>
        <w:tab/>
      </w:r>
      <w:r w:rsidRPr="00DE0DEC">
        <w:rPr>
          <w:rFonts w:eastAsia="Calibri" w:cs="Arial"/>
          <w:color w:val="000000"/>
          <w:sz w:val="22"/>
        </w:rPr>
        <w:tab/>
        <w:t>: Entités Territoriales Décentralisées</w:t>
      </w:r>
    </w:p>
    <w:p w14:paraId="3F0D8096" w14:textId="77777777" w:rsidR="001C2F95" w:rsidRPr="00DE0DEC" w:rsidRDefault="001C2F95" w:rsidP="001C2F95">
      <w:pPr>
        <w:rPr>
          <w:rFonts w:eastAsia="Calibri" w:cs="Arial"/>
          <w:color w:val="000000"/>
          <w:sz w:val="22"/>
        </w:rPr>
      </w:pPr>
      <w:r w:rsidRPr="00DE0DEC">
        <w:rPr>
          <w:rFonts w:eastAsia="Calibri" w:cs="Arial"/>
          <w:color w:val="000000"/>
          <w:sz w:val="22"/>
        </w:rPr>
        <w:t>FAO </w:t>
      </w:r>
      <w:r w:rsidRPr="00DE0DEC">
        <w:rPr>
          <w:rFonts w:eastAsia="Calibri" w:cs="Arial"/>
          <w:color w:val="000000"/>
          <w:sz w:val="22"/>
        </w:rPr>
        <w:tab/>
      </w:r>
      <w:r w:rsidRPr="00DE0DEC">
        <w:rPr>
          <w:rFonts w:eastAsia="Calibri" w:cs="Arial"/>
          <w:color w:val="000000"/>
          <w:sz w:val="22"/>
        </w:rPr>
        <w:tab/>
        <w:t>: Organisation</w:t>
      </w:r>
      <w:r>
        <w:rPr>
          <w:rFonts w:eastAsia="Calibri" w:cs="Arial"/>
          <w:color w:val="000000"/>
          <w:sz w:val="22"/>
        </w:rPr>
        <w:t xml:space="preserve"> </w:t>
      </w:r>
      <w:r w:rsidRPr="00DE0DEC">
        <w:rPr>
          <w:rFonts w:eastAsia="Calibri" w:cs="Arial"/>
          <w:color w:val="000000"/>
          <w:sz w:val="22"/>
        </w:rPr>
        <w:t>des Nations Unies pour l’alimentation et l’Agriculture</w:t>
      </w:r>
    </w:p>
    <w:p w14:paraId="040AD1A3" w14:textId="77777777" w:rsidR="001C2F95" w:rsidRPr="00DE0DEC" w:rsidRDefault="001C2F95" w:rsidP="001C2F95">
      <w:pPr>
        <w:rPr>
          <w:rFonts w:eastAsia="Calibri" w:cs="Arial"/>
          <w:color w:val="000000"/>
          <w:sz w:val="22"/>
        </w:rPr>
      </w:pPr>
      <w:r w:rsidRPr="00DE0DEC">
        <w:rPr>
          <w:rFonts w:eastAsia="Calibri" w:cs="Arial"/>
          <w:color w:val="000000"/>
          <w:sz w:val="22"/>
        </w:rPr>
        <w:t>FARDC</w:t>
      </w:r>
      <w:r w:rsidRPr="00DE0DEC">
        <w:rPr>
          <w:rFonts w:eastAsia="Calibri" w:cs="Arial"/>
          <w:color w:val="000000"/>
          <w:sz w:val="22"/>
        </w:rPr>
        <w:tab/>
        <w:t>: Forces Armées de la République Démocratique du Congo</w:t>
      </w:r>
    </w:p>
    <w:p w14:paraId="2E191735" w14:textId="77777777" w:rsidR="001C2F95" w:rsidRPr="00DE0DEC" w:rsidRDefault="001C2F95" w:rsidP="001C2F95">
      <w:pPr>
        <w:rPr>
          <w:rFonts w:eastAsia="Calibri" w:cs="Arial"/>
          <w:color w:val="000000"/>
          <w:sz w:val="22"/>
        </w:rPr>
      </w:pPr>
      <w:r w:rsidRPr="00DE0DEC">
        <w:rPr>
          <w:rFonts w:eastAsia="Calibri" w:cs="Arial"/>
          <w:color w:val="000000"/>
          <w:sz w:val="22"/>
        </w:rPr>
        <w:t>FCV</w:t>
      </w:r>
      <w:r w:rsidRPr="00DE0DEC">
        <w:rPr>
          <w:rFonts w:eastAsia="Calibri" w:cs="Arial"/>
          <w:color w:val="000000"/>
          <w:sz w:val="22"/>
        </w:rPr>
        <w:tab/>
      </w:r>
      <w:r w:rsidRPr="00DE0DEC">
        <w:rPr>
          <w:rFonts w:eastAsia="Calibri" w:cs="Arial"/>
          <w:color w:val="000000"/>
          <w:sz w:val="22"/>
        </w:rPr>
        <w:tab/>
        <w:t>: Fragilité, Conflit et Violence</w:t>
      </w:r>
    </w:p>
    <w:p w14:paraId="139C208D" w14:textId="77777777" w:rsidR="001C2F95" w:rsidRPr="00DE0DEC" w:rsidRDefault="001C2F95" w:rsidP="001C2F95">
      <w:pPr>
        <w:rPr>
          <w:rFonts w:eastAsia="Calibri" w:cs="Arial"/>
          <w:color w:val="000000"/>
          <w:sz w:val="22"/>
        </w:rPr>
      </w:pPr>
      <w:r w:rsidRPr="00DE0DEC">
        <w:rPr>
          <w:rFonts w:eastAsia="Calibri" w:cs="Arial"/>
          <w:color w:val="000000"/>
          <w:sz w:val="22"/>
        </w:rPr>
        <w:t>FDLR</w:t>
      </w:r>
      <w:r w:rsidRPr="00DE0DEC">
        <w:rPr>
          <w:rFonts w:eastAsia="Calibri" w:cs="Arial"/>
          <w:color w:val="000000"/>
          <w:sz w:val="22"/>
        </w:rPr>
        <w:tab/>
      </w:r>
      <w:r w:rsidRPr="00DE0DEC">
        <w:rPr>
          <w:rFonts w:eastAsia="Calibri" w:cs="Arial"/>
          <w:color w:val="000000"/>
          <w:sz w:val="22"/>
        </w:rPr>
        <w:tab/>
        <w:t>: Forces Démocratiques de Libération du Rwanda </w:t>
      </w:r>
    </w:p>
    <w:p w14:paraId="679981F5" w14:textId="77777777" w:rsidR="001C2F95" w:rsidRPr="00DE0DEC" w:rsidRDefault="001C2F95" w:rsidP="001C2F95">
      <w:pPr>
        <w:rPr>
          <w:rFonts w:eastAsia="Calibri" w:cs="Arial"/>
          <w:color w:val="000000"/>
          <w:sz w:val="22"/>
        </w:rPr>
      </w:pPr>
      <w:r w:rsidRPr="00DE0DEC">
        <w:rPr>
          <w:rFonts w:eastAsia="Calibri" w:cs="Arial"/>
          <w:color w:val="000000"/>
          <w:sz w:val="22"/>
        </w:rPr>
        <w:t>FEC </w:t>
      </w:r>
      <w:r w:rsidRPr="00DE0DEC">
        <w:rPr>
          <w:rFonts w:eastAsia="Calibri" w:cs="Arial"/>
          <w:color w:val="000000"/>
          <w:sz w:val="22"/>
        </w:rPr>
        <w:tab/>
      </w:r>
      <w:r w:rsidRPr="00DE0DEC">
        <w:rPr>
          <w:rFonts w:eastAsia="Calibri" w:cs="Arial"/>
          <w:color w:val="000000"/>
          <w:sz w:val="22"/>
        </w:rPr>
        <w:tab/>
        <w:t>: Fédération des Entreprises au Congo</w:t>
      </w:r>
    </w:p>
    <w:p w14:paraId="071B91D0" w14:textId="77777777" w:rsidR="001C2F95" w:rsidRPr="00DE0DEC" w:rsidRDefault="001C2F95" w:rsidP="001C2F95">
      <w:pPr>
        <w:rPr>
          <w:rFonts w:eastAsia="Calibri" w:cs="Arial"/>
          <w:color w:val="000000"/>
          <w:sz w:val="22"/>
        </w:rPr>
      </w:pPr>
      <w:r w:rsidRPr="00DE0DEC">
        <w:rPr>
          <w:rFonts w:eastAsia="Calibri" w:cs="Arial"/>
          <w:color w:val="000000"/>
          <w:sz w:val="22"/>
        </w:rPr>
        <w:t>FNSCC</w:t>
      </w:r>
      <w:r w:rsidRPr="00DE0DEC">
        <w:rPr>
          <w:rFonts w:eastAsia="Calibri" w:cs="Arial"/>
          <w:color w:val="000000"/>
          <w:sz w:val="22"/>
        </w:rPr>
        <w:tab/>
        <w:t>: Fonds National de Solidarité Contre le Covid-19</w:t>
      </w:r>
    </w:p>
    <w:p w14:paraId="47B58B10" w14:textId="77777777" w:rsidR="001C2F95" w:rsidRPr="00DE0DEC" w:rsidRDefault="001C2F95" w:rsidP="001C2F95">
      <w:pPr>
        <w:rPr>
          <w:rFonts w:eastAsia="Calibri" w:cs="Arial"/>
          <w:color w:val="000000"/>
          <w:sz w:val="22"/>
        </w:rPr>
      </w:pPr>
      <w:r w:rsidRPr="00DE0DEC">
        <w:rPr>
          <w:rFonts w:eastAsia="Calibri" w:cs="Arial"/>
          <w:color w:val="000000"/>
          <w:sz w:val="22"/>
        </w:rPr>
        <w:t>FNPSS</w:t>
      </w:r>
      <w:r w:rsidRPr="00DE0DEC">
        <w:rPr>
          <w:rFonts w:eastAsia="Calibri" w:cs="Arial"/>
          <w:color w:val="000000"/>
          <w:sz w:val="22"/>
        </w:rPr>
        <w:tab/>
        <w:t>: Fonds National de Promotion et de Service Social</w:t>
      </w:r>
    </w:p>
    <w:p w14:paraId="1AA4CEFD" w14:textId="77777777" w:rsidR="001C2F95" w:rsidRPr="00DE0DEC" w:rsidRDefault="001C2F95" w:rsidP="001C2F95">
      <w:pPr>
        <w:rPr>
          <w:rFonts w:eastAsia="Calibri" w:cs="Arial"/>
          <w:color w:val="000000"/>
          <w:sz w:val="22"/>
        </w:rPr>
      </w:pPr>
      <w:r w:rsidRPr="00DE0DEC">
        <w:rPr>
          <w:rFonts w:eastAsia="Calibri" w:cs="Arial"/>
          <w:color w:val="000000"/>
          <w:sz w:val="22"/>
        </w:rPr>
        <w:t>FPI</w:t>
      </w:r>
      <w:r w:rsidRPr="00DE0DEC">
        <w:rPr>
          <w:rFonts w:eastAsia="Calibri" w:cs="Arial"/>
          <w:color w:val="000000"/>
          <w:sz w:val="22"/>
        </w:rPr>
        <w:tab/>
      </w:r>
      <w:r w:rsidRPr="00DE0DEC">
        <w:rPr>
          <w:rFonts w:eastAsia="Calibri" w:cs="Arial"/>
          <w:color w:val="000000"/>
          <w:sz w:val="22"/>
        </w:rPr>
        <w:tab/>
        <w:t>: Fonds de Promotion de l’Industrie</w:t>
      </w:r>
    </w:p>
    <w:p w14:paraId="3FA58226" w14:textId="77777777" w:rsidR="001C2F95" w:rsidRPr="00DE0DEC" w:rsidRDefault="001C2F95" w:rsidP="001C2F95">
      <w:pPr>
        <w:rPr>
          <w:rFonts w:eastAsia="Calibri" w:cs="Arial"/>
          <w:color w:val="000000"/>
          <w:sz w:val="22"/>
        </w:rPr>
      </w:pPr>
      <w:r w:rsidRPr="00DE0DEC">
        <w:rPr>
          <w:rFonts w:eastAsia="Calibri" w:cs="Arial"/>
          <w:color w:val="000000"/>
          <w:sz w:val="22"/>
        </w:rPr>
        <w:t>GBV</w:t>
      </w:r>
      <w:r w:rsidRPr="00DE0DEC">
        <w:rPr>
          <w:rFonts w:eastAsia="Calibri" w:cs="Arial"/>
          <w:color w:val="000000"/>
          <w:sz w:val="22"/>
        </w:rPr>
        <w:tab/>
      </w:r>
      <w:r w:rsidRPr="00DE0DEC">
        <w:rPr>
          <w:rFonts w:eastAsia="Calibri" w:cs="Arial"/>
          <w:color w:val="000000"/>
          <w:sz w:val="22"/>
        </w:rPr>
        <w:tab/>
        <w:t xml:space="preserve">: </w:t>
      </w:r>
      <w:r w:rsidRPr="00DE0DEC">
        <w:rPr>
          <w:rFonts w:eastAsia="MS Mincho" w:cs="Arial"/>
          <w:sz w:val="22"/>
        </w:rPr>
        <w:t>Gender-Based Violence</w:t>
      </w:r>
    </w:p>
    <w:p w14:paraId="4B7EB529" w14:textId="77777777" w:rsidR="001C2F95" w:rsidRPr="00DE0DEC" w:rsidRDefault="001C2F95" w:rsidP="001C2F95">
      <w:pPr>
        <w:rPr>
          <w:rFonts w:eastAsia="Calibri" w:cs="Arial"/>
          <w:color w:val="000000"/>
          <w:sz w:val="22"/>
        </w:rPr>
      </w:pPr>
      <w:r w:rsidRPr="00DE0DEC">
        <w:rPr>
          <w:rFonts w:eastAsia="Calibri" w:cs="Arial"/>
          <w:color w:val="000000"/>
          <w:sz w:val="22"/>
        </w:rPr>
        <w:t>GIN</w:t>
      </w:r>
      <w:r w:rsidRPr="00DE0DEC">
        <w:rPr>
          <w:rFonts w:eastAsia="Calibri" w:cs="Arial"/>
          <w:color w:val="000000"/>
          <w:sz w:val="22"/>
        </w:rPr>
        <w:tab/>
      </w:r>
      <w:r w:rsidRPr="00DE0DEC">
        <w:rPr>
          <w:rFonts w:eastAsia="Calibri" w:cs="Arial"/>
          <w:color w:val="000000"/>
          <w:sz w:val="22"/>
        </w:rPr>
        <w:tab/>
        <w:t>: Gestion Intégrée des Nuisibles</w:t>
      </w:r>
    </w:p>
    <w:p w14:paraId="56F8B910" w14:textId="77777777" w:rsidR="001C2F95" w:rsidRPr="00DE0DEC" w:rsidRDefault="001C2F95" w:rsidP="001C2F95">
      <w:pPr>
        <w:rPr>
          <w:rFonts w:eastAsia="Calibri" w:cs="Arial"/>
          <w:color w:val="000000"/>
          <w:sz w:val="22"/>
        </w:rPr>
      </w:pPr>
      <w:r w:rsidRPr="00DE0DEC">
        <w:rPr>
          <w:rFonts w:eastAsia="Calibri" w:cs="Arial"/>
          <w:color w:val="000000"/>
          <w:sz w:val="22"/>
        </w:rPr>
        <w:t>GIV</w:t>
      </w:r>
      <w:r w:rsidRPr="00DE0DEC">
        <w:rPr>
          <w:rFonts w:eastAsia="Calibri" w:cs="Arial"/>
          <w:color w:val="000000"/>
          <w:sz w:val="22"/>
        </w:rPr>
        <w:tab/>
      </w:r>
      <w:r w:rsidRPr="00DE0DEC">
        <w:rPr>
          <w:rFonts w:eastAsia="Calibri" w:cs="Arial"/>
          <w:color w:val="000000"/>
          <w:sz w:val="22"/>
        </w:rPr>
        <w:tab/>
        <w:t>: Gestion Intégrée des Vecteurs</w:t>
      </w:r>
    </w:p>
    <w:p w14:paraId="1EE08C7B" w14:textId="77777777" w:rsidR="001C2F95" w:rsidRPr="00DE0DEC" w:rsidRDefault="001C2F95" w:rsidP="001C2F95">
      <w:pPr>
        <w:rPr>
          <w:rFonts w:eastAsia="Calibri" w:cs="Arial"/>
          <w:color w:val="000000"/>
          <w:sz w:val="22"/>
        </w:rPr>
      </w:pPr>
      <w:r w:rsidRPr="00DE0DEC">
        <w:rPr>
          <w:rFonts w:eastAsia="Calibri" w:cs="Arial"/>
          <w:color w:val="000000"/>
          <w:sz w:val="22"/>
        </w:rPr>
        <w:t>GPS</w:t>
      </w:r>
      <w:r w:rsidRPr="00DE0DEC">
        <w:rPr>
          <w:rFonts w:eastAsia="Calibri" w:cs="Arial"/>
          <w:color w:val="000000"/>
          <w:sz w:val="22"/>
        </w:rPr>
        <w:tab/>
      </w:r>
      <w:r w:rsidRPr="00DE0DEC">
        <w:rPr>
          <w:rFonts w:eastAsia="Calibri" w:cs="Arial"/>
          <w:color w:val="000000"/>
          <w:sz w:val="22"/>
        </w:rPr>
        <w:tab/>
        <w:t>: Global Positioning System</w:t>
      </w:r>
    </w:p>
    <w:p w14:paraId="277A1337" w14:textId="77777777" w:rsidR="001C2F95" w:rsidRPr="00DE0DEC" w:rsidRDefault="001C2F95" w:rsidP="001C2F95">
      <w:pPr>
        <w:rPr>
          <w:rFonts w:eastAsia="Calibri" w:cs="Arial"/>
          <w:color w:val="000000"/>
          <w:sz w:val="22"/>
        </w:rPr>
      </w:pPr>
      <w:r w:rsidRPr="00DE0DEC">
        <w:rPr>
          <w:rFonts w:eastAsia="Calibri" w:cs="Arial"/>
          <w:color w:val="000000"/>
          <w:sz w:val="22"/>
        </w:rPr>
        <w:t>HGR</w:t>
      </w:r>
      <w:r w:rsidRPr="00DE0DEC">
        <w:rPr>
          <w:rFonts w:eastAsia="Calibri" w:cs="Arial"/>
          <w:color w:val="000000"/>
          <w:sz w:val="22"/>
        </w:rPr>
        <w:tab/>
      </w:r>
      <w:r w:rsidRPr="00DE0DEC">
        <w:rPr>
          <w:rFonts w:eastAsia="Calibri" w:cs="Arial"/>
          <w:color w:val="000000"/>
          <w:sz w:val="22"/>
        </w:rPr>
        <w:tab/>
        <w:t>: Hôpital Général de Référence</w:t>
      </w:r>
    </w:p>
    <w:p w14:paraId="113FF83B" w14:textId="77777777" w:rsidR="001C2F95" w:rsidRPr="00DE0DEC" w:rsidRDefault="001C2F95" w:rsidP="001C2F95">
      <w:pPr>
        <w:rPr>
          <w:rFonts w:eastAsia="Calibri" w:cs="Arial"/>
          <w:color w:val="000000"/>
          <w:sz w:val="22"/>
        </w:rPr>
      </w:pPr>
      <w:r w:rsidRPr="00DE0DEC">
        <w:rPr>
          <w:rFonts w:eastAsia="Calibri" w:cs="Arial"/>
          <w:color w:val="000000"/>
          <w:sz w:val="22"/>
        </w:rPr>
        <w:t>HIMO</w:t>
      </w:r>
      <w:r w:rsidRPr="00DE0DEC">
        <w:rPr>
          <w:rFonts w:eastAsia="Calibri" w:cs="Arial"/>
          <w:color w:val="000000"/>
          <w:sz w:val="22"/>
        </w:rPr>
        <w:tab/>
      </w:r>
      <w:r w:rsidRPr="00DE0DEC">
        <w:rPr>
          <w:rFonts w:eastAsia="Calibri" w:cs="Arial"/>
          <w:color w:val="000000"/>
          <w:sz w:val="22"/>
        </w:rPr>
        <w:tab/>
        <w:t xml:space="preserve">: </w:t>
      </w:r>
      <w:r w:rsidRPr="00730A4A">
        <w:rPr>
          <w:color w:val="000000"/>
        </w:rPr>
        <w:t>Haute Intensité de Main-d’œuvre</w:t>
      </w:r>
    </w:p>
    <w:p w14:paraId="5E229B57" w14:textId="77777777" w:rsidR="001C2F95" w:rsidRDefault="001C2F95" w:rsidP="001C2F95">
      <w:pPr>
        <w:rPr>
          <w:rFonts w:eastAsia="Calibri" w:cs="Arial"/>
          <w:color w:val="000000"/>
          <w:sz w:val="22"/>
        </w:rPr>
      </w:pPr>
      <w:r>
        <w:rPr>
          <w:rFonts w:eastAsia="Calibri" w:cs="Arial"/>
          <w:color w:val="000000"/>
          <w:sz w:val="22"/>
        </w:rPr>
        <w:t>HS</w:t>
      </w:r>
      <w:r>
        <w:rPr>
          <w:rFonts w:eastAsia="Calibri" w:cs="Arial"/>
          <w:color w:val="000000"/>
          <w:sz w:val="22"/>
        </w:rPr>
        <w:tab/>
      </w:r>
      <w:r>
        <w:rPr>
          <w:rFonts w:eastAsia="Calibri" w:cs="Arial"/>
          <w:color w:val="000000"/>
          <w:sz w:val="22"/>
        </w:rPr>
        <w:tab/>
        <w:t>: Harcèlement Sexuel</w:t>
      </w:r>
    </w:p>
    <w:p w14:paraId="70AE4360"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ICCN </w:t>
      </w:r>
      <w:r w:rsidRPr="00DE0DEC">
        <w:rPr>
          <w:rFonts w:eastAsia="Calibri" w:cs="Arial"/>
          <w:color w:val="000000"/>
          <w:sz w:val="22"/>
        </w:rPr>
        <w:tab/>
      </w:r>
      <w:r w:rsidRPr="00DE0DEC">
        <w:rPr>
          <w:rFonts w:eastAsia="Calibri" w:cs="Arial"/>
          <w:color w:val="000000"/>
          <w:sz w:val="22"/>
        </w:rPr>
        <w:tab/>
        <w:t>: Institut Congolais pour la Conservation de la Nature</w:t>
      </w:r>
    </w:p>
    <w:p w14:paraId="685BB3DB"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IDA </w:t>
      </w:r>
      <w:r w:rsidRPr="00DE0DEC">
        <w:rPr>
          <w:rFonts w:eastAsia="Calibri" w:cs="Arial"/>
          <w:color w:val="000000"/>
          <w:sz w:val="22"/>
        </w:rPr>
        <w:tab/>
      </w:r>
      <w:r w:rsidRPr="00DE0DEC">
        <w:rPr>
          <w:rFonts w:eastAsia="Calibri" w:cs="Arial"/>
          <w:color w:val="000000"/>
          <w:sz w:val="22"/>
        </w:rPr>
        <w:tab/>
        <w:t>: Association Internationale pour le Développement</w:t>
      </w:r>
    </w:p>
    <w:p w14:paraId="210FCDAC" w14:textId="77777777" w:rsidR="001C2F95" w:rsidRDefault="001C2F95" w:rsidP="001C2F95">
      <w:pPr>
        <w:rPr>
          <w:rFonts w:eastAsia="Calibri" w:cs="Arial"/>
          <w:color w:val="000000"/>
          <w:sz w:val="22"/>
        </w:rPr>
      </w:pPr>
      <w:r>
        <w:rPr>
          <w:rFonts w:eastAsia="Calibri" w:cs="Arial"/>
          <w:color w:val="000000"/>
          <w:sz w:val="22"/>
        </w:rPr>
        <w:t>IF</w:t>
      </w:r>
      <w:r>
        <w:rPr>
          <w:rFonts w:eastAsia="Calibri" w:cs="Arial"/>
          <w:color w:val="000000"/>
          <w:sz w:val="22"/>
        </w:rPr>
        <w:tab/>
      </w:r>
      <w:r>
        <w:rPr>
          <w:rFonts w:eastAsia="Calibri" w:cs="Arial"/>
          <w:color w:val="000000"/>
          <w:sz w:val="22"/>
        </w:rPr>
        <w:tab/>
        <w:t>: Intermédiaire Financier</w:t>
      </w:r>
    </w:p>
    <w:p w14:paraId="765215A6" w14:textId="77777777" w:rsidR="001C2F95" w:rsidRDefault="001C2F95" w:rsidP="001C2F95">
      <w:pPr>
        <w:rPr>
          <w:rFonts w:eastAsia="Calibri" w:cs="Arial"/>
          <w:color w:val="000000"/>
          <w:sz w:val="22"/>
        </w:rPr>
      </w:pPr>
      <w:r>
        <w:rPr>
          <w:rFonts w:eastAsia="Calibri" w:cs="Arial"/>
          <w:color w:val="000000"/>
          <w:sz w:val="22"/>
        </w:rPr>
        <w:t>IFP</w:t>
      </w:r>
      <w:r>
        <w:rPr>
          <w:rFonts w:eastAsia="Calibri" w:cs="Arial"/>
          <w:color w:val="000000"/>
          <w:sz w:val="22"/>
        </w:rPr>
        <w:tab/>
      </w:r>
      <w:r>
        <w:rPr>
          <w:rFonts w:eastAsia="Calibri" w:cs="Arial"/>
          <w:color w:val="000000"/>
          <w:sz w:val="22"/>
        </w:rPr>
        <w:tab/>
        <w:t>; I</w:t>
      </w:r>
      <w:r w:rsidRPr="00673B89">
        <w:rPr>
          <w:rFonts w:eastAsia="Calibri" w:cs="Arial"/>
          <w:color w:val="000000"/>
          <w:sz w:val="22"/>
        </w:rPr>
        <w:t>nstitution financière participante</w:t>
      </w:r>
    </w:p>
    <w:p w14:paraId="46157D29" w14:textId="77777777" w:rsidR="001C2F95" w:rsidRPr="00DE0DEC" w:rsidRDefault="001C2F95" w:rsidP="001C2F95">
      <w:pPr>
        <w:rPr>
          <w:rFonts w:eastAsia="Calibri" w:cs="Arial"/>
          <w:color w:val="000000"/>
          <w:sz w:val="22"/>
        </w:rPr>
      </w:pPr>
      <w:r w:rsidRPr="00DE0DEC">
        <w:rPr>
          <w:rFonts w:eastAsia="Calibri" w:cs="Arial"/>
          <w:color w:val="000000"/>
          <w:sz w:val="22"/>
        </w:rPr>
        <w:t>INERA </w:t>
      </w:r>
      <w:r w:rsidRPr="00DE0DEC">
        <w:rPr>
          <w:rFonts w:eastAsia="Calibri" w:cs="Arial"/>
          <w:color w:val="000000"/>
          <w:sz w:val="22"/>
        </w:rPr>
        <w:tab/>
        <w:t>: Institut National des Études et des Recherches Agronomiques</w:t>
      </w:r>
    </w:p>
    <w:p w14:paraId="416F7179" w14:textId="77777777" w:rsidR="001C2F95" w:rsidRPr="00DE0DEC" w:rsidRDefault="001C2F95" w:rsidP="001C2F95">
      <w:pPr>
        <w:rPr>
          <w:rFonts w:eastAsia="Calibri" w:cs="Arial"/>
          <w:color w:val="000000"/>
          <w:sz w:val="22"/>
        </w:rPr>
      </w:pPr>
      <w:r w:rsidRPr="00DE0DEC">
        <w:rPr>
          <w:rFonts w:eastAsia="Calibri" w:cs="Arial"/>
          <w:color w:val="000000"/>
          <w:sz w:val="22"/>
        </w:rPr>
        <w:t>INS</w:t>
      </w:r>
      <w:r w:rsidRPr="00DE0DEC">
        <w:rPr>
          <w:rFonts w:eastAsia="Calibri" w:cs="Arial"/>
          <w:color w:val="000000"/>
          <w:sz w:val="22"/>
        </w:rPr>
        <w:tab/>
      </w:r>
      <w:r w:rsidRPr="00DE0DEC">
        <w:rPr>
          <w:rFonts w:eastAsia="Calibri" w:cs="Arial"/>
          <w:color w:val="000000"/>
          <w:sz w:val="22"/>
        </w:rPr>
        <w:tab/>
        <w:t>: Institut National de Statistiques</w:t>
      </w:r>
    </w:p>
    <w:p w14:paraId="6B611827" w14:textId="77777777" w:rsidR="001C2F95" w:rsidRPr="00DE0DEC" w:rsidRDefault="001C2F95" w:rsidP="001C2F95">
      <w:pPr>
        <w:rPr>
          <w:rFonts w:eastAsia="Calibri" w:cs="Arial"/>
          <w:color w:val="000000"/>
          <w:sz w:val="22"/>
        </w:rPr>
      </w:pPr>
      <w:r w:rsidRPr="00DE0DEC">
        <w:rPr>
          <w:rFonts w:eastAsia="Calibri" w:cs="Arial"/>
          <w:color w:val="000000"/>
          <w:sz w:val="22"/>
        </w:rPr>
        <w:t>IST</w:t>
      </w:r>
      <w:r w:rsidRPr="00DE0DEC">
        <w:rPr>
          <w:rFonts w:eastAsia="Calibri" w:cs="Arial"/>
          <w:color w:val="000000"/>
          <w:sz w:val="22"/>
        </w:rPr>
        <w:tab/>
      </w:r>
      <w:r w:rsidRPr="00DE0DEC">
        <w:rPr>
          <w:rFonts w:eastAsia="Calibri" w:cs="Arial"/>
          <w:color w:val="000000"/>
          <w:sz w:val="22"/>
        </w:rPr>
        <w:tab/>
        <w:t>: Infections Sexuellement Transmissibles</w:t>
      </w:r>
    </w:p>
    <w:p w14:paraId="06E89146" w14:textId="77777777" w:rsidR="001C2F95" w:rsidRPr="00DE0DEC" w:rsidRDefault="001C2F95" w:rsidP="001C2F95">
      <w:pPr>
        <w:rPr>
          <w:rFonts w:eastAsia="Calibri" w:cs="Arial"/>
          <w:color w:val="000000"/>
          <w:sz w:val="22"/>
        </w:rPr>
      </w:pPr>
      <w:r w:rsidRPr="00DE0DEC">
        <w:rPr>
          <w:rFonts w:eastAsia="Calibri" w:cs="Arial"/>
          <w:color w:val="000000"/>
          <w:sz w:val="22"/>
        </w:rPr>
        <w:t>MEDD</w:t>
      </w:r>
      <w:r w:rsidRPr="00DE0DEC">
        <w:rPr>
          <w:rFonts w:eastAsia="Calibri" w:cs="Arial"/>
          <w:color w:val="000000"/>
          <w:sz w:val="22"/>
        </w:rPr>
        <w:tab/>
      </w:r>
      <w:r w:rsidRPr="00DE0DEC">
        <w:rPr>
          <w:rFonts w:eastAsia="Calibri" w:cs="Arial"/>
          <w:color w:val="000000"/>
          <w:sz w:val="22"/>
        </w:rPr>
        <w:tab/>
        <w:t>: Ministère de l’Environnement et Développement Durable</w:t>
      </w:r>
    </w:p>
    <w:p w14:paraId="2319DCB5" w14:textId="77777777" w:rsidR="001C2F95" w:rsidRPr="00DE0DEC" w:rsidRDefault="001C2F95" w:rsidP="001C2F95">
      <w:pPr>
        <w:rPr>
          <w:rFonts w:eastAsia="Calibri" w:cs="Arial"/>
          <w:color w:val="000000"/>
          <w:sz w:val="22"/>
        </w:rPr>
      </w:pPr>
      <w:r w:rsidRPr="00DE0DEC">
        <w:rPr>
          <w:rFonts w:eastAsia="Calibri" w:cs="Arial"/>
          <w:color w:val="000000"/>
          <w:sz w:val="22"/>
        </w:rPr>
        <w:t>MGP </w:t>
      </w:r>
      <w:r w:rsidRPr="00DE0DEC">
        <w:rPr>
          <w:rFonts w:eastAsia="Calibri" w:cs="Arial"/>
          <w:color w:val="000000"/>
          <w:sz w:val="22"/>
        </w:rPr>
        <w:tab/>
      </w:r>
      <w:r w:rsidRPr="00DE0DEC">
        <w:rPr>
          <w:rFonts w:eastAsia="Calibri" w:cs="Arial"/>
          <w:color w:val="000000"/>
          <w:sz w:val="22"/>
        </w:rPr>
        <w:tab/>
        <w:t>: Mécanisme de Gestion des Plaintes</w:t>
      </w:r>
    </w:p>
    <w:p w14:paraId="3234E106" w14:textId="77777777" w:rsidR="001C2F95" w:rsidRPr="00DE0DEC" w:rsidRDefault="001C2F95" w:rsidP="001C2F95">
      <w:pPr>
        <w:rPr>
          <w:rFonts w:eastAsia="Calibri" w:cs="Arial"/>
          <w:color w:val="000000"/>
          <w:sz w:val="22"/>
        </w:rPr>
      </w:pPr>
      <w:r w:rsidRPr="00DE0DEC">
        <w:rPr>
          <w:rFonts w:eastAsia="Calibri" w:cs="Arial"/>
          <w:color w:val="000000"/>
          <w:sz w:val="22"/>
        </w:rPr>
        <w:t>MPME</w:t>
      </w:r>
      <w:r w:rsidRPr="00DE0DEC">
        <w:rPr>
          <w:rFonts w:eastAsia="Calibri" w:cs="Arial"/>
          <w:color w:val="000000"/>
          <w:sz w:val="22"/>
        </w:rPr>
        <w:tab/>
      </w:r>
      <w:r w:rsidRPr="00DE0DEC">
        <w:rPr>
          <w:rFonts w:eastAsia="Calibri" w:cs="Arial"/>
          <w:color w:val="000000"/>
          <w:sz w:val="22"/>
        </w:rPr>
        <w:tab/>
        <w:t>: Micro, Petites et Moyennes Entreprises</w:t>
      </w:r>
    </w:p>
    <w:p w14:paraId="31A971C8" w14:textId="77777777" w:rsidR="001C2F95" w:rsidRPr="00DE0DEC" w:rsidRDefault="001C2F95" w:rsidP="001C2F95">
      <w:pPr>
        <w:rPr>
          <w:rFonts w:eastAsia="Calibri" w:cs="Arial"/>
          <w:color w:val="000000"/>
          <w:sz w:val="22"/>
        </w:rPr>
      </w:pPr>
      <w:r w:rsidRPr="00DE0DEC">
        <w:rPr>
          <w:rFonts w:eastAsia="Calibri" w:cs="Arial"/>
          <w:color w:val="000000"/>
          <w:sz w:val="22"/>
        </w:rPr>
        <w:t>NES </w:t>
      </w:r>
      <w:r w:rsidRPr="00DE0DEC">
        <w:rPr>
          <w:rFonts w:eastAsia="Calibri" w:cs="Arial"/>
          <w:color w:val="000000"/>
          <w:sz w:val="22"/>
        </w:rPr>
        <w:tab/>
      </w:r>
      <w:r w:rsidRPr="00DE0DEC">
        <w:rPr>
          <w:rFonts w:eastAsia="Calibri" w:cs="Arial"/>
          <w:color w:val="000000"/>
          <w:sz w:val="22"/>
        </w:rPr>
        <w:tab/>
        <w:t>: Norme Environnementale et Sociale</w:t>
      </w:r>
    </w:p>
    <w:p w14:paraId="4C7ECDE3"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OCB </w:t>
      </w:r>
      <w:r w:rsidRPr="00DE0DEC">
        <w:rPr>
          <w:rFonts w:eastAsia="Calibri" w:cs="Arial"/>
          <w:color w:val="000000"/>
          <w:sz w:val="22"/>
        </w:rPr>
        <w:tab/>
      </w:r>
      <w:r w:rsidRPr="00DE0DEC">
        <w:rPr>
          <w:rFonts w:eastAsia="Calibri" w:cs="Arial"/>
          <w:color w:val="000000"/>
          <w:sz w:val="22"/>
        </w:rPr>
        <w:tab/>
        <w:t>: Organisations Communautaires de Base</w:t>
      </w:r>
    </w:p>
    <w:p w14:paraId="37AD5B33" w14:textId="77777777" w:rsidR="001C2F95" w:rsidRPr="00DE0DEC" w:rsidRDefault="001C2F95" w:rsidP="001C2F95">
      <w:pPr>
        <w:rPr>
          <w:rFonts w:eastAsia="Calibri" w:cs="Arial"/>
          <w:color w:val="000000"/>
          <w:sz w:val="22"/>
        </w:rPr>
      </w:pPr>
      <w:r w:rsidRPr="00DE0DEC">
        <w:rPr>
          <w:rFonts w:eastAsia="Calibri" w:cs="Arial"/>
          <w:color w:val="000000"/>
          <w:sz w:val="22"/>
        </w:rPr>
        <w:t>ODD</w:t>
      </w:r>
      <w:r w:rsidRPr="00DE0DEC">
        <w:rPr>
          <w:rFonts w:eastAsia="Calibri" w:cs="Arial"/>
          <w:color w:val="000000"/>
          <w:sz w:val="22"/>
        </w:rPr>
        <w:tab/>
      </w:r>
      <w:r w:rsidRPr="00DE0DEC">
        <w:rPr>
          <w:rFonts w:eastAsia="Calibri" w:cs="Arial"/>
          <w:color w:val="000000"/>
          <w:sz w:val="22"/>
        </w:rPr>
        <w:tab/>
        <w:t>: Objectifs de Développement Durable</w:t>
      </w:r>
    </w:p>
    <w:p w14:paraId="10909649" w14:textId="77777777" w:rsidR="001C2F95" w:rsidRPr="00DE0DEC" w:rsidRDefault="001C2F95" w:rsidP="001C2F95">
      <w:pPr>
        <w:rPr>
          <w:rFonts w:eastAsia="Calibri" w:cs="Arial"/>
          <w:color w:val="000000"/>
          <w:sz w:val="22"/>
        </w:rPr>
      </w:pPr>
      <w:r w:rsidRPr="00DE0DEC">
        <w:rPr>
          <w:rFonts w:eastAsia="Calibri" w:cs="Arial"/>
          <w:color w:val="000000"/>
          <w:sz w:val="22"/>
        </w:rPr>
        <w:t>OMC</w:t>
      </w:r>
      <w:r w:rsidRPr="00DE0DEC">
        <w:rPr>
          <w:rFonts w:eastAsia="Calibri" w:cs="Arial"/>
          <w:color w:val="000000"/>
          <w:sz w:val="22"/>
        </w:rPr>
        <w:tab/>
      </w:r>
      <w:r w:rsidRPr="00DE0DEC">
        <w:rPr>
          <w:rFonts w:eastAsia="Calibri" w:cs="Arial"/>
          <w:color w:val="000000"/>
          <w:sz w:val="22"/>
        </w:rPr>
        <w:tab/>
        <w:t>: Organisation Mondiale de Commerce</w:t>
      </w:r>
    </w:p>
    <w:p w14:paraId="15E2316F" w14:textId="77777777" w:rsidR="001C2F95" w:rsidRPr="00DE0DEC" w:rsidRDefault="001C2F95" w:rsidP="001C2F95">
      <w:pPr>
        <w:rPr>
          <w:rFonts w:eastAsia="Calibri" w:cs="Arial"/>
          <w:color w:val="000000"/>
          <w:sz w:val="22"/>
        </w:rPr>
      </w:pPr>
      <w:r w:rsidRPr="00DE0DEC">
        <w:rPr>
          <w:rFonts w:eastAsia="Calibri" w:cs="Arial"/>
          <w:color w:val="000000"/>
          <w:sz w:val="22"/>
        </w:rPr>
        <w:t>OMS</w:t>
      </w:r>
      <w:r w:rsidRPr="00DE0DEC">
        <w:rPr>
          <w:rFonts w:eastAsia="Calibri" w:cs="Arial"/>
          <w:color w:val="000000"/>
          <w:sz w:val="22"/>
        </w:rPr>
        <w:tab/>
      </w:r>
      <w:r w:rsidRPr="00DE0DEC">
        <w:rPr>
          <w:rFonts w:eastAsia="Calibri" w:cs="Arial"/>
          <w:color w:val="000000"/>
          <w:sz w:val="22"/>
        </w:rPr>
        <w:tab/>
        <w:t>: Organisation Mondiale de la Santé</w:t>
      </w:r>
    </w:p>
    <w:p w14:paraId="218F2AAB" w14:textId="77777777" w:rsidR="001C2F95" w:rsidRPr="00DE0DEC" w:rsidRDefault="001C2F95" w:rsidP="001C2F95">
      <w:pPr>
        <w:rPr>
          <w:rFonts w:eastAsia="Calibri" w:cs="Arial"/>
          <w:color w:val="000000"/>
          <w:sz w:val="22"/>
        </w:rPr>
      </w:pPr>
      <w:r w:rsidRPr="00DE0DEC">
        <w:rPr>
          <w:rFonts w:eastAsia="Calibri" w:cs="Arial"/>
          <w:color w:val="000000"/>
          <w:sz w:val="22"/>
        </w:rPr>
        <w:t>ONG</w:t>
      </w:r>
      <w:r w:rsidRPr="00DE0DEC">
        <w:rPr>
          <w:rFonts w:eastAsia="Calibri" w:cs="Arial"/>
          <w:color w:val="000000"/>
          <w:sz w:val="22"/>
        </w:rPr>
        <w:tab/>
      </w:r>
      <w:r w:rsidRPr="00DE0DEC">
        <w:rPr>
          <w:rFonts w:eastAsia="Calibri" w:cs="Arial"/>
          <w:color w:val="000000"/>
          <w:sz w:val="22"/>
        </w:rPr>
        <w:tab/>
        <w:t>: Organisation Non Gouvernementale</w:t>
      </w:r>
    </w:p>
    <w:p w14:paraId="0C64B692" w14:textId="77777777" w:rsidR="001C2F95" w:rsidRPr="00DE0DEC" w:rsidRDefault="001C2F95" w:rsidP="001C2F95">
      <w:pPr>
        <w:rPr>
          <w:rFonts w:eastAsia="Calibri" w:cs="Arial"/>
          <w:color w:val="000000"/>
          <w:sz w:val="22"/>
        </w:rPr>
      </w:pPr>
      <w:r w:rsidRPr="00DE0DEC">
        <w:rPr>
          <w:rFonts w:eastAsia="Calibri" w:cs="Arial"/>
          <w:color w:val="000000"/>
          <w:sz w:val="22"/>
        </w:rPr>
        <w:t>ONU</w:t>
      </w:r>
      <w:r w:rsidRPr="00DE0DEC">
        <w:rPr>
          <w:rFonts w:eastAsia="Calibri" w:cs="Arial"/>
          <w:color w:val="000000"/>
          <w:sz w:val="22"/>
        </w:rPr>
        <w:tab/>
      </w:r>
      <w:r w:rsidRPr="00DE0DEC">
        <w:rPr>
          <w:rFonts w:eastAsia="Calibri" w:cs="Arial"/>
          <w:color w:val="000000"/>
          <w:sz w:val="22"/>
        </w:rPr>
        <w:tab/>
        <w:t>: Organisation des Nations Unies</w:t>
      </w:r>
    </w:p>
    <w:p w14:paraId="0EBCA75B" w14:textId="77777777" w:rsidR="001C2F95" w:rsidRPr="00DE0DEC" w:rsidRDefault="001C2F95" w:rsidP="001C2F95">
      <w:pPr>
        <w:rPr>
          <w:rFonts w:eastAsia="Calibri" w:cs="Arial"/>
          <w:color w:val="000000"/>
          <w:sz w:val="22"/>
        </w:rPr>
      </w:pPr>
      <w:r w:rsidRPr="00DE0DEC">
        <w:rPr>
          <w:rFonts w:eastAsia="Calibri" w:cs="Arial"/>
          <w:color w:val="000000"/>
          <w:sz w:val="22"/>
        </w:rPr>
        <w:t>OPA</w:t>
      </w:r>
      <w:r w:rsidRPr="00DE0DEC">
        <w:rPr>
          <w:rFonts w:eastAsia="Calibri" w:cs="Arial"/>
          <w:color w:val="000000"/>
          <w:sz w:val="22"/>
        </w:rPr>
        <w:tab/>
      </w:r>
      <w:r w:rsidRPr="00DE0DEC">
        <w:rPr>
          <w:rFonts w:eastAsia="Calibri" w:cs="Arial"/>
          <w:color w:val="000000"/>
          <w:sz w:val="22"/>
        </w:rPr>
        <w:tab/>
        <w:t>: Organisation des Producteurs Agricoles</w:t>
      </w:r>
    </w:p>
    <w:p w14:paraId="766CF6E4" w14:textId="77777777" w:rsidR="001C2F95" w:rsidRPr="00DE0DEC" w:rsidRDefault="001C2F95" w:rsidP="001C2F95">
      <w:pPr>
        <w:rPr>
          <w:rFonts w:eastAsia="Calibri" w:cs="Arial"/>
          <w:color w:val="000000"/>
          <w:sz w:val="22"/>
        </w:rPr>
      </w:pPr>
      <w:r w:rsidRPr="00DE0DEC">
        <w:rPr>
          <w:rFonts w:eastAsia="Calibri" w:cs="Arial"/>
          <w:color w:val="000000"/>
          <w:sz w:val="22"/>
        </w:rPr>
        <w:t>PA</w:t>
      </w:r>
      <w:r w:rsidRPr="00DE0DEC">
        <w:rPr>
          <w:rFonts w:eastAsia="Calibri" w:cs="Arial"/>
          <w:color w:val="000000"/>
          <w:sz w:val="22"/>
        </w:rPr>
        <w:tab/>
      </w:r>
      <w:r w:rsidRPr="00DE0DEC">
        <w:rPr>
          <w:rFonts w:eastAsia="Calibri" w:cs="Arial"/>
          <w:color w:val="000000"/>
          <w:sz w:val="22"/>
        </w:rPr>
        <w:tab/>
        <w:t>: Peuple Autochtone</w:t>
      </w:r>
    </w:p>
    <w:p w14:paraId="4D4888CE" w14:textId="77777777" w:rsidR="001C2F95" w:rsidRPr="00DE0DEC" w:rsidRDefault="001C2F95" w:rsidP="001C2F95">
      <w:pPr>
        <w:rPr>
          <w:rFonts w:eastAsia="Calibri" w:cs="Arial"/>
          <w:color w:val="000000"/>
          <w:sz w:val="22"/>
        </w:rPr>
      </w:pPr>
      <w:r w:rsidRPr="00DE0DEC">
        <w:rPr>
          <w:rFonts w:eastAsia="Calibri" w:cs="Arial"/>
          <w:color w:val="000000"/>
          <w:sz w:val="22"/>
        </w:rPr>
        <w:t>PAM </w:t>
      </w:r>
      <w:r w:rsidRPr="00DE0DEC">
        <w:rPr>
          <w:rFonts w:eastAsia="Calibri" w:cs="Arial"/>
          <w:color w:val="000000"/>
          <w:sz w:val="22"/>
        </w:rPr>
        <w:tab/>
      </w:r>
      <w:r w:rsidRPr="00DE0DEC">
        <w:rPr>
          <w:rFonts w:eastAsia="Calibri" w:cs="Arial"/>
          <w:color w:val="000000"/>
          <w:sz w:val="22"/>
        </w:rPr>
        <w:tab/>
        <w:t xml:space="preserve">: Programme Alimentaire Mondial </w:t>
      </w:r>
    </w:p>
    <w:p w14:paraId="72B529F7" w14:textId="77777777" w:rsidR="001C2F95" w:rsidRPr="00DE0DEC" w:rsidRDefault="001C2F95" w:rsidP="001C2F95">
      <w:pPr>
        <w:rPr>
          <w:rFonts w:eastAsia="Calibri" w:cs="Arial"/>
          <w:color w:val="000000"/>
          <w:sz w:val="22"/>
        </w:rPr>
      </w:pPr>
      <w:r w:rsidRPr="00DE0DEC">
        <w:rPr>
          <w:rFonts w:eastAsia="Calibri" w:cs="Arial"/>
          <w:color w:val="000000"/>
          <w:sz w:val="22"/>
        </w:rPr>
        <w:t>PANA</w:t>
      </w:r>
      <w:r w:rsidRPr="00DE0DEC">
        <w:rPr>
          <w:rFonts w:eastAsia="Calibri" w:cs="Arial"/>
          <w:color w:val="000000"/>
          <w:sz w:val="22"/>
        </w:rPr>
        <w:tab/>
      </w:r>
      <w:r w:rsidRPr="00DE0DEC">
        <w:rPr>
          <w:rFonts w:eastAsia="Calibri" w:cs="Arial"/>
          <w:color w:val="000000"/>
          <w:sz w:val="22"/>
        </w:rPr>
        <w:tab/>
        <w:t>: Plan d’Actions National d’Adaptation aux changements climatiques</w:t>
      </w:r>
    </w:p>
    <w:p w14:paraId="2B17CE7C" w14:textId="77777777" w:rsidR="001C2F95" w:rsidRPr="00DE0DEC" w:rsidRDefault="001C2F95" w:rsidP="001C2F95">
      <w:pPr>
        <w:rPr>
          <w:rFonts w:cs="Arial"/>
          <w:color w:val="000000"/>
          <w:sz w:val="22"/>
          <w:lang w:eastAsia="en-US"/>
        </w:rPr>
      </w:pPr>
      <w:r w:rsidRPr="00DE0DEC">
        <w:rPr>
          <w:rFonts w:cs="Arial"/>
          <w:color w:val="000000"/>
          <w:sz w:val="22"/>
          <w:lang w:eastAsia="en-US"/>
        </w:rPr>
        <w:t>PNAE</w:t>
      </w:r>
      <w:r w:rsidRPr="00DE0DEC">
        <w:rPr>
          <w:rFonts w:cs="Arial"/>
          <w:color w:val="000000"/>
          <w:sz w:val="22"/>
          <w:lang w:eastAsia="en-US"/>
        </w:rPr>
        <w:tab/>
      </w:r>
      <w:r w:rsidRPr="00DE0DEC">
        <w:rPr>
          <w:rFonts w:cs="Arial"/>
          <w:color w:val="000000"/>
          <w:sz w:val="22"/>
          <w:lang w:eastAsia="en-US"/>
        </w:rPr>
        <w:tab/>
        <w:t>: Plan National d’Actions Environnementales</w:t>
      </w:r>
    </w:p>
    <w:p w14:paraId="4B59384C" w14:textId="77777777" w:rsidR="001C2F95" w:rsidRPr="00DE0DEC" w:rsidRDefault="001C2F95" w:rsidP="001C2F95">
      <w:pPr>
        <w:rPr>
          <w:rFonts w:eastAsia="Calibri" w:cs="Arial"/>
          <w:color w:val="000000"/>
          <w:sz w:val="22"/>
        </w:rPr>
      </w:pPr>
      <w:r w:rsidRPr="00DE0DEC">
        <w:rPr>
          <w:rFonts w:eastAsia="Calibri" w:cs="Arial"/>
          <w:color w:val="000000"/>
          <w:sz w:val="22"/>
        </w:rPr>
        <w:t>PNIA</w:t>
      </w:r>
      <w:r w:rsidRPr="00DE0DEC">
        <w:rPr>
          <w:rFonts w:eastAsia="Calibri" w:cs="Arial"/>
          <w:color w:val="000000"/>
          <w:sz w:val="22"/>
        </w:rPr>
        <w:tab/>
      </w:r>
      <w:r w:rsidRPr="00DE0DEC">
        <w:rPr>
          <w:rFonts w:eastAsia="Calibri" w:cs="Arial"/>
          <w:color w:val="000000"/>
          <w:sz w:val="22"/>
        </w:rPr>
        <w:tab/>
        <w:t xml:space="preserve">: </w:t>
      </w:r>
      <w:r w:rsidRPr="00DE0DEC">
        <w:rPr>
          <w:rFonts w:cs="Arial"/>
          <w:color w:val="000000"/>
          <w:sz w:val="22"/>
          <w:lang w:eastAsia="en-US"/>
        </w:rPr>
        <w:t>Plan National d’Investissement Agricole</w:t>
      </w:r>
    </w:p>
    <w:p w14:paraId="38D19FDD" w14:textId="77777777" w:rsidR="001C2F95" w:rsidRPr="00DE0DEC" w:rsidRDefault="001C2F95" w:rsidP="001C2F95">
      <w:pPr>
        <w:rPr>
          <w:rFonts w:eastAsia="Calibri" w:cs="Arial"/>
          <w:color w:val="000000"/>
          <w:sz w:val="22"/>
        </w:rPr>
      </w:pPr>
      <w:r w:rsidRPr="00DE0DEC">
        <w:rPr>
          <w:rFonts w:eastAsia="Calibri" w:cs="Arial"/>
          <w:color w:val="000000"/>
          <w:sz w:val="22"/>
        </w:rPr>
        <w:t>PNSA</w:t>
      </w:r>
      <w:r w:rsidRPr="00DE0DEC">
        <w:rPr>
          <w:rFonts w:eastAsia="Calibri" w:cs="Arial"/>
          <w:color w:val="000000"/>
          <w:sz w:val="22"/>
        </w:rPr>
        <w:tab/>
      </w:r>
      <w:r w:rsidRPr="00DE0DEC">
        <w:rPr>
          <w:rFonts w:eastAsia="Calibri" w:cs="Arial"/>
          <w:color w:val="000000"/>
          <w:sz w:val="22"/>
        </w:rPr>
        <w:tab/>
        <w:t xml:space="preserve">: </w:t>
      </w:r>
      <w:r w:rsidRPr="00DE0DEC">
        <w:rPr>
          <w:rFonts w:cs="Arial"/>
          <w:color w:val="000000"/>
          <w:sz w:val="22"/>
          <w:lang w:eastAsia="en-US"/>
        </w:rPr>
        <w:t>Programme National de Sécurité Alimentaire</w:t>
      </w:r>
    </w:p>
    <w:p w14:paraId="5CEEBC79"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PAR </w:t>
      </w:r>
      <w:r w:rsidRPr="00DE0DEC">
        <w:rPr>
          <w:rFonts w:eastAsia="Calibri" w:cs="Arial"/>
          <w:color w:val="000000"/>
          <w:sz w:val="22"/>
        </w:rPr>
        <w:tab/>
      </w:r>
      <w:r w:rsidRPr="00DE0DEC">
        <w:rPr>
          <w:rFonts w:eastAsia="Calibri" w:cs="Arial"/>
          <w:color w:val="000000"/>
          <w:sz w:val="22"/>
        </w:rPr>
        <w:tab/>
        <w:t>: Plan d’Actions de Réinstallation</w:t>
      </w:r>
    </w:p>
    <w:p w14:paraId="4DC149F8"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PARRSA </w:t>
      </w:r>
      <w:r w:rsidRPr="00DE0DEC">
        <w:rPr>
          <w:rFonts w:eastAsia="Calibri" w:cs="Arial"/>
          <w:color w:val="000000"/>
          <w:sz w:val="22"/>
        </w:rPr>
        <w:tab/>
        <w:t>: Projet d'Appui à la Réhabilitation et la Relance du Secteur Agricole</w:t>
      </w:r>
    </w:p>
    <w:p w14:paraId="0B3F8B09" w14:textId="77777777" w:rsidR="001C2F95" w:rsidRPr="00DE0DEC" w:rsidRDefault="001C2F95" w:rsidP="001C2F95">
      <w:pPr>
        <w:rPr>
          <w:rFonts w:eastAsia="Calibri" w:cs="Arial"/>
          <w:color w:val="000000"/>
          <w:sz w:val="22"/>
        </w:rPr>
      </w:pPr>
      <w:r w:rsidRPr="00DE0DEC">
        <w:rPr>
          <w:rFonts w:eastAsia="Calibri" w:cs="Arial"/>
          <w:color w:val="000000"/>
          <w:sz w:val="22"/>
        </w:rPr>
        <w:t>PARS</w:t>
      </w:r>
      <w:r w:rsidRPr="00DE0DEC">
        <w:rPr>
          <w:rFonts w:eastAsia="Calibri" w:cs="Arial"/>
          <w:color w:val="000000"/>
          <w:sz w:val="22"/>
        </w:rPr>
        <w:tab/>
      </w:r>
      <w:r w:rsidRPr="00DE0DEC">
        <w:rPr>
          <w:rFonts w:eastAsia="Calibri" w:cs="Arial"/>
          <w:color w:val="000000"/>
          <w:sz w:val="22"/>
        </w:rPr>
        <w:tab/>
        <w:t xml:space="preserve">: Plans d’Action de Réinstallation Sommaire </w:t>
      </w:r>
    </w:p>
    <w:p w14:paraId="1FC586E1" w14:textId="77777777" w:rsidR="001C2F95" w:rsidRPr="00DE0DEC" w:rsidRDefault="001C2F95" w:rsidP="001C2F95">
      <w:pPr>
        <w:rPr>
          <w:rFonts w:eastAsia="Calibri" w:cs="Arial"/>
          <w:color w:val="000000"/>
          <w:sz w:val="22"/>
        </w:rPr>
      </w:pPr>
      <w:r w:rsidRPr="00DE0DEC">
        <w:rPr>
          <w:rFonts w:eastAsia="Calibri" w:cs="Arial"/>
          <w:color w:val="000000"/>
          <w:sz w:val="22"/>
        </w:rPr>
        <w:t>PAU/EAP</w:t>
      </w:r>
      <w:r w:rsidRPr="00DE0DEC">
        <w:rPr>
          <w:rFonts w:eastAsia="Calibri" w:cs="Arial"/>
          <w:color w:val="000000"/>
          <w:sz w:val="22"/>
        </w:rPr>
        <w:tab/>
        <w:t>: Plan d’Action d’Urgence</w:t>
      </w:r>
    </w:p>
    <w:p w14:paraId="77D41876" w14:textId="77777777" w:rsidR="001C2F95" w:rsidRDefault="001C2F95" w:rsidP="001C2F95">
      <w:pPr>
        <w:rPr>
          <w:rFonts w:eastAsia="Calibri" w:cs="Arial"/>
          <w:color w:val="000000"/>
          <w:sz w:val="22"/>
        </w:rPr>
      </w:pPr>
      <w:r w:rsidRPr="00DE0DEC">
        <w:rPr>
          <w:rFonts w:eastAsia="Calibri" w:cs="Arial"/>
          <w:color w:val="000000"/>
          <w:sz w:val="22"/>
        </w:rPr>
        <w:t>PGES</w:t>
      </w:r>
      <w:r w:rsidR="00CE52C3">
        <w:rPr>
          <w:rFonts w:eastAsia="Calibri" w:cs="Arial"/>
          <w:color w:val="000000"/>
          <w:sz w:val="22"/>
        </w:rPr>
        <w:t xml:space="preserve"> </w:t>
      </w:r>
      <w:r w:rsidRPr="00DE0DEC">
        <w:rPr>
          <w:rFonts w:eastAsia="Calibri" w:cs="Arial"/>
          <w:color w:val="000000"/>
          <w:sz w:val="22"/>
        </w:rPr>
        <w:t xml:space="preserve"> </w:t>
      </w:r>
      <w:r w:rsidRPr="00DE0DEC">
        <w:rPr>
          <w:rFonts w:eastAsia="Calibri" w:cs="Arial"/>
          <w:color w:val="000000"/>
          <w:sz w:val="22"/>
        </w:rPr>
        <w:tab/>
        <w:t>: Plan Cadre de Gestion Environnementale et Sociale</w:t>
      </w:r>
    </w:p>
    <w:p w14:paraId="1EBB65F3" w14:textId="77777777" w:rsidR="00CE52C3" w:rsidRPr="00DE0DEC" w:rsidRDefault="00CE52C3" w:rsidP="00CE52C3">
      <w:pPr>
        <w:rPr>
          <w:rFonts w:eastAsia="Calibri" w:cs="Arial"/>
          <w:color w:val="000000"/>
          <w:sz w:val="22"/>
        </w:rPr>
      </w:pPr>
      <w:r w:rsidRPr="00DE0DEC">
        <w:rPr>
          <w:rFonts w:eastAsia="Calibri" w:cs="Arial"/>
          <w:color w:val="000000"/>
          <w:sz w:val="22"/>
        </w:rPr>
        <w:t>PCGE</w:t>
      </w:r>
      <w:r>
        <w:rPr>
          <w:rFonts w:eastAsia="Calibri" w:cs="Arial"/>
          <w:color w:val="000000"/>
          <w:sz w:val="22"/>
        </w:rPr>
        <w:t>-C</w:t>
      </w:r>
      <w:r w:rsidRPr="00DE0DEC">
        <w:rPr>
          <w:rFonts w:eastAsia="Calibri" w:cs="Arial"/>
          <w:color w:val="000000"/>
          <w:sz w:val="22"/>
        </w:rPr>
        <w:t xml:space="preserve"> </w:t>
      </w:r>
      <w:r w:rsidRPr="00DE0DEC">
        <w:rPr>
          <w:rFonts w:eastAsia="Calibri" w:cs="Arial"/>
          <w:color w:val="000000"/>
          <w:sz w:val="22"/>
        </w:rPr>
        <w:tab/>
        <w:t>: Plan Cadre de Gestion Environnementale et Sociale</w:t>
      </w:r>
      <w:r>
        <w:rPr>
          <w:rFonts w:eastAsia="Calibri" w:cs="Arial"/>
          <w:color w:val="000000"/>
          <w:sz w:val="22"/>
        </w:rPr>
        <w:t xml:space="preserve"> de Chantier</w:t>
      </w:r>
    </w:p>
    <w:p w14:paraId="1642D127" w14:textId="77777777" w:rsidR="001C2F95" w:rsidRPr="00DE0DEC" w:rsidRDefault="001C2F95" w:rsidP="001C2F95">
      <w:pPr>
        <w:rPr>
          <w:rFonts w:eastAsia="Calibri" w:cs="Arial"/>
          <w:color w:val="000000"/>
          <w:sz w:val="22"/>
        </w:rPr>
      </w:pPr>
      <w:r w:rsidRPr="00DE0DEC">
        <w:rPr>
          <w:rFonts w:eastAsia="Calibri" w:cs="Arial"/>
          <w:color w:val="000000"/>
          <w:sz w:val="22"/>
        </w:rPr>
        <w:t>PDPC </w:t>
      </w:r>
      <w:r w:rsidRPr="00DE0DEC">
        <w:rPr>
          <w:rFonts w:eastAsia="Calibri" w:cs="Arial"/>
          <w:color w:val="000000"/>
          <w:sz w:val="22"/>
        </w:rPr>
        <w:tab/>
      </w:r>
      <w:r w:rsidRPr="00DE0DEC">
        <w:rPr>
          <w:rFonts w:eastAsia="Calibri" w:cs="Arial"/>
          <w:color w:val="000000"/>
          <w:sz w:val="22"/>
        </w:rPr>
        <w:tab/>
        <w:t xml:space="preserve">: Projet de Développement des Pôles de Croissance </w:t>
      </w:r>
    </w:p>
    <w:p w14:paraId="1C5E8FA6" w14:textId="77777777" w:rsidR="001C2F95" w:rsidRPr="00DE0DEC" w:rsidRDefault="001C2F95" w:rsidP="001C2F95">
      <w:pPr>
        <w:rPr>
          <w:rFonts w:eastAsia="Calibri" w:cs="Arial"/>
          <w:color w:val="000000"/>
          <w:sz w:val="22"/>
        </w:rPr>
      </w:pPr>
      <w:r w:rsidRPr="00DE0DEC">
        <w:rPr>
          <w:rFonts w:eastAsia="Calibri" w:cs="Arial"/>
          <w:color w:val="000000"/>
          <w:sz w:val="22"/>
        </w:rPr>
        <w:t>PDSS</w:t>
      </w:r>
      <w:r w:rsidRPr="00DE0DEC">
        <w:rPr>
          <w:rFonts w:eastAsia="Calibri" w:cs="Arial"/>
          <w:color w:val="000000"/>
          <w:sz w:val="22"/>
        </w:rPr>
        <w:tab/>
      </w:r>
      <w:r w:rsidRPr="00DE0DEC">
        <w:rPr>
          <w:rFonts w:eastAsia="Calibri" w:cs="Arial"/>
          <w:color w:val="000000"/>
          <w:sz w:val="22"/>
        </w:rPr>
        <w:tab/>
        <w:t>: Projet de Développement du Système de Santé</w:t>
      </w:r>
    </w:p>
    <w:p w14:paraId="72B99BE8" w14:textId="77777777" w:rsidR="001C2F95" w:rsidRPr="00DE0DEC" w:rsidRDefault="001C2F95" w:rsidP="001C2F95">
      <w:pPr>
        <w:rPr>
          <w:rFonts w:eastAsia="Calibri" w:cs="Arial"/>
          <w:color w:val="000000"/>
          <w:sz w:val="22"/>
        </w:rPr>
      </w:pPr>
      <w:r w:rsidRPr="00DE0DEC">
        <w:rPr>
          <w:rFonts w:eastAsia="Calibri" w:cs="Arial"/>
          <w:color w:val="000000"/>
          <w:sz w:val="22"/>
        </w:rPr>
        <w:lastRenderedPageBreak/>
        <w:t>PEES </w:t>
      </w:r>
      <w:r w:rsidRPr="00DE0DEC">
        <w:rPr>
          <w:rFonts w:eastAsia="Calibri" w:cs="Arial"/>
          <w:color w:val="000000"/>
          <w:sz w:val="22"/>
        </w:rPr>
        <w:tab/>
      </w:r>
      <w:r w:rsidRPr="00DE0DEC">
        <w:rPr>
          <w:rFonts w:eastAsia="Calibri" w:cs="Arial"/>
          <w:color w:val="000000"/>
          <w:sz w:val="22"/>
        </w:rPr>
        <w:tab/>
        <w:t>: Plan d’Engagement Environnemental et Social</w:t>
      </w:r>
    </w:p>
    <w:p w14:paraId="559F13DB"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PGES </w:t>
      </w:r>
      <w:r w:rsidRPr="00DE0DEC">
        <w:rPr>
          <w:rFonts w:eastAsia="Calibri" w:cs="Arial"/>
          <w:color w:val="000000"/>
          <w:sz w:val="22"/>
        </w:rPr>
        <w:tab/>
      </w:r>
      <w:r w:rsidRPr="00DE0DEC">
        <w:rPr>
          <w:rFonts w:eastAsia="Calibri" w:cs="Arial"/>
          <w:color w:val="000000"/>
          <w:sz w:val="22"/>
        </w:rPr>
        <w:tab/>
        <w:t>: Plan de Gestion Environnementale et Sociale</w:t>
      </w:r>
    </w:p>
    <w:p w14:paraId="52C9AD12" w14:textId="77777777" w:rsidR="001C2F95" w:rsidRPr="00DE0DEC" w:rsidRDefault="001C2F95" w:rsidP="001C2F95">
      <w:pPr>
        <w:rPr>
          <w:rFonts w:eastAsia="Calibri" w:cs="Arial"/>
          <w:color w:val="000000"/>
          <w:sz w:val="22"/>
        </w:rPr>
      </w:pPr>
      <w:r w:rsidRPr="00DE0DEC">
        <w:rPr>
          <w:rFonts w:eastAsia="Calibri" w:cs="Arial"/>
          <w:color w:val="000000"/>
          <w:sz w:val="22"/>
        </w:rPr>
        <w:t>PGMO </w:t>
      </w:r>
      <w:r w:rsidRPr="00DE0DEC">
        <w:rPr>
          <w:rFonts w:eastAsia="Calibri" w:cs="Arial"/>
          <w:color w:val="000000"/>
          <w:sz w:val="22"/>
        </w:rPr>
        <w:tab/>
        <w:t>: Plan de Gestion de la Main d’œuvre</w:t>
      </w:r>
    </w:p>
    <w:p w14:paraId="1E0176B0" w14:textId="77777777" w:rsidR="001C2F95" w:rsidRPr="00DE0DEC" w:rsidRDefault="001C2F95" w:rsidP="001C2F95">
      <w:pPr>
        <w:rPr>
          <w:rFonts w:eastAsia="Calibri" w:cs="Arial"/>
          <w:color w:val="000000"/>
          <w:sz w:val="22"/>
        </w:rPr>
      </w:pPr>
      <w:r w:rsidRPr="00DE0DEC">
        <w:rPr>
          <w:rFonts w:eastAsia="Calibri" w:cs="Arial"/>
          <w:color w:val="000000"/>
          <w:sz w:val="22"/>
        </w:rPr>
        <w:t>PGP</w:t>
      </w:r>
      <w:r w:rsidRPr="00DE0DEC">
        <w:rPr>
          <w:rFonts w:eastAsia="Calibri" w:cs="Arial"/>
          <w:color w:val="000000"/>
          <w:sz w:val="22"/>
        </w:rPr>
        <w:tab/>
      </w:r>
      <w:r w:rsidRPr="00DE0DEC">
        <w:rPr>
          <w:rFonts w:eastAsia="Calibri" w:cs="Arial"/>
          <w:color w:val="000000"/>
          <w:sz w:val="22"/>
        </w:rPr>
        <w:tab/>
        <w:t>: Plan de Gestion des Pesticides</w:t>
      </w:r>
    </w:p>
    <w:p w14:paraId="39330E09" w14:textId="77777777" w:rsidR="001C2F95" w:rsidRPr="00DE0DEC" w:rsidRDefault="001C2F95" w:rsidP="001C2F95">
      <w:pPr>
        <w:rPr>
          <w:rFonts w:eastAsia="Calibri" w:cs="Arial"/>
          <w:color w:val="000000"/>
          <w:sz w:val="22"/>
        </w:rPr>
      </w:pPr>
      <w:r w:rsidRPr="00DE0DEC">
        <w:rPr>
          <w:rFonts w:eastAsia="Calibri" w:cs="Arial"/>
          <w:color w:val="000000"/>
          <w:sz w:val="22"/>
        </w:rPr>
        <w:t>PGS </w:t>
      </w:r>
      <w:r w:rsidRPr="00DE0DEC">
        <w:rPr>
          <w:rFonts w:eastAsia="Calibri" w:cs="Arial"/>
          <w:color w:val="000000"/>
          <w:sz w:val="22"/>
        </w:rPr>
        <w:tab/>
      </w:r>
      <w:r w:rsidRPr="00DE0DEC">
        <w:rPr>
          <w:rFonts w:eastAsia="Calibri" w:cs="Arial"/>
          <w:color w:val="000000"/>
          <w:sz w:val="22"/>
        </w:rPr>
        <w:tab/>
        <w:t>: Plan de Gestion de Sécurité</w:t>
      </w:r>
    </w:p>
    <w:p w14:paraId="76AE4FC6" w14:textId="77777777" w:rsidR="001C2F95" w:rsidRPr="00DE0DEC" w:rsidRDefault="001C2F95" w:rsidP="001C2F95">
      <w:pPr>
        <w:rPr>
          <w:rFonts w:eastAsia="Calibri" w:cs="Arial"/>
          <w:color w:val="000000"/>
          <w:sz w:val="22"/>
        </w:rPr>
      </w:pPr>
      <w:r w:rsidRPr="00DE0DEC">
        <w:rPr>
          <w:rFonts w:eastAsia="Calibri" w:cs="Arial"/>
          <w:color w:val="000000"/>
          <w:sz w:val="22"/>
        </w:rPr>
        <w:t>PIP </w:t>
      </w:r>
      <w:r w:rsidRPr="00DE0DEC">
        <w:rPr>
          <w:rFonts w:eastAsia="Calibri" w:cs="Arial"/>
          <w:color w:val="000000"/>
          <w:sz w:val="22"/>
        </w:rPr>
        <w:tab/>
      </w:r>
      <w:r w:rsidRPr="00DE0DEC">
        <w:rPr>
          <w:rFonts w:eastAsia="Calibri" w:cs="Arial"/>
          <w:color w:val="000000"/>
          <w:sz w:val="22"/>
        </w:rPr>
        <w:tab/>
        <w:t>: Projet d’Inclusion Productive</w:t>
      </w:r>
    </w:p>
    <w:p w14:paraId="18375D56" w14:textId="77777777" w:rsidR="001C2F95" w:rsidRPr="00DE0DEC" w:rsidRDefault="001C2F95" w:rsidP="001C2F95">
      <w:pPr>
        <w:rPr>
          <w:rFonts w:eastAsia="Calibri" w:cs="Arial"/>
          <w:color w:val="000000"/>
          <w:sz w:val="22"/>
        </w:rPr>
      </w:pPr>
      <w:r w:rsidRPr="00DE0DEC">
        <w:rPr>
          <w:rFonts w:eastAsia="Calibri" w:cs="Arial"/>
          <w:color w:val="000000"/>
          <w:sz w:val="22"/>
        </w:rPr>
        <w:t>PME</w:t>
      </w:r>
      <w:r w:rsidRPr="00DE0DEC">
        <w:rPr>
          <w:rFonts w:eastAsia="Calibri" w:cs="Arial"/>
          <w:color w:val="000000"/>
          <w:sz w:val="22"/>
        </w:rPr>
        <w:tab/>
      </w:r>
      <w:r w:rsidRPr="00DE0DEC">
        <w:rPr>
          <w:rFonts w:eastAsia="Calibri" w:cs="Arial"/>
          <w:color w:val="000000"/>
          <w:sz w:val="22"/>
        </w:rPr>
        <w:tab/>
        <w:t>: Petite et Moyenne Entreprise</w:t>
      </w:r>
    </w:p>
    <w:p w14:paraId="1F047034" w14:textId="77777777" w:rsidR="001C2F95" w:rsidRPr="00DE0DEC" w:rsidRDefault="001C2F95" w:rsidP="001C2F95">
      <w:pPr>
        <w:rPr>
          <w:rFonts w:eastAsia="Calibri" w:cs="Arial"/>
          <w:color w:val="000000"/>
          <w:sz w:val="22"/>
        </w:rPr>
      </w:pPr>
      <w:r w:rsidRPr="00DE0DEC">
        <w:rPr>
          <w:rFonts w:eastAsia="Calibri" w:cs="Arial"/>
          <w:color w:val="000000"/>
          <w:sz w:val="22"/>
        </w:rPr>
        <w:t>PMEA</w:t>
      </w:r>
      <w:r w:rsidRPr="00DE0DEC">
        <w:rPr>
          <w:rFonts w:eastAsia="Calibri" w:cs="Arial"/>
          <w:color w:val="000000"/>
          <w:sz w:val="22"/>
        </w:rPr>
        <w:tab/>
      </w:r>
      <w:r w:rsidRPr="00DE0DEC">
        <w:rPr>
          <w:rFonts w:eastAsia="Calibri" w:cs="Arial"/>
          <w:color w:val="000000"/>
          <w:sz w:val="22"/>
        </w:rPr>
        <w:tab/>
        <w:t>: Petites et Moyennes Entreprises et Artisanat</w:t>
      </w:r>
    </w:p>
    <w:p w14:paraId="08514B11" w14:textId="77777777" w:rsidR="001C2F95" w:rsidRPr="00DE0DEC" w:rsidRDefault="001C2F95" w:rsidP="001C2F95">
      <w:pPr>
        <w:rPr>
          <w:rFonts w:eastAsia="Calibri" w:cs="Arial"/>
          <w:color w:val="000000"/>
          <w:sz w:val="22"/>
        </w:rPr>
      </w:pPr>
      <w:r w:rsidRPr="00DE0DEC">
        <w:rPr>
          <w:rFonts w:eastAsia="Calibri" w:cs="Arial"/>
          <w:color w:val="000000"/>
          <w:sz w:val="22"/>
        </w:rPr>
        <w:t>PMM</w:t>
      </w:r>
      <w:r w:rsidRPr="00DE0DEC">
        <w:rPr>
          <w:rFonts w:eastAsia="Calibri" w:cs="Arial"/>
          <w:color w:val="000000"/>
          <w:sz w:val="22"/>
        </w:rPr>
        <w:tab/>
      </w:r>
      <w:r w:rsidRPr="00DE0DEC">
        <w:rPr>
          <w:rFonts w:eastAsia="Calibri" w:cs="Arial"/>
          <w:color w:val="000000"/>
          <w:sz w:val="22"/>
        </w:rPr>
        <w:tab/>
        <w:t>: Parc Marin des Ma</w:t>
      </w:r>
      <w:r>
        <w:rPr>
          <w:rFonts w:eastAsia="Calibri" w:cs="Arial"/>
          <w:color w:val="000000"/>
          <w:sz w:val="22"/>
        </w:rPr>
        <w:t>n</w:t>
      </w:r>
      <w:r w:rsidRPr="00DE0DEC">
        <w:rPr>
          <w:rFonts w:eastAsia="Calibri" w:cs="Arial"/>
          <w:color w:val="000000"/>
          <w:sz w:val="22"/>
        </w:rPr>
        <w:t>groves</w:t>
      </w:r>
    </w:p>
    <w:p w14:paraId="31B98C4A" w14:textId="77777777" w:rsidR="001C2F95" w:rsidRPr="00DE0DEC" w:rsidRDefault="001C2F95" w:rsidP="001C2F95">
      <w:pPr>
        <w:rPr>
          <w:rFonts w:eastAsia="Calibri" w:cs="Arial"/>
          <w:color w:val="000000"/>
          <w:sz w:val="22"/>
        </w:rPr>
      </w:pPr>
      <w:r w:rsidRPr="00DE0DEC">
        <w:rPr>
          <w:rFonts w:eastAsia="Calibri" w:cs="Arial"/>
          <w:color w:val="000000"/>
          <w:sz w:val="22"/>
        </w:rPr>
        <w:t>PMNSE </w:t>
      </w:r>
      <w:r w:rsidRPr="00DE0DEC">
        <w:rPr>
          <w:rFonts w:eastAsia="Calibri" w:cs="Arial"/>
          <w:color w:val="000000"/>
          <w:sz w:val="22"/>
        </w:rPr>
        <w:tab/>
        <w:t>: Projet Multisectoriel de Nutrition et Santé de l'Enfant</w:t>
      </w:r>
    </w:p>
    <w:p w14:paraId="3647C6CE" w14:textId="77777777" w:rsidR="001C2F95" w:rsidRPr="00DE0DEC" w:rsidRDefault="001C2F95" w:rsidP="001C2F95">
      <w:pPr>
        <w:rPr>
          <w:rFonts w:eastAsia="Calibri" w:cs="Arial"/>
          <w:color w:val="000000"/>
          <w:sz w:val="22"/>
        </w:rPr>
      </w:pPr>
      <w:r w:rsidRPr="00DE0DEC">
        <w:rPr>
          <w:rFonts w:eastAsia="Calibri" w:cs="Arial"/>
          <w:color w:val="000000"/>
          <w:sz w:val="22"/>
        </w:rPr>
        <w:t>PMPP </w:t>
      </w:r>
      <w:r w:rsidRPr="00DE0DEC">
        <w:rPr>
          <w:rFonts w:eastAsia="Calibri" w:cs="Arial"/>
          <w:color w:val="000000"/>
          <w:sz w:val="22"/>
        </w:rPr>
        <w:tab/>
      </w:r>
      <w:r w:rsidRPr="00DE0DEC">
        <w:rPr>
          <w:rFonts w:eastAsia="Calibri" w:cs="Arial"/>
          <w:color w:val="000000"/>
          <w:sz w:val="22"/>
        </w:rPr>
        <w:tab/>
        <w:t>: Plan de Mobilisation des Parties Prenantes</w:t>
      </w:r>
    </w:p>
    <w:p w14:paraId="7AA29118" w14:textId="77777777" w:rsidR="001C2F95" w:rsidRPr="00DE0DEC" w:rsidRDefault="001C2F95" w:rsidP="001C2F95">
      <w:pPr>
        <w:rPr>
          <w:rFonts w:eastAsia="Calibri" w:cs="Arial"/>
          <w:color w:val="000000"/>
          <w:sz w:val="22"/>
        </w:rPr>
      </w:pPr>
      <w:r w:rsidRPr="00DE0DEC">
        <w:rPr>
          <w:rFonts w:eastAsia="Calibri" w:cs="Arial"/>
          <w:color w:val="000000"/>
          <w:sz w:val="22"/>
        </w:rPr>
        <w:t xml:space="preserve">PNAE </w:t>
      </w:r>
      <w:r w:rsidRPr="00DE0DEC">
        <w:rPr>
          <w:rFonts w:eastAsia="Calibri" w:cs="Arial"/>
          <w:color w:val="000000"/>
          <w:sz w:val="22"/>
        </w:rPr>
        <w:tab/>
      </w:r>
      <w:r w:rsidRPr="00DE0DEC">
        <w:rPr>
          <w:rFonts w:eastAsia="Calibri" w:cs="Arial"/>
          <w:color w:val="000000"/>
          <w:sz w:val="22"/>
        </w:rPr>
        <w:tab/>
        <w:t>: Plan National d’Action Environnemental</w:t>
      </w:r>
    </w:p>
    <w:p w14:paraId="49A531C4" w14:textId="77777777" w:rsidR="001C2F95" w:rsidRPr="00DE0DEC" w:rsidRDefault="001C2F95" w:rsidP="001C2F95">
      <w:pPr>
        <w:rPr>
          <w:rFonts w:eastAsia="Calibri" w:cs="Arial"/>
          <w:color w:val="000000"/>
          <w:sz w:val="22"/>
        </w:rPr>
      </w:pPr>
      <w:r w:rsidRPr="00DE0DEC">
        <w:rPr>
          <w:rFonts w:eastAsia="Calibri" w:cs="Arial"/>
          <w:color w:val="000000"/>
          <w:sz w:val="22"/>
        </w:rPr>
        <w:t>PNDA </w:t>
      </w:r>
      <w:r w:rsidRPr="00DE0DEC">
        <w:rPr>
          <w:rFonts w:eastAsia="Calibri" w:cs="Arial"/>
          <w:color w:val="000000"/>
          <w:sz w:val="22"/>
        </w:rPr>
        <w:tab/>
      </w:r>
      <w:r w:rsidRPr="00DE0DEC">
        <w:rPr>
          <w:rFonts w:eastAsia="Calibri" w:cs="Arial"/>
          <w:color w:val="000000"/>
          <w:sz w:val="22"/>
        </w:rPr>
        <w:tab/>
        <w:t>: Programme National de Développement Agricole</w:t>
      </w:r>
    </w:p>
    <w:p w14:paraId="61730358" w14:textId="77777777" w:rsidR="001C2F95" w:rsidRPr="00DE0DEC" w:rsidRDefault="001C2F95" w:rsidP="001C2F95">
      <w:pPr>
        <w:rPr>
          <w:rFonts w:eastAsia="Calibri" w:cs="Arial"/>
          <w:color w:val="000000"/>
          <w:sz w:val="22"/>
        </w:rPr>
      </w:pPr>
      <w:r w:rsidRPr="00DE0DEC">
        <w:rPr>
          <w:rFonts w:eastAsia="Calibri" w:cs="Arial"/>
          <w:color w:val="000000"/>
          <w:sz w:val="22"/>
        </w:rPr>
        <w:t>PNDS</w:t>
      </w:r>
      <w:r w:rsidRPr="00DE0DEC">
        <w:rPr>
          <w:rFonts w:eastAsia="Calibri" w:cs="Arial"/>
          <w:color w:val="000000"/>
          <w:sz w:val="22"/>
        </w:rPr>
        <w:tab/>
      </w:r>
      <w:r w:rsidRPr="00DE0DEC">
        <w:rPr>
          <w:rFonts w:eastAsia="Calibri" w:cs="Arial"/>
          <w:color w:val="000000"/>
          <w:sz w:val="22"/>
        </w:rPr>
        <w:tab/>
        <w:t xml:space="preserve">: </w:t>
      </w:r>
      <w:r w:rsidRPr="00DE0DEC">
        <w:rPr>
          <w:rFonts w:cs="Arial"/>
          <w:color w:val="000000"/>
          <w:sz w:val="22"/>
          <w:lang w:eastAsia="en-US"/>
        </w:rPr>
        <w:t>Plan National de Développement Sanitaire</w:t>
      </w:r>
    </w:p>
    <w:p w14:paraId="14542A54" w14:textId="77777777" w:rsidR="001C2F95" w:rsidRPr="00DE0DEC" w:rsidRDefault="001C2F95" w:rsidP="001C2F95">
      <w:pPr>
        <w:rPr>
          <w:rFonts w:eastAsia="Calibri" w:cs="Arial"/>
          <w:color w:val="000000"/>
          <w:sz w:val="22"/>
        </w:rPr>
      </w:pPr>
      <w:r w:rsidRPr="00DE0DEC">
        <w:rPr>
          <w:rFonts w:eastAsia="Calibri" w:cs="Arial"/>
          <w:color w:val="000000"/>
          <w:sz w:val="22"/>
        </w:rPr>
        <w:t>PNPS</w:t>
      </w:r>
      <w:r w:rsidRPr="00DE0DEC">
        <w:rPr>
          <w:rFonts w:eastAsia="Calibri" w:cs="Arial"/>
          <w:color w:val="000000"/>
          <w:sz w:val="22"/>
        </w:rPr>
        <w:tab/>
      </w:r>
      <w:r w:rsidRPr="00DE0DEC">
        <w:rPr>
          <w:rFonts w:eastAsia="Calibri" w:cs="Arial"/>
          <w:color w:val="000000"/>
          <w:sz w:val="22"/>
        </w:rPr>
        <w:tab/>
        <w:t>: Programme National d'appui à la Protection Sociale</w:t>
      </w:r>
    </w:p>
    <w:p w14:paraId="7BE88671" w14:textId="77777777" w:rsidR="001C2F95" w:rsidRPr="00DE0DEC" w:rsidRDefault="001C2F95" w:rsidP="001C2F95">
      <w:pPr>
        <w:rPr>
          <w:rFonts w:eastAsia="Calibri" w:cs="Arial"/>
          <w:color w:val="000000"/>
          <w:sz w:val="22"/>
        </w:rPr>
      </w:pPr>
      <w:r w:rsidRPr="00DE0DEC">
        <w:rPr>
          <w:rFonts w:eastAsia="Calibri" w:cs="Arial"/>
          <w:color w:val="000000"/>
          <w:sz w:val="22"/>
        </w:rPr>
        <w:t>PNUD</w:t>
      </w:r>
      <w:r w:rsidRPr="00DE0DEC">
        <w:rPr>
          <w:rFonts w:eastAsia="Calibri" w:cs="Arial"/>
          <w:color w:val="000000"/>
          <w:sz w:val="22"/>
        </w:rPr>
        <w:tab/>
      </w:r>
      <w:r w:rsidRPr="00DE0DEC">
        <w:rPr>
          <w:rFonts w:eastAsia="Calibri" w:cs="Arial"/>
          <w:color w:val="000000"/>
          <w:sz w:val="22"/>
        </w:rPr>
        <w:tab/>
        <w:t>: Programme des Nations Unies pour le Développement</w:t>
      </w:r>
    </w:p>
    <w:p w14:paraId="227AAA84" w14:textId="77777777" w:rsidR="001C2F95" w:rsidRPr="00DE0DEC" w:rsidRDefault="001C2F95" w:rsidP="001C2F95">
      <w:pPr>
        <w:rPr>
          <w:rFonts w:cs="Arial"/>
          <w:color w:val="000000"/>
          <w:sz w:val="22"/>
        </w:rPr>
      </w:pPr>
      <w:r w:rsidRPr="00DE0DEC">
        <w:rPr>
          <w:rFonts w:eastAsia="Calibri" w:cs="Arial"/>
          <w:color w:val="000000"/>
          <w:sz w:val="22"/>
        </w:rPr>
        <w:t>PNV</w:t>
      </w:r>
      <w:r w:rsidRPr="00DE0DEC">
        <w:rPr>
          <w:rFonts w:eastAsia="Calibri" w:cs="Arial"/>
          <w:color w:val="000000"/>
          <w:sz w:val="22"/>
        </w:rPr>
        <w:tab/>
      </w:r>
      <w:r w:rsidRPr="00DE0DEC">
        <w:rPr>
          <w:rFonts w:eastAsia="Calibri" w:cs="Arial"/>
          <w:color w:val="000000"/>
          <w:sz w:val="22"/>
        </w:rPr>
        <w:tab/>
        <w:t>: Parc National de Virunga</w:t>
      </w:r>
    </w:p>
    <w:p w14:paraId="56EC6165" w14:textId="77777777" w:rsidR="001C2F95" w:rsidRPr="00DE0DEC" w:rsidRDefault="001C2F95" w:rsidP="001C2F95">
      <w:pPr>
        <w:rPr>
          <w:rFonts w:cs="Arial"/>
          <w:sz w:val="22"/>
        </w:rPr>
      </w:pPr>
      <w:r w:rsidRPr="00DE0DEC">
        <w:rPr>
          <w:rFonts w:cs="Arial"/>
          <w:sz w:val="22"/>
        </w:rPr>
        <w:t>PO/OP</w:t>
      </w:r>
      <w:r w:rsidRPr="00DE0DEC">
        <w:rPr>
          <w:rFonts w:cs="Arial"/>
          <w:sz w:val="22"/>
        </w:rPr>
        <w:tab/>
      </w:r>
      <w:r w:rsidRPr="00DE0DEC">
        <w:rPr>
          <w:rFonts w:cs="Arial"/>
          <w:sz w:val="22"/>
        </w:rPr>
        <w:tab/>
        <w:t>: Politique Opérationnelle/Operational Policy</w:t>
      </w:r>
    </w:p>
    <w:p w14:paraId="4561388E" w14:textId="77777777" w:rsidR="001C2F95" w:rsidRPr="00DE0DEC" w:rsidRDefault="001C2F95" w:rsidP="001C2F95">
      <w:pPr>
        <w:rPr>
          <w:rFonts w:cs="Arial"/>
          <w:sz w:val="22"/>
        </w:rPr>
      </w:pPr>
      <w:r w:rsidRPr="00DE0DEC">
        <w:rPr>
          <w:rFonts w:cs="Arial"/>
          <w:sz w:val="22"/>
        </w:rPr>
        <w:t>PPA</w:t>
      </w:r>
      <w:r w:rsidRPr="00DE0DEC">
        <w:rPr>
          <w:rFonts w:cs="Arial"/>
          <w:sz w:val="22"/>
        </w:rPr>
        <w:tab/>
      </w:r>
      <w:r w:rsidRPr="00DE0DEC">
        <w:rPr>
          <w:rFonts w:cs="Arial"/>
          <w:sz w:val="22"/>
        </w:rPr>
        <w:tab/>
        <w:t>: Plan en faveur des Populations Autochtones</w:t>
      </w:r>
    </w:p>
    <w:p w14:paraId="3DC389C3" w14:textId="77777777" w:rsidR="001C2F95" w:rsidRPr="00DE0DEC" w:rsidRDefault="001C2F95" w:rsidP="001C2F95">
      <w:pPr>
        <w:rPr>
          <w:rFonts w:cs="Arial"/>
          <w:sz w:val="22"/>
        </w:rPr>
      </w:pPr>
      <w:r w:rsidRPr="00DE0DEC">
        <w:rPr>
          <w:rFonts w:cs="Arial"/>
          <w:sz w:val="22"/>
        </w:rPr>
        <w:t>PRONANUT </w:t>
      </w:r>
      <w:r w:rsidRPr="00DE0DEC">
        <w:rPr>
          <w:rFonts w:cs="Arial"/>
          <w:sz w:val="22"/>
        </w:rPr>
        <w:tab/>
        <w:t>: Programme National de Nutrition</w:t>
      </w:r>
    </w:p>
    <w:p w14:paraId="1188C014" w14:textId="77777777" w:rsidR="001C2F95" w:rsidRPr="00DE0DEC" w:rsidRDefault="001C2F95" w:rsidP="001C2F95">
      <w:pPr>
        <w:rPr>
          <w:rFonts w:cs="Arial"/>
          <w:sz w:val="22"/>
        </w:rPr>
      </w:pPr>
      <w:r w:rsidRPr="00DE0DEC">
        <w:rPr>
          <w:rFonts w:cs="Arial"/>
          <w:sz w:val="22"/>
        </w:rPr>
        <w:t>RN</w:t>
      </w:r>
      <w:r w:rsidRPr="00DE0DEC">
        <w:rPr>
          <w:rFonts w:cs="Arial"/>
          <w:sz w:val="22"/>
        </w:rPr>
        <w:tab/>
      </w:r>
      <w:r w:rsidRPr="00DE0DEC">
        <w:rPr>
          <w:rFonts w:cs="Arial"/>
          <w:sz w:val="22"/>
        </w:rPr>
        <w:tab/>
        <w:t>: Route Nationale</w:t>
      </w:r>
    </w:p>
    <w:p w14:paraId="463D889F" w14:textId="77777777" w:rsidR="001C2F95" w:rsidRPr="00DE0DEC" w:rsidRDefault="001C2F95" w:rsidP="001C2F95">
      <w:pPr>
        <w:ind w:left="1560" w:hanging="1560"/>
        <w:rPr>
          <w:rFonts w:cs="Arial"/>
          <w:sz w:val="22"/>
        </w:rPr>
      </w:pPr>
      <w:r w:rsidRPr="00DE0DEC">
        <w:rPr>
          <w:rFonts w:cs="Arial"/>
          <w:sz w:val="22"/>
        </w:rPr>
        <w:t xml:space="preserve">RSES           </w:t>
      </w:r>
      <w:r>
        <w:rPr>
          <w:rFonts w:cs="Arial"/>
          <w:sz w:val="22"/>
        </w:rPr>
        <w:t xml:space="preserve">    </w:t>
      </w:r>
      <w:r w:rsidRPr="00DE0DEC">
        <w:rPr>
          <w:rFonts w:cs="Arial"/>
          <w:sz w:val="22"/>
        </w:rPr>
        <w:t xml:space="preserve"> : Responsable de Suivi environnemental et social de la coordination provinciale du PNDA</w:t>
      </w:r>
    </w:p>
    <w:p w14:paraId="41AF0EEF" w14:textId="77777777" w:rsidR="001C2F95" w:rsidRPr="00DE0DEC" w:rsidRDefault="001C2F95" w:rsidP="001C2F95">
      <w:pPr>
        <w:rPr>
          <w:rFonts w:cs="Arial"/>
          <w:sz w:val="22"/>
        </w:rPr>
      </w:pPr>
      <w:r w:rsidRPr="00DE0DEC">
        <w:rPr>
          <w:rFonts w:cs="Arial"/>
          <w:sz w:val="22"/>
        </w:rPr>
        <w:t xml:space="preserve">RDC </w:t>
      </w:r>
      <w:r w:rsidRPr="00DE0DEC">
        <w:rPr>
          <w:rFonts w:cs="Arial"/>
          <w:sz w:val="22"/>
        </w:rPr>
        <w:tab/>
      </w:r>
      <w:r w:rsidRPr="00DE0DEC">
        <w:rPr>
          <w:rFonts w:cs="Arial"/>
          <w:sz w:val="22"/>
        </w:rPr>
        <w:tab/>
        <w:t>: République Démocratique du Congo</w:t>
      </w:r>
    </w:p>
    <w:p w14:paraId="73DCB220" w14:textId="77777777" w:rsidR="001C2F95" w:rsidRPr="00DE0DEC" w:rsidRDefault="001C2F95" w:rsidP="001C2F95">
      <w:pPr>
        <w:ind w:left="1560" w:hanging="1560"/>
        <w:rPr>
          <w:rFonts w:cs="Arial"/>
          <w:sz w:val="22"/>
        </w:rPr>
      </w:pPr>
      <w:r w:rsidRPr="00DE0DEC">
        <w:rPr>
          <w:rFonts w:cs="Arial"/>
          <w:sz w:val="22"/>
        </w:rPr>
        <w:t>REPALEF      : Réseau des Populations Autochtones et Locales pour la gestion durable des Écosystèmes Forestiers</w:t>
      </w:r>
    </w:p>
    <w:p w14:paraId="74AA6484" w14:textId="77777777" w:rsidR="001C2F95" w:rsidRPr="00DE0DEC" w:rsidRDefault="001C2F95" w:rsidP="001C2F95">
      <w:pPr>
        <w:rPr>
          <w:rFonts w:eastAsia="Calibri" w:cs="Arial"/>
          <w:color w:val="000000"/>
          <w:sz w:val="22"/>
        </w:rPr>
      </w:pPr>
      <w:r w:rsidRPr="00DE0DEC">
        <w:rPr>
          <w:rFonts w:cs="Arial"/>
          <w:sz w:val="22"/>
        </w:rPr>
        <w:t>RT</w:t>
      </w:r>
      <w:r w:rsidRPr="00DE0DEC">
        <w:rPr>
          <w:rFonts w:cs="Arial"/>
          <w:sz w:val="22"/>
        </w:rPr>
        <w:tab/>
      </w:r>
      <w:r w:rsidRPr="00DE0DEC">
        <w:rPr>
          <w:rFonts w:cs="Arial"/>
          <w:sz w:val="22"/>
        </w:rPr>
        <w:tab/>
        <w:t xml:space="preserve">: Responsable Technique </w:t>
      </w:r>
    </w:p>
    <w:p w14:paraId="47DF1590" w14:textId="77777777" w:rsidR="001C2F95" w:rsidRPr="00DE0DEC" w:rsidRDefault="001C2F95" w:rsidP="001C2F95">
      <w:pPr>
        <w:rPr>
          <w:rFonts w:cs="Arial"/>
          <w:color w:val="000000"/>
          <w:sz w:val="22"/>
        </w:rPr>
      </w:pPr>
      <w:r w:rsidRPr="00DE0DEC">
        <w:rPr>
          <w:rFonts w:cs="Arial"/>
          <w:color w:val="000000"/>
          <w:sz w:val="22"/>
        </w:rPr>
        <w:t>RTM</w:t>
      </w:r>
      <w:r w:rsidRPr="00DE0DEC">
        <w:rPr>
          <w:rFonts w:cs="Arial"/>
          <w:color w:val="000000"/>
          <w:sz w:val="22"/>
        </w:rPr>
        <w:tab/>
      </w:r>
      <w:r w:rsidRPr="00DE0DEC">
        <w:rPr>
          <w:rFonts w:cs="Arial"/>
          <w:color w:val="000000"/>
          <w:sz w:val="22"/>
        </w:rPr>
        <w:tab/>
        <w:t xml:space="preserve">: </w:t>
      </w:r>
      <w:r w:rsidRPr="00DE0DEC">
        <w:rPr>
          <w:rFonts w:cs="Arial"/>
          <w:sz w:val="22"/>
        </w:rPr>
        <w:t>Radio-Télé Matadi</w:t>
      </w:r>
    </w:p>
    <w:p w14:paraId="544B07A8" w14:textId="77777777" w:rsidR="001C2F95" w:rsidRPr="00DE0DEC" w:rsidRDefault="001C2F95" w:rsidP="001C2F95">
      <w:pPr>
        <w:rPr>
          <w:rFonts w:cs="Arial"/>
          <w:color w:val="000000"/>
          <w:sz w:val="22"/>
        </w:rPr>
      </w:pPr>
      <w:r w:rsidRPr="00DE0DEC">
        <w:rPr>
          <w:rFonts w:cs="Arial"/>
          <w:color w:val="000000"/>
          <w:sz w:val="22"/>
        </w:rPr>
        <w:t>RTNC</w:t>
      </w:r>
      <w:r w:rsidRPr="00DE0DEC">
        <w:rPr>
          <w:rFonts w:cs="Arial"/>
          <w:color w:val="000000"/>
          <w:sz w:val="22"/>
        </w:rPr>
        <w:tab/>
      </w:r>
      <w:r w:rsidRPr="00DE0DEC">
        <w:rPr>
          <w:rFonts w:cs="Arial"/>
          <w:color w:val="000000"/>
          <w:sz w:val="22"/>
        </w:rPr>
        <w:tab/>
        <w:t>: Radio-Télévision Nationale Congolaise</w:t>
      </w:r>
    </w:p>
    <w:p w14:paraId="5D71A9C5" w14:textId="77777777" w:rsidR="001C2F95" w:rsidRPr="00DE0DEC" w:rsidRDefault="001C2F95" w:rsidP="001C2F95">
      <w:pPr>
        <w:rPr>
          <w:rFonts w:cs="Arial"/>
          <w:bCs/>
          <w:sz w:val="22"/>
        </w:rPr>
      </w:pPr>
      <w:r w:rsidRPr="00DE0DEC">
        <w:rPr>
          <w:rFonts w:cs="Arial"/>
          <w:sz w:val="22"/>
        </w:rPr>
        <w:t>S</w:t>
      </w:r>
      <w:r>
        <w:rPr>
          <w:rFonts w:cs="Arial"/>
          <w:sz w:val="22"/>
        </w:rPr>
        <w:t>S</w:t>
      </w:r>
      <w:r w:rsidRPr="00DE0DEC">
        <w:rPr>
          <w:rFonts w:cs="Arial"/>
          <w:sz w:val="22"/>
        </w:rPr>
        <w:t>S</w:t>
      </w:r>
      <w:r w:rsidRPr="00DE0DEC">
        <w:rPr>
          <w:rFonts w:cs="Arial"/>
          <w:sz w:val="22"/>
        </w:rPr>
        <w:tab/>
      </w:r>
      <w:r w:rsidRPr="00DE0DEC">
        <w:rPr>
          <w:rFonts w:cs="Arial"/>
          <w:sz w:val="22"/>
        </w:rPr>
        <w:tab/>
        <w:t xml:space="preserve">: Spécialiste en </w:t>
      </w:r>
      <w:r>
        <w:rPr>
          <w:rFonts w:cs="Arial"/>
          <w:sz w:val="22"/>
        </w:rPr>
        <w:t>Sauvegarde</w:t>
      </w:r>
      <w:r w:rsidRPr="00DE0DEC">
        <w:rPr>
          <w:rFonts w:cs="Arial"/>
          <w:sz w:val="22"/>
        </w:rPr>
        <w:t xml:space="preserve"> Social</w:t>
      </w:r>
      <w:r>
        <w:rPr>
          <w:rFonts w:cs="Arial"/>
          <w:sz w:val="22"/>
        </w:rPr>
        <w:t>e</w:t>
      </w:r>
    </w:p>
    <w:p w14:paraId="6C8AE06D" w14:textId="77777777" w:rsidR="001C2F95" w:rsidRPr="00DE0DEC" w:rsidRDefault="001C2F95" w:rsidP="001C2F95">
      <w:pPr>
        <w:rPr>
          <w:rFonts w:cs="Arial"/>
          <w:sz w:val="22"/>
        </w:rPr>
      </w:pPr>
      <w:r w:rsidRPr="00DE0DEC">
        <w:rPr>
          <w:rFonts w:cs="Arial"/>
          <w:sz w:val="22"/>
        </w:rPr>
        <w:t>SENADEP</w:t>
      </w:r>
      <w:r w:rsidRPr="00DE0DEC">
        <w:rPr>
          <w:rFonts w:cs="Arial"/>
          <w:sz w:val="22"/>
        </w:rPr>
        <w:tab/>
        <w:t>: Service National de Promotion et de Développement de la Pêche</w:t>
      </w:r>
    </w:p>
    <w:p w14:paraId="26D0AB16" w14:textId="77777777" w:rsidR="001C2F95" w:rsidRPr="00DE0DEC" w:rsidRDefault="001C2F95" w:rsidP="001C2F95">
      <w:pPr>
        <w:rPr>
          <w:rFonts w:cs="Arial"/>
          <w:sz w:val="22"/>
        </w:rPr>
      </w:pPr>
      <w:r w:rsidRPr="00DE0DEC">
        <w:rPr>
          <w:rFonts w:cs="Arial"/>
          <w:sz w:val="22"/>
        </w:rPr>
        <w:t>SENAFIC</w:t>
      </w:r>
      <w:r w:rsidRPr="00DE0DEC">
        <w:rPr>
          <w:rFonts w:cs="Arial"/>
          <w:sz w:val="22"/>
        </w:rPr>
        <w:tab/>
        <w:t>: Service National des Fertilisants et Intrants Connexes</w:t>
      </w:r>
    </w:p>
    <w:p w14:paraId="2E403DA4" w14:textId="77777777" w:rsidR="001C2F95" w:rsidRPr="00DE0DEC" w:rsidRDefault="001C2F95" w:rsidP="001C2F95">
      <w:pPr>
        <w:rPr>
          <w:rFonts w:cs="Arial"/>
          <w:sz w:val="22"/>
        </w:rPr>
      </w:pPr>
      <w:r w:rsidRPr="00DE0DEC">
        <w:rPr>
          <w:rFonts w:cs="Arial"/>
          <w:sz w:val="22"/>
        </w:rPr>
        <w:t>SENASEM </w:t>
      </w:r>
      <w:r w:rsidRPr="00DE0DEC">
        <w:rPr>
          <w:rFonts w:cs="Arial"/>
          <w:sz w:val="22"/>
        </w:rPr>
        <w:tab/>
        <w:t>: Service National de Semences</w:t>
      </w:r>
    </w:p>
    <w:p w14:paraId="71897D77" w14:textId="77777777" w:rsidR="001C2F95" w:rsidRDefault="001C2F95" w:rsidP="001C2F95">
      <w:pPr>
        <w:rPr>
          <w:rFonts w:cs="Arial"/>
          <w:bCs/>
          <w:sz w:val="22"/>
        </w:rPr>
      </w:pPr>
      <w:r>
        <w:rPr>
          <w:rFonts w:cs="Arial"/>
          <w:bCs/>
          <w:sz w:val="22"/>
        </w:rPr>
        <w:t>SGES</w:t>
      </w:r>
      <w:r>
        <w:rPr>
          <w:rFonts w:cs="Arial"/>
          <w:bCs/>
          <w:sz w:val="22"/>
        </w:rPr>
        <w:tab/>
      </w:r>
      <w:r>
        <w:rPr>
          <w:rFonts w:cs="Arial"/>
          <w:bCs/>
          <w:sz w:val="22"/>
        </w:rPr>
        <w:tab/>
        <w:t>: Système de Gestion Environnemental et Social</w:t>
      </w:r>
    </w:p>
    <w:p w14:paraId="429F239C" w14:textId="77777777" w:rsidR="001C2F95" w:rsidRPr="00DE0DEC" w:rsidRDefault="001C2F95" w:rsidP="001C2F95">
      <w:pPr>
        <w:rPr>
          <w:rFonts w:cs="Arial"/>
          <w:bCs/>
          <w:sz w:val="22"/>
        </w:rPr>
      </w:pPr>
      <w:r w:rsidRPr="00DE0DEC">
        <w:rPr>
          <w:rFonts w:cs="Arial"/>
          <w:bCs/>
          <w:sz w:val="22"/>
        </w:rPr>
        <w:t>SIDA</w:t>
      </w:r>
      <w:r w:rsidRPr="00DE0DEC">
        <w:rPr>
          <w:rFonts w:cs="Arial"/>
          <w:bCs/>
          <w:sz w:val="22"/>
        </w:rPr>
        <w:tab/>
      </w:r>
      <w:r w:rsidRPr="00DE0DEC">
        <w:rPr>
          <w:rFonts w:cs="Arial"/>
          <w:bCs/>
          <w:sz w:val="22"/>
        </w:rPr>
        <w:tab/>
        <w:t>: Syndrome d'Immunodéficience Acquise</w:t>
      </w:r>
    </w:p>
    <w:p w14:paraId="6E25E85E" w14:textId="77777777" w:rsidR="001C2F95" w:rsidRPr="00DE0DEC" w:rsidRDefault="001C2F95" w:rsidP="001C2F95">
      <w:pPr>
        <w:rPr>
          <w:rFonts w:cs="Arial"/>
          <w:sz w:val="22"/>
        </w:rPr>
      </w:pPr>
      <w:r w:rsidRPr="00DE0DEC">
        <w:rPr>
          <w:rFonts w:cs="Arial"/>
          <w:sz w:val="22"/>
        </w:rPr>
        <w:t xml:space="preserve">SNA </w:t>
      </w:r>
      <w:r w:rsidRPr="00DE0DEC">
        <w:rPr>
          <w:rFonts w:cs="Arial"/>
          <w:sz w:val="22"/>
        </w:rPr>
        <w:tab/>
      </w:r>
      <w:r w:rsidRPr="00DE0DEC">
        <w:rPr>
          <w:rFonts w:cs="Arial"/>
          <w:sz w:val="22"/>
        </w:rPr>
        <w:tab/>
        <w:t>: Stratégie Nationale d’Assainissement</w:t>
      </w:r>
    </w:p>
    <w:p w14:paraId="3F50500A" w14:textId="77777777" w:rsidR="001C2F95" w:rsidRPr="00DE0DEC" w:rsidRDefault="001C2F95" w:rsidP="001C2F95">
      <w:pPr>
        <w:rPr>
          <w:rFonts w:cs="Arial"/>
          <w:sz w:val="22"/>
        </w:rPr>
      </w:pPr>
      <w:r w:rsidRPr="00DE0DEC">
        <w:rPr>
          <w:rFonts w:cs="Arial"/>
          <w:color w:val="000000"/>
          <w:sz w:val="22"/>
        </w:rPr>
        <w:t xml:space="preserve">SNEL </w:t>
      </w:r>
      <w:r w:rsidRPr="00DE0DEC">
        <w:rPr>
          <w:rFonts w:cs="Arial"/>
          <w:color w:val="000000"/>
          <w:sz w:val="22"/>
        </w:rPr>
        <w:tab/>
      </w:r>
      <w:r w:rsidRPr="00DE0DEC">
        <w:rPr>
          <w:rFonts w:cs="Arial"/>
          <w:color w:val="000000"/>
          <w:sz w:val="22"/>
        </w:rPr>
        <w:tab/>
        <w:t>: Société Nationale d’Électricité</w:t>
      </w:r>
    </w:p>
    <w:p w14:paraId="071B6D12" w14:textId="77777777" w:rsidR="001C2F95" w:rsidRPr="00DE0DEC" w:rsidRDefault="001C2F95" w:rsidP="001C2F95">
      <w:pPr>
        <w:rPr>
          <w:rFonts w:cs="Arial"/>
          <w:sz w:val="22"/>
        </w:rPr>
      </w:pPr>
      <w:r w:rsidRPr="00DE0DEC">
        <w:rPr>
          <w:rFonts w:cs="Arial"/>
          <w:sz w:val="22"/>
        </w:rPr>
        <w:t>SNHR </w:t>
      </w:r>
      <w:r w:rsidRPr="00DE0DEC">
        <w:rPr>
          <w:rFonts w:cs="Arial"/>
          <w:sz w:val="22"/>
        </w:rPr>
        <w:tab/>
      </w:r>
      <w:r w:rsidRPr="00DE0DEC">
        <w:rPr>
          <w:rFonts w:cs="Arial"/>
          <w:sz w:val="22"/>
        </w:rPr>
        <w:tab/>
        <w:t>: Service National de l’Hydraulique Rurale</w:t>
      </w:r>
    </w:p>
    <w:p w14:paraId="4234126C" w14:textId="77777777" w:rsidR="001C2F95" w:rsidRPr="00DE0DEC" w:rsidRDefault="001C2F95" w:rsidP="001C2F95">
      <w:pPr>
        <w:rPr>
          <w:rFonts w:cs="Arial"/>
          <w:sz w:val="22"/>
        </w:rPr>
      </w:pPr>
      <w:r w:rsidRPr="00DE0DEC">
        <w:rPr>
          <w:rFonts w:cs="Arial"/>
          <w:sz w:val="22"/>
        </w:rPr>
        <w:t>SNV </w:t>
      </w:r>
      <w:r w:rsidRPr="00DE0DEC">
        <w:rPr>
          <w:rFonts w:cs="Arial"/>
          <w:sz w:val="22"/>
        </w:rPr>
        <w:tab/>
      </w:r>
      <w:r w:rsidRPr="00DE0DEC">
        <w:rPr>
          <w:rFonts w:cs="Arial"/>
          <w:sz w:val="22"/>
        </w:rPr>
        <w:tab/>
        <w:t>: Service National de Vulgarisation</w:t>
      </w:r>
    </w:p>
    <w:p w14:paraId="62B38CA1" w14:textId="77777777" w:rsidR="001C2F95" w:rsidRPr="00DE0DEC" w:rsidRDefault="001C2F95" w:rsidP="001C2F95">
      <w:pPr>
        <w:rPr>
          <w:rFonts w:cs="Arial"/>
          <w:sz w:val="22"/>
        </w:rPr>
      </w:pPr>
      <w:r w:rsidRPr="00DE0DEC">
        <w:rPr>
          <w:rFonts w:cs="Arial"/>
          <w:sz w:val="22"/>
        </w:rPr>
        <w:t xml:space="preserve">SNVBG </w:t>
      </w:r>
      <w:r w:rsidRPr="00DE0DEC">
        <w:rPr>
          <w:rFonts w:cs="Arial"/>
          <w:sz w:val="22"/>
        </w:rPr>
        <w:tab/>
        <w:t xml:space="preserve">: Stratégie Nationale de </w:t>
      </w:r>
      <w:r>
        <w:rPr>
          <w:rFonts w:cs="Arial"/>
          <w:sz w:val="22"/>
        </w:rPr>
        <w:t>L</w:t>
      </w:r>
      <w:r w:rsidRPr="00DE0DEC">
        <w:rPr>
          <w:rFonts w:cs="Arial"/>
          <w:sz w:val="22"/>
        </w:rPr>
        <w:t>utte contre les Violences Basées sur le Genre</w:t>
      </w:r>
    </w:p>
    <w:p w14:paraId="1D26DCB3" w14:textId="77777777" w:rsidR="001C2F95" w:rsidRPr="00DE0DEC" w:rsidRDefault="001C2F95" w:rsidP="001C2F95">
      <w:pPr>
        <w:rPr>
          <w:rFonts w:cs="Arial"/>
          <w:sz w:val="22"/>
        </w:rPr>
      </w:pPr>
      <w:r w:rsidRPr="00DE0DEC">
        <w:rPr>
          <w:rFonts w:cs="Arial"/>
          <w:sz w:val="22"/>
        </w:rPr>
        <w:t xml:space="preserve">SPM </w:t>
      </w:r>
      <w:r w:rsidRPr="00DE0DEC">
        <w:rPr>
          <w:rFonts w:cs="Arial"/>
          <w:sz w:val="22"/>
        </w:rPr>
        <w:tab/>
      </w:r>
      <w:r w:rsidRPr="00DE0DEC">
        <w:rPr>
          <w:rFonts w:cs="Arial"/>
          <w:sz w:val="22"/>
        </w:rPr>
        <w:tab/>
        <w:t>: Spécialiste en Passation des Marchés</w:t>
      </w:r>
    </w:p>
    <w:p w14:paraId="76ED7B31" w14:textId="77777777" w:rsidR="001C2F95" w:rsidRPr="00DE0DEC" w:rsidRDefault="001C2F95" w:rsidP="001C2F95">
      <w:pPr>
        <w:rPr>
          <w:rFonts w:cs="Arial"/>
          <w:sz w:val="22"/>
        </w:rPr>
      </w:pPr>
      <w:r w:rsidRPr="00DE0DEC">
        <w:rPr>
          <w:rFonts w:cs="Arial"/>
          <w:sz w:val="22"/>
        </w:rPr>
        <w:t>SSADR</w:t>
      </w:r>
      <w:r w:rsidRPr="00DE0DEC">
        <w:rPr>
          <w:rFonts w:cs="Arial"/>
          <w:sz w:val="22"/>
        </w:rPr>
        <w:tab/>
        <w:t xml:space="preserve">: </w:t>
      </w:r>
      <w:r w:rsidRPr="00DE0DEC">
        <w:rPr>
          <w:rFonts w:cs="Arial"/>
          <w:color w:val="000000"/>
          <w:sz w:val="22"/>
          <w:lang w:eastAsia="en-US"/>
        </w:rPr>
        <w:t xml:space="preserve">Stratégie </w:t>
      </w:r>
      <w:r>
        <w:rPr>
          <w:rFonts w:cs="Arial"/>
          <w:color w:val="000000"/>
          <w:sz w:val="22"/>
          <w:lang w:eastAsia="en-US"/>
        </w:rPr>
        <w:t>S</w:t>
      </w:r>
      <w:r w:rsidRPr="00DE0DEC">
        <w:rPr>
          <w:rFonts w:cs="Arial"/>
          <w:color w:val="000000"/>
          <w:sz w:val="22"/>
          <w:lang w:eastAsia="en-US"/>
        </w:rPr>
        <w:t>ectorielle de l’</w:t>
      </w:r>
      <w:r>
        <w:rPr>
          <w:rFonts w:cs="Arial"/>
          <w:color w:val="000000"/>
          <w:sz w:val="22"/>
          <w:lang w:eastAsia="en-US"/>
        </w:rPr>
        <w:t>A</w:t>
      </w:r>
      <w:r w:rsidRPr="00DE0DEC">
        <w:rPr>
          <w:rFonts w:cs="Arial"/>
          <w:color w:val="000000"/>
          <w:sz w:val="22"/>
          <w:lang w:eastAsia="en-US"/>
        </w:rPr>
        <w:t xml:space="preserve">griculture et du </w:t>
      </w:r>
      <w:r>
        <w:rPr>
          <w:rFonts w:cs="Arial"/>
          <w:color w:val="000000"/>
          <w:sz w:val="22"/>
          <w:lang w:eastAsia="en-US"/>
        </w:rPr>
        <w:t>D</w:t>
      </w:r>
      <w:r w:rsidRPr="00DE0DEC">
        <w:rPr>
          <w:rFonts w:cs="Arial"/>
          <w:color w:val="000000"/>
          <w:sz w:val="22"/>
          <w:lang w:eastAsia="en-US"/>
        </w:rPr>
        <w:t xml:space="preserve">éveloppement </w:t>
      </w:r>
      <w:r>
        <w:rPr>
          <w:rFonts w:cs="Arial"/>
          <w:color w:val="000000"/>
          <w:sz w:val="22"/>
          <w:lang w:eastAsia="en-US"/>
        </w:rPr>
        <w:t>R</w:t>
      </w:r>
      <w:r w:rsidRPr="00DE0DEC">
        <w:rPr>
          <w:rFonts w:cs="Arial"/>
          <w:color w:val="000000"/>
          <w:sz w:val="22"/>
          <w:lang w:eastAsia="en-US"/>
        </w:rPr>
        <w:t>ural</w:t>
      </w:r>
    </w:p>
    <w:p w14:paraId="0F9C0189" w14:textId="77777777" w:rsidR="001C2F95" w:rsidRPr="00DE0DEC" w:rsidRDefault="001C2F95" w:rsidP="001C2F95">
      <w:pPr>
        <w:rPr>
          <w:rFonts w:cs="Arial"/>
          <w:sz w:val="22"/>
        </w:rPr>
      </w:pPr>
      <w:r w:rsidRPr="00DE0DEC">
        <w:rPr>
          <w:rFonts w:cs="Arial"/>
          <w:sz w:val="22"/>
        </w:rPr>
        <w:t xml:space="preserve">SSE </w:t>
      </w:r>
      <w:r w:rsidRPr="00DE0DEC">
        <w:rPr>
          <w:rFonts w:cs="Arial"/>
          <w:sz w:val="22"/>
        </w:rPr>
        <w:tab/>
      </w:r>
      <w:r w:rsidRPr="00DE0DEC">
        <w:rPr>
          <w:rFonts w:cs="Arial"/>
          <w:sz w:val="22"/>
        </w:rPr>
        <w:tab/>
        <w:t>: Spécialiste en Sauvegarde Environnementale</w:t>
      </w:r>
    </w:p>
    <w:p w14:paraId="6EF3ACA0" w14:textId="77777777" w:rsidR="001C2F95" w:rsidRPr="00DE0DEC" w:rsidRDefault="001C2F95" w:rsidP="001C2F95">
      <w:pPr>
        <w:rPr>
          <w:rFonts w:cs="Arial"/>
          <w:sz w:val="22"/>
        </w:rPr>
      </w:pPr>
      <w:r w:rsidRPr="00DE0DEC">
        <w:rPr>
          <w:rFonts w:cs="Arial"/>
          <w:sz w:val="22"/>
        </w:rPr>
        <w:t>SSES</w:t>
      </w:r>
      <w:r w:rsidRPr="00DE0DEC">
        <w:rPr>
          <w:rFonts w:cs="Arial"/>
          <w:sz w:val="22"/>
        </w:rPr>
        <w:tab/>
      </w:r>
      <w:r w:rsidRPr="00DE0DEC">
        <w:rPr>
          <w:rFonts w:cs="Arial"/>
          <w:sz w:val="22"/>
        </w:rPr>
        <w:tab/>
        <w:t>: Spécialistes</w:t>
      </w:r>
      <w:r>
        <w:rPr>
          <w:rFonts w:cs="Arial"/>
          <w:sz w:val="22"/>
        </w:rPr>
        <w:t xml:space="preserve"> </w:t>
      </w:r>
      <w:r w:rsidRPr="00730A4A">
        <w:rPr>
          <w:rFonts w:cs="Arial"/>
          <w:color w:val="000000"/>
          <w:sz w:val="22"/>
        </w:rPr>
        <w:t>en Sauvegardes Environnementale et Sociale</w:t>
      </w:r>
    </w:p>
    <w:p w14:paraId="15325763" w14:textId="77777777" w:rsidR="001C2F95" w:rsidRPr="00DE0DEC" w:rsidRDefault="001C2F95" w:rsidP="001C2F95">
      <w:pPr>
        <w:rPr>
          <w:rFonts w:cs="Arial"/>
          <w:sz w:val="22"/>
        </w:rPr>
      </w:pPr>
      <w:r w:rsidRPr="00DE0DEC">
        <w:rPr>
          <w:rFonts w:cs="Arial"/>
          <w:sz w:val="22"/>
        </w:rPr>
        <w:t xml:space="preserve">S-SE </w:t>
      </w:r>
      <w:r w:rsidRPr="00DE0DEC">
        <w:rPr>
          <w:rFonts w:cs="Arial"/>
          <w:sz w:val="22"/>
        </w:rPr>
        <w:tab/>
      </w:r>
      <w:r w:rsidRPr="00DE0DEC">
        <w:rPr>
          <w:rFonts w:cs="Arial"/>
          <w:sz w:val="22"/>
        </w:rPr>
        <w:tab/>
        <w:t>: Spécialiste en Suivi-Évaluation</w:t>
      </w:r>
    </w:p>
    <w:p w14:paraId="474F1BC0" w14:textId="77777777" w:rsidR="001C2F95" w:rsidRPr="00DE0DEC" w:rsidRDefault="001C2F95" w:rsidP="001C2F95">
      <w:pPr>
        <w:rPr>
          <w:rFonts w:cs="Arial"/>
          <w:sz w:val="22"/>
        </w:rPr>
      </w:pPr>
      <w:r w:rsidRPr="00DE0DEC">
        <w:rPr>
          <w:rFonts w:cs="Arial"/>
          <w:sz w:val="22"/>
        </w:rPr>
        <w:t>SST</w:t>
      </w:r>
      <w:r w:rsidRPr="00DE0DEC">
        <w:rPr>
          <w:rFonts w:cs="Arial"/>
          <w:sz w:val="22"/>
        </w:rPr>
        <w:tab/>
      </w:r>
      <w:r w:rsidRPr="00DE0DEC">
        <w:rPr>
          <w:rFonts w:cs="Arial"/>
          <w:sz w:val="22"/>
        </w:rPr>
        <w:tab/>
        <w:t>: Santé et Sécurité au Travail</w:t>
      </w:r>
    </w:p>
    <w:p w14:paraId="40E863BA" w14:textId="77777777" w:rsidR="001C2F95" w:rsidRPr="00DE0DEC" w:rsidRDefault="001C2F95" w:rsidP="001C2F95">
      <w:pPr>
        <w:rPr>
          <w:rFonts w:cs="Arial"/>
          <w:sz w:val="22"/>
        </w:rPr>
      </w:pPr>
      <w:r w:rsidRPr="00DE0DEC">
        <w:rPr>
          <w:rFonts w:cs="Arial"/>
          <w:sz w:val="22"/>
        </w:rPr>
        <w:t>TDR</w:t>
      </w:r>
      <w:r w:rsidRPr="00DE0DEC">
        <w:rPr>
          <w:rFonts w:cs="Arial"/>
          <w:sz w:val="22"/>
        </w:rPr>
        <w:tab/>
      </w:r>
      <w:r w:rsidRPr="00DE0DEC">
        <w:rPr>
          <w:rFonts w:cs="Arial"/>
          <w:sz w:val="22"/>
        </w:rPr>
        <w:tab/>
        <w:t>: Termes de Référence</w:t>
      </w:r>
    </w:p>
    <w:p w14:paraId="2E469B48" w14:textId="77777777" w:rsidR="001C2F95" w:rsidRPr="00DE0DEC" w:rsidRDefault="001C2F95" w:rsidP="001C2F95">
      <w:pPr>
        <w:rPr>
          <w:rFonts w:cs="Arial"/>
          <w:bCs/>
          <w:color w:val="1E1E1E"/>
          <w:sz w:val="22"/>
        </w:rPr>
      </w:pPr>
      <w:r w:rsidRPr="00DE0DEC">
        <w:rPr>
          <w:rFonts w:eastAsia="Calibri" w:cs="Arial"/>
          <w:color w:val="000000"/>
          <w:sz w:val="22"/>
        </w:rPr>
        <w:t xml:space="preserve">UES </w:t>
      </w:r>
      <w:r w:rsidRPr="00DE0DEC">
        <w:rPr>
          <w:rFonts w:eastAsia="Calibri" w:cs="Arial"/>
          <w:color w:val="000000"/>
          <w:sz w:val="22"/>
        </w:rPr>
        <w:tab/>
      </w:r>
      <w:r w:rsidRPr="00DE0DEC">
        <w:rPr>
          <w:rFonts w:eastAsia="Calibri" w:cs="Arial"/>
          <w:color w:val="000000"/>
          <w:sz w:val="22"/>
        </w:rPr>
        <w:tab/>
        <w:t>: Unité Environnementale et Sociale</w:t>
      </w:r>
    </w:p>
    <w:p w14:paraId="65BFE249" w14:textId="77777777" w:rsidR="001C2F95" w:rsidRPr="00DE0DEC" w:rsidRDefault="001C2F95" w:rsidP="001C2F95">
      <w:pPr>
        <w:rPr>
          <w:rFonts w:cs="Arial"/>
          <w:sz w:val="22"/>
        </w:rPr>
      </w:pPr>
      <w:r w:rsidRPr="00DE0DEC">
        <w:rPr>
          <w:rFonts w:cs="Arial"/>
          <w:sz w:val="22"/>
        </w:rPr>
        <w:t>UNCP </w:t>
      </w:r>
      <w:r w:rsidRPr="00DE0DEC">
        <w:rPr>
          <w:rFonts w:cs="Arial"/>
          <w:sz w:val="22"/>
        </w:rPr>
        <w:tab/>
      </w:r>
      <w:r w:rsidRPr="00DE0DEC">
        <w:rPr>
          <w:rFonts w:cs="Arial"/>
          <w:sz w:val="22"/>
        </w:rPr>
        <w:tab/>
        <w:t>: Unité Nationale de Coordination du Projet</w:t>
      </w:r>
    </w:p>
    <w:p w14:paraId="0D58EF27" w14:textId="77777777" w:rsidR="001C2F95" w:rsidRPr="00DE0DEC" w:rsidRDefault="001C2F95" w:rsidP="001C2F95">
      <w:pPr>
        <w:rPr>
          <w:rFonts w:cs="Arial"/>
          <w:sz w:val="22"/>
        </w:rPr>
      </w:pPr>
      <w:r w:rsidRPr="00DE0DEC">
        <w:rPr>
          <w:rFonts w:cs="Arial"/>
          <w:sz w:val="22"/>
        </w:rPr>
        <w:t>UNIKIN</w:t>
      </w:r>
      <w:r w:rsidRPr="00DE0DEC">
        <w:rPr>
          <w:rFonts w:cs="Arial"/>
          <w:sz w:val="22"/>
        </w:rPr>
        <w:tab/>
        <w:t>: Université de Kinshasa</w:t>
      </w:r>
    </w:p>
    <w:p w14:paraId="27DB5C79" w14:textId="77777777" w:rsidR="001C2F95" w:rsidRPr="00DE0DEC" w:rsidRDefault="001C2F95" w:rsidP="001C2F95">
      <w:pPr>
        <w:rPr>
          <w:rFonts w:cs="Arial"/>
          <w:sz w:val="22"/>
        </w:rPr>
      </w:pPr>
      <w:r w:rsidRPr="00DE0DEC">
        <w:rPr>
          <w:rFonts w:cs="Arial"/>
          <w:sz w:val="22"/>
        </w:rPr>
        <w:t>UNFPA</w:t>
      </w:r>
      <w:r w:rsidRPr="00DE0DEC">
        <w:rPr>
          <w:rFonts w:cs="Arial"/>
          <w:sz w:val="22"/>
        </w:rPr>
        <w:tab/>
        <w:t xml:space="preserve">: Fonds des Nations Unies pour la </w:t>
      </w:r>
      <w:r>
        <w:rPr>
          <w:rFonts w:cs="Arial"/>
          <w:sz w:val="22"/>
        </w:rPr>
        <w:t>P</w:t>
      </w:r>
      <w:r w:rsidRPr="00DE0DEC">
        <w:rPr>
          <w:rFonts w:cs="Arial"/>
          <w:sz w:val="22"/>
        </w:rPr>
        <w:t>opulation</w:t>
      </w:r>
    </w:p>
    <w:p w14:paraId="2577555E" w14:textId="77777777" w:rsidR="001C2F95" w:rsidRPr="00DE0DEC" w:rsidRDefault="001C2F95" w:rsidP="001C2F95">
      <w:pPr>
        <w:rPr>
          <w:rFonts w:cs="Arial"/>
          <w:bCs/>
          <w:sz w:val="22"/>
        </w:rPr>
      </w:pPr>
      <w:r w:rsidRPr="00DE0DEC">
        <w:rPr>
          <w:rFonts w:cs="Arial"/>
          <w:bCs/>
          <w:sz w:val="22"/>
        </w:rPr>
        <w:lastRenderedPageBreak/>
        <w:t>UNOPS </w:t>
      </w:r>
      <w:r w:rsidRPr="00DE0DEC">
        <w:rPr>
          <w:rFonts w:cs="Arial"/>
          <w:bCs/>
          <w:sz w:val="22"/>
        </w:rPr>
        <w:tab/>
        <w:t xml:space="preserve">: </w:t>
      </w:r>
      <w:r w:rsidRPr="00DE0DEC">
        <w:rPr>
          <w:rFonts w:cs="Arial"/>
          <w:color w:val="222222"/>
          <w:sz w:val="22"/>
          <w:shd w:val="clear" w:color="auto" w:fill="FFFFFF"/>
        </w:rPr>
        <w:t>Bureau des Nations Unies pour les services d'appui aux Projets </w:t>
      </w:r>
    </w:p>
    <w:p w14:paraId="6E12AE98" w14:textId="77777777" w:rsidR="001C2F95" w:rsidRPr="00DE0DEC" w:rsidRDefault="001C2F95" w:rsidP="001C2F95">
      <w:pPr>
        <w:rPr>
          <w:rFonts w:cs="Arial"/>
          <w:sz w:val="22"/>
        </w:rPr>
      </w:pPr>
      <w:r w:rsidRPr="00DE0DEC">
        <w:rPr>
          <w:rFonts w:cs="Arial"/>
          <w:sz w:val="22"/>
        </w:rPr>
        <w:t>USD</w:t>
      </w:r>
      <w:r w:rsidRPr="00DE0DEC">
        <w:rPr>
          <w:rFonts w:cs="Arial"/>
          <w:sz w:val="22"/>
        </w:rPr>
        <w:tab/>
      </w:r>
      <w:r w:rsidRPr="00DE0DEC">
        <w:rPr>
          <w:rFonts w:cs="Arial"/>
          <w:sz w:val="22"/>
        </w:rPr>
        <w:tab/>
        <w:t>: Dollars américains</w:t>
      </w:r>
    </w:p>
    <w:p w14:paraId="5DC0E6F1" w14:textId="77777777" w:rsidR="001C2F95" w:rsidRPr="00DE0DEC" w:rsidRDefault="001C2F95" w:rsidP="001C2F95">
      <w:pPr>
        <w:rPr>
          <w:rFonts w:cs="Arial"/>
          <w:sz w:val="22"/>
        </w:rPr>
      </w:pPr>
      <w:r w:rsidRPr="00DE0DEC">
        <w:rPr>
          <w:rFonts w:cs="Arial"/>
          <w:sz w:val="22"/>
        </w:rPr>
        <w:t>VBG </w:t>
      </w:r>
      <w:r w:rsidRPr="00DE0DEC">
        <w:rPr>
          <w:rFonts w:cs="Arial"/>
          <w:sz w:val="22"/>
        </w:rPr>
        <w:tab/>
      </w:r>
      <w:r w:rsidRPr="00DE0DEC">
        <w:rPr>
          <w:rFonts w:cs="Arial"/>
          <w:sz w:val="22"/>
        </w:rPr>
        <w:tab/>
        <w:t>: Violence</w:t>
      </w:r>
      <w:r>
        <w:rPr>
          <w:rFonts w:cs="Arial"/>
          <w:sz w:val="22"/>
        </w:rPr>
        <w:t>s</w:t>
      </w:r>
      <w:r w:rsidRPr="00DE0DEC">
        <w:rPr>
          <w:rFonts w:cs="Arial"/>
          <w:sz w:val="22"/>
        </w:rPr>
        <w:t xml:space="preserve"> Basée</w:t>
      </w:r>
      <w:r>
        <w:rPr>
          <w:rFonts w:cs="Arial"/>
          <w:sz w:val="22"/>
        </w:rPr>
        <w:t>s</w:t>
      </w:r>
      <w:r w:rsidRPr="00DE0DEC">
        <w:rPr>
          <w:rFonts w:cs="Arial"/>
          <w:sz w:val="22"/>
        </w:rPr>
        <w:t xml:space="preserve"> sur le Genre</w:t>
      </w:r>
    </w:p>
    <w:p w14:paraId="4C6890C7" w14:textId="77777777" w:rsidR="001C2F95" w:rsidRDefault="001C2F95" w:rsidP="001C2F95">
      <w:pPr>
        <w:rPr>
          <w:rFonts w:cs="Arial"/>
          <w:bCs/>
          <w:sz w:val="22"/>
        </w:rPr>
      </w:pPr>
      <w:r>
        <w:rPr>
          <w:rFonts w:cs="Arial"/>
          <w:bCs/>
          <w:sz w:val="22"/>
        </w:rPr>
        <w:t>VCE</w:t>
      </w:r>
      <w:r>
        <w:rPr>
          <w:rFonts w:cs="Arial"/>
          <w:bCs/>
          <w:sz w:val="22"/>
        </w:rPr>
        <w:tab/>
      </w:r>
      <w:r>
        <w:rPr>
          <w:rFonts w:cs="Arial"/>
          <w:bCs/>
          <w:sz w:val="22"/>
        </w:rPr>
        <w:tab/>
        <w:t>: Violences Contre les Enfants</w:t>
      </w:r>
    </w:p>
    <w:p w14:paraId="62870B57" w14:textId="77777777" w:rsidR="001C2F95" w:rsidRPr="00DE0DEC" w:rsidRDefault="001C2F95" w:rsidP="001C2F95">
      <w:pPr>
        <w:rPr>
          <w:rFonts w:cs="Arial"/>
          <w:bCs/>
          <w:sz w:val="22"/>
        </w:rPr>
      </w:pPr>
      <w:r w:rsidRPr="00DE0DEC">
        <w:rPr>
          <w:rFonts w:cs="Arial"/>
          <w:bCs/>
          <w:sz w:val="22"/>
        </w:rPr>
        <w:t>VIH</w:t>
      </w:r>
      <w:r w:rsidRPr="00DE0DEC">
        <w:rPr>
          <w:rFonts w:cs="Arial"/>
          <w:bCs/>
          <w:sz w:val="22"/>
        </w:rPr>
        <w:tab/>
      </w:r>
      <w:r w:rsidRPr="00DE0DEC">
        <w:rPr>
          <w:rFonts w:cs="Arial"/>
          <w:bCs/>
          <w:sz w:val="22"/>
        </w:rPr>
        <w:tab/>
        <w:t>: Virus de l’Immunodéficience Humaine</w:t>
      </w:r>
    </w:p>
    <w:p w14:paraId="71CAFBC4" w14:textId="77777777" w:rsidR="001C2F95" w:rsidRPr="00DE0DEC" w:rsidRDefault="001C2F95" w:rsidP="001C2F95">
      <w:pPr>
        <w:rPr>
          <w:rFonts w:cs="Arial"/>
          <w:bCs/>
          <w:sz w:val="22"/>
        </w:rPr>
      </w:pPr>
      <w:r w:rsidRPr="00DE0DEC">
        <w:rPr>
          <w:rFonts w:cs="Arial"/>
          <w:color w:val="222222"/>
          <w:sz w:val="22"/>
        </w:rPr>
        <w:t xml:space="preserve">VSLA </w:t>
      </w:r>
      <w:r w:rsidRPr="00DE0DEC">
        <w:rPr>
          <w:rFonts w:cs="Arial"/>
          <w:color w:val="222222"/>
          <w:sz w:val="22"/>
        </w:rPr>
        <w:tab/>
      </w:r>
      <w:r w:rsidRPr="00DE0DEC">
        <w:rPr>
          <w:rFonts w:cs="Arial"/>
          <w:color w:val="222222"/>
          <w:sz w:val="22"/>
        </w:rPr>
        <w:tab/>
        <w:t>: Petites Caisses Villageoises Autogérés</w:t>
      </w:r>
    </w:p>
    <w:p w14:paraId="13299560" w14:textId="77777777" w:rsidR="001C2F95" w:rsidRPr="00DE0DEC" w:rsidRDefault="001C2F95" w:rsidP="001C2F95">
      <w:pPr>
        <w:rPr>
          <w:rFonts w:cs="Arial"/>
          <w:bCs/>
          <w:sz w:val="22"/>
        </w:rPr>
      </w:pPr>
      <w:r w:rsidRPr="00DE0DEC">
        <w:rPr>
          <w:rFonts w:cs="Arial"/>
          <w:bCs/>
          <w:sz w:val="22"/>
        </w:rPr>
        <w:t>ZIP</w:t>
      </w:r>
      <w:r w:rsidRPr="00DE0DEC">
        <w:rPr>
          <w:rFonts w:cs="Arial"/>
          <w:bCs/>
          <w:sz w:val="22"/>
        </w:rPr>
        <w:tab/>
      </w:r>
      <w:r w:rsidRPr="00DE0DEC">
        <w:rPr>
          <w:rFonts w:cs="Arial"/>
          <w:bCs/>
          <w:sz w:val="22"/>
        </w:rPr>
        <w:tab/>
        <w:t>: Zone d’Influence du Projet</w:t>
      </w:r>
    </w:p>
    <w:p w14:paraId="3D54516D" w14:textId="77777777" w:rsidR="001C2F95" w:rsidRPr="00352D04" w:rsidRDefault="001C2F95" w:rsidP="001C2F95">
      <w:pPr>
        <w:rPr>
          <w:rFonts w:cs="Arial"/>
          <w:bCs/>
          <w:sz w:val="22"/>
        </w:rPr>
      </w:pPr>
      <w:r w:rsidRPr="00DE0DEC">
        <w:rPr>
          <w:rFonts w:cs="Arial"/>
          <w:bCs/>
          <w:sz w:val="22"/>
        </w:rPr>
        <w:t>ZS</w:t>
      </w:r>
      <w:r w:rsidRPr="00DE0DEC">
        <w:rPr>
          <w:rFonts w:cs="Arial"/>
          <w:bCs/>
          <w:sz w:val="22"/>
        </w:rPr>
        <w:tab/>
      </w:r>
      <w:r w:rsidRPr="00DE0DEC">
        <w:rPr>
          <w:rFonts w:cs="Arial"/>
          <w:bCs/>
          <w:sz w:val="22"/>
        </w:rPr>
        <w:tab/>
        <w:t>: Zone de Santé</w:t>
      </w:r>
    </w:p>
    <w:p w14:paraId="66C49C5C" w14:textId="77777777" w:rsidR="001C2F95" w:rsidRPr="00352D04" w:rsidRDefault="001C2F95" w:rsidP="001C2F95">
      <w:pPr>
        <w:rPr>
          <w:rFonts w:cs="Arial"/>
          <w:sz w:val="22"/>
        </w:rPr>
      </w:pPr>
    </w:p>
    <w:p w14:paraId="1FAF667E" w14:textId="77777777" w:rsidR="001C2F95" w:rsidRPr="000A2C55" w:rsidRDefault="001C2F95" w:rsidP="001C2F95">
      <w:pPr>
        <w:pStyle w:val="Titre1"/>
        <w:ind w:left="1134" w:hanging="1134"/>
        <w:jc w:val="center"/>
        <w:rPr>
          <w:rFonts w:cs="Arial"/>
          <w:sz w:val="22"/>
          <w:szCs w:val="22"/>
        </w:rPr>
      </w:pPr>
      <w:r w:rsidRPr="00352D04">
        <w:rPr>
          <w:rFonts w:cs="Arial"/>
          <w:b w:val="0"/>
          <w:sz w:val="22"/>
          <w:highlight w:val="yellow"/>
        </w:rPr>
        <w:br w:type="page"/>
      </w:r>
      <w:bookmarkStart w:id="16" w:name="_Toc44626779"/>
      <w:bookmarkStart w:id="17" w:name="_Toc70330311"/>
      <w:r w:rsidRPr="000A2C55">
        <w:rPr>
          <w:rFonts w:cs="Arial"/>
          <w:sz w:val="22"/>
          <w:szCs w:val="22"/>
        </w:rPr>
        <w:lastRenderedPageBreak/>
        <w:t>LISTE DES TABLEAUX</w:t>
      </w:r>
      <w:bookmarkEnd w:id="10"/>
      <w:bookmarkEnd w:id="15"/>
      <w:bookmarkEnd w:id="16"/>
      <w:bookmarkEnd w:id="17"/>
    </w:p>
    <w:p w14:paraId="26FBA6EC" w14:textId="77777777" w:rsidR="001C2F95" w:rsidRPr="00753856" w:rsidRDefault="001C2F95" w:rsidP="001C2F95">
      <w:pPr>
        <w:ind w:left="1134" w:hanging="1134"/>
        <w:rPr>
          <w:rFonts w:cs="Arial"/>
          <w:sz w:val="22"/>
        </w:rPr>
      </w:pPr>
    </w:p>
    <w:p w14:paraId="1F3F7996" w14:textId="77777777" w:rsidR="001260B3" w:rsidRPr="008E468D" w:rsidRDefault="001C2F95">
      <w:pPr>
        <w:pStyle w:val="Tabledesillustrations"/>
        <w:tabs>
          <w:tab w:val="right" w:leader="dot" w:pos="9204"/>
        </w:tabs>
        <w:rPr>
          <w:rFonts w:ascii="Calibri" w:hAnsi="Calibri"/>
          <w:noProof/>
          <w:sz w:val="22"/>
          <w:lang w:val="en-US" w:eastAsia="en-US"/>
        </w:rPr>
      </w:pPr>
      <w:r w:rsidRPr="00154DC7">
        <w:rPr>
          <w:rStyle w:val="Lienhypertexte"/>
          <w:rFonts w:cs="Arial"/>
          <w:noProof/>
          <w:sz w:val="22"/>
          <w:lang w:eastAsia="ja-JP"/>
        </w:rPr>
        <w:fldChar w:fldCharType="begin"/>
      </w:r>
      <w:r w:rsidRPr="00154DC7">
        <w:rPr>
          <w:rStyle w:val="Lienhypertexte"/>
          <w:rFonts w:cs="Arial"/>
          <w:noProof/>
          <w:sz w:val="22"/>
          <w:lang w:eastAsia="ja-JP"/>
        </w:rPr>
        <w:instrText xml:space="preserve"> TOC \h \z \c "Tableau" </w:instrText>
      </w:r>
      <w:r w:rsidRPr="00154DC7">
        <w:rPr>
          <w:rStyle w:val="Lienhypertexte"/>
          <w:rFonts w:cs="Arial"/>
          <w:noProof/>
          <w:sz w:val="22"/>
          <w:lang w:eastAsia="ja-JP"/>
        </w:rPr>
        <w:fldChar w:fldCharType="separate"/>
      </w:r>
      <w:hyperlink w:anchor="_Toc70451647" w:history="1">
        <w:r w:rsidR="001260B3" w:rsidRPr="00F148B7">
          <w:rPr>
            <w:rStyle w:val="Lienhypertexte"/>
            <w:rFonts w:cs="Arial"/>
            <w:noProof/>
          </w:rPr>
          <w:t>Tableau 1. Activités interdites pour la Composante 4 : CERC</w:t>
        </w:r>
        <w:r w:rsidR="001260B3">
          <w:rPr>
            <w:noProof/>
            <w:webHidden/>
          </w:rPr>
          <w:tab/>
        </w:r>
        <w:r w:rsidR="001260B3">
          <w:rPr>
            <w:noProof/>
            <w:webHidden/>
          </w:rPr>
          <w:fldChar w:fldCharType="begin"/>
        </w:r>
        <w:r w:rsidR="001260B3">
          <w:rPr>
            <w:noProof/>
            <w:webHidden/>
          </w:rPr>
          <w:instrText xml:space="preserve"> PAGEREF _Toc70451647 \h </w:instrText>
        </w:r>
        <w:r w:rsidR="001260B3">
          <w:rPr>
            <w:noProof/>
            <w:webHidden/>
          </w:rPr>
        </w:r>
        <w:r w:rsidR="001260B3">
          <w:rPr>
            <w:noProof/>
            <w:webHidden/>
          </w:rPr>
          <w:fldChar w:fldCharType="separate"/>
        </w:r>
        <w:r w:rsidR="001260B3">
          <w:rPr>
            <w:noProof/>
            <w:webHidden/>
          </w:rPr>
          <w:t>12</w:t>
        </w:r>
        <w:r w:rsidR="001260B3">
          <w:rPr>
            <w:noProof/>
            <w:webHidden/>
          </w:rPr>
          <w:fldChar w:fldCharType="end"/>
        </w:r>
      </w:hyperlink>
    </w:p>
    <w:p w14:paraId="61283EC4"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48" w:history="1">
        <w:r w:rsidR="001260B3" w:rsidRPr="00F148B7">
          <w:rPr>
            <w:rStyle w:val="Lienhypertexte"/>
            <w:rFonts w:cs="Arial"/>
            <w:noProof/>
          </w:rPr>
          <w:t>Tableau 2.</w:t>
        </w:r>
        <w:r w:rsidR="001260B3" w:rsidRPr="00F148B7">
          <w:rPr>
            <w:rStyle w:val="Lienhypertexte"/>
            <w:rFonts w:cs="Arial"/>
            <w:bCs/>
            <w:noProof/>
          </w:rPr>
          <w:t xml:space="preserve"> Coûts du Projet par composante</w:t>
        </w:r>
        <w:r w:rsidR="001260B3">
          <w:rPr>
            <w:noProof/>
            <w:webHidden/>
          </w:rPr>
          <w:tab/>
        </w:r>
        <w:r w:rsidR="001260B3">
          <w:rPr>
            <w:noProof/>
            <w:webHidden/>
          </w:rPr>
          <w:fldChar w:fldCharType="begin"/>
        </w:r>
        <w:r w:rsidR="001260B3">
          <w:rPr>
            <w:noProof/>
            <w:webHidden/>
          </w:rPr>
          <w:instrText xml:space="preserve"> PAGEREF _Toc70451648 \h </w:instrText>
        </w:r>
        <w:r w:rsidR="001260B3">
          <w:rPr>
            <w:noProof/>
            <w:webHidden/>
          </w:rPr>
        </w:r>
        <w:r w:rsidR="001260B3">
          <w:rPr>
            <w:noProof/>
            <w:webHidden/>
          </w:rPr>
          <w:fldChar w:fldCharType="separate"/>
        </w:r>
        <w:r w:rsidR="001260B3">
          <w:rPr>
            <w:noProof/>
            <w:webHidden/>
          </w:rPr>
          <w:t>14</w:t>
        </w:r>
        <w:r w:rsidR="001260B3">
          <w:rPr>
            <w:noProof/>
            <w:webHidden/>
          </w:rPr>
          <w:fldChar w:fldCharType="end"/>
        </w:r>
      </w:hyperlink>
    </w:p>
    <w:p w14:paraId="5FFCC5C9"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49" w:history="1">
        <w:r w:rsidR="001260B3" w:rsidRPr="00F148B7">
          <w:rPr>
            <w:rStyle w:val="Lienhypertexte"/>
            <w:rFonts w:cs="Arial"/>
            <w:noProof/>
          </w:rPr>
          <w:t>Tableau 3. Données socio-économiques de la Province du Kwilu</w:t>
        </w:r>
        <w:r w:rsidR="001260B3">
          <w:rPr>
            <w:noProof/>
            <w:webHidden/>
          </w:rPr>
          <w:tab/>
        </w:r>
        <w:r w:rsidR="001260B3">
          <w:rPr>
            <w:noProof/>
            <w:webHidden/>
          </w:rPr>
          <w:fldChar w:fldCharType="begin"/>
        </w:r>
        <w:r w:rsidR="001260B3">
          <w:rPr>
            <w:noProof/>
            <w:webHidden/>
          </w:rPr>
          <w:instrText xml:space="preserve"> PAGEREF _Toc70451649 \h </w:instrText>
        </w:r>
        <w:r w:rsidR="001260B3">
          <w:rPr>
            <w:noProof/>
            <w:webHidden/>
          </w:rPr>
        </w:r>
        <w:r w:rsidR="001260B3">
          <w:rPr>
            <w:noProof/>
            <w:webHidden/>
          </w:rPr>
          <w:fldChar w:fldCharType="separate"/>
        </w:r>
        <w:r w:rsidR="001260B3">
          <w:rPr>
            <w:noProof/>
            <w:webHidden/>
          </w:rPr>
          <w:t>16</w:t>
        </w:r>
        <w:r w:rsidR="001260B3">
          <w:rPr>
            <w:noProof/>
            <w:webHidden/>
          </w:rPr>
          <w:fldChar w:fldCharType="end"/>
        </w:r>
      </w:hyperlink>
    </w:p>
    <w:p w14:paraId="7F3C8F06"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50" w:history="1">
        <w:r w:rsidR="001260B3" w:rsidRPr="00F148B7">
          <w:rPr>
            <w:rStyle w:val="Lienhypertexte"/>
            <w:rFonts w:cs="Arial"/>
            <w:noProof/>
          </w:rPr>
          <w:t>Tableau 4. Données socio-économiques de la Province du Kongo Central</w:t>
        </w:r>
        <w:r w:rsidR="001260B3">
          <w:rPr>
            <w:noProof/>
            <w:webHidden/>
          </w:rPr>
          <w:tab/>
        </w:r>
        <w:r w:rsidR="001260B3">
          <w:rPr>
            <w:noProof/>
            <w:webHidden/>
          </w:rPr>
          <w:fldChar w:fldCharType="begin"/>
        </w:r>
        <w:r w:rsidR="001260B3">
          <w:rPr>
            <w:noProof/>
            <w:webHidden/>
          </w:rPr>
          <w:instrText xml:space="preserve"> PAGEREF _Toc70451650 \h </w:instrText>
        </w:r>
        <w:r w:rsidR="001260B3">
          <w:rPr>
            <w:noProof/>
            <w:webHidden/>
          </w:rPr>
        </w:r>
        <w:r w:rsidR="001260B3">
          <w:rPr>
            <w:noProof/>
            <w:webHidden/>
          </w:rPr>
          <w:fldChar w:fldCharType="separate"/>
        </w:r>
        <w:r w:rsidR="001260B3">
          <w:rPr>
            <w:noProof/>
            <w:webHidden/>
          </w:rPr>
          <w:t>25</w:t>
        </w:r>
        <w:r w:rsidR="001260B3">
          <w:rPr>
            <w:noProof/>
            <w:webHidden/>
          </w:rPr>
          <w:fldChar w:fldCharType="end"/>
        </w:r>
      </w:hyperlink>
    </w:p>
    <w:p w14:paraId="5147E5AB"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51" w:history="1">
        <w:r w:rsidR="001260B3" w:rsidRPr="00F148B7">
          <w:rPr>
            <w:rStyle w:val="Lienhypertexte"/>
            <w:rFonts w:cs="Arial"/>
            <w:noProof/>
          </w:rPr>
          <w:t>Tableau 5. Données socio-économiques de la Province du Kasaï Central</w:t>
        </w:r>
        <w:r w:rsidR="001260B3">
          <w:rPr>
            <w:noProof/>
            <w:webHidden/>
          </w:rPr>
          <w:tab/>
        </w:r>
        <w:r w:rsidR="001260B3">
          <w:rPr>
            <w:noProof/>
            <w:webHidden/>
          </w:rPr>
          <w:fldChar w:fldCharType="begin"/>
        </w:r>
        <w:r w:rsidR="001260B3">
          <w:rPr>
            <w:noProof/>
            <w:webHidden/>
          </w:rPr>
          <w:instrText xml:space="preserve"> PAGEREF _Toc70451651 \h </w:instrText>
        </w:r>
        <w:r w:rsidR="001260B3">
          <w:rPr>
            <w:noProof/>
            <w:webHidden/>
          </w:rPr>
        </w:r>
        <w:r w:rsidR="001260B3">
          <w:rPr>
            <w:noProof/>
            <w:webHidden/>
          </w:rPr>
          <w:fldChar w:fldCharType="separate"/>
        </w:r>
        <w:r w:rsidR="001260B3">
          <w:rPr>
            <w:noProof/>
            <w:webHidden/>
          </w:rPr>
          <w:t>38</w:t>
        </w:r>
        <w:r w:rsidR="001260B3">
          <w:rPr>
            <w:noProof/>
            <w:webHidden/>
          </w:rPr>
          <w:fldChar w:fldCharType="end"/>
        </w:r>
      </w:hyperlink>
    </w:p>
    <w:p w14:paraId="4E42C123"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52" w:history="1">
        <w:r w:rsidR="001260B3" w:rsidRPr="00F148B7">
          <w:rPr>
            <w:rStyle w:val="Lienhypertexte"/>
            <w:rFonts w:cs="Arial"/>
            <w:noProof/>
          </w:rPr>
          <w:t>Tableau 6. Données socio-économiques de la Province du Kasaï</w:t>
        </w:r>
        <w:r w:rsidR="001260B3">
          <w:rPr>
            <w:noProof/>
            <w:webHidden/>
          </w:rPr>
          <w:tab/>
        </w:r>
        <w:r w:rsidR="001260B3">
          <w:rPr>
            <w:noProof/>
            <w:webHidden/>
          </w:rPr>
          <w:fldChar w:fldCharType="begin"/>
        </w:r>
        <w:r w:rsidR="001260B3">
          <w:rPr>
            <w:noProof/>
            <w:webHidden/>
          </w:rPr>
          <w:instrText xml:space="preserve"> PAGEREF _Toc70451652 \h </w:instrText>
        </w:r>
        <w:r w:rsidR="001260B3">
          <w:rPr>
            <w:noProof/>
            <w:webHidden/>
          </w:rPr>
        </w:r>
        <w:r w:rsidR="001260B3">
          <w:rPr>
            <w:noProof/>
            <w:webHidden/>
          </w:rPr>
          <w:fldChar w:fldCharType="separate"/>
        </w:r>
        <w:r w:rsidR="001260B3">
          <w:rPr>
            <w:noProof/>
            <w:webHidden/>
          </w:rPr>
          <w:t>45</w:t>
        </w:r>
        <w:r w:rsidR="001260B3">
          <w:rPr>
            <w:noProof/>
            <w:webHidden/>
          </w:rPr>
          <w:fldChar w:fldCharType="end"/>
        </w:r>
      </w:hyperlink>
    </w:p>
    <w:p w14:paraId="71F84AC1"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53" w:history="1">
        <w:r w:rsidR="001260B3" w:rsidRPr="00F148B7">
          <w:rPr>
            <w:rStyle w:val="Lienhypertexte"/>
            <w:rFonts w:cs="Arial"/>
            <w:noProof/>
          </w:rPr>
          <w:t>Tableau 7. Données socio-économiques de la Province du Nord-Kivu</w:t>
        </w:r>
        <w:r w:rsidR="001260B3">
          <w:rPr>
            <w:noProof/>
            <w:webHidden/>
          </w:rPr>
          <w:tab/>
        </w:r>
        <w:r w:rsidR="001260B3">
          <w:rPr>
            <w:noProof/>
            <w:webHidden/>
          </w:rPr>
          <w:fldChar w:fldCharType="begin"/>
        </w:r>
        <w:r w:rsidR="001260B3">
          <w:rPr>
            <w:noProof/>
            <w:webHidden/>
          </w:rPr>
          <w:instrText xml:space="preserve"> PAGEREF _Toc70451653 \h </w:instrText>
        </w:r>
        <w:r w:rsidR="001260B3">
          <w:rPr>
            <w:noProof/>
            <w:webHidden/>
          </w:rPr>
        </w:r>
        <w:r w:rsidR="001260B3">
          <w:rPr>
            <w:noProof/>
            <w:webHidden/>
          </w:rPr>
          <w:fldChar w:fldCharType="separate"/>
        </w:r>
        <w:r w:rsidR="001260B3">
          <w:rPr>
            <w:noProof/>
            <w:webHidden/>
          </w:rPr>
          <w:t>51</w:t>
        </w:r>
        <w:r w:rsidR="001260B3">
          <w:rPr>
            <w:noProof/>
            <w:webHidden/>
          </w:rPr>
          <w:fldChar w:fldCharType="end"/>
        </w:r>
      </w:hyperlink>
    </w:p>
    <w:p w14:paraId="5D58D5A8"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54" w:history="1">
        <w:r w:rsidR="001260B3" w:rsidRPr="00F148B7">
          <w:rPr>
            <w:rStyle w:val="Lienhypertexte"/>
            <w:rFonts w:cs="Arial"/>
            <w:noProof/>
          </w:rPr>
          <w:t xml:space="preserve">Tableau 8. </w:t>
        </w:r>
        <w:r w:rsidR="001260B3" w:rsidRPr="00F148B7">
          <w:rPr>
            <w:rStyle w:val="Lienhypertexte"/>
            <w:noProof/>
          </w:rPr>
          <w:t>Nombre estimatif des exploitants agricoles de la zone du Programme</w:t>
        </w:r>
        <w:r w:rsidR="001260B3">
          <w:rPr>
            <w:noProof/>
            <w:webHidden/>
          </w:rPr>
          <w:tab/>
        </w:r>
        <w:r w:rsidR="001260B3">
          <w:rPr>
            <w:noProof/>
            <w:webHidden/>
          </w:rPr>
          <w:fldChar w:fldCharType="begin"/>
        </w:r>
        <w:r w:rsidR="001260B3">
          <w:rPr>
            <w:noProof/>
            <w:webHidden/>
          </w:rPr>
          <w:instrText xml:space="preserve"> PAGEREF _Toc70451654 \h </w:instrText>
        </w:r>
        <w:r w:rsidR="001260B3">
          <w:rPr>
            <w:noProof/>
            <w:webHidden/>
          </w:rPr>
        </w:r>
        <w:r w:rsidR="001260B3">
          <w:rPr>
            <w:noProof/>
            <w:webHidden/>
          </w:rPr>
          <w:fldChar w:fldCharType="separate"/>
        </w:r>
        <w:r w:rsidR="001260B3">
          <w:rPr>
            <w:noProof/>
            <w:webHidden/>
          </w:rPr>
          <w:t>60</w:t>
        </w:r>
        <w:r w:rsidR="001260B3">
          <w:rPr>
            <w:noProof/>
            <w:webHidden/>
          </w:rPr>
          <w:fldChar w:fldCharType="end"/>
        </w:r>
      </w:hyperlink>
    </w:p>
    <w:p w14:paraId="34097E80"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55" w:history="1">
        <w:r w:rsidR="001260B3" w:rsidRPr="00F148B7">
          <w:rPr>
            <w:rStyle w:val="Lienhypertexte"/>
            <w:rFonts w:cs="Arial"/>
            <w:bCs/>
            <w:noProof/>
          </w:rPr>
          <w:t xml:space="preserve">Tableau </w:t>
        </w:r>
        <w:r w:rsidR="001260B3" w:rsidRPr="00F148B7">
          <w:rPr>
            <w:rStyle w:val="Lienhypertexte"/>
            <w:rFonts w:cs="Arial"/>
            <w:noProof/>
          </w:rPr>
          <w:t>9.</w:t>
        </w:r>
        <w:r w:rsidR="001260B3" w:rsidRPr="00F148B7">
          <w:rPr>
            <w:rStyle w:val="Lienhypertexte"/>
            <w:rFonts w:cs="Arial"/>
            <w:bCs/>
            <w:noProof/>
          </w:rPr>
          <w:t xml:space="preserve"> Politiques et programmes applicables au Projet</w:t>
        </w:r>
        <w:r w:rsidR="001260B3">
          <w:rPr>
            <w:noProof/>
            <w:webHidden/>
          </w:rPr>
          <w:tab/>
        </w:r>
        <w:r w:rsidR="001260B3">
          <w:rPr>
            <w:noProof/>
            <w:webHidden/>
          </w:rPr>
          <w:fldChar w:fldCharType="begin"/>
        </w:r>
        <w:r w:rsidR="001260B3">
          <w:rPr>
            <w:noProof/>
            <w:webHidden/>
          </w:rPr>
          <w:instrText xml:space="preserve"> PAGEREF _Toc70451655 \h </w:instrText>
        </w:r>
        <w:r w:rsidR="001260B3">
          <w:rPr>
            <w:noProof/>
            <w:webHidden/>
          </w:rPr>
        </w:r>
        <w:r w:rsidR="001260B3">
          <w:rPr>
            <w:noProof/>
            <w:webHidden/>
          </w:rPr>
          <w:fldChar w:fldCharType="separate"/>
        </w:r>
        <w:r w:rsidR="001260B3">
          <w:rPr>
            <w:noProof/>
            <w:webHidden/>
          </w:rPr>
          <w:t>65</w:t>
        </w:r>
        <w:r w:rsidR="001260B3">
          <w:rPr>
            <w:noProof/>
            <w:webHidden/>
          </w:rPr>
          <w:fldChar w:fldCharType="end"/>
        </w:r>
      </w:hyperlink>
    </w:p>
    <w:p w14:paraId="6B46C0A0"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56" w:history="1">
        <w:r w:rsidR="001260B3" w:rsidRPr="00F148B7">
          <w:rPr>
            <w:rStyle w:val="Lienhypertexte"/>
            <w:rFonts w:cs="Arial"/>
            <w:noProof/>
          </w:rPr>
          <w:t>Tableau 10.</w:t>
        </w:r>
        <w:r w:rsidR="001260B3" w:rsidRPr="00F148B7">
          <w:rPr>
            <w:rStyle w:val="Lienhypertexte"/>
            <w:rFonts w:cs="Arial"/>
            <w:bCs/>
            <w:noProof/>
          </w:rPr>
          <w:t xml:space="preserve"> </w:t>
        </w:r>
        <w:r w:rsidR="001260B3" w:rsidRPr="00F148B7">
          <w:rPr>
            <w:rStyle w:val="Lienhypertexte"/>
            <w:rFonts w:cs="Arial"/>
            <w:noProof/>
          </w:rPr>
          <w:t xml:space="preserve"> Conventions internationales signées par la RDC applicables au Projet</w:t>
        </w:r>
        <w:r w:rsidR="001260B3">
          <w:rPr>
            <w:noProof/>
            <w:webHidden/>
          </w:rPr>
          <w:tab/>
        </w:r>
        <w:r w:rsidR="001260B3">
          <w:rPr>
            <w:noProof/>
            <w:webHidden/>
          </w:rPr>
          <w:fldChar w:fldCharType="begin"/>
        </w:r>
        <w:r w:rsidR="001260B3">
          <w:rPr>
            <w:noProof/>
            <w:webHidden/>
          </w:rPr>
          <w:instrText xml:space="preserve"> PAGEREF _Toc70451656 \h </w:instrText>
        </w:r>
        <w:r w:rsidR="001260B3">
          <w:rPr>
            <w:noProof/>
            <w:webHidden/>
          </w:rPr>
        </w:r>
        <w:r w:rsidR="001260B3">
          <w:rPr>
            <w:noProof/>
            <w:webHidden/>
          </w:rPr>
          <w:fldChar w:fldCharType="separate"/>
        </w:r>
        <w:r w:rsidR="001260B3">
          <w:rPr>
            <w:noProof/>
            <w:webHidden/>
          </w:rPr>
          <w:t>83</w:t>
        </w:r>
        <w:r w:rsidR="001260B3">
          <w:rPr>
            <w:noProof/>
            <w:webHidden/>
          </w:rPr>
          <w:fldChar w:fldCharType="end"/>
        </w:r>
      </w:hyperlink>
    </w:p>
    <w:p w14:paraId="1458A8F2"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57" w:history="1">
        <w:r w:rsidR="001260B3" w:rsidRPr="00F148B7">
          <w:rPr>
            <w:rStyle w:val="Lienhypertexte"/>
            <w:rFonts w:cs="Arial"/>
            <w:noProof/>
          </w:rPr>
          <w:t>Tableau 11.</w:t>
        </w:r>
        <w:r w:rsidR="001260B3" w:rsidRPr="00F148B7">
          <w:rPr>
            <w:rStyle w:val="Lienhypertexte"/>
            <w:rFonts w:cs="Arial"/>
            <w:bCs/>
            <w:noProof/>
          </w:rPr>
          <w:t xml:space="preserve"> Comparaison entre le Cadre Environnemental et Social de la RDC avec les Normes Environnementales et Sociales de la Banque Mondiale</w:t>
        </w:r>
        <w:r w:rsidR="001260B3">
          <w:rPr>
            <w:noProof/>
            <w:webHidden/>
          </w:rPr>
          <w:tab/>
        </w:r>
        <w:r w:rsidR="001260B3">
          <w:rPr>
            <w:noProof/>
            <w:webHidden/>
          </w:rPr>
          <w:fldChar w:fldCharType="begin"/>
        </w:r>
        <w:r w:rsidR="001260B3">
          <w:rPr>
            <w:noProof/>
            <w:webHidden/>
          </w:rPr>
          <w:instrText xml:space="preserve"> PAGEREF _Toc70451657 \h </w:instrText>
        </w:r>
        <w:r w:rsidR="001260B3">
          <w:rPr>
            <w:noProof/>
            <w:webHidden/>
          </w:rPr>
        </w:r>
        <w:r w:rsidR="001260B3">
          <w:rPr>
            <w:noProof/>
            <w:webHidden/>
          </w:rPr>
          <w:fldChar w:fldCharType="separate"/>
        </w:r>
        <w:r w:rsidR="001260B3">
          <w:rPr>
            <w:noProof/>
            <w:webHidden/>
          </w:rPr>
          <w:t>100</w:t>
        </w:r>
        <w:r w:rsidR="001260B3">
          <w:rPr>
            <w:noProof/>
            <w:webHidden/>
          </w:rPr>
          <w:fldChar w:fldCharType="end"/>
        </w:r>
      </w:hyperlink>
    </w:p>
    <w:p w14:paraId="28561845"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58" w:history="1">
        <w:r w:rsidR="001260B3" w:rsidRPr="00F148B7">
          <w:rPr>
            <w:rStyle w:val="Lienhypertexte"/>
            <w:rFonts w:cs="Arial"/>
            <w:noProof/>
          </w:rPr>
          <w:t>Tableau 12.</w:t>
        </w:r>
        <w:r w:rsidR="001260B3" w:rsidRPr="00F148B7">
          <w:rPr>
            <w:rStyle w:val="Lienhypertexte"/>
            <w:rFonts w:cs="Arial"/>
            <w:bCs/>
            <w:noProof/>
          </w:rPr>
          <w:t xml:space="preserve"> Directions normatives et leurs missions</w:t>
        </w:r>
        <w:r w:rsidR="001260B3">
          <w:rPr>
            <w:noProof/>
            <w:webHidden/>
          </w:rPr>
          <w:tab/>
        </w:r>
        <w:r w:rsidR="001260B3">
          <w:rPr>
            <w:noProof/>
            <w:webHidden/>
          </w:rPr>
          <w:fldChar w:fldCharType="begin"/>
        </w:r>
        <w:r w:rsidR="001260B3">
          <w:rPr>
            <w:noProof/>
            <w:webHidden/>
          </w:rPr>
          <w:instrText xml:space="preserve"> PAGEREF _Toc70451658 \h </w:instrText>
        </w:r>
        <w:r w:rsidR="001260B3">
          <w:rPr>
            <w:noProof/>
            <w:webHidden/>
          </w:rPr>
        </w:r>
        <w:r w:rsidR="001260B3">
          <w:rPr>
            <w:noProof/>
            <w:webHidden/>
          </w:rPr>
          <w:fldChar w:fldCharType="separate"/>
        </w:r>
        <w:r w:rsidR="001260B3">
          <w:rPr>
            <w:noProof/>
            <w:webHidden/>
          </w:rPr>
          <w:t>125</w:t>
        </w:r>
        <w:r w:rsidR="001260B3">
          <w:rPr>
            <w:noProof/>
            <w:webHidden/>
          </w:rPr>
          <w:fldChar w:fldCharType="end"/>
        </w:r>
      </w:hyperlink>
    </w:p>
    <w:p w14:paraId="09EDC611"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59" w:history="1">
        <w:r w:rsidR="001260B3" w:rsidRPr="00F148B7">
          <w:rPr>
            <w:rStyle w:val="Lienhypertexte"/>
            <w:rFonts w:cs="Arial"/>
            <w:noProof/>
          </w:rPr>
          <w:t>Tableau 13.</w:t>
        </w:r>
        <w:r w:rsidR="001260B3" w:rsidRPr="00F148B7">
          <w:rPr>
            <w:rStyle w:val="Lienhypertexte"/>
            <w:rFonts w:cs="Arial"/>
            <w:bCs/>
            <w:noProof/>
          </w:rPr>
          <w:t xml:space="preserve"> </w:t>
        </w:r>
        <w:r w:rsidR="001260B3" w:rsidRPr="00F148B7">
          <w:rPr>
            <w:rStyle w:val="Lienhypertexte"/>
            <w:rFonts w:cs="Arial"/>
            <w:noProof/>
          </w:rPr>
          <w:t xml:space="preserve"> Synthèse des capacités de gestion environnementale des acteurs du Projet</w:t>
        </w:r>
        <w:r w:rsidR="001260B3">
          <w:rPr>
            <w:noProof/>
            <w:webHidden/>
          </w:rPr>
          <w:tab/>
        </w:r>
        <w:r w:rsidR="001260B3">
          <w:rPr>
            <w:noProof/>
            <w:webHidden/>
          </w:rPr>
          <w:fldChar w:fldCharType="begin"/>
        </w:r>
        <w:r w:rsidR="001260B3">
          <w:rPr>
            <w:noProof/>
            <w:webHidden/>
          </w:rPr>
          <w:instrText xml:space="preserve"> PAGEREF _Toc70451659 \h </w:instrText>
        </w:r>
        <w:r w:rsidR="001260B3">
          <w:rPr>
            <w:noProof/>
            <w:webHidden/>
          </w:rPr>
        </w:r>
        <w:r w:rsidR="001260B3">
          <w:rPr>
            <w:noProof/>
            <w:webHidden/>
          </w:rPr>
          <w:fldChar w:fldCharType="separate"/>
        </w:r>
        <w:r w:rsidR="001260B3">
          <w:rPr>
            <w:noProof/>
            <w:webHidden/>
          </w:rPr>
          <w:t>140</w:t>
        </w:r>
        <w:r w:rsidR="001260B3">
          <w:rPr>
            <w:noProof/>
            <w:webHidden/>
          </w:rPr>
          <w:fldChar w:fldCharType="end"/>
        </w:r>
      </w:hyperlink>
    </w:p>
    <w:p w14:paraId="01D43A18"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60" w:history="1">
        <w:r w:rsidR="001260B3" w:rsidRPr="00F148B7">
          <w:rPr>
            <w:rStyle w:val="Lienhypertexte"/>
            <w:noProof/>
          </w:rPr>
          <w:t>Tableau 14. Modules suivants devront être développés lors de ces formations :</w:t>
        </w:r>
        <w:r w:rsidR="001260B3">
          <w:rPr>
            <w:noProof/>
            <w:webHidden/>
          </w:rPr>
          <w:tab/>
        </w:r>
        <w:r w:rsidR="001260B3">
          <w:rPr>
            <w:noProof/>
            <w:webHidden/>
          </w:rPr>
          <w:fldChar w:fldCharType="begin"/>
        </w:r>
        <w:r w:rsidR="001260B3">
          <w:rPr>
            <w:noProof/>
            <w:webHidden/>
          </w:rPr>
          <w:instrText xml:space="preserve"> PAGEREF _Toc70451660 \h </w:instrText>
        </w:r>
        <w:r w:rsidR="001260B3">
          <w:rPr>
            <w:noProof/>
            <w:webHidden/>
          </w:rPr>
        </w:r>
        <w:r w:rsidR="001260B3">
          <w:rPr>
            <w:noProof/>
            <w:webHidden/>
          </w:rPr>
          <w:fldChar w:fldCharType="separate"/>
        </w:r>
        <w:r w:rsidR="001260B3">
          <w:rPr>
            <w:noProof/>
            <w:webHidden/>
          </w:rPr>
          <w:t>146</w:t>
        </w:r>
        <w:r w:rsidR="001260B3">
          <w:rPr>
            <w:noProof/>
            <w:webHidden/>
          </w:rPr>
          <w:fldChar w:fldCharType="end"/>
        </w:r>
      </w:hyperlink>
    </w:p>
    <w:p w14:paraId="45C55BDF"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61" w:history="1">
        <w:r w:rsidR="001260B3" w:rsidRPr="00F148B7">
          <w:rPr>
            <w:rStyle w:val="Lienhypertexte"/>
            <w:noProof/>
          </w:rPr>
          <w:t>Tableau 15. Information et Sensibilisation</w:t>
        </w:r>
        <w:r w:rsidR="001260B3">
          <w:rPr>
            <w:noProof/>
            <w:webHidden/>
          </w:rPr>
          <w:tab/>
        </w:r>
        <w:r w:rsidR="001260B3">
          <w:rPr>
            <w:noProof/>
            <w:webHidden/>
          </w:rPr>
          <w:fldChar w:fldCharType="begin"/>
        </w:r>
        <w:r w:rsidR="001260B3">
          <w:rPr>
            <w:noProof/>
            <w:webHidden/>
          </w:rPr>
          <w:instrText xml:space="preserve"> PAGEREF _Toc70451661 \h </w:instrText>
        </w:r>
        <w:r w:rsidR="001260B3">
          <w:rPr>
            <w:noProof/>
            <w:webHidden/>
          </w:rPr>
        </w:r>
        <w:r w:rsidR="001260B3">
          <w:rPr>
            <w:noProof/>
            <w:webHidden/>
          </w:rPr>
          <w:fldChar w:fldCharType="separate"/>
        </w:r>
        <w:r w:rsidR="001260B3">
          <w:rPr>
            <w:noProof/>
            <w:webHidden/>
          </w:rPr>
          <w:t>148</w:t>
        </w:r>
        <w:r w:rsidR="001260B3">
          <w:rPr>
            <w:noProof/>
            <w:webHidden/>
          </w:rPr>
          <w:fldChar w:fldCharType="end"/>
        </w:r>
      </w:hyperlink>
    </w:p>
    <w:p w14:paraId="3F6259D9" w14:textId="32191520" w:rsidR="001260B3" w:rsidRPr="008E468D" w:rsidRDefault="00652264">
      <w:pPr>
        <w:pStyle w:val="Tabledesillustrations"/>
        <w:tabs>
          <w:tab w:val="right" w:leader="dot" w:pos="9204"/>
        </w:tabs>
        <w:rPr>
          <w:rFonts w:ascii="Calibri" w:hAnsi="Calibri"/>
          <w:noProof/>
          <w:sz w:val="22"/>
          <w:lang w:val="en-US" w:eastAsia="en-US"/>
        </w:rPr>
      </w:pPr>
      <w:hyperlink w:anchor="_Toc70451662" w:history="1">
        <w:r w:rsidR="001260B3" w:rsidRPr="00F148B7">
          <w:rPr>
            <w:rStyle w:val="Lienhypertexte"/>
            <w:rFonts w:cs="Arial"/>
            <w:noProof/>
          </w:rPr>
          <w:t xml:space="preserve">Tableau 16. Étapes de mise en œuvre de </w:t>
        </w:r>
        <w:r w:rsidR="00767374">
          <w:rPr>
            <w:rStyle w:val="Lienhypertexte"/>
            <w:rFonts w:cs="Arial"/>
            <w:noProof/>
          </w:rPr>
          <w:t>CERC</w:t>
        </w:r>
        <w:r w:rsidR="001260B3">
          <w:rPr>
            <w:noProof/>
            <w:webHidden/>
          </w:rPr>
          <w:tab/>
        </w:r>
        <w:r w:rsidR="001260B3">
          <w:rPr>
            <w:noProof/>
            <w:webHidden/>
          </w:rPr>
          <w:fldChar w:fldCharType="begin"/>
        </w:r>
        <w:r w:rsidR="001260B3">
          <w:rPr>
            <w:noProof/>
            <w:webHidden/>
          </w:rPr>
          <w:instrText xml:space="preserve"> PAGEREF _Toc70451662 \h </w:instrText>
        </w:r>
        <w:r w:rsidR="001260B3">
          <w:rPr>
            <w:noProof/>
            <w:webHidden/>
          </w:rPr>
        </w:r>
        <w:r w:rsidR="001260B3">
          <w:rPr>
            <w:noProof/>
            <w:webHidden/>
          </w:rPr>
          <w:fldChar w:fldCharType="separate"/>
        </w:r>
        <w:r w:rsidR="001260B3">
          <w:rPr>
            <w:noProof/>
            <w:webHidden/>
          </w:rPr>
          <w:t>149</w:t>
        </w:r>
        <w:r w:rsidR="001260B3">
          <w:rPr>
            <w:noProof/>
            <w:webHidden/>
          </w:rPr>
          <w:fldChar w:fldCharType="end"/>
        </w:r>
      </w:hyperlink>
    </w:p>
    <w:p w14:paraId="3B1DB086"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63" w:history="1">
        <w:r w:rsidR="001260B3" w:rsidRPr="00F148B7">
          <w:rPr>
            <w:rStyle w:val="Lienhypertexte"/>
            <w:rFonts w:cs="Arial"/>
            <w:noProof/>
          </w:rPr>
          <w:t>Tableau 17. Impacts positifs</w:t>
        </w:r>
        <w:r w:rsidR="001260B3">
          <w:rPr>
            <w:noProof/>
            <w:webHidden/>
          </w:rPr>
          <w:tab/>
        </w:r>
        <w:r w:rsidR="001260B3">
          <w:rPr>
            <w:noProof/>
            <w:webHidden/>
          </w:rPr>
          <w:fldChar w:fldCharType="begin"/>
        </w:r>
        <w:r w:rsidR="001260B3">
          <w:rPr>
            <w:noProof/>
            <w:webHidden/>
          </w:rPr>
          <w:instrText xml:space="preserve"> PAGEREF _Toc70451663 \h </w:instrText>
        </w:r>
        <w:r w:rsidR="001260B3">
          <w:rPr>
            <w:noProof/>
            <w:webHidden/>
          </w:rPr>
        </w:r>
        <w:r w:rsidR="001260B3">
          <w:rPr>
            <w:noProof/>
            <w:webHidden/>
          </w:rPr>
          <w:fldChar w:fldCharType="separate"/>
        </w:r>
        <w:r w:rsidR="001260B3">
          <w:rPr>
            <w:noProof/>
            <w:webHidden/>
          </w:rPr>
          <w:t>156</w:t>
        </w:r>
        <w:r w:rsidR="001260B3">
          <w:rPr>
            <w:noProof/>
            <w:webHidden/>
          </w:rPr>
          <w:fldChar w:fldCharType="end"/>
        </w:r>
      </w:hyperlink>
    </w:p>
    <w:p w14:paraId="7D09E496"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64" w:history="1">
        <w:r w:rsidR="001260B3" w:rsidRPr="00F148B7">
          <w:rPr>
            <w:rStyle w:val="Lienhypertexte"/>
            <w:rFonts w:cs="Arial"/>
            <w:noProof/>
          </w:rPr>
          <w:t>Tableau 18.</w:t>
        </w:r>
        <w:r w:rsidR="001260B3" w:rsidRPr="00F148B7">
          <w:rPr>
            <w:rStyle w:val="Lienhypertexte"/>
            <w:noProof/>
          </w:rPr>
          <w:t xml:space="preserve"> Impacts positifs cumulatifs</w:t>
        </w:r>
        <w:r w:rsidR="001260B3">
          <w:rPr>
            <w:noProof/>
            <w:webHidden/>
          </w:rPr>
          <w:tab/>
        </w:r>
        <w:r w:rsidR="001260B3">
          <w:rPr>
            <w:noProof/>
            <w:webHidden/>
          </w:rPr>
          <w:fldChar w:fldCharType="begin"/>
        </w:r>
        <w:r w:rsidR="001260B3">
          <w:rPr>
            <w:noProof/>
            <w:webHidden/>
          </w:rPr>
          <w:instrText xml:space="preserve"> PAGEREF _Toc70451664 \h </w:instrText>
        </w:r>
        <w:r w:rsidR="001260B3">
          <w:rPr>
            <w:noProof/>
            <w:webHidden/>
          </w:rPr>
        </w:r>
        <w:r w:rsidR="001260B3">
          <w:rPr>
            <w:noProof/>
            <w:webHidden/>
          </w:rPr>
          <w:fldChar w:fldCharType="separate"/>
        </w:r>
        <w:r w:rsidR="001260B3">
          <w:rPr>
            <w:noProof/>
            <w:webHidden/>
          </w:rPr>
          <w:t>171</w:t>
        </w:r>
        <w:r w:rsidR="001260B3">
          <w:rPr>
            <w:noProof/>
            <w:webHidden/>
          </w:rPr>
          <w:fldChar w:fldCharType="end"/>
        </w:r>
      </w:hyperlink>
    </w:p>
    <w:p w14:paraId="7F933B82"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65" w:history="1">
        <w:r w:rsidR="001260B3" w:rsidRPr="00F148B7">
          <w:rPr>
            <w:rStyle w:val="Lienhypertexte"/>
            <w:rFonts w:cs="Arial"/>
            <w:noProof/>
          </w:rPr>
          <w:t xml:space="preserve">Tableau 19. </w:t>
        </w:r>
        <w:r w:rsidR="001260B3" w:rsidRPr="00F148B7">
          <w:rPr>
            <w:rStyle w:val="Lienhypertexte"/>
            <w:noProof/>
          </w:rPr>
          <w:t>Impacts négatifs cumulatifs</w:t>
        </w:r>
        <w:r w:rsidR="001260B3">
          <w:rPr>
            <w:noProof/>
            <w:webHidden/>
          </w:rPr>
          <w:tab/>
        </w:r>
        <w:r w:rsidR="001260B3">
          <w:rPr>
            <w:noProof/>
            <w:webHidden/>
          </w:rPr>
          <w:fldChar w:fldCharType="begin"/>
        </w:r>
        <w:r w:rsidR="001260B3">
          <w:rPr>
            <w:noProof/>
            <w:webHidden/>
          </w:rPr>
          <w:instrText xml:space="preserve"> PAGEREF _Toc70451665 \h </w:instrText>
        </w:r>
        <w:r w:rsidR="001260B3">
          <w:rPr>
            <w:noProof/>
            <w:webHidden/>
          </w:rPr>
        </w:r>
        <w:r w:rsidR="001260B3">
          <w:rPr>
            <w:noProof/>
            <w:webHidden/>
          </w:rPr>
          <w:fldChar w:fldCharType="separate"/>
        </w:r>
        <w:r w:rsidR="001260B3">
          <w:rPr>
            <w:noProof/>
            <w:webHidden/>
          </w:rPr>
          <w:t>172</w:t>
        </w:r>
        <w:r w:rsidR="001260B3">
          <w:rPr>
            <w:noProof/>
            <w:webHidden/>
          </w:rPr>
          <w:fldChar w:fldCharType="end"/>
        </w:r>
      </w:hyperlink>
    </w:p>
    <w:p w14:paraId="4E5EF585"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66" w:history="1">
        <w:r w:rsidR="001260B3" w:rsidRPr="00F148B7">
          <w:rPr>
            <w:rStyle w:val="Lienhypertexte"/>
            <w:rFonts w:cs="Arial"/>
            <w:noProof/>
          </w:rPr>
          <w:t xml:space="preserve">Tableau 20. </w:t>
        </w:r>
        <w:r w:rsidR="001260B3" w:rsidRPr="00F148B7">
          <w:rPr>
            <w:rStyle w:val="Lienhypertexte"/>
            <w:noProof/>
          </w:rPr>
          <w:t>Risques et impacts potentiels aux NES pertinentes et aux instruments E&amp;S applicables au PNDA</w:t>
        </w:r>
        <w:r w:rsidR="001260B3">
          <w:rPr>
            <w:noProof/>
            <w:webHidden/>
          </w:rPr>
          <w:tab/>
        </w:r>
        <w:r w:rsidR="001260B3">
          <w:rPr>
            <w:noProof/>
            <w:webHidden/>
          </w:rPr>
          <w:fldChar w:fldCharType="begin"/>
        </w:r>
        <w:r w:rsidR="001260B3">
          <w:rPr>
            <w:noProof/>
            <w:webHidden/>
          </w:rPr>
          <w:instrText xml:space="preserve"> PAGEREF _Toc70451666 \h </w:instrText>
        </w:r>
        <w:r w:rsidR="001260B3">
          <w:rPr>
            <w:noProof/>
            <w:webHidden/>
          </w:rPr>
        </w:r>
        <w:r w:rsidR="001260B3">
          <w:rPr>
            <w:noProof/>
            <w:webHidden/>
          </w:rPr>
          <w:fldChar w:fldCharType="separate"/>
        </w:r>
        <w:r w:rsidR="001260B3">
          <w:rPr>
            <w:noProof/>
            <w:webHidden/>
          </w:rPr>
          <w:t>173</w:t>
        </w:r>
        <w:r w:rsidR="001260B3">
          <w:rPr>
            <w:noProof/>
            <w:webHidden/>
          </w:rPr>
          <w:fldChar w:fldCharType="end"/>
        </w:r>
      </w:hyperlink>
    </w:p>
    <w:p w14:paraId="2BFDBC92"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67" w:history="1">
        <w:r w:rsidR="001260B3" w:rsidRPr="00F148B7">
          <w:rPr>
            <w:rStyle w:val="Lienhypertexte"/>
            <w:rFonts w:cs="Arial"/>
            <w:noProof/>
          </w:rPr>
          <w:t>Tableau 21. Impacts négatifs potentiels des activités de soutien direct aux petits exploitants</w:t>
        </w:r>
        <w:r w:rsidR="001260B3">
          <w:rPr>
            <w:noProof/>
            <w:webHidden/>
          </w:rPr>
          <w:tab/>
        </w:r>
        <w:r w:rsidR="001260B3">
          <w:rPr>
            <w:noProof/>
            <w:webHidden/>
          </w:rPr>
          <w:fldChar w:fldCharType="begin"/>
        </w:r>
        <w:r w:rsidR="001260B3">
          <w:rPr>
            <w:noProof/>
            <w:webHidden/>
          </w:rPr>
          <w:instrText xml:space="preserve"> PAGEREF _Toc70451667 \h </w:instrText>
        </w:r>
        <w:r w:rsidR="001260B3">
          <w:rPr>
            <w:noProof/>
            <w:webHidden/>
          </w:rPr>
        </w:r>
        <w:r w:rsidR="001260B3">
          <w:rPr>
            <w:noProof/>
            <w:webHidden/>
          </w:rPr>
          <w:fldChar w:fldCharType="separate"/>
        </w:r>
        <w:r w:rsidR="001260B3">
          <w:rPr>
            <w:noProof/>
            <w:webHidden/>
          </w:rPr>
          <w:t>176</w:t>
        </w:r>
        <w:r w:rsidR="001260B3">
          <w:rPr>
            <w:noProof/>
            <w:webHidden/>
          </w:rPr>
          <w:fldChar w:fldCharType="end"/>
        </w:r>
      </w:hyperlink>
    </w:p>
    <w:p w14:paraId="4037EAEE"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68" w:history="1">
        <w:r w:rsidR="001260B3" w:rsidRPr="00F148B7">
          <w:rPr>
            <w:rStyle w:val="Lienhypertexte"/>
            <w:rFonts w:cs="Arial"/>
            <w:noProof/>
          </w:rPr>
          <w:t>Tableau 22.  Impacts négatifs potentiels des travaux d’aménagement des routes rurales</w:t>
        </w:r>
        <w:r w:rsidR="001260B3">
          <w:rPr>
            <w:noProof/>
            <w:webHidden/>
          </w:rPr>
          <w:tab/>
        </w:r>
        <w:r w:rsidR="001260B3">
          <w:rPr>
            <w:noProof/>
            <w:webHidden/>
          </w:rPr>
          <w:fldChar w:fldCharType="begin"/>
        </w:r>
        <w:r w:rsidR="001260B3">
          <w:rPr>
            <w:noProof/>
            <w:webHidden/>
          </w:rPr>
          <w:instrText xml:space="preserve"> PAGEREF _Toc70451668 \h </w:instrText>
        </w:r>
        <w:r w:rsidR="001260B3">
          <w:rPr>
            <w:noProof/>
            <w:webHidden/>
          </w:rPr>
        </w:r>
        <w:r w:rsidR="001260B3">
          <w:rPr>
            <w:noProof/>
            <w:webHidden/>
          </w:rPr>
          <w:fldChar w:fldCharType="separate"/>
        </w:r>
        <w:r w:rsidR="001260B3">
          <w:rPr>
            <w:noProof/>
            <w:webHidden/>
          </w:rPr>
          <w:t>177</w:t>
        </w:r>
        <w:r w:rsidR="001260B3">
          <w:rPr>
            <w:noProof/>
            <w:webHidden/>
          </w:rPr>
          <w:fldChar w:fldCharType="end"/>
        </w:r>
      </w:hyperlink>
    </w:p>
    <w:p w14:paraId="3C3C87A6"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69" w:history="1">
        <w:r w:rsidR="001260B3" w:rsidRPr="00F148B7">
          <w:rPr>
            <w:rStyle w:val="Lienhypertexte"/>
            <w:rFonts w:cs="Arial"/>
            <w:noProof/>
          </w:rPr>
          <w:t>Tableau 23.</w:t>
        </w:r>
        <w:r w:rsidR="001260B3" w:rsidRPr="00F148B7">
          <w:rPr>
            <w:rStyle w:val="Lienhypertexte"/>
            <w:rFonts w:cs="Arial"/>
            <w:bCs/>
            <w:noProof/>
          </w:rPr>
          <w:t xml:space="preserve"> </w:t>
        </w:r>
        <w:r w:rsidR="001260B3" w:rsidRPr="00F148B7">
          <w:rPr>
            <w:rStyle w:val="Lienhypertexte"/>
            <w:rFonts w:cs="Arial"/>
            <w:noProof/>
          </w:rPr>
          <w:t>Impacts négatifs potentiels des travaux de construction/réhabilitation des marchés communautaires et abattoirs</w:t>
        </w:r>
        <w:r w:rsidR="001260B3">
          <w:rPr>
            <w:noProof/>
            <w:webHidden/>
          </w:rPr>
          <w:tab/>
        </w:r>
        <w:r w:rsidR="001260B3">
          <w:rPr>
            <w:noProof/>
            <w:webHidden/>
          </w:rPr>
          <w:fldChar w:fldCharType="begin"/>
        </w:r>
        <w:r w:rsidR="001260B3">
          <w:rPr>
            <w:noProof/>
            <w:webHidden/>
          </w:rPr>
          <w:instrText xml:space="preserve"> PAGEREF _Toc70451669 \h </w:instrText>
        </w:r>
        <w:r w:rsidR="001260B3">
          <w:rPr>
            <w:noProof/>
            <w:webHidden/>
          </w:rPr>
        </w:r>
        <w:r w:rsidR="001260B3">
          <w:rPr>
            <w:noProof/>
            <w:webHidden/>
          </w:rPr>
          <w:fldChar w:fldCharType="separate"/>
        </w:r>
        <w:r w:rsidR="001260B3">
          <w:rPr>
            <w:noProof/>
            <w:webHidden/>
          </w:rPr>
          <w:t>178</w:t>
        </w:r>
        <w:r w:rsidR="001260B3">
          <w:rPr>
            <w:noProof/>
            <w:webHidden/>
          </w:rPr>
          <w:fldChar w:fldCharType="end"/>
        </w:r>
      </w:hyperlink>
    </w:p>
    <w:p w14:paraId="792CC750"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70" w:history="1">
        <w:r w:rsidR="001260B3" w:rsidRPr="00F148B7">
          <w:rPr>
            <w:rStyle w:val="Lienhypertexte"/>
            <w:rFonts w:cs="Arial"/>
            <w:noProof/>
          </w:rPr>
          <w:t>Tableau 24.</w:t>
        </w:r>
        <w:r w:rsidR="001260B3" w:rsidRPr="00F148B7">
          <w:rPr>
            <w:rStyle w:val="Lienhypertexte"/>
            <w:rFonts w:cs="Arial"/>
            <w:bCs/>
            <w:noProof/>
          </w:rPr>
          <w:t xml:space="preserve"> </w:t>
        </w:r>
        <w:r w:rsidR="001260B3" w:rsidRPr="00F148B7">
          <w:rPr>
            <w:rStyle w:val="Lienhypertexte"/>
            <w:rFonts w:cs="Arial"/>
            <w:noProof/>
          </w:rPr>
          <w:t>Impacts négatifs potentiels des travaux d’irrigation (aménagement et ouvrages hydrauliques)</w:t>
        </w:r>
        <w:r w:rsidR="001260B3">
          <w:rPr>
            <w:noProof/>
            <w:webHidden/>
          </w:rPr>
          <w:tab/>
        </w:r>
        <w:r w:rsidR="001260B3">
          <w:rPr>
            <w:noProof/>
            <w:webHidden/>
          </w:rPr>
          <w:fldChar w:fldCharType="begin"/>
        </w:r>
        <w:r w:rsidR="001260B3">
          <w:rPr>
            <w:noProof/>
            <w:webHidden/>
          </w:rPr>
          <w:instrText xml:space="preserve"> PAGEREF _Toc70451670 \h </w:instrText>
        </w:r>
        <w:r w:rsidR="001260B3">
          <w:rPr>
            <w:noProof/>
            <w:webHidden/>
          </w:rPr>
        </w:r>
        <w:r w:rsidR="001260B3">
          <w:rPr>
            <w:noProof/>
            <w:webHidden/>
          </w:rPr>
          <w:fldChar w:fldCharType="separate"/>
        </w:r>
        <w:r w:rsidR="001260B3">
          <w:rPr>
            <w:noProof/>
            <w:webHidden/>
          </w:rPr>
          <w:t>179</w:t>
        </w:r>
        <w:r w:rsidR="001260B3">
          <w:rPr>
            <w:noProof/>
            <w:webHidden/>
          </w:rPr>
          <w:fldChar w:fldCharType="end"/>
        </w:r>
      </w:hyperlink>
    </w:p>
    <w:p w14:paraId="45E74A5D"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71" w:history="1">
        <w:r w:rsidR="001260B3" w:rsidRPr="00F148B7">
          <w:rPr>
            <w:rStyle w:val="Lienhypertexte"/>
            <w:rFonts w:cs="Arial"/>
            <w:noProof/>
          </w:rPr>
          <w:t>Tableau 25.  Synthèse de l’appréciation des impacts des composantes</w:t>
        </w:r>
        <w:r w:rsidR="001260B3">
          <w:rPr>
            <w:noProof/>
            <w:webHidden/>
          </w:rPr>
          <w:tab/>
        </w:r>
        <w:r w:rsidR="001260B3">
          <w:rPr>
            <w:noProof/>
            <w:webHidden/>
          </w:rPr>
          <w:fldChar w:fldCharType="begin"/>
        </w:r>
        <w:r w:rsidR="001260B3">
          <w:rPr>
            <w:noProof/>
            <w:webHidden/>
          </w:rPr>
          <w:instrText xml:space="preserve"> PAGEREF _Toc70451671 \h </w:instrText>
        </w:r>
        <w:r w:rsidR="001260B3">
          <w:rPr>
            <w:noProof/>
            <w:webHidden/>
          </w:rPr>
        </w:r>
        <w:r w:rsidR="001260B3">
          <w:rPr>
            <w:noProof/>
            <w:webHidden/>
          </w:rPr>
          <w:fldChar w:fldCharType="separate"/>
        </w:r>
        <w:r w:rsidR="001260B3">
          <w:rPr>
            <w:noProof/>
            <w:webHidden/>
          </w:rPr>
          <w:t>179</w:t>
        </w:r>
        <w:r w:rsidR="001260B3">
          <w:rPr>
            <w:noProof/>
            <w:webHidden/>
          </w:rPr>
          <w:fldChar w:fldCharType="end"/>
        </w:r>
      </w:hyperlink>
    </w:p>
    <w:p w14:paraId="551CA6D4"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72" w:history="1">
        <w:r w:rsidR="001260B3" w:rsidRPr="00F148B7">
          <w:rPr>
            <w:rStyle w:val="Lienhypertexte"/>
            <w:rFonts w:cs="Arial"/>
            <w:noProof/>
          </w:rPr>
          <w:t xml:space="preserve">Tableau 26.  </w:t>
        </w:r>
        <w:r w:rsidR="001260B3" w:rsidRPr="00F148B7">
          <w:rPr>
            <w:rStyle w:val="Lienhypertexte"/>
            <w:rFonts w:cs="Arial"/>
            <w:iCs/>
            <w:noProof/>
          </w:rPr>
          <w:t>Mesures de bonification des impacts positifs de toutes les composantes</w:t>
        </w:r>
        <w:r w:rsidR="001260B3">
          <w:rPr>
            <w:noProof/>
            <w:webHidden/>
          </w:rPr>
          <w:tab/>
        </w:r>
        <w:r w:rsidR="001260B3">
          <w:rPr>
            <w:noProof/>
            <w:webHidden/>
          </w:rPr>
          <w:fldChar w:fldCharType="begin"/>
        </w:r>
        <w:r w:rsidR="001260B3">
          <w:rPr>
            <w:noProof/>
            <w:webHidden/>
          </w:rPr>
          <w:instrText xml:space="preserve"> PAGEREF _Toc70451672 \h </w:instrText>
        </w:r>
        <w:r w:rsidR="001260B3">
          <w:rPr>
            <w:noProof/>
            <w:webHidden/>
          </w:rPr>
        </w:r>
        <w:r w:rsidR="001260B3">
          <w:rPr>
            <w:noProof/>
            <w:webHidden/>
          </w:rPr>
          <w:fldChar w:fldCharType="separate"/>
        </w:r>
        <w:r w:rsidR="001260B3">
          <w:rPr>
            <w:noProof/>
            <w:webHidden/>
          </w:rPr>
          <w:t>181</w:t>
        </w:r>
        <w:r w:rsidR="001260B3">
          <w:rPr>
            <w:noProof/>
            <w:webHidden/>
          </w:rPr>
          <w:fldChar w:fldCharType="end"/>
        </w:r>
      </w:hyperlink>
    </w:p>
    <w:p w14:paraId="4738F313"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73" w:history="1">
        <w:r w:rsidR="001260B3" w:rsidRPr="00F148B7">
          <w:rPr>
            <w:rStyle w:val="Lienhypertexte"/>
            <w:rFonts w:cs="Arial"/>
            <w:noProof/>
          </w:rPr>
          <w:t>Tableau 27.  Mesures d’atténuation générales pour l’exécution les composantes thématiques affectées par le Projet</w:t>
        </w:r>
        <w:r w:rsidR="001260B3">
          <w:rPr>
            <w:noProof/>
            <w:webHidden/>
          </w:rPr>
          <w:tab/>
        </w:r>
        <w:r w:rsidR="001260B3">
          <w:rPr>
            <w:noProof/>
            <w:webHidden/>
          </w:rPr>
          <w:fldChar w:fldCharType="begin"/>
        </w:r>
        <w:r w:rsidR="001260B3">
          <w:rPr>
            <w:noProof/>
            <w:webHidden/>
          </w:rPr>
          <w:instrText xml:space="preserve"> PAGEREF _Toc70451673 \h </w:instrText>
        </w:r>
        <w:r w:rsidR="001260B3">
          <w:rPr>
            <w:noProof/>
            <w:webHidden/>
          </w:rPr>
        </w:r>
        <w:r w:rsidR="001260B3">
          <w:rPr>
            <w:noProof/>
            <w:webHidden/>
          </w:rPr>
          <w:fldChar w:fldCharType="separate"/>
        </w:r>
        <w:r w:rsidR="001260B3">
          <w:rPr>
            <w:noProof/>
            <w:webHidden/>
          </w:rPr>
          <w:t>186</w:t>
        </w:r>
        <w:r w:rsidR="001260B3">
          <w:rPr>
            <w:noProof/>
            <w:webHidden/>
          </w:rPr>
          <w:fldChar w:fldCharType="end"/>
        </w:r>
      </w:hyperlink>
    </w:p>
    <w:p w14:paraId="6ED1F47E"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74" w:history="1">
        <w:r w:rsidR="001260B3" w:rsidRPr="00F148B7">
          <w:rPr>
            <w:rStyle w:val="Lienhypertexte"/>
            <w:rFonts w:cs="Arial"/>
            <w:noProof/>
          </w:rPr>
          <w:t>Tableau 28.</w:t>
        </w:r>
        <w:r w:rsidR="001260B3" w:rsidRPr="00F148B7">
          <w:rPr>
            <w:rStyle w:val="Lienhypertexte"/>
            <w:rFonts w:cs="Arial"/>
            <w:noProof/>
            <w:lang w:val="fr-CD"/>
          </w:rPr>
          <w:t xml:space="preserve"> </w:t>
        </w:r>
        <w:r w:rsidR="001260B3" w:rsidRPr="00F148B7">
          <w:rPr>
            <w:rStyle w:val="Lienhypertexte"/>
            <w:rFonts w:cs="Arial"/>
            <w:noProof/>
          </w:rPr>
          <w:t>Synthèse des mesures d’atténuation en phase d’exploitation</w:t>
        </w:r>
        <w:r w:rsidR="001260B3">
          <w:rPr>
            <w:noProof/>
            <w:webHidden/>
          </w:rPr>
          <w:tab/>
        </w:r>
        <w:r w:rsidR="001260B3">
          <w:rPr>
            <w:noProof/>
            <w:webHidden/>
          </w:rPr>
          <w:fldChar w:fldCharType="begin"/>
        </w:r>
        <w:r w:rsidR="001260B3">
          <w:rPr>
            <w:noProof/>
            <w:webHidden/>
          </w:rPr>
          <w:instrText xml:space="preserve"> PAGEREF _Toc70451674 \h </w:instrText>
        </w:r>
        <w:r w:rsidR="001260B3">
          <w:rPr>
            <w:noProof/>
            <w:webHidden/>
          </w:rPr>
        </w:r>
        <w:r w:rsidR="001260B3">
          <w:rPr>
            <w:noProof/>
            <w:webHidden/>
          </w:rPr>
          <w:fldChar w:fldCharType="separate"/>
        </w:r>
        <w:r w:rsidR="001260B3">
          <w:rPr>
            <w:noProof/>
            <w:webHidden/>
          </w:rPr>
          <w:t>217</w:t>
        </w:r>
        <w:r w:rsidR="001260B3">
          <w:rPr>
            <w:noProof/>
            <w:webHidden/>
          </w:rPr>
          <w:fldChar w:fldCharType="end"/>
        </w:r>
      </w:hyperlink>
    </w:p>
    <w:p w14:paraId="079D88C0"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75" w:history="1">
        <w:r w:rsidR="001260B3" w:rsidRPr="00F148B7">
          <w:rPr>
            <w:rStyle w:val="Lienhypertexte"/>
            <w:rFonts w:cs="Arial"/>
            <w:noProof/>
          </w:rPr>
          <w:t>Tableau 29. Institutions responsables de la mise en œuvre</w:t>
        </w:r>
        <w:r w:rsidR="001260B3">
          <w:rPr>
            <w:noProof/>
            <w:webHidden/>
          </w:rPr>
          <w:tab/>
        </w:r>
        <w:r w:rsidR="001260B3">
          <w:rPr>
            <w:noProof/>
            <w:webHidden/>
          </w:rPr>
          <w:fldChar w:fldCharType="begin"/>
        </w:r>
        <w:r w:rsidR="001260B3">
          <w:rPr>
            <w:noProof/>
            <w:webHidden/>
          </w:rPr>
          <w:instrText xml:space="preserve"> PAGEREF _Toc70451675 \h </w:instrText>
        </w:r>
        <w:r w:rsidR="001260B3">
          <w:rPr>
            <w:noProof/>
            <w:webHidden/>
          </w:rPr>
        </w:r>
        <w:r w:rsidR="001260B3">
          <w:rPr>
            <w:noProof/>
            <w:webHidden/>
          </w:rPr>
          <w:fldChar w:fldCharType="separate"/>
        </w:r>
        <w:r w:rsidR="001260B3">
          <w:rPr>
            <w:noProof/>
            <w:webHidden/>
          </w:rPr>
          <w:t>242</w:t>
        </w:r>
        <w:r w:rsidR="001260B3">
          <w:rPr>
            <w:noProof/>
            <w:webHidden/>
          </w:rPr>
          <w:fldChar w:fldCharType="end"/>
        </w:r>
      </w:hyperlink>
    </w:p>
    <w:p w14:paraId="4193F4B5"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76" w:history="1">
        <w:r w:rsidR="001260B3" w:rsidRPr="00F148B7">
          <w:rPr>
            <w:rStyle w:val="Lienhypertexte"/>
            <w:rFonts w:cs="Arial"/>
            <w:noProof/>
          </w:rPr>
          <w:t>Tableau 30. Récapitulation des étapes et des responsabilités institutionnelles pour la sélection et la préparation de l’évaluation, de l’approbation et de la mise en œuvre des sous-projets</w:t>
        </w:r>
        <w:r w:rsidR="001260B3">
          <w:rPr>
            <w:noProof/>
            <w:webHidden/>
          </w:rPr>
          <w:tab/>
        </w:r>
        <w:r w:rsidR="001260B3">
          <w:rPr>
            <w:noProof/>
            <w:webHidden/>
          </w:rPr>
          <w:fldChar w:fldCharType="begin"/>
        </w:r>
        <w:r w:rsidR="001260B3">
          <w:rPr>
            <w:noProof/>
            <w:webHidden/>
          </w:rPr>
          <w:instrText xml:space="preserve"> PAGEREF _Toc70451676 \h </w:instrText>
        </w:r>
        <w:r w:rsidR="001260B3">
          <w:rPr>
            <w:noProof/>
            <w:webHidden/>
          </w:rPr>
        </w:r>
        <w:r w:rsidR="001260B3">
          <w:rPr>
            <w:noProof/>
            <w:webHidden/>
          </w:rPr>
          <w:fldChar w:fldCharType="separate"/>
        </w:r>
        <w:r w:rsidR="001260B3">
          <w:rPr>
            <w:noProof/>
            <w:webHidden/>
          </w:rPr>
          <w:t>245</w:t>
        </w:r>
        <w:r w:rsidR="001260B3">
          <w:rPr>
            <w:noProof/>
            <w:webHidden/>
          </w:rPr>
          <w:fldChar w:fldCharType="end"/>
        </w:r>
      </w:hyperlink>
    </w:p>
    <w:p w14:paraId="641F9E1E"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77" w:history="1">
        <w:r w:rsidR="001260B3" w:rsidRPr="00F148B7">
          <w:rPr>
            <w:rStyle w:val="Lienhypertexte"/>
            <w:noProof/>
          </w:rPr>
          <w:t>Tableau 31</w:t>
        </w:r>
        <w:r w:rsidR="001260B3" w:rsidRPr="00F148B7">
          <w:rPr>
            <w:rStyle w:val="Lienhypertexte"/>
            <w:rFonts w:cs="Arial"/>
            <w:noProof/>
          </w:rPr>
          <w:t>. Indicateurs de suivi</w:t>
        </w:r>
        <w:r w:rsidR="001260B3">
          <w:rPr>
            <w:noProof/>
            <w:webHidden/>
          </w:rPr>
          <w:tab/>
        </w:r>
        <w:r w:rsidR="001260B3">
          <w:rPr>
            <w:noProof/>
            <w:webHidden/>
          </w:rPr>
          <w:fldChar w:fldCharType="begin"/>
        </w:r>
        <w:r w:rsidR="001260B3">
          <w:rPr>
            <w:noProof/>
            <w:webHidden/>
          </w:rPr>
          <w:instrText xml:space="preserve"> PAGEREF _Toc70451677 \h </w:instrText>
        </w:r>
        <w:r w:rsidR="001260B3">
          <w:rPr>
            <w:noProof/>
            <w:webHidden/>
          </w:rPr>
        </w:r>
        <w:r w:rsidR="001260B3">
          <w:rPr>
            <w:noProof/>
            <w:webHidden/>
          </w:rPr>
          <w:fldChar w:fldCharType="separate"/>
        </w:r>
        <w:r w:rsidR="001260B3">
          <w:rPr>
            <w:noProof/>
            <w:webHidden/>
          </w:rPr>
          <w:t>250</w:t>
        </w:r>
        <w:r w:rsidR="001260B3">
          <w:rPr>
            <w:noProof/>
            <w:webHidden/>
          </w:rPr>
          <w:fldChar w:fldCharType="end"/>
        </w:r>
      </w:hyperlink>
    </w:p>
    <w:p w14:paraId="2C01C0FD"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78" w:history="1">
        <w:r w:rsidR="001260B3" w:rsidRPr="00F148B7">
          <w:rPr>
            <w:rStyle w:val="Lienhypertexte"/>
            <w:noProof/>
          </w:rPr>
          <w:t>Tableau 32</w:t>
        </w:r>
        <w:r w:rsidR="001260B3" w:rsidRPr="00F148B7">
          <w:rPr>
            <w:rStyle w:val="Lienhypertexte"/>
            <w:rFonts w:cs="Arial"/>
            <w:noProof/>
          </w:rPr>
          <w:t>. Calendrier de mise en œuvre des activités environnementales et sociales du PNDA</w:t>
        </w:r>
        <w:r w:rsidR="001260B3">
          <w:rPr>
            <w:noProof/>
            <w:webHidden/>
          </w:rPr>
          <w:tab/>
        </w:r>
        <w:r w:rsidR="001260B3">
          <w:rPr>
            <w:noProof/>
            <w:webHidden/>
          </w:rPr>
          <w:fldChar w:fldCharType="begin"/>
        </w:r>
        <w:r w:rsidR="001260B3">
          <w:rPr>
            <w:noProof/>
            <w:webHidden/>
          </w:rPr>
          <w:instrText xml:space="preserve"> PAGEREF _Toc70451678 \h </w:instrText>
        </w:r>
        <w:r w:rsidR="001260B3">
          <w:rPr>
            <w:noProof/>
            <w:webHidden/>
          </w:rPr>
        </w:r>
        <w:r w:rsidR="001260B3">
          <w:rPr>
            <w:noProof/>
            <w:webHidden/>
          </w:rPr>
          <w:fldChar w:fldCharType="separate"/>
        </w:r>
        <w:r w:rsidR="001260B3">
          <w:rPr>
            <w:noProof/>
            <w:webHidden/>
          </w:rPr>
          <w:t>257</w:t>
        </w:r>
        <w:r w:rsidR="001260B3">
          <w:rPr>
            <w:noProof/>
            <w:webHidden/>
          </w:rPr>
          <w:fldChar w:fldCharType="end"/>
        </w:r>
      </w:hyperlink>
    </w:p>
    <w:p w14:paraId="5A556673"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79" w:history="1">
        <w:r w:rsidR="001260B3" w:rsidRPr="00F148B7">
          <w:rPr>
            <w:rStyle w:val="Lienhypertexte"/>
            <w:noProof/>
          </w:rPr>
          <w:t>Tableau 33</w:t>
        </w:r>
        <w:r w:rsidR="001260B3" w:rsidRPr="00F148B7">
          <w:rPr>
            <w:rStyle w:val="Lienhypertexte"/>
            <w:rFonts w:cs="Arial"/>
            <w:noProof/>
          </w:rPr>
          <w:t>. Calendrier des consultations du public</w:t>
        </w:r>
        <w:r w:rsidR="001260B3">
          <w:rPr>
            <w:noProof/>
            <w:webHidden/>
          </w:rPr>
          <w:tab/>
        </w:r>
        <w:r w:rsidR="001260B3">
          <w:rPr>
            <w:noProof/>
            <w:webHidden/>
          </w:rPr>
          <w:fldChar w:fldCharType="begin"/>
        </w:r>
        <w:r w:rsidR="001260B3">
          <w:rPr>
            <w:noProof/>
            <w:webHidden/>
          </w:rPr>
          <w:instrText xml:space="preserve"> PAGEREF _Toc70451679 \h </w:instrText>
        </w:r>
        <w:r w:rsidR="001260B3">
          <w:rPr>
            <w:noProof/>
            <w:webHidden/>
          </w:rPr>
        </w:r>
        <w:r w:rsidR="001260B3">
          <w:rPr>
            <w:noProof/>
            <w:webHidden/>
          </w:rPr>
          <w:fldChar w:fldCharType="separate"/>
        </w:r>
        <w:r w:rsidR="001260B3">
          <w:rPr>
            <w:noProof/>
            <w:webHidden/>
          </w:rPr>
          <w:t>260</w:t>
        </w:r>
        <w:r w:rsidR="001260B3">
          <w:rPr>
            <w:noProof/>
            <w:webHidden/>
          </w:rPr>
          <w:fldChar w:fldCharType="end"/>
        </w:r>
      </w:hyperlink>
    </w:p>
    <w:p w14:paraId="194840FE"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80" w:history="1">
        <w:r w:rsidR="001260B3" w:rsidRPr="00F148B7">
          <w:rPr>
            <w:rStyle w:val="Lienhypertexte"/>
            <w:noProof/>
          </w:rPr>
          <w:t xml:space="preserve">Tableau 34. </w:t>
        </w:r>
        <w:r w:rsidR="001260B3" w:rsidRPr="00F148B7">
          <w:rPr>
            <w:rStyle w:val="Lienhypertexte"/>
            <w:rFonts w:cs="Arial"/>
            <w:iCs/>
            <w:noProof/>
          </w:rPr>
          <w:t>Strategie pour la gestion de la COVID – 19</w:t>
        </w:r>
        <w:r w:rsidR="001260B3">
          <w:rPr>
            <w:noProof/>
            <w:webHidden/>
          </w:rPr>
          <w:tab/>
        </w:r>
        <w:r w:rsidR="001260B3">
          <w:rPr>
            <w:noProof/>
            <w:webHidden/>
          </w:rPr>
          <w:fldChar w:fldCharType="begin"/>
        </w:r>
        <w:r w:rsidR="001260B3">
          <w:rPr>
            <w:noProof/>
            <w:webHidden/>
          </w:rPr>
          <w:instrText xml:space="preserve"> PAGEREF _Toc70451680 \h </w:instrText>
        </w:r>
        <w:r w:rsidR="001260B3">
          <w:rPr>
            <w:noProof/>
            <w:webHidden/>
          </w:rPr>
        </w:r>
        <w:r w:rsidR="001260B3">
          <w:rPr>
            <w:noProof/>
            <w:webHidden/>
          </w:rPr>
          <w:fldChar w:fldCharType="separate"/>
        </w:r>
        <w:r w:rsidR="001260B3">
          <w:rPr>
            <w:noProof/>
            <w:webHidden/>
          </w:rPr>
          <w:t>264</w:t>
        </w:r>
        <w:r w:rsidR="001260B3">
          <w:rPr>
            <w:noProof/>
            <w:webHidden/>
          </w:rPr>
          <w:fldChar w:fldCharType="end"/>
        </w:r>
      </w:hyperlink>
    </w:p>
    <w:p w14:paraId="03F20361"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81" w:history="1">
        <w:r w:rsidR="001260B3" w:rsidRPr="00F148B7">
          <w:rPr>
            <w:rStyle w:val="Lienhypertexte"/>
            <w:rFonts w:cs="Arial"/>
            <w:noProof/>
          </w:rPr>
          <w:t>Tableau 35 : Synthèse des besoins des parties prenantes au programme</w:t>
        </w:r>
        <w:r w:rsidR="001260B3">
          <w:rPr>
            <w:noProof/>
            <w:webHidden/>
          </w:rPr>
          <w:tab/>
        </w:r>
        <w:r w:rsidR="001260B3">
          <w:rPr>
            <w:noProof/>
            <w:webHidden/>
          </w:rPr>
          <w:fldChar w:fldCharType="begin"/>
        </w:r>
        <w:r w:rsidR="001260B3">
          <w:rPr>
            <w:noProof/>
            <w:webHidden/>
          </w:rPr>
          <w:instrText xml:space="preserve"> PAGEREF _Toc70451681 \h </w:instrText>
        </w:r>
        <w:r w:rsidR="001260B3">
          <w:rPr>
            <w:noProof/>
            <w:webHidden/>
          </w:rPr>
        </w:r>
        <w:r w:rsidR="001260B3">
          <w:rPr>
            <w:noProof/>
            <w:webHidden/>
          </w:rPr>
          <w:fldChar w:fldCharType="separate"/>
        </w:r>
        <w:r w:rsidR="001260B3">
          <w:rPr>
            <w:noProof/>
            <w:webHidden/>
          </w:rPr>
          <w:t>267</w:t>
        </w:r>
        <w:r w:rsidR="001260B3">
          <w:rPr>
            <w:noProof/>
            <w:webHidden/>
          </w:rPr>
          <w:fldChar w:fldCharType="end"/>
        </w:r>
      </w:hyperlink>
    </w:p>
    <w:p w14:paraId="76784F11"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82" w:history="1">
        <w:r w:rsidR="001260B3" w:rsidRPr="00F148B7">
          <w:rPr>
            <w:rStyle w:val="Lienhypertexte"/>
            <w:rFonts w:cs="Arial"/>
            <w:noProof/>
          </w:rPr>
          <w:t>Tableau 36. Techniques d’engagement des Parties Prenantes</w:t>
        </w:r>
        <w:r w:rsidR="001260B3">
          <w:rPr>
            <w:noProof/>
            <w:webHidden/>
          </w:rPr>
          <w:tab/>
        </w:r>
        <w:r w:rsidR="001260B3">
          <w:rPr>
            <w:noProof/>
            <w:webHidden/>
          </w:rPr>
          <w:fldChar w:fldCharType="begin"/>
        </w:r>
        <w:r w:rsidR="001260B3">
          <w:rPr>
            <w:noProof/>
            <w:webHidden/>
          </w:rPr>
          <w:instrText xml:space="preserve"> PAGEREF _Toc70451682 \h </w:instrText>
        </w:r>
        <w:r w:rsidR="001260B3">
          <w:rPr>
            <w:noProof/>
            <w:webHidden/>
          </w:rPr>
        </w:r>
        <w:r w:rsidR="001260B3">
          <w:rPr>
            <w:noProof/>
            <w:webHidden/>
          </w:rPr>
          <w:fldChar w:fldCharType="separate"/>
        </w:r>
        <w:r w:rsidR="001260B3">
          <w:rPr>
            <w:noProof/>
            <w:webHidden/>
          </w:rPr>
          <w:t>272</w:t>
        </w:r>
        <w:r w:rsidR="001260B3">
          <w:rPr>
            <w:noProof/>
            <w:webHidden/>
          </w:rPr>
          <w:fldChar w:fldCharType="end"/>
        </w:r>
      </w:hyperlink>
    </w:p>
    <w:p w14:paraId="007E2D2D"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83" w:history="1">
        <w:r w:rsidR="001260B3" w:rsidRPr="00F148B7">
          <w:rPr>
            <w:rStyle w:val="Lienhypertexte"/>
            <w:noProof/>
          </w:rPr>
          <w:t>Tableau 37: Stratégie pour les consultations dans le cadre du PNDA</w:t>
        </w:r>
        <w:r w:rsidR="001260B3">
          <w:rPr>
            <w:noProof/>
            <w:webHidden/>
          </w:rPr>
          <w:tab/>
        </w:r>
        <w:r w:rsidR="001260B3">
          <w:rPr>
            <w:noProof/>
            <w:webHidden/>
          </w:rPr>
          <w:fldChar w:fldCharType="begin"/>
        </w:r>
        <w:r w:rsidR="001260B3">
          <w:rPr>
            <w:noProof/>
            <w:webHidden/>
          </w:rPr>
          <w:instrText xml:space="preserve"> PAGEREF _Toc70451683 \h </w:instrText>
        </w:r>
        <w:r w:rsidR="001260B3">
          <w:rPr>
            <w:noProof/>
            <w:webHidden/>
          </w:rPr>
        </w:r>
        <w:r w:rsidR="001260B3">
          <w:rPr>
            <w:noProof/>
            <w:webHidden/>
          </w:rPr>
          <w:fldChar w:fldCharType="separate"/>
        </w:r>
        <w:r w:rsidR="001260B3">
          <w:rPr>
            <w:noProof/>
            <w:webHidden/>
          </w:rPr>
          <w:t>275</w:t>
        </w:r>
        <w:r w:rsidR="001260B3">
          <w:rPr>
            <w:noProof/>
            <w:webHidden/>
          </w:rPr>
          <w:fldChar w:fldCharType="end"/>
        </w:r>
      </w:hyperlink>
    </w:p>
    <w:p w14:paraId="0397BD57"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84" w:history="1">
        <w:r w:rsidR="001260B3" w:rsidRPr="00F148B7">
          <w:rPr>
            <w:rStyle w:val="Lienhypertexte"/>
            <w:noProof/>
          </w:rPr>
          <w:t>Tableau 38. Synthèse de la stratégie de diffusion des informations</w:t>
        </w:r>
        <w:r w:rsidR="001260B3">
          <w:rPr>
            <w:noProof/>
            <w:webHidden/>
          </w:rPr>
          <w:tab/>
        </w:r>
        <w:r w:rsidR="001260B3">
          <w:rPr>
            <w:noProof/>
            <w:webHidden/>
          </w:rPr>
          <w:fldChar w:fldCharType="begin"/>
        </w:r>
        <w:r w:rsidR="001260B3">
          <w:rPr>
            <w:noProof/>
            <w:webHidden/>
          </w:rPr>
          <w:instrText xml:space="preserve"> PAGEREF _Toc70451684 \h </w:instrText>
        </w:r>
        <w:r w:rsidR="001260B3">
          <w:rPr>
            <w:noProof/>
            <w:webHidden/>
          </w:rPr>
        </w:r>
        <w:r w:rsidR="001260B3">
          <w:rPr>
            <w:noProof/>
            <w:webHidden/>
          </w:rPr>
          <w:fldChar w:fldCharType="separate"/>
        </w:r>
        <w:r w:rsidR="001260B3">
          <w:rPr>
            <w:noProof/>
            <w:webHidden/>
          </w:rPr>
          <w:t>279</w:t>
        </w:r>
        <w:r w:rsidR="001260B3">
          <w:rPr>
            <w:noProof/>
            <w:webHidden/>
          </w:rPr>
          <w:fldChar w:fldCharType="end"/>
        </w:r>
      </w:hyperlink>
    </w:p>
    <w:p w14:paraId="6F47699A"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85" w:history="1">
        <w:r w:rsidR="001260B3" w:rsidRPr="00F148B7">
          <w:rPr>
            <w:rStyle w:val="Lienhypertexte"/>
            <w:noProof/>
          </w:rPr>
          <w:t>Tableau 39</w:t>
        </w:r>
        <w:r w:rsidR="001260B3" w:rsidRPr="00F148B7">
          <w:rPr>
            <w:rStyle w:val="Lienhypertexte"/>
            <w:rFonts w:cs="Arial"/>
            <w:noProof/>
          </w:rPr>
          <w:t>. Calendrier des ateliers de restitution</w:t>
        </w:r>
        <w:r w:rsidR="001260B3">
          <w:rPr>
            <w:noProof/>
            <w:webHidden/>
          </w:rPr>
          <w:tab/>
        </w:r>
        <w:r w:rsidR="001260B3">
          <w:rPr>
            <w:noProof/>
            <w:webHidden/>
          </w:rPr>
          <w:fldChar w:fldCharType="begin"/>
        </w:r>
        <w:r w:rsidR="001260B3">
          <w:rPr>
            <w:noProof/>
            <w:webHidden/>
          </w:rPr>
          <w:instrText xml:space="preserve"> PAGEREF _Toc70451685 \h </w:instrText>
        </w:r>
        <w:r w:rsidR="001260B3">
          <w:rPr>
            <w:noProof/>
            <w:webHidden/>
          </w:rPr>
        </w:r>
        <w:r w:rsidR="001260B3">
          <w:rPr>
            <w:noProof/>
            <w:webHidden/>
          </w:rPr>
          <w:fldChar w:fldCharType="separate"/>
        </w:r>
        <w:r w:rsidR="001260B3">
          <w:rPr>
            <w:noProof/>
            <w:webHidden/>
          </w:rPr>
          <w:t>281</w:t>
        </w:r>
        <w:r w:rsidR="001260B3">
          <w:rPr>
            <w:noProof/>
            <w:webHidden/>
          </w:rPr>
          <w:fldChar w:fldCharType="end"/>
        </w:r>
      </w:hyperlink>
    </w:p>
    <w:p w14:paraId="21AB2AB9"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86" w:history="1">
        <w:r w:rsidR="001260B3" w:rsidRPr="00F148B7">
          <w:rPr>
            <w:rStyle w:val="Lienhypertexte"/>
            <w:noProof/>
          </w:rPr>
          <w:t>Tableau 40</w:t>
        </w:r>
        <w:r w:rsidR="001260B3" w:rsidRPr="00F148B7">
          <w:rPr>
            <w:rStyle w:val="Lienhypertexte"/>
            <w:rFonts w:cs="Arial"/>
            <w:noProof/>
          </w:rPr>
          <w:t>. Synthèse des résultats des ateliers de restitution</w:t>
        </w:r>
        <w:r w:rsidR="001260B3">
          <w:rPr>
            <w:noProof/>
            <w:webHidden/>
          </w:rPr>
          <w:tab/>
        </w:r>
        <w:r w:rsidR="001260B3">
          <w:rPr>
            <w:noProof/>
            <w:webHidden/>
          </w:rPr>
          <w:fldChar w:fldCharType="begin"/>
        </w:r>
        <w:r w:rsidR="001260B3">
          <w:rPr>
            <w:noProof/>
            <w:webHidden/>
          </w:rPr>
          <w:instrText xml:space="preserve"> PAGEREF _Toc70451686 \h </w:instrText>
        </w:r>
        <w:r w:rsidR="001260B3">
          <w:rPr>
            <w:noProof/>
            <w:webHidden/>
          </w:rPr>
        </w:r>
        <w:r w:rsidR="001260B3">
          <w:rPr>
            <w:noProof/>
            <w:webHidden/>
          </w:rPr>
          <w:fldChar w:fldCharType="separate"/>
        </w:r>
        <w:r w:rsidR="001260B3">
          <w:rPr>
            <w:noProof/>
            <w:webHidden/>
          </w:rPr>
          <w:t>283</w:t>
        </w:r>
        <w:r w:rsidR="001260B3">
          <w:rPr>
            <w:noProof/>
            <w:webHidden/>
          </w:rPr>
          <w:fldChar w:fldCharType="end"/>
        </w:r>
      </w:hyperlink>
    </w:p>
    <w:p w14:paraId="3E92B37B"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87" w:history="1">
        <w:r w:rsidR="001260B3" w:rsidRPr="00F148B7">
          <w:rPr>
            <w:rStyle w:val="Lienhypertexte"/>
            <w:rFonts w:cs="Arial"/>
            <w:noProof/>
          </w:rPr>
          <w:t>Tableau 41  Les 4 étapes de la procédure suivie par le Panel d’inspection</w:t>
        </w:r>
        <w:r w:rsidR="001260B3">
          <w:rPr>
            <w:noProof/>
            <w:webHidden/>
          </w:rPr>
          <w:tab/>
        </w:r>
        <w:r w:rsidR="001260B3">
          <w:rPr>
            <w:noProof/>
            <w:webHidden/>
          </w:rPr>
          <w:fldChar w:fldCharType="begin"/>
        </w:r>
        <w:r w:rsidR="001260B3">
          <w:rPr>
            <w:noProof/>
            <w:webHidden/>
          </w:rPr>
          <w:instrText xml:space="preserve"> PAGEREF _Toc70451687 \h </w:instrText>
        </w:r>
        <w:r w:rsidR="001260B3">
          <w:rPr>
            <w:noProof/>
            <w:webHidden/>
          </w:rPr>
        </w:r>
        <w:r w:rsidR="001260B3">
          <w:rPr>
            <w:noProof/>
            <w:webHidden/>
          </w:rPr>
          <w:fldChar w:fldCharType="separate"/>
        </w:r>
        <w:r w:rsidR="001260B3">
          <w:rPr>
            <w:noProof/>
            <w:webHidden/>
          </w:rPr>
          <w:t>292</w:t>
        </w:r>
        <w:r w:rsidR="001260B3">
          <w:rPr>
            <w:noProof/>
            <w:webHidden/>
          </w:rPr>
          <w:fldChar w:fldCharType="end"/>
        </w:r>
      </w:hyperlink>
    </w:p>
    <w:p w14:paraId="1CFC38F9" w14:textId="77777777" w:rsidR="001260B3" w:rsidRPr="008E468D" w:rsidRDefault="00652264">
      <w:pPr>
        <w:pStyle w:val="Tabledesillustrations"/>
        <w:tabs>
          <w:tab w:val="right" w:leader="dot" w:pos="9204"/>
        </w:tabs>
        <w:rPr>
          <w:rFonts w:ascii="Calibri" w:hAnsi="Calibri"/>
          <w:noProof/>
          <w:sz w:val="22"/>
          <w:lang w:val="en-US" w:eastAsia="en-US"/>
        </w:rPr>
      </w:pPr>
      <w:hyperlink w:anchor="_Toc70451688" w:history="1">
        <w:r w:rsidR="001260B3" w:rsidRPr="00F148B7">
          <w:rPr>
            <w:rStyle w:val="Lienhypertexte"/>
            <w:noProof/>
          </w:rPr>
          <w:t>Tableau 42. Budget quantitatif et estimatif global de mise en œuvre des mesures environnementales et sociales d</w:t>
        </w:r>
        <w:r w:rsidR="001260B3" w:rsidRPr="00F148B7">
          <w:rPr>
            <w:rStyle w:val="Lienhypertexte"/>
            <w:rFonts w:cs="Arial"/>
            <w:noProof/>
          </w:rPr>
          <w:t>es PGRIES</w:t>
        </w:r>
        <w:r w:rsidR="001260B3">
          <w:rPr>
            <w:noProof/>
            <w:webHidden/>
          </w:rPr>
          <w:tab/>
        </w:r>
        <w:r w:rsidR="001260B3">
          <w:rPr>
            <w:noProof/>
            <w:webHidden/>
          </w:rPr>
          <w:fldChar w:fldCharType="begin"/>
        </w:r>
        <w:r w:rsidR="001260B3">
          <w:rPr>
            <w:noProof/>
            <w:webHidden/>
          </w:rPr>
          <w:instrText xml:space="preserve"> PAGEREF _Toc70451688 \h </w:instrText>
        </w:r>
        <w:r w:rsidR="001260B3">
          <w:rPr>
            <w:noProof/>
            <w:webHidden/>
          </w:rPr>
        </w:r>
        <w:r w:rsidR="001260B3">
          <w:rPr>
            <w:noProof/>
            <w:webHidden/>
          </w:rPr>
          <w:fldChar w:fldCharType="separate"/>
        </w:r>
        <w:r w:rsidR="001260B3">
          <w:rPr>
            <w:noProof/>
            <w:webHidden/>
          </w:rPr>
          <w:t>295</w:t>
        </w:r>
        <w:r w:rsidR="001260B3">
          <w:rPr>
            <w:noProof/>
            <w:webHidden/>
          </w:rPr>
          <w:fldChar w:fldCharType="end"/>
        </w:r>
      </w:hyperlink>
    </w:p>
    <w:p w14:paraId="13226048" w14:textId="77777777" w:rsidR="001C2F95" w:rsidRPr="00154DC7" w:rsidRDefault="001C2F95" w:rsidP="00154DC7">
      <w:pPr>
        <w:pStyle w:val="Tabledesillustrations"/>
        <w:tabs>
          <w:tab w:val="right" w:pos="9072"/>
        </w:tabs>
        <w:ind w:left="1134" w:hanging="1134"/>
        <w:jc w:val="center"/>
        <w:rPr>
          <w:rStyle w:val="Lienhypertexte"/>
          <w:rFonts w:cs="Arial"/>
          <w:noProof/>
          <w:color w:val="000000"/>
          <w:sz w:val="22"/>
          <w:highlight w:val="yellow"/>
        </w:rPr>
      </w:pPr>
      <w:r w:rsidRPr="00154DC7">
        <w:rPr>
          <w:rStyle w:val="Lienhypertexte"/>
          <w:rFonts w:cs="Arial"/>
          <w:noProof/>
          <w:sz w:val="22"/>
          <w:lang w:eastAsia="ja-JP"/>
        </w:rPr>
        <w:fldChar w:fldCharType="end"/>
      </w:r>
    </w:p>
    <w:p w14:paraId="28D469FF" w14:textId="77777777" w:rsidR="001C2F95" w:rsidRPr="00154DC7" w:rsidRDefault="001C2F95" w:rsidP="00154DC7">
      <w:pPr>
        <w:pStyle w:val="Tabledesillustrations"/>
        <w:tabs>
          <w:tab w:val="right" w:pos="9072"/>
        </w:tabs>
        <w:ind w:left="1134" w:hanging="1134"/>
        <w:jc w:val="center"/>
        <w:rPr>
          <w:rStyle w:val="Lienhypertexte"/>
          <w:rFonts w:cs="Arial"/>
          <w:noProof/>
          <w:color w:val="000000"/>
          <w:sz w:val="22"/>
          <w:highlight w:val="yellow"/>
        </w:rPr>
      </w:pPr>
    </w:p>
    <w:p w14:paraId="77F32C2E" w14:textId="77777777" w:rsidR="001C2F95" w:rsidRPr="00154DC7" w:rsidRDefault="001C2F95" w:rsidP="00154DC7">
      <w:pPr>
        <w:ind w:left="1134" w:hanging="1134"/>
        <w:rPr>
          <w:rFonts w:cs="Arial"/>
          <w:sz w:val="22"/>
          <w:highlight w:val="yellow"/>
        </w:rPr>
      </w:pPr>
    </w:p>
    <w:p w14:paraId="46F2EB07" w14:textId="77777777" w:rsidR="001C2F95" w:rsidRPr="000A2C55" w:rsidRDefault="001C2F95" w:rsidP="00154DC7">
      <w:pPr>
        <w:pStyle w:val="Titre1"/>
        <w:ind w:left="1134" w:hanging="1134"/>
        <w:jc w:val="center"/>
        <w:rPr>
          <w:rFonts w:cs="Arial"/>
          <w:sz w:val="22"/>
          <w:szCs w:val="22"/>
        </w:rPr>
      </w:pPr>
      <w:r w:rsidRPr="00154DC7">
        <w:rPr>
          <w:rStyle w:val="Lienhypertexte"/>
          <w:rFonts w:cs="Arial"/>
          <w:noProof/>
          <w:color w:val="000000"/>
          <w:sz w:val="22"/>
          <w:szCs w:val="22"/>
          <w:highlight w:val="yellow"/>
        </w:rPr>
        <w:br w:type="page"/>
      </w:r>
      <w:bookmarkStart w:id="18" w:name="_Toc500754621"/>
      <w:bookmarkStart w:id="19" w:name="_Toc44626780"/>
      <w:bookmarkStart w:id="20" w:name="_Toc70330312"/>
      <w:r w:rsidRPr="000A2C55">
        <w:rPr>
          <w:rFonts w:cs="Arial"/>
          <w:sz w:val="22"/>
          <w:szCs w:val="22"/>
        </w:rPr>
        <w:lastRenderedPageBreak/>
        <w:t>LISTE DES FIGURES</w:t>
      </w:r>
      <w:bookmarkEnd w:id="18"/>
      <w:bookmarkEnd w:id="19"/>
      <w:bookmarkEnd w:id="20"/>
    </w:p>
    <w:p w14:paraId="702F515E" w14:textId="77777777" w:rsidR="001C2F95" w:rsidRPr="00296E4B" w:rsidRDefault="001C2F95" w:rsidP="001C2F95">
      <w:pPr>
        <w:ind w:left="1134" w:hanging="1134"/>
        <w:rPr>
          <w:rFonts w:cs="Arial"/>
          <w:sz w:val="22"/>
        </w:rPr>
      </w:pPr>
    </w:p>
    <w:p w14:paraId="62517D94" w14:textId="77777777" w:rsidR="00657689" w:rsidRPr="00730A4A" w:rsidRDefault="001C2F95">
      <w:pPr>
        <w:pStyle w:val="Tabledesillustrations"/>
        <w:tabs>
          <w:tab w:val="right" w:leader="dot" w:pos="9204"/>
        </w:tabs>
        <w:rPr>
          <w:rFonts w:ascii="Calibri" w:hAnsi="Calibri"/>
          <w:noProof/>
          <w:sz w:val="22"/>
        </w:rPr>
      </w:pPr>
      <w:r w:rsidRPr="00154DC7">
        <w:rPr>
          <w:rStyle w:val="Lienhypertexte"/>
          <w:rFonts w:cs="Arial"/>
          <w:noProof/>
          <w:sz w:val="22"/>
          <w:lang w:eastAsia="ja-JP"/>
        </w:rPr>
        <w:fldChar w:fldCharType="begin"/>
      </w:r>
      <w:r w:rsidRPr="00154DC7">
        <w:rPr>
          <w:rStyle w:val="Lienhypertexte"/>
          <w:rFonts w:cs="Arial"/>
          <w:noProof/>
          <w:sz w:val="22"/>
          <w:lang w:eastAsia="ja-JP"/>
        </w:rPr>
        <w:instrText xml:space="preserve"> TOC \h \z \t "tab1;1" \c "Figure" </w:instrText>
      </w:r>
      <w:r w:rsidRPr="00154DC7">
        <w:rPr>
          <w:rStyle w:val="Lienhypertexte"/>
          <w:rFonts w:cs="Arial"/>
          <w:noProof/>
          <w:sz w:val="22"/>
          <w:lang w:eastAsia="ja-JP"/>
        </w:rPr>
        <w:fldChar w:fldCharType="separate"/>
      </w:r>
      <w:hyperlink w:anchor="_Toc70320596" w:history="1">
        <w:r w:rsidR="00657689" w:rsidRPr="008E0775">
          <w:rPr>
            <w:rStyle w:val="Lienhypertexte"/>
            <w:rFonts w:cs="Arial"/>
            <w:noProof/>
          </w:rPr>
          <w:t>Figure 1. Carte localisation des Provinces concernées par le Projet.</w:t>
        </w:r>
        <w:r w:rsidR="00657689">
          <w:rPr>
            <w:noProof/>
            <w:webHidden/>
          </w:rPr>
          <w:tab/>
        </w:r>
        <w:r w:rsidR="00657689">
          <w:rPr>
            <w:noProof/>
            <w:webHidden/>
          </w:rPr>
          <w:fldChar w:fldCharType="begin"/>
        </w:r>
        <w:r w:rsidR="00657689">
          <w:rPr>
            <w:noProof/>
            <w:webHidden/>
          </w:rPr>
          <w:instrText xml:space="preserve"> PAGEREF _Toc70320596 \h </w:instrText>
        </w:r>
        <w:r w:rsidR="00657689">
          <w:rPr>
            <w:noProof/>
            <w:webHidden/>
          </w:rPr>
        </w:r>
        <w:r w:rsidR="00657689">
          <w:rPr>
            <w:noProof/>
            <w:webHidden/>
          </w:rPr>
          <w:fldChar w:fldCharType="separate"/>
        </w:r>
        <w:r w:rsidR="00B95951">
          <w:rPr>
            <w:noProof/>
            <w:webHidden/>
          </w:rPr>
          <w:t>15</w:t>
        </w:r>
        <w:r w:rsidR="00657689">
          <w:rPr>
            <w:noProof/>
            <w:webHidden/>
          </w:rPr>
          <w:fldChar w:fldCharType="end"/>
        </w:r>
      </w:hyperlink>
    </w:p>
    <w:p w14:paraId="6B4B8F79" w14:textId="77777777" w:rsidR="00657689" w:rsidRPr="00730A4A" w:rsidRDefault="00652264">
      <w:pPr>
        <w:pStyle w:val="Tabledesillustrations"/>
        <w:tabs>
          <w:tab w:val="right" w:leader="dot" w:pos="9204"/>
        </w:tabs>
        <w:rPr>
          <w:rFonts w:ascii="Calibri" w:hAnsi="Calibri"/>
          <w:noProof/>
          <w:sz w:val="22"/>
        </w:rPr>
      </w:pPr>
      <w:hyperlink w:anchor="_Toc70320597" w:history="1">
        <w:r w:rsidR="00657689" w:rsidRPr="008E0775">
          <w:rPr>
            <w:rStyle w:val="Lienhypertexte"/>
            <w:rFonts w:cs="Arial"/>
            <w:noProof/>
          </w:rPr>
          <w:t>Figure 2.  Étapes de traitement des plaintes</w:t>
        </w:r>
        <w:r w:rsidR="00657689">
          <w:rPr>
            <w:noProof/>
            <w:webHidden/>
          </w:rPr>
          <w:tab/>
        </w:r>
        <w:r w:rsidR="00657689">
          <w:rPr>
            <w:noProof/>
            <w:webHidden/>
          </w:rPr>
          <w:fldChar w:fldCharType="begin"/>
        </w:r>
        <w:r w:rsidR="00657689">
          <w:rPr>
            <w:noProof/>
            <w:webHidden/>
          </w:rPr>
          <w:instrText xml:space="preserve"> PAGEREF _Toc70320597 \h </w:instrText>
        </w:r>
        <w:r w:rsidR="00657689">
          <w:rPr>
            <w:noProof/>
            <w:webHidden/>
          </w:rPr>
        </w:r>
        <w:r w:rsidR="00657689">
          <w:rPr>
            <w:noProof/>
            <w:webHidden/>
          </w:rPr>
          <w:fldChar w:fldCharType="separate"/>
        </w:r>
        <w:r w:rsidR="00B95951">
          <w:rPr>
            <w:noProof/>
            <w:webHidden/>
          </w:rPr>
          <w:t>288</w:t>
        </w:r>
        <w:r w:rsidR="00657689">
          <w:rPr>
            <w:noProof/>
            <w:webHidden/>
          </w:rPr>
          <w:fldChar w:fldCharType="end"/>
        </w:r>
      </w:hyperlink>
    </w:p>
    <w:p w14:paraId="4CCC06B3" w14:textId="77777777" w:rsidR="001C2F95" w:rsidRPr="0007643D" w:rsidRDefault="001C2F95" w:rsidP="001C2F95">
      <w:pPr>
        <w:pStyle w:val="Tabledesillustrations"/>
        <w:tabs>
          <w:tab w:val="right" w:pos="8364"/>
        </w:tabs>
        <w:ind w:left="993" w:hanging="993"/>
        <w:rPr>
          <w:rFonts w:cs="Arial"/>
          <w:bCs/>
          <w:sz w:val="22"/>
        </w:rPr>
      </w:pPr>
      <w:r w:rsidRPr="00154DC7">
        <w:rPr>
          <w:rStyle w:val="Lienhypertexte"/>
          <w:rFonts w:cs="Arial"/>
          <w:noProof/>
          <w:sz w:val="22"/>
          <w:lang w:eastAsia="ja-JP"/>
        </w:rPr>
        <w:fldChar w:fldCharType="end"/>
      </w:r>
      <w:r w:rsidRPr="0007643D">
        <w:rPr>
          <w:rStyle w:val="Lienhypertexte"/>
          <w:rFonts w:cs="Arial"/>
          <w:sz w:val="22"/>
          <w:lang w:eastAsia="ja-JP"/>
        </w:rPr>
        <w:t xml:space="preserve"> </w:t>
      </w:r>
      <w:bookmarkStart w:id="21" w:name="_Toc404105854"/>
      <w:bookmarkEnd w:id="0"/>
      <w:bookmarkEnd w:id="1"/>
      <w:bookmarkEnd w:id="11"/>
    </w:p>
    <w:p w14:paraId="4A29D0AD" w14:textId="77777777" w:rsidR="001C2F95" w:rsidRPr="00296E4B" w:rsidRDefault="001C2F95" w:rsidP="001C2F95">
      <w:pPr>
        <w:jc w:val="left"/>
        <w:rPr>
          <w:rFonts w:cs="Arial"/>
          <w:b/>
          <w:sz w:val="22"/>
          <w:highlight w:val="yellow"/>
        </w:rPr>
      </w:pPr>
      <w:bookmarkStart w:id="22" w:name="_Toc464561965"/>
    </w:p>
    <w:p w14:paraId="413759E9" w14:textId="77777777" w:rsidR="001C2F95" w:rsidRPr="00296E4B" w:rsidRDefault="001C2F95" w:rsidP="001C2F95">
      <w:pPr>
        <w:spacing w:line="240" w:lineRule="auto"/>
        <w:jc w:val="left"/>
        <w:rPr>
          <w:rFonts w:cs="Arial"/>
          <w:sz w:val="22"/>
        </w:rPr>
      </w:pPr>
      <w:bookmarkStart w:id="23" w:name="_Toc423049179"/>
      <w:bookmarkStart w:id="24" w:name="_Toc423049180"/>
      <w:bookmarkStart w:id="25" w:name="_Toc423049181"/>
      <w:bookmarkStart w:id="26" w:name="_Toc423049182"/>
      <w:bookmarkStart w:id="27" w:name="_Toc423049183"/>
      <w:bookmarkStart w:id="28" w:name="_Toc423049184"/>
      <w:bookmarkStart w:id="29" w:name="_Toc423049185"/>
      <w:bookmarkStart w:id="30" w:name="_Toc423049186"/>
      <w:bookmarkStart w:id="31" w:name="_Toc423049187"/>
      <w:bookmarkStart w:id="32" w:name="_Toc423049188"/>
      <w:bookmarkStart w:id="33" w:name="_Toc423049189"/>
      <w:bookmarkStart w:id="34" w:name="_Toc423049190"/>
      <w:bookmarkStart w:id="35" w:name="_Toc423049191"/>
      <w:bookmarkStart w:id="36" w:name="_Toc423049192"/>
      <w:bookmarkStart w:id="37" w:name="_Toc423049193"/>
      <w:bookmarkStart w:id="38" w:name="_Toc423049194"/>
      <w:bookmarkStart w:id="39" w:name="_Toc423049195"/>
      <w:bookmarkStart w:id="40" w:name="_Toc423049196"/>
      <w:bookmarkStart w:id="41" w:name="_Toc423049197"/>
      <w:bookmarkStart w:id="42" w:name="_Toc423049198"/>
      <w:bookmarkStart w:id="43" w:name="_Toc423049199"/>
      <w:bookmarkStart w:id="44" w:name="_Toc423049200"/>
      <w:bookmarkStart w:id="45" w:name="_Toc423049201"/>
      <w:bookmarkStart w:id="46" w:name="_Toc423049202"/>
      <w:bookmarkStart w:id="47" w:name="_Toc423049203"/>
      <w:bookmarkStart w:id="48" w:name="_Toc423049204"/>
      <w:bookmarkStart w:id="49" w:name="_Toc423049205"/>
      <w:bookmarkStart w:id="50" w:name="_Toc423049206"/>
      <w:bookmarkStart w:id="51" w:name="_Toc423049207"/>
      <w:bookmarkStart w:id="52" w:name="_Toc423049208"/>
      <w:bookmarkStart w:id="53" w:name="_Toc423049209"/>
      <w:bookmarkStart w:id="54" w:name="_Toc423049210"/>
      <w:bookmarkStart w:id="55" w:name="_Toc37426665"/>
      <w:bookmarkStart w:id="56" w:name="_Toc44626781"/>
      <w:bookmarkStart w:id="57" w:name="_Toc395136072"/>
      <w:bookmarkStart w:id="58" w:name="_Toc464561966"/>
      <w:bookmarkStart w:id="59" w:name="_Toc47657193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296E4B">
        <w:rPr>
          <w:rFonts w:cs="Arial"/>
          <w:b/>
          <w:bCs/>
          <w:sz w:val="22"/>
        </w:rPr>
        <w:br w:type="page"/>
      </w:r>
    </w:p>
    <w:p w14:paraId="03810A0D" w14:textId="77777777" w:rsidR="001C2F95" w:rsidRPr="00750ECC" w:rsidRDefault="001C2F95" w:rsidP="001C2F95">
      <w:pPr>
        <w:pStyle w:val="Titre1"/>
        <w:jc w:val="center"/>
        <w:rPr>
          <w:rFonts w:cs="Arial"/>
          <w:sz w:val="22"/>
          <w:szCs w:val="22"/>
        </w:rPr>
      </w:pPr>
      <w:bookmarkStart w:id="60" w:name="_Toc70330313"/>
      <w:r w:rsidRPr="00750ECC">
        <w:rPr>
          <w:rFonts w:cs="Arial"/>
          <w:sz w:val="22"/>
          <w:szCs w:val="22"/>
        </w:rPr>
        <w:lastRenderedPageBreak/>
        <w:t>RÉSUMÉ EXÉCUTIF</w:t>
      </w:r>
      <w:bookmarkEnd w:id="55"/>
      <w:bookmarkEnd w:id="56"/>
      <w:bookmarkEnd w:id="60"/>
    </w:p>
    <w:p w14:paraId="086B565D" w14:textId="77777777" w:rsidR="001C2F95" w:rsidRPr="00296E4B" w:rsidRDefault="001C2F95" w:rsidP="001C2F95">
      <w:pPr>
        <w:spacing w:line="240" w:lineRule="auto"/>
        <w:rPr>
          <w:rFonts w:cs="Arial"/>
          <w:iCs/>
          <w:sz w:val="22"/>
          <w:highlight w:val="yellow"/>
        </w:rPr>
      </w:pPr>
    </w:p>
    <w:p w14:paraId="18DCE5C2" w14:textId="77777777" w:rsidR="001C2F95" w:rsidRPr="00296E4B" w:rsidRDefault="001C2F95" w:rsidP="002378EA">
      <w:pPr>
        <w:numPr>
          <w:ilvl w:val="0"/>
          <w:numId w:val="66"/>
        </w:numPr>
        <w:spacing w:line="240" w:lineRule="auto"/>
        <w:rPr>
          <w:rFonts w:cs="Arial"/>
          <w:i/>
          <w:sz w:val="22"/>
        </w:rPr>
      </w:pPr>
      <w:r w:rsidRPr="00296E4B">
        <w:rPr>
          <w:rFonts w:cs="Arial"/>
          <w:i/>
          <w:sz w:val="22"/>
        </w:rPr>
        <w:t xml:space="preserve">Brève description du projet (objectif global, composantes et principales activités) </w:t>
      </w:r>
    </w:p>
    <w:p w14:paraId="6D671140" w14:textId="77777777" w:rsidR="001C2F95" w:rsidRPr="00296E4B" w:rsidRDefault="001C2F95" w:rsidP="001C2F95">
      <w:pPr>
        <w:tabs>
          <w:tab w:val="left" w:pos="426"/>
        </w:tabs>
        <w:spacing w:line="240" w:lineRule="auto"/>
        <w:rPr>
          <w:rFonts w:cs="Arial"/>
          <w:sz w:val="22"/>
        </w:rPr>
      </w:pPr>
    </w:p>
    <w:p w14:paraId="260DB2EC" w14:textId="77777777" w:rsidR="001C2F95" w:rsidRPr="00296E4B" w:rsidRDefault="001C2F95" w:rsidP="001C2F95">
      <w:pPr>
        <w:rPr>
          <w:rFonts w:cs="Arial"/>
          <w:sz w:val="22"/>
        </w:rPr>
      </w:pPr>
      <w:r w:rsidRPr="00296E4B">
        <w:rPr>
          <w:rFonts w:cs="Arial"/>
          <w:sz w:val="22"/>
        </w:rPr>
        <w:t xml:space="preserve">Le Gouvernement de la République Démocratique du Congo (RDC) a reçu un appui financier de l'Association Internationale pour le Développement (IDA) du Groupe de la Banque </w:t>
      </w:r>
      <w:r>
        <w:rPr>
          <w:rFonts w:cs="Arial"/>
          <w:sz w:val="22"/>
        </w:rPr>
        <w:t>m</w:t>
      </w:r>
      <w:r w:rsidRPr="00296E4B">
        <w:rPr>
          <w:rFonts w:cs="Arial"/>
          <w:sz w:val="22"/>
        </w:rPr>
        <w:t>ondiale, pour préparer le Programme National de Développement Agricole (PNDA) qui a pour objectif, dans sa 1</w:t>
      </w:r>
      <w:r w:rsidRPr="00296E4B">
        <w:rPr>
          <w:rFonts w:cs="Arial"/>
          <w:sz w:val="22"/>
          <w:vertAlign w:val="superscript"/>
        </w:rPr>
        <w:t>ère</w:t>
      </w:r>
      <w:r w:rsidRPr="00296E4B">
        <w:rPr>
          <w:rFonts w:cs="Arial"/>
          <w:sz w:val="22"/>
        </w:rPr>
        <w:t xml:space="preserve"> phase, d’augmenter la productivité agricole et améliorer l’accès au marché des petits exploitants dans des régions sélectionnées.</w:t>
      </w:r>
    </w:p>
    <w:p w14:paraId="7695C626" w14:textId="77777777" w:rsidR="001C2F95" w:rsidRPr="00296E4B" w:rsidRDefault="001C2F95" w:rsidP="001C2F95">
      <w:pPr>
        <w:rPr>
          <w:rFonts w:cs="Arial"/>
          <w:sz w:val="22"/>
        </w:rPr>
      </w:pPr>
    </w:p>
    <w:p w14:paraId="6ADF8568" w14:textId="77777777" w:rsidR="001C2F95" w:rsidRPr="00296E4B" w:rsidRDefault="001C2F95" w:rsidP="001C2F95">
      <w:pPr>
        <w:rPr>
          <w:rFonts w:cs="Arial"/>
          <w:sz w:val="22"/>
        </w:rPr>
      </w:pPr>
      <w:r w:rsidRPr="00296E4B">
        <w:rPr>
          <w:rFonts w:cs="Arial"/>
          <w:sz w:val="22"/>
        </w:rPr>
        <w:t>En effet, la RDC continue à faire face à de graves problèmes de développement, mais le nouveau gouvernement s’est engagé à les résoudre. L’agriculture représente actuellement environ 20 % du PIB, emploie entre 70 et 75 % de la population active et joue un rôle clé dans la réduction de l’insécurité alimentaire, de la malnutrition et de la pauvreté rurale, mais l’on observe la baisse de la productivité agricole de la RDC par rapport aux pays voisins est due principalement au sous-investissement, aussi bien au niveau des fermes qu’au niveau des biens et des services publics agricoles, notamment pour l’accès au marché.</w:t>
      </w:r>
    </w:p>
    <w:p w14:paraId="1C0DCC50" w14:textId="77777777" w:rsidR="001C2F95" w:rsidRPr="00296E4B" w:rsidRDefault="001C2F95" w:rsidP="001C2F95">
      <w:pPr>
        <w:rPr>
          <w:rFonts w:cs="Arial"/>
          <w:sz w:val="22"/>
        </w:rPr>
      </w:pPr>
    </w:p>
    <w:p w14:paraId="5863D155" w14:textId="77777777" w:rsidR="001C2F95" w:rsidRPr="00296E4B" w:rsidRDefault="001C2F95" w:rsidP="001C2F95">
      <w:pPr>
        <w:rPr>
          <w:rFonts w:cs="Arial"/>
          <w:sz w:val="22"/>
        </w:rPr>
      </w:pPr>
      <w:r w:rsidRPr="00296E4B">
        <w:rPr>
          <w:rFonts w:cs="Arial"/>
          <w:sz w:val="22"/>
        </w:rPr>
        <w:t>Pour ce faire, le Gouvernement de la RDC compte réduire la pauvreté rurale en rétablissant et modernisant les systèmes de production agricole, en améliorant la nutrition et la sécurité alimentaire et en mobilisant des investissements importants des secteurs public et privé.</w:t>
      </w:r>
    </w:p>
    <w:p w14:paraId="08629388" w14:textId="77777777" w:rsidR="001C2F95" w:rsidRPr="00296E4B" w:rsidRDefault="001C2F95" w:rsidP="001C2F95">
      <w:pPr>
        <w:rPr>
          <w:rFonts w:cs="Arial"/>
          <w:sz w:val="22"/>
        </w:rPr>
      </w:pPr>
    </w:p>
    <w:p w14:paraId="48C2803A" w14:textId="77777777" w:rsidR="001C2F95" w:rsidRPr="00296E4B" w:rsidRDefault="001C2F95" w:rsidP="001C2F95">
      <w:pPr>
        <w:rPr>
          <w:rFonts w:cs="Arial"/>
          <w:sz w:val="22"/>
        </w:rPr>
      </w:pPr>
      <w:r w:rsidRPr="00296E4B">
        <w:rPr>
          <w:rFonts w:cs="Arial"/>
          <w:sz w:val="22"/>
        </w:rPr>
        <w:t>Ainsi, le programme va soutenir la croissance de la productivité agricole au niveau de l’exploitation, permettant aux petits exploitants agricoles d’accroître leurs actifs et leur production, puis d’intervenir pour favoriser l’accès au marché et l’intégration productive de ces petits exploitants dans les chaînes d’approvisionnement agricoles. Le phasage de telles interventions sectorielles sera soutenu par des investissements importants dans la fourniture de biens et services publics agricoles au niveau national et local, notamment la recherche et le développement agricoles, la santé animale et végétale et les infrastructures. En outre, le programme combinera une approche de développement mené par la communauté visant à fournir un accès aux biens et services publics agricoles critiques et une approche de soutien direct aux agriculteurs pour améliorer la situation en matière de sécurité alimentaire et de malnutrition.</w:t>
      </w:r>
    </w:p>
    <w:p w14:paraId="68BE1745" w14:textId="77777777" w:rsidR="001C2F95" w:rsidRPr="00296E4B" w:rsidRDefault="001C2F95" w:rsidP="001C2F95">
      <w:pPr>
        <w:rPr>
          <w:rFonts w:cs="Arial"/>
          <w:sz w:val="22"/>
        </w:rPr>
      </w:pPr>
    </w:p>
    <w:p w14:paraId="5F8FA8FA" w14:textId="77777777" w:rsidR="001C2F95" w:rsidRPr="00296E4B" w:rsidRDefault="001C2F95" w:rsidP="001C2F95">
      <w:pPr>
        <w:rPr>
          <w:rFonts w:cs="Arial"/>
          <w:sz w:val="22"/>
        </w:rPr>
      </w:pPr>
      <w:r w:rsidRPr="00296E4B">
        <w:rPr>
          <w:rFonts w:cs="Arial"/>
          <w:sz w:val="22"/>
        </w:rPr>
        <w:t xml:space="preserve">Les investissements du PNDA seront concentrés en priorité pour cette première phase pour une durée de 5 ans dans la région du </w:t>
      </w:r>
      <w:r>
        <w:rPr>
          <w:rFonts w:cs="Arial"/>
          <w:sz w:val="22"/>
        </w:rPr>
        <w:t>Kasaï</w:t>
      </w:r>
      <w:r w:rsidRPr="00296E4B">
        <w:rPr>
          <w:rFonts w:cs="Arial"/>
          <w:sz w:val="22"/>
        </w:rPr>
        <w:t xml:space="preserve"> (Provinces du Kasaï et Kasaï Central), la région de l’Ouest (Provinces du Kongo Central et du Kwilu), la région de l’Est (Province du Nord Kivu).</w:t>
      </w:r>
    </w:p>
    <w:p w14:paraId="255262C7" w14:textId="77777777" w:rsidR="001C2F95" w:rsidRPr="00296E4B" w:rsidRDefault="001C2F95" w:rsidP="001C2F95">
      <w:pPr>
        <w:rPr>
          <w:rFonts w:cs="Arial"/>
          <w:sz w:val="22"/>
        </w:rPr>
      </w:pPr>
    </w:p>
    <w:p w14:paraId="64A42B9B" w14:textId="77777777" w:rsidR="001C2F95" w:rsidRPr="00296E4B" w:rsidRDefault="001C2F95" w:rsidP="001C2F95">
      <w:pPr>
        <w:rPr>
          <w:rFonts w:cs="Arial"/>
          <w:sz w:val="22"/>
        </w:rPr>
      </w:pPr>
      <w:r w:rsidRPr="00296E4B">
        <w:rPr>
          <w:rFonts w:cs="Arial"/>
          <w:sz w:val="22"/>
        </w:rPr>
        <w:t>L’objectif du développement du Projet est d’améliorer la productivité agricole et l’accès au marché des petits exploitants agricoles dans des régions sélectionnées et renforcer la capacité du secteur à faire face aux situations d’urgence éligibles dans le secteur agricole.</w:t>
      </w:r>
    </w:p>
    <w:p w14:paraId="0929C5CF" w14:textId="77777777" w:rsidR="001C2F95" w:rsidRPr="00296E4B" w:rsidRDefault="001C2F95" w:rsidP="001C2F95">
      <w:pPr>
        <w:rPr>
          <w:rFonts w:cs="Arial"/>
          <w:sz w:val="22"/>
        </w:rPr>
      </w:pPr>
    </w:p>
    <w:p w14:paraId="22964A47" w14:textId="77777777" w:rsidR="001C2F95" w:rsidRPr="00296E4B" w:rsidRDefault="001C2F95" w:rsidP="001C2F95">
      <w:pPr>
        <w:rPr>
          <w:rFonts w:cs="Arial"/>
          <w:sz w:val="22"/>
        </w:rPr>
      </w:pPr>
      <w:r w:rsidRPr="00296E4B">
        <w:rPr>
          <w:rFonts w:cs="Arial"/>
          <w:sz w:val="22"/>
        </w:rPr>
        <w:t xml:space="preserve">Le PNDA s’articulera autour de quatre composantes : </w:t>
      </w:r>
    </w:p>
    <w:p w14:paraId="7AAC427B" w14:textId="77777777" w:rsidR="001C2F95" w:rsidRPr="00296E4B" w:rsidRDefault="001C2F95" w:rsidP="001C2F95">
      <w:pPr>
        <w:rPr>
          <w:rFonts w:cs="Arial"/>
          <w:sz w:val="22"/>
        </w:rPr>
      </w:pPr>
    </w:p>
    <w:p w14:paraId="3D7F6DD5" w14:textId="77777777" w:rsidR="001C2F95" w:rsidRPr="00296E4B" w:rsidRDefault="001C2F95" w:rsidP="002378EA">
      <w:pPr>
        <w:pStyle w:val="Paragraphedeliste"/>
        <w:numPr>
          <w:ilvl w:val="0"/>
          <w:numId w:val="39"/>
        </w:numPr>
        <w:rPr>
          <w:rFonts w:cs="Arial"/>
          <w:i/>
          <w:sz w:val="22"/>
        </w:rPr>
      </w:pPr>
      <w:r w:rsidRPr="00296E4B">
        <w:rPr>
          <w:rFonts w:cs="Arial"/>
          <w:i/>
          <w:sz w:val="22"/>
        </w:rPr>
        <w:t>Composante 1 : Productivité agricole :</w:t>
      </w:r>
    </w:p>
    <w:p w14:paraId="5CA555AD" w14:textId="77777777" w:rsidR="001C2F95" w:rsidRPr="00296E4B" w:rsidRDefault="001C2F95" w:rsidP="002378EA">
      <w:pPr>
        <w:pStyle w:val="Paragraphedeliste"/>
        <w:numPr>
          <w:ilvl w:val="3"/>
          <w:numId w:val="40"/>
        </w:numPr>
        <w:rPr>
          <w:rFonts w:cs="Arial"/>
          <w:sz w:val="22"/>
        </w:rPr>
      </w:pPr>
      <w:r w:rsidRPr="00296E4B">
        <w:rPr>
          <w:rFonts w:cs="Arial"/>
          <w:sz w:val="22"/>
        </w:rPr>
        <w:t>Sous-composante 1.1 : Soutien direct aux petits exploitants</w:t>
      </w:r>
    </w:p>
    <w:p w14:paraId="4DD4AAC2" w14:textId="77777777" w:rsidR="001C2F95" w:rsidRPr="00296E4B" w:rsidRDefault="001C2F95" w:rsidP="002378EA">
      <w:pPr>
        <w:pStyle w:val="Paragraphedeliste"/>
        <w:numPr>
          <w:ilvl w:val="3"/>
          <w:numId w:val="40"/>
        </w:numPr>
        <w:rPr>
          <w:rFonts w:cs="Arial"/>
          <w:sz w:val="22"/>
        </w:rPr>
      </w:pPr>
      <w:r w:rsidRPr="00296E4B">
        <w:rPr>
          <w:rFonts w:cs="Arial"/>
          <w:sz w:val="22"/>
        </w:rPr>
        <w:t>Sous-composante 1.2 : Assistance technique et accès financier aux petits exploitants</w:t>
      </w:r>
    </w:p>
    <w:p w14:paraId="72A7B74E" w14:textId="77777777" w:rsidR="001C2F95" w:rsidRPr="00296E4B" w:rsidRDefault="001C2F95" w:rsidP="002378EA">
      <w:pPr>
        <w:pStyle w:val="Paragraphedeliste"/>
        <w:numPr>
          <w:ilvl w:val="0"/>
          <w:numId w:val="39"/>
        </w:numPr>
        <w:rPr>
          <w:rFonts w:cs="Arial"/>
          <w:i/>
          <w:sz w:val="22"/>
        </w:rPr>
      </w:pPr>
      <w:r w:rsidRPr="00296E4B">
        <w:rPr>
          <w:rFonts w:cs="Arial"/>
          <w:i/>
          <w:sz w:val="22"/>
        </w:rPr>
        <w:t>Composante 2 : Accès au marché des petits exploitants :</w:t>
      </w:r>
    </w:p>
    <w:p w14:paraId="27301B95" w14:textId="77777777" w:rsidR="001C2F95" w:rsidRPr="00296E4B" w:rsidRDefault="001C2F95" w:rsidP="002378EA">
      <w:pPr>
        <w:pStyle w:val="Paragraphedeliste"/>
        <w:numPr>
          <w:ilvl w:val="3"/>
          <w:numId w:val="40"/>
        </w:numPr>
        <w:rPr>
          <w:rFonts w:cs="Arial"/>
          <w:sz w:val="22"/>
        </w:rPr>
      </w:pPr>
      <w:r w:rsidRPr="00296E4B">
        <w:rPr>
          <w:rFonts w:cs="Arial"/>
          <w:sz w:val="22"/>
        </w:rPr>
        <w:t>Sous-composante 2.1 : Infrastructures rurales</w:t>
      </w:r>
    </w:p>
    <w:p w14:paraId="7B9EDA7F" w14:textId="77777777" w:rsidR="001C2F95" w:rsidRPr="00296E4B" w:rsidRDefault="001C2F95" w:rsidP="002378EA">
      <w:pPr>
        <w:pStyle w:val="Paragraphedeliste"/>
        <w:numPr>
          <w:ilvl w:val="3"/>
          <w:numId w:val="40"/>
        </w:numPr>
        <w:rPr>
          <w:rFonts w:cs="Arial"/>
          <w:sz w:val="22"/>
        </w:rPr>
      </w:pPr>
      <w:r w:rsidRPr="00296E4B">
        <w:rPr>
          <w:rFonts w:cs="Arial"/>
          <w:sz w:val="22"/>
        </w:rPr>
        <w:lastRenderedPageBreak/>
        <w:t>Sous-composante 2.2 : Soutien à l’inclusion des petits exploitants dans les chaînes de valeur</w:t>
      </w:r>
    </w:p>
    <w:p w14:paraId="18314342" w14:textId="77777777" w:rsidR="001C2F95" w:rsidRPr="00296E4B" w:rsidRDefault="001C2F95" w:rsidP="002378EA">
      <w:pPr>
        <w:pStyle w:val="Paragraphedeliste"/>
        <w:numPr>
          <w:ilvl w:val="0"/>
          <w:numId w:val="39"/>
        </w:numPr>
        <w:rPr>
          <w:rFonts w:cs="Arial"/>
          <w:i/>
          <w:sz w:val="22"/>
        </w:rPr>
      </w:pPr>
      <w:r w:rsidRPr="00296E4B">
        <w:rPr>
          <w:rFonts w:cs="Arial"/>
          <w:i/>
          <w:sz w:val="22"/>
        </w:rPr>
        <w:t>Composante 3 : Biens et services publics agricoles</w:t>
      </w:r>
    </w:p>
    <w:p w14:paraId="34EDFE0A" w14:textId="77777777" w:rsidR="001C2F95" w:rsidRPr="00296E4B" w:rsidRDefault="001C2F95" w:rsidP="002378EA">
      <w:pPr>
        <w:pStyle w:val="Paragraphedeliste"/>
        <w:numPr>
          <w:ilvl w:val="3"/>
          <w:numId w:val="40"/>
        </w:numPr>
        <w:rPr>
          <w:rFonts w:cs="Arial"/>
          <w:sz w:val="22"/>
        </w:rPr>
      </w:pPr>
      <w:r w:rsidRPr="00296E4B">
        <w:rPr>
          <w:rFonts w:cs="Arial"/>
          <w:sz w:val="22"/>
        </w:rPr>
        <w:t>Sous-composante 3.1 : Renforcement des capacités pour la fourniture de services publics agricoles ;</w:t>
      </w:r>
    </w:p>
    <w:p w14:paraId="29378EEA" w14:textId="77777777" w:rsidR="001C2F95" w:rsidRPr="00296E4B" w:rsidRDefault="001C2F95" w:rsidP="002378EA">
      <w:pPr>
        <w:pStyle w:val="Paragraphedeliste"/>
        <w:numPr>
          <w:ilvl w:val="3"/>
          <w:numId w:val="40"/>
        </w:numPr>
        <w:rPr>
          <w:rFonts w:cs="Arial"/>
          <w:sz w:val="22"/>
        </w:rPr>
      </w:pPr>
      <w:r w:rsidRPr="00296E4B">
        <w:rPr>
          <w:rFonts w:cs="Arial"/>
          <w:sz w:val="22"/>
        </w:rPr>
        <w:t>Sous-composante 3.2 : Gestion, suivi et évaluation du programme</w:t>
      </w:r>
    </w:p>
    <w:p w14:paraId="53727336" w14:textId="77777777" w:rsidR="001C2F95" w:rsidRPr="00296E4B" w:rsidRDefault="001C2F95" w:rsidP="002378EA">
      <w:pPr>
        <w:pStyle w:val="Paragraphedeliste"/>
        <w:numPr>
          <w:ilvl w:val="0"/>
          <w:numId w:val="39"/>
        </w:numPr>
        <w:rPr>
          <w:rFonts w:cs="Arial"/>
          <w:i/>
          <w:sz w:val="22"/>
        </w:rPr>
      </w:pPr>
      <w:r w:rsidRPr="00296E4B">
        <w:rPr>
          <w:rFonts w:cs="Arial"/>
          <w:i/>
          <w:sz w:val="22"/>
        </w:rPr>
        <w:t>Composante 4 : Intervention d’urgence agricole</w:t>
      </w:r>
    </w:p>
    <w:p w14:paraId="68BAAE0A" w14:textId="77777777" w:rsidR="001C2F95" w:rsidRPr="00296E4B" w:rsidRDefault="001C2F95" w:rsidP="001C2F95">
      <w:pPr>
        <w:tabs>
          <w:tab w:val="left" w:pos="426"/>
        </w:tabs>
        <w:contextualSpacing/>
        <w:rPr>
          <w:rFonts w:cs="Arial"/>
          <w:sz w:val="22"/>
        </w:rPr>
      </w:pPr>
    </w:p>
    <w:p w14:paraId="5CB3A427" w14:textId="77777777" w:rsidR="001C2F95" w:rsidRPr="00296E4B" w:rsidRDefault="001C2F95" w:rsidP="001C2F95">
      <w:pPr>
        <w:rPr>
          <w:rFonts w:cs="Arial"/>
          <w:sz w:val="22"/>
          <w:u w:val="single"/>
        </w:rPr>
      </w:pPr>
      <w:r w:rsidRPr="00296E4B">
        <w:rPr>
          <w:rFonts w:cs="Arial"/>
          <w:sz w:val="22"/>
          <w:u w:val="single"/>
        </w:rPr>
        <w:t>Modalités de mise en œuvre</w:t>
      </w:r>
    </w:p>
    <w:p w14:paraId="72AD42EF" w14:textId="77777777" w:rsidR="001C2F95" w:rsidRPr="00296E4B" w:rsidRDefault="001C2F95" w:rsidP="001C2F95">
      <w:pPr>
        <w:rPr>
          <w:rFonts w:cs="Arial"/>
          <w:sz w:val="22"/>
        </w:rPr>
      </w:pPr>
    </w:p>
    <w:p w14:paraId="7BEDB1B3" w14:textId="074C3921" w:rsidR="001C2F95" w:rsidRPr="00296E4B" w:rsidRDefault="001C2F95" w:rsidP="001C2F95">
      <w:pPr>
        <w:rPr>
          <w:rFonts w:cs="Arial"/>
          <w:sz w:val="22"/>
        </w:rPr>
      </w:pPr>
      <w:r w:rsidRPr="00296E4B">
        <w:rPr>
          <w:rFonts w:cs="Arial"/>
          <w:sz w:val="22"/>
        </w:rPr>
        <w:t>À ce stade, le dispositif institutionnel de coordination du Projet et de la gestion fiduciaire principale est sous la responsabilité de l’UGP/PARRSA en collaboration avec le Comité Technique Préparatoire du PNDA mis en place par l’Arrêté ministériel n°001/CAB/MIN/AGRI/ABC/LTN/2019 du 01 janvier 20</w:t>
      </w:r>
      <w:r w:rsidR="00CB3B78">
        <w:rPr>
          <w:rFonts w:cs="Arial"/>
          <w:sz w:val="22"/>
        </w:rPr>
        <w:t>1</w:t>
      </w:r>
      <w:r w:rsidRPr="00296E4B">
        <w:rPr>
          <w:rFonts w:cs="Arial"/>
          <w:sz w:val="22"/>
        </w:rPr>
        <w:t xml:space="preserve">9. </w:t>
      </w:r>
    </w:p>
    <w:p w14:paraId="68C70900" w14:textId="77777777" w:rsidR="001C2F95" w:rsidRPr="00296E4B" w:rsidRDefault="001C2F95" w:rsidP="001C2F95">
      <w:pPr>
        <w:rPr>
          <w:rFonts w:cs="Arial"/>
          <w:sz w:val="22"/>
        </w:rPr>
      </w:pPr>
    </w:p>
    <w:p w14:paraId="36B13146" w14:textId="77777777" w:rsidR="001C2F95" w:rsidRPr="00296E4B" w:rsidRDefault="001C2F95" w:rsidP="002378EA">
      <w:pPr>
        <w:pStyle w:val="Paragraphedeliste"/>
        <w:numPr>
          <w:ilvl w:val="0"/>
          <w:numId w:val="66"/>
        </w:numPr>
        <w:rPr>
          <w:rFonts w:cs="Arial"/>
          <w:i/>
          <w:sz w:val="22"/>
        </w:rPr>
      </w:pPr>
      <w:r w:rsidRPr="00296E4B">
        <w:rPr>
          <w:rFonts w:cs="Arial"/>
          <w:i/>
          <w:sz w:val="22"/>
        </w:rPr>
        <w:t xml:space="preserve">Brève description des enjeux et risques environnementaux et sociaux majeurs </w:t>
      </w:r>
    </w:p>
    <w:p w14:paraId="46BC0FF7" w14:textId="77777777" w:rsidR="001C2F95" w:rsidRPr="00296E4B" w:rsidRDefault="001C2F95" w:rsidP="001C2F95">
      <w:pPr>
        <w:tabs>
          <w:tab w:val="left" w:pos="426"/>
        </w:tabs>
        <w:rPr>
          <w:rFonts w:cs="Arial"/>
          <w:sz w:val="22"/>
        </w:rPr>
      </w:pPr>
    </w:p>
    <w:p w14:paraId="37BD3FC9" w14:textId="77777777" w:rsidR="001C2F95" w:rsidRPr="00296E4B" w:rsidRDefault="001C2F95" w:rsidP="001C2F95">
      <w:pPr>
        <w:tabs>
          <w:tab w:val="left" w:pos="426"/>
          <w:tab w:val="left" w:pos="567"/>
        </w:tabs>
        <w:contextualSpacing/>
        <w:rPr>
          <w:rFonts w:cs="Arial"/>
          <w:sz w:val="22"/>
          <w:lang w:bidi="fr-FR"/>
        </w:rPr>
      </w:pPr>
      <w:r w:rsidRPr="00296E4B">
        <w:rPr>
          <w:rFonts w:cs="Arial"/>
          <w:sz w:val="22"/>
          <w:lang w:bidi="fr-FR"/>
        </w:rPr>
        <w:t>Les Provinces concernées par le PNDA</w:t>
      </w:r>
      <w:r w:rsidRPr="00296E4B">
        <w:rPr>
          <w:rFonts w:cs="Arial"/>
          <w:color w:val="FF0000"/>
          <w:sz w:val="22"/>
          <w:lang w:bidi="fr-FR"/>
        </w:rPr>
        <w:t xml:space="preserve"> </w:t>
      </w:r>
      <w:r w:rsidRPr="00296E4B">
        <w:rPr>
          <w:rFonts w:cs="Arial"/>
          <w:sz w:val="22"/>
          <w:lang w:bidi="fr-FR"/>
        </w:rPr>
        <w:t xml:space="preserve">sont confrontées à plusieurs contraintes et défis environnementaux et sociaux au premier rang desquels on note : </w:t>
      </w:r>
    </w:p>
    <w:p w14:paraId="7244DFAD" w14:textId="77777777" w:rsidR="001C2F95" w:rsidRPr="00730A4A" w:rsidRDefault="001C2F95" w:rsidP="002378EA">
      <w:pPr>
        <w:pStyle w:val="Paragraphedeliste"/>
        <w:numPr>
          <w:ilvl w:val="0"/>
          <w:numId w:val="67"/>
        </w:numPr>
        <w:rPr>
          <w:rFonts w:eastAsia="Calibri" w:cs="Arial"/>
          <w:sz w:val="22"/>
        </w:rPr>
      </w:pPr>
      <w:r w:rsidRPr="00730A4A">
        <w:rPr>
          <w:rFonts w:eastAsia="Calibri" w:cs="Arial"/>
          <w:sz w:val="22"/>
        </w:rPr>
        <w:t>Faible production agricole ;</w:t>
      </w:r>
    </w:p>
    <w:p w14:paraId="5745F1FF" w14:textId="77777777" w:rsidR="001C2F95" w:rsidRPr="00730A4A" w:rsidRDefault="001C2F95" w:rsidP="002378EA">
      <w:pPr>
        <w:pStyle w:val="Paragraphedeliste"/>
        <w:numPr>
          <w:ilvl w:val="0"/>
          <w:numId w:val="67"/>
        </w:numPr>
        <w:rPr>
          <w:rFonts w:eastAsia="Calibri" w:cs="Arial"/>
          <w:sz w:val="22"/>
        </w:rPr>
      </w:pPr>
      <w:r w:rsidRPr="00730A4A">
        <w:rPr>
          <w:rFonts w:eastAsia="Calibri" w:cs="Arial"/>
          <w:sz w:val="22"/>
        </w:rPr>
        <w:t>Faible production des poissons (pêche) ;</w:t>
      </w:r>
    </w:p>
    <w:p w14:paraId="3161B11C" w14:textId="77777777" w:rsidR="001C2F95" w:rsidRPr="00730A4A" w:rsidRDefault="001C2F95" w:rsidP="002378EA">
      <w:pPr>
        <w:pStyle w:val="Paragraphedeliste"/>
        <w:numPr>
          <w:ilvl w:val="0"/>
          <w:numId w:val="67"/>
        </w:numPr>
        <w:rPr>
          <w:rFonts w:eastAsia="Calibri" w:cs="Arial"/>
          <w:sz w:val="22"/>
        </w:rPr>
      </w:pPr>
      <w:r w:rsidRPr="00730A4A">
        <w:rPr>
          <w:rFonts w:eastAsia="Calibri" w:cs="Arial"/>
          <w:sz w:val="22"/>
        </w:rPr>
        <w:t>Faible production animale (élevage) ;</w:t>
      </w:r>
    </w:p>
    <w:p w14:paraId="0BD4411D" w14:textId="77777777" w:rsidR="001C2F95" w:rsidRPr="00730A4A" w:rsidRDefault="001C2F95" w:rsidP="002378EA">
      <w:pPr>
        <w:pStyle w:val="Paragraphedeliste"/>
        <w:numPr>
          <w:ilvl w:val="0"/>
          <w:numId w:val="67"/>
        </w:numPr>
        <w:rPr>
          <w:rFonts w:eastAsia="Calibri" w:cs="Arial"/>
          <w:sz w:val="22"/>
          <w:lang w:eastAsia="en-US"/>
        </w:rPr>
      </w:pPr>
      <w:r w:rsidRPr="00296E4B">
        <w:rPr>
          <w:rFonts w:cs="Arial"/>
          <w:sz w:val="22"/>
        </w:rPr>
        <w:t>Faible accès aux soins vétérinaires ;</w:t>
      </w:r>
    </w:p>
    <w:p w14:paraId="68D2A304" w14:textId="77777777" w:rsidR="001C2F95" w:rsidRPr="00730A4A" w:rsidRDefault="001C2F95" w:rsidP="002378EA">
      <w:pPr>
        <w:pStyle w:val="Paragraphedeliste"/>
        <w:numPr>
          <w:ilvl w:val="0"/>
          <w:numId w:val="67"/>
        </w:numPr>
        <w:rPr>
          <w:rFonts w:eastAsia="Calibri" w:cs="Arial"/>
          <w:sz w:val="22"/>
          <w:lang w:eastAsia="en-US"/>
        </w:rPr>
      </w:pPr>
      <w:r w:rsidRPr="00296E4B">
        <w:rPr>
          <w:rFonts w:cs="Arial"/>
          <w:sz w:val="22"/>
        </w:rPr>
        <w:t>Problème foncier ;</w:t>
      </w:r>
    </w:p>
    <w:p w14:paraId="73C4B41B" w14:textId="77777777" w:rsidR="001C2F95" w:rsidRPr="00730A4A" w:rsidRDefault="001C2F95" w:rsidP="002378EA">
      <w:pPr>
        <w:pStyle w:val="Paragraphedeliste"/>
        <w:numPr>
          <w:ilvl w:val="0"/>
          <w:numId w:val="67"/>
        </w:numPr>
        <w:rPr>
          <w:rFonts w:eastAsia="Calibri" w:cs="Arial"/>
          <w:sz w:val="22"/>
        </w:rPr>
      </w:pPr>
      <w:r w:rsidRPr="00730A4A">
        <w:rPr>
          <w:rFonts w:eastAsia="Calibri" w:cs="Arial"/>
          <w:sz w:val="22"/>
        </w:rPr>
        <w:t>Risque et prévalence des violences basées sur le genre (VBG), y compris l’exploitation et abus sexuels (EAS) et le harcèlement sexuel (HS), et de la COVID-19 ;</w:t>
      </w:r>
    </w:p>
    <w:p w14:paraId="5C3E5FFA" w14:textId="77777777" w:rsidR="001C2F95" w:rsidRPr="00730A4A" w:rsidRDefault="001C2F95" w:rsidP="002378EA">
      <w:pPr>
        <w:pStyle w:val="Paragraphedeliste"/>
        <w:numPr>
          <w:ilvl w:val="0"/>
          <w:numId w:val="67"/>
        </w:numPr>
        <w:rPr>
          <w:rFonts w:eastAsia="Calibri" w:cs="Arial"/>
          <w:sz w:val="22"/>
        </w:rPr>
      </w:pPr>
      <w:r w:rsidRPr="00730A4A">
        <w:rPr>
          <w:rFonts w:eastAsia="Calibri" w:cs="Arial"/>
          <w:sz w:val="22"/>
        </w:rPr>
        <w:t>Absence d’une agriculture intelligente ;</w:t>
      </w:r>
    </w:p>
    <w:p w14:paraId="5FF4D083" w14:textId="77777777" w:rsidR="001C2F95" w:rsidRPr="00730A4A" w:rsidRDefault="001C2F95" w:rsidP="002378EA">
      <w:pPr>
        <w:pStyle w:val="Paragraphedeliste"/>
        <w:numPr>
          <w:ilvl w:val="0"/>
          <w:numId w:val="67"/>
        </w:numPr>
        <w:rPr>
          <w:rFonts w:eastAsia="Calibri" w:cs="Arial"/>
          <w:sz w:val="22"/>
        </w:rPr>
      </w:pPr>
      <w:r w:rsidRPr="00730A4A">
        <w:rPr>
          <w:rFonts w:eastAsia="Calibri" w:cs="Arial"/>
          <w:sz w:val="22"/>
        </w:rPr>
        <w:t>Problème d’absence d’infrastructures communautaires tels les marchés, dépôts des produits agricoles, abattoirs, etc. ;</w:t>
      </w:r>
    </w:p>
    <w:p w14:paraId="4DF0117F" w14:textId="77777777" w:rsidR="001C2F95" w:rsidRPr="00730A4A" w:rsidRDefault="001C2F95" w:rsidP="002378EA">
      <w:pPr>
        <w:pStyle w:val="Paragraphedeliste"/>
        <w:numPr>
          <w:ilvl w:val="0"/>
          <w:numId w:val="67"/>
        </w:numPr>
        <w:rPr>
          <w:rFonts w:eastAsia="Calibri" w:cs="Arial"/>
          <w:sz w:val="22"/>
        </w:rPr>
      </w:pPr>
      <w:r w:rsidRPr="00730A4A">
        <w:rPr>
          <w:rFonts w:eastAsia="Calibri" w:cs="Arial"/>
          <w:sz w:val="22"/>
        </w:rPr>
        <w:t>Problème des routes de desserte agricole qui sont en état de délabrement très avancés ;</w:t>
      </w:r>
    </w:p>
    <w:p w14:paraId="0DDC2229" w14:textId="77777777" w:rsidR="001C2F95" w:rsidRPr="00730A4A" w:rsidRDefault="001C2F95" w:rsidP="002378EA">
      <w:pPr>
        <w:pStyle w:val="Paragraphedeliste"/>
        <w:numPr>
          <w:ilvl w:val="0"/>
          <w:numId w:val="67"/>
        </w:numPr>
        <w:rPr>
          <w:rFonts w:eastAsia="Calibri" w:cs="Arial"/>
          <w:sz w:val="22"/>
        </w:rPr>
      </w:pPr>
      <w:r w:rsidRPr="00730A4A">
        <w:rPr>
          <w:rFonts w:eastAsia="Calibri" w:cs="Arial"/>
          <w:sz w:val="22"/>
        </w:rPr>
        <w:t>Déficience du système d’irrigation des champs agricoles ;</w:t>
      </w:r>
    </w:p>
    <w:p w14:paraId="51173D62" w14:textId="77777777" w:rsidR="001C2F95" w:rsidRPr="00730A4A" w:rsidRDefault="001C2F95" w:rsidP="002378EA">
      <w:pPr>
        <w:pStyle w:val="Paragraphedeliste"/>
        <w:numPr>
          <w:ilvl w:val="0"/>
          <w:numId w:val="67"/>
        </w:numPr>
        <w:rPr>
          <w:rFonts w:eastAsia="Calibri" w:cs="Arial"/>
          <w:sz w:val="22"/>
        </w:rPr>
      </w:pPr>
      <w:r w:rsidRPr="00730A4A">
        <w:rPr>
          <w:rFonts w:eastAsia="Calibri" w:cs="Arial"/>
          <w:sz w:val="22"/>
        </w:rPr>
        <w:t>Problème de malnutrition et sous-alimentation ;</w:t>
      </w:r>
    </w:p>
    <w:p w14:paraId="039AC52D" w14:textId="77777777" w:rsidR="009D5C9F" w:rsidRPr="00730A4A" w:rsidRDefault="009D5C9F" w:rsidP="002378EA">
      <w:pPr>
        <w:pStyle w:val="Paragraphedeliste"/>
        <w:numPr>
          <w:ilvl w:val="0"/>
          <w:numId w:val="67"/>
        </w:numPr>
        <w:rPr>
          <w:rFonts w:eastAsia="Calibri" w:cs="Arial"/>
          <w:sz w:val="22"/>
        </w:rPr>
      </w:pPr>
      <w:r w:rsidRPr="00730A4A">
        <w:rPr>
          <w:rFonts w:eastAsia="Calibri" w:cs="Arial"/>
          <w:sz w:val="22"/>
        </w:rPr>
        <w:t xml:space="preserve">Risque de contamination de la COVID-19 avec ses conséquences sur la </w:t>
      </w:r>
      <w:r w:rsidR="00F97D7B" w:rsidRPr="00730A4A">
        <w:rPr>
          <w:rFonts w:eastAsia="Calibri" w:cs="Arial"/>
          <w:sz w:val="22"/>
        </w:rPr>
        <w:t>pauvreté</w:t>
      </w:r>
      <w:r w:rsidRPr="00730A4A">
        <w:rPr>
          <w:rFonts w:eastAsia="Calibri" w:cs="Arial"/>
          <w:sz w:val="22"/>
        </w:rPr>
        <w:t xml:space="preserve"> des populations ;</w:t>
      </w:r>
    </w:p>
    <w:p w14:paraId="638B0A64" w14:textId="77777777" w:rsidR="009D5C9F" w:rsidRPr="00730A4A" w:rsidRDefault="009D5C9F" w:rsidP="002378EA">
      <w:pPr>
        <w:pStyle w:val="Paragraphedeliste"/>
        <w:numPr>
          <w:ilvl w:val="0"/>
          <w:numId w:val="67"/>
        </w:numPr>
        <w:rPr>
          <w:rFonts w:eastAsia="Calibri" w:cs="Arial"/>
          <w:sz w:val="22"/>
        </w:rPr>
      </w:pPr>
      <w:r w:rsidRPr="00730A4A">
        <w:rPr>
          <w:rFonts w:eastAsia="Calibri" w:cs="Arial"/>
          <w:sz w:val="22"/>
        </w:rPr>
        <w:t xml:space="preserve">Risque de contamination de virus Ebola dans la </w:t>
      </w:r>
      <w:r w:rsidR="00F97D7B" w:rsidRPr="00730A4A">
        <w:rPr>
          <w:rFonts w:eastAsia="Calibri" w:cs="Arial"/>
          <w:sz w:val="22"/>
        </w:rPr>
        <w:t>P</w:t>
      </w:r>
      <w:r w:rsidRPr="00730A4A">
        <w:rPr>
          <w:rFonts w:eastAsia="Calibri" w:cs="Arial"/>
          <w:sz w:val="22"/>
        </w:rPr>
        <w:t>rovince du Nord-Kivu ;</w:t>
      </w:r>
    </w:p>
    <w:p w14:paraId="681A7D43" w14:textId="77777777" w:rsidR="000C48DF" w:rsidRPr="00730A4A" w:rsidRDefault="000C48DF" w:rsidP="002378EA">
      <w:pPr>
        <w:pStyle w:val="Paragraphedeliste"/>
        <w:numPr>
          <w:ilvl w:val="0"/>
          <w:numId w:val="67"/>
        </w:numPr>
        <w:rPr>
          <w:rFonts w:eastAsia="Calibri" w:cs="Arial"/>
          <w:sz w:val="22"/>
        </w:rPr>
      </w:pPr>
      <w:r w:rsidRPr="00730A4A">
        <w:rPr>
          <w:rFonts w:eastAsia="Calibri" w:cs="Arial"/>
          <w:sz w:val="22"/>
        </w:rPr>
        <w:t>Problème foncier lié au conflit de terre entre les communautés ;</w:t>
      </w:r>
    </w:p>
    <w:p w14:paraId="5B44527F" w14:textId="77777777" w:rsidR="001C2F95" w:rsidRPr="00730A4A" w:rsidRDefault="001C2F95" w:rsidP="002378EA">
      <w:pPr>
        <w:pStyle w:val="Paragraphedeliste"/>
        <w:numPr>
          <w:ilvl w:val="0"/>
          <w:numId w:val="67"/>
        </w:numPr>
        <w:rPr>
          <w:rFonts w:eastAsia="Calibri" w:cs="Arial"/>
          <w:sz w:val="22"/>
        </w:rPr>
      </w:pPr>
      <w:r w:rsidRPr="00730A4A">
        <w:rPr>
          <w:rFonts w:eastAsia="Calibri" w:cs="Arial"/>
          <w:sz w:val="22"/>
        </w:rPr>
        <w:t>Risques d’érosion et d’inondations dans la région du Kasaï et Kasaï Central ;</w:t>
      </w:r>
    </w:p>
    <w:p w14:paraId="671DC633" w14:textId="77777777" w:rsidR="001C2F95" w:rsidRPr="00730A4A" w:rsidRDefault="000C48DF" w:rsidP="002378EA">
      <w:pPr>
        <w:pStyle w:val="Paragraphedeliste"/>
        <w:numPr>
          <w:ilvl w:val="0"/>
          <w:numId w:val="67"/>
        </w:numPr>
        <w:rPr>
          <w:rFonts w:eastAsia="Calibri" w:cs="Arial"/>
          <w:sz w:val="22"/>
        </w:rPr>
      </w:pPr>
      <w:r w:rsidRPr="00730A4A">
        <w:rPr>
          <w:rFonts w:eastAsia="Calibri" w:cs="Arial"/>
          <w:sz w:val="22"/>
        </w:rPr>
        <w:t xml:space="preserve">L’ampleur et gravité </w:t>
      </w:r>
      <w:r w:rsidR="001C2F95" w:rsidRPr="00730A4A">
        <w:rPr>
          <w:rFonts w:eastAsia="Calibri" w:cs="Arial"/>
          <w:sz w:val="22"/>
        </w:rPr>
        <w:t>des problèmes sociaux</w:t>
      </w:r>
      <w:r w:rsidRPr="00730A4A">
        <w:rPr>
          <w:rFonts w:eastAsia="Calibri" w:cs="Arial"/>
          <w:sz w:val="22"/>
        </w:rPr>
        <w:t xml:space="preserve"> liés à la pauvreté, la malnutrition et la sous-alimentation</w:t>
      </w:r>
      <w:r w:rsidR="001C2F95" w:rsidRPr="00730A4A">
        <w:rPr>
          <w:rFonts w:eastAsia="Calibri" w:cs="Arial"/>
          <w:sz w:val="22"/>
        </w:rPr>
        <w:t>;</w:t>
      </w:r>
    </w:p>
    <w:p w14:paraId="7C497A3A" w14:textId="77777777" w:rsidR="001C2F95" w:rsidRPr="00730A4A" w:rsidRDefault="001C2F95" w:rsidP="002378EA">
      <w:pPr>
        <w:pStyle w:val="Paragraphedeliste"/>
        <w:numPr>
          <w:ilvl w:val="0"/>
          <w:numId w:val="67"/>
        </w:numPr>
        <w:rPr>
          <w:rFonts w:eastAsia="Calibri" w:cs="Arial"/>
          <w:sz w:val="22"/>
        </w:rPr>
      </w:pPr>
      <w:r w:rsidRPr="00730A4A">
        <w:rPr>
          <w:rFonts w:eastAsia="Calibri" w:cs="Arial"/>
          <w:sz w:val="22"/>
        </w:rPr>
        <w:t>Insécurité dans la région du Nord-Kivu (Beni, Butembo, Rutshuru)</w:t>
      </w:r>
      <w:r w:rsidR="009D5C9F" w:rsidRPr="00730A4A">
        <w:rPr>
          <w:rFonts w:eastAsia="Calibri" w:cs="Arial"/>
          <w:sz w:val="22"/>
        </w:rPr>
        <w:t>.</w:t>
      </w:r>
    </w:p>
    <w:p w14:paraId="29E2EBE6" w14:textId="77777777" w:rsidR="001C2F95" w:rsidRPr="00296E4B" w:rsidRDefault="001C2F95" w:rsidP="001C2F95">
      <w:pPr>
        <w:tabs>
          <w:tab w:val="left" w:pos="426"/>
        </w:tabs>
        <w:spacing w:line="240" w:lineRule="auto"/>
        <w:rPr>
          <w:rFonts w:cs="Arial"/>
          <w:sz w:val="22"/>
        </w:rPr>
      </w:pPr>
    </w:p>
    <w:p w14:paraId="01808E88" w14:textId="77777777" w:rsidR="001C2F95" w:rsidRPr="00296E4B" w:rsidRDefault="001C2F95" w:rsidP="002378EA">
      <w:pPr>
        <w:numPr>
          <w:ilvl w:val="0"/>
          <w:numId w:val="66"/>
        </w:numPr>
        <w:rPr>
          <w:rFonts w:cs="Arial"/>
          <w:i/>
          <w:sz w:val="22"/>
        </w:rPr>
      </w:pPr>
      <w:r w:rsidRPr="00296E4B">
        <w:rPr>
          <w:rFonts w:cs="Arial"/>
          <w:i/>
          <w:sz w:val="22"/>
        </w:rPr>
        <w:t xml:space="preserve">Cadre politique, juridique et institutionnel de la gestion des risques et impacts environnementaux et sociaux du pays et Cadre Environnemental et Social (CES) de la Banque </w:t>
      </w:r>
      <w:r>
        <w:rPr>
          <w:rFonts w:cs="Arial"/>
          <w:i/>
          <w:sz w:val="22"/>
        </w:rPr>
        <w:t>m</w:t>
      </w:r>
      <w:r w:rsidRPr="00296E4B">
        <w:rPr>
          <w:rFonts w:cs="Arial"/>
          <w:i/>
          <w:sz w:val="22"/>
        </w:rPr>
        <w:t xml:space="preserve">ondiale dont les exigences sont satisfaites par le CGES </w:t>
      </w:r>
    </w:p>
    <w:p w14:paraId="3BE89ED2" w14:textId="77777777" w:rsidR="001C2F95" w:rsidRPr="00296E4B" w:rsidRDefault="001C2F95" w:rsidP="001C2F95">
      <w:pPr>
        <w:tabs>
          <w:tab w:val="left" w:pos="426"/>
        </w:tabs>
        <w:rPr>
          <w:rFonts w:cs="Arial"/>
          <w:sz w:val="22"/>
        </w:rPr>
      </w:pPr>
    </w:p>
    <w:p w14:paraId="6621A698" w14:textId="77777777" w:rsidR="001C2F95" w:rsidRPr="00296E4B" w:rsidRDefault="001C2F95" w:rsidP="001C2F95">
      <w:pPr>
        <w:tabs>
          <w:tab w:val="left" w:pos="426"/>
        </w:tabs>
        <w:rPr>
          <w:rFonts w:cs="Arial"/>
          <w:sz w:val="22"/>
        </w:rPr>
      </w:pPr>
      <w:r w:rsidRPr="00296E4B">
        <w:rPr>
          <w:rFonts w:cs="Arial"/>
          <w:sz w:val="22"/>
        </w:rPr>
        <w:t>Le contexte législatif et réglementaire d</w:t>
      </w:r>
      <w:r>
        <w:rPr>
          <w:rFonts w:cs="Arial"/>
          <w:sz w:val="22"/>
        </w:rPr>
        <w:t>es</w:t>
      </w:r>
      <w:r w:rsidRPr="00296E4B">
        <w:rPr>
          <w:rFonts w:cs="Arial"/>
          <w:sz w:val="22"/>
        </w:rPr>
        <w:t xml:space="preserve"> secteur</w:t>
      </w:r>
      <w:r>
        <w:rPr>
          <w:rFonts w:cs="Arial"/>
          <w:sz w:val="22"/>
        </w:rPr>
        <w:t>s</w:t>
      </w:r>
      <w:r w:rsidRPr="00296E4B">
        <w:rPr>
          <w:rFonts w:cs="Arial"/>
          <w:sz w:val="22"/>
        </w:rPr>
        <w:t xml:space="preserve"> environnemental </w:t>
      </w:r>
      <w:r>
        <w:rPr>
          <w:rFonts w:cs="Arial"/>
          <w:sz w:val="22"/>
        </w:rPr>
        <w:t xml:space="preserve">et social </w:t>
      </w:r>
      <w:r w:rsidRPr="00296E4B">
        <w:rPr>
          <w:rFonts w:cs="Arial"/>
          <w:sz w:val="22"/>
        </w:rPr>
        <w:t xml:space="preserve">et des secteurs d’intervention du PNDA est marqué par l’existence des documents de planification stratégiques (Plan National d’Action pour l’Environnement, Document de Stratégie de Croissance et de Réduction de la Pauvreté - DSCRP, Stratégie Nationale de lutte contre les Violences Basées sur Genre - SNVBG, etc.) ainsi que des textes pertinents au plan législatif et réglementaire </w:t>
      </w:r>
      <w:r w:rsidRPr="00296E4B">
        <w:rPr>
          <w:rFonts w:cs="Arial"/>
          <w:bCs/>
          <w:sz w:val="22"/>
        </w:rPr>
        <w:t xml:space="preserve">(Loi n°11/009 du 09 juillet 2011 portant principes fondamentaux relatifs à la protection de </w:t>
      </w:r>
      <w:r w:rsidRPr="00296E4B">
        <w:rPr>
          <w:rFonts w:cs="Arial"/>
          <w:bCs/>
          <w:sz w:val="22"/>
        </w:rPr>
        <w:lastRenderedPageBreak/>
        <w:t>l’environnement ; Loi n°</w:t>
      </w:r>
      <w:r w:rsidRPr="00296E4B">
        <w:rPr>
          <w:rFonts w:cs="Arial"/>
          <w:sz w:val="22"/>
        </w:rPr>
        <w:t xml:space="preserve"> 11/022 du 24 décembre 2011 portant Principes fondamentaux relatifs à l’Agriculture ;</w:t>
      </w:r>
      <w:r w:rsidRPr="00296E4B">
        <w:rPr>
          <w:rFonts w:cs="Arial"/>
          <w:bCs/>
          <w:sz w:val="22"/>
        </w:rPr>
        <w:t xml:space="preserve"> Décret n°14/019 du 02 août 2014 fixant les </w:t>
      </w:r>
      <w:r w:rsidRPr="00296E4B">
        <w:rPr>
          <w:rFonts w:cs="Arial"/>
          <w:sz w:val="22"/>
        </w:rPr>
        <w:t>règles</w:t>
      </w:r>
      <w:r w:rsidRPr="00296E4B">
        <w:rPr>
          <w:rFonts w:cs="Arial"/>
          <w:bCs/>
          <w:sz w:val="22"/>
        </w:rPr>
        <w:t xml:space="preserve"> de fonctionnement des mécanismes procéduraux de protection de l’environnement ; </w:t>
      </w:r>
      <w:r w:rsidRPr="00296E4B">
        <w:rPr>
          <w:rFonts w:cs="Arial"/>
          <w:sz w:val="22"/>
        </w:rPr>
        <w:t xml:space="preserve">Code de Travail ; </w:t>
      </w:r>
      <w:r>
        <w:rPr>
          <w:rFonts w:cs="Arial"/>
          <w:sz w:val="22"/>
        </w:rPr>
        <w:t xml:space="preserve">Code de la Famille, </w:t>
      </w:r>
      <w:r w:rsidRPr="00296E4B">
        <w:rPr>
          <w:rFonts w:cs="Arial"/>
          <w:sz w:val="22"/>
        </w:rPr>
        <w:t xml:space="preserve">etc.). </w:t>
      </w:r>
    </w:p>
    <w:p w14:paraId="34010563" w14:textId="77777777" w:rsidR="001C2F95" w:rsidRPr="00296E4B" w:rsidRDefault="001C2F95" w:rsidP="001C2F95">
      <w:pPr>
        <w:tabs>
          <w:tab w:val="left" w:pos="426"/>
        </w:tabs>
        <w:rPr>
          <w:rFonts w:cs="Arial"/>
          <w:sz w:val="22"/>
        </w:rPr>
      </w:pPr>
    </w:p>
    <w:p w14:paraId="26387D95" w14:textId="77777777" w:rsidR="001C2F95" w:rsidRPr="00296E4B" w:rsidRDefault="001C2F95" w:rsidP="001C2F95">
      <w:pPr>
        <w:rPr>
          <w:rFonts w:cs="Arial"/>
          <w:sz w:val="22"/>
        </w:rPr>
      </w:pPr>
      <w:r w:rsidRPr="00296E4B">
        <w:rPr>
          <w:rFonts w:cs="Arial"/>
          <w:sz w:val="22"/>
        </w:rPr>
        <w:t>Au niveau institutionnel, particulièrement dans les Provinces et Territoires ainsi que les Services Techniques de l’agriculture, pêche et élevage, des insuffisances sont notées en termes d’intégration des aspects environnementaux dans la préparation, la mise en œuvre et le suivi des grands projets de développement, mais aussi de capacités et de coordination. Ce contexte devra donc être renforcé dans le cadre du PNDA.</w:t>
      </w:r>
    </w:p>
    <w:p w14:paraId="60369611" w14:textId="77777777" w:rsidR="001C2F95" w:rsidRPr="00296E4B" w:rsidRDefault="001C2F95" w:rsidP="001C2F95">
      <w:pPr>
        <w:tabs>
          <w:tab w:val="left" w:pos="426"/>
        </w:tabs>
        <w:rPr>
          <w:rFonts w:cs="Arial"/>
          <w:sz w:val="22"/>
        </w:rPr>
      </w:pPr>
    </w:p>
    <w:p w14:paraId="2927FB52" w14:textId="6EBCCFD4" w:rsidR="001C2F95" w:rsidRDefault="001C2F95" w:rsidP="001C2F95">
      <w:pPr>
        <w:rPr>
          <w:rFonts w:cs="Arial"/>
          <w:sz w:val="22"/>
        </w:rPr>
      </w:pPr>
      <w:r w:rsidRPr="00296E4B">
        <w:rPr>
          <w:rFonts w:cs="Arial"/>
          <w:sz w:val="22"/>
        </w:rPr>
        <w:t xml:space="preserve">Le PNDA est soumis aux exigences du Cadre Environnemental et Social de la Banque </w:t>
      </w:r>
      <w:r>
        <w:rPr>
          <w:rFonts w:cs="Arial"/>
          <w:sz w:val="22"/>
        </w:rPr>
        <w:t>m</w:t>
      </w:r>
      <w:r w:rsidRPr="00296E4B">
        <w:rPr>
          <w:rFonts w:cs="Arial"/>
          <w:sz w:val="22"/>
        </w:rPr>
        <w:t xml:space="preserve">ondiale, entré en vigueur le 01 octobre 2018. Ainsi, l’évaluation des risques et impacts environnementaux et sociaux du PNDA a permis de le classer comme Projet à risque environnemental jugé substantiel au sens de la classification du CES de la Banque </w:t>
      </w:r>
      <w:r>
        <w:rPr>
          <w:rFonts w:cs="Arial"/>
          <w:sz w:val="22"/>
        </w:rPr>
        <w:t>m</w:t>
      </w:r>
      <w:r w:rsidRPr="00296E4B">
        <w:rPr>
          <w:rFonts w:cs="Arial"/>
          <w:sz w:val="22"/>
        </w:rPr>
        <w:t xml:space="preserve">ondiale tout comme le risque social qui est jugé </w:t>
      </w:r>
      <w:r w:rsidR="004513E3">
        <w:rPr>
          <w:rFonts w:cs="Arial"/>
          <w:sz w:val="22"/>
        </w:rPr>
        <w:t> élev</w:t>
      </w:r>
      <w:r w:rsidR="004513E3" w:rsidRPr="00823346">
        <w:rPr>
          <w:rFonts w:cs="Arial"/>
          <w:sz w:val="22"/>
        </w:rPr>
        <w:t>é</w:t>
      </w:r>
      <w:r w:rsidRPr="00296E4B">
        <w:rPr>
          <w:rFonts w:cs="Arial"/>
          <w:sz w:val="22"/>
        </w:rPr>
        <w:t xml:space="preserve">, englobant un risque par rapport aux VBG classifié de manière provisoire au niveau </w:t>
      </w:r>
      <w:r w:rsidR="004513E3">
        <w:rPr>
          <w:rFonts w:cs="Arial"/>
          <w:sz w:val="22"/>
        </w:rPr>
        <w:t>substantiel</w:t>
      </w:r>
      <w:r w:rsidRPr="00296E4B">
        <w:rPr>
          <w:rFonts w:cs="Arial"/>
          <w:sz w:val="22"/>
        </w:rPr>
        <w:t xml:space="preserve">. </w:t>
      </w:r>
      <w:r>
        <w:rPr>
          <w:rFonts w:cs="Arial"/>
          <w:sz w:val="22"/>
        </w:rPr>
        <w:t>Toutes</w:t>
      </w:r>
      <w:r w:rsidRPr="00296E4B">
        <w:rPr>
          <w:rFonts w:cs="Arial"/>
          <w:sz w:val="22"/>
        </w:rPr>
        <w:t xml:space="preserve"> les dix Normes Environnementales et Sociales (NES) ont été jugées pertinentes pour ce Projet. Il s’agit de : </w:t>
      </w:r>
    </w:p>
    <w:p w14:paraId="7DE136E7" w14:textId="77777777" w:rsidR="001C2F95" w:rsidRPr="00296E4B" w:rsidRDefault="001C2F95" w:rsidP="001C2F95">
      <w:pPr>
        <w:rPr>
          <w:rFonts w:cs="Arial"/>
          <w:sz w:val="22"/>
        </w:rPr>
      </w:pPr>
      <w:r w:rsidRPr="00296E4B">
        <w:rPr>
          <w:rFonts w:cs="Arial"/>
          <w:sz w:val="22"/>
        </w:rPr>
        <w:t>NES n°1 - Evaluation environnementale et sociale et gestion des risques et impacts environnementaux et sociaux ; NES n°2 - Travail et conditions des travailleurs ; NES n°3 -Utilisation rationnelle des ressources et prévention et gestion de la pollution ; NES n°4 - Santé et sécurité des populations ; NES n°5 - Acquisition des terres, restriction à l’utilisation des terres et réinstallation involontaire ; NES n°6 - Préservation de la biodiversité et gestion durable des ressources naturelles biologiques ; NES n°7 - Peuples autochtones / communautés locales traditionnelles d’Afrique subsaharienne historiquement défavorisées ; NES n°8 - Patrimoine culturel, NES n°</w:t>
      </w:r>
      <w:r>
        <w:rPr>
          <w:rFonts w:cs="Arial"/>
          <w:sz w:val="22"/>
        </w:rPr>
        <w:t xml:space="preserve">9 – Intermédiaires Financiers, </w:t>
      </w:r>
      <w:r w:rsidRPr="00296E4B">
        <w:rPr>
          <w:rFonts w:cs="Arial"/>
          <w:sz w:val="22"/>
        </w:rPr>
        <w:t xml:space="preserve">et la NES n°10 - Mobilisation des parties prenantes et information. </w:t>
      </w:r>
    </w:p>
    <w:p w14:paraId="44042C03" w14:textId="77777777" w:rsidR="001C2F95" w:rsidRPr="00296E4B" w:rsidRDefault="001C2F95" w:rsidP="001C2F95">
      <w:pPr>
        <w:rPr>
          <w:rFonts w:cs="Arial"/>
          <w:sz w:val="22"/>
        </w:rPr>
      </w:pPr>
    </w:p>
    <w:p w14:paraId="6F193EBC" w14:textId="77777777" w:rsidR="001C2F95" w:rsidRDefault="001C2F95" w:rsidP="001C2F95">
      <w:pPr>
        <w:rPr>
          <w:rFonts w:cs="Arial"/>
          <w:sz w:val="22"/>
        </w:rPr>
      </w:pPr>
      <w:r w:rsidRPr="00296E4B">
        <w:rPr>
          <w:rFonts w:cs="Arial"/>
          <w:sz w:val="22"/>
        </w:rPr>
        <w:t xml:space="preserve">En plus de ces </w:t>
      </w:r>
      <w:r>
        <w:rPr>
          <w:rFonts w:cs="Arial"/>
          <w:sz w:val="22"/>
        </w:rPr>
        <w:t>dix</w:t>
      </w:r>
      <w:r w:rsidRPr="00296E4B">
        <w:rPr>
          <w:rFonts w:cs="Arial"/>
          <w:sz w:val="22"/>
        </w:rPr>
        <w:t xml:space="preserve"> normes le PNDA applique </w:t>
      </w:r>
      <w:r>
        <w:rPr>
          <w:rFonts w:cs="Arial"/>
          <w:sz w:val="22"/>
        </w:rPr>
        <w:t xml:space="preserve">non seulement les </w:t>
      </w:r>
      <w:r w:rsidRPr="00763BB2">
        <w:rPr>
          <w:rFonts w:cs="Arial"/>
          <w:sz w:val="22"/>
        </w:rPr>
        <w:t>Directives environnementales, sanitaires et sécuritaires générales du Groupe de la Banque mondiale mais aussi</w:t>
      </w:r>
      <w:r>
        <w:t xml:space="preserve"> </w:t>
      </w:r>
      <w:r w:rsidRPr="00296E4B">
        <w:rPr>
          <w:rFonts w:cs="Arial"/>
          <w:sz w:val="22"/>
        </w:rPr>
        <w:t>la politique opérationnelle PO/BP 7.50 - Projet sur les cours d’eaux internationaux qui n’a pas été modifié avec le nouveau CES. Pour les aspects des VBG, le Projet sera mis en œuvre en conformité avec la Note de Bonnes Pratiques</w:t>
      </w:r>
      <w:r>
        <w:rPr>
          <w:rFonts w:cs="Arial"/>
          <w:sz w:val="22"/>
        </w:rPr>
        <w:t> :</w:t>
      </w:r>
      <w:r w:rsidRPr="00296E4B">
        <w:rPr>
          <w:rFonts w:cs="Arial"/>
          <w:sz w:val="22"/>
        </w:rPr>
        <w:t xml:space="preserve"> </w:t>
      </w:r>
      <w:r>
        <w:rPr>
          <w:rFonts w:cs="Arial"/>
          <w:sz w:val="22"/>
        </w:rPr>
        <w:t xml:space="preserve">Lutter </w:t>
      </w:r>
      <w:r w:rsidRPr="00296E4B">
        <w:rPr>
          <w:rFonts w:cs="Arial"/>
          <w:sz w:val="22"/>
        </w:rPr>
        <w:t xml:space="preserve">contre </w:t>
      </w:r>
      <w:r>
        <w:rPr>
          <w:rFonts w:cs="Arial"/>
          <w:sz w:val="22"/>
        </w:rPr>
        <w:t xml:space="preserve">l’exploitation et les atteintes sexuelles ainsi que le harcèlement sexuel dans le cadre du financement de projets d’investissement </w:t>
      </w:r>
      <w:r w:rsidRPr="00296E4B">
        <w:rPr>
          <w:rFonts w:cs="Arial"/>
          <w:sz w:val="22"/>
        </w:rPr>
        <w:t>comportant de grands travaux de génie civil</w:t>
      </w:r>
      <w:r>
        <w:rPr>
          <w:rFonts w:cs="Arial"/>
          <w:sz w:val="22"/>
        </w:rPr>
        <w:t xml:space="preserve"> (Banque mondiale, 2</w:t>
      </w:r>
      <w:r w:rsidRPr="00750ECC">
        <w:rPr>
          <w:rFonts w:cs="Arial"/>
          <w:sz w:val="22"/>
          <w:vertAlign w:val="superscript"/>
        </w:rPr>
        <w:t>ème</w:t>
      </w:r>
      <w:r>
        <w:rPr>
          <w:rFonts w:cs="Arial"/>
          <w:sz w:val="22"/>
        </w:rPr>
        <w:t xml:space="preserve"> éd, février 2020) (Note de bonnes pratiques EAS/HS)</w:t>
      </w:r>
      <w:r w:rsidRPr="00296E4B">
        <w:rPr>
          <w:rFonts w:cs="Arial"/>
          <w:sz w:val="22"/>
        </w:rPr>
        <w:t>.</w:t>
      </w:r>
      <w:r w:rsidRPr="00296E4B">
        <w:rPr>
          <w:rFonts w:cs="Arial"/>
          <w:sz w:val="22"/>
          <w:vertAlign w:val="superscript"/>
        </w:rPr>
        <w:footnoteReference w:id="2"/>
      </w:r>
      <w:r w:rsidRPr="00296E4B">
        <w:rPr>
          <w:rFonts w:cs="Arial"/>
          <w:sz w:val="22"/>
        </w:rPr>
        <w:t xml:space="preserve"> </w:t>
      </w:r>
    </w:p>
    <w:p w14:paraId="3688B5B9" w14:textId="77777777" w:rsidR="003831FA" w:rsidRDefault="003831FA" w:rsidP="001C2F95">
      <w:pPr>
        <w:rPr>
          <w:rFonts w:cs="Arial"/>
          <w:sz w:val="22"/>
        </w:rPr>
      </w:pPr>
    </w:p>
    <w:p w14:paraId="35B044C3" w14:textId="77777777" w:rsidR="003831FA" w:rsidRDefault="001C2F95" w:rsidP="003831FA">
      <w:pPr>
        <w:rPr>
          <w:rFonts w:cs="Arial"/>
          <w:sz w:val="22"/>
        </w:rPr>
      </w:pPr>
      <w:r w:rsidRPr="00296E4B">
        <w:rPr>
          <w:rFonts w:cs="Arial"/>
          <w:sz w:val="22"/>
        </w:rPr>
        <w:t xml:space="preserve">Des mesures spécifiques sont proposées dans le CGES pour permettre au programme d’être en conformité avec les dispositions des textes nationaux et de ces normes et bonnes pratiques de la Banque </w:t>
      </w:r>
      <w:r>
        <w:rPr>
          <w:rFonts w:cs="Arial"/>
          <w:sz w:val="22"/>
        </w:rPr>
        <w:t>m</w:t>
      </w:r>
      <w:r w:rsidRPr="00296E4B">
        <w:rPr>
          <w:rFonts w:cs="Arial"/>
          <w:sz w:val="22"/>
        </w:rPr>
        <w:t xml:space="preserve">ondiale. </w:t>
      </w:r>
      <w:r w:rsidR="003831FA">
        <w:rPr>
          <w:rFonts w:cs="Arial"/>
          <w:sz w:val="22"/>
        </w:rPr>
        <w:t>Il est important de noter que Programme</w:t>
      </w:r>
      <w:r w:rsidR="003831FA" w:rsidRPr="001E52DE">
        <w:rPr>
          <w:rFonts w:cs="Arial"/>
          <w:sz w:val="22"/>
        </w:rPr>
        <w:t xml:space="preserve"> suivra les dernières directives de la B</w:t>
      </w:r>
      <w:r w:rsidR="003831FA">
        <w:rPr>
          <w:rFonts w:cs="Arial"/>
          <w:sz w:val="22"/>
        </w:rPr>
        <w:t xml:space="preserve">anque </w:t>
      </w:r>
      <w:r w:rsidR="003831FA" w:rsidRPr="001E52DE">
        <w:rPr>
          <w:rFonts w:cs="Arial"/>
          <w:sz w:val="22"/>
        </w:rPr>
        <w:t>M</w:t>
      </w:r>
      <w:r w:rsidR="003831FA">
        <w:rPr>
          <w:rFonts w:cs="Arial"/>
          <w:sz w:val="22"/>
        </w:rPr>
        <w:t>ondiale</w:t>
      </w:r>
      <w:r w:rsidR="003831FA" w:rsidRPr="001E52DE">
        <w:rPr>
          <w:rFonts w:cs="Arial"/>
          <w:sz w:val="22"/>
        </w:rPr>
        <w:t xml:space="preserve"> relatives à la COVID-19.</w:t>
      </w:r>
    </w:p>
    <w:p w14:paraId="464ABC6A" w14:textId="77777777" w:rsidR="00005290" w:rsidRPr="00296E4B" w:rsidRDefault="00005290" w:rsidP="003831FA">
      <w:pPr>
        <w:rPr>
          <w:rFonts w:cs="Arial"/>
          <w:sz w:val="22"/>
        </w:rPr>
      </w:pPr>
    </w:p>
    <w:p w14:paraId="3C2B049A" w14:textId="77777777" w:rsidR="001C2F95" w:rsidRPr="00296E4B" w:rsidRDefault="001C2F95" w:rsidP="002378EA">
      <w:pPr>
        <w:numPr>
          <w:ilvl w:val="0"/>
          <w:numId w:val="66"/>
        </w:numPr>
        <w:rPr>
          <w:rFonts w:cs="Arial"/>
          <w:i/>
          <w:sz w:val="22"/>
        </w:rPr>
      </w:pPr>
      <w:r w:rsidRPr="00296E4B">
        <w:rPr>
          <w:rFonts w:cs="Arial"/>
          <w:i/>
          <w:sz w:val="22"/>
        </w:rPr>
        <w:t xml:space="preserve">Impacts/risques génériques potentiels par type de sous-projets </w:t>
      </w:r>
    </w:p>
    <w:p w14:paraId="595C5678" w14:textId="77777777" w:rsidR="001C2F95" w:rsidRPr="00296E4B" w:rsidRDefault="001C2F95" w:rsidP="001C2F95">
      <w:pPr>
        <w:ind w:left="720"/>
        <w:rPr>
          <w:rFonts w:cs="Arial"/>
          <w:b/>
          <w:i/>
          <w:sz w:val="22"/>
        </w:rPr>
      </w:pPr>
    </w:p>
    <w:p w14:paraId="466E2138" w14:textId="77777777" w:rsidR="001C2F95" w:rsidRDefault="001C2F95" w:rsidP="001C2F95">
      <w:pPr>
        <w:rPr>
          <w:rFonts w:cs="Arial"/>
          <w:sz w:val="22"/>
          <w:u w:val="single"/>
        </w:rPr>
      </w:pPr>
      <w:r w:rsidRPr="00296E4B">
        <w:rPr>
          <w:rFonts w:cs="Arial"/>
          <w:sz w:val="22"/>
        </w:rPr>
        <w:t xml:space="preserve">Les risques et impacts environnementaux et sociaux potentiels consécutifs aux sous-projets sont les suivants : </w:t>
      </w:r>
    </w:p>
    <w:p w14:paraId="09FD4334" w14:textId="77777777" w:rsidR="00005290" w:rsidRDefault="00005290" w:rsidP="001C2F95">
      <w:pPr>
        <w:rPr>
          <w:rFonts w:cs="Arial"/>
          <w:sz w:val="22"/>
          <w:u w:val="single"/>
        </w:rPr>
      </w:pPr>
    </w:p>
    <w:p w14:paraId="5407DDE8" w14:textId="77777777" w:rsidR="00005290" w:rsidRDefault="00005290" w:rsidP="001C2F95">
      <w:pPr>
        <w:rPr>
          <w:rFonts w:cs="Arial"/>
          <w:sz w:val="22"/>
          <w:u w:val="single"/>
        </w:rPr>
      </w:pPr>
    </w:p>
    <w:p w14:paraId="4CD8FA14" w14:textId="77777777" w:rsidR="00005290" w:rsidRDefault="00005290" w:rsidP="001C2F95">
      <w:pPr>
        <w:rPr>
          <w:rFonts w:cs="Arial"/>
          <w:sz w:val="22"/>
          <w:u w:val="single"/>
        </w:rPr>
      </w:pPr>
    </w:p>
    <w:p w14:paraId="3AFEA137" w14:textId="77777777" w:rsidR="001C2F95" w:rsidRPr="00296E4B" w:rsidRDefault="001C2F95" w:rsidP="001C2F95">
      <w:pPr>
        <w:rPr>
          <w:rFonts w:cs="Arial"/>
          <w:sz w:val="22"/>
          <w:u w:val="single"/>
        </w:rPr>
      </w:pPr>
      <w:r w:rsidRPr="00296E4B">
        <w:rPr>
          <w:rFonts w:cs="Arial"/>
          <w:sz w:val="22"/>
          <w:u w:val="single"/>
        </w:rPr>
        <w:lastRenderedPageBreak/>
        <w:t>Impacts positifs potentiels</w:t>
      </w:r>
    </w:p>
    <w:p w14:paraId="557B8D8D" w14:textId="77777777" w:rsidR="001C2F95" w:rsidRPr="00296E4B" w:rsidRDefault="001C2F95" w:rsidP="001C2F95">
      <w:pPr>
        <w:rPr>
          <w:rFonts w:cs="Arial"/>
          <w:b/>
          <w:sz w:val="22"/>
          <w:u w:val="single"/>
        </w:rPr>
      </w:pPr>
    </w:p>
    <w:p w14:paraId="7FF23A80" w14:textId="77777777" w:rsidR="001C2F95" w:rsidRPr="00296E4B" w:rsidRDefault="001C2F95" w:rsidP="001C2F95">
      <w:pPr>
        <w:rPr>
          <w:rFonts w:cs="Arial"/>
          <w:sz w:val="22"/>
        </w:rPr>
      </w:pPr>
      <w:r w:rsidRPr="00296E4B">
        <w:rPr>
          <w:rFonts w:cs="Arial"/>
          <w:sz w:val="22"/>
        </w:rPr>
        <w:t>Les réalisations prévues dans le cadre du PNDA sont d’une grande utilité dans la mesure où elles vont permettre aux provinces bénéficiaires</w:t>
      </w:r>
      <w:r w:rsidR="00717766">
        <w:rPr>
          <w:rFonts w:cs="Arial"/>
          <w:sz w:val="22"/>
        </w:rPr>
        <w:t> :</w:t>
      </w:r>
      <w:r w:rsidRPr="00296E4B">
        <w:rPr>
          <w:rFonts w:cs="Arial"/>
          <w:sz w:val="22"/>
        </w:rPr>
        <w:t xml:space="preserve"> </w:t>
      </w:r>
      <w:r w:rsidR="00717766" w:rsidRPr="00296E4B">
        <w:rPr>
          <w:rFonts w:cs="Arial"/>
          <w:sz w:val="22"/>
        </w:rPr>
        <w:t>D’</w:t>
      </w:r>
      <w:r w:rsidR="00717766">
        <w:rPr>
          <w:rFonts w:cs="Arial"/>
          <w:sz w:val="22"/>
        </w:rPr>
        <w:t>améliorer le niveau de vie des ménages par l’augmentation  de</w:t>
      </w:r>
      <w:r w:rsidRPr="00296E4B">
        <w:rPr>
          <w:rFonts w:cs="Arial"/>
          <w:sz w:val="22"/>
        </w:rPr>
        <w:t xml:space="preserve"> la production agricole, pêche et élevage,</w:t>
      </w:r>
      <w:r>
        <w:rPr>
          <w:rFonts w:cs="Arial"/>
          <w:sz w:val="22"/>
        </w:rPr>
        <w:t xml:space="preserve"> prise en compte de l</w:t>
      </w:r>
      <w:r w:rsidRPr="00296E4B">
        <w:rPr>
          <w:rFonts w:cs="Arial"/>
          <w:sz w:val="22"/>
        </w:rPr>
        <w:t>’agriculture intelligente</w:t>
      </w:r>
      <w:r w:rsidR="00717766">
        <w:rPr>
          <w:rFonts w:cs="Arial"/>
          <w:sz w:val="22"/>
        </w:rPr>
        <w:t> ;</w:t>
      </w:r>
      <w:r w:rsidRPr="00296E4B">
        <w:rPr>
          <w:rFonts w:cs="Arial"/>
          <w:sz w:val="22"/>
        </w:rPr>
        <w:t xml:space="preserve"> </w:t>
      </w:r>
      <w:r w:rsidR="00717766">
        <w:rPr>
          <w:rFonts w:cs="Arial"/>
          <w:sz w:val="22"/>
        </w:rPr>
        <w:t>De</w:t>
      </w:r>
      <w:r w:rsidR="00717766" w:rsidRPr="00296E4B">
        <w:rPr>
          <w:rFonts w:cs="Arial"/>
          <w:sz w:val="22"/>
        </w:rPr>
        <w:t xml:space="preserve"> faciliter l’évacuation des produits agricoles vers les centres de consommation</w:t>
      </w:r>
      <w:r w:rsidR="00717766">
        <w:rPr>
          <w:rFonts w:cs="Arial"/>
          <w:sz w:val="22"/>
        </w:rPr>
        <w:t xml:space="preserve"> par la </w:t>
      </w:r>
      <w:r w:rsidRPr="00296E4B">
        <w:rPr>
          <w:rFonts w:cs="Arial"/>
          <w:sz w:val="22"/>
        </w:rPr>
        <w:t>réhabilit</w:t>
      </w:r>
      <w:r w:rsidR="00717766">
        <w:rPr>
          <w:rFonts w:cs="Arial"/>
          <w:sz w:val="22"/>
        </w:rPr>
        <w:t>ation des</w:t>
      </w:r>
      <w:r w:rsidRPr="00296E4B">
        <w:rPr>
          <w:rFonts w:cs="Arial"/>
          <w:sz w:val="22"/>
        </w:rPr>
        <w:t xml:space="preserve"> pistes rurales et le balisage des rivières importantes</w:t>
      </w:r>
      <w:r w:rsidR="00717766">
        <w:rPr>
          <w:rFonts w:cs="Arial"/>
          <w:sz w:val="22"/>
        </w:rPr>
        <w:t xml:space="preserve"> ; D’améliorer les conditions de conservation des produits agricole à travers la </w:t>
      </w:r>
      <w:r w:rsidRPr="00296E4B">
        <w:rPr>
          <w:rFonts w:cs="Arial"/>
          <w:sz w:val="22"/>
        </w:rPr>
        <w:t>constru</w:t>
      </w:r>
      <w:r w:rsidR="00717766">
        <w:rPr>
          <w:rFonts w:cs="Arial"/>
          <w:sz w:val="22"/>
        </w:rPr>
        <w:t>ction</w:t>
      </w:r>
      <w:r w:rsidRPr="00296E4B">
        <w:rPr>
          <w:rFonts w:cs="Arial"/>
          <w:sz w:val="22"/>
        </w:rPr>
        <w:t xml:space="preserve"> </w:t>
      </w:r>
      <w:r w:rsidR="00717766">
        <w:rPr>
          <w:rFonts w:cs="Arial"/>
          <w:sz w:val="22"/>
        </w:rPr>
        <w:t>de</w:t>
      </w:r>
      <w:r w:rsidRPr="00296E4B">
        <w:rPr>
          <w:rFonts w:cs="Arial"/>
          <w:sz w:val="22"/>
        </w:rPr>
        <w:t xml:space="preserve">s infrastructures communautaires de stockage et </w:t>
      </w:r>
      <w:r w:rsidR="00717766">
        <w:rPr>
          <w:rFonts w:cs="Arial"/>
          <w:sz w:val="22"/>
        </w:rPr>
        <w:t xml:space="preserve">de </w:t>
      </w:r>
      <w:r w:rsidRPr="00296E4B">
        <w:rPr>
          <w:rFonts w:cs="Arial"/>
          <w:sz w:val="22"/>
        </w:rPr>
        <w:t>vente de produits agricoles</w:t>
      </w:r>
      <w:r w:rsidR="00717766">
        <w:rPr>
          <w:rFonts w:cs="Arial"/>
          <w:sz w:val="22"/>
        </w:rPr>
        <w:t xml:space="preserve"> ; </w:t>
      </w:r>
      <w:r w:rsidR="00717766" w:rsidRPr="00296E4B">
        <w:rPr>
          <w:rFonts w:cs="Arial"/>
          <w:sz w:val="22"/>
        </w:rPr>
        <w:t>De</w:t>
      </w:r>
      <w:r w:rsidR="00717766">
        <w:rPr>
          <w:rFonts w:cs="Arial"/>
          <w:sz w:val="22"/>
        </w:rPr>
        <w:t xml:space="preserve"> </w:t>
      </w:r>
      <w:r>
        <w:rPr>
          <w:rFonts w:cs="Arial"/>
          <w:sz w:val="22"/>
        </w:rPr>
        <w:t>réduire</w:t>
      </w:r>
      <w:r w:rsidRPr="00296E4B">
        <w:rPr>
          <w:rFonts w:cs="Arial"/>
          <w:sz w:val="22"/>
        </w:rPr>
        <w:t xml:space="preserve"> la malnutrition et la sous-alimentation</w:t>
      </w:r>
      <w:r w:rsidR="00F86960">
        <w:rPr>
          <w:rFonts w:cs="Arial"/>
          <w:sz w:val="22"/>
        </w:rPr>
        <w:t xml:space="preserve"> ; </w:t>
      </w:r>
      <w:r w:rsidR="00F86960" w:rsidRPr="00296E4B">
        <w:rPr>
          <w:rFonts w:cs="Arial"/>
          <w:sz w:val="22"/>
        </w:rPr>
        <w:t xml:space="preserve">De </w:t>
      </w:r>
      <w:r w:rsidRPr="00296E4B">
        <w:rPr>
          <w:rFonts w:cs="Arial"/>
          <w:sz w:val="22"/>
        </w:rPr>
        <w:t>renforcer les capacités institutionnelles des acteurs tant étatique</w:t>
      </w:r>
      <w:r>
        <w:rPr>
          <w:rFonts w:cs="Arial"/>
          <w:sz w:val="22"/>
        </w:rPr>
        <w:t>s</w:t>
      </w:r>
      <w:r w:rsidRPr="00296E4B">
        <w:rPr>
          <w:rFonts w:cs="Arial"/>
          <w:sz w:val="22"/>
        </w:rPr>
        <w:t xml:space="preserve"> de ceux de la société civile. Au final, les impacts positifs potentiels sont les suivants :</w:t>
      </w:r>
    </w:p>
    <w:p w14:paraId="0ABB505E" w14:textId="77777777" w:rsidR="00005290" w:rsidRDefault="00005290" w:rsidP="001C2F95">
      <w:pPr>
        <w:autoSpaceDE w:val="0"/>
        <w:autoSpaceDN w:val="0"/>
        <w:adjustRightInd w:val="0"/>
        <w:rPr>
          <w:rFonts w:cs="Arial"/>
          <w:sz w:val="22"/>
        </w:rPr>
      </w:pPr>
    </w:p>
    <w:p w14:paraId="4F06D008" w14:textId="77777777" w:rsidR="001C2F95" w:rsidRPr="00296E4B" w:rsidRDefault="001C2F95" w:rsidP="001C2F95">
      <w:pPr>
        <w:autoSpaceDE w:val="0"/>
        <w:autoSpaceDN w:val="0"/>
        <w:adjustRightInd w:val="0"/>
        <w:rPr>
          <w:rFonts w:cs="Arial"/>
          <w:sz w:val="22"/>
          <w:u w:val="single"/>
        </w:rPr>
      </w:pPr>
      <w:r w:rsidRPr="00296E4B">
        <w:rPr>
          <w:rFonts w:cs="Arial"/>
          <w:sz w:val="22"/>
          <w:u w:val="single"/>
        </w:rPr>
        <w:t>En phase des travaux </w:t>
      </w:r>
      <w:r>
        <w:rPr>
          <w:rFonts w:cs="Arial"/>
          <w:sz w:val="22"/>
          <w:u w:val="single"/>
        </w:rPr>
        <w:t xml:space="preserve">agricoles </w:t>
      </w:r>
      <w:r w:rsidRPr="00296E4B">
        <w:rPr>
          <w:rFonts w:cs="Arial"/>
          <w:sz w:val="22"/>
          <w:u w:val="single"/>
        </w:rPr>
        <w:t>:</w:t>
      </w:r>
    </w:p>
    <w:p w14:paraId="5367B15A" w14:textId="77777777" w:rsidR="001C2F95" w:rsidRPr="00296E4B" w:rsidRDefault="001C2F95" w:rsidP="001C2F95">
      <w:pPr>
        <w:autoSpaceDE w:val="0"/>
        <w:autoSpaceDN w:val="0"/>
        <w:adjustRightInd w:val="0"/>
        <w:rPr>
          <w:rFonts w:cs="Arial"/>
          <w:sz w:val="22"/>
        </w:rPr>
      </w:pPr>
    </w:p>
    <w:p w14:paraId="4C0B997E"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Création </w:t>
      </w:r>
      <w:r>
        <w:rPr>
          <w:rFonts w:eastAsia="MS Mincho" w:cs="Arial"/>
          <w:sz w:val="22"/>
        </w:rPr>
        <w:t xml:space="preserve">temporaire </w:t>
      </w:r>
      <w:r w:rsidRPr="00296E4B">
        <w:rPr>
          <w:rFonts w:eastAsia="MS Mincho" w:cs="Arial"/>
          <w:sz w:val="22"/>
        </w:rPr>
        <w:t>d’emplois (dont 30 % pour les femmes) ;</w:t>
      </w:r>
    </w:p>
    <w:p w14:paraId="740C61C5"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Amélioration des conditions du travail par la prise en compte des exigences des          NES n°2 : sur l’Emploi et les conditions de travail et NES n°4 : sur la Santé et sécurité des populations ;</w:t>
      </w:r>
    </w:p>
    <w:p w14:paraId="1A0FAB18"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Organisation des producteurs</w:t>
      </w:r>
      <w:r>
        <w:rPr>
          <w:rFonts w:eastAsia="MS Mincho" w:cs="Arial"/>
          <w:sz w:val="22"/>
        </w:rPr>
        <w:t>/-trices</w:t>
      </w:r>
      <w:r w:rsidRPr="00296E4B">
        <w:rPr>
          <w:rFonts w:eastAsia="MS Mincho" w:cs="Arial"/>
          <w:sz w:val="22"/>
        </w:rPr>
        <w:t xml:space="preserve"> et renforcement de leurs capacités ;</w:t>
      </w:r>
    </w:p>
    <w:p w14:paraId="66237A2E"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Amélioration de la prise en compte du </w:t>
      </w:r>
      <w:r>
        <w:rPr>
          <w:rFonts w:eastAsia="MS Mincho" w:cs="Arial"/>
          <w:sz w:val="22"/>
        </w:rPr>
        <w:t>g</w:t>
      </w:r>
      <w:r w:rsidRPr="00296E4B">
        <w:rPr>
          <w:rFonts w:eastAsia="MS Mincho" w:cs="Arial"/>
          <w:sz w:val="22"/>
        </w:rPr>
        <w:t>enre dans l’agriculture</w:t>
      </w:r>
      <w:r>
        <w:rPr>
          <w:rFonts w:eastAsia="MS Mincho" w:cs="Arial"/>
          <w:sz w:val="22"/>
        </w:rPr>
        <w:t xml:space="preserve"> et du statut de la femme productrice dans le secteur agricole</w:t>
      </w:r>
      <w:r w:rsidRPr="00296E4B">
        <w:rPr>
          <w:rFonts w:eastAsia="MS Mincho" w:cs="Arial"/>
          <w:sz w:val="22"/>
        </w:rPr>
        <w:t xml:space="preserve"> ; </w:t>
      </w:r>
    </w:p>
    <w:p w14:paraId="7A1314F8"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Prise en compte des travailleurs à temps plein, à temps partiel, temporaires, saisonniers et migrants, travailleurs directs, travailleurs contractuels, travailleurs communautaires, employés des fournisseurs principaux ;</w:t>
      </w:r>
    </w:p>
    <w:p w14:paraId="49185B44"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Développement des petits commerces tout autour des chantiers ;</w:t>
      </w:r>
    </w:p>
    <w:p w14:paraId="46720C34"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Amélioration du cadre et des conditions de vie ;</w:t>
      </w:r>
    </w:p>
    <w:p w14:paraId="204B1231"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Sécurisation alimentaire et lutte contre la malnutrition ;</w:t>
      </w:r>
    </w:p>
    <w:p w14:paraId="7B059978"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Réduction des coûts de transaction pour les petit</w:t>
      </w:r>
      <w:r>
        <w:rPr>
          <w:rFonts w:eastAsia="MS Mincho" w:cs="Arial"/>
          <w:sz w:val="22"/>
        </w:rPr>
        <w:t>(e)</w:t>
      </w:r>
      <w:r w:rsidRPr="00296E4B">
        <w:rPr>
          <w:rFonts w:eastAsia="MS Mincho" w:cs="Arial"/>
          <w:sz w:val="22"/>
        </w:rPr>
        <w:t>s exploitant</w:t>
      </w:r>
      <w:r>
        <w:rPr>
          <w:rFonts w:eastAsia="MS Mincho" w:cs="Arial"/>
          <w:sz w:val="22"/>
        </w:rPr>
        <w:t>(e)</w:t>
      </w:r>
      <w:r w:rsidRPr="00296E4B">
        <w:rPr>
          <w:rFonts w:eastAsia="MS Mincho" w:cs="Arial"/>
          <w:sz w:val="22"/>
        </w:rPr>
        <w:t xml:space="preserve">s agricoles </w:t>
      </w:r>
      <w:r>
        <w:rPr>
          <w:rFonts w:eastAsia="MS Mincho" w:cs="Arial"/>
          <w:sz w:val="22"/>
        </w:rPr>
        <w:t xml:space="preserve">(hommes et femmes) </w:t>
      </w:r>
      <w:r w:rsidRPr="00296E4B">
        <w:rPr>
          <w:rFonts w:eastAsia="MS Mincho" w:cs="Arial"/>
          <w:sz w:val="22"/>
        </w:rPr>
        <w:t>pour accéder aux marchés, ainsi que leur inclusion dans les groupes d’agriculteurs</w:t>
      </w:r>
      <w:r>
        <w:rPr>
          <w:rFonts w:eastAsia="MS Mincho" w:cs="Arial"/>
          <w:sz w:val="22"/>
        </w:rPr>
        <w:t>/-trices</w:t>
      </w:r>
      <w:r w:rsidRPr="00296E4B">
        <w:rPr>
          <w:rFonts w:eastAsia="MS Mincho" w:cs="Arial"/>
          <w:sz w:val="22"/>
        </w:rPr>
        <w:t xml:space="preserve"> (</w:t>
      </w:r>
      <w:r>
        <w:rPr>
          <w:rFonts w:eastAsia="MS Mincho" w:cs="Arial"/>
          <w:sz w:val="22"/>
        </w:rPr>
        <w:t xml:space="preserve">œuvrant dans les </w:t>
      </w:r>
      <w:r w:rsidRPr="00296E4B">
        <w:rPr>
          <w:rFonts w:eastAsia="MS Mincho" w:cs="Arial"/>
          <w:sz w:val="22"/>
        </w:rPr>
        <w:t>coopératives/associations) et les agro-MPME ;</w:t>
      </w:r>
    </w:p>
    <w:p w14:paraId="20DD8F3A" w14:textId="77777777" w:rsidR="001C2F95" w:rsidRPr="00296E4B" w:rsidRDefault="001C2F95" w:rsidP="002378EA">
      <w:pPr>
        <w:widowControl w:val="0"/>
        <w:numPr>
          <w:ilvl w:val="0"/>
          <w:numId w:val="68"/>
        </w:numPr>
        <w:autoSpaceDE w:val="0"/>
        <w:autoSpaceDN w:val="0"/>
        <w:rPr>
          <w:rFonts w:eastAsia="MS Mincho" w:cs="Arial"/>
          <w:sz w:val="22"/>
        </w:rPr>
      </w:pPr>
      <w:r>
        <w:rPr>
          <w:rFonts w:eastAsia="MS Mincho" w:cs="Arial"/>
          <w:sz w:val="22"/>
        </w:rPr>
        <w:t>Désenclavement d</w:t>
      </w:r>
      <w:r w:rsidR="00F86960">
        <w:rPr>
          <w:rFonts w:eastAsia="MS Mincho" w:cs="Arial"/>
          <w:sz w:val="22"/>
        </w:rPr>
        <w:t>es</w:t>
      </w:r>
      <w:r>
        <w:rPr>
          <w:rFonts w:eastAsia="MS Mincho" w:cs="Arial"/>
          <w:sz w:val="22"/>
        </w:rPr>
        <w:t xml:space="preserve"> bassin</w:t>
      </w:r>
      <w:r w:rsidR="00F86960">
        <w:rPr>
          <w:rFonts w:eastAsia="MS Mincho" w:cs="Arial"/>
          <w:sz w:val="22"/>
        </w:rPr>
        <w:t>s</w:t>
      </w:r>
      <w:r>
        <w:rPr>
          <w:rFonts w:eastAsia="MS Mincho" w:cs="Arial"/>
          <w:sz w:val="22"/>
        </w:rPr>
        <w:t xml:space="preserve"> de production agricole dans les cinq provinces concernées par le Programme ;</w:t>
      </w:r>
    </w:p>
    <w:p w14:paraId="6ECC56A5"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Aide directe aux petits exploitants agricoles pour l’adoption des pratiques, technologies et intrants CSA (agriculture intelligente face au climat) et AIN (agriculture intelligente face à la nutrition) (semences, plants, races animales, services de conseil et de vulgarisation) ;</w:t>
      </w:r>
    </w:p>
    <w:p w14:paraId="3024E916" w14:textId="77777777" w:rsidR="001C2F95"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Assistance technique aux petits exploitants (publics, privés, ONG), les services d’administration/d’enregistrement foncier et les services financiers ;</w:t>
      </w:r>
    </w:p>
    <w:p w14:paraId="130EAF43" w14:textId="77777777" w:rsidR="001C2F95" w:rsidRPr="00730A4A" w:rsidRDefault="001C2F95" w:rsidP="002378EA">
      <w:pPr>
        <w:pStyle w:val="Paragraphedeliste"/>
        <w:numPr>
          <w:ilvl w:val="0"/>
          <w:numId w:val="68"/>
        </w:numPr>
        <w:rPr>
          <w:rFonts w:cs="Arial"/>
          <w:color w:val="000000"/>
          <w:sz w:val="22"/>
        </w:rPr>
      </w:pPr>
      <w:r w:rsidRPr="00730A4A">
        <w:rPr>
          <w:color w:val="000000"/>
          <w:sz w:val="22"/>
        </w:rPr>
        <w:t>A</w:t>
      </w:r>
      <w:r w:rsidRPr="00730A4A">
        <w:rPr>
          <w:rFonts w:cs="Arial"/>
          <w:color w:val="000000"/>
          <w:sz w:val="22"/>
        </w:rPr>
        <w:t>ccroissement de la productivité et de la production agricoles, augmentation des revenus des petits exploitants et attirer davantage d’emplois dans le secteur agricole,</w:t>
      </w:r>
    </w:p>
    <w:p w14:paraId="35664EA5" w14:textId="77777777" w:rsidR="001C2F95" w:rsidRPr="00730A4A" w:rsidRDefault="001C2F95" w:rsidP="002378EA">
      <w:pPr>
        <w:pStyle w:val="Paragraphedeliste"/>
        <w:numPr>
          <w:ilvl w:val="0"/>
          <w:numId w:val="68"/>
        </w:numPr>
        <w:rPr>
          <w:rFonts w:cs="Arial"/>
          <w:color w:val="000000"/>
          <w:sz w:val="22"/>
        </w:rPr>
      </w:pPr>
      <w:r w:rsidRPr="00730A4A">
        <w:rPr>
          <w:rFonts w:cs="Arial"/>
          <w:color w:val="000000"/>
          <w:sz w:val="22"/>
        </w:rPr>
        <w:t>Amélioration de la sécurité alimentaire ;</w:t>
      </w:r>
    </w:p>
    <w:p w14:paraId="30E3D759" w14:textId="77777777" w:rsidR="001C2F95" w:rsidRPr="00730A4A" w:rsidRDefault="001C2F95" w:rsidP="002378EA">
      <w:pPr>
        <w:pStyle w:val="Paragraphedeliste"/>
        <w:numPr>
          <w:ilvl w:val="0"/>
          <w:numId w:val="68"/>
        </w:numPr>
        <w:rPr>
          <w:rFonts w:cs="Arial"/>
          <w:color w:val="000000"/>
          <w:sz w:val="22"/>
        </w:rPr>
      </w:pPr>
      <w:r w:rsidRPr="00730A4A">
        <w:rPr>
          <w:rFonts w:cs="Arial"/>
          <w:color w:val="000000"/>
          <w:sz w:val="22"/>
        </w:rPr>
        <w:t xml:space="preserve">Amélioration de la production agricole suite à la fourniture des </w:t>
      </w:r>
      <w:r w:rsidRPr="00DA2A20">
        <w:rPr>
          <w:rFonts w:eastAsia="MS Mincho" w:cs="Arial"/>
          <w:sz w:val="22"/>
        </w:rPr>
        <w:t>d’intrants et de services agricoles (activités pré-récolte) comme les machines agricoles, semences, engrais, irrigation à la ferme, assistance technique</w:t>
      </w:r>
      <w:r>
        <w:rPr>
          <w:rFonts w:eastAsia="MS Mincho" w:cs="Arial"/>
          <w:sz w:val="22"/>
        </w:rPr>
        <w:t> ;</w:t>
      </w:r>
    </w:p>
    <w:p w14:paraId="2FC94F25" w14:textId="77777777" w:rsidR="001C2F95" w:rsidRPr="00730A4A" w:rsidRDefault="001C2F95" w:rsidP="002378EA">
      <w:pPr>
        <w:pStyle w:val="Paragraphedeliste"/>
        <w:numPr>
          <w:ilvl w:val="0"/>
          <w:numId w:val="68"/>
        </w:numPr>
        <w:rPr>
          <w:rFonts w:cs="Arial"/>
          <w:color w:val="000000"/>
          <w:sz w:val="22"/>
        </w:rPr>
      </w:pPr>
      <w:r w:rsidRPr="00730A4A">
        <w:rPr>
          <w:rFonts w:cs="Arial"/>
          <w:color w:val="000000"/>
          <w:sz w:val="22"/>
        </w:rPr>
        <w:t>Bonne circulation des navires évacuant les produits agricoles vers les centres de consommation suite aux travaux de balisage et réduction de noyade des navires sur les rivières dans les provinces concernées par le Programme ;</w:t>
      </w:r>
    </w:p>
    <w:p w14:paraId="58EE01CD" w14:textId="77777777" w:rsidR="001C2F95" w:rsidRPr="00730A4A" w:rsidRDefault="001C2F95" w:rsidP="002378EA">
      <w:pPr>
        <w:pStyle w:val="Paragraphedeliste"/>
        <w:numPr>
          <w:ilvl w:val="0"/>
          <w:numId w:val="68"/>
        </w:numPr>
        <w:rPr>
          <w:rFonts w:cs="Arial"/>
          <w:color w:val="000000"/>
          <w:sz w:val="22"/>
        </w:rPr>
      </w:pPr>
      <w:r w:rsidRPr="00730A4A">
        <w:rPr>
          <w:rFonts w:cs="Arial"/>
          <w:color w:val="000000"/>
          <w:sz w:val="22"/>
        </w:rPr>
        <w:t>Commercialisation des produits agricoles et d’origine animale suite à la construction des marchés, dépôts, abattoirs, développement économique agricole suite au financement des petits exploitants agricoles par des IF, etc. ; et</w:t>
      </w:r>
    </w:p>
    <w:p w14:paraId="3DC7FAA0" w14:textId="77777777" w:rsidR="001C2F95" w:rsidRPr="00750ECC" w:rsidRDefault="001C2F95" w:rsidP="002378EA">
      <w:pPr>
        <w:widowControl w:val="0"/>
        <w:numPr>
          <w:ilvl w:val="0"/>
          <w:numId w:val="68"/>
        </w:numPr>
        <w:autoSpaceDE w:val="0"/>
        <w:autoSpaceDN w:val="0"/>
        <w:rPr>
          <w:rFonts w:eastAsia="MS Mincho" w:cs="Arial"/>
          <w:sz w:val="22"/>
        </w:rPr>
      </w:pPr>
      <w:r w:rsidRPr="00750ECC">
        <w:rPr>
          <w:rFonts w:eastAsia="MS Mincho" w:cs="Arial"/>
          <w:sz w:val="22"/>
        </w:rPr>
        <w:t xml:space="preserve">Accroissement des revenus des petits exploitants agricoles suite à l’octroi des crédits </w:t>
      </w:r>
      <w:r w:rsidRPr="00750ECC">
        <w:rPr>
          <w:rFonts w:eastAsia="MS Mincho" w:cs="Arial"/>
          <w:sz w:val="22"/>
        </w:rPr>
        <w:lastRenderedPageBreak/>
        <w:t xml:space="preserve">par les IF. </w:t>
      </w:r>
    </w:p>
    <w:p w14:paraId="3BE6AE35" w14:textId="77777777" w:rsidR="001C2F95" w:rsidRDefault="001C2F95" w:rsidP="001C2F95">
      <w:pPr>
        <w:autoSpaceDE w:val="0"/>
        <w:autoSpaceDN w:val="0"/>
        <w:adjustRightInd w:val="0"/>
        <w:rPr>
          <w:rFonts w:cs="Arial"/>
          <w:sz w:val="22"/>
          <w:u w:val="single"/>
        </w:rPr>
      </w:pPr>
    </w:p>
    <w:p w14:paraId="1BB5F82E" w14:textId="77777777" w:rsidR="001C2F95" w:rsidRPr="00296E4B" w:rsidRDefault="001C2F95" w:rsidP="001C2F95">
      <w:pPr>
        <w:autoSpaceDE w:val="0"/>
        <w:autoSpaceDN w:val="0"/>
        <w:adjustRightInd w:val="0"/>
        <w:rPr>
          <w:rFonts w:cs="Arial"/>
          <w:sz w:val="22"/>
          <w:u w:val="single"/>
        </w:rPr>
      </w:pPr>
      <w:r w:rsidRPr="00296E4B">
        <w:rPr>
          <w:rFonts w:cs="Arial"/>
          <w:sz w:val="22"/>
          <w:u w:val="single"/>
        </w:rPr>
        <w:t>En phase d’exploitation</w:t>
      </w:r>
      <w:r>
        <w:rPr>
          <w:rFonts w:cs="Arial"/>
          <w:sz w:val="22"/>
          <w:u w:val="single"/>
        </w:rPr>
        <w:t xml:space="preserve"> des activités agricoles</w:t>
      </w:r>
      <w:r w:rsidRPr="00296E4B">
        <w:rPr>
          <w:rFonts w:cs="Arial"/>
          <w:sz w:val="22"/>
          <w:u w:val="single"/>
        </w:rPr>
        <w:t> :</w:t>
      </w:r>
    </w:p>
    <w:p w14:paraId="2EFEB6C8" w14:textId="77777777" w:rsidR="001C2F95" w:rsidRPr="00296E4B" w:rsidRDefault="001C2F95" w:rsidP="001C2F95">
      <w:pPr>
        <w:autoSpaceDE w:val="0"/>
        <w:autoSpaceDN w:val="0"/>
        <w:adjustRightInd w:val="0"/>
        <w:rPr>
          <w:rFonts w:cs="Arial"/>
          <w:sz w:val="22"/>
        </w:rPr>
      </w:pPr>
    </w:p>
    <w:p w14:paraId="7CB6E7BA"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Création de Petites Caisses Villageoises Autogérés ;</w:t>
      </w:r>
    </w:p>
    <w:p w14:paraId="0FE4B8F1"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Éveil des consciences sur les phénomènes de dégradation des sols ;</w:t>
      </w:r>
    </w:p>
    <w:p w14:paraId="5497BE75"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Arrêt de l’exode rural ; </w:t>
      </w:r>
    </w:p>
    <w:p w14:paraId="5C725E3A"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Mobilisation des femmes et des jeunes ; </w:t>
      </w:r>
    </w:p>
    <w:p w14:paraId="2A95BB1A" w14:textId="77777777" w:rsidR="001C2F95" w:rsidRPr="00242466"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Pérennisation des activités toute l’année ; </w:t>
      </w:r>
    </w:p>
    <w:p w14:paraId="4D379ABA"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Contribution à l’arrêt de la délinquance ;</w:t>
      </w:r>
    </w:p>
    <w:p w14:paraId="6937B9F1"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Création de Groupements ou Associations de producteurs ; </w:t>
      </w:r>
    </w:p>
    <w:p w14:paraId="19E553BB"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Création de Coopératives de producteurs ; </w:t>
      </w:r>
    </w:p>
    <w:p w14:paraId="0DC9E61B"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Meilleure organisation pour la transformation de produits ; </w:t>
      </w:r>
    </w:p>
    <w:p w14:paraId="158D63FE"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Développement de Filières de commercialisation ; </w:t>
      </w:r>
    </w:p>
    <w:p w14:paraId="6C41B401"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Prise en compte du genre</w:t>
      </w:r>
      <w:r>
        <w:rPr>
          <w:rFonts w:eastAsia="MS Mincho" w:cs="Arial"/>
          <w:sz w:val="22"/>
        </w:rPr>
        <w:t xml:space="preserve"> et de l’amélioration du statut de la femme productrice</w:t>
      </w:r>
      <w:r w:rsidRPr="00296E4B">
        <w:rPr>
          <w:rFonts w:eastAsia="MS Mincho" w:cs="Arial"/>
          <w:sz w:val="22"/>
        </w:rPr>
        <w:t> ;</w:t>
      </w:r>
    </w:p>
    <w:p w14:paraId="2FA37510"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Meilleure prise en compte du genre et du processus d’intégration des notions d’équité dans l’exécution des activités ;  </w:t>
      </w:r>
    </w:p>
    <w:p w14:paraId="2CCEB377"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Participation accrue des femmes et des jeunes aux activités du projet en termes d’accroissement de revenus, de maîtrise de technologies et d’encadrement ; et</w:t>
      </w:r>
    </w:p>
    <w:p w14:paraId="10C7AF1B" w14:textId="77777777" w:rsidR="001C2F95"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Bonne maitrise de la pratique de la nouvelle technologie de l’agriculture intelligente face au climat et à la nutrition.</w:t>
      </w:r>
    </w:p>
    <w:p w14:paraId="57954E3D" w14:textId="77777777" w:rsidR="001C2F95" w:rsidRDefault="001C2F95" w:rsidP="002378EA">
      <w:pPr>
        <w:widowControl w:val="0"/>
        <w:numPr>
          <w:ilvl w:val="0"/>
          <w:numId w:val="68"/>
        </w:numPr>
        <w:autoSpaceDE w:val="0"/>
        <w:autoSpaceDN w:val="0"/>
        <w:rPr>
          <w:rFonts w:eastAsia="MS Mincho" w:cs="Arial"/>
          <w:sz w:val="22"/>
        </w:rPr>
      </w:pPr>
      <w:r>
        <w:rPr>
          <w:rFonts w:eastAsia="MS Mincho" w:cs="Arial"/>
          <w:sz w:val="22"/>
        </w:rPr>
        <w:t xml:space="preserve">Réduction des pertes post-récolte </w:t>
      </w:r>
    </w:p>
    <w:p w14:paraId="15E7532E" w14:textId="77777777" w:rsidR="001C2F95" w:rsidRDefault="001C2F95" w:rsidP="002378EA">
      <w:pPr>
        <w:widowControl w:val="0"/>
        <w:numPr>
          <w:ilvl w:val="0"/>
          <w:numId w:val="68"/>
        </w:numPr>
        <w:autoSpaceDE w:val="0"/>
        <w:autoSpaceDN w:val="0"/>
        <w:rPr>
          <w:rFonts w:eastAsia="MS Mincho" w:cs="Arial"/>
          <w:sz w:val="22"/>
        </w:rPr>
      </w:pPr>
      <w:r>
        <w:rPr>
          <w:rFonts w:eastAsia="MS Mincho" w:cs="Arial"/>
          <w:sz w:val="22"/>
        </w:rPr>
        <w:t xml:space="preserve">Capacité des producteurs et des institutions financières à intégrer les considérations environnementales et sociales dans les plans d’affaires des sous-projets </w:t>
      </w:r>
    </w:p>
    <w:p w14:paraId="666EB718" w14:textId="77777777" w:rsidR="001C2F95" w:rsidRPr="002A3ECE" w:rsidRDefault="001C2F95" w:rsidP="002378EA">
      <w:pPr>
        <w:widowControl w:val="0"/>
        <w:numPr>
          <w:ilvl w:val="0"/>
          <w:numId w:val="68"/>
        </w:numPr>
        <w:autoSpaceDE w:val="0"/>
        <w:autoSpaceDN w:val="0"/>
        <w:rPr>
          <w:rFonts w:eastAsia="MS Mincho" w:cs="Arial"/>
          <w:sz w:val="22"/>
        </w:rPr>
      </w:pPr>
      <w:r>
        <w:rPr>
          <w:rFonts w:eastAsia="MS Mincho" w:cs="Arial"/>
          <w:sz w:val="22"/>
        </w:rPr>
        <w:t xml:space="preserve">Risques de conflits liés à la gestion des infrastructures communautaires (localisation, accessibilité et paiement des services) </w:t>
      </w:r>
    </w:p>
    <w:p w14:paraId="4072F414" w14:textId="77777777" w:rsidR="001C2F95" w:rsidRDefault="001C2F95" w:rsidP="001C2F95">
      <w:pPr>
        <w:autoSpaceDE w:val="0"/>
        <w:autoSpaceDN w:val="0"/>
        <w:adjustRightInd w:val="0"/>
        <w:spacing w:line="240" w:lineRule="auto"/>
        <w:rPr>
          <w:rFonts w:cs="Arial"/>
          <w:sz w:val="22"/>
        </w:rPr>
      </w:pPr>
    </w:p>
    <w:p w14:paraId="150A6D5F" w14:textId="77777777" w:rsidR="006B658C" w:rsidRPr="00730A4A" w:rsidRDefault="006B658C" w:rsidP="006B658C">
      <w:pPr>
        <w:spacing w:line="240" w:lineRule="auto"/>
        <w:rPr>
          <w:rFonts w:cs="Arial"/>
          <w:color w:val="000000"/>
          <w:sz w:val="22"/>
          <w:u w:val="single"/>
        </w:rPr>
      </w:pPr>
      <w:r w:rsidRPr="00730A4A">
        <w:rPr>
          <w:rFonts w:cs="Arial"/>
          <w:color w:val="000000"/>
          <w:sz w:val="22"/>
          <w:u w:val="single"/>
        </w:rPr>
        <w:t>Risques et Impacts négatifs potentiels des travaux agricoles et d’irrigation (aménagement et ouvrages hydrauliques) :</w:t>
      </w:r>
    </w:p>
    <w:p w14:paraId="4C12A1A3" w14:textId="77777777" w:rsidR="006B658C" w:rsidRPr="00730A4A" w:rsidRDefault="006B658C" w:rsidP="006B658C">
      <w:pPr>
        <w:spacing w:line="240" w:lineRule="auto"/>
        <w:rPr>
          <w:rFonts w:cs="Arial"/>
          <w:color w:val="000000"/>
          <w:sz w:val="22"/>
          <w:u w:val="single"/>
        </w:rPr>
      </w:pPr>
    </w:p>
    <w:p w14:paraId="01CFD90A" w14:textId="77777777" w:rsidR="006B658C" w:rsidRDefault="006B658C" w:rsidP="002378EA">
      <w:pPr>
        <w:widowControl w:val="0"/>
        <w:numPr>
          <w:ilvl w:val="0"/>
          <w:numId w:val="68"/>
        </w:numPr>
        <w:autoSpaceDE w:val="0"/>
        <w:autoSpaceDN w:val="0"/>
        <w:rPr>
          <w:rFonts w:eastAsia="MS Mincho" w:cs="Arial"/>
          <w:sz w:val="22"/>
        </w:rPr>
      </w:pPr>
      <w:r>
        <w:rPr>
          <w:rFonts w:eastAsia="MS Mincho" w:cs="Arial"/>
          <w:sz w:val="22"/>
        </w:rPr>
        <w:t>Risques de VBG/EAS/HS pendant la période de lancement du Projet ;</w:t>
      </w:r>
    </w:p>
    <w:p w14:paraId="1DC5FA8D" w14:textId="77777777" w:rsidR="006B658C" w:rsidRPr="00296E4B" w:rsidRDefault="006B658C" w:rsidP="002378EA">
      <w:pPr>
        <w:widowControl w:val="0"/>
        <w:numPr>
          <w:ilvl w:val="0"/>
          <w:numId w:val="68"/>
        </w:numPr>
        <w:autoSpaceDE w:val="0"/>
        <w:autoSpaceDN w:val="0"/>
        <w:rPr>
          <w:rFonts w:eastAsia="MS Mincho" w:cs="Arial"/>
          <w:sz w:val="22"/>
        </w:rPr>
      </w:pPr>
      <w:r w:rsidRPr="00296E4B">
        <w:rPr>
          <w:rFonts w:eastAsia="MS Mincho" w:cs="Arial"/>
          <w:sz w:val="22"/>
        </w:rPr>
        <w:t xml:space="preserve">Risque de perturbation des zones de frayères des cours d’eau ; </w:t>
      </w:r>
    </w:p>
    <w:p w14:paraId="4F29A341" w14:textId="77777777" w:rsidR="006B658C" w:rsidRPr="00296E4B" w:rsidRDefault="006B658C" w:rsidP="002378EA">
      <w:pPr>
        <w:widowControl w:val="0"/>
        <w:numPr>
          <w:ilvl w:val="0"/>
          <w:numId w:val="68"/>
        </w:numPr>
        <w:autoSpaceDE w:val="0"/>
        <w:autoSpaceDN w:val="0"/>
        <w:rPr>
          <w:rFonts w:eastAsia="MS Mincho" w:cs="Arial"/>
          <w:sz w:val="22"/>
        </w:rPr>
      </w:pPr>
      <w:r w:rsidRPr="00296E4B">
        <w:rPr>
          <w:rFonts w:eastAsia="MS Mincho" w:cs="Arial"/>
          <w:sz w:val="22"/>
        </w:rPr>
        <w:t xml:space="preserve">Déforestation, dégradation des sols par érosion, destruction d’habitats lors des défrichements ; </w:t>
      </w:r>
    </w:p>
    <w:p w14:paraId="0B68CFA8" w14:textId="77777777" w:rsidR="006B658C" w:rsidRPr="00296E4B" w:rsidRDefault="006B658C" w:rsidP="002378EA">
      <w:pPr>
        <w:widowControl w:val="0"/>
        <w:numPr>
          <w:ilvl w:val="0"/>
          <w:numId w:val="68"/>
        </w:numPr>
        <w:autoSpaceDE w:val="0"/>
        <w:autoSpaceDN w:val="0"/>
        <w:rPr>
          <w:rFonts w:eastAsia="MS Mincho" w:cs="Arial"/>
          <w:sz w:val="22"/>
        </w:rPr>
      </w:pPr>
      <w:r w:rsidRPr="00296E4B">
        <w:rPr>
          <w:rFonts w:eastAsia="MS Mincho" w:cs="Arial"/>
          <w:sz w:val="22"/>
        </w:rPr>
        <w:t xml:space="preserve">Destruction de la microfaune et de la matière organique ;  </w:t>
      </w:r>
    </w:p>
    <w:p w14:paraId="4EF307BE" w14:textId="77777777" w:rsidR="006B658C" w:rsidRPr="00296E4B" w:rsidRDefault="006B658C" w:rsidP="002378EA">
      <w:pPr>
        <w:widowControl w:val="0"/>
        <w:numPr>
          <w:ilvl w:val="0"/>
          <w:numId w:val="68"/>
        </w:numPr>
        <w:autoSpaceDE w:val="0"/>
        <w:autoSpaceDN w:val="0"/>
        <w:rPr>
          <w:rFonts w:eastAsia="MS Mincho" w:cs="Arial"/>
          <w:sz w:val="22"/>
        </w:rPr>
      </w:pPr>
      <w:r w:rsidRPr="00296E4B">
        <w:rPr>
          <w:rFonts w:eastAsia="MS Mincho" w:cs="Arial"/>
          <w:sz w:val="22"/>
        </w:rPr>
        <w:t>Risques de conflits d’usage (alimentation en eau potable, agriculture, élevage et pêche) ;</w:t>
      </w:r>
    </w:p>
    <w:p w14:paraId="5C7CE833" w14:textId="77777777" w:rsidR="006B658C" w:rsidRPr="00296E4B" w:rsidRDefault="006B658C" w:rsidP="002378EA">
      <w:pPr>
        <w:widowControl w:val="0"/>
        <w:numPr>
          <w:ilvl w:val="0"/>
          <w:numId w:val="68"/>
        </w:numPr>
        <w:autoSpaceDE w:val="0"/>
        <w:autoSpaceDN w:val="0"/>
        <w:rPr>
          <w:rFonts w:eastAsia="MS Mincho" w:cs="Arial"/>
          <w:sz w:val="22"/>
        </w:rPr>
      </w:pPr>
      <w:r w:rsidRPr="00296E4B">
        <w:rPr>
          <w:rFonts w:eastAsia="MS Mincho" w:cs="Arial"/>
          <w:sz w:val="22"/>
        </w:rPr>
        <w:t>Risques de conflits fonciers entre autochtones et investisseurs allochtones ;</w:t>
      </w:r>
    </w:p>
    <w:p w14:paraId="3EE4E71C" w14:textId="77777777" w:rsidR="006B658C" w:rsidRPr="00296E4B" w:rsidRDefault="006B658C" w:rsidP="002378EA">
      <w:pPr>
        <w:widowControl w:val="0"/>
        <w:numPr>
          <w:ilvl w:val="0"/>
          <w:numId w:val="68"/>
        </w:numPr>
        <w:autoSpaceDE w:val="0"/>
        <w:autoSpaceDN w:val="0"/>
        <w:rPr>
          <w:rFonts w:eastAsia="MS Mincho" w:cs="Arial"/>
          <w:sz w:val="22"/>
        </w:rPr>
      </w:pPr>
      <w:r w:rsidRPr="00296E4B">
        <w:rPr>
          <w:rFonts w:eastAsia="MS Mincho" w:cs="Arial"/>
          <w:sz w:val="22"/>
        </w:rPr>
        <w:t>Perte de terre de pâturage (empiètement sur des espaces sylvopastoraux) ;</w:t>
      </w:r>
    </w:p>
    <w:p w14:paraId="6E82FD4D" w14:textId="77777777" w:rsidR="006B658C" w:rsidRPr="00296E4B" w:rsidRDefault="006B658C" w:rsidP="002378EA">
      <w:pPr>
        <w:widowControl w:val="0"/>
        <w:numPr>
          <w:ilvl w:val="0"/>
          <w:numId w:val="68"/>
        </w:numPr>
        <w:autoSpaceDE w:val="0"/>
        <w:autoSpaceDN w:val="0"/>
        <w:rPr>
          <w:rFonts w:eastAsia="MS Mincho" w:cs="Arial"/>
          <w:sz w:val="22"/>
        </w:rPr>
      </w:pPr>
      <w:r w:rsidRPr="00296E4B">
        <w:rPr>
          <w:rFonts w:eastAsia="MS Mincho" w:cs="Arial"/>
          <w:sz w:val="22"/>
        </w:rPr>
        <w:t>Forte pression sur le foncier et sur l’eau avec l’augmentation des aménagements ;</w:t>
      </w:r>
    </w:p>
    <w:p w14:paraId="323C74E6" w14:textId="77777777" w:rsidR="006B658C" w:rsidRPr="00296E4B" w:rsidRDefault="006B658C" w:rsidP="002378EA">
      <w:pPr>
        <w:widowControl w:val="0"/>
        <w:numPr>
          <w:ilvl w:val="0"/>
          <w:numId w:val="68"/>
        </w:numPr>
        <w:autoSpaceDE w:val="0"/>
        <w:autoSpaceDN w:val="0"/>
        <w:rPr>
          <w:rFonts w:eastAsia="MS Mincho" w:cs="Arial"/>
          <w:sz w:val="22"/>
        </w:rPr>
      </w:pPr>
      <w:r w:rsidRPr="00296E4B">
        <w:rPr>
          <w:rFonts w:eastAsia="MS Mincho" w:cs="Arial"/>
          <w:sz w:val="22"/>
        </w:rPr>
        <w:t xml:space="preserve">Perte de la fertilité des sols ; </w:t>
      </w:r>
    </w:p>
    <w:p w14:paraId="545D7432" w14:textId="77777777" w:rsidR="006B658C" w:rsidRPr="00296E4B" w:rsidRDefault="006B658C" w:rsidP="002378EA">
      <w:pPr>
        <w:widowControl w:val="0"/>
        <w:numPr>
          <w:ilvl w:val="0"/>
          <w:numId w:val="68"/>
        </w:numPr>
        <w:autoSpaceDE w:val="0"/>
        <w:autoSpaceDN w:val="0"/>
        <w:rPr>
          <w:rFonts w:eastAsia="MS Mincho" w:cs="Arial"/>
          <w:sz w:val="22"/>
        </w:rPr>
      </w:pPr>
      <w:r w:rsidRPr="00296E4B">
        <w:rPr>
          <w:rFonts w:eastAsia="MS Mincho" w:cs="Arial"/>
          <w:sz w:val="22"/>
        </w:rPr>
        <w:t xml:space="preserve">Pollution des eaux et des sols dues </w:t>
      </w:r>
      <w:r>
        <w:rPr>
          <w:rFonts w:eastAsia="MS Mincho" w:cs="Arial"/>
          <w:sz w:val="22"/>
        </w:rPr>
        <w:t>à l’utilisation non rationnelle des</w:t>
      </w:r>
      <w:r w:rsidRPr="00296E4B">
        <w:rPr>
          <w:rFonts w:eastAsia="MS Mincho" w:cs="Arial"/>
          <w:sz w:val="22"/>
        </w:rPr>
        <w:t xml:space="preserve"> pesticides et aux engrais ; </w:t>
      </w:r>
    </w:p>
    <w:p w14:paraId="203F776F" w14:textId="77777777" w:rsidR="006B658C" w:rsidRPr="00296E4B" w:rsidRDefault="006B658C" w:rsidP="002378EA">
      <w:pPr>
        <w:widowControl w:val="0"/>
        <w:numPr>
          <w:ilvl w:val="0"/>
          <w:numId w:val="68"/>
        </w:numPr>
        <w:autoSpaceDE w:val="0"/>
        <w:autoSpaceDN w:val="0"/>
        <w:rPr>
          <w:rFonts w:eastAsia="MS Mincho" w:cs="Arial"/>
          <w:sz w:val="22"/>
        </w:rPr>
      </w:pPr>
      <w:r w:rsidRPr="00296E4B">
        <w:rPr>
          <w:rFonts w:eastAsia="MS Mincho" w:cs="Arial"/>
          <w:sz w:val="22"/>
        </w:rPr>
        <w:t xml:space="preserve">Nuisances sanitaires dues aux pesticides ; </w:t>
      </w:r>
    </w:p>
    <w:p w14:paraId="3DD5ABED" w14:textId="77777777" w:rsidR="006B658C" w:rsidRPr="00F97D7B" w:rsidRDefault="006B658C" w:rsidP="002378EA">
      <w:pPr>
        <w:widowControl w:val="0"/>
        <w:numPr>
          <w:ilvl w:val="0"/>
          <w:numId w:val="68"/>
        </w:numPr>
        <w:autoSpaceDE w:val="0"/>
        <w:autoSpaceDN w:val="0"/>
      </w:pPr>
      <w:r w:rsidRPr="00296E4B">
        <w:rPr>
          <w:rFonts w:eastAsia="MS Mincho" w:cs="Arial"/>
          <w:sz w:val="22"/>
        </w:rPr>
        <w:t xml:space="preserve">Destruction des non cibles par les pesticides ; </w:t>
      </w:r>
      <w:r w:rsidRPr="006B658C">
        <w:rPr>
          <w:rFonts w:eastAsia="MS Mincho" w:cs="Arial"/>
          <w:sz w:val="22"/>
        </w:rPr>
        <w:t>Nuisances en cas d’utilisation de fumure organique non maîtrisée</w:t>
      </w:r>
    </w:p>
    <w:p w14:paraId="49316B54" w14:textId="77777777" w:rsidR="006B658C" w:rsidRPr="00F97D7B" w:rsidRDefault="006B658C" w:rsidP="001C2F95">
      <w:pPr>
        <w:autoSpaceDE w:val="0"/>
        <w:autoSpaceDN w:val="0"/>
        <w:adjustRightInd w:val="0"/>
        <w:spacing w:line="240" w:lineRule="auto"/>
      </w:pPr>
    </w:p>
    <w:p w14:paraId="07EF5341" w14:textId="77777777" w:rsidR="00B32A9C" w:rsidRPr="006B658C" w:rsidRDefault="00B32A9C" w:rsidP="001C2F95">
      <w:pPr>
        <w:autoSpaceDE w:val="0"/>
        <w:autoSpaceDN w:val="0"/>
        <w:adjustRightInd w:val="0"/>
        <w:spacing w:line="240" w:lineRule="auto"/>
      </w:pPr>
      <w:r w:rsidRPr="006B658C">
        <w:t>Risques et impacts négatifs potentiels en phase d’exploitation des activités agricoles</w:t>
      </w:r>
    </w:p>
    <w:p w14:paraId="0359A102" w14:textId="77777777" w:rsidR="0042229D" w:rsidRPr="005A4369" w:rsidRDefault="0042229D" w:rsidP="001C2F95">
      <w:pPr>
        <w:autoSpaceDE w:val="0"/>
        <w:autoSpaceDN w:val="0"/>
        <w:adjustRightInd w:val="0"/>
        <w:spacing w:line="240" w:lineRule="auto"/>
      </w:pPr>
    </w:p>
    <w:p w14:paraId="20828CA4" w14:textId="77777777" w:rsidR="0042229D" w:rsidRPr="00730A4A" w:rsidRDefault="0042229D"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Augmentation des maladies liées à l'eau ; </w:t>
      </w:r>
    </w:p>
    <w:p w14:paraId="4B5A2AEC" w14:textId="77777777" w:rsidR="0042229D" w:rsidRPr="00730A4A" w:rsidRDefault="0042229D" w:rsidP="002378EA">
      <w:pPr>
        <w:numPr>
          <w:ilvl w:val="0"/>
          <w:numId w:val="24"/>
        </w:numPr>
        <w:tabs>
          <w:tab w:val="clear" w:pos="360"/>
        </w:tabs>
        <w:ind w:left="249" w:hanging="249"/>
        <w:jc w:val="left"/>
        <w:rPr>
          <w:rFonts w:cs="Arial"/>
          <w:color w:val="000000"/>
          <w:sz w:val="22"/>
        </w:rPr>
      </w:pPr>
      <w:r w:rsidRPr="00730A4A">
        <w:rPr>
          <w:rFonts w:cs="Arial"/>
          <w:color w:val="000000"/>
          <w:sz w:val="22"/>
        </w:rPr>
        <w:t>Forte pression sur le foncier et sur l’eau avec l’augmentation des aménagements</w:t>
      </w:r>
      <w:r w:rsidR="00005290" w:rsidRPr="00730A4A">
        <w:rPr>
          <w:rFonts w:cs="Arial"/>
          <w:color w:val="000000"/>
          <w:sz w:val="22"/>
        </w:rPr>
        <w:t> ;</w:t>
      </w:r>
    </w:p>
    <w:p w14:paraId="5D2D742D" w14:textId="77777777" w:rsidR="0042229D" w:rsidRPr="00730A4A" w:rsidRDefault="0042229D" w:rsidP="002378EA">
      <w:pPr>
        <w:numPr>
          <w:ilvl w:val="0"/>
          <w:numId w:val="24"/>
        </w:numPr>
        <w:tabs>
          <w:tab w:val="clear" w:pos="360"/>
        </w:tabs>
        <w:ind w:left="249" w:hanging="249"/>
        <w:jc w:val="left"/>
        <w:rPr>
          <w:rFonts w:cs="Arial"/>
          <w:color w:val="000000"/>
          <w:sz w:val="22"/>
        </w:rPr>
      </w:pPr>
      <w:r w:rsidRPr="00730A4A">
        <w:rPr>
          <w:rFonts w:cs="Arial"/>
          <w:color w:val="000000"/>
          <w:sz w:val="22"/>
        </w:rPr>
        <w:lastRenderedPageBreak/>
        <w:t xml:space="preserve">Perte de la fertilité des sols ; </w:t>
      </w:r>
    </w:p>
    <w:p w14:paraId="33CED763" w14:textId="77777777" w:rsidR="0042229D" w:rsidRPr="00730A4A" w:rsidRDefault="0042229D"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Pollution des eaux et des sols dues aux pesticides et aux engrais ; </w:t>
      </w:r>
    </w:p>
    <w:p w14:paraId="2129C02B" w14:textId="77777777" w:rsidR="0042229D" w:rsidRPr="00730A4A" w:rsidRDefault="0042229D"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Nuisances sanitaires dues aux pesticides ; </w:t>
      </w:r>
    </w:p>
    <w:p w14:paraId="59BDE4DF" w14:textId="77777777" w:rsidR="0042229D" w:rsidRPr="00730A4A" w:rsidRDefault="0042229D"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Destruction des non cibles par les pesticides ; </w:t>
      </w:r>
    </w:p>
    <w:p w14:paraId="65022224" w14:textId="77777777" w:rsidR="0042229D" w:rsidRPr="00730A4A" w:rsidRDefault="0042229D"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Nuisances en cas d’utilisation de fumure organique non maîtrisée ; </w:t>
      </w:r>
    </w:p>
    <w:p w14:paraId="1DE4A4D5" w14:textId="77777777" w:rsidR="0042229D" w:rsidRPr="00730A4A" w:rsidRDefault="0042229D"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Augmentation des maladies liées à l'eau ; </w:t>
      </w:r>
    </w:p>
    <w:p w14:paraId="67944C7A" w14:textId="77777777" w:rsidR="0042229D" w:rsidRPr="00730A4A" w:rsidRDefault="0042229D" w:rsidP="002378EA">
      <w:pPr>
        <w:numPr>
          <w:ilvl w:val="0"/>
          <w:numId w:val="24"/>
        </w:numPr>
        <w:tabs>
          <w:tab w:val="clear" w:pos="360"/>
        </w:tabs>
        <w:ind w:left="249" w:hanging="249"/>
        <w:jc w:val="left"/>
        <w:rPr>
          <w:rFonts w:cs="Arial"/>
          <w:color w:val="000000"/>
          <w:sz w:val="22"/>
        </w:rPr>
      </w:pPr>
      <w:r w:rsidRPr="00730A4A">
        <w:rPr>
          <w:rFonts w:cs="Arial"/>
          <w:color w:val="000000"/>
          <w:sz w:val="22"/>
        </w:rPr>
        <w:t>Accentuation des conflits agriculteurs-éleveurs pour l'accès à l'eau ou aux pâturages ;</w:t>
      </w:r>
    </w:p>
    <w:p w14:paraId="3F46E100" w14:textId="77777777" w:rsidR="0042229D" w:rsidRPr="00730A4A" w:rsidRDefault="0042229D"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propagation de COVID-19 si les mesures barrières ou de préventions ne sont pas respectées.</w:t>
      </w:r>
    </w:p>
    <w:p w14:paraId="1D32A06F" w14:textId="77777777" w:rsidR="0042229D" w:rsidRPr="00730A4A" w:rsidRDefault="0042229D"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Pertes éventuelles de revenus ou de biens durant les travaux ; </w:t>
      </w:r>
    </w:p>
    <w:p w14:paraId="3A417739" w14:textId="77777777" w:rsidR="0042229D" w:rsidRPr="00730A4A" w:rsidRDefault="0042229D"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Risques de maladies comme les IST/VIH/SIDA ;</w:t>
      </w:r>
    </w:p>
    <w:p w14:paraId="7C87A8AF" w14:textId="77777777" w:rsidR="0042229D" w:rsidRPr="00730A4A" w:rsidRDefault="0042229D"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Risques d’EAS/HS suite aux travaux.</w:t>
      </w:r>
    </w:p>
    <w:p w14:paraId="7B5F3FC0" w14:textId="77777777" w:rsidR="00B32A9C" w:rsidRPr="00296E4B" w:rsidRDefault="00B32A9C" w:rsidP="001C2F95">
      <w:pPr>
        <w:autoSpaceDE w:val="0"/>
        <w:autoSpaceDN w:val="0"/>
        <w:adjustRightInd w:val="0"/>
        <w:spacing w:line="240" w:lineRule="auto"/>
        <w:rPr>
          <w:rFonts w:cs="Arial"/>
          <w:sz w:val="22"/>
        </w:rPr>
      </w:pPr>
    </w:p>
    <w:p w14:paraId="101DA476" w14:textId="77777777" w:rsidR="001C2F95" w:rsidRPr="00296E4B" w:rsidRDefault="001C2F95" w:rsidP="001C2F95">
      <w:pPr>
        <w:spacing w:line="240" w:lineRule="auto"/>
        <w:rPr>
          <w:rFonts w:cs="Arial"/>
          <w:sz w:val="22"/>
          <w:u w:val="single"/>
        </w:rPr>
      </w:pPr>
      <w:r w:rsidRPr="00296E4B">
        <w:rPr>
          <w:rFonts w:cs="Arial"/>
          <w:sz w:val="22"/>
          <w:u w:val="single"/>
        </w:rPr>
        <w:t>Risques et Impacts négatifs potentiels communs à tous les sous-projets (en phase de construction)</w:t>
      </w:r>
      <w:r>
        <w:rPr>
          <w:rFonts w:cs="Arial"/>
          <w:sz w:val="22"/>
          <w:u w:val="single"/>
        </w:rPr>
        <w:t> :</w:t>
      </w:r>
    </w:p>
    <w:p w14:paraId="5C3AF225" w14:textId="77777777" w:rsidR="001C2F95" w:rsidRPr="00296E4B" w:rsidRDefault="001C2F95" w:rsidP="001C2F95">
      <w:pPr>
        <w:spacing w:line="240" w:lineRule="auto"/>
        <w:rPr>
          <w:rFonts w:cs="Arial"/>
          <w:b/>
          <w:sz w:val="22"/>
          <w:u w:val="single"/>
        </w:rPr>
      </w:pPr>
    </w:p>
    <w:p w14:paraId="5C6866E2"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Pollution du milieu (eaux et sols) par les déchets solides (déblais, démolition, huiles, filtres, batteries, plastics, déchets inertes, etc.) ;</w:t>
      </w:r>
    </w:p>
    <w:p w14:paraId="2C3FC618"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Pollution sonore par le bruit des engins ;</w:t>
      </w:r>
    </w:p>
    <w:p w14:paraId="259F3FF7"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Dégradation du milieu par le dépôt des produits de démolition et de chantier ; </w:t>
      </w:r>
    </w:p>
    <w:p w14:paraId="6965B7E0"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Érosion et pollution des sols ;</w:t>
      </w:r>
    </w:p>
    <w:p w14:paraId="7E4C01B6"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Pollution de l’air (envol de poussière) ;</w:t>
      </w:r>
    </w:p>
    <w:p w14:paraId="44EA8E31"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Pertes de terre, de biens et de sources de revenus et risques de déplacement physique</w:t>
      </w:r>
    </w:p>
    <w:p w14:paraId="755DB701"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Risques de conflits sociaux en cas de non</w:t>
      </w:r>
      <w:r w:rsidR="00F86960">
        <w:rPr>
          <w:rFonts w:eastAsia="MS Mincho" w:cs="Arial"/>
          <w:sz w:val="22"/>
        </w:rPr>
        <w:t>-</w:t>
      </w:r>
      <w:r w:rsidRPr="00296E4B">
        <w:rPr>
          <w:rFonts w:eastAsia="MS Mincho" w:cs="Arial"/>
          <w:sz w:val="22"/>
        </w:rPr>
        <w:t>utilisation de la main-d’œuvre locale ;</w:t>
      </w:r>
    </w:p>
    <w:p w14:paraId="27428CF6"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 de distribution inégale des intrants et semences ou aides directes aux petits exploitants agricoles ;</w:t>
      </w:r>
    </w:p>
    <w:p w14:paraId="3F268CEA"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Risques de conflits sociaux suite au développement des périmètres agricoles ;</w:t>
      </w:r>
    </w:p>
    <w:p w14:paraId="44F8B4CA"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 des travaux des enfants de moins de 18 ans sur les chantiers ;</w:t>
      </w:r>
    </w:p>
    <w:p w14:paraId="143C83AD"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 d’utilisation des forces de sécurités publiques pour la sécurisation des sites (insécurité dans la Province du Nord-Kivu) ;</w:t>
      </w:r>
    </w:p>
    <w:p w14:paraId="7094329A"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Perturbation des activités socioéconomiques lors des travaux ;</w:t>
      </w:r>
    </w:p>
    <w:p w14:paraId="006624FA"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 de discrimination contre des femmes lors du recrutement du personnel ;</w:t>
      </w:r>
    </w:p>
    <w:p w14:paraId="69A53501" w14:textId="77777777" w:rsidR="001C2F95"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 d’accident au cours des travaux (personnel et population).</w:t>
      </w:r>
    </w:p>
    <w:p w14:paraId="01EF4B53" w14:textId="77777777" w:rsidR="001C2F95" w:rsidRPr="00296E4B" w:rsidRDefault="001C2F95" w:rsidP="002378EA">
      <w:pPr>
        <w:widowControl w:val="0"/>
        <w:numPr>
          <w:ilvl w:val="0"/>
          <w:numId w:val="68"/>
        </w:numPr>
        <w:autoSpaceDE w:val="0"/>
        <w:autoSpaceDN w:val="0"/>
        <w:rPr>
          <w:rFonts w:eastAsia="MS Mincho" w:cs="Arial"/>
          <w:sz w:val="22"/>
        </w:rPr>
      </w:pPr>
      <w:r>
        <w:rPr>
          <w:rFonts w:eastAsia="MS Mincho" w:cs="Arial"/>
          <w:sz w:val="22"/>
        </w:rPr>
        <w:t xml:space="preserve">Risques de dommages sur les autres infrastructures de réseau ; </w:t>
      </w:r>
    </w:p>
    <w:p w14:paraId="5429567D"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Risques d’exacerber les </w:t>
      </w:r>
      <w:r>
        <w:rPr>
          <w:rFonts w:eastAsia="MS Mincho" w:cs="Arial"/>
          <w:sz w:val="22"/>
        </w:rPr>
        <w:t>VBG, y compris l’EAS et le HS,</w:t>
      </w:r>
      <w:r w:rsidRPr="00296E4B">
        <w:rPr>
          <w:rFonts w:eastAsia="MS Mincho" w:cs="Arial"/>
          <w:sz w:val="22"/>
        </w:rPr>
        <w:t xml:space="preserve"> dans la zone d’intervention du Projet suite au brassage des populations et à l’afflux de la main-d’œuvre allochtone ;</w:t>
      </w:r>
    </w:p>
    <w:p w14:paraId="50E7E11D"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 de contamination des IST et VIH/SIDA ;</w:t>
      </w:r>
    </w:p>
    <w:p w14:paraId="6AB3EEFF"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Risque de </w:t>
      </w:r>
      <w:r>
        <w:rPr>
          <w:rFonts w:eastAsia="MS Mincho" w:cs="Arial"/>
          <w:sz w:val="22"/>
        </w:rPr>
        <w:t xml:space="preserve">propagation et </w:t>
      </w:r>
      <w:r w:rsidRPr="00296E4B">
        <w:rPr>
          <w:rFonts w:eastAsia="MS Mincho" w:cs="Arial"/>
          <w:sz w:val="22"/>
        </w:rPr>
        <w:t>contamination de la COVID-19</w:t>
      </w:r>
      <w:r>
        <w:rPr>
          <w:rFonts w:eastAsia="MS Mincho" w:cs="Arial"/>
          <w:sz w:val="22"/>
        </w:rPr>
        <w:t>, pour les bénéficiaires ou d’autres parties prenantes</w:t>
      </w:r>
      <w:r w:rsidRPr="00296E4B">
        <w:rPr>
          <w:rFonts w:eastAsia="MS Mincho" w:cs="Arial"/>
          <w:sz w:val="22"/>
        </w:rPr>
        <w:t> ;</w:t>
      </w:r>
    </w:p>
    <w:p w14:paraId="13E4A832"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Impacts négatifs sur les travaux d’aménagements hydro-agricoles ;</w:t>
      </w:r>
    </w:p>
    <w:p w14:paraId="46154DCC"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Fortes pressions et risques de dégradation des ressources en eau ;</w:t>
      </w:r>
    </w:p>
    <w:p w14:paraId="3A565776"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Risques liés à la dégradation des terres et la fertilité des sols ; </w:t>
      </w:r>
    </w:p>
    <w:p w14:paraId="1D66273B"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Risques de développement de maladies liés à l’eau ; </w:t>
      </w:r>
    </w:p>
    <w:p w14:paraId="72FBC258"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Risques d’intoxication et de pollution avec l’usage des pesticides ;</w:t>
      </w:r>
    </w:p>
    <w:p w14:paraId="3F5BA7D9"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 d’insécurité pour les travailleurs et le matériel des entreprises dans certaines Provinces ciblées par le Projet PNDA ;</w:t>
      </w:r>
    </w:p>
    <w:p w14:paraId="3A430FAA" w14:textId="77777777" w:rsidR="001C2F95"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 d’accident lié à la circulation des véhicules ;</w:t>
      </w:r>
    </w:p>
    <w:p w14:paraId="39BCD2D0" w14:textId="77777777" w:rsidR="001C2F95" w:rsidRPr="00296E4B" w:rsidRDefault="001C2F95" w:rsidP="002378EA">
      <w:pPr>
        <w:widowControl w:val="0"/>
        <w:numPr>
          <w:ilvl w:val="0"/>
          <w:numId w:val="68"/>
        </w:numPr>
        <w:autoSpaceDE w:val="0"/>
        <w:autoSpaceDN w:val="0"/>
        <w:rPr>
          <w:rFonts w:eastAsia="MS Mincho" w:cs="Arial"/>
          <w:sz w:val="22"/>
        </w:rPr>
      </w:pPr>
      <w:r>
        <w:rPr>
          <w:rFonts w:eastAsia="MS Mincho" w:cs="Arial"/>
          <w:sz w:val="22"/>
        </w:rPr>
        <w:t>Risques d’affaissement des ponts et ponceaux sur les pistes rurales pendant l’évacuation des produits agricoles ;</w:t>
      </w:r>
    </w:p>
    <w:p w14:paraId="1BF0382D"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Déboisement suite à l’ouverture des pistes d’accès et à l’exploitation des carrières ;</w:t>
      </w:r>
    </w:p>
    <w:p w14:paraId="69A7DC2E"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Risques de feux de brousse par le brûlage incontrôlé ;</w:t>
      </w:r>
    </w:p>
    <w:p w14:paraId="67B6B5A3"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lastRenderedPageBreak/>
        <w:t>Risque d’empiètement des aires protégées (domaine de chasse de Mangai, Bushimaie, Parc Marine de Mangrove et Parc National de Virunga ;</w:t>
      </w:r>
    </w:p>
    <w:p w14:paraId="676321C1"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 d’empiètement des biens des Peuples Autochtones (PA) ;</w:t>
      </w:r>
    </w:p>
    <w:p w14:paraId="6112C666"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 de la prolifération du braconnage ;</w:t>
      </w:r>
    </w:p>
    <w:p w14:paraId="2852165E"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Risques d’incendie ou explosion de cuves de stockage de carburants ;</w:t>
      </w:r>
    </w:p>
    <w:p w14:paraId="7030C96B" w14:textId="77777777" w:rsidR="001C2F95"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 d’affectation potentielle des biens culturels (monuments, églises, tombes, lieux sacrés, etc.) suite aux activités d’excavation (découvertes fortuite</w:t>
      </w:r>
      <w:r>
        <w:rPr>
          <w:rFonts w:eastAsia="MS Mincho" w:cs="Arial"/>
          <w:sz w:val="22"/>
        </w:rPr>
        <w:t>s</w:t>
      </w:r>
      <w:r w:rsidRPr="00296E4B">
        <w:rPr>
          <w:rFonts w:eastAsia="MS Mincho" w:cs="Arial"/>
          <w:sz w:val="22"/>
        </w:rPr>
        <w:t>) ;</w:t>
      </w:r>
    </w:p>
    <w:p w14:paraId="1AAC13B2" w14:textId="77777777" w:rsidR="001C2F95" w:rsidRDefault="001C2F95" w:rsidP="002378EA">
      <w:pPr>
        <w:widowControl w:val="0"/>
        <w:numPr>
          <w:ilvl w:val="0"/>
          <w:numId w:val="68"/>
        </w:numPr>
        <w:autoSpaceDE w:val="0"/>
        <w:autoSpaceDN w:val="0"/>
        <w:rPr>
          <w:rFonts w:eastAsia="MS Mincho" w:cs="Arial"/>
          <w:sz w:val="22"/>
        </w:rPr>
      </w:pPr>
      <w:r>
        <w:rPr>
          <w:rFonts w:eastAsia="MS Mincho" w:cs="Arial"/>
          <w:sz w:val="22"/>
        </w:rPr>
        <w:t>Risque de rejet de nouvelles technologies et techniques agricoles proposées par le programme</w:t>
      </w:r>
      <w:r w:rsidR="00F97D7B">
        <w:rPr>
          <w:rFonts w:eastAsia="MS Mincho" w:cs="Arial"/>
          <w:sz w:val="22"/>
        </w:rPr>
        <w:t> ;</w:t>
      </w:r>
    </w:p>
    <w:p w14:paraId="567C5706" w14:textId="77777777" w:rsidR="001C2F95" w:rsidRDefault="001C2F95" w:rsidP="002378EA">
      <w:pPr>
        <w:widowControl w:val="0"/>
        <w:numPr>
          <w:ilvl w:val="0"/>
          <w:numId w:val="68"/>
        </w:numPr>
        <w:autoSpaceDE w:val="0"/>
        <w:autoSpaceDN w:val="0"/>
        <w:rPr>
          <w:rFonts w:eastAsia="MS Mincho" w:cs="Arial"/>
          <w:sz w:val="22"/>
        </w:rPr>
      </w:pPr>
      <w:r>
        <w:rPr>
          <w:rFonts w:eastAsia="MS Mincho" w:cs="Arial"/>
          <w:sz w:val="22"/>
        </w:rPr>
        <w:t xml:space="preserve">Risques d’introduction des espèces envahissantes </w:t>
      </w:r>
    </w:p>
    <w:p w14:paraId="7B236654" w14:textId="77777777" w:rsidR="001C2F95" w:rsidRDefault="001C2F95" w:rsidP="002378EA">
      <w:pPr>
        <w:widowControl w:val="0"/>
        <w:numPr>
          <w:ilvl w:val="0"/>
          <w:numId w:val="68"/>
        </w:numPr>
        <w:autoSpaceDE w:val="0"/>
        <w:autoSpaceDN w:val="0"/>
        <w:rPr>
          <w:rFonts w:eastAsia="MS Mincho" w:cs="Arial"/>
          <w:sz w:val="22"/>
        </w:rPr>
      </w:pPr>
      <w:r>
        <w:rPr>
          <w:rFonts w:eastAsia="MS Mincho" w:cs="Arial"/>
          <w:sz w:val="22"/>
        </w:rPr>
        <w:t>Risques de rejet des produits agricoles par les agro-distributeurs du fait du  non-respect de la qualité exigée par l’industrie de transformation</w:t>
      </w:r>
    </w:p>
    <w:p w14:paraId="1819ACF6" w14:textId="77777777" w:rsidR="001C2F95" w:rsidRPr="00296E4B" w:rsidRDefault="001C2F95" w:rsidP="002378EA">
      <w:pPr>
        <w:widowControl w:val="0"/>
        <w:numPr>
          <w:ilvl w:val="0"/>
          <w:numId w:val="68"/>
        </w:numPr>
        <w:autoSpaceDE w:val="0"/>
        <w:autoSpaceDN w:val="0"/>
        <w:rPr>
          <w:rFonts w:eastAsia="MS Mincho" w:cs="Arial"/>
          <w:sz w:val="22"/>
        </w:rPr>
      </w:pPr>
      <w:r>
        <w:rPr>
          <w:rFonts w:eastAsia="MS Mincho" w:cs="Arial"/>
          <w:sz w:val="22"/>
        </w:rPr>
        <w:t>Risque d’exclusion social des groupes vulnérables or marginalisées (les PA, handicapés, personnes âgées, jeunes, albinos des bénéfices du projet et possibilités du travail</w:t>
      </w:r>
      <w:r w:rsidR="00F97D7B">
        <w:rPr>
          <w:rFonts w:eastAsia="MS Mincho" w:cs="Arial"/>
          <w:sz w:val="22"/>
        </w:rPr>
        <w:t>.</w:t>
      </w:r>
    </w:p>
    <w:p w14:paraId="2C0D2A5E" w14:textId="77777777" w:rsidR="00B32A9C" w:rsidRDefault="00B32A9C" w:rsidP="001C2F95">
      <w:pPr>
        <w:spacing w:line="240" w:lineRule="auto"/>
      </w:pPr>
    </w:p>
    <w:p w14:paraId="101F1930" w14:textId="77777777" w:rsidR="001C2F95" w:rsidRPr="00296E4B" w:rsidRDefault="00B32A9C" w:rsidP="001C2F95">
      <w:pPr>
        <w:spacing w:line="240" w:lineRule="auto"/>
        <w:rPr>
          <w:rFonts w:cs="Arial"/>
          <w:sz w:val="22"/>
        </w:rPr>
      </w:pPr>
      <w:r w:rsidRPr="006B658C">
        <w:t>Risque et impacts liés à la réhabilitation des routes rurales et des corridors de transport prioritaires</w:t>
      </w:r>
      <w:r w:rsidR="00F97D7B">
        <w:t> :</w:t>
      </w:r>
    </w:p>
    <w:p w14:paraId="14161364" w14:textId="77777777" w:rsidR="001C2F95" w:rsidRPr="00296E4B" w:rsidRDefault="001C2F95" w:rsidP="002378EA">
      <w:pPr>
        <w:keepNext/>
        <w:numPr>
          <w:ilvl w:val="1"/>
          <w:numId w:val="65"/>
        </w:numPr>
        <w:tabs>
          <w:tab w:val="left" w:pos="720"/>
        </w:tabs>
        <w:spacing w:line="240" w:lineRule="auto"/>
        <w:outlineLvl w:val="2"/>
        <w:rPr>
          <w:rFonts w:cs="Arial"/>
          <w:vanish/>
          <w:sz w:val="22"/>
          <w:u w:val="single"/>
        </w:rPr>
      </w:pPr>
      <w:bookmarkStart w:id="61" w:name="_Toc64026099"/>
      <w:bookmarkStart w:id="62" w:name="_Toc64386617"/>
      <w:bookmarkStart w:id="63" w:name="_Toc70326719"/>
      <w:bookmarkStart w:id="64" w:name="_Toc70326951"/>
      <w:bookmarkStart w:id="65" w:name="_Toc70330314"/>
      <w:bookmarkEnd w:id="61"/>
      <w:bookmarkEnd w:id="62"/>
      <w:bookmarkEnd w:id="63"/>
      <w:bookmarkEnd w:id="64"/>
      <w:bookmarkEnd w:id="65"/>
    </w:p>
    <w:p w14:paraId="2DF2ABB6" w14:textId="77777777" w:rsidR="008512CA" w:rsidRPr="008512CA" w:rsidRDefault="008512CA" w:rsidP="008512CA"/>
    <w:p w14:paraId="51B22A6D"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 xml:space="preserve">Abattage d’arbres et perte de biodiversité sur l’axe du tracé et sur les sites d’emprunt de latérite ; </w:t>
      </w:r>
    </w:p>
    <w:p w14:paraId="3B12721D"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 xml:space="preserve">Empiètement sur la terre cultivable (pour les nouveaux tracés) ; </w:t>
      </w:r>
    </w:p>
    <w:p w14:paraId="4DB08632"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 xml:space="preserve">Obstruction des chemins de ruissellement ;  </w:t>
      </w:r>
    </w:p>
    <w:p w14:paraId="081906D5"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Pollution de l’air et nuisances (poussières, bruit) lors des travaux ;</w:t>
      </w:r>
    </w:p>
    <w:p w14:paraId="4327C49D"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Pollution du milieu (eaux et sols) par les déchets solides (déblais, démolition, huiles, de vidange, etc.) ;</w:t>
      </w:r>
    </w:p>
    <w:p w14:paraId="67AE8D74"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Risques d’accidents pour les ouvriers et les populations ;</w:t>
      </w:r>
    </w:p>
    <w:p w14:paraId="2E7593DA"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 xml:space="preserve">Déplacement involontaire des populations ou d’activités économiques ;  </w:t>
      </w:r>
    </w:p>
    <w:p w14:paraId="6FB5DD92"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Génération d’ordures lors des travaux de construction ;</w:t>
      </w:r>
    </w:p>
    <w:p w14:paraId="2F021FE7"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Dégradation du cadre de vie ;</w:t>
      </w:r>
    </w:p>
    <w:p w14:paraId="7F8EB01D"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Non utilisation de la main-d’œuvre locale ;</w:t>
      </w:r>
    </w:p>
    <w:p w14:paraId="20074884"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Risque des fortes pressions sur la faune par la présence de la main-d’œuvre locale ;</w:t>
      </w:r>
    </w:p>
    <w:p w14:paraId="5275ACB8"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Déboisement dû à l’ouverture et à l’exploitation des carrières ;</w:t>
      </w:r>
    </w:p>
    <w:p w14:paraId="076FF49A"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Risques de feux de brousse par le brûlage incontrôlé ;</w:t>
      </w:r>
    </w:p>
    <w:p w14:paraId="6D075EAE"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Sédimentation des cours d’eau ;</w:t>
      </w:r>
    </w:p>
    <w:p w14:paraId="4EC835E4"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 xml:space="preserve">Risque d’empiètement des aires protégées (Domaine de chasse de Mangai, Bushimae, Parc Marine de Mangrove et Parc National de Virunga ; </w:t>
      </w:r>
    </w:p>
    <w:p w14:paraId="71C84F41"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Risque d’empiètement des biens des peuples autochtones (PA) ;</w:t>
      </w:r>
    </w:p>
    <w:p w14:paraId="2C95723E"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Risque de prolifération du braconnage ;</w:t>
      </w:r>
    </w:p>
    <w:p w14:paraId="7C4C7149"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Pollution et perturbation de l’écoulement des cours d’eau, des bas-fonds et des rizières ;</w:t>
      </w:r>
    </w:p>
    <w:p w14:paraId="1BA309A3"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Pollution des eaux de surface et souterraines suite aux déversements accidentels des huiles usées et des hydrocarbures ;</w:t>
      </w:r>
    </w:p>
    <w:p w14:paraId="58B57F77" w14:textId="77777777" w:rsidR="008512CA"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Risque de l’érosion des sols ;</w:t>
      </w:r>
    </w:p>
    <w:p w14:paraId="45E7DC7C" w14:textId="77777777" w:rsidR="00141A53" w:rsidRPr="00F97D7B" w:rsidRDefault="00141A53" w:rsidP="002378EA">
      <w:pPr>
        <w:widowControl w:val="0"/>
        <w:numPr>
          <w:ilvl w:val="0"/>
          <w:numId w:val="68"/>
        </w:numPr>
        <w:autoSpaceDE w:val="0"/>
        <w:autoSpaceDN w:val="0"/>
        <w:rPr>
          <w:rFonts w:eastAsia="MS Mincho" w:cs="Arial"/>
          <w:sz w:val="22"/>
        </w:rPr>
      </w:pPr>
      <w:r>
        <w:rPr>
          <w:rFonts w:eastAsia="MS Mincho" w:cs="Arial"/>
          <w:sz w:val="22"/>
        </w:rPr>
        <w:t>Risque de la découverte fortuite :</w:t>
      </w:r>
    </w:p>
    <w:p w14:paraId="6B025C3B"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Possibilité de propagation du VIH/SIDA et des IST avec les échanges culturels entre la population riveraine et les travailleurs aux chantiers ;</w:t>
      </w:r>
    </w:p>
    <w:p w14:paraId="549945CF" w14:textId="77777777" w:rsidR="008512CA" w:rsidRPr="00F97D7B"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Risques d’exacerber les VBG, y compris l’EAS et le HS, suite aux travaux ;</w:t>
      </w:r>
    </w:p>
    <w:p w14:paraId="1717F224" w14:textId="77777777" w:rsidR="008512CA" w:rsidRDefault="008512CA" w:rsidP="002378EA">
      <w:pPr>
        <w:widowControl w:val="0"/>
        <w:numPr>
          <w:ilvl w:val="0"/>
          <w:numId w:val="68"/>
        </w:numPr>
        <w:autoSpaceDE w:val="0"/>
        <w:autoSpaceDN w:val="0"/>
        <w:rPr>
          <w:rFonts w:eastAsia="MS Mincho" w:cs="Arial"/>
          <w:sz w:val="22"/>
        </w:rPr>
      </w:pPr>
      <w:r w:rsidRPr="00F97D7B">
        <w:rPr>
          <w:rFonts w:eastAsia="MS Mincho" w:cs="Arial"/>
          <w:sz w:val="22"/>
        </w:rPr>
        <w:t>Risque de propagation de COVID-19 si les mesures barrières ou de pré</w:t>
      </w:r>
      <w:r w:rsidR="00141A53" w:rsidRPr="00141A53">
        <w:rPr>
          <w:rFonts w:eastAsia="MS Mincho" w:cs="Arial"/>
          <w:sz w:val="22"/>
        </w:rPr>
        <w:t>ventions ne sont pas respectées</w:t>
      </w:r>
      <w:r w:rsidR="00141A53">
        <w:rPr>
          <w:rFonts w:eastAsia="MS Mincho" w:cs="Arial"/>
          <w:sz w:val="22"/>
        </w:rPr>
        <w:t> </w:t>
      </w:r>
      <w:r w:rsidR="00141A53" w:rsidRPr="00141A53">
        <w:rPr>
          <w:rFonts w:eastAsia="MS Mincho" w:cs="Arial"/>
          <w:sz w:val="22"/>
        </w:rPr>
        <w:t>;</w:t>
      </w:r>
      <w:r w:rsidR="00141A53">
        <w:rPr>
          <w:rFonts w:eastAsia="MS Mincho" w:cs="Arial"/>
          <w:sz w:val="22"/>
        </w:rPr>
        <w:t xml:space="preserve"> et</w:t>
      </w:r>
    </w:p>
    <w:p w14:paraId="0CB0FDB0" w14:textId="77777777" w:rsidR="00141A53" w:rsidRPr="00F97D7B" w:rsidRDefault="00141A53" w:rsidP="002378EA">
      <w:pPr>
        <w:widowControl w:val="0"/>
        <w:numPr>
          <w:ilvl w:val="0"/>
          <w:numId w:val="68"/>
        </w:numPr>
        <w:autoSpaceDE w:val="0"/>
        <w:autoSpaceDN w:val="0"/>
        <w:rPr>
          <w:rFonts w:eastAsia="MS Mincho" w:cs="Arial"/>
          <w:sz w:val="22"/>
        </w:rPr>
      </w:pPr>
      <w:r>
        <w:rPr>
          <w:rFonts w:eastAsia="MS Mincho" w:cs="Arial"/>
          <w:sz w:val="22"/>
        </w:rPr>
        <w:t>Risque de propagation de virus Ebola.</w:t>
      </w:r>
    </w:p>
    <w:p w14:paraId="7D00FBA9" w14:textId="77777777" w:rsidR="008512CA" w:rsidRPr="00730A4A" w:rsidRDefault="008512CA" w:rsidP="001C2F95">
      <w:pPr>
        <w:spacing w:line="240" w:lineRule="auto"/>
        <w:rPr>
          <w:rFonts w:cs="Arial"/>
          <w:color w:val="000000"/>
          <w:sz w:val="22"/>
          <w:u w:val="single"/>
        </w:rPr>
      </w:pPr>
    </w:p>
    <w:p w14:paraId="29C38179" w14:textId="77777777" w:rsidR="001C2F95" w:rsidRPr="00730A4A" w:rsidRDefault="001C2F95" w:rsidP="001C2F95">
      <w:pPr>
        <w:spacing w:line="240" w:lineRule="auto"/>
        <w:rPr>
          <w:rFonts w:cs="Arial"/>
          <w:color w:val="000000"/>
          <w:sz w:val="22"/>
          <w:u w:val="single"/>
        </w:rPr>
      </w:pPr>
      <w:r w:rsidRPr="00730A4A">
        <w:rPr>
          <w:rFonts w:cs="Arial"/>
          <w:color w:val="000000"/>
          <w:sz w:val="22"/>
          <w:u w:val="single"/>
        </w:rPr>
        <w:lastRenderedPageBreak/>
        <w:t>Risques et Impacts négatifs potentiels des travaux de construction/réhabilitation des marchés communautaires et abattoirs</w:t>
      </w:r>
      <w:r w:rsidR="00BE528D" w:rsidRPr="00730A4A">
        <w:rPr>
          <w:rFonts w:cs="Arial"/>
          <w:color w:val="000000"/>
          <w:sz w:val="22"/>
          <w:u w:val="single"/>
        </w:rPr>
        <w:t> :</w:t>
      </w:r>
    </w:p>
    <w:p w14:paraId="4C4ADB31" w14:textId="77777777" w:rsidR="001C2F95" w:rsidRPr="00296E4B" w:rsidRDefault="001C2F95" w:rsidP="001C2F95">
      <w:pPr>
        <w:spacing w:line="240" w:lineRule="auto"/>
        <w:rPr>
          <w:rFonts w:cs="Arial"/>
          <w:b/>
          <w:sz w:val="22"/>
          <w:u w:val="single"/>
        </w:rPr>
      </w:pPr>
    </w:p>
    <w:p w14:paraId="6EC7D7A4"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Déplacement involontaire de populations ou d’activités économiques ; </w:t>
      </w:r>
    </w:p>
    <w:p w14:paraId="03A89D8D"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Génération d’ordures lors des travaux de construction et d’exploitation ;</w:t>
      </w:r>
    </w:p>
    <w:p w14:paraId="76B0DE25"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Altération du paysage dans l’emprise des travaux de construction des marchés communautaires ; </w:t>
      </w:r>
    </w:p>
    <w:p w14:paraId="7A472CEC"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 d’accidents corporels lors des travaux ;</w:t>
      </w:r>
    </w:p>
    <w:p w14:paraId="179340C3"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Non utilisation de la main-d’œuvre locale ;</w:t>
      </w:r>
    </w:p>
    <w:p w14:paraId="07284964"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Possibilité de propagation du VIH/SIDA et des IST avec les échanges culturels entre la population riveraine et les travailleurs aux chantiers ;</w:t>
      </w:r>
    </w:p>
    <w:p w14:paraId="2F943EEC" w14:textId="77777777" w:rsidR="001C2F95" w:rsidRPr="00296E4B" w:rsidRDefault="001C2F95" w:rsidP="002378EA">
      <w:pPr>
        <w:widowControl w:val="0"/>
        <w:numPr>
          <w:ilvl w:val="0"/>
          <w:numId w:val="68"/>
        </w:numPr>
        <w:autoSpaceDE w:val="0"/>
        <w:autoSpaceDN w:val="0"/>
        <w:rPr>
          <w:rFonts w:eastAsia="MS Mincho" w:cs="Arial"/>
          <w:sz w:val="22"/>
        </w:rPr>
      </w:pPr>
      <w:r>
        <w:rPr>
          <w:rFonts w:eastAsia="MS Mincho" w:cs="Arial"/>
          <w:sz w:val="22"/>
        </w:rPr>
        <w:t>Risque de VBG, y compris l’EAS et le HS, surtout suite à l’afflux de main d’œuvre pour les travaux ;</w:t>
      </w:r>
    </w:p>
    <w:p w14:paraId="653EA30C"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Risque de propagation de la COVID-19 si les mesures barrières ou de préventions ne sont pas respectées.</w:t>
      </w:r>
    </w:p>
    <w:p w14:paraId="2F01EFDB" w14:textId="77777777" w:rsidR="001C2F95" w:rsidRPr="00296E4B" w:rsidRDefault="001C2F95" w:rsidP="001C2F95">
      <w:pPr>
        <w:widowControl w:val="0"/>
        <w:autoSpaceDE w:val="0"/>
        <w:autoSpaceDN w:val="0"/>
        <w:ind w:left="720"/>
        <w:rPr>
          <w:rFonts w:eastAsia="MS Mincho" w:cs="Arial"/>
          <w:sz w:val="22"/>
        </w:rPr>
      </w:pPr>
    </w:p>
    <w:p w14:paraId="785B7EFE" w14:textId="77777777" w:rsidR="001C2F95" w:rsidRPr="00296E4B" w:rsidRDefault="001C2F95" w:rsidP="002378EA">
      <w:pPr>
        <w:numPr>
          <w:ilvl w:val="0"/>
          <w:numId w:val="66"/>
        </w:numPr>
        <w:tabs>
          <w:tab w:val="left" w:pos="426"/>
        </w:tabs>
        <w:contextualSpacing/>
        <w:rPr>
          <w:rFonts w:eastAsia="Calibri" w:cs="Arial"/>
          <w:i/>
          <w:sz w:val="22"/>
        </w:rPr>
      </w:pPr>
      <w:r w:rsidRPr="00296E4B">
        <w:rPr>
          <w:rFonts w:eastAsia="Calibri" w:cs="Arial"/>
          <w:i/>
          <w:sz w:val="22"/>
        </w:rPr>
        <w:t xml:space="preserve">Mesures de gestion environnementale et sociale </w:t>
      </w:r>
    </w:p>
    <w:p w14:paraId="6923DFB1" w14:textId="77777777" w:rsidR="001C2F95" w:rsidRPr="00296E4B" w:rsidRDefault="001C2F95" w:rsidP="001C2F95">
      <w:pPr>
        <w:rPr>
          <w:rFonts w:cs="Arial"/>
          <w:b/>
          <w:i/>
          <w:sz w:val="22"/>
        </w:rPr>
      </w:pPr>
    </w:p>
    <w:p w14:paraId="2049683D" w14:textId="77777777" w:rsidR="001C2F95" w:rsidRPr="00296E4B" w:rsidRDefault="001C2F95" w:rsidP="001C2F95">
      <w:pPr>
        <w:autoSpaceDE w:val="0"/>
        <w:autoSpaceDN w:val="0"/>
        <w:adjustRightInd w:val="0"/>
        <w:contextualSpacing/>
        <w:rPr>
          <w:rFonts w:cs="Arial"/>
          <w:sz w:val="22"/>
          <w:lang w:bidi="fr-FR"/>
        </w:rPr>
      </w:pPr>
      <w:r w:rsidRPr="00296E4B">
        <w:rPr>
          <w:rFonts w:cs="Arial"/>
          <w:sz w:val="22"/>
          <w:lang w:bidi="fr-FR"/>
        </w:rPr>
        <w:t>La gestion environnementale et sociale du PNDA inclut des mesures stratégiques et d’appui institutionnel et technique, de formation, et de sensibilisation pour renforcer les capacités des structures concernées, et qui sont déclinées ci-dessous :</w:t>
      </w:r>
    </w:p>
    <w:p w14:paraId="3B30A4F5" w14:textId="77777777" w:rsidR="001C2F95" w:rsidRPr="00296E4B" w:rsidRDefault="001C2F95" w:rsidP="001C2F95">
      <w:pPr>
        <w:autoSpaceDE w:val="0"/>
        <w:autoSpaceDN w:val="0"/>
        <w:adjustRightInd w:val="0"/>
        <w:spacing w:line="240" w:lineRule="auto"/>
        <w:contextualSpacing/>
        <w:rPr>
          <w:rFonts w:eastAsia="Calibri" w:cs="Arial"/>
          <w:sz w:val="22"/>
          <w:lang w:bidi="fr-FR"/>
        </w:rPr>
      </w:pPr>
    </w:p>
    <w:p w14:paraId="543518B4"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Préparation du Plan de Gestion de la Main-d’œuvre (PGMO) ;</w:t>
      </w:r>
    </w:p>
    <w:p w14:paraId="14019918"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Préparation du Plan de Mobilisation des Parties Prenantes (PMPP) ;</w:t>
      </w:r>
    </w:p>
    <w:p w14:paraId="1C5AF02F" w14:textId="77777777" w:rsidR="001C2F95"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Préparation des Plans d’Action de Réinstallation (PAR) ;</w:t>
      </w:r>
    </w:p>
    <w:p w14:paraId="67BCF2F8" w14:textId="77777777" w:rsidR="001C2F95" w:rsidRPr="00296E4B" w:rsidRDefault="001C2F95" w:rsidP="002378EA">
      <w:pPr>
        <w:widowControl w:val="0"/>
        <w:numPr>
          <w:ilvl w:val="0"/>
          <w:numId w:val="68"/>
        </w:numPr>
        <w:autoSpaceDE w:val="0"/>
        <w:autoSpaceDN w:val="0"/>
        <w:rPr>
          <w:rFonts w:eastAsia="MS Mincho" w:cs="Arial"/>
          <w:sz w:val="22"/>
        </w:rPr>
      </w:pPr>
      <w:r>
        <w:rPr>
          <w:rFonts w:eastAsia="MS Mincho" w:cs="Arial"/>
          <w:sz w:val="22"/>
        </w:rPr>
        <w:t>Préparation d’un Plan de Gestion de</w:t>
      </w:r>
      <w:r w:rsidR="00F86960">
        <w:rPr>
          <w:rFonts w:eastAsia="MS Mincho" w:cs="Arial"/>
          <w:sz w:val="22"/>
        </w:rPr>
        <w:t xml:space="preserve"> Gestion des </w:t>
      </w:r>
      <w:r w:rsidR="00BE528D">
        <w:rPr>
          <w:rFonts w:eastAsia="MS Mincho" w:cs="Arial"/>
          <w:sz w:val="22"/>
        </w:rPr>
        <w:t>P</w:t>
      </w:r>
      <w:r w:rsidR="00F86960">
        <w:rPr>
          <w:rFonts w:eastAsia="MS Mincho" w:cs="Arial"/>
          <w:sz w:val="22"/>
        </w:rPr>
        <w:t xml:space="preserve">estes et </w:t>
      </w:r>
      <w:r w:rsidR="00BE528D">
        <w:rPr>
          <w:rFonts w:eastAsia="MS Mincho" w:cs="Arial"/>
          <w:sz w:val="22"/>
        </w:rPr>
        <w:t>P</w:t>
      </w:r>
      <w:r w:rsidR="00F86960">
        <w:rPr>
          <w:rFonts w:eastAsia="MS Mincho" w:cs="Arial"/>
          <w:sz w:val="22"/>
        </w:rPr>
        <w:t>esticides (PGPP</w:t>
      </w:r>
      <w:r>
        <w:rPr>
          <w:rFonts w:eastAsia="MS Mincho" w:cs="Arial"/>
          <w:sz w:val="22"/>
        </w:rPr>
        <w:t>) ;</w:t>
      </w:r>
    </w:p>
    <w:p w14:paraId="56C20143"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Préparation d’un Plan d’Engagement Environnemental et Social (PEES) ;</w:t>
      </w:r>
    </w:p>
    <w:p w14:paraId="6BB75A21" w14:textId="02C89224"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Préparation d’un Plan d’action</w:t>
      </w:r>
      <w:r>
        <w:rPr>
          <w:rFonts w:eastAsia="MS Mincho" w:cs="Arial"/>
          <w:sz w:val="22"/>
        </w:rPr>
        <w:t xml:space="preserve"> de prévention et réponse à l’EAS/HS,</w:t>
      </w:r>
      <w:r w:rsidRPr="00296E4B">
        <w:rPr>
          <w:rFonts w:eastAsia="MS Mincho" w:cs="Arial"/>
          <w:sz w:val="22"/>
        </w:rPr>
        <w:t xml:space="preserve"> en tenant compte </w:t>
      </w:r>
      <w:r>
        <w:rPr>
          <w:rFonts w:eastAsia="MS Mincho" w:cs="Arial"/>
          <w:sz w:val="22"/>
        </w:rPr>
        <w:t>d</w:t>
      </w:r>
      <w:r w:rsidRPr="00296E4B">
        <w:rPr>
          <w:rFonts w:eastAsia="MS Mincho" w:cs="Arial"/>
          <w:sz w:val="22"/>
        </w:rPr>
        <w:t>es dispositifs de prévention (</w:t>
      </w:r>
      <w:r>
        <w:rPr>
          <w:rFonts w:eastAsia="MS Mincho" w:cs="Arial"/>
          <w:sz w:val="22"/>
        </w:rPr>
        <w:t>activités de changement de comportement</w:t>
      </w:r>
      <w:r w:rsidRPr="00296E4B">
        <w:rPr>
          <w:rFonts w:eastAsia="MS Mincho" w:cs="Arial"/>
          <w:sz w:val="22"/>
        </w:rPr>
        <w:t>), atténuation (</w:t>
      </w:r>
      <w:r>
        <w:rPr>
          <w:rFonts w:eastAsia="MS Mincho" w:cs="Arial"/>
          <w:sz w:val="22"/>
        </w:rPr>
        <w:t>mise en place du code de bonne conduite, des sensibilisations et consultations communautaires, ainsi que des formations du personnel et des travailleurs),</w:t>
      </w:r>
      <w:r w:rsidRPr="00296E4B">
        <w:rPr>
          <w:rFonts w:eastAsia="MS Mincho" w:cs="Arial"/>
          <w:sz w:val="22"/>
        </w:rPr>
        <w:t xml:space="preserve"> et réponse</w:t>
      </w:r>
      <w:r>
        <w:rPr>
          <w:rFonts w:eastAsia="MS Mincho" w:cs="Arial"/>
          <w:sz w:val="22"/>
        </w:rPr>
        <w:t xml:space="preserve"> </w:t>
      </w:r>
      <w:r w:rsidRPr="00296E4B">
        <w:rPr>
          <w:rFonts w:eastAsia="MS Mincho" w:cs="Arial"/>
          <w:sz w:val="22"/>
        </w:rPr>
        <w:t>(</w:t>
      </w:r>
      <w:r>
        <w:rPr>
          <w:rFonts w:eastAsia="MS Mincho" w:cs="Arial"/>
          <w:sz w:val="22"/>
        </w:rPr>
        <w:t>cartographie des services de prise en charge des survivant(e)s et mise en place d’un paquet minimum de services, ainsi qu’élaboration du MGP sensible à l’EAS/HS avec un protocole de réponse</w:t>
      </w:r>
      <w:r w:rsidRPr="00296E4B">
        <w:rPr>
          <w:rFonts w:eastAsia="MS Mincho" w:cs="Arial"/>
          <w:sz w:val="22"/>
        </w:rPr>
        <w:t>) </w:t>
      </w:r>
      <w:r w:rsidR="00803397">
        <w:rPr>
          <w:rFonts w:eastAsia="MS Mincho" w:cs="Arial"/>
          <w:sz w:val="22"/>
        </w:rPr>
        <w:t xml:space="preserve">(voir annexe 15 pour le plan </w:t>
      </w:r>
      <w:r w:rsidR="006B0CC2">
        <w:rPr>
          <w:rFonts w:eastAsia="MS Mincho" w:cs="Arial"/>
          <w:sz w:val="22"/>
        </w:rPr>
        <w:t>d’action)</w:t>
      </w:r>
      <w:r w:rsidRPr="00296E4B">
        <w:rPr>
          <w:rFonts w:eastAsia="MS Mincho" w:cs="Arial"/>
          <w:sz w:val="22"/>
        </w:rPr>
        <w:t>;</w:t>
      </w:r>
    </w:p>
    <w:p w14:paraId="74098850"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Préparer un Plan en faveur des Populations Autochtones (PPA) </w:t>
      </w:r>
      <w:r>
        <w:rPr>
          <w:rFonts w:eastAsia="MS Mincho" w:cs="Arial"/>
          <w:sz w:val="22"/>
        </w:rPr>
        <w:t>si nécessaire</w:t>
      </w:r>
      <w:r w:rsidRPr="00296E4B">
        <w:rPr>
          <w:rFonts w:eastAsia="MS Mincho" w:cs="Arial"/>
          <w:sz w:val="22"/>
        </w:rPr>
        <w:t>;</w:t>
      </w:r>
    </w:p>
    <w:p w14:paraId="2CBF6DA9"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Préparation d’un Plan de Gestion de Sécurité (PGS) distinct qui présente l’ensemble des procédures et protocoles liés à cet aspect dans le cadre du programme (le PGS fera une Évaluation des Risques liés à la Sécurité (ERS) et proposera des mesures d’atténuation) ;</w:t>
      </w:r>
    </w:p>
    <w:p w14:paraId="46DEA4F7"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Mettre en place un Mécanisme de Gestion des Plaintes </w:t>
      </w:r>
      <w:r>
        <w:rPr>
          <w:rFonts w:eastAsia="MS Mincho" w:cs="Arial"/>
          <w:sz w:val="22"/>
        </w:rPr>
        <w:t xml:space="preserve">global </w:t>
      </w:r>
      <w:r w:rsidRPr="00296E4B">
        <w:rPr>
          <w:rFonts w:eastAsia="MS Mincho" w:cs="Arial"/>
          <w:sz w:val="22"/>
        </w:rPr>
        <w:t>(MGP)</w:t>
      </w:r>
      <w:r>
        <w:rPr>
          <w:rFonts w:eastAsia="MS Mincho" w:cs="Arial"/>
          <w:sz w:val="22"/>
        </w:rPr>
        <w:t>, incluant des procédures spécifiques pour le traitement éthique et confidentiel des plaintes liées à l’EAS et au HS</w:t>
      </w:r>
      <w:r w:rsidRPr="00296E4B">
        <w:rPr>
          <w:rFonts w:eastAsia="MS Mincho" w:cs="Arial"/>
          <w:sz w:val="22"/>
        </w:rPr>
        <w:t xml:space="preserve"> ;</w:t>
      </w:r>
    </w:p>
    <w:p w14:paraId="666B76E3" w14:textId="77777777" w:rsidR="001C2F95" w:rsidRDefault="001C2F95" w:rsidP="002378EA">
      <w:pPr>
        <w:widowControl w:val="0"/>
        <w:numPr>
          <w:ilvl w:val="0"/>
          <w:numId w:val="68"/>
        </w:numPr>
        <w:autoSpaceDE w:val="0"/>
        <w:autoSpaceDN w:val="0"/>
        <w:rPr>
          <w:rFonts w:eastAsia="MS Mincho" w:cs="Arial"/>
          <w:sz w:val="22"/>
        </w:rPr>
      </w:pPr>
      <w:r>
        <w:rPr>
          <w:rFonts w:eastAsia="MS Mincho" w:cs="Arial"/>
          <w:sz w:val="22"/>
        </w:rPr>
        <w:t xml:space="preserve">Assurer que les intermédiaires financiers ont des </w:t>
      </w:r>
      <w:r w:rsidR="00BE528D">
        <w:rPr>
          <w:rFonts w:eastAsia="MS Mincho" w:cs="Arial"/>
          <w:sz w:val="22"/>
        </w:rPr>
        <w:t>S</w:t>
      </w:r>
      <w:r>
        <w:rPr>
          <w:rFonts w:eastAsia="MS Mincho" w:cs="Arial"/>
          <w:sz w:val="22"/>
        </w:rPr>
        <w:t xml:space="preserve">ystèmes de </w:t>
      </w:r>
      <w:r w:rsidR="00BE528D">
        <w:rPr>
          <w:rFonts w:eastAsia="MS Mincho" w:cs="Arial"/>
          <w:sz w:val="22"/>
        </w:rPr>
        <w:t>G</w:t>
      </w:r>
      <w:r>
        <w:rPr>
          <w:rFonts w:eastAsia="MS Mincho" w:cs="Arial"/>
          <w:sz w:val="22"/>
        </w:rPr>
        <w:t xml:space="preserve">estion </w:t>
      </w:r>
      <w:r w:rsidR="00BE528D">
        <w:rPr>
          <w:rFonts w:eastAsia="MS Mincho" w:cs="Arial"/>
          <w:sz w:val="22"/>
        </w:rPr>
        <w:t>E</w:t>
      </w:r>
      <w:r>
        <w:rPr>
          <w:rFonts w:eastAsia="MS Mincho" w:cs="Arial"/>
          <w:sz w:val="22"/>
        </w:rPr>
        <w:t>nvironnemental</w:t>
      </w:r>
      <w:r w:rsidR="00BE528D">
        <w:rPr>
          <w:rFonts w:eastAsia="MS Mincho" w:cs="Arial"/>
          <w:sz w:val="22"/>
        </w:rPr>
        <w:t xml:space="preserve">e </w:t>
      </w:r>
      <w:r>
        <w:rPr>
          <w:rFonts w:eastAsia="MS Mincho" w:cs="Arial"/>
          <w:sz w:val="22"/>
        </w:rPr>
        <w:t xml:space="preserve">et </w:t>
      </w:r>
      <w:r w:rsidR="00BE528D">
        <w:rPr>
          <w:rFonts w:eastAsia="MS Mincho" w:cs="Arial"/>
          <w:sz w:val="22"/>
        </w:rPr>
        <w:t>S</w:t>
      </w:r>
      <w:r>
        <w:rPr>
          <w:rFonts w:eastAsia="MS Mincho" w:cs="Arial"/>
          <w:sz w:val="22"/>
        </w:rPr>
        <w:t>ocial</w:t>
      </w:r>
      <w:r w:rsidR="00BE528D">
        <w:rPr>
          <w:rFonts w:eastAsia="MS Mincho" w:cs="Arial"/>
          <w:sz w:val="22"/>
        </w:rPr>
        <w:t xml:space="preserve">e </w:t>
      </w:r>
      <w:r>
        <w:rPr>
          <w:rFonts w:eastAsia="MS Mincho" w:cs="Arial"/>
          <w:sz w:val="22"/>
        </w:rPr>
        <w:t>(SGES) en place avant le commencement de l’octroi des crédits ;</w:t>
      </w:r>
    </w:p>
    <w:p w14:paraId="43BCD687"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Mettre en place un MGP </w:t>
      </w:r>
      <w:r>
        <w:rPr>
          <w:rFonts w:eastAsia="MS Mincho" w:cs="Arial"/>
          <w:sz w:val="22"/>
        </w:rPr>
        <w:t>lié</w:t>
      </w:r>
      <w:r w:rsidRPr="00296E4B">
        <w:rPr>
          <w:rFonts w:eastAsia="MS Mincho" w:cs="Arial"/>
          <w:sz w:val="22"/>
        </w:rPr>
        <w:t xml:space="preserve"> aux VBG</w:t>
      </w:r>
      <w:r>
        <w:rPr>
          <w:rFonts w:eastAsia="MS Mincho" w:cs="Arial"/>
          <w:sz w:val="22"/>
        </w:rPr>
        <w:t xml:space="preserve"> pour le traitement éthique et confidentiel des plaintes liées à EAS/HS </w:t>
      </w:r>
      <w:r w:rsidRPr="00296E4B">
        <w:rPr>
          <w:rFonts w:eastAsia="MS Mincho" w:cs="Arial"/>
          <w:sz w:val="22"/>
        </w:rPr>
        <w:t>;</w:t>
      </w:r>
    </w:p>
    <w:p w14:paraId="3E7EE0BF"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Prise en compte des prestataires de services et fournisseurs ;</w:t>
      </w:r>
    </w:p>
    <w:p w14:paraId="2480C1DA"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Préparation d’un Code de bonne conduite : individuel, du gestionnaire et de l’entreprise</w:t>
      </w:r>
      <w:r>
        <w:rPr>
          <w:rFonts w:eastAsia="MS Mincho" w:cs="Arial"/>
          <w:sz w:val="22"/>
        </w:rPr>
        <w:t>,</w:t>
      </w:r>
      <w:r w:rsidRPr="00296E4B">
        <w:rPr>
          <w:rFonts w:eastAsia="MS Mincho" w:cs="Arial"/>
          <w:sz w:val="22"/>
        </w:rPr>
        <w:t xml:space="preserve"> </w:t>
      </w:r>
      <w:r>
        <w:rPr>
          <w:rFonts w:eastAsia="MS Mincho" w:cs="Arial"/>
          <w:sz w:val="22"/>
        </w:rPr>
        <w:t>interdisant toute forme d’abus et exploitation sexuels, de harcèlement, ou de  violences, y compris les actes d’EAS/HS, et incluant</w:t>
      </w:r>
      <w:r w:rsidRPr="00296E4B">
        <w:rPr>
          <w:rFonts w:eastAsia="MS Mincho" w:cs="Arial"/>
          <w:sz w:val="22"/>
        </w:rPr>
        <w:t xml:space="preserve"> un langage explicite sur les comportements </w:t>
      </w:r>
      <w:r w:rsidRPr="00296E4B">
        <w:rPr>
          <w:rFonts w:eastAsia="MS Mincho" w:cs="Arial"/>
          <w:sz w:val="22"/>
        </w:rPr>
        <w:lastRenderedPageBreak/>
        <w:t>interdits, y compris l’interdiction de relations sexuelles avec le mineur</w:t>
      </w:r>
      <w:r w:rsidRPr="00296E4B">
        <w:rPr>
          <w:rFonts w:eastAsia="MS Mincho" w:cs="Arial"/>
          <w:sz w:val="22"/>
          <w:vertAlign w:val="superscript"/>
        </w:rPr>
        <w:footnoteReference w:id="3"/>
      </w:r>
      <w:r w:rsidRPr="00296E4B">
        <w:rPr>
          <w:rFonts w:eastAsia="MS Mincho" w:cs="Arial"/>
          <w:sz w:val="22"/>
        </w:rPr>
        <w:t>, les sanctions établies, et les notions clés sur les VBG, ainsi que les types et formes de VBG et la notion de consentement ;</w:t>
      </w:r>
    </w:p>
    <w:p w14:paraId="7A998017"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Interdiction des travaux des enfants sur le chantier et dans les installations associées ;</w:t>
      </w:r>
    </w:p>
    <w:p w14:paraId="6DD3DF86"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Méthodologie pour la préparation, l’approbation, et l’exécution et de suivi des sous-projets ;</w:t>
      </w:r>
    </w:p>
    <w:p w14:paraId="74330A8B"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Réduire au minimum le déboisement et la destruction de la végétation riveraine ;</w:t>
      </w:r>
    </w:p>
    <w:p w14:paraId="652861DE"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Établir et entretenir des zones tampons autour des zones reconnues comme habitats fauniques, afin de minimiser l’impact des activités du Projet sur ces zones et sur les animaux sauvages qu’elles abritent ;</w:t>
      </w:r>
    </w:p>
    <w:p w14:paraId="593F66BA"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Impliquer l’</w:t>
      </w:r>
      <w:r w:rsidR="00BE528D">
        <w:rPr>
          <w:rFonts w:eastAsia="MS Mincho" w:cs="Arial"/>
          <w:sz w:val="22"/>
        </w:rPr>
        <w:t>Institut Congolais pour la Conservation de la Nature (</w:t>
      </w:r>
      <w:r w:rsidRPr="00296E4B">
        <w:rPr>
          <w:rFonts w:eastAsia="MS Mincho" w:cs="Arial"/>
          <w:sz w:val="22"/>
        </w:rPr>
        <w:t>ICCN</w:t>
      </w:r>
      <w:r w:rsidR="00BE528D">
        <w:rPr>
          <w:rFonts w:eastAsia="MS Mincho" w:cs="Arial"/>
          <w:sz w:val="22"/>
        </w:rPr>
        <w:t>)</w:t>
      </w:r>
      <w:r w:rsidRPr="00296E4B">
        <w:rPr>
          <w:rFonts w:eastAsia="MS Mincho" w:cs="Arial"/>
          <w:sz w:val="22"/>
        </w:rPr>
        <w:t xml:space="preserve"> avant d’entreprendre toute activité du Projet dans les zones tampons ou à l’intérieur des aires protégées ;</w:t>
      </w:r>
    </w:p>
    <w:p w14:paraId="7054C8AE" w14:textId="77777777" w:rsidR="001C2F95"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Interdire la réalisation des activités dans les parcs et aires protégées ;</w:t>
      </w:r>
    </w:p>
    <w:p w14:paraId="7FA3B69D" w14:textId="77777777" w:rsidR="001C2F95" w:rsidRPr="00296E4B" w:rsidRDefault="001C2F95" w:rsidP="002378EA">
      <w:pPr>
        <w:widowControl w:val="0"/>
        <w:numPr>
          <w:ilvl w:val="0"/>
          <w:numId w:val="68"/>
        </w:numPr>
        <w:autoSpaceDE w:val="0"/>
        <w:autoSpaceDN w:val="0"/>
        <w:rPr>
          <w:rFonts w:eastAsia="MS Mincho" w:cs="Arial"/>
          <w:sz w:val="22"/>
        </w:rPr>
      </w:pPr>
      <w:r>
        <w:rPr>
          <w:rFonts w:eastAsia="MS Mincho" w:cs="Arial"/>
          <w:sz w:val="22"/>
        </w:rPr>
        <w:t>Réaliser un examen préalable de la capacité portante des ponts et ponceaux, et l’afficher avant utilisation pour les travaux et/ou évacuation des produits agricoles ;</w:t>
      </w:r>
    </w:p>
    <w:p w14:paraId="46A1AB88"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Remettre en état les terrains perturbés par la construction, par l’enlèvement, le stockage et la remise en place de la couche arable pour faciliter la reconstitution des habitats fauniques ;</w:t>
      </w:r>
    </w:p>
    <w:p w14:paraId="433E5C0B"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Éviter d’obstruer les zones commerciales ou prendre les dispositions nécessaires pour en assurer un accès et une utilisation sécuritaire pendant et après les travaux, surtout lorsqu’il s’agit des travaux de réhabilitation des marchés villageois ;</w:t>
      </w:r>
    </w:p>
    <w:p w14:paraId="4A5DF174"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Compenser (réinstaller) prioritairement tous les actifs susceptibles d’être par le Projet, avant le démarrage des travaux ;</w:t>
      </w:r>
    </w:p>
    <w:p w14:paraId="1104D8B8"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Renforcement institutionnel du Comité technique de préparation du PNDA ;</w:t>
      </w:r>
    </w:p>
    <w:p w14:paraId="01FABBB3"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Renforcement de l’expertise environnementale et sociale de l’U</w:t>
      </w:r>
      <w:r w:rsidR="00BE528D">
        <w:rPr>
          <w:rFonts w:eastAsia="MS Mincho" w:cs="Arial"/>
          <w:sz w:val="22"/>
        </w:rPr>
        <w:t>nité Nationale de Coordination de Projet (UNC</w:t>
      </w:r>
      <w:r w:rsidRPr="00296E4B">
        <w:rPr>
          <w:rFonts w:eastAsia="MS Mincho" w:cs="Arial"/>
          <w:sz w:val="22"/>
        </w:rPr>
        <w:t>P</w:t>
      </w:r>
      <w:r w:rsidR="00BE528D">
        <w:rPr>
          <w:rFonts w:eastAsia="MS Mincho" w:cs="Arial"/>
          <w:sz w:val="22"/>
        </w:rPr>
        <w:t>)</w:t>
      </w:r>
      <w:r w:rsidRPr="00296E4B">
        <w:rPr>
          <w:rFonts w:eastAsia="MS Mincho" w:cs="Arial"/>
          <w:sz w:val="22"/>
        </w:rPr>
        <w:t> ;</w:t>
      </w:r>
    </w:p>
    <w:p w14:paraId="0AFF85FE"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Renforcement des capacités des Services Techniques de l’État du secteur ;</w:t>
      </w:r>
    </w:p>
    <w:p w14:paraId="07C40B17"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Formation des acteurs</w:t>
      </w:r>
      <w:r>
        <w:rPr>
          <w:rFonts w:eastAsia="MS Mincho" w:cs="Arial"/>
          <w:sz w:val="22"/>
        </w:rPr>
        <w:t xml:space="preserve"> </w:t>
      </w:r>
      <w:r w:rsidRPr="00296E4B">
        <w:rPr>
          <w:rFonts w:eastAsia="MS Mincho" w:cs="Arial"/>
          <w:sz w:val="22"/>
        </w:rPr>
        <w:t>impliqués dans la mise en œuvre du PNDA, aussi sur la notion de</w:t>
      </w:r>
      <w:r>
        <w:rPr>
          <w:rFonts w:eastAsia="MS Mincho" w:cs="Arial"/>
          <w:sz w:val="22"/>
        </w:rPr>
        <w:t>s</w:t>
      </w:r>
      <w:r w:rsidRPr="00296E4B">
        <w:rPr>
          <w:rFonts w:eastAsia="MS Mincho" w:cs="Arial"/>
          <w:sz w:val="22"/>
        </w:rPr>
        <w:t xml:space="preserve"> VBG</w:t>
      </w:r>
      <w:r>
        <w:rPr>
          <w:rFonts w:eastAsia="MS Mincho" w:cs="Arial"/>
          <w:sz w:val="22"/>
        </w:rPr>
        <w:t>, y compris l’EAS et le HS,</w:t>
      </w:r>
      <w:r w:rsidRPr="00296E4B">
        <w:rPr>
          <w:rFonts w:eastAsia="MS Mincho" w:cs="Arial"/>
          <w:sz w:val="22"/>
        </w:rPr>
        <w:t xml:space="preserve"> et comme le Projet peut les exacerber, la responsabilité de différents acteurs, le MGP sensible</w:t>
      </w:r>
      <w:r>
        <w:rPr>
          <w:rFonts w:eastAsia="MS Mincho" w:cs="Arial"/>
          <w:sz w:val="22"/>
        </w:rPr>
        <w:t xml:space="preserve"> à l’EAS/HS</w:t>
      </w:r>
      <w:r w:rsidRPr="00296E4B">
        <w:rPr>
          <w:rFonts w:eastAsia="MS Mincho" w:cs="Arial"/>
          <w:sz w:val="22"/>
        </w:rPr>
        <w:t>, ainsi que les services de prise en charge pour les survivant</w:t>
      </w:r>
      <w:r>
        <w:rPr>
          <w:rFonts w:eastAsia="MS Mincho" w:cs="Arial"/>
          <w:sz w:val="22"/>
        </w:rPr>
        <w:t>(e)</w:t>
      </w:r>
      <w:r w:rsidRPr="00296E4B">
        <w:rPr>
          <w:rFonts w:eastAsia="MS Mincho" w:cs="Arial"/>
          <w:sz w:val="22"/>
        </w:rPr>
        <w:t>s ;</w:t>
      </w:r>
    </w:p>
    <w:p w14:paraId="06EA231A"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Programmes de sensibilisation et de mobilisation des populations et au niveau communal (intégrant les thèmes sur le</w:t>
      </w:r>
      <w:r>
        <w:rPr>
          <w:rFonts w:eastAsia="MS Mincho" w:cs="Arial"/>
          <w:sz w:val="22"/>
        </w:rPr>
        <w:t>s</w:t>
      </w:r>
      <w:r w:rsidRPr="00296E4B">
        <w:rPr>
          <w:rFonts w:eastAsia="MS Mincho" w:cs="Arial"/>
          <w:sz w:val="22"/>
        </w:rPr>
        <w:t xml:space="preserve"> VBG</w:t>
      </w:r>
      <w:r>
        <w:rPr>
          <w:rFonts w:eastAsia="MS Mincho" w:cs="Arial"/>
          <w:sz w:val="22"/>
        </w:rPr>
        <w:t>, y compris l’EAS et le HS</w:t>
      </w:r>
      <w:r w:rsidRPr="00296E4B">
        <w:rPr>
          <w:rFonts w:eastAsia="MS Mincho" w:cs="Arial"/>
          <w:sz w:val="22"/>
        </w:rPr>
        <w:t xml:space="preserve">, Code de bonne conduite, MGP sensible aux </w:t>
      </w:r>
      <w:r>
        <w:rPr>
          <w:rFonts w:eastAsia="MS Mincho" w:cs="Arial"/>
          <w:sz w:val="22"/>
        </w:rPr>
        <w:t>plaintes d’</w:t>
      </w:r>
      <w:r w:rsidRPr="00296E4B">
        <w:rPr>
          <w:rFonts w:eastAsia="MS Mincho" w:cs="Arial"/>
          <w:sz w:val="22"/>
        </w:rPr>
        <w:t>EAS/HS, etc</w:t>
      </w:r>
      <w:r>
        <w:rPr>
          <w:rFonts w:eastAsia="MS Mincho" w:cs="Arial"/>
          <w:sz w:val="22"/>
        </w:rPr>
        <w:t>.</w:t>
      </w:r>
      <w:r w:rsidRPr="00296E4B">
        <w:rPr>
          <w:rFonts w:eastAsia="MS Mincho" w:cs="Arial"/>
          <w:sz w:val="22"/>
        </w:rPr>
        <w:t>) ;</w:t>
      </w:r>
    </w:p>
    <w:p w14:paraId="5F51580A"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Programme de sensibilisation et de formation environnementale et sociale des entreprises des travaux et des bureaux de contrôle ;</w:t>
      </w:r>
    </w:p>
    <w:p w14:paraId="4EAB6864"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Mettre en place un plan de prévention contre la COVID-19 ;</w:t>
      </w:r>
    </w:p>
    <w:p w14:paraId="20D09D0C"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Établissement et contrôle des modalités et mesures de gestion des griefs ;</w:t>
      </w:r>
    </w:p>
    <w:p w14:paraId="7E258B3B"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Coordination des activités multisectorielles intégrant les </w:t>
      </w:r>
      <w:r>
        <w:rPr>
          <w:rFonts w:eastAsia="MS Mincho" w:cs="Arial"/>
          <w:sz w:val="22"/>
        </w:rPr>
        <w:t xml:space="preserve">aspects de prévention et réponse aux </w:t>
      </w:r>
      <w:r w:rsidRPr="00296E4B">
        <w:rPr>
          <w:rFonts w:eastAsia="MS Mincho" w:cs="Arial"/>
          <w:sz w:val="22"/>
        </w:rPr>
        <w:t>VBG</w:t>
      </w:r>
      <w:r>
        <w:rPr>
          <w:rFonts w:eastAsia="MS Mincho" w:cs="Arial"/>
          <w:sz w:val="22"/>
        </w:rPr>
        <w:t>, EAS, et HS</w:t>
      </w:r>
      <w:r w:rsidRPr="00296E4B">
        <w:rPr>
          <w:rFonts w:eastAsia="MS Mincho" w:cs="Arial"/>
          <w:sz w:val="22"/>
        </w:rPr>
        <w:t> ;</w:t>
      </w:r>
    </w:p>
    <w:p w14:paraId="015B4748"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Non</w:t>
      </w:r>
      <w:r>
        <w:rPr>
          <w:rFonts w:eastAsia="MS Mincho" w:cs="Arial"/>
          <w:sz w:val="22"/>
        </w:rPr>
        <w:t>-</w:t>
      </w:r>
      <w:r w:rsidRPr="00296E4B">
        <w:rPr>
          <w:rFonts w:eastAsia="MS Mincho" w:cs="Arial"/>
          <w:sz w:val="22"/>
        </w:rPr>
        <w:t>discrimination à l’égard des femmes pendant le recrutement du personnel et le respect du quota de 30 % des femmes recrutées dans la mise en œuvre du Projet</w:t>
      </w:r>
      <w:r>
        <w:rPr>
          <w:rFonts w:eastAsia="MS Mincho" w:cs="Arial"/>
          <w:sz w:val="22"/>
        </w:rPr>
        <w:t>, y compris la considération des femmes pour des rôles non-traditionnels et des postes de supervision</w:t>
      </w:r>
      <w:r w:rsidRPr="00296E4B">
        <w:rPr>
          <w:rFonts w:eastAsia="MS Mincho" w:cs="Arial"/>
          <w:sz w:val="22"/>
        </w:rPr>
        <w:t> ;</w:t>
      </w:r>
    </w:p>
    <w:p w14:paraId="25CA378D"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Respect strict de la réglementation nationale au sujet du travail des enfants de la part </w:t>
      </w:r>
      <w:r w:rsidRPr="00296E4B">
        <w:rPr>
          <w:rFonts w:eastAsia="MS Mincho" w:cs="Arial"/>
          <w:sz w:val="22"/>
        </w:rPr>
        <w:lastRenderedPageBreak/>
        <w:t>des entreprises des travaux : Interdiction de faire travailler des personnes de moins de 18 ans ;</w:t>
      </w:r>
    </w:p>
    <w:p w14:paraId="59C1DE02"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Mise en œuvre des procédures de découvertes fortuites en cas d’affectation des biens culturels</w:t>
      </w:r>
      <w:r>
        <w:rPr>
          <w:rFonts w:eastAsia="MS Mincho" w:cs="Arial"/>
          <w:sz w:val="22"/>
        </w:rPr>
        <w:t>, et des minutions non explos</w:t>
      </w:r>
      <w:r w:rsidRPr="00296E4B">
        <w:rPr>
          <w:rFonts w:eastAsia="MS Mincho" w:cs="Arial"/>
          <w:sz w:val="22"/>
        </w:rPr>
        <w:t>é</w:t>
      </w:r>
      <w:r>
        <w:rPr>
          <w:rFonts w:eastAsia="MS Mincho" w:cs="Arial"/>
          <w:sz w:val="22"/>
        </w:rPr>
        <w:t>es</w:t>
      </w:r>
      <w:r w:rsidRPr="00296E4B">
        <w:rPr>
          <w:rFonts w:eastAsia="MS Mincho" w:cs="Arial"/>
          <w:sz w:val="22"/>
        </w:rPr>
        <w:t>.</w:t>
      </w:r>
    </w:p>
    <w:p w14:paraId="7D6EEA7F" w14:textId="77777777" w:rsidR="001C2F95" w:rsidRPr="00296E4B" w:rsidRDefault="001C2F95" w:rsidP="001C2F95">
      <w:pPr>
        <w:spacing w:line="240" w:lineRule="auto"/>
        <w:rPr>
          <w:rFonts w:cs="Arial"/>
          <w:sz w:val="22"/>
        </w:rPr>
      </w:pPr>
    </w:p>
    <w:p w14:paraId="232704B9" w14:textId="77777777" w:rsidR="001C2F95" w:rsidRPr="00296E4B" w:rsidRDefault="001C2F95" w:rsidP="001C2F95">
      <w:pPr>
        <w:rPr>
          <w:rFonts w:cs="Arial"/>
          <w:sz w:val="22"/>
        </w:rPr>
      </w:pPr>
      <w:r w:rsidRPr="00296E4B">
        <w:rPr>
          <w:rFonts w:cs="Arial"/>
          <w:sz w:val="22"/>
        </w:rPr>
        <w:t>Ces mesures sont contenues dans le</w:t>
      </w:r>
      <w:r w:rsidR="006B658C">
        <w:rPr>
          <w:rFonts w:cs="Arial"/>
          <w:sz w:val="22"/>
        </w:rPr>
        <w:t xml:space="preserve">s Procédures de Gestion des Risques et Impacts Environnementaux et Sociaux (PGRIES) </w:t>
      </w:r>
      <w:r w:rsidRPr="00296E4B">
        <w:rPr>
          <w:rFonts w:cs="Arial"/>
          <w:sz w:val="22"/>
        </w:rPr>
        <w:t>qui sera inclus dans le Manuel d’exécution du Projet.</w:t>
      </w:r>
    </w:p>
    <w:p w14:paraId="2AECE6FA" w14:textId="77777777" w:rsidR="001C2F95" w:rsidRPr="00296E4B" w:rsidRDefault="001C2F95" w:rsidP="001C2F95">
      <w:pPr>
        <w:rPr>
          <w:rFonts w:cs="Arial"/>
          <w:bCs/>
          <w:sz w:val="22"/>
        </w:rPr>
      </w:pPr>
    </w:p>
    <w:p w14:paraId="5D65E062" w14:textId="77777777" w:rsidR="001C2F95" w:rsidRPr="00296E4B" w:rsidRDefault="001C2F95" w:rsidP="001C2F95">
      <w:pPr>
        <w:ind w:firstLine="284"/>
        <w:rPr>
          <w:rFonts w:cs="Arial"/>
          <w:i/>
          <w:sz w:val="22"/>
          <w:u w:val="single"/>
          <w:lang w:bidi="fr-FR"/>
        </w:rPr>
      </w:pPr>
      <w:r w:rsidRPr="00296E4B">
        <w:rPr>
          <w:rFonts w:cs="Arial"/>
          <w:i/>
          <w:sz w:val="22"/>
          <w:u w:val="single"/>
          <w:lang w:bidi="fr-FR"/>
        </w:rPr>
        <w:t>5.1. Procédure de gestion environnementale et sociale des sous-projets éligibles</w:t>
      </w:r>
    </w:p>
    <w:p w14:paraId="285DE818" w14:textId="77777777" w:rsidR="001C2F95" w:rsidRPr="00296E4B" w:rsidRDefault="001C2F95" w:rsidP="001C2F95">
      <w:pPr>
        <w:rPr>
          <w:rFonts w:cs="Arial"/>
          <w:sz w:val="22"/>
        </w:rPr>
      </w:pPr>
    </w:p>
    <w:p w14:paraId="359DA80D" w14:textId="77777777" w:rsidR="001C2F95" w:rsidRPr="00296E4B" w:rsidRDefault="001C2F95" w:rsidP="001C2F95">
      <w:pPr>
        <w:rPr>
          <w:rFonts w:eastAsia="Calibri" w:cs="Arial"/>
          <w:bCs/>
          <w:sz w:val="22"/>
        </w:rPr>
      </w:pPr>
      <w:r w:rsidRPr="00296E4B">
        <w:rPr>
          <w:rFonts w:eastAsia="Calibri" w:cs="Arial"/>
          <w:bCs/>
          <w:sz w:val="22"/>
        </w:rPr>
        <w:t xml:space="preserve">Le CGES inclut une procédure de sélection environnementale et sociale des activités à réaliser dans le cadre du </w:t>
      </w:r>
      <w:r w:rsidRPr="00296E4B">
        <w:rPr>
          <w:rFonts w:cs="Arial"/>
          <w:bCs/>
          <w:sz w:val="22"/>
        </w:rPr>
        <w:t>financement du PNDA</w:t>
      </w:r>
      <w:r w:rsidRPr="00296E4B">
        <w:rPr>
          <w:rFonts w:eastAsia="Calibri" w:cs="Arial"/>
          <w:bCs/>
          <w:sz w:val="22"/>
        </w:rPr>
        <w:t xml:space="preserve">, qui oriente les interventions futures en termes de prise en compte des exigences environnementales et sociales nationales et celle des politiques de sauvegarde de la Banque </w:t>
      </w:r>
      <w:r>
        <w:rPr>
          <w:rFonts w:eastAsia="Calibri" w:cs="Arial"/>
          <w:bCs/>
          <w:sz w:val="22"/>
        </w:rPr>
        <w:t>m</w:t>
      </w:r>
      <w:r w:rsidRPr="00296E4B">
        <w:rPr>
          <w:rFonts w:eastAsia="Calibri" w:cs="Arial"/>
          <w:bCs/>
          <w:sz w:val="22"/>
        </w:rPr>
        <w:t>ondiale. Les étapes sont les suivantes :</w:t>
      </w:r>
    </w:p>
    <w:p w14:paraId="7C44D190" w14:textId="77777777" w:rsidR="001C2F95" w:rsidRPr="00296E4B" w:rsidRDefault="001C2F95" w:rsidP="001C2F95">
      <w:pPr>
        <w:rPr>
          <w:rFonts w:eastAsia="Calibri" w:cs="Arial"/>
          <w:bCs/>
          <w:sz w:val="22"/>
          <w:u w:val="single"/>
        </w:rPr>
      </w:pPr>
    </w:p>
    <w:p w14:paraId="77286F28" w14:textId="77777777" w:rsidR="001C2F95" w:rsidRPr="00296E4B" w:rsidRDefault="001C2F95" w:rsidP="001C2F95">
      <w:pPr>
        <w:rPr>
          <w:rFonts w:eastAsia="Calibri" w:cs="Arial"/>
          <w:bCs/>
          <w:sz w:val="22"/>
          <w:u w:val="single"/>
        </w:rPr>
      </w:pPr>
      <w:r w:rsidRPr="00296E4B">
        <w:rPr>
          <w:rFonts w:eastAsia="Calibri" w:cs="Arial"/>
          <w:bCs/>
          <w:sz w:val="22"/>
          <w:u w:val="single"/>
        </w:rPr>
        <w:t>Sélection des sous-projets</w:t>
      </w:r>
    </w:p>
    <w:p w14:paraId="653D3675" w14:textId="77777777" w:rsidR="001C2F95" w:rsidRPr="00296E4B" w:rsidRDefault="001C2F95" w:rsidP="001C2F95">
      <w:pPr>
        <w:rPr>
          <w:rFonts w:eastAsia="Calibri" w:cs="Arial"/>
          <w:bCs/>
          <w:sz w:val="22"/>
          <w:u w:val="single"/>
        </w:rPr>
      </w:pPr>
    </w:p>
    <w:p w14:paraId="785F1A1D"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Identification de la localisation/site et principales caractéristiques techniques du sous-projet ;</w:t>
      </w:r>
    </w:p>
    <w:p w14:paraId="7379D526"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Sélection environnementale et sociale (Screening-remplissage des formulaires), et détermination du niveau de risque environnemental et social, ainsi que du type d’instrument de gestion des risques et impacts spécifique à préparer ;</w:t>
      </w:r>
    </w:p>
    <w:p w14:paraId="23F31482"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Approbation de la classification.</w:t>
      </w:r>
    </w:p>
    <w:p w14:paraId="3F6682E3" w14:textId="77777777" w:rsidR="001C2F95" w:rsidRDefault="001C2F95" w:rsidP="001C2F95">
      <w:pPr>
        <w:rPr>
          <w:rFonts w:cs="Arial"/>
          <w:sz w:val="22"/>
          <w:u w:val="single"/>
        </w:rPr>
      </w:pPr>
    </w:p>
    <w:p w14:paraId="5AB81920" w14:textId="77777777" w:rsidR="001C2F95" w:rsidRPr="00296E4B" w:rsidRDefault="001C2F95" w:rsidP="001C2F95">
      <w:pPr>
        <w:rPr>
          <w:rFonts w:cs="Arial"/>
          <w:sz w:val="22"/>
          <w:u w:val="single"/>
        </w:rPr>
      </w:pPr>
      <w:r>
        <w:rPr>
          <w:rFonts w:cs="Arial"/>
          <w:sz w:val="22"/>
          <w:u w:val="single"/>
        </w:rPr>
        <w:t>Processus de p</w:t>
      </w:r>
      <w:r w:rsidRPr="00296E4B">
        <w:rPr>
          <w:rFonts w:cs="Arial"/>
          <w:sz w:val="22"/>
          <w:u w:val="single"/>
        </w:rPr>
        <w:t>réparation de</w:t>
      </w:r>
      <w:r>
        <w:rPr>
          <w:rFonts w:cs="Arial"/>
          <w:sz w:val="22"/>
          <w:u w:val="single"/>
        </w:rPr>
        <w:t xml:space="preserve">s </w:t>
      </w:r>
      <w:r w:rsidRPr="00296E4B">
        <w:rPr>
          <w:rFonts w:cs="Arial"/>
          <w:sz w:val="22"/>
          <w:u w:val="single"/>
        </w:rPr>
        <w:t>instrument</w:t>
      </w:r>
      <w:r>
        <w:rPr>
          <w:rFonts w:cs="Arial"/>
          <w:sz w:val="22"/>
          <w:u w:val="single"/>
        </w:rPr>
        <w:t>s</w:t>
      </w:r>
      <w:r w:rsidRPr="00296E4B">
        <w:rPr>
          <w:rFonts w:cs="Arial"/>
          <w:sz w:val="22"/>
          <w:u w:val="single"/>
        </w:rPr>
        <w:t xml:space="preserve"> spécifique</w:t>
      </w:r>
      <w:r>
        <w:rPr>
          <w:rFonts w:cs="Arial"/>
          <w:sz w:val="22"/>
          <w:u w:val="single"/>
        </w:rPr>
        <w:t>s</w:t>
      </w:r>
      <w:r w:rsidRPr="00296E4B">
        <w:rPr>
          <w:rFonts w:cs="Arial"/>
          <w:sz w:val="22"/>
          <w:u w:val="single"/>
        </w:rPr>
        <w:t xml:space="preserve"> </w:t>
      </w:r>
      <w:r>
        <w:rPr>
          <w:rFonts w:cs="Arial"/>
          <w:sz w:val="22"/>
          <w:u w:val="single"/>
        </w:rPr>
        <w:t xml:space="preserve">(EIES/PGES) </w:t>
      </w:r>
      <w:r w:rsidRPr="00296E4B">
        <w:rPr>
          <w:rFonts w:cs="Arial"/>
          <w:sz w:val="22"/>
          <w:u w:val="single"/>
        </w:rPr>
        <w:t xml:space="preserve">de gestion des risques environnementaux et sociaux des sous-projets </w:t>
      </w:r>
    </w:p>
    <w:p w14:paraId="63A8D895" w14:textId="77777777" w:rsidR="001C2F95" w:rsidRPr="00296E4B" w:rsidRDefault="001C2F95" w:rsidP="001C2F95">
      <w:pPr>
        <w:rPr>
          <w:rFonts w:cs="Arial"/>
          <w:sz w:val="22"/>
          <w:u w:val="single"/>
        </w:rPr>
      </w:pPr>
    </w:p>
    <w:p w14:paraId="5F89C4E9"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Préparation et approbation des Termes de référence ;</w:t>
      </w:r>
    </w:p>
    <w:p w14:paraId="4354175B"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Réalisation de l’étude y compris la consultation du publique (bénéficiaires, personnes affectées, parties prenantes) ;</w:t>
      </w:r>
    </w:p>
    <w:p w14:paraId="0C10C971"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Validation du document et obtention du certificat environnemental ;</w:t>
      </w:r>
    </w:p>
    <w:p w14:paraId="7B0C9D2F"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Publication du document ;</w:t>
      </w:r>
    </w:p>
    <w:p w14:paraId="2DF70990"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Intégration dans le dossier d’appel d’offres (DAO) du sous-projet, de toutes les mesures environnementales et sociales de la phase des travaux pouvant être contractées avec l’Entreprise ; </w:t>
      </w:r>
    </w:p>
    <w:p w14:paraId="7936ABF5"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Approbation du PGES-Entreprise par le Mission de Contrôle ; </w:t>
      </w:r>
    </w:p>
    <w:p w14:paraId="416FBD41"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Exécution/Mise en œuvre des mesures non contractées avec l’entreprise de construction ;</w:t>
      </w:r>
    </w:p>
    <w:p w14:paraId="76BC4C23"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Surveillance interne et externe de la mise en œuvre des mesures environnementales et sociales ;</w:t>
      </w:r>
    </w:p>
    <w:p w14:paraId="30C1DFA4"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Diffusion du rapport de surveillance (interne et externe) ;</w:t>
      </w:r>
    </w:p>
    <w:p w14:paraId="18AD530C"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Suivi environnemental et social (interne et externe) ;</w:t>
      </w:r>
    </w:p>
    <w:p w14:paraId="4C57BD3D"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Diffusion du rapport de suivi (interne et externe) ;</w:t>
      </w:r>
    </w:p>
    <w:p w14:paraId="5D03AABF"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Renforcement des capacités des acteurs dans la mise en œuvre de Plan de gestion environnementale et sociale ;</w:t>
      </w:r>
    </w:p>
    <w:p w14:paraId="70BA3634" w14:textId="77777777" w:rsidR="001C2F95"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Audit de mise en œuvre des mesures environnementales et sociales.</w:t>
      </w:r>
    </w:p>
    <w:p w14:paraId="32BE5A68" w14:textId="77777777" w:rsidR="002520BC" w:rsidRPr="00296E4B" w:rsidRDefault="002520BC" w:rsidP="002520BC">
      <w:pPr>
        <w:widowControl w:val="0"/>
        <w:autoSpaceDE w:val="0"/>
        <w:autoSpaceDN w:val="0"/>
        <w:ind w:left="720"/>
        <w:rPr>
          <w:rFonts w:eastAsia="MS Mincho" w:cs="Arial"/>
          <w:sz w:val="22"/>
        </w:rPr>
      </w:pPr>
    </w:p>
    <w:p w14:paraId="4B9F28D0" w14:textId="77777777" w:rsidR="001C2F95" w:rsidRPr="00296E4B" w:rsidRDefault="001C2F95" w:rsidP="001C2F95">
      <w:pPr>
        <w:spacing w:line="240" w:lineRule="auto"/>
        <w:ind w:left="360"/>
        <w:rPr>
          <w:rFonts w:cs="Arial"/>
          <w:i/>
          <w:sz w:val="22"/>
          <w:u w:val="single"/>
        </w:rPr>
      </w:pPr>
      <w:r w:rsidRPr="00296E4B">
        <w:rPr>
          <w:rFonts w:cs="Arial"/>
          <w:i/>
          <w:sz w:val="22"/>
          <w:u w:val="single"/>
        </w:rPr>
        <w:t xml:space="preserve">5.2. Principaux indicateurs de mise en œuvre du CGES </w:t>
      </w:r>
    </w:p>
    <w:p w14:paraId="33ED9605" w14:textId="77777777" w:rsidR="001C2F95" w:rsidRPr="00296E4B" w:rsidRDefault="001C2F95" w:rsidP="001C2F95">
      <w:pPr>
        <w:spacing w:line="240" w:lineRule="auto"/>
        <w:rPr>
          <w:rFonts w:eastAsia="Calibri" w:cs="Arial"/>
          <w:bCs/>
          <w:sz w:val="22"/>
        </w:rPr>
      </w:pPr>
    </w:p>
    <w:p w14:paraId="3CA10B38" w14:textId="77777777" w:rsidR="001C2F95" w:rsidRPr="00296E4B" w:rsidRDefault="001C2F95" w:rsidP="001C2F95">
      <w:pPr>
        <w:spacing w:line="240" w:lineRule="auto"/>
        <w:rPr>
          <w:rFonts w:cs="Arial"/>
          <w:bCs/>
          <w:sz w:val="22"/>
        </w:rPr>
      </w:pPr>
      <w:r w:rsidRPr="00296E4B">
        <w:rPr>
          <w:rFonts w:eastAsia="Calibri" w:cs="Arial"/>
          <w:bCs/>
          <w:sz w:val="22"/>
        </w:rPr>
        <w:t>Le programme de suivi décrira les éléments devant faire l’objet du suivi, les méthodes/dispositifs de</w:t>
      </w:r>
      <w:r w:rsidRPr="00296E4B">
        <w:rPr>
          <w:rFonts w:cs="Arial"/>
          <w:bCs/>
          <w:sz w:val="22"/>
        </w:rPr>
        <w:t xml:space="preserve"> </w:t>
      </w:r>
      <w:r w:rsidRPr="00296E4B">
        <w:rPr>
          <w:rFonts w:eastAsia="Calibri" w:cs="Arial"/>
          <w:bCs/>
          <w:sz w:val="22"/>
        </w:rPr>
        <w:t xml:space="preserve">suivi, les responsabilités de suivi, la période de suivi. L’objectif de ce programme de </w:t>
      </w:r>
      <w:r w:rsidRPr="00296E4B">
        <w:rPr>
          <w:rFonts w:eastAsia="Calibri" w:cs="Arial"/>
          <w:bCs/>
          <w:sz w:val="22"/>
        </w:rPr>
        <w:lastRenderedPageBreak/>
        <w:t>surveillance environnementale et sociale est de s’assurer que les mesures sont exécutées et appliquées selon le planning prévu.</w:t>
      </w:r>
      <w:r w:rsidRPr="00296E4B">
        <w:rPr>
          <w:rFonts w:cs="Arial"/>
          <w:bCs/>
          <w:sz w:val="22"/>
        </w:rPr>
        <w:t xml:space="preserve"> À cet effet, les principaux indicateurs retenus sont : </w:t>
      </w:r>
    </w:p>
    <w:p w14:paraId="09382F2D" w14:textId="77777777" w:rsidR="001C2F95" w:rsidRPr="00296E4B" w:rsidRDefault="001C2F95" w:rsidP="001C2F95">
      <w:pPr>
        <w:spacing w:line="240" w:lineRule="auto"/>
        <w:rPr>
          <w:rFonts w:cs="Arial"/>
          <w:bCs/>
          <w:sz w:val="22"/>
        </w:rPr>
      </w:pPr>
    </w:p>
    <w:p w14:paraId="4B767DEE" w14:textId="77777777" w:rsidR="001C2F95" w:rsidRPr="00296E4B" w:rsidRDefault="001C2F95" w:rsidP="002378EA">
      <w:pPr>
        <w:numPr>
          <w:ilvl w:val="0"/>
          <w:numId w:val="28"/>
        </w:numPr>
        <w:autoSpaceDE w:val="0"/>
        <w:autoSpaceDN w:val="0"/>
        <w:adjustRightInd w:val="0"/>
        <w:rPr>
          <w:rFonts w:eastAsia="Calibri" w:cs="Arial"/>
          <w:sz w:val="22"/>
        </w:rPr>
      </w:pPr>
      <w:r w:rsidRPr="00296E4B">
        <w:rPr>
          <w:rFonts w:eastAsia="Calibri" w:cs="Arial"/>
          <w:sz w:val="22"/>
        </w:rPr>
        <w:t>Indicateurs d’ordre stratégique à suivre par le Comité de Pilotage du Projet ;</w:t>
      </w:r>
    </w:p>
    <w:p w14:paraId="1BC9F03A" w14:textId="77777777" w:rsidR="001C2F95" w:rsidRPr="00296E4B" w:rsidRDefault="001C2F95" w:rsidP="002378EA">
      <w:pPr>
        <w:numPr>
          <w:ilvl w:val="0"/>
          <w:numId w:val="28"/>
        </w:numPr>
        <w:autoSpaceDE w:val="0"/>
        <w:autoSpaceDN w:val="0"/>
        <w:adjustRightInd w:val="0"/>
        <w:rPr>
          <w:rFonts w:eastAsia="Calibri" w:cs="Arial"/>
          <w:sz w:val="22"/>
        </w:rPr>
      </w:pPr>
      <w:r w:rsidRPr="00296E4B">
        <w:rPr>
          <w:rFonts w:eastAsia="Calibri" w:cs="Arial"/>
          <w:sz w:val="22"/>
        </w:rPr>
        <w:t>Effectivité de la sélection environnementale et sociale (Screening) des activités du programme ;</w:t>
      </w:r>
    </w:p>
    <w:p w14:paraId="2D118F9A" w14:textId="77777777" w:rsidR="001C2F95" w:rsidRPr="00296E4B" w:rsidRDefault="001C2F95" w:rsidP="002378EA">
      <w:pPr>
        <w:numPr>
          <w:ilvl w:val="0"/>
          <w:numId w:val="28"/>
        </w:numPr>
        <w:autoSpaceDE w:val="0"/>
        <w:autoSpaceDN w:val="0"/>
        <w:adjustRightInd w:val="0"/>
        <w:rPr>
          <w:rFonts w:eastAsia="Calibri" w:cs="Arial"/>
          <w:sz w:val="22"/>
        </w:rPr>
      </w:pPr>
      <w:r w:rsidRPr="00296E4B">
        <w:rPr>
          <w:rFonts w:eastAsia="Calibri" w:cs="Arial"/>
          <w:sz w:val="22"/>
        </w:rPr>
        <w:t>Effectivité du suivi environnemental et du « reporting » ;</w:t>
      </w:r>
    </w:p>
    <w:p w14:paraId="15BED912" w14:textId="77777777" w:rsidR="001C2F95" w:rsidRPr="00296E4B" w:rsidRDefault="001C2F95" w:rsidP="002378EA">
      <w:pPr>
        <w:numPr>
          <w:ilvl w:val="0"/>
          <w:numId w:val="28"/>
        </w:numPr>
        <w:autoSpaceDE w:val="0"/>
        <w:autoSpaceDN w:val="0"/>
        <w:adjustRightInd w:val="0"/>
        <w:rPr>
          <w:rFonts w:eastAsia="Calibri" w:cs="Arial"/>
          <w:sz w:val="22"/>
        </w:rPr>
      </w:pPr>
      <w:r w:rsidRPr="00296E4B">
        <w:rPr>
          <w:rFonts w:eastAsia="Calibri" w:cs="Arial"/>
          <w:sz w:val="22"/>
        </w:rPr>
        <w:t>Mise en œuvre des programmes de formation/sensibilisation sur le CGES ;</w:t>
      </w:r>
    </w:p>
    <w:p w14:paraId="559A3E03" w14:textId="77777777" w:rsidR="001C2F95" w:rsidRPr="00296E4B" w:rsidRDefault="001C2F95" w:rsidP="002378EA">
      <w:pPr>
        <w:numPr>
          <w:ilvl w:val="0"/>
          <w:numId w:val="28"/>
        </w:numPr>
        <w:autoSpaceDE w:val="0"/>
        <w:autoSpaceDN w:val="0"/>
        <w:adjustRightInd w:val="0"/>
        <w:rPr>
          <w:rFonts w:eastAsia="Calibri" w:cs="Arial"/>
          <w:sz w:val="22"/>
        </w:rPr>
      </w:pPr>
      <w:r w:rsidRPr="00296E4B">
        <w:rPr>
          <w:rFonts w:eastAsia="Calibri" w:cs="Arial"/>
          <w:sz w:val="22"/>
        </w:rPr>
        <w:t>Indicateurs à suivre par le SSE et le SSS/PNDA ;</w:t>
      </w:r>
    </w:p>
    <w:p w14:paraId="1949D4F4" w14:textId="77777777" w:rsidR="001C2F95" w:rsidRPr="00296E4B" w:rsidRDefault="001C2F95" w:rsidP="002378EA">
      <w:pPr>
        <w:numPr>
          <w:ilvl w:val="0"/>
          <w:numId w:val="28"/>
        </w:numPr>
        <w:autoSpaceDE w:val="0"/>
        <w:autoSpaceDN w:val="0"/>
        <w:adjustRightInd w:val="0"/>
        <w:rPr>
          <w:rFonts w:eastAsia="Calibri" w:cs="Arial"/>
          <w:sz w:val="22"/>
        </w:rPr>
      </w:pPr>
      <w:r w:rsidRPr="00296E4B">
        <w:rPr>
          <w:rFonts w:eastAsia="Calibri" w:cs="Arial"/>
          <w:sz w:val="22"/>
        </w:rPr>
        <w:t>Effectivité de l’insertion des clauses environnementales dans les dossiers d’exécution ;</w:t>
      </w:r>
    </w:p>
    <w:p w14:paraId="407B62A4" w14:textId="77777777" w:rsidR="001C2F95" w:rsidRPr="00296E4B" w:rsidRDefault="001C2F95" w:rsidP="002378EA">
      <w:pPr>
        <w:numPr>
          <w:ilvl w:val="0"/>
          <w:numId w:val="28"/>
        </w:numPr>
        <w:autoSpaceDE w:val="0"/>
        <w:autoSpaceDN w:val="0"/>
        <w:adjustRightInd w:val="0"/>
        <w:rPr>
          <w:rFonts w:eastAsia="Calibri" w:cs="Arial"/>
          <w:sz w:val="22"/>
        </w:rPr>
      </w:pPr>
      <w:r w:rsidRPr="00296E4B">
        <w:rPr>
          <w:rFonts w:eastAsia="Calibri" w:cs="Arial"/>
          <w:sz w:val="22"/>
        </w:rPr>
        <w:t>Pourcentage</w:t>
      </w:r>
      <w:r>
        <w:rPr>
          <w:rFonts w:eastAsia="Calibri" w:cs="Arial"/>
          <w:sz w:val="22"/>
        </w:rPr>
        <w:t xml:space="preserve"> </w:t>
      </w:r>
      <w:r w:rsidRPr="00296E4B">
        <w:rPr>
          <w:rFonts w:eastAsia="Calibri" w:cs="Arial"/>
          <w:sz w:val="22"/>
        </w:rPr>
        <w:t>d’entreprises respectant les dispositions environnementales dans leurs chantiers ;</w:t>
      </w:r>
    </w:p>
    <w:p w14:paraId="58840ACA" w14:textId="77777777" w:rsidR="001C2F95" w:rsidRPr="00296E4B" w:rsidRDefault="001C2F95" w:rsidP="002378EA">
      <w:pPr>
        <w:numPr>
          <w:ilvl w:val="0"/>
          <w:numId w:val="28"/>
        </w:numPr>
        <w:autoSpaceDE w:val="0"/>
        <w:autoSpaceDN w:val="0"/>
        <w:adjustRightInd w:val="0"/>
        <w:rPr>
          <w:rFonts w:eastAsia="Calibri" w:cs="Arial"/>
          <w:sz w:val="22"/>
        </w:rPr>
      </w:pPr>
      <w:r w:rsidRPr="00296E4B">
        <w:rPr>
          <w:rFonts w:eastAsia="Calibri" w:cs="Arial"/>
          <w:sz w:val="22"/>
        </w:rPr>
        <w:t>Nombre d’acteurs formés/sensibilisés en gestion environnementale et sociale ;</w:t>
      </w:r>
    </w:p>
    <w:p w14:paraId="5C9EBFB9" w14:textId="77777777" w:rsidR="001C2F95" w:rsidRPr="00296E4B" w:rsidRDefault="001C2F95" w:rsidP="002378EA">
      <w:pPr>
        <w:numPr>
          <w:ilvl w:val="0"/>
          <w:numId w:val="28"/>
        </w:numPr>
        <w:autoSpaceDE w:val="0"/>
        <w:autoSpaceDN w:val="0"/>
        <w:adjustRightInd w:val="0"/>
        <w:rPr>
          <w:rFonts w:eastAsia="Calibri" w:cs="Arial"/>
          <w:sz w:val="22"/>
        </w:rPr>
      </w:pPr>
      <w:r w:rsidRPr="00296E4B">
        <w:rPr>
          <w:rFonts w:eastAsia="Calibri" w:cs="Arial"/>
          <w:sz w:val="22"/>
        </w:rPr>
        <w:t>Niveau d’implication des Co</w:t>
      </w:r>
      <w:r>
        <w:rPr>
          <w:rFonts w:eastAsia="Calibri" w:cs="Arial"/>
          <w:sz w:val="22"/>
        </w:rPr>
        <w:t>o</w:t>
      </w:r>
      <w:r w:rsidRPr="00296E4B">
        <w:rPr>
          <w:rFonts w:eastAsia="Calibri" w:cs="Arial"/>
          <w:sz w:val="22"/>
        </w:rPr>
        <w:t>rdination Provinciale de l’Environnement (CPE) dans le suivi de la mise en œuvre des activités ;</w:t>
      </w:r>
    </w:p>
    <w:p w14:paraId="512DFBF7" w14:textId="77777777" w:rsidR="001C2F95" w:rsidRPr="00296E4B" w:rsidRDefault="001C2F95" w:rsidP="002378EA">
      <w:pPr>
        <w:numPr>
          <w:ilvl w:val="0"/>
          <w:numId w:val="28"/>
        </w:numPr>
        <w:autoSpaceDE w:val="0"/>
        <w:autoSpaceDN w:val="0"/>
        <w:adjustRightInd w:val="0"/>
        <w:rPr>
          <w:rFonts w:eastAsia="Calibri" w:cs="Arial"/>
          <w:sz w:val="22"/>
        </w:rPr>
      </w:pPr>
      <w:r w:rsidRPr="00296E4B">
        <w:rPr>
          <w:rFonts w:eastAsia="Calibri" w:cs="Arial"/>
          <w:sz w:val="22"/>
        </w:rPr>
        <w:t>Nombre de campagne de sensibilisation ;</w:t>
      </w:r>
    </w:p>
    <w:p w14:paraId="6C2811D0" w14:textId="77777777" w:rsidR="001C2F95" w:rsidRPr="00296E4B" w:rsidRDefault="001C2F95" w:rsidP="002378EA">
      <w:pPr>
        <w:numPr>
          <w:ilvl w:val="0"/>
          <w:numId w:val="28"/>
        </w:numPr>
        <w:autoSpaceDE w:val="0"/>
        <w:autoSpaceDN w:val="0"/>
        <w:adjustRightInd w:val="0"/>
        <w:rPr>
          <w:rFonts w:eastAsia="Calibri" w:cs="Arial"/>
          <w:sz w:val="22"/>
        </w:rPr>
      </w:pPr>
      <w:r w:rsidRPr="00296E4B">
        <w:rPr>
          <w:rFonts w:eastAsia="Calibri" w:cs="Arial"/>
          <w:sz w:val="22"/>
        </w:rPr>
        <w:t>Régularité et effectivité du suivi de proximité ;</w:t>
      </w:r>
    </w:p>
    <w:p w14:paraId="584045A8" w14:textId="77777777" w:rsidR="001C2F95" w:rsidRPr="00296E4B" w:rsidRDefault="001C2F95" w:rsidP="002378EA">
      <w:pPr>
        <w:numPr>
          <w:ilvl w:val="0"/>
          <w:numId w:val="29"/>
        </w:numPr>
        <w:autoSpaceDE w:val="0"/>
        <w:autoSpaceDN w:val="0"/>
        <w:adjustRightInd w:val="0"/>
        <w:rPr>
          <w:rFonts w:cs="Arial"/>
          <w:sz w:val="22"/>
        </w:rPr>
      </w:pPr>
      <w:r w:rsidRPr="00296E4B">
        <w:rPr>
          <w:rFonts w:cs="Arial"/>
          <w:sz w:val="22"/>
        </w:rPr>
        <w:t>Nombre de sous-projets ayant fait l’objet d’une ÉIES avec PGES mis en œuvre ;</w:t>
      </w:r>
    </w:p>
    <w:p w14:paraId="34BD29DB" w14:textId="77777777" w:rsidR="001C2F95" w:rsidRPr="00296E4B" w:rsidRDefault="001C2F95" w:rsidP="002378EA">
      <w:pPr>
        <w:numPr>
          <w:ilvl w:val="0"/>
          <w:numId w:val="29"/>
        </w:numPr>
        <w:autoSpaceDE w:val="0"/>
        <w:autoSpaceDN w:val="0"/>
        <w:adjustRightInd w:val="0"/>
        <w:rPr>
          <w:rFonts w:cs="Arial"/>
          <w:sz w:val="22"/>
        </w:rPr>
      </w:pPr>
      <w:r w:rsidRPr="00296E4B">
        <w:rPr>
          <w:rFonts w:cs="Arial"/>
          <w:sz w:val="22"/>
        </w:rPr>
        <w:t>Nombre de séances de formation/sensibilisation organisées ;</w:t>
      </w:r>
    </w:p>
    <w:p w14:paraId="57FB78A5" w14:textId="77777777" w:rsidR="001C2F95" w:rsidRPr="00296E4B" w:rsidRDefault="001C2F95" w:rsidP="002378EA">
      <w:pPr>
        <w:numPr>
          <w:ilvl w:val="0"/>
          <w:numId w:val="29"/>
        </w:numPr>
        <w:rPr>
          <w:rFonts w:cs="Arial"/>
          <w:sz w:val="22"/>
        </w:rPr>
      </w:pPr>
      <w:r w:rsidRPr="00296E4B">
        <w:rPr>
          <w:rFonts w:cs="Arial"/>
          <w:sz w:val="22"/>
        </w:rPr>
        <w:t xml:space="preserve">Nombre de missions de suivi/évaluation environnemental ; </w:t>
      </w:r>
    </w:p>
    <w:p w14:paraId="655033B9" w14:textId="77777777" w:rsidR="001C2F95" w:rsidRPr="00296E4B" w:rsidRDefault="001C2F95" w:rsidP="002378EA">
      <w:pPr>
        <w:numPr>
          <w:ilvl w:val="0"/>
          <w:numId w:val="29"/>
        </w:numPr>
        <w:rPr>
          <w:rFonts w:cs="Arial"/>
          <w:sz w:val="22"/>
        </w:rPr>
      </w:pPr>
      <w:r w:rsidRPr="00296E4B">
        <w:rPr>
          <w:rFonts w:cs="Arial"/>
          <w:sz w:val="22"/>
        </w:rPr>
        <w:t>Nombre d’emplois créés localement (main-d’œuvre locale utilisée pour les travaux) ;</w:t>
      </w:r>
    </w:p>
    <w:p w14:paraId="50DD1B9E" w14:textId="77777777" w:rsidR="001C2F95" w:rsidRPr="00296E4B" w:rsidRDefault="001C2F95" w:rsidP="002378EA">
      <w:pPr>
        <w:numPr>
          <w:ilvl w:val="0"/>
          <w:numId w:val="29"/>
        </w:numPr>
        <w:rPr>
          <w:rFonts w:cs="Arial"/>
          <w:sz w:val="22"/>
        </w:rPr>
      </w:pPr>
      <w:r w:rsidRPr="00296E4B">
        <w:rPr>
          <w:rFonts w:cs="Arial"/>
          <w:sz w:val="22"/>
        </w:rPr>
        <w:t>Nombre de populations autochtones et campements localisés dans la zone du Projet ;</w:t>
      </w:r>
    </w:p>
    <w:p w14:paraId="4D796D51" w14:textId="77777777" w:rsidR="001C2F95" w:rsidRPr="00296E4B" w:rsidRDefault="001C2F95" w:rsidP="002378EA">
      <w:pPr>
        <w:numPr>
          <w:ilvl w:val="0"/>
          <w:numId w:val="29"/>
        </w:numPr>
        <w:autoSpaceDE w:val="0"/>
        <w:autoSpaceDN w:val="0"/>
        <w:adjustRightInd w:val="0"/>
        <w:jc w:val="left"/>
        <w:rPr>
          <w:rFonts w:cs="Arial"/>
          <w:sz w:val="22"/>
        </w:rPr>
      </w:pPr>
      <w:r w:rsidRPr="00296E4B">
        <w:rPr>
          <w:rFonts w:cs="Arial"/>
          <w:sz w:val="22"/>
        </w:rPr>
        <w:t>Nombre de personnes affectées et compensées par le Projet ;</w:t>
      </w:r>
    </w:p>
    <w:p w14:paraId="46638C00" w14:textId="77777777" w:rsidR="001C2F95" w:rsidRPr="00296E4B" w:rsidRDefault="001C2F95" w:rsidP="002378EA">
      <w:pPr>
        <w:numPr>
          <w:ilvl w:val="0"/>
          <w:numId w:val="29"/>
        </w:numPr>
        <w:autoSpaceDE w:val="0"/>
        <w:autoSpaceDN w:val="0"/>
        <w:adjustRightInd w:val="0"/>
        <w:spacing w:line="240" w:lineRule="auto"/>
        <w:jc w:val="left"/>
        <w:rPr>
          <w:rFonts w:cs="Arial"/>
          <w:sz w:val="22"/>
        </w:rPr>
      </w:pPr>
      <w:r w:rsidRPr="00296E4B">
        <w:rPr>
          <w:rFonts w:cs="Arial"/>
          <w:sz w:val="22"/>
        </w:rPr>
        <w:t>Nombre de séances de formation de travailleurs en VBG ventilées par sexe ;</w:t>
      </w:r>
    </w:p>
    <w:p w14:paraId="73FEB217" w14:textId="77777777" w:rsidR="001C2F95" w:rsidRDefault="001C2F95" w:rsidP="002378EA">
      <w:pPr>
        <w:numPr>
          <w:ilvl w:val="0"/>
          <w:numId w:val="29"/>
        </w:numPr>
        <w:autoSpaceDE w:val="0"/>
        <w:autoSpaceDN w:val="0"/>
        <w:adjustRightInd w:val="0"/>
        <w:spacing w:line="240" w:lineRule="auto"/>
        <w:jc w:val="left"/>
        <w:rPr>
          <w:rFonts w:cs="Arial"/>
          <w:sz w:val="22"/>
        </w:rPr>
      </w:pPr>
      <w:r w:rsidRPr="00296E4B">
        <w:rPr>
          <w:rFonts w:cs="Arial"/>
          <w:sz w:val="22"/>
        </w:rPr>
        <w:t>Nombre de séances de recyclage des travailleurs en VBG ;</w:t>
      </w:r>
    </w:p>
    <w:p w14:paraId="0D03113F" w14:textId="77777777" w:rsidR="001C2F95" w:rsidRPr="00296E4B" w:rsidRDefault="001C2F95" w:rsidP="002378EA">
      <w:pPr>
        <w:numPr>
          <w:ilvl w:val="0"/>
          <w:numId w:val="29"/>
        </w:numPr>
        <w:autoSpaceDE w:val="0"/>
        <w:autoSpaceDN w:val="0"/>
        <w:adjustRightInd w:val="0"/>
        <w:spacing w:line="240" w:lineRule="auto"/>
        <w:jc w:val="left"/>
        <w:rPr>
          <w:rFonts w:cs="Arial"/>
          <w:sz w:val="22"/>
        </w:rPr>
      </w:pPr>
      <w:r>
        <w:rPr>
          <w:rFonts w:cs="Arial"/>
          <w:sz w:val="22"/>
        </w:rPr>
        <w:t>Résultats du pré-test et post</w:t>
      </w:r>
      <w:r w:rsidR="00E7620D">
        <w:rPr>
          <w:rFonts w:cs="Arial"/>
          <w:sz w:val="22"/>
        </w:rPr>
        <w:t xml:space="preserve"> </w:t>
      </w:r>
      <w:r>
        <w:rPr>
          <w:rFonts w:cs="Arial"/>
          <w:sz w:val="22"/>
        </w:rPr>
        <w:t>test des participant(e)s aux formations en VBG ;</w:t>
      </w:r>
    </w:p>
    <w:p w14:paraId="49B95F26" w14:textId="77777777" w:rsidR="001C2F95" w:rsidRDefault="001C2F95" w:rsidP="002378EA">
      <w:pPr>
        <w:numPr>
          <w:ilvl w:val="0"/>
          <w:numId w:val="29"/>
        </w:numPr>
        <w:autoSpaceDE w:val="0"/>
        <w:autoSpaceDN w:val="0"/>
        <w:adjustRightInd w:val="0"/>
        <w:spacing w:line="240" w:lineRule="auto"/>
        <w:jc w:val="left"/>
        <w:rPr>
          <w:rFonts w:cs="Arial"/>
          <w:sz w:val="22"/>
        </w:rPr>
      </w:pPr>
      <w:r>
        <w:rPr>
          <w:rFonts w:cs="Arial"/>
          <w:sz w:val="22"/>
        </w:rPr>
        <w:t>% des cas d’EAS/HS référés aux services de prise en charge ;</w:t>
      </w:r>
    </w:p>
    <w:p w14:paraId="678416A9" w14:textId="77777777" w:rsidR="001C2F95" w:rsidRDefault="001C2F95" w:rsidP="002378EA">
      <w:pPr>
        <w:numPr>
          <w:ilvl w:val="0"/>
          <w:numId w:val="29"/>
        </w:numPr>
        <w:autoSpaceDE w:val="0"/>
        <w:autoSpaceDN w:val="0"/>
        <w:adjustRightInd w:val="0"/>
        <w:spacing w:line="240" w:lineRule="auto"/>
        <w:jc w:val="left"/>
        <w:rPr>
          <w:rFonts w:cs="Arial"/>
          <w:sz w:val="22"/>
        </w:rPr>
      </w:pPr>
      <w:r>
        <w:rPr>
          <w:rFonts w:cs="Arial"/>
          <w:sz w:val="22"/>
        </w:rPr>
        <w:t>% des cas d’EAS/HS résolus dans le délai prévu dans le MGP ;</w:t>
      </w:r>
    </w:p>
    <w:p w14:paraId="516633C6" w14:textId="77777777" w:rsidR="001C2F95" w:rsidRDefault="001C2F95" w:rsidP="002378EA">
      <w:pPr>
        <w:numPr>
          <w:ilvl w:val="0"/>
          <w:numId w:val="29"/>
        </w:numPr>
        <w:autoSpaceDE w:val="0"/>
        <w:autoSpaceDN w:val="0"/>
        <w:adjustRightInd w:val="0"/>
        <w:spacing w:line="240" w:lineRule="auto"/>
        <w:jc w:val="left"/>
        <w:rPr>
          <w:rFonts w:cs="Arial"/>
          <w:sz w:val="22"/>
        </w:rPr>
      </w:pPr>
      <w:r>
        <w:rPr>
          <w:rFonts w:cs="Arial"/>
          <w:sz w:val="22"/>
        </w:rPr>
        <w:t>% des cas d’EAS/HS non-résolus dans le délai prévu dans le MGP ;</w:t>
      </w:r>
    </w:p>
    <w:p w14:paraId="58DD1FB9" w14:textId="77777777" w:rsidR="001C2F95" w:rsidRDefault="001C2F95" w:rsidP="002378EA">
      <w:pPr>
        <w:numPr>
          <w:ilvl w:val="0"/>
          <w:numId w:val="29"/>
        </w:numPr>
        <w:autoSpaceDE w:val="0"/>
        <w:autoSpaceDN w:val="0"/>
        <w:adjustRightInd w:val="0"/>
        <w:spacing w:line="240" w:lineRule="auto"/>
        <w:jc w:val="left"/>
        <w:rPr>
          <w:rFonts w:cs="Arial"/>
          <w:sz w:val="22"/>
        </w:rPr>
      </w:pPr>
      <w:r>
        <w:rPr>
          <w:rFonts w:cs="Arial"/>
          <w:sz w:val="22"/>
        </w:rPr>
        <w:t>Délai moyen dans le MGP pour la résolution des cas d’EAS/HS</w:t>
      </w:r>
    </w:p>
    <w:p w14:paraId="3616F285" w14:textId="77777777" w:rsidR="001C2F95" w:rsidRPr="00296E4B" w:rsidRDefault="001C2F95" w:rsidP="002378EA">
      <w:pPr>
        <w:numPr>
          <w:ilvl w:val="0"/>
          <w:numId w:val="29"/>
        </w:numPr>
        <w:autoSpaceDE w:val="0"/>
        <w:autoSpaceDN w:val="0"/>
        <w:adjustRightInd w:val="0"/>
        <w:spacing w:line="240" w:lineRule="auto"/>
        <w:jc w:val="left"/>
        <w:rPr>
          <w:rFonts w:cs="Arial"/>
          <w:sz w:val="22"/>
        </w:rPr>
      </w:pPr>
      <w:r w:rsidRPr="00296E4B">
        <w:rPr>
          <w:rFonts w:cs="Arial"/>
          <w:sz w:val="22"/>
        </w:rPr>
        <w:t>Nombre de séances de sensibilisation</w:t>
      </w:r>
      <w:r>
        <w:rPr>
          <w:rFonts w:cs="Arial"/>
          <w:sz w:val="22"/>
        </w:rPr>
        <w:t xml:space="preserve"> sur l’EAS/HS</w:t>
      </w:r>
      <w:r w:rsidRPr="00296E4B">
        <w:rPr>
          <w:rFonts w:cs="Arial"/>
          <w:sz w:val="22"/>
        </w:rPr>
        <w:t xml:space="preserve"> et</w:t>
      </w:r>
      <w:r>
        <w:rPr>
          <w:rFonts w:cs="Arial"/>
          <w:sz w:val="22"/>
        </w:rPr>
        <w:t xml:space="preserve"> l’accès au</w:t>
      </w:r>
      <w:r w:rsidRPr="00296E4B">
        <w:rPr>
          <w:rFonts w:cs="Arial"/>
          <w:sz w:val="22"/>
        </w:rPr>
        <w:t xml:space="preserve"> MGP ;</w:t>
      </w:r>
    </w:p>
    <w:p w14:paraId="2962AAE4" w14:textId="77777777" w:rsidR="001C2F95" w:rsidRPr="00296E4B" w:rsidRDefault="001C2F95" w:rsidP="002378EA">
      <w:pPr>
        <w:numPr>
          <w:ilvl w:val="0"/>
          <w:numId w:val="29"/>
        </w:numPr>
        <w:autoSpaceDE w:val="0"/>
        <w:autoSpaceDN w:val="0"/>
        <w:adjustRightInd w:val="0"/>
        <w:spacing w:line="240" w:lineRule="auto"/>
        <w:jc w:val="left"/>
        <w:rPr>
          <w:rFonts w:cs="Arial"/>
          <w:sz w:val="22"/>
        </w:rPr>
      </w:pPr>
      <w:r w:rsidRPr="00296E4B">
        <w:rPr>
          <w:rFonts w:cs="Arial"/>
          <w:sz w:val="22"/>
        </w:rPr>
        <w:t>Nombre de populations ciblées ventilées par sexe et par âge.</w:t>
      </w:r>
    </w:p>
    <w:p w14:paraId="4942A6BF" w14:textId="77777777" w:rsidR="001C2F95" w:rsidRPr="00296E4B" w:rsidRDefault="001C2F95" w:rsidP="001C2F95">
      <w:pPr>
        <w:autoSpaceDE w:val="0"/>
        <w:autoSpaceDN w:val="0"/>
        <w:adjustRightInd w:val="0"/>
        <w:spacing w:line="240" w:lineRule="auto"/>
        <w:ind w:left="720"/>
        <w:rPr>
          <w:rFonts w:cs="Arial"/>
          <w:b/>
          <w:color w:val="000000"/>
          <w:sz w:val="22"/>
        </w:rPr>
      </w:pPr>
    </w:p>
    <w:p w14:paraId="1D03D6E3" w14:textId="77777777" w:rsidR="001C2F95" w:rsidRPr="00296E4B" w:rsidRDefault="001C2F95" w:rsidP="001C2F95">
      <w:pPr>
        <w:tabs>
          <w:tab w:val="left" w:pos="426"/>
        </w:tabs>
        <w:contextualSpacing/>
        <w:rPr>
          <w:rFonts w:cs="Arial"/>
          <w:sz w:val="22"/>
          <w:u w:val="single"/>
        </w:rPr>
      </w:pPr>
      <w:r w:rsidRPr="00296E4B">
        <w:rPr>
          <w:rFonts w:cs="Arial"/>
          <w:sz w:val="22"/>
          <w:u w:val="single"/>
        </w:rPr>
        <w:t>Arrangements institutionnels pour la mise en œuvre d</w:t>
      </w:r>
      <w:r w:rsidR="006B658C">
        <w:rPr>
          <w:rFonts w:cs="Arial"/>
          <w:sz w:val="22"/>
          <w:u w:val="single"/>
        </w:rPr>
        <w:t>es</w:t>
      </w:r>
      <w:r w:rsidRPr="00296E4B">
        <w:rPr>
          <w:rFonts w:cs="Arial"/>
          <w:sz w:val="22"/>
          <w:u w:val="single"/>
        </w:rPr>
        <w:t xml:space="preserve"> </w:t>
      </w:r>
      <w:r w:rsidR="006B658C">
        <w:rPr>
          <w:rFonts w:cs="Arial"/>
          <w:sz w:val="22"/>
        </w:rPr>
        <w:t>Procédures de Gestion des Risques et Impacts Environnementaux et Sociaux (PGRIES)</w:t>
      </w:r>
      <w:r w:rsidRPr="00296E4B">
        <w:rPr>
          <w:rFonts w:cs="Arial"/>
          <w:sz w:val="22"/>
          <w:u w:val="single"/>
        </w:rPr>
        <w:t> :</w:t>
      </w:r>
    </w:p>
    <w:p w14:paraId="375792B7" w14:textId="77777777" w:rsidR="001C2F95" w:rsidRDefault="001C2F95" w:rsidP="001C2F95">
      <w:pPr>
        <w:rPr>
          <w:rFonts w:cs="Arial"/>
          <w:sz w:val="22"/>
        </w:rPr>
      </w:pPr>
    </w:p>
    <w:p w14:paraId="35A43E90" w14:textId="77777777" w:rsidR="001C2F95" w:rsidRPr="00296E4B" w:rsidRDefault="001C2F95" w:rsidP="001C2F95">
      <w:pPr>
        <w:rPr>
          <w:rFonts w:cs="Arial"/>
          <w:sz w:val="22"/>
        </w:rPr>
      </w:pPr>
      <w:r>
        <w:rPr>
          <w:rFonts w:cs="Arial"/>
          <w:sz w:val="22"/>
        </w:rPr>
        <w:t>Les institutions suivantes seront impliquées dans la mise en œuvre du PNDA :</w:t>
      </w:r>
    </w:p>
    <w:p w14:paraId="7900EA1C" w14:textId="77777777" w:rsidR="001C2F95" w:rsidRPr="00296E4B" w:rsidRDefault="001C2F95" w:rsidP="002378EA">
      <w:pPr>
        <w:pStyle w:val="Paragraphedeliste"/>
        <w:keepNext/>
        <w:numPr>
          <w:ilvl w:val="1"/>
          <w:numId w:val="11"/>
        </w:numPr>
        <w:tabs>
          <w:tab w:val="left" w:pos="720"/>
        </w:tabs>
        <w:contextualSpacing w:val="0"/>
        <w:jc w:val="left"/>
        <w:outlineLvl w:val="2"/>
        <w:rPr>
          <w:rFonts w:cs="Arial"/>
          <w:vanish/>
          <w:sz w:val="22"/>
          <w:u w:val="single"/>
        </w:rPr>
      </w:pPr>
      <w:bookmarkStart w:id="66" w:name="_Toc64026100"/>
      <w:bookmarkStart w:id="67" w:name="_Toc64386618"/>
      <w:bookmarkStart w:id="68" w:name="_Toc70326720"/>
      <w:bookmarkStart w:id="69" w:name="_Toc70326952"/>
      <w:bookmarkStart w:id="70" w:name="_Toc70330315"/>
      <w:bookmarkEnd w:id="66"/>
      <w:bookmarkEnd w:id="67"/>
      <w:bookmarkEnd w:id="68"/>
      <w:bookmarkEnd w:id="69"/>
      <w:bookmarkEnd w:id="70"/>
    </w:p>
    <w:p w14:paraId="33221F2C" w14:textId="77777777" w:rsidR="001C2F95" w:rsidRPr="00296E4B" w:rsidRDefault="001C2F95" w:rsidP="002378EA">
      <w:pPr>
        <w:pStyle w:val="Paragraphedeliste"/>
        <w:keepNext/>
        <w:numPr>
          <w:ilvl w:val="1"/>
          <w:numId w:val="11"/>
        </w:numPr>
        <w:tabs>
          <w:tab w:val="left" w:pos="720"/>
        </w:tabs>
        <w:contextualSpacing w:val="0"/>
        <w:jc w:val="left"/>
        <w:outlineLvl w:val="2"/>
        <w:rPr>
          <w:rFonts w:cs="Arial"/>
          <w:vanish/>
          <w:sz w:val="22"/>
          <w:u w:val="single"/>
        </w:rPr>
      </w:pPr>
      <w:bookmarkStart w:id="71" w:name="_Toc64026101"/>
      <w:bookmarkStart w:id="72" w:name="_Toc64386619"/>
      <w:bookmarkStart w:id="73" w:name="_Toc70326721"/>
      <w:bookmarkStart w:id="74" w:name="_Toc70326953"/>
      <w:bookmarkStart w:id="75" w:name="_Toc70330316"/>
      <w:bookmarkEnd w:id="71"/>
      <w:bookmarkEnd w:id="72"/>
      <w:bookmarkEnd w:id="73"/>
      <w:bookmarkEnd w:id="74"/>
      <w:bookmarkEnd w:id="75"/>
    </w:p>
    <w:p w14:paraId="3F129D25" w14:textId="77777777" w:rsidR="001C2F95" w:rsidRPr="00296E4B" w:rsidRDefault="001C2F95" w:rsidP="001C2F95">
      <w:pPr>
        <w:autoSpaceDE w:val="0"/>
        <w:autoSpaceDN w:val="0"/>
        <w:adjustRightInd w:val="0"/>
        <w:rPr>
          <w:rFonts w:cs="Arial"/>
          <w:sz w:val="22"/>
        </w:rPr>
      </w:pPr>
    </w:p>
    <w:p w14:paraId="48237D31" w14:textId="77777777" w:rsidR="001C2F95" w:rsidRPr="00296E4B" w:rsidRDefault="001C2F95" w:rsidP="002378EA">
      <w:pPr>
        <w:pStyle w:val="Paragraphedeliste"/>
        <w:numPr>
          <w:ilvl w:val="0"/>
          <w:numId w:val="29"/>
        </w:numPr>
        <w:spacing w:line="240" w:lineRule="auto"/>
        <w:jc w:val="left"/>
        <w:rPr>
          <w:rFonts w:cs="Arial"/>
          <w:i/>
          <w:color w:val="000000"/>
          <w:sz w:val="22"/>
        </w:rPr>
      </w:pPr>
      <w:r w:rsidRPr="00296E4B">
        <w:rPr>
          <w:rFonts w:cs="Arial"/>
          <w:i/>
          <w:color w:val="000000"/>
          <w:sz w:val="22"/>
        </w:rPr>
        <w:t>Comité Technique Préparatoire et de Suivi du PNDA </w:t>
      </w:r>
    </w:p>
    <w:p w14:paraId="14869818" w14:textId="77777777" w:rsidR="001C2F95" w:rsidRPr="00296E4B" w:rsidRDefault="001C2F95" w:rsidP="001C2F95">
      <w:pPr>
        <w:ind w:left="360"/>
        <w:rPr>
          <w:rFonts w:cs="Arial"/>
          <w:sz w:val="22"/>
        </w:rPr>
      </w:pPr>
    </w:p>
    <w:p w14:paraId="0A859BA7" w14:textId="77777777" w:rsidR="001C2F95" w:rsidRPr="00296E4B" w:rsidRDefault="001C2F95" w:rsidP="001C2F95">
      <w:pPr>
        <w:rPr>
          <w:rFonts w:cs="Arial"/>
          <w:sz w:val="22"/>
        </w:rPr>
      </w:pPr>
      <w:r w:rsidRPr="00296E4B">
        <w:rPr>
          <w:rFonts w:cs="Arial"/>
          <w:sz w:val="22"/>
        </w:rPr>
        <w:t xml:space="preserve">Le Comité Technique Préparatoire et de Suivi (CTPS) du PNDA va assurer, en collaboration avec l’UNCP/PARRSA, la préparation technique et le suivi du PNDA. </w:t>
      </w:r>
    </w:p>
    <w:p w14:paraId="42B0FB5B" w14:textId="77777777" w:rsidR="009B775A" w:rsidRPr="00296E4B" w:rsidRDefault="009B775A" w:rsidP="001C2F95">
      <w:pPr>
        <w:rPr>
          <w:rFonts w:cs="Arial"/>
          <w:sz w:val="22"/>
        </w:rPr>
      </w:pPr>
    </w:p>
    <w:p w14:paraId="1AA7B9E9" w14:textId="77777777" w:rsidR="001C2F95" w:rsidRPr="00296E4B" w:rsidRDefault="001C2F95" w:rsidP="002378EA">
      <w:pPr>
        <w:pStyle w:val="Paragraphedeliste"/>
        <w:numPr>
          <w:ilvl w:val="0"/>
          <w:numId w:val="29"/>
        </w:numPr>
        <w:spacing w:line="240" w:lineRule="auto"/>
        <w:jc w:val="left"/>
        <w:rPr>
          <w:rFonts w:cs="Arial"/>
          <w:i/>
          <w:color w:val="000000"/>
          <w:sz w:val="22"/>
        </w:rPr>
      </w:pPr>
      <w:r w:rsidRPr="00296E4B">
        <w:rPr>
          <w:rFonts w:cs="Arial"/>
          <w:i/>
          <w:color w:val="000000"/>
          <w:sz w:val="22"/>
        </w:rPr>
        <w:t>UNCP/PARRSA, UGP et la Cellule de Gestion des Projets et des Marchés Publics (CGPMP)</w:t>
      </w:r>
    </w:p>
    <w:p w14:paraId="2F93F00B" w14:textId="77777777" w:rsidR="001C2F95" w:rsidRPr="00296E4B" w:rsidRDefault="001C2F95" w:rsidP="001C2F95">
      <w:pPr>
        <w:ind w:left="360"/>
        <w:rPr>
          <w:rFonts w:cs="Arial"/>
          <w:sz w:val="22"/>
        </w:rPr>
      </w:pPr>
    </w:p>
    <w:p w14:paraId="596CAC03" w14:textId="77777777" w:rsidR="001C2F95" w:rsidRPr="00296E4B" w:rsidRDefault="001C2F95" w:rsidP="001C2F95">
      <w:pPr>
        <w:rPr>
          <w:rFonts w:cs="Arial"/>
          <w:sz w:val="22"/>
        </w:rPr>
      </w:pPr>
      <w:r w:rsidRPr="00296E4B">
        <w:rPr>
          <w:rFonts w:cs="Arial"/>
          <w:sz w:val="22"/>
        </w:rPr>
        <w:t>Dans la phase de préparation et en attendant la mise en place des Coordinations de l’UNCP/PARRSA et l’UGP, les Provinces, avec l’appui du Comité Technique Préparatoire va assurer la coordination du Projet.</w:t>
      </w:r>
    </w:p>
    <w:p w14:paraId="390FDD03" w14:textId="77777777" w:rsidR="001C2F95" w:rsidRPr="00296E4B" w:rsidRDefault="001C2F95" w:rsidP="001C2F95">
      <w:pPr>
        <w:rPr>
          <w:rFonts w:cs="Arial"/>
          <w:sz w:val="22"/>
        </w:rPr>
      </w:pPr>
    </w:p>
    <w:p w14:paraId="309E817A" w14:textId="77777777" w:rsidR="001C2F95" w:rsidRPr="00296E4B" w:rsidRDefault="001C2F95" w:rsidP="001C2F95">
      <w:pPr>
        <w:rPr>
          <w:rFonts w:cs="Arial"/>
          <w:sz w:val="22"/>
        </w:rPr>
      </w:pPr>
      <w:r w:rsidRPr="00296E4B">
        <w:rPr>
          <w:rFonts w:cs="Arial"/>
          <w:sz w:val="22"/>
        </w:rPr>
        <w:lastRenderedPageBreak/>
        <w:t>L’U</w:t>
      </w:r>
      <w:r w:rsidR="00005290">
        <w:rPr>
          <w:rFonts w:cs="Arial"/>
          <w:sz w:val="22"/>
        </w:rPr>
        <w:t>NCP</w:t>
      </w:r>
      <w:r w:rsidRPr="00296E4B">
        <w:rPr>
          <w:rFonts w:cs="Arial"/>
          <w:sz w:val="22"/>
        </w:rPr>
        <w:t xml:space="preserve"> du PNDA garantira l’effectivité de la prise en compte des aspects et des enjeux environnementaux et sociaux dans l’exécution des activités du Projet sur l’ensemble de l’aire géographique du Projet. Elle aura la responsabilité globale de la mise en œuvre du présent CGES et des instruments et autres mesures de sauvegarde environnementale et sociale relatives au Projet. </w:t>
      </w:r>
    </w:p>
    <w:p w14:paraId="4BD9E070" w14:textId="77777777" w:rsidR="001C2F95" w:rsidRPr="00296E4B" w:rsidRDefault="001C2F95" w:rsidP="001C2F95">
      <w:pPr>
        <w:rPr>
          <w:rFonts w:cs="Arial"/>
          <w:sz w:val="22"/>
        </w:rPr>
      </w:pPr>
    </w:p>
    <w:p w14:paraId="00840E98" w14:textId="77777777" w:rsidR="001C2F95" w:rsidRPr="00296E4B" w:rsidRDefault="001C2F95" w:rsidP="002378EA">
      <w:pPr>
        <w:pStyle w:val="Paragraphedeliste"/>
        <w:numPr>
          <w:ilvl w:val="0"/>
          <w:numId w:val="29"/>
        </w:numPr>
        <w:spacing w:line="240" w:lineRule="auto"/>
        <w:rPr>
          <w:rFonts w:cs="Arial"/>
          <w:i/>
          <w:color w:val="000000"/>
          <w:sz w:val="22"/>
        </w:rPr>
      </w:pPr>
      <w:r w:rsidRPr="00296E4B">
        <w:rPr>
          <w:rFonts w:cs="Arial"/>
          <w:i/>
          <w:color w:val="000000"/>
          <w:sz w:val="22"/>
        </w:rPr>
        <w:t>Agence Congolaise de l’Environnement (ACE) </w:t>
      </w:r>
    </w:p>
    <w:p w14:paraId="653091E4" w14:textId="77777777" w:rsidR="001C2F95" w:rsidRPr="00296E4B" w:rsidRDefault="001C2F95" w:rsidP="001C2F95">
      <w:pPr>
        <w:ind w:left="360"/>
        <w:rPr>
          <w:rFonts w:cs="Arial"/>
          <w:i/>
          <w:color w:val="000000"/>
          <w:sz w:val="22"/>
        </w:rPr>
      </w:pPr>
    </w:p>
    <w:p w14:paraId="1359CC45" w14:textId="77777777" w:rsidR="001C2F95" w:rsidRPr="00296E4B" w:rsidRDefault="001C2F95" w:rsidP="001C2F95">
      <w:pPr>
        <w:rPr>
          <w:rFonts w:cs="Arial"/>
          <w:sz w:val="22"/>
        </w:rPr>
      </w:pPr>
      <w:r w:rsidRPr="00296E4B">
        <w:rPr>
          <w:rFonts w:cs="Arial"/>
          <w:color w:val="000000"/>
          <w:sz w:val="22"/>
        </w:rPr>
        <w:t xml:space="preserve">Elle </w:t>
      </w:r>
      <w:r w:rsidRPr="00296E4B">
        <w:rPr>
          <w:rFonts w:cs="Arial"/>
          <w:i/>
          <w:color w:val="000000"/>
          <w:sz w:val="22"/>
        </w:rPr>
        <w:t>(i)</w:t>
      </w:r>
      <w:r w:rsidRPr="00296E4B">
        <w:rPr>
          <w:rFonts w:cs="Arial"/>
          <w:color w:val="000000"/>
          <w:sz w:val="22"/>
        </w:rPr>
        <w:t xml:space="preserve"> </w:t>
      </w:r>
      <w:r w:rsidRPr="00296E4B">
        <w:rPr>
          <w:rFonts w:cs="Arial"/>
          <w:sz w:val="22"/>
        </w:rPr>
        <w:t>participera à la classification environnementale des activités</w:t>
      </w:r>
      <w:r w:rsidRPr="00296E4B">
        <w:rPr>
          <w:rFonts w:cs="Arial"/>
          <w:color w:val="000000"/>
          <w:sz w:val="22"/>
        </w:rPr>
        <w:t xml:space="preserve">, </w:t>
      </w:r>
      <w:r w:rsidRPr="00296E4B">
        <w:rPr>
          <w:rFonts w:cs="Arial"/>
          <w:i/>
          <w:sz w:val="22"/>
        </w:rPr>
        <w:t>(ii)</w:t>
      </w:r>
      <w:r w:rsidRPr="00296E4B">
        <w:rPr>
          <w:rFonts w:cs="Arial"/>
          <w:sz w:val="22"/>
        </w:rPr>
        <w:t xml:space="preserve"> validera les documents de sauvegardes environnementale et sociale produits par les consultants, </w:t>
      </w:r>
      <w:r w:rsidRPr="00296E4B">
        <w:rPr>
          <w:rFonts w:cs="Arial"/>
          <w:i/>
          <w:sz w:val="22"/>
        </w:rPr>
        <w:t xml:space="preserve">(iii) </w:t>
      </w:r>
      <w:r w:rsidRPr="00296E4B">
        <w:rPr>
          <w:rFonts w:cs="Arial"/>
          <w:sz w:val="22"/>
        </w:rPr>
        <w:t>assurera, pour le compte du CTPS, le suivi environnemental des activités du PNDA.</w:t>
      </w:r>
    </w:p>
    <w:p w14:paraId="76FE3C58" w14:textId="77777777" w:rsidR="001C2F95" w:rsidRPr="00296E4B" w:rsidRDefault="001C2F95" w:rsidP="001C2F95">
      <w:pPr>
        <w:rPr>
          <w:rFonts w:cs="Arial"/>
          <w:color w:val="000000"/>
          <w:sz w:val="22"/>
        </w:rPr>
      </w:pPr>
    </w:p>
    <w:p w14:paraId="125DEE8A" w14:textId="77777777" w:rsidR="001C2F95" w:rsidRPr="00296E4B" w:rsidRDefault="001C2F95" w:rsidP="002378EA">
      <w:pPr>
        <w:pStyle w:val="Paragraphedeliste"/>
        <w:numPr>
          <w:ilvl w:val="0"/>
          <w:numId w:val="29"/>
        </w:numPr>
        <w:spacing w:line="240" w:lineRule="auto"/>
        <w:rPr>
          <w:rFonts w:cs="Arial"/>
          <w:i/>
          <w:color w:val="000000"/>
          <w:sz w:val="22"/>
        </w:rPr>
      </w:pPr>
      <w:r w:rsidRPr="00296E4B">
        <w:rPr>
          <w:rFonts w:cs="Arial"/>
          <w:i/>
          <w:color w:val="000000"/>
          <w:sz w:val="22"/>
        </w:rPr>
        <w:t xml:space="preserve">Coordinations Provinciales pour l’Environnement (CPE) </w:t>
      </w:r>
    </w:p>
    <w:p w14:paraId="3894CD45" w14:textId="77777777" w:rsidR="001C2F95" w:rsidRPr="00296E4B" w:rsidRDefault="001C2F95" w:rsidP="001C2F95">
      <w:pPr>
        <w:rPr>
          <w:rFonts w:cs="Arial"/>
          <w:i/>
          <w:color w:val="000000"/>
          <w:sz w:val="22"/>
        </w:rPr>
      </w:pPr>
    </w:p>
    <w:p w14:paraId="3F939F31" w14:textId="77777777" w:rsidR="001C2F95" w:rsidRPr="00296E4B" w:rsidRDefault="001C2F95" w:rsidP="001C2F95">
      <w:pPr>
        <w:rPr>
          <w:rFonts w:cs="Arial"/>
          <w:i/>
          <w:color w:val="000000"/>
          <w:sz w:val="22"/>
        </w:rPr>
      </w:pPr>
      <w:r w:rsidRPr="00296E4B">
        <w:rPr>
          <w:rFonts w:cs="Arial"/>
          <w:color w:val="000000"/>
          <w:sz w:val="22"/>
        </w:rPr>
        <w:t>Elles vont appuyer les provinces qui n’ont pas encore implanté l’ACE</w:t>
      </w:r>
      <w:r w:rsidRPr="00296E4B">
        <w:rPr>
          <w:rFonts w:cs="Arial"/>
          <w:sz w:val="22"/>
        </w:rPr>
        <w:t xml:space="preserve">, avec l’appui du PNDA (phase de préparation) puis de l’UGP (phase de mise en œuvre), </w:t>
      </w:r>
      <w:r w:rsidRPr="00296E4B">
        <w:rPr>
          <w:rFonts w:cs="Arial"/>
          <w:color w:val="000000"/>
          <w:sz w:val="22"/>
        </w:rPr>
        <w:t>dans la classification des sous-projets et vont intervenir dans le suivi de la mise en œuvre des sous-projets.</w:t>
      </w:r>
    </w:p>
    <w:p w14:paraId="1D4EED73" w14:textId="77777777" w:rsidR="001C2F95" w:rsidRPr="00296E4B" w:rsidRDefault="001C2F95" w:rsidP="001C2F95">
      <w:pPr>
        <w:ind w:left="360"/>
        <w:rPr>
          <w:rFonts w:cs="Arial"/>
          <w:i/>
          <w:color w:val="000000"/>
          <w:sz w:val="22"/>
        </w:rPr>
      </w:pPr>
    </w:p>
    <w:p w14:paraId="77F815AA" w14:textId="77777777" w:rsidR="001C2F95" w:rsidRPr="00296E4B" w:rsidRDefault="001C2F95" w:rsidP="001C2F95">
      <w:pPr>
        <w:rPr>
          <w:rFonts w:cs="Arial"/>
          <w:color w:val="000000"/>
          <w:sz w:val="22"/>
        </w:rPr>
      </w:pPr>
      <w:r w:rsidRPr="00296E4B">
        <w:rPr>
          <w:rFonts w:cs="Arial"/>
          <w:color w:val="000000"/>
          <w:sz w:val="22"/>
        </w:rPr>
        <w:t>Les autres institutions impliquées dans la mise en œuvre du PNDA :</w:t>
      </w:r>
    </w:p>
    <w:p w14:paraId="03640024" w14:textId="77777777" w:rsidR="001C2F95" w:rsidRPr="00296E4B" w:rsidRDefault="001C2F95" w:rsidP="001C2F95">
      <w:pPr>
        <w:rPr>
          <w:rFonts w:cs="Arial"/>
          <w:color w:val="000000"/>
          <w:sz w:val="22"/>
        </w:rPr>
      </w:pPr>
    </w:p>
    <w:p w14:paraId="2E660F6A"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l’Institut Congolais pour la Conservation de la Nature (ICCN) : Il assurera le suivi externe de la faune et des aires protégées ; </w:t>
      </w:r>
    </w:p>
    <w:p w14:paraId="1C6A210A"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la Direction de la Conservation de la Nature (DCN) : Elle effectuera le suivi des activités de reboisement ; </w:t>
      </w:r>
    </w:p>
    <w:p w14:paraId="2E8233B5"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la Direction de Voies de Desserte Agricole (DVDA) : Elle s’occupera du suivi des pistes rurales ; </w:t>
      </w:r>
    </w:p>
    <w:p w14:paraId="54066DA3"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le Service National de l’Hydraulique Rurale (SNHR) : Il assurera le suivi de la qualité des ressources en eau. </w:t>
      </w:r>
    </w:p>
    <w:p w14:paraId="15A8D99D"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les Collectivités locales : elles participeront au suivi environnemental et social à travers leurs services techniques municipaux ;  </w:t>
      </w:r>
    </w:p>
    <w:p w14:paraId="09B115E2"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 xml:space="preserve">les Entreprises des travaux : Elles ont pour responsabilité à travers leur Expert en Environnement, la mise en œuvre des PGES et la rédaction des rapports de mise en œuvre desdits PGES ; </w:t>
      </w:r>
    </w:p>
    <w:p w14:paraId="69A13B44" w14:textId="77777777" w:rsidR="001C2F95" w:rsidRPr="00296E4B"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les Missions de Contrôle : Ayant en leur sein un Expert en Environnement, celui-ci est chargé du suivi au jour le jour de la mise en œuvre du PGES et l’élaboration d’un rapport de suivi environnemental et social à transmettre à l’UGP/PNDA ;</w:t>
      </w:r>
    </w:p>
    <w:p w14:paraId="696B9A6F" w14:textId="77777777" w:rsidR="001C2F95" w:rsidRDefault="001C2F95" w:rsidP="002378EA">
      <w:pPr>
        <w:widowControl w:val="0"/>
        <w:numPr>
          <w:ilvl w:val="0"/>
          <w:numId w:val="68"/>
        </w:numPr>
        <w:autoSpaceDE w:val="0"/>
        <w:autoSpaceDN w:val="0"/>
        <w:rPr>
          <w:rFonts w:eastAsia="MS Mincho" w:cs="Arial"/>
          <w:sz w:val="22"/>
        </w:rPr>
      </w:pPr>
      <w:r w:rsidRPr="00296E4B">
        <w:rPr>
          <w:rFonts w:eastAsia="MS Mincho" w:cs="Arial"/>
          <w:sz w:val="22"/>
        </w:rPr>
        <w:t>les ONG de la Société Civile du secteur agricole</w:t>
      </w:r>
      <w:r>
        <w:rPr>
          <w:rFonts w:eastAsia="MS Mincho" w:cs="Arial"/>
          <w:sz w:val="22"/>
        </w:rPr>
        <w:t xml:space="preserve">, </w:t>
      </w:r>
      <w:r w:rsidRPr="00296E4B">
        <w:rPr>
          <w:rFonts w:eastAsia="MS Mincho" w:cs="Arial"/>
          <w:sz w:val="22"/>
        </w:rPr>
        <w:t>y compris celles de lutte contre les VBG</w:t>
      </w:r>
      <w:r>
        <w:rPr>
          <w:rFonts w:eastAsia="MS Mincho" w:cs="Arial"/>
          <w:sz w:val="22"/>
        </w:rPr>
        <w:t>, y compris l’EAS et le HS,</w:t>
      </w:r>
      <w:r w:rsidRPr="00296E4B">
        <w:rPr>
          <w:rFonts w:eastAsia="MS Mincho" w:cs="Arial"/>
          <w:sz w:val="22"/>
        </w:rPr>
        <w:t xml:space="preserve"> et la COVID-19</w:t>
      </w:r>
      <w:r>
        <w:rPr>
          <w:rFonts w:eastAsia="MS Mincho" w:cs="Arial"/>
          <w:sz w:val="22"/>
        </w:rPr>
        <w:t>.</w:t>
      </w:r>
      <w:r w:rsidRPr="00296E4B">
        <w:rPr>
          <w:rFonts w:eastAsia="MS Mincho" w:cs="Arial"/>
          <w:sz w:val="22"/>
        </w:rPr>
        <w:t xml:space="preserve"> En plus de la mobilisation sociale, elles participeront à la sensibilisation des populations et au suivi de la mise en œuvre des PGES à travers l’interpellation des principaux acteurs du PNDA</w:t>
      </w:r>
      <w:r>
        <w:rPr>
          <w:rFonts w:eastAsia="MS Mincho" w:cs="Arial"/>
          <w:sz w:val="22"/>
        </w:rPr>
        <w:t> ;</w:t>
      </w:r>
    </w:p>
    <w:p w14:paraId="60108264" w14:textId="77777777" w:rsidR="001C2F95" w:rsidRPr="00664255" w:rsidRDefault="001C2F95" w:rsidP="002378EA">
      <w:pPr>
        <w:widowControl w:val="0"/>
        <w:numPr>
          <w:ilvl w:val="0"/>
          <w:numId w:val="68"/>
        </w:numPr>
        <w:autoSpaceDE w:val="0"/>
        <w:autoSpaceDN w:val="0"/>
        <w:rPr>
          <w:rFonts w:eastAsia="MS Mincho" w:cs="Arial"/>
          <w:sz w:val="22"/>
        </w:rPr>
      </w:pPr>
      <w:r w:rsidRPr="00664255">
        <w:rPr>
          <w:rFonts w:eastAsia="MS Mincho" w:cs="Arial"/>
          <w:sz w:val="22"/>
        </w:rPr>
        <w:t>Les Divisions Provinciales du genre, de la famille et de l’enfant ainsi que les Divisions Provinciales de la Santé (DPS, en sigle) en tant que organe</w:t>
      </w:r>
      <w:r>
        <w:rPr>
          <w:rFonts w:eastAsia="MS Mincho" w:cs="Arial"/>
          <w:sz w:val="22"/>
        </w:rPr>
        <w:t>s</w:t>
      </w:r>
      <w:r w:rsidRPr="00664255">
        <w:rPr>
          <w:rFonts w:eastAsia="MS Mincho" w:cs="Arial"/>
          <w:sz w:val="22"/>
        </w:rPr>
        <w:t xml:space="preserve"> normatif</w:t>
      </w:r>
      <w:r>
        <w:rPr>
          <w:rFonts w:eastAsia="MS Mincho" w:cs="Arial"/>
          <w:sz w:val="22"/>
        </w:rPr>
        <w:t>s</w:t>
      </w:r>
      <w:r w:rsidRPr="00664255">
        <w:rPr>
          <w:rFonts w:eastAsia="MS Mincho" w:cs="Arial"/>
          <w:sz w:val="22"/>
        </w:rPr>
        <w:t xml:space="preserve"> des protocole</w:t>
      </w:r>
      <w:r>
        <w:rPr>
          <w:rFonts w:eastAsia="MS Mincho" w:cs="Arial"/>
          <w:sz w:val="22"/>
        </w:rPr>
        <w:t>s</w:t>
      </w:r>
      <w:r w:rsidRPr="00664255">
        <w:rPr>
          <w:rFonts w:eastAsia="MS Mincho" w:cs="Arial"/>
          <w:sz w:val="22"/>
        </w:rPr>
        <w:t xml:space="preserve"> de prise en charge sur les questions VBG.</w:t>
      </w:r>
    </w:p>
    <w:p w14:paraId="74673002" w14:textId="77777777" w:rsidR="001C2F95" w:rsidRPr="00296E4B" w:rsidRDefault="001C2F95" w:rsidP="001C2F95">
      <w:pPr>
        <w:tabs>
          <w:tab w:val="left" w:pos="426"/>
        </w:tabs>
        <w:contextualSpacing/>
        <w:rPr>
          <w:rFonts w:cs="Arial"/>
          <w:i/>
          <w:sz w:val="22"/>
        </w:rPr>
      </w:pPr>
    </w:p>
    <w:p w14:paraId="35A9BC55" w14:textId="77777777" w:rsidR="001C2F95" w:rsidRPr="00296E4B" w:rsidRDefault="001C2F95" w:rsidP="001C2F95">
      <w:pPr>
        <w:tabs>
          <w:tab w:val="left" w:pos="426"/>
        </w:tabs>
        <w:contextualSpacing/>
        <w:rPr>
          <w:rFonts w:cs="Arial"/>
          <w:i/>
          <w:sz w:val="22"/>
        </w:rPr>
      </w:pPr>
      <w:r w:rsidRPr="00296E4B">
        <w:rPr>
          <w:rFonts w:cs="Arial"/>
          <w:i/>
          <w:sz w:val="22"/>
        </w:rPr>
        <w:t>Rôles et responsabilités pour la mise en œuvre des mesures de gestion environnementales et sociales</w:t>
      </w:r>
    </w:p>
    <w:p w14:paraId="4BAAC93E" w14:textId="77777777" w:rsidR="001C2F95" w:rsidRPr="00296E4B" w:rsidRDefault="001C2F95" w:rsidP="001C2F95">
      <w:pPr>
        <w:pStyle w:val="Paragraphedeliste"/>
        <w:rPr>
          <w:rFonts w:cs="Arial"/>
          <w:sz w:val="22"/>
        </w:rPr>
      </w:pPr>
    </w:p>
    <w:p w14:paraId="71F72A7C" w14:textId="77777777" w:rsidR="001C2F95" w:rsidRPr="00296E4B" w:rsidRDefault="001C2F95" w:rsidP="002378EA">
      <w:pPr>
        <w:pStyle w:val="Paragraphedeliste"/>
        <w:numPr>
          <w:ilvl w:val="0"/>
          <w:numId w:val="26"/>
        </w:numPr>
        <w:rPr>
          <w:rFonts w:cs="Arial"/>
          <w:sz w:val="22"/>
        </w:rPr>
      </w:pPr>
      <w:r w:rsidRPr="00296E4B">
        <w:rPr>
          <w:rFonts w:cs="Arial"/>
          <w:i/>
          <w:sz w:val="22"/>
        </w:rPr>
        <w:t>Le Comité Technique Préparatoire et de Suivi</w:t>
      </w:r>
      <w:r>
        <w:rPr>
          <w:rFonts w:cs="Arial"/>
          <w:sz w:val="22"/>
        </w:rPr>
        <w:t xml:space="preserve"> </w:t>
      </w:r>
      <w:r w:rsidRPr="00296E4B">
        <w:rPr>
          <w:rFonts w:cs="Arial"/>
          <w:sz w:val="22"/>
        </w:rPr>
        <w:t>est responsable</w:t>
      </w:r>
      <w:r>
        <w:rPr>
          <w:rFonts w:cs="Arial"/>
          <w:sz w:val="22"/>
        </w:rPr>
        <w:t xml:space="preserve"> </w:t>
      </w:r>
      <w:r w:rsidRPr="00296E4B">
        <w:rPr>
          <w:rFonts w:cs="Arial"/>
          <w:sz w:val="22"/>
        </w:rPr>
        <w:t xml:space="preserve">de la procédure d’approbation de la catégorisation pendant la phase de préparation du Projet sous financement PPA. Il coordonne la diffusion des rapports avec l’UNCP/PARRSA. En </w:t>
      </w:r>
      <w:r w:rsidRPr="00296E4B">
        <w:rPr>
          <w:rFonts w:cs="Arial"/>
          <w:sz w:val="22"/>
        </w:rPr>
        <w:lastRenderedPageBreak/>
        <w:t>phase de mise en œuvre du Projet, cette fonction d’approbation de la catégorisation sera assurée par le Coordonnateur de l’UGP/PNDA.</w:t>
      </w:r>
    </w:p>
    <w:p w14:paraId="3225C485" w14:textId="77777777" w:rsidR="001C2F95" w:rsidRPr="00296E4B" w:rsidRDefault="001C2F95" w:rsidP="001C2F95">
      <w:pPr>
        <w:ind w:left="720"/>
        <w:rPr>
          <w:rFonts w:cs="Arial"/>
          <w:color w:val="000000"/>
          <w:sz w:val="22"/>
        </w:rPr>
      </w:pPr>
    </w:p>
    <w:p w14:paraId="6DF0E453" w14:textId="77777777" w:rsidR="001C2F95" w:rsidRPr="00296E4B" w:rsidRDefault="001C2F95" w:rsidP="002378EA">
      <w:pPr>
        <w:numPr>
          <w:ilvl w:val="0"/>
          <w:numId w:val="26"/>
        </w:numPr>
        <w:rPr>
          <w:rFonts w:cs="Arial"/>
          <w:color w:val="000000"/>
          <w:sz w:val="22"/>
        </w:rPr>
      </w:pPr>
      <w:r w:rsidRPr="00296E4B">
        <w:rPr>
          <w:rFonts w:cs="Arial"/>
          <w:i/>
          <w:color w:val="000000"/>
          <w:sz w:val="22"/>
        </w:rPr>
        <w:t xml:space="preserve">Le Spécialiste Sauvegarde Environnementale </w:t>
      </w:r>
      <w:r w:rsidRPr="00296E4B">
        <w:rPr>
          <w:rFonts w:cs="Arial"/>
          <w:color w:val="000000"/>
          <w:sz w:val="22"/>
        </w:rPr>
        <w:t xml:space="preserve">et </w:t>
      </w:r>
      <w:r w:rsidRPr="00296E4B">
        <w:rPr>
          <w:rFonts w:cs="Arial"/>
          <w:i/>
          <w:color w:val="000000"/>
          <w:sz w:val="22"/>
        </w:rPr>
        <w:t xml:space="preserve">le Spécialiste en Développement Social </w:t>
      </w:r>
      <w:r w:rsidRPr="00296E4B">
        <w:rPr>
          <w:rFonts w:cs="Arial"/>
          <w:color w:val="000000"/>
          <w:sz w:val="22"/>
        </w:rPr>
        <w:t>ainsi que</w:t>
      </w:r>
      <w:r w:rsidRPr="00296E4B">
        <w:rPr>
          <w:rFonts w:cs="Arial"/>
          <w:i/>
          <w:color w:val="000000"/>
          <w:sz w:val="22"/>
        </w:rPr>
        <w:t xml:space="preserve"> le </w:t>
      </w:r>
      <w:r>
        <w:rPr>
          <w:rFonts w:cs="Arial"/>
          <w:i/>
          <w:color w:val="000000"/>
          <w:sz w:val="22"/>
        </w:rPr>
        <w:t>S</w:t>
      </w:r>
      <w:r w:rsidRPr="00296E4B">
        <w:rPr>
          <w:rFonts w:cs="Arial"/>
          <w:i/>
          <w:color w:val="000000"/>
          <w:sz w:val="22"/>
        </w:rPr>
        <w:t>pécialiste en VBG en phase de préparation</w:t>
      </w:r>
      <w:r>
        <w:rPr>
          <w:rFonts w:cs="Arial"/>
          <w:i/>
          <w:color w:val="000000"/>
          <w:sz w:val="22"/>
        </w:rPr>
        <w:t xml:space="preserve"> </w:t>
      </w:r>
      <w:r w:rsidRPr="00296E4B">
        <w:rPr>
          <w:rFonts w:cs="Arial"/>
          <w:color w:val="000000"/>
          <w:sz w:val="22"/>
        </w:rPr>
        <w:t>vont</w:t>
      </w:r>
      <w:r w:rsidRPr="00296E4B">
        <w:rPr>
          <w:rFonts w:cs="Arial"/>
          <w:sz w:val="22"/>
        </w:rPr>
        <w:t xml:space="preserve"> s’assurer de la mise en œuvre de toutes les mesures de sauvegardes environnementales et sociales pendant la durée du Projet : </w:t>
      </w:r>
      <w:r w:rsidRPr="00296E4B">
        <w:rPr>
          <w:rFonts w:cs="Arial"/>
          <w:i/>
          <w:sz w:val="22"/>
        </w:rPr>
        <w:t>(i)</w:t>
      </w:r>
      <w:r w:rsidRPr="00296E4B">
        <w:rPr>
          <w:rFonts w:cs="Arial"/>
          <w:sz w:val="22"/>
        </w:rPr>
        <w:t xml:space="preserve"> ils rempliront les fiches de sélection environnementale et procéderont à la détermination des catégories environnementales appropriées, avec l’appui de la Banque Mondiale, </w:t>
      </w:r>
      <w:r w:rsidRPr="00296E4B">
        <w:rPr>
          <w:rFonts w:cs="Arial"/>
          <w:i/>
          <w:sz w:val="22"/>
        </w:rPr>
        <w:t>(ii)</w:t>
      </w:r>
      <w:r w:rsidRPr="00296E4B">
        <w:rPr>
          <w:rFonts w:cs="Arial"/>
          <w:sz w:val="22"/>
        </w:rPr>
        <w:t xml:space="preserve"> </w:t>
      </w:r>
      <w:r>
        <w:rPr>
          <w:rFonts w:cs="Arial"/>
          <w:sz w:val="22"/>
        </w:rPr>
        <w:t>i</w:t>
      </w:r>
      <w:r w:rsidRPr="00296E4B">
        <w:rPr>
          <w:rFonts w:cs="Arial"/>
          <w:sz w:val="22"/>
        </w:rPr>
        <w:t xml:space="preserve">ls effectueront également le choix des mesures d’atténuation appropriées en cas de non-nécessité d’élaborer des PGES pour les sous-projets, </w:t>
      </w:r>
      <w:r w:rsidRPr="00296E4B">
        <w:rPr>
          <w:rFonts w:cs="Arial"/>
          <w:i/>
          <w:sz w:val="22"/>
        </w:rPr>
        <w:t>(iii)</w:t>
      </w:r>
      <w:r w:rsidRPr="00296E4B">
        <w:rPr>
          <w:rFonts w:cs="Arial"/>
          <w:sz w:val="22"/>
        </w:rPr>
        <w:t xml:space="preserve"> </w:t>
      </w:r>
      <w:r>
        <w:rPr>
          <w:rFonts w:cs="Arial"/>
          <w:sz w:val="22"/>
        </w:rPr>
        <w:t>i</w:t>
      </w:r>
      <w:r w:rsidRPr="00296E4B">
        <w:rPr>
          <w:rFonts w:cs="Arial"/>
          <w:sz w:val="22"/>
        </w:rPr>
        <w:t>ls assureront aussi la coordination du suivi des aspects environnementaux et sociaux</w:t>
      </w:r>
      <w:r>
        <w:rPr>
          <w:rFonts w:cs="Arial"/>
          <w:sz w:val="22"/>
        </w:rPr>
        <w:t>,</w:t>
      </w:r>
      <w:r w:rsidRPr="00296E4B">
        <w:rPr>
          <w:rFonts w:cs="Arial"/>
          <w:sz w:val="22"/>
        </w:rPr>
        <w:t xml:space="preserve"> y compris des risques des VBG</w:t>
      </w:r>
      <w:r>
        <w:rPr>
          <w:rFonts w:cs="Arial"/>
          <w:sz w:val="22"/>
        </w:rPr>
        <w:t>, EAS, HS,</w:t>
      </w:r>
      <w:r w:rsidRPr="00296E4B">
        <w:rPr>
          <w:rFonts w:cs="Arial"/>
          <w:sz w:val="22"/>
        </w:rPr>
        <w:t xml:space="preserve"> et de la COVID-19, ainsi que de l’audit de conformité du Projet avec les mesures environnementales et sociales proposées.</w:t>
      </w:r>
    </w:p>
    <w:p w14:paraId="4D744554" w14:textId="77777777" w:rsidR="001C2F95" w:rsidRPr="00296E4B" w:rsidRDefault="001C2F95" w:rsidP="001C2F95">
      <w:pPr>
        <w:ind w:left="720"/>
        <w:rPr>
          <w:rFonts w:cs="Arial"/>
          <w:color w:val="000000"/>
          <w:sz w:val="22"/>
        </w:rPr>
      </w:pPr>
    </w:p>
    <w:p w14:paraId="0094870E" w14:textId="77777777" w:rsidR="001C2F95" w:rsidRPr="00296E4B" w:rsidRDefault="001C2F95" w:rsidP="002378EA">
      <w:pPr>
        <w:numPr>
          <w:ilvl w:val="0"/>
          <w:numId w:val="26"/>
        </w:numPr>
        <w:rPr>
          <w:rFonts w:cs="Arial"/>
          <w:color w:val="000000"/>
          <w:sz w:val="22"/>
        </w:rPr>
      </w:pPr>
      <w:r w:rsidRPr="00296E4B">
        <w:rPr>
          <w:rFonts w:cs="Arial"/>
          <w:i/>
          <w:color w:val="000000"/>
          <w:sz w:val="22"/>
        </w:rPr>
        <w:t>Le Responsable Technique de l’Activité Éligible au PNDA</w:t>
      </w:r>
      <w:r w:rsidRPr="00296E4B">
        <w:rPr>
          <w:rFonts w:cs="Arial"/>
          <w:color w:val="000000"/>
          <w:sz w:val="22"/>
        </w:rPr>
        <w:t> (</w:t>
      </w:r>
      <w:r w:rsidRPr="00296E4B">
        <w:rPr>
          <w:rFonts w:cs="Arial"/>
          <w:i/>
          <w:color w:val="000000"/>
          <w:sz w:val="22"/>
        </w:rPr>
        <w:t>Chargé de Projet</w:t>
      </w:r>
      <w:r w:rsidRPr="00296E4B">
        <w:rPr>
          <w:rFonts w:cs="Arial"/>
          <w:color w:val="000000"/>
          <w:sz w:val="22"/>
        </w:rPr>
        <w:t>) est responsable de : l’identification de la localisation/site et principales caractéristiques techniques du sous-projet et de l’intégration dans le dossier d’appel d’offres (DAO) du sous-projet, de toutes les mesures de la phase des travaux pouvant être contractualisées avec l’entreprise ;</w:t>
      </w:r>
    </w:p>
    <w:p w14:paraId="5D0DC7E6" w14:textId="77777777" w:rsidR="001C2F95" w:rsidRPr="00296E4B" w:rsidRDefault="001C2F95" w:rsidP="001C2F95">
      <w:pPr>
        <w:pStyle w:val="Paragraphedeliste"/>
        <w:rPr>
          <w:rFonts w:cs="Arial"/>
          <w:color w:val="000000"/>
          <w:sz w:val="22"/>
        </w:rPr>
      </w:pPr>
    </w:p>
    <w:p w14:paraId="74BABC03" w14:textId="77777777" w:rsidR="001C2F95" w:rsidRDefault="001C2F95" w:rsidP="002378EA">
      <w:pPr>
        <w:numPr>
          <w:ilvl w:val="0"/>
          <w:numId w:val="26"/>
        </w:numPr>
        <w:rPr>
          <w:rFonts w:cs="Arial"/>
          <w:color w:val="000000"/>
          <w:sz w:val="22"/>
        </w:rPr>
      </w:pPr>
      <w:r w:rsidRPr="00296E4B">
        <w:rPr>
          <w:rFonts w:cs="Arial"/>
          <w:i/>
          <w:color w:val="000000"/>
          <w:sz w:val="22"/>
        </w:rPr>
        <w:t xml:space="preserve">Le Spécialiste en passation des marchés </w:t>
      </w:r>
      <w:r w:rsidRPr="00296E4B">
        <w:rPr>
          <w:rFonts w:cs="Arial"/>
          <w:i/>
          <w:sz w:val="22"/>
        </w:rPr>
        <w:t xml:space="preserve">du PNDA (en phase de préparation et de mise en œuvre, en concertation avec les spécialistes environnemental et social) </w:t>
      </w:r>
      <w:r w:rsidRPr="00296E4B">
        <w:rPr>
          <w:rFonts w:cs="Arial"/>
          <w:i/>
          <w:color w:val="000000"/>
          <w:sz w:val="22"/>
        </w:rPr>
        <w:t>:</w:t>
      </w:r>
      <w:r w:rsidRPr="00296E4B">
        <w:rPr>
          <w:rFonts w:cs="Arial"/>
          <w:color w:val="000000"/>
          <w:sz w:val="22"/>
        </w:rPr>
        <w:t xml:space="preserve"> veille à l’inclusion des activités suivantes dans les plans de passation des marchés via le STEP et prépare les documents contractuels y relatifs (études, intégration des mesures dans le dossier d’appel d’offres ; PGES entreprise, exécution/Mise en œuvre des mesures ; renforcement des capacités ; surveillance et audit) ;</w:t>
      </w:r>
    </w:p>
    <w:p w14:paraId="3ACBB541" w14:textId="77777777" w:rsidR="001C2F95" w:rsidRPr="00296E4B" w:rsidRDefault="001C2F95" w:rsidP="001C2F95">
      <w:pPr>
        <w:ind w:left="720"/>
        <w:rPr>
          <w:rFonts w:cs="Arial"/>
          <w:color w:val="000000"/>
          <w:sz w:val="22"/>
        </w:rPr>
      </w:pPr>
    </w:p>
    <w:p w14:paraId="33F54353" w14:textId="77777777" w:rsidR="001C2F95" w:rsidRPr="00296E4B" w:rsidRDefault="001C2F95" w:rsidP="002378EA">
      <w:pPr>
        <w:pStyle w:val="Paragraphedeliste"/>
        <w:numPr>
          <w:ilvl w:val="0"/>
          <w:numId w:val="26"/>
        </w:numPr>
        <w:rPr>
          <w:rFonts w:cs="Arial"/>
          <w:sz w:val="22"/>
        </w:rPr>
      </w:pPr>
      <w:r w:rsidRPr="00296E4B">
        <w:rPr>
          <w:rFonts w:cs="Arial"/>
          <w:i/>
          <w:sz w:val="22"/>
        </w:rPr>
        <w:t>Le Responsable des finances </w:t>
      </w:r>
      <w:r w:rsidRPr="00296E4B">
        <w:rPr>
          <w:rFonts w:cs="Arial"/>
          <w:i/>
          <w:color w:val="000000"/>
          <w:sz w:val="22"/>
        </w:rPr>
        <w:t>d</w:t>
      </w:r>
      <w:r w:rsidRPr="00296E4B">
        <w:rPr>
          <w:rFonts w:cs="Arial"/>
          <w:i/>
          <w:sz w:val="22"/>
        </w:rPr>
        <w:t>u PNDA en phase de préparation et de mise en œuvre) :</w:t>
      </w:r>
      <w:r w:rsidRPr="00296E4B">
        <w:rPr>
          <w:rFonts w:cs="Arial"/>
          <w:sz w:val="22"/>
        </w:rPr>
        <w:t xml:space="preserve"> inclut dans les états financiers, les provisions budgétaires relatives à l’Exécution/Mise en œuvre des mesures d’appui à la Surveillance de la mise en œuvre des mesures environnementales et sociales y compris des VBG et de la COVID-19 ;</w:t>
      </w:r>
    </w:p>
    <w:p w14:paraId="63249048" w14:textId="77777777" w:rsidR="001C2F95" w:rsidRPr="00D56D53" w:rsidRDefault="001C2F95" w:rsidP="001C2F95">
      <w:pPr>
        <w:pStyle w:val="Paragraphedeliste"/>
        <w:rPr>
          <w:rFonts w:cs="Arial"/>
          <w:sz w:val="22"/>
        </w:rPr>
      </w:pPr>
    </w:p>
    <w:p w14:paraId="0CBFFECA" w14:textId="77777777" w:rsidR="001C2F95" w:rsidRPr="00296E4B" w:rsidRDefault="001C2F95" w:rsidP="002378EA">
      <w:pPr>
        <w:pStyle w:val="Paragraphedeliste"/>
        <w:numPr>
          <w:ilvl w:val="0"/>
          <w:numId w:val="26"/>
        </w:numPr>
        <w:rPr>
          <w:rFonts w:cs="Arial"/>
          <w:sz w:val="22"/>
        </w:rPr>
      </w:pPr>
      <w:r w:rsidRPr="00296E4B">
        <w:rPr>
          <w:rFonts w:cs="Arial"/>
          <w:i/>
          <w:sz w:val="22"/>
        </w:rPr>
        <w:t>Le Spécialiste en suivi-évaluation du PNDA (en phase de préparation et de mise en œuvre) :</w:t>
      </w:r>
      <w:r w:rsidRPr="00296E4B">
        <w:rPr>
          <w:rFonts w:cs="Arial"/>
          <w:sz w:val="22"/>
        </w:rPr>
        <w:t xml:space="preserve"> il participe à la Surveillance interne de la mise en œuvre des mesures environnementales et sociales</w:t>
      </w:r>
      <w:r>
        <w:rPr>
          <w:rFonts w:cs="Arial"/>
          <w:sz w:val="22"/>
        </w:rPr>
        <w:t>,</w:t>
      </w:r>
      <w:r w:rsidRPr="00296E4B">
        <w:rPr>
          <w:rFonts w:cs="Arial"/>
          <w:sz w:val="22"/>
        </w:rPr>
        <w:t xml:space="preserve"> y compris celles des VBG</w:t>
      </w:r>
      <w:r>
        <w:rPr>
          <w:rFonts w:cs="Arial"/>
          <w:sz w:val="22"/>
        </w:rPr>
        <w:t>, EAS, HS,</w:t>
      </w:r>
      <w:r w:rsidRPr="00296E4B">
        <w:rPr>
          <w:rFonts w:cs="Arial"/>
          <w:sz w:val="22"/>
        </w:rPr>
        <w:t xml:space="preserve"> et de la COVID-19, au Suivi environnemental et social</w:t>
      </w:r>
      <w:r>
        <w:rPr>
          <w:rFonts w:cs="Arial"/>
          <w:sz w:val="22"/>
        </w:rPr>
        <w:t>,</w:t>
      </w:r>
      <w:r w:rsidRPr="00296E4B">
        <w:rPr>
          <w:rFonts w:cs="Arial"/>
          <w:sz w:val="22"/>
        </w:rPr>
        <w:t xml:space="preserve"> ainsi que celui des VBG</w:t>
      </w:r>
      <w:r>
        <w:rPr>
          <w:rFonts w:cs="Arial"/>
          <w:sz w:val="22"/>
        </w:rPr>
        <w:t>, EAS, HS,</w:t>
      </w:r>
      <w:r w:rsidRPr="00296E4B">
        <w:rPr>
          <w:rFonts w:cs="Arial"/>
          <w:sz w:val="22"/>
        </w:rPr>
        <w:t xml:space="preserve"> et de la COVID-19 et à l’Audit de mise en œuvre des mesures environnementales et sociales ;</w:t>
      </w:r>
    </w:p>
    <w:p w14:paraId="3C9E3CB0" w14:textId="77777777" w:rsidR="001C2F95" w:rsidRDefault="001C2F95" w:rsidP="001C2F95">
      <w:pPr>
        <w:rPr>
          <w:rFonts w:cs="Arial"/>
          <w:sz w:val="22"/>
        </w:rPr>
      </w:pPr>
    </w:p>
    <w:p w14:paraId="1D8AF359" w14:textId="77777777" w:rsidR="001C2F95" w:rsidRPr="00296E4B" w:rsidRDefault="001C2F95" w:rsidP="002378EA">
      <w:pPr>
        <w:numPr>
          <w:ilvl w:val="0"/>
          <w:numId w:val="26"/>
        </w:numPr>
        <w:rPr>
          <w:rFonts w:cs="Arial"/>
          <w:i/>
          <w:sz w:val="22"/>
        </w:rPr>
      </w:pPr>
      <w:r w:rsidRPr="00296E4B">
        <w:rPr>
          <w:rFonts w:cs="Arial"/>
          <w:i/>
          <w:sz w:val="22"/>
        </w:rPr>
        <w:t>Les Ministères Provinciaux en charge de l’Environnement et Genre</w:t>
      </w:r>
    </w:p>
    <w:p w14:paraId="76A654C7" w14:textId="77777777" w:rsidR="001C2F95" w:rsidRPr="00296E4B" w:rsidRDefault="001C2F95" w:rsidP="001C2F95">
      <w:pPr>
        <w:ind w:left="720"/>
        <w:rPr>
          <w:rFonts w:cs="Arial"/>
          <w:i/>
          <w:sz w:val="22"/>
        </w:rPr>
      </w:pPr>
    </w:p>
    <w:p w14:paraId="660F4004" w14:textId="77777777" w:rsidR="001C2F95" w:rsidRPr="00296E4B" w:rsidRDefault="001C2F95" w:rsidP="001C2F95">
      <w:pPr>
        <w:pStyle w:val="Paragraphedeliste"/>
        <w:rPr>
          <w:rFonts w:cs="Arial"/>
          <w:sz w:val="22"/>
        </w:rPr>
      </w:pPr>
      <w:r w:rsidRPr="00296E4B">
        <w:rPr>
          <w:rFonts w:cs="Arial"/>
          <w:sz w:val="22"/>
        </w:rPr>
        <w:t xml:space="preserve">Ils instruisent les Coordinations Provinciales Environnement du Kwilu, </w:t>
      </w:r>
      <w:r>
        <w:rPr>
          <w:rFonts w:cs="Arial"/>
          <w:sz w:val="22"/>
        </w:rPr>
        <w:t>Kongo Central</w:t>
      </w:r>
      <w:r w:rsidRPr="00296E4B">
        <w:rPr>
          <w:rFonts w:cs="Arial"/>
          <w:sz w:val="22"/>
        </w:rPr>
        <w:t xml:space="preserve">, Kasaï, </w:t>
      </w:r>
      <w:r>
        <w:rPr>
          <w:rFonts w:cs="Arial"/>
          <w:sz w:val="22"/>
        </w:rPr>
        <w:t>Kasaï Central</w:t>
      </w:r>
      <w:r w:rsidRPr="00296E4B">
        <w:rPr>
          <w:rFonts w:cs="Arial"/>
          <w:sz w:val="22"/>
        </w:rPr>
        <w:t xml:space="preserve"> et Nord-Kivu dans le suivi des activités du Projet ;</w:t>
      </w:r>
    </w:p>
    <w:p w14:paraId="7217BEAE" w14:textId="77777777" w:rsidR="001C2F95" w:rsidRPr="00296E4B" w:rsidRDefault="001C2F95" w:rsidP="001C2F95">
      <w:pPr>
        <w:pStyle w:val="Paragraphedeliste"/>
        <w:rPr>
          <w:rFonts w:cs="Arial"/>
          <w:sz w:val="22"/>
        </w:rPr>
      </w:pPr>
    </w:p>
    <w:p w14:paraId="13FB0243" w14:textId="77777777" w:rsidR="001C2F95" w:rsidRPr="00296E4B" w:rsidRDefault="001C2F95" w:rsidP="002378EA">
      <w:pPr>
        <w:numPr>
          <w:ilvl w:val="0"/>
          <w:numId w:val="26"/>
        </w:numPr>
        <w:rPr>
          <w:rFonts w:cs="Arial"/>
          <w:i/>
          <w:sz w:val="22"/>
        </w:rPr>
      </w:pPr>
      <w:r w:rsidRPr="00296E4B">
        <w:rPr>
          <w:rFonts w:cs="Arial"/>
          <w:i/>
          <w:sz w:val="22"/>
        </w:rPr>
        <w:t xml:space="preserve">L’Agence Congolaises de l’Environnement </w:t>
      </w:r>
    </w:p>
    <w:p w14:paraId="1F92914B" w14:textId="77777777" w:rsidR="001C2F95" w:rsidRPr="00296E4B" w:rsidRDefault="001C2F95" w:rsidP="001C2F95">
      <w:pPr>
        <w:pStyle w:val="Paragraphedeliste"/>
        <w:rPr>
          <w:rFonts w:cs="Arial"/>
          <w:sz w:val="22"/>
        </w:rPr>
      </w:pPr>
    </w:p>
    <w:p w14:paraId="54DCB2A0" w14:textId="77777777" w:rsidR="001C2F95" w:rsidRDefault="001C2F95" w:rsidP="001C2F95">
      <w:pPr>
        <w:pStyle w:val="Paragraphedeliste"/>
        <w:rPr>
          <w:rFonts w:cs="Arial"/>
          <w:sz w:val="22"/>
        </w:rPr>
      </w:pPr>
      <w:r w:rsidRPr="00296E4B">
        <w:rPr>
          <w:rFonts w:cs="Arial"/>
          <w:sz w:val="22"/>
        </w:rPr>
        <w:t>L’ACE procédera à l’examen et à l’approbation de la classification environnementale des sous-projets ainsi qu’à l’approbation des ÉIES et des PGES. Elle participera aussi au suivi externe.</w:t>
      </w:r>
    </w:p>
    <w:p w14:paraId="31BD8FCC" w14:textId="77777777" w:rsidR="002520BC" w:rsidRDefault="002520BC" w:rsidP="001C2F95">
      <w:pPr>
        <w:pStyle w:val="Paragraphedeliste"/>
        <w:rPr>
          <w:rFonts w:cs="Arial"/>
          <w:sz w:val="22"/>
        </w:rPr>
      </w:pPr>
    </w:p>
    <w:p w14:paraId="50425F9F" w14:textId="77777777" w:rsidR="002520BC" w:rsidRPr="00BE528D" w:rsidRDefault="00005290" w:rsidP="002378EA">
      <w:pPr>
        <w:numPr>
          <w:ilvl w:val="0"/>
          <w:numId w:val="26"/>
        </w:numPr>
        <w:rPr>
          <w:rFonts w:cs="Arial"/>
          <w:i/>
          <w:sz w:val="22"/>
        </w:rPr>
      </w:pPr>
      <w:r>
        <w:rPr>
          <w:rFonts w:cs="Arial"/>
          <w:i/>
          <w:sz w:val="22"/>
        </w:rPr>
        <w:lastRenderedPageBreak/>
        <w:t xml:space="preserve">Le </w:t>
      </w:r>
      <w:r w:rsidR="005A4369">
        <w:rPr>
          <w:rFonts w:cs="Arial"/>
          <w:i/>
          <w:sz w:val="22"/>
        </w:rPr>
        <w:t>M</w:t>
      </w:r>
      <w:r w:rsidR="002520BC" w:rsidRPr="00BE528D">
        <w:rPr>
          <w:rFonts w:cs="Arial"/>
          <w:i/>
          <w:sz w:val="22"/>
        </w:rPr>
        <w:t xml:space="preserve">inistère de la </w:t>
      </w:r>
      <w:r w:rsidR="00BE528D">
        <w:rPr>
          <w:rFonts w:cs="Arial"/>
          <w:i/>
          <w:sz w:val="22"/>
        </w:rPr>
        <w:t>S</w:t>
      </w:r>
      <w:r w:rsidR="002520BC" w:rsidRPr="00BE528D">
        <w:rPr>
          <w:rFonts w:cs="Arial"/>
          <w:i/>
          <w:sz w:val="22"/>
        </w:rPr>
        <w:t xml:space="preserve">anté </w:t>
      </w:r>
    </w:p>
    <w:p w14:paraId="1D5B40CA" w14:textId="77777777" w:rsidR="005A4369" w:rsidRDefault="005A4369" w:rsidP="005A4369">
      <w:pPr>
        <w:autoSpaceDE w:val="0"/>
        <w:autoSpaceDN w:val="0"/>
        <w:adjustRightInd w:val="0"/>
        <w:rPr>
          <w:rFonts w:eastAsia="Calibri" w:cs="Arial"/>
          <w:color w:val="000000"/>
          <w:sz w:val="22"/>
        </w:rPr>
      </w:pPr>
    </w:p>
    <w:p w14:paraId="50D139AF" w14:textId="77777777" w:rsidR="005A4369" w:rsidRPr="00BE528D" w:rsidRDefault="005A4369" w:rsidP="00BE528D">
      <w:pPr>
        <w:pStyle w:val="Paragraphedeliste"/>
        <w:rPr>
          <w:rFonts w:cs="Arial"/>
          <w:sz w:val="22"/>
        </w:rPr>
      </w:pPr>
      <w:r w:rsidRPr="00BE528D">
        <w:rPr>
          <w:rFonts w:cs="Arial"/>
          <w:sz w:val="22"/>
        </w:rPr>
        <w:t xml:space="preserve">L’action de ce Ministère dans le PNDA consiste à la mise en place d’un programme de sensibilisation de lutte contre le Paludisme, le VIH/SIDA, les IST et les différents modes de prévention, la prise en charge médicale des cas de VBG ainsi que la lutte contre la </w:t>
      </w:r>
      <w:r w:rsidRPr="005A4369">
        <w:rPr>
          <w:rFonts w:cs="Arial"/>
          <w:sz w:val="22"/>
        </w:rPr>
        <w:t>pandémie</w:t>
      </w:r>
      <w:r w:rsidRPr="00BE528D">
        <w:rPr>
          <w:rFonts w:cs="Arial"/>
          <w:sz w:val="22"/>
        </w:rPr>
        <w:t xml:space="preserve"> de COVID-19.</w:t>
      </w:r>
    </w:p>
    <w:p w14:paraId="059EC02D" w14:textId="77777777" w:rsidR="002520BC" w:rsidRPr="00BE528D" w:rsidRDefault="002520BC" w:rsidP="00BE528D">
      <w:pPr>
        <w:rPr>
          <w:rFonts w:cs="Arial"/>
          <w:sz w:val="22"/>
          <w:highlight w:val="yellow"/>
        </w:rPr>
      </w:pPr>
    </w:p>
    <w:p w14:paraId="363F2A68" w14:textId="77777777" w:rsidR="002520BC" w:rsidRPr="00BE528D" w:rsidRDefault="00005290" w:rsidP="002378EA">
      <w:pPr>
        <w:numPr>
          <w:ilvl w:val="0"/>
          <w:numId w:val="26"/>
        </w:numPr>
        <w:rPr>
          <w:rFonts w:cs="Arial"/>
          <w:i/>
          <w:sz w:val="22"/>
        </w:rPr>
      </w:pPr>
      <w:r>
        <w:rPr>
          <w:rFonts w:cs="Arial"/>
          <w:i/>
          <w:sz w:val="22"/>
        </w:rPr>
        <w:t>L’</w:t>
      </w:r>
      <w:r w:rsidR="002520BC" w:rsidRPr="00BE528D">
        <w:rPr>
          <w:rFonts w:cs="Arial"/>
          <w:i/>
          <w:sz w:val="22"/>
        </w:rPr>
        <w:t>Institution Financière intermédiaire</w:t>
      </w:r>
    </w:p>
    <w:p w14:paraId="304AAA21" w14:textId="77777777" w:rsidR="002520BC" w:rsidRPr="00BE528D" w:rsidRDefault="002520BC" w:rsidP="00BE528D">
      <w:pPr>
        <w:rPr>
          <w:rFonts w:cs="Arial"/>
          <w:sz w:val="22"/>
        </w:rPr>
      </w:pPr>
    </w:p>
    <w:p w14:paraId="3B6D7F5E" w14:textId="77777777" w:rsidR="00DA5D97" w:rsidRPr="00BE528D" w:rsidRDefault="005A4369" w:rsidP="00BE528D">
      <w:pPr>
        <w:pStyle w:val="Paragraphedeliste"/>
        <w:rPr>
          <w:rFonts w:cs="Arial"/>
          <w:sz w:val="22"/>
        </w:rPr>
      </w:pPr>
      <w:r w:rsidRPr="00BE528D">
        <w:rPr>
          <w:rFonts w:cs="Arial"/>
          <w:sz w:val="22"/>
        </w:rPr>
        <w:t>Quelques institutions intermédiaires financiers (les IF – banques, institutions de micro - finance, coopératives d'épargne et de crédit</w:t>
      </w:r>
      <w:r>
        <w:rPr>
          <w:rFonts w:cs="Arial"/>
          <w:sz w:val="22"/>
        </w:rPr>
        <w:t xml:space="preserve"> </w:t>
      </w:r>
      <w:r w:rsidR="00DA5D97">
        <w:rPr>
          <w:rFonts w:cs="Arial"/>
          <w:sz w:val="22"/>
        </w:rPr>
        <w:t>œuvrant</w:t>
      </w:r>
      <w:r>
        <w:rPr>
          <w:rFonts w:cs="Arial"/>
          <w:sz w:val="22"/>
        </w:rPr>
        <w:t xml:space="preserve"> dans les provinces concernées par le Programme vont intervenir pendant la mise en œuvre du </w:t>
      </w:r>
      <w:r w:rsidR="00DA5D97">
        <w:rPr>
          <w:rFonts w:cs="Arial"/>
          <w:sz w:val="22"/>
        </w:rPr>
        <w:t xml:space="preserve">Programme. Il s’agit de la BCC, </w:t>
      </w:r>
      <w:r w:rsidR="00DA5D97" w:rsidRPr="00BE528D">
        <w:rPr>
          <w:rFonts w:cs="Arial"/>
          <w:sz w:val="22"/>
        </w:rPr>
        <w:t>Equity Bank BCDC, RawBank Sarl, Coopérative Centrale du Nord Kivu (COOCENKI), Coopérative des Concessionnaires du Nord-Kivu (CCNK), Coopérative des Cultivateurs de Kibirizi, (COOCUKI), Coopérative des Producteurs Agricoles pour le Développement de Rutshuru (COOPADERU),  etc.</w:t>
      </w:r>
    </w:p>
    <w:p w14:paraId="72BC08A5" w14:textId="77777777" w:rsidR="00BE528D" w:rsidRPr="00296E4B" w:rsidRDefault="00BE528D" w:rsidP="00DA5D97">
      <w:pPr>
        <w:rPr>
          <w:rFonts w:cs="Arial"/>
          <w:i/>
          <w:sz w:val="22"/>
        </w:rPr>
      </w:pPr>
    </w:p>
    <w:p w14:paraId="32A4976E" w14:textId="77777777" w:rsidR="001C2F95" w:rsidRPr="00296E4B" w:rsidRDefault="001C2F95" w:rsidP="002378EA">
      <w:pPr>
        <w:numPr>
          <w:ilvl w:val="0"/>
          <w:numId w:val="26"/>
        </w:numPr>
        <w:rPr>
          <w:rFonts w:cs="Arial"/>
          <w:i/>
          <w:sz w:val="22"/>
        </w:rPr>
      </w:pPr>
      <w:r w:rsidRPr="00296E4B">
        <w:rPr>
          <w:rFonts w:cs="Arial"/>
          <w:i/>
          <w:sz w:val="22"/>
        </w:rPr>
        <w:t xml:space="preserve">Les Coordinations Provinciales de l’Environnement du Kwilu, Kasaï, </w:t>
      </w:r>
      <w:r>
        <w:rPr>
          <w:rFonts w:cs="Arial"/>
          <w:i/>
          <w:sz w:val="22"/>
        </w:rPr>
        <w:t>Kasaï Central</w:t>
      </w:r>
      <w:r w:rsidRPr="00296E4B">
        <w:rPr>
          <w:rFonts w:cs="Arial"/>
          <w:i/>
          <w:sz w:val="22"/>
        </w:rPr>
        <w:t xml:space="preserve"> </w:t>
      </w:r>
    </w:p>
    <w:p w14:paraId="6F52299B" w14:textId="77777777" w:rsidR="001C2F95" w:rsidRPr="00D56D53" w:rsidRDefault="001C2F95" w:rsidP="001C2F95">
      <w:pPr>
        <w:ind w:left="720"/>
        <w:rPr>
          <w:rFonts w:cs="Arial"/>
          <w:i/>
          <w:sz w:val="16"/>
          <w:szCs w:val="16"/>
        </w:rPr>
      </w:pPr>
    </w:p>
    <w:p w14:paraId="3E13068F" w14:textId="77777777" w:rsidR="001C2F95" w:rsidRPr="00296E4B" w:rsidRDefault="001C2F95" w:rsidP="001C2F95">
      <w:pPr>
        <w:ind w:left="720"/>
        <w:rPr>
          <w:rFonts w:cs="Arial"/>
          <w:sz w:val="22"/>
        </w:rPr>
      </w:pPr>
      <w:r w:rsidRPr="00296E4B">
        <w:rPr>
          <w:rFonts w:cs="Arial"/>
          <w:sz w:val="22"/>
        </w:rPr>
        <w:t>À l’absence des Directions Provinciales de l’ACE, ces trois Coordinations Provinciales de l’Environnement participeront au suivi de la mise en œuvre des mesures environnementales et sociales du PNDA. En outre, la CPE de chaque Province et ses dépendances (sous-unités) sont concernées et seront associées à toutes les activités liées au screening et su suivi externe de la mise en œuvre des PGES.</w:t>
      </w:r>
    </w:p>
    <w:p w14:paraId="7AEF8179" w14:textId="77777777" w:rsidR="001C2F95" w:rsidRPr="00296E4B" w:rsidRDefault="001C2F95" w:rsidP="001C2F95">
      <w:pPr>
        <w:rPr>
          <w:rFonts w:cs="Arial"/>
          <w:sz w:val="22"/>
        </w:rPr>
      </w:pPr>
    </w:p>
    <w:p w14:paraId="514703E1" w14:textId="77777777" w:rsidR="001C2F95" w:rsidRPr="00296E4B" w:rsidRDefault="001C2F95" w:rsidP="002378EA">
      <w:pPr>
        <w:numPr>
          <w:ilvl w:val="0"/>
          <w:numId w:val="26"/>
        </w:numPr>
        <w:ind w:right="-154"/>
        <w:rPr>
          <w:rFonts w:cs="Arial"/>
          <w:sz w:val="22"/>
        </w:rPr>
      </w:pPr>
      <w:r w:rsidRPr="00296E4B">
        <w:rPr>
          <w:rFonts w:cs="Arial"/>
          <w:i/>
          <w:sz w:val="22"/>
        </w:rPr>
        <w:t>Les Entreprises contractantes</w:t>
      </w:r>
      <w:r w:rsidRPr="00296E4B">
        <w:rPr>
          <w:rFonts w:cs="Arial"/>
          <w:sz w:val="22"/>
        </w:rPr>
        <w:t xml:space="preserve"> </w:t>
      </w:r>
    </w:p>
    <w:p w14:paraId="2C6CB192" w14:textId="77777777" w:rsidR="001C2F95" w:rsidRPr="00D56D53" w:rsidRDefault="001C2F95" w:rsidP="001C2F95">
      <w:pPr>
        <w:ind w:right="-154"/>
        <w:rPr>
          <w:rFonts w:cs="Arial"/>
          <w:sz w:val="22"/>
        </w:rPr>
      </w:pPr>
    </w:p>
    <w:p w14:paraId="60E4F7EB" w14:textId="77777777" w:rsidR="001C2F95" w:rsidRPr="00296E4B" w:rsidRDefault="001C2F95" w:rsidP="001C2F95">
      <w:pPr>
        <w:pStyle w:val="Paragraphedeliste"/>
        <w:rPr>
          <w:rFonts w:cs="Arial"/>
          <w:sz w:val="22"/>
        </w:rPr>
      </w:pPr>
      <w:r w:rsidRPr="00296E4B">
        <w:rPr>
          <w:rFonts w:cs="Arial"/>
          <w:sz w:val="22"/>
        </w:rPr>
        <w:t>Elles doivent exécuter les mesures environnementales et sociales et respecter les directives et autres prescriptions environnementales et sociales contenues dans les marchés des travaux et les DAO.</w:t>
      </w:r>
    </w:p>
    <w:p w14:paraId="4B07CFF5" w14:textId="77777777" w:rsidR="001C2F95" w:rsidRPr="00D56D53" w:rsidRDefault="001C2F95" w:rsidP="001C2F95">
      <w:pPr>
        <w:pStyle w:val="Paragraphedeliste"/>
        <w:rPr>
          <w:rFonts w:cs="Arial"/>
          <w:sz w:val="22"/>
        </w:rPr>
      </w:pPr>
    </w:p>
    <w:p w14:paraId="05C1BED4" w14:textId="77777777" w:rsidR="001C2F95" w:rsidRPr="00296E4B" w:rsidRDefault="001C2F95" w:rsidP="002378EA">
      <w:pPr>
        <w:numPr>
          <w:ilvl w:val="0"/>
          <w:numId w:val="26"/>
        </w:numPr>
        <w:ind w:right="-154"/>
        <w:rPr>
          <w:rFonts w:cs="Arial"/>
          <w:i/>
          <w:sz w:val="22"/>
        </w:rPr>
      </w:pPr>
      <w:r w:rsidRPr="00296E4B">
        <w:rPr>
          <w:rFonts w:cs="Arial"/>
          <w:i/>
          <w:sz w:val="22"/>
        </w:rPr>
        <w:t xml:space="preserve">Les Agences d’Exécution Locale </w:t>
      </w:r>
    </w:p>
    <w:p w14:paraId="74C26FCD" w14:textId="77777777" w:rsidR="001C2F95" w:rsidRPr="00D56D53" w:rsidRDefault="001C2F95" w:rsidP="001C2F95">
      <w:pPr>
        <w:pStyle w:val="Paragraphedeliste"/>
        <w:rPr>
          <w:rFonts w:cs="Arial"/>
          <w:sz w:val="16"/>
          <w:szCs w:val="16"/>
        </w:rPr>
      </w:pPr>
    </w:p>
    <w:p w14:paraId="624812CB" w14:textId="77777777" w:rsidR="001C2F95" w:rsidRPr="00296E4B" w:rsidRDefault="001C2F95" w:rsidP="001C2F95">
      <w:pPr>
        <w:pStyle w:val="Paragraphedeliste"/>
        <w:rPr>
          <w:rFonts w:cs="Arial"/>
          <w:sz w:val="22"/>
        </w:rPr>
      </w:pPr>
      <w:r w:rsidRPr="00296E4B">
        <w:rPr>
          <w:rFonts w:cs="Arial"/>
          <w:sz w:val="22"/>
        </w:rPr>
        <w:t>Comme les entreprises, les Agence d’Exécution Locale (ALE) doivent exécuter les mesures environnementales et sociales et respecter les directives et autres prescriptions environnementales et sociales contenues dans les marchés des travaux et les DAO.</w:t>
      </w:r>
    </w:p>
    <w:p w14:paraId="0205D163" w14:textId="77777777" w:rsidR="001C2F95" w:rsidRDefault="001C2F95" w:rsidP="001C2F95">
      <w:pPr>
        <w:spacing w:line="240" w:lineRule="auto"/>
        <w:jc w:val="left"/>
        <w:rPr>
          <w:rFonts w:cs="Arial"/>
          <w:i/>
          <w:sz w:val="22"/>
        </w:rPr>
      </w:pPr>
    </w:p>
    <w:p w14:paraId="343E7C10" w14:textId="77777777" w:rsidR="001C2F95" w:rsidRPr="00296E4B" w:rsidRDefault="001C2F95" w:rsidP="002378EA">
      <w:pPr>
        <w:numPr>
          <w:ilvl w:val="0"/>
          <w:numId w:val="26"/>
        </w:numPr>
        <w:ind w:right="-154"/>
        <w:rPr>
          <w:rFonts w:cs="Arial"/>
          <w:sz w:val="22"/>
        </w:rPr>
      </w:pPr>
      <w:r w:rsidRPr="00296E4B">
        <w:rPr>
          <w:rFonts w:cs="Arial"/>
          <w:i/>
          <w:sz w:val="22"/>
        </w:rPr>
        <w:t>Les Bureaux d’études et de contrôle</w:t>
      </w:r>
      <w:r w:rsidRPr="00296E4B">
        <w:rPr>
          <w:rFonts w:cs="Arial"/>
          <w:sz w:val="22"/>
        </w:rPr>
        <w:t xml:space="preserve"> </w:t>
      </w:r>
    </w:p>
    <w:p w14:paraId="5C2A3506" w14:textId="77777777" w:rsidR="001C2F95" w:rsidRDefault="001C2F95" w:rsidP="001C2F95">
      <w:pPr>
        <w:pStyle w:val="Paragraphedeliste"/>
        <w:rPr>
          <w:rFonts w:cs="Arial"/>
          <w:sz w:val="22"/>
        </w:rPr>
      </w:pPr>
    </w:p>
    <w:p w14:paraId="5A411566" w14:textId="77777777" w:rsidR="001C2F95" w:rsidRPr="00296E4B" w:rsidRDefault="001C2F95" w:rsidP="001C2F95">
      <w:pPr>
        <w:pStyle w:val="Paragraphedeliste"/>
        <w:rPr>
          <w:rFonts w:cs="Arial"/>
          <w:sz w:val="22"/>
        </w:rPr>
      </w:pPr>
      <w:r w:rsidRPr="00296E4B">
        <w:rPr>
          <w:rFonts w:cs="Arial"/>
          <w:sz w:val="22"/>
        </w:rPr>
        <w:t>Ils doivent assurer le contrôle de l’effectivité et de l’efficience de l’exécution des mesures environnementales et sociales et du respect des directives et autres prescriptions environnementales contenues dans les marchés des travaux.</w:t>
      </w:r>
    </w:p>
    <w:p w14:paraId="0DDECB51" w14:textId="77777777" w:rsidR="001C2F95" w:rsidRPr="00296E4B" w:rsidRDefault="001C2F95" w:rsidP="001C2F95">
      <w:pPr>
        <w:ind w:right="-154"/>
        <w:rPr>
          <w:rFonts w:cs="Arial"/>
          <w:sz w:val="22"/>
        </w:rPr>
      </w:pPr>
    </w:p>
    <w:p w14:paraId="372A8D10" w14:textId="77777777" w:rsidR="001C2F95" w:rsidRPr="000A2C55" w:rsidRDefault="001C2F95" w:rsidP="002378EA">
      <w:pPr>
        <w:numPr>
          <w:ilvl w:val="0"/>
          <w:numId w:val="26"/>
        </w:numPr>
        <w:ind w:right="-154"/>
        <w:rPr>
          <w:rFonts w:cs="Arial"/>
          <w:i/>
          <w:sz w:val="22"/>
        </w:rPr>
      </w:pPr>
      <w:r w:rsidRPr="000A2C55">
        <w:rPr>
          <w:rFonts w:cs="Arial"/>
          <w:i/>
          <w:sz w:val="22"/>
        </w:rPr>
        <w:t>Les Groupements ou Associations de producteurs/ Coopératives de producteurs</w:t>
      </w:r>
    </w:p>
    <w:p w14:paraId="76725FD9" w14:textId="77777777" w:rsidR="009B775A" w:rsidRDefault="009B775A" w:rsidP="009B775A">
      <w:pPr>
        <w:pStyle w:val="Paragraphedeliste"/>
        <w:rPr>
          <w:rFonts w:cs="Arial"/>
          <w:color w:val="4D5156"/>
          <w:sz w:val="22"/>
          <w:shd w:val="clear" w:color="auto" w:fill="FFFFFF"/>
        </w:rPr>
      </w:pPr>
    </w:p>
    <w:p w14:paraId="1CD3FB26" w14:textId="77777777" w:rsidR="009B775A" w:rsidRPr="009B775A" w:rsidRDefault="009B775A" w:rsidP="009B775A">
      <w:pPr>
        <w:pStyle w:val="Paragraphedeliste"/>
        <w:rPr>
          <w:rFonts w:cs="Arial"/>
          <w:sz w:val="22"/>
          <w:shd w:val="clear" w:color="auto" w:fill="FFFFFF"/>
        </w:rPr>
      </w:pPr>
      <w:r w:rsidRPr="009B775A">
        <w:rPr>
          <w:rFonts w:cs="Arial"/>
          <w:sz w:val="22"/>
          <w:shd w:val="clear" w:color="auto" w:fill="FFFFFF"/>
        </w:rPr>
        <w:t>Les organisations d'agriculteurs et de producteurs sont des institutions importantes en mesure de fournir différents services à leurs membres, de faciliter l'accès aux marchés et de donner aux petits exploitants les moyens de participer à l'élaboration des politiques. Elles ont un rôle clé à jouer dans une transformation inclusive et durable dans le cadre du PNDA.</w:t>
      </w:r>
    </w:p>
    <w:p w14:paraId="0B56A944" w14:textId="77777777" w:rsidR="009B775A" w:rsidRPr="009B775A" w:rsidRDefault="009B775A" w:rsidP="009B775A">
      <w:pPr>
        <w:pStyle w:val="Paragraphedeliste"/>
        <w:rPr>
          <w:rFonts w:cs="Arial"/>
          <w:sz w:val="22"/>
          <w:highlight w:val="yellow"/>
        </w:rPr>
      </w:pPr>
    </w:p>
    <w:p w14:paraId="16A83B9F" w14:textId="77777777" w:rsidR="009B775A" w:rsidRPr="009B775A" w:rsidRDefault="009B775A" w:rsidP="009B775A">
      <w:pPr>
        <w:pStyle w:val="Paragraphedeliste"/>
        <w:rPr>
          <w:rFonts w:cs="Arial"/>
          <w:sz w:val="22"/>
          <w:shd w:val="clear" w:color="auto" w:fill="FFFFFF"/>
        </w:rPr>
      </w:pPr>
      <w:r w:rsidRPr="009B775A">
        <w:rPr>
          <w:rFonts w:cs="Arial"/>
          <w:sz w:val="22"/>
          <w:shd w:val="clear" w:color="auto" w:fill="FFFFFF"/>
        </w:rPr>
        <w:lastRenderedPageBreak/>
        <w:t>Dans la Province du Nord-Kivu, l’on rencontre les coopératives telles que La Coopérative Centrale du Nord Kivu (COOCENKI), Coopérative des Concessionnaires du Nord-Kivu (CCNK), Coopérative des Cultivateurs de Kibirizi, (COOCUKI), Coopérative des Producteurs Agricoles pour le Développement de Rutshuru (COOPADERU), Coopérative des Producteurs Agricoles de Kinyandonyi-Rutshuru, (COOPAKIRU) Coopérative pour le Développement de l’Elevage et de l’Agriculture à Kiseguro (COODELA).</w:t>
      </w:r>
    </w:p>
    <w:p w14:paraId="4F03F2CA" w14:textId="77777777" w:rsidR="009B775A" w:rsidRDefault="009B775A" w:rsidP="009B775A">
      <w:pPr>
        <w:ind w:left="720"/>
        <w:rPr>
          <w:rFonts w:cs="Arial"/>
          <w:sz w:val="22"/>
        </w:rPr>
      </w:pPr>
    </w:p>
    <w:p w14:paraId="658619C7" w14:textId="77777777" w:rsidR="001C2F95" w:rsidRPr="00296E4B" w:rsidRDefault="001C2F95" w:rsidP="002378EA">
      <w:pPr>
        <w:numPr>
          <w:ilvl w:val="0"/>
          <w:numId w:val="26"/>
        </w:numPr>
        <w:rPr>
          <w:rFonts w:cs="Arial"/>
          <w:sz w:val="22"/>
        </w:rPr>
      </w:pPr>
      <w:r w:rsidRPr="00296E4B">
        <w:rPr>
          <w:rFonts w:cs="Arial"/>
          <w:i/>
          <w:sz w:val="22"/>
        </w:rPr>
        <w:t xml:space="preserve">Les ONG et la Société Civile : </w:t>
      </w:r>
      <w:r w:rsidRPr="00296E4B">
        <w:rPr>
          <w:rFonts w:cs="Arial"/>
          <w:sz w:val="22"/>
        </w:rPr>
        <w:t>Les ONG locales de lutte contre les VBG</w:t>
      </w:r>
      <w:r>
        <w:rPr>
          <w:rFonts w:cs="Arial"/>
          <w:sz w:val="22"/>
        </w:rPr>
        <w:t>, y compris l’EAS et le HS,</w:t>
      </w:r>
      <w:r w:rsidRPr="00296E4B">
        <w:rPr>
          <w:rFonts w:cs="Arial"/>
          <w:sz w:val="22"/>
        </w:rPr>
        <w:t xml:space="preserve"> et de lutte contre la COVID-19, les Associations Paysannes et autres organisations environnementales de la Société Civile pourront aussi participer à informer, éduquer et conscientiser la population sur les aspects environnementaux et sociaux</w:t>
      </w:r>
      <w:r>
        <w:rPr>
          <w:rFonts w:cs="Arial"/>
          <w:sz w:val="22"/>
        </w:rPr>
        <w:t>,</w:t>
      </w:r>
      <w:r w:rsidRPr="00296E4B">
        <w:rPr>
          <w:rFonts w:cs="Arial"/>
          <w:sz w:val="22"/>
        </w:rPr>
        <w:t xml:space="preserve"> ainsi que ceux liés aux VBG et à la COVID-19 pendant la mise en œuvre du Projet, mais aussi au suivi de la mise en œuvre des mesures du CGES. </w:t>
      </w:r>
    </w:p>
    <w:p w14:paraId="6497E4CC" w14:textId="77777777" w:rsidR="001C2F95" w:rsidRPr="00296E4B" w:rsidRDefault="001C2F95" w:rsidP="001C2F95">
      <w:pPr>
        <w:tabs>
          <w:tab w:val="left" w:pos="1680"/>
        </w:tabs>
        <w:spacing w:line="240" w:lineRule="auto"/>
        <w:rPr>
          <w:rFonts w:cs="Arial"/>
          <w:sz w:val="22"/>
        </w:rPr>
      </w:pPr>
      <w:r w:rsidRPr="00296E4B">
        <w:rPr>
          <w:rFonts w:cs="Arial"/>
          <w:sz w:val="22"/>
        </w:rPr>
        <w:tab/>
      </w:r>
    </w:p>
    <w:p w14:paraId="32314977" w14:textId="77777777" w:rsidR="001C2F95" w:rsidRPr="00296E4B" w:rsidRDefault="001C2F95" w:rsidP="001C2F95">
      <w:pPr>
        <w:rPr>
          <w:rFonts w:cs="Arial"/>
          <w:sz w:val="22"/>
        </w:rPr>
      </w:pPr>
      <w:r w:rsidRPr="00296E4B">
        <w:rPr>
          <w:rFonts w:cs="Arial"/>
          <w:sz w:val="22"/>
        </w:rPr>
        <w:t>Les rôles et responsabilités tels que décrits ci-dessus seront intégrés dans le manuel d’exécution du Projet.</w:t>
      </w:r>
    </w:p>
    <w:p w14:paraId="27DC2E87" w14:textId="77777777" w:rsidR="007D62C7" w:rsidRPr="00296E4B" w:rsidRDefault="007D62C7" w:rsidP="001C2F95">
      <w:pPr>
        <w:tabs>
          <w:tab w:val="left" w:pos="426"/>
        </w:tabs>
        <w:rPr>
          <w:rFonts w:cs="Arial"/>
          <w:sz w:val="22"/>
        </w:rPr>
      </w:pPr>
    </w:p>
    <w:p w14:paraId="44F1B1C8" w14:textId="77777777" w:rsidR="001C2F95" w:rsidRPr="00296E4B" w:rsidRDefault="001C2F95" w:rsidP="002378EA">
      <w:pPr>
        <w:numPr>
          <w:ilvl w:val="0"/>
          <w:numId w:val="66"/>
        </w:numPr>
        <w:rPr>
          <w:rFonts w:cs="Arial"/>
          <w:i/>
          <w:sz w:val="22"/>
          <w:lang w:bidi="fr-FR"/>
        </w:rPr>
      </w:pPr>
      <w:r w:rsidRPr="00296E4B">
        <w:rPr>
          <w:rFonts w:cs="Arial"/>
          <w:i/>
          <w:sz w:val="22"/>
          <w:lang w:bidi="fr-FR"/>
        </w:rPr>
        <w:t xml:space="preserve">Budget global estimatif prévu pour la mise en œuvre des mesures environnementales et sociales </w:t>
      </w:r>
    </w:p>
    <w:p w14:paraId="073E1D1A" w14:textId="77777777" w:rsidR="001C2F95" w:rsidRPr="00296E4B" w:rsidRDefault="001C2F95" w:rsidP="001C2F95">
      <w:pPr>
        <w:rPr>
          <w:rFonts w:cs="Arial"/>
          <w:b/>
          <w:sz w:val="22"/>
        </w:rPr>
      </w:pPr>
    </w:p>
    <w:p w14:paraId="74EF20F2" w14:textId="36252E28" w:rsidR="001C2F95" w:rsidRPr="00296E4B" w:rsidRDefault="001C2F95" w:rsidP="001C2F95">
      <w:pPr>
        <w:keepNext/>
        <w:tabs>
          <w:tab w:val="left" w:pos="720"/>
        </w:tabs>
        <w:outlineLvl w:val="2"/>
        <w:rPr>
          <w:rFonts w:cs="Arial"/>
          <w:sz w:val="22"/>
        </w:rPr>
      </w:pPr>
      <w:bookmarkStart w:id="76" w:name="_Toc43187415"/>
      <w:bookmarkStart w:id="77" w:name="_Toc44626785"/>
      <w:bookmarkStart w:id="78" w:name="_Toc45269119"/>
      <w:bookmarkStart w:id="79" w:name="_Toc45269663"/>
      <w:bookmarkStart w:id="80" w:name="_Toc64026102"/>
      <w:bookmarkStart w:id="81" w:name="_Toc64386620"/>
      <w:bookmarkStart w:id="82" w:name="_Toc70326722"/>
      <w:bookmarkStart w:id="83" w:name="_Toc70326954"/>
      <w:bookmarkStart w:id="84" w:name="_Toc70330317"/>
      <w:r w:rsidRPr="00296E4B">
        <w:rPr>
          <w:rFonts w:cs="Arial"/>
          <w:sz w:val="22"/>
        </w:rPr>
        <w:t xml:space="preserve">Les coûts estimatifs des mesures environnementales et sociales s’élèvent à </w:t>
      </w:r>
      <w:r w:rsidR="00CB127C">
        <w:rPr>
          <w:rFonts w:cs="Arial"/>
          <w:color w:val="000000"/>
          <w:sz w:val="22"/>
        </w:rPr>
        <w:t>18 675 330</w:t>
      </w:r>
      <w:r w:rsidR="00141A53">
        <w:rPr>
          <w:rFonts w:cs="Arial"/>
          <w:color w:val="000000"/>
          <w:sz w:val="22"/>
        </w:rPr>
        <w:t xml:space="preserve"> </w:t>
      </w:r>
      <w:r w:rsidRPr="00296E4B">
        <w:rPr>
          <w:rFonts w:cs="Arial"/>
          <w:sz w:val="22"/>
        </w:rPr>
        <w:t>USD répartis comme détaillé dans le tableau ci-dessous.</w:t>
      </w:r>
      <w:bookmarkEnd w:id="76"/>
      <w:bookmarkEnd w:id="77"/>
      <w:bookmarkEnd w:id="78"/>
      <w:bookmarkEnd w:id="79"/>
      <w:bookmarkEnd w:id="80"/>
      <w:bookmarkEnd w:id="81"/>
      <w:bookmarkEnd w:id="82"/>
      <w:bookmarkEnd w:id="83"/>
      <w:bookmarkEnd w:id="84"/>
      <w:r w:rsidRPr="00296E4B">
        <w:rPr>
          <w:rFonts w:cs="Arial"/>
          <w:sz w:val="22"/>
        </w:rPr>
        <w:t xml:space="preserve"> </w:t>
      </w:r>
    </w:p>
    <w:p w14:paraId="14CFCE17" w14:textId="77777777" w:rsidR="001C2F95" w:rsidRPr="001A73DC" w:rsidRDefault="001C2F95" w:rsidP="001C2F95">
      <w:pPr>
        <w:spacing w:line="240" w:lineRule="auto"/>
        <w:rPr>
          <w:rFonts w:cs="Arial"/>
          <w:sz w:val="14"/>
          <w:szCs w:val="14"/>
          <w:highlight w:val="yellow"/>
        </w:rPr>
      </w:pPr>
    </w:p>
    <w:p w14:paraId="03220AAC" w14:textId="77777777" w:rsidR="001C2F95" w:rsidRDefault="001C2F95" w:rsidP="001C2F95">
      <w:pPr>
        <w:keepNext/>
        <w:rPr>
          <w:rFonts w:eastAsia="Calibri" w:cs="Arial"/>
          <w:bCs/>
          <w:sz w:val="22"/>
        </w:rPr>
      </w:pPr>
      <w:r w:rsidRPr="00296E4B">
        <w:rPr>
          <w:rFonts w:eastAsia="Calibri" w:cs="Arial"/>
          <w:bCs/>
          <w:sz w:val="22"/>
        </w:rPr>
        <w:t xml:space="preserve">Coûts estimatifs du </w:t>
      </w:r>
      <w:r w:rsidR="006B658C">
        <w:rPr>
          <w:rFonts w:cs="Arial"/>
          <w:sz w:val="22"/>
        </w:rPr>
        <w:t xml:space="preserve">Procédures de Gestion des Risques et Impacts Environnementaux et Sociaux </w:t>
      </w:r>
    </w:p>
    <w:p w14:paraId="4C001272" w14:textId="77777777" w:rsidR="00C3308C" w:rsidRDefault="00C3308C" w:rsidP="001C2F95">
      <w:pPr>
        <w:keepNext/>
        <w:rPr>
          <w:rFonts w:eastAsia="Calibri" w:cs="Arial"/>
          <w:bCs/>
          <w:sz w:val="22"/>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66"/>
        <w:gridCol w:w="2004"/>
        <w:gridCol w:w="1882"/>
        <w:gridCol w:w="1759"/>
      </w:tblGrid>
      <w:tr w:rsidR="00141A53" w:rsidRPr="002A1EE6" w14:paraId="4EFB7CE1" w14:textId="77777777" w:rsidTr="00730A4A">
        <w:trPr>
          <w:trHeight w:val="493"/>
          <w:tblHeader/>
        </w:trPr>
        <w:tc>
          <w:tcPr>
            <w:tcW w:w="3666" w:type="dxa"/>
            <w:shd w:val="clear" w:color="auto" w:fill="D5DCE4"/>
            <w:vAlign w:val="center"/>
            <w:hideMark/>
          </w:tcPr>
          <w:p w14:paraId="39D06E77" w14:textId="77777777" w:rsidR="00141A53" w:rsidRPr="002A1EE6" w:rsidRDefault="00141A53" w:rsidP="00F97D7B">
            <w:pPr>
              <w:spacing w:line="240" w:lineRule="auto"/>
              <w:jc w:val="center"/>
              <w:rPr>
                <w:rFonts w:cs="Arial"/>
                <w:color w:val="000000"/>
                <w:sz w:val="22"/>
              </w:rPr>
            </w:pPr>
            <w:r w:rsidRPr="002A1EE6">
              <w:rPr>
                <w:rFonts w:cs="Arial"/>
                <w:color w:val="000000"/>
                <w:sz w:val="22"/>
              </w:rPr>
              <w:t>Activités</w:t>
            </w:r>
          </w:p>
        </w:tc>
        <w:tc>
          <w:tcPr>
            <w:tcW w:w="2004" w:type="dxa"/>
            <w:shd w:val="clear" w:color="auto" w:fill="D5DCE4"/>
            <w:vAlign w:val="center"/>
            <w:hideMark/>
          </w:tcPr>
          <w:p w14:paraId="0C2AADEA" w14:textId="77777777" w:rsidR="00141A53" w:rsidRPr="002A1EE6" w:rsidRDefault="00141A53" w:rsidP="00F97D7B">
            <w:pPr>
              <w:spacing w:line="240" w:lineRule="auto"/>
              <w:jc w:val="center"/>
              <w:rPr>
                <w:rFonts w:cs="Arial"/>
                <w:color w:val="000000"/>
                <w:sz w:val="22"/>
              </w:rPr>
            </w:pPr>
            <w:r w:rsidRPr="002A1EE6">
              <w:rPr>
                <w:rFonts w:cs="Arial"/>
                <w:bCs/>
                <w:color w:val="000000"/>
                <w:sz w:val="22"/>
              </w:rPr>
              <w:t>Quantité</w:t>
            </w:r>
          </w:p>
        </w:tc>
        <w:tc>
          <w:tcPr>
            <w:tcW w:w="1882" w:type="dxa"/>
            <w:shd w:val="clear" w:color="auto" w:fill="D5DCE4"/>
            <w:vAlign w:val="center"/>
            <w:hideMark/>
          </w:tcPr>
          <w:p w14:paraId="5C5EA5F3" w14:textId="77777777" w:rsidR="00141A53" w:rsidRPr="002A1EE6" w:rsidRDefault="00141A53" w:rsidP="00F97D7B">
            <w:pPr>
              <w:spacing w:line="240" w:lineRule="auto"/>
              <w:jc w:val="center"/>
              <w:rPr>
                <w:rFonts w:cs="Arial"/>
                <w:color w:val="000000"/>
                <w:sz w:val="22"/>
              </w:rPr>
            </w:pPr>
            <w:r w:rsidRPr="002A1EE6">
              <w:rPr>
                <w:rFonts w:cs="Arial"/>
                <w:color w:val="000000"/>
                <w:sz w:val="22"/>
              </w:rPr>
              <w:t>Coût unitaire (USD)</w:t>
            </w:r>
          </w:p>
        </w:tc>
        <w:tc>
          <w:tcPr>
            <w:tcW w:w="1759" w:type="dxa"/>
            <w:shd w:val="clear" w:color="auto" w:fill="D5DCE4"/>
            <w:vAlign w:val="center"/>
            <w:hideMark/>
          </w:tcPr>
          <w:p w14:paraId="3611411B" w14:textId="77777777" w:rsidR="00141A53" w:rsidRPr="002A1EE6" w:rsidRDefault="00141A53" w:rsidP="00F97D7B">
            <w:pPr>
              <w:spacing w:line="240" w:lineRule="auto"/>
              <w:jc w:val="center"/>
              <w:rPr>
                <w:rFonts w:cs="Arial"/>
                <w:color w:val="000000"/>
                <w:sz w:val="22"/>
              </w:rPr>
            </w:pPr>
            <w:r w:rsidRPr="002A1EE6">
              <w:rPr>
                <w:rFonts w:cs="Arial"/>
                <w:color w:val="000000"/>
                <w:sz w:val="22"/>
                <w:lang w:val="fr-CA"/>
              </w:rPr>
              <w:t>Coût total (USD)</w:t>
            </w:r>
          </w:p>
        </w:tc>
      </w:tr>
      <w:tr w:rsidR="00141A53" w:rsidRPr="00830A44" w14:paraId="5C37B0E3" w14:textId="77777777" w:rsidTr="00F97D7B">
        <w:trPr>
          <w:trHeight w:val="273"/>
        </w:trPr>
        <w:tc>
          <w:tcPr>
            <w:tcW w:w="3666" w:type="dxa"/>
            <w:shd w:val="clear" w:color="auto" w:fill="auto"/>
            <w:vAlign w:val="center"/>
            <w:hideMark/>
          </w:tcPr>
          <w:p w14:paraId="20F295F0" w14:textId="77777777" w:rsidR="00141A53" w:rsidRPr="009343B1" w:rsidRDefault="00141A53" w:rsidP="00F97D7B">
            <w:pPr>
              <w:spacing w:line="240" w:lineRule="auto"/>
              <w:jc w:val="left"/>
              <w:rPr>
                <w:rFonts w:cs="Arial"/>
                <w:color w:val="000000"/>
                <w:sz w:val="22"/>
              </w:rPr>
            </w:pPr>
            <w:r w:rsidRPr="00830A44">
              <w:rPr>
                <w:rFonts w:cs="Arial"/>
                <w:bCs/>
                <w:color w:val="000000"/>
                <w:sz w:val="22"/>
              </w:rPr>
              <w:t>Elaboration</w:t>
            </w:r>
            <w:r w:rsidR="00BE528D">
              <w:rPr>
                <w:rFonts w:cs="Arial"/>
                <w:bCs/>
                <w:color w:val="000000"/>
                <w:sz w:val="22"/>
              </w:rPr>
              <w:t xml:space="preserve"> </w:t>
            </w:r>
            <w:r w:rsidRPr="009343B1">
              <w:rPr>
                <w:rFonts w:cs="Arial"/>
                <w:bCs/>
                <w:color w:val="000000"/>
                <w:sz w:val="22"/>
              </w:rPr>
              <w:t xml:space="preserve">des ÉIES/PGES   </w:t>
            </w:r>
          </w:p>
        </w:tc>
        <w:tc>
          <w:tcPr>
            <w:tcW w:w="2004" w:type="dxa"/>
            <w:shd w:val="clear" w:color="auto" w:fill="auto"/>
            <w:vAlign w:val="center"/>
            <w:hideMark/>
          </w:tcPr>
          <w:p w14:paraId="156ED5A2" w14:textId="77777777" w:rsidR="00141A53" w:rsidRPr="004B124D" w:rsidRDefault="00141A53" w:rsidP="00F97D7B">
            <w:pPr>
              <w:spacing w:line="240" w:lineRule="auto"/>
              <w:jc w:val="center"/>
              <w:rPr>
                <w:rFonts w:cs="Arial"/>
                <w:color w:val="000000"/>
                <w:sz w:val="22"/>
              </w:rPr>
            </w:pPr>
            <w:r w:rsidRPr="00830A44">
              <w:rPr>
                <w:rFonts w:cs="Arial"/>
                <w:color w:val="000000"/>
                <w:sz w:val="22"/>
              </w:rPr>
              <w:t>3</w:t>
            </w:r>
            <w:r w:rsidRPr="004B124D">
              <w:rPr>
                <w:rFonts w:cs="Arial"/>
                <w:color w:val="000000"/>
                <w:sz w:val="22"/>
              </w:rPr>
              <w:t>0</w:t>
            </w:r>
          </w:p>
        </w:tc>
        <w:tc>
          <w:tcPr>
            <w:tcW w:w="1882" w:type="dxa"/>
            <w:shd w:val="clear" w:color="auto" w:fill="auto"/>
            <w:vAlign w:val="center"/>
            <w:hideMark/>
          </w:tcPr>
          <w:p w14:paraId="5806593A" w14:textId="77777777" w:rsidR="00141A53" w:rsidRPr="00E80989" w:rsidRDefault="00141A53" w:rsidP="00F97D7B">
            <w:pPr>
              <w:spacing w:line="240" w:lineRule="auto"/>
              <w:jc w:val="right"/>
              <w:rPr>
                <w:rFonts w:cs="Arial"/>
                <w:color w:val="000000"/>
                <w:sz w:val="22"/>
              </w:rPr>
            </w:pPr>
            <w:r w:rsidRPr="00E80989">
              <w:rPr>
                <w:rFonts w:cs="Arial"/>
                <w:color w:val="000000"/>
                <w:sz w:val="22"/>
              </w:rPr>
              <w:t>50 000</w:t>
            </w:r>
          </w:p>
        </w:tc>
        <w:tc>
          <w:tcPr>
            <w:tcW w:w="1759" w:type="dxa"/>
            <w:shd w:val="clear" w:color="auto" w:fill="auto"/>
            <w:vAlign w:val="center"/>
            <w:hideMark/>
          </w:tcPr>
          <w:p w14:paraId="0699FAD0" w14:textId="77777777" w:rsidR="00141A53" w:rsidRPr="004B124D" w:rsidRDefault="00141A53" w:rsidP="00F97D7B">
            <w:pPr>
              <w:spacing w:line="240" w:lineRule="auto"/>
              <w:jc w:val="right"/>
              <w:rPr>
                <w:rFonts w:cs="Arial"/>
                <w:color w:val="000000"/>
                <w:sz w:val="22"/>
              </w:rPr>
            </w:pPr>
            <w:r w:rsidRPr="00830A44">
              <w:rPr>
                <w:rFonts w:cs="Arial"/>
                <w:color w:val="000000"/>
                <w:sz w:val="22"/>
              </w:rPr>
              <w:t>1</w:t>
            </w:r>
            <w:r w:rsidRPr="004B124D">
              <w:rPr>
                <w:rFonts w:cs="Arial"/>
                <w:color w:val="000000"/>
                <w:sz w:val="22"/>
              </w:rPr>
              <w:t xml:space="preserve"> 500 000</w:t>
            </w:r>
          </w:p>
        </w:tc>
      </w:tr>
      <w:tr w:rsidR="00141A53" w:rsidRPr="00830A44" w14:paraId="70EDAD73" w14:textId="77777777" w:rsidTr="00F97D7B">
        <w:trPr>
          <w:trHeight w:val="555"/>
        </w:trPr>
        <w:tc>
          <w:tcPr>
            <w:tcW w:w="3666" w:type="dxa"/>
            <w:shd w:val="clear" w:color="auto" w:fill="auto"/>
            <w:vAlign w:val="center"/>
            <w:hideMark/>
          </w:tcPr>
          <w:p w14:paraId="5F89DE90" w14:textId="77777777" w:rsidR="00141A53" w:rsidRPr="00830A44" w:rsidRDefault="00141A53" w:rsidP="00F97D7B">
            <w:pPr>
              <w:spacing w:line="240" w:lineRule="auto"/>
              <w:jc w:val="left"/>
              <w:rPr>
                <w:rFonts w:cs="Arial"/>
                <w:color w:val="000000"/>
                <w:sz w:val="22"/>
              </w:rPr>
            </w:pPr>
            <w:r w:rsidRPr="00830A44">
              <w:rPr>
                <w:rFonts w:cs="Arial"/>
                <w:bCs/>
                <w:color w:val="000000"/>
                <w:sz w:val="22"/>
              </w:rPr>
              <w:t>Élaboration des Plans des PAR</w:t>
            </w:r>
          </w:p>
        </w:tc>
        <w:tc>
          <w:tcPr>
            <w:tcW w:w="2004" w:type="dxa"/>
            <w:shd w:val="clear" w:color="auto" w:fill="auto"/>
            <w:vAlign w:val="center"/>
            <w:hideMark/>
          </w:tcPr>
          <w:p w14:paraId="472C1BF2" w14:textId="77777777" w:rsidR="00141A53" w:rsidRPr="004B124D" w:rsidRDefault="00141A53" w:rsidP="00F97D7B">
            <w:pPr>
              <w:spacing w:line="240" w:lineRule="auto"/>
              <w:jc w:val="center"/>
              <w:rPr>
                <w:rFonts w:cs="Arial"/>
                <w:color w:val="000000"/>
                <w:sz w:val="22"/>
              </w:rPr>
            </w:pPr>
            <w:r w:rsidRPr="00830A44">
              <w:rPr>
                <w:rFonts w:cs="Arial"/>
                <w:color w:val="000000"/>
                <w:sz w:val="22"/>
              </w:rPr>
              <w:t>3</w:t>
            </w:r>
            <w:r w:rsidRPr="004B124D">
              <w:rPr>
                <w:rFonts w:cs="Arial"/>
                <w:color w:val="000000"/>
                <w:sz w:val="22"/>
              </w:rPr>
              <w:t>0</w:t>
            </w:r>
          </w:p>
        </w:tc>
        <w:tc>
          <w:tcPr>
            <w:tcW w:w="1882" w:type="dxa"/>
            <w:shd w:val="clear" w:color="auto" w:fill="auto"/>
            <w:vAlign w:val="center"/>
            <w:hideMark/>
          </w:tcPr>
          <w:p w14:paraId="0238E065" w14:textId="77777777" w:rsidR="00141A53" w:rsidRPr="00E80989" w:rsidRDefault="00141A53" w:rsidP="00F97D7B">
            <w:pPr>
              <w:spacing w:line="240" w:lineRule="auto"/>
              <w:jc w:val="right"/>
              <w:rPr>
                <w:rFonts w:cs="Arial"/>
                <w:color w:val="000000"/>
                <w:sz w:val="22"/>
              </w:rPr>
            </w:pPr>
            <w:r w:rsidRPr="00E80989">
              <w:rPr>
                <w:rFonts w:cs="Arial"/>
                <w:color w:val="000000"/>
                <w:sz w:val="22"/>
              </w:rPr>
              <w:t>60 000</w:t>
            </w:r>
          </w:p>
        </w:tc>
        <w:tc>
          <w:tcPr>
            <w:tcW w:w="1759" w:type="dxa"/>
            <w:shd w:val="clear" w:color="auto" w:fill="auto"/>
            <w:vAlign w:val="center"/>
            <w:hideMark/>
          </w:tcPr>
          <w:p w14:paraId="5B052F1F" w14:textId="77777777" w:rsidR="00141A53" w:rsidRPr="004B124D" w:rsidRDefault="00141A53" w:rsidP="00F97D7B">
            <w:pPr>
              <w:spacing w:line="240" w:lineRule="auto"/>
              <w:jc w:val="right"/>
              <w:rPr>
                <w:rFonts w:cs="Arial"/>
                <w:color w:val="000000"/>
                <w:sz w:val="22"/>
              </w:rPr>
            </w:pPr>
            <w:r w:rsidRPr="00830A44">
              <w:rPr>
                <w:rFonts w:cs="Arial"/>
                <w:color w:val="000000"/>
                <w:sz w:val="22"/>
              </w:rPr>
              <w:t>1</w:t>
            </w:r>
            <w:r w:rsidRPr="004B124D">
              <w:rPr>
                <w:rFonts w:cs="Arial"/>
                <w:color w:val="000000"/>
                <w:sz w:val="22"/>
              </w:rPr>
              <w:t xml:space="preserve"> </w:t>
            </w:r>
            <w:r w:rsidRPr="00830A44">
              <w:rPr>
                <w:rFonts w:cs="Arial"/>
                <w:color w:val="000000"/>
                <w:sz w:val="22"/>
              </w:rPr>
              <w:t>8</w:t>
            </w:r>
            <w:r w:rsidRPr="004B124D">
              <w:rPr>
                <w:rFonts w:cs="Arial"/>
                <w:color w:val="000000"/>
                <w:sz w:val="22"/>
              </w:rPr>
              <w:t>00 000</w:t>
            </w:r>
          </w:p>
        </w:tc>
      </w:tr>
      <w:tr w:rsidR="00141A53" w:rsidRPr="00830A44" w14:paraId="7B8B9A9C" w14:textId="77777777" w:rsidTr="00F97D7B">
        <w:trPr>
          <w:trHeight w:val="309"/>
        </w:trPr>
        <w:tc>
          <w:tcPr>
            <w:tcW w:w="3666" w:type="dxa"/>
            <w:shd w:val="clear" w:color="auto" w:fill="auto"/>
            <w:vAlign w:val="center"/>
            <w:hideMark/>
          </w:tcPr>
          <w:p w14:paraId="692408EA" w14:textId="77777777" w:rsidR="00141A53" w:rsidRPr="00830A44" w:rsidRDefault="00141A53" w:rsidP="00F97D7B">
            <w:pPr>
              <w:spacing w:line="240" w:lineRule="auto"/>
              <w:jc w:val="left"/>
              <w:rPr>
                <w:rFonts w:cs="Arial"/>
                <w:color w:val="000000"/>
                <w:sz w:val="22"/>
              </w:rPr>
            </w:pPr>
            <w:r w:rsidRPr="00830A44">
              <w:rPr>
                <w:rFonts w:cs="Arial"/>
                <w:bCs/>
                <w:color w:val="000000"/>
                <w:sz w:val="22"/>
              </w:rPr>
              <w:t>Mise en œuvre des PAR</w:t>
            </w:r>
          </w:p>
        </w:tc>
        <w:tc>
          <w:tcPr>
            <w:tcW w:w="2004" w:type="dxa"/>
            <w:shd w:val="clear" w:color="auto" w:fill="auto"/>
            <w:vAlign w:val="center"/>
            <w:hideMark/>
          </w:tcPr>
          <w:p w14:paraId="2676E7D4" w14:textId="77777777" w:rsidR="00141A53" w:rsidRPr="00830A44" w:rsidRDefault="00141A53" w:rsidP="00F97D7B">
            <w:pPr>
              <w:spacing w:line="240" w:lineRule="auto"/>
              <w:jc w:val="center"/>
              <w:rPr>
                <w:rFonts w:cs="Arial"/>
                <w:color w:val="000000"/>
                <w:sz w:val="22"/>
              </w:rPr>
            </w:pPr>
            <w:r w:rsidRPr="00830A44">
              <w:rPr>
                <w:rFonts w:cs="Arial"/>
                <w:color w:val="000000"/>
                <w:sz w:val="22"/>
              </w:rPr>
              <w:t>30</w:t>
            </w:r>
          </w:p>
        </w:tc>
        <w:tc>
          <w:tcPr>
            <w:tcW w:w="1882" w:type="dxa"/>
            <w:shd w:val="clear" w:color="auto" w:fill="auto"/>
            <w:vAlign w:val="center"/>
            <w:hideMark/>
          </w:tcPr>
          <w:p w14:paraId="3AA87C4B" w14:textId="77777777" w:rsidR="00141A53" w:rsidRPr="00830A44" w:rsidRDefault="00141A53" w:rsidP="00F97D7B">
            <w:pPr>
              <w:spacing w:line="240" w:lineRule="auto"/>
              <w:jc w:val="right"/>
              <w:rPr>
                <w:rFonts w:cs="Arial"/>
                <w:color w:val="000000"/>
                <w:sz w:val="22"/>
              </w:rPr>
            </w:pPr>
            <w:r w:rsidRPr="00830A44">
              <w:rPr>
                <w:rFonts w:cs="Arial"/>
                <w:color w:val="000000"/>
                <w:sz w:val="22"/>
              </w:rPr>
              <w:t>40 000</w:t>
            </w:r>
          </w:p>
        </w:tc>
        <w:tc>
          <w:tcPr>
            <w:tcW w:w="1759" w:type="dxa"/>
            <w:shd w:val="clear" w:color="auto" w:fill="auto"/>
            <w:vAlign w:val="center"/>
            <w:hideMark/>
          </w:tcPr>
          <w:p w14:paraId="6CB51FA3" w14:textId="77777777" w:rsidR="00141A53" w:rsidRPr="00830A44" w:rsidRDefault="00141A53" w:rsidP="00F97D7B">
            <w:pPr>
              <w:spacing w:line="240" w:lineRule="auto"/>
              <w:jc w:val="right"/>
              <w:rPr>
                <w:rFonts w:cs="Arial"/>
                <w:color w:val="000000"/>
                <w:sz w:val="22"/>
              </w:rPr>
            </w:pPr>
            <w:r w:rsidRPr="00830A44">
              <w:rPr>
                <w:rFonts w:cs="Arial"/>
                <w:color w:val="000000"/>
                <w:sz w:val="22"/>
              </w:rPr>
              <w:t>1 200 000</w:t>
            </w:r>
          </w:p>
        </w:tc>
      </w:tr>
      <w:tr w:rsidR="00141A53" w:rsidRPr="002A1EE6" w14:paraId="1E051E7E" w14:textId="77777777" w:rsidTr="00F97D7B">
        <w:trPr>
          <w:trHeight w:val="309"/>
        </w:trPr>
        <w:tc>
          <w:tcPr>
            <w:tcW w:w="3666" w:type="dxa"/>
            <w:shd w:val="clear" w:color="auto" w:fill="auto"/>
            <w:vAlign w:val="center"/>
          </w:tcPr>
          <w:p w14:paraId="35B7502D" w14:textId="77777777" w:rsidR="00141A53" w:rsidRPr="002A1EE6" w:rsidRDefault="00141A53" w:rsidP="00F97D7B">
            <w:pPr>
              <w:spacing w:line="240" w:lineRule="auto"/>
              <w:jc w:val="left"/>
              <w:rPr>
                <w:rFonts w:cs="Arial"/>
                <w:bCs/>
                <w:color w:val="000000"/>
                <w:sz w:val="22"/>
              </w:rPr>
            </w:pPr>
            <w:r>
              <w:rPr>
                <w:rFonts w:cs="Arial"/>
                <w:bCs/>
                <w:color w:val="000000"/>
                <w:sz w:val="22"/>
              </w:rPr>
              <w:t>Elaboration et mise en œuvre du PGS</w:t>
            </w:r>
          </w:p>
        </w:tc>
        <w:tc>
          <w:tcPr>
            <w:tcW w:w="2004" w:type="dxa"/>
            <w:shd w:val="clear" w:color="auto" w:fill="auto"/>
            <w:vAlign w:val="center"/>
          </w:tcPr>
          <w:p w14:paraId="548BB1C7" w14:textId="77777777" w:rsidR="00141A53" w:rsidRPr="002A1EE6" w:rsidRDefault="00141A53" w:rsidP="00F97D7B">
            <w:pPr>
              <w:spacing w:line="240" w:lineRule="auto"/>
              <w:jc w:val="center"/>
              <w:rPr>
                <w:rFonts w:cs="Arial"/>
                <w:color w:val="000000"/>
                <w:sz w:val="22"/>
              </w:rPr>
            </w:pPr>
            <w:r>
              <w:rPr>
                <w:rFonts w:cs="Arial"/>
                <w:color w:val="000000"/>
                <w:sz w:val="22"/>
              </w:rPr>
              <w:t>1</w:t>
            </w:r>
          </w:p>
        </w:tc>
        <w:tc>
          <w:tcPr>
            <w:tcW w:w="1882" w:type="dxa"/>
            <w:shd w:val="clear" w:color="auto" w:fill="auto"/>
            <w:vAlign w:val="center"/>
          </w:tcPr>
          <w:p w14:paraId="0E2FFA8F" w14:textId="77777777" w:rsidR="00141A53" w:rsidRPr="002A1EE6" w:rsidRDefault="00141A53" w:rsidP="00F97D7B">
            <w:pPr>
              <w:spacing w:line="240" w:lineRule="auto"/>
              <w:jc w:val="right"/>
              <w:rPr>
                <w:rFonts w:cs="Arial"/>
                <w:color w:val="000000"/>
                <w:sz w:val="22"/>
              </w:rPr>
            </w:pPr>
            <w:r>
              <w:rPr>
                <w:rFonts w:cs="Arial"/>
                <w:color w:val="000000"/>
                <w:sz w:val="22"/>
              </w:rPr>
              <w:t>100 000</w:t>
            </w:r>
          </w:p>
        </w:tc>
        <w:tc>
          <w:tcPr>
            <w:tcW w:w="1759" w:type="dxa"/>
            <w:shd w:val="clear" w:color="auto" w:fill="auto"/>
            <w:vAlign w:val="center"/>
          </w:tcPr>
          <w:p w14:paraId="61ABFC91" w14:textId="77777777" w:rsidR="00141A53" w:rsidRPr="002A1EE6" w:rsidRDefault="00141A53" w:rsidP="00F97D7B">
            <w:pPr>
              <w:spacing w:line="240" w:lineRule="auto"/>
              <w:jc w:val="right"/>
              <w:rPr>
                <w:rFonts w:cs="Arial"/>
                <w:color w:val="000000"/>
                <w:sz w:val="22"/>
              </w:rPr>
            </w:pPr>
            <w:r>
              <w:rPr>
                <w:rFonts w:cs="Arial"/>
                <w:color w:val="000000"/>
                <w:sz w:val="22"/>
              </w:rPr>
              <w:t>100 000</w:t>
            </w:r>
          </w:p>
        </w:tc>
      </w:tr>
      <w:tr w:rsidR="00141A53" w:rsidRPr="002A1EE6" w14:paraId="66EAF0BB" w14:textId="77777777" w:rsidTr="00F97D7B">
        <w:trPr>
          <w:trHeight w:val="309"/>
        </w:trPr>
        <w:tc>
          <w:tcPr>
            <w:tcW w:w="3666" w:type="dxa"/>
            <w:shd w:val="clear" w:color="auto" w:fill="auto"/>
            <w:vAlign w:val="center"/>
          </w:tcPr>
          <w:p w14:paraId="456F9D1E" w14:textId="77777777" w:rsidR="00141A53" w:rsidRDefault="00141A53" w:rsidP="00F97D7B">
            <w:pPr>
              <w:spacing w:line="240" w:lineRule="auto"/>
              <w:jc w:val="left"/>
              <w:rPr>
                <w:rFonts w:cs="Arial"/>
                <w:bCs/>
                <w:color w:val="000000"/>
                <w:sz w:val="22"/>
              </w:rPr>
            </w:pPr>
            <w:r>
              <w:rPr>
                <w:rFonts w:cs="Arial"/>
                <w:bCs/>
                <w:color w:val="000000"/>
                <w:sz w:val="22"/>
              </w:rPr>
              <w:t>Elaboration et mise en œuvre du Plan de Gestion de la Biodiversité (PGB)</w:t>
            </w:r>
          </w:p>
        </w:tc>
        <w:tc>
          <w:tcPr>
            <w:tcW w:w="2004" w:type="dxa"/>
            <w:shd w:val="clear" w:color="auto" w:fill="auto"/>
            <w:vAlign w:val="center"/>
          </w:tcPr>
          <w:p w14:paraId="65EB5D77" w14:textId="77777777" w:rsidR="00141A53" w:rsidRDefault="00141A53" w:rsidP="00F97D7B">
            <w:pPr>
              <w:spacing w:line="240" w:lineRule="auto"/>
              <w:jc w:val="center"/>
              <w:rPr>
                <w:rFonts w:cs="Arial"/>
                <w:color w:val="000000"/>
                <w:sz w:val="22"/>
              </w:rPr>
            </w:pPr>
            <w:r>
              <w:rPr>
                <w:rFonts w:cs="Arial"/>
                <w:color w:val="000000"/>
                <w:sz w:val="22"/>
              </w:rPr>
              <w:t>1</w:t>
            </w:r>
          </w:p>
        </w:tc>
        <w:tc>
          <w:tcPr>
            <w:tcW w:w="1882" w:type="dxa"/>
            <w:shd w:val="clear" w:color="auto" w:fill="auto"/>
            <w:vAlign w:val="center"/>
          </w:tcPr>
          <w:p w14:paraId="116D88B5" w14:textId="77777777" w:rsidR="00141A53" w:rsidRDefault="00141A53" w:rsidP="00F97D7B">
            <w:pPr>
              <w:spacing w:line="240" w:lineRule="auto"/>
              <w:jc w:val="right"/>
              <w:rPr>
                <w:rFonts w:cs="Arial"/>
                <w:color w:val="000000"/>
                <w:sz w:val="22"/>
              </w:rPr>
            </w:pPr>
            <w:r>
              <w:rPr>
                <w:rFonts w:cs="Arial"/>
                <w:color w:val="000000"/>
                <w:sz w:val="22"/>
              </w:rPr>
              <w:t>300 000</w:t>
            </w:r>
          </w:p>
        </w:tc>
        <w:tc>
          <w:tcPr>
            <w:tcW w:w="1759" w:type="dxa"/>
            <w:shd w:val="clear" w:color="auto" w:fill="auto"/>
            <w:vAlign w:val="center"/>
          </w:tcPr>
          <w:p w14:paraId="32223F80" w14:textId="77777777" w:rsidR="00141A53" w:rsidRDefault="00141A53" w:rsidP="00F97D7B">
            <w:pPr>
              <w:spacing w:line="240" w:lineRule="auto"/>
              <w:jc w:val="right"/>
              <w:rPr>
                <w:rFonts w:cs="Arial"/>
                <w:color w:val="000000"/>
                <w:sz w:val="22"/>
              </w:rPr>
            </w:pPr>
            <w:r>
              <w:rPr>
                <w:rFonts w:cs="Arial"/>
                <w:color w:val="000000"/>
                <w:sz w:val="22"/>
              </w:rPr>
              <w:t>300 000</w:t>
            </w:r>
          </w:p>
        </w:tc>
      </w:tr>
      <w:tr w:rsidR="00141A53" w:rsidRPr="002A1EE6" w14:paraId="00BDF703" w14:textId="77777777" w:rsidTr="00F97D7B">
        <w:trPr>
          <w:trHeight w:val="657"/>
        </w:trPr>
        <w:tc>
          <w:tcPr>
            <w:tcW w:w="3666" w:type="dxa"/>
            <w:shd w:val="clear" w:color="auto" w:fill="auto"/>
            <w:vAlign w:val="center"/>
            <w:hideMark/>
          </w:tcPr>
          <w:p w14:paraId="5E2230F7" w14:textId="77777777" w:rsidR="00141A53" w:rsidRPr="002A1EE6" w:rsidRDefault="00141A53" w:rsidP="00F97D7B">
            <w:pPr>
              <w:spacing w:line="240" w:lineRule="auto"/>
              <w:jc w:val="left"/>
              <w:rPr>
                <w:rFonts w:cs="Arial"/>
                <w:color w:val="000000"/>
                <w:sz w:val="22"/>
              </w:rPr>
            </w:pPr>
            <w:r w:rsidRPr="002A1EE6">
              <w:rPr>
                <w:rFonts w:cs="Arial"/>
                <w:bCs/>
                <w:color w:val="000000"/>
                <w:sz w:val="22"/>
              </w:rPr>
              <w:t>Mise en œuvre du PMPP y compris le MGP global et celui sensible au</w:t>
            </w:r>
            <w:r w:rsidR="00BE528D">
              <w:rPr>
                <w:rFonts w:cs="Arial"/>
                <w:bCs/>
                <w:color w:val="000000"/>
                <w:sz w:val="22"/>
              </w:rPr>
              <w:t>x</w:t>
            </w:r>
            <w:r w:rsidRPr="002A1EE6">
              <w:rPr>
                <w:rFonts w:cs="Arial"/>
                <w:bCs/>
                <w:color w:val="000000"/>
                <w:sz w:val="22"/>
              </w:rPr>
              <w:t xml:space="preserve"> VBG</w:t>
            </w:r>
          </w:p>
        </w:tc>
        <w:tc>
          <w:tcPr>
            <w:tcW w:w="2004" w:type="dxa"/>
            <w:shd w:val="clear" w:color="auto" w:fill="auto"/>
            <w:vAlign w:val="center"/>
            <w:hideMark/>
          </w:tcPr>
          <w:p w14:paraId="60BD574F" w14:textId="77777777" w:rsidR="00141A53" w:rsidRPr="002A1EE6" w:rsidRDefault="00141A53" w:rsidP="00F97D7B">
            <w:pPr>
              <w:spacing w:line="240" w:lineRule="auto"/>
              <w:jc w:val="center"/>
              <w:rPr>
                <w:rFonts w:cs="Arial"/>
                <w:color w:val="000000"/>
                <w:sz w:val="22"/>
              </w:rPr>
            </w:pPr>
            <w:r w:rsidRPr="002A1EE6">
              <w:rPr>
                <w:rFonts w:cs="Arial"/>
                <w:color w:val="000000"/>
                <w:sz w:val="22"/>
              </w:rPr>
              <w:t>1</w:t>
            </w:r>
          </w:p>
        </w:tc>
        <w:tc>
          <w:tcPr>
            <w:tcW w:w="1882" w:type="dxa"/>
            <w:shd w:val="clear" w:color="auto" w:fill="auto"/>
            <w:vAlign w:val="center"/>
            <w:hideMark/>
          </w:tcPr>
          <w:p w14:paraId="5ACB5AE6" w14:textId="77777777" w:rsidR="00141A53" w:rsidRDefault="00141A53" w:rsidP="00F97D7B">
            <w:pPr>
              <w:spacing w:line="240" w:lineRule="auto"/>
              <w:jc w:val="right"/>
              <w:rPr>
                <w:rFonts w:cs="Arial"/>
                <w:color w:val="000000"/>
                <w:sz w:val="22"/>
              </w:rPr>
            </w:pPr>
            <w:r w:rsidRPr="004668D0">
              <w:rPr>
                <w:rFonts w:cs="Arial"/>
                <w:color w:val="000000"/>
                <w:sz w:val="22"/>
              </w:rPr>
              <w:t xml:space="preserve">2 </w:t>
            </w:r>
            <w:r w:rsidRPr="00830A44">
              <w:rPr>
                <w:rFonts w:cs="Arial"/>
                <w:color w:val="000000"/>
                <w:sz w:val="22"/>
              </w:rPr>
              <w:t>323 000</w:t>
            </w:r>
          </w:p>
          <w:p w14:paraId="466B044B" w14:textId="77777777" w:rsidR="00141A53" w:rsidRPr="002A1EE6" w:rsidRDefault="00141A53" w:rsidP="00F97D7B">
            <w:pPr>
              <w:spacing w:line="240" w:lineRule="auto"/>
              <w:jc w:val="right"/>
              <w:rPr>
                <w:rFonts w:cs="Arial"/>
                <w:color w:val="000000"/>
                <w:sz w:val="22"/>
              </w:rPr>
            </w:pPr>
          </w:p>
        </w:tc>
        <w:tc>
          <w:tcPr>
            <w:tcW w:w="1759" w:type="dxa"/>
            <w:shd w:val="clear" w:color="auto" w:fill="auto"/>
            <w:vAlign w:val="center"/>
            <w:hideMark/>
          </w:tcPr>
          <w:p w14:paraId="129089D0" w14:textId="77777777" w:rsidR="00141A53" w:rsidRDefault="00141A53" w:rsidP="00F97D7B">
            <w:pPr>
              <w:spacing w:line="240" w:lineRule="auto"/>
              <w:jc w:val="right"/>
              <w:rPr>
                <w:rFonts w:cs="Arial"/>
                <w:color w:val="000000"/>
                <w:sz w:val="22"/>
              </w:rPr>
            </w:pPr>
            <w:r>
              <w:rPr>
                <w:rFonts w:cs="Arial"/>
                <w:color w:val="000000"/>
                <w:sz w:val="22"/>
              </w:rPr>
              <w:t xml:space="preserve">2 </w:t>
            </w:r>
            <w:r w:rsidRPr="00830A44">
              <w:rPr>
                <w:rFonts w:cs="Arial"/>
                <w:color w:val="000000"/>
                <w:sz w:val="22"/>
              </w:rPr>
              <w:t>323 000</w:t>
            </w:r>
          </w:p>
          <w:p w14:paraId="4E03BEDD" w14:textId="77777777" w:rsidR="00141A53" w:rsidRPr="002A1EE6" w:rsidRDefault="00141A53" w:rsidP="00F97D7B">
            <w:pPr>
              <w:spacing w:line="240" w:lineRule="auto"/>
              <w:jc w:val="right"/>
              <w:rPr>
                <w:rFonts w:cs="Arial"/>
                <w:color w:val="000000"/>
                <w:sz w:val="22"/>
              </w:rPr>
            </w:pPr>
          </w:p>
        </w:tc>
      </w:tr>
      <w:tr w:rsidR="00141A53" w:rsidRPr="002A1EE6" w14:paraId="2EE9B28B" w14:textId="77777777" w:rsidTr="00F97D7B">
        <w:trPr>
          <w:trHeight w:val="866"/>
        </w:trPr>
        <w:tc>
          <w:tcPr>
            <w:tcW w:w="3666" w:type="dxa"/>
            <w:shd w:val="clear" w:color="auto" w:fill="auto"/>
            <w:vAlign w:val="center"/>
            <w:hideMark/>
          </w:tcPr>
          <w:p w14:paraId="12B9CF96" w14:textId="77777777" w:rsidR="00141A53" w:rsidRPr="002A1EE6" w:rsidRDefault="00141A53" w:rsidP="00F97D7B">
            <w:pPr>
              <w:spacing w:line="240" w:lineRule="auto"/>
              <w:jc w:val="left"/>
              <w:rPr>
                <w:rFonts w:cs="Arial"/>
                <w:color w:val="000000"/>
                <w:sz w:val="22"/>
              </w:rPr>
            </w:pPr>
            <w:r w:rsidRPr="002A1EE6">
              <w:rPr>
                <w:rFonts w:cs="Arial"/>
                <w:bCs/>
                <w:color w:val="000000"/>
                <w:sz w:val="22"/>
              </w:rPr>
              <w:t>Appui à la préservation et la restauration des carrières / gîtes d’emprunts</w:t>
            </w:r>
          </w:p>
        </w:tc>
        <w:tc>
          <w:tcPr>
            <w:tcW w:w="2004" w:type="dxa"/>
            <w:shd w:val="clear" w:color="auto" w:fill="auto"/>
            <w:vAlign w:val="center"/>
            <w:hideMark/>
          </w:tcPr>
          <w:p w14:paraId="7D5D6862" w14:textId="77777777" w:rsidR="00141A53" w:rsidRPr="002A1EE6" w:rsidRDefault="00141A53" w:rsidP="00F97D7B">
            <w:pPr>
              <w:spacing w:line="240" w:lineRule="auto"/>
              <w:jc w:val="center"/>
              <w:rPr>
                <w:rFonts w:cs="Arial"/>
                <w:color w:val="000000"/>
                <w:sz w:val="22"/>
              </w:rPr>
            </w:pPr>
            <w:r w:rsidRPr="002A1EE6">
              <w:rPr>
                <w:rFonts w:cs="Arial"/>
                <w:color w:val="000000"/>
                <w:sz w:val="22"/>
              </w:rPr>
              <w:t>5</w:t>
            </w:r>
          </w:p>
        </w:tc>
        <w:tc>
          <w:tcPr>
            <w:tcW w:w="1882" w:type="dxa"/>
            <w:shd w:val="clear" w:color="auto" w:fill="auto"/>
            <w:vAlign w:val="center"/>
            <w:hideMark/>
          </w:tcPr>
          <w:p w14:paraId="037A7A78" w14:textId="77777777" w:rsidR="00141A53" w:rsidRPr="002A1EE6" w:rsidRDefault="00141A53" w:rsidP="00F97D7B">
            <w:pPr>
              <w:spacing w:line="240" w:lineRule="auto"/>
              <w:jc w:val="right"/>
              <w:rPr>
                <w:rFonts w:cs="Arial"/>
                <w:color w:val="000000"/>
                <w:sz w:val="22"/>
              </w:rPr>
            </w:pPr>
            <w:r w:rsidRPr="002A1EE6">
              <w:rPr>
                <w:rFonts w:cs="Arial"/>
                <w:color w:val="000000"/>
                <w:sz w:val="22"/>
              </w:rPr>
              <w:t>50 000</w:t>
            </w:r>
          </w:p>
        </w:tc>
        <w:tc>
          <w:tcPr>
            <w:tcW w:w="1759" w:type="dxa"/>
            <w:shd w:val="clear" w:color="auto" w:fill="auto"/>
            <w:vAlign w:val="center"/>
            <w:hideMark/>
          </w:tcPr>
          <w:p w14:paraId="0CB8F708" w14:textId="77777777" w:rsidR="00141A53" w:rsidRPr="002A1EE6" w:rsidRDefault="00141A53" w:rsidP="00F97D7B">
            <w:pPr>
              <w:spacing w:line="240" w:lineRule="auto"/>
              <w:jc w:val="right"/>
              <w:rPr>
                <w:rFonts w:cs="Arial"/>
                <w:color w:val="000000"/>
                <w:sz w:val="22"/>
              </w:rPr>
            </w:pPr>
            <w:r w:rsidRPr="002A1EE6">
              <w:rPr>
                <w:rFonts w:cs="Arial"/>
                <w:color w:val="000000"/>
                <w:sz w:val="22"/>
              </w:rPr>
              <w:t>250 000</w:t>
            </w:r>
          </w:p>
        </w:tc>
      </w:tr>
      <w:tr w:rsidR="00141A53" w:rsidRPr="002A1EE6" w14:paraId="34402E4F" w14:textId="77777777" w:rsidTr="00F97D7B">
        <w:trPr>
          <w:trHeight w:val="113"/>
        </w:trPr>
        <w:tc>
          <w:tcPr>
            <w:tcW w:w="3666" w:type="dxa"/>
            <w:shd w:val="clear" w:color="auto" w:fill="auto"/>
            <w:vAlign w:val="center"/>
            <w:hideMark/>
          </w:tcPr>
          <w:p w14:paraId="567340A8" w14:textId="77777777" w:rsidR="00141A53" w:rsidRPr="002A1EE6" w:rsidRDefault="00141A53" w:rsidP="00F97D7B">
            <w:pPr>
              <w:spacing w:line="240" w:lineRule="auto"/>
              <w:jc w:val="left"/>
              <w:rPr>
                <w:rFonts w:cs="Arial"/>
                <w:color w:val="000000"/>
                <w:sz w:val="22"/>
              </w:rPr>
            </w:pPr>
            <w:r w:rsidRPr="002A1EE6">
              <w:rPr>
                <w:rFonts w:cs="Arial"/>
                <w:color w:val="000000"/>
                <w:sz w:val="22"/>
              </w:rPr>
              <w:t xml:space="preserve">Dotation des intrants agricoles </w:t>
            </w:r>
          </w:p>
        </w:tc>
        <w:tc>
          <w:tcPr>
            <w:tcW w:w="2004" w:type="dxa"/>
            <w:shd w:val="clear" w:color="auto" w:fill="auto"/>
            <w:vAlign w:val="center"/>
            <w:hideMark/>
          </w:tcPr>
          <w:p w14:paraId="1E8455C9" w14:textId="77777777" w:rsidR="00141A53" w:rsidRPr="002A1EE6" w:rsidRDefault="00141A53" w:rsidP="00F97D7B">
            <w:pPr>
              <w:spacing w:line="240" w:lineRule="auto"/>
              <w:jc w:val="center"/>
              <w:rPr>
                <w:rFonts w:cs="Arial"/>
                <w:color w:val="000000"/>
                <w:sz w:val="22"/>
              </w:rPr>
            </w:pPr>
            <w:r w:rsidRPr="002A1EE6">
              <w:rPr>
                <w:rFonts w:cs="Arial"/>
                <w:color w:val="000000"/>
                <w:sz w:val="22"/>
              </w:rPr>
              <w:t>-</w:t>
            </w:r>
          </w:p>
        </w:tc>
        <w:tc>
          <w:tcPr>
            <w:tcW w:w="1882" w:type="dxa"/>
            <w:shd w:val="clear" w:color="auto" w:fill="auto"/>
            <w:vAlign w:val="center"/>
            <w:hideMark/>
          </w:tcPr>
          <w:p w14:paraId="55DBB0F2" w14:textId="77777777" w:rsidR="00141A53" w:rsidRPr="002A1EE6" w:rsidRDefault="00141A53" w:rsidP="00F97D7B">
            <w:pPr>
              <w:spacing w:line="240" w:lineRule="auto"/>
              <w:jc w:val="right"/>
              <w:rPr>
                <w:rFonts w:cs="Arial"/>
                <w:color w:val="000000"/>
                <w:sz w:val="22"/>
              </w:rPr>
            </w:pPr>
            <w:r w:rsidRPr="002A1EE6">
              <w:rPr>
                <w:rFonts w:cs="Arial"/>
                <w:color w:val="000000"/>
                <w:sz w:val="22"/>
              </w:rPr>
              <w:t>PM</w:t>
            </w:r>
          </w:p>
        </w:tc>
        <w:tc>
          <w:tcPr>
            <w:tcW w:w="1759" w:type="dxa"/>
            <w:shd w:val="clear" w:color="auto" w:fill="auto"/>
            <w:vAlign w:val="center"/>
            <w:hideMark/>
          </w:tcPr>
          <w:p w14:paraId="68202534" w14:textId="77777777" w:rsidR="00141A53" w:rsidRPr="002A1EE6" w:rsidRDefault="00141A53" w:rsidP="00F97D7B">
            <w:pPr>
              <w:spacing w:line="240" w:lineRule="auto"/>
              <w:jc w:val="right"/>
              <w:rPr>
                <w:rFonts w:cs="Arial"/>
                <w:color w:val="000000"/>
                <w:sz w:val="22"/>
              </w:rPr>
            </w:pPr>
            <w:r w:rsidRPr="002A1EE6">
              <w:rPr>
                <w:rFonts w:cs="Arial"/>
                <w:color w:val="000000"/>
                <w:sz w:val="22"/>
              </w:rPr>
              <w:t>0</w:t>
            </w:r>
          </w:p>
        </w:tc>
      </w:tr>
      <w:tr w:rsidR="00141A53" w:rsidRPr="002A1EE6" w14:paraId="4FC52070" w14:textId="77777777" w:rsidTr="00F97D7B">
        <w:trPr>
          <w:trHeight w:val="319"/>
        </w:trPr>
        <w:tc>
          <w:tcPr>
            <w:tcW w:w="3666" w:type="dxa"/>
            <w:shd w:val="clear" w:color="auto" w:fill="auto"/>
            <w:vAlign w:val="center"/>
            <w:hideMark/>
          </w:tcPr>
          <w:p w14:paraId="1D3D4E30" w14:textId="77777777" w:rsidR="00141A53" w:rsidRPr="002A1EE6" w:rsidRDefault="00141A53" w:rsidP="00F97D7B">
            <w:pPr>
              <w:spacing w:line="240" w:lineRule="auto"/>
              <w:jc w:val="left"/>
              <w:rPr>
                <w:rFonts w:cs="Arial"/>
                <w:color w:val="000000"/>
                <w:sz w:val="22"/>
              </w:rPr>
            </w:pPr>
            <w:r w:rsidRPr="002A1EE6">
              <w:rPr>
                <w:rFonts w:cs="Arial"/>
                <w:color w:val="000000"/>
                <w:sz w:val="22"/>
              </w:rPr>
              <w:t>Dotation des semences agricoles</w:t>
            </w:r>
          </w:p>
        </w:tc>
        <w:tc>
          <w:tcPr>
            <w:tcW w:w="2004" w:type="dxa"/>
            <w:shd w:val="clear" w:color="auto" w:fill="auto"/>
            <w:vAlign w:val="center"/>
            <w:hideMark/>
          </w:tcPr>
          <w:p w14:paraId="53ED57D6" w14:textId="77777777" w:rsidR="00141A53" w:rsidRPr="002A1EE6" w:rsidRDefault="00141A53" w:rsidP="00F97D7B">
            <w:pPr>
              <w:spacing w:line="240" w:lineRule="auto"/>
              <w:jc w:val="center"/>
              <w:rPr>
                <w:rFonts w:cs="Arial"/>
                <w:color w:val="000000"/>
                <w:sz w:val="22"/>
              </w:rPr>
            </w:pPr>
            <w:r w:rsidRPr="002A1EE6">
              <w:rPr>
                <w:rFonts w:cs="Arial"/>
                <w:color w:val="000000"/>
                <w:sz w:val="22"/>
              </w:rPr>
              <w:t> </w:t>
            </w:r>
          </w:p>
        </w:tc>
        <w:tc>
          <w:tcPr>
            <w:tcW w:w="1882" w:type="dxa"/>
            <w:shd w:val="clear" w:color="auto" w:fill="auto"/>
            <w:vAlign w:val="center"/>
            <w:hideMark/>
          </w:tcPr>
          <w:p w14:paraId="534F82C2" w14:textId="77777777" w:rsidR="00141A53" w:rsidRPr="002A1EE6" w:rsidRDefault="00141A53" w:rsidP="00F97D7B">
            <w:pPr>
              <w:spacing w:line="240" w:lineRule="auto"/>
              <w:jc w:val="right"/>
              <w:rPr>
                <w:rFonts w:cs="Arial"/>
                <w:color w:val="000000"/>
                <w:sz w:val="22"/>
              </w:rPr>
            </w:pPr>
            <w:r w:rsidRPr="002A1EE6">
              <w:rPr>
                <w:rFonts w:cs="Arial"/>
                <w:color w:val="000000"/>
                <w:sz w:val="22"/>
              </w:rPr>
              <w:t>PM</w:t>
            </w:r>
          </w:p>
        </w:tc>
        <w:tc>
          <w:tcPr>
            <w:tcW w:w="1759" w:type="dxa"/>
            <w:shd w:val="clear" w:color="auto" w:fill="auto"/>
            <w:vAlign w:val="center"/>
            <w:hideMark/>
          </w:tcPr>
          <w:p w14:paraId="2C583A66" w14:textId="77777777" w:rsidR="00141A53" w:rsidRPr="002A1EE6" w:rsidRDefault="00141A53" w:rsidP="00F97D7B">
            <w:pPr>
              <w:spacing w:line="240" w:lineRule="auto"/>
              <w:jc w:val="right"/>
              <w:rPr>
                <w:rFonts w:cs="Arial"/>
                <w:color w:val="000000"/>
                <w:sz w:val="22"/>
              </w:rPr>
            </w:pPr>
            <w:r w:rsidRPr="002A1EE6">
              <w:rPr>
                <w:rFonts w:cs="Arial"/>
                <w:color w:val="000000"/>
                <w:sz w:val="22"/>
              </w:rPr>
              <w:t>0</w:t>
            </w:r>
          </w:p>
        </w:tc>
      </w:tr>
      <w:tr w:rsidR="00141A53" w:rsidRPr="002A1EE6" w14:paraId="6D5EBF8C" w14:textId="77777777" w:rsidTr="00F97D7B">
        <w:trPr>
          <w:trHeight w:val="383"/>
        </w:trPr>
        <w:tc>
          <w:tcPr>
            <w:tcW w:w="3666" w:type="dxa"/>
            <w:shd w:val="clear" w:color="auto" w:fill="auto"/>
            <w:vAlign w:val="center"/>
            <w:hideMark/>
          </w:tcPr>
          <w:p w14:paraId="587A4A2B" w14:textId="77777777" w:rsidR="00141A53" w:rsidRPr="002A1EE6" w:rsidRDefault="00141A53" w:rsidP="00F97D7B">
            <w:pPr>
              <w:spacing w:line="240" w:lineRule="auto"/>
              <w:jc w:val="left"/>
              <w:rPr>
                <w:rFonts w:cs="Arial"/>
                <w:color w:val="000000"/>
                <w:sz w:val="22"/>
              </w:rPr>
            </w:pPr>
            <w:r w:rsidRPr="002A1EE6">
              <w:rPr>
                <w:rFonts w:cs="Arial"/>
                <w:bCs/>
                <w:color w:val="000000"/>
                <w:sz w:val="22"/>
              </w:rPr>
              <w:t xml:space="preserve">Formation gestion environnementale et social </w:t>
            </w:r>
          </w:p>
        </w:tc>
        <w:tc>
          <w:tcPr>
            <w:tcW w:w="2004" w:type="dxa"/>
            <w:shd w:val="clear" w:color="auto" w:fill="auto"/>
            <w:vAlign w:val="center"/>
            <w:hideMark/>
          </w:tcPr>
          <w:p w14:paraId="667C3986" w14:textId="77777777" w:rsidR="00141A53" w:rsidRPr="002A1EE6" w:rsidRDefault="00141A53" w:rsidP="00F97D7B">
            <w:pPr>
              <w:spacing w:line="240" w:lineRule="auto"/>
              <w:jc w:val="center"/>
              <w:rPr>
                <w:rFonts w:cs="Arial"/>
                <w:color w:val="000000"/>
                <w:sz w:val="22"/>
              </w:rPr>
            </w:pPr>
            <w:r>
              <w:rPr>
                <w:rFonts w:cs="Arial"/>
                <w:color w:val="000000"/>
                <w:sz w:val="22"/>
              </w:rPr>
              <w:t>2</w:t>
            </w:r>
          </w:p>
        </w:tc>
        <w:tc>
          <w:tcPr>
            <w:tcW w:w="1882" w:type="dxa"/>
            <w:shd w:val="clear" w:color="auto" w:fill="auto"/>
            <w:vAlign w:val="center"/>
            <w:hideMark/>
          </w:tcPr>
          <w:p w14:paraId="46B7A4B8" w14:textId="77777777" w:rsidR="00141A53" w:rsidRPr="002A1EE6" w:rsidRDefault="00141A53" w:rsidP="00F97D7B">
            <w:pPr>
              <w:spacing w:line="240" w:lineRule="auto"/>
              <w:jc w:val="right"/>
              <w:rPr>
                <w:rFonts w:cs="Arial"/>
                <w:color w:val="000000"/>
                <w:sz w:val="22"/>
              </w:rPr>
            </w:pPr>
            <w:r w:rsidRPr="002A1EE6">
              <w:rPr>
                <w:rFonts w:cs="Arial"/>
                <w:color w:val="000000"/>
                <w:sz w:val="22"/>
              </w:rPr>
              <w:t>50 000</w:t>
            </w:r>
          </w:p>
        </w:tc>
        <w:tc>
          <w:tcPr>
            <w:tcW w:w="1759" w:type="dxa"/>
            <w:shd w:val="clear" w:color="auto" w:fill="auto"/>
            <w:vAlign w:val="center"/>
            <w:hideMark/>
          </w:tcPr>
          <w:p w14:paraId="0E36F4EC" w14:textId="77777777" w:rsidR="00141A53" w:rsidRPr="002A1EE6" w:rsidRDefault="00141A53" w:rsidP="00F97D7B">
            <w:pPr>
              <w:spacing w:line="240" w:lineRule="auto"/>
              <w:jc w:val="right"/>
              <w:rPr>
                <w:rFonts w:cs="Arial"/>
                <w:color w:val="000000"/>
                <w:sz w:val="22"/>
              </w:rPr>
            </w:pPr>
            <w:r w:rsidRPr="002A1EE6">
              <w:rPr>
                <w:rFonts w:cs="Arial"/>
                <w:color w:val="000000"/>
                <w:sz w:val="22"/>
              </w:rPr>
              <w:t>100 000</w:t>
            </w:r>
          </w:p>
        </w:tc>
      </w:tr>
      <w:tr w:rsidR="00141A53" w:rsidRPr="002A1EE6" w14:paraId="12F17117" w14:textId="77777777" w:rsidTr="00F97D7B">
        <w:trPr>
          <w:trHeight w:val="150"/>
        </w:trPr>
        <w:tc>
          <w:tcPr>
            <w:tcW w:w="3666" w:type="dxa"/>
            <w:shd w:val="clear" w:color="auto" w:fill="auto"/>
            <w:vAlign w:val="center"/>
            <w:hideMark/>
          </w:tcPr>
          <w:p w14:paraId="66E75871" w14:textId="0A8A5E2B" w:rsidR="00141A53" w:rsidRPr="002A1EE6" w:rsidRDefault="00141A53" w:rsidP="00F97D7B">
            <w:pPr>
              <w:spacing w:line="240" w:lineRule="auto"/>
              <w:jc w:val="left"/>
              <w:rPr>
                <w:rFonts w:cs="Arial"/>
                <w:color w:val="000000"/>
                <w:sz w:val="22"/>
              </w:rPr>
            </w:pPr>
            <w:r w:rsidRPr="002A1EE6">
              <w:rPr>
                <w:rFonts w:cs="Arial"/>
                <w:color w:val="000000"/>
                <w:sz w:val="22"/>
              </w:rPr>
              <w:t>Plan d’action EAS/HS, y compris les procédures spécifiques du MGP pour les plaintes d’EAS/HS</w:t>
            </w:r>
            <w:r w:rsidR="001121BF">
              <w:rPr>
                <w:rFonts w:cs="Arial"/>
                <w:color w:val="000000"/>
                <w:sz w:val="22"/>
              </w:rPr>
              <w:t xml:space="preserve"> (annexe 15)</w:t>
            </w:r>
          </w:p>
        </w:tc>
        <w:tc>
          <w:tcPr>
            <w:tcW w:w="2004" w:type="dxa"/>
            <w:shd w:val="clear" w:color="auto" w:fill="auto"/>
            <w:vAlign w:val="center"/>
            <w:hideMark/>
          </w:tcPr>
          <w:p w14:paraId="5438C72F" w14:textId="77777777" w:rsidR="00141A53" w:rsidRPr="002A1EE6" w:rsidRDefault="00141A53" w:rsidP="00F97D7B">
            <w:pPr>
              <w:spacing w:line="240" w:lineRule="auto"/>
              <w:jc w:val="center"/>
              <w:rPr>
                <w:rFonts w:cs="Arial"/>
                <w:color w:val="000000"/>
                <w:sz w:val="22"/>
              </w:rPr>
            </w:pPr>
            <w:r w:rsidRPr="002A1EE6">
              <w:rPr>
                <w:rFonts w:cs="Arial"/>
                <w:color w:val="000000"/>
                <w:sz w:val="22"/>
              </w:rPr>
              <w:t>-</w:t>
            </w:r>
          </w:p>
        </w:tc>
        <w:tc>
          <w:tcPr>
            <w:tcW w:w="1882" w:type="dxa"/>
            <w:shd w:val="clear" w:color="auto" w:fill="auto"/>
            <w:vAlign w:val="center"/>
            <w:hideMark/>
          </w:tcPr>
          <w:p w14:paraId="213E31A4" w14:textId="77777777" w:rsidR="00141A53" w:rsidRPr="002A1EE6" w:rsidRDefault="00141A53" w:rsidP="00F97D7B">
            <w:pPr>
              <w:spacing w:line="240" w:lineRule="auto"/>
              <w:jc w:val="right"/>
              <w:rPr>
                <w:rFonts w:cs="Arial"/>
                <w:color w:val="000000"/>
                <w:sz w:val="22"/>
              </w:rPr>
            </w:pPr>
            <w:r w:rsidRPr="002A1EE6">
              <w:rPr>
                <w:rFonts w:cs="Arial"/>
                <w:color w:val="000000"/>
                <w:sz w:val="22"/>
              </w:rPr>
              <w:t> -</w:t>
            </w:r>
          </w:p>
        </w:tc>
        <w:tc>
          <w:tcPr>
            <w:tcW w:w="1759" w:type="dxa"/>
            <w:shd w:val="clear" w:color="auto" w:fill="auto"/>
            <w:vAlign w:val="center"/>
            <w:hideMark/>
          </w:tcPr>
          <w:p w14:paraId="6A0312B4" w14:textId="4B688E98" w:rsidR="00141A53" w:rsidRPr="002A1EE6" w:rsidRDefault="00544F9E" w:rsidP="00F97D7B">
            <w:pPr>
              <w:spacing w:line="240" w:lineRule="auto"/>
              <w:jc w:val="right"/>
              <w:rPr>
                <w:rFonts w:cs="Arial"/>
                <w:color w:val="000000"/>
                <w:sz w:val="22"/>
              </w:rPr>
            </w:pPr>
            <w:r>
              <w:rPr>
                <w:rFonts w:cs="Arial"/>
                <w:color w:val="000000"/>
                <w:sz w:val="22"/>
              </w:rPr>
              <w:t>7 530 000</w:t>
            </w:r>
          </w:p>
        </w:tc>
      </w:tr>
      <w:tr w:rsidR="00141A53" w:rsidRPr="002A1EE6" w14:paraId="723BDAD4" w14:textId="77777777" w:rsidTr="00F97D7B">
        <w:trPr>
          <w:trHeight w:val="231"/>
        </w:trPr>
        <w:tc>
          <w:tcPr>
            <w:tcW w:w="3666" w:type="dxa"/>
            <w:vMerge w:val="restart"/>
            <w:shd w:val="clear" w:color="auto" w:fill="auto"/>
            <w:vAlign w:val="center"/>
            <w:hideMark/>
          </w:tcPr>
          <w:p w14:paraId="538C2FD5" w14:textId="77777777" w:rsidR="00141A53" w:rsidRPr="002A1EE6" w:rsidRDefault="00141A53" w:rsidP="00F97D7B">
            <w:pPr>
              <w:spacing w:line="240" w:lineRule="auto"/>
              <w:jc w:val="left"/>
              <w:rPr>
                <w:rFonts w:cs="Arial"/>
                <w:color w:val="000000"/>
                <w:sz w:val="22"/>
              </w:rPr>
            </w:pPr>
            <w:r>
              <w:rPr>
                <w:rFonts w:cs="Arial"/>
                <w:bCs/>
                <w:color w:val="000000"/>
                <w:sz w:val="22"/>
              </w:rPr>
              <w:t>Suivi/évaluation</w:t>
            </w:r>
            <w:r w:rsidRPr="002A1EE6">
              <w:rPr>
                <w:rFonts w:cs="Arial"/>
                <w:bCs/>
                <w:color w:val="000000"/>
                <w:sz w:val="22"/>
              </w:rPr>
              <w:t xml:space="preserve"> à mi-parcours et finale du CGES du PNDA et Audits</w:t>
            </w:r>
          </w:p>
        </w:tc>
        <w:tc>
          <w:tcPr>
            <w:tcW w:w="2004" w:type="dxa"/>
            <w:shd w:val="clear" w:color="auto" w:fill="auto"/>
            <w:vAlign w:val="center"/>
            <w:hideMark/>
          </w:tcPr>
          <w:p w14:paraId="4413EC39" w14:textId="77777777" w:rsidR="00141A53" w:rsidRPr="002A1EE6" w:rsidRDefault="00141A53" w:rsidP="00F97D7B">
            <w:pPr>
              <w:spacing w:line="240" w:lineRule="auto"/>
              <w:jc w:val="center"/>
              <w:rPr>
                <w:rFonts w:cs="Arial"/>
                <w:color w:val="000000"/>
                <w:sz w:val="22"/>
              </w:rPr>
            </w:pPr>
            <w:r w:rsidRPr="002A1EE6">
              <w:rPr>
                <w:rFonts w:cs="Arial"/>
                <w:color w:val="000000"/>
                <w:sz w:val="22"/>
              </w:rPr>
              <w:t>10</w:t>
            </w:r>
          </w:p>
        </w:tc>
        <w:tc>
          <w:tcPr>
            <w:tcW w:w="1882" w:type="dxa"/>
            <w:shd w:val="clear" w:color="auto" w:fill="auto"/>
            <w:vAlign w:val="center"/>
            <w:hideMark/>
          </w:tcPr>
          <w:p w14:paraId="4B5A2B7C" w14:textId="77777777" w:rsidR="00141A53" w:rsidRPr="002A1EE6" w:rsidRDefault="00141A53" w:rsidP="00F97D7B">
            <w:pPr>
              <w:spacing w:line="240" w:lineRule="auto"/>
              <w:jc w:val="right"/>
              <w:rPr>
                <w:rFonts w:cs="Arial"/>
                <w:color w:val="000000"/>
                <w:sz w:val="22"/>
              </w:rPr>
            </w:pPr>
            <w:r w:rsidRPr="002A1EE6">
              <w:rPr>
                <w:rFonts w:cs="Arial"/>
                <w:color w:val="000000"/>
                <w:sz w:val="22"/>
              </w:rPr>
              <w:t>30 000</w:t>
            </w:r>
          </w:p>
        </w:tc>
        <w:tc>
          <w:tcPr>
            <w:tcW w:w="1759" w:type="dxa"/>
            <w:shd w:val="clear" w:color="auto" w:fill="auto"/>
            <w:vAlign w:val="center"/>
            <w:hideMark/>
          </w:tcPr>
          <w:p w14:paraId="5D4319A6" w14:textId="77777777" w:rsidR="00141A53" w:rsidRPr="002A1EE6" w:rsidRDefault="00141A53" w:rsidP="00F97D7B">
            <w:pPr>
              <w:spacing w:line="240" w:lineRule="auto"/>
              <w:jc w:val="right"/>
              <w:rPr>
                <w:rFonts w:cs="Arial"/>
                <w:color w:val="000000"/>
                <w:sz w:val="22"/>
              </w:rPr>
            </w:pPr>
            <w:r w:rsidRPr="002A1EE6">
              <w:rPr>
                <w:rFonts w:cs="Arial"/>
                <w:color w:val="000000"/>
                <w:sz w:val="22"/>
              </w:rPr>
              <w:t>300 000</w:t>
            </w:r>
          </w:p>
        </w:tc>
      </w:tr>
      <w:tr w:rsidR="00141A53" w:rsidRPr="002A1EE6" w14:paraId="4E2FB5F5" w14:textId="77777777" w:rsidTr="00F97D7B">
        <w:trPr>
          <w:trHeight w:val="174"/>
        </w:trPr>
        <w:tc>
          <w:tcPr>
            <w:tcW w:w="3666" w:type="dxa"/>
            <w:vMerge/>
            <w:vAlign w:val="center"/>
            <w:hideMark/>
          </w:tcPr>
          <w:p w14:paraId="7D46FBEF" w14:textId="77777777" w:rsidR="00141A53" w:rsidRPr="002A1EE6" w:rsidRDefault="00141A53" w:rsidP="00F97D7B">
            <w:pPr>
              <w:spacing w:line="240" w:lineRule="auto"/>
              <w:jc w:val="left"/>
              <w:rPr>
                <w:rFonts w:cs="Arial"/>
                <w:color w:val="000000"/>
                <w:sz w:val="22"/>
              </w:rPr>
            </w:pPr>
          </w:p>
        </w:tc>
        <w:tc>
          <w:tcPr>
            <w:tcW w:w="2004" w:type="dxa"/>
            <w:shd w:val="clear" w:color="auto" w:fill="auto"/>
            <w:vAlign w:val="center"/>
            <w:hideMark/>
          </w:tcPr>
          <w:p w14:paraId="273C0905" w14:textId="77777777" w:rsidR="00141A53" w:rsidRPr="002A1EE6" w:rsidRDefault="00141A53" w:rsidP="00F97D7B">
            <w:pPr>
              <w:spacing w:line="240" w:lineRule="auto"/>
              <w:jc w:val="center"/>
              <w:rPr>
                <w:rFonts w:cs="Arial"/>
                <w:color w:val="000000"/>
                <w:sz w:val="22"/>
              </w:rPr>
            </w:pPr>
            <w:r w:rsidRPr="002A1EE6">
              <w:rPr>
                <w:rFonts w:cs="Arial"/>
                <w:color w:val="000000"/>
                <w:sz w:val="22"/>
              </w:rPr>
              <w:t>10</w:t>
            </w:r>
          </w:p>
        </w:tc>
        <w:tc>
          <w:tcPr>
            <w:tcW w:w="1882" w:type="dxa"/>
            <w:shd w:val="clear" w:color="auto" w:fill="auto"/>
            <w:vAlign w:val="center"/>
            <w:hideMark/>
          </w:tcPr>
          <w:p w14:paraId="4532CEC5" w14:textId="77777777" w:rsidR="00141A53" w:rsidRPr="002A1EE6" w:rsidRDefault="00141A53" w:rsidP="00F97D7B">
            <w:pPr>
              <w:spacing w:line="240" w:lineRule="auto"/>
              <w:jc w:val="right"/>
              <w:rPr>
                <w:rFonts w:cs="Arial"/>
                <w:color w:val="000000"/>
                <w:sz w:val="22"/>
              </w:rPr>
            </w:pPr>
            <w:r w:rsidRPr="002A1EE6">
              <w:rPr>
                <w:rFonts w:cs="Arial"/>
                <w:color w:val="000000"/>
                <w:sz w:val="22"/>
              </w:rPr>
              <w:t>30 000</w:t>
            </w:r>
          </w:p>
        </w:tc>
        <w:tc>
          <w:tcPr>
            <w:tcW w:w="1759" w:type="dxa"/>
            <w:shd w:val="clear" w:color="auto" w:fill="auto"/>
            <w:vAlign w:val="center"/>
            <w:hideMark/>
          </w:tcPr>
          <w:p w14:paraId="4933401F" w14:textId="77777777" w:rsidR="00141A53" w:rsidRPr="002A1EE6" w:rsidRDefault="00141A53" w:rsidP="00F97D7B">
            <w:pPr>
              <w:spacing w:line="240" w:lineRule="auto"/>
              <w:jc w:val="right"/>
              <w:rPr>
                <w:rFonts w:cs="Arial"/>
                <w:color w:val="000000"/>
                <w:sz w:val="22"/>
              </w:rPr>
            </w:pPr>
            <w:r w:rsidRPr="002A1EE6">
              <w:rPr>
                <w:rFonts w:cs="Arial"/>
                <w:color w:val="000000"/>
                <w:sz w:val="22"/>
              </w:rPr>
              <w:t>300 000</w:t>
            </w:r>
          </w:p>
        </w:tc>
      </w:tr>
      <w:tr w:rsidR="00141A53" w:rsidRPr="002A1EE6" w14:paraId="62CC25E8" w14:textId="77777777" w:rsidTr="00F97D7B">
        <w:trPr>
          <w:trHeight w:val="174"/>
        </w:trPr>
        <w:tc>
          <w:tcPr>
            <w:tcW w:w="7552" w:type="dxa"/>
            <w:gridSpan w:val="3"/>
            <w:shd w:val="clear" w:color="auto" w:fill="auto"/>
            <w:vAlign w:val="center"/>
            <w:hideMark/>
          </w:tcPr>
          <w:p w14:paraId="176469E6" w14:textId="77777777" w:rsidR="00141A53" w:rsidRPr="002A1EE6" w:rsidRDefault="00141A53" w:rsidP="00F97D7B">
            <w:pPr>
              <w:spacing w:line="240" w:lineRule="auto"/>
              <w:jc w:val="left"/>
              <w:rPr>
                <w:rFonts w:cs="Arial"/>
                <w:color w:val="000000"/>
                <w:sz w:val="22"/>
              </w:rPr>
            </w:pPr>
            <w:r w:rsidRPr="002A1EE6">
              <w:rPr>
                <w:rFonts w:cs="Arial"/>
                <w:bCs/>
                <w:color w:val="000000"/>
                <w:sz w:val="22"/>
              </w:rPr>
              <w:t>TOTAL</w:t>
            </w:r>
          </w:p>
        </w:tc>
        <w:tc>
          <w:tcPr>
            <w:tcW w:w="1759" w:type="dxa"/>
            <w:shd w:val="clear" w:color="auto" w:fill="auto"/>
            <w:vAlign w:val="bottom"/>
            <w:hideMark/>
          </w:tcPr>
          <w:p w14:paraId="023F53A2" w14:textId="77777777" w:rsidR="00141A53" w:rsidRPr="00830A44" w:rsidRDefault="00141A53" w:rsidP="00F97D7B">
            <w:pPr>
              <w:spacing w:line="240" w:lineRule="auto"/>
              <w:jc w:val="right"/>
              <w:rPr>
                <w:rFonts w:cs="Arial"/>
                <w:color w:val="000000"/>
                <w:sz w:val="22"/>
              </w:rPr>
            </w:pPr>
            <w:r w:rsidRPr="00830A44">
              <w:rPr>
                <w:rFonts w:cs="Arial"/>
                <w:color w:val="000000"/>
                <w:sz w:val="22"/>
              </w:rPr>
              <w:t>14</w:t>
            </w:r>
            <w:r>
              <w:rPr>
                <w:rFonts w:cs="Arial"/>
                <w:color w:val="000000"/>
                <w:sz w:val="22"/>
              </w:rPr>
              <w:t> </w:t>
            </w:r>
            <w:r w:rsidRPr="00830A44">
              <w:rPr>
                <w:rFonts w:cs="Arial"/>
                <w:color w:val="000000"/>
                <w:sz w:val="22"/>
              </w:rPr>
              <w:t>446</w:t>
            </w:r>
            <w:r>
              <w:rPr>
                <w:rFonts w:cs="Arial"/>
                <w:color w:val="000000"/>
                <w:sz w:val="22"/>
              </w:rPr>
              <w:t xml:space="preserve"> </w:t>
            </w:r>
            <w:r w:rsidRPr="00830A44">
              <w:rPr>
                <w:rFonts w:cs="Arial"/>
                <w:color w:val="000000"/>
                <w:sz w:val="22"/>
              </w:rPr>
              <w:t>300</w:t>
            </w:r>
          </w:p>
          <w:p w14:paraId="52780E5F" w14:textId="77777777" w:rsidR="00141A53" w:rsidRPr="002A1EE6" w:rsidRDefault="00141A53" w:rsidP="00F97D7B">
            <w:pPr>
              <w:spacing w:line="240" w:lineRule="auto"/>
              <w:jc w:val="right"/>
              <w:rPr>
                <w:rFonts w:cs="Arial"/>
                <w:color w:val="000000"/>
                <w:sz w:val="22"/>
              </w:rPr>
            </w:pPr>
          </w:p>
        </w:tc>
      </w:tr>
      <w:tr w:rsidR="00141A53" w:rsidRPr="002A1EE6" w14:paraId="607E95EB" w14:textId="77777777" w:rsidTr="00F97D7B">
        <w:trPr>
          <w:trHeight w:val="493"/>
        </w:trPr>
        <w:tc>
          <w:tcPr>
            <w:tcW w:w="3666" w:type="dxa"/>
            <w:shd w:val="clear" w:color="auto" w:fill="auto"/>
            <w:vAlign w:val="center"/>
            <w:hideMark/>
          </w:tcPr>
          <w:p w14:paraId="4CD72C7E" w14:textId="77777777" w:rsidR="00141A53" w:rsidRPr="002A1EE6" w:rsidRDefault="00141A53" w:rsidP="00F97D7B">
            <w:pPr>
              <w:spacing w:line="240" w:lineRule="auto"/>
              <w:jc w:val="left"/>
              <w:rPr>
                <w:rFonts w:cs="Arial"/>
                <w:color w:val="000000"/>
                <w:sz w:val="22"/>
              </w:rPr>
            </w:pPr>
            <w:r w:rsidRPr="002A1EE6">
              <w:rPr>
                <w:rFonts w:cs="Arial"/>
                <w:bCs/>
                <w:color w:val="000000"/>
                <w:sz w:val="22"/>
              </w:rPr>
              <w:t>Imprévus et divers (5 %)</w:t>
            </w:r>
          </w:p>
        </w:tc>
        <w:tc>
          <w:tcPr>
            <w:tcW w:w="2004" w:type="dxa"/>
            <w:shd w:val="clear" w:color="auto" w:fill="auto"/>
            <w:vAlign w:val="center"/>
            <w:hideMark/>
          </w:tcPr>
          <w:p w14:paraId="75D2B73C" w14:textId="77777777" w:rsidR="00141A53" w:rsidRPr="002A1EE6" w:rsidRDefault="00141A53" w:rsidP="00F97D7B">
            <w:pPr>
              <w:spacing w:line="240" w:lineRule="auto"/>
              <w:jc w:val="center"/>
              <w:rPr>
                <w:rFonts w:cs="Arial"/>
                <w:color w:val="000000"/>
                <w:sz w:val="22"/>
              </w:rPr>
            </w:pPr>
            <w:r w:rsidRPr="002A1EE6">
              <w:rPr>
                <w:rFonts w:cs="Arial"/>
                <w:color w:val="000000"/>
                <w:sz w:val="22"/>
              </w:rPr>
              <w:t>0,05</w:t>
            </w:r>
          </w:p>
        </w:tc>
        <w:tc>
          <w:tcPr>
            <w:tcW w:w="1882" w:type="dxa"/>
            <w:shd w:val="clear" w:color="auto" w:fill="auto"/>
            <w:vAlign w:val="center"/>
            <w:hideMark/>
          </w:tcPr>
          <w:p w14:paraId="2FCC745B" w14:textId="77777777" w:rsidR="00141A53" w:rsidRPr="002A1EE6" w:rsidRDefault="00141A53" w:rsidP="00F97D7B">
            <w:pPr>
              <w:spacing w:line="240" w:lineRule="auto"/>
              <w:jc w:val="right"/>
              <w:rPr>
                <w:rFonts w:cs="Arial"/>
                <w:color w:val="000000"/>
                <w:sz w:val="22"/>
              </w:rPr>
            </w:pPr>
            <w:r w:rsidRPr="002A1EE6">
              <w:rPr>
                <w:rFonts w:cs="Arial"/>
                <w:color w:val="000000"/>
                <w:sz w:val="22"/>
              </w:rPr>
              <w:t> </w:t>
            </w:r>
          </w:p>
        </w:tc>
        <w:tc>
          <w:tcPr>
            <w:tcW w:w="1759" w:type="dxa"/>
            <w:shd w:val="clear" w:color="auto" w:fill="auto"/>
            <w:vAlign w:val="center"/>
            <w:hideMark/>
          </w:tcPr>
          <w:p w14:paraId="51988EC4" w14:textId="77777777" w:rsidR="00141A53" w:rsidRDefault="00141A53" w:rsidP="00F97D7B">
            <w:pPr>
              <w:spacing w:line="240" w:lineRule="auto"/>
              <w:jc w:val="center"/>
              <w:rPr>
                <w:rFonts w:cs="Arial"/>
                <w:color w:val="000000"/>
                <w:sz w:val="22"/>
              </w:rPr>
            </w:pPr>
            <w:r>
              <w:rPr>
                <w:rFonts w:cs="Arial"/>
                <w:color w:val="000000"/>
                <w:sz w:val="22"/>
              </w:rPr>
              <w:t xml:space="preserve"> 722 315</w:t>
            </w:r>
          </w:p>
          <w:p w14:paraId="64A9C885" w14:textId="77777777" w:rsidR="00141A53" w:rsidRPr="002A1EE6" w:rsidRDefault="00141A53" w:rsidP="00F97D7B">
            <w:pPr>
              <w:spacing w:line="240" w:lineRule="auto"/>
              <w:jc w:val="center"/>
              <w:rPr>
                <w:rFonts w:cs="Arial"/>
                <w:color w:val="000000"/>
                <w:sz w:val="22"/>
              </w:rPr>
            </w:pPr>
          </w:p>
        </w:tc>
      </w:tr>
      <w:tr w:rsidR="00141A53" w:rsidRPr="002A1EE6" w14:paraId="4F7A92A6" w14:textId="77777777" w:rsidTr="00F97D7B">
        <w:trPr>
          <w:trHeight w:val="174"/>
        </w:trPr>
        <w:tc>
          <w:tcPr>
            <w:tcW w:w="7552" w:type="dxa"/>
            <w:gridSpan w:val="3"/>
            <w:shd w:val="clear" w:color="auto" w:fill="auto"/>
            <w:vAlign w:val="center"/>
            <w:hideMark/>
          </w:tcPr>
          <w:p w14:paraId="734A3F05" w14:textId="77777777" w:rsidR="00141A53" w:rsidRPr="002A1EE6" w:rsidRDefault="00141A53" w:rsidP="00F97D7B">
            <w:pPr>
              <w:spacing w:line="240" w:lineRule="auto"/>
              <w:jc w:val="center"/>
              <w:rPr>
                <w:rFonts w:cs="Arial"/>
                <w:color w:val="000000"/>
                <w:sz w:val="22"/>
              </w:rPr>
            </w:pPr>
            <w:r w:rsidRPr="002A1EE6">
              <w:rPr>
                <w:rFonts w:cs="Arial"/>
                <w:color w:val="000000"/>
                <w:sz w:val="22"/>
              </w:rPr>
              <w:t>GRAND TOTAL</w:t>
            </w:r>
          </w:p>
        </w:tc>
        <w:tc>
          <w:tcPr>
            <w:tcW w:w="1759" w:type="dxa"/>
            <w:shd w:val="clear" w:color="auto" w:fill="auto"/>
            <w:vAlign w:val="center"/>
            <w:hideMark/>
          </w:tcPr>
          <w:p w14:paraId="02609D2E" w14:textId="053343CD" w:rsidR="00141A53" w:rsidRPr="002A1EE6" w:rsidRDefault="00544F9E" w:rsidP="00F97D7B">
            <w:pPr>
              <w:spacing w:line="240" w:lineRule="auto"/>
              <w:jc w:val="right"/>
              <w:rPr>
                <w:rFonts w:cs="Arial"/>
                <w:color w:val="000000"/>
                <w:sz w:val="22"/>
              </w:rPr>
            </w:pPr>
            <w:r>
              <w:rPr>
                <w:rFonts w:cs="Arial"/>
                <w:color w:val="000000"/>
                <w:sz w:val="22"/>
              </w:rPr>
              <w:t>18 675 330</w:t>
            </w:r>
          </w:p>
        </w:tc>
      </w:tr>
    </w:tbl>
    <w:p w14:paraId="2C58D934" w14:textId="77777777" w:rsidR="00141A53" w:rsidRDefault="00141A53" w:rsidP="001C2F95">
      <w:pPr>
        <w:keepNext/>
        <w:rPr>
          <w:rFonts w:eastAsia="Calibri" w:cs="Arial"/>
          <w:bCs/>
          <w:sz w:val="22"/>
        </w:rPr>
      </w:pPr>
    </w:p>
    <w:p w14:paraId="679163C6" w14:textId="77777777" w:rsidR="001C2F95" w:rsidRPr="002259A4" w:rsidRDefault="001C2F95" w:rsidP="002378EA">
      <w:pPr>
        <w:numPr>
          <w:ilvl w:val="0"/>
          <w:numId w:val="66"/>
        </w:numPr>
        <w:spacing w:line="240" w:lineRule="auto"/>
        <w:rPr>
          <w:rFonts w:cs="Arial"/>
          <w:color w:val="000000"/>
          <w:sz w:val="22"/>
        </w:rPr>
      </w:pPr>
      <w:bookmarkStart w:id="85" w:name="_Toc44626786"/>
      <w:bookmarkStart w:id="86" w:name="_Toc45269120"/>
      <w:bookmarkStart w:id="87" w:name="_Toc45269664"/>
      <w:r w:rsidRPr="00730A4A">
        <w:rPr>
          <w:rFonts w:cs="Arial"/>
          <w:color w:val="000000"/>
          <w:sz w:val="22"/>
        </w:rPr>
        <w:t>Mécanisme de Gestion des Plaintes global (MGP)</w:t>
      </w:r>
    </w:p>
    <w:p w14:paraId="4FAD927F" w14:textId="77777777" w:rsidR="001C2F95" w:rsidRPr="00730A4A" w:rsidRDefault="001C2F95" w:rsidP="001C2F95">
      <w:pPr>
        <w:spacing w:line="240" w:lineRule="auto"/>
        <w:rPr>
          <w:rFonts w:cs="Arial"/>
          <w:color w:val="000000"/>
          <w:sz w:val="22"/>
        </w:rPr>
      </w:pPr>
    </w:p>
    <w:p w14:paraId="50D9FDBC" w14:textId="77777777" w:rsidR="001C2F95" w:rsidRPr="002259A4" w:rsidRDefault="001C2F95" w:rsidP="001C2F95">
      <w:pPr>
        <w:spacing w:line="240" w:lineRule="auto"/>
        <w:rPr>
          <w:rFonts w:cs="Arial"/>
          <w:color w:val="000000"/>
          <w:sz w:val="22"/>
        </w:rPr>
      </w:pPr>
      <w:r w:rsidRPr="00730A4A">
        <w:rPr>
          <w:rFonts w:cs="Arial"/>
          <w:color w:val="000000"/>
          <w:sz w:val="22"/>
        </w:rPr>
        <w:t>Un Mécanisme de Gestion des Plaintes est mis en place conformément à la NES 10 : mobilisation des parties prenantes et information. Le MGP du PNDA sera accessible à toutes les parties prenantes au programme, y compris les personnes vulnérables. En outre, des procédures spécifiques au traitement éthique et confidentiel des plaintes liées à l’EAS/HS seront incluses dans le MGP. Le MGP préconise le mécanisme de résolution à l’amiable, en dehors des cas d’EAS/HS</w:t>
      </w:r>
      <w:r w:rsidRPr="002259A4">
        <w:rPr>
          <w:rFonts w:cs="Arial"/>
          <w:sz w:val="22"/>
        </w:rPr>
        <w:t>.</w:t>
      </w:r>
      <w:bookmarkEnd w:id="85"/>
      <w:bookmarkEnd w:id="86"/>
      <w:bookmarkEnd w:id="87"/>
    </w:p>
    <w:p w14:paraId="55E7E8D7" w14:textId="77777777" w:rsidR="001C2F95" w:rsidRPr="00296E4B" w:rsidRDefault="001C2F95" w:rsidP="001C2F95">
      <w:pPr>
        <w:rPr>
          <w:rFonts w:cs="Arial"/>
          <w:sz w:val="22"/>
        </w:rPr>
      </w:pPr>
      <w:r w:rsidRPr="00296E4B">
        <w:rPr>
          <w:rFonts w:cs="Arial"/>
          <w:sz w:val="22"/>
        </w:rPr>
        <w:t xml:space="preserve">Trois niveaux de résolution des plaintes avec des comités mis en place. Il s’agit de : </w:t>
      </w:r>
      <w:r w:rsidRPr="00296E4B">
        <w:rPr>
          <w:rFonts w:cs="Arial"/>
          <w:i/>
          <w:sz w:val="22"/>
        </w:rPr>
        <w:t>(i)</w:t>
      </w:r>
      <w:r w:rsidRPr="00296E4B">
        <w:rPr>
          <w:rFonts w:cs="Arial"/>
          <w:sz w:val="22"/>
        </w:rPr>
        <w:t xml:space="preserve"> </w:t>
      </w:r>
      <w:r w:rsidRPr="00296E4B">
        <w:rPr>
          <w:rFonts w:cs="Arial"/>
          <w:sz w:val="22"/>
          <w:u w:val="single"/>
        </w:rPr>
        <w:t xml:space="preserve">Niveau quartier/village : </w:t>
      </w:r>
      <w:r w:rsidRPr="00296E4B">
        <w:rPr>
          <w:rFonts w:cs="Arial"/>
          <w:i/>
          <w:sz w:val="22"/>
          <w:u w:val="single"/>
        </w:rPr>
        <w:t xml:space="preserve">(ii) </w:t>
      </w:r>
      <w:r w:rsidRPr="00296E4B">
        <w:rPr>
          <w:rFonts w:cs="Arial"/>
          <w:sz w:val="22"/>
          <w:u w:val="single"/>
        </w:rPr>
        <w:t xml:space="preserve">Niveau communal / territorial : </w:t>
      </w:r>
      <w:r w:rsidRPr="00296E4B">
        <w:rPr>
          <w:rFonts w:cs="Arial"/>
          <w:i/>
          <w:sz w:val="22"/>
          <w:u w:val="single"/>
        </w:rPr>
        <w:t>(iii)</w:t>
      </w:r>
      <w:r w:rsidRPr="00296E4B">
        <w:rPr>
          <w:rFonts w:cs="Arial"/>
          <w:sz w:val="22"/>
          <w:u w:val="single"/>
        </w:rPr>
        <w:t xml:space="preserve"> Niveau provincial</w:t>
      </w:r>
      <w:r w:rsidRPr="00296E4B">
        <w:rPr>
          <w:rFonts w:cs="Arial"/>
          <w:sz w:val="22"/>
        </w:rPr>
        <w:t>.</w:t>
      </w:r>
      <w:r>
        <w:rPr>
          <w:rFonts w:cs="Arial"/>
          <w:sz w:val="22"/>
        </w:rPr>
        <w:t xml:space="preserve"> Il sied de noter que des procédures spécifiques aux cas d’EAS/HS seront développées.</w:t>
      </w:r>
    </w:p>
    <w:p w14:paraId="3CDC6E40" w14:textId="77777777" w:rsidR="001C2F95" w:rsidRPr="00296E4B" w:rsidRDefault="001C2F95" w:rsidP="001C2F95">
      <w:pPr>
        <w:spacing w:line="240" w:lineRule="auto"/>
        <w:rPr>
          <w:rFonts w:cs="Arial"/>
          <w:b/>
          <w:i/>
          <w:sz w:val="22"/>
          <w:lang w:bidi="fr-FR"/>
        </w:rPr>
      </w:pPr>
    </w:p>
    <w:p w14:paraId="6F7E6789" w14:textId="77777777" w:rsidR="001C2F95" w:rsidRPr="00296E4B" w:rsidRDefault="001C2F95" w:rsidP="001C2F95">
      <w:pPr>
        <w:spacing w:line="240" w:lineRule="auto"/>
        <w:rPr>
          <w:rFonts w:cs="Arial"/>
          <w:color w:val="000000"/>
          <w:sz w:val="22"/>
        </w:rPr>
      </w:pPr>
      <w:r w:rsidRPr="00296E4B">
        <w:rPr>
          <w:rFonts w:cs="Arial"/>
          <w:color w:val="000000"/>
          <w:sz w:val="22"/>
        </w:rPr>
        <w:t xml:space="preserve">Le recours aux tribunaux, bien qu'il ne soit pas recommandé pour le bon déroulement du Projet (risque de blocage, </w:t>
      </w:r>
      <w:r w:rsidRPr="00296E4B">
        <w:rPr>
          <w:rFonts w:eastAsia="TimesNewRomanPSMT" w:cs="Arial"/>
          <w:color w:val="000000"/>
          <w:sz w:val="22"/>
        </w:rPr>
        <w:t>d’a</w:t>
      </w:r>
      <w:r w:rsidRPr="00296E4B">
        <w:rPr>
          <w:rFonts w:cs="Arial"/>
          <w:color w:val="000000"/>
          <w:sz w:val="22"/>
        </w:rPr>
        <w:t>rrêt des travaux, retards engendrés, etc.), demeure la solution de dernier recours en cas d'échec de la solution à l'amiable.</w:t>
      </w:r>
      <w:r>
        <w:rPr>
          <w:rFonts w:cs="Arial"/>
          <w:color w:val="000000"/>
          <w:sz w:val="22"/>
        </w:rPr>
        <w:t xml:space="preserve"> Comme noté, les cas d’EAS/HS ne feront jamais sujet d’une résolution à l’amiable.</w:t>
      </w:r>
    </w:p>
    <w:p w14:paraId="5F56EE40" w14:textId="77777777" w:rsidR="001C2F95" w:rsidRDefault="001C2F95" w:rsidP="001C2F95">
      <w:pPr>
        <w:spacing w:line="240" w:lineRule="auto"/>
        <w:rPr>
          <w:rFonts w:cs="Arial"/>
          <w:b/>
          <w:i/>
          <w:sz w:val="22"/>
          <w:lang w:bidi="fr-FR"/>
        </w:rPr>
      </w:pPr>
    </w:p>
    <w:p w14:paraId="24FEF447" w14:textId="77777777" w:rsidR="001C2F95" w:rsidRPr="00616D0F" w:rsidRDefault="001C2F95" w:rsidP="001C2F95">
      <w:pPr>
        <w:spacing w:line="240" w:lineRule="auto"/>
        <w:rPr>
          <w:rFonts w:cs="Arial"/>
          <w:sz w:val="22"/>
          <w:lang w:bidi="fr-FR"/>
        </w:rPr>
      </w:pPr>
      <w:r w:rsidRPr="001F6148">
        <w:rPr>
          <w:rFonts w:cs="Arial"/>
          <w:sz w:val="22"/>
          <w:lang w:bidi="fr-FR"/>
        </w:rPr>
        <w:t xml:space="preserve">Quant aux questions liées au </w:t>
      </w:r>
      <w:r>
        <w:rPr>
          <w:rFonts w:cs="Arial"/>
          <w:sz w:val="22"/>
          <w:lang w:bidi="fr-FR"/>
        </w:rPr>
        <w:t>VBG, il sera organis</w:t>
      </w:r>
      <w:r w:rsidRPr="001F6148">
        <w:rPr>
          <w:rFonts w:cs="Arial"/>
          <w:sz w:val="22"/>
          <w:lang w:bidi="fr-FR"/>
        </w:rPr>
        <w:t>é une sous-commission VBG du MGP qui traitera les allégations sensibles aux VBG/EAS/HS, des procédures spécifiques au traitement éthique et confidentiel des plaintes d’EAS/HS seront développées et incluses dans le MGP globale au niveau de la Sous-commission spécifique sur la question.</w:t>
      </w:r>
      <w:r>
        <w:rPr>
          <w:rFonts w:cs="Arial"/>
          <w:sz w:val="22"/>
          <w:lang w:bidi="fr-FR"/>
        </w:rPr>
        <w:t xml:space="preserve"> </w:t>
      </w:r>
      <w:r w:rsidRPr="001F6148">
        <w:rPr>
          <w:rFonts w:cs="Arial"/>
          <w:sz w:val="22"/>
          <w:lang w:bidi="fr-FR"/>
        </w:rPr>
        <w:t>Il sied donc de noter que les cas d’EAS/HS ne feront jamais sujet d’une résolution à l’amiable.</w:t>
      </w:r>
    </w:p>
    <w:p w14:paraId="63EE1844" w14:textId="77777777" w:rsidR="001C2F95" w:rsidRPr="00296E4B" w:rsidRDefault="001C2F95" w:rsidP="001C2F95">
      <w:pPr>
        <w:spacing w:line="240" w:lineRule="auto"/>
        <w:rPr>
          <w:rFonts w:cs="Arial"/>
          <w:b/>
          <w:i/>
          <w:sz w:val="22"/>
          <w:lang w:bidi="fr-FR"/>
        </w:rPr>
      </w:pPr>
    </w:p>
    <w:p w14:paraId="4025C5B0" w14:textId="77777777" w:rsidR="001C2F95" w:rsidRPr="00296E4B" w:rsidRDefault="001C2F95" w:rsidP="002378EA">
      <w:pPr>
        <w:numPr>
          <w:ilvl w:val="0"/>
          <w:numId w:val="66"/>
        </w:numPr>
        <w:spacing w:line="240" w:lineRule="auto"/>
        <w:rPr>
          <w:rFonts w:cs="Arial"/>
          <w:i/>
          <w:sz w:val="22"/>
          <w:lang w:bidi="fr-FR"/>
        </w:rPr>
      </w:pPr>
      <w:r w:rsidRPr="00296E4B">
        <w:rPr>
          <w:rFonts w:cs="Arial"/>
          <w:i/>
          <w:sz w:val="22"/>
          <w:lang w:bidi="fr-FR"/>
        </w:rPr>
        <w:t xml:space="preserve">Consultations menées </w:t>
      </w:r>
    </w:p>
    <w:p w14:paraId="041DDABD" w14:textId="77777777" w:rsidR="001C2F95" w:rsidRPr="00296E4B" w:rsidRDefault="001C2F95" w:rsidP="001C2F95">
      <w:pPr>
        <w:tabs>
          <w:tab w:val="left" w:pos="426"/>
        </w:tabs>
        <w:spacing w:line="240" w:lineRule="auto"/>
        <w:rPr>
          <w:rFonts w:cs="Arial"/>
          <w:sz w:val="22"/>
          <w:highlight w:val="yellow"/>
        </w:rPr>
      </w:pPr>
    </w:p>
    <w:p w14:paraId="085D4A6C" w14:textId="77777777" w:rsidR="001C2F95" w:rsidRPr="00296E4B" w:rsidRDefault="001C2F95" w:rsidP="001C2F95">
      <w:pPr>
        <w:rPr>
          <w:rFonts w:cs="Arial"/>
          <w:bCs/>
          <w:sz w:val="22"/>
        </w:rPr>
      </w:pPr>
      <w:r w:rsidRPr="00296E4B">
        <w:rPr>
          <w:rFonts w:cs="Arial"/>
          <w:bCs/>
          <w:sz w:val="22"/>
        </w:rPr>
        <w:t>Des consultations publiques sous le contexte de la COVID-19 ont été menées dans les Villes de Matadi (02 juin 2020), Kananga (le 03 juin 2020), Tshikapa (10 juin 2020), Bandundu-Ville (10 juin 2020) et Goma (17 juin 2020). Ces consultations ont regroupé 96 participants avec au maximum 20 personnes / consultation (autorités centrales, locales, services techniques, associations de la Société Civile, représentants des populations bénéficiaires, etc.) conformément aux exigences des mesures barrières annoncées par le Gouvern</w:t>
      </w:r>
      <w:r>
        <w:rPr>
          <w:rFonts w:cs="Arial"/>
          <w:bCs/>
          <w:sz w:val="22"/>
        </w:rPr>
        <w:t>e</w:t>
      </w:r>
      <w:r w:rsidRPr="00296E4B">
        <w:rPr>
          <w:rFonts w:cs="Arial"/>
          <w:bCs/>
          <w:sz w:val="22"/>
        </w:rPr>
        <w:t>ment de la RDC, à la l</w:t>
      </w:r>
      <w:r w:rsidRPr="00296E4B">
        <w:rPr>
          <w:rFonts w:cs="Arial"/>
          <w:sz w:val="22"/>
        </w:rPr>
        <w:t>igne directrice en matières de planification opérationnelle visant à soutenir la préparation et la riposte des pays » (2020) du Plan stratégique de préparation et de riposte de l’OMS pour lutter contre la COVID-19 et à la Note Technique du 20 mars 2020 de la Banque Mondiale</w:t>
      </w:r>
      <w:r w:rsidRPr="00296E4B">
        <w:rPr>
          <w:rStyle w:val="Appelnotedebasdep"/>
          <w:rFonts w:cs="Arial"/>
          <w:sz w:val="22"/>
        </w:rPr>
        <w:footnoteReference w:id="4"/>
      </w:r>
      <w:r w:rsidRPr="00296E4B">
        <w:rPr>
          <w:rFonts w:cs="Arial"/>
          <w:sz w:val="22"/>
        </w:rPr>
        <w:t> « Consultations publiques et mobilisation des parties prenantes dans les opérations soutenues par la Banque Mondiale où il existe des contraintes pour la conduite des réunions publiques ».</w:t>
      </w:r>
    </w:p>
    <w:p w14:paraId="7DFCC8D4" w14:textId="77777777" w:rsidR="001C2F95" w:rsidRPr="002259A4" w:rsidRDefault="001C2F95" w:rsidP="001C2F95">
      <w:pPr>
        <w:rPr>
          <w:rFonts w:cs="Arial"/>
          <w:bCs/>
          <w:sz w:val="22"/>
        </w:rPr>
      </w:pPr>
    </w:p>
    <w:p w14:paraId="65B164AD" w14:textId="77777777" w:rsidR="001C2F95" w:rsidRPr="00296E4B" w:rsidRDefault="001C2F95" w:rsidP="001C2F95">
      <w:pPr>
        <w:rPr>
          <w:rFonts w:cs="Arial"/>
          <w:color w:val="222222"/>
          <w:sz w:val="22"/>
          <w:lang w:val="fr-CD"/>
        </w:rPr>
      </w:pPr>
      <w:r w:rsidRPr="00296E4B">
        <w:rPr>
          <w:rFonts w:cs="Arial"/>
          <w:bCs/>
          <w:sz w:val="22"/>
        </w:rPr>
        <w:t>Il ressort de ces séances de consultations que les attentes de toutes les parties prenantes concernant ce Projet sont grandes et l’implication de tous est démontrée. Les différentes parties prenantes rencontrées ont unanimement apprécié le programme et l'approche participative qui est mise en œuvre. Le progr</w:t>
      </w:r>
      <w:r>
        <w:rPr>
          <w:rFonts w:cs="Arial"/>
          <w:bCs/>
          <w:sz w:val="22"/>
        </w:rPr>
        <w:t>a</w:t>
      </w:r>
      <w:r w:rsidRPr="00296E4B">
        <w:rPr>
          <w:rFonts w:cs="Arial"/>
          <w:bCs/>
          <w:sz w:val="22"/>
        </w:rPr>
        <w:t xml:space="preserve">mme est le bienvenu car il va impulser le développement de la </w:t>
      </w:r>
      <w:r w:rsidRPr="00296E4B">
        <w:rPr>
          <w:rFonts w:cs="Arial"/>
          <w:bCs/>
          <w:sz w:val="22"/>
        </w:rPr>
        <w:lastRenderedPageBreak/>
        <w:t>production agricole, la pêche et l’élevage dans toutes les 5 Provinces concernées. Toutefois, des préoccupations et des suggestions ont été formulées à l’endroit du Projet, telles que : les populations sous les emprises du programme, la participation des femmes, la distribution des intrants agricoles, pêche et élevage, lutte contre l’insécurité, l’implication des associations des femmes et autres paysans, le renforcement des capacités institutionnelles des services étatiques et des petits exploitants agricoles, etc.</w:t>
      </w:r>
    </w:p>
    <w:p w14:paraId="61701DD5" w14:textId="77777777" w:rsidR="001C2F95" w:rsidRPr="00296E4B" w:rsidRDefault="001C2F95" w:rsidP="000326DA">
      <w:pPr>
        <w:pStyle w:val="Titre1"/>
        <w:jc w:val="center"/>
        <w:rPr>
          <w:rFonts w:cs="Arial"/>
          <w:b w:val="0"/>
          <w:color w:val="222222"/>
          <w:sz w:val="22"/>
          <w:lang w:val="en-US"/>
        </w:rPr>
      </w:pPr>
      <w:bookmarkStart w:id="88" w:name="_Toc502652325"/>
      <w:bookmarkStart w:id="89" w:name="_Toc505616568"/>
      <w:bookmarkStart w:id="90" w:name="_Toc33371351"/>
      <w:bookmarkStart w:id="91" w:name="_Toc33464119"/>
      <w:bookmarkStart w:id="92" w:name="_Toc34548225"/>
      <w:bookmarkStart w:id="93" w:name="_Toc37426666"/>
      <w:bookmarkStart w:id="94" w:name="_Toc44626782"/>
      <w:bookmarkStart w:id="95" w:name="_Toc45269116"/>
      <w:bookmarkStart w:id="96" w:name="_Toc45269660"/>
      <w:bookmarkStart w:id="97" w:name="_Toc43187310"/>
      <w:bookmarkStart w:id="98" w:name="_Toc44626783"/>
      <w:bookmarkStart w:id="99" w:name="_Toc45269117"/>
      <w:bookmarkStart w:id="100" w:name="_Toc45269661"/>
      <w:bookmarkStart w:id="101" w:name="_Toc43187311"/>
      <w:bookmarkStart w:id="102" w:name="_Toc44626784"/>
      <w:bookmarkStart w:id="103" w:name="_Toc45269118"/>
      <w:bookmarkStart w:id="104" w:name="_Toc45269662"/>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cs="Arial"/>
          <w:bCs w:val="0"/>
          <w:sz w:val="22"/>
        </w:rPr>
        <w:br w:type="page"/>
      </w:r>
      <w:bookmarkStart w:id="105" w:name="_Toc70330318"/>
      <w:r w:rsidRPr="000326DA">
        <w:rPr>
          <w:rFonts w:cs="Arial"/>
          <w:sz w:val="22"/>
          <w:szCs w:val="22"/>
        </w:rPr>
        <w:lastRenderedPageBreak/>
        <w:t>EXECUTIVE SUMMARY</w:t>
      </w:r>
      <w:bookmarkEnd w:id="105"/>
    </w:p>
    <w:p w14:paraId="25355E2E" w14:textId="77777777" w:rsidR="001C2F95" w:rsidRPr="00296E4B" w:rsidRDefault="001C2F95" w:rsidP="001C2F95">
      <w:pPr>
        <w:rPr>
          <w:rFonts w:cs="Arial"/>
          <w:i/>
          <w:sz w:val="22"/>
          <w:lang w:val="en-US"/>
        </w:rPr>
      </w:pPr>
    </w:p>
    <w:p w14:paraId="0B6AD079" w14:textId="77777777" w:rsidR="001977A4" w:rsidRPr="00E7620D"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i/>
          <w:sz w:val="22"/>
          <w:lang w:val="en-US"/>
        </w:rPr>
      </w:pPr>
      <w:r w:rsidRPr="00E7620D">
        <w:rPr>
          <w:rFonts w:cs="Arial"/>
          <w:i/>
          <w:sz w:val="22"/>
          <w:lang w:val="en-US"/>
        </w:rPr>
        <w:t>Brief description of the project (overall objective, components and main activities)</w:t>
      </w:r>
    </w:p>
    <w:p w14:paraId="1BCC698E" w14:textId="77777777" w:rsidR="001977A4" w:rsidRPr="00E7620D" w:rsidRDefault="001977A4" w:rsidP="001977A4">
      <w:pPr>
        <w:pStyle w:val="Corpsdetexte"/>
        <w:spacing w:line="276" w:lineRule="auto"/>
        <w:rPr>
          <w:rFonts w:cs="Arial"/>
          <w:i/>
          <w:sz w:val="22"/>
          <w:szCs w:val="22"/>
          <w:lang w:val="en-US"/>
        </w:rPr>
      </w:pPr>
    </w:p>
    <w:p w14:paraId="0BFA3DE3"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The Government of the Democratic Republic of Congo (DRC) has received financial support from</w:t>
      </w:r>
      <w:r w:rsidRPr="00E7620D">
        <w:rPr>
          <w:rFonts w:cs="Arial"/>
          <w:spacing w:val="-5"/>
          <w:sz w:val="22"/>
          <w:szCs w:val="22"/>
          <w:lang w:val="en-US"/>
        </w:rPr>
        <w:t xml:space="preserve"> </w:t>
      </w:r>
      <w:r w:rsidRPr="00E7620D">
        <w:rPr>
          <w:rFonts w:cs="Arial"/>
          <w:sz w:val="22"/>
          <w:szCs w:val="22"/>
          <w:lang w:val="en-US"/>
        </w:rPr>
        <w:t>the</w:t>
      </w:r>
      <w:r w:rsidRPr="00E7620D">
        <w:rPr>
          <w:rFonts w:cs="Arial"/>
          <w:spacing w:val="-6"/>
          <w:sz w:val="22"/>
          <w:szCs w:val="22"/>
          <w:lang w:val="en-US"/>
        </w:rPr>
        <w:t xml:space="preserve"> </w:t>
      </w:r>
      <w:r w:rsidRPr="00E7620D">
        <w:rPr>
          <w:rFonts w:cs="Arial"/>
          <w:sz w:val="22"/>
          <w:szCs w:val="22"/>
          <w:lang w:val="en-US"/>
        </w:rPr>
        <w:t>International</w:t>
      </w:r>
      <w:r w:rsidRPr="00E7620D">
        <w:rPr>
          <w:rFonts w:cs="Arial"/>
          <w:spacing w:val="-5"/>
          <w:sz w:val="22"/>
          <w:szCs w:val="22"/>
          <w:lang w:val="en-US"/>
        </w:rPr>
        <w:t xml:space="preserve"> </w:t>
      </w:r>
      <w:r w:rsidRPr="00E7620D">
        <w:rPr>
          <w:rFonts w:cs="Arial"/>
          <w:sz w:val="22"/>
          <w:szCs w:val="22"/>
          <w:lang w:val="en-US"/>
        </w:rPr>
        <w:t>Development</w:t>
      </w:r>
      <w:r w:rsidRPr="00E7620D">
        <w:rPr>
          <w:rFonts w:cs="Arial"/>
          <w:spacing w:val="-2"/>
          <w:sz w:val="22"/>
          <w:szCs w:val="22"/>
          <w:lang w:val="en-US"/>
        </w:rPr>
        <w:t xml:space="preserve"> </w:t>
      </w:r>
      <w:r w:rsidRPr="00E7620D">
        <w:rPr>
          <w:rFonts w:cs="Arial"/>
          <w:sz w:val="22"/>
          <w:szCs w:val="22"/>
          <w:lang w:val="en-US"/>
        </w:rPr>
        <w:t>Association</w:t>
      </w:r>
      <w:r w:rsidRPr="00E7620D">
        <w:rPr>
          <w:rFonts w:cs="Arial"/>
          <w:spacing w:val="-5"/>
          <w:sz w:val="22"/>
          <w:szCs w:val="22"/>
          <w:lang w:val="en-US"/>
        </w:rPr>
        <w:t xml:space="preserve"> </w:t>
      </w:r>
      <w:r w:rsidRPr="00E7620D">
        <w:rPr>
          <w:rFonts w:cs="Arial"/>
          <w:sz w:val="22"/>
          <w:szCs w:val="22"/>
          <w:lang w:val="en-US"/>
        </w:rPr>
        <w:t>(IDA)</w:t>
      </w:r>
      <w:r w:rsidRPr="00E7620D">
        <w:rPr>
          <w:rFonts w:cs="Arial"/>
          <w:spacing w:val="-3"/>
          <w:sz w:val="22"/>
          <w:szCs w:val="22"/>
          <w:lang w:val="en-US"/>
        </w:rPr>
        <w:t xml:space="preserve"> </w:t>
      </w:r>
      <w:r w:rsidRPr="00E7620D">
        <w:rPr>
          <w:rFonts w:cs="Arial"/>
          <w:sz w:val="22"/>
          <w:szCs w:val="22"/>
          <w:lang w:val="en-US"/>
        </w:rPr>
        <w:t>of</w:t>
      </w:r>
      <w:r w:rsidRPr="00E7620D">
        <w:rPr>
          <w:rFonts w:cs="Arial"/>
          <w:spacing w:val="-4"/>
          <w:sz w:val="22"/>
          <w:szCs w:val="22"/>
          <w:lang w:val="en-US"/>
        </w:rPr>
        <w:t xml:space="preserve"> </w:t>
      </w:r>
      <w:r w:rsidRPr="00E7620D">
        <w:rPr>
          <w:rFonts w:cs="Arial"/>
          <w:sz w:val="22"/>
          <w:szCs w:val="22"/>
          <w:lang w:val="en-US"/>
        </w:rPr>
        <w:t>the</w:t>
      </w:r>
      <w:r w:rsidRPr="00E7620D">
        <w:rPr>
          <w:rFonts w:cs="Arial"/>
          <w:spacing w:val="-11"/>
          <w:sz w:val="22"/>
          <w:szCs w:val="22"/>
          <w:lang w:val="en-US"/>
        </w:rPr>
        <w:t xml:space="preserve"> </w:t>
      </w:r>
      <w:r w:rsidRPr="00E7620D">
        <w:rPr>
          <w:rFonts w:cs="Arial"/>
          <w:sz w:val="22"/>
          <w:szCs w:val="22"/>
          <w:lang w:val="en-US"/>
        </w:rPr>
        <w:t>World</w:t>
      </w:r>
      <w:r w:rsidRPr="00E7620D">
        <w:rPr>
          <w:rFonts w:cs="Arial"/>
          <w:spacing w:val="-6"/>
          <w:sz w:val="22"/>
          <w:szCs w:val="22"/>
          <w:lang w:val="en-US"/>
        </w:rPr>
        <w:t xml:space="preserve"> </w:t>
      </w:r>
      <w:r w:rsidRPr="00E7620D">
        <w:rPr>
          <w:rFonts w:cs="Arial"/>
          <w:sz w:val="22"/>
          <w:szCs w:val="22"/>
          <w:lang w:val="en-US"/>
        </w:rPr>
        <w:t>Bank</w:t>
      </w:r>
      <w:r w:rsidRPr="00E7620D">
        <w:rPr>
          <w:rFonts w:cs="Arial"/>
          <w:spacing w:val="-3"/>
          <w:sz w:val="22"/>
          <w:szCs w:val="22"/>
          <w:lang w:val="en-US"/>
        </w:rPr>
        <w:t xml:space="preserve"> </w:t>
      </w:r>
      <w:r w:rsidRPr="00E7620D">
        <w:rPr>
          <w:rFonts w:cs="Arial"/>
          <w:sz w:val="22"/>
          <w:szCs w:val="22"/>
          <w:lang w:val="en-US"/>
        </w:rPr>
        <w:t>Group</w:t>
      </w:r>
      <w:r w:rsidRPr="00E7620D">
        <w:rPr>
          <w:rFonts w:cs="Arial"/>
          <w:spacing w:val="-6"/>
          <w:sz w:val="22"/>
          <w:szCs w:val="22"/>
          <w:lang w:val="en-US"/>
        </w:rPr>
        <w:t xml:space="preserve"> </w:t>
      </w:r>
      <w:r w:rsidRPr="00E7620D">
        <w:rPr>
          <w:rFonts w:cs="Arial"/>
          <w:sz w:val="22"/>
          <w:szCs w:val="22"/>
          <w:lang w:val="en-US"/>
        </w:rPr>
        <w:t>to</w:t>
      </w:r>
      <w:r w:rsidRPr="00E7620D">
        <w:rPr>
          <w:rFonts w:cs="Arial"/>
          <w:spacing w:val="-5"/>
          <w:sz w:val="22"/>
          <w:szCs w:val="22"/>
          <w:lang w:val="en-US"/>
        </w:rPr>
        <w:t xml:space="preserve"> </w:t>
      </w:r>
      <w:r w:rsidRPr="00E7620D">
        <w:rPr>
          <w:rFonts w:cs="Arial"/>
          <w:sz w:val="22"/>
          <w:szCs w:val="22"/>
          <w:lang w:val="en-US"/>
        </w:rPr>
        <w:t>prepare</w:t>
      </w:r>
      <w:r w:rsidRPr="00E7620D">
        <w:rPr>
          <w:rFonts w:cs="Arial"/>
          <w:spacing w:val="-5"/>
          <w:sz w:val="22"/>
          <w:szCs w:val="22"/>
          <w:lang w:val="en-US"/>
        </w:rPr>
        <w:t xml:space="preserve"> </w:t>
      </w:r>
      <w:r w:rsidRPr="00E7620D">
        <w:rPr>
          <w:rFonts w:cs="Arial"/>
          <w:sz w:val="22"/>
          <w:szCs w:val="22"/>
          <w:lang w:val="en-US"/>
        </w:rPr>
        <w:t xml:space="preserve">the National Agricultural Development Program (PNDA) which aims, in its </w:t>
      </w:r>
      <w:r w:rsidRPr="00E7620D">
        <w:rPr>
          <w:rFonts w:cs="Arial"/>
          <w:sz w:val="22"/>
          <w:szCs w:val="22"/>
          <w:vertAlign w:val="superscript"/>
          <w:lang w:val="en-US"/>
        </w:rPr>
        <w:t>first</w:t>
      </w:r>
      <w:r w:rsidRPr="00E7620D">
        <w:rPr>
          <w:rFonts w:cs="Arial"/>
          <w:sz w:val="22"/>
          <w:szCs w:val="22"/>
          <w:lang w:val="en-US"/>
        </w:rPr>
        <w:t xml:space="preserve"> phase, to increase agricultural productivity and improve market access for smallholders in selected</w:t>
      </w:r>
      <w:r w:rsidRPr="00E7620D">
        <w:rPr>
          <w:rFonts w:cs="Arial"/>
          <w:spacing w:val="-17"/>
          <w:sz w:val="22"/>
          <w:szCs w:val="22"/>
          <w:lang w:val="en-US"/>
        </w:rPr>
        <w:t xml:space="preserve"> </w:t>
      </w:r>
      <w:r w:rsidRPr="00E7620D">
        <w:rPr>
          <w:rFonts w:cs="Arial"/>
          <w:sz w:val="22"/>
          <w:szCs w:val="22"/>
          <w:lang w:val="en-US"/>
        </w:rPr>
        <w:t>regions.</w:t>
      </w:r>
    </w:p>
    <w:p w14:paraId="1A24E404" w14:textId="77777777" w:rsidR="001977A4" w:rsidRPr="00E7620D" w:rsidRDefault="001977A4" w:rsidP="001977A4">
      <w:pPr>
        <w:pStyle w:val="Corpsdetexte"/>
        <w:spacing w:line="276" w:lineRule="auto"/>
        <w:rPr>
          <w:rFonts w:cs="Arial"/>
          <w:sz w:val="22"/>
          <w:szCs w:val="22"/>
          <w:lang w:val="en-US"/>
        </w:rPr>
      </w:pPr>
    </w:p>
    <w:p w14:paraId="144C29EC"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Indeed, the DRC continues to face serious development challenges, but the new government is committed to addressing them. Agriculture currently accounts for about 20 percent of GDP, employs between 70 and 75 percent of the labor force, and plays a key role in reducing food insecurity,</w:t>
      </w:r>
      <w:r w:rsidRPr="00E7620D">
        <w:rPr>
          <w:rFonts w:cs="Arial"/>
          <w:spacing w:val="-6"/>
          <w:sz w:val="22"/>
          <w:szCs w:val="22"/>
          <w:lang w:val="en-US"/>
        </w:rPr>
        <w:t xml:space="preserve"> </w:t>
      </w:r>
      <w:r w:rsidRPr="00E7620D">
        <w:rPr>
          <w:rFonts w:cs="Arial"/>
          <w:sz w:val="22"/>
          <w:szCs w:val="22"/>
          <w:lang w:val="en-US"/>
        </w:rPr>
        <w:t>malnutrition,</w:t>
      </w:r>
      <w:r w:rsidRPr="00E7620D">
        <w:rPr>
          <w:rFonts w:cs="Arial"/>
          <w:spacing w:val="-5"/>
          <w:sz w:val="22"/>
          <w:szCs w:val="22"/>
          <w:lang w:val="en-US"/>
        </w:rPr>
        <w:t xml:space="preserve"> </w:t>
      </w:r>
      <w:r w:rsidRPr="00E7620D">
        <w:rPr>
          <w:rFonts w:cs="Arial"/>
          <w:sz w:val="22"/>
          <w:szCs w:val="22"/>
          <w:lang w:val="en-US"/>
        </w:rPr>
        <w:t>and</w:t>
      </w:r>
      <w:r w:rsidRPr="00E7620D">
        <w:rPr>
          <w:rFonts w:cs="Arial"/>
          <w:spacing w:val="-7"/>
          <w:sz w:val="22"/>
          <w:szCs w:val="22"/>
          <w:lang w:val="en-US"/>
        </w:rPr>
        <w:t xml:space="preserve"> </w:t>
      </w:r>
      <w:r w:rsidRPr="00E7620D">
        <w:rPr>
          <w:rFonts w:cs="Arial"/>
          <w:sz w:val="22"/>
          <w:szCs w:val="22"/>
          <w:lang w:val="en-US"/>
        </w:rPr>
        <w:t>rural</w:t>
      </w:r>
      <w:r w:rsidRPr="00E7620D">
        <w:rPr>
          <w:rFonts w:cs="Arial"/>
          <w:spacing w:val="-7"/>
          <w:sz w:val="22"/>
          <w:szCs w:val="22"/>
          <w:lang w:val="en-US"/>
        </w:rPr>
        <w:t xml:space="preserve"> </w:t>
      </w:r>
      <w:r w:rsidRPr="00E7620D">
        <w:rPr>
          <w:rFonts w:cs="Arial"/>
          <w:sz w:val="22"/>
          <w:szCs w:val="22"/>
          <w:lang w:val="en-US"/>
        </w:rPr>
        <w:t>poverty,</w:t>
      </w:r>
      <w:r w:rsidRPr="00E7620D">
        <w:rPr>
          <w:rFonts w:cs="Arial"/>
          <w:spacing w:val="-6"/>
          <w:sz w:val="22"/>
          <w:szCs w:val="22"/>
          <w:lang w:val="en-US"/>
        </w:rPr>
        <w:t xml:space="preserve"> </w:t>
      </w:r>
      <w:r w:rsidRPr="00E7620D">
        <w:rPr>
          <w:rFonts w:cs="Arial"/>
          <w:sz w:val="22"/>
          <w:szCs w:val="22"/>
          <w:lang w:val="en-US"/>
        </w:rPr>
        <w:t>but</w:t>
      </w:r>
      <w:r w:rsidRPr="00E7620D">
        <w:rPr>
          <w:rFonts w:cs="Arial"/>
          <w:spacing w:val="-7"/>
          <w:sz w:val="22"/>
          <w:szCs w:val="22"/>
          <w:lang w:val="en-US"/>
        </w:rPr>
        <w:t xml:space="preserve"> </w:t>
      </w:r>
      <w:r w:rsidRPr="00E7620D">
        <w:rPr>
          <w:rFonts w:cs="Arial"/>
          <w:sz w:val="22"/>
          <w:szCs w:val="22"/>
          <w:lang w:val="en-US"/>
        </w:rPr>
        <w:t>the</w:t>
      </w:r>
      <w:r w:rsidRPr="00E7620D">
        <w:rPr>
          <w:rFonts w:cs="Arial"/>
          <w:spacing w:val="-9"/>
          <w:sz w:val="22"/>
          <w:szCs w:val="22"/>
          <w:lang w:val="en-US"/>
        </w:rPr>
        <w:t xml:space="preserve"> </w:t>
      </w:r>
      <w:r w:rsidRPr="00E7620D">
        <w:rPr>
          <w:rFonts w:cs="Arial"/>
          <w:sz w:val="22"/>
          <w:szCs w:val="22"/>
          <w:lang w:val="en-US"/>
        </w:rPr>
        <w:t>decline</w:t>
      </w:r>
      <w:r w:rsidRPr="00E7620D">
        <w:rPr>
          <w:rFonts w:cs="Arial"/>
          <w:spacing w:val="-4"/>
          <w:sz w:val="22"/>
          <w:szCs w:val="22"/>
          <w:lang w:val="en-US"/>
        </w:rPr>
        <w:t xml:space="preserve"> </w:t>
      </w:r>
      <w:r w:rsidRPr="00E7620D">
        <w:rPr>
          <w:rFonts w:cs="Arial"/>
          <w:sz w:val="22"/>
          <w:szCs w:val="22"/>
          <w:lang w:val="en-US"/>
        </w:rPr>
        <w:t>in</w:t>
      </w:r>
      <w:r w:rsidRPr="00E7620D">
        <w:rPr>
          <w:rFonts w:cs="Arial"/>
          <w:spacing w:val="-6"/>
          <w:sz w:val="22"/>
          <w:szCs w:val="22"/>
          <w:lang w:val="en-US"/>
        </w:rPr>
        <w:t xml:space="preserve"> </w:t>
      </w:r>
      <w:r w:rsidRPr="00E7620D">
        <w:rPr>
          <w:rFonts w:cs="Arial"/>
          <w:sz w:val="22"/>
          <w:szCs w:val="22"/>
          <w:lang w:val="en-US"/>
        </w:rPr>
        <w:t>the</w:t>
      </w:r>
      <w:r w:rsidRPr="00E7620D">
        <w:rPr>
          <w:rFonts w:cs="Arial"/>
          <w:spacing w:val="-7"/>
          <w:sz w:val="22"/>
          <w:szCs w:val="22"/>
          <w:lang w:val="en-US"/>
        </w:rPr>
        <w:t xml:space="preserve"> </w:t>
      </w:r>
      <w:r w:rsidRPr="00E7620D">
        <w:rPr>
          <w:rFonts w:cs="Arial"/>
          <w:sz w:val="22"/>
          <w:szCs w:val="22"/>
          <w:lang w:val="en-US"/>
        </w:rPr>
        <w:t>DRC's</w:t>
      </w:r>
      <w:r w:rsidRPr="00E7620D">
        <w:rPr>
          <w:rFonts w:cs="Arial"/>
          <w:spacing w:val="-7"/>
          <w:sz w:val="22"/>
          <w:szCs w:val="22"/>
          <w:lang w:val="en-US"/>
        </w:rPr>
        <w:t xml:space="preserve"> </w:t>
      </w:r>
      <w:r w:rsidRPr="00E7620D">
        <w:rPr>
          <w:rFonts w:cs="Arial"/>
          <w:sz w:val="22"/>
          <w:szCs w:val="22"/>
          <w:lang w:val="en-US"/>
        </w:rPr>
        <w:t>agricultural</w:t>
      </w:r>
      <w:r w:rsidRPr="00E7620D">
        <w:rPr>
          <w:rFonts w:cs="Arial"/>
          <w:spacing w:val="-7"/>
          <w:sz w:val="22"/>
          <w:szCs w:val="22"/>
          <w:lang w:val="en-US"/>
        </w:rPr>
        <w:t xml:space="preserve"> </w:t>
      </w:r>
      <w:r w:rsidRPr="00E7620D">
        <w:rPr>
          <w:rFonts w:cs="Arial"/>
          <w:sz w:val="22"/>
          <w:szCs w:val="22"/>
          <w:lang w:val="en-US"/>
        </w:rPr>
        <w:t>productivity relative to neighboring countries is mainly due to underinvestment, both at the farm level and in agricultural public goods and services, including market</w:t>
      </w:r>
      <w:r w:rsidRPr="00E7620D">
        <w:rPr>
          <w:rFonts w:cs="Arial"/>
          <w:spacing w:val="-5"/>
          <w:sz w:val="22"/>
          <w:szCs w:val="22"/>
          <w:lang w:val="en-US"/>
        </w:rPr>
        <w:t xml:space="preserve"> </w:t>
      </w:r>
      <w:r w:rsidRPr="00E7620D">
        <w:rPr>
          <w:rFonts w:cs="Arial"/>
          <w:sz w:val="22"/>
          <w:szCs w:val="22"/>
          <w:lang w:val="en-US"/>
        </w:rPr>
        <w:t>access.</w:t>
      </w:r>
    </w:p>
    <w:p w14:paraId="48F10C9D" w14:textId="77777777" w:rsidR="001977A4" w:rsidRPr="00E7620D" w:rsidRDefault="001977A4" w:rsidP="001977A4">
      <w:pPr>
        <w:pStyle w:val="Corpsdetexte"/>
        <w:spacing w:line="276" w:lineRule="auto"/>
        <w:rPr>
          <w:rFonts w:cs="Arial"/>
          <w:sz w:val="22"/>
          <w:szCs w:val="22"/>
          <w:lang w:val="en-US"/>
        </w:rPr>
      </w:pPr>
    </w:p>
    <w:p w14:paraId="627DC09E"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To this end, the Government of the DRC intends to reduce rural poverty by restoring and modernizing agricultural production systems, improving nutrition and food security, and mobilizing significant public and private sector investment.</w:t>
      </w:r>
    </w:p>
    <w:p w14:paraId="0D536895" w14:textId="77777777" w:rsidR="001977A4" w:rsidRPr="00E7620D" w:rsidRDefault="001977A4" w:rsidP="001977A4">
      <w:pPr>
        <w:pStyle w:val="Corpsdetexte"/>
        <w:spacing w:line="276" w:lineRule="auto"/>
        <w:rPr>
          <w:rFonts w:cs="Arial"/>
          <w:sz w:val="22"/>
          <w:szCs w:val="22"/>
          <w:lang w:val="en-US"/>
        </w:rPr>
      </w:pPr>
    </w:p>
    <w:p w14:paraId="53DFE748"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Thus, the program will support agricultural productivity growth at the farm level, enabling smallholder farmers to increase their assets and production, and then intervene to promote market</w:t>
      </w:r>
      <w:r w:rsidRPr="00E7620D">
        <w:rPr>
          <w:rFonts w:cs="Arial"/>
          <w:spacing w:val="-11"/>
          <w:sz w:val="22"/>
          <w:szCs w:val="22"/>
          <w:lang w:val="en-US"/>
        </w:rPr>
        <w:t xml:space="preserve"> </w:t>
      </w:r>
      <w:r w:rsidRPr="00E7620D">
        <w:rPr>
          <w:rFonts w:cs="Arial"/>
          <w:sz w:val="22"/>
          <w:szCs w:val="22"/>
          <w:lang w:val="en-US"/>
        </w:rPr>
        <w:t>access</w:t>
      </w:r>
      <w:r w:rsidRPr="00E7620D">
        <w:rPr>
          <w:rFonts w:cs="Arial"/>
          <w:spacing w:val="-11"/>
          <w:sz w:val="22"/>
          <w:szCs w:val="22"/>
          <w:lang w:val="en-US"/>
        </w:rPr>
        <w:t xml:space="preserve"> </w:t>
      </w:r>
      <w:r w:rsidRPr="00E7620D">
        <w:rPr>
          <w:rFonts w:cs="Arial"/>
          <w:sz w:val="22"/>
          <w:szCs w:val="22"/>
          <w:lang w:val="en-US"/>
        </w:rPr>
        <w:t>and</w:t>
      </w:r>
      <w:r w:rsidRPr="00E7620D">
        <w:rPr>
          <w:rFonts w:cs="Arial"/>
          <w:spacing w:val="-11"/>
          <w:sz w:val="22"/>
          <w:szCs w:val="22"/>
          <w:lang w:val="en-US"/>
        </w:rPr>
        <w:t xml:space="preserve"> </w:t>
      </w:r>
      <w:r w:rsidRPr="00E7620D">
        <w:rPr>
          <w:rFonts w:cs="Arial"/>
          <w:sz w:val="22"/>
          <w:szCs w:val="22"/>
          <w:lang w:val="en-US"/>
        </w:rPr>
        <w:t>productive</w:t>
      </w:r>
      <w:r w:rsidRPr="00E7620D">
        <w:rPr>
          <w:rFonts w:cs="Arial"/>
          <w:spacing w:val="-9"/>
          <w:sz w:val="22"/>
          <w:szCs w:val="22"/>
          <w:lang w:val="en-US"/>
        </w:rPr>
        <w:t xml:space="preserve"> </w:t>
      </w:r>
      <w:r w:rsidRPr="00E7620D">
        <w:rPr>
          <w:rFonts w:cs="Arial"/>
          <w:sz w:val="22"/>
          <w:szCs w:val="22"/>
          <w:lang w:val="en-US"/>
        </w:rPr>
        <w:t>integration</w:t>
      </w:r>
      <w:r w:rsidRPr="00E7620D">
        <w:rPr>
          <w:rFonts w:cs="Arial"/>
          <w:spacing w:val="-9"/>
          <w:sz w:val="22"/>
          <w:szCs w:val="22"/>
          <w:lang w:val="en-US"/>
        </w:rPr>
        <w:t xml:space="preserve"> </w:t>
      </w:r>
      <w:r w:rsidRPr="00E7620D">
        <w:rPr>
          <w:rFonts w:cs="Arial"/>
          <w:sz w:val="22"/>
          <w:szCs w:val="22"/>
          <w:lang w:val="en-US"/>
        </w:rPr>
        <w:t>of</w:t>
      </w:r>
      <w:r w:rsidRPr="00E7620D">
        <w:rPr>
          <w:rFonts w:cs="Arial"/>
          <w:spacing w:val="-10"/>
          <w:sz w:val="22"/>
          <w:szCs w:val="22"/>
          <w:lang w:val="en-US"/>
        </w:rPr>
        <w:t xml:space="preserve"> </w:t>
      </w:r>
      <w:r w:rsidRPr="00E7620D">
        <w:rPr>
          <w:rFonts w:cs="Arial"/>
          <w:sz w:val="22"/>
          <w:szCs w:val="22"/>
          <w:lang w:val="en-US"/>
        </w:rPr>
        <w:t>these</w:t>
      </w:r>
      <w:r w:rsidRPr="00E7620D">
        <w:rPr>
          <w:rFonts w:cs="Arial"/>
          <w:spacing w:val="-14"/>
          <w:sz w:val="22"/>
          <w:szCs w:val="22"/>
          <w:lang w:val="en-US"/>
        </w:rPr>
        <w:t xml:space="preserve"> </w:t>
      </w:r>
      <w:r w:rsidRPr="00E7620D">
        <w:rPr>
          <w:rFonts w:cs="Arial"/>
          <w:sz w:val="22"/>
          <w:szCs w:val="22"/>
          <w:lang w:val="en-US"/>
        </w:rPr>
        <w:t>smallholders</w:t>
      </w:r>
      <w:r w:rsidRPr="00E7620D">
        <w:rPr>
          <w:rFonts w:cs="Arial"/>
          <w:spacing w:val="-8"/>
          <w:sz w:val="22"/>
          <w:szCs w:val="22"/>
          <w:lang w:val="en-US"/>
        </w:rPr>
        <w:t xml:space="preserve"> </w:t>
      </w:r>
      <w:r w:rsidRPr="00E7620D">
        <w:rPr>
          <w:rFonts w:cs="Arial"/>
          <w:sz w:val="22"/>
          <w:szCs w:val="22"/>
          <w:lang w:val="en-US"/>
        </w:rPr>
        <w:t>into</w:t>
      </w:r>
      <w:r w:rsidRPr="00E7620D">
        <w:rPr>
          <w:rFonts w:cs="Arial"/>
          <w:spacing w:val="-11"/>
          <w:sz w:val="22"/>
          <w:szCs w:val="22"/>
          <w:lang w:val="en-US"/>
        </w:rPr>
        <w:t xml:space="preserve"> </w:t>
      </w:r>
      <w:r w:rsidRPr="00E7620D">
        <w:rPr>
          <w:rFonts w:cs="Arial"/>
          <w:sz w:val="22"/>
          <w:szCs w:val="22"/>
          <w:lang w:val="en-US"/>
        </w:rPr>
        <w:t>agricultural</w:t>
      </w:r>
      <w:r w:rsidRPr="00E7620D">
        <w:rPr>
          <w:rFonts w:cs="Arial"/>
          <w:spacing w:val="-10"/>
          <w:sz w:val="22"/>
          <w:szCs w:val="22"/>
          <w:lang w:val="en-US"/>
        </w:rPr>
        <w:t xml:space="preserve"> </w:t>
      </w:r>
      <w:r w:rsidRPr="00E7620D">
        <w:rPr>
          <w:rFonts w:cs="Arial"/>
          <w:sz w:val="22"/>
          <w:szCs w:val="22"/>
          <w:lang w:val="en-US"/>
        </w:rPr>
        <w:t>supply</w:t>
      </w:r>
      <w:r w:rsidRPr="00E7620D">
        <w:rPr>
          <w:rFonts w:cs="Arial"/>
          <w:spacing w:val="-11"/>
          <w:sz w:val="22"/>
          <w:szCs w:val="22"/>
          <w:lang w:val="en-US"/>
        </w:rPr>
        <w:t xml:space="preserve"> </w:t>
      </w:r>
      <w:r w:rsidRPr="00E7620D">
        <w:rPr>
          <w:rFonts w:cs="Arial"/>
          <w:sz w:val="22"/>
          <w:szCs w:val="22"/>
          <w:lang w:val="en-US"/>
        </w:rPr>
        <w:t>chains. The phasing of such sectoral interventions will be supported by significant investments in the provision of agricultural public goods and services at national and local levels, including agricultural</w:t>
      </w:r>
      <w:r w:rsidRPr="00E7620D">
        <w:rPr>
          <w:rFonts w:cs="Arial"/>
          <w:spacing w:val="-13"/>
          <w:sz w:val="22"/>
          <w:szCs w:val="22"/>
          <w:lang w:val="en-US"/>
        </w:rPr>
        <w:t xml:space="preserve"> </w:t>
      </w:r>
      <w:r w:rsidRPr="00E7620D">
        <w:rPr>
          <w:rFonts w:cs="Arial"/>
          <w:sz w:val="22"/>
          <w:szCs w:val="22"/>
          <w:lang w:val="en-US"/>
        </w:rPr>
        <w:t>research</w:t>
      </w:r>
      <w:r w:rsidRPr="00E7620D">
        <w:rPr>
          <w:rFonts w:cs="Arial"/>
          <w:spacing w:val="-14"/>
          <w:sz w:val="22"/>
          <w:szCs w:val="22"/>
          <w:lang w:val="en-US"/>
        </w:rPr>
        <w:t xml:space="preserve"> </w:t>
      </w:r>
      <w:r w:rsidRPr="00E7620D">
        <w:rPr>
          <w:rFonts w:cs="Arial"/>
          <w:sz w:val="22"/>
          <w:szCs w:val="22"/>
          <w:lang w:val="en-US"/>
        </w:rPr>
        <w:t>and</w:t>
      </w:r>
      <w:r w:rsidRPr="00E7620D">
        <w:rPr>
          <w:rFonts w:cs="Arial"/>
          <w:spacing w:val="-13"/>
          <w:sz w:val="22"/>
          <w:szCs w:val="22"/>
          <w:lang w:val="en-US"/>
        </w:rPr>
        <w:t xml:space="preserve"> </w:t>
      </w:r>
      <w:r w:rsidRPr="00E7620D">
        <w:rPr>
          <w:rFonts w:cs="Arial"/>
          <w:sz w:val="22"/>
          <w:szCs w:val="22"/>
          <w:lang w:val="en-US"/>
        </w:rPr>
        <w:t>development,</w:t>
      </w:r>
      <w:r w:rsidRPr="00E7620D">
        <w:rPr>
          <w:rFonts w:cs="Arial"/>
          <w:spacing w:val="-10"/>
          <w:sz w:val="22"/>
          <w:szCs w:val="22"/>
          <w:lang w:val="en-US"/>
        </w:rPr>
        <w:t xml:space="preserve"> </w:t>
      </w:r>
      <w:r w:rsidRPr="00E7620D">
        <w:rPr>
          <w:rFonts w:cs="Arial"/>
          <w:sz w:val="22"/>
          <w:szCs w:val="22"/>
          <w:lang w:val="en-US"/>
        </w:rPr>
        <w:t>animal</w:t>
      </w:r>
      <w:r w:rsidRPr="00E7620D">
        <w:rPr>
          <w:rFonts w:cs="Arial"/>
          <w:spacing w:val="-12"/>
          <w:sz w:val="22"/>
          <w:szCs w:val="22"/>
          <w:lang w:val="en-US"/>
        </w:rPr>
        <w:t xml:space="preserve"> </w:t>
      </w:r>
      <w:r w:rsidRPr="00E7620D">
        <w:rPr>
          <w:rFonts w:cs="Arial"/>
          <w:sz w:val="22"/>
          <w:szCs w:val="22"/>
          <w:lang w:val="en-US"/>
        </w:rPr>
        <w:t>and</w:t>
      </w:r>
      <w:r w:rsidRPr="00E7620D">
        <w:rPr>
          <w:rFonts w:cs="Arial"/>
          <w:spacing w:val="-14"/>
          <w:sz w:val="22"/>
          <w:szCs w:val="22"/>
          <w:lang w:val="en-US"/>
        </w:rPr>
        <w:t xml:space="preserve"> </w:t>
      </w:r>
      <w:r w:rsidRPr="00E7620D">
        <w:rPr>
          <w:rFonts w:cs="Arial"/>
          <w:sz w:val="22"/>
          <w:szCs w:val="22"/>
          <w:lang w:val="en-US"/>
        </w:rPr>
        <w:t>plant</w:t>
      </w:r>
      <w:r w:rsidRPr="00E7620D">
        <w:rPr>
          <w:rFonts w:cs="Arial"/>
          <w:spacing w:val="-10"/>
          <w:sz w:val="22"/>
          <w:szCs w:val="22"/>
          <w:lang w:val="en-US"/>
        </w:rPr>
        <w:t xml:space="preserve"> </w:t>
      </w:r>
      <w:r w:rsidRPr="00E7620D">
        <w:rPr>
          <w:rFonts w:cs="Arial"/>
          <w:sz w:val="22"/>
          <w:szCs w:val="22"/>
          <w:lang w:val="en-US"/>
        </w:rPr>
        <w:t>health,</w:t>
      </w:r>
      <w:r w:rsidRPr="00E7620D">
        <w:rPr>
          <w:rFonts w:cs="Arial"/>
          <w:spacing w:val="-10"/>
          <w:sz w:val="22"/>
          <w:szCs w:val="22"/>
          <w:lang w:val="en-US"/>
        </w:rPr>
        <w:t xml:space="preserve"> </w:t>
      </w:r>
      <w:r w:rsidRPr="00E7620D">
        <w:rPr>
          <w:rFonts w:cs="Arial"/>
          <w:sz w:val="22"/>
          <w:szCs w:val="22"/>
          <w:lang w:val="en-US"/>
        </w:rPr>
        <w:t>and</w:t>
      </w:r>
      <w:r w:rsidRPr="00E7620D">
        <w:rPr>
          <w:rFonts w:cs="Arial"/>
          <w:spacing w:val="-11"/>
          <w:sz w:val="22"/>
          <w:szCs w:val="22"/>
          <w:lang w:val="en-US"/>
        </w:rPr>
        <w:t xml:space="preserve"> </w:t>
      </w:r>
      <w:r w:rsidRPr="00E7620D">
        <w:rPr>
          <w:rFonts w:cs="Arial"/>
          <w:sz w:val="22"/>
          <w:szCs w:val="22"/>
          <w:lang w:val="en-US"/>
        </w:rPr>
        <w:t>infrastructure.</w:t>
      </w:r>
      <w:r w:rsidRPr="00E7620D">
        <w:rPr>
          <w:rFonts w:cs="Arial"/>
          <w:spacing w:val="-12"/>
          <w:sz w:val="22"/>
          <w:szCs w:val="22"/>
          <w:lang w:val="en-US"/>
        </w:rPr>
        <w:t xml:space="preserve"> </w:t>
      </w:r>
      <w:r w:rsidRPr="00E7620D">
        <w:rPr>
          <w:rFonts w:cs="Arial"/>
          <w:sz w:val="22"/>
          <w:szCs w:val="22"/>
          <w:lang w:val="en-US"/>
        </w:rPr>
        <w:t>In</w:t>
      </w:r>
      <w:r w:rsidRPr="00E7620D">
        <w:rPr>
          <w:rFonts w:cs="Arial"/>
          <w:spacing w:val="-11"/>
          <w:sz w:val="22"/>
          <w:szCs w:val="22"/>
          <w:lang w:val="en-US"/>
        </w:rPr>
        <w:t xml:space="preserve"> </w:t>
      </w:r>
      <w:r w:rsidRPr="00E7620D">
        <w:rPr>
          <w:rFonts w:cs="Arial"/>
          <w:sz w:val="22"/>
          <w:szCs w:val="22"/>
          <w:lang w:val="en-US"/>
        </w:rPr>
        <w:t>addition, the program will combine a community-led development approach aimed at providing access to critical agricultural public goods and services with a direct support approach to farmers to improve the food security and malnutrition</w:t>
      </w:r>
      <w:r w:rsidRPr="00E7620D">
        <w:rPr>
          <w:rFonts w:cs="Arial"/>
          <w:spacing w:val="-10"/>
          <w:sz w:val="22"/>
          <w:szCs w:val="22"/>
          <w:lang w:val="en-US"/>
        </w:rPr>
        <w:t xml:space="preserve"> </w:t>
      </w:r>
      <w:r w:rsidRPr="00E7620D">
        <w:rPr>
          <w:rFonts w:cs="Arial"/>
          <w:sz w:val="22"/>
          <w:szCs w:val="22"/>
          <w:lang w:val="en-US"/>
        </w:rPr>
        <w:t>situation.</w:t>
      </w:r>
    </w:p>
    <w:p w14:paraId="4FB8961D" w14:textId="77777777" w:rsidR="001977A4" w:rsidRPr="00E7620D" w:rsidRDefault="001977A4" w:rsidP="001977A4">
      <w:pPr>
        <w:pStyle w:val="Corpsdetexte"/>
        <w:spacing w:line="276" w:lineRule="auto"/>
        <w:rPr>
          <w:rFonts w:cs="Arial"/>
          <w:sz w:val="22"/>
          <w:szCs w:val="22"/>
          <w:lang w:val="en-US"/>
        </w:rPr>
      </w:pPr>
    </w:p>
    <w:p w14:paraId="7763B205"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PNDA investments will be concentrated in priority for this first phase for a period of 5 years in the Kasai region (Provinces of Kasai and Kasai Central), the Western region (Provinces of Central Kongo and Kwilu), the Eastern region (Province of North Kivu).</w:t>
      </w:r>
    </w:p>
    <w:p w14:paraId="46B161B4" w14:textId="77777777" w:rsidR="001977A4" w:rsidRPr="00E7620D" w:rsidRDefault="001977A4" w:rsidP="001977A4">
      <w:pPr>
        <w:pStyle w:val="Corpsdetexte"/>
        <w:spacing w:line="276" w:lineRule="auto"/>
        <w:rPr>
          <w:rFonts w:cs="Arial"/>
          <w:sz w:val="22"/>
          <w:szCs w:val="22"/>
          <w:lang w:val="en-US"/>
        </w:rPr>
      </w:pPr>
    </w:p>
    <w:p w14:paraId="1DFE01D9"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The development objective of the Project is to improve agricultural productivity and market access for smallholder farmers in selected regions and strengthen the sector's capacity to respond to eligible emergencies in the agricultural sector.</w:t>
      </w:r>
    </w:p>
    <w:p w14:paraId="349991F0" w14:textId="77777777" w:rsidR="001977A4" w:rsidRPr="00E7620D" w:rsidRDefault="001977A4" w:rsidP="001977A4">
      <w:pPr>
        <w:pStyle w:val="Corpsdetexte"/>
        <w:spacing w:line="276" w:lineRule="auto"/>
        <w:rPr>
          <w:rFonts w:cs="Arial"/>
          <w:sz w:val="22"/>
          <w:szCs w:val="22"/>
          <w:lang w:val="en-US"/>
        </w:rPr>
      </w:pPr>
    </w:p>
    <w:p w14:paraId="02806F32"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The PNDA will have four components:</w:t>
      </w:r>
    </w:p>
    <w:p w14:paraId="14367DD3" w14:textId="77777777" w:rsidR="001977A4" w:rsidRPr="00E7620D" w:rsidRDefault="001977A4" w:rsidP="001977A4">
      <w:pPr>
        <w:pStyle w:val="Corpsdetexte"/>
        <w:spacing w:line="276" w:lineRule="auto"/>
        <w:rPr>
          <w:rFonts w:cs="Arial"/>
          <w:sz w:val="22"/>
          <w:szCs w:val="22"/>
          <w:lang w:val="en-US"/>
        </w:rPr>
      </w:pPr>
    </w:p>
    <w:p w14:paraId="0985C506" w14:textId="77777777" w:rsidR="001977A4" w:rsidRPr="008839E0" w:rsidRDefault="001977A4" w:rsidP="002378EA">
      <w:pPr>
        <w:pStyle w:val="Paragraphedeliste"/>
        <w:widowControl w:val="0"/>
        <w:numPr>
          <w:ilvl w:val="0"/>
          <w:numId w:val="113"/>
        </w:numPr>
        <w:tabs>
          <w:tab w:val="left" w:pos="977"/>
        </w:tabs>
        <w:autoSpaceDE w:val="0"/>
        <w:autoSpaceDN w:val="0"/>
        <w:ind w:left="709" w:hanging="425"/>
        <w:contextualSpacing w:val="0"/>
        <w:rPr>
          <w:rFonts w:cs="Arial"/>
          <w:i/>
          <w:sz w:val="22"/>
        </w:rPr>
      </w:pPr>
      <w:r w:rsidRPr="008839E0">
        <w:rPr>
          <w:rFonts w:cs="Arial"/>
          <w:i/>
          <w:sz w:val="22"/>
        </w:rPr>
        <w:t>Component 1: Agricultural Productivity</w:t>
      </w:r>
      <w:r w:rsidRPr="008839E0">
        <w:rPr>
          <w:rFonts w:cs="Arial"/>
          <w:i/>
          <w:spacing w:val="-6"/>
          <w:sz w:val="22"/>
        </w:rPr>
        <w:t xml:space="preserve"> </w:t>
      </w:r>
      <w:r w:rsidRPr="008839E0">
        <w:rPr>
          <w:rFonts w:cs="Arial"/>
          <w:i/>
          <w:sz w:val="22"/>
        </w:rPr>
        <w:t>:</w:t>
      </w:r>
    </w:p>
    <w:p w14:paraId="6BE43897" w14:textId="77777777" w:rsidR="001977A4" w:rsidRPr="00E7620D" w:rsidRDefault="001977A4" w:rsidP="002378EA">
      <w:pPr>
        <w:pStyle w:val="Paragraphedeliste"/>
        <w:widowControl w:val="0"/>
        <w:numPr>
          <w:ilvl w:val="1"/>
          <w:numId w:val="113"/>
        </w:numPr>
        <w:tabs>
          <w:tab w:val="left" w:pos="1468"/>
          <w:tab w:val="left" w:pos="1469"/>
        </w:tabs>
        <w:autoSpaceDE w:val="0"/>
        <w:autoSpaceDN w:val="0"/>
        <w:ind w:left="1134" w:hanging="283"/>
        <w:contextualSpacing w:val="0"/>
        <w:rPr>
          <w:rFonts w:cs="Arial"/>
          <w:sz w:val="22"/>
          <w:lang w:val="en-US"/>
        </w:rPr>
      </w:pPr>
      <w:r w:rsidRPr="00E7620D">
        <w:rPr>
          <w:rFonts w:cs="Arial"/>
          <w:sz w:val="22"/>
          <w:lang w:val="en-US"/>
        </w:rPr>
        <w:t>Sub-component 1.1: Direct support to smallholders</w:t>
      </w:r>
    </w:p>
    <w:p w14:paraId="2D5BE8A6" w14:textId="77777777" w:rsidR="001977A4" w:rsidRPr="00E7620D" w:rsidRDefault="001977A4" w:rsidP="002378EA">
      <w:pPr>
        <w:pStyle w:val="Paragraphedeliste"/>
        <w:widowControl w:val="0"/>
        <w:numPr>
          <w:ilvl w:val="1"/>
          <w:numId w:val="113"/>
        </w:numPr>
        <w:tabs>
          <w:tab w:val="left" w:pos="1468"/>
          <w:tab w:val="left" w:pos="1469"/>
        </w:tabs>
        <w:autoSpaceDE w:val="0"/>
        <w:autoSpaceDN w:val="0"/>
        <w:ind w:left="1134" w:hanging="283"/>
        <w:contextualSpacing w:val="0"/>
        <w:rPr>
          <w:rFonts w:cs="Arial"/>
          <w:sz w:val="22"/>
          <w:lang w:val="en-US"/>
        </w:rPr>
      </w:pPr>
      <w:r w:rsidRPr="00E7620D">
        <w:rPr>
          <w:rFonts w:cs="Arial"/>
          <w:sz w:val="22"/>
          <w:lang w:val="en-US"/>
        </w:rPr>
        <w:t>Sub-component 1.2: Technical assistance and financial access to</w:t>
      </w:r>
      <w:r w:rsidRPr="00E7620D">
        <w:rPr>
          <w:rFonts w:cs="Arial"/>
          <w:spacing w:val="-12"/>
          <w:sz w:val="22"/>
          <w:lang w:val="en-US"/>
        </w:rPr>
        <w:t xml:space="preserve"> </w:t>
      </w:r>
      <w:r w:rsidRPr="00E7620D">
        <w:rPr>
          <w:rFonts w:cs="Arial"/>
          <w:sz w:val="22"/>
          <w:lang w:val="en-US"/>
        </w:rPr>
        <w:t>smallholders</w:t>
      </w:r>
    </w:p>
    <w:p w14:paraId="39F90272" w14:textId="77777777" w:rsidR="001977A4" w:rsidRPr="008839E0" w:rsidRDefault="001977A4" w:rsidP="002378EA">
      <w:pPr>
        <w:pStyle w:val="Paragraphedeliste"/>
        <w:widowControl w:val="0"/>
        <w:numPr>
          <w:ilvl w:val="0"/>
          <w:numId w:val="113"/>
        </w:numPr>
        <w:tabs>
          <w:tab w:val="left" w:pos="977"/>
        </w:tabs>
        <w:autoSpaceDE w:val="0"/>
        <w:autoSpaceDN w:val="0"/>
        <w:ind w:left="709" w:hanging="425"/>
        <w:contextualSpacing w:val="0"/>
        <w:rPr>
          <w:rFonts w:cs="Arial"/>
          <w:i/>
          <w:sz w:val="22"/>
        </w:rPr>
      </w:pPr>
      <w:r w:rsidRPr="008839E0">
        <w:rPr>
          <w:rFonts w:cs="Arial"/>
          <w:i/>
          <w:sz w:val="22"/>
        </w:rPr>
        <w:t>Component 2: Smallholder Market Access :</w:t>
      </w:r>
    </w:p>
    <w:p w14:paraId="20DF9699" w14:textId="77777777" w:rsidR="001977A4" w:rsidRPr="00E7620D" w:rsidRDefault="001977A4" w:rsidP="002378EA">
      <w:pPr>
        <w:pStyle w:val="Paragraphedeliste"/>
        <w:widowControl w:val="0"/>
        <w:numPr>
          <w:ilvl w:val="1"/>
          <w:numId w:val="113"/>
        </w:numPr>
        <w:tabs>
          <w:tab w:val="left" w:pos="1468"/>
          <w:tab w:val="left" w:pos="1469"/>
        </w:tabs>
        <w:autoSpaceDE w:val="0"/>
        <w:autoSpaceDN w:val="0"/>
        <w:ind w:left="1134" w:hanging="283"/>
        <w:contextualSpacing w:val="0"/>
        <w:rPr>
          <w:rFonts w:cs="Arial"/>
          <w:sz w:val="22"/>
          <w:lang w:val="en-US"/>
        </w:rPr>
      </w:pPr>
      <w:r w:rsidRPr="00E7620D">
        <w:rPr>
          <w:rFonts w:cs="Arial"/>
          <w:sz w:val="22"/>
          <w:lang w:val="en-US"/>
        </w:rPr>
        <w:t>Sub-component 2.1: Rural Infrastructure</w:t>
      </w:r>
    </w:p>
    <w:p w14:paraId="3CA1347D" w14:textId="77777777" w:rsidR="001977A4" w:rsidRPr="00E7620D" w:rsidRDefault="001977A4" w:rsidP="002378EA">
      <w:pPr>
        <w:pStyle w:val="Paragraphedeliste"/>
        <w:widowControl w:val="0"/>
        <w:numPr>
          <w:ilvl w:val="1"/>
          <w:numId w:val="113"/>
        </w:numPr>
        <w:tabs>
          <w:tab w:val="left" w:pos="1468"/>
          <w:tab w:val="left" w:pos="1469"/>
        </w:tabs>
        <w:autoSpaceDE w:val="0"/>
        <w:autoSpaceDN w:val="0"/>
        <w:ind w:left="1134" w:hanging="283"/>
        <w:contextualSpacing w:val="0"/>
        <w:rPr>
          <w:rFonts w:cs="Arial"/>
          <w:sz w:val="22"/>
          <w:lang w:val="en-US"/>
        </w:rPr>
      </w:pPr>
      <w:r w:rsidRPr="00E7620D">
        <w:rPr>
          <w:rFonts w:cs="Arial"/>
          <w:sz w:val="22"/>
          <w:lang w:val="en-US"/>
        </w:rPr>
        <w:t>Sub-component 2.2: Supporting the inclusion of smallholders in value chains</w:t>
      </w:r>
    </w:p>
    <w:p w14:paraId="0F676F23" w14:textId="77777777" w:rsidR="001977A4" w:rsidRPr="00E7620D" w:rsidRDefault="001977A4" w:rsidP="002378EA">
      <w:pPr>
        <w:pStyle w:val="Paragraphedeliste"/>
        <w:widowControl w:val="0"/>
        <w:numPr>
          <w:ilvl w:val="0"/>
          <w:numId w:val="113"/>
        </w:numPr>
        <w:tabs>
          <w:tab w:val="left" w:pos="977"/>
        </w:tabs>
        <w:autoSpaceDE w:val="0"/>
        <w:autoSpaceDN w:val="0"/>
        <w:ind w:left="709" w:hanging="425"/>
        <w:contextualSpacing w:val="0"/>
        <w:rPr>
          <w:rFonts w:cs="Arial"/>
          <w:i/>
          <w:sz w:val="22"/>
          <w:lang w:val="en-US"/>
        </w:rPr>
      </w:pPr>
      <w:r w:rsidRPr="00E7620D">
        <w:rPr>
          <w:rFonts w:cs="Arial"/>
          <w:i/>
          <w:sz w:val="22"/>
          <w:lang w:val="en-US"/>
        </w:rPr>
        <w:t>Component 3: Agricultural Public Goods and Services</w:t>
      </w:r>
    </w:p>
    <w:p w14:paraId="0E1F4F62" w14:textId="77777777" w:rsidR="001977A4" w:rsidRPr="00E7620D" w:rsidRDefault="001977A4" w:rsidP="002378EA">
      <w:pPr>
        <w:pStyle w:val="Paragraphedeliste"/>
        <w:widowControl w:val="0"/>
        <w:numPr>
          <w:ilvl w:val="0"/>
          <w:numId w:val="113"/>
        </w:numPr>
        <w:tabs>
          <w:tab w:val="left" w:pos="977"/>
        </w:tabs>
        <w:autoSpaceDE w:val="0"/>
        <w:autoSpaceDN w:val="0"/>
        <w:ind w:left="709" w:hanging="425"/>
        <w:contextualSpacing w:val="0"/>
        <w:rPr>
          <w:rFonts w:cs="Arial"/>
          <w:i/>
          <w:sz w:val="22"/>
          <w:lang w:val="en-US"/>
        </w:rPr>
        <w:sectPr w:rsidR="001977A4" w:rsidRPr="00E7620D" w:rsidSect="002B26A7">
          <w:headerReference w:type="even" r:id="rId14"/>
          <w:headerReference w:type="default" r:id="rId15"/>
          <w:footerReference w:type="even" r:id="rId16"/>
          <w:footerReference w:type="default" r:id="rId17"/>
          <w:headerReference w:type="first" r:id="rId18"/>
          <w:footerReference w:type="first" r:id="rId19"/>
          <w:pgSz w:w="11910" w:h="16840"/>
          <w:pgMar w:top="993" w:right="1420" w:bottom="851" w:left="1276" w:header="567" w:footer="466" w:gutter="0"/>
          <w:pgNumType w:fmt="lowerRoman"/>
          <w:cols w:space="720"/>
        </w:sectPr>
      </w:pPr>
    </w:p>
    <w:p w14:paraId="623528E2" w14:textId="77777777" w:rsidR="001977A4" w:rsidRPr="00E7620D" w:rsidRDefault="001977A4" w:rsidP="002378EA">
      <w:pPr>
        <w:pStyle w:val="Paragraphedeliste"/>
        <w:widowControl w:val="0"/>
        <w:numPr>
          <w:ilvl w:val="1"/>
          <w:numId w:val="113"/>
        </w:numPr>
        <w:tabs>
          <w:tab w:val="left" w:pos="1468"/>
          <w:tab w:val="left" w:pos="1469"/>
        </w:tabs>
        <w:autoSpaceDE w:val="0"/>
        <w:autoSpaceDN w:val="0"/>
        <w:ind w:left="1134" w:hanging="283"/>
        <w:contextualSpacing w:val="0"/>
        <w:rPr>
          <w:rFonts w:cs="Arial"/>
          <w:sz w:val="22"/>
          <w:lang w:val="en-US"/>
        </w:rPr>
      </w:pPr>
      <w:r w:rsidRPr="00E7620D">
        <w:rPr>
          <w:rFonts w:cs="Arial"/>
          <w:sz w:val="22"/>
          <w:lang w:val="en-US"/>
        </w:rPr>
        <w:lastRenderedPageBreak/>
        <w:t>Sub-Component 3.1: Capacity Building for Agricultural Public Service Delivery ;</w:t>
      </w:r>
    </w:p>
    <w:p w14:paraId="2C6E4E7A" w14:textId="77777777" w:rsidR="001977A4" w:rsidRPr="00E7620D" w:rsidRDefault="001977A4" w:rsidP="002378EA">
      <w:pPr>
        <w:pStyle w:val="Paragraphedeliste"/>
        <w:widowControl w:val="0"/>
        <w:numPr>
          <w:ilvl w:val="1"/>
          <w:numId w:val="113"/>
        </w:numPr>
        <w:tabs>
          <w:tab w:val="left" w:pos="1468"/>
          <w:tab w:val="left" w:pos="1469"/>
        </w:tabs>
        <w:autoSpaceDE w:val="0"/>
        <w:autoSpaceDN w:val="0"/>
        <w:ind w:left="1134" w:hanging="283"/>
        <w:contextualSpacing w:val="0"/>
        <w:rPr>
          <w:rFonts w:cs="Arial"/>
          <w:sz w:val="22"/>
          <w:lang w:val="en-US"/>
        </w:rPr>
      </w:pPr>
      <w:r w:rsidRPr="00E7620D">
        <w:rPr>
          <w:rFonts w:cs="Arial"/>
          <w:sz w:val="22"/>
          <w:lang w:val="en-US"/>
        </w:rPr>
        <w:t>Sub-component 3.2: Program Management, Monitoring, and Evaluation</w:t>
      </w:r>
    </w:p>
    <w:p w14:paraId="1EC57923" w14:textId="77777777" w:rsidR="001977A4" w:rsidRPr="008839E0" w:rsidRDefault="001977A4" w:rsidP="002378EA">
      <w:pPr>
        <w:pStyle w:val="Paragraphedeliste"/>
        <w:widowControl w:val="0"/>
        <w:numPr>
          <w:ilvl w:val="0"/>
          <w:numId w:val="113"/>
        </w:numPr>
        <w:tabs>
          <w:tab w:val="left" w:pos="977"/>
        </w:tabs>
        <w:autoSpaceDE w:val="0"/>
        <w:autoSpaceDN w:val="0"/>
        <w:ind w:left="709" w:hanging="425"/>
        <w:contextualSpacing w:val="0"/>
        <w:rPr>
          <w:rFonts w:cs="Arial"/>
          <w:i/>
          <w:sz w:val="22"/>
        </w:rPr>
      </w:pPr>
      <w:r w:rsidRPr="008839E0">
        <w:rPr>
          <w:rFonts w:cs="Arial"/>
          <w:i/>
          <w:sz w:val="22"/>
        </w:rPr>
        <w:t>Component 4: Agricultural Emergency Response</w:t>
      </w:r>
    </w:p>
    <w:p w14:paraId="18C4ECE3" w14:textId="77777777" w:rsidR="001977A4" w:rsidRPr="008839E0" w:rsidRDefault="001977A4" w:rsidP="001977A4">
      <w:pPr>
        <w:pStyle w:val="Corpsdetexte"/>
        <w:spacing w:line="276" w:lineRule="auto"/>
        <w:rPr>
          <w:rFonts w:cs="Arial"/>
          <w:i/>
          <w:sz w:val="22"/>
          <w:szCs w:val="22"/>
        </w:rPr>
      </w:pPr>
    </w:p>
    <w:p w14:paraId="55C08AA5" w14:textId="77777777" w:rsidR="001977A4" w:rsidRPr="008839E0" w:rsidRDefault="001977A4" w:rsidP="001977A4">
      <w:pPr>
        <w:pStyle w:val="Corpsdetexte"/>
        <w:spacing w:line="276" w:lineRule="auto"/>
        <w:rPr>
          <w:rFonts w:cs="Arial"/>
          <w:sz w:val="22"/>
          <w:szCs w:val="22"/>
        </w:rPr>
      </w:pPr>
      <w:r w:rsidRPr="008839E0">
        <w:rPr>
          <w:rFonts w:cs="Arial"/>
          <w:sz w:val="22"/>
          <w:szCs w:val="22"/>
          <w:u w:val="single"/>
        </w:rPr>
        <w:t>Methods of implementation</w:t>
      </w:r>
    </w:p>
    <w:p w14:paraId="5693AF09" w14:textId="77777777" w:rsidR="001977A4" w:rsidRPr="008839E0" w:rsidRDefault="001977A4" w:rsidP="001977A4">
      <w:pPr>
        <w:pStyle w:val="Corpsdetexte"/>
        <w:spacing w:line="276" w:lineRule="auto"/>
        <w:rPr>
          <w:rFonts w:cs="Arial"/>
          <w:sz w:val="22"/>
          <w:szCs w:val="22"/>
        </w:rPr>
      </w:pPr>
    </w:p>
    <w:p w14:paraId="7AAED6F7"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At this stage, the institutional mechanism for the coordination of the Project and the main fiduciary</w:t>
      </w:r>
      <w:r w:rsidRPr="00E7620D">
        <w:rPr>
          <w:rFonts w:cs="Arial"/>
          <w:spacing w:val="-15"/>
          <w:sz w:val="22"/>
          <w:szCs w:val="22"/>
          <w:lang w:val="en-US"/>
        </w:rPr>
        <w:t xml:space="preserve"> </w:t>
      </w:r>
      <w:r w:rsidRPr="00E7620D">
        <w:rPr>
          <w:rFonts w:cs="Arial"/>
          <w:sz w:val="22"/>
          <w:szCs w:val="22"/>
          <w:lang w:val="en-US"/>
        </w:rPr>
        <w:t>management</w:t>
      </w:r>
      <w:r w:rsidRPr="00E7620D">
        <w:rPr>
          <w:rFonts w:cs="Arial"/>
          <w:spacing w:val="-12"/>
          <w:sz w:val="22"/>
          <w:szCs w:val="22"/>
          <w:lang w:val="en-US"/>
        </w:rPr>
        <w:t xml:space="preserve"> </w:t>
      </w:r>
      <w:r w:rsidRPr="00E7620D">
        <w:rPr>
          <w:rFonts w:cs="Arial"/>
          <w:sz w:val="22"/>
          <w:szCs w:val="22"/>
          <w:lang w:val="en-US"/>
        </w:rPr>
        <w:t>is</w:t>
      </w:r>
      <w:r w:rsidRPr="00E7620D">
        <w:rPr>
          <w:rFonts w:cs="Arial"/>
          <w:spacing w:val="-16"/>
          <w:sz w:val="22"/>
          <w:szCs w:val="22"/>
          <w:lang w:val="en-US"/>
        </w:rPr>
        <w:t xml:space="preserve"> </w:t>
      </w:r>
      <w:r w:rsidRPr="00E7620D">
        <w:rPr>
          <w:rFonts w:cs="Arial"/>
          <w:sz w:val="22"/>
          <w:szCs w:val="22"/>
          <w:lang w:val="en-US"/>
        </w:rPr>
        <w:t>under</w:t>
      </w:r>
      <w:r w:rsidRPr="00E7620D">
        <w:rPr>
          <w:rFonts w:cs="Arial"/>
          <w:spacing w:val="-13"/>
          <w:sz w:val="22"/>
          <w:szCs w:val="22"/>
          <w:lang w:val="en-US"/>
        </w:rPr>
        <w:t xml:space="preserve"> </w:t>
      </w:r>
      <w:r w:rsidRPr="00E7620D">
        <w:rPr>
          <w:rFonts w:cs="Arial"/>
          <w:sz w:val="22"/>
          <w:szCs w:val="22"/>
          <w:lang w:val="en-US"/>
        </w:rPr>
        <w:t>the</w:t>
      </w:r>
      <w:r w:rsidRPr="00E7620D">
        <w:rPr>
          <w:rFonts w:cs="Arial"/>
          <w:spacing w:val="-14"/>
          <w:sz w:val="22"/>
          <w:szCs w:val="22"/>
          <w:lang w:val="en-US"/>
        </w:rPr>
        <w:t xml:space="preserve"> </w:t>
      </w:r>
      <w:r w:rsidRPr="00E7620D">
        <w:rPr>
          <w:rFonts w:cs="Arial"/>
          <w:sz w:val="22"/>
          <w:szCs w:val="22"/>
          <w:lang w:val="en-US"/>
        </w:rPr>
        <w:t>responsibility</w:t>
      </w:r>
      <w:r w:rsidRPr="00E7620D">
        <w:rPr>
          <w:rFonts w:cs="Arial"/>
          <w:spacing w:val="-13"/>
          <w:sz w:val="22"/>
          <w:szCs w:val="22"/>
          <w:lang w:val="en-US"/>
        </w:rPr>
        <w:t xml:space="preserve"> </w:t>
      </w:r>
      <w:r w:rsidRPr="00E7620D">
        <w:rPr>
          <w:rFonts w:cs="Arial"/>
          <w:sz w:val="22"/>
          <w:szCs w:val="22"/>
          <w:lang w:val="en-US"/>
        </w:rPr>
        <w:t>of</w:t>
      </w:r>
      <w:r w:rsidRPr="00E7620D">
        <w:rPr>
          <w:rFonts w:cs="Arial"/>
          <w:spacing w:val="-13"/>
          <w:sz w:val="22"/>
          <w:szCs w:val="22"/>
          <w:lang w:val="en-US"/>
        </w:rPr>
        <w:t xml:space="preserve"> </w:t>
      </w:r>
      <w:r w:rsidRPr="00E7620D">
        <w:rPr>
          <w:rFonts w:cs="Arial"/>
          <w:sz w:val="22"/>
          <w:szCs w:val="22"/>
          <w:lang w:val="en-US"/>
        </w:rPr>
        <w:t>the</w:t>
      </w:r>
      <w:r w:rsidRPr="00E7620D">
        <w:rPr>
          <w:rFonts w:cs="Arial"/>
          <w:spacing w:val="-14"/>
          <w:sz w:val="22"/>
          <w:szCs w:val="22"/>
          <w:lang w:val="en-US"/>
        </w:rPr>
        <w:t xml:space="preserve"> </w:t>
      </w:r>
      <w:r w:rsidRPr="00E7620D">
        <w:rPr>
          <w:rFonts w:cs="Arial"/>
          <w:sz w:val="22"/>
          <w:szCs w:val="22"/>
          <w:lang w:val="en-US"/>
        </w:rPr>
        <w:t>PMU/PARRSA</w:t>
      </w:r>
      <w:r w:rsidRPr="00E7620D">
        <w:rPr>
          <w:rFonts w:cs="Arial"/>
          <w:spacing w:val="-12"/>
          <w:sz w:val="22"/>
          <w:szCs w:val="22"/>
          <w:lang w:val="en-US"/>
        </w:rPr>
        <w:t xml:space="preserve"> </w:t>
      </w:r>
      <w:r w:rsidRPr="00E7620D">
        <w:rPr>
          <w:rFonts w:cs="Arial"/>
          <w:sz w:val="22"/>
          <w:szCs w:val="22"/>
          <w:lang w:val="en-US"/>
        </w:rPr>
        <w:t>in</w:t>
      </w:r>
      <w:r w:rsidRPr="00E7620D">
        <w:rPr>
          <w:rFonts w:cs="Arial"/>
          <w:spacing w:val="-11"/>
          <w:sz w:val="22"/>
          <w:szCs w:val="22"/>
          <w:lang w:val="en-US"/>
        </w:rPr>
        <w:t xml:space="preserve"> </w:t>
      </w:r>
      <w:r w:rsidRPr="00E7620D">
        <w:rPr>
          <w:rFonts w:cs="Arial"/>
          <w:sz w:val="22"/>
          <w:szCs w:val="22"/>
          <w:lang w:val="en-US"/>
        </w:rPr>
        <w:t>collaboration</w:t>
      </w:r>
      <w:r w:rsidRPr="00E7620D">
        <w:rPr>
          <w:rFonts w:cs="Arial"/>
          <w:spacing w:val="-12"/>
          <w:sz w:val="22"/>
          <w:szCs w:val="22"/>
          <w:lang w:val="en-US"/>
        </w:rPr>
        <w:t xml:space="preserve"> </w:t>
      </w:r>
      <w:r w:rsidRPr="00E7620D">
        <w:rPr>
          <w:rFonts w:cs="Arial"/>
          <w:sz w:val="22"/>
          <w:szCs w:val="22"/>
          <w:lang w:val="en-US"/>
        </w:rPr>
        <w:t>with</w:t>
      </w:r>
      <w:r w:rsidRPr="00E7620D">
        <w:rPr>
          <w:rFonts w:cs="Arial"/>
          <w:spacing w:val="-11"/>
          <w:sz w:val="22"/>
          <w:szCs w:val="22"/>
          <w:lang w:val="en-US"/>
        </w:rPr>
        <w:t xml:space="preserve"> </w:t>
      </w:r>
      <w:r w:rsidRPr="00E7620D">
        <w:rPr>
          <w:rFonts w:cs="Arial"/>
          <w:sz w:val="22"/>
          <w:szCs w:val="22"/>
          <w:lang w:val="en-US"/>
        </w:rPr>
        <w:t>the Technical Preparatory Committee of the PNDA established by Ministerial Order n°001/CAB/MIN/AGRI/ABC/LTN/2019 of January 01,</w:t>
      </w:r>
      <w:r w:rsidRPr="00E7620D">
        <w:rPr>
          <w:rFonts w:cs="Arial"/>
          <w:spacing w:val="-3"/>
          <w:sz w:val="22"/>
          <w:szCs w:val="22"/>
          <w:lang w:val="en-US"/>
        </w:rPr>
        <w:t xml:space="preserve"> </w:t>
      </w:r>
      <w:r w:rsidRPr="00E7620D">
        <w:rPr>
          <w:rFonts w:cs="Arial"/>
          <w:sz w:val="22"/>
          <w:szCs w:val="22"/>
          <w:lang w:val="en-US"/>
        </w:rPr>
        <w:t>2029.</w:t>
      </w:r>
    </w:p>
    <w:p w14:paraId="2079B4BF" w14:textId="77777777" w:rsidR="001977A4" w:rsidRPr="00E7620D" w:rsidRDefault="001977A4" w:rsidP="001977A4">
      <w:pPr>
        <w:pStyle w:val="Corpsdetexte"/>
        <w:spacing w:line="276" w:lineRule="auto"/>
        <w:rPr>
          <w:rFonts w:cs="Arial"/>
          <w:sz w:val="22"/>
          <w:szCs w:val="22"/>
          <w:lang w:val="en-US"/>
        </w:rPr>
      </w:pPr>
    </w:p>
    <w:p w14:paraId="7817D654" w14:textId="77777777" w:rsidR="001977A4" w:rsidRPr="00E7620D"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i/>
          <w:sz w:val="22"/>
          <w:lang w:val="en-US"/>
        </w:rPr>
      </w:pPr>
      <w:r w:rsidRPr="00E7620D">
        <w:rPr>
          <w:rFonts w:cs="Arial"/>
          <w:i/>
          <w:sz w:val="22"/>
          <w:lang w:val="en-US"/>
        </w:rPr>
        <w:t>Brief description of major environmental and social issues and risks</w:t>
      </w:r>
    </w:p>
    <w:p w14:paraId="458657A4" w14:textId="77777777" w:rsidR="001977A4" w:rsidRPr="00E7620D" w:rsidRDefault="001977A4" w:rsidP="001977A4">
      <w:pPr>
        <w:pStyle w:val="Corpsdetexte"/>
        <w:spacing w:line="276" w:lineRule="auto"/>
        <w:rPr>
          <w:rFonts w:cs="Arial"/>
          <w:i/>
          <w:sz w:val="22"/>
          <w:szCs w:val="22"/>
          <w:lang w:val="en-US"/>
        </w:rPr>
      </w:pPr>
    </w:p>
    <w:p w14:paraId="4DDD039F"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The Provinces involved in the PNDA are faced with several environmental and social constraints and challenges, the most important of which are the following:</w:t>
      </w:r>
    </w:p>
    <w:p w14:paraId="32E0CAD2" w14:textId="77777777" w:rsidR="001977A4" w:rsidRPr="00E7620D" w:rsidRDefault="001977A4" w:rsidP="001977A4">
      <w:pPr>
        <w:pStyle w:val="Corpsdetexte"/>
        <w:spacing w:line="276" w:lineRule="auto"/>
        <w:rPr>
          <w:rFonts w:cs="Arial"/>
          <w:sz w:val="22"/>
          <w:szCs w:val="22"/>
          <w:lang w:val="en-US"/>
        </w:rPr>
      </w:pPr>
    </w:p>
    <w:p w14:paraId="74D1AEE1" w14:textId="77777777" w:rsidR="001977A4" w:rsidRPr="008839E0"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 w:val="22"/>
        </w:rPr>
      </w:pPr>
      <w:r w:rsidRPr="008839E0">
        <w:rPr>
          <w:rFonts w:cs="Arial"/>
          <w:sz w:val="22"/>
        </w:rPr>
        <w:t>Low agricultural production</w:t>
      </w:r>
      <w:r w:rsidRPr="008839E0">
        <w:rPr>
          <w:rFonts w:cs="Arial"/>
          <w:spacing w:val="-6"/>
          <w:sz w:val="22"/>
        </w:rPr>
        <w:t xml:space="preserve"> </w:t>
      </w:r>
      <w:r w:rsidRPr="008839E0">
        <w:rPr>
          <w:rFonts w:cs="Arial"/>
          <w:sz w:val="22"/>
        </w:rPr>
        <w:t>;</w:t>
      </w:r>
    </w:p>
    <w:p w14:paraId="2B2EF0B7" w14:textId="77777777" w:rsidR="001977A4" w:rsidRPr="008839E0"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 w:val="22"/>
        </w:rPr>
      </w:pPr>
      <w:r w:rsidRPr="008839E0">
        <w:rPr>
          <w:rFonts w:cs="Arial"/>
          <w:sz w:val="22"/>
        </w:rPr>
        <w:t>Low fish production (fishing)</w:t>
      </w:r>
      <w:r w:rsidRPr="008839E0">
        <w:rPr>
          <w:rFonts w:cs="Arial"/>
          <w:spacing w:val="-7"/>
          <w:sz w:val="22"/>
        </w:rPr>
        <w:t xml:space="preserve"> </w:t>
      </w:r>
      <w:r w:rsidRPr="008839E0">
        <w:rPr>
          <w:rFonts w:cs="Arial"/>
          <w:sz w:val="22"/>
        </w:rPr>
        <w:t>;</w:t>
      </w:r>
    </w:p>
    <w:p w14:paraId="42D56370" w14:textId="77777777" w:rsidR="001977A4" w:rsidRPr="008839E0"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 w:val="22"/>
        </w:rPr>
      </w:pPr>
      <w:r w:rsidRPr="008839E0">
        <w:rPr>
          <w:rFonts w:cs="Arial"/>
          <w:sz w:val="22"/>
        </w:rPr>
        <w:t>Low animal production (breeding)</w:t>
      </w:r>
      <w:r w:rsidRPr="008839E0">
        <w:rPr>
          <w:rFonts w:cs="Arial"/>
          <w:spacing w:val="-7"/>
          <w:sz w:val="22"/>
        </w:rPr>
        <w:t xml:space="preserve"> </w:t>
      </w:r>
      <w:r w:rsidRPr="008839E0">
        <w:rPr>
          <w:rFonts w:cs="Arial"/>
          <w:sz w:val="22"/>
        </w:rPr>
        <w:t>;</w:t>
      </w:r>
    </w:p>
    <w:p w14:paraId="0F549A0E" w14:textId="77777777" w:rsidR="001977A4" w:rsidRPr="00E7620D"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 w:val="22"/>
          <w:lang w:val="en-US"/>
        </w:rPr>
      </w:pPr>
      <w:r w:rsidRPr="00E7620D">
        <w:rPr>
          <w:rFonts w:cs="Arial"/>
          <w:sz w:val="22"/>
          <w:lang w:val="en-US"/>
        </w:rPr>
        <w:t>Poor access to veterinary care</w:t>
      </w:r>
      <w:r w:rsidRPr="00E7620D">
        <w:rPr>
          <w:rFonts w:cs="Arial"/>
          <w:spacing w:val="-3"/>
          <w:sz w:val="22"/>
          <w:lang w:val="en-US"/>
        </w:rPr>
        <w:t xml:space="preserve"> </w:t>
      </w:r>
      <w:r w:rsidRPr="00E7620D">
        <w:rPr>
          <w:rFonts w:cs="Arial"/>
          <w:sz w:val="22"/>
          <w:lang w:val="en-US"/>
        </w:rPr>
        <w:t>;</w:t>
      </w:r>
    </w:p>
    <w:p w14:paraId="3BA6C0CF" w14:textId="77777777" w:rsidR="001977A4" w:rsidRPr="008839E0"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 w:val="22"/>
        </w:rPr>
      </w:pPr>
      <w:r w:rsidRPr="008839E0">
        <w:rPr>
          <w:rFonts w:cs="Arial"/>
          <w:sz w:val="22"/>
        </w:rPr>
        <w:t>Land problem</w:t>
      </w:r>
      <w:r w:rsidRPr="008839E0">
        <w:rPr>
          <w:rFonts w:cs="Arial"/>
          <w:spacing w:val="-1"/>
          <w:sz w:val="22"/>
        </w:rPr>
        <w:t xml:space="preserve"> </w:t>
      </w:r>
      <w:r w:rsidRPr="008839E0">
        <w:rPr>
          <w:rFonts w:cs="Arial"/>
          <w:sz w:val="22"/>
        </w:rPr>
        <w:t>;</w:t>
      </w:r>
    </w:p>
    <w:p w14:paraId="073FA81C" w14:textId="77777777" w:rsidR="001977A4" w:rsidRPr="00372F9C"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 w:val="22"/>
          <w:lang w:val="en-US"/>
        </w:rPr>
      </w:pPr>
      <w:r w:rsidRPr="00372F9C">
        <w:rPr>
          <w:rFonts w:cs="Arial"/>
          <w:sz w:val="22"/>
          <w:lang w:val="en-US"/>
        </w:rPr>
        <w:t>Risk and prevalence of gender-based violence (GBV), including sexual exploitation and abuse (SEA) and sexual harassment (S</w:t>
      </w:r>
      <w:r w:rsidR="0027419B" w:rsidRPr="00372F9C">
        <w:rPr>
          <w:rFonts w:cs="Arial"/>
          <w:sz w:val="22"/>
          <w:lang w:val="en-US"/>
        </w:rPr>
        <w:t>H</w:t>
      </w:r>
      <w:r w:rsidRPr="00372F9C">
        <w:rPr>
          <w:rFonts w:cs="Arial"/>
          <w:sz w:val="22"/>
          <w:lang w:val="en-US"/>
        </w:rPr>
        <w:t xml:space="preserve">), and </w:t>
      </w:r>
      <w:r w:rsidR="0027419B" w:rsidRPr="00372F9C">
        <w:rPr>
          <w:rFonts w:cs="Arial"/>
          <w:sz w:val="22"/>
          <w:lang w:val="en-US"/>
        </w:rPr>
        <w:t>COVID</w:t>
      </w:r>
      <w:r w:rsidRPr="00372F9C">
        <w:rPr>
          <w:rFonts w:cs="Arial"/>
          <w:sz w:val="22"/>
          <w:lang w:val="en-US"/>
        </w:rPr>
        <w:t>-19 ;</w:t>
      </w:r>
    </w:p>
    <w:p w14:paraId="3020E4A8" w14:textId="77777777" w:rsidR="001977A4" w:rsidRPr="008839E0"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 w:val="22"/>
        </w:rPr>
      </w:pPr>
      <w:r w:rsidRPr="008839E0">
        <w:rPr>
          <w:rFonts w:cs="Arial"/>
          <w:sz w:val="22"/>
        </w:rPr>
        <w:t>Lack of intelligent agriculture ;</w:t>
      </w:r>
    </w:p>
    <w:p w14:paraId="78F0DA7E" w14:textId="77777777" w:rsidR="001977A4" w:rsidRPr="00372F9C"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 w:val="22"/>
          <w:lang w:val="en-US"/>
        </w:rPr>
      </w:pPr>
      <w:r w:rsidRPr="00372F9C">
        <w:rPr>
          <w:rFonts w:cs="Arial"/>
          <w:sz w:val="22"/>
          <w:lang w:val="en-US"/>
        </w:rPr>
        <w:t>Problem of lack of community infrastructure such as markets, agricultural product depots, slaughterhouses, etc. ;</w:t>
      </w:r>
    </w:p>
    <w:p w14:paraId="4AFB0F54" w14:textId="77777777" w:rsidR="001977A4" w:rsidRPr="00372F9C"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 w:val="22"/>
          <w:lang w:val="en-US"/>
        </w:rPr>
      </w:pPr>
      <w:r w:rsidRPr="00372F9C">
        <w:rPr>
          <w:rFonts w:cs="Arial"/>
          <w:sz w:val="22"/>
          <w:lang w:val="en-US"/>
        </w:rPr>
        <w:t>Problem of the agricultural feeder roads which are in a very advanced state of disrepair;</w:t>
      </w:r>
    </w:p>
    <w:p w14:paraId="1C87F796" w14:textId="77777777" w:rsidR="001977A4" w:rsidRPr="00372F9C"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 w:val="22"/>
          <w:lang w:val="en-US"/>
        </w:rPr>
      </w:pPr>
      <w:r w:rsidRPr="00372F9C">
        <w:rPr>
          <w:rFonts w:cs="Arial"/>
          <w:sz w:val="22"/>
          <w:lang w:val="en-US"/>
        </w:rPr>
        <w:t>Deficiency of the irrigation system of agricultural fields ;</w:t>
      </w:r>
    </w:p>
    <w:p w14:paraId="273208D0" w14:textId="77777777" w:rsidR="001977A4" w:rsidRPr="00372F9C"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 w:val="22"/>
          <w:lang w:val="en-US"/>
        </w:rPr>
      </w:pPr>
      <w:r w:rsidRPr="00372F9C">
        <w:rPr>
          <w:rFonts w:cs="Arial"/>
          <w:sz w:val="22"/>
          <w:lang w:val="en-US"/>
        </w:rPr>
        <w:t>Problem of malnutrition and undernourishment ;</w:t>
      </w:r>
    </w:p>
    <w:p w14:paraId="4588ECCD" w14:textId="77777777" w:rsidR="0027419B" w:rsidRPr="00372F9C" w:rsidRDefault="0027419B" w:rsidP="00ED1B8C">
      <w:pPr>
        <w:pStyle w:val="Paragraphedeliste"/>
        <w:widowControl w:val="0"/>
        <w:numPr>
          <w:ilvl w:val="0"/>
          <w:numId w:val="170"/>
        </w:numPr>
        <w:tabs>
          <w:tab w:val="left" w:pos="709"/>
        </w:tabs>
        <w:autoSpaceDE w:val="0"/>
        <w:autoSpaceDN w:val="0"/>
        <w:ind w:left="709" w:hanging="349"/>
        <w:contextualSpacing w:val="0"/>
        <w:rPr>
          <w:rFonts w:cs="Arial"/>
          <w:sz w:val="22"/>
          <w:lang w:val="en-US"/>
        </w:rPr>
      </w:pPr>
      <w:r w:rsidRPr="00372F9C">
        <w:rPr>
          <w:rFonts w:cs="Arial"/>
          <w:sz w:val="22"/>
          <w:lang w:val="en-US"/>
        </w:rPr>
        <w:t>Risk of contamination of the COVID-19 with its consequences on the poverty of the populations;</w:t>
      </w:r>
    </w:p>
    <w:p w14:paraId="30F15B20" w14:textId="77777777" w:rsidR="0027419B" w:rsidRPr="00372F9C" w:rsidRDefault="0027419B" w:rsidP="00ED1B8C">
      <w:pPr>
        <w:pStyle w:val="Paragraphedeliste"/>
        <w:widowControl w:val="0"/>
        <w:numPr>
          <w:ilvl w:val="0"/>
          <w:numId w:val="170"/>
        </w:numPr>
        <w:tabs>
          <w:tab w:val="left" w:pos="709"/>
        </w:tabs>
        <w:autoSpaceDE w:val="0"/>
        <w:autoSpaceDN w:val="0"/>
        <w:ind w:left="709" w:hanging="349"/>
        <w:contextualSpacing w:val="0"/>
        <w:rPr>
          <w:rFonts w:cs="Arial"/>
          <w:sz w:val="22"/>
          <w:lang w:val="en-US"/>
        </w:rPr>
      </w:pPr>
      <w:r w:rsidRPr="00372F9C">
        <w:rPr>
          <w:rFonts w:cs="Arial"/>
          <w:sz w:val="22"/>
          <w:lang w:val="en-US"/>
        </w:rPr>
        <w:t>Risk of contamination of the Ebola virus in the Province of North Kivu;</w:t>
      </w:r>
    </w:p>
    <w:p w14:paraId="3641AE9F" w14:textId="77777777" w:rsidR="0027419B" w:rsidRPr="00372F9C" w:rsidRDefault="0027419B" w:rsidP="00ED1B8C">
      <w:pPr>
        <w:pStyle w:val="Paragraphedeliste"/>
        <w:widowControl w:val="0"/>
        <w:numPr>
          <w:ilvl w:val="0"/>
          <w:numId w:val="170"/>
        </w:numPr>
        <w:tabs>
          <w:tab w:val="left" w:pos="709"/>
        </w:tabs>
        <w:autoSpaceDE w:val="0"/>
        <w:autoSpaceDN w:val="0"/>
        <w:ind w:left="709" w:hanging="349"/>
        <w:contextualSpacing w:val="0"/>
        <w:rPr>
          <w:rFonts w:cs="Arial"/>
          <w:sz w:val="22"/>
          <w:lang w:val="en-US"/>
        </w:rPr>
      </w:pPr>
      <w:r w:rsidRPr="00372F9C">
        <w:rPr>
          <w:rFonts w:cs="Arial"/>
          <w:sz w:val="22"/>
          <w:lang w:val="en-US"/>
        </w:rPr>
        <w:t>Land problem linked to the conflict over land between communities;</w:t>
      </w:r>
    </w:p>
    <w:p w14:paraId="10D4D4FE" w14:textId="77777777" w:rsidR="001977A4" w:rsidRPr="00372F9C"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 w:val="22"/>
          <w:lang w:val="en-US"/>
        </w:rPr>
      </w:pPr>
      <w:r w:rsidRPr="00372F9C">
        <w:rPr>
          <w:rFonts w:cs="Arial"/>
          <w:sz w:val="22"/>
          <w:lang w:val="en-US"/>
        </w:rPr>
        <w:t>Erosion and flood risks in the Kasai and Kasai Central region ;</w:t>
      </w:r>
    </w:p>
    <w:p w14:paraId="4FFBD5D6" w14:textId="77777777" w:rsidR="001977A4" w:rsidRPr="00372F9C" w:rsidRDefault="0027419B" w:rsidP="00ED1B8C">
      <w:pPr>
        <w:pStyle w:val="Paragraphedeliste"/>
        <w:widowControl w:val="0"/>
        <w:numPr>
          <w:ilvl w:val="0"/>
          <w:numId w:val="170"/>
        </w:numPr>
        <w:tabs>
          <w:tab w:val="left" w:pos="709"/>
        </w:tabs>
        <w:autoSpaceDE w:val="0"/>
        <w:autoSpaceDN w:val="0"/>
        <w:ind w:left="709" w:hanging="349"/>
        <w:contextualSpacing w:val="0"/>
        <w:rPr>
          <w:rFonts w:cs="Arial"/>
          <w:sz w:val="22"/>
          <w:lang w:val="en-US"/>
        </w:rPr>
      </w:pPr>
      <w:r w:rsidRPr="00372F9C">
        <w:rPr>
          <w:rFonts w:cs="Arial"/>
          <w:sz w:val="22"/>
          <w:lang w:val="en-US"/>
        </w:rPr>
        <w:t xml:space="preserve">The extent and severity </w:t>
      </w:r>
      <w:r w:rsidR="001977A4" w:rsidRPr="00372F9C">
        <w:rPr>
          <w:rFonts w:cs="Arial"/>
          <w:sz w:val="22"/>
          <w:lang w:val="en-US"/>
        </w:rPr>
        <w:t xml:space="preserve"> of social problems </w:t>
      </w:r>
      <w:r w:rsidRPr="00372F9C">
        <w:rPr>
          <w:rFonts w:cs="Arial"/>
          <w:sz w:val="22"/>
          <w:lang w:val="en-US"/>
        </w:rPr>
        <w:t>related to poverty, malnutrition and undernourishment;</w:t>
      </w:r>
      <w:r w:rsidR="001977A4" w:rsidRPr="00372F9C">
        <w:rPr>
          <w:rFonts w:cs="Arial"/>
          <w:sz w:val="22"/>
          <w:lang w:val="en-US"/>
        </w:rPr>
        <w:t>;</w:t>
      </w:r>
    </w:p>
    <w:p w14:paraId="0B474A1D" w14:textId="77777777" w:rsidR="001977A4" w:rsidRPr="00E7620D"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 w:val="22"/>
          <w:lang w:val="en-US"/>
        </w:rPr>
      </w:pPr>
      <w:r w:rsidRPr="00372F9C">
        <w:rPr>
          <w:rFonts w:cs="Arial"/>
          <w:sz w:val="22"/>
          <w:lang w:val="en-US"/>
        </w:rPr>
        <w:t>Insecurity in</w:t>
      </w:r>
      <w:r w:rsidRPr="00E7620D">
        <w:rPr>
          <w:rFonts w:cs="Arial"/>
          <w:sz w:val="22"/>
          <w:lang w:val="en-US"/>
        </w:rPr>
        <w:t xml:space="preserve"> the North Kivu region (Beni, Butembo, Rutshuru)</w:t>
      </w:r>
      <w:r w:rsidR="00005290">
        <w:rPr>
          <w:rFonts w:cs="Arial"/>
          <w:sz w:val="22"/>
          <w:lang w:val="en-US"/>
        </w:rPr>
        <w:t>.</w:t>
      </w:r>
    </w:p>
    <w:p w14:paraId="48F2E611" w14:textId="77777777" w:rsidR="001977A4" w:rsidRPr="00E7620D" w:rsidRDefault="001977A4" w:rsidP="001977A4">
      <w:pPr>
        <w:pStyle w:val="Corpsdetexte"/>
        <w:spacing w:line="276" w:lineRule="auto"/>
        <w:rPr>
          <w:rFonts w:cs="Arial"/>
          <w:sz w:val="22"/>
          <w:szCs w:val="22"/>
          <w:lang w:val="en-US"/>
        </w:rPr>
      </w:pPr>
    </w:p>
    <w:p w14:paraId="29710879" w14:textId="77777777" w:rsidR="001977A4" w:rsidRPr="00E7620D"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i/>
          <w:sz w:val="22"/>
          <w:lang w:val="en-US"/>
        </w:rPr>
      </w:pPr>
      <w:r w:rsidRPr="00E7620D">
        <w:rPr>
          <w:rFonts w:cs="Arial"/>
          <w:i/>
          <w:sz w:val="22"/>
          <w:lang w:val="en-US"/>
        </w:rPr>
        <w:t>Policy, legal and institutional framework for the management of the country's environmental and social risks and impacts and the World Bank's Environmental and Social Framework (ESC), whose requirements are met by the CGES</w:t>
      </w:r>
    </w:p>
    <w:p w14:paraId="705ECBD1" w14:textId="77777777" w:rsidR="001977A4" w:rsidRPr="00E7620D" w:rsidRDefault="001977A4" w:rsidP="001977A4">
      <w:pPr>
        <w:pStyle w:val="Corpsdetexte"/>
        <w:spacing w:line="276" w:lineRule="auto"/>
        <w:rPr>
          <w:rFonts w:cs="Arial"/>
          <w:i/>
          <w:sz w:val="22"/>
          <w:szCs w:val="22"/>
          <w:lang w:val="en-US"/>
        </w:rPr>
      </w:pPr>
    </w:p>
    <w:p w14:paraId="7FBE0429"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The legislative and regulatory context of the environmental and social sectors and of the intervention sectors of the PNDA is marked by the existence of strategic planning documents (National</w:t>
      </w:r>
      <w:r w:rsidRPr="00E7620D">
        <w:rPr>
          <w:rFonts w:cs="Arial"/>
          <w:spacing w:val="-14"/>
          <w:sz w:val="22"/>
          <w:szCs w:val="22"/>
          <w:lang w:val="en-US"/>
        </w:rPr>
        <w:t xml:space="preserve"> </w:t>
      </w:r>
      <w:r w:rsidRPr="00E7620D">
        <w:rPr>
          <w:rFonts w:cs="Arial"/>
          <w:sz w:val="22"/>
          <w:szCs w:val="22"/>
          <w:lang w:val="en-US"/>
        </w:rPr>
        <w:t>Environmental</w:t>
      </w:r>
      <w:r w:rsidRPr="00E7620D">
        <w:rPr>
          <w:rFonts w:cs="Arial"/>
          <w:spacing w:val="-15"/>
          <w:sz w:val="22"/>
          <w:szCs w:val="22"/>
          <w:lang w:val="en-US"/>
        </w:rPr>
        <w:t xml:space="preserve"> </w:t>
      </w:r>
      <w:r w:rsidRPr="00E7620D">
        <w:rPr>
          <w:rFonts w:cs="Arial"/>
          <w:sz w:val="22"/>
          <w:szCs w:val="22"/>
          <w:lang w:val="en-US"/>
        </w:rPr>
        <w:t>Action</w:t>
      </w:r>
      <w:r w:rsidRPr="00E7620D">
        <w:rPr>
          <w:rFonts w:cs="Arial"/>
          <w:spacing w:val="-13"/>
          <w:sz w:val="22"/>
          <w:szCs w:val="22"/>
          <w:lang w:val="en-US"/>
        </w:rPr>
        <w:t xml:space="preserve"> </w:t>
      </w:r>
      <w:r w:rsidRPr="00E7620D">
        <w:rPr>
          <w:rFonts w:cs="Arial"/>
          <w:sz w:val="22"/>
          <w:szCs w:val="22"/>
          <w:lang w:val="en-US"/>
        </w:rPr>
        <w:t>Plan,</w:t>
      </w:r>
      <w:r w:rsidRPr="00E7620D">
        <w:rPr>
          <w:rFonts w:cs="Arial"/>
          <w:spacing w:val="-11"/>
          <w:sz w:val="22"/>
          <w:szCs w:val="22"/>
          <w:lang w:val="en-US"/>
        </w:rPr>
        <w:t xml:space="preserve"> </w:t>
      </w:r>
      <w:r w:rsidRPr="00E7620D">
        <w:rPr>
          <w:rFonts w:cs="Arial"/>
          <w:sz w:val="22"/>
          <w:szCs w:val="22"/>
          <w:lang w:val="en-US"/>
        </w:rPr>
        <w:t>Growth</w:t>
      </w:r>
      <w:r w:rsidRPr="00E7620D">
        <w:rPr>
          <w:rFonts w:cs="Arial"/>
          <w:spacing w:val="-12"/>
          <w:sz w:val="22"/>
          <w:szCs w:val="22"/>
          <w:lang w:val="en-US"/>
        </w:rPr>
        <w:t xml:space="preserve"> </w:t>
      </w:r>
      <w:r w:rsidRPr="00E7620D">
        <w:rPr>
          <w:rFonts w:cs="Arial"/>
          <w:sz w:val="22"/>
          <w:szCs w:val="22"/>
          <w:lang w:val="en-US"/>
        </w:rPr>
        <w:t>and</w:t>
      </w:r>
      <w:r w:rsidRPr="00E7620D">
        <w:rPr>
          <w:rFonts w:cs="Arial"/>
          <w:spacing w:val="-15"/>
          <w:sz w:val="22"/>
          <w:szCs w:val="22"/>
          <w:lang w:val="en-US"/>
        </w:rPr>
        <w:t xml:space="preserve"> </w:t>
      </w:r>
      <w:r w:rsidRPr="00E7620D">
        <w:rPr>
          <w:rFonts w:cs="Arial"/>
          <w:sz w:val="22"/>
          <w:szCs w:val="22"/>
          <w:lang w:val="en-US"/>
        </w:rPr>
        <w:t>Poverty</w:t>
      </w:r>
      <w:r w:rsidRPr="00E7620D">
        <w:rPr>
          <w:rFonts w:cs="Arial"/>
          <w:spacing w:val="-15"/>
          <w:sz w:val="22"/>
          <w:szCs w:val="22"/>
          <w:lang w:val="en-US"/>
        </w:rPr>
        <w:t xml:space="preserve"> </w:t>
      </w:r>
      <w:r w:rsidRPr="00E7620D">
        <w:rPr>
          <w:rFonts w:cs="Arial"/>
          <w:sz w:val="22"/>
          <w:szCs w:val="22"/>
          <w:lang w:val="en-US"/>
        </w:rPr>
        <w:t>Reduction</w:t>
      </w:r>
      <w:r w:rsidRPr="00E7620D">
        <w:rPr>
          <w:rFonts w:cs="Arial"/>
          <w:spacing w:val="-12"/>
          <w:sz w:val="22"/>
          <w:szCs w:val="22"/>
          <w:lang w:val="en-US"/>
        </w:rPr>
        <w:t xml:space="preserve"> </w:t>
      </w:r>
      <w:r w:rsidRPr="00E7620D">
        <w:rPr>
          <w:rFonts w:cs="Arial"/>
          <w:sz w:val="22"/>
          <w:szCs w:val="22"/>
          <w:lang w:val="en-US"/>
        </w:rPr>
        <w:t>Strategy</w:t>
      </w:r>
      <w:r w:rsidRPr="00E7620D">
        <w:rPr>
          <w:rFonts w:cs="Arial"/>
          <w:spacing w:val="-15"/>
          <w:sz w:val="22"/>
          <w:szCs w:val="22"/>
          <w:lang w:val="en-US"/>
        </w:rPr>
        <w:t xml:space="preserve"> </w:t>
      </w:r>
      <w:r w:rsidRPr="00E7620D">
        <w:rPr>
          <w:rFonts w:cs="Arial"/>
          <w:sz w:val="22"/>
          <w:szCs w:val="22"/>
          <w:lang w:val="en-US"/>
        </w:rPr>
        <w:t>Paper</w:t>
      </w:r>
      <w:r w:rsidRPr="00E7620D">
        <w:rPr>
          <w:rFonts w:cs="Arial"/>
          <w:spacing w:val="-10"/>
          <w:sz w:val="22"/>
          <w:szCs w:val="22"/>
          <w:lang w:val="en-US"/>
        </w:rPr>
        <w:t xml:space="preserve"> </w:t>
      </w:r>
      <w:r w:rsidRPr="00E7620D">
        <w:rPr>
          <w:rFonts w:cs="Arial"/>
          <w:sz w:val="22"/>
          <w:szCs w:val="22"/>
          <w:lang w:val="en-US"/>
        </w:rPr>
        <w:t>-</w:t>
      </w:r>
      <w:r w:rsidRPr="00E7620D">
        <w:rPr>
          <w:rFonts w:cs="Arial"/>
          <w:spacing w:val="-14"/>
          <w:sz w:val="22"/>
          <w:szCs w:val="22"/>
          <w:lang w:val="en-US"/>
        </w:rPr>
        <w:t xml:space="preserve"> </w:t>
      </w:r>
      <w:r w:rsidRPr="00E7620D">
        <w:rPr>
          <w:rFonts w:cs="Arial"/>
          <w:sz w:val="22"/>
          <w:szCs w:val="22"/>
          <w:lang w:val="en-US"/>
        </w:rPr>
        <w:t>GPRSP, National Strategy for Combating Gender-Based Violence - SNVBG, etc.).) as well as relevant texts</w:t>
      </w:r>
      <w:r w:rsidRPr="00E7620D">
        <w:rPr>
          <w:rFonts w:cs="Arial"/>
          <w:spacing w:val="-13"/>
          <w:sz w:val="22"/>
          <w:szCs w:val="22"/>
          <w:lang w:val="en-US"/>
        </w:rPr>
        <w:t xml:space="preserve"> </w:t>
      </w:r>
      <w:r w:rsidRPr="00E7620D">
        <w:rPr>
          <w:rFonts w:cs="Arial"/>
          <w:sz w:val="22"/>
          <w:szCs w:val="22"/>
          <w:lang w:val="en-US"/>
        </w:rPr>
        <w:t>at</w:t>
      </w:r>
      <w:r w:rsidRPr="00E7620D">
        <w:rPr>
          <w:rFonts w:cs="Arial"/>
          <w:spacing w:val="-14"/>
          <w:sz w:val="22"/>
          <w:szCs w:val="22"/>
          <w:lang w:val="en-US"/>
        </w:rPr>
        <w:t xml:space="preserve"> </w:t>
      </w:r>
      <w:r w:rsidRPr="00E7620D">
        <w:rPr>
          <w:rFonts w:cs="Arial"/>
          <w:sz w:val="22"/>
          <w:szCs w:val="22"/>
          <w:lang w:val="en-US"/>
        </w:rPr>
        <w:t>the</w:t>
      </w:r>
      <w:r w:rsidRPr="00E7620D">
        <w:rPr>
          <w:rFonts w:cs="Arial"/>
          <w:spacing w:val="-15"/>
          <w:sz w:val="22"/>
          <w:szCs w:val="22"/>
          <w:lang w:val="en-US"/>
        </w:rPr>
        <w:t xml:space="preserve"> </w:t>
      </w:r>
      <w:r w:rsidRPr="00E7620D">
        <w:rPr>
          <w:rFonts w:cs="Arial"/>
          <w:sz w:val="22"/>
          <w:szCs w:val="22"/>
          <w:lang w:val="en-US"/>
        </w:rPr>
        <w:t>legislative</w:t>
      </w:r>
      <w:r w:rsidRPr="00E7620D">
        <w:rPr>
          <w:rFonts w:cs="Arial"/>
          <w:spacing w:val="-13"/>
          <w:sz w:val="22"/>
          <w:szCs w:val="22"/>
          <w:lang w:val="en-US"/>
        </w:rPr>
        <w:t xml:space="preserve"> </w:t>
      </w:r>
      <w:r w:rsidRPr="00E7620D">
        <w:rPr>
          <w:rFonts w:cs="Arial"/>
          <w:sz w:val="22"/>
          <w:szCs w:val="22"/>
          <w:lang w:val="en-US"/>
        </w:rPr>
        <w:t>and</w:t>
      </w:r>
      <w:r w:rsidRPr="00E7620D">
        <w:rPr>
          <w:rFonts w:cs="Arial"/>
          <w:spacing w:val="-12"/>
          <w:sz w:val="22"/>
          <w:szCs w:val="22"/>
          <w:lang w:val="en-US"/>
        </w:rPr>
        <w:t xml:space="preserve"> </w:t>
      </w:r>
      <w:r w:rsidRPr="00E7620D">
        <w:rPr>
          <w:rFonts w:cs="Arial"/>
          <w:sz w:val="22"/>
          <w:szCs w:val="22"/>
          <w:lang w:val="en-US"/>
        </w:rPr>
        <w:t>regulatory</w:t>
      </w:r>
      <w:r w:rsidRPr="00E7620D">
        <w:rPr>
          <w:rFonts w:cs="Arial"/>
          <w:spacing w:val="-15"/>
          <w:sz w:val="22"/>
          <w:szCs w:val="22"/>
          <w:lang w:val="en-US"/>
        </w:rPr>
        <w:t xml:space="preserve"> </w:t>
      </w:r>
      <w:r w:rsidRPr="00E7620D">
        <w:rPr>
          <w:rFonts w:cs="Arial"/>
          <w:sz w:val="22"/>
          <w:szCs w:val="22"/>
          <w:lang w:val="en-US"/>
        </w:rPr>
        <w:t>level</w:t>
      </w:r>
      <w:r w:rsidRPr="00E7620D">
        <w:rPr>
          <w:rFonts w:cs="Arial"/>
          <w:spacing w:val="-12"/>
          <w:sz w:val="22"/>
          <w:szCs w:val="22"/>
          <w:lang w:val="en-US"/>
        </w:rPr>
        <w:t xml:space="preserve"> </w:t>
      </w:r>
      <w:r w:rsidRPr="00E7620D">
        <w:rPr>
          <w:rFonts w:cs="Arial"/>
          <w:sz w:val="22"/>
          <w:szCs w:val="22"/>
          <w:lang w:val="en-US"/>
        </w:rPr>
        <w:t>(Law</w:t>
      </w:r>
      <w:r w:rsidRPr="00E7620D">
        <w:rPr>
          <w:rFonts w:cs="Arial"/>
          <w:spacing w:val="-16"/>
          <w:sz w:val="22"/>
          <w:szCs w:val="22"/>
          <w:lang w:val="en-US"/>
        </w:rPr>
        <w:t xml:space="preserve"> </w:t>
      </w:r>
      <w:r w:rsidRPr="00E7620D">
        <w:rPr>
          <w:rFonts w:cs="Arial"/>
          <w:sz w:val="22"/>
          <w:szCs w:val="22"/>
          <w:lang w:val="en-US"/>
        </w:rPr>
        <w:t>No.</w:t>
      </w:r>
      <w:r w:rsidRPr="00E7620D">
        <w:rPr>
          <w:rFonts w:cs="Arial"/>
          <w:spacing w:val="-12"/>
          <w:sz w:val="22"/>
          <w:szCs w:val="22"/>
          <w:lang w:val="en-US"/>
        </w:rPr>
        <w:t xml:space="preserve"> </w:t>
      </w:r>
      <w:r w:rsidRPr="00E7620D">
        <w:rPr>
          <w:rFonts w:cs="Arial"/>
          <w:sz w:val="22"/>
          <w:szCs w:val="22"/>
          <w:lang w:val="en-US"/>
        </w:rPr>
        <w:t>11/009</w:t>
      </w:r>
      <w:r w:rsidRPr="00E7620D">
        <w:rPr>
          <w:rFonts w:cs="Arial"/>
          <w:spacing w:val="-15"/>
          <w:sz w:val="22"/>
          <w:szCs w:val="22"/>
          <w:lang w:val="en-US"/>
        </w:rPr>
        <w:t xml:space="preserve"> </w:t>
      </w:r>
      <w:r w:rsidRPr="00E7620D">
        <w:rPr>
          <w:rFonts w:cs="Arial"/>
          <w:sz w:val="22"/>
          <w:szCs w:val="22"/>
          <w:lang w:val="en-US"/>
        </w:rPr>
        <w:t>of</w:t>
      </w:r>
      <w:r w:rsidRPr="00E7620D">
        <w:rPr>
          <w:rFonts w:cs="Arial"/>
          <w:spacing w:val="-12"/>
          <w:sz w:val="22"/>
          <w:szCs w:val="22"/>
          <w:lang w:val="en-US"/>
        </w:rPr>
        <w:t xml:space="preserve"> </w:t>
      </w:r>
      <w:r w:rsidRPr="00E7620D">
        <w:rPr>
          <w:rFonts w:cs="Arial"/>
          <w:sz w:val="22"/>
          <w:szCs w:val="22"/>
          <w:lang w:val="en-US"/>
        </w:rPr>
        <w:t>July</w:t>
      </w:r>
      <w:r w:rsidRPr="00E7620D">
        <w:rPr>
          <w:rFonts w:cs="Arial"/>
          <w:spacing w:val="-15"/>
          <w:sz w:val="22"/>
          <w:szCs w:val="22"/>
          <w:lang w:val="en-US"/>
        </w:rPr>
        <w:t xml:space="preserve"> </w:t>
      </w:r>
      <w:r w:rsidRPr="00E7620D">
        <w:rPr>
          <w:rFonts w:cs="Arial"/>
          <w:sz w:val="22"/>
          <w:szCs w:val="22"/>
          <w:lang w:val="en-US"/>
        </w:rPr>
        <w:t>9,</w:t>
      </w:r>
      <w:r w:rsidRPr="00E7620D">
        <w:rPr>
          <w:rFonts w:cs="Arial"/>
          <w:spacing w:val="-14"/>
          <w:sz w:val="22"/>
          <w:szCs w:val="22"/>
          <w:lang w:val="en-US"/>
        </w:rPr>
        <w:t xml:space="preserve"> </w:t>
      </w:r>
      <w:r w:rsidRPr="00E7620D">
        <w:rPr>
          <w:rFonts w:cs="Arial"/>
          <w:sz w:val="22"/>
          <w:szCs w:val="22"/>
          <w:lang w:val="en-US"/>
        </w:rPr>
        <w:t>2011</w:t>
      </w:r>
      <w:r w:rsidRPr="00E7620D">
        <w:rPr>
          <w:rFonts w:cs="Arial"/>
          <w:spacing w:val="-15"/>
          <w:sz w:val="22"/>
          <w:szCs w:val="22"/>
          <w:lang w:val="en-US"/>
        </w:rPr>
        <w:t xml:space="preserve"> </w:t>
      </w:r>
      <w:r w:rsidRPr="00E7620D">
        <w:rPr>
          <w:rFonts w:cs="Arial"/>
          <w:sz w:val="22"/>
          <w:szCs w:val="22"/>
          <w:lang w:val="en-US"/>
        </w:rPr>
        <w:t>on</w:t>
      </w:r>
      <w:r w:rsidRPr="00E7620D">
        <w:rPr>
          <w:rFonts w:cs="Arial"/>
          <w:spacing w:val="-14"/>
          <w:sz w:val="22"/>
          <w:szCs w:val="22"/>
          <w:lang w:val="en-US"/>
        </w:rPr>
        <w:t xml:space="preserve"> </w:t>
      </w:r>
      <w:r w:rsidRPr="00E7620D">
        <w:rPr>
          <w:rFonts w:cs="Arial"/>
          <w:sz w:val="22"/>
          <w:szCs w:val="22"/>
          <w:lang w:val="en-US"/>
        </w:rPr>
        <w:t>the</w:t>
      </w:r>
      <w:r w:rsidRPr="00E7620D">
        <w:rPr>
          <w:rFonts w:cs="Arial"/>
          <w:spacing w:val="-15"/>
          <w:sz w:val="22"/>
          <w:szCs w:val="22"/>
          <w:lang w:val="en-US"/>
        </w:rPr>
        <w:t xml:space="preserve"> </w:t>
      </w:r>
      <w:r w:rsidRPr="00E7620D">
        <w:rPr>
          <w:rFonts w:cs="Arial"/>
          <w:sz w:val="22"/>
          <w:szCs w:val="22"/>
          <w:lang w:val="en-US"/>
        </w:rPr>
        <w:t xml:space="preserve">Fundamental Principles of Environmental Protection; Law No. 11/022 of December 24, 2011 on the Fundamental Principles of Agriculture; Decree No. 14/019 of August 2, 2014 establishing the </w:t>
      </w:r>
      <w:r w:rsidRPr="00E7620D">
        <w:rPr>
          <w:rFonts w:cs="Arial"/>
          <w:sz w:val="22"/>
          <w:szCs w:val="22"/>
          <w:lang w:val="en-US"/>
        </w:rPr>
        <w:lastRenderedPageBreak/>
        <w:t>operating rules of procedural mechanisms for environmental protection; Labor Code; Family Code, etc.).</w:t>
      </w:r>
    </w:p>
    <w:p w14:paraId="37B2A72F" w14:textId="77777777" w:rsidR="001977A4" w:rsidRPr="00E7620D" w:rsidRDefault="001977A4" w:rsidP="001977A4">
      <w:pPr>
        <w:pStyle w:val="Corpsdetexte"/>
        <w:spacing w:line="276" w:lineRule="auto"/>
        <w:rPr>
          <w:rFonts w:cs="Arial"/>
          <w:sz w:val="22"/>
          <w:szCs w:val="22"/>
          <w:lang w:val="en-US"/>
        </w:rPr>
      </w:pPr>
    </w:p>
    <w:p w14:paraId="5BC48D84"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At</w:t>
      </w:r>
      <w:r w:rsidRPr="00E7620D">
        <w:rPr>
          <w:rFonts w:cs="Arial"/>
          <w:spacing w:val="-15"/>
          <w:sz w:val="22"/>
          <w:szCs w:val="22"/>
          <w:lang w:val="en-US"/>
        </w:rPr>
        <w:t xml:space="preserve"> </w:t>
      </w:r>
      <w:r w:rsidRPr="00E7620D">
        <w:rPr>
          <w:rFonts w:cs="Arial"/>
          <w:sz w:val="22"/>
          <w:szCs w:val="22"/>
          <w:lang w:val="en-US"/>
        </w:rPr>
        <w:t>the</w:t>
      </w:r>
      <w:r w:rsidRPr="00E7620D">
        <w:rPr>
          <w:rFonts w:cs="Arial"/>
          <w:spacing w:val="-15"/>
          <w:sz w:val="22"/>
          <w:szCs w:val="22"/>
          <w:lang w:val="en-US"/>
        </w:rPr>
        <w:t xml:space="preserve"> </w:t>
      </w:r>
      <w:r w:rsidRPr="00E7620D">
        <w:rPr>
          <w:rFonts w:cs="Arial"/>
          <w:sz w:val="22"/>
          <w:szCs w:val="22"/>
          <w:lang w:val="en-US"/>
        </w:rPr>
        <w:t>institutional</w:t>
      </w:r>
      <w:r w:rsidRPr="00E7620D">
        <w:rPr>
          <w:rFonts w:cs="Arial"/>
          <w:spacing w:val="-16"/>
          <w:sz w:val="22"/>
          <w:szCs w:val="22"/>
          <w:lang w:val="en-US"/>
        </w:rPr>
        <w:t xml:space="preserve"> </w:t>
      </w:r>
      <w:r w:rsidRPr="00E7620D">
        <w:rPr>
          <w:rFonts w:cs="Arial"/>
          <w:sz w:val="22"/>
          <w:szCs w:val="22"/>
          <w:lang w:val="en-US"/>
        </w:rPr>
        <w:t>level,</w:t>
      </w:r>
      <w:r w:rsidRPr="00E7620D">
        <w:rPr>
          <w:rFonts w:cs="Arial"/>
          <w:spacing w:val="-14"/>
          <w:sz w:val="22"/>
          <w:szCs w:val="22"/>
          <w:lang w:val="en-US"/>
        </w:rPr>
        <w:t xml:space="preserve"> </w:t>
      </w:r>
      <w:r w:rsidRPr="00E7620D">
        <w:rPr>
          <w:rFonts w:cs="Arial"/>
          <w:sz w:val="22"/>
          <w:szCs w:val="22"/>
          <w:lang w:val="en-US"/>
        </w:rPr>
        <w:t>particularly</w:t>
      </w:r>
      <w:r w:rsidRPr="00E7620D">
        <w:rPr>
          <w:rFonts w:cs="Arial"/>
          <w:spacing w:val="-18"/>
          <w:sz w:val="22"/>
          <w:szCs w:val="22"/>
          <w:lang w:val="en-US"/>
        </w:rPr>
        <w:t xml:space="preserve"> </w:t>
      </w:r>
      <w:r w:rsidRPr="00E7620D">
        <w:rPr>
          <w:rFonts w:cs="Arial"/>
          <w:sz w:val="22"/>
          <w:szCs w:val="22"/>
          <w:lang w:val="en-US"/>
        </w:rPr>
        <w:t>in</w:t>
      </w:r>
      <w:r w:rsidRPr="00E7620D">
        <w:rPr>
          <w:rFonts w:cs="Arial"/>
          <w:spacing w:val="-15"/>
          <w:sz w:val="22"/>
          <w:szCs w:val="22"/>
          <w:lang w:val="en-US"/>
        </w:rPr>
        <w:t xml:space="preserve"> </w:t>
      </w:r>
      <w:r w:rsidRPr="00E7620D">
        <w:rPr>
          <w:rFonts w:cs="Arial"/>
          <w:sz w:val="22"/>
          <w:szCs w:val="22"/>
          <w:lang w:val="en-US"/>
        </w:rPr>
        <w:t>the</w:t>
      </w:r>
      <w:r w:rsidRPr="00E7620D">
        <w:rPr>
          <w:rFonts w:cs="Arial"/>
          <w:spacing w:val="-15"/>
          <w:sz w:val="22"/>
          <w:szCs w:val="22"/>
          <w:lang w:val="en-US"/>
        </w:rPr>
        <w:t xml:space="preserve"> </w:t>
      </w:r>
      <w:r w:rsidRPr="00E7620D">
        <w:rPr>
          <w:rFonts w:cs="Arial"/>
          <w:sz w:val="22"/>
          <w:szCs w:val="22"/>
          <w:lang w:val="en-US"/>
        </w:rPr>
        <w:t>Provinces</w:t>
      </w:r>
      <w:r w:rsidRPr="00E7620D">
        <w:rPr>
          <w:rFonts w:cs="Arial"/>
          <w:spacing w:val="-16"/>
          <w:sz w:val="22"/>
          <w:szCs w:val="22"/>
          <w:lang w:val="en-US"/>
        </w:rPr>
        <w:t xml:space="preserve"> </w:t>
      </w:r>
      <w:r w:rsidRPr="00E7620D">
        <w:rPr>
          <w:rFonts w:cs="Arial"/>
          <w:sz w:val="22"/>
          <w:szCs w:val="22"/>
          <w:lang w:val="en-US"/>
        </w:rPr>
        <w:t>and</w:t>
      </w:r>
      <w:r w:rsidRPr="00E7620D">
        <w:rPr>
          <w:rFonts w:cs="Arial"/>
          <w:spacing w:val="-15"/>
          <w:sz w:val="22"/>
          <w:szCs w:val="22"/>
          <w:lang w:val="en-US"/>
        </w:rPr>
        <w:t xml:space="preserve"> </w:t>
      </w:r>
      <w:r w:rsidRPr="00E7620D">
        <w:rPr>
          <w:rFonts w:cs="Arial"/>
          <w:sz w:val="22"/>
          <w:szCs w:val="22"/>
          <w:lang w:val="en-US"/>
        </w:rPr>
        <w:t>Territories</w:t>
      </w:r>
      <w:r w:rsidRPr="00E7620D">
        <w:rPr>
          <w:rFonts w:cs="Arial"/>
          <w:spacing w:val="-15"/>
          <w:sz w:val="22"/>
          <w:szCs w:val="22"/>
          <w:lang w:val="en-US"/>
        </w:rPr>
        <w:t xml:space="preserve"> </w:t>
      </w:r>
      <w:r w:rsidRPr="00E7620D">
        <w:rPr>
          <w:rFonts w:cs="Arial"/>
          <w:sz w:val="22"/>
          <w:szCs w:val="22"/>
          <w:lang w:val="en-US"/>
        </w:rPr>
        <w:t>and</w:t>
      </w:r>
      <w:r w:rsidRPr="00E7620D">
        <w:rPr>
          <w:rFonts w:cs="Arial"/>
          <w:spacing w:val="-15"/>
          <w:sz w:val="22"/>
          <w:szCs w:val="22"/>
          <w:lang w:val="en-US"/>
        </w:rPr>
        <w:t xml:space="preserve"> </w:t>
      </w:r>
      <w:r w:rsidRPr="00E7620D">
        <w:rPr>
          <w:rFonts w:cs="Arial"/>
          <w:sz w:val="22"/>
          <w:szCs w:val="22"/>
          <w:lang w:val="en-US"/>
        </w:rPr>
        <w:t>the</w:t>
      </w:r>
      <w:r w:rsidRPr="00E7620D">
        <w:rPr>
          <w:rFonts w:cs="Arial"/>
          <w:spacing w:val="-20"/>
          <w:sz w:val="22"/>
          <w:szCs w:val="22"/>
          <w:lang w:val="en-US"/>
        </w:rPr>
        <w:t xml:space="preserve"> </w:t>
      </w:r>
      <w:r w:rsidRPr="00E7620D">
        <w:rPr>
          <w:rFonts w:cs="Arial"/>
          <w:sz w:val="22"/>
          <w:szCs w:val="22"/>
          <w:lang w:val="en-US"/>
        </w:rPr>
        <w:t>Technical</w:t>
      </w:r>
      <w:r w:rsidRPr="00E7620D">
        <w:rPr>
          <w:rFonts w:cs="Arial"/>
          <w:spacing w:val="-16"/>
          <w:sz w:val="22"/>
          <w:szCs w:val="22"/>
          <w:lang w:val="en-US"/>
        </w:rPr>
        <w:t xml:space="preserve"> </w:t>
      </w:r>
      <w:r w:rsidRPr="00E7620D">
        <w:rPr>
          <w:rFonts w:cs="Arial"/>
          <w:sz w:val="22"/>
          <w:szCs w:val="22"/>
          <w:lang w:val="en-US"/>
        </w:rPr>
        <w:t>Services of Agriculture, Fisheries and Livestock, shortcomings are noted in terms of integration of environmental aspects in the preparation, implementation and monitoring of major development projects, but also in terms of capacity and coordination. This context should therefore be strengthened within the framework of the</w:t>
      </w:r>
      <w:r w:rsidRPr="00E7620D">
        <w:rPr>
          <w:rFonts w:cs="Arial"/>
          <w:spacing w:val="-7"/>
          <w:sz w:val="22"/>
          <w:szCs w:val="22"/>
          <w:lang w:val="en-US"/>
        </w:rPr>
        <w:t xml:space="preserve"> </w:t>
      </w:r>
      <w:r w:rsidRPr="00E7620D">
        <w:rPr>
          <w:rFonts w:cs="Arial"/>
          <w:sz w:val="22"/>
          <w:szCs w:val="22"/>
          <w:lang w:val="en-US"/>
        </w:rPr>
        <w:t>PNDA.</w:t>
      </w:r>
    </w:p>
    <w:p w14:paraId="1E75D9D2" w14:textId="77777777" w:rsidR="001977A4" w:rsidRPr="00E7620D" w:rsidRDefault="001977A4" w:rsidP="001977A4">
      <w:pPr>
        <w:pStyle w:val="Corpsdetexte"/>
        <w:spacing w:line="276" w:lineRule="auto"/>
        <w:rPr>
          <w:rFonts w:cs="Arial"/>
          <w:sz w:val="22"/>
          <w:szCs w:val="22"/>
          <w:lang w:val="en-US"/>
        </w:rPr>
      </w:pPr>
    </w:p>
    <w:p w14:paraId="2A32111A" w14:textId="393B495D"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 xml:space="preserve">The </w:t>
      </w:r>
      <w:r w:rsidR="00E7620D">
        <w:rPr>
          <w:rFonts w:cs="Arial"/>
          <w:sz w:val="22"/>
          <w:szCs w:val="22"/>
          <w:lang w:val="en-US"/>
        </w:rPr>
        <w:t>PNDA</w:t>
      </w:r>
      <w:r w:rsidRPr="00E7620D">
        <w:rPr>
          <w:rFonts w:cs="Arial"/>
          <w:sz w:val="22"/>
          <w:szCs w:val="22"/>
          <w:lang w:val="en-US"/>
        </w:rPr>
        <w:t xml:space="preserve"> is subject to the requirements of the World Bank's Environmental and Social Framework, which came into force on October 1, 2018. Thus, the assessment of the environmental and social risks and impacts of the </w:t>
      </w:r>
      <w:r w:rsidR="00E7620D">
        <w:rPr>
          <w:rFonts w:cs="Arial"/>
          <w:sz w:val="22"/>
          <w:szCs w:val="22"/>
          <w:lang w:val="en-US"/>
        </w:rPr>
        <w:t>PNDA</w:t>
      </w:r>
      <w:r w:rsidR="00E7620D" w:rsidRPr="00E7620D">
        <w:rPr>
          <w:rFonts w:cs="Arial"/>
          <w:sz w:val="22"/>
          <w:szCs w:val="22"/>
          <w:lang w:val="en-US"/>
        </w:rPr>
        <w:t xml:space="preserve"> </w:t>
      </w:r>
      <w:r w:rsidRPr="00E7620D">
        <w:rPr>
          <w:rFonts w:cs="Arial"/>
          <w:sz w:val="22"/>
          <w:szCs w:val="22"/>
          <w:lang w:val="en-US"/>
        </w:rPr>
        <w:t xml:space="preserve">has allowed it to be classified as a Project with environmental risk considered substantial in the sense of the World Bank's CES classification, as well as social risk, which is considered </w:t>
      </w:r>
      <w:r w:rsidR="004513E3">
        <w:rPr>
          <w:rFonts w:cs="Arial"/>
          <w:sz w:val="22"/>
          <w:szCs w:val="22"/>
          <w:lang w:val="en-US"/>
        </w:rPr>
        <w:t>high</w:t>
      </w:r>
      <w:r w:rsidRPr="00E7620D">
        <w:rPr>
          <w:rFonts w:cs="Arial"/>
          <w:sz w:val="22"/>
          <w:szCs w:val="22"/>
          <w:lang w:val="en-US"/>
        </w:rPr>
        <w:t xml:space="preserve">, including a risk in relation to GBV provisionally classified at a </w:t>
      </w:r>
      <w:r w:rsidR="004513E3">
        <w:rPr>
          <w:rFonts w:cs="Arial"/>
          <w:sz w:val="22"/>
          <w:szCs w:val="22"/>
          <w:lang w:val="en-US"/>
        </w:rPr>
        <w:t>substantial</w:t>
      </w:r>
      <w:r w:rsidR="004513E3" w:rsidRPr="00E7620D">
        <w:rPr>
          <w:rFonts w:cs="Arial"/>
          <w:sz w:val="22"/>
          <w:szCs w:val="22"/>
          <w:lang w:val="en-US"/>
        </w:rPr>
        <w:t xml:space="preserve"> </w:t>
      </w:r>
      <w:r w:rsidRPr="00E7620D">
        <w:rPr>
          <w:rFonts w:cs="Arial"/>
          <w:sz w:val="22"/>
          <w:szCs w:val="22"/>
          <w:lang w:val="en-US"/>
        </w:rPr>
        <w:t>level. All ten Environmental and Social Standards (ESS) were considered relevant for this project. They are:</w:t>
      </w:r>
    </w:p>
    <w:p w14:paraId="5DC6D4AE" w14:textId="77777777" w:rsidR="00E7620D" w:rsidRDefault="00E7620D" w:rsidP="001977A4">
      <w:pPr>
        <w:pStyle w:val="Corpsdetexte"/>
        <w:spacing w:line="276" w:lineRule="auto"/>
        <w:rPr>
          <w:rFonts w:cs="Arial"/>
          <w:sz w:val="22"/>
          <w:szCs w:val="22"/>
          <w:lang w:val="en-US"/>
        </w:rPr>
      </w:pPr>
    </w:p>
    <w:p w14:paraId="2FDA06EE" w14:textId="77777777" w:rsidR="001977A4" w:rsidRPr="00E7620D" w:rsidRDefault="006551F9" w:rsidP="001977A4">
      <w:pPr>
        <w:pStyle w:val="Corpsdetexte"/>
        <w:spacing w:line="276" w:lineRule="auto"/>
        <w:rPr>
          <w:rFonts w:cs="Arial"/>
          <w:sz w:val="22"/>
          <w:szCs w:val="22"/>
          <w:lang w:val="en-US"/>
        </w:rPr>
      </w:pPr>
      <w:r>
        <w:rPr>
          <w:rFonts w:cs="Arial"/>
          <w:sz w:val="22"/>
          <w:szCs w:val="22"/>
          <w:lang w:val="en-US"/>
        </w:rPr>
        <w:t>ESS</w:t>
      </w:r>
      <w:r w:rsidRPr="00E7620D">
        <w:rPr>
          <w:rFonts w:cs="Arial"/>
          <w:spacing w:val="-10"/>
          <w:sz w:val="22"/>
          <w:szCs w:val="22"/>
          <w:lang w:val="en-US"/>
        </w:rPr>
        <w:t xml:space="preserve"> </w:t>
      </w:r>
      <w:r w:rsidR="001977A4" w:rsidRPr="00E7620D">
        <w:rPr>
          <w:rFonts w:cs="Arial"/>
          <w:sz w:val="22"/>
          <w:szCs w:val="22"/>
          <w:lang w:val="en-US"/>
        </w:rPr>
        <w:t>No.</w:t>
      </w:r>
      <w:r w:rsidR="001977A4" w:rsidRPr="00E7620D">
        <w:rPr>
          <w:rFonts w:cs="Arial"/>
          <w:spacing w:val="-7"/>
          <w:sz w:val="22"/>
          <w:szCs w:val="22"/>
          <w:lang w:val="en-US"/>
        </w:rPr>
        <w:t xml:space="preserve"> </w:t>
      </w:r>
      <w:r w:rsidR="001977A4" w:rsidRPr="00E7620D">
        <w:rPr>
          <w:rFonts w:cs="Arial"/>
          <w:sz w:val="22"/>
          <w:szCs w:val="22"/>
          <w:lang w:val="en-US"/>
        </w:rPr>
        <w:t>1</w:t>
      </w:r>
      <w:r w:rsidR="001977A4" w:rsidRPr="00E7620D">
        <w:rPr>
          <w:rFonts w:cs="Arial"/>
          <w:spacing w:val="-8"/>
          <w:sz w:val="22"/>
          <w:szCs w:val="22"/>
          <w:lang w:val="en-US"/>
        </w:rPr>
        <w:t xml:space="preserve"> </w:t>
      </w:r>
      <w:r w:rsidR="001977A4" w:rsidRPr="00E7620D">
        <w:rPr>
          <w:rFonts w:cs="Arial"/>
          <w:sz w:val="22"/>
          <w:szCs w:val="22"/>
          <w:lang w:val="en-US"/>
        </w:rPr>
        <w:t>-</w:t>
      </w:r>
      <w:r w:rsidR="001977A4" w:rsidRPr="00E7620D">
        <w:rPr>
          <w:rFonts w:cs="Arial"/>
          <w:spacing w:val="-8"/>
          <w:sz w:val="22"/>
          <w:szCs w:val="22"/>
          <w:lang w:val="en-US"/>
        </w:rPr>
        <w:t xml:space="preserve"> </w:t>
      </w:r>
      <w:r w:rsidR="001977A4" w:rsidRPr="00E7620D">
        <w:rPr>
          <w:rFonts w:cs="Arial"/>
          <w:sz w:val="22"/>
          <w:szCs w:val="22"/>
          <w:lang w:val="en-US"/>
        </w:rPr>
        <w:t>Environmental</w:t>
      </w:r>
      <w:r w:rsidR="001977A4" w:rsidRPr="00E7620D">
        <w:rPr>
          <w:rFonts w:cs="Arial"/>
          <w:spacing w:val="-9"/>
          <w:sz w:val="22"/>
          <w:szCs w:val="22"/>
          <w:lang w:val="en-US"/>
        </w:rPr>
        <w:t xml:space="preserve"> </w:t>
      </w:r>
      <w:r w:rsidR="001977A4" w:rsidRPr="00E7620D">
        <w:rPr>
          <w:rFonts w:cs="Arial"/>
          <w:sz w:val="22"/>
          <w:szCs w:val="22"/>
          <w:lang w:val="en-US"/>
        </w:rPr>
        <w:t>and</w:t>
      </w:r>
      <w:r w:rsidR="001977A4" w:rsidRPr="00E7620D">
        <w:rPr>
          <w:rFonts w:cs="Arial"/>
          <w:spacing w:val="-8"/>
          <w:sz w:val="22"/>
          <w:szCs w:val="22"/>
          <w:lang w:val="en-US"/>
        </w:rPr>
        <w:t xml:space="preserve"> </w:t>
      </w:r>
      <w:r w:rsidR="001977A4" w:rsidRPr="00E7620D">
        <w:rPr>
          <w:rFonts w:cs="Arial"/>
          <w:sz w:val="22"/>
          <w:szCs w:val="22"/>
          <w:lang w:val="en-US"/>
        </w:rPr>
        <w:t>Social</w:t>
      </w:r>
      <w:r w:rsidR="001977A4" w:rsidRPr="00E7620D">
        <w:rPr>
          <w:rFonts w:cs="Arial"/>
          <w:spacing w:val="-10"/>
          <w:sz w:val="22"/>
          <w:szCs w:val="22"/>
          <w:lang w:val="en-US"/>
        </w:rPr>
        <w:t xml:space="preserve"> </w:t>
      </w:r>
      <w:r w:rsidR="001977A4" w:rsidRPr="00E7620D">
        <w:rPr>
          <w:rFonts w:cs="Arial"/>
          <w:sz w:val="22"/>
          <w:szCs w:val="22"/>
          <w:lang w:val="en-US"/>
        </w:rPr>
        <w:t>Assessment</w:t>
      </w:r>
      <w:r w:rsidR="001977A4" w:rsidRPr="00E7620D">
        <w:rPr>
          <w:rFonts w:cs="Arial"/>
          <w:spacing w:val="-7"/>
          <w:sz w:val="22"/>
          <w:szCs w:val="22"/>
          <w:lang w:val="en-US"/>
        </w:rPr>
        <w:t xml:space="preserve"> </w:t>
      </w:r>
      <w:r w:rsidR="001977A4" w:rsidRPr="00E7620D">
        <w:rPr>
          <w:rFonts w:cs="Arial"/>
          <w:sz w:val="22"/>
          <w:szCs w:val="22"/>
          <w:lang w:val="en-US"/>
        </w:rPr>
        <w:t>and</w:t>
      </w:r>
      <w:r w:rsidR="001977A4" w:rsidRPr="00E7620D">
        <w:rPr>
          <w:rFonts w:cs="Arial"/>
          <w:spacing w:val="-8"/>
          <w:sz w:val="22"/>
          <w:szCs w:val="22"/>
          <w:lang w:val="en-US"/>
        </w:rPr>
        <w:t xml:space="preserve"> </w:t>
      </w:r>
      <w:r w:rsidR="001977A4" w:rsidRPr="00E7620D">
        <w:rPr>
          <w:rFonts w:cs="Arial"/>
          <w:sz w:val="22"/>
          <w:szCs w:val="22"/>
          <w:lang w:val="en-US"/>
        </w:rPr>
        <w:t>Risk</w:t>
      </w:r>
      <w:r w:rsidR="001977A4" w:rsidRPr="00E7620D">
        <w:rPr>
          <w:rFonts w:cs="Arial"/>
          <w:spacing w:val="-6"/>
          <w:sz w:val="22"/>
          <w:szCs w:val="22"/>
          <w:lang w:val="en-US"/>
        </w:rPr>
        <w:t xml:space="preserve"> </w:t>
      </w:r>
      <w:r w:rsidR="001977A4" w:rsidRPr="00E7620D">
        <w:rPr>
          <w:rFonts w:cs="Arial"/>
          <w:sz w:val="22"/>
          <w:szCs w:val="22"/>
          <w:lang w:val="en-US"/>
        </w:rPr>
        <w:t>Management</w:t>
      </w:r>
      <w:r w:rsidR="001977A4" w:rsidRPr="00E7620D">
        <w:rPr>
          <w:rFonts w:cs="Arial"/>
          <w:spacing w:val="-9"/>
          <w:sz w:val="22"/>
          <w:szCs w:val="22"/>
          <w:lang w:val="en-US"/>
        </w:rPr>
        <w:t xml:space="preserve"> </w:t>
      </w:r>
      <w:r w:rsidR="001977A4" w:rsidRPr="00E7620D">
        <w:rPr>
          <w:rFonts w:cs="Arial"/>
          <w:sz w:val="22"/>
          <w:szCs w:val="22"/>
          <w:lang w:val="en-US"/>
        </w:rPr>
        <w:t>and</w:t>
      </w:r>
      <w:r w:rsidR="001977A4" w:rsidRPr="00E7620D">
        <w:rPr>
          <w:rFonts w:cs="Arial"/>
          <w:spacing w:val="-8"/>
          <w:sz w:val="22"/>
          <w:szCs w:val="22"/>
          <w:lang w:val="en-US"/>
        </w:rPr>
        <w:t xml:space="preserve"> </w:t>
      </w:r>
      <w:r w:rsidR="001977A4" w:rsidRPr="00E7620D">
        <w:rPr>
          <w:rFonts w:cs="Arial"/>
          <w:sz w:val="22"/>
          <w:szCs w:val="22"/>
          <w:lang w:val="en-US"/>
        </w:rPr>
        <w:t xml:space="preserve">Environmental and Social Impacts; </w:t>
      </w:r>
      <w:r>
        <w:rPr>
          <w:rFonts w:cs="Arial"/>
          <w:sz w:val="22"/>
          <w:szCs w:val="22"/>
          <w:lang w:val="en-US"/>
        </w:rPr>
        <w:t>ESS</w:t>
      </w:r>
      <w:r w:rsidRPr="00E7620D">
        <w:rPr>
          <w:rFonts w:cs="Arial"/>
          <w:sz w:val="22"/>
          <w:szCs w:val="22"/>
          <w:lang w:val="en-US"/>
        </w:rPr>
        <w:t xml:space="preserve"> </w:t>
      </w:r>
      <w:r w:rsidR="001977A4" w:rsidRPr="00E7620D">
        <w:rPr>
          <w:rFonts w:cs="Arial"/>
          <w:sz w:val="22"/>
          <w:szCs w:val="22"/>
          <w:lang w:val="en-US"/>
        </w:rPr>
        <w:t xml:space="preserve">No. 2 - Labor and Workers' Conditions; </w:t>
      </w:r>
      <w:r>
        <w:rPr>
          <w:rFonts w:cs="Arial"/>
          <w:sz w:val="22"/>
          <w:szCs w:val="22"/>
          <w:lang w:val="en-US"/>
        </w:rPr>
        <w:t>NES</w:t>
      </w:r>
      <w:r w:rsidR="001977A4" w:rsidRPr="00E7620D">
        <w:rPr>
          <w:rFonts w:cs="Arial"/>
          <w:sz w:val="22"/>
          <w:szCs w:val="22"/>
          <w:lang w:val="en-US"/>
        </w:rPr>
        <w:t xml:space="preserve"> No. 3 - Rational Use</w:t>
      </w:r>
      <w:r w:rsidR="001977A4" w:rsidRPr="00E7620D">
        <w:rPr>
          <w:rFonts w:cs="Arial"/>
          <w:spacing w:val="-43"/>
          <w:sz w:val="22"/>
          <w:szCs w:val="22"/>
          <w:lang w:val="en-US"/>
        </w:rPr>
        <w:t xml:space="preserve"> </w:t>
      </w:r>
      <w:r w:rsidR="001977A4" w:rsidRPr="00E7620D">
        <w:rPr>
          <w:rFonts w:cs="Arial"/>
          <w:sz w:val="22"/>
          <w:szCs w:val="22"/>
          <w:lang w:val="en-US"/>
        </w:rPr>
        <w:t>of Resources</w:t>
      </w:r>
      <w:r w:rsidR="001977A4" w:rsidRPr="00E7620D">
        <w:rPr>
          <w:rFonts w:cs="Arial"/>
          <w:spacing w:val="-4"/>
          <w:sz w:val="22"/>
          <w:szCs w:val="22"/>
          <w:lang w:val="en-US"/>
        </w:rPr>
        <w:t xml:space="preserve"> </w:t>
      </w:r>
      <w:r w:rsidR="001977A4" w:rsidRPr="00E7620D">
        <w:rPr>
          <w:rFonts w:cs="Arial"/>
          <w:sz w:val="22"/>
          <w:szCs w:val="22"/>
          <w:lang w:val="en-US"/>
        </w:rPr>
        <w:t>and</w:t>
      </w:r>
      <w:r w:rsidR="001977A4" w:rsidRPr="00E7620D">
        <w:rPr>
          <w:rFonts w:cs="Arial"/>
          <w:spacing w:val="-5"/>
          <w:sz w:val="22"/>
          <w:szCs w:val="22"/>
          <w:lang w:val="en-US"/>
        </w:rPr>
        <w:t xml:space="preserve"> </w:t>
      </w:r>
      <w:r w:rsidR="001977A4" w:rsidRPr="00E7620D">
        <w:rPr>
          <w:rFonts w:cs="Arial"/>
          <w:sz w:val="22"/>
          <w:szCs w:val="22"/>
          <w:lang w:val="en-US"/>
        </w:rPr>
        <w:t>Pollution</w:t>
      </w:r>
      <w:r w:rsidR="001977A4" w:rsidRPr="00E7620D">
        <w:rPr>
          <w:rFonts w:cs="Arial"/>
          <w:spacing w:val="-4"/>
          <w:sz w:val="22"/>
          <w:szCs w:val="22"/>
          <w:lang w:val="en-US"/>
        </w:rPr>
        <w:t xml:space="preserve"> </w:t>
      </w:r>
      <w:r w:rsidR="001977A4" w:rsidRPr="00E7620D">
        <w:rPr>
          <w:rFonts w:cs="Arial"/>
          <w:sz w:val="22"/>
          <w:szCs w:val="22"/>
          <w:lang w:val="en-US"/>
        </w:rPr>
        <w:t>Prevention</w:t>
      </w:r>
      <w:r w:rsidR="001977A4" w:rsidRPr="00E7620D">
        <w:rPr>
          <w:rFonts w:cs="Arial"/>
          <w:spacing w:val="-3"/>
          <w:sz w:val="22"/>
          <w:szCs w:val="22"/>
          <w:lang w:val="en-US"/>
        </w:rPr>
        <w:t xml:space="preserve"> </w:t>
      </w:r>
      <w:r w:rsidR="001977A4" w:rsidRPr="00E7620D">
        <w:rPr>
          <w:rFonts w:cs="Arial"/>
          <w:sz w:val="22"/>
          <w:szCs w:val="22"/>
          <w:lang w:val="en-US"/>
        </w:rPr>
        <w:t>and</w:t>
      </w:r>
      <w:r w:rsidR="001977A4" w:rsidRPr="00E7620D">
        <w:rPr>
          <w:rFonts w:cs="Arial"/>
          <w:spacing w:val="-4"/>
          <w:sz w:val="22"/>
          <w:szCs w:val="22"/>
          <w:lang w:val="en-US"/>
        </w:rPr>
        <w:t xml:space="preserve"> </w:t>
      </w:r>
      <w:r w:rsidR="001977A4" w:rsidRPr="00E7620D">
        <w:rPr>
          <w:rFonts w:cs="Arial"/>
          <w:sz w:val="22"/>
          <w:szCs w:val="22"/>
          <w:lang w:val="en-US"/>
        </w:rPr>
        <w:t>Management;</w:t>
      </w:r>
      <w:r w:rsidR="001977A4" w:rsidRPr="00E7620D">
        <w:rPr>
          <w:rFonts w:cs="Arial"/>
          <w:spacing w:val="-2"/>
          <w:sz w:val="22"/>
          <w:szCs w:val="22"/>
          <w:lang w:val="en-US"/>
        </w:rPr>
        <w:t xml:space="preserve"> </w:t>
      </w:r>
      <w:r>
        <w:rPr>
          <w:rFonts w:cs="Arial"/>
          <w:sz w:val="22"/>
          <w:szCs w:val="22"/>
          <w:lang w:val="en-US"/>
        </w:rPr>
        <w:t>ESS</w:t>
      </w:r>
      <w:r w:rsidRPr="00E7620D">
        <w:rPr>
          <w:rFonts w:cs="Arial"/>
          <w:spacing w:val="-5"/>
          <w:sz w:val="22"/>
          <w:szCs w:val="22"/>
          <w:lang w:val="en-US"/>
        </w:rPr>
        <w:t xml:space="preserve"> </w:t>
      </w:r>
      <w:r w:rsidR="001977A4" w:rsidRPr="00E7620D">
        <w:rPr>
          <w:rFonts w:cs="Arial"/>
          <w:sz w:val="22"/>
          <w:szCs w:val="22"/>
          <w:lang w:val="en-US"/>
        </w:rPr>
        <w:t>No.</w:t>
      </w:r>
      <w:r w:rsidR="001977A4" w:rsidRPr="00E7620D">
        <w:rPr>
          <w:rFonts w:cs="Arial"/>
          <w:spacing w:val="-4"/>
          <w:sz w:val="22"/>
          <w:szCs w:val="22"/>
          <w:lang w:val="en-US"/>
        </w:rPr>
        <w:t xml:space="preserve"> </w:t>
      </w:r>
      <w:r w:rsidR="001977A4" w:rsidRPr="00E7620D">
        <w:rPr>
          <w:rFonts w:cs="Arial"/>
          <w:sz w:val="22"/>
          <w:szCs w:val="22"/>
          <w:lang w:val="en-US"/>
        </w:rPr>
        <w:t>4</w:t>
      </w:r>
      <w:r w:rsidR="001977A4" w:rsidRPr="00E7620D">
        <w:rPr>
          <w:rFonts w:cs="Arial"/>
          <w:spacing w:val="-6"/>
          <w:sz w:val="22"/>
          <w:szCs w:val="22"/>
          <w:lang w:val="en-US"/>
        </w:rPr>
        <w:t xml:space="preserve"> </w:t>
      </w:r>
      <w:r w:rsidR="001977A4" w:rsidRPr="00E7620D">
        <w:rPr>
          <w:rFonts w:cs="Arial"/>
          <w:sz w:val="22"/>
          <w:szCs w:val="22"/>
          <w:lang w:val="en-US"/>
        </w:rPr>
        <w:t>-</w:t>
      </w:r>
      <w:r w:rsidR="001977A4" w:rsidRPr="00E7620D">
        <w:rPr>
          <w:rFonts w:cs="Arial"/>
          <w:spacing w:val="-2"/>
          <w:sz w:val="22"/>
          <w:szCs w:val="22"/>
          <w:lang w:val="en-US"/>
        </w:rPr>
        <w:t xml:space="preserve"> </w:t>
      </w:r>
      <w:r w:rsidR="001977A4" w:rsidRPr="00E7620D">
        <w:rPr>
          <w:rFonts w:cs="Arial"/>
          <w:sz w:val="22"/>
          <w:szCs w:val="22"/>
          <w:lang w:val="en-US"/>
        </w:rPr>
        <w:t>Public</w:t>
      </w:r>
      <w:r w:rsidR="001977A4" w:rsidRPr="00E7620D">
        <w:rPr>
          <w:rFonts w:cs="Arial"/>
          <w:spacing w:val="-4"/>
          <w:sz w:val="22"/>
          <w:szCs w:val="22"/>
          <w:lang w:val="en-US"/>
        </w:rPr>
        <w:t xml:space="preserve"> </w:t>
      </w:r>
      <w:r w:rsidR="001977A4" w:rsidRPr="00E7620D">
        <w:rPr>
          <w:rFonts w:cs="Arial"/>
          <w:sz w:val="22"/>
          <w:szCs w:val="22"/>
          <w:lang w:val="en-US"/>
        </w:rPr>
        <w:t>Health</w:t>
      </w:r>
      <w:r w:rsidR="001977A4" w:rsidRPr="00E7620D">
        <w:rPr>
          <w:rFonts w:cs="Arial"/>
          <w:spacing w:val="-3"/>
          <w:sz w:val="22"/>
          <w:szCs w:val="22"/>
          <w:lang w:val="en-US"/>
        </w:rPr>
        <w:t xml:space="preserve"> </w:t>
      </w:r>
      <w:r w:rsidR="001977A4" w:rsidRPr="00E7620D">
        <w:rPr>
          <w:rFonts w:cs="Arial"/>
          <w:sz w:val="22"/>
          <w:szCs w:val="22"/>
          <w:lang w:val="en-US"/>
        </w:rPr>
        <w:t>and</w:t>
      </w:r>
      <w:r w:rsidR="001977A4" w:rsidRPr="00E7620D">
        <w:rPr>
          <w:rFonts w:cs="Arial"/>
          <w:spacing w:val="-4"/>
          <w:sz w:val="22"/>
          <w:szCs w:val="22"/>
          <w:lang w:val="en-US"/>
        </w:rPr>
        <w:t xml:space="preserve"> </w:t>
      </w:r>
      <w:r w:rsidR="001977A4" w:rsidRPr="00E7620D">
        <w:rPr>
          <w:rFonts w:cs="Arial"/>
          <w:sz w:val="22"/>
          <w:szCs w:val="22"/>
          <w:lang w:val="en-US"/>
        </w:rPr>
        <w:t xml:space="preserve">Safety; </w:t>
      </w:r>
      <w:r>
        <w:rPr>
          <w:rFonts w:cs="Arial"/>
          <w:sz w:val="22"/>
          <w:szCs w:val="22"/>
          <w:lang w:val="en-US"/>
        </w:rPr>
        <w:t>ESS</w:t>
      </w:r>
      <w:r w:rsidRPr="00E7620D">
        <w:rPr>
          <w:rFonts w:cs="Arial"/>
          <w:sz w:val="22"/>
          <w:szCs w:val="22"/>
          <w:lang w:val="en-US"/>
        </w:rPr>
        <w:t xml:space="preserve"> </w:t>
      </w:r>
      <w:r w:rsidR="001977A4" w:rsidRPr="00E7620D">
        <w:rPr>
          <w:rFonts w:cs="Arial"/>
          <w:sz w:val="22"/>
          <w:szCs w:val="22"/>
          <w:lang w:val="en-US"/>
        </w:rPr>
        <w:t xml:space="preserve">No. 5 - Land Acquisition, Land Use Restrictions and Involuntary Resettlement ; </w:t>
      </w:r>
      <w:r>
        <w:rPr>
          <w:rFonts w:cs="Arial"/>
          <w:sz w:val="22"/>
          <w:szCs w:val="22"/>
          <w:lang w:val="en-US"/>
        </w:rPr>
        <w:t>ESS</w:t>
      </w:r>
      <w:r w:rsidRPr="00E7620D">
        <w:rPr>
          <w:rFonts w:cs="Arial"/>
          <w:spacing w:val="-42"/>
          <w:sz w:val="22"/>
          <w:szCs w:val="22"/>
          <w:lang w:val="en-US"/>
        </w:rPr>
        <w:t xml:space="preserve"> </w:t>
      </w:r>
      <w:r w:rsidR="001977A4" w:rsidRPr="00E7620D">
        <w:rPr>
          <w:rFonts w:cs="Arial"/>
          <w:sz w:val="22"/>
          <w:szCs w:val="22"/>
          <w:lang w:val="en-US"/>
        </w:rPr>
        <w:t xml:space="preserve">No. 6 - Biodiversity Conservation and Sustainable Management of Biological Natural Resources; </w:t>
      </w:r>
      <w:r>
        <w:rPr>
          <w:rFonts w:cs="Arial"/>
          <w:sz w:val="22"/>
          <w:szCs w:val="22"/>
          <w:lang w:val="en-US"/>
        </w:rPr>
        <w:t>ESS</w:t>
      </w:r>
      <w:r w:rsidRPr="00E7620D">
        <w:rPr>
          <w:rFonts w:cs="Arial"/>
          <w:sz w:val="22"/>
          <w:szCs w:val="22"/>
          <w:lang w:val="en-US"/>
        </w:rPr>
        <w:t xml:space="preserve"> </w:t>
      </w:r>
      <w:r w:rsidR="001977A4" w:rsidRPr="00E7620D">
        <w:rPr>
          <w:rFonts w:cs="Arial"/>
          <w:sz w:val="22"/>
          <w:szCs w:val="22"/>
          <w:lang w:val="en-US"/>
        </w:rPr>
        <w:t>No. 7 - Historically Disadvantaged Indigenous Peoples/Traditional Local Communities in Sub-Saharan</w:t>
      </w:r>
      <w:r w:rsidR="001977A4" w:rsidRPr="00E7620D">
        <w:rPr>
          <w:rFonts w:cs="Arial"/>
          <w:spacing w:val="-4"/>
          <w:sz w:val="22"/>
          <w:szCs w:val="22"/>
          <w:lang w:val="en-US"/>
        </w:rPr>
        <w:t xml:space="preserve"> </w:t>
      </w:r>
      <w:r w:rsidR="001977A4" w:rsidRPr="00E7620D">
        <w:rPr>
          <w:rFonts w:cs="Arial"/>
          <w:sz w:val="22"/>
          <w:szCs w:val="22"/>
          <w:lang w:val="en-US"/>
        </w:rPr>
        <w:t>Africa;</w:t>
      </w:r>
      <w:r w:rsidR="001977A4" w:rsidRPr="00E7620D">
        <w:rPr>
          <w:rFonts w:cs="Arial"/>
          <w:spacing w:val="-3"/>
          <w:sz w:val="22"/>
          <w:szCs w:val="22"/>
          <w:lang w:val="en-US"/>
        </w:rPr>
        <w:t xml:space="preserve"> </w:t>
      </w:r>
      <w:r>
        <w:rPr>
          <w:rFonts w:cs="Arial"/>
          <w:spacing w:val="-2"/>
          <w:sz w:val="22"/>
          <w:szCs w:val="22"/>
          <w:lang w:val="en-US"/>
        </w:rPr>
        <w:t>ESS</w:t>
      </w:r>
      <w:r w:rsidRPr="00E7620D">
        <w:rPr>
          <w:rFonts w:cs="Arial"/>
          <w:spacing w:val="-4"/>
          <w:sz w:val="22"/>
          <w:szCs w:val="22"/>
          <w:lang w:val="en-US"/>
        </w:rPr>
        <w:t xml:space="preserve"> </w:t>
      </w:r>
      <w:r w:rsidR="001977A4" w:rsidRPr="00E7620D">
        <w:rPr>
          <w:rFonts w:cs="Arial"/>
          <w:sz w:val="22"/>
          <w:szCs w:val="22"/>
          <w:lang w:val="en-US"/>
        </w:rPr>
        <w:t>No.</w:t>
      </w:r>
      <w:r w:rsidR="001977A4" w:rsidRPr="00E7620D">
        <w:rPr>
          <w:rFonts w:cs="Arial"/>
          <w:spacing w:val="-4"/>
          <w:sz w:val="22"/>
          <w:szCs w:val="22"/>
          <w:lang w:val="en-US"/>
        </w:rPr>
        <w:t xml:space="preserve"> </w:t>
      </w:r>
      <w:r w:rsidR="001977A4" w:rsidRPr="00E7620D">
        <w:rPr>
          <w:rFonts w:cs="Arial"/>
          <w:sz w:val="22"/>
          <w:szCs w:val="22"/>
          <w:lang w:val="en-US"/>
        </w:rPr>
        <w:t>8</w:t>
      </w:r>
      <w:r w:rsidR="001977A4" w:rsidRPr="00E7620D">
        <w:rPr>
          <w:rFonts w:cs="Arial"/>
          <w:spacing w:val="-5"/>
          <w:sz w:val="22"/>
          <w:szCs w:val="22"/>
          <w:lang w:val="en-US"/>
        </w:rPr>
        <w:t xml:space="preserve"> </w:t>
      </w:r>
      <w:r w:rsidR="001977A4" w:rsidRPr="00E7620D">
        <w:rPr>
          <w:rFonts w:cs="Arial"/>
          <w:sz w:val="22"/>
          <w:szCs w:val="22"/>
          <w:lang w:val="en-US"/>
        </w:rPr>
        <w:t>-</w:t>
      </w:r>
      <w:r w:rsidR="001977A4" w:rsidRPr="00E7620D">
        <w:rPr>
          <w:rFonts w:cs="Arial"/>
          <w:spacing w:val="-3"/>
          <w:sz w:val="22"/>
          <w:szCs w:val="22"/>
          <w:lang w:val="en-US"/>
        </w:rPr>
        <w:t xml:space="preserve"> </w:t>
      </w:r>
      <w:r w:rsidR="001977A4" w:rsidRPr="00E7620D">
        <w:rPr>
          <w:rFonts w:cs="Arial"/>
          <w:sz w:val="22"/>
          <w:szCs w:val="22"/>
          <w:lang w:val="en-US"/>
        </w:rPr>
        <w:t>Cultural</w:t>
      </w:r>
      <w:r w:rsidR="001977A4" w:rsidRPr="00E7620D">
        <w:rPr>
          <w:rFonts w:cs="Arial"/>
          <w:spacing w:val="-5"/>
          <w:sz w:val="22"/>
          <w:szCs w:val="22"/>
          <w:lang w:val="en-US"/>
        </w:rPr>
        <w:t xml:space="preserve"> </w:t>
      </w:r>
      <w:r w:rsidR="001977A4" w:rsidRPr="00E7620D">
        <w:rPr>
          <w:rFonts w:cs="Arial"/>
          <w:sz w:val="22"/>
          <w:szCs w:val="22"/>
          <w:lang w:val="en-US"/>
        </w:rPr>
        <w:t>Heritage,</w:t>
      </w:r>
      <w:r w:rsidR="001977A4" w:rsidRPr="00E7620D">
        <w:rPr>
          <w:rFonts w:cs="Arial"/>
          <w:spacing w:val="-2"/>
          <w:sz w:val="22"/>
          <w:szCs w:val="22"/>
          <w:lang w:val="en-US"/>
        </w:rPr>
        <w:t xml:space="preserve"> </w:t>
      </w:r>
      <w:r>
        <w:rPr>
          <w:rFonts w:cs="Arial"/>
          <w:sz w:val="22"/>
          <w:szCs w:val="22"/>
          <w:lang w:val="en-US"/>
        </w:rPr>
        <w:t>ESS</w:t>
      </w:r>
      <w:r w:rsidR="001977A4" w:rsidRPr="00E7620D">
        <w:rPr>
          <w:rFonts w:cs="Arial"/>
          <w:spacing w:val="-4"/>
          <w:sz w:val="22"/>
          <w:szCs w:val="22"/>
          <w:lang w:val="en-US"/>
        </w:rPr>
        <w:t xml:space="preserve"> </w:t>
      </w:r>
      <w:r w:rsidR="001977A4" w:rsidRPr="00E7620D">
        <w:rPr>
          <w:rFonts w:cs="Arial"/>
          <w:sz w:val="22"/>
          <w:szCs w:val="22"/>
          <w:lang w:val="en-US"/>
        </w:rPr>
        <w:t>No.</w:t>
      </w:r>
      <w:r w:rsidR="001977A4" w:rsidRPr="00E7620D">
        <w:rPr>
          <w:rFonts w:cs="Arial"/>
          <w:spacing w:val="-3"/>
          <w:sz w:val="22"/>
          <w:szCs w:val="22"/>
          <w:lang w:val="en-US"/>
        </w:rPr>
        <w:t xml:space="preserve"> </w:t>
      </w:r>
      <w:r w:rsidR="001977A4" w:rsidRPr="00E7620D">
        <w:rPr>
          <w:rFonts w:cs="Arial"/>
          <w:sz w:val="22"/>
          <w:szCs w:val="22"/>
          <w:lang w:val="en-US"/>
        </w:rPr>
        <w:t>9</w:t>
      </w:r>
      <w:r w:rsidR="001977A4" w:rsidRPr="00E7620D">
        <w:rPr>
          <w:rFonts w:cs="Arial"/>
          <w:spacing w:val="-5"/>
          <w:sz w:val="22"/>
          <w:szCs w:val="22"/>
          <w:lang w:val="en-US"/>
        </w:rPr>
        <w:t xml:space="preserve"> </w:t>
      </w:r>
      <w:r w:rsidR="001977A4" w:rsidRPr="00E7620D">
        <w:rPr>
          <w:rFonts w:cs="Arial"/>
          <w:sz w:val="22"/>
          <w:szCs w:val="22"/>
          <w:lang w:val="en-US"/>
        </w:rPr>
        <w:t>-</w:t>
      </w:r>
      <w:r w:rsidR="001977A4" w:rsidRPr="00E7620D">
        <w:rPr>
          <w:rFonts w:cs="Arial"/>
          <w:spacing w:val="-4"/>
          <w:sz w:val="22"/>
          <w:szCs w:val="22"/>
          <w:lang w:val="en-US"/>
        </w:rPr>
        <w:t xml:space="preserve"> </w:t>
      </w:r>
      <w:r w:rsidR="001977A4" w:rsidRPr="00E7620D">
        <w:rPr>
          <w:rFonts w:cs="Arial"/>
          <w:sz w:val="22"/>
          <w:szCs w:val="22"/>
          <w:lang w:val="en-US"/>
        </w:rPr>
        <w:t>Financial</w:t>
      </w:r>
      <w:r w:rsidR="001977A4" w:rsidRPr="00E7620D">
        <w:rPr>
          <w:rFonts w:cs="Arial"/>
          <w:spacing w:val="-7"/>
          <w:sz w:val="22"/>
          <w:szCs w:val="22"/>
          <w:lang w:val="en-US"/>
        </w:rPr>
        <w:t xml:space="preserve"> </w:t>
      </w:r>
      <w:r w:rsidR="001977A4" w:rsidRPr="00E7620D">
        <w:rPr>
          <w:rFonts w:cs="Arial"/>
          <w:sz w:val="22"/>
          <w:szCs w:val="22"/>
          <w:lang w:val="en-US"/>
        </w:rPr>
        <w:t>Intermediaries,</w:t>
      </w:r>
      <w:r w:rsidR="001977A4" w:rsidRPr="00E7620D">
        <w:rPr>
          <w:rFonts w:cs="Arial"/>
          <w:spacing w:val="-1"/>
          <w:sz w:val="22"/>
          <w:szCs w:val="22"/>
          <w:lang w:val="en-US"/>
        </w:rPr>
        <w:t xml:space="preserve"> </w:t>
      </w:r>
      <w:r w:rsidR="001977A4" w:rsidRPr="00E7620D">
        <w:rPr>
          <w:rFonts w:cs="Arial"/>
          <w:sz w:val="22"/>
          <w:szCs w:val="22"/>
          <w:lang w:val="en-US"/>
        </w:rPr>
        <w:t xml:space="preserve">and </w:t>
      </w:r>
      <w:r>
        <w:rPr>
          <w:rFonts w:cs="Arial"/>
          <w:sz w:val="22"/>
          <w:szCs w:val="22"/>
          <w:lang w:val="en-US"/>
        </w:rPr>
        <w:t>ESS</w:t>
      </w:r>
      <w:r w:rsidRPr="00E7620D">
        <w:rPr>
          <w:rFonts w:cs="Arial"/>
          <w:sz w:val="22"/>
          <w:szCs w:val="22"/>
          <w:lang w:val="en-US"/>
        </w:rPr>
        <w:t xml:space="preserve"> </w:t>
      </w:r>
      <w:r w:rsidR="001977A4" w:rsidRPr="00E7620D">
        <w:rPr>
          <w:rFonts w:cs="Arial"/>
          <w:sz w:val="22"/>
          <w:szCs w:val="22"/>
          <w:lang w:val="en-US"/>
        </w:rPr>
        <w:t>No. 10 - Stakeholder Mobilization and Information.</w:t>
      </w:r>
    </w:p>
    <w:p w14:paraId="5A48ABA1" w14:textId="77777777" w:rsidR="001977A4" w:rsidRPr="00E7620D" w:rsidRDefault="001977A4" w:rsidP="001977A4">
      <w:pPr>
        <w:pStyle w:val="Corpsdetexte"/>
        <w:spacing w:line="276" w:lineRule="auto"/>
        <w:rPr>
          <w:rFonts w:cs="Arial"/>
          <w:sz w:val="22"/>
          <w:szCs w:val="22"/>
          <w:lang w:val="en-US"/>
        </w:rPr>
      </w:pPr>
    </w:p>
    <w:p w14:paraId="30ED3128"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 xml:space="preserve">In addition to these ten standards, the </w:t>
      </w:r>
      <w:r w:rsidR="00540C2E">
        <w:rPr>
          <w:rFonts w:cs="Arial"/>
          <w:sz w:val="22"/>
          <w:szCs w:val="22"/>
          <w:lang w:val="en-US"/>
        </w:rPr>
        <w:t>PNDA</w:t>
      </w:r>
      <w:r w:rsidRPr="00E7620D">
        <w:rPr>
          <w:rFonts w:cs="Arial"/>
          <w:sz w:val="22"/>
          <w:szCs w:val="22"/>
          <w:lang w:val="en-US"/>
        </w:rPr>
        <w:t xml:space="preserve"> applies not only the General Environmental, Health</w:t>
      </w:r>
      <w:r w:rsidRPr="00E7620D">
        <w:rPr>
          <w:rFonts w:cs="Arial"/>
          <w:spacing w:val="-4"/>
          <w:sz w:val="22"/>
          <w:szCs w:val="22"/>
          <w:lang w:val="en-US"/>
        </w:rPr>
        <w:t xml:space="preserve"> </w:t>
      </w:r>
      <w:r w:rsidRPr="00E7620D">
        <w:rPr>
          <w:rFonts w:cs="Arial"/>
          <w:sz w:val="22"/>
          <w:szCs w:val="22"/>
          <w:lang w:val="en-US"/>
        </w:rPr>
        <w:t>and</w:t>
      </w:r>
      <w:r w:rsidRPr="00E7620D">
        <w:rPr>
          <w:rFonts w:cs="Arial"/>
          <w:spacing w:val="-4"/>
          <w:sz w:val="22"/>
          <w:szCs w:val="22"/>
          <w:lang w:val="en-US"/>
        </w:rPr>
        <w:t xml:space="preserve"> </w:t>
      </w:r>
      <w:r w:rsidRPr="00E7620D">
        <w:rPr>
          <w:rFonts w:cs="Arial"/>
          <w:sz w:val="22"/>
          <w:szCs w:val="22"/>
          <w:lang w:val="en-US"/>
        </w:rPr>
        <w:t>Safety</w:t>
      </w:r>
      <w:r w:rsidRPr="00E7620D">
        <w:rPr>
          <w:rFonts w:cs="Arial"/>
          <w:spacing w:val="-7"/>
          <w:sz w:val="22"/>
          <w:szCs w:val="22"/>
          <w:lang w:val="en-US"/>
        </w:rPr>
        <w:t xml:space="preserve"> </w:t>
      </w:r>
      <w:r w:rsidRPr="00E7620D">
        <w:rPr>
          <w:rFonts w:cs="Arial"/>
          <w:sz w:val="22"/>
          <w:szCs w:val="22"/>
          <w:lang w:val="en-US"/>
        </w:rPr>
        <w:t>Guidelines</w:t>
      </w:r>
      <w:r w:rsidRPr="00E7620D">
        <w:rPr>
          <w:rFonts w:cs="Arial"/>
          <w:spacing w:val="-4"/>
          <w:sz w:val="22"/>
          <w:szCs w:val="22"/>
          <w:lang w:val="en-US"/>
        </w:rPr>
        <w:t xml:space="preserve"> </w:t>
      </w:r>
      <w:r w:rsidRPr="00E7620D">
        <w:rPr>
          <w:rFonts w:cs="Arial"/>
          <w:sz w:val="22"/>
          <w:szCs w:val="22"/>
          <w:lang w:val="en-US"/>
        </w:rPr>
        <w:t>of</w:t>
      </w:r>
      <w:r w:rsidRPr="00E7620D">
        <w:rPr>
          <w:rFonts w:cs="Arial"/>
          <w:spacing w:val="-2"/>
          <w:sz w:val="22"/>
          <w:szCs w:val="22"/>
          <w:lang w:val="en-US"/>
        </w:rPr>
        <w:t xml:space="preserve"> </w:t>
      </w:r>
      <w:r w:rsidRPr="00E7620D">
        <w:rPr>
          <w:rFonts w:cs="Arial"/>
          <w:sz w:val="22"/>
          <w:szCs w:val="22"/>
          <w:lang w:val="en-US"/>
        </w:rPr>
        <w:t>the</w:t>
      </w:r>
      <w:r w:rsidRPr="00E7620D">
        <w:rPr>
          <w:rFonts w:cs="Arial"/>
          <w:spacing w:val="-11"/>
          <w:sz w:val="22"/>
          <w:szCs w:val="22"/>
          <w:lang w:val="en-US"/>
        </w:rPr>
        <w:t xml:space="preserve"> </w:t>
      </w:r>
      <w:r w:rsidRPr="00E7620D">
        <w:rPr>
          <w:rFonts w:cs="Arial"/>
          <w:sz w:val="22"/>
          <w:szCs w:val="22"/>
          <w:lang w:val="en-US"/>
        </w:rPr>
        <w:t>World</w:t>
      </w:r>
      <w:r w:rsidRPr="00E7620D">
        <w:rPr>
          <w:rFonts w:cs="Arial"/>
          <w:spacing w:val="-4"/>
          <w:sz w:val="22"/>
          <w:szCs w:val="22"/>
          <w:lang w:val="en-US"/>
        </w:rPr>
        <w:t xml:space="preserve"> </w:t>
      </w:r>
      <w:r w:rsidRPr="00E7620D">
        <w:rPr>
          <w:rFonts w:cs="Arial"/>
          <w:sz w:val="22"/>
          <w:szCs w:val="22"/>
          <w:lang w:val="en-US"/>
        </w:rPr>
        <w:t>Bank</w:t>
      </w:r>
      <w:r w:rsidRPr="00E7620D">
        <w:rPr>
          <w:rFonts w:cs="Arial"/>
          <w:spacing w:val="-5"/>
          <w:sz w:val="22"/>
          <w:szCs w:val="22"/>
          <w:lang w:val="en-US"/>
        </w:rPr>
        <w:t xml:space="preserve"> </w:t>
      </w:r>
      <w:r w:rsidRPr="00E7620D">
        <w:rPr>
          <w:rFonts w:cs="Arial"/>
          <w:sz w:val="22"/>
          <w:szCs w:val="22"/>
          <w:lang w:val="en-US"/>
        </w:rPr>
        <w:t>Group</w:t>
      </w:r>
      <w:r w:rsidRPr="00E7620D">
        <w:rPr>
          <w:rFonts w:cs="Arial"/>
          <w:spacing w:val="-4"/>
          <w:sz w:val="22"/>
          <w:szCs w:val="22"/>
          <w:lang w:val="en-US"/>
        </w:rPr>
        <w:t xml:space="preserve"> </w:t>
      </w:r>
      <w:r w:rsidRPr="00E7620D">
        <w:rPr>
          <w:rFonts w:cs="Arial"/>
          <w:sz w:val="22"/>
          <w:szCs w:val="22"/>
          <w:lang w:val="en-US"/>
        </w:rPr>
        <w:t>but</w:t>
      </w:r>
      <w:r w:rsidRPr="00E7620D">
        <w:rPr>
          <w:rFonts w:cs="Arial"/>
          <w:spacing w:val="-3"/>
          <w:sz w:val="22"/>
          <w:szCs w:val="22"/>
          <w:lang w:val="en-US"/>
        </w:rPr>
        <w:t xml:space="preserve"> </w:t>
      </w:r>
      <w:r w:rsidRPr="00E7620D">
        <w:rPr>
          <w:rFonts w:cs="Arial"/>
          <w:sz w:val="22"/>
          <w:szCs w:val="22"/>
          <w:lang w:val="en-US"/>
        </w:rPr>
        <w:t>also</w:t>
      </w:r>
      <w:r w:rsidRPr="00E7620D">
        <w:rPr>
          <w:rFonts w:cs="Arial"/>
          <w:spacing w:val="-3"/>
          <w:sz w:val="22"/>
          <w:szCs w:val="22"/>
          <w:lang w:val="en-US"/>
        </w:rPr>
        <w:t xml:space="preserve"> </w:t>
      </w:r>
      <w:r w:rsidRPr="00E7620D">
        <w:rPr>
          <w:rFonts w:cs="Arial"/>
          <w:sz w:val="22"/>
          <w:szCs w:val="22"/>
          <w:lang w:val="en-US"/>
        </w:rPr>
        <w:t>the</w:t>
      </w:r>
      <w:r w:rsidRPr="00E7620D">
        <w:rPr>
          <w:rFonts w:cs="Arial"/>
          <w:spacing w:val="-9"/>
          <w:sz w:val="22"/>
          <w:szCs w:val="22"/>
          <w:lang w:val="en-US"/>
        </w:rPr>
        <w:t xml:space="preserve"> </w:t>
      </w:r>
      <w:r w:rsidRPr="00E7620D">
        <w:rPr>
          <w:rFonts w:cs="Arial"/>
          <w:sz w:val="22"/>
          <w:szCs w:val="22"/>
          <w:lang w:val="en-US"/>
        </w:rPr>
        <w:t>Operational</w:t>
      </w:r>
      <w:r w:rsidRPr="00E7620D">
        <w:rPr>
          <w:rFonts w:cs="Arial"/>
          <w:spacing w:val="-4"/>
          <w:sz w:val="22"/>
          <w:szCs w:val="22"/>
          <w:lang w:val="en-US"/>
        </w:rPr>
        <w:t xml:space="preserve"> </w:t>
      </w:r>
      <w:r w:rsidRPr="00E7620D">
        <w:rPr>
          <w:rFonts w:cs="Arial"/>
          <w:sz w:val="22"/>
          <w:szCs w:val="22"/>
          <w:lang w:val="en-US"/>
        </w:rPr>
        <w:t>Policy</w:t>
      </w:r>
      <w:r w:rsidRPr="00E7620D">
        <w:rPr>
          <w:rFonts w:cs="Arial"/>
          <w:spacing w:val="-6"/>
          <w:sz w:val="22"/>
          <w:szCs w:val="22"/>
          <w:lang w:val="en-US"/>
        </w:rPr>
        <w:t xml:space="preserve"> </w:t>
      </w:r>
      <w:r w:rsidRPr="00E7620D">
        <w:rPr>
          <w:rFonts w:cs="Arial"/>
          <w:sz w:val="22"/>
          <w:szCs w:val="22"/>
          <w:lang w:val="en-US"/>
        </w:rPr>
        <w:t>PO/BP</w:t>
      </w:r>
    </w:p>
    <w:p w14:paraId="16839411"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7.50</w:t>
      </w:r>
      <w:r w:rsidRPr="00E7620D">
        <w:rPr>
          <w:rFonts w:cs="Arial"/>
          <w:spacing w:val="-10"/>
          <w:sz w:val="22"/>
          <w:szCs w:val="22"/>
          <w:lang w:val="en-US"/>
        </w:rPr>
        <w:t xml:space="preserve"> </w:t>
      </w:r>
      <w:r w:rsidRPr="00E7620D">
        <w:rPr>
          <w:rFonts w:cs="Arial"/>
          <w:sz w:val="22"/>
          <w:szCs w:val="22"/>
          <w:lang w:val="en-US"/>
        </w:rPr>
        <w:t>-</w:t>
      </w:r>
      <w:r w:rsidRPr="00E7620D">
        <w:rPr>
          <w:rFonts w:cs="Arial"/>
          <w:spacing w:val="-9"/>
          <w:sz w:val="22"/>
          <w:szCs w:val="22"/>
          <w:lang w:val="en-US"/>
        </w:rPr>
        <w:t xml:space="preserve"> </w:t>
      </w:r>
      <w:r w:rsidRPr="00E7620D">
        <w:rPr>
          <w:rFonts w:cs="Arial"/>
          <w:sz w:val="22"/>
          <w:szCs w:val="22"/>
          <w:lang w:val="en-US"/>
        </w:rPr>
        <w:t>International</w:t>
      </w:r>
      <w:r w:rsidRPr="00E7620D">
        <w:rPr>
          <w:rFonts w:cs="Arial"/>
          <w:spacing w:val="-14"/>
          <w:sz w:val="22"/>
          <w:szCs w:val="22"/>
          <w:lang w:val="en-US"/>
        </w:rPr>
        <w:t xml:space="preserve"> </w:t>
      </w:r>
      <w:r w:rsidRPr="00E7620D">
        <w:rPr>
          <w:rFonts w:cs="Arial"/>
          <w:sz w:val="22"/>
          <w:szCs w:val="22"/>
          <w:lang w:val="en-US"/>
        </w:rPr>
        <w:t>Watercourses</w:t>
      </w:r>
      <w:r w:rsidRPr="00E7620D">
        <w:rPr>
          <w:rFonts w:cs="Arial"/>
          <w:spacing w:val="-10"/>
          <w:sz w:val="22"/>
          <w:szCs w:val="22"/>
          <w:lang w:val="en-US"/>
        </w:rPr>
        <w:t xml:space="preserve"> </w:t>
      </w:r>
      <w:r w:rsidRPr="00E7620D">
        <w:rPr>
          <w:rFonts w:cs="Arial"/>
          <w:sz w:val="22"/>
          <w:szCs w:val="22"/>
          <w:lang w:val="en-US"/>
        </w:rPr>
        <w:t>Project,</w:t>
      </w:r>
      <w:r w:rsidRPr="00E7620D">
        <w:rPr>
          <w:rFonts w:cs="Arial"/>
          <w:spacing w:val="-8"/>
          <w:sz w:val="22"/>
          <w:szCs w:val="22"/>
          <w:lang w:val="en-US"/>
        </w:rPr>
        <w:t xml:space="preserve"> </w:t>
      </w:r>
      <w:r w:rsidRPr="00E7620D">
        <w:rPr>
          <w:rFonts w:cs="Arial"/>
          <w:sz w:val="22"/>
          <w:szCs w:val="22"/>
          <w:lang w:val="en-US"/>
        </w:rPr>
        <w:t>which</w:t>
      </w:r>
      <w:r w:rsidRPr="00E7620D">
        <w:rPr>
          <w:rFonts w:cs="Arial"/>
          <w:spacing w:val="-8"/>
          <w:sz w:val="22"/>
          <w:szCs w:val="22"/>
          <w:lang w:val="en-US"/>
        </w:rPr>
        <w:t xml:space="preserve"> </w:t>
      </w:r>
      <w:r w:rsidRPr="00E7620D">
        <w:rPr>
          <w:rFonts w:cs="Arial"/>
          <w:sz w:val="22"/>
          <w:szCs w:val="22"/>
          <w:lang w:val="en-US"/>
        </w:rPr>
        <w:t>has</w:t>
      </w:r>
      <w:r w:rsidRPr="00E7620D">
        <w:rPr>
          <w:rFonts w:cs="Arial"/>
          <w:spacing w:val="-7"/>
          <w:sz w:val="22"/>
          <w:szCs w:val="22"/>
          <w:lang w:val="en-US"/>
        </w:rPr>
        <w:t xml:space="preserve"> </w:t>
      </w:r>
      <w:r w:rsidRPr="00E7620D">
        <w:rPr>
          <w:rFonts w:cs="Arial"/>
          <w:sz w:val="22"/>
          <w:szCs w:val="22"/>
          <w:lang w:val="en-US"/>
        </w:rPr>
        <w:t>not</w:t>
      </w:r>
      <w:r w:rsidRPr="00E7620D">
        <w:rPr>
          <w:rFonts w:cs="Arial"/>
          <w:spacing w:val="-9"/>
          <w:sz w:val="22"/>
          <w:szCs w:val="22"/>
          <w:lang w:val="en-US"/>
        </w:rPr>
        <w:t xml:space="preserve"> </w:t>
      </w:r>
      <w:r w:rsidRPr="00E7620D">
        <w:rPr>
          <w:rFonts w:cs="Arial"/>
          <w:sz w:val="22"/>
          <w:szCs w:val="22"/>
          <w:lang w:val="en-US"/>
        </w:rPr>
        <w:t>been</w:t>
      </w:r>
      <w:r w:rsidRPr="00E7620D">
        <w:rPr>
          <w:rFonts w:cs="Arial"/>
          <w:spacing w:val="-11"/>
          <w:sz w:val="22"/>
          <w:szCs w:val="22"/>
          <w:lang w:val="en-US"/>
        </w:rPr>
        <w:t xml:space="preserve"> </w:t>
      </w:r>
      <w:r w:rsidRPr="00E7620D">
        <w:rPr>
          <w:rFonts w:cs="Arial"/>
          <w:sz w:val="22"/>
          <w:szCs w:val="22"/>
          <w:lang w:val="en-US"/>
        </w:rPr>
        <w:t>modified</w:t>
      </w:r>
      <w:r w:rsidRPr="00E7620D">
        <w:rPr>
          <w:rFonts w:cs="Arial"/>
          <w:spacing w:val="-8"/>
          <w:sz w:val="22"/>
          <w:szCs w:val="22"/>
          <w:lang w:val="en-US"/>
        </w:rPr>
        <w:t xml:space="preserve"> </w:t>
      </w:r>
      <w:r w:rsidRPr="00E7620D">
        <w:rPr>
          <w:rFonts w:cs="Arial"/>
          <w:sz w:val="22"/>
          <w:szCs w:val="22"/>
          <w:lang w:val="en-US"/>
        </w:rPr>
        <w:t>with</w:t>
      </w:r>
      <w:r w:rsidRPr="00E7620D">
        <w:rPr>
          <w:rFonts w:cs="Arial"/>
          <w:spacing w:val="-7"/>
          <w:sz w:val="22"/>
          <w:szCs w:val="22"/>
          <w:lang w:val="en-US"/>
        </w:rPr>
        <w:t xml:space="preserve"> </w:t>
      </w:r>
      <w:r w:rsidRPr="00E7620D">
        <w:rPr>
          <w:rFonts w:cs="Arial"/>
          <w:sz w:val="22"/>
          <w:szCs w:val="22"/>
          <w:lang w:val="en-US"/>
        </w:rPr>
        <w:t>the</w:t>
      </w:r>
      <w:r w:rsidRPr="00E7620D">
        <w:rPr>
          <w:rFonts w:cs="Arial"/>
          <w:spacing w:val="-11"/>
          <w:sz w:val="22"/>
          <w:szCs w:val="22"/>
          <w:lang w:val="en-US"/>
        </w:rPr>
        <w:t xml:space="preserve"> </w:t>
      </w:r>
      <w:r w:rsidRPr="00E7620D">
        <w:rPr>
          <w:rFonts w:cs="Arial"/>
          <w:sz w:val="22"/>
          <w:szCs w:val="22"/>
          <w:lang w:val="en-US"/>
        </w:rPr>
        <w:t>new</w:t>
      </w:r>
      <w:r w:rsidRPr="00E7620D">
        <w:rPr>
          <w:rFonts w:cs="Arial"/>
          <w:spacing w:val="-11"/>
          <w:sz w:val="22"/>
          <w:szCs w:val="22"/>
          <w:lang w:val="en-US"/>
        </w:rPr>
        <w:t xml:space="preserve"> </w:t>
      </w:r>
      <w:r w:rsidRPr="00E7620D">
        <w:rPr>
          <w:rFonts w:cs="Arial"/>
          <w:sz w:val="22"/>
          <w:szCs w:val="22"/>
          <w:lang w:val="en-US"/>
        </w:rPr>
        <w:t>SRC.</w:t>
      </w:r>
      <w:r w:rsidRPr="00E7620D">
        <w:rPr>
          <w:rFonts w:cs="Arial"/>
          <w:spacing w:val="-7"/>
          <w:sz w:val="22"/>
          <w:szCs w:val="22"/>
          <w:lang w:val="en-US"/>
        </w:rPr>
        <w:t xml:space="preserve"> </w:t>
      </w:r>
      <w:r w:rsidRPr="00E7620D">
        <w:rPr>
          <w:rFonts w:cs="Arial"/>
          <w:sz w:val="22"/>
          <w:szCs w:val="22"/>
          <w:lang w:val="en-US"/>
        </w:rPr>
        <w:t>For GBV aspects, the Project will be implemented in accordance with the Good Practice Note: Addressing</w:t>
      </w:r>
      <w:r w:rsidRPr="00E7620D">
        <w:rPr>
          <w:rFonts w:cs="Arial"/>
          <w:spacing w:val="-9"/>
          <w:sz w:val="22"/>
          <w:szCs w:val="22"/>
          <w:lang w:val="en-US"/>
        </w:rPr>
        <w:t xml:space="preserve"> </w:t>
      </w:r>
      <w:r w:rsidRPr="00E7620D">
        <w:rPr>
          <w:rFonts w:cs="Arial"/>
          <w:sz w:val="22"/>
          <w:szCs w:val="22"/>
          <w:lang w:val="en-US"/>
        </w:rPr>
        <w:t>Sexual</w:t>
      </w:r>
      <w:r w:rsidRPr="00E7620D">
        <w:rPr>
          <w:rFonts w:cs="Arial"/>
          <w:spacing w:val="-10"/>
          <w:sz w:val="22"/>
          <w:szCs w:val="22"/>
          <w:lang w:val="en-US"/>
        </w:rPr>
        <w:t xml:space="preserve"> </w:t>
      </w:r>
      <w:r w:rsidRPr="00E7620D">
        <w:rPr>
          <w:rFonts w:cs="Arial"/>
          <w:sz w:val="22"/>
          <w:szCs w:val="22"/>
          <w:lang w:val="en-US"/>
        </w:rPr>
        <w:t>Exploitation</w:t>
      </w:r>
      <w:r w:rsidRPr="00E7620D">
        <w:rPr>
          <w:rFonts w:cs="Arial"/>
          <w:spacing w:val="-8"/>
          <w:sz w:val="22"/>
          <w:szCs w:val="22"/>
          <w:lang w:val="en-US"/>
        </w:rPr>
        <w:t xml:space="preserve"> </w:t>
      </w:r>
      <w:r w:rsidRPr="00E7620D">
        <w:rPr>
          <w:rFonts w:cs="Arial"/>
          <w:sz w:val="22"/>
          <w:szCs w:val="22"/>
          <w:lang w:val="en-US"/>
        </w:rPr>
        <w:t>and</w:t>
      </w:r>
      <w:r w:rsidRPr="00E7620D">
        <w:rPr>
          <w:rFonts w:cs="Arial"/>
          <w:spacing w:val="-11"/>
          <w:sz w:val="22"/>
          <w:szCs w:val="22"/>
          <w:lang w:val="en-US"/>
        </w:rPr>
        <w:t xml:space="preserve"> </w:t>
      </w:r>
      <w:r w:rsidRPr="00E7620D">
        <w:rPr>
          <w:rFonts w:cs="Arial"/>
          <w:sz w:val="22"/>
          <w:szCs w:val="22"/>
          <w:lang w:val="en-US"/>
        </w:rPr>
        <w:t>Abuse</w:t>
      </w:r>
      <w:r w:rsidRPr="00E7620D">
        <w:rPr>
          <w:rFonts w:cs="Arial"/>
          <w:spacing w:val="-9"/>
          <w:sz w:val="22"/>
          <w:szCs w:val="22"/>
          <w:lang w:val="en-US"/>
        </w:rPr>
        <w:t xml:space="preserve"> </w:t>
      </w:r>
      <w:r w:rsidRPr="00E7620D">
        <w:rPr>
          <w:rFonts w:cs="Arial"/>
          <w:sz w:val="22"/>
          <w:szCs w:val="22"/>
          <w:lang w:val="en-US"/>
        </w:rPr>
        <w:t>and</w:t>
      </w:r>
      <w:r w:rsidRPr="00E7620D">
        <w:rPr>
          <w:rFonts w:cs="Arial"/>
          <w:spacing w:val="-10"/>
          <w:sz w:val="22"/>
          <w:szCs w:val="22"/>
          <w:lang w:val="en-US"/>
        </w:rPr>
        <w:t xml:space="preserve"> </w:t>
      </w:r>
      <w:r w:rsidRPr="00E7620D">
        <w:rPr>
          <w:rFonts w:cs="Arial"/>
          <w:sz w:val="22"/>
          <w:szCs w:val="22"/>
          <w:lang w:val="en-US"/>
        </w:rPr>
        <w:t>Sexual</w:t>
      </w:r>
      <w:r w:rsidRPr="00E7620D">
        <w:rPr>
          <w:rFonts w:cs="Arial"/>
          <w:spacing w:val="-10"/>
          <w:sz w:val="22"/>
          <w:szCs w:val="22"/>
          <w:lang w:val="en-US"/>
        </w:rPr>
        <w:t xml:space="preserve"> </w:t>
      </w:r>
      <w:r w:rsidRPr="00E7620D">
        <w:rPr>
          <w:rFonts w:cs="Arial"/>
          <w:sz w:val="22"/>
          <w:szCs w:val="22"/>
          <w:lang w:val="en-US"/>
        </w:rPr>
        <w:t>Harassment</w:t>
      </w:r>
      <w:r w:rsidRPr="00E7620D">
        <w:rPr>
          <w:rFonts w:cs="Arial"/>
          <w:spacing w:val="-10"/>
          <w:sz w:val="22"/>
          <w:szCs w:val="22"/>
          <w:lang w:val="en-US"/>
        </w:rPr>
        <w:t xml:space="preserve"> </w:t>
      </w:r>
      <w:r w:rsidRPr="00E7620D">
        <w:rPr>
          <w:rFonts w:cs="Arial"/>
          <w:sz w:val="22"/>
          <w:szCs w:val="22"/>
          <w:lang w:val="en-US"/>
        </w:rPr>
        <w:t>in</w:t>
      </w:r>
      <w:r w:rsidRPr="00E7620D">
        <w:rPr>
          <w:rFonts w:cs="Arial"/>
          <w:spacing w:val="-10"/>
          <w:sz w:val="22"/>
          <w:szCs w:val="22"/>
          <w:lang w:val="en-US"/>
        </w:rPr>
        <w:t xml:space="preserve"> </w:t>
      </w:r>
      <w:r w:rsidRPr="00E7620D">
        <w:rPr>
          <w:rFonts w:cs="Arial"/>
          <w:sz w:val="22"/>
          <w:szCs w:val="22"/>
          <w:lang w:val="en-US"/>
        </w:rPr>
        <w:t>the</w:t>
      </w:r>
      <w:r w:rsidRPr="00E7620D">
        <w:rPr>
          <w:rFonts w:cs="Arial"/>
          <w:spacing w:val="-9"/>
          <w:sz w:val="22"/>
          <w:szCs w:val="22"/>
          <w:lang w:val="en-US"/>
        </w:rPr>
        <w:t xml:space="preserve"> </w:t>
      </w:r>
      <w:r w:rsidRPr="00E7620D">
        <w:rPr>
          <w:rFonts w:cs="Arial"/>
          <w:sz w:val="22"/>
          <w:szCs w:val="22"/>
          <w:lang w:val="en-US"/>
        </w:rPr>
        <w:t>Financing</w:t>
      </w:r>
      <w:r w:rsidRPr="00E7620D">
        <w:rPr>
          <w:rFonts w:cs="Arial"/>
          <w:spacing w:val="-7"/>
          <w:sz w:val="22"/>
          <w:szCs w:val="22"/>
          <w:lang w:val="en-US"/>
        </w:rPr>
        <w:t xml:space="preserve"> </w:t>
      </w:r>
      <w:r w:rsidRPr="00E7620D">
        <w:rPr>
          <w:rFonts w:cs="Arial"/>
          <w:sz w:val="22"/>
          <w:szCs w:val="22"/>
          <w:lang w:val="en-US"/>
        </w:rPr>
        <w:t>of</w:t>
      </w:r>
      <w:r w:rsidRPr="00E7620D">
        <w:rPr>
          <w:rFonts w:cs="Arial"/>
          <w:spacing w:val="-7"/>
          <w:sz w:val="22"/>
          <w:szCs w:val="22"/>
          <w:lang w:val="en-US"/>
        </w:rPr>
        <w:t xml:space="preserve"> </w:t>
      </w:r>
      <w:r w:rsidRPr="00E7620D">
        <w:rPr>
          <w:rFonts w:cs="Arial"/>
          <w:sz w:val="22"/>
          <w:szCs w:val="22"/>
          <w:lang w:val="en-US"/>
        </w:rPr>
        <w:t xml:space="preserve">Capital Projects Involving Large Civil Works (World Bank, </w:t>
      </w:r>
      <w:r w:rsidRPr="00E7620D">
        <w:rPr>
          <w:rFonts w:cs="Arial"/>
          <w:sz w:val="22"/>
          <w:szCs w:val="22"/>
          <w:vertAlign w:val="superscript"/>
          <w:lang w:val="en-US"/>
        </w:rPr>
        <w:t>2nd</w:t>
      </w:r>
      <w:r w:rsidRPr="00E7620D">
        <w:rPr>
          <w:rFonts w:cs="Arial"/>
          <w:sz w:val="22"/>
          <w:szCs w:val="22"/>
          <w:lang w:val="en-US"/>
        </w:rPr>
        <w:t xml:space="preserve"> ed, February 2020) (EAS/HS Good Practice Note).</w:t>
      </w:r>
      <w:r w:rsidRPr="008839E0">
        <w:rPr>
          <w:rStyle w:val="Appelnotedebasdep"/>
          <w:rFonts w:cs="Arial"/>
          <w:sz w:val="22"/>
          <w:szCs w:val="22"/>
        </w:rPr>
        <w:footnoteReference w:id="5"/>
      </w:r>
      <w:r w:rsidRPr="00E7620D">
        <w:rPr>
          <w:rFonts w:cs="Arial"/>
          <w:spacing w:val="-2"/>
          <w:sz w:val="22"/>
          <w:szCs w:val="22"/>
          <w:lang w:val="en-US"/>
        </w:rPr>
        <w:t xml:space="preserve"> </w:t>
      </w:r>
    </w:p>
    <w:p w14:paraId="50D3FD0F" w14:textId="77777777" w:rsidR="001977A4" w:rsidRPr="00E7620D" w:rsidRDefault="001977A4" w:rsidP="001977A4">
      <w:pPr>
        <w:pStyle w:val="Corpsdetexte"/>
        <w:spacing w:line="276" w:lineRule="auto"/>
        <w:rPr>
          <w:rFonts w:cs="Arial"/>
          <w:sz w:val="22"/>
          <w:szCs w:val="22"/>
          <w:lang w:val="en-US"/>
        </w:rPr>
      </w:pPr>
    </w:p>
    <w:p w14:paraId="6F9FFAB8"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Specific measures are proposed in the CGES to enable the program to comply with the provisions of national texts and these World Bank standards and good practices.</w:t>
      </w:r>
      <w:r w:rsidR="0027419B">
        <w:rPr>
          <w:rFonts w:cs="Arial"/>
          <w:sz w:val="22"/>
          <w:szCs w:val="22"/>
          <w:lang w:val="en-US"/>
        </w:rPr>
        <w:t xml:space="preserve"> </w:t>
      </w:r>
      <w:r w:rsidR="0027419B" w:rsidRPr="0027419B">
        <w:rPr>
          <w:rFonts w:cs="Arial"/>
          <w:sz w:val="22"/>
          <w:szCs w:val="22"/>
          <w:lang w:val="en-US"/>
        </w:rPr>
        <w:t>It is important to note that the Program will follow the latest World Bank guidelines for COVID-19.</w:t>
      </w:r>
    </w:p>
    <w:p w14:paraId="67624F9D" w14:textId="77777777" w:rsidR="001977A4" w:rsidRPr="00E7620D" w:rsidRDefault="001977A4" w:rsidP="001977A4">
      <w:pPr>
        <w:pStyle w:val="Corpsdetexte"/>
        <w:spacing w:line="276" w:lineRule="auto"/>
        <w:rPr>
          <w:rFonts w:cs="Arial"/>
          <w:sz w:val="22"/>
          <w:szCs w:val="22"/>
          <w:lang w:val="en-US"/>
        </w:rPr>
      </w:pPr>
    </w:p>
    <w:p w14:paraId="41953418" w14:textId="77777777" w:rsidR="001977A4" w:rsidRPr="00E7620D"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i/>
          <w:sz w:val="22"/>
          <w:lang w:val="en-US"/>
        </w:rPr>
      </w:pPr>
      <w:r w:rsidRPr="00E7620D">
        <w:rPr>
          <w:rFonts w:cs="Arial"/>
          <w:i/>
          <w:sz w:val="22"/>
          <w:lang w:val="en-US"/>
        </w:rPr>
        <w:t>Potential Generic Impacts/Risks by Sub-Project</w:t>
      </w:r>
      <w:r w:rsidRPr="006551F9">
        <w:rPr>
          <w:rFonts w:cs="Arial"/>
          <w:i/>
          <w:sz w:val="22"/>
          <w:lang w:val="en-US"/>
        </w:rPr>
        <w:t xml:space="preserve"> </w:t>
      </w:r>
      <w:r w:rsidRPr="00E7620D">
        <w:rPr>
          <w:rFonts w:cs="Arial"/>
          <w:i/>
          <w:sz w:val="22"/>
          <w:lang w:val="en-US"/>
        </w:rPr>
        <w:t>Type</w:t>
      </w:r>
    </w:p>
    <w:p w14:paraId="13FC5271" w14:textId="77777777" w:rsidR="001977A4" w:rsidRPr="00E7620D" w:rsidRDefault="001977A4" w:rsidP="001977A4">
      <w:pPr>
        <w:pStyle w:val="Corpsdetexte"/>
        <w:spacing w:line="276" w:lineRule="auto"/>
        <w:rPr>
          <w:rFonts w:cs="Arial"/>
          <w:i/>
          <w:sz w:val="22"/>
          <w:szCs w:val="22"/>
          <w:lang w:val="en-US"/>
        </w:rPr>
      </w:pPr>
    </w:p>
    <w:p w14:paraId="51F364BC"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The potential environmental and social risks and impacts resulting from the sub-projects are as follows:</w:t>
      </w:r>
    </w:p>
    <w:p w14:paraId="016C562B"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u w:val="single"/>
          <w:lang w:val="en-US"/>
        </w:rPr>
        <w:t>Potential Positive Impacts</w:t>
      </w:r>
    </w:p>
    <w:p w14:paraId="3432693E" w14:textId="77777777" w:rsidR="001977A4" w:rsidRPr="00E7620D" w:rsidRDefault="001977A4" w:rsidP="001977A4">
      <w:pPr>
        <w:pStyle w:val="Corpsdetexte"/>
        <w:spacing w:line="276" w:lineRule="auto"/>
        <w:rPr>
          <w:rFonts w:cs="Arial"/>
          <w:sz w:val="22"/>
          <w:szCs w:val="22"/>
          <w:lang w:val="en-US"/>
        </w:rPr>
      </w:pPr>
    </w:p>
    <w:p w14:paraId="0CFC3D27"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 xml:space="preserve">The achievements planned under the PNDA are very useful in that they will enable the beneficiary provinces to improve agricultural, fishing and livestock production, take into account intelligent agriculture, rehabilitate rural tracks and the marking of major rivers to </w:t>
      </w:r>
      <w:r w:rsidRPr="00E7620D">
        <w:rPr>
          <w:rFonts w:cs="Arial"/>
          <w:sz w:val="22"/>
          <w:szCs w:val="22"/>
          <w:lang w:val="en-US"/>
        </w:rPr>
        <w:lastRenderedPageBreak/>
        <w:t>facilitate the evacuation of agricultural products to consumption centers, build community infrastructure for storage and sale of agricultural products, reduce malnutrition and undernourishment, and strengthen the institutional capacities of both state and civil society actors. In the end, the potential positive impacts are as follows:</w:t>
      </w:r>
    </w:p>
    <w:p w14:paraId="43C2C70A" w14:textId="77777777" w:rsidR="001977A4" w:rsidRDefault="001977A4" w:rsidP="001977A4">
      <w:pPr>
        <w:pStyle w:val="Corpsdetexte"/>
        <w:spacing w:line="276" w:lineRule="auto"/>
        <w:rPr>
          <w:rFonts w:cs="Arial"/>
          <w:sz w:val="22"/>
          <w:szCs w:val="22"/>
          <w:lang w:val="en-US"/>
        </w:rPr>
      </w:pPr>
    </w:p>
    <w:p w14:paraId="225A9FDE"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u w:val="single"/>
          <w:lang w:val="en-US"/>
        </w:rPr>
        <w:t>In phase of the agricultural works :</w:t>
      </w:r>
    </w:p>
    <w:p w14:paraId="09B3BF8C" w14:textId="77777777" w:rsidR="001977A4" w:rsidRPr="00E7620D" w:rsidRDefault="001977A4" w:rsidP="001977A4">
      <w:pPr>
        <w:pStyle w:val="Corpsdetexte"/>
        <w:spacing w:line="276" w:lineRule="auto"/>
        <w:rPr>
          <w:rFonts w:cs="Arial"/>
          <w:sz w:val="22"/>
          <w:szCs w:val="22"/>
          <w:lang w:val="en-US"/>
        </w:rPr>
      </w:pPr>
    </w:p>
    <w:p w14:paraId="4FC824AA"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Temporary job creation (30% for women);</w:t>
      </w:r>
    </w:p>
    <w:p w14:paraId="4C33808C"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Improvement</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working</w:t>
      </w:r>
      <w:r w:rsidRPr="00540C2E">
        <w:rPr>
          <w:rFonts w:cs="Arial"/>
          <w:sz w:val="22"/>
          <w:lang w:val="en-US"/>
        </w:rPr>
        <w:t xml:space="preserve"> </w:t>
      </w:r>
      <w:r w:rsidRPr="00E7620D">
        <w:rPr>
          <w:rFonts w:cs="Arial"/>
          <w:sz w:val="22"/>
          <w:lang w:val="en-US"/>
        </w:rPr>
        <w:t>conditions</w:t>
      </w:r>
      <w:r w:rsidRPr="00540C2E">
        <w:rPr>
          <w:rFonts w:cs="Arial"/>
          <w:sz w:val="22"/>
          <w:lang w:val="en-US"/>
        </w:rPr>
        <w:t xml:space="preserve"> </w:t>
      </w:r>
      <w:r w:rsidRPr="00E7620D">
        <w:rPr>
          <w:rFonts w:cs="Arial"/>
          <w:sz w:val="22"/>
          <w:lang w:val="en-US"/>
        </w:rPr>
        <w:t>by</w:t>
      </w:r>
      <w:r w:rsidRPr="00540C2E">
        <w:rPr>
          <w:rFonts w:cs="Arial"/>
          <w:sz w:val="22"/>
          <w:lang w:val="en-US"/>
        </w:rPr>
        <w:t xml:space="preserve"> </w:t>
      </w:r>
      <w:r w:rsidRPr="00E7620D">
        <w:rPr>
          <w:rFonts w:cs="Arial"/>
          <w:sz w:val="22"/>
          <w:lang w:val="en-US"/>
        </w:rPr>
        <w:t>taking</w:t>
      </w:r>
      <w:r w:rsidRPr="00540C2E">
        <w:rPr>
          <w:rFonts w:cs="Arial"/>
          <w:sz w:val="22"/>
          <w:lang w:val="en-US"/>
        </w:rPr>
        <w:t xml:space="preserve"> </w:t>
      </w:r>
      <w:r w:rsidRPr="00E7620D">
        <w:rPr>
          <w:rFonts w:cs="Arial"/>
          <w:sz w:val="22"/>
          <w:lang w:val="en-US"/>
        </w:rPr>
        <w:t>into</w:t>
      </w:r>
      <w:r w:rsidRPr="00540C2E">
        <w:rPr>
          <w:rFonts w:cs="Arial"/>
          <w:sz w:val="22"/>
          <w:lang w:val="en-US"/>
        </w:rPr>
        <w:t xml:space="preserve"> </w:t>
      </w:r>
      <w:r w:rsidRPr="00E7620D">
        <w:rPr>
          <w:rFonts w:cs="Arial"/>
          <w:sz w:val="22"/>
          <w:lang w:val="en-US"/>
        </w:rPr>
        <w:t>account</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requirements</w:t>
      </w:r>
      <w:r w:rsidRPr="00540C2E">
        <w:rPr>
          <w:rFonts w:cs="Arial"/>
          <w:sz w:val="22"/>
          <w:lang w:val="en-US"/>
        </w:rPr>
        <w:t xml:space="preserve"> </w:t>
      </w:r>
      <w:r w:rsidRPr="00E7620D">
        <w:rPr>
          <w:rFonts w:cs="Arial"/>
          <w:sz w:val="22"/>
          <w:lang w:val="en-US"/>
        </w:rPr>
        <w:t xml:space="preserve">of </w:t>
      </w:r>
      <w:r w:rsidR="006551F9">
        <w:rPr>
          <w:rFonts w:cs="Arial"/>
          <w:sz w:val="22"/>
          <w:lang w:val="en-US"/>
        </w:rPr>
        <w:t>ESS</w:t>
      </w:r>
      <w:r w:rsidRPr="00540C2E">
        <w:rPr>
          <w:rFonts w:cs="Arial"/>
          <w:sz w:val="22"/>
          <w:lang w:val="en-US"/>
        </w:rPr>
        <w:t xml:space="preserve"> </w:t>
      </w:r>
      <w:r w:rsidRPr="00E7620D">
        <w:rPr>
          <w:rFonts w:cs="Arial"/>
          <w:sz w:val="22"/>
          <w:lang w:val="en-US"/>
        </w:rPr>
        <w:t xml:space="preserve">No. 2: on Employment and Working Conditions and </w:t>
      </w:r>
      <w:r w:rsidR="006551F9">
        <w:rPr>
          <w:rFonts w:cs="Arial"/>
          <w:sz w:val="22"/>
          <w:lang w:val="en-US"/>
        </w:rPr>
        <w:t>ESS</w:t>
      </w:r>
      <w:r w:rsidRPr="00E7620D">
        <w:rPr>
          <w:rFonts w:cs="Arial"/>
          <w:sz w:val="22"/>
          <w:lang w:val="en-US"/>
        </w:rPr>
        <w:t xml:space="preserve"> No. 4: on Health and</w:t>
      </w:r>
      <w:r w:rsidRPr="00540C2E">
        <w:rPr>
          <w:rFonts w:cs="Arial"/>
          <w:sz w:val="22"/>
          <w:lang w:val="en-US"/>
        </w:rPr>
        <w:t xml:space="preserve"> </w:t>
      </w:r>
      <w:r w:rsidRPr="00E7620D">
        <w:rPr>
          <w:rFonts w:cs="Arial"/>
          <w:sz w:val="22"/>
          <w:lang w:val="en-US"/>
        </w:rPr>
        <w:t>Safety;</w:t>
      </w:r>
    </w:p>
    <w:p w14:paraId="6ED75F30"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Organization of producers and strengthening of their capacities;</w:t>
      </w:r>
    </w:p>
    <w:p w14:paraId="576B9698"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Improvement of gender mainstreaming in agriculture and the status of women producers in the agricultural sector;</w:t>
      </w:r>
    </w:p>
    <w:p w14:paraId="557D1D42"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Inclusion of full-time, part-time, temporary, seasonal and migrant workers, direct workers, contract workers, community workers, employees of primary suppliers;</w:t>
      </w:r>
    </w:p>
    <w:p w14:paraId="3BD8573A"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Development of small businesses all around the building</w:t>
      </w:r>
      <w:r w:rsidRPr="00540C2E">
        <w:rPr>
          <w:rFonts w:cs="Arial"/>
          <w:sz w:val="22"/>
          <w:lang w:val="en-US"/>
        </w:rPr>
        <w:t xml:space="preserve"> </w:t>
      </w:r>
      <w:r w:rsidRPr="00E7620D">
        <w:rPr>
          <w:rFonts w:cs="Arial"/>
          <w:sz w:val="22"/>
          <w:lang w:val="en-US"/>
        </w:rPr>
        <w:t>sites;</w:t>
      </w:r>
    </w:p>
    <w:p w14:paraId="75971546"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Improvement of the environment and living conditions;</w:t>
      </w:r>
    </w:p>
    <w:p w14:paraId="40180A07"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Food security and the fight against malnutrition;</w:t>
      </w:r>
    </w:p>
    <w:p w14:paraId="75458216"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Reduction of transaction costs for smallholder farmers (men and women) to access markets, as well as their inclusion in farmer groups (working in cooperatives/associations) and</w:t>
      </w:r>
      <w:r w:rsidRPr="00540C2E">
        <w:rPr>
          <w:rFonts w:cs="Arial"/>
          <w:sz w:val="22"/>
          <w:lang w:val="en-US"/>
        </w:rPr>
        <w:t xml:space="preserve"> </w:t>
      </w:r>
      <w:r w:rsidRPr="00E7620D">
        <w:rPr>
          <w:rFonts w:cs="Arial"/>
          <w:sz w:val="22"/>
          <w:lang w:val="en-US"/>
        </w:rPr>
        <w:t>agro-SMEs;</w:t>
      </w:r>
    </w:p>
    <w:p w14:paraId="069C7424"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Opening up of the agricultural production basin in the five provinces covered by the program;</w:t>
      </w:r>
    </w:p>
    <w:p w14:paraId="3B203D27"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Direct support to smallholder farmers for the adoption of CSA (climate-smart agriculture) and IAN (nutrition-smart agriculture) practices, technologies and inputs (seeds, plants, livestock breeds, advisory and extension</w:t>
      </w:r>
      <w:r w:rsidRPr="00540C2E">
        <w:rPr>
          <w:rFonts w:cs="Arial"/>
          <w:sz w:val="22"/>
          <w:lang w:val="en-US"/>
        </w:rPr>
        <w:t xml:space="preserve"> </w:t>
      </w:r>
      <w:r w:rsidRPr="00E7620D">
        <w:rPr>
          <w:rFonts w:cs="Arial"/>
          <w:sz w:val="22"/>
          <w:lang w:val="en-US"/>
        </w:rPr>
        <w:t>services);</w:t>
      </w:r>
    </w:p>
    <w:p w14:paraId="5ED6E439"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Technical assistance to smallholders (public, private, NGOs), land administration/registration and financial services;</w:t>
      </w:r>
    </w:p>
    <w:p w14:paraId="74FE3D7D"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Increased agricultural productivity and production, higher incomes for smallholders, and increased employment in the agricultural</w:t>
      </w:r>
      <w:r w:rsidRPr="00540C2E">
        <w:rPr>
          <w:rFonts w:cs="Arial"/>
          <w:sz w:val="22"/>
          <w:lang w:val="en-US"/>
        </w:rPr>
        <w:t xml:space="preserve"> </w:t>
      </w:r>
      <w:r w:rsidRPr="00E7620D">
        <w:rPr>
          <w:rFonts w:cs="Arial"/>
          <w:sz w:val="22"/>
          <w:lang w:val="en-US"/>
        </w:rPr>
        <w:t>sector</w:t>
      </w:r>
      <w:r w:rsidR="006551F9">
        <w:rPr>
          <w:rFonts w:cs="Arial"/>
          <w:sz w:val="22"/>
          <w:lang w:val="en-US"/>
        </w:rPr>
        <w:t>;</w:t>
      </w:r>
    </w:p>
    <w:p w14:paraId="5889DBFF" w14:textId="77777777" w:rsidR="001977A4" w:rsidRPr="00540C2E"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540C2E">
        <w:rPr>
          <w:rFonts w:cs="Arial"/>
          <w:sz w:val="22"/>
          <w:lang w:val="en-US"/>
        </w:rPr>
        <w:t>Improvement of food security;</w:t>
      </w:r>
    </w:p>
    <w:p w14:paraId="3BC99B94"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Improvement of agricultural production through the provision of agricultural inputs and services (pre-harvest activities) such as farm machinery, seeds, fertilizers, on-farm irrigation, technical</w:t>
      </w:r>
      <w:r w:rsidRPr="00540C2E">
        <w:rPr>
          <w:rFonts w:cs="Arial"/>
          <w:sz w:val="22"/>
          <w:lang w:val="en-US"/>
        </w:rPr>
        <w:t xml:space="preserve"> </w:t>
      </w:r>
      <w:r w:rsidRPr="00E7620D">
        <w:rPr>
          <w:rFonts w:cs="Arial"/>
          <w:sz w:val="22"/>
          <w:lang w:val="en-US"/>
        </w:rPr>
        <w:t>assistance;</w:t>
      </w:r>
    </w:p>
    <w:p w14:paraId="406263B8"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Good movement of ships evacuating agricultural products to consumption centers following the buoying works and reduction of drowning of ships on rivers in the provinces concerned by the</w:t>
      </w:r>
      <w:r w:rsidRPr="00540C2E">
        <w:rPr>
          <w:rFonts w:cs="Arial"/>
          <w:sz w:val="22"/>
          <w:lang w:val="en-US"/>
        </w:rPr>
        <w:t xml:space="preserve"> </w:t>
      </w:r>
      <w:r w:rsidRPr="00E7620D">
        <w:rPr>
          <w:rFonts w:cs="Arial"/>
          <w:sz w:val="22"/>
          <w:lang w:val="en-US"/>
        </w:rPr>
        <w:t>Program;</w:t>
      </w:r>
    </w:p>
    <w:p w14:paraId="1998535A"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Commercialization of agricultural and animal products following the construction of markets, depots, slaughterhouses, agricultural economic development following the financing of small farmers by FIs, etc.;</w:t>
      </w:r>
      <w:r w:rsidRPr="00540C2E">
        <w:rPr>
          <w:rFonts w:cs="Arial"/>
          <w:sz w:val="22"/>
          <w:lang w:val="en-US"/>
        </w:rPr>
        <w:t xml:space="preserve"> </w:t>
      </w:r>
      <w:r w:rsidRPr="00E7620D">
        <w:rPr>
          <w:rFonts w:cs="Arial"/>
          <w:sz w:val="22"/>
          <w:lang w:val="en-US"/>
        </w:rPr>
        <w:t>and</w:t>
      </w:r>
    </w:p>
    <w:p w14:paraId="03C25E71"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Increased incomes of smallholder farmers as a result of FIs'</w:t>
      </w:r>
      <w:r w:rsidRPr="00540C2E">
        <w:rPr>
          <w:rFonts w:cs="Arial"/>
          <w:sz w:val="22"/>
          <w:lang w:val="en-US"/>
        </w:rPr>
        <w:t xml:space="preserve"> </w:t>
      </w:r>
      <w:r w:rsidRPr="00E7620D">
        <w:rPr>
          <w:rFonts w:cs="Arial"/>
          <w:sz w:val="22"/>
          <w:lang w:val="en-US"/>
        </w:rPr>
        <w:t>lending.</w:t>
      </w:r>
    </w:p>
    <w:p w14:paraId="52ADD81C" w14:textId="77777777" w:rsidR="001977A4" w:rsidRPr="00E7620D" w:rsidRDefault="001977A4" w:rsidP="001977A4">
      <w:pPr>
        <w:pStyle w:val="Corpsdetexte"/>
        <w:spacing w:line="276" w:lineRule="auto"/>
        <w:rPr>
          <w:rFonts w:cs="Arial"/>
          <w:sz w:val="22"/>
          <w:szCs w:val="22"/>
          <w:lang w:val="en-US"/>
        </w:rPr>
      </w:pPr>
    </w:p>
    <w:p w14:paraId="724899D0"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u w:val="single"/>
          <w:lang w:val="en-US"/>
        </w:rPr>
        <w:t>In the exploitation phase of agricultural activities:</w:t>
      </w:r>
    </w:p>
    <w:p w14:paraId="6641B320" w14:textId="77777777" w:rsidR="001977A4" w:rsidRPr="00E7620D" w:rsidRDefault="001977A4" w:rsidP="001977A4">
      <w:pPr>
        <w:pStyle w:val="Corpsdetexte"/>
        <w:spacing w:line="276" w:lineRule="auto"/>
        <w:rPr>
          <w:rFonts w:cs="Arial"/>
          <w:sz w:val="22"/>
          <w:szCs w:val="22"/>
          <w:lang w:val="en-US"/>
        </w:rPr>
      </w:pPr>
    </w:p>
    <w:p w14:paraId="0181C87E"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Creation of Small Self-managed Village Banks;</w:t>
      </w:r>
    </w:p>
    <w:p w14:paraId="6AF53288"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Awareness raising on soil degradation phenomena;</w:t>
      </w:r>
    </w:p>
    <w:p w14:paraId="5BA0846A" w14:textId="77777777" w:rsidR="001977A4" w:rsidRPr="00540C2E"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540C2E">
        <w:rPr>
          <w:rFonts w:cs="Arial"/>
          <w:sz w:val="22"/>
          <w:lang w:val="en-US"/>
        </w:rPr>
        <w:t>Stop the rural exodus;</w:t>
      </w:r>
    </w:p>
    <w:p w14:paraId="3804C960"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Mobilization of women and youth ;</w:t>
      </w:r>
    </w:p>
    <w:p w14:paraId="2AAE2CD0"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Perpetuation of activities all year round ;</w:t>
      </w:r>
    </w:p>
    <w:p w14:paraId="76F9DF3B"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lastRenderedPageBreak/>
        <w:t>Contribution to the cessation of delinquency;</w:t>
      </w:r>
    </w:p>
    <w:p w14:paraId="6AF5D90F"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Creation of producer groups or associations;</w:t>
      </w:r>
    </w:p>
    <w:p w14:paraId="749513C0" w14:textId="77777777" w:rsidR="001977A4" w:rsidRPr="00540C2E"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540C2E">
        <w:rPr>
          <w:rFonts w:cs="Arial"/>
          <w:sz w:val="22"/>
          <w:lang w:val="en-US"/>
        </w:rPr>
        <w:t>Creation of Producer Cooperatives;</w:t>
      </w:r>
    </w:p>
    <w:p w14:paraId="16239DF8"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Better organization for the transformation of products;</w:t>
      </w:r>
    </w:p>
    <w:p w14:paraId="6F6FF840" w14:textId="77777777" w:rsidR="001977A4" w:rsidRPr="00540C2E"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540C2E">
        <w:rPr>
          <w:rFonts w:cs="Arial"/>
          <w:sz w:val="22"/>
          <w:lang w:val="en-US"/>
        </w:rPr>
        <w:t>Development of marketing channels ;</w:t>
      </w:r>
    </w:p>
    <w:p w14:paraId="3593A231"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Gender mainstreaming and improvement of the status of women producers;</w:t>
      </w:r>
    </w:p>
    <w:p w14:paraId="7BC1FDDA"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Better</w:t>
      </w:r>
      <w:r w:rsidRPr="00540C2E">
        <w:rPr>
          <w:rFonts w:cs="Arial"/>
          <w:sz w:val="22"/>
          <w:lang w:val="en-US"/>
        </w:rPr>
        <w:t xml:space="preserve"> </w:t>
      </w:r>
      <w:r w:rsidRPr="00E7620D">
        <w:rPr>
          <w:rFonts w:cs="Arial"/>
          <w:sz w:val="22"/>
          <w:lang w:val="en-US"/>
        </w:rPr>
        <w:t>consideration</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gender</w:t>
      </w:r>
      <w:r w:rsidRPr="00540C2E">
        <w:rPr>
          <w:rFonts w:cs="Arial"/>
          <w:sz w:val="22"/>
          <w:lang w:val="en-US"/>
        </w:rPr>
        <w:t xml:space="preserve"> </w:t>
      </w:r>
      <w:r w:rsidRPr="00E7620D">
        <w:rPr>
          <w:rFonts w:cs="Arial"/>
          <w:sz w:val="22"/>
          <w:lang w:val="en-US"/>
        </w:rPr>
        <w:t>and</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process</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equity</w:t>
      </w:r>
      <w:r w:rsidRPr="00540C2E">
        <w:rPr>
          <w:rFonts w:cs="Arial"/>
          <w:sz w:val="22"/>
          <w:lang w:val="en-US"/>
        </w:rPr>
        <w:t xml:space="preserve"> </w:t>
      </w:r>
      <w:r w:rsidRPr="00E7620D">
        <w:rPr>
          <w:rFonts w:cs="Arial"/>
          <w:sz w:val="22"/>
          <w:lang w:val="en-US"/>
        </w:rPr>
        <w:t>integration</w:t>
      </w:r>
      <w:r w:rsidRPr="00540C2E">
        <w:rPr>
          <w:rFonts w:cs="Arial"/>
          <w:sz w:val="22"/>
          <w:lang w:val="en-US"/>
        </w:rPr>
        <w:t xml:space="preserve"> </w:t>
      </w:r>
      <w:r w:rsidRPr="00E7620D">
        <w:rPr>
          <w:rFonts w:cs="Arial"/>
          <w:sz w:val="22"/>
          <w:lang w:val="en-US"/>
        </w:rPr>
        <w:t>in</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execution</w:t>
      </w:r>
      <w:r w:rsidRPr="00540C2E">
        <w:rPr>
          <w:rFonts w:cs="Arial"/>
          <w:sz w:val="22"/>
          <w:lang w:val="en-US"/>
        </w:rPr>
        <w:t xml:space="preserve"> </w:t>
      </w:r>
      <w:r w:rsidRPr="00E7620D">
        <w:rPr>
          <w:rFonts w:cs="Arial"/>
          <w:sz w:val="22"/>
          <w:lang w:val="en-US"/>
        </w:rPr>
        <w:t>of activities;</w:t>
      </w:r>
    </w:p>
    <w:p w14:paraId="5C347C0B"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Increased participation of women and youth in project activities in terms of increased income, technological literacy, and leadership;</w:t>
      </w:r>
      <w:r w:rsidRPr="00540C2E">
        <w:rPr>
          <w:rFonts w:cs="Arial"/>
          <w:sz w:val="22"/>
          <w:lang w:val="en-US"/>
        </w:rPr>
        <w:t xml:space="preserve"> </w:t>
      </w:r>
      <w:r w:rsidRPr="00E7620D">
        <w:rPr>
          <w:rFonts w:cs="Arial"/>
          <w:sz w:val="22"/>
          <w:lang w:val="en-US"/>
        </w:rPr>
        <w:t>and</w:t>
      </w:r>
    </w:p>
    <w:p w14:paraId="6487A8E8"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Good mastery of the practice of the new technology of intelligent agriculture in</w:t>
      </w:r>
      <w:r w:rsidRPr="00540C2E">
        <w:rPr>
          <w:rFonts w:cs="Arial"/>
          <w:sz w:val="22"/>
          <w:lang w:val="en-US"/>
        </w:rPr>
        <w:t xml:space="preserve"> </w:t>
      </w:r>
      <w:r w:rsidRPr="00E7620D">
        <w:rPr>
          <w:rFonts w:cs="Arial"/>
          <w:sz w:val="22"/>
          <w:lang w:val="en-US"/>
        </w:rPr>
        <w:t>relation to climate and</w:t>
      </w:r>
      <w:r w:rsidRPr="00540C2E">
        <w:rPr>
          <w:rFonts w:cs="Arial"/>
          <w:sz w:val="22"/>
          <w:lang w:val="en-US"/>
        </w:rPr>
        <w:t xml:space="preserve"> </w:t>
      </w:r>
      <w:r w:rsidRPr="00E7620D">
        <w:rPr>
          <w:rFonts w:cs="Arial"/>
          <w:sz w:val="22"/>
          <w:lang w:val="en-US"/>
        </w:rPr>
        <w:t>nutrition</w:t>
      </w:r>
      <w:r w:rsidR="006551F9">
        <w:rPr>
          <w:rFonts w:cs="Arial"/>
          <w:sz w:val="22"/>
          <w:lang w:val="en-US"/>
        </w:rPr>
        <w:t>;</w:t>
      </w:r>
    </w:p>
    <w:p w14:paraId="4367B03C" w14:textId="77777777" w:rsidR="001977A4" w:rsidRPr="00540C2E"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540C2E">
        <w:rPr>
          <w:rFonts w:cs="Arial"/>
          <w:sz w:val="22"/>
          <w:lang w:val="en-US"/>
        </w:rPr>
        <w:t>Reduction of post-harvest losses</w:t>
      </w:r>
      <w:r w:rsidR="006551F9">
        <w:rPr>
          <w:rFonts w:cs="Arial"/>
          <w:sz w:val="22"/>
          <w:lang w:val="en-US"/>
        </w:rPr>
        <w:t>;</w:t>
      </w:r>
    </w:p>
    <w:p w14:paraId="7BE0D379"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Capacity of producers and financial institutions to integrate environmental and social considerations into sub-project business</w:t>
      </w:r>
      <w:r w:rsidRPr="00540C2E">
        <w:rPr>
          <w:rFonts w:cs="Arial"/>
          <w:sz w:val="22"/>
          <w:lang w:val="en-US"/>
        </w:rPr>
        <w:t xml:space="preserve"> </w:t>
      </w:r>
      <w:r w:rsidRPr="00E7620D">
        <w:rPr>
          <w:rFonts w:cs="Arial"/>
          <w:sz w:val="22"/>
          <w:lang w:val="en-US"/>
        </w:rPr>
        <w:t>plans</w:t>
      </w:r>
      <w:r w:rsidR="006551F9">
        <w:rPr>
          <w:rFonts w:cs="Arial"/>
          <w:sz w:val="22"/>
          <w:lang w:val="en-US"/>
        </w:rPr>
        <w:t>;</w:t>
      </w:r>
    </w:p>
    <w:p w14:paraId="7B1DB573"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Risks of conflicts related to the management of community infrastructures (location, accessibility and payment of</w:t>
      </w:r>
      <w:r w:rsidRPr="00540C2E">
        <w:rPr>
          <w:rFonts w:cs="Arial"/>
          <w:sz w:val="22"/>
          <w:lang w:val="en-US"/>
        </w:rPr>
        <w:t xml:space="preserve"> </w:t>
      </w:r>
      <w:r w:rsidRPr="00E7620D">
        <w:rPr>
          <w:rFonts w:cs="Arial"/>
          <w:sz w:val="22"/>
          <w:lang w:val="en-US"/>
        </w:rPr>
        <w:t>services)</w:t>
      </w:r>
      <w:r w:rsidR="006551F9">
        <w:rPr>
          <w:rFonts w:cs="Arial"/>
          <w:sz w:val="22"/>
          <w:lang w:val="en-US"/>
        </w:rPr>
        <w:t>.</w:t>
      </w:r>
    </w:p>
    <w:p w14:paraId="3DC6FD94" w14:textId="77777777" w:rsidR="001977A4" w:rsidRPr="00E7620D" w:rsidRDefault="001977A4" w:rsidP="001977A4">
      <w:pPr>
        <w:pStyle w:val="Corpsdetexte"/>
        <w:spacing w:line="276" w:lineRule="auto"/>
        <w:rPr>
          <w:rFonts w:cs="Arial"/>
          <w:sz w:val="22"/>
          <w:szCs w:val="22"/>
          <w:lang w:val="en-US"/>
        </w:rPr>
      </w:pPr>
    </w:p>
    <w:p w14:paraId="15FAF9E6" w14:textId="77777777" w:rsidR="0027419B" w:rsidRPr="0027419B" w:rsidRDefault="0027419B" w:rsidP="0027419B">
      <w:pPr>
        <w:pStyle w:val="Corpsdetexte"/>
        <w:rPr>
          <w:rFonts w:cs="Arial"/>
          <w:sz w:val="22"/>
          <w:szCs w:val="22"/>
          <w:u w:val="single"/>
          <w:lang w:val="en-US"/>
        </w:rPr>
      </w:pPr>
      <w:r w:rsidRPr="0027419B">
        <w:rPr>
          <w:rFonts w:cs="Arial"/>
          <w:sz w:val="22"/>
          <w:szCs w:val="22"/>
          <w:u w:val="single"/>
          <w:lang w:val="en-US"/>
        </w:rPr>
        <w:t>Risks and potential negative impacts of agricultural and irrigation works (development and hydraulic structures):</w:t>
      </w:r>
    </w:p>
    <w:p w14:paraId="5851ABF1" w14:textId="77777777" w:rsidR="0027419B" w:rsidRPr="0027419B" w:rsidRDefault="0027419B" w:rsidP="0027419B">
      <w:pPr>
        <w:pStyle w:val="Corpsdetexte"/>
        <w:rPr>
          <w:rFonts w:cs="Arial"/>
          <w:sz w:val="22"/>
          <w:szCs w:val="22"/>
          <w:u w:val="single"/>
          <w:lang w:val="en-US"/>
        </w:rPr>
      </w:pPr>
    </w:p>
    <w:p w14:paraId="503E3004"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Risks of GBV/ASR/HS during the Project start-up period;</w:t>
      </w:r>
    </w:p>
    <w:p w14:paraId="7CC4DFC4"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Risk of disturbance of spawning areas in rivers; </w:t>
      </w:r>
    </w:p>
    <w:p w14:paraId="27C96C00"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Deforestation, soil degradation through erosion, destruction of habitats during land clearing; </w:t>
      </w:r>
    </w:p>
    <w:p w14:paraId="7540F0F9"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Destruction of microfauna and organic matter;  </w:t>
      </w:r>
    </w:p>
    <w:p w14:paraId="57696A68"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Risk of conflicts of use (drinking water supply, agriculture, livestock and fishing);</w:t>
      </w:r>
    </w:p>
    <w:p w14:paraId="0223EBA1"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Risk of land conflicts between indigenous and non-indigenous investors;</w:t>
      </w:r>
    </w:p>
    <w:p w14:paraId="37133CC8"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Loss of grazing land (encroachment on silvopastoral areas);</w:t>
      </w:r>
    </w:p>
    <w:p w14:paraId="780F8E76"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Strong pressure on land and water with the increase in development;</w:t>
      </w:r>
    </w:p>
    <w:p w14:paraId="07D9327E"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Loss of soil fertility; </w:t>
      </w:r>
    </w:p>
    <w:p w14:paraId="3272B55C"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Water and soil pollution due to the non-rational use of pesticides and fertilizers; </w:t>
      </w:r>
    </w:p>
    <w:p w14:paraId="75A45CFD"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Health hazards due to pesticides; </w:t>
      </w:r>
    </w:p>
    <w:p w14:paraId="3D905C8F"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Destruction of non-targets by pesticides; </w:t>
      </w:r>
    </w:p>
    <w:p w14:paraId="663B9D28"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Nuisances in case of uncontrolled use of organic manure</w:t>
      </w:r>
    </w:p>
    <w:p w14:paraId="1809051D" w14:textId="77777777" w:rsidR="0027419B" w:rsidRPr="0027419B" w:rsidRDefault="0027419B" w:rsidP="0027419B">
      <w:pPr>
        <w:pStyle w:val="Corpsdetexte"/>
        <w:rPr>
          <w:rFonts w:cs="Arial"/>
          <w:sz w:val="22"/>
          <w:szCs w:val="22"/>
          <w:u w:val="single"/>
          <w:lang w:val="en-US"/>
        </w:rPr>
      </w:pPr>
    </w:p>
    <w:p w14:paraId="2D15ED7F" w14:textId="77777777" w:rsidR="0027419B" w:rsidRPr="0027419B" w:rsidRDefault="0027419B" w:rsidP="0027419B">
      <w:pPr>
        <w:pStyle w:val="Corpsdetexte"/>
        <w:rPr>
          <w:rFonts w:cs="Arial"/>
          <w:sz w:val="22"/>
          <w:szCs w:val="22"/>
          <w:u w:val="single"/>
          <w:lang w:val="en-US"/>
        </w:rPr>
      </w:pPr>
      <w:r w:rsidRPr="0027419B">
        <w:rPr>
          <w:rFonts w:cs="Arial"/>
          <w:sz w:val="22"/>
          <w:szCs w:val="22"/>
          <w:u w:val="single"/>
          <w:lang w:val="en-US"/>
        </w:rPr>
        <w:t>Potential risks and negative impacts during the operation phase of agricultural activities</w:t>
      </w:r>
    </w:p>
    <w:p w14:paraId="3D44F14F" w14:textId="77777777" w:rsidR="0027419B" w:rsidRPr="0027419B" w:rsidRDefault="0027419B" w:rsidP="0027419B">
      <w:pPr>
        <w:pStyle w:val="Corpsdetexte"/>
        <w:rPr>
          <w:rFonts w:cs="Arial"/>
          <w:sz w:val="22"/>
          <w:szCs w:val="22"/>
          <w:u w:val="single"/>
          <w:lang w:val="en-US"/>
        </w:rPr>
      </w:pPr>
    </w:p>
    <w:p w14:paraId="18EA4B2E"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Increase in water-related diseases; </w:t>
      </w:r>
    </w:p>
    <w:p w14:paraId="6F52D144"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Strong pressure on land and water with the increase in development</w:t>
      </w:r>
    </w:p>
    <w:p w14:paraId="57330853"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Loss of soil fertility; </w:t>
      </w:r>
    </w:p>
    <w:p w14:paraId="5BD34446"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Water and soil pollution from pesticides and fertilizers; </w:t>
      </w:r>
    </w:p>
    <w:p w14:paraId="52EF0F64"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Sanitary nuisance due to pesticides; </w:t>
      </w:r>
    </w:p>
    <w:p w14:paraId="382E40A0"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Destruction of non-targets by pesticides; </w:t>
      </w:r>
    </w:p>
    <w:p w14:paraId="61721709"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Nuisances in case of uncontrolled use of organic manure; </w:t>
      </w:r>
    </w:p>
    <w:p w14:paraId="70EA9719"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Increase in water-related diseases; </w:t>
      </w:r>
    </w:p>
    <w:p w14:paraId="72B38A52"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Increase in farmer-herder conflicts over access to water or grazing land;</w:t>
      </w:r>
    </w:p>
    <w:p w14:paraId="6CCE6FE3"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Risk of propagation of COVID-19 if barrier or prevention measures are not respected.</w:t>
      </w:r>
    </w:p>
    <w:p w14:paraId="46A73A4C"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 xml:space="preserve">Possible loss of income or property during the work; </w:t>
      </w:r>
    </w:p>
    <w:p w14:paraId="18743F91"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t>Risk of diseases such as STI/HIV/AIDS;</w:t>
      </w:r>
    </w:p>
    <w:p w14:paraId="3EB75BDE" w14:textId="77777777" w:rsidR="0027419B" w:rsidRPr="001C5995"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1C5995">
        <w:rPr>
          <w:rFonts w:cs="Arial"/>
          <w:sz w:val="22"/>
          <w:lang w:val="en-US"/>
        </w:rPr>
        <w:lastRenderedPageBreak/>
        <w:t>Risk of SIA/HS as a result of the work.</w:t>
      </w:r>
    </w:p>
    <w:p w14:paraId="1B4C2459" w14:textId="77777777" w:rsidR="0027419B" w:rsidRDefault="0027419B" w:rsidP="0027419B">
      <w:pPr>
        <w:pStyle w:val="Corpsdetexte"/>
        <w:spacing w:line="276" w:lineRule="auto"/>
        <w:rPr>
          <w:rFonts w:cs="Arial"/>
          <w:sz w:val="22"/>
          <w:szCs w:val="22"/>
          <w:u w:val="single"/>
          <w:lang w:val="en-US"/>
        </w:rPr>
      </w:pPr>
    </w:p>
    <w:p w14:paraId="531B35DC" w14:textId="77777777" w:rsidR="001977A4" w:rsidRPr="00E7620D" w:rsidRDefault="001977A4" w:rsidP="0027419B">
      <w:pPr>
        <w:pStyle w:val="Corpsdetexte"/>
        <w:spacing w:line="276" w:lineRule="auto"/>
        <w:rPr>
          <w:rFonts w:cs="Arial"/>
          <w:sz w:val="22"/>
          <w:szCs w:val="22"/>
          <w:lang w:val="en-US"/>
        </w:rPr>
      </w:pPr>
      <w:r w:rsidRPr="00E7620D">
        <w:rPr>
          <w:rFonts w:cs="Arial"/>
          <w:sz w:val="22"/>
          <w:szCs w:val="22"/>
          <w:u w:val="single"/>
          <w:lang w:val="en-US"/>
        </w:rPr>
        <w:t>Risks and Potential Negative Impacts common to all sub-projects (under construction):</w:t>
      </w:r>
    </w:p>
    <w:p w14:paraId="55EE165B" w14:textId="77777777" w:rsidR="001977A4" w:rsidRPr="00E7620D" w:rsidRDefault="001977A4" w:rsidP="001977A4">
      <w:pPr>
        <w:pStyle w:val="Corpsdetexte"/>
        <w:spacing w:line="276" w:lineRule="auto"/>
        <w:rPr>
          <w:rFonts w:cs="Arial"/>
          <w:sz w:val="22"/>
          <w:szCs w:val="22"/>
          <w:lang w:val="en-US"/>
        </w:rPr>
      </w:pPr>
    </w:p>
    <w:p w14:paraId="29DC8E4E"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Pollution of the environment (water and soil) by solid waste (excavation, demolition, oils, filters, batteries, plastics, inert waste, etc.);</w:t>
      </w:r>
    </w:p>
    <w:p w14:paraId="0D4C19BC" w14:textId="77777777" w:rsidR="001977A4" w:rsidRPr="00540C2E"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540C2E">
        <w:rPr>
          <w:rFonts w:cs="Arial"/>
          <w:sz w:val="22"/>
          <w:lang w:val="en-US"/>
        </w:rPr>
        <w:t>Noise pollution from machinery noise;</w:t>
      </w:r>
    </w:p>
    <w:p w14:paraId="3B83FB24"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Degradation of the environment by the deposit of demolition and construction site products;</w:t>
      </w:r>
    </w:p>
    <w:p w14:paraId="5146769C" w14:textId="77777777" w:rsidR="001977A4" w:rsidRPr="00540C2E"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540C2E">
        <w:rPr>
          <w:rFonts w:cs="Arial"/>
          <w:sz w:val="22"/>
          <w:lang w:val="en-US"/>
        </w:rPr>
        <w:t>Soil erosion and pollution;</w:t>
      </w:r>
    </w:p>
    <w:p w14:paraId="1741130B" w14:textId="77777777" w:rsidR="001977A4" w:rsidRPr="00540C2E"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540C2E">
        <w:rPr>
          <w:rFonts w:cs="Arial"/>
          <w:sz w:val="22"/>
          <w:lang w:val="en-US"/>
        </w:rPr>
        <w:t>Air pollution (dust flying);</w:t>
      </w:r>
    </w:p>
    <w:p w14:paraId="368454B4"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Loss of land, property and sources of income and risk of physical displacement</w:t>
      </w:r>
      <w:r w:rsidR="006551F9">
        <w:rPr>
          <w:rFonts w:cs="Arial"/>
          <w:sz w:val="22"/>
          <w:lang w:val="en-US"/>
        </w:rPr>
        <w:t>;</w:t>
      </w:r>
    </w:p>
    <w:p w14:paraId="0DB250B7"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Risks of social conflicts in case of non-use of local labour;</w:t>
      </w:r>
    </w:p>
    <w:p w14:paraId="0CCF2F5C"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unequal distribution of inputs and seeds or direct aids to smallholder farmers ;</w:t>
      </w:r>
    </w:p>
    <w:p w14:paraId="03589CB7"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Risks of social conflicts following the development of agricultural perimeters;</w:t>
      </w:r>
    </w:p>
    <w:p w14:paraId="7980C61C"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work by children under 18 years of age on construction sites;</w:t>
      </w:r>
    </w:p>
    <w:p w14:paraId="5C3D11C3"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using public security forces to secure sites (insecurity in North Kivu Province);</w:t>
      </w:r>
    </w:p>
    <w:p w14:paraId="2DDF4DC4"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Disruption of socio-economic activities during the work;</w:t>
      </w:r>
    </w:p>
    <w:p w14:paraId="6AB72F91"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discrimination against women when recruiting staff;</w:t>
      </w:r>
    </w:p>
    <w:p w14:paraId="10A8C5F0"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accidents during the work (personnel and population)</w:t>
      </w:r>
      <w:r w:rsidR="006551F9">
        <w:rPr>
          <w:rFonts w:cs="Arial"/>
          <w:sz w:val="22"/>
          <w:lang w:val="en-US"/>
        </w:rPr>
        <w:t>;</w:t>
      </w:r>
    </w:p>
    <w:p w14:paraId="35BE501F"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damage to other network infrastructure;</w:t>
      </w:r>
    </w:p>
    <w:p w14:paraId="6114771F"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Risks of exacerbating GBV, including SEA and HS, in the project's intervention area due to the mixing of populations and the influx of foreign workers;</w:t>
      </w:r>
    </w:p>
    <w:p w14:paraId="692AD380"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infection of STIs and HIV/AIDS;</w:t>
      </w:r>
    </w:p>
    <w:p w14:paraId="2B00BD47"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spread and contamination of COVID-19 to beneficiaries or other stakeholders;</w:t>
      </w:r>
    </w:p>
    <w:p w14:paraId="566A1639"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Negative impacts on hydro-agricultural development works;</w:t>
      </w:r>
    </w:p>
    <w:p w14:paraId="3EE362D9"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High pressures and risks of water resource degradation;</w:t>
      </w:r>
    </w:p>
    <w:p w14:paraId="3453E604"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Risks related to land degradation and soil fertility;</w:t>
      </w:r>
    </w:p>
    <w:p w14:paraId="11ABF05D"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Risks of development of water-related diseases;</w:t>
      </w:r>
    </w:p>
    <w:p w14:paraId="0C30C926"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Risks of intoxication and pollution with the use of pesticides;</w:t>
      </w:r>
    </w:p>
    <w:p w14:paraId="46A17478"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insecurity for workers and company equipment in certain provinces targeted by the PNDA Project;</w:t>
      </w:r>
    </w:p>
    <w:p w14:paraId="3AFE0C3E"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accidents related to vehicle traffic;</w:t>
      </w:r>
    </w:p>
    <w:p w14:paraId="3F286889"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bridge and culvert collapse on rural roads during the evacuation of agricultural products;</w:t>
      </w:r>
    </w:p>
    <w:p w14:paraId="0C3F2A96"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Deforestation following the opening of access roads and the exploitation of quarries;</w:t>
      </w:r>
    </w:p>
    <w:p w14:paraId="6E5175A9"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Risks of bush fires by uncontrolled burning;</w:t>
      </w:r>
    </w:p>
    <w:p w14:paraId="461BC4F0"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encroachment on protected areas (Mangai Hunting Area, Bushimaie, Mangrove Marine Park and Virunga National Park);</w:t>
      </w:r>
    </w:p>
    <w:p w14:paraId="325EFE6F"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encroachment on Aboriginal Peoples (AP) assets;</w:t>
      </w:r>
    </w:p>
    <w:p w14:paraId="0153BA9A"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proliferation of poaching;</w:t>
      </w:r>
    </w:p>
    <w:p w14:paraId="042A43FF"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fire or explosion of fuel storage tanks;</w:t>
      </w:r>
    </w:p>
    <w:p w14:paraId="647F3AE5"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potential affectation of cultural property (monuments, churches, tombs, sacred places, etc.) as a result of excavation activities (chance discoveries);</w:t>
      </w:r>
    </w:p>
    <w:p w14:paraId="00033D71"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rejection of new agricultural technologies and techniques proposed by the program</w:t>
      </w:r>
    </w:p>
    <w:p w14:paraId="1758CEE7" w14:textId="77777777" w:rsidR="001977A4" w:rsidRPr="00540C2E"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540C2E">
        <w:rPr>
          <w:rFonts w:cs="Arial"/>
          <w:sz w:val="22"/>
          <w:lang w:val="en-US"/>
        </w:rPr>
        <w:t>Risks of introducing invasive species</w:t>
      </w:r>
      <w:r w:rsidR="006551F9" w:rsidRPr="00540C2E">
        <w:rPr>
          <w:rFonts w:cs="Arial"/>
          <w:sz w:val="22"/>
          <w:lang w:val="en-US"/>
        </w:rPr>
        <w:t>;</w:t>
      </w:r>
    </w:p>
    <w:p w14:paraId="450625E6"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Risks of rejection of agricultural products by agro-distributors due to the non- respect of the quality required by the processing industry</w:t>
      </w:r>
      <w:r w:rsidR="006551F9">
        <w:rPr>
          <w:rFonts w:cs="Arial"/>
          <w:sz w:val="22"/>
          <w:lang w:val="en-US"/>
        </w:rPr>
        <w:t>;</w:t>
      </w:r>
    </w:p>
    <w:p w14:paraId="17E8AFC7"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lastRenderedPageBreak/>
        <w:t>Risk of social exclusion of vulnerable or marginalized groups (IPs, disabled, elderly, youth, albinos, etc.) from the benefits of the project and work opportunities.</w:t>
      </w:r>
    </w:p>
    <w:p w14:paraId="54AC1E8A" w14:textId="77777777" w:rsidR="001977A4" w:rsidRPr="00E7620D" w:rsidRDefault="001977A4" w:rsidP="001977A4">
      <w:pPr>
        <w:pStyle w:val="Corpsdetexte"/>
        <w:spacing w:line="276" w:lineRule="auto"/>
        <w:rPr>
          <w:rFonts w:cs="Arial"/>
          <w:sz w:val="22"/>
          <w:szCs w:val="22"/>
          <w:lang w:val="en-US"/>
        </w:rPr>
      </w:pPr>
    </w:p>
    <w:p w14:paraId="6A1C6547" w14:textId="77777777" w:rsidR="003C7971" w:rsidRPr="003C7971" w:rsidRDefault="003C7971" w:rsidP="003C7971">
      <w:pPr>
        <w:pStyle w:val="Corpsdetexte"/>
        <w:rPr>
          <w:rFonts w:cs="Arial"/>
          <w:sz w:val="22"/>
          <w:szCs w:val="22"/>
          <w:u w:val="single"/>
          <w:lang w:val="en-US"/>
        </w:rPr>
      </w:pPr>
      <w:r w:rsidRPr="003C7971">
        <w:rPr>
          <w:rFonts w:cs="Arial"/>
          <w:sz w:val="22"/>
          <w:szCs w:val="22"/>
          <w:u w:val="single"/>
          <w:lang w:val="en-US"/>
        </w:rPr>
        <w:t>Risk and impacts associated with rehabilitation of rural roads and priority transportation corridors:</w:t>
      </w:r>
    </w:p>
    <w:p w14:paraId="5E664A21" w14:textId="77777777" w:rsidR="003C7971" w:rsidRPr="003C7971" w:rsidRDefault="003C7971" w:rsidP="003C7971">
      <w:pPr>
        <w:pStyle w:val="Corpsdetexte"/>
        <w:rPr>
          <w:rFonts w:cs="Arial"/>
          <w:sz w:val="22"/>
          <w:szCs w:val="22"/>
          <w:u w:val="single"/>
          <w:lang w:val="en-US"/>
        </w:rPr>
      </w:pPr>
    </w:p>
    <w:p w14:paraId="1536BF10"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 xml:space="preserve">Tree felling and loss of biodiversity along the alignment and at laterite borrow sites; </w:t>
      </w:r>
    </w:p>
    <w:p w14:paraId="704C91F1"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 xml:space="preserve">Encroachment on cultivable land (for new alignments); </w:t>
      </w:r>
    </w:p>
    <w:p w14:paraId="4487AF2E"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 xml:space="preserve">Obstruction of runoff paths;  </w:t>
      </w:r>
    </w:p>
    <w:p w14:paraId="24584F74"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Air pollution and nuisances (dust, noise) during construction;</w:t>
      </w:r>
    </w:p>
    <w:p w14:paraId="6AECE383"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Pollution of the environment (water and soil) by solid waste (excavated material, demolition, oil, drainage, etc.);</w:t>
      </w:r>
    </w:p>
    <w:p w14:paraId="1CE118A5"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Risk of accidents for workers and the population;</w:t>
      </w:r>
    </w:p>
    <w:p w14:paraId="027B35C1"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 xml:space="preserve">Involuntary displacement of populations or economic activities;  </w:t>
      </w:r>
    </w:p>
    <w:p w14:paraId="4BC9EF59"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Generation of garbage during construction works;</w:t>
      </w:r>
    </w:p>
    <w:p w14:paraId="1CF0190E"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Degradation of the living environment;</w:t>
      </w:r>
    </w:p>
    <w:p w14:paraId="41FDF1E5"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Non-use of local labor;</w:t>
      </w:r>
    </w:p>
    <w:p w14:paraId="4635C6CB"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Risk of strong pressure on the fauna due to the presence of the local workforce;</w:t>
      </w:r>
    </w:p>
    <w:p w14:paraId="1818231B"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Deforestation due to the opening and exploitation of quarries;</w:t>
      </w:r>
    </w:p>
    <w:p w14:paraId="71076F9D"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Risk of bush fires due to uncontrolled burning;</w:t>
      </w:r>
    </w:p>
    <w:p w14:paraId="4551CBB4"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Sedimentation of waterways;</w:t>
      </w:r>
    </w:p>
    <w:p w14:paraId="6E0080FE"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 xml:space="preserve">Risk of encroachment of protected areas (Mangai hunting domain, Bushimae, Mangrove Marine Park and Virunga National Park); </w:t>
      </w:r>
    </w:p>
    <w:p w14:paraId="246190DA"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Risk of encroachment on the property of indigenous peoples (IPs);</w:t>
      </w:r>
    </w:p>
    <w:p w14:paraId="4DFEC958"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Risk of proliferation of poaching;</w:t>
      </w:r>
    </w:p>
    <w:p w14:paraId="427F201E"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Pollution and disruption of river flows, lowlands and rice fields;</w:t>
      </w:r>
    </w:p>
    <w:p w14:paraId="21FFEF00"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Pollution of surface and ground water from accidental spills of waste oil and hydrocarbons;</w:t>
      </w:r>
    </w:p>
    <w:p w14:paraId="72808D24"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Risk of soil erosion;</w:t>
      </w:r>
    </w:p>
    <w:p w14:paraId="48B39C7B"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Risk of accidental discovery:</w:t>
      </w:r>
    </w:p>
    <w:p w14:paraId="2D870502"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Potential spread of HIV/AIDS and STIs with cultural exchanges between the local population and construction workers;</w:t>
      </w:r>
    </w:p>
    <w:p w14:paraId="2FD7EDE7"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Risk of exacerbating GBV, including SEA and STIs, as a result of the work;</w:t>
      </w:r>
    </w:p>
    <w:p w14:paraId="09CE7809"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Risk of spreading COVID-19 if barrier or prevention measures are not respected; and</w:t>
      </w:r>
    </w:p>
    <w:p w14:paraId="50DF9ED3" w14:textId="77777777" w:rsidR="003C7971" w:rsidRPr="003C7971"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3C7971">
        <w:rPr>
          <w:rFonts w:cs="Arial"/>
          <w:sz w:val="22"/>
          <w:lang w:val="en-US"/>
        </w:rPr>
        <w:t>Risk of spreading Ebola virus.</w:t>
      </w:r>
    </w:p>
    <w:p w14:paraId="2DDCEF47" w14:textId="77777777" w:rsidR="003C7971" w:rsidRDefault="003C7971" w:rsidP="003C7971">
      <w:pPr>
        <w:pStyle w:val="Corpsdetexte"/>
        <w:spacing w:line="276" w:lineRule="auto"/>
        <w:rPr>
          <w:rFonts w:cs="Arial"/>
          <w:sz w:val="22"/>
          <w:szCs w:val="22"/>
          <w:u w:val="single"/>
          <w:lang w:val="en-US"/>
        </w:rPr>
      </w:pPr>
    </w:p>
    <w:p w14:paraId="0FD43C7B" w14:textId="77777777" w:rsidR="001977A4" w:rsidRPr="00E7620D" w:rsidRDefault="001977A4" w:rsidP="003C7971">
      <w:pPr>
        <w:pStyle w:val="Corpsdetexte"/>
        <w:spacing w:line="276" w:lineRule="auto"/>
        <w:rPr>
          <w:rFonts w:cs="Arial"/>
          <w:sz w:val="22"/>
          <w:szCs w:val="22"/>
          <w:lang w:val="en-US"/>
        </w:rPr>
      </w:pPr>
      <w:r w:rsidRPr="00E7620D">
        <w:rPr>
          <w:rFonts w:cs="Arial"/>
          <w:sz w:val="22"/>
          <w:szCs w:val="22"/>
          <w:u w:val="single"/>
          <w:lang w:val="en-US"/>
        </w:rPr>
        <w:t>Potential Risks and Negative Impacts of Construction/Rehabilitation of Community Markets</w:t>
      </w:r>
      <w:r w:rsidRPr="00E7620D">
        <w:rPr>
          <w:rFonts w:cs="Arial"/>
          <w:sz w:val="22"/>
          <w:szCs w:val="22"/>
          <w:lang w:val="en-US"/>
        </w:rPr>
        <w:t xml:space="preserve"> </w:t>
      </w:r>
      <w:r w:rsidRPr="00E7620D">
        <w:rPr>
          <w:rFonts w:cs="Arial"/>
          <w:sz w:val="22"/>
          <w:szCs w:val="22"/>
          <w:u w:val="single"/>
          <w:lang w:val="en-US"/>
        </w:rPr>
        <w:t>and Slaughterhouses</w:t>
      </w:r>
    </w:p>
    <w:p w14:paraId="5C20EB50" w14:textId="77777777" w:rsidR="001977A4" w:rsidRPr="00E7620D" w:rsidRDefault="001977A4" w:rsidP="001977A4">
      <w:pPr>
        <w:pStyle w:val="Corpsdetexte"/>
        <w:spacing w:line="276" w:lineRule="auto"/>
        <w:rPr>
          <w:rFonts w:cs="Arial"/>
          <w:sz w:val="22"/>
          <w:szCs w:val="22"/>
          <w:lang w:val="en-US"/>
        </w:rPr>
      </w:pPr>
    </w:p>
    <w:p w14:paraId="75F0317A"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Involuntary displacement of populations or economic activities</w:t>
      </w:r>
      <w:r w:rsidRPr="00540C2E">
        <w:rPr>
          <w:rFonts w:cs="Arial"/>
          <w:sz w:val="22"/>
          <w:lang w:val="en-US"/>
        </w:rPr>
        <w:t xml:space="preserve"> </w:t>
      </w:r>
      <w:r w:rsidRPr="00E7620D">
        <w:rPr>
          <w:rFonts w:cs="Arial"/>
          <w:sz w:val="22"/>
          <w:lang w:val="en-US"/>
        </w:rPr>
        <w:t>;</w:t>
      </w:r>
    </w:p>
    <w:p w14:paraId="1AA71839"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Waste generation during construction and operation</w:t>
      </w:r>
      <w:r w:rsidRPr="00540C2E">
        <w:rPr>
          <w:rFonts w:cs="Arial"/>
          <w:sz w:val="22"/>
          <w:lang w:val="en-US"/>
        </w:rPr>
        <w:t xml:space="preserve"> </w:t>
      </w:r>
      <w:r w:rsidRPr="00E7620D">
        <w:rPr>
          <w:rFonts w:cs="Arial"/>
          <w:sz w:val="22"/>
          <w:lang w:val="en-US"/>
        </w:rPr>
        <w:t>;</w:t>
      </w:r>
    </w:p>
    <w:p w14:paraId="175902C6"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Alteration</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landscape</w:t>
      </w:r>
      <w:r w:rsidRPr="00540C2E">
        <w:rPr>
          <w:rFonts w:cs="Arial"/>
          <w:sz w:val="22"/>
          <w:lang w:val="en-US"/>
        </w:rPr>
        <w:t xml:space="preserve"> </w:t>
      </w:r>
      <w:r w:rsidRPr="00E7620D">
        <w:rPr>
          <w:rFonts w:cs="Arial"/>
          <w:sz w:val="22"/>
          <w:lang w:val="en-US"/>
        </w:rPr>
        <w:t>in</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right-of-way</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construction</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community</w:t>
      </w:r>
      <w:r w:rsidRPr="00540C2E">
        <w:rPr>
          <w:rFonts w:cs="Arial"/>
          <w:sz w:val="22"/>
          <w:lang w:val="en-US"/>
        </w:rPr>
        <w:t xml:space="preserve"> </w:t>
      </w:r>
      <w:r w:rsidRPr="00E7620D">
        <w:rPr>
          <w:rFonts w:cs="Arial"/>
          <w:sz w:val="22"/>
          <w:lang w:val="en-US"/>
        </w:rPr>
        <w:t>markets;</w:t>
      </w:r>
    </w:p>
    <w:p w14:paraId="4CCC2505"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personal injury during the work</w:t>
      </w:r>
      <w:r w:rsidRPr="00540C2E">
        <w:rPr>
          <w:rFonts w:cs="Arial"/>
          <w:sz w:val="22"/>
          <w:lang w:val="en-US"/>
        </w:rPr>
        <w:t xml:space="preserve"> </w:t>
      </w:r>
      <w:r w:rsidRPr="00E7620D">
        <w:rPr>
          <w:rFonts w:cs="Arial"/>
          <w:sz w:val="22"/>
          <w:lang w:val="en-US"/>
        </w:rPr>
        <w:t>;</w:t>
      </w:r>
    </w:p>
    <w:p w14:paraId="4EB50868"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Non-use of local labour ;</w:t>
      </w:r>
    </w:p>
    <w:p w14:paraId="12106496"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Possibility of spread of HIV/AIDS and STIs with cultural exchanges between the local population and the workers on the construction</w:t>
      </w:r>
      <w:r w:rsidRPr="00540C2E">
        <w:rPr>
          <w:rFonts w:cs="Arial"/>
          <w:sz w:val="22"/>
          <w:lang w:val="en-US"/>
        </w:rPr>
        <w:t xml:space="preserve"> </w:t>
      </w:r>
      <w:r w:rsidRPr="00E7620D">
        <w:rPr>
          <w:rFonts w:cs="Arial"/>
          <w:sz w:val="22"/>
          <w:lang w:val="en-US"/>
        </w:rPr>
        <w:t>sites;</w:t>
      </w:r>
    </w:p>
    <w:p w14:paraId="19EF8A10"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GBV, including EAS and HS, especially due to the influx of labor for the work</w:t>
      </w:r>
      <w:r w:rsidRPr="00540C2E">
        <w:rPr>
          <w:rFonts w:cs="Arial"/>
          <w:sz w:val="22"/>
          <w:lang w:val="en-US"/>
        </w:rPr>
        <w:t xml:space="preserve"> </w:t>
      </w:r>
      <w:r w:rsidRPr="00E7620D">
        <w:rPr>
          <w:rFonts w:cs="Arial"/>
          <w:sz w:val="22"/>
          <w:lang w:val="en-US"/>
        </w:rPr>
        <w:t>;</w:t>
      </w:r>
    </w:p>
    <w:p w14:paraId="15904ACD"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Risk of spread of VIDOC-19 if barrier or prevention measures are not</w:t>
      </w:r>
      <w:r w:rsidRPr="00540C2E">
        <w:rPr>
          <w:rFonts w:cs="Arial"/>
          <w:sz w:val="22"/>
          <w:lang w:val="en-US"/>
        </w:rPr>
        <w:t xml:space="preserve"> </w:t>
      </w:r>
      <w:r w:rsidRPr="00E7620D">
        <w:rPr>
          <w:rFonts w:cs="Arial"/>
          <w:sz w:val="22"/>
          <w:lang w:val="en-US"/>
        </w:rPr>
        <w:t>respected.</w:t>
      </w:r>
    </w:p>
    <w:p w14:paraId="5B925CC8" w14:textId="77777777" w:rsidR="001977A4" w:rsidRPr="00E7620D" w:rsidRDefault="001977A4" w:rsidP="001977A4">
      <w:pPr>
        <w:pStyle w:val="Corpsdetexte"/>
        <w:spacing w:line="276" w:lineRule="auto"/>
        <w:ind w:hanging="284"/>
        <w:rPr>
          <w:rFonts w:cs="Arial"/>
          <w:sz w:val="22"/>
          <w:szCs w:val="22"/>
          <w:lang w:val="en-US"/>
        </w:rPr>
      </w:pPr>
    </w:p>
    <w:p w14:paraId="18FE5B58" w14:textId="77777777" w:rsidR="001977A4" w:rsidRPr="00540C2E"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i/>
          <w:sz w:val="22"/>
          <w:lang w:val="en-US"/>
        </w:rPr>
      </w:pPr>
      <w:r w:rsidRPr="00540C2E">
        <w:rPr>
          <w:rFonts w:cs="Arial"/>
          <w:i/>
          <w:sz w:val="22"/>
          <w:lang w:val="en-US"/>
        </w:rPr>
        <w:lastRenderedPageBreak/>
        <w:t>Environmental and social management measures</w:t>
      </w:r>
    </w:p>
    <w:p w14:paraId="71030E04" w14:textId="77777777" w:rsidR="001977A4" w:rsidRPr="00345381" w:rsidRDefault="001977A4" w:rsidP="001977A4">
      <w:pPr>
        <w:pStyle w:val="Corpsdetexte"/>
        <w:spacing w:line="276" w:lineRule="auto"/>
        <w:rPr>
          <w:rFonts w:cs="Arial"/>
          <w:i/>
          <w:sz w:val="22"/>
          <w:szCs w:val="22"/>
          <w:lang w:val="en-US"/>
        </w:rPr>
      </w:pPr>
    </w:p>
    <w:p w14:paraId="1D3DA17F"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The environmental and social management of the PNDA includes strategic measures and institutional and technical support, training, and sensitization to strengthen the capacities of the structures concerned, which are described below:</w:t>
      </w:r>
    </w:p>
    <w:p w14:paraId="60694A4B"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Preparation of the Workforce Management Plan (WMP)</w:t>
      </w:r>
      <w:r w:rsidRPr="00540C2E">
        <w:rPr>
          <w:rFonts w:cs="Arial"/>
          <w:sz w:val="22"/>
          <w:lang w:val="en-US"/>
        </w:rPr>
        <w:t xml:space="preserve"> </w:t>
      </w:r>
      <w:r w:rsidRPr="00E7620D">
        <w:rPr>
          <w:rFonts w:cs="Arial"/>
          <w:sz w:val="22"/>
          <w:lang w:val="en-US"/>
        </w:rPr>
        <w:t>;</w:t>
      </w:r>
    </w:p>
    <w:p w14:paraId="42541230"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Preparation of the Stakeholder Mobilization Plan (SMPP)</w:t>
      </w:r>
      <w:r w:rsidRPr="00540C2E">
        <w:rPr>
          <w:rFonts w:cs="Arial"/>
          <w:sz w:val="22"/>
          <w:lang w:val="en-US"/>
        </w:rPr>
        <w:t xml:space="preserve"> </w:t>
      </w:r>
      <w:r w:rsidRPr="00E7620D">
        <w:rPr>
          <w:rFonts w:cs="Arial"/>
          <w:sz w:val="22"/>
          <w:lang w:val="en-US"/>
        </w:rPr>
        <w:t>;</w:t>
      </w:r>
    </w:p>
    <w:p w14:paraId="2E4A8757"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Preparation of Resettlement Action Plans (RAP)</w:t>
      </w:r>
      <w:r w:rsidRPr="00540C2E">
        <w:rPr>
          <w:rFonts w:cs="Arial"/>
          <w:sz w:val="22"/>
          <w:lang w:val="en-US"/>
        </w:rPr>
        <w:t xml:space="preserve"> </w:t>
      </w:r>
      <w:r w:rsidRPr="00E7620D">
        <w:rPr>
          <w:rFonts w:cs="Arial"/>
          <w:sz w:val="22"/>
          <w:lang w:val="en-US"/>
        </w:rPr>
        <w:t>;</w:t>
      </w:r>
    </w:p>
    <w:p w14:paraId="7C36EE84"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Preparation of a NMP Pest Management Plan)</w:t>
      </w:r>
      <w:r w:rsidRPr="00540C2E">
        <w:rPr>
          <w:rFonts w:cs="Arial"/>
          <w:sz w:val="22"/>
          <w:lang w:val="en-US"/>
        </w:rPr>
        <w:t xml:space="preserve"> </w:t>
      </w:r>
      <w:r w:rsidRPr="00E7620D">
        <w:rPr>
          <w:rFonts w:cs="Arial"/>
          <w:sz w:val="22"/>
          <w:lang w:val="en-US"/>
        </w:rPr>
        <w:t>;</w:t>
      </w:r>
    </w:p>
    <w:p w14:paraId="62693CF4"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Preparation of an Environmental and Social Commitment Plan (ESEP)</w:t>
      </w:r>
      <w:r w:rsidRPr="00540C2E">
        <w:rPr>
          <w:rFonts w:cs="Arial"/>
          <w:sz w:val="22"/>
          <w:lang w:val="en-US"/>
        </w:rPr>
        <w:t xml:space="preserve"> </w:t>
      </w:r>
      <w:r w:rsidRPr="00E7620D">
        <w:rPr>
          <w:rFonts w:cs="Arial"/>
          <w:sz w:val="22"/>
          <w:lang w:val="en-US"/>
        </w:rPr>
        <w:t>;</w:t>
      </w:r>
    </w:p>
    <w:p w14:paraId="7A545858" w14:textId="607C0003"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Preparation of an action plan for prevention and response to EAS/HS, taking into account</w:t>
      </w:r>
      <w:r w:rsidRPr="00540C2E">
        <w:rPr>
          <w:rFonts w:cs="Arial"/>
          <w:sz w:val="22"/>
          <w:lang w:val="en-US"/>
        </w:rPr>
        <w:t xml:space="preserve"> </w:t>
      </w:r>
      <w:r w:rsidRPr="00E7620D">
        <w:rPr>
          <w:rFonts w:cs="Arial"/>
          <w:sz w:val="22"/>
          <w:lang w:val="en-US"/>
        </w:rPr>
        <w:t>prevention</w:t>
      </w:r>
      <w:r w:rsidRPr="00540C2E">
        <w:rPr>
          <w:rFonts w:cs="Arial"/>
          <w:sz w:val="22"/>
          <w:lang w:val="en-US"/>
        </w:rPr>
        <w:t xml:space="preserve"> </w:t>
      </w:r>
      <w:r w:rsidRPr="00E7620D">
        <w:rPr>
          <w:rFonts w:cs="Arial"/>
          <w:sz w:val="22"/>
          <w:lang w:val="en-US"/>
        </w:rPr>
        <w:t>(behavior</w:t>
      </w:r>
      <w:r w:rsidRPr="00540C2E">
        <w:rPr>
          <w:rFonts w:cs="Arial"/>
          <w:sz w:val="22"/>
          <w:lang w:val="en-US"/>
        </w:rPr>
        <w:t xml:space="preserve"> </w:t>
      </w:r>
      <w:r w:rsidRPr="00E7620D">
        <w:rPr>
          <w:rFonts w:cs="Arial"/>
          <w:sz w:val="22"/>
          <w:lang w:val="en-US"/>
        </w:rPr>
        <w:t>change</w:t>
      </w:r>
      <w:r w:rsidRPr="00540C2E">
        <w:rPr>
          <w:rFonts w:cs="Arial"/>
          <w:sz w:val="22"/>
          <w:lang w:val="en-US"/>
        </w:rPr>
        <w:t xml:space="preserve"> </w:t>
      </w:r>
      <w:r w:rsidRPr="00E7620D">
        <w:rPr>
          <w:rFonts w:cs="Arial"/>
          <w:sz w:val="22"/>
          <w:lang w:val="en-US"/>
        </w:rPr>
        <w:t>activities),</w:t>
      </w:r>
      <w:r w:rsidRPr="00540C2E">
        <w:rPr>
          <w:rFonts w:cs="Arial"/>
          <w:sz w:val="22"/>
          <w:lang w:val="en-US"/>
        </w:rPr>
        <w:t xml:space="preserve"> </w:t>
      </w:r>
      <w:r w:rsidRPr="00E7620D">
        <w:rPr>
          <w:rFonts w:cs="Arial"/>
          <w:sz w:val="22"/>
          <w:lang w:val="en-US"/>
        </w:rPr>
        <w:t>mitigation</w:t>
      </w:r>
      <w:r w:rsidRPr="00540C2E">
        <w:rPr>
          <w:rFonts w:cs="Arial"/>
          <w:sz w:val="22"/>
          <w:lang w:val="en-US"/>
        </w:rPr>
        <w:t xml:space="preserve"> </w:t>
      </w:r>
      <w:r w:rsidRPr="00E7620D">
        <w:rPr>
          <w:rFonts w:cs="Arial"/>
          <w:sz w:val="22"/>
          <w:lang w:val="en-US"/>
        </w:rPr>
        <w:t>(implementation</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code of conduct, community sensitization and consultation, and staff and worker training), and</w:t>
      </w:r>
      <w:r w:rsidRPr="00540C2E">
        <w:rPr>
          <w:rFonts w:cs="Arial"/>
          <w:sz w:val="22"/>
          <w:lang w:val="en-US"/>
        </w:rPr>
        <w:t xml:space="preserve"> </w:t>
      </w:r>
      <w:r w:rsidRPr="00E7620D">
        <w:rPr>
          <w:rFonts w:cs="Arial"/>
          <w:sz w:val="22"/>
          <w:lang w:val="en-US"/>
        </w:rPr>
        <w:t>response</w:t>
      </w:r>
      <w:r w:rsidRPr="00540C2E">
        <w:rPr>
          <w:rFonts w:cs="Arial"/>
          <w:sz w:val="22"/>
          <w:lang w:val="en-US"/>
        </w:rPr>
        <w:t xml:space="preserve"> </w:t>
      </w:r>
      <w:r w:rsidRPr="00E7620D">
        <w:rPr>
          <w:rFonts w:cs="Arial"/>
          <w:sz w:val="22"/>
          <w:lang w:val="en-US"/>
        </w:rPr>
        <w:t>(mapping</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survivor</w:t>
      </w:r>
      <w:r w:rsidRPr="00540C2E">
        <w:rPr>
          <w:rFonts w:cs="Arial"/>
          <w:sz w:val="22"/>
          <w:lang w:val="en-US"/>
        </w:rPr>
        <w:t xml:space="preserve"> </w:t>
      </w:r>
      <w:r w:rsidRPr="00E7620D">
        <w:rPr>
          <w:rFonts w:cs="Arial"/>
          <w:sz w:val="22"/>
          <w:lang w:val="en-US"/>
        </w:rPr>
        <w:t>services</w:t>
      </w:r>
      <w:r w:rsidRPr="00540C2E">
        <w:rPr>
          <w:rFonts w:cs="Arial"/>
          <w:sz w:val="22"/>
          <w:lang w:val="en-US"/>
        </w:rPr>
        <w:t xml:space="preserve"> </w:t>
      </w:r>
      <w:r w:rsidRPr="00E7620D">
        <w:rPr>
          <w:rFonts w:cs="Arial"/>
          <w:sz w:val="22"/>
          <w:lang w:val="en-US"/>
        </w:rPr>
        <w:t>and</w:t>
      </w:r>
      <w:r w:rsidRPr="00540C2E">
        <w:rPr>
          <w:rFonts w:cs="Arial"/>
          <w:sz w:val="22"/>
          <w:lang w:val="en-US"/>
        </w:rPr>
        <w:t xml:space="preserve"> </w:t>
      </w:r>
      <w:r w:rsidRPr="00E7620D">
        <w:rPr>
          <w:rFonts w:cs="Arial"/>
          <w:sz w:val="22"/>
          <w:lang w:val="en-US"/>
        </w:rPr>
        <w:t>implementation</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a</w:t>
      </w:r>
      <w:r w:rsidRPr="00540C2E">
        <w:rPr>
          <w:rFonts w:cs="Arial"/>
          <w:sz w:val="22"/>
          <w:lang w:val="en-US"/>
        </w:rPr>
        <w:t xml:space="preserve"> </w:t>
      </w:r>
      <w:r w:rsidRPr="00E7620D">
        <w:rPr>
          <w:rFonts w:cs="Arial"/>
          <w:sz w:val="22"/>
          <w:lang w:val="en-US"/>
        </w:rPr>
        <w:t>minimum</w:t>
      </w:r>
      <w:r w:rsidRPr="00540C2E">
        <w:rPr>
          <w:rFonts w:cs="Arial"/>
          <w:sz w:val="22"/>
          <w:lang w:val="en-US"/>
        </w:rPr>
        <w:t xml:space="preserve"> </w:t>
      </w:r>
      <w:r w:rsidRPr="00E7620D">
        <w:rPr>
          <w:rFonts w:cs="Arial"/>
          <w:sz w:val="22"/>
          <w:lang w:val="en-US"/>
        </w:rPr>
        <w:t>package of</w:t>
      </w:r>
      <w:r w:rsidRPr="00540C2E">
        <w:rPr>
          <w:rFonts w:cs="Arial"/>
          <w:sz w:val="22"/>
          <w:lang w:val="en-US"/>
        </w:rPr>
        <w:t xml:space="preserve"> </w:t>
      </w:r>
      <w:r w:rsidRPr="00E7620D">
        <w:rPr>
          <w:rFonts w:cs="Arial"/>
          <w:sz w:val="22"/>
          <w:lang w:val="en-US"/>
        </w:rPr>
        <w:t>services,</w:t>
      </w:r>
      <w:r w:rsidRPr="00540C2E">
        <w:rPr>
          <w:rFonts w:cs="Arial"/>
          <w:sz w:val="22"/>
          <w:lang w:val="en-US"/>
        </w:rPr>
        <w:t xml:space="preserve"> </w:t>
      </w:r>
      <w:r w:rsidRPr="00E7620D">
        <w:rPr>
          <w:rFonts w:cs="Arial"/>
          <w:sz w:val="22"/>
          <w:lang w:val="en-US"/>
        </w:rPr>
        <w:t>and</w:t>
      </w:r>
      <w:r w:rsidRPr="00540C2E">
        <w:rPr>
          <w:rFonts w:cs="Arial"/>
          <w:sz w:val="22"/>
          <w:lang w:val="en-US"/>
        </w:rPr>
        <w:t xml:space="preserve"> </w:t>
      </w:r>
      <w:r w:rsidRPr="00E7620D">
        <w:rPr>
          <w:rFonts w:cs="Arial"/>
          <w:sz w:val="22"/>
          <w:lang w:val="en-US"/>
        </w:rPr>
        <w:t>development</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EAS/HS-sensitive</w:t>
      </w:r>
      <w:r w:rsidRPr="00540C2E">
        <w:rPr>
          <w:rFonts w:cs="Arial"/>
          <w:sz w:val="22"/>
          <w:lang w:val="en-US"/>
        </w:rPr>
        <w:t xml:space="preserve"> </w:t>
      </w:r>
      <w:r w:rsidRPr="00E7620D">
        <w:rPr>
          <w:rFonts w:cs="Arial"/>
          <w:sz w:val="22"/>
          <w:lang w:val="en-US"/>
        </w:rPr>
        <w:t>PPM</w:t>
      </w:r>
      <w:r w:rsidRPr="00540C2E">
        <w:rPr>
          <w:rFonts w:cs="Arial"/>
          <w:sz w:val="22"/>
          <w:lang w:val="en-US"/>
        </w:rPr>
        <w:t xml:space="preserve"> </w:t>
      </w:r>
      <w:r w:rsidRPr="00E7620D">
        <w:rPr>
          <w:rFonts w:cs="Arial"/>
          <w:sz w:val="22"/>
          <w:lang w:val="en-US"/>
        </w:rPr>
        <w:t>with</w:t>
      </w:r>
      <w:r w:rsidRPr="00540C2E">
        <w:rPr>
          <w:rFonts w:cs="Arial"/>
          <w:sz w:val="22"/>
          <w:lang w:val="en-US"/>
        </w:rPr>
        <w:t xml:space="preserve"> </w:t>
      </w:r>
      <w:r w:rsidRPr="00E7620D">
        <w:rPr>
          <w:rFonts w:cs="Arial"/>
          <w:sz w:val="22"/>
          <w:lang w:val="en-US"/>
        </w:rPr>
        <w:t>a</w:t>
      </w:r>
      <w:r w:rsidRPr="00540C2E">
        <w:rPr>
          <w:rFonts w:cs="Arial"/>
          <w:sz w:val="22"/>
          <w:lang w:val="en-US"/>
        </w:rPr>
        <w:t xml:space="preserve"> </w:t>
      </w:r>
      <w:r w:rsidRPr="00E7620D">
        <w:rPr>
          <w:rFonts w:cs="Arial"/>
          <w:sz w:val="22"/>
          <w:lang w:val="en-US"/>
        </w:rPr>
        <w:t>response</w:t>
      </w:r>
      <w:r w:rsidRPr="00540C2E">
        <w:rPr>
          <w:rFonts w:cs="Arial"/>
          <w:sz w:val="22"/>
          <w:lang w:val="en-US"/>
        </w:rPr>
        <w:t xml:space="preserve"> </w:t>
      </w:r>
      <w:r w:rsidRPr="00E7620D">
        <w:rPr>
          <w:rFonts w:cs="Arial"/>
          <w:sz w:val="22"/>
          <w:lang w:val="en-US"/>
        </w:rPr>
        <w:t>protocol)</w:t>
      </w:r>
      <w:r w:rsidR="00783947">
        <w:rPr>
          <w:rFonts w:cs="Arial"/>
          <w:sz w:val="22"/>
          <w:lang w:val="en-US"/>
        </w:rPr>
        <w:t xml:space="preserve"> (see annex 15 for the EAS/HS action plan)</w:t>
      </w:r>
      <w:r w:rsidRPr="00E7620D">
        <w:rPr>
          <w:rFonts w:cs="Arial"/>
          <w:sz w:val="22"/>
          <w:lang w:val="en-US"/>
        </w:rPr>
        <w:t>;</w:t>
      </w:r>
    </w:p>
    <w:p w14:paraId="10CE23E7"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Prepare an Aboriginal Peoples Plan (APP) if</w:t>
      </w:r>
      <w:r w:rsidRPr="00540C2E">
        <w:rPr>
          <w:rFonts w:cs="Arial"/>
          <w:sz w:val="22"/>
          <w:lang w:val="en-US"/>
        </w:rPr>
        <w:t xml:space="preserve"> </w:t>
      </w:r>
      <w:r w:rsidRPr="00E7620D">
        <w:rPr>
          <w:rFonts w:cs="Arial"/>
          <w:sz w:val="22"/>
          <w:lang w:val="en-US"/>
        </w:rPr>
        <w:t>necessary;</w:t>
      </w:r>
    </w:p>
    <w:p w14:paraId="4F44192D"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Preparation of a separate Security Management Plan (SMP) that outlines all procedures and protocols related to this aspect of the program (the SMP will conduct a Security Risk Assessment (SRA) and propose mitigation</w:t>
      </w:r>
      <w:r w:rsidRPr="00540C2E">
        <w:rPr>
          <w:rFonts w:cs="Arial"/>
          <w:sz w:val="22"/>
          <w:lang w:val="en-US"/>
        </w:rPr>
        <w:t xml:space="preserve"> </w:t>
      </w:r>
      <w:r w:rsidRPr="00E7620D">
        <w:rPr>
          <w:rFonts w:cs="Arial"/>
          <w:sz w:val="22"/>
          <w:lang w:val="en-US"/>
        </w:rPr>
        <w:t>measures);</w:t>
      </w:r>
    </w:p>
    <w:p w14:paraId="0286BF66"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Establish a comprehensive Complaint Management Mechanism (CMP), including specific procedures for the ethical and confidential handling of complaints related to EAS and HS ;</w:t>
      </w:r>
    </w:p>
    <w:p w14:paraId="06695CB0"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Ensure that financial intermediaries have environmental and social management systems (ESMS) in place prior to the commencement of credit issuance</w:t>
      </w:r>
      <w:r w:rsidRPr="00540C2E">
        <w:rPr>
          <w:rFonts w:cs="Arial"/>
          <w:sz w:val="22"/>
          <w:lang w:val="en-US"/>
        </w:rPr>
        <w:t xml:space="preserve"> </w:t>
      </w:r>
      <w:r w:rsidRPr="00E7620D">
        <w:rPr>
          <w:rFonts w:cs="Arial"/>
          <w:sz w:val="22"/>
          <w:lang w:val="en-US"/>
        </w:rPr>
        <w:t>;</w:t>
      </w:r>
    </w:p>
    <w:p w14:paraId="13157AFF"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Establish a GBV-related GPM for the ethical and confidential treatment of complaints related to EAS/HS</w:t>
      </w:r>
      <w:r w:rsidRPr="00540C2E">
        <w:rPr>
          <w:rFonts w:cs="Arial"/>
          <w:sz w:val="22"/>
          <w:lang w:val="en-US"/>
        </w:rPr>
        <w:t xml:space="preserve"> </w:t>
      </w:r>
      <w:r w:rsidRPr="00E7620D">
        <w:rPr>
          <w:rFonts w:cs="Arial"/>
          <w:sz w:val="22"/>
          <w:lang w:val="en-US"/>
        </w:rPr>
        <w:t>;</w:t>
      </w:r>
    </w:p>
    <w:p w14:paraId="3A1C55CE"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Consideration of service providers and suppliers</w:t>
      </w:r>
      <w:r w:rsidRPr="00540C2E">
        <w:rPr>
          <w:rFonts w:cs="Arial"/>
          <w:sz w:val="22"/>
          <w:lang w:val="en-US"/>
        </w:rPr>
        <w:t xml:space="preserve"> </w:t>
      </w:r>
      <w:r w:rsidRPr="00E7620D">
        <w:rPr>
          <w:rFonts w:cs="Arial"/>
          <w:sz w:val="22"/>
          <w:lang w:val="en-US"/>
        </w:rPr>
        <w:t>;</w:t>
      </w:r>
    </w:p>
    <w:p w14:paraId="6C148DDF"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Preparation of a code of conduct: individual, manager and company, prohibiting all forms of sexual abuse and exploitation, harassment, or violence, including acts of EAS/HS, and including explicit language on prohibited behaviors, including the prohibition of sexual relations with minors</w:t>
      </w:r>
      <w:r w:rsidRPr="00540C2E">
        <w:rPr>
          <w:lang w:val="en-US"/>
        </w:rPr>
        <w:footnoteReference w:id="6"/>
      </w:r>
      <w:r w:rsidRPr="00E7620D">
        <w:rPr>
          <w:rFonts w:cs="Arial"/>
          <w:sz w:val="22"/>
          <w:lang w:val="en-US"/>
        </w:rPr>
        <w:t>, established sanctions, and key notions on GBV, as well as the types and forms of GBV and the notion of</w:t>
      </w:r>
      <w:r w:rsidRPr="00540C2E">
        <w:rPr>
          <w:rFonts w:cs="Arial"/>
          <w:sz w:val="22"/>
          <w:lang w:val="en-US"/>
        </w:rPr>
        <w:t xml:space="preserve"> </w:t>
      </w:r>
      <w:r w:rsidRPr="00E7620D">
        <w:rPr>
          <w:rFonts w:cs="Arial"/>
          <w:sz w:val="22"/>
          <w:lang w:val="en-US"/>
        </w:rPr>
        <w:t>consent;</w:t>
      </w:r>
    </w:p>
    <w:p w14:paraId="6B9397D9"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Prohibition of child labour on the construction site and associated facilities</w:t>
      </w:r>
      <w:r w:rsidRPr="00540C2E">
        <w:rPr>
          <w:rFonts w:cs="Arial"/>
          <w:sz w:val="22"/>
          <w:lang w:val="en-US"/>
        </w:rPr>
        <w:t xml:space="preserve"> </w:t>
      </w:r>
      <w:r w:rsidRPr="00E7620D">
        <w:rPr>
          <w:rFonts w:cs="Arial"/>
          <w:sz w:val="22"/>
          <w:lang w:val="en-US"/>
        </w:rPr>
        <w:t>;</w:t>
      </w:r>
    </w:p>
    <w:p w14:paraId="18355925"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Methodology for the preparation, approval, and execution and monitoring of sub- projects;</w:t>
      </w:r>
    </w:p>
    <w:p w14:paraId="51A996EA"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Minimize deforestation and destruction of riparian vegetation</w:t>
      </w:r>
      <w:r w:rsidRPr="00540C2E">
        <w:rPr>
          <w:rFonts w:cs="Arial"/>
          <w:sz w:val="22"/>
          <w:lang w:val="en-US"/>
        </w:rPr>
        <w:t xml:space="preserve"> </w:t>
      </w:r>
      <w:r w:rsidRPr="00E7620D">
        <w:rPr>
          <w:rFonts w:cs="Arial"/>
          <w:sz w:val="22"/>
          <w:lang w:val="en-US"/>
        </w:rPr>
        <w:t>;</w:t>
      </w:r>
    </w:p>
    <w:p w14:paraId="720F6ADE"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Establish and maintain buffer zones around areas recognized as wildlife habitat to minimize the impact of Project activities on these areas and the wildlife they</w:t>
      </w:r>
      <w:r w:rsidRPr="00540C2E">
        <w:rPr>
          <w:rFonts w:cs="Arial"/>
          <w:sz w:val="22"/>
          <w:lang w:val="en-US"/>
        </w:rPr>
        <w:t xml:space="preserve"> </w:t>
      </w:r>
      <w:r w:rsidRPr="00E7620D">
        <w:rPr>
          <w:rFonts w:cs="Arial"/>
          <w:sz w:val="22"/>
          <w:lang w:val="en-US"/>
        </w:rPr>
        <w:t>support;</w:t>
      </w:r>
    </w:p>
    <w:p w14:paraId="5483BB03"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Involve ICCN before undertaking any Project activities in buffer zones or within protected</w:t>
      </w:r>
      <w:r w:rsidRPr="00540C2E">
        <w:rPr>
          <w:rFonts w:cs="Arial"/>
          <w:sz w:val="22"/>
          <w:lang w:val="en-US"/>
        </w:rPr>
        <w:t xml:space="preserve"> </w:t>
      </w:r>
      <w:r w:rsidRPr="00E7620D">
        <w:rPr>
          <w:rFonts w:cs="Arial"/>
          <w:sz w:val="22"/>
          <w:lang w:val="en-US"/>
        </w:rPr>
        <w:t>areas;</w:t>
      </w:r>
    </w:p>
    <w:p w14:paraId="5CAA3F60"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Prohibit activities in parks and protected areas</w:t>
      </w:r>
      <w:r w:rsidRPr="00540C2E">
        <w:rPr>
          <w:rFonts w:cs="Arial"/>
          <w:sz w:val="22"/>
          <w:lang w:val="en-US"/>
        </w:rPr>
        <w:t xml:space="preserve"> </w:t>
      </w:r>
      <w:r w:rsidRPr="00E7620D">
        <w:rPr>
          <w:rFonts w:cs="Arial"/>
          <w:sz w:val="22"/>
          <w:lang w:val="en-US"/>
        </w:rPr>
        <w:t>;</w:t>
      </w:r>
    </w:p>
    <w:p w14:paraId="0A4E2530"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Carry</w:t>
      </w:r>
      <w:r w:rsidRPr="00540C2E">
        <w:rPr>
          <w:rFonts w:cs="Arial"/>
          <w:sz w:val="22"/>
          <w:lang w:val="en-US"/>
        </w:rPr>
        <w:t xml:space="preserve"> </w:t>
      </w:r>
      <w:r w:rsidRPr="00E7620D">
        <w:rPr>
          <w:rFonts w:cs="Arial"/>
          <w:sz w:val="22"/>
          <w:lang w:val="en-US"/>
        </w:rPr>
        <w:t>out</w:t>
      </w:r>
      <w:r w:rsidRPr="00540C2E">
        <w:rPr>
          <w:rFonts w:cs="Arial"/>
          <w:sz w:val="22"/>
          <w:lang w:val="en-US"/>
        </w:rPr>
        <w:t xml:space="preserve"> </w:t>
      </w:r>
      <w:r w:rsidRPr="00E7620D">
        <w:rPr>
          <w:rFonts w:cs="Arial"/>
          <w:sz w:val="22"/>
          <w:lang w:val="en-US"/>
        </w:rPr>
        <w:t>a</w:t>
      </w:r>
      <w:r w:rsidRPr="00540C2E">
        <w:rPr>
          <w:rFonts w:cs="Arial"/>
          <w:sz w:val="22"/>
          <w:lang w:val="en-US"/>
        </w:rPr>
        <w:t xml:space="preserve"> </w:t>
      </w:r>
      <w:r w:rsidRPr="00E7620D">
        <w:rPr>
          <w:rFonts w:cs="Arial"/>
          <w:sz w:val="22"/>
          <w:lang w:val="en-US"/>
        </w:rPr>
        <w:t>preliminary</w:t>
      </w:r>
      <w:r w:rsidRPr="00540C2E">
        <w:rPr>
          <w:rFonts w:cs="Arial"/>
          <w:sz w:val="22"/>
          <w:lang w:val="en-US"/>
        </w:rPr>
        <w:t xml:space="preserve"> </w:t>
      </w:r>
      <w:r w:rsidRPr="00E7620D">
        <w:rPr>
          <w:rFonts w:cs="Arial"/>
          <w:sz w:val="22"/>
          <w:lang w:val="en-US"/>
        </w:rPr>
        <w:t>examination</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bearing</w:t>
      </w:r>
      <w:r w:rsidRPr="00540C2E">
        <w:rPr>
          <w:rFonts w:cs="Arial"/>
          <w:sz w:val="22"/>
          <w:lang w:val="en-US"/>
        </w:rPr>
        <w:t xml:space="preserve"> </w:t>
      </w:r>
      <w:r w:rsidRPr="00E7620D">
        <w:rPr>
          <w:rFonts w:cs="Arial"/>
          <w:sz w:val="22"/>
          <w:lang w:val="en-US"/>
        </w:rPr>
        <w:t>capacity</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bridges</w:t>
      </w:r>
      <w:r w:rsidRPr="00540C2E">
        <w:rPr>
          <w:rFonts w:cs="Arial"/>
          <w:sz w:val="22"/>
          <w:lang w:val="en-US"/>
        </w:rPr>
        <w:t xml:space="preserve"> </w:t>
      </w:r>
      <w:r w:rsidRPr="00E7620D">
        <w:rPr>
          <w:rFonts w:cs="Arial"/>
          <w:sz w:val="22"/>
          <w:lang w:val="en-US"/>
        </w:rPr>
        <w:t>and</w:t>
      </w:r>
      <w:r w:rsidRPr="00540C2E">
        <w:rPr>
          <w:rFonts w:cs="Arial"/>
          <w:sz w:val="22"/>
          <w:lang w:val="en-US"/>
        </w:rPr>
        <w:t xml:space="preserve"> </w:t>
      </w:r>
      <w:r w:rsidRPr="00E7620D">
        <w:rPr>
          <w:rFonts w:cs="Arial"/>
          <w:sz w:val="22"/>
          <w:lang w:val="en-US"/>
        </w:rPr>
        <w:t>culverts, and post it before use for work and/or evacuation of agricultural products ;</w:t>
      </w:r>
    </w:p>
    <w:p w14:paraId="72F557B5"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lastRenderedPageBreak/>
        <w:t>Rehabilitate land disturbed by construction, removal, storage and reinstatement of topsoil to facilitate the restoration of wildlife habitat</w:t>
      </w:r>
      <w:r w:rsidRPr="00540C2E">
        <w:rPr>
          <w:rFonts w:cs="Arial"/>
          <w:sz w:val="22"/>
          <w:lang w:val="en-US"/>
        </w:rPr>
        <w:t xml:space="preserve"> </w:t>
      </w:r>
      <w:r w:rsidRPr="00E7620D">
        <w:rPr>
          <w:rFonts w:cs="Arial"/>
          <w:sz w:val="22"/>
          <w:lang w:val="en-US"/>
        </w:rPr>
        <w:t>;</w:t>
      </w:r>
    </w:p>
    <w:p w14:paraId="4932C093"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Avoid obstructing commercial areas or take the necessary measures to ensure safe access and use during and after the work, especially when rehabilitating village markets</w:t>
      </w:r>
      <w:r w:rsidRPr="00540C2E">
        <w:rPr>
          <w:rFonts w:cs="Arial"/>
          <w:sz w:val="22"/>
          <w:lang w:val="en-US"/>
        </w:rPr>
        <w:t xml:space="preserve"> </w:t>
      </w:r>
      <w:r w:rsidRPr="00E7620D">
        <w:rPr>
          <w:rFonts w:cs="Arial"/>
          <w:sz w:val="22"/>
          <w:lang w:val="en-US"/>
        </w:rPr>
        <w:t>;</w:t>
      </w:r>
    </w:p>
    <w:p w14:paraId="3B12B120"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Compensate (relocate) as a priority all assets likely to be affected by the Project, prior to the start of work</w:t>
      </w:r>
      <w:r w:rsidRPr="00540C2E">
        <w:rPr>
          <w:rFonts w:cs="Arial"/>
          <w:sz w:val="22"/>
          <w:lang w:val="en-US"/>
        </w:rPr>
        <w:t xml:space="preserve"> </w:t>
      </w:r>
      <w:r w:rsidRPr="00E7620D">
        <w:rPr>
          <w:rFonts w:cs="Arial"/>
          <w:sz w:val="22"/>
          <w:lang w:val="en-US"/>
        </w:rPr>
        <w:t>;</w:t>
      </w:r>
    </w:p>
    <w:p w14:paraId="5721FDC7"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Institutional</w:t>
      </w:r>
      <w:r w:rsidRPr="00540C2E">
        <w:rPr>
          <w:rFonts w:cs="Arial"/>
          <w:sz w:val="22"/>
          <w:lang w:val="en-US"/>
        </w:rPr>
        <w:t xml:space="preserve"> </w:t>
      </w:r>
      <w:r w:rsidRPr="00E7620D">
        <w:rPr>
          <w:rFonts w:cs="Arial"/>
          <w:sz w:val="22"/>
          <w:lang w:val="en-US"/>
        </w:rPr>
        <w:t>strengthening</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Technical</w:t>
      </w:r>
      <w:r w:rsidRPr="00540C2E">
        <w:rPr>
          <w:rFonts w:cs="Arial"/>
          <w:sz w:val="22"/>
          <w:lang w:val="en-US"/>
        </w:rPr>
        <w:t xml:space="preserve"> </w:t>
      </w:r>
      <w:r w:rsidRPr="00E7620D">
        <w:rPr>
          <w:rFonts w:cs="Arial"/>
          <w:sz w:val="22"/>
          <w:lang w:val="en-US"/>
        </w:rPr>
        <w:t>Committee</w:t>
      </w:r>
      <w:r w:rsidRPr="00540C2E">
        <w:rPr>
          <w:rFonts w:cs="Arial"/>
          <w:sz w:val="22"/>
          <w:lang w:val="en-US"/>
        </w:rPr>
        <w:t xml:space="preserve"> </w:t>
      </w:r>
      <w:r w:rsidRPr="00E7620D">
        <w:rPr>
          <w:rFonts w:cs="Arial"/>
          <w:sz w:val="22"/>
          <w:lang w:val="en-US"/>
        </w:rPr>
        <w:t>for</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preparation</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PNDA;</w:t>
      </w:r>
    </w:p>
    <w:p w14:paraId="4E119D60"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Strengthening the PMU's environmental and social expertise</w:t>
      </w:r>
      <w:r w:rsidRPr="00540C2E">
        <w:rPr>
          <w:rFonts w:cs="Arial"/>
          <w:sz w:val="22"/>
          <w:lang w:val="en-US"/>
        </w:rPr>
        <w:t xml:space="preserve"> </w:t>
      </w:r>
      <w:r w:rsidR="003C7971">
        <w:rPr>
          <w:rFonts w:cs="Arial"/>
          <w:sz w:val="22"/>
          <w:lang w:val="en-US"/>
        </w:rPr>
        <w:t>of the National Project Coordination Unit (UNCP)</w:t>
      </w:r>
      <w:r w:rsidRPr="00E7620D">
        <w:rPr>
          <w:rFonts w:cs="Arial"/>
          <w:sz w:val="22"/>
          <w:lang w:val="en-US"/>
        </w:rPr>
        <w:t>;</w:t>
      </w:r>
    </w:p>
    <w:p w14:paraId="14CF3CCD"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Strengthening the capacities of the State Technical Services of the sector</w:t>
      </w:r>
      <w:r w:rsidRPr="00540C2E">
        <w:rPr>
          <w:rFonts w:cs="Arial"/>
          <w:sz w:val="22"/>
          <w:lang w:val="en-US"/>
        </w:rPr>
        <w:t xml:space="preserve"> </w:t>
      </w:r>
      <w:r w:rsidRPr="00E7620D">
        <w:rPr>
          <w:rFonts w:cs="Arial"/>
          <w:sz w:val="22"/>
          <w:lang w:val="en-US"/>
        </w:rPr>
        <w:t>;</w:t>
      </w:r>
    </w:p>
    <w:p w14:paraId="6D5C3E8A"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Training of the actors involved in the implementation of the PNDA, also on the notion of GBV, including SEA and HS, and as the project may exacerbate them, the responsibility of different actors, the PPM sensitive to SEA/HS, as well as the management services for</w:t>
      </w:r>
      <w:r w:rsidRPr="00540C2E">
        <w:rPr>
          <w:rFonts w:cs="Arial"/>
          <w:sz w:val="22"/>
          <w:lang w:val="en-US"/>
        </w:rPr>
        <w:t xml:space="preserve"> </w:t>
      </w:r>
      <w:r w:rsidRPr="00E7620D">
        <w:rPr>
          <w:rFonts w:cs="Arial"/>
          <w:sz w:val="22"/>
          <w:lang w:val="en-US"/>
        </w:rPr>
        <w:t>survivors;</w:t>
      </w:r>
    </w:p>
    <w:p w14:paraId="06D82B93" w14:textId="77777777" w:rsidR="001977A4" w:rsidRPr="00540C2E"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 xml:space="preserve">Sensitization and mobilization programs for the population and at the communal level (integrating GBV issues, including EAS and HS, code of conduct, PGM sensitive to EAS/HS complaints, etc.). </w:t>
      </w:r>
      <w:r w:rsidRPr="00540C2E">
        <w:rPr>
          <w:rFonts w:cs="Arial"/>
          <w:sz w:val="22"/>
          <w:lang w:val="en-US"/>
        </w:rPr>
        <w:t>) ;</w:t>
      </w:r>
    </w:p>
    <w:p w14:paraId="2E0C4832"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Awareness and environmental and social training program for construction</w:t>
      </w:r>
      <w:r w:rsidRPr="00540C2E">
        <w:rPr>
          <w:rFonts w:cs="Arial"/>
          <w:sz w:val="22"/>
          <w:lang w:val="en-US"/>
        </w:rPr>
        <w:t xml:space="preserve"> </w:t>
      </w:r>
      <w:r w:rsidRPr="00E7620D">
        <w:rPr>
          <w:rFonts w:cs="Arial"/>
          <w:sz w:val="22"/>
          <w:lang w:val="en-US"/>
        </w:rPr>
        <w:t>companies and control</w:t>
      </w:r>
      <w:r w:rsidRPr="00540C2E">
        <w:rPr>
          <w:rFonts w:cs="Arial"/>
          <w:sz w:val="22"/>
          <w:lang w:val="en-US"/>
        </w:rPr>
        <w:t xml:space="preserve"> </w:t>
      </w:r>
      <w:r w:rsidRPr="00E7620D">
        <w:rPr>
          <w:rFonts w:cs="Arial"/>
          <w:sz w:val="22"/>
          <w:lang w:val="en-US"/>
        </w:rPr>
        <w:t>offices;</w:t>
      </w:r>
    </w:p>
    <w:p w14:paraId="283A7CEF"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Put in place a VIDOC prevention plan19</w:t>
      </w:r>
      <w:r w:rsidRPr="00540C2E">
        <w:rPr>
          <w:rFonts w:cs="Arial"/>
          <w:sz w:val="22"/>
          <w:lang w:val="en-US"/>
        </w:rPr>
        <w:t xml:space="preserve"> </w:t>
      </w:r>
      <w:r w:rsidRPr="00E7620D">
        <w:rPr>
          <w:rFonts w:cs="Arial"/>
          <w:sz w:val="22"/>
          <w:lang w:val="en-US"/>
        </w:rPr>
        <w:t>;</w:t>
      </w:r>
    </w:p>
    <w:p w14:paraId="66D79D56"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Establishment and control of grievance management procedures and measures</w:t>
      </w:r>
      <w:r w:rsidRPr="00540C2E">
        <w:rPr>
          <w:rFonts w:cs="Arial"/>
          <w:sz w:val="22"/>
          <w:lang w:val="en-US"/>
        </w:rPr>
        <w:t xml:space="preserve"> </w:t>
      </w:r>
      <w:r w:rsidRPr="00E7620D">
        <w:rPr>
          <w:rFonts w:cs="Arial"/>
          <w:sz w:val="22"/>
          <w:lang w:val="en-US"/>
        </w:rPr>
        <w:t>;</w:t>
      </w:r>
    </w:p>
    <w:p w14:paraId="78BBD523"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Coordination</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multisectoral</w:t>
      </w:r>
      <w:r w:rsidRPr="00540C2E">
        <w:rPr>
          <w:rFonts w:cs="Arial"/>
          <w:sz w:val="22"/>
          <w:lang w:val="en-US"/>
        </w:rPr>
        <w:t xml:space="preserve"> </w:t>
      </w:r>
      <w:r w:rsidRPr="00E7620D">
        <w:rPr>
          <w:rFonts w:cs="Arial"/>
          <w:sz w:val="22"/>
          <w:lang w:val="en-US"/>
        </w:rPr>
        <w:t>activities</w:t>
      </w:r>
      <w:r w:rsidRPr="00540C2E">
        <w:rPr>
          <w:rFonts w:cs="Arial"/>
          <w:sz w:val="22"/>
          <w:lang w:val="en-US"/>
        </w:rPr>
        <w:t xml:space="preserve"> </w:t>
      </w:r>
      <w:r w:rsidRPr="00E7620D">
        <w:rPr>
          <w:rFonts w:cs="Arial"/>
          <w:sz w:val="22"/>
          <w:lang w:val="en-US"/>
        </w:rPr>
        <w:t>integrating</w:t>
      </w:r>
      <w:r w:rsidRPr="00540C2E">
        <w:rPr>
          <w:rFonts w:cs="Arial"/>
          <w:sz w:val="22"/>
          <w:lang w:val="en-US"/>
        </w:rPr>
        <w:t xml:space="preserve"> </w:t>
      </w:r>
      <w:r w:rsidRPr="00E7620D">
        <w:rPr>
          <w:rFonts w:cs="Arial"/>
          <w:sz w:val="22"/>
          <w:lang w:val="en-US"/>
        </w:rPr>
        <w:t>GBV,</w:t>
      </w:r>
      <w:r w:rsidRPr="00540C2E">
        <w:rPr>
          <w:rFonts w:cs="Arial"/>
          <w:sz w:val="22"/>
          <w:lang w:val="en-US"/>
        </w:rPr>
        <w:t xml:space="preserve"> </w:t>
      </w:r>
      <w:r w:rsidRPr="00E7620D">
        <w:rPr>
          <w:rFonts w:cs="Arial"/>
          <w:sz w:val="22"/>
          <w:lang w:val="en-US"/>
        </w:rPr>
        <w:t>EAS</w:t>
      </w:r>
      <w:r w:rsidRPr="00540C2E">
        <w:rPr>
          <w:rFonts w:cs="Arial"/>
          <w:sz w:val="22"/>
          <w:lang w:val="en-US"/>
        </w:rPr>
        <w:t xml:space="preserve"> </w:t>
      </w:r>
      <w:r w:rsidRPr="00E7620D">
        <w:rPr>
          <w:rFonts w:cs="Arial"/>
          <w:sz w:val="22"/>
          <w:lang w:val="en-US"/>
        </w:rPr>
        <w:t>and</w:t>
      </w:r>
      <w:r w:rsidRPr="00540C2E">
        <w:rPr>
          <w:rFonts w:cs="Arial"/>
          <w:sz w:val="22"/>
          <w:lang w:val="en-US"/>
        </w:rPr>
        <w:t xml:space="preserve"> </w:t>
      </w:r>
      <w:r w:rsidRPr="00E7620D">
        <w:rPr>
          <w:rFonts w:cs="Arial"/>
          <w:sz w:val="22"/>
          <w:lang w:val="en-US"/>
        </w:rPr>
        <w:t>MSM</w:t>
      </w:r>
      <w:r w:rsidRPr="00540C2E">
        <w:rPr>
          <w:rFonts w:cs="Arial"/>
          <w:sz w:val="22"/>
          <w:lang w:val="en-US"/>
        </w:rPr>
        <w:t xml:space="preserve"> </w:t>
      </w:r>
      <w:r w:rsidRPr="00E7620D">
        <w:rPr>
          <w:rFonts w:cs="Arial"/>
          <w:sz w:val="22"/>
          <w:lang w:val="en-US"/>
        </w:rPr>
        <w:t>prevention</w:t>
      </w:r>
      <w:r w:rsidRPr="00540C2E">
        <w:rPr>
          <w:rFonts w:cs="Arial"/>
          <w:sz w:val="22"/>
          <w:lang w:val="en-US"/>
        </w:rPr>
        <w:t xml:space="preserve"> </w:t>
      </w:r>
      <w:r w:rsidRPr="00E7620D">
        <w:rPr>
          <w:rFonts w:cs="Arial"/>
          <w:sz w:val="22"/>
          <w:lang w:val="en-US"/>
        </w:rPr>
        <w:t>and response</w:t>
      </w:r>
      <w:r w:rsidRPr="00540C2E">
        <w:rPr>
          <w:rFonts w:cs="Arial"/>
          <w:sz w:val="22"/>
          <w:lang w:val="en-US"/>
        </w:rPr>
        <w:t xml:space="preserve"> </w:t>
      </w:r>
      <w:r w:rsidRPr="00E7620D">
        <w:rPr>
          <w:rFonts w:cs="Arial"/>
          <w:sz w:val="22"/>
          <w:lang w:val="en-US"/>
        </w:rPr>
        <w:t>aspects;</w:t>
      </w:r>
    </w:p>
    <w:p w14:paraId="58ECAB4E"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Non-discrimination against women during staff recruitment and adherence to the 30 percent quota for women recruited in project implementation, including consideration of women for non-traditional roles and supervisory</w:t>
      </w:r>
      <w:r w:rsidRPr="00540C2E">
        <w:rPr>
          <w:rFonts w:cs="Arial"/>
          <w:sz w:val="22"/>
          <w:lang w:val="en-US"/>
        </w:rPr>
        <w:t xml:space="preserve"> </w:t>
      </w:r>
      <w:r w:rsidRPr="00E7620D">
        <w:rPr>
          <w:rFonts w:cs="Arial"/>
          <w:sz w:val="22"/>
          <w:lang w:val="en-US"/>
        </w:rPr>
        <w:t>positions;</w:t>
      </w:r>
    </w:p>
    <w:p w14:paraId="0A74B877"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Strict compliance with national regulations on child labor by the work companies: Prohibition of employment of persons under 18 years of</w:t>
      </w:r>
      <w:r w:rsidRPr="00540C2E">
        <w:rPr>
          <w:rFonts w:cs="Arial"/>
          <w:sz w:val="22"/>
          <w:lang w:val="en-US"/>
        </w:rPr>
        <w:t xml:space="preserve"> </w:t>
      </w:r>
      <w:r w:rsidRPr="00E7620D">
        <w:rPr>
          <w:rFonts w:cs="Arial"/>
          <w:sz w:val="22"/>
          <w:lang w:val="en-US"/>
        </w:rPr>
        <w:t>age;</w:t>
      </w:r>
    </w:p>
    <w:p w14:paraId="3AD55AA3"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Implementation of incidental discovery procedures in the event of the assignment of cultural property, and unexploded</w:t>
      </w:r>
      <w:r w:rsidRPr="00540C2E">
        <w:rPr>
          <w:rFonts w:cs="Arial"/>
          <w:sz w:val="22"/>
          <w:lang w:val="en-US"/>
        </w:rPr>
        <w:t xml:space="preserve"> </w:t>
      </w:r>
      <w:r w:rsidRPr="00E7620D">
        <w:rPr>
          <w:rFonts w:cs="Arial"/>
          <w:sz w:val="22"/>
          <w:lang w:val="en-US"/>
        </w:rPr>
        <w:t>ordnance.</w:t>
      </w:r>
    </w:p>
    <w:p w14:paraId="2602FBE7" w14:textId="77777777" w:rsidR="001977A4" w:rsidRPr="00E7620D" w:rsidRDefault="001977A4" w:rsidP="003C7971">
      <w:pPr>
        <w:pStyle w:val="Corpsdetexte"/>
        <w:spacing w:line="276" w:lineRule="auto"/>
        <w:rPr>
          <w:rFonts w:cs="Arial"/>
          <w:sz w:val="22"/>
          <w:szCs w:val="22"/>
          <w:lang w:val="en-US"/>
        </w:rPr>
      </w:pPr>
      <w:r w:rsidRPr="00E7620D">
        <w:rPr>
          <w:rFonts w:cs="Arial"/>
          <w:sz w:val="22"/>
          <w:szCs w:val="22"/>
          <w:lang w:val="en-US"/>
        </w:rPr>
        <w:t>These</w:t>
      </w:r>
      <w:r w:rsidRPr="00E7620D">
        <w:rPr>
          <w:rFonts w:cs="Arial"/>
          <w:spacing w:val="-16"/>
          <w:sz w:val="22"/>
          <w:szCs w:val="22"/>
          <w:lang w:val="en-US"/>
        </w:rPr>
        <w:t xml:space="preserve"> </w:t>
      </w:r>
      <w:r w:rsidRPr="00E7620D">
        <w:rPr>
          <w:rFonts w:cs="Arial"/>
          <w:sz w:val="22"/>
          <w:szCs w:val="22"/>
          <w:lang w:val="en-US"/>
        </w:rPr>
        <w:t>measures</w:t>
      </w:r>
      <w:r w:rsidRPr="00E7620D">
        <w:rPr>
          <w:rFonts w:cs="Arial"/>
          <w:spacing w:val="-13"/>
          <w:sz w:val="22"/>
          <w:szCs w:val="22"/>
          <w:lang w:val="en-US"/>
        </w:rPr>
        <w:t xml:space="preserve"> </w:t>
      </w:r>
      <w:r w:rsidRPr="00E7620D">
        <w:rPr>
          <w:rFonts w:cs="Arial"/>
          <w:sz w:val="22"/>
          <w:szCs w:val="22"/>
          <w:lang w:val="en-US"/>
        </w:rPr>
        <w:t>are</w:t>
      </w:r>
      <w:r w:rsidRPr="00E7620D">
        <w:rPr>
          <w:rFonts w:cs="Arial"/>
          <w:spacing w:val="-12"/>
          <w:sz w:val="22"/>
          <w:szCs w:val="22"/>
          <w:lang w:val="en-US"/>
        </w:rPr>
        <w:t xml:space="preserve"> </w:t>
      </w:r>
      <w:r w:rsidRPr="00E7620D">
        <w:rPr>
          <w:rFonts w:cs="Arial"/>
          <w:sz w:val="22"/>
          <w:szCs w:val="22"/>
          <w:lang w:val="en-US"/>
        </w:rPr>
        <w:t>contained</w:t>
      </w:r>
      <w:r w:rsidRPr="00E7620D">
        <w:rPr>
          <w:rFonts w:cs="Arial"/>
          <w:spacing w:val="-13"/>
          <w:sz w:val="22"/>
          <w:szCs w:val="22"/>
          <w:lang w:val="en-US"/>
        </w:rPr>
        <w:t xml:space="preserve"> </w:t>
      </w:r>
      <w:r w:rsidRPr="00E7620D">
        <w:rPr>
          <w:rFonts w:cs="Arial"/>
          <w:sz w:val="22"/>
          <w:szCs w:val="22"/>
          <w:lang w:val="en-US"/>
        </w:rPr>
        <w:t>in</w:t>
      </w:r>
      <w:r w:rsidRPr="00E7620D">
        <w:rPr>
          <w:rFonts w:cs="Arial"/>
          <w:spacing w:val="-12"/>
          <w:sz w:val="22"/>
          <w:szCs w:val="22"/>
          <w:lang w:val="en-US"/>
        </w:rPr>
        <w:t xml:space="preserve"> </w:t>
      </w:r>
      <w:r w:rsidRPr="00E7620D">
        <w:rPr>
          <w:rFonts w:cs="Arial"/>
          <w:sz w:val="22"/>
          <w:szCs w:val="22"/>
          <w:lang w:val="en-US"/>
        </w:rPr>
        <w:t>the</w:t>
      </w:r>
      <w:r w:rsidRPr="00E7620D">
        <w:rPr>
          <w:rFonts w:cs="Arial"/>
          <w:spacing w:val="-14"/>
          <w:sz w:val="22"/>
          <w:szCs w:val="22"/>
          <w:lang w:val="en-US"/>
        </w:rPr>
        <w:t xml:space="preserve"> </w:t>
      </w:r>
      <w:r w:rsidRPr="00E7620D">
        <w:rPr>
          <w:rFonts w:cs="Arial"/>
          <w:sz w:val="22"/>
          <w:szCs w:val="22"/>
          <w:lang w:val="en-US"/>
        </w:rPr>
        <w:t>Environmental</w:t>
      </w:r>
      <w:r w:rsidRPr="00E7620D">
        <w:rPr>
          <w:rFonts w:cs="Arial"/>
          <w:spacing w:val="-15"/>
          <w:sz w:val="22"/>
          <w:szCs w:val="22"/>
          <w:lang w:val="en-US"/>
        </w:rPr>
        <w:t xml:space="preserve"> </w:t>
      </w:r>
      <w:r w:rsidRPr="00E7620D">
        <w:rPr>
          <w:rFonts w:cs="Arial"/>
          <w:sz w:val="22"/>
          <w:szCs w:val="22"/>
          <w:lang w:val="en-US"/>
        </w:rPr>
        <w:t>and</w:t>
      </w:r>
      <w:r w:rsidRPr="00E7620D">
        <w:rPr>
          <w:rFonts w:cs="Arial"/>
          <w:spacing w:val="-12"/>
          <w:sz w:val="22"/>
          <w:szCs w:val="22"/>
          <w:lang w:val="en-US"/>
        </w:rPr>
        <w:t xml:space="preserve"> </w:t>
      </w:r>
      <w:r w:rsidRPr="00E7620D">
        <w:rPr>
          <w:rFonts w:cs="Arial"/>
          <w:sz w:val="22"/>
          <w:szCs w:val="22"/>
          <w:lang w:val="en-US"/>
        </w:rPr>
        <w:t>Social</w:t>
      </w:r>
      <w:r w:rsidRPr="00E7620D">
        <w:rPr>
          <w:rFonts w:cs="Arial"/>
          <w:spacing w:val="-15"/>
          <w:sz w:val="22"/>
          <w:szCs w:val="22"/>
          <w:lang w:val="en-US"/>
        </w:rPr>
        <w:t xml:space="preserve"> </w:t>
      </w:r>
      <w:r w:rsidR="003C7971" w:rsidRPr="003C7971">
        <w:rPr>
          <w:rFonts w:cs="Arial"/>
          <w:sz w:val="22"/>
          <w:szCs w:val="22"/>
          <w:lang w:val="en-US"/>
        </w:rPr>
        <w:t>Risk and Impact Management Procedures (PGRIES)</w:t>
      </w:r>
      <w:r w:rsidRPr="00E7620D">
        <w:rPr>
          <w:rFonts w:cs="Arial"/>
          <w:sz w:val="22"/>
          <w:szCs w:val="22"/>
          <w:lang w:val="en-US"/>
        </w:rPr>
        <w:t xml:space="preserve"> that will be included in the Project Implementation</w:t>
      </w:r>
      <w:r w:rsidRPr="00E7620D">
        <w:rPr>
          <w:rFonts w:cs="Arial"/>
          <w:spacing w:val="-5"/>
          <w:sz w:val="22"/>
          <w:szCs w:val="22"/>
          <w:lang w:val="en-US"/>
        </w:rPr>
        <w:t xml:space="preserve"> </w:t>
      </w:r>
      <w:r w:rsidRPr="00E7620D">
        <w:rPr>
          <w:rFonts w:cs="Arial"/>
          <w:sz w:val="22"/>
          <w:szCs w:val="22"/>
          <w:lang w:val="en-US"/>
        </w:rPr>
        <w:t>Manual.</w:t>
      </w:r>
    </w:p>
    <w:p w14:paraId="5B869AD8" w14:textId="77777777" w:rsidR="001977A4" w:rsidRPr="00E7620D" w:rsidRDefault="001977A4" w:rsidP="001977A4">
      <w:pPr>
        <w:pStyle w:val="Corpsdetexte"/>
        <w:spacing w:line="276" w:lineRule="auto"/>
        <w:rPr>
          <w:rFonts w:cs="Arial"/>
          <w:sz w:val="22"/>
          <w:szCs w:val="22"/>
          <w:lang w:val="en-US"/>
        </w:rPr>
      </w:pPr>
    </w:p>
    <w:p w14:paraId="55EF26B6" w14:textId="77777777" w:rsidR="001977A4" w:rsidRPr="00E7620D" w:rsidRDefault="001977A4" w:rsidP="002378EA">
      <w:pPr>
        <w:pStyle w:val="Paragraphedeliste"/>
        <w:widowControl w:val="0"/>
        <w:numPr>
          <w:ilvl w:val="1"/>
          <w:numId w:val="112"/>
        </w:numPr>
        <w:tabs>
          <w:tab w:val="left" w:pos="851"/>
        </w:tabs>
        <w:autoSpaceDE w:val="0"/>
        <w:autoSpaceDN w:val="0"/>
        <w:ind w:left="0" w:firstLine="284"/>
        <w:contextualSpacing w:val="0"/>
        <w:rPr>
          <w:rFonts w:cs="Arial"/>
          <w:i/>
          <w:sz w:val="22"/>
          <w:lang w:val="en-US"/>
        </w:rPr>
      </w:pPr>
      <w:r w:rsidRPr="00E7620D">
        <w:rPr>
          <w:rFonts w:cs="Arial"/>
          <w:i/>
          <w:sz w:val="22"/>
          <w:u w:val="single"/>
          <w:lang w:val="en-US"/>
        </w:rPr>
        <w:t>Procedure for environmental and social management of eligible</w:t>
      </w:r>
      <w:r w:rsidRPr="00E7620D">
        <w:rPr>
          <w:rFonts w:cs="Arial"/>
          <w:i/>
          <w:spacing w:val="-13"/>
          <w:sz w:val="22"/>
          <w:u w:val="single"/>
          <w:lang w:val="en-US"/>
        </w:rPr>
        <w:t xml:space="preserve"> </w:t>
      </w:r>
      <w:r w:rsidRPr="00E7620D">
        <w:rPr>
          <w:rFonts w:cs="Arial"/>
          <w:i/>
          <w:sz w:val="22"/>
          <w:u w:val="single"/>
          <w:lang w:val="en-US"/>
        </w:rPr>
        <w:t>sub-projects</w:t>
      </w:r>
    </w:p>
    <w:p w14:paraId="52ACF094" w14:textId="77777777" w:rsidR="001977A4" w:rsidRPr="00E7620D" w:rsidRDefault="001977A4" w:rsidP="001977A4">
      <w:pPr>
        <w:pStyle w:val="Corpsdetexte"/>
        <w:spacing w:line="276" w:lineRule="auto"/>
        <w:rPr>
          <w:rFonts w:cs="Arial"/>
          <w:i/>
          <w:sz w:val="22"/>
          <w:szCs w:val="22"/>
          <w:lang w:val="en-US"/>
        </w:rPr>
      </w:pPr>
    </w:p>
    <w:p w14:paraId="4F963D26" w14:textId="77777777" w:rsidR="001977A4" w:rsidRPr="00A7078B" w:rsidRDefault="001977A4" w:rsidP="001977A4">
      <w:pPr>
        <w:pStyle w:val="Corpsdetexte"/>
        <w:spacing w:line="276" w:lineRule="auto"/>
        <w:rPr>
          <w:rFonts w:cs="Arial"/>
          <w:sz w:val="22"/>
          <w:szCs w:val="22"/>
          <w:lang w:val="en-US"/>
        </w:rPr>
      </w:pPr>
      <w:r w:rsidRPr="00E7620D">
        <w:rPr>
          <w:rFonts w:cs="Arial"/>
          <w:sz w:val="22"/>
          <w:szCs w:val="22"/>
          <w:lang w:val="en-US"/>
        </w:rPr>
        <w:t>The CGES includes a procedure for environmental and social selection of activities to be carried</w:t>
      </w:r>
      <w:r w:rsidRPr="00E7620D">
        <w:rPr>
          <w:rFonts w:cs="Arial"/>
          <w:spacing w:val="-7"/>
          <w:sz w:val="22"/>
          <w:szCs w:val="22"/>
          <w:lang w:val="en-US"/>
        </w:rPr>
        <w:t xml:space="preserve"> </w:t>
      </w:r>
      <w:r w:rsidRPr="00E7620D">
        <w:rPr>
          <w:rFonts w:cs="Arial"/>
          <w:sz w:val="22"/>
          <w:szCs w:val="22"/>
          <w:lang w:val="en-US"/>
        </w:rPr>
        <w:t>out</w:t>
      </w:r>
      <w:r w:rsidRPr="00E7620D">
        <w:rPr>
          <w:rFonts w:cs="Arial"/>
          <w:spacing w:val="-4"/>
          <w:sz w:val="22"/>
          <w:szCs w:val="22"/>
          <w:lang w:val="en-US"/>
        </w:rPr>
        <w:t xml:space="preserve"> </w:t>
      </w:r>
      <w:r w:rsidRPr="00E7620D">
        <w:rPr>
          <w:rFonts w:cs="Arial"/>
          <w:sz w:val="22"/>
          <w:szCs w:val="22"/>
          <w:lang w:val="en-US"/>
        </w:rPr>
        <w:t>under</w:t>
      </w:r>
      <w:r w:rsidRPr="00E7620D">
        <w:rPr>
          <w:rFonts w:cs="Arial"/>
          <w:spacing w:val="-8"/>
          <w:sz w:val="22"/>
          <w:szCs w:val="22"/>
          <w:lang w:val="en-US"/>
        </w:rPr>
        <w:t xml:space="preserve"> </w:t>
      </w:r>
      <w:r w:rsidRPr="00E7620D">
        <w:rPr>
          <w:rFonts w:cs="Arial"/>
          <w:sz w:val="22"/>
          <w:szCs w:val="22"/>
          <w:lang w:val="en-US"/>
        </w:rPr>
        <w:t>the</w:t>
      </w:r>
      <w:r w:rsidRPr="00E7620D">
        <w:rPr>
          <w:rFonts w:cs="Arial"/>
          <w:spacing w:val="-5"/>
          <w:sz w:val="22"/>
          <w:szCs w:val="22"/>
          <w:lang w:val="en-US"/>
        </w:rPr>
        <w:t xml:space="preserve"> </w:t>
      </w:r>
      <w:r w:rsidR="00540C2E">
        <w:rPr>
          <w:rFonts w:cs="Arial"/>
          <w:sz w:val="22"/>
          <w:szCs w:val="22"/>
          <w:lang w:val="en-US"/>
        </w:rPr>
        <w:t>PNDA</w:t>
      </w:r>
      <w:r w:rsidRPr="00E7620D">
        <w:rPr>
          <w:rFonts w:cs="Arial"/>
          <w:spacing w:val="-7"/>
          <w:sz w:val="22"/>
          <w:szCs w:val="22"/>
          <w:lang w:val="en-US"/>
        </w:rPr>
        <w:t xml:space="preserve"> </w:t>
      </w:r>
      <w:r w:rsidRPr="00E7620D">
        <w:rPr>
          <w:rFonts w:cs="Arial"/>
          <w:sz w:val="22"/>
          <w:szCs w:val="22"/>
          <w:lang w:val="en-US"/>
        </w:rPr>
        <w:t>financing,</w:t>
      </w:r>
      <w:r w:rsidRPr="00E7620D">
        <w:rPr>
          <w:rFonts w:cs="Arial"/>
          <w:spacing w:val="-3"/>
          <w:sz w:val="22"/>
          <w:szCs w:val="22"/>
          <w:lang w:val="en-US"/>
        </w:rPr>
        <w:t xml:space="preserve"> </w:t>
      </w:r>
      <w:r w:rsidRPr="00E7620D">
        <w:rPr>
          <w:rFonts w:cs="Arial"/>
          <w:sz w:val="22"/>
          <w:szCs w:val="22"/>
          <w:lang w:val="en-US"/>
        </w:rPr>
        <w:t>which</w:t>
      </w:r>
      <w:r w:rsidRPr="00E7620D">
        <w:rPr>
          <w:rFonts w:cs="Arial"/>
          <w:spacing w:val="-6"/>
          <w:sz w:val="22"/>
          <w:szCs w:val="22"/>
          <w:lang w:val="en-US"/>
        </w:rPr>
        <w:t xml:space="preserve"> </w:t>
      </w:r>
      <w:r w:rsidRPr="00E7620D">
        <w:rPr>
          <w:rFonts w:cs="Arial"/>
          <w:sz w:val="22"/>
          <w:szCs w:val="22"/>
          <w:lang w:val="en-US"/>
        </w:rPr>
        <w:t>guides</w:t>
      </w:r>
      <w:r w:rsidRPr="00E7620D">
        <w:rPr>
          <w:rFonts w:cs="Arial"/>
          <w:spacing w:val="-8"/>
          <w:sz w:val="22"/>
          <w:szCs w:val="22"/>
          <w:lang w:val="en-US"/>
        </w:rPr>
        <w:t xml:space="preserve"> </w:t>
      </w:r>
      <w:r w:rsidRPr="00E7620D">
        <w:rPr>
          <w:rFonts w:cs="Arial"/>
          <w:sz w:val="22"/>
          <w:szCs w:val="22"/>
          <w:lang w:val="en-US"/>
        </w:rPr>
        <w:t>future</w:t>
      </w:r>
      <w:r w:rsidRPr="00E7620D">
        <w:rPr>
          <w:rFonts w:cs="Arial"/>
          <w:spacing w:val="-6"/>
          <w:sz w:val="22"/>
          <w:szCs w:val="22"/>
          <w:lang w:val="en-US"/>
        </w:rPr>
        <w:t xml:space="preserve"> </w:t>
      </w:r>
      <w:r w:rsidRPr="00E7620D">
        <w:rPr>
          <w:rFonts w:cs="Arial"/>
          <w:sz w:val="22"/>
          <w:szCs w:val="22"/>
          <w:lang w:val="en-US"/>
        </w:rPr>
        <w:t>interventions</w:t>
      </w:r>
      <w:r w:rsidRPr="00E7620D">
        <w:rPr>
          <w:rFonts w:cs="Arial"/>
          <w:spacing w:val="-5"/>
          <w:sz w:val="22"/>
          <w:szCs w:val="22"/>
          <w:lang w:val="en-US"/>
        </w:rPr>
        <w:t xml:space="preserve"> </w:t>
      </w:r>
      <w:r w:rsidRPr="00E7620D">
        <w:rPr>
          <w:rFonts w:cs="Arial"/>
          <w:sz w:val="22"/>
          <w:szCs w:val="22"/>
          <w:lang w:val="en-US"/>
        </w:rPr>
        <w:t>in</w:t>
      </w:r>
      <w:r w:rsidRPr="00E7620D">
        <w:rPr>
          <w:rFonts w:cs="Arial"/>
          <w:spacing w:val="-8"/>
          <w:sz w:val="22"/>
          <w:szCs w:val="22"/>
          <w:lang w:val="en-US"/>
        </w:rPr>
        <w:t xml:space="preserve"> </w:t>
      </w:r>
      <w:r w:rsidRPr="00E7620D">
        <w:rPr>
          <w:rFonts w:cs="Arial"/>
          <w:sz w:val="22"/>
          <w:szCs w:val="22"/>
          <w:lang w:val="en-US"/>
        </w:rPr>
        <w:t>terms</w:t>
      </w:r>
      <w:r w:rsidRPr="00E7620D">
        <w:rPr>
          <w:rFonts w:cs="Arial"/>
          <w:spacing w:val="-6"/>
          <w:sz w:val="22"/>
          <w:szCs w:val="22"/>
          <w:lang w:val="en-US"/>
        </w:rPr>
        <w:t xml:space="preserve"> </w:t>
      </w:r>
      <w:r w:rsidRPr="00E7620D">
        <w:rPr>
          <w:rFonts w:cs="Arial"/>
          <w:sz w:val="22"/>
          <w:szCs w:val="22"/>
          <w:lang w:val="en-US"/>
        </w:rPr>
        <w:t>of</w:t>
      </w:r>
      <w:r w:rsidRPr="00E7620D">
        <w:rPr>
          <w:rFonts w:cs="Arial"/>
          <w:spacing w:val="-4"/>
          <w:sz w:val="22"/>
          <w:szCs w:val="22"/>
          <w:lang w:val="en-US"/>
        </w:rPr>
        <w:t xml:space="preserve"> </w:t>
      </w:r>
      <w:r w:rsidRPr="00E7620D">
        <w:rPr>
          <w:rFonts w:cs="Arial"/>
          <w:sz w:val="22"/>
          <w:szCs w:val="22"/>
          <w:lang w:val="en-US"/>
        </w:rPr>
        <w:t>taking</w:t>
      </w:r>
      <w:r w:rsidRPr="00E7620D">
        <w:rPr>
          <w:rFonts w:cs="Arial"/>
          <w:spacing w:val="-4"/>
          <w:sz w:val="22"/>
          <w:szCs w:val="22"/>
          <w:lang w:val="en-US"/>
        </w:rPr>
        <w:t xml:space="preserve"> </w:t>
      </w:r>
      <w:r w:rsidRPr="00E7620D">
        <w:rPr>
          <w:rFonts w:cs="Arial"/>
          <w:sz w:val="22"/>
          <w:szCs w:val="22"/>
          <w:lang w:val="en-US"/>
        </w:rPr>
        <w:t xml:space="preserve">into account national environmental and social requirements and the World Bank's safeguard policies. </w:t>
      </w:r>
      <w:r w:rsidRPr="00A7078B">
        <w:rPr>
          <w:rFonts w:cs="Arial"/>
          <w:sz w:val="22"/>
          <w:szCs w:val="22"/>
          <w:lang w:val="en-US"/>
        </w:rPr>
        <w:t>The steps are as</w:t>
      </w:r>
      <w:r w:rsidRPr="00A7078B">
        <w:rPr>
          <w:rFonts w:cs="Arial"/>
          <w:spacing w:val="-2"/>
          <w:sz w:val="22"/>
          <w:szCs w:val="22"/>
          <w:lang w:val="en-US"/>
        </w:rPr>
        <w:t xml:space="preserve"> </w:t>
      </w:r>
      <w:r w:rsidRPr="00A7078B">
        <w:rPr>
          <w:rFonts w:cs="Arial"/>
          <w:sz w:val="22"/>
          <w:szCs w:val="22"/>
          <w:lang w:val="en-US"/>
        </w:rPr>
        <w:t>follows:</w:t>
      </w:r>
    </w:p>
    <w:p w14:paraId="51B4BD69" w14:textId="77777777" w:rsidR="001977A4" w:rsidRPr="00A7078B" w:rsidRDefault="001977A4" w:rsidP="001977A4">
      <w:pPr>
        <w:pStyle w:val="Corpsdetexte"/>
        <w:spacing w:line="276" w:lineRule="auto"/>
        <w:rPr>
          <w:rFonts w:cs="Arial"/>
          <w:sz w:val="22"/>
          <w:szCs w:val="22"/>
          <w:lang w:val="en-US"/>
        </w:rPr>
      </w:pPr>
    </w:p>
    <w:p w14:paraId="1DD3407C" w14:textId="77777777" w:rsidR="001977A4" w:rsidRPr="00A7078B" w:rsidRDefault="001977A4" w:rsidP="001977A4">
      <w:pPr>
        <w:pStyle w:val="Corpsdetexte"/>
        <w:spacing w:line="276" w:lineRule="auto"/>
        <w:rPr>
          <w:rFonts w:cs="Arial"/>
          <w:sz w:val="22"/>
          <w:szCs w:val="22"/>
          <w:lang w:val="en-US"/>
        </w:rPr>
      </w:pPr>
      <w:r w:rsidRPr="00A7078B">
        <w:rPr>
          <w:rFonts w:cs="Arial"/>
          <w:sz w:val="22"/>
          <w:szCs w:val="22"/>
          <w:u w:val="single"/>
          <w:lang w:val="en-US"/>
        </w:rPr>
        <w:t>Selection of sub-projects</w:t>
      </w:r>
    </w:p>
    <w:p w14:paraId="4C5D98A2" w14:textId="77777777" w:rsidR="001977A4" w:rsidRPr="00A7078B" w:rsidRDefault="001977A4" w:rsidP="001977A4">
      <w:pPr>
        <w:pStyle w:val="Corpsdetexte"/>
        <w:spacing w:line="276" w:lineRule="auto"/>
        <w:rPr>
          <w:rFonts w:cs="Arial"/>
          <w:sz w:val="22"/>
          <w:szCs w:val="22"/>
          <w:lang w:val="en-US"/>
        </w:rPr>
      </w:pPr>
    </w:p>
    <w:p w14:paraId="3DB5528C"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Identification of the location/site and main technical characteristics of the sub-project</w:t>
      </w:r>
      <w:r w:rsidRPr="00540C2E">
        <w:rPr>
          <w:rFonts w:cs="Arial"/>
          <w:sz w:val="22"/>
          <w:lang w:val="en-US"/>
        </w:rPr>
        <w:t xml:space="preserve"> </w:t>
      </w:r>
      <w:r w:rsidRPr="00E7620D">
        <w:rPr>
          <w:rFonts w:cs="Arial"/>
          <w:sz w:val="22"/>
          <w:lang w:val="en-US"/>
        </w:rPr>
        <w:t>;</w:t>
      </w:r>
    </w:p>
    <w:p w14:paraId="702C9A93"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Environmental and social selection (screening-in of forms), and determination of the level</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environmental</w:t>
      </w:r>
      <w:r w:rsidRPr="00540C2E">
        <w:rPr>
          <w:rFonts w:cs="Arial"/>
          <w:sz w:val="22"/>
          <w:lang w:val="en-US"/>
        </w:rPr>
        <w:t xml:space="preserve"> </w:t>
      </w:r>
      <w:r w:rsidRPr="00E7620D">
        <w:rPr>
          <w:rFonts w:cs="Arial"/>
          <w:sz w:val="22"/>
          <w:lang w:val="en-US"/>
        </w:rPr>
        <w:t>and</w:t>
      </w:r>
      <w:r w:rsidRPr="00540C2E">
        <w:rPr>
          <w:rFonts w:cs="Arial"/>
          <w:sz w:val="22"/>
          <w:lang w:val="en-US"/>
        </w:rPr>
        <w:t xml:space="preserve"> </w:t>
      </w:r>
      <w:r w:rsidRPr="00E7620D">
        <w:rPr>
          <w:rFonts w:cs="Arial"/>
          <w:sz w:val="22"/>
          <w:lang w:val="en-US"/>
        </w:rPr>
        <w:t>social</w:t>
      </w:r>
      <w:r w:rsidRPr="00540C2E">
        <w:rPr>
          <w:rFonts w:cs="Arial"/>
          <w:sz w:val="22"/>
          <w:lang w:val="en-US"/>
        </w:rPr>
        <w:t xml:space="preserve"> </w:t>
      </w:r>
      <w:r w:rsidRPr="00E7620D">
        <w:rPr>
          <w:rFonts w:cs="Arial"/>
          <w:sz w:val="22"/>
          <w:lang w:val="en-US"/>
        </w:rPr>
        <w:t>risk,</w:t>
      </w:r>
      <w:r w:rsidRPr="00540C2E">
        <w:rPr>
          <w:rFonts w:cs="Arial"/>
          <w:sz w:val="22"/>
          <w:lang w:val="en-US"/>
        </w:rPr>
        <w:t xml:space="preserve"> </w:t>
      </w:r>
      <w:r w:rsidRPr="00E7620D">
        <w:rPr>
          <w:rFonts w:cs="Arial"/>
          <w:sz w:val="22"/>
          <w:lang w:val="en-US"/>
        </w:rPr>
        <w:t>as</w:t>
      </w:r>
      <w:r w:rsidRPr="00540C2E">
        <w:rPr>
          <w:rFonts w:cs="Arial"/>
          <w:sz w:val="22"/>
          <w:lang w:val="en-US"/>
        </w:rPr>
        <w:t xml:space="preserve"> </w:t>
      </w:r>
      <w:r w:rsidRPr="00E7620D">
        <w:rPr>
          <w:rFonts w:cs="Arial"/>
          <w:sz w:val="22"/>
          <w:lang w:val="en-US"/>
        </w:rPr>
        <w:t>well</w:t>
      </w:r>
      <w:r w:rsidRPr="00540C2E">
        <w:rPr>
          <w:rFonts w:cs="Arial"/>
          <w:sz w:val="22"/>
          <w:lang w:val="en-US"/>
        </w:rPr>
        <w:t xml:space="preserve"> </w:t>
      </w:r>
      <w:r w:rsidRPr="00E7620D">
        <w:rPr>
          <w:rFonts w:cs="Arial"/>
          <w:sz w:val="22"/>
          <w:lang w:val="en-US"/>
        </w:rPr>
        <w:t>as</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type</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specific</w:t>
      </w:r>
      <w:r w:rsidRPr="00540C2E">
        <w:rPr>
          <w:rFonts w:cs="Arial"/>
          <w:sz w:val="22"/>
          <w:lang w:val="en-US"/>
        </w:rPr>
        <w:t xml:space="preserve"> </w:t>
      </w:r>
      <w:r w:rsidRPr="00E7620D">
        <w:rPr>
          <w:rFonts w:cs="Arial"/>
          <w:sz w:val="22"/>
          <w:lang w:val="en-US"/>
        </w:rPr>
        <w:t>risk</w:t>
      </w:r>
      <w:r w:rsidRPr="00540C2E">
        <w:rPr>
          <w:rFonts w:cs="Arial"/>
          <w:sz w:val="22"/>
          <w:lang w:val="en-US"/>
        </w:rPr>
        <w:t xml:space="preserve"> </w:t>
      </w:r>
      <w:r w:rsidRPr="00E7620D">
        <w:rPr>
          <w:rFonts w:cs="Arial"/>
          <w:sz w:val="22"/>
          <w:lang w:val="en-US"/>
        </w:rPr>
        <w:t>and</w:t>
      </w:r>
      <w:r w:rsidRPr="00540C2E">
        <w:rPr>
          <w:rFonts w:cs="Arial"/>
          <w:sz w:val="22"/>
          <w:lang w:val="en-US"/>
        </w:rPr>
        <w:t xml:space="preserve"> </w:t>
      </w:r>
      <w:r w:rsidRPr="00E7620D">
        <w:rPr>
          <w:rFonts w:cs="Arial"/>
          <w:sz w:val="22"/>
          <w:lang w:val="en-US"/>
        </w:rPr>
        <w:t>impact management instrument to be prepared ;</w:t>
      </w:r>
    </w:p>
    <w:p w14:paraId="7A32F1CF" w14:textId="77777777" w:rsidR="001977A4" w:rsidRPr="00540C2E"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540C2E">
        <w:rPr>
          <w:rFonts w:cs="Arial"/>
          <w:sz w:val="22"/>
          <w:lang w:val="en-US"/>
        </w:rPr>
        <w:t>Approval of the classification.</w:t>
      </w:r>
    </w:p>
    <w:p w14:paraId="0F738E82" w14:textId="77777777" w:rsidR="001977A4" w:rsidRPr="008839E0" w:rsidRDefault="001977A4" w:rsidP="001977A4">
      <w:pPr>
        <w:pStyle w:val="Corpsdetexte"/>
        <w:spacing w:line="276" w:lineRule="auto"/>
        <w:rPr>
          <w:rFonts w:cs="Arial"/>
          <w:sz w:val="22"/>
          <w:szCs w:val="22"/>
        </w:rPr>
      </w:pPr>
    </w:p>
    <w:p w14:paraId="5F2ED1E3"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u w:val="single"/>
          <w:lang w:val="en-US"/>
        </w:rPr>
        <w:lastRenderedPageBreak/>
        <w:t>Process for the preparation of specific instruments (ESIA/SEMP) for the environmental and</w:t>
      </w:r>
      <w:r w:rsidRPr="00E7620D">
        <w:rPr>
          <w:rFonts w:cs="Arial"/>
          <w:sz w:val="22"/>
          <w:szCs w:val="22"/>
          <w:lang w:val="en-US"/>
        </w:rPr>
        <w:t xml:space="preserve"> </w:t>
      </w:r>
      <w:r w:rsidRPr="00E7620D">
        <w:rPr>
          <w:rFonts w:cs="Arial"/>
          <w:sz w:val="22"/>
          <w:szCs w:val="22"/>
          <w:u w:val="single"/>
          <w:lang w:val="en-US"/>
        </w:rPr>
        <w:t>social risk management of sub-projects</w:t>
      </w:r>
    </w:p>
    <w:p w14:paraId="2236E84E" w14:textId="77777777" w:rsidR="001977A4" w:rsidRPr="00E7620D" w:rsidRDefault="001977A4" w:rsidP="001977A4">
      <w:pPr>
        <w:pStyle w:val="Corpsdetexte"/>
        <w:spacing w:line="276" w:lineRule="auto"/>
        <w:rPr>
          <w:rFonts w:cs="Arial"/>
          <w:sz w:val="22"/>
          <w:szCs w:val="22"/>
          <w:lang w:val="en-US"/>
        </w:rPr>
      </w:pPr>
    </w:p>
    <w:p w14:paraId="2F7AAEF6"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Preparation and approval of Terms of Reference</w:t>
      </w:r>
      <w:r w:rsidRPr="00540C2E">
        <w:rPr>
          <w:rFonts w:cs="Arial"/>
          <w:sz w:val="22"/>
          <w:lang w:val="en-US"/>
        </w:rPr>
        <w:t xml:space="preserve"> </w:t>
      </w:r>
      <w:r w:rsidRPr="00E7620D">
        <w:rPr>
          <w:rFonts w:cs="Arial"/>
          <w:sz w:val="22"/>
          <w:lang w:val="en-US"/>
        </w:rPr>
        <w:t>;</w:t>
      </w:r>
    </w:p>
    <w:p w14:paraId="1096D6CE"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Carrying out the study including public consultation (beneficiaries, affected persons, stakeholders)</w:t>
      </w:r>
      <w:r w:rsidRPr="00540C2E">
        <w:rPr>
          <w:rFonts w:cs="Arial"/>
          <w:sz w:val="22"/>
          <w:lang w:val="en-US"/>
        </w:rPr>
        <w:t xml:space="preserve"> </w:t>
      </w:r>
      <w:r w:rsidRPr="00E7620D">
        <w:rPr>
          <w:rFonts w:cs="Arial"/>
          <w:sz w:val="22"/>
          <w:lang w:val="en-US"/>
        </w:rPr>
        <w:t>;</w:t>
      </w:r>
    </w:p>
    <w:p w14:paraId="05BB6299"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Validation of the document and obtaining the environmental certificate</w:t>
      </w:r>
      <w:r w:rsidRPr="00540C2E">
        <w:rPr>
          <w:rFonts w:cs="Arial"/>
          <w:sz w:val="22"/>
          <w:lang w:val="en-US"/>
        </w:rPr>
        <w:t xml:space="preserve"> </w:t>
      </w:r>
      <w:r w:rsidRPr="00E7620D">
        <w:rPr>
          <w:rFonts w:cs="Arial"/>
          <w:sz w:val="22"/>
          <w:lang w:val="en-US"/>
        </w:rPr>
        <w:t>;</w:t>
      </w:r>
    </w:p>
    <w:p w14:paraId="00C23F2F" w14:textId="77777777" w:rsidR="001977A4" w:rsidRPr="00540C2E"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540C2E">
        <w:rPr>
          <w:rFonts w:cs="Arial"/>
          <w:sz w:val="22"/>
          <w:lang w:val="en-US"/>
        </w:rPr>
        <w:t>Publication of the document ;</w:t>
      </w:r>
    </w:p>
    <w:p w14:paraId="36FE9902"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Integration in the tender documents (DAO) of the sub-project, of all the environmental and social measures of the works phase that can be contracted with the Company</w:t>
      </w:r>
      <w:r w:rsidRPr="00540C2E">
        <w:rPr>
          <w:rFonts w:cs="Arial"/>
          <w:sz w:val="22"/>
          <w:lang w:val="en-US"/>
        </w:rPr>
        <w:t xml:space="preserve"> </w:t>
      </w:r>
      <w:r w:rsidRPr="00E7620D">
        <w:rPr>
          <w:rFonts w:cs="Arial"/>
          <w:sz w:val="22"/>
          <w:lang w:val="en-US"/>
        </w:rPr>
        <w:t>;</w:t>
      </w:r>
    </w:p>
    <w:p w14:paraId="6040BEA3"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Approval of the PGES-Enterprise by the Control Mission</w:t>
      </w:r>
      <w:r w:rsidRPr="00540C2E">
        <w:rPr>
          <w:rFonts w:cs="Arial"/>
          <w:sz w:val="22"/>
          <w:lang w:val="en-US"/>
        </w:rPr>
        <w:t xml:space="preserve"> </w:t>
      </w:r>
      <w:r w:rsidRPr="00E7620D">
        <w:rPr>
          <w:rFonts w:cs="Arial"/>
          <w:sz w:val="22"/>
          <w:lang w:val="en-US"/>
        </w:rPr>
        <w:t>;</w:t>
      </w:r>
    </w:p>
    <w:p w14:paraId="2EDE6183"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Execution/implementation</w:t>
      </w:r>
      <w:r w:rsidRPr="00540C2E">
        <w:rPr>
          <w:rFonts w:cs="Arial"/>
          <w:sz w:val="22"/>
          <w:lang w:val="en-US"/>
        </w:rPr>
        <w:t xml:space="preserve"> </w:t>
      </w:r>
      <w:r w:rsidRPr="00E7620D">
        <w:rPr>
          <w:rFonts w:cs="Arial"/>
          <w:sz w:val="22"/>
          <w:lang w:val="en-US"/>
        </w:rPr>
        <w:t>of</w:t>
      </w:r>
      <w:r w:rsidRPr="00540C2E">
        <w:rPr>
          <w:rFonts w:cs="Arial"/>
          <w:sz w:val="22"/>
          <w:lang w:val="en-US"/>
        </w:rPr>
        <w:t xml:space="preserve"> </w:t>
      </w:r>
      <w:r w:rsidRPr="00E7620D">
        <w:rPr>
          <w:rFonts w:cs="Arial"/>
          <w:sz w:val="22"/>
          <w:lang w:val="en-US"/>
        </w:rPr>
        <w:t>measures</w:t>
      </w:r>
      <w:r w:rsidRPr="00540C2E">
        <w:rPr>
          <w:rFonts w:cs="Arial"/>
          <w:sz w:val="22"/>
          <w:lang w:val="en-US"/>
        </w:rPr>
        <w:t xml:space="preserve"> </w:t>
      </w:r>
      <w:r w:rsidRPr="00E7620D">
        <w:rPr>
          <w:rFonts w:cs="Arial"/>
          <w:sz w:val="22"/>
          <w:lang w:val="en-US"/>
        </w:rPr>
        <w:t>not</w:t>
      </w:r>
      <w:r w:rsidRPr="00540C2E">
        <w:rPr>
          <w:rFonts w:cs="Arial"/>
          <w:sz w:val="22"/>
          <w:lang w:val="en-US"/>
        </w:rPr>
        <w:t xml:space="preserve"> </w:t>
      </w:r>
      <w:r w:rsidRPr="00E7620D">
        <w:rPr>
          <w:rFonts w:cs="Arial"/>
          <w:sz w:val="22"/>
          <w:lang w:val="en-US"/>
        </w:rPr>
        <w:t>contracted</w:t>
      </w:r>
      <w:r w:rsidRPr="00540C2E">
        <w:rPr>
          <w:rFonts w:cs="Arial"/>
          <w:sz w:val="22"/>
          <w:lang w:val="en-US"/>
        </w:rPr>
        <w:t xml:space="preserve"> </w:t>
      </w:r>
      <w:r w:rsidRPr="00E7620D">
        <w:rPr>
          <w:rFonts w:cs="Arial"/>
          <w:sz w:val="22"/>
          <w:lang w:val="en-US"/>
        </w:rPr>
        <w:t>with</w:t>
      </w:r>
      <w:r w:rsidRPr="00540C2E">
        <w:rPr>
          <w:rFonts w:cs="Arial"/>
          <w:sz w:val="22"/>
          <w:lang w:val="en-US"/>
        </w:rPr>
        <w:t xml:space="preserve"> </w:t>
      </w:r>
      <w:r w:rsidRPr="00E7620D">
        <w:rPr>
          <w:rFonts w:cs="Arial"/>
          <w:sz w:val="22"/>
          <w:lang w:val="en-US"/>
        </w:rPr>
        <w:t>the</w:t>
      </w:r>
      <w:r w:rsidRPr="00540C2E">
        <w:rPr>
          <w:rFonts w:cs="Arial"/>
          <w:sz w:val="22"/>
          <w:lang w:val="en-US"/>
        </w:rPr>
        <w:t xml:space="preserve"> </w:t>
      </w:r>
      <w:r w:rsidRPr="00E7620D">
        <w:rPr>
          <w:rFonts w:cs="Arial"/>
          <w:sz w:val="22"/>
          <w:lang w:val="en-US"/>
        </w:rPr>
        <w:t>construction</w:t>
      </w:r>
      <w:r w:rsidRPr="00540C2E">
        <w:rPr>
          <w:rFonts w:cs="Arial"/>
          <w:sz w:val="22"/>
          <w:lang w:val="en-US"/>
        </w:rPr>
        <w:t xml:space="preserve"> </w:t>
      </w:r>
      <w:r w:rsidRPr="00E7620D">
        <w:rPr>
          <w:rFonts w:cs="Arial"/>
          <w:sz w:val="22"/>
          <w:lang w:val="en-US"/>
        </w:rPr>
        <w:t>company</w:t>
      </w:r>
      <w:r w:rsidRPr="00540C2E">
        <w:rPr>
          <w:rFonts w:cs="Arial"/>
          <w:sz w:val="22"/>
          <w:lang w:val="en-US"/>
        </w:rPr>
        <w:t xml:space="preserve"> </w:t>
      </w:r>
      <w:r w:rsidRPr="00E7620D">
        <w:rPr>
          <w:rFonts w:cs="Arial"/>
          <w:sz w:val="22"/>
          <w:lang w:val="en-US"/>
        </w:rPr>
        <w:t>;</w:t>
      </w:r>
    </w:p>
    <w:p w14:paraId="244FA074"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Internal and external monitoring of the implementation of environmental and social measures;</w:t>
      </w:r>
    </w:p>
    <w:p w14:paraId="1DCB4F05"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Dissemination of the monitoring report (internal and external)</w:t>
      </w:r>
      <w:r w:rsidRPr="00540C2E">
        <w:rPr>
          <w:rFonts w:cs="Arial"/>
          <w:sz w:val="22"/>
          <w:lang w:val="en-US"/>
        </w:rPr>
        <w:t xml:space="preserve"> </w:t>
      </w:r>
      <w:r w:rsidRPr="00E7620D">
        <w:rPr>
          <w:rFonts w:cs="Arial"/>
          <w:sz w:val="22"/>
          <w:lang w:val="en-US"/>
        </w:rPr>
        <w:t>;</w:t>
      </w:r>
    </w:p>
    <w:p w14:paraId="1BA3343B"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Environmental and social monitoring (internal and external)</w:t>
      </w:r>
      <w:r w:rsidRPr="00540C2E">
        <w:rPr>
          <w:rFonts w:cs="Arial"/>
          <w:sz w:val="22"/>
          <w:lang w:val="en-US"/>
        </w:rPr>
        <w:t xml:space="preserve"> </w:t>
      </w:r>
      <w:r w:rsidRPr="00E7620D">
        <w:rPr>
          <w:rFonts w:cs="Arial"/>
          <w:sz w:val="22"/>
          <w:lang w:val="en-US"/>
        </w:rPr>
        <w:t>;</w:t>
      </w:r>
    </w:p>
    <w:p w14:paraId="5F1784DD"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Dissemination of the monitoring report (internal and external)</w:t>
      </w:r>
      <w:r w:rsidRPr="00540C2E">
        <w:rPr>
          <w:rFonts w:cs="Arial"/>
          <w:sz w:val="22"/>
          <w:lang w:val="en-US"/>
        </w:rPr>
        <w:t xml:space="preserve"> </w:t>
      </w:r>
      <w:r w:rsidRPr="00E7620D">
        <w:rPr>
          <w:rFonts w:cs="Arial"/>
          <w:sz w:val="22"/>
          <w:lang w:val="en-US"/>
        </w:rPr>
        <w:t>;</w:t>
      </w:r>
    </w:p>
    <w:p w14:paraId="2450EC6D"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Capacity building of the actors in the implementation of Environmental and Social Management Plan</w:t>
      </w:r>
      <w:r w:rsidRPr="00540C2E">
        <w:rPr>
          <w:rFonts w:cs="Arial"/>
          <w:sz w:val="22"/>
          <w:lang w:val="en-US"/>
        </w:rPr>
        <w:t xml:space="preserve"> </w:t>
      </w:r>
      <w:r w:rsidRPr="00E7620D">
        <w:rPr>
          <w:rFonts w:cs="Arial"/>
          <w:sz w:val="22"/>
          <w:lang w:val="en-US"/>
        </w:rPr>
        <w:t>;</w:t>
      </w:r>
    </w:p>
    <w:p w14:paraId="4F8AD8C7"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Audit of the implementation of environmental and social</w:t>
      </w:r>
      <w:r w:rsidRPr="00540C2E">
        <w:rPr>
          <w:rFonts w:cs="Arial"/>
          <w:sz w:val="22"/>
          <w:lang w:val="en-US"/>
        </w:rPr>
        <w:t xml:space="preserve"> </w:t>
      </w:r>
      <w:r w:rsidRPr="00E7620D">
        <w:rPr>
          <w:rFonts w:cs="Arial"/>
          <w:sz w:val="22"/>
          <w:lang w:val="en-US"/>
        </w:rPr>
        <w:t>measures.</w:t>
      </w:r>
    </w:p>
    <w:p w14:paraId="1CAB3990" w14:textId="77777777" w:rsidR="001977A4" w:rsidRPr="00E7620D" w:rsidRDefault="001977A4" w:rsidP="001977A4">
      <w:pPr>
        <w:pStyle w:val="Corpsdetexte"/>
        <w:spacing w:line="276" w:lineRule="auto"/>
        <w:rPr>
          <w:rFonts w:cs="Arial"/>
          <w:sz w:val="22"/>
          <w:szCs w:val="22"/>
          <w:lang w:val="en-US"/>
        </w:rPr>
      </w:pPr>
    </w:p>
    <w:p w14:paraId="6FCC1909" w14:textId="77777777" w:rsidR="001977A4" w:rsidRPr="00A7078B" w:rsidRDefault="001977A4" w:rsidP="002378EA">
      <w:pPr>
        <w:pStyle w:val="Paragraphedeliste"/>
        <w:widowControl w:val="0"/>
        <w:numPr>
          <w:ilvl w:val="1"/>
          <w:numId w:val="112"/>
        </w:numPr>
        <w:tabs>
          <w:tab w:val="left" w:pos="851"/>
        </w:tabs>
        <w:autoSpaceDE w:val="0"/>
        <w:autoSpaceDN w:val="0"/>
        <w:ind w:left="0" w:firstLine="284"/>
        <w:contextualSpacing w:val="0"/>
        <w:rPr>
          <w:rFonts w:cs="Arial"/>
          <w:i/>
          <w:sz w:val="22"/>
          <w:u w:val="single"/>
          <w:lang w:val="en-US"/>
        </w:rPr>
      </w:pPr>
      <w:r w:rsidRPr="00E7620D">
        <w:rPr>
          <w:rFonts w:cs="Arial"/>
          <w:i/>
          <w:sz w:val="22"/>
          <w:u w:val="single"/>
          <w:lang w:val="en-US"/>
        </w:rPr>
        <w:t>Main indicators for the implementation of the</w:t>
      </w:r>
      <w:r w:rsidRPr="00A7078B">
        <w:rPr>
          <w:rFonts w:cs="Arial"/>
          <w:i/>
          <w:sz w:val="22"/>
          <w:u w:val="single"/>
          <w:lang w:val="en-US"/>
        </w:rPr>
        <w:t xml:space="preserve"> </w:t>
      </w:r>
      <w:r w:rsidRPr="00E7620D">
        <w:rPr>
          <w:rFonts w:cs="Arial"/>
          <w:i/>
          <w:sz w:val="22"/>
          <w:u w:val="single"/>
          <w:lang w:val="en-US"/>
        </w:rPr>
        <w:t>CGES</w:t>
      </w:r>
    </w:p>
    <w:p w14:paraId="03E9524E" w14:textId="77777777" w:rsidR="001977A4" w:rsidRPr="00E7620D" w:rsidRDefault="001977A4" w:rsidP="001977A4">
      <w:pPr>
        <w:pStyle w:val="Corpsdetexte"/>
        <w:spacing w:line="276" w:lineRule="auto"/>
        <w:rPr>
          <w:rFonts w:cs="Arial"/>
          <w:i/>
          <w:sz w:val="22"/>
          <w:szCs w:val="22"/>
          <w:lang w:val="en-US"/>
        </w:rPr>
      </w:pPr>
    </w:p>
    <w:p w14:paraId="29071A55" w14:textId="77777777" w:rsidR="001977A4" w:rsidRPr="008839E0" w:rsidRDefault="001977A4" w:rsidP="001977A4">
      <w:pPr>
        <w:pStyle w:val="Corpsdetexte"/>
        <w:spacing w:line="276" w:lineRule="auto"/>
        <w:rPr>
          <w:rFonts w:cs="Arial"/>
          <w:sz w:val="22"/>
          <w:szCs w:val="22"/>
        </w:rPr>
      </w:pPr>
      <w:r w:rsidRPr="00E7620D">
        <w:rPr>
          <w:rFonts w:cs="Arial"/>
          <w:sz w:val="22"/>
          <w:szCs w:val="22"/>
          <w:lang w:val="en-US"/>
        </w:rPr>
        <w:t xml:space="preserve">The monitoring program will describe the items to be monitored, monitoring methods/devices, monitoring responsibilities, monitoring period. The objective of this environmental and social monitoring program is to ensure that the measures are executed and implemented according to the planned schedule. </w:t>
      </w:r>
      <w:r w:rsidRPr="008839E0">
        <w:rPr>
          <w:rFonts w:cs="Arial"/>
          <w:sz w:val="22"/>
          <w:szCs w:val="22"/>
        </w:rPr>
        <w:t>To this end, the main indicators selected are :</w:t>
      </w:r>
    </w:p>
    <w:p w14:paraId="1089F7DD" w14:textId="77777777" w:rsidR="001977A4" w:rsidRPr="008839E0" w:rsidRDefault="001977A4" w:rsidP="001977A4">
      <w:pPr>
        <w:pStyle w:val="Corpsdetexte"/>
        <w:spacing w:line="276" w:lineRule="auto"/>
        <w:rPr>
          <w:rFonts w:cs="Arial"/>
          <w:sz w:val="22"/>
          <w:szCs w:val="22"/>
        </w:rPr>
      </w:pPr>
    </w:p>
    <w:p w14:paraId="17F6899E"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Strategic indicators to be monitored by the Project Steering Committee</w:t>
      </w:r>
      <w:r w:rsidRPr="00540C2E">
        <w:rPr>
          <w:rFonts w:cs="Arial"/>
          <w:sz w:val="22"/>
          <w:lang w:val="en-US"/>
        </w:rPr>
        <w:t xml:space="preserve"> </w:t>
      </w:r>
      <w:r w:rsidRPr="00E7620D">
        <w:rPr>
          <w:rFonts w:cs="Arial"/>
          <w:sz w:val="22"/>
          <w:lang w:val="en-US"/>
        </w:rPr>
        <w:t>;</w:t>
      </w:r>
    </w:p>
    <w:p w14:paraId="680A2BF1"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Effectiveness of environmental and social screening of program activities</w:t>
      </w:r>
      <w:r w:rsidRPr="00540C2E">
        <w:rPr>
          <w:rFonts w:cs="Arial"/>
          <w:sz w:val="22"/>
          <w:lang w:val="en-US"/>
        </w:rPr>
        <w:t xml:space="preserve"> </w:t>
      </w:r>
      <w:r w:rsidRPr="00E7620D">
        <w:rPr>
          <w:rFonts w:cs="Arial"/>
          <w:sz w:val="22"/>
          <w:lang w:val="en-US"/>
        </w:rPr>
        <w:t>;</w:t>
      </w:r>
    </w:p>
    <w:p w14:paraId="6944A992"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Effectiveness of environmental monitoring and</w:t>
      </w:r>
      <w:r w:rsidRPr="00540C2E">
        <w:rPr>
          <w:rFonts w:cs="Arial"/>
          <w:sz w:val="22"/>
          <w:lang w:val="en-US"/>
        </w:rPr>
        <w:t xml:space="preserve"> </w:t>
      </w:r>
      <w:r w:rsidRPr="00E7620D">
        <w:rPr>
          <w:rFonts w:cs="Arial"/>
          <w:sz w:val="22"/>
          <w:lang w:val="en-US"/>
        </w:rPr>
        <w:t>reporting;</w:t>
      </w:r>
    </w:p>
    <w:p w14:paraId="0A2A2AE5"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Implementation of CGES training/awareness programs</w:t>
      </w:r>
      <w:r w:rsidRPr="00540C2E">
        <w:rPr>
          <w:rFonts w:cs="Arial"/>
          <w:sz w:val="22"/>
          <w:lang w:val="en-US"/>
        </w:rPr>
        <w:t xml:space="preserve"> </w:t>
      </w:r>
      <w:r w:rsidRPr="00E7620D">
        <w:rPr>
          <w:rFonts w:cs="Arial"/>
          <w:sz w:val="22"/>
          <w:lang w:val="en-US"/>
        </w:rPr>
        <w:t>;</w:t>
      </w:r>
    </w:p>
    <w:p w14:paraId="0EBC5967"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Indicators to be tracked by ESS and SSS/</w:t>
      </w:r>
      <w:r w:rsidR="00540C2E">
        <w:rPr>
          <w:rFonts w:cs="Arial"/>
          <w:sz w:val="22"/>
          <w:lang w:val="en-US"/>
        </w:rPr>
        <w:t>PNDA</w:t>
      </w:r>
      <w:r w:rsidRPr="00540C2E">
        <w:rPr>
          <w:rFonts w:cs="Arial"/>
          <w:sz w:val="22"/>
          <w:lang w:val="en-US"/>
        </w:rPr>
        <w:t xml:space="preserve"> </w:t>
      </w:r>
      <w:r w:rsidRPr="00E7620D">
        <w:rPr>
          <w:rFonts w:cs="Arial"/>
          <w:sz w:val="22"/>
          <w:lang w:val="en-US"/>
        </w:rPr>
        <w:t>;</w:t>
      </w:r>
    </w:p>
    <w:p w14:paraId="6ABE7F76"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Effectiveness of the insertion of environmental clauses in the execution files</w:t>
      </w:r>
      <w:r w:rsidRPr="00540C2E">
        <w:rPr>
          <w:rFonts w:cs="Arial"/>
          <w:sz w:val="22"/>
          <w:lang w:val="en-US"/>
        </w:rPr>
        <w:t xml:space="preserve"> </w:t>
      </w:r>
      <w:r w:rsidRPr="00E7620D">
        <w:rPr>
          <w:rFonts w:cs="Arial"/>
          <w:sz w:val="22"/>
          <w:lang w:val="en-US"/>
        </w:rPr>
        <w:t>;</w:t>
      </w:r>
    </w:p>
    <w:p w14:paraId="292CB0CE"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Percentage of companies complying with environmental regulations on their construction sites</w:t>
      </w:r>
      <w:r w:rsidRPr="00540C2E">
        <w:rPr>
          <w:rFonts w:cs="Arial"/>
          <w:sz w:val="22"/>
          <w:lang w:val="en-US"/>
        </w:rPr>
        <w:t xml:space="preserve"> </w:t>
      </w:r>
      <w:r w:rsidRPr="00E7620D">
        <w:rPr>
          <w:rFonts w:cs="Arial"/>
          <w:sz w:val="22"/>
          <w:lang w:val="en-US"/>
        </w:rPr>
        <w:t>;</w:t>
      </w:r>
    </w:p>
    <w:p w14:paraId="328787A2"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Number of actors trained/aware in environmental and social management</w:t>
      </w:r>
      <w:r w:rsidRPr="00540C2E">
        <w:rPr>
          <w:rFonts w:cs="Arial"/>
          <w:sz w:val="22"/>
          <w:lang w:val="en-US"/>
        </w:rPr>
        <w:t xml:space="preserve"> </w:t>
      </w:r>
      <w:r w:rsidRPr="00E7620D">
        <w:rPr>
          <w:rFonts w:cs="Arial"/>
          <w:sz w:val="22"/>
          <w:lang w:val="en-US"/>
        </w:rPr>
        <w:t>;</w:t>
      </w:r>
    </w:p>
    <w:p w14:paraId="146B1F8E"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Level of involvement of the Provincial Coordination of the Environment (CPE) in the monitoring of the implementation of the activities</w:t>
      </w:r>
      <w:r w:rsidRPr="00540C2E">
        <w:rPr>
          <w:rFonts w:cs="Arial"/>
          <w:sz w:val="22"/>
          <w:lang w:val="en-US"/>
        </w:rPr>
        <w:t xml:space="preserve"> </w:t>
      </w:r>
      <w:r w:rsidRPr="00E7620D">
        <w:rPr>
          <w:rFonts w:cs="Arial"/>
          <w:sz w:val="22"/>
          <w:lang w:val="en-US"/>
        </w:rPr>
        <w:t>;</w:t>
      </w:r>
    </w:p>
    <w:p w14:paraId="6CA64BEC" w14:textId="77777777" w:rsidR="001977A4" w:rsidRPr="00540C2E"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540C2E">
        <w:rPr>
          <w:rFonts w:cs="Arial"/>
          <w:sz w:val="22"/>
          <w:lang w:val="en-US"/>
        </w:rPr>
        <w:t>Number of awareness campaigns ;</w:t>
      </w:r>
    </w:p>
    <w:p w14:paraId="42BB858F"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Regularity and effectiveness of proximity</w:t>
      </w:r>
      <w:r w:rsidRPr="00540C2E">
        <w:rPr>
          <w:rFonts w:cs="Arial"/>
          <w:sz w:val="22"/>
          <w:lang w:val="en-US"/>
        </w:rPr>
        <w:t xml:space="preserve"> </w:t>
      </w:r>
      <w:r w:rsidRPr="00E7620D">
        <w:rPr>
          <w:rFonts w:cs="Arial"/>
          <w:sz w:val="22"/>
          <w:lang w:val="en-US"/>
        </w:rPr>
        <w:t>monitoring;</w:t>
      </w:r>
    </w:p>
    <w:p w14:paraId="2EFF9D49"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Number of ESIA sub-projects with ESMPs implemented</w:t>
      </w:r>
      <w:r w:rsidRPr="00540C2E">
        <w:rPr>
          <w:rFonts w:cs="Arial"/>
          <w:sz w:val="22"/>
          <w:lang w:val="en-US"/>
        </w:rPr>
        <w:t xml:space="preserve"> </w:t>
      </w:r>
      <w:r w:rsidRPr="00E7620D">
        <w:rPr>
          <w:rFonts w:cs="Arial"/>
          <w:sz w:val="22"/>
          <w:lang w:val="en-US"/>
        </w:rPr>
        <w:t>;</w:t>
      </w:r>
    </w:p>
    <w:p w14:paraId="1F41C74C"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Number of training/awareness sessions held</w:t>
      </w:r>
      <w:r w:rsidRPr="00540C2E">
        <w:rPr>
          <w:rFonts w:cs="Arial"/>
          <w:sz w:val="22"/>
          <w:lang w:val="en-US"/>
        </w:rPr>
        <w:t xml:space="preserve"> </w:t>
      </w:r>
      <w:r w:rsidRPr="00E7620D">
        <w:rPr>
          <w:rFonts w:cs="Arial"/>
          <w:sz w:val="22"/>
          <w:lang w:val="en-US"/>
        </w:rPr>
        <w:t>;</w:t>
      </w:r>
    </w:p>
    <w:p w14:paraId="398776EA"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Number of environmental monitoring/assessment missions</w:t>
      </w:r>
      <w:r w:rsidRPr="00540C2E">
        <w:rPr>
          <w:rFonts w:cs="Arial"/>
          <w:sz w:val="22"/>
          <w:lang w:val="en-US"/>
        </w:rPr>
        <w:t xml:space="preserve"> </w:t>
      </w:r>
      <w:r w:rsidRPr="00E7620D">
        <w:rPr>
          <w:rFonts w:cs="Arial"/>
          <w:sz w:val="22"/>
          <w:lang w:val="en-US"/>
        </w:rPr>
        <w:t>;</w:t>
      </w:r>
    </w:p>
    <w:p w14:paraId="1CE9D3B7"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Number of jobs created locally (local labour used for the work)</w:t>
      </w:r>
      <w:r w:rsidRPr="00540C2E">
        <w:rPr>
          <w:rFonts w:cs="Arial"/>
          <w:sz w:val="22"/>
          <w:lang w:val="en-US"/>
        </w:rPr>
        <w:t xml:space="preserve"> </w:t>
      </w:r>
      <w:r w:rsidRPr="00E7620D">
        <w:rPr>
          <w:rFonts w:cs="Arial"/>
          <w:sz w:val="22"/>
          <w:lang w:val="en-US"/>
        </w:rPr>
        <w:t>;</w:t>
      </w:r>
    </w:p>
    <w:p w14:paraId="516BCBC0"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Number of indigenous populations and camps located in the project area</w:t>
      </w:r>
      <w:r w:rsidRPr="00540C2E">
        <w:rPr>
          <w:rFonts w:cs="Arial"/>
          <w:sz w:val="22"/>
          <w:lang w:val="en-US"/>
        </w:rPr>
        <w:t xml:space="preserve"> </w:t>
      </w:r>
      <w:r w:rsidRPr="00E7620D">
        <w:rPr>
          <w:rFonts w:cs="Arial"/>
          <w:sz w:val="22"/>
          <w:lang w:val="en-US"/>
        </w:rPr>
        <w:t>;</w:t>
      </w:r>
    </w:p>
    <w:p w14:paraId="2F746E66"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Number of people affected and compensated by the Project</w:t>
      </w:r>
      <w:r w:rsidRPr="00540C2E">
        <w:rPr>
          <w:rFonts w:cs="Arial"/>
          <w:sz w:val="22"/>
          <w:lang w:val="en-US"/>
        </w:rPr>
        <w:t xml:space="preserve"> </w:t>
      </w:r>
      <w:r w:rsidRPr="00E7620D">
        <w:rPr>
          <w:rFonts w:cs="Arial"/>
          <w:sz w:val="22"/>
          <w:lang w:val="en-US"/>
        </w:rPr>
        <w:t>;</w:t>
      </w:r>
    </w:p>
    <w:p w14:paraId="20BC1D3E"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Number of training sessions for GBV workers, disaggregated by sex</w:t>
      </w:r>
      <w:r w:rsidRPr="00540C2E">
        <w:rPr>
          <w:rFonts w:cs="Arial"/>
          <w:sz w:val="22"/>
          <w:lang w:val="en-US"/>
        </w:rPr>
        <w:t xml:space="preserve"> </w:t>
      </w:r>
      <w:r w:rsidRPr="00E7620D">
        <w:rPr>
          <w:rFonts w:cs="Arial"/>
          <w:sz w:val="22"/>
          <w:lang w:val="en-US"/>
        </w:rPr>
        <w:t>;</w:t>
      </w:r>
    </w:p>
    <w:p w14:paraId="6BBA935C"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Number of retraining sessions for workers in GBV</w:t>
      </w:r>
      <w:r w:rsidRPr="00540C2E">
        <w:rPr>
          <w:rFonts w:cs="Arial"/>
          <w:sz w:val="22"/>
          <w:lang w:val="en-US"/>
        </w:rPr>
        <w:t xml:space="preserve"> </w:t>
      </w:r>
      <w:r w:rsidRPr="00E7620D">
        <w:rPr>
          <w:rFonts w:cs="Arial"/>
          <w:sz w:val="22"/>
          <w:lang w:val="en-US"/>
        </w:rPr>
        <w:t>;</w:t>
      </w:r>
    </w:p>
    <w:p w14:paraId="6FB42755"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lastRenderedPageBreak/>
        <w:t>Pre- and post-test results of GBV training</w:t>
      </w:r>
      <w:r w:rsidRPr="00540C2E">
        <w:rPr>
          <w:rFonts w:cs="Arial"/>
          <w:sz w:val="22"/>
          <w:lang w:val="en-US"/>
        </w:rPr>
        <w:t xml:space="preserve"> </w:t>
      </w:r>
      <w:r w:rsidRPr="00E7620D">
        <w:rPr>
          <w:rFonts w:cs="Arial"/>
          <w:sz w:val="22"/>
          <w:lang w:val="en-US"/>
        </w:rPr>
        <w:t>participants;</w:t>
      </w:r>
    </w:p>
    <w:p w14:paraId="6D55CBE8"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 of EAS/HS cases referred to management services</w:t>
      </w:r>
      <w:r w:rsidRPr="00540C2E">
        <w:rPr>
          <w:rFonts w:cs="Arial"/>
          <w:sz w:val="22"/>
          <w:lang w:val="en-US"/>
        </w:rPr>
        <w:t xml:space="preserve"> </w:t>
      </w:r>
      <w:r w:rsidRPr="00E7620D">
        <w:rPr>
          <w:rFonts w:cs="Arial"/>
          <w:sz w:val="22"/>
          <w:lang w:val="en-US"/>
        </w:rPr>
        <w:t>;</w:t>
      </w:r>
    </w:p>
    <w:p w14:paraId="0F7C7001"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of HSA/HS cases resolved within the time frame specified in the PPM</w:t>
      </w:r>
      <w:r w:rsidRPr="00540C2E">
        <w:rPr>
          <w:rFonts w:cs="Arial"/>
          <w:sz w:val="22"/>
          <w:lang w:val="en-US"/>
        </w:rPr>
        <w:t xml:space="preserve"> </w:t>
      </w:r>
      <w:r w:rsidRPr="00E7620D">
        <w:rPr>
          <w:rFonts w:cs="Arial"/>
          <w:sz w:val="22"/>
          <w:lang w:val="en-US"/>
        </w:rPr>
        <w:t>;</w:t>
      </w:r>
    </w:p>
    <w:p w14:paraId="33E19F6B"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 xml:space="preserve">of cases of HSA/HS not resolved within the time frame specified in the </w:t>
      </w:r>
      <w:r w:rsidRPr="00540C2E">
        <w:rPr>
          <w:rFonts w:cs="Arial"/>
          <w:sz w:val="22"/>
          <w:lang w:val="en-US"/>
        </w:rPr>
        <w:t xml:space="preserve">PGM </w:t>
      </w:r>
      <w:r w:rsidRPr="00E7620D">
        <w:rPr>
          <w:rFonts w:cs="Arial"/>
          <w:sz w:val="22"/>
          <w:lang w:val="en-US"/>
        </w:rPr>
        <w:t>;</w:t>
      </w:r>
    </w:p>
    <w:p w14:paraId="71ADA987"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Average time in the PGM for resolution of EAS/HS</w:t>
      </w:r>
      <w:r w:rsidRPr="00540C2E">
        <w:rPr>
          <w:rFonts w:cs="Arial"/>
          <w:sz w:val="22"/>
          <w:lang w:val="en-US"/>
        </w:rPr>
        <w:t xml:space="preserve"> </w:t>
      </w:r>
      <w:r w:rsidRPr="00E7620D">
        <w:rPr>
          <w:rFonts w:cs="Arial"/>
          <w:sz w:val="22"/>
          <w:lang w:val="en-US"/>
        </w:rPr>
        <w:t>cases</w:t>
      </w:r>
    </w:p>
    <w:p w14:paraId="2E4DA232"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Number of awareness sessions on EAS/HS and access to PGM</w:t>
      </w:r>
      <w:r w:rsidRPr="00540C2E">
        <w:rPr>
          <w:rFonts w:cs="Arial"/>
          <w:sz w:val="22"/>
          <w:lang w:val="en-US"/>
        </w:rPr>
        <w:t xml:space="preserve"> </w:t>
      </w:r>
      <w:r w:rsidRPr="00E7620D">
        <w:rPr>
          <w:rFonts w:cs="Arial"/>
          <w:sz w:val="22"/>
          <w:lang w:val="en-US"/>
        </w:rPr>
        <w:t>;</w:t>
      </w:r>
    </w:p>
    <w:p w14:paraId="73541F45"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Number of target populations disaggregated by sex and</w:t>
      </w:r>
      <w:r w:rsidRPr="00540C2E">
        <w:rPr>
          <w:rFonts w:cs="Arial"/>
          <w:sz w:val="22"/>
          <w:lang w:val="en-US"/>
        </w:rPr>
        <w:t xml:space="preserve"> </w:t>
      </w:r>
      <w:r w:rsidRPr="00E7620D">
        <w:rPr>
          <w:rFonts w:cs="Arial"/>
          <w:sz w:val="22"/>
          <w:lang w:val="en-US"/>
        </w:rPr>
        <w:t>age.</w:t>
      </w:r>
    </w:p>
    <w:p w14:paraId="7D40825D" w14:textId="77777777" w:rsidR="006551F9" w:rsidRDefault="006551F9" w:rsidP="001977A4">
      <w:pPr>
        <w:pStyle w:val="Corpsdetexte"/>
        <w:spacing w:line="276" w:lineRule="auto"/>
        <w:rPr>
          <w:rFonts w:cs="Arial"/>
          <w:sz w:val="22"/>
          <w:szCs w:val="22"/>
          <w:u w:val="single"/>
          <w:lang w:val="en-US"/>
        </w:rPr>
      </w:pPr>
    </w:p>
    <w:p w14:paraId="2ED623FF"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u w:val="single"/>
          <w:lang w:val="en-US"/>
        </w:rPr>
        <w:t xml:space="preserve">Institutional arrangements for the implementation of </w:t>
      </w:r>
      <w:r w:rsidR="003C7971" w:rsidRPr="003C7971">
        <w:rPr>
          <w:rFonts w:cs="Arial"/>
          <w:sz w:val="22"/>
          <w:szCs w:val="22"/>
          <w:u w:val="single"/>
          <w:lang w:val="en-US"/>
        </w:rPr>
        <w:t>Environmental and Social Risk and Impact Management Procedures (ESRMP)</w:t>
      </w:r>
      <w:r w:rsidRPr="00E7620D">
        <w:rPr>
          <w:rFonts w:cs="Arial"/>
          <w:sz w:val="22"/>
          <w:szCs w:val="22"/>
          <w:u w:val="single"/>
          <w:lang w:val="en-US"/>
        </w:rPr>
        <w:t>:</w:t>
      </w:r>
    </w:p>
    <w:p w14:paraId="682FAB00" w14:textId="77777777" w:rsidR="001977A4" w:rsidRPr="00E7620D" w:rsidRDefault="001977A4" w:rsidP="001977A4">
      <w:pPr>
        <w:pStyle w:val="Corpsdetexte"/>
        <w:spacing w:line="276" w:lineRule="auto"/>
        <w:rPr>
          <w:rFonts w:cs="Arial"/>
          <w:sz w:val="22"/>
          <w:szCs w:val="22"/>
          <w:lang w:val="en-US"/>
        </w:rPr>
      </w:pPr>
    </w:p>
    <w:p w14:paraId="07C01624"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The following institutions will be involved in the implementation of the PNDA:</w:t>
      </w:r>
    </w:p>
    <w:p w14:paraId="6F1E0F35" w14:textId="77777777" w:rsidR="001977A4" w:rsidRPr="00E7620D" w:rsidRDefault="001977A4" w:rsidP="001977A4">
      <w:pPr>
        <w:pStyle w:val="Corpsdetexte"/>
        <w:spacing w:line="276" w:lineRule="auto"/>
        <w:rPr>
          <w:rFonts w:cs="Arial"/>
          <w:sz w:val="22"/>
          <w:szCs w:val="22"/>
          <w:lang w:val="en-US"/>
        </w:rPr>
      </w:pPr>
    </w:p>
    <w:p w14:paraId="6F3A63EE" w14:textId="77777777" w:rsidR="001977A4" w:rsidRPr="006551F9"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i/>
          <w:sz w:val="22"/>
          <w:lang w:val="en-US"/>
        </w:rPr>
      </w:pPr>
      <w:r w:rsidRPr="006551F9">
        <w:rPr>
          <w:rFonts w:cs="Arial"/>
          <w:i/>
          <w:sz w:val="22"/>
          <w:lang w:val="en-US"/>
        </w:rPr>
        <w:t>Technical Preparatory and Follow-up Committee of the</w:t>
      </w:r>
      <w:r w:rsidRPr="00540C2E">
        <w:rPr>
          <w:rFonts w:cs="Arial"/>
          <w:i/>
          <w:sz w:val="22"/>
          <w:lang w:val="en-US"/>
        </w:rPr>
        <w:t xml:space="preserve"> </w:t>
      </w:r>
      <w:r w:rsidR="00540C2E">
        <w:rPr>
          <w:rFonts w:cs="Arial"/>
          <w:i/>
          <w:sz w:val="22"/>
          <w:lang w:val="en-US"/>
        </w:rPr>
        <w:t>PNDA</w:t>
      </w:r>
    </w:p>
    <w:p w14:paraId="2E188F15" w14:textId="77777777" w:rsidR="001977A4" w:rsidRPr="00E7620D" w:rsidRDefault="001977A4" w:rsidP="001977A4">
      <w:pPr>
        <w:pStyle w:val="Corpsdetexte"/>
        <w:spacing w:line="276" w:lineRule="auto"/>
        <w:rPr>
          <w:rFonts w:cs="Arial"/>
          <w:i/>
          <w:sz w:val="22"/>
          <w:szCs w:val="22"/>
          <w:lang w:val="en-US"/>
        </w:rPr>
      </w:pPr>
    </w:p>
    <w:p w14:paraId="7F35E893"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The Technical Preparatory and Monitoring Committee (CTPS) of the PNDA will ensure, in collaboration with UNCP/PARRSA, the technical preparation and monitoring of the PNDA.</w:t>
      </w:r>
    </w:p>
    <w:p w14:paraId="52284856" w14:textId="77777777" w:rsidR="001977A4" w:rsidRPr="00E7620D" w:rsidRDefault="001977A4" w:rsidP="001977A4">
      <w:pPr>
        <w:pStyle w:val="Corpsdetexte"/>
        <w:spacing w:line="276" w:lineRule="auto"/>
        <w:rPr>
          <w:rFonts w:cs="Arial"/>
          <w:sz w:val="22"/>
          <w:szCs w:val="22"/>
          <w:lang w:val="en-US"/>
        </w:rPr>
      </w:pPr>
    </w:p>
    <w:p w14:paraId="6E6BEBAC" w14:textId="77777777" w:rsidR="001977A4" w:rsidRPr="006551F9"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i/>
          <w:sz w:val="22"/>
          <w:lang w:val="en-US"/>
        </w:rPr>
      </w:pPr>
      <w:r w:rsidRPr="006551F9">
        <w:rPr>
          <w:rFonts w:cs="Arial"/>
          <w:i/>
          <w:sz w:val="22"/>
          <w:lang w:val="en-US"/>
        </w:rPr>
        <w:t>UNCP/PARRSA, PMU and the Project and Procurement Management Unit</w:t>
      </w:r>
      <w:r w:rsidRPr="00540C2E">
        <w:rPr>
          <w:rFonts w:cs="Arial"/>
          <w:i/>
          <w:sz w:val="22"/>
          <w:lang w:val="en-US"/>
        </w:rPr>
        <w:t xml:space="preserve"> </w:t>
      </w:r>
      <w:r w:rsidRPr="006551F9">
        <w:rPr>
          <w:rFonts w:cs="Arial"/>
          <w:i/>
          <w:sz w:val="22"/>
          <w:lang w:val="en-US"/>
        </w:rPr>
        <w:t>(CGPMP)</w:t>
      </w:r>
    </w:p>
    <w:p w14:paraId="3D3D1CEC" w14:textId="77777777" w:rsidR="001977A4" w:rsidRPr="00E7620D" w:rsidRDefault="001977A4" w:rsidP="001977A4">
      <w:pPr>
        <w:pStyle w:val="Corpsdetexte"/>
        <w:spacing w:line="276" w:lineRule="auto"/>
        <w:rPr>
          <w:rFonts w:cs="Arial"/>
          <w:i/>
          <w:sz w:val="22"/>
          <w:szCs w:val="22"/>
          <w:lang w:val="en-US"/>
        </w:rPr>
      </w:pPr>
    </w:p>
    <w:p w14:paraId="6C8B51E3"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In the preparation phase and while waiting for the establishment of the UNCP/PARRSA and PMU Coordinations, the Provinces, with the support of the Technical Preparatory Committee, will ensure the coordination of the Project.</w:t>
      </w:r>
    </w:p>
    <w:p w14:paraId="37D16E99" w14:textId="77777777" w:rsidR="001977A4" w:rsidRPr="00E7620D" w:rsidRDefault="001977A4" w:rsidP="001977A4">
      <w:pPr>
        <w:pStyle w:val="Corpsdetexte"/>
        <w:spacing w:line="276" w:lineRule="auto"/>
        <w:rPr>
          <w:rFonts w:cs="Arial"/>
          <w:sz w:val="22"/>
          <w:szCs w:val="22"/>
          <w:lang w:val="en-US"/>
        </w:rPr>
      </w:pPr>
    </w:p>
    <w:p w14:paraId="788CA43E"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The PMU of the PNDA will guarantee the effectiveness of the taking into account of the environmental</w:t>
      </w:r>
      <w:r w:rsidRPr="00E7620D">
        <w:rPr>
          <w:rFonts w:cs="Arial"/>
          <w:spacing w:val="-7"/>
          <w:sz w:val="22"/>
          <w:szCs w:val="22"/>
          <w:lang w:val="en-US"/>
        </w:rPr>
        <w:t xml:space="preserve"> </w:t>
      </w:r>
      <w:r w:rsidRPr="00E7620D">
        <w:rPr>
          <w:rFonts w:cs="Arial"/>
          <w:sz w:val="22"/>
          <w:szCs w:val="22"/>
          <w:lang w:val="en-US"/>
        </w:rPr>
        <w:t>and</w:t>
      </w:r>
      <w:r w:rsidRPr="00E7620D">
        <w:rPr>
          <w:rFonts w:cs="Arial"/>
          <w:spacing w:val="-8"/>
          <w:sz w:val="22"/>
          <w:szCs w:val="22"/>
          <w:lang w:val="en-US"/>
        </w:rPr>
        <w:t xml:space="preserve"> </w:t>
      </w:r>
      <w:r w:rsidRPr="00E7620D">
        <w:rPr>
          <w:rFonts w:cs="Arial"/>
          <w:sz w:val="22"/>
          <w:szCs w:val="22"/>
          <w:lang w:val="en-US"/>
        </w:rPr>
        <w:t>social</w:t>
      </w:r>
      <w:r w:rsidRPr="00E7620D">
        <w:rPr>
          <w:rFonts w:cs="Arial"/>
          <w:spacing w:val="-10"/>
          <w:sz w:val="22"/>
          <w:szCs w:val="22"/>
          <w:lang w:val="en-US"/>
        </w:rPr>
        <w:t xml:space="preserve"> </w:t>
      </w:r>
      <w:r w:rsidRPr="00E7620D">
        <w:rPr>
          <w:rFonts w:cs="Arial"/>
          <w:sz w:val="22"/>
          <w:szCs w:val="22"/>
          <w:lang w:val="en-US"/>
        </w:rPr>
        <w:t>aspects</w:t>
      </w:r>
      <w:r w:rsidRPr="00E7620D">
        <w:rPr>
          <w:rFonts w:cs="Arial"/>
          <w:spacing w:val="-7"/>
          <w:sz w:val="22"/>
          <w:szCs w:val="22"/>
          <w:lang w:val="en-US"/>
        </w:rPr>
        <w:t xml:space="preserve"> </w:t>
      </w:r>
      <w:r w:rsidRPr="00E7620D">
        <w:rPr>
          <w:rFonts w:cs="Arial"/>
          <w:sz w:val="22"/>
          <w:szCs w:val="22"/>
          <w:lang w:val="en-US"/>
        </w:rPr>
        <w:t>and</w:t>
      </w:r>
      <w:r w:rsidRPr="00E7620D">
        <w:rPr>
          <w:rFonts w:cs="Arial"/>
          <w:spacing w:val="-9"/>
          <w:sz w:val="22"/>
          <w:szCs w:val="22"/>
          <w:lang w:val="en-US"/>
        </w:rPr>
        <w:t xml:space="preserve"> </w:t>
      </w:r>
      <w:r w:rsidRPr="00E7620D">
        <w:rPr>
          <w:rFonts w:cs="Arial"/>
          <w:sz w:val="22"/>
          <w:szCs w:val="22"/>
          <w:lang w:val="en-US"/>
        </w:rPr>
        <w:t>stakes</w:t>
      </w:r>
      <w:r w:rsidRPr="00E7620D">
        <w:rPr>
          <w:rFonts w:cs="Arial"/>
          <w:spacing w:val="-8"/>
          <w:sz w:val="22"/>
          <w:szCs w:val="22"/>
          <w:lang w:val="en-US"/>
        </w:rPr>
        <w:t xml:space="preserve"> </w:t>
      </w:r>
      <w:r w:rsidRPr="00E7620D">
        <w:rPr>
          <w:rFonts w:cs="Arial"/>
          <w:sz w:val="22"/>
          <w:szCs w:val="22"/>
          <w:lang w:val="en-US"/>
        </w:rPr>
        <w:t>in</w:t>
      </w:r>
      <w:r w:rsidRPr="00E7620D">
        <w:rPr>
          <w:rFonts w:cs="Arial"/>
          <w:spacing w:val="-8"/>
          <w:sz w:val="22"/>
          <w:szCs w:val="22"/>
          <w:lang w:val="en-US"/>
        </w:rPr>
        <w:t xml:space="preserve"> </w:t>
      </w:r>
      <w:r w:rsidRPr="00E7620D">
        <w:rPr>
          <w:rFonts w:cs="Arial"/>
          <w:sz w:val="22"/>
          <w:szCs w:val="22"/>
          <w:lang w:val="en-US"/>
        </w:rPr>
        <w:t>the</w:t>
      </w:r>
      <w:r w:rsidRPr="00E7620D">
        <w:rPr>
          <w:rFonts w:cs="Arial"/>
          <w:spacing w:val="-6"/>
          <w:sz w:val="22"/>
          <w:szCs w:val="22"/>
          <w:lang w:val="en-US"/>
        </w:rPr>
        <w:t xml:space="preserve"> </w:t>
      </w:r>
      <w:r w:rsidRPr="00E7620D">
        <w:rPr>
          <w:rFonts w:cs="Arial"/>
          <w:sz w:val="22"/>
          <w:szCs w:val="22"/>
          <w:lang w:val="en-US"/>
        </w:rPr>
        <w:t>execution</w:t>
      </w:r>
      <w:r w:rsidRPr="00E7620D">
        <w:rPr>
          <w:rFonts w:cs="Arial"/>
          <w:spacing w:val="-8"/>
          <w:sz w:val="22"/>
          <w:szCs w:val="22"/>
          <w:lang w:val="en-US"/>
        </w:rPr>
        <w:t xml:space="preserve"> </w:t>
      </w:r>
      <w:r w:rsidRPr="00E7620D">
        <w:rPr>
          <w:rFonts w:cs="Arial"/>
          <w:sz w:val="22"/>
          <w:szCs w:val="22"/>
          <w:lang w:val="en-US"/>
        </w:rPr>
        <w:t>of</w:t>
      </w:r>
      <w:r w:rsidRPr="00E7620D">
        <w:rPr>
          <w:rFonts w:cs="Arial"/>
          <w:spacing w:val="-8"/>
          <w:sz w:val="22"/>
          <w:szCs w:val="22"/>
          <w:lang w:val="en-US"/>
        </w:rPr>
        <w:t xml:space="preserve"> </w:t>
      </w:r>
      <w:r w:rsidRPr="00E7620D">
        <w:rPr>
          <w:rFonts w:cs="Arial"/>
          <w:sz w:val="22"/>
          <w:szCs w:val="22"/>
          <w:lang w:val="en-US"/>
        </w:rPr>
        <w:t>the</w:t>
      </w:r>
      <w:r w:rsidRPr="00E7620D">
        <w:rPr>
          <w:rFonts w:cs="Arial"/>
          <w:spacing w:val="-8"/>
          <w:sz w:val="22"/>
          <w:szCs w:val="22"/>
          <w:lang w:val="en-US"/>
        </w:rPr>
        <w:t xml:space="preserve"> </w:t>
      </w:r>
      <w:r w:rsidRPr="00E7620D">
        <w:rPr>
          <w:rFonts w:cs="Arial"/>
          <w:sz w:val="22"/>
          <w:szCs w:val="22"/>
          <w:lang w:val="en-US"/>
        </w:rPr>
        <w:t>activities</w:t>
      </w:r>
      <w:r w:rsidRPr="00E7620D">
        <w:rPr>
          <w:rFonts w:cs="Arial"/>
          <w:spacing w:val="-6"/>
          <w:sz w:val="22"/>
          <w:szCs w:val="22"/>
          <w:lang w:val="en-US"/>
        </w:rPr>
        <w:t xml:space="preserve"> </w:t>
      </w:r>
      <w:r w:rsidRPr="00E7620D">
        <w:rPr>
          <w:rFonts w:cs="Arial"/>
          <w:sz w:val="22"/>
          <w:szCs w:val="22"/>
          <w:lang w:val="en-US"/>
        </w:rPr>
        <w:t>of</w:t>
      </w:r>
      <w:r w:rsidRPr="00E7620D">
        <w:rPr>
          <w:rFonts w:cs="Arial"/>
          <w:spacing w:val="-7"/>
          <w:sz w:val="22"/>
          <w:szCs w:val="22"/>
          <w:lang w:val="en-US"/>
        </w:rPr>
        <w:t xml:space="preserve"> </w:t>
      </w:r>
      <w:r w:rsidRPr="00E7620D">
        <w:rPr>
          <w:rFonts w:cs="Arial"/>
          <w:sz w:val="22"/>
          <w:szCs w:val="22"/>
          <w:lang w:val="en-US"/>
        </w:rPr>
        <w:t>the</w:t>
      </w:r>
      <w:r w:rsidRPr="00E7620D">
        <w:rPr>
          <w:rFonts w:cs="Arial"/>
          <w:spacing w:val="-8"/>
          <w:sz w:val="22"/>
          <w:szCs w:val="22"/>
          <w:lang w:val="en-US"/>
        </w:rPr>
        <w:t xml:space="preserve"> </w:t>
      </w:r>
      <w:r w:rsidRPr="00E7620D">
        <w:rPr>
          <w:rFonts w:cs="Arial"/>
          <w:sz w:val="22"/>
          <w:szCs w:val="22"/>
          <w:lang w:val="en-US"/>
        </w:rPr>
        <w:t>Project</w:t>
      </w:r>
      <w:r w:rsidRPr="00E7620D">
        <w:rPr>
          <w:rFonts w:cs="Arial"/>
          <w:spacing w:val="-7"/>
          <w:sz w:val="22"/>
          <w:szCs w:val="22"/>
          <w:lang w:val="en-US"/>
        </w:rPr>
        <w:t xml:space="preserve"> </w:t>
      </w:r>
      <w:r w:rsidRPr="00E7620D">
        <w:rPr>
          <w:rFonts w:cs="Arial"/>
          <w:sz w:val="22"/>
          <w:szCs w:val="22"/>
          <w:lang w:val="en-US"/>
        </w:rPr>
        <w:t>on the whole geographical area of the Project. It will have overall responsibility for the implementation of this CGES and the instruments and other environmental and social safeguard measures related to the</w:t>
      </w:r>
      <w:r w:rsidRPr="00E7620D">
        <w:rPr>
          <w:rFonts w:cs="Arial"/>
          <w:spacing w:val="-9"/>
          <w:sz w:val="22"/>
          <w:szCs w:val="22"/>
          <w:lang w:val="en-US"/>
        </w:rPr>
        <w:t xml:space="preserve"> </w:t>
      </w:r>
      <w:r w:rsidRPr="00E7620D">
        <w:rPr>
          <w:rFonts w:cs="Arial"/>
          <w:sz w:val="22"/>
          <w:szCs w:val="22"/>
          <w:lang w:val="en-US"/>
        </w:rPr>
        <w:t>Project.</w:t>
      </w:r>
    </w:p>
    <w:p w14:paraId="4685D55C" w14:textId="77777777" w:rsidR="001977A4" w:rsidRPr="00E7620D" w:rsidRDefault="001977A4" w:rsidP="001977A4">
      <w:pPr>
        <w:pStyle w:val="Corpsdetexte"/>
        <w:spacing w:line="276" w:lineRule="auto"/>
        <w:rPr>
          <w:rFonts w:cs="Arial"/>
          <w:sz w:val="22"/>
          <w:szCs w:val="22"/>
          <w:lang w:val="en-US"/>
        </w:rPr>
      </w:pPr>
    </w:p>
    <w:p w14:paraId="17570790" w14:textId="77777777" w:rsidR="001977A4" w:rsidRPr="00540C2E"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i/>
          <w:sz w:val="22"/>
          <w:lang w:val="en-US"/>
        </w:rPr>
      </w:pPr>
      <w:r w:rsidRPr="00540C2E">
        <w:rPr>
          <w:rFonts w:cs="Arial"/>
          <w:i/>
          <w:sz w:val="22"/>
          <w:lang w:val="en-US"/>
        </w:rPr>
        <w:t>Congolese Environment Agency (ACE)</w:t>
      </w:r>
    </w:p>
    <w:p w14:paraId="00C9CA53" w14:textId="77777777" w:rsidR="001977A4" w:rsidRPr="008839E0" w:rsidRDefault="001977A4" w:rsidP="001977A4">
      <w:pPr>
        <w:pStyle w:val="Corpsdetexte"/>
        <w:spacing w:line="276" w:lineRule="auto"/>
        <w:rPr>
          <w:rFonts w:cs="Arial"/>
          <w:i/>
          <w:sz w:val="22"/>
          <w:szCs w:val="22"/>
        </w:rPr>
      </w:pPr>
    </w:p>
    <w:p w14:paraId="58638FAB"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 xml:space="preserve">It will </w:t>
      </w:r>
      <w:r w:rsidRPr="00E7620D">
        <w:rPr>
          <w:rFonts w:cs="Arial"/>
          <w:i/>
          <w:sz w:val="22"/>
          <w:szCs w:val="22"/>
          <w:lang w:val="en-US"/>
        </w:rPr>
        <w:t xml:space="preserve">(i) </w:t>
      </w:r>
      <w:r w:rsidRPr="00E7620D">
        <w:rPr>
          <w:rFonts w:cs="Arial"/>
          <w:sz w:val="22"/>
          <w:szCs w:val="22"/>
          <w:lang w:val="en-US"/>
        </w:rPr>
        <w:t>participate in the environmental classification of activities, (</w:t>
      </w:r>
      <w:r w:rsidRPr="00E7620D">
        <w:rPr>
          <w:rFonts w:cs="Arial"/>
          <w:i/>
          <w:sz w:val="22"/>
          <w:szCs w:val="22"/>
          <w:lang w:val="en-US"/>
        </w:rPr>
        <w:t xml:space="preserve">ii) </w:t>
      </w:r>
      <w:r w:rsidRPr="00E7620D">
        <w:rPr>
          <w:rFonts w:cs="Arial"/>
          <w:sz w:val="22"/>
          <w:szCs w:val="22"/>
          <w:lang w:val="en-US"/>
        </w:rPr>
        <w:t xml:space="preserve">validate the environmental and social safeguard documents produced by the consultants, </w:t>
      </w:r>
      <w:r w:rsidRPr="00E7620D">
        <w:rPr>
          <w:rFonts w:cs="Arial"/>
          <w:i/>
          <w:sz w:val="22"/>
          <w:szCs w:val="22"/>
          <w:lang w:val="en-US"/>
        </w:rPr>
        <w:t xml:space="preserve">(iii) </w:t>
      </w:r>
      <w:r w:rsidRPr="00E7620D">
        <w:rPr>
          <w:rFonts w:cs="Arial"/>
          <w:sz w:val="22"/>
          <w:szCs w:val="22"/>
          <w:lang w:val="en-US"/>
        </w:rPr>
        <w:t xml:space="preserve">ensure, on behalf of the CTPS, the environmental monitoring of the </w:t>
      </w:r>
      <w:r w:rsidR="00540C2E">
        <w:rPr>
          <w:rFonts w:cs="Arial"/>
          <w:sz w:val="22"/>
          <w:szCs w:val="22"/>
          <w:lang w:val="en-US"/>
        </w:rPr>
        <w:t>PNDA</w:t>
      </w:r>
      <w:r w:rsidRPr="00E7620D">
        <w:rPr>
          <w:rFonts w:cs="Arial"/>
          <w:sz w:val="22"/>
          <w:szCs w:val="22"/>
          <w:lang w:val="en-US"/>
        </w:rPr>
        <w:t xml:space="preserve"> activities.</w:t>
      </w:r>
    </w:p>
    <w:p w14:paraId="7E8B71D4" w14:textId="77777777" w:rsidR="001977A4" w:rsidRPr="00E7620D" w:rsidRDefault="001977A4" w:rsidP="001977A4">
      <w:pPr>
        <w:pStyle w:val="Corpsdetexte"/>
        <w:spacing w:line="276" w:lineRule="auto"/>
        <w:rPr>
          <w:rFonts w:cs="Arial"/>
          <w:sz w:val="22"/>
          <w:szCs w:val="22"/>
          <w:lang w:val="en-US"/>
        </w:rPr>
      </w:pPr>
    </w:p>
    <w:p w14:paraId="469ACE19"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i/>
          <w:sz w:val="22"/>
          <w:lang w:val="en-US"/>
        </w:rPr>
      </w:pPr>
      <w:r w:rsidRPr="00E7620D">
        <w:rPr>
          <w:rFonts w:cs="Arial"/>
          <w:i/>
          <w:sz w:val="22"/>
          <w:lang w:val="en-US"/>
        </w:rPr>
        <w:t>Provincial Coordination for the Environment</w:t>
      </w:r>
      <w:r w:rsidRPr="00540C2E">
        <w:rPr>
          <w:rFonts w:cs="Arial"/>
          <w:i/>
          <w:sz w:val="22"/>
          <w:lang w:val="en-US"/>
        </w:rPr>
        <w:t xml:space="preserve"> </w:t>
      </w:r>
      <w:r w:rsidRPr="00E7620D">
        <w:rPr>
          <w:rFonts w:cs="Arial"/>
          <w:i/>
          <w:sz w:val="22"/>
          <w:lang w:val="en-US"/>
        </w:rPr>
        <w:t>(CPE)</w:t>
      </w:r>
    </w:p>
    <w:p w14:paraId="3BE16721" w14:textId="77777777" w:rsidR="001977A4" w:rsidRPr="00E7620D" w:rsidRDefault="001977A4" w:rsidP="001977A4">
      <w:pPr>
        <w:pStyle w:val="Corpsdetexte"/>
        <w:spacing w:line="276" w:lineRule="auto"/>
        <w:rPr>
          <w:rFonts w:cs="Arial"/>
          <w:i/>
          <w:sz w:val="22"/>
          <w:szCs w:val="22"/>
          <w:lang w:val="en-US"/>
        </w:rPr>
      </w:pPr>
    </w:p>
    <w:p w14:paraId="513E32DB"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 xml:space="preserve">They will support the provinces that have not yet implemented </w:t>
      </w:r>
      <w:r w:rsidR="00243BDC">
        <w:rPr>
          <w:rFonts w:cs="Arial"/>
          <w:sz w:val="22"/>
          <w:szCs w:val="22"/>
          <w:lang w:val="en-US"/>
        </w:rPr>
        <w:t>A</w:t>
      </w:r>
      <w:r w:rsidRPr="00E7620D">
        <w:rPr>
          <w:rFonts w:cs="Arial"/>
          <w:sz w:val="22"/>
          <w:szCs w:val="22"/>
          <w:lang w:val="en-US"/>
        </w:rPr>
        <w:t>CE, with the support of the PNDA (preparation phase) and then the PMU (implementation phase), in the classification of sub-projects and will intervene in the monitoring of the implementation of sub-projects.</w:t>
      </w:r>
    </w:p>
    <w:p w14:paraId="5A31DB8A" w14:textId="77777777" w:rsidR="001977A4" w:rsidRPr="00E7620D" w:rsidRDefault="001977A4" w:rsidP="001977A4">
      <w:pPr>
        <w:pStyle w:val="Corpsdetexte"/>
        <w:spacing w:line="276" w:lineRule="auto"/>
        <w:rPr>
          <w:rFonts w:cs="Arial"/>
          <w:sz w:val="22"/>
          <w:szCs w:val="22"/>
          <w:lang w:val="en-US"/>
        </w:rPr>
      </w:pPr>
    </w:p>
    <w:p w14:paraId="45C0311F"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Other institutions involved in the implementation of the PNDA:</w:t>
      </w:r>
    </w:p>
    <w:p w14:paraId="792952FE" w14:textId="77777777" w:rsidR="001977A4" w:rsidRPr="00E7620D" w:rsidRDefault="001977A4" w:rsidP="001977A4">
      <w:pPr>
        <w:pStyle w:val="Corpsdetexte"/>
        <w:spacing w:line="276" w:lineRule="auto"/>
        <w:rPr>
          <w:rFonts w:cs="Arial"/>
          <w:sz w:val="22"/>
          <w:szCs w:val="22"/>
          <w:lang w:val="en-US"/>
        </w:rPr>
      </w:pPr>
    </w:p>
    <w:p w14:paraId="4161C738" w14:textId="77777777" w:rsidR="001977A4" w:rsidRPr="00E7620D"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 w:val="22"/>
          <w:lang w:val="en-US"/>
        </w:rPr>
      </w:pPr>
      <w:r w:rsidRPr="00E7620D">
        <w:rPr>
          <w:rFonts w:cs="Arial"/>
          <w:sz w:val="22"/>
          <w:lang w:val="en-US"/>
        </w:rPr>
        <w:t>The Congolese Institute for the Conservation of Nature (ICCN): It will ensure the external monitoring of wildlife and protected</w:t>
      </w:r>
      <w:r w:rsidRPr="00540C2E">
        <w:rPr>
          <w:rFonts w:cs="Arial"/>
          <w:sz w:val="22"/>
          <w:lang w:val="en-US"/>
        </w:rPr>
        <w:t xml:space="preserve"> </w:t>
      </w:r>
      <w:r w:rsidRPr="00E7620D">
        <w:rPr>
          <w:rFonts w:cs="Arial"/>
          <w:sz w:val="22"/>
          <w:lang w:val="en-US"/>
        </w:rPr>
        <w:t>areas;</w:t>
      </w:r>
    </w:p>
    <w:p w14:paraId="5F248D61"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The Directorate of Nature Conservation (DCN): It will monitor reforestation</w:t>
      </w:r>
      <w:r w:rsidRPr="00540C2E">
        <w:rPr>
          <w:rFonts w:cs="Arial"/>
          <w:sz w:val="22"/>
          <w:lang w:val="en-US"/>
        </w:rPr>
        <w:t xml:space="preserve"> </w:t>
      </w:r>
      <w:r w:rsidRPr="00E7620D">
        <w:rPr>
          <w:rFonts w:cs="Arial"/>
          <w:sz w:val="22"/>
          <w:lang w:val="en-US"/>
        </w:rPr>
        <w:t>activities;</w:t>
      </w:r>
    </w:p>
    <w:p w14:paraId="18509A82"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 xml:space="preserve">The </w:t>
      </w:r>
      <w:r w:rsidR="00243BDC">
        <w:rPr>
          <w:rFonts w:cs="Arial"/>
          <w:sz w:val="22"/>
          <w:lang w:val="en-US"/>
        </w:rPr>
        <w:t>Office</w:t>
      </w:r>
      <w:r w:rsidR="00243BDC" w:rsidRPr="00E7620D">
        <w:rPr>
          <w:rFonts w:cs="Arial"/>
          <w:sz w:val="22"/>
          <w:lang w:val="en-US"/>
        </w:rPr>
        <w:t xml:space="preserve"> </w:t>
      </w:r>
      <w:r w:rsidRPr="00E7620D">
        <w:rPr>
          <w:rFonts w:cs="Arial"/>
          <w:sz w:val="22"/>
          <w:lang w:val="en-US"/>
        </w:rPr>
        <w:t>of Agricultural Service Roads (</w:t>
      </w:r>
      <w:r w:rsidR="00243BDC">
        <w:rPr>
          <w:rFonts w:cs="Arial"/>
          <w:sz w:val="22"/>
          <w:lang w:val="en-US"/>
        </w:rPr>
        <w:t>O</w:t>
      </w:r>
      <w:r w:rsidRPr="00E7620D">
        <w:rPr>
          <w:rFonts w:cs="Arial"/>
          <w:sz w:val="22"/>
          <w:lang w:val="en-US"/>
        </w:rPr>
        <w:t>VDA) : It will take care of the follow-up of the rural</w:t>
      </w:r>
      <w:r w:rsidRPr="00540C2E">
        <w:rPr>
          <w:rFonts w:cs="Arial"/>
          <w:sz w:val="22"/>
          <w:lang w:val="en-US"/>
        </w:rPr>
        <w:t xml:space="preserve"> </w:t>
      </w:r>
      <w:r w:rsidRPr="00E7620D">
        <w:rPr>
          <w:rFonts w:cs="Arial"/>
          <w:sz w:val="22"/>
          <w:lang w:val="en-US"/>
        </w:rPr>
        <w:t>tracks;</w:t>
      </w:r>
    </w:p>
    <w:p w14:paraId="67441FA7"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lastRenderedPageBreak/>
        <w:t>The National Service for Rural Hydraulics (SNHR): It will monitor the quality of water resources.</w:t>
      </w:r>
    </w:p>
    <w:p w14:paraId="3B7F2CE0"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Local authorities: they will participate in environmental and social monitoring through their municipal technical</w:t>
      </w:r>
      <w:r w:rsidRPr="00540C2E">
        <w:rPr>
          <w:rFonts w:cs="Arial"/>
          <w:sz w:val="22"/>
          <w:lang w:val="en-US"/>
        </w:rPr>
        <w:t xml:space="preserve"> </w:t>
      </w:r>
      <w:r w:rsidRPr="00E7620D">
        <w:rPr>
          <w:rFonts w:cs="Arial"/>
          <w:sz w:val="22"/>
          <w:lang w:val="en-US"/>
        </w:rPr>
        <w:t>services;</w:t>
      </w:r>
    </w:p>
    <w:p w14:paraId="18E953BC"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the Works Enterprises: They are responsible, through their Environmental Expert, for the implementation of the GEPs and the drafting of the implementation reports of the GEPs;</w:t>
      </w:r>
    </w:p>
    <w:p w14:paraId="4A3E1C47"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The Control Missions: Having an Environmental Expert in their midst, this one is in charge of the day-to-day monitoring of the implementation of the ESMP and the elaboration of an environmental and social monitoring report to be transmitted to the PMU/</w:t>
      </w:r>
      <w:r w:rsidR="00243BDC">
        <w:rPr>
          <w:rFonts w:cs="Arial"/>
          <w:sz w:val="22"/>
          <w:lang w:val="en-US"/>
        </w:rPr>
        <w:t>PNDA</w:t>
      </w:r>
      <w:r w:rsidRPr="00E7620D">
        <w:rPr>
          <w:rFonts w:cs="Arial"/>
          <w:sz w:val="22"/>
          <w:lang w:val="en-US"/>
        </w:rPr>
        <w:t>;</w:t>
      </w:r>
    </w:p>
    <w:p w14:paraId="4BCFA67C"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 xml:space="preserve">Civil society NGOs in the agricultural sector, including those working to combat GBV, including EAS and </w:t>
      </w:r>
      <w:r w:rsidRPr="00540C2E">
        <w:rPr>
          <w:rFonts w:cs="Arial"/>
          <w:sz w:val="22"/>
          <w:lang w:val="en-US"/>
        </w:rPr>
        <w:t xml:space="preserve">HS, </w:t>
      </w:r>
      <w:r w:rsidRPr="00E7620D">
        <w:rPr>
          <w:rFonts w:cs="Arial"/>
          <w:sz w:val="22"/>
          <w:lang w:val="en-US"/>
        </w:rPr>
        <w:t xml:space="preserve">and COVID-19. In addition to social mobilization, they will participate in sensitizing the population and monitoring the implementation of the SEMPs through the questioning of the main actors of the </w:t>
      </w:r>
      <w:r w:rsidR="00243BDC">
        <w:rPr>
          <w:rFonts w:cs="Arial"/>
          <w:sz w:val="22"/>
          <w:lang w:val="en-US"/>
        </w:rPr>
        <w:t>PNDA</w:t>
      </w:r>
      <w:r w:rsidRPr="00540C2E">
        <w:rPr>
          <w:rFonts w:cs="Arial"/>
          <w:sz w:val="22"/>
          <w:lang w:val="en-US"/>
        </w:rPr>
        <w:t xml:space="preserve"> </w:t>
      </w:r>
      <w:r w:rsidRPr="00E7620D">
        <w:rPr>
          <w:rFonts w:cs="Arial"/>
          <w:sz w:val="22"/>
          <w:lang w:val="en-US"/>
        </w:rPr>
        <w:t>;</w:t>
      </w:r>
    </w:p>
    <w:p w14:paraId="7832C2F4" w14:textId="77777777" w:rsidR="001977A4" w:rsidRPr="00E7620D"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 w:val="22"/>
          <w:lang w:val="en-US"/>
        </w:rPr>
      </w:pPr>
      <w:r w:rsidRPr="00E7620D">
        <w:rPr>
          <w:rFonts w:cs="Arial"/>
          <w:sz w:val="22"/>
          <w:lang w:val="en-US"/>
        </w:rPr>
        <w:t>The Provincial Gender, Family and Child Divisions as well as the Provincial Health Divisions (DPS, in acronym) as normative bodies of the GBV management</w:t>
      </w:r>
      <w:r w:rsidRPr="00540C2E">
        <w:rPr>
          <w:rFonts w:cs="Arial"/>
          <w:sz w:val="22"/>
          <w:lang w:val="en-US"/>
        </w:rPr>
        <w:t xml:space="preserve"> </w:t>
      </w:r>
      <w:r w:rsidRPr="00E7620D">
        <w:rPr>
          <w:rFonts w:cs="Arial"/>
          <w:sz w:val="22"/>
          <w:lang w:val="en-US"/>
        </w:rPr>
        <w:t>protocols.</w:t>
      </w:r>
    </w:p>
    <w:p w14:paraId="4E6DF7A9" w14:textId="77777777" w:rsidR="001977A4" w:rsidRPr="00E7620D" w:rsidRDefault="001977A4" w:rsidP="001977A4">
      <w:pPr>
        <w:pStyle w:val="Corpsdetexte"/>
        <w:spacing w:line="276" w:lineRule="auto"/>
        <w:rPr>
          <w:rFonts w:cs="Arial"/>
          <w:sz w:val="22"/>
          <w:szCs w:val="22"/>
          <w:lang w:val="en-US"/>
        </w:rPr>
      </w:pPr>
    </w:p>
    <w:p w14:paraId="6BC2F352" w14:textId="77777777" w:rsidR="001977A4" w:rsidRPr="00E7620D" w:rsidRDefault="001977A4" w:rsidP="001977A4">
      <w:pPr>
        <w:rPr>
          <w:rFonts w:cs="Arial"/>
          <w:i/>
          <w:sz w:val="22"/>
          <w:lang w:val="en-US"/>
        </w:rPr>
      </w:pPr>
      <w:r w:rsidRPr="00E7620D">
        <w:rPr>
          <w:rFonts w:cs="Arial"/>
          <w:i/>
          <w:sz w:val="22"/>
          <w:lang w:val="en-US"/>
        </w:rPr>
        <w:t>Roles and responsibilities for the implementation of environmental and social management measures</w:t>
      </w:r>
    </w:p>
    <w:p w14:paraId="30FD8454" w14:textId="77777777" w:rsidR="001977A4" w:rsidRPr="00E7620D" w:rsidRDefault="001977A4" w:rsidP="001977A4">
      <w:pPr>
        <w:pStyle w:val="Corpsdetexte"/>
        <w:spacing w:line="276" w:lineRule="auto"/>
        <w:rPr>
          <w:rFonts w:cs="Arial"/>
          <w:i/>
          <w:sz w:val="22"/>
          <w:szCs w:val="22"/>
          <w:lang w:val="en-US"/>
        </w:rPr>
      </w:pPr>
    </w:p>
    <w:p w14:paraId="08CA67F4" w14:textId="77777777" w:rsidR="001977A4" w:rsidRPr="00E7620D" w:rsidRDefault="001977A4" w:rsidP="002378EA">
      <w:pPr>
        <w:pStyle w:val="Paragraphedeliste"/>
        <w:widowControl w:val="0"/>
        <w:numPr>
          <w:ilvl w:val="0"/>
          <w:numId w:val="110"/>
        </w:numPr>
        <w:tabs>
          <w:tab w:val="left" w:pos="977"/>
        </w:tabs>
        <w:autoSpaceDE w:val="0"/>
        <w:autoSpaceDN w:val="0"/>
        <w:ind w:left="567" w:hanging="283"/>
        <w:contextualSpacing w:val="0"/>
        <w:rPr>
          <w:rFonts w:cs="Arial"/>
          <w:sz w:val="22"/>
          <w:lang w:val="en-US"/>
        </w:rPr>
      </w:pPr>
      <w:r w:rsidRPr="00E7620D">
        <w:rPr>
          <w:rFonts w:cs="Arial"/>
          <w:i/>
          <w:sz w:val="22"/>
          <w:lang w:val="en-US"/>
        </w:rPr>
        <w:t xml:space="preserve">The Technical Preparatory and Monitoring Committee </w:t>
      </w:r>
      <w:r w:rsidRPr="00E7620D">
        <w:rPr>
          <w:rFonts w:cs="Arial"/>
          <w:sz w:val="22"/>
          <w:lang w:val="en-US"/>
        </w:rPr>
        <w:t>is responsible for thcategorization approval procedure during the preparation phase of the Project under PPP</w:t>
      </w:r>
      <w:r w:rsidRPr="00E7620D">
        <w:rPr>
          <w:rFonts w:cs="Arial"/>
          <w:spacing w:val="-14"/>
          <w:sz w:val="22"/>
          <w:lang w:val="en-US"/>
        </w:rPr>
        <w:t xml:space="preserve"> </w:t>
      </w:r>
      <w:r w:rsidRPr="00E7620D">
        <w:rPr>
          <w:rFonts w:cs="Arial"/>
          <w:sz w:val="22"/>
          <w:lang w:val="en-US"/>
        </w:rPr>
        <w:t>financing.</w:t>
      </w:r>
      <w:r w:rsidRPr="00E7620D">
        <w:rPr>
          <w:rFonts w:cs="Arial"/>
          <w:spacing w:val="-15"/>
          <w:sz w:val="22"/>
          <w:lang w:val="en-US"/>
        </w:rPr>
        <w:t xml:space="preserve"> </w:t>
      </w:r>
      <w:r w:rsidRPr="00E7620D">
        <w:rPr>
          <w:rFonts w:cs="Arial"/>
          <w:sz w:val="22"/>
          <w:lang w:val="en-US"/>
        </w:rPr>
        <w:t>It</w:t>
      </w:r>
      <w:r w:rsidRPr="00E7620D">
        <w:rPr>
          <w:rFonts w:cs="Arial"/>
          <w:spacing w:val="-15"/>
          <w:sz w:val="22"/>
          <w:lang w:val="en-US"/>
        </w:rPr>
        <w:t xml:space="preserve"> </w:t>
      </w:r>
      <w:r w:rsidRPr="00E7620D">
        <w:rPr>
          <w:rFonts w:cs="Arial"/>
          <w:sz w:val="22"/>
          <w:lang w:val="en-US"/>
        </w:rPr>
        <w:t>coordinates</w:t>
      </w:r>
      <w:r w:rsidRPr="00E7620D">
        <w:rPr>
          <w:rFonts w:cs="Arial"/>
          <w:spacing w:val="-13"/>
          <w:sz w:val="22"/>
          <w:lang w:val="en-US"/>
        </w:rPr>
        <w:t xml:space="preserve"> </w:t>
      </w:r>
      <w:r w:rsidRPr="00E7620D">
        <w:rPr>
          <w:rFonts w:cs="Arial"/>
          <w:sz w:val="22"/>
          <w:lang w:val="en-US"/>
        </w:rPr>
        <w:t>the</w:t>
      </w:r>
      <w:r w:rsidRPr="00E7620D">
        <w:rPr>
          <w:rFonts w:cs="Arial"/>
          <w:spacing w:val="-14"/>
          <w:sz w:val="22"/>
          <w:lang w:val="en-US"/>
        </w:rPr>
        <w:t xml:space="preserve"> </w:t>
      </w:r>
      <w:r w:rsidRPr="00E7620D">
        <w:rPr>
          <w:rFonts w:cs="Arial"/>
          <w:sz w:val="22"/>
          <w:lang w:val="en-US"/>
        </w:rPr>
        <w:t>dissemination</w:t>
      </w:r>
      <w:r w:rsidRPr="00E7620D">
        <w:rPr>
          <w:rFonts w:cs="Arial"/>
          <w:spacing w:val="-14"/>
          <w:sz w:val="22"/>
          <w:lang w:val="en-US"/>
        </w:rPr>
        <w:t xml:space="preserve"> </w:t>
      </w:r>
      <w:r w:rsidRPr="00E7620D">
        <w:rPr>
          <w:rFonts w:cs="Arial"/>
          <w:sz w:val="22"/>
          <w:lang w:val="en-US"/>
        </w:rPr>
        <w:t>of</w:t>
      </w:r>
      <w:r w:rsidRPr="00E7620D">
        <w:rPr>
          <w:rFonts w:cs="Arial"/>
          <w:spacing w:val="-15"/>
          <w:sz w:val="22"/>
          <w:lang w:val="en-US"/>
        </w:rPr>
        <w:t xml:space="preserve"> </w:t>
      </w:r>
      <w:r w:rsidRPr="00E7620D">
        <w:rPr>
          <w:rFonts w:cs="Arial"/>
          <w:sz w:val="22"/>
          <w:lang w:val="en-US"/>
        </w:rPr>
        <w:t>reports</w:t>
      </w:r>
      <w:r w:rsidRPr="00E7620D">
        <w:rPr>
          <w:rFonts w:cs="Arial"/>
          <w:spacing w:val="-13"/>
          <w:sz w:val="22"/>
          <w:lang w:val="en-US"/>
        </w:rPr>
        <w:t xml:space="preserve"> </w:t>
      </w:r>
      <w:r w:rsidRPr="00E7620D">
        <w:rPr>
          <w:rFonts w:cs="Arial"/>
          <w:sz w:val="22"/>
          <w:lang w:val="en-US"/>
        </w:rPr>
        <w:t>with</w:t>
      </w:r>
      <w:r w:rsidRPr="00E7620D">
        <w:rPr>
          <w:rFonts w:cs="Arial"/>
          <w:spacing w:val="-13"/>
          <w:sz w:val="22"/>
          <w:lang w:val="en-US"/>
        </w:rPr>
        <w:t xml:space="preserve"> </w:t>
      </w:r>
      <w:r w:rsidRPr="00E7620D">
        <w:rPr>
          <w:rFonts w:cs="Arial"/>
          <w:sz w:val="22"/>
          <w:lang w:val="en-US"/>
        </w:rPr>
        <w:t>UNCP/PARRSA.</w:t>
      </w:r>
      <w:r w:rsidRPr="00E7620D">
        <w:rPr>
          <w:rFonts w:cs="Arial"/>
          <w:spacing w:val="-12"/>
          <w:sz w:val="22"/>
          <w:lang w:val="en-US"/>
        </w:rPr>
        <w:t xml:space="preserve"> </w:t>
      </w:r>
      <w:r w:rsidRPr="00E7620D">
        <w:rPr>
          <w:rFonts w:cs="Arial"/>
          <w:sz w:val="22"/>
          <w:lang w:val="en-US"/>
        </w:rPr>
        <w:t>During the implementation phase of the Project, this categorization approval function will be carried out by the Coordinator of the</w:t>
      </w:r>
      <w:r w:rsidRPr="00E7620D">
        <w:rPr>
          <w:rFonts w:cs="Arial"/>
          <w:spacing w:val="-5"/>
          <w:sz w:val="22"/>
          <w:lang w:val="en-US"/>
        </w:rPr>
        <w:t xml:space="preserve"> </w:t>
      </w:r>
      <w:r w:rsidRPr="00E7620D">
        <w:rPr>
          <w:rFonts w:cs="Arial"/>
          <w:sz w:val="22"/>
          <w:lang w:val="en-US"/>
        </w:rPr>
        <w:t>PMU/</w:t>
      </w:r>
      <w:r w:rsidR="00243BDC">
        <w:rPr>
          <w:rFonts w:cs="Arial"/>
          <w:sz w:val="22"/>
          <w:lang w:val="en-US"/>
        </w:rPr>
        <w:t>PNDA</w:t>
      </w:r>
      <w:r w:rsidRPr="00E7620D">
        <w:rPr>
          <w:rFonts w:cs="Arial"/>
          <w:sz w:val="22"/>
          <w:lang w:val="en-US"/>
        </w:rPr>
        <w:t>.</w:t>
      </w:r>
    </w:p>
    <w:p w14:paraId="5802C286" w14:textId="77777777" w:rsidR="001977A4" w:rsidRPr="00E7620D" w:rsidRDefault="001977A4" w:rsidP="00243BDC">
      <w:pPr>
        <w:pStyle w:val="Corpsdetexte"/>
        <w:spacing w:line="276" w:lineRule="auto"/>
        <w:ind w:left="567" w:hanging="283"/>
        <w:rPr>
          <w:rFonts w:cs="Arial"/>
          <w:sz w:val="22"/>
          <w:szCs w:val="22"/>
          <w:lang w:val="en-US"/>
        </w:rPr>
      </w:pPr>
    </w:p>
    <w:p w14:paraId="7CED6212" w14:textId="77777777" w:rsidR="001977A4" w:rsidRPr="00E7620D" w:rsidRDefault="001977A4" w:rsidP="002378EA">
      <w:pPr>
        <w:pStyle w:val="Paragraphedeliste"/>
        <w:widowControl w:val="0"/>
        <w:numPr>
          <w:ilvl w:val="0"/>
          <w:numId w:val="110"/>
        </w:numPr>
        <w:tabs>
          <w:tab w:val="left" w:pos="977"/>
        </w:tabs>
        <w:autoSpaceDE w:val="0"/>
        <w:autoSpaceDN w:val="0"/>
        <w:ind w:left="567" w:hanging="283"/>
        <w:contextualSpacing w:val="0"/>
        <w:rPr>
          <w:rFonts w:cs="Arial"/>
          <w:sz w:val="22"/>
          <w:lang w:val="en-US"/>
        </w:rPr>
      </w:pPr>
      <w:r w:rsidRPr="00E7620D">
        <w:rPr>
          <w:rFonts w:cs="Arial"/>
          <w:i/>
          <w:sz w:val="22"/>
          <w:lang w:val="en-US"/>
        </w:rPr>
        <w:t xml:space="preserve">The Environmental Safeguard Specialist </w:t>
      </w:r>
      <w:r w:rsidRPr="00E7620D">
        <w:rPr>
          <w:rFonts w:cs="Arial"/>
          <w:sz w:val="22"/>
          <w:lang w:val="en-US"/>
        </w:rPr>
        <w:t xml:space="preserve">and the </w:t>
      </w:r>
      <w:r w:rsidRPr="00E7620D">
        <w:rPr>
          <w:rFonts w:cs="Arial"/>
          <w:i/>
          <w:sz w:val="22"/>
          <w:lang w:val="en-US"/>
        </w:rPr>
        <w:t xml:space="preserve">Social Development Specialist, as </w:t>
      </w:r>
      <w:r w:rsidRPr="00E7620D">
        <w:rPr>
          <w:rFonts w:cs="Arial"/>
          <w:sz w:val="22"/>
          <w:lang w:val="en-US"/>
        </w:rPr>
        <w:t xml:space="preserve">well as </w:t>
      </w:r>
      <w:r w:rsidRPr="00E7620D">
        <w:rPr>
          <w:rFonts w:cs="Arial"/>
          <w:i/>
          <w:sz w:val="22"/>
          <w:lang w:val="en-US"/>
        </w:rPr>
        <w:t xml:space="preserve">the GBV Specialist in the preparation phase, </w:t>
      </w:r>
      <w:r w:rsidRPr="00E7620D">
        <w:rPr>
          <w:rFonts w:cs="Arial"/>
          <w:sz w:val="22"/>
          <w:lang w:val="en-US"/>
        </w:rPr>
        <w:t xml:space="preserve">will ensure the implementation of all environmental and social safeguard measures during the duration of the project: </w:t>
      </w:r>
      <w:r w:rsidRPr="00E7620D">
        <w:rPr>
          <w:rFonts w:cs="Arial"/>
          <w:i/>
          <w:sz w:val="22"/>
          <w:lang w:val="en-US"/>
        </w:rPr>
        <w:t xml:space="preserve">(i) </w:t>
      </w:r>
      <w:r w:rsidRPr="00E7620D">
        <w:rPr>
          <w:rFonts w:cs="Arial"/>
          <w:sz w:val="22"/>
          <w:lang w:val="en-US"/>
        </w:rPr>
        <w:t>they will complete the environmental screening forms and determine the appropriate environmental categories, with the support of the World Bank, (</w:t>
      </w:r>
      <w:r w:rsidRPr="00E7620D">
        <w:rPr>
          <w:rFonts w:cs="Arial"/>
          <w:i/>
          <w:sz w:val="22"/>
          <w:lang w:val="en-US"/>
        </w:rPr>
        <w:t xml:space="preserve">ii) </w:t>
      </w:r>
      <w:r w:rsidRPr="00E7620D">
        <w:rPr>
          <w:rFonts w:cs="Arial"/>
          <w:sz w:val="22"/>
          <w:lang w:val="en-US"/>
        </w:rPr>
        <w:t>they will also select the</w:t>
      </w:r>
      <w:r w:rsidRPr="00E7620D">
        <w:rPr>
          <w:rFonts w:cs="Arial"/>
          <w:spacing w:val="-8"/>
          <w:sz w:val="22"/>
          <w:lang w:val="en-US"/>
        </w:rPr>
        <w:t xml:space="preserve"> </w:t>
      </w:r>
      <w:r w:rsidRPr="00E7620D">
        <w:rPr>
          <w:rFonts w:cs="Arial"/>
          <w:sz w:val="22"/>
          <w:lang w:val="en-US"/>
        </w:rPr>
        <w:t>appropriate</w:t>
      </w:r>
      <w:r w:rsidRPr="00E7620D">
        <w:rPr>
          <w:rFonts w:cs="Arial"/>
          <w:spacing w:val="-10"/>
          <w:sz w:val="22"/>
          <w:lang w:val="en-US"/>
        </w:rPr>
        <w:t xml:space="preserve"> </w:t>
      </w:r>
      <w:r w:rsidRPr="00E7620D">
        <w:rPr>
          <w:rFonts w:cs="Arial"/>
          <w:sz w:val="22"/>
          <w:lang w:val="en-US"/>
        </w:rPr>
        <w:t>mitigation</w:t>
      </w:r>
      <w:r w:rsidRPr="00E7620D">
        <w:rPr>
          <w:rFonts w:cs="Arial"/>
          <w:spacing w:val="-8"/>
          <w:sz w:val="22"/>
          <w:lang w:val="en-US"/>
        </w:rPr>
        <w:t xml:space="preserve"> </w:t>
      </w:r>
      <w:r w:rsidRPr="00E7620D">
        <w:rPr>
          <w:rFonts w:cs="Arial"/>
          <w:sz w:val="22"/>
          <w:lang w:val="en-US"/>
        </w:rPr>
        <w:t>measures</w:t>
      </w:r>
      <w:r w:rsidRPr="00E7620D">
        <w:rPr>
          <w:rFonts w:cs="Arial"/>
          <w:spacing w:val="-10"/>
          <w:sz w:val="22"/>
          <w:lang w:val="en-US"/>
        </w:rPr>
        <w:t xml:space="preserve"> </w:t>
      </w:r>
      <w:r w:rsidRPr="00E7620D">
        <w:rPr>
          <w:rFonts w:cs="Arial"/>
          <w:sz w:val="22"/>
          <w:lang w:val="en-US"/>
        </w:rPr>
        <w:t>in</w:t>
      </w:r>
      <w:r w:rsidRPr="00E7620D">
        <w:rPr>
          <w:rFonts w:cs="Arial"/>
          <w:spacing w:val="-10"/>
          <w:sz w:val="22"/>
          <w:lang w:val="en-US"/>
        </w:rPr>
        <w:t xml:space="preserve"> </w:t>
      </w:r>
      <w:r w:rsidRPr="00E7620D">
        <w:rPr>
          <w:rFonts w:cs="Arial"/>
          <w:sz w:val="22"/>
          <w:lang w:val="en-US"/>
        </w:rPr>
        <w:t>case</w:t>
      </w:r>
      <w:r w:rsidRPr="00E7620D">
        <w:rPr>
          <w:rFonts w:cs="Arial"/>
          <w:spacing w:val="-11"/>
          <w:sz w:val="22"/>
          <w:lang w:val="en-US"/>
        </w:rPr>
        <w:t xml:space="preserve"> </w:t>
      </w:r>
      <w:r w:rsidRPr="00E7620D">
        <w:rPr>
          <w:rFonts w:cs="Arial"/>
          <w:sz w:val="22"/>
          <w:lang w:val="en-US"/>
        </w:rPr>
        <w:t>there</w:t>
      </w:r>
      <w:r w:rsidRPr="00E7620D">
        <w:rPr>
          <w:rFonts w:cs="Arial"/>
          <w:spacing w:val="-10"/>
          <w:sz w:val="22"/>
          <w:lang w:val="en-US"/>
        </w:rPr>
        <w:t xml:space="preserve"> </w:t>
      </w:r>
      <w:r w:rsidRPr="00E7620D">
        <w:rPr>
          <w:rFonts w:cs="Arial"/>
          <w:sz w:val="22"/>
          <w:lang w:val="en-US"/>
        </w:rPr>
        <w:t>is</w:t>
      </w:r>
      <w:r w:rsidRPr="00E7620D">
        <w:rPr>
          <w:rFonts w:cs="Arial"/>
          <w:spacing w:val="-7"/>
          <w:sz w:val="22"/>
          <w:lang w:val="en-US"/>
        </w:rPr>
        <w:t xml:space="preserve"> </w:t>
      </w:r>
      <w:r w:rsidRPr="00E7620D">
        <w:rPr>
          <w:rFonts w:cs="Arial"/>
          <w:sz w:val="22"/>
          <w:lang w:val="en-US"/>
        </w:rPr>
        <w:t>no</w:t>
      </w:r>
      <w:r w:rsidRPr="00E7620D">
        <w:rPr>
          <w:rFonts w:cs="Arial"/>
          <w:spacing w:val="-11"/>
          <w:sz w:val="22"/>
          <w:lang w:val="en-US"/>
        </w:rPr>
        <w:t xml:space="preserve"> </w:t>
      </w:r>
      <w:r w:rsidRPr="00E7620D">
        <w:rPr>
          <w:rFonts w:cs="Arial"/>
          <w:sz w:val="22"/>
          <w:lang w:val="en-US"/>
        </w:rPr>
        <w:t>need</w:t>
      </w:r>
      <w:r w:rsidRPr="00E7620D">
        <w:rPr>
          <w:rFonts w:cs="Arial"/>
          <w:spacing w:val="-13"/>
          <w:sz w:val="22"/>
          <w:lang w:val="en-US"/>
        </w:rPr>
        <w:t xml:space="preserve"> </w:t>
      </w:r>
      <w:r w:rsidRPr="00E7620D">
        <w:rPr>
          <w:rFonts w:cs="Arial"/>
          <w:sz w:val="22"/>
          <w:lang w:val="en-US"/>
        </w:rPr>
        <w:t>to</w:t>
      </w:r>
      <w:r w:rsidRPr="00E7620D">
        <w:rPr>
          <w:rFonts w:cs="Arial"/>
          <w:spacing w:val="-10"/>
          <w:sz w:val="22"/>
          <w:lang w:val="en-US"/>
        </w:rPr>
        <w:t xml:space="preserve"> </w:t>
      </w:r>
      <w:r w:rsidRPr="00E7620D">
        <w:rPr>
          <w:rFonts w:cs="Arial"/>
          <w:sz w:val="22"/>
          <w:lang w:val="en-US"/>
        </w:rPr>
        <w:t>develop</w:t>
      </w:r>
      <w:r w:rsidRPr="00E7620D">
        <w:rPr>
          <w:rFonts w:cs="Arial"/>
          <w:spacing w:val="-8"/>
          <w:sz w:val="22"/>
          <w:lang w:val="en-US"/>
        </w:rPr>
        <w:t xml:space="preserve"> </w:t>
      </w:r>
      <w:r w:rsidRPr="00E7620D">
        <w:rPr>
          <w:rFonts w:cs="Arial"/>
          <w:sz w:val="22"/>
          <w:lang w:val="en-US"/>
        </w:rPr>
        <w:t>ESMPs</w:t>
      </w:r>
      <w:r w:rsidRPr="00E7620D">
        <w:rPr>
          <w:rFonts w:cs="Arial"/>
          <w:spacing w:val="-10"/>
          <w:sz w:val="22"/>
          <w:lang w:val="en-US"/>
        </w:rPr>
        <w:t xml:space="preserve"> </w:t>
      </w:r>
      <w:r w:rsidRPr="00E7620D">
        <w:rPr>
          <w:rFonts w:cs="Arial"/>
          <w:sz w:val="22"/>
          <w:lang w:val="en-US"/>
        </w:rPr>
        <w:t>for</w:t>
      </w:r>
      <w:r w:rsidRPr="00E7620D">
        <w:rPr>
          <w:rFonts w:cs="Arial"/>
          <w:spacing w:val="-11"/>
          <w:sz w:val="22"/>
          <w:lang w:val="en-US"/>
        </w:rPr>
        <w:t xml:space="preserve"> </w:t>
      </w:r>
      <w:r w:rsidRPr="00E7620D">
        <w:rPr>
          <w:rFonts w:cs="Arial"/>
          <w:sz w:val="22"/>
          <w:lang w:val="en-US"/>
        </w:rPr>
        <w:t xml:space="preserve">the sub-projects, </w:t>
      </w:r>
      <w:r w:rsidRPr="00E7620D">
        <w:rPr>
          <w:rFonts w:cs="Arial"/>
          <w:i/>
          <w:sz w:val="22"/>
          <w:lang w:val="en-US"/>
        </w:rPr>
        <w:t xml:space="preserve">(iii) </w:t>
      </w:r>
      <w:r w:rsidRPr="00E7620D">
        <w:rPr>
          <w:rFonts w:cs="Arial"/>
          <w:sz w:val="22"/>
          <w:lang w:val="en-US"/>
        </w:rPr>
        <w:t>they will also coordinate the monitoring of the environmental and social aspects, including the risks of GBV, EAS, HS, and COVID-19, as well as the audit of the Project's compliance with the proposed environmental and social measures.</w:t>
      </w:r>
    </w:p>
    <w:p w14:paraId="39D8531C" w14:textId="77777777" w:rsidR="001977A4" w:rsidRPr="00E7620D" w:rsidRDefault="001977A4" w:rsidP="00243BDC">
      <w:pPr>
        <w:pStyle w:val="Corpsdetexte"/>
        <w:spacing w:line="276" w:lineRule="auto"/>
        <w:ind w:left="567" w:hanging="283"/>
        <w:rPr>
          <w:rFonts w:cs="Arial"/>
          <w:sz w:val="22"/>
          <w:szCs w:val="22"/>
          <w:lang w:val="en-US"/>
        </w:rPr>
      </w:pPr>
    </w:p>
    <w:p w14:paraId="3AF93BB4" w14:textId="77777777" w:rsidR="001977A4" w:rsidRPr="00E7620D" w:rsidRDefault="001977A4" w:rsidP="002378EA">
      <w:pPr>
        <w:pStyle w:val="Paragraphedeliste"/>
        <w:widowControl w:val="0"/>
        <w:numPr>
          <w:ilvl w:val="0"/>
          <w:numId w:val="110"/>
        </w:numPr>
        <w:tabs>
          <w:tab w:val="left" w:pos="977"/>
        </w:tabs>
        <w:autoSpaceDE w:val="0"/>
        <w:autoSpaceDN w:val="0"/>
        <w:ind w:left="567" w:hanging="283"/>
        <w:contextualSpacing w:val="0"/>
        <w:rPr>
          <w:rFonts w:cs="Arial"/>
          <w:sz w:val="22"/>
          <w:lang w:val="en-US"/>
        </w:rPr>
      </w:pPr>
      <w:r w:rsidRPr="00E7620D">
        <w:rPr>
          <w:rFonts w:cs="Arial"/>
          <w:i/>
          <w:sz w:val="22"/>
          <w:lang w:val="en-US"/>
        </w:rPr>
        <w:t xml:space="preserve">The Technical Manager of the Activity Eligible to the PNDA </w:t>
      </w:r>
      <w:r w:rsidRPr="00E7620D">
        <w:rPr>
          <w:rFonts w:cs="Arial"/>
          <w:sz w:val="22"/>
          <w:lang w:val="en-US"/>
        </w:rPr>
        <w:t>(</w:t>
      </w:r>
      <w:r w:rsidRPr="00E7620D">
        <w:rPr>
          <w:rFonts w:cs="Arial"/>
          <w:i/>
          <w:sz w:val="22"/>
          <w:lang w:val="en-US"/>
        </w:rPr>
        <w:t>Project Manager</w:t>
      </w:r>
      <w:r w:rsidRPr="00E7620D">
        <w:rPr>
          <w:rFonts w:cs="Arial"/>
          <w:sz w:val="22"/>
          <w:lang w:val="en-US"/>
        </w:rPr>
        <w:t>) is responsible for: the identification of the location/site and main technical characteristics of</w:t>
      </w:r>
      <w:r w:rsidRPr="00E7620D">
        <w:rPr>
          <w:rFonts w:cs="Arial"/>
          <w:spacing w:val="-12"/>
          <w:sz w:val="22"/>
          <w:lang w:val="en-US"/>
        </w:rPr>
        <w:t xml:space="preserve"> </w:t>
      </w:r>
      <w:r w:rsidRPr="00E7620D">
        <w:rPr>
          <w:rFonts w:cs="Arial"/>
          <w:sz w:val="22"/>
          <w:lang w:val="en-US"/>
        </w:rPr>
        <w:t>the</w:t>
      </w:r>
      <w:r w:rsidRPr="00E7620D">
        <w:rPr>
          <w:rFonts w:cs="Arial"/>
          <w:spacing w:val="-15"/>
          <w:sz w:val="22"/>
          <w:lang w:val="en-US"/>
        </w:rPr>
        <w:t xml:space="preserve"> </w:t>
      </w:r>
      <w:r w:rsidRPr="00E7620D">
        <w:rPr>
          <w:rFonts w:cs="Arial"/>
          <w:sz w:val="22"/>
          <w:lang w:val="en-US"/>
        </w:rPr>
        <w:t>sub-project</w:t>
      </w:r>
      <w:r w:rsidRPr="00E7620D">
        <w:rPr>
          <w:rFonts w:cs="Arial"/>
          <w:spacing w:val="-14"/>
          <w:sz w:val="22"/>
          <w:lang w:val="en-US"/>
        </w:rPr>
        <w:t xml:space="preserve"> </w:t>
      </w:r>
      <w:r w:rsidRPr="00E7620D">
        <w:rPr>
          <w:rFonts w:cs="Arial"/>
          <w:sz w:val="22"/>
          <w:lang w:val="en-US"/>
        </w:rPr>
        <w:t>and</w:t>
      </w:r>
      <w:r w:rsidRPr="00E7620D">
        <w:rPr>
          <w:rFonts w:cs="Arial"/>
          <w:spacing w:val="-15"/>
          <w:sz w:val="22"/>
          <w:lang w:val="en-US"/>
        </w:rPr>
        <w:t xml:space="preserve"> </w:t>
      </w:r>
      <w:r w:rsidRPr="00E7620D">
        <w:rPr>
          <w:rFonts w:cs="Arial"/>
          <w:sz w:val="22"/>
          <w:lang w:val="en-US"/>
        </w:rPr>
        <w:t>the</w:t>
      </w:r>
      <w:r w:rsidRPr="00E7620D">
        <w:rPr>
          <w:rFonts w:cs="Arial"/>
          <w:spacing w:val="-14"/>
          <w:sz w:val="22"/>
          <w:lang w:val="en-US"/>
        </w:rPr>
        <w:t xml:space="preserve"> </w:t>
      </w:r>
      <w:r w:rsidRPr="00E7620D">
        <w:rPr>
          <w:rFonts w:cs="Arial"/>
          <w:sz w:val="22"/>
          <w:lang w:val="en-US"/>
        </w:rPr>
        <w:t>integration</w:t>
      </w:r>
      <w:r w:rsidRPr="00E7620D">
        <w:rPr>
          <w:rFonts w:cs="Arial"/>
          <w:spacing w:val="-13"/>
          <w:sz w:val="22"/>
          <w:lang w:val="en-US"/>
        </w:rPr>
        <w:t xml:space="preserve"> </w:t>
      </w:r>
      <w:r w:rsidRPr="00E7620D">
        <w:rPr>
          <w:rFonts w:cs="Arial"/>
          <w:sz w:val="22"/>
          <w:lang w:val="en-US"/>
        </w:rPr>
        <w:t>in</w:t>
      </w:r>
      <w:r w:rsidRPr="00E7620D">
        <w:rPr>
          <w:rFonts w:cs="Arial"/>
          <w:spacing w:val="-15"/>
          <w:sz w:val="22"/>
          <w:lang w:val="en-US"/>
        </w:rPr>
        <w:t xml:space="preserve"> </w:t>
      </w:r>
      <w:r w:rsidRPr="00E7620D">
        <w:rPr>
          <w:rFonts w:cs="Arial"/>
          <w:sz w:val="22"/>
          <w:lang w:val="en-US"/>
        </w:rPr>
        <w:t>the</w:t>
      </w:r>
      <w:r w:rsidRPr="00E7620D">
        <w:rPr>
          <w:rFonts w:cs="Arial"/>
          <w:spacing w:val="-15"/>
          <w:sz w:val="22"/>
          <w:lang w:val="en-US"/>
        </w:rPr>
        <w:t xml:space="preserve"> </w:t>
      </w:r>
      <w:r w:rsidRPr="00E7620D">
        <w:rPr>
          <w:rFonts w:cs="Arial"/>
          <w:sz w:val="22"/>
          <w:lang w:val="en-US"/>
        </w:rPr>
        <w:t>tender</w:t>
      </w:r>
      <w:r w:rsidRPr="00E7620D">
        <w:rPr>
          <w:rFonts w:cs="Arial"/>
          <w:spacing w:val="-14"/>
          <w:sz w:val="22"/>
          <w:lang w:val="en-US"/>
        </w:rPr>
        <w:t xml:space="preserve"> </w:t>
      </w:r>
      <w:r w:rsidRPr="00E7620D">
        <w:rPr>
          <w:rFonts w:cs="Arial"/>
          <w:sz w:val="22"/>
          <w:lang w:val="en-US"/>
        </w:rPr>
        <w:t>documents</w:t>
      </w:r>
      <w:r w:rsidRPr="00E7620D">
        <w:rPr>
          <w:rFonts w:cs="Arial"/>
          <w:spacing w:val="-14"/>
          <w:sz w:val="22"/>
          <w:lang w:val="en-US"/>
        </w:rPr>
        <w:t xml:space="preserve"> </w:t>
      </w:r>
      <w:r w:rsidRPr="00E7620D">
        <w:rPr>
          <w:rFonts w:cs="Arial"/>
          <w:sz w:val="22"/>
          <w:lang w:val="en-US"/>
        </w:rPr>
        <w:t>(DAO)</w:t>
      </w:r>
      <w:r w:rsidRPr="00E7620D">
        <w:rPr>
          <w:rFonts w:cs="Arial"/>
          <w:spacing w:val="-14"/>
          <w:sz w:val="22"/>
          <w:lang w:val="en-US"/>
        </w:rPr>
        <w:t xml:space="preserve"> </w:t>
      </w:r>
      <w:r w:rsidRPr="00E7620D">
        <w:rPr>
          <w:rFonts w:cs="Arial"/>
          <w:sz w:val="22"/>
          <w:lang w:val="en-US"/>
        </w:rPr>
        <w:t>of</w:t>
      </w:r>
      <w:r w:rsidRPr="00E7620D">
        <w:rPr>
          <w:rFonts w:cs="Arial"/>
          <w:spacing w:val="-14"/>
          <w:sz w:val="22"/>
          <w:lang w:val="en-US"/>
        </w:rPr>
        <w:t xml:space="preserve"> </w:t>
      </w:r>
      <w:r w:rsidRPr="00E7620D">
        <w:rPr>
          <w:rFonts w:cs="Arial"/>
          <w:sz w:val="22"/>
          <w:lang w:val="en-US"/>
        </w:rPr>
        <w:t>the</w:t>
      </w:r>
      <w:r w:rsidRPr="00E7620D">
        <w:rPr>
          <w:rFonts w:cs="Arial"/>
          <w:spacing w:val="-18"/>
          <w:sz w:val="22"/>
          <w:lang w:val="en-US"/>
        </w:rPr>
        <w:t xml:space="preserve"> </w:t>
      </w:r>
      <w:r w:rsidRPr="00E7620D">
        <w:rPr>
          <w:rFonts w:cs="Arial"/>
          <w:sz w:val="22"/>
          <w:lang w:val="en-US"/>
        </w:rPr>
        <w:t>sub-project, all the measurements of the phase of work that can be contracted with the company</w:t>
      </w:r>
      <w:r w:rsidRPr="00E7620D">
        <w:rPr>
          <w:rFonts w:cs="Arial"/>
          <w:spacing w:val="-24"/>
          <w:sz w:val="22"/>
          <w:lang w:val="en-US"/>
        </w:rPr>
        <w:t xml:space="preserve"> </w:t>
      </w:r>
      <w:r w:rsidRPr="00E7620D">
        <w:rPr>
          <w:rFonts w:cs="Arial"/>
          <w:sz w:val="22"/>
          <w:lang w:val="en-US"/>
        </w:rPr>
        <w:t>;</w:t>
      </w:r>
    </w:p>
    <w:p w14:paraId="06743CC4" w14:textId="77777777" w:rsidR="001977A4" w:rsidRPr="00E7620D" w:rsidRDefault="001977A4" w:rsidP="00243BDC">
      <w:pPr>
        <w:pStyle w:val="Corpsdetexte"/>
        <w:spacing w:line="276" w:lineRule="auto"/>
        <w:ind w:left="567" w:hanging="283"/>
        <w:rPr>
          <w:rFonts w:cs="Arial"/>
          <w:sz w:val="22"/>
          <w:szCs w:val="22"/>
          <w:lang w:val="en-US"/>
        </w:rPr>
      </w:pPr>
    </w:p>
    <w:p w14:paraId="344BCC8C" w14:textId="77777777" w:rsidR="001977A4" w:rsidRPr="00E7620D" w:rsidRDefault="00540C2E" w:rsidP="002378EA">
      <w:pPr>
        <w:pStyle w:val="Paragraphedeliste"/>
        <w:widowControl w:val="0"/>
        <w:numPr>
          <w:ilvl w:val="0"/>
          <w:numId w:val="110"/>
        </w:numPr>
        <w:tabs>
          <w:tab w:val="left" w:pos="977"/>
        </w:tabs>
        <w:autoSpaceDE w:val="0"/>
        <w:autoSpaceDN w:val="0"/>
        <w:ind w:left="567" w:hanging="283"/>
        <w:contextualSpacing w:val="0"/>
        <w:rPr>
          <w:rFonts w:cs="Arial"/>
          <w:sz w:val="22"/>
          <w:lang w:val="en-US"/>
        </w:rPr>
      </w:pPr>
      <w:r>
        <w:rPr>
          <w:rFonts w:cs="Arial"/>
          <w:i/>
          <w:sz w:val="22"/>
          <w:lang w:val="en-US"/>
        </w:rPr>
        <w:t>PNDA</w:t>
      </w:r>
      <w:r w:rsidRPr="00E7620D">
        <w:rPr>
          <w:rFonts w:cs="Arial"/>
          <w:i/>
          <w:sz w:val="22"/>
          <w:lang w:val="en-US"/>
        </w:rPr>
        <w:t xml:space="preserve"> </w:t>
      </w:r>
      <w:r w:rsidR="001977A4" w:rsidRPr="00E7620D">
        <w:rPr>
          <w:rFonts w:cs="Arial"/>
          <w:i/>
          <w:sz w:val="22"/>
          <w:lang w:val="en-US"/>
        </w:rPr>
        <w:t xml:space="preserve">Procurement Specialist (in preparation and implementation phase, in consultation with environmental and social specialists): </w:t>
      </w:r>
      <w:r w:rsidR="001977A4" w:rsidRPr="00E7620D">
        <w:rPr>
          <w:rFonts w:cs="Arial"/>
          <w:sz w:val="22"/>
          <w:lang w:val="en-US"/>
        </w:rPr>
        <w:t>ensures the inclusion of</w:t>
      </w:r>
      <w:r w:rsidR="001977A4" w:rsidRPr="00E7620D">
        <w:rPr>
          <w:rFonts w:cs="Arial"/>
          <w:spacing w:val="17"/>
          <w:sz w:val="22"/>
          <w:lang w:val="en-US"/>
        </w:rPr>
        <w:t xml:space="preserve"> </w:t>
      </w:r>
      <w:r w:rsidR="001977A4" w:rsidRPr="00E7620D">
        <w:rPr>
          <w:rFonts w:cs="Arial"/>
          <w:sz w:val="22"/>
          <w:lang w:val="en-US"/>
        </w:rPr>
        <w:t>the following</w:t>
      </w:r>
      <w:r w:rsidR="001977A4" w:rsidRPr="00E7620D">
        <w:rPr>
          <w:rFonts w:cs="Arial"/>
          <w:spacing w:val="-12"/>
          <w:sz w:val="22"/>
          <w:lang w:val="en-US"/>
        </w:rPr>
        <w:t xml:space="preserve"> </w:t>
      </w:r>
      <w:r w:rsidR="001977A4" w:rsidRPr="00E7620D">
        <w:rPr>
          <w:rFonts w:cs="Arial"/>
          <w:sz w:val="22"/>
          <w:lang w:val="en-US"/>
        </w:rPr>
        <w:t>activities</w:t>
      </w:r>
      <w:r w:rsidR="001977A4" w:rsidRPr="00E7620D">
        <w:rPr>
          <w:rFonts w:cs="Arial"/>
          <w:spacing w:val="-12"/>
          <w:sz w:val="22"/>
          <w:lang w:val="en-US"/>
        </w:rPr>
        <w:t xml:space="preserve"> </w:t>
      </w:r>
      <w:r w:rsidR="001977A4" w:rsidRPr="00E7620D">
        <w:rPr>
          <w:rFonts w:cs="Arial"/>
          <w:sz w:val="22"/>
          <w:lang w:val="en-US"/>
        </w:rPr>
        <w:t>in</w:t>
      </w:r>
      <w:r w:rsidR="001977A4" w:rsidRPr="00E7620D">
        <w:rPr>
          <w:rFonts w:cs="Arial"/>
          <w:spacing w:val="-12"/>
          <w:sz w:val="22"/>
          <w:lang w:val="en-US"/>
        </w:rPr>
        <w:t xml:space="preserve"> </w:t>
      </w:r>
      <w:r w:rsidR="001977A4" w:rsidRPr="00E7620D">
        <w:rPr>
          <w:rFonts w:cs="Arial"/>
          <w:sz w:val="22"/>
          <w:lang w:val="en-US"/>
        </w:rPr>
        <w:t>the</w:t>
      </w:r>
      <w:r w:rsidR="001977A4" w:rsidRPr="00E7620D">
        <w:rPr>
          <w:rFonts w:cs="Arial"/>
          <w:spacing w:val="-15"/>
          <w:sz w:val="22"/>
          <w:lang w:val="en-US"/>
        </w:rPr>
        <w:t xml:space="preserve"> </w:t>
      </w:r>
      <w:r w:rsidR="001977A4" w:rsidRPr="00E7620D">
        <w:rPr>
          <w:rFonts w:cs="Arial"/>
          <w:sz w:val="22"/>
          <w:lang w:val="en-US"/>
        </w:rPr>
        <w:t>STEP</w:t>
      </w:r>
      <w:r w:rsidR="001977A4" w:rsidRPr="00E7620D">
        <w:rPr>
          <w:rFonts w:cs="Arial"/>
          <w:spacing w:val="-13"/>
          <w:sz w:val="22"/>
          <w:lang w:val="en-US"/>
        </w:rPr>
        <w:t xml:space="preserve"> </w:t>
      </w:r>
      <w:r w:rsidR="001977A4" w:rsidRPr="00E7620D">
        <w:rPr>
          <w:rFonts w:cs="Arial"/>
          <w:sz w:val="22"/>
          <w:lang w:val="en-US"/>
        </w:rPr>
        <w:t>procurement</w:t>
      </w:r>
      <w:r w:rsidR="001977A4" w:rsidRPr="00E7620D">
        <w:rPr>
          <w:rFonts w:cs="Arial"/>
          <w:spacing w:val="-11"/>
          <w:sz w:val="22"/>
          <w:lang w:val="en-US"/>
        </w:rPr>
        <w:t xml:space="preserve"> </w:t>
      </w:r>
      <w:r w:rsidR="001977A4" w:rsidRPr="00E7620D">
        <w:rPr>
          <w:rFonts w:cs="Arial"/>
          <w:sz w:val="22"/>
          <w:lang w:val="en-US"/>
        </w:rPr>
        <w:t>plans</w:t>
      </w:r>
      <w:r w:rsidR="001977A4" w:rsidRPr="00E7620D">
        <w:rPr>
          <w:rFonts w:cs="Arial"/>
          <w:spacing w:val="-15"/>
          <w:sz w:val="22"/>
          <w:lang w:val="en-US"/>
        </w:rPr>
        <w:t xml:space="preserve"> </w:t>
      </w:r>
      <w:r w:rsidR="001977A4" w:rsidRPr="00E7620D">
        <w:rPr>
          <w:rFonts w:cs="Arial"/>
          <w:sz w:val="22"/>
          <w:lang w:val="en-US"/>
        </w:rPr>
        <w:t>and</w:t>
      </w:r>
      <w:r w:rsidR="001977A4" w:rsidRPr="00E7620D">
        <w:rPr>
          <w:rFonts w:cs="Arial"/>
          <w:spacing w:val="-12"/>
          <w:sz w:val="22"/>
          <w:lang w:val="en-US"/>
        </w:rPr>
        <w:t xml:space="preserve"> </w:t>
      </w:r>
      <w:r w:rsidR="001977A4" w:rsidRPr="00E7620D">
        <w:rPr>
          <w:rFonts w:cs="Arial"/>
          <w:sz w:val="22"/>
          <w:lang w:val="en-US"/>
        </w:rPr>
        <w:t>prepares</w:t>
      </w:r>
      <w:r w:rsidR="001977A4" w:rsidRPr="00E7620D">
        <w:rPr>
          <w:rFonts w:cs="Arial"/>
          <w:spacing w:val="-12"/>
          <w:sz w:val="22"/>
          <w:lang w:val="en-US"/>
        </w:rPr>
        <w:t xml:space="preserve"> </w:t>
      </w:r>
      <w:r w:rsidR="001977A4" w:rsidRPr="00E7620D">
        <w:rPr>
          <w:rFonts w:cs="Arial"/>
          <w:sz w:val="22"/>
          <w:lang w:val="en-US"/>
        </w:rPr>
        <w:t>the</w:t>
      </w:r>
      <w:r w:rsidR="001977A4" w:rsidRPr="00E7620D">
        <w:rPr>
          <w:rFonts w:cs="Arial"/>
          <w:spacing w:val="-15"/>
          <w:sz w:val="22"/>
          <w:lang w:val="en-US"/>
        </w:rPr>
        <w:t xml:space="preserve"> </w:t>
      </w:r>
      <w:r w:rsidR="001977A4" w:rsidRPr="00E7620D">
        <w:rPr>
          <w:rFonts w:cs="Arial"/>
          <w:sz w:val="22"/>
          <w:lang w:val="en-US"/>
        </w:rPr>
        <w:t>related</w:t>
      </w:r>
      <w:r w:rsidR="001977A4" w:rsidRPr="00E7620D">
        <w:rPr>
          <w:rFonts w:cs="Arial"/>
          <w:spacing w:val="-15"/>
          <w:sz w:val="22"/>
          <w:lang w:val="en-US"/>
        </w:rPr>
        <w:t xml:space="preserve"> </w:t>
      </w:r>
      <w:r w:rsidR="001977A4" w:rsidRPr="00E7620D">
        <w:rPr>
          <w:rFonts w:cs="Arial"/>
          <w:sz w:val="22"/>
          <w:lang w:val="en-US"/>
        </w:rPr>
        <w:t>contractual documents (studies, integration of measures in the tender documents; PGES undertaken, execution/implementation of measures; capacity building; monitoring and audit)</w:t>
      </w:r>
      <w:r w:rsidR="001977A4" w:rsidRPr="00E7620D">
        <w:rPr>
          <w:rFonts w:cs="Arial"/>
          <w:spacing w:val="-1"/>
          <w:sz w:val="22"/>
          <w:lang w:val="en-US"/>
        </w:rPr>
        <w:t xml:space="preserve"> </w:t>
      </w:r>
      <w:r w:rsidR="001977A4" w:rsidRPr="00E7620D">
        <w:rPr>
          <w:rFonts w:cs="Arial"/>
          <w:sz w:val="22"/>
          <w:lang w:val="en-US"/>
        </w:rPr>
        <w:t>;</w:t>
      </w:r>
    </w:p>
    <w:p w14:paraId="5AF2EA2E" w14:textId="77777777" w:rsidR="001977A4" w:rsidRPr="00E7620D" w:rsidRDefault="001977A4" w:rsidP="00243BDC">
      <w:pPr>
        <w:pStyle w:val="Corpsdetexte"/>
        <w:spacing w:line="276" w:lineRule="auto"/>
        <w:ind w:left="567" w:hanging="283"/>
        <w:rPr>
          <w:rFonts w:cs="Arial"/>
          <w:sz w:val="22"/>
          <w:szCs w:val="22"/>
          <w:lang w:val="en-US"/>
        </w:rPr>
      </w:pPr>
    </w:p>
    <w:p w14:paraId="340EBFF4" w14:textId="77777777" w:rsidR="001977A4" w:rsidRPr="00E7620D" w:rsidRDefault="001977A4" w:rsidP="002378EA">
      <w:pPr>
        <w:pStyle w:val="Paragraphedeliste"/>
        <w:widowControl w:val="0"/>
        <w:numPr>
          <w:ilvl w:val="0"/>
          <w:numId w:val="110"/>
        </w:numPr>
        <w:tabs>
          <w:tab w:val="left" w:pos="977"/>
        </w:tabs>
        <w:autoSpaceDE w:val="0"/>
        <w:autoSpaceDN w:val="0"/>
        <w:ind w:left="567" w:hanging="283"/>
        <w:contextualSpacing w:val="0"/>
        <w:rPr>
          <w:rFonts w:cs="Arial"/>
          <w:sz w:val="22"/>
          <w:lang w:val="en-US"/>
        </w:rPr>
      </w:pPr>
      <w:r w:rsidRPr="00E7620D">
        <w:rPr>
          <w:rFonts w:cs="Arial"/>
          <w:i/>
          <w:sz w:val="22"/>
          <w:lang w:val="en-US"/>
        </w:rPr>
        <w:t xml:space="preserve">The </w:t>
      </w:r>
      <w:r w:rsidR="00540C2E">
        <w:rPr>
          <w:rFonts w:cs="Arial"/>
          <w:i/>
          <w:sz w:val="22"/>
          <w:lang w:val="en-US"/>
        </w:rPr>
        <w:t>PNDA</w:t>
      </w:r>
      <w:r w:rsidR="00540C2E" w:rsidRPr="00E7620D">
        <w:rPr>
          <w:rFonts w:cs="Arial"/>
          <w:i/>
          <w:sz w:val="22"/>
          <w:lang w:val="en-US"/>
        </w:rPr>
        <w:t xml:space="preserve"> </w:t>
      </w:r>
      <w:r w:rsidRPr="00E7620D">
        <w:rPr>
          <w:rFonts w:cs="Arial"/>
          <w:i/>
          <w:sz w:val="22"/>
          <w:lang w:val="en-US"/>
        </w:rPr>
        <w:t xml:space="preserve">Finance Officer (in the preparation and implementation phase): </w:t>
      </w:r>
      <w:r w:rsidRPr="00E7620D">
        <w:rPr>
          <w:rFonts w:cs="Arial"/>
          <w:sz w:val="22"/>
          <w:lang w:val="en-US"/>
        </w:rPr>
        <w:t xml:space="preserve">includes in the financial statements the budgetary provisions for the Execution/Implementation of </w:t>
      </w:r>
      <w:r w:rsidRPr="00E7620D">
        <w:rPr>
          <w:rFonts w:cs="Arial"/>
          <w:sz w:val="22"/>
          <w:lang w:val="en-US"/>
        </w:rPr>
        <w:lastRenderedPageBreak/>
        <w:t>support measures for Monitoring the implementation of environmental and social measures, including GBV and COVID19</w:t>
      </w:r>
      <w:r w:rsidRPr="00E7620D">
        <w:rPr>
          <w:rFonts w:cs="Arial"/>
          <w:spacing w:val="-4"/>
          <w:sz w:val="22"/>
          <w:lang w:val="en-US"/>
        </w:rPr>
        <w:t xml:space="preserve"> </w:t>
      </w:r>
      <w:r w:rsidRPr="00E7620D">
        <w:rPr>
          <w:rFonts w:cs="Arial"/>
          <w:sz w:val="22"/>
          <w:lang w:val="en-US"/>
        </w:rPr>
        <w:t>;</w:t>
      </w:r>
    </w:p>
    <w:p w14:paraId="34E6B3EE" w14:textId="77777777" w:rsidR="001977A4" w:rsidRPr="00E7620D" w:rsidRDefault="001977A4" w:rsidP="00243BDC">
      <w:pPr>
        <w:pStyle w:val="Corpsdetexte"/>
        <w:spacing w:line="276" w:lineRule="auto"/>
        <w:ind w:left="567" w:hanging="283"/>
        <w:rPr>
          <w:rFonts w:cs="Arial"/>
          <w:sz w:val="22"/>
          <w:szCs w:val="22"/>
          <w:lang w:val="en-US"/>
        </w:rPr>
      </w:pPr>
    </w:p>
    <w:p w14:paraId="11918575" w14:textId="77777777" w:rsidR="001977A4" w:rsidRDefault="001977A4" w:rsidP="002378EA">
      <w:pPr>
        <w:pStyle w:val="Paragraphedeliste"/>
        <w:widowControl w:val="0"/>
        <w:numPr>
          <w:ilvl w:val="0"/>
          <w:numId w:val="110"/>
        </w:numPr>
        <w:tabs>
          <w:tab w:val="left" w:pos="977"/>
        </w:tabs>
        <w:autoSpaceDE w:val="0"/>
        <w:autoSpaceDN w:val="0"/>
        <w:ind w:left="567" w:hanging="283"/>
        <w:contextualSpacing w:val="0"/>
        <w:rPr>
          <w:rFonts w:cs="Arial"/>
          <w:sz w:val="22"/>
          <w:lang w:val="en-US"/>
        </w:rPr>
      </w:pPr>
      <w:r w:rsidRPr="00E7620D">
        <w:rPr>
          <w:rFonts w:cs="Arial"/>
          <w:i/>
          <w:sz w:val="22"/>
          <w:lang w:val="en-US"/>
        </w:rPr>
        <w:t>The</w:t>
      </w:r>
      <w:r w:rsidRPr="00E7620D">
        <w:rPr>
          <w:rFonts w:cs="Arial"/>
          <w:i/>
          <w:spacing w:val="-16"/>
          <w:sz w:val="22"/>
          <w:lang w:val="en-US"/>
        </w:rPr>
        <w:t xml:space="preserve"> </w:t>
      </w:r>
      <w:r w:rsidR="00540C2E">
        <w:rPr>
          <w:rFonts w:cs="Arial"/>
          <w:i/>
          <w:sz w:val="22"/>
          <w:lang w:val="en-US"/>
        </w:rPr>
        <w:t>PNDA</w:t>
      </w:r>
      <w:r w:rsidR="00540C2E" w:rsidRPr="00E7620D">
        <w:rPr>
          <w:rFonts w:cs="Arial"/>
          <w:i/>
          <w:spacing w:val="-17"/>
          <w:sz w:val="22"/>
          <w:lang w:val="en-US"/>
        </w:rPr>
        <w:t xml:space="preserve"> </w:t>
      </w:r>
      <w:r w:rsidRPr="00E7620D">
        <w:rPr>
          <w:rFonts w:cs="Arial"/>
          <w:i/>
          <w:sz w:val="22"/>
          <w:lang w:val="en-US"/>
        </w:rPr>
        <w:t>Monitoring</w:t>
      </w:r>
      <w:r w:rsidRPr="00E7620D">
        <w:rPr>
          <w:rFonts w:cs="Arial"/>
          <w:i/>
          <w:spacing w:val="-16"/>
          <w:sz w:val="22"/>
          <w:lang w:val="en-US"/>
        </w:rPr>
        <w:t xml:space="preserve"> </w:t>
      </w:r>
      <w:r w:rsidRPr="00E7620D">
        <w:rPr>
          <w:rFonts w:cs="Arial"/>
          <w:i/>
          <w:sz w:val="22"/>
          <w:lang w:val="en-US"/>
        </w:rPr>
        <w:t>and</w:t>
      </w:r>
      <w:r w:rsidRPr="00E7620D">
        <w:rPr>
          <w:rFonts w:cs="Arial"/>
          <w:i/>
          <w:spacing w:val="-15"/>
          <w:sz w:val="22"/>
          <w:lang w:val="en-US"/>
        </w:rPr>
        <w:t xml:space="preserve"> </w:t>
      </w:r>
      <w:r w:rsidRPr="00E7620D">
        <w:rPr>
          <w:rFonts w:cs="Arial"/>
          <w:i/>
          <w:sz w:val="22"/>
          <w:lang w:val="en-US"/>
        </w:rPr>
        <w:t>Evaluation</w:t>
      </w:r>
      <w:r w:rsidRPr="00E7620D">
        <w:rPr>
          <w:rFonts w:cs="Arial"/>
          <w:i/>
          <w:spacing w:val="-16"/>
          <w:sz w:val="22"/>
          <w:lang w:val="en-US"/>
        </w:rPr>
        <w:t xml:space="preserve"> </w:t>
      </w:r>
      <w:r w:rsidRPr="00E7620D">
        <w:rPr>
          <w:rFonts w:cs="Arial"/>
          <w:i/>
          <w:sz w:val="22"/>
          <w:lang w:val="en-US"/>
        </w:rPr>
        <w:t>Specialist</w:t>
      </w:r>
      <w:r w:rsidRPr="00E7620D">
        <w:rPr>
          <w:rFonts w:cs="Arial"/>
          <w:i/>
          <w:spacing w:val="-15"/>
          <w:sz w:val="22"/>
          <w:lang w:val="en-US"/>
        </w:rPr>
        <w:t xml:space="preserve"> </w:t>
      </w:r>
      <w:r w:rsidRPr="00E7620D">
        <w:rPr>
          <w:rFonts w:cs="Arial"/>
          <w:i/>
          <w:sz w:val="22"/>
          <w:lang w:val="en-US"/>
        </w:rPr>
        <w:t>(in</w:t>
      </w:r>
      <w:r w:rsidRPr="00E7620D">
        <w:rPr>
          <w:rFonts w:cs="Arial"/>
          <w:i/>
          <w:spacing w:val="-15"/>
          <w:sz w:val="22"/>
          <w:lang w:val="en-US"/>
        </w:rPr>
        <w:t xml:space="preserve"> </w:t>
      </w:r>
      <w:r w:rsidRPr="00E7620D">
        <w:rPr>
          <w:rFonts w:cs="Arial"/>
          <w:i/>
          <w:sz w:val="22"/>
          <w:lang w:val="en-US"/>
        </w:rPr>
        <w:t>the</w:t>
      </w:r>
      <w:r w:rsidRPr="00E7620D">
        <w:rPr>
          <w:rFonts w:cs="Arial"/>
          <w:i/>
          <w:spacing w:val="-16"/>
          <w:sz w:val="22"/>
          <w:lang w:val="en-US"/>
        </w:rPr>
        <w:t xml:space="preserve"> </w:t>
      </w:r>
      <w:r w:rsidRPr="00E7620D">
        <w:rPr>
          <w:rFonts w:cs="Arial"/>
          <w:i/>
          <w:sz w:val="22"/>
          <w:lang w:val="en-US"/>
        </w:rPr>
        <w:t>preparation</w:t>
      </w:r>
      <w:r w:rsidRPr="00E7620D">
        <w:rPr>
          <w:rFonts w:cs="Arial"/>
          <w:i/>
          <w:spacing w:val="-16"/>
          <w:sz w:val="22"/>
          <w:lang w:val="en-US"/>
        </w:rPr>
        <w:t xml:space="preserve"> </w:t>
      </w:r>
      <w:r w:rsidRPr="00E7620D">
        <w:rPr>
          <w:rFonts w:cs="Arial"/>
          <w:i/>
          <w:sz w:val="22"/>
          <w:lang w:val="en-US"/>
        </w:rPr>
        <w:t>and</w:t>
      </w:r>
      <w:r w:rsidRPr="00E7620D">
        <w:rPr>
          <w:rFonts w:cs="Arial"/>
          <w:i/>
          <w:spacing w:val="-15"/>
          <w:sz w:val="22"/>
          <w:lang w:val="en-US"/>
        </w:rPr>
        <w:t xml:space="preserve"> </w:t>
      </w:r>
      <w:r w:rsidRPr="00E7620D">
        <w:rPr>
          <w:rFonts w:cs="Arial"/>
          <w:i/>
          <w:sz w:val="22"/>
          <w:lang w:val="en-US"/>
        </w:rPr>
        <w:t xml:space="preserve">implementation phase): </w:t>
      </w:r>
      <w:r w:rsidRPr="00E7620D">
        <w:rPr>
          <w:rFonts w:cs="Arial"/>
          <w:sz w:val="22"/>
          <w:lang w:val="en-US"/>
        </w:rPr>
        <w:t>He/she participates in the internal monitoring of the implementation of environmental</w:t>
      </w:r>
      <w:r w:rsidRPr="00E7620D">
        <w:rPr>
          <w:rFonts w:cs="Arial"/>
          <w:spacing w:val="-11"/>
          <w:sz w:val="22"/>
          <w:lang w:val="en-US"/>
        </w:rPr>
        <w:t xml:space="preserve"> </w:t>
      </w:r>
      <w:r w:rsidRPr="00E7620D">
        <w:rPr>
          <w:rFonts w:cs="Arial"/>
          <w:sz w:val="22"/>
          <w:lang w:val="en-US"/>
        </w:rPr>
        <w:t>and</w:t>
      </w:r>
      <w:r w:rsidRPr="00E7620D">
        <w:rPr>
          <w:rFonts w:cs="Arial"/>
          <w:spacing w:val="-11"/>
          <w:sz w:val="22"/>
          <w:lang w:val="en-US"/>
        </w:rPr>
        <w:t xml:space="preserve"> </w:t>
      </w:r>
      <w:r w:rsidRPr="00E7620D">
        <w:rPr>
          <w:rFonts w:cs="Arial"/>
          <w:sz w:val="22"/>
          <w:lang w:val="en-US"/>
        </w:rPr>
        <w:t>social</w:t>
      </w:r>
      <w:r w:rsidRPr="00E7620D">
        <w:rPr>
          <w:rFonts w:cs="Arial"/>
          <w:spacing w:val="-10"/>
          <w:sz w:val="22"/>
          <w:lang w:val="en-US"/>
        </w:rPr>
        <w:t xml:space="preserve"> </w:t>
      </w:r>
      <w:r w:rsidRPr="00E7620D">
        <w:rPr>
          <w:rFonts w:cs="Arial"/>
          <w:sz w:val="22"/>
          <w:lang w:val="en-US"/>
        </w:rPr>
        <w:t>measures,</w:t>
      </w:r>
      <w:r w:rsidRPr="00E7620D">
        <w:rPr>
          <w:rFonts w:cs="Arial"/>
          <w:spacing w:val="-10"/>
          <w:sz w:val="22"/>
          <w:lang w:val="en-US"/>
        </w:rPr>
        <w:t xml:space="preserve"> </w:t>
      </w:r>
      <w:r w:rsidRPr="00E7620D">
        <w:rPr>
          <w:rFonts w:cs="Arial"/>
          <w:sz w:val="22"/>
          <w:lang w:val="en-US"/>
        </w:rPr>
        <w:t>including</w:t>
      </w:r>
      <w:r w:rsidRPr="00E7620D">
        <w:rPr>
          <w:rFonts w:cs="Arial"/>
          <w:spacing w:val="-9"/>
          <w:sz w:val="22"/>
          <w:lang w:val="en-US"/>
        </w:rPr>
        <w:t xml:space="preserve"> </w:t>
      </w:r>
      <w:r w:rsidRPr="00E7620D">
        <w:rPr>
          <w:rFonts w:cs="Arial"/>
          <w:sz w:val="22"/>
          <w:lang w:val="en-US"/>
        </w:rPr>
        <w:t>those</w:t>
      </w:r>
      <w:r w:rsidRPr="00E7620D">
        <w:rPr>
          <w:rFonts w:cs="Arial"/>
          <w:spacing w:val="-9"/>
          <w:sz w:val="22"/>
          <w:lang w:val="en-US"/>
        </w:rPr>
        <w:t xml:space="preserve"> </w:t>
      </w:r>
      <w:r w:rsidRPr="00E7620D">
        <w:rPr>
          <w:rFonts w:cs="Arial"/>
          <w:sz w:val="22"/>
          <w:lang w:val="en-US"/>
        </w:rPr>
        <w:t>of</w:t>
      </w:r>
      <w:r w:rsidRPr="00E7620D">
        <w:rPr>
          <w:rFonts w:cs="Arial"/>
          <w:spacing w:val="-10"/>
          <w:sz w:val="22"/>
          <w:lang w:val="en-US"/>
        </w:rPr>
        <w:t xml:space="preserve"> </w:t>
      </w:r>
      <w:r w:rsidRPr="00E7620D">
        <w:rPr>
          <w:rFonts w:cs="Arial"/>
          <w:sz w:val="22"/>
          <w:lang w:val="en-US"/>
        </w:rPr>
        <w:t>GBV,</w:t>
      </w:r>
      <w:r w:rsidRPr="00E7620D">
        <w:rPr>
          <w:rFonts w:cs="Arial"/>
          <w:spacing w:val="-9"/>
          <w:sz w:val="22"/>
          <w:lang w:val="en-US"/>
        </w:rPr>
        <w:t xml:space="preserve"> </w:t>
      </w:r>
      <w:r w:rsidRPr="00E7620D">
        <w:rPr>
          <w:rFonts w:cs="Arial"/>
          <w:sz w:val="22"/>
          <w:lang w:val="en-US"/>
        </w:rPr>
        <w:t>EAS,</w:t>
      </w:r>
      <w:r w:rsidRPr="00E7620D">
        <w:rPr>
          <w:rFonts w:cs="Arial"/>
          <w:spacing w:val="-10"/>
          <w:sz w:val="22"/>
          <w:lang w:val="en-US"/>
        </w:rPr>
        <w:t xml:space="preserve"> </w:t>
      </w:r>
      <w:r w:rsidRPr="00E7620D">
        <w:rPr>
          <w:rFonts w:cs="Arial"/>
          <w:sz w:val="22"/>
          <w:lang w:val="en-US"/>
        </w:rPr>
        <w:t>HS,</w:t>
      </w:r>
      <w:r w:rsidRPr="00E7620D">
        <w:rPr>
          <w:rFonts w:cs="Arial"/>
          <w:spacing w:val="-9"/>
          <w:sz w:val="22"/>
          <w:lang w:val="en-US"/>
        </w:rPr>
        <w:t xml:space="preserve"> </w:t>
      </w:r>
      <w:r w:rsidRPr="00E7620D">
        <w:rPr>
          <w:rFonts w:cs="Arial"/>
          <w:sz w:val="22"/>
          <w:lang w:val="en-US"/>
        </w:rPr>
        <w:t>and</w:t>
      </w:r>
      <w:r w:rsidRPr="00E7620D">
        <w:rPr>
          <w:rFonts w:cs="Arial"/>
          <w:spacing w:val="-11"/>
          <w:sz w:val="22"/>
          <w:lang w:val="en-US"/>
        </w:rPr>
        <w:t xml:space="preserve"> </w:t>
      </w:r>
      <w:r w:rsidRPr="00E7620D">
        <w:rPr>
          <w:rFonts w:cs="Arial"/>
          <w:sz w:val="22"/>
          <w:lang w:val="en-US"/>
        </w:rPr>
        <w:t>COVID-19, in the Environmental and Social Monitoring, as well as in the Audit of the implementation of environmental and social measures</w:t>
      </w:r>
      <w:r w:rsidRPr="00E7620D">
        <w:rPr>
          <w:rFonts w:cs="Arial"/>
          <w:spacing w:val="-8"/>
          <w:sz w:val="22"/>
          <w:lang w:val="en-US"/>
        </w:rPr>
        <w:t xml:space="preserve"> </w:t>
      </w:r>
      <w:r w:rsidRPr="00E7620D">
        <w:rPr>
          <w:rFonts w:cs="Arial"/>
          <w:sz w:val="22"/>
          <w:lang w:val="en-US"/>
        </w:rPr>
        <w:t>;</w:t>
      </w:r>
    </w:p>
    <w:p w14:paraId="16B9A4BC" w14:textId="77777777" w:rsidR="00A7078B" w:rsidRPr="00A7078B" w:rsidRDefault="00A7078B" w:rsidP="00A7078B">
      <w:pPr>
        <w:pStyle w:val="Paragraphedeliste"/>
        <w:rPr>
          <w:rFonts w:cs="Arial"/>
          <w:sz w:val="22"/>
          <w:lang w:val="en-US"/>
        </w:rPr>
      </w:pPr>
    </w:p>
    <w:p w14:paraId="6AF181DB" w14:textId="77777777" w:rsidR="001977A4" w:rsidRPr="00E7620D" w:rsidRDefault="001977A4" w:rsidP="002378EA">
      <w:pPr>
        <w:pStyle w:val="Paragraphedeliste"/>
        <w:widowControl w:val="0"/>
        <w:numPr>
          <w:ilvl w:val="0"/>
          <w:numId w:val="110"/>
        </w:numPr>
        <w:tabs>
          <w:tab w:val="left" w:pos="976"/>
          <w:tab w:val="left" w:pos="977"/>
        </w:tabs>
        <w:autoSpaceDE w:val="0"/>
        <w:autoSpaceDN w:val="0"/>
        <w:ind w:left="567" w:hanging="283"/>
        <w:contextualSpacing w:val="0"/>
        <w:rPr>
          <w:rFonts w:cs="Arial"/>
          <w:i/>
          <w:sz w:val="22"/>
          <w:lang w:val="en-US"/>
        </w:rPr>
      </w:pPr>
      <w:r w:rsidRPr="00E7620D">
        <w:rPr>
          <w:rFonts w:cs="Arial"/>
          <w:i/>
          <w:sz w:val="22"/>
          <w:lang w:val="en-US"/>
        </w:rPr>
        <w:t>The Provincial Ministries in charge of Environment and</w:t>
      </w:r>
      <w:r w:rsidRPr="00E7620D">
        <w:rPr>
          <w:rFonts w:cs="Arial"/>
          <w:i/>
          <w:spacing w:val="-5"/>
          <w:sz w:val="22"/>
          <w:lang w:val="en-US"/>
        </w:rPr>
        <w:t xml:space="preserve"> </w:t>
      </w:r>
      <w:r w:rsidRPr="00E7620D">
        <w:rPr>
          <w:rFonts w:cs="Arial"/>
          <w:i/>
          <w:sz w:val="22"/>
          <w:lang w:val="en-US"/>
        </w:rPr>
        <w:t>Gender</w:t>
      </w:r>
    </w:p>
    <w:p w14:paraId="4E0FAC4A" w14:textId="77777777" w:rsidR="001977A4" w:rsidRPr="00E7620D" w:rsidRDefault="001977A4" w:rsidP="00243BDC">
      <w:pPr>
        <w:pStyle w:val="Corpsdetexte"/>
        <w:spacing w:line="276" w:lineRule="auto"/>
        <w:ind w:left="567" w:hanging="283"/>
        <w:rPr>
          <w:rFonts w:cs="Arial"/>
          <w:i/>
          <w:sz w:val="22"/>
          <w:szCs w:val="22"/>
          <w:lang w:val="en-US"/>
        </w:rPr>
      </w:pPr>
    </w:p>
    <w:p w14:paraId="4A5164EE" w14:textId="77777777" w:rsidR="001977A4" w:rsidRPr="00E7620D" w:rsidRDefault="001977A4" w:rsidP="00540C2E">
      <w:pPr>
        <w:pStyle w:val="Corpsdetexte"/>
        <w:spacing w:line="276" w:lineRule="auto"/>
        <w:ind w:left="567"/>
        <w:rPr>
          <w:rFonts w:cs="Arial"/>
          <w:sz w:val="22"/>
          <w:szCs w:val="22"/>
          <w:lang w:val="en-US"/>
        </w:rPr>
      </w:pPr>
      <w:r w:rsidRPr="00E7620D">
        <w:rPr>
          <w:rFonts w:cs="Arial"/>
          <w:sz w:val="22"/>
          <w:szCs w:val="22"/>
          <w:lang w:val="en-US"/>
        </w:rPr>
        <w:t xml:space="preserve">They instruct the Provincial Environmental Coordinations of Kwilu, Kongo Central, Kasaï, Kasaï Central and North Kivu in the follow-up of the Project's activities </w:t>
      </w:r>
    </w:p>
    <w:p w14:paraId="2F99D455" w14:textId="77777777" w:rsidR="001977A4" w:rsidRPr="00E7620D" w:rsidRDefault="001977A4" w:rsidP="00243BDC">
      <w:pPr>
        <w:pStyle w:val="Corpsdetexte"/>
        <w:spacing w:line="276" w:lineRule="auto"/>
        <w:ind w:left="567" w:hanging="283"/>
        <w:rPr>
          <w:rFonts w:cs="Arial"/>
          <w:sz w:val="22"/>
          <w:szCs w:val="22"/>
          <w:lang w:val="en-US"/>
        </w:rPr>
      </w:pPr>
    </w:p>
    <w:p w14:paraId="3B737A80" w14:textId="77777777" w:rsidR="001977A4" w:rsidRPr="008839E0" w:rsidRDefault="001977A4" w:rsidP="002378EA">
      <w:pPr>
        <w:pStyle w:val="Paragraphedeliste"/>
        <w:widowControl w:val="0"/>
        <w:numPr>
          <w:ilvl w:val="0"/>
          <w:numId w:val="110"/>
        </w:numPr>
        <w:tabs>
          <w:tab w:val="left" w:pos="976"/>
          <w:tab w:val="left" w:pos="977"/>
        </w:tabs>
        <w:autoSpaceDE w:val="0"/>
        <w:autoSpaceDN w:val="0"/>
        <w:ind w:left="567" w:hanging="283"/>
        <w:contextualSpacing w:val="0"/>
        <w:rPr>
          <w:rFonts w:cs="Arial"/>
          <w:i/>
          <w:sz w:val="22"/>
        </w:rPr>
      </w:pPr>
      <w:r w:rsidRPr="008839E0">
        <w:rPr>
          <w:rFonts w:cs="Arial"/>
          <w:i/>
          <w:sz w:val="22"/>
        </w:rPr>
        <w:t>The Congolese Environment</w:t>
      </w:r>
      <w:r w:rsidRPr="008839E0">
        <w:rPr>
          <w:rFonts w:cs="Arial"/>
          <w:i/>
          <w:spacing w:val="-2"/>
          <w:sz w:val="22"/>
        </w:rPr>
        <w:t xml:space="preserve"> </w:t>
      </w:r>
      <w:r w:rsidRPr="008839E0">
        <w:rPr>
          <w:rFonts w:cs="Arial"/>
          <w:i/>
          <w:sz w:val="22"/>
        </w:rPr>
        <w:t>Agency</w:t>
      </w:r>
    </w:p>
    <w:p w14:paraId="582F4E20" w14:textId="77777777" w:rsidR="001977A4" w:rsidRPr="008839E0" w:rsidRDefault="001977A4" w:rsidP="00243BDC">
      <w:pPr>
        <w:pStyle w:val="Corpsdetexte"/>
        <w:spacing w:line="276" w:lineRule="auto"/>
        <w:ind w:left="567" w:hanging="283"/>
        <w:rPr>
          <w:rFonts w:cs="Arial"/>
          <w:i/>
          <w:sz w:val="22"/>
          <w:szCs w:val="22"/>
        </w:rPr>
      </w:pPr>
    </w:p>
    <w:p w14:paraId="29D5025C" w14:textId="77777777" w:rsidR="001977A4" w:rsidRPr="00540C2E" w:rsidRDefault="00243BDC" w:rsidP="00540C2E">
      <w:pPr>
        <w:pStyle w:val="Corpsdetexte"/>
        <w:spacing w:line="276" w:lineRule="auto"/>
        <w:ind w:left="567"/>
        <w:rPr>
          <w:rFonts w:cs="Arial"/>
          <w:sz w:val="22"/>
          <w:szCs w:val="22"/>
          <w:lang w:val="en-US"/>
        </w:rPr>
      </w:pPr>
      <w:r w:rsidRPr="00540C2E">
        <w:rPr>
          <w:rFonts w:cs="Arial"/>
          <w:sz w:val="22"/>
          <w:szCs w:val="22"/>
          <w:lang w:val="en-US"/>
        </w:rPr>
        <w:t>A</w:t>
      </w:r>
      <w:r w:rsidR="001977A4" w:rsidRPr="00E7620D">
        <w:rPr>
          <w:rFonts w:cs="Arial"/>
          <w:sz w:val="22"/>
          <w:szCs w:val="22"/>
          <w:lang w:val="en-US"/>
        </w:rPr>
        <w:t xml:space="preserve">CE will review and approve the environmental classification of sub-projects and the approval of ESIAs and ESMPs. </w:t>
      </w:r>
      <w:r>
        <w:rPr>
          <w:rFonts w:cs="Arial"/>
          <w:sz w:val="22"/>
          <w:szCs w:val="22"/>
          <w:lang w:val="en-US"/>
        </w:rPr>
        <w:t>A</w:t>
      </w:r>
      <w:r w:rsidR="001977A4" w:rsidRPr="00540C2E">
        <w:rPr>
          <w:rFonts w:cs="Arial"/>
          <w:sz w:val="22"/>
          <w:szCs w:val="22"/>
          <w:lang w:val="en-US"/>
        </w:rPr>
        <w:t>CE will also participate in external monitoring.</w:t>
      </w:r>
    </w:p>
    <w:p w14:paraId="6BC84A01" w14:textId="77777777" w:rsidR="001977A4" w:rsidRPr="00540C2E" w:rsidRDefault="001977A4" w:rsidP="00243BDC">
      <w:pPr>
        <w:pStyle w:val="Corpsdetexte"/>
        <w:spacing w:line="276" w:lineRule="auto"/>
        <w:ind w:left="567" w:hanging="283"/>
        <w:rPr>
          <w:rFonts w:cs="Arial"/>
          <w:sz w:val="22"/>
          <w:szCs w:val="22"/>
          <w:lang w:val="en-US"/>
        </w:rPr>
      </w:pPr>
    </w:p>
    <w:p w14:paraId="7DCBE63F" w14:textId="77777777" w:rsidR="003C7971" w:rsidRPr="003C7971" w:rsidRDefault="003C7971" w:rsidP="002378EA">
      <w:pPr>
        <w:pStyle w:val="Paragraphedeliste"/>
        <w:widowControl w:val="0"/>
        <w:numPr>
          <w:ilvl w:val="0"/>
          <w:numId w:val="110"/>
        </w:numPr>
        <w:tabs>
          <w:tab w:val="left" w:pos="976"/>
          <w:tab w:val="left" w:pos="977"/>
        </w:tabs>
        <w:autoSpaceDE w:val="0"/>
        <w:autoSpaceDN w:val="0"/>
        <w:rPr>
          <w:rFonts w:cs="Arial"/>
          <w:i/>
          <w:sz w:val="22"/>
        </w:rPr>
      </w:pPr>
      <w:r w:rsidRPr="003C7971">
        <w:rPr>
          <w:rFonts w:cs="Arial"/>
          <w:i/>
          <w:sz w:val="22"/>
        </w:rPr>
        <w:t xml:space="preserve">Ministry of Health </w:t>
      </w:r>
    </w:p>
    <w:p w14:paraId="124CEFA8" w14:textId="77777777" w:rsidR="003C7971" w:rsidRPr="003C7971" w:rsidRDefault="003C7971" w:rsidP="003C7971">
      <w:pPr>
        <w:pStyle w:val="Paragraphedeliste"/>
        <w:widowControl w:val="0"/>
        <w:tabs>
          <w:tab w:val="left" w:pos="976"/>
          <w:tab w:val="left" w:pos="977"/>
        </w:tabs>
        <w:autoSpaceDE w:val="0"/>
        <w:autoSpaceDN w:val="0"/>
        <w:ind w:left="976"/>
        <w:rPr>
          <w:rFonts w:cs="Arial"/>
          <w:i/>
          <w:sz w:val="22"/>
        </w:rPr>
      </w:pPr>
    </w:p>
    <w:p w14:paraId="2C92C1BF" w14:textId="77777777" w:rsidR="003C7971" w:rsidRPr="003C7971" w:rsidRDefault="003C7971" w:rsidP="003C7971">
      <w:pPr>
        <w:pStyle w:val="Corpsdetexte"/>
        <w:spacing w:line="276" w:lineRule="auto"/>
        <w:ind w:left="567"/>
        <w:rPr>
          <w:rFonts w:cs="Arial"/>
          <w:sz w:val="22"/>
          <w:szCs w:val="22"/>
          <w:lang w:val="en-US"/>
        </w:rPr>
      </w:pPr>
      <w:r w:rsidRPr="003C7971">
        <w:rPr>
          <w:rFonts w:cs="Arial"/>
          <w:sz w:val="22"/>
          <w:szCs w:val="22"/>
          <w:lang w:val="en-US"/>
        </w:rPr>
        <w:t>The Ministry of Health's action in the NADP consists of implementing an awareness program to fight malaria, HIV/AIDS, STIs and the different prevention methods, the medical management of GBV cases as well as the fight against the HIV-19 pandemic.</w:t>
      </w:r>
    </w:p>
    <w:p w14:paraId="151F7B54" w14:textId="77777777" w:rsidR="003C7971" w:rsidRPr="003C7971" w:rsidRDefault="003C7971" w:rsidP="003C7971">
      <w:pPr>
        <w:pStyle w:val="Paragraphedeliste"/>
        <w:widowControl w:val="0"/>
        <w:tabs>
          <w:tab w:val="left" w:pos="976"/>
          <w:tab w:val="left" w:pos="977"/>
        </w:tabs>
        <w:autoSpaceDE w:val="0"/>
        <w:autoSpaceDN w:val="0"/>
        <w:ind w:left="976"/>
        <w:rPr>
          <w:rFonts w:cs="Arial"/>
          <w:i/>
          <w:sz w:val="22"/>
          <w:lang w:val="en-US"/>
        </w:rPr>
      </w:pPr>
    </w:p>
    <w:p w14:paraId="73CB0F2B" w14:textId="77777777" w:rsidR="003C7971" w:rsidRPr="003C7971" w:rsidRDefault="003C7971" w:rsidP="002378EA">
      <w:pPr>
        <w:pStyle w:val="Paragraphedeliste"/>
        <w:widowControl w:val="0"/>
        <w:numPr>
          <w:ilvl w:val="0"/>
          <w:numId w:val="110"/>
        </w:numPr>
        <w:tabs>
          <w:tab w:val="left" w:pos="976"/>
          <w:tab w:val="left" w:pos="977"/>
        </w:tabs>
        <w:autoSpaceDE w:val="0"/>
        <w:autoSpaceDN w:val="0"/>
        <w:rPr>
          <w:rFonts w:cs="Arial"/>
          <w:i/>
          <w:sz w:val="22"/>
        </w:rPr>
      </w:pPr>
      <w:r w:rsidRPr="003C7971">
        <w:rPr>
          <w:rFonts w:cs="Arial"/>
          <w:i/>
          <w:sz w:val="22"/>
        </w:rPr>
        <w:t>Financial intermediary institution</w:t>
      </w:r>
    </w:p>
    <w:p w14:paraId="5011D3AA" w14:textId="77777777" w:rsidR="003C7971" w:rsidRPr="003C7971" w:rsidRDefault="003C7971" w:rsidP="003C7971">
      <w:pPr>
        <w:pStyle w:val="Paragraphedeliste"/>
        <w:widowControl w:val="0"/>
        <w:tabs>
          <w:tab w:val="left" w:pos="976"/>
          <w:tab w:val="left" w:pos="977"/>
        </w:tabs>
        <w:autoSpaceDE w:val="0"/>
        <w:autoSpaceDN w:val="0"/>
        <w:ind w:left="976"/>
        <w:rPr>
          <w:rFonts w:cs="Arial"/>
          <w:i/>
          <w:sz w:val="22"/>
        </w:rPr>
      </w:pPr>
    </w:p>
    <w:p w14:paraId="56F20217" w14:textId="77777777" w:rsidR="003C7971" w:rsidRPr="0018702B" w:rsidRDefault="003C7971" w:rsidP="003C7971">
      <w:pPr>
        <w:pStyle w:val="Corpsdetexte"/>
        <w:spacing w:line="276" w:lineRule="auto"/>
        <w:ind w:left="567"/>
        <w:rPr>
          <w:rFonts w:cs="Arial"/>
          <w:sz w:val="22"/>
          <w:szCs w:val="22"/>
        </w:rPr>
      </w:pPr>
      <w:r w:rsidRPr="003C7971">
        <w:rPr>
          <w:rFonts w:cs="Arial"/>
          <w:sz w:val="22"/>
          <w:szCs w:val="22"/>
          <w:lang w:val="en-US"/>
        </w:rPr>
        <w:t xml:space="preserve">Some intermediary financial institutions (FIs - banks, microfinance institutions, savings and credit cooperatives) working in the provinces concerned by the program will be involved during the implementation of the program. </w:t>
      </w:r>
      <w:r w:rsidRPr="0018702B">
        <w:rPr>
          <w:rFonts w:cs="Arial"/>
          <w:sz w:val="22"/>
          <w:szCs w:val="22"/>
        </w:rPr>
        <w:t>These include BCC, Equity Bank BCDC, RawBank Sarl, Coopérative Centrale du Nord Kivu (COOCENKI), Coopérative des Concessionnaires du Nord-Kivu (CCNK), Coopérative des Cultivateurs de Kibirizi, (COOCUKI), Coopérative des Producteurs Agricoles pour le Développement de Rutshuru (COOPADERU), etc.</w:t>
      </w:r>
    </w:p>
    <w:p w14:paraId="1D470453" w14:textId="77777777" w:rsidR="003C7971" w:rsidRPr="003C7971" w:rsidRDefault="003C7971" w:rsidP="003C7971">
      <w:pPr>
        <w:pStyle w:val="Paragraphedeliste"/>
        <w:widowControl w:val="0"/>
        <w:tabs>
          <w:tab w:val="left" w:pos="976"/>
          <w:tab w:val="left" w:pos="977"/>
        </w:tabs>
        <w:autoSpaceDE w:val="0"/>
        <w:autoSpaceDN w:val="0"/>
        <w:ind w:left="976"/>
        <w:rPr>
          <w:rFonts w:cs="Arial"/>
          <w:i/>
          <w:sz w:val="22"/>
        </w:rPr>
      </w:pPr>
    </w:p>
    <w:p w14:paraId="487DA112" w14:textId="77777777" w:rsidR="001977A4" w:rsidRPr="003C7971" w:rsidRDefault="001977A4" w:rsidP="002378EA">
      <w:pPr>
        <w:pStyle w:val="Paragraphedeliste"/>
        <w:widowControl w:val="0"/>
        <w:numPr>
          <w:ilvl w:val="0"/>
          <w:numId w:val="110"/>
        </w:numPr>
        <w:tabs>
          <w:tab w:val="left" w:pos="976"/>
          <w:tab w:val="left" w:pos="977"/>
        </w:tabs>
        <w:autoSpaceDE w:val="0"/>
        <w:autoSpaceDN w:val="0"/>
        <w:contextualSpacing w:val="0"/>
        <w:rPr>
          <w:rFonts w:cs="Arial"/>
          <w:i/>
          <w:sz w:val="22"/>
          <w:lang w:val="en-US"/>
        </w:rPr>
      </w:pPr>
      <w:r w:rsidRPr="003C7971">
        <w:rPr>
          <w:rFonts w:cs="Arial"/>
          <w:i/>
          <w:sz w:val="22"/>
          <w:lang w:val="en-US"/>
        </w:rPr>
        <w:t>The Provincial Environmental Coordinations of Kwilu, Kasai, Kasai Central</w:t>
      </w:r>
    </w:p>
    <w:p w14:paraId="1698FCDE" w14:textId="77777777" w:rsidR="001977A4" w:rsidRPr="003C7971" w:rsidRDefault="001977A4" w:rsidP="00243BDC">
      <w:pPr>
        <w:pStyle w:val="Corpsdetexte"/>
        <w:spacing w:line="276" w:lineRule="auto"/>
        <w:ind w:left="567" w:hanging="283"/>
        <w:rPr>
          <w:rFonts w:cs="Arial"/>
          <w:i/>
          <w:sz w:val="22"/>
          <w:szCs w:val="22"/>
          <w:lang w:val="en-US"/>
        </w:rPr>
      </w:pPr>
    </w:p>
    <w:p w14:paraId="06299583" w14:textId="77777777" w:rsidR="001977A4" w:rsidRPr="00E7620D" w:rsidRDefault="001977A4" w:rsidP="00540C2E">
      <w:pPr>
        <w:pStyle w:val="Corpsdetexte"/>
        <w:spacing w:line="276" w:lineRule="auto"/>
        <w:ind w:left="567"/>
        <w:rPr>
          <w:rFonts w:cs="Arial"/>
          <w:sz w:val="22"/>
          <w:szCs w:val="22"/>
          <w:lang w:val="en-US"/>
        </w:rPr>
      </w:pPr>
      <w:r w:rsidRPr="00E7620D">
        <w:rPr>
          <w:rFonts w:cs="Arial"/>
          <w:sz w:val="22"/>
          <w:szCs w:val="22"/>
          <w:lang w:val="en-US"/>
        </w:rPr>
        <w:t xml:space="preserve">In the absence of CEA's Provincial Directorates, these three Provincial Environmental Coordinations will participate in monitoring the implementation of the environmental and social measures of the </w:t>
      </w:r>
      <w:r w:rsidR="00540C2E">
        <w:rPr>
          <w:rFonts w:cs="Arial"/>
          <w:sz w:val="22"/>
          <w:szCs w:val="22"/>
          <w:lang w:val="en-US"/>
        </w:rPr>
        <w:t>PNDA</w:t>
      </w:r>
      <w:r w:rsidRPr="00E7620D">
        <w:rPr>
          <w:rFonts w:cs="Arial"/>
          <w:sz w:val="22"/>
          <w:szCs w:val="22"/>
          <w:lang w:val="en-US"/>
        </w:rPr>
        <w:t>. In addition, the PEC of each Province and its dependencies (sub-units) are concerned and will be involved in all activities related to the screening and external monitoring of the implementation of the GEMPs.</w:t>
      </w:r>
    </w:p>
    <w:p w14:paraId="0459734C" w14:textId="77777777" w:rsidR="001977A4" w:rsidRPr="00E7620D" w:rsidRDefault="001977A4" w:rsidP="00243BDC">
      <w:pPr>
        <w:pStyle w:val="Corpsdetexte"/>
        <w:spacing w:line="276" w:lineRule="auto"/>
        <w:ind w:left="567" w:hanging="283"/>
        <w:rPr>
          <w:rFonts w:cs="Arial"/>
          <w:sz w:val="22"/>
          <w:szCs w:val="22"/>
          <w:lang w:val="en-US"/>
        </w:rPr>
      </w:pPr>
    </w:p>
    <w:p w14:paraId="76A8E0A1" w14:textId="77777777" w:rsidR="001977A4" w:rsidRPr="008839E0" w:rsidRDefault="001977A4" w:rsidP="002378EA">
      <w:pPr>
        <w:pStyle w:val="Paragraphedeliste"/>
        <w:widowControl w:val="0"/>
        <w:numPr>
          <w:ilvl w:val="0"/>
          <w:numId w:val="110"/>
        </w:numPr>
        <w:tabs>
          <w:tab w:val="left" w:pos="976"/>
          <w:tab w:val="left" w:pos="977"/>
        </w:tabs>
        <w:autoSpaceDE w:val="0"/>
        <w:autoSpaceDN w:val="0"/>
        <w:ind w:left="567" w:hanging="283"/>
        <w:contextualSpacing w:val="0"/>
        <w:rPr>
          <w:rFonts w:cs="Arial"/>
          <w:i/>
          <w:sz w:val="22"/>
        </w:rPr>
      </w:pPr>
      <w:r w:rsidRPr="008839E0">
        <w:rPr>
          <w:rFonts w:cs="Arial"/>
          <w:i/>
          <w:sz w:val="22"/>
        </w:rPr>
        <w:t>Contracting</w:t>
      </w:r>
      <w:r w:rsidRPr="008839E0">
        <w:rPr>
          <w:rFonts w:cs="Arial"/>
          <w:i/>
          <w:spacing w:val="-1"/>
          <w:sz w:val="22"/>
        </w:rPr>
        <w:t xml:space="preserve"> </w:t>
      </w:r>
      <w:r w:rsidRPr="008839E0">
        <w:rPr>
          <w:rFonts w:cs="Arial"/>
          <w:i/>
          <w:sz w:val="22"/>
        </w:rPr>
        <w:t>Companies</w:t>
      </w:r>
    </w:p>
    <w:p w14:paraId="47BE7F44" w14:textId="77777777" w:rsidR="001977A4" w:rsidRPr="008839E0" w:rsidRDefault="001977A4" w:rsidP="00243BDC">
      <w:pPr>
        <w:pStyle w:val="Corpsdetexte"/>
        <w:spacing w:line="276" w:lineRule="auto"/>
        <w:ind w:left="567" w:hanging="283"/>
        <w:rPr>
          <w:rFonts w:cs="Arial"/>
          <w:i/>
          <w:sz w:val="22"/>
          <w:szCs w:val="22"/>
        </w:rPr>
      </w:pPr>
    </w:p>
    <w:p w14:paraId="72253A6D" w14:textId="77777777" w:rsidR="001977A4" w:rsidRPr="00E7620D" w:rsidRDefault="001977A4" w:rsidP="00540C2E">
      <w:pPr>
        <w:pStyle w:val="Corpsdetexte"/>
        <w:spacing w:line="276" w:lineRule="auto"/>
        <w:ind w:left="567"/>
        <w:rPr>
          <w:rFonts w:cs="Arial"/>
          <w:sz w:val="22"/>
          <w:szCs w:val="22"/>
          <w:lang w:val="en-US"/>
        </w:rPr>
      </w:pPr>
      <w:r w:rsidRPr="00E7620D">
        <w:rPr>
          <w:rFonts w:cs="Arial"/>
          <w:sz w:val="22"/>
          <w:szCs w:val="22"/>
          <w:lang w:val="en-US"/>
        </w:rPr>
        <w:t>They must carry out environmental and social measures and comply with the environmental and social guidelines and other requirements contained in works contracts and CADs.</w:t>
      </w:r>
    </w:p>
    <w:p w14:paraId="193F68ED" w14:textId="77777777" w:rsidR="001977A4" w:rsidRPr="00E7620D" w:rsidRDefault="001977A4" w:rsidP="00243BDC">
      <w:pPr>
        <w:pStyle w:val="Corpsdetexte"/>
        <w:spacing w:line="276" w:lineRule="auto"/>
        <w:ind w:left="567" w:hanging="283"/>
        <w:rPr>
          <w:rFonts w:cs="Arial"/>
          <w:sz w:val="22"/>
          <w:szCs w:val="22"/>
          <w:lang w:val="en-US"/>
        </w:rPr>
      </w:pPr>
    </w:p>
    <w:p w14:paraId="30A9135B" w14:textId="77777777" w:rsidR="001977A4" w:rsidRPr="008839E0" w:rsidRDefault="001977A4" w:rsidP="002378EA">
      <w:pPr>
        <w:pStyle w:val="Paragraphedeliste"/>
        <w:widowControl w:val="0"/>
        <w:numPr>
          <w:ilvl w:val="0"/>
          <w:numId w:val="110"/>
        </w:numPr>
        <w:tabs>
          <w:tab w:val="left" w:pos="976"/>
          <w:tab w:val="left" w:pos="977"/>
        </w:tabs>
        <w:autoSpaceDE w:val="0"/>
        <w:autoSpaceDN w:val="0"/>
        <w:ind w:left="567" w:hanging="283"/>
        <w:contextualSpacing w:val="0"/>
        <w:rPr>
          <w:rFonts w:cs="Arial"/>
          <w:i/>
          <w:sz w:val="22"/>
        </w:rPr>
      </w:pPr>
      <w:r w:rsidRPr="008839E0">
        <w:rPr>
          <w:rFonts w:cs="Arial"/>
          <w:i/>
          <w:sz w:val="22"/>
        </w:rPr>
        <w:lastRenderedPageBreak/>
        <w:t>Local Implementing Agencies</w:t>
      </w:r>
    </w:p>
    <w:p w14:paraId="615859EE" w14:textId="77777777" w:rsidR="001977A4" w:rsidRPr="008839E0" w:rsidRDefault="001977A4" w:rsidP="00243BDC">
      <w:pPr>
        <w:pStyle w:val="Corpsdetexte"/>
        <w:spacing w:line="276" w:lineRule="auto"/>
        <w:ind w:left="567" w:hanging="283"/>
        <w:rPr>
          <w:rFonts w:cs="Arial"/>
          <w:i/>
          <w:sz w:val="22"/>
          <w:szCs w:val="22"/>
        </w:rPr>
      </w:pPr>
    </w:p>
    <w:p w14:paraId="157EF16E" w14:textId="77777777" w:rsidR="001977A4" w:rsidRPr="00E7620D" w:rsidRDefault="001977A4" w:rsidP="00540C2E">
      <w:pPr>
        <w:pStyle w:val="Corpsdetexte"/>
        <w:spacing w:line="276" w:lineRule="auto"/>
        <w:ind w:left="567"/>
        <w:rPr>
          <w:rFonts w:cs="Arial"/>
          <w:sz w:val="22"/>
          <w:szCs w:val="22"/>
          <w:lang w:val="en-US"/>
        </w:rPr>
      </w:pPr>
      <w:r w:rsidRPr="00E7620D">
        <w:rPr>
          <w:rFonts w:cs="Arial"/>
          <w:sz w:val="22"/>
          <w:szCs w:val="22"/>
          <w:lang w:val="en-US"/>
        </w:rPr>
        <w:t>Like companies, Local Execution Agencies (LEAs) must carry out environmental and social measures and comply with the directives and other environmental and social requirements contained in works contracts and CADs.</w:t>
      </w:r>
    </w:p>
    <w:p w14:paraId="4200C700" w14:textId="77777777" w:rsidR="001977A4" w:rsidRPr="00E7620D" w:rsidRDefault="001977A4" w:rsidP="00243BDC">
      <w:pPr>
        <w:pStyle w:val="Corpsdetexte"/>
        <w:spacing w:line="276" w:lineRule="auto"/>
        <w:ind w:left="567" w:hanging="283"/>
        <w:rPr>
          <w:rFonts w:cs="Arial"/>
          <w:sz w:val="22"/>
          <w:szCs w:val="22"/>
          <w:lang w:val="en-US"/>
        </w:rPr>
      </w:pPr>
    </w:p>
    <w:p w14:paraId="32DF3420" w14:textId="77777777" w:rsidR="001977A4" w:rsidRPr="008839E0" w:rsidRDefault="001977A4" w:rsidP="002378EA">
      <w:pPr>
        <w:pStyle w:val="Paragraphedeliste"/>
        <w:widowControl w:val="0"/>
        <w:numPr>
          <w:ilvl w:val="0"/>
          <w:numId w:val="110"/>
        </w:numPr>
        <w:tabs>
          <w:tab w:val="left" w:pos="976"/>
          <w:tab w:val="left" w:pos="977"/>
        </w:tabs>
        <w:autoSpaceDE w:val="0"/>
        <w:autoSpaceDN w:val="0"/>
        <w:ind w:left="567" w:hanging="283"/>
        <w:contextualSpacing w:val="0"/>
        <w:rPr>
          <w:rFonts w:cs="Arial"/>
          <w:i/>
          <w:sz w:val="22"/>
        </w:rPr>
      </w:pPr>
      <w:r w:rsidRPr="008839E0">
        <w:rPr>
          <w:rFonts w:cs="Arial"/>
          <w:i/>
          <w:sz w:val="22"/>
        </w:rPr>
        <w:t>Design and control</w:t>
      </w:r>
      <w:r w:rsidRPr="008839E0">
        <w:rPr>
          <w:rFonts w:cs="Arial"/>
          <w:i/>
          <w:spacing w:val="-2"/>
          <w:sz w:val="22"/>
        </w:rPr>
        <w:t xml:space="preserve"> </w:t>
      </w:r>
      <w:r w:rsidRPr="008839E0">
        <w:rPr>
          <w:rFonts w:cs="Arial"/>
          <w:i/>
          <w:sz w:val="22"/>
        </w:rPr>
        <w:t>offices</w:t>
      </w:r>
    </w:p>
    <w:p w14:paraId="37DF8365" w14:textId="77777777" w:rsidR="001977A4" w:rsidRPr="008839E0" w:rsidRDefault="001977A4" w:rsidP="00243BDC">
      <w:pPr>
        <w:pStyle w:val="Corpsdetexte"/>
        <w:spacing w:line="276" w:lineRule="auto"/>
        <w:ind w:left="567" w:hanging="283"/>
        <w:rPr>
          <w:rFonts w:cs="Arial"/>
          <w:sz w:val="22"/>
          <w:szCs w:val="22"/>
        </w:rPr>
      </w:pPr>
    </w:p>
    <w:p w14:paraId="14C09661" w14:textId="77777777" w:rsidR="001977A4" w:rsidRPr="00E7620D" w:rsidRDefault="001977A4" w:rsidP="00540C2E">
      <w:pPr>
        <w:pStyle w:val="Corpsdetexte"/>
        <w:spacing w:line="276" w:lineRule="auto"/>
        <w:ind w:left="567"/>
        <w:rPr>
          <w:rFonts w:cs="Arial"/>
          <w:sz w:val="22"/>
          <w:szCs w:val="22"/>
          <w:lang w:val="en-US"/>
        </w:rPr>
      </w:pPr>
      <w:r w:rsidRPr="00E7620D">
        <w:rPr>
          <w:rFonts w:cs="Arial"/>
          <w:sz w:val="22"/>
          <w:szCs w:val="22"/>
          <w:lang w:val="en-US"/>
        </w:rPr>
        <w:t>They must ensure control of the effectiveness and efficiency of the execution of environmental and social measures and compliance with directives and other environmental requirements contained in works contracts.</w:t>
      </w:r>
    </w:p>
    <w:p w14:paraId="3B55D52A" w14:textId="77777777" w:rsidR="001977A4" w:rsidRPr="00E7620D" w:rsidRDefault="001977A4" w:rsidP="00243BDC">
      <w:pPr>
        <w:pStyle w:val="Corpsdetexte"/>
        <w:spacing w:line="276" w:lineRule="auto"/>
        <w:ind w:left="567" w:hanging="283"/>
        <w:rPr>
          <w:rFonts w:cs="Arial"/>
          <w:sz w:val="22"/>
          <w:szCs w:val="22"/>
          <w:lang w:val="en-US"/>
        </w:rPr>
      </w:pPr>
    </w:p>
    <w:p w14:paraId="66DF8280" w14:textId="77777777" w:rsidR="001977A4" w:rsidRPr="00E7620D" w:rsidRDefault="001977A4" w:rsidP="002378EA">
      <w:pPr>
        <w:pStyle w:val="Paragraphedeliste"/>
        <w:widowControl w:val="0"/>
        <w:numPr>
          <w:ilvl w:val="0"/>
          <w:numId w:val="110"/>
        </w:numPr>
        <w:tabs>
          <w:tab w:val="left" w:pos="976"/>
          <w:tab w:val="left" w:pos="977"/>
        </w:tabs>
        <w:autoSpaceDE w:val="0"/>
        <w:autoSpaceDN w:val="0"/>
        <w:ind w:left="567" w:hanging="283"/>
        <w:contextualSpacing w:val="0"/>
        <w:rPr>
          <w:rFonts w:cs="Arial"/>
          <w:i/>
          <w:sz w:val="22"/>
          <w:lang w:val="en-US"/>
        </w:rPr>
      </w:pPr>
      <w:r w:rsidRPr="00E7620D">
        <w:rPr>
          <w:rFonts w:cs="Arial"/>
          <w:i/>
          <w:sz w:val="22"/>
          <w:lang w:val="en-US"/>
        </w:rPr>
        <w:t>Producer Groups or Associations / Producer</w:t>
      </w:r>
      <w:r w:rsidRPr="00E7620D">
        <w:rPr>
          <w:rFonts w:cs="Arial"/>
          <w:i/>
          <w:spacing w:val="-1"/>
          <w:sz w:val="22"/>
          <w:lang w:val="en-US"/>
        </w:rPr>
        <w:t xml:space="preserve"> </w:t>
      </w:r>
      <w:r w:rsidRPr="00E7620D">
        <w:rPr>
          <w:rFonts w:cs="Arial"/>
          <w:i/>
          <w:sz w:val="22"/>
          <w:lang w:val="en-US"/>
        </w:rPr>
        <w:t>Cooperatives</w:t>
      </w:r>
    </w:p>
    <w:p w14:paraId="279E44F7" w14:textId="77777777" w:rsidR="001977A4" w:rsidRPr="00E7620D" w:rsidRDefault="001977A4" w:rsidP="00243BDC">
      <w:pPr>
        <w:pStyle w:val="Corpsdetexte"/>
        <w:spacing w:line="276" w:lineRule="auto"/>
        <w:ind w:left="567" w:hanging="283"/>
        <w:rPr>
          <w:rFonts w:cs="Arial"/>
          <w:i/>
          <w:sz w:val="22"/>
          <w:szCs w:val="22"/>
          <w:lang w:val="en-US"/>
        </w:rPr>
      </w:pPr>
    </w:p>
    <w:p w14:paraId="7DC870BF" w14:textId="77777777" w:rsidR="001977A4" w:rsidRPr="00E7620D" w:rsidRDefault="001977A4" w:rsidP="002378EA">
      <w:pPr>
        <w:pStyle w:val="Paragraphedeliste"/>
        <w:widowControl w:val="0"/>
        <w:numPr>
          <w:ilvl w:val="0"/>
          <w:numId w:val="110"/>
        </w:numPr>
        <w:tabs>
          <w:tab w:val="left" w:pos="977"/>
        </w:tabs>
        <w:autoSpaceDE w:val="0"/>
        <w:autoSpaceDN w:val="0"/>
        <w:ind w:left="567" w:hanging="283"/>
        <w:contextualSpacing w:val="0"/>
        <w:rPr>
          <w:rFonts w:cs="Arial"/>
          <w:sz w:val="22"/>
          <w:lang w:val="en-US"/>
        </w:rPr>
      </w:pPr>
      <w:r w:rsidRPr="00E7620D">
        <w:rPr>
          <w:rFonts w:cs="Arial"/>
          <w:i/>
          <w:sz w:val="22"/>
          <w:lang w:val="en-US"/>
        </w:rPr>
        <w:t>NGOs</w:t>
      </w:r>
      <w:r w:rsidRPr="00E7620D">
        <w:rPr>
          <w:rFonts w:cs="Arial"/>
          <w:i/>
          <w:spacing w:val="-11"/>
          <w:sz w:val="22"/>
          <w:lang w:val="en-US"/>
        </w:rPr>
        <w:t xml:space="preserve"> </w:t>
      </w:r>
      <w:r w:rsidRPr="00E7620D">
        <w:rPr>
          <w:rFonts w:cs="Arial"/>
          <w:i/>
          <w:sz w:val="22"/>
          <w:lang w:val="en-US"/>
        </w:rPr>
        <w:t>and</w:t>
      </w:r>
      <w:r w:rsidRPr="00E7620D">
        <w:rPr>
          <w:rFonts w:cs="Arial"/>
          <w:i/>
          <w:spacing w:val="-10"/>
          <w:sz w:val="22"/>
          <w:lang w:val="en-US"/>
        </w:rPr>
        <w:t xml:space="preserve"> </w:t>
      </w:r>
      <w:r w:rsidRPr="00E7620D">
        <w:rPr>
          <w:rFonts w:cs="Arial"/>
          <w:i/>
          <w:sz w:val="22"/>
          <w:lang w:val="en-US"/>
        </w:rPr>
        <w:t>Civil</w:t>
      </w:r>
      <w:r w:rsidRPr="00E7620D">
        <w:rPr>
          <w:rFonts w:cs="Arial"/>
          <w:i/>
          <w:spacing w:val="-12"/>
          <w:sz w:val="22"/>
          <w:lang w:val="en-US"/>
        </w:rPr>
        <w:t xml:space="preserve"> </w:t>
      </w:r>
      <w:r w:rsidRPr="00E7620D">
        <w:rPr>
          <w:rFonts w:cs="Arial"/>
          <w:i/>
          <w:sz w:val="22"/>
          <w:lang w:val="en-US"/>
        </w:rPr>
        <w:t>Society:</w:t>
      </w:r>
      <w:r w:rsidRPr="00E7620D">
        <w:rPr>
          <w:rFonts w:cs="Arial"/>
          <w:i/>
          <w:spacing w:val="-9"/>
          <w:sz w:val="22"/>
          <w:lang w:val="en-US"/>
        </w:rPr>
        <w:t xml:space="preserve"> </w:t>
      </w:r>
      <w:r w:rsidRPr="00E7620D">
        <w:rPr>
          <w:rFonts w:cs="Arial"/>
          <w:sz w:val="22"/>
          <w:lang w:val="en-US"/>
        </w:rPr>
        <w:t>Local</w:t>
      </w:r>
      <w:r w:rsidRPr="00E7620D">
        <w:rPr>
          <w:rFonts w:cs="Arial"/>
          <w:spacing w:val="-12"/>
          <w:sz w:val="22"/>
          <w:lang w:val="en-US"/>
        </w:rPr>
        <w:t xml:space="preserve"> </w:t>
      </w:r>
      <w:r w:rsidRPr="00E7620D">
        <w:rPr>
          <w:rFonts w:cs="Arial"/>
          <w:sz w:val="22"/>
          <w:lang w:val="en-US"/>
        </w:rPr>
        <w:t>NGOs</w:t>
      </w:r>
      <w:r w:rsidRPr="00E7620D">
        <w:rPr>
          <w:rFonts w:cs="Arial"/>
          <w:spacing w:val="-12"/>
          <w:sz w:val="22"/>
          <w:lang w:val="en-US"/>
        </w:rPr>
        <w:t xml:space="preserve"> </w:t>
      </w:r>
      <w:r w:rsidRPr="00E7620D">
        <w:rPr>
          <w:rFonts w:cs="Arial"/>
          <w:sz w:val="22"/>
          <w:lang w:val="en-US"/>
        </w:rPr>
        <w:t>fighting</w:t>
      </w:r>
      <w:r w:rsidRPr="00E7620D">
        <w:rPr>
          <w:rFonts w:cs="Arial"/>
          <w:spacing w:val="-8"/>
          <w:sz w:val="22"/>
          <w:lang w:val="en-US"/>
        </w:rPr>
        <w:t xml:space="preserve"> </w:t>
      </w:r>
      <w:r w:rsidRPr="00E7620D">
        <w:rPr>
          <w:rFonts w:cs="Arial"/>
          <w:sz w:val="22"/>
          <w:lang w:val="en-US"/>
        </w:rPr>
        <w:t>against</w:t>
      </w:r>
      <w:r w:rsidRPr="00E7620D">
        <w:rPr>
          <w:rFonts w:cs="Arial"/>
          <w:spacing w:val="-10"/>
          <w:sz w:val="22"/>
          <w:lang w:val="en-US"/>
        </w:rPr>
        <w:t xml:space="preserve"> </w:t>
      </w:r>
      <w:r w:rsidRPr="00E7620D">
        <w:rPr>
          <w:rFonts w:cs="Arial"/>
          <w:sz w:val="22"/>
          <w:lang w:val="en-US"/>
        </w:rPr>
        <w:t>GBV,</w:t>
      </w:r>
      <w:r w:rsidRPr="00E7620D">
        <w:rPr>
          <w:rFonts w:cs="Arial"/>
          <w:spacing w:val="-6"/>
          <w:sz w:val="22"/>
          <w:lang w:val="en-US"/>
        </w:rPr>
        <w:t xml:space="preserve"> </w:t>
      </w:r>
      <w:r w:rsidRPr="00E7620D">
        <w:rPr>
          <w:rFonts w:cs="Arial"/>
          <w:sz w:val="22"/>
          <w:lang w:val="en-US"/>
        </w:rPr>
        <w:t>including</w:t>
      </w:r>
      <w:r w:rsidRPr="00E7620D">
        <w:rPr>
          <w:rFonts w:cs="Arial"/>
          <w:spacing w:val="-9"/>
          <w:sz w:val="22"/>
          <w:lang w:val="en-US"/>
        </w:rPr>
        <w:t xml:space="preserve"> </w:t>
      </w:r>
      <w:r w:rsidRPr="00E7620D">
        <w:rPr>
          <w:rFonts w:cs="Arial"/>
          <w:sz w:val="22"/>
          <w:lang w:val="en-US"/>
        </w:rPr>
        <w:t>EAS</w:t>
      </w:r>
      <w:r w:rsidRPr="00E7620D">
        <w:rPr>
          <w:rFonts w:cs="Arial"/>
          <w:spacing w:val="-13"/>
          <w:sz w:val="22"/>
          <w:lang w:val="en-US"/>
        </w:rPr>
        <w:t xml:space="preserve"> </w:t>
      </w:r>
      <w:r w:rsidRPr="00E7620D">
        <w:rPr>
          <w:rFonts w:cs="Arial"/>
          <w:sz w:val="22"/>
          <w:lang w:val="en-US"/>
        </w:rPr>
        <w:t>and</w:t>
      </w:r>
      <w:r w:rsidRPr="00E7620D">
        <w:rPr>
          <w:rFonts w:cs="Arial"/>
          <w:spacing w:val="-10"/>
          <w:sz w:val="22"/>
          <w:lang w:val="en-US"/>
        </w:rPr>
        <w:t xml:space="preserve"> </w:t>
      </w:r>
      <w:r w:rsidRPr="00E7620D">
        <w:rPr>
          <w:rFonts w:cs="Arial"/>
          <w:sz w:val="22"/>
          <w:lang w:val="en-US"/>
        </w:rPr>
        <w:t>HS,</w:t>
      </w:r>
      <w:r w:rsidRPr="00E7620D">
        <w:rPr>
          <w:rFonts w:cs="Arial"/>
          <w:spacing w:val="-10"/>
          <w:sz w:val="22"/>
          <w:lang w:val="en-US"/>
        </w:rPr>
        <w:t xml:space="preserve"> </w:t>
      </w:r>
      <w:r w:rsidRPr="00E7620D">
        <w:rPr>
          <w:rFonts w:cs="Arial"/>
          <w:sz w:val="22"/>
          <w:lang w:val="en-US"/>
        </w:rPr>
        <w:t>and against COVID-19, Farmers' Associations and other Civil Society environmental organizations will also be able to participate in informing, educating and raising awareness among the population on environmental and social aspects, as well as those</w:t>
      </w:r>
      <w:r w:rsidRPr="00E7620D">
        <w:rPr>
          <w:rFonts w:cs="Arial"/>
          <w:spacing w:val="-6"/>
          <w:sz w:val="22"/>
          <w:lang w:val="en-US"/>
        </w:rPr>
        <w:t xml:space="preserve"> </w:t>
      </w:r>
      <w:r w:rsidRPr="00E7620D">
        <w:rPr>
          <w:rFonts w:cs="Arial"/>
          <w:sz w:val="22"/>
          <w:lang w:val="en-US"/>
        </w:rPr>
        <w:t>related</w:t>
      </w:r>
      <w:r w:rsidRPr="00E7620D">
        <w:rPr>
          <w:rFonts w:cs="Arial"/>
          <w:spacing w:val="-5"/>
          <w:sz w:val="22"/>
          <w:lang w:val="en-US"/>
        </w:rPr>
        <w:t xml:space="preserve"> </w:t>
      </w:r>
      <w:r w:rsidRPr="00E7620D">
        <w:rPr>
          <w:rFonts w:cs="Arial"/>
          <w:sz w:val="22"/>
          <w:lang w:val="en-US"/>
        </w:rPr>
        <w:t>to</w:t>
      </w:r>
      <w:r w:rsidRPr="00E7620D">
        <w:rPr>
          <w:rFonts w:cs="Arial"/>
          <w:spacing w:val="-8"/>
          <w:sz w:val="22"/>
          <w:lang w:val="en-US"/>
        </w:rPr>
        <w:t xml:space="preserve"> </w:t>
      </w:r>
      <w:r w:rsidRPr="00E7620D">
        <w:rPr>
          <w:rFonts w:cs="Arial"/>
          <w:sz w:val="22"/>
          <w:lang w:val="en-US"/>
        </w:rPr>
        <w:t>GBV</w:t>
      </w:r>
      <w:r w:rsidRPr="00E7620D">
        <w:rPr>
          <w:rFonts w:cs="Arial"/>
          <w:spacing w:val="-3"/>
          <w:sz w:val="22"/>
          <w:lang w:val="en-US"/>
        </w:rPr>
        <w:t xml:space="preserve"> </w:t>
      </w:r>
      <w:r w:rsidRPr="00E7620D">
        <w:rPr>
          <w:rFonts w:cs="Arial"/>
          <w:sz w:val="22"/>
          <w:lang w:val="en-US"/>
        </w:rPr>
        <w:t>and</w:t>
      </w:r>
      <w:r w:rsidRPr="00E7620D">
        <w:rPr>
          <w:rFonts w:cs="Arial"/>
          <w:spacing w:val="-3"/>
          <w:sz w:val="22"/>
          <w:lang w:val="en-US"/>
        </w:rPr>
        <w:t xml:space="preserve"> </w:t>
      </w:r>
      <w:r w:rsidRPr="00E7620D">
        <w:rPr>
          <w:rFonts w:cs="Arial"/>
          <w:sz w:val="22"/>
          <w:lang w:val="en-US"/>
        </w:rPr>
        <w:t>COVID-19</w:t>
      </w:r>
      <w:r w:rsidRPr="00E7620D">
        <w:rPr>
          <w:rFonts w:cs="Arial"/>
          <w:spacing w:val="-6"/>
          <w:sz w:val="22"/>
          <w:lang w:val="en-US"/>
        </w:rPr>
        <w:t xml:space="preserve"> </w:t>
      </w:r>
      <w:r w:rsidRPr="00E7620D">
        <w:rPr>
          <w:rFonts w:cs="Arial"/>
          <w:sz w:val="22"/>
          <w:lang w:val="en-US"/>
        </w:rPr>
        <w:t>during</w:t>
      </w:r>
      <w:r w:rsidRPr="00E7620D">
        <w:rPr>
          <w:rFonts w:cs="Arial"/>
          <w:spacing w:val="-3"/>
          <w:sz w:val="22"/>
          <w:lang w:val="en-US"/>
        </w:rPr>
        <w:t xml:space="preserve"> </w:t>
      </w:r>
      <w:r w:rsidRPr="00E7620D">
        <w:rPr>
          <w:rFonts w:cs="Arial"/>
          <w:sz w:val="22"/>
          <w:lang w:val="en-US"/>
        </w:rPr>
        <w:t>the</w:t>
      </w:r>
      <w:r w:rsidRPr="00E7620D">
        <w:rPr>
          <w:rFonts w:cs="Arial"/>
          <w:spacing w:val="-6"/>
          <w:sz w:val="22"/>
          <w:lang w:val="en-US"/>
        </w:rPr>
        <w:t xml:space="preserve"> </w:t>
      </w:r>
      <w:r w:rsidRPr="00E7620D">
        <w:rPr>
          <w:rFonts w:cs="Arial"/>
          <w:sz w:val="22"/>
          <w:lang w:val="en-US"/>
        </w:rPr>
        <w:t>implementation</w:t>
      </w:r>
      <w:r w:rsidRPr="00E7620D">
        <w:rPr>
          <w:rFonts w:cs="Arial"/>
          <w:spacing w:val="-3"/>
          <w:sz w:val="22"/>
          <w:lang w:val="en-US"/>
        </w:rPr>
        <w:t xml:space="preserve"> </w:t>
      </w:r>
      <w:r w:rsidRPr="00E7620D">
        <w:rPr>
          <w:rFonts w:cs="Arial"/>
          <w:sz w:val="22"/>
          <w:lang w:val="en-US"/>
        </w:rPr>
        <w:t>of</w:t>
      </w:r>
      <w:r w:rsidRPr="00E7620D">
        <w:rPr>
          <w:rFonts w:cs="Arial"/>
          <w:spacing w:val="-4"/>
          <w:sz w:val="22"/>
          <w:lang w:val="en-US"/>
        </w:rPr>
        <w:t xml:space="preserve"> </w:t>
      </w:r>
      <w:r w:rsidRPr="00E7620D">
        <w:rPr>
          <w:rFonts w:cs="Arial"/>
          <w:sz w:val="22"/>
          <w:lang w:val="en-US"/>
        </w:rPr>
        <w:t>the</w:t>
      </w:r>
      <w:r w:rsidRPr="00E7620D">
        <w:rPr>
          <w:rFonts w:cs="Arial"/>
          <w:spacing w:val="-6"/>
          <w:sz w:val="22"/>
          <w:lang w:val="en-US"/>
        </w:rPr>
        <w:t xml:space="preserve"> </w:t>
      </w:r>
      <w:r w:rsidRPr="00E7620D">
        <w:rPr>
          <w:rFonts w:cs="Arial"/>
          <w:sz w:val="22"/>
          <w:lang w:val="en-US"/>
        </w:rPr>
        <w:t>Project,</w:t>
      </w:r>
      <w:r w:rsidRPr="00E7620D">
        <w:rPr>
          <w:rFonts w:cs="Arial"/>
          <w:spacing w:val="-4"/>
          <w:sz w:val="22"/>
          <w:lang w:val="en-US"/>
        </w:rPr>
        <w:t xml:space="preserve"> </w:t>
      </w:r>
      <w:r w:rsidRPr="00E7620D">
        <w:rPr>
          <w:rFonts w:cs="Arial"/>
          <w:sz w:val="22"/>
          <w:lang w:val="en-US"/>
        </w:rPr>
        <w:t>but</w:t>
      </w:r>
      <w:r w:rsidRPr="00E7620D">
        <w:rPr>
          <w:rFonts w:cs="Arial"/>
          <w:spacing w:val="-4"/>
          <w:sz w:val="22"/>
          <w:lang w:val="en-US"/>
        </w:rPr>
        <w:t xml:space="preserve"> </w:t>
      </w:r>
      <w:r w:rsidRPr="00E7620D">
        <w:rPr>
          <w:rFonts w:cs="Arial"/>
          <w:sz w:val="22"/>
          <w:lang w:val="en-US"/>
        </w:rPr>
        <w:t>also in monitoring the implementation of the CGES</w:t>
      </w:r>
      <w:r w:rsidRPr="00E7620D">
        <w:rPr>
          <w:rFonts w:cs="Arial"/>
          <w:spacing w:val="-7"/>
          <w:sz w:val="22"/>
          <w:lang w:val="en-US"/>
        </w:rPr>
        <w:t xml:space="preserve"> </w:t>
      </w:r>
      <w:r w:rsidRPr="00E7620D">
        <w:rPr>
          <w:rFonts w:cs="Arial"/>
          <w:sz w:val="22"/>
          <w:lang w:val="en-US"/>
        </w:rPr>
        <w:t>measures.</w:t>
      </w:r>
    </w:p>
    <w:p w14:paraId="0D9A585C" w14:textId="77777777" w:rsidR="001977A4" w:rsidRPr="00E7620D" w:rsidRDefault="001977A4" w:rsidP="001977A4">
      <w:pPr>
        <w:pStyle w:val="Corpsdetexte"/>
        <w:spacing w:line="276" w:lineRule="auto"/>
        <w:rPr>
          <w:rFonts w:cs="Arial"/>
          <w:sz w:val="22"/>
          <w:szCs w:val="22"/>
          <w:lang w:val="en-US"/>
        </w:rPr>
      </w:pPr>
    </w:p>
    <w:p w14:paraId="753C7665" w14:textId="77777777" w:rsidR="001977A4" w:rsidRDefault="001977A4" w:rsidP="001977A4">
      <w:pPr>
        <w:pStyle w:val="Corpsdetexte"/>
        <w:spacing w:line="276" w:lineRule="auto"/>
        <w:rPr>
          <w:rFonts w:cs="Arial"/>
          <w:sz w:val="22"/>
          <w:szCs w:val="22"/>
          <w:lang w:val="en-US"/>
        </w:rPr>
      </w:pPr>
      <w:r w:rsidRPr="00E7620D">
        <w:rPr>
          <w:rFonts w:cs="Arial"/>
          <w:sz w:val="22"/>
          <w:szCs w:val="22"/>
          <w:lang w:val="en-US"/>
        </w:rPr>
        <w:t>The roles and responsibilities as described above will be incorporated into the Project Implementation Manual.</w:t>
      </w:r>
    </w:p>
    <w:p w14:paraId="2B96EAA4" w14:textId="77777777" w:rsidR="00A7078B" w:rsidRPr="00E7620D" w:rsidRDefault="00A7078B" w:rsidP="001977A4">
      <w:pPr>
        <w:pStyle w:val="Corpsdetexte"/>
        <w:spacing w:line="276" w:lineRule="auto"/>
        <w:rPr>
          <w:rFonts w:cs="Arial"/>
          <w:sz w:val="22"/>
          <w:szCs w:val="22"/>
          <w:lang w:val="en-US"/>
        </w:rPr>
      </w:pPr>
    </w:p>
    <w:p w14:paraId="57B4696C" w14:textId="77777777" w:rsidR="001977A4" w:rsidRPr="00E7620D"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i/>
          <w:sz w:val="22"/>
          <w:lang w:val="en-US"/>
        </w:rPr>
      </w:pPr>
      <w:r w:rsidRPr="00E7620D">
        <w:rPr>
          <w:rFonts w:cs="Arial"/>
          <w:i/>
          <w:sz w:val="22"/>
          <w:lang w:val="en-US"/>
        </w:rPr>
        <w:t>Estimated overall budget for implementation of environmental and social</w:t>
      </w:r>
      <w:r w:rsidRPr="00540C2E">
        <w:rPr>
          <w:rFonts w:cs="Arial"/>
          <w:i/>
          <w:sz w:val="22"/>
          <w:lang w:val="en-US"/>
        </w:rPr>
        <w:t xml:space="preserve"> </w:t>
      </w:r>
      <w:r w:rsidRPr="00E7620D">
        <w:rPr>
          <w:rFonts w:cs="Arial"/>
          <w:i/>
          <w:sz w:val="22"/>
          <w:lang w:val="en-US"/>
        </w:rPr>
        <w:t>measures</w:t>
      </w:r>
    </w:p>
    <w:p w14:paraId="3F3D37E4" w14:textId="77777777" w:rsidR="001977A4" w:rsidRPr="00E7620D" w:rsidRDefault="001977A4" w:rsidP="001977A4">
      <w:pPr>
        <w:pStyle w:val="Corpsdetexte"/>
        <w:spacing w:line="276" w:lineRule="auto"/>
        <w:rPr>
          <w:rFonts w:cs="Arial"/>
          <w:i/>
          <w:sz w:val="22"/>
          <w:szCs w:val="22"/>
          <w:lang w:val="en-US"/>
        </w:rPr>
      </w:pPr>
    </w:p>
    <w:p w14:paraId="2A95EFA2"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The estimated costs of the environmental and social measures amount to US$</w:t>
      </w:r>
      <w:r w:rsidR="007A7A2E">
        <w:rPr>
          <w:rFonts w:cs="Arial"/>
          <w:sz w:val="22"/>
          <w:szCs w:val="22"/>
          <w:lang w:val="en-US"/>
        </w:rPr>
        <w:t xml:space="preserve"> </w:t>
      </w:r>
      <w:r w:rsidR="007A562E">
        <w:rPr>
          <w:rFonts w:cs="Arial"/>
          <w:color w:val="000000"/>
          <w:sz w:val="22"/>
          <w:lang w:val="en-US"/>
        </w:rPr>
        <w:t>15 168 630</w:t>
      </w:r>
      <w:r w:rsidR="00C3308C" w:rsidRPr="00C3308C">
        <w:rPr>
          <w:rFonts w:cs="Arial"/>
          <w:color w:val="000000"/>
          <w:sz w:val="22"/>
          <w:lang w:val="en-US"/>
        </w:rPr>
        <w:t xml:space="preserve"> </w:t>
      </w:r>
      <w:r w:rsidRPr="00E7620D">
        <w:rPr>
          <w:rFonts w:cs="Arial"/>
          <w:sz w:val="22"/>
          <w:szCs w:val="22"/>
          <w:lang w:val="en-US"/>
        </w:rPr>
        <w:t>broken down as detailed in the table below.</w:t>
      </w:r>
    </w:p>
    <w:p w14:paraId="5516F078" w14:textId="77777777" w:rsidR="00294ADC" w:rsidRDefault="00294ADC" w:rsidP="009E142F">
      <w:pPr>
        <w:pStyle w:val="Corpsdetexte"/>
        <w:spacing w:line="276" w:lineRule="auto"/>
        <w:rPr>
          <w:rFonts w:cs="Arial"/>
          <w:sz w:val="22"/>
          <w:szCs w:val="22"/>
          <w:lang w:val="en-US"/>
        </w:rPr>
      </w:pPr>
    </w:p>
    <w:p w14:paraId="6C140488" w14:textId="77777777" w:rsidR="00C3308C" w:rsidRPr="00294ADC" w:rsidRDefault="001977A4" w:rsidP="009E142F">
      <w:pPr>
        <w:pStyle w:val="Corpsdetexte"/>
        <w:spacing w:line="276" w:lineRule="auto"/>
        <w:rPr>
          <w:rFonts w:cs="Arial"/>
          <w:b/>
          <w:bCs/>
          <w:sz w:val="22"/>
          <w:szCs w:val="22"/>
          <w:lang w:val="en-US"/>
        </w:rPr>
      </w:pPr>
      <w:r w:rsidRPr="00643A1E">
        <w:rPr>
          <w:rFonts w:cs="Arial"/>
          <w:sz w:val="22"/>
          <w:szCs w:val="22"/>
          <w:lang w:val="en-US"/>
        </w:rPr>
        <w:t xml:space="preserve">Estimated costs of the </w:t>
      </w:r>
      <w:r w:rsidR="006B658C" w:rsidRPr="007A562E">
        <w:rPr>
          <w:rFonts w:cs="Arial"/>
          <w:sz w:val="22"/>
          <w:lang w:val="en-US"/>
        </w:rPr>
        <w:t xml:space="preserve">PGRIES </w:t>
      </w:r>
    </w:p>
    <w:p w14:paraId="56FEC68C" w14:textId="77777777" w:rsidR="007A562E" w:rsidRPr="00294ADC" w:rsidRDefault="007A562E" w:rsidP="007A562E">
      <w:pPr>
        <w:pStyle w:val="Titre"/>
        <w:rPr>
          <w:sz w:val="11"/>
          <w:lang w:val="en-US"/>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8"/>
        <w:gridCol w:w="2005"/>
        <w:gridCol w:w="1883"/>
        <w:gridCol w:w="1760"/>
      </w:tblGrid>
      <w:tr w:rsidR="00BB0401" w14:paraId="0D256CF9" w14:textId="77777777" w:rsidTr="00730A4A">
        <w:trPr>
          <w:trHeight w:val="505"/>
        </w:trPr>
        <w:tc>
          <w:tcPr>
            <w:tcW w:w="3668" w:type="dxa"/>
            <w:shd w:val="clear" w:color="auto" w:fill="D4DCE3"/>
          </w:tcPr>
          <w:p w14:paraId="0713CD7E" w14:textId="77777777" w:rsidR="007A562E" w:rsidRDefault="007A562E" w:rsidP="00730A4A">
            <w:pPr>
              <w:pStyle w:val="TableParagraph"/>
              <w:autoSpaceDE w:val="0"/>
              <w:autoSpaceDN w:val="0"/>
              <w:spacing w:before="124"/>
              <w:ind w:left="1378" w:right="1372"/>
              <w:jc w:val="center"/>
            </w:pPr>
            <w:r>
              <w:t>Activities</w:t>
            </w:r>
          </w:p>
        </w:tc>
        <w:tc>
          <w:tcPr>
            <w:tcW w:w="2005" w:type="dxa"/>
            <w:shd w:val="clear" w:color="auto" w:fill="D4DCE3"/>
          </w:tcPr>
          <w:p w14:paraId="1DBF0C14" w14:textId="77777777" w:rsidR="007A562E" w:rsidRDefault="007A562E" w:rsidP="00730A4A">
            <w:pPr>
              <w:pStyle w:val="TableParagraph"/>
              <w:autoSpaceDE w:val="0"/>
              <w:autoSpaceDN w:val="0"/>
              <w:spacing w:before="124"/>
              <w:ind w:left="573" w:right="561"/>
              <w:jc w:val="center"/>
            </w:pPr>
            <w:r>
              <w:t>Quantity</w:t>
            </w:r>
          </w:p>
        </w:tc>
        <w:tc>
          <w:tcPr>
            <w:tcW w:w="1883" w:type="dxa"/>
            <w:shd w:val="clear" w:color="auto" w:fill="D4DCE3"/>
          </w:tcPr>
          <w:p w14:paraId="453F22AC" w14:textId="77777777" w:rsidR="007A562E" w:rsidRDefault="007A562E" w:rsidP="00730A4A">
            <w:pPr>
              <w:pStyle w:val="TableParagraph"/>
              <w:autoSpaceDE w:val="0"/>
              <w:autoSpaceDN w:val="0"/>
              <w:spacing w:before="124"/>
              <w:ind w:left="174"/>
            </w:pPr>
            <w:r>
              <w:t>Unit cost (USD)</w:t>
            </w:r>
          </w:p>
        </w:tc>
        <w:tc>
          <w:tcPr>
            <w:tcW w:w="1760" w:type="dxa"/>
            <w:shd w:val="clear" w:color="auto" w:fill="D4DCE3"/>
          </w:tcPr>
          <w:p w14:paraId="2221FE4C" w14:textId="77777777" w:rsidR="007A562E" w:rsidRDefault="007A562E" w:rsidP="00730A4A">
            <w:pPr>
              <w:pStyle w:val="TableParagraph"/>
              <w:autoSpaceDE w:val="0"/>
              <w:autoSpaceDN w:val="0"/>
              <w:spacing w:before="4" w:line="252" w:lineRule="exact"/>
              <w:ind w:left="571" w:right="378" w:hanging="173"/>
            </w:pPr>
            <w:r>
              <w:t>Total cost (USD)</w:t>
            </w:r>
          </w:p>
        </w:tc>
      </w:tr>
      <w:tr w:rsidR="007A562E" w14:paraId="373BFC4D" w14:textId="77777777" w:rsidTr="00730A4A">
        <w:trPr>
          <w:trHeight w:val="271"/>
        </w:trPr>
        <w:tc>
          <w:tcPr>
            <w:tcW w:w="3668" w:type="dxa"/>
            <w:shd w:val="clear" w:color="auto" w:fill="auto"/>
          </w:tcPr>
          <w:p w14:paraId="6FD24B3F" w14:textId="77777777" w:rsidR="007A562E" w:rsidRDefault="007A562E" w:rsidP="00730A4A">
            <w:pPr>
              <w:pStyle w:val="TableParagraph"/>
              <w:autoSpaceDE w:val="0"/>
              <w:autoSpaceDN w:val="0"/>
              <w:spacing w:before="7" w:line="244" w:lineRule="exact"/>
              <w:ind w:left="71"/>
            </w:pPr>
            <w:r>
              <w:t>Development of ESIA/SMPs</w:t>
            </w:r>
          </w:p>
        </w:tc>
        <w:tc>
          <w:tcPr>
            <w:tcW w:w="2005" w:type="dxa"/>
            <w:shd w:val="clear" w:color="auto" w:fill="auto"/>
          </w:tcPr>
          <w:p w14:paraId="719D91F7" w14:textId="77777777" w:rsidR="007A562E" w:rsidRDefault="007A562E" w:rsidP="00730A4A">
            <w:pPr>
              <w:pStyle w:val="TableParagraph"/>
              <w:autoSpaceDE w:val="0"/>
              <w:autoSpaceDN w:val="0"/>
              <w:spacing w:before="7" w:line="244" w:lineRule="exact"/>
              <w:ind w:left="566" w:right="561"/>
              <w:jc w:val="center"/>
            </w:pPr>
            <w:r>
              <w:t>30</w:t>
            </w:r>
          </w:p>
        </w:tc>
        <w:tc>
          <w:tcPr>
            <w:tcW w:w="1883" w:type="dxa"/>
            <w:shd w:val="clear" w:color="auto" w:fill="auto"/>
          </w:tcPr>
          <w:p w14:paraId="44F5A817" w14:textId="77777777" w:rsidR="007A562E" w:rsidRDefault="007A562E" w:rsidP="00730A4A">
            <w:pPr>
              <w:pStyle w:val="TableParagraph"/>
              <w:autoSpaceDE w:val="0"/>
              <w:autoSpaceDN w:val="0"/>
              <w:spacing w:before="7" w:line="244" w:lineRule="exact"/>
              <w:ind w:right="57"/>
              <w:jc w:val="right"/>
            </w:pPr>
            <w:r>
              <w:t>50 000</w:t>
            </w:r>
          </w:p>
        </w:tc>
        <w:tc>
          <w:tcPr>
            <w:tcW w:w="1760" w:type="dxa"/>
            <w:shd w:val="clear" w:color="auto" w:fill="auto"/>
          </w:tcPr>
          <w:p w14:paraId="1F3E61D5" w14:textId="77777777" w:rsidR="007A562E" w:rsidRDefault="007A562E" w:rsidP="00730A4A">
            <w:pPr>
              <w:pStyle w:val="TableParagraph"/>
              <w:autoSpaceDE w:val="0"/>
              <w:autoSpaceDN w:val="0"/>
              <w:spacing w:before="7" w:line="244" w:lineRule="exact"/>
              <w:ind w:right="57"/>
              <w:jc w:val="right"/>
            </w:pPr>
            <w:r>
              <w:t>1 500 000</w:t>
            </w:r>
          </w:p>
        </w:tc>
      </w:tr>
      <w:tr w:rsidR="007A562E" w14:paraId="740C7D3D" w14:textId="77777777" w:rsidTr="00730A4A">
        <w:trPr>
          <w:trHeight w:val="328"/>
        </w:trPr>
        <w:tc>
          <w:tcPr>
            <w:tcW w:w="3668" w:type="dxa"/>
            <w:shd w:val="clear" w:color="auto" w:fill="auto"/>
          </w:tcPr>
          <w:p w14:paraId="134ADA3C" w14:textId="77777777" w:rsidR="007A562E" w:rsidRDefault="007A562E" w:rsidP="00730A4A">
            <w:pPr>
              <w:pStyle w:val="TableParagraph"/>
              <w:autoSpaceDE w:val="0"/>
              <w:autoSpaceDN w:val="0"/>
              <w:spacing w:before="36"/>
              <w:ind w:left="71"/>
            </w:pPr>
            <w:r>
              <w:t>Development of RAP Plans</w:t>
            </w:r>
          </w:p>
        </w:tc>
        <w:tc>
          <w:tcPr>
            <w:tcW w:w="2005" w:type="dxa"/>
            <w:shd w:val="clear" w:color="auto" w:fill="auto"/>
          </w:tcPr>
          <w:p w14:paraId="39A2F57B" w14:textId="77777777" w:rsidR="007A562E" w:rsidRDefault="007A562E" w:rsidP="00730A4A">
            <w:pPr>
              <w:pStyle w:val="TableParagraph"/>
              <w:autoSpaceDE w:val="0"/>
              <w:autoSpaceDN w:val="0"/>
              <w:spacing w:before="36"/>
              <w:ind w:left="566" w:right="561"/>
              <w:jc w:val="center"/>
            </w:pPr>
            <w:r>
              <w:t>30</w:t>
            </w:r>
          </w:p>
        </w:tc>
        <w:tc>
          <w:tcPr>
            <w:tcW w:w="1883" w:type="dxa"/>
            <w:shd w:val="clear" w:color="auto" w:fill="auto"/>
          </w:tcPr>
          <w:p w14:paraId="3BB046AD" w14:textId="77777777" w:rsidR="007A562E" w:rsidRDefault="007A562E" w:rsidP="00730A4A">
            <w:pPr>
              <w:pStyle w:val="TableParagraph"/>
              <w:autoSpaceDE w:val="0"/>
              <w:autoSpaceDN w:val="0"/>
              <w:spacing w:before="36"/>
              <w:ind w:right="57"/>
              <w:jc w:val="right"/>
            </w:pPr>
            <w:r>
              <w:t>60 000</w:t>
            </w:r>
          </w:p>
        </w:tc>
        <w:tc>
          <w:tcPr>
            <w:tcW w:w="1760" w:type="dxa"/>
            <w:shd w:val="clear" w:color="auto" w:fill="auto"/>
          </w:tcPr>
          <w:p w14:paraId="74943043" w14:textId="77777777" w:rsidR="007A562E" w:rsidRDefault="007A562E" w:rsidP="00730A4A">
            <w:pPr>
              <w:pStyle w:val="TableParagraph"/>
              <w:autoSpaceDE w:val="0"/>
              <w:autoSpaceDN w:val="0"/>
              <w:spacing w:before="36"/>
              <w:ind w:right="57"/>
              <w:jc w:val="right"/>
            </w:pPr>
            <w:r>
              <w:t>1 800 000</w:t>
            </w:r>
          </w:p>
        </w:tc>
      </w:tr>
      <w:tr w:rsidR="007A562E" w14:paraId="44B00BE4" w14:textId="77777777" w:rsidTr="00730A4A">
        <w:trPr>
          <w:trHeight w:val="309"/>
        </w:trPr>
        <w:tc>
          <w:tcPr>
            <w:tcW w:w="3668" w:type="dxa"/>
            <w:shd w:val="clear" w:color="auto" w:fill="auto"/>
          </w:tcPr>
          <w:p w14:paraId="1E2D7397" w14:textId="77777777" w:rsidR="007A562E" w:rsidRDefault="007A562E" w:rsidP="00730A4A">
            <w:pPr>
              <w:pStyle w:val="TableParagraph"/>
              <w:autoSpaceDE w:val="0"/>
              <w:autoSpaceDN w:val="0"/>
              <w:spacing w:before="24"/>
              <w:ind w:left="71"/>
            </w:pPr>
            <w:r>
              <w:t>Implementation of RAPs</w:t>
            </w:r>
          </w:p>
        </w:tc>
        <w:tc>
          <w:tcPr>
            <w:tcW w:w="2005" w:type="dxa"/>
            <w:shd w:val="clear" w:color="auto" w:fill="auto"/>
          </w:tcPr>
          <w:p w14:paraId="50B82705" w14:textId="77777777" w:rsidR="007A562E" w:rsidRDefault="007A562E" w:rsidP="00730A4A">
            <w:pPr>
              <w:pStyle w:val="TableParagraph"/>
              <w:autoSpaceDE w:val="0"/>
              <w:autoSpaceDN w:val="0"/>
              <w:spacing w:before="24"/>
              <w:ind w:left="566" w:right="561"/>
              <w:jc w:val="center"/>
            </w:pPr>
            <w:r>
              <w:t>30</w:t>
            </w:r>
          </w:p>
        </w:tc>
        <w:tc>
          <w:tcPr>
            <w:tcW w:w="1883" w:type="dxa"/>
            <w:shd w:val="clear" w:color="auto" w:fill="auto"/>
          </w:tcPr>
          <w:p w14:paraId="43BDC960" w14:textId="77777777" w:rsidR="007A562E" w:rsidRDefault="007A562E" w:rsidP="00730A4A">
            <w:pPr>
              <w:pStyle w:val="TableParagraph"/>
              <w:autoSpaceDE w:val="0"/>
              <w:autoSpaceDN w:val="0"/>
              <w:spacing w:before="24"/>
              <w:ind w:right="57"/>
              <w:jc w:val="right"/>
            </w:pPr>
            <w:r>
              <w:t>40 000</w:t>
            </w:r>
          </w:p>
        </w:tc>
        <w:tc>
          <w:tcPr>
            <w:tcW w:w="1760" w:type="dxa"/>
            <w:shd w:val="clear" w:color="auto" w:fill="auto"/>
          </w:tcPr>
          <w:p w14:paraId="62E34A8E" w14:textId="77777777" w:rsidR="007A562E" w:rsidRDefault="007A562E" w:rsidP="00730A4A">
            <w:pPr>
              <w:pStyle w:val="TableParagraph"/>
              <w:autoSpaceDE w:val="0"/>
              <w:autoSpaceDN w:val="0"/>
              <w:spacing w:before="24"/>
              <w:ind w:right="57"/>
              <w:jc w:val="right"/>
            </w:pPr>
            <w:r>
              <w:t>1 200 000</w:t>
            </w:r>
          </w:p>
        </w:tc>
      </w:tr>
      <w:tr w:rsidR="007A562E" w14:paraId="2D0CB558" w14:textId="77777777" w:rsidTr="00730A4A">
        <w:trPr>
          <w:trHeight w:val="506"/>
        </w:trPr>
        <w:tc>
          <w:tcPr>
            <w:tcW w:w="3668" w:type="dxa"/>
            <w:shd w:val="clear" w:color="auto" w:fill="auto"/>
          </w:tcPr>
          <w:p w14:paraId="30C50FA8" w14:textId="77777777" w:rsidR="007A562E" w:rsidRDefault="007A562E" w:rsidP="00730A4A">
            <w:pPr>
              <w:pStyle w:val="TableParagraph"/>
              <w:autoSpaceDE w:val="0"/>
              <w:autoSpaceDN w:val="0"/>
              <w:spacing w:before="2" w:line="252" w:lineRule="exact"/>
              <w:ind w:left="71" w:right="44"/>
            </w:pPr>
            <w:r>
              <w:t>Development and implementation of the GSP</w:t>
            </w:r>
          </w:p>
        </w:tc>
        <w:tc>
          <w:tcPr>
            <w:tcW w:w="2005" w:type="dxa"/>
            <w:shd w:val="clear" w:color="auto" w:fill="auto"/>
          </w:tcPr>
          <w:p w14:paraId="12F6741B" w14:textId="77777777" w:rsidR="007A562E" w:rsidRDefault="007A562E" w:rsidP="00730A4A">
            <w:pPr>
              <w:pStyle w:val="TableParagraph"/>
              <w:autoSpaceDE w:val="0"/>
              <w:autoSpaceDN w:val="0"/>
              <w:spacing w:before="122"/>
              <w:ind w:left="8"/>
              <w:jc w:val="center"/>
            </w:pPr>
            <w:r>
              <w:t>1</w:t>
            </w:r>
          </w:p>
        </w:tc>
        <w:tc>
          <w:tcPr>
            <w:tcW w:w="1883" w:type="dxa"/>
            <w:shd w:val="clear" w:color="auto" w:fill="auto"/>
          </w:tcPr>
          <w:p w14:paraId="13D0DBA5" w14:textId="77777777" w:rsidR="007A562E" w:rsidRDefault="007A562E" w:rsidP="00730A4A">
            <w:pPr>
              <w:pStyle w:val="TableParagraph"/>
              <w:autoSpaceDE w:val="0"/>
              <w:autoSpaceDN w:val="0"/>
              <w:spacing w:before="122"/>
              <w:ind w:right="57"/>
              <w:jc w:val="right"/>
            </w:pPr>
            <w:r>
              <w:t>100 000</w:t>
            </w:r>
          </w:p>
        </w:tc>
        <w:tc>
          <w:tcPr>
            <w:tcW w:w="1760" w:type="dxa"/>
            <w:shd w:val="clear" w:color="auto" w:fill="auto"/>
          </w:tcPr>
          <w:p w14:paraId="4E870662" w14:textId="77777777" w:rsidR="007A562E" w:rsidRDefault="007A562E" w:rsidP="00730A4A">
            <w:pPr>
              <w:pStyle w:val="TableParagraph"/>
              <w:autoSpaceDE w:val="0"/>
              <w:autoSpaceDN w:val="0"/>
              <w:spacing w:before="122"/>
              <w:ind w:right="57"/>
              <w:jc w:val="right"/>
            </w:pPr>
            <w:r>
              <w:t>100 000</w:t>
            </w:r>
          </w:p>
        </w:tc>
      </w:tr>
      <w:tr w:rsidR="007A562E" w14:paraId="6DCFA18A" w14:textId="77777777" w:rsidTr="00730A4A">
        <w:trPr>
          <w:trHeight w:val="757"/>
        </w:trPr>
        <w:tc>
          <w:tcPr>
            <w:tcW w:w="3668" w:type="dxa"/>
            <w:shd w:val="clear" w:color="auto" w:fill="auto"/>
          </w:tcPr>
          <w:p w14:paraId="5B95BF58" w14:textId="77777777" w:rsidR="007A562E" w:rsidRDefault="007A562E" w:rsidP="00730A4A">
            <w:pPr>
              <w:pStyle w:val="TableParagraph"/>
              <w:autoSpaceDE w:val="0"/>
              <w:autoSpaceDN w:val="0"/>
              <w:ind w:left="71" w:right="44"/>
            </w:pPr>
            <w:r>
              <w:t>Development and implementation of the Biodiversity Management Plan</w:t>
            </w:r>
          </w:p>
          <w:p w14:paraId="1ADA6CA9" w14:textId="77777777" w:rsidR="007A562E" w:rsidRDefault="007A562E" w:rsidP="00730A4A">
            <w:pPr>
              <w:pStyle w:val="TableParagraph"/>
              <w:autoSpaceDE w:val="0"/>
              <w:autoSpaceDN w:val="0"/>
              <w:spacing w:line="234" w:lineRule="exact"/>
              <w:ind w:left="71"/>
            </w:pPr>
            <w:r>
              <w:t>(BMP)</w:t>
            </w:r>
          </w:p>
        </w:tc>
        <w:tc>
          <w:tcPr>
            <w:tcW w:w="2005" w:type="dxa"/>
            <w:shd w:val="clear" w:color="auto" w:fill="auto"/>
          </w:tcPr>
          <w:p w14:paraId="48875321" w14:textId="77777777" w:rsidR="007A562E" w:rsidRPr="00730A4A" w:rsidRDefault="007A562E" w:rsidP="00730A4A">
            <w:pPr>
              <w:pStyle w:val="TableParagraph"/>
              <w:autoSpaceDE w:val="0"/>
              <w:autoSpaceDN w:val="0"/>
              <w:spacing w:before="7"/>
              <w:rPr>
                <w:rFonts w:ascii="Times New Roman"/>
                <w:sz w:val="21"/>
              </w:rPr>
            </w:pPr>
          </w:p>
          <w:p w14:paraId="0A8CFAA0" w14:textId="77777777" w:rsidR="007A562E" w:rsidRDefault="007A562E" w:rsidP="00730A4A">
            <w:pPr>
              <w:pStyle w:val="TableParagraph"/>
              <w:autoSpaceDE w:val="0"/>
              <w:autoSpaceDN w:val="0"/>
              <w:spacing w:before="1"/>
              <w:ind w:left="8"/>
              <w:jc w:val="center"/>
            </w:pPr>
            <w:r>
              <w:t>1</w:t>
            </w:r>
          </w:p>
        </w:tc>
        <w:tc>
          <w:tcPr>
            <w:tcW w:w="1883" w:type="dxa"/>
            <w:shd w:val="clear" w:color="auto" w:fill="auto"/>
          </w:tcPr>
          <w:p w14:paraId="5D77733C" w14:textId="77777777" w:rsidR="007A562E" w:rsidRPr="00730A4A" w:rsidRDefault="007A562E" w:rsidP="00730A4A">
            <w:pPr>
              <w:pStyle w:val="TableParagraph"/>
              <w:autoSpaceDE w:val="0"/>
              <w:autoSpaceDN w:val="0"/>
              <w:spacing w:before="7"/>
              <w:rPr>
                <w:rFonts w:ascii="Times New Roman"/>
                <w:sz w:val="21"/>
              </w:rPr>
            </w:pPr>
          </w:p>
          <w:p w14:paraId="4A8CBDF5" w14:textId="77777777" w:rsidR="007A562E" w:rsidRDefault="007A562E" w:rsidP="00730A4A">
            <w:pPr>
              <w:pStyle w:val="TableParagraph"/>
              <w:autoSpaceDE w:val="0"/>
              <w:autoSpaceDN w:val="0"/>
              <w:spacing w:before="1"/>
              <w:ind w:right="57"/>
              <w:jc w:val="right"/>
            </w:pPr>
            <w:r>
              <w:t>300 000</w:t>
            </w:r>
          </w:p>
        </w:tc>
        <w:tc>
          <w:tcPr>
            <w:tcW w:w="1760" w:type="dxa"/>
            <w:shd w:val="clear" w:color="auto" w:fill="auto"/>
          </w:tcPr>
          <w:p w14:paraId="14602ED5" w14:textId="77777777" w:rsidR="007A562E" w:rsidRPr="00730A4A" w:rsidRDefault="007A562E" w:rsidP="00730A4A">
            <w:pPr>
              <w:pStyle w:val="TableParagraph"/>
              <w:autoSpaceDE w:val="0"/>
              <w:autoSpaceDN w:val="0"/>
              <w:spacing w:before="7"/>
              <w:rPr>
                <w:rFonts w:ascii="Times New Roman"/>
                <w:sz w:val="21"/>
              </w:rPr>
            </w:pPr>
          </w:p>
          <w:p w14:paraId="48F15827" w14:textId="77777777" w:rsidR="007A562E" w:rsidRDefault="007A562E" w:rsidP="00730A4A">
            <w:pPr>
              <w:pStyle w:val="TableParagraph"/>
              <w:autoSpaceDE w:val="0"/>
              <w:autoSpaceDN w:val="0"/>
              <w:spacing w:before="1"/>
              <w:ind w:right="57"/>
              <w:jc w:val="right"/>
            </w:pPr>
            <w:r>
              <w:t>300 000</w:t>
            </w:r>
          </w:p>
        </w:tc>
      </w:tr>
      <w:tr w:rsidR="007A562E" w14:paraId="5931160E" w14:textId="77777777" w:rsidTr="00730A4A">
        <w:trPr>
          <w:trHeight w:val="758"/>
        </w:trPr>
        <w:tc>
          <w:tcPr>
            <w:tcW w:w="3668" w:type="dxa"/>
            <w:shd w:val="clear" w:color="auto" w:fill="auto"/>
          </w:tcPr>
          <w:p w14:paraId="51750F03" w14:textId="77777777" w:rsidR="007A562E" w:rsidRDefault="007A562E" w:rsidP="00730A4A">
            <w:pPr>
              <w:pStyle w:val="TableParagraph"/>
              <w:autoSpaceDE w:val="0"/>
              <w:autoSpaceDN w:val="0"/>
              <w:spacing w:line="251" w:lineRule="exact"/>
              <w:ind w:left="71"/>
            </w:pPr>
            <w:r>
              <w:t>Implementation of the PMPP</w:t>
            </w:r>
          </w:p>
          <w:p w14:paraId="12CDC4E1" w14:textId="77777777" w:rsidR="007A562E" w:rsidRDefault="007A562E" w:rsidP="00730A4A">
            <w:pPr>
              <w:pStyle w:val="TableParagraph"/>
              <w:autoSpaceDE w:val="0"/>
              <w:autoSpaceDN w:val="0"/>
              <w:spacing w:before="6" w:line="252" w:lineRule="exact"/>
              <w:ind w:left="71" w:right="595"/>
            </w:pPr>
            <w:r>
              <w:t>including the overall and GBV- sensitive PMM</w:t>
            </w:r>
          </w:p>
        </w:tc>
        <w:tc>
          <w:tcPr>
            <w:tcW w:w="2005" w:type="dxa"/>
            <w:shd w:val="clear" w:color="auto" w:fill="auto"/>
          </w:tcPr>
          <w:p w14:paraId="7B069698" w14:textId="77777777" w:rsidR="007A562E" w:rsidRPr="00730A4A" w:rsidRDefault="007A562E" w:rsidP="00730A4A">
            <w:pPr>
              <w:pStyle w:val="TableParagraph"/>
              <w:autoSpaceDE w:val="0"/>
              <w:autoSpaceDN w:val="0"/>
              <w:spacing w:before="10"/>
              <w:rPr>
                <w:rFonts w:ascii="Times New Roman"/>
                <w:sz w:val="21"/>
              </w:rPr>
            </w:pPr>
          </w:p>
          <w:p w14:paraId="46CC4186" w14:textId="77777777" w:rsidR="007A562E" w:rsidRDefault="007A562E" w:rsidP="00730A4A">
            <w:pPr>
              <w:pStyle w:val="TableParagraph"/>
              <w:autoSpaceDE w:val="0"/>
              <w:autoSpaceDN w:val="0"/>
              <w:spacing w:before="1"/>
              <w:ind w:left="8"/>
              <w:jc w:val="center"/>
            </w:pPr>
            <w:r>
              <w:t>1</w:t>
            </w:r>
          </w:p>
        </w:tc>
        <w:tc>
          <w:tcPr>
            <w:tcW w:w="1883" w:type="dxa"/>
            <w:shd w:val="clear" w:color="auto" w:fill="auto"/>
          </w:tcPr>
          <w:p w14:paraId="24FA98B5" w14:textId="77777777" w:rsidR="007A562E" w:rsidRDefault="007A562E" w:rsidP="00730A4A">
            <w:pPr>
              <w:pStyle w:val="TableParagraph"/>
              <w:autoSpaceDE w:val="0"/>
              <w:autoSpaceDN w:val="0"/>
              <w:spacing w:before="125"/>
              <w:ind w:right="57"/>
              <w:jc w:val="right"/>
            </w:pPr>
            <w:r>
              <w:t>2 323 000</w:t>
            </w:r>
          </w:p>
        </w:tc>
        <w:tc>
          <w:tcPr>
            <w:tcW w:w="1760" w:type="dxa"/>
            <w:shd w:val="clear" w:color="auto" w:fill="auto"/>
          </w:tcPr>
          <w:p w14:paraId="3CC1283A" w14:textId="77777777" w:rsidR="007A562E" w:rsidRDefault="007A562E" w:rsidP="00730A4A">
            <w:pPr>
              <w:pStyle w:val="TableParagraph"/>
              <w:autoSpaceDE w:val="0"/>
              <w:autoSpaceDN w:val="0"/>
              <w:spacing w:before="125"/>
              <w:ind w:right="57"/>
              <w:jc w:val="right"/>
            </w:pPr>
            <w:r>
              <w:t>2 323 000</w:t>
            </w:r>
          </w:p>
        </w:tc>
      </w:tr>
      <w:tr w:rsidR="007A562E" w14:paraId="28ADAE90" w14:textId="77777777" w:rsidTr="00730A4A">
        <w:trPr>
          <w:trHeight w:val="465"/>
        </w:trPr>
        <w:tc>
          <w:tcPr>
            <w:tcW w:w="3668" w:type="dxa"/>
            <w:shd w:val="clear" w:color="auto" w:fill="auto"/>
          </w:tcPr>
          <w:p w14:paraId="4B2800E2" w14:textId="77777777" w:rsidR="007A562E" w:rsidRDefault="007A562E" w:rsidP="00730A4A">
            <w:pPr>
              <w:pStyle w:val="TableParagraph"/>
              <w:autoSpaceDE w:val="0"/>
              <w:autoSpaceDN w:val="0"/>
              <w:ind w:left="71" w:right="167"/>
            </w:pPr>
            <w:r>
              <w:t>Support for the preservation and restoration of quarries / borrow pits</w:t>
            </w:r>
          </w:p>
        </w:tc>
        <w:tc>
          <w:tcPr>
            <w:tcW w:w="2005" w:type="dxa"/>
            <w:shd w:val="clear" w:color="auto" w:fill="auto"/>
          </w:tcPr>
          <w:p w14:paraId="58B6CA39" w14:textId="77777777" w:rsidR="007A562E" w:rsidRPr="00730A4A" w:rsidRDefault="007A562E" w:rsidP="00730A4A">
            <w:pPr>
              <w:pStyle w:val="TableParagraph"/>
              <w:autoSpaceDE w:val="0"/>
              <w:autoSpaceDN w:val="0"/>
              <w:spacing w:before="3"/>
              <w:rPr>
                <w:rFonts w:ascii="Times New Roman"/>
                <w:sz w:val="26"/>
              </w:rPr>
            </w:pPr>
          </w:p>
          <w:p w14:paraId="7778CAAA" w14:textId="77777777" w:rsidR="007A562E" w:rsidRDefault="007A562E" w:rsidP="00730A4A">
            <w:pPr>
              <w:pStyle w:val="TableParagraph"/>
              <w:autoSpaceDE w:val="0"/>
              <w:autoSpaceDN w:val="0"/>
              <w:ind w:left="8"/>
              <w:jc w:val="center"/>
            </w:pPr>
            <w:r>
              <w:t>5</w:t>
            </w:r>
          </w:p>
        </w:tc>
        <w:tc>
          <w:tcPr>
            <w:tcW w:w="1883" w:type="dxa"/>
            <w:shd w:val="clear" w:color="auto" w:fill="auto"/>
          </w:tcPr>
          <w:p w14:paraId="7003D36A" w14:textId="77777777" w:rsidR="007A562E" w:rsidRPr="00730A4A" w:rsidRDefault="007A562E" w:rsidP="00730A4A">
            <w:pPr>
              <w:pStyle w:val="TableParagraph"/>
              <w:autoSpaceDE w:val="0"/>
              <w:autoSpaceDN w:val="0"/>
              <w:spacing w:before="3"/>
              <w:rPr>
                <w:rFonts w:ascii="Times New Roman"/>
                <w:sz w:val="26"/>
              </w:rPr>
            </w:pPr>
          </w:p>
          <w:p w14:paraId="5DD28CDB" w14:textId="77777777" w:rsidR="007A562E" w:rsidRDefault="007A562E" w:rsidP="00730A4A">
            <w:pPr>
              <w:pStyle w:val="TableParagraph"/>
              <w:autoSpaceDE w:val="0"/>
              <w:autoSpaceDN w:val="0"/>
              <w:ind w:right="57"/>
              <w:jc w:val="right"/>
            </w:pPr>
            <w:r>
              <w:t>50 000</w:t>
            </w:r>
          </w:p>
        </w:tc>
        <w:tc>
          <w:tcPr>
            <w:tcW w:w="1760" w:type="dxa"/>
            <w:shd w:val="clear" w:color="auto" w:fill="auto"/>
          </w:tcPr>
          <w:p w14:paraId="7172976E" w14:textId="77777777" w:rsidR="007A562E" w:rsidRPr="00730A4A" w:rsidRDefault="007A562E" w:rsidP="00730A4A">
            <w:pPr>
              <w:pStyle w:val="TableParagraph"/>
              <w:autoSpaceDE w:val="0"/>
              <w:autoSpaceDN w:val="0"/>
              <w:spacing w:before="3"/>
              <w:rPr>
                <w:rFonts w:ascii="Times New Roman"/>
                <w:sz w:val="26"/>
              </w:rPr>
            </w:pPr>
          </w:p>
          <w:p w14:paraId="54284A0D" w14:textId="77777777" w:rsidR="007A562E" w:rsidRDefault="007A562E" w:rsidP="00730A4A">
            <w:pPr>
              <w:pStyle w:val="TableParagraph"/>
              <w:autoSpaceDE w:val="0"/>
              <w:autoSpaceDN w:val="0"/>
              <w:ind w:right="57"/>
              <w:jc w:val="right"/>
            </w:pPr>
            <w:r>
              <w:t>250 000</w:t>
            </w:r>
          </w:p>
        </w:tc>
      </w:tr>
      <w:tr w:rsidR="007A562E" w14:paraId="48385064" w14:textId="77777777" w:rsidTr="00730A4A">
        <w:trPr>
          <w:trHeight w:val="253"/>
        </w:trPr>
        <w:tc>
          <w:tcPr>
            <w:tcW w:w="3668" w:type="dxa"/>
            <w:shd w:val="clear" w:color="auto" w:fill="auto"/>
          </w:tcPr>
          <w:p w14:paraId="2A0E9BFC" w14:textId="77777777" w:rsidR="007A562E" w:rsidRDefault="007A562E" w:rsidP="00730A4A">
            <w:pPr>
              <w:pStyle w:val="TableParagraph"/>
              <w:autoSpaceDE w:val="0"/>
              <w:autoSpaceDN w:val="0"/>
              <w:spacing w:line="234" w:lineRule="exact"/>
              <w:ind w:left="71"/>
            </w:pPr>
            <w:r>
              <w:t>Farm input allocation</w:t>
            </w:r>
          </w:p>
        </w:tc>
        <w:tc>
          <w:tcPr>
            <w:tcW w:w="2005" w:type="dxa"/>
            <w:shd w:val="clear" w:color="auto" w:fill="auto"/>
          </w:tcPr>
          <w:p w14:paraId="0D82EBF1" w14:textId="77777777" w:rsidR="007A562E" w:rsidRDefault="007A562E" w:rsidP="00730A4A">
            <w:pPr>
              <w:pStyle w:val="TableParagraph"/>
              <w:autoSpaceDE w:val="0"/>
              <w:autoSpaceDN w:val="0"/>
              <w:spacing w:line="234" w:lineRule="exact"/>
              <w:ind w:left="7"/>
              <w:jc w:val="center"/>
            </w:pPr>
            <w:r>
              <w:t>-</w:t>
            </w:r>
          </w:p>
        </w:tc>
        <w:tc>
          <w:tcPr>
            <w:tcW w:w="1883" w:type="dxa"/>
            <w:shd w:val="clear" w:color="auto" w:fill="auto"/>
          </w:tcPr>
          <w:p w14:paraId="72A22469" w14:textId="77777777" w:rsidR="007A562E" w:rsidRDefault="007A562E" w:rsidP="00730A4A">
            <w:pPr>
              <w:pStyle w:val="TableParagraph"/>
              <w:autoSpaceDE w:val="0"/>
              <w:autoSpaceDN w:val="0"/>
              <w:spacing w:line="234" w:lineRule="exact"/>
              <w:ind w:right="57"/>
              <w:jc w:val="right"/>
            </w:pPr>
            <w:r>
              <w:t>PM</w:t>
            </w:r>
          </w:p>
        </w:tc>
        <w:tc>
          <w:tcPr>
            <w:tcW w:w="1760" w:type="dxa"/>
            <w:shd w:val="clear" w:color="auto" w:fill="auto"/>
          </w:tcPr>
          <w:p w14:paraId="515BC242" w14:textId="77777777" w:rsidR="007A562E" w:rsidRDefault="007A562E" w:rsidP="00730A4A">
            <w:pPr>
              <w:pStyle w:val="TableParagraph"/>
              <w:autoSpaceDE w:val="0"/>
              <w:autoSpaceDN w:val="0"/>
              <w:spacing w:line="234" w:lineRule="exact"/>
              <w:ind w:right="59"/>
              <w:jc w:val="right"/>
            </w:pPr>
            <w:r>
              <w:t>0</w:t>
            </w:r>
          </w:p>
        </w:tc>
      </w:tr>
      <w:tr w:rsidR="007A562E" w14:paraId="4678D6CE" w14:textId="77777777" w:rsidTr="00730A4A">
        <w:trPr>
          <w:trHeight w:val="318"/>
        </w:trPr>
        <w:tc>
          <w:tcPr>
            <w:tcW w:w="3668" w:type="dxa"/>
            <w:shd w:val="clear" w:color="auto" w:fill="auto"/>
          </w:tcPr>
          <w:p w14:paraId="3370F42E" w14:textId="77777777" w:rsidR="007A562E" w:rsidRDefault="007A562E" w:rsidP="00730A4A">
            <w:pPr>
              <w:pStyle w:val="TableParagraph"/>
              <w:autoSpaceDE w:val="0"/>
              <w:autoSpaceDN w:val="0"/>
              <w:spacing w:before="31"/>
              <w:ind w:left="71"/>
            </w:pPr>
            <w:r>
              <w:t>Agricultural seed allocation</w:t>
            </w:r>
          </w:p>
        </w:tc>
        <w:tc>
          <w:tcPr>
            <w:tcW w:w="2005" w:type="dxa"/>
            <w:shd w:val="clear" w:color="auto" w:fill="auto"/>
          </w:tcPr>
          <w:p w14:paraId="0F54591D" w14:textId="77777777" w:rsidR="007A562E" w:rsidRPr="00730A4A" w:rsidRDefault="007A562E" w:rsidP="00730A4A">
            <w:pPr>
              <w:pStyle w:val="TableParagraph"/>
              <w:autoSpaceDE w:val="0"/>
              <w:autoSpaceDN w:val="0"/>
              <w:rPr>
                <w:rFonts w:ascii="Times New Roman"/>
              </w:rPr>
            </w:pPr>
          </w:p>
        </w:tc>
        <w:tc>
          <w:tcPr>
            <w:tcW w:w="1883" w:type="dxa"/>
            <w:shd w:val="clear" w:color="auto" w:fill="auto"/>
          </w:tcPr>
          <w:p w14:paraId="31EB5D31" w14:textId="77777777" w:rsidR="007A562E" w:rsidRDefault="007A562E" w:rsidP="00730A4A">
            <w:pPr>
              <w:pStyle w:val="TableParagraph"/>
              <w:autoSpaceDE w:val="0"/>
              <w:autoSpaceDN w:val="0"/>
              <w:spacing w:before="31"/>
              <w:ind w:right="57"/>
              <w:jc w:val="right"/>
            </w:pPr>
            <w:r>
              <w:t>PM</w:t>
            </w:r>
          </w:p>
        </w:tc>
        <w:tc>
          <w:tcPr>
            <w:tcW w:w="1760" w:type="dxa"/>
            <w:shd w:val="clear" w:color="auto" w:fill="auto"/>
          </w:tcPr>
          <w:p w14:paraId="2D62E85C" w14:textId="77777777" w:rsidR="007A562E" w:rsidRDefault="007A562E" w:rsidP="00730A4A">
            <w:pPr>
              <w:pStyle w:val="TableParagraph"/>
              <w:autoSpaceDE w:val="0"/>
              <w:autoSpaceDN w:val="0"/>
              <w:spacing w:before="31"/>
              <w:ind w:right="59"/>
              <w:jc w:val="right"/>
            </w:pPr>
            <w:r>
              <w:t>0</w:t>
            </w:r>
          </w:p>
        </w:tc>
      </w:tr>
      <w:tr w:rsidR="007A562E" w14:paraId="1D8F9C93" w14:textId="77777777" w:rsidTr="00730A4A">
        <w:trPr>
          <w:trHeight w:val="506"/>
        </w:trPr>
        <w:tc>
          <w:tcPr>
            <w:tcW w:w="3668" w:type="dxa"/>
            <w:shd w:val="clear" w:color="auto" w:fill="auto"/>
          </w:tcPr>
          <w:p w14:paraId="24D57E52" w14:textId="77777777" w:rsidR="007A562E" w:rsidRDefault="007A562E" w:rsidP="00730A4A">
            <w:pPr>
              <w:pStyle w:val="TableParagraph"/>
              <w:autoSpaceDE w:val="0"/>
              <w:autoSpaceDN w:val="0"/>
              <w:spacing w:line="254" w:lineRule="exact"/>
              <w:ind w:left="71" w:right="1108"/>
            </w:pPr>
            <w:r>
              <w:t>Environmental and social management training</w:t>
            </w:r>
          </w:p>
        </w:tc>
        <w:tc>
          <w:tcPr>
            <w:tcW w:w="2005" w:type="dxa"/>
            <w:shd w:val="clear" w:color="auto" w:fill="auto"/>
          </w:tcPr>
          <w:p w14:paraId="2D5BCF54" w14:textId="77777777" w:rsidR="007A562E" w:rsidRDefault="007A562E" w:rsidP="00730A4A">
            <w:pPr>
              <w:pStyle w:val="TableParagraph"/>
              <w:autoSpaceDE w:val="0"/>
              <w:autoSpaceDN w:val="0"/>
              <w:spacing w:before="124"/>
              <w:ind w:left="8"/>
              <w:jc w:val="center"/>
            </w:pPr>
            <w:r>
              <w:t>2</w:t>
            </w:r>
          </w:p>
        </w:tc>
        <w:tc>
          <w:tcPr>
            <w:tcW w:w="1883" w:type="dxa"/>
            <w:shd w:val="clear" w:color="auto" w:fill="auto"/>
          </w:tcPr>
          <w:p w14:paraId="362DA48E" w14:textId="77777777" w:rsidR="007A562E" w:rsidRDefault="007A562E" w:rsidP="00730A4A">
            <w:pPr>
              <w:pStyle w:val="TableParagraph"/>
              <w:autoSpaceDE w:val="0"/>
              <w:autoSpaceDN w:val="0"/>
              <w:spacing w:before="124"/>
              <w:ind w:right="57"/>
              <w:jc w:val="right"/>
            </w:pPr>
            <w:r>
              <w:t>50 000</w:t>
            </w:r>
          </w:p>
        </w:tc>
        <w:tc>
          <w:tcPr>
            <w:tcW w:w="1760" w:type="dxa"/>
            <w:shd w:val="clear" w:color="auto" w:fill="auto"/>
          </w:tcPr>
          <w:p w14:paraId="100EA9AA" w14:textId="77777777" w:rsidR="007A562E" w:rsidRDefault="007A562E" w:rsidP="00730A4A">
            <w:pPr>
              <w:pStyle w:val="TableParagraph"/>
              <w:autoSpaceDE w:val="0"/>
              <w:autoSpaceDN w:val="0"/>
              <w:spacing w:before="124"/>
              <w:ind w:right="57"/>
              <w:jc w:val="right"/>
            </w:pPr>
            <w:r>
              <w:t>100 000</w:t>
            </w:r>
          </w:p>
        </w:tc>
      </w:tr>
      <w:tr w:rsidR="007A562E" w14:paraId="021C9595" w14:textId="77777777" w:rsidTr="00730A4A">
        <w:trPr>
          <w:trHeight w:val="756"/>
        </w:trPr>
        <w:tc>
          <w:tcPr>
            <w:tcW w:w="3668" w:type="dxa"/>
            <w:shd w:val="clear" w:color="auto" w:fill="auto"/>
          </w:tcPr>
          <w:p w14:paraId="297687A0" w14:textId="77777777" w:rsidR="007A562E" w:rsidRDefault="007A562E" w:rsidP="00730A4A">
            <w:pPr>
              <w:pStyle w:val="TableParagraph"/>
              <w:autoSpaceDE w:val="0"/>
              <w:autoSpaceDN w:val="0"/>
              <w:spacing w:line="248" w:lineRule="exact"/>
              <w:ind w:left="71"/>
            </w:pPr>
            <w:r>
              <w:lastRenderedPageBreak/>
              <w:t>EAS/HS Action Plan, including</w:t>
            </w:r>
          </w:p>
          <w:p w14:paraId="433DBEE5" w14:textId="7B78EA7C" w:rsidR="007A562E" w:rsidRDefault="007A562E" w:rsidP="00730A4A">
            <w:pPr>
              <w:pStyle w:val="TableParagraph"/>
              <w:autoSpaceDE w:val="0"/>
              <w:autoSpaceDN w:val="0"/>
              <w:spacing w:before="6" w:line="252" w:lineRule="exact"/>
              <w:ind w:left="71" w:right="779"/>
            </w:pPr>
            <w:r>
              <w:t>specific PMM procedures for EAS/HS complaints</w:t>
            </w:r>
            <w:r w:rsidR="00544F9E">
              <w:t xml:space="preserve"> (annex 15)</w:t>
            </w:r>
          </w:p>
        </w:tc>
        <w:tc>
          <w:tcPr>
            <w:tcW w:w="2005" w:type="dxa"/>
            <w:shd w:val="clear" w:color="auto" w:fill="auto"/>
          </w:tcPr>
          <w:p w14:paraId="32D132C1" w14:textId="77777777" w:rsidR="007A562E" w:rsidRPr="00730A4A" w:rsidRDefault="007A562E" w:rsidP="00730A4A">
            <w:pPr>
              <w:pStyle w:val="TableParagraph"/>
              <w:autoSpaceDE w:val="0"/>
              <w:autoSpaceDN w:val="0"/>
              <w:spacing w:before="8"/>
              <w:rPr>
                <w:rFonts w:ascii="Times New Roman"/>
                <w:sz w:val="21"/>
              </w:rPr>
            </w:pPr>
          </w:p>
          <w:p w14:paraId="1E94EE9B" w14:textId="77777777" w:rsidR="007A562E" w:rsidRDefault="007A562E" w:rsidP="00730A4A">
            <w:pPr>
              <w:pStyle w:val="TableParagraph"/>
              <w:autoSpaceDE w:val="0"/>
              <w:autoSpaceDN w:val="0"/>
              <w:ind w:left="7"/>
              <w:jc w:val="center"/>
            </w:pPr>
            <w:r>
              <w:t>-</w:t>
            </w:r>
          </w:p>
        </w:tc>
        <w:tc>
          <w:tcPr>
            <w:tcW w:w="1883" w:type="dxa"/>
            <w:shd w:val="clear" w:color="auto" w:fill="auto"/>
          </w:tcPr>
          <w:p w14:paraId="529277A4" w14:textId="77777777" w:rsidR="007A562E" w:rsidRPr="00730A4A" w:rsidRDefault="007A562E" w:rsidP="00730A4A">
            <w:pPr>
              <w:pStyle w:val="TableParagraph"/>
              <w:autoSpaceDE w:val="0"/>
              <w:autoSpaceDN w:val="0"/>
              <w:spacing w:before="8"/>
              <w:rPr>
                <w:rFonts w:ascii="Times New Roman"/>
                <w:sz w:val="21"/>
              </w:rPr>
            </w:pPr>
          </w:p>
          <w:p w14:paraId="5804A56B" w14:textId="77777777" w:rsidR="007A562E" w:rsidRDefault="007A562E" w:rsidP="00730A4A">
            <w:pPr>
              <w:pStyle w:val="TableParagraph"/>
              <w:autoSpaceDE w:val="0"/>
              <w:autoSpaceDN w:val="0"/>
              <w:ind w:right="57"/>
              <w:jc w:val="right"/>
            </w:pPr>
            <w:r>
              <w:t>-</w:t>
            </w:r>
          </w:p>
        </w:tc>
        <w:tc>
          <w:tcPr>
            <w:tcW w:w="1760" w:type="dxa"/>
            <w:shd w:val="clear" w:color="auto" w:fill="auto"/>
          </w:tcPr>
          <w:p w14:paraId="454AE7B7" w14:textId="77777777" w:rsidR="007A562E" w:rsidRPr="00730A4A" w:rsidRDefault="007A562E" w:rsidP="00730A4A">
            <w:pPr>
              <w:pStyle w:val="TableParagraph"/>
              <w:autoSpaceDE w:val="0"/>
              <w:autoSpaceDN w:val="0"/>
              <w:spacing w:before="8"/>
              <w:rPr>
                <w:rFonts w:ascii="Times New Roman"/>
                <w:sz w:val="21"/>
              </w:rPr>
            </w:pPr>
          </w:p>
          <w:p w14:paraId="65A83C42" w14:textId="327A4FAD" w:rsidR="007A562E" w:rsidRDefault="00ED2041" w:rsidP="00730A4A">
            <w:pPr>
              <w:pStyle w:val="TableParagraph"/>
              <w:autoSpaceDE w:val="0"/>
              <w:autoSpaceDN w:val="0"/>
              <w:ind w:right="57"/>
              <w:jc w:val="right"/>
            </w:pPr>
            <w:r>
              <w:t>7 530 000</w:t>
            </w:r>
          </w:p>
        </w:tc>
      </w:tr>
      <w:tr w:rsidR="007A562E" w14:paraId="29330C3D" w14:textId="77777777" w:rsidTr="00730A4A">
        <w:trPr>
          <w:trHeight w:val="252"/>
        </w:trPr>
        <w:tc>
          <w:tcPr>
            <w:tcW w:w="3668" w:type="dxa"/>
            <w:vMerge w:val="restart"/>
            <w:shd w:val="clear" w:color="auto" w:fill="auto"/>
          </w:tcPr>
          <w:p w14:paraId="1DA3344C" w14:textId="77777777" w:rsidR="007A562E" w:rsidRDefault="007A562E" w:rsidP="00730A4A">
            <w:pPr>
              <w:pStyle w:val="TableParagraph"/>
              <w:autoSpaceDE w:val="0"/>
              <w:autoSpaceDN w:val="0"/>
              <w:spacing w:before="2" w:line="252" w:lineRule="exact"/>
              <w:ind w:left="71" w:right="191"/>
            </w:pPr>
            <w:r>
              <w:t>Mid-term and final monitoring/evaluation of the NADP CGES and Audits</w:t>
            </w:r>
          </w:p>
        </w:tc>
        <w:tc>
          <w:tcPr>
            <w:tcW w:w="2005" w:type="dxa"/>
            <w:shd w:val="clear" w:color="auto" w:fill="auto"/>
          </w:tcPr>
          <w:p w14:paraId="1919FFD0" w14:textId="77777777" w:rsidR="007A562E" w:rsidRDefault="007A562E" w:rsidP="00730A4A">
            <w:pPr>
              <w:pStyle w:val="TableParagraph"/>
              <w:autoSpaceDE w:val="0"/>
              <w:autoSpaceDN w:val="0"/>
              <w:spacing w:line="232" w:lineRule="exact"/>
              <w:ind w:left="566" w:right="561"/>
              <w:jc w:val="center"/>
            </w:pPr>
            <w:r>
              <w:t>10</w:t>
            </w:r>
          </w:p>
        </w:tc>
        <w:tc>
          <w:tcPr>
            <w:tcW w:w="1883" w:type="dxa"/>
            <w:shd w:val="clear" w:color="auto" w:fill="auto"/>
          </w:tcPr>
          <w:p w14:paraId="15777B86" w14:textId="77777777" w:rsidR="007A562E" w:rsidRDefault="007A562E" w:rsidP="00730A4A">
            <w:pPr>
              <w:pStyle w:val="TableParagraph"/>
              <w:autoSpaceDE w:val="0"/>
              <w:autoSpaceDN w:val="0"/>
              <w:spacing w:line="232" w:lineRule="exact"/>
              <w:ind w:right="57"/>
              <w:jc w:val="right"/>
            </w:pPr>
            <w:r>
              <w:t>30 000</w:t>
            </w:r>
          </w:p>
        </w:tc>
        <w:tc>
          <w:tcPr>
            <w:tcW w:w="1760" w:type="dxa"/>
            <w:shd w:val="clear" w:color="auto" w:fill="auto"/>
          </w:tcPr>
          <w:p w14:paraId="23CA768F" w14:textId="77777777" w:rsidR="007A562E" w:rsidRDefault="007A562E" w:rsidP="00730A4A">
            <w:pPr>
              <w:pStyle w:val="TableParagraph"/>
              <w:autoSpaceDE w:val="0"/>
              <w:autoSpaceDN w:val="0"/>
              <w:spacing w:line="232" w:lineRule="exact"/>
              <w:ind w:right="57"/>
              <w:jc w:val="right"/>
            </w:pPr>
            <w:r>
              <w:t>300 000</w:t>
            </w:r>
          </w:p>
        </w:tc>
      </w:tr>
      <w:tr w:rsidR="00BB0401" w14:paraId="1A8B29EB" w14:textId="77777777" w:rsidTr="00730A4A">
        <w:trPr>
          <w:trHeight w:val="496"/>
        </w:trPr>
        <w:tc>
          <w:tcPr>
            <w:tcW w:w="3668" w:type="dxa"/>
            <w:vMerge/>
            <w:tcBorders>
              <w:top w:val="nil"/>
            </w:tcBorders>
            <w:shd w:val="clear" w:color="auto" w:fill="auto"/>
          </w:tcPr>
          <w:p w14:paraId="26695428" w14:textId="77777777" w:rsidR="007A562E" w:rsidRPr="00730A4A" w:rsidRDefault="007A562E" w:rsidP="00730A4A">
            <w:pPr>
              <w:widowControl w:val="0"/>
              <w:autoSpaceDE w:val="0"/>
              <w:autoSpaceDN w:val="0"/>
              <w:rPr>
                <w:sz w:val="2"/>
                <w:szCs w:val="2"/>
                <w:lang w:val="en-US"/>
              </w:rPr>
            </w:pPr>
          </w:p>
        </w:tc>
        <w:tc>
          <w:tcPr>
            <w:tcW w:w="2005" w:type="dxa"/>
            <w:shd w:val="clear" w:color="auto" w:fill="auto"/>
          </w:tcPr>
          <w:p w14:paraId="31CE4DC3" w14:textId="77777777" w:rsidR="007A562E" w:rsidRDefault="007A562E" w:rsidP="00730A4A">
            <w:pPr>
              <w:pStyle w:val="TableParagraph"/>
              <w:autoSpaceDE w:val="0"/>
              <w:autoSpaceDN w:val="0"/>
              <w:spacing w:before="120"/>
              <w:ind w:left="566" w:right="561"/>
              <w:jc w:val="center"/>
            </w:pPr>
            <w:r>
              <w:t>10</w:t>
            </w:r>
          </w:p>
        </w:tc>
        <w:tc>
          <w:tcPr>
            <w:tcW w:w="1883" w:type="dxa"/>
            <w:shd w:val="clear" w:color="auto" w:fill="auto"/>
          </w:tcPr>
          <w:p w14:paraId="5289F367" w14:textId="77777777" w:rsidR="007A562E" w:rsidRDefault="007A562E" w:rsidP="00730A4A">
            <w:pPr>
              <w:pStyle w:val="TableParagraph"/>
              <w:autoSpaceDE w:val="0"/>
              <w:autoSpaceDN w:val="0"/>
              <w:spacing w:before="120"/>
              <w:ind w:right="57"/>
              <w:jc w:val="right"/>
            </w:pPr>
            <w:r>
              <w:t>30 000</w:t>
            </w:r>
          </w:p>
        </w:tc>
        <w:tc>
          <w:tcPr>
            <w:tcW w:w="1760" w:type="dxa"/>
            <w:shd w:val="clear" w:color="auto" w:fill="auto"/>
          </w:tcPr>
          <w:p w14:paraId="114B8DCA" w14:textId="77777777" w:rsidR="007A562E" w:rsidRDefault="007A562E" w:rsidP="00730A4A">
            <w:pPr>
              <w:pStyle w:val="TableParagraph"/>
              <w:autoSpaceDE w:val="0"/>
              <w:autoSpaceDN w:val="0"/>
              <w:spacing w:before="120"/>
              <w:ind w:right="57"/>
              <w:jc w:val="right"/>
            </w:pPr>
            <w:r>
              <w:t>300 000</w:t>
            </w:r>
          </w:p>
        </w:tc>
      </w:tr>
      <w:tr w:rsidR="007A562E" w14:paraId="2493DF68" w14:textId="77777777" w:rsidTr="00730A4A">
        <w:trPr>
          <w:trHeight w:val="282"/>
        </w:trPr>
        <w:tc>
          <w:tcPr>
            <w:tcW w:w="7556" w:type="dxa"/>
            <w:gridSpan w:val="3"/>
            <w:shd w:val="clear" w:color="auto" w:fill="auto"/>
          </w:tcPr>
          <w:p w14:paraId="67D3E44D" w14:textId="77777777" w:rsidR="007A562E" w:rsidRDefault="007A562E" w:rsidP="00730A4A">
            <w:pPr>
              <w:pStyle w:val="TableParagraph"/>
              <w:autoSpaceDE w:val="0"/>
              <w:autoSpaceDN w:val="0"/>
              <w:spacing w:before="12" w:line="251" w:lineRule="exact"/>
              <w:ind w:left="71"/>
            </w:pPr>
            <w:r>
              <w:t>TOTAL</w:t>
            </w:r>
          </w:p>
        </w:tc>
        <w:tc>
          <w:tcPr>
            <w:tcW w:w="1760" w:type="dxa"/>
            <w:shd w:val="clear" w:color="auto" w:fill="auto"/>
          </w:tcPr>
          <w:p w14:paraId="46EA4633" w14:textId="77777777" w:rsidR="007A562E" w:rsidRDefault="007A562E" w:rsidP="00730A4A">
            <w:pPr>
              <w:pStyle w:val="TableParagraph"/>
              <w:autoSpaceDE w:val="0"/>
              <w:autoSpaceDN w:val="0"/>
              <w:spacing w:before="26" w:line="237" w:lineRule="exact"/>
              <w:ind w:right="57"/>
              <w:jc w:val="right"/>
            </w:pPr>
            <w:r>
              <w:t>14 446 300</w:t>
            </w:r>
          </w:p>
        </w:tc>
      </w:tr>
      <w:tr w:rsidR="007A562E" w14:paraId="74AE7915" w14:textId="77777777" w:rsidTr="00730A4A">
        <w:trPr>
          <w:trHeight w:val="506"/>
        </w:trPr>
        <w:tc>
          <w:tcPr>
            <w:tcW w:w="3668" w:type="dxa"/>
            <w:shd w:val="clear" w:color="auto" w:fill="auto"/>
          </w:tcPr>
          <w:p w14:paraId="57EE5A31" w14:textId="77777777" w:rsidR="007A562E" w:rsidRDefault="007A562E" w:rsidP="00730A4A">
            <w:pPr>
              <w:pStyle w:val="TableParagraph"/>
              <w:autoSpaceDE w:val="0"/>
              <w:autoSpaceDN w:val="0"/>
              <w:spacing w:before="2" w:line="252" w:lineRule="exact"/>
              <w:ind w:left="71" w:right="289"/>
            </w:pPr>
            <w:r>
              <w:t>Contingencies and miscellaneous (5%)</w:t>
            </w:r>
          </w:p>
        </w:tc>
        <w:tc>
          <w:tcPr>
            <w:tcW w:w="2005" w:type="dxa"/>
            <w:shd w:val="clear" w:color="auto" w:fill="auto"/>
          </w:tcPr>
          <w:p w14:paraId="6E06F997" w14:textId="77777777" w:rsidR="007A562E" w:rsidRDefault="007A562E" w:rsidP="00730A4A">
            <w:pPr>
              <w:pStyle w:val="TableParagraph"/>
              <w:autoSpaceDE w:val="0"/>
              <w:autoSpaceDN w:val="0"/>
              <w:spacing w:before="124"/>
              <w:ind w:left="569" w:right="561"/>
              <w:jc w:val="center"/>
            </w:pPr>
            <w:r>
              <w:t>0,05</w:t>
            </w:r>
          </w:p>
        </w:tc>
        <w:tc>
          <w:tcPr>
            <w:tcW w:w="1883" w:type="dxa"/>
            <w:shd w:val="clear" w:color="auto" w:fill="auto"/>
          </w:tcPr>
          <w:p w14:paraId="1CA2165C" w14:textId="77777777" w:rsidR="007A562E" w:rsidRPr="00730A4A" w:rsidRDefault="007A562E" w:rsidP="00730A4A">
            <w:pPr>
              <w:pStyle w:val="TableParagraph"/>
              <w:autoSpaceDE w:val="0"/>
              <w:autoSpaceDN w:val="0"/>
              <w:rPr>
                <w:rFonts w:ascii="Times New Roman"/>
              </w:rPr>
            </w:pPr>
          </w:p>
        </w:tc>
        <w:tc>
          <w:tcPr>
            <w:tcW w:w="1760" w:type="dxa"/>
            <w:shd w:val="clear" w:color="auto" w:fill="auto"/>
          </w:tcPr>
          <w:p w14:paraId="11408EAF" w14:textId="77777777" w:rsidR="007A562E" w:rsidRDefault="007A562E" w:rsidP="00730A4A">
            <w:pPr>
              <w:pStyle w:val="TableParagraph"/>
              <w:autoSpaceDE w:val="0"/>
              <w:autoSpaceDN w:val="0"/>
              <w:spacing w:before="124"/>
              <w:ind w:right="57"/>
              <w:jc w:val="right"/>
            </w:pPr>
            <w:r>
              <w:t>722 315</w:t>
            </w:r>
          </w:p>
        </w:tc>
      </w:tr>
      <w:tr w:rsidR="007A562E" w14:paraId="5D0C27C1" w14:textId="77777777" w:rsidTr="00730A4A">
        <w:trPr>
          <w:trHeight w:val="424"/>
        </w:trPr>
        <w:tc>
          <w:tcPr>
            <w:tcW w:w="7556" w:type="dxa"/>
            <w:gridSpan w:val="3"/>
            <w:shd w:val="clear" w:color="auto" w:fill="auto"/>
          </w:tcPr>
          <w:p w14:paraId="64680C98" w14:textId="77777777" w:rsidR="007A562E" w:rsidRDefault="007A562E" w:rsidP="00730A4A">
            <w:pPr>
              <w:pStyle w:val="TableParagraph"/>
              <w:autoSpaceDE w:val="0"/>
              <w:autoSpaceDN w:val="0"/>
              <w:spacing w:before="84"/>
              <w:ind w:left="2976" w:right="2965"/>
              <w:jc w:val="center"/>
            </w:pPr>
            <w:r>
              <w:t>GRAND TOTAL</w:t>
            </w:r>
          </w:p>
        </w:tc>
        <w:tc>
          <w:tcPr>
            <w:tcW w:w="1760" w:type="dxa"/>
            <w:shd w:val="clear" w:color="auto" w:fill="auto"/>
          </w:tcPr>
          <w:p w14:paraId="06B807B4" w14:textId="194F5FFD" w:rsidR="007A562E" w:rsidRDefault="00590478" w:rsidP="00730A4A">
            <w:pPr>
              <w:pStyle w:val="TableParagraph"/>
              <w:autoSpaceDE w:val="0"/>
              <w:autoSpaceDN w:val="0"/>
              <w:spacing w:before="84"/>
              <w:ind w:right="57"/>
              <w:jc w:val="right"/>
            </w:pPr>
            <w:r>
              <w:t>18 675 330</w:t>
            </w:r>
          </w:p>
        </w:tc>
      </w:tr>
    </w:tbl>
    <w:p w14:paraId="365E0D20" w14:textId="77777777" w:rsidR="001977A4" w:rsidRPr="00E7620D" w:rsidRDefault="001977A4" w:rsidP="001977A4">
      <w:pPr>
        <w:pStyle w:val="Corpsdetexte"/>
        <w:spacing w:line="276" w:lineRule="auto"/>
        <w:rPr>
          <w:rFonts w:cs="Arial"/>
          <w:sz w:val="22"/>
          <w:szCs w:val="22"/>
          <w:lang w:val="en-US"/>
        </w:rPr>
      </w:pPr>
    </w:p>
    <w:p w14:paraId="512A61AF" w14:textId="77777777" w:rsidR="00E738A0" w:rsidRPr="00296E4B" w:rsidRDefault="00E738A0" w:rsidP="002378EA">
      <w:pPr>
        <w:pStyle w:val="Paragraphedeliste"/>
        <w:widowControl w:val="0"/>
        <w:numPr>
          <w:ilvl w:val="0"/>
          <w:numId w:val="112"/>
        </w:numPr>
        <w:tabs>
          <w:tab w:val="left" w:pos="709"/>
        </w:tabs>
        <w:autoSpaceDE w:val="0"/>
        <w:autoSpaceDN w:val="0"/>
        <w:ind w:left="709" w:hanging="425"/>
        <w:contextualSpacing w:val="0"/>
        <w:rPr>
          <w:rFonts w:cs="Arial"/>
          <w:i/>
          <w:sz w:val="22"/>
          <w:lang w:val="en-US"/>
        </w:rPr>
      </w:pPr>
      <w:r>
        <w:rPr>
          <w:rFonts w:cs="Arial"/>
          <w:i/>
          <w:sz w:val="22"/>
          <w:lang w:val="en-US"/>
        </w:rPr>
        <w:t>Grievance Redress</w:t>
      </w:r>
      <w:r w:rsidRPr="00296E4B">
        <w:rPr>
          <w:rFonts w:cs="Arial"/>
          <w:i/>
          <w:sz w:val="22"/>
          <w:lang w:val="en-US"/>
        </w:rPr>
        <w:t xml:space="preserve"> Mechanism (</w:t>
      </w:r>
      <w:r>
        <w:rPr>
          <w:rFonts w:cs="Arial"/>
          <w:i/>
          <w:sz w:val="22"/>
          <w:lang w:val="en-US"/>
        </w:rPr>
        <w:t>GR</w:t>
      </w:r>
      <w:r w:rsidRPr="00296E4B">
        <w:rPr>
          <w:rFonts w:cs="Arial"/>
          <w:i/>
          <w:sz w:val="22"/>
          <w:lang w:val="en-US"/>
        </w:rPr>
        <w:t>M)</w:t>
      </w:r>
    </w:p>
    <w:p w14:paraId="61F26757" w14:textId="77777777" w:rsidR="00E738A0" w:rsidRDefault="00E738A0" w:rsidP="00E738A0">
      <w:pPr>
        <w:pStyle w:val="Corpsdetexte"/>
        <w:spacing w:line="276" w:lineRule="auto"/>
        <w:ind w:right="13"/>
        <w:rPr>
          <w:rFonts w:cs="Arial"/>
          <w:sz w:val="22"/>
          <w:szCs w:val="22"/>
          <w:u w:val="single"/>
          <w:lang w:val="en-US"/>
        </w:rPr>
      </w:pPr>
    </w:p>
    <w:p w14:paraId="2B735C9C" w14:textId="77777777" w:rsidR="00E738A0" w:rsidRPr="00296E4B" w:rsidRDefault="00E738A0" w:rsidP="00E738A0">
      <w:pPr>
        <w:pStyle w:val="Corpsdetexte"/>
        <w:spacing w:line="276" w:lineRule="auto"/>
        <w:ind w:right="13"/>
        <w:rPr>
          <w:rFonts w:cs="Arial"/>
          <w:sz w:val="22"/>
          <w:szCs w:val="22"/>
          <w:lang w:val="en-US"/>
        </w:rPr>
      </w:pPr>
      <w:r w:rsidRPr="00296E4B">
        <w:rPr>
          <w:rFonts w:cs="Arial"/>
          <w:sz w:val="22"/>
          <w:szCs w:val="22"/>
          <w:u w:val="single"/>
          <w:lang w:val="en-US"/>
        </w:rPr>
        <w:t xml:space="preserve">A </w:t>
      </w:r>
      <w:r>
        <w:rPr>
          <w:rFonts w:cs="Arial"/>
          <w:sz w:val="22"/>
          <w:szCs w:val="22"/>
          <w:u w:val="single"/>
          <w:lang w:val="en-US"/>
        </w:rPr>
        <w:t>Grievance Redress</w:t>
      </w:r>
      <w:r w:rsidRPr="00296E4B">
        <w:rPr>
          <w:rFonts w:cs="Arial"/>
          <w:sz w:val="22"/>
          <w:szCs w:val="22"/>
          <w:u w:val="single"/>
          <w:lang w:val="en-US"/>
        </w:rPr>
        <w:t xml:space="preserve"> Mechanism </w:t>
      </w:r>
      <w:r>
        <w:rPr>
          <w:rFonts w:cs="Arial"/>
          <w:sz w:val="22"/>
          <w:szCs w:val="22"/>
          <w:u w:val="single"/>
          <w:lang w:val="en-US"/>
        </w:rPr>
        <w:t xml:space="preserve">(GRM) </w:t>
      </w:r>
      <w:r w:rsidRPr="00296E4B">
        <w:rPr>
          <w:rFonts w:cs="Arial"/>
          <w:sz w:val="22"/>
          <w:szCs w:val="22"/>
          <w:u w:val="single"/>
          <w:lang w:val="en-US"/>
        </w:rPr>
        <w:t>is set up in accordance with NES 10: Stakeholder</w:t>
      </w:r>
      <w:r w:rsidRPr="00296E4B">
        <w:rPr>
          <w:rFonts w:cs="Arial"/>
          <w:sz w:val="22"/>
          <w:szCs w:val="22"/>
          <w:lang w:val="en-US"/>
        </w:rPr>
        <w:t xml:space="preserve"> </w:t>
      </w:r>
      <w:r w:rsidRPr="00296E4B">
        <w:rPr>
          <w:rFonts w:cs="Arial"/>
          <w:sz w:val="22"/>
          <w:szCs w:val="22"/>
          <w:u w:val="single"/>
          <w:lang w:val="en-US"/>
        </w:rPr>
        <w:t>Engagement and Information. The NADP PPM will be accessible to all stakeholders in the</w:t>
      </w:r>
      <w:r w:rsidRPr="00296E4B">
        <w:rPr>
          <w:rFonts w:cs="Arial"/>
          <w:sz w:val="22"/>
          <w:szCs w:val="22"/>
          <w:lang w:val="en-US"/>
        </w:rPr>
        <w:t xml:space="preserve"> </w:t>
      </w:r>
      <w:r w:rsidRPr="00296E4B">
        <w:rPr>
          <w:rFonts w:cs="Arial"/>
          <w:sz w:val="22"/>
          <w:szCs w:val="22"/>
          <w:u w:val="single"/>
          <w:lang w:val="en-US"/>
        </w:rPr>
        <w:t xml:space="preserve">programme including vulnerable people. In addition, a GBV-sensitive </w:t>
      </w:r>
      <w:r>
        <w:rPr>
          <w:rFonts w:cs="Arial"/>
          <w:sz w:val="22"/>
          <w:szCs w:val="22"/>
          <w:u w:val="single"/>
          <w:lang w:val="en-US"/>
        </w:rPr>
        <w:t>GR</w:t>
      </w:r>
      <w:r w:rsidRPr="00296E4B">
        <w:rPr>
          <w:rFonts w:cs="Arial"/>
          <w:sz w:val="22"/>
          <w:szCs w:val="22"/>
          <w:u w:val="single"/>
          <w:lang w:val="en-US"/>
        </w:rPr>
        <w:t>M is proposed in this</w:t>
      </w:r>
      <w:r w:rsidRPr="00296E4B">
        <w:rPr>
          <w:rFonts w:cs="Arial"/>
          <w:sz w:val="22"/>
          <w:szCs w:val="22"/>
          <w:lang w:val="en-US"/>
        </w:rPr>
        <w:t xml:space="preserve"> </w:t>
      </w:r>
      <w:r w:rsidRPr="00296E4B">
        <w:rPr>
          <w:rFonts w:cs="Arial"/>
          <w:sz w:val="22"/>
          <w:szCs w:val="22"/>
          <w:u w:val="single"/>
          <w:lang w:val="en-US"/>
        </w:rPr>
        <w:t>CGES. It advocates the amicable resolution mechanism</w:t>
      </w:r>
      <w:r w:rsidRPr="00296E4B">
        <w:rPr>
          <w:rFonts w:cs="Arial"/>
          <w:sz w:val="22"/>
          <w:szCs w:val="22"/>
          <w:lang w:val="en-US"/>
        </w:rPr>
        <w:t>.</w:t>
      </w:r>
    </w:p>
    <w:p w14:paraId="03B484A6" w14:textId="77777777" w:rsidR="00E738A0" w:rsidRPr="00296E4B" w:rsidRDefault="00E738A0" w:rsidP="00E738A0">
      <w:pPr>
        <w:pStyle w:val="Corpsdetexte"/>
        <w:ind w:right="13"/>
        <w:rPr>
          <w:rFonts w:cs="Arial"/>
          <w:sz w:val="22"/>
          <w:szCs w:val="22"/>
          <w:lang w:val="en-US"/>
        </w:rPr>
      </w:pPr>
    </w:p>
    <w:p w14:paraId="3F517BB8" w14:textId="77777777" w:rsidR="00E738A0" w:rsidRPr="00296E4B" w:rsidRDefault="00E738A0" w:rsidP="00E738A0">
      <w:pPr>
        <w:pStyle w:val="Corpsdetexte"/>
        <w:ind w:right="13"/>
        <w:rPr>
          <w:rFonts w:cs="Arial"/>
          <w:sz w:val="22"/>
          <w:szCs w:val="22"/>
          <w:lang w:val="en-US"/>
        </w:rPr>
      </w:pPr>
      <w:r w:rsidRPr="00296E4B">
        <w:rPr>
          <w:rFonts w:cs="Arial"/>
          <w:sz w:val="22"/>
          <w:szCs w:val="22"/>
          <w:lang w:val="en-US"/>
        </w:rPr>
        <w:t>Threelevels</w:t>
      </w:r>
      <w:r w:rsidRPr="00296E4B">
        <w:rPr>
          <w:rFonts w:cs="Arial"/>
          <w:sz w:val="22"/>
          <w:szCs w:val="22"/>
          <w:lang w:val="en-US"/>
        </w:rPr>
        <w:tab/>
        <w:t>of complaint</w:t>
      </w:r>
      <w:r w:rsidRPr="00296E4B">
        <w:rPr>
          <w:rFonts w:cs="Arial"/>
          <w:sz w:val="22"/>
          <w:szCs w:val="22"/>
          <w:lang w:val="en-US"/>
        </w:rPr>
        <w:tab/>
        <w:t xml:space="preserve"> resolution   with committees   inplace.   These</w:t>
      </w:r>
      <w:r w:rsidRPr="00296E4B">
        <w:rPr>
          <w:rFonts w:cs="Arial"/>
          <w:sz w:val="22"/>
          <w:szCs w:val="22"/>
          <w:lang w:val="en-US"/>
        </w:rPr>
        <w:tab/>
        <w:t>are   : (i)</w:t>
      </w:r>
      <w:r w:rsidRPr="00296E4B">
        <w:rPr>
          <w:rFonts w:cs="Arial"/>
          <w:sz w:val="22"/>
          <w:szCs w:val="22"/>
          <w:u w:val="single"/>
          <w:lang w:val="en-US"/>
        </w:rPr>
        <w:t xml:space="preserve"> Neighbourhood / village level: </w:t>
      </w:r>
      <w:r w:rsidRPr="00296E4B">
        <w:rPr>
          <w:rFonts w:cs="Arial"/>
          <w:i/>
          <w:sz w:val="22"/>
          <w:szCs w:val="22"/>
          <w:u w:val="single"/>
          <w:lang w:val="en-US"/>
        </w:rPr>
        <w:t xml:space="preserve">(ii) </w:t>
      </w:r>
      <w:r w:rsidRPr="00296E4B">
        <w:rPr>
          <w:rFonts w:cs="Arial"/>
          <w:sz w:val="22"/>
          <w:szCs w:val="22"/>
          <w:u w:val="single"/>
          <w:lang w:val="en-US"/>
        </w:rPr>
        <w:t>Municipal/territorial level: (</w:t>
      </w:r>
      <w:r w:rsidRPr="00296E4B">
        <w:rPr>
          <w:rFonts w:cs="Arial"/>
          <w:i/>
          <w:sz w:val="22"/>
          <w:szCs w:val="22"/>
          <w:u w:val="single"/>
          <w:lang w:val="en-US"/>
        </w:rPr>
        <w:t xml:space="preserve">iii) </w:t>
      </w:r>
      <w:r w:rsidRPr="00296E4B">
        <w:rPr>
          <w:rFonts w:cs="Arial"/>
          <w:sz w:val="22"/>
          <w:szCs w:val="22"/>
          <w:u w:val="single"/>
          <w:lang w:val="en-US"/>
        </w:rPr>
        <w:t>Provincial level</w:t>
      </w:r>
      <w:r w:rsidRPr="00296E4B">
        <w:rPr>
          <w:rFonts w:cs="Arial"/>
          <w:sz w:val="22"/>
          <w:szCs w:val="22"/>
          <w:lang w:val="en-US"/>
        </w:rPr>
        <w:t>.</w:t>
      </w:r>
    </w:p>
    <w:p w14:paraId="34040A27" w14:textId="77777777" w:rsidR="00E738A0" w:rsidRPr="00296E4B" w:rsidRDefault="00E738A0" w:rsidP="00E738A0">
      <w:pPr>
        <w:pStyle w:val="Corpsdetexte"/>
        <w:ind w:right="13"/>
        <w:rPr>
          <w:rFonts w:cs="Arial"/>
          <w:sz w:val="22"/>
          <w:szCs w:val="22"/>
          <w:lang w:val="en-US"/>
        </w:rPr>
      </w:pPr>
    </w:p>
    <w:p w14:paraId="1A063883" w14:textId="77777777" w:rsidR="00E738A0" w:rsidRPr="00296E4B" w:rsidRDefault="00E738A0" w:rsidP="00E738A0">
      <w:pPr>
        <w:pStyle w:val="Corpsdetexte"/>
        <w:ind w:right="13"/>
        <w:rPr>
          <w:rFonts w:cs="Arial"/>
          <w:sz w:val="22"/>
          <w:szCs w:val="22"/>
          <w:lang w:val="en-US"/>
        </w:rPr>
      </w:pPr>
      <w:r w:rsidRPr="00296E4B">
        <w:rPr>
          <w:rFonts w:cs="Arial"/>
          <w:sz w:val="22"/>
          <w:szCs w:val="22"/>
          <w:lang w:val="en-US"/>
        </w:rPr>
        <w:t>Although</w:t>
      </w:r>
      <w:r w:rsidRPr="00296E4B">
        <w:rPr>
          <w:rFonts w:cs="Arial"/>
          <w:spacing w:val="-12"/>
          <w:sz w:val="22"/>
          <w:szCs w:val="22"/>
          <w:lang w:val="en-US"/>
        </w:rPr>
        <w:t xml:space="preserve"> </w:t>
      </w:r>
      <w:r w:rsidRPr="00296E4B">
        <w:rPr>
          <w:rFonts w:cs="Arial"/>
          <w:sz w:val="22"/>
          <w:szCs w:val="22"/>
          <w:lang w:val="en-US"/>
        </w:rPr>
        <w:t>recourse</w:t>
      </w:r>
      <w:r w:rsidRPr="00296E4B">
        <w:rPr>
          <w:rFonts w:cs="Arial"/>
          <w:spacing w:val="-11"/>
          <w:sz w:val="22"/>
          <w:szCs w:val="22"/>
          <w:lang w:val="en-US"/>
        </w:rPr>
        <w:t xml:space="preserve"> </w:t>
      </w:r>
      <w:r w:rsidRPr="00296E4B">
        <w:rPr>
          <w:rFonts w:cs="Arial"/>
          <w:sz w:val="22"/>
          <w:szCs w:val="22"/>
          <w:lang w:val="en-US"/>
        </w:rPr>
        <w:t>to</w:t>
      </w:r>
      <w:r w:rsidRPr="00296E4B">
        <w:rPr>
          <w:rFonts w:cs="Arial"/>
          <w:spacing w:val="-10"/>
          <w:sz w:val="22"/>
          <w:szCs w:val="22"/>
          <w:lang w:val="en-US"/>
        </w:rPr>
        <w:t xml:space="preserve"> </w:t>
      </w:r>
      <w:r w:rsidRPr="00296E4B">
        <w:rPr>
          <w:rFonts w:cs="Arial"/>
          <w:sz w:val="22"/>
          <w:szCs w:val="22"/>
          <w:lang w:val="en-US"/>
        </w:rPr>
        <w:t>the</w:t>
      </w:r>
      <w:r w:rsidRPr="00296E4B">
        <w:rPr>
          <w:rFonts w:cs="Arial"/>
          <w:spacing w:val="-14"/>
          <w:sz w:val="22"/>
          <w:szCs w:val="22"/>
          <w:lang w:val="en-US"/>
        </w:rPr>
        <w:t xml:space="preserve"> </w:t>
      </w:r>
      <w:r w:rsidRPr="00296E4B">
        <w:rPr>
          <w:rFonts w:cs="Arial"/>
          <w:sz w:val="22"/>
          <w:szCs w:val="22"/>
          <w:lang w:val="en-US"/>
        </w:rPr>
        <w:t>courts</w:t>
      </w:r>
      <w:r w:rsidRPr="00296E4B">
        <w:rPr>
          <w:rFonts w:cs="Arial"/>
          <w:spacing w:val="-12"/>
          <w:sz w:val="22"/>
          <w:szCs w:val="22"/>
          <w:lang w:val="en-US"/>
        </w:rPr>
        <w:t xml:space="preserve"> </w:t>
      </w:r>
      <w:r w:rsidRPr="00296E4B">
        <w:rPr>
          <w:rFonts w:cs="Arial"/>
          <w:sz w:val="22"/>
          <w:szCs w:val="22"/>
          <w:lang w:val="en-US"/>
        </w:rPr>
        <w:t>is</w:t>
      </w:r>
      <w:r w:rsidRPr="00296E4B">
        <w:rPr>
          <w:rFonts w:cs="Arial"/>
          <w:spacing w:val="-10"/>
          <w:sz w:val="22"/>
          <w:szCs w:val="22"/>
          <w:lang w:val="en-US"/>
        </w:rPr>
        <w:t xml:space="preserve"> </w:t>
      </w:r>
      <w:r w:rsidRPr="00296E4B">
        <w:rPr>
          <w:rFonts w:cs="Arial"/>
          <w:sz w:val="22"/>
          <w:szCs w:val="22"/>
          <w:lang w:val="en-US"/>
        </w:rPr>
        <w:t>not</w:t>
      </w:r>
      <w:r w:rsidRPr="00296E4B">
        <w:rPr>
          <w:rFonts w:cs="Arial"/>
          <w:spacing w:val="-10"/>
          <w:sz w:val="22"/>
          <w:szCs w:val="22"/>
          <w:lang w:val="en-US"/>
        </w:rPr>
        <w:t xml:space="preserve"> </w:t>
      </w:r>
      <w:r w:rsidRPr="00296E4B">
        <w:rPr>
          <w:rFonts w:cs="Arial"/>
          <w:sz w:val="22"/>
          <w:szCs w:val="22"/>
          <w:lang w:val="en-US"/>
        </w:rPr>
        <w:t>recommended</w:t>
      </w:r>
      <w:r w:rsidRPr="00296E4B">
        <w:rPr>
          <w:rFonts w:cs="Arial"/>
          <w:spacing w:val="-13"/>
          <w:sz w:val="22"/>
          <w:szCs w:val="22"/>
          <w:lang w:val="en-US"/>
        </w:rPr>
        <w:t xml:space="preserve"> </w:t>
      </w:r>
      <w:r w:rsidRPr="00296E4B">
        <w:rPr>
          <w:rFonts w:cs="Arial"/>
          <w:sz w:val="22"/>
          <w:szCs w:val="22"/>
          <w:lang w:val="en-US"/>
        </w:rPr>
        <w:t>for</w:t>
      </w:r>
      <w:r w:rsidRPr="00296E4B">
        <w:rPr>
          <w:rFonts w:cs="Arial"/>
          <w:spacing w:val="-11"/>
          <w:sz w:val="22"/>
          <w:szCs w:val="22"/>
          <w:lang w:val="en-US"/>
        </w:rPr>
        <w:t xml:space="preserve"> </w:t>
      </w:r>
      <w:r w:rsidRPr="00296E4B">
        <w:rPr>
          <w:rFonts w:cs="Arial"/>
          <w:sz w:val="22"/>
          <w:szCs w:val="22"/>
          <w:lang w:val="en-US"/>
        </w:rPr>
        <w:t>the</w:t>
      </w:r>
      <w:r w:rsidRPr="00296E4B">
        <w:rPr>
          <w:rFonts w:cs="Arial"/>
          <w:spacing w:val="-13"/>
          <w:sz w:val="22"/>
          <w:szCs w:val="22"/>
          <w:lang w:val="en-US"/>
        </w:rPr>
        <w:t xml:space="preserve"> </w:t>
      </w:r>
      <w:r w:rsidRPr="00296E4B">
        <w:rPr>
          <w:rFonts w:cs="Arial"/>
          <w:sz w:val="22"/>
          <w:szCs w:val="22"/>
          <w:lang w:val="en-US"/>
        </w:rPr>
        <w:t>smooth</w:t>
      </w:r>
      <w:r w:rsidRPr="00296E4B">
        <w:rPr>
          <w:rFonts w:cs="Arial"/>
          <w:spacing w:val="-11"/>
          <w:sz w:val="22"/>
          <w:szCs w:val="22"/>
          <w:lang w:val="en-US"/>
        </w:rPr>
        <w:t xml:space="preserve"> </w:t>
      </w:r>
      <w:r w:rsidRPr="00296E4B">
        <w:rPr>
          <w:rFonts w:cs="Arial"/>
          <w:sz w:val="22"/>
          <w:szCs w:val="22"/>
          <w:lang w:val="en-US"/>
        </w:rPr>
        <w:t>running</w:t>
      </w:r>
      <w:r w:rsidRPr="00296E4B">
        <w:rPr>
          <w:rFonts w:cs="Arial"/>
          <w:spacing w:val="-8"/>
          <w:sz w:val="22"/>
          <w:szCs w:val="22"/>
          <w:lang w:val="en-US"/>
        </w:rPr>
        <w:t xml:space="preserve"> </w:t>
      </w:r>
      <w:r w:rsidRPr="00296E4B">
        <w:rPr>
          <w:rFonts w:cs="Arial"/>
          <w:sz w:val="22"/>
          <w:szCs w:val="22"/>
          <w:lang w:val="en-US"/>
        </w:rPr>
        <w:t>of</w:t>
      </w:r>
      <w:r w:rsidRPr="00296E4B">
        <w:rPr>
          <w:rFonts w:cs="Arial"/>
          <w:spacing w:val="-10"/>
          <w:sz w:val="22"/>
          <w:szCs w:val="22"/>
          <w:lang w:val="en-US"/>
        </w:rPr>
        <w:t xml:space="preserve"> </w:t>
      </w:r>
      <w:r w:rsidRPr="00296E4B">
        <w:rPr>
          <w:rFonts w:cs="Arial"/>
          <w:sz w:val="22"/>
          <w:szCs w:val="22"/>
          <w:lang w:val="en-US"/>
        </w:rPr>
        <w:t>the</w:t>
      </w:r>
      <w:r w:rsidRPr="00296E4B">
        <w:rPr>
          <w:rFonts w:cs="Arial"/>
          <w:spacing w:val="-11"/>
          <w:sz w:val="22"/>
          <w:szCs w:val="22"/>
          <w:lang w:val="en-US"/>
        </w:rPr>
        <w:t xml:space="preserve"> </w:t>
      </w:r>
      <w:r w:rsidRPr="00296E4B">
        <w:rPr>
          <w:rFonts w:cs="Arial"/>
          <w:sz w:val="22"/>
          <w:szCs w:val="22"/>
          <w:lang w:val="en-US"/>
        </w:rPr>
        <w:t>Project</w:t>
      </w:r>
      <w:r w:rsidRPr="00296E4B">
        <w:rPr>
          <w:rFonts w:cs="Arial"/>
          <w:spacing w:val="-10"/>
          <w:sz w:val="22"/>
          <w:szCs w:val="22"/>
          <w:lang w:val="en-US"/>
        </w:rPr>
        <w:t xml:space="preserve"> </w:t>
      </w:r>
      <w:r w:rsidRPr="00296E4B">
        <w:rPr>
          <w:rFonts w:cs="Arial"/>
          <w:sz w:val="22"/>
          <w:szCs w:val="22"/>
          <w:lang w:val="en-US"/>
        </w:rPr>
        <w:t>(risk of blockage, work stoppage, delays, etc.), it remains the solution of last resort in the event of failure of the amicable solution.</w:t>
      </w:r>
    </w:p>
    <w:p w14:paraId="7BB2B1DC" w14:textId="77777777" w:rsidR="001977A4" w:rsidRPr="00E7620D" w:rsidRDefault="001977A4" w:rsidP="001977A4">
      <w:pPr>
        <w:pStyle w:val="Corpsdetexte"/>
        <w:spacing w:line="276" w:lineRule="auto"/>
        <w:rPr>
          <w:rFonts w:cs="Arial"/>
          <w:sz w:val="22"/>
          <w:szCs w:val="22"/>
          <w:lang w:val="en-US"/>
        </w:rPr>
      </w:pPr>
    </w:p>
    <w:p w14:paraId="115E2E93"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As for GBV-related issues, a GBV subcommittee of the PSM will be organized to deal with GBV/SAE/HS sensitive allegations, specific procedures for the ethical and confidential treatment of complaints from SAEs/HS will be developed and included in the overall PSM at the level of the specific subcommittee on the issue. It should therefore be noted that EAS/HS cases will never be subject to an amicable resolution.</w:t>
      </w:r>
    </w:p>
    <w:p w14:paraId="652D755F" w14:textId="77777777" w:rsidR="001977A4" w:rsidRPr="00E7620D" w:rsidRDefault="001977A4" w:rsidP="001977A4">
      <w:pPr>
        <w:pStyle w:val="Corpsdetexte"/>
        <w:spacing w:line="276" w:lineRule="auto"/>
        <w:rPr>
          <w:rFonts w:cs="Arial"/>
          <w:sz w:val="22"/>
          <w:szCs w:val="22"/>
          <w:lang w:val="en-US"/>
        </w:rPr>
      </w:pPr>
    </w:p>
    <w:p w14:paraId="1BFCB1A7" w14:textId="77777777" w:rsidR="001977A4" w:rsidRPr="00540C2E"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i/>
          <w:sz w:val="22"/>
          <w:lang w:val="en-US"/>
        </w:rPr>
      </w:pPr>
      <w:r w:rsidRPr="00540C2E">
        <w:rPr>
          <w:rFonts w:cs="Arial"/>
          <w:i/>
          <w:sz w:val="22"/>
          <w:lang w:val="en-US"/>
        </w:rPr>
        <w:t>Consultations conducted</w:t>
      </w:r>
    </w:p>
    <w:p w14:paraId="48381BF9" w14:textId="77777777" w:rsidR="001977A4" w:rsidRPr="008839E0" w:rsidRDefault="001977A4" w:rsidP="001977A4">
      <w:pPr>
        <w:pStyle w:val="Corpsdetexte"/>
        <w:spacing w:line="276" w:lineRule="auto"/>
        <w:rPr>
          <w:rFonts w:cs="Arial"/>
          <w:i/>
          <w:sz w:val="22"/>
          <w:szCs w:val="22"/>
        </w:rPr>
      </w:pPr>
    </w:p>
    <w:p w14:paraId="2B96042A" w14:textId="77777777" w:rsidR="001977A4" w:rsidRPr="00E7620D" w:rsidRDefault="001977A4" w:rsidP="001977A4">
      <w:pPr>
        <w:pStyle w:val="Corpsdetexte"/>
        <w:spacing w:line="276" w:lineRule="auto"/>
        <w:rPr>
          <w:rFonts w:cs="Arial"/>
          <w:sz w:val="22"/>
          <w:szCs w:val="22"/>
          <w:lang w:val="en-US"/>
        </w:rPr>
      </w:pPr>
      <w:r w:rsidRPr="00E7620D">
        <w:rPr>
          <w:rFonts w:cs="Arial"/>
          <w:sz w:val="22"/>
          <w:szCs w:val="22"/>
          <w:lang w:val="en-US"/>
        </w:rPr>
        <w:t>Public consultations in the context of COVID-19 were conducted in the Cities of Matadi (June 02, 2020), Kananga (June 03, 2020), Tshikapa (June 10, 2020), Bandundu-Ville (June 10, 2020)</w:t>
      </w:r>
      <w:r w:rsidRPr="00E7620D">
        <w:rPr>
          <w:rFonts w:cs="Arial"/>
          <w:spacing w:val="-5"/>
          <w:sz w:val="22"/>
          <w:szCs w:val="22"/>
          <w:lang w:val="en-US"/>
        </w:rPr>
        <w:t xml:space="preserve"> </w:t>
      </w:r>
      <w:r w:rsidRPr="00E7620D">
        <w:rPr>
          <w:rFonts w:cs="Arial"/>
          <w:sz w:val="22"/>
          <w:szCs w:val="22"/>
          <w:lang w:val="en-US"/>
        </w:rPr>
        <w:t>and</w:t>
      </w:r>
      <w:r w:rsidRPr="00E7620D">
        <w:rPr>
          <w:rFonts w:cs="Arial"/>
          <w:spacing w:val="-8"/>
          <w:sz w:val="22"/>
          <w:szCs w:val="22"/>
          <w:lang w:val="en-US"/>
        </w:rPr>
        <w:t xml:space="preserve"> </w:t>
      </w:r>
      <w:r w:rsidRPr="00E7620D">
        <w:rPr>
          <w:rFonts w:cs="Arial"/>
          <w:sz w:val="22"/>
          <w:szCs w:val="22"/>
          <w:lang w:val="en-US"/>
        </w:rPr>
        <w:t>Goma</w:t>
      </w:r>
      <w:r w:rsidRPr="00E7620D">
        <w:rPr>
          <w:rFonts w:cs="Arial"/>
          <w:spacing w:val="-8"/>
          <w:sz w:val="22"/>
          <w:szCs w:val="22"/>
          <w:lang w:val="en-US"/>
        </w:rPr>
        <w:t xml:space="preserve"> </w:t>
      </w:r>
      <w:r w:rsidRPr="00E7620D">
        <w:rPr>
          <w:rFonts w:cs="Arial"/>
          <w:sz w:val="22"/>
          <w:szCs w:val="22"/>
          <w:lang w:val="en-US"/>
        </w:rPr>
        <w:t>(June</w:t>
      </w:r>
      <w:r w:rsidRPr="00E7620D">
        <w:rPr>
          <w:rFonts w:cs="Arial"/>
          <w:spacing w:val="-8"/>
          <w:sz w:val="22"/>
          <w:szCs w:val="22"/>
          <w:lang w:val="en-US"/>
        </w:rPr>
        <w:t xml:space="preserve"> </w:t>
      </w:r>
      <w:r w:rsidRPr="00E7620D">
        <w:rPr>
          <w:rFonts w:cs="Arial"/>
          <w:sz w:val="22"/>
          <w:szCs w:val="22"/>
          <w:lang w:val="en-US"/>
        </w:rPr>
        <w:t>17,</w:t>
      </w:r>
      <w:r w:rsidRPr="00E7620D">
        <w:rPr>
          <w:rFonts w:cs="Arial"/>
          <w:spacing w:val="-4"/>
          <w:sz w:val="22"/>
          <w:szCs w:val="22"/>
          <w:lang w:val="en-US"/>
        </w:rPr>
        <w:t xml:space="preserve"> </w:t>
      </w:r>
      <w:r w:rsidRPr="00E7620D">
        <w:rPr>
          <w:rFonts w:cs="Arial"/>
          <w:sz w:val="22"/>
          <w:szCs w:val="22"/>
          <w:lang w:val="en-US"/>
        </w:rPr>
        <w:t>2020).</w:t>
      </w:r>
      <w:r w:rsidRPr="00E7620D">
        <w:rPr>
          <w:rFonts w:cs="Arial"/>
          <w:spacing w:val="-9"/>
          <w:sz w:val="22"/>
          <w:szCs w:val="22"/>
          <w:lang w:val="en-US"/>
        </w:rPr>
        <w:t xml:space="preserve"> </w:t>
      </w:r>
      <w:r w:rsidRPr="00E7620D">
        <w:rPr>
          <w:rFonts w:cs="Arial"/>
          <w:sz w:val="22"/>
          <w:szCs w:val="22"/>
          <w:lang w:val="en-US"/>
        </w:rPr>
        <w:t>These</w:t>
      </w:r>
      <w:r w:rsidRPr="00E7620D">
        <w:rPr>
          <w:rFonts w:cs="Arial"/>
          <w:spacing w:val="-9"/>
          <w:sz w:val="22"/>
          <w:szCs w:val="22"/>
          <w:lang w:val="en-US"/>
        </w:rPr>
        <w:t xml:space="preserve"> </w:t>
      </w:r>
      <w:r w:rsidRPr="00E7620D">
        <w:rPr>
          <w:rFonts w:cs="Arial"/>
          <w:sz w:val="22"/>
          <w:szCs w:val="22"/>
          <w:lang w:val="en-US"/>
        </w:rPr>
        <w:t>consultations</w:t>
      </w:r>
      <w:r w:rsidRPr="00E7620D">
        <w:rPr>
          <w:rFonts w:cs="Arial"/>
          <w:spacing w:val="-5"/>
          <w:sz w:val="22"/>
          <w:szCs w:val="22"/>
          <w:lang w:val="en-US"/>
        </w:rPr>
        <w:t xml:space="preserve"> </w:t>
      </w:r>
      <w:r w:rsidRPr="00E7620D">
        <w:rPr>
          <w:rFonts w:cs="Arial"/>
          <w:sz w:val="22"/>
          <w:szCs w:val="22"/>
          <w:lang w:val="en-US"/>
        </w:rPr>
        <w:t>brought</w:t>
      </w:r>
      <w:r w:rsidRPr="00E7620D">
        <w:rPr>
          <w:rFonts w:cs="Arial"/>
          <w:spacing w:val="-6"/>
          <w:sz w:val="22"/>
          <w:szCs w:val="22"/>
          <w:lang w:val="en-US"/>
        </w:rPr>
        <w:t xml:space="preserve"> </w:t>
      </w:r>
      <w:r w:rsidRPr="00E7620D">
        <w:rPr>
          <w:rFonts w:cs="Arial"/>
          <w:sz w:val="22"/>
          <w:szCs w:val="22"/>
          <w:lang w:val="en-US"/>
        </w:rPr>
        <w:t>together</w:t>
      </w:r>
      <w:r w:rsidRPr="00E7620D">
        <w:rPr>
          <w:rFonts w:cs="Arial"/>
          <w:spacing w:val="-7"/>
          <w:sz w:val="22"/>
          <w:szCs w:val="22"/>
          <w:lang w:val="en-US"/>
        </w:rPr>
        <w:t xml:space="preserve"> </w:t>
      </w:r>
      <w:r w:rsidRPr="00E7620D">
        <w:rPr>
          <w:rFonts w:cs="Arial"/>
          <w:sz w:val="22"/>
          <w:szCs w:val="22"/>
          <w:lang w:val="en-US"/>
        </w:rPr>
        <w:t>96</w:t>
      </w:r>
      <w:r w:rsidRPr="00E7620D">
        <w:rPr>
          <w:rFonts w:cs="Arial"/>
          <w:spacing w:val="-8"/>
          <w:sz w:val="22"/>
          <w:szCs w:val="22"/>
          <w:lang w:val="en-US"/>
        </w:rPr>
        <w:t xml:space="preserve"> </w:t>
      </w:r>
      <w:r w:rsidRPr="00E7620D">
        <w:rPr>
          <w:rFonts w:cs="Arial"/>
          <w:sz w:val="22"/>
          <w:szCs w:val="22"/>
          <w:lang w:val="en-US"/>
        </w:rPr>
        <w:t>participants</w:t>
      </w:r>
      <w:r w:rsidRPr="00E7620D">
        <w:rPr>
          <w:rFonts w:cs="Arial"/>
          <w:spacing w:val="-5"/>
          <w:sz w:val="22"/>
          <w:szCs w:val="22"/>
          <w:lang w:val="en-US"/>
        </w:rPr>
        <w:t xml:space="preserve"> </w:t>
      </w:r>
      <w:r w:rsidRPr="00E7620D">
        <w:rPr>
          <w:rFonts w:cs="Arial"/>
          <w:sz w:val="22"/>
          <w:szCs w:val="22"/>
          <w:lang w:val="en-US"/>
        </w:rPr>
        <w:t>with</w:t>
      </w:r>
      <w:r w:rsidRPr="00E7620D">
        <w:rPr>
          <w:rFonts w:cs="Arial"/>
          <w:spacing w:val="-5"/>
          <w:sz w:val="22"/>
          <w:szCs w:val="22"/>
          <w:lang w:val="en-US"/>
        </w:rPr>
        <w:t xml:space="preserve"> </w:t>
      </w:r>
      <w:r w:rsidRPr="00E7620D">
        <w:rPr>
          <w:rFonts w:cs="Arial"/>
          <w:sz w:val="22"/>
          <w:szCs w:val="22"/>
          <w:lang w:val="en-US"/>
        </w:rPr>
        <w:t>a maximum of 20 people / consultation (central and local authorities, technical services, civil society associations, representatives of beneficiary populations, etc.).) in accordance with the requirements of the barrier measures announced by the Government of the DRC, the operational planning guideline to support country preparedness and response" (2020) of the WHO Strategic Plan for Preparedness and Response to VIDOC-19 and the World Bank Technical Note of March 20</w:t>
      </w:r>
      <w:r w:rsidRPr="008839E0">
        <w:rPr>
          <w:rStyle w:val="Appelnotedebasdep"/>
          <w:rFonts w:cs="Arial"/>
          <w:sz w:val="22"/>
          <w:szCs w:val="22"/>
        </w:rPr>
        <w:footnoteReference w:id="7"/>
      </w:r>
      <w:r w:rsidRPr="00E7620D">
        <w:rPr>
          <w:rFonts w:cs="Arial"/>
          <w:sz w:val="22"/>
          <w:szCs w:val="22"/>
          <w:lang w:val="en-US"/>
        </w:rPr>
        <w:t>, 2020 "Public Consultations and Stakeholder Mobilization in World Bank supported operations where there are constraints on the conduct of public meetings".</w:t>
      </w:r>
    </w:p>
    <w:p w14:paraId="352A7788" w14:textId="77777777" w:rsidR="001977A4" w:rsidRPr="00E7620D" w:rsidRDefault="001977A4" w:rsidP="001977A4">
      <w:pPr>
        <w:pStyle w:val="Corpsdetexte"/>
        <w:spacing w:line="276" w:lineRule="auto"/>
        <w:rPr>
          <w:rFonts w:cs="Arial"/>
          <w:sz w:val="22"/>
          <w:szCs w:val="22"/>
          <w:lang w:val="en-US"/>
        </w:rPr>
      </w:pPr>
    </w:p>
    <w:p w14:paraId="39385FB1" w14:textId="77777777" w:rsidR="00294ADC" w:rsidRDefault="001977A4" w:rsidP="00EC2A77">
      <w:pPr>
        <w:pStyle w:val="Corpsdetexte"/>
        <w:spacing w:line="276" w:lineRule="auto"/>
        <w:rPr>
          <w:rFonts w:cs="Arial"/>
          <w:sz w:val="22"/>
          <w:szCs w:val="22"/>
          <w:lang w:val="en-US"/>
        </w:rPr>
      </w:pPr>
      <w:r w:rsidRPr="00E7620D">
        <w:rPr>
          <w:rFonts w:cs="Arial"/>
          <w:sz w:val="22"/>
          <w:szCs w:val="22"/>
          <w:lang w:val="en-US"/>
        </w:rPr>
        <w:t>It</w:t>
      </w:r>
      <w:r w:rsidRPr="00E7620D">
        <w:rPr>
          <w:rFonts w:cs="Arial"/>
          <w:spacing w:val="-15"/>
          <w:sz w:val="22"/>
          <w:szCs w:val="22"/>
          <w:lang w:val="en-US"/>
        </w:rPr>
        <w:t xml:space="preserve"> </w:t>
      </w:r>
      <w:r w:rsidRPr="00E7620D">
        <w:rPr>
          <w:rFonts w:cs="Arial"/>
          <w:sz w:val="22"/>
          <w:szCs w:val="22"/>
          <w:lang w:val="en-US"/>
        </w:rPr>
        <w:t>emerged</w:t>
      </w:r>
      <w:r w:rsidRPr="00E7620D">
        <w:rPr>
          <w:rFonts w:cs="Arial"/>
          <w:spacing w:val="-18"/>
          <w:sz w:val="22"/>
          <w:szCs w:val="22"/>
          <w:lang w:val="en-US"/>
        </w:rPr>
        <w:t xml:space="preserve"> </w:t>
      </w:r>
      <w:r w:rsidRPr="00E7620D">
        <w:rPr>
          <w:rFonts w:cs="Arial"/>
          <w:sz w:val="22"/>
          <w:szCs w:val="22"/>
          <w:lang w:val="en-US"/>
        </w:rPr>
        <w:t>from</w:t>
      </w:r>
      <w:r w:rsidRPr="00E7620D">
        <w:rPr>
          <w:rFonts w:cs="Arial"/>
          <w:spacing w:val="-17"/>
          <w:sz w:val="22"/>
          <w:szCs w:val="22"/>
          <w:lang w:val="en-US"/>
        </w:rPr>
        <w:t xml:space="preserve"> </w:t>
      </w:r>
      <w:r w:rsidRPr="00E7620D">
        <w:rPr>
          <w:rFonts w:cs="Arial"/>
          <w:sz w:val="22"/>
          <w:szCs w:val="22"/>
          <w:lang w:val="en-US"/>
        </w:rPr>
        <w:t>these</w:t>
      </w:r>
      <w:r w:rsidRPr="00E7620D">
        <w:rPr>
          <w:rFonts w:cs="Arial"/>
          <w:spacing w:val="-16"/>
          <w:sz w:val="22"/>
          <w:szCs w:val="22"/>
          <w:lang w:val="en-US"/>
        </w:rPr>
        <w:t xml:space="preserve"> </w:t>
      </w:r>
      <w:r w:rsidRPr="00E7620D">
        <w:rPr>
          <w:rFonts w:cs="Arial"/>
          <w:sz w:val="22"/>
          <w:szCs w:val="22"/>
          <w:lang w:val="en-US"/>
        </w:rPr>
        <w:t>consultation</w:t>
      </w:r>
      <w:r w:rsidRPr="00E7620D">
        <w:rPr>
          <w:rFonts w:cs="Arial"/>
          <w:spacing w:val="-12"/>
          <w:sz w:val="22"/>
          <w:szCs w:val="22"/>
          <w:lang w:val="en-US"/>
        </w:rPr>
        <w:t xml:space="preserve"> </w:t>
      </w:r>
      <w:r w:rsidRPr="00E7620D">
        <w:rPr>
          <w:rFonts w:cs="Arial"/>
          <w:sz w:val="22"/>
          <w:szCs w:val="22"/>
          <w:lang w:val="en-US"/>
        </w:rPr>
        <w:t>sessions</w:t>
      </w:r>
      <w:r w:rsidRPr="00E7620D">
        <w:rPr>
          <w:rFonts w:cs="Arial"/>
          <w:spacing w:val="-16"/>
          <w:sz w:val="22"/>
          <w:szCs w:val="22"/>
          <w:lang w:val="en-US"/>
        </w:rPr>
        <w:t xml:space="preserve"> </w:t>
      </w:r>
      <w:r w:rsidRPr="00E7620D">
        <w:rPr>
          <w:rFonts w:cs="Arial"/>
          <w:sz w:val="22"/>
          <w:szCs w:val="22"/>
          <w:lang w:val="en-US"/>
        </w:rPr>
        <w:t>that</w:t>
      </w:r>
      <w:r w:rsidRPr="00E7620D">
        <w:rPr>
          <w:rFonts w:cs="Arial"/>
          <w:spacing w:val="-16"/>
          <w:sz w:val="22"/>
          <w:szCs w:val="22"/>
          <w:lang w:val="en-US"/>
        </w:rPr>
        <w:t xml:space="preserve"> </w:t>
      </w:r>
      <w:r w:rsidRPr="00E7620D">
        <w:rPr>
          <w:rFonts w:cs="Arial"/>
          <w:sz w:val="22"/>
          <w:szCs w:val="22"/>
          <w:lang w:val="en-US"/>
        </w:rPr>
        <w:t>the</w:t>
      </w:r>
      <w:r w:rsidRPr="00E7620D">
        <w:rPr>
          <w:rFonts w:cs="Arial"/>
          <w:spacing w:val="-13"/>
          <w:sz w:val="22"/>
          <w:szCs w:val="22"/>
          <w:lang w:val="en-US"/>
        </w:rPr>
        <w:t xml:space="preserve"> </w:t>
      </w:r>
      <w:r w:rsidRPr="00E7620D">
        <w:rPr>
          <w:rFonts w:cs="Arial"/>
          <w:sz w:val="22"/>
          <w:szCs w:val="22"/>
          <w:lang w:val="en-US"/>
        </w:rPr>
        <w:t>expectations</w:t>
      </w:r>
      <w:r w:rsidRPr="00E7620D">
        <w:rPr>
          <w:rFonts w:cs="Arial"/>
          <w:spacing w:val="-16"/>
          <w:sz w:val="22"/>
          <w:szCs w:val="22"/>
          <w:lang w:val="en-US"/>
        </w:rPr>
        <w:t xml:space="preserve"> </w:t>
      </w:r>
      <w:r w:rsidRPr="00E7620D">
        <w:rPr>
          <w:rFonts w:cs="Arial"/>
          <w:sz w:val="22"/>
          <w:szCs w:val="22"/>
          <w:lang w:val="en-US"/>
        </w:rPr>
        <w:t>of</w:t>
      </w:r>
      <w:r w:rsidRPr="00E7620D">
        <w:rPr>
          <w:rFonts w:cs="Arial"/>
          <w:spacing w:val="-11"/>
          <w:sz w:val="22"/>
          <w:szCs w:val="22"/>
          <w:lang w:val="en-US"/>
        </w:rPr>
        <w:t xml:space="preserve"> </w:t>
      </w:r>
      <w:r w:rsidRPr="00E7620D">
        <w:rPr>
          <w:rFonts w:cs="Arial"/>
          <w:sz w:val="22"/>
          <w:szCs w:val="22"/>
          <w:lang w:val="en-US"/>
        </w:rPr>
        <w:t>all</w:t>
      </w:r>
      <w:r w:rsidRPr="00E7620D">
        <w:rPr>
          <w:rFonts w:cs="Arial"/>
          <w:spacing w:val="-13"/>
          <w:sz w:val="22"/>
          <w:szCs w:val="22"/>
          <w:lang w:val="en-US"/>
        </w:rPr>
        <w:t xml:space="preserve"> </w:t>
      </w:r>
      <w:r w:rsidRPr="00E7620D">
        <w:rPr>
          <w:rFonts w:cs="Arial"/>
          <w:sz w:val="22"/>
          <w:szCs w:val="22"/>
          <w:lang w:val="en-US"/>
        </w:rPr>
        <w:t>stakeholders</w:t>
      </w:r>
      <w:r w:rsidRPr="00E7620D">
        <w:rPr>
          <w:rFonts w:cs="Arial"/>
          <w:spacing w:val="-16"/>
          <w:sz w:val="22"/>
          <w:szCs w:val="22"/>
          <w:lang w:val="en-US"/>
        </w:rPr>
        <w:t xml:space="preserve"> </w:t>
      </w:r>
      <w:r w:rsidRPr="00E7620D">
        <w:rPr>
          <w:rFonts w:cs="Arial"/>
          <w:sz w:val="22"/>
          <w:szCs w:val="22"/>
          <w:lang w:val="en-US"/>
        </w:rPr>
        <w:t>regarding this</w:t>
      </w:r>
      <w:r w:rsidRPr="00E7620D">
        <w:rPr>
          <w:rFonts w:cs="Arial"/>
          <w:spacing w:val="-6"/>
          <w:sz w:val="22"/>
          <w:szCs w:val="22"/>
          <w:lang w:val="en-US"/>
        </w:rPr>
        <w:t xml:space="preserve"> </w:t>
      </w:r>
      <w:r w:rsidRPr="00E7620D">
        <w:rPr>
          <w:rFonts w:cs="Arial"/>
          <w:sz w:val="22"/>
          <w:szCs w:val="22"/>
          <w:lang w:val="en-US"/>
        </w:rPr>
        <w:t>Project</w:t>
      </w:r>
      <w:r w:rsidRPr="00E7620D">
        <w:rPr>
          <w:rFonts w:cs="Arial"/>
          <w:spacing w:val="-7"/>
          <w:sz w:val="22"/>
          <w:szCs w:val="22"/>
          <w:lang w:val="en-US"/>
        </w:rPr>
        <w:t xml:space="preserve"> </w:t>
      </w:r>
      <w:r w:rsidRPr="00E7620D">
        <w:rPr>
          <w:rFonts w:cs="Arial"/>
          <w:sz w:val="22"/>
          <w:szCs w:val="22"/>
          <w:lang w:val="en-US"/>
        </w:rPr>
        <w:t>are</w:t>
      </w:r>
      <w:r w:rsidRPr="00E7620D">
        <w:rPr>
          <w:rFonts w:cs="Arial"/>
          <w:spacing w:val="-7"/>
          <w:sz w:val="22"/>
          <w:szCs w:val="22"/>
          <w:lang w:val="en-US"/>
        </w:rPr>
        <w:t xml:space="preserve"> </w:t>
      </w:r>
      <w:r w:rsidRPr="00E7620D">
        <w:rPr>
          <w:rFonts w:cs="Arial"/>
          <w:sz w:val="22"/>
          <w:szCs w:val="22"/>
          <w:lang w:val="en-US"/>
        </w:rPr>
        <w:t>high</w:t>
      </w:r>
      <w:r w:rsidRPr="00E7620D">
        <w:rPr>
          <w:rFonts w:cs="Arial"/>
          <w:spacing w:val="-8"/>
          <w:sz w:val="22"/>
          <w:szCs w:val="22"/>
          <w:lang w:val="en-US"/>
        </w:rPr>
        <w:t xml:space="preserve"> </w:t>
      </w:r>
      <w:r w:rsidRPr="00E7620D">
        <w:rPr>
          <w:rFonts w:cs="Arial"/>
          <w:sz w:val="22"/>
          <w:szCs w:val="22"/>
          <w:lang w:val="en-US"/>
        </w:rPr>
        <w:t>and</w:t>
      </w:r>
      <w:r w:rsidRPr="00E7620D">
        <w:rPr>
          <w:rFonts w:cs="Arial"/>
          <w:spacing w:val="-8"/>
          <w:sz w:val="22"/>
          <w:szCs w:val="22"/>
          <w:lang w:val="en-US"/>
        </w:rPr>
        <w:t xml:space="preserve"> </w:t>
      </w:r>
      <w:r w:rsidRPr="00E7620D">
        <w:rPr>
          <w:rFonts w:cs="Arial"/>
          <w:sz w:val="22"/>
          <w:szCs w:val="22"/>
          <w:lang w:val="en-US"/>
        </w:rPr>
        <w:t>the</w:t>
      </w:r>
      <w:r w:rsidRPr="00E7620D">
        <w:rPr>
          <w:rFonts w:cs="Arial"/>
          <w:spacing w:val="-5"/>
          <w:sz w:val="22"/>
          <w:szCs w:val="22"/>
          <w:lang w:val="en-US"/>
        </w:rPr>
        <w:t xml:space="preserve"> </w:t>
      </w:r>
      <w:r w:rsidRPr="00E7620D">
        <w:rPr>
          <w:rFonts w:cs="Arial"/>
          <w:sz w:val="22"/>
          <w:szCs w:val="22"/>
          <w:lang w:val="en-US"/>
        </w:rPr>
        <w:t>involvement</w:t>
      </w:r>
      <w:r w:rsidRPr="00E7620D">
        <w:rPr>
          <w:rFonts w:cs="Arial"/>
          <w:spacing w:val="-4"/>
          <w:sz w:val="22"/>
          <w:szCs w:val="22"/>
          <w:lang w:val="en-US"/>
        </w:rPr>
        <w:t xml:space="preserve"> </w:t>
      </w:r>
      <w:r w:rsidRPr="00E7620D">
        <w:rPr>
          <w:rFonts w:cs="Arial"/>
          <w:sz w:val="22"/>
          <w:szCs w:val="22"/>
          <w:lang w:val="en-US"/>
        </w:rPr>
        <w:t>of</w:t>
      </w:r>
      <w:r w:rsidRPr="00E7620D">
        <w:rPr>
          <w:rFonts w:cs="Arial"/>
          <w:spacing w:val="-2"/>
          <w:sz w:val="22"/>
          <w:szCs w:val="22"/>
          <w:lang w:val="en-US"/>
        </w:rPr>
        <w:t xml:space="preserve"> </w:t>
      </w:r>
      <w:r w:rsidRPr="00E7620D">
        <w:rPr>
          <w:rFonts w:cs="Arial"/>
          <w:sz w:val="22"/>
          <w:szCs w:val="22"/>
          <w:lang w:val="en-US"/>
        </w:rPr>
        <w:t>all</w:t>
      </w:r>
      <w:r w:rsidRPr="00E7620D">
        <w:rPr>
          <w:rFonts w:cs="Arial"/>
          <w:spacing w:val="-7"/>
          <w:sz w:val="22"/>
          <w:szCs w:val="22"/>
          <w:lang w:val="en-US"/>
        </w:rPr>
        <w:t xml:space="preserve"> </w:t>
      </w:r>
      <w:r w:rsidRPr="00E7620D">
        <w:rPr>
          <w:rFonts w:cs="Arial"/>
          <w:sz w:val="22"/>
          <w:szCs w:val="22"/>
          <w:lang w:val="en-US"/>
        </w:rPr>
        <w:t>is</w:t>
      </w:r>
      <w:r w:rsidRPr="00E7620D">
        <w:rPr>
          <w:rFonts w:cs="Arial"/>
          <w:spacing w:val="-5"/>
          <w:sz w:val="22"/>
          <w:szCs w:val="22"/>
          <w:lang w:val="en-US"/>
        </w:rPr>
        <w:t xml:space="preserve"> </w:t>
      </w:r>
      <w:r w:rsidRPr="00E7620D">
        <w:rPr>
          <w:rFonts w:cs="Arial"/>
          <w:sz w:val="22"/>
          <w:szCs w:val="22"/>
          <w:lang w:val="en-US"/>
        </w:rPr>
        <w:t>demonstrated.</w:t>
      </w:r>
      <w:r w:rsidRPr="00E7620D">
        <w:rPr>
          <w:rFonts w:cs="Arial"/>
          <w:spacing w:val="-7"/>
          <w:sz w:val="22"/>
          <w:szCs w:val="22"/>
          <w:lang w:val="en-US"/>
        </w:rPr>
        <w:t xml:space="preserve"> </w:t>
      </w:r>
      <w:r w:rsidRPr="00E7620D">
        <w:rPr>
          <w:rFonts w:cs="Arial"/>
          <w:sz w:val="22"/>
          <w:szCs w:val="22"/>
          <w:lang w:val="en-US"/>
        </w:rPr>
        <w:t>The</w:t>
      </w:r>
      <w:r w:rsidRPr="00E7620D">
        <w:rPr>
          <w:rFonts w:cs="Arial"/>
          <w:spacing w:val="-8"/>
          <w:sz w:val="22"/>
          <w:szCs w:val="22"/>
          <w:lang w:val="en-US"/>
        </w:rPr>
        <w:t xml:space="preserve"> </w:t>
      </w:r>
      <w:r w:rsidRPr="00E7620D">
        <w:rPr>
          <w:rFonts w:cs="Arial"/>
          <w:sz w:val="22"/>
          <w:szCs w:val="22"/>
          <w:lang w:val="en-US"/>
        </w:rPr>
        <w:t>various</w:t>
      </w:r>
      <w:r w:rsidRPr="00E7620D">
        <w:rPr>
          <w:rFonts w:cs="Arial"/>
          <w:spacing w:val="-5"/>
          <w:sz w:val="22"/>
          <w:szCs w:val="22"/>
          <w:lang w:val="en-US"/>
        </w:rPr>
        <w:t xml:space="preserve"> </w:t>
      </w:r>
      <w:r w:rsidRPr="00E7620D">
        <w:rPr>
          <w:rFonts w:cs="Arial"/>
          <w:sz w:val="22"/>
          <w:szCs w:val="22"/>
          <w:lang w:val="en-US"/>
        </w:rPr>
        <w:t>stakeholders</w:t>
      </w:r>
      <w:r w:rsidRPr="00E7620D">
        <w:rPr>
          <w:rFonts w:cs="Arial"/>
          <w:spacing w:val="-7"/>
          <w:sz w:val="22"/>
          <w:szCs w:val="22"/>
          <w:lang w:val="en-US"/>
        </w:rPr>
        <w:t xml:space="preserve"> </w:t>
      </w:r>
      <w:r w:rsidRPr="00E7620D">
        <w:rPr>
          <w:rFonts w:cs="Arial"/>
          <w:sz w:val="22"/>
          <w:szCs w:val="22"/>
          <w:lang w:val="en-US"/>
        </w:rPr>
        <w:t xml:space="preserve">met </w:t>
      </w:r>
      <w:r w:rsidRPr="00E7620D">
        <w:rPr>
          <w:rFonts w:cs="Arial"/>
          <w:sz w:val="22"/>
          <w:szCs w:val="22"/>
          <w:lang w:val="en-US"/>
        </w:rPr>
        <w:lastRenderedPageBreak/>
        <w:t>unanimously appreciated the program and the participatory approach that is being implemented. The program is welcome because it will boost the development of agricultural production,</w:t>
      </w:r>
      <w:r w:rsidRPr="00E7620D">
        <w:rPr>
          <w:rFonts w:cs="Arial"/>
          <w:spacing w:val="9"/>
          <w:sz w:val="22"/>
          <w:szCs w:val="22"/>
          <w:lang w:val="en-US"/>
        </w:rPr>
        <w:t xml:space="preserve"> </w:t>
      </w:r>
      <w:r w:rsidRPr="00E7620D">
        <w:rPr>
          <w:rFonts w:cs="Arial"/>
          <w:sz w:val="22"/>
          <w:szCs w:val="22"/>
          <w:lang w:val="en-US"/>
        </w:rPr>
        <w:t>fishing</w:t>
      </w:r>
      <w:r w:rsidRPr="00E7620D">
        <w:rPr>
          <w:rFonts w:cs="Arial"/>
          <w:spacing w:val="14"/>
          <w:sz w:val="22"/>
          <w:szCs w:val="22"/>
          <w:lang w:val="en-US"/>
        </w:rPr>
        <w:t xml:space="preserve"> </w:t>
      </w:r>
      <w:r w:rsidRPr="00E7620D">
        <w:rPr>
          <w:rFonts w:cs="Arial"/>
          <w:sz w:val="22"/>
          <w:szCs w:val="22"/>
          <w:lang w:val="en-US"/>
        </w:rPr>
        <w:t>and</w:t>
      </w:r>
      <w:r w:rsidRPr="00E7620D">
        <w:rPr>
          <w:rFonts w:cs="Arial"/>
          <w:spacing w:val="14"/>
          <w:sz w:val="22"/>
          <w:szCs w:val="22"/>
          <w:lang w:val="en-US"/>
        </w:rPr>
        <w:t xml:space="preserve"> </w:t>
      </w:r>
      <w:r w:rsidRPr="00E7620D">
        <w:rPr>
          <w:rFonts w:cs="Arial"/>
          <w:sz w:val="22"/>
          <w:szCs w:val="22"/>
          <w:lang w:val="en-US"/>
        </w:rPr>
        <w:t>livestock</w:t>
      </w:r>
      <w:r w:rsidRPr="00E7620D">
        <w:rPr>
          <w:rFonts w:cs="Arial"/>
          <w:spacing w:val="14"/>
          <w:sz w:val="22"/>
          <w:szCs w:val="22"/>
          <w:lang w:val="en-US"/>
        </w:rPr>
        <w:t xml:space="preserve"> </w:t>
      </w:r>
      <w:r w:rsidRPr="00E7620D">
        <w:rPr>
          <w:rFonts w:cs="Arial"/>
          <w:sz w:val="22"/>
          <w:szCs w:val="22"/>
          <w:lang w:val="en-US"/>
        </w:rPr>
        <w:t>in</w:t>
      </w:r>
      <w:r w:rsidRPr="00E7620D">
        <w:rPr>
          <w:rFonts w:cs="Arial"/>
          <w:spacing w:val="14"/>
          <w:sz w:val="22"/>
          <w:szCs w:val="22"/>
          <w:lang w:val="en-US"/>
        </w:rPr>
        <w:t xml:space="preserve"> </w:t>
      </w:r>
      <w:r w:rsidRPr="00E7620D">
        <w:rPr>
          <w:rFonts w:cs="Arial"/>
          <w:sz w:val="22"/>
          <w:szCs w:val="22"/>
          <w:lang w:val="en-US"/>
        </w:rPr>
        <w:t>all</w:t>
      </w:r>
      <w:r w:rsidRPr="00E7620D">
        <w:rPr>
          <w:rFonts w:cs="Arial"/>
          <w:spacing w:val="10"/>
          <w:sz w:val="22"/>
          <w:szCs w:val="22"/>
          <w:lang w:val="en-US"/>
        </w:rPr>
        <w:t xml:space="preserve"> </w:t>
      </w:r>
      <w:r w:rsidRPr="00E7620D">
        <w:rPr>
          <w:rFonts w:cs="Arial"/>
          <w:sz w:val="22"/>
          <w:szCs w:val="22"/>
          <w:lang w:val="en-US"/>
        </w:rPr>
        <w:t>the</w:t>
      </w:r>
      <w:r w:rsidRPr="00E7620D">
        <w:rPr>
          <w:rFonts w:cs="Arial"/>
          <w:spacing w:val="13"/>
          <w:sz w:val="22"/>
          <w:szCs w:val="22"/>
          <w:lang w:val="en-US"/>
        </w:rPr>
        <w:t xml:space="preserve"> </w:t>
      </w:r>
      <w:r w:rsidRPr="00E7620D">
        <w:rPr>
          <w:rFonts w:cs="Arial"/>
          <w:sz w:val="22"/>
          <w:szCs w:val="22"/>
          <w:lang w:val="en-US"/>
        </w:rPr>
        <w:t>5</w:t>
      </w:r>
      <w:r w:rsidRPr="00E7620D">
        <w:rPr>
          <w:rFonts w:cs="Arial"/>
          <w:spacing w:val="11"/>
          <w:sz w:val="22"/>
          <w:szCs w:val="22"/>
          <w:lang w:val="en-US"/>
        </w:rPr>
        <w:t xml:space="preserve"> </w:t>
      </w:r>
      <w:r w:rsidRPr="00E7620D">
        <w:rPr>
          <w:rFonts w:cs="Arial"/>
          <w:sz w:val="22"/>
          <w:szCs w:val="22"/>
          <w:lang w:val="en-US"/>
        </w:rPr>
        <w:t>Provinces</w:t>
      </w:r>
      <w:r w:rsidRPr="00E7620D">
        <w:rPr>
          <w:rFonts w:cs="Arial"/>
          <w:spacing w:val="13"/>
          <w:sz w:val="22"/>
          <w:szCs w:val="22"/>
          <w:lang w:val="en-US"/>
        </w:rPr>
        <w:t xml:space="preserve"> </w:t>
      </w:r>
      <w:r w:rsidRPr="00E7620D">
        <w:rPr>
          <w:rFonts w:cs="Arial"/>
          <w:sz w:val="22"/>
          <w:szCs w:val="22"/>
          <w:lang w:val="en-US"/>
        </w:rPr>
        <w:t>concerned.</w:t>
      </w:r>
      <w:r w:rsidRPr="00E7620D">
        <w:rPr>
          <w:rFonts w:cs="Arial"/>
          <w:spacing w:val="12"/>
          <w:sz w:val="22"/>
          <w:szCs w:val="22"/>
          <w:lang w:val="en-US"/>
        </w:rPr>
        <w:t xml:space="preserve"> </w:t>
      </w:r>
      <w:r w:rsidRPr="00E7620D">
        <w:rPr>
          <w:rFonts w:cs="Arial"/>
          <w:sz w:val="22"/>
          <w:szCs w:val="22"/>
          <w:lang w:val="en-US"/>
        </w:rPr>
        <w:t>However,</w:t>
      </w:r>
      <w:r w:rsidRPr="00E7620D">
        <w:rPr>
          <w:rFonts w:cs="Arial"/>
          <w:spacing w:val="13"/>
          <w:sz w:val="22"/>
          <w:szCs w:val="22"/>
          <w:lang w:val="en-US"/>
        </w:rPr>
        <w:t xml:space="preserve"> </w:t>
      </w:r>
      <w:r w:rsidRPr="00E7620D">
        <w:rPr>
          <w:rFonts w:cs="Arial"/>
          <w:sz w:val="22"/>
          <w:szCs w:val="22"/>
          <w:lang w:val="en-US"/>
        </w:rPr>
        <w:t>some</w:t>
      </w:r>
      <w:r w:rsidRPr="00E7620D">
        <w:rPr>
          <w:rFonts w:cs="Arial"/>
          <w:spacing w:val="12"/>
          <w:sz w:val="22"/>
          <w:szCs w:val="22"/>
          <w:lang w:val="en-US"/>
        </w:rPr>
        <w:t xml:space="preserve"> </w:t>
      </w:r>
      <w:r w:rsidRPr="00E7620D">
        <w:rPr>
          <w:rFonts w:cs="Arial"/>
          <w:sz w:val="22"/>
          <w:szCs w:val="22"/>
          <w:lang w:val="en-US"/>
        </w:rPr>
        <w:t>concerns and suggestions were made about the Project, such as: the populations under the program, the</w:t>
      </w:r>
      <w:r w:rsidRPr="00E7620D">
        <w:rPr>
          <w:rFonts w:cs="Arial"/>
          <w:spacing w:val="-9"/>
          <w:sz w:val="22"/>
          <w:szCs w:val="22"/>
          <w:lang w:val="en-US"/>
        </w:rPr>
        <w:t xml:space="preserve"> </w:t>
      </w:r>
      <w:r w:rsidRPr="00E7620D">
        <w:rPr>
          <w:rFonts w:cs="Arial"/>
          <w:sz w:val="22"/>
          <w:szCs w:val="22"/>
          <w:lang w:val="en-US"/>
        </w:rPr>
        <w:t>participation</w:t>
      </w:r>
      <w:r w:rsidRPr="00E7620D">
        <w:rPr>
          <w:rFonts w:cs="Arial"/>
          <w:spacing w:val="-7"/>
          <w:sz w:val="22"/>
          <w:szCs w:val="22"/>
          <w:lang w:val="en-US"/>
        </w:rPr>
        <w:t xml:space="preserve"> </w:t>
      </w:r>
      <w:r w:rsidRPr="00E7620D">
        <w:rPr>
          <w:rFonts w:cs="Arial"/>
          <w:sz w:val="22"/>
          <w:szCs w:val="22"/>
          <w:lang w:val="en-US"/>
        </w:rPr>
        <w:t>of</w:t>
      </w:r>
      <w:r w:rsidRPr="00E7620D">
        <w:rPr>
          <w:rFonts w:cs="Arial"/>
          <w:spacing w:val="-5"/>
          <w:sz w:val="22"/>
          <w:szCs w:val="22"/>
          <w:lang w:val="en-US"/>
        </w:rPr>
        <w:t xml:space="preserve"> </w:t>
      </w:r>
      <w:r w:rsidRPr="00E7620D">
        <w:rPr>
          <w:rFonts w:cs="Arial"/>
          <w:sz w:val="22"/>
          <w:szCs w:val="22"/>
          <w:lang w:val="en-US"/>
        </w:rPr>
        <w:t>women,</w:t>
      </w:r>
      <w:r w:rsidRPr="00E7620D">
        <w:rPr>
          <w:rFonts w:cs="Arial"/>
          <w:spacing w:val="-8"/>
          <w:sz w:val="22"/>
          <w:szCs w:val="22"/>
          <w:lang w:val="en-US"/>
        </w:rPr>
        <w:t xml:space="preserve"> </w:t>
      </w:r>
      <w:r w:rsidRPr="00E7620D">
        <w:rPr>
          <w:rFonts w:cs="Arial"/>
          <w:sz w:val="22"/>
          <w:szCs w:val="22"/>
          <w:lang w:val="en-US"/>
        </w:rPr>
        <w:t>the</w:t>
      </w:r>
      <w:r w:rsidRPr="00E7620D">
        <w:rPr>
          <w:rFonts w:cs="Arial"/>
          <w:spacing w:val="-9"/>
          <w:sz w:val="22"/>
          <w:szCs w:val="22"/>
          <w:lang w:val="en-US"/>
        </w:rPr>
        <w:t xml:space="preserve"> </w:t>
      </w:r>
      <w:r w:rsidRPr="00E7620D">
        <w:rPr>
          <w:rFonts w:cs="Arial"/>
          <w:sz w:val="22"/>
          <w:szCs w:val="22"/>
          <w:lang w:val="en-US"/>
        </w:rPr>
        <w:t>distribution</w:t>
      </w:r>
      <w:r w:rsidRPr="00E7620D">
        <w:rPr>
          <w:rFonts w:cs="Arial"/>
          <w:spacing w:val="-9"/>
          <w:sz w:val="22"/>
          <w:szCs w:val="22"/>
          <w:lang w:val="en-US"/>
        </w:rPr>
        <w:t xml:space="preserve"> </w:t>
      </w:r>
      <w:r w:rsidRPr="00E7620D">
        <w:rPr>
          <w:rFonts w:cs="Arial"/>
          <w:sz w:val="22"/>
          <w:szCs w:val="22"/>
          <w:lang w:val="en-US"/>
        </w:rPr>
        <w:t>of</w:t>
      </w:r>
      <w:r w:rsidRPr="00E7620D">
        <w:rPr>
          <w:rFonts w:cs="Arial"/>
          <w:spacing w:val="-5"/>
          <w:sz w:val="22"/>
          <w:szCs w:val="22"/>
          <w:lang w:val="en-US"/>
        </w:rPr>
        <w:t xml:space="preserve"> </w:t>
      </w:r>
      <w:r w:rsidRPr="00E7620D">
        <w:rPr>
          <w:rFonts w:cs="Arial"/>
          <w:sz w:val="22"/>
          <w:szCs w:val="22"/>
          <w:lang w:val="en-US"/>
        </w:rPr>
        <w:t>agricultural,</w:t>
      </w:r>
      <w:r w:rsidRPr="00E7620D">
        <w:rPr>
          <w:rFonts w:cs="Arial"/>
          <w:spacing w:val="-10"/>
          <w:sz w:val="22"/>
          <w:szCs w:val="22"/>
          <w:lang w:val="en-US"/>
        </w:rPr>
        <w:t xml:space="preserve"> </w:t>
      </w:r>
      <w:r w:rsidRPr="00E7620D">
        <w:rPr>
          <w:rFonts w:cs="Arial"/>
          <w:sz w:val="22"/>
          <w:szCs w:val="22"/>
          <w:lang w:val="en-US"/>
        </w:rPr>
        <w:t>fishing</w:t>
      </w:r>
      <w:r w:rsidRPr="00E7620D">
        <w:rPr>
          <w:rFonts w:cs="Arial"/>
          <w:spacing w:val="-6"/>
          <w:sz w:val="22"/>
          <w:szCs w:val="22"/>
          <w:lang w:val="en-US"/>
        </w:rPr>
        <w:t xml:space="preserve"> </w:t>
      </w:r>
      <w:r w:rsidRPr="00E7620D">
        <w:rPr>
          <w:rFonts w:cs="Arial"/>
          <w:sz w:val="22"/>
          <w:szCs w:val="22"/>
          <w:lang w:val="en-US"/>
        </w:rPr>
        <w:t>and</w:t>
      </w:r>
      <w:r w:rsidRPr="00E7620D">
        <w:rPr>
          <w:rFonts w:cs="Arial"/>
          <w:spacing w:val="-9"/>
          <w:sz w:val="22"/>
          <w:szCs w:val="22"/>
          <w:lang w:val="en-US"/>
        </w:rPr>
        <w:t xml:space="preserve"> </w:t>
      </w:r>
      <w:r w:rsidRPr="00E7620D">
        <w:rPr>
          <w:rFonts w:cs="Arial"/>
          <w:sz w:val="22"/>
          <w:szCs w:val="22"/>
          <w:lang w:val="en-US"/>
        </w:rPr>
        <w:t>livestock</w:t>
      </w:r>
      <w:r w:rsidRPr="00E7620D">
        <w:rPr>
          <w:rFonts w:cs="Arial"/>
          <w:spacing w:val="-6"/>
          <w:sz w:val="22"/>
          <w:szCs w:val="22"/>
          <w:lang w:val="en-US"/>
        </w:rPr>
        <w:t xml:space="preserve"> </w:t>
      </w:r>
      <w:r w:rsidRPr="00E7620D">
        <w:rPr>
          <w:rFonts w:cs="Arial"/>
          <w:sz w:val="22"/>
          <w:szCs w:val="22"/>
          <w:lang w:val="en-US"/>
        </w:rPr>
        <w:t>inputs,</w:t>
      </w:r>
      <w:r w:rsidRPr="00E7620D">
        <w:rPr>
          <w:rFonts w:cs="Arial"/>
          <w:spacing w:val="-10"/>
          <w:sz w:val="22"/>
          <w:szCs w:val="22"/>
          <w:lang w:val="en-US"/>
        </w:rPr>
        <w:t xml:space="preserve"> </w:t>
      </w:r>
      <w:r w:rsidRPr="00E7620D">
        <w:rPr>
          <w:rFonts w:cs="Arial"/>
          <w:sz w:val="22"/>
          <w:szCs w:val="22"/>
          <w:lang w:val="en-US"/>
        </w:rPr>
        <w:t>the</w:t>
      </w:r>
      <w:r w:rsidRPr="00E7620D">
        <w:rPr>
          <w:rFonts w:cs="Arial"/>
          <w:spacing w:val="-11"/>
          <w:sz w:val="22"/>
          <w:szCs w:val="22"/>
          <w:lang w:val="en-US"/>
        </w:rPr>
        <w:t xml:space="preserve"> </w:t>
      </w:r>
      <w:r w:rsidRPr="00E7620D">
        <w:rPr>
          <w:rFonts w:cs="Arial"/>
          <w:sz w:val="22"/>
          <w:szCs w:val="22"/>
          <w:lang w:val="en-US"/>
        </w:rPr>
        <w:t>fight against insecurity, the involvement of women's associations and other farmers, the strengthening of the institutional capacities of the state services and</w:t>
      </w:r>
      <w:r w:rsidR="00EC2A77">
        <w:rPr>
          <w:rFonts w:cs="Arial"/>
          <w:sz w:val="22"/>
          <w:szCs w:val="22"/>
          <w:lang w:val="en-US"/>
        </w:rPr>
        <w:t xml:space="preserve"> </w:t>
      </w:r>
      <w:r w:rsidR="00EC2A77" w:rsidRPr="00EC2A77">
        <w:rPr>
          <w:rFonts w:cs="Arial"/>
          <w:sz w:val="22"/>
          <w:szCs w:val="22"/>
          <w:lang w:val="en-US"/>
        </w:rPr>
        <w:t>small farmers, etc.</w:t>
      </w:r>
    </w:p>
    <w:p w14:paraId="42BBE77C" w14:textId="77777777" w:rsidR="00294ADC" w:rsidRDefault="00294ADC">
      <w:pPr>
        <w:spacing w:after="160" w:line="259" w:lineRule="auto"/>
        <w:jc w:val="left"/>
        <w:rPr>
          <w:rFonts w:eastAsia="MS Mincho" w:cs="Arial"/>
          <w:sz w:val="22"/>
          <w:lang w:val="en-US"/>
        </w:rPr>
      </w:pPr>
      <w:r>
        <w:rPr>
          <w:rFonts w:cs="Arial"/>
          <w:sz w:val="22"/>
          <w:lang w:val="en-US"/>
        </w:rPr>
        <w:br w:type="page"/>
      </w:r>
    </w:p>
    <w:p w14:paraId="3DAC6640" w14:textId="77777777" w:rsidR="00294ADC" w:rsidRPr="001C5995" w:rsidRDefault="00294ADC" w:rsidP="00294ADC">
      <w:pPr>
        <w:pStyle w:val="Titre1"/>
        <w:jc w:val="center"/>
        <w:rPr>
          <w:rFonts w:cs="Arial"/>
          <w:bCs w:val="0"/>
          <w:color w:val="222222"/>
          <w:sz w:val="22"/>
          <w:szCs w:val="22"/>
          <w:lang w:val="pl-PL"/>
        </w:rPr>
      </w:pPr>
      <w:bookmarkStart w:id="106" w:name="_Toc45269666"/>
      <w:bookmarkStart w:id="107" w:name="_Toc70330319"/>
      <w:r w:rsidRPr="000326DA">
        <w:rPr>
          <w:rFonts w:cs="Arial"/>
          <w:bCs w:val="0"/>
          <w:color w:val="222222"/>
          <w:sz w:val="22"/>
          <w:szCs w:val="22"/>
          <w:lang w:val="en-US"/>
        </w:rPr>
        <w:lastRenderedPageBreak/>
        <w:t>R</w:t>
      </w:r>
      <w:bookmarkStart w:id="108" w:name="_Toc45269667"/>
      <w:bookmarkEnd w:id="106"/>
      <w:r w:rsidRPr="001C5995">
        <w:rPr>
          <w:rFonts w:cs="Arial"/>
          <w:bCs w:val="0"/>
          <w:color w:val="222222"/>
          <w:sz w:val="22"/>
          <w:szCs w:val="22"/>
          <w:lang w:val="pl-PL"/>
        </w:rPr>
        <w:t>RÉSUMÉ EXÉCUTIF EN TSHILUBA / TSHIKOSO TSHA TSHENA BWALU</w:t>
      </w:r>
      <w:bookmarkEnd w:id="107"/>
      <w:bookmarkEnd w:id="108"/>
    </w:p>
    <w:p w14:paraId="19DB75CD" w14:textId="77777777" w:rsidR="005C5EB1" w:rsidRPr="00372F9C" w:rsidRDefault="00174053" w:rsidP="00174053">
      <w:pPr>
        <w:tabs>
          <w:tab w:val="left" w:pos="1463"/>
        </w:tabs>
        <w:spacing w:line="240" w:lineRule="auto"/>
        <w:rPr>
          <w:rFonts w:cs="Arial"/>
          <w:iCs/>
          <w:sz w:val="22"/>
          <w:lang w:val="en-US"/>
        </w:rPr>
      </w:pPr>
      <w:r w:rsidRPr="00372F9C">
        <w:rPr>
          <w:rFonts w:cs="Arial"/>
          <w:iCs/>
          <w:sz w:val="22"/>
          <w:lang w:val="en-US"/>
        </w:rPr>
        <w:tab/>
      </w:r>
    </w:p>
    <w:p w14:paraId="1342F711" w14:textId="77777777" w:rsidR="005C5EB1" w:rsidRPr="000326DA" w:rsidRDefault="005C5EB1" w:rsidP="002378EA">
      <w:pPr>
        <w:numPr>
          <w:ilvl w:val="0"/>
          <w:numId w:val="158"/>
        </w:numPr>
        <w:spacing w:line="240" w:lineRule="auto"/>
        <w:rPr>
          <w:rFonts w:cs="Arial"/>
          <w:i/>
          <w:sz w:val="22"/>
          <w:lang w:val="en-US"/>
        </w:rPr>
      </w:pPr>
      <w:r w:rsidRPr="000326DA">
        <w:rPr>
          <w:rFonts w:cs="Arial"/>
          <w:i/>
          <w:sz w:val="22"/>
          <w:lang w:val="en-US"/>
        </w:rPr>
        <w:t xml:space="preserve">Dimwenesha dia mudimu dia mu tshikoso (tshipatshila, bitupa bia mudimu ne midimu mine yanzeka) </w:t>
      </w:r>
    </w:p>
    <w:p w14:paraId="0B0D067E" w14:textId="77777777" w:rsidR="005C5EB1" w:rsidRPr="000326DA" w:rsidRDefault="005C5EB1" w:rsidP="005C5EB1">
      <w:pPr>
        <w:tabs>
          <w:tab w:val="left" w:pos="426"/>
        </w:tabs>
        <w:spacing w:line="240" w:lineRule="auto"/>
        <w:rPr>
          <w:rFonts w:cs="Arial"/>
          <w:sz w:val="22"/>
          <w:lang w:val="en-US"/>
        </w:rPr>
      </w:pPr>
    </w:p>
    <w:p w14:paraId="0DBED5E9" w14:textId="77777777" w:rsidR="005C5EB1" w:rsidRPr="000326DA" w:rsidRDefault="005C5EB1" w:rsidP="005C5EB1">
      <w:pPr>
        <w:rPr>
          <w:rFonts w:cs="Arial"/>
          <w:sz w:val="22"/>
          <w:lang w:val="en-US"/>
        </w:rPr>
      </w:pPr>
      <w:r w:rsidRPr="000326DA">
        <w:rPr>
          <w:rFonts w:cs="Arial"/>
          <w:sz w:val="22"/>
          <w:lang w:val="en-US"/>
        </w:rPr>
        <w:t>Mbulamatadi wa ditunga dia République Démocratique du Congo (RDC) mmu peta mpetu ya diambuluisha kumbukila kudi kasumbu ka IDA (Association Internationale pour le Développement) ka bena tshisumbu tsha Banque Mondiale, bwa kulongolola mudimu wa malu a madimi wa PNDA (Programme National de Développement Agricole) bwase mu tshitupa tsha kumpala ba mune mudi mwa kukolesha dipatula dia bidibwa bia bungi ne kulongolola mushindu udi bena madimi ku sumbisha bintu biabu kakuyi lutatu ku miaba idi misungudibwe.</w:t>
      </w:r>
    </w:p>
    <w:p w14:paraId="6D20FFB8" w14:textId="77777777" w:rsidR="005C5EB1" w:rsidRPr="000326DA" w:rsidRDefault="005C5EB1" w:rsidP="005C5EB1">
      <w:pPr>
        <w:rPr>
          <w:rFonts w:cs="Arial"/>
          <w:sz w:val="22"/>
          <w:lang w:val="en-US"/>
        </w:rPr>
      </w:pPr>
    </w:p>
    <w:p w14:paraId="25FF18E7" w14:textId="77777777" w:rsidR="005C5EB1" w:rsidRPr="000326DA" w:rsidRDefault="005C5EB1" w:rsidP="005C5EB1">
      <w:pPr>
        <w:rPr>
          <w:rFonts w:cs="Arial"/>
          <w:sz w:val="22"/>
          <w:lang w:val="en-US"/>
        </w:rPr>
      </w:pPr>
      <w:r w:rsidRPr="000326DA">
        <w:rPr>
          <w:rFonts w:cs="Arial"/>
          <w:sz w:val="22"/>
          <w:lang w:val="en-US"/>
        </w:rPr>
        <w:t>Twetu batangila bimpa, ditunga dia RDC didi ditungunuka ne malu a ntatu abungi bwa kumuna mudi diu ne tshakuya kumpala, kadi Mbulamatadi wa mpidiewu udi mwangate mapangidika a kujikija ntatu eyi. Malu a madimi adi ne mushinga wa 20 % bwa mpetu ya bantu anyi PIB, ne bantu bungi bwa 70 anyi 75 % pa bantu ba mudintunga badi badipesha ku midimu eye ya madimi bwa kumuna mudi mwa kukepesha nzala ne bupele bwa bantu, kadi bidi bimweneka bwase badi bapatula bidibwa bikese bwa ditunga dijima dia RDC pa kutangila mushindu udi matunga makwabu, ne kumuna mushindu udi midimu eyi yenzeka nangananga kudi bantu bakaji, ne bidibwa mene bidibu bapatula, ne kabidi mushindu wa kwenza bwa kubi sumbisha bu kubisalu.</w:t>
      </w:r>
    </w:p>
    <w:p w14:paraId="466B0E7D" w14:textId="77777777" w:rsidR="005C5EB1" w:rsidRPr="000326DA" w:rsidRDefault="005C5EB1" w:rsidP="005C5EB1">
      <w:pPr>
        <w:rPr>
          <w:rFonts w:cs="Arial"/>
          <w:sz w:val="22"/>
          <w:lang w:val="en-US"/>
        </w:rPr>
      </w:pPr>
    </w:p>
    <w:p w14:paraId="1417B092" w14:textId="77777777" w:rsidR="005C5EB1" w:rsidRPr="000326DA" w:rsidRDefault="005C5EB1" w:rsidP="005C5EB1">
      <w:pPr>
        <w:rPr>
          <w:rFonts w:cs="Arial"/>
          <w:sz w:val="22"/>
          <w:lang w:val="en-US"/>
        </w:rPr>
      </w:pPr>
      <w:r w:rsidRPr="000326DA">
        <w:rPr>
          <w:rFonts w:cs="Arial"/>
          <w:sz w:val="22"/>
          <w:lang w:val="en-US"/>
        </w:rPr>
        <w:t>Ke bwalu kayi, Mbulamatadi wa RDC udi ukeba kukepesha bupele bwa bantu ku misoko ne dibalongwela malu a madimi ne dibalongolwela mushindu mupiamupia wa kudima ne kupatula bikunibwa bia bungi, ne kujikija malu a nzala ne kulongolola ngikadilu wa ndilu wa bantu ne di pesha mpetu ya bungi bwa kwenzesha midimu eyi kudi bena Mbulamatadi anyi bantu bakwabu.</w:t>
      </w:r>
    </w:p>
    <w:p w14:paraId="6BDD9EBD" w14:textId="77777777" w:rsidR="005C5EB1" w:rsidRPr="000326DA" w:rsidRDefault="005C5EB1" w:rsidP="005C5EB1">
      <w:pPr>
        <w:rPr>
          <w:rFonts w:cs="Arial"/>
          <w:sz w:val="22"/>
          <w:lang w:val="en-US"/>
        </w:rPr>
      </w:pPr>
    </w:p>
    <w:p w14:paraId="301FA05D" w14:textId="77777777" w:rsidR="005C5EB1" w:rsidRPr="000326DA" w:rsidRDefault="005C5EB1" w:rsidP="005C5EB1">
      <w:pPr>
        <w:rPr>
          <w:rFonts w:cs="Arial"/>
          <w:sz w:val="22"/>
          <w:lang w:val="en-US"/>
        </w:rPr>
      </w:pPr>
      <w:r w:rsidRPr="000326DA">
        <w:rPr>
          <w:rFonts w:cs="Arial"/>
          <w:sz w:val="22"/>
          <w:lang w:val="en-US"/>
        </w:rPr>
        <w:t xml:space="preserve">Nanku, programme anyi bulongolodi ebu ne bukwatshishe bikole dipatula dia bikunyibwa bia bungi kudi bena madimi, bwa kwenzesha ba bidime bakese bwa kuvudija bu midimi yabu ne kupatula bidibwa bia bungi, ne kupesha mpetu idi mwa kuba longolwela mushindu wa kusumbisha bu bintu biabu kakuyi lutatu ne kubibakila biapu bwa kwandamuna bu kabidi bikunyibwa biabu kumpala kwa kubisumbisha. Dipangidika dia mushindu ewu ne dienzeke ne diambulwisha dia mpetu ya bungi bwa kumuna mudi mwa kupesha bantu bikunibwa bijalame ne bia kane, ne bisadilu bidi mwa kwenzesha bwa malu a bimuna ne a bikunyibwa bwa bantu bonso, ne kabidi dibakija dia miaba ya midimu mikumbanyibwe. Nanku kabidi, programme anyi dipangidika edi ne di sangishe mushindu wa kuyisha kumpala ba bidime bwa midimu ya madimi ne dipesha ba badime aba mushindu udibu ne tsha kwenza midimu ya bua kakuyi lutatu nansha, bwa kulongolola ndilu wa bantu ne kukepesha bupele. </w:t>
      </w:r>
    </w:p>
    <w:p w14:paraId="4857D23F" w14:textId="77777777" w:rsidR="005C5EB1" w:rsidRPr="000326DA" w:rsidRDefault="005C5EB1" w:rsidP="005C5EB1">
      <w:pPr>
        <w:rPr>
          <w:rFonts w:cs="Arial"/>
          <w:sz w:val="22"/>
          <w:lang w:val="en-US"/>
        </w:rPr>
      </w:pPr>
    </w:p>
    <w:p w14:paraId="6C299925" w14:textId="77777777" w:rsidR="005C5EB1" w:rsidRPr="000326DA" w:rsidRDefault="005C5EB1" w:rsidP="005C5EB1">
      <w:pPr>
        <w:rPr>
          <w:rFonts w:cs="Arial"/>
          <w:sz w:val="22"/>
          <w:lang w:val="en-US"/>
        </w:rPr>
      </w:pPr>
      <w:r w:rsidRPr="000326DA">
        <w:rPr>
          <w:rFonts w:cs="Arial"/>
          <w:sz w:val="22"/>
          <w:lang w:val="en-US"/>
        </w:rPr>
        <w:t>Bwa tshitupa etshi tsha kumpala, mpetu ya PNDA ne isanganyibwa pa tshikondo tsha bidimu 5 kuluseka lwa Kasaï (Provinces wa Kasaï ne wa Kasaï Central), kuluseka lwa kudi diba dibwelela (Provinces wa Kongo Central ne wa Kwilu), ne kabidi ku luseke lwa kudi diba dipatukila (Province wa Nord Kivu).</w:t>
      </w:r>
    </w:p>
    <w:p w14:paraId="12E50D9D" w14:textId="77777777" w:rsidR="005C5EB1" w:rsidRPr="000326DA" w:rsidRDefault="005C5EB1" w:rsidP="005C5EB1">
      <w:pPr>
        <w:rPr>
          <w:rFonts w:cs="Arial"/>
          <w:sz w:val="22"/>
          <w:lang w:val="en-US"/>
        </w:rPr>
      </w:pPr>
    </w:p>
    <w:p w14:paraId="78480C89" w14:textId="77777777" w:rsidR="005C5EB1" w:rsidRPr="000326DA" w:rsidRDefault="005C5EB1" w:rsidP="005C5EB1">
      <w:pPr>
        <w:rPr>
          <w:rFonts w:cs="Arial"/>
          <w:sz w:val="22"/>
          <w:lang w:val="en-US"/>
        </w:rPr>
      </w:pPr>
      <w:r w:rsidRPr="000326DA">
        <w:rPr>
          <w:rFonts w:cs="Arial"/>
          <w:sz w:val="22"/>
          <w:lang w:val="en-US"/>
        </w:rPr>
        <w:t xml:space="preserve">Kipatshila ka dilongolola mudimu ewu kaadi bwa se balongolole dipatula dia bidibwa bia bungi ne dilongolola mushindu wa kubisumbishabu kudi bena madimi ku nseke eyi idi misungunyibwa ne kwenza bwa se bamune mudi mwa kupatula bidibwa bwa kwenzesha bantu bumbuke mu ntatu kupatukila ku malu a bidime. </w:t>
      </w:r>
    </w:p>
    <w:p w14:paraId="7F15CF10" w14:textId="77777777" w:rsidR="005C5EB1" w:rsidRPr="007F41C5" w:rsidRDefault="005C5EB1" w:rsidP="005C5EB1">
      <w:pPr>
        <w:rPr>
          <w:rFonts w:cs="Arial"/>
          <w:sz w:val="22"/>
        </w:rPr>
      </w:pPr>
      <w:r>
        <w:rPr>
          <w:rFonts w:cs="Arial"/>
          <w:sz w:val="22"/>
        </w:rPr>
        <w:lastRenderedPageBreak/>
        <w:t xml:space="preserve">Mudimu wa </w:t>
      </w:r>
      <w:r w:rsidRPr="007F41C5">
        <w:rPr>
          <w:rFonts w:cs="Arial"/>
          <w:sz w:val="22"/>
        </w:rPr>
        <w:t xml:space="preserve">PNDA </w:t>
      </w:r>
      <w:r>
        <w:rPr>
          <w:rFonts w:cs="Arial"/>
          <w:sz w:val="22"/>
        </w:rPr>
        <w:t xml:space="preserve">ne wikale ne bitupa binene bi nayi bidi bilonda ebi </w:t>
      </w:r>
      <w:r w:rsidRPr="007F41C5">
        <w:rPr>
          <w:rFonts w:cs="Arial"/>
          <w:sz w:val="22"/>
        </w:rPr>
        <w:t xml:space="preserve">: </w:t>
      </w:r>
    </w:p>
    <w:p w14:paraId="02B59D37" w14:textId="77777777" w:rsidR="005C5EB1" w:rsidRPr="007F41C5" w:rsidRDefault="005C5EB1" w:rsidP="005C5EB1">
      <w:pPr>
        <w:rPr>
          <w:rFonts w:cs="Arial"/>
          <w:sz w:val="22"/>
        </w:rPr>
      </w:pPr>
    </w:p>
    <w:p w14:paraId="0C5CF8F6" w14:textId="77777777" w:rsidR="005C5EB1" w:rsidRPr="007F41C5" w:rsidRDefault="005C5EB1" w:rsidP="002378EA">
      <w:pPr>
        <w:pStyle w:val="Paragraphedeliste"/>
        <w:numPr>
          <w:ilvl w:val="0"/>
          <w:numId w:val="39"/>
        </w:numPr>
        <w:rPr>
          <w:rFonts w:cs="Arial"/>
          <w:i/>
          <w:sz w:val="22"/>
        </w:rPr>
      </w:pPr>
      <w:r>
        <w:rPr>
          <w:rFonts w:cs="Arial"/>
          <w:i/>
          <w:sz w:val="22"/>
        </w:rPr>
        <w:t>Tshitupa tsha</w:t>
      </w:r>
      <w:r w:rsidRPr="007F41C5">
        <w:rPr>
          <w:rFonts w:cs="Arial"/>
          <w:i/>
          <w:sz w:val="22"/>
        </w:rPr>
        <w:t xml:space="preserve"> 1 : </w:t>
      </w:r>
      <w:r>
        <w:rPr>
          <w:rFonts w:cs="Arial"/>
          <w:i/>
          <w:sz w:val="22"/>
        </w:rPr>
        <w:t>Dipatula bikunyibwa</w:t>
      </w:r>
      <w:r w:rsidRPr="007F41C5">
        <w:rPr>
          <w:rFonts w:cs="Arial"/>
          <w:i/>
          <w:sz w:val="22"/>
        </w:rPr>
        <w:t> :</w:t>
      </w:r>
    </w:p>
    <w:p w14:paraId="65C7AEC3" w14:textId="77777777" w:rsidR="005C5EB1" w:rsidRPr="00372F9C" w:rsidRDefault="005C5EB1" w:rsidP="002378EA">
      <w:pPr>
        <w:pStyle w:val="Paragraphedeliste"/>
        <w:numPr>
          <w:ilvl w:val="3"/>
          <w:numId w:val="40"/>
        </w:numPr>
        <w:rPr>
          <w:rFonts w:cs="Arial"/>
          <w:sz w:val="22"/>
          <w:lang w:val="nb-NO"/>
        </w:rPr>
      </w:pPr>
      <w:r w:rsidRPr="00372F9C">
        <w:rPr>
          <w:rFonts w:cs="Arial"/>
          <w:sz w:val="22"/>
          <w:lang w:val="nb-NO"/>
        </w:rPr>
        <w:t>Katupa ka 1.1 : Diambulwisha bidima ku misoko</w:t>
      </w:r>
    </w:p>
    <w:p w14:paraId="388864EB" w14:textId="77777777" w:rsidR="005C5EB1" w:rsidRPr="00372F9C" w:rsidRDefault="005C5EB1" w:rsidP="002378EA">
      <w:pPr>
        <w:pStyle w:val="Paragraphedeliste"/>
        <w:numPr>
          <w:ilvl w:val="3"/>
          <w:numId w:val="40"/>
        </w:numPr>
        <w:rPr>
          <w:rFonts w:cs="Arial"/>
          <w:sz w:val="22"/>
          <w:lang w:val="nb-NO"/>
        </w:rPr>
      </w:pPr>
      <w:r w:rsidRPr="00372F9C">
        <w:rPr>
          <w:rFonts w:cs="Arial"/>
          <w:sz w:val="22"/>
          <w:lang w:val="nb-NO"/>
        </w:rPr>
        <w:t xml:space="preserve">Katupa ka 1.2 : Dibaleja tekiniki ne di bapeshi mpetu bwa midimu ya madimi </w:t>
      </w:r>
    </w:p>
    <w:p w14:paraId="6394601D" w14:textId="77777777" w:rsidR="005C5EB1" w:rsidRPr="00372F9C" w:rsidRDefault="005C5EB1" w:rsidP="002378EA">
      <w:pPr>
        <w:pStyle w:val="Paragraphedeliste"/>
        <w:numPr>
          <w:ilvl w:val="0"/>
          <w:numId w:val="39"/>
        </w:numPr>
        <w:rPr>
          <w:rFonts w:cs="Arial"/>
          <w:i/>
          <w:sz w:val="22"/>
          <w:lang w:val="nb-NO"/>
        </w:rPr>
      </w:pPr>
      <w:r w:rsidRPr="00372F9C">
        <w:rPr>
          <w:rFonts w:cs="Arial"/>
          <w:i/>
          <w:sz w:val="22"/>
          <w:lang w:val="nb-NO"/>
        </w:rPr>
        <w:t>Tshitupa tsha 2 : Disumbisha dia bintu kudi ba bidime :</w:t>
      </w:r>
    </w:p>
    <w:p w14:paraId="4E382315" w14:textId="77777777" w:rsidR="005C5EB1" w:rsidRPr="00372F9C" w:rsidRDefault="005C5EB1" w:rsidP="002378EA">
      <w:pPr>
        <w:pStyle w:val="Paragraphedeliste"/>
        <w:numPr>
          <w:ilvl w:val="3"/>
          <w:numId w:val="40"/>
        </w:numPr>
        <w:rPr>
          <w:rFonts w:cs="Arial"/>
          <w:sz w:val="22"/>
          <w:lang w:val="nb-NO"/>
        </w:rPr>
      </w:pPr>
      <w:r w:rsidRPr="00372F9C">
        <w:rPr>
          <w:rFonts w:cs="Arial"/>
          <w:sz w:val="22"/>
          <w:lang w:val="nb-NO"/>
        </w:rPr>
        <w:t>Katupa ka 2.1 : Bienzedi bia midimu ku misoko</w:t>
      </w:r>
    </w:p>
    <w:p w14:paraId="5AA6C1B5" w14:textId="77777777" w:rsidR="005C5EB1" w:rsidRPr="00372F9C" w:rsidRDefault="005C5EB1" w:rsidP="002378EA">
      <w:pPr>
        <w:pStyle w:val="Paragraphedeliste"/>
        <w:numPr>
          <w:ilvl w:val="3"/>
          <w:numId w:val="40"/>
        </w:numPr>
        <w:rPr>
          <w:rFonts w:cs="Arial"/>
          <w:i/>
          <w:sz w:val="22"/>
          <w:lang w:val="nb-NO"/>
        </w:rPr>
      </w:pPr>
      <w:r w:rsidRPr="00372F9C">
        <w:rPr>
          <w:rFonts w:cs="Arial"/>
          <w:sz w:val="22"/>
          <w:lang w:val="nb-NO"/>
        </w:rPr>
        <w:t xml:space="preserve">Katupa ka 2.2 : Diezesha bidime bwa kubwelabu mu njila wa mushinga </w:t>
      </w:r>
    </w:p>
    <w:p w14:paraId="4A6217DE" w14:textId="77777777" w:rsidR="005C5EB1" w:rsidRPr="00132831" w:rsidRDefault="005C5EB1" w:rsidP="002378EA">
      <w:pPr>
        <w:pStyle w:val="Paragraphedeliste"/>
        <w:numPr>
          <w:ilvl w:val="0"/>
          <w:numId w:val="39"/>
        </w:numPr>
        <w:rPr>
          <w:rFonts w:cs="Arial"/>
          <w:sz w:val="22"/>
        </w:rPr>
      </w:pPr>
      <w:r w:rsidRPr="00132831">
        <w:rPr>
          <w:rFonts w:cs="Arial"/>
          <w:i/>
          <w:sz w:val="22"/>
        </w:rPr>
        <w:t xml:space="preserve">Tshitupa tsha 3 : Bintu ne Bisadilu bia madimi bia bobumwe </w:t>
      </w:r>
    </w:p>
    <w:p w14:paraId="303A74B1" w14:textId="77777777" w:rsidR="005C5EB1" w:rsidRPr="00372F9C" w:rsidRDefault="005C5EB1" w:rsidP="002378EA">
      <w:pPr>
        <w:pStyle w:val="Paragraphedeliste"/>
        <w:numPr>
          <w:ilvl w:val="3"/>
          <w:numId w:val="40"/>
        </w:numPr>
        <w:rPr>
          <w:rFonts w:cs="Arial"/>
          <w:sz w:val="22"/>
          <w:lang w:val="en-US"/>
        </w:rPr>
      </w:pPr>
      <w:r w:rsidRPr="00372F9C">
        <w:rPr>
          <w:rFonts w:cs="Arial"/>
          <w:sz w:val="22"/>
          <w:lang w:val="en-US"/>
        </w:rPr>
        <w:t>Katupa ka 3.1 : Dikolesha ngenyi ya bidime bwa midimu eyi ;</w:t>
      </w:r>
    </w:p>
    <w:p w14:paraId="4D9B8A5C" w14:textId="77777777" w:rsidR="005C5EB1" w:rsidRPr="007F41C5" w:rsidRDefault="005C5EB1" w:rsidP="002378EA">
      <w:pPr>
        <w:pStyle w:val="Paragraphedeliste"/>
        <w:numPr>
          <w:ilvl w:val="3"/>
          <w:numId w:val="40"/>
        </w:numPr>
        <w:rPr>
          <w:rFonts w:cs="Arial"/>
          <w:sz w:val="22"/>
        </w:rPr>
      </w:pPr>
      <w:r>
        <w:rPr>
          <w:rFonts w:cs="Arial"/>
          <w:sz w:val="22"/>
        </w:rPr>
        <w:t>Katupa ka</w:t>
      </w:r>
      <w:r w:rsidRPr="007F41C5">
        <w:rPr>
          <w:rFonts w:cs="Arial"/>
          <w:sz w:val="22"/>
        </w:rPr>
        <w:t xml:space="preserve"> 3.2 : </w:t>
      </w:r>
      <w:r>
        <w:rPr>
          <w:rFonts w:cs="Arial"/>
          <w:sz w:val="22"/>
        </w:rPr>
        <w:t>Dienzeja ne dilondela midimu</w:t>
      </w:r>
    </w:p>
    <w:p w14:paraId="6317C004" w14:textId="77777777" w:rsidR="005C5EB1" w:rsidRPr="007F41C5" w:rsidRDefault="005C5EB1" w:rsidP="002378EA">
      <w:pPr>
        <w:pStyle w:val="Paragraphedeliste"/>
        <w:numPr>
          <w:ilvl w:val="0"/>
          <w:numId w:val="39"/>
        </w:numPr>
        <w:rPr>
          <w:rFonts w:cs="Arial"/>
          <w:i/>
          <w:sz w:val="22"/>
        </w:rPr>
      </w:pPr>
      <w:r>
        <w:rPr>
          <w:rFonts w:cs="Arial"/>
          <w:i/>
          <w:sz w:val="22"/>
        </w:rPr>
        <w:t>Tshitupa tsha</w:t>
      </w:r>
      <w:r w:rsidRPr="007F41C5">
        <w:rPr>
          <w:rFonts w:cs="Arial"/>
          <w:i/>
          <w:sz w:val="22"/>
        </w:rPr>
        <w:t xml:space="preserve"> 4 : </w:t>
      </w:r>
      <w:r>
        <w:rPr>
          <w:rFonts w:cs="Arial"/>
          <w:i/>
          <w:sz w:val="22"/>
        </w:rPr>
        <w:t>Dienzesha midimu eyi ya madimi dia pa lukasa</w:t>
      </w:r>
    </w:p>
    <w:p w14:paraId="212E3611" w14:textId="77777777" w:rsidR="005C5EB1" w:rsidRPr="007F41C5" w:rsidRDefault="005C5EB1" w:rsidP="005C5EB1">
      <w:pPr>
        <w:tabs>
          <w:tab w:val="left" w:pos="426"/>
        </w:tabs>
        <w:contextualSpacing/>
        <w:rPr>
          <w:rFonts w:cs="Arial"/>
          <w:sz w:val="22"/>
        </w:rPr>
      </w:pPr>
    </w:p>
    <w:p w14:paraId="04DCF123" w14:textId="77777777" w:rsidR="005C5EB1" w:rsidRPr="007F41C5" w:rsidRDefault="005C5EB1" w:rsidP="005C5EB1">
      <w:pPr>
        <w:rPr>
          <w:rFonts w:cs="Arial"/>
          <w:sz w:val="22"/>
          <w:u w:val="single"/>
        </w:rPr>
      </w:pPr>
      <w:r>
        <w:rPr>
          <w:rFonts w:cs="Arial"/>
          <w:sz w:val="22"/>
          <w:u w:val="single"/>
        </w:rPr>
        <w:t xml:space="preserve">Ngenzelu wa midimu eyi </w:t>
      </w:r>
    </w:p>
    <w:p w14:paraId="2B1B7FB7" w14:textId="77777777" w:rsidR="005C5EB1" w:rsidRPr="007F41C5" w:rsidRDefault="005C5EB1" w:rsidP="005C5EB1">
      <w:pPr>
        <w:rPr>
          <w:rFonts w:cs="Arial"/>
          <w:sz w:val="22"/>
        </w:rPr>
      </w:pPr>
    </w:p>
    <w:p w14:paraId="58FF6B91" w14:textId="77777777" w:rsidR="005C5EB1" w:rsidRPr="007F41C5" w:rsidRDefault="005C5EB1" w:rsidP="005C5EB1">
      <w:pPr>
        <w:rPr>
          <w:rFonts w:cs="Arial"/>
          <w:sz w:val="22"/>
        </w:rPr>
      </w:pPr>
      <w:r>
        <w:rPr>
          <w:rFonts w:cs="Arial"/>
          <w:sz w:val="22"/>
        </w:rPr>
        <w:t>Katataka</w:t>
      </w:r>
      <w:r w:rsidRPr="007F41C5">
        <w:rPr>
          <w:rFonts w:cs="Arial"/>
          <w:sz w:val="22"/>
        </w:rPr>
        <w:t xml:space="preserve">, </w:t>
      </w:r>
      <w:r>
        <w:rPr>
          <w:rFonts w:cs="Arial"/>
          <w:sz w:val="22"/>
        </w:rPr>
        <w:t xml:space="preserve">ndongolwelu wa dienzesha midimu eyi ne malu a mpetu ne bienzeke ku diambulwisha dia </w:t>
      </w:r>
      <w:r w:rsidRPr="007F41C5">
        <w:rPr>
          <w:rFonts w:cs="Arial"/>
          <w:sz w:val="22"/>
        </w:rPr>
        <w:t xml:space="preserve">UGP/PARRSA </w:t>
      </w:r>
      <w:r>
        <w:rPr>
          <w:rFonts w:cs="Arial"/>
          <w:sz w:val="22"/>
        </w:rPr>
        <w:t xml:space="preserve">pamwe ne </w:t>
      </w:r>
      <w:r w:rsidRPr="007F41C5">
        <w:rPr>
          <w:rFonts w:cs="Arial"/>
          <w:sz w:val="22"/>
        </w:rPr>
        <w:t xml:space="preserve">Comité Technique Préparatoire </w:t>
      </w:r>
      <w:r>
        <w:rPr>
          <w:rFonts w:cs="Arial"/>
          <w:sz w:val="22"/>
        </w:rPr>
        <w:t>wa</w:t>
      </w:r>
      <w:r w:rsidRPr="007F41C5">
        <w:rPr>
          <w:rFonts w:cs="Arial"/>
          <w:sz w:val="22"/>
        </w:rPr>
        <w:t xml:space="preserve"> PNDA </w:t>
      </w:r>
      <w:r>
        <w:rPr>
          <w:rFonts w:cs="Arial"/>
          <w:sz w:val="22"/>
        </w:rPr>
        <w:t xml:space="preserve">mulongolola kulondangana ne </w:t>
      </w:r>
      <w:r w:rsidRPr="007F41C5">
        <w:rPr>
          <w:rFonts w:cs="Arial"/>
          <w:sz w:val="22"/>
        </w:rPr>
        <w:t>Arrêté ministériel n°001/CAB/MIN/AGRI/ABC/LTN/2019 du 01 janvier 20</w:t>
      </w:r>
      <w:r>
        <w:rPr>
          <w:rFonts w:cs="Arial"/>
          <w:sz w:val="22"/>
        </w:rPr>
        <w:t>1</w:t>
      </w:r>
      <w:r w:rsidRPr="007F41C5">
        <w:rPr>
          <w:rFonts w:cs="Arial"/>
          <w:sz w:val="22"/>
        </w:rPr>
        <w:t xml:space="preserve">9. </w:t>
      </w:r>
    </w:p>
    <w:p w14:paraId="59CE7C94" w14:textId="77777777" w:rsidR="005C5EB1" w:rsidRPr="007F41C5" w:rsidRDefault="005C5EB1" w:rsidP="005C5EB1">
      <w:pPr>
        <w:rPr>
          <w:rFonts w:cs="Arial"/>
          <w:sz w:val="22"/>
        </w:rPr>
      </w:pPr>
    </w:p>
    <w:p w14:paraId="618E30FA" w14:textId="77777777" w:rsidR="005C5EB1" w:rsidRPr="007F41C5" w:rsidRDefault="005C5EB1" w:rsidP="002378EA">
      <w:pPr>
        <w:pStyle w:val="Paragraphedeliste"/>
        <w:numPr>
          <w:ilvl w:val="0"/>
          <w:numId w:val="158"/>
        </w:numPr>
        <w:rPr>
          <w:rFonts w:cs="Arial"/>
          <w:i/>
          <w:sz w:val="22"/>
        </w:rPr>
      </w:pPr>
      <w:r>
        <w:rPr>
          <w:rFonts w:cs="Arial"/>
          <w:i/>
          <w:sz w:val="22"/>
        </w:rPr>
        <w:t>Dimwenesha dia tshikoso dia njiwu bwa bintu bia nyungulukilu wa buloba ne nsombelu wa bantu bia mushinga</w:t>
      </w:r>
      <w:r w:rsidRPr="007F41C5">
        <w:rPr>
          <w:rFonts w:cs="Arial"/>
          <w:i/>
          <w:sz w:val="22"/>
        </w:rPr>
        <w:t xml:space="preserve"> </w:t>
      </w:r>
    </w:p>
    <w:p w14:paraId="26F9C049" w14:textId="77777777" w:rsidR="005C5EB1" w:rsidRPr="007F41C5" w:rsidRDefault="005C5EB1" w:rsidP="005C5EB1">
      <w:pPr>
        <w:tabs>
          <w:tab w:val="left" w:pos="426"/>
        </w:tabs>
        <w:rPr>
          <w:rFonts w:cs="Arial"/>
          <w:sz w:val="22"/>
        </w:rPr>
      </w:pPr>
    </w:p>
    <w:p w14:paraId="565285B6" w14:textId="77777777" w:rsidR="005C5EB1" w:rsidRPr="007F41C5" w:rsidRDefault="005C5EB1" w:rsidP="005C5EB1">
      <w:pPr>
        <w:tabs>
          <w:tab w:val="left" w:pos="426"/>
          <w:tab w:val="left" w:pos="567"/>
        </w:tabs>
        <w:contextualSpacing/>
        <w:rPr>
          <w:rFonts w:cs="Arial"/>
          <w:sz w:val="22"/>
          <w:lang w:bidi="fr-FR"/>
        </w:rPr>
      </w:pPr>
      <w:r>
        <w:rPr>
          <w:rFonts w:cs="Arial"/>
          <w:sz w:val="22"/>
          <w:lang w:bidi="fr-FR"/>
        </w:rPr>
        <w:t xml:space="preserve">Miaba ya nsombelu wa bantu ya ku nseke eyi idi misungundibwa idi isanganyibwa ne malu abungi a njiwu bwa malu a bintu bia nyungulukilu wa buloba ne nsombelu wa bantu bu mudi malu adi alonda aha </w:t>
      </w:r>
      <w:r w:rsidRPr="007F41C5">
        <w:rPr>
          <w:rFonts w:cs="Arial"/>
          <w:sz w:val="22"/>
          <w:lang w:bidi="fr-FR"/>
        </w:rPr>
        <w:t xml:space="preserve">: </w:t>
      </w:r>
    </w:p>
    <w:p w14:paraId="36E0851D" w14:textId="77777777" w:rsidR="005C5EB1" w:rsidRPr="007F41C5" w:rsidRDefault="005C5EB1" w:rsidP="005C5EB1">
      <w:pPr>
        <w:tabs>
          <w:tab w:val="left" w:pos="426"/>
          <w:tab w:val="left" w:pos="567"/>
        </w:tabs>
        <w:contextualSpacing/>
        <w:rPr>
          <w:rFonts w:cs="Arial"/>
          <w:sz w:val="22"/>
          <w:lang w:bidi="fr-FR"/>
        </w:rPr>
      </w:pPr>
    </w:p>
    <w:p w14:paraId="5E5F75E3" w14:textId="77777777" w:rsidR="005C5EB1" w:rsidRPr="00730A4A" w:rsidRDefault="005C5EB1" w:rsidP="002378EA">
      <w:pPr>
        <w:pStyle w:val="Paragraphedeliste"/>
        <w:numPr>
          <w:ilvl w:val="0"/>
          <w:numId w:val="67"/>
        </w:numPr>
        <w:rPr>
          <w:rFonts w:eastAsia="Calibri" w:cs="Arial"/>
          <w:sz w:val="22"/>
          <w:lang w:val="en-US"/>
        </w:rPr>
      </w:pPr>
      <w:r w:rsidRPr="00730A4A">
        <w:rPr>
          <w:rFonts w:eastAsia="Calibri" w:cs="Arial"/>
          <w:sz w:val="22"/>
          <w:lang w:val="en-US"/>
        </w:rPr>
        <w:t>Dipatula bidibwa bikese ku madimi ;</w:t>
      </w:r>
    </w:p>
    <w:p w14:paraId="0F3A62D4" w14:textId="77777777" w:rsidR="005C5EB1" w:rsidRPr="00730A4A" w:rsidRDefault="005C5EB1" w:rsidP="002378EA">
      <w:pPr>
        <w:pStyle w:val="Paragraphedeliste"/>
        <w:numPr>
          <w:ilvl w:val="0"/>
          <w:numId w:val="67"/>
        </w:numPr>
        <w:rPr>
          <w:rFonts w:eastAsia="Calibri" w:cs="Arial"/>
          <w:sz w:val="22"/>
        </w:rPr>
      </w:pPr>
      <w:r w:rsidRPr="00730A4A">
        <w:rPr>
          <w:rFonts w:eastAsia="Calibri" w:cs="Arial"/>
          <w:sz w:val="22"/>
          <w:lang w:val="en-US"/>
        </w:rPr>
        <w:t>Dikwata mishipa mikese</w:t>
      </w:r>
      <w:r w:rsidRPr="00730A4A">
        <w:rPr>
          <w:rFonts w:eastAsia="Calibri" w:cs="Arial"/>
          <w:sz w:val="22"/>
        </w:rPr>
        <w:t xml:space="preserve"> (pêche) ;</w:t>
      </w:r>
    </w:p>
    <w:p w14:paraId="4DEE1EEE" w14:textId="77777777" w:rsidR="005C5EB1" w:rsidRPr="00730A4A" w:rsidRDefault="005C5EB1" w:rsidP="002378EA">
      <w:pPr>
        <w:pStyle w:val="Paragraphedeliste"/>
        <w:numPr>
          <w:ilvl w:val="0"/>
          <w:numId w:val="67"/>
        </w:numPr>
        <w:rPr>
          <w:rFonts w:eastAsia="Calibri" w:cs="Arial"/>
          <w:sz w:val="22"/>
        </w:rPr>
      </w:pPr>
      <w:r w:rsidRPr="00730A4A">
        <w:rPr>
          <w:rFonts w:eastAsia="Calibri" w:cs="Arial"/>
          <w:sz w:val="22"/>
        </w:rPr>
        <w:t>Dimuna bimuna bikese (élevage) ;</w:t>
      </w:r>
    </w:p>
    <w:p w14:paraId="432567FA" w14:textId="77777777" w:rsidR="005C5EB1" w:rsidRPr="00730A4A" w:rsidRDefault="005C5EB1" w:rsidP="002378EA">
      <w:pPr>
        <w:pStyle w:val="Paragraphedeliste"/>
        <w:numPr>
          <w:ilvl w:val="0"/>
          <w:numId w:val="67"/>
        </w:numPr>
        <w:rPr>
          <w:rFonts w:eastAsia="Calibri" w:cs="Arial"/>
          <w:sz w:val="22"/>
          <w:lang w:eastAsia="en-US"/>
        </w:rPr>
      </w:pPr>
      <w:r>
        <w:rPr>
          <w:rFonts w:cs="Arial"/>
          <w:sz w:val="22"/>
        </w:rPr>
        <w:t>Diondapa dikese dia bimuna</w:t>
      </w:r>
      <w:r w:rsidRPr="007F41C5">
        <w:rPr>
          <w:rFonts w:cs="Arial"/>
          <w:sz w:val="22"/>
        </w:rPr>
        <w:t> ;</w:t>
      </w:r>
    </w:p>
    <w:p w14:paraId="0D12C1A8" w14:textId="77777777" w:rsidR="005C5EB1" w:rsidRPr="00730A4A" w:rsidRDefault="005C5EB1" w:rsidP="002378EA">
      <w:pPr>
        <w:pStyle w:val="Paragraphedeliste"/>
        <w:numPr>
          <w:ilvl w:val="0"/>
          <w:numId w:val="67"/>
        </w:numPr>
        <w:rPr>
          <w:rFonts w:eastAsia="Calibri" w:cs="Arial"/>
          <w:sz w:val="22"/>
          <w:lang w:eastAsia="en-US"/>
        </w:rPr>
      </w:pPr>
      <w:r>
        <w:rPr>
          <w:rFonts w:cs="Arial"/>
          <w:sz w:val="22"/>
        </w:rPr>
        <w:t>Malu a maloba</w:t>
      </w:r>
      <w:r w:rsidRPr="007F41C5">
        <w:rPr>
          <w:rFonts w:cs="Arial"/>
          <w:sz w:val="22"/>
        </w:rPr>
        <w:t> ;</w:t>
      </w:r>
    </w:p>
    <w:p w14:paraId="239C09B9" w14:textId="77777777" w:rsidR="005C5EB1" w:rsidRPr="00730A4A" w:rsidRDefault="005C5EB1" w:rsidP="002378EA">
      <w:pPr>
        <w:pStyle w:val="Paragraphedeliste"/>
        <w:numPr>
          <w:ilvl w:val="0"/>
          <w:numId w:val="67"/>
        </w:numPr>
        <w:rPr>
          <w:rFonts w:eastAsia="Calibri" w:cs="Arial"/>
          <w:sz w:val="22"/>
        </w:rPr>
      </w:pPr>
      <w:r w:rsidRPr="00730A4A">
        <w:rPr>
          <w:rFonts w:eastAsia="Calibri" w:cs="Arial"/>
          <w:sz w:val="22"/>
        </w:rPr>
        <w:t>Malu a ditatshisha ne dikengesha bantu bakaji anyi adibangata kubukola a VBG ne disama dia COVID-19 ;</w:t>
      </w:r>
    </w:p>
    <w:p w14:paraId="342DC0D2" w14:textId="77777777" w:rsidR="005C5EB1" w:rsidRPr="00730A4A" w:rsidRDefault="005C5EB1" w:rsidP="002378EA">
      <w:pPr>
        <w:pStyle w:val="Paragraphedeliste"/>
        <w:numPr>
          <w:ilvl w:val="0"/>
          <w:numId w:val="67"/>
        </w:numPr>
        <w:rPr>
          <w:rFonts w:eastAsia="Calibri" w:cs="Arial"/>
          <w:sz w:val="22"/>
          <w:lang w:val="en-US"/>
        </w:rPr>
      </w:pPr>
      <w:r w:rsidRPr="00730A4A">
        <w:rPr>
          <w:rFonts w:eastAsia="Calibri" w:cs="Arial"/>
          <w:sz w:val="22"/>
          <w:lang w:val="en-US"/>
        </w:rPr>
        <w:t>Dipanga mushindu mwakane wa kudima ;</w:t>
      </w:r>
    </w:p>
    <w:p w14:paraId="5A4AFE1F" w14:textId="77777777" w:rsidR="005C5EB1" w:rsidRPr="00730A4A" w:rsidRDefault="005C5EB1" w:rsidP="002378EA">
      <w:pPr>
        <w:pStyle w:val="Paragraphedeliste"/>
        <w:numPr>
          <w:ilvl w:val="0"/>
          <w:numId w:val="67"/>
        </w:numPr>
        <w:rPr>
          <w:rFonts w:eastAsia="Calibri" w:cs="Arial"/>
          <w:sz w:val="22"/>
          <w:lang w:val="en-US"/>
        </w:rPr>
      </w:pPr>
      <w:r w:rsidRPr="00730A4A">
        <w:rPr>
          <w:rFonts w:eastAsia="Calibri" w:cs="Arial"/>
          <w:sz w:val="22"/>
          <w:lang w:val="en-US"/>
        </w:rPr>
        <w:t>Dipanga miaba ya bobumwe ya bisalu, nzubu ya kusokokela bintu ne miaba ya dishipela nyama, etc. ;</w:t>
      </w:r>
    </w:p>
    <w:p w14:paraId="0A03D032" w14:textId="77777777" w:rsidR="005C5EB1" w:rsidRPr="00372F9C" w:rsidRDefault="005C5EB1" w:rsidP="002378EA">
      <w:pPr>
        <w:pStyle w:val="Paragraphedeliste"/>
        <w:numPr>
          <w:ilvl w:val="0"/>
          <w:numId w:val="67"/>
        </w:numPr>
        <w:rPr>
          <w:rFonts w:eastAsia="Calibri" w:cs="Arial"/>
          <w:sz w:val="22"/>
          <w:lang w:val="en-US"/>
        </w:rPr>
      </w:pPr>
      <w:r w:rsidRPr="00372F9C">
        <w:rPr>
          <w:rFonts w:eastAsia="Calibri" w:cs="Arial"/>
          <w:sz w:val="22"/>
          <w:lang w:val="en-US"/>
        </w:rPr>
        <w:t>Malu a njila bwa kupatwila bintu idi minyanguke ;</w:t>
      </w:r>
    </w:p>
    <w:p w14:paraId="4F56B4FA" w14:textId="77777777" w:rsidR="005C5EB1" w:rsidRPr="00730A4A" w:rsidRDefault="005C5EB1" w:rsidP="002378EA">
      <w:pPr>
        <w:pStyle w:val="Paragraphedeliste"/>
        <w:numPr>
          <w:ilvl w:val="0"/>
          <w:numId w:val="67"/>
        </w:numPr>
        <w:rPr>
          <w:rFonts w:eastAsia="Calibri" w:cs="Arial"/>
          <w:sz w:val="22"/>
        </w:rPr>
      </w:pPr>
      <w:r w:rsidRPr="00730A4A">
        <w:rPr>
          <w:rFonts w:eastAsia="Calibri" w:cs="Arial"/>
          <w:sz w:val="22"/>
        </w:rPr>
        <w:t>Dipanga dia mushindu wa kwenzela mayi bwa malu a madimi ;</w:t>
      </w:r>
    </w:p>
    <w:p w14:paraId="4C69B81B" w14:textId="77777777" w:rsidR="005C5EB1" w:rsidRPr="00372F9C" w:rsidRDefault="005C5EB1" w:rsidP="002378EA">
      <w:pPr>
        <w:pStyle w:val="Paragraphedeliste"/>
        <w:numPr>
          <w:ilvl w:val="0"/>
          <w:numId w:val="67"/>
        </w:numPr>
        <w:rPr>
          <w:rFonts w:eastAsia="Calibri" w:cs="Arial"/>
          <w:sz w:val="22"/>
          <w:lang w:val="en-US"/>
        </w:rPr>
      </w:pPr>
      <w:r w:rsidRPr="00372F9C">
        <w:rPr>
          <w:rFonts w:eastAsia="Calibri" w:cs="Arial"/>
          <w:sz w:val="22"/>
          <w:lang w:val="en-US"/>
        </w:rPr>
        <w:t>Malu bidibwa bikase anyi dipanga bidibwa ;</w:t>
      </w:r>
    </w:p>
    <w:p w14:paraId="0EC8C31F" w14:textId="77777777" w:rsidR="005C5EB1" w:rsidRPr="00372F9C" w:rsidRDefault="005C5EB1" w:rsidP="002378EA">
      <w:pPr>
        <w:pStyle w:val="Paragraphedeliste"/>
        <w:numPr>
          <w:ilvl w:val="0"/>
          <w:numId w:val="67"/>
        </w:numPr>
        <w:rPr>
          <w:rFonts w:eastAsia="Calibri" w:cs="Arial"/>
          <w:sz w:val="22"/>
          <w:lang w:val="en-US"/>
        </w:rPr>
      </w:pPr>
      <w:r w:rsidRPr="00372F9C">
        <w:rPr>
          <w:rFonts w:eastAsia="Calibri" w:cs="Arial"/>
          <w:sz w:val="22"/>
          <w:lang w:val="en-US"/>
        </w:rPr>
        <w:t>Njiwu ya ditangalaja disa dia COVID-19 didi kufila ku bupele bwa bantu ;</w:t>
      </w:r>
    </w:p>
    <w:p w14:paraId="46F23189" w14:textId="77777777" w:rsidR="005C5EB1" w:rsidRPr="00730A4A" w:rsidRDefault="005C5EB1" w:rsidP="002378EA">
      <w:pPr>
        <w:pStyle w:val="Paragraphedeliste"/>
        <w:numPr>
          <w:ilvl w:val="0"/>
          <w:numId w:val="67"/>
        </w:numPr>
        <w:rPr>
          <w:rFonts w:eastAsia="Calibri" w:cs="Arial"/>
          <w:sz w:val="22"/>
        </w:rPr>
      </w:pPr>
      <w:r w:rsidRPr="00730A4A">
        <w:rPr>
          <w:rFonts w:eastAsia="Calibri" w:cs="Arial"/>
          <w:sz w:val="22"/>
        </w:rPr>
        <w:t>Njiwu ya ditangalaja disama dia ebola ku tshimenga tsha Nord Kivu ;</w:t>
      </w:r>
    </w:p>
    <w:p w14:paraId="5463343A" w14:textId="77777777" w:rsidR="005C5EB1" w:rsidRPr="00730A4A" w:rsidRDefault="005C5EB1" w:rsidP="002378EA">
      <w:pPr>
        <w:pStyle w:val="Paragraphedeliste"/>
        <w:numPr>
          <w:ilvl w:val="0"/>
          <w:numId w:val="67"/>
        </w:numPr>
        <w:rPr>
          <w:rFonts w:eastAsia="Calibri" w:cs="Arial"/>
          <w:sz w:val="22"/>
          <w:lang w:val="en-US"/>
        </w:rPr>
      </w:pPr>
      <w:r w:rsidRPr="00730A4A">
        <w:rPr>
          <w:rFonts w:eastAsia="Calibri" w:cs="Arial"/>
          <w:sz w:val="22"/>
          <w:lang w:val="en-US"/>
        </w:rPr>
        <w:t>Malu a dilwanganyina maloba pankatshi pa biota;</w:t>
      </w:r>
    </w:p>
    <w:p w14:paraId="7CD77EA4" w14:textId="77777777" w:rsidR="005C5EB1" w:rsidRPr="00730A4A" w:rsidRDefault="005C5EB1" w:rsidP="002378EA">
      <w:pPr>
        <w:pStyle w:val="Paragraphedeliste"/>
        <w:numPr>
          <w:ilvl w:val="0"/>
          <w:numId w:val="67"/>
        </w:numPr>
        <w:rPr>
          <w:rFonts w:eastAsia="Calibri" w:cs="Arial"/>
          <w:sz w:val="22"/>
          <w:lang w:val="en-US"/>
        </w:rPr>
      </w:pPr>
      <w:r w:rsidRPr="00730A4A">
        <w:rPr>
          <w:rFonts w:eastAsia="Calibri" w:cs="Arial"/>
          <w:sz w:val="22"/>
          <w:lang w:val="en-US"/>
        </w:rPr>
        <w:t>Njiwu ya mbuwa ne ditonda dia mayi a mvula ku luseke lwa Kasaï ne lwa Kasaï central ;</w:t>
      </w:r>
    </w:p>
    <w:p w14:paraId="72225728" w14:textId="77777777" w:rsidR="005C5EB1" w:rsidRPr="00730A4A" w:rsidRDefault="005C5EB1" w:rsidP="002378EA">
      <w:pPr>
        <w:pStyle w:val="Paragraphedeliste"/>
        <w:numPr>
          <w:ilvl w:val="0"/>
          <w:numId w:val="67"/>
        </w:numPr>
        <w:rPr>
          <w:rFonts w:eastAsia="Calibri" w:cs="Arial"/>
          <w:sz w:val="22"/>
        </w:rPr>
      </w:pPr>
      <w:r w:rsidRPr="00730A4A">
        <w:rPr>
          <w:rFonts w:eastAsia="Calibri" w:cs="Arial"/>
          <w:sz w:val="22"/>
        </w:rPr>
        <w:t>Ntatu ya bungi ya nsombelu wa bantu kulondangana ne bumudibu bapele ne bena ntatu;</w:t>
      </w:r>
    </w:p>
    <w:p w14:paraId="2A7683DB" w14:textId="77777777" w:rsidR="005C5EB1" w:rsidRPr="00730A4A" w:rsidRDefault="005C5EB1" w:rsidP="002378EA">
      <w:pPr>
        <w:pStyle w:val="Paragraphedeliste"/>
        <w:numPr>
          <w:ilvl w:val="0"/>
          <w:numId w:val="67"/>
        </w:numPr>
        <w:rPr>
          <w:rFonts w:eastAsia="Calibri" w:cs="Arial"/>
          <w:sz w:val="22"/>
        </w:rPr>
      </w:pPr>
      <w:r w:rsidRPr="00730A4A">
        <w:rPr>
          <w:rFonts w:eastAsia="Calibri" w:cs="Arial"/>
          <w:sz w:val="22"/>
        </w:rPr>
        <w:t>Malu a ndululu kuluseka lwa Nord-Kivu (Beni, Butembo, Rutshuru)</w:t>
      </w:r>
    </w:p>
    <w:p w14:paraId="1FAD38CF" w14:textId="77777777" w:rsidR="005C5EB1" w:rsidRPr="007F41C5" w:rsidRDefault="005C5EB1" w:rsidP="005C5EB1">
      <w:pPr>
        <w:tabs>
          <w:tab w:val="left" w:pos="426"/>
        </w:tabs>
        <w:spacing w:line="240" w:lineRule="auto"/>
        <w:rPr>
          <w:rFonts w:cs="Arial"/>
          <w:sz w:val="22"/>
        </w:rPr>
      </w:pPr>
    </w:p>
    <w:p w14:paraId="53692548" w14:textId="77777777" w:rsidR="005C5EB1" w:rsidRPr="00CF4FCC" w:rsidRDefault="005C5EB1" w:rsidP="002378EA">
      <w:pPr>
        <w:numPr>
          <w:ilvl w:val="0"/>
          <w:numId w:val="158"/>
        </w:numPr>
        <w:rPr>
          <w:rFonts w:cs="Arial"/>
          <w:sz w:val="22"/>
        </w:rPr>
      </w:pPr>
      <w:r w:rsidRPr="00CF4FCC">
        <w:rPr>
          <w:rFonts w:cs="Arial"/>
          <w:i/>
          <w:sz w:val="22"/>
        </w:rPr>
        <w:lastRenderedPageBreak/>
        <w:t xml:space="preserve">Malu a politiki, a mikandu ne nzubu ya midimu eyi yenzesha bwa dienzela njiwu ya bintu bia nyungulukilu wa buloba ne nsombelu wa bantu mu ditunga ne Cadele ka dilondela malu aha (CES) ka bena Banque Mondiale bwa malonga aha a CGES. </w:t>
      </w:r>
    </w:p>
    <w:p w14:paraId="03C80AF5" w14:textId="77777777" w:rsidR="005C5EB1" w:rsidRPr="00CF4FCC" w:rsidRDefault="005C5EB1" w:rsidP="005C5EB1">
      <w:pPr>
        <w:ind w:left="720"/>
        <w:rPr>
          <w:rFonts w:cs="Arial"/>
          <w:sz w:val="22"/>
        </w:rPr>
      </w:pPr>
    </w:p>
    <w:p w14:paraId="2C591DA4" w14:textId="77777777" w:rsidR="005C5EB1" w:rsidRPr="007F41C5" w:rsidRDefault="005C5EB1" w:rsidP="005C5EB1">
      <w:pPr>
        <w:tabs>
          <w:tab w:val="left" w:pos="426"/>
        </w:tabs>
        <w:rPr>
          <w:rFonts w:cs="Arial"/>
          <w:sz w:val="22"/>
        </w:rPr>
      </w:pPr>
      <w:r>
        <w:rPr>
          <w:rFonts w:cs="Arial"/>
          <w:sz w:val="22"/>
        </w:rPr>
        <w:t xml:space="preserve">Ndongolwelu wa meyi ne mikandu ya malu a bintu bia nyungulukilu wa buloba ne nsombelu wa bantu ne bwa malu a madimi a mudimu wa </w:t>
      </w:r>
      <w:r w:rsidRPr="007F41C5">
        <w:rPr>
          <w:rFonts w:cs="Arial"/>
          <w:sz w:val="22"/>
        </w:rPr>
        <w:t xml:space="preserve">PNDA </w:t>
      </w:r>
      <w:r>
        <w:rPr>
          <w:rFonts w:cs="Arial"/>
          <w:sz w:val="22"/>
        </w:rPr>
        <w:t>udi ukwatshibwa ne mikanda ne mafunda adi alonda aha</w:t>
      </w:r>
      <w:r w:rsidRPr="007F41C5">
        <w:rPr>
          <w:rFonts w:cs="Arial"/>
          <w:sz w:val="22"/>
        </w:rPr>
        <w:t xml:space="preserve"> (Plan National d’Action pour l’Environnement</w:t>
      </w:r>
      <w:r>
        <w:rPr>
          <w:rFonts w:cs="Arial"/>
          <w:sz w:val="22"/>
        </w:rPr>
        <w:t>- PNAE</w:t>
      </w:r>
      <w:r w:rsidRPr="007F41C5">
        <w:rPr>
          <w:rFonts w:cs="Arial"/>
          <w:sz w:val="22"/>
        </w:rPr>
        <w:t xml:space="preserve">, Document de Stratégie de Croissance et de Réduction de la Pauvreté -DSCRP, Stratégie </w:t>
      </w:r>
      <w:r>
        <w:rPr>
          <w:rFonts w:cs="Arial"/>
          <w:sz w:val="22"/>
        </w:rPr>
        <w:t>N</w:t>
      </w:r>
      <w:r w:rsidRPr="007F41C5">
        <w:rPr>
          <w:rFonts w:cs="Arial"/>
          <w:sz w:val="22"/>
        </w:rPr>
        <w:t xml:space="preserve">ationale de </w:t>
      </w:r>
      <w:r>
        <w:rPr>
          <w:rFonts w:cs="Arial"/>
          <w:sz w:val="22"/>
        </w:rPr>
        <w:t>L</w:t>
      </w:r>
      <w:r w:rsidRPr="007F41C5">
        <w:rPr>
          <w:rFonts w:cs="Arial"/>
          <w:sz w:val="22"/>
        </w:rPr>
        <w:t xml:space="preserve">utte contre les </w:t>
      </w:r>
      <w:r>
        <w:rPr>
          <w:rFonts w:cs="Arial"/>
          <w:sz w:val="22"/>
        </w:rPr>
        <w:t>V</w:t>
      </w:r>
      <w:r w:rsidRPr="007F41C5">
        <w:rPr>
          <w:rFonts w:cs="Arial"/>
          <w:sz w:val="22"/>
        </w:rPr>
        <w:t xml:space="preserve">iolences </w:t>
      </w:r>
      <w:r>
        <w:rPr>
          <w:rFonts w:cs="Arial"/>
          <w:sz w:val="22"/>
        </w:rPr>
        <w:t>B</w:t>
      </w:r>
      <w:r w:rsidRPr="007F41C5">
        <w:rPr>
          <w:rFonts w:cs="Arial"/>
          <w:sz w:val="22"/>
        </w:rPr>
        <w:t xml:space="preserve">asées sur </w:t>
      </w:r>
      <w:r>
        <w:rPr>
          <w:rFonts w:cs="Arial"/>
          <w:sz w:val="22"/>
        </w:rPr>
        <w:t>G</w:t>
      </w:r>
      <w:r w:rsidRPr="007F41C5">
        <w:rPr>
          <w:rFonts w:cs="Arial"/>
          <w:sz w:val="22"/>
        </w:rPr>
        <w:t xml:space="preserve">enre - SNVBG, etc.) </w:t>
      </w:r>
      <w:r>
        <w:rPr>
          <w:rFonts w:cs="Arial"/>
          <w:sz w:val="22"/>
        </w:rPr>
        <w:t xml:space="preserve">ne kabidi mafunda makwabu bumudi </w:t>
      </w:r>
      <w:r w:rsidRPr="007F41C5">
        <w:rPr>
          <w:rFonts w:cs="Arial"/>
          <w:sz w:val="22"/>
        </w:rPr>
        <w:t xml:space="preserve">(Loi de protection de l’environnement, la loi portant Principes fondamentaux relatifs à l’agriculture, décret sur les EIES, Code de travail, etc.). </w:t>
      </w:r>
    </w:p>
    <w:p w14:paraId="71D2DEBD" w14:textId="77777777" w:rsidR="005C5EB1" w:rsidRPr="007F41C5" w:rsidRDefault="005C5EB1" w:rsidP="005C5EB1">
      <w:pPr>
        <w:tabs>
          <w:tab w:val="left" w:pos="426"/>
        </w:tabs>
        <w:rPr>
          <w:rFonts w:cs="Arial"/>
          <w:sz w:val="22"/>
        </w:rPr>
      </w:pPr>
    </w:p>
    <w:p w14:paraId="41B7E169" w14:textId="77777777" w:rsidR="005C5EB1" w:rsidRPr="007F41C5" w:rsidRDefault="005C5EB1" w:rsidP="005C5EB1">
      <w:pPr>
        <w:rPr>
          <w:rFonts w:cs="Arial"/>
          <w:sz w:val="22"/>
        </w:rPr>
      </w:pPr>
      <w:r>
        <w:rPr>
          <w:rFonts w:cs="Arial"/>
          <w:sz w:val="22"/>
        </w:rPr>
        <w:t>Bwa adi atangila malu a nzubu ya midimu</w:t>
      </w:r>
      <w:r w:rsidRPr="007F41C5">
        <w:rPr>
          <w:rFonts w:cs="Arial"/>
          <w:sz w:val="22"/>
        </w:rPr>
        <w:t xml:space="preserve">, </w:t>
      </w:r>
      <w:r>
        <w:rPr>
          <w:rFonts w:cs="Arial"/>
          <w:sz w:val="22"/>
        </w:rPr>
        <w:t>nanganaga mu ma</w:t>
      </w:r>
      <w:r w:rsidRPr="007F41C5">
        <w:rPr>
          <w:rFonts w:cs="Arial"/>
          <w:sz w:val="22"/>
        </w:rPr>
        <w:t xml:space="preserve"> Provinces </w:t>
      </w:r>
      <w:r>
        <w:rPr>
          <w:rFonts w:cs="Arial"/>
          <w:sz w:val="22"/>
        </w:rPr>
        <w:t>ne mu ma</w:t>
      </w:r>
      <w:r w:rsidRPr="007F41C5">
        <w:rPr>
          <w:rFonts w:cs="Arial"/>
          <w:sz w:val="22"/>
        </w:rPr>
        <w:t xml:space="preserve"> Territoires </w:t>
      </w:r>
      <w:r>
        <w:rPr>
          <w:rFonts w:cs="Arial"/>
          <w:sz w:val="22"/>
        </w:rPr>
        <w:t xml:space="preserve">ne mu bibambalu bia malu a madimi, diloba ne dimuna, kudi ntatu ya bungi ya bintu bia misala bidi bipangibwa kulondangana ne malu a kwenzela biekane malu a bintu bia nyungulukilu wa buloba ne nsombelu wa bukwa bantu pa tshikondo tsha kulongolola mudimu, ne tsha kwenzesha mudimu ne kabidi pa tshikondo tsha kulondela mudimu, ne bukokeshi bwa kwenzesha mine midimu ayu. Ne bikengele kokulesha menji bwa malu aha onso mu njila wa mudimu ewu wa </w:t>
      </w:r>
      <w:r w:rsidRPr="007F41C5">
        <w:rPr>
          <w:rFonts w:cs="Arial"/>
          <w:sz w:val="22"/>
        </w:rPr>
        <w:t>PNDA.</w:t>
      </w:r>
    </w:p>
    <w:p w14:paraId="464F5096" w14:textId="77777777" w:rsidR="005C5EB1" w:rsidRPr="007F41C5" w:rsidRDefault="005C5EB1" w:rsidP="005C5EB1">
      <w:pPr>
        <w:tabs>
          <w:tab w:val="left" w:pos="426"/>
        </w:tabs>
        <w:rPr>
          <w:rFonts w:cs="Arial"/>
          <w:sz w:val="22"/>
        </w:rPr>
      </w:pPr>
    </w:p>
    <w:p w14:paraId="6BD3635B" w14:textId="77777777" w:rsidR="005C5EB1" w:rsidRDefault="005C5EB1" w:rsidP="005C5EB1">
      <w:pPr>
        <w:rPr>
          <w:rFonts w:cs="Arial"/>
          <w:sz w:val="22"/>
        </w:rPr>
      </w:pPr>
      <w:r>
        <w:rPr>
          <w:rFonts w:cs="Arial"/>
          <w:sz w:val="22"/>
        </w:rPr>
        <w:t xml:space="preserve">Mudimu wa </w:t>
      </w:r>
      <w:r w:rsidRPr="007F41C5">
        <w:rPr>
          <w:rFonts w:cs="Arial"/>
          <w:sz w:val="22"/>
        </w:rPr>
        <w:t xml:space="preserve">PNDA </w:t>
      </w:r>
      <w:r>
        <w:rPr>
          <w:rFonts w:cs="Arial"/>
          <w:sz w:val="22"/>
        </w:rPr>
        <w:t xml:space="preserve">ne ulonde malomba a </w:t>
      </w:r>
      <w:r w:rsidRPr="007F41C5">
        <w:rPr>
          <w:rFonts w:cs="Arial"/>
          <w:sz w:val="22"/>
        </w:rPr>
        <w:t xml:space="preserve">Cadre Environnemental et Social (CES) </w:t>
      </w:r>
      <w:r>
        <w:rPr>
          <w:rFonts w:cs="Arial"/>
          <w:sz w:val="22"/>
        </w:rPr>
        <w:t>wa</w:t>
      </w:r>
      <w:r w:rsidRPr="007F41C5">
        <w:rPr>
          <w:rFonts w:cs="Arial"/>
          <w:sz w:val="22"/>
        </w:rPr>
        <w:t xml:space="preserve"> Banque </w:t>
      </w:r>
      <w:r>
        <w:rPr>
          <w:rFonts w:cs="Arial"/>
          <w:sz w:val="22"/>
        </w:rPr>
        <w:t>M</w:t>
      </w:r>
      <w:r w:rsidRPr="007F41C5">
        <w:rPr>
          <w:rFonts w:cs="Arial"/>
          <w:sz w:val="22"/>
        </w:rPr>
        <w:t xml:space="preserve">ondiale, </w:t>
      </w:r>
      <w:r>
        <w:rPr>
          <w:rFonts w:cs="Arial"/>
          <w:sz w:val="22"/>
        </w:rPr>
        <w:t xml:space="preserve">udi mupatuke katsha dituku dia </w:t>
      </w:r>
      <w:r w:rsidRPr="007F41C5">
        <w:rPr>
          <w:rFonts w:cs="Arial"/>
          <w:sz w:val="22"/>
        </w:rPr>
        <w:t xml:space="preserve">01 octobre 2018. </w:t>
      </w:r>
      <w:r>
        <w:rPr>
          <w:rFonts w:cs="Arial"/>
          <w:sz w:val="22"/>
        </w:rPr>
        <w:t xml:space="preserve">Ke bwalu kayi, di tangidila malu a njiwu ne bibangu bia bintu bia nyungulukilu wa buloba ne nsombelu wa bantu bia mudimu wa </w:t>
      </w:r>
      <w:r w:rsidRPr="007F41C5">
        <w:rPr>
          <w:rFonts w:cs="Arial"/>
          <w:sz w:val="22"/>
        </w:rPr>
        <w:t xml:space="preserve">PNDA </w:t>
      </w:r>
      <w:r>
        <w:rPr>
          <w:rFonts w:cs="Arial"/>
          <w:sz w:val="22"/>
        </w:rPr>
        <w:t xml:space="preserve">ndiambulwishe bwa kumuna se mudimu ewu udi usanganyibwa mukasumbu ka midimu idi ne njiwu mimweneke ya pa nkatshi kulondangana ne mapagnidika a </w:t>
      </w:r>
      <w:r w:rsidRPr="007F41C5">
        <w:rPr>
          <w:rFonts w:cs="Arial"/>
          <w:sz w:val="22"/>
        </w:rPr>
        <w:t xml:space="preserve">CES </w:t>
      </w:r>
      <w:r>
        <w:rPr>
          <w:rFonts w:cs="Arial"/>
          <w:sz w:val="22"/>
        </w:rPr>
        <w:t xml:space="preserve">wa </w:t>
      </w:r>
      <w:r w:rsidRPr="007F41C5">
        <w:rPr>
          <w:rFonts w:cs="Arial"/>
          <w:sz w:val="22"/>
        </w:rPr>
        <w:t xml:space="preserve">Banque </w:t>
      </w:r>
      <w:r>
        <w:rPr>
          <w:rFonts w:cs="Arial"/>
          <w:sz w:val="22"/>
        </w:rPr>
        <w:t>M</w:t>
      </w:r>
      <w:r w:rsidRPr="007F41C5">
        <w:rPr>
          <w:rFonts w:cs="Arial"/>
          <w:sz w:val="22"/>
        </w:rPr>
        <w:t xml:space="preserve">ondiale </w:t>
      </w:r>
      <w:r>
        <w:rPr>
          <w:rFonts w:cs="Arial"/>
          <w:sz w:val="22"/>
        </w:rPr>
        <w:t xml:space="preserve">ne kabidi njiwu ya malu a nsombelu wa bantu idi imweneka ya pa nkatshi, kulondangana ne malu adi amweneka </w:t>
      </w:r>
      <w:r w:rsidRPr="007F41C5">
        <w:rPr>
          <w:rFonts w:cs="Arial"/>
          <w:sz w:val="22"/>
        </w:rPr>
        <w:t xml:space="preserve">(VBG). </w:t>
      </w:r>
      <w:r>
        <w:rPr>
          <w:rFonts w:cs="Arial"/>
          <w:sz w:val="22"/>
        </w:rPr>
        <w:t xml:space="preserve">Mikanu tshitema munkatshi mwa mikanu dikumi </w:t>
      </w:r>
      <w:r w:rsidRPr="007F41C5">
        <w:rPr>
          <w:rFonts w:cs="Arial"/>
          <w:sz w:val="22"/>
        </w:rPr>
        <w:t>(NES)</w:t>
      </w:r>
      <w:r>
        <w:rPr>
          <w:rFonts w:cs="Arial"/>
          <w:sz w:val="22"/>
        </w:rPr>
        <w:t xml:space="preserve"> ya CES ya Banque Mondiale ne ilondibwe bwa mudimu ewu</w:t>
      </w:r>
      <w:r w:rsidRPr="007F41C5">
        <w:rPr>
          <w:rFonts w:cs="Arial"/>
          <w:sz w:val="22"/>
        </w:rPr>
        <w:t xml:space="preserve">. </w:t>
      </w:r>
      <w:r>
        <w:rPr>
          <w:rFonts w:cs="Arial"/>
          <w:sz w:val="22"/>
        </w:rPr>
        <w:t>Ke mikanu idi ilonda eyi</w:t>
      </w:r>
      <w:r w:rsidRPr="007F41C5">
        <w:rPr>
          <w:rFonts w:cs="Arial"/>
          <w:sz w:val="22"/>
        </w:rPr>
        <w:t> : NES 1 (</w:t>
      </w:r>
      <w:r>
        <w:rPr>
          <w:rFonts w:cs="Arial"/>
          <w:sz w:val="22"/>
        </w:rPr>
        <w:t>Ditangidila malu a bintu nia nyungulukilu wa buloba ne nsombelu wa bantu, ne dilondela njiwu ne bibangu bia midimu pa bintu bia nyungulukilu wa buloba na nsombelu wa bantu</w:t>
      </w:r>
      <w:r w:rsidRPr="007F41C5">
        <w:rPr>
          <w:rFonts w:cs="Arial"/>
          <w:sz w:val="22"/>
        </w:rPr>
        <w:t> ; NES 2 (</w:t>
      </w:r>
      <w:r>
        <w:rPr>
          <w:rFonts w:cs="Arial"/>
          <w:sz w:val="22"/>
        </w:rPr>
        <w:t>Malu a Mudimu ne nsombelu wa bena mudimu</w:t>
      </w:r>
      <w:r w:rsidRPr="007F41C5">
        <w:rPr>
          <w:rFonts w:cs="Arial"/>
          <w:sz w:val="22"/>
        </w:rPr>
        <w:t>) ; NES 3 (</w:t>
      </w:r>
      <w:r>
        <w:rPr>
          <w:rFonts w:cs="Arial"/>
          <w:sz w:val="22"/>
        </w:rPr>
        <w:t>Dienzela biakane bubanji bwa tshifukilu ne diepuka nyangilu wa mabanji</w:t>
      </w:r>
      <w:r w:rsidRPr="007F41C5">
        <w:rPr>
          <w:rFonts w:cs="Arial"/>
          <w:sz w:val="22"/>
        </w:rPr>
        <w:t>) ; NES 4 (</w:t>
      </w:r>
      <w:r>
        <w:rPr>
          <w:rFonts w:cs="Arial"/>
          <w:sz w:val="22"/>
        </w:rPr>
        <w:t>Malu a Bukole bwa mubidi ne dikengelela bantu</w:t>
      </w:r>
      <w:r w:rsidRPr="007F41C5">
        <w:rPr>
          <w:rFonts w:cs="Arial"/>
          <w:sz w:val="22"/>
        </w:rPr>
        <w:t>) ; NES 5 (</w:t>
      </w:r>
      <w:r>
        <w:rPr>
          <w:rFonts w:cs="Arial"/>
          <w:sz w:val="22"/>
        </w:rPr>
        <w:t>Malu a maloba, ne dibengesha bantu kwenzela maloba abu ne di bamwangesha kubukole</w:t>
      </w:r>
      <w:r w:rsidRPr="007F41C5">
        <w:rPr>
          <w:rFonts w:cs="Arial"/>
          <w:sz w:val="22"/>
        </w:rPr>
        <w:t>) ; NES 6 (</w:t>
      </w:r>
      <w:r>
        <w:rPr>
          <w:rFonts w:cs="Arial"/>
          <w:sz w:val="22"/>
        </w:rPr>
        <w:t>Malu a dikuba bukwa nyama ne bukwa mitshi ne dienzela bubanji ebu ne lungenyi</w:t>
      </w:r>
      <w:r w:rsidRPr="007F41C5">
        <w:rPr>
          <w:rFonts w:cs="Arial"/>
          <w:sz w:val="22"/>
        </w:rPr>
        <w:t>) ; NES 7 (</w:t>
      </w:r>
      <w:r>
        <w:rPr>
          <w:rFonts w:cs="Arial"/>
          <w:sz w:val="22"/>
        </w:rPr>
        <w:t>Malu a Tuyeke ne bena misoko aba badi basombela ku miaba yenzekela mudimu</w:t>
      </w:r>
      <w:r w:rsidRPr="007F41C5">
        <w:rPr>
          <w:rFonts w:cs="Arial"/>
          <w:sz w:val="22"/>
        </w:rPr>
        <w:t>) ; NES 8 (</w:t>
      </w:r>
      <w:r>
        <w:rPr>
          <w:rFonts w:cs="Arial"/>
          <w:sz w:val="22"/>
        </w:rPr>
        <w:t>Malu a bubanji bwa kabukulu</w:t>
      </w:r>
      <w:r w:rsidRPr="007F41C5">
        <w:rPr>
          <w:rFonts w:cs="Arial"/>
          <w:sz w:val="22"/>
        </w:rPr>
        <w:t xml:space="preserve">), </w:t>
      </w:r>
      <w:r>
        <w:rPr>
          <w:rFonts w:cs="Arial"/>
          <w:sz w:val="22"/>
        </w:rPr>
        <w:t>ne mukanu wa</w:t>
      </w:r>
      <w:r w:rsidRPr="007F41C5">
        <w:rPr>
          <w:rFonts w:cs="Arial"/>
          <w:sz w:val="22"/>
        </w:rPr>
        <w:t xml:space="preserve"> NES 10 (</w:t>
      </w:r>
      <w:r>
        <w:rPr>
          <w:rFonts w:cs="Arial"/>
          <w:sz w:val="22"/>
        </w:rPr>
        <w:t>Malu a dibweja bantu bons oba tangila midimu eyi mu ndongolwelu wa mudimu ne dibapesha ngumu yonso ya malu adi atangila mudimu</w:t>
      </w:r>
      <w:r w:rsidRPr="007F41C5">
        <w:rPr>
          <w:rFonts w:cs="Arial"/>
          <w:sz w:val="22"/>
        </w:rPr>
        <w:t xml:space="preserve">). </w:t>
      </w:r>
    </w:p>
    <w:p w14:paraId="2797843C" w14:textId="77777777" w:rsidR="005C5EB1" w:rsidRDefault="005C5EB1" w:rsidP="005C5EB1">
      <w:pPr>
        <w:rPr>
          <w:rFonts w:cs="Arial"/>
          <w:sz w:val="22"/>
        </w:rPr>
      </w:pPr>
    </w:p>
    <w:p w14:paraId="7AB8B41B" w14:textId="77777777" w:rsidR="005C5EB1" w:rsidRPr="007F41C5" w:rsidRDefault="005C5EB1" w:rsidP="005C5EB1">
      <w:pPr>
        <w:rPr>
          <w:rFonts w:cs="Arial"/>
          <w:sz w:val="22"/>
        </w:rPr>
      </w:pPr>
      <w:r>
        <w:rPr>
          <w:rFonts w:cs="Arial"/>
          <w:sz w:val="22"/>
        </w:rPr>
        <w:t xml:space="preserve">Pa mutu pa mikanu eyi dikumi yenzela </w:t>
      </w:r>
      <w:r w:rsidRPr="007F41C5">
        <w:rPr>
          <w:rFonts w:cs="Arial"/>
          <w:sz w:val="22"/>
        </w:rPr>
        <w:t xml:space="preserve">PNDA </w:t>
      </w:r>
      <w:r>
        <w:rPr>
          <w:rFonts w:cs="Arial"/>
          <w:sz w:val="22"/>
        </w:rPr>
        <w:t xml:space="preserve">ne benzela kabidi politiki wa </w:t>
      </w:r>
      <w:r w:rsidRPr="007F41C5">
        <w:rPr>
          <w:rFonts w:cs="Arial"/>
          <w:sz w:val="22"/>
        </w:rPr>
        <w:t xml:space="preserve">PO/PB 7.50 </w:t>
      </w:r>
      <w:r>
        <w:rPr>
          <w:rFonts w:cs="Arial"/>
          <w:sz w:val="22"/>
        </w:rPr>
        <w:t xml:space="preserve">ya bena Banque Mondiale bwa kulondela </w:t>
      </w:r>
      <w:r w:rsidRPr="007F41C5">
        <w:rPr>
          <w:rFonts w:cs="Arial"/>
          <w:sz w:val="22"/>
        </w:rPr>
        <w:t>«</w:t>
      </w:r>
      <w:r>
        <w:rPr>
          <w:rFonts w:cs="Arial"/>
          <w:sz w:val="22"/>
        </w:rPr>
        <w:t>Mudimu udi wenzeka ku luseke ludi ne mayi adi pa nkatshi pa matunga</w:t>
      </w:r>
      <w:r w:rsidRPr="007F41C5">
        <w:rPr>
          <w:rFonts w:cs="Arial"/>
          <w:sz w:val="22"/>
        </w:rPr>
        <w:t xml:space="preserve">» </w:t>
      </w:r>
      <w:r>
        <w:rPr>
          <w:rFonts w:cs="Arial"/>
          <w:sz w:val="22"/>
        </w:rPr>
        <w:t>uvwa kauyi mushitulula mu</w:t>
      </w:r>
      <w:r w:rsidRPr="007F41C5">
        <w:rPr>
          <w:rFonts w:cs="Arial"/>
          <w:sz w:val="22"/>
        </w:rPr>
        <w:t xml:space="preserve"> CES. </w:t>
      </w:r>
      <w:r>
        <w:rPr>
          <w:rFonts w:cs="Arial"/>
          <w:sz w:val="22"/>
        </w:rPr>
        <w:t xml:space="preserve">Bwa aha adi atangidila malu a </w:t>
      </w:r>
      <w:r w:rsidRPr="007F41C5">
        <w:rPr>
          <w:rFonts w:cs="Arial"/>
          <w:sz w:val="22"/>
        </w:rPr>
        <w:t xml:space="preserve">(VBG), </w:t>
      </w:r>
      <w:r>
        <w:rPr>
          <w:rFonts w:cs="Arial"/>
          <w:sz w:val="22"/>
        </w:rPr>
        <w:t>mudimu ewu ne wenzeke kulondangana ne malomba a mushindu mwakane wa kutangidla malu aha</w:t>
      </w:r>
      <w:r w:rsidRPr="007F41C5">
        <w:rPr>
          <w:rFonts w:cs="Arial"/>
          <w:sz w:val="22"/>
          <w:vertAlign w:val="superscript"/>
        </w:rPr>
        <w:footnoteReference w:id="8"/>
      </w:r>
      <w:r w:rsidRPr="007F41C5">
        <w:rPr>
          <w:rFonts w:cs="Arial"/>
          <w:sz w:val="22"/>
        </w:rPr>
        <w:t xml:space="preserve">. </w:t>
      </w:r>
    </w:p>
    <w:p w14:paraId="1AE2667F" w14:textId="77777777" w:rsidR="005C5EB1" w:rsidRPr="007F41C5" w:rsidRDefault="005C5EB1" w:rsidP="005C5EB1">
      <w:pPr>
        <w:tabs>
          <w:tab w:val="left" w:pos="426"/>
        </w:tabs>
        <w:rPr>
          <w:rFonts w:cs="Arial"/>
          <w:sz w:val="22"/>
        </w:rPr>
      </w:pPr>
    </w:p>
    <w:p w14:paraId="7A82E52F" w14:textId="77777777" w:rsidR="005C5EB1" w:rsidRPr="007F41C5" w:rsidRDefault="005C5EB1" w:rsidP="005C5EB1">
      <w:pPr>
        <w:tabs>
          <w:tab w:val="left" w:pos="426"/>
        </w:tabs>
        <w:rPr>
          <w:rFonts w:cs="Arial"/>
          <w:sz w:val="22"/>
        </w:rPr>
      </w:pPr>
      <w:r>
        <w:rPr>
          <w:rFonts w:cs="Arial"/>
          <w:sz w:val="22"/>
        </w:rPr>
        <w:lastRenderedPageBreak/>
        <w:t xml:space="preserve">Mikandu miakane idi isanganyibwa mu malonga aha a </w:t>
      </w:r>
      <w:r w:rsidRPr="007F41C5">
        <w:rPr>
          <w:rFonts w:cs="Arial"/>
          <w:sz w:val="22"/>
        </w:rPr>
        <w:t xml:space="preserve">CGES </w:t>
      </w:r>
      <w:r>
        <w:rPr>
          <w:rFonts w:cs="Arial"/>
          <w:sz w:val="22"/>
        </w:rPr>
        <w:t xml:space="preserve">bwa se malongolola aha enzekibwe biakane kulondangana ne meyi ne mikandu bia ditunga ne kabidi ne ngenzelu miakane ya malomba a Banque Mondiale. Mbimpe kumanyisha kabidi ne midimu eyi ne ilonde mapangidika a bena Banque Mondiale bwa ebi bidibitangila disama dia COVID-19 </w:t>
      </w:r>
    </w:p>
    <w:p w14:paraId="0A9F2E1E" w14:textId="77777777" w:rsidR="005C5EB1" w:rsidRPr="007F41C5" w:rsidRDefault="005C5EB1" w:rsidP="005C5EB1">
      <w:pPr>
        <w:rPr>
          <w:rFonts w:cs="Arial"/>
          <w:b/>
          <w:i/>
          <w:sz w:val="22"/>
        </w:rPr>
      </w:pPr>
    </w:p>
    <w:p w14:paraId="17B8FA0F" w14:textId="77777777" w:rsidR="005C5EB1" w:rsidRPr="007F41C5" w:rsidRDefault="005C5EB1" w:rsidP="002378EA">
      <w:pPr>
        <w:numPr>
          <w:ilvl w:val="0"/>
          <w:numId w:val="158"/>
        </w:numPr>
        <w:rPr>
          <w:rFonts w:cs="Arial"/>
          <w:i/>
          <w:sz w:val="22"/>
        </w:rPr>
      </w:pPr>
      <w:r>
        <w:rPr>
          <w:rFonts w:cs="Arial"/>
          <w:i/>
          <w:sz w:val="22"/>
        </w:rPr>
        <w:t>Bibangu/njiwu ya mweneka kulondangana ne tutupa twa mudimu</w:t>
      </w:r>
      <w:r w:rsidRPr="007F41C5">
        <w:rPr>
          <w:rFonts w:cs="Arial"/>
          <w:i/>
          <w:sz w:val="22"/>
        </w:rPr>
        <w:t xml:space="preserve"> </w:t>
      </w:r>
    </w:p>
    <w:p w14:paraId="2E5DDE07" w14:textId="77777777" w:rsidR="005C5EB1" w:rsidRPr="007F41C5" w:rsidRDefault="005C5EB1" w:rsidP="005C5EB1">
      <w:pPr>
        <w:ind w:left="720"/>
        <w:rPr>
          <w:rFonts w:cs="Arial"/>
          <w:b/>
          <w:i/>
          <w:sz w:val="22"/>
        </w:rPr>
      </w:pPr>
    </w:p>
    <w:p w14:paraId="621B7E72" w14:textId="77777777" w:rsidR="005C5EB1" w:rsidRPr="007F41C5" w:rsidRDefault="005C5EB1" w:rsidP="005C5EB1">
      <w:pPr>
        <w:rPr>
          <w:rFonts w:cs="Arial"/>
          <w:sz w:val="22"/>
        </w:rPr>
      </w:pPr>
      <w:r>
        <w:rPr>
          <w:rFonts w:cs="Arial"/>
          <w:sz w:val="22"/>
        </w:rPr>
        <w:t>Bibangu ne njiwu bwa bintu bia nyungulukilu wa buloba ne nsombelu wa bantu kulondangana na tutupa twa mudimu ke bidi bilonda ebi</w:t>
      </w:r>
      <w:r w:rsidRPr="007F41C5">
        <w:rPr>
          <w:rFonts w:cs="Arial"/>
          <w:sz w:val="22"/>
        </w:rPr>
        <w:t xml:space="preserve"> : </w:t>
      </w:r>
    </w:p>
    <w:p w14:paraId="53CEB554" w14:textId="77777777" w:rsidR="005C5EB1" w:rsidRPr="007F41C5" w:rsidRDefault="005C5EB1" w:rsidP="005C5EB1">
      <w:pPr>
        <w:rPr>
          <w:rFonts w:cs="Arial"/>
          <w:sz w:val="22"/>
        </w:rPr>
      </w:pPr>
    </w:p>
    <w:p w14:paraId="3C0F3028" w14:textId="77777777" w:rsidR="005C5EB1" w:rsidRPr="007F41C5" w:rsidRDefault="005C5EB1" w:rsidP="005C5EB1">
      <w:pPr>
        <w:rPr>
          <w:rFonts w:cs="Arial"/>
          <w:sz w:val="22"/>
          <w:u w:val="single"/>
        </w:rPr>
      </w:pPr>
      <w:r>
        <w:rPr>
          <w:rFonts w:cs="Arial"/>
          <w:sz w:val="22"/>
          <w:u w:val="single"/>
        </w:rPr>
        <w:t>Bibangu bia bimpe bia mudimu ewu</w:t>
      </w:r>
    </w:p>
    <w:p w14:paraId="2DB743CD" w14:textId="77777777" w:rsidR="005C5EB1" w:rsidRPr="007F41C5" w:rsidRDefault="005C5EB1" w:rsidP="005C5EB1">
      <w:pPr>
        <w:rPr>
          <w:rFonts w:cs="Arial"/>
          <w:b/>
          <w:sz w:val="22"/>
          <w:u w:val="single"/>
        </w:rPr>
      </w:pPr>
    </w:p>
    <w:p w14:paraId="6AB0DE12" w14:textId="77777777" w:rsidR="005C5EB1" w:rsidRPr="007F41C5" w:rsidRDefault="005C5EB1" w:rsidP="005C5EB1">
      <w:pPr>
        <w:rPr>
          <w:rFonts w:cs="Arial"/>
          <w:sz w:val="22"/>
        </w:rPr>
      </w:pPr>
      <w:r>
        <w:rPr>
          <w:rFonts w:cs="Arial"/>
          <w:sz w:val="22"/>
        </w:rPr>
        <w:t xml:space="preserve">Dienzesha mudimu ewu wa </w:t>
      </w:r>
      <w:r w:rsidRPr="007F41C5">
        <w:rPr>
          <w:rFonts w:cs="Arial"/>
          <w:sz w:val="22"/>
        </w:rPr>
        <w:t xml:space="preserve">PNDA </w:t>
      </w:r>
      <w:r>
        <w:rPr>
          <w:rFonts w:cs="Arial"/>
          <w:sz w:val="22"/>
        </w:rPr>
        <w:t>ne dikale dimpe bwalu ne diambulwishe bimenga ebi bidi bisungula, mu dilongola dipatula dia bidibwa mu madimi, diloba dia mishipa ya bungi ne dimuna bimuna bia bungi, dimanya mushindu wa kudima bwa kupatula bidibwa bia bungi, ne dilongolola njila bwa kumuna mudi mwa kwambula bintu ne kuya kubisombisha kubisalu, ne diakaja njila ya mayi kabidi bwa dipatula bidibwa ne kuya kubisumbisha mu miaba idi ne bantu bakubidia ba bungi, dibaka dia nzubu anyi miaba ya kusokokela bidibwa kumpala kwa kubisumbisha, dijikija nzala ne dipatula biakudia bia bungi, ne dikolesha menji bwa kuya kumpala ne kuyisha ditunga kumpala</w:t>
      </w:r>
      <w:r w:rsidRPr="007F41C5">
        <w:rPr>
          <w:rFonts w:cs="Arial"/>
          <w:sz w:val="22"/>
        </w:rPr>
        <w:t xml:space="preserve">. </w:t>
      </w:r>
      <w:r>
        <w:rPr>
          <w:rFonts w:cs="Arial"/>
          <w:sz w:val="22"/>
        </w:rPr>
        <w:t>Bwa kujikija, bibangu bimpe bia mudimu ewu kebidi bilonda ebi</w:t>
      </w:r>
      <w:r w:rsidRPr="007F41C5">
        <w:rPr>
          <w:rFonts w:cs="Arial"/>
          <w:sz w:val="22"/>
        </w:rPr>
        <w:t xml:space="preserve"> :</w:t>
      </w:r>
    </w:p>
    <w:p w14:paraId="1E444723" w14:textId="77777777" w:rsidR="005C5EB1" w:rsidRPr="007F41C5" w:rsidRDefault="005C5EB1" w:rsidP="005C5EB1">
      <w:pPr>
        <w:rPr>
          <w:rFonts w:cs="Arial"/>
          <w:sz w:val="22"/>
        </w:rPr>
      </w:pPr>
    </w:p>
    <w:p w14:paraId="3C69C116" w14:textId="77777777" w:rsidR="005C5EB1" w:rsidRPr="005C5EB1" w:rsidRDefault="005C5EB1" w:rsidP="005C5EB1">
      <w:pPr>
        <w:autoSpaceDE w:val="0"/>
        <w:autoSpaceDN w:val="0"/>
        <w:adjustRightInd w:val="0"/>
        <w:rPr>
          <w:rFonts w:cs="Arial"/>
          <w:sz w:val="22"/>
          <w:u w:val="single"/>
          <w:lang w:val="en-US"/>
        </w:rPr>
      </w:pPr>
      <w:r w:rsidRPr="005C5EB1">
        <w:rPr>
          <w:rFonts w:cs="Arial"/>
          <w:sz w:val="22"/>
          <w:u w:val="single"/>
          <w:lang w:val="en-US"/>
        </w:rPr>
        <w:t>Pa tshikondo tsha dienzesha midimu :</w:t>
      </w:r>
    </w:p>
    <w:p w14:paraId="40214BBF" w14:textId="77777777" w:rsidR="005C5EB1" w:rsidRPr="005C5EB1" w:rsidRDefault="005C5EB1" w:rsidP="005C5EB1">
      <w:pPr>
        <w:autoSpaceDE w:val="0"/>
        <w:autoSpaceDN w:val="0"/>
        <w:adjustRightInd w:val="0"/>
        <w:rPr>
          <w:rFonts w:cs="Arial"/>
          <w:sz w:val="22"/>
          <w:lang w:val="en-US"/>
        </w:rPr>
      </w:pPr>
    </w:p>
    <w:p w14:paraId="5863C7A9" w14:textId="77777777" w:rsidR="005C5EB1" w:rsidRPr="005C5EB1" w:rsidRDefault="005C5EB1" w:rsidP="002378EA">
      <w:pPr>
        <w:widowControl w:val="0"/>
        <w:numPr>
          <w:ilvl w:val="0"/>
          <w:numId w:val="68"/>
        </w:numPr>
        <w:autoSpaceDE w:val="0"/>
        <w:autoSpaceDN w:val="0"/>
        <w:rPr>
          <w:rFonts w:eastAsia="MS Mincho" w:cs="Arial"/>
          <w:sz w:val="22"/>
          <w:lang w:val="en-US"/>
        </w:rPr>
      </w:pPr>
      <w:r w:rsidRPr="005C5EB1">
        <w:rPr>
          <w:rFonts w:eastAsia="MS Mincho" w:cs="Arial"/>
          <w:sz w:val="22"/>
          <w:lang w:val="en-US"/>
        </w:rPr>
        <w:t>Diangata bantu ku mudimu (munkatshi mwabu 30% wa bakaji) ne diambulwishe bwa kukepesha bupele mu nkatshi mwa bantu ;</w:t>
      </w:r>
    </w:p>
    <w:p w14:paraId="06EF801B" w14:textId="77777777" w:rsidR="005C5EB1" w:rsidRPr="005C5EB1" w:rsidRDefault="005C5EB1" w:rsidP="002378EA">
      <w:pPr>
        <w:widowControl w:val="0"/>
        <w:numPr>
          <w:ilvl w:val="0"/>
          <w:numId w:val="68"/>
        </w:numPr>
        <w:autoSpaceDE w:val="0"/>
        <w:autoSpaceDN w:val="0"/>
        <w:rPr>
          <w:rFonts w:eastAsia="MS Mincho" w:cs="Arial"/>
          <w:sz w:val="22"/>
          <w:lang w:val="en-US"/>
        </w:rPr>
      </w:pPr>
      <w:r w:rsidRPr="005C5EB1">
        <w:rPr>
          <w:rFonts w:eastAsia="MS Mincho" w:cs="Arial"/>
          <w:sz w:val="22"/>
          <w:lang w:val="en-US"/>
        </w:rPr>
        <w:t>Diakaja mushindu wa kwenzesha mudimu kulondangana ne malomba a NES 2 : Ditangidila malu a mudimu ne ngezelu wa bena mudimu ne a NES 4 : Malu a bukole bwa mubidi ne dikuba dia bantu ;</w:t>
      </w:r>
    </w:p>
    <w:p w14:paraId="2D1239E4"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Disangisha ba bidima ne dikolesha lungenyi lwabu</w:t>
      </w:r>
      <w:r w:rsidRPr="007F41C5">
        <w:rPr>
          <w:rFonts w:eastAsia="MS Mincho" w:cs="Arial"/>
          <w:sz w:val="22"/>
        </w:rPr>
        <w:t> ;</w:t>
      </w:r>
    </w:p>
    <w:p w14:paraId="2F43AE81"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Dilongolola malu a bantu bakaji mu malu a madimi</w:t>
      </w:r>
      <w:r w:rsidRPr="007F41C5">
        <w:rPr>
          <w:rFonts w:eastAsia="MS Mincho" w:cs="Arial"/>
          <w:sz w:val="22"/>
        </w:rPr>
        <w:t xml:space="preserve"> ; </w:t>
      </w:r>
    </w:p>
    <w:p w14:paraId="528A5A10" w14:textId="77777777" w:rsidR="005C5EB1" w:rsidRDefault="005C5EB1" w:rsidP="002378EA">
      <w:pPr>
        <w:widowControl w:val="0"/>
        <w:numPr>
          <w:ilvl w:val="0"/>
          <w:numId w:val="68"/>
        </w:numPr>
        <w:autoSpaceDE w:val="0"/>
        <w:autoSpaceDN w:val="0"/>
        <w:rPr>
          <w:rFonts w:eastAsia="MS Mincho" w:cs="Arial"/>
          <w:sz w:val="22"/>
        </w:rPr>
      </w:pPr>
      <w:r w:rsidRPr="00E578FB">
        <w:rPr>
          <w:rFonts w:eastAsia="MS Mincho" w:cs="Arial"/>
          <w:sz w:val="22"/>
        </w:rPr>
        <w:t>Dilongolola dia malu a midimu bwa bena mudimu bons</w:t>
      </w:r>
      <w:r>
        <w:rPr>
          <w:rFonts w:eastAsia="MS Mincho" w:cs="Arial"/>
          <w:sz w:val="22"/>
        </w:rPr>
        <w:t xml:space="preserve">o </w:t>
      </w:r>
      <w:r w:rsidRPr="00E578FB">
        <w:rPr>
          <w:rFonts w:eastAsia="MS Mincho" w:cs="Arial"/>
          <w:sz w:val="22"/>
        </w:rPr>
        <w:t xml:space="preserve">ba mishindu mishalangane, bakashidi, ba kudituku ne kudituku, bumbikila kule, bena musoko, bena tusumbu, ne aba batu basumbisha bintu bwa mudimu ; </w:t>
      </w:r>
    </w:p>
    <w:p w14:paraId="20ADF16E" w14:textId="77777777" w:rsidR="005C5EB1" w:rsidRPr="00E578FB" w:rsidRDefault="005C5EB1" w:rsidP="002378EA">
      <w:pPr>
        <w:widowControl w:val="0"/>
        <w:numPr>
          <w:ilvl w:val="0"/>
          <w:numId w:val="68"/>
        </w:numPr>
        <w:autoSpaceDE w:val="0"/>
        <w:autoSpaceDN w:val="0"/>
        <w:rPr>
          <w:rFonts w:eastAsia="MS Mincho" w:cs="Arial"/>
          <w:sz w:val="22"/>
        </w:rPr>
      </w:pPr>
      <w:r>
        <w:rPr>
          <w:rFonts w:eastAsia="MS Mincho" w:cs="Arial"/>
          <w:sz w:val="22"/>
        </w:rPr>
        <w:t>Diyisha kumpala midimu ya disumbisha bintu mu miaba ya mudimu</w:t>
      </w:r>
      <w:r w:rsidRPr="00E578FB">
        <w:rPr>
          <w:rFonts w:eastAsia="MS Mincho" w:cs="Arial"/>
          <w:sz w:val="22"/>
        </w:rPr>
        <w:t> ;</w:t>
      </w:r>
    </w:p>
    <w:p w14:paraId="4C13C5BA"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Dilongolola nsombelu wa bantu ne miaba yabu</w:t>
      </w:r>
      <w:r w:rsidRPr="007F41C5">
        <w:rPr>
          <w:rFonts w:eastAsia="MS Mincho" w:cs="Arial"/>
          <w:sz w:val="22"/>
        </w:rPr>
        <w:t> ;</w:t>
      </w:r>
    </w:p>
    <w:p w14:paraId="2D955653"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Dikuba ndilu wa bantu ne di lwanganisha tshiyole</w:t>
      </w:r>
      <w:r w:rsidRPr="007F41C5">
        <w:rPr>
          <w:rFonts w:eastAsia="MS Mincho" w:cs="Arial"/>
          <w:sz w:val="22"/>
        </w:rPr>
        <w:t> ;</w:t>
      </w:r>
    </w:p>
    <w:p w14:paraId="551D7B41"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Dipwekesha mushinga wa bidibwa, ne disangisha ba tshidime mu tusumbu </w:t>
      </w:r>
      <w:r w:rsidRPr="007F41C5">
        <w:rPr>
          <w:rFonts w:eastAsia="MS Mincho" w:cs="Arial"/>
          <w:sz w:val="22"/>
        </w:rPr>
        <w:t xml:space="preserve">(coopératives/associations) </w:t>
      </w:r>
      <w:r>
        <w:rPr>
          <w:rFonts w:eastAsia="MS Mincho" w:cs="Arial"/>
          <w:sz w:val="22"/>
        </w:rPr>
        <w:t xml:space="preserve">ne biapu bikese bia </w:t>
      </w:r>
      <w:r w:rsidRPr="007F41C5">
        <w:rPr>
          <w:rFonts w:eastAsia="MS Mincho" w:cs="Arial"/>
          <w:sz w:val="22"/>
        </w:rPr>
        <w:t>agro-MPME ;</w:t>
      </w:r>
    </w:p>
    <w:p w14:paraId="670E42EE"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Mudimu ewu ne ulongolweshe njila yonso ya kupatwila bidibwa bwa kuya kubisumbisha ne dikuba bantu ne bintu biabu bwa kuya kubisumbisha ne diunzulula kabidi njila ya mayi</w:t>
      </w:r>
      <w:r w:rsidRPr="007F41C5">
        <w:rPr>
          <w:rFonts w:eastAsia="MS Mincho" w:cs="Arial"/>
          <w:sz w:val="22"/>
        </w:rPr>
        <w:t> ;</w:t>
      </w:r>
    </w:p>
    <w:p w14:paraId="292A87E4"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Diambulwisha dia ba bidime ne ngenzelu mupiapia wa midimu ya madima na bisadilu anyi biamwa bia midimu ne maminu mapiamapia a </w:t>
      </w:r>
      <w:r w:rsidRPr="007F41C5">
        <w:rPr>
          <w:rFonts w:eastAsia="MS Mincho" w:cs="Arial"/>
          <w:sz w:val="22"/>
        </w:rPr>
        <w:t xml:space="preserve">CSA (agriculture intelligente face au climat) </w:t>
      </w:r>
      <w:r>
        <w:rPr>
          <w:rFonts w:eastAsia="MS Mincho" w:cs="Arial"/>
          <w:sz w:val="22"/>
        </w:rPr>
        <w:t>ne a</w:t>
      </w:r>
      <w:r w:rsidRPr="007F41C5">
        <w:rPr>
          <w:rFonts w:eastAsia="MS Mincho" w:cs="Arial"/>
          <w:sz w:val="22"/>
        </w:rPr>
        <w:t xml:space="preserve"> AIN (agriculture intelligente face à la nutrition) (semences, plants, races animales, services de conseil et de vulgarisation) ;</w:t>
      </w:r>
    </w:p>
    <w:p w14:paraId="5FAC1117" w14:textId="77777777" w:rsidR="005C5EB1" w:rsidRDefault="005C5EB1" w:rsidP="002378EA">
      <w:pPr>
        <w:widowControl w:val="0"/>
        <w:numPr>
          <w:ilvl w:val="0"/>
          <w:numId w:val="68"/>
        </w:numPr>
        <w:autoSpaceDE w:val="0"/>
        <w:autoSpaceDN w:val="0"/>
        <w:rPr>
          <w:rFonts w:eastAsia="MS Mincho" w:cs="Arial"/>
          <w:sz w:val="22"/>
        </w:rPr>
      </w:pPr>
      <w:r w:rsidRPr="003854B8">
        <w:rPr>
          <w:rFonts w:eastAsia="MS Mincho" w:cs="Arial"/>
          <w:sz w:val="22"/>
        </w:rPr>
        <w:t xml:space="preserve">Diambulwisha dia tekiniki dia ba bidime (publics, privés, ONG), ne bena mudimu ba Mbulamatadi bwa malu a maloba ne a mpetu. </w:t>
      </w:r>
    </w:p>
    <w:p w14:paraId="67188255" w14:textId="77777777" w:rsidR="005C5EB1" w:rsidRPr="003854B8"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Dilongolola ne dibaka bia bisalu ne nzubu ya midimu mipiamipia </w:t>
      </w:r>
      <w:r w:rsidRPr="003854B8">
        <w:rPr>
          <w:rFonts w:eastAsia="MS Mincho" w:cs="Arial"/>
          <w:sz w:val="22"/>
        </w:rPr>
        <w:t xml:space="preserve">(amélioration des </w:t>
      </w:r>
      <w:r w:rsidRPr="003854B8">
        <w:rPr>
          <w:rFonts w:eastAsia="MS Mincho" w:cs="Arial"/>
          <w:sz w:val="22"/>
        </w:rPr>
        <w:lastRenderedPageBreak/>
        <w:t xml:space="preserve">marchés communautaires, des abattoirs, etc.) ; </w:t>
      </w:r>
      <w:r>
        <w:rPr>
          <w:rFonts w:eastAsia="MS Mincho" w:cs="Arial"/>
          <w:sz w:val="22"/>
        </w:rPr>
        <w:t>ne mushindu wa dipitshisha mayi bwa madimi ne bienzedi bia midimu bikwabu</w:t>
      </w:r>
      <w:r w:rsidRPr="003854B8">
        <w:rPr>
          <w:rFonts w:eastAsia="MS Mincho" w:cs="Arial"/>
          <w:sz w:val="22"/>
        </w:rPr>
        <w:t> ;</w:t>
      </w:r>
    </w:p>
    <w:p w14:paraId="324CF50F"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Mudimu ne upeshe mpetu ya diambulwisha ba bidime ba bakese basangisha mutusumbu bwa kubambulwisha </w:t>
      </w:r>
      <w:r w:rsidRPr="007F41C5">
        <w:rPr>
          <w:rFonts w:eastAsia="MS Mincho" w:cs="Arial"/>
          <w:sz w:val="22"/>
        </w:rPr>
        <w:t xml:space="preserve">(coopératives/associations) </w:t>
      </w:r>
      <w:r>
        <w:rPr>
          <w:rFonts w:eastAsia="MS Mincho" w:cs="Arial"/>
          <w:sz w:val="22"/>
        </w:rPr>
        <w:t xml:space="preserve">ne bena </w:t>
      </w:r>
      <w:r w:rsidRPr="007F41C5">
        <w:rPr>
          <w:rFonts w:eastAsia="MS Mincho" w:cs="Arial"/>
          <w:sz w:val="22"/>
        </w:rPr>
        <w:t xml:space="preserve">agro-MPME </w:t>
      </w:r>
      <w:r>
        <w:rPr>
          <w:rFonts w:eastAsia="MS Mincho" w:cs="Arial"/>
          <w:sz w:val="22"/>
        </w:rPr>
        <w:t>bitabuja bwa kwenza mudimu ne badime ba bakese aba</w:t>
      </w:r>
      <w:r w:rsidRPr="007F41C5">
        <w:rPr>
          <w:rFonts w:eastAsia="MS Mincho" w:cs="Arial"/>
          <w:sz w:val="22"/>
        </w:rPr>
        <w:t> ;</w:t>
      </w:r>
    </w:p>
    <w:p w14:paraId="4D6215CB"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Diandamu</w:t>
      </w:r>
      <w:r w:rsidRPr="007F41C5">
        <w:rPr>
          <w:rFonts w:eastAsia="MS Mincho" w:cs="Arial"/>
          <w:sz w:val="22"/>
        </w:rPr>
        <w:t xml:space="preserve">, </w:t>
      </w:r>
      <w:r>
        <w:rPr>
          <w:rFonts w:eastAsia="MS Mincho" w:cs="Arial"/>
          <w:sz w:val="22"/>
        </w:rPr>
        <w:t>diambula ne disumbisha dia bikunibwa biumbukila ku midimu ta madimi</w:t>
      </w:r>
      <w:r w:rsidRPr="007F41C5">
        <w:rPr>
          <w:rFonts w:eastAsia="MS Mincho" w:cs="Arial"/>
          <w:sz w:val="22"/>
        </w:rPr>
        <w:t xml:space="preserve"> (activités post-récolte) ; </w:t>
      </w:r>
    </w:p>
    <w:p w14:paraId="46EAE250"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Dipesha dia maminu ne dienza midimu ya madimi </w:t>
      </w:r>
      <w:r w:rsidRPr="007F41C5">
        <w:rPr>
          <w:rFonts w:eastAsia="MS Mincho" w:cs="Arial"/>
          <w:sz w:val="22"/>
        </w:rPr>
        <w:t xml:space="preserve">(activités pré-récolte) </w:t>
      </w:r>
      <w:r>
        <w:rPr>
          <w:rFonts w:eastAsia="MS Mincho" w:cs="Arial"/>
          <w:sz w:val="22"/>
        </w:rPr>
        <w:t>bumudi biamwa bia midimu, tutumba, maminu, manga a twishi, diumbula njila ya mayi mu madimi, ne diambulwisha dia tekiniki</w:t>
      </w:r>
      <w:r w:rsidRPr="007F41C5">
        <w:rPr>
          <w:rFonts w:eastAsia="MS Mincho" w:cs="Arial"/>
          <w:sz w:val="22"/>
        </w:rPr>
        <w:t>, etc.</w:t>
      </w:r>
      <w:r>
        <w:rPr>
          <w:rFonts w:eastAsia="MS Mincho" w:cs="Arial"/>
          <w:sz w:val="22"/>
        </w:rPr>
        <w:t> ; ne</w:t>
      </w:r>
    </w:p>
    <w:p w14:paraId="3BF90189"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divudija mpetu ta bidime bia kumisoko ne dibapesha mpetu ya diambulwisha yumbukila ku nzubu ya bibutshilu (IF).</w:t>
      </w:r>
      <w:r w:rsidRPr="007F41C5">
        <w:rPr>
          <w:rFonts w:eastAsia="MS Mincho" w:cs="Arial"/>
          <w:sz w:val="22"/>
        </w:rPr>
        <w:t xml:space="preserve"> </w:t>
      </w:r>
    </w:p>
    <w:p w14:paraId="5ABCC2E1" w14:textId="77777777" w:rsidR="005C5EB1" w:rsidRPr="007F41C5" w:rsidRDefault="005C5EB1" w:rsidP="005C5EB1">
      <w:pPr>
        <w:widowControl w:val="0"/>
        <w:autoSpaceDE w:val="0"/>
        <w:autoSpaceDN w:val="0"/>
        <w:ind w:left="720"/>
        <w:rPr>
          <w:rFonts w:eastAsia="MS Mincho" w:cs="Arial"/>
          <w:sz w:val="22"/>
        </w:rPr>
      </w:pPr>
    </w:p>
    <w:p w14:paraId="168D10FA" w14:textId="77777777" w:rsidR="005C5EB1" w:rsidRPr="007F41C5" w:rsidRDefault="005C5EB1" w:rsidP="005C5EB1">
      <w:pPr>
        <w:autoSpaceDE w:val="0"/>
        <w:autoSpaceDN w:val="0"/>
        <w:adjustRightInd w:val="0"/>
        <w:rPr>
          <w:rFonts w:cs="Arial"/>
          <w:sz w:val="22"/>
        </w:rPr>
      </w:pPr>
      <w:r w:rsidRPr="007E2118">
        <w:rPr>
          <w:rFonts w:cs="Arial"/>
          <w:sz w:val="22"/>
          <w:u w:val="single"/>
        </w:rPr>
        <w:t>Pa tshikondo tsh kwenzela miaba ya mudimu ya madimi</w:t>
      </w:r>
      <w:r w:rsidRPr="007F41C5">
        <w:rPr>
          <w:rFonts w:cs="Arial"/>
          <w:sz w:val="22"/>
        </w:rPr>
        <w:t>:</w:t>
      </w:r>
    </w:p>
    <w:p w14:paraId="3CD0F520" w14:textId="77777777" w:rsidR="005C5EB1" w:rsidRPr="007F41C5" w:rsidRDefault="005C5EB1" w:rsidP="005C5EB1">
      <w:pPr>
        <w:autoSpaceDE w:val="0"/>
        <w:autoSpaceDN w:val="0"/>
        <w:adjustRightInd w:val="0"/>
        <w:rPr>
          <w:rFonts w:cs="Arial"/>
          <w:sz w:val="22"/>
        </w:rPr>
      </w:pPr>
    </w:p>
    <w:p w14:paraId="3758B035"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Diteka nzubu ya tshibutshilu bwa mpetu mu misoko</w:t>
      </w:r>
      <w:r w:rsidRPr="007F41C5">
        <w:rPr>
          <w:rFonts w:eastAsia="MS Mincho" w:cs="Arial"/>
          <w:sz w:val="22"/>
        </w:rPr>
        <w:t> ;</w:t>
      </w:r>
    </w:p>
    <w:p w14:paraId="606CA417"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Dienza ntema bwa dinyanguka dia maloba</w:t>
      </w:r>
      <w:r w:rsidRPr="007F41C5">
        <w:rPr>
          <w:rFonts w:eastAsia="MS Mincho" w:cs="Arial"/>
          <w:sz w:val="22"/>
        </w:rPr>
        <w:t> ;</w:t>
      </w:r>
    </w:p>
    <w:p w14:paraId="42DFE118"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Dimasha kunyema kwa bantu bwa kuya miaba mikwabu</w:t>
      </w:r>
      <w:r w:rsidRPr="007F41C5">
        <w:rPr>
          <w:rFonts w:eastAsia="MS Mincho" w:cs="Arial"/>
          <w:sz w:val="22"/>
        </w:rPr>
        <w:t xml:space="preserve"> ; </w:t>
      </w:r>
    </w:p>
    <w:p w14:paraId="21CB2E49"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Ditumikila bakaji ne ba nsonga</w:t>
      </w:r>
      <w:r w:rsidRPr="007F41C5">
        <w:rPr>
          <w:rFonts w:eastAsia="MS Mincho" w:cs="Arial"/>
          <w:sz w:val="22"/>
        </w:rPr>
        <w:t xml:space="preserve"> ; </w:t>
      </w:r>
    </w:p>
    <w:p w14:paraId="0ABB74D3" w14:textId="77777777" w:rsidR="005C5EB1" w:rsidRPr="00FE3BAF" w:rsidRDefault="005C5EB1" w:rsidP="002378EA">
      <w:pPr>
        <w:widowControl w:val="0"/>
        <w:numPr>
          <w:ilvl w:val="0"/>
          <w:numId w:val="68"/>
        </w:numPr>
        <w:autoSpaceDE w:val="0"/>
        <w:autoSpaceDN w:val="0"/>
        <w:rPr>
          <w:rFonts w:eastAsia="MS Mincho" w:cs="Arial"/>
          <w:sz w:val="22"/>
          <w:lang w:val="nl-BE"/>
        </w:rPr>
      </w:pPr>
      <w:r w:rsidRPr="00FE3BAF">
        <w:rPr>
          <w:rFonts w:eastAsia="MS Mincho" w:cs="Arial"/>
          <w:sz w:val="22"/>
          <w:lang w:val="nl-BE"/>
        </w:rPr>
        <w:t xml:space="preserve">Dienzesha dia midimu tshidimu tshijima ; </w:t>
      </w:r>
    </w:p>
    <w:p w14:paraId="547D6F02" w14:textId="77777777" w:rsidR="005C5EB1" w:rsidRPr="00FE3BAF" w:rsidRDefault="005C5EB1" w:rsidP="002378EA">
      <w:pPr>
        <w:widowControl w:val="0"/>
        <w:numPr>
          <w:ilvl w:val="0"/>
          <w:numId w:val="68"/>
        </w:numPr>
        <w:autoSpaceDE w:val="0"/>
        <w:autoSpaceDN w:val="0"/>
        <w:rPr>
          <w:rFonts w:eastAsia="MS Mincho" w:cs="Arial"/>
          <w:sz w:val="22"/>
          <w:lang w:val="nl-BE"/>
        </w:rPr>
      </w:pPr>
      <w:r w:rsidRPr="00FE3BAF">
        <w:rPr>
          <w:rFonts w:eastAsia="MS Mincho" w:cs="Arial"/>
          <w:sz w:val="22"/>
          <w:lang w:val="nl-BE"/>
        </w:rPr>
        <w:t>Dimanyisha dienza dia ndululu kudi ba nsonga ;</w:t>
      </w:r>
    </w:p>
    <w:p w14:paraId="6B188DF2" w14:textId="77777777" w:rsidR="005C5EB1" w:rsidRPr="007F41C5" w:rsidRDefault="005C5EB1" w:rsidP="002378EA">
      <w:pPr>
        <w:widowControl w:val="0"/>
        <w:numPr>
          <w:ilvl w:val="0"/>
          <w:numId w:val="68"/>
        </w:numPr>
        <w:autoSpaceDE w:val="0"/>
        <w:autoSpaceDN w:val="0"/>
        <w:rPr>
          <w:rFonts w:eastAsia="MS Mincho" w:cs="Arial"/>
          <w:sz w:val="22"/>
        </w:rPr>
      </w:pPr>
      <w:r w:rsidRPr="00FE3BAF">
        <w:rPr>
          <w:rFonts w:eastAsia="MS Mincho" w:cs="Arial"/>
          <w:sz w:val="22"/>
          <w:lang w:val="fr-CD"/>
        </w:rPr>
        <w:t xml:space="preserve">Diteka dia </w:t>
      </w:r>
      <w:r>
        <w:rPr>
          <w:rFonts w:eastAsia="MS Mincho" w:cs="Arial"/>
          <w:sz w:val="22"/>
          <w:lang w:val="fr-CD"/>
        </w:rPr>
        <w:t>tusumbu twa badimi</w:t>
      </w:r>
      <w:r w:rsidRPr="007F41C5">
        <w:rPr>
          <w:rFonts w:eastAsia="MS Mincho" w:cs="Arial"/>
          <w:sz w:val="22"/>
        </w:rPr>
        <w:t xml:space="preserve"> ; </w:t>
      </w:r>
    </w:p>
    <w:p w14:paraId="280A5E2C"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Diteka dia ma </w:t>
      </w:r>
      <w:r w:rsidRPr="007F41C5">
        <w:rPr>
          <w:rFonts w:eastAsia="MS Mincho" w:cs="Arial"/>
          <w:sz w:val="22"/>
        </w:rPr>
        <w:t xml:space="preserve">Coopératives </w:t>
      </w:r>
      <w:r>
        <w:rPr>
          <w:rFonts w:eastAsia="MS Mincho" w:cs="Arial"/>
          <w:sz w:val="22"/>
        </w:rPr>
        <w:t>a badimi</w:t>
      </w:r>
      <w:r w:rsidRPr="007F41C5">
        <w:rPr>
          <w:rFonts w:eastAsia="MS Mincho" w:cs="Arial"/>
          <w:sz w:val="22"/>
        </w:rPr>
        <w:t xml:space="preserve"> ; </w:t>
      </w:r>
    </w:p>
    <w:p w14:paraId="30CB8F22"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Dilongolola dimpe bwa kwandamuna bidibwa</w:t>
      </w:r>
      <w:r w:rsidRPr="007F41C5">
        <w:rPr>
          <w:rFonts w:eastAsia="MS Mincho" w:cs="Arial"/>
          <w:sz w:val="22"/>
        </w:rPr>
        <w:t xml:space="preserve"> ; </w:t>
      </w:r>
    </w:p>
    <w:p w14:paraId="0C3EDA54"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Diteka njila ya disumbisha ne ya mushinga wa bintu</w:t>
      </w:r>
      <w:r w:rsidRPr="007F41C5">
        <w:rPr>
          <w:rFonts w:eastAsia="MS Mincho" w:cs="Arial"/>
          <w:sz w:val="22"/>
        </w:rPr>
        <w:t xml:space="preserve"> ; </w:t>
      </w:r>
    </w:p>
    <w:p w14:paraId="624A8D39"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Ditangidila malu a Bakaji pabu</w:t>
      </w:r>
      <w:r w:rsidRPr="007F41C5">
        <w:rPr>
          <w:rFonts w:eastAsia="MS Mincho" w:cs="Arial"/>
          <w:sz w:val="22"/>
        </w:rPr>
        <w:t> ;</w:t>
      </w:r>
    </w:p>
    <w:p w14:paraId="6118B333"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Ditangidila malu ab bakaji bwa midimu eyi ya madimi </w:t>
      </w:r>
      <w:r w:rsidRPr="007F41C5">
        <w:rPr>
          <w:rFonts w:eastAsia="MS Mincho" w:cs="Arial"/>
          <w:sz w:val="22"/>
        </w:rPr>
        <w:t xml:space="preserve">;  </w:t>
      </w:r>
    </w:p>
    <w:p w14:paraId="0B9F9029"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Dibweja bakaji ne ba nsonga munkatshi mwa midimu bwa kupeta mpetu</w:t>
      </w:r>
      <w:r w:rsidRPr="007F41C5">
        <w:rPr>
          <w:rFonts w:eastAsia="MS Mincho" w:cs="Arial"/>
          <w:sz w:val="22"/>
        </w:rPr>
        <w:t xml:space="preserve"> ; </w:t>
      </w:r>
      <w:r>
        <w:rPr>
          <w:rFonts w:eastAsia="MS Mincho" w:cs="Arial"/>
          <w:sz w:val="22"/>
        </w:rPr>
        <w:t>ne</w:t>
      </w:r>
    </w:p>
    <w:p w14:paraId="036A2634"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Dienzela diakane di ngenyi mipiamipia ya tekiniki wa malu a kudima kulondangana ne tshikondo ne kabidi ne malu a kudia</w:t>
      </w:r>
      <w:r w:rsidRPr="007F41C5">
        <w:rPr>
          <w:rFonts w:eastAsia="MS Mincho" w:cs="Arial"/>
          <w:sz w:val="22"/>
        </w:rPr>
        <w:t>.</w:t>
      </w:r>
    </w:p>
    <w:p w14:paraId="1A4839F0"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Dikepesha dinyanga bidibwa patshikondo tsha dibibuka ;</w:t>
      </w:r>
    </w:p>
    <w:p w14:paraId="5FE363A2"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Dilondela biakane malu a dikuba bintu bia nyungulukilu wa buloba ne nsombelu wa bantu mudienza midimu ;</w:t>
      </w:r>
    </w:p>
    <w:p w14:paraId="31722794"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Difwala dia bibakabu bwa malu akwenzesha midimu kudi bantu munkatshi mwabu.</w:t>
      </w:r>
    </w:p>
    <w:p w14:paraId="0365178F" w14:textId="77777777" w:rsidR="005C5EB1" w:rsidRPr="007F41C5" w:rsidRDefault="005C5EB1" w:rsidP="005C5EB1">
      <w:pPr>
        <w:autoSpaceDE w:val="0"/>
        <w:autoSpaceDN w:val="0"/>
        <w:adjustRightInd w:val="0"/>
        <w:spacing w:line="240" w:lineRule="auto"/>
        <w:rPr>
          <w:rFonts w:cs="Arial"/>
          <w:sz w:val="22"/>
        </w:rPr>
      </w:pPr>
    </w:p>
    <w:p w14:paraId="584584AA" w14:textId="77777777" w:rsidR="005C5EB1" w:rsidRPr="007F41C5" w:rsidRDefault="005C5EB1" w:rsidP="005C5EB1">
      <w:pPr>
        <w:spacing w:line="240" w:lineRule="auto"/>
        <w:rPr>
          <w:rFonts w:cs="Arial"/>
          <w:sz w:val="22"/>
          <w:u w:val="single"/>
        </w:rPr>
      </w:pPr>
      <w:r>
        <w:rPr>
          <w:rFonts w:cs="Arial"/>
          <w:sz w:val="22"/>
          <w:u w:val="single"/>
        </w:rPr>
        <w:t>Bibangu ne njiwu ya mibi kumbukila ku midimu yenzeka pa tshikondo tsha kudima ne kupitshisha mayi mu madimi :</w:t>
      </w:r>
    </w:p>
    <w:p w14:paraId="7DFF650A" w14:textId="77777777" w:rsidR="005C5EB1" w:rsidRPr="007F41C5" w:rsidRDefault="005C5EB1" w:rsidP="005C5EB1">
      <w:pPr>
        <w:spacing w:line="240" w:lineRule="auto"/>
        <w:rPr>
          <w:rFonts w:cs="Arial"/>
          <w:b/>
          <w:sz w:val="22"/>
          <w:u w:val="single"/>
        </w:rPr>
      </w:pPr>
    </w:p>
    <w:p w14:paraId="49D4376E" w14:textId="77777777" w:rsidR="005C5EB1" w:rsidRPr="00F546C6" w:rsidRDefault="005C5EB1" w:rsidP="002378EA">
      <w:pPr>
        <w:widowControl w:val="0"/>
        <w:numPr>
          <w:ilvl w:val="0"/>
          <w:numId w:val="68"/>
        </w:numPr>
        <w:autoSpaceDE w:val="0"/>
        <w:autoSpaceDN w:val="0"/>
        <w:rPr>
          <w:rFonts w:eastAsia="MS Mincho" w:cs="Arial"/>
          <w:sz w:val="22"/>
          <w:lang w:val="fr-CD"/>
        </w:rPr>
      </w:pPr>
      <w:r w:rsidRPr="00F546C6">
        <w:rPr>
          <w:rFonts w:eastAsia="MS Mincho" w:cs="Arial"/>
          <w:sz w:val="22"/>
          <w:lang w:val="fr-CD"/>
        </w:rPr>
        <w:t>Njiwu ya malu adikengesha bakaji ne</w:t>
      </w:r>
      <w:r>
        <w:rPr>
          <w:rFonts w:eastAsia="MS Mincho" w:cs="Arial"/>
          <w:sz w:val="22"/>
          <w:lang w:val="fr-CD"/>
        </w:rPr>
        <w:t xml:space="preserve"> dibatatshisha kutshikondo tsha midimu ;</w:t>
      </w:r>
    </w:p>
    <w:p w14:paraId="6D5F481B"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Dinyankaja dia miaba</w:t>
      </w:r>
      <w:r w:rsidRPr="007F41C5">
        <w:rPr>
          <w:rFonts w:eastAsia="MS Mincho" w:cs="Arial"/>
          <w:sz w:val="22"/>
        </w:rPr>
        <w:t xml:space="preserve"> </w:t>
      </w:r>
      <w:r>
        <w:rPr>
          <w:rFonts w:eastAsia="MS Mincho" w:cs="Arial"/>
          <w:sz w:val="22"/>
        </w:rPr>
        <w:t>itu mishipa ilelela mu mayi ;</w:t>
      </w:r>
    </w:p>
    <w:p w14:paraId="7B5E2925"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Dikosa mitshi ne dinyankaja metu, ne maloba ne mbuwe, ne diupula bisombelu bia nyama ne dikosa mitshi ;</w:t>
      </w:r>
    </w:p>
    <w:p w14:paraId="665D5BA9" w14:textId="77777777" w:rsidR="005C5EB1" w:rsidRPr="007F41C5" w:rsidRDefault="005C5EB1" w:rsidP="002378EA">
      <w:pPr>
        <w:widowControl w:val="0"/>
        <w:numPr>
          <w:ilvl w:val="0"/>
          <w:numId w:val="68"/>
        </w:numPr>
        <w:autoSpaceDE w:val="0"/>
        <w:autoSpaceDN w:val="0"/>
        <w:rPr>
          <w:rFonts w:eastAsia="MS Mincho" w:cs="Arial"/>
          <w:sz w:val="22"/>
        </w:rPr>
      </w:pPr>
      <w:r w:rsidRPr="007F41C5">
        <w:rPr>
          <w:rFonts w:eastAsia="MS Mincho" w:cs="Arial"/>
          <w:sz w:val="22"/>
        </w:rPr>
        <w:t xml:space="preserve"> </w:t>
      </w:r>
      <w:r>
        <w:rPr>
          <w:rFonts w:eastAsia="MS Mincho" w:cs="Arial"/>
          <w:sz w:val="22"/>
        </w:rPr>
        <w:t>Dishipa nyama mikese ne bifukibwe bikwabu</w:t>
      </w:r>
      <w:r w:rsidRPr="007F41C5">
        <w:rPr>
          <w:rFonts w:eastAsia="MS Mincho" w:cs="Arial"/>
          <w:sz w:val="22"/>
        </w:rPr>
        <w:t> ;</w:t>
      </w:r>
    </w:p>
    <w:p w14:paraId="26925FE7"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Njiwu ya ndululu ya dienzela mayi, miaba ya madimi, ya diloba ne ya dimuna nyama ;</w:t>
      </w:r>
    </w:p>
    <w:p w14:paraId="5875DDE9"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Difwila maloba pankatshi pa Tuyeke ne benzeji ba midimu bakwabu ;</w:t>
      </w:r>
    </w:p>
    <w:p w14:paraId="3CCF07F0" w14:textId="77777777" w:rsidR="005C5EB1" w:rsidRPr="00D36687" w:rsidRDefault="005C5EB1" w:rsidP="002378EA">
      <w:pPr>
        <w:widowControl w:val="0"/>
        <w:numPr>
          <w:ilvl w:val="0"/>
          <w:numId w:val="68"/>
        </w:numPr>
        <w:autoSpaceDE w:val="0"/>
        <w:autoSpaceDN w:val="0"/>
        <w:rPr>
          <w:rFonts w:eastAsia="MS Mincho" w:cs="Arial"/>
          <w:sz w:val="22"/>
          <w:lang w:val="en-US"/>
        </w:rPr>
      </w:pPr>
      <w:r w:rsidRPr="00D36687">
        <w:rPr>
          <w:rFonts w:eastAsia="MS Mincho" w:cs="Arial"/>
          <w:sz w:val="22"/>
          <w:lang w:val="en-US"/>
        </w:rPr>
        <w:t>Dijimija dia miaba ya k</w:t>
      </w:r>
      <w:r>
        <w:rPr>
          <w:rFonts w:eastAsia="MS Mincho" w:cs="Arial"/>
          <w:sz w:val="22"/>
          <w:lang w:val="en-US"/>
        </w:rPr>
        <w:t>udishila nyama;</w:t>
      </w:r>
    </w:p>
    <w:p w14:paraId="6D706949" w14:textId="77777777" w:rsidR="005C5EB1" w:rsidRPr="00F26589" w:rsidRDefault="005C5EB1" w:rsidP="002378EA">
      <w:pPr>
        <w:widowControl w:val="0"/>
        <w:numPr>
          <w:ilvl w:val="0"/>
          <w:numId w:val="68"/>
        </w:numPr>
        <w:autoSpaceDE w:val="0"/>
        <w:autoSpaceDN w:val="0"/>
        <w:rPr>
          <w:rFonts w:eastAsia="MS Mincho" w:cs="Arial"/>
          <w:sz w:val="22"/>
          <w:lang w:val="en-US"/>
        </w:rPr>
      </w:pPr>
      <w:r w:rsidRPr="00F26589">
        <w:rPr>
          <w:rFonts w:eastAsia="MS Mincho" w:cs="Arial"/>
          <w:sz w:val="22"/>
          <w:lang w:val="en-US"/>
        </w:rPr>
        <w:t>Dijimija maloba, dia bintu ne mpetu, ne kabidi njiwu ya diumbusha bantu pa miaba ya bu ;</w:t>
      </w:r>
    </w:p>
    <w:p w14:paraId="0C841354" w14:textId="77777777" w:rsidR="005C5EB1" w:rsidRPr="00F26589" w:rsidRDefault="005C5EB1" w:rsidP="002378EA">
      <w:pPr>
        <w:widowControl w:val="0"/>
        <w:numPr>
          <w:ilvl w:val="0"/>
          <w:numId w:val="68"/>
        </w:numPr>
        <w:autoSpaceDE w:val="0"/>
        <w:autoSpaceDN w:val="0"/>
        <w:rPr>
          <w:rFonts w:eastAsia="MS Mincho" w:cs="Arial"/>
          <w:sz w:val="22"/>
          <w:lang w:val="en-US"/>
        </w:rPr>
      </w:pPr>
      <w:r w:rsidRPr="00F26589">
        <w:rPr>
          <w:rFonts w:eastAsia="MS Mincho" w:cs="Arial"/>
          <w:sz w:val="22"/>
          <w:lang w:val="en-US"/>
        </w:rPr>
        <w:t xml:space="preserve">Njiwu ya kukokangana pa nkatshi pa bantu pikalabu kabayi bangate bena mudimu mu </w:t>
      </w:r>
      <w:r w:rsidRPr="00F26589">
        <w:rPr>
          <w:rFonts w:eastAsia="MS Mincho" w:cs="Arial"/>
          <w:sz w:val="22"/>
          <w:lang w:val="en-US"/>
        </w:rPr>
        <w:lastRenderedPageBreak/>
        <w:t>misoko yabu ;</w:t>
      </w:r>
    </w:p>
    <w:p w14:paraId="41E63018"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Njiwu ya diabanya dibi dia maminu ne mambulwisha makwabu ;</w:t>
      </w:r>
    </w:p>
    <w:p w14:paraId="36CFD380"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Njiwu ya dikokangana dia bantu ne dilwa dia midimu ya madimi</w:t>
      </w:r>
      <w:r w:rsidRPr="007F41C5">
        <w:rPr>
          <w:rFonts w:eastAsia="MS Mincho" w:cs="Arial"/>
          <w:sz w:val="22"/>
        </w:rPr>
        <w:t> ;</w:t>
      </w:r>
    </w:p>
    <w:p w14:paraId="5DF1939D"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Njiwu ya diangata bana batekete ku mudimu ba mvula mwishi 18</w:t>
      </w:r>
      <w:r w:rsidRPr="007F41C5">
        <w:rPr>
          <w:rFonts w:eastAsia="MS Mincho" w:cs="Arial"/>
          <w:sz w:val="22"/>
        </w:rPr>
        <w:t> ;</w:t>
      </w:r>
    </w:p>
    <w:p w14:paraId="17B8DE21"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Ditungisha malu a ba ngenda mushinga pa tshikondo tsha midimu</w:t>
      </w:r>
      <w:r w:rsidRPr="007F41C5">
        <w:rPr>
          <w:rFonts w:eastAsia="MS Mincho" w:cs="Arial"/>
          <w:sz w:val="22"/>
        </w:rPr>
        <w:t xml:space="preserve"> ;</w:t>
      </w:r>
    </w:p>
    <w:p w14:paraId="2A2E67A4"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Dikokangana kumbukila ku diangata dia maloba a bantu kakuyi diuvwangana</w:t>
      </w:r>
      <w:r w:rsidRPr="007F41C5">
        <w:rPr>
          <w:rFonts w:eastAsia="MS Mincho" w:cs="Arial"/>
          <w:sz w:val="22"/>
        </w:rPr>
        <w:t> ;</w:t>
      </w:r>
    </w:p>
    <w:p w14:paraId="514AB546"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Njiwu ya kupanga kupesha bantu bakaji mudimu pa kwangata bena mudimu ; </w:t>
      </w:r>
    </w:p>
    <w:p w14:paraId="3A192F33"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Njiwu ya tshimpitshimpi pa diba dia mudimu</w:t>
      </w:r>
      <w:r w:rsidRPr="007F41C5">
        <w:rPr>
          <w:rFonts w:eastAsia="MS Mincho" w:cs="Arial"/>
          <w:sz w:val="22"/>
        </w:rPr>
        <w:t xml:space="preserve"> (personnel et population).</w:t>
      </w:r>
    </w:p>
    <w:p w14:paraId="73347929" w14:textId="77777777" w:rsidR="005C5EB1" w:rsidRDefault="005C5EB1" w:rsidP="002378EA">
      <w:pPr>
        <w:widowControl w:val="0"/>
        <w:numPr>
          <w:ilvl w:val="0"/>
          <w:numId w:val="68"/>
        </w:numPr>
        <w:autoSpaceDE w:val="0"/>
        <w:autoSpaceDN w:val="0"/>
        <w:rPr>
          <w:rFonts w:eastAsia="MS Mincho" w:cs="Arial"/>
          <w:sz w:val="22"/>
        </w:rPr>
      </w:pPr>
      <w:r w:rsidRPr="00E975EE">
        <w:rPr>
          <w:rFonts w:eastAsia="MS Mincho" w:cs="Arial"/>
          <w:sz w:val="22"/>
        </w:rPr>
        <w:t xml:space="preserve">Njiwu ya divudija malu a diangata bakaji kubukole anyi di bakengesha, ne dibaleja makuta bwa kubangata kudi bena mudimu ; </w:t>
      </w:r>
    </w:p>
    <w:p w14:paraId="3F191E98" w14:textId="77777777" w:rsidR="005C5EB1" w:rsidRPr="00372F9C" w:rsidRDefault="005C5EB1" w:rsidP="002378EA">
      <w:pPr>
        <w:widowControl w:val="0"/>
        <w:numPr>
          <w:ilvl w:val="0"/>
          <w:numId w:val="68"/>
        </w:numPr>
        <w:autoSpaceDE w:val="0"/>
        <w:autoSpaceDN w:val="0"/>
        <w:rPr>
          <w:rFonts w:eastAsia="MS Mincho" w:cs="Arial"/>
          <w:sz w:val="22"/>
          <w:lang w:val="en-US"/>
        </w:rPr>
      </w:pPr>
      <w:r w:rsidRPr="00372F9C">
        <w:rPr>
          <w:rFonts w:eastAsia="MS Mincho" w:cs="Arial"/>
          <w:sz w:val="22"/>
          <w:lang w:val="en-US"/>
        </w:rPr>
        <w:t>Njiwu ya dipeshangane masama a bukoya kumbukila ku manga adishipa twishi ;</w:t>
      </w:r>
    </w:p>
    <w:p w14:paraId="41B77B12" w14:textId="77777777" w:rsidR="005C5EB1" w:rsidRPr="00372F9C" w:rsidRDefault="005C5EB1" w:rsidP="005C5EB1">
      <w:pPr>
        <w:keepNext/>
        <w:tabs>
          <w:tab w:val="left" w:pos="720"/>
        </w:tabs>
        <w:spacing w:line="240" w:lineRule="auto"/>
        <w:outlineLvl w:val="2"/>
        <w:rPr>
          <w:rFonts w:eastAsia="MS Mincho" w:cs="Arial"/>
          <w:sz w:val="22"/>
          <w:lang w:val="en-US"/>
        </w:rPr>
      </w:pPr>
    </w:p>
    <w:p w14:paraId="36F930D0" w14:textId="77777777" w:rsidR="005C5EB1" w:rsidRPr="007F41C5" w:rsidRDefault="005C5EB1" w:rsidP="005C5EB1">
      <w:pPr>
        <w:keepNext/>
        <w:tabs>
          <w:tab w:val="left" w:pos="720"/>
        </w:tabs>
        <w:spacing w:line="240" w:lineRule="auto"/>
        <w:outlineLvl w:val="2"/>
        <w:rPr>
          <w:rFonts w:cs="Arial"/>
          <w:vanish/>
          <w:sz w:val="22"/>
          <w:u w:val="single"/>
        </w:rPr>
      </w:pPr>
    </w:p>
    <w:p w14:paraId="10D27C26" w14:textId="77777777" w:rsidR="005C5EB1" w:rsidRPr="00730A4A" w:rsidRDefault="005C5EB1" w:rsidP="005C5EB1">
      <w:pPr>
        <w:spacing w:line="240" w:lineRule="auto"/>
        <w:rPr>
          <w:rFonts w:cs="Arial"/>
          <w:color w:val="000000"/>
          <w:sz w:val="22"/>
          <w:u w:val="single"/>
        </w:rPr>
      </w:pPr>
      <w:r w:rsidRPr="00730A4A">
        <w:rPr>
          <w:rFonts w:cs="Arial"/>
          <w:color w:val="000000"/>
          <w:sz w:val="22"/>
          <w:u w:val="single"/>
        </w:rPr>
        <w:t>Bibangu ne njiwu mibi pa diba dia midimu ya madimi :</w:t>
      </w:r>
    </w:p>
    <w:p w14:paraId="75F17673" w14:textId="77777777" w:rsidR="005C5EB1" w:rsidRPr="007F41C5" w:rsidRDefault="005C5EB1" w:rsidP="005C5EB1">
      <w:pPr>
        <w:spacing w:line="240" w:lineRule="auto"/>
        <w:rPr>
          <w:rFonts w:cs="Arial"/>
          <w:b/>
          <w:sz w:val="22"/>
          <w:u w:val="single"/>
        </w:rPr>
      </w:pPr>
    </w:p>
    <w:p w14:paraId="4B59FFE7" w14:textId="77777777" w:rsidR="005C5EB1" w:rsidRPr="00D36687" w:rsidRDefault="005C5EB1" w:rsidP="002378EA">
      <w:pPr>
        <w:widowControl w:val="0"/>
        <w:numPr>
          <w:ilvl w:val="0"/>
          <w:numId w:val="68"/>
        </w:numPr>
        <w:autoSpaceDE w:val="0"/>
        <w:autoSpaceDN w:val="0"/>
        <w:rPr>
          <w:rFonts w:eastAsia="MS Mincho" w:cs="Arial"/>
          <w:sz w:val="22"/>
          <w:lang w:val="en-US"/>
        </w:rPr>
      </w:pPr>
      <w:r w:rsidRPr="00D36687">
        <w:rPr>
          <w:rFonts w:eastAsia="MS Mincho" w:cs="Arial"/>
          <w:sz w:val="22"/>
          <w:lang w:val="en-US"/>
        </w:rPr>
        <w:t>Divula dia masama kumbukila ku mayi</w:t>
      </w:r>
    </w:p>
    <w:p w14:paraId="56BB30EF"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Dienzela maloba ne mayi bikole bwa ebi bibakibwa ;</w:t>
      </w:r>
    </w:p>
    <w:p w14:paraId="66512FDE"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Dijimija bufuke bwa maloba ;</w:t>
      </w:r>
    </w:p>
    <w:p w14:paraId="53A638D4"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Dinyankaja mayi ne maloba ne mamnga adi dishipa twishi ne difukisha maloba ;</w:t>
      </w:r>
    </w:p>
    <w:p w14:paraId="2ADF0D69"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Masama kumbukila ku manga akushipa twishi ne difukisha maloba ;</w:t>
      </w:r>
    </w:p>
    <w:p w14:paraId="4A123A4E"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Dinyankaja bintu bikwabu ne manga haa ;</w:t>
      </w:r>
    </w:p>
    <w:p w14:paraId="38538EEA"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Dikolesha ndululu pankatshi pa bantu bwa dienzala mayi anyi bisuku bia kudishila nyama; </w:t>
      </w:r>
    </w:p>
    <w:p w14:paraId="789E72E8" w14:textId="77777777" w:rsidR="005C5EB1" w:rsidRPr="00372F9C" w:rsidRDefault="005C5EB1" w:rsidP="002378EA">
      <w:pPr>
        <w:widowControl w:val="0"/>
        <w:numPr>
          <w:ilvl w:val="0"/>
          <w:numId w:val="68"/>
        </w:numPr>
        <w:autoSpaceDE w:val="0"/>
        <w:autoSpaceDN w:val="0"/>
        <w:rPr>
          <w:rFonts w:eastAsia="MS Mincho" w:cs="Arial"/>
          <w:sz w:val="22"/>
          <w:lang w:val="en-US"/>
        </w:rPr>
      </w:pPr>
      <w:r w:rsidRPr="00372F9C">
        <w:rPr>
          <w:rFonts w:eastAsia="MS Mincho" w:cs="Arial"/>
          <w:sz w:val="22"/>
          <w:lang w:val="en-US"/>
        </w:rPr>
        <w:t>Njiwu ya kutampakaja disama dia COVID-19 pikala bantu kabayi benza ntema to.</w:t>
      </w:r>
    </w:p>
    <w:p w14:paraId="71AB2E8E" w14:textId="77777777" w:rsidR="005C5EB1" w:rsidRPr="00D160F0" w:rsidRDefault="005C5EB1" w:rsidP="002378EA">
      <w:pPr>
        <w:widowControl w:val="0"/>
        <w:numPr>
          <w:ilvl w:val="0"/>
          <w:numId w:val="68"/>
        </w:numPr>
        <w:autoSpaceDE w:val="0"/>
        <w:autoSpaceDN w:val="0"/>
        <w:rPr>
          <w:rFonts w:eastAsia="MS Mincho" w:cs="Arial"/>
          <w:sz w:val="22"/>
        </w:rPr>
      </w:pPr>
      <w:r>
        <w:rPr>
          <w:rFonts w:eastAsia="MS Mincho" w:cs="Arial"/>
          <w:sz w:val="22"/>
        </w:rPr>
        <w:t>Dijimija mpetu ne bintu pa tshikondo tsha midimu ;</w:t>
      </w:r>
    </w:p>
    <w:p w14:paraId="4F25FC97"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Njiwu ya dipeshangana masama a</w:t>
      </w:r>
      <w:r w:rsidRPr="007F41C5">
        <w:rPr>
          <w:rFonts w:eastAsia="MS Mincho" w:cs="Arial"/>
          <w:sz w:val="22"/>
        </w:rPr>
        <w:t xml:space="preserve"> VIH/SIDA </w:t>
      </w:r>
      <w:r>
        <w:rPr>
          <w:rFonts w:eastAsia="MS Mincho" w:cs="Arial"/>
          <w:sz w:val="22"/>
        </w:rPr>
        <w:t>ne a</w:t>
      </w:r>
      <w:r w:rsidRPr="007F41C5">
        <w:rPr>
          <w:rFonts w:eastAsia="MS Mincho" w:cs="Arial"/>
          <w:sz w:val="22"/>
        </w:rPr>
        <w:t xml:space="preserve"> IST </w:t>
      </w:r>
      <w:r>
        <w:rPr>
          <w:rFonts w:eastAsia="MS Mincho" w:cs="Arial"/>
          <w:sz w:val="22"/>
        </w:rPr>
        <w:t>pa nkatshi pa bena musoko na bena mudimu</w:t>
      </w:r>
      <w:r w:rsidRPr="007F41C5">
        <w:rPr>
          <w:rFonts w:eastAsia="MS Mincho" w:cs="Arial"/>
          <w:sz w:val="22"/>
        </w:rPr>
        <w:t> ;</w:t>
      </w:r>
    </w:p>
    <w:p w14:paraId="7F580232"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Bubi kumbukila ku dikengesha bantu bakaji</w:t>
      </w:r>
      <w:r w:rsidRPr="007F41C5">
        <w:rPr>
          <w:rFonts w:eastAsia="MS Mincho" w:cs="Arial"/>
          <w:sz w:val="22"/>
        </w:rPr>
        <w:t> ;</w:t>
      </w:r>
    </w:p>
    <w:p w14:paraId="6E593418" w14:textId="77777777" w:rsidR="005C5EB1" w:rsidRPr="007F41C5" w:rsidRDefault="005C5EB1" w:rsidP="005C5EB1">
      <w:pPr>
        <w:spacing w:line="240" w:lineRule="auto"/>
        <w:rPr>
          <w:rFonts w:cs="Arial"/>
          <w:sz w:val="22"/>
          <w:u w:val="single"/>
        </w:rPr>
      </w:pPr>
    </w:p>
    <w:p w14:paraId="6F306757" w14:textId="77777777" w:rsidR="005C5EB1" w:rsidRPr="00730A4A" w:rsidRDefault="005C5EB1" w:rsidP="005C5EB1">
      <w:pPr>
        <w:spacing w:line="240" w:lineRule="auto"/>
        <w:rPr>
          <w:rFonts w:cs="Arial"/>
          <w:color w:val="000000"/>
          <w:sz w:val="22"/>
          <w:u w:val="single"/>
        </w:rPr>
      </w:pPr>
      <w:r w:rsidRPr="00730A4A">
        <w:rPr>
          <w:rFonts w:cs="Arial"/>
          <w:color w:val="000000"/>
          <w:sz w:val="22"/>
          <w:u w:val="single"/>
        </w:rPr>
        <w:t>Bibangu ne njiwu ya mibi kumbukila ku midimu ya dibaka ne dienzesha midimu mikwabu</w:t>
      </w:r>
    </w:p>
    <w:p w14:paraId="2EF960BA" w14:textId="77777777" w:rsidR="005C5EB1" w:rsidRPr="00730A4A" w:rsidRDefault="005C5EB1" w:rsidP="005C5EB1">
      <w:pPr>
        <w:spacing w:line="240" w:lineRule="auto"/>
        <w:rPr>
          <w:rFonts w:cs="Arial"/>
          <w:color w:val="000000"/>
          <w:sz w:val="22"/>
          <w:u w:val="single"/>
        </w:rPr>
      </w:pPr>
    </w:p>
    <w:p w14:paraId="30009D9B"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Dinyangakaja dia mayi ne maloba ne makoya mashilangane kumbukila ku midimu</w:t>
      </w:r>
      <w:r w:rsidRPr="007F41C5">
        <w:rPr>
          <w:rFonts w:eastAsia="MS Mincho" w:cs="Arial"/>
          <w:sz w:val="22"/>
        </w:rPr>
        <w:t xml:space="preserve"> ; </w:t>
      </w:r>
    </w:p>
    <w:p w14:paraId="22AB1B94"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Ditungisha bantu ne mitoyi ya biamu bia midimu ;</w:t>
      </w:r>
    </w:p>
    <w:p w14:paraId="194DAF32"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Dinyankaja miaba ne dipateka bintu bia midimu ;</w:t>
      </w:r>
    </w:p>
    <w:p w14:paraId="5446CE01"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Dinyankaja maloba ne mbuwe</w:t>
      </w:r>
    </w:p>
    <w:p w14:paraId="3B59E916"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Dinaynangakaja lupepele ne lupwishi ;</w:t>
      </w:r>
    </w:p>
    <w:p w14:paraId="034FB9FA"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Dijimija maloba ne mpetu ya bantu, ne dibumbusha pa miaba yabu ;</w:t>
      </w:r>
    </w:p>
    <w:p w14:paraId="249E5C27"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Ndululu kumbukila kudipanga kwangata bena musoko ku mudimu ;</w:t>
      </w:r>
    </w:p>
    <w:p w14:paraId="6A41FDB7" w14:textId="77777777" w:rsidR="005C5EB1" w:rsidRDefault="005C5EB1" w:rsidP="002378EA">
      <w:pPr>
        <w:widowControl w:val="0"/>
        <w:numPr>
          <w:ilvl w:val="0"/>
          <w:numId w:val="68"/>
        </w:numPr>
        <w:autoSpaceDE w:val="0"/>
        <w:autoSpaceDN w:val="0"/>
        <w:rPr>
          <w:rFonts w:eastAsia="MS Mincho" w:cs="Arial"/>
          <w:sz w:val="22"/>
        </w:rPr>
      </w:pPr>
      <w:r>
        <w:rPr>
          <w:rFonts w:eastAsia="MS Mincho" w:cs="Arial"/>
          <w:sz w:val="22"/>
        </w:rPr>
        <w:t>Ndululu kumbukila kudiabanya dibi dia bienzedi bia mudimu ;</w:t>
      </w:r>
    </w:p>
    <w:p w14:paraId="00AF3325"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Dinyangakaja miaba ya bisombelu bia nyama ya mikese</w:t>
      </w:r>
      <w:r w:rsidRPr="007F41C5">
        <w:rPr>
          <w:rFonts w:eastAsia="MS Mincho" w:cs="Arial"/>
          <w:sz w:val="22"/>
        </w:rPr>
        <w:t xml:space="preserve"> ;  </w:t>
      </w:r>
    </w:p>
    <w:p w14:paraId="5C49C7DD"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Njiwu ya dilwanga bwa malu a dienzela maloba</w:t>
      </w:r>
      <w:r w:rsidRPr="007F41C5">
        <w:rPr>
          <w:rFonts w:eastAsia="MS Mincho" w:cs="Arial"/>
          <w:sz w:val="22"/>
        </w:rPr>
        <w:t xml:space="preserve"> ;</w:t>
      </w:r>
    </w:p>
    <w:p w14:paraId="158556AF"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Njiwu ya difwilakana maloba ne bena miaba yabu ;</w:t>
      </w:r>
    </w:p>
    <w:p w14:paraId="375B3E02" w14:textId="77777777" w:rsidR="005C5EB1" w:rsidRPr="00372F9C" w:rsidRDefault="005C5EB1" w:rsidP="002378EA">
      <w:pPr>
        <w:widowControl w:val="0"/>
        <w:numPr>
          <w:ilvl w:val="0"/>
          <w:numId w:val="68"/>
        </w:numPr>
        <w:autoSpaceDE w:val="0"/>
        <w:autoSpaceDN w:val="0"/>
        <w:rPr>
          <w:rFonts w:eastAsia="MS Mincho" w:cs="Arial"/>
          <w:sz w:val="22"/>
          <w:lang w:val="en-US"/>
        </w:rPr>
      </w:pPr>
      <w:r w:rsidRPr="00372F9C">
        <w:rPr>
          <w:rFonts w:eastAsia="MS Mincho" w:cs="Arial"/>
          <w:sz w:val="22"/>
          <w:lang w:val="en-US"/>
        </w:rPr>
        <w:t>Dijimija miaba ya kudishila nyama ;</w:t>
      </w:r>
    </w:p>
    <w:p w14:paraId="4266A2AD" w14:textId="77777777" w:rsidR="005C5EB1" w:rsidRPr="00372F9C" w:rsidRDefault="005C5EB1" w:rsidP="002378EA">
      <w:pPr>
        <w:widowControl w:val="0"/>
        <w:numPr>
          <w:ilvl w:val="0"/>
          <w:numId w:val="68"/>
        </w:numPr>
        <w:autoSpaceDE w:val="0"/>
        <w:autoSpaceDN w:val="0"/>
        <w:rPr>
          <w:rFonts w:eastAsia="MS Mincho" w:cs="Arial"/>
          <w:sz w:val="22"/>
          <w:lang w:val="en-US"/>
        </w:rPr>
      </w:pPr>
      <w:r w:rsidRPr="00372F9C">
        <w:rPr>
          <w:rFonts w:eastAsia="MS Mincho" w:cs="Arial"/>
          <w:sz w:val="22"/>
          <w:lang w:val="en-US"/>
        </w:rPr>
        <w:t>Dikepesha miaba ya mayi ne dibaka miaba mikwabu ya bisadilu bia mayi ;</w:t>
      </w:r>
    </w:p>
    <w:p w14:paraId="767B996A"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Dijimija bufuke bwa buloba</w:t>
      </w:r>
      <w:r w:rsidRPr="007F41C5">
        <w:rPr>
          <w:rFonts w:eastAsia="MS Mincho" w:cs="Arial"/>
          <w:sz w:val="22"/>
        </w:rPr>
        <w:t xml:space="preserve"> ; </w:t>
      </w:r>
    </w:p>
    <w:p w14:paraId="7EB97E27"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Dinyangakaja mayi ne maloba ne manga a kushipa twishi anyi kufukisha maloba</w:t>
      </w:r>
      <w:r w:rsidRPr="007F41C5">
        <w:rPr>
          <w:rFonts w:eastAsia="MS Mincho" w:cs="Arial"/>
          <w:sz w:val="22"/>
        </w:rPr>
        <w:t xml:space="preserve"> ; </w:t>
      </w:r>
    </w:p>
    <w:p w14:paraId="2D2987BE" w14:textId="77777777" w:rsidR="005C5EB1" w:rsidRPr="00372F9C" w:rsidRDefault="005C5EB1" w:rsidP="002378EA">
      <w:pPr>
        <w:widowControl w:val="0"/>
        <w:numPr>
          <w:ilvl w:val="0"/>
          <w:numId w:val="68"/>
        </w:numPr>
        <w:autoSpaceDE w:val="0"/>
        <w:autoSpaceDN w:val="0"/>
        <w:rPr>
          <w:rFonts w:eastAsia="MS Mincho" w:cs="Arial"/>
          <w:sz w:val="22"/>
          <w:lang w:val="en-US"/>
        </w:rPr>
      </w:pPr>
      <w:r w:rsidRPr="00372F9C">
        <w:rPr>
          <w:rFonts w:eastAsia="MS Mincho" w:cs="Arial"/>
          <w:sz w:val="22"/>
          <w:lang w:val="en-US"/>
        </w:rPr>
        <w:t xml:space="preserve">Kubweja masama kumbukila ku manga a twishi anyi a kufukisha maloba ; </w:t>
      </w:r>
    </w:p>
    <w:p w14:paraId="2D495B51" w14:textId="77777777" w:rsidR="005C5EB1" w:rsidRPr="005C5EB1" w:rsidRDefault="005C5EB1" w:rsidP="002378EA">
      <w:pPr>
        <w:widowControl w:val="0"/>
        <w:numPr>
          <w:ilvl w:val="0"/>
          <w:numId w:val="68"/>
        </w:numPr>
        <w:autoSpaceDE w:val="0"/>
        <w:autoSpaceDN w:val="0"/>
        <w:rPr>
          <w:rFonts w:eastAsia="MS Mincho" w:cs="Arial"/>
          <w:sz w:val="22"/>
          <w:lang w:val="en-US"/>
        </w:rPr>
      </w:pPr>
      <w:r w:rsidRPr="005C5EB1">
        <w:rPr>
          <w:rFonts w:eastAsia="MS Mincho" w:cs="Arial"/>
          <w:sz w:val="22"/>
          <w:lang w:val="en-US"/>
        </w:rPr>
        <w:t xml:space="preserve">Diabanya dia manga a twishi a mabi anyi a majikila matuku ; </w:t>
      </w:r>
    </w:p>
    <w:p w14:paraId="7240FD5A" w14:textId="77777777" w:rsidR="005C5EB1" w:rsidRPr="005C5EB1" w:rsidRDefault="005C5EB1" w:rsidP="002378EA">
      <w:pPr>
        <w:widowControl w:val="0"/>
        <w:numPr>
          <w:ilvl w:val="0"/>
          <w:numId w:val="68"/>
        </w:numPr>
        <w:autoSpaceDE w:val="0"/>
        <w:autoSpaceDN w:val="0"/>
        <w:rPr>
          <w:rFonts w:eastAsia="MS Mincho" w:cs="Arial"/>
          <w:sz w:val="22"/>
          <w:lang w:val="en-US"/>
        </w:rPr>
      </w:pPr>
      <w:r w:rsidRPr="005C5EB1">
        <w:rPr>
          <w:rFonts w:eastAsia="MS Mincho" w:cs="Arial"/>
          <w:sz w:val="22"/>
          <w:lang w:val="en-US"/>
        </w:rPr>
        <w:t>Dinyangakaja kumbukila ku dienzela dibi dia manga a twishi.</w:t>
      </w:r>
    </w:p>
    <w:p w14:paraId="4244581C" w14:textId="77777777" w:rsidR="005C5EB1" w:rsidRPr="005C5EB1" w:rsidRDefault="005C5EB1" w:rsidP="002378EA">
      <w:pPr>
        <w:widowControl w:val="0"/>
        <w:numPr>
          <w:ilvl w:val="0"/>
          <w:numId w:val="68"/>
        </w:numPr>
        <w:autoSpaceDE w:val="0"/>
        <w:autoSpaceDN w:val="0"/>
        <w:rPr>
          <w:rFonts w:eastAsia="MS Mincho" w:cs="Arial"/>
          <w:sz w:val="22"/>
          <w:lang w:val="en-US"/>
        </w:rPr>
      </w:pPr>
      <w:r w:rsidRPr="005C5EB1">
        <w:rPr>
          <w:rFonts w:eastAsia="MS Mincho" w:cs="Arial"/>
          <w:sz w:val="22"/>
          <w:lang w:val="en-US"/>
        </w:rPr>
        <w:t>Njiwu ya dienzela ba mpulushi bwa kulama miaba ya mudimu (bu ku Nord Kivu) ;</w:t>
      </w:r>
    </w:p>
    <w:p w14:paraId="52F51219" w14:textId="77777777" w:rsidR="005C5EB1" w:rsidRPr="005C5EB1" w:rsidRDefault="005C5EB1" w:rsidP="002378EA">
      <w:pPr>
        <w:widowControl w:val="0"/>
        <w:numPr>
          <w:ilvl w:val="0"/>
          <w:numId w:val="68"/>
        </w:numPr>
        <w:autoSpaceDE w:val="0"/>
        <w:autoSpaceDN w:val="0"/>
        <w:rPr>
          <w:rFonts w:eastAsia="MS Mincho" w:cs="Arial"/>
          <w:sz w:val="22"/>
          <w:lang w:val="en-US"/>
        </w:rPr>
      </w:pPr>
      <w:r w:rsidRPr="005C5EB1">
        <w:rPr>
          <w:rFonts w:eastAsia="MS Mincho" w:cs="Arial"/>
          <w:sz w:val="22"/>
          <w:lang w:val="en-US"/>
        </w:rPr>
        <w:t>Dinyankaja ngezelu wa dienda mishinga ya bantu tshikondo tsha midimu ;</w:t>
      </w:r>
    </w:p>
    <w:p w14:paraId="1EC42073" w14:textId="77777777" w:rsidR="005C5EB1" w:rsidRPr="00372F9C" w:rsidRDefault="005C5EB1" w:rsidP="002378EA">
      <w:pPr>
        <w:widowControl w:val="0"/>
        <w:numPr>
          <w:ilvl w:val="0"/>
          <w:numId w:val="68"/>
        </w:numPr>
        <w:autoSpaceDE w:val="0"/>
        <w:autoSpaceDN w:val="0"/>
        <w:rPr>
          <w:rFonts w:eastAsia="MS Mincho" w:cs="Arial"/>
          <w:sz w:val="22"/>
        </w:rPr>
      </w:pPr>
      <w:r w:rsidRPr="00372F9C">
        <w:rPr>
          <w:rFonts w:eastAsia="MS Mincho" w:cs="Arial"/>
          <w:sz w:val="22"/>
        </w:rPr>
        <w:lastRenderedPageBreak/>
        <w:t>Diabanya bantu balume ne bakaji pa tshikondo tsha diangata bena midimu ;</w:t>
      </w:r>
    </w:p>
    <w:p w14:paraId="651DADAC" w14:textId="77777777" w:rsidR="005C5EB1" w:rsidRDefault="005C5EB1" w:rsidP="002378EA">
      <w:pPr>
        <w:widowControl w:val="0"/>
        <w:numPr>
          <w:ilvl w:val="0"/>
          <w:numId w:val="68"/>
        </w:numPr>
        <w:autoSpaceDE w:val="0"/>
        <w:autoSpaceDN w:val="0"/>
        <w:rPr>
          <w:rFonts w:eastAsia="MS Mincho" w:cs="Arial"/>
          <w:sz w:val="22"/>
          <w:lang w:val="en-US"/>
        </w:rPr>
      </w:pPr>
      <w:r w:rsidRPr="00A324FA">
        <w:rPr>
          <w:rFonts w:eastAsia="MS Mincho" w:cs="Arial"/>
          <w:sz w:val="22"/>
          <w:lang w:val="en-US"/>
        </w:rPr>
        <w:t xml:space="preserve">Diangata dia bana bakese ba </w:t>
      </w:r>
      <w:r>
        <w:rPr>
          <w:rFonts w:eastAsia="MS Mincho" w:cs="Arial"/>
          <w:sz w:val="22"/>
          <w:lang w:val="en-US"/>
        </w:rPr>
        <w:t>mvula ya mwinshi mwa 18 ku midimu;</w:t>
      </w:r>
    </w:p>
    <w:p w14:paraId="3E9C8DC7" w14:textId="77777777" w:rsidR="005C5EB1" w:rsidRDefault="005C5EB1" w:rsidP="002378EA">
      <w:pPr>
        <w:widowControl w:val="0"/>
        <w:numPr>
          <w:ilvl w:val="0"/>
          <w:numId w:val="68"/>
        </w:numPr>
        <w:autoSpaceDE w:val="0"/>
        <w:autoSpaceDN w:val="0"/>
        <w:rPr>
          <w:rFonts w:eastAsia="MS Mincho" w:cs="Arial"/>
          <w:sz w:val="22"/>
          <w:lang w:val="en-US"/>
        </w:rPr>
      </w:pPr>
      <w:r>
        <w:rPr>
          <w:rFonts w:eastAsia="MS Mincho" w:cs="Arial"/>
          <w:sz w:val="22"/>
          <w:lang w:val="en-US"/>
        </w:rPr>
        <w:t>Njiwu yenzeka pa tshikondo tsha midimu kudi bantu anyi kudi bena mudimu;</w:t>
      </w:r>
    </w:p>
    <w:p w14:paraId="16F7F385" w14:textId="77777777" w:rsidR="005C5EB1" w:rsidRDefault="005C5EB1" w:rsidP="002378EA">
      <w:pPr>
        <w:widowControl w:val="0"/>
        <w:numPr>
          <w:ilvl w:val="0"/>
          <w:numId w:val="68"/>
        </w:numPr>
        <w:autoSpaceDE w:val="0"/>
        <w:autoSpaceDN w:val="0"/>
        <w:rPr>
          <w:rFonts w:eastAsia="MS Mincho" w:cs="Arial"/>
          <w:sz w:val="22"/>
          <w:lang w:val="en-US"/>
        </w:rPr>
      </w:pPr>
      <w:r>
        <w:rPr>
          <w:rFonts w:eastAsia="MS Mincho" w:cs="Arial"/>
          <w:sz w:val="22"/>
          <w:lang w:val="en-US"/>
        </w:rPr>
        <w:t>Njiwu ya dinyangakaja bisidilu bikwabu bia midimu bia kale;</w:t>
      </w:r>
    </w:p>
    <w:p w14:paraId="41460231" w14:textId="77777777" w:rsidR="005C5EB1" w:rsidRDefault="005C5EB1" w:rsidP="002378EA">
      <w:pPr>
        <w:widowControl w:val="0"/>
        <w:numPr>
          <w:ilvl w:val="0"/>
          <w:numId w:val="68"/>
        </w:numPr>
        <w:autoSpaceDE w:val="0"/>
        <w:autoSpaceDN w:val="0"/>
        <w:rPr>
          <w:rFonts w:eastAsia="MS Mincho" w:cs="Arial"/>
          <w:sz w:val="22"/>
          <w:lang w:val="en-US"/>
        </w:rPr>
      </w:pPr>
      <w:r w:rsidRPr="00A324FA">
        <w:rPr>
          <w:rFonts w:eastAsia="MS Mincho" w:cs="Arial"/>
          <w:sz w:val="22"/>
          <w:lang w:val="en-US"/>
        </w:rPr>
        <w:t xml:space="preserve">Dikolesha malu a dikengesha bakaji </w:t>
      </w:r>
      <w:r>
        <w:rPr>
          <w:rFonts w:eastAsia="MS Mincho" w:cs="Arial"/>
          <w:sz w:val="22"/>
          <w:lang w:val="en-US"/>
        </w:rPr>
        <w:t xml:space="preserve">(VBG) </w:t>
      </w:r>
      <w:r w:rsidRPr="00A324FA">
        <w:rPr>
          <w:rFonts w:eastAsia="MS Mincho" w:cs="Arial"/>
          <w:sz w:val="22"/>
          <w:lang w:val="en-US"/>
        </w:rPr>
        <w:t>ne adi bangata kubukole pa tsh</w:t>
      </w:r>
      <w:r>
        <w:rPr>
          <w:rFonts w:eastAsia="MS Mincho" w:cs="Arial"/>
          <w:sz w:val="22"/>
          <w:lang w:val="en-US"/>
        </w:rPr>
        <w:t>ikondo tsha midimu;</w:t>
      </w:r>
    </w:p>
    <w:p w14:paraId="35CEF994" w14:textId="77777777" w:rsidR="005C5EB1" w:rsidRDefault="005C5EB1" w:rsidP="002378EA">
      <w:pPr>
        <w:widowControl w:val="0"/>
        <w:numPr>
          <w:ilvl w:val="0"/>
          <w:numId w:val="68"/>
        </w:numPr>
        <w:autoSpaceDE w:val="0"/>
        <w:autoSpaceDN w:val="0"/>
        <w:rPr>
          <w:rFonts w:eastAsia="MS Mincho" w:cs="Arial"/>
          <w:sz w:val="22"/>
          <w:lang w:val="fr-CD"/>
        </w:rPr>
      </w:pPr>
      <w:r w:rsidRPr="00A324FA">
        <w:rPr>
          <w:rFonts w:eastAsia="MS Mincho" w:cs="Arial"/>
          <w:sz w:val="22"/>
          <w:lang w:val="fr-CD"/>
        </w:rPr>
        <w:t>Njiwu ya ditangalaja masama a IST ne a VIH/SI</w:t>
      </w:r>
      <w:r>
        <w:rPr>
          <w:rFonts w:eastAsia="MS Mincho" w:cs="Arial"/>
          <w:sz w:val="22"/>
          <w:lang w:val="fr-CD"/>
        </w:rPr>
        <w:t>DA ;</w:t>
      </w:r>
    </w:p>
    <w:p w14:paraId="60496C32" w14:textId="77777777" w:rsidR="005C5EB1" w:rsidRDefault="005C5EB1" w:rsidP="002378EA">
      <w:pPr>
        <w:widowControl w:val="0"/>
        <w:numPr>
          <w:ilvl w:val="0"/>
          <w:numId w:val="68"/>
        </w:numPr>
        <w:autoSpaceDE w:val="0"/>
        <w:autoSpaceDN w:val="0"/>
        <w:rPr>
          <w:rFonts w:eastAsia="MS Mincho" w:cs="Arial"/>
          <w:sz w:val="22"/>
          <w:lang w:val="fr-CD"/>
        </w:rPr>
      </w:pPr>
      <w:r>
        <w:rPr>
          <w:rFonts w:eastAsia="MS Mincho" w:cs="Arial"/>
          <w:sz w:val="22"/>
          <w:lang w:val="fr-CD"/>
        </w:rPr>
        <w:t>Njiwu ya ditangalaja disama dia COVID-19 munkatshi mwa bantu bena musoko ;</w:t>
      </w:r>
    </w:p>
    <w:p w14:paraId="7BC8944D" w14:textId="77777777" w:rsidR="005C5EB1" w:rsidRDefault="005C5EB1" w:rsidP="002378EA">
      <w:pPr>
        <w:widowControl w:val="0"/>
        <w:numPr>
          <w:ilvl w:val="0"/>
          <w:numId w:val="68"/>
        </w:numPr>
        <w:autoSpaceDE w:val="0"/>
        <w:autoSpaceDN w:val="0"/>
        <w:rPr>
          <w:rFonts w:eastAsia="MS Mincho" w:cs="Arial"/>
          <w:sz w:val="22"/>
          <w:lang w:val="fr-CD"/>
        </w:rPr>
      </w:pPr>
      <w:r>
        <w:rPr>
          <w:rFonts w:eastAsia="MS Mincho" w:cs="Arial"/>
          <w:sz w:val="22"/>
          <w:lang w:val="fr-CD"/>
        </w:rPr>
        <w:t>Njiwu ya dinyangakaja biamu bia midimu ku bimenga ebi bivwa bisungudibwe bwa mudimu wa PNDA ;</w:t>
      </w:r>
    </w:p>
    <w:p w14:paraId="58EE3B84" w14:textId="77777777" w:rsidR="005C5EB1" w:rsidRDefault="005C5EB1" w:rsidP="002378EA">
      <w:pPr>
        <w:widowControl w:val="0"/>
        <w:numPr>
          <w:ilvl w:val="0"/>
          <w:numId w:val="68"/>
        </w:numPr>
        <w:autoSpaceDE w:val="0"/>
        <w:autoSpaceDN w:val="0"/>
        <w:rPr>
          <w:rFonts w:eastAsia="MS Mincho" w:cs="Arial"/>
          <w:sz w:val="22"/>
          <w:lang w:val="fr-CD"/>
        </w:rPr>
      </w:pPr>
      <w:r>
        <w:rPr>
          <w:rFonts w:eastAsia="MS Mincho" w:cs="Arial"/>
          <w:sz w:val="22"/>
          <w:lang w:val="fr-CD"/>
        </w:rPr>
        <w:t>Njiwu ya kulenga kubipapu bikandikibwe bumudi Parc des Virunga, Parc de Mangroves ;</w:t>
      </w:r>
    </w:p>
    <w:p w14:paraId="466E265F" w14:textId="77777777" w:rsidR="005C5EB1" w:rsidRDefault="005C5EB1" w:rsidP="002378EA">
      <w:pPr>
        <w:widowControl w:val="0"/>
        <w:numPr>
          <w:ilvl w:val="0"/>
          <w:numId w:val="68"/>
        </w:numPr>
        <w:autoSpaceDE w:val="0"/>
        <w:autoSpaceDN w:val="0"/>
        <w:rPr>
          <w:rFonts w:eastAsia="MS Mincho" w:cs="Arial"/>
          <w:sz w:val="22"/>
          <w:lang w:val="fr-CD"/>
        </w:rPr>
      </w:pPr>
      <w:r w:rsidRPr="007E6AA1">
        <w:rPr>
          <w:rFonts w:eastAsia="MS Mincho" w:cs="Arial"/>
          <w:sz w:val="22"/>
          <w:lang w:val="fr-CD"/>
        </w:rPr>
        <w:t>Njiwu ya kunyangakaja miaba ya Tuyeke (PA) ;</w:t>
      </w:r>
    </w:p>
    <w:p w14:paraId="0AC2E82D" w14:textId="77777777" w:rsidR="005C5EB1" w:rsidRDefault="005C5EB1" w:rsidP="002378EA">
      <w:pPr>
        <w:widowControl w:val="0"/>
        <w:numPr>
          <w:ilvl w:val="0"/>
          <w:numId w:val="68"/>
        </w:numPr>
        <w:autoSpaceDE w:val="0"/>
        <w:autoSpaceDN w:val="0"/>
        <w:rPr>
          <w:rFonts w:eastAsia="MS Mincho" w:cs="Arial"/>
          <w:sz w:val="22"/>
          <w:lang w:val="fr-CD"/>
        </w:rPr>
      </w:pPr>
      <w:r w:rsidRPr="007E6AA1">
        <w:rPr>
          <w:rFonts w:eastAsia="MS Mincho" w:cs="Arial"/>
          <w:sz w:val="22"/>
          <w:lang w:val="fr-CD"/>
        </w:rPr>
        <w:t>Njiwu ya dishipa nyama kudi bilemb</w:t>
      </w:r>
      <w:r>
        <w:rPr>
          <w:rFonts w:eastAsia="MS Mincho" w:cs="Arial"/>
          <w:sz w:val="22"/>
          <w:lang w:val="fr-CD"/>
        </w:rPr>
        <w:t>i ;</w:t>
      </w:r>
    </w:p>
    <w:p w14:paraId="7251BBC5" w14:textId="77777777" w:rsidR="005C5EB1" w:rsidRPr="00372F9C" w:rsidRDefault="005C5EB1" w:rsidP="002378EA">
      <w:pPr>
        <w:widowControl w:val="0"/>
        <w:numPr>
          <w:ilvl w:val="0"/>
          <w:numId w:val="68"/>
        </w:numPr>
        <w:autoSpaceDE w:val="0"/>
        <w:autoSpaceDN w:val="0"/>
        <w:rPr>
          <w:rFonts w:eastAsia="MS Mincho" w:cs="Arial"/>
          <w:sz w:val="22"/>
          <w:lang w:val="en-US"/>
        </w:rPr>
      </w:pPr>
      <w:r w:rsidRPr="00372F9C">
        <w:rPr>
          <w:rFonts w:eastAsia="MS Mincho" w:cs="Arial"/>
          <w:sz w:val="22"/>
          <w:lang w:val="en-US"/>
        </w:rPr>
        <w:t>Njiwu ya diosheka dia miaba ya kulamina tusokonyi ;</w:t>
      </w:r>
    </w:p>
    <w:p w14:paraId="449D61F6" w14:textId="77777777" w:rsidR="005C5EB1" w:rsidRPr="00372F9C" w:rsidRDefault="005C5EB1" w:rsidP="002378EA">
      <w:pPr>
        <w:widowControl w:val="0"/>
        <w:numPr>
          <w:ilvl w:val="0"/>
          <w:numId w:val="68"/>
        </w:numPr>
        <w:autoSpaceDE w:val="0"/>
        <w:autoSpaceDN w:val="0"/>
        <w:rPr>
          <w:rFonts w:eastAsia="MS Mincho" w:cs="Arial"/>
          <w:sz w:val="22"/>
          <w:lang w:val="en-US"/>
        </w:rPr>
      </w:pPr>
      <w:r w:rsidRPr="00372F9C">
        <w:rPr>
          <w:rFonts w:eastAsia="MS Mincho" w:cs="Arial"/>
          <w:sz w:val="22"/>
          <w:lang w:val="en-US"/>
        </w:rPr>
        <w:t>Njiwu ya dinyangakaja miaba ya malu akabukulu a bena misoko ;</w:t>
      </w:r>
    </w:p>
    <w:p w14:paraId="64C3FBB2" w14:textId="77777777" w:rsidR="005C5EB1" w:rsidRPr="00372F9C" w:rsidRDefault="005C5EB1" w:rsidP="002378EA">
      <w:pPr>
        <w:widowControl w:val="0"/>
        <w:numPr>
          <w:ilvl w:val="0"/>
          <w:numId w:val="68"/>
        </w:numPr>
        <w:autoSpaceDE w:val="0"/>
        <w:autoSpaceDN w:val="0"/>
        <w:rPr>
          <w:rFonts w:eastAsia="MS Mincho" w:cs="Arial"/>
          <w:sz w:val="22"/>
          <w:lang w:val="en-US"/>
        </w:rPr>
      </w:pPr>
      <w:r w:rsidRPr="00372F9C">
        <w:rPr>
          <w:rFonts w:eastAsia="MS Mincho" w:cs="Arial"/>
          <w:sz w:val="22"/>
          <w:lang w:val="en-US"/>
        </w:rPr>
        <w:t>Njiwu ya di bweja bikunyibwa bibi ;</w:t>
      </w:r>
    </w:p>
    <w:p w14:paraId="4D9BD9FE" w14:textId="77777777" w:rsidR="005C5EB1" w:rsidRPr="00372F9C" w:rsidRDefault="005C5EB1" w:rsidP="002378EA">
      <w:pPr>
        <w:widowControl w:val="0"/>
        <w:numPr>
          <w:ilvl w:val="0"/>
          <w:numId w:val="68"/>
        </w:numPr>
        <w:autoSpaceDE w:val="0"/>
        <w:autoSpaceDN w:val="0"/>
        <w:rPr>
          <w:rFonts w:eastAsia="MS Mincho" w:cs="Arial"/>
          <w:sz w:val="22"/>
          <w:lang w:val="en-US"/>
        </w:rPr>
      </w:pPr>
      <w:r w:rsidRPr="00372F9C">
        <w:rPr>
          <w:rFonts w:eastAsia="MS Mincho" w:cs="Arial"/>
          <w:sz w:val="22"/>
          <w:lang w:val="en-US"/>
        </w:rPr>
        <w:t>Njiwu ya dilekelela tusumbu twa bantu bayi kabayi na bukole bwa kwenza midimu ;</w:t>
      </w:r>
    </w:p>
    <w:p w14:paraId="6F06C88D" w14:textId="77777777" w:rsidR="005C5EB1" w:rsidRPr="00372F9C" w:rsidRDefault="005C5EB1" w:rsidP="005C5EB1">
      <w:pPr>
        <w:widowControl w:val="0"/>
        <w:autoSpaceDE w:val="0"/>
        <w:autoSpaceDN w:val="0"/>
        <w:ind w:left="360"/>
        <w:rPr>
          <w:rFonts w:eastAsia="MS Mincho" w:cs="Arial"/>
          <w:sz w:val="22"/>
          <w:lang w:val="en-US"/>
        </w:rPr>
      </w:pPr>
      <w:r w:rsidRPr="00372F9C">
        <w:rPr>
          <w:rFonts w:eastAsia="MS Mincho" w:cs="Arial"/>
          <w:sz w:val="22"/>
          <w:lang w:val="en-US"/>
        </w:rPr>
        <w:t xml:space="preserve"> </w:t>
      </w:r>
    </w:p>
    <w:p w14:paraId="7248BCE9" w14:textId="77777777" w:rsidR="005C5EB1" w:rsidRPr="00372F9C" w:rsidRDefault="005C5EB1" w:rsidP="005C5EB1">
      <w:pPr>
        <w:tabs>
          <w:tab w:val="left" w:pos="426"/>
        </w:tabs>
        <w:spacing w:line="240" w:lineRule="auto"/>
        <w:contextualSpacing/>
        <w:rPr>
          <w:rFonts w:eastAsia="Calibri" w:cs="Arial"/>
          <w:bCs/>
          <w:i/>
          <w:sz w:val="22"/>
          <w:u w:val="single"/>
          <w:lang w:val="en-US"/>
        </w:rPr>
      </w:pPr>
      <w:r w:rsidRPr="00372F9C">
        <w:rPr>
          <w:rFonts w:eastAsia="Calibri" w:cs="Arial"/>
          <w:bCs/>
          <w:i/>
          <w:sz w:val="22"/>
          <w:u w:val="single"/>
          <w:lang w:val="en-US"/>
        </w:rPr>
        <w:t>Njiwu ne bibangu kumbukila kumidimu ya dienzesha njila kubisuku bwa kupatwila bidibwa kumisoko</w:t>
      </w:r>
    </w:p>
    <w:p w14:paraId="6B8421DD" w14:textId="77777777" w:rsidR="005C5EB1" w:rsidRPr="00372F9C" w:rsidRDefault="005C5EB1" w:rsidP="005C5EB1">
      <w:pPr>
        <w:tabs>
          <w:tab w:val="left" w:pos="426"/>
        </w:tabs>
        <w:spacing w:line="240" w:lineRule="auto"/>
        <w:contextualSpacing/>
        <w:rPr>
          <w:rFonts w:eastAsia="Calibri" w:cs="Arial"/>
          <w:bCs/>
          <w:i/>
          <w:sz w:val="22"/>
          <w:u w:val="single"/>
          <w:lang w:val="en-US"/>
        </w:rPr>
      </w:pPr>
    </w:p>
    <w:p w14:paraId="471418CA" w14:textId="77777777" w:rsidR="005C5EB1" w:rsidRPr="00372F9C" w:rsidRDefault="005C5EB1" w:rsidP="002378EA">
      <w:pPr>
        <w:pStyle w:val="Paragraphedeliste"/>
        <w:numPr>
          <w:ilvl w:val="0"/>
          <w:numId w:val="156"/>
        </w:numPr>
        <w:tabs>
          <w:tab w:val="left" w:pos="426"/>
        </w:tabs>
        <w:spacing w:line="240" w:lineRule="auto"/>
        <w:rPr>
          <w:rFonts w:eastAsia="Calibri" w:cs="Arial"/>
          <w:bCs/>
          <w:iCs/>
          <w:sz w:val="22"/>
          <w:lang w:val="en-US"/>
        </w:rPr>
      </w:pPr>
      <w:r w:rsidRPr="00372F9C">
        <w:rPr>
          <w:rFonts w:eastAsia="Calibri" w:cs="Arial"/>
          <w:bCs/>
          <w:iCs/>
          <w:sz w:val="22"/>
          <w:lang w:val="en-US"/>
        </w:rPr>
        <w:t>Dikosa dia mitshi bwa kulongolola njila ne miaba ya kumbula maloba bwa kwela ku njila ;</w:t>
      </w:r>
    </w:p>
    <w:p w14:paraId="6907E0CF"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Dinyangakaja maloba a kudimina ;</w:t>
      </w:r>
    </w:p>
    <w:p w14:paraId="6E4866D3"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en-US"/>
        </w:rPr>
      </w:pPr>
      <w:r w:rsidRPr="00F26589">
        <w:rPr>
          <w:rFonts w:eastAsia="Calibri" w:cs="Arial"/>
          <w:bCs/>
          <w:iCs/>
          <w:sz w:val="22"/>
          <w:lang w:val="en-US"/>
        </w:rPr>
        <w:t xml:space="preserve">Dinyangakaja miaba ya kupitshila </w:t>
      </w:r>
      <w:r>
        <w:rPr>
          <w:rFonts w:eastAsia="Calibri" w:cs="Arial"/>
          <w:bCs/>
          <w:iCs/>
          <w:sz w:val="22"/>
          <w:lang w:val="en-US"/>
        </w:rPr>
        <w:t xml:space="preserve">ya </w:t>
      </w:r>
      <w:r w:rsidRPr="00F26589">
        <w:rPr>
          <w:rFonts w:eastAsia="Calibri" w:cs="Arial"/>
          <w:bCs/>
          <w:iCs/>
          <w:sz w:val="22"/>
          <w:lang w:val="en-US"/>
        </w:rPr>
        <w:t>may</w:t>
      </w:r>
      <w:r>
        <w:rPr>
          <w:rFonts w:eastAsia="Calibri" w:cs="Arial"/>
          <w:bCs/>
          <w:iCs/>
          <w:sz w:val="22"/>
          <w:lang w:val="en-US"/>
        </w:rPr>
        <w:t>i a mvula;</w:t>
      </w:r>
    </w:p>
    <w:p w14:paraId="6A9D8FA1"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en-US"/>
        </w:rPr>
      </w:pPr>
      <w:r>
        <w:rPr>
          <w:rFonts w:eastAsia="Calibri" w:cs="Arial"/>
          <w:bCs/>
          <w:iCs/>
          <w:sz w:val="22"/>
          <w:lang w:val="en-US"/>
        </w:rPr>
        <w:t>Dinyanga lupepele ne mpwishi;</w:t>
      </w:r>
    </w:p>
    <w:p w14:paraId="399C11BE"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en-US"/>
        </w:rPr>
      </w:pPr>
      <w:r w:rsidRPr="00F26589">
        <w:rPr>
          <w:rFonts w:eastAsia="Calibri" w:cs="Arial"/>
          <w:bCs/>
          <w:iCs/>
          <w:sz w:val="22"/>
          <w:lang w:val="en-US"/>
        </w:rPr>
        <w:t>Dinyanga mayi ne maloba na makoya mashilangane kumbuki</w:t>
      </w:r>
      <w:r>
        <w:rPr>
          <w:rFonts w:eastAsia="Calibri" w:cs="Arial"/>
          <w:bCs/>
          <w:iCs/>
          <w:sz w:val="22"/>
          <w:lang w:val="en-US"/>
        </w:rPr>
        <w:t>la ku midimu;</w:t>
      </w:r>
    </w:p>
    <w:p w14:paraId="33618256"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sidRPr="00F26589">
        <w:rPr>
          <w:rFonts w:eastAsia="Calibri" w:cs="Arial"/>
          <w:bCs/>
          <w:iCs/>
          <w:sz w:val="22"/>
          <w:lang w:val="fr-CD"/>
        </w:rPr>
        <w:t>Njiwu ya bantu bena midimu ne</w:t>
      </w:r>
      <w:r>
        <w:rPr>
          <w:rFonts w:eastAsia="Calibri" w:cs="Arial"/>
          <w:bCs/>
          <w:iCs/>
          <w:sz w:val="22"/>
          <w:lang w:val="fr-CD"/>
        </w:rPr>
        <w:t xml:space="preserve"> bantu bakwabu ;</w:t>
      </w:r>
    </w:p>
    <w:p w14:paraId="3ED1EEB1"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Diumbusha bantu poa miaba yabu itubu basombela ;</w:t>
      </w:r>
    </w:p>
    <w:p w14:paraId="16BEC0CA"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Dipatula makoya abungi mashilangane ;</w:t>
      </w:r>
    </w:p>
    <w:p w14:paraId="2EF6B99C"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Dinyangakaja nsombela wa bantu ne bintu biabu ;</w:t>
      </w:r>
    </w:p>
    <w:p w14:paraId="4A3B604D"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Kupanga kwangata ku mudimu bena musoko ;</w:t>
      </w:r>
    </w:p>
    <w:p w14:paraId="62EA4083"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Dinyangakaja nsembelu wa nyama ne mitoyi ya bena midimu ;</w:t>
      </w:r>
    </w:p>
    <w:p w14:paraId="4FB9D9ED"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Dikosa mitshi bwa kumbula maloba bwa midimu ; Njiwu ya kosha metu ne bisuku ;</w:t>
      </w:r>
    </w:p>
    <w:p w14:paraId="27EA2800" w14:textId="77777777" w:rsidR="005C5EB1" w:rsidRPr="00372F9C" w:rsidRDefault="005C5EB1" w:rsidP="002378EA">
      <w:pPr>
        <w:pStyle w:val="Paragraphedeliste"/>
        <w:numPr>
          <w:ilvl w:val="0"/>
          <w:numId w:val="156"/>
        </w:numPr>
        <w:tabs>
          <w:tab w:val="left" w:pos="426"/>
        </w:tabs>
        <w:spacing w:line="240" w:lineRule="auto"/>
        <w:rPr>
          <w:rFonts w:eastAsia="Calibri" w:cs="Arial"/>
          <w:bCs/>
          <w:iCs/>
          <w:sz w:val="22"/>
          <w:lang w:val="en-US"/>
        </w:rPr>
      </w:pPr>
      <w:r w:rsidRPr="00372F9C">
        <w:rPr>
          <w:rFonts w:eastAsia="Calibri" w:cs="Arial"/>
          <w:bCs/>
          <w:iCs/>
          <w:sz w:val="22"/>
          <w:lang w:val="en-US"/>
        </w:rPr>
        <w:t>Diuja makoya mu misulu ya mayi ;</w:t>
      </w:r>
    </w:p>
    <w:p w14:paraId="5D0D45BD"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Njiwu ya dibwala mu miaba mikandikibwe (Parc des Virunga, Parc des Mangroves) ;</w:t>
      </w:r>
    </w:p>
    <w:p w14:paraId="61395746"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Njiwu ya dibwela kumiaba ya Tuyeke (PA) ;</w:t>
      </w:r>
    </w:p>
    <w:p w14:paraId="6FD5FCAE" w14:textId="77777777" w:rsidR="005C5EB1" w:rsidRPr="00372F9C" w:rsidRDefault="005C5EB1" w:rsidP="002378EA">
      <w:pPr>
        <w:pStyle w:val="Paragraphedeliste"/>
        <w:numPr>
          <w:ilvl w:val="0"/>
          <w:numId w:val="156"/>
        </w:numPr>
        <w:tabs>
          <w:tab w:val="left" w:pos="426"/>
        </w:tabs>
        <w:spacing w:line="240" w:lineRule="auto"/>
        <w:rPr>
          <w:rFonts w:eastAsia="Calibri" w:cs="Arial"/>
          <w:bCs/>
          <w:iCs/>
          <w:sz w:val="22"/>
          <w:lang w:val="fr-CD"/>
        </w:rPr>
      </w:pPr>
      <w:r w:rsidRPr="00372F9C">
        <w:rPr>
          <w:rFonts w:eastAsia="Calibri" w:cs="Arial"/>
          <w:bCs/>
          <w:iCs/>
          <w:sz w:val="22"/>
          <w:lang w:val="fr-CD"/>
        </w:rPr>
        <w:t>Njiwu ya dishipa dia nyama kudi bena misoko;</w:t>
      </w:r>
    </w:p>
    <w:p w14:paraId="7F4BA0C2"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en-US"/>
        </w:rPr>
      </w:pPr>
      <w:r w:rsidRPr="00BF072C">
        <w:rPr>
          <w:rFonts w:eastAsia="Calibri" w:cs="Arial"/>
          <w:bCs/>
          <w:iCs/>
          <w:sz w:val="22"/>
          <w:lang w:val="en-US"/>
        </w:rPr>
        <w:t>Dinyangakaja dia mushindu wa misulu ya mayi</w:t>
      </w:r>
      <w:r>
        <w:rPr>
          <w:rFonts w:eastAsia="Calibri" w:cs="Arial"/>
          <w:bCs/>
          <w:iCs/>
          <w:sz w:val="22"/>
          <w:lang w:val="en-US"/>
        </w:rPr>
        <w:t>;</w:t>
      </w:r>
    </w:p>
    <w:p w14:paraId="136334EE"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en-US"/>
        </w:rPr>
      </w:pPr>
      <w:r>
        <w:rPr>
          <w:rFonts w:eastAsia="Calibri" w:cs="Arial"/>
          <w:bCs/>
          <w:iCs/>
          <w:sz w:val="22"/>
          <w:lang w:val="en-US"/>
        </w:rPr>
        <w:t>Njiwu ya dipatwisha mbuwe;</w:t>
      </w:r>
    </w:p>
    <w:p w14:paraId="5FF24B14"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sidRPr="00BF072C">
        <w:rPr>
          <w:rFonts w:eastAsia="Calibri" w:cs="Arial"/>
          <w:bCs/>
          <w:iCs/>
          <w:sz w:val="22"/>
          <w:lang w:val="fr-CD"/>
        </w:rPr>
        <w:t>Njiwu ya ditangalaja masama a VIH/SI</w:t>
      </w:r>
      <w:r>
        <w:rPr>
          <w:rFonts w:eastAsia="Calibri" w:cs="Arial"/>
          <w:bCs/>
          <w:iCs/>
          <w:sz w:val="22"/>
          <w:lang w:val="fr-CD"/>
        </w:rPr>
        <w:t>DA ne a IST kudi bantu ne bena midimu ;</w:t>
      </w:r>
    </w:p>
    <w:p w14:paraId="6D371614"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Njiwu ya malu a diangata bakaji kubukole ne ya dibakengesha (VBG) ;</w:t>
      </w:r>
    </w:p>
    <w:p w14:paraId="7556F8F8"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Njiwu ya ditampakaja disama dia COVID-19 ;</w:t>
      </w:r>
    </w:p>
    <w:p w14:paraId="249A3E1A"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Njiwu ya ditampakaja kishi ka ebola.</w:t>
      </w:r>
    </w:p>
    <w:p w14:paraId="4C4D3699" w14:textId="77777777" w:rsidR="005C5EB1" w:rsidRDefault="005C5EB1" w:rsidP="005C5EB1">
      <w:pPr>
        <w:tabs>
          <w:tab w:val="left" w:pos="426"/>
        </w:tabs>
        <w:spacing w:line="240" w:lineRule="auto"/>
        <w:rPr>
          <w:rFonts w:eastAsia="Calibri" w:cs="Arial"/>
          <w:bCs/>
          <w:iCs/>
          <w:sz w:val="22"/>
          <w:lang w:val="fr-CD"/>
        </w:rPr>
      </w:pPr>
    </w:p>
    <w:p w14:paraId="49346C8A" w14:textId="77777777" w:rsidR="005C5EB1" w:rsidRDefault="005C5EB1" w:rsidP="005C5EB1">
      <w:pPr>
        <w:tabs>
          <w:tab w:val="left" w:pos="426"/>
        </w:tabs>
        <w:spacing w:line="240" w:lineRule="auto"/>
        <w:rPr>
          <w:rFonts w:eastAsia="Calibri" w:cs="Arial"/>
          <w:bCs/>
          <w:iCs/>
          <w:sz w:val="22"/>
          <w:lang w:val="fr-CD"/>
        </w:rPr>
      </w:pPr>
      <w:r w:rsidRPr="00BF072C">
        <w:rPr>
          <w:rFonts w:eastAsia="Calibri" w:cs="Arial"/>
          <w:bCs/>
          <w:iCs/>
          <w:sz w:val="22"/>
          <w:u w:val="single"/>
          <w:lang w:val="fr-CD"/>
        </w:rPr>
        <w:t>Njiwu ne bibangu bia bibi kumbukila ku midimu ya dibaka bisalu ne nzubu ya kushipela nyama ku misoko</w:t>
      </w:r>
      <w:r>
        <w:rPr>
          <w:rFonts w:eastAsia="Calibri" w:cs="Arial"/>
          <w:bCs/>
          <w:iCs/>
          <w:sz w:val="22"/>
          <w:lang w:val="fr-CD"/>
        </w:rPr>
        <w:t> :</w:t>
      </w:r>
    </w:p>
    <w:p w14:paraId="7B34C59E" w14:textId="77777777" w:rsidR="005C5EB1" w:rsidRPr="00BF072C" w:rsidRDefault="005C5EB1" w:rsidP="005C5EB1">
      <w:pPr>
        <w:tabs>
          <w:tab w:val="left" w:pos="426"/>
        </w:tabs>
        <w:spacing w:line="240" w:lineRule="auto"/>
        <w:rPr>
          <w:rFonts w:eastAsia="Calibri" w:cs="Arial"/>
          <w:bCs/>
          <w:iCs/>
          <w:sz w:val="22"/>
          <w:lang w:val="fr-CD"/>
        </w:rPr>
      </w:pPr>
    </w:p>
    <w:p w14:paraId="328E3649"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Diumbusha bisadilu bia dienda dia mushinga bia bantu ;</w:t>
      </w:r>
    </w:p>
    <w:p w14:paraId="14C559FA"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lastRenderedPageBreak/>
        <w:t>Dipatula makoya mashilangane ;</w:t>
      </w:r>
    </w:p>
    <w:p w14:paraId="72197BEC"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Dinyangakaja mwenenu wa miaba yak u misoko ;</w:t>
      </w:r>
    </w:p>
    <w:p w14:paraId="56B3FE1A"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Njiwu ya bantu ne ya bena mudimu ;</w:t>
      </w:r>
    </w:p>
    <w:p w14:paraId="5227FE8A"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Dipanga kwenzela bena mudimu ba kumisoko ;</w:t>
      </w:r>
    </w:p>
    <w:p w14:paraId="635CDED4"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sidRPr="00BF072C">
        <w:rPr>
          <w:rFonts w:eastAsia="Calibri" w:cs="Arial"/>
          <w:bCs/>
          <w:iCs/>
          <w:sz w:val="22"/>
          <w:lang w:val="fr-CD"/>
        </w:rPr>
        <w:t>Njiwu ya ditampakaja masama a VIH/SIDA</w:t>
      </w:r>
      <w:r>
        <w:rPr>
          <w:rFonts w:eastAsia="Calibri" w:cs="Arial"/>
          <w:bCs/>
          <w:iCs/>
          <w:sz w:val="22"/>
          <w:lang w:val="fr-CD"/>
        </w:rPr>
        <w:t xml:space="preserve"> ne a IST ne dilwa dia bena midimu ba bungi ku miaba ya midimu ;</w:t>
      </w:r>
    </w:p>
    <w:p w14:paraId="7CDD5E07" w14:textId="77777777" w:rsidR="005C5EB1"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Njiwu ya dikengesha bakaji ne dibangata kubukole (VBG) kudi bena midimu ;</w:t>
      </w:r>
    </w:p>
    <w:p w14:paraId="536D2BC7" w14:textId="77777777" w:rsidR="005C5EB1" w:rsidRPr="00BF072C" w:rsidRDefault="005C5EB1" w:rsidP="002378EA">
      <w:pPr>
        <w:pStyle w:val="Paragraphedeliste"/>
        <w:numPr>
          <w:ilvl w:val="0"/>
          <w:numId w:val="156"/>
        </w:numPr>
        <w:tabs>
          <w:tab w:val="left" w:pos="426"/>
        </w:tabs>
        <w:spacing w:line="240" w:lineRule="auto"/>
        <w:rPr>
          <w:rFonts w:eastAsia="Calibri" w:cs="Arial"/>
          <w:bCs/>
          <w:iCs/>
          <w:sz w:val="22"/>
          <w:lang w:val="fr-CD"/>
        </w:rPr>
      </w:pPr>
      <w:r>
        <w:rPr>
          <w:rFonts w:eastAsia="Calibri" w:cs="Arial"/>
          <w:bCs/>
          <w:iCs/>
          <w:sz w:val="22"/>
          <w:lang w:val="fr-CD"/>
        </w:rPr>
        <w:t>Njiwu ya ditampakaja disa dia COVID-19 ne kupanga kwenzela mikandu idi mipeshibwe.</w:t>
      </w:r>
    </w:p>
    <w:p w14:paraId="1E35473D" w14:textId="77777777" w:rsidR="005C5EB1" w:rsidRPr="00BF072C" w:rsidRDefault="005C5EB1" w:rsidP="005C5EB1">
      <w:pPr>
        <w:tabs>
          <w:tab w:val="left" w:pos="426"/>
        </w:tabs>
        <w:spacing w:line="240" w:lineRule="auto"/>
        <w:contextualSpacing/>
        <w:rPr>
          <w:rFonts w:eastAsia="Calibri" w:cs="Arial"/>
          <w:b/>
          <w:i/>
          <w:sz w:val="22"/>
          <w:lang w:val="fr-CD"/>
        </w:rPr>
      </w:pPr>
    </w:p>
    <w:p w14:paraId="7CFAAFBF" w14:textId="77777777" w:rsidR="005C5EB1" w:rsidRPr="007F41C5" w:rsidRDefault="005C5EB1" w:rsidP="002378EA">
      <w:pPr>
        <w:numPr>
          <w:ilvl w:val="0"/>
          <w:numId w:val="158"/>
        </w:numPr>
        <w:tabs>
          <w:tab w:val="left" w:pos="426"/>
        </w:tabs>
        <w:contextualSpacing/>
        <w:rPr>
          <w:rFonts w:eastAsia="Calibri" w:cs="Arial"/>
          <w:i/>
          <w:sz w:val="22"/>
        </w:rPr>
      </w:pPr>
      <w:r>
        <w:rPr>
          <w:rFonts w:eastAsia="Calibri" w:cs="Arial"/>
          <w:i/>
          <w:sz w:val="22"/>
        </w:rPr>
        <w:t>Mikanu bwa kwenzela biakane malu a bintu bia nyungulukilu wa buloba ne nsombelu wa batu</w:t>
      </w:r>
      <w:r w:rsidRPr="007F41C5">
        <w:rPr>
          <w:rFonts w:eastAsia="Calibri" w:cs="Arial"/>
          <w:i/>
          <w:sz w:val="22"/>
        </w:rPr>
        <w:t xml:space="preserve"> </w:t>
      </w:r>
    </w:p>
    <w:p w14:paraId="38352241" w14:textId="77777777" w:rsidR="005C5EB1" w:rsidRPr="007F41C5" w:rsidRDefault="005C5EB1" w:rsidP="005C5EB1">
      <w:pPr>
        <w:rPr>
          <w:rFonts w:cs="Arial"/>
          <w:b/>
          <w:i/>
          <w:sz w:val="22"/>
        </w:rPr>
      </w:pPr>
    </w:p>
    <w:p w14:paraId="696FF8CB" w14:textId="77777777" w:rsidR="005C5EB1" w:rsidRPr="007F41C5" w:rsidRDefault="005C5EB1" w:rsidP="005C5EB1">
      <w:pPr>
        <w:autoSpaceDE w:val="0"/>
        <w:autoSpaceDN w:val="0"/>
        <w:adjustRightInd w:val="0"/>
        <w:contextualSpacing/>
        <w:rPr>
          <w:rFonts w:cs="Arial"/>
          <w:sz w:val="22"/>
          <w:lang w:bidi="fr-FR"/>
        </w:rPr>
      </w:pPr>
      <w:r>
        <w:rPr>
          <w:rFonts w:cs="Arial"/>
          <w:sz w:val="22"/>
          <w:lang w:bidi="fr-FR"/>
        </w:rPr>
        <w:t xml:space="preserve">Dienzela bintu bia nyungulukilu wa buloba na nsombelu wa bantu dia mudimu wa </w:t>
      </w:r>
      <w:r w:rsidRPr="007F41C5">
        <w:rPr>
          <w:rFonts w:cs="Arial"/>
          <w:sz w:val="22"/>
          <w:lang w:bidi="fr-FR"/>
        </w:rPr>
        <w:t xml:space="preserve">PNDA </w:t>
      </w:r>
      <w:r>
        <w:rPr>
          <w:rFonts w:cs="Arial"/>
          <w:sz w:val="22"/>
          <w:lang w:bidi="fr-FR"/>
        </w:rPr>
        <w:t>ndilongolole mikanu ya bulongolodi ne ya dienzesha nzubu ya mibimu ne ya tekiniki, ya dikolesha menji, ne ya disopesha bwa dikolesha menji ya nzubu ya midimu, idi ilonda eyi</w:t>
      </w:r>
      <w:r w:rsidRPr="007F41C5">
        <w:rPr>
          <w:rFonts w:cs="Arial"/>
          <w:sz w:val="22"/>
          <w:lang w:bidi="fr-FR"/>
        </w:rPr>
        <w:t> :</w:t>
      </w:r>
    </w:p>
    <w:p w14:paraId="07A87424" w14:textId="77777777" w:rsidR="005C5EB1" w:rsidRPr="007F41C5" w:rsidRDefault="005C5EB1" w:rsidP="005C5EB1">
      <w:pPr>
        <w:autoSpaceDE w:val="0"/>
        <w:autoSpaceDN w:val="0"/>
        <w:adjustRightInd w:val="0"/>
        <w:spacing w:line="240" w:lineRule="auto"/>
        <w:contextualSpacing/>
        <w:rPr>
          <w:rFonts w:eastAsia="Calibri" w:cs="Arial"/>
          <w:sz w:val="22"/>
          <w:lang w:bidi="fr-FR"/>
        </w:rPr>
      </w:pPr>
    </w:p>
    <w:p w14:paraId="647C4E3C"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Dilongolola dia mushindu wa kwenzela bena mudimu </w:t>
      </w:r>
      <w:r w:rsidRPr="007F41C5">
        <w:rPr>
          <w:rFonts w:eastAsia="MS Mincho" w:cs="Arial"/>
          <w:sz w:val="22"/>
        </w:rPr>
        <w:t>(PGMO) ;</w:t>
      </w:r>
    </w:p>
    <w:p w14:paraId="0FD246BD" w14:textId="77777777" w:rsidR="005C5EB1" w:rsidRPr="00372F9C" w:rsidRDefault="005C5EB1" w:rsidP="002378EA">
      <w:pPr>
        <w:widowControl w:val="0"/>
        <w:numPr>
          <w:ilvl w:val="0"/>
          <w:numId w:val="68"/>
        </w:numPr>
        <w:autoSpaceDE w:val="0"/>
        <w:autoSpaceDN w:val="0"/>
        <w:rPr>
          <w:rFonts w:eastAsia="MS Mincho" w:cs="Arial"/>
          <w:sz w:val="22"/>
        </w:rPr>
      </w:pPr>
      <w:r w:rsidRPr="00372F9C">
        <w:rPr>
          <w:rFonts w:eastAsia="MS Mincho" w:cs="Arial"/>
          <w:sz w:val="22"/>
        </w:rPr>
        <w:t>Dilongolola dia mushindu wa kusangisha aba bonso badi mudimu utangi</w:t>
      </w:r>
      <w:r>
        <w:rPr>
          <w:rFonts w:eastAsia="MS Mincho" w:cs="Arial"/>
          <w:sz w:val="22"/>
        </w:rPr>
        <w:t>dila</w:t>
      </w:r>
      <w:r w:rsidRPr="00372F9C">
        <w:rPr>
          <w:rFonts w:eastAsia="MS Mincho" w:cs="Arial"/>
          <w:sz w:val="22"/>
        </w:rPr>
        <w:t xml:space="preserve"> (PMPP) ;</w:t>
      </w:r>
    </w:p>
    <w:p w14:paraId="10F08C91"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Dilongolola dia mikanu ya diumbusha bantu ne bintu biabu</w:t>
      </w:r>
      <w:r w:rsidRPr="007F41C5">
        <w:rPr>
          <w:rFonts w:eastAsia="MS Mincho" w:cs="Arial"/>
          <w:sz w:val="22"/>
        </w:rPr>
        <w:t xml:space="preserve"> (PAR) ;</w:t>
      </w:r>
    </w:p>
    <w:p w14:paraId="774D4A39"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Dilongolola dia dipangidika dia malu bintu bia nyungulukilu wa buloba ne nsombelu wa bantu</w:t>
      </w:r>
      <w:r w:rsidRPr="007F41C5">
        <w:rPr>
          <w:rFonts w:eastAsia="MS Mincho" w:cs="Arial"/>
          <w:sz w:val="22"/>
        </w:rPr>
        <w:t xml:space="preserve"> (PEES) ;</w:t>
      </w:r>
    </w:p>
    <w:p w14:paraId="6B256BB5"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Dilongolola dia mushindu wa kulondela malu a </w:t>
      </w:r>
      <w:r w:rsidRPr="007F41C5">
        <w:rPr>
          <w:rFonts w:eastAsia="MS Mincho" w:cs="Arial"/>
          <w:sz w:val="22"/>
        </w:rPr>
        <w:t xml:space="preserve">VBG </w:t>
      </w:r>
      <w:r>
        <w:rPr>
          <w:rFonts w:eastAsia="MS Mincho" w:cs="Arial"/>
          <w:sz w:val="22"/>
        </w:rPr>
        <w:t>ne mushindu udi mwa kwepuka mine malu aha, kuakepesha ne kupesha mandamuna ku aha atu menzeke pakale kulondangana ne mushindu utubu benzele malu aha kumiaba mikwabu pa kale anyi misangu mishale</w:t>
      </w:r>
      <w:r w:rsidRPr="007F41C5">
        <w:rPr>
          <w:rFonts w:eastAsia="MS Mincho" w:cs="Arial"/>
          <w:sz w:val="22"/>
        </w:rPr>
        <w:t>;</w:t>
      </w:r>
    </w:p>
    <w:p w14:paraId="15A1FA77"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Dilongolola dia malonga adi atngidila malu a Tuyeke (PA) ne Bantu bena misoko (Colo)</w:t>
      </w:r>
      <w:r w:rsidRPr="007F41C5">
        <w:rPr>
          <w:rFonts w:eastAsia="MS Mincho" w:cs="Arial"/>
          <w:sz w:val="22"/>
        </w:rPr>
        <w:t> ;</w:t>
      </w:r>
    </w:p>
    <w:p w14:paraId="02125684"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Dilongolola dia mushindu wa kukuba bantu ne biamua bia musala</w:t>
      </w:r>
      <w:r w:rsidRPr="007F41C5">
        <w:rPr>
          <w:rFonts w:eastAsia="MS Mincho" w:cs="Arial"/>
          <w:sz w:val="22"/>
        </w:rPr>
        <w:t xml:space="preserve"> (PGS) </w:t>
      </w:r>
      <w:r>
        <w:rPr>
          <w:rFonts w:eastAsia="MS Mincho" w:cs="Arial"/>
          <w:sz w:val="22"/>
        </w:rPr>
        <w:t xml:space="preserve">udi uleja mushindu wa kwenzela malu onso a dikuba dia bantu ne bintu </w:t>
      </w:r>
      <w:r w:rsidRPr="007F41C5">
        <w:rPr>
          <w:rFonts w:eastAsia="MS Mincho" w:cs="Arial"/>
          <w:sz w:val="22"/>
        </w:rPr>
        <w:t xml:space="preserve">(ERS) </w:t>
      </w:r>
      <w:r>
        <w:rPr>
          <w:rFonts w:eastAsia="MS Mincho" w:cs="Arial"/>
          <w:sz w:val="22"/>
        </w:rPr>
        <w:t>ne mikanu idi mwa kulonda</w:t>
      </w:r>
      <w:r w:rsidRPr="007F41C5">
        <w:rPr>
          <w:rFonts w:eastAsia="MS Mincho" w:cs="Arial"/>
          <w:sz w:val="22"/>
        </w:rPr>
        <w:t>) ;</w:t>
      </w:r>
    </w:p>
    <w:p w14:paraId="148DAAAC"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Dilongolola dia</w:t>
      </w:r>
      <w:r w:rsidRPr="007F41C5">
        <w:rPr>
          <w:rFonts w:eastAsia="MS Mincho" w:cs="Arial"/>
          <w:sz w:val="22"/>
        </w:rPr>
        <w:t xml:space="preserve"> </w:t>
      </w:r>
      <w:r>
        <w:rPr>
          <w:rFonts w:eastAsia="MS Mincho" w:cs="Arial"/>
          <w:sz w:val="22"/>
        </w:rPr>
        <w:t>mushindu wa kukosa bilumbu pankatshi pa bantu</w:t>
      </w:r>
      <w:r w:rsidRPr="007F41C5">
        <w:rPr>
          <w:rFonts w:eastAsia="MS Mincho" w:cs="Arial"/>
          <w:sz w:val="22"/>
        </w:rPr>
        <w:t xml:space="preserve"> (MGP) ;</w:t>
      </w:r>
    </w:p>
    <w:p w14:paraId="19D93C1D"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Dilongolola dia </w:t>
      </w:r>
      <w:r w:rsidRPr="007F41C5">
        <w:rPr>
          <w:rFonts w:eastAsia="MS Mincho" w:cs="Arial"/>
          <w:sz w:val="22"/>
        </w:rPr>
        <w:t xml:space="preserve">MGP </w:t>
      </w:r>
      <w:r>
        <w:rPr>
          <w:rFonts w:eastAsia="MS Mincho" w:cs="Arial"/>
          <w:sz w:val="22"/>
        </w:rPr>
        <w:t xml:space="preserve">bwa malu adi atangidila dikengesha bakaji anyi </w:t>
      </w:r>
      <w:r w:rsidRPr="007F41C5">
        <w:rPr>
          <w:rFonts w:eastAsia="MS Mincho" w:cs="Arial"/>
          <w:sz w:val="22"/>
        </w:rPr>
        <w:t>VBG ;</w:t>
      </w:r>
    </w:p>
    <w:p w14:paraId="3DE3F4C9"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Dilongolola dia mushindu wa kwenza mudimu ne bitupa bikwabu</w:t>
      </w:r>
      <w:r w:rsidRPr="007F41C5">
        <w:rPr>
          <w:rFonts w:eastAsia="MS Mincho" w:cs="Arial"/>
          <w:sz w:val="22"/>
        </w:rPr>
        <w:t> ;</w:t>
      </w:r>
    </w:p>
    <w:p w14:paraId="6D328B19" w14:textId="77777777" w:rsidR="005C5EB1" w:rsidRPr="009D4C29" w:rsidRDefault="005C5EB1" w:rsidP="002378EA">
      <w:pPr>
        <w:widowControl w:val="0"/>
        <w:numPr>
          <w:ilvl w:val="0"/>
          <w:numId w:val="68"/>
        </w:numPr>
        <w:autoSpaceDE w:val="0"/>
        <w:autoSpaceDN w:val="0"/>
        <w:rPr>
          <w:rFonts w:eastAsia="MS Mincho" w:cs="Arial"/>
          <w:sz w:val="22"/>
          <w:lang w:val="en-US"/>
        </w:rPr>
      </w:pPr>
      <w:r w:rsidRPr="009D4C29">
        <w:rPr>
          <w:rFonts w:eastAsia="MS Mincho" w:cs="Arial"/>
          <w:sz w:val="22"/>
          <w:lang w:val="en-US"/>
        </w:rPr>
        <w:t>Dilongolola dia MGP udi usangisha malu onso a VBG/EAS/HS</w:t>
      </w:r>
    </w:p>
    <w:p w14:paraId="470F343E" w14:textId="77777777" w:rsidR="005C5EB1" w:rsidRPr="00AD0F4C" w:rsidRDefault="005C5EB1" w:rsidP="002378EA">
      <w:pPr>
        <w:widowControl w:val="0"/>
        <w:numPr>
          <w:ilvl w:val="0"/>
          <w:numId w:val="68"/>
        </w:numPr>
        <w:autoSpaceDE w:val="0"/>
        <w:autoSpaceDN w:val="0"/>
        <w:rPr>
          <w:rFonts w:eastAsia="MS Mincho" w:cs="Arial"/>
          <w:sz w:val="22"/>
          <w:lang w:val="en-US"/>
        </w:rPr>
      </w:pPr>
      <w:r w:rsidRPr="009D4C29">
        <w:rPr>
          <w:rFonts w:eastAsia="MS Mincho" w:cs="Arial"/>
          <w:sz w:val="22"/>
          <w:lang w:val="en-US"/>
        </w:rPr>
        <w:t xml:space="preserve">Dilongolola dia mushindu mwakane wa kwikadila : bwa bantu bonso, bwa benzeji ba mudimu udi usangisha malu a VBG. </w:t>
      </w:r>
      <w:r w:rsidRPr="00AD0F4C">
        <w:rPr>
          <w:rFonts w:eastAsia="MS Mincho" w:cs="Arial"/>
          <w:sz w:val="22"/>
          <w:lang w:val="en-US"/>
        </w:rPr>
        <w:t xml:space="preserve">Mushindu wa kukandika diangata bana bakaji bakese </w:t>
      </w:r>
      <w:r w:rsidRPr="007F41C5">
        <w:rPr>
          <w:rFonts w:eastAsia="MS Mincho" w:cs="Arial"/>
          <w:sz w:val="22"/>
          <w:vertAlign w:val="superscript"/>
        </w:rPr>
        <w:footnoteReference w:id="9"/>
      </w:r>
      <w:r w:rsidRPr="00AD0F4C">
        <w:rPr>
          <w:rFonts w:eastAsia="MS Mincho" w:cs="Arial"/>
          <w:sz w:val="22"/>
          <w:lang w:val="en-US"/>
        </w:rPr>
        <w:t>, bibawu bidibilonda, ne malongesha makese a malu a VBG, apete kumanishibwa bimpe ne bantu bonso ;</w:t>
      </w:r>
    </w:p>
    <w:p w14:paraId="2D541999" w14:textId="77777777" w:rsidR="005C5EB1" w:rsidRPr="00AD0F4C" w:rsidRDefault="005C5EB1" w:rsidP="002378EA">
      <w:pPr>
        <w:widowControl w:val="0"/>
        <w:numPr>
          <w:ilvl w:val="0"/>
          <w:numId w:val="68"/>
        </w:numPr>
        <w:autoSpaceDE w:val="0"/>
        <w:autoSpaceDN w:val="0"/>
        <w:rPr>
          <w:rFonts w:eastAsia="MS Mincho" w:cs="Arial"/>
          <w:sz w:val="22"/>
          <w:lang w:val="en-US"/>
        </w:rPr>
      </w:pPr>
      <w:r w:rsidRPr="00AD0F4C">
        <w:rPr>
          <w:rFonts w:eastAsia="MS Mincho" w:cs="Arial"/>
          <w:sz w:val="22"/>
          <w:lang w:val="en-US"/>
        </w:rPr>
        <w:t>Dikandika malu a mudimu wa bana batekete mu mwaba wa mudimu ;</w:t>
      </w:r>
    </w:p>
    <w:p w14:paraId="0E66CBB7"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Dilongolola dia mushindu wa kwenzela malu a kulondela midimu ;</w:t>
      </w:r>
    </w:p>
    <w:p w14:paraId="18A1E9C0"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Dikepesha dikosa mitshi ne dikosa metu</w:t>
      </w:r>
      <w:r w:rsidRPr="007F41C5">
        <w:rPr>
          <w:rFonts w:eastAsia="MS Mincho" w:cs="Arial"/>
          <w:sz w:val="22"/>
        </w:rPr>
        <w:t xml:space="preserve"> ;</w:t>
      </w:r>
    </w:p>
    <w:p w14:paraId="16911C0E"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Kuteka miaba ya kukandika bantu bwa kuya ne kupita ku miaba mikandika pa diba dia midimu ; </w:t>
      </w:r>
    </w:p>
    <w:p w14:paraId="57EE0C7E"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Kulomba diambulwisha dia bena </w:t>
      </w:r>
      <w:r w:rsidRPr="007F41C5">
        <w:rPr>
          <w:rFonts w:eastAsia="MS Mincho" w:cs="Arial"/>
          <w:sz w:val="22"/>
        </w:rPr>
        <w:t xml:space="preserve">ICCN </w:t>
      </w:r>
      <w:r>
        <w:rPr>
          <w:rFonts w:eastAsia="MS Mincho" w:cs="Arial"/>
          <w:sz w:val="22"/>
        </w:rPr>
        <w:t>kumpala kwa kwenza mudimu pa bwipi ne miaba mikandika</w:t>
      </w:r>
      <w:r w:rsidRPr="007F41C5">
        <w:rPr>
          <w:rFonts w:eastAsia="MS Mincho" w:cs="Arial"/>
          <w:sz w:val="22"/>
        </w:rPr>
        <w:t xml:space="preserve"> ;</w:t>
      </w:r>
    </w:p>
    <w:p w14:paraId="62621B95"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lastRenderedPageBreak/>
        <w:t>Kukandi dienzesha mudimu mu nkatshi mwa miaba mikandika ya nyama ne mitshi ;</w:t>
      </w:r>
    </w:p>
    <w:p w14:paraId="68C90CDA"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Kupingaja miaba yonso ya mudimu muvwayi kumpala kwa kubangisha mudimu ; </w:t>
      </w:r>
    </w:p>
    <w:p w14:paraId="03FEEC5A" w14:textId="77777777" w:rsidR="005C5EB1" w:rsidRDefault="005C5EB1" w:rsidP="002378EA">
      <w:pPr>
        <w:widowControl w:val="0"/>
        <w:numPr>
          <w:ilvl w:val="0"/>
          <w:numId w:val="68"/>
        </w:numPr>
        <w:autoSpaceDE w:val="0"/>
        <w:autoSpaceDN w:val="0"/>
        <w:rPr>
          <w:rFonts w:eastAsia="MS Mincho" w:cs="Arial"/>
          <w:sz w:val="22"/>
        </w:rPr>
      </w:pPr>
      <w:r w:rsidRPr="00FA524C">
        <w:rPr>
          <w:rFonts w:eastAsia="MS Mincho" w:cs="Arial"/>
          <w:sz w:val="22"/>
        </w:rPr>
        <w:t xml:space="preserve">Kutangidila bimpe miba ya diendela mushinga ya bantu bwa kwepuka kuba kengesha pa diba dia mudimu, ne kuteka bimanyinu bidi bileja bimpe mushindu udi mwa kupitshila pa tshikondo tsha mudimu ; </w:t>
      </w:r>
    </w:p>
    <w:p w14:paraId="65BDF469" w14:textId="77777777" w:rsidR="005C5EB1" w:rsidRDefault="005C5EB1" w:rsidP="002378EA">
      <w:pPr>
        <w:widowControl w:val="0"/>
        <w:numPr>
          <w:ilvl w:val="0"/>
          <w:numId w:val="68"/>
        </w:numPr>
        <w:autoSpaceDE w:val="0"/>
        <w:autoSpaceDN w:val="0"/>
        <w:rPr>
          <w:rFonts w:eastAsia="MS Mincho" w:cs="Arial"/>
          <w:sz w:val="22"/>
        </w:rPr>
      </w:pPr>
      <w:r w:rsidRPr="00FA524C">
        <w:rPr>
          <w:rFonts w:eastAsia="MS Mincho" w:cs="Arial"/>
          <w:sz w:val="22"/>
        </w:rPr>
        <w:t xml:space="preserve">Kufuta bintu bia bantu kumpala kwa kubangisha mudimu ; </w:t>
      </w:r>
    </w:p>
    <w:p w14:paraId="4356576E" w14:textId="77777777" w:rsidR="005C5EB1" w:rsidRPr="00FA524C"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Kwambulwisha kasumbu ka dilongolola mudimu wa </w:t>
      </w:r>
      <w:r w:rsidRPr="00FA524C">
        <w:rPr>
          <w:rFonts w:eastAsia="MS Mincho" w:cs="Arial"/>
          <w:sz w:val="22"/>
        </w:rPr>
        <w:t>PNDA</w:t>
      </w:r>
      <w:r>
        <w:rPr>
          <w:rFonts w:eastAsia="MS Mincho" w:cs="Arial"/>
          <w:sz w:val="22"/>
        </w:rPr>
        <w:t xml:space="preserve"> ne dibapesha bionso bidi bikengela bwa bob kwenza mudimu ewu biakane</w:t>
      </w:r>
      <w:r w:rsidRPr="00FA524C">
        <w:rPr>
          <w:rFonts w:eastAsia="MS Mincho" w:cs="Arial"/>
          <w:sz w:val="22"/>
        </w:rPr>
        <w:t> ;</w:t>
      </w:r>
    </w:p>
    <w:p w14:paraId="6264F764"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Kukolesha menji a dienzela malu a bintu bia nyungulukilu wa buloba ne nsombelu wa bantu a balombodi ba mudimu ewu bena </w:t>
      </w:r>
      <w:r w:rsidRPr="007F41C5">
        <w:rPr>
          <w:rFonts w:eastAsia="MS Mincho" w:cs="Arial"/>
          <w:sz w:val="22"/>
        </w:rPr>
        <w:t>UGP ;</w:t>
      </w:r>
    </w:p>
    <w:p w14:paraId="5673AEC3"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Kukolesha menji a bena Mbulamatadi bena malu a madimi</w:t>
      </w:r>
      <w:r w:rsidRPr="007F41C5">
        <w:rPr>
          <w:rFonts w:eastAsia="MS Mincho" w:cs="Arial"/>
          <w:sz w:val="22"/>
        </w:rPr>
        <w:t> ;</w:t>
      </w:r>
    </w:p>
    <w:p w14:paraId="2F045D36"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Kulongesha bantu bonso malu a VBG ne a MGP bwa bamune mudi mwa kualondela bimpe mu mudimu wa</w:t>
      </w:r>
      <w:r w:rsidRPr="007F41C5">
        <w:rPr>
          <w:rFonts w:eastAsia="MS Mincho" w:cs="Arial"/>
          <w:sz w:val="22"/>
        </w:rPr>
        <w:t xml:space="preserve"> PNDA;</w:t>
      </w:r>
    </w:p>
    <w:p w14:paraId="5578A972"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Dilongolola dia mushindu wa kulondela malu onso aha kudi bantu ne bena communes </w:t>
      </w:r>
      <w:r w:rsidRPr="007F41C5">
        <w:rPr>
          <w:rFonts w:eastAsia="MS Mincho" w:cs="Arial"/>
          <w:sz w:val="22"/>
        </w:rPr>
        <w:t>(VBG, code de bonne conduite, MGP sensible aux VBG/EAS/HS, etc.) ;</w:t>
      </w:r>
    </w:p>
    <w:p w14:paraId="11096989"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Dilongolola dia malonga a mushindu wa kwenzela bintu bia nyungulukilu wa buloba ne nsombelu wa bantu bwa bena kompanyi yenzesha midimu ne bena mudimu babu</w:t>
      </w:r>
      <w:r w:rsidRPr="007F41C5">
        <w:rPr>
          <w:rFonts w:eastAsia="MS Mincho" w:cs="Arial"/>
          <w:sz w:val="22"/>
        </w:rPr>
        <w:t> ;</w:t>
      </w:r>
    </w:p>
    <w:p w14:paraId="31226E8F" w14:textId="77777777" w:rsidR="005C5EB1" w:rsidRPr="00594230" w:rsidRDefault="005C5EB1" w:rsidP="002378EA">
      <w:pPr>
        <w:widowControl w:val="0"/>
        <w:numPr>
          <w:ilvl w:val="0"/>
          <w:numId w:val="68"/>
        </w:numPr>
        <w:autoSpaceDE w:val="0"/>
        <w:autoSpaceDN w:val="0"/>
        <w:rPr>
          <w:rFonts w:eastAsia="MS Mincho" w:cs="Arial"/>
          <w:sz w:val="22"/>
          <w:lang w:val="en-US"/>
        </w:rPr>
      </w:pPr>
      <w:r w:rsidRPr="00594230">
        <w:rPr>
          <w:rFonts w:eastAsia="MS Mincho" w:cs="Arial"/>
          <w:sz w:val="22"/>
          <w:lang w:val="en-US"/>
        </w:rPr>
        <w:t>Dilongolola dia kasumbu ka malu a diepuka disama dia COVID-19;</w:t>
      </w:r>
    </w:p>
    <w:p w14:paraId="10F829DC"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Kulongolola mushindu wa kulondela malu a </w:t>
      </w:r>
      <w:r w:rsidRPr="007F41C5">
        <w:rPr>
          <w:rFonts w:eastAsia="MS Mincho" w:cs="Arial"/>
          <w:sz w:val="22"/>
        </w:rPr>
        <w:t>VBG ;</w:t>
      </w:r>
    </w:p>
    <w:p w14:paraId="1B6AA275"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 xml:space="preserve">Kubweja bana bakaji mu mudimu ewu pa bungi bwa </w:t>
      </w:r>
      <w:r w:rsidRPr="007F41C5">
        <w:rPr>
          <w:rFonts w:eastAsia="MS Mincho" w:cs="Arial"/>
          <w:sz w:val="22"/>
        </w:rPr>
        <w:t xml:space="preserve">30 % </w:t>
      </w:r>
      <w:r>
        <w:rPr>
          <w:rFonts w:eastAsia="MS Mincho" w:cs="Arial"/>
          <w:sz w:val="22"/>
        </w:rPr>
        <w:t>bwa mudimu ewu wa PNDA</w:t>
      </w:r>
      <w:r w:rsidRPr="007F41C5">
        <w:rPr>
          <w:rFonts w:eastAsia="MS Mincho" w:cs="Arial"/>
          <w:sz w:val="22"/>
        </w:rPr>
        <w:t> ;</w:t>
      </w:r>
    </w:p>
    <w:p w14:paraId="64E72B8F"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Kunemeka bikole mukandu wa ditunga bwa aha adi atangidila mudi wa bana batekete udi mukandikibwe bwa bana ba mvula ya mwinshi mwa bidimu 18</w:t>
      </w:r>
      <w:r w:rsidRPr="007F41C5">
        <w:rPr>
          <w:rFonts w:eastAsia="MS Mincho" w:cs="Arial"/>
          <w:sz w:val="22"/>
        </w:rPr>
        <w:t> ;</w:t>
      </w:r>
    </w:p>
    <w:p w14:paraId="137EEA9D" w14:textId="77777777" w:rsidR="005C5EB1" w:rsidRPr="007F41C5" w:rsidRDefault="005C5EB1" w:rsidP="002378EA">
      <w:pPr>
        <w:widowControl w:val="0"/>
        <w:numPr>
          <w:ilvl w:val="0"/>
          <w:numId w:val="68"/>
        </w:numPr>
        <w:autoSpaceDE w:val="0"/>
        <w:autoSpaceDN w:val="0"/>
        <w:rPr>
          <w:rFonts w:eastAsia="MS Mincho" w:cs="Arial"/>
          <w:sz w:val="22"/>
        </w:rPr>
      </w:pPr>
      <w:r>
        <w:rPr>
          <w:rFonts w:eastAsia="MS Mincho" w:cs="Arial"/>
          <w:sz w:val="22"/>
        </w:rPr>
        <w:t>Ditangila biakane malu a kabukulu mu miaba ya mudimu</w:t>
      </w:r>
      <w:r w:rsidRPr="007F41C5">
        <w:rPr>
          <w:rFonts w:eastAsia="MS Mincho" w:cs="Arial"/>
          <w:sz w:val="22"/>
        </w:rPr>
        <w:t>.</w:t>
      </w:r>
    </w:p>
    <w:p w14:paraId="06FB3E76" w14:textId="77777777" w:rsidR="005C5EB1" w:rsidRPr="007F41C5" w:rsidRDefault="005C5EB1" w:rsidP="005C5EB1">
      <w:pPr>
        <w:spacing w:line="240" w:lineRule="auto"/>
        <w:rPr>
          <w:rFonts w:cs="Arial"/>
          <w:sz w:val="22"/>
        </w:rPr>
      </w:pPr>
    </w:p>
    <w:p w14:paraId="6F97FBE6" w14:textId="77777777" w:rsidR="005C5EB1" w:rsidRPr="007F41C5" w:rsidRDefault="005C5EB1" w:rsidP="005C5EB1">
      <w:pPr>
        <w:rPr>
          <w:rFonts w:cs="Arial"/>
          <w:sz w:val="22"/>
        </w:rPr>
      </w:pPr>
      <w:r>
        <w:rPr>
          <w:rFonts w:cs="Arial"/>
          <w:sz w:val="22"/>
        </w:rPr>
        <w:t xml:space="preserve">Mikanu yonso eyi idi isanganyibwa munkatshi mwa malonga a </w:t>
      </w:r>
      <w:r w:rsidRPr="007F41C5">
        <w:rPr>
          <w:rFonts w:cs="Arial"/>
          <w:sz w:val="22"/>
        </w:rPr>
        <w:t>PCGES</w:t>
      </w:r>
      <w:r>
        <w:rPr>
          <w:rFonts w:cs="Arial"/>
          <w:sz w:val="22"/>
        </w:rPr>
        <w:t xml:space="preserve"> ikalabu na mwa kubweja mu mukanda wa mushindu wa kwenzesha mudimu</w:t>
      </w:r>
      <w:r w:rsidRPr="007F41C5">
        <w:rPr>
          <w:rFonts w:cs="Arial"/>
          <w:sz w:val="22"/>
        </w:rPr>
        <w:t>.</w:t>
      </w:r>
    </w:p>
    <w:p w14:paraId="34A787E3" w14:textId="77777777" w:rsidR="005C5EB1" w:rsidRPr="007F41C5" w:rsidRDefault="005C5EB1" w:rsidP="005C5EB1">
      <w:pPr>
        <w:rPr>
          <w:rFonts w:cs="Arial"/>
          <w:bCs/>
          <w:sz w:val="22"/>
        </w:rPr>
      </w:pPr>
    </w:p>
    <w:p w14:paraId="1A14E782" w14:textId="77777777" w:rsidR="005C5EB1" w:rsidRPr="007F41C5" w:rsidRDefault="005C5EB1" w:rsidP="005C5EB1">
      <w:pPr>
        <w:rPr>
          <w:rFonts w:cs="Arial"/>
          <w:i/>
          <w:sz w:val="22"/>
          <w:u w:val="single"/>
          <w:lang w:bidi="fr-FR"/>
        </w:rPr>
      </w:pPr>
      <w:r w:rsidRPr="007F41C5">
        <w:rPr>
          <w:rFonts w:cs="Arial"/>
          <w:i/>
          <w:sz w:val="22"/>
          <w:u w:val="single"/>
          <w:lang w:bidi="fr-FR"/>
        </w:rPr>
        <w:t xml:space="preserve">5.1. </w:t>
      </w:r>
      <w:r>
        <w:rPr>
          <w:rFonts w:cs="Arial"/>
          <w:i/>
          <w:sz w:val="22"/>
          <w:u w:val="single"/>
          <w:lang w:bidi="fr-FR"/>
        </w:rPr>
        <w:t>Mushindu wa kwenzela bintu bia nyungulukilu wa buloba ne nsombelu wa bantu mudimu yenzekibwa</w:t>
      </w:r>
    </w:p>
    <w:p w14:paraId="2F022A1D" w14:textId="77777777" w:rsidR="005C5EB1" w:rsidRPr="007F41C5" w:rsidRDefault="005C5EB1" w:rsidP="005C5EB1">
      <w:pPr>
        <w:rPr>
          <w:rFonts w:cs="Arial"/>
          <w:sz w:val="22"/>
        </w:rPr>
      </w:pPr>
    </w:p>
    <w:p w14:paraId="011663BF" w14:textId="77777777" w:rsidR="005C5EB1" w:rsidRDefault="005C5EB1" w:rsidP="005C5EB1">
      <w:pPr>
        <w:rPr>
          <w:rFonts w:eastAsia="Calibri" w:cs="Arial"/>
          <w:bCs/>
          <w:sz w:val="22"/>
        </w:rPr>
      </w:pPr>
      <w:r>
        <w:rPr>
          <w:rFonts w:eastAsia="Calibri" w:cs="Arial"/>
          <w:bCs/>
          <w:sz w:val="22"/>
        </w:rPr>
        <w:t xml:space="preserve">Malonga aha a </w:t>
      </w:r>
      <w:r w:rsidRPr="007F41C5">
        <w:rPr>
          <w:rFonts w:eastAsia="Calibri" w:cs="Arial"/>
          <w:bCs/>
          <w:sz w:val="22"/>
        </w:rPr>
        <w:t xml:space="preserve">CGES </w:t>
      </w:r>
      <w:r>
        <w:rPr>
          <w:rFonts w:eastAsia="Calibri" w:cs="Arial"/>
          <w:bCs/>
          <w:sz w:val="22"/>
        </w:rPr>
        <w:t xml:space="preserve">adi aleja munkatshi mwawu mushindu udi mwa kusungula malu bintu bia nyungulikilu wa buloba ne nsombelu wa bantu bwa midimu yenzeka ne mpetu ya </w:t>
      </w:r>
      <w:r w:rsidRPr="007F41C5">
        <w:rPr>
          <w:rFonts w:cs="Arial"/>
          <w:bCs/>
          <w:sz w:val="22"/>
        </w:rPr>
        <w:t>PNDA</w:t>
      </w:r>
      <w:r w:rsidRPr="007F41C5">
        <w:rPr>
          <w:rFonts w:eastAsia="Calibri" w:cs="Arial"/>
          <w:bCs/>
          <w:sz w:val="22"/>
        </w:rPr>
        <w:t xml:space="preserve">, </w:t>
      </w:r>
      <w:r>
        <w:rPr>
          <w:rFonts w:eastAsia="Calibri" w:cs="Arial"/>
          <w:bCs/>
          <w:sz w:val="22"/>
        </w:rPr>
        <w:t>adi aleja mudi mwa kulondela malomba a meyi ne mikandu ya ditunga ne a politki ya Banque Mondiale. Bitupa biakulondela ke bidi bilonda ebi</w:t>
      </w:r>
      <w:r w:rsidRPr="007F41C5">
        <w:rPr>
          <w:rFonts w:eastAsia="Calibri" w:cs="Arial"/>
          <w:bCs/>
          <w:sz w:val="22"/>
        </w:rPr>
        <w:t> :</w:t>
      </w:r>
    </w:p>
    <w:p w14:paraId="52FD3542" w14:textId="77777777" w:rsidR="005C5EB1" w:rsidRPr="007F41C5" w:rsidRDefault="005C5EB1" w:rsidP="005C5EB1">
      <w:pPr>
        <w:rPr>
          <w:rFonts w:eastAsia="Calibri" w:cs="Arial"/>
          <w:bCs/>
          <w:sz w:val="22"/>
        </w:rPr>
      </w:pPr>
    </w:p>
    <w:p w14:paraId="56F0F886" w14:textId="77777777" w:rsidR="005C5EB1" w:rsidRPr="007F41C5" w:rsidRDefault="005C5EB1" w:rsidP="005C5EB1">
      <w:pPr>
        <w:rPr>
          <w:rFonts w:eastAsia="Calibri" w:cs="Arial"/>
          <w:bCs/>
          <w:sz w:val="22"/>
        </w:rPr>
      </w:pPr>
    </w:p>
    <w:p w14:paraId="757AFFEC" w14:textId="77777777" w:rsidR="005C5EB1" w:rsidRDefault="005C5EB1" w:rsidP="005C5EB1">
      <w:pPr>
        <w:rPr>
          <w:rFonts w:eastAsia="Calibri" w:cs="Arial"/>
          <w:bCs/>
          <w:sz w:val="22"/>
          <w:u w:val="single"/>
        </w:rPr>
      </w:pPr>
      <w:r>
        <w:rPr>
          <w:rFonts w:eastAsia="Calibri" w:cs="Arial"/>
          <w:bCs/>
          <w:sz w:val="22"/>
          <w:u w:val="single"/>
        </w:rPr>
        <w:t>Disungula dia midimu</w:t>
      </w:r>
    </w:p>
    <w:p w14:paraId="0AB8F95F" w14:textId="77777777" w:rsidR="005C5EB1" w:rsidRPr="007F41C5" w:rsidRDefault="005C5EB1" w:rsidP="005C5EB1">
      <w:pPr>
        <w:rPr>
          <w:rFonts w:eastAsia="Calibri" w:cs="Arial"/>
          <w:bCs/>
          <w:sz w:val="22"/>
          <w:u w:val="single"/>
        </w:rPr>
      </w:pPr>
    </w:p>
    <w:p w14:paraId="75437611" w14:textId="77777777" w:rsidR="005C5EB1" w:rsidRPr="007F41C5" w:rsidRDefault="005C5EB1" w:rsidP="002378EA">
      <w:pPr>
        <w:numPr>
          <w:ilvl w:val="0"/>
          <w:numId w:val="153"/>
        </w:numPr>
        <w:tabs>
          <w:tab w:val="left" w:pos="0"/>
        </w:tabs>
        <w:rPr>
          <w:rFonts w:cs="Arial"/>
          <w:sz w:val="22"/>
        </w:rPr>
      </w:pPr>
      <w:r>
        <w:rPr>
          <w:rFonts w:cs="Arial"/>
          <w:sz w:val="22"/>
        </w:rPr>
        <w:t>Dimweneqha dia mwaba wa midimu ne ngikadilu wa midimu ;</w:t>
      </w:r>
    </w:p>
    <w:p w14:paraId="38157219" w14:textId="77777777" w:rsidR="005C5EB1" w:rsidRDefault="005C5EB1" w:rsidP="002378EA">
      <w:pPr>
        <w:numPr>
          <w:ilvl w:val="0"/>
          <w:numId w:val="153"/>
        </w:numPr>
        <w:tabs>
          <w:tab w:val="left" w:pos="0"/>
        </w:tabs>
        <w:rPr>
          <w:rFonts w:cs="Arial"/>
          <w:sz w:val="22"/>
        </w:rPr>
      </w:pPr>
      <w:r w:rsidRPr="00AA0185">
        <w:rPr>
          <w:rFonts w:cs="Arial"/>
          <w:sz w:val="22"/>
        </w:rPr>
        <w:t xml:space="preserve">Disungula dia bintu bia malu a bintu bua nyungulukilu wa buloba ne nsombelu wa bukwa bantu (Screening-remplissage des formulaires), ne dimwanesha njiwu bwa bintu bia nyungulukilu wa buloba ne nsombelu wa bukwa bantu, ne bintu biambulwisha bwa kwepuka bibangu ne njiwu bia kulongolola ; </w:t>
      </w:r>
    </w:p>
    <w:p w14:paraId="29C6EFBE" w14:textId="77777777" w:rsidR="005C5EB1" w:rsidRPr="00AA0185" w:rsidRDefault="005C5EB1" w:rsidP="002378EA">
      <w:pPr>
        <w:numPr>
          <w:ilvl w:val="0"/>
          <w:numId w:val="153"/>
        </w:numPr>
        <w:tabs>
          <w:tab w:val="left" w:pos="0"/>
        </w:tabs>
        <w:rPr>
          <w:rFonts w:cs="Arial"/>
          <w:sz w:val="22"/>
        </w:rPr>
      </w:pPr>
      <w:r>
        <w:rPr>
          <w:rFonts w:cs="Arial"/>
          <w:sz w:val="22"/>
        </w:rPr>
        <w:t>Ditabuja dia ndongolwelu</w:t>
      </w:r>
      <w:r w:rsidRPr="00AA0185">
        <w:rPr>
          <w:rFonts w:cs="Arial"/>
          <w:sz w:val="22"/>
        </w:rPr>
        <w:t>.</w:t>
      </w:r>
    </w:p>
    <w:p w14:paraId="4FE80A83" w14:textId="77777777" w:rsidR="005C5EB1" w:rsidRPr="007F41C5" w:rsidRDefault="005C5EB1" w:rsidP="005C5EB1">
      <w:pPr>
        <w:rPr>
          <w:rFonts w:cs="Arial"/>
          <w:sz w:val="22"/>
        </w:rPr>
      </w:pPr>
    </w:p>
    <w:p w14:paraId="13E8302A" w14:textId="77777777" w:rsidR="005C5EB1" w:rsidRPr="007F41C5" w:rsidRDefault="005C5EB1" w:rsidP="005C5EB1">
      <w:pPr>
        <w:rPr>
          <w:rFonts w:cs="Arial"/>
          <w:sz w:val="22"/>
          <w:u w:val="single"/>
        </w:rPr>
      </w:pPr>
      <w:r>
        <w:rPr>
          <w:rFonts w:cs="Arial"/>
          <w:sz w:val="22"/>
          <w:u w:val="single"/>
        </w:rPr>
        <w:t xml:space="preserve">Dileja dia diambulwisha bwa mushindu wa kwenzela bibangu bia midimu pa bintu bia nyungulukilu wa buloba ne nsombelu wa bukwa bantu </w:t>
      </w:r>
    </w:p>
    <w:p w14:paraId="4D8C764D" w14:textId="77777777" w:rsidR="005C5EB1" w:rsidRPr="007F41C5" w:rsidRDefault="005C5EB1" w:rsidP="005C5EB1">
      <w:pPr>
        <w:rPr>
          <w:rFonts w:cs="Arial"/>
          <w:sz w:val="22"/>
          <w:u w:val="single"/>
        </w:rPr>
      </w:pPr>
    </w:p>
    <w:p w14:paraId="20A346E9" w14:textId="77777777" w:rsidR="005C5EB1" w:rsidRPr="007F41C5" w:rsidRDefault="005C5EB1" w:rsidP="002378EA">
      <w:pPr>
        <w:numPr>
          <w:ilvl w:val="0"/>
          <w:numId w:val="153"/>
        </w:numPr>
        <w:tabs>
          <w:tab w:val="left" w:pos="0"/>
        </w:tabs>
        <w:rPr>
          <w:rFonts w:cs="Arial"/>
          <w:sz w:val="22"/>
        </w:rPr>
      </w:pPr>
      <w:r>
        <w:rPr>
          <w:rFonts w:cs="Arial"/>
          <w:sz w:val="22"/>
        </w:rPr>
        <w:t xml:space="preserve">Dilongolola ne ditabuja dia mukanda wa kolonda anyi </w:t>
      </w:r>
      <w:r w:rsidRPr="007F41C5">
        <w:rPr>
          <w:rFonts w:cs="Arial"/>
          <w:sz w:val="22"/>
        </w:rPr>
        <w:t>TDR</w:t>
      </w:r>
      <w:r>
        <w:rPr>
          <w:rFonts w:cs="Arial"/>
          <w:sz w:val="22"/>
        </w:rPr>
        <w:t> ;</w:t>
      </w:r>
    </w:p>
    <w:p w14:paraId="32E41171" w14:textId="77777777" w:rsidR="005C5EB1" w:rsidRPr="007F41C5" w:rsidRDefault="005C5EB1" w:rsidP="002378EA">
      <w:pPr>
        <w:numPr>
          <w:ilvl w:val="0"/>
          <w:numId w:val="153"/>
        </w:numPr>
        <w:tabs>
          <w:tab w:val="left" w:pos="0"/>
        </w:tabs>
        <w:rPr>
          <w:rFonts w:cs="Arial"/>
          <w:sz w:val="22"/>
        </w:rPr>
      </w:pPr>
      <w:r>
        <w:rPr>
          <w:rFonts w:cs="Arial"/>
          <w:sz w:val="22"/>
        </w:rPr>
        <w:lastRenderedPageBreak/>
        <w:t>Dilongolola dia mifundu ya malonga ne miyuki ne bantu</w:t>
      </w:r>
      <w:r w:rsidRPr="007F41C5">
        <w:rPr>
          <w:rFonts w:cs="Arial"/>
          <w:sz w:val="22"/>
        </w:rPr>
        <w:t> (bénéficiaires, personnes affectées, parties prenantes)</w:t>
      </w:r>
      <w:r>
        <w:rPr>
          <w:rFonts w:cs="Arial"/>
          <w:sz w:val="22"/>
        </w:rPr>
        <w:t> ;</w:t>
      </w:r>
    </w:p>
    <w:p w14:paraId="727DE9C0" w14:textId="77777777" w:rsidR="005C5EB1" w:rsidRPr="007F41C5" w:rsidRDefault="005C5EB1" w:rsidP="002378EA">
      <w:pPr>
        <w:numPr>
          <w:ilvl w:val="0"/>
          <w:numId w:val="153"/>
        </w:numPr>
        <w:rPr>
          <w:rFonts w:cs="Arial"/>
          <w:sz w:val="22"/>
        </w:rPr>
      </w:pPr>
      <w:r>
        <w:rPr>
          <w:rFonts w:cs="Arial"/>
          <w:sz w:val="22"/>
        </w:rPr>
        <w:t xml:space="preserve">Ditabuja dia mifundu ne dipeta dia mukanda wa Mbulamatadi wa </w:t>
      </w:r>
      <w:r w:rsidRPr="007F41C5">
        <w:rPr>
          <w:rFonts w:cs="Arial"/>
          <w:sz w:val="22"/>
        </w:rPr>
        <w:t>certificat environnemental</w:t>
      </w:r>
      <w:r>
        <w:rPr>
          <w:rFonts w:cs="Arial"/>
          <w:sz w:val="22"/>
        </w:rPr>
        <w:t> ;</w:t>
      </w:r>
    </w:p>
    <w:p w14:paraId="637D5273" w14:textId="77777777" w:rsidR="005C5EB1" w:rsidRPr="007F41C5" w:rsidRDefault="005C5EB1" w:rsidP="002378EA">
      <w:pPr>
        <w:numPr>
          <w:ilvl w:val="0"/>
          <w:numId w:val="153"/>
        </w:numPr>
        <w:rPr>
          <w:rFonts w:cs="Arial"/>
          <w:sz w:val="22"/>
        </w:rPr>
      </w:pPr>
      <w:r>
        <w:rPr>
          <w:rFonts w:cs="Arial"/>
          <w:sz w:val="22"/>
        </w:rPr>
        <w:t>Dipatula dia mifundu anyi malonga ;</w:t>
      </w:r>
    </w:p>
    <w:p w14:paraId="59D0EE9A" w14:textId="77777777" w:rsidR="005C5EB1" w:rsidRPr="007F41C5" w:rsidRDefault="005C5EB1" w:rsidP="002378EA">
      <w:pPr>
        <w:numPr>
          <w:ilvl w:val="0"/>
          <w:numId w:val="153"/>
        </w:numPr>
        <w:rPr>
          <w:rFonts w:cs="Arial"/>
          <w:sz w:val="22"/>
        </w:rPr>
      </w:pPr>
      <w:r>
        <w:rPr>
          <w:rFonts w:cs="Arial"/>
          <w:sz w:val="22"/>
        </w:rPr>
        <w:t>Dibweja munkatshi mwa mukanda wa dibikala bwa mudimu</w:t>
      </w:r>
      <w:r w:rsidRPr="007F41C5">
        <w:rPr>
          <w:rFonts w:cs="Arial"/>
          <w:sz w:val="22"/>
        </w:rPr>
        <w:t xml:space="preserve"> (DAO) </w:t>
      </w:r>
      <w:r>
        <w:rPr>
          <w:rFonts w:cs="Arial"/>
          <w:sz w:val="22"/>
        </w:rPr>
        <w:t>wa midimu</w:t>
      </w:r>
      <w:r w:rsidRPr="007F41C5">
        <w:rPr>
          <w:rFonts w:cs="Arial"/>
          <w:sz w:val="22"/>
        </w:rPr>
        <w:t xml:space="preserve">du, </w:t>
      </w:r>
      <w:r>
        <w:rPr>
          <w:rFonts w:cs="Arial"/>
          <w:sz w:val="22"/>
        </w:rPr>
        <w:t>dia malu onso akutangidila bintu bia nyungulukilu wa buloba ne nsombelu wa bantu bidi kompanyi wa mudimu ne bwa kulonda ne ntema yonso ;</w:t>
      </w:r>
    </w:p>
    <w:p w14:paraId="3F5E6835" w14:textId="77777777" w:rsidR="005C5EB1" w:rsidRPr="007F41C5" w:rsidRDefault="005C5EB1" w:rsidP="002378EA">
      <w:pPr>
        <w:numPr>
          <w:ilvl w:val="0"/>
          <w:numId w:val="153"/>
        </w:numPr>
        <w:rPr>
          <w:rFonts w:cs="Arial"/>
          <w:sz w:val="22"/>
        </w:rPr>
      </w:pPr>
      <w:r>
        <w:rPr>
          <w:rFonts w:cs="Arial"/>
          <w:sz w:val="22"/>
        </w:rPr>
        <w:t xml:space="preserve">Ditabuja dia </w:t>
      </w:r>
      <w:r w:rsidRPr="007F41C5">
        <w:rPr>
          <w:rFonts w:cs="Arial"/>
          <w:sz w:val="22"/>
        </w:rPr>
        <w:t>PGES</w:t>
      </w:r>
      <w:r>
        <w:rPr>
          <w:rFonts w:cs="Arial"/>
          <w:sz w:val="22"/>
        </w:rPr>
        <w:t xml:space="preserve"> wa kompanyi ne bena </w:t>
      </w:r>
      <w:r w:rsidRPr="007F41C5">
        <w:rPr>
          <w:rFonts w:cs="Arial"/>
          <w:sz w:val="22"/>
        </w:rPr>
        <w:t>bureau de contrôle</w:t>
      </w:r>
      <w:r>
        <w:rPr>
          <w:rFonts w:cs="Arial"/>
          <w:sz w:val="22"/>
        </w:rPr>
        <w:t> ;</w:t>
      </w:r>
    </w:p>
    <w:p w14:paraId="23D08010" w14:textId="77777777" w:rsidR="005C5EB1" w:rsidRPr="007F41C5" w:rsidRDefault="005C5EB1" w:rsidP="002378EA">
      <w:pPr>
        <w:numPr>
          <w:ilvl w:val="0"/>
          <w:numId w:val="153"/>
        </w:numPr>
        <w:rPr>
          <w:rFonts w:cs="Arial"/>
          <w:sz w:val="22"/>
        </w:rPr>
      </w:pPr>
      <w:r>
        <w:rPr>
          <w:rFonts w:cs="Arial"/>
          <w:sz w:val="22"/>
        </w:rPr>
        <w:t>Dienzela mikanu ya diunvwangana ne bena kompanyi wa dibaka ;</w:t>
      </w:r>
    </w:p>
    <w:p w14:paraId="10CDB23E" w14:textId="77777777" w:rsidR="005C5EB1" w:rsidRPr="007F41C5" w:rsidRDefault="005C5EB1" w:rsidP="002378EA">
      <w:pPr>
        <w:numPr>
          <w:ilvl w:val="0"/>
          <w:numId w:val="153"/>
        </w:numPr>
        <w:rPr>
          <w:rFonts w:cs="Arial"/>
          <w:sz w:val="22"/>
        </w:rPr>
      </w:pPr>
      <w:r>
        <w:rPr>
          <w:rFonts w:cs="Arial"/>
          <w:sz w:val="22"/>
        </w:rPr>
        <w:t>Ditangidila midimu dia munda ne dia pambelu pa kompanyi dia mushindu udi mikanu ya malu a bintu bia nyungulukilu wa buloba ne nsombelu wa bantu ilondeshibwa ;</w:t>
      </w:r>
    </w:p>
    <w:p w14:paraId="3E3BB27D" w14:textId="77777777" w:rsidR="005C5EB1" w:rsidRPr="007F41C5" w:rsidRDefault="005C5EB1" w:rsidP="002378EA">
      <w:pPr>
        <w:numPr>
          <w:ilvl w:val="0"/>
          <w:numId w:val="153"/>
        </w:numPr>
        <w:rPr>
          <w:rFonts w:cs="Arial"/>
          <w:sz w:val="22"/>
        </w:rPr>
      </w:pPr>
      <w:r w:rsidRPr="007F41C5">
        <w:rPr>
          <w:rFonts w:cs="Arial"/>
          <w:sz w:val="22"/>
        </w:rPr>
        <w:t>Di</w:t>
      </w:r>
      <w:r>
        <w:rPr>
          <w:rFonts w:cs="Arial"/>
          <w:sz w:val="22"/>
        </w:rPr>
        <w:t xml:space="preserve">patula dia lapolo wa dilondela </w:t>
      </w:r>
      <w:r w:rsidRPr="007F41C5">
        <w:rPr>
          <w:rFonts w:cs="Arial"/>
          <w:sz w:val="22"/>
        </w:rPr>
        <w:t xml:space="preserve"> (</w:t>
      </w:r>
      <w:r>
        <w:rPr>
          <w:rFonts w:cs="Arial"/>
          <w:sz w:val="22"/>
        </w:rPr>
        <w:t>wa munda ne wa pambelu</w:t>
      </w:r>
      <w:r w:rsidRPr="007F41C5">
        <w:rPr>
          <w:rFonts w:cs="Arial"/>
          <w:sz w:val="22"/>
        </w:rPr>
        <w:t>)</w:t>
      </w:r>
      <w:r>
        <w:rPr>
          <w:rFonts w:cs="Arial"/>
          <w:sz w:val="22"/>
        </w:rPr>
        <w:t> ;</w:t>
      </w:r>
    </w:p>
    <w:p w14:paraId="133B4792" w14:textId="77777777" w:rsidR="005C5EB1" w:rsidRPr="007F41C5" w:rsidRDefault="005C5EB1" w:rsidP="002378EA">
      <w:pPr>
        <w:numPr>
          <w:ilvl w:val="0"/>
          <w:numId w:val="153"/>
        </w:numPr>
        <w:rPr>
          <w:rFonts w:cs="Arial"/>
          <w:sz w:val="22"/>
        </w:rPr>
      </w:pPr>
      <w:r>
        <w:rPr>
          <w:rFonts w:cs="Arial"/>
          <w:sz w:val="22"/>
        </w:rPr>
        <w:t xml:space="preserve">Dilondela dia malu a bintu bia nyungulukilu wa buloba ne nsombelu wa bantu </w:t>
      </w:r>
      <w:r w:rsidRPr="007F41C5">
        <w:rPr>
          <w:rFonts w:cs="Arial"/>
          <w:sz w:val="22"/>
        </w:rPr>
        <w:t>(</w:t>
      </w:r>
      <w:r>
        <w:rPr>
          <w:rFonts w:cs="Arial"/>
          <w:sz w:val="22"/>
        </w:rPr>
        <w:t>dia munda ne dia pambelu</w:t>
      </w:r>
      <w:r w:rsidRPr="007F41C5">
        <w:rPr>
          <w:rFonts w:cs="Arial"/>
          <w:sz w:val="22"/>
        </w:rPr>
        <w:t>)</w:t>
      </w:r>
      <w:r>
        <w:rPr>
          <w:rFonts w:cs="Arial"/>
          <w:sz w:val="22"/>
        </w:rPr>
        <w:t> ;</w:t>
      </w:r>
    </w:p>
    <w:p w14:paraId="64355D91" w14:textId="77777777" w:rsidR="005C5EB1" w:rsidRPr="007F41C5" w:rsidRDefault="005C5EB1" w:rsidP="002378EA">
      <w:pPr>
        <w:numPr>
          <w:ilvl w:val="0"/>
          <w:numId w:val="153"/>
        </w:numPr>
        <w:rPr>
          <w:rFonts w:cs="Arial"/>
          <w:sz w:val="22"/>
        </w:rPr>
      </w:pPr>
      <w:r>
        <w:rPr>
          <w:rFonts w:cs="Arial"/>
          <w:sz w:val="22"/>
        </w:rPr>
        <w:t xml:space="preserve">Dipatula lapolo lwa dilonda edi </w:t>
      </w:r>
      <w:r w:rsidRPr="007F41C5">
        <w:rPr>
          <w:rFonts w:cs="Arial"/>
          <w:sz w:val="22"/>
        </w:rPr>
        <w:t>(</w:t>
      </w:r>
      <w:r>
        <w:rPr>
          <w:rFonts w:cs="Arial"/>
          <w:sz w:val="22"/>
        </w:rPr>
        <w:t>dia munda ne dia pambelu</w:t>
      </w:r>
      <w:r w:rsidRPr="007F41C5">
        <w:rPr>
          <w:rFonts w:cs="Arial"/>
          <w:sz w:val="22"/>
        </w:rPr>
        <w:t>)</w:t>
      </w:r>
      <w:r>
        <w:rPr>
          <w:rFonts w:cs="Arial"/>
          <w:sz w:val="22"/>
        </w:rPr>
        <w:t> ;</w:t>
      </w:r>
    </w:p>
    <w:p w14:paraId="6E535FFC" w14:textId="77777777" w:rsidR="005C5EB1" w:rsidRPr="007F41C5" w:rsidRDefault="005C5EB1" w:rsidP="002378EA">
      <w:pPr>
        <w:numPr>
          <w:ilvl w:val="0"/>
          <w:numId w:val="153"/>
        </w:numPr>
        <w:rPr>
          <w:rFonts w:cs="Arial"/>
          <w:sz w:val="22"/>
        </w:rPr>
      </w:pPr>
      <w:r>
        <w:rPr>
          <w:rFonts w:cs="Arial"/>
          <w:sz w:val="22"/>
        </w:rPr>
        <w:t>Dikolesha menji a aba bonso benzela mushindu wa kulondela bintu bia nyungulukilu wa buloba ne nsombelu wa bukwa bantu (PGES) ;</w:t>
      </w:r>
    </w:p>
    <w:p w14:paraId="0F963E5C" w14:textId="77777777" w:rsidR="005C5EB1" w:rsidRDefault="005C5EB1" w:rsidP="002378EA">
      <w:pPr>
        <w:numPr>
          <w:ilvl w:val="0"/>
          <w:numId w:val="153"/>
        </w:numPr>
        <w:tabs>
          <w:tab w:val="left" w:pos="0"/>
        </w:tabs>
        <w:spacing w:line="240" w:lineRule="auto"/>
        <w:rPr>
          <w:rFonts w:cs="Arial"/>
          <w:sz w:val="22"/>
        </w:rPr>
      </w:pPr>
      <w:r w:rsidRPr="00DD59E4">
        <w:rPr>
          <w:rFonts w:cs="Arial"/>
          <w:sz w:val="22"/>
        </w:rPr>
        <w:t xml:space="preserve">Ditangidla dienzela dia mikanu ya kutangidila bintu bia nyungulukilu wa buloba ne nsombelu wa bukwa bantu. </w:t>
      </w:r>
    </w:p>
    <w:p w14:paraId="11E313FC" w14:textId="77777777" w:rsidR="005C5EB1" w:rsidRPr="00DD59E4" w:rsidRDefault="005C5EB1" w:rsidP="005C5EB1">
      <w:pPr>
        <w:tabs>
          <w:tab w:val="left" w:pos="0"/>
        </w:tabs>
        <w:spacing w:line="240" w:lineRule="auto"/>
        <w:ind w:left="720"/>
        <w:rPr>
          <w:rFonts w:cs="Arial"/>
          <w:sz w:val="22"/>
        </w:rPr>
      </w:pPr>
    </w:p>
    <w:p w14:paraId="4F8265BD" w14:textId="77777777" w:rsidR="005C5EB1" w:rsidRPr="007F41C5" w:rsidRDefault="005C5EB1" w:rsidP="005C5EB1">
      <w:pPr>
        <w:spacing w:line="240" w:lineRule="auto"/>
        <w:ind w:left="360"/>
        <w:rPr>
          <w:rFonts w:cs="Arial"/>
          <w:i/>
          <w:sz w:val="22"/>
          <w:u w:val="single"/>
        </w:rPr>
      </w:pPr>
      <w:r w:rsidRPr="00963248">
        <w:rPr>
          <w:rFonts w:cs="Arial"/>
          <w:i/>
          <w:sz w:val="22"/>
        </w:rPr>
        <w:t xml:space="preserve">5.2. </w:t>
      </w:r>
      <w:r>
        <w:rPr>
          <w:rFonts w:cs="Arial"/>
          <w:i/>
          <w:sz w:val="22"/>
          <w:u w:val="single"/>
        </w:rPr>
        <w:t xml:space="preserve">Bilejelu bia dienzela mifundu ya </w:t>
      </w:r>
      <w:r w:rsidRPr="007F41C5">
        <w:rPr>
          <w:rFonts w:cs="Arial"/>
          <w:i/>
          <w:sz w:val="22"/>
          <w:u w:val="single"/>
        </w:rPr>
        <w:t xml:space="preserve">CGES </w:t>
      </w:r>
    </w:p>
    <w:p w14:paraId="5885F088" w14:textId="77777777" w:rsidR="005C5EB1" w:rsidRPr="007F41C5" w:rsidRDefault="005C5EB1" w:rsidP="005C5EB1">
      <w:pPr>
        <w:spacing w:line="240" w:lineRule="auto"/>
        <w:rPr>
          <w:rFonts w:eastAsia="Calibri" w:cs="Arial"/>
          <w:bCs/>
          <w:sz w:val="22"/>
        </w:rPr>
      </w:pPr>
    </w:p>
    <w:p w14:paraId="25696853" w14:textId="77777777" w:rsidR="005C5EB1" w:rsidRPr="007F41C5" w:rsidRDefault="005C5EB1" w:rsidP="005C5EB1">
      <w:pPr>
        <w:spacing w:line="240" w:lineRule="auto"/>
        <w:rPr>
          <w:rFonts w:cs="Arial"/>
          <w:bCs/>
          <w:sz w:val="22"/>
        </w:rPr>
      </w:pPr>
      <w:r>
        <w:rPr>
          <w:rFonts w:eastAsia="Calibri" w:cs="Arial"/>
          <w:bCs/>
          <w:sz w:val="22"/>
        </w:rPr>
        <w:t xml:space="preserve">Mushindu wakulondela ne umweneshe malu adi ne tshakulondibwa, mapangidika bwa ku alondela, ne nganyi udi ne bukokeshi bwa ku alondela, ne tshikondo tsha ku alondela. Kipatshila ka mushindu wa kulondela malu a bintu bia nyungulukilu wa buloba ne nsombelu wa bantu kadi bwa kwakikija ne mikandu miangata yonso idi mitumikila kulondangana ne mapangidika a mudimu. Kebwalu kayi, bimanyinu ne bilejelu bidi biangatshibwa kebidi bilonda ebi : </w:t>
      </w:r>
    </w:p>
    <w:p w14:paraId="57D4069A" w14:textId="77777777" w:rsidR="005C5EB1" w:rsidRPr="007F41C5" w:rsidRDefault="005C5EB1" w:rsidP="005C5EB1">
      <w:pPr>
        <w:spacing w:line="240" w:lineRule="auto"/>
        <w:rPr>
          <w:rFonts w:cs="Arial"/>
          <w:bCs/>
          <w:sz w:val="22"/>
        </w:rPr>
      </w:pPr>
    </w:p>
    <w:p w14:paraId="7C0E2299" w14:textId="77777777" w:rsidR="005C5EB1" w:rsidRDefault="005C5EB1" w:rsidP="002378EA">
      <w:pPr>
        <w:numPr>
          <w:ilvl w:val="0"/>
          <w:numId w:val="28"/>
        </w:numPr>
        <w:autoSpaceDE w:val="0"/>
        <w:autoSpaceDN w:val="0"/>
        <w:adjustRightInd w:val="0"/>
        <w:rPr>
          <w:rFonts w:eastAsia="Calibri" w:cs="Arial"/>
          <w:sz w:val="22"/>
        </w:rPr>
      </w:pPr>
      <w:r w:rsidRPr="003E4F6D">
        <w:rPr>
          <w:rFonts w:eastAsia="Calibri" w:cs="Arial"/>
          <w:sz w:val="22"/>
        </w:rPr>
        <w:t xml:space="preserve">biludiki bia kulondela kudi kasumbu ka dilombola dia mudimu ; </w:t>
      </w:r>
    </w:p>
    <w:p w14:paraId="455253EC" w14:textId="77777777" w:rsidR="005C5EB1" w:rsidRPr="003E4F6D" w:rsidRDefault="005C5EB1" w:rsidP="002378EA">
      <w:pPr>
        <w:numPr>
          <w:ilvl w:val="0"/>
          <w:numId w:val="28"/>
        </w:numPr>
        <w:autoSpaceDE w:val="0"/>
        <w:autoSpaceDN w:val="0"/>
        <w:adjustRightInd w:val="0"/>
        <w:rPr>
          <w:rFonts w:eastAsia="Calibri" w:cs="Arial"/>
          <w:sz w:val="22"/>
        </w:rPr>
      </w:pPr>
      <w:r>
        <w:rPr>
          <w:rFonts w:eastAsia="Calibri" w:cs="Arial"/>
          <w:sz w:val="22"/>
        </w:rPr>
        <w:t>dienjibwa dia disungula dia malu a bintu bia nyungulukilu wa buloba ne nsombelu wa bantu</w:t>
      </w:r>
      <w:r w:rsidRPr="003E4F6D">
        <w:rPr>
          <w:rFonts w:eastAsia="Calibri" w:cs="Arial"/>
          <w:sz w:val="22"/>
        </w:rPr>
        <w:t xml:space="preserve"> (Screening) </w:t>
      </w:r>
      <w:r>
        <w:rPr>
          <w:rFonts w:eastAsia="Calibri" w:cs="Arial"/>
          <w:sz w:val="22"/>
        </w:rPr>
        <w:t>bwa midimu yonso</w:t>
      </w:r>
      <w:r w:rsidRPr="003E4F6D">
        <w:rPr>
          <w:rFonts w:eastAsia="Calibri" w:cs="Arial"/>
          <w:sz w:val="22"/>
        </w:rPr>
        <w:t xml:space="preserve"> ;</w:t>
      </w:r>
    </w:p>
    <w:p w14:paraId="026A66D2" w14:textId="77777777" w:rsidR="005C5EB1" w:rsidRPr="007F41C5" w:rsidRDefault="005C5EB1" w:rsidP="002378EA">
      <w:pPr>
        <w:numPr>
          <w:ilvl w:val="0"/>
          <w:numId w:val="28"/>
        </w:numPr>
        <w:autoSpaceDE w:val="0"/>
        <w:autoSpaceDN w:val="0"/>
        <w:adjustRightInd w:val="0"/>
        <w:rPr>
          <w:rFonts w:eastAsia="Calibri" w:cs="Arial"/>
          <w:sz w:val="22"/>
        </w:rPr>
      </w:pPr>
      <w:r>
        <w:rPr>
          <w:rFonts w:eastAsia="Calibri" w:cs="Arial"/>
          <w:sz w:val="22"/>
        </w:rPr>
        <w:t xml:space="preserve">dienjibwa dia bulondedi malu a bintu bia nyungulukilu wa buloba ne nsombelu wa bantu ne difunda dia lapolo </w:t>
      </w:r>
      <w:r w:rsidRPr="007F41C5">
        <w:rPr>
          <w:rFonts w:eastAsia="Calibri" w:cs="Arial"/>
          <w:sz w:val="22"/>
        </w:rPr>
        <w:t>« reporting » ;</w:t>
      </w:r>
    </w:p>
    <w:p w14:paraId="46F730D9" w14:textId="77777777" w:rsidR="005C5EB1" w:rsidRPr="007F41C5" w:rsidRDefault="005C5EB1" w:rsidP="002378EA">
      <w:pPr>
        <w:numPr>
          <w:ilvl w:val="0"/>
          <w:numId w:val="28"/>
        </w:numPr>
        <w:autoSpaceDE w:val="0"/>
        <w:autoSpaceDN w:val="0"/>
        <w:adjustRightInd w:val="0"/>
        <w:rPr>
          <w:rFonts w:eastAsia="Calibri" w:cs="Arial"/>
          <w:sz w:val="22"/>
        </w:rPr>
      </w:pPr>
      <w:r>
        <w:rPr>
          <w:rFonts w:eastAsia="Calibri" w:cs="Arial"/>
          <w:sz w:val="22"/>
        </w:rPr>
        <w:t>Ditumikila malongolola a dimanyisha ne disopesha bantu bwa malu adi munda mwa malonga a CGES ;</w:t>
      </w:r>
    </w:p>
    <w:p w14:paraId="1419D545" w14:textId="77777777" w:rsidR="005C5EB1" w:rsidRPr="007F41C5" w:rsidRDefault="005C5EB1" w:rsidP="002378EA">
      <w:pPr>
        <w:numPr>
          <w:ilvl w:val="0"/>
          <w:numId w:val="28"/>
        </w:numPr>
        <w:autoSpaceDE w:val="0"/>
        <w:autoSpaceDN w:val="0"/>
        <w:adjustRightInd w:val="0"/>
        <w:rPr>
          <w:rFonts w:eastAsia="Calibri" w:cs="Arial"/>
          <w:sz w:val="22"/>
        </w:rPr>
      </w:pPr>
      <w:r>
        <w:rPr>
          <w:rFonts w:eastAsia="Calibri" w:cs="Arial"/>
          <w:sz w:val="22"/>
        </w:rPr>
        <w:t xml:space="preserve">biludiki bia kulonda bwa SSE ne kabidi bwa </w:t>
      </w:r>
      <w:r w:rsidRPr="007F41C5">
        <w:rPr>
          <w:rFonts w:eastAsia="Calibri" w:cs="Arial"/>
          <w:sz w:val="22"/>
        </w:rPr>
        <w:t>SSS/PNDA</w:t>
      </w:r>
      <w:r>
        <w:rPr>
          <w:rFonts w:eastAsia="Calibri" w:cs="Arial"/>
          <w:sz w:val="22"/>
        </w:rPr>
        <w:t> ;</w:t>
      </w:r>
    </w:p>
    <w:p w14:paraId="3E1779C7" w14:textId="77777777" w:rsidR="005C5EB1" w:rsidRPr="007F41C5" w:rsidRDefault="005C5EB1" w:rsidP="002378EA">
      <w:pPr>
        <w:numPr>
          <w:ilvl w:val="0"/>
          <w:numId w:val="28"/>
        </w:numPr>
        <w:autoSpaceDE w:val="0"/>
        <w:autoSpaceDN w:val="0"/>
        <w:adjustRightInd w:val="0"/>
        <w:rPr>
          <w:rFonts w:eastAsia="Calibri" w:cs="Arial"/>
          <w:sz w:val="22"/>
        </w:rPr>
      </w:pPr>
      <w:r>
        <w:rPr>
          <w:rFonts w:eastAsia="Calibri" w:cs="Arial"/>
          <w:sz w:val="22"/>
        </w:rPr>
        <w:t xml:space="preserve">dibweja dia malu a bintu bia nyungulukilu wa buloba ne nsombelu wa bantu mu mifundu ya dienzesha mudimu </w:t>
      </w:r>
      <w:r w:rsidRPr="007F41C5">
        <w:rPr>
          <w:rFonts w:eastAsia="Calibri" w:cs="Arial"/>
          <w:sz w:val="22"/>
        </w:rPr>
        <w:t>;</w:t>
      </w:r>
    </w:p>
    <w:p w14:paraId="25A7AC99" w14:textId="77777777" w:rsidR="005C5EB1" w:rsidRPr="007F41C5" w:rsidRDefault="005C5EB1" w:rsidP="002378EA">
      <w:pPr>
        <w:numPr>
          <w:ilvl w:val="0"/>
          <w:numId w:val="28"/>
        </w:numPr>
        <w:autoSpaceDE w:val="0"/>
        <w:autoSpaceDN w:val="0"/>
        <w:adjustRightInd w:val="0"/>
        <w:rPr>
          <w:rFonts w:eastAsia="Calibri" w:cs="Arial"/>
          <w:sz w:val="22"/>
        </w:rPr>
      </w:pPr>
      <w:r>
        <w:rPr>
          <w:rFonts w:eastAsia="Calibri" w:cs="Arial"/>
          <w:sz w:val="22"/>
        </w:rPr>
        <w:t xml:space="preserve">bungi bwa kompanyi idi inemeka malu a bintu bia nyungulukilu wa buloba ne nsombelu wa bantu mu midimu yabu </w:t>
      </w:r>
      <w:r w:rsidRPr="007F41C5">
        <w:rPr>
          <w:rFonts w:eastAsia="Calibri" w:cs="Arial"/>
          <w:sz w:val="22"/>
        </w:rPr>
        <w:t>;</w:t>
      </w:r>
    </w:p>
    <w:p w14:paraId="2C95333D" w14:textId="77777777" w:rsidR="005C5EB1" w:rsidRPr="007F41C5" w:rsidRDefault="005C5EB1" w:rsidP="002378EA">
      <w:pPr>
        <w:numPr>
          <w:ilvl w:val="0"/>
          <w:numId w:val="28"/>
        </w:numPr>
        <w:autoSpaceDE w:val="0"/>
        <w:autoSpaceDN w:val="0"/>
        <w:adjustRightInd w:val="0"/>
        <w:rPr>
          <w:rFonts w:eastAsia="Calibri" w:cs="Arial"/>
          <w:sz w:val="22"/>
        </w:rPr>
      </w:pPr>
      <w:r>
        <w:rPr>
          <w:rFonts w:eastAsia="Calibri" w:cs="Arial"/>
          <w:sz w:val="22"/>
        </w:rPr>
        <w:t xml:space="preserve">bungi bwa bantu balongesha ne ba sopesha bwa malu a bintu bia nyungulukilu wa buloba ne nsombelu wa bantu </w:t>
      </w:r>
      <w:r w:rsidRPr="007F41C5">
        <w:rPr>
          <w:rFonts w:eastAsia="Calibri" w:cs="Arial"/>
          <w:sz w:val="22"/>
        </w:rPr>
        <w:t>;</w:t>
      </w:r>
    </w:p>
    <w:p w14:paraId="72DB73D6" w14:textId="77777777" w:rsidR="005C5EB1" w:rsidRPr="007F41C5" w:rsidRDefault="005C5EB1" w:rsidP="002378EA">
      <w:pPr>
        <w:numPr>
          <w:ilvl w:val="0"/>
          <w:numId w:val="28"/>
        </w:numPr>
        <w:autoSpaceDE w:val="0"/>
        <w:autoSpaceDN w:val="0"/>
        <w:adjustRightInd w:val="0"/>
        <w:rPr>
          <w:rFonts w:eastAsia="Calibri" w:cs="Arial"/>
          <w:sz w:val="22"/>
        </w:rPr>
      </w:pPr>
      <w:r>
        <w:rPr>
          <w:rFonts w:eastAsia="Calibri" w:cs="Arial"/>
          <w:sz w:val="22"/>
        </w:rPr>
        <w:t xml:space="preserve">Mushindu wa didipesha dia bena </w:t>
      </w:r>
      <w:r w:rsidRPr="007F41C5">
        <w:rPr>
          <w:rFonts w:eastAsia="Calibri" w:cs="Arial"/>
          <w:sz w:val="22"/>
        </w:rPr>
        <w:t xml:space="preserve">CPE </w:t>
      </w:r>
      <w:r>
        <w:rPr>
          <w:rFonts w:eastAsia="Calibri" w:cs="Arial"/>
          <w:sz w:val="22"/>
        </w:rPr>
        <w:t>mu mudimu wa dilondela dienzesha dia midimu</w:t>
      </w:r>
      <w:r w:rsidRPr="007F41C5">
        <w:rPr>
          <w:rFonts w:eastAsia="Calibri" w:cs="Arial"/>
          <w:sz w:val="22"/>
        </w:rPr>
        <w:t>;</w:t>
      </w:r>
    </w:p>
    <w:p w14:paraId="67F7E049" w14:textId="77777777" w:rsidR="005C5EB1" w:rsidRPr="007F41C5" w:rsidRDefault="005C5EB1" w:rsidP="002378EA">
      <w:pPr>
        <w:numPr>
          <w:ilvl w:val="0"/>
          <w:numId w:val="28"/>
        </w:numPr>
        <w:autoSpaceDE w:val="0"/>
        <w:autoSpaceDN w:val="0"/>
        <w:adjustRightInd w:val="0"/>
        <w:rPr>
          <w:rFonts w:eastAsia="Calibri" w:cs="Arial"/>
          <w:sz w:val="22"/>
        </w:rPr>
      </w:pPr>
      <w:r>
        <w:rPr>
          <w:rFonts w:eastAsia="Calibri" w:cs="Arial"/>
          <w:sz w:val="22"/>
        </w:rPr>
        <w:t>bungi bwa bisangilu bia disopesha ne dimanyisha bantu</w:t>
      </w:r>
      <w:r w:rsidRPr="007F41C5">
        <w:rPr>
          <w:rFonts w:eastAsia="Calibri" w:cs="Arial"/>
          <w:sz w:val="22"/>
        </w:rPr>
        <w:t xml:space="preserve"> ;</w:t>
      </w:r>
    </w:p>
    <w:p w14:paraId="2B6440FD" w14:textId="77777777" w:rsidR="005C5EB1" w:rsidRPr="007F41C5" w:rsidRDefault="005C5EB1" w:rsidP="002378EA">
      <w:pPr>
        <w:numPr>
          <w:ilvl w:val="0"/>
          <w:numId w:val="28"/>
        </w:numPr>
        <w:autoSpaceDE w:val="0"/>
        <w:autoSpaceDN w:val="0"/>
        <w:adjustRightInd w:val="0"/>
        <w:rPr>
          <w:rFonts w:eastAsia="Calibri" w:cs="Arial"/>
          <w:sz w:val="22"/>
        </w:rPr>
      </w:pPr>
      <w:r>
        <w:rPr>
          <w:rFonts w:eastAsia="Calibri" w:cs="Arial"/>
          <w:sz w:val="22"/>
        </w:rPr>
        <w:t>Dilondela dia midimu dia dituku ne dituku dia misangu yonso ;</w:t>
      </w:r>
    </w:p>
    <w:p w14:paraId="401DF60A" w14:textId="77777777" w:rsidR="005C5EB1" w:rsidRPr="007F41C5" w:rsidRDefault="005C5EB1" w:rsidP="002378EA">
      <w:pPr>
        <w:numPr>
          <w:ilvl w:val="0"/>
          <w:numId w:val="29"/>
        </w:numPr>
        <w:autoSpaceDE w:val="0"/>
        <w:autoSpaceDN w:val="0"/>
        <w:adjustRightInd w:val="0"/>
        <w:rPr>
          <w:rFonts w:cs="Arial"/>
          <w:sz w:val="22"/>
        </w:rPr>
      </w:pPr>
      <w:r>
        <w:rPr>
          <w:rFonts w:cs="Arial"/>
          <w:sz w:val="22"/>
        </w:rPr>
        <w:t>bungi bwa midimu idi ne malonga a</w:t>
      </w:r>
      <w:r w:rsidRPr="007F41C5">
        <w:rPr>
          <w:rFonts w:cs="Arial"/>
          <w:sz w:val="22"/>
        </w:rPr>
        <w:t xml:space="preserve"> EIES </w:t>
      </w:r>
      <w:r>
        <w:rPr>
          <w:rFonts w:cs="Arial"/>
          <w:sz w:val="22"/>
        </w:rPr>
        <w:t xml:space="preserve">ne ma </w:t>
      </w:r>
      <w:r w:rsidRPr="007F41C5">
        <w:rPr>
          <w:rFonts w:cs="Arial"/>
          <w:sz w:val="22"/>
        </w:rPr>
        <w:t xml:space="preserve">PGES </w:t>
      </w:r>
      <w:r>
        <w:rPr>
          <w:rFonts w:cs="Arial"/>
          <w:sz w:val="22"/>
        </w:rPr>
        <w:t>bienzela</w:t>
      </w:r>
      <w:r w:rsidRPr="007F41C5">
        <w:rPr>
          <w:rFonts w:cs="Arial"/>
          <w:sz w:val="22"/>
        </w:rPr>
        <w:t> ;</w:t>
      </w:r>
    </w:p>
    <w:p w14:paraId="5874A616" w14:textId="77777777" w:rsidR="005C5EB1" w:rsidRPr="007F41C5" w:rsidRDefault="005C5EB1" w:rsidP="002378EA">
      <w:pPr>
        <w:numPr>
          <w:ilvl w:val="0"/>
          <w:numId w:val="29"/>
        </w:numPr>
        <w:autoSpaceDE w:val="0"/>
        <w:autoSpaceDN w:val="0"/>
        <w:adjustRightInd w:val="0"/>
        <w:rPr>
          <w:rFonts w:cs="Arial"/>
          <w:sz w:val="22"/>
        </w:rPr>
      </w:pPr>
      <w:r>
        <w:rPr>
          <w:rFonts w:cs="Arial"/>
          <w:sz w:val="22"/>
        </w:rPr>
        <w:t>bungi bwa bisangilu bia dikolesha menji a bantu ne bena mudimu bidi bienzeke</w:t>
      </w:r>
      <w:r w:rsidRPr="007F41C5">
        <w:rPr>
          <w:rFonts w:cs="Arial"/>
          <w:sz w:val="22"/>
        </w:rPr>
        <w:t> ;</w:t>
      </w:r>
    </w:p>
    <w:p w14:paraId="0E148CA3" w14:textId="77777777" w:rsidR="005C5EB1" w:rsidRPr="007F41C5" w:rsidRDefault="005C5EB1" w:rsidP="002378EA">
      <w:pPr>
        <w:numPr>
          <w:ilvl w:val="0"/>
          <w:numId w:val="29"/>
        </w:numPr>
        <w:rPr>
          <w:rFonts w:cs="Arial"/>
          <w:sz w:val="22"/>
        </w:rPr>
      </w:pPr>
      <w:r>
        <w:rPr>
          <w:rFonts w:cs="Arial"/>
          <w:sz w:val="22"/>
        </w:rPr>
        <w:lastRenderedPageBreak/>
        <w:t xml:space="preserve">bungi bwa misangu ya dilondela ne ditangidila </w:t>
      </w:r>
      <w:r>
        <w:rPr>
          <w:rFonts w:eastAsia="Calibri" w:cs="Arial"/>
          <w:sz w:val="22"/>
        </w:rPr>
        <w:t>malu a bintu bia nyungulukilu wa buloba ne nsombelu wa bantu</w:t>
      </w:r>
      <w:r>
        <w:rPr>
          <w:rFonts w:cs="Arial"/>
          <w:sz w:val="22"/>
        </w:rPr>
        <w:t> ;</w:t>
      </w:r>
    </w:p>
    <w:p w14:paraId="4563F93E" w14:textId="77777777" w:rsidR="005C5EB1" w:rsidRPr="007F41C5" w:rsidRDefault="005C5EB1" w:rsidP="002378EA">
      <w:pPr>
        <w:numPr>
          <w:ilvl w:val="0"/>
          <w:numId w:val="29"/>
        </w:numPr>
        <w:rPr>
          <w:rFonts w:cs="Arial"/>
          <w:sz w:val="22"/>
        </w:rPr>
      </w:pPr>
      <w:r>
        <w:rPr>
          <w:rFonts w:cs="Arial"/>
          <w:sz w:val="22"/>
        </w:rPr>
        <w:t>bungi bwa bena mudimu ba kumisoko</w:t>
      </w:r>
      <w:r w:rsidRPr="007F41C5">
        <w:rPr>
          <w:rFonts w:cs="Arial"/>
          <w:sz w:val="22"/>
        </w:rPr>
        <w:t xml:space="preserve"> (main d’œuvre locale utilisée pour les travaux) ;</w:t>
      </w:r>
    </w:p>
    <w:p w14:paraId="275DA9EC" w14:textId="77777777" w:rsidR="005C5EB1" w:rsidRPr="007F41C5" w:rsidRDefault="005C5EB1" w:rsidP="002378EA">
      <w:pPr>
        <w:numPr>
          <w:ilvl w:val="0"/>
          <w:numId w:val="29"/>
        </w:numPr>
        <w:rPr>
          <w:rFonts w:cs="Arial"/>
          <w:sz w:val="22"/>
        </w:rPr>
      </w:pPr>
      <w:r>
        <w:rPr>
          <w:rFonts w:cs="Arial"/>
          <w:sz w:val="22"/>
        </w:rPr>
        <w:t>bungi bwa Tuyeke tudi tumbikile ku miaba itutu tusombela kuluseke lwa mudimu</w:t>
      </w:r>
      <w:r w:rsidRPr="007F41C5">
        <w:rPr>
          <w:rFonts w:cs="Arial"/>
          <w:sz w:val="22"/>
        </w:rPr>
        <w:t> ;</w:t>
      </w:r>
    </w:p>
    <w:p w14:paraId="4F4C99E0" w14:textId="77777777" w:rsidR="005C5EB1" w:rsidRPr="007F41C5" w:rsidRDefault="005C5EB1" w:rsidP="002378EA">
      <w:pPr>
        <w:numPr>
          <w:ilvl w:val="0"/>
          <w:numId w:val="29"/>
        </w:numPr>
        <w:autoSpaceDE w:val="0"/>
        <w:autoSpaceDN w:val="0"/>
        <w:adjustRightInd w:val="0"/>
        <w:jc w:val="left"/>
        <w:rPr>
          <w:rFonts w:cs="Arial"/>
          <w:sz w:val="22"/>
        </w:rPr>
      </w:pPr>
      <w:r>
        <w:rPr>
          <w:rFonts w:cs="Arial"/>
          <w:sz w:val="22"/>
        </w:rPr>
        <w:t>bungi bwa bantu bena bintu bianiangukibwa ne midimu ne bifutshibwa ku njila wa mudimu ;</w:t>
      </w:r>
    </w:p>
    <w:p w14:paraId="48B809BB" w14:textId="77777777" w:rsidR="005C5EB1" w:rsidRPr="007F41C5" w:rsidRDefault="005C5EB1" w:rsidP="002378EA">
      <w:pPr>
        <w:numPr>
          <w:ilvl w:val="0"/>
          <w:numId w:val="29"/>
        </w:numPr>
        <w:autoSpaceDE w:val="0"/>
        <w:autoSpaceDN w:val="0"/>
        <w:adjustRightInd w:val="0"/>
        <w:spacing w:line="240" w:lineRule="auto"/>
        <w:jc w:val="left"/>
        <w:rPr>
          <w:rFonts w:cs="Arial"/>
          <w:sz w:val="22"/>
        </w:rPr>
      </w:pPr>
      <w:r>
        <w:rPr>
          <w:rFonts w:cs="Arial"/>
          <w:sz w:val="22"/>
        </w:rPr>
        <w:t>bungi bwa bisangilu bia dilonsha bena mudimu bwa malu a VBG, bakaji ne balume</w:t>
      </w:r>
      <w:r w:rsidRPr="007F41C5">
        <w:rPr>
          <w:rFonts w:cs="Arial"/>
          <w:sz w:val="22"/>
        </w:rPr>
        <w:t> ;</w:t>
      </w:r>
    </w:p>
    <w:p w14:paraId="575A1F3A" w14:textId="77777777" w:rsidR="005C5EB1" w:rsidRPr="007F41C5" w:rsidRDefault="005C5EB1" w:rsidP="002378EA">
      <w:pPr>
        <w:numPr>
          <w:ilvl w:val="0"/>
          <w:numId w:val="29"/>
        </w:numPr>
        <w:autoSpaceDE w:val="0"/>
        <w:autoSpaceDN w:val="0"/>
        <w:adjustRightInd w:val="0"/>
        <w:spacing w:line="240" w:lineRule="auto"/>
        <w:jc w:val="left"/>
        <w:rPr>
          <w:rFonts w:cs="Arial"/>
          <w:sz w:val="22"/>
        </w:rPr>
      </w:pPr>
      <w:r>
        <w:rPr>
          <w:rFonts w:cs="Arial"/>
          <w:sz w:val="22"/>
        </w:rPr>
        <w:t>bungi bwa bisangilu bia kukolesha malu a VBG bwa bena mudimu</w:t>
      </w:r>
      <w:r w:rsidRPr="007F41C5">
        <w:rPr>
          <w:rFonts w:cs="Arial"/>
          <w:sz w:val="22"/>
        </w:rPr>
        <w:t> ;</w:t>
      </w:r>
    </w:p>
    <w:p w14:paraId="376CDB2C" w14:textId="77777777" w:rsidR="005C5EB1" w:rsidRPr="007F41C5" w:rsidRDefault="005C5EB1" w:rsidP="002378EA">
      <w:pPr>
        <w:numPr>
          <w:ilvl w:val="0"/>
          <w:numId w:val="29"/>
        </w:numPr>
        <w:autoSpaceDE w:val="0"/>
        <w:autoSpaceDN w:val="0"/>
        <w:adjustRightInd w:val="0"/>
        <w:spacing w:line="240" w:lineRule="auto"/>
        <w:jc w:val="left"/>
        <w:rPr>
          <w:rFonts w:cs="Arial"/>
          <w:sz w:val="22"/>
        </w:rPr>
      </w:pPr>
      <w:r>
        <w:rPr>
          <w:rFonts w:cs="Arial"/>
          <w:sz w:val="22"/>
        </w:rPr>
        <w:t xml:space="preserve">bungi bwa bantu aba batu bambulwishibwe bua malu a dibalondela bwa </w:t>
      </w:r>
      <w:r w:rsidRPr="007F41C5">
        <w:rPr>
          <w:rFonts w:cs="Arial"/>
          <w:sz w:val="22"/>
        </w:rPr>
        <w:t xml:space="preserve">PEC </w:t>
      </w:r>
      <w:r>
        <w:rPr>
          <w:rFonts w:cs="Arial"/>
          <w:sz w:val="22"/>
        </w:rPr>
        <w:t>wa mabedi ;</w:t>
      </w:r>
    </w:p>
    <w:p w14:paraId="6620FE6C" w14:textId="77777777" w:rsidR="005C5EB1" w:rsidRPr="007F41C5" w:rsidRDefault="005C5EB1" w:rsidP="002378EA">
      <w:pPr>
        <w:numPr>
          <w:ilvl w:val="0"/>
          <w:numId w:val="29"/>
        </w:numPr>
        <w:autoSpaceDE w:val="0"/>
        <w:autoSpaceDN w:val="0"/>
        <w:adjustRightInd w:val="0"/>
        <w:spacing w:line="240" w:lineRule="auto"/>
        <w:jc w:val="left"/>
        <w:rPr>
          <w:rFonts w:cs="Arial"/>
          <w:sz w:val="22"/>
        </w:rPr>
      </w:pPr>
      <w:r>
        <w:rPr>
          <w:rFonts w:cs="Arial"/>
          <w:sz w:val="22"/>
        </w:rPr>
        <w:t>bungi bwa bantu aba batu bakwatshibwe mu njila wa manga a londapu ;</w:t>
      </w:r>
    </w:p>
    <w:p w14:paraId="1ACD7477" w14:textId="77777777" w:rsidR="005C5EB1" w:rsidRPr="007F41C5" w:rsidRDefault="005C5EB1" w:rsidP="002378EA">
      <w:pPr>
        <w:numPr>
          <w:ilvl w:val="0"/>
          <w:numId w:val="29"/>
        </w:numPr>
        <w:autoSpaceDE w:val="0"/>
        <w:autoSpaceDN w:val="0"/>
        <w:adjustRightInd w:val="0"/>
        <w:spacing w:line="240" w:lineRule="auto"/>
        <w:jc w:val="left"/>
        <w:rPr>
          <w:rFonts w:cs="Arial"/>
          <w:sz w:val="22"/>
        </w:rPr>
      </w:pPr>
      <w:r>
        <w:rPr>
          <w:rFonts w:cs="Arial"/>
          <w:sz w:val="22"/>
        </w:rPr>
        <w:t>bungi bwa bantu badi bambulwishibwa ne mibelu mishilangane bwa PEC ;</w:t>
      </w:r>
    </w:p>
    <w:p w14:paraId="56F9BD0A" w14:textId="77777777" w:rsidR="005C5EB1" w:rsidRPr="007F41C5" w:rsidRDefault="005C5EB1" w:rsidP="002378EA">
      <w:pPr>
        <w:numPr>
          <w:ilvl w:val="0"/>
          <w:numId w:val="29"/>
        </w:numPr>
        <w:autoSpaceDE w:val="0"/>
        <w:autoSpaceDN w:val="0"/>
        <w:adjustRightInd w:val="0"/>
        <w:spacing w:line="240" w:lineRule="auto"/>
        <w:jc w:val="left"/>
        <w:rPr>
          <w:rFonts w:cs="Arial"/>
          <w:sz w:val="22"/>
        </w:rPr>
      </w:pPr>
      <w:r>
        <w:rPr>
          <w:rFonts w:cs="Arial"/>
          <w:sz w:val="22"/>
        </w:rPr>
        <w:t>bungi bwa bantu batuma bwa mibelu ya tubadi ;</w:t>
      </w:r>
    </w:p>
    <w:p w14:paraId="45D6113C" w14:textId="77777777" w:rsidR="005C5EB1" w:rsidRPr="005C06E3" w:rsidRDefault="005C5EB1" w:rsidP="002378EA">
      <w:pPr>
        <w:numPr>
          <w:ilvl w:val="0"/>
          <w:numId w:val="29"/>
        </w:numPr>
        <w:autoSpaceDE w:val="0"/>
        <w:autoSpaceDN w:val="0"/>
        <w:adjustRightInd w:val="0"/>
        <w:spacing w:line="240" w:lineRule="auto"/>
        <w:jc w:val="left"/>
        <w:rPr>
          <w:rFonts w:cs="Arial"/>
          <w:sz w:val="22"/>
        </w:rPr>
      </w:pPr>
      <w:r>
        <w:rPr>
          <w:rFonts w:cs="Arial"/>
          <w:sz w:val="22"/>
        </w:rPr>
        <w:t>bungi bwa bantu banyisha ne basopesha bwa malu an VBG ne a MGP ;</w:t>
      </w:r>
    </w:p>
    <w:p w14:paraId="405FF427" w14:textId="77777777" w:rsidR="005C5EB1" w:rsidRPr="007F41C5" w:rsidRDefault="005C5EB1" w:rsidP="002378EA">
      <w:pPr>
        <w:numPr>
          <w:ilvl w:val="0"/>
          <w:numId w:val="29"/>
        </w:numPr>
        <w:autoSpaceDE w:val="0"/>
        <w:autoSpaceDN w:val="0"/>
        <w:adjustRightInd w:val="0"/>
        <w:spacing w:line="240" w:lineRule="auto"/>
        <w:jc w:val="left"/>
        <w:rPr>
          <w:rFonts w:cs="Arial"/>
          <w:sz w:val="22"/>
        </w:rPr>
      </w:pPr>
      <w:r>
        <w:rPr>
          <w:rFonts w:cs="Arial"/>
          <w:sz w:val="22"/>
        </w:rPr>
        <w:t>bungi bwa bantu batangidla balume pa bwabu ne bakaji pa bwabu kulondangana ne bidimu biabu</w:t>
      </w:r>
      <w:r w:rsidRPr="007F41C5">
        <w:rPr>
          <w:rFonts w:cs="Arial"/>
          <w:sz w:val="22"/>
        </w:rPr>
        <w:t>.</w:t>
      </w:r>
    </w:p>
    <w:p w14:paraId="3C264F57" w14:textId="77777777" w:rsidR="005C5EB1" w:rsidRPr="007F41C5" w:rsidRDefault="005C5EB1" w:rsidP="005C5EB1">
      <w:pPr>
        <w:autoSpaceDE w:val="0"/>
        <w:autoSpaceDN w:val="0"/>
        <w:adjustRightInd w:val="0"/>
        <w:spacing w:line="240" w:lineRule="auto"/>
        <w:ind w:left="720"/>
        <w:rPr>
          <w:rFonts w:cs="Arial"/>
          <w:b/>
          <w:color w:val="000000"/>
          <w:sz w:val="22"/>
        </w:rPr>
      </w:pPr>
    </w:p>
    <w:p w14:paraId="24BE87E9" w14:textId="77777777" w:rsidR="005C5EB1" w:rsidRPr="007F41C5" w:rsidRDefault="005C5EB1" w:rsidP="005C5EB1">
      <w:pPr>
        <w:tabs>
          <w:tab w:val="left" w:pos="426"/>
        </w:tabs>
        <w:contextualSpacing/>
        <w:rPr>
          <w:rFonts w:cs="Arial"/>
          <w:sz w:val="22"/>
          <w:u w:val="single"/>
        </w:rPr>
      </w:pPr>
      <w:r>
        <w:rPr>
          <w:rFonts w:cs="Arial"/>
          <w:sz w:val="22"/>
          <w:u w:val="single"/>
        </w:rPr>
        <w:t>Ndongolwelu wa nzubu ya midimu bwa kwenzela malonga a</w:t>
      </w:r>
      <w:r w:rsidRPr="007F41C5">
        <w:rPr>
          <w:rFonts w:cs="Arial"/>
          <w:sz w:val="22"/>
          <w:u w:val="single"/>
        </w:rPr>
        <w:t xml:space="preserve"> PCGES :</w:t>
      </w:r>
    </w:p>
    <w:p w14:paraId="3C70BE2D" w14:textId="77777777" w:rsidR="005C5EB1" w:rsidRPr="007F41C5" w:rsidRDefault="005C5EB1" w:rsidP="005C5EB1">
      <w:pPr>
        <w:rPr>
          <w:rFonts w:cs="Arial"/>
          <w:sz w:val="22"/>
        </w:rPr>
      </w:pPr>
    </w:p>
    <w:p w14:paraId="4C3C9798" w14:textId="77777777" w:rsidR="005C5EB1" w:rsidRPr="007F41C5" w:rsidRDefault="005C5EB1" w:rsidP="002378EA">
      <w:pPr>
        <w:pStyle w:val="Paragraphedeliste"/>
        <w:keepNext/>
        <w:numPr>
          <w:ilvl w:val="1"/>
          <w:numId w:val="11"/>
        </w:numPr>
        <w:tabs>
          <w:tab w:val="left" w:pos="720"/>
        </w:tabs>
        <w:contextualSpacing w:val="0"/>
        <w:jc w:val="left"/>
        <w:outlineLvl w:val="2"/>
        <w:rPr>
          <w:rFonts w:cs="Arial"/>
          <w:vanish/>
          <w:sz w:val="22"/>
          <w:u w:val="single"/>
        </w:rPr>
      </w:pPr>
      <w:bookmarkStart w:id="109" w:name="_Toc70326724"/>
      <w:bookmarkStart w:id="110" w:name="_Toc70326957"/>
      <w:bookmarkStart w:id="111" w:name="_Toc70330320"/>
      <w:bookmarkEnd w:id="109"/>
      <w:bookmarkEnd w:id="110"/>
      <w:bookmarkEnd w:id="111"/>
    </w:p>
    <w:p w14:paraId="4B90747D" w14:textId="77777777" w:rsidR="005C5EB1" w:rsidRPr="007F41C5" w:rsidRDefault="005C5EB1" w:rsidP="002378EA">
      <w:pPr>
        <w:pStyle w:val="Paragraphedeliste"/>
        <w:keepNext/>
        <w:numPr>
          <w:ilvl w:val="1"/>
          <w:numId w:val="11"/>
        </w:numPr>
        <w:tabs>
          <w:tab w:val="left" w:pos="720"/>
        </w:tabs>
        <w:contextualSpacing w:val="0"/>
        <w:jc w:val="left"/>
        <w:outlineLvl w:val="2"/>
        <w:rPr>
          <w:rFonts w:cs="Arial"/>
          <w:vanish/>
          <w:sz w:val="22"/>
          <w:u w:val="single"/>
        </w:rPr>
      </w:pPr>
      <w:bookmarkStart w:id="112" w:name="_Toc70326725"/>
      <w:bookmarkStart w:id="113" w:name="_Toc70326958"/>
      <w:bookmarkStart w:id="114" w:name="_Toc70330321"/>
      <w:bookmarkEnd w:id="112"/>
      <w:bookmarkEnd w:id="113"/>
      <w:bookmarkEnd w:id="114"/>
    </w:p>
    <w:p w14:paraId="7FD1CA2E" w14:textId="77777777" w:rsidR="005C5EB1" w:rsidRPr="007F41C5" w:rsidRDefault="005C5EB1" w:rsidP="005C5EB1">
      <w:pPr>
        <w:autoSpaceDE w:val="0"/>
        <w:autoSpaceDN w:val="0"/>
        <w:adjustRightInd w:val="0"/>
        <w:rPr>
          <w:rFonts w:cs="Arial"/>
          <w:sz w:val="22"/>
        </w:rPr>
      </w:pPr>
      <w:r>
        <w:rPr>
          <w:rFonts w:cs="Arial"/>
          <w:sz w:val="22"/>
        </w:rPr>
        <w:t xml:space="preserve">Tulongo twa mifundu tudi tulonda etu tudi tuleja makokeshi ma pesha bantu bwa dienzela </w:t>
      </w:r>
      <w:r>
        <w:rPr>
          <w:rFonts w:eastAsia="Calibri" w:cs="Arial"/>
          <w:sz w:val="22"/>
        </w:rPr>
        <w:t>malu a bintu bia nyungulukilu wa buloba ne nsombelu wa bantu bwa midimu ya</w:t>
      </w:r>
      <w:r w:rsidRPr="007F41C5">
        <w:rPr>
          <w:rFonts w:cs="Arial"/>
          <w:sz w:val="22"/>
        </w:rPr>
        <w:t xml:space="preserve"> PNDA :</w:t>
      </w:r>
    </w:p>
    <w:p w14:paraId="2E4640B2" w14:textId="77777777" w:rsidR="005C5EB1" w:rsidRPr="007F41C5" w:rsidRDefault="005C5EB1" w:rsidP="005C5EB1">
      <w:pPr>
        <w:autoSpaceDE w:val="0"/>
        <w:autoSpaceDN w:val="0"/>
        <w:adjustRightInd w:val="0"/>
        <w:rPr>
          <w:rFonts w:cs="Arial"/>
          <w:sz w:val="22"/>
        </w:rPr>
      </w:pPr>
    </w:p>
    <w:p w14:paraId="582CBB6A" w14:textId="77777777" w:rsidR="005C5EB1" w:rsidRPr="007F41C5" w:rsidRDefault="005C5EB1" w:rsidP="002378EA">
      <w:pPr>
        <w:pStyle w:val="Paragraphedeliste"/>
        <w:numPr>
          <w:ilvl w:val="0"/>
          <w:numId w:val="29"/>
        </w:numPr>
        <w:spacing w:line="240" w:lineRule="auto"/>
        <w:jc w:val="left"/>
        <w:rPr>
          <w:rFonts w:cs="Arial"/>
          <w:i/>
          <w:color w:val="000000"/>
          <w:sz w:val="22"/>
        </w:rPr>
      </w:pPr>
      <w:r>
        <w:rPr>
          <w:rFonts w:cs="Arial"/>
          <w:i/>
          <w:color w:val="000000"/>
          <w:sz w:val="22"/>
        </w:rPr>
        <w:t>Komite tekiniki wa dilondela ne dilongolola mudimu wa PNDA (</w:t>
      </w:r>
      <w:r w:rsidRPr="007F41C5">
        <w:rPr>
          <w:rFonts w:cs="Arial"/>
          <w:i/>
          <w:color w:val="000000"/>
          <w:sz w:val="22"/>
        </w:rPr>
        <w:t>Comité Technique Préparatoire et de Suivi du PNDA</w:t>
      </w:r>
      <w:r>
        <w:rPr>
          <w:rFonts w:cs="Arial"/>
          <w:i/>
          <w:color w:val="000000"/>
          <w:sz w:val="22"/>
        </w:rPr>
        <w:t>)</w:t>
      </w:r>
      <w:r w:rsidRPr="007F41C5">
        <w:rPr>
          <w:rFonts w:cs="Arial"/>
          <w:i/>
          <w:color w:val="000000"/>
          <w:sz w:val="22"/>
        </w:rPr>
        <w:t> </w:t>
      </w:r>
    </w:p>
    <w:p w14:paraId="471EA7AD" w14:textId="77777777" w:rsidR="005C5EB1" w:rsidRPr="007F41C5" w:rsidRDefault="005C5EB1" w:rsidP="005C5EB1">
      <w:pPr>
        <w:ind w:left="360"/>
        <w:rPr>
          <w:rFonts w:cs="Arial"/>
          <w:sz w:val="22"/>
        </w:rPr>
      </w:pPr>
    </w:p>
    <w:p w14:paraId="7E136D56" w14:textId="77777777" w:rsidR="005C5EB1" w:rsidRPr="007F41C5" w:rsidRDefault="005C5EB1" w:rsidP="005C5EB1">
      <w:pPr>
        <w:rPr>
          <w:rFonts w:cs="Arial"/>
          <w:sz w:val="22"/>
        </w:rPr>
      </w:pPr>
      <w:r>
        <w:rPr>
          <w:rFonts w:cs="Arial"/>
          <w:sz w:val="22"/>
        </w:rPr>
        <w:t xml:space="preserve">Kasumbu aka ka dilongolola ne dilondela mudimu (CTPS) wa PNDA, ne kenze mudimu pamwe ne bena </w:t>
      </w:r>
      <w:r w:rsidRPr="007F41C5">
        <w:rPr>
          <w:rFonts w:cs="Arial"/>
          <w:sz w:val="22"/>
        </w:rPr>
        <w:t xml:space="preserve">UNCP/PARRSA </w:t>
      </w:r>
      <w:r>
        <w:rPr>
          <w:rFonts w:cs="Arial"/>
          <w:sz w:val="22"/>
        </w:rPr>
        <w:t>bwa kulongola malu a tekiniki ne adilondela mudimu wa</w:t>
      </w:r>
      <w:r w:rsidRPr="007F41C5">
        <w:rPr>
          <w:rFonts w:cs="Arial"/>
          <w:sz w:val="22"/>
        </w:rPr>
        <w:t xml:space="preserve"> PNDA. </w:t>
      </w:r>
    </w:p>
    <w:p w14:paraId="4A56861C" w14:textId="77777777" w:rsidR="005C5EB1" w:rsidRPr="007F41C5" w:rsidRDefault="005C5EB1" w:rsidP="005C5EB1">
      <w:pPr>
        <w:rPr>
          <w:rFonts w:cs="Arial"/>
          <w:sz w:val="22"/>
        </w:rPr>
      </w:pPr>
    </w:p>
    <w:p w14:paraId="7463C266" w14:textId="77777777" w:rsidR="005C5EB1" w:rsidRPr="007F41C5" w:rsidRDefault="005C5EB1" w:rsidP="002378EA">
      <w:pPr>
        <w:pStyle w:val="Paragraphedeliste"/>
        <w:numPr>
          <w:ilvl w:val="0"/>
          <w:numId w:val="29"/>
        </w:numPr>
        <w:spacing w:line="240" w:lineRule="auto"/>
        <w:jc w:val="left"/>
        <w:rPr>
          <w:rFonts w:cs="Arial"/>
          <w:i/>
          <w:color w:val="000000"/>
          <w:sz w:val="22"/>
        </w:rPr>
      </w:pPr>
      <w:r w:rsidRPr="007F41C5">
        <w:rPr>
          <w:rFonts w:cs="Arial"/>
          <w:i/>
          <w:color w:val="000000"/>
          <w:sz w:val="22"/>
        </w:rPr>
        <w:t xml:space="preserve">UNCP/PARRSA, UGP </w:t>
      </w:r>
      <w:r>
        <w:rPr>
          <w:rFonts w:cs="Arial"/>
          <w:i/>
          <w:color w:val="000000"/>
          <w:sz w:val="22"/>
        </w:rPr>
        <w:t>ne ksumbu ka dienzesha midimu ne mapagnidika a Mublamatadi</w:t>
      </w:r>
      <w:r w:rsidRPr="007F41C5">
        <w:rPr>
          <w:rFonts w:cs="Arial"/>
          <w:i/>
          <w:color w:val="000000"/>
          <w:sz w:val="22"/>
        </w:rPr>
        <w:t xml:space="preserve"> (CGPMP)</w:t>
      </w:r>
    </w:p>
    <w:p w14:paraId="3225C847" w14:textId="77777777" w:rsidR="005C5EB1" w:rsidRPr="007F41C5" w:rsidRDefault="005C5EB1" w:rsidP="005C5EB1">
      <w:pPr>
        <w:ind w:left="360"/>
        <w:rPr>
          <w:rFonts w:cs="Arial"/>
          <w:sz w:val="22"/>
        </w:rPr>
      </w:pPr>
    </w:p>
    <w:p w14:paraId="6E812422" w14:textId="77777777" w:rsidR="005C5EB1" w:rsidRPr="007F41C5" w:rsidRDefault="005C5EB1" w:rsidP="005C5EB1">
      <w:pPr>
        <w:rPr>
          <w:rFonts w:cs="Arial"/>
          <w:sz w:val="22"/>
        </w:rPr>
      </w:pPr>
      <w:r>
        <w:rPr>
          <w:rFonts w:cs="Arial"/>
          <w:sz w:val="22"/>
        </w:rPr>
        <w:t xml:space="preserve">Mu tshikondo tsha kulongolola mudimu ne tsha kwindila diteka pa mwaba dia tusumbu twa </w:t>
      </w:r>
      <w:r w:rsidRPr="007F41C5">
        <w:rPr>
          <w:rFonts w:cs="Arial"/>
          <w:sz w:val="22"/>
        </w:rPr>
        <w:t xml:space="preserve">UNCP/PARRSA </w:t>
      </w:r>
      <w:r>
        <w:rPr>
          <w:rFonts w:cs="Arial"/>
          <w:sz w:val="22"/>
        </w:rPr>
        <w:t xml:space="preserve">ne </w:t>
      </w:r>
      <w:r w:rsidRPr="007F41C5">
        <w:rPr>
          <w:rFonts w:cs="Arial"/>
          <w:sz w:val="22"/>
        </w:rPr>
        <w:t xml:space="preserve">UGP, </w:t>
      </w:r>
      <w:r>
        <w:rPr>
          <w:rFonts w:cs="Arial"/>
          <w:sz w:val="22"/>
        </w:rPr>
        <w:t xml:space="preserve">bimenga, ne dikwatshisha dia kasumbu kadilongolola ne batangidle malu a mudimu. </w:t>
      </w:r>
    </w:p>
    <w:p w14:paraId="6B540C1C" w14:textId="77777777" w:rsidR="005C5EB1" w:rsidRPr="007F41C5" w:rsidRDefault="005C5EB1" w:rsidP="005C5EB1">
      <w:pPr>
        <w:rPr>
          <w:rFonts w:cs="Arial"/>
          <w:sz w:val="22"/>
        </w:rPr>
      </w:pPr>
    </w:p>
    <w:p w14:paraId="12616D69" w14:textId="77777777" w:rsidR="005C5EB1" w:rsidRPr="007F41C5" w:rsidRDefault="005C5EB1" w:rsidP="005C5EB1">
      <w:pPr>
        <w:rPr>
          <w:rFonts w:cs="Arial"/>
          <w:sz w:val="22"/>
        </w:rPr>
      </w:pPr>
      <w:r>
        <w:rPr>
          <w:rFonts w:cs="Arial"/>
          <w:sz w:val="22"/>
        </w:rPr>
        <w:t xml:space="preserve">Kasumbu ka </w:t>
      </w:r>
      <w:r w:rsidRPr="007F41C5">
        <w:rPr>
          <w:rFonts w:cs="Arial"/>
          <w:sz w:val="22"/>
        </w:rPr>
        <w:t xml:space="preserve">UGP </w:t>
      </w:r>
      <w:r>
        <w:rPr>
          <w:rFonts w:cs="Arial"/>
          <w:sz w:val="22"/>
        </w:rPr>
        <w:t>ka</w:t>
      </w:r>
      <w:r w:rsidRPr="007F41C5">
        <w:rPr>
          <w:rFonts w:cs="Arial"/>
          <w:sz w:val="22"/>
        </w:rPr>
        <w:t xml:space="preserve"> PNDA </w:t>
      </w:r>
      <w:r>
        <w:rPr>
          <w:rFonts w:cs="Arial"/>
          <w:sz w:val="22"/>
        </w:rPr>
        <w:t xml:space="preserve">nekalondele ne kwakikija diangata ne mushinga </w:t>
      </w:r>
      <w:r>
        <w:rPr>
          <w:rFonts w:eastAsia="Calibri" w:cs="Arial"/>
          <w:sz w:val="22"/>
        </w:rPr>
        <w:t>malu a bintu bia nyungulukilu wa buloba ne nsombelu wa bantu  mu midimu yonso yenzeka ku tshimenga ne tshimenga</w:t>
      </w:r>
      <w:r w:rsidRPr="007F41C5">
        <w:rPr>
          <w:rFonts w:cs="Arial"/>
          <w:sz w:val="22"/>
        </w:rPr>
        <w:t>garantira</w:t>
      </w:r>
      <w:r>
        <w:rPr>
          <w:rFonts w:cs="Arial"/>
          <w:sz w:val="22"/>
        </w:rPr>
        <w:t xml:space="preserve"> </w:t>
      </w:r>
      <w:r w:rsidRPr="007F41C5">
        <w:rPr>
          <w:rFonts w:cs="Arial"/>
          <w:sz w:val="22"/>
        </w:rPr>
        <w:t xml:space="preserve">. </w:t>
      </w:r>
      <w:r>
        <w:rPr>
          <w:rFonts w:cs="Arial"/>
          <w:sz w:val="22"/>
        </w:rPr>
        <w:t xml:space="preserve">Ne kalondele ne ntema yonso dienzela malu adi mu malonga aha a </w:t>
      </w:r>
      <w:r w:rsidRPr="007F41C5">
        <w:rPr>
          <w:rFonts w:cs="Arial"/>
          <w:sz w:val="22"/>
        </w:rPr>
        <w:t xml:space="preserve"> CGES </w:t>
      </w:r>
      <w:r>
        <w:rPr>
          <w:rFonts w:cs="Arial"/>
          <w:sz w:val="22"/>
        </w:rPr>
        <w:t xml:space="preserve">ne biambulwishi bikwabu bwa kutangidila biakane </w:t>
      </w:r>
      <w:r>
        <w:rPr>
          <w:rFonts w:eastAsia="Calibri" w:cs="Arial"/>
          <w:sz w:val="22"/>
        </w:rPr>
        <w:t>malu a bintu bia nyungulukilu wa buloba ne nsombelu wa bantu ya mudimu.</w:t>
      </w:r>
      <w:r w:rsidRPr="007F41C5">
        <w:rPr>
          <w:rFonts w:cs="Arial"/>
          <w:sz w:val="22"/>
        </w:rPr>
        <w:t xml:space="preserve"> </w:t>
      </w:r>
    </w:p>
    <w:p w14:paraId="3EAF0387" w14:textId="77777777" w:rsidR="005C5EB1" w:rsidRPr="007F41C5" w:rsidRDefault="005C5EB1" w:rsidP="005C5EB1">
      <w:pPr>
        <w:rPr>
          <w:rFonts w:cs="Arial"/>
          <w:sz w:val="22"/>
        </w:rPr>
      </w:pPr>
    </w:p>
    <w:p w14:paraId="5B27163A" w14:textId="77777777" w:rsidR="005C5EB1" w:rsidRPr="007F41C5" w:rsidRDefault="005C5EB1" w:rsidP="002378EA">
      <w:pPr>
        <w:pStyle w:val="Paragraphedeliste"/>
        <w:numPr>
          <w:ilvl w:val="0"/>
          <w:numId w:val="29"/>
        </w:numPr>
        <w:spacing w:line="240" w:lineRule="auto"/>
        <w:rPr>
          <w:rFonts w:cs="Arial"/>
          <w:i/>
          <w:color w:val="000000"/>
          <w:sz w:val="22"/>
        </w:rPr>
      </w:pPr>
      <w:r w:rsidRPr="007F41C5">
        <w:rPr>
          <w:rFonts w:cs="Arial"/>
          <w:i/>
          <w:color w:val="000000"/>
          <w:sz w:val="22"/>
        </w:rPr>
        <w:t>Agence Congolaise de l’Environnement (ACE) </w:t>
      </w:r>
    </w:p>
    <w:p w14:paraId="058C9427" w14:textId="77777777" w:rsidR="005C5EB1" w:rsidRPr="007F41C5" w:rsidRDefault="005C5EB1" w:rsidP="005C5EB1">
      <w:pPr>
        <w:ind w:left="360"/>
        <w:rPr>
          <w:rFonts w:cs="Arial"/>
          <w:i/>
          <w:color w:val="000000"/>
          <w:sz w:val="22"/>
        </w:rPr>
      </w:pPr>
    </w:p>
    <w:p w14:paraId="7D1C50EA" w14:textId="77777777" w:rsidR="005C5EB1" w:rsidRPr="009B28D7" w:rsidRDefault="005C5EB1" w:rsidP="005C5EB1">
      <w:pPr>
        <w:rPr>
          <w:rFonts w:cs="Arial"/>
          <w:sz w:val="22"/>
        </w:rPr>
      </w:pPr>
      <w:r>
        <w:rPr>
          <w:rFonts w:cs="Arial"/>
          <w:color w:val="000000"/>
          <w:sz w:val="22"/>
        </w:rPr>
        <w:t xml:space="preserve">ACE ne </w:t>
      </w:r>
      <w:r w:rsidRPr="007F41C5">
        <w:rPr>
          <w:rFonts w:cs="Arial"/>
          <w:i/>
          <w:color w:val="000000"/>
          <w:sz w:val="22"/>
        </w:rPr>
        <w:t>(i)</w:t>
      </w:r>
      <w:r w:rsidRPr="007F41C5">
        <w:rPr>
          <w:rFonts w:cs="Arial"/>
          <w:color w:val="000000"/>
          <w:sz w:val="22"/>
        </w:rPr>
        <w:t xml:space="preserve"> </w:t>
      </w:r>
      <w:r>
        <w:rPr>
          <w:rFonts w:cs="Arial"/>
          <w:color w:val="000000"/>
          <w:sz w:val="22"/>
        </w:rPr>
        <w:t xml:space="preserve">alondele malu a diteka mu tubuki </w:t>
      </w:r>
      <w:r>
        <w:rPr>
          <w:rFonts w:eastAsia="Calibri" w:cs="Arial"/>
          <w:sz w:val="22"/>
        </w:rPr>
        <w:t>malu a bintu bia nyungulukilu wa buloba ne nsombelu wa bantu a midimu</w:t>
      </w:r>
      <w:r w:rsidRPr="007F41C5">
        <w:rPr>
          <w:rFonts w:cs="Arial"/>
          <w:color w:val="000000"/>
          <w:sz w:val="22"/>
        </w:rPr>
        <w:t xml:space="preserve">, </w:t>
      </w:r>
      <w:r w:rsidRPr="007F41C5">
        <w:rPr>
          <w:rFonts w:cs="Arial"/>
          <w:i/>
          <w:sz w:val="22"/>
        </w:rPr>
        <w:t>(ii)</w:t>
      </w:r>
      <w:r w:rsidRPr="007F41C5">
        <w:rPr>
          <w:rFonts w:cs="Arial"/>
          <w:sz w:val="22"/>
        </w:rPr>
        <w:t xml:space="preserve"> </w:t>
      </w:r>
      <w:r>
        <w:rPr>
          <w:rFonts w:cs="Arial"/>
          <w:sz w:val="22"/>
        </w:rPr>
        <w:t xml:space="preserve">ne itabuje mifundu yonso ya </w:t>
      </w:r>
      <w:r>
        <w:rPr>
          <w:rFonts w:eastAsia="Calibri" w:cs="Arial"/>
          <w:sz w:val="22"/>
        </w:rPr>
        <w:t>malu a bintu bia nyungulukilu wa buloba ne nsombelu wa bantu</w:t>
      </w:r>
      <w:r w:rsidRPr="007F41C5">
        <w:rPr>
          <w:rFonts w:cs="Arial"/>
          <w:sz w:val="22"/>
        </w:rPr>
        <w:t xml:space="preserve">, </w:t>
      </w:r>
      <w:r w:rsidRPr="007F41C5">
        <w:rPr>
          <w:rFonts w:cs="Arial"/>
          <w:i/>
          <w:sz w:val="22"/>
        </w:rPr>
        <w:t xml:space="preserve">(iii) </w:t>
      </w:r>
      <w:r>
        <w:rPr>
          <w:rFonts w:cs="Arial"/>
          <w:i/>
          <w:sz w:val="22"/>
        </w:rPr>
        <w:t>ne ne alondele ne bukokeshi bwa kasumbu</w:t>
      </w:r>
      <w:r w:rsidRPr="007F41C5">
        <w:rPr>
          <w:rFonts w:cs="Arial"/>
          <w:sz w:val="22"/>
        </w:rPr>
        <w:t xml:space="preserve"> CTPS, </w:t>
      </w:r>
      <w:r>
        <w:rPr>
          <w:rFonts w:eastAsia="Calibri" w:cs="Arial"/>
          <w:sz w:val="22"/>
        </w:rPr>
        <w:t xml:space="preserve">malu a bintu bia nyungulukilu wa buloba ne nsombelu wa bantu bwa midmu wa </w:t>
      </w:r>
      <w:r w:rsidRPr="007F41C5">
        <w:rPr>
          <w:rFonts w:cs="Arial"/>
          <w:sz w:val="22"/>
        </w:rPr>
        <w:t>PNDA.</w:t>
      </w:r>
    </w:p>
    <w:p w14:paraId="42591C6A" w14:textId="77777777" w:rsidR="005C5EB1" w:rsidRPr="007F41C5" w:rsidRDefault="005C5EB1" w:rsidP="005C5EB1">
      <w:pPr>
        <w:rPr>
          <w:rFonts w:cs="Arial"/>
          <w:color w:val="000000"/>
          <w:sz w:val="22"/>
        </w:rPr>
      </w:pPr>
    </w:p>
    <w:p w14:paraId="6FA3EEA3" w14:textId="77777777" w:rsidR="005C5EB1" w:rsidRPr="00730A4A" w:rsidRDefault="005C5EB1" w:rsidP="002378EA">
      <w:pPr>
        <w:pStyle w:val="Paragraphedeliste"/>
        <w:numPr>
          <w:ilvl w:val="0"/>
          <w:numId w:val="29"/>
        </w:numPr>
        <w:spacing w:line="240" w:lineRule="auto"/>
        <w:rPr>
          <w:rFonts w:cs="Arial"/>
          <w:i/>
          <w:color w:val="000000"/>
          <w:sz w:val="22"/>
        </w:rPr>
      </w:pPr>
      <w:r w:rsidRPr="00730A4A">
        <w:rPr>
          <w:rFonts w:cs="Arial"/>
          <w:i/>
          <w:color w:val="000000"/>
          <w:sz w:val="22"/>
        </w:rPr>
        <w:t xml:space="preserve">Coordinations Provinciales de l’Environnement (CPE) </w:t>
      </w:r>
    </w:p>
    <w:p w14:paraId="7F06E523" w14:textId="77777777" w:rsidR="005C5EB1" w:rsidRPr="007F41C5" w:rsidRDefault="005C5EB1" w:rsidP="005C5EB1">
      <w:pPr>
        <w:rPr>
          <w:rFonts w:cs="Arial"/>
          <w:i/>
          <w:color w:val="000000"/>
          <w:sz w:val="22"/>
        </w:rPr>
      </w:pPr>
      <w:r>
        <w:rPr>
          <w:rFonts w:cs="Arial"/>
          <w:color w:val="000000"/>
          <w:sz w:val="22"/>
        </w:rPr>
        <w:lastRenderedPageBreak/>
        <w:t xml:space="preserve">Bibambalu ebi ne bikwatshishe bimenga bidi kabiyi bianji kwikala ne bilo bia tshimenga bia ACE, ne dikwatshisha dia PNDA (bwa malongolola) ne kabidi ne dikwatshisha dia UGP (diba dia midimu), bwa kumuna mudi mwa kulongolola mudimu ne kulondela biakane tshikondo tsha dienzeja midimu. </w:t>
      </w:r>
    </w:p>
    <w:p w14:paraId="46916EB8" w14:textId="77777777" w:rsidR="005C5EB1" w:rsidRPr="007F41C5" w:rsidRDefault="005C5EB1" w:rsidP="005C5EB1">
      <w:pPr>
        <w:ind w:left="360"/>
        <w:rPr>
          <w:rFonts w:cs="Arial"/>
          <w:i/>
          <w:color w:val="000000"/>
          <w:sz w:val="22"/>
        </w:rPr>
      </w:pPr>
    </w:p>
    <w:p w14:paraId="54515E30" w14:textId="77777777" w:rsidR="005C5EB1" w:rsidRPr="007F41C5" w:rsidRDefault="005C5EB1" w:rsidP="005C5EB1">
      <w:pPr>
        <w:rPr>
          <w:rFonts w:cs="Arial"/>
          <w:color w:val="000000"/>
          <w:sz w:val="22"/>
        </w:rPr>
      </w:pPr>
      <w:r>
        <w:rPr>
          <w:rFonts w:cs="Arial"/>
          <w:color w:val="000000"/>
          <w:sz w:val="22"/>
        </w:rPr>
        <w:t>Bibambalu bikwabu bia bwela mu dienzesha dia mudimu wa</w:t>
      </w:r>
      <w:r w:rsidRPr="007F41C5">
        <w:rPr>
          <w:rFonts w:cs="Arial"/>
          <w:color w:val="000000"/>
          <w:sz w:val="22"/>
        </w:rPr>
        <w:t xml:space="preserve"> PNDA :</w:t>
      </w:r>
    </w:p>
    <w:p w14:paraId="50972D01" w14:textId="77777777" w:rsidR="005C5EB1" w:rsidRPr="007F41C5" w:rsidRDefault="005C5EB1" w:rsidP="005C5EB1">
      <w:pPr>
        <w:rPr>
          <w:rFonts w:cs="Arial"/>
          <w:color w:val="000000"/>
          <w:sz w:val="22"/>
        </w:rPr>
      </w:pPr>
    </w:p>
    <w:p w14:paraId="52A669D6" w14:textId="77777777" w:rsidR="005C5EB1" w:rsidRPr="007F41C5" w:rsidRDefault="005C5EB1" w:rsidP="002378EA">
      <w:pPr>
        <w:pStyle w:val="Paragraphedeliste"/>
        <w:numPr>
          <w:ilvl w:val="0"/>
          <w:numId w:val="25"/>
        </w:numPr>
        <w:rPr>
          <w:rFonts w:cs="Arial"/>
          <w:sz w:val="22"/>
        </w:rPr>
      </w:pPr>
      <w:r w:rsidRPr="007F41C5">
        <w:rPr>
          <w:rFonts w:cs="Arial"/>
          <w:sz w:val="22"/>
        </w:rPr>
        <w:t xml:space="preserve">Institut Congolais pour la Conservation de la Nature (ICCN) : </w:t>
      </w:r>
      <w:r>
        <w:rPr>
          <w:rFonts w:cs="Arial"/>
          <w:sz w:val="22"/>
        </w:rPr>
        <w:t xml:space="preserve">bwa kulondela malu a nyama ne a miaba mikandikibwe </w:t>
      </w:r>
      <w:r w:rsidRPr="007F41C5">
        <w:rPr>
          <w:rFonts w:cs="Arial"/>
          <w:sz w:val="22"/>
        </w:rPr>
        <w:t xml:space="preserve">; </w:t>
      </w:r>
    </w:p>
    <w:p w14:paraId="553714DA" w14:textId="77777777" w:rsidR="005C5EB1" w:rsidRPr="007F41C5" w:rsidRDefault="005C5EB1" w:rsidP="002378EA">
      <w:pPr>
        <w:pStyle w:val="Paragraphedeliste"/>
        <w:numPr>
          <w:ilvl w:val="0"/>
          <w:numId w:val="25"/>
        </w:numPr>
        <w:rPr>
          <w:rFonts w:cs="Arial"/>
          <w:sz w:val="22"/>
        </w:rPr>
      </w:pPr>
      <w:r w:rsidRPr="007F41C5">
        <w:rPr>
          <w:rFonts w:cs="Arial"/>
          <w:sz w:val="22"/>
        </w:rPr>
        <w:t xml:space="preserve">Direction de la Conservation de la Nature(DCN) : </w:t>
      </w:r>
      <w:r>
        <w:rPr>
          <w:rFonts w:cs="Arial"/>
          <w:sz w:val="22"/>
        </w:rPr>
        <w:t xml:space="preserve">bwa kulondela malu a dikosa mitshi ne dikuna mikwabu </w:t>
      </w:r>
      <w:r w:rsidRPr="007F41C5">
        <w:rPr>
          <w:rFonts w:cs="Arial"/>
          <w:sz w:val="22"/>
        </w:rPr>
        <w:t xml:space="preserve">; </w:t>
      </w:r>
    </w:p>
    <w:p w14:paraId="3D27CE6E" w14:textId="77777777" w:rsidR="005C5EB1" w:rsidRPr="007F41C5" w:rsidRDefault="005C5EB1" w:rsidP="002378EA">
      <w:pPr>
        <w:pStyle w:val="Paragraphedeliste"/>
        <w:numPr>
          <w:ilvl w:val="0"/>
          <w:numId w:val="25"/>
        </w:numPr>
        <w:rPr>
          <w:rFonts w:cs="Arial"/>
          <w:sz w:val="22"/>
        </w:rPr>
      </w:pPr>
      <w:r>
        <w:rPr>
          <w:rFonts w:cs="Arial"/>
          <w:sz w:val="22"/>
        </w:rPr>
        <w:t xml:space="preserve">Office National </w:t>
      </w:r>
      <w:r w:rsidRPr="007F41C5">
        <w:rPr>
          <w:rFonts w:cs="Arial"/>
          <w:sz w:val="22"/>
        </w:rPr>
        <w:t>de</w:t>
      </w:r>
      <w:r>
        <w:rPr>
          <w:rFonts w:cs="Arial"/>
          <w:sz w:val="22"/>
        </w:rPr>
        <w:t>s</w:t>
      </w:r>
      <w:r w:rsidRPr="007F41C5">
        <w:rPr>
          <w:rFonts w:cs="Arial"/>
          <w:sz w:val="22"/>
        </w:rPr>
        <w:t xml:space="preserve"> Voies de Desserte Agricole (</w:t>
      </w:r>
      <w:r>
        <w:rPr>
          <w:rFonts w:cs="Arial"/>
          <w:sz w:val="22"/>
        </w:rPr>
        <w:t>ON</w:t>
      </w:r>
      <w:r w:rsidRPr="007F41C5">
        <w:rPr>
          <w:rFonts w:cs="Arial"/>
          <w:sz w:val="22"/>
        </w:rPr>
        <w:t xml:space="preserve">VDA) : </w:t>
      </w:r>
      <w:r>
        <w:rPr>
          <w:rFonts w:cs="Arial"/>
          <w:sz w:val="22"/>
        </w:rPr>
        <w:t xml:space="preserve">Bwa malu a njila ya kupatwila bintu bia madimi bwa kubisumbisha </w:t>
      </w:r>
      <w:r w:rsidRPr="007F41C5">
        <w:rPr>
          <w:rFonts w:cs="Arial"/>
          <w:sz w:val="22"/>
        </w:rPr>
        <w:t xml:space="preserve">; </w:t>
      </w:r>
    </w:p>
    <w:p w14:paraId="3B2726A1" w14:textId="77777777" w:rsidR="005C5EB1" w:rsidRPr="007F41C5" w:rsidRDefault="005C5EB1" w:rsidP="002378EA">
      <w:pPr>
        <w:pStyle w:val="Paragraphedeliste"/>
        <w:numPr>
          <w:ilvl w:val="0"/>
          <w:numId w:val="25"/>
        </w:numPr>
        <w:rPr>
          <w:rFonts w:cs="Arial"/>
          <w:sz w:val="22"/>
        </w:rPr>
      </w:pPr>
      <w:r>
        <w:rPr>
          <w:rFonts w:cs="Arial"/>
          <w:sz w:val="22"/>
        </w:rPr>
        <w:t xml:space="preserve">Office National </w:t>
      </w:r>
      <w:r w:rsidRPr="007F41C5">
        <w:rPr>
          <w:rFonts w:cs="Arial"/>
          <w:sz w:val="22"/>
        </w:rPr>
        <w:t>de l’Hydraulique Rurale (</w:t>
      </w:r>
      <w:r>
        <w:rPr>
          <w:rFonts w:cs="Arial"/>
          <w:sz w:val="22"/>
        </w:rPr>
        <w:t>O</w:t>
      </w:r>
      <w:r w:rsidRPr="007F41C5">
        <w:rPr>
          <w:rFonts w:cs="Arial"/>
          <w:sz w:val="22"/>
        </w:rPr>
        <w:t xml:space="preserve">NHR) : </w:t>
      </w:r>
      <w:r>
        <w:rPr>
          <w:rFonts w:cs="Arial"/>
          <w:sz w:val="22"/>
        </w:rPr>
        <w:t>bwa kulondela malu a mayi ku misoko ;</w:t>
      </w:r>
    </w:p>
    <w:p w14:paraId="6801D211" w14:textId="77777777" w:rsidR="005C5EB1" w:rsidRPr="007F41C5" w:rsidRDefault="005C5EB1" w:rsidP="002378EA">
      <w:pPr>
        <w:pStyle w:val="Paragraphedeliste"/>
        <w:numPr>
          <w:ilvl w:val="0"/>
          <w:numId w:val="25"/>
        </w:numPr>
        <w:rPr>
          <w:rFonts w:cs="Arial"/>
          <w:sz w:val="22"/>
        </w:rPr>
      </w:pPr>
      <w:r>
        <w:rPr>
          <w:rFonts w:cs="Arial"/>
          <w:sz w:val="22"/>
        </w:rPr>
        <w:t xml:space="preserve">Ma </w:t>
      </w:r>
      <w:r w:rsidRPr="007F41C5">
        <w:rPr>
          <w:rFonts w:cs="Arial"/>
          <w:sz w:val="22"/>
        </w:rPr>
        <w:t xml:space="preserve">collectivités locales : </w:t>
      </w:r>
      <w:r>
        <w:rPr>
          <w:rFonts w:cs="Arial"/>
          <w:sz w:val="22"/>
        </w:rPr>
        <w:t xml:space="preserve">bwa kulondela dienzeja dia midimu </w:t>
      </w:r>
      <w:r w:rsidRPr="007F41C5">
        <w:rPr>
          <w:rFonts w:cs="Arial"/>
          <w:sz w:val="22"/>
        </w:rPr>
        <w:t xml:space="preserve">;  </w:t>
      </w:r>
    </w:p>
    <w:p w14:paraId="28E4BF60" w14:textId="77777777" w:rsidR="005C5EB1" w:rsidRPr="007F41C5" w:rsidRDefault="005C5EB1" w:rsidP="002378EA">
      <w:pPr>
        <w:pStyle w:val="Paragraphedeliste"/>
        <w:numPr>
          <w:ilvl w:val="0"/>
          <w:numId w:val="25"/>
        </w:numPr>
        <w:rPr>
          <w:rFonts w:cs="Arial"/>
          <w:sz w:val="22"/>
        </w:rPr>
      </w:pPr>
      <w:r>
        <w:rPr>
          <w:rFonts w:cs="Arial"/>
          <w:sz w:val="22"/>
        </w:rPr>
        <w:t>Kompanyi ya dienzesha midimu</w:t>
      </w:r>
      <w:r w:rsidRPr="007F41C5">
        <w:rPr>
          <w:rFonts w:cs="Arial"/>
          <w:sz w:val="22"/>
        </w:rPr>
        <w:t xml:space="preserve"> : </w:t>
      </w:r>
      <w:r>
        <w:rPr>
          <w:rFonts w:cs="Arial"/>
          <w:sz w:val="22"/>
        </w:rPr>
        <w:t xml:space="preserve">bwa kulondela dienzela malonga a </w:t>
      </w:r>
      <w:r w:rsidRPr="007F41C5">
        <w:rPr>
          <w:rFonts w:cs="Arial"/>
          <w:sz w:val="22"/>
        </w:rPr>
        <w:t xml:space="preserve">PGES </w:t>
      </w:r>
      <w:r>
        <w:rPr>
          <w:rFonts w:cs="Arial"/>
          <w:sz w:val="22"/>
        </w:rPr>
        <w:t>ne kupesha lapolo ya ngenzelu ewu mu njila ewu wikala mupesha bukokeshi bwa kulondela malu adi mu malonga aha</w:t>
      </w:r>
      <w:r w:rsidRPr="007F41C5">
        <w:rPr>
          <w:rFonts w:cs="Arial"/>
          <w:sz w:val="22"/>
        </w:rPr>
        <w:t xml:space="preserve"> ; </w:t>
      </w:r>
    </w:p>
    <w:p w14:paraId="6A8EA09C" w14:textId="77777777" w:rsidR="005C5EB1" w:rsidRPr="007F41C5" w:rsidRDefault="005C5EB1" w:rsidP="002378EA">
      <w:pPr>
        <w:pStyle w:val="Paragraphedeliste"/>
        <w:numPr>
          <w:ilvl w:val="0"/>
          <w:numId w:val="25"/>
        </w:numPr>
        <w:rPr>
          <w:rFonts w:cs="Arial"/>
          <w:sz w:val="22"/>
        </w:rPr>
      </w:pPr>
      <w:r>
        <w:rPr>
          <w:rFonts w:cs="Arial"/>
          <w:sz w:val="22"/>
        </w:rPr>
        <w:t>Bilo bia kulondela midimu</w:t>
      </w:r>
      <w:r w:rsidRPr="007F41C5">
        <w:rPr>
          <w:rFonts w:cs="Arial"/>
          <w:sz w:val="22"/>
        </w:rPr>
        <w:t xml:space="preserve"> : </w:t>
      </w:r>
      <w:r>
        <w:rPr>
          <w:rFonts w:cs="Arial"/>
          <w:sz w:val="22"/>
        </w:rPr>
        <w:t xml:space="preserve">bwa kulondela dienzela malonga a </w:t>
      </w:r>
      <w:r w:rsidRPr="007F41C5">
        <w:rPr>
          <w:rFonts w:cs="Arial"/>
          <w:sz w:val="22"/>
        </w:rPr>
        <w:t xml:space="preserve">PGES </w:t>
      </w:r>
      <w:r>
        <w:rPr>
          <w:rFonts w:cs="Arial"/>
          <w:sz w:val="22"/>
        </w:rPr>
        <w:t xml:space="preserve">ne kupesha lapolo lwa ngenzelu ewu kubena UGP/PNDA mu njila ewu wikala mupesha bukokeshi bwa kulondela malu adi mu malonga aha </w:t>
      </w:r>
      <w:r w:rsidRPr="007F41C5">
        <w:rPr>
          <w:rFonts w:cs="Arial"/>
          <w:sz w:val="22"/>
        </w:rPr>
        <w:t>;</w:t>
      </w:r>
    </w:p>
    <w:p w14:paraId="7CB47F99" w14:textId="77777777" w:rsidR="005C5EB1" w:rsidRPr="007F41C5" w:rsidRDefault="005C5EB1" w:rsidP="002378EA">
      <w:pPr>
        <w:pStyle w:val="Paragraphedeliste"/>
        <w:numPr>
          <w:ilvl w:val="0"/>
          <w:numId w:val="25"/>
        </w:numPr>
        <w:rPr>
          <w:rFonts w:cs="Arial"/>
          <w:sz w:val="22"/>
        </w:rPr>
      </w:pPr>
      <w:r>
        <w:rPr>
          <w:rFonts w:cs="Arial"/>
          <w:sz w:val="22"/>
        </w:rPr>
        <w:t xml:space="preserve">Ma </w:t>
      </w:r>
      <w:r w:rsidRPr="007F41C5">
        <w:rPr>
          <w:rFonts w:cs="Arial"/>
          <w:sz w:val="22"/>
        </w:rPr>
        <w:t xml:space="preserve">ONG </w:t>
      </w:r>
      <w:r>
        <w:rPr>
          <w:rFonts w:cs="Arial"/>
          <w:sz w:val="22"/>
        </w:rPr>
        <w:t xml:space="preserve">a bena </w:t>
      </w:r>
      <w:r w:rsidRPr="007F41C5">
        <w:rPr>
          <w:rFonts w:cs="Arial"/>
          <w:sz w:val="22"/>
        </w:rPr>
        <w:t xml:space="preserve">société civile </w:t>
      </w:r>
      <w:r>
        <w:rPr>
          <w:rFonts w:cs="Arial"/>
          <w:sz w:val="22"/>
        </w:rPr>
        <w:t>atu atangidila malu a madimi ne kabidi malu a VBG ne a disama dia COVID-19 : bwa kulondela bena misoko ne bienzela malonga a PGES ne kubimanyisha kudi bena bulombodi bwa mudimu wa PNDA.</w:t>
      </w:r>
    </w:p>
    <w:p w14:paraId="3390053F" w14:textId="77777777" w:rsidR="005C5EB1" w:rsidRPr="007F41C5" w:rsidRDefault="005C5EB1" w:rsidP="005C5EB1">
      <w:pPr>
        <w:rPr>
          <w:rFonts w:cs="Arial"/>
          <w:sz w:val="22"/>
        </w:rPr>
      </w:pPr>
    </w:p>
    <w:p w14:paraId="372614AF" w14:textId="77777777" w:rsidR="005C5EB1" w:rsidRPr="007F41C5" w:rsidRDefault="005C5EB1" w:rsidP="005C5EB1">
      <w:pPr>
        <w:tabs>
          <w:tab w:val="left" w:pos="426"/>
        </w:tabs>
        <w:contextualSpacing/>
        <w:rPr>
          <w:rFonts w:cs="Arial"/>
          <w:i/>
          <w:sz w:val="22"/>
        </w:rPr>
      </w:pPr>
      <w:r>
        <w:rPr>
          <w:rFonts w:cs="Arial"/>
          <w:i/>
          <w:sz w:val="22"/>
        </w:rPr>
        <w:t xml:space="preserve">Midimu ne makokesha bwa kwenzela mikanu ya kutumikila bintu bia nyungulukilu wa buloba ne nsombelu wa bantu </w:t>
      </w:r>
    </w:p>
    <w:p w14:paraId="4AF44C66" w14:textId="77777777" w:rsidR="005C5EB1" w:rsidRPr="007F41C5" w:rsidRDefault="005C5EB1" w:rsidP="005C5EB1">
      <w:pPr>
        <w:pStyle w:val="Paragraphedeliste"/>
        <w:rPr>
          <w:rFonts w:cs="Arial"/>
          <w:sz w:val="22"/>
        </w:rPr>
      </w:pPr>
    </w:p>
    <w:p w14:paraId="1923C231" w14:textId="77777777" w:rsidR="005C5EB1" w:rsidRPr="007F41C5" w:rsidRDefault="005C5EB1" w:rsidP="002378EA">
      <w:pPr>
        <w:pStyle w:val="Paragraphedeliste"/>
        <w:numPr>
          <w:ilvl w:val="0"/>
          <w:numId w:val="26"/>
        </w:numPr>
        <w:rPr>
          <w:rFonts w:cs="Arial"/>
          <w:sz w:val="22"/>
        </w:rPr>
      </w:pPr>
      <w:r>
        <w:rPr>
          <w:rFonts w:cs="Arial"/>
          <w:i/>
          <w:sz w:val="22"/>
        </w:rPr>
        <w:t>Kasumbu (</w:t>
      </w:r>
      <w:r w:rsidRPr="007F41C5">
        <w:rPr>
          <w:rFonts w:cs="Arial"/>
          <w:i/>
          <w:sz w:val="22"/>
        </w:rPr>
        <w:t>Comité</w:t>
      </w:r>
      <w:r>
        <w:rPr>
          <w:rFonts w:cs="Arial"/>
          <w:i/>
          <w:sz w:val="22"/>
        </w:rPr>
        <w:t>) wa dilongolola ne dilondela ke wikala ne bukokeshi bwa kutangidila mushindu wa kumwenesha midimu ne kuiteka mu tusumbu pa tshikondo tsha dilongolola midimu ne diambulwisha dia lupetu lwa PPA. Kasumbu aka nekalombole ne kupesha lapolo pamwe ne bena</w:t>
      </w:r>
      <w:r w:rsidRPr="007F41C5">
        <w:rPr>
          <w:rFonts w:cs="Arial"/>
          <w:sz w:val="22"/>
        </w:rPr>
        <w:t xml:space="preserve"> UNCP/PARRSA. </w:t>
      </w:r>
      <w:r>
        <w:rPr>
          <w:rFonts w:cs="Arial"/>
          <w:sz w:val="22"/>
        </w:rPr>
        <w:t xml:space="preserve">Pa tshikondo tsha dienzesha mudimu, bukokeshi ebu ne bwenzeke ne mulombodi wa </w:t>
      </w:r>
      <w:r w:rsidRPr="007F41C5">
        <w:rPr>
          <w:rFonts w:cs="Arial"/>
          <w:sz w:val="22"/>
        </w:rPr>
        <w:t>UGP/PNDA.</w:t>
      </w:r>
    </w:p>
    <w:p w14:paraId="0BDDA32D" w14:textId="77777777" w:rsidR="005C5EB1" w:rsidRPr="007F41C5" w:rsidRDefault="005C5EB1" w:rsidP="005C5EB1">
      <w:pPr>
        <w:ind w:left="720"/>
        <w:rPr>
          <w:rFonts w:cs="Arial"/>
          <w:color w:val="000000"/>
          <w:sz w:val="22"/>
        </w:rPr>
      </w:pPr>
    </w:p>
    <w:p w14:paraId="50C9B2DD" w14:textId="77777777" w:rsidR="005C5EB1" w:rsidRPr="007F41C5" w:rsidRDefault="005C5EB1" w:rsidP="002378EA">
      <w:pPr>
        <w:numPr>
          <w:ilvl w:val="0"/>
          <w:numId w:val="26"/>
        </w:numPr>
        <w:rPr>
          <w:rFonts w:cs="Arial"/>
          <w:color w:val="000000"/>
          <w:sz w:val="22"/>
        </w:rPr>
      </w:pPr>
      <w:r>
        <w:rPr>
          <w:rFonts w:cs="Arial"/>
          <w:i/>
          <w:color w:val="000000"/>
          <w:sz w:val="22"/>
        </w:rPr>
        <w:t xml:space="preserve">Mwena menji bwa malu adi atangidila </w:t>
      </w:r>
      <w:r>
        <w:rPr>
          <w:rFonts w:cs="Arial"/>
          <w:i/>
          <w:sz w:val="22"/>
        </w:rPr>
        <w:t>bintu bia nyungulukilu wa buloba ne nsombelu wa bantu</w:t>
      </w:r>
      <w:r w:rsidRPr="007F41C5">
        <w:rPr>
          <w:rFonts w:cs="Arial"/>
          <w:i/>
          <w:color w:val="000000"/>
          <w:sz w:val="22"/>
        </w:rPr>
        <w:t xml:space="preserve"> </w:t>
      </w:r>
      <w:r>
        <w:rPr>
          <w:rFonts w:cs="Arial"/>
          <w:i/>
          <w:color w:val="000000"/>
          <w:sz w:val="22"/>
        </w:rPr>
        <w:t xml:space="preserve">et adiyisha kumpala nsombelu wa bukwabantu ne ewu wa malu a VBG pa diba dia dilongolola mudimu ne atangidile bimpe malu onso a </w:t>
      </w:r>
      <w:r>
        <w:rPr>
          <w:rFonts w:cs="Arial"/>
          <w:i/>
          <w:sz w:val="22"/>
        </w:rPr>
        <w:t>bintu bia nyungulukilu wa buloba ne nsombelu wa bantu</w:t>
      </w:r>
      <w:r w:rsidRPr="007F41C5">
        <w:rPr>
          <w:rFonts w:cs="Arial"/>
          <w:i/>
          <w:color w:val="000000"/>
          <w:sz w:val="22"/>
        </w:rPr>
        <w:t xml:space="preserve"> </w:t>
      </w:r>
      <w:r>
        <w:rPr>
          <w:rFonts w:cs="Arial"/>
          <w:i/>
          <w:color w:val="000000"/>
          <w:sz w:val="22"/>
        </w:rPr>
        <w:t>bwa tshikondo tshonso tshangata mudimu ewu </w:t>
      </w:r>
      <w:r w:rsidRPr="007F41C5">
        <w:rPr>
          <w:rFonts w:cs="Arial"/>
          <w:sz w:val="22"/>
        </w:rPr>
        <w:t xml:space="preserve"> : </w:t>
      </w:r>
      <w:r w:rsidRPr="007F41C5">
        <w:rPr>
          <w:rFonts w:cs="Arial"/>
          <w:i/>
          <w:sz w:val="22"/>
        </w:rPr>
        <w:t>(i)</w:t>
      </w:r>
      <w:r w:rsidRPr="007F41C5">
        <w:rPr>
          <w:rFonts w:cs="Arial"/>
          <w:sz w:val="22"/>
        </w:rPr>
        <w:t xml:space="preserve"> </w:t>
      </w:r>
      <w:r>
        <w:rPr>
          <w:rFonts w:cs="Arial"/>
          <w:sz w:val="22"/>
        </w:rPr>
        <w:t>ne buuje mikanda ya disungulula malu onso ne diambulwisha dia bena Banque Mondiale</w:t>
      </w:r>
      <w:r w:rsidRPr="007F41C5">
        <w:rPr>
          <w:rFonts w:cs="Arial"/>
          <w:sz w:val="22"/>
        </w:rPr>
        <w:t xml:space="preserve">ils, </w:t>
      </w:r>
      <w:r w:rsidRPr="007F41C5">
        <w:rPr>
          <w:rFonts w:cs="Arial"/>
          <w:i/>
          <w:sz w:val="22"/>
        </w:rPr>
        <w:t>(ii)</w:t>
      </w:r>
      <w:r w:rsidRPr="007F41C5">
        <w:rPr>
          <w:rFonts w:cs="Arial"/>
          <w:sz w:val="22"/>
        </w:rPr>
        <w:t xml:space="preserve"> </w:t>
      </w:r>
      <w:r>
        <w:rPr>
          <w:rFonts w:cs="Arial"/>
          <w:sz w:val="22"/>
        </w:rPr>
        <w:t>Ne basungule mikandu ya kulondela bwa koko kakuyi mifundu ya PGES bwa midimu mikwabu</w:t>
      </w:r>
      <w:r w:rsidRPr="007F41C5">
        <w:rPr>
          <w:rFonts w:cs="Arial"/>
          <w:sz w:val="22"/>
        </w:rPr>
        <w:t xml:space="preserve">, </w:t>
      </w:r>
      <w:r w:rsidRPr="007F41C5">
        <w:rPr>
          <w:rFonts w:cs="Arial"/>
          <w:i/>
          <w:sz w:val="22"/>
        </w:rPr>
        <w:t>(iii)</w:t>
      </w:r>
      <w:r w:rsidRPr="007F41C5">
        <w:rPr>
          <w:rFonts w:cs="Arial"/>
          <w:sz w:val="22"/>
        </w:rPr>
        <w:t xml:space="preserve"> </w:t>
      </w:r>
      <w:r>
        <w:rPr>
          <w:rFonts w:cs="Arial"/>
          <w:sz w:val="22"/>
        </w:rPr>
        <w:t xml:space="preserve">ne balombole dilondela dia malu a </w:t>
      </w:r>
      <w:r>
        <w:rPr>
          <w:rFonts w:cs="Arial"/>
          <w:i/>
          <w:sz w:val="22"/>
        </w:rPr>
        <w:t>bintu bia nyungulukilu wa buloba ne nsombelu wa bantu</w:t>
      </w:r>
      <w:r w:rsidRPr="007F41C5">
        <w:rPr>
          <w:rFonts w:cs="Arial"/>
          <w:sz w:val="22"/>
        </w:rPr>
        <w:t xml:space="preserve"> </w:t>
      </w:r>
      <w:r>
        <w:rPr>
          <w:rFonts w:cs="Arial"/>
          <w:sz w:val="22"/>
        </w:rPr>
        <w:t xml:space="preserve"> ne a njiwu ya VBG ne ya disama dia COVID-19</w:t>
      </w:r>
      <w:r w:rsidRPr="007F41C5">
        <w:rPr>
          <w:rFonts w:cs="Arial"/>
          <w:sz w:val="22"/>
        </w:rPr>
        <w:t xml:space="preserve">, </w:t>
      </w:r>
      <w:r>
        <w:rPr>
          <w:rFonts w:cs="Arial"/>
          <w:sz w:val="22"/>
        </w:rPr>
        <w:t xml:space="preserve">ne kabidi bulondedi bwa bienzela biakane malu a mudimu bwa </w:t>
      </w:r>
      <w:r>
        <w:rPr>
          <w:rFonts w:cs="Arial"/>
          <w:i/>
          <w:sz w:val="22"/>
        </w:rPr>
        <w:t>bintu bia nyungulukilu wa buloba ne nsombelu wa bantu</w:t>
      </w:r>
      <w:r w:rsidRPr="007F41C5">
        <w:rPr>
          <w:rFonts w:cs="Arial"/>
          <w:sz w:val="22"/>
        </w:rPr>
        <w:t>.</w:t>
      </w:r>
    </w:p>
    <w:p w14:paraId="64DFA6FE" w14:textId="77777777" w:rsidR="005C5EB1" w:rsidRPr="007F41C5" w:rsidRDefault="005C5EB1" w:rsidP="005C5EB1">
      <w:pPr>
        <w:ind w:left="720"/>
        <w:rPr>
          <w:rFonts w:cs="Arial"/>
          <w:color w:val="000000"/>
          <w:sz w:val="22"/>
        </w:rPr>
      </w:pPr>
    </w:p>
    <w:p w14:paraId="73164EE3" w14:textId="77777777" w:rsidR="005C5EB1" w:rsidRPr="007F41C5" w:rsidRDefault="005C5EB1" w:rsidP="002378EA">
      <w:pPr>
        <w:numPr>
          <w:ilvl w:val="0"/>
          <w:numId w:val="26"/>
        </w:numPr>
        <w:rPr>
          <w:rFonts w:cs="Arial"/>
          <w:color w:val="000000"/>
          <w:sz w:val="22"/>
        </w:rPr>
      </w:pPr>
      <w:r>
        <w:rPr>
          <w:rFonts w:cs="Arial"/>
          <w:i/>
          <w:color w:val="000000"/>
          <w:sz w:val="22"/>
        </w:rPr>
        <w:t xml:space="preserve">Mulombodi wa tekiniki wa midimu eyi ya </w:t>
      </w:r>
      <w:r w:rsidRPr="007F41C5">
        <w:rPr>
          <w:rFonts w:cs="Arial"/>
          <w:i/>
          <w:color w:val="000000"/>
          <w:sz w:val="22"/>
        </w:rPr>
        <w:t>PNDA</w:t>
      </w:r>
      <w:r w:rsidRPr="007F41C5">
        <w:rPr>
          <w:rFonts w:cs="Arial"/>
          <w:color w:val="000000"/>
          <w:sz w:val="22"/>
        </w:rPr>
        <w:t> (</w:t>
      </w:r>
      <w:r w:rsidRPr="007F41C5">
        <w:rPr>
          <w:rFonts w:cs="Arial"/>
          <w:i/>
          <w:color w:val="000000"/>
          <w:sz w:val="22"/>
        </w:rPr>
        <w:t>Chargé de projet</w:t>
      </w:r>
      <w:r w:rsidRPr="007F41C5">
        <w:rPr>
          <w:rFonts w:cs="Arial"/>
          <w:color w:val="000000"/>
          <w:sz w:val="22"/>
        </w:rPr>
        <w:t xml:space="preserve">) </w:t>
      </w:r>
      <w:r>
        <w:rPr>
          <w:rFonts w:cs="Arial"/>
          <w:color w:val="000000"/>
          <w:sz w:val="22"/>
        </w:rPr>
        <w:t>ne ikale ne bukokeshi bwa</w:t>
      </w:r>
      <w:r w:rsidRPr="007F41C5">
        <w:rPr>
          <w:rFonts w:cs="Arial"/>
          <w:color w:val="000000"/>
          <w:sz w:val="22"/>
        </w:rPr>
        <w:t xml:space="preserve"> : </w:t>
      </w:r>
      <w:r>
        <w:rPr>
          <w:rFonts w:cs="Arial"/>
          <w:color w:val="000000"/>
          <w:sz w:val="22"/>
        </w:rPr>
        <w:t xml:space="preserve">kuleja miaba ya midimu ne ngikadilu wayi ne kubweja munkatshi mwa </w:t>
      </w:r>
      <w:r>
        <w:rPr>
          <w:rFonts w:cs="Arial"/>
          <w:color w:val="000000"/>
          <w:sz w:val="22"/>
        </w:rPr>
        <w:lastRenderedPageBreak/>
        <w:t>mikanda anyi mifundu ya DAO ya midimu malu a kulondabu kudi kompanyi yenzesha midimu ;</w:t>
      </w:r>
      <w:r w:rsidRPr="007F41C5">
        <w:rPr>
          <w:rFonts w:cs="Arial"/>
          <w:color w:val="000000"/>
          <w:sz w:val="22"/>
        </w:rPr>
        <w:t> </w:t>
      </w:r>
    </w:p>
    <w:p w14:paraId="39DD5AE5" w14:textId="77777777" w:rsidR="005C5EB1" w:rsidRPr="007F41C5" w:rsidRDefault="005C5EB1" w:rsidP="005C5EB1">
      <w:pPr>
        <w:pStyle w:val="Paragraphedeliste"/>
        <w:rPr>
          <w:rFonts w:cs="Arial"/>
          <w:color w:val="000000"/>
          <w:sz w:val="22"/>
        </w:rPr>
      </w:pPr>
    </w:p>
    <w:p w14:paraId="7BF4C38D" w14:textId="77777777" w:rsidR="005C5EB1" w:rsidRPr="009E53F7" w:rsidRDefault="005C5EB1" w:rsidP="002378EA">
      <w:pPr>
        <w:numPr>
          <w:ilvl w:val="0"/>
          <w:numId w:val="26"/>
        </w:numPr>
        <w:rPr>
          <w:rFonts w:cs="Arial"/>
          <w:sz w:val="22"/>
        </w:rPr>
      </w:pPr>
      <w:r w:rsidRPr="009E53F7">
        <w:rPr>
          <w:rFonts w:cs="Arial"/>
          <w:i/>
          <w:color w:val="000000"/>
          <w:sz w:val="22"/>
        </w:rPr>
        <w:t>Mwena menji bwa dipesha bantu bisalu wa</w:t>
      </w:r>
      <w:r w:rsidRPr="009E53F7">
        <w:rPr>
          <w:rFonts w:cs="Arial"/>
          <w:i/>
          <w:sz w:val="22"/>
        </w:rPr>
        <w:t xml:space="preserve"> PNDA (pamwe ne ewu wa malu a bintu bia nyungulukilu wa buloba ne nsombelu wa bantu diba dia ndongolwelu wa midimu) </w:t>
      </w:r>
      <w:r w:rsidRPr="009E53F7">
        <w:rPr>
          <w:rFonts w:cs="Arial"/>
          <w:i/>
          <w:color w:val="000000"/>
          <w:sz w:val="22"/>
        </w:rPr>
        <w:t>:</w:t>
      </w:r>
      <w:r w:rsidRPr="009E53F7">
        <w:rPr>
          <w:rFonts w:cs="Arial"/>
          <w:color w:val="000000"/>
          <w:sz w:val="22"/>
        </w:rPr>
        <w:t xml:space="preserve"> ne atangidila bimpe dibweja dia malu onso adi akengedibwa munkatshi mwa njila wa STEP ne kulongolwesha mifundu yonso idi ikengedibwa bwa malonga onso enzeka bu mudi PGES wa kompanyi, ne mushindu wa kulondela malu onso. </w:t>
      </w:r>
    </w:p>
    <w:p w14:paraId="77FEF98C" w14:textId="77777777" w:rsidR="005C5EB1" w:rsidRPr="009E53F7" w:rsidRDefault="005C5EB1" w:rsidP="005C5EB1">
      <w:pPr>
        <w:ind w:left="720"/>
        <w:rPr>
          <w:rFonts w:cs="Arial"/>
          <w:sz w:val="22"/>
        </w:rPr>
      </w:pPr>
    </w:p>
    <w:p w14:paraId="0BB85D7C" w14:textId="77777777" w:rsidR="005C5EB1" w:rsidRDefault="005C5EB1" w:rsidP="002378EA">
      <w:pPr>
        <w:pStyle w:val="Paragraphedeliste"/>
        <w:numPr>
          <w:ilvl w:val="0"/>
          <w:numId w:val="26"/>
        </w:numPr>
        <w:rPr>
          <w:rFonts w:cs="Arial"/>
          <w:sz w:val="22"/>
        </w:rPr>
      </w:pPr>
      <w:r w:rsidRPr="009E53F7">
        <w:rPr>
          <w:rFonts w:cs="Arial"/>
          <w:i/>
          <w:sz w:val="22"/>
        </w:rPr>
        <w:t>Mulombodi wa tshibambalu tsha mpetu tsha PNDA pa diba dia malongolola ne a dienzesha midimuen :</w:t>
      </w:r>
      <w:r w:rsidRPr="009E53F7">
        <w:rPr>
          <w:rFonts w:cs="Arial"/>
          <w:sz w:val="22"/>
        </w:rPr>
        <w:t xml:space="preserve"> ne abweja munkatshi mwa malongolola mpetu eyi yenzeja bwa kulondela ne kwenzela biakane mikanu yonso ya malu a </w:t>
      </w:r>
      <w:r w:rsidRPr="009E53F7">
        <w:rPr>
          <w:rFonts w:cs="Arial"/>
          <w:i/>
          <w:sz w:val="22"/>
        </w:rPr>
        <w:t>bintu bia nyungulukilu wa buloba ne nsombelu wa bantu</w:t>
      </w:r>
      <w:r w:rsidRPr="009E53F7">
        <w:rPr>
          <w:rFonts w:cs="Arial"/>
          <w:sz w:val="22"/>
        </w:rPr>
        <w:t xml:space="preserve"> , ne eyi ya VBG ne ya disama dia COVID-19. </w:t>
      </w:r>
    </w:p>
    <w:p w14:paraId="3AE707A2" w14:textId="77777777" w:rsidR="005C5EB1" w:rsidRPr="009E53F7" w:rsidRDefault="005C5EB1" w:rsidP="005C5EB1">
      <w:pPr>
        <w:pStyle w:val="Paragraphedeliste"/>
        <w:rPr>
          <w:rFonts w:cs="Arial"/>
          <w:sz w:val="22"/>
        </w:rPr>
      </w:pPr>
    </w:p>
    <w:p w14:paraId="4C1CA46C" w14:textId="77777777" w:rsidR="005C5EB1" w:rsidRPr="007F41C5" w:rsidRDefault="005C5EB1" w:rsidP="002378EA">
      <w:pPr>
        <w:pStyle w:val="Paragraphedeliste"/>
        <w:numPr>
          <w:ilvl w:val="0"/>
          <w:numId w:val="26"/>
        </w:numPr>
        <w:rPr>
          <w:rFonts w:cs="Arial"/>
          <w:sz w:val="22"/>
        </w:rPr>
      </w:pPr>
      <w:r>
        <w:rPr>
          <w:rFonts w:cs="Arial"/>
          <w:i/>
          <w:sz w:val="22"/>
        </w:rPr>
        <w:t xml:space="preserve">Mulombodi wa dilondela ne ditangidila wa </w:t>
      </w:r>
      <w:r w:rsidRPr="007F41C5">
        <w:rPr>
          <w:rFonts w:cs="Arial"/>
          <w:i/>
          <w:sz w:val="22"/>
        </w:rPr>
        <w:t>PNDA :</w:t>
      </w:r>
      <w:r w:rsidRPr="007F41C5">
        <w:rPr>
          <w:rFonts w:cs="Arial"/>
          <w:sz w:val="22"/>
        </w:rPr>
        <w:t xml:space="preserve"> </w:t>
      </w:r>
      <w:r>
        <w:rPr>
          <w:rFonts w:cs="Arial"/>
          <w:sz w:val="22"/>
        </w:rPr>
        <w:t xml:space="preserve">mu tshikondo tsha dilongolola ne tsha dienzeja mudimu ne enze pende dilonda dia malu a </w:t>
      </w:r>
      <w:r>
        <w:rPr>
          <w:rFonts w:cs="Arial"/>
          <w:i/>
          <w:sz w:val="22"/>
        </w:rPr>
        <w:t>bintu bia nyungulukilu wa buloba ne nsombelu wa bantu</w:t>
      </w:r>
      <w:r w:rsidRPr="007F41C5">
        <w:rPr>
          <w:rFonts w:cs="Arial"/>
          <w:sz w:val="22"/>
        </w:rPr>
        <w:t xml:space="preserve"> </w:t>
      </w:r>
      <w:r>
        <w:rPr>
          <w:rFonts w:cs="Arial"/>
          <w:sz w:val="22"/>
        </w:rPr>
        <w:t xml:space="preserve">ne dia malu a VBG ne a disama dia COVID-19, ne di atangidla ne ntema yonso. </w:t>
      </w:r>
    </w:p>
    <w:p w14:paraId="01DCA385" w14:textId="77777777" w:rsidR="005C5EB1" w:rsidRPr="007F41C5" w:rsidRDefault="005C5EB1" w:rsidP="005C5EB1">
      <w:pPr>
        <w:rPr>
          <w:rFonts w:cs="Arial"/>
          <w:sz w:val="22"/>
        </w:rPr>
      </w:pPr>
    </w:p>
    <w:p w14:paraId="0879E875" w14:textId="77777777" w:rsidR="005C5EB1" w:rsidRPr="007F41C5" w:rsidRDefault="005C5EB1" w:rsidP="002378EA">
      <w:pPr>
        <w:numPr>
          <w:ilvl w:val="0"/>
          <w:numId w:val="26"/>
        </w:numPr>
        <w:rPr>
          <w:rFonts w:cs="Arial"/>
          <w:i/>
          <w:sz w:val="22"/>
        </w:rPr>
      </w:pPr>
      <w:r>
        <w:rPr>
          <w:rFonts w:cs="Arial"/>
          <w:i/>
          <w:sz w:val="22"/>
        </w:rPr>
        <w:t>Bibambalu bia Mbulamatadi bia kubinmenga bidi bitangidila malu a bintu bia nyungulukilu wa buloba ne nsombelu wa bantu</w:t>
      </w:r>
      <w:r w:rsidRPr="007F41C5">
        <w:rPr>
          <w:rFonts w:cs="Arial"/>
          <w:i/>
          <w:sz w:val="22"/>
        </w:rPr>
        <w:t xml:space="preserve"> </w:t>
      </w:r>
      <w:r>
        <w:rPr>
          <w:rFonts w:cs="Arial"/>
          <w:i/>
          <w:sz w:val="22"/>
        </w:rPr>
        <w:t>balume ne bakaji</w:t>
      </w:r>
    </w:p>
    <w:p w14:paraId="47D77A64" w14:textId="77777777" w:rsidR="005C5EB1" w:rsidRPr="007F41C5" w:rsidRDefault="005C5EB1" w:rsidP="005C5EB1">
      <w:pPr>
        <w:ind w:left="720"/>
        <w:rPr>
          <w:rFonts w:cs="Arial"/>
          <w:i/>
          <w:sz w:val="22"/>
        </w:rPr>
      </w:pPr>
    </w:p>
    <w:p w14:paraId="307F2D67" w14:textId="77777777" w:rsidR="005C5EB1" w:rsidRDefault="005C5EB1" w:rsidP="005C5EB1">
      <w:pPr>
        <w:pStyle w:val="Paragraphedeliste"/>
        <w:rPr>
          <w:rFonts w:cs="Arial"/>
          <w:sz w:val="22"/>
        </w:rPr>
      </w:pPr>
      <w:r>
        <w:rPr>
          <w:rFonts w:cs="Arial"/>
          <w:sz w:val="22"/>
        </w:rPr>
        <w:t>Tshibambalu ne tshibambalu ne tshibweje ma</w:t>
      </w:r>
      <w:r w:rsidRPr="007F41C5">
        <w:rPr>
          <w:rFonts w:cs="Arial"/>
          <w:sz w:val="22"/>
        </w:rPr>
        <w:t xml:space="preserve"> Coordinations Provinciales </w:t>
      </w:r>
      <w:r>
        <w:rPr>
          <w:rFonts w:cs="Arial"/>
          <w:sz w:val="22"/>
        </w:rPr>
        <w:t xml:space="preserve">wa </w:t>
      </w:r>
      <w:r w:rsidRPr="007F41C5">
        <w:rPr>
          <w:rFonts w:cs="Arial"/>
          <w:sz w:val="22"/>
        </w:rPr>
        <w:t xml:space="preserve">Environnement </w:t>
      </w:r>
      <w:r>
        <w:rPr>
          <w:rFonts w:cs="Arial"/>
          <w:sz w:val="22"/>
        </w:rPr>
        <w:t>a</w:t>
      </w:r>
      <w:r w:rsidRPr="007F41C5">
        <w:rPr>
          <w:rFonts w:cs="Arial"/>
          <w:sz w:val="22"/>
        </w:rPr>
        <w:t xml:space="preserve"> </w:t>
      </w:r>
      <w:r>
        <w:rPr>
          <w:rFonts w:cs="Arial"/>
          <w:sz w:val="22"/>
        </w:rPr>
        <w:t xml:space="preserve">ku </w:t>
      </w:r>
      <w:r w:rsidRPr="007F41C5">
        <w:rPr>
          <w:rFonts w:cs="Arial"/>
          <w:sz w:val="22"/>
        </w:rPr>
        <w:t xml:space="preserve">Kwilu, </w:t>
      </w:r>
      <w:r>
        <w:rPr>
          <w:rFonts w:cs="Arial"/>
          <w:sz w:val="22"/>
        </w:rPr>
        <w:t xml:space="preserve">a ku </w:t>
      </w:r>
      <w:r w:rsidRPr="007F41C5">
        <w:rPr>
          <w:rFonts w:cs="Arial"/>
          <w:sz w:val="22"/>
        </w:rPr>
        <w:t xml:space="preserve">Kongo Central, </w:t>
      </w:r>
      <w:r>
        <w:rPr>
          <w:rFonts w:cs="Arial"/>
          <w:sz w:val="22"/>
        </w:rPr>
        <w:t xml:space="preserve">a ku </w:t>
      </w:r>
      <w:r w:rsidRPr="007F41C5">
        <w:rPr>
          <w:rFonts w:cs="Arial"/>
          <w:sz w:val="22"/>
        </w:rPr>
        <w:t xml:space="preserve">Kasaï, </w:t>
      </w:r>
      <w:r>
        <w:rPr>
          <w:rFonts w:cs="Arial"/>
          <w:sz w:val="22"/>
        </w:rPr>
        <w:t xml:space="preserve">a ku </w:t>
      </w:r>
      <w:r w:rsidRPr="007F41C5">
        <w:rPr>
          <w:rFonts w:cs="Arial"/>
          <w:sz w:val="22"/>
        </w:rPr>
        <w:t xml:space="preserve">Kasaï Central </w:t>
      </w:r>
      <w:r>
        <w:rPr>
          <w:rFonts w:cs="Arial"/>
          <w:sz w:val="22"/>
        </w:rPr>
        <w:t>ne a ku</w:t>
      </w:r>
      <w:r w:rsidRPr="007F41C5">
        <w:rPr>
          <w:rFonts w:cs="Arial"/>
          <w:sz w:val="22"/>
        </w:rPr>
        <w:t xml:space="preserve"> Nord-Kivu </w:t>
      </w:r>
      <w:r>
        <w:rPr>
          <w:rFonts w:cs="Arial"/>
          <w:sz w:val="22"/>
        </w:rPr>
        <w:t xml:space="preserve">mu malu a kulondela midimu yonso yenzeka. </w:t>
      </w:r>
    </w:p>
    <w:p w14:paraId="19FDA63B" w14:textId="77777777" w:rsidR="005C5EB1" w:rsidRPr="007F41C5" w:rsidRDefault="005C5EB1" w:rsidP="005C5EB1">
      <w:pPr>
        <w:pStyle w:val="Paragraphedeliste"/>
        <w:rPr>
          <w:rFonts w:cs="Arial"/>
          <w:sz w:val="22"/>
        </w:rPr>
      </w:pPr>
    </w:p>
    <w:p w14:paraId="32DEE8CC" w14:textId="77777777" w:rsidR="005C5EB1" w:rsidRDefault="005C5EB1" w:rsidP="005C5EB1">
      <w:pPr>
        <w:pStyle w:val="Paragraphedeliste"/>
        <w:rPr>
          <w:rFonts w:cs="Arial"/>
          <w:sz w:val="22"/>
        </w:rPr>
      </w:pPr>
      <w:r w:rsidRPr="007F41C5">
        <w:rPr>
          <w:rFonts w:cs="Arial"/>
          <w:sz w:val="22"/>
        </w:rPr>
        <w:t>Agence Congolaise de l’Environnement (ACE)</w:t>
      </w:r>
    </w:p>
    <w:p w14:paraId="2C9598E7" w14:textId="77777777" w:rsidR="005C5EB1" w:rsidRPr="00821462" w:rsidRDefault="005C5EB1" w:rsidP="005C5EB1">
      <w:pPr>
        <w:rPr>
          <w:rFonts w:cs="Arial"/>
          <w:sz w:val="22"/>
        </w:rPr>
      </w:pPr>
    </w:p>
    <w:p w14:paraId="021791A4" w14:textId="77777777" w:rsidR="005C5EB1" w:rsidRPr="007F41C5" w:rsidRDefault="005C5EB1" w:rsidP="005C5EB1">
      <w:pPr>
        <w:pStyle w:val="Paragraphedeliste"/>
        <w:rPr>
          <w:rFonts w:cs="Arial"/>
          <w:sz w:val="22"/>
        </w:rPr>
      </w:pPr>
      <w:r w:rsidRPr="007F41C5">
        <w:rPr>
          <w:rFonts w:cs="Arial"/>
          <w:sz w:val="22"/>
        </w:rPr>
        <w:t xml:space="preserve">ACE </w:t>
      </w:r>
      <w:r>
        <w:rPr>
          <w:rFonts w:cs="Arial"/>
          <w:sz w:val="22"/>
        </w:rPr>
        <w:t xml:space="preserve">ne atangidile biakane ne ne itabuje dilongolola dia malu adi atangila </w:t>
      </w:r>
      <w:r>
        <w:rPr>
          <w:rFonts w:cs="Arial"/>
          <w:i/>
          <w:sz w:val="22"/>
        </w:rPr>
        <w:t>bintu bia nyungulukilu wa buloba ne nsombelu wa bantu</w:t>
      </w:r>
      <w:r w:rsidRPr="007F41C5">
        <w:rPr>
          <w:rFonts w:cs="Arial"/>
          <w:sz w:val="22"/>
        </w:rPr>
        <w:t xml:space="preserve"> </w:t>
      </w:r>
      <w:r>
        <w:rPr>
          <w:rFonts w:cs="Arial"/>
          <w:sz w:val="22"/>
        </w:rPr>
        <w:t xml:space="preserve">a midimu ne kwitabuja mifundu ya malonga a </w:t>
      </w:r>
      <w:r>
        <w:rPr>
          <w:rFonts w:cs="Arial"/>
          <w:i/>
          <w:sz w:val="22"/>
        </w:rPr>
        <w:t>bintu bia nyungulukilu wa buloba ne nsombelu wa bantu</w:t>
      </w:r>
      <w:r w:rsidRPr="007F41C5">
        <w:rPr>
          <w:rFonts w:cs="Arial"/>
          <w:sz w:val="22"/>
        </w:rPr>
        <w:t xml:space="preserve"> (EIES) </w:t>
      </w:r>
      <w:r>
        <w:rPr>
          <w:rFonts w:cs="Arial"/>
          <w:sz w:val="22"/>
        </w:rPr>
        <w:t xml:space="preserve">ne ma </w:t>
      </w:r>
      <w:r w:rsidRPr="007F41C5">
        <w:rPr>
          <w:rFonts w:cs="Arial"/>
          <w:sz w:val="22"/>
        </w:rPr>
        <w:t xml:space="preserve"> PGES. </w:t>
      </w:r>
      <w:r>
        <w:rPr>
          <w:rFonts w:cs="Arial"/>
          <w:sz w:val="22"/>
        </w:rPr>
        <w:t xml:space="preserve"> ACE ke udi ne bukoshi bwa kulondela biakane malu a </w:t>
      </w:r>
      <w:r>
        <w:rPr>
          <w:rFonts w:cs="Arial"/>
          <w:i/>
          <w:sz w:val="22"/>
        </w:rPr>
        <w:t>bintu bia nyungulukilu wa buloba ne nsombelu wa bantu</w:t>
      </w:r>
      <w:r w:rsidRPr="007F41C5">
        <w:rPr>
          <w:rFonts w:cs="Arial"/>
          <w:sz w:val="22"/>
        </w:rPr>
        <w:t xml:space="preserve"> </w:t>
      </w:r>
      <w:r>
        <w:rPr>
          <w:rFonts w:cs="Arial"/>
          <w:sz w:val="22"/>
        </w:rPr>
        <w:t>a midimu</w:t>
      </w:r>
      <w:r w:rsidRPr="007F41C5">
        <w:rPr>
          <w:rFonts w:cs="Arial"/>
          <w:sz w:val="22"/>
        </w:rPr>
        <w:t xml:space="preserve"> ;</w:t>
      </w:r>
    </w:p>
    <w:p w14:paraId="5D3AEB23" w14:textId="77777777" w:rsidR="005C5EB1" w:rsidRPr="007F41C5" w:rsidRDefault="005C5EB1" w:rsidP="005C5EB1">
      <w:pPr>
        <w:rPr>
          <w:rFonts w:cs="Arial"/>
          <w:i/>
          <w:sz w:val="22"/>
        </w:rPr>
      </w:pPr>
    </w:p>
    <w:p w14:paraId="385B7E27" w14:textId="77777777" w:rsidR="005C5EB1" w:rsidRPr="007F41C5" w:rsidRDefault="005C5EB1" w:rsidP="002378EA">
      <w:pPr>
        <w:numPr>
          <w:ilvl w:val="0"/>
          <w:numId w:val="26"/>
        </w:numPr>
        <w:rPr>
          <w:rFonts w:cs="Arial"/>
          <w:i/>
          <w:sz w:val="22"/>
        </w:rPr>
      </w:pPr>
      <w:r>
        <w:rPr>
          <w:rFonts w:cs="Arial"/>
          <w:i/>
          <w:sz w:val="22"/>
        </w:rPr>
        <w:t xml:space="preserve">Ma </w:t>
      </w:r>
      <w:r w:rsidRPr="007F41C5">
        <w:rPr>
          <w:rFonts w:cs="Arial"/>
          <w:i/>
          <w:sz w:val="22"/>
        </w:rPr>
        <w:t xml:space="preserve">Coordinations Provinciales de l’Environnement (CPE) </w:t>
      </w:r>
      <w:r>
        <w:rPr>
          <w:rFonts w:cs="Arial"/>
          <w:i/>
          <w:sz w:val="22"/>
        </w:rPr>
        <w:t>a ku</w:t>
      </w:r>
      <w:r w:rsidRPr="007F41C5">
        <w:rPr>
          <w:rFonts w:cs="Arial"/>
          <w:i/>
          <w:sz w:val="22"/>
        </w:rPr>
        <w:t xml:space="preserve"> Kwilu,</w:t>
      </w:r>
      <w:r>
        <w:rPr>
          <w:rFonts w:cs="Arial"/>
          <w:i/>
          <w:sz w:val="22"/>
        </w:rPr>
        <w:t xml:space="preserve"> a ku</w:t>
      </w:r>
      <w:r w:rsidRPr="007F41C5">
        <w:rPr>
          <w:rFonts w:cs="Arial"/>
          <w:i/>
          <w:sz w:val="22"/>
        </w:rPr>
        <w:t xml:space="preserve"> Kasaï, </w:t>
      </w:r>
      <w:r>
        <w:rPr>
          <w:rFonts w:cs="Arial"/>
          <w:i/>
          <w:sz w:val="22"/>
        </w:rPr>
        <w:t xml:space="preserve">a ku </w:t>
      </w:r>
      <w:r w:rsidRPr="007F41C5">
        <w:rPr>
          <w:rFonts w:cs="Arial"/>
          <w:i/>
          <w:sz w:val="22"/>
        </w:rPr>
        <w:t xml:space="preserve">Kasaï Central </w:t>
      </w:r>
    </w:p>
    <w:p w14:paraId="29035FE2" w14:textId="77777777" w:rsidR="005C5EB1" w:rsidRPr="007F41C5" w:rsidRDefault="005C5EB1" w:rsidP="005C5EB1">
      <w:pPr>
        <w:ind w:left="720"/>
        <w:rPr>
          <w:rFonts w:cs="Arial"/>
          <w:i/>
          <w:sz w:val="22"/>
        </w:rPr>
      </w:pPr>
    </w:p>
    <w:p w14:paraId="0182200C" w14:textId="77777777" w:rsidR="005C5EB1" w:rsidRPr="007F41C5" w:rsidRDefault="005C5EB1" w:rsidP="002378EA">
      <w:pPr>
        <w:numPr>
          <w:ilvl w:val="0"/>
          <w:numId w:val="26"/>
        </w:numPr>
        <w:rPr>
          <w:rFonts w:cs="Arial"/>
          <w:sz w:val="22"/>
        </w:rPr>
      </w:pPr>
      <w:r>
        <w:rPr>
          <w:rFonts w:cs="Arial"/>
          <w:sz w:val="22"/>
        </w:rPr>
        <w:t xml:space="preserve">Bwa bumudiku kakuyi bilo bia mu tshimenga bia ACE (DP-ACE), bibambalu ebi bisatu ke biambulwisha bwa dilondela malu a </w:t>
      </w:r>
      <w:r>
        <w:rPr>
          <w:rFonts w:cs="Arial"/>
          <w:i/>
          <w:sz w:val="22"/>
        </w:rPr>
        <w:t>bintu bia nyungulukilu wa buloba ne nsombelu wa bantu</w:t>
      </w:r>
      <w:r>
        <w:rPr>
          <w:rFonts w:cs="Arial"/>
          <w:sz w:val="22"/>
        </w:rPr>
        <w:t xml:space="preserve"> bwa mudimu wa </w:t>
      </w:r>
      <w:r w:rsidRPr="007F41C5">
        <w:rPr>
          <w:rFonts w:cs="Arial"/>
          <w:sz w:val="22"/>
        </w:rPr>
        <w:t xml:space="preserve">PNDA. </w:t>
      </w:r>
      <w:r>
        <w:rPr>
          <w:rFonts w:cs="Arial"/>
          <w:sz w:val="22"/>
        </w:rPr>
        <w:t>Ne kabidi</w:t>
      </w:r>
      <w:r w:rsidRPr="007F41C5">
        <w:rPr>
          <w:rFonts w:cs="Arial"/>
          <w:sz w:val="22"/>
        </w:rPr>
        <w:t xml:space="preserve">, CPE </w:t>
      </w:r>
      <w:r>
        <w:rPr>
          <w:rFonts w:cs="Arial"/>
          <w:sz w:val="22"/>
        </w:rPr>
        <w:t xml:space="preserve">wa tshibambalu ne tshibambalu ne bibambalu biayu ne ibwejibwe munkatshi mwa bulombodi bwa midimu yonso ne bu ilondedi mu dienzesha dia malonga a ma </w:t>
      </w:r>
      <w:r w:rsidRPr="007F41C5">
        <w:rPr>
          <w:rFonts w:cs="Arial"/>
          <w:sz w:val="22"/>
        </w:rPr>
        <w:t>PGES.</w:t>
      </w:r>
    </w:p>
    <w:p w14:paraId="78140FA6" w14:textId="77777777" w:rsidR="005C5EB1" w:rsidRPr="007F41C5" w:rsidRDefault="005C5EB1" w:rsidP="005C5EB1">
      <w:pPr>
        <w:rPr>
          <w:rFonts w:cs="Arial"/>
          <w:sz w:val="22"/>
        </w:rPr>
      </w:pPr>
    </w:p>
    <w:p w14:paraId="34A9425A" w14:textId="77777777" w:rsidR="005C5EB1" w:rsidRPr="007F41C5" w:rsidRDefault="005C5EB1" w:rsidP="002378EA">
      <w:pPr>
        <w:numPr>
          <w:ilvl w:val="0"/>
          <w:numId w:val="26"/>
        </w:numPr>
        <w:ind w:right="-154"/>
        <w:rPr>
          <w:rFonts w:cs="Arial"/>
          <w:sz w:val="22"/>
        </w:rPr>
      </w:pPr>
      <w:r>
        <w:rPr>
          <w:rFonts w:cs="Arial"/>
          <w:i/>
          <w:sz w:val="22"/>
        </w:rPr>
        <w:t>Kumpanyi yangatshibwa bwa kwenza midimu</w:t>
      </w:r>
      <w:r w:rsidRPr="007F41C5">
        <w:rPr>
          <w:rFonts w:cs="Arial"/>
          <w:sz w:val="22"/>
        </w:rPr>
        <w:t xml:space="preserve"> </w:t>
      </w:r>
      <w:r w:rsidRPr="007F41C5">
        <w:rPr>
          <w:rFonts w:cs="Arial"/>
          <w:i/>
          <w:sz w:val="22"/>
        </w:rPr>
        <w:t>(PME)</w:t>
      </w:r>
    </w:p>
    <w:p w14:paraId="5C633D0D" w14:textId="77777777" w:rsidR="005C5EB1" w:rsidRPr="007F41C5" w:rsidRDefault="005C5EB1" w:rsidP="005C5EB1">
      <w:pPr>
        <w:ind w:right="-154"/>
        <w:rPr>
          <w:rFonts w:cs="Arial"/>
          <w:sz w:val="22"/>
        </w:rPr>
      </w:pPr>
    </w:p>
    <w:p w14:paraId="662A0B10" w14:textId="77777777" w:rsidR="005C5EB1" w:rsidRPr="007F41C5" w:rsidRDefault="005C5EB1" w:rsidP="005C5EB1">
      <w:pPr>
        <w:pStyle w:val="Paragraphedeliste"/>
        <w:rPr>
          <w:rFonts w:cs="Arial"/>
          <w:sz w:val="22"/>
        </w:rPr>
      </w:pPr>
      <w:r>
        <w:rPr>
          <w:rFonts w:cs="Arial"/>
          <w:sz w:val="22"/>
        </w:rPr>
        <w:t xml:space="preserve">Kumpanyi yonso yangatshibwa bwa kwenzesha mudimu ne yenzele </w:t>
      </w:r>
      <w:r>
        <w:rPr>
          <w:rFonts w:eastAsia="Calibri" w:cs="Arial"/>
          <w:sz w:val="22"/>
        </w:rPr>
        <w:t xml:space="preserve">malu a bintu bia nyungulukilu wa buloba ne nsombelu wa bantu ne kunemeka mikanu yonso ya </w:t>
      </w:r>
      <w:r>
        <w:rPr>
          <w:rFonts w:eastAsia="Calibri" w:cs="Arial"/>
          <w:sz w:val="22"/>
        </w:rPr>
        <w:lastRenderedPageBreak/>
        <w:t>kutangidila malu a bintu bia nyungulukilu wa buloba ne nsombelu wa bantu idi isanganyibwa mu mifundu ya diumvwangana bwa midimu ne ya ma DAO</w:t>
      </w:r>
      <w:r w:rsidRPr="007F41C5">
        <w:rPr>
          <w:rFonts w:cs="Arial"/>
          <w:sz w:val="22"/>
        </w:rPr>
        <w:t>.</w:t>
      </w:r>
    </w:p>
    <w:p w14:paraId="75F761DD" w14:textId="77777777" w:rsidR="005C5EB1" w:rsidRPr="005C06E3" w:rsidRDefault="005C5EB1" w:rsidP="005C5EB1">
      <w:pPr>
        <w:rPr>
          <w:rFonts w:cs="Arial"/>
          <w:sz w:val="22"/>
        </w:rPr>
      </w:pPr>
    </w:p>
    <w:p w14:paraId="2E72618F" w14:textId="77777777" w:rsidR="005C5EB1" w:rsidRDefault="005C5EB1" w:rsidP="002378EA">
      <w:pPr>
        <w:pStyle w:val="Paragraphedeliste"/>
        <w:numPr>
          <w:ilvl w:val="0"/>
          <w:numId w:val="157"/>
        </w:numPr>
        <w:rPr>
          <w:rFonts w:cs="Arial"/>
          <w:i/>
          <w:sz w:val="22"/>
        </w:rPr>
      </w:pPr>
      <w:r>
        <w:rPr>
          <w:rFonts w:cs="Arial"/>
          <w:i/>
          <w:sz w:val="22"/>
        </w:rPr>
        <w:t>Nzubu ya dienzesha midimu ku misoko</w:t>
      </w:r>
      <w:r w:rsidRPr="007F41C5">
        <w:rPr>
          <w:rFonts w:cs="Arial"/>
          <w:i/>
          <w:sz w:val="22"/>
        </w:rPr>
        <w:t xml:space="preserve"> (ALE)</w:t>
      </w:r>
    </w:p>
    <w:p w14:paraId="7515719B" w14:textId="77777777" w:rsidR="005C5EB1" w:rsidRPr="007F41C5" w:rsidRDefault="005C5EB1" w:rsidP="005C5EB1">
      <w:pPr>
        <w:pStyle w:val="Paragraphedeliste"/>
        <w:rPr>
          <w:rFonts w:cs="Arial"/>
          <w:i/>
          <w:sz w:val="22"/>
        </w:rPr>
      </w:pPr>
    </w:p>
    <w:p w14:paraId="52B42C29" w14:textId="77777777" w:rsidR="005C5EB1" w:rsidRPr="007F41C5" w:rsidRDefault="005C5EB1" w:rsidP="005C5EB1">
      <w:pPr>
        <w:pStyle w:val="Paragraphedeliste"/>
        <w:rPr>
          <w:rFonts w:cs="Arial"/>
          <w:sz w:val="22"/>
        </w:rPr>
      </w:pPr>
      <w:r>
        <w:rPr>
          <w:rFonts w:cs="Arial"/>
          <w:sz w:val="22"/>
        </w:rPr>
        <w:t xml:space="preserve">Mushindu umwe ne kompanyi ya midimu, </w:t>
      </w:r>
      <w:r w:rsidRPr="007F41C5">
        <w:rPr>
          <w:rFonts w:cs="Arial"/>
          <w:sz w:val="22"/>
        </w:rPr>
        <w:t xml:space="preserve"> </w:t>
      </w:r>
      <w:r>
        <w:rPr>
          <w:rFonts w:cs="Arial"/>
          <w:sz w:val="22"/>
        </w:rPr>
        <w:t xml:space="preserve">ma </w:t>
      </w:r>
      <w:r w:rsidRPr="007F41C5">
        <w:rPr>
          <w:rFonts w:cs="Arial"/>
          <w:sz w:val="22"/>
        </w:rPr>
        <w:t xml:space="preserve">ALE </w:t>
      </w:r>
      <w:r>
        <w:rPr>
          <w:rFonts w:cs="Arial"/>
          <w:sz w:val="22"/>
        </w:rPr>
        <w:t>adi ne tsha kulonda ne kunemeka malu a mikanu ya bintu bia nyungulukilu wa buloba ne nsombelu wa bantu, ne kulonda biakane aha onso adi mafundibwe mu mikanda ya diuvwangana bwa dienzesha midimu ne mu ma DAO</w:t>
      </w:r>
      <w:r w:rsidRPr="007F41C5">
        <w:rPr>
          <w:rFonts w:cs="Arial"/>
          <w:sz w:val="22"/>
        </w:rPr>
        <w:t>.</w:t>
      </w:r>
    </w:p>
    <w:p w14:paraId="650F0D9D" w14:textId="77777777" w:rsidR="005C5EB1" w:rsidRPr="007F41C5" w:rsidRDefault="005C5EB1" w:rsidP="005C5EB1">
      <w:pPr>
        <w:ind w:right="-154"/>
        <w:rPr>
          <w:rFonts w:cs="Arial"/>
          <w:sz w:val="22"/>
        </w:rPr>
      </w:pPr>
    </w:p>
    <w:p w14:paraId="0D8A2F62" w14:textId="77777777" w:rsidR="005C5EB1" w:rsidRPr="004074D8" w:rsidRDefault="005C5EB1" w:rsidP="002378EA">
      <w:pPr>
        <w:numPr>
          <w:ilvl w:val="0"/>
          <w:numId w:val="26"/>
        </w:numPr>
        <w:ind w:right="-154"/>
        <w:rPr>
          <w:rFonts w:cs="Arial"/>
          <w:sz w:val="22"/>
        </w:rPr>
      </w:pPr>
      <w:r>
        <w:rPr>
          <w:rFonts w:cs="Arial"/>
          <w:i/>
          <w:sz w:val="22"/>
        </w:rPr>
        <w:t>Bilo bia malonga ne bia kulondela midimu</w:t>
      </w:r>
    </w:p>
    <w:p w14:paraId="094872EF" w14:textId="77777777" w:rsidR="005C5EB1" w:rsidRPr="007F41C5" w:rsidRDefault="005C5EB1" w:rsidP="005C5EB1">
      <w:pPr>
        <w:ind w:left="720" w:right="-154"/>
        <w:rPr>
          <w:rFonts w:cs="Arial"/>
          <w:sz w:val="22"/>
        </w:rPr>
      </w:pPr>
    </w:p>
    <w:p w14:paraId="3B6DF45F" w14:textId="77777777" w:rsidR="005C5EB1" w:rsidRPr="007F41C5" w:rsidRDefault="005C5EB1" w:rsidP="005C5EB1">
      <w:pPr>
        <w:pStyle w:val="Paragraphedeliste"/>
        <w:rPr>
          <w:rFonts w:cs="Arial"/>
          <w:sz w:val="22"/>
        </w:rPr>
      </w:pPr>
      <w:r>
        <w:rPr>
          <w:rFonts w:cs="Arial"/>
          <w:sz w:val="22"/>
        </w:rPr>
        <w:t xml:space="preserve">Bilo ebi ne bilondele ne ntema yonso midimu bwa kwakikisha ne mikanu yonso ya malu a bintu bia nyungulukilu wa buloba ne nsombelu wa bantu idi minemekibwe mu dienzesha dia midimu eyi yonso yenzeka. </w:t>
      </w:r>
    </w:p>
    <w:p w14:paraId="0444A72C" w14:textId="77777777" w:rsidR="005C5EB1" w:rsidRPr="007F41C5" w:rsidRDefault="005C5EB1" w:rsidP="005C5EB1">
      <w:pPr>
        <w:ind w:right="-154"/>
        <w:rPr>
          <w:rFonts w:cs="Arial"/>
          <w:sz w:val="22"/>
        </w:rPr>
      </w:pPr>
    </w:p>
    <w:p w14:paraId="58CE0179" w14:textId="77777777" w:rsidR="005C5EB1" w:rsidRDefault="005C5EB1" w:rsidP="002378EA">
      <w:pPr>
        <w:numPr>
          <w:ilvl w:val="0"/>
          <w:numId w:val="26"/>
        </w:numPr>
        <w:ind w:right="-154"/>
        <w:rPr>
          <w:rFonts w:cs="Arial"/>
          <w:i/>
          <w:sz w:val="22"/>
        </w:rPr>
      </w:pPr>
      <w:r>
        <w:rPr>
          <w:rFonts w:cs="Arial"/>
          <w:i/>
          <w:sz w:val="22"/>
        </w:rPr>
        <w:t>Bantu badi basanganyibwa mu bimenga bisungudibwe bwa mudimu</w:t>
      </w:r>
    </w:p>
    <w:p w14:paraId="721B6B87" w14:textId="77777777" w:rsidR="005C5EB1" w:rsidRPr="007F41C5" w:rsidRDefault="005C5EB1" w:rsidP="005C5EB1">
      <w:pPr>
        <w:ind w:left="720" w:right="-154"/>
        <w:rPr>
          <w:rFonts w:cs="Arial"/>
          <w:i/>
          <w:sz w:val="22"/>
        </w:rPr>
      </w:pPr>
    </w:p>
    <w:p w14:paraId="20F8FB74" w14:textId="77777777" w:rsidR="005C5EB1" w:rsidRPr="007F41C5" w:rsidRDefault="005C5EB1" w:rsidP="005C5EB1">
      <w:pPr>
        <w:pStyle w:val="Paragraphedeliste"/>
        <w:rPr>
          <w:rFonts w:cs="Arial"/>
          <w:sz w:val="22"/>
        </w:rPr>
      </w:pPr>
      <w:r>
        <w:rPr>
          <w:rFonts w:cs="Arial"/>
          <w:sz w:val="22"/>
        </w:rPr>
        <w:t xml:space="preserve">Bantu aba ne babikidibwe mu bisangilu bwa kubapesha bu ngumu ya dilongolola dia mudimu, ne di basopesha bwa tshidibu na bwa kwenza bwa bandamune ngikadilu wabu bwa malu a mudimu enzeke biakane ; </w:t>
      </w:r>
    </w:p>
    <w:p w14:paraId="0AD349B7" w14:textId="77777777" w:rsidR="005C5EB1" w:rsidRPr="007F41C5" w:rsidRDefault="005C5EB1" w:rsidP="005C5EB1">
      <w:pPr>
        <w:pStyle w:val="Paragraphedeliste"/>
        <w:rPr>
          <w:rFonts w:cs="Arial"/>
          <w:sz w:val="22"/>
        </w:rPr>
      </w:pPr>
    </w:p>
    <w:p w14:paraId="66BFAA46" w14:textId="77777777" w:rsidR="005C5EB1" w:rsidRDefault="005C5EB1" w:rsidP="002378EA">
      <w:pPr>
        <w:numPr>
          <w:ilvl w:val="0"/>
          <w:numId w:val="26"/>
        </w:numPr>
        <w:rPr>
          <w:rFonts w:cs="Arial"/>
          <w:sz w:val="22"/>
        </w:rPr>
      </w:pPr>
      <w:r>
        <w:rPr>
          <w:rFonts w:cs="Arial"/>
          <w:i/>
          <w:sz w:val="22"/>
        </w:rPr>
        <w:t>Tusumbu twa diambulwisha (</w:t>
      </w:r>
      <w:r w:rsidRPr="007F41C5">
        <w:rPr>
          <w:rFonts w:cs="Arial"/>
          <w:i/>
          <w:sz w:val="22"/>
        </w:rPr>
        <w:t>ONG</w:t>
      </w:r>
      <w:r>
        <w:rPr>
          <w:rFonts w:cs="Arial"/>
          <w:i/>
          <w:sz w:val="22"/>
        </w:rPr>
        <w:t>)</w:t>
      </w:r>
      <w:r w:rsidRPr="007F41C5">
        <w:rPr>
          <w:rFonts w:cs="Arial"/>
          <w:i/>
          <w:sz w:val="22"/>
        </w:rPr>
        <w:t xml:space="preserve"> </w:t>
      </w:r>
      <w:r>
        <w:rPr>
          <w:rFonts w:cs="Arial"/>
          <w:i/>
          <w:sz w:val="22"/>
        </w:rPr>
        <w:t>ne bena Société civile</w:t>
      </w:r>
      <w:r w:rsidRPr="007F41C5">
        <w:rPr>
          <w:rFonts w:cs="Arial"/>
          <w:i/>
          <w:sz w:val="22"/>
        </w:rPr>
        <w:t xml:space="preserve"> : </w:t>
      </w:r>
      <w:r>
        <w:rPr>
          <w:rFonts w:cs="Arial"/>
          <w:i/>
          <w:sz w:val="22"/>
        </w:rPr>
        <w:t xml:space="preserve">Tusumbu twa diambulwisha bwa malu a kutangidila </w:t>
      </w:r>
      <w:r w:rsidRPr="007F41C5">
        <w:rPr>
          <w:rFonts w:cs="Arial"/>
          <w:sz w:val="22"/>
        </w:rPr>
        <w:t xml:space="preserve">VBG </w:t>
      </w:r>
      <w:r>
        <w:rPr>
          <w:rFonts w:cs="Arial"/>
          <w:sz w:val="22"/>
        </w:rPr>
        <w:t xml:space="preserve">ne disama dia </w:t>
      </w:r>
      <w:r w:rsidRPr="007F41C5">
        <w:rPr>
          <w:rFonts w:cs="Arial"/>
          <w:sz w:val="22"/>
        </w:rPr>
        <w:t xml:space="preserve">COVID-19, </w:t>
      </w:r>
      <w:r>
        <w:rPr>
          <w:rFonts w:cs="Arial"/>
          <w:sz w:val="22"/>
        </w:rPr>
        <w:t>tusumbu twa bena misoko ne tusumbu tukwabu twa malu bintu bia nyungulukiluwa buloba ne nsombelu wa bantu ne tubikidibwe bwa bisangilu bia dioeshangana ngumu, disopesha ne dileja midimu bwa ebi bidi bitangidila malu a bintu nia nyungulukilu wa buloba ne nsombelu wa bantu ne kabidi bwa malu adi atangidila VBG ne disama dia COVID-19 bwa thsikondo etshi tsha dienzela malonga a PCGES.</w:t>
      </w:r>
    </w:p>
    <w:p w14:paraId="61F4337E" w14:textId="77777777" w:rsidR="005C5EB1" w:rsidRPr="007F41C5" w:rsidRDefault="005C5EB1" w:rsidP="005C5EB1">
      <w:pPr>
        <w:tabs>
          <w:tab w:val="left" w:pos="1680"/>
        </w:tabs>
        <w:spacing w:line="240" w:lineRule="auto"/>
        <w:rPr>
          <w:rFonts w:cs="Arial"/>
          <w:sz w:val="22"/>
        </w:rPr>
      </w:pPr>
      <w:r w:rsidRPr="007F41C5">
        <w:rPr>
          <w:rFonts w:cs="Arial"/>
          <w:sz w:val="22"/>
        </w:rPr>
        <w:tab/>
      </w:r>
    </w:p>
    <w:p w14:paraId="70685079" w14:textId="77777777" w:rsidR="005C5EB1" w:rsidRPr="007F41C5" w:rsidRDefault="005C5EB1" w:rsidP="005C5EB1">
      <w:pPr>
        <w:rPr>
          <w:rFonts w:cs="Arial"/>
          <w:sz w:val="22"/>
        </w:rPr>
      </w:pPr>
      <w:r>
        <w:rPr>
          <w:rFonts w:cs="Arial"/>
          <w:sz w:val="22"/>
        </w:rPr>
        <w:t>Malombodi ne mianzu yonso idi milejibwe eyi ne ifundibwe munkatshi mwa mifundu ya dienzesha mudimu ewu</w:t>
      </w:r>
      <w:r w:rsidRPr="007F41C5">
        <w:rPr>
          <w:rFonts w:cs="Arial"/>
          <w:sz w:val="22"/>
        </w:rPr>
        <w:t>.</w:t>
      </w:r>
    </w:p>
    <w:p w14:paraId="6CE41AC8" w14:textId="77777777" w:rsidR="005C5EB1" w:rsidRPr="007F41C5" w:rsidRDefault="005C5EB1" w:rsidP="005C5EB1">
      <w:pPr>
        <w:tabs>
          <w:tab w:val="left" w:pos="426"/>
        </w:tabs>
        <w:rPr>
          <w:rFonts w:cs="Arial"/>
          <w:sz w:val="22"/>
        </w:rPr>
      </w:pPr>
    </w:p>
    <w:p w14:paraId="05E448FF" w14:textId="77777777" w:rsidR="005C5EB1" w:rsidRPr="007F41C5" w:rsidRDefault="005C5EB1" w:rsidP="002378EA">
      <w:pPr>
        <w:numPr>
          <w:ilvl w:val="0"/>
          <w:numId w:val="158"/>
        </w:numPr>
        <w:rPr>
          <w:rFonts w:cs="Arial"/>
          <w:i/>
          <w:sz w:val="22"/>
          <w:lang w:bidi="fr-FR"/>
        </w:rPr>
      </w:pPr>
      <w:r>
        <w:rPr>
          <w:rFonts w:cs="Arial"/>
          <w:i/>
          <w:sz w:val="22"/>
          <w:lang w:bidi="fr-FR"/>
        </w:rPr>
        <w:t xml:space="preserve">Tshipeta tsha lupetu ludi lukengedibwa bwa kwenzela mikanu ya bintu bia nyungulukilu wa buloba ne nsombelu wa bantu </w:t>
      </w:r>
    </w:p>
    <w:p w14:paraId="21D10620" w14:textId="77777777" w:rsidR="005C5EB1" w:rsidRPr="007F41C5" w:rsidRDefault="005C5EB1" w:rsidP="005C5EB1">
      <w:pPr>
        <w:rPr>
          <w:rFonts w:cs="Arial"/>
          <w:b/>
          <w:sz w:val="22"/>
        </w:rPr>
      </w:pPr>
    </w:p>
    <w:p w14:paraId="6AE4C8E6" w14:textId="152232F9" w:rsidR="005C5EB1" w:rsidRPr="007F41C5" w:rsidRDefault="005C5EB1" w:rsidP="005C5EB1">
      <w:pPr>
        <w:keepNext/>
        <w:tabs>
          <w:tab w:val="left" w:pos="720"/>
        </w:tabs>
        <w:outlineLvl w:val="2"/>
        <w:rPr>
          <w:rFonts w:cs="Arial"/>
          <w:sz w:val="22"/>
        </w:rPr>
      </w:pPr>
      <w:bookmarkStart w:id="115" w:name="_Toc70326726"/>
      <w:bookmarkStart w:id="116" w:name="_Toc70326959"/>
      <w:bookmarkStart w:id="117" w:name="_Toc70330322"/>
      <w:r>
        <w:rPr>
          <w:rFonts w:cs="Arial"/>
          <w:sz w:val="22"/>
        </w:rPr>
        <w:t xml:space="preserve">Tshipeta tsha mishinga ya lupetu bwa kwenzela mikanu ya bintu bia nyungulukilu wa buloba ne nsombelu wa bantu ludi lwa dollars ya bena Amérique </w:t>
      </w:r>
      <w:r w:rsidR="00202EF2">
        <w:rPr>
          <w:rFonts w:cs="Arial"/>
          <w:b/>
          <w:sz w:val="22"/>
        </w:rPr>
        <w:t>18 675 330</w:t>
      </w:r>
      <w:r w:rsidRPr="007F41C5">
        <w:rPr>
          <w:rFonts w:cs="Arial"/>
          <w:b/>
          <w:sz w:val="22"/>
        </w:rPr>
        <w:t xml:space="preserve"> </w:t>
      </w:r>
      <w:r>
        <w:rPr>
          <w:rFonts w:cs="Arial"/>
          <w:b/>
          <w:sz w:val="22"/>
        </w:rPr>
        <w:t>(</w:t>
      </w:r>
      <w:r w:rsidRPr="007F41C5">
        <w:rPr>
          <w:rFonts w:cs="Arial"/>
          <w:sz w:val="22"/>
        </w:rPr>
        <w:t>USD</w:t>
      </w:r>
      <w:r>
        <w:rPr>
          <w:rFonts w:cs="Arial"/>
          <w:sz w:val="22"/>
        </w:rPr>
        <w:t>)</w:t>
      </w:r>
      <w:r w:rsidRPr="007F41C5">
        <w:rPr>
          <w:rFonts w:cs="Arial"/>
          <w:sz w:val="22"/>
        </w:rPr>
        <w:t xml:space="preserve"> </w:t>
      </w:r>
      <w:r>
        <w:rPr>
          <w:rFonts w:cs="Arial"/>
          <w:sz w:val="22"/>
        </w:rPr>
        <w:t>ibanyibwa bumudibiu bileja mu tshipapu tshidi tshilonda etshi.</w:t>
      </w:r>
      <w:bookmarkEnd w:id="115"/>
      <w:bookmarkEnd w:id="116"/>
      <w:bookmarkEnd w:id="117"/>
      <w:r>
        <w:rPr>
          <w:rFonts w:cs="Arial"/>
          <w:sz w:val="22"/>
        </w:rPr>
        <w:t xml:space="preserve"> </w:t>
      </w:r>
      <w:r w:rsidRPr="007F41C5">
        <w:rPr>
          <w:rFonts w:cs="Arial"/>
          <w:sz w:val="22"/>
        </w:rPr>
        <w:t xml:space="preserve"> </w:t>
      </w:r>
    </w:p>
    <w:p w14:paraId="65FC0023" w14:textId="77777777" w:rsidR="005C5EB1" w:rsidRPr="007F41C5" w:rsidRDefault="005C5EB1" w:rsidP="005C5EB1">
      <w:pPr>
        <w:keepNext/>
        <w:rPr>
          <w:rFonts w:cs="Arial"/>
          <w:sz w:val="22"/>
        </w:rPr>
      </w:pPr>
    </w:p>
    <w:p w14:paraId="0F9E1DCD" w14:textId="77777777" w:rsidR="005C5EB1" w:rsidRPr="005C5EB1" w:rsidRDefault="005C5EB1" w:rsidP="005C5EB1">
      <w:pPr>
        <w:keepNext/>
        <w:rPr>
          <w:rFonts w:eastAsia="Calibri" w:cs="Arial"/>
          <w:bCs/>
          <w:sz w:val="22"/>
          <w:lang w:val="en-US"/>
        </w:rPr>
      </w:pPr>
      <w:r w:rsidRPr="005C5EB1">
        <w:rPr>
          <w:rFonts w:eastAsia="Calibri" w:cs="Arial"/>
          <w:bCs/>
          <w:sz w:val="22"/>
          <w:lang w:val="en-US"/>
        </w:rPr>
        <w:t>Mpetu idi ikengedibwa bwa malu a PCGES</w:t>
      </w:r>
    </w:p>
    <w:p w14:paraId="3FEA0835" w14:textId="77777777" w:rsidR="005C5EB1" w:rsidRPr="005C5EB1" w:rsidRDefault="005C5EB1" w:rsidP="005C5EB1">
      <w:pPr>
        <w:spacing w:line="240" w:lineRule="auto"/>
        <w:rPr>
          <w:rFonts w:cs="Arial"/>
          <w:sz w:val="22"/>
          <w:highlight w:val="yellow"/>
          <w:lang w:val="en-US"/>
        </w:rPr>
      </w:pPr>
    </w:p>
    <w:tbl>
      <w:tblPr>
        <w:tblW w:w="96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6"/>
        <w:gridCol w:w="1588"/>
        <w:gridCol w:w="1276"/>
        <w:gridCol w:w="1417"/>
      </w:tblGrid>
      <w:tr w:rsidR="005C5EB1" w:rsidRPr="007F41C5" w14:paraId="7677E80F" w14:textId="77777777" w:rsidTr="005C5EB1">
        <w:trPr>
          <w:trHeight w:val="260"/>
        </w:trPr>
        <w:tc>
          <w:tcPr>
            <w:tcW w:w="5416" w:type="dxa"/>
          </w:tcPr>
          <w:p w14:paraId="10499EB7" w14:textId="77777777" w:rsidR="005C5EB1" w:rsidRPr="005C5EB1" w:rsidRDefault="005C5EB1" w:rsidP="005C5EB1">
            <w:pPr>
              <w:jc w:val="center"/>
              <w:rPr>
                <w:rFonts w:cs="Arial"/>
                <w:b/>
                <w:sz w:val="22"/>
                <w:lang w:val="en-US"/>
              </w:rPr>
            </w:pPr>
          </w:p>
          <w:p w14:paraId="735A9490" w14:textId="77777777" w:rsidR="005C5EB1" w:rsidRPr="007F41C5" w:rsidRDefault="005C5EB1" w:rsidP="005C5EB1">
            <w:pPr>
              <w:jc w:val="center"/>
              <w:rPr>
                <w:rFonts w:cs="Arial"/>
                <w:b/>
                <w:sz w:val="22"/>
              </w:rPr>
            </w:pPr>
            <w:r>
              <w:rPr>
                <w:rFonts w:cs="Arial"/>
                <w:b/>
                <w:sz w:val="22"/>
              </w:rPr>
              <w:t>Midimu</w:t>
            </w:r>
          </w:p>
        </w:tc>
        <w:tc>
          <w:tcPr>
            <w:tcW w:w="1588" w:type="dxa"/>
          </w:tcPr>
          <w:p w14:paraId="75026074" w14:textId="77777777" w:rsidR="005C5EB1" w:rsidRPr="007F41C5" w:rsidRDefault="005C5EB1" w:rsidP="005C5EB1">
            <w:pPr>
              <w:jc w:val="center"/>
              <w:rPr>
                <w:rFonts w:cs="Arial"/>
                <w:b/>
                <w:bCs/>
                <w:sz w:val="22"/>
              </w:rPr>
            </w:pPr>
          </w:p>
          <w:p w14:paraId="773B43FD" w14:textId="77777777" w:rsidR="005C5EB1" w:rsidRPr="007F41C5" w:rsidRDefault="005C5EB1" w:rsidP="005C5EB1">
            <w:pPr>
              <w:jc w:val="center"/>
              <w:rPr>
                <w:rFonts w:cs="Arial"/>
                <w:sz w:val="22"/>
              </w:rPr>
            </w:pPr>
            <w:r>
              <w:rPr>
                <w:rFonts w:cs="Arial"/>
                <w:b/>
                <w:bCs/>
                <w:sz w:val="22"/>
              </w:rPr>
              <w:t>Bungi</w:t>
            </w:r>
          </w:p>
        </w:tc>
        <w:tc>
          <w:tcPr>
            <w:tcW w:w="1276" w:type="dxa"/>
          </w:tcPr>
          <w:p w14:paraId="37AC38DF" w14:textId="77777777" w:rsidR="005C5EB1" w:rsidRPr="007F41C5" w:rsidRDefault="005C5EB1" w:rsidP="005C5EB1">
            <w:pPr>
              <w:jc w:val="center"/>
              <w:rPr>
                <w:rFonts w:cs="Arial"/>
                <w:b/>
                <w:bCs/>
                <w:sz w:val="22"/>
              </w:rPr>
            </w:pPr>
            <w:r w:rsidRPr="007F41C5">
              <w:rPr>
                <w:rFonts w:cs="Arial"/>
                <w:b/>
                <w:bCs/>
                <w:sz w:val="22"/>
              </w:rPr>
              <w:t xml:space="preserve"> </w:t>
            </w:r>
            <w:r>
              <w:rPr>
                <w:rFonts w:cs="Arial"/>
                <w:b/>
                <w:bCs/>
                <w:sz w:val="22"/>
              </w:rPr>
              <w:t>ushinga pa tshimwe</w:t>
            </w:r>
          </w:p>
          <w:p w14:paraId="650E9581" w14:textId="77777777" w:rsidR="005C5EB1" w:rsidRPr="007F41C5" w:rsidRDefault="005C5EB1" w:rsidP="005C5EB1">
            <w:pPr>
              <w:jc w:val="center"/>
              <w:rPr>
                <w:rFonts w:cs="Arial"/>
                <w:b/>
                <w:sz w:val="22"/>
              </w:rPr>
            </w:pPr>
            <w:r w:rsidRPr="007F41C5">
              <w:rPr>
                <w:rFonts w:cs="Arial"/>
                <w:b/>
                <w:sz w:val="22"/>
              </w:rPr>
              <w:t>(USD)</w:t>
            </w:r>
          </w:p>
        </w:tc>
        <w:tc>
          <w:tcPr>
            <w:tcW w:w="1417" w:type="dxa"/>
          </w:tcPr>
          <w:p w14:paraId="7B8A758A" w14:textId="77777777" w:rsidR="005C5EB1" w:rsidRPr="007F41C5" w:rsidRDefault="005C5EB1" w:rsidP="005C5EB1">
            <w:pPr>
              <w:jc w:val="center"/>
              <w:rPr>
                <w:rFonts w:cs="Arial"/>
                <w:b/>
                <w:bCs/>
                <w:sz w:val="22"/>
                <w:lang w:val="fr-CA"/>
              </w:rPr>
            </w:pPr>
            <w:r>
              <w:rPr>
                <w:rFonts w:cs="Arial"/>
                <w:b/>
                <w:bCs/>
                <w:sz w:val="22"/>
                <w:lang w:val="fr-CA"/>
              </w:rPr>
              <w:t>Tshipeta tsha mushinga</w:t>
            </w:r>
          </w:p>
          <w:p w14:paraId="09CC1CC2" w14:textId="77777777" w:rsidR="005C5EB1" w:rsidRPr="007F41C5" w:rsidRDefault="005C5EB1" w:rsidP="005C5EB1">
            <w:pPr>
              <w:jc w:val="center"/>
              <w:rPr>
                <w:rFonts w:cs="Arial"/>
                <w:sz w:val="22"/>
              </w:rPr>
            </w:pPr>
            <w:r w:rsidRPr="007F41C5">
              <w:rPr>
                <w:rFonts w:cs="Arial"/>
                <w:b/>
                <w:bCs/>
                <w:sz w:val="22"/>
                <w:lang w:val="fr-CA"/>
              </w:rPr>
              <w:t>(USD)</w:t>
            </w:r>
          </w:p>
        </w:tc>
      </w:tr>
      <w:tr w:rsidR="005C5EB1" w:rsidRPr="007F41C5" w14:paraId="2812AE8B" w14:textId="77777777" w:rsidTr="005C5EB1">
        <w:trPr>
          <w:trHeight w:val="276"/>
        </w:trPr>
        <w:tc>
          <w:tcPr>
            <w:tcW w:w="5416" w:type="dxa"/>
          </w:tcPr>
          <w:p w14:paraId="710E8061" w14:textId="77777777" w:rsidR="005C5EB1" w:rsidRPr="007F41C5" w:rsidRDefault="005C5EB1" w:rsidP="005C5EB1">
            <w:pPr>
              <w:rPr>
                <w:rFonts w:cs="Arial"/>
                <w:bCs/>
                <w:sz w:val="22"/>
              </w:rPr>
            </w:pPr>
            <w:r>
              <w:rPr>
                <w:rFonts w:cs="Arial"/>
                <w:bCs/>
                <w:sz w:val="22"/>
              </w:rPr>
              <w:t>Dienzesha ne dienzela malonga</w:t>
            </w:r>
            <w:r w:rsidRPr="007F41C5">
              <w:rPr>
                <w:rFonts w:cs="Arial"/>
                <w:sz w:val="22"/>
              </w:rPr>
              <w:t xml:space="preserve"> </w:t>
            </w:r>
            <w:r w:rsidRPr="007F41C5">
              <w:rPr>
                <w:rFonts w:cs="Arial"/>
                <w:bCs/>
                <w:sz w:val="22"/>
              </w:rPr>
              <w:t>EIES</w:t>
            </w:r>
            <w:r>
              <w:rPr>
                <w:rFonts w:cs="Arial"/>
                <w:bCs/>
                <w:sz w:val="22"/>
              </w:rPr>
              <w:t>/PGES</w:t>
            </w:r>
            <w:r w:rsidRPr="007F41C5">
              <w:rPr>
                <w:rFonts w:cs="Arial"/>
                <w:bCs/>
                <w:sz w:val="22"/>
              </w:rPr>
              <w:t xml:space="preserve">   </w:t>
            </w:r>
          </w:p>
        </w:tc>
        <w:tc>
          <w:tcPr>
            <w:tcW w:w="1588" w:type="dxa"/>
          </w:tcPr>
          <w:p w14:paraId="54601009" w14:textId="77777777" w:rsidR="005C5EB1" w:rsidRPr="007F41C5" w:rsidRDefault="005C5EB1" w:rsidP="005C5EB1">
            <w:pPr>
              <w:ind w:left="-57"/>
              <w:jc w:val="center"/>
              <w:rPr>
                <w:rFonts w:cs="Arial"/>
                <w:sz w:val="22"/>
              </w:rPr>
            </w:pPr>
            <w:r>
              <w:rPr>
                <w:rFonts w:cs="Arial"/>
                <w:sz w:val="22"/>
              </w:rPr>
              <w:t>30</w:t>
            </w:r>
          </w:p>
        </w:tc>
        <w:tc>
          <w:tcPr>
            <w:tcW w:w="1276" w:type="dxa"/>
          </w:tcPr>
          <w:p w14:paraId="0453FA6C" w14:textId="77777777" w:rsidR="005C5EB1" w:rsidRPr="007F41C5" w:rsidRDefault="005C5EB1" w:rsidP="005C5EB1">
            <w:pPr>
              <w:jc w:val="right"/>
              <w:rPr>
                <w:rFonts w:cs="Arial"/>
                <w:sz w:val="22"/>
              </w:rPr>
            </w:pPr>
            <w:r>
              <w:rPr>
                <w:rFonts w:cs="Arial"/>
                <w:sz w:val="22"/>
              </w:rPr>
              <w:t>5</w:t>
            </w:r>
            <w:r w:rsidRPr="007F41C5">
              <w:rPr>
                <w:rFonts w:cs="Arial"/>
                <w:sz w:val="22"/>
              </w:rPr>
              <w:t>0 000</w:t>
            </w:r>
          </w:p>
        </w:tc>
        <w:tc>
          <w:tcPr>
            <w:tcW w:w="1417" w:type="dxa"/>
          </w:tcPr>
          <w:p w14:paraId="24BAA9D9" w14:textId="77777777" w:rsidR="005C5EB1" w:rsidRPr="007F41C5" w:rsidRDefault="005C5EB1" w:rsidP="005C5EB1">
            <w:pPr>
              <w:jc w:val="right"/>
              <w:rPr>
                <w:rFonts w:cs="Arial"/>
                <w:sz w:val="22"/>
              </w:rPr>
            </w:pPr>
            <w:r w:rsidRPr="007F41C5">
              <w:rPr>
                <w:rFonts w:cs="Arial"/>
                <w:sz w:val="22"/>
              </w:rPr>
              <w:t>1 </w:t>
            </w:r>
            <w:r>
              <w:rPr>
                <w:rFonts w:cs="Arial"/>
                <w:sz w:val="22"/>
              </w:rPr>
              <w:t>50</w:t>
            </w:r>
            <w:r w:rsidRPr="007F41C5">
              <w:rPr>
                <w:rFonts w:cs="Arial"/>
                <w:sz w:val="22"/>
              </w:rPr>
              <w:t>0 000</w:t>
            </w:r>
          </w:p>
        </w:tc>
      </w:tr>
      <w:tr w:rsidR="005C5EB1" w:rsidRPr="007F41C5" w14:paraId="16F621AB" w14:textId="77777777" w:rsidTr="005C5EB1">
        <w:trPr>
          <w:trHeight w:val="276"/>
        </w:trPr>
        <w:tc>
          <w:tcPr>
            <w:tcW w:w="5416" w:type="dxa"/>
          </w:tcPr>
          <w:p w14:paraId="6FBED3A0" w14:textId="77777777" w:rsidR="005C5EB1" w:rsidRPr="007F41C5" w:rsidRDefault="005C5EB1" w:rsidP="005C5EB1">
            <w:pPr>
              <w:rPr>
                <w:rFonts w:cs="Arial"/>
                <w:bCs/>
                <w:sz w:val="22"/>
              </w:rPr>
            </w:pPr>
            <w:r>
              <w:rPr>
                <w:rFonts w:cs="Arial"/>
                <w:bCs/>
                <w:sz w:val="22"/>
              </w:rPr>
              <w:t xml:space="preserve">Dilongolwesha malonga a </w:t>
            </w:r>
            <w:r w:rsidRPr="007F41C5">
              <w:rPr>
                <w:rFonts w:cs="Arial"/>
                <w:bCs/>
                <w:sz w:val="22"/>
              </w:rPr>
              <w:t>PAR</w:t>
            </w:r>
          </w:p>
        </w:tc>
        <w:tc>
          <w:tcPr>
            <w:tcW w:w="1588" w:type="dxa"/>
          </w:tcPr>
          <w:p w14:paraId="06C985C2" w14:textId="77777777" w:rsidR="005C5EB1" w:rsidRPr="007F41C5" w:rsidRDefault="005C5EB1" w:rsidP="005C5EB1">
            <w:pPr>
              <w:ind w:left="-57"/>
              <w:jc w:val="center"/>
              <w:rPr>
                <w:rFonts w:cs="Arial"/>
                <w:sz w:val="22"/>
              </w:rPr>
            </w:pPr>
            <w:r>
              <w:rPr>
                <w:rFonts w:cs="Arial"/>
                <w:sz w:val="22"/>
              </w:rPr>
              <w:t>30</w:t>
            </w:r>
          </w:p>
        </w:tc>
        <w:tc>
          <w:tcPr>
            <w:tcW w:w="1276" w:type="dxa"/>
          </w:tcPr>
          <w:p w14:paraId="7C1D14DA" w14:textId="77777777" w:rsidR="005C5EB1" w:rsidRPr="007F41C5" w:rsidRDefault="005C5EB1" w:rsidP="005C5EB1">
            <w:pPr>
              <w:jc w:val="right"/>
              <w:rPr>
                <w:rFonts w:cs="Arial"/>
                <w:sz w:val="22"/>
              </w:rPr>
            </w:pPr>
            <w:r>
              <w:rPr>
                <w:rFonts w:cs="Arial"/>
                <w:sz w:val="22"/>
              </w:rPr>
              <w:t>6</w:t>
            </w:r>
            <w:r w:rsidRPr="007F41C5">
              <w:rPr>
                <w:rFonts w:cs="Arial"/>
                <w:sz w:val="22"/>
              </w:rPr>
              <w:t>0 000</w:t>
            </w:r>
          </w:p>
        </w:tc>
        <w:tc>
          <w:tcPr>
            <w:tcW w:w="1417" w:type="dxa"/>
          </w:tcPr>
          <w:p w14:paraId="02B5E3F0" w14:textId="77777777" w:rsidR="005C5EB1" w:rsidRPr="007F41C5" w:rsidRDefault="005C5EB1" w:rsidP="005C5EB1">
            <w:pPr>
              <w:jc w:val="right"/>
              <w:rPr>
                <w:rFonts w:cs="Arial"/>
                <w:sz w:val="22"/>
              </w:rPr>
            </w:pPr>
            <w:r w:rsidRPr="007F41C5">
              <w:rPr>
                <w:rFonts w:cs="Arial"/>
                <w:sz w:val="22"/>
              </w:rPr>
              <w:t>1 </w:t>
            </w:r>
            <w:r>
              <w:rPr>
                <w:rFonts w:cs="Arial"/>
                <w:sz w:val="22"/>
              </w:rPr>
              <w:t>80</w:t>
            </w:r>
            <w:r w:rsidRPr="007F41C5">
              <w:rPr>
                <w:rFonts w:cs="Arial"/>
                <w:sz w:val="22"/>
              </w:rPr>
              <w:t>0 000</w:t>
            </w:r>
          </w:p>
        </w:tc>
      </w:tr>
      <w:tr w:rsidR="005C5EB1" w:rsidRPr="007F41C5" w14:paraId="600225A3" w14:textId="77777777" w:rsidTr="005C5EB1">
        <w:trPr>
          <w:trHeight w:val="276"/>
        </w:trPr>
        <w:tc>
          <w:tcPr>
            <w:tcW w:w="5416" w:type="dxa"/>
          </w:tcPr>
          <w:p w14:paraId="7B76486E" w14:textId="77777777" w:rsidR="005C5EB1" w:rsidRPr="007F41C5" w:rsidRDefault="005C5EB1" w:rsidP="005C5EB1">
            <w:pPr>
              <w:rPr>
                <w:rFonts w:cs="Arial"/>
                <w:bCs/>
                <w:sz w:val="22"/>
              </w:rPr>
            </w:pPr>
            <w:r>
              <w:rPr>
                <w:rFonts w:cs="Arial"/>
                <w:bCs/>
                <w:sz w:val="22"/>
              </w:rPr>
              <w:lastRenderedPageBreak/>
              <w:t xml:space="preserve">Ditumikila malonga a </w:t>
            </w:r>
            <w:r w:rsidRPr="007F41C5">
              <w:rPr>
                <w:rFonts w:cs="Arial"/>
                <w:bCs/>
                <w:sz w:val="22"/>
              </w:rPr>
              <w:t>PAR</w:t>
            </w:r>
          </w:p>
        </w:tc>
        <w:tc>
          <w:tcPr>
            <w:tcW w:w="1588" w:type="dxa"/>
          </w:tcPr>
          <w:p w14:paraId="03C5945B" w14:textId="77777777" w:rsidR="005C5EB1" w:rsidRPr="007F41C5" w:rsidRDefault="005C5EB1" w:rsidP="005C5EB1">
            <w:pPr>
              <w:ind w:left="-57"/>
              <w:jc w:val="center"/>
              <w:rPr>
                <w:rFonts w:cs="Arial"/>
                <w:sz w:val="22"/>
              </w:rPr>
            </w:pPr>
            <w:r>
              <w:rPr>
                <w:rFonts w:cs="Arial"/>
                <w:sz w:val="22"/>
              </w:rPr>
              <w:t>30</w:t>
            </w:r>
          </w:p>
        </w:tc>
        <w:tc>
          <w:tcPr>
            <w:tcW w:w="1276" w:type="dxa"/>
          </w:tcPr>
          <w:p w14:paraId="4DD92C38" w14:textId="77777777" w:rsidR="005C5EB1" w:rsidRPr="007F41C5" w:rsidRDefault="005C5EB1" w:rsidP="005C5EB1">
            <w:pPr>
              <w:jc w:val="right"/>
              <w:rPr>
                <w:rFonts w:cs="Arial"/>
                <w:sz w:val="22"/>
              </w:rPr>
            </w:pPr>
            <w:r w:rsidRPr="007F41C5">
              <w:rPr>
                <w:rFonts w:cs="Arial"/>
                <w:sz w:val="22"/>
              </w:rPr>
              <w:t>40 000</w:t>
            </w:r>
          </w:p>
        </w:tc>
        <w:tc>
          <w:tcPr>
            <w:tcW w:w="1417" w:type="dxa"/>
          </w:tcPr>
          <w:p w14:paraId="1F822CEC" w14:textId="77777777" w:rsidR="005C5EB1" w:rsidRPr="007F41C5" w:rsidRDefault="005C5EB1" w:rsidP="005C5EB1">
            <w:pPr>
              <w:jc w:val="center"/>
              <w:rPr>
                <w:rFonts w:cs="Arial"/>
                <w:sz w:val="22"/>
              </w:rPr>
            </w:pPr>
            <w:r>
              <w:rPr>
                <w:rFonts w:cs="Arial"/>
                <w:sz w:val="22"/>
              </w:rPr>
              <w:t xml:space="preserve">   </w:t>
            </w:r>
            <w:r w:rsidRPr="007F41C5">
              <w:rPr>
                <w:rFonts w:cs="Arial"/>
                <w:sz w:val="22"/>
              </w:rPr>
              <w:t xml:space="preserve">1 </w:t>
            </w:r>
            <w:r>
              <w:rPr>
                <w:rFonts w:cs="Arial"/>
                <w:sz w:val="22"/>
              </w:rPr>
              <w:t>20</w:t>
            </w:r>
            <w:r w:rsidRPr="007F41C5">
              <w:rPr>
                <w:rFonts w:cs="Arial"/>
                <w:sz w:val="22"/>
              </w:rPr>
              <w:t>0 000</w:t>
            </w:r>
          </w:p>
        </w:tc>
      </w:tr>
      <w:tr w:rsidR="005C5EB1" w:rsidRPr="007F41C5" w14:paraId="23E30B93" w14:textId="77777777" w:rsidTr="005C5EB1">
        <w:trPr>
          <w:trHeight w:val="276"/>
        </w:trPr>
        <w:tc>
          <w:tcPr>
            <w:tcW w:w="5416" w:type="dxa"/>
          </w:tcPr>
          <w:p w14:paraId="4D6AB821" w14:textId="77777777" w:rsidR="005C5EB1" w:rsidRPr="007F41C5" w:rsidRDefault="005C5EB1" w:rsidP="005C5EB1">
            <w:pPr>
              <w:rPr>
                <w:rFonts w:cs="Arial"/>
                <w:bCs/>
                <w:sz w:val="22"/>
              </w:rPr>
            </w:pPr>
            <w:r>
              <w:rPr>
                <w:rFonts w:cs="Arial"/>
                <w:bCs/>
                <w:sz w:val="22"/>
              </w:rPr>
              <w:t xml:space="preserve">Dilongolwesha mukanda wa </w:t>
            </w:r>
            <w:r w:rsidRPr="007F41C5">
              <w:rPr>
                <w:rFonts w:cs="Arial"/>
                <w:bCs/>
                <w:sz w:val="22"/>
              </w:rPr>
              <w:t>PG</w:t>
            </w:r>
            <w:r>
              <w:rPr>
                <w:rFonts w:cs="Arial"/>
                <w:bCs/>
                <w:sz w:val="22"/>
              </w:rPr>
              <w:t>ES</w:t>
            </w:r>
          </w:p>
        </w:tc>
        <w:tc>
          <w:tcPr>
            <w:tcW w:w="1588" w:type="dxa"/>
          </w:tcPr>
          <w:p w14:paraId="1226A2A2" w14:textId="77777777" w:rsidR="005C5EB1" w:rsidRPr="007F41C5" w:rsidRDefault="005C5EB1" w:rsidP="005C5EB1">
            <w:pPr>
              <w:ind w:left="-57"/>
              <w:jc w:val="center"/>
              <w:rPr>
                <w:rFonts w:cs="Arial"/>
                <w:sz w:val="22"/>
              </w:rPr>
            </w:pPr>
            <w:r w:rsidRPr="007F41C5">
              <w:rPr>
                <w:rFonts w:cs="Arial"/>
                <w:sz w:val="22"/>
              </w:rPr>
              <w:t>1</w:t>
            </w:r>
          </w:p>
        </w:tc>
        <w:tc>
          <w:tcPr>
            <w:tcW w:w="1276" w:type="dxa"/>
          </w:tcPr>
          <w:p w14:paraId="6F39CFC1" w14:textId="77777777" w:rsidR="005C5EB1" w:rsidRPr="007F41C5" w:rsidRDefault="005C5EB1" w:rsidP="005C5EB1">
            <w:pPr>
              <w:jc w:val="right"/>
              <w:rPr>
                <w:rFonts w:cs="Arial"/>
                <w:sz w:val="22"/>
              </w:rPr>
            </w:pPr>
            <w:r>
              <w:rPr>
                <w:rFonts w:cs="Arial"/>
                <w:sz w:val="22"/>
              </w:rPr>
              <w:t>10</w:t>
            </w:r>
            <w:r w:rsidRPr="007F41C5">
              <w:rPr>
                <w:rFonts w:cs="Arial"/>
                <w:sz w:val="22"/>
              </w:rPr>
              <w:t>0 000</w:t>
            </w:r>
          </w:p>
        </w:tc>
        <w:tc>
          <w:tcPr>
            <w:tcW w:w="1417" w:type="dxa"/>
          </w:tcPr>
          <w:p w14:paraId="17E41414" w14:textId="77777777" w:rsidR="005C5EB1" w:rsidRPr="007F41C5" w:rsidRDefault="005C5EB1" w:rsidP="005C5EB1">
            <w:pPr>
              <w:jc w:val="center"/>
              <w:rPr>
                <w:rFonts w:cs="Arial"/>
                <w:sz w:val="22"/>
              </w:rPr>
            </w:pPr>
            <w:r>
              <w:rPr>
                <w:rFonts w:cs="Arial"/>
                <w:sz w:val="22"/>
              </w:rPr>
              <w:t xml:space="preserve">      10</w:t>
            </w:r>
            <w:r w:rsidRPr="007F41C5">
              <w:rPr>
                <w:rFonts w:cs="Arial"/>
                <w:sz w:val="22"/>
              </w:rPr>
              <w:t>0 000</w:t>
            </w:r>
          </w:p>
        </w:tc>
      </w:tr>
      <w:tr w:rsidR="005C5EB1" w:rsidRPr="007F41C5" w14:paraId="55DE92E5" w14:textId="77777777" w:rsidTr="005C5EB1">
        <w:trPr>
          <w:trHeight w:val="276"/>
        </w:trPr>
        <w:tc>
          <w:tcPr>
            <w:tcW w:w="5416" w:type="dxa"/>
          </w:tcPr>
          <w:p w14:paraId="583FC4BE" w14:textId="77777777" w:rsidR="005C5EB1" w:rsidRPr="007F41C5" w:rsidRDefault="005C5EB1" w:rsidP="005C5EB1">
            <w:pPr>
              <w:rPr>
                <w:rFonts w:cs="Arial"/>
                <w:bCs/>
                <w:sz w:val="22"/>
              </w:rPr>
            </w:pPr>
            <w:r>
              <w:rPr>
                <w:rFonts w:cs="Arial"/>
                <w:bCs/>
                <w:sz w:val="22"/>
              </w:rPr>
              <w:t xml:space="preserve">Dilongolwesha ne ditumikila malonga a </w:t>
            </w:r>
            <w:r w:rsidRPr="007F41C5">
              <w:rPr>
                <w:rFonts w:cs="Arial"/>
                <w:bCs/>
                <w:sz w:val="22"/>
              </w:rPr>
              <w:t>P</w:t>
            </w:r>
            <w:r>
              <w:rPr>
                <w:rFonts w:cs="Arial"/>
                <w:bCs/>
                <w:sz w:val="22"/>
              </w:rPr>
              <w:t>GB</w:t>
            </w:r>
          </w:p>
        </w:tc>
        <w:tc>
          <w:tcPr>
            <w:tcW w:w="1588" w:type="dxa"/>
          </w:tcPr>
          <w:p w14:paraId="216B8BA9" w14:textId="77777777" w:rsidR="005C5EB1" w:rsidRPr="007F41C5" w:rsidRDefault="005C5EB1" w:rsidP="005C5EB1">
            <w:pPr>
              <w:ind w:left="-57"/>
              <w:jc w:val="center"/>
              <w:rPr>
                <w:rFonts w:cs="Arial"/>
                <w:sz w:val="22"/>
              </w:rPr>
            </w:pPr>
            <w:r w:rsidRPr="007F41C5">
              <w:rPr>
                <w:rFonts w:cs="Arial"/>
                <w:sz w:val="22"/>
              </w:rPr>
              <w:t>1</w:t>
            </w:r>
          </w:p>
        </w:tc>
        <w:tc>
          <w:tcPr>
            <w:tcW w:w="1276" w:type="dxa"/>
          </w:tcPr>
          <w:p w14:paraId="35D995AE" w14:textId="77777777" w:rsidR="005C5EB1" w:rsidRPr="007F41C5" w:rsidRDefault="005C5EB1" w:rsidP="005C5EB1">
            <w:pPr>
              <w:jc w:val="right"/>
              <w:rPr>
                <w:rFonts w:cs="Arial"/>
                <w:sz w:val="22"/>
              </w:rPr>
            </w:pPr>
            <w:r>
              <w:rPr>
                <w:rFonts w:cs="Arial"/>
                <w:sz w:val="22"/>
              </w:rPr>
              <w:t>3</w:t>
            </w:r>
            <w:r w:rsidRPr="007F41C5">
              <w:rPr>
                <w:rFonts w:cs="Arial"/>
                <w:sz w:val="22"/>
              </w:rPr>
              <w:t>00 000</w:t>
            </w:r>
          </w:p>
        </w:tc>
        <w:tc>
          <w:tcPr>
            <w:tcW w:w="1417" w:type="dxa"/>
          </w:tcPr>
          <w:p w14:paraId="77501265" w14:textId="77777777" w:rsidR="005C5EB1" w:rsidRPr="007F41C5" w:rsidRDefault="005C5EB1" w:rsidP="005C5EB1">
            <w:pPr>
              <w:jc w:val="center"/>
              <w:rPr>
                <w:rFonts w:cs="Arial"/>
                <w:sz w:val="22"/>
              </w:rPr>
            </w:pPr>
            <w:r>
              <w:rPr>
                <w:rFonts w:cs="Arial"/>
                <w:sz w:val="22"/>
              </w:rPr>
              <w:t xml:space="preserve">     </w:t>
            </w:r>
            <w:r w:rsidRPr="007F41C5">
              <w:rPr>
                <w:rFonts w:cs="Arial"/>
                <w:sz w:val="22"/>
              </w:rPr>
              <w:t xml:space="preserve"> 500 000</w:t>
            </w:r>
          </w:p>
        </w:tc>
      </w:tr>
      <w:tr w:rsidR="005C5EB1" w:rsidRPr="007F41C5" w14:paraId="69838079" w14:textId="77777777" w:rsidTr="005C5EB1">
        <w:trPr>
          <w:trHeight w:val="276"/>
        </w:trPr>
        <w:tc>
          <w:tcPr>
            <w:tcW w:w="5416" w:type="dxa"/>
          </w:tcPr>
          <w:p w14:paraId="56B62BBD" w14:textId="77777777" w:rsidR="005C5EB1" w:rsidRPr="007F41C5" w:rsidRDefault="005C5EB1" w:rsidP="005C5EB1">
            <w:pPr>
              <w:rPr>
                <w:rFonts w:cs="Arial"/>
                <w:bCs/>
                <w:sz w:val="22"/>
              </w:rPr>
            </w:pPr>
            <w:r>
              <w:rPr>
                <w:rFonts w:cs="Arial"/>
                <w:bCs/>
                <w:sz w:val="22"/>
              </w:rPr>
              <w:t xml:space="preserve">Ditumikila </w:t>
            </w:r>
            <w:r w:rsidRPr="007F41C5">
              <w:rPr>
                <w:rFonts w:cs="Arial"/>
                <w:bCs/>
                <w:sz w:val="22"/>
              </w:rPr>
              <w:t xml:space="preserve"> </w:t>
            </w:r>
            <w:r>
              <w:rPr>
                <w:rFonts w:cs="Arial"/>
                <w:bCs/>
                <w:sz w:val="22"/>
              </w:rPr>
              <w:t xml:space="preserve">PMPP ne </w:t>
            </w:r>
            <w:r w:rsidRPr="007F41C5">
              <w:rPr>
                <w:rFonts w:cs="Arial"/>
                <w:bCs/>
                <w:sz w:val="22"/>
              </w:rPr>
              <w:t xml:space="preserve">MGP </w:t>
            </w:r>
            <w:r>
              <w:rPr>
                <w:rFonts w:cs="Arial"/>
                <w:bCs/>
                <w:sz w:val="22"/>
              </w:rPr>
              <w:t>wa mudimu bwa malu a VBG</w:t>
            </w:r>
          </w:p>
        </w:tc>
        <w:tc>
          <w:tcPr>
            <w:tcW w:w="1588" w:type="dxa"/>
          </w:tcPr>
          <w:p w14:paraId="25B8D59E" w14:textId="77777777" w:rsidR="005C5EB1" w:rsidRPr="007F41C5" w:rsidRDefault="005C5EB1" w:rsidP="005C5EB1">
            <w:pPr>
              <w:ind w:left="-57"/>
              <w:jc w:val="center"/>
              <w:rPr>
                <w:rFonts w:cs="Arial"/>
                <w:sz w:val="22"/>
              </w:rPr>
            </w:pPr>
            <w:r w:rsidRPr="007F41C5">
              <w:rPr>
                <w:rFonts w:cs="Arial"/>
                <w:sz w:val="22"/>
              </w:rPr>
              <w:t>1</w:t>
            </w:r>
          </w:p>
        </w:tc>
        <w:tc>
          <w:tcPr>
            <w:tcW w:w="1276" w:type="dxa"/>
          </w:tcPr>
          <w:p w14:paraId="3EE7CDB7" w14:textId="77777777" w:rsidR="005C5EB1" w:rsidRPr="007F41C5" w:rsidRDefault="005C5EB1" w:rsidP="005C5EB1">
            <w:pPr>
              <w:jc w:val="right"/>
              <w:rPr>
                <w:rFonts w:cs="Arial"/>
                <w:sz w:val="22"/>
              </w:rPr>
            </w:pPr>
            <w:r w:rsidRPr="007F41C5">
              <w:rPr>
                <w:rFonts w:cs="Arial"/>
                <w:sz w:val="22"/>
              </w:rPr>
              <w:t xml:space="preserve">2 </w:t>
            </w:r>
            <w:r>
              <w:rPr>
                <w:rFonts w:cs="Arial"/>
                <w:sz w:val="22"/>
              </w:rPr>
              <w:t>323</w:t>
            </w:r>
            <w:r w:rsidRPr="007F41C5">
              <w:rPr>
                <w:rFonts w:cs="Arial"/>
                <w:sz w:val="22"/>
              </w:rPr>
              <w:t xml:space="preserve"> 000</w:t>
            </w:r>
          </w:p>
        </w:tc>
        <w:tc>
          <w:tcPr>
            <w:tcW w:w="1417" w:type="dxa"/>
          </w:tcPr>
          <w:p w14:paraId="5DCBAB9D" w14:textId="77777777" w:rsidR="005C5EB1" w:rsidRPr="007F41C5" w:rsidRDefault="005C5EB1" w:rsidP="005C5EB1">
            <w:pPr>
              <w:jc w:val="right"/>
              <w:rPr>
                <w:rFonts w:cs="Arial"/>
                <w:sz w:val="22"/>
              </w:rPr>
            </w:pPr>
            <w:r>
              <w:rPr>
                <w:rFonts w:cs="Arial"/>
                <w:sz w:val="22"/>
              </w:rPr>
              <w:t xml:space="preserve"> 2 323</w:t>
            </w:r>
            <w:r w:rsidRPr="007F41C5">
              <w:rPr>
                <w:rFonts w:cs="Arial"/>
                <w:sz w:val="22"/>
              </w:rPr>
              <w:t xml:space="preserve"> 000</w:t>
            </w:r>
          </w:p>
        </w:tc>
      </w:tr>
      <w:tr w:rsidR="005C5EB1" w:rsidRPr="007F41C5" w14:paraId="19BD3865" w14:textId="77777777" w:rsidTr="005C5EB1">
        <w:trPr>
          <w:trHeight w:val="260"/>
        </w:trPr>
        <w:tc>
          <w:tcPr>
            <w:tcW w:w="5416" w:type="dxa"/>
          </w:tcPr>
          <w:p w14:paraId="74E48502" w14:textId="77777777" w:rsidR="005C5EB1" w:rsidRPr="007F41C5" w:rsidRDefault="005C5EB1" w:rsidP="005C5EB1">
            <w:pPr>
              <w:rPr>
                <w:rFonts w:cs="Arial"/>
                <w:sz w:val="22"/>
              </w:rPr>
            </w:pPr>
            <w:r>
              <w:rPr>
                <w:rFonts w:cs="Arial"/>
                <w:bCs/>
                <w:sz w:val="22"/>
              </w:rPr>
              <w:t xml:space="preserve">Diambulwisha bwa kulongolola miaba ya kwangatshila maloba bwa midimu </w:t>
            </w:r>
          </w:p>
        </w:tc>
        <w:tc>
          <w:tcPr>
            <w:tcW w:w="1588" w:type="dxa"/>
          </w:tcPr>
          <w:p w14:paraId="7DCFA2DF" w14:textId="77777777" w:rsidR="005C5EB1" w:rsidRPr="007F41C5" w:rsidRDefault="005C5EB1" w:rsidP="005C5EB1">
            <w:pPr>
              <w:jc w:val="center"/>
              <w:rPr>
                <w:rFonts w:cs="Arial"/>
                <w:sz w:val="22"/>
              </w:rPr>
            </w:pPr>
            <w:r w:rsidRPr="007F41C5">
              <w:rPr>
                <w:rFonts w:cs="Arial"/>
                <w:sz w:val="22"/>
              </w:rPr>
              <w:t>5</w:t>
            </w:r>
          </w:p>
        </w:tc>
        <w:tc>
          <w:tcPr>
            <w:tcW w:w="1276" w:type="dxa"/>
          </w:tcPr>
          <w:p w14:paraId="21A83CAD" w14:textId="77777777" w:rsidR="005C5EB1" w:rsidRPr="007F41C5" w:rsidRDefault="005C5EB1" w:rsidP="005C5EB1">
            <w:pPr>
              <w:jc w:val="right"/>
              <w:rPr>
                <w:rFonts w:cs="Arial"/>
                <w:sz w:val="22"/>
              </w:rPr>
            </w:pPr>
            <w:r w:rsidRPr="007F41C5">
              <w:rPr>
                <w:rFonts w:cs="Arial"/>
                <w:sz w:val="22"/>
              </w:rPr>
              <w:t>50 000</w:t>
            </w:r>
          </w:p>
        </w:tc>
        <w:tc>
          <w:tcPr>
            <w:tcW w:w="1417" w:type="dxa"/>
          </w:tcPr>
          <w:p w14:paraId="4E2C6F78" w14:textId="77777777" w:rsidR="005C5EB1" w:rsidRPr="007F41C5" w:rsidRDefault="005C5EB1" w:rsidP="005C5EB1">
            <w:pPr>
              <w:jc w:val="right"/>
              <w:rPr>
                <w:rFonts w:cs="Arial"/>
                <w:sz w:val="22"/>
              </w:rPr>
            </w:pPr>
            <w:r w:rsidRPr="007F41C5">
              <w:rPr>
                <w:rFonts w:cs="Arial"/>
                <w:sz w:val="22"/>
              </w:rPr>
              <w:t>250 000 </w:t>
            </w:r>
          </w:p>
        </w:tc>
      </w:tr>
      <w:tr w:rsidR="005C5EB1" w:rsidRPr="007F41C5" w14:paraId="02B392D8" w14:textId="77777777" w:rsidTr="005C5EB1">
        <w:trPr>
          <w:trHeight w:val="260"/>
        </w:trPr>
        <w:tc>
          <w:tcPr>
            <w:tcW w:w="5416" w:type="dxa"/>
          </w:tcPr>
          <w:p w14:paraId="0B294074" w14:textId="77777777" w:rsidR="005C5EB1" w:rsidRPr="00D93664" w:rsidRDefault="005C5EB1" w:rsidP="005C5EB1">
            <w:pPr>
              <w:rPr>
                <w:rFonts w:cs="Arial"/>
                <w:sz w:val="22"/>
                <w:lang w:val="en-US"/>
              </w:rPr>
            </w:pPr>
            <w:r w:rsidRPr="00D93664">
              <w:rPr>
                <w:rFonts w:cs="Arial"/>
                <w:sz w:val="22"/>
                <w:lang w:val="en-US"/>
              </w:rPr>
              <w:t>Dipesha biamwa bia midimu ya madi</w:t>
            </w:r>
            <w:r>
              <w:rPr>
                <w:rFonts w:cs="Arial"/>
                <w:sz w:val="22"/>
                <w:lang w:val="en-US"/>
              </w:rPr>
              <w:t>mi</w:t>
            </w:r>
          </w:p>
        </w:tc>
        <w:tc>
          <w:tcPr>
            <w:tcW w:w="1588" w:type="dxa"/>
          </w:tcPr>
          <w:p w14:paraId="489A59BD" w14:textId="77777777" w:rsidR="005C5EB1" w:rsidRPr="007F41C5" w:rsidRDefault="005C5EB1" w:rsidP="005C5EB1">
            <w:pPr>
              <w:jc w:val="center"/>
              <w:rPr>
                <w:rFonts w:cs="Arial"/>
                <w:sz w:val="22"/>
              </w:rPr>
            </w:pPr>
            <w:r w:rsidRPr="007F41C5">
              <w:rPr>
                <w:rFonts w:cs="Arial"/>
                <w:sz w:val="22"/>
              </w:rPr>
              <w:t>-</w:t>
            </w:r>
          </w:p>
        </w:tc>
        <w:tc>
          <w:tcPr>
            <w:tcW w:w="1276" w:type="dxa"/>
          </w:tcPr>
          <w:p w14:paraId="647178F5" w14:textId="77777777" w:rsidR="005C5EB1" w:rsidRPr="007F41C5" w:rsidRDefault="005C5EB1" w:rsidP="005C5EB1">
            <w:pPr>
              <w:jc w:val="right"/>
              <w:rPr>
                <w:rFonts w:cs="Arial"/>
                <w:sz w:val="22"/>
              </w:rPr>
            </w:pPr>
            <w:r w:rsidRPr="007F41C5">
              <w:rPr>
                <w:rFonts w:cs="Arial"/>
                <w:sz w:val="22"/>
              </w:rPr>
              <w:t>PM</w:t>
            </w:r>
          </w:p>
        </w:tc>
        <w:tc>
          <w:tcPr>
            <w:tcW w:w="1417" w:type="dxa"/>
          </w:tcPr>
          <w:p w14:paraId="703A2BEA" w14:textId="77777777" w:rsidR="005C5EB1" w:rsidRPr="007F41C5" w:rsidRDefault="005C5EB1" w:rsidP="005C5EB1">
            <w:pPr>
              <w:jc w:val="right"/>
              <w:rPr>
                <w:rFonts w:cs="Arial"/>
                <w:sz w:val="22"/>
              </w:rPr>
            </w:pPr>
            <w:r>
              <w:rPr>
                <w:rFonts w:cs="Arial"/>
                <w:sz w:val="22"/>
              </w:rPr>
              <w:t>0</w:t>
            </w:r>
            <w:r w:rsidRPr="007F41C5">
              <w:rPr>
                <w:rFonts w:cs="Arial"/>
                <w:sz w:val="22"/>
              </w:rPr>
              <w:t xml:space="preserve"> </w:t>
            </w:r>
          </w:p>
        </w:tc>
      </w:tr>
      <w:tr w:rsidR="005C5EB1" w:rsidRPr="007F41C5" w14:paraId="364D1F8D" w14:textId="77777777" w:rsidTr="005C5EB1">
        <w:trPr>
          <w:trHeight w:val="260"/>
        </w:trPr>
        <w:tc>
          <w:tcPr>
            <w:tcW w:w="5416" w:type="dxa"/>
          </w:tcPr>
          <w:p w14:paraId="3E150C0F" w14:textId="77777777" w:rsidR="005C5EB1" w:rsidRPr="007F41C5" w:rsidRDefault="005C5EB1" w:rsidP="005C5EB1">
            <w:pPr>
              <w:rPr>
                <w:rFonts w:cs="Arial"/>
                <w:sz w:val="22"/>
              </w:rPr>
            </w:pPr>
            <w:r w:rsidRPr="007F41C5">
              <w:rPr>
                <w:rFonts w:cs="Arial"/>
                <w:sz w:val="22"/>
              </w:rPr>
              <w:t>D</w:t>
            </w:r>
            <w:r>
              <w:rPr>
                <w:rFonts w:cs="Arial"/>
                <w:sz w:val="22"/>
              </w:rPr>
              <w:t>ipesha maminu a bikunyibwa</w:t>
            </w:r>
          </w:p>
        </w:tc>
        <w:tc>
          <w:tcPr>
            <w:tcW w:w="1588" w:type="dxa"/>
          </w:tcPr>
          <w:p w14:paraId="487C8001" w14:textId="77777777" w:rsidR="005C5EB1" w:rsidRPr="007F41C5" w:rsidRDefault="005C5EB1" w:rsidP="005C5EB1">
            <w:pPr>
              <w:jc w:val="center"/>
              <w:rPr>
                <w:rFonts w:cs="Arial"/>
                <w:sz w:val="22"/>
              </w:rPr>
            </w:pPr>
            <w:r>
              <w:rPr>
                <w:rFonts w:cs="Arial"/>
                <w:sz w:val="22"/>
              </w:rPr>
              <w:t>-</w:t>
            </w:r>
          </w:p>
        </w:tc>
        <w:tc>
          <w:tcPr>
            <w:tcW w:w="1276" w:type="dxa"/>
          </w:tcPr>
          <w:p w14:paraId="6B478E10" w14:textId="77777777" w:rsidR="005C5EB1" w:rsidRPr="007F41C5" w:rsidRDefault="005C5EB1" w:rsidP="005C5EB1">
            <w:pPr>
              <w:jc w:val="right"/>
              <w:rPr>
                <w:rFonts w:cs="Arial"/>
                <w:sz w:val="22"/>
              </w:rPr>
            </w:pPr>
            <w:r w:rsidRPr="007F41C5">
              <w:rPr>
                <w:rFonts w:cs="Arial"/>
                <w:sz w:val="22"/>
              </w:rPr>
              <w:t>PM</w:t>
            </w:r>
          </w:p>
        </w:tc>
        <w:tc>
          <w:tcPr>
            <w:tcW w:w="1417" w:type="dxa"/>
          </w:tcPr>
          <w:p w14:paraId="3321E4A3" w14:textId="77777777" w:rsidR="005C5EB1" w:rsidRPr="007F41C5" w:rsidRDefault="005C5EB1" w:rsidP="005C5EB1">
            <w:pPr>
              <w:jc w:val="right"/>
              <w:rPr>
                <w:rFonts w:cs="Arial"/>
                <w:sz w:val="22"/>
              </w:rPr>
            </w:pPr>
            <w:r>
              <w:rPr>
                <w:rFonts w:cs="Arial"/>
                <w:sz w:val="22"/>
              </w:rPr>
              <w:t>0</w:t>
            </w:r>
          </w:p>
        </w:tc>
      </w:tr>
      <w:tr w:rsidR="005C5EB1" w:rsidRPr="007F41C5" w14:paraId="2C17F75B" w14:textId="77777777" w:rsidTr="005C5EB1">
        <w:trPr>
          <w:trHeight w:val="260"/>
        </w:trPr>
        <w:tc>
          <w:tcPr>
            <w:tcW w:w="5416" w:type="dxa"/>
          </w:tcPr>
          <w:p w14:paraId="47C03200" w14:textId="77777777" w:rsidR="005C5EB1" w:rsidRPr="007F41C5" w:rsidRDefault="005C5EB1" w:rsidP="005C5EB1">
            <w:pPr>
              <w:rPr>
                <w:rFonts w:cs="Arial"/>
                <w:sz w:val="22"/>
              </w:rPr>
            </w:pPr>
            <w:r>
              <w:rPr>
                <w:rFonts w:cs="Arial"/>
                <w:bCs/>
                <w:sz w:val="22"/>
              </w:rPr>
              <w:t>Dileja malu a bintu bia nyungulukilu wa buloba na nsombelu wa bantu</w:t>
            </w:r>
          </w:p>
        </w:tc>
        <w:tc>
          <w:tcPr>
            <w:tcW w:w="1588" w:type="dxa"/>
          </w:tcPr>
          <w:p w14:paraId="334AF24F" w14:textId="77777777" w:rsidR="005C5EB1" w:rsidRPr="007F41C5" w:rsidRDefault="005C5EB1" w:rsidP="005C5EB1">
            <w:pPr>
              <w:jc w:val="center"/>
              <w:rPr>
                <w:rFonts w:cs="Arial"/>
                <w:sz w:val="22"/>
              </w:rPr>
            </w:pPr>
            <w:r w:rsidRPr="007F41C5">
              <w:rPr>
                <w:rFonts w:cs="Arial"/>
                <w:sz w:val="22"/>
              </w:rPr>
              <w:t>2</w:t>
            </w:r>
          </w:p>
        </w:tc>
        <w:tc>
          <w:tcPr>
            <w:tcW w:w="1276" w:type="dxa"/>
          </w:tcPr>
          <w:p w14:paraId="5D3E7F0A" w14:textId="77777777" w:rsidR="005C5EB1" w:rsidRPr="007F41C5" w:rsidRDefault="005C5EB1" w:rsidP="005C5EB1">
            <w:pPr>
              <w:jc w:val="right"/>
              <w:rPr>
                <w:rFonts w:cs="Arial"/>
                <w:sz w:val="22"/>
              </w:rPr>
            </w:pPr>
            <w:r w:rsidRPr="007F41C5">
              <w:rPr>
                <w:rFonts w:cs="Arial"/>
                <w:sz w:val="22"/>
              </w:rPr>
              <w:t>50 000</w:t>
            </w:r>
          </w:p>
        </w:tc>
        <w:tc>
          <w:tcPr>
            <w:tcW w:w="1417" w:type="dxa"/>
          </w:tcPr>
          <w:p w14:paraId="419C8144" w14:textId="77777777" w:rsidR="005C5EB1" w:rsidRPr="007F41C5" w:rsidRDefault="005C5EB1" w:rsidP="005C5EB1">
            <w:pPr>
              <w:jc w:val="right"/>
              <w:rPr>
                <w:rFonts w:cs="Arial"/>
                <w:sz w:val="22"/>
              </w:rPr>
            </w:pPr>
            <w:r w:rsidRPr="007F41C5">
              <w:rPr>
                <w:rFonts w:cs="Arial"/>
                <w:sz w:val="22"/>
              </w:rPr>
              <w:t>100 000</w:t>
            </w:r>
          </w:p>
        </w:tc>
      </w:tr>
      <w:tr w:rsidR="005C5EB1" w:rsidRPr="007F41C5" w14:paraId="3588A3A6" w14:textId="77777777" w:rsidTr="005C5EB1">
        <w:trPr>
          <w:trHeight w:val="260"/>
        </w:trPr>
        <w:tc>
          <w:tcPr>
            <w:tcW w:w="5416" w:type="dxa"/>
          </w:tcPr>
          <w:p w14:paraId="2E7915E2" w14:textId="77777777" w:rsidR="005C5EB1" w:rsidRPr="007F41C5" w:rsidRDefault="005C5EB1" w:rsidP="005C5EB1">
            <w:pPr>
              <w:rPr>
                <w:rFonts w:cs="Arial"/>
                <w:sz w:val="22"/>
              </w:rPr>
            </w:pPr>
            <w:r>
              <w:rPr>
                <w:rFonts w:cs="Arial"/>
                <w:bCs/>
                <w:sz w:val="22"/>
              </w:rPr>
              <w:t xml:space="preserve">Dilongolola dia mushindu wa kwenzela malu a MGP kulondangana ne bilumbu bia patukila </w:t>
            </w:r>
          </w:p>
        </w:tc>
        <w:tc>
          <w:tcPr>
            <w:tcW w:w="1588" w:type="dxa"/>
          </w:tcPr>
          <w:p w14:paraId="76493EF0" w14:textId="77777777" w:rsidR="005C5EB1" w:rsidRDefault="005C5EB1" w:rsidP="005C5EB1">
            <w:pPr>
              <w:rPr>
                <w:rFonts w:cs="Arial"/>
                <w:sz w:val="22"/>
              </w:rPr>
            </w:pPr>
          </w:p>
          <w:p w14:paraId="73007419" w14:textId="77777777" w:rsidR="005C5EB1" w:rsidRPr="007F41C5" w:rsidRDefault="005C5EB1" w:rsidP="005C5EB1">
            <w:pPr>
              <w:jc w:val="center"/>
              <w:rPr>
                <w:rFonts w:cs="Arial"/>
                <w:sz w:val="22"/>
              </w:rPr>
            </w:pPr>
            <w:r>
              <w:rPr>
                <w:rFonts w:cs="Arial"/>
                <w:sz w:val="22"/>
              </w:rPr>
              <w:t>-</w:t>
            </w:r>
          </w:p>
        </w:tc>
        <w:tc>
          <w:tcPr>
            <w:tcW w:w="1276" w:type="dxa"/>
          </w:tcPr>
          <w:p w14:paraId="7372C71C" w14:textId="77777777" w:rsidR="005C5EB1" w:rsidRDefault="005C5EB1" w:rsidP="005C5EB1">
            <w:pPr>
              <w:jc w:val="right"/>
              <w:rPr>
                <w:rFonts w:cs="Arial"/>
                <w:sz w:val="22"/>
              </w:rPr>
            </w:pPr>
          </w:p>
          <w:p w14:paraId="154D69E5" w14:textId="77777777" w:rsidR="005C5EB1" w:rsidRPr="007F41C5" w:rsidRDefault="005C5EB1" w:rsidP="005C5EB1">
            <w:pPr>
              <w:jc w:val="center"/>
              <w:rPr>
                <w:rFonts w:cs="Arial"/>
                <w:sz w:val="22"/>
              </w:rPr>
            </w:pPr>
            <w:r>
              <w:rPr>
                <w:rFonts w:cs="Arial"/>
                <w:sz w:val="22"/>
              </w:rPr>
              <w:t>-</w:t>
            </w:r>
          </w:p>
        </w:tc>
        <w:tc>
          <w:tcPr>
            <w:tcW w:w="1417" w:type="dxa"/>
          </w:tcPr>
          <w:p w14:paraId="305B318C" w14:textId="032EFD4B" w:rsidR="005C5EB1" w:rsidRPr="007F41C5" w:rsidRDefault="00C728EE" w:rsidP="005C5EB1">
            <w:pPr>
              <w:jc w:val="right"/>
              <w:rPr>
                <w:rFonts w:cs="Arial"/>
                <w:sz w:val="22"/>
              </w:rPr>
            </w:pPr>
            <w:r>
              <w:rPr>
                <w:rFonts w:cs="Arial"/>
                <w:sz w:val="22"/>
              </w:rPr>
              <w:t>7 530 000</w:t>
            </w:r>
          </w:p>
        </w:tc>
      </w:tr>
      <w:tr w:rsidR="005C5EB1" w:rsidRPr="007F41C5" w14:paraId="78A5E749" w14:textId="77777777" w:rsidTr="005C5EB1">
        <w:trPr>
          <w:trHeight w:val="260"/>
        </w:trPr>
        <w:tc>
          <w:tcPr>
            <w:tcW w:w="5416" w:type="dxa"/>
            <w:vMerge w:val="restart"/>
          </w:tcPr>
          <w:p w14:paraId="55FADE56" w14:textId="77777777" w:rsidR="005C5EB1" w:rsidRPr="007F41C5" w:rsidRDefault="005C5EB1" w:rsidP="005C5EB1">
            <w:pPr>
              <w:rPr>
                <w:rFonts w:cs="Arial"/>
                <w:bCs/>
                <w:sz w:val="22"/>
              </w:rPr>
            </w:pPr>
            <w:r>
              <w:rPr>
                <w:rFonts w:cs="Arial"/>
                <w:bCs/>
                <w:sz w:val="22"/>
              </w:rPr>
              <w:t>Ditangidila dia pa nkatshi ne dia kundekelu wa malonga a</w:t>
            </w:r>
            <w:r w:rsidRPr="007F41C5">
              <w:rPr>
                <w:rFonts w:cs="Arial"/>
                <w:bCs/>
                <w:sz w:val="22"/>
              </w:rPr>
              <w:t xml:space="preserve"> CGES </w:t>
            </w:r>
            <w:r>
              <w:rPr>
                <w:rFonts w:cs="Arial"/>
                <w:bCs/>
                <w:sz w:val="22"/>
              </w:rPr>
              <w:t>wa</w:t>
            </w:r>
            <w:r w:rsidRPr="007F41C5">
              <w:rPr>
                <w:rFonts w:cs="Arial"/>
                <w:bCs/>
                <w:sz w:val="22"/>
              </w:rPr>
              <w:t xml:space="preserve"> PNDA </w:t>
            </w:r>
            <w:r>
              <w:rPr>
                <w:rFonts w:cs="Arial"/>
                <w:bCs/>
                <w:sz w:val="22"/>
              </w:rPr>
              <w:t>ne Dilondela</w:t>
            </w:r>
          </w:p>
        </w:tc>
        <w:tc>
          <w:tcPr>
            <w:tcW w:w="1588" w:type="dxa"/>
          </w:tcPr>
          <w:p w14:paraId="14306A94" w14:textId="77777777" w:rsidR="005C5EB1" w:rsidRPr="007F41C5" w:rsidRDefault="005C5EB1" w:rsidP="005C5EB1">
            <w:pPr>
              <w:jc w:val="center"/>
              <w:rPr>
                <w:rFonts w:cs="Arial"/>
                <w:sz w:val="22"/>
              </w:rPr>
            </w:pPr>
            <w:r>
              <w:rPr>
                <w:rFonts w:cs="Arial"/>
                <w:sz w:val="22"/>
              </w:rPr>
              <w:t>10</w:t>
            </w:r>
          </w:p>
        </w:tc>
        <w:tc>
          <w:tcPr>
            <w:tcW w:w="1276" w:type="dxa"/>
          </w:tcPr>
          <w:p w14:paraId="2075615F" w14:textId="77777777" w:rsidR="005C5EB1" w:rsidRPr="007F41C5" w:rsidRDefault="005C5EB1" w:rsidP="005C5EB1">
            <w:pPr>
              <w:jc w:val="right"/>
              <w:rPr>
                <w:rFonts w:cs="Arial"/>
                <w:sz w:val="22"/>
              </w:rPr>
            </w:pPr>
            <w:r w:rsidRPr="007F41C5">
              <w:rPr>
                <w:rFonts w:cs="Arial"/>
                <w:sz w:val="22"/>
              </w:rPr>
              <w:t xml:space="preserve">30 000 </w:t>
            </w:r>
          </w:p>
        </w:tc>
        <w:tc>
          <w:tcPr>
            <w:tcW w:w="1417" w:type="dxa"/>
          </w:tcPr>
          <w:p w14:paraId="5225366D" w14:textId="77777777" w:rsidR="005C5EB1" w:rsidRPr="007F41C5" w:rsidRDefault="005C5EB1" w:rsidP="005C5EB1">
            <w:pPr>
              <w:jc w:val="right"/>
              <w:rPr>
                <w:rFonts w:cs="Arial"/>
                <w:sz w:val="22"/>
              </w:rPr>
            </w:pPr>
            <w:r>
              <w:rPr>
                <w:rFonts w:cs="Arial"/>
                <w:sz w:val="22"/>
              </w:rPr>
              <w:t>30</w:t>
            </w:r>
            <w:r w:rsidRPr="007F41C5">
              <w:rPr>
                <w:rFonts w:cs="Arial"/>
                <w:sz w:val="22"/>
              </w:rPr>
              <w:t xml:space="preserve">0 000 </w:t>
            </w:r>
          </w:p>
        </w:tc>
      </w:tr>
      <w:tr w:rsidR="005C5EB1" w:rsidRPr="007F41C5" w14:paraId="78F5E09D" w14:textId="77777777" w:rsidTr="005C5EB1">
        <w:trPr>
          <w:trHeight w:val="260"/>
        </w:trPr>
        <w:tc>
          <w:tcPr>
            <w:tcW w:w="5416" w:type="dxa"/>
            <w:vMerge/>
          </w:tcPr>
          <w:p w14:paraId="0FA6C6BF" w14:textId="77777777" w:rsidR="005C5EB1" w:rsidRPr="007F41C5" w:rsidRDefault="005C5EB1" w:rsidP="005C5EB1">
            <w:pPr>
              <w:rPr>
                <w:rFonts w:cs="Arial"/>
                <w:bCs/>
                <w:sz w:val="22"/>
              </w:rPr>
            </w:pPr>
          </w:p>
        </w:tc>
        <w:tc>
          <w:tcPr>
            <w:tcW w:w="1588" w:type="dxa"/>
          </w:tcPr>
          <w:p w14:paraId="0C233E2B" w14:textId="77777777" w:rsidR="005C5EB1" w:rsidRPr="007F41C5" w:rsidRDefault="005C5EB1" w:rsidP="005C5EB1">
            <w:pPr>
              <w:jc w:val="center"/>
              <w:rPr>
                <w:rFonts w:cs="Arial"/>
                <w:sz w:val="22"/>
              </w:rPr>
            </w:pPr>
            <w:r>
              <w:rPr>
                <w:rFonts w:cs="Arial"/>
                <w:sz w:val="22"/>
              </w:rPr>
              <w:t>10</w:t>
            </w:r>
          </w:p>
        </w:tc>
        <w:tc>
          <w:tcPr>
            <w:tcW w:w="1276" w:type="dxa"/>
          </w:tcPr>
          <w:p w14:paraId="3F14B49D" w14:textId="77777777" w:rsidR="005C5EB1" w:rsidRPr="007F41C5" w:rsidRDefault="005C5EB1" w:rsidP="005C5EB1">
            <w:pPr>
              <w:jc w:val="right"/>
              <w:rPr>
                <w:rFonts w:cs="Arial"/>
                <w:sz w:val="22"/>
              </w:rPr>
            </w:pPr>
            <w:r w:rsidRPr="007F41C5">
              <w:rPr>
                <w:rFonts w:cs="Arial"/>
                <w:sz w:val="22"/>
              </w:rPr>
              <w:t>30 000</w:t>
            </w:r>
          </w:p>
        </w:tc>
        <w:tc>
          <w:tcPr>
            <w:tcW w:w="1417" w:type="dxa"/>
          </w:tcPr>
          <w:p w14:paraId="1861BF55" w14:textId="77777777" w:rsidR="005C5EB1" w:rsidRPr="007F41C5" w:rsidRDefault="005C5EB1" w:rsidP="005C5EB1">
            <w:pPr>
              <w:jc w:val="right"/>
              <w:rPr>
                <w:rFonts w:cs="Arial"/>
                <w:sz w:val="22"/>
              </w:rPr>
            </w:pPr>
            <w:r>
              <w:rPr>
                <w:rFonts w:cs="Arial"/>
                <w:sz w:val="22"/>
              </w:rPr>
              <w:t>30</w:t>
            </w:r>
            <w:r w:rsidRPr="007F41C5">
              <w:rPr>
                <w:rFonts w:cs="Arial"/>
                <w:sz w:val="22"/>
              </w:rPr>
              <w:t>0 000</w:t>
            </w:r>
          </w:p>
        </w:tc>
      </w:tr>
      <w:tr w:rsidR="005C5EB1" w:rsidRPr="007F41C5" w14:paraId="7FE0C822" w14:textId="77777777" w:rsidTr="005C5EB1">
        <w:trPr>
          <w:trHeight w:val="260"/>
        </w:trPr>
        <w:tc>
          <w:tcPr>
            <w:tcW w:w="8280" w:type="dxa"/>
            <w:gridSpan w:val="3"/>
          </w:tcPr>
          <w:p w14:paraId="0BB6E4D8" w14:textId="77777777" w:rsidR="005C5EB1" w:rsidRPr="007F41C5" w:rsidRDefault="005C5EB1" w:rsidP="005C5EB1">
            <w:pPr>
              <w:rPr>
                <w:rFonts w:cs="Arial"/>
                <w:sz w:val="22"/>
              </w:rPr>
            </w:pPr>
            <w:r>
              <w:rPr>
                <w:rFonts w:cs="Arial"/>
                <w:b/>
                <w:bCs/>
                <w:sz w:val="22"/>
              </w:rPr>
              <w:t>TSHIPETA</w:t>
            </w:r>
          </w:p>
        </w:tc>
        <w:tc>
          <w:tcPr>
            <w:tcW w:w="1417" w:type="dxa"/>
          </w:tcPr>
          <w:p w14:paraId="0275E50D" w14:textId="77777777" w:rsidR="005C5EB1" w:rsidRPr="007F41C5" w:rsidRDefault="005C5EB1" w:rsidP="005C5EB1">
            <w:pPr>
              <w:jc w:val="right"/>
              <w:rPr>
                <w:rFonts w:cs="Arial"/>
                <w:b/>
                <w:sz w:val="22"/>
              </w:rPr>
            </w:pPr>
            <w:r>
              <w:rPr>
                <w:rFonts w:cs="Arial"/>
                <w:b/>
                <w:sz w:val="22"/>
              </w:rPr>
              <w:t>14</w:t>
            </w:r>
            <w:r w:rsidRPr="007F41C5">
              <w:rPr>
                <w:rFonts w:cs="Arial"/>
                <w:b/>
                <w:sz w:val="22"/>
              </w:rPr>
              <w:t> </w:t>
            </w:r>
            <w:r>
              <w:rPr>
                <w:rFonts w:cs="Arial"/>
                <w:b/>
                <w:sz w:val="22"/>
              </w:rPr>
              <w:t>446</w:t>
            </w:r>
            <w:r w:rsidRPr="007F41C5">
              <w:rPr>
                <w:rFonts w:cs="Arial"/>
                <w:b/>
                <w:sz w:val="22"/>
              </w:rPr>
              <w:t xml:space="preserve"> </w:t>
            </w:r>
            <w:r>
              <w:rPr>
                <w:rFonts w:cs="Arial"/>
                <w:b/>
                <w:sz w:val="22"/>
              </w:rPr>
              <w:t>3</w:t>
            </w:r>
            <w:r w:rsidRPr="007F41C5">
              <w:rPr>
                <w:rFonts w:cs="Arial"/>
                <w:b/>
                <w:sz w:val="22"/>
              </w:rPr>
              <w:t>00</w:t>
            </w:r>
          </w:p>
        </w:tc>
      </w:tr>
      <w:tr w:rsidR="005C5EB1" w:rsidRPr="007F41C5" w14:paraId="20B6B32B" w14:textId="77777777" w:rsidTr="005C5EB1">
        <w:trPr>
          <w:trHeight w:val="260"/>
        </w:trPr>
        <w:tc>
          <w:tcPr>
            <w:tcW w:w="5416" w:type="dxa"/>
          </w:tcPr>
          <w:p w14:paraId="6D6ACB32" w14:textId="77777777" w:rsidR="005C5EB1" w:rsidRPr="007F41C5" w:rsidRDefault="005C5EB1" w:rsidP="005C5EB1">
            <w:pPr>
              <w:rPr>
                <w:rFonts w:cs="Arial"/>
                <w:bCs/>
                <w:sz w:val="22"/>
              </w:rPr>
            </w:pPr>
            <w:r>
              <w:rPr>
                <w:rFonts w:cs="Arial"/>
                <w:bCs/>
                <w:sz w:val="22"/>
              </w:rPr>
              <w:t xml:space="preserve">Malu a tshimpitshimpi ne makwabu </w:t>
            </w:r>
            <w:r w:rsidRPr="007F41C5">
              <w:rPr>
                <w:rFonts w:cs="Arial"/>
                <w:bCs/>
                <w:sz w:val="22"/>
              </w:rPr>
              <w:t xml:space="preserve"> (5%)</w:t>
            </w:r>
          </w:p>
        </w:tc>
        <w:tc>
          <w:tcPr>
            <w:tcW w:w="1588" w:type="dxa"/>
          </w:tcPr>
          <w:p w14:paraId="35021DE6" w14:textId="77777777" w:rsidR="005C5EB1" w:rsidRPr="007F41C5" w:rsidRDefault="005C5EB1" w:rsidP="005C5EB1">
            <w:pPr>
              <w:jc w:val="center"/>
              <w:rPr>
                <w:rFonts w:cs="Arial"/>
                <w:sz w:val="22"/>
              </w:rPr>
            </w:pPr>
            <w:r>
              <w:rPr>
                <w:rFonts w:cs="Arial"/>
                <w:sz w:val="22"/>
              </w:rPr>
              <w:t>0,05</w:t>
            </w:r>
          </w:p>
        </w:tc>
        <w:tc>
          <w:tcPr>
            <w:tcW w:w="1276" w:type="dxa"/>
          </w:tcPr>
          <w:p w14:paraId="2D41C737" w14:textId="77777777" w:rsidR="005C5EB1" w:rsidRPr="007F41C5" w:rsidRDefault="005C5EB1" w:rsidP="005C5EB1">
            <w:pPr>
              <w:jc w:val="right"/>
              <w:rPr>
                <w:rFonts w:cs="Arial"/>
                <w:sz w:val="22"/>
              </w:rPr>
            </w:pPr>
          </w:p>
        </w:tc>
        <w:tc>
          <w:tcPr>
            <w:tcW w:w="1417" w:type="dxa"/>
          </w:tcPr>
          <w:p w14:paraId="4F844778" w14:textId="77777777" w:rsidR="005C5EB1" w:rsidRPr="007F41C5" w:rsidRDefault="005C5EB1" w:rsidP="005C5EB1">
            <w:pPr>
              <w:jc w:val="center"/>
              <w:rPr>
                <w:rFonts w:cs="Arial"/>
                <w:sz w:val="22"/>
              </w:rPr>
            </w:pPr>
            <w:r>
              <w:rPr>
                <w:rFonts w:cs="Arial"/>
                <w:sz w:val="22"/>
              </w:rPr>
              <w:t xml:space="preserve">      722</w:t>
            </w:r>
            <w:r w:rsidRPr="007F41C5">
              <w:rPr>
                <w:rFonts w:cs="Arial"/>
                <w:sz w:val="22"/>
              </w:rPr>
              <w:t xml:space="preserve"> </w:t>
            </w:r>
            <w:r>
              <w:rPr>
                <w:rFonts w:cs="Arial"/>
                <w:sz w:val="22"/>
              </w:rPr>
              <w:t>315</w:t>
            </w:r>
            <w:r w:rsidRPr="007F41C5">
              <w:rPr>
                <w:rFonts w:cs="Arial"/>
                <w:sz w:val="22"/>
              </w:rPr>
              <w:t xml:space="preserve"> </w:t>
            </w:r>
          </w:p>
        </w:tc>
      </w:tr>
      <w:tr w:rsidR="005C5EB1" w:rsidRPr="007F41C5" w14:paraId="328F5661" w14:textId="77777777" w:rsidTr="005C5EB1">
        <w:trPr>
          <w:trHeight w:val="276"/>
        </w:trPr>
        <w:tc>
          <w:tcPr>
            <w:tcW w:w="5416" w:type="dxa"/>
            <w:shd w:val="clear" w:color="auto" w:fill="auto"/>
          </w:tcPr>
          <w:p w14:paraId="1C0433AB" w14:textId="77777777" w:rsidR="005C5EB1" w:rsidRPr="007F41C5" w:rsidRDefault="005C5EB1" w:rsidP="005C5EB1">
            <w:pPr>
              <w:rPr>
                <w:rFonts w:cs="Arial"/>
                <w:b/>
                <w:sz w:val="22"/>
              </w:rPr>
            </w:pPr>
            <w:r>
              <w:rPr>
                <w:rFonts w:cs="Arial"/>
                <w:b/>
                <w:sz w:val="22"/>
              </w:rPr>
              <w:t>TSHIPETA TSHINENE</w:t>
            </w:r>
          </w:p>
        </w:tc>
        <w:tc>
          <w:tcPr>
            <w:tcW w:w="1588" w:type="dxa"/>
          </w:tcPr>
          <w:p w14:paraId="683EDFB1" w14:textId="77777777" w:rsidR="005C5EB1" w:rsidRPr="007F41C5" w:rsidRDefault="005C5EB1" w:rsidP="005C5EB1">
            <w:pPr>
              <w:rPr>
                <w:rFonts w:cs="Arial"/>
                <w:b/>
                <w:sz w:val="22"/>
              </w:rPr>
            </w:pPr>
          </w:p>
        </w:tc>
        <w:tc>
          <w:tcPr>
            <w:tcW w:w="1276" w:type="dxa"/>
          </w:tcPr>
          <w:p w14:paraId="4F186876" w14:textId="77777777" w:rsidR="005C5EB1" w:rsidRPr="007F41C5" w:rsidRDefault="005C5EB1" w:rsidP="005C5EB1">
            <w:pPr>
              <w:jc w:val="right"/>
              <w:rPr>
                <w:rFonts w:cs="Arial"/>
                <w:b/>
                <w:sz w:val="22"/>
              </w:rPr>
            </w:pPr>
          </w:p>
        </w:tc>
        <w:tc>
          <w:tcPr>
            <w:tcW w:w="1417" w:type="dxa"/>
          </w:tcPr>
          <w:p w14:paraId="766C4491" w14:textId="0E04D1A3" w:rsidR="005C5EB1" w:rsidRPr="007F41C5" w:rsidRDefault="00C728EE" w:rsidP="005C5EB1">
            <w:pPr>
              <w:jc w:val="right"/>
              <w:rPr>
                <w:rFonts w:cs="Arial"/>
                <w:b/>
                <w:sz w:val="22"/>
              </w:rPr>
            </w:pPr>
            <w:r>
              <w:rPr>
                <w:rFonts w:cs="Arial"/>
                <w:b/>
                <w:sz w:val="22"/>
              </w:rPr>
              <w:t>18 675 330</w:t>
            </w:r>
            <w:r w:rsidR="005C5EB1" w:rsidRPr="007F41C5">
              <w:rPr>
                <w:rFonts w:cs="Arial"/>
                <w:b/>
                <w:sz w:val="22"/>
              </w:rPr>
              <w:t xml:space="preserve"> </w:t>
            </w:r>
          </w:p>
        </w:tc>
      </w:tr>
    </w:tbl>
    <w:p w14:paraId="3FF189B3" w14:textId="77777777" w:rsidR="005C5EB1" w:rsidRDefault="005C5EB1" w:rsidP="005C5EB1">
      <w:pPr>
        <w:rPr>
          <w:rFonts w:cs="Arial"/>
          <w:sz w:val="22"/>
        </w:rPr>
      </w:pPr>
    </w:p>
    <w:p w14:paraId="303C764A" w14:textId="77777777" w:rsidR="005C5EB1" w:rsidRPr="007F41C5" w:rsidRDefault="005C5EB1" w:rsidP="005C5EB1">
      <w:pPr>
        <w:rPr>
          <w:rFonts w:cs="Arial"/>
          <w:b/>
          <w:sz w:val="22"/>
        </w:rPr>
      </w:pPr>
    </w:p>
    <w:p w14:paraId="1A92BBB1" w14:textId="77777777" w:rsidR="005C5EB1" w:rsidRPr="007F41C5" w:rsidRDefault="005C5EB1" w:rsidP="002378EA">
      <w:pPr>
        <w:numPr>
          <w:ilvl w:val="0"/>
          <w:numId w:val="158"/>
        </w:numPr>
        <w:spacing w:line="240" w:lineRule="auto"/>
        <w:rPr>
          <w:rFonts w:cs="Arial"/>
          <w:i/>
          <w:sz w:val="22"/>
          <w:lang w:bidi="fr-FR"/>
        </w:rPr>
      </w:pPr>
      <w:r>
        <w:rPr>
          <w:rFonts w:cs="Arial"/>
          <w:i/>
          <w:sz w:val="22"/>
          <w:lang w:bidi="fr-FR"/>
        </w:rPr>
        <w:t>Mushindu wa kukosa bilumbu munkatshi mwa bantu (MGP)</w:t>
      </w:r>
    </w:p>
    <w:p w14:paraId="0A3741BB" w14:textId="77777777" w:rsidR="005C5EB1" w:rsidRPr="00730A4A" w:rsidRDefault="005C5EB1" w:rsidP="005C5EB1">
      <w:pPr>
        <w:keepNext/>
        <w:keepLines/>
        <w:outlineLvl w:val="1"/>
        <w:rPr>
          <w:rFonts w:cs="Arial"/>
          <w:color w:val="000000"/>
          <w:sz w:val="22"/>
          <w:u w:val="single"/>
        </w:rPr>
      </w:pPr>
    </w:p>
    <w:p w14:paraId="04E160E7" w14:textId="77777777" w:rsidR="005C5EB1" w:rsidRPr="007F41C5" w:rsidRDefault="005C5EB1" w:rsidP="005C5EB1">
      <w:pPr>
        <w:keepNext/>
        <w:keepLines/>
        <w:outlineLvl w:val="1"/>
        <w:rPr>
          <w:rFonts w:cs="Arial"/>
          <w:color w:val="000000"/>
          <w:sz w:val="22"/>
        </w:rPr>
      </w:pPr>
      <w:bookmarkStart w:id="118" w:name="_Toc70326727"/>
      <w:bookmarkStart w:id="119" w:name="_Toc70326960"/>
      <w:bookmarkStart w:id="120" w:name="_Toc70330323"/>
      <w:r w:rsidRPr="00730A4A">
        <w:rPr>
          <w:rFonts w:cs="Arial"/>
          <w:color w:val="000000"/>
          <w:sz w:val="22"/>
          <w:u w:val="single"/>
        </w:rPr>
        <w:t>Mushindu wa kukosa bilumbu munkatshi mwa bantu (MGP)  mmulongolodibwa kulondeshela mukanu wa NES 10 : disangisha bantu bbonso  mubobumwe ne kubapesha ngumu ya malu a mudimu . Mushindu wa dilongolola dia kukosa bilumbu pa nkatshi pa bantu  MGP bwa PNDA na wambulwishe bantu bonso badi mu njila wa midimu eyi, nangananga aba badi bakenguluka bikole munkatshi mwabu. Ne kabidi, dilongolola dia MGP bwa malu a VBG ndi peshibwe munkatshi mwa mifundu eyi ya CGES. Idi ilomba bwase bilumbu bionso bitangidibwa mu njila wa diumvwangana ne wa bulunda</w:t>
      </w:r>
      <w:r w:rsidRPr="007F41C5">
        <w:rPr>
          <w:rFonts w:cs="Arial"/>
          <w:sz w:val="22"/>
        </w:rPr>
        <w:t>.</w:t>
      </w:r>
      <w:bookmarkEnd w:id="118"/>
      <w:bookmarkEnd w:id="119"/>
      <w:bookmarkEnd w:id="120"/>
    </w:p>
    <w:p w14:paraId="554F39B6" w14:textId="77777777" w:rsidR="005C5EB1" w:rsidRPr="007F41C5" w:rsidRDefault="005C5EB1" w:rsidP="005C5EB1">
      <w:pPr>
        <w:pStyle w:val="Titre2"/>
        <w:rPr>
          <w:rFonts w:cs="Arial"/>
          <w:bCs w:val="0"/>
          <w:sz w:val="22"/>
          <w:szCs w:val="22"/>
        </w:rPr>
      </w:pPr>
    </w:p>
    <w:p w14:paraId="5B65D302" w14:textId="77777777" w:rsidR="005C5EB1" w:rsidRPr="00372F9C" w:rsidRDefault="005C5EB1" w:rsidP="005C5EB1">
      <w:pPr>
        <w:rPr>
          <w:rFonts w:cs="Arial"/>
          <w:sz w:val="22"/>
          <w:lang w:val="en-US"/>
        </w:rPr>
      </w:pPr>
      <w:r w:rsidRPr="00372F9C">
        <w:rPr>
          <w:rFonts w:cs="Arial"/>
          <w:sz w:val="22"/>
          <w:lang w:val="en-US"/>
        </w:rPr>
        <w:t xml:space="preserve">Mishindu isatu ya njila wa kukosa bilumbu ke idi mipeshibwa. Tshilumbu tshidi mwa kukosebwa : </w:t>
      </w:r>
      <w:r w:rsidRPr="00372F9C">
        <w:rPr>
          <w:rFonts w:cs="Arial"/>
          <w:i/>
          <w:sz w:val="22"/>
          <w:lang w:val="en-US"/>
        </w:rPr>
        <w:t>(i)</w:t>
      </w:r>
      <w:r w:rsidRPr="00372F9C">
        <w:rPr>
          <w:rFonts w:cs="Arial"/>
          <w:sz w:val="22"/>
          <w:lang w:val="en-US"/>
        </w:rPr>
        <w:t xml:space="preserve"> Kudi bulombodi wa musoko anyi wa </w:t>
      </w:r>
      <w:r w:rsidRPr="00372F9C">
        <w:rPr>
          <w:rFonts w:cs="Arial"/>
          <w:sz w:val="22"/>
          <w:u w:val="single"/>
          <w:lang w:val="en-US"/>
        </w:rPr>
        <w:t xml:space="preserve">quartier : </w:t>
      </w:r>
      <w:r w:rsidRPr="00372F9C">
        <w:rPr>
          <w:rFonts w:cs="Arial"/>
          <w:i/>
          <w:sz w:val="22"/>
          <w:u w:val="single"/>
          <w:lang w:val="en-US"/>
        </w:rPr>
        <w:t>(ii)</w:t>
      </w:r>
      <w:r w:rsidRPr="00372F9C">
        <w:rPr>
          <w:rFonts w:cs="Arial"/>
          <w:sz w:val="22"/>
          <w:u w:val="single"/>
          <w:lang w:val="en-US"/>
        </w:rPr>
        <w:t xml:space="preserve"> kudi bulombodi wa territoire anyi Commune : </w:t>
      </w:r>
      <w:r w:rsidRPr="00372F9C">
        <w:rPr>
          <w:rFonts w:cs="Arial"/>
          <w:i/>
          <w:sz w:val="22"/>
          <w:u w:val="single"/>
          <w:lang w:val="en-US"/>
        </w:rPr>
        <w:t>(iii)</w:t>
      </w:r>
      <w:r w:rsidRPr="00372F9C">
        <w:rPr>
          <w:rFonts w:cs="Arial"/>
          <w:sz w:val="22"/>
          <w:u w:val="single"/>
          <w:lang w:val="en-US"/>
        </w:rPr>
        <w:t xml:space="preserve"> kudi bulombodi bwa tshimenga anyi</w:t>
      </w:r>
      <w:r w:rsidRPr="00372F9C">
        <w:rPr>
          <w:rFonts w:cs="Arial"/>
          <w:sz w:val="22"/>
          <w:lang w:val="en-US"/>
        </w:rPr>
        <w:t>.</w:t>
      </w:r>
    </w:p>
    <w:p w14:paraId="6C5CD009" w14:textId="77777777" w:rsidR="005C5EB1" w:rsidRPr="00372F9C" w:rsidRDefault="005C5EB1" w:rsidP="005C5EB1">
      <w:pPr>
        <w:rPr>
          <w:rFonts w:cs="Arial"/>
          <w:sz w:val="22"/>
          <w:lang w:val="en-US"/>
        </w:rPr>
      </w:pPr>
    </w:p>
    <w:p w14:paraId="3FA5E115" w14:textId="77777777" w:rsidR="005C5EB1" w:rsidRPr="00372F9C" w:rsidRDefault="005C5EB1" w:rsidP="005C5EB1">
      <w:pPr>
        <w:spacing w:line="240" w:lineRule="auto"/>
        <w:rPr>
          <w:rFonts w:cs="Arial"/>
          <w:color w:val="000000"/>
          <w:sz w:val="22"/>
          <w:lang w:val="en-US"/>
        </w:rPr>
      </w:pPr>
      <w:r w:rsidRPr="00372F9C">
        <w:rPr>
          <w:rFonts w:cs="Arial"/>
          <w:color w:val="000000"/>
          <w:sz w:val="22"/>
          <w:lang w:val="en-US"/>
        </w:rPr>
        <w:t>Diya dia ku tubadi, nansha bumudiku kukandika, bwa lwendu luimpe lwa mudimu (bualu bilumbu bidi mwa kwimanisha midimu), kudi mwa kwenzeka biobio bumweneke bwa se njila yonso isatu idi mileja eyi kayena mi kose bilumbu biakane to, ne koko kakuyi biumvwangana.</w:t>
      </w:r>
    </w:p>
    <w:p w14:paraId="59B8A730" w14:textId="77777777" w:rsidR="005C5EB1" w:rsidRPr="00372F9C" w:rsidRDefault="005C5EB1" w:rsidP="005C5EB1">
      <w:pPr>
        <w:spacing w:line="240" w:lineRule="auto"/>
        <w:rPr>
          <w:rFonts w:cs="Arial"/>
          <w:b/>
          <w:i/>
          <w:sz w:val="22"/>
          <w:lang w:val="en-US" w:bidi="fr-FR"/>
        </w:rPr>
      </w:pPr>
      <w:r w:rsidRPr="00372F9C">
        <w:rPr>
          <w:rFonts w:cs="Arial"/>
          <w:color w:val="000000"/>
          <w:sz w:val="22"/>
          <w:lang w:val="en-US"/>
        </w:rPr>
        <w:t xml:space="preserve"> </w:t>
      </w:r>
    </w:p>
    <w:p w14:paraId="1BF2BDFF" w14:textId="77777777" w:rsidR="005C5EB1" w:rsidRPr="007F41C5" w:rsidRDefault="005C5EB1" w:rsidP="002378EA">
      <w:pPr>
        <w:numPr>
          <w:ilvl w:val="0"/>
          <w:numId w:val="158"/>
        </w:numPr>
        <w:spacing w:line="240" w:lineRule="auto"/>
        <w:rPr>
          <w:rFonts w:cs="Arial"/>
          <w:i/>
          <w:sz w:val="22"/>
          <w:lang w:bidi="fr-FR"/>
        </w:rPr>
      </w:pPr>
      <w:r>
        <w:rPr>
          <w:rFonts w:cs="Arial"/>
          <w:i/>
          <w:sz w:val="22"/>
          <w:lang w:bidi="fr-FR"/>
        </w:rPr>
        <w:t>Bisangilu bia miyuki na bantu bivwa bienzekibwa</w:t>
      </w:r>
      <w:r w:rsidRPr="007F41C5">
        <w:rPr>
          <w:rFonts w:cs="Arial"/>
          <w:i/>
          <w:sz w:val="22"/>
          <w:lang w:bidi="fr-FR"/>
        </w:rPr>
        <w:t xml:space="preserve"> </w:t>
      </w:r>
    </w:p>
    <w:p w14:paraId="4A6FA625" w14:textId="77777777" w:rsidR="005C5EB1" w:rsidRPr="007F41C5" w:rsidRDefault="005C5EB1" w:rsidP="005C5EB1">
      <w:pPr>
        <w:tabs>
          <w:tab w:val="left" w:pos="426"/>
        </w:tabs>
        <w:spacing w:line="240" w:lineRule="auto"/>
        <w:rPr>
          <w:rFonts w:cs="Arial"/>
          <w:sz w:val="22"/>
          <w:highlight w:val="yellow"/>
        </w:rPr>
      </w:pPr>
    </w:p>
    <w:p w14:paraId="3845B05C" w14:textId="77777777" w:rsidR="005C5EB1" w:rsidRPr="007F41C5" w:rsidRDefault="005C5EB1" w:rsidP="005C5EB1">
      <w:pPr>
        <w:rPr>
          <w:rFonts w:cs="Arial"/>
          <w:bCs/>
          <w:sz w:val="22"/>
        </w:rPr>
      </w:pPr>
      <w:r>
        <w:rPr>
          <w:rFonts w:cs="Arial"/>
          <w:bCs/>
          <w:sz w:val="22"/>
        </w:rPr>
        <w:t>Bisangilu bia miyuki na bantu bivwa bienzekibwa kulondangana na mapangidika a tshikondo esthi tsha disama dia</w:t>
      </w:r>
      <w:r w:rsidRPr="007F41C5">
        <w:rPr>
          <w:rFonts w:cs="Arial"/>
          <w:bCs/>
          <w:sz w:val="22"/>
        </w:rPr>
        <w:t xml:space="preserve"> COVID-19 </w:t>
      </w:r>
      <w:r>
        <w:rPr>
          <w:rFonts w:cs="Arial"/>
          <w:bCs/>
          <w:sz w:val="22"/>
        </w:rPr>
        <w:t xml:space="preserve">kuluseke lwa </w:t>
      </w:r>
      <w:r w:rsidRPr="007F41C5">
        <w:rPr>
          <w:rFonts w:cs="Arial"/>
          <w:bCs/>
          <w:sz w:val="22"/>
        </w:rPr>
        <w:t xml:space="preserve">Matadi (02 juin 2020), </w:t>
      </w:r>
      <w:r>
        <w:rPr>
          <w:rFonts w:cs="Arial"/>
          <w:bCs/>
          <w:sz w:val="22"/>
        </w:rPr>
        <w:t xml:space="preserve">ku </w:t>
      </w:r>
      <w:r w:rsidRPr="007F41C5">
        <w:rPr>
          <w:rFonts w:cs="Arial"/>
          <w:bCs/>
          <w:sz w:val="22"/>
        </w:rPr>
        <w:t xml:space="preserve">Kananga (le 03 juin 2020), </w:t>
      </w:r>
      <w:r>
        <w:rPr>
          <w:rFonts w:cs="Arial"/>
          <w:bCs/>
          <w:sz w:val="22"/>
        </w:rPr>
        <w:t xml:space="preserve">ku </w:t>
      </w:r>
      <w:r w:rsidRPr="007F41C5">
        <w:rPr>
          <w:rFonts w:cs="Arial"/>
          <w:bCs/>
          <w:sz w:val="22"/>
        </w:rPr>
        <w:t xml:space="preserve">Tshikapa (10 juin 2020), </w:t>
      </w:r>
      <w:r>
        <w:rPr>
          <w:rFonts w:cs="Arial"/>
          <w:bCs/>
          <w:sz w:val="22"/>
        </w:rPr>
        <w:t xml:space="preserve">ku </w:t>
      </w:r>
      <w:r w:rsidRPr="007F41C5">
        <w:rPr>
          <w:rFonts w:cs="Arial"/>
          <w:bCs/>
          <w:sz w:val="22"/>
        </w:rPr>
        <w:t xml:space="preserve">Bandundu-ville (10 juin 2020) </w:t>
      </w:r>
      <w:r>
        <w:rPr>
          <w:rFonts w:cs="Arial"/>
          <w:bCs/>
          <w:sz w:val="22"/>
        </w:rPr>
        <w:t xml:space="preserve">ne ku </w:t>
      </w:r>
      <w:r w:rsidRPr="007F41C5">
        <w:rPr>
          <w:rFonts w:cs="Arial"/>
          <w:bCs/>
          <w:sz w:val="22"/>
        </w:rPr>
        <w:t xml:space="preserve">Goma (17 juin 2020). </w:t>
      </w:r>
      <w:r>
        <w:rPr>
          <w:rFonts w:cs="Arial"/>
          <w:bCs/>
          <w:sz w:val="22"/>
        </w:rPr>
        <w:t xml:space="preserve">Bisangilu ebi bivwa bisangishe bungi bwa bantu </w:t>
      </w:r>
      <w:r w:rsidRPr="007F41C5">
        <w:rPr>
          <w:rFonts w:cs="Arial"/>
          <w:bCs/>
          <w:sz w:val="22"/>
        </w:rPr>
        <w:t xml:space="preserve">96 </w:t>
      </w:r>
      <w:r>
        <w:rPr>
          <w:rFonts w:cs="Arial"/>
          <w:bCs/>
          <w:sz w:val="22"/>
        </w:rPr>
        <w:t>bwa bantu</w:t>
      </w:r>
      <w:r w:rsidRPr="007F41C5">
        <w:rPr>
          <w:rFonts w:cs="Arial"/>
          <w:bCs/>
          <w:sz w:val="22"/>
        </w:rPr>
        <w:t xml:space="preserve"> 20 </w:t>
      </w:r>
      <w:r>
        <w:rPr>
          <w:rFonts w:cs="Arial"/>
          <w:bCs/>
          <w:sz w:val="22"/>
        </w:rPr>
        <w:t>pa tshisangilu</w:t>
      </w:r>
      <w:r w:rsidRPr="007F41C5">
        <w:rPr>
          <w:rFonts w:cs="Arial"/>
          <w:bCs/>
          <w:sz w:val="22"/>
        </w:rPr>
        <w:t xml:space="preserve"> (</w:t>
      </w:r>
      <w:r>
        <w:rPr>
          <w:rFonts w:cs="Arial"/>
          <w:bCs/>
          <w:sz w:val="22"/>
        </w:rPr>
        <w:t>balombodi ba ditunga</w:t>
      </w:r>
      <w:r w:rsidRPr="007F41C5">
        <w:rPr>
          <w:rFonts w:cs="Arial"/>
          <w:bCs/>
          <w:sz w:val="22"/>
        </w:rPr>
        <w:t xml:space="preserve">, </w:t>
      </w:r>
      <w:r>
        <w:rPr>
          <w:rFonts w:cs="Arial"/>
          <w:bCs/>
          <w:sz w:val="22"/>
        </w:rPr>
        <w:t>ba bimenga</w:t>
      </w:r>
      <w:r w:rsidRPr="007F41C5">
        <w:rPr>
          <w:rFonts w:cs="Arial"/>
          <w:bCs/>
          <w:sz w:val="22"/>
        </w:rPr>
        <w:t xml:space="preserve">, </w:t>
      </w:r>
      <w:r>
        <w:rPr>
          <w:rFonts w:cs="Arial"/>
          <w:bCs/>
          <w:sz w:val="22"/>
        </w:rPr>
        <w:t xml:space="preserve">bena mudimu ba Mbulamatadi, tusumbu twa bena </w:t>
      </w:r>
      <w:r w:rsidRPr="007F41C5">
        <w:rPr>
          <w:rFonts w:cs="Arial"/>
          <w:bCs/>
          <w:sz w:val="22"/>
        </w:rPr>
        <w:t xml:space="preserve">société civile, </w:t>
      </w:r>
      <w:r>
        <w:rPr>
          <w:rFonts w:cs="Arial"/>
          <w:bCs/>
          <w:sz w:val="22"/>
        </w:rPr>
        <w:t>ne batumibwa ba bantu badi midimu eyi ne bwa kulenga</w:t>
      </w:r>
      <w:r w:rsidRPr="007F41C5">
        <w:rPr>
          <w:rFonts w:cs="Arial"/>
          <w:bCs/>
          <w:sz w:val="22"/>
        </w:rPr>
        <w:t xml:space="preserve">…) </w:t>
      </w:r>
      <w:r>
        <w:rPr>
          <w:rFonts w:cs="Arial"/>
          <w:bCs/>
          <w:sz w:val="22"/>
        </w:rPr>
        <w:t xml:space="preserve">kulondangana ne mikanu ya ditunga bwa kulonda malu a disama dia COVID-19 (2020) ne malomba a OMS bwa dine disama edi, ne kabidi malomba a bena Banque Mondiale mu dituku dia 20 mars 2020, bwa ebi bidi bitangila </w:t>
      </w:r>
      <w:r>
        <w:rPr>
          <w:rFonts w:cs="Arial"/>
          <w:bCs/>
          <w:sz w:val="22"/>
        </w:rPr>
        <w:lastRenderedPageBreak/>
        <w:t>kusangisha bantu bwa miyuki</w:t>
      </w:r>
      <w:r w:rsidRPr="007F41C5">
        <w:rPr>
          <w:rStyle w:val="Appelnotedebasdep"/>
          <w:rFonts w:cs="Arial"/>
          <w:sz w:val="22"/>
        </w:rPr>
        <w:footnoteReference w:id="10"/>
      </w:r>
      <w:r w:rsidRPr="007F41C5">
        <w:rPr>
          <w:rFonts w:cs="Arial"/>
          <w:sz w:val="22"/>
        </w:rPr>
        <w:t> </w:t>
      </w:r>
      <w:r>
        <w:rPr>
          <w:rFonts w:cs="Arial"/>
          <w:sz w:val="22"/>
        </w:rPr>
        <w:t>. « Miyuki ne bantu ne dibweja bantu bonso munkatshi mwa malu a kulongolola midimu kulondangana na malomba a Banque Mondiale adi alomba bisangilu ne bantu ».</w:t>
      </w:r>
    </w:p>
    <w:p w14:paraId="648B87DF" w14:textId="77777777" w:rsidR="005C5EB1" w:rsidRPr="007F41C5" w:rsidRDefault="005C5EB1" w:rsidP="005C5EB1">
      <w:pPr>
        <w:rPr>
          <w:rFonts w:cs="Arial"/>
          <w:bCs/>
          <w:sz w:val="22"/>
        </w:rPr>
      </w:pPr>
    </w:p>
    <w:p w14:paraId="57E856AB" w14:textId="77777777" w:rsidR="005C5EB1" w:rsidRPr="007F41C5" w:rsidRDefault="005C5EB1" w:rsidP="005C5EB1">
      <w:pPr>
        <w:rPr>
          <w:rFonts w:cs="Arial"/>
          <w:bCs/>
          <w:sz w:val="22"/>
        </w:rPr>
      </w:pPr>
      <w:r>
        <w:rPr>
          <w:rFonts w:cs="Arial"/>
          <w:bCs/>
          <w:sz w:val="22"/>
        </w:rPr>
        <w:t>Bidibileja kumbukila ka bisangilu bia miyuki ne bantu bwase bantu bonsobadi bindila midimu eyi ibangishibwe bwase bamune mudi mwa kudibweja mu midimu mineyi pamwe ne bantu bonso. Bantu bonso bavwa basanke bwa kumuna mushindu wa bulongolodi bwa mudimu ewu mo bobumwe ne bantu bonso. Bantu bonso badi bakidila ne disanka ndongolwelu wa mudimu ewu bwa kumuna mudi mwa kuyisha kumpala malu a madimi, a koloba ne a dimuna nyama ku bimenga ebi bitanu (5) bivwa bisungudibwa</w:t>
      </w:r>
      <w:r w:rsidRPr="007F41C5">
        <w:rPr>
          <w:rFonts w:cs="Arial"/>
          <w:bCs/>
          <w:sz w:val="22"/>
        </w:rPr>
        <w:t xml:space="preserve">. </w:t>
      </w:r>
      <w:r>
        <w:rPr>
          <w:rFonts w:cs="Arial"/>
          <w:bCs/>
          <w:sz w:val="22"/>
        </w:rPr>
        <w:t xml:space="preserve">Kadi, bantu bvwa ne matshina ne kabidi na mayele a kufila bwa mudimu ewu bumudi : aha adi atangila bantu badi basanganibwa miaba yenzekela mudimu, diangata dia bana bakaji ku mudimu, dibanya maminu ne biamwa bia mudimu wa madimi, wa diloba ne wa dimuna, ndululu, didipesha dia bisangilu bia ba mamu ne bia bena misoko, dikolesha dia menji ya disunga nzubu ya mudimu ya Mbulamatadi ne ba bidime ba madimi makese, </w:t>
      </w:r>
      <w:r w:rsidRPr="007F41C5">
        <w:rPr>
          <w:rFonts w:cs="Arial"/>
          <w:bCs/>
          <w:sz w:val="22"/>
        </w:rPr>
        <w:t>etc.</w:t>
      </w:r>
    </w:p>
    <w:p w14:paraId="0751C41A" w14:textId="77777777" w:rsidR="005C5EB1" w:rsidRPr="007F41C5" w:rsidRDefault="005C5EB1" w:rsidP="005C5EB1">
      <w:pPr>
        <w:rPr>
          <w:rFonts w:cs="Arial"/>
          <w:sz w:val="22"/>
        </w:rPr>
      </w:pPr>
    </w:p>
    <w:p w14:paraId="66DCD516" w14:textId="77777777" w:rsidR="000326DA" w:rsidRDefault="000326DA">
      <w:pPr>
        <w:spacing w:after="160" w:line="259" w:lineRule="auto"/>
        <w:jc w:val="left"/>
        <w:rPr>
          <w:rFonts w:cs="Arial"/>
          <w:color w:val="222222"/>
          <w:sz w:val="22"/>
        </w:rPr>
      </w:pPr>
    </w:p>
    <w:p w14:paraId="40E79D4F" w14:textId="77777777" w:rsidR="000326DA" w:rsidRDefault="000326DA">
      <w:pPr>
        <w:spacing w:after="160" w:line="259" w:lineRule="auto"/>
        <w:jc w:val="left"/>
        <w:rPr>
          <w:rFonts w:cs="Arial"/>
          <w:b/>
          <w:color w:val="222222"/>
          <w:sz w:val="22"/>
        </w:rPr>
      </w:pPr>
      <w:r>
        <w:rPr>
          <w:rFonts w:cs="Arial"/>
          <w:bCs/>
          <w:color w:val="222222"/>
          <w:sz w:val="22"/>
        </w:rPr>
        <w:br w:type="page"/>
      </w:r>
    </w:p>
    <w:p w14:paraId="108AC442" w14:textId="77777777" w:rsidR="000326DA" w:rsidRPr="0049427F" w:rsidRDefault="000326DA" w:rsidP="000326DA">
      <w:pPr>
        <w:pStyle w:val="Titre1"/>
        <w:jc w:val="center"/>
        <w:rPr>
          <w:rFonts w:cs="Arial"/>
          <w:bCs w:val="0"/>
          <w:sz w:val="22"/>
          <w:szCs w:val="22"/>
        </w:rPr>
      </w:pPr>
      <w:bookmarkStart w:id="121" w:name="_Toc70330324"/>
      <w:r w:rsidRPr="0049427F">
        <w:rPr>
          <w:rFonts w:cs="Arial"/>
          <w:bCs w:val="0"/>
          <w:color w:val="222222"/>
          <w:sz w:val="22"/>
          <w:szCs w:val="22"/>
        </w:rPr>
        <w:lastRenderedPageBreak/>
        <w:t xml:space="preserve">RÉSUMÉ EXÉCUTIF EN KIKONGO / </w:t>
      </w:r>
      <w:r w:rsidRPr="0049427F">
        <w:rPr>
          <w:rFonts w:cs="Arial"/>
          <w:bCs w:val="0"/>
          <w:sz w:val="22"/>
          <w:szCs w:val="22"/>
        </w:rPr>
        <w:t>KINKUFI YA MALONGI</w:t>
      </w:r>
      <w:bookmarkEnd w:id="121"/>
    </w:p>
    <w:p w14:paraId="3697C250" w14:textId="77777777" w:rsidR="000326DA" w:rsidRPr="0079336E" w:rsidRDefault="000326DA" w:rsidP="000326DA">
      <w:pPr>
        <w:spacing w:line="240" w:lineRule="auto"/>
        <w:rPr>
          <w:rFonts w:cs="Arial"/>
          <w:iCs/>
          <w:sz w:val="22"/>
          <w:highlight w:val="yellow"/>
        </w:rPr>
      </w:pPr>
    </w:p>
    <w:p w14:paraId="77064296" w14:textId="77777777" w:rsidR="000326DA" w:rsidRPr="0079336E" w:rsidRDefault="000326DA" w:rsidP="002378EA">
      <w:pPr>
        <w:numPr>
          <w:ilvl w:val="0"/>
          <w:numId w:val="159"/>
        </w:numPr>
        <w:spacing w:line="240" w:lineRule="auto"/>
        <w:rPr>
          <w:rFonts w:cs="Arial"/>
          <w:i/>
          <w:sz w:val="22"/>
        </w:rPr>
      </w:pPr>
      <w:r w:rsidRPr="0079336E">
        <w:rPr>
          <w:rFonts w:cs="Arial"/>
          <w:i/>
          <w:sz w:val="22"/>
        </w:rPr>
        <w:t xml:space="preserve">Monisi ya kisalu (ntina, na mpi biteni ya kisaluobjectif) </w:t>
      </w:r>
    </w:p>
    <w:p w14:paraId="4635784A" w14:textId="77777777" w:rsidR="000326DA" w:rsidRPr="0079336E" w:rsidRDefault="000326DA" w:rsidP="000326DA">
      <w:pPr>
        <w:tabs>
          <w:tab w:val="left" w:pos="426"/>
        </w:tabs>
        <w:spacing w:line="240" w:lineRule="auto"/>
        <w:rPr>
          <w:rFonts w:cs="Arial"/>
          <w:sz w:val="22"/>
        </w:rPr>
      </w:pPr>
    </w:p>
    <w:p w14:paraId="0C549C35" w14:textId="77777777" w:rsidR="000326DA" w:rsidRPr="0079336E" w:rsidRDefault="000326DA" w:rsidP="000326DA">
      <w:pPr>
        <w:rPr>
          <w:rFonts w:cs="Arial"/>
          <w:sz w:val="22"/>
        </w:rPr>
      </w:pPr>
      <w:r w:rsidRPr="0079336E">
        <w:rPr>
          <w:rFonts w:cs="Arial"/>
          <w:sz w:val="22"/>
        </w:rPr>
        <w:t xml:space="preserve">Mbulamatadi ya République Démocratique du Congo (RDC) me sadisama na mbongo ya lusadisu kuluta na IDA (Association Internationale pour le Développement) yayi ya lisanga ya  Banque Mondiale, nsambu na kuyedika mambu ya kisulu ya bilanga ya PNDA (Programme National de Développement Agricole) na ntina ya kukodisa bisalu ya bilanga na kiteni na yawu ya ntete, na mpi kubongisa mutingu ya ba nsadi ya bilanga kuteka bima na bawu na ba bwala yayi me ponama. </w:t>
      </w:r>
    </w:p>
    <w:p w14:paraId="24F95142" w14:textId="77777777" w:rsidR="000326DA" w:rsidRPr="0079336E" w:rsidRDefault="000326DA" w:rsidP="000326DA">
      <w:pPr>
        <w:rPr>
          <w:rFonts w:cs="Arial"/>
          <w:sz w:val="22"/>
        </w:rPr>
      </w:pPr>
    </w:p>
    <w:p w14:paraId="0BAF06B4" w14:textId="77777777" w:rsidR="000326DA" w:rsidRPr="0079336E" w:rsidRDefault="000326DA" w:rsidP="000326DA">
      <w:pPr>
        <w:rPr>
          <w:rFonts w:cs="Arial"/>
          <w:sz w:val="22"/>
        </w:rPr>
      </w:pPr>
      <w:r w:rsidRPr="0079336E">
        <w:rPr>
          <w:rFonts w:cs="Arial"/>
          <w:sz w:val="22"/>
        </w:rPr>
        <w:t xml:space="preserve">Bubu yayi, RDC kele na mpasi mingi sambu na kukwenda ntete, kasi Mbulamatadi kebaka mutindu ya kubongisa mpila ya batu kefandaka. mambu ya bilanga kele ya 20% na kati ya mpila ya kufanda ya batu (PIB), na mpi bilanga kesalama na batu mutangu ya 70 na mpi 75%, na yokele ya ntina ya nene sambu na mambu ya kukitisa bobola ya batu, mpisa ya madia na kati ya ba bwala, bisika wapi madia kele ya malonga ve sambu bilanga kepesaka kaka bima ya kudia ya fioti na RDC, kulandana na bisalu ya bilanga na ba insi yayi kele pembeni ya RDC, sambu bisalu ya bilanga kele ya ngolo ve. </w:t>
      </w:r>
    </w:p>
    <w:p w14:paraId="54A0E3EF" w14:textId="77777777" w:rsidR="000326DA" w:rsidRPr="0079336E" w:rsidRDefault="000326DA" w:rsidP="000326DA">
      <w:pPr>
        <w:rPr>
          <w:rFonts w:cs="Arial"/>
          <w:sz w:val="22"/>
        </w:rPr>
      </w:pPr>
    </w:p>
    <w:p w14:paraId="3B5518AC" w14:textId="77777777" w:rsidR="000326DA" w:rsidRPr="0079336E" w:rsidRDefault="000326DA" w:rsidP="000326DA">
      <w:pPr>
        <w:rPr>
          <w:rFonts w:cs="Arial"/>
          <w:sz w:val="22"/>
        </w:rPr>
      </w:pPr>
      <w:r w:rsidRPr="0079336E">
        <w:rPr>
          <w:rFonts w:cs="Arial"/>
          <w:sz w:val="22"/>
        </w:rPr>
        <w:t xml:space="preserve">Na yawu, Mbulamatadi ya RDC kamataka mutindunya kukitisa kibobola ya batu na ba bwala na kunatila bawu mpila ya mpa ya kusadila bisalu ya bilanga na kukatula bima ya kudia mingi sambu na kusadisa batu yonso na kati ya ba bwala. </w:t>
      </w:r>
    </w:p>
    <w:p w14:paraId="4AA057F3" w14:textId="77777777" w:rsidR="000326DA" w:rsidRPr="0079336E" w:rsidRDefault="000326DA" w:rsidP="000326DA">
      <w:pPr>
        <w:rPr>
          <w:rFonts w:cs="Arial"/>
          <w:sz w:val="22"/>
        </w:rPr>
      </w:pPr>
    </w:p>
    <w:p w14:paraId="045ADA7A" w14:textId="77777777" w:rsidR="000326DA" w:rsidRPr="0079336E" w:rsidRDefault="000326DA" w:rsidP="000326DA">
      <w:pPr>
        <w:rPr>
          <w:rFonts w:cs="Arial"/>
          <w:sz w:val="22"/>
        </w:rPr>
      </w:pPr>
      <w:r w:rsidRPr="0079336E">
        <w:rPr>
          <w:rFonts w:cs="Arial"/>
          <w:sz w:val="22"/>
        </w:rPr>
        <w:t xml:space="preserve">Na yawu nde, mabongisinya kisalu yayi tasadisa kukatula bima mingi na bilanga na mpi kusadisa batu kubaka mbongo na mpi bima mingi ya madia na kati ya ba bwala, na kukodisa mpila na bawu ya kusadila mambu ya bilanga, na kukatula bima ya madia ya kunata na ba wenze, na mpi kutekisa bima yayi na batu ya nkaka. Bisalu ya mpila yayi talomba mbongo mingi sambu na kupesa batu biam ya bisalu na mpi milona ya mbote, na mpi kutongela bawu bisika ya mbote ya kukengidila bima taluta na bilanga. Na diaka, bisalu y aya bilanga tasangisa mitundu ya nkaka ya kusadila bisalu ya bilanga na ba bwala nsambu na kusadisa batu kubaka bima yayi takatuka na bilanga na njila ya ba wenze. </w:t>
      </w:r>
    </w:p>
    <w:p w14:paraId="2C7C1B97" w14:textId="77777777" w:rsidR="000326DA" w:rsidRPr="0079336E" w:rsidRDefault="000326DA" w:rsidP="000326DA">
      <w:pPr>
        <w:rPr>
          <w:rFonts w:cs="Arial"/>
          <w:sz w:val="22"/>
        </w:rPr>
      </w:pPr>
    </w:p>
    <w:p w14:paraId="303B3C35" w14:textId="77777777" w:rsidR="000326DA" w:rsidRPr="0079336E" w:rsidRDefault="000326DA" w:rsidP="000326DA">
      <w:pPr>
        <w:rPr>
          <w:rFonts w:cs="Arial"/>
          <w:sz w:val="22"/>
        </w:rPr>
      </w:pPr>
      <w:r w:rsidRPr="0079336E">
        <w:rPr>
          <w:rFonts w:cs="Arial"/>
          <w:sz w:val="22"/>
        </w:rPr>
        <w:t>Mbongo yayi ya bisalu ya PNDA na eteni ya ntete ya ba mvula 5 tasalama kati ya ba pronvinces ya kati ya Kasaï (Provinces ya Kasaï na mpi ya Kasaï Central), na diaka na ngambu ya  Ouest (Provinces ya Kongo Central na mpi ya Kwilu), na mpila diaka na ngambu ya Est (Province ya Nord Kivu).</w:t>
      </w:r>
    </w:p>
    <w:p w14:paraId="6B819A9D" w14:textId="77777777" w:rsidR="000326DA" w:rsidRPr="0079336E" w:rsidRDefault="000326DA" w:rsidP="000326DA">
      <w:pPr>
        <w:rPr>
          <w:rFonts w:cs="Arial"/>
          <w:sz w:val="22"/>
        </w:rPr>
      </w:pPr>
    </w:p>
    <w:p w14:paraId="66155F4F" w14:textId="77777777" w:rsidR="000326DA" w:rsidRPr="0079336E" w:rsidRDefault="000326DA" w:rsidP="000326DA">
      <w:pPr>
        <w:rPr>
          <w:rFonts w:cs="Arial"/>
          <w:sz w:val="22"/>
        </w:rPr>
      </w:pPr>
      <w:r w:rsidRPr="0079336E">
        <w:rPr>
          <w:rFonts w:cs="Arial"/>
          <w:sz w:val="22"/>
        </w:rPr>
        <w:t xml:space="preserve">Ntina ya kusadisa bisalu yayi kele ya kubongisa mpila ya kukatula to kubashika bima na bilanga na mpi kuteka bima yayi na ba wenze na mpila moshi ya mbote, na kusadisa batu yayi salaka bilanga na kati ya ba provinces yayi ke ponamaka sambu na kubongisa mpila ya bawu kefandaka na kunata mambu ya bilanga na ntwala. </w:t>
      </w:r>
    </w:p>
    <w:p w14:paraId="5CF657A7" w14:textId="77777777" w:rsidR="000326DA" w:rsidRPr="0079336E" w:rsidRDefault="000326DA" w:rsidP="000326DA">
      <w:pPr>
        <w:rPr>
          <w:rFonts w:cs="Arial"/>
          <w:sz w:val="22"/>
        </w:rPr>
      </w:pPr>
    </w:p>
    <w:p w14:paraId="718D8878" w14:textId="77777777" w:rsidR="000326DA" w:rsidRPr="0079336E" w:rsidRDefault="000326DA" w:rsidP="000326DA">
      <w:pPr>
        <w:rPr>
          <w:rFonts w:cs="Arial"/>
          <w:sz w:val="22"/>
        </w:rPr>
      </w:pPr>
      <w:r w:rsidRPr="0079336E">
        <w:rPr>
          <w:rFonts w:cs="Arial"/>
          <w:sz w:val="22"/>
        </w:rPr>
        <w:t xml:space="preserve">Bisalu ya PNDA tasalama na biteni 4 yayi talanda : </w:t>
      </w:r>
    </w:p>
    <w:p w14:paraId="5DB94586" w14:textId="77777777" w:rsidR="000326DA" w:rsidRPr="0079336E" w:rsidRDefault="000326DA" w:rsidP="000326DA">
      <w:pPr>
        <w:rPr>
          <w:rFonts w:cs="Arial"/>
          <w:sz w:val="22"/>
        </w:rPr>
      </w:pPr>
    </w:p>
    <w:p w14:paraId="27AD0F1B" w14:textId="77777777" w:rsidR="000326DA" w:rsidRPr="0079336E" w:rsidRDefault="000326DA" w:rsidP="002378EA">
      <w:pPr>
        <w:pStyle w:val="Paragraphedeliste"/>
        <w:numPr>
          <w:ilvl w:val="0"/>
          <w:numId w:val="160"/>
        </w:numPr>
        <w:rPr>
          <w:rFonts w:cs="Arial"/>
          <w:i/>
          <w:sz w:val="22"/>
          <w:lang w:val="nl-BE"/>
        </w:rPr>
      </w:pPr>
      <w:r w:rsidRPr="0079336E">
        <w:rPr>
          <w:rFonts w:cs="Arial"/>
          <w:i/>
          <w:sz w:val="22"/>
          <w:lang w:val="nl-BE"/>
        </w:rPr>
        <w:t>Kiteni ya 1 : Kukatula bima na bilanga :</w:t>
      </w:r>
    </w:p>
    <w:p w14:paraId="35294817" w14:textId="77777777" w:rsidR="000326DA" w:rsidRPr="0079336E" w:rsidRDefault="000326DA" w:rsidP="000326DA">
      <w:pPr>
        <w:pStyle w:val="Paragraphedeliste"/>
        <w:rPr>
          <w:rFonts w:cs="Arial"/>
          <w:i/>
          <w:sz w:val="22"/>
          <w:lang w:val="nl-BE"/>
        </w:rPr>
      </w:pPr>
    </w:p>
    <w:p w14:paraId="0BBF6690" w14:textId="77777777" w:rsidR="000326DA" w:rsidRPr="0079336E" w:rsidRDefault="000326DA" w:rsidP="002378EA">
      <w:pPr>
        <w:pStyle w:val="Paragraphedeliste"/>
        <w:numPr>
          <w:ilvl w:val="3"/>
          <w:numId w:val="40"/>
        </w:numPr>
        <w:rPr>
          <w:rFonts w:cs="Arial"/>
          <w:sz w:val="22"/>
          <w:lang w:val="nl-BE"/>
        </w:rPr>
      </w:pPr>
      <w:r w:rsidRPr="0079336E">
        <w:rPr>
          <w:rFonts w:cs="Arial"/>
          <w:sz w:val="22"/>
          <w:lang w:val="nl-BE"/>
        </w:rPr>
        <w:t xml:space="preserve">Kiteni ya fioti ya 1.1 : Lusadisu na ba nsadi ya bilanga ya fioti na ba bwala </w:t>
      </w:r>
    </w:p>
    <w:p w14:paraId="48CE4B5F" w14:textId="77777777" w:rsidR="000326DA" w:rsidRPr="0079336E" w:rsidRDefault="000326DA" w:rsidP="002378EA">
      <w:pPr>
        <w:pStyle w:val="Paragraphedeliste"/>
        <w:numPr>
          <w:ilvl w:val="3"/>
          <w:numId w:val="40"/>
        </w:numPr>
        <w:rPr>
          <w:rFonts w:cs="Arial"/>
          <w:sz w:val="22"/>
          <w:lang w:val="nl-BE"/>
        </w:rPr>
      </w:pPr>
      <w:r w:rsidRPr="0079336E">
        <w:rPr>
          <w:rFonts w:cs="Arial"/>
          <w:sz w:val="22"/>
          <w:lang w:val="nl-BE"/>
        </w:rPr>
        <w:t>Kiteni ya fioti ya 1.2 : lusadi na bawu na nzila ya tekiniki na mpi ya mbongo</w:t>
      </w:r>
    </w:p>
    <w:p w14:paraId="2D2E6A08" w14:textId="77777777" w:rsidR="000326DA" w:rsidRPr="0079336E" w:rsidRDefault="000326DA" w:rsidP="002378EA">
      <w:pPr>
        <w:pStyle w:val="Paragraphedeliste"/>
        <w:numPr>
          <w:ilvl w:val="0"/>
          <w:numId w:val="160"/>
        </w:numPr>
        <w:rPr>
          <w:rFonts w:cs="Arial"/>
          <w:i/>
          <w:sz w:val="22"/>
          <w:lang w:val="nl-BE"/>
        </w:rPr>
      </w:pPr>
      <w:r w:rsidRPr="0079336E">
        <w:rPr>
          <w:rFonts w:cs="Arial"/>
          <w:i/>
          <w:sz w:val="22"/>
          <w:lang w:val="nl-BE"/>
        </w:rPr>
        <w:t>Kiteni ya 2 : kusadisa bawu kunata bima ya bilanga na ba wenze :</w:t>
      </w:r>
    </w:p>
    <w:p w14:paraId="68A68BAC" w14:textId="77777777" w:rsidR="000326DA" w:rsidRPr="0079336E" w:rsidRDefault="000326DA" w:rsidP="000326DA">
      <w:pPr>
        <w:pStyle w:val="Paragraphedeliste"/>
        <w:rPr>
          <w:rFonts w:cs="Arial"/>
          <w:i/>
          <w:sz w:val="22"/>
          <w:lang w:val="nl-BE"/>
        </w:rPr>
      </w:pPr>
    </w:p>
    <w:p w14:paraId="58492C5C" w14:textId="77777777" w:rsidR="000326DA" w:rsidRPr="0079336E" w:rsidRDefault="000326DA" w:rsidP="002378EA">
      <w:pPr>
        <w:pStyle w:val="Paragraphedeliste"/>
        <w:numPr>
          <w:ilvl w:val="3"/>
          <w:numId w:val="40"/>
        </w:numPr>
        <w:rPr>
          <w:rFonts w:cs="Arial"/>
          <w:sz w:val="22"/>
          <w:lang w:val="nl-BE"/>
        </w:rPr>
      </w:pPr>
      <w:r w:rsidRPr="0079336E">
        <w:rPr>
          <w:rFonts w:cs="Arial"/>
          <w:sz w:val="22"/>
          <w:lang w:val="nl-BE"/>
        </w:rPr>
        <w:t>Kiteni ya fioti ya 2.1 : kutonga bisadisu na ba bwala</w:t>
      </w:r>
    </w:p>
    <w:p w14:paraId="0A37AE53" w14:textId="77777777" w:rsidR="000326DA" w:rsidRPr="0079336E" w:rsidRDefault="000326DA" w:rsidP="002378EA">
      <w:pPr>
        <w:pStyle w:val="Paragraphedeliste"/>
        <w:numPr>
          <w:ilvl w:val="3"/>
          <w:numId w:val="40"/>
        </w:numPr>
        <w:rPr>
          <w:rFonts w:cs="Arial"/>
          <w:sz w:val="22"/>
          <w:lang w:val="nl-BE"/>
        </w:rPr>
      </w:pPr>
      <w:r w:rsidRPr="0079336E">
        <w:rPr>
          <w:rFonts w:cs="Arial"/>
          <w:sz w:val="22"/>
          <w:lang w:val="nl-BE"/>
        </w:rPr>
        <w:t xml:space="preserve">Kiteni ya fioti ya 2.2 : Lusadisu sambu na balula bima taluta na bilanga sambu na kubaka mbongo mingi </w:t>
      </w:r>
    </w:p>
    <w:p w14:paraId="15276505" w14:textId="77777777" w:rsidR="000326DA" w:rsidRPr="00372F9C" w:rsidRDefault="000326DA" w:rsidP="002378EA">
      <w:pPr>
        <w:pStyle w:val="Paragraphedeliste"/>
        <w:numPr>
          <w:ilvl w:val="0"/>
          <w:numId w:val="160"/>
        </w:numPr>
        <w:rPr>
          <w:rFonts w:cs="Arial"/>
          <w:i/>
          <w:sz w:val="22"/>
          <w:lang w:val="nl-BE"/>
        </w:rPr>
      </w:pPr>
      <w:r w:rsidRPr="00372F9C">
        <w:rPr>
          <w:rFonts w:cs="Arial"/>
          <w:i/>
          <w:sz w:val="22"/>
          <w:lang w:val="nl-BE"/>
        </w:rPr>
        <w:t>Kiteni ya 3 : Bima na mpi bisalu ya bilanga ya Mbulamatadi</w:t>
      </w:r>
    </w:p>
    <w:p w14:paraId="235B3381" w14:textId="77777777" w:rsidR="000326DA" w:rsidRPr="00372F9C" w:rsidRDefault="000326DA" w:rsidP="000326DA">
      <w:pPr>
        <w:pStyle w:val="Paragraphedeliste"/>
        <w:rPr>
          <w:rFonts w:cs="Arial"/>
          <w:i/>
          <w:sz w:val="22"/>
          <w:lang w:val="nl-BE"/>
        </w:rPr>
      </w:pPr>
    </w:p>
    <w:p w14:paraId="7CD3A8A9" w14:textId="77777777" w:rsidR="000326DA" w:rsidRPr="00372F9C" w:rsidRDefault="000326DA" w:rsidP="002378EA">
      <w:pPr>
        <w:pStyle w:val="Paragraphedeliste"/>
        <w:numPr>
          <w:ilvl w:val="3"/>
          <w:numId w:val="40"/>
        </w:numPr>
        <w:rPr>
          <w:rFonts w:cs="Arial"/>
          <w:sz w:val="22"/>
          <w:lang w:val="nl-BE"/>
        </w:rPr>
      </w:pPr>
      <w:r w:rsidRPr="00372F9C">
        <w:rPr>
          <w:rFonts w:cs="Arial"/>
          <w:sz w:val="22"/>
          <w:lang w:val="nl-BE"/>
        </w:rPr>
        <w:t>Kiteni ya fioti ya 3.1 : kukodisa ngangu ya batu ya Mbulamatadi sambu na bawu kusadisa batu ya bilanga mbote ;</w:t>
      </w:r>
    </w:p>
    <w:p w14:paraId="5EFA6290" w14:textId="77777777" w:rsidR="000326DA" w:rsidRPr="00372F9C" w:rsidRDefault="000326DA" w:rsidP="002378EA">
      <w:pPr>
        <w:pStyle w:val="Paragraphedeliste"/>
        <w:numPr>
          <w:ilvl w:val="3"/>
          <w:numId w:val="40"/>
        </w:numPr>
        <w:rPr>
          <w:rFonts w:cs="Arial"/>
          <w:sz w:val="22"/>
          <w:lang w:val="nl-BE"/>
        </w:rPr>
      </w:pPr>
      <w:r w:rsidRPr="00372F9C">
        <w:rPr>
          <w:rFonts w:cs="Arial"/>
          <w:sz w:val="22"/>
          <w:lang w:val="nl-BE"/>
        </w:rPr>
        <w:t>Kiteni ya fioti ya 3.2 : Kusadisa na mpi kulandila bisalu tasalama</w:t>
      </w:r>
    </w:p>
    <w:p w14:paraId="46A4223A" w14:textId="77777777" w:rsidR="000326DA" w:rsidRPr="00372F9C" w:rsidRDefault="000326DA" w:rsidP="000326DA">
      <w:pPr>
        <w:pStyle w:val="Paragraphedeliste"/>
        <w:ind w:left="1211"/>
        <w:rPr>
          <w:rFonts w:cs="Arial"/>
          <w:sz w:val="22"/>
          <w:lang w:val="nl-BE"/>
        </w:rPr>
      </w:pPr>
    </w:p>
    <w:p w14:paraId="21C1E4D6" w14:textId="77777777" w:rsidR="000326DA" w:rsidRPr="00372F9C" w:rsidRDefault="000326DA" w:rsidP="002378EA">
      <w:pPr>
        <w:pStyle w:val="Paragraphedeliste"/>
        <w:numPr>
          <w:ilvl w:val="0"/>
          <w:numId w:val="160"/>
        </w:numPr>
        <w:rPr>
          <w:rFonts w:cs="Arial"/>
          <w:i/>
          <w:sz w:val="22"/>
          <w:lang w:val="nl-BE"/>
        </w:rPr>
      </w:pPr>
      <w:r w:rsidRPr="00372F9C">
        <w:rPr>
          <w:rFonts w:cs="Arial"/>
          <w:i/>
          <w:sz w:val="22"/>
          <w:lang w:val="nl-BE"/>
        </w:rPr>
        <w:t>Kiteni ya 4 : Lusadisu ya nswalu ya mambo ya bilanga</w:t>
      </w:r>
    </w:p>
    <w:p w14:paraId="2674B073" w14:textId="77777777" w:rsidR="000326DA" w:rsidRPr="00372F9C" w:rsidRDefault="000326DA" w:rsidP="000326DA">
      <w:pPr>
        <w:tabs>
          <w:tab w:val="left" w:pos="426"/>
        </w:tabs>
        <w:contextualSpacing/>
        <w:rPr>
          <w:rFonts w:cs="Arial"/>
          <w:sz w:val="22"/>
          <w:lang w:val="nl-BE"/>
        </w:rPr>
      </w:pPr>
    </w:p>
    <w:p w14:paraId="65A1E2EC" w14:textId="77777777" w:rsidR="000326DA" w:rsidRPr="00372F9C" w:rsidRDefault="000326DA" w:rsidP="000326DA">
      <w:pPr>
        <w:rPr>
          <w:rFonts w:cs="Arial"/>
          <w:sz w:val="22"/>
          <w:u w:val="single"/>
          <w:lang w:val="nl-BE"/>
        </w:rPr>
      </w:pPr>
      <w:r w:rsidRPr="00372F9C">
        <w:rPr>
          <w:rFonts w:cs="Arial"/>
          <w:sz w:val="22"/>
          <w:u w:val="single"/>
          <w:lang w:val="nl-BE"/>
        </w:rPr>
        <w:t>Mpila ya kusadisa bisalu yayi ya mambu ya bilanga</w:t>
      </w:r>
    </w:p>
    <w:p w14:paraId="0E8B6BF4" w14:textId="77777777" w:rsidR="000326DA" w:rsidRPr="00372F9C" w:rsidRDefault="000326DA" w:rsidP="000326DA">
      <w:pPr>
        <w:rPr>
          <w:rFonts w:cs="Arial"/>
          <w:sz w:val="22"/>
          <w:lang w:val="nl-BE"/>
        </w:rPr>
      </w:pPr>
    </w:p>
    <w:p w14:paraId="15B9188E" w14:textId="69EB0EBD" w:rsidR="000326DA" w:rsidRPr="00372F9C" w:rsidRDefault="000326DA" w:rsidP="000326DA">
      <w:pPr>
        <w:rPr>
          <w:rFonts w:cs="Arial"/>
          <w:sz w:val="22"/>
          <w:lang w:val="nl-BE"/>
        </w:rPr>
      </w:pPr>
      <w:r w:rsidRPr="00372F9C">
        <w:rPr>
          <w:rFonts w:cs="Arial"/>
          <w:sz w:val="22"/>
          <w:lang w:val="nl-BE"/>
        </w:rPr>
        <w:t>Na ntangu yayi, bisalu yonso tasalama na nsi ya lusadisu ya kimfumu ya UUNCP/PARRSA na lusadisu ya lisanga ya tekiniki ya mambu ya (Comité Technique Préparatoire) PNDA yayi pesamaka na Arrêté ministériel n°001/CAB/MIN/AGRI/ABC/LTN/2019 ya 01 janvier 20</w:t>
      </w:r>
      <w:r w:rsidR="00A854D3">
        <w:rPr>
          <w:rFonts w:cs="Arial"/>
          <w:sz w:val="22"/>
          <w:lang w:val="nl-BE"/>
        </w:rPr>
        <w:t>1</w:t>
      </w:r>
      <w:r w:rsidRPr="00372F9C">
        <w:rPr>
          <w:rFonts w:cs="Arial"/>
          <w:sz w:val="22"/>
          <w:lang w:val="nl-BE"/>
        </w:rPr>
        <w:t xml:space="preserve">9. </w:t>
      </w:r>
    </w:p>
    <w:p w14:paraId="78EFB9CD" w14:textId="77777777" w:rsidR="000326DA" w:rsidRPr="00372F9C" w:rsidRDefault="000326DA" w:rsidP="000326DA">
      <w:pPr>
        <w:rPr>
          <w:rFonts w:cs="Arial"/>
          <w:sz w:val="22"/>
          <w:lang w:val="nl-BE"/>
        </w:rPr>
      </w:pPr>
    </w:p>
    <w:p w14:paraId="1FB7F2D9" w14:textId="77777777" w:rsidR="000326DA" w:rsidRPr="00372F9C" w:rsidRDefault="000326DA" w:rsidP="002378EA">
      <w:pPr>
        <w:pStyle w:val="Paragraphedeliste"/>
        <w:numPr>
          <w:ilvl w:val="0"/>
          <w:numId w:val="159"/>
        </w:numPr>
        <w:rPr>
          <w:rFonts w:cs="Arial"/>
          <w:i/>
          <w:sz w:val="22"/>
          <w:lang w:val="nl-BE"/>
        </w:rPr>
      </w:pPr>
      <w:r w:rsidRPr="00372F9C">
        <w:rPr>
          <w:rFonts w:cs="Arial"/>
          <w:i/>
          <w:sz w:val="22"/>
          <w:lang w:val="nl-BE"/>
        </w:rPr>
        <w:t xml:space="preserve">Monisi ya bidimbu ya bisalu na bima yayi kezingaka ntoto na mpi mpila batu kefandaka </w:t>
      </w:r>
    </w:p>
    <w:p w14:paraId="6EEC2E98" w14:textId="77777777" w:rsidR="000326DA" w:rsidRPr="00372F9C" w:rsidRDefault="000326DA" w:rsidP="000326DA">
      <w:pPr>
        <w:tabs>
          <w:tab w:val="left" w:pos="426"/>
        </w:tabs>
        <w:rPr>
          <w:rFonts w:cs="Arial"/>
          <w:sz w:val="22"/>
          <w:lang w:val="nl-BE"/>
        </w:rPr>
      </w:pPr>
    </w:p>
    <w:p w14:paraId="75C46D29" w14:textId="77777777" w:rsidR="000326DA" w:rsidRPr="00372F9C" w:rsidRDefault="000326DA" w:rsidP="000326DA">
      <w:pPr>
        <w:tabs>
          <w:tab w:val="left" w:pos="426"/>
          <w:tab w:val="left" w:pos="567"/>
        </w:tabs>
        <w:contextualSpacing/>
        <w:rPr>
          <w:rFonts w:cs="Arial"/>
          <w:sz w:val="22"/>
          <w:lang w:val="nl-BE" w:bidi="fr-FR"/>
        </w:rPr>
      </w:pPr>
      <w:r w:rsidRPr="00372F9C">
        <w:rPr>
          <w:rFonts w:cs="Arial"/>
          <w:sz w:val="22"/>
          <w:lang w:val="nl-BE" w:bidi="fr-FR"/>
        </w:rPr>
        <w:t xml:space="preserve">Ba communes to ba territoires ya ba bwala yayi ponamaka yo fandaka na kati ya mikakatanu na mpi mpasi ya bilembu ya mbi na bima yayi kezingaka ntoto na mpi mpila batu kefandaka ya kele : </w:t>
      </w:r>
    </w:p>
    <w:p w14:paraId="0B9CA620" w14:textId="77777777" w:rsidR="000326DA" w:rsidRPr="00372F9C" w:rsidRDefault="000326DA" w:rsidP="000326DA">
      <w:pPr>
        <w:tabs>
          <w:tab w:val="left" w:pos="426"/>
          <w:tab w:val="left" w:pos="567"/>
        </w:tabs>
        <w:contextualSpacing/>
        <w:rPr>
          <w:rFonts w:cs="Arial"/>
          <w:sz w:val="22"/>
          <w:lang w:val="nl-BE" w:bidi="fr-FR"/>
        </w:rPr>
      </w:pPr>
    </w:p>
    <w:p w14:paraId="139DC037" w14:textId="77777777" w:rsidR="000326DA" w:rsidRPr="00730A4A" w:rsidRDefault="000326DA" w:rsidP="002378EA">
      <w:pPr>
        <w:pStyle w:val="Paragraphedeliste"/>
        <w:numPr>
          <w:ilvl w:val="0"/>
          <w:numId w:val="67"/>
        </w:numPr>
        <w:rPr>
          <w:rFonts w:eastAsia="Calibri" w:cs="Arial"/>
          <w:sz w:val="22"/>
          <w:lang w:val="nl-BE"/>
        </w:rPr>
      </w:pPr>
      <w:r w:rsidRPr="00730A4A">
        <w:rPr>
          <w:rFonts w:eastAsia="Calibri" w:cs="Arial"/>
          <w:sz w:val="22"/>
          <w:lang w:val="nl-BE"/>
        </w:rPr>
        <w:t>bima ya kukatula na bilanga kele ya fioti ;</w:t>
      </w:r>
    </w:p>
    <w:p w14:paraId="25E3C65D" w14:textId="77777777" w:rsidR="000326DA" w:rsidRPr="00730A4A" w:rsidRDefault="000326DA" w:rsidP="002378EA">
      <w:pPr>
        <w:pStyle w:val="Paragraphedeliste"/>
        <w:numPr>
          <w:ilvl w:val="0"/>
          <w:numId w:val="67"/>
        </w:numPr>
        <w:rPr>
          <w:rFonts w:eastAsia="Calibri" w:cs="Arial"/>
          <w:sz w:val="22"/>
          <w:lang w:val="nl-BE"/>
        </w:rPr>
      </w:pPr>
      <w:r w:rsidRPr="00730A4A">
        <w:rPr>
          <w:rFonts w:eastAsia="Calibri" w:cs="Arial"/>
          <w:sz w:val="22"/>
          <w:lang w:val="nl-BE"/>
        </w:rPr>
        <w:t>mbisi ya fioti kukatuka na masa ;</w:t>
      </w:r>
    </w:p>
    <w:p w14:paraId="2E3DA318" w14:textId="77777777" w:rsidR="000326DA" w:rsidRPr="00730A4A" w:rsidRDefault="000326DA" w:rsidP="002378EA">
      <w:pPr>
        <w:pStyle w:val="Paragraphedeliste"/>
        <w:numPr>
          <w:ilvl w:val="0"/>
          <w:numId w:val="67"/>
        </w:numPr>
        <w:rPr>
          <w:rFonts w:eastAsia="Calibri" w:cs="Arial"/>
          <w:sz w:val="22"/>
        </w:rPr>
      </w:pPr>
      <w:r w:rsidRPr="00730A4A">
        <w:rPr>
          <w:rFonts w:eastAsia="Calibri" w:cs="Arial"/>
          <w:sz w:val="22"/>
        </w:rPr>
        <w:t>ban yama ya fioti  ;</w:t>
      </w:r>
    </w:p>
    <w:p w14:paraId="0DA6AA3C" w14:textId="77777777" w:rsidR="000326DA" w:rsidRPr="00730A4A" w:rsidRDefault="000326DA" w:rsidP="002378EA">
      <w:pPr>
        <w:pStyle w:val="Paragraphedeliste"/>
        <w:numPr>
          <w:ilvl w:val="0"/>
          <w:numId w:val="67"/>
        </w:numPr>
        <w:rPr>
          <w:rFonts w:eastAsia="Calibri" w:cs="Arial"/>
          <w:sz w:val="22"/>
          <w:lang w:eastAsia="en-US"/>
        </w:rPr>
      </w:pPr>
      <w:r w:rsidRPr="0079336E">
        <w:rPr>
          <w:rFonts w:cs="Arial"/>
          <w:sz w:val="22"/>
        </w:rPr>
        <w:t>mpasi sambu na kumona nkisi ya ba nyama ;</w:t>
      </w:r>
    </w:p>
    <w:p w14:paraId="4DDD8375" w14:textId="77777777" w:rsidR="000326DA" w:rsidRPr="00730A4A" w:rsidRDefault="000326DA" w:rsidP="002378EA">
      <w:pPr>
        <w:pStyle w:val="Paragraphedeliste"/>
        <w:numPr>
          <w:ilvl w:val="0"/>
          <w:numId w:val="67"/>
        </w:numPr>
        <w:rPr>
          <w:rFonts w:eastAsia="Calibri" w:cs="Arial"/>
          <w:sz w:val="22"/>
          <w:lang w:eastAsia="en-US"/>
        </w:rPr>
      </w:pPr>
      <w:r w:rsidRPr="0079336E">
        <w:rPr>
          <w:rFonts w:cs="Arial"/>
          <w:sz w:val="22"/>
        </w:rPr>
        <w:t>mambu ya ntoto ;</w:t>
      </w:r>
    </w:p>
    <w:p w14:paraId="4608FA2B" w14:textId="77777777" w:rsidR="000326DA" w:rsidRPr="00730A4A" w:rsidRDefault="000326DA" w:rsidP="002378EA">
      <w:pPr>
        <w:pStyle w:val="Paragraphedeliste"/>
        <w:numPr>
          <w:ilvl w:val="0"/>
          <w:numId w:val="67"/>
        </w:numPr>
        <w:rPr>
          <w:rFonts w:eastAsia="Calibri" w:cs="Arial"/>
          <w:sz w:val="22"/>
        </w:rPr>
      </w:pPr>
      <w:r w:rsidRPr="00730A4A">
        <w:rPr>
          <w:rFonts w:eastAsia="Calibri" w:cs="Arial"/>
          <w:sz w:val="22"/>
        </w:rPr>
        <w:t>mambu ya VBG na mpi maladi ya COVID-19 ;</w:t>
      </w:r>
    </w:p>
    <w:p w14:paraId="61721537" w14:textId="77777777" w:rsidR="000326DA" w:rsidRPr="00730A4A" w:rsidRDefault="000326DA" w:rsidP="002378EA">
      <w:pPr>
        <w:pStyle w:val="Paragraphedeliste"/>
        <w:numPr>
          <w:ilvl w:val="0"/>
          <w:numId w:val="67"/>
        </w:numPr>
        <w:rPr>
          <w:rFonts w:eastAsia="Calibri" w:cs="Arial"/>
          <w:sz w:val="22"/>
        </w:rPr>
      </w:pPr>
      <w:r w:rsidRPr="00730A4A">
        <w:rPr>
          <w:rFonts w:eastAsia="Calibri" w:cs="Arial"/>
          <w:sz w:val="22"/>
        </w:rPr>
        <w:t>mpila ya kusadila bilanga kele ya mbote ve ;</w:t>
      </w:r>
    </w:p>
    <w:p w14:paraId="70A4D7C3" w14:textId="77777777" w:rsidR="000326DA" w:rsidRPr="00730A4A" w:rsidRDefault="000326DA" w:rsidP="002378EA">
      <w:pPr>
        <w:pStyle w:val="Paragraphedeliste"/>
        <w:numPr>
          <w:ilvl w:val="0"/>
          <w:numId w:val="67"/>
        </w:numPr>
        <w:rPr>
          <w:rFonts w:eastAsia="Calibri" w:cs="Arial"/>
          <w:sz w:val="22"/>
        </w:rPr>
      </w:pPr>
      <w:r w:rsidRPr="00730A4A">
        <w:rPr>
          <w:rFonts w:eastAsia="Calibri" w:cs="Arial"/>
          <w:sz w:val="22"/>
        </w:rPr>
        <w:t>bisika na mpi ba nzo ya kutekela bima ya bilanga kele ya mbote ve : ba wenze, ba dépôts na mpi bisika ya kufwa ba nyama (abattoirs), etc. ;</w:t>
      </w:r>
    </w:p>
    <w:p w14:paraId="7EF64C8C" w14:textId="77777777" w:rsidR="000326DA" w:rsidRPr="00730A4A" w:rsidRDefault="000326DA" w:rsidP="002378EA">
      <w:pPr>
        <w:pStyle w:val="Paragraphedeliste"/>
        <w:numPr>
          <w:ilvl w:val="0"/>
          <w:numId w:val="67"/>
        </w:numPr>
        <w:rPr>
          <w:rFonts w:eastAsia="Calibri" w:cs="Arial"/>
          <w:sz w:val="22"/>
        </w:rPr>
      </w:pPr>
      <w:r w:rsidRPr="00730A4A">
        <w:rPr>
          <w:rFonts w:eastAsia="Calibri" w:cs="Arial"/>
          <w:sz w:val="22"/>
        </w:rPr>
        <w:t>ba nzila ya kubashikila bima ya bilanga kele ya mbi ;</w:t>
      </w:r>
    </w:p>
    <w:p w14:paraId="49E388AD" w14:textId="77777777" w:rsidR="000326DA" w:rsidRPr="00730A4A" w:rsidRDefault="000326DA" w:rsidP="002378EA">
      <w:pPr>
        <w:pStyle w:val="Paragraphedeliste"/>
        <w:numPr>
          <w:ilvl w:val="0"/>
          <w:numId w:val="67"/>
        </w:numPr>
        <w:rPr>
          <w:rFonts w:eastAsia="Calibri" w:cs="Arial"/>
          <w:sz w:val="22"/>
        </w:rPr>
      </w:pPr>
      <w:r w:rsidRPr="00730A4A">
        <w:rPr>
          <w:rFonts w:eastAsia="Calibri" w:cs="Arial"/>
          <w:sz w:val="22"/>
        </w:rPr>
        <w:t>mutindu ya kusadila masa na bilanga kele ya mbote ve ;</w:t>
      </w:r>
    </w:p>
    <w:p w14:paraId="38FF2B64" w14:textId="77777777" w:rsidR="000326DA" w:rsidRPr="00730A4A" w:rsidRDefault="000326DA" w:rsidP="002378EA">
      <w:pPr>
        <w:pStyle w:val="Paragraphedeliste"/>
        <w:numPr>
          <w:ilvl w:val="0"/>
          <w:numId w:val="67"/>
        </w:numPr>
        <w:rPr>
          <w:rFonts w:eastAsia="Calibri" w:cs="Arial"/>
          <w:sz w:val="22"/>
        </w:rPr>
      </w:pPr>
      <w:r w:rsidRPr="00730A4A">
        <w:rPr>
          <w:rFonts w:eastAsia="Calibri" w:cs="Arial"/>
          <w:sz w:val="22"/>
        </w:rPr>
        <w:t xml:space="preserve">mambu ya kudia mbote kele ve sambu bima kele ya fioti ; </w:t>
      </w:r>
    </w:p>
    <w:p w14:paraId="30306D4D" w14:textId="77777777" w:rsidR="000326DA" w:rsidRPr="00730A4A" w:rsidRDefault="000326DA" w:rsidP="002378EA">
      <w:pPr>
        <w:pStyle w:val="Paragraphedeliste"/>
        <w:numPr>
          <w:ilvl w:val="0"/>
          <w:numId w:val="67"/>
        </w:numPr>
        <w:rPr>
          <w:rFonts w:eastAsia="Calibri" w:cs="Arial"/>
          <w:sz w:val="22"/>
        </w:rPr>
      </w:pPr>
      <w:r w:rsidRPr="00730A4A">
        <w:rPr>
          <w:rFonts w:eastAsia="Calibri" w:cs="Arial"/>
          <w:sz w:val="22"/>
        </w:rPr>
        <w:t>kusalama ya ba lubwaku na mpi kutonda ya mas aya mvula na ngambu ya Kasaï na mpi ya Kasaï Central ;</w:t>
      </w:r>
    </w:p>
    <w:p w14:paraId="4CDDF1DF" w14:textId="77777777" w:rsidR="000326DA" w:rsidRPr="00730A4A" w:rsidRDefault="000326DA" w:rsidP="002378EA">
      <w:pPr>
        <w:pStyle w:val="Paragraphedeliste"/>
        <w:numPr>
          <w:ilvl w:val="0"/>
          <w:numId w:val="67"/>
        </w:numPr>
        <w:rPr>
          <w:rFonts w:eastAsia="Calibri" w:cs="Arial"/>
          <w:sz w:val="22"/>
          <w:lang w:val="nl-BE"/>
        </w:rPr>
      </w:pPr>
      <w:r w:rsidRPr="00730A4A">
        <w:rPr>
          <w:rFonts w:eastAsia="Calibri" w:cs="Arial"/>
          <w:sz w:val="22"/>
          <w:lang w:val="nl-BE"/>
        </w:rPr>
        <w:t>mpila batu kefandaka kele ya mbote ve ;</w:t>
      </w:r>
    </w:p>
    <w:p w14:paraId="7994DC1D" w14:textId="77777777" w:rsidR="000326DA" w:rsidRPr="00730A4A" w:rsidRDefault="000326DA" w:rsidP="002378EA">
      <w:pPr>
        <w:pStyle w:val="Paragraphedeliste"/>
        <w:numPr>
          <w:ilvl w:val="0"/>
          <w:numId w:val="67"/>
        </w:numPr>
        <w:rPr>
          <w:rFonts w:eastAsia="Calibri" w:cs="Arial"/>
          <w:sz w:val="22"/>
          <w:lang w:val="nl-BE"/>
        </w:rPr>
      </w:pPr>
      <w:r w:rsidRPr="00730A4A">
        <w:rPr>
          <w:rFonts w:eastAsia="Calibri" w:cs="Arial"/>
          <w:sz w:val="22"/>
          <w:lang w:val="nl-BE"/>
        </w:rPr>
        <w:t>mpasi ya mvita na ngambu ya  Nord-Kivu (Beni, Butembo, Rutshuru)</w:t>
      </w:r>
    </w:p>
    <w:p w14:paraId="5ECD3826" w14:textId="77777777" w:rsidR="000326DA" w:rsidRPr="0079336E" w:rsidRDefault="000326DA" w:rsidP="000326DA">
      <w:pPr>
        <w:tabs>
          <w:tab w:val="left" w:pos="426"/>
        </w:tabs>
        <w:spacing w:line="240" w:lineRule="auto"/>
        <w:rPr>
          <w:rFonts w:cs="Arial"/>
          <w:sz w:val="22"/>
          <w:lang w:val="nl-BE"/>
        </w:rPr>
      </w:pPr>
    </w:p>
    <w:p w14:paraId="01EFEE23" w14:textId="77777777" w:rsidR="000326DA" w:rsidRPr="0079336E" w:rsidRDefault="000326DA" w:rsidP="002378EA">
      <w:pPr>
        <w:numPr>
          <w:ilvl w:val="0"/>
          <w:numId w:val="159"/>
        </w:numPr>
        <w:rPr>
          <w:rFonts w:cs="Arial"/>
          <w:sz w:val="22"/>
          <w:lang w:val="nl-BE"/>
        </w:rPr>
      </w:pPr>
      <w:r w:rsidRPr="0079336E">
        <w:rPr>
          <w:rFonts w:cs="Arial"/>
          <w:i/>
          <w:sz w:val="22"/>
          <w:lang w:val="nl-BE"/>
        </w:rPr>
        <w:t xml:space="preserve">Sambu na mambu ya politiki na mpi mibeku, na mpi ya ba nzo ya bisalu nsambu na kusadila bima ya kezingaka ntoto na mpi mpila batu kefandaka na mpi CES ya Banque Mondiale yayi talomba nde malongi ya CGES fete landa na mpi kusadila yawu. </w:t>
      </w:r>
    </w:p>
    <w:p w14:paraId="6C8F7081" w14:textId="77777777" w:rsidR="000326DA" w:rsidRPr="002F1A5F" w:rsidRDefault="000326DA" w:rsidP="000326DA">
      <w:pPr>
        <w:tabs>
          <w:tab w:val="left" w:pos="426"/>
        </w:tabs>
        <w:rPr>
          <w:rFonts w:cs="Arial"/>
          <w:sz w:val="22"/>
          <w:lang w:val="nl-BE"/>
        </w:rPr>
      </w:pPr>
    </w:p>
    <w:p w14:paraId="55DC031E" w14:textId="77777777" w:rsidR="000326DA" w:rsidRPr="0079336E" w:rsidRDefault="000326DA" w:rsidP="000326DA">
      <w:pPr>
        <w:tabs>
          <w:tab w:val="left" w:pos="426"/>
        </w:tabs>
        <w:rPr>
          <w:rFonts w:cs="Arial"/>
          <w:sz w:val="22"/>
        </w:rPr>
      </w:pPr>
      <w:r w:rsidRPr="0079336E">
        <w:rPr>
          <w:rFonts w:cs="Arial"/>
          <w:sz w:val="22"/>
        </w:rPr>
        <w:t xml:space="preserve">Mambu ya mibeku na mpi ya kodi yayi tangidila mambu y abima yayi kezingaka ntoto na mpila batu kefandaka na mpi yayi ya kisalu ya PNDA talanda ba nsoniki to babuku ya kelanda ya mpila ya kubongisila bisalu ya (Plan National d’Action pour l’Environnement, Document de Stratégie de Croissance et de Réduction de la Pauvreté -DSCRP, Stratégie nationale de lutte </w:t>
      </w:r>
      <w:r w:rsidRPr="0079336E">
        <w:rPr>
          <w:rFonts w:cs="Arial"/>
          <w:sz w:val="22"/>
        </w:rPr>
        <w:lastRenderedPageBreak/>
        <w:t xml:space="preserve">contre les violences basées sur genre - SNVBG, etc.) na mpi diaka mibeku ya nkaka yayi tatadila mambu y abima yayi kezingaka ntoto na mpi mpila batu kefandaka (Loi de protection de l’environnement, la loi portant Principes fondamentaux relatifs à l’agriculture, décret sur les EIES, Code de travail, etc.). </w:t>
      </w:r>
    </w:p>
    <w:p w14:paraId="74708936" w14:textId="77777777" w:rsidR="000326DA" w:rsidRPr="0079336E" w:rsidRDefault="000326DA" w:rsidP="000326DA">
      <w:pPr>
        <w:tabs>
          <w:tab w:val="left" w:pos="426"/>
        </w:tabs>
        <w:rPr>
          <w:rFonts w:cs="Arial"/>
          <w:sz w:val="22"/>
        </w:rPr>
      </w:pPr>
    </w:p>
    <w:p w14:paraId="1C4CCB5D" w14:textId="77777777" w:rsidR="000326DA" w:rsidRPr="0079336E" w:rsidRDefault="000326DA" w:rsidP="000326DA">
      <w:pPr>
        <w:rPr>
          <w:rFonts w:cs="Arial"/>
          <w:sz w:val="22"/>
        </w:rPr>
      </w:pPr>
      <w:r w:rsidRPr="0079336E">
        <w:rPr>
          <w:rFonts w:cs="Arial"/>
          <w:sz w:val="22"/>
        </w:rPr>
        <w:t>Na yayi ke tadila mambu ya ba nzo ya kisalu, mingimingi na ngambu ya ba territoires na ba provinces yayi ponamaka na mpi na ngambu ya ba nzo ya kisalu ya teliniki ya Mbulamatadi sambu na mambu ya bilanga, ya bibwele na mpi ya kuloba ba mbisi na mayi, na mpi mambu ya kukotisa mambu y abima yayi kezingaka ntoto na mpi mpila batu kefandaka na mabongisi ya bisalu, na mpi na ntangu ya kusadisa bisalu na mpi kulodila biawu mbote, na mpi kukodisa ngangu ya ba nganga mayele. Mpila yayi tafanda ya kukodisama na mambu yayi ya kisalu ya PNDA.</w:t>
      </w:r>
    </w:p>
    <w:p w14:paraId="4922743E" w14:textId="77777777" w:rsidR="000326DA" w:rsidRPr="0079336E" w:rsidRDefault="000326DA" w:rsidP="000326DA">
      <w:pPr>
        <w:tabs>
          <w:tab w:val="left" w:pos="426"/>
        </w:tabs>
        <w:rPr>
          <w:rFonts w:cs="Arial"/>
          <w:sz w:val="22"/>
        </w:rPr>
      </w:pPr>
    </w:p>
    <w:p w14:paraId="49D256F9" w14:textId="77777777" w:rsidR="000326DA" w:rsidRPr="0079336E" w:rsidRDefault="000326DA" w:rsidP="000326DA">
      <w:pPr>
        <w:rPr>
          <w:rFonts w:cs="Arial"/>
          <w:sz w:val="22"/>
        </w:rPr>
      </w:pPr>
      <w:r w:rsidRPr="0079336E">
        <w:rPr>
          <w:rFonts w:cs="Arial"/>
          <w:sz w:val="22"/>
        </w:rPr>
        <w:t>Kisalu ya PNDA fete landa malombi ya CES (Cadre Environnemental et Social) ya Banque Mondiale, yayi bashikaka na kilumba ya 01 octobre 2018. Na yayi nde, kutadila bidimbu y abima yayi kezingaka ntoto na mpi mpila batu kefandaka ya kisalu ya PNDA sadisaka kukotisa bisalu tasalama na mpila ya kulanda mambu ya CES na kati ya diboke ya bisalu yayi tafanda na bidimbu ya kati na ntu y abima yayi kezingaka ntoto na mpila batu kefandaka, kati ya bidimbu yayi kele bidimbu ya mabu ketadila ba VBG to yayi ba nkentu monaka na bisika ya bisalu. Mikanu 9 kati ya mikanu 10 ya mambu y abima yayi kezingaka ntoto na mpi mpila batu kefandaka (NES) tasadilama sambu na kusadisa bisalu yayi mbote. Mikanu yayi kele : NES 1 (kutadila mambu ya bimamyayi kezingaka ntoto na mpi mpila batu kefandaka) ; NES 2 (Mambu ya bisalu na mpi mpila bansadi kefandaka) ; NES 3 (kusadila mbote bima ya ntoto na kubebisa yawu ve) ; NES 4 (Ngolo ya nitu na mpi kukengidila batu) ; NES 5 (Ku baka ban toto, na mpi kupekisa kusadila yawu, na kukatula batu na bima na bawu bisika kisalu ta salama) ; NES 6 (Kubumba mbote na mpi kukengidila ba mvinda na mpi ba nyama) ; NES 7 (Mambu ya batu ya nkaka (Peuples autochtones) na mpi ya batu yayi fandaka na ba bwala ya bisika kisalu tasalama) ; NES 8 (Mambu ya bonkoko), na mpi NES 10 (kutwala bisika mosi batu yonso yayibisalu tatangidila na mambu ya kupesa bawu ba nsangu). Kisalu yayi ya PNDA tasadila diaka mukanu ya PO/PB 7.50 « Bisalu tasalama na ba masa yayi kabulaku ba insi » yayi me simbamaka ve na kati ya CES yayi ya mpa. Sambu na mambu ketadila ba VBG, kisalu yayi tasalama kulandana na mpila ya kusadisa bisalu mbote yayi sonikama sambu na kusadila yawu na ntangu ya bisalu</w:t>
      </w:r>
      <w:r w:rsidRPr="0079336E">
        <w:rPr>
          <w:rFonts w:cs="Arial"/>
          <w:sz w:val="22"/>
          <w:vertAlign w:val="superscript"/>
        </w:rPr>
        <w:footnoteReference w:id="11"/>
      </w:r>
      <w:r w:rsidRPr="0079336E">
        <w:rPr>
          <w:rFonts w:cs="Arial"/>
          <w:sz w:val="22"/>
        </w:rPr>
        <w:t xml:space="preserve">. </w:t>
      </w:r>
    </w:p>
    <w:p w14:paraId="255F703E" w14:textId="77777777" w:rsidR="000326DA" w:rsidRPr="0079336E" w:rsidRDefault="000326DA" w:rsidP="000326DA">
      <w:pPr>
        <w:tabs>
          <w:tab w:val="left" w:pos="426"/>
        </w:tabs>
        <w:rPr>
          <w:rFonts w:cs="Arial"/>
          <w:sz w:val="22"/>
        </w:rPr>
      </w:pPr>
    </w:p>
    <w:p w14:paraId="5961AF92" w14:textId="77777777" w:rsidR="000326DA" w:rsidRPr="0079336E" w:rsidRDefault="000326DA" w:rsidP="000326DA">
      <w:pPr>
        <w:tabs>
          <w:tab w:val="left" w:pos="426"/>
        </w:tabs>
        <w:rPr>
          <w:rFonts w:cs="Arial"/>
          <w:sz w:val="22"/>
        </w:rPr>
      </w:pPr>
      <w:r w:rsidRPr="0079336E">
        <w:rPr>
          <w:rFonts w:cs="Arial"/>
          <w:sz w:val="22"/>
        </w:rPr>
        <w:t xml:space="preserve">Mikanu ya nkaka tasadisa me kotisama na kati ya malongi yayi ya CGES sambu na kusadisa bisalu yonso na nzila malombi ya mibeku yayi y ainsi na betu na mpi ba politiki ya Banque Mondiale ya kusadisa bisalu mpila mosi ya mbote. </w:t>
      </w:r>
    </w:p>
    <w:p w14:paraId="139964F6" w14:textId="77777777" w:rsidR="000326DA" w:rsidRPr="0079336E" w:rsidRDefault="000326DA" w:rsidP="000326DA">
      <w:pPr>
        <w:rPr>
          <w:rFonts w:cs="Arial"/>
          <w:i/>
          <w:sz w:val="22"/>
        </w:rPr>
      </w:pPr>
    </w:p>
    <w:p w14:paraId="7EC2DA93" w14:textId="77777777" w:rsidR="000326DA" w:rsidRPr="0079336E" w:rsidRDefault="000326DA" w:rsidP="002378EA">
      <w:pPr>
        <w:numPr>
          <w:ilvl w:val="0"/>
          <w:numId w:val="159"/>
        </w:numPr>
        <w:rPr>
          <w:rFonts w:cs="Arial"/>
          <w:i/>
          <w:sz w:val="22"/>
        </w:rPr>
      </w:pPr>
      <w:r w:rsidRPr="0079336E">
        <w:rPr>
          <w:rFonts w:cs="Arial"/>
          <w:i/>
          <w:sz w:val="22"/>
        </w:rPr>
        <w:t>Bidimbu yayi ya bisalu na bima yayi kezingaka ntoto na mpi mpila batu kefandaka</w:t>
      </w:r>
    </w:p>
    <w:p w14:paraId="144835DC" w14:textId="77777777" w:rsidR="000326DA" w:rsidRPr="0079336E" w:rsidRDefault="000326DA" w:rsidP="000326DA">
      <w:pPr>
        <w:ind w:left="720"/>
        <w:rPr>
          <w:rFonts w:cs="Arial"/>
          <w:i/>
          <w:sz w:val="22"/>
        </w:rPr>
      </w:pPr>
    </w:p>
    <w:p w14:paraId="31470786" w14:textId="77777777" w:rsidR="000326DA" w:rsidRPr="0079336E" w:rsidRDefault="000326DA" w:rsidP="000326DA">
      <w:pPr>
        <w:rPr>
          <w:rFonts w:cs="Arial"/>
          <w:sz w:val="22"/>
        </w:rPr>
      </w:pPr>
      <w:r w:rsidRPr="0079336E">
        <w:rPr>
          <w:rFonts w:cs="Arial"/>
          <w:sz w:val="22"/>
        </w:rPr>
        <w:t xml:space="preserve">Bidimbu to bilembu yayi bisalu ta nata na bima yayi kezingaka ntoto na mpi mpila batu kefandaka kele : </w:t>
      </w:r>
    </w:p>
    <w:p w14:paraId="0CF867EA" w14:textId="77777777" w:rsidR="000326DA" w:rsidRDefault="000326DA" w:rsidP="000326DA">
      <w:pPr>
        <w:rPr>
          <w:rFonts w:cs="Arial"/>
          <w:sz w:val="22"/>
        </w:rPr>
      </w:pPr>
    </w:p>
    <w:p w14:paraId="30B73362" w14:textId="77777777" w:rsidR="000326DA" w:rsidRDefault="000326DA" w:rsidP="000326DA">
      <w:pPr>
        <w:rPr>
          <w:rFonts w:cs="Arial"/>
          <w:sz w:val="22"/>
          <w:u w:val="single"/>
        </w:rPr>
      </w:pPr>
    </w:p>
    <w:p w14:paraId="7F3AF2FE" w14:textId="77777777" w:rsidR="000326DA" w:rsidRDefault="000326DA" w:rsidP="000326DA">
      <w:pPr>
        <w:rPr>
          <w:rFonts w:cs="Arial"/>
          <w:sz w:val="22"/>
          <w:u w:val="single"/>
        </w:rPr>
      </w:pPr>
    </w:p>
    <w:p w14:paraId="1388E38D" w14:textId="77777777" w:rsidR="000326DA" w:rsidRDefault="000326DA" w:rsidP="000326DA">
      <w:pPr>
        <w:rPr>
          <w:rFonts w:cs="Arial"/>
          <w:sz w:val="22"/>
          <w:u w:val="single"/>
        </w:rPr>
      </w:pPr>
    </w:p>
    <w:p w14:paraId="058E53A5" w14:textId="77777777" w:rsidR="000326DA" w:rsidRPr="0079336E" w:rsidRDefault="000326DA" w:rsidP="000326DA">
      <w:pPr>
        <w:rPr>
          <w:rFonts w:cs="Arial"/>
          <w:sz w:val="22"/>
          <w:u w:val="single"/>
        </w:rPr>
      </w:pPr>
      <w:r w:rsidRPr="0079336E">
        <w:rPr>
          <w:rFonts w:cs="Arial"/>
          <w:sz w:val="22"/>
          <w:u w:val="single"/>
        </w:rPr>
        <w:lastRenderedPageBreak/>
        <w:t xml:space="preserve">Bidimbu yayi ya mbote </w:t>
      </w:r>
    </w:p>
    <w:p w14:paraId="402B95FE" w14:textId="77777777" w:rsidR="000326DA" w:rsidRPr="0079336E" w:rsidRDefault="000326DA" w:rsidP="000326DA">
      <w:pPr>
        <w:rPr>
          <w:rFonts w:cs="Arial"/>
          <w:sz w:val="22"/>
          <w:u w:val="single"/>
        </w:rPr>
      </w:pPr>
    </w:p>
    <w:p w14:paraId="6325FBD3" w14:textId="77777777" w:rsidR="000326DA" w:rsidRPr="0079336E" w:rsidRDefault="000326DA" w:rsidP="000326DA">
      <w:pPr>
        <w:rPr>
          <w:rFonts w:cs="Arial"/>
          <w:sz w:val="22"/>
        </w:rPr>
      </w:pPr>
      <w:r w:rsidRPr="0079336E">
        <w:rPr>
          <w:rFonts w:cs="Arial"/>
          <w:sz w:val="22"/>
        </w:rPr>
        <w:t xml:space="preserve">Bisalu yayi tasalama na nzila ya Kusadisa bisalu ya PNDA kele ya ntalu mingi sambu bisalu yayi tasadisa mingi ba provinces yayi me ponamaka, na nzila ya kubongisa mitunda batu kefandaka, kukodisa mambu ya mumbongo ya batu, kukodisa mambu ya kukata bilanga, kuzaba mpila ya mpa ya kusala bilanga yayi ta pesa bima mingi na batu, kubongisa na kukengidila mbote ba nzila ya kulutila na bima ya bilanga, kutunga bisika ya mpa ya ba wenze na mpi ba nzo ya kubumba bima ya bilanga, kubongisa mutindu batu tabaka madia ya mbote, na kusadisa batu ku nata bima mingi na ba wenze sambu na kuzwa mbongo, na mpi kukodisa mayele ya batu yonso kati na bawu ba yayi ya société civile na mpi ba yayi kesalaka bilanga. Na nsuka, bidimbu ya mbi yayi ya bisalu tafanda : </w:t>
      </w:r>
    </w:p>
    <w:p w14:paraId="433AC397" w14:textId="77777777" w:rsidR="000326DA" w:rsidRPr="0079336E" w:rsidRDefault="000326DA" w:rsidP="000326DA">
      <w:pPr>
        <w:rPr>
          <w:rFonts w:cs="Arial"/>
          <w:sz w:val="22"/>
        </w:rPr>
      </w:pPr>
    </w:p>
    <w:p w14:paraId="406E4DF3" w14:textId="77777777" w:rsidR="000326DA" w:rsidRPr="0079336E" w:rsidRDefault="000326DA" w:rsidP="000326DA">
      <w:pPr>
        <w:autoSpaceDE w:val="0"/>
        <w:autoSpaceDN w:val="0"/>
        <w:adjustRightInd w:val="0"/>
        <w:rPr>
          <w:rFonts w:cs="Arial"/>
          <w:sz w:val="22"/>
          <w:u w:val="single"/>
        </w:rPr>
      </w:pPr>
      <w:r w:rsidRPr="0079336E">
        <w:rPr>
          <w:rFonts w:cs="Arial"/>
          <w:sz w:val="22"/>
          <w:u w:val="single"/>
        </w:rPr>
        <w:t>Na ntangu ya kusala bisalu :</w:t>
      </w:r>
    </w:p>
    <w:p w14:paraId="62B131CD" w14:textId="77777777" w:rsidR="000326DA" w:rsidRPr="0079336E" w:rsidRDefault="000326DA" w:rsidP="000326DA">
      <w:pPr>
        <w:autoSpaceDE w:val="0"/>
        <w:autoSpaceDN w:val="0"/>
        <w:adjustRightInd w:val="0"/>
        <w:rPr>
          <w:rFonts w:cs="Arial"/>
          <w:sz w:val="22"/>
        </w:rPr>
      </w:pPr>
    </w:p>
    <w:p w14:paraId="42D06D19"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Kupesa batu kisalu (kati na bawu ba nkento fete fanda 30%) na mpi kukitisa bobola y aya batu ;</w:t>
      </w:r>
    </w:p>
    <w:p w14:paraId="50F639F0"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Kubongisa mpila ya kusadila bisalu na kulanda nzila ya malombi ya mukanu ya NES 2 : yayi ke tadila mambu ya bisalu na mpi mpila bisalu fete salama, na mpi mukanu yayi ya  NES 4 : yayi tadilaka mambu ya ngolo ya nitu na mpi kukengidila batu ;</w:t>
      </w:r>
    </w:p>
    <w:p w14:paraId="11198E92"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kutwala bansadi ya bilanga bisika mosi na kukodisa ngangu na bawu na mambu ya kusala bilanga ;</w:t>
      </w:r>
    </w:p>
    <w:p w14:paraId="1C7F3D79"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 xml:space="preserve">kutadila mpi mambu ya ba nkentu na kati ya bisalu ya bilanga ; </w:t>
      </w:r>
    </w:p>
    <w:p w14:paraId="58661AE8"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kutadila mbote batu yonso yayi tasadisa sambu na bisalu yayi ya bilanga, mingi mingi ba yayi yasala bisalu ya ntangu fioti, na mpi ba yayi ta bakama sambu na bisalu ya ntangu yonso, na batu ya bisalu ya Mbulamatadi, na mpi ba yayi ta nata bima sambu na kusadisa bisalu ;</w:t>
      </w:r>
    </w:p>
    <w:p w14:paraId="602308DA"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kukodisa mambu ya mimbongo ya fioti na bisika ya bisalu ;</w:t>
      </w:r>
    </w:p>
    <w:p w14:paraId="3B17737B"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kubongisa mpli batu kefandaka ;</w:t>
      </w:r>
    </w:p>
    <w:p w14:paraId="0DB5F8D3"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kunatila batu bima ya ya kudia ya mingi na mpi ya mbote ;</w:t>
      </w:r>
    </w:p>
    <w:p w14:paraId="1917608A"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kukitisa ntalu y abima ya kudia sambu na batu  yayi tasalaka bilanga, na mpi kusangisa bawu na bimvuka ya lusadisu kati na bawu (coopératives/associations) na mpi kukodisa batu ya ba nzo ya bisalu ya bilanga (agro-MPME) ;</w:t>
      </w:r>
    </w:p>
    <w:p w14:paraId="30DF5637"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kisalu yayi tatadila mpi mambu ya ba nzila na mpila ya kulutisila bima ya bilanga na kwenda na bima na ba wenze na mpi ba nzila yayi ya kulutila na masa;</w:t>
      </w:r>
    </w:p>
    <w:p w14:paraId="02FB4BC8"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lusadisu na ba yayi  salaka bilanga ya fioti sambu na kutwadila bawu mutindu ya mpa ya kusadila bisalu ya bilanga na bima ya nkaka ya kusadisa sambu na bisalu ya bilanga na ba bwala ;</w:t>
      </w:r>
    </w:p>
    <w:p w14:paraId="7D96FC4A"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Lusadisu ya tekiniki ya ba yayi salaka bisalu ya bilanga, na mpi na bansadi ya Mbulamatadi na mpi ya mambu ya tadilaka mbongo ;</w:t>
      </w:r>
    </w:p>
    <w:p w14:paraId="24598B6A"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kubongisa ba wenze ya ntama na mpi mpila ya kusadila masa na bisalu ya bilanga na ba bwala ;</w:t>
      </w:r>
    </w:p>
    <w:p w14:paraId="1A461489"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kisalu yayi ta pesa mpila ya kusangisa batu na kati ya bimvuka ya kusadila bisalu bisika mosi (coopératives/associations) na mpi ta kusadisa ba nzo ya agro-MPME yayi tasala nzila mosi na bansadi ya bilanga na kati ya ba bwala ;</w:t>
      </w:r>
    </w:p>
    <w:p w14:paraId="0D8E9A00"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 xml:space="preserve">Kubalusa bima ya bilanga sambu na bima yayi kupesa mbongo ya mbote, kunata biawu na ba wenze na mpi kuteka biawuTransformation (bisalu ya tasalama na manima ya bisalu ya kukata bilanga) ; </w:t>
      </w:r>
    </w:p>
    <w:p w14:paraId="32B69764"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 xml:space="preserve">Kupesa ba nsadi ya bilanga bima ya kuzika na kusadisa bawu na bima ya bisalu ya nkaka, ba mashini ya bilanga, ba mbuma, ba nkisi, mpila ya kusadila masa na bilanga, </w:t>
      </w:r>
      <w:r w:rsidRPr="0079336E">
        <w:rPr>
          <w:rFonts w:eastAsia="MS Mincho" w:cs="Arial"/>
          <w:sz w:val="22"/>
        </w:rPr>
        <w:lastRenderedPageBreak/>
        <w:t xml:space="preserve">lusadisu ya ba tekiniki ya kusadila bilanga, etc. </w:t>
      </w:r>
    </w:p>
    <w:p w14:paraId="21DAA34F" w14:textId="77777777" w:rsidR="000326DA" w:rsidRPr="0079336E" w:rsidRDefault="000326DA" w:rsidP="000326DA">
      <w:pPr>
        <w:widowControl w:val="0"/>
        <w:autoSpaceDE w:val="0"/>
        <w:autoSpaceDN w:val="0"/>
        <w:ind w:left="720"/>
        <w:rPr>
          <w:rFonts w:eastAsia="MS Mincho" w:cs="Arial"/>
          <w:sz w:val="22"/>
        </w:rPr>
      </w:pPr>
    </w:p>
    <w:p w14:paraId="5BB7C838" w14:textId="77777777" w:rsidR="000326DA" w:rsidRPr="0079336E" w:rsidRDefault="000326DA" w:rsidP="000326DA">
      <w:pPr>
        <w:autoSpaceDE w:val="0"/>
        <w:autoSpaceDN w:val="0"/>
        <w:adjustRightInd w:val="0"/>
        <w:rPr>
          <w:rFonts w:cs="Arial"/>
          <w:sz w:val="22"/>
        </w:rPr>
      </w:pPr>
      <w:r w:rsidRPr="0079336E">
        <w:rPr>
          <w:rFonts w:cs="Arial"/>
          <w:sz w:val="22"/>
        </w:rPr>
        <w:t>Na ntangu ya kusadila bima yayi taluta na bilanga :</w:t>
      </w:r>
    </w:p>
    <w:p w14:paraId="3488E0DD" w14:textId="77777777" w:rsidR="000326DA" w:rsidRPr="0079336E" w:rsidRDefault="000326DA" w:rsidP="000326DA">
      <w:pPr>
        <w:autoSpaceDE w:val="0"/>
        <w:autoSpaceDN w:val="0"/>
        <w:adjustRightInd w:val="0"/>
        <w:rPr>
          <w:rFonts w:cs="Arial"/>
          <w:sz w:val="22"/>
        </w:rPr>
      </w:pPr>
    </w:p>
    <w:p w14:paraId="022753EF"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kuyedika ba nzo ya mbongo to ba Caisses ya fioti ya batu ya ba bwala bawu mosi ;</w:t>
      </w:r>
    </w:p>
    <w:p w14:paraId="39CB9C8A"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 xml:space="preserve">kufungula mayele ya batu sambu na kubebisa ntoto ve ; </w:t>
      </w:r>
    </w:p>
    <w:p w14:paraId="53413420"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 xml:space="preserve">kumanisa mpila batu katukaka na ba bwala na ku kwenda bisika ya nkaka ; </w:t>
      </w:r>
    </w:p>
    <w:p w14:paraId="07797FE1"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 xml:space="preserve">Kukkodisa ngangu ya ba nkentu na mpi bilenge na ba bwala ; </w:t>
      </w:r>
    </w:p>
    <w:p w14:paraId="5B2B7C74"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 xml:space="preserve">Kusala bisalu ya bilanga konso mvula ya mvimba ; </w:t>
      </w:r>
    </w:p>
    <w:p w14:paraId="2E52644E"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 xml:space="preserve">kumanisa mavwanga yayi bilenge salaka na kupesa bawu bisalu ya bilanga ; </w:t>
      </w:r>
    </w:p>
    <w:p w14:paraId="29DEC8F9"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 xml:space="preserve">kuyedika bi mvuka ya fioti ya bansadi ya bilanga ; </w:t>
      </w:r>
    </w:p>
    <w:p w14:paraId="62D0BA9E"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 xml:space="preserve">kusala ba Coopératives ya bansadi ya bilanga ; </w:t>
      </w:r>
    </w:p>
    <w:p w14:paraId="7C942825"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 xml:space="preserve">kuyedika mutindu ya mbote ya kubalula bima ya bilanga ; </w:t>
      </w:r>
    </w:p>
    <w:p w14:paraId="5AD51118"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 xml:space="preserve">kukodisa ba nzila ya kuteka bima ya bilanga ; </w:t>
      </w:r>
    </w:p>
    <w:p w14:paraId="3AFDB716"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kutangidila ba nkentu na kati ya bisalu ya bilanga mpila mosi batangidilaka batu yonso ;</w:t>
      </w:r>
    </w:p>
    <w:p w14:paraId="32659A04"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 xml:space="preserve">lusadisu ya bankentu na mpi bilenge nakati ya kusadisa bialu sambu bawu mpi bafete kubongisa mpila na bawu kefandaka ; </w:t>
      </w:r>
    </w:p>
    <w:p w14:paraId="7ED248D1"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kuzabisa mbote mpila ya mpa ya kusadila bisalu ya bilanga mbote na mpi kukatula bima mingi na mpi kukodisa ngangu ya kusadila bisalu yayi na kupesa bima ya kudia.</w:t>
      </w:r>
    </w:p>
    <w:p w14:paraId="6440710F" w14:textId="77777777" w:rsidR="000326DA" w:rsidRPr="0079336E" w:rsidRDefault="000326DA" w:rsidP="000326DA">
      <w:pPr>
        <w:autoSpaceDE w:val="0"/>
        <w:autoSpaceDN w:val="0"/>
        <w:adjustRightInd w:val="0"/>
        <w:spacing w:line="240" w:lineRule="auto"/>
        <w:rPr>
          <w:rFonts w:cs="Arial"/>
          <w:sz w:val="22"/>
        </w:rPr>
      </w:pPr>
    </w:p>
    <w:p w14:paraId="173E4576" w14:textId="77777777" w:rsidR="000326DA" w:rsidRPr="0079336E" w:rsidRDefault="000326DA" w:rsidP="000326DA">
      <w:pPr>
        <w:spacing w:line="240" w:lineRule="auto"/>
        <w:rPr>
          <w:rFonts w:cs="Arial"/>
          <w:sz w:val="22"/>
          <w:u w:val="single"/>
        </w:rPr>
      </w:pPr>
      <w:r w:rsidRPr="0079336E">
        <w:rPr>
          <w:rFonts w:cs="Arial"/>
          <w:sz w:val="22"/>
          <w:u w:val="single"/>
        </w:rPr>
        <w:t xml:space="preserve">Bidimbu ya mbi ya ta monisama na ntangu ya kusala bisalu </w:t>
      </w:r>
    </w:p>
    <w:p w14:paraId="4AFB80C1" w14:textId="77777777" w:rsidR="000326DA" w:rsidRPr="0079336E" w:rsidRDefault="000326DA" w:rsidP="000326DA">
      <w:pPr>
        <w:spacing w:line="240" w:lineRule="auto"/>
        <w:rPr>
          <w:rFonts w:cs="Arial"/>
          <w:sz w:val="22"/>
          <w:u w:val="single"/>
        </w:rPr>
      </w:pPr>
    </w:p>
    <w:p w14:paraId="2D87517E" w14:textId="77777777" w:rsidR="000326DA" w:rsidRPr="0079336E" w:rsidRDefault="000326DA" w:rsidP="002378EA">
      <w:pPr>
        <w:widowControl w:val="0"/>
        <w:numPr>
          <w:ilvl w:val="0"/>
          <w:numId w:val="68"/>
        </w:numPr>
        <w:autoSpaceDE w:val="0"/>
        <w:autoSpaceDN w:val="0"/>
        <w:rPr>
          <w:rFonts w:eastAsia="MS Mincho" w:cs="Arial"/>
          <w:sz w:val="22"/>
        </w:rPr>
      </w:pPr>
      <w:r w:rsidRPr="0079336E">
        <w:rPr>
          <w:rFonts w:eastAsia="MS Mincho" w:cs="Arial"/>
          <w:sz w:val="22"/>
        </w:rPr>
        <w:t>Kubebisa ba masa na mpi ntoto na busoto kuluta na bisalu ;</w:t>
      </w:r>
    </w:p>
    <w:p w14:paraId="3B4E1F66"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usala makele na ba mashini ya kusadila bilanga ;</w:t>
      </w:r>
    </w:p>
    <w:p w14:paraId="3F17509D"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ubebisa bisika na kutunga ba nzo ya kubumba bima ya bilanga ;</w:t>
      </w:r>
    </w:p>
    <w:p w14:paraId="7C7C7897"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Ku</w:t>
      </w:r>
      <w:r w:rsidRPr="0079336E">
        <w:rPr>
          <w:rFonts w:eastAsia="MS Mincho" w:cs="Arial"/>
          <w:sz w:val="22"/>
        </w:rPr>
        <w:t>nata ba lubwaku na mpi kubebisa ba ntoto ;</w:t>
      </w:r>
    </w:p>
    <w:p w14:paraId="4E2B25BA"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ubebisa mupepe na ba putulu ;</w:t>
      </w:r>
    </w:p>
    <w:p w14:paraId="6853278F"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 xml:space="preserve">ukatuka bisika ya nkaka sambu na mambu ya bisalu ya bilanga ; </w:t>
      </w:r>
    </w:p>
    <w:p w14:paraId="592194BB"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una mavwanga kana bo ke ndimaka na bisalu ban aya bwala ve ;</w:t>
      </w:r>
    </w:p>
    <w:p w14:paraId="7853A678"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 xml:space="preserve">ukabula bima ya bisalu mpila mos ive na kati ya bansadi yonso ya bisalu ya bilanga ; </w:t>
      </w:r>
    </w:p>
    <w:p w14:paraId="3C262FF2"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79336E">
        <w:rPr>
          <w:rFonts w:eastAsia="MS Mincho" w:cs="Arial"/>
          <w:sz w:val="22"/>
        </w:rPr>
        <w:t xml:space="preserve">avwanga sambo nakunata bisika ya nkaka ya kusadila bilanga ; </w:t>
      </w:r>
    </w:p>
    <w:p w14:paraId="200A358D"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 xml:space="preserve">usadisa ban aya fioti ya ba mvula na nsi ya 18 bisalu ya bilanga ; </w:t>
      </w:r>
    </w:p>
    <w:p w14:paraId="42B52582"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 xml:space="preserve">ubebisa mambu na kunata batu polisi to ba sodats sambu na kukengidila bisalu (mavwanga na Nord-Kivu) ; </w:t>
      </w:r>
    </w:p>
    <w:p w14:paraId="3A6CCA69"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 xml:space="preserve">ubebisa bisalu ya nkaka ya kuteka bima na ntangu bisalu tasalama ; </w:t>
      </w:r>
    </w:p>
    <w:p w14:paraId="7A9E0458"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 xml:space="preserve">upekisa ba nkentu kukota na bisalu yayi ya bilanga ;  </w:t>
      </w:r>
    </w:p>
    <w:p w14:paraId="1B199AE2"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usala ba accidents na nzila ya bisalu</w:t>
      </w:r>
      <w:r>
        <w:rPr>
          <w:rFonts w:eastAsia="MS Mincho" w:cs="Arial"/>
          <w:sz w:val="22"/>
        </w:rPr>
        <w:t> ;</w:t>
      </w:r>
    </w:p>
    <w:p w14:paraId="40578DC5"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ukodisa mutungisi ya ba nkentu : kunata bawu na kingolu, to kutungisa bawu, kukotisa bawu na dibala na kingolu, kupesa bawu divumu na kingolu na bansadi yayi tabaka mbongo na bisalu ya bilanga. </w:t>
      </w:r>
      <w:r w:rsidRPr="0079336E" w:rsidDel="001332A6">
        <w:rPr>
          <w:rFonts w:eastAsia="MS Mincho" w:cs="Arial"/>
          <w:sz w:val="22"/>
        </w:rPr>
        <w:t xml:space="preserve"> </w:t>
      </w:r>
    </w:p>
    <w:p w14:paraId="79E684D9"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upesana ba maladi to bimbefu ya IST na mpi VIH/SIDA ;</w:t>
      </w:r>
    </w:p>
    <w:p w14:paraId="1B836136"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Kupanza kimbefu to maladi ya COVID-19 ;</w:t>
      </w:r>
    </w:p>
    <w:p w14:paraId="1A350925" w14:textId="77777777" w:rsidR="000326DA" w:rsidRPr="00415388" w:rsidRDefault="000326DA" w:rsidP="002378EA">
      <w:pPr>
        <w:widowControl w:val="0"/>
        <w:numPr>
          <w:ilvl w:val="0"/>
          <w:numId w:val="68"/>
        </w:numPr>
        <w:autoSpaceDE w:val="0"/>
        <w:autoSpaceDN w:val="0"/>
        <w:rPr>
          <w:rFonts w:eastAsia="MS Mincho" w:cs="Arial"/>
          <w:sz w:val="22"/>
          <w:lang w:val="pl-PL"/>
        </w:rPr>
      </w:pPr>
      <w:r w:rsidRPr="00415388">
        <w:rPr>
          <w:rFonts w:eastAsia="MS Mincho" w:cs="Arial"/>
          <w:sz w:val="22"/>
          <w:lang w:val="pl-PL"/>
        </w:rPr>
        <w:t xml:space="preserve">Bidimbu ya mbi na mutindu ya mbi ya kusadila masa na kati ya bilanga ; </w:t>
      </w:r>
    </w:p>
    <w:p w14:paraId="7FAC9094" w14:textId="77777777" w:rsidR="000326DA" w:rsidRPr="00415388" w:rsidRDefault="000326DA" w:rsidP="002378EA">
      <w:pPr>
        <w:widowControl w:val="0"/>
        <w:numPr>
          <w:ilvl w:val="0"/>
          <w:numId w:val="68"/>
        </w:numPr>
        <w:autoSpaceDE w:val="0"/>
        <w:autoSpaceDN w:val="0"/>
        <w:rPr>
          <w:rFonts w:eastAsia="MS Mincho" w:cs="Arial"/>
          <w:sz w:val="22"/>
          <w:lang w:val="pl-PL"/>
        </w:rPr>
      </w:pPr>
      <w:r w:rsidRPr="00415388">
        <w:rPr>
          <w:rFonts w:eastAsia="MS Mincho" w:cs="Arial"/>
          <w:sz w:val="22"/>
          <w:lang w:val="pl-PL"/>
        </w:rPr>
        <w:t>Kubebisa na mpi kusadila mbote ve ba masa na bisalu ya bilanga ;</w:t>
      </w:r>
    </w:p>
    <w:p w14:paraId="1A336A31"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 xml:space="preserve">ubebisa ban toto na bisalu ya bilanga ; </w:t>
      </w:r>
    </w:p>
    <w:p w14:paraId="417D86FC"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 xml:space="preserve">Kunata to kukotisa ba maladi to bimbefu ya kelutaka na ba mas aya busoto ; </w:t>
      </w:r>
    </w:p>
    <w:p w14:paraId="07B03955" w14:textId="77777777" w:rsidR="000326DA" w:rsidRPr="00415388" w:rsidRDefault="000326DA" w:rsidP="002378EA">
      <w:pPr>
        <w:widowControl w:val="0"/>
        <w:numPr>
          <w:ilvl w:val="0"/>
          <w:numId w:val="68"/>
        </w:numPr>
        <w:autoSpaceDE w:val="0"/>
        <w:autoSpaceDN w:val="0"/>
        <w:rPr>
          <w:rFonts w:eastAsia="MS Mincho" w:cs="Arial"/>
          <w:sz w:val="22"/>
          <w:lang w:val="pl-PL"/>
        </w:rPr>
      </w:pPr>
      <w:r w:rsidRPr="00415388">
        <w:rPr>
          <w:rFonts w:eastAsia="MS Mincho" w:cs="Arial"/>
          <w:sz w:val="22"/>
          <w:lang w:val="pl-PL"/>
        </w:rPr>
        <w:t>Kubebisa masa na ban toto na ba nkisi yayi basadilaka na bisalu ya bilanga ;</w:t>
      </w:r>
    </w:p>
    <w:p w14:paraId="0E9425CF" w14:textId="77777777" w:rsidR="000326DA" w:rsidRPr="00415388" w:rsidRDefault="000326DA" w:rsidP="002378EA">
      <w:pPr>
        <w:widowControl w:val="0"/>
        <w:numPr>
          <w:ilvl w:val="0"/>
          <w:numId w:val="68"/>
        </w:numPr>
        <w:autoSpaceDE w:val="0"/>
        <w:autoSpaceDN w:val="0"/>
        <w:rPr>
          <w:rFonts w:eastAsia="MS Mincho" w:cs="Arial"/>
          <w:sz w:val="22"/>
          <w:lang w:val="pl-PL"/>
        </w:rPr>
      </w:pPr>
      <w:r w:rsidRPr="00415388">
        <w:rPr>
          <w:rFonts w:eastAsia="MS Mincho" w:cs="Arial"/>
          <w:sz w:val="22"/>
          <w:lang w:val="pl-PL"/>
        </w:rPr>
        <w:t>Kumonisa na nsadi mpasi na bisika ya nkaka ya bisalu ya PNDA yayi kele na kimia ve;</w:t>
      </w:r>
    </w:p>
    <w:p w14:paraId="647B24F4"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 xml:space="preserve">usadisa accidents na ba mituka ya bisalu ; </w:t>
      </w:r>
    </w:p>
    <w:p w14:paraId="63458BAA"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lastRenderedPageBreak/>
        <w:t>K</w:t>
      </w:r>
      <w:r w:rsidRPr="0079336E">
        <w:rPr>
          <w:rFonts w:eastAsia="MS Mincho" w:cs="Arial"/>
          <w:sz w:val="22"/>
        </w:rPr>
        <w:t>ukata ba nti sambu na kukangula ba nzila ya bisalu bisika ya kubaka ntoto sambu na bisalu ;</w:t>
      </w:r>
    </w:p>
    <w:p w14:paraId="7E0BEF97" w14:textId="77777777" w:rsidR="000326DA" w:rsidRPr="0079336E" w:rsidRDefault="000326DA" w:rsidP="002378EA">
      <w:pPr>
        <w:widowControl w:val="0"/>
        <w:numPr>
          <w:ilvl w:val="0"/>
          <w:numId w:val="68"/>
        </w:numPr>
        <w:autoSpaceDE w:val="0"/>
        <w:autoSpaceDN w:val="0"/>
        <w:rPr>
          <w:rFonts w:eastAsia="MS Mincho" w:cs="Arial"/>
          <w:sz w:val="22"/>
          <w:lang w:val="nl-BE"/>
        </w:rPr>
      </w:pPr>
      <w:r>
        <w:rPr>
          <w:rFonts w:eastAsia="MS Mincho" w:cs="Arial"/>
          <w:sz w:val="22"/>
          <w:lang w:val="nl-BE"/>
        </w:rPr>
        <w:t>K</w:t>
      </w:r>
      <w:r w:rsidRPr="0079336E">
        <w:rPr>
          <w:rFonts w:eastAsia="MS Mincho" w:cs="Arial"/>
          <w:sz w:val="22"/>
          <w:lang w:val="nl-BE"/>
        </w:rPr>
        <w:t>utumba na mpi kubebisa ba mvinda na moto ;</w:t>
      </w:r>
    </w:p>
    <w:p w14:paraId="2AF37735" w14:textId="77777777" w:rsidR="000326DA" w:rsidRPr="0079336E" w:rsidRDefault="000326DA" w:rsidP="002378EA">
      <w:pPr>
        <w:widowControl w:val="0"/>
        <w:numPr>
          <w:ilvl w:val="0"/>
          <w:numId w:val="68"/>
        </w:numPr>
        <w:autoSpaceDE w:val="0"/>
        <w:autoSpaceDN w:val="0"/>
        <w:rPr>
          <w:rFonts w:eastAsia="MS Mincho" w:cs="Arial"/>
          <w:sz w:val="22"/>
        </w:rPr>
      </w:pPr>
      <w:r w:rsidRPr="00415388">
        <w:rPr>
          <w:rFonts w:eastAsia="MS Mincho" w:cs="Arial"/>
          <w:sz w:val="22"/>
          <w:lang w:val="fr-CD"/>
        </w:rPr>
        <w:t>K</w:t>
      </w:r>
      <w:r w:rsidRPr="0079336E">
        <w:rPr>
          <w:rFonts w:eastAsia="MS Mincho" w:cs="Arial"/>
          <w:sz w:val="22"/>
          <w:lang w:val="fr-CD"/>
        </w:rPr>
        <w:t xml:space="preserve">ukota na bisika yayi pekisamaka na Mbulamatadi </w:t>
      </w:r>
      <w:r w:rsidRPr="0079336E">
        <w:rPr>
          <w:rFonts w:eastAsia="MS Mincho" w:cs="Arial"/>
          <w:sz w:val="22"/>
        </w:rPr>
        <w:t>(domaine de chasse de Mangai, Bushimae, Parc Marine de Mangrove et Parc National de la Virunga) ;</w:t>
      </w:r>
    </w:p>
    <w:p w14:paraId="5930EFC3"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ubebisa bima na mpi bisika ya ba Mbuti (PA) ;</w:t>
      </w:r>
    </w:p>
    <w:p w14:paraId="456AFEEE"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Kufwa ban yama na ba mvinda ;</w:t>
      </w:r>
    </w:p>
    <w:p w14:paraId="34C2CA4D"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 xml:space="preserve">Kuzikisa ba nzo ya kubumba ba mafuta na moto ; </w:t>
      </w:r>
    </w:p>
    <w:p w14:paraId="2FD7BDA5" w14:textId="77777777" w:rsidR="000326DA" w:rsidRPr="00415388" w:rsidRDefault="000326DA" w:rsidP="002378EA">
      <w:pPr>
        <w:widowControl w:val="0"/>
        <w:numPr>
          <w:ilvl w:val="0"/>
          <w:numId w:val="68"/>
        </w:numPr>
        <w:autoSpaceDE w:val="0"/>
        <w:autoSpaceDN w:val="0"/>
        <w:rPr>
          <w:rFonts w:eastAsia="MS Mincho" w:cs="Arial"/>
          <w:sz w:val="22"/>
          <w:lang w:val="pl-PL"/>
        </w:rPr>
      </w:pPr>
      <w:r w:rsidRPr="00415388">
        <w:rPr>
          <w:rFonts w:eastAsia="MS Mincho" w:cs="Arial"/>
          <w:sz w:val="22"/>
          <w:lang w:val="pl-PL"/>
        </w:rPr>
        <w:t>Kubebisa bima ya bonkoko na bisalu ya kutimula mabulu na ntoto (monuments, églises, tombes, etc.).</w:t>
      </w:r>
    </w:p>
    <w:p w14:paraId="02933C56" w14:textId="77777777" w:rsidR="000326DA" w:rsidRPr="00415388" w:rsidRDefault="000326DA" w:rsidP="000326DA">
      <w:pPr>
        <w:spacing w:line="240" w:lineRule="auto"/>
        <w:rPr>
          <w:rFonts w:cs="Arial"/>
          <w:sz w:val="22"/>
          <w:lang w:val="pl-PL"/>
        </w:rPr>
      </w:pPr>
    </w:p>
    <w:p w14:paraId="657E571A" w14:textId="77777777" w:rsidR="000326DA" w:rsidRPr="0079336E" w:rsidRDefault="000326DA" w:rsidP="002378EA">
      <w:pPr>
        <w:keepNext/>
        <w:numPr>
          <w:ilvl w:val="1"/>
          <w:numId w:val="65"/>
        </w:numPr>
        <w:tabs>
          <w:tab w:val="left" w:pos="720"/>
        </w:tabs>
        <w:spacing w:line="240" w:lineRule="auto"/>
        <w:outlineLvl w:val="2"/>
        <w:rPr>
          <w:rFonts w:cs="Arial"/>
          <w:vanish/>
          <w:sz w:val="22"/>
          <w:u w:val="single"/>
        </w:rPr>
      </w:pPr>
      <w:bookmarkStart w:id="122" w:name="_Toc70326729"/>
      <w:bookmarkStart w:id="123" w:name="_Toc70326962"/>
      <w:bookmarkStart w:id="124" w:name="_Toc70330325"/>
      <w:bookmarkEnd w:id="122"/>
      <w:bookmarkEnd w:id="123"/>
      <w:bookmarkEnd w:id="124"/>
    </w:p>
    <w:p w14:paraId="3AE07290" w14:textId="77777777" w:rsidR="000326DA" w:rsidRPr="00730A4A" w:rsidRDefault="000326DA" w:rsidP="000326DA">
      <w:pPr>
        <w:spacing w:line="240" w:lineRule="auto"/>
        <w:rPr>
          <w:rFonts w:cs="Arial"/>
          <w:color w:val="000000"/>
          <w:sz w:val="22"/>
          <w:u w:val="single"/>
        </w:rPr>
      </w:pPr>
      <w:r w:rsidRPr="00730A4A">
        <w:rPr>
          <w:rFonts w:cs="Arial"/>
          <w:color w:val="000000"/>
          <w:sz w:val="22"/>
          <w:u w:val="single"/>
        </w:rPr>
        <w:t>Bidimbu ya mbi ya bisalu ya kutonga ba wenze na mpi ba abattoirs</w:t>
      </w:r>
    </w:p>
    <w:p w14:paraId="4F97E14B" w14:textId="77777777" w:rsidR="000326DA" w:rsidRPr="0079336E" w:rsidRDefault="000326DA" w:rsidP="000326DA">
      <w:pPr>
        <w:spacing w:line="240" w:lineRule="auto"/>
        <w:rPr>
          <w:rFonts w:cs="Arial"/>
          <w:sz w:val="22"/>
          <w:u w:val="single"/>
        </w:rPr>
      </w:pPr>
    </w:p>
    <w:p w14:paraId="10AAD211"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 xml:space="preserve">ukatula batu na bisika bawu fandaka na kusadila mumbongu na bawu ; </w:t>
      </w:r>
    </w:p>
    <w:p w14:paraId="04498529"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unata ba busoto ya taluta na bisalu yayi ya kutonga na kusadila bisaka yayi ya bisalu ;</w:t>
      </w:r>
    </w:p>
    <w:p w14:paraId="1386251A"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 xml:space="preserve">ubebisa monisi ya bisika bakusadila ba wenze na mpi bisika ya nkaka ya bisalu ;  </w:t>
      </w:r>
    </w:p>
    <w:p w14:paraId="1C4A1A8F"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L</w:t>
      </w:r>
      <w:r w:rsidRPr="0079336E">
        <w:rPr>
          <w:rFonts w:eastAsia="MS Mincho" w:cs="Arial"/>
          <w:sz w:val="22"/>
        </w:rPr>
        <w:t xml:space="preserve">ikama ya mbalakaka kuluta na bisalu ; </w:t>
      </w:r>
    </w:p>
    <w:p w14:paraId="61E997B2"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usadila ba nsadi ya ba bwala ve ;</w:t>
      </w:r>
    </w:p>
    <w:p w14:paraId="596D66E6"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upanza ba maladi ya VIH/SIDA na mpi ya ba IST na nzila ya lukutakanu ya ba nsadi na batu ya ba bwala ;</w:t>
      </w:r>
    </w:p>
    <w:p w14:paraId="55115A39"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utungisa bana ba nkentu (VBG) ;</w:t>
      </w:r>
    </w:p>
    <w:p w14:paraId="15BF204A"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upanza maladi ya COVID-19 kana batu landaka ve mitindu ya mbote ya kulandila maladi yayi ;</w:t>
      </w:r>
    </w:p>
    <w:p w14:paraId="604679B8" w14:textId="77777777" w:rsidR="000326DA" w:rsidRPr="0079336E" w:rsidRDefault="000326DA" w:rsidP="000326DA">
      <w:pPr>
        <w:spacing w:line="240" w:lineRule="auto"/>
        <w:rPr>
          <w:rFonts w:cs="Arial"/>
          <w:sz w:val="22"/>
          <w:u w:val="single"/>
        </w:rPr>
      </w:pPr>
    </w:p>
    <w:p w14:paraId="0AB86296" w14:textId="77777777" w:rsidR="000326DA" w:rsidRPr="00730A4A" w:rsidRDefault="000326DA" w:rsidP="000326DA">
      <w:pPr>
        <w:spacing w:line="240" w:lineRule="auto"/>
        <w:rPr>
          <w:rFonts w:cs="Arial"/>
          <w:color w:val="000000"/>
          <w:sz w:val="22"/>
          <w:u w:val="single"/>
        </w:rPr>
      </w:pPr>
      <w:r w:rsidRPr="00730A4A">
        <w:rPr>
          <w:rFonts w:cs="Arial"/>
          <w:color w:val="000000"/>
          <w:sz w:val="22"/>
          <w:u w:val="single"/>
        </w:rPr>
        <w:t>Bidimbu ya mbi na kusadila mbote ve ba nzila ya kulutisa masa na bilanga</w:t>
      </w:r>
    </w:p>
    <w:p w14:paraId="5EAAC6B1" w14:textId="77777777" w:rsidR="000326DA" w:rsidRPr="00730A4A" w:rsidRDefault="000326DA" w:rsidP="000326DA">
      <w:pPr>
        <w:spacing w:line="240" w:lineRule="auto"/>
        <w:rPr>
          <w:rFonts w:cs="Arial"/>
          <w:color w:val="000000"/>
          <w:sz w:val="22"/>
          <w:u w:val="single"/>
        </w:rPr>
      </w:pPr>
    </w:p>
    <w:p w14:paraId="589568F7" w14:textId="77777777" w:rsidR="000326DA" w:rsidRPr="00372F9C" w:rsidRDefault="000326DA" w:rsidP="002378EA">
      <w:pPr>
        <w:widowControl w:val="0"/>
        <w:numPr>
          <w:ilvl w:val="0"/>
          <w:numId w:val="68"/>
        </w:numPr>
        <w:autoSpaceDE w:val="0"/>
        <w:autoSpaceDN w:val="0"/>
        <w:rPr>
          <w:rFonts w:eastAsia="MS Mincho" w:cs="Arial"/>
          <w:sz w:val="22"/>
          <w:lang w:val="nb-NO"/>
        </w:rPr>
      </w:pPr>
      <w:r w:rsidRPr="00372F9C">
        <w:rPr>
          <w:rFonts w:eastAsia="MS Mincho" w:cs="Arial"/>
          <w:sz w:val="22"/>
          <w:lang w:val="nb-NO"/>
        </w:rPr>
        <w:t xml:space="preserve">Kubebisa bisika mbisi ke butaka na masa ; </w:t>
      </w:r>
    </w:p>
    <w:p w14:paraId="76E89E73" w14:textId="77777777" w:rsidR="000326DA" w:rsidRPr="00372F9C" w:rsidRDefault="000326DA" w:rsidP="002378EA">
      <w:pPr>
        <w:widowControl w:val="0"/>
        <w:numPr>
          <w:ilvl w:val="0"/>
          <w:numId w:val="68"/>
        </w:numPr>
        <w:autoSpaceDE w:val="0"/>
        <w:autoSpaceDN w:val="0"/>
        <w:rPr>
          <w:rFonts w:eastAsia="MS Mincho" w:cs="Arial"/>
          <w:sz w:val="22"/>
          <w:lang w:val="nb-NO"/>
        </w:rPr>
      </w:pPr>
      <w:r w:rsidRPr="00372F9C">
        <w:rPr>
          <w:rFonts w:eastAsia="MS Mincho" w:cs="Arial"/>
          <w:sz w:val="22"/>
          <w:lang w:val="nb-NO"/>
        </w:rPr>
        <w:t xml:space="preserve">Kukata ba nti na mpi kubebisa ban toto na lubwaku, na mpi bisika ban yama fandaka na kati ya mvinda ;  </w:t>
      </w:r>
    </w:p>
    <w:p w14:paraId="55138FFF" w14:textId="77777777" w:rsidR="000326DA" w:rsidRPr="00372F9C" w:rsidRDefault="000326DA" w:rsidP="002378EA">
      <w:pPr>
        <w:widowControl w:val="0"/>
        <w:numPr>
          <w:ilvl w:val="0"/>
          <w:numId w:val="68"/>
        </w:numPr>
        <w:autoSpaceDE w:val="0"/>
        <w:autoSpaceDN w:val="0"/>
        <w:rPr>
          <w:rFonts w:eastAsia="MS Mincho" w:cs="Arial"/>
          <w:sz w:val="22"/>
          <w:lang w:val="nb-NO"/>
        </w:rPr>
      </w:pPr>
      <w:r w:rsidRPr="00372F9C">
        <w:rPr>
          <w:rFonts w:eastAsia="MS Mincho" w:cs="Arial"/>
          <w:sz w:val="22"/>
          <w:lang w:val="nb-NO"/>
        </w:rPr>
        <w:t xml:space="preserve">Kufwa ban yama ya fioti fioti na mvinda ;  </w:t>
      </w:r>
    </w:p>
    <w:p w14:paraId="6A880AF7" w14:textId="77777777" w:rsidR="000326DA" w:rsidRPr="00372F9C" w:rsidRDefault="000326DA" w:rsidP="002378EA">
      <w:pPr>
        <w:widowControl w:val="0"/>
        <w:numPr>
          <w:ilvl w:val="0"/>
          <w:numId w:val="68"/>
        </w:numPr>
        <w:autoSpaceDE w:val="0"/>
        <w:autoSpaceDN w:val="0"/>
        <w:rPr>
          <w:rFonts w:eastAsia="MS Mincho" w:cs="Arial"/>
          <w:sz w:val="22"/>
          <w:lang w:val="nb-NO"/>
        </w:rPr>
      </w:pPr>
      <w:r w:rsidRPr="00372F9C">
        <w:rPr>
          <w:rFonts w:eastAsia="MS Mincho" w:cs="Arial"/>
          <w:sz w:val="22"/>
          <w:lang w:val="nb-NO"/>
        </w:rPr>
        <w:t>Mavwanga ya kusadila masa, bilanga, kubukula ban yama na mpi mbisi na masa ;</w:t>
      </w:r>
    </w:p>
    <w:p w14:paraId="0019A410" w14:textId="77777777" w:rsidR="000326DA" w:rsidRPr="00372F9C" w:rsidRDefault="000326DA" w:rsidP="002378EA">
      <w:pPr>
        <w:widowControl w:val="0"/>
        <w:numPr>
          <w:ilvl w:val="0"/>
          <w:numId w:val="68"/>
        </w:numPr>
        <w:autoSpaceDE w:val="0"/>
        <w:autoSpaceDN w:val="0"/>
        <w:rPr>
          <w:rFonts w:eastAsia="MS Mincho" w:cs="Arial"/>
          <w:sz w:val="22"/>
          <w:lang w:val="nb-NO"/>
        </w:rPr>
      </w:pPr>
      <w:r w:rsidRPr="00372F9C">
        <w:rPr>
          <w:rFonts w:eastAsia="MS Mincho" w:cs="Arial"/>
          <w:sz w:val="22"/>
          <w:lang w:val="nb-NO"/>
        </w:rPr>
        <w:t xml:space="preserve">Mavwanga kati ya batu ya bwala na ba yayi ta kwisa sambu na bisalu ya bilanga ; </w:t>
      </w:r>
    </w:p>
    <w:p w14:paraId="72B7B6BA" w14:textId="77777777" w:rsidR="000326DA" w:rsidRPr="00372F9C" w:rsidRDefault="000326DA" w:rsidP="002378EA">
      <w:pPr>
        <w:widowControl w:val="0"/>
        <w:numPr>
          <w:ilvl w:val="0"/>
          <w:numId w:val="68"/>
        </w:numPr>
        <w:autoSpaceDE w:val="0"/>
        <w:autoSpaceDN w:val="0"/>
        <w:rPr>
          <w:rFonts w:eastAsia="MS Mincho" w:cs="Arial"/>
          <w:sz w:val="22"/>
          <w:lang w:val="nb-NO"/>
        </w:rPr>
      </w:pPr>
      <w:r w:rsidRPr="00372F9C">
        <w:rPr>
          <w:rFonts w:eastAsia="MS Mincho" w:cs="Arial"/>
          <w:sz w:val="22"/>
          <w:lang w:val="nb-NO"/>
        </w:rPr>
        <w:t>Kubebisa bisika ya madia ya ba nyama ; (na nzila ya kukata ba mvinda)</w:t>
      </w:r>
    </w:p>
    <w:p w14:paraId="0CE9F144" w14:textId="77777777" w:rsidR="000326DA" w:rsidRPr="00372F9C" w:rsidRDefault="000326DA" w:rsidP="002378EA">
      <w:pPr>
        <w:widowControl w:val="0"/>
        <w:numPr>
          <w:ilvl w:val="0"/>
          <w:numId w:val="68"/>
        </w:numPr>
        <w:autoSpaceDE w:val="0"/>
        <w:autoSpaceDN w:val="0"/>
        <w:rPr>
          <w:rFonts w:eastAsia="MS Mincho" w:cs="Arial"/>
          <w:sz w:val="22"/>
          <w:lang w:val="nb-NO"/>
        </w:rPr>
      </w:pPr>
      <w:r w:rsidRPr="00372F9C">
        <w:rPr>
          <w:rFonts w:eastAsia="MS Mincho" w:cs="Arial"/>
          <w:sz w:val="22"/>
          <w:lang w:val="nb-NO"/>
        </w:rPr>
        <w:t>Kunata mambu ya ban toto na mpi ya masa sambu na bisika ya bilanga ta bakisama ;</w:t>
      </w:r>
    </w:p>
    <w:p w14:paraId="05D969FD"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 xml:space="preserve">ubebisa ba ntoto ; </w:t>
      </w:r>
    </w:p>
    <w:p w14:paraId="00C3CFCD"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ubebisa masa na mpi ba ntoto na ba nkisi ya bilanga ;</w:t>
      </w:r>
    </w:p>
    <w:p w14:paraId="7307AA7C"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79336E">
        <w:rPr>
          <w:rFonts w:eastAsia="MS Mincho" w:cs="Arial"/>
          <w:sz w:val="22"/>
        </w:rPr>
        <w:t>ikakatanu ya kingolo ya nitu sambu na ba nkisi yayi ya kusadila na bilanga ;</w:t>
      </w:r>
    </w:p>
    <w:p w14:paraId="08244E0A" w14:textId="77777777" w:rsidR="000326DA" w:rsidRPr="0079336E"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79336E">
        <w:rPr>
          <w:rFonts w:eastAsia="MS Mincho" w:cs="Arial"/>
          <w:sz w:val="22"/>
        </w:rPr>
        <w:t xml:space="preserve">ubebisa bisika ya nkaka na ba nkisi yayi ya bilanga ; </w:t>
      </w:r>
    </w:p>
    <w:p w14:paraId="73D27F5D" w14:textId="77777777" w:rsidR="000326DA" w:rsidRPr="0079336E" w:rsidRDefault="000326DA" w:rsidP="002378EA">
      <w:pPr>
        <w:widowControl w:val="0"/>
        <w:numPr>
          <w:ilvl w:val="0"/>
          <w:numId w:val="68"/>
        </w:numPr>
        <w:autoSpaceDE w:val="0"/>
        <w:autoSpaceDN w:val="0"/>
        <w:rPr>
          <w:rFonts w:eastAsia="MS Mincho" w:cs="Arial"/>
          <w:sz w:val="22"/>
          <w:lang w:val="nl-BE"/>
        </w:rPr>
      </w:pPr>
      <w:r>
        <w:rPr>
          <w:rFonts w:eastAsia="MS Mincho" w:cs="Arial"/>
          <w:sz w:val="22"/>
          <w:lang w:val="nl-BE"/>
        </w:rPr>
        <w:t>K</w:t>
      </w:r>
      <w:r w:rsidRPr="0079336E">
        <w:rPr>
          <w:rFonts w:eastAsia="MS Mincho" w:cs="Arial"/>
          <w:sz w:val="22"/>
          <w:lang w:val="nl-BE"/>
        </w:rPr>
        <w:t>ubebisa bisika ya nkaka na milinga kuluta na moto ya bilanga.</w:t>
      </w:r>
    </w:p>
    <w:p w14:paraId="6D6D19A7" w14:textId="77777777" w:rsidR="000326DA" w:rsidRPr="0079336E" w:rsidRDefault="000326DA" w:rsidP="000326DA">
      <w:pPr>
        <w:tabs>
          <w:tab w:val="left" w:pos="426"/>
        </w:tabs>
        <w:spacing w:line="240" w:lineRule="auto"/>
        <w:ind w:left="720"/>
        <w:contextualSpacing/>
        <w:rPr>
          <w:rFonts w:eastAsia="Calibri" w:cs="Arial"/>
          <w:i/>
          <w:sz w:val="22"/>
          <w:lang w:val="nl-BE"/>
        </w:rPr>
      </w:pPr>
    </w:p>
    <w:p w14:paraId="0D7E1A13" w14:textId="77777777" w:rsidR="000326DA" w:rsidRPr="0079336E" w:rsidRDefault="000326DA" w:rsidP="002378EA">
      <w:pPr>
        <w:numPr>
          <w:ilvl w:val="0"/>
          <w:numId w:val="159"/>
        </w:numPr>
        <w:tabs>
          <w:tab w:val="left" w:pos="426"/>
        </w:tabs>
        <w:contextualSpacing/>
        <w:rPr>
          <w:rFonts w:eastAsia="Calibri" w:cs="Arial"/>
          <w:i/>
          <w:sz w:val="22"/>
          <w:lang w:val="nl-BE"/>
        </w:rPr>
      </w:pPr>
      <w:r w:rsidRPr="0079336E">
        <w:rPr>
          <w:rFonts w:eastAsia="Calibri" w:cs="Arial"/>
          <w:i/>
          <w:sz w:val="22"/>
          <w:lang w:val="nl-BE"/>
        </w:rPr>
        <w:t xml:space="preserve">Mikanua ta sadisa sambu na mambu ya kusadila bima yayi kezingaka ntoto na mpi mpila batu kefandaka </w:t>
      </w:r>
    </w:p>
    <w:p w14:paraId="39BB0EDD" w14:textId="77777777" w:rsidR="000326DA" w:rsidRPr="0079336E" w:rsidRDefault="000326DA" w:rsidP="000326DA">
      <w:pPr>
        <w:rPr>
          <w:rFonts w:cs="Arial"/>
          <w:i/>
          <w:sz w:val="22"/>
          <w:lang w:val="nl-BE"/>
        </w:rPr>
      </w:pPr>
    </w:p>
    <w:p w14:paraId="58360475" w14:textId="77777777" w:rsidR="000326DA" w:rsidRPr="0079336E" w:rsidRDefault="000326DA" w:rsidP="000326DA">
      <w:pPr>
        <w:autoSpaceDE w:val="0"/>
        <w:autoSpaceDN w:val="0"/>
        <w:adjustRightInd w:val="0"/>
        <w:contextualSpacing/>
        <w:rPr>
          <w:rFonts w:cs="Arial"/>
          <w:sz w:val="22"/>
          <w:lang w:val="nl-BE" w:bidi="fr-FR"/>
        </w:rPr>
      </w:pPr>
      <w:r w:rsidRPr="0079336E">
        <w:rPr>
          <w:rFonts w:cs="Arial"/>
          <w:sz w:val="22"/>
          <w:lang w:val="nl-BE" w:bidi="fr-FR"/>
        </w:rPr>
        <w:t xml:space="preserve">Kusadila bima yayi kezingaka ntoto na mpi mpila batu kefandaka ya PNDA tafanda na kati na yawu na mikanu yayi tasadisa sambu na kusadisa ba nzo ya bisalu na mpi tekiniki, kukodisa mayele ya bansadi, na mpi kukebisa batu sambu na mabu ya bisalu tasalama, yayi kelanda : </w:t>
      </w:r>
    </w:p>
    <w:p w14:paraId="2B55E3FB" w14:textId="77777777" w:rsidR="000326DA" w:rsidRPr="0079336E" w:rsidRDefault="000326DA" w:rsidP="000326DA">
      <w:pPr>
        <w:autoSpaceDE w:val="0"/>
        <w:autoSpaceDN w:val="0"/>
        <w:adjustRightInd w:val="0"/>
        <w:spacing w:line="240" w:lineRule="auto"/>
        <w:contextualSpacing/>
        <w:rPr>
          <w:rFonts w:eastAsia="Calibri" w:cs="Arial"/>
          <w:sz w:val="22"/>
          <w:lang w:val="nl-BE" w:bidi="fr-FR"/>
        </w:rPr>
      </w:pPr>
    </w:p>
    <w:p w14:paraId="1917E81B"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Kubongisa mutindu ya kusadila ba nsadi (PGMO) ;</w:t>
      </w:r>
    </w:p>
    <w:p w14:paraId="45301811"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Kubongisa mutinda ya kutuba na batu yonso yayi bisalu tatangidila (PMPP) ;</w:t>
      </w:r>
    </w:p>
    <w:p w14:paraId="61183038"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Kubongisa mpila ya kukatula batu na mpi bima na bawu bisika ya bisalu tasalama </w:t>
      </w:r>
      <w:r w:rsidRPr="00372F9C">
        <w:rPr>
          <w:rFonts w:eastAsia="MS Mincho" w:cs="Arial"/>
          <w:sz w:val="22"/>
          <w:lang w:val="nl-BE"/>
        </w:rPr>
        <w:lastRenderedPageBreak/>
        <w:t>(PAR) ;</w:t>
      </w:r>
    </w:p>
    <w:p w14:paraId="77FED1B2"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Kubongisa mutindu ya kusadila bima yayi kzingaka ntoto na mpi mpila batu kefandaka (PEES) ;</w:t>
      </w:r>
    </w:p>
    <w:p w14:paraId="05BF9573"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Kubongisa mpila ya kusadila na mpi kulandila mambu ya VBG na bisika ya bisalu na mpi kubongisa mpila ya kusadila na mpi kupesa biyanu na mambu yayi ya VBG na mpi kulandila mbote mambu ya bayayi kutanaka na mpasi ya VBG na mpi bashikaka na mpasi ina ;</w:t>
      </w:r>
    </w:p>
    <w:p w14:paraId="21D512F4"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Kubongisa mpila ya kulandila mambu ya ba Mbuti (PPA) ;</w:t>
      </w:r>
    </w:p>
    <w:p w14:paraId="0644DAA2"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Kubongisa mpila ya kukengidila batu na mpi bima na bawu na ntangu na mpi na manima ya bisalu yayi ya bilanga ;</w:t>
      </w:r>
    </w:p>
    <w:p w14:paraId="1A8430FA"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Kubongisa mpila ya kuzenga ba mambu kati ya batu (UNCP) ;</w:t>
      </w:r>
    </w:p>
    <w:p w14:paraId="5C579C2B"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Kusadila mpila ya nkaka kuzenga mambu ya tadila ba VBG ;</w:t>
      </w:r>
    </w:p>
    <w:p w14:paraId="280F040D"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Kutadila mbote mpila ya kusaldila bisalu na bansadi na mpi bayayi yakwisa kuna bima ya bisalu ;</w:t>
      </w:r>
    </w:p>
    <w:p w14:paraId="631B25CF"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Kuyedika mpila moshi ya kusadila sambu na kuzenga ba mambu yayi kele na kati na yawu mutindu ya kutadila mambu ya VBG/EAS/HS</w:t>
      </w:r>
    </w:p>
    <w:p w14:paraId="23867428"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Kuyedika kodi ya kutambula mbote : ya mutu moshi moshi, ya mutu yayi tasadisa bisalu na batu yankaka sambu na kutadila mpi mambu ya individuelle, VBG. kutuba mambu yayi na ndinga moshi ya mbote, yayi tamonisa bima ya mepekisama, mambu ya kubaka ba nkentu ya mepekisama na bisika ya bisalu, na mpi mambu ya kusadisa ban aya fioti bisalu</w:t>
      </w:r>
      <w:r w:rsidRPr="0079336E">
        <w:rPr>
          <w:rFonts w:eastAsia="MS Mincho" w:cs="Arial"/>
          <w:sz w:val="22"/>
          <w:vertAlign w:val="superscript"/>
        </w:rPr>
        <w:footnoteReference w:id="12"/>
      </w:r>
      <w:r w:rsidRPr="00372F9C">
        <w:rPr>
          <w:rFonts w:eastAsia="MS Mincho" w:cs="Arial"/>
          <w:sz w:val="22"/>
          <w:lang w:val="nl-BE"/>
        </w:rPr>
        <w:t xml:space="preserve">, kumonisa etumbu yayi kele sambu na mambu ay VBG, na mpi kumonisa mpila VBG fandaka na mpi mambu ya luwakanu ; </w:t>
      </w:r>
    </w:p>
    <w:p w14:paraId="7822E2F7"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Kupekisa bisalu ya ban aya fioti na kisalu yayi ; </w:t>
      </w:r>
    </w:p>
    <w:p w14:paraId="6D6A2606"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Kuyedika mpila ya kubongisa na mpi kulandila mambu ya bisalu tasalama ; </w:t>
      </w:r>
    </w:p>
    <w:p w14:paraId="1C419D9B"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Kukitisa mambu ya kuzenga ba nti na mpi kubebisa ba mvinda na bisika ya bisalu ; </w:t>
      </w:r>
    </w:p>
    <w:p w14:paraId="1C480CAA"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Kubongisa bisika yayi tasadisa sambu na kukengidila mbote bisika ya mepekisama, sambu ba mbisi ya masa na mpi ya mvinda bofandaka buna ; </w:t>
      </w:r>
    </w:p>
    <w:p w14:paraId="131AA8EE"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Kukotisa batu ya ICCN na kati ya bisalu kana bisalu fete salama bisika ya pembeni ya bisika yayi pekisamaka ; </w:t>
      </w:r>
    </w:p>
    <w:p w14:paraId="00CF7DC5"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Kupekisa kusala bisalu na kati ya bisika yayi pekisamaka ; </w:t>
      </w:r>
    </w:p>
    <w:p w14:paraId="331890BC"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Kuvutula bisika ya ku bakila ntoto na mpila yo fandaka na ntama sambu na kuvutula bisika ya banyama fandaka ;</w:t>
      </w:r>
    </w:p>
    <w:p w14:paraId="50754F8B"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Kutadila mbote mambu ya mimbongo ya batu na ntangu bisalu tasalama na mpi na nima ya bisalu mingimingi na yayi tadila mambu ya kutonga ba wenze ya batu ya ba bwala ; </w:t>
      </w:r>
    </w:p>
    <w:p w14:paraId="3F796545"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Kufuta bima ya batu tabebisama na bisalu na kintete ya kubanda kusadisa bisalu mingiminga bayayi salaka mumbongo na bawu na ba bwala ; </w:t>
      </w:r>
    </w:p>
    <w:p w14:paraId="2F2EDB17"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Kusadisa na mpi kukodisa mayele ya batu ya kimvuka ya kusadisa lisalu ya PNDA ;</w:t>
      </w:r>
    </w:p>
    <w:p w14:paraId="3397BEB9"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Kukodisa ngangu ya ba nsadi ya kimvuka ya UUNCP na mambu yayi tadila bima yayi kezingaka ntoto na mpi mpila batu kefandaka ; </w:t>
      </w:r>
    </w:p>
    <w:p w14:paraId="5F7C8FFA"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Kukodisa ngangu ya bansadi ya bisalu ya tekiniki ya Mbulamatadi na mambu ya bilanga ; </w:t>
      </w:r>
    </w:p>
    <w:p w14:paraId="48AC62AE"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Kulongisa bansadi ya PNDA mambu yayi tangidila ba VBG na mpi mpila ya kusadila mutindi ya kulandila na mpi kuzenga ba mambu (MGP) na ntangu ya kisalu tasalama sambu na yayi metadila ba VBG, na bayayi fete tangidila batu bayayi kutanaka na </w:t>
      </w:r>
      <w:r w:rsidRPr="00372F9C">
        <w:rPr>
          <w:rFonts w:eastAsia="MS Mincho" w:cs="Arial"/>
          <w:sz w:val="22"/>
          <w:lang w:val="nl-BE"/>
        </w:rPr>
        <w:lastRenderedPageBreak/>
        <w:t xml:space="preserve">mpasi ya mambu ya ba VBG ; </w:t>
      </w:r>
    </w:p>
    <w:p w14:paraId="18528687"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Manaka ya kukebisa na mpi ya kupesa batu ba nsangu na ba bwala sambu na mambu ya ba VBG, MGP na mpi VBG/EAS/HS, etc. ;</w:t>
      </w:r>
    </w:p>
    <w:p w14:paraId="30FFB04D"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Manaka ya kulongisa bansadi mambu yayi tadila bima yayi kezingaka ntoto na mpi mpila batu kefandaka ; </w:t>
      </w:r>
    </w:p>
    <w:p w14:paraId="5C1B49D8"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Kubongisa mpila ya landila mambu ya maladi to kimbefu ya COVID-19 ;</w:t>
      </w:r>
    </w:p>
    <w:p w14:paraId="1DECD570"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Kubongisa plima ya kukata ba mambu kati ya batu na kulandila yawu mbote ; </w:t>
      </w:r>
    </w:p>
    <w:p w14:paraId="21C4E7BB"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Kukamba mambu ya tatadilaka ba VBG ;</w:t>
      </w:r>
    </w:p>
    <w:p w14:paraId="19FAB3B3"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Kukabula batu ve na ntangu ya kupesa bawu bisalu na kubaka na bisalu 30% ya ba nkentu na mpi bakala ; </w:t>
      </w:r>
    </w:p>
    <w:p w14:paraId="41CC876F" w14:textId="77777777" w:rsidR="000326DA" w:rsidRPr="00372F9C" w:rsidRDefault="000326DA" w:rsidP="002378EA">
      <w:pPr>
        <w:widowControl w:val="0"/>
        <w:numPr>
          <w:ilvl w:val="0"/>
          <w:numId w:val="68"/>
        </w:numPr>
        <w:autoSpaceDE w:val="0"/>
        <w:autoSpaceDN w:val="0"/>
        <w:rPr>
          <w:rFonts w:eastAsia="MS Mincho" w:cs="Arial"/>
          <w:sz w:val="22"/>
          <w:lang w:val="nl-BE"/>
        </w:rPr>
      </w:pPr>
      <w:r w:rsidRPr="00372F9C">
        <w:rPr>
          <w:rFonts w:eastAsia="MS Mincho" w:cs="Arial"/>
          <w:sz w:val="22"/>
          <w:lang w:val="nl-BE"/>
        </w:rPr>
        <w:t xml:space="preserve">Kupesa bisalu na ban aya fioti ya nsi ya ba mvula 18 ve kulandana na mineku y ainsi ya tadilaka mambu ya kusadisa bisalu ; </w:t>
      </w:r>
    </w:p>
    <w:p w14:paraId="5E748A02" w14:textId="77777777" w:rsidR="000326DA" w:rsidRPr="00372F9C" w:rsidRDefault="000326DA" w:rsidP="002378EA">
      <w:pPr>
        <w:widowControl w:val="0"/>
        <w:numPr>
          <w:ilvl w:val="0"/>
          <w:numId w:val="68"/>
        </w:numPr>
        <w:autoSpaceDE w:val="0"/>
        <w:autoSpaceDN w:val="0"/>
        <w:spacing w:line="240" w:lineRule="auto"/>
        <w:rPr>
          <w:rFonts w:cs="Arial"/>
          <w:sz w:val="22"/>
          <w:lang w:val="nl-BE"/>
        </w:rPr>
      </w:pPr>
      <w:r w:rsidRPr="00372F9C">
        <w:rPr>
          <w:rFonts w:eastAsia="MS Mincho" w:cs="Arial"/>
          <w:sz w:val="22"/>
          <w:lang w:val="nl-BE"/>
        </w:rPr>
        <w:t xml:space="preserve">Kubongisa mpila ya kusadila bisika ba takatula bima ya bonkoko na nsi ya ntoto. </w:t>
      </w:r>
    </w:p>
    <w:p w14:paraId="37DF6304" w14:textId="77777777" w:rsidR="000326DA" w:rsidRPr="00372F9C" w:rsidRDefault="000326DA" w:rsidP="000326DA">
      <w:pPr>
        <w:widowControl w:val="0"/>
        <w:autoSpaceDE w:val="0"/>
        <w:autoSpaceDN w:val="0"/>
        <w:spacing w:line="240" w:lineRule="auto"/>
        <w:ind w:left="720"/>
        <w:rPr>
          <w:rFonts w:cs="Arial"/>
          <w:sz w:val="22"/>
          <w:lang w:val="nl-BE"/>
        </w:rPr>
      </w:pPr>
    </w:p>
    <w:p w14:paraId="0FE666B3" w14:textId="77777777" w:rsidR="000326DA" w:rsidRPr="00372F9C" w:rsidRDefault="000326DA" w:rsidP="000326DA">
      <w:pPr>
        <w:rPr>
          <w:rFonts w:cs="Arial"/>
          <w:sz w:val="22"/>
          <w:lang w:val="nl-BE"/>
        </w:rPr>
      </w:pPr>
      <w:r w:rsidRPr="00372F9C">
        <w:rPr>
          <w:rFonts w:cs="Arial"/>
          <w:sz w:val="22"/>
          <w:lang w:val="nl-BE"/>
        </w:rPr>
        <w:t xml:space="preserve">Mikanu yayi yonso kele na kati malonga ya PCGES (Plan Cadre de Gestion Environnementale et Sociale) yayi takotisamaka na kati ya buku ya kusadila bisalu. </w:t>
      </w:r>
    </w:p>
    <w:p w14:paraId="14FE9721" w14:textId="77777777" w:rsidR="000326DA" w:rsidRPr="00372F9C" w:rsidRDefault="000326DA" w:rsidP="000326DA">
      <w:pPr>
        <w:rPr>
          <w:rFonts w:cs="Arial"/>
          <w:bCs/>
          <w:sz w:val="22"/>
          <w:lang w:val="nl-BE"/>
        </w:rPr>
      </w:pPr>
    </w:p>
    <w:p w14:paraId="05F88603" w14:textId="77777777" w:rsidR="000326DA" w:rsidRPr="00372F9C" w:rsidRDefault="000326DA" w:rsidP="000326DA">
      <w:pPr>
        <w:ind w:left="426" w:hanging="426"/>
        <w:rPr>
          <w:rFonts w:cs="Arial"/>
          <w:i/>
          <w:sz w:val="22"/>
          <w:u w:val="single"/>
          <w:lang w:val="nl-BE" w:bidi="fr-FR"/>
        </w:rPr>
      </w:pPr>
      <w:r w:rsidRPr="00372F9C">
        <w:rPr>
          <w:rFonts w:cs="Arial"/>
          <w:i/>
          <w:sz w:val="22"/>
          <w:lang w:val="nl-BE" w:bidi="fr-FR"/>
        </w:rPr>
        <w:t xml:space="preserve">5.1. </w:t>
      </w:r>
      <w:r w:rsidRPr="00372F9C">
        <w:rPr>
          <w:rFonts w:cs="Arial"/>
          <w:i/>
          <w:sz w:val="22"/>
          <w:u w:val="single"/>
          <w:lang w:val="nl-BE" w:bidi="fr-FR"/>
        </w:rPr>
        <w:t>Mutindu ya kusadila bima yayi kezingaka ntoto na mpi mpila batu kefandaka na ntangu ya bisalu</w:t>
      </w:r>
    </w:p>
    <w:p w14:paraId="2A39DD55" w14:textId="77777777" w:rsidR="000326DA" w:rsidRPr="00372F9C" w:rsidRDefault="000326DA" w:rsidP="000326DA">
      <w:pPr>
        <w:rPr>
          <w:rFonts w:cs="Arial"/>
          <w:sz w:val="22"/>
          <w:lang w:val="nl-BE"/>
        </w:rPr>
      </w:pPr>
    </w:p>
    <w:p w14:paraId="08ECE138" w14:textId="77777777" w:rsidR="000326DA" w:rsidRPr="0079336E" w:rsidRDefault="000326DA" w:rsidP="000326DA">
      <w:pPr>
        <w:rPr>
          <w:rFonts w:eastAsia="Calibri" w:cs="Arial"/>
          <w:bCs/>
          <w:sz w:val="22"/>
        </w:rPr>
      </w:pPr>
      <w:r w:rsidRPr="00372F9C">
        <w:rPr>
          <w:rFonts w:eastAsia="Calibri" w:cs="Arial"/>
          <w:bCs/>
          <w:sz w:val="22"/>
          <w:lang w:val="nl-BE"/>
        </w:rPr>
        <w:t xml:space="preserve">Malongi yayi ya CGES kele nakati na yo na mutindu ya kupona bima yayi kezingaka ntoto na mpi mpila batu kefandaka ya bisalu yayi tasalama na nzila ya PNDA, yayi songa nzila ya kulanda na ntangu ya bisalu sambu na kusadila mikanu yatadilaka bima yayi kezingakaka ntoto na mpi mpila batu kefandaka, na mpi mutindu ya kusadila mibeku y ainsi na ba politiki ya Banque Mondiale. </w:t>
      </w:r>
      <w:r w:rsidRPr="0079336E">
        <w:rPr>
          <w:rFonts w:eastAsia="Calibri" w:cs="Arial"/>
          <w:bCs/>
          <w:sz w:val="22"/>
        </w:rPr>
        <w:t>Biteni ya kulanda kele :</w:t>
      </w:r>
    </w:p>
    <w:p w14:paraId="0288E4EF" w14:textId="77777777" w:rsidR="000326DA" w:rsidRPr="0079336E" w:rsidRDefault="000326DA" w:rsidP="000326DA">
      <w:pPr>
        <w:rPr>
          <w:rFonts w:eastAsia="Calibri" w:cs="Arial"/>
          <w:bCs/>
          <w:sz w:val="22"/>
        </w:rPr>
      </w:pPr>
    </w:p>
    <w:p w14:paraId="58C35228" w14:textId="77777777" w:rsidR="000326DA" w:rsidRPr="0079336E" w:rsidRDefault="000326DA" w:rsidP="000326DA">
      <w:pPr>
        <w:rPr>
          <w:rFonts w:eastAsia="Calibri" w:cs="Arial"/>
          <w:bCs/>
          <w:sz w:val="22"/>
          <w:u w:val="single"/>
        </w:rPr>
      </w:pPr>
      <w:r w:rsidRPr="0079336E">
        <w:rPr>
          <w:rFonts w:eastAsia="Calibri" w:cs="Arial"/>
          <w:bCs/>
          <w:sz w:val="22"/>
          <w:u w:val="single"/>
        </w:rPr>
        <w:t>Kupona bisalu tasalama</w:t>
      </w:r>
    </w:p>
    <w:p w14:paraId="58339E40" w14:textId="77777777" w:rsidR="000326DA" w:rsidRPr="0079336E" w:rsidRDefault="000326DA" w:rsidP="000326DA">
      <w:pPr>
        <w:rPr>
          <w:rFonts w:eastAsia="Calibri" w:cs="Arial"/>
          <w:bCs/>
          <w:sz w:val="22"/>
          <w:u w:val="single"/>
        </w:rPr>
      </w:pPr>
    </w:p>
    <w:p w14:paraId="4F4AE64D"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 xml:space="preserve">Kusonga bisika kisalu ta salama na mpi kumonisa mutindu bisika yayi kele ; </w:t>
      </w:r>
    </w:p>
    <w:p w14:paraId="0771E4C7"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 xml:space="preserve">Kupona bima yayi kezingaka ntoto na mpi mpila batu kefandaka, na mpi kutadisa mbote inki mukanu tasadisa sambu na kukengidila b abima yayi, na kukitisa bidimbu ya bisalu ; </w:t>
      </w:r>
    </w:p>
    <w:p w14:paraId="376260BD"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Kundima kuponama yayi salama.</w:t>
      </w:r>
    </w:p>
    <w:p w14:paraId="54260036" w14:textId="77777777" w:rsidR="000326DA" w:rsidRPr="0079336E" w:rsidRDefault="000326DA" w:rsidP="000326DA">
      <w:pPr>
        <w:rPr>
          <w:rFonts w:cs="Arial"/>
          <w:sz w:val="22"/>
        </w:rPr>
      </w:pPr>
    </w:p>
    <w:p w14:paraId="50E2F161" w14:textId="77777777" w:rsidR="000326DA" w:rsidRPr="0079336E" w:rsidRDefault="000326DA" w:rsidP="000326DA">
      <w:pPr>
        <w:rPr>
          <w:rFonts w:cs="Arial"/>
          <w:sz w:val="22"/>
          <w:u w:val="single"/>
        </w:rPr>
      </w:pPr>
      <w:r w:rsidRPr="0079336E">
        <w:rPr>
          <w:rFonts w:cs="Arial"/>
          <w:sz w:val="22"/>
          <w:u w:val="single"/>
        </w:rPr>
        <w:t xml:space="preserve">Kubongisa kisadilu sambu na kutadila mbote mambu y abima yayi kezingaka ntoto na mpi mpila batu kefandaka na bisalu yayi tasalama </w:t>
      </w:r>
    </w:p>
    <w:p w14:paraId="2D53074E" w14:textId="77777777" w:rsidR="000326DA" w:rsidRPr="0079336E" w:rsidRDefault="000326DA" w:rsidP="000326DA">
      <w:pPr>
        <w:rPr>
          <w:rFonts w:cs="Arial"/>
          <w:sz w:val="22"/>
          <w:u w:val="single"/>
        </w:rPr>
      </w:pPr>
    </w:p>
    <w:p w14:paraId="654C18D8"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Kubongisa na mpi kundima mutindu ya kusadila to TDR ;</w:t>
      </w:r>
    </w:p>
    <w:p w14:paraId="33620AAF"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Kusadisi malongi na ya nkaka na mpi ba bimvwama ya lukutakanu na batu yayi yonso bisalu tatadila ;</w:t>
      </w:r>
    </w:p>
    <w:p w14:paraId="5340AAD9"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Kundimisa malongi na mpi kubaka nkanda ya Mbulamatadi to certificat environnemental ;</w:t>
      </w:r>
    </w:p>
    <w:p w14:paraId="72E72769"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Kupanza malongi sambu na komonisa yo na batu ;</w:t>
      </w:r>
    </w:p>
    <w:p w14:paraId="28DFEC85"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Kukotisa na kati ya ba buku ya kubinga batu sambu na bisalu (DAO) tasalama, ya mikanu yonso ya kusadila bima yayi kezingaka ntoto na mpi mpila batu kefandaka yayi ba kompani ya bisalu fete landa ;</w:t>
      </w:r>
    </w:p>
    <w:p w14:paraId="31816A15"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 xml:space="preserve">Kundimama ya PGES ya kompani na bilo ya kutangidila bisalu ; </w:t>
      </w:r>
    </w:p>
    <w:p w14:paraId="4CCF7135"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Kusadila mikanu yayi yonso yayi mambu ya tabashika na ntangu ya kusala bisalu ;</w:t>
      </w:r>
    </w:p>
    <w:p w14:paraId="4D36E654"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 xml:space="preserve">kulandila bisalu mpila ya kusadila bima yayi kezingaka ntoto na mpi mpila batu </w:t>
      </w:r>
      <w:r w:rsidRPr="005C51BA">
        <w:rPr>
          <w:rFonts w:eastAsia="MS Mincho" w:cs="Arial"/>
          <w:sz w:val="22"/>
        </w:rPr>
        <w:lastRenderedPageBreak/>
        <w:t>kefandaka ;</w:t>
      </w:r>
    </w:p>
    <w:p w14:paraId="4E2F09D1"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 xml:space="preserve">kupanza na mpi kumonisa lapolo ya kulandila bisalu ; </w:t>
      </w:r>
    </w:p>
    <w:p w14:paraId="7D9886F1"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 xml:space="preserve">kulandila mambu y abima yayi kezingaka ntoto na mpi mpila batu kefandaka ; </w:t>
      </w:r>
    </w:p>
    <w:p w14:paraId="5F7DBA98"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 xml:space="preserve">kupanza na mpi komonisa lapolo ya kulandila yayi ; </w:t>
      </w:r>
    </w:p>
    <w:p w14:paraId="756C3A8C"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 xml:space="preserve">kukodisa mayele ya bayayi yonso tasadisa sambu na bisalu yayi tasalama ya kulandila mbote bima yayi kezingaka ntoto na mpi mpila batu kefandaka ; </w:t>
      </w:r>
    </w:p>
    <w:p w14:paraId="540F0B30" w14:textId="77777777" w:rsidR="000326DA" w:rsidRPr="005C51BA" w:rsidRDefault="000326DA" w:rsidP="002378EA">
      <w:pPr>
        <w:widowControl w:val="0"/>
        <w:numPr>
          <w:ilvl w:val="0"/>
          <w:numId w:val="68"/>
        </w:numPr>
        <w:autoSpaceDE w:val="0"/>
        <w:autoSpaceDN w:val="0"/>
        <w:rPr>
          <w:rFonts w:eastAsia="MS Mincho" w:cs="Arial"/>
          <w:sz w:val="22"/>
        </w:rPr>
      </w:pPr>
      <w:r w:rsidRPr="005C51BA">
        <w:rPr>
          <w:rFonts w:eastAsia="MS Mincho" w:cs="Arial"/>
          <w:sz w:val="22"/>
        </w:rPr>
        <w:t>kutangidila mutindu ya kusadila mambu y abima yayi kezingaka ntoto na mpi mpila batu kefandaka</w:t>
      </w:r>
      <w:r>
        <w:rPr>
          <w:rFonts w:eastAsia="MS Mincho" w:cs="Arial"/>
          <w:sz w:val="22"/>
        </w:rPr>
        <w:t>.</w:t>
      </w:r>
      <w:r w:rsidRPr="005C51BA">
        <w:rPr>
          <w:rFonts w:eastAsia="MS Mincho" w:cs="Arial"/>
          <w:sz w:val="22"/>
        </w:rPr>
        <w:t xml:space="preserve"> </w:t>
      </w:r>
    </w:p>
    <w:p w14:paraId="602D13DE" w14:textId="77777777" w:rsidR="000326DA" w:rsidRPr="0079336E" w:rsidRDefault="000326DA" w:rsidP="000326DA">
      <w:pPr>
        <w:spacing w:line="240" w:lineRule="auto"/>
        <w:rPr>
          <w:rFonts w:cs="Arial"/>
          <w:sz w:val="22"/>
        </w:rPr>
      </w:pPr>
    </w:p>
    <w:p w14:paraId="3C6006E9" w14:textId="77777777" w:rsidR="000326DA" w:rsidRPr="0079336E" w:rsidRDefault="000326DA" w:rsidP="000326DA">
      <w:pPr>
        <w:spacing w:line="240" w:lineRule="auto"/>
        <w:ind w:left="360"/>
        <w:rPr>
          <w:rFonts w:cs="Arial"/>
          <w:i/>
          <w:sz w:val="22"/>
          <w:u w:val="single"/>
        </w:rPr>
      </w:pPr>
      <w:r w:rsidRPr="0079336E">
        <w:rPr>
          <w:rFonts w:cs="Arial"/>
          <w:i/>
          <w:sz w:val="22"/>
        </w:rPr>
        <w:t>5.2.</w:t>
      </w:r>
      <w:r w:rsidRPr="0079336E">
        <w:rPr>
          <w:rFonts w:cs="Arial"/>
          <w:i/>
          <w:sz w:val="22"/>
          <w:u w:val="single"/>
        </w:rPr>
        <w:t xml:space="preserve"> Bimonisi sambu na kusadila malongi ya CGES </w:t>
      </w:r>
    </w:p>
    <w:p w14:paraId="4AF5FBA0" w14:textId="77777777" w:rsidR="000326DA" w:rsidRPr="0079336E" w:rsidRDefault="000326DA" w:rsidP="000326DA">
      <w:pPr>
        <w:spacing w:line="240" w:lineRule="auto"/>
        <w:rPr>
          <w:rFonts w:eastAsia="Calibri" w:cs="Arial"/>
          <w:bCs/>
          <w:sz w:val="22"/>
        </w:rPr>
      </w:pPr>
    </w:p>
    <w:p w14:paraId="59C300F1" w14:textId="77777777" w:rsidR="000326DA" w:rsidRPr="0079336E" w:rsidRDefault="000326DA" w:rsidP="000326DA">
      <w:pPr>
        <w:spacing w:line="240" w:lineRule="auto"/>
        <w:rPr>
          <w:rFonts w:cs="Arial"/>
          <w:bCs/>
          <w:sz w:val="22"/>
        </w:rPr>
      </w:pPr>
      <w:r w:rsidRPr="0079336E">
        <w:rPr>
          <w:rFonts w:eastAsia="Calibri" w:cs="Arial"/>
          <w:bCs/>
          <w:sz w:val="22"/>
        </w:rPr>
        <w:t xml:space="preserve">Manaka ya kukandila malongi yayi tapesa bimonisi yayi batalanda na ntangu ya kulandila bisalu, mutindu ya kusadila malongi, nani tasadila malongi, na inki ntangu bata landila malongi. Ntina ya manaka yayi ya kutangidila mambu y abima yayi kezingaka ntoto na mpi mpila batu kefandaka kele yakumonisa nde basadilaka penza mikuna ya pesamaka. Na yawu nde, bimonisi yayi tafanda : </w:t>
      </w:r>
    </w:p>
    <w:p w14:paraId="2907F2E5" w14:textId="77777777" w:rsidR="000326DA" w:rsidRPr="0079336E" w:rsidRDefault="000326DA" w:rsidP="000326DA">
      <w:pPr>
        <w:spacing w:line="240" w:lineRule="auto"/>
        <w:rPr>
          <w:rFonts w:cs="Arial"/>
          <w:bCs/>
          <w:sz w:val="22"/>
        </w:rPr>
      </w:pPr>
    </w:p>
    <w:p w14:paraId="30FE10C3"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B</w:t>
      </w:r>
      <w:r w:rsidRPr="005C51BA">
        <w:rPr>
          <w:rFonts w:eastAsia="MS Mincho" w:cs="Arial"/>
          <w:sz w:val="22"/>
        </w:rPr>
        <w:t>imonisi yayi batu ya Comité de Pilotage ya bisalu talandila ;</w:t>
      </w:r>
    </w:p>
    <w:p w14:paraId="1DD5CCF4"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5C51BA">
        <w:rPr>
          <w:rFonts w:eastAsia="MS Mincho" w:cs="Arial"/>
          <w:sz w:val="22"/>
        </w:rPr>
        <w:t>usadila kieleka kupona mambu y abima yayi kezingaka ntoto na mpi mpila batu kefandaka (Screening) na bisalu yayi kele na kati ya manaka ;</w:t>
      </w:r>
    </w:p>
    <w:p w14:paraId="2E246464"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5C51BA">
        <w:rPr>
          <w:rFonts w:eastAsia="MS Mincho" w:cs="Arial"/>
          <w:sz w:val="22"/>
        </w:rPr>
        <w:t>usadila kieleka kulandila bima yayi kezingaka ntoto na mpi mpila batu kefandaka na mpi kusala ba lapolo « reporting » ;</w:t>
      </w:r>
    </w:p>
    <w:p w14:paraId="452C0933"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5C51BA">
        <w:rPr>
          <w:rFonts w:eastAsia="MS Mincho" w:cs="Arial"/>
          <w:sz w:val="22"/>
        </w:rPr>
        <w:t>usadila manaka ya kulongisa na mpi kukebisa batu na yayi metala malongi yayi ya CGES ;</w:t>
      </w:r>
    </w:p>
    <w:p w14:paraId="4569BE32"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B</w:t>
      </w:r>
      <w:r w:rsidRPr="005C51BA">
        <w:rPr>
          <w:rFonts w:eastAsia="MS Mincho" w:cs="Arial"/>
          <w:sz w:val="22"/>
        </w:rPr>
        <w:t>imonisi ya talandilama na batu ya SSE na mpi bayayi ya SSS/PNDA ;</w:t>
      </w:r>
    </w:p>
    <w:p w14:paraId="04B267BF"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K</w:t>
      </w:r>
      <w:r w:rsidRPr="005C51BA">
        <w:rPr>
          <w:rFonts w:eastAsia="MS Mincho" w:cs="Arial"/>
          <w:sz w:val="22"/>
        </w:rPr>
        <w:t>usadila kieleka kukotisa mambu y abima yayi kezingaka ntoto na mpi mpila batu kefandak na ba buku ya kusadila bisalu ;</w:t>
      </w:r>
    </w:p>
    <w:p w14:paraId="4B42CD39"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 xml:space="preserve">utangu ya ba kompani yayi tosaka mikanu ya kusadila bima yayi kezingaka ntoto na mpi mpila batu kefandaka ; </w:t>
      </w:r>
    </w:p>
    <w:p w14:paraId="5CC7DE72"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 xml:space="preserve">utanga ya batu tangisamaka na mpi kebisamaka sambu ya mambu y abima yayi kezingaka ntoto na mpi mpila batu kefandaka ; </w:t>
      </w:r>
    </w:p>
    <w:p w14:paraId="7AAD93FA"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 xml:space="preserve">utindu ya kulandila bisalu ya batu ya ba CPE na bisalu yayi tasalama ; </w:t>
      </w:r>
    </w:p>
    <w:p w14:paraId="7012D27B"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utangu ya ba lukutakanu sambu na nu longisa na mpi kukebisa batu ;</w:t>
      </w:r>
    </w:p>
    <w:p w14:paraId="1D21B1D8" w14:textId="77777777" w:rsidR="000326DA" w:rsidRPr="00372F9C" w:rsidRDefault="000326DA" w:rsidP="002378EA">
      <w:pPr>
        <w:widowControl w:val="0"/>
        <w:numPr>
          <w:ilvl w:val="0"/>
          <w:numId w:val="68"/>
        </w:numPr>
        <w:autoSpaceDE w:val="0"/>
        <w:autoSpaceDN w:val="0"/>
        <w:rPr>
          <w:rFonts w:eastAsia="MS Mincho" w:cs="Arial"/>
          <w:sz w:val="22"/>
          <w:lang w:val="nb-NO"/>
        </w:rPr>
      </w:pPr>
      <w:r w:rsidRPr="00372F9C">
        <w:rPr>
          <w:rFonts w:eastAsia="MS Mincho" w:cs="Arial"/>
          <w:sz w:val="22"/>
          <w:lang w:val="nb-NO"/>
        </w:rPr>
        <w:t xml:space="preserve">Kulandila bisalu ya konso ntangu ya kieleka ; </w:t>
      </w:r>
    </w:p>
    <w:p w14:paraId="30B07A5F" w14:textId="77777777" w:rsidR="000326DA" w:rsidRPr="00372F9C" w:rsidRDefault="000326DA" w:rsidP="002378EA">
      <w:pPr>
        <w:widowControl w:val="0"/>
        <w:numPr>
          <w:ilvl w:val="0"/>
          <w:numId w:val="68"/>
        </w:numPr>
        <w:autoSpaceDE w:val="0"/>
        <w:autoSpaceDN w:val="0"/>
        <w:rPr>
          <w:rFonts w:eastAsia="MS Mincho" w:cs="Arial"/>
          <w:sz w:val="22"/>
          <w:lang w:val="nb-NO"/>
        </w:rPr>
      </w:pPr>
      <w:r w:rsidRPr="00372F9C">
        <w:rPr>
          <w:rFonts w:eastAsia="MS Mincho" w:cs="Arial"/>
          <w:sz w:val="22"/>
          <w:lang w:val="nb-NO"/>
        </w:rPr>
        <w:t>Mutangu ya bisalu yayi tafanda na malongi ya EIES na mpi ya PGES yayi salamaka kieleka ;</w:t>
      </w:r>
    </w:p>
    <w:p w14:paraId="7D534C40" w14:textId="77777777" w:rsidR="000326DA" w:rsidRPr="00372F9C" w:rsidRDefault="000326DA" w:rsidP="002378EA">
      <w:pPr>
        <w:widowControl w:val="0"/>
        <w:numPr>
          <w:ilvl w:val="0"/>
          <w:numId w:val="68"/>
        </w:numPr>
        <w:autoSpaceDE w:val="0"/>
        <w:autoSpaceDN w:val="0"/>
        <w:rPr>
          <w:rFonts w:eastAsia="MS Mincho" w:cs="Arial"/>
          <w:sz w:val="22"/>
          <w:lang w:val="nb-NO"/>
        </w:rPr>
      </w:pPr>
      <w:r w:rsidRPr="00372F9C">
        <w:rPr>
          <w:rFonts w:eastAsia="MS Mincho" w:cs="Arial"/>
          <w:sz w:val="22"/>
          <w:lang w:val="nb-NO"/>
        </w:rPr>
        <w:t xml:space="preserve">Mutangu ya ba lukutakanu sambu na kulongisa na mpi kukebisa batu yayi salamaka ; </w:t>
      </w:r>
    </w:p>
    <w:p w14:paraId="7FA126DC" w14:textId="77777777" w:rsidR="000326DA" w:rsidRPr="00372F9C" w:rsidRDefault="000326DA" w:rsidP="002378EA">
      <w:pPr>
        <w:widowControl w:val="0"/>
        <w:numPr>
          <w:ilvl w:val="0"/>
          <w:numId w:val="68"/>
        </w:numPr>
        <w:autoSpaceDE w:val="0"/>
        <w:autoSpaceDN w:val="0"/>
        <w:rPr>
          <w:rFonts w:eastAsia="MS Mincho" w:cs="Arial"/>
          <w:sz w:val="22"/>
          <w:lang w:val="nb-NO"/>
        </w:rPr>
      </w:pPr>
      <w:r w:rsidRPr="00372F9C">
        <w:rPr>
          <w:rFonts w:eastAsia="MS Mincho" w:cs="Arial"/>
          <w:sz w:val="22"/>
          <w:lang w:val="nb-NO"/>
        </w:rPr>
        <w:t>Mutangu ya mibembu sambu na kulandila na mpi kutangidila bima yayi kezingaka ntoto na mpi mpila batu kefandaka ;</w:t>
      </w:r>
    </w:p>
    <w:p w14:paraId="645CD09D"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 xml:space="preserve">utangu ya bisalu tapesama na batu ya ba bwala; </w:t>
      </w:r>
    </w:p>
    <w:p w14:paraId="57BBF944"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 xml:space="preserve">utangu ya ba Mbuti na mpi ya bisika bawu kutanaka na ngambu yayi bisalu tasalama ; </w:t>
      </w:r>
    </w:p>
    <w:p w14:paraId="61568490"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utangu ya batu yayi bisalu tasimba ;</w:t>
      </w:r>
    </w:p>
    <w:p w14:paraId="4F286081"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utangu ya ba lukutakanu ya kulongisa bansadi mambu ya VBG kutadila batu yonso ba nkentu na bakala ;</w:t>
      </w:r>
    </w:p>
    <w:p w14:paraId="5B0B06AF"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utangu ya ba lukutakanu ya kukodisa ngangu ya bansadi na mambu ya VBG ;</w:t>
      </w:r>
    </w:p>
    <w:p w14:paraId="510C4EE6"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utangu ya bayayi sadisamaka na nzila ya PEC médicale ;</w:t>
      </w:r>
    </w:p>
    <w:p w14:paraId="603BB9E6"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utangu ya bayayi kele na kusadisama na nzila ya ba nkisi ya munganga ;</w:t>
      </w:r>
    </w:p>
    <w:p w14:paraId="6E579F6B"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utangu ya bayayi sadisamaka na nzila ya toli ya PEC ;</w:t>
      </w:r>
    </w:p>
    <w:p w14:paraId="328BB72B" w14:textId="77777777" w:rsidR="000326DA" w:rsidRPr="00372F9C" w:rsidRDefault="000326DA" w:rsidP="002378EA">
      <w:pPr>
        <w:widowControl w:val="0"/>
        <w:numPr>
          <w:ilvl w:val="0"/>
          <w:numId w:val="68"/>
        </w:numPr>
        <w:autoSpaceDE w:val="0"/>
        <w:autoSpaceDN w:val="0"/>
        <w:rPr>
          <w:rFonts w:eastAsia="MS Mincho" w:cs="Arial"/>
          <w:sz w:val="22"/>
          <w:lang w:val="en-US"/>
        </w:rPr>
      </w:pPr>
      <w:r w:rsidRPr="00372F9C">
        <w:rPr>
          <w:rFonts w:eastAsia="MS Mincho" w:cs="Arial"/>
          <w:sz w:val="22"/>
          <w:lang w:val="en-US"/>
        </w:rPr>
        <w:t xml:space="preserve">Mutangu ya bayayi tindamaka na nzila ya ba nzuzi ; </w:t>
      </w:r>
    </w:p>
    <w:p w14:paraId="34FECAA8"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utangu ya batu yayi PEC tindika na ba nzuzi ;</w:t>
      </w:r>
    </w:p>
    <w:p w14:paraId="2DB1674C"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lastRenderedPageBreak/>
        <w:t>M</w:t>
      </w:r>
      <w:r w:rsidRPr="005C51BA">
        <w:rPr>
          <w:rFonts w:eastAsia="MS Mincho" w:cs="Arial"/>
          <w:sz w:val="22"/>
        </w:rPr>
        <w:t xml:space="preserve">utangu ya ba lukutakanu sambu na kukebisa na mambu ya VBG na mpi </w:t>
      </w:r>
      <w:r>
        <w:rPr>
          <w:rFonts w:eastAsia="MS Mincho" w:cs="Arial"/>
          <w:sz w:val="22"/>
        </w:rPr>
        <w:t xml:space="preserve">MGP </w:t>
      </w:r>
      <w:r w:rsidRPr="005C51BA">
        <w:rPr>
          <w:rFonts w:eastAsia="MS Mincho" w:cs="Arial"/>
          <w:sz w:val="22"/>
        </w:rPr>
        <w:t>;</w:t>
      </w:r>
    </w:p>
    <w:p w14:paraId="09D4A767" w14:textId="77777777" w:rsidR="000326DA" w:rsidRPr="005C51BA" w:rsidRDefault="000326DA" w:rsidP="002378EA">
      <w:pPr>
        <w:widowControl w:val="0"/>
        <w:numPr>
          <w:ilvl w:val="0"/>
          <w:numId w:val="68"/>
        </w:numPr>
        <w:autoSpaceDE w:val="0"/>
        <w:autoSpaceDN w:val="0"/>
        <w:rPr>
          <w:rFonts w:eastAsia="MS Mincho" w:cs="Arial"/>
          <w:sz w:val="22"/>
        </w:rPr>
      </w:pPr>
      <w:r>
        <w:rPr>
          <w:rFonts w:eastAsia="MS Mincho" w:cs="Arial"/>
          <w:sz w:val="22"/>
        </w:rPr>
        <w:t>M</w:t>
      </w:r>
      <w:r w:rsidRPr="005C51BA">
        <w:rPr>
          <w:rFonts w:eastAsia="MS Mincho" w:cs="Arial"/>
          <w:sz w:val="22"/>
        </w:rPr>
        <w:t>utangu ya batu yayi ta talama ya ba nkentu na mpi ya bakala, kulandana na ba mvula na bawu.</w:t>
      </w:r>
    </w:p>
    <w:p w14:paraId="3E26D743" w14:textId="77777777" w:rsidR="000326DA" w:rsidRPr="0079336E" w:rsidRDefault="000326DA" w:rsidP="000326DA">
      <w:pPr>
        <w:autoSpaceDE w:val="0"/>
        <w:autoSpaceDN w:val="0"/>
        <w:adjustRightInd w:val="0"/>
        <w:spacing w:line="240" w:lineRule="auto"/>
        <w:ind w:left="720"/>
        <w:rPr>
          <w:rFonts w:cs="Arial"/>
          <w:color w:val="000000"/>
          <w:sz w:val="22"/>
        </w:rPr>
      </w:pPr>
    </w:p>
    <w:p w14:paraId="731CEBB2" w14:textId="77777777" w:rsidR="000326DA" w:rsidRPr="0079336E" w:rsidRDefault="000326DA" w:rsidP="000326DA">
      <w:pPr>
        <w:tabs>
          <w:tab w:val="left" w:pos="426"/>
        </w:tabs>
        <w:contextualSpacing/>
        <w:rPr>
          <w:rFonts w:cs="Arial"/>
          <w:sz w:val="22"/>
          <w:u w:val="single"/>
        </w:rPr>
      </w:pPr>
      <w:r w:rsidRPr="0079336E">
        <w:rPr>
          <w:rFonts w:cs="Arial"/>
          <w:sz w:val="22"/>
          <w:u w:val="single"/>
        </w:rPr>
        <w:t>Mpila ba nzo ya bisalu tasadisa sambu na kusadila malongi yayi ya PCGES :</w:t>
      </w:r>
    </w:p>
    <w:p w14:paraId="378AFB02" w14:textId="77777777" w:rsidR="000326DA" w:rsidRPr="0079336E" w:rsidRDefault="000326DA" w:rsidP="000326DA">
      <w:pPr>
        <w:rPr>
          <w:rFonts w:cs="Arial"/>
          <w:sz w:val="22"/>
        </w:rPr>
      </w:pPr>
    </w:p>
    <w:p w14:paraId="69CC5291" w14:textId="77777777" w:rsidR="000326DA" w:rsidRPr="0079336E" w:rsidRDefault="000326DA" w:rsidP="002378EA">
      <w:pPr>
        <w:pStyle w:val="Paragraphedeliste"/>
        <w:keepNext/>
        <w:numPr>
          <w:ilvl w:val="1"/>
          <w:numId w:val="11"/>
        </w:numPr>
        <w:tabs>
          <w:tab w:val="left" w:pos="720"/>
        </w:tabs>
        <w:contextualSpacing w:val="0"/>
        <w:jc w:val="left"/>
        <w:outlineLvl w:val="2"/>
        <w:rPr>
          <w:rFonts w:cs="Arial"/>
          <w:vanish/>
          <w:sz w:val="22"/>
          <w:u w:val="single"/>
        </w:rPr>
      </w:pPr>
      <w:bookmarkStart w:id="125" w:name="_Toc70326730"/>
      <w:bookmarkStart w:id="126" w:name="_Toc70326963"/>
      <w:bookmarkStart w:id="127" w:name="_Toc70330326"/>
      <w:bookmarkEnd w:id="125"/>
      <w:bookmarkEnd w:id="126"/>
      <w:bookmarkEnd w:id="127"/>
    </w:p>
    <w:p w14:paraId="5E887285" w14:textId="77777777" w:rsidR="000326DA" w:rsidRPr="0079336E" w:rsidRDefault="000326DA" w:rsidP="002378EA">
      <w:pPr>
        <w:pStyle w:val="Paragraphedeliste"/>
        <w:keepNext/>
        <w:numPr>
          <w:ilvl w:val="1"/>
          <w:numId w:val="11"/>
        </w:numPr>
        <w:tabs>
          <w:tab w:val="left" w:pos="720"/>
        </w:tabs>
        <w:contextualSpacing w:val="0"/>
        <w:jc w:val="left"/>
        <w:outlineLvl w:val="2"/>
        <w:rPr>
          <w:rFonts w:cs="Arial"/>
          <w:vanish/>
          <w:sz w:val="22"/>
          <w:u w:val="single"/>
        </w:rPr>
      </w:pPr>
      <w:bookmarkStart w:id="128" w:name="_Toc70326731"/>
      <w:bookmarkStart w:id="129" w:name="_Toc70326964"/>
      <w:bookmarkStart w:id="130" w:name="_Toc70330327"/>
      <w:bookmarkEnd w:id="128"/>
      <w:bookmarkEnd w:id="129"/>
      <w:bookmarkEnd w:id="130"/>
    </w:p>
    <w:p w14:paraId="339E3D19" w14:textId="77777777" w:rsidR="000326DA" w:rsidRPr="0079336E" w:rsidRDefault="000326DA" w:rsidP="000326DA">
      <w:pPr>
        <w:autoSpaceDE w:val="0"/>
        <w:autoSpaceDN w:val="0"/>
        <w:adjustRightInd w:val="0"/>
        <w:rPr>
          <w:rFonts w:cs="Arial"/>
          <w:sz w:val="22"/>
        </w:rPr>
      </w:pPr>
      <w:r w:rsidRPr="0079336E">
        <w:rPr>
          <w:rFonts w:cs="Arial"/>
          <w:sz w:val="22"/>
        </w:rPr>
        <w:t>Mulongo yayi talanda ke monisa bimvwama ya ba yayi tasadila mikanu ya mambu y abima yayi kezingaka ntoto na mpi mpila batu kefandaka sambu na bisalu ya PNDA :</w:t>
      </w:r>
    </w:p>
    <w:p w14:paraId="589AA752" w14:textId="77777777" w:rsidR="000326DA" w:rsidRPr="0079336E" w:rsidRDefault="000326DA" w:rsidP="000326DA">
      <w:pPr>
        <w:autoSpaceDE w:val="0"/>
        <w:autoSpaceDN w:val="0"/>
        <w:adjustRightInd w:val="0"/>
        <w:rPr>
          <w:rFonts w:cs="Arial"/>
          <w:sz w:val="22"/>
        </w:rPr>
      </w:pPr>
    </w:p>
    <w:p w14:paraId="4011DA51" w14:textId="77777777" w:rsidR="000326DA" w:rsidRPr="0079336E" w:rsidRDefault="000326DA" w:rsidP="002378EA">
      <w:pPr>
        <w:pStyle w:val="Paragraphedeliste"/>
        <w:numPr>
          <w:ilvl w:val="0"/>
          <w:numId w:val="29"/>
        </w:numPr>
        <w:spacing w:line="240" w:lineRule="auto"/>
        <w:jc w:val="left"/>
        <w:rPr>
          <w:rFonts w:cs="Arial"/>
          <w:i/>
          <w:color w:val="000000"/>
          <w:sz w:val="22"/>
        </w:rPr>
      </w:pPr>
      <w:r w:rsidRPr="0079336E">
        <w:rPr>
          <w:rFonts w:cs="Arial"/>
          <w:i/>
          <w:color w:val="000000"/>
          <w:sz w:val="22"/>
        </w:rPr>
        <w:t>Lukutakanu ya tekiniki ya kubongisa na mpi kulandila bisalu ya PNDA </w:t>
      </w:r>
    </w:p>
    <w:p w14:paraId="07F133FD" w14:textId="77777777" w:rsidR="000326DA" w:rsidRPr="0079336E" w:rsidRDefault="000326DA" w:rsidP="000326DA">
      <w:pPr>
        <w:ind w:left="360"/>
        <w:rPr>
          <w:rFonts w:cs="Arial"/>
          <w:sz w:val="22"/>
        </w:rPr>
      </w:pPr>
    </w:p>
    <w:p w14:paraId="4B642D3A" w14:textId="77777777" w:rsidR="000326DA" w:rsidRPr="0079336E" w:rsidRDefault="000326DA" w:rsidP="000326DA">
      <w:pPr>
        <w:rPr>
          <w:rFonts w:cs="Arial"/>
          <w:sz w:val="22"/>
        </w:rPr>
      </w:pPr>
      <w:r w:rsidRPr="0079336E">
        <w:rPr>
          <w:rFonts w:cs="Arial"/>
          <w:sz w:val="22"/>
        </w:rPr>
        <w:t xml:space="preserve">Lukutakanu ya takiniki ya kulandila bisalu (CTPS) ya PNDA, tasadisa nzila mosi na lukutakanu ya UNCP/PARRSA sambu na kubonsisa tekiniki na mpi mpila ya kulandila bisalu ya PNDA. </w:t>
      </w:r>
    </w:p>
    <w:p w14:paraId="5D27EC60" w14:textId="77777777" w:rsidR="000326DA" w:rsidRPr="0079336E" w:rsidRDefault="000326DA" w:rsidP="000326DA">
      <w:pPr>
        <w:rPr>
          <w:rFonts w:cs="Arial"/>
          <w:sz w:val="22"/>
        </w:rPr>
      </w:pPr>
    </w:p>
    <w:p w14:paraId="5FA404B3" w14:textId="77777777" w:rsidR="000326DA" w:rsidRPr="0079336E" w:rsidRDefault="000326DA" w:rsidP="002378EA">
      <w:pPr>
        <w:pStyle w:val="Paragraphedeliste"/>
        <w:numPr>
          <w:ilvl w:val="0"/>
          <w:numId w:val="29"/>
        </w:numPr>
        <w:spacing w:line="240" w:lineRule="auto"/>
        <w:jc w:val="left"/>
        <w:rPr>
          <w:rFonts w:cs="Arial"/>
          <w:i/>
          <w:color w:val="000000"/>
          <w:sz w:val="22"/>
        </w:rPr>
      </w:pPr>
      <w:r w:rsidRPr="0079336E">
        <w:rPr>
          <w:rFonts w:cs="Arial"/>
          <w:i/>
          <w:color w:val="000000"/>
          <w:sz w:val="22"/>
        </w:rPr>
        <w:t>UNCP/PARRSA, U</w:t>
      </w:r>
      <w:r>
        <w:rPr>
          <w:rFonts w:cs="Arial"/>
          <w:i/>
          <w:color w:val="000000"/>
          <w:sz w:val="22"/>
        </w:rPr>
        <w:t>UNCP</w:t>
      </w:r>
      <w:r w:rsidRPr="0079336E">
        <w:rPr>
          <w:rFonts w:cs="Arial"/>
          <w:i/>
          <w:color w:val="000000"/>
          <w:sz w:val="22"/>
        </w:rPr>
        <w:t xml:space="preserve"> na lukutakanu ya kutadila mambu ya kupesa bisalu ya Mbulamatadi (C</w:t>
      </w:r>
      <w:r>
        <w:rPr>
          <w:rFonts w:cs="Arial"/>
          <w:i/>
          <w:color w:val="000000"/>
          <w:sz w:val="22"/>
        </w:rPr>
        <w:t>UNCP</w:t>
      </w:r>
      <w:r w:rsidRPr="0079336E">
        <w:rPr>
          <w:rFonts w:cs="Arial"/>
          <w:i/>
          <w:color w:val="000000"/>
          <w:sz w:val="22"/>
        </w:rPr>
        <w:t>MP)</w:t>
      </w:r>
    </w:p>
    <w:p w14:paraId="32554176" w14:textId="77777777" w:rsidR="000326DA" w:rsidRPr="0079336E" w:rsidRDefault="000326DA" w:rsidP="000326DA">
      <w:pPr>
        <w:ind w:left="360"/>
        <w:rPr>
          <w:rFonts w:cs="Arial"/>
          <w:sz w:val="22"/>
        </w:rPr>
      </w:pPr>
    </w:p>
    <w:p w14:paraId="0BBD1E11" w14:textId="77777777" w:rsidR="000326DA" w:rsidRPr="0079336E" w:rsidRDefault="000326DA" w:rsidP="000326DA">
      <w:pPr>
        <w:rPr>
          <w:rFonts w:cs="Arial"/>
          <w:sz w:val="22"/>
        </w:rPr>
      </w:pPr>
      <w:r w:rsidRPr="0079336E">
        <w:rPr>
          <w:rFonts w:cs="Arial"/>
          <w:sz w:val="22"/>
        </w:rPr>
        <w:t>Na ntangu ya kubongisa bisalu na kintete ya kusala lukutakanu ya kusadisa bisalu ya UNCP/PARRSA na mpi ya U</w:t>
      </w:r>
      <w:r>
        <w:rPr>
          <w:rFonts w:cs="Arial"/>
          <w:sz w:val="22"/>
        </w:rPr>
        <w:t>UNCP</w:t>
      </w:r>
      <w:r w:rsidRPr="0079336E">
        <w:rPr>
          <w:rFonts w:cs="Arial"/>
          <w:sz w:val="22"/>
        </w:rPr>
        <w:t>, ba Provinces, na lusadisu ya lukutakanu ya tekiniki ta tadila mambu ya kusadisa bisaluavec.</w:t>
      </w:r>
    </w:p>
    <w:p w14:paraId="71372F9D" w14:textId="77777777" w:rsidR="000326DA" w:rsidRPr="0079336E" w:rsidRDefault="000326DA" w:rsidP="000326DA">
      <w:pPr>
        <w:rPr>
          <w:rFonts w:cs="Arial"/>
          <w:sz w:val="22"/>
        </w:rPr>
      </w:pPr>
    </w:p>
    <w:p w14:paraId="6D2A9823" w14:textId="77777777" w:rsidR="000326DA" w:rsidRPr="0079336E" w:rsidRDefault="000326DA" w:rsidP="000326DA">
      <w:pPr>
        <w:rPr>
          <w:rFonts w:cs="Arial"/>
          <w:sz w:val="22"/>
        </w:rPr>
      </w:pPr>
      <w:r w:rsidRPr="0079336E">
        <w:rPr>
          <w:rFonts w:cs="Arial"/>
          <w:sz w:val="22"/>
        </w:rPr>
        <w:t>Lukutakanu ya U</w:t>
      </w:r>
      <w:r>
        <w:rPr>
          <w:rFonts w:cs="Arial"/>
          <w:sz w:val="22"/>
        </w:rPr>
        <w:t>UNCP</w:t>
      </w:r>
      <w:r w:rsidRPr="0079336E">
        <w:rPr>
          <w:rFonts w:cs="Arial"/>
          <w:sz w:val="22"/>
        </w:rPr>
        <w:t xml:space="preserve"> ya PNDA tatadila mbote kulandila mambu y abima yayi kezingaka ntoto na mpi mpila batu kefandaka na ntangu ya kusala bisalu ya PNDA na bisaka yonso yayi ponamaka. Bawu tatadila mpi mambu ya kusadila malongi yayi ya CGES na mpi malongi ya nkaka yayi fete kulanda sambu na kutadila mambu ya bima yayi kezingaka ntoto na mpi mpila batu kefandaka na bisalu yayi ya PNDA. </w:t>
      </w:r>
    </w:p>
    <w:p w14:paraId="161B6B88" w14:textId="77777777" w:rsidR="000326DA" w:rsidRPr="0079336E" w:rsidRDefault="000326DA" w:rsidP="000326DA">
      <w:pPr>
        <w:rPr>
          <w:rFonts w:cs="Arial"/>
          <w:sz w:val="22"/>
        </w:rPr>
      </w:pPr>
    </w:p>
    <w:p w14:paraId="34F8FAC7" w14:textId="77777777" w:rsidR="000326DA" w:rsidRPr="0079336E" w:rsidRDefault="000326DA" w:rsidP="002378EA">
      <w:pPr>
        <w:pStyle w:val="Paragraphedeliste"/>
        <w:numPr>
          <w:ilvl w:val="0"/>
          <w:numId w:val="29"/>
        </w:numPr>
        <w:spacing w:line="240" w:lineRule="auto"/>
        <w:rPr>
          <w:rFonts w:cs="Arial"/>
          <w:i/>
          <w:color w:val="000000"/>
          <w:sz w:val="22"/>
        </w:rPr>
      </w:pPr>
      <w:r w:rsidRPr="0079336E">
        <w:rPr>
          <w:rFonts w:cs="Arial"/>
          <w:i/>
          <w:color w:val="000000"/>
          <w:sz w:val="22"/>
        </w:rPr>
        <w:t>Agence Congolaise de l’Environnement (ACE) </w:t>
      </w:r>
    </w:p>
    <w:p w14:paraId="4EB96AE0" w14:textId="77777777" w:rsidR="000326DA" w:rsidRPr="0079336E" w:rsidRDefault="000326DA" w:rsidP="000326DA">
      <w:pPr>
        <w:ind w:left="360"/>
        <w:rPr>
          <w:rFonts w:cs="Arial"/>
          <w:i/>
          <w:color w:val="000000"/>
          <w:sz w:val="22"/>
        </w:rPr>
      </w:pPr>
    </w:p>
    <w:p w14:paraId="3A45F143" w14:textId="77777777" w:rsidR="000326DA" w:rsidRPr="0079336E" w:rsidRDefault="000326DA" w:rsidP="000326DA">
      <w:pPr>
        <w:rPr>
          <w:rFonts w:cs="Arial"/>
          <w:sz w:val="22"/>
        </w:rPr>
      </w:pPr>
      <w:r w:rsidRPr="0079336E">
        <w:rPr>
          <w:rFonts w:cs="Arial"/>
          <w:color w:val="000000"/>
          <w:sz w:val="22"/>
        </w:rPr>
        <w:t xml:space="preserve">ACE </w:t>
      </w:r>
      <w:r w:rsidRPr="0079336E">
        <w:rPr>
          <w:rFonts w:cs="Arial"/>
          <w:i/>
          <w:color w:val="000000"/>
          <w:sz w:val="22"/>
        </w:rPr>
        <w:t>(i)</w:t>
      </w:r>
      <w:r w:rsidRPr="0079336E">
        <w:rPr>
          <w:rFonts w:cs="Arial"/>
          <w:color w:val="000000"/>
          <w:sz w:val="22"/>
        </w:rPr>
        <w:t xml:space="preserve"> tasadisa na ntangu ya kumonisa mpila ya kusadila bima yayi kezingaka ntoto na mpi mpila batu kefandaka sambu na bisalu yonso, </w:t>
      </w:r>
      <w:r w:rsidRPr="0079336E">
        <w:rPr>
          <w:rFonts w:cs="Arial"/>
          <w:i/>
          <w:sz w:val="22"/>
        </w:rPr>
        <w:t>(ii)</w:t>
      </w:r>
      <w:r w:rsidRPr="0079336E">
        <w:rPr>
          <w:rFonts w:cs="Arial"/>
          <w:sz w:val="22"/>
        </w:rPr>
        <w:t xml:space="preserve"> kundima malongi yonso yayi tadila mambu y abima yayi kezingaka ntoto na mpi mpila batu kefandaka yayi salamaka na ban ganga mayele, </w:t>
      </w:r>
      <w:r w:rsidRPr="0079336E">
        <w:rPr>
          <w:rFonts w:cs="Arial"/>
          <w:i/>
          <w:sz w:val="22"/>
        </w:rPr>
        <w:t xml:space="preserve">(iii) na mpi talandila, na zina ya </w:t>
      </w:r>
      <w:r w:rsidRPr="0079336E">
        <w:rPr>
          <w:rFonts w:cs="Arial"/>
          <w:sz w:val="22"/>
        </w:rPr>
        <w:t>CTPS, mambu y abima yayi kezingaka ntoto na mpi mpila batu kefandaka ya bisalu ya PNDA.</w:t>
      </w:r>
    </w:p>
    <w:p w14:paraId="284561AC" w14:textId="77777777" w:rsidR="000326DA" w:rsidRPr="0079336E" w:rsidRDefault="000326DA" w:rsidP="000326DA">
      <w:pPr>
        <w:rPr>
          <w:rFonts w:cs="Arial"/>
          <w:color w:val="000000"/>
          <w:sz w:val="22"/>
        </w:rPr>
      </w:pPr>
    </w:p>
    <w:p w14:paraId="08C0BE28" w14:textId="77777777" w:rsidR="000326DA" w:rsidRPr="0079336E" w:rsidRDefault="000326DA" w:rsidP="002378EA">
      <w:pPr>
        <w:pStyle w:val="Paragraphedeliste"/>
        <w:numPr>
          <w:ilvl w:val="0"/>
          <w:numId w:val="29"/>
        </w:numPr>
        <w:spacing w:line="240" w:lineRule="auto"/>
        <w:rPr>
          <w:rFonts w:cs="Arial"/>
          <w:i/>
          <w:color w:val="000000"/>
          <w:sz w:val="22"/>
        </w:rPr>
      </w:pPr>
      <w:r w:rsidRPr="0079336E">
        <w:rPr>
          <w:rFonts w:cs="Arial"/>
          <w:i/>
          <w:color w:val="000000"/>
          <w:sz w:val="22"/>
        </w:rPr>
        <w:t>Directions Provinciales de l’ACE (DP-ACE)</w:t>
      </w:r>
    </w:p>
    <w:p w14:paraId="654BC09F" w14:textId="77777777" w:rsidR="000326DA" w:rsidRPr="0079336E" w:rsidRDefault="000326DA" w:rsidP="000326DA">
      <w:pPr>
        <w:spacing w:line="240" w:lineRule="auto"/>
        <w:rPr>
          <w:rFonts w:cs="Arial"/>
          <w:iCs/>
          <w:color w:val="000000"/>
          <w:sz w:val="22"/>
        </w:rPr>
      </w:pPr>
    </w:p>
    <w:p w14:paraId="26298787" w14:textId="77777777" w:rsidR="000326DA" w:rsidRPr="0079336E" w:rsidRDefault="000326DA" w:rsidP="000326DA">
      <w:pPr>
        <w:spacing w:line="240" w:lineRule="auto"/>
        <w:rPr>
          <w:rFonts w:cs="Arial"/>
          <w:iCs/>
          <w:color w:val="000000"/>
          <w:sz w:val="22"/>
        </w:rPr>
      </w:pPr>
      <w:r w:rsidRPr="0079336E">
        <w:rPr>
          <w:rFonts w:cs="Arial"/>
          <w:iCs/>
          <w:color w:val="000000"/>
          <w:sz w:val="22"/>
        </w:rPr>
        <w:t>Ba DP-ACE tasala bisalu ya ACE na kati ya ba provinces yayi kele bisika bisalu tasalama na ndingisa ya ACE.</w:t>
      </w:r>
    </w:p>
    <w:p w14:paraId="224111DF" w14:textId="77777777" w:rsidR="000326DA" w:rsidRPr="0079336E" w:rsidRDefault="000326DA" w:rsidP="000326DA">
      <w:pPr>
        <w:spacing w:line="240" w:lineRule="auto"/>
        <w:rPr>
          <w:rFonts w:cs="Arial"/>
          <w:iCs/>
          <w:color w:val="000000"/>
          <w:sz w:val="22"/>
        </w:rPr>
      </w:pPr>
    </w:p>
    <w:p w14:paraId="35576AF5" w14:textId="77777777" w:rsidR="000326DA" w:rsidRPr="0079336E" w:rsidRDefault="000326DA" w:rsidP="002378EA">
      <w:pPr>
        <w:pStyle w:val="Paragraphedeliste"/>
        <w:numPr>
          <w:ilvl w:val="0"/>
          <w:numId w:val="29"/>
        </w:numPr>
        <w:spacing w:line="240" w:lineRule="auto"/>
        <w:rPr>
          <w:rFonts w:cs="Arial"/>
          <w:i/>
          <w:color w:val="000000"/>
          <w:sz w:val="22"/>
        </w:rPr>
      </w:pPr>
      <w:r w:rsidRPr="0079336E">
        <w:rPr>
          <w:rFonts w:cs="Arial"/>
          <w:i/>
          <w:color w:val="000000"/>
          <w:sz w:val="22"/>
        </w:rPr>
        <w:t xml:space="preserve">Coordinations Provinciales pour l’Environnement (CPE) </w:t>
      </w:r>
    </w:p>
    <w:p w14:paraId="75AF15C3" w14:textId="77777777" w:rsidR="000326DA" w:rsidRPr="0079336E" w:rsidRDefault="000326DA" w:rsidP="000326DA">
      <w:pPr>
        <w:rPr>
          <w:rFonts w:cs="Arial"/>
          <w:i/>
          <w:color w:val="000000"/>
          <w:sz w:val="22"/>
        </w:rPr>
      </w:pPr>
    </w:p>
    <w:p w14:paraId="58E2D518" w14:textId="77777777" w:rsidR="000326DA" w:rsidRPr="0079336E" w:rsidRDefault="000326DA" w:rsidP="000326DA">
      <w:pPr>
        <w:rPr>
          <w:rFonts w:cs="Arial"/>
          <w:i/>
          <w:color w:val="000000"/>
          <w:sz w:val="22"/>
        </w:rPr>
      </w:pPr>
      <w:r w:rsidRPr="0079336E">
        <w:rPr>
          <w:rFonts w:cs="Arial"/>
          <w:color w:val="000000"/>
          <w:sz w:val="22"/>
        </w:rPr>
        <w:t xml:space="preserve">Ba CPE tasadisa sambu na mambu ya kulandila mambu y abima yayi kezingaka ntoto na mpi mpila batu kefandaka na bisaka yayi kele na bansadi ya ACE ve, na lusadisu ya bisalu ya </w:t>
      </w:r>
      <w:r w:rsidRPr="0079336E">
        <w:rPr>
          <w:rFonts w:cs="Arial"/>
          <w:sz w:val="22"/>
        </w:rPr>
        <w:t>PNDA (na ntangu ya kubongisa) na mpi na lusadisu ya U</w:t>
      </w:r>
      <w:r>
        <w:rPr>
          <w:rFonts w:cs="Arial"/>
          <w:sz w:val="22"/>
        </w:rPr>
        <w:t>UNCP</w:t>
      </w:r>
      <w:r w:rsidRPr="0079336E">
        <w:rPr>
          <w:rFonts w:cs="Arial"/>
          <w:sz w:val="22"/>
        </w:rPr>
        <w:t xml:space="preserve"> (na ntangu ya bisalu), na mpi bawu talandila mpi bisalu na nzina ya ACE.</w:t>
      </w:r>
    </w:p>
    <w:p w14:paraId="1115F248" w14:textId="77777777" w:rsidR="000326DA" w:rsidRPr="0079336E" w:rsidRDefault="000326DA" w:rsidP="000326DA">
      <w:pPr>
        <w:rPr>
          <w:rFonts w:cs="Arial"/>
          <w:i/>
          <w:color w:val="000000"/>
          <w:sz w:val="22"/>
        </w:rPr>
      </w:pPr>
    </w:p>
    <w:p w14:paraId="11FC719A" w14:textId="77777777" w:rsidR="000326DA" w:rsidRPr="0079336E" w:rsidRDefault="000326DA" w:rsidP="000326DA">
      <w:pPr>
        <w:rPr>
          <w:rFonts w:cs="Arial"/>
          <w:color w:val="000000"/>
          <w:sz w:val="22"/>
        </w:rPr>
      </w:pPr>
      <w:r w:rsidRPr="0079336E">
        <w:rPr>
          <w:rFonts w:cs="Arial"/>
          <w:color w:val="000000"/>
          <w:sz w:val="22"/>
        </w:rPr>
        <w:t>Ba nzo ya bisalu ya nkaka yayi tasadisa sambu na bisalu ya PNDA :</w:t>
      </w:r>
    </w:p>
    <w:p w14:paraId="1C9ED253" w14:textId="77777777" w:rsidR="000326DA" w:rsidRPr="0079336E" w:rsidRDefault="000326DA" w:rsidP="000326DA">
      <w:pPr>
        <w:rPr>
          <w:rFonts w:cs="Arial"/>
          <w:color w:val="000000"/>
          <w:sz w:val="22"/>
        </w:rPr>
      </w:pPr>
    </w:p>
    <w:p w14:paraId="13F78888" w14:textId="77777777" w:rsidR="000326DA" w:rsidRPr="0079336E" w:rsidRDefault="000326DA" w:rsidP="002378EA">
      <w:pPr>
        <w:pStyle w:val="Paragraphedeliste"/>
        <w:numPr>
          <w:ilvl w:val="0"/>
          <w:numId w:val="25"/>
        </w:numPr>
        <w:rPr>
          <w:rFonts w:cs="Arial"/>
          <w:sz w:val="22"/>
        </w:rPr>
      </w:pPr>
      <w:r w:rsidRPr="0079336E">
        <w:rPr>
          <w:rFonts w:cs="Arial"/>
          <w:sz w:val="22"/>
        </w:rPr>
        <w:lastRenderedPageBreak/>
        <w:t xml:space="preserve">Institut Congolais pour la Conservation de la Nature (ICCN) : talandila mambu ya kukengidila ban yama na mpi bisika yayi pekisama ; </w:t>
      </w:r>
    </w:p>
    <w:p w14:paraId="1A3D7CBC" w14:textId="77777777" w:rsidR="000326DA" w:rsidRPr="0079336E" w:rsidRDefault="000326DA" w:rsidP="002378EA">
      <w:pPr>
        <w:pStyle w:val="Paragraphedeliste"/>
        <w:numPr>
          <w:ilvl w:val="0"/>
          <w:numId w:val="25"/>
        </w:numPr>
        <w:rPr>
          <w:rFonts w:cs="Arial"/>
          <w:sz w:val="22"/>
        </w:rPr>
      </w:pPr>
      <w:r w:rsidRPr="0079336E">
        <w:rPr>
          <w:rFonts w:cs="Arial"/>
          <w:sz w:val="22"/>
        </w:rPr>
        <w:t xml:space="preserve">Direction de la Conservation de la Nature(DCN) : talandila mambu ya kuzika ba nti na biska yayi bakataka yo ; </w:t>
      </w:r>
    </w:p>
    <w:p w14:paraId="43E6FC08" w14:textId="77777777" w:rsidR="000326DA" w:rsidRPr="0079336E" w:rsidRDefault="000326DA" w:rsidP="002378EA">
      <w:pPr>
        <w:pStyle w:val="Paragraphedeliste"/>
        <w:numPr>
          <w:ilvl w:val="0"/>
          <w:numId w:val="25"/>
        </w:numPr>
        <w:rPr>
          <w:rFonts w:cs="Arial"/>
          <w:sz w:val="22"/>
        </w:rPr>
      </w:pPr>
      <w:r w:rsidRPr="0079336E">
        <w:rPr>
          <w:rFonts w:cs="Arial"/>
          <w:sz w:val="22"/>
        </w:rPr>
        <w:t xml:space="preserve">Direction de Voies de Desserte Agricole (DVDA) : tasadisa sambu na bisalu ya kusala ba nzila na ba bwala ; </w:t>
      </w:r>
    </w:p>
    <w:p w14:paraId="0F5FA08B" w14:textId="77777777" w:rsidR="000326DA" w:rsidRPr="0079336E" w:rsidRDefault="000326DA" w:rsidP="002378EA">
      <w:pPr>
        <w:pStyle w:val="Paragraphedeliste"/>
        <w:numPr>
          <w:ilvl w:val="0"/>
          <w:numId w:val="25"/>
        </w:numPr>
        <w:rPr>
          <w:rFonts w:cs="Arial"/>
          <w:sz w:val="22"/>
        </w:rPr>
      </w:pPr>
      <w:r w:rsidRPr="0079336E">
        <w:rPr>
          <w:rFonts w:cs="Arial"/>
          <w:sz w:val="22"/>
        </w:rPr>
        <w:t>Service National de l’Hydraulique Rurale (SNHR) : tasadisa sambu na mambu yaketadila masa ;</w:t>
      </w:r>
    </w:p>
    <w:p w14:paraId="629E9B9B" w14:textId="77777777" w:rsidR="000326DA" w:rsidRPr="0079336E" w:rsidRDefault="000326DA" w:rsidP="002378EA">
      <w:pPr>
        <w:pStyle w:val="Paragraphedeliste"/>
        <w:numPr>
          <w:ilvl w:val="0"/>
          <w:numId w:val="25"/>
        </w:numPr>
        <w:rPr>
          <w:rFonts w:cs="Arial"/>
          <w:sz w:val="22"/>
        </w:rPr>
      </w:pPr>
      <w:r w:rsidRPr="0079336E">
        <w:rPr>
          <w:rFonts w:cs="Arial"/>
          <w:sz w:val="22"/>
        </w:rPr>
        <w:t xml:space="preserve">Ba collectivités locales : talandila mpi bisalu ya kutadila bima yayi kezingaka ntoto na mpi mpila batu kefandaka na nzila ya ba lukutakanu ya tekiniki ya ba bwala ;  </w:t>
      </w:r>
    </w:p>
    <w:p w14:paraId="79C48277" w14:textId="77777777" w:rsidR="000326DA" w:rsidRPr="0079336E" w:rsidRDefault="000326DA" w:rsidP="002378EA">
      <w:pPr>
        <w:pStyle w:val="Paragraphedeliste"/>
        <w:numPr>
          <w:ilvl w:val="0"/>
          <w:numId w:val="25"/>
        </w:numPr>
        <w:rPr>
          <w:rFonts w:cs="Arial"/>
          <w:sz w:val="22"/>
        </w:rPr>
      </w:pPr>
      <w:r w:rsidRPr="0079336E">
        <w:rPr>
          <w:rFonts w:cs="Arial"/>
          <w:sz w:val="22"/>
        </w:rPr>
        <w:t xml:space="preserve">Ba nzo ya kusadisa bisalu : bawu ta baka nganga mayele mosi sambu na kulandila mambu yonso y abima yayi kezingaka ntoto na mpi mpila batu kefandaka, sambu na kusadila mambu ya malongi ya PGES na mpi kupesa ba rapports ya nsadilu ya malongi yayi ya PGES ; </w:t>
      </w:r>
    </w:p>
    <w:p w14:paraId="02CE046C" w14:textId="77777777" w:rsidR="000326DA" w:rsidRPr="0079336E" w:rsidRDefault="000326DA" w:rsidP="002378EA">
      <w:pPr>
        <w:pStyle w:val="Paragraphedeliste"/>
        <w:numPr>
          <w:ilvl w:val="0"/>
          <w:numId w:val="25"/>
        </w:numPr>
        <w:rPr>
          <w:rFonts w:cs="Arial"/>
          <w:sz w:val="22"/>
        </w:rPr>
      </w:pPr>
      <w:r w:rsidRPr="0079336E">
        <w:rPr>
          <w:rFonts w:cs="Arial"/>
          <w:sz w:val="22"/>
        </w:rPr>
        <w:t>Ba bilo ya kutadila bisalu : Bawu talandila na nzila ya nganga mayele na bawu, mpila bisalu kelanda mambu ya kusadila bima yayi lezingaka ntoto na mpi mpila batu kefandaka ya malongi ya PGES konso kilumbu na mpi kupesa ba rapports yayi bawu ta tinda na U</w:t>
      </w:r>
      <w:r>
        <w:rPr>
          <w:rFonts w:cs="Arial"/>
          <w:sz w:val="22"/>
        </w:rPr>
        <w:t>UNCP</w:t>
      </w:r>
      <w:r w:rsidRPr="0079336E">
        <w:rPr>
          <w:rFonts w:cs="Arial"/>
          <w:sz w:val="22"/>
        </w:rPr>
        <w:t>/PNDA ;</w:t>
      </w:r>
    </w:p>
    <w:p w14:paraId="348C5A02" w14:textId="77777777" w:rsidR="000326DA" w:rsidRPr="0079336E" w:rsidRDefault="000326DA" w:rsidP="002378EA">
      <w:pPr>
        <w:pStyle w:val="Paragraphedeliste"/>
        <w:numPr>
          <w:ilvl w:val="0"/>
          <w:numId w:val="25"/>
        </w:numPr>
        <w:rPr>
          <w:rFonts w:cs="Arial"/>
          <w:sz w:val="22"/>
        </w:rPr>
      </w:pPr>
      <w:r w:rsidRPr="0079336E">
        <w:rPr>
          <w:rFonts w:cs="Arial"/>
          <w:sz w:val="22"/>
        </w:rPr>
        <w:t>Ba ONG ya société civile yayi tadilaka mambu ya bilanga na mpi mambu ya ba VBG na mpi ya maladi ya COVID-19 : bawu takebisa batu yonso, na mpi kusadisa na nzila ya kulandila mpila ya kusadila malongi ya PGES na mpi kuzabisa yawu na bakambi ya bisalu ya PNDA.</w:t>
      </w:r>
    </w:p>
    <w:p w14:paraId="0765D01B" w14:textId="77777777" w:rsidR="000326DA" w:rsidRPr="0079336E" w:rsidRDefault="000326DA" w:rsidP="000326DA">
      <w:pPr>
        <w:rPr>
          <w:rFonts w:cs="Arial"/>
          <w:sz w:val="22"/>
        </w:rPr>
      </w:pPr>
    </w:p>
    <w:p w14:paraId="67ED49F6" w14:textId="77777777" w:rsidR="000326DA" w:rsidRPr="0079336E" w:rsidRDefault="000326DA" w:rsidP="000326DA">
      <w:pPr>
        <w:tabs>
          <w:tab w:val="left" w:pos="426"/>
        </w:tabs>
        <w:contextualSpacing/>
        <w:rPr>
          <w:rFonts w:cs="Arial"/>
          <w:i/>
          <w:sz w:val="22"/>
        </w:rPr>
      </w:pPr>
      <w:r w:rsidRPr="0079336E">
        <w:rPr>
          <w:rFonts w:cs="Arial"/>
          <w:i/>
          <w:sz w:val="22"/>
        </w:rPr>
        <w:t xml:space="preserve">Bimvwama sambu na kusadila mambu y abima yayi kezingaka ntoto na mpi mpila batu kefandaka </w:t>
      </w:r>
    </w:p>
    <w:p w14:paraId="153B5E60" w14:textId="77777777" w:rsidR="000326DA" w:rsidRPr="0079336E" w:rsidRDefault="000326DA" w:rsidP="000326DA">
      <w:pPr>
        <w:pStyle w:val="Paragraphedeliste"/>
        <w:rPr>
          <w:rFonts w:cs="Arial"/>
          <w:sz w:val="22"/>
        </w:rPr>
      </w:pPr>
    </w:p>
    <w:p w14:paraId="21A053F5" w14:textId="77777777" w:rsidR="000326DA" w:rsidRPr="0079336E" w:rsidRDefault="000326DA" w:rsidP="002378EA">
      <w:pPr>
        <w:pStyle w:val="Paragraphedeliste"/>
        <w:numPr>
          <w:ilvl w:val="0"/>
          <w:numId w:val="26"/>
        </w:numPr>
        <w:rPr>
          <w:rFonts w:cs="Arial"/>
          <w:sz w:val="22"/>
        </w:rPr>
      </w:pPr>
      <w:r w:rsidRPr="0079336E">
        <w:rPr>
          <w:rFonts w:cs="Arial"/>
          <w:i/>
          <w:sz w:val="22"/>
        </w:rPr>
        <w:t xml:space="preserve">Kimvuka ya tekiniki ya kubongisa na mpi kulandila bisalu kele na kimvwama ya kundima mpila ba takabula bisalu na ntangu ya mabongisi na nzila ya lusidisu ya mbongo ya </w:t>
      </w:r>
      <w:r w:rsidRPr="0079336E">
        <w:rPr>
          <w:rFonts w:cs="Arial"/>
          <w:sz w:val="22"/>
        </w:rPr>
        <w:t>PPA. Yo talandila kupanza ba rapports nzila mosi na UNCP/PARRSA. Na ntangu ya bisalu, kimvwama yayi tapesama na kimvuka ya U</w:t>
      </w:r>
      <w:r>
        <w:rPr>
          <w:rFonts w:cs="Arial"/>
          <w:sz w:val="22"/>
        </w:rPr>
        <w:t>UNCP</w:t>
      </w:r>
      <w:r w:rsidRPr="0079336E">
        <w:rPr>
          <w:rFonts w:cs="Arial"/>
          <w:sz w:val="22"/>
        </w:rPr>
        <w:t>/PNDA.</w:t>
      </w:r>
    </w:p>
    <w:p w14:paraId="1EC191A2" w14:textId="77777777" w:rsidR="000326DA" w:rsidRPr="0079336E" w:rsidRDefault="000326DA" w:rsidP="000326DA">
      <w:pPr>
        <w:ind w:left="720"/>
        <w:rPr>
          <w:rFonts w:cs="Arial"/>
          <w:color w:val="000000"/>
          <w:sz w:val="22"/>
        </w:rPr>
      </w:pPr>
    </w:p>
    <w:p w14:paraId="02FCAD1A" w14:textId="77777777" w:rsidR="000326DA" w:rsidRPr="0079336E" w:rsidRDefault="000326DA" w:rsidP="002378EA">
      <w:pPr>
        <w:numPr>
          <w:ilvl w:val="0"/>
          <w:numId w:val="26"/>
        </w:numPr>
        <w:rPr>
          <w:rFonts w:cs="Arial"/>
          <w:color w:val="000000"/>
          <w:sz w:val="22"/>
        </w:rPr>
      </w:pPr>
      <w:r w:rsidRPr="0079336E">
        <w:rPr>
          <w:rFonts w:cs="Arial"/>
          <w:i/>
          <w:color w:val="000000"/>
          <w:sz w:val="22"/>
        </w:rPr>
        <w:t xml:space="preserve">Nganga mayele ya mambu y abima yayi kezingaka ntoto na mpi mpila ba tu kefandaka na mpi yayi ya kuladila mambu ya ba VBG batalandila mutindu ya kusadila mikanu yonso y abima yayi kezingaka ntoto na mpi mpila batu kefandaka na ntangu ya kubongisa bisalu sambu na ntaungu yonso yayi bisalu tasalama </w:t>
      </w:r>
      <w:r w:rsidRPr="0079336E">
        <w:rPr>
          <w:rFonts w:cs="Arial"/>
          <w:sz w:val="22"/>
        </w:rPr>
        <w:t xml:space="preserve">: </w:t>
      </w:r>
      <w:r w:rsidRPr="0079336E">
        <w:rPr>
          <w:rFonts w:cs="Arial"/>
          <w:i/>
          <w:sz w:val="22"/>
        </w:rPr>
        <w:t>(i)</w:t>
      </w:r>
      <w:r w:rsidRPr="0079336E">
        <w:rPr>
          <w:rFonts w:cs="Arial"/>
          <w:sz w:val="22"/>
        </w:rPr>
        <w:t xml:space="preserve"> bawu ta sonika ba nkanda ya mpila bisula kabulama, na kulandila ba politiki ya Banque Mondiale, </w:t>
      </w:r>
      <w:r w:rsidRPr="0079336E">
        <w:rPr>
          <w:rFonts w:cs="Arial"/>
          <w:i/>
          <w:sz w:val="22"/>
        </w:rPr>
        <w:t>(ii)</w:t>
      </w:r>
      <w:r w:rsidRPr="0079336E">
        <w:rPr>
          <w:rFonts w:cs="Arial"/>
          <w:sz w:val="22"/>
        </w:rPr>
        <w:t xml:space="preserve"> bakutadila mpi mitindu to mikanu yonso sambu na mambu ya kusadila bima yayi kezingaka ntoto na mpi mpila batu kefandaka na mpi kumonis nde ya fete kusadisa to kusadisa ve malongi ya PGES sambu na bisalu ya nkaka, </w:t>
      </w:r>
      <w:r w:rsidRPr="0079336E">
        <w:rPr>
          <w:rFonts w:cs="Arial"/>
          <w:i/>
          <w:sz w:val="22"/>
        </w:rPr>
        <w:t>(iii)</w:t>
      </w:r>
      <w:r w:rsidRPr="0079336E">
        <w:rPr>
          <w:rFonts w:cs="Arial"/>
          <w:sz w:val="22"/>
        </w:rPr>
        <w:t xml:space="preserve"> bo tatadila mpi mambu yaonso ya ba VBG na mpi ya maladi ya COVID-19, na mpi kulandila mpila bisalu talandila mambu y abima yayi lkezingaka ntoto na mpi mpila batu kefandaka kulandana na mikanu yayi pesamaka. </w:t>
      </w:r>
    </w:p>
    <w:p w14:paraId="3289693B" w14:textId="77777777" w:rsidR="000326DA" w:rsidRPr="0079336E" w:rsidRDefault="000326DA" w:rsidP="000326DA">
      <w:pPr>
        <w:ind w:left="720"/>
        <w:rPr>
          <w:rFonts w:cs="Arial"/>
          <w:color w:val="000000"/>
          <w:sz w:val="22"/>
        </w:rPr>
      </w:pPr>
    </w:p>
    <w:p w14:paraId="5C96CB69" w14:textId="77777777" w:rsidR="000326DA" w:rsidRPr="0079336E" w:rsidRDefault="000326DA" w:rsidP="002378EA">
      <w:pPr>
        <w:numPr>
          <w:ilvl w:val="0"/>
          <w:numId w:val="26"/>
        </w:numPr>
        <w:rPr>
          <w:rFonts w:cs="Arial"/>
          <w:color w:val="000000"/>
          <w:sz w:val="22"/>
        </w:rPr>
      </w:pPr>
      <w:r w:rsidRPr="0079336E">
        <w:rPr>
          <w:rFonts w:cs="Arial"/>
          <w:i/>
          <w:color w:val="000000"/>
          <w:sz w:val="22"/>
        </w:rPr>
        <w:t>Mbuta ya tekiniki sambu na kumonisa bisalu yayi ya tasalama ya PNDA</w:t>
      </w:r>
      <w:r w:rsidRPr="0079336E">
        <w:rPr>
          <w:rFonts w:cs="Arial"/>
          <w:color w:val="000000"/>
          <w:sz w:val="22"/>
        </w:rPr>
        <w:t> (</w:t>
      </w:r>
      <w:r w:rsidRPr="0079336E">
        <w:rPr>
          <w:rFonts w:cs="Arial"/>
          <w:i/>
          <w:color w:val="000000"/>
          <w:sz w:val="22"/>
        </w:rPr>
        <w:t>Chargé de projet</w:t>
      </w:r>
      <w:r w:rsidRPr="0079336E">
        <w:rPr>
          <w:rFonts w:cs="Arial"/>
          <w:color w:val="000000"/>
          <w:sz w:val="22"/>
        </w:rPr>
        <w:t>) talandila : lutadisu ya bisika bisalu tasalama na mpi mpila bima yayi kezingaka ntoto na mpi mpila batu kefandaka kele na ngambu yayi bisalu tasalama, na mpi kutisa mambu yayi yonso na kati ya buku ya kupesa bisalu ya (DAO) sambu na ba kompani kusadila yo. </w:t>
      </w:r>
    </w:p>
    <w:p w14:paraId="200656DC" w14:textId="77777777" w:rsidR="000326DA" w:rsidRPr="0079336E" w:rsidRDefault="000326DA" w:rsidP="002378EA">
      <w:pPr>
        <w:numPr>
          <w:ilvl w:val="0"/>
          <w:numId w:val="26"/>
        </w:numPr>
        <w:rPr>
          <w:rFonts w:cs="Arial"/>
          <w:sz w:val="22"/>
        </w:rPr>
      </w:pPr>
      <w:r w:rsidRPr="0079336E">
        <w:rPr>
          <w:rFonts w:cs="Arial"/>
          <w:i/>
          <w:color w:val="000000"/>
          <w:sz w:val="22"/>
        </w:rPr>
        <w:lastRenderedPageBreak/>
        <w:t>Nganga mayele ya mambu ya kupesa bisalu ya Mbulamatadi ya</w:t>
      </w:r>
      <w:r w:rsidRPr="0079336E">
        <w:rPr>
          <w:rFonts w:cs="Arial"/>
          <w:i/>
          <w:sz w:val="22"/>
        </w:rPr>
        <w:t xml:space="preserve"> PNDA (nzila mosi na yayi ya mambu y abima yayi kezingaka ntoto na mpi mpila batu kefandaka) </w:t>
      </w:r>
      <w:r w:rsidRPr="0079336E">
        <w:rPr>
          <w:rFonts w:cs="Arial"/>
          <w:i/>
          <w:color w:val="000000"/>
          <w:sz w:val="22"/>
        </w:rPr>
        <w:t>:</w:t>
      </w:r>
      <w:r w:rsidRPr="0079336E">
        <w:rPr>
          <w:rFonts w:cs="Arial"/>
          <w:color w:val="000000"/>
          <w:sz w:val="22"/>
        </w:rPr>
        <w:t xml:space="preserve"> tatadila mpi kukotisa bisalu na nzila ya STEP na mpi kusadisa ba nkanda ya bisalu (contracts) ya kusonika malongi ya nkaka na mpi kukotisa mikanu yonso ya mbote na kati ya malongi ya PGES ya kompani, na mpi mambu ya kukodisa ngangu to mayele ya ba nsadi, na mambu ya kulandila na mpi kutadila bisalu. </w:t>
      </w:r>
    </w:p>
    <w:p w14:paraId="2E3EF5FD" w14:textId="77777777" w:rsidR="000326DA" w:rsidRPr="0079336E" w:rsidRDefault="000326DA" w:rsidP="000326DA">
      <w:pPr>
        <w:ind w:left="720"/>
        <w:rPr>
          <w:rFonts w:cs="Arial"/>
          <w:sz w:val="22"/>
        </w:rPr>
      </w:pPr>
    </w:p>
    <w:p w14:paraId="406FAA00" w14:textId="77777777" w:rsidR="000326DA" w:rsidRPr="0079336E" w:rsidRDefault="000326DA" w:rsidP="002378EA">
      <w:pPr>
        <w:pStyle w:val="Paragraphedeliste"/>
        <w:numPr>
          <w:ilvl w:val="0"/>
          <w:numId w:val="26"/>
        </w:numPr>
        <w:rPr>
          <w:rFonts w:cs="Arial"/>
          <w:sz w:val="22"/>
        </w:rPr>
      </w:pPr>
      <w:r w:rsidRPr="0079336E">
        <w:rPr>
          <w:rFonts w:cs="Arial"/>
          <w:i/>
          <w:sz w:val="22"/>
        </w:rPr>
        <w:t>Mvwama ya mambu ya misolo ya PNDA talandila na ntangu ya kubongisa bisalu sambu na kutala nde :</w:t>
      </w:r>
      <w:r w:rsidRPr="0079336E">
        <w:rPr>
          <w:rFonts w:cs="Arial"/>
          <w:sz w:val="22"/>
        </w:rPr>
        <w:t xml:space="preserve"> bawu kotisa na kati ya ba nkanda ya misolo ba mbongo ina tasadisa sambu na mambu ya kusadila bima yayi kezingaka ntoto na mpi mpila batu kefandaka, na mpi ya kulandila bisalu yin aya mambu ya ba VBG na mpi ya maladi ya COVID-19. </w:t>
      </w:r>
    </w:p>
    <w:p w14:paraId="16D99998" w14:textId="77777777" w:rsidR="000326DA" w:rsidRPr="0079336E" w:rsidRDefault="000326DA" w:rsidP="000326DA">
      <w:pPr>
        <w:pStyle w:val="Paragraphedeliste"/>
        <w:rPr>
          <w:rFonts w:cs="Arial"/>
          <w:sz w:val="22"/>
        </w:rPr>
      </w:pPr>
    </w:p>
    <w:p w14:paraId="34E61CA8" w14:textId="77777777" w:rsidR="000326DA" w:rsidRPr="0079336E" w:rsidRDefault="000326DA" w:rsidP="002378EA">
      <w:pPr>
        <w:pStyle w:val="Paragraphedeliste"/>
        <w:numPr>
          <w:ilvl w:val="0"/>
          <w:numId w:val="26"/>
        </w:numPr>
        <w:rPr>
          <w:rFonts w:cs="Arial"/>
          <w:sz w:val="22"/>
        </w:rPr>
      </w:pPr>
      <w:r w:rsidRPr="0079336E">
        <w:rPr>
          <w:rFonts w:cs="Arial"/>
          <w:i/>
          <w:sz w:val="22"/>
        </w:rPr>
        <w:t>Nganga mayele ya mambu ya kulandila na mpi kutadila bisalu ya PNDA (na ntangu ya kubongisa na mpi ya kusadisa bisalu) :</w:t>
      </w:r>
      <w:r w:rsidRPr="0079336E">
        <w:rPr>
          <w:rFonts w:cs="Arial"/>
          <w:sz w:val="22"/>
        </w:rPr>
        <w:t xml:space="preserve"> talandila mbote kusadila mikanu y abima yayi kezingaka ntoto na mpi mpila batu kefandaka, mpila moshi na mambu yayi ya ba VBG na mpi ya COVID-19 na mpi ya kulandila mambu y abima yayi kezingaka ntoto na mpi mpila batu kefandaka. </w:t>
      </w:r>
    </w:p>
    <w:p w14:paraId="7AE63AF6" w14:textId="77777777" w:rsidR="000326DA" w:rsidRPr="0079336E" w:rsidRDefault="000326DA" w:rsidP="000326DA">
      <w:pPr>
        <w:rPr>
          <w:rFonts w:cs="Arial"/>
          <w:sz w:val="22"/>
        </w:rPr>
      </w:pPr>
    </w:p>
    <w:p w14:paraId="6D70D8B7" w14:textId="77777777" w:rsidR="000326DA" w:rsidRPr="0079336E" w:rsidRDefault="000326DA" w:rsidP="002378EA">
      <w:pPr>
        <w:numPr>
          <w:ilvl w:val="0"/>
          <w:numId w:val="26"/>
        </w:numPr>
        <w:rPr>
          <w:rFonts w:cs="Arial"/>
          <w:i/>
          <w:sz w:val="22"/>
        </w:rPr>
      </w:pPr>
      <w:r w:rsidRPr="0079336E">
        <w:rPr>
          <w:rFonts w:cs="Arial"/>
          <w:i/>
          <w:sz w:val="22"/>
        </w:rPr>
        <w:t xml:space="preserve">Ba </w:t>
      </w:r>
      <w:r>
        <w:rPr>
          <w:rFonts w:cs="Arial"/>
          <w:i/>
          <w:sz w:val="22"/>
        </w:rPr>
        <w:t>Coordinations</w:t>
      </w:r>
      <w:r w:rsidRPr="0079336E">
        <w:rPr>
          <w:rFonts w:cs="Arial"/>
          <w:i/>
          <w:sz w:val="22"/>
        </w:rPr>
        <w:t xml:space="preserve"> Provincia</w:t>
      </w:r>
      <w:r>
        <w:rPr>
          <w:rFonts w:cs="Arial"/>
          <w:i/>
          <w:sz w:val="22"/>
        </w:rPr>
        <w:t>les</w:t>
      </w:r>
      <w:r w:rsidRPr="0079336E">
        <w:rPr>
          <w:rFonts w:cs="Arial"/>
          <w:i/>
          <w:sz w:val="22"/>
        </w:rPr>
        <w:t xml:space="preserve"> </w:t>
      </w:r>
      <w:r>
        <w:rPr>
          <w:rFonts w:cs="Arial"/>
          <w:i/>
          <w:sz w:val="22"/>
        </w:rPr>
        <w:t xml:space="preserve">a malu a </w:t>
      </w:r>
      <w:r w:rsidRPr="0079336E">
        <w:rPr>
          <w:rFonts w:cs="Arial"/>
          <w:i/>
          <w:sz w:val="22"/>
        </w:rPr>
        <w:t xml:space="preserve">Environnement </w:t>
      </w:r>
      <w:r>
        <w:rPr>
          <w:rFonts w:cs="Arial"/>
          <w:i/>
          <w:sz w:val="22"/>
        </w:rPr>
        <w:t>ne a</w:t>
      </w:r>
      <w:r w:rsidRPr="0079336E">
        <w:rPr>
          <w:rFonts w:cs="Arial"/>
          <w:i/>
          <w:sz w:val="22"/>
        </w:rPr>
        <w:t xml:space="preserve"> Genre</w:t>
      </w:r>
    </w:p>
    <w:p w14:paraId="1D36CD4F" w14:textId="77777777" w:rsidR="000326DA" w:rsidRPr="0079336E" w:rsidRDefault="000326DA" w:rsidP="000326DA">
      <w:pPr>
        <w:ind w:left="720"/>
        <w:rPr>
          <w:rFonts w:cs="Arial"/>
          <w:i/>
          <w:sz w:val="22"/>
        </w:rPr>
      </w:pPr>
    </w:p>
    <w:p w14:paraId="5A6F07AB" w14:textId="77777777" w:rsidR="000326DA" w:rsidRPr="0079336E" w:rsidRDefault="000326DA" w:rsidP="000326DA">
      <w:pPr>
        <w:pStyle w:val="Paragraphedeliste"/>
        <w:rPr>
          <w:rFonts w:cs="Arial"/>
          <w:sz w:val="22"/>
        </w:rPr>
      </w:pPr>
      <w:r w:rsidRPr="0079336E">
        <w:rPr>
          <w:rFonts w:cs="Arial"/>
          <w:sz w:val="22"/>
        </w:rPr>
        <w:t>Ba ministères yayi nde tapesa mutindu na ba Directions Pronviciales ya ACE, na ba Coordinations Provinciales Environnement ya Kwilu, ya Kongo Central, ya Kasaï, na ya Kasaï Central na mpi ya Nord-Kivu sambu na mambu ya kulandila bisalu yayi tasalama</w:t>
      </w:r>
    </w:p>
    <w:p w14:paraId="70861F42" w14:textId="77777777" w:rsidR="000326DA" w:rsidRPr="0079336E" w:rsidRDefault="000326DA" w:rsidP="000326DA">
      <w:pPr>
        <w:pStyle w:val="Paragraphedeliste"/>
        <w:rPr>
          <w:rFonts w:cs="Arial"/>
          <w:sz w:val="22"/>
        </w:rPr>
      </w:pPr>
    </w:p>
    <w:p w14:paraId="646A15A5" w14:textId="77777777" w:rsidR="000326DA" w:rsidRPr="005C51BA" w:rsidRDefault="000326DA" w:rsidP="002378EA">
      <w:pPr>
        <w:numPr>
          <w:ilvl w:val="0"/>
          <w:numId w:val="26"/>
        </w:numPr>
        <w:rPr>
          <w:rFonts w:cs="Arial"/>
          <w:i/>
          <w:sz w:val="22"/>
        </w:rPr>
      </w:pPr>
      <w:r w:rsidRPr="005C51BA">
        <w:rPr>
          <w:rFonts w:cs="Arial"/>
          <w:i/>
          <w:sz w:val="22"/>
        </w:rPr>
        <w:t>Agence Congolaise de l’Environnement (ACE)</w:t>
      </w:r>
    </w:p>
    <w:p w14:paraId="54CD3FB8" w14:textId="77777777" w:rsidR="000326DA" w:rsidRPr="0079336E" w:rsidRDefault="000326DA" w:rsidP="000326DA">
      <w:pPr>
        <w:pStyle w:val="Paragraphedeliste"/>
        <w:rPr>
          <w:rFonts w:cs="Arial"/>
          <w:sz w:val="22"/>
        </w:rPr>
      </w:pPr>
    </w:p>
    <w:p w14:paraId="61125B72" w14:textId="77777777" w:rsidR="000326DA" w:rsidRPr="0079336E" w:rsidRDefault="000326DA" w:rsidP="000326DA">
      <w:pPr>
        <w:pStyle w:val="Paragraphedeliste"/>
        <w:rPr>
          <w:rFonts w:cs="Arial"/>
          <w:sz w:val="22"/>
        </w:rPr>
      </w:pPr>
      <w:r w:rsidRPr="0079336E">
        <w:rPr>
          <w:rFonts w:cs="Arial"/>
          <w:sz w:val="22"/>
        </w:rPr>
        <w:t>ACE tatadila na mpi tandima mambu yayi yonso tasalama sambu na bima yayi kezingaka ntoto na mpi mpila batu kefandaka kubanda na kumonisa biteni ya bisalu na mpi kundima malongi ya bidimbu y abima yayi kezingaka ntoto na mpi mpila batu kefandaka (EIES) na mpi ba PGES na yawu. Yo talandila mpi bisalu yonso tasalama sambu na mambu yayi tadila bima yayi kezingaka ntot na mpi mpila batu kefandaka ;</w:t>
      </w:r>
    </w:p>
    <w:p w14:paraId="184B09F2" w14:textId="77777777" w:rsidR="000326DA" w:rsidRPr="0079336E" w:rsidRDefault="000326DA" w:rsidP="000326DA">
      <w:pPr>
        <w:rPr>
          <w:rFonts w:cs="Arial"/>
          <w:i/>
          <w:sz w:val="22"/>
        </w:rPr>
      </w:pPr>
    </w:p>
    <w:p w14:paraId="11C9411D" w14:textId="77777777" w:rsidR="000326DA" w:rsidRPr="0079336E" w:rsidRDefault="000326DA" w:rsidP="002378EA">
      <w:pPr>
        <w:numPr>
          <w:ilvl w:val="0"/>
          <w:numId w:val="26"/>
        </w:numPr>
        <w:rPr>
          <w:rFonts w:cs="Arial"/>
          <w:i/>
          <w:sz w:val="22"/>
        </w:rPr>
      </w:pPr>
      <w:r w:rsidRPr="0079336E">
        <w:rPr>
          <w:rFonts w:cs="Arial"/>
          <w:i/>
          <w:sz w:val="22"/>
        </w:rPr>
        <w:t xml:space="preserve">Ba Coordinations Provinciales de l’Environnement (CPE) ya Kwilu, ya Kasaï, ya Kasaï Central </w:t>
      </w:r>
    </w:p>
    <w:p w14:paraId="70D3B1DA" w14:textId="77777777" w:rsidR="000326DA" w:rsidRPr="0079336E" w:rsidRDefault="000326DA" w:rsidP="000326DA">
      <w:pPr>
        <w:ind w:left="720"/>
        <w:rPr>
          <w:rFonts w:cs="Arial"/>
          <w:i/>
          <w:sz w:val="22"/>
        </w:rPr>
      </w:pPr>
    </w:p>
    <w:p w14:paraId="045ADA81" w14:textId="77777777" w:rsidR="000326DA" w:rsidRPr="0079336E" w:rsidRDefault="000326DA" w:rsidP="000326DA">
      <w:pPr>
        <w:ind w:left="720"/>
        <w:rPr>
          <w:rFonts w:cs="Arial"/>
          <w:sz w:val="22"/>
        </w:rPr>
      </w:pPr>
      <w:r w:rsidRPr="0079336E">
        <w:rPr>
          <w:rFonts w:cs="Arial"/>
          <w:sz w:val="22"/>
        </w:rPr>
        <w:t>Na bisaka yayi kele ve na ba Directions Provinciales ya ACE, ba Coordinations Provinciales de l’Environnement tatu yayi tasadisa sambu na kulandila mbote bisalu yayi tasalama na mambu y abima yayi kzeingaka ntoto na mpi mpila batu kefandaka ya bisalu ya PNDA. Na kubakisa diaka, CPE ya Province moshi moshi atasadisa sambu na mambu ya kulandila bisalu tasalama ya kutadila na mpi kusadisa malongi ya PGES.</w:t>
      </w:r>
    </w:p>
    <w:p w14:paraId="2C7D4654" w14:textId="77777777" w:rsidR="000326DA" w:rsidRPr="0079336E" w:rsidRDefault="000326DA" w:rsidP="000326DA">
      <w:pPr>
        <w:rPr>
          <w:rFonts w:cs="Arial"/>
          <w:sz w:val="22"/>
        </w:rPr>
      </w:pPr>
    </w:p>
    <w:p w14:paraId="5CFFD895" w14:textId="77777777" w:rsidR="000326DA" w:rsidRPr="001C5995" w:rsidRDefault="000326DA" w:rsidP="002378EA">
      <w:pPr>
        <w:numPr>
          <w:ilvl w:val="0"/>
          <w:numId w:val="26"/>
        </w:numPr>
        <w:ind w:right="-154"/>
        <w:rPr>
          <w:rFonts w:cs="Arial"/>
          <w:sz w:val="22"/>
          <w:lang w:val="pl-PL"/>
        </w:rPr>
      </w:pPr>
      <w:r w:rsidRPr="001C5995">
        <w:rPr>
          <w:rFonts w:cs="Arial"/>
          <w:i/>
          <w:sz w:val="22"/>
          <w:lang w:val="pl-PL"/>
        </w:rPr>
        <w:t>Ba kompani yay tasadisa bisalu</w:t>
      </w:r>
      <w:r w:rsidRPr="001C5995">
        <w:rPr>
          <w:rFonts w:cs="Arial"/>
          <w:sz w:val="22"/>
          <w:lang w:val="pl-PL"/>
        </w:rPr>
        <w:t xml:space="preserve"> </w:t>
      </w:r>
      <w:r w:rsidRPr="001C5995">
        <w:rPr>
          <w:rFonts w:cs="Arial"/>
          <w:i/>
          <w:sz w:val="22"/>
          <w:lang w:val="pl-PL"/>
        </w:rPr>
        <w:t>(PME)</w:t>
      </w:r>
    </w:p>
    <w:p w14:paraId="5E24C4B0" w14:textId="77777777" w:rsidR="000326DA" w:rsidRPr="001C5995" w:rsidRDefault="000326DA" w:rsidP="000326DA">
      <w:pPr>
        <w:ind w:right="-154"/>
        <w:rPr>
          <w:rFonts w:cs="Arial"/>
          <w:sz w:val="22"/>
          <w:lang w:val="pl-PL"/>
        </w:rPr>
      </w:pPr>
    </w:p>
    <w:p w14:paraId="439A77BE" w14:textId="77777777" w:rsidR="000326DA" w:rsidRPr="001C5995" w:rsidRDefault="000326DA" w:rsidP="000326DA">
      <w:pPr>
        <w:pStyle w:val="Paragraphedeliste"/>
        <w:rPr>
          <w:rFonts w:cs="Arial"/>
          <w:sz w:val="22"/>
          <w:lang w:val="pl-PL"/>
        </w:rPr>
      </w:pPr>
      <w:r w:rsidRPr="001C5995">
        <w:rPr>
          <w:rFonts w:cs="Arial"/>
          <w:sz w:val="22"/>
          <w:lang w:val="pl-PL"/>
        </w:rPr>
        <w:lastRenderedPageBreak/>
        <w:t xml:space="preserve">Bawu fete sadila mbote mikanu yonso ya kusadila bima yayi kzeingaka ntoto na mpi mpila batu kefandaka, kutosa ba politiki yonso na mpi mambu yonso yayi kele na kati ta buku ya kupesa bisalu ya Mbukamatadi ya DAO. </w:t>
      </w:r>
    </w:p>
    <w:p w14:paraId="17F08BC4" w14:textId="77777777" w:rsidR="000326DA" w:rsidRPr="001C5995" w:rsidRDefault="000326DA" w:rsidP="000326DA">
      <w:pPr>
        <w:pStyle w:val="Paragraphedeliste"/>
        <w:rPr>
          <w:rFonts w:cs="Arial"/>
          <w:sz w:val="22"/>
          <w:lang w:val="pl-PL"/>
        </w:rPr>
      </w:pPr>
    </w:p>
    <w:p w14:paraId="022EAC95" w14:textId="77777777" w:rsidR="000326DA" w:rsidRPr="00415388" w:rsidRDefault="000326DA" w:rsidP="000326DA">
      <w:pPr>
        <w:pStyle w:val="Paragraphedeliste"/>
        <w:rPr>
          <w:rFonts w:cs="Arial"/>
          <w:i/>
          <w:sz w:val="22"/>
          <w:lang w:val="pl-PL"/>
        </w:rPr>
      </w:pPr>
      <w:r w:rsidRPr="00415388">
        <w:rPr>
          <w:rFonts w:cs="Arial"/>
          <w:i/>
          <w:sz w:val="22"/>
          <w:lang w:val="pl-PL"/>
        </w:rPr>
        <w:t>Ba nzo ya kusadisa bisalu na ba bwala (ALE)</w:t>
      </w:r>
    </w:p>
    <w:p w14:paraId="539F8374" w14:textId="77777777" w:rsidR="000326DA" w:rsidRPr="00415388" w:rsidRDefault="000326DA" w:rsidP="000326DA">
      <w:pPr>
        <w:pStyle w:val="Paragraphedeliste"/>
        <w:rPr>
          <w:rFonts w:cs="Arial"/>
          <w:i/>
          <w:sz w:val="22"/>
          <w:lang w:val="pl-PL"/>
        </w:rPr>
      </w:pPr>
    </w:p>
    <w:p w14:paraId="2982E33E" w14:textId="77777777" w:rsidR="000326DA" w:rsidRPr="00415388" w:rsidRDefault="000326DA" w:rsidP="000326DA">
      <w:pPr>
        <w:pStyle w:val="Paragraphedeliste"/>
        <w:rPr>
          <w:rFonts w:cs="Arial"/>
          <w:sz w:val="22"/>
          <w:lang w:val="pl-PL"/>
        </w:rPr>
      </w:pPr>
      <w:r w:rsidRPr="00415388">
        <w:rPr>
          <w:rFonts w:cs="Arial"/>
          <w:sz w:val="22"/>
          <w:lang w:val="pl-PL"/>
        </w:rPr>
        <w:t xml:space="preserve">Mplia moshi na ba kompani ya bisalu, ba nzo yayi ya ALE fete sadila mikanu ya mambu y abima yayi kezingaka ntoto na mpi mpila batu kefandaka na mpi kutosa ba politiki na mibeku yonso ya mambu yayi kutanaka na kati ya ba buku ya kupesa bisalu ya Mbulamatadi ya DAO. </w:t>
      </w:r>
    </w:p>
    <w:p w14:paraId="1D5493CC" w14:textId="77777777" w:rsidR="000326DA" w:rsidRPr="00415388" w:rsidRDefault="000326DA" w:rsidP="000326DA">
      <w:pPr>
        <w:ind w:right="-154"/>
        <w:rPr>
          <w:rFonts w:cs="Arial"/>
          <w:sz w:val="22"/>
          <w:lang w:val="pl-PL"/>
        </w:rPr>
      </w:pPr>
    </w:p>
    <w:p w14:paraId="50B6BD85" w14:textId="77777777" w:rsidR="000326DA" w:rsidRPr="0079336E" w:rsidRDefault="000326DA" w:rsidP="002378EA">
      <w:pPr>
        <w:numPr>
          <w:ilvl w:val="0"/>
          <w:numId w:val="26"/>
        </w:numPr>
        <w:ind w:right="-154"/>
        <w:rPr>
          <w:rFonts w:cs="Arial"/>
          <w:sz w:val="22"/>
        </w:rPr>
      </w:pPr>
      <w:r w:rsidRPr="0079336E">
        <w:rPr>
          <w:rFonts w:cs="Arial"/>
          <w:i/>
          <w:sz w:val="22"/>
        </w:rPr>
        <w:t xml:space="preserve">Ba bilo ya kutadila bisalu </w:t>
      </w:r>
    </w:p>
    <w:p w14:paraId="0D916AF1" w14:textId="77777777" w:rsidR="000326DA" w:rsidRPr="0079336E" w:rsidRDefault="000326DA" w:rsidP="000326DA">
      <w:pPr>
        <w:ind w:left="720" w:right="-154"/>
        <w:rPr>
          <w:rFonts w:cs="Arial"/>
          <w:sz w:val="22"/>
        </w:rPr>
      </w:pPr>
      <w:r w:rsidRPr="0079336E">
        <w:rPr>
          <w:rFonts w:cs="Arial"/>
          <w:sz w:val="22"/>
        </w:rPr>
        <w:t xml:space="preserve"> </w:t>
      </w:r>
    </w:p>
    <w:p w14:paraId="1EC047F1" w14:textId="77777777" w:rsidR="000326DA" w:rsidRPr="0079336E" w:rsidRDefault="000326DA" w:rsidP="000326DA">
      <w:pPr>
        <w:pStyle w:val="Paragraphedeliste"/>
        <w:rPr>
          <w:rFonts w:cs="Arial"/>
          <w:sz w:val="22"/>
        </w:rPr>
      </w:pPr>
      <w:r w:rsidRPr="0079336E">
        <w:rPr>
          <w:rFonts w:cs="Arial"/>
          <w:sz w:val="22"/>
        </w:rPr>
        <w:t xml:space="preserve">Bo tatala kana bansadi landaka mbote mikanu yayi yonso y abima yayi kezingaka ntoto na mpi mpila batu kefandaka, na kutosa ba politiki yonso na mpi kulanda mpila balombaka yawu na kati ya bauku ya kupesa bisalu ya Mbulamatadi sambu na kusadisa bisalu. </w:t>
      </w:r>
    </w:p>
    <w:p w14:paraId="5194985B" w14:textId="77777777" w:rsidR="000326DA" w:rsidRPr="0079336E" w:rsidRDefault="000326DA" w:rsidP="000326DA">
      <w:pPr>
        <w:ind w:right="-154"/>
        <w:rPr>
          <w:rFonts w:cs="Arial"/>
          <w:sz w:val="22"/>
        </w:rPr>
      </w:pPr>
    </w:p>
    <w:p w14:paraId="4CA5B08D" w14:textId="77777777" w:rsidR="000326DA" w:rsidRPr="0079336E" w:rsidRDefault="000326DA" w:rsidP="002378EA">
      <w:pPr>
        <w:numPr>
          <w:ilvl w:val="0"/>
          <w:numId w:val="26"/>
        </w:numPr>
        <w:ind w:right="-154"/>
        <w:rPr>
          <w:rFonts w:cs="Arial"/>
          <w:i/>
          <w:sz w:val="22"/>
        </w:rPr>
      </w:pPr>
      <w:r w:rsidRPr="0079336E">
        <w:rPr>
          <w:rFonts w:cs="Arial"/>
          <w:i/>
          <w:sz w:val="22"/>
        </w:rPr>
        <w:t>Ba</w:t>
      </w:r>
      <w:r>
        <w:rPr>
          <w:rFonts w:cs="Arial"/>
          <w:i/>
          <w:sz w:val="22"/>
        </w:rPr>
        <w:t>lukutakanu ya batu ya bilanga/Coopératives na bawu</w:t>
      </w:r>
    </w:p>
    <w:p w14:paraId="0B72F4BB" w14:textId="77777777" w:rsidR="000326DA" w:rsidRPr="0079336E" w:rsidRDefault="000326DA" w:rsidP="000326DA">
      <w:pPr>
        <w:pStyle w:val="Paragraphedeliste"/>
        <w:rPr>
          <w:rFonts w:cs="Arial"/>
          <w:sz w:val="22"/>
        </w:rPr>
      </w:pPr>
    </w:p>
    <w:p w14:paraId="542365CD" w14:textId="77777777" w:rsidR="000326DA" w:rsidRDefault="000326DA" w:rsidP="000326DA">
      <w:pPr>
        <w:pStyle w:val="Paragraphedeliste"/>
        <w:rPr>
          <w:rFonts w:cs="Arial"/>
          <w:sz w:val="22"/>
        </w:rPr>
      </w:pPr>
      <w:r w:rsidRPr="0079336E">
        <w:rPr>
          <w:rFonts w:cs="Arial"/>
          <w:sz w:val="22"/>
        </w:rPr>
        <w:t>Ba</w:t>
      </w:r>
      <w:r>
        <w:rPr>
          <w:rFonts w:cs="Arial"/>
          <w:sz w:val="22"/>
        </w:rPr>
        <w:t xml:space="preserve">lukutakanu yayi kele ya ntina mingi sambu bawu sadisaka batu yayi, sambu na bawu kanat abima na bawu mbote na kuteka bima yayi. Bawu tasadisa mingi mambu yayi ya kisalu ya PNDA, sambu na kukodisa yawu. </w:t>
      </w:r>
    </w:p>
    <w:p w14:paraId="6D054854" w14:textId="77777777" w:rsidR="000326DA" w:rsidRDefault="000326DA" w:rsidP="000326DA">
      <w:pPr>
        <w:pStyle w:val="Paragraphedeliste"/>
        <w:rPr>
          <w:rFonts w:cs="Arial"/>
          <w:sz w:val="22"/>
        </w:rPr>
      </w:pPr>
    </w:p>
    <w:p w14:paraId="7EB4BD11" w14:textId="77777777" w:rsidR="000326DA" w:rsidRPr="0079336E" w:rsidRDefault="000326DA" w:rsidP="000326DA">
      <w:pPr>
        <w:pStyle w:val="Paragraphedeliste"/>
        <w:rPr>
          <w:rFonts w:cs="Arial"/>
          <w:sz w:val="22"/>
        </w:rPr>
      </w:pPr>
      <w:r>
        <w:rPr>
          <w:rFonts w:cs="Arial"/>
          <w:sz w:val="22"/>
        </w:rPr>
        <w:t>Na province ya Nord Kivu, balukutakanu yayi kele lokola COOCENKI, CCNK, COOCUKI, COOPADERU, COODELA.</w:t>
      </w:r>
    </w:p>
    <w:p w14:paraId="76C62D6F" w14:textId="77777777" w:rsidR="000326DA" w:rsidRPr="0079336E" w:rsidRDefault="000326DA" w:rsidP="000326DA">
      <w:pPr>
        <w:pStyle w:val="Paragraphedeliste"/>
        <w:rPr>
          <w:rFonts w:cs="Arial"/>
          <w:sz w:val="22"/>
        </w:rPr>
      </w:pPr>
    </w:p>
    <w:p w14:paraId="2BC9E9B2" w14:textId="77777777" w:rsidR="000326DA" w:rsidRPr="0079336E" w:rsidRDefault="000326DA" w:rsidP="002378EA">
      <w:pPr>
        <w:numPr>
          <w:ilvl w:val="0"/>
          <w:numId w:val="26"/>
        </w:numPr>
        <w:rPr>
          <w:rFonts w:cs="Arial"/>
          <w:sz w:val="22"/>
        </w:rPr>
      </w:pPr>
      <w:r w:rsidRPr="0079336E">
        <w:rPr>
          <w:rFonts w:cs="Arial"/>
          <w:i/>
          <w:sz w:val="22"/>
        </w:rPr>
        <w:t xml:space="preserve">Ba ONG na mpi batu ya Société civile : Ba </w:t>
      </w:r>
      <w:r w:rsidRPr="0079336E">
        <w:rPr>
          <w:rFonts w:cs="Arial"/>
          <w:sz w:val="22"/>
        </w:rPr>
        <w:t>ONG ya ba bwala tasadisa sambu na mambu ya ba VBG na mpi ya maladi ya COVID-19, lba lukutakanu ya batu ya ba bwala na mpi yayi ya nkaka yayi tadilaka mambu y abima yayi kezingaka ntoto na mpi mpila batu kefandaka tasadisa sambu na kupesa ba nsangu ya bisalu tasalama, kulongisa batu na bawu, sambu na kutadila mbote mambu ya bima yayi kezingaka ntoto na mpi mpila batu kefandaka, na mpi kusadila mambu ya kulandila ba VBG na mpi maladi ya COVID-19 na ntangu bisalu tasalama, na mpi kulandila mbote mambu y abima yayi kzeingaka ntoto na mpi mpila batu kefandaka na kusadila malongi ya  CGES.</w:t>
      </w:r>
    </w:p>
    <w:p w14:paraId="7C171A91" w14:textId="77777777" w:rsidR="000326DA" w:rsidRPr="0079336E" w:rsidRDefault="000326DA" w:rsidP="000326DA">
      <w:pPr>
        <w:ind w:left="720"/>
        <w:rPr>
          <w:rFonts w:cs="Arial"/>
          <w:sz w:val="22"/>
        </w:rPr>
      </w:pPr>
      <w:r w:rsidRPr="0079336E">
        <w:rPr>
          <w:rFonts w:cs="Arial"/>
          <w:sz w:val="22"/>
        </w:rPr>
        <w:tab/>
      </w:r>
    </w:p>
    <w:p w14:paraId="1D6322C4" w14:textId="77777777" w:rsidR="000326DA" w:rsidRPr="0079336E" w:rsidRDefault="000326DA" w:rsidP="000326DA">
      <w:pPr>
        <w:rPr>
          <w:rFonts w:cs="Arial"/>
          <w:sz w:val="22"/>
        </w:rPr>
      </w:pPr>
      <w:r w:rsidRPr="0079336E">
        <w:rPr>
          <w:rFonts w:cs="Arial"/>
          <w:sz w:val="22"/>
        </w:rPr>
        <w:t xml:space="preserve">Ba kimvwama yayi yonso pesamaka ba takotisa yawu na kati ya buku ya kusadisa bisalu. </w:t>
      </w:r>
    </w:p>
    <w:p w14:paraId="7F3976DE" w14:textId="77777777" w:rsidR="000326DA" w:rsidRPr="0079336E" w:rsidRDefault="000326DA" w:rsidP="000326DA">
      <w:pPr>
        <w:tabs>
          <w:tab w:val="left" w:pos="426"/>
        </w:tabs>
        <w:rPr>
          <w:rFonts w:cs="Arial"/>
          <w:sz w:val="22"/>
        </w:rPr>
      </w:pPr>
    </w:p>
    <w:p w14:paraId="5A920F4B" w14:textId="77777777" w:rsidR="000326DA" w:rsidRPr="0079336E" w:rsidRDefault="000326DA" w:rsidP="002378EA">
      <w:pPr>
        <w:numPr>
          <w:ilvl w:val="0"/>
          <w:numId w:val="159"/>
        </w:numPr>
        <w:rPr>
          <w:rFonts w:cs="Arial"/>
          <w:i/>
          <w:sz w:val="22"/>
          <w:lang w:bidi="fr-FR"/>
        </w:rPr>
      </w:pPr>
      <w:r w:rsidRPr="0079336E">
        <w:rPr>
          <w:rFonts w:cs="Arial"/>
          <w:i/>
          <w:sz w:val="22"/>
          <w:lang w:bidi="fr-FR"/>
        </w:rPr>
        <w:t xml:space="preserve">Mutagu ya misolo yayi fete sadila sambu na kusadila mambu y abima yayi kezingaka ntoto na mpi mpila batu kefandaka. </w:t>
      </w:r>
    </w:p>
    <w:p w14:paraId="306198C6" w14:textId="77777777" w:rsidR="000326DA" w:rsidRPr="0079336E" w:rsidRDefault="000326DA" w:rsidP="000326DA">
      <w:pPr>
        <w:ind w:left="720"/>
        <w:rPr>
          <w:rFonts w:cs="Arial"/>
          <w:i/>
          <w:sz w:val="22"/>
          <w:lang w:bidi="fr-FR"/>
        </w:rPr>
      </w:pPr>
    </w:p>
    <w:p w14:paraId="2B2EA651" w14:textId="79A14F29" w:rsidR="000326DA" w:rsidRPr="0079336E" w:rsidRDefault="000326DA" w:rsidP="000326DA">
      <w:pPr>
        <w:rPr>
          <w:rFonts w:cs="Arial"/>
          <w:sz w:val="22"/>
        </w:rPr>
      </w:pPr>
      <w:r w:rsidRPr="0079336E">
        <w:rPr>
          <w:rFonts w:cs="Arial"/>
          <w:iCs/>
          <w:sz w:val="22"/>
          <w:lang w:bidi="fr-FR"/>
        </w:rPr>
        <w:t>Ntalu sambu na kusadila mambu yonso ya mikanu y abima yayi kezingaka ntot na mpi mpila batu kefandaka kele ya misolo</w:t>
      </w:r>
      <w:r w:rsidRPr="0079336E">
        <w:rPr>
          <w:rFonts w:cs="Arial"/>
          <w:sz w:val="22"/>
        </w:rPr>
        <w:t xml:space="preserve"> </w:t>
      </w:r>
      <w:r w:rsidR="00202EF2">
        <w:rPr>
          <w:rFonts w:cs="Arial"/>
          <w:sz w:val="22"/>
        </w:rPr>
        <w:t>18 675 330</w:t>
      </w:r>
      <w:r w:rsidRPr="0079336E">
        <w:rPr>
          <w:rFonts w:cs="Arial"/>
          <w:sz w:val="22"/>
        </w:rPr>
        <w:t xml:space="preserve"> USD yayi takubulama mpila kelanda. </w:t>
      </w:r>
    </w:p>
    <w:p w14:paraId="37AF48B8" w14:textId="77777777" w:rsidR="000326DA" w:rsidRPr="0079336E" w:rsidRDefault="000326DA" w:rsidP="000326DA">
      <w:pPr>
        <w:ind w:left="720"/>
        <w:rPr>
          <w:rFonts w:cs="Arial"/>
          <w:sz w:val="22"/>
        </w:rPr>
      </w:pPr>
    </w:p>
    <w:p w14:paraId="5A8585C5" w14:textId="77777777" w:rsidR="000326DA" w:rsidRPr="00415388" w:rsidRDefault="000326DA" w:rsidP="000326DA">
      <w:pPr>
        <w:ind w:left="720"/>
        <w:rPr>
          <w:rFonts w:cs="Arial"/>
          <w:i/>
          <w:sz w:val="22"/>
          <w:lang w:val="nl-BE" w:bidi="fr-FR"/>
        </w:rPr>
      </w:pPr>
      <w:r w:rsidRPr="00415388">
        <w:rPr>
          <w:rFonts w:cs="Arial"/>
          <w:sz w:val="22"/>
          <w:lang w:val="nl-BE"/>
        </w:rPr>
        <w:t xml:space="preserve">Ntalu yayi kepesama na lokasa yayi kelanda : </w:t>
      </w:r>
    </w:p>
    <w:p w14:paraId="4F69C8FB" w14:textId="77777777" w:rsidR="000326DA" w:rsidRPr="00415388" w:rsidRDefault="000326DA" w:rsidP="000326DA">
      <w:pPr>
        <w:keepNext/>
        <w:rPr>
          <w:rFonts w:eastAsia="Calibri" w:cs="Arial"/>
          <w:bCs/>
          <w:sz w:val="22"/>
          <w:lang w:val="nl-BE"/>
        </w:rPr>
      </w:pPr>
    </w:p>
    <w:p w14:paraId="28502D09" w14:textId="77777777" w:rsidR="000326DA" w:rsidRPr="00415388" w:rsidRDefault="000326DA" w:rsidP="000326DA">
      <w:pPr>
        <w:keepNext/>
        <w:rPr>
          <w:rFonts w:eastAsia="Calibri" w:cs="Arial"/>
          <w:bCs/>
          <w:sz w:val="22"/>
          <w:lang w:val="nl-BE"/>
        </w:rPr>
      </w:pPr>
      <w:r w:rsidRPr="00415388">
        <w:rPr>
          <w:rFonts w:eastAsia="Calibri" w:cs="Arial"/>
          <w:bCs/>
          <w:sz w:val="22"/>
          <w:lang w:val="nl-BE"/>
        </w:rPr>
        <w:t xml:space="preserve">Ntalu ya mbongo yayi tasadisa sambu na malongi yayi ya </w:t>
      </w:r>
      <w:r>
        <w:rPr>
          <w:rFonts w:eastAsia="Calibri" w:cs="Arial"/>
          <w:bCs/>
          <w:sz w:val="22"/>
          <w:lang w:val="nl-BE"/>
        </w:rPr>
        <w:t>kulandila mambu na mpi kusidila bima yayi ke zingaka ntoto na mpi mpila batu kefandaka.</w:t>
      </w:r>
    </w:p>
    <w:p w14:paraId="26DC82AB" w14:textId="77777777" w:rsidR="000326DA" w:rsidRPr="00415388" w:rsidRDefault="000326DA" w:rsidP="000326DA">
      <w:pPr>
        <w:spacing w:line="240" w:lineRule="auto"/>
        <w:rPr>
          <w:rFonts w:cs="Arial"/>
          <w:sz w:val="22"/>
          <w:highlight w:val="yellow"/>
          <w:lang w:val="nl-BE"/>
        </w:rPr>
      </w:pPr>
    </w:p>
    <w:tbl>
      <w:tblPr>
        <w:tblW w:w="98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6"/>
        <w:gridCol w:w="1701"/>
        <w:gridCol w:w="1276"/>
        <w:gridCol w:w="1417"/>
      </w:tblGrid>
      <w:tr w:rsidR="000326DA" w:rsidRPr="0079336E" w14:paraId="7CC62765" w14:textId="77777777" w:rsidTr="000326DA">
        <w:trPr>
          <w:trHeight w:val="260"/>
        </w:trPr>
        <w:tc>
          <w:tcPr>
            <w:tcW w:w="5416" w:type="dxa"/>
          </w:tcPr>
          <w:p w14:paraId="748DB023" w14:textId="77777777" w:rsidR="000326DA" w:rsidRPr="00415388" w:rsidRDefault="000326DA" w:rsidP="000326DA">
            <w:pPr>
              <w:jc w:val="center"/>
              <w:rPr>
                <w:rFonts w:cs="Arial"/>
                <w:sz w:val="22"/>
                <w:lang w:val="nl-BE"/>
              </w:rPr>
            </w:pPr>
          </w:p>
          <w:p w14:paraId="7AAB1CA2" w14:textId="77777777" w:rsidR="000326DA" w:rsidRPr="0079336E" w:rsidRDefault="000326DA" w:rsidP="000326DA">
            <w:pPr>
              <w:jc w:val="center"/>
              <w:rPr>
                <w:rFonts w:cs="Arial"/>
                <w:sz w:val="22"/>
              </w:rPr>
            </w:pPr>
            <w:r w:rsidRPr="0079336E">
              <w:rPr>
                <w:rFonts w:cs="Arial"/>
                <w:sz w:val="22"/>
              </w:rPr>
              <w:t>Bisalu</w:t>
            </w:r>
          </w:p>
        </w:tc>
        <w:tc>
          <w:tcPr>
            <w:tcW w:w="1701" w:type="dxa"/>
          </w:tcPr>
          <w:p w14:paraId="11765EAD" w14:textId="77777777" w:rsidR="000326DA" w:rsidRPr="0079336E" w:rsidRDefault="000326DA" w:rsidP="000326DA">
            <w:pPr>
              <w:jc w:val="center"/>
              <w:rPr>
                <w:rFonts w:cs="Arial"/>
                <w:bCs/>
                <w:sz w:val="22"/>
              </w:rPr>
            </w:pPr>
          </w:p>
          <w:p w14:paraId="051AD503" w14:textId="77777777" w:rsidR="000326DA" w:rsidRPr="0079336E" w:rsidRDefault="000326DA" w:rsidP="000326DA">
            <w:pPr>
              <w:jc w:val="center"/>
              <w:rPr>
                <w:rFonts w:cs="Arial"/>
                <w:sz w:val="22"/>
              </w:rPr>
            </w:pPr>
            <w:r w:rsidRPr="0079336E">
              <w:rPr>
                <w:rFonts w:cs="Arial"/>
                <w:bCs/>
                <w:sz w:val="22"/>
              </w:rPr>
              <w:t>Mutangu</w:t>
            </w:r>
          </w:p>
        </w:tc>
        <w:tc>
          <w:tcPr>
            <w:tcW w:w="1276" w:type="dxa"/>
          </w:tcPr>
          <w:p w14:paraId="716A9679" w14:textId="77777777" w:rsidR="000326DA" w:rsidRPr="0079336E" w:rsidRDefault="000326DA" w:rsidP="000326DA">
            <w:pPr>
              <w:jc w:val="center"/>
              <w:rPr>
                <w:rFonts w:cs="Arial"/>
                <w:bCs/>
                <w:sz w:val="22"/>
              </w:rPr>
            </w:pPr>
            <w:r w:rsidRPr="0079336E">
              <w:rPr>
                <w:rFonts w:cs="Arial"/>
                <w:bCs/>
                <w:sz w:val="22"/>
              </w:rPr>
              <w:t>Ntalu ya kimosi</w:t>
            </w:r>
          </w:p>
          <w:p w14:paraId="211B9D9D" w14:textId="77777777" w:rsidR="000326DA" w:rsidRPr="0079336E" w:rsidRDefault="000326DA" w:rsidP="000326DA">
            <w:pPr>
              <w:jc w:val="center"/>
              <w:rPr>
                <w:rFonts w:cs="Arial"/>
                <w:sz w:val="22"/>
              </w:rPr>
            </w:pPr>
            <w:r w:rsidRPr="0079336E">
              <w:rPr>
                <w:rFonts w:cs="Arial"/>
                <w:sz w:val="22"/>
              </w:rPr>
              <w:t>(USD)</w:t>
            </w:r>
          </w:p>
        </w:tc>
        <w:tc>
          <w:tcPr>
            <w:tcW w:w="1417" w:type="dxa"/>
          </w:tcPr>
          <w:p w14:paraId="3B7A5B0A" w14:textId="77777777" w:rsidR="000326DA" w:rsidRPr="0079336E" w:rsidRDefault="000326DA" w:rsidP="000326DA">
            <w:pPr>
              <w:jc w:val="center"/>
              <w:rPr>
                <w:rFonts w:cs="Arial"/>
                <w:bCs/>
                <w:sz w:val="22"/>
                <w:lang w:val="fr-CA"/>
              </w:rPr>
            </w:pPr>
            <w:r w:rsidRPr="0079336E">
              <w:rPr>
                <w:rFonts w:cs="Arial"/>
                <w:bCs/>
                <w:sz w:val="22"/>
                <w:lang w:val="fr-CA"/>
              </w:rPr>
              <w:t>Ntalu ya mvimba</w:t>
            </w:r>
          </w:p>
          <w:p w14:paraId="600361A7" w14:textId="77777777" w:rsidR="000326DA" w:rsidRPr="0079336E" w:rsidRDefault="000326DA" w:rsidP="000326DA">
            <w:pPr>
              <w:jc w:val="center"/>
              <w:rPr>
                <w:rFonts w:cs="Arial"/>
                <w:sz w:val="22"/>
              </w:rPr>
            </w:pPr>
            <w:r w:rsidRPr="0079336E">
              <w:rPr>
                <w:rFonts w:cs="Arial"/>
                <w:bCs/>
                <w:sz w:val="22"/>
                <w:lang w:val="fr-CA"/>
              </w:rPr>
              <w:t>(USD)</w:t>
            </w:r>
          </w:p>
        </w:tc>
      </w:tr>
      <w:tr w:rsidR="000326DA" w:rsidRPr="0079336E" w14:paraId="4A259E27" w14:textId="77777777" w:rsidTr="000326DA">
        <w:trPr>
          <w:trHeight w:val="276"/>
        </w:trPr>
        <w:tc>
          <w:tcPr>
            <w:tcW w:w="5416" w:type="dxa"/>
          </w:tcPr>
          <w:p w14:paraId="58E244D4" w14:textId="77777777" w:rsidR="000326DA" w:rsidRPr="0079336E" w:rsidRDefault="000326DA" w:rsidP="000326DA">
            <w:pPr>
              <w:rPr>
                <w:rFonts w:cs="Arial"/>
                <w:bCs/>
                <w:sz w:val="22"/>
              </w:rPr>
            </w:pPr>
            <w:r w:rsidRPr="0079336E">
              <w:rPr>
                <w:rFonts w:cs="Arial"/>
                <w:bCs/>
                <w:sz w:val="22"/>
              </w:rPr>
              <w:t>Kusadisa na mpi kusadila ba malongi ya EIES</w:t>
            </w:r>
            <w:r>
              <w:rPr>
                <w:rFonts w:cs="Arial"/>
                <w:bCs/>
                <w:sz w:val="22"/>
              </w:rPr>
              <w:t>/PGES</w:t>
            </w:r>
            <w:r w:rsidRPr="0079336E">
              <w:rPr>
                <w:rFonts w:cs="Arial"/>
                <w:bCs/>
                <w:sz w:val="22"/>
              </w:rPr>
              <w:t xml:space="preserve">   </w:t>
            </w:r>
          </w:p>
        </w:tc>
        <w:tc>
          <w:tcPr>
            <w:tcW w:w="1701" w:type="dxa"/>
          </w:tcPr>
          <w:p w14:paraId="7B774BA9" w14:textId="77777777" w:rsidR="000326DA" w:rsidRPr="0079336E" w:rsidRDefault="000326DA" w:rsidP="000326DA">
            <w:pPr>
              <w:ind w:left="-57"/>
              <w:jc w:val="center"/>
              <w:rPr>
                <w:rFonts w:cs="Arial"/>
                <w:sz w:val="22"/>
              </w:rPr>
            </w:pPr>
            <w:r>
              <w:rPr>
                <w:rFonts w:cs="Arial"/>
                <w:sz w:val="22"/>
              </w:rPr>
              <w:t>30</w:t>
            </w:r>
          </w:p>
        </w:tc>
        <w:tc>
          <w:tcPr>
            <w:tcW w:w="1276" w:type="dxa"/>
          </w:tcPr>
          <w:p w14:paraId="2A9E79A6" w14:textId="77777777" w:rsidR="000326DA" w:rsidRPr="0079336E" w:rsidRDefault="000326DA" w:rsidP="000326DA">
            <w:pPr>
              <w:jc w:val="right"/>
              <w:rPr>
                <w:rFonts w:cs="Arial"/>
                <w:sz w:val="22"/>
              </w:rPr>
            </w:pPr>
            <w:r>
              <w:rPr>
                <w:rFonts w:cs="Arial"/>
                <w:sz w:val="22"/>
              </w:rPr>
              <w:t>5</w:t>
            </w:r>
            <w:r w:rsidRPr="0079336E">
              <w:rPr>
                <w:rFonts w:cs="Arial"/>
                <w:sz w:val="22"/>
              </w:rPr>
              <w:t>0 000</w:t>
            </w:r>
          </w:p>
        </w:tc>
        <w:tc>
          <w:tcPr>
            <w:tcW w:w="1417" w:type="dxa"/>
          </w:tcPr>
          <w:p w14:paraId="1CAD9479" w14:textId="77777777" w:rsidR="000326DA" w:rsidRPr="0079336E" w:rsidRDefault="000326DA" w:rsidP="000326DA">
            <w:pPr>
              <w:jc w:val="right"/>
              <w:rPr>
                <w:rFonts w:cs="Arial"/>
                <w:sz w:val="22"/>
              </w:rPr>
            </w:pPr>
            <w:r w:rsidRPr="0079336E">
              <w:rPr>
                <w:rFonts w:cs="Arial"/>
                <w:sz w:val="22"/>
              </w:rPr>
              <w:t>1 </w:t>
            </w:r>
            <w:r>
              <w:rPr>
                <w:rFonts w:cs="Arial"/>
                <w:sz w:val="22"/>
              </w:rPr>
              <w:t>50</w:t>
            </w:r>
            <w:r w:rsidRPr="0079336E">
              <w:rPr>
                <w:rFonts w:cs="Arial"/>
                <w:sz w:val="22"/>
              </w:rPr>
              <w:t>0 000</w:t>
            </w:r>
          </w:p>
        </w:tc>
      </w:tr>
      <w:tr w:rsidR="000326DA" w:rsidRPr="0079336E" w14:paraId="6874FBDF" w14:textId="77777777" w:rsidTr="000326DA">
        <w:trPr>
          <w:trHeight w:val="276"/>
        </w:trPr>
        <w:tc>
          <w:tcPr>
            <w:tcW w:w="5416" w:type="dxa"/>
          </w:tcPr>
          <w:p w14:paraId="203120DA" w14:textId="77777777" w:rsidR="000326DA" w:rsidRPr="0079336E" w:rsidRDefault="000326DA" w:rsidP="000326DA">
            <w:pPr>
              <w:rPr>
                <w:rFonts w:cs="Arial"/>
                <w:bCs/>
                <w:sz w:val="22"/>
              </w:rPr>
            </w:pPr>
            <w:r w:rsidRPr="0079336E">
              <w:rPr>
                <w:rFonts w:cs="Arial"/>
                <w:bCs/>
                <w:sz w:val="22"/>
              </w:rPr>
              <w:t>Kusadisa mpila ya kukatula batu na bima na bawu sisika ya bisalu (PAR)</w:t>
            </w:r>
          </w:p>
        </w:tc>
        <w:tc>
          <w:tcPr>
            <w:tcW w:w="1701" w:type="dxa"/>
          </w:tcPr>
          <w:p w14:paraId="17C60724" w14:textId="77777777" w:rsidR="000326DA" w:rsidRPr="0079336E" w:rsidRDefault="000326DA" w:rsidP="000326DA">
            <w:pPr>
              <w:ind w:left="-57"/>
              <w:jc w:val="center"/>
              <w:rPr>
                <w:rFonts w:cs="Arial"/>
                <w:sz w:val="22"/>
              </w:rPr>
            </w:pPr>
            <w:r>
              <w:rPr>
                <w:rFonts w:cs="Arial"/>
                <w:sz w:val="22"/>
              </w:rPr>
              <w:t>30</w:t>
            </w:r>
          </w:p>
        </w:tc>
        <w:tc>
          <w:tcPr>
            <w:tcW w:w="1276" w:type="dxa"/>
          </w:tcPr>
          <w:p w14:paraId="230CAF8B" w14:textId="77777777" w:rsidR="000326DA" w:rsidRPr="0079336E" w:rsidRDefault="000326DA" w:rsidP="000326DA">
            <w:pPr>
              <w:jc w:val="right"/>
              <w:rPr>
                <w:rFonts w:cs="Arial"/>
                <w:sz w:val="22"/>
              </w:rPr>
            </w:pPr>
            <w:r>
              <w:rPr>
                <w:rFonts w:cs="Arial"/>
                <w:sz w:val="22"/>
              </w:rPr>
              <w:t>6</w:t>
            </w:r>
            <w:r w:rsidRPr="0079336E">
              <w:rPr>
                <w:rFonts w:cs="Arial"/>
                <w:sz w:val="22"/>
              </w:rPr>
              <w:t>0 000</w:t>
            </w:r>
          </w:p>
        </w:tc>
        <w:tc>
          <w:tcPr>
            <w:tcW w:w="1417" w:type="dxa"/>
          </w:tcPr>
          <w:p w14:paraId="38B73B91" w14:textId="77777777" w:rsidR="000326DA" w:rsidRPr="0079336E" w:rsidRDefault="000326DA" w:rsidP="000326DA">
            <w:pPr>
              <w:jc w:val="right"/>
              <w:rPr>
                <w:rFonts w:cs="Arial"/>
                <w:sz w:val="22"/>
              </w:rPr>
            </w:pPr>
            <w:r w:rsidRPr="0079336E">
              <w:rPr>
                <w:rFonts w:cs="Arial"/>
                <w:sz w:val="22"/>
              </w:rPr>
              <w:t>1 </w:t>
            </w:r>
            <w:r>
              <w:rPr>
                <w:rFonts w:cs="Arial"/>
                <w:sz w:val="22"/>
              </w:rPr>
              <w:t>80</w:t>
            </w:r>
            <w:r w:rsidRPr="0079336E">
              <w:rPr>
                <w:rFonts w:cs="Arial"/>
                <w:sz w:val="22"/>
              </w:rPr>
              <w:t>0 000</w:t>
            </w:r>
          </w:p>
        </w:tc>
      </w:tr>
      <w:tr w:rsidR="000326DA" w:rsidRPr="0079336E" w14:paraId="7D84F324" w14:textId="77777777" w:rsidTr="000326DA">
        <w:trPr>
          <w:trHeight w:val="276"/>
        </w:trPr>
        <w:tc>
          <w:tcPr>
            <w:tcW w:w="5416" w:type="dxa"/>
          </w:tcPr>
          <w:p w14:paraId="6AEF7DD0" w14:textId="77777777" w:rsidR="000326DA" w:rsidRPr="0079336E" w:rsidRDefault="000326DA" w:rsidP="000326DA">
            <w:pPr>
              <w:rPr>
                <w:rFonts w:cs="Arial"/>
                <w:bCs/>
                <w:sz w:val="22"/>
              </w:rPr>
            </w:pPr>
            <w:r w:rsidRPr="0079336E">
              <w:rPr>
                <w:rFonts w:cs="Arial"/>
                <w:bCs/>
                <w:sz w:val="22"/>
              </w:rPr>
              <w:t>Kusadila malongi yayi ya PAR</w:t>
            </w:r>
          </w:p>
        </w:tc>
        <w:tc>
          <w:tcPr>
            <w:tcW w:w="1701" w:type="dxa"/>
          </w:tcPr>
          <w:p w14:paraId="00BA92AC" w14:textId="77777777" w:rsidR="000326DA" w:rsidRPr="0079336E" w:rsidRDefault="000326DA" w:rsidP="000326DA">
            <w:pPr>
              <w:ind w:left="-57"/>
              <w:jc w:val="center"/>
              <w:rPr>
                <w:rFonts w:cs="Arial"/>
                <w:sz w:val="22"/>
              </w:rPr>
            </w:pPr>
            <w:r>
              <w:rPr>
                <w:rFonts w:cs="Arial"/>
                <w:sz w:val="22"/>
              </w:rPr>
              <w:t>30</w:t>
            </w:r>
          </w:p>
        </w:tc>
        <w:tc>
          <w:tcPr>
            <w:tcW w:w="1276" w:type="dxa"/>
          </w:tcPr>
          <w:p w14:paraId="10997893" w14:textId="77777777" w:rsidR="000326DA" w:rsidRPr="0079336E" w:rsidRDefault="000326DA" w:rsidP="000326DA">
            <w:pPr>
              <w:jc w:val="right"/>
              <w:rPr>
                <w:rFonts w:cs="Arial"/>
                <w:sz w:val="22"/>
              </w:rPr>
            </w:pPr>
            <w:r w:rsidRPr="0079336E">
              <w:rPr>
                <w:rFonts w:cs="Arial"/>
                <w:sz w:val="22"/>
              </w:rPr>
              <w:t>40 000</w:t>
            </w:r>
          </w:p>
        </w:tc>
        <w:tc>
          <w:tcPr>
            <w:tcW w:w="1417" w:type="dxa"/>
          </w:tcPr>
          <w:p w14:paraId="6AB359B2" w14:textId="77777777" w:rsidR="000326DA" w:rsidRPr="0079336E" w:rsidRDefault="000326DA" w:rsidP="000326DA">
            <w:pPr>
              <w:jc w:val="center"/>
              <w:rPr>
                <w:rFonts w:cs="Arial"/>
                <w:sz w:val="22"/>
              </w:rPr>
            </w:pPr>
            <w:r w:rsidRPr="0079336E">
              <w:rPr>
                <w:rFonts w:cs="Arial"/>
                <w:sz w:val="22"/>
              </w:rPr>
              <w:t xml:space="preserve">   1 </w:t>
            </w:r>
            <w:r>
              <w:rPr>
                <w:rFonts w:cs="Arial"/>
                <w:sz w:val="22"/>
              </w:rPr>
              <w:t>2</w:t>
            </w:r>
            <w:r w:rsidRPr="0079336E">
              <w:rPr>
                <w:rFonts w:cs="Arial"/>
                <w:sz w:val="22"/>
              </w:rPr>
              <w:t>00 000</w:t>
            </w:r>
          </w:p>
        </w:tc>
      </w:tr>
      <w:tr w:rsidR="000326DA" w:rsidRPr="0079336E" w14:paraId="40DA31FD" w14:textId="77777777" w:rsidTr="000326DA">
        <w:trPr>
          <w:trHeight w:val="276"/>
        </w:trPr>
        <w:tc>
          <w:tcPr>
            <w:tcW w:w="5416" w:type="dxa"/>
          </w:tcPr>
          <w:p w14:paraId="70709CC5" w14:textId="77777777" w:rsidR="000326DA" w:rsidRPr="00372F9C" w:rsidRDefault="000326DA" w:rsidP="000326DA">
            <w:pPr>
              <w:rPr>
                <w:rFonts w:cs="Arial"/>
                <w:bCs/>
                <w:sz w:val="22"/>
                <w:lang w:val="nb-NO"/>
              </w:rPr>
            </w:pPr>
            <w:r w:rsidRPr="00372F9C">
              <w:rPr>
                <w:rFonts w:cs="Arial"/>
                <w:bCs/>
                <w:sz w:val="22"/>
                <w:lang w:val="nb-NO"/>
              </w:rPr>
              <w:t>Kusadisa mpli ya kulandila bansadi (PGES)</w:t>
            </w:r>
          </w:p>
        </w:tc>
        <w:tc>
          <w:tcPr>
            <w:tcW w:w="1701" w:type="dxa"/>
          </w:tcPr>
          <w:p w14:paraId="2B3B129A" w14:textId="77777777" w:rsidR="000326DA" w:rsidRPr="0079336E" w:rsidRDefault="000326DA" w:rsidP="000326DA">
            <w:pPr>
              <w:ind w:left="-57"/>
              <w:jc w:val="center"/>
              <w:rPr>
                <w:rFonts w:cs="Arial"/>
                <w:sz w:val="22"/>
              </w:rPr>
            </w:pPr>
            <w:r w:rsidRPr="0079336E">
              <w:rPr>
                <w:rFonts w:cs="Arial"/>
                <w:sz w:val="22"/>
              </w:rPr>
              <w:t>1</w:t>
            </w:r>
          </w:p>
        </w:tc>
        <w:tc>
          <w:tcPr>
            <w:tcW w:w="1276" w:type="dxa"/>
          </w:tcPr>
          <w:p w14:paraId="14455A1E" w14:textId="77777777" w:rsidR="000326DA" w:rsidRPr="0079336E" w:rsidRDefault="000326DA" w:rsidP="000326DA">
            <w:pPr>
              <w:jc w:val="right"/>
              <w:rPr>
                <w:rFonts w:cs="Arial"/>
                <w:sz w:val="22"/>
              </w:rPr>
            </w:pPr>
            <w:r>
              <w:rPr>
                <w:rFonts w:cs="Arial"/>
                <w:sz w:val="22"/>
              </w:rPr>
              <w:t>10</w:t>
            </w:r>
            <w:r w:rsidRPr="0079336E">
              <w:rPr>
                <w:rFonts w:cs="Arial"/>
                <w:sz w:val="22"/>
              </w:rPr>
              <w:t>0 000</w:t>
            </w:r>
          </w:p>
        </w:tc>
        <w:tc>
          <w:tcPr>
            <w:tcW w:w="1417" w:type="dxa"/>
          </w:tcPr>
          <w:p w14:paraId="439EDEE8" w14:textId="77777777" w:rsidR="000326DA" w:rsidRPr="0079336E" w:rsidRDefault="000326DA" w:rsidP="000326DA">
            <w:pPr>
              <w:jc w:val="center"/>
              <w:rPr>
                <w:rFonts w:cs="Arial"/>
                <w:sz w:val="22"/>
              </w:rPr>
            </w:pPr>
            <w:r w:rsidRPr="0079336E">
              <w:rPr>
                <w:rFonts w:cs="Arial"/>
                <w:sz w:val="22"/>
              </w:rPr>
              <w:t xml:space="preserve">      </w:t>
            </w:r>
            <w:r>
              <w:rPr>
                <w:rFonts w:cs="Arial"/>
                <w:sz w:val="22"/>
              </w:rPr>
              <w:t>10</w:t>
            </w:r>
            <w:r w:rsidRPr="0079336E">
              <w:rPr>
                <w:rFonts w:cs="Arial"/>
                <w:sz w:val="22"/>
              </w:rPr>
              <w:t>0 000</w:t>
            </w:r>
          </w:p>
        </w:tc>
      </w:tr>
      <w:tr w:rsidR="000326DA" w:rsidRPr="0079336E" w14:paraId="6CDA8A58" w14:textId="77777777" w:rsidTr="000326DA">
        <w:trPr>
          <w:trHeight w:val="276"/>
        </w:trPr>
        <w:tc>
          <w:tcPr>
            <w:tcW w:w="5416" w:type="dxa"/>
          </w:tcPr>
          <w:p w14:paraId="0DBC8A3C" w14:textId="77777777" w:rsidR="000326DA" w:rsidRPr="0079336E" w:rsidRDefault="000326DA" w:rsidP="000326DA">
            <w:pPr>
              <w:rPr>
                <w:rFonts w:cs="Arial"/>
                <w:bCs/>
                <w:sz w:val="22"/>
              </w:rPr>
            </w:pPr>
            <w:r w:rsidRPr="0079336E">
              <w:rPr>
                <w:rFonts w:cs="Arial"/>
                <w:bCs/>
                <w:sz w:val="22"/>
              </w:rPr>
              <w:t>Kusadisa na mpi kusadila mambu ya P</w:t>
            </w:r>
            <w:r>
              <w:rPr>
                <w:rFonts w:cs="Arial"/>
                <w:bCs/>
                <w:sz w:val="22"/>
              </w:rPr>
              <w:t>GB</w:t>
            </w:r>
          </w:p>
        </w:tc>
        <w:tc>
          <w:tcPr>
            <w:tcW w:w="1701" w:type="dxa"/>
          </w:tcPr>
          <w:p w14:paraId="150FD2AD" w14:textId="77777777" w:rsidR="000326DA" w:rsidRPr="0079336E" w:rsidRDefault="000326DA" w:rsidP="000326DA">
            <w:pPr>
              <w:ind w:left="-57"/>
              <w:jc w:val="center"/>
              <w:rPr>
                <w:rFonts w:cs="Arial"/>
                <w:sz w:val="22"/>
              </w:rPr>
            </w:pPr>
            <w:r w:rsidRPr="0079336E">
              <w:rPr>
                <w:rFonts w:cs="Arial"/>
                <w:sz w:val="22"/>
              </w:rPr>
              <w:t>1</w:t>
            </w:r>
          </w:p>
        </w:tc>
        <w:tc>
          <w:tcPr>
            <w:tcW w:w="1276" w:type="dxa"/>
          </w:tcPr>
          <w:p w14:paraId="1B11F724" w14:textId="77777777" w:rsidR="000326DA" w:rsidRPr="0079336E" w:rsidRDefault="000326DA" w:rsidP="000326DA">
            <w:pPr>
              <w:jc w:val="right"/>
              <w:rPr>
                <w:rFonts w:cs="Arial"/>
                <w:sz w:val="22"/>
              </w:rPr>
            </w:pPr>
            <w:r>
              <w:rPr>
                <w:rFonts w:cs="Arial"/>
                <w:sz w:val="22"/>
              </w:rPr>
              <w:t>3</w:t>
            </w:r>
            <w:r w:rsidRPr="0079336E">
              <w:rPr>
                <w:rFonts w:cs="Arial"/>
                <w:sz w:val="22"/>
              </w:rPr>
              <w:t>00 000</w:t>
            </w:r>
          </w:p>
        </w:tc>
        <w:tc>
          <w:tcPr>
            <w:tcW w:w="1417" w:type="dxa"/>
          </w:tcPr>
          <w:p w14:paraId="1B42CDB6" w14:textId="77777777" w:rsidR="000326DA" w:rsidRPr="0079336E" w:rsidRDefault="000326DA" w:rsidP="000326DA">
            <w:pPr>
              <w:jc w:val="center"/>
              <w:rPr>
                <w:rFonts w:cs="Arial"/>
                <w:sz w:val="22"/>
              </w:rPr>
            </w:pPr>
            <w:r w:rsidRPr="0079336E">
              <w:rPr>
                <w:rFonts w:cs="Arial"/>
                <w:sz w:val="22"/>
              </w:rPr>
              <w:t xml:space="preserve">      </w:t>
            </w:r>
            <w:r>
              <w:rPr>
                <w:rFonts w:cs="Arial"/>
                <w:sz w:val="22"/>
              </w:rPr>
              <w:t>3</w:t>
            </w:r>
            <w:r w:rsidRPr="0079336E">
              <w:rPr>
                <w:rFonts w:cs="Arial"/>
                <w:sz w:val="22"/>
              </w:rPr>
              <w:t>00 000</w:t>
            </w:r>
          </w:p>
        </w:tc>
      </w:tr>
      <w:tr w:rsidR="000326DA" w:rsidRPr="0079336E" w14:paraId="34FCD545" w14:textId="77777777" w:rsidTr="000326DA">
        <w:trPr>
          <w:trHeight w:val="276"/>
        </w:trPr>
        <w:tc>
          <w:tcPr>
            <w:tcW w:w="5416" w:type="dxa"/>
          </w:tcPr>
          <w:p w14:paraId="16FA39E6" w14:textId="77777777" w:rsidR="000326DA" w:rsidRPr="0079336E" w:rsidRDefault="000326DA" w:rsidP="000326DA">
            <w:pPr>
              <w:rPr>
                <w:rFonts w:cs="Arial"/>
                <w:bCs/>
                <w:sz w:val="22"/>
              </w:rPr>
            </w:pPr>
            <w:r>
              <w:rPr>
                <w:rFonts w:cs="Arial"/>
                <w:bCs/>
                <w:sz w:val="22"/>
              </w:rPr>
              <w:t>Kusadila mambu ya PMPP na mpi ya VBG</w:t>
            </w:r>
          </w:p>
        </w:tc>
        <w:tc>
          <w:tcPr>
            <w:tcW w:w="1701" w:type="dxa"/>
          </w:tcPr>
          <w:p w14:paraId="188BDDA3" w14:textId="77777777" w:rsidR="000326DA" w:rsidRPr="0079336E" w:rsidRDefault="000326DA" w:rsidP="000326DA">
            <w:pPr>
              <w:ind w:left="-57"/>
              <w:jc w:val="center"/>
              <w:rPr>
                <w:rFonts w:cs="Arial"/>
                <w:sz w:val="22"/>
              </w:rPr>
            </w:pPr>
          </w:p>
        </w:tc>
        <w:tc>
          <w:tcPr>
            <w:tcW w:w="1276" w:type="dxa"/>
          </w:tcPr>
          <w:p w14:paraId="48C268B7" w14:textId="77777777" w:rsidR="000326DA" w:rsidRPr="0079336E" w:rsidRDefault="000326DA" w:rsidP="000326DA">
            <w:pPr>
              <w:jc w:val="right"/>
              <w:rPr>
                <w:rFonts w:cs="Arial"/>
                <w:sz w:val="22"/>
              </w:rPr>
            </w:pPr>
          </w:p>
        </w:tc>
        <w:tc>
          <w:tcPr>
            <w:tcW w:w="1417" w:type="dxa"/>
          </w:tcPr>
          <w:p w14:paraId="65381EA7" w14:textId="77777777" w:rsidR="000326DA" w:rsidRPr="0079336E" w:rsidRDefault="000326DA" w:rsidP="000326DA">
            <w:pPr>
              <w:jc w:val="center"/>
              <w:rPr>
                <w:rFonts w:cs="Arial"/>
                <w:sz w:val="22"/>
              </w:rPr>
            </w:pPr>
          </w:p>
        </w:tc>
      </w:tr>
      <w:tr w:rsidR="000326DA" w:rsidRPr="0079336E" w14:paraId="3234AFED" w14:textId="77777777" w:rsidTr="000326DA">
        <w:trPr>
          <w:trHeight w:val="276"/>
        </w:trPr>
        <w:tc>
          <w:tcPr>
            <w:tcW w:w="5416" w:type="dxa"/>
          </w:tcPr>
          <w:p w14:paraId="628E816B" w14:textId="77777777" w:rsidR="000326DA" w:rsidRPr="0079336E" w:rsidRDefault="000326DA" w:rsidP="000326DA">
            <w:pPr>
              <w:rPr>
                <w:rFonts w:cs="Arial"/>
                <w:bCs/>
                <w:sz w:val="22"/>
              </w:rPr>
            </w:pPr>
            <w:r w:rsidRPr="0079336E">
              <w:rPr>
                <w:rFonts w:cs="Arial"/>
                <w:bCs/>
                <w:sz w:val="22"/>
              </w:rPr>
              <w:t xml:space="preserve">Kusadila </w:t>
            </w:r>
            <w:r>
              <w:rPr>
                <w:rFonts w:cs="Arial"/>
                <w:bCs/>
                <w:sz w:val="22"/>
              </w:rPr>
              <w:t>MGP</w:t>
            </w:r>
            <w:r w:rsidRPr="0079336E">
              <w:rPr>
                <w:rFonts w:cs="Arial"/>
                <w:bCs/>
                <w:sz w:val="22"/>
              </w:rPr>
              <w:t xml:space="preserve"> ya bisalu ya PNDA</w:t>
            </w:r>
          </w:p>
        </w:tc>
        <w:tc>
          <w:tcPr>
            <w:tcW w:w="1701" w:type="dxa"/>
          </w:tcPr>
          <w:p w14:paraId="1007DF68" w14:textId="77777777" w:rsidR="000326DA" w:rsidRPr="0079336E" w:rsidRDefault="000326DA" w:rsidP="000326DA">
            <w:pPr>
              <w:ind w:left="-57"/>
              <w:jc w:val="center"/>
              <w:rPr>
                <w:rFonts w:cs="Arial"/>
                <w:sz w:val="22"/>
              </w:rPr>
            </w:pPr>
            <w:r w:rsidRPr="0079336E">
              <w:rPr>
                <w:rFonts w:cs="Arial"/>
                <w:sz w:val="22"/>
              </w:rPr>
              <w:t>1</w:t>
            </w:r>
          </w:p>
        </w:tc>
        <w:tc>
          <w:tcPr>
            <w:tcW w:w="1276" w:type="dxa"/>
          </w:tcPr>
          <w:p w14:paraId="19126416" w14:textId="77777777" w:rsidR="000326DA" w:rsidRPr="0079336E" w:rsidRDefault="000326DA" w:rsidP="000326DA">
            <w:pPr>
              <w:rPr>
                <w:rFonts w:cs="Arial"/>
                <w:sz w:val="22"/>
              </w:rPr>
            </w:pPr>
            <w:r>
              <w:rPr>
                <w:rFonts w:cs="Arial"/>
                <w:sz w:val="22"/>
              </w:rPr>
              <w:t xml:space="preserve">2 323 </w:t>
            </w:r>
            <w:r w:rsidRPr="0079336E">
              <w:rPr>
                <w:rFonts w:cs="Arial"/>
                <w:sz w:val="22"/>
              </w:rPr>
              <w:t>000</w:t>
            </w:r>
          </w:p>
        </w:tc>
        <w:tc>
          <w:tcPr>
            <w:tcW w:w="1417" w:type="dxa"/>
          </w:tcPr>
          <w:p w14:paraId="71966885" w14:textId="77777777" w:rsidR="000326DA" w:rsidRPr="0079336E" w:rsidRDefault="000326DA" w:rsidP="000326DA">
            <w:pPr>
              <w:jc w:val="right"/>
              <w:rPr>
                <w:rFonts w:cs="Arial"/>
                <w:sz w:val="22"/>
              </w:rPr>
            </w:pPr>
            <w:r w:rsidRPr="0079336E">
              <w:rPr>
                <w:rFonts w:cs="Arial"/>
                <w:sz w:val="22"/>
              </w:rPr>
              <w:t xml:space="preserve"> </w:t>
            </w:r>
            <w:r>
              <w:rPr>
                <w:rFonts w:cs="Arial"/>
                <w:sz w:val="22"/>
              </w:rPr>
              <w:t>2 323</w:t>
            </w:r>
            <w:r w:rsidRPr="0079336E">
              <w:rPr>
                <w:rFonts w:cs="Arial"/>
                <w:sz w:val="22"/>
              </w:rPr>
              <w:t xml:space="preserve"> 000</w:t>
            </w:r>
          </w:p>
        </w:tc>
      </w:tr>
      <w:tr w:rsidR="000326DA" w:rsidRPr="0079336E" w14:paraId="051271BD" w14:textId="77777777" w:rsidTr="000326DA">
        <w:trPr>
          <w:trHeight w:val="260"/>
        </w:trPr>
        <w:tc>
          <w:tcPr>
            <w:tcW w:w="5416" w:type="dxa"/>
          </w:tcPr>
          <w:p w14:paraId="2A4DE972" w14:textId="77777777" w:rsidR="000326DA" w:rsidRPr="0079336E" w:rsidRDefault="000326DA" w:rsidP="000326DA">
            <w:pPr>
              <w:rPr>
                <w:rFonts w:cs="Arial"/>
                <w:sz w:val="22"/>
              </w:rPr>
            </w:pPr>
            <w:r w:rsidRPr="0079336E">
              <w:rPr>
                <w:rFonts w:cs="Arial"/>
                <w:bCs/>
                <w:sz w:val="22"/>
              </w:rPr>
              <w:t xml:space="preserve">Lusadisu sambu na kusukula bisika yayi ya kubakila ntoto sambu na mambu ya bisalu </w:t>
            </w:r>
          </w:p>
        </w:tc>
        <w:tc>
          <w:tcPr>
            <w:tcW w:w="1701" w:type="dxa"/>
          </w:tcPr>
          <w:p w14:paraId="0A0185CC" w14:textId="77777777" w:rsidR="000326DA" w:rsidRPr="0079336E" w:rsidRDefault="000326DA" w:rsidP="000326DA">
            <w:pPr>
              <w:jc w:val="center"/>
              <w:rPr>
                <w:rFonts w:cs="Arial"/>
                <w:sz w:val="22"/>
              </w:rPr>
            </w:pPr>
            <w:r w:rsidRPr="0079336E">
              <w:rPr>
                <w:rFonts w:cs="Arial"/>
                <w:sz w:val="22"/>
              </w:rPr>
              <w:t>5</w:t>
            </w:r>
          </w:p>
        </w:tc>
        <w:tc>
          <w:tcPr>
            <w:tcW w:w="1276" w:type="dxa"/>
          </w:tcPr>
          <w:p w14:paraId="77768C3E" w14:textId="77777777" w:rsidR="000326DA" w:rsidRPr="0079336E" w:rsidRDefault="000326DA" w:rsidP="000326DA">
            <w:pPr>
              <w:jc w:val="right"/>
              <w:rPr>
                <w:rFonts w:cs="Arial"/>
                <w:sz w:val="22"/>
              </w:rPr>
            </w:pPr>
            <w:r w:rsidRPr="0079336E">
              <w:rPr>
                <w:rFonts w:cs="Arial"/>
                <w:sz w:val="22"/>
              </w:rPr>
              <w:t>50 000</w:t>
            </w:r>
          </w:p>
        </w:tc>
        <w:tc>
          <w:tcPr>
            <w:tcW w:w="1417" w:type="dxa"/>
          </w:tcPr>
          <w:p w14:paraId="19EF1C03" w14:textId="77777777" w:rsidR="000326DA" w:rsidRPr="0079336E" w:rsidRDefault="000326DA" w:rsidP="000326DA">
            <w:pPr>
              <w:jc w:val="right"/>
              <w:rPr>
                <w:rFonts w:cs="Arial"/>
                <w:sz w:val="22"/>
              </w:rPr>
            </w:pPr>
            <w:r w:rsidRPr="0079336E">
              <w:rPr>
                <w:rFonts w:cs="Arial"/>
                <w:sz w:val="22"/>
              </w:rPr>
              <w:t>250 000 </w:t>
            </w:r>
          </w:p>
        </w:tc>
      </w:tr>
      <w:tr w:rsidR="000326DA" w:rsidRPr="0079336E" w14:paraId="19AF9A66" w14:textId="77777777" w:rsidTr="000326DA">
        <w:trPr>
          <w:trHeight w:val="260"/>
        </w:trPr>
        <w:tc>
          <w:tcPr>
            <w:tcW w:w="5416" w:type="dxa"/>
          </w:tcPr>
          <w:p w14:paraId="2FA2208D" w14:textId="77777777" w:rsidR="000326DA" w:rsidRPr="0079336E" w:rsidRDefault="000326DA" w:rsidP="000326DA">
            <w:pPr>
              <w:rPr>
                <w:rFonts w:cs="Arial"/>
                <w:sz w:val="22"/>
              </w:rPr>
            </w:pPr>
            <w:r w:rsidRPr="0079336E">
              <w:rPr>
                <w:rFonts w:cs="Arial"/>
                <w:sz w:val="22"/>
              </w:rPr>
              <w:t>Kupesa bima ya bilanga</w:t>
            </w:r>
          </w:p>
        </w:tc>
        <w:tc>
          <w:tcPr>
            <w:tcW w:w="1701" w:type="dxa"/>
          </w:tcPr>
          <w:p w14:paraId="79C7803C" w14:textId="77777777" w:rsidR="000326DA" w:rsidRPr="0079336E" w:rsidRDefault="000326DA" w:rsidP="000326DA">
            <w:pPr>
              <w:jc w:val="center"/>
              <w:rPr>
                <w:rFonts w:cs="Arial"/>
                <w:sz w:val="22"/>
              </w:rPr>
            </w:pPr>
            <w:r w:rsidRPr="0079336E">
              <w:rPr>
                <w:rFonts w:cs="Arial"/>
                <w:sz w:val="22"/>
              </w:rPr>
              <w:t>-</w:t>
            </w:r>
          </w:p>
        </w:tc>
        <w:tc>
          <w:tcPr>
            <w:tcW w:w="1276" w:type="dxa"/>
          </w:tcPr>
          <w:p w14:paraId="758F74C8" w14:textId="77777777" w:rsidR="000326DA" w:rsidRPr="0079336E" w:rsidRDefault="000326DA" w:rsidP="000326DA">
            <w:pPr>
              <w:jc w:val="right"/>
              <w:rPr>
                <w:rFonts w:cs="Arial"/>
                <w:sz w:val="22"/>
              </w:rPr>
            </w:pPr>
            <w:r w:rsidRPr="0079336E">
              <w:rPr>
                <w:rFonts w:cs="Arial"/>
                <w:sz w:val="22"/>
              </w:rPr>
              <w:t>PM</w:t>
            </w:r>
          </w:p>
        </w:tc>
        <w:tc>
          <w:tcPr>
            <w:tcW w:w="1417" w:type="dxa"/>
          </w:tcPr>
          <w:p w14:paraId="1B800795" w14:textId="77777777" w:rsidR="000326DA" w:rsidRPr="0079336E" w:rsidRDefault="000326DA" w:rsidP="000326DA">
            <w:pPr>
              <w:jc w:val="right"/>
              <w:rPr>
                <w:rFonts w:cs="Arial"/>
                <w:sz w:val="22"/>
              </w:rPr>
            </w:pPr>
            <w:r>
              <w:rPr>
                <w:rFonts w:cs="Arial"/>
                <w:sz w:val="22"/>
              </w:rPr>
              <w:t>0</w:t>
            </w:r>
            <w:r w:rsidRPr="0079336E">
              <w:rPr>
                <w:rFonts w:cs="Arial"/>
                <w:sz w:val="22"/>
              </w:rPr>
              <w:t xml:space="preserve"> </w:t>
            </w:r>
          </w:p>
        </w:tc>
      </w:tr>
      <w:tr w:rsidR="000326DA" w:rsidRPr="0079336E" w14:paraId="002D7CFD" w14:textId="77777777" w:rsidTr="000326DA">
        <w:trPr>
          <w:trHeight w:val="260"/>
        </w:trPr>
        <w:tc>
          <w:tcPr>
            <w:tcW w:w="5416" w:type="dxa"/>
          </w:tcPr>
          <w:p w14:paraId="00C30889" w14:textId="77777777" w:rsidR="000326DA" w:rsidRPr="0079336E" w:rsidRDefault="000326DA" w:rsidP="000326DA">
            <w:pPr>
              <w:rPr>
                <w:rFonts w:cs="Arial"/>
                <w:sz w:val="22"/>
              </w:rPr>
            </w:pPr>
            <w:r w:rsidRPr="0079336E">
              <w:rPr>
                <w:rFonts w:cs="Arial"/>
                <w:sz w:val="22"/>
              </w:rPr>
              <w:t xml:space="preserve">Kupesa miluna </w:t>
            </w:r>
          </w:p>
        </w:tc>
        <w:tc>
          <w:tcPr>
            <w:tcW w:w="1701" w:type="dxa"/>
          </w:tcPr>
          <w:p w14:paraId="552B1C33" w14:textId="77777777" w:rsidR="000326DA" w:rsidRPr="0079336E" w:rsidRDefault="000326DA" w:rsidP="000326DA">
            <w:pPr>
              <w:jc w:val="right"/>
              <w:rPr>
                <w:rFonts w:cs="Arial"/>
                <w:sz w:val="22"/>
              </w:rPr>
            </w:pPr>
          </w:p>
        </w:tc>
        <w:tc>
          <w:tcPr>
            <w:tcW w:w="1276" w:type="dxa"/>
          </w:tcPr>
          <w:p w14:paraId="71E5C5B7" w14:textId="77777777" w:rsidR="000326DA" w:rsidRPr="0079336E" w:rsidRDefault="000326DA" w:rsidP="000326DA">
            <w:pPr>
              <w:jc w:val="right"/>
              <w:rPr>
                <w:rFonts w:cs="Arial"/>
                <w:sz w:val="22"/>
              </w:rPr>
            </w:pPr>
            <w:r w:rsidRPr="0079336E">
              <w:rPr>
                <w:rFonts w:cs="Arial"/>
                <w:sz w:val="22"/>
              </w:rPr>
              <w:t>PM</w:t>
            </w:r>
          </w:p>
        </w:tc>
        <w:tc>
          <w:tcPr>
            <w:tcW w:w="1417" w:type="dxa"/>
          </w:tcPr>
          <w:p w14:paraId="16DEE615" w14:textId="77777777" w:rsidR="000326DA" w:rsidRPr="0079336E" w:rsidRDefault="000326DA" w:rsidP="000326DA">
            <w:pPr>
              <w:jc w:val="right"/>
              <w:rPr>
                <w:rFonts w:cs="Arial"/>
                <w:sz w:val="22"/>
              </w:rPr>
            </w:pPr>
            <w:r>
              <w:rPr>
                <w:rFonts w:cs="Arial"/>
                <w:sz w:val="22"/>
              </w:rPr>
              <w:t>0</w:t>
            </w:r>
          </w:p>
        </w:tc>
      </w:tr>
      <w:tr w:rsidR="000326DA" w:rsidRPr="0079336E" w14:paraId="06306295" w14:textId="77777777" w:rsidTr="000326DA">
        <w:trPr>
          <w:trHeight w:val="260"/>
        </w:trPr>
        <w:tc>
          <w:tcPr>
            <w:tcW w:w="5416" w:type="dxa"/>
          </w:tcPr>
          <w:p w14:paraId="6C20A2B7" w14:textId="77777777" w:rsidR="000326DA" w:rsidRPr="0079336E" w:rsidRDefault="000326DA" w:rsidP="000326DA">
            <w:pPr>
              <w:rPr>
                <w:rFonts w:cs="Arial"/>
                <w:sz w:val="22"/>
              </w:rPr>
            </w:pPr>
            <w:r w:rsidRPr="0079336E">
              <w:rPr>
                <w:rFonts w:cs="Arial"/>
                <w:bCs/>
                <w:sz w:val="22"/>
              </w:rPr>
              <w:t>Kulongisa mambu y abima yayi kezingaka ntoto na mpi mpila batu kefandaka</w:t>
            </w:r>
          </w:p>
        </w:tc>
        <w:tc>
          <w:tcPr>
            <w:tcW w:w="1701" w:type="dxa"/>
          </w:tcPr>
          <w:p w14:paraId="3B0F3826" w14:textId="77777777" w:rsidR="000326DA" w:rsidRPr="0079336E" w:rsidRDefault="000326DA" w:rsidP="000326DA">
            <w:pPr>
              <w:jc w:val="center"/>
              <w:rPr>
                <w:rFonts w:cs="Arial"/>
                <w:sz w:val="22"/>
              </w:rPr>
            </w:pPr>
            <w:r w:rsidRPr="0079336E">
              <w:rPr>
                <w:rFonts w:cs="Arial"/>
                <w:sz w:val="22"/>
              </w:rPr>
              <w:t>2</w:t>
            </w:r>
          </w:p>
        </w:tc>
        <w:tc>
          <w:tcPr>
            <w:tcW w:w="1276" w:type="dxa"/>
          </w:tcPr>
          <w:p w14:paraId="51E9E0CC" w14:textId="77777777" w:rsidR="000326DA" w:rsidRPr="0079336E" w:rsidRDefault="000326DA" w:rsidP="000326DA">
            <w:pPr>
              <w:jc w:val="right"/>
              <w:rPr>
                <w:rFonts w:cs="Arial"/>
                <w:sz w:val="22"/>
              </w:rPr>
            </w:pPr>
            <w:r w:rsidRPr="0079336E">
              <w:rPr>
                <w:rFonts w:cs="Arial"/>
                <w:sz w:val="22"/>
              </w:rPr>
              <w:t>50 000</w:t>
            </w:r>
          </w:p>
        </w:tc>
        <w:tc>
          <w:tcPr>
            <w:tcW w:w="1417" w:type="dxa"/>
          </w:tcPr>
          <w:p w14:paraId="1461C788" w14:textId="77777777" w:rsidR="000326DA" w:rsidRPr="0079336E" w:rsidRDefault="000326DA" w:rsidP="000326DA">
            <w:pPr>
              <w:jc w:val="right"/>
              <w:rPr>
                <w:rFonts w:cs="Arial"/>
                <w:sz w:val="22"/>
              </w:rPr>
            </w:pPr>
            <w:r w:rsidRPr="0079336E">
              <w:rPr>
                <w:rFonts w:cs="Arial"/>
                <w:sz w:val="22"/>
              </w:rPr>
              <w:t>100 000</w:t>
            </w:r>
          </w:p>
        </w:tc>
      </w:tr>
      <w:tr w:rsidR="000326DA" w:rsidRPr="0079336E" w14:paraId="5A8C19DD" w14:textId="77777777" w:rsidTr="000326DA">
        <w:trPr>
          <w:trHeight w:val="260"/>
        </w:trPr>
        <w:tc>
          <w:tcPr>
            <w:tcW w:w="5416" w:type="dxa"/>
          </w:tcPr>
          <w:p w14:paraId="0942AE1F" w14:textId="77777777" w:rsidR="000326DA" w:rsidRPr="0079336E" w:rsidRDefault="000326DA" w:rsidP="000326DA">
            <w:pPr>
              <w:rPr>
                <w:rFonts w:cs="Arial"/>
                <w:sz w:val="22"/>
              </w:rPr>
            </w:pPr>
            <w:r w:rsidRPr="0079336E">
              <w:rPr>
                <w:rFonts w:cs="Arial"/>
                <w:bCs/>
                <w:sz w:val="22"/>
              </w:rPr>
              <w:t xml:space="preserve">Mpila ya kulandila mambu ya VBG na </w:t>
            </w:r>
            <w:r>
              <w:rPr>
                <w:rFonts w:cs="Arial"/>
                <w:bCs/>
                <w:sz w:val="22"/>
              </w:rPr>
              <w:t xml:space="preserve">MGP </w:t>
            </w:r>
            <w:r w:rsidRPr="0079336E">
              <w:rPr>
                <w:rFonts w:cs="Arial"/>
                <w:bCs/>
                <w:sz w:val="22"/>
              </w:rPr>
              <w:t>ya mambu yayi ya VBG</w:t>
            </w:r>
          </w:p>
        </w:tc>
        <w:tc>
          <w:tcPr>
            <w:tcW w:w="1701" w:type="dxa"/>
          </w:tcPr>
          <w:p w14:paraId="5E1E9362" w14:textId="77777777" w:rsidR="000326DA" w:rsidRPr="0079336E" w:rsidRDefault="000326DA" w:rsidP="000326DA">
            <w:pPr>
              <w:jc w:val="center"/>
              <w:rPr>
                <w:rFonts w:cs="Arial"/>
                <w:sz w:val="22"/>
              </w:rPr>
            </w:pPr>
            <w:r>
              <w:rPr>
                <w:rFonts w:cs="Arial"/>
                <w:sz w:val="22"/>
              </w:rPr>
              <w:t>-</w:t>
            </w:r>
          </w:p>
        </w:tc>
        <w:tc>
          <w:tcPr>
            <w:tcW w:w="1276" w:type="dxa"/>
          </w:tcPr>
          <w:p w14:paraId="5608F250" w14:textId="77777777" w:rsidR="000326DA" w:rsidRPr="0079336E" w:rsidRDefault="000326DA" w:rsidP="000326DA">
            <w:pPr>
              <w:jc w:val="right"/>
              <w:rPr>
                <w:rFonts w:cs="Arial"/>
                <w:sz w:val="22"/>
              </w:rPr>
            </w:pPr>
            <w:r>
              <w:rPr>
                <w:rFonts w:cs="Arial"/>
                <w:sz w:val="22"/>
              </w:rPr>
              <w:t>-</w:t>
            </w:r>
          </w:p>
        </w:tc>
        <w:tc>
          <w:tcPr>
            <w:tcW w:w="1417" w:type="dxa"/>
          </w:tcPr>
          <w:p w14:paraId="3044CD7E" w14:textId="3C66C451" w:rsidR="000326DA" w:rsidRPr="0079336E" w:rsidRDefault="00C728EE" w:rsidP="000326DA">
            <w:pPr>
              <w:jc w:val="right"/>
              <w:rPr>
                <w:rFonts w:cs="Arial"/>
                <w:sz w:val="22"/>
              </w:rPr>
            </w:pPr>
            <w:r>
              <w:rPr>
                <w:rFonts w:cs="Arial"/>
                <w:sz w:val="22"/>
              </w:rPr>
              <w:t>7 530 000</w:t>
            </w:r>
          </w:p>
        </w:tc>
      </w:tr>
      <w:tr w:rsidR="000326DA" w:rsidRPr="0079336E" w14:paraId="50E9889F" w14:textId="77777777" w:rsidTr="000326DA">
        <w:trPr>
          <w:trHeight w:val="260"/>
        </w:trPr>
        <w:tc>
          <w:tcPr>
            <w:tcW w:w="5416" w:type="dxa"/>
            <w:vMerge w:val="restart"/>
          </w:tcPr>
          <w:p w14:paraId="4BC90AE0" w14:textId="77777777" w:rsidR="000326DA" w:rsidRPr="0079336E" w:rsidRDefault="000326DA" w:rsidP="000326DA">
            <w:pPr>
              <w:rPr>
                <w:rFonts w:cs="Arial"/>
                <w:bCs/>
                <w:sz w:val="22"/>
              </w:rPr>
            </w:pPr>
            <w:r w:rsidRPr="0079336E">
              <w:rPr>
                <w:rFonts w:cs="Arial"/>
                <w:bCs/>
                <w:sz w:val="22"/>
              </w:rPr>
              <w:t>Kulandila ya katikati na mpi ya nsuka ya malongi ya CGES ya PNDA na mpi kutadila yo</w:t>
            </w:r>
          </w:p>
        </w:tc>
        <w:tc>
          <w:tcPr>
            <w:tcW w:w="1701" w:type="dxa"/>
          </w:tcPr>
          <w:p w14:paraId="7AB31A2C" w14:textId="77777777" w:rsidR="000326DA" w:rsidRPr="0079336E" w:rsidRDefault="000326DA" w:rsidP="000326DA">
            <w:pPr>
              <w:jc w:val="center"/>
              <w:rPr>
                <w:rFonts w:cs="Arial"/>
                <w:sz w:val="22"/>
              </w:rPr>
            </w:pPr>
            <w:r>
              <w:rPr>
                <w:rFonts w:cs="Arial"/>
                <w:sz w:val="22"/>
              </w:rPr>
              <w:t>10</w:t>
            </w:r>
          </w:p>
        </w:tc>
        <w:tc>
          <w:tcPr>
            <w:tcW w:w="1276" w:type="dxa"/>
          </w:tcPr>
          <w:p w14:paraId="44001247" w14:textId="77777777" w:rsidR="000326DA" w:rsidRPr="0079336E" w:rsidRDefault="000326DA" w:rsidP="000326DA">
            <w:pPr>
              <w:jc w:val="right"/>
              <w:rPr>
                <w:rFonts w:cs="Arial"/>
                <w:sz w:val="22"/>
              </w:rPr>
            </w:pPr>
            <w:r w:rsidRPr="0079336E">
              <w:rPr>
                <w:rFonts w:cs="Arial"/>
                <w:sz w:val="22"/>
              </w:rPr>
              <w:t xml:space="preserve">30 000 </w:t>
            </w:r>
          </w:p>
        </w:tc>
        <w:tc>
          <w:tcPr>
            <w:tcW w:w="1417" w:type="dxa"/>
          </w:tcPr>
          <w:p w14:paraId="51CA1737" w14:textId="77777777" w:rsidR="000326DA" w:rsidRPr="0079336E" w:rsidRDefault="000326DA" w:rsidP="000326DA">
            <w:pPr>
              <w:jc w:val="right"/>
              <w:rPr>
                <w:rFonts w:cs="Arial"/>
                <w:sz w:val="22"/>
              </w:rPr>
            </w:pPr>
            <w:r>
              <w:rPr>
                <w:rFonts w:cs="Arial"/>
                <w:sz w:val="22"/>
              </w:rPr>
              <w:t>30</w:t>
            </w:r>
            <w:r w:rsidRPr="0079336E">
              <w:rPr>
                <w:rFonts w:cs="Arial"/>
                <w:sz w:val="22"/>
              </w:rPr>
              <w:t xml:space="preserve">0 000 </w:t>
            </w:r>
          </w:p>
        </w:tc>
      </w:tr>
      <w:tr w:rsidR="000326DA" w:rsidRPr="0079336E" w14:paraId="5EC78731" w14:textId="77777777" w:rsidTr="000326DA">
        <w:trPr>
          <w:trHeight w:val="260"/>
        </w:trPr>
        <w:tc>
          <w:tcPr>
            <w:tcW w:w="5416" w:type="dxa"/>
            <w:vMerge/>
          </w:tcPr>
          <w:p w14:paraId="2A2B2E54" w14:textId="77777777" w:rsidR="000326DA" w:rsidRPr="0079336E" w:rsidRDefault="000326DA" w:rsidP="000326DA">
            <w:pPr>
              <w:rPr>
                <w:rFonts w:cs="Arial"/>
                <w:bCs/>
                <w:sz w:val="22"/>
              </w:rPr>
            </w:pPr>
          </w:p>
        </w:tc>
        <w:tc>
          <w:tcPr>
            <w:tcW w:w="1701" w:type="dxa"/>
          </w:tcPr>
          <w:p w14:paraId="559D1BF0" w14:textId="77777777" w:rsidR="000326DA" w:rsidRPr="0079336E" w:rsidRDefault="000326DA" w:rsidP="000326DA">
            <w:pPr>
              <w:jc w:val="center"/>
              <w:rPr>
                <w:rFonts w:cs="Arial"/>
                <w:sz w:val="22"/>
              </w:rPr>
            </w:pPr>
            <w:r>
              <w:rPr>
                <w:rFonts w:cs="Arial"/>
                <w:sz w:val="22"/>
              </w:rPr>
              <w:t>10</w:t>
            </w:r>
          </w:p>
        </w:tc>
        <w:tc>
          <w:tcPr>
            <w:tcW w:w="1276" w:type="dxa"/>
          </w:tcPr>
          <w:p w14:paraId="0745B4B6" w14:textId="77777777" w:rsidR="000326DA" w:rsidRPr="0079336E" w:rsidRDefault="000326DA" w:rsidP="000326DA">
            <w:pPr>
              <w:jc w:val="right"/>
              <w:rPr>
                <w:rFonts w:cs="Arial"/>
                <w:sz w:val="22"/>
              </w:rPr>
            </w:pPr>
            <w:r w:rsidRPr="0079336E">
              <w:rPr>
                <w:rFonts w:cs="Arial"/>
                <w:sz w:val="22"/>
              </w:rPr>
              <w:t>30 000</w:t>
            </w:r>
          </w:p>
        </w:tc>
        <w:tc>
          <w:tcPr>
            <w:tcW w:w="1417" w:type="dxa"/>
          </w:tcPr>
          <w:p w14:paraId="18325A86" w14:textId="77777777" w:rsidR="000326DA" w:rsidRPr="0079336E" w:rsidRDefault="000326DA" w:rsidP="000326DA">
            <w:pPr>
              <w:jc w:val="right"/>
              <w:rPr>
                <w:rFonts w:cs="Arial"/>
                <w:sz w:val="22"/>
              </w:rPr>
            </w:pPr>
            <w:r>
              <w:rPr>
                <w:rFonts w:cs="Arial"/>
                <w:sz w:val="22"/>
              </w:rPr>
              <w:t>30</w:t>
            </w:r>
            <w:r w:rsidRPr="0079336E">
              <w:rPr>
                <w:rFonts w:cs="Arial"/>
                <w:sz w:val="22"/>
              </w:rPr>
              <w:t>0 000</w:t>
            </w:r>
          </w:p>
        </w:tc>
      </w:tr>
      <w:tr w:rsidR="000326DA" w:rsidRPr="0079336E" w14:paraId="545861A9" w14:textId="77777777" w:rsidTr="000326DA">
        <w:trPr>
          <w:trHeight w:val="260"/>
        </w:trPr>
        <w:tc>
          <w:tcPr>
            <w:tcW w:w="8393" w:type="dxa"/>
            <w:gridSpan w:val="3"/>
          </w:tcPr>
          <w:p w14:paraId="279A4BB4" w14:textId="77777777" w:rsidR="000326DA" w:rsidRPr="0079336E" w:rsidRDefault="000326DA" w:rsidP="000326DA">
            <w:pPr>
              <w:rPr>
                <w:rFonts w:cs="Arial"/>
                <w:sz w:val="22"/>
              </w:rPr>
            </w:pPr>
            <w:r w:rsidRPr="0079336E">
              <w:rPr>
                <w:rFonts w:cs="Arial"/>
                <w:bCs/>
                <w:sz w:val="22"/>
              </w:rPr>
              <w:t>MUTANGU</w:t>
            </w:r>
          </w:p>
        </w:tc>
        <w:tc>
          <w:tcPr>
            <w:tcW w:w="1417" w:type="dxa"/>
          </w:tcPr>
          <w:p w14:paraId="6556F741" w14:textId="77777777" w:rsidR="000326DA" w:rsidRPr="0079336E" w:rsidRDefault="000326DA" w:rsidP="000326DA">
            <w:pPr>
              <w:jc w:val="right"/>
              <w:rPr>
                <w:rFonts w:cs="Arial"/>
                <w:sz w:val="22"/>
              </w:rPr>
            </w:pPr>
            <w:r>
              <w:rPr>
                <w:rFonts w:cs="Arial"/>
                <w:sz w:val="22"/>
              </w:rPr>
              <w:t>14 446</w:t>
            </w:r>
            <w:r w:rsidRPr="0079336E">
              <w:rPr>
                <w:rFonts w:cs="Arial"/>
                <w:sz w:val="22"/>
              </w:rPr>
              <w:t xml:space="preserve"> </w:t>
            </w:r>
            <w:r>
              <w:rPr>
                <w:rFonts w:cs="Arial"/>
                <w:sz w:val="22"/>
              </w:rPr>
              <w:t>3</w:t>
            </w:r>
            <w:r w:rsidRPr="0079336E">
              <w:rPr>
                <w:rFonts w:cs="Arial"/>
                <w:sz w:val="22"/>
              </w:rPr>
              <w:t>00</w:t>
            </w:r>
          </w:p>
        </w:tc>
      </w:tr>
      <w:tr w:rsidR="000326DA" w:rsidRPr="0079336E" w14:paraId="379F6859" w14:textId="77777777" w:rsidTr="000326DA">
        <w:trPr>
          <w:trHeight w:val="260"/>
        </w:trPr>
        <w:tc>
          <w:tcPr>
            <w:tcW w:w="5416" w:type="dxa"/>
          </w:tcPr>
          <w:p w14:paraId="5DA7838F" w14:textId="77777777" w:rsidR="000326DA" w:rsidRPr="001C5995" w:rsidRDefault="000326DA" w:rsidP="000326DA">
            <w:pPr>
              <w:rPr>
                <w:rFonts w:cs="Arial"/>
                <w:bCs/>
                <w:sz w:val="22"/>
                <w:lang w:val="pl-PL"/>
              </w:rPr>
            </w:pPr>
            <w:r w:rsidRPr="001C5995">
              <w:rPr>
                <w:rFonts w:cs="Arial"/>
                <w:bCs/>
                <w:sz w:val="22"/>
                <w:lang w:val="pl-PL"/>
              </w:rPr>
              <w:t>Mambu ya mbalakaka na mpi ya nkaka (5%)</w:t>
            </w:r>
          </w:p>
        </w:tc>
        <w:tc>
          <w:tcPr>
            <w:tcW w:w="1701" w:type="dxa"/>
          </w:tcPr>
          <w:p w14:paraId="7E6EE5C1" w14:textId="77777777" w:rsidR="000326DA" w:rsidRPr="0079336E" w:rsidRDefault="000326DA" w:rsidP="000326DA">
            <w:pPr>
              <w:jc w:val="center"/>
              <w:rPr>
                <w:rFonts w:cs="Arial"/>
                <w:sz w:val="22"/>
              </w:rPr>
            </w:pPr>
            <w:r w:rsidRPr="0079336E">
              <w:rPr>
                <w:rFonts w:cs="Arial"/>
                <w:sz w:val="22"/>
              </w:rPr>
              <w:t>5%</w:t>
            </w:r>
          </w:p>
        </w:tc>
        <w:tc>
          <w:tcPr>
            <w:tcW w:w="1276" w:type="dxa"/>
          </w:tcPr>
          <w:p w14:paraId="7F711106" w14:textId="77777777" w:rsidR="000326DA" w:rsidRPr="0079336E" w:rsidRDefault="000326DA" w:rsidP="000326DA">
            <w:pPr>
              <w:jc w:val="right"/>
              <w:rPr>
                <w:rFonts w:cs="Arial"/>
                <w:sz w:val="22"/>
              </w:rPr>
            </w:pPr>
          </w:p>
        </w:tc>
        <w:tc>
          <w:tcPr>
            <w:tcW w:w="1417" w:type="dxa"/>
          </w:tcPr>
          <w:p w14:paraId="2FA71362" w14:textId="77777777" w:rsidR="000326DA" w:rsidRPr="0079336E" w:rsidRDefault="000326DA" w:rsidP="000326DA">
            <w:pPr>
              <w:jc w:val="center"/>
              <w:rPr>
                <w:rFonts w:cs="Arial"/>
                <w:sz w:val="22"/>
              </w:rPr>
            </w:pPr>
            <w:r w:rsidRPr="0079336E">
              <w:rPr>
                <w:rFonts w:cs="Arial"/>
                <w:sz w:val="22"/>
              </w:rPr>
              <w:t xml:space="preserve">      </w:t>
            </w:r>
            <w:r>
              <w:rPr>
                <w:rFonts w:cs="Arial"/>
                <w:sz w:val="22"/>
              </w:rPr>
              <w:t>722 315</w:t>
            </w:r>
            <w:r w:rsidRPr="0079336E">
              <w:rPr>
                <w:rFonts w:cs="Arial"/>
                <w:sz w:val="22"/>
              </w:rPr>
              <w:t xml:space="preserve"> </w:t>
            </w:r>
          </w:p>
        </w:tc>
      </w:tr>
      <w:tr w:rsidR="000326DA" w:rsidRPr="0079336E" w14:paraId="1113DFFD" w14:textId="77777777" w:rsidTr="000326DA">
        <w:trPr>
          <w:trHeight w:val="276"/>
        </w:trPr>
        <w:tc>
          <w:tcPr>
            <w:tcW w:w="8393" w:type="dxa"/>
            <w:gridSpan w:val="3"/>
            <w:shd w:val="clear" w:color="auto" w:fill="auto"/>
          </w:tcPr>
          <w:p w14:paraId="7972FEB0" w14:textId="77777777" w:rsidR="000326DA" w:rsidRPr="0079336E" w:rsidRDefault="000326DA" w:rsidP="000326DA">
            <w:pPr>
              <w:jc w:val="center"/>
              <w:rPr>
                <w:rFonts w:cs="Arial"/>
                <w:sz w:val="22"/>
              </w:rPr>
            </w:pPr>
            <w:r w:rsidRPr="0079336E">
              <w:rPr>
                <w:rFonts w:cs="Arial"/>
                <w:sz w:val="22"/>
              </w:rPr>
              <w:t>MUTANGU YA NENE</w:t>
            </w:r>
          </w:p>
        </w:tc>
        <w:tc>
          <w:tcPr>
            <w:tcW w:w="1417" w:type="dxa"/>
          </w:tcPr>
          <w:p w14:paraId="4BA19668" w14:textId="2D6F8CD1" w:rsidR="000326DA" w:rsidRPr="0079336E" w:rsidRDefault="00C728EE" w:rsidP="000326DA">
            <w:pPr>
              <w:jc w:val="right"/>
              <w:rPr>
                <w:rFonts w:cs="Arial"/>
                <w:sz w:val="22"/>
              </w:rPr>
            </w:pPr>
            <w:r>
              <w:rPr>
                <w:rFonts w:cs="Arial"/>
                <w:sz w:val="22"/>
              </w:rPr>
              <w:t>18 675 330</w:t>
            </w:r>
            <w:r w:rsidR="000326DA" w:rsidRPr="0079336E">
              <w:rPr>
                <w:rFonts w:cs="Arial"/>
                <w:sz w:val="22"/>
              </w:rPr>
              <w:t xml:space="preserve"> </w:t>
            </w:r>
          </w:p>
        </w:tc>
      </w:tr>
    </w:tbl>
    <w:p w14:paraId="428495F9" w14:textId="77777777" w:rsidR="000326DA" w:rsidRPr="005C51BA" w:rsidRDefault="000326DA" w:rsidP="000326DA">
      <w:pPr>
        <w:rPr>
          <w:rFonts w:cs="Arial"/>
          <w:sz w:val="10"/>
          <w:szCs w:val="10"/>
        </w:rPr>
      </w:pPr>
    </w:p>
    <w:p w14:paraId="737A399C" w14:textId="77777777" w:rsidR="000326DA" w:rsidRPr="0079336E" w:rsidRDefault="000326DA" w:rsidP="000326DA">
      <w:pPr>
        <w:rPr>
          <w:rFonts w:cs="Arial"/>
          <w:sz w:val="22"/>
        </w:rPr>
      </w:pPr>
    </w:p>
    <w:p w14:paraId="330112CE" w14:textId="77777777" w:rsidR="000326DA" w:rsidRPr="0079336E" w:rsidRDefault="000326DA" w:rsidP="002378EA">
      <w:pPr>
        <w:numPr>
          <w:ilvl w:val="0"/>
          <w:numId w:val="159"/>
        </w:numPr>
        <w:spacing w:line="240" w:lineRule="auto"/>
        <w:rPr>
          <w:rFonts w:cs="Arial"/>
          <w:i/>
          <w:sz w:val="22"/>
          <w:lang w:bidi="fr-FR"/>
        </w:rPr>
      </w:pPr>
      <w:r w:rsidRPr="0079336E">
        <w:rPr>
          <w:rFonts w:cs="Arial"/>
          <w:i/>
          <w:sz w:val="22"/>
          <w:lang w:bidi="fr-FR"/>
        </w:rPr>
        <w:t>Mpila ya kuzenga ba mambu</w:t>
      </w:r>
    </w:p>
    <w:p w14:paraId="4B3B2980" w14:textId="77777777" w:rsidR="000326DA" w:rsidRPr="00730A4A" w:rsidRDefault="000326DA" w:rsidP="000326DA">
      <w:pPr>
        <w:keepNext/>
        <w:keepLines/>
        <w:outlineLvl w:val="1"/>
        <w:rPr>
          <w:rFonts w:cs="Arial"/>
          <w:color w:val="000000"/>
          <w:sz w:val="22"/>
          <w:u w:val="single"/>
        </w:rPr>
      </w:pPr>
    </w:p>
    <w:p w14:paraId="37B3E3F9" w14:textId="77777777" w:rsidR="000326DA" w:rsidRPr="0079336E" w:rsidRDefault="000326DA" w:rsidP="000326DA">
      <w:pPr>
        <w:keepNext/>
        <w:keepLines/>
        <w:outlineLvl w:val="1"/>
        <w:rPr>
          <w:rFonts w:cs="Arial"/>
          <w:color w:val="000000"/>
          <w:sz w:val="22"/>
        </w:rPr>
      </w:pPr>
      <w:bookmarkStart w:id="131" w:name="_Toc70326965"/>
      <w:bookmarkStart w:id="132" w:name="_Toc70330328"/>
      <w:r w:rsidRPr="00730A4A">
        <w:rPr>
          <w:rFonts w:cs="Arial"/>
          <w:color w:val="000000"/>
          <w:sz w:val="22"/>
          <w:u w:val="single"/>
        </w:rPr>
        <w:t>Mpila moshi ya kuzenga na mpi kulandila ba mambu (UNCP) tasalama kulandana na mukanu ya NES 10 : (kukutanisa na mpi kupesa ba nsangu na batu yonso yayi bisalu tatadila). Mutindu yayi UNCP ya PNDA fete sadisa batu yonso mpila moshi na mpi batu kefandaka na mpasi kibeni. Na diaka, mutindi ya UNCP tasalama sambu na kutadila mambu ya ba VBG ke pesama na kati ya malongi yayi ya CGES. Mutindu yayi lomba na batu yonso kuzenga ba mambu na ki mvwama na mpi na luwakanu ya kimpangi</w:t>
      </w:r>
      <w:r w:rsidRPr="0079336E">
        <w:rPr>
          <w:rFonts w:cs="Arial"/>
          <w:sz w:val="22"/>
        </w:rPr>
        <w:t>.</w:t>
      </w:r>
      <w:bookmarkEnd w:id="131"/>
      <w:bookmarkEnd w:id="132"/>
    </w:p>
    <w:p w14:paraId="0B3DA472" w14:textId="77777777" w:rsidR="000326DA" w:rsidRPr="0079336E" w:rsidRDefault="000326DA" w:rsidP="000326DA">
      <w:pPr>
        <w:pStyle w:val="Titre2"/>
        <w:rPr>
          <w:rFonts w:cs="Arial"/>
          <w:bCs w:val="0"/>
          <w:sz w:val="22"/>
          <w:szCs w:val="22"/>
        </w:rPr>
      </w:pPr>
    </w:p>
    <w:p w14:paraId="56DA6CD9" w14:textId="77777777" w:rsidR="000326DA" w:rsidRPr="0079336E" w:rsidRDefault="000326DA" w:rsidP="000326DA">
      <w:pPr>
        <w:rPr>
          <w:rFonts w:cs="Arial"/>
          <w:sz w:val="22"/>
        </w:rPr>
      </w:pPr>
      <w:r w:rsidRPr="0079336E">
        <w:rPr>
          <w:rFonts w:cs="Arial"/>
          <w:sz w:val="22"/>
        </w:rPr>
        <w:t xml:space="preserve">Nzila tatu kele ya kulanda sambu na mutindu yayi ya kuzenga ba mambu. Yo kele : </w:t>
      </w:r>
      <w:r w:rsidRPr="0079336E">
        <w:rPr>
          <w:rFonts w:cs="Arial"/>
          <w:i/>
          <w:sz w:val="22"/>
        </w:rPr>
        <w:t>(i)</w:t>
      </w:r>
      <w:r w:rsidRPr="0079336E">
        <w:rPr>
          <w:rFonts w:cs="Arial"/>
          <w:sz w:val="22"/>
        </w:rPr>
        <w:t xml:space="preserve"> Na bwala/to na quartier ; </w:t>
      </w:r>
      <w:r w:rsidRPr="0079336E">
        <w:rPr>
          <w:rFonts w:cs="Arial"/>
          <w:i/>
          <w:sz w:val="22"/>
          <w:u w:val="single"/>
        </w:rPr>
        <w:t>(ii)</w:t>
      </w:r>
      <w:r w:rsidRPr="0079336E">
        <w:rPr>
          <w:rFonts w:cs="Arial"/>
          <w:sz w:val="22"/>
          <w:u w:val="single"/>
        </w:rPr>
        <w:t xml:space="preserve"> Na commune / to territoire : </w:t>
      </w:r>
      <w:r w:rsidRPr="0079336E">
        <w:rPr>
          <w:rFonts w:cs="Arial"/>
          <w:i/>
          <w:sz w:val="22"/>
          <w:u w:val="single"/>
        </w:rPr>
        <w:t>(iii)</w:t>
      </w:r>
      <w:r w:rsidRPr="0079336E">
        <w:rPr>
          <w:rFonts w:cs="Arial"/>
          <w:sz w:val="22"/>
          <w:u w:val="single"/>
        </w:rPr>
        <w:t xml:space="preserve"> na ngambu ya </w:t>
      </w:r>
      <w:r w:rsidRPr="0079336E">
        <w:rPr>
          <w:rFonts w:cs="Arial"/>
          <w:sz w:val="22"/>
        </w:rPr>
        <w:t>province.</w:t>
      </w:r>
    </w:p>
    <w:p w14:paraId="148EACF5" w14:textId="77777777" w:rsidR="000326DA" w:rsidRPr="0079336E" w:rsidRDefault="000326DA" w:rsidP="000326DA">
      <w:pPr>
        <w:rPr>
          <w:rFonts w:cs="Arial"/>
          <w:sz w:val="22"/>
        </w:rPr>
      </w:pPr>
    </w:p>
    <w:p w14:paraId="408DEA9A" w14:textId="77777777" w:rsidR="000326DA" w:rsidRPr="0079336E" w:rsidRDefault="000326DA" w:rsidP="000326DA">
      <w:pPr>
        <w:spacing w:line="240" w:lineRule="auto"/>
        <w:rPr>
          <w:rFonts w:cs="Arial"/>
          <w:color w:val="000000"/>
          <w:sz w:val="22"/>
        </w:rPr>
      </w:pPr>
      <w:r w:rsidRPr="0079336E">
        <w:rPr>
          <w:rFonts w:cs="Arial"/>
          <w:color w:val="000000"/>
          <w:sz w:val="22"/>
        </w:rPr>
        <w:t xml:space="preserve">Kukwenda na ba tribunaux, nde yo pekisama sambu na bisalu kulakana mbote, kansi yo kele nzila ya nsuka ya kulanda sambu na kuzenga ba mambu kana batu wakana ve na nzila ya kimpangi. </w:t>
      </w:r>
    </w:p>
    <w:p w14:paraId="1F6DE73F" w14:textId="77777777" w:rsidR="000326DA" w:rsidRPr="0079336E" w:rsidRDefault="000326DA" w:rsidP="000326DA">
      <w:pPr>
        <w:spacing w:line="240" w:lineRule="auto"/>
        <w:rPr>
          <w:rFonts w:cs="Arial"/>
          <w:i/>
          <w:sz w:val="22"/>
          <w:lang w:bidi="fr-FR"/>
        </w:rPr>
      </w:pPr>
    </w:p>
    <w:p w14:paraId="564D126F" w14:textId="77777777" w:rsidR="000326DA" w:rsidRPr="001C5995" w:rsidRDefault="000326DA" w:rsidP="002378EA">
      <w:pPr>
        <w:numPr>
          <w:ilvl w:val="0"/>
          <w:numId w:val="159"/>
        </w:numPr>
        <w:spacing w:line="240" w:lineRule="auto"/>
        <w:rPr>
          <w:rFonts w:cs="Arial"/>
          <w:i/>
          <w:sz w:val="22"/>
          <w:lang w:val="pl-PL" w:bidi="fr-FR"/>
        </w:rPr>
      </w:pPr>
      <w:r w:rsidRPr="001C5995">
        <w:rPr>
          <w:rFonts w:cs="Arial"/>
          <w:i/>
          <w:sz w:val="22"/>
          <w:lang w:val="pl-PL" w:bidi="fr-FR"/>
        </w:rPr>
        <w:t xml:space="preserve">Ba lukutakanu ya kutuba na batu  </w:t>
      </w:r>
    </w:p>
    <w:p w14:paraId="65C90F27" w14:textId="77777777" w:rsidR="000326DA" w:rsidRPr="001C5995" w:rsidRDefault="000326DA" w:rsidP="000326DA">
      <w:pPr>
        <w:tabs>
          <w:tab w:val="left" w:pos="426"/>
        </w:tabs>
        <w:spacing w:line="240" w:lineRule="auto"/>
        <w:rPr>
          <w:rFonts w:cs="Arial"/>
          <w:sz w:val="22"/>
          <w:highlight w:val="yellow"/>
          <w:lang w:val="pl-PL"/>
        </w:rPr>
      </w:pPr>
    </w:p>
    <w:p w14:paraId="6D573B68" w14:textId="77777777" w:rsidR="000326DA" w:rsidRPr="001C5995" w:rsidRDefault="000326DA" w:rsidP="000326DA">
      <w:pPr>
        <w:rPr>
          <w:rFonts w:cs="Arial"/>
          <w:bCs/>
          <w:sz w:val="22"/>
          <w:lang w:val="pl-PL"/>
        </w:rPr>
      </w:pPr>
      <w:r w:rsidRPr="001C5995">
        <w:rPr>
          <w:rFonts w:cs="Arial"/>
          <w:bCs/>
          <w:sz w:val="22"/>
          <w:lang w:val="pl-PL"/>
        </w:rPr>
        <w:t xml:space="preserve">Ba lukutakanu yayi salamaka kulandana na mibeku sambu na ntangu yayi ya maladi ya COVID-19 na Matadi (02 juin 2020), na Kananga (le 03 juin 2020), na Tshikapa (10 juin 2020), na Bandundu-ville (10 juin 2020) na mpi na Goma (17 juin 2020). Ba lukutakanu yayi sangisaka batu 96 na mpila ya batu 20 na lukutakanu  moshi moshi (Ba mfumu ya bwala, ya ba quartiers, ya ba nzo ya tekiniki, ba lukutakanu ya société civile, ba ntoma ya batu yayi kefandaka bisaka bisalu tasalama…) kulandana na mikuna yayi pesamaka na Mbulamatadi ya RDC na mpi bayi </w:t>
      </w:r>
      <w:r w:rsidRPr="001C5995">
        <w:rPr>
          <w:rFonts w:cs="Arial"/>
          <w:bCs/>
          <w:sz w:val="22"/>
          <w:lang w:val="pl-PL"/>
        </w:rPr>
        <w:lastRenderedPageBreak/>
        <w:t>OMS na mpila ya kulandila mbote mambu ya maladi ya COVID-19 na nzila ya mukanda ya tekiniki ya kilumbu ya 20 mars 2020 ya Banque Mondiale</w:t>
      </w:r>
      <w:r w:rsidRPr="0079336E">
        <w:rPr>
          <w:rStyle w:val="Appelnotedebasdep"/>
          <w:rFonts w:cs="Arial"/>
          <w:sz w:val="22"/>
        </w:rPr>
        <w:footnoteReference w:id="13"/>
      </w:r>
      <w:r w:rsidRPr="001C5995">
        <w:rPr>
          <w:rFonts w:cs="Arial"/>
          <w:sz w:val="22"/>
          <w:lang w:val="pl-PL"/>
        </w:rPr>
        <w:t> « Ba lukusakanu ya batu na mpi kusangisa batu yonso bisalu tatadila na bisalu yayi tasadisama na lusadisu ya misolo ya Banque Mondiale bipayi wapi balomba na mpi bapesaka mutindi ya kusadisa ba lukutakanu ya batu ».</w:t>
      </w:r>
    </w:p>
    <w:p w14:paraId="468F08BB" w14:textId="77777777" w:rsidR="000326DA" w:rsidRPr="001C5995" w:rsidRDefault="000326DA" w:rsidP="000326DA">
      <w:pPr>
        <w:rPr>
          <w:rFonts w:cs="Arial"/>
          <w:bCs/>
          <w:sz w:val="22"/>
          <w:lang w:val="pl-PL"/>
        </w:rPr>
      </w:pPr>
    </w:p>
    <w:p w14:paraId="784EC2D3" w14:textId="77777777" w:rsidR="000326DA" w:rsidRPr="00EF33DF" w:rsidRDefault="000326DA" w:rsidP="000326DA">
      <w:pPr>
        <w:rPr>
          <w:rFonts w:cs="Arial"/>
          <w:bCs/>
          <w:sz w:val="22"/>
          <w:lang w:val="pl-PL"/>
        </w:rPr>
      </w:pPr>
      <w:r w:rsidRPr="001C5995">
        <w:rPr>
          <w:rFonts w:cs="Arial"/>
          <w:bCs/>
          <w:sz w:val="22"/>
          <w:lang w:val="pl-PL"/>
        </w:rPr>
        <w:t xml:space="preserve">Ba lukutanu yayi monisaka mambu yayi batu kele kingila na bzila ya bisalu yayi tasalama, kubanga na bawu na mpi mayele na bawu sambu na kusadisa bisalu yayi na nzila ya mbote. Batu yonso kutamaka kele na kiese mingi sambu na bisalu yayi na mpi bwau kingila bisalu na kulomba nde bisalu yayi salama nswalu, na bakotisa bawu na kati ya bisalu tasalama. Manaka yayi ya bisalu ndimammka na batu yonso sambu yo tasadisa bawu kukodisa mpila na bawu ya kukata bilanga na mpi ya kusadila mamb u ya kubokola ban yama na mpi kuloba ba mbisi na masa na kati ya ba provinces yayi tanu (5). Kansi, batu ya nkaka tinaka nde bisalu tapesa bisalu na bilenge ya ba bwala na bawu ve, na mpi inki bawu tasala sambu na bima na bawu yayi kile na bisika bisalu tasalama : batu yayi kele na bima na bawu, kubaka ba nkentu na bisalu, kupesa bawu bima ya kusadila bilanga, ya kuloba ba mbisi na masa na mpi ya kukengidila ban yama, kukotisa bimvuka ya ba nkentu na kati ya bisalu yayi,, kukodisa mayele ya bansadi na mambu ya kukata bilanga na ba yayi salaka na Mbulamatadi na mpi ya bayi salaka bilanga na kati ya ba bwala, etc. </w:t>
      </w:r>
    </w:p>
    <w:p w14:paraId="00951124" w14:textId="77777777" w:rsidR="000326DA" w:rsidRPr="00D26848" w:rsidRDefault="000326DA" w:rsidP="000326DA">
      <w:pPr>
        <w:rPr>
          <w:lang w:val="pl-PL"/>
        </w:rPr>
      </w:pPr>
    </w:p>
    <w:p w14:paraId="71BF488C" w14:textId="77777777" w:rsidR="00294ADC" w:rsidRPr="000326DA" w:rsidRDefault="00294ADC" w:rsidP="00294ADC">
      <w:pPr>
        <w:spacing w:line="240" w:lineRule="auto"/>
        <w:jc w:val="left"/>
        <w:rPr>
          <w:rFonts w:cs="Arial"/>
          <w:color w:val="222222"/>
          <w:sz w:val="22"/>
          <w:lang w:val="pl-PL"/>
        </w:rPr>
      </w:pPr>
    </w:p>
    <w:p w14:paraId="524F2516" w14:textId="77777777" w:rsidR="000326DA" w:rsidRPr="000326DA" w:rsidRDefault="000326DA">
      <w:pPr>
        <w:spacing w:after="160" w:line="259" w:lineRule="auto"/>
        <w:jc w:val="left"/>
        <w:rPr>
          <w:rFonts w:cs="Arial"/>
          <w:b/>
          <w:color w:val="222222"/>
          <w:sz w:val="22"/>
          <w:lang w:val="pl-PL"/>
        </w:rPr>
      </w:pPr>
      <w:bookmarkStart w:id="133" w:name="_Toc45269672"/>
      <w:r w:rsidRPr="000326DA">
        <w:rPr>
          <w:rFonts w:cs="Arial"/>
          <w:bCs/>
          <w:color w:val="222222"/>
          <w:sz w:val="22"/>
          <w:lang w:val="pl-PL"/>
        </w:rPr>
        <w:br w:type="page"/>
      </w:r>
    </w:p>
    <w:p w14:paraId="414E9688" w14:textId="77777777" w:rsidR="00294ADC" w:rsidRPr="00372F9C" w:rsidRDefault="00294ADC" w:rsidP="00294ADC">
      <w:pPr>
        <w:pStyle w:val="Titre1"/>
        <w:jc w:val="center"/>
        <w:rPr>
          <w:rFonts w:cs="Arial"/>
          <w:bCs w:val="0"/>
          <w:color w:val="222222"/>
          <w:sz w:val="22"/>
          <w:szCs w:val="22"/>
          <w:lang w:val="pl-PL"/>
        </w:rPr>
      </w:pPr>
      <w:bookmarkStart w:id="134" w:name="_Toc70330329"/>
      <w:r w:rsidRPr="00372F9C">
        <w:rPr>
          <w:rFonts w:cs="Arial"/>
          <w:bCs w:val="0"/>
          <w:color w:val="222222"/>
          <w:sz w:val="22"/>
          <w:szCs w:val="22"/>
          <w:lang w:val="pl-PL"/>
        </w:rPr>
        <w:lastRenderedPageBreak/>
        <w:t>RÉSUMÉ EXÉCUTIF EN SWAHILI / MUHTASARI KWA KISWAHILI</w:t>
      </w:r>
      <w:bookmarkEnd w:id="133"/>
      <w:bookmarkEnd w:id="134"/>
    </w:p>
    <w:p w14:paraId="7EF1BB91" w14:textId="77777777" w:rsidR="000326DA" w:rsidRPr="00372F9C" w:rsidRDefault="000326DA" w:rsidP="000326DA">
      <w:pPr>
        <w:keepNext/>
        <w:autoSpaceDE w:val="0"/>
        <w:autoSpaceDN w:val="0"/>
        <w:adjustRightInd w:val="0"/>
        <w:ind w:left="390"/>
        <w:jc w:val="center"/>
        <w:outlineLvl w:val="0"/>
        <w:rPr>
          <w:rFonts w:cs="Arial"/>
          <w:b/>
          <w:bCs/>
          <w:sz w:val="22"/>
          <w:lang w:val="pl-PL"/>
        </w:rPr>
      </w:pPr>
    </w:p>
    <w:p w14:paraId="1AB5938D" w14:textId="77777777" w:rsidR="000326DA" w:rsidRPr="00372F9C" w:rsidRDefault="000326DA" w:rsidP="002378EA">
      <w:pPr>
        <w:numPr>
          <w:ilvl w:val="0"/>
          <w:numId w:val="154"/>
        </w:numPr>
        <w:rPr>
          <w:rFonts w:cs="Arial"/>
          <w:i/>
          <w:sz w:val="22"/>
          <w:lang w:val="pl-PL"/>
        </w:rPr>
      </w:pPr>
      <w:r w:rsidRPr="00372F9C">
        <w:rPr>
          <w:rFonts w:cs="Arial"/>
          <w:i/>
          <w:sz w:val="22"/>
          <w:lang w:val="pl-PL"/>
        </w:rPr>
        <w:t>Maelezo mafupi ya mradi (lengo kwa ujumla, vipengele na shughuli kuu)</w:t>
      </w:r>
    </w:p>
    <w:p w14:paraId="42EA5506" w14:textId="77777777" w:rsidR="000326DA" w:rsidRPr="00372F9C" w:rsidRDefault="000326DA" w:rsidP="000326DA">
      <w:pPr>
        <w:rPr>
          <w:rFonts w:cs="Arial"/>
          <w:sz w:val="22"/>
          <w:lang w:val="pl-PL"/>
        </w:rPr>
      </w:pPr>
    </w:p>
    <w:p w14:paraId="32CCA7FD" w14:textId="77777777" w:rsidR="000326DA" w:rsidRPr="00372F9C" w:rsidRDefault="000326DA" w:rsidP="000326DA">
      <w:pPr>
        <w:rPr>
          <w:rFonts w:cs="Arial"/>
          <w:sz w:val="22"/>
          <w:lang w:val="pl-PL"/>
        </w:rPr>
      </w:pPr>
      <w:r w:rsidRPr="00372F9C">
        <w:rPr>
          <w:rFonts w:cs="Arial"/>
          <w:sz w:val="22"/>
          <w:lang w:val="pl-PL"/>
        </w:rPr>
        <w:t>Serikali ya Jamhuri ya Kidemokrasia ya Kongo (DRC) imepokea msaada wa fedha kutoka Jumuiya ya Maendeleo ya Kimataifa (IDA) ya Kikundi cha Benki ya Dunia kuandaa Mpango wa Taifa wa Maendeleo ya Kilimo (PNDA), ambao unalenga, katika awamu yake ya kwanza, ili kuongeza tija ya kilimo na kuboresha upatikanaji wa soko kwa wakulima wadogo wadogo katika mikoa iliyochaguliwa.</w:t>
      </w:r>
    </w:p>
    <w:p w14:paraId="70556275" w14:textId="77777777" w:rsidR="000326DA" w:rsidRPr="00372F9C" w:rsidRDefault="000326DA" w:rsidP="000326DA">
      <w:pPr>
        <w:rPr>
          <w:rFonts w:cs="Arial"/>
          <w:sz w:val="22"/>
          <w:lang w:val="pl-PL"/>
        </w:rPr>
      </w:pPr>
    </w:p>
    <w:p w14:paraId="16AF22A2" w14:textId="77777777" w:rsidR="000326DA" w:rsidRPr="00372F9C" w:rsidRDefault="000326DA" w:rsidP="000326DA">
      <w:pPr>
        <w:rPr>
          <w:rFonts w:cs="Arial"/>
          <w:sz w:val="22"/>
          <w:lang w:val="pl-PL"/>
        </w:rPr>
      </w:pPr>
      <w:r w:rsidRPr="00372F9C">
        <w:rPr>
          <w:rFonts w:cs="Arial"/>
          <w:sz w:val="22"/>
          <w:lang w:val="pl-PL"/>
        </w:rPr>
        <w:t>Kwa hakika, DRC inaendelea kukumbana na matatizo makubwa ya kimaendeleza, lakini serikali mpya imedhamiria kuyatatua. Kilimo kwa sasa kinahesabu takribani asilimia 20 ya Pato la Taifa, linaajiri kati ya asilimia 70 na 75 ya nguvukazi na ina jukumu muhimu katika kupunguza ukosefu wa chakula, utapiamlo na umasikini vijijini, lakini kushuka kwa uzalishaji wa kilimo cha DRC kuhusiana na nchi jirani ni hasa kutokana na, hasa kwa upatikanaji wa soko.</w:t>
      </w:r>
    </w:p>
    <w:p w14:paraId="57D06BB4" w14:textId="77777777" w:rsidR="000326DA" w:rsidRPr="00372F9C" w:rsidRDefault="000326DA" w:rsidP="000326DA">
      <w:pPr>
        <w:rPr>
          <w:rFonts w:cs="Arial"/>
          <w:sz w:val="22"/>
          <w:lang w:val="pl-PL"/>
        </w:rPr>
      </w:pPr>
    </w:p>
    <w:p w14:paraId="71C0C3D6" w14:textId="77777777" w:rsidR="000326DA" w:rsidRPr="00372F9C" w:rsidRDefault="000326DA" w:rsidP="000326DA">
      <w:pPr>
        <w:rPr>
          <w:rFonts w:cs="Arial"/>
          <w:sz w:val="22"/>
          <w:lang w:val="pl-PL"/>
        </w:rPr>
      </w:pPr>
      <w:r w:rsidRPr="00372F9C">
        <w:rPr>
          <w:rFonts w:cs="Arial"/>
          <w:sz w:val="22"/>
          <w:lang w:val="pl-PL"/>
        </w:rPr>
        <w:t>Ili kufikia mwisho huo, Serikali ya DRC inakusudia kupunguza umaskini vijijini kwa kurejesha na kuimarisha mifumo ya uzalishaji wa kilimo, kuboresha lishe na usalama wa chakula, na kuhamasisha uwekezaji mkubwa wa sekta ya umma na sekta binafsi.</w:t>
      </w:r>
    </w:p>
    <w:p w14:paraId="0B25D4B8" w14:textId="77777777" w:rsidR="000326DA" w:rsidRPr="00372F9C" w:rsidRDefault="000326DA" w:rsidP="000326DA">
      <w:pPr>
        <w:rPr>
          <w:rFonts w:cs="Arial"/>
          <w:sz w:val="22"/>
          <w:lang w:val="pl-PL"/>
        </w:rPr>
      </w:pPr>
    </w:p>
    <w:p w14:paraId="455E4094" w14:textId="77777777" w:rsidR="000326DA" w:rsidRPr="00372F9C" w:rsidRDefault="000326DA" w:rsidP="000326DA">
      <w:pPr>
        <w:rPr>
          <w:rFonts w:cs="Arial"/>
          <w:sz w:val="22"/>
          <w:lang w:val="pl-PL"/>
        </w:rPr>
      </w:pPr>
      <w:r w:rsidRPr="00372F9C">
        <w:rPr>
          <w:rFonts w:cs="Arial"/>
          <w:sz w:val="22"/>
          <w:lang w:val="pl-PL"/>
        </w:rPr>
        <w:t>Hivyo, mpango huo utasaidia ukuaji wa uzalishaji wa kilimo katika ngazi ya shamba, na kuwaruhusu wakulima wadogo kuongeza rasilimali na uzalishaji wao, na kisha kuingilia kati ili kukuza upatikanaji wa soko na ushirikiano wa watu wadogo hawa katika minyororo ya usambazaji wa kilimo. Awamu-katika shughuli hizo za sekta hiyo itaungwa mkono na uwekezaji mkubwa katika utoaji wa bidhaa za umma na huduma katika viwango vya kitaifa na mitaa, ikiwemo utafiti wa kilimo na maendeleo, wanyama na mimea na miundombinu. Zaidi ya hayo, mpango huo utachanganya mbinu ya maendeleo ya jamii ili kutoa upatikanaji wa bidhaa muhimu za umma za kilimo na huduma na mbinu ya msaada kwa njia moja kwa wakulima ili kuboresha hali ya utoshelevu wa chakula na utapiamlo.</w:t>
      </w:r>
    </w:p>
    <w:p w14:paraId="4BE04E46" w14:textId="77777777" w:rsidR="000326DA" w:rsidRPr="00372F9C" w:rsidRDefault="000326DA" w:rsidP="000326DA">
      <w:pPr>
        <w:rPr>
          <w:rFonts w:cs="Arial"/>
          <w:sz w:val="22"/>
          <w:lang w:val="pl-PL"/>
        </w:rPr>
      </w:pPr>
    </w:p>
    <w:p w14:paraId="7727AB78" w14:textId="77777777" w:rsidR="000326DA" w:rsidRPr="00372F9C" w:rsidRDefault="000326DA" w:rsidP="000326DA">
      <w:pPr>
        <w:rPr>
          <w:rFonts w:cs="Arial"/>
          <w:sz w:val="22"/>
          <w:lang w:val="pl-PL"/>
        </w:rPr>
      </w:pPr>
      <w:r w:rsidRPr="00372F9C">
        <w:rPr>
          <w:rFonts w:cs="Arial"/>
          <w:sz w:val="22"/>
          <w:lang w:val="pl-PL"/>
        </w:rPr>
        <w:t>Uwekezaji wa PNDA utazingatiwa kama kipaumbele kwa awamu hii ya kwanza kwa kipindi cha miaka 5 katika mkoa wa Kasai (Mikoa ya Kasai na Kasai Kati), Kanda ya Magharibi (Mikoa ya Kongo ya Kati na Kwilu), Kanda ya Mashariki (Mkoa wa Kivu Kaskazini).</w:t>
      </w:r>
    </w:p>
    <w:p w14:paraId="47EA04D8" w14:textId="77777777" w:rsidR="000326DA" w:rsidRPr="00372F9C" w:rsidRDefault="000326DA" w:rsidP="000326DA">
      <w:pPr>
        <w:rPr>
          <w:rFonts w:cs="Arial"/>
          <w:sz w:val="22"/>
          <w:lang w:val="pl-PL"/>
        </w:rPr>
      </w:pPr>
    </w:p>
    <w:p w14:paraId="77C89BD2" w14:textId="77777777" w:rsidR="000326DA" w:rsidRPr="00372F9C" w:rsidRDefault="000326DA" w:rsidP="000326DA">
      <w:pPr>
        <w:rPr>
          <w:rFonts w:cs="Arial"/>
          <w:sz w:val="22"/>
          <w:lang w:val="pl-PL"/>
        </w:rPr>
      </w:pPr>
      <w:r w:rsidRPr="00372F9C">
        <w:rPr>
          <w:rFonts w:cs="Arial"/>
          <w:sz w:val="22"/>
          <w:lang w:val="pl-PL"/>
        </w:rPr>
        <w:t>Lengo la maendeleo ya mradi huu ni kuboresha uzalishaji wa kilimo na upatikanaji wa soko kwa wakulima wadogo katika mikoa iliyochaguliwa na kuimarisha uwezo wa sekta hiyo kukabiliana na dharura zinazostahiki katika sekta ya kilimo.</w:t>
      </w:r>
    </w:p>
    <w:p w14:paraId="660EC0D2" w14:textId="77777777" w:rsidR="000326DA" w:rsidRPr="00372F9C" w:rsidRDefault="000326DA" w:rsidP="000326DA">
      <w:pPr>
        <w:rPr>
          <w:rFonts w:cs="Arial"/>
          <w:sz w:val="22"/>
          <w:lang w:val="pl-PL"/>
        </w:rPr>
      </w:pPr>
    </w:p>
    <w:p w14:paraId="5F082A1B" w14:textId="77777777" w:rsidR="000326DA" w:rsidRDefault="000326DA" w:rsidP="000326DA">
      <w:pPr>
        <w:rPr>
          <w:rFonts w:cs="Arial"/>
          <w:sz w:val="22"/>
        </w:rPr>
      </w:pPr>
      <w:r w:rsidRPr="00622439">
        <w:rPr>
          <w:rFonts w:cs="Arial"/>
          <w:sz w:val="22"/>
        </w:rPr>
        <w:t>PNDA itategemea vipengele vinne:</w:t>
      </w:r>
    </w:p>
    <w:p w14:paraId="57442446" w14:textId="77777777" w:rsidR="000326DA" w:rsidRPr="00622439" w:rsidRDefault="000326DA" w:rsidP="000326DA">
      <w:pPr>
        <w:rPr>
          <w:rFonts w:cs="Arial"/>
          <w:sz w:val="22"/>
        </w:rPr>
      </w:pPr>
    </w:p>
    <w:p w14:paraId="6C3082CB" w14:textId="77777777" w:rsidR="000326DA" w:rsidRPr="001C5995" w:rsidRDefault="000326DA" w:rsidP="002378EA">
      <w:pPr>
        <w:pStyle w:val="Paragraphedeliste"/>
        <w:numPr>
          <w:ilvl w:val="0"/>
          <w:numId w:val="155"/>
        </w:numPr>
        <w:rPr>
          <w:rFonts w:cs="Arial"/>
          <w:i/>
          <w:sz w:val="22"/>
          <w:lang w:val="pl-PL"/>
        </w:rPr>
      </w:pPr>
      <w:r w:rsidRPr="001C5995">
        <w:rPr>
          <w:rFonts w:cs="Arial"/>
          <w:i/>
          <w:sz w:val="22"/>
          <w:lang w:val="pl-PL"/>
        </w:rPr>
        <w:t>Sehemu ya 1: uzalishaji wa kilimo:</w:t>
      </w:r>
    </w:p>
    <w:p w14:paraId="1C169F22" w14:textId="77777777" w:rsidR="000326DA" w:rsidRPr="001C5995" w:rsidRDefault="000326DA" w:rsidP="002378EA">
      <w:pPr>
        <w:pStyle w:val="Paragraphedeliste"/>
        <w:numPr>
          <w:ilvl w:val="3"/>
          <w:numId w:val="40"/>
        </w:numPr>
        <w:rPr>
          <w:rFonts w:cs="Arial"/>
          <w:sz w:val="22"/>
          <w:lang w:val="pl-PL"/>
        </w:rPr>
      </w:pPr>
      <w:r w:rsidRPr="001C5995">
        <w:rPr>
          <w:rFonts w:cs="Arial"/>
          <w:sz w:val="22"/>
          <w:lang w:val="pl-PL"/>
        </w:rPr>
        <w:t>Ndogo-sehemu 1.1: msaada wa moja kwa moja kwa wamiliki wa wadogo</w:t>
      </w:r>
    </w:p>
    <w:p w14:paraId="2AE398B8" w14:textId="77777777" w:rsidR="000326DA" w:rsidRPr="001C5995" w:rsidRDefault="000326DA" w:rsidP="002378EA">
      <w:pPr>
        <w:pStyle w:val="Paragraphedeliste"/>
        <w:numPr>
          <w:ilvl w:val="3"/>
          <w:numId w:val="40"/>
        </w:numPr>
        <w:rPr>
          <w:rFonts w:cs="Arial"/>
          <w:sz w:val="22"/>
          <w:lang w:val="pl-PL"/>
        </w:rPr>
      </w:pPr>
      <w:r w:rsidRPr="001C5995">
        <w:rPr>
          <w:rFonts w:cs="Arial"/>
          <w:sz w:val="22"/>
          <w:lang w:val="pl-PL"/>
        </w:rPr>
        <w:t>Ndogo-sehemu 1.2: msaada wa kiufundi na upatikanaji wa fedha kwa wamiliki wa wadogo</w:t>
      </w:r>
    </w:p>
    <w:p w14:paraId="78669B9D" w14:textId="77777777" w:rsidR="000326DA" w:rsidRPr="001C5995" w:rsidRDefault="000326DA" w:rsidP="002378EA">
      <w:pPr>
        <w:pStyle w:val="Paragraphedeliste"/>
        <w:numPr>
          <w:ilvl w:val="0"/>
          <w:numId w:val="155"/>
        </w:numPr>
        <w:rPr>
          <w:rFonts w:cs="Arial"/>
          <w:i/>
          <w:sz w:val="22"/>
          <w:lang w:val="pl-PL"/>
        </w:rPr>
      </w:pPr>
      <w:r w:rsidRPr="001C5995">
        <w:rPr>
          <w:rFonts w:cs="Arial"/>
          <w:i/>
          <w:sz w:val="22"/>
          <w:lang w:val="pl-PL"/>
        </w:rPr>
        <w:t>Sehemu ya 2: upatikanaji wa soko la mmiliki wa wadogo:</w:t>
      </w:r>
    </w:p>
    <w:p w14:paraId="136CCEE6" w14:textId="77777777" w:rsidR="000326DA" w:rsidRPr="00296E4B" w:rsidRDefault="000326DA" w:rsidP="002378EA">
      <w:pPr>
        <w:pStyle w:val="Paragraphedeliste"/>
        <w:numPr>
          <w:ilvl w:val="3"/>
          <w:numId w:val="40"/>
        </w:numPr>
        <w:rPr>
          <w:rFonts w:cs="Arial"/>
          <w:sz w:val="22"/>
        </w:rPr>
      </w:pPr>
      <w:r w:rsidRPr="00296E4B">
        <w:rPr>
          <w:rFonts w:cs="Arial"/>
          <w:sz w:val="22"/>
        </w:rPr>
        <w:t>Ndogo-sehemu 2.1: miundombinu ya vijijini</w:t>
      </w:r>
    </w:p>
    <w:p w14:paraId="504A0095" w14:textId="77777777" w:rsidR="000326DA" w:rsidRPr="00296E4B" w:rsidRDefault="000326DA" w:rsidP="002378EA">
      <w:pPr>
        <w:pStyle w:val="Paragraphedeliste"/>
        <w:numPr>
          <w:ilvl w:val="3"/>
          <w:numId w:val="40"/>
        </w:numPr>
        <w:rPr>
          <w:rFonts w:cs="Arial"/>
          <w:sz w:val="22"/>
        </w:rPr>
      </w:pPr>
      <w:r w:rsidRPr="00296E4B">
        <w:rPr>
          <w:rFonts w:cs="Arial"/>
          <w:sz w:val="22"/>
        </w:rPr>
        <w:t>Ndogo-sehemu 2.2: kusaidia kuingizwa kwa wamiliki wadogo katika minyororo ya thamani</w:t>
      </w:r>
    </w:p>
    <w:p w14:paraId="4205225B" w14:textId="77777777" w:rsidR="000326DA" w:rsidRPr="00296E4B" w:rsidRDefault="000326DA" w:rsidP="002378EA">
      <w:pPr>
        <w:pStyle w:val="Paragraphedeliste"/>
        <w:numPr>
          <w:ilvl w:val="0"/>
          <w:numId w:val="155"/>
        </w:numPr>
        <w:rPr>
          <w:rFonts w:cs="Arial"/>
          <w:i/>
          <w:sz w:val="22"/>
        </w:rPr>
      </w:pPr>
      <w:r w:rsidRPr="00296E4B">
        <w:rPr>
          <w:rFonts w:cs="Arial"/>
          <w:i/>
          <w:sz w:val="22"/>
        </w:rPr>
        <w:lastRenderedPageBreak/>
        <w:t>Sehemu ya 3: bidhaa na huduma za umma za kilimo</w:t>
      </w:r>
    </w:p>
    <w:p w14:paraId="5A03C8CF" w14:textId="77777777" w:rsidR="000326DA" w:rsidRPr="00296E4B" w:rsidRDefault="000326DA" w:rsidP="002378EA">
      <w:pPr>
        <w:pStyle w:val="Paragraphedeliste"/>
        <w:numPr>
          <w:ilvl w:val="3"/>
          <w:numId w:val="40"/>
        </w:numPr>
        <w:rPr>
          <w:rFonts w:cs="Arial"/>
          <w:sz w:val="22"/>
        </w:rPr>
      </w:pPr>
      <w:r w:rsidRPr="00296E4B">
        <w:rPr>
          <w:rFonts w:cs="Arial"/>
          <w:sz w:val="22"/>
        </w:rPr>
        <w:t>Ndogo-sehemu 3.1: kujenga uwezo wa utoaji wa huduma za umma za kilimo;</w:t>
      </w:r>
    </w:p>
    <w:p w14:paraId="5E3B9F8A" w14:textId="77777777" w:rsidR="000326DA" w:rsidRPr="00296E4B" w:rsidRDefault="000326DA" w:rsidP="002378EA">
      <w:pPr>
        <w:pStyle w:val="Paragraphedeliste"/>
        <w:numPr>
          <w:ilvl w:val="3"/>
          <w:numId w:val="40"/>
        </w:numPr>
        <w:rPr>
          <w:rFonts w:cs="Arial"/>
          <w:sz w:val="22"/>
        </w:rPr>
      </w:pPr>
      <w:r w:rsidRPr="00296E4B">
        <w:rPr>
          <w:rFonts w:cs="Arial"/>
          <w:sz w:val="22"/>
        </w:rPr>
        <w:t>Ndogo-sehemu 3.2: usimamizi wa programu, ufuatiliaji na tathmini</w:t>
      </w:r>
    </w:p>
    <w:p w14:paraId="30645204" w14:textId="77777777" w:rsidR="000326DA" w:rsidRPr="00296E4B" w:rsidRDefault="000326DA" w:rsidP="002378EA">
      <w:pPr>
        <w:pStyle w:val="Paragraphedeliste"/>
        <w:numPr>
          <w:ilvl w:val="0"/>
          <w:numId w:val="155"/>
        </w:numPr>
        <w:rPr>
          <w:rFonts w:cs="Arial"/>
          <w:i/>
          <w:sz w:val="22"/>
        </w:rPr>
      </w:pPr>
      <w:r w:rsidRPr="00296E4B">
        <w:rPr>
          <w:rFonts w:cs="Arial"/>
          <w:i/>
          <w:sz w:val="22"/>
        </w:rPr>
        <w:t>Sehemu ya 4: usaidizi wa dharura ya kilimo</w:t>
      </w:r>
    </w:p>
    <w:p w14:paraId="13AB37FA" w14:textId="77777777" w:rsidR="000326DA" w:rsidRPr="00296E4B" w:rsidRDefault="000326DA" w:rsidP="000326DA">
      <w:pPr>
        <w:tabs>
          <w:tab w:val="left" w:pos="426"/>
        </w:tabs>
        <w:contextualSpacing/>
        <w:rPr>
          <w:rFonts w:cs="Arial"/>
          <w:sz w:val="22"/>
        </w:rPr>
      </w:pPr>
    </w:p>
    <w:p w14:paraId="2A8F211A" w14:textId="77777777" w:rsidR="000326DA" w:rsidRPr="00296E4B" w:rsidRDefault="000326DA" w:rsidP="000326DA">
      <w:pPr>
        <w:rPr>
          <w:rFonts w:cs="Arial"/>
          <w:sz w:val="22"/>
          <w:u w:val="single"/>
        </w:rPr>
      </w:pPr>
      <w:r w:rsidRPr="00296E4B">
        <w:rPr>
          <w:rFonts w:cs="Arial"/>
          <w:sz w:val="22"/>
          <w:u w:val="single"/>
        </w:rPr>
        <w:t>Jinsi ya kutekeleza</w:t>
      </w:r>
    </w:p>
    <w:p w14:paraId="4FF5AD86" w14:textId="77777777" w:rsidR="000326DA" w:rsidRPr="00296E4B" w:rsidRDefault="000326DA" w:rsidP="000326DA">
      <w:pPr>
        <w:rPr>
          <w:rFonts w:cs="Arial"/>
          <w:sz w:val="22"/>
        </w:rPr>
      </w:pPr>
    </w:p>
    <w:p w14:paraId="1F0EC7AC" w14:textId="77777777" w:rsidR="000326DA" w:rsidRPr="00296E4B" w:rsidRDefault="000326DA" w:rsidP="000326DA">
      <w:pPr>
        <w:rPr>
          <w:rFonts w:cs="Arial"/>
          <w:sz w:val="22"/>
        </w:rPr>
      </w:pPr>
      <w:r w:rsidRPr="00296E4B">
        <w:rPr>
          <w:rFonts w:cs="Arial"/>
          <w:sz w:val="22"/>
        </w:rPr>
        <w:t>Katika hatua hii, utaratibu wa uratibu wa taasisi za mradi huo na usimamizi mkuu wa fiduciary uko chini ya wajibu wa U</w:t>
      </w:r>
      <w:r>
        <w:rPr>
          <w:rFonts w:cs="Arial"/>
          <w:sz w:val="22"/>
        </w:rPr>
        <w:t>UNCP</w:t>
      </w:r>
      <w:r w:rsidRPr="00296E4B">
        <w:rPr>
          <w:rFonts w:cs="Arial"/>
          <w:sz w:val="22"/>
        </w:rPr>
        <w:t>/PARRSA kwa kushirikiana na kamati ya ufundi ya maandalizi ya PNDA iliyoundwa na amri ya Wizara ya 001/CAB/MIN/AGRI/ABC/LTN/2019 ya 01 Januari 2029</w:t>
      </w:r>
    </w:p>
    <w:p w14:paraId="150ECABC" w14:textId="77777777" w:rsidR="000326DA" w:rsidRPr="00296E4B" w:rsidRDefault="000326DA" w:rsidP="000326DA">
      <w:pPr>
        <w:rPr>
          <w:rFonts w:cs="Arial"/>
          <w:sz w:val="22"/>
        </w:rPr>
      </w:pPr>
    </w:p>
    <w:p w14:paraId="73843914" w14:textId="77777777" w:rsidR="000326DA" w:rsidRPr="00296E4B" w:rsidRDefault="000326DA" w:rsidP="002378EA">
      <w:pPr>
        <w:pStyle w:val="Paragraphedeliste"/>
        <w:numPr>
          <w:ilvl w:val="0"/>
          <w:numId w:val="154"/>
        </w:numPr>
        <w:rPr>
          <w:rFonts w:cs="Arial"/>
          <w:i/>
          <w:sz w:val="22"/>
        </w:rPr>
      </w:pPr>
      <w:r w:rsidRPr="00296E4B">
        <w:rPr>
          <w:rFonts w:cs="Arial"/>
          <w:i/>
          <w:sz w:val="22"/>
        </w:rPr>
        <w:t xml:space="preserve">Maelezo mafupi ya masuala makubwa ya mazingira na jamii na hatari </w:t>
      </w:r>
    </w:p>
    <w:p w14:paraId="328EA99B" w14:textId="77777777" w:rsidR="000326DA" w:rsidRPr="00296E4B" w:rsidRDefault="000326DA" w:rsidP="000326DA">
      <w:pPr>
        <w:tabs>
          <w:tab w:val="left" w:pos="426"/>
        </w:tabs>
        <w:rPr>
          <w:rFonts w:cs="Arial"/>
          <w:sz w:val="22"/>
        </w:rPr>
      </w:pPr>
    </w:p>
    <w:p w14:paraId="260D642B" w14:textId="77777777" w:rsidR="000326DA" w:rsidRPr="00296E4B" w:rsidRDefault="000326DA" w:rsidP="000326DA">
      <w:pPr>
        <w:tabs>
          <w:tab w:val="left" w:pos="426"/>
        </w:tabs>
        <w:rPr>
          <w:rFonts w:cs="Arial"/>
          <w:sz w:val="22"/>
        </w:rPr>
      </w:pPr>
      <w:r w:rsidRPr="00296E4B">
        <w:rPr>
          <w:rFonts w:cs="Arial"/>
          <w:sz w:val="22"/>
        </w:rPr>
        <w:t xml:space="preserve">Mikoa iliyoathiriwa na PNDA kukabiliana na vikwazo kadhaa vya kimazingira na kijamii na changamoto, ikiwa ni pamoja na: </w:t>
      </w:r>
    </w:p>
    <w:p w14:paraId="6AC89CAF" w14:textId="77777777" w:rsidR="000326DA" w:rsidRPr="00296E4B" w:rsidRDefault="000326DA" w:rsidP="000326DA">
      <w:pPr>
        <w:tabs>
          <w:tab w:val="left" w:pos="426"/>
        </w:tabs>
        <w:rPr>
          <w:rFonts w:cs="Arial"/>
          <w:sz w:val="22"/>
        </w:rPr>
      </w:pPr>
    </w:p>
    <w:p w14:paraId="2D2FE853" w14:textId="77777777" w:rsidR="000326DA" w:rsidRPr="00730A4A" w:rsidRDefault="000326DA" w:rsidP="002378EA">
      <w:pPr>
        <w:pStyle w:val="Paragraphedeliste"/>
        <w:numPr>
          <w:ilvl w:val="0"/>
          <w:numId w:val="161"/>
        </w:numPr>
        <w:tabs>
          <w:tab w:val="left" w:pos="426"/>
        </w:tabs>
        <w:rPr>
          <w:rFonts w:eastAsia="Calibri" w:cs="Arial"/>
          <w:sz w:val="22"/>
        </w:rPr>
      </w:pPr>
      <w:r w:rsidRPr="00730A4A">
        <w:rPr>
          <w:rFonts w:eastAsia="Calibri" w:cs="Arial"/>
          <w:sz w:val="22"/>
        </w:rPr>
        <w:t>Uzalishaji mdogo wa kilimo;</w:t>
      </w:r>
    </w:p>
    <w:p w14:paraId="21F090A5" w14:textId="77777777" w:rsidR="000326DA" w:rsidRPr="00372F9C" w:rsidRDefault="000326DA" w:rsidP="002378EA">
      <w:pPr>
        <w:pStyle w:val="Paragraphedeliste"/>
        <w:numPr>
          <w:ilvl w:val="0"/>
          <w:numId w:val="161"/>
        </w:numPr>
        <w:tabs>
          <w:tab w:val="left" w:pos="426"/>
        </w:tabs>
        <w:rPr>
          <w:rFonts w:eastAsia="Calibri" w:cs="Arial"/>
          <w:sz w:val="22"/>
          <w:lang w:val="en-US"/>
        </w:rPr>
      </w:pPr>
      <w:r w:rsidRPr="00372F9C">
        <w:rPr>
          <w:rFonts w:eastAsia="Calibri" w:cs="Arial"/>
          <w:sz w:val="22"/>
          <w:lang w:val="en-US"/>
        </w:rPr>
        <w:t>Uzalishaji mdogo wa samaki (uvuvi);</w:t>
      </w:r>
    </w:p>
    <w:p w14:paraId="24E9D146" w14:textId="77777777" w:rsidR="000326DA" w:rsidRPr="00730A4A" w:rsidRDefault="000326DA" w:rsidP="002378EA">
      <w:pPr>
        <w:pStyle w:val="Paragraphedeliste"/>
        <w:numPr>
          <w:ilvl w:val="0"/>
          <w:numId w:val="161"/>
        </w:numPr>
        <w:tabs>
          <w:tab w:val="left" w:pos="426"/>
        </w:tabs>
        <w:rPr>
          <w:rFonts w:eastAsia="Calibri" w:cs="Arial"/>
          <w:sz w:val="22"/>
          <w:lang w:val="en-US"/>
        </w:rPr>
      </w:pPr>
      <w:r w:rsidRPr="00730A4A">
        <w:rPr>
          <w:rFonts w:eastAsia="Calibri" w:cs="Arial"/>
          <w:sz w:val="22"/>
          <w:lang w:val="en-US"/>
        </w:rPr>
        <w:t>Uzalishaji mdogo wa mifugo (kuzaliana);</w:t>
      </w:r>
    </w:p>
    <w:p w14:paraId="390E4146" w14:textId="77777777" w:rsidR="000326DA" w:rsidRPr="00730A4A" w:rsidRDefault="000326DA" w:rsidP="002378EA">
      <w:pPr>
        <w:pStyle w:val="Paragraphedeliste"/>
        <w:numPr>
          <w:ilvl w:val="0"/>
          <w:numId w:val="161"/>
        </w:numPr>
        <w:tabs>
          <w:tab w:val="left" w:pos="426"/>
        </w:tabs>
        <w:rPr>
          <w:rFonts w:eastAsia="Calibri" w:cs="Arial"/>
          <w:sz w:val="22"/>
          <w:lang w:val="en-US"/>
        </w:rPr>
      </w:pPr>
      <w:r w:rsidRPr="00730A4A">
        <w:rPr>
          <w:rFonts w:eastAsia="Calibri" w:cs="Arial"/>
          <w:sz w:val="22"/>
          <w:lang w:val="en-US"/>
        </w:rPr>
        <w:t>Upatikanaji mdogo wa utunzaji wa mifugo;</w:t>
      </w:r>
    </w:p>
    <w:p w14:paraId="72EAE1E9" w14:textId="77777777" w:rsidR="000326DA" w:rsidRPr="00730A4A" w:rsidRDefault="000326DA" w:rsidP="002378EA">
      <w:pPr>
        <w:pStyle w:val="Paragraphedeliste"/>
        <w:numPr>
          <w:ilvl w:val="0"/>
          <w:numId w:val="161"/>
        </w:numPr>
        <w:tabs>
          <w:tab w:val="left" w:pos="426"/>
        </w:tabs>
        <w:rPr>
          <w:rFonts w:eastAsia="Calibri" w:cs="Arial"/>
          <w:sz w:val="22"/>
        </w:rPr>
      </w:pPr>
      <w:r w:rsidRPr="00730A4A">
        <w:rPr>
          <w:rFonts w:eastAsia="Calibri" w:cs="Arial"/>
          <w:sz w:val="22"/>
        </w:rPr>
        <w:t>Tatizo la ardhi;</w:t>
      </w:r>
    </w:p>
    <w:p w14:paraId="37E98C6D" w14:textId="77777777" w:rsidR="000326DA" w:rsidRPr="00730A4A" w:rsidRDefault="000326DA" w:rsidP="002378EA">
      <w:pPr>
        <w:pStyle w:val="Paragraphedeliste"/>
        <w:numPr>
          <w:ilvl w:val="0"/>
          <w:numId w:val="161"/>
        </w:numPr>
        <w:tabs>
          <w:tab w:val="left" w:pos="426"/>
        </w:tabs>
        <w:rPr>
          <w:rFonts w:eastAsia="Calibri" w:cs="Arial"/>
          <w:sz w:val="22"/>
        </w:rPr>
      </w:pPr>
      <w:r w:rsidRPr="00730A4A">
        <w:rPr>
          <w:rFonts w:eastAsia="Calibri" w:cs="Arial"/>
          <w:sz w:val="22"/>
        </w:rPr>
        <w:t>Hatari na maambukizi ya unyanyasaji wa kijinsia (VBG), ikiwa ni pamoja na unyanyasaji wa kijinsia na unyanyasaji (EAS) na unyanyasaji wa kijinsia (HS), na COVID-19;</w:t>
      </w:r>
    </w:p>
    <w:p w14:paraId="15BCF0EA" w14:textId="77777777" w:rsidR="000326DA" w:rsidRPr="00730A4A" w:rsidRDefault="000326DA" w:rsidP="002378EA">
      <w:pPr>
        <w:pStyle w:val="Paragraphedeliste"/>
        <w:numPr>
          <w:ilvl w:val="0"/>
          <w:numId w:val="161"/>
        </w:numPr>
        <w:tabs>
          <w:tab w:val="left" w:pos="426"/>
        </w:tabs>
        <w:rPr>
          <w:rFonts w:eastAsia="Calibri" w:cs="Arial"/>
          <w:sz w:val="22"/>
        </w:rPr>
      </w:pPr>
      <w:r w:rsidRPr="00730A4A">
        <w:rPr>
          <w:rFonts w:eastAsia="Calibri" w:cs="Arial"/>
          <w:sz w:val="22"/>
        </w:rPr>
        <w:t>Ukosefu wa kilimo smart;</w:t>
      </w:r>
    </w:p>
    <w:p w14:paraId="0C730725" w14:textId="77777777" w:rsidR="000326DA" w:rsidRPr="00730A4A" w:rsidRDefault="000326DA" w:rsidP="002378EA">
      <w:pPr>
        <w:pStyle w:val="Paragraphedeliste"/>
        <w:numPr>
          <w:ilvl w:val="0"/>
          <w:numId w:val="161"/>
        </w:numPr>
        <w:tabs>
          <w:tab w:val="left" w:pos="426"/>
        </w:tabs>
        <w:rPr>
          <w:rFonts w:eastAsia="Calibri" w:cs="Arial"/>
          <w:sz w:val="22"/>
        </w:rPr>
      </w:pPr>
      <w:r w:rsidRPr="00730A4A">
        <w:rPr>
          <w:rFonts w:eastAsia="Calibri" w:cs="Arial"/>
          <w:sz w:val="22"/>
        </w:rPr>
        <w:t>Ukosefu wa miundombinu ya jamii kama vile masoko, amana za kilimo, nyumba za kuchinja, nk;</w:t>
      </w:r>
    </w:p>
    <w:p w14:paraId="33E5CA85" w14:textId="77777777" w:rsidR="000326DA" w:rsidRPr="00730A4A" w:rsidRDefault="000326DA" w:rsidP="002378EA">
      <w:pPr>
        <w:pStyle w:val="Paragraphedeliste"/>
        <w:numPr>
          <w:ilvl w:val="0"/>
          <w:numId w:val="161"/>
        </w:numPr>
        <w:tabs>
          <w:tab w:val="left" w:pos="426"/>
        </w:tabs>
        <w:rPr>
          <w:rFonts w:eastAsia="Calibri" w:cs="Arial"/>
          <w:sz w:val="22"/>
        </w:rPr>
      </w:pPr>
      <w:r w:rsidRPr="00730A4A">
        <w:rPr>
          <w:rFonts w:eastAsia="Calibri" w:cs="Arial"/>
          <w:sz w:val="22"/>
        </w:rPr>
        <w:t>Tatizo la barabara za huduma za kilimo ambazo ziko katika hali ya kupanuka sana;</w:t>
      </w:r>
    </w:p>
    <w:p w14:paraId="11970D03" w14:textId="77777777" w:rsidR="000326DA" w:rsidRPr="00730A4A" w:rsidRDefault="000326DA" w:rsidP="002378EA">
      <w:pPr>
        <w:pStyle w:val="Paragraphedeliste"/>
        <w:numPr>
          <w:ilvl w:val="0"/>
          <w:numId w:val="161"/>
        </w:numPr>
        <w:tabs>
          <w:tab w:val="left" w:pos="426"/>
        </w:tabs>
        <w:rPr>
          <w:rFonts w:eastAsia="Calibri" w:cs="Arial"/>
          <w:sz w:val="22"/>
        </w:rPr>
      </w:pPr>
      <w:r w:rsidRPr="00730A4A">
        <w:rPr>
          <w:rFonts w:eastAsia="Calibri" w:cs="Arial"/>
          <w:sz w:val="22"/>
        </w:rPr>
        <w:t>Upungufu wa mfumo wa umwagiliaji wa mashamba ya kilimo;</w:t>
      </w:r>
    </w:p>
    <w:p w14:paraId="6ADAE482" w14:textId="77777777" w:rsidR="000326DA" w:rsidRPr="00730A4A" w:rsidRDefault="000326DA" w:rsidP="002378EA">
      <w:pPr>
        <w:pStyle w:val="Paragraphedeliste"/>
        <w:numPr>
          <w:ilvl w:val="0"/>
          <w:numId w:val="161"/>
        </w:numPr>
        <w:tabs>
          <w:tab w:val="left" w:pos="426"/>
        </w:tabs>
        <w:rPr>
          <w:rFonts w:eastAsia="Calibri" w:cs="Arial"/>
          <w:sz w:val="22"/>
        </w:rPr>
      </w:pPr>
      <w:r w:rsidRPr="00730A4A">
        <w:rPr>
          <w:rFonts w:eastAsia="Calibri" w:cs="Arial"/>
          <w:sz w:val="22"/>
        </w:rPr>
        <w:t>Utapiamlo na utapiamlo;</w:t>
      </w:r>
    </w:p>
    <w:p w14:paraId="6A7D46CF" w14:textId="77777777" w:rsidR="000326DA" w:rsidRPr="00730A4A" w:rsidRDefault="000326DA" w:rsidP="002378EA">
      <w:pPr>
        <w:pStyle w:val="Paragraphedeliste"/>
        <w:numPr>
          <w:ilvl w:val="0"/>
          <w:numId w:val="161"/>
        </w:numPr>
        <w:tabs>
          <w:tab w:val="left" w:pos="426"/>
        </w:tabs>
        <w:rPr>
          <w:rFonts w:eastAsia="Calibri" w:cs="Arial"/>
          <w:sz w:val="22"/>
        </w:rPr>
      </w:pPr>
      <w:r w:rsidRPr="00730A4A">
        <w:rPr>
          <w:rFonts w:eastAsia="Calibri" w:cs="Arial"/>
          <w:sz w:val="22"/>
        </w:rPr>
        <w:t>Hatari ya uchafuzi wa ugonjwa wa virusi vya corona (COVID-19) na matokeo yake juu ya umaskini wa idadi ya watu;</w:t>
      </w:r>
    </w:p>
    <w:p w14:paraId="63126F81" w14:textId="77777777" w:rsidR="000326DA" w:rsidRPr="00730A4A" w:rsidRDefault="000326DA" w:rsidP="002378EA">
      <w:pPr>
        <w:pStyle w:val="Paragraphedeliste"/>
        <w:numPr>
          <w:ilvl w:val="0"/>
          <w:numId w:val="161"/>
        </w:numPr>
        <w:tabs>
          <w:tab w:val="left" w:pos="426"/>
        </w:tabs>
        <w:rPr>
          <w:rFonts w:eastAsia="Calibri" w:cs="Arial"/>
          <w:sz w:val="22"/>
        </w:rPr>
      </w:pPr>
      <w:r w:rsidRPr="00730A4A">
        <w:rPr>
          <w:rFonts w:eastAsia="Calibri" w:cs="Arial"/>
          <w:sz w:val="22"/>
        </w:rPr>
        <w:t>Hatari ya uchafuzi wa virusi vya Ebola katika Mkoa wa Kivu Kaskazini;</w:t>
      </w:r>
    </w:p>
    <w:p w14:paraId="554C8ED0" w14:textId="77777777" w:rsidR="000326DA" w:rsidRPr="00730A4A" w:rsidRDefault="000326DA" w:rsidP="002378EA">
      <w:pPr>
        <w:pStyle w:val="Paragraphedeliste"/>
        <w:numPr>
          <w:ilvl w:val="0"/>
          <w:numId w:val="161"/>
        </w:numPr>
        <w:tabs>
          <w:tab w:val="left" w:pos="426"/>
        </w:tabs>
        <w:rPr>
          <w:rFonts w:eastAsia="Calibri" w:cs="Arial"/>
          <w:sz w:val="22"/>
        </w:rPr>
      </w:pPr>
      <w:r w:rsidRPr="00730A4A">
        <w:rPr>
          <w:rFonts w:eastAsia="Calibri" w:cs="Arial"/>
          <w:sz w:val="22"/>
        </w:rPr>
        <w:t>Tatizo la ardhi linalohusiana na mgogoro wa ardhi kati ya jamii;</w:t>
      </w:r>
    </w:p>
    <w:p w14:paraId="750FB16D" w14:textId="77777777" w:rsidR="000326DA" w:rsidRPr="00730A4A" w:rsidRDefault="000326DA" w:rsidP="002378EA">
      <w:pPr>
        <w:pStyle w:val="Paragraphedeliste"/>
        <w:numPr>
          <w:ilvl w:val="0"/>
          <w:numId w:val="161"/>
        </w:numPr>
        <w:tabs>
          <w:tab w:val="left" w:pos="426"/>
        </w:tabs>
        <w:rPr>
          <w:rFonts w:eastAsia="Calibri" w:cs="Arial"/>
          <w:sz w:val="22"/>
        </w:rPr>
      </w:pPr>
      <w:r w:rsidRPr="00730A4A">
        <w:rPr>
          <w:rFonts w:eastAsia="Calibri" w:cs="Arial"/>
          <w:sz w:val="22"/>
        </w:rPr>
        <w:t>Hatari ya mmomotevu na mafuriko katika mkoa wa Kasai na Kasai Kati;</w:t>
      </w:r>
    </w:p>
    <w:p w14:paraId="7616AA11" w14:textId="77777777" w:rsidR="000326DA" w:rsidRPr="00730A4A" w:rsidRDefault="000326DA" w:rsidP="002378EA">
      <w:pPr>
        <w:pStyle w:val="Paragraphedeliste"/>
        <w:numPr>
          <w:ilvl w:val="0"/>
          <w:numId w:val="161"/>
        </w:numPr>
        <w:tabs>
          <w:tab w:val="left" w:pos="426"/>
        </w:tabs>
        <w:rPr>
          <w:rFonts w:eastAsia="Calibri" w:cs="Arial"/>
          <w:sz w:val="22"/>
        </w:rPr>
      </w:pPr>
      <w:r w:rsidRPr="00730A4A">
        <w:rPr>
          <w:rFonts w:eastAsia="Calibri" w:cs="Arial"/>
          <w:sz w:val="22"/>
        </w:rPr>
        <w:t>Kiwango na uthawabu wa matatizo ya kijamii yanayohusiana na umaskini, utapiamlo na utapiamlo;</w:t>
      </w:r>
    </w:p>
    <w:p w14:paraId="5E873799" w14:textId="77777777" w:rsidR="000326DA" w:rsidRPr="00907210" w:rsidRDefault="000326DA" w:rsidP="002378EA">
      <w:pPr>
        <w:pStyle w:val="Paragraphedeliste"/>
        <w:numPr>
          <w:ilvl w:val="0"/>
          <w:numId w:val="161"/>
        </w:numPr>
        <w:tabs>
          <w:tab w:val="left" w:pos="426"/>
        </w:tabs>
        <w:rPr>
          <w:rFonts w:cs="Arial"/>
          <w:sz w:val="22"/>
          <w:lang w:val="pl-PL"/>
        </w:rPr>
      </w:pPr>
      <w:r w:rsidRPr="00730A4A">
        <w:rPr>
          <w:rFonts w:eastAsia="Calibri" w:cs="Arial"/>
          <w:sz w:val="22"/>
        </w:rPr>
        <w:t>Hali ya usalama katika mkoa wa Kivu Kaskazini (Beni, Butembo, Rutshuru).</w:t>
      </w:r>
    </w:p>
    <w:p w14:paraId="046CD84E" w14:textId="77777777" w:rsidR="000326DA" w:rsidRPr="00622439" w:rsidRDefault="000326DA" w:rsidP="000326DA">
      <w:pPr>
        <w:pStyle w:val="Paragraphedeliste"/>
        <w:tabs>
          <w:tab w:val="left" w:pos="426"/>
        </w:tabs>
        <w:rPr>
          <w:rFonts w:cs="Arial"/>
          <w:sz w:val="22"/>
          <w:lang w:val="pl-PL"/>
        </w:rPr>
      </w:pPr>
    </w:p>
    <w:p w14:paraId="5EB2D524" w14:textId="77777777" w:rsidR="000326DA" w:rsidRPr="001C5995" w:rsidRDefault="000326DA" w:rsidP="002378EA">
      <w:pPr>
        <w:numPr>
          <w:ilvl w:val="0"/>
          <w:numId w:val="154"/>
        </w:numPr>
        <w:rPr>
          <w:rFonts w:cs="Arial"/>
          <w:i/>
          <w:sz w:val="22"/>
          <w:lang w:val="pl-PL"/>
        </w:rPr>
      </w:pPr>
      <w:r w:rsidRPr="001C5995">
        <w:rPr>
          <w:rFonts w:cs="Arial"/>
          <w:i/>
          <w:sz w:val="22"/>
          <w:lang w:val="pl-PL"/>
        </w:rPr>
        <w:t xml:space="preserve">Mfumo wa kisiasa, kisheria na taasisi kwa ajili ya kusimamia hatari za kimazingira na kijamii na athari na mfumo wa mazingira na jamii ya benki ya dunia (CES) ambao mahitaji yake yametimizwa na CGES </w:t>
      </w:r>
    </w:p>
    <w:p w14:paraId="0DA7B7BF" w14:textId="77777777" w:rsidR="000326DA" w:rsidRPr="001C5995" w:rsidRDefault="000326DA" w:rsidP="000326DA">
      <w:pPr>
        <w:tabs>
          <w:tab w:val="left" w:pos="426"/>
        </w:tabs>
        <w:rPr>
          <w:rFonts w:cs="Arial"/>
          <w:sz w:val="22"/>
          <w:lang w:val="pl-PL"/>
        </w:rPr>
      </w:pPr>
    </w:p>
    <w:p w14:paraId="7640E2EA" w14:textId="77777777" w:rsidR="000326DA" w:rsidRPr="00907210" w:rsidRDefault="000326DA" w:rsidP="000326DA">
      <w:pPr>
        <w:rPr>
          <w:rFonts w:cs="Arial"/>
          <w:sz w:val="22"/>
          <w:lang w:val="pl-PL"/>
        </w:rPr>
      </w:pPr>
      <w:r w:rsidRPr="00907210">
        <w:rPr>
          <w:rFonts w:cs="Arial"/>
          <w:sz w:val="22"/>
          <w:lang w:val="pl-PL"/>
        </w:rPr>
        <w:t xml:space="preserve">Muktadha wa sheria na udhibiti wa sekta za mazingira na kijamii na maeneo ya NDA ya kuingilia kati umewekwa alama ya kuwepo kwa nyaraka za mipango ya kimkakati (National Environmental Action Plan, Hati ya Mkakati wa Ukuaji wa Umaskini na Kupunguza - DSCRP, Mkakati wa Kitaifa wa Kupambana na Ukatili wa Kijinsia - SNVBG, nk) pamoja na maandishi husika na kisheria (Sheria 09 Julai 2011 juu ya kanuni za msingi zinazohusiana na ulinzi wa </w:t>
      </w:r>
      <w:r w:rsidRPr="00907210">
        <w:rPr>
          <w:rFonts w:cs="Arial"/>
          <w:sz w:val="22"/>
          <w:lang w:val="pl-PL"/>
        </w:rPr>
        <w:lastRenderedPageBreak/>
        <w:t xml:space="preserve">mazingira; Sheria ya 11/022 ya 24 Desemba 2011 kuhusu Kanuni za Msingi zinazohusiana na Kilimo; Amua Na.14/019 ya 02 Agosti 2014 kuweka sheria za uendeshaji wa taratibu za ulinzi wa mazingira; Msimbo wa kazi; Msimbo wa Familia, nk). </w:t>
      </w:r>
    </w:p>
    <w:p w14:paraId="324E249E" w14:textId="77777777" w:rsidR="000326DA" w:rsidRPr="001C5995" w:rsidRDefault="000326DA" w:rsidP="000326DA">
      <w:pPr>
        <w:tabs>
          <w:tab w:val="left" w:pos="426"/>
        </w:tabs>
        <w:rPr>
          <w:rFonts w:cs="Arial"/>
          <w:sz w:val="22"/>
          <w:lang w:val="pl-PL"/>
        </w:rPr>
      </w:pPr>
    </w:p>
    <w:p w14:paraId="7ADF93BE" w14:textId="77777777" w:rsidR="000326DA" w:rsidRPr="00907210" w:rsidRDefault="000326DA" w:rsidP="000326DA">
      <w:pPr>
        <w:tabs>
          <w:tab w:val="left" w:pos="426"/>
        </w:tabs>
        <w:rPr>
          <w:rFonts w:cs="Arial"/>
          <w:sz w:val="22"/>
          <w:lang w:val="pl-PL"/>
        </w:rPr>
      </w:pPr>
      <w:r w:rsidRPr="00907210">
        <w:rPr>
          <w:rFonts w:cs="Arial"/>
          <w:sz w:val="22"/>
          <w:lang w:val="pl-PL"/>
        </w:rPr>
        <w:t>Katika ngazi ya taasisi hususani katika Mikoa na Wilaya pamoja na Huduma za Ufundi za Kilimo, Uvuvi na Mifugo, kuna mapungufu katika suala la kuunganisha vipengele vya mazingira katika maandalizi, utekelezaji na ufuatiliaji wa miradi mikubwa ya maendeleo, lakini pia katika uwezo na uratibu. Muktadha huu kwa hiyo utahitaji kuimarishwa ndani ya mfumo wa PNDA.</w:t>
      </w:r>
    </w:p>
    <w:p w14:paraId="6E33D1C3" w14:textId="77777777" w:rsidR="000326DA" w:rsidRPr="00907210" w:rsidRDefault="000326DA" w:rsidP="000326DA">
      <w:pPr>
        <w:tabs>
          <w:tab w:val="left" w:pos="426"/>
        </w:tabs>
        <w:rPr>
          <w:rFonts w:cs="Arial"/>
          <w:sz w:val="22"/>
          <w:lang w:val="pl-PL"/>
        </w:rPr>
      </w:pPr>
    </w:p>
    <w:p w14:paraId="55031BDA" w14:textId="77777777" w:rsidR="000326DA" w:rsidRPr="00907210" w:rsidRDefault="000326DA" w:rsidP="000326DA">
      <w:pPr>
        <w:tabs>
          <w:tab w:val="left" w:pos="426"/>
        </w:tabs>
        <w:rPr>
          <w:rFonts w:cs="Arial"/>
          <w:sz w:val="22"/>
          <w:lang w:val="pl-PL"/>
        </w:rPr>
      </w:pPr>
      <w:r w:rsidRPr="00907210">
        <w:rPr>
          <w:rFonts w:cs="Arial"/>
          <w:sz w:val="22"/>
          <w:lang w:val="pl-PL"/>
        </w:rPr>
        <w:t>PNDA inakabiliwa na matakwa ya Mfumo wa Mazingira na Jamii wa Benki ya Dunia, ulioanza kutumika tarehe 01 Oktoba 2018. Kwa mfano, tathmini ya hatari ya kimazingira na kijamii ya PNDA imeainisha kama mradi wa hatari ya mazingira unaoonekana kuwa mkubwa ndani ya maana ya uainishaji wa Benki ya Dunia ya ETUC, pamoja na hatari ya kijamii, ambayo pia inachukuliwa kuwa kubwa, ikijumuisha hatari ikilinganishwa na VBG kwa muda Viwango vyote kumi vya Kimazingira na Kijamii (NES) vilipatikana kuwa muhimu kwa mradi huu. Hizi ni pamoja na: NES No.1 - Tathmini ya kimazingira na kijamii na usimamizi wa hatari za kimazingira na kijamii na athari; NES No.2 - Kazi na masharti ya wafanyakazi; NES 3 - Matumizi ya busara ya rasilimali na kuzuia na kudhibiti uchafuzi wa mazingira; NES 4 - Afya na usalama wa idadi ya watu; NES 5 - Upatikanaji wa ardhi, kizuizi cha matumizi ya ardhi na makazi ya hiari; NES 6 - Kuhifadhi bayoanuai na usimamizi endelevu wa maliasili za kibiolojia; NES 7 - Wazawa / jumuiya za kitamaduni katika kihistoria muhimu kusini mwa Jangwa la Sahara; NES No.8 - Urithi wa Utamaduni, NES No. 9 - Wapatanishi wa Fedha, na NES No. 10 - Ushirikiano wa Wadau na Habari.</w:t>
      </w:r>
    </w:p>
    <w:p w14:paraId="73505754" w14:textId="77777777" w:rsidR="000326DA" w:rsidRDefault="000326DA" w:rsidP="000326DA">
      <w:pPr>
        <w:tabs>
          <w:tab w:val="left" w:pos="426"/>
        </w:tabs>
        <w:rPr>
          <w:rFonts w:cs="Arial"/>
          <w:sz w:val="22"/>
          <w:lang w:val="pl-PL"/>
        </w:rPr>
      </w:pPr>
    </w:p>
    <w:p w14:paraId="6C332940" w14:textId="77777777" w:rsidR="000326DA" w:rsidRDefault="000326DA" w:rsidP="000326DA">
      <w:pPr>
        <w:tabs>
          <w:tab w:val="left" w:pos="426"/>
        </w:tabs>
        <w:rPr>
          <w:rFonts w:cs="Arial"/>
          <w:sz w:val="22"/>
          <w:lang w:val="pl-PL"/>
        </w:rPr>
      </w:pPr>
      <w:r w:rsidRPr="00907210">
        <w:rPr>
          <w:rFonts w:cs="Arial"/>
          <w:sz w:val="22"/>
          <w:lang w:val="pl-PL"/>
        </w:rPr>
        <w:t>Mbali na viwango hivi kumi, PNDA inatumika sio tu Miongozo ya Jumla ya Mazingira, Afya na Usalama, lakini pia Sera ya Uendeshaji ya PO/BP 7.50 - Mradi wa Mito ya Kimataifa ambao haujarekebishwa na ETUC mpya. Kwa vipengele vya VBG, Mradi huu utatekelezwa kwa mujibu wa Kumbuka Zoezi Jema: Kupambana na Unyanyasaji wa Kijinsia na Unyanyasaji na Unyanyasaji wa Kijinsia katika kufadhili miradi ya uwekezaji inayohusisha miradi mikubwa ya uhandisi wa kiraia (Benki ya Dunia, 2nd ed, Februari 2020) (EAS/HS Best Practice Note)</w:t>
      </w:r>
      <w:r>
        <w:rPr>
          <w:rStyle w:val="Appelnotedebasdep"/>
          <w:rFonts w:cs="Arial"/>
          <w:sz w:val="22"/>
          <w:lang w:val="pl-PL"/>
        </w:rPr>
        <w:footnoteReference w:id="14"/>
      </w:r>
      <w:r w:rsidRPr="00907210">
        <w:rPr>
          <w:rFonts w:cs="Arial"/>
          <w:sz w:val="22"/>
          <w:lang w:val="pl-PL"/>
        </w:rPr>
        <w:t>.</w:t>
      </w:r>
    </w:p>
    <w:p w14:paraId="01C26049" w14:textId="77777777" w:rsidR="000326DA" w:rsidRPr="001C5995" w:rsidRDefault="000326DA" w:rsidP="000326DA">
      <w:pPr>
        <w:tabs>
          <w:tab w:val="left" w:pos="426"/>
        </w:tabs>
        <w:rPr>
          <w:rFonts w:cs="Arial"/>
          <w:sz w:val="22"/>
          <w:lang w:val="pl-PL"/>
        </w:rPr>
      </w:pPr>
    </w:p>
    <w:p w14:paraId="18F47084" w14:textId="77777777" w:rsidR="000326DA" w:rsidRDefault="000326DA" w:rsidP="000326DA">
      <w:pPr>
        <w:tabs>
          <w:tab w:val="left" w:pos="426"/>
        </w:tabs>
        <w:rPr>
          <w:rFonts w:cs="Arial"/>
          <w:sz w:val="22"/>
          <w:lang w:val="pl-PL"/>
        </w:rPr>
      </w:pPr>
      <w:r w:rsidRPr="00907210">
        <w:rPr>
          <w:rFonts w:cs="Arial"/>
          <w:sz w:val="22"/>
          <w:lang w:val="pl-PL"/>
        </w:rPr>
        <w:t>Hatua mahususi zinapendekezwa katika CGES ili kuwezesha mpango wa kuzingatia masharti ya maandiko ya kitaifa na viwango hivi vya Benki ya Dunia na njia bora. Ni muhimu kutambua kwamba Mpango utafuata miongozo ya hivi karibuni ya Benki ya Dunia juu ya COVID-19.</w:t>
      </w:r>
    </w:p>
    <w:p w14:paraId="748D40EF" w14:textId="77777777" w:rsidR="000326DA" w:rsidRPr="001C5995" w:rsidRDefault="000326DA" w:rsidP="000326DA">
      <w:pPr>
        <w:tabs>
          <w:tab w:val="left" w:pos="426"/>
        </w:tabs>
        <w:rPr>
          <w:rFonts w:cs="Arial"/>
          <w:sz w:val="22"/>
          <w:lang w:val="pl-PL"/>
        </w:rPr>
      </w:pPr>
    </w:p>
    <w:p w14:paraId="6A00FE84" w14:textId="77777777" w:rsidR="000326DA" w:rsidRPr="001C5995" w:rsidRDefault="000326DA" w:rsidP="002378EA">
      <w:pPr>
        <w:numPr>
          <w:ilvl w:val="0"/>
          <w:numId w:val="154"/>
        </w:numPr>
        <w:rPr>
          <w:rFonts w:cs="Arial"/>
          <w:i/>
          <w:sz w:val="22"/>
          <w:lang w:val="pl-PL"/>
        </w:rPr>
      </w:pPr>
      <w:r w:rsidRPr="001C5995">
        <w:rPr>
          <w:rFonts w:cs="Arial"/>
          <w:i/>
          <w:sz w:val="22"/>
          <w:lang w:val="pl-PL"/>
        </w:rPr>
        <w:t xml:space="preserve">Uwezekano wa athari za Generic/hatari kwa aina ndogo ya mradi </w:t>
      </w:r>
    </w:p>
    <w:p w14:paraId="43310B29" w14:textId="77777777" w:rsidR="000326DA" w:rsidRPr="001C5995" w:rsidRDefault="000326DA" w:rsidP="000326DA">
      <w:pPr>
        <w:ind w:left="720"/>
        <w:rPr>
          <w:rFonts w:cs="Arial"/>
          <w:b/>
          <w:i/>
          <w:sz w:val="22"/>
          <w:lang w:val="pl-PL"/>
        </w:rPr>
      </w:pPr>
    </w:p>
    <w:p w14:paraId="4B85EB60" w14:textId="77777777" w:rsidR="000326DA" w:rsidRPr="00907210" w:rsidRDefault="000326DA" w:rsidP="000326DA">
      <w:pPr>
        <w:rPr>
          <w:rFonts w:eastAsia="MS Mincho" w:cs="Arial"/>
          <w:sz w:val="22"/>
          <w:lang w:val="pl-PL"/>
        </w:rPr>
      </w:pPr>
      <w:r w:rsidRPr="00907210">
        <w:rPr>
          <w:rFonts w:eastAsia="MS Mincho" w:cs="Arial"/>
          <w:sz w:val="22"/>
          <w:lang w:val="pl-PL"/>
        </w:rPr>
        <w:t xml:space="preserve">Uwezekano wa hatari za kimazingira na kijamii na athari kutoka kwa miradi midogo ni pamoja na: </w:t>
      </w:r>
    </w:p>
    <w:p w14:paraId="6BA3A6A7" w14:textId="77777777" w:rsidR="000326DA" w:rsidRPr="001C5995" w:rsidRDefault="000326DA" w:rsidP="000326DA">
      <w:pPr>
        <w:widowControl w:val="0"/>
        <w:autoSpaceDE w:val="0"/>
        <w:autoSpaceDN w:val="0"/>
        <w:rPr>
          <w:rFonts w:eastAsia="MS Mincho" w:cs="Arial"/>
          <w:sz w:val="22"/>
          <w:lang w:val="pl-PL"/>
        </w:rPr>
      </w:pPr>
    </w:p>
    <w:p w14:paraId="003D3A46" w14:textId="77777777" w:rsidR="000326DA" w:rsidRPr="001C5995" w:rsidRDefault="000326DA" w:rsidP="000326DA">
      <w:pPr>
        <w:widowControl w:val="0"/>
        <w:autoSpaceDE w:val="0"/>
        <w:autoSpaceDN w:val="0"/>
        <w:rPr>
          <w:rFonts w:eastAsia="MS Mincho" w:cs="Arial"/>
          <w:sz w:val="22"/>
          <w:u w:val="single"/>
          <w:lang w:val="pl-PL"/>
        </w:rPr>
      </w:pPr>
      <w:r w:rsidRPr="001C5995">
        <w:rPr>
          <w:rFonts w:eastAsia="MS Mincho" w:cs="Arial"/>
          <w:sz w:val="22"/>
          <w:u w:val="single"/>
          <w:lang w:val="pl-PL"/>
        </w:rPr>
        <w:t>Uwezekano wa athari chanya</w:t>
      </w:r>
    </w:p>
    <w:p w14:paraId="47F14E98" w14:textId="77777777" w:rsidR="000326DA" w:rsidRPr="001C5995" w:rsidRDefault="000326DA" w:rsidP="000326DA">
      <w:pPr>
        <w:widowControl w:val="0"/>
        <w:autoSpaceDE w:val="0"/>
        <w:autoSpaceDN w:val="0"/>
        <w:rPr>
          <w:rFonts w:eastAsia="MS Mincho" w:cs="Arial"/>
          <w:sz w:val="22"/>
          <w:lang w:val="pl-PL"/>
        </w:rPr>
      </w:pPr>
    </w:p>
    <w:p w14:paraId="0F60FBC8" w14:textId="77777777" w:rsidR="000326DA" w:rsidRDefault="000326DA" w:rsidP="000326DA">
      <w:pPr>
        <w:widowControl w:val="0"/>
        <w:autoSpaceDE w:val="0"/>
        <w:autoSpaceDN w:val="0"/>
        <w:ind w:left="720"/>
        <w:rPr>
          <w:rFonts w:eastAsia="MS Mincho" w:cs="Arial"/>
          <w:sz w:val="22"/>
          <w:lang w:val="pl-PL"/>
        </w:rPr>
      </w:pPr>
      <w:r w:rsidRPr="00907210">
        <w:rPr>
          <w:rFonts w:eastAsia="MS Mincho" w:cs="Arial"/>
          <w:sz w:val="22"/>
          <w:lang w:val="pl-PL"/>
        </w:rPr>
        <w:t xml:space="preserve">Mafanikio yaliyopangwa chini ya PNDA ni ya manufaa makubwa kwa kuwa yatawezesha mikoa ya wanufaika: kuboresha kiwango cha maisha ya kaya kwa kuongeza uzalishaji wa kilimo, uvuvi na uzalishaji wa mifugo, kwa kuzingatia kilimo cha akili; Kuwezesha uokoaji wa bidhaa za kilimo kwa vituo vya matumizi kwa kada ya njia za vijijini na kuweka alama za mito muhimu; Kuboresha hali ya uhifadhi wa bidhaa za </w:t>
      </w:r>
      <w:r w:rsidRPr="00907210">
        <w:rPr>
          <w:rFonts w:eastAsia="MS Mincho" w:cs="Arial"/>
          <w:sz w:val="22"/>
          <w:lang w:val="pl-PL"/>
        </w:rPr>
        <w:lastRenderedPageBreak/>
        <w:t>kilimo kupitia ujenzi wa miundombinu ya jamii kwa ajili ya kuhifadhi na kuuza bidhaa za kilimo; Kupunguza utapiamlo na uharibifu; Kuimarisha uwezo wa kitaasisi wa watendaji wa serikali na wale wa asasi za kiraia. Mwishowe, athari chanya zinazoweza kupatikana ni:</w:t>
      </w:r>
    </w:p>
    <w:p w14:paraId="16A7F25D" w14:textId="77777777" w:rsidR="000326DA" w:rsidRPr="001C5995" w:rsidRDefault="000326DA" w:rsidP="000326DA">
      <w:pPr>
        <w:widowControl w:val="0"/>
        <w:autoSpaceDE w:val="0"/>
        <w:autoSpaceDN w:val="0"/>
        <w:ind w:left="720"/>
        <w:rPr>
          <w:rFonts w:eastAsia="MS Mincho" w:cs="Arial"/>
          <w:sz w:val="22"/>
          <w:lang w:val="pl-PL"/>
        </w:rPr>
      </w:pPr>
    </w:p>
    <w:p w14:paraId="440990EF" w14:textId="77777777" w:rsidR="000326DA" w:rsidRPr="000326DA" w:rsidRDefault="000326DA" w:rsidP="000326DA">
      <w:pPr>
        <w:widowControl w:val="0"/>
        <w:autoSpaceDE w:val="0"/>
        <w:autoSpaceDN w:val="0"/>
        <w:ind w:left="720"/>
        <w:rPr>
          <w:rFonts w:eastAsia="MS Mincho" w:cs="Arial"/>
          <w:sz w:val="22"/>
          <w:lang w:val="pl-PL"/>
        </w:rPr>
      </w:pPr>
      <w:r w:rsidRPr="000326DA">
        <w:rPr>
          <w:rFonts w:eastAsia="MS Mincho" w:cs="Arial"/>
          <w:sz w:val="22"/>
          <w:lang w:val="pl-PL"/>
        </w:rPr>
        <w:t>Katika awamu ya kazi:</w:t>
      </w:r>
    </w:p>
    <w:p w14:paraId="3E09EEAD" w14:textId="77777777" w:rsidR="000326DA" w:rsidRPr="000326DA" w:rsidRDefault="000326DA" w:rsidP="000326DA">
      <w:pPr>
        <w:widowControl w:val="0"/>
        <w:autoSpaceDE w:val="0"/>
        <w:autoSpaceDN w:val="0"/>
        <w:ind w:left="720"/>
        <w:rPr>
          <w:rFonts w:eastAsia="MS Mincho" w:cs="Arial"/>
          <w:sz w:val="22"/>
          <w:lang w:val="pl-PL"/>
        </w:rPr>
      </w:pPr>
    </w:p>
    <w:p w14:paraId="1E163220"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Uumbaji wa kazi ya muda (30% kwa wanawake);</w:t>
      </w:r>
    </w:p>
    <w:p w14:paraId="548DAFD8"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Kuboresha mazingira ya kazi kwa kuzingatia mahitaji ya NES 2: juu ya Ajira na mazingira ya kazi na NES 4: juu ya afya na usalama wa idadi ya watu;</w:t>
      </w:r>
    </w:p>
    <w:p w14:paraId="5A9FD07A"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Shirika la wazalishaji na kujenga uwezo;</w:t>
      </w:r>
    </w:p>
    <w:p w14:paraId="400DBE73"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 xml:space="preserve">Kuboresha uzingatiaji wa kijinsia katika kilimo na hali ya wazalishaji wanawake katika sekta ya kilimo; </w:t>
      </w:r>
    </w:p>
    <w:p w14:paraId="6A500B5B"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Kuzingatia muda wote, muda mfupi, wafanyakazi wa muda mfupi, msimu na wahamiaji, wafanyakazi wa moja kwa moja, wafanyakazi wa mkataba, wafanyakazi wa jamii, wafanyakazi wa wauzaji wakuu;</w:t>
      </w:r>
    </w:p>
    <w:p w14:paraId="1BD08A23"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Maendeleo ya biashara ndogondogo karibu na maeneo ya ujenzi;</w:t>
      </w:r>
    </w:p>
    <w:p w14:paraId="2A501FA8"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Kuboresha mazingira ya maisha na hali ya maisha;</w:t>
      </w:r>
    </w:p>
    <w:p w14:paraId="5EDB39AF"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Utoshelevu wa chakula na mapambano dhidi ya utapiamlo;</w:t>
      </w:r>
    </w:p>
    <w:p w14:paraId="1B40DD9F"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Kupunguza gharama za miamala kwa wakulima wadogo (wanaume na wanawake) kupata masoko, pamoja na kuingizwa kwao katika vikundi vya wakulima (kufanya kazi katika vyama/vyama vya ushirika) na kilimo-MMEs;</w:t>
      </w:r>
    </w:p>
    <w:p w14:paraId="2282D795"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Mabonde ya uzalishaji wa kilimo katika mikoa mitano iliyofunikwa na mpango huo;</w:t>
      </w:r>
    </w:p>
    <w:p w14:paraId="10953929"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Msaada wa moja kwa moja kwa wakulima wadogo kwa ajili ya kupitishwa kwa CSA (kilimo cha hali ya hewa) na AIN (kilimo-smart) mazoezi, teknolojia na pembejeo (mbegu, mimea, uzalishaji wa wanyama, ushauri nasaha na huduma za ugani);</w:t>
      </w:r>
    </w:p>
    <w:p w14:paraId="47BE9F0E"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Msaada wa kiufundi kwa wafanyabiashara wadogo (umma, binafsi, NGO), huduma za utawala wa ardhi / usajili na huduma za kifedha;</w:t>
      </w:r>
    </w:p>
    <w:p w14:paraId="76E8A8A9"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Kuongezeka kwa uzalishaji wa kilimo na uzalishaji, kuongezeka kwa mapato ya wakulima wadogo na kuvutia ajira zaidi katika sekta ya kilimo,</w:t>
      </w:r>
    </w:p>
    <w:p w14:paraId="569B4DA9"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Uboreshaji wa utoshelevu wa chakula;</w:t>
      </w:r>
    </w:p>
    <w:p w14:paraId="1EFF2663"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Uboreshaji wa uzalishaji wa kilimo kufuatia utoaji wa pembejeo na huduma za kilimo (shughuli za kabla ya mavuno) kama vile mitambo ya kilimo, mbegu, mbolea, umwagiliaji wa shamba, msaada wa kiufundi;</w:t>
      </w:r>
    </w:p>
    <w:p w14:paraId="3D705D36"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Harakati nzuri ya meli zinazohamisha bidhaa za kilimo kwa vituo vya watumiaji kutokana na kuashiria na kuzama kwa meli kwenye mito katika majimbo yaliyofunikwa na Mpango;</w:t>
      </w:r>
    </w:p>
    <w:p w14:paraId="1AB4B1C4"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Masoko ya bidhaa za kilimo na wanyama kufuatia ujenzi wa masoko, amana, nyumba za kuchinja, maendeleo ya uchumi wa kilimo kufuatia ufadhili wa wakulima wadogo na IF, n.k; Na</w:t>
      </w:r>
    </w:p>
    <w:p w14:paraId="21147B2E"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Ongezeko la mapato ya wakulima wadogo kutokana na utoaji wa mikopo na IF.</w:t>
      </w:r>
    </w:p>
    <w:p w14:paraId="29C6586C" w14:textId="77777777" w:rsidR="000326DA" w:rsidRPr="00372F9C" w:rsidRDefault="000326DA" w:rsidP="000326DA">
      <w:pPr>
        <w:widowControl w:val="0"/>
        <w:autoSpaceDE w:val="0"/>
        <w:autoSpaceDN w:val="0"/>
        <w:ind w:left="720"/>
        <w:rPr>
          <w:rFonts w:eastAsia="MS Mincho" w:cs="Arial"/>
          <w:sz w:val="22"/>
          <w:lang w:val="pl-PL"/>
        </w:rPr>
      </w:pPr>
    </w:p>
    <w:p w14:paraId="393AF05D" w14:textId="77777777" w:rsidR="000326DA" w:rsidRPr="00372F9C" w:rsidRDefault="000326DA" w:rsidP="000326DA">
      <w:pPr>
        <w:widowControl w:val="0"/>
        <w:autoSpaceDE w:val="0"/>
        <w:autoSpaceDN w:val="0"/>
        <w:ind w:left="720"/>
        <w:rPr>
          <w:rFonts w:eastAsia="MS Mincho" w:cs="Arial"/>
          <w:sz w:val="22"/>
          <w:u w:val="single"/>
          <w:lang w:val="pl-PL"/>
        </w:rPr>
      </w:pPr>
      <w:r w:rsidRPr="00372F9C">
        <w:rPr>
          <w:rFonts w:eastAsia="MS Mincho" w:cs="Arial"/>
          <w:sz w:val="22"/>
          <w:u w:val="single"/>
          <w:lang w:val="pl-PL"/>
        </w:rPr>
        <w:t>Katika awamu ya unyonyaji wa shughuli za kilimo:</w:t>
      </w:r>
    </w:p>
    <w:p w14:paraId="2524046A" w14:textId="77777777" w:rsidR="000326DA" w:rsidRPr="00372F9C" w:rsidRDefault="000326DA" w:rsidP="000326DA">
      <w:pPr>
        <w:widowControl w:val="0"/>
        <w:autoSpaceDE w:val="0"/>
        <w:autoSpaceDN w:val="0"/>
        <w:ind w:left="720"/>
        <w:rPr>
          <w:rFonts w:eastAsia="MS Mincho" w:cs="Arial"/>
          <w:sz w:val="22"/>
          <w:lang w:val="pl-PL"/>
        </w:rPr>
      </w:pPr>
    </w:p>
    <w:p w14:paraId="71CA2E2C"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Kuundwa kwa Kijiji kidogo Caisses Kujisimamia;</w:t>
      </w:r>
    </w:p>
    <w:p w14:paraId="745A3BC0"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Kuamsha ufahamu kuhusu hali ya uharibifu wa udongo;</w:t>
      </w:r>
    </w:p>
    <w:p w14:paraId="44B33900"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 xml:space="preserve">Kusimamisha msafara wa vijijini; </w:t>
      </w:r>
    </w:p>
    <w:p w14:paraId="2A9E7F68"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 xml:space="preserve">Kuhamasisha wanawake na vijana; </w:t>
      </w:r>
    </w:p>
    <w:p w14:paraId="1D8A7A6C"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lastRenderedPageBreak/>
        <w:t xml:space="preserve">Uendelevu wa shughuli mwaka mzima; </w:t>
      </w:r>
    </w:p>
    <w:p w14:paraId="64873934"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Mchango wa kusimamisha uharibifu;</w:t>
      </w:r>
    </w:p>
    <w:p w14:paraId="32AA7408"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 xml:space="preserve">Kuundwa kwa Vyama vya Wazalishaji; </w:t>
      </w:r>
    </w:p>
    <w:p w14:paraId="50321F36"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 xml:space="preserve">Kuundwa kwa Vyama vya Ushirika vya Wazalishaji; </w:t>
      </w:r>
    </w:p>
    <w:p w14:paraId="2DE43F52"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 xml:space="preserve">Shirika bora kwa ajili ya usindikaji wa bidhaa; </w:t>
      </w:r>
    </w:p>
    <w:p w14:paraId="285E0B6D"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 xml:space="preserve">Maendeleo ya Njia za Masoko; </w:t>
      </w:r>
    </w:p>
    <w:p w14:paraId="3AE917E2"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Kuzingatia jinsia na uboreshaji wa hali ya mzalishaji wa kike;</w:t>
      </w:r>
    </w:p>
    <w:p w14:paraId="1B46174A"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 xml:space="preserve">Kuzingatia vyema jinsia na mchakato wa kuunganisha maoni ya haki katika utekelezaji wa shughuli;  </w:t>
      </w:r>
    </w:p>
    <w:p w14:paraId="6AF831B8"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Kuongezeka kwa ushiriki wa wanawake na vijana katika shughuli za mradi katika suala la ukuaji wa mapato, kusoma na kuandika teknolojia na kufundisha; Na</w:t>
      </w:r>
    </w:p>
    <w:p w14:paraId="4E9856C1"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Umahiri mzuri wa mazoea ya teknolojia mpya ya kilimo cha akili katika uso wa hali ya hewa na lishe.</w:t>
      </w:r>
    </w:p>
    <w:p w14:paraId="45450E24"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 xml:space="preserve">Kupunguza hasara baada ya mavuno </w:t>
      </w:r>
    </w:p>
    <w:p w14:paraId="053C67BA"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 xml:space="preserve">Uwezo wa wazalishaji na taasisi za kifedha kuunganisha mazingatio ya mazingira na kijamii katika mipango midogo ya biashara ya mradi </w:t>
      </w:r>
    </w:p>
    <w:p w14:paraId="79640C94" w14:textId="77777777" w:rsidR="000326DA" w:rsidRPr="008D4FC2" w:rsidRDefault="000326DA" w:rsidP="002378EA">
      <w:pPr>
        <w:pStyle w:val="Paragraphedeliste"/>
        <w:widowControl w:val="0"/>
        <w:numPr>
          <w:ilvl w:val="0"/>
          <w:numId w:val="162"/>
        </w:numPr>
        <w:autoSpaceDE w:val="0"/>
        <w:autoSpaceDN w:val="0"/>
        <w:rPr>
          <w:rFonts w:eastAsia="MS Mincho" w:cs="Arial"/>
          <w:sz w:val="22"/>
          <w:lang w:val="pl-PL"/>
        </w:rPr>
      </w:pPr>
      <w:r w:rsidRPr="008D4FC2">
        <w:rPr>
          <w:rFonts w:eastAsia="MS Mincho" w:cs="Arial"/>
          <w:sz w:val="22"/>
          <w:lang w:val="pl-PL"/>
        </w:rPr>
        <w:t>Hatari za migogoro inayohusiana na usimamizi wa miundombinu ya jamii (eneo, upatikanaji na malipo ya huduma)</w:t>
      </w:r>
    </w:p>
    <w:p w14:paraId="0E438AF2" w14:textId="77777777" w:rsidR="000326DA" w:rsidRPr="000326DA" w:rsidRDefault="000326DA" w:rsidP="000326DA">
      <w:pPr>
        <w:rPr>
          <w:rFonts w:cs="Arial"/>
          <w:sz w:val="22"/>
          <w:u w:val="single"/>
          <w:lang w:val="pl-PL"/>
        </w:rPr>
      </w:pPr>
    </w:p>
    <w:p w14:paraId="50361F15" w14:textId="77777777" w:rsidR="000326DA" w:rsidRPr="000326DA" w:rsidRDefault="000326DA" w:rsidP="000326DA">
      <w:pPr>
        <w:rPr>
          <w:rFonts w:cs="Arial"/>
          <w:sz w:val="22"/>
          <w:u w:val="single"/>
          <w:lang w:val="pl-PL"/>
        </w:rPr>
      </w:pPr>
      <w:r w:rsidRPr="000326DA">
        <w:rPr>
          <w:rFonts w:cs="Arial"/>
          <w:sz w:val="22"/>
          <w:u w:val="single"/>
          <w:lang w:val="pl-PL"/>
        </w:rPr>
        <w:t>Hatari na uwezekano wa athari mbaya za kazi za kilimo na umwagiliaji (kazi za maendeleo na maji):</w:t>
      </w:r>
    </w:p>
    <w:p w14:paraId="4753592C" w14:textId="77777777" w:rsidR="000326DA" w:rsidRPr="000326DA" w:rsidRDefault="000326DA" w:rsidP="000326DA">
      <w:pPr>
        <w:rPr>
          <w:rFonts w:cs="Arial"/>
          <w:sz w:val="22"/>
          <w:lang w:val="pl-PL"/>
        </w:rPr>
      </w:pPr>
    </w:p>
    <w:p w14:paraId="6390C014" w14:textId="77777777" w:rsidR="000326DA" w:rsidRPr="000326DA" w:rsidRDefault="000326DA" w:rsidP="002378EA">
      <w:pPr>
        <w:pStyle w:val="Paragraphedeliste"/>
        <w:numPr>
          <w:ilvl w:val="0"/>
          <w:numId w:val="163"/>
        </w:numPr>
        <w:rPr>
          <w:rFonts w:eastAsia="MS Mincho" w:cs="Arial"/>
          <w:sz w:val="22"/>
          <w:lang w:val="pl-PL"/>
        </w:rPr>
      </w:pPr>
      <w:r w:rsidRPr="000326DA">
        <w:rPr>
          <w:rFonts w:eastAsia="MS Mincho" w:cs="Arial"/>
          <w:sz w:val="22"/>
          <w:lang w:val="pl-PL"/>
        </w:rPr>
        <w:t>Hatari ya VBG / EAS / HS wakati wa kipindi cha uzinduzi wa mradi;</w:t>
      </w:r>
    </w:p>
    <w:p w14:paraId="4325A9F7" w14:textId="77777777" w:rsidR="000326DA" w:rsidRPr="00372F9C" w:rsidRDefault="000326DA" w:rsidP="002378EA">
      <w:pPr>
        <w:pStyle w:val="Paragraphedeliste"/>
        <w:numPr>
          <w:ilvl w:val="0"/>
          <w:numId w:val="163"/>
        </w:numPr>
        <w:rPr>
          <w:rFonts w:eastAsia="MS Mincho" w:cs="Arial"/>
          <w:sz w:val="22"/>
          <w:lang w:val="pl-PL"/>
        </w:rPr>
      </w:pPr>
      <w:r w:rsidRPr="00372F9C">
        <w:rPr>
          <w:rFonts w:eastAsia="MS Mincho" w:cs="Arial"/>
          <w:sz w:val="22"/>
          <w:lang w:val="pl-PL"/>
        </w:rPr>
        <w:t xml:space="preserve">Hatari ya usumbufu wa viwanja vya spawning katika mito; </w:t>
      </w:r>
    </w:p>
    <w:p w14:paraId="16F63563" w14:textId="77777777" w:rsidR="000326DA" w:rsidRPr="00372F9C" w:rsidRDefault="000326DA" w:rsidP="002378EA">
      <w:pPr>
        <w:pStyle w:val="Paragraphedeliste"/>
        <w:numPr>
          <w:ilvl w:val="0"/>
          <w:numId w:val="163"/>
        </w:numPr>
        <w:rPr>
          <w:rFonts w:eastAsia="MS Mincho" w:cs="Arial"/>
          <w:sz w:val="22"/>
          <w:lang w:val="pl-PL"/>
        </w:rPr>
      </w:pPr>
      <w:r w:rsidRPr="00372F9C">
        <w:rPr>
          <w:rFonts w:eastAsia="MS Mincho" w:cs="Arial"/>
          <w:sz w:val="22"/>
          <w:lang w:val="pl-PL"/>
        </w:rPr>
        <w:t xml:space="preserve">Ukataji miti, uharibifu wa udongo kwa mmomotelezi, uharibifu wa makazi wakati wa kusafisha ardhi; </w:t>
      </w:r>
    </w:p>
    <w:p w14:paraId="7E6AC378" w14:textId="77777777" w:rsidR="000326DA" w:rsidRPr="008D4FC2" w:rsidRDefault="000326DA" w:rsidP="002378EA">
      <w:pPr>
        <w:pStyle w:val="Paragraphedeliste"/>
        <w:numPr>
          <w:ilvl w:val="0"/>
          <w:numId w:val="163"/>
        </w:numPr>
        <w:rPr>
          <w:rFonts w:eastAsia="MS Mincho" w:cs="Arial"/>
          <w:sz w:val="22"/>
        </w:rPr>
      </w:pPr>
      <w:r w:rsidRPr="008D4FC2">
        <w:rPr>
          <w:rFonts w:eastAsia="MS Mincho" w:cs="Arial"/>
          <w:sz w:val="22"/>
        </w:rPr>
        <w:t xml:space="preserve">Uharibifu wa microfauna na suala la kikaboni;  </w:t>
      </w:r>
    </w:p>
    <w:p w14:paraId="60D9CEC0" w14:textId="77777777" w:rsidR="000326DA" w:rsidRPr="008D4FC2" w:rsidRDefault="000326DA" w:rsidP="002378EA">
      <w:pPr>
        <w:pStyle w:val="Paragraphedeliste"/>
        <w:numPr>
          <w:ilvl w:val="0"/>
          <w:numId w:val="163"/>
        </w:numPr>
        <w:rPr>
          <w:rFonts w:eastAsia="MS Mincho" w:cs="Arial"/>
          <w:sz w:val="22"/>
        </w:rPr>
      </w:pPr>
      <w:r w:rsidRPr="008D4FC2">
        <w:rPr>
          <w:rFonts w:eastAsia="MS Mincho" w:cs="Arial"/>
          <w:sz w:val="22"/>
        </w:rPr>
        <w:t>Hatari ya migogoro ya matumizi (kunywa maji, kilimo, mifugo na uvuvi);</w:t>
      </w:r>
    </w:p>
    <w:p w14:paraId="1EDD74D8" w14:textId="77777777" w:rsidR="000326DA" w:rsidRPr="008D4FC2" w:rsidRDefault="000326DA" w:rsidP="002378EA">
      <w:pPr>
        <w:pStyle w:val="Paragraphedeliste"/>
        <w:numPr>
          <w:ilvl w:val="0"/>
          <w:numId w:val="163"/>
        </w:numPr>
        <w:rPr>
          <w:rFonts w:eastAsia="MS Mincho" w:cs="Arial"/>
          <w:sz w:val="22"/>
        </w:rPr>
      </w:pPr>
      <w:r w:rsidRPr="008D4FC2">
        <w:rPr>
          <w:rFonts w:eastAsia="MS Mincho" w:cs="Arial"/>
          <w:sz w:val="22"/>
        </w:rPr>
        <w:t>Hatari za migogoro ya ardhi kati ya wawekezaji wazawa na wasio wa asili;</w:t>
      </w:r>
    </w:p>
    <w:p w14:paraId="30D834D2" w14:textId="77777777" w:rsidR="000326DA" w:rsidRPr="008D4FC2" w:rsidRDefault="000326DA" w:rsidP="002378EA">
      <w:pPr>
        <w:pStyle w:val="Paragraphedeliste"/>
        <w:numPr>
          <w:ilvl w:val="0"/>
          <w:numId w:val="163"/>
        </w:numPr>
        <w:rPr>
          <w:rFonts w:eastAsia="MS Mincho" w:cs="Arial"/>
          <w:sz w:val="22"/>
        </w:rPr>
      </w:pPr>
      <w:r w:rsidRPr="008D4FC2">
        <w:rPr>
          <w:rFonts w:eastAsia="MS Mincho" w:cs="Arial"/>
          <w:sz w:val="22"/>
        </w:rPr>
        <w:t>Kupoteza ardhi ya malisho (uambatanishaji kwenye maeneo ya sylvopastoral);</w:t>
      </w:r>
    </w:p>
    <w:p w14:paraId="716F3886" w14:textId="77777777" w:rsidR="000326DA" w:rsidRPr="008D4FC2" w:rsidRDefault="000326DA" w:rsidP="002378EA">
      <w:pPr>
        <w:pStyle w:val="Paragraphedeliste"/>
        <w:numPr>
          <w:ilvl w:val="0"/>
          <w:numId w:val="163"/>
        </w:numPr>
        <w:rPr>
          <w:rFonts w:eastAsia="MS Mincho" w:cs="Arial"/>
          <w:sz w:val="22"/>
        </w:rPr>
      </w:pPr>
      <w:r w:rsidRPr="008D4FC2">
        <w:rPr>
          <w:rFonts w:eastAsia="MS Mincho" w:cs="Arial"/>
          <w:sz w:val="22"/>
        </w:rPr>
        <w:t>Shinikizo kubwa juu ya ardhi na maji na ongezeko la maendeleo;</w:t>
      </w:r>
    </w:p>
    <w:p w14:paraId="52D85D85" w14:textId="77777777" w:rsidR="000326DA" w:rsidRPr="008D4FC2" w:rsidRDefault="000326DA" w:rsidP="002378EA">
      <w:pPr>
        <w:pStyle w:val="Paragraphedeliste"/>
        <w:numPr>
          <w:ilvl w:val="0"/>
          <w:numId w:val="163"/>
        </w:numPr>
        <w:rPr>
          <w:rFonts w:eastAsia="MS Mincho" w:cs="Arial"/>
          <w:sz w:val="22"/>
        </w:rPr>
      </w:pPr>
      <w:r w:rsidRPr="008D4FC2">
        <w:rPr>
          <w:rFonts w:eastAsia="MS Mincho" w:cs="Arial"/>
          <w:sz w:val="22"/>
        </w:rPr>
        <w:t xml:space="preserve">Kupoteza rutuba ya udongo; </w:t>
      </w:r>
    </w:p>
    <w:p w14:paraId="5188A66F" w14:textId="77777777" w:rsidR="000326DA" w:rsidRPr="008D4FC2" w:rsidRDefault="000326DA" w:rsidP="002378EA">
      <w:pPr>
        <w:pStyle w:val="Paragraphedeliste"/>
        <w:numPr>
          <w:ilvl w:val="0"/>
          <w:numId w:val="163"/>
        </w:numPr>
        <w:rPr>
          <w:rFonts w:eastAsia="MS Mincho" w:cs="Arial"/>
          <w:sz w:val="22"/>
        </w:rPr>
      </w:pPr>
      <w:r w:rsidRPr="008D4FC2">
        <w:rPr>
          <w:rFonts w:eastAsia="MS Mincho" w:cs="Arial"/>
          <w:sz w:val="22"/>
        </w:rPr>
        <w:t xml:space="preserve">Uchafuzi wa maji na udongo kutokana na matumizi yasiyo ya busara ya viuatilifu na mbolea; </w:t>
      </w:r>
    </w:p>
    <w:p w14:paraId="0265D87B" w14:textId="77777777" w:rsidR="000326DA" w:rsidRPr="008D4FC2" w:rsidRDefault="000326DA" w:rsidP="002378EA">
      <w:pPr>
        <w:pStyle w:val="Paragraphedeliste"/>
        <w:numPr>
          <w:ilvl w:val="0"/>
          <w:numId w:val="163"/>
        </w:numPr>
        <w:rPr>
          <w:rFonts w:eastAsia="MS Mincho" w:cs="Arial"/>
          <w:sz w:val="22"/>
        </w:rPr>
      </w:pPr>
      <w:r w:rsidRPr="008D4FC2">
        <w:rPr>
          <w:rFonts w:eastAsia="MS Mincho" w:cs="Arial"/>
          <w:sz w:val="22"/>
        </w:rPr>
        <w:t xml:space="preserve">Uharibifu wa usafi kwa sababu ya viuatilifu; </w:t>
      </w:r>
    </w:p>
    <w:p w14:paraId="182E863B" w14:textId="77777777" w:rsidR="000326DA" w:rsidRPr="008D4FC2" w:rsidRDefault="000326DA" w:rsidP="002378EA">
      <w:pPr>
        <w:pStyle w:val="Paragraphedeliste"/>
        <w:numPr>
          <w:ilvl w:val="0"/>
          <w:numId w:val="163"/>
        </w:numPr>
        <w:rPr>
          <w:rFonts w:cs="Arial"/>
          <w:sz w:val="22"/>
        </w:rPr>
      </w:pPr>
      <w:r w:rsidRPr="008D4FC2">
        <w:rPr>
          <w:rFonts w:eastAsia="MS Mincho" w:cs="Arial"/>
          <w:sz w:val="22"/>
        </w:rPr>
        <w:t>Uharibifu wa malengo yasiyo ya viuatilifu; Ufafanuzi katika kesi ya matumizi ya mbolea ya kikaboni isiyodhibitiwa</w:t>
      </w:r>
      <w:r>
        <w:rPr>
          <w:rFonts w:eastAsia="MS Mincho" w:cs="Arial"/>
          <w:sz w:val="22"/>
        </w:rPr>
        <w:t>.</w:t>
      </w:r>
    </w:p>
    <w:p w14:paraId="4BE04AF8" w14:textId="77777777" w:rsidR="000326DA" w:rsidRPr="008D4FC2" w:rsidRDefault="000326DA" w:rsidP="000326DA">
      <w:pPr>
        <w:pStyle w:val="Paragraphedeliste"/>
        <w:rPr>
          <w:rFonts w:cs="Arial"/>
          <w:sz w:val="22"/>
        </w:rPr>
      </w:pPr>
    </w:p>
    <w:p w14:paraId="76A8EC26" w14:textId="77777777" w:rsidR="000326DA" w:rsidRDefault="000326DA" w:rsidP="000326DA">
      <w:pPr>
        <w:rPr>
          <w:rFonts w:cs="Arial"/>
          <w:sz w:val="22"/>
          <w:u w:val="single"/>
        </w:rPr>
      </w:pPr>
      <w:r w:rsidRPr="001A4941">
        <w:rPr>
          <w:rFonts w:cs="Arial"/>
          <w:sz w:val="22"/>
          <w:u w:val="single"/>
        </w:rPr>
        <w:t>Hatari zinazoweza kutokea na athari hasi wakati wa awamu ya unyonyaji wa shughuli za kilimo</w:t>
      </w:r>
    </w:p>
    <w:p w14:paraId="497868C3" w14:textId="77777777" w:rsidR="000326DA" w:rsidRPr="00296E4B" w:rsidRDefault="000326DA" w:rsidP="000326DA">
      <w:pPr>
        <w:rPr>
          <w:rFonts w:cs="Arial"/>
          <w:sz w:val="22"/>
        </w:rPr>
      </w:pPr>
    </w:p>
    <w:p w14:paraId="2B57DD87" w14:textId="77777777" w:rsidR="000326DA" w:rsidRPr="001A4941" w:rsidRDefault="000326DA" w:rsidP="002378EA">
      <w:pPr>
        <w:pStyle w:val="Paragraphedeliste"/>
        <w:numPr>
          <w:ilvl w:val="0"/>
          <w:numId w:val="163"/>
        </w:numPr>
        <w:rPr>
          <w:rFonts w:eastAsia="MS Mincho" w:cs="Arial"/>
          <w:sz w:val="22"/>
        </w:rPr>
      </w:pPr>
      <w:r w:rsidRPr="001A4941">
        <w:rPr>
          <w:rFonts w:eastAsia="MS Mincho" w:cs="Arial"/>
          <w:sz w:val="22"/>
        </w:rPr>
        <w:t xml:space="preserve">Ongezeko la magonjwa yanayohusiana na maji; </w:t>
      </w:r>
    </w:p>
    <w:p w14:paraId="64DA51F7" w14:textId="77777777" w:rsidR="000326DA" w:rsidRPr="001A4941" w:rsidRDefault="000326DA" w:rsidP="002378EA">
      <w:pPr>
        <w:pStyle w:val="Paragraphedeliste"/>
        <w:numPr>
          <w:ilvl w:val="0"/>
          <w:numId w:val="163"/>
        </w:numPr>
        <w:rPr>
          <w:rFonts w:eastAsia="MS Mincho" w:cs="Arial"/>
          <w:sz w:val="22"/>
        </w:rPr>
      </w:pPr>
      <w:r w:rsidRPr="001A4941">
        <w:rPr>
          <w:rFonts w:eastAsia="MS Mincho" w:cs="Arial"/>
          <w:sz w:val="22"/>
        </w:rPr>
        <w:t>Shinikizo kubwa juu ya ardhi na maji na ongezeko la maendeleo;</w:t>
      </w:r>
    </w:p>
    <w:p w14:paraId="26876D57" w14:textId="77777777" w:rsidR="000326DA" w:rsidRPr="001A4941" w:rsidRDefault="000326DA" w:rsidP="002378EA">
      <w:pPr>
        <w:pStyle w:val="Paragraphedeliste"/>
        <w:numPr>
          <w:ilvl w:val="0"/>
          <w:numId w:val="164"/>
        </w:numPr>
        <w:rPr>
          <w:rFonts w:eastAsia="MS Mincho" w:cs="Arial"/>
          <w:sz w:val="22"/>
        </w:rPr>
      </w:pPr>
      <w:r w:rsidRPr="001A4941">
        <w:rPr>
          <w:rFonts w:eastAsia="MS Mincho" w:cs="Arial"/>
          <w:sz w:val="22"/>
        </w:rPr>
        <w:t xml:space="preserve">Kupoteza rutuba ya udongo; </w:t>
      </w:r>
    </w:p>
    <w:p w14:paraId="347A58B4" w14:textId="77777777" w:rsidR="000326DA" w:rsidRPr="001A4941" w:rsidRDefault="000326DA" w:rsidP="002378EA">
      <w:pPr>
        <w:pStyle w:val="Paragraphedeliste"/>
        <w:numPr>
          <w:ilvl w:val="0"/>
          <w:numId w:val="164"/>
        </w:numPr>
        <w:rPr>
          <w:rFonts w:eastAsia="MS Mincho" w:cs="Arial"/>
          <w:sz w:val="22"/>
        </w:rPr>
      </w:pPr>
      <w:r w:rsidRPr="001A4941">
        <w:rPr>
          <w:rFonts w:eastAsia="MS Mincho" w:cs="Arial"/>
          <w:sz w:val="22"/>
        </w:rPr>
        <w:t xml:space="preserve">Uchafuzi wa maji na udongo kutokana na viuatilifu na mbolea; </w:t>
      </w:r>
    </w:p>
    <w:p w14:paraId="54A9D0C6" w14:textId="77777777" w:rsidR="000326DA" w:rsidRPr="001A4941" w:rsidRDefault="000326DA" w:rsidP="002378EA">
      <w:pPr>
        <w:pStyle w:val="Paragraphedeliste"/>
        <w:numPr>
          <w:ilvl w:val="0"/>
          <w:numId w:val="164"/>
        </w:numPr>
        <w:rPr>
          <w:rFonts w:eastAsia="MS Mincho" w:cs="Arial"/>
          <w:sz w:val="22"/>
        </w:rPr>
      </w:pPr>
      <w:r w:rsidRPr="001A4941">
        <w:rPr>
          <w:rFonts w:eastAsia="MS Mincho" w:cs="Arial"/>
          <w:sz w:val="22"/>
        </w:rPr>
        <w:t xml:space="preserve">Uharibifu wa usafi kwa sababu ya viuatilifu; </w:t>
      </w:r>
    </w:p>
    <w:p w14:paraId="11BB1E8A" w14:textId="77777777" w:rsidR="000326DA" w:rsidRPr="00372F9C" w:rsidRDefault="000326DA" w:rsidP="002378EA">
      <w:pPr>
        <w:pStyle w:val="Paragraphedeliste"/>
        <w:numPr>
          <w:ilvl w:val="0"/>
          <w:numId w:val="164"/>
        </w:numPr>
        <w:rPr>
          <w:rFonts w:eastAsia="MS Mincho" w:cs="Arial"/>
          <w:sz w:val="22"/>
          <w:lang w:val="en-US"/>
        </w:rPr>
      </w:pPr>
      <w:r w:rsidRPr="00372F9C">
        <w:rPr>
          <w:rFonts w:eastAsia="MS Mincho" w:cs="Arial"/>
          <w:sz w:val="22"/>
          <w:lang w:val="en-US"/>
        </w:rPr>
        <w:t xml:space="preserve">Uharibifu wa malengo yasiyo ya viuatilifu; </w:t>
      </w:r>
    </w:p>
    <w:p w14:paraId="528F491B" w14:textId="77777777" w:rsidR="000326DA" w:rsidRPr="00372F9C" w:rsidRDefault="000326DA" w:rsidP="002378EA">
      <w:pPr>
        <w:pStyle w:val="Paragraphedeliste"/>
        <w:numPr>
          <w:ilvl w:val="0"/>
          <w:numId w:val="164"/>
        </w:numPr>
        <w:rPr>
          <w:rFonts w:eastAsia="MS Mincho" w:cs="Arial"/>
          <w:sz w:val="22"/>
          <w:lang w:val="en-US"/>
        </w:rPr>
      </w:pPr>
      <w:r w:rsidRPr="00372F9C">
        <w:rPr>
          <w:rFonts w:eastAsia="MS Mincho" w:cs="Arial"/>
          <w:sz w:val="22"/>
          <w:lang w:val="en-US"/>
        </w:rPr>
        <w:t xml:space="preserve">Ufafanuzi katika kesi ya matumizi ya mbolea ya kikaboni isiyodhibitiwa; </w:t>
      </w:r>
    </w:p>
    <w:p w14:paraId="5DF47AC1" w14:textId="77777777" w:rsidR="000326DA" w:rsidRPr="001A4941" w:rsidRDefault="000326DA" w:rsidP="002378EA">
      <w:pPr>
        <w:pStyle w:val="Paragraphedeliste"/>
        <w:numPr>
          <w:ilvl w:val="0"/>
          <w:numId w:val="164"/>
        </w:numPr>
        <w:rPr>
          <w:rFonts w:eastAsia="MS Mincho" w:cs="Arial"/>
          <w:sz w:val="22"/>
        </w:rPr>
      </w:pPr>
      <w:r w:rsidRPr="001A4941">
        <w:rPr>
          <w:rFonts w:eastAsia="MS Mincho" w:cs="Arial"/>
          <w:sz w:val="22"/>
        </w:rPr>
        <w:lastRenderedPageBreak/>
        <w:t xml:space="preserve">Ongezeko la magonjwa yanayohusiana na maji; </w:t>
      </w:r>
    </w:p>
    <w:p w14:paraId="0716382D" w14:textId="77777777" w:rsidR="000326DA" w:rsidRPr="001A4941" w:rsidRDefault="000326DA" w:rsidP="002378EA">
      <w:pPr>
        <w:pStyle w:val="Paragraphedeliste"/>
        <w:numPr>
          <w:ilvl w:val="0"/>
          <w:numId w:val="164"/>
        </w:numPr>
        <w:rPr>
          <w:rFonts w:eastAsia="MS Mincho" w:cs="Arial"/>
          <w:sz w:val="22"/>
        </w:rPr>
      </w:pPr>
      <w:r w:rsidRPr="001A4941">
        <w:rPr>
          <w:rFonts w:eastAsia="MS Mincho" w:cs="Arial"/>
          <w:sz w:val="22"/>
        </w:rPr>
        <w:t>Lafudhi ya migogoro ya wafugaji wakulima kwa upatikanaji wa maji au malisho;</w:t>
      </w:r>
    </w:p>
    <w:p w14:paraId="7A75C5B3" w14:textId="77777777" w:rsidR="000326DA" w:rsidRPr="001A4941" w:rsidRDefault="000326DA" w:rsidP="002378EA">
      <w:pPr>
        <w:pStyle w:val="Paragraphedeliste"/>
        <w:numPr>
          <w:ilvl w:val="0"/>
          <w:numId w:val="164"/>
        </w:numPr>
        <w:rPr>
          <w:rFonts w:eastAsia="MS Mincho" w:cs="Arial"/>
          <w:sz w:val="22"/>
        </w:rPr>
      </w:pPr>
      <w:r w:rsidRPr="001A4941">
        <w:rPr>
          <w:rFonts w:eastAsia="MS Mincho" w:cs="Arial"/>
          <w:sz w:val="22"/>
        </w:rPr>
        <w:t>Hatari ya kuenea kwa ugonjwa wa virusi vya corona (COVID-19) ikiwa hatua za kuzuia au kuzuia hazifuatwi.</w:t>
      </w:r>
    </w:p>
    <w:p w14:paraId="132E5C71" w14:textId="77777777" w:rsidR="000326DA" w:rsidRPr="001A4941" w:rsidRDefault="000326DA" w:rsidP="002378EA">
      <w:pPr>
        <w:pStyle w:val="Paragraphedeliste"/>
        <w:numPr>
          <w:ilvl w:val="0"/>
          <w:numId w:val="164"/>
        </w:numPr>
        <w:rPr>
          <w:rFonts w:eastAsia="MS Mincho" w:cs="Arial"/>
          <w:sz w:val="22"/>
        </w:rPr>
      </w:pPr>
      <w:r w:rsidRPr="001A4941">
        <w:rPr>
          <w:rFonts w:eastAsia="MS Mincho" w:cs="Arial"/>
          <w:sz w:val="22"/>
        </w:rPr>
        <w:t xml:space="preserve">Uwezekano wa upotevu wa mapato au mali wakati wa ujenzi; </w:t>
      </w:r>
    </w:p>
    <w:p w14:paraId="749D0AA1" w14:textId="77777777" w:rsidR="000326DA" w:rsidRPr="001A4941" w:rsidRDefault="000326DA" w:rsidP="002378EA">
      <w:pPr>
        <w:pStyle w:val="Paragraphedeliste"/>
        <w:numPr>
          <w:ilvl w:val="0"/>
          <w:numId w:val="164"/>
        </w:numPr>
        <w:rPr>
          <w:rFonts w:eastAsia="MS Mincho" w:cs="Arial"/>
          <w:sz w:val="22"/>
        </w:rPr>
      </w:pPr>
      <w:r w:rsidRPr="001A4941">
        <w:rPr>
          <w:rFonts w:eastAsia="MS Mincho" w:cs="Arial"/>
          <w:sz w:val="22"/>
        </w:rPr>
        <w:t>Hatari za magonjwa kama vile magonjwa ya zinaa/VVU/UKIMWI;</w:t>
      </w:r>
    </w:p>
    <w:p w14:paraId="47ADA971" w14:textId="77777777" w:rsidR="000326DA" w:rsidRPr="00372F9C" w:rsidRDefault="000326DA" w:rsidP="002378EA">
      <w:pPr>
        <w:pStyle w:val="Paragraphedeliste"/>
        <w:numPr>
          <w:ilvl w:val="0"/>
          <w:numId w:val="164"/>
        </w:numPr>
        <w:rPr>
          <w:rFonts w:eastAsia="MS Mincho" w:cs="Arial"/>
          <w:sz w:val="22"/>
          <w:lang w:val="en-US"/>
        </w:rPr>
      </w:pPr>
      <w:r w:rsidRPr="00372F9C">
        <w:rPr>
          <w:rFonts w:eastAsia="MS Mincho" w:cs="Arial"/>
          <w:sz w:val="22"/>
          <w:lang w:val="en-US"/>
        </w:rPr>
        <w:t>Hatari ya EAS / HS kama matokeo ya kazi.</w:t>
      </w:r>
    </w:p>
    <w:p w14:paraId="6C4A1DB4" w14:textId="77777777" w:rsidR="000326DA" w:rsidRPr="00372F9C" w:rsidRDefault="000326DA" w:rsidP="000326DA">
      <w:pPr>
        <w:rPr>
          <w:rFonts w:cs="Arial"/>
          <w:sz w:val="22"/>
          <w:lang w:val="en-US"/>
        </w:rPr>
      </w:pPr>
    </w:p>
    <w:p w14:paraId="7262716E" w14:textId="77777777" w:rsidR="000326DA" w:rsidRPr="00372F9C" w:rsidRDefault="000326DA" w:rsidP="000326DA">
      <w:pPr>
        <w:rPr>
          <w:rFonts w:cs="Arial"/>
          <w:sz w:val="22"/>
          <w:u w:val="single"/>
          <w:lang w:val="en-US"/>
        </w:rPr>
      </w:pPr>
      <w:r w:rsidRPr="00372F9C">
        <w:rPr>
          <w:rFonts w:cs="Arial"/>
          <w:sz w:val="22"/>
          <w:u w:val="single"/>
          <w:lang w:val="en-US"/>
        </w:rPr>
        <w:t>Hatari zinazowezekana na athari hasi kwa miradi yote midogo (chini ya ujenzi):</w:t>
      </w:r>
    </w:p>
    <w:p w14:paraId="45A690A8" w14:textId="77777777" w:rsidR="000326DA" w:rsidRPr="00372F9C" w:rsidRDefault="000326DA" w:rsidP="000326DA">
      <w:pPr>
        <w:rPr>
          <w:rFonts w:cs="Arial"/>
          <w:sz w:val="22"/>
          <w:lang w:val="en-US"/>
        </w:rPr>
      </w:pPr>
    </w:p>
    <w:p w14:paraId="22085513"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Uchafuzi wa mazingira (maji na udongo) na takataka imara (taka, ubomoaji, mafuta, vichungi, betri, plastiki, taka za kuingilia, nk);</w:t>
      </w:r>
    </w:p>
    <w:p w14:paraId="34B47DCA"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Uchafuzi wa kelele kwa kelele za mashine;</w:t>
      </w:r>
    </w:p>
    <w:p w14:paraId="0B4A7797"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 xml:space="preserve">Uharibifu wa mazingira kwa kuweka bidhaa za kubomaji na ujenzi; </w:t>
      </w:r>
    </w:p>
    <w:p w14:paraId="42DAA117"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Mmomoteni na uchafuzi wa udongo;</w:t>
      </w:r>
    </w:p>
    <w:p w14:paraId="5862C2E6"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Uchafuzi wa hewa (ndege ya vumbi);</w:t>
      </w:r>
    </w:p>
    <w:p w14:paraId="5FDBDFB3"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Kupoteza ardhi, mali na vyanzo vya mapato na hatari za kuhamishwa kimwili</w:t>
      </w:r>
    </w:p>
    <w:p w14:paraId="1121B052"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za migogoro ya kijamii ikiwa leba ya eneo hilo haitumiki;</w:t>
      </w:r>
    </w:p>
    <w:p w14:paraId="5475E88B"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usambazaji usio sawa wa pembejeo na mbegu au msaada wa moja kwa moja kwa wakulima wadogo;</w:t>
      </w:r>
    </w:p>
    <w:p w14:paraId="4A670386"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za migogoro ya kijamii kama matokeo ya maendeleo ya mitazamo ya kilimo;</w:t>
      </w:r>
    </w:p>
    <w:p w14:paraId="6CFEFC26"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kazi na watoto chini ya umri wa miaka 18 kwenye maeneo ya ujenzi;</w:t>
      </w:r>
    </w:p>
    <w:p w14:paraId="0D1C4128"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matumizi ya vikosi vya usalama wa umma kupata maeneo (yasiyo salama katika Mkoa wa Kivu Kaskazini);</w:t>
      </w:r>
    </w:p>
    <w:p w14:paraId="0FFC5F0B"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Usumbufu wa shughuli za kijamii na kiuchumi wakati wa kazi;</w:t>
      </w:r>
    </w:p>
    <w:p w14:paraId="5FD6F5B9"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ubaguzi dhidi ya wanawake wakati wa kuajiri wafanyakazi;</w:t>
      </w:r>
    </w:p>
    <w:p w14:paraId="549D940C"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ajali wakati wa kazi (wafanyakazi na idadi ya watu).</w:t>
      </w:r>
    </w:p>
    <w:p w14:paraId="3C456208"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 xml:space="preserve">Hatari ya uharibifu wa miundombinu mingine ya mtandao; </w:t>
      </w:r>
    </w:p>
    <w:p w14:paraId="4CCEA64C"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za kuzidisha VGGs, ikiwa ni pamoja na EAS na HS, katika eneo la kukabiliana na Mradi kutokana na kuchanganya idadi ya watu na mmiminiko wa kazi ya allochtone;</w:t>
      </w:r>
    </w:p>
    <w:p w14:paraId="2ECE7FD6"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maambukizi ya UKIMWI na VVU/UKIMWI;</w:t>
      </w:r>
    </w:p>
    <w:p w14:paraId="430B007F"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kuenea na uchafuzi wa ugonjwa wa virusi vya corona (COVID-19) kwa wanaonufaika au wadau wengine;</w:t>
      </w:r>
    </w:p>
    <w:p w14:paraId="181ED41E"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Athari hasi kwa maendeleo ya kilimo cha hydro-kilimo;</w:t>
      </w:r>
    </w:p>
    <w:p w14:paraId="71BC3D6A"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Shinikizo kubwa na hatari za uharibifu wa rasilimali za maji;</w:t>
      </w:r>
    </w:p>
    <w:p w14:paraId="5D8D0664"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 xml:space="preserve">Hatari zinazohusiana na uharibifu wa ardhi na rutuba ya udongo; </w:t>
      </w:r>
    </w:p>
    <w:p w14:paraId="063AFFFA"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 xml:space="preserve">Hatari za kuendeleza magonjwa yanayohusiana na maji; </w:t>
      </w:r>
    </w:p>
    <w:p w14:paraId="207ABE8A"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sumu na uchafuzi wa mazingira na matumizi ya viuatilifu;</w:t>
      </w:r>
    </w:p>
    <w:p w14:paraId="1FEC67C3"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kuwepo kwa usalama kwa wafanyakazi na vifaa vya biashara katika baadhi ya mikoa inayolengwa na Mradi wa PNDA;</w:t>
      </w:r>
    </w:p>
    <w:p w14:paraId="4B555D16"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ajali zinazohusiana na trafiki ya magari;</w:t>
      </w:r>
    </w:p>
    <w:p w14:paraId="24E0E624"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makazi ya madaraja na madhehebu vijijini wakati wa uokoaji wa bidhaa za kilimo;</w:t>
      </w:r>
    </w:p>
    <w:p w14:paraId="62E9C20D"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Ukataji miti kufuatia ufunguzi wa njia za upatikanaji na unyonyaji wa quarries;</w:t>
      </w:r>
    </w:p>
    <w:p w14:paraId="3CC657CC"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za mioto ya vichaka kutokana na kuungua kwa moto usiodhibitiwa;</w:t>
      </w:r>
    </w:p>
    <w:p w14:paraId="2022F63E"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uingizaji wa maeneo ya hifadhi (Eneo la uwindaji wa Mangai, Bushimaie, Hifadhi ya Bahari ya Mikoko na Hifadhi ya Taifa ya Virunga;</w:t>
      </w:r>
    </w:p>
    <w:p w14:paraId="784D66C9"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lastRenderedPageBreak/>
        <w:t>Hatari ya uingizaji kwenye mali ya Watu wa Aboriginal (PA);</w:t>
      </w:r>
    </w:p>
    <w:p w14:paraId="4C6D2B0C"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kuenea kwa ujangili;</w:t>
      </w:r>
    </w:p>
    <w:p w14:paraId="13195948"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za moto au mlipuko wa mizinga ya kuhifadhi mafuta;</w:t>
      </w:r>
    </w:p>
    <w:p w14:paraId="4E82E48A"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matumizi ya mali ya kitamaduni (monuments, makanisa, makaburi, maeneo matakatifu, nk) kama matokeo ya shughuli za excavation (uvumbuzi wa ajali);</w:t>
      </w:r>
    </w:p>
    <w:p w14:paraId="0E86639E"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kukataliwa kwa teknolojia mpya za kilimo na mbinu zilizopendekezwa na mpango huo;</w:t>
      </w:r>
    </w:p>
    <w:p w14:paraId="54A863F0"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 xml:space="preserve">Hatari ya kuanzisha spishi za uvamizi </w:t>
      </w:r>
    </w:p>
    <w:p w14:paraId="5B0EC939"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kukataliwa kwa bidhaa za kilimo na wasambazaji wa kilimo kutokana na kutofuata ubora unaodaiwa na sekta ya usindikaji</w:t>
      </w:r>
    </w:p>
    <w:p w14:paraId="614A8425" w14:textId="77777777" w:rsidR="000326DA" w:rsidRPr="001A4941" w:rsidRDefault="000326DA" w:rsidP="002378EA">
      <w:pPr>
        <w:pStyle w:val="Paragraphedeliste"/>
        <w:widowControl w:val="0"/>
        <w:numPr>
          <w:ilvl w:val="0"/>
          <w:numId w:val="165"/>
        </w:numPr>
        <w:autoSpaceDE w:val="0"/>
        <w:autoSpaceDN w:val="0"/>
        <w:rPr>
          <w:rFonts w:eastAsia="MS Mincho" w:cs="Arial"/>
          <w:sz w:val="22"/>
          <w:lang w:val="pl-PL"/>
        </w:rPr>
      </w:pPr>
      <w:r w:rsidRPr="001A4941">
        <w:rPr>
          <w:rFonts w:eastAsia="MS Mincho" w:cs="Arial"/>
          <w:sz w:val="22"/>
          <w:lang w:val="pl-PL"/>
        </w:rPr>
        <w:t>Hatari ya kutengwa kwa kijamii kwa makundi yaliyo hatarini au yaliyotengwa (PAs, walemavu, wazee, vijana, albino kutokana na faida za mradi na fursa za kazi.</w:t>
      </w:r>
    </w:p>
    <w:p w14:paraId="02BC63A0" w14:textId="77777777" w:rsidR="000326DA" w:rsidRDefault="000326DA" w:rsidP="000326DA">
      <w:pPr>
        <w:widowControl w:val="0"/>
        <w:autoSpaceDE w:val="0"/>
        <w:autoSpaceDN w:val="0"/>
        <w:ind w:left="720"/>
        <w:rPr>
          <w:rFonts w:eastAsia="Calibri" w:cs="Arial"/>
          <w:i/>
          <w:sz w:val="22"/>
          <w:lang w:val="pl-PL"/>
        </w:rPr>
      </w:pPr>
    </w:p>
    <w:p w14:paraId="10469EFC" w14:textId="77777777" w:rsidR="000326DA" w:rsidRPr="00D96667" w:rsidRDefault="000326DA" w:rsidP="000326DA">
      <w:pPr>
        <w:rPr>
          <w:rFonts w:cs="Arial"/>
          <w:sz w:val="22"/>
          <w:u w:val="single"/>
          <w:lang w:val="pl-PL"/>
        </w:rPr>
      </w:pPr>
      <w:r w:rsidRPr="00D96667">
        <w:rPr>
          <w:rFonts w:cs="Arial"/>
          <w:sz w:val="22"/>
          <w:u w:val="single"/>
          <w:lang w:val="pl-PL"/>
        </w:rPr>
        <w:t>Hatari na athari zinazohusiana na ukarabati wa barabara za vijijini na ushoroba wa usafiri wa kipaumbele:</w:t>
      </w:r>
    </w:p>
    <w:p w14:paraId="004DE353" w14:textId="77777777" w:rsidR="000326DA" w:rsidRPr="00D96667" w:rsidRDefault="000326DA" w:rsidP="000326DA">
      <w:pPr>
        <w:rPr>
          <w:rFonts w:cs="Arial"/>
          <w:sz w:val="22"/>
          <w:u w:val="single"/>
          <w:lang w:val="pl-PL"/>
        </w:rPr>
      </w:pPr>
    </w:p>
    <w:p w14:paraId="47168CFE" w14:textId="77777777" w:rsidR="000326DA" w:rsidRPr="00D96667" w:rsidRDefault="000326DA" w:rsidP="002378EA">
      <w:pPr>
        <w:pStyle w:val="Paragraphedeliste"/>
        <w:numPr>
          <w:ilvl w:val="0"/>
          <w:numId w:val="165"/>
        </w:numPr>
        <w:rPr>
          <w:rFonts w:cs="Arial"/>
          <w:sz w:val="22"/>
          <w:lang w:val="pl-PL"/>
        </w:rPr>
      </w:pPr>
      <w:r w:rsidRPr="00D96667">
        <w:rPr>
          <w:rFonts w:cs="Arial"/>
          <w:sz w:val="22"/>
          <w:lang w:val="pl-PL"/>
        </w:rPr>
        <w:t xml:space="preserve">Mti ulianguka na kupoteza viumbe hai kwenye mhimili wa njia na kwenye maeneo ya kukopa baadaye; </w:t>
      </w:r>
    </w:p>
    <w:p w14:paraId="472BBBB3" w14:textId="77777777" w:rsidR="000326DA" w:rsidRPr="00D96667" w:rsidRDefault="000326DA" w:rsidP="002378EA">
      <w:pPr>
        <w:pStyle w:val="Paragraphedeliste"/>
        <w:numPr>
          <w:ilvl w:val="0"/>
          <w:numId w:val="165"/>
        </w:numPr>
        <w:rPr>
          <w:rFonts w:cs="Arial"/>
          <w:sz w:val="22"/>
          <w:lang w:val="pl-PL"/>
        </w:rPr>
      </w:pPr>
      <w:r w:rsidRPr="00D96667">
        <w:rPr>
          <w:rFonts w:cs="Arial"/>
          <w:sz w:val="22"/>
          <w:lang w:val="pl-PL"/>
        </w:rPr>
        <w:t xml:space="preserve">Uingizaji wa ardhi ya kiarabu (kwa njia mpya); </w:t>
      </w:r>
    </w:p>
    <w:p w14:paraId="73CC9891" w14:textId="77777777" w:rsidR="000326DA" w:rsidRPr="0088201D" w:rsidRDefault="000326DA" w:rsidP="002378EA">
      <w:pPr>
        <w:pStyle w:val="Paragraphedeliste"/>
        <w:numPr>
          <w:ilvl w:val="0"/>
          <w:numId w:val="165"/>
        </w:numPr>
        <w:rPr>
          <w:rFonts w:cs="Arial"/>
          <w:sz w:val="22"/>
        </w:rPr>
      </w:pPr>
      <w:r w:rsidRPr="0088201D">
        <w:rPr>
          <w:rFonts w:cs="Arial"/>
          <w:sz w:val="22"/>
        </w:rPr>
        <w:t xml:space="preserve">Kuzuia njia zinazotiliwa mbali;  </w:t>
      </w:r>
    </w:p>
    <w:p w14:paraId="0B05EB04" w14:textId="77777777" w:rsidR="000326DA" w:rsidRPr="0088201D" w:rsidRDefault="000326DA" w:rsidP="002378EA">
      <w:pPr>
        <w:pStyle w:val="Paragraphedeliste"/>
        <w:numPr>
          <w:ilvl w:val="0"/>
          <w:numId w:val="165"/>
        </w:numPr>
        <w:rPr>
          <w:rFonts w:cs="Arial"/>
          <w:sz w:val="22"/>
        </w:rPr>
      </w:pPr>
      <w:r w:rsidRPr="0088201D">
        <w:rPr>
          <w:rFonts w:cs="Arial"/>
          <w:sz w:val="22"/>
        </w:rPr>
        <w:t>Uchafuzi wa hewa na vumbi (vumbi, kelele) wakati wa ujenzi;</w:t>
      </w:r>
    </w:p>
    <w:p w14:paraId="7D15A123" w14:textId="77777777" w:rsidR="000326DA" w:rsidRPr="0088201D" w:rsidRDefault="000326DA" w:rsidP="002378EA">
      <w:pPr>
        <w:pStyle w:val="Paragraphedeliste"/>
        <w:numPr>
          <w:ilvl w:val="0"/>
          <w:numId w:val="165"/>
        </w:numPr>
        <w:rPr>
          <w:rFonts w:cs="Arial"/>
          <w:sz w:val="22"/>
        </w:rPr>
      </w:pPr>
      <w:r w:rsidRPr="0088201D">
        <w:rPr>
          <w:rFonts w:cs="Arial"/>
          <w:sz w:val="22"/>
        </w:rPr>
        <w:t>Uchafuzi wa mazingira (maji na udongo) na takataka imara (taka, bomoabomoa, mafuta, mifereji ya maji, nk);</w:t>
      </w:r>
    </w:p>
    <w:p w14:paraId="41D3ADC2" w14:textId="77777777" w:rsidR="000326DA" w:rsidRPr="0088201D" w:rsidRDefault="000326DA" w:rsidP="002378EA">
      <w:pPr>
        <w:pStyle w:val="Paragraphedeliste"/>
        <w:numPr>
          <w:ilvl w:val="0"/>
          <w:numId w:val="165"/>
        </w:numPr>
        <w:rPr>
          <w:rFonts w:cs="Arial"/>
          <w:sz w:val="22"/>
        </w:rPr>
      </w:pPr>
      <w:r w:rsidRPr="0088201D">
        <w:rPr>
          <w:rFonts w:cs="Arial"/>
          <w:sz w:val="22"/>
        </w:rPr>
        <w:t>Hatari ya ajali kwa wafanyakazi na watu;</w:t>
      </w:r>
    </w:p>
    <w:p w14:paraId="70BDB0A2" w14:textId="77777777" w:rsidR="000326DA" w:rsidRPr="0088201D" w:rsidRDefault="000326DA" w:rsidP="002378EA">
      <w:pPr>
        <w:pStyle w:val="Paragraphedeliste"/>
        <w:numPr>
          <w:ilvl w:val="0"/>
          <w:numId w:val="166"/>
        </w:numPr>
        <w:rPr>
          <w:rFonts w:cs="Arial"/>
          <w:sz w:val="22"/>
        </w:rPr>
      </w:pPr>
      <w:r w:rsidRPr="0088201D">
        <w:rPr>
          <w:rFonts w:cs="Arial"/>
          <w:sz w:val="22"/>
        </w:rPr>
        <w:t xml:space="preserve">Uhamishaji wa hiari wa watu au shughuli za kiuchumi;  </w:t>
      </w:r>
    </w:p>
    <w:p w14:paraId="382E29CB" w14:textId="77777777" w:rsidR="000326DA" w:rsidRPr="0088201D" w:rsidRDefault="000326DA" w:rsidP="002378EA">
      <w:pPr>
        <w:pStyle w:val="Paragraphedeliste"/>
        <w:numPr>
          <w:ilvl w:val="0"/>
          <w:numId w:val="166"/>
        </w:numPr>
        <w:rPr>
          <w:rFonts w:cs="Arial"/>
          <w:sz w:val="22"/>
        </w:rPr>
      </w:pPr>
      <w:r w:rsidRPr="0088201D">
        <w:rPr>
          <w:rFonts w:cs="Arial"/>
          <w:sz w:val="22"/>
        </w:rPr>
        <w:t>Kizazi cha taka wakati wa kazi za ujenzi;</w:t>
      </w:r>
    </w:p>
    <w:p w14:paraId="5E061CCC" w14:textId="77777777" w:rsidR="000326DA" w:rsidRPr="00372F9C" w:rsidRDefault="000326DA" w:rsidP="002378EA">
      <w:pPr>
        <w:pStyle w:val="Paragraphedeliste"/>
        <w:numPr>
          <w:ilvl w:val="0"/>
          <w:numId w:val="166"/>
        </w:numPr>
        <w:rPr>
          <w:rFonts w:cs="Arial"/>
          <w:sz w:val="22"/>
          <w:lang w:val="en-US"/>
        </w:rPr>
      </w:pPr>
      <w:r w:rsidRPr="00372F9C">
        <w:rPr>
          <w:rFonts w:cs="Arial"/>
          <w:sz w:val="22"/>
          <w:lang w:val="en-US"/>
        </w:rPr>
        <w:t>Uharibifu wa mazingira ya kuishi;</w:t>
      </w:r>
    </w:p>
    <w:p w14:paraId="2B8BA5F6" w14:textId="77777777" w:rsidR="000326DA" w:rsidRPr="00D96667" w:rsidRDefault="000326DA" w:rsidP="002378EA">
      <w:pPr>
        <w:pStyle w:val="Paragraphedeliste"/>
        <w:numPr>
          <w:ilvl w:val="0"/>
          <w:numId w:val="166"/>
        </w:numPr>
        <w:rPr>
          <w:rFonts w:cs="Arial"/>
          <w:sz w:val="22"/>
          <w:lang w:val="en-US"/>
        </w:rPr>
      </w:pPr>
      <w:r w:rsidRPr="00D96667">
        <w:rPr>
          <w:rFonts w:cs="Arial"/>
          <w:sz w:val="22"/>
          <w:lang w:val="en-US"/>
        </w:rPr>
        <w:t>Hakuna matumizi ya leba ya eneo hilo;</w:t>
      </w:r>
    </w:p>
    <w:p w14:paraId="276A9EC4" w14:textId="77777777" w:rsidR="000326DA" w:rsidRPr="00D96667" w:rsidRDefault="000326DA" w:rsidP="002378EA">
      <w:pPr>
        <w:pStyle w:val="Paragraphedeliste"/>
        <w:numPr>
          <w:ilvl w:val="0"/>
          <w:numId w:val="166"/>
        </w:numPr>
        <w:rPr>
          <w:rFonts w:cs="Arial"/>
          <w:sz w:val="22"/>
          <w:lang w:val="en-US"/>
        </w:rPr>
      </w:pPr>
      <w:r w:rsidRPr="00D96667">
        <w:rPr>
          <w:rFonts w:cs="Arial"/>
          <w:sz w:val="22"/>
          <w:lang w:val="en-US"/>
        </w:rPr>
        <w:t>Hatari ya shinikizo kubwa kwa wanyamapori kwa kuwepo kwa kazi za eneo hilo;</w:t>
      </w:r>
    </w:p>
    <w:p w14:paraId="40599B39" w14:textId="77777777" w:rsidR="000326DA" w:rsidRPr="00D96667" w:rsidRDefault="000326DA" w:rsidP="002378EA">
      <w:pPr>
        <w:pStyle w:val="Paragraphedeliste"/>
        <w:numPr>
          <w:ilvl w:val="0"/>
          <w:numId w:val="166"/>
        </w:numPr>
        <w:rPr>
          <w:rFonts w:cs="Arial"/>
          <w:sz w:val="22"/>
          <w:lang w:val="en-US"/>
        </w:rPr>
      </w:pPr>
      <w:r w:rsidRPr="00D96667">
        <w:rPr>
          <w:rFonts w:cs="Arial"/>
          <w:sz w:val="22"/>
          <w:lang w:val="en-US"/>
        </w:rPr>
        <w:t>Ukataji miti kutokana na ufunguzi na unyonyaji wa quarries;</w:t>
      </w:r>
    </w:p>
    <w:p w14:paraId="48A4A143" w14:textId="77777777" w:rsidR="000326DA" w:rsidRPr="00D96667" w:rsidRDefault="000326DA" w:rsidP="002378EA">
      <w:pPr>
        <w:pStyle w:val="Paragraphedeliste"/>
        <w:numPr>
          <w:ilvl w:val="0"/>
          <w:numId w:val="166"/>
        </w:numPr>
        <w:rPr>
          <w:rFonts w:cs="Arial"/>
          <w:sz w:val="22"/>
          <w:lang w:val="en-US"/>
        </w:rPr>
      </w:pPr>
      <w:r w:rsidRPr="00D96667">
        <w:rPr>
          <w:rFonts w:cs="Arial"/>
          <w:sz w:val="22"/>
          <w:lang w:val="en-US"/>
        </w:rPr>
        <w:t>Hatari za mioto ya vichaka kutokana na kuungua kwa moto usiodhibitiwa;</w:t>
      </w:r>
    </w:p>
    <w:p w14:paraId="6ECB7316" w14:textId="77777777" w:rsidR="000326DA" w:rsidRPr="0088201D" w:rsidRDefault="000326DA" w:rsidP="002378EA">
      <w:pPr>
        <w:pStyle w:val="Paragraphedeliste"/>
        <w:numPr>
          <w:ilvl w:val="0"/>
          <w:numId w:val="166"/>
        </w:numPr>
        <w:rPr>
          <w:rFonts w:cs="Arial"/>
          <w:sz w:val="22"/>
        </w:rPr>
      </w:pPr>
      <w:r w:rsidRPr="0088201D">
        <w:rPr>
          <w:rFonts w:cs="Arial"/>
          <w:sz w:val="22"/>
        </w:rPr>
        <w:t>Ugawaji wa mito;</w:t>
      </w:r>
    </w:p>
    <w:p w14:paraId="0E0AF47A" w14:textId="77777777" w:rsidR="000326DA" w:rsidRPr="0088201D" w:rsidRDefault="000326DA" w:rsidP="002378EA">
      <w:pPr>
        <w:pStyle w:val="Paragraphedeliste"/>
        <w:numPr>
          <w:ilvl w:val="0"/>
          <w:numId w:val="166"/>
        </w:numPr>
        <w:rPr>
          <w:rFonts w:cs="Arial"/>
          <w:sz w:val="22"/>
        </w:rPr>
      </w:pPr>
      <w:r w:rsidRPr="0088201D">
        <w:rPr>
          <w:rFonts w:cs="Arial"/>
          <w:sz w:val="22"/>
        </w:rPr>
        <w:t xml:space="preserve">Hatari ya uingizaji wa maeneo ya hifadhi (Eneo la Uwindaji wa Mangai, Bushimae, Hifadhi ya Bahari ya Mikoko na Hifadhi ya Taifa ya Virunga; </w:t>
      </w:r>
    </w:p>
    <w:p w14:paraId="5551ABEF" w14:textId="77777777" w:rsidR="000326DA" w:rsidRPr="0088201D" w:rsidRDefault="000326DA" w:rsidP="002378EA">
      <w:pPr>
        <w:pStyle w:val="Paragraphedeliste"/>
        <w:numPr>
          <w:ilvl w:val="0"/>
          <w:numId w:val="166"/>
        </w:numPr>
        <w:rPr>
          <w:rFonts w:cs="Arial"/>
          <w:sz w:val="22"/>
        </w:rPr>
      </w:pPr>
      <w:r w:rsidRPr="0088201D">
        <w:rPr>
          <w:rFonts w:cs="Arial"/>
          <w:sz w:val="22"/>
        </w:rPr>
        <w:t>Hatari ya uingizaji kwenye mali ya wazawa (PA);</w:t>
      </w:r>
    </w:p>
    <w:p w14:paraId="393DD1D5" w14:textId="77777777" w:rsidR="000326DA" w:rsidRPr="0088201D" w:rsidRDefault="000326DA" w:rsidP="002378EA">
      <w:pPr>
        <w:pStyle w:val="Paragraphedeliste"/>
        <w:numPr>
          <w:ilvl w:val="0"/>
          <w:numId w:val="166"/>
        </w:numPr>
        <w:rPr>
          <w:rFonts w:cs="Arial"/>
          <w:sz w:val="22"/>
        </w:rPr>
      </w:pPr>
      <w:r w:rsidRPr="0088201D">
        <w:rPr>
          <w:rFonts w:cs="Arial"/>
          <w:sz w:val="22"/>
        </w:rPr>
        <w:t>Hatari ya uenezi wa ujangili;</w:t>
      </w:r>
    </w:p>
    <w:p w14:paraId="13A7A256" w14:textId="77777777" w:rsidR="000326DA" w:rsidRPr="0088201D" w:rsidRDefault="000326DA" w:rsidP="002378EA">
      <w:pPr>
        <w:pStyle w:val="Paragraphedeliste"/>
        <w:numPr>
          <w:ilvl w:val="0"/>
          <w:numId w:val="166"/>
        </w:numPr>
        <w:rPr>
          <w:rFonts w:cs="Arial"/>
          <w:sz w:val="22"/>
        </w:rPr>
      </w:pPr>
      <w:r w:rsidRPr="0088201D">
        <w:rPr>
          <w:rFonts w:cs="Arial"/>
          <w:sz w:val="22"/>
        </w:rPr>
        <w:t>Uchafuzi wa mazingira na usumbufu wa mtiririko wa mito, sholands na pedi za mchele;</w:t>
      </w:r>
    </w:p>
    <w:p w14:paraId="210B7B6F" w14:textId="77777777" w:rsidR="000326DA" w:rsidRPr="0088201D" w:rsidRDefault="000326DA" w:rsidP="002378EA">
      <w:pPr>
        <w:pStyle w:val="Paragraphedeliste"/>
        <w:numPr>
          <w:ilvl w:val="0"/>
          <w:numId w:val="166"/>
        </w:numPr>
        <w:rPr>
          <w:rFonts w:cs="Arial"/>
          <w:sz w:val="22"/>
        </w:rPr>
      </w:pPr>
      <w:r w:rsidRPr="0088201D">
        <w:rPr>
          <w:rFonts w:cs="Arial"/>
          <w:sz w:val="22"/>
        </w:rPr>
        <w:t>Uchafuzi wa uso na maji ya chini ya ardhi kufuatia ajali ya maji taka na hydrocarbons;</w:t>
      </w:r>
    </w:p>
    <w:p w14:paraId="508B2205" w14:textId="77777777" w:rsidR="000326DA" w:rsidRPr="0088201D" w:rsidRDefault="000326DA" w:rsidP="002378EA">
      <w:pPr>
        <w:pStyle w:val="Paragraphedeliste"/>
        <w:numPr>
          <w:ilvl w:val="0"/>
          <w:numId w:val="166"/>
        </w:numPr>
        <w:rPr>
          <w:rFonts w:cs="Arial"/>
          <w:sz w:val="22"/>
        </w:rPr>
      </w:pPr>
      <w:r w:rsidRPr="0088201D">
        <w:rPr>
          <w:rFonts w:cs="Arial"/>
          <w:sz w:val="22"/>
        </w:rPr>
        <w:t>Hatari ya mmomotevu wa udongo;</w:t>
      </w:r>
    </w:p>
    <w:p w14:paraId="04A50BB6" w14:textId="77777777" w:rsidR="000326DA" w:rsidRPr="0088201D" w:rsidRDefault="000326DA" w:rsidP="002378EA">
      <w:pPr>
        <w:pStyle w:val="Paragraphedeliste"/>
        <w:numPr>
          <w:ilvl w:val="0"/>
          <w:numId w:val="166"/>
        </w:numPr>
        <w:rPr>
          <w:rFonts w:cs="Arial"/>
          <w:sz w:val="22"/>
        </w:rPr>
      </w:pPr>
      <w:r w:rsidRPr="0088201D">
        <w:rPr>
          <w:rFonts w:cs="Arial"/>
          <w:sz w:val="22"/>
        </w:rPr>
        <w:t>Hatari ya ugunduzi wa ajali:</w:t>
      </w:r>
    </w:p>
    <w:p w14:paraId="4ABEFC30" w14:textId="77777777" w:rsidR="000326DA" w:rsidRPr="0088201D" w:rsidRDefault="000326DA" w:rsidP="002378EA">
      <w:pPr>
        <w:pStyle w:val="Paragraphedeliste"/>
        <w:numPr>
          <w:ilvl w:val="0"/>
          <w:numId w:val="166"/>
        </w:numPr>
        <w:rPr>
          <w:rFonts w:cs="Arial"/>
          <w:sz w:val="22"/>
        </w:rPr>
      </w:pPr>
      <w:r w:rsidRPr="0088201D">
        <w:rPr>
          <w:rFonts w:cs="Arial"/>
          <w:sz w:val="22"/>
        </w:rPr>
        <w:t>Uwezekano wa kuenea kwa VVU/UKIMWI na magonjwa ya ngono na kubadilishana utamaduni kati ya wakazi wa riverside na wafanyakazi katika maeneo ya ujenzi;</w:t>
      </w:r>
    </w:p>
    <w:p w14:paraId="1BDDAAAF" w14:textId="77777777" w:rsidR="000326DA" w:rsidRPr="0088201D" w:rsidRDefault="000326DA" w:rsidP="002378EA">
      <w:pPr>
        <w:pStyle w:val="Paragraphedeliste"/>
        <w:numPr>
          <w:ilvl w:val="0"/>
          <w:numId w:val="166"/>
        </w:numPr>
        <w:rPr>
          <w:rFonts w:cs="Arial"/>
          <w:sz w:val="22"/>
        </w:rPr>
      </w:pPr>
      <w:r w:rsidRPr="0088201D">
        <w:rPr>
          <w:rFonts w:cs="Arial"/>
          <w:sz w:val="22"/>
        </w:rPr>
        <w:t>Hatari ya kuzidisha VGGs, ikiwa ni pamoja na EAS na HS, kama matokeo ya kazi;</w:t>
      </w:r>
    </w:p>
    <w:p w14:paraId="21E9CEF9" w14:textId="77777777" w:rsidR="000326DA" w:rsidRPr="0088201D" w:rsidRDefault="000326DA" w:rsidP="002378EA">
      <w:pPr>
        <w:pStyle w:val="Paragraphedeliste"/>
        <w:numPr>
          <w:ilvl w:val="0"/>
          <w:numId w:val="166"/>
        </w:numPr>
        <w:rPr>
          <w:rFonts w:cs="Arial"/>
          <w:sz w:val="22"/>
        </w:rPr>
      </w:pPr>
      <w:r w:rsidRPr="0088201D">
        <w:rPr>
          <w:rFonts w:cs="Arial"/>
          <w:sz w:val="22"/>
        </w:rPr>
        <w:t>Hatari ya kuenea kwa ugonjwa wa virusi vya corona (COVID-19) ikiwa hatua za kuzuia au kuzuia hazifuatwi; Na</w:t>
      </w:r>
    </w:p>
    <w:p w14:paraId="21B5E04E" w14:textId="77777777" w:rsidR="000326DA" w:rsidRPr="00372F9C" w:rsidRDefault="000326DA" w:rsidP="002378EA">
      <w:pPr>
        <w:pStyle w:val="Paragraphedeliste"/>
        <w:numPr>
          <w:ilvl w:val="0"/>
          <w:numId w:val="166"/>
        </w:numPr>
        <w:rPr>
          <w:rFonts w:cs="Arial"/>
          <w:sz w:val="22"/>
          <w:lang w:val="en-US"/>
        </w:rPr>
      </w:pPr>
      <w:r w:rsidRPr="00372F9C">
        <w:rPr>
          <w:rFonts w:cs="Arial"/>
          <w:sz w:val="22"/>
          <w:lang w:val="en-US"/>
        </w:rPr>
        <w:t>Hatari ya virusi vya Ebola kuenea.</w:t>
      </w:r>
    </w:p>
    <w:p w14:paraId="596ACC81" w14:textId="77777777" w:rsidR="000326DA" w:rsidRPr="00372F9C" w:rsidRDefault="000326DA" w:rsidP="000326DA">
      <w:pPr>
        <w:rPr>
          <w:rFonts w:cs="Arial"/>
          <w:sz w:val="22"/>
          <w:lang w:val="en-US"/>
        </w:rPr>
      </w:pPr>
    </w:p>
    <w:p w14:paraId="7134453B" w14:textId="77777777" w:rsidR="000326DA" w:rsidRPr="00372F9C" w:rsidRDefault="000326DA" w:rsidP="000326DA">
      <w:pPr>
        <w:rPr>
          <w:rFonts w:cs="Arial"/>
          <w:sz w:val="22"/>
          <w:u w:val="single"/>
          <w:lang w:val="en-US"/>
        </w:rPr>
      </w:pPr>
      <w:r w:rsidRPr="00372F9C">
        <w:rPr>
          <w:rFonts w:cs="Arial"/>
          <w:sz w:val="22"/>
          <w:u w:val="single"/>
          <w:lang w:val="en-US"/>
        </w:rPr>
        <w:lastRenderedPageBreak/>
        <w:t>Hatari na uwezekano wa athari mbaya za ujenzi/ukarabati wa masoko ya jamii na nyumba za kuchinja:</w:t>
      </w:r>
    </w:p>
    <w:p w14:paraId="7D50D680" w14:textId="77777777" w:rsidR="000326DA" w:rsidRPr="00372F9C" w:rsidRDefault="000326DA" w:rsidP="000326DA">
      <w:pPr>
        <w:rPr>
          <w:rFonts w:cs="Arial"/>
          <w:sz w:val="22"/>
          <w:lang w:val="en-US"/>
        </w:rPr>
      </w:pPr>
    </w:p>
    <w:p w14:paraId="2141E643" w14:textId="77777777" w:rsidR="000326DA" w:rsidRPr="00372F9C" w:rsidRDefault="000326DA" w:rsidP="002378EA">
      <w:pPr>
        <w:pStyle w:val="Paragraphedeliste"/>
        <w:numPr>
          <w:ilvl w:val="0"/>
          <w:numId w:val="167"/>
        </w:numPr>
        <w:rPr>
          <w:rFonts w:cs="Arial"/>
          <w:sz w:val="22"/>
          <w:lang w:val="en-US"/>
        </w:rPr>
      </w:pPr>
      <w:r w:rsidRPr="00372F9C">
        <w:rPr>
          <w:rFonts w:cs="Arial"/>
          <w:sz w:val="22"/>
          <w:lang w:val="en-US"/>
        </w:rPr>
        <w:t xml:space="preserve">Uhamishaji wa hiari wa watu au shughuli za kiuchumi; </w:t>
      </w:r>
    </w:p>
    <w:p w14:paraId="782B5242" w14:textId="77777777" w:rsidR="000326DA" w:rsidRPr="00372F9C" w:rsidRDefault="000326DA" w:rsidP="002378EA">
      <w:pPr>
        <w:pStyle w:val="Paragraphedeliste"/>
        <w:numPr>
          <w:ilvl w:val="0"/>
          <w:numId w:val="167"/>
        </w:numPr>
        <w:rPr>
          <w:rFonts w:cs="Arial"/>
          <w:sz w:val="22"/>
          <w:lang w:val="en-US"/>
        </w:rPr>
      </w:pPr>
      <w:r w:rsidRPr="00372F9C">
        <w:rPr>
          <w:rFonts w:cs="Arial"/>
          <w:sz w:val="22"/>
          <w:lang w:val="en-US"/>
        </w:rPr>
        <w:t>Kizazi cha taka wakati wa ujenzi na uendeshaji;</w:t>
      </w:r>
    </w:p>
    <w:p w14:paraId="30FF977A" w14:textId="77777777" w:rsidR="000326DA" w:rsidRPr="00372F9C" w:rsidRDefault="000326DA" w:rsidP="002378EA">
      <w:pPr>
        <w:pStyle w:val="Paragraphedeliste"/>
        <w:numPr>
          <w:ilvl w:val="0"/>
          <w:numId w:val="167"/>
        </w:numPr>
        <w:rPr>
          <w:rFonts w:cs="Arial"/>
          <w:sz w:val="22"/>
          <w:lang w:val="en-US"/>
        </w:rPr>
      </w:pPr>
      <w:r w:rsidRPr="00372F9C">
        <w:rPr>
          <w:rFonts w:cs="Arial"/>
          <w:sz w:val="22"/>
          <w:lang w:val="en-US"/>
        </w:rPr>
        <w:t xml:space="preserve">Mabadiliko ya mandhari katika mshiko wa ujenzi wa masoko ya jamii; </w:t>
      </w:r>
    </w:p>
    <w:p w14:paraId="5862F391" w14:textId="77777777" w:rsidR="000326DA" w:rsidRPr="00372F9C" w:rsidRDefault="000326DA" w:rsidP="002378EA">
      <w:pPr>
        <w:pStyle w:val="Paragraphedeliste"/>
        <w:numPr>
          <w:ilvl w:val="0"/>
          <w:numId w:val="167"/>
        </w:numPr>
        <w:rPr>
          <w:rFonts w:cs="Arial"/>
          <w:sz w:val="22"/>
          <w:lang w:val="en-US"/>
        </w:rPr>
      </w:pPr>
      <w:r w:rsidRPr="00372F9C">
        <w:rPr>
          <w:rFonts w:cs="Arial"/>
          <w:sz w:val="22"/>
          <w:lang w:val="en-US"/>
        </w:rPr>
        <w:t>Hatari ya kuumia binafsi wakati wa ujenzi;</w:t>
      </w:r>
    </w:p>
    <w:p w14:paraId="6726F01E" w14:textId="77777777" w:rsidR="000326DA" w:rsidRPr="00D96667" w:rsidRDefault="000326DA" w:rsidP="002378EA">
      <w:pPr>
        <w:pStyle w:val="Paragraphedeliste"/>
        <w:numPr>
          <w:ilvl w:val="0"/>
          <w:numId w:val="167"/>
        </w:numPr>
        <w:rPr>
          <w:rFonts w:cs="Arial"/>
          <w:sz w:val="22"/>
          <w:lang w:val="en-US"/>
        </w:rPr>
      </w:pPr>
      <w:r w:rsidRPr="00D96667">
        <w:rPr>
          <w:rFonts w:cs="Arial"/>
          <w:sz w:val="22"/>
          <w:lang w:val="en-US"/>
        </w:rPr>
        <w:t>Hakuna matumizi ya leba ya eneo hilo;</w:t>
      </w:r>
    </w:p>
    <w:p w14:paraId="5BD6A50F" w14:textId="77777777" w:rsidR="000326DA" w:rsidRPr="00D96667" w:rsidRDefault="000326DA" w:rsidP="002378EA">
      <w:pPr>
        <w:pStyle w:val="Paragraphedeliste"/>
        <w:numPr>
          <w:ilvl w:val="0"/>
          <w:numId w:val="167"/>
        </w:numPr>
        <w:rPr>
          <w:rFonts w:cs="Arial"/>
          <w:sz w:val="22"/>
          <w:lang w:val="en-US"/>
        </w:rPr>
      </w:pPr>
      <w:r w:rsidRPr="00D96667">
        <w:rPr>
          <w:rFonts w:cs="Arial"/>
          <w:sz w:val="22"/>
          <w:lang w:val="en-US"/>
        </w:rPr>
        <w:t>Uwezekano wa kuenea kwa VVU/UKIMWI na magonjwa ya ngono na kubadilishana utamaduni kati ya wakazi wa riverside na wafanyakazi katika maeneo ya ujenzi;</w:t>
      </w:r>
    </w:p>
    <w:p w14:paraId="54871B72" w14:textId="77777777" w:rsidR="000326DA" w:rsidRPr="00D96667" w:rsidRDefault="000326DA" w:rsidP="002378EA">
      <w:pPr>
        <w:pStyle w:val="Paragraphedeliste"/>
        <w:numPr>
          <w:ilvl w:val="0"/>
          <w:numId w:val="167"/>
        </w:numPr>
        <w:rPr>
          <w:rFonts w:cs="Arial"/>
          <w:sz w:val="22"/>
          <w:lang w:val="en-US"/>
        </w:rPr>
      </w:pPr>
      <w:r w:rsidRPr="00D96667">
        <w:rPr>
          <w:rFonts w:cs="Arial"/>
          <w:sz w:val="22"/>
          <w:lang w:val="en-US"/>
        </w:rPr>
        <w:t>Hatari ya VBG, ikiwa ni pamoja na EAS na HS, hasa kufuatia mmiminiko wa kazi;</w:t>
      </w:r>
    </w:p>
    <w:p w14:paraId="5E34CCF0" w14:textId="77777777" w:rsidR="000326DA" w:rsidRPr="000326DA" w:rsidRDefault="000326DA" w:rsidP="002378EA">
      <w:pPr>
        <w:pStyle w:val="Paragraphedeliste"/>
        <w:numPr>
          <w:ilvl w:val="0"/>
          <w:numId w:val="167"/>
        </w:numPr>
        <w:rPr>
          <w:rFonts w:cs="Arial"/>
          <w:sz w:val="22"/>
          <w:lang w:val="en-US"/>
        </w:rPr>
      </w:pPr>
      <w:r w:rsidRPr="000326DA">
        <w:rPr>
          <w:rFonts w:cs="Arial"/>
          <w:sz w:val="22"/>
          <w:lang w:val="en-US"/>
        </w:rPr>
        <w:t>Hatari ya kuenea kwa ugonjwa wa virusi vya corona (COVID-19) ikiwa hatua za kuzuia au kuzuia hazifuatwi.</w:t>
      </w:r>
    </w:p>
    <w:p w14:paraId="2AA6FBF0" w14:textId="77777777" w:rsidR="000326DA" w:rsidRPr="001C5995" w:rsidRDefault="000326DA" w:rsidP="000326DA">
      <w:pPr>
        <w:widowControl w:val="0"/>
        <w:autoSpaceDE w:val="0"/>
        <w:autoSpaceDN w:val="0"/>
        <w:ind w:left="720"/>
        <w:rPr>
          <w:rFonts w:eastAsia="Calibri" w:cs="Arial"/>
          <w:i/>
          <w:sz w:val="22"/>
          <w:lang w:val="pl-PL"/>
        </w:rPr>
      </w:pPr>
    </w:p>
    <w:p w14:paraId="631BFD7A" w14:textId="77777777" w:rsidR="000326DA" w:rsidRPr="001C5995" w:rsidRDefault="000326DA" w:rsidP="002378EA">
      <w:pPr>
        <w:numPr>
          <w:ilvl w:val="0"/>
          <w:numId w:val="154"/>
        </w:numPr>
        <w:tabs>
          <w:tab w:val="left" w:pos="426"/>
        </w:tabs>
        <w:contextualSpacing/>
        <w:rPr>
          <w:rFonts w:cs="Arial"/>
          <w:sz w:val="22"/>
          <w:lang w:val="pl-PL" w:bidi="fr-FR"/>
        </w:rPr>
      </w:pPr>
      <w:r w:rsidRPr="001C5995">
        <w:rPr>
          <w:rFonts w:cs="Arial"/>
          <w:sz w:val="22"/>
          <w:lang w:val="pl-PL" w:bidi="fr-FR"/>
        </w:rPr>
        <w:t xml:space="preserve">Hatua za usimamizi wa mazingira na kijamii </w:t>
      </w:r>
    </w:p>
    <w:p w14:paraId="43D8229D" w14:textId="77777777" w:rsidR="000326DA" w:rsidRPr="001C5995" w:rsidRDefault="000326DA" w:rsidP="000326DA">
      <w:pPr>
        <w:autoSpaceDE w:val="0"/>
        <w:autoSpaceDN w:val="0"/>
        <w:adjustRightInd w:val="0"/>
        <w:contextualSpacing/>
        <w:rPr>
          <w:rFonts w:cs="Arial"/>
          <w:sz w:val="22"/>
          <w:lang w:val="pl-PL" w:bidi="fr-FR"/>
        </w:rPr>
      </w:pPr>
    </w:p>
    <w:p w14:paraId="55B4AD16" w14:textId="77777777" w:rsidR="000326DA" w:rsidRPr="001C5995" w:rsidRDefault="000326DA" w:rsidP="000326DA">
      <w:pPr>
        <w:autoSpaceDE w:val="0"/>
        <w:autoSpaceDN w:val="0"/>
        <w:adjustRightInd w:val="0"/>
        <w:contextualSpacing/>
        <w:rPr>
          <w:rFonts w:cs="Arial"/>
          <w:sz w:val="22"/>
          <w:lang w:val="pl-PL" w:bidi="fr-FR"/>
        </w:rPr>
      </w:pPr>
      <w:r w:rsidRPr="001C5995">
        <w:rPr>
          <w:rFonts w:cs="Arial"/>
          <w:sz w:val="22"/>
          <w:lang w:val="pl-PL" w:bidi="fr-FR"/>
        </w:rPr>
        <w:t>PNDA ya kimazingira na usimamizi wa kijamii ni pamoja na mikakati ya kimkakati na kitaasisi, mafunzo, na kuongeza ufahamu wa kujenga uwezo wa miundo husika, ambayo ni ilivyoainishwa hapa chini:</w:t>
      </w:r>
    </w:p>
    <w:p w14:paraId="0F610CD9" w14:textId="77777777" w:rsidR="000326DA" w:rsidRPr="001C5995" w:rsidRDefault="000326DA" w:rsidP="000326DA">
      <w:pPr>
        <w:autoSpaceDE w:val="0"/>
        <w:autoSpaceDN w:val="0"/>
        <w:adjustRightInd w:val="0"/>
        <w:contextualSpacing/>
        <w:rPr>
          <w:rFonts w:cs="Arial"/>
          <w:sz w:val="22"/>
          <w:lang w:val="pl-PL" w:bidi="fr-FR"/>
        </w:rPr>
      </w:pPr>
    </w:p>
    <w:p w14:paraId="19368ADF"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Kuandaa mpango wa usimamizi wa wafanyakazi (PGMO);</w:t>
      </w:r>
    </w:p>
    <w:p w14:paraId="5C7A3CAA"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Kutayarisha uhamasishaji wa vyama (PMPP);</w:t>
      </w:r>
    </w:p>
    <w:p w14:paraId="587633AD" w14:textId="77777777" w:rsidR="000326DA" w:rsidRPr="0088201D" w:rsidRDefault="000326DA" w:rsidP="002378EA">
      <w:pPr>
        <w:widowControl w:val="0"/>
        <w:numPr>
          <w:ilvl w:val="0"/>
          <w:numId w:val="68"/>
        </w:numPr>
        <w:autoSpaceDE w:val="0"/>
        <w:autoSpaceDN w:val="0"/>
        <w:rPr>
          <w:rFonts w:eastAsia="MS Mincho" w:cs="Arial"/>
          <w:sz w:val="22"/>
          <w:lang w:val="pl-PL"/>
        </w:rPr>
      </w:pPr>
      <w:r w:rsidRPr="0088201D">
        <w:rPr>
          <w:rFonts w:eastAsia="MS Mincho" w:cs="Arial"/>
          <w:sz w:val="22"/>
          <w:lang w:val="pl-PL"/>
        </w:rPr>
        <w:t>Kuandaa Mipango ya Hatua za Makazi (PAR);</w:t>
      </w:r>
    </w:p>
    <w:p w14:paraId="49A95F98"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88201D">
        <w:rPr>
          <w:rFonts w:eastAsia="MS Mincho" w:cs="Arial"/>
          <w:sz w:val="22"/>
          <w:lang w:val="pl-PL"/>
        </w:rPr>
        <w:t>Kuandaa Mpango wa Kudhibiti Wadudu na Viuatilifu (</w:t>
      </w:r>
      <w:r>
        <w:rPr>
          <w:rFonts w:eastAsia="MS Mincho" w:cs="Arial"/>
          <w:sz w:val="22"/>
          <w:lang w:val="pl-PL"/>
        </w:rPr>
        <w:t>PGPP</w:t>
      </w:r>
      <w:r w:rsidRPr="0088201D">
        <w:rPr>
          <w:rFonts w:eastAsia="MS Mincho" w:cs="Arial"/>
          <w:sz w:val="22"/>
          <w:lang w:val="pl-PL"/>
        </w:rPr>
        <w:t>);</w:t>
      </w:r>
    </w:p>
    <w:p w14:paraId="01C52BB4"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Kuandaa mpango wa mazingira na ushirikishwaji wa jamii (PEES);</w:t>
      </w:r>
    </w:p>
    <w:p w14:paraId="042A57EF"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Kuandaa mpango wa utekelezaji wa utekelezaji wa shughuli za VBG katika mradi wa kuchukua utaratibu wa kuzuia akaunti (kutambua na kutathmini hatari za VBG na kuendeleza ramani), kupunguza (hatua za kupunguza kupunguza na kufuatilia hatari za BGVs) na majibu (kutoa huduma za huduma (CEP) kwa waathirika wa BV);</w:t>
      </w:r>
    </w:p>
    <w:p w14:paraId="677C2080" w14:textId="77777777" w:rsidR="000326DA" w:rsidRPr="00296E4B" w:rsidRDefault="000326DA" w:rsidP="002378EA">
      <w:pPr>
        <w:widowControl w:val="0"/>
        <w:numPr>
          <w:ilvl w:val="0"/>
          <w:numId w:val="68"/>
        </w:numPr>
        <w:autoSpaceDE w:val="0"/>
        <w:autoSpaceDN w:val="0"/>
        <w:rPr>
          <w:rFonts w:eastAsia="MS Mincho" w:cs="Arial"/>
          <w:sz w:val="22"/>
          <w:lang w:val="en-US"/>
        </w:rPr>
      </w:pPr>
      <w:r w:rsidRPr="00296E4B">
        <w:rPr>
          <w:rFonts w:eastAsia="MS Mincho" w:cs="Arial"/>
          <w:sz w:val="22"/>
          <w:lang w:val="en-US"/>
        </w:rPr>
        <w:t>Tayarisha mp</w:t>
      </w:r>
      <w:r>
        <w:rPr>
          <w:rFonts w:eastAsia="MS Mincho" w:cs="Arial"/>
          <w:sz w:val="22"/>
          <w:lang w:val="en-US"/>
        </w:rPr>
        <w:t>ango kwa watu wa Aboriginal (PPA</w:t>
      </w:r>
      <w:r w:rsidRPr="00296E4B">
        <w:rPr>
          <w:rFonts w:eastAsia="MS Mincho" w:cs="Arial"/>
          <w:sz w:val="22"/>
          <w:lang w:val="en-US"/>
        </w:rPr>
        <w:t>);</w:t>
      </w:r>
    </w:p>
    <w:p w14:paraId="1FF7B392" w14:textId="77777777" w:rsidR="000326DA" w:rsidRDefault="000326DA" w:rsidP="002378EA">
      <w:pPr>
        <w:widowControl w:val="0"/>
        <w:numPr>
          <w:ilvl w:val="0"/>
          <w:numId w:val="68"/>
        </w:numPr>
        <w:autoSpaceDE w:val="0"/>
        <w:autoSpaceDN w:val="0"/>
        <w:rPr>
          <w:rFonts w:eastAsia="MS Mincho" w:cs="Arial"/>
          <w:sz w:val="22"/>
          <w:lang w:val="en-US"/>
        </w:rPr>
      </w:pPr>
      <w:r w:rsidRPr="001F72EC">
        <w:rPr>
          <w:rFonts w:eastAsia="MS Mincho" w:cs="Arial"/>
          <w:sz w:val="22"/>
          <w:lang w:val="en-US"/>
        </w:rPr>
        <w:t>Kuandaa Mpango tofauti wa Usimamizi wa Usalama (SMP) unaoainisha taratibu na itifaki zote zinazohusiana na kipengele hiki kama sehemu ya mpango (GSP itafanya Tathmini ya Hatari ya Usalama (ERS) na kupendekeza hatua za kupunguza);</w:t>
      </w:r>
    </w:p>
    <w:p w14:paraId="7CB0B3DD" w14:textId="77777777" w:rsidR="000326DA" w:rsidRPr="00296E4B" w:rsidRDefault="000326DA" w:rsidP="002378EA">
      <w:pPr>
        <w:widowControl w:val="0"/>
        <w:numPr>
          <w:ilvl w:val="0"/>
          <w:numId w:val="68"/>
        </w:numPr>
        <w:autoSpaceDE w:val="0"/>
        <w:autoSpaceDN w:val="0"/>
        <w:rPr>
          <w:rFonts w:eastAsia="MS Mincho" w:cs="Arial"/>
          <w:sz w:val="22"/>
          <w:lang w:val="en-US"/>
        </w:rPr>
      </w:pPr>
      <w:r w:rsidRPr="00296E4B">
        <w:rPr>
          <w:rFonts w:eastAsia="MS Mincho" w:cs="Arial"/>
          <w:sz w:val="22"/>
          <w:lang w:val="en-US"/>
        </w:rPr>
        <w:t>Kuandaa mpango tofauti wa usimamizi wa usalama (</w:t>
      </w:r>
      <w:r>
        <w:rPr>
          <w:rFonts w:eastAsia="MS Mincho" w:cs="Arial"/>
          <w:sz w:val="22"/>
          <w:lang w:val="en-US"/>
        </w:rPr>
        <w:t>MGP</w:t>
      </w:r>
      <w:r w:rsidRPr="00296E4B">
        <w:rPr>
          <w:rFonts w:eastAsia="MS Mincho" w:cs="Arial"/>
          <w:sz w:val="22"/>
          <w:lang w:val="en-US"/>
        </w:rPr>
        <w:t>) ambao unahusiana na utaratibu na itifaki zote zinazohusiana na suala hili kama sehemu ya mpango (GSP itafanya tathmini ya hatari ya usalama na hatua za ukabilianaji);</w:t>
      </w:r>
    </w:p>
    <w:p w14:paraId="21F11E99"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Weka utaratibu wa usimamizi wa malalamishi (MGP);</w:t>
      </w:r>
    </w:p>
    <w:p w14:paraId="3A2F8A0E"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Weka MGP maalum ya VBG;</w:t>
      </w:r>
    </w:p>
    <w:p w14:paraId="4CD016F3"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Kuzingatia watoa huduma na watoaji wa akaunti;</w:t>
      </w:r>
    </w:p>
    <w:p w14:paraId="660D3647"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Weka MGP kuchanganya mwelekeo wa VBG/EAS/HS;</w:t>
      </w:r>
    </w:p>
    <w:p w14:paraId="23E81F01"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Kuandaa kanuni ya maadili mema: mtu, meneja na kampuni ya kuunganisha masuala ya VBG. Ni pamoja na lugha wazi juu ya tabia marufuku</w:t>
      </w:r>
      <w:r w:rsidRPr="00296E4B">
        <w:rPr>
          <w:rStyle w:val="Appelnotedebasdep"/>
          <w:rFonts w:eastAsia="MS Mincho" w:cs="Arial"/>
          <w:sz w:val="22"/>
          <w:lang w:val="en-US"/>
        </w:rPr>
        <w:footnoteReference w:id="15"/>
      </w:r>
      <w:r w:rsidRPr="001C5995">
        <w:rPr>
          <w:rFonts w:eastAsia="MS Mincho" w:cs="Arial"/>
          <w:sz w:val="22"/>
          <w:lang w:val="pl-PL"/>
        </w:rPr>
        <w:t>, ikiwa ni pamoja na makatazo ya uhusiano wa kijinsia na watoto, vikwazo imara, na dhana muhimu kuhusu VBG, pamoja na aina na aina ya VBG na dhana ya ridhaa;</w:t>
      </w:r>
    </w:p>
    <w:p w14:paraId="1AFA41B5"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lastRenderedPageBreak/>
        <w:t>Makatazo ya kazi ya watoto kwenye tovuti ya ujenzi na katika vituo husika;</w:t>
      </w:r>
    </w:p>
    <w:p w14:paraId="0DB77627"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Mbinu za kutayarisha, kuidhinisha, na kutekeleza na kufuatilia miradi ndogo;</w:t>
      </w:r>
    </w:p>
    <w:p w14:paraId="523C6EE3"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Kupunguza ukataji miti na uharibifu wa mimea ya mikondo;</w:t>
      </w:r>
    </w:p>
    <w:p w14:paraId="7376E78F"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Anzisha na udumishe maeneo ya Hifadhi eneo ambalo kutambuliwa kama makazi ya wanyamapori, ili kupunguza athari za shughuli za mradi katika maeneo haya na wanyama pori wanaauni;</w:t>
      </w:r>
    </w:p>
    <w:p w14:paraId="339E44C6"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Husisha ICCN kabla ya kufanya shughuli yoyote ya mradi katika maeneo ya Hifadhi au katika maeneo yanayolindwa;</w:t>
      </w:r>
    </w:p>
    <w:p w14:paraId="59C12217"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Kuzuia shughuli katika mbuga na maeneo yaliyohifadhiwa;</w:t>
      </w:r>
    </w:p>
    <w:p w14:paraId="6145B51A"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Urekebishaji ardhi kusumbuliwa na ujenzi, kuondolewa, kuhifadhi na kuanzisha upya wa safu kupunguza ili kuwezesha ujenzi wa makazi ya wanyamapori;</w:t>
      </w:r>
    </w:p>
    <w:p w14:paraId="4A41A41A"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Kuepuka wafunika maeneo ya kibiashara au kufanya mipango ya kuhakikisha upatikanaji salama na matumizi ya wakati na baada ya ujenzi, hasa linapokuja suala la ukarabati wa masoko ya kijiji;</w:t>
      </w:r>
    </w:p>
    <w:p w14:paraId="5341445F"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Fidia (Sakinisha upya) kipaumbele rasilimali zote zinaweza kuwa na mradi, kabla ya kazi kuanza;</w:t>
      </w:r>
    </w:p>
    <w:p w14:paraId="09E8E2EE"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Kitaasisi kuimarisha kamati ya PNDA ufundi maandalizi;</w:t>
      </w:r>
    </w:p>
    <w:p w14:paraId="465685F3"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Kuimarisha ujuzi wa kimazingira na kijamii wa UUNCP;</w:t>
      </w:r>
    </w:p>
    <w:p w14:paraId="005D8BAE"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Kuimarisha uwezo wa huduma za sekta ya ufundi;</w:t>
      </w:r>
    </w:p>
    <w:p w14:paraId="1FC441DE"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Mafunzo ya watendaji wanaohusika katika utekelezaji wa PNDA, pia juu ya dhana ya VBG na kama mradi inaweza kuzidisha yao, wajibu wa waigizaji mbalimbali, MGP ya VBG-nyeti, pamoja na huduma za huduma kwa waathirika;</w:t>
      </w:r>
    </w:p>
    <w:p w14:paraId="471FA935"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Mipango ya kuongeza uelewa na kuhamasisha watu na katika ngazi ya kijamii (kuunganisha mandhari juu ya VBG, kanuni ya maadili mema, GMP-nyeti MGP/EAS/HS, nk);</w:t>
      </w:r>
    </w:p>
    <w:p w14:paraId="24AB2A07"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Mazingira na uelewa wa kijamii na mpango wa mafunzo kwa makampuni ya ujenzi na ofisi za kudhibiti;</w:t>
      </w:r>
    </w:p>
    <w:p w14:paraId="557804DD"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Kuweka mpango wa kuzuia dhidi ya tamaa-19;</w:t>
      </w:r>
    </w:p>
    <w:p w14:paraId="785F8692"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Kuanzisha na kufuatilia taratibu na hatua za malalamiko;</w:t>
      </w:r>
    </w:p>
    <w:p w14:paraId="03BA8BA6"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Kuratibu shughuli za sekta mbalimbali kuingiza VGGs;</w:t>
      </w:r>
    </w:p>
    <w:p w14:paraId="268C157B"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Hakuna ubaguzi dhidi ya wanawake wakati wa kuandikisha wafanyakazi na kufuata kiwango cha asilimia 30 ya wanawake walioajiriwa katika utekelezaji wa mradi;</w:t>
      </w:r>
    </w:p>
    <w:p w14:paraId="6720CFAC"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Kufuata taratibu na kanuni za kitaifa kuhusu ajira ya watoto kwa makampuni ya kazi: makatazo ya kazi ya watu chini ya umri wa miaka 18;</w:t>
      </w:r>
    </w:p>
    <w:p w14:paraId="70CBD7F7"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Utekelezaji wa taratibu za ugunduzi wa ajali katika tukio la ugawaji wa mali ya kitamaduni.</w:t>
      </w:r>
    </w:p>
    <w:p w14:paraId="572920CE" w14:textId="77777777" w:rsidR="000326DA" w:rsidRPr="00372F9C" w:rsidRDefault="000326DA" w:rsidP="000326DA">
      <w:pPr>
        <w:rPr>
          <w:rFonts w:cs="Arial"/>
          <w:sz w:val="22"/>
          <w:lang w:val="pl-PL"/>
        </w:rPr>
      </w:pPr>
    </w:p>
    <w:p w14:paraId="5FDC6543" w14:textId="77777777" w:rsidR="000326DA" w:rsidRPr="00372F9C" w:rsidRDefault="000326DA" w:rsidP="000326DA">
      <w:pPr>
        <w:rPr>
          <w:rFonts w:cs="Arial"/>
          <w:sz w:val="22"/>
          <w:lang w:val="pl-PL"/>
        </w:rPr>
      </w:pPr>
      <w:r w:rsidRPr="00372F9C">
        <w:rPr>
          <w:rFonts w:cs="Arial"/>
          <w:sz w:val="22"/>
          <w:lang w:val="pl-PL"/>
        </w:rPr>
        <w:t>Hatua hizi zilizomo katika mpango wa mfumo wa usimamizi wa mazingira na jamii (GSCP) ambayo itajumuishwa katika mwongozo wa utekelezaji wa mradi.</w:t>
      </w:r>
    </w:p>
    <w:p w14:paraId="2525A0CB" w14:textId="77777777" w:rsidR="000326DA" w:rsidRPr="00372F9C" w:rsidRDefault="000326DA" w:rsidP="000326DA">
      <w:pPr>
        <w:rPr>
          <w:rFonts w:cs="Arial"/>
          <w:sz w:val="22"/>
          <w:lang w:val="pl-PL"/>
        </w:rPr>
      </w:pPr>
    </w:p>
    <w:p w14:paraId="2F966357" w14:textId="77777777" w:rsidR="000326DA" w:rsidRPr="00372F9C" w:rsidRDefault="000326DA" w:rsidP="000326DA">
      <w:pPr>
        <w:ind w:firstLine="284"/>
        <w:rPr>
          <w:rFonts w:cs="Arial"/>
          <w:sz w:val="22"/>
          <w:highlight w:val="yellow"/>
          <w:lang w:val="pl-PL"/>
        </w:rPr>
      </w:pPr>
      <w:r w:rsidRPr="00372F9C">
        <w:rPr>
          <w:rFonts w:cs="Arial"/>
          <w:sz w:val="22"/>
          <w:u w:val="single"/>
          <w:lang w:val="pl-PL" w:bidi="fr-FR"/>
        </w:rPr>
        <w:t xml:space="preserve">5.1. </w:t>
      </w:r>
      <w:r w:rsidRPr="00372F9C">
        <w:rPr>
          <w:rFonts w:cs="Arial"/>
          <w:sz w:val="22"/>
          <w:u w:val="single"/>
          <w:lang w:val="pl-PL"/>
        </w:rPr>
        <w:t>Utaratibu wa usimamizi wa mazingira na kijamii kwa miradi inayostahiki</w:t>
      </w:r>
    </w:p>
    <w:p w14:paraId="376DC10B" w14:textId="77777777" w:rsidR="000326DA" w:rsidRPr="00372F9C" w:rsidRDefault="000326DA" w:rsidP="000326DA">
      <w:pPr>
        <w:rPr>
          <w:rFonts w:eastAsia="Calibri" w:cs="Arial"/>
          <w:bCs/>
          <w:sz w:val="22"/>
          <w:highlight w:val="yellow"/>
          <w:lang w:val="pl-PL"/>
        </w:rPr>
      </w:pPr>
    </w:p>
    <w:p w14:paraId="0893A4EE" w14:textId="77777777" w:rsidR="000326DA" w:rsidRPr="00296E4B" w:rsidRDefault="000326DA" w:rsidP="000326DA">
      <w:pPr>
        <w:rPr>
          <w:rFonts w:cs="Arial"/>
          <w:sz w:val="22"/>
        </w:rPr>
      </w:pPr>
      <w:r w:rsidRPr="00372F9C">
        <w:rPr>
          <w:rFonts w:cs="Arial"/>
          <w:sz w:val="22"/>
          <w:lang w:val="pl-PL"/>
        </w:rPr>
        <w:t xml:space="preserve">CGES ni pamoja na utaratibu wa uteuzi wa mazingira na kijamii kwa ajili ya shughuli za kufanyika ndani ya mfumo wa fedha za PNDA, ambazo huongoza hatua za baadaye katika masuala ya kuzingatia mazingira ya kimazingira na ya kijamii na ile ya sera za kulinda benki duniani. </w:t>
      </w:r>
      <w:r w:rsidRPr="00296E4B">
        <w:rPr>
          <w:rFonts w:cs="Arial"/>
          <w:sz w:val="22"/>
        </w:rPr>
        <w:t>Hatua ni:</w:t>
      </w:r>
    </w:p>
    <w:p w14:paraId="232B0173" w14:textId="77777777" w:rsidR="000326DA" w:rsidRDefault="000326DA" w:rsidP="000326DA">
      <w:pPr>
        <w:rPr>
          <w:rFonts w:cs="Arial"/>
          <w:sz w:val="22"/>
        </w:rPr>
      </w:pPr>
    </w:p>
    <w:p w14:paraId="43E35B17" w14:textId="77777777" w:rsidR="000326DA" w:rsidRDefault="000326DA" w:rsidP="000326DA">
      <w:pPr>
        <w:rPr>
          <w:rFonts w:cs="Arial"/>
          <w:sz w:val="22"/>
        </w:rPr>
      </w:pPr>
    </w:p>
    <w:p w14:paraId="042A51AF" w14:textId="77777777" w:rsidR="000326DA" w:rsidRPr="00296E4B" w:rsidRDefault="000326DA" w:rsidP="000326DA">
      <w:pPr>
        <w:rPr>
          <w:rFonts w:cs="Arial"/>
          <w:sz w:val="22"/>
        </w:rPr>
      </w:pPr>
    </w:p>
    <w:p w14:paraId="668C4F42" w14:textId="77777777" w:rsidR="000326DA" w:rsidRPr="00296E4B" w:rsidRDefault="000326DA" w:rsidP="000326DA">
      <w:pPr>
        <w:rPr>
          <w:rFonts w:cs="Arial"/>
          <w:sz w:val="22"/>
          <w:u w:val="single"/>
        </w:rPr>
      </w:pPr>
      <w:r w:rsidRPr="00296E4B">
        <w:rPr>
          <w:rFonts w:cs="Arial"/>
          <w:sz w:val="22"/>
          <w:u w:val="single"/>
        </w:rPr>
        <w:lastRenderedPageBreak/>
        <w:t>Kuchagua miradi ndogo</w:t>
      </w:r>
    </w:p>
    <w:p w14:paraId="2FC98905" w14:textId="77777777" w:rsidR="000326DA" w:rsidRPr="00296E4B" w:rsidRDefault="000326DA" w:rsidP="000326DA">
      <w:pPr>
        <w:rPr>
          <w:rFonts w:cs="Arial"/>
          <w:sz w:val="22"/>
        </w:rPr>
      </w:pPr>
    </w:p>
    <w:p w14:paraId="619A49D3"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Utambulisho wa eneo/tovuti na vipengele muhimu vya kiufundi vya mradi huo;</w:t>
      </w:r>
    </w:p>
    <w:p w14:paraId="770F08A7"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Uchaguzi wa kimazingira na kijamii (fomu za uchunguzi wa kuchunguza), na kuamua kiwango cha hatari ya kimazingira na kijamii, pamoja na aina ya hatari maalum na kuathiri chombo cha usimamizi ili kutayarishwa;</w:t>
      </w:r>
    </w:p>
    <w:p w14:paraId="16CBE92E"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Kuidhinishwa kwa Uainishaji.</w:t>
      </w:r>
    </w:p>
    <w:p w14:paraId="27BD3C97" w14:textId="77777777" w:rsidR="000326DA" w:rsidRPr="00296E4B" w:rsidRDefault="000326DA" w:rsidP="000326DA">
      <w:pPr>
        <w:rPr>
          <w:rFonts w:cs="Arial"/>
          <w:sz w:val="22"/>
        </w:rPr>
      </w:pPr>
    </w:p>
    <w:p w14:paraId="21CA2D25" w14:textId="77777777" w:rsidR="000326DA" w:rsidRPr="00296E4B" w:rsidRDefault="000326DA" w:rsidP="000326DA">
      <w:pPr>
        <w:rPr>
          <w:rFonts w:cs="Arial"/>
          <w:sz w:val="22"/>
          <w:u w:val="single"/>
        </w:rPr>
      </w:pPr>
      <w:r w:rsidRPr="00296E4B">
        <w:rPr>
          <w:rFonts w:cs="Arial"/>
          <w:sz w:val="22"/>
          <w:u w:val="single"/>
        </w:rPr>
        <w:t xml:space="preserve">Kuandaa chombo maalum kwa ajili ya kusimamia hatari ya mazingira na kijamii ya miradi ndogo </w:t>
      </w:r>
    </w:p>
    <w:p w14:paraId="6432B86F" w14:textId="77777777" w:rsidR="000326DA" w:rsidRPr="00296E4B" w:rsidRDefault="000326DA" w:rsidP="000326DA">
      <w:pPr>
        <w:rPr>
          <w:rFonts w:cs="Arial"/>
          <w:sz w:val="22"/>
        </w:rPr>
      </w:pPr>
    </w:p>
    <w:p w14:paraId="08DA6BEB" w14:textId="77777777" w:rsidR="000326DA" w:rsidRPr="00372F9C" w:rsidRDefault="000326DA" w:rsidP="002378EA">
      <w:pPr>
        <w:widowControl w:val="0"/>
        <w:numPr>
          <w:ilvl w:val="0"/>
          <w:numId w:val="68"/>
        </w:numPr>
        <w:autoSpaceDE w:val="0"/>
        <w:autoSpaceDN w:val="0"/>
        <w:rPr>
          <w:rFonts w:eastAsia="MS Mincho" w:cs="Arial"/>
          <w:sz w:val="22"/>
          <w:lang w:val="en-US"/>
        </w:rPr>
      </w:pPr>
      <w:r w:rsidRPr="00372F9C">
        <w:rPr>
          <w:rFonts w:eastAsia="MS Mincho" w:cs="Arial"/>
          <w:sz w:val="22"/>
          <w:lang w:val="en-US"/>
        </w:rPr>
        <w:t>Kutayarisha na kuidhinisha masharti ya kumbukumbu;</w:t>
      </w:r>
    </w:p>
    <w:p w14:paraId="3E6AD7EF" w14:textId="77777777" w:rsidR="000326DA" w:rsidRPr="00372F9C" w:rsidRDefault="000326DA" w:rsidP="002378EA">
      <w:pPr>
        <w:widowControl w:val="0"/>
        <w:numPr>
          <w:ilvl w:val="0"/>
          <w:numId w:val="68"/>
        </w:numPr>
        <w:autoSpaceDE w:val="0"/>
        <w:autoSpaceDN w:val="0"/>
        <w:rPr>
          <w:rFonts w:eastAsia="MS Mincho" w:cs="Arial"/>
          <w:sz w:val="22"/>
          <w:lang w:val="en-US"/>
        </w:rPr>
      </w:pPr>
      <w:r w:rsidRPr="00372F9C">
        <w:rPr>
          <w:rFonts w:eastAsia="MS Mincho" w:cs="Arial"/>
          <w:sz w:val="22"/>
          <w:lang w:val="en-US"/>
        </w:rPr>
        <w:t>Kukamilisha utafiti ikiwa ni pamoja na mashauriano ya umma (wanaonufaika, watu walioathirika, wadau);</w:t>
      </w:r>
    </w:p>
    <w:p w14:paraId="23EAC331"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Kuhalalisha hati na kupata cheti cha mazingira;</w:t>
      </w:r>
    </w:p>
    <w:p w14:paraId="004F00B4"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Uchapishaji wa waraka;</w:t>
      </w:r>
    </w:p>
    <w:p w14:paraId="71DA9AF5"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 xml:space="preserve">Ushirikiano katika faili ororo (DAO) ya mradi ndogo, ya hatua zote za kimazingira na kijamii za awamu ya kazi ambayo inaweza kuwa na uhusiano na kampuni; </w:t>
      </w:r>
    </w:p>
    <w:p w14:paraId="6A77913A"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 xml:space="preserve">Idhini ya PGES-Enterprise na Misheni ya kudhibiti; </w:t>
      </w:r>
    </w:p>
    <w:p w14:paraId="080B5FC6"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Utekelezaji/utekelezaji wa hatua si mkataba na kampuni ya ujenzi;</w:t>
      </w:r>
    </w:p>
    <w:p w14:paraId="3765F284"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Ufuatiliaji wa ndani na nje ya utekelezaji wa hatua za mazingira na kijamii;</w:t>
      </w:r>
    </w:p>
    <w:p w14:paraId="5D1585A6"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Kutolewa kwa ripoti ya ufuatiliaji (ndani na nje);</w:t>
      </w:r>
    </w:p>
    <w:p w14:paraId="1DB50706"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Usimamizi wa mazingira na kijamii (ndani na nje);</w:t>
      </w:r>
    </w:p>
    <w:p w14:paraId="44DB433A"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Kutolewa kwa ripoti ya kufuatilia (ndani na nje);</w:t>
      </w:r>
    </w:p>
    <w:p w14:paraId="2AAEDDF1"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Kuimarisha uwezo wa wadau katika utekelezaji wa mpango wa mazingira na usimamizi wa jamii;</w:t>
      </w:r>
    </w:p>
    <w:p w14:paraId="1185202C"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Ukaguzi wa utekelezaji wa hatua za kimazingira na kijamii.</w:t>
      </w:r>
    </w:p>
    <w:p w14:paraId="3B30059C" w14:textId="77777777" w:rsidR="000326DA" w:rsidRPr="00296E4B" w:rsidRDefault="000326DA" w:rsidP="000326DA">
      <w:pPr>
        <w:rPr>
          <w:rFonts w:cs="Arial"/>
          <w:sz w:val="22"/>
        </w:rPr>
      </w:pPr>
    </w:p>
    <w:p w14:paraId="3C541268" w14:textId="77777777" w:rsidR="000326DA" w:rsidRPr="00296E4B" w:rsidRDefault="000326DA" w:rsidP="000326DA">
      <w:pPr>
        <w:tabs>
          <w:tab w:val="left" w:pos="426"/>
        </w:tabs>
        <w:ind w:firstLine="426"/>
        <w:contextualSpacing/>
        <w:rPr>
          <w:rFonts w:cs="Arial"/>
          <w:sz w:val="22"/>
          <w:u w:val="single"/>
        </w:rPr>
      </w:pPr>
      <w:r w:rsidRPr="00296E4B">
        <w:rPr>
          <w:rFonts w:cs="Arial"/>
          <w:sz w:val="22"/>
          <w:u w:val="single"/>
        </w:rPr>
        <w:t xml:space="preserve">5.2. Viashirio vikuu vya utekelezaji wa CGES </w:t>
      </w:r>
    </w:p>
    <w:p w14:paraId="0052E65E" w14:textId="77777777" w:rsidR="000326DA" w:rsidRPr="00296E4B" w:rsidRDefault="000326DA" w:rsidP="000326DA">
      <w:pPr>
        <w:tabs>
          <w:tab w:val="left" w:pos="426"/>
        </w:tabs>
        <w:contextualSpacing/>
        <w:rPr>
          <w:rFonts w:cs="Arial"/>
          <w:sz w:val="22"/>
          <w:u w:val="single"/>
        </w:rPr>
      </w:pPr>
    </w:p>
    <w:p w14:paraId="075C5BAD" w14:textId="77777777" w:rsidR="000326DA" w:rsidRPr="001F72EC" w:rsidRDefault="000326DA" w:rsidP="000326DA">
      <w:pPr>
        <w:tabs>
          <w:tab w:val="left" w:pos="426"/>
        </w:tabs>
        <w:contextualSpacing/>
        <w:rPr>
          <w:rFonts w:cs="Arial"/>
          <w:sz w:val="22"/>
        </w:rPr>
      </w:pPr>
      <w:r w:rsidRPr="001F72EC">
        <w:rPr>
          <w:rFonts w:cs="Arial"/>
          <w:sz w:val="22"/>
        </w:rPr>
        <w:t xml:space="preserve">Mpango wa kufuatilia utaelezea kile kinachohitajika kufuatiliwa, njia/ufuatiliaji wa vifaa, majukumu ya kufuatilia, kipindi cha kufuatilia. Lengo la mpango huu wa mazingira na ufuatiliaji wa jamii ni kuhakikisha kuwa hatua hizi zinatekelezwa na kutekelezwa kulingana na ratiba. Ili kufikia mwisho huu, viashirio vikuu vilichaguliwa ni: </w:t>
      </w:r>
    </w:p>
    <w:p w14:paraId="7D359FD0" w14:textId="77777777" w:rsidR="000326DA" w:rsidRPr="00296E4B" w:rsidRDefault="000326DA" w:rsidP="000326DA">
      <w:pPr>
        <w:tabs>
          <w:tab w:val="left" w:pos="426"/>
        </w:tabs>
        <w:contextualSpacing/>
        <w:rPr>
          <w:rFonts w:cs="Arial"/>
          <w:sz w:val="22"/>
          <w:u w:val="single"/>
        </w:rPr>
      </w:pPr>
    </w:p>
    <w:p w14:paraId="0D40DDFA"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Viashiria vya kimkakati kufuatiwa na kamati ya uendeshaji wa mradi;</w:t>
      </w:r>
    </w:p>
    <w:p w14:paraId="0C9067E9"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Athari za uchaguzi wa mazingira na jamii (uchunguzi) wa shughuli za programu;</w:t>
      </w:r>
    </w:p>
    <w:p w14:paraId="1AEF0FF1"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Kuwa na athari za ufuatiliaji wa mazingira na "kuripoti";</w:t>
      </w:r>
    </w:p>
    <w:p w14:paraId="6043502A"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Utekelezaji wa mipango ya mafunzo/uelewa juu ya CGES;</w:t>
      </w:r>
    </w:p>
    <w:p w14:paraId="11673D44"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Viashirio vya kufuatiliwa na SSE na SSS/PNDA;</w:t>
      </w:r>
    </w:p>
    <w:p w14:paraId="40A623A8"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Ufanisi wa kuingizwa kwa vifungu vya mazingira katika faili za utekelezaji;</w:t>
      </w:r>
    </w:p>
    <w:p w14:paraId="40B2C896"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Asilimia ya makampuni ya kukubaliana na kanuni za mazingira katika maeneo yao ya ujenzi;</w:t>
      </w:r>
    </w:p>
    <w:p w14:paraId="25C5F331"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Idadi ya waigizaji waliopewa mafunzo/uhamasishaji katika usimamizi wa mazingira na jamii;</w:t>
      </w:r>
    </w:p>
    <w:p w14:paraId="360F6A54"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Kiwango cha ushiriki wa Ckutawazwa kwa mazingira ya mkoa (CPE) katika ufuatiliaji wa utekelezaji wa shughuli;</w:t>
      </w:r>
    </w:p>
    <w:p w14:paraId="086EF5F4"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Idadi ya kampeni za mwamko;</w:t>
      </w:r>
    </w:p>
    <w:p w14:paraId="23DE5886"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Utaratibu na ufanisi wa ufuatiliaji wa ukaribu;</w:t>
      </w:r>
    </w:p>
    <w:p w14:paraId="23F6E014"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lastRenderedPageBreak/>
        <w:t>Idadi ya miradi ndogo ambayo imekuwa somo la EIES na PGES kutekelezwa;</w:t>
      </w:r>
    </w:p>
    <w:p w14:paraId="50FF191C"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Idadi ya mafunzo/vikao vya mwamko kupangwa;</w:t>
      </w:r>
    </w:p>
    <w:p w14:paraId="657329B3" w14:textId="77777777" w:rsidR="000326DA" w:rsidRPr="00372F9C" w:rsidRDefault="000326DA" w:rsidP="002378EA">
      <w:pPr>
        <w:widowControl w:val="0"/>
        <w:numPr>
          <w:ilvl w:val="0"/>
          <w:numId w:val="68"/>
        </w:numPr>
        <w:autoSpaceDE w:val="0"/>
        <w:autoSpaceDN w:val="0"/>
        <w:rPr>
          <w:rFonts w:eastAsia="MS Mincho" w:cs="Arial"/>
          <w:sz w:val="22"/>
          <w:lang w:val="pl-PL"/>
        </w:rPr>
      </w:pPr>
      <w:r w:rsidRPr="00372F9C">
        <w:rPr>
          <w:rFonts w:eastAsia="MS Mincho" w:cs="Arial"/>
          <w:sz w:val="22"/>
          <w:lang w:val="pl-PL"/>
        </w:rPr>
        <w:t xml:space="preserve">Idadi ya usimamizi/ujumbe wa tathmini ya mazingira; </w:t>
      </w:r>
    </w:p>
    <w:p w14:paraId="0E13B2C3"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Idadi ya kazi zilizoundwa ndani ya nchi (kazi za ndani zinazotumiwa kwa kazi);</w:t>
      </w:r>
    </w:p>
    <w:p w14:paraId="24BDAA8C"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Idadi ya watu wazawa na kambi ziko katika eneo la mradi;</w:t>
      </w:r>
    </w:p>
    <w:p w14:paraId="1B44902F"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Idadi ya watu walioathirika na fidia na mradi;</w:t>
      </w:r>
    </w:p>
    <w:p w14:paraId="305C0DF4" w14:textId="77777777" w:rsidR="000326DA" w:rsidRPr="00296E4B" w:rsidRDefault="000326DA" w:rsidP="002378EA">
      <w:pPr>
        <w:widowControl w:val="0"/>
        <w:numPr>
          <w:ilvl w:val="0"/>
          <w:numId w:val="68"/>
        </w:numPr>
        <w:autoSpaceDE w:val="0"/>
        <w:autoSpaceDN w:val="0"/>
        <w:rPr>
          <w:rFonts w:eastAsia="MS Mincho" w:cs="Arial"/>
          <w:sz w:val="22"/>
        </w:rPr>
      </w:pPr>
      <w:r w:rsidRPr="00296E4B">
        <w:rPr>
          <w:rFonts w:eastAsia="MS Mincho" w:cs="Arial"/>
          <w:sz w:val="22"/>
        </w:rPr>
        <w:t>Idadi ya vikao vya mafunzo kwa wafanyakazi VBG kuvunjwa chini na jinsia;</w:t>
      </w:r>
    </w:p>
    <w:p w14:paraId="569009EE" w14:textId="77777777" w:rsidR="000326DA" w:rsidRPr="00372F9C" w:rsidRDefault="000326DA" w:rsidP="002378EA">
      <w:pPr>
        <w:widowControl w:val="0"/>
        <w:numPr>
          <w:ilvl w:val="0"/>
          <w:numId w:val="68"/>
        </w:numPr>
        <w:autoSpaceDE w:val="0"/>
        <w:autoSpaceDN w:val="0"/>
        <w:rPr>
          <w:rFonts w:eastAsia="MS Mincho" w:cs="Arial"/>
          <w:sz w:val="22"/>
          <w:lang w:val="en-US"/>
        </w:rPr>
      </w:pPr>
      <w:r w:rsidRPr="00372F9C">
        <w:rPr>
          <w:rFonts w:eastAsia="MS Mincho" w:cs="Arial"/>
          <w:sz w:val="22"/>
          <w:lang w:val="en-US"/>
        </w:rPr>
        <w:t>Idadi ya vikao retraining kwa wafanyakazi wa VBG;</w:t>
      </w:r>
    </w:p>
    <w:p w14:paraId="6ED9C374"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Idadi ya walionusurika inajulikana kwa ajili ya matibabu CEP;</w:t>
      </w:r>
    </w:p>
    <w:p w14:paraId="332C2ABC" w14:textId="77777777" w:rsidR="000326DA" w:rsidRPr="00296E4B" w:rsidRDefault="000326DA" w:rsidP="002378EA">
      <w:pPr>
        <w:widowControl w:val="0"/>
        <w:numPr>
          <w:ilvl w:val="0"/>
          <w:numId w:val="68"/>
        </w:numPr>
        <w:autoSpaceDE w:val="0"/>
        <w:autoSpaceDN w:val="0"/>
        <w:rPr>
          <w:rFonts w:eastAsia="MS Mincho" w:cs="Arial"/>
          <w:sz w:val="22"/>
          <w:lang w:val="en-US"/>
        </w:rPr>
      </w:pPr>
      <w:r w:rsidRPr="00296E4B">
        <w:rPr>
          <w:rFonts w:eastAsia="MS Mincho" w:cs="Arial"/>
          <w:sz w:val="22"/>
          <w:lang w:val="en-US"/>
        </w:rPr>
        <w:t>Idadi ya manusura ambao wamepokea huduma ya matibabu;</w:t>
      </w:r>
    </w:p>
    <w:p w14:paraId="40702FDC"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Idadi ya walionusurika inajulikana kwa CEP kisaikolojia;</w:t>
      </w:r>
    </w:p>
    <w:p w14:paraId="2AE8E24A"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Idadi ya walionusurika ambao wamepokea CEP wa kisaikolojia;</w:t>
      </w:r>
    </w:p>
    <w:p w14:paraId="433E02C8"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Idadi ya walionusurika zilizotajwa ushauri wa kisheria;</w:t>
      </w:r>
    </w:p>
    <w:p w14:paraId="3CFD7A97"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Idadi ya walionusurika inajulikana kwa ajili ya mahakama/kisheria CEP;</w:t>
      </w:r>
    </w:p>
    <w:p w14:paraId="6354B4B7"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Idadi ya vikao vya ufahamu katika VBG na MGP ;</w:t>
      </w:r>
    </w:p>
    <w:p w14:paraId="43A5C3B8" w14:textId="77777777" w:rsidR="000326DA" w:rsidRPr="001C5995" w:rsidRDefault="000326DA" w:rsidP="002378EA">
      <w:pPr>
        <w:widowControl w:val="0"/>
        <w:numPr>
          <w:ilvl w:val="0"/>
          <w:numId w:val="68"/>
        </w:numPr>
        <w:autoSpaceDE w:val="0"/>
        <w:autoSpaceDN w:val="0"/>
        <w:rPr>
          <w:rFonts w:eastAsia="MS Mincho" w:cs="Arial"/>
          <w:sz w:val="22"/>
          <w:lang w:val="pl-PL"/>
        </w:rPr>
      </w:pPr>
      <w:r w:rsidRPr="001C5995">
        <w:rPr>
          <w:rFonts w:eastAsia="MS Mincho" w:cs="Arial"/>
          <w:sz w:val="22"/>
          <w:lang w:val="pl-PL"/>
        </w:rPr>
        <w:t>Idadi ya watu walengwa waliovunjwa na jinsia na umri.</w:t>
      </w:r>
    </w:p>
    <w:p w14:paraId="4952519F" w14:textId="77777777" w:rsidR="000326DA" w:rsidRPr="001C5995" w:rsidRDefault="000326DA" w:rsidP="000326DA">
      <w:pPr>
        <w:rPr>
          <w:rFonts w:cs="Arial"/>
          <w:color w:val="000000"/>
          <w:sz w:val="22"/>
          <w:lang w:val="pl-PL"/>
        </w:rPr>
      </w:pPr>
    </w:p>
    <w:p w14:paraId="76120A30" w14:textId="77777777" w:rsidR="000326DA" w:rsidRPr="001C5995" w:rsidRDefault="000326DA" w:rsidP="000326DA">
      <w:pPr>
        <w:rPr>
          <w:rFonts w:cs="Arial"/>
          <w:color w:val="000000"/>
          <w:sz w:val="22"/>
          <w:lang w:val="pl-PL"/>
        </w:rPr>
      </w:pPr>
      <w:r w:rsidRPr="001C5995">
        <w:rPr>
          <w:rFonts w:cs="Arial"/>
          <w:color w:val="000000"/>
          <w:sz w:val="22"/>
          <w:lang w:val="pl-PL"/>
        </w:rPr>
        <w:t>Mipango ya kitaasisi ya utekelezaji wa PCGES:</w:t>
      </w:r>
    </w:p>
    <w:p w14:paraId="2D1DD3F1" w14:textId="77777777" w:rsidR="000326DA" w:rsidRPr="001C5995" w:rsidRDefault="000326DA" w:rsidP="000326DA">
      <w:pPr>
        <w:rPr>
          <w:rFonts w:cs="Arial"/>
          <w:color w:val="000000"/>
          <w:sz w:val="22"/>
          <w:lang w:val="pl-PL"/>
        </w:rPr>
      </w:pPr>
    </w:p>
    <w:p w14:paraId="6C588BCE" w14:textId="77777777" w:rsidR="000326DA" w:rsidRPr="001C5995" w:rsidRDefault="000326DA" w:rsidP="000326DA">
      <w:pPr>
        <w:rPr>
          <w:rFonts w:cs="Arial"/>
          <w:color w:val="000000"/>
          <w:sz w:val="22"/>
          <w:lang w:val="pl-PL"/>
        </w:rPr>
      </w:pPr>
      <w:r w:rsidRPr="001C5995">
        <w:rPr>
          <w:rFonts w:cs="Arial"/>
          <w:color w:val="000000"/>
          <w:sz w:val="22"/>
          <w:lang w:val="pl-PL"/>
        </w:rPr>
        <w:t>Aya hii inafafanua majukumu na majukumu ya kutekeleza hatua za kimazingira kwa PNDA:</w:t>
      </w:r>
    </w:p>
    <w:p w14:paraId="1BF85413" w14:textId="77777777" w:rsidR="000326DA" w:rsidRPr="001C5995" w:rsidRDefault="000326DA" w:rsidP="000326DA">
      <w:pPr>
        <w:rPr>
          <w:rFonts w:cs="Arial"/>
          <w:color w:val="000000"/>
          <w:sz w:val="22"/>
          <w:lang w:val="pl-PL"/>
        </w:rPr>
      </w:pPr>
    </w:p>
    <w:p w14:paraId="20BE28A8" w14:textId="77777777" w:rsidR="000326DA" w:rsidRPr="001C5995" w:rsidRDefault="000326DA" w:rsidP="002378EA">
      <w:pPr>
        <w:pStyle w:val="Paragraphedeliste"/>
        <w:numPr>
          <w:ilvl w:val="0"/>
          <w:numId w:val="29"/>
        </w:numPr>
        <w:jc w:val="left"/>
        <w:rPr>
          <w:rFonts w:cs="Arial"/>
          <w:i/>
          <w:color w:val="000000"/>
          <w:sz w:val="22"/>
          <w:lang w:val="pl-PL"/>
        </w:rPr>
      </w:pPr>
      <w:r w:rsidRPr="001C5995">
        <w:rPr>
          <w:rFonts w:cs="Arial"/>
          <w:i/>
          <w:color w:val="000000"/>
          <w:sz w:val="22"/>
          <w:lang w:val="pl-PL"/>
        </w:rPr>
        <w:t xml:space="preserve">PNDA maandalizi na ufuatiliaji wa kamati ya ufundi </w:t>
      </w:r>
    </w:p>
    <w:p w14:paraId="3A2A8102" w14:textId="77777777" w:rsidR="000326DA" w:rsidRPr="001C5995" w:rsidRDefault="000326DA" w:rsidP="000326DA">
      <w:pPr>
        <w:rPr>
          <w:rFonts w:cs="Arial"/>
          <w:color w:val="000000"/>
          <w:sz w:val="22"/>
          <w:lang w:val="pl-PL"/>
        </w:rPr>
      </w:pPr>
    </w:p>
    <w:p w14:paraId="0BA40A9D" w14:textId="77777777" w:rsidR="000326DA" w:rsidRPr="001C5995" w:rsidRDefault="000326DA" w:rsidP="000326DA">
      <w:pPr>
        <w:rPr>
          <w:rFonts w:cs="Arial"/>
          <w:color w:val="000000"/>
          <w:sz w:val="22"/>
          <w:lang w:val="pl-PL"/>
        </w:rPr>
      </w:pPr>
      <w:r w:rsidRPr="001C5995">
        <w:rPr>
          <w:rFonts w:cs="Arial"/>
          <w:color w:val="000000"/>
          <w:sz w:val="22"/>
          <w:lang w:val="pl-PL"/>
        </w:rPr>
        <w:t xml:space="preserve">PNDA ya maandalizi na ufuatiliaji wa kamati ya ufundi (CTPS), kwa kushirikiana na USIP/PARRSA, kutoa maandalizi ya kiufundi na ufuatiliaji wa PNDA. </w:t>
      </w:r>
    </w:p>
    <w:p w14:paraId="2F37D731" w14:textId="77777777" w:rsidR="000326DA" w:rsidRPr="001C5995" w:rsidRDefault="000326DA" w:rsidP="000326DA">
      <w:pPr>
        <w:rPr>
          <w:rFonts w:cs="Arial"/>
          <w:color w:val="000000"/>
          <w:sz w:val="22"/>
          <w:lang w:val="pl-PL"/>
        </w:rPr>
      </w:pPr>
    </w:p>
    <w:p w14:paraId="0C474873" w14:textId="77777777" w:rsidR="000326DA" w:rsidRPr="001C5995" w:rsidRDefault="000326DA" w:rsidP="002378EA">
      <w:pPr>
        <w:pStyle w:val="Paragraphedeliste"/>
        <w:numPr>
          <w:ilvl w:val="0"/>
          <w:numId w:val="29"/>
        </w:numPr>
        <w:jc w:val="left"/>
        <w:rPr>
          <w:rFonts w:cs="Arial"/>
          <w:i/>
          <w:color w:val="000000"/>
          <w:sz w:val="22"/>
          <w:lang w:val="pl-PL"/>
        </w:rPr>
      </w:pPr>
      <w:r w:rsidRPr="001C5995">
        <w:rPr>
          <w:rFonts w:cs="Arial"/>
          <w:i/>
          <w:color w:val="000000"/>
          <w:sz w:val="22"/>
          <w:lang w:val="pl-PL"/>
        </w:rPr>
        <w:t>Si zaidi/PARRSA, UUNCP na mradi na kitengo cha usimamizi wa masoko ya umma (CUNCPMP)</w:t>
      </w:r>
    </w:p>
    <w:p w14:paraId="25B3087F" w14:textId="77777777" w:rsidR="000326DA" w:rsidRPr="001C5995" w:rsidRDefault="000326DA" w:rsidP="000326DA">
      <w:pPr>
        <w:rPr>
          <w:rFonts w:cs="Arial"/>
          <w:color w:val="000000"/>
          <w:sz w:val="22"/>
          <w:lang w:val="pl-PL"/>
        </w:rPr>
      </w:pPr>
    </w:p>
    <w:p w14:paraId="6059A3C3" w14:textId="77777777" w:rsidR="000326DA" w:rsidRPr="001C5995" w:rsidRDefault="000326DA" w:rsidP="000326DA">
      <w:pPr>
        <w:rPr>
          <w:rFonts w:cs="Arial"/>
          <w:color w:val="000000"/>
          <w:sz w:val="22"/>
          <w:lang w:val="pl-PL"/>
        </w:rPr>
      </w:pPr>
      <w:r w:rsidRPr="001C5995">
        <w:rPr>
          <w:rFonts w:cs="Arial"/>
          <w:color w:val="000000"/>
          <w:sz w:val="22"/>
          <w:lang w:val="pl-PL"/>
        </w:rPr>
        <w:t>Katika awamu ya maandalizi na kusubiri utekelezaji wa UNP/PARRSA na UUNCP Coordinations, mikoa, kwa msaada wa kamati ya maandalizi ya ufundi, itakuwa kuratibu mradi.</w:t>
      </w:r>
    </w:p>
    <w:p w14:paraId="69EC4F72" w14:textId="77777777" w:rsidR="000326DA" w:rsidRPr="001C5995" w:rsidRDefault="000326DA" w:rsidP="000326DA">
      <w:pPr>
        <w:rPr>
          <w:rFonts w:cs="Arial"/>
          <w:color w:val="000000"/>
          <w:sz w:val="22"/>
          <w:lang w:val="pl-PL"/>
        </w:rPr>
      </w:pPr>
    </w:p>
    <w:p w14:paraId="29B0BFED" w14:textId="77777777" w:rsidR="000326DA" w:rsidRPr="001C5995" w:rsidRDefault="000326DA" w:rsidP="000326DA">
      <w:pPr>
        <w:rPr>
          <w:rFonts w:cs="Arial"/>
          <w:color w:val="000000"/>
          <w:sz w:val="22"/>
          <w:lang w:val="pl-PL"/>
        </w:rPr>
      </w:pPr>
      <w:r w:rsidRPr="001C5995">
        <w:rPr>
          <w:rFonts w:cs="Arial"/>
          <w:color w:val="000000"/>
          <w:sz w:val="22"/>
          <w:lang w:val="pl-PL"/>
        </w:rPr>
        <w:t xml:space="preserve">PNDA ya PUNCP itahakikisha kuwa masuala ya mazingira na jamii na masuala hayo huchukuliwa katika utekelezaji wa shughuli za mradi katika eneo la kijiografia la mradi. Itakuwa na wajibu wa jumla wa utekelezaji wa CGES hii na ulinzi wa mazingira na kijamii na vyombo vinavyohusiana na mradi. </w:t>
      </w:r>
    </w:p>
    <w:p w14:paraId="7CBFB612" w14:textId="77777777" w:rsidR="000326DA" w:rsidRPr="001C5995" w:rsidRDefault="000326DA" w:rsidP="000326DA">
      <w:pPr>
        <w:rPr>
          <w:rFonts w:cs="Arial"/>
          <w:color w:val="000000"/>
          <w:sz w:val="22"/>
          <w:lang w:val="pl-PL"/>
        </w:rPr>
      </w:pPr>
    </w:p>
    <w:p w14:paraId="61B8BB9C" w14:textId="77777777" w:rsidR="000326DA" w:rsidRPr="00296E4B" w:rsidRDefault="000326DA" w:rsidP="002378EA">
      <w:pPr>
        <w:pStyle w:val="Paragraphedeliste"/>
        <w:numPr>
          <w:ilvl w:val="0"/>
          <w:numId w:val="29"/>
        </w:numPr>
        <w:jc w:val="left"/>
        <w:rPr>
          <w:rFonts w:cs="Arial"/>
          <w:i/>
          <w:color w:val="000000"/>
          <w:sz w:val="22"/>
        </w:rPr>
      </w:pPr>
      <w:r w:rsidRPr="00296E4B">
        <w:rPr>
          <w:rFonts w:cs="Arial"/>
          <w:i/>
          <w:color w:val="000000"/>
          <w:sz w:val="22"/>
        </w:rPr>
        <w:t xml:space="preserve">Shirika la mazingira ya Kongo (ACE) </w:t>
      </w:r>
    </w:p>
    <w:p w14:paraId="07023F3E" w14:textId="77777777" w:rsidR="000326DA" w:rsidRPr="00296E4B" w:rsidRDefault="000326DA" w:rsidP="000326DA">
      <w:pPr>
        <w:rPr>
          <w:rFonts w:cs="Arial"/>
          <w:color w:val="000000"/>
          <w:sz w:val="22"/>
        </w:rPr>
      </w:pPr>
    </w:p>
    <w:p w14:paraId="7C40F2C1" w14:textId="77777777" w:rsidR="000326DA" w:rsidRPr="00296E4B" w:rsidRDefault="000326DA" w:rsidP="000326DA">
      <w:pPr>
        <w:rPr>
          <w:rFonts w:cs="Arial"/>
          <w:color w:val="000000"/>
          <w:sz w:val="22"/>
        </w:rPr>
      </w:pPr>
      <w:r w:rsidRPr="00296E4B">
        <w:rPr>
          <w:rFonts w:cs="Arial"/>
          <w:color w:val="000000"/>
          <w:sz w:val="22"/>
        </w:rPr>
        <w:t>Ni (i) itakuwa kushiriki katika Uainishaji wa mazingira ya shughuli, (ii) itahakikisha ya mazingira na kijamii kulinda nyaraka zinazozalishwa na washauri, (iii) itahakikisha, kwa niaba ya CTPS, ufuatiliaji wa mazingira ya shughuli za PNDA.</w:t>
      </w:r>
    </w:p>
    <w:p w14:paraId="62ADD005" w14:textId="77777777" w:rsidR="000326DA" w:rsidRDefault="000326DA" w:rsidP="000326DA">
      <w:pPr>
        <w:rPr>
          <w:rFonts w:cs="Arial"/>
          <w:color w:val="000000"/>
          <w:sz w:val="22"/>
        </w:rPr>
      </w:pPr>
    </w:p>
    <w:p w14:paraId="41123E09" w14:textId="77777777" w:rsidR="000326DA" w:rsidRPr="00296E4B" w:rsidRDefault="000326DA" w:rsidP="002378EA">
      <w:pPr>
        <w:pStyle w:val="Paragraphedeliste"/>
        <w:numPr>
          <w:ilvl w:val="0"/>
          <w:numId w:val="29"/>
        </w:numPr>
        <w:jc w:val="left"/>
        <w:rPr>
          <w:rFonts w:cs="Arial"/>
          <w:i/>
          <w:color w:val="000000"/>
          <w:sz w:val="22"/>
        </w:rPr>
      </w:pPr>
      <w:r w:rsidRPr="00296E4B">
        <w:rPr>
          <w:rFonts w:cs="Arial"/>
          <w:i/>
          <w:color w:val="000000"/>
          <w:sz w:val="22"/>
        </w:rPr>
        <w:t xml:space="preserve">Jimbo la Coordinations kwa mazingira (CPE) </w:t>
      </w:r>
    </w:p>
    <w:p w14:paraId="73E2C086" w14:textId="77777777" w:rsidR="000326DA" w:rsidRPr="00296E4B" w:rsidRDefault="000326DA" w:rsidP="000326DA">
      <w:pPr>
        <w:rPr>
          <w:rFonts w:cs="Arial"/>
          <w:color w:val="000000"/>
          <w:sz w:val="22"/>
        </w:rPr>
      </w:pPr>
    </w:p>
    <w:p w14:paraId="5D00CC0A" w14:textId="77777777" w:rsidR="000326DA" w:rsidRPr="00296E4B" w:rsidRDefault="000326DA" w:rsidP="000326DA">
      <w:pPr>
        <w:rPr>
          <w:rFonts w:cs="Arial"/>
          <w:color w:val="000000"/>
          <w:sz w:val="22"/>
        </w:rPr>
      </w:pPr>
      <w:r w:rsidRPr="00296E4B">
        <w:rPr>
          <w:rFonts w:cs="Arial"/>
          <w:color w:val="000000"/>
          <w:sz w:val="22"/>
        </w:rPr>
        <w:t>Wataunga mkono mikoa ambayo bado haijatekeleza CEA, kwa msaada wa PNDA (awamu ya maandalizi) na kisha U</w:t>
      </w:r>
      <w:r>
        <w:rPr>
          <w:rFonts w:cs="Arial"/>
          <w:color w:val="000000"/>
          <w:sz w:val="22"/>
        </w:rPr>
        <w:t>UNCP</w:t>
      </w:r>
      <w:r w:rsidRPr="00296E4B">
        <w:rPr>
          <w:rFonts w:cs="Arial"/>
          <w:color w:val="000000"/>
          <w:sz w:val="22"/>
        </w:rPr>
        <w:t xml:space="preserve"> (hatua ya utekelezaji), katika Uainishaji wa miradi ndogo na itaingilia kati ufuatiliaji wa utekelezaji wa miradi ndogo.</w:t>
      </w:r>
    </w:p>
    <w:p w14:paraId="02A0831D" w14:textId="77777777" w:rsidR="000326DA" w:rsidRPr="00296E4B" w:rsidRDefault="000326DA" w:rsidP="000326DA">
      <w:pPr>
        <w:rPr>
          <w:rFonts w:cs="Arial"/>
          <w:color w:val="000000"/>
          <w:sz w:val="22"/>
        </w:rPr>
      </w:pPr>
    </w:p>
    <w:p w14:paraId="62D29D17" w14:textId="77777777" w:rsidR="000326DA" w:rsidRPr="00296E4B" w:rsidRDefault="000326DA" w:rsidP="000326DA">
      <w:pPr>
        <w:rPr>
          <w:rFonts w:cs="Arial"/>
          <w:color w:val="000000"/>
          <w:sz w:val="22"/>
        </w:rPr>
      </w:pPr>
      <w:r w:rsidRPr="00296E4B">
        <w:rPr>
          <w:rFonts w:cs="Arial"/>
          <w:color w:val="000000"/>
          <w:sz w:val="22"/>
        </w:rPr>
        <w:lastRenderedPageBreak/>
        <w:t>Taasisi nyingine zinazohusika katika utekelezaji wa PNDA ni pamoja na:</w:t>
      </w:r>
    </w:p>
    <w:p w14:paraId="44E165FB" w14:textId="77777777" w:rsidR="000326DA" w:rsidRPr="00296E4B" w:rsidRDefault="000326DA" w:rsidP="000326DA">
      <w:pPr>
        <w:tabs>
          <w:tab w:val="left" w:pos="426"/>
        </w:tabs>
        <w:contextualSpacing/>
        <w:rPr>
          <w:rFonts w:cs="Arial"/>
          <w:i/>
          <w:sz w:val="22"/>
        </w:rPr>
      </w:pPr>
    </w:p>
    <w:p w14:paraId="16122ADF" w14:textId="77777777" w:rsidR="000326DA" w:rsidRPr="001F72EC" w:rsidRDefault="000326DA" w:rsidP="002378EA">
      <w:pPr>
        <w:pStyle w:val="Paragraphedeliste"/>
        <w:numPr>
          <w:ilvl w:val="0"/>
          <w:numId w:val="29"/>
        </w:numPr>
        <w:rPr>
          <w:rFonts w:eastAsia="MS Mincho" w:cs="Arial"/>
          <w:sz w:val="22"/>
        </w:rPr>
      </w:pPr>
      <w:r w:rsidRPr="001F72EC">
        <w:rPr>
          <w:rFonts w:eastAsia="MS Mincho" w:cs="Arial"/>
          <w:sz w:val="22"/>
        </w:rPr>
        <w:t xml:space="preserve">Taasisi ya Kongo ya Uhifadhi wa Mazingira (ICCN): Itatoa ufuatiliaji wa nje wa maeneo ya wanyamapori na hifadhi; </w:t>
      </w:r>
    </w:p>
    <w:p w14:paraId="52037AF0" w14:textId="77777777" w:rsidR="000326DA" w:rsidRPr="001F72EC" w:rsidRDefault="000326DA" w:rsidP="002378EA">
      <w:pPr>
        <w:pStyle w:val="Paragraphedeliste"/>
        <w:numPr>
          <w:ilvl w:val="0"/>
          <w:numId w:val="29"/>
        </w:numPr>
        <w:rPr>
          <w:rFonts w:eastAsia="MS Mincho" w:cs="Arial"/>
          <w:sz w:val="22"/>
        </w:rPr>
      </w:pPr>
      <w:r w:rsidRPr="001F72EC">
        <w:rPr>
          <w:rFonts w:eastAsia="MS Mincho" w:cs="Arial"/>
          <w:sz w:val="22"/>
        </w:rPr>
        <w:t xml:space="preserve">Kurugenzi ya Uhifadhi wa Mazingira (DCN): Itafuatilia shughuli za uchakavu; </w:t>
      </w:r>
    </w:p>
    <w:p w14:paraId="6A901F6D" w14:textId="77777777" w:rsidR="000326DA" w:rsidRPr="001F72EC" w:rsidRDefault="000326DA" w:rsidP="002378EA">
      <w:pPr>
        <w:pStyle w:val="Paragraphedeliste"/>
        <w:numPr>
          <w:ilvl w:val="0"/>
          <w:numId w:val="29"/>
        </w:numPr>
        <w:rPr>
          <w:rFonts w:eastAsia="MS Mincho" w:cs="Arial"/>
          <w:sz w:val="22"/>
        </w:rPr>
      </w:pPr>
      <w:r w:rsidRPr="001F72EC">
        <w:rPr>
          <w:rFonts w:eastAsia="MS Mincho" w:cs="Arial"/>
          <w:sz w:val="22"/>
        </w:rPr>
        <w:t xml:space="preserve">Kurugenzi ya Njia za Jangwa la Kilimo (DVDA): Itashughulikia ufuatiliaji wa njia za vijijini; </w:t>
      </w:r>
    </w:p>
    <w:p w14:paraId="36129B6C" w14:textId="77777777" w:rsidR="000326DA" w:rsidRPr="001F72EC" w:rsidRDefault="000326DA" w:rsidP="002378EA">
      <w:pPr>
        <w:pStyle w:val="Paragraphedeliste"/>
        <w:numPr>
          <w:ilvl w:val="0"/>
          <w:numId w:val="29"/>
        </w:numPr>
        <w:rPr>
          <w:rFonts w:eastAsia="MS Mincho" w:cs="Arial"/>
          <w:sz w:val="22"/>
        </w:rPr>
      </w:pPr>
      <w:r w:rsidRPr="001F72EC">
        <w:rPr>
          <w:rFonts w:eastAsia="MS Mincho" w:cs="Arial"/>
          <w:sz w:val="22"/>
        </w:rPr>
        <w:t xml:space="preserve">Huduma ya Kitaifa ya Majimaji Vijijini (SNHR): Itafuatilia ubora wa rasilimali za maji </w:t>
      </w:r>
    </w:p>
    <w:p w14:paraId="02E15D9F" w14:textId="77777777" w:rsidR="000326DA" w:rsidRPr="001F72EC" w:rsidRDefault="000326DA" w:rsidP="002378EA">
      <w:pPr>
        <w:pStyle w:val="Paragraphedeliste"/>
        <w:numPr>
          <w:ilvl w:val="0"/>
          <w:numId w:val="29"/>
        </w:numPr>
        <w:rPr>
          <w:rFonts w:eastAsia="MS Mincho" w:cs="Arial"/>
          <w:sz w:val="22"/>
        </w:rPr>
      </w:pPr>
      <w:r w:rsidRPr="001F72EC">
        <w:rPr>
          <w:rFonts w:eastAsia="MS Mincho" w:cs="Arial"/>
          <w:sz w:val="22"/>
        </w:rPr>
        <w:t xml:space="preserve">Mamlaka za mitaa: watashiriki katika ufuatiliaji wa mazingira na kijamii kupitia huduma zao za kiufundi za manispaa;  </w:t>
      </w:r>
    </w:p>
    <w:p w14:paraId="1AD15902" w14:textId="77777777" w:rsidR="000326DA" w:rsidRPr="001F72EC" w:rsidRDefault="000326DA" w:rsidP="002378EA">
      <w:pPr>
        <w:pStyle w:val="Paragraphedeliste"/>
        <w:numPr>
          <w:ilvl w:val="0"/>
          <w:numId w:val="29"/>
        </w:numPr>
        <w:rPr>
          <w:rFonts w:eastAsia="MS Mincho" w:cs="Arial"/>
          <w:sz w:val="22"/>
        </w:rPr>
      </w:pPr>
      <w:r w:rsidRPr="001F72EC">
        <w:rPr>
          <w:rFonts w:eastAsia="MS Mincho" w:cs="Arial"/>
          <w:sz w:val="22"/>
        </w:rPr>
        <w:t xml:space="preserve">Makampuni ya Kazi: Wanawajibika kupitia Mtaalamu wao wa Mazingira, utekelezaji wa PGES na uandaaji wa ripoti za utekelezaji wa ripoti zinazoitwa PGES; </w:t>
      </w:r>
    </w:p>
    <w:p w14:paraId="6C5056B3" w14:textId="77777777" w:rsidR="000326DA" w:rsidRPr="001F72EC" w:rsidRDefault="000326DA" w:rsidP="002378EA">
      <w:pPr>
        <w:pStyle w:val="Paragraphedeliste"/>
        <w:numPr>
          <w:ilvl w:val="0"/>
          <w:numId w:val="29"/>
        </w:numPr>
        <w:rPr>
          <w:rFonts w:eastAsia="MS Mincho" w:cs="Arial"/>
          <w:sz w:val="22"/>
        </w:rPr>
      </w:pPr>
      <w:r w:rsidRPr="001F72EC">
        <w:rPr>
          <w:rFonts w:eastAsia="MS Mincho" w:cs="Arial"/>
          <w:sz w:val="22"/>
        </w:rPr>
        <w:t>Kudhibiti Misioni: Kuwa na Mtaalamu wa Mazingira peke yao, mtaalamu anawajibika kwa ufuatiliaji wa kila siku wa utekelezaji wa PGES na maendeleo ya ripoti ya ufuatiliaji wa mazingira na kijamii kupelekwa kwa UGP/PNDA;</w:t>
      </w:r>
    </w:p>
    <w:p w14:paraId="611B11FA" w14:textId="77777777" w:rsidR="000326DA" w:rsidRPr="001F72EC" w:rsidRDefault="000326DA" w:rsidP="002378EA">
      <w:pPr>
        <w:pStyle w:val="Paragraphedeliste"/>
        <w:numPr>
          <w:ilvl w:val="0"/>
          <w:numId w:val="29"/>
        </w:numPr>
        <w:rPr>
          <w:rFonts w:eastAsia="MS Mincho" w:cs="Arial"/>
          <w:sz w:val="22"/>
        </w:rPr>
      </w:pPr>
      <w:r w:rsidRPr="001F72EC">
        <w:rPr>
          <w:rFonts w:eastAsia="MS Mincho" w:cs="Arial"/>
          <w:sz w:val="22"/>
        </w:rPr>
        <w:t>Asasi zisizo za kiraia katika sekta ya kilimo, ikiwa ni pamoja na MASHIRIKA YASIYO ya Kiserikali ya VBG, ikiwa ni pamoja na EAS na HS, na COVID-19 Mbali na uhamasishaji wa jamii, watashiriki katika kuongeza uelewa na kufuatilia utekelezaji wa PGES kupitia kuhoji watendaji wakuu wa PNDA;</w:t>
      </w:r>
    </w:p>
    <w:p w14:paraId="668D94E3" w14:textId="77777777" w:rsidR="000326DA" w:rsidRPr="001F72EC" w:rsidRDefault="000326DA" w:rsidP="002378EA">
      <w:pPr>
        <w:pStyle w:val="Paragraphedeliste"/>
        <w:numPr>
          <w:ilvl w:val="0"/>
          <w:numId w:val="29"/>
        </w:numPr>
        <w:rPr>
          <w:rFonts w:eastAsia="MS Mincho" w:cs="Arial"/>
          <w:sz w:val="22"/>
        </w:rPr>
      </w:pPr>
      <w:r w:rsidRPr="001F72EC">
        <w:rPr>
          <w:rFonts w:eastAsia="MS Mincho" w:cs="Arial"/>
          <w:sz w:val="22"/>
        </w:rPr>
        <w:t>Idara za Mkoa wa Jinsia, Familia na Mtoto na Idara za Mkoa wa Afya (DPS) kama miili ya kawaida ya itifaki za utunzaji juu ya masuala ya VBG.</w:t>
      </w:r>
    </w:p>
    <w:p w14:paraId="6095A5F9" w14:textId="77777777" w:rsidR="000326DA" w:rsidRPr="00296E4B" w:rsidRDefault="000326DA" w:rsidP="000326DA">
      <w:pPr>
        <w:ind w:left="720"/>
        <w:rPr>
          <w:rFonts w:cs="Arial"/>
          <w:color w:val="000000"/>
          <w:sz w:val="22"/>
        </w:rPr>
      </w:pPr>
    </w:p>
    <w:p w14:paraId="680D35AB" w14:textId="77777777" w:rsidR="000326DA" w:rsidRPr="00296E4B" w:rsidRDefault="000326DA" w:rsidP="000326DA">
      <w:pPr>
        <w:rPr>
          <w:rFonts w:cs="Arial"/>
          <w:color w:val="000000"/>
          <w:sz w:val="22"/>
        </w:rPr>
      </w:pPr>
      <w:r w:rsidRPr="00296E4B">
        <w:rPr>
          <w:rFonts w:cs="Arial"/>
          <w:color w:val="000000"/>
          <w:sz w:val="22"/>
        </w:rPr>
        <w:t>Majukumu na majukumu ya kutekeleza hatua za usimamizi wa mazingira na jamii</w:t>
      </w:r>
    </w:p>
    <w:p w14:paraId="5DD0D6C2" w14:textId="77777777" w:rsidR="000326DA" w:rsidRPr="00296E4B" w:rsidRDefault="000326DA" w:rsidP="000326DA">
      <w:pPr>
        <w:ind w:left="720"/>
        <w:rPr>
          <w:rFonts w:cs="Arial"/>
          <w:color w:val="000000"/>
          <w:sz w:val="22"/>
        </w:rPr>
      </w:pPr>
    </w:p>
    <w:p w14:paraId="2FCBB10F" w14:textId="77777777" w:rsidR="000326DA" w:rsidRPr="00296E4B" w:rsidRDefault="000326DA" w:rsidP="002378EA">
      <w:pPr>
        <w:numPr>
          <w:ilvl w:val="0"/>
          <w:numId w:val="26"/>
        </w:numPr>
        <w:rPr>
          <w:rFonts w:cs="Arial"/>
          <w:i/>
          <w:color w:val="000000"/>
          <w:sz w:val="22"/>
        </w:rPr>
      </w:pPr>
      <w:r w:rsidRPr="00296E4B">
        <w:rPr>
          <w:rFonts w:cs="Arial"/>
          <w:i/>
          <w:color w:val="000000"/>
          <w:sz w:val="22"/>
        </w:rPr>
        <w:t xml:space="preserve">Kamati ya ufundi ya maandalizi </w:t>
      </w:r>
      <w:r w:rsidRPr="00296E4B">
        <w:rPr>
          <w:rFonts w:cs="Arial"/>
          <w:color w:val="000000"/>
          <w:sz w:val="22"/>
        </w:rPr>
        <w:t>na ufuatiliaji inawajibika kwa ajili ya utaratibu wa uidhinishaji wa kugawa wakati wa awamu ya maandalizi ya mradi wa PPA. Ni kuratibu usambazaji wa ripoti na unp/PARRSA. Katika awamu ya utekelezaji wa mradi huu, kazi hii ya kibali itaofanywa na Mratibu wa P</w:t>
      </w:r>
      <w:r>
        <w:rPr>
          <w:rFonts w:cs="Arial"/>
          <w:color w:val="000000"/>
          <w:sz w:val="22"/>
        </w:rPr>
        <w:t>UNCP</w:t>
      </w:r>
      <w:r w:rsidRPr="00296E4B">
        <w:rPr>
          <w:rFonts w:cs="Arial"/>
          <w:color w:val="000000"/>
          <w:sz w:val="22"/>
        </w:rPr>
        <w:t>/PNDA</w:t>
      </w:r>
      <w:r w:rsidRPr="00296E4B">
        <w:rPr>
          <w:rFonts w:cs="Arial"/>
          <w:i/>
          <w:color w:val="000000"/>
          <w:sz w:val="22"/>
        </w:rPr>
        <w:t>.</w:t>
      </w:r>
    </w:p>
    <w:p w14:paraId="34546B76" w14:textId="77777777" w:rsidR="000326DA" w:rsidRPr="00296E4B" w:rsidRDefault="000326DA" w:rsidP="000326DA">
      <w:pPr>
        <w:ind w:left="720"/>
        <w:rPr>
          <w:rFonts w:cs="Arial"/>
          <w:i/>
          <w:color w:val="000000"/>
          <w:sz w:val="22"/>
        </w:rPr>
      </w:pPr>
    </w:p>
    <w:p w14:paraId="25AB4DA2" w14:textId="77777777" w:rsidR="000326DA" w:rsidRPr="00296E4B" w:rsidRDefault="000326DA" w:rsidP="002378EA">
      <w:pPr>
        <w:numPr>
          <w:ilvl w:val="0"/>
          <w:numId w:val="26"/>
        </w:numPr>
        <w:rPr>
          <w:rFonts w:cs="Arial"/>
          <w:i/>
          <w:color w:val="000000"/>
          <w:sz w:val="22"/>
        </w:rPr>
      </w:pPr>
      <w:r w:rsidRPr="00296E4B">
        <w:rPr>
          <w:rFonts w:cs="Arial"/>
          <w:i/>
          <w:color w:val="000000"/>
          <w:sz w:val="22"/>
        </w:rPr>
        <w:t xml:space="preserve">Ya mazingira ya Backup mtaalamu na maendeleo ya kijamii mtaalamu pamoja na mtaalamu VBG </w:t>
      </w:r>
      <w:r w:rsidRPr="00296E4B">
        <w:rPr>
          <w:rFonts w:cs="Arial"/>
          <w:color w:val="000000"/>
          <w:sz w:val="22"/>
        </w:rPr>
        <w:t>katika awamu ya maandalizi itahakikisha utekelezaji wa ulinzi wote wa mazingira na kijamii wakati wa muda wa mradi:</w:t>
      </w:r>
      <w:r w:rsidRPr="00296E4B">
        <w:rPr>
          <w:rFonts w:cs="Arial"/>
          <w:i/>
          <w:color w:val="000000"/>
          <w:sz w:val="22"/>
        </w:rPr>
        <w:t xml:space="preserve"> (i)</w:t>
      </w:r>
      <w:r w:rsidRPr="00296E4B">
        <w:rPr>
          <w:rFonts w:cs="Arial"/>
          <w:color w:val="000000"/>
          <w:sz w:val="22"/>
        </w:rPr>
        <w:t xml:space="preserve"> wao kujaza karatasi uteuzi na kuamua makundi sahihi ya mazingira, kwa msaada wa Benki ya dunia,</w:t>
      </w:r>
      <w:r w:rsidRPr="00296E4B">
        <w:rPr>
          <w:rFonts w:cs="Arial"/>
          <w:i/>
          <w:color w:val="000000"/>
          <w:sz w:val="22"/>
        </w:rPr>
        <w:t xml:space="preserve"> (ii) </w:t>
      </w:r>
      <w:r w:rsidRPr="00296E4B">
        <w:rPr>
          <w:rFonts w:cs="Arial"/>
          <w:color w:val="000000"/>
          <w:sz w:val="22"/>
        </w:rPr>
        <w:t xml:space="preserve">wao pia kuchagua hatua sahihi ya kukabiliana katika tukio la yasiyo ya haja ya kuendeleza Swabunge kwa ajili ya miradi ya ndogo, </w:t>
      </w:r>
      <w:r w:rsidRPr="00296E4B">
        <w:rPr>
          <w:rFonts w:cs="Arial"/>
          <w:i/>
          <w:color w:val="000000"/>
          <w:sz w:val="22"/>
        </w:rPr>
        <w:t xml:space="preserve">(iii) </w:t>
      </w:r>
      <w:r w:rsidRPr="00296E4B">
        <w:rPr>
          <w:rFonts w:cs="Arial"/>
          <w:color w:val="000000"/>
          <w:sz w:val="22"/>
        </w:rPr>
        <w:t>wao pia kuratibu ufuatiliaji wa masuala ya mazingira na kijamii ikiwa ni pamoja na hatari za VBG na tamaa-19, pamoja na mradi wa utekelezaji wa miradi na hatua za kijamii zilizopendekezwa</w:t>
      </w:r>
      <w:r w:rsidRPr="00296E4B">
        <w:rPr>
          <w:rFonts w:cs="Arial"/>
          <w:i/>
          <w:color w:val="000000"/>
          <w:sz w:val="22"/>
        </w:rPr>
        <w:t>.</w:t>
      </w:r>
    </w:p>
    <w:p w14:paraId="37CE096F" w14:textId="77777777" w:rsidR="000326DA" w:rsidRPr="00296E4B" w:rsidRDefault="000326DA" w:rsidP="000326DA">
      <w:pPr>
        <w:ind w:left="720"/>
        <w:rPr>
          <w:rFonts w:cs="Arial"/>
          <w:color w:val="000000"/>
          <w:sz w:val="22"/>
        </w:rPr>
      </w:pPr>
    </w:p>
    <w:p w14:paraId="764CA909" w14:textId="77777777" w:rsidR="000326DA" w:rsidRPr="00296E4B" w:rsidRDefault="000326DA" w:rsidP="002378EA">
      <w:pPr>
        <w:numPr>
          <w:ilvl w:val="0"/>
          <w:numId w:val="26"/>
        </w:numPr>
        <w:rPr>
          <w:rFonts w:cs="Arial"/>
          <w:color w:val="000000"/>
          <w:sz w:val="22"/>
        </w:rPr>
      </w:pPr>
      <w:r w:rsidRPr="00296E4B">
        <w:rPr>
          <w:rFonts w:cs="Arial"/>
          <w:i/>
          <w:color w:val="000000"/>
          <w:sz w:val="22"/>
        </w:rPr>
        <w:t xml:space="preserve">Meneja wa ufundi wa shughuli ya PNDA stahifu </w:t>
      </w:r>
      <w:r w:rsidRPr="00296E4B">
        <w:rPr>
          <w:rFonts w:cs="Arial"/>
          <w:color w:val="000000"/>
          <w:sz w:val="22"/>
        </w:rPr>
        <w:t>(meneja wa mradi) anawajibika kwa: kutambua eneo/tovuti na sifa kuu za kiufundi za mradi mdogo na kuunganisha kwenye faili ya zabuni (DAO) ya mradi mdogo, hatua zote za awamu ya kazi ambayo inaweza kutumika na kampuni;</w:t>
      </w:r>
    </w:p>
    <w:p w14:paraId="75FDA392" w14:textId="77777777" w:rsidR="000326DA" w:rsidRPr="00296E4B" w:rsidRDefault="000326DA" w:rsidP="000326DA">
      <w:pPr>
        <w:ind w:left="720"/>
        <w:rPr>
          <w:rFonts w:cs="Arial"/>
          <w:color w:val="000000"/>
          <w:sz w:val="22"/>
        </w:rPr>
      </w:pPr>
    </w:p>
    <w:p w14:paraId="1E79080F" w14:textId="77777777" w:rsidR="000326DA" w:rsidRPr="00296E4B" w:rsidRDefault="000326DA" w:rsidP="002378EA">
      <w:pPr>
        <w:numPr>
          <w:ilvl w:val="0"/>
          <w:numId w:val="26"/>
        </w:numPr>
        <w:rPr>
          <w:rFonts w:cs="Arial"/>
          <w:color w:val="000000"/>
          <w:sz w:val="22"/>
        </w:rPr>
      </w:pPr>
      <w:r w:rsidRPr="00296E4B">
        <w:rPr>
          <w:rFonts w:cs="Arial"/>
          <w:i/>
          <w:color w:val="000000"/>
          <w:sz w:val="22"/>
        </w:rPr>
        <w:t xml:space="preserve">Mtaalamu wa PNDA kuambukizwa (katika awamu ya maandalizi na utekelezaji, kwa mashauriano na wataalamu wa mazingira na jamii): </w:t>
      </w:r>
      <w:r w:rsidRPr="00296E4B">
        <w:rPr>
          <w:rFonts w:cs="Arial"/>
          <w:color w:val="000000"/>
          <w:sz w:val="22"/>
        </w:rPr>
        <w:t>Hakikisha kwamba shughuli zifuatazo zimejumuishwa katika mipango ya kuambukizwa kupitia hatua na kuandaa nyaraka za mkataba (masomo, ushirikiano wa hatua katika faili ya Kano); Biashara ya PGES, utekelezaji/utekelezaji wa hatua; Kujenga uwezo ufuatiliaji na ukaguzi);</w:t>
      </w:r>
    </w:p>
    <w:p w14:paraId="2436F035" w14:textId="77777777" w:rsidR="000326DA" w:rsidRPr="00296E4B" w:rsidRDefault="000326DA" w:rsidP="000326DA">
      <w:pPr>
        <w:ind w:left="720"/>
        <w:rPr>
          <w:rFonts w:cs="Arial"/>
          <w:color w:val="000000"/>
          <w:sz w:val="22"/>
        </w:rPr>
      </w:pPr>
    </w:p>
    <w:p w14:paraId="6AA9E30A" w14:textId="77777777" w:rsidR="000326DA" w:rsidRPr="00296E4B" w:rsidRDefault="000326DA" w:rsidP="002378EA">
      <w:pPr>
        <w:numPr>
          <w:ilvl w:val="0"/>
          <w:numId w:val="26"/>
        </w:numPr>
        <w:rPr>
          <w:rFonts w:cs="Arial"/>
          <w:color w:val="000000"/>
          <w:sz w:val="22"/>
        </w:rPr>
      </w:pPr>
      <w:r w:rsidRPr="00296E4B">
        <w:rPr>
          <w:rFonts w:cs="Arial"/>
          <w:i/>
          <w:color w:val="000000"/>
          <w:sz w:val="22"/>
        </w:rPr>
        <w:t xml:space="preserve">Afisa wa fedha wa PNDA katika awamu ya maandalizi na utekelezaji): </w:t>
      </w:r>
      <w:r w:rsidRPr="00296E4B">
        <w:rPr>
          <w:rFonts w:cs="Arial"/>
          <w:color w:val="000000"/>
          <w:sz w:val="22"/>
        </w:rPr>
        <w:t>ni pamoja na taarifa za kifedha, vifaa vya bajeti zinazohusiana na utekelezaji/utekelezaji wa hatua za kusaidia ufuatiliaji wa utekelezaji wa hatua za mazingira na kijamii ikiwa ni pamoja na VBG na tamaa-19;</w:t>
      </w:r>
    </w:p>
    <w:p w14:paraId="1277E2E8" w14:textId="77777777" w:rsidR="000326DA" w:rsidRPr="00296E4B" w:rsidRDefault="000326DA" w:rsidP="000326DA">
      <w:pPr>
        <w:ind w:left="720"/>
        <w:rPr>
          <w:rFonts w:cs="Arial"/>
          <w:color w:val="000000"/>
          <w:sz w:val="22"/>
        </w:rPr>
      </w:pPr>
    </w:p>
    <w:p w14:paraId="1C48A3D1" w14:textId="77777777" w:rsidR="000326DA" w:rsidRPr="00296E4B" w:rsidRDefault="000326DA" w:rsidP="002378EA">
      <w:pPr>
        <w:numPr>
          <w:ilvl w:val="0"/>
          <w:numId w:val="26"/>
        </w:numPr>
        <w:rPr>
          <w:rFonts w:cs="Arial"/>
          <w:color w:val="000000"/>
          <w:sz w:val="22"/>
        </w:rPr>
      </w:pPr>
      <w:r w:rsidRPr="00296E4B">
        <w:rPr>
          <w:rFonts w:cs="Arial"/>
          <w:i/>
          <w:color w:val="000000"/>
          <w:sz w:val="22"/>
        </w:rPr>
        <w:t xml:space="preserve">Mtaalamu wa ufuatiliaji na tathmini ya PNDA (katika awamu ya maandalizi na utekelezaji): </w:t>
      </w:r>
      <w:r w:rsidRPr="00296E4B">
        <w:rPr>
          <w:rFonts w:cs="Arial"/>
          <w:color w:val="000000"/>
          <w:sz w:val="22"/>
        </w:rPr>
        <w:t>anashiriki katika ufuatiliaji wa ndani wa utekelezaji wa hatua za mazingira na kijamii ikiwa ni pamoja na wale wa VBG na wenye tamaa-19, ufuatiliaji wa mazingira na jamii pamoja na ile ya VBG na tamaa-19 na ukaguzi wa utekelezaji wa hatua za mazingira na jamii;</w:t>
      </w:r>
    </w:p>
    <w:p w14:paraId="29C151FC" w14:textId="77777777" w:rsidR="000326DA" w:rsidRPr="00296E4B" w:rsidRDefault="000326DA" w:rsidP="000326DA">
      <w:pPr>
        <w:ind w:left="720"/>
        <w:rPr>
          <w:rFonts w:cs="Arial"/>
          <w:color w:val="000000"/>
          <w:sz w:val="22"/>
        </w:rPr>
      </w:pPr>
    </w:p>
    <w:p w14:paraId="7872E7D7" w14:textId="77777777" w:rsidR="000326DA" w:rsidRPr="00296E4B" w:rsidRDefault="000326DA" w:rsidP="002378EA">
      <w:pPr>
        <w:numPr>
          <w:ilvl w:val="0"/>
          <w:numId w:val="26"/>
        </w:numPr>
        <w:rPr>
          <w:rFonts w:cs="Arial"/>
          <w:i/>
          <w:color w:val="000000"/>
          <w:sz w:val="22"/>
        </w:rPr>
      </w:pPr>
      <w:r w:rsidRPr="00296E4B">
        <w:rPr>
          <w:rFonts w:cs="Arial"/>
          <w:i/>
          <w:color w:val="000000"/>
          <w:sz w:val="22"/>
        </w:rPr>
        <w:t>Wizara za majimbo katika malipo ya mazingira na jinsia</w:t>
      </w:r>
    </w:p>
    <w:p w14:paraId="6B352541" w14:textId="77777777" w:rsidR="000326DA" w:rsidRPr="00296E4B" w:rsidRDefault="000326DA" w:rsidP="000326DA">
      <w:pPr>
        <w:ind w:left="720"/>
        <w:rPr>
          <w:rFonts w:cs="Arial"/>
          <w:color w:val="000000"/>
          <w:sz w:val="22"/>
        </w:rPr>
      </w:pPr>
    </w:p>
    <w:p w14:paraId="70E31C15" w14:textId="77777777" w:rsidR="000326DA" w:rsidRPr="00296E4B" w:rsidRDefault="000326DA" w:rsidP="000326DA">
      <w:pPr>
        <w:ind w:left="720"/>
        <w:rPr>
          <w:rFonts w:cs="Arial"/>
          <w:color w:val="000000"/>
          <w:sz w:val="22"/>
        </w:rPr>
      </w:pPr>
      <w:r w:rsidRPr="00296E4B">
        <w:rPr>
          <w:rFonts w:cs="Arial"/>
          <w:color w:val="000000"/>
          <w:sz w:val="22"/>
        </w:rPr>
        <w:t xml:space="preserve">Wanaagiza Coordinations ya mazingira ya mkoa wa Kwilu, </w:t>
      </w:r>
      <w:r>
        <w:rPr>
          <w:rFonts w:cs="Arial"/>
          <w:color w:val="000000"/>
          <w:sz w:val="22"/>
        </w:rPr>
        <w:t>Kongo Central</w:t>
      </w:r>
      <w:r w:rsidRPr="00296E4B">
        <w:rPr>
          <w:rFonts w:cs="Arial"/>
          <w:color w:val="000000"/>
          <w:sz w:val="22"/>
        </w:rPr>
        <w:t>, Kasai, Kasai-kati na kaskazini Kivu katika ufuatiliaji wa shughuli za mradi huo;</w:t>
      </w:r>
    </w:p>
    <w:p w14:paraId="53B93A01" w14:textId="77777777" w:rsidR="000326DA" w:rsidRPr="00296E4B" w:rsidRDefault="000326DA" w:rsidP="000326DA">
      <w:pPr>
        <w:ind w:left="720"/>
        <w:rPr>
          <w:rFonts w:cs="Arial"/>
          <w:color w:val="000000"/>
          <w:sz w:val="22"/>
        </w:rPr>
      </w:pPr>
    </w:p>
    <w:p w14:paraId="03F31341" w14:textId="77777777" w:rsidR="000326DA" w:rsidRPr="00296E4B" w:rsidRDefault="000326DA" w:rsidP="002378EA">
      <w:pPr>
        <w:numPr>
          <w:ilvl w:val="0"/>
          <w:numId w:val="26"/>
        </w:numPr>
        <w:rPr>
          <w:rFonts w:cs="Arial"/>
          <w:i/>
          <w:color w:val="000000"/>
          <w:sz w:val="22"/>
        </w:rPr>
      </w:pPr>
      <w:r w:rsidRPr="00296E4B">
        <w:rPr>
          <w:rFonts w:cs="Arial"/>
          <w:i/>
          <w:color w:val="000000"/>
          <w:sz w:val="22"/>
        </w:rPr>
        <w:t xml:space="preserve">Shirika la mazingira ya Kongo </w:t>
      </w:r>
    </w:p>
    <w:p w14:paraId="1F3664C1" w14:textId="77777777" w:rsidR="000326DA" w:rsidRPr="00296E4B" w:rsidRDefault="000326DA" w:rsidP="000326DA">
      <w:pPr>
        <w:ind w:left="720"/>
        <w:rPr>
          <w:rFonts w:cs="Arial"/>
          <w:color w:val="000000"/>
          <w:sz w:val="22"/>
        </w:rPr>
      </w:pPr>
    </w:p>
    <w:p w14:paraId="04C4062D" w14:textId="77777777" w:rsidR="000326DA" w:rsidRPr="00296E4B" w:rsidRDefault="000326DA" w:rsidP="000326DA">
      <w:pPr>
        <w:ind w:left="720"/>
        <w:rPr>
          <w:rFonts w:cs="Arial"/>
          <w:color w:val="000000"/>
          <w:sz w:val="22"/>
        </w:rPr>
      </w:pPr>
      <w:r>
        <w:rPr>
          <w:rFonts w:cs="Arial"/>
          <w:color w:val="000000"/>
          <w:sz w:val="22"/>
        </w:rPr>
        <w:t>ACE</w:t>
      </w:r>
      <w:r w:rsidRPr="00296E4B">
        <w:rPr>
          <w:rFonts w:cs="Arial"/>
          <w:color w:val="000000"/>
          <w:sz w:val="22"/>
        </w:rPr>
        <w:t xml:space="preserve"> atahakiki na kuidhinisha Uainishaji wa mazingira wa miradi ndogo na kuidhinisha </w:t>
      </w:r>
      <w:r>
        <w:rPr>
          <w:rFonts w:cs="Arial"/>
          <w:color w:val="000000"/>
          <w:sz w:val="22"/>
        </w:rPr>
        <w:t>EIES</w:t>
      </w:r>
      <w:r w:rsidRPr="00296E4B">
        <w:rPr>
          <w:rFonts w:cs="Arial"/>
          <w:color w:val="000000"/>
          <w:sz w:val="22"/>
        </w:rPr>
        <w:t xml:space="preserve"> na kutoa </w:t>
      </w:r>
      <w:r>
        <w:rPr>
          <w:rFonts w:cs="Arial"/>
          <w:color w:val="000000"/>
          <w:sz w:val="22"/>
        </w:rPr>
        <w:t>PGES</w:t>
      </w:r>
      <w:r w:rsidRPr="00296E4B">
        <w:rPr>
          <w:rFonts w:cs="Arial"/>
          <w:color w:val="000000"/>
          <w:sz w:val="22"/>
        </w:rPr>
        <w:t>. Pia atashiriki katika ufuatiliaji wa nje.</w:t>
      </w:r>
    </w:p>
    <w:p w14:paraId="6F2D9974" w14:textId="77777777" w:rsidR="000326DA" w:rsidRPr="00296E4B" w:rsidRDefault="000326DA" w:rsidP="000326DA">
      <w:pPr>
        <w:ind w:left="720"/>
        <w:rPr>
          <w:rFonts w:cs="Arial"/>
          <w:color w:val="000000"/>
          <w:sz w:val="22"/>
        </w:rPr>
      </w:pPr>
    </w:p>
    <w:p w14:paraId="4364DE51" w14:textId="77777777" w:rsidR="000326DA" w:rsidRPr="00351E97" w:rsidRDefault="000326DA" w:rsidP="002378EA">
      <w:pPr>
        <w:numPr>
          <w:ilvl w:val="0"/>
          <w:numId w:val="26"/>
        </w:numPr>
        <w:rPr>
          <w:rFonts w:cs="Arial"/>
          <w:i/>
          <w:color w:val="000000"/>
          <w:sz w:val="22"/>
        </w:rPr>
      </w:pPr>
      <w:r w:rsidRPr="00351E97">
        <w:rPr>
          <w:rFonts w:cs="Arial"/>
          <w:i/>
          <w:color w:val="000000"/>
          <w:sz w:val="22"/>
        </w:rPr>
        <w:t xml:space="preserve">Wizara ya Afya </w:t>
      </w:r>
    </w:p>
    <w:p w14:paraId="0FB1A7EA" w14:textId="77777777" w:rsidR="000326DA" w:rsidRPr="00351E97" w:rsidRDefault="000326DA" w:rsidP="000326DA">
      <w:pPr>
        <w:ind w:left="720"/>
        <w:rPr>
          <w:rFonts w:cs="Arial"/>
          <w:i/>
          <w:color w:val="000000"/>
          <w:sz w:val="22"/>
        </w:rPr>
      </w:pPr>
    </w:p>
    <w:p w14:paraId="2D83715C" w14:textId="77777777" w:rsidR="000326DA" w:rsidRPr="00351E97" w:rsidRDefault="000326DA" w:rsidP="000326DA">
      <w:pPr>
        <w:ind w:left="720"/>
        <w:rPr>
          <w:rFonts w:cs="Arial"/>
          <w:color w:val="000000"/>
          <w:sz w:val="22"/>
        </w:rPr>
      </w:pPr>
      <w:r w:rsidRPr="00351E97">
        <w:rPr>
          <w:rFonts w:cs="Arial"/>
          <w:color w:val="000000"/>
          <w:sz w:val="22"/>
        </w:rPr>
        <w:t>Kazi ya Wizara katika PNDA ni kuweka mpango wa uhamasishaji wa kupambana na malaria, VVU/UKIMWI, magonjwa ya ngono na njia mbalimbali za kuzuia, usimamizi wa matibabu ya kesi za VBG na mapambano dhidi ya janga la COVID-19.</w:t>
      </w:r>
    </w:p>
    <w:p w14:paraId="26A0967D" w14:textId="77777777" w:rsidR="000326DA" w:rsidRPr="00351E97" w:rsidRDefault="000326DA" w:rsidP="000326DA">
      <w:pPr>
        <w:ind w:left="720"/>
        <w:rPr>
          <w:rFonts w:cs="Arial"/>
          <w:i/>
          <w:color w:val="000000"/>
          <w:sz w:val="22"/>
        </w:rPr>
      </w:pPr>
    </w:p>
    <w:p w14:paraId="79B9F87F" w14:textId="77777777" w:rsidR="000326DA" w:rsidRPr="00351E97" w:rsidRDefault="000326DA" w:rsidP="002378EA">
      <w:pPr>
        <w:numPr>
          <w:ilvl w:val="0"/>
          <w:numId w:val="26"/>
        </w:numPr>
        <w:rPr>
          <w:rFonts w:cs="Arial"/>
          <w:i/>
          <w:color w:val="000000"/>
          <w:sz w:val="22"/>
        </w:rPr>
      </w:pPr>
      <w:r w:rsidRPr="00351E97">
        <w:rPr>
          <w:rFonts w:cs="Arial"/>
          <w:i/>
          <w:color w:val="000000"/>
          <w:sz w:val="22"/>
        </w:rPr>
        <w:t>Taasisi ya Fedha ya Kati</w:t>
      </w:r>
    </w:p>
    <w:p w14:paraId="6E7F1E17" w14:textId="77777777" w:rsidR="000326DA" w:rsidRPr="00351E97" w:rsidRDefault="000326DA" w:rsidP="000326DA">
      <w:pPr>
        <w:ind w:left="720"/>
        <w:rPr>
          <w:rFonts w:cs="Arial"/>
          <w:i/>
          <w:color w:val="000000"/>
          <w:sz w:val="22"/>
        </w:rPr>
      </w:pPr>
    </w:p>
    <w:p w14:paraId="1DB23F3C" w14:textId="77777777" w:rsidR="000326DA" w:rsidRDefault="000326DA" w:rsidP="000326DA">
      <w:pPr>
        <w:ind w:left="720"/>
        <w:rPr>
          <w:rFonts w:cs="Arial"/>
          <w:color w:val="000000"/>
          <w:sz w:val="22"/>
        </w:rPr>
      </w:pPr>
      <w:r w:rsidRPr="00351E97">
        <w:rPr>
          <w:rFonts w:cs="Arial"/>
          <w:color w:val="000000"/>
          <w:sz w:val="22"/>
        </w:rPr>
        <w:t>Taasisi chache za kati za kifedha (BENKIS, taasisi ndogo, akiba na vyama vya ushirika vya mikopo zinazofanya kazi katika mikoa iliyoathiriwa na Mpango huo zitaingilia kati wakati wa utekelezaji wa Mpango huo. Hizi ni BCC, Equity Bank BCDC, RawBank Sarl, Central Cooperative of North Kivu (COOCENKI), North Kivu Dealers Cooperative (CCNK), Ushirika wa Wakulima wa Kibirizi, (COOCUKI), Ushirika wa Wazalishaji wa Kilimo kwa Maendeleo ya Rutshuru (COOPADERU), nk.</w:t>
      </w:r>
      <w:r>
        <w:rPr>
          <w:rFonts w:cs="Arial"/>
          <w:color w:val="000000"/>
          <w:sz w:val="22"/>
        </w:rPr>
        <w:t xml:space="preserve"> </w:t>
      </w:r>
    </w:p>
    <w:p w14:paraId="5A30A368" w14:textId="77777777" w:rsidR="000326DA" w:rsidRDefault="000326DA" w:rsidP="000326DA">
      <w:pPr>
        <w:ind w:left="720"/>
        <w:rPr>
          <w:rFonts w:cs="Arial"/>
          <w:color w:val="000000"/>
          <w:sz w:val="22"/>
        </w:rPr>
      </w:pPr>
    </w:p>
    <w:p w14:paraId="16F9B8FB" w14:textId="77777777" w:rsidR="000326DA" w:rsidRPr="00351E97" w:rsidRDefault="000326DA" w:rsidP="002378EA">
      <w:pPr>
        <w:numPr>
          <w:ilvl w:val="0"/>
          <w:numId w:val="26"/>
        </w:numPr>
        <w:rPr>
          <w:rFonts w:cs="Arial"/>
          <w:i/>
          <w:color w:val="000000"/>
          <w:sz w:val="22"/>
        </w:rPr>
      </w:pPr>
      <w:r w:rsidRPr="00351E97">
        <w:rPr>
          <w:rFonts w:cs="Arial"/>
          <w:i/>
          <w:color w:val="000000"/>
          <w:sz w:val="22"/>
        </w:rPr>
        <w:t xml:space="preserve">Kwilu mikoa mazingira Coordinations, Kasai, Kasai-Central </w:t>
      </w:r>
    </w:p>
    <w:p w14:paraId="053A33C1" w14:textId="77777777" w:rsidR="000326DA" w:rsidRPr="00296E4B" w:rsidRDefault="000326DA" w:rsidP="000326DA">
      <w:pPr>
        <w:ind w:left="720"/>
        <w:rPr>
          <w:rFonts w:cs="Arial"/>
          <w:color w:val="000000"/>
          <w:sz w:val="22"/>
        </w:rPr>
      </w:pPr>
    </w:p>
    <w:p w14:paraId="24E019EE" w14:textId="77777777" w:rsidR="000326DA" w:rsidRPr="00296E4B" w:rsidRDefault="000326DA" w:rsidP="000326DA">
      <w:pPr>
        <w:ind w:left="720"/>
        <w:rPr>
          <w:rFonts w:cs="Arial"/>
          <w:color w:val="000000"/>
          <w:sz w:val="22"/>
        </w:rPr>
      </w:pPr>
      <w:r w:rsidRPr="00296E4B">
        <w:rPr>
          <w:rFonts w:cs="Arial"/>
          <w:color w:val="000000"/>
          <w:sz w:val="22"/>
        </w:rPr>
        <w:t>Katika kukosekana kwa mkoa wa ACE, ukurugenzi, huu wa mazingira matatu ya mikoa Coordinations watajihusisha katika kufuatilia utekelezaji wa hatua za kimazingira na za kijamii za mseto vyama NDA. Aidha, CPE ya kila jimbo na utegemezi wake (ndogo ya vitengo) ni walioathirika na itakuwa kuhusishwa na shughuli zote kuhusiana na uchunguzi na ufuatiliaji wa nje ya utekelezaji wa Swabunge.</w:t>
      </w:r>
    </w:p>
    <w:p w14:paraId="444F7662" w14:textId="77777777" w:rsidR="000326DA" w:rsidRDefault="000326DA" w:rsidP="000326DA">
      <w:pPr>
        <w:ind w:left="720"/>
        <w:rPr>
          <w:rFonts w:cs="Arial"/>
          <w:color w:val="000000"/>
          <w:sz w:val="22"/>
        </w:rPr>
      </w:pPr>
    </w:p>
    <w:p w14:paraId="377D6CE9" w14:textId="77777777" w:rsidR="000326DA" w:rsidRDefault="000326DA" w:rsidP="000326DA">
      <w:pPr>
        <w:ind w:left="720"/>
        <w:rPr>
          <w:rFonts w:cs="Arial"/>
          <w:color w:val="000000"/>
          <w:sz w:val="22"/>
        </w:rPr>
      </w:pPr>
    </w:p>
    <w:p w14:paraId="61C80248" w14:textId="77777777" w:rsidR="000326DA" w:rsidRDefault="000326DA" w:rsidP="000326DA">
      <w:pPr>
        <w:ind w:left="720"/>
        <w:rPr>
          <w:rFonts w:cs="Arial"/>
          <w:color w:val="000000"/>
          <w:sz w:val="22"/>
        </w:rPr>
      </w:pPr>
    </w:p>
    <w:p w14:paraId="510C639D" w14:textId="77777777" w:rsidR="000326DA" w:rsidRPr="00296E4B" w:rsidRDefault="000326DA" w:rsidP="000326DA">
      <w:pPr>
        <w:ind w:left="720"/>
        <w:rPr>
          <w:rFonts w:cs="Arial"/>
          <w:color w:val="000000"/>
          <w:sz w:val="22"/>
        </w:rPr>
      </w:pPr>
    </w:p>
    <w:p w14:paraId="6356679B" w14:textId="77777777" w:rsidR="000326DA" w:rsidRPr="00296E4B" w:rsidRDefault="000326DA" w:rsidP="002378EA">
      <w:pPr>
        <w:numPr>
          <w:ilvl w:val="0"/>
          <w:numId w:val="26"/>
        </w:numPr>
        <w:rPr>
          <w:rFonts w:cs="Arial"/>
          <w:i/>
          <w:color w:val="000000"/>
          <w:sz w:val="22"/>
        </w:rPr>
      </w:pPr>
      <w:r w:rsidRPr="00296E4B">
        <w:rPr>
          <w:rFonts w:cs="Arial"/>
          <w:i/>
          <w:color w:val="000000"/>
          <w:sz w:val="22"/>
        </w:rPr>
        <w:lastRenderedPageBreak/>
        <w:t xml:space="preserve">Makampuni ya kuambukizwa </w:t>
      </w:r>
    </w:p>
    <w:p w14:paraId="04D1A2E4" w14:textId="77777777" w:rsidR="000326DA" w:rsidRPr="00296E4B" w:rsidRDefault="000326DA" w:rsidP="000326DA">
      <w:pPr>
        <w:ind w:left="720"/>
        <w:rPr>
          <w:rFonts w:cs="Arial"/>
          <w:i/>
          <w:color w:val="000000"/>
          <w:sz w:val="22"/>
        </w:rPr>
      </w:pPr>
    </w:p>
    <w:p w14:paraId="7962C8C9" w14:textId="77777777" w:rsidR="000326DA" w:rsidRPr="00296E4B" w:rsidRDefault="000326DA" w:rsidP="000326DA">
      <w:pPr>
        <w:ind w:left="720"/>
        <w:rPr>
          <w:rFonts w:cs="Arial"/>
          <w:color w:val="000000"/>
          <w:sz w:val="22"/>
        </w:rPr>
      </w:pPr>
      <w:r w:rsidRPr="00296E4B">
        <w:rPr>
          <w:rFonts w:cs="Arial"/>
          <w:color w:val="000000"/>
          <w:sz w:val="22"/>
        </w:rPr>
        <w:t>Ni lazima kutekeleza hatua za kimazingira na kijamii na kuzingatia miongozo ya mazingira na kijamii na mahitaji mengine yaliyomo katika masoko ya ajira na DAO.</w:t>
      </w:r>
    </w:p>
    <w:p w14:paraId="5DBDBD8E" w14:textId="77777777" w:rsidR="000326DA" w:rsidRPr="00296E4B" w:rsidRDefault="000326DA" w:rsidP="000326DA">
      <w:pPr>
        <w:ind w:left="720"/>
        <w:rPr>
          <w:rFonts w:cs="Arial"/>
          <w:color w:val="000000"/>
          <w:sz w:val="22"/>
        </w:rPr>
      </w:pPr>
    </w:p>
    <w:p w14:paraId="531DD836" w14:textId="77777777" w:rsidR="000326DA" w:rsidRPr="00296E4B" w:rsidRDefault="000326DA" w:rsidP="002378EA">
      <w:pPr>
        <w:numPr>
          <w:ilvl w:val="0"/>
          <w:numId w:val="26"/>
        </w:numPr>
        <w:rPr>
          <w:rFonts w:cs="Arial"/>
          <w:i/>
          <w:color w:val="000000"/>
          <w:sz w:val="22"/>
        </w:rPr>
      </w:pPr>
      <w:r w:rsidRPr="00296E4B">
        <w:rPr>
          <w:rFonts w:cs="Arial"/>
          <w:i/>
          <w:color w:val="000000"/>
          <w:sz w:val="22"/>
        </w:rPr>
        <w:t xml:space="preserve">Mashirika ya utekelezaji wa ndani </w:t>
      </w:r>
    </w:p>
    <w:p w14:paraId="3AFC7179" w14:textId="77777777" w:rsidR="000326DA" w:rsidRPr="00296E4B" w:rsidRDefault="000326DA" w:rsidP="000326DA">
      <w:pPr>
        <w:ind w:left="720"/>
        <w:rPr>
          <w:rFonts w:cs="Arial"/>
          <w:color w:val="000000"/>
          <w:sz w:val="22"/>
        </w:rPr>
      </w:pPr>
    </w:p>
    <w:p w14:paraId="019A1158" w14:textId="77777777" w:rsidR="000326DA" w:rsidRPr="00296E4B" w:rsidRDefault="000326DA" w:rsidP="000326DA">
      <w:pPr>
        <w:ind w:left="720"/>
        <w:rPr>
          <w:rFonts w:cs="Arial"/>
          <w:color w:val="000000"/>
          <w:sz w:val="22"/>
        </w:rPr>
      </w:pPr>
      <w:r w:rsidRPr="00296E4B">
        <w:rPr>
          <w:rFonts w:cs="Arial"/>
          <w:color w:val="000000"/>
          <w:sz w:val="22"/>
        </w:rPr>
        <w:t>Kama makampuni, mashirika ya utekelezaji wa mitaa (ALE) lazima kutekeleza hatua za kimazingira na kijamii na kuzingatia miongozo ya mazingira na kijamii na mahitaji mengine yaliyomo katika masoko ya ujenzi na DAO.</w:t>
      </w:r>
    </w:p>
    <w:p w14:paraId="0E97FD0B" w14:textId="77777777" w:rsidR="000326DA" w:rsidRPr="00296E4B" w:rsidRDefault="000326DA" w:rsidP="000326DA">
      <w:pPr>
        <w:ind w:left="720"/>
        <w:rPr>
          <w:rFonts w:cs="Arial"/>
          <w:color w:val="000000"/>
          <w:sz w:val="22"/>
        </w:rPr>
      </w:pPr>
    </w:p>
    <w:p w14:paraId="77D33894" w14:textId="77777777" w:rsidR="000326DA" w:rsidRPr="00296E4B" w:rsidRDefault="000326DA" w:rsidP="002378EA">
      <w:pPr>
        <w:numPr>
          <w:ilvl w:val="0"/>
          <w:numId w:val="26"/>
        </w:numPr>
        <w:rPr>
          <w:rFonts w:cs="Arial"/>
          <w:i/>
          <w:color w:val="000000"/>
          <w:sz w:val="22"/>
        </w:rPr>
      </w:pPr>
      <w:r w:rsidRPr="00296E4B">
        <w:rPr>
          <w:rFonts w:cs="Arial"/>
          <w:i/>
          <w:color w:val="000000"/>
          <w:sz w:val="22"/>
        </w:rPr>
        <w:t xml:space="preserve">Ofisi ya mafunzo na kudhibiti </w:t>
      </w:r>
    </w:p>
    <w:p w14:paraId="7D2E8A33" w14:textId="77777777" w:rsidR="000326DA" w:rsidRPr="00296E4B" w:rsidRDefault="000326DA" w:rsidP="000326DA">
      <w:pPr>
        <w:ind w:left="720"/>
        <w:rPr>
          <w:rFonts w:cs="Arial"/>
          <w:color w:val="000000"/>
          <w:sz w:val="22"/>
        </w:rPr>
      </w:pPr>
    </w:p>
    <w:p w14:paraId="7D78B57E" w14:textId="77777777" w:rsidR="000326DA" w:rsidRPr="00296E4B" w:rsidRDefault="000326DA" w:rsidP="000326DA">
      <w:pPr>
        <w:ind w:left="720"/>
        <w:rPr>
          <w:rFonts w:cs="Arial"/>
          <w:color w:val="000000"/>
          <w:sz w:val="22"/>
        </w:rPr>
      </w:pPr>
      <w:r w:rsidRPr="00296E4B">
        <w:rPr>
          <w:rFonts w:cs="Arial"/>
          <w:color w:val="000000"/>
          <w:sz w:val="22"/>
        </w:rPr>
        <w:t>Wanapaswa kuhakikisha udhibiti juu ya ufanisi na ufanisi wa utekelezaji wa hatua za mazingira na kijamii na kufuata miongozo ya mazingira na mahitaji mengine ya mazingira yaliyomo katika mikataba ya ujenzi.</w:t>
      </w:r>
    </w:p>
    <w:p w14:paraId="1AD7A36E" w14:textId="77777777" w:rsidR="000326DA" w:rsidRPr="00296E4B" w:rsidRDefault="000326DA" w:rsidP="000326DA">
      <w:pPr>
        <w:ind w:left="720"/>
        <w:rPr>
          <w:rFonts w:cs="Arial"/>
          <w:color w:val="000000"/>
          <w:sz w:val="22"/>
        </w:rPr>
      </w:pPr>
    </w:p>
    <w:p w14:paraId="5DA561CA" w14:textId="77777777" w:rsidR="000326DA" w:rsidRPr="001C5995" w:rsidRDefault="000326DA" w:rsidP="002378EA">
      <w:pPr>
        <w:numPr>
          <w:ilvl w:val="0"/>
          <w:numId w:val="26"/>
        </w:numPr>
        <w:rPr>
          <w:rFonts w:cs="Arial"/>
          <w:i/>
          <w:color w:val="000000"/>
          <w:sz w:val="22"/>
          <w:lang w:val="pl-PL"/>
        </w:rPr>
      </w:pPr>
      <w:r w:rsidRPr="001C5995">
        <w:rPr>
          <w:rFonts w:cs="Arial"/>
          <w:i/>
          <w:color w:val="000000"/>
          <w:sz w:val="22"/>
          <w:lang w:val="pl-PL"/>
        </w:rPr>
        <w:t>Watu wa mikoa walengwa na mradi</w:t>
      </w:r>
    </w:p>
    <w:p w14:paraId="2CA57061" w14:textId="77777777" w:rsidR="000326DA" w:rsidRPr="001C5995" w:rsidRDefault="000326DA" w:rsidP="000326DA">
      <w:pPr>
        <w:ind w:left="720"/>
        <w:rPr>
          <w:rFonts w:cs="Arial"/>
          <w:color w:val="000000"/>
          <w:sz w:val="22"/>
          <w:lang w:val="pl-PL"/>
        </w:rPr>
      </w:pPr>
    </w:p>
    <w:p w14:paraId="61D50597" w14:textId="77777777" w:rsidR="000326DA" w:rsidRPr="001C5995" w:rsidRDefault="000326DA" w:rsidP="000326DA">
      <w:pPr>
        <w:ind w:left="720"/>
        <w:rPr>
          <w:rFonts w:cs="Arial"/>
          <w:color w:val="000000"/>
          <w:sz w:val="22"/>
          <w:lang w:val="pl-PL"/>
        </w:rPr>
      </w:pPr>
      <w:r w:rsidRPr="001C5995">
        <w:rPr>
          <w:rFonts w:cs="Arial"/>
          <w:color w:val="000000"/>
          <w:sz w:val="22"/>
          <w:lang w:val="pl-PL"/>
        </w:rPr>
        <w:t>Watashiriki katika masuala ya habari, mwamko na uhamasishaji wa jamii kwa ajili ya kuzingatia shughuli za mradi huo;</w:t>
      </w:r>
    </w:p>
    <w:p w14:paraId="44444F37" w14:textId="77777777" w:rsidR="000326DA" w:rsidRPr="001C5995" w:rsidRDefault="000326DA" w:rsidP="000326DA">
      <w:pPr>
        <w:ind w:left="720"/>
        <w:rPr>
          <w:rFonts w:cs="Arial"/>
          <w:color w:val="000000"/>
          <w:sz w:val="22"/>
          <w:lang w:val="pl-PL"/>
        </w:rPr>
      </w:pPr>
    </w:p>
    <w:p w14:paraId="0B9FD743" w14:textId="77777777" w:rsidR="000326DA" w:rsidRPr="001C5995" w:rsidRDefault="000326DA" w:rsidP="002378EA">
      <w:pPr>
        <w:numPr>
          <w:ilvl w:val="0"/>
          <w:numId w:val="26"/>
        </w:numPr>
        <w:rPr>
          <w:rFonts w:cs="Arial"/>
          <w:color w:val="000000"/>
          <w:sz w:val="22"/>
          <w:lang w:val="pl-PL"/>
        </w:rPr>
      </w:pPr>
      <w:r w:rsidRPr="001C5995">
        <w:rPr>
          <w:rFonts w:cs="Arial"/>
          <w:i/>
          <w:color w:val="000000"/>
          <w:sz w:val="22"/>
          <w:lang w:val="pl-PL"/>
        </w:rPr>
        <w:t xml:space="preserve">Mashirika yasiyo ya kiserikali na vyama vya kiraia: </w:t>
      </w:r>
      <w:r>
        <w:rPr>
          <w:rFonts w:cs="Arial"/>
          <w:color w:val="000000"/>
          <w:sz w:val="22"/>
          <w:lang w:val="pl-PL"/>
        </w:rPr>
        <w:t>ONG</w:t>
      </w:r>
      <w:r w:rsidRPr="001C5995">
        <w:rPr>
          <w:rFonts w:cs="Arial"/>
          <w:color w:val="000000"/>
          <w:sz w:val="22"/>
          <w:lang w:val="pl-PL"/>
        </w:rPr>
        <w:t xml:space="preserve"> za mitaa wanapambana na VBG na kupambana na mapenzi ID-19, mashirika ya wakulima na mashirika mengine ya mazingira ya jumuiya ya kiraia pia wataweza kushiriki katika kutoa taarifa, kuelimisha na kukuza uelewa wa masuala ya mazingira na kijamii pamoja na yale yanayohusiana na VBG na tamaa-19 wakati wa utekelezaji wa mradi, lakini pia kufuatilia utekelezaji wa hatua za CGES. </w:t>
      </w:r>
    </w:p>
    <w:p w14:paraId="0E11D67F" w14:textId="77777777" w:rsidR="000326DA" w:rsidRPr="001C5995" w:rsidRDefault="000326DA" w:rsidP="000326DA">
      <w:pPr>
        <w:rPr>
          <w:rFonts w:cs="Arial"/>
          <w:color w:val="000000"/>
          <w:sz w:val="22"/>
          <w:lang w:val="pl-PL"/>
        </w:rPr>
      </w:pPr>
    </w:p>
    <w:p w14:paraId="5D5E7F9B" w14:textId="77777777" w:rsidR="000326DA" w:rsidRPr="001C5995" w:rsidRDefault="000326DA" w:rsidP="000326DA">
      <w:pPr>
        <w:rPr>
          <w:rFonts w:cs="Arial"/>
          <w:color w:val="000000"/>
          <w:sz w:val="22"/>
          <w:lang w:val="pl-PL"/>
        </w:rPr>
      </w:pPr>
      <w:r w:rsidRPr="001C5995">
        <w:rPr>
          <w:rFonts w:cs="Arial"/>
          <w:color w:val="000000"/>
          <w:sz w:val="22"/>
          <w:lang w:val="pl-PL"/>
        </w:rPr>
        <w:t>Majukumu na majukumu kama ilivyoelezwa hapo juu itajumuishwa katika mwongozo wa utekelezaji wa mradi.</w:t>
      </w:r>
    </w:p>
    <w:p w14:paraId="0D52435D" w14:textId="77777777" w:rsidR="000326DA" w:rsidRPr="001C5995" w:rsidRDefault="000326DA" w:rsidP="000326DA">
      <w:pPr>
        <w:ind w:left="720"/>
        <w:rPr>
          <w:rFonts w:cs="Arial"/>
          <w:color w:val="000000"/>
          <w:sz w:val="22"/>
          <w:lang w:val="pl-PL"/>
        </w:rPr>
      </w:pPr>
    </w:p>
    <w:p w14:paraId="27EF0966" w14:textId="77777777" w:rsidR="000326DA" w:rsidRPr="001C5995" w:rsidRDefault="000326DA" w:rsidP="002378EA">
      <w:pPr>
        <w:numPr>
          <w:ilvl w:val="0"/>
          <w:numId w:val="154"/>
        </w:numPr>
        <w:rPr>
          <w:rFonts w:cs="Arial"/>
          <w:i/>
          <w:sz w:val="22"/>
          <w:lang w:val="pl-PL" w:bidi="fr-FR"/>
        </w:rPr>
      </w:pPr>
      <w:r w:rsidRPr="001C5995">
        <w:rPr>
          <w:rFonts w:cs="Arial"/>
          <w:i/>
          <w:sz w:val="22"/>
          <w:lang w:val="pl-PL" w:bidi="fr-FR"/>
        </w:rPr>
        <w:t xml:space="preserve">Inakadiriwa kuwa bajeti ya jumla kwa ajili ya utekelezaji wa hatua za mazingira na kijamii </w:t>
      </w:r>
    </w:p>
    <w:p w14:paraId="184853E4" w14:textId="77777777" w:rsidR="000326DA" w:rsidRPr="001C5995" w:rsidRDefault="000326DA" w:rsidP="000326DA">
      <w:pPr>
        <w:ind w:left="720"/>
        <w:rPr>
          <w:rFonts w:cs="Arial"/>
          <w:color w:val="000000"/>
          <w:sz w:val="22"/>
          <w:lang w:val="pl-PL"/>
        </w:rPr>
      </w:pPr>
    </w:p>
    <w:p w14:paraId="29C71065" w14:textId="2AB8BA5A" w:rsidR="000326DA" w:rsidRDefault="000326DA" w:rsidP="000326DA">
      <w:pPr>
        <w:rPr>
          <w:rFonts w:cs="Arial"/>
          <w:color w:val="000000"/>
          <w:sz w:val="22"/>
          <w:lang w:val="pl-PL"/>
        </w:rPr>
      </w:pPr>
      <w:r w:rsidRPr="001C5995">
        <w:rPr>
          <w:rFonts w:cs="Arial"/>
          <w:color w:val="000000"/>
          <w:sz w:val="22"/>
          <w:lang w:val="pl-PL"/>
        </w:rPr>
        <w:t xml:space="preserve">Gharama inakadiriwa ya hatua za mazingira na kijamii ni $ </w:t>
      </w:r>
      <w:r w:rsidR="00202EF2">
        <w:rPr>
          <w:rFonts w:cs="Arial"/>
          <w:color w:val="000000"/>
          <w:sz w:val="22"/>
          <w:lang w:val="pl-PL"/>
        </w:rPr>
        <w:t>18 675 330</w:t>
      </w:r>
      <w:r w:rsidRPr="001C5995">
        <w:rPr>
          <w:rFonts w:cs="Arial"/>
          <w:color w:val="000000"/>
          <w:sz w:val="22"/>
          <w:lang w:val="pl-PL"/>
        </w:rPr>
        <w:t xml:space="preserve"> kusambazwa kama kina katika meza hapa chini.</w:t>
      </w:r>
    </w:p>
    <w:p w14:paraId="54CCBFDE" w14:textId="77777777" w:rsidR="000326DA" w:rsidRDefault="000326DA" w:rsidP="000326DA">
      <w:pPr>
        <w:rPr>
          <w:rFonts w:cs="Arial"/>
          <w:color w:val="000000"/>
          <w:sz w:val="22"/>
          <w:lang w:val="pl-PL"/>
        </w:rPr>
      </w:pPr>
    </w:p>
    <w:p w14:paraId="4DE984EF" w14:textId="77777777" w:rsidR="000326DA" w:rsidRPr="001C5995" w:rsidRDefault="000326DA" w:rsidP="000326DA">
      <w:pPr>
        <w:rPr>
          <w:rFonts w:cs="Arial"/>
          <w:color w:val="000000"/>
          <w:sz w:val="22"/>
          <w:lang w:val="pl-PL"/>
        </w:rPr>
      </w:pPr>
      <w:r w:rsidRPr="00351E97">
        <w:rPr>
          <w:rFonts w:cs="Arial"/>
          <w:color w:val="000000"/>
          <w:sz w:val="22"/>
          <w:lang w:val="pl-PL"/>
        </w:rPr>
        <w:t xml:space="preserve">Makadirio ya Gharama za Usimamizi wa Hatari za Kimazingira na Kijamii na Taratibu za Athari </w:t>
      </w:r>
      <w:r w:rsidRPr="001C5995">
        <w:rPr>
          <w:rFonts w:cs="Arial"/>
          <w:color w:val="000000"/>
          <w:sz w:val="22"/>
          <w:lang w:val="pl-PL"/>
        </w:rPr>
        <w:t xml:space="preserve"> </w:t>
      </w:r>
    </w:p>
    <w:p w14:paraId="129DA423" w14:textId="77777777" w:rsidR="000326DA" w:rsidRPr="000326DA" w:rsidRDefault="000326DA" w:rsidP="000326DA">
      <w:pPr>
        <w:rPr>
          <w:rFonts w:cs="Arial"/>
          <w:sz w:val="22"/>
          <w:lang w:val="pl-PL"/>
        </w:rPr>
      </w:pPr>
    </w:p>
    <w:tbl>
      <w:tblPr>
        <w:tblW w:w="1007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4"/>
        <w:gridCol w:w="1039"/>
        <w:gridCol w:w="1700"/>
        <w:gridCol w:w="6"/>
        <w:gridCol w:w="1695"/>
        <w:gridCol w:w="6"/>
      </w:tblGrid>
      <w:tr w:rsidR="000326DA" w:rsidRPr="00296E4B" w14:paraId="0084A46F" w14:textId="77777777" w:rsidTr="000326DA">
        <w:trPr>
          <w:gridAfter w:val="1"/>
          <w:wAfter w:w="6" w:type="dxa"/>
          <w:trHeight w:val="260"/>
        </w:trPr>
        <w:tc>
          <w:tcPr>
            <w:tcW w:w="5624" w:type="dxa"/>
            <w:vAlign w:val="center"/>
          </w:tcPr>
          <w:p w14:paraId="44AE87FD" w14:textId="77777777" w:rsidR="000326DA" w:rsidRPr="00296E4B" w:rsidRDefault="000326DA" w:rsidP="000326DA">
            <w:pPr>
              <w:jc w:val="center"/>
              <w:rPr>
                <w:rFonts w:cs="Arial"/>
                <w:sz w:val="22"/>
              </w:rPr>
            </w:pPr>
            <w:r w:rsidRPr="00296E4B">
              <w:rPr>
                <w:rFonts w:cs="Arial"/>
                <w:sz w:val="22"/>
              </w:rPr>
              <w:t>Shughuli</w:t>
            </w:r>
          </w:p>
        </w:tc>
        <w:tc>
          <w:tcPr>
            <w:tcW w:w="1039" w:type="dxa"/>
            <w:vAlign w:val="center"/>
          </w:tcPr>
          <w:p w14:paraId="76A3D45E" w14:textId="77777777" w:rsidR="000326DA" w:rsidRPr="00296E4B" w:rsidRDefault="000326DA" w:rsidP="000326DA">
            <w:pPr>
              <w:jc w:val="center"/>
              <w:rPr>
                <w:rFonts w:cs="Arial"/>
                <w:sz w:val="22"/>
              </w:rPr>
            </w:pPr>
            <w:r w:rsidRPr="00296E4B">
              <w:rPr>
                <w:rFonts w:cs="Arial"/>
                <w:bCs/>
                <w:sz w:val="22"/>
              </w:rPr>
              <w:t>Kiasi</w:t>
            </w:r>
          </w:p>
        </w:tc>
        <w:tc>
          <w:tcPr>
            <w:tcW w:w="1700" w:type="dxa"/>
            <w:vAlign w:val="center"/>
          </w:tcPr>
          <w:p w14:paraId="061703BA" w14:textId="77777777" w:rsidR="000326DA" w:rsidRPr="00296E4B" w:rsidRDefault="000326DA" w:rsidP="000326DA">
            <w:pPr>
              <w:jc w:val="center"/>
              <w:rPr>
                <w:rFonts w:cs="Arial"/>
                <w:sz w:val="22"/>
              </w:rPr>
            </w:pPr>
            <w:r w:rsidRPr="00296E4B">
              <w:rPr>
                <w:rFonts w:cs="Arial"/>
                <w:color w:val="000000"/>
                <w:sz w:val="22"/>
                <w:lang w:val="en-US"/>
              </w:rPr>
              <w:t xml:space="preserve">Gharama ya kitengo </w:t>
            </w:r>
            <w:r w:rsidRPr="00296E4B">
              <w:rPr>
                <w:rFonts w:cs="Arial"/>
                <w:sz w:val="22"/>
              </w:rPr>
              <w:t>(USD)</w:t>
            </w:r>
          </w:p>
        </w:tc>
        <w:tc>
          <w:tcPr>
            <w:tcW w:w="1701" w:type="dxa"/>
            <w:gridSpan w:val="2"/>
            <w:vAlign w:val="center"/>
          </w:tcPr>
          <w:p w14:paraId="3BF6A780" w14:textId="77777777" w:rsidR="000326DA" w:rsidRPr="00296E4B" w:rsidRDefault="000326DA" w:rsidP="000326DA">
            <w:pPr>
              <w:jc w:val="center"/>
              <w:rPr>
                <w:rFonts w:cs="Arial"/>
                <w:sz w:val="22"/>
              </w:rPr>
            </w:pPr>
            <w:r w:rsidRPr="00296E4B">
              <w:rPr>
                <w:rFonts w:cs="Arial"/>
                <w:color w:val="000000"/>
                <w:sz w:val="22"/>
                <w:lang w:val="en-US"/>
              </w:rPr>
              <w:t xml:space="preserve">Gharama jumla </w:t>
            </w:r>
            <w:r w:rsidRPr="00296E4B">
              <w:rPr>
                <w:rFonts w:cs="Arial"/>
                <w:bCs/>
                <w:sz w:val="22"/>
                <w:lang w:val="fr-CA"/>
              </w:rPr>
              <w:t>(USD)</w:t>
            </w:r>
          </w:p>
        </w:tc>
      </w:tr>
      <w:tr w:rsidR="000326DA" w:rsidRPr="00296E4B" w14:paraId="56EC7133" w14:textId="77777777" w:rsidTr="000326DA">
        <w:trPr>
          <w:gridAfter w:val="1"/>
          <w:wAfter w:w="6" w:type="dxa"/>
          <w:trHeight w:val="276"/>
        </w:trPr>
        <w:tc>
          <w:tcPr>
            <w:tcW w:w="5624" w:type="dxa"/>
          </w:tcPr>
          <w:p w14:paraId="7BA4DC03" w14:textId="77777777" w:rsidR="000326DA" w:rsidRPr="00296E4B" w:rsidRDefault="000326DA" w:rsidP="000326DA">
            <w:pPr>
              <w:rPr>
                <w:rFonts w:cs="Arial"/>
                <w:sz w:val="22"/>
              </w:rPr>
            </w:pPr>
            <w:r w:rsidRPr="00296E4B">
              <w:rPr>
                <w:rFonts w:cs="Arial"/>
                <w:sz w:val="22"/>
              </w:rPr>
              <w:t>Utekelezaji na utekelezaji wa EIES</w:t>
            </w:r>
            <w:r>
              <w:rPr>
                <w:rFonts w:cs="Arial"/>
                <w:sz w:val="22"/>
              </w:rPr>
              <w:t>/PGES</w:t>
            </w:r>
            <w:r w:rsidRPr="00296E4B">
              <w:rPr>
                <w:rFonts w:cs="Arial"/>
                <w:sz w:val="22"/>
              </w:rPr>
              <w:t xml:space="preserve">   </w:t>
            </w:r>
          </w:p>
        </w:tc>
        <w:tc>
          <w:tcPr>
            <w:tcW w:w="1039" w:type="dxa"/>
            <w:vAlign w:val="center"/>
          </w:tcPr>
          <w:p w14:paraId="7E9946F0" w14:textId="77777777" w:rsidR="000326DA" w:rsidRPr="004B124D" w:rsidRDefault="000326DA" w:rsidP="000326DA">
            <w:pPr>
              <w:jc w:val="center"/>
              <w:rPr>
                <w:rFonts w:cs="Arial"/>
                <w:color w:val="000000"/>
                <w:sz w:val="22"/>
              </w:rPr>
            </w:pPr>
            <w:r w:rsidRPr="00830A44">
              <w:rPr>
                <w:rFonts w:cs="Arial"/>
                <w:color w:val="000000"/>
                <w:sz w:val="22"/>
              </w:rPr>
              <w:t>3</w:t>
            </w:r>
            <w:r w:rsidRPr="004B124D">
              <w:rPr>
                <w:rFonts w:cs="Arial"/>
                <w:color w:val="000000"/>
                <w:sz w:val="22"/>
              </w:rPr>
              <w:t>0</w:t>
            </w:r>
          </w:p>
        </w:tc>
        <w:tc>
          <w:tcPr>
            <w:tcW w:w="1700" w:type="dxa"/>
          </w:tcPr>
          <w:p w14:paraId="5943677D" w14:textId="77777777" w:rsidR="000326DA" w:rsidRPr="00296E4B" w:rsidRDefault="000326DA" w:rsidP="000326DA">
            <w:pPr>
              <w:jc w:val="right"/>
              <w:rPr>
                <w:rFonts w:cs="Arial"/>
                <w:sz w:val="22"/>
              </w:rPr>
            </w:pPr>
            <w:r>
              <w:rPr>
                <w:rFonts w:cs="Arial"/>
                <w:sz w:val="22"/>
              </w:rPr>
              <w:t>5</w:t>
            </w:r>
            <w:r w:rsidRPr="00296E4B">
              <w:rPr>
                <w:rFonts w:cs="Arial"/>
                <w:sz w:val="22"/>
              </w:rPr>
              <w:t>0 000</w:t>
            </w:r>
          </w:p>
        </w:tc>
        <w:tc>
          <w:tcPr>
            <w:tcW w:w="1701" w:type="dxa"/>
            <w:gridSpan w:val="2"/>
          </w:tcPr>
          <w:p w14:paraId="09E5FB75" w14:textId="77777777" w:rsidR="000326DA" w:rsidRPr="00296E4B" w:rsidRDefault="000326DA" w:rsidP="000326DA">
            <w:pPr>
              <w:jc w:val="right"/>
              <w:rPr>
                <w:rFonts w:cs="Arial"/>
                <w:sz w:val="22"/>
              </w:rPr>
            </w:pPr>
            <w:r w:rsidRPr="00296E4B">
              <w:rPr>
                <w:rFonts w:cs="Arial"/>
                <w:sz w:val="22"/>
              </w:rPr>
              <w:t>1 </w:t>
            </w:r>
            <w:r>
              <w:rPr>
                <w:rFonts w:cs="Arial"/>
                <w:sz w:val="22"/>
              </w:rPr>
              <w:t>500</w:t>
            </w:r>
            <w:r w:rsidRPr="00296E4B">
              <w:rPr>
                <w:rFonts w:cs="Arial"/>
                <w:sz w:val="22"/>
              </w:rPr>
              <w:t xml:space="preserve"> 000</w:t>
            </w:r>
          </w:p>
        </w:tc>
      </w:tr>
      <w:tr w:rsidR="000326DA" w:rsidRPr="00296E4B" w14:paraId="5F8D049C" w14:textId="77777777" w:rsidTr="000326DA">
        <w:trPr>
          <w:gridAfter w:val="1"/>
          <w:wAfter w:w="6" w:type="dxa"/>
          <w:trHeight w:val="276"/>
        </w:trPr>
        <w:tc>
          <w:tcPr>
            <w:tcW w:w="5624" w:type="dxa"/>
          </w:tcPr>
          <w:p w14:paraId="47BF861F" w14:textId="77777777" w:rsidR="000326DA" w:rsidRPr="00296E4B" w:rsidRDefault="000326DA" w:rsidP="000326DA">
            <w:pPr>
              <w:rPr>
                <w:rFonts w:cs="Arial"/>
                <w:sz w:val="22"/>
              </w:rPr>
            </w:pPr>
            <w:r w:rsidRPr="00296E4B">
              <w:rPr>
                <w:rFonts w:cs="Arial"/>
                <w:sz w:val="22"/>
              </w:rPr>
              <w:t>Maendeleo ya mipango ya shughuli za makazi wa PAR</w:t>
            </w:r>
          </w:p>
        </w:tc>
        <w:tc>
          <w:tcPr>
            <w:tcW w:w="1039" w:type="dxa"/>
            <w:vAlign w:val="center"/>
          </w:tcPr>
          <w:p w14:paraId="19892FE0" w14:textId="77777777" w:rsidR="000326DA" w:rsidRPr="004B124D" w:rsidRDefault="000326DA" w:rsidP="000326DA">
            <w:pPr>
              <w:jc w:val="center"/>
              <w:rPr>
                <w:rFonts w:cs="Arial"/>
                <w:color w:val="000000"/>
                <w:sz w:val="22"/>
              </w:rPr>
            </w:pPr>
            <w:r w:rsidRPr="00830A44">
              <w:rPr>
                <w:rFonts w:cs="Arial"/>
                <w:color w:val="000000"/>
                <w:sz w:val="22"/>
              </w:rPr>
              <w:t>3</w:t>
            </w:r>
            <w:r w:rsidRPr="004B124D">
              <w:rPr>
                <w:rFonts w:cs="Arial"/>
                <w:color w:val="000000"/>
                <w:sz w:val="22"/>
              </w:rPr>
              <w:t>0</w:t>
            </w:r>
          </w:p>
        </w:tc>
        <w:tc>
          <w:tcPr>
            <w:tcW w:w="1700" w:type="dxa"/>
          </w:tcPr>
          <w:p w14:paraId="3EFE6B55" w14:textId="77777777" w:rsidR="000326DA" w:rsidRPr="00296E4B" w:rsidRDefault="000326DA" w:rsidP="000326DA">
            <w:pPr>
              <w:jc w:val="right"/>
              <w:rPr>
                <w:rFonts w:cs="Arial"/>
                <w:sz w:val="22"/>
              </w:rPr>
            </w:pPr>
            <w:r w:rsidRPr="00296E4B">
              <w:rPr>
                <w:rFonts w:cs="Arial"/>
                <w:sz w:val="22"/>
              </w:rPr>
              <w:t>50 000</w:t>
            </w:r>
          </w:p>
        </w:tc>
        <w:tc>
          <w:tcPr>
            <w:tcW w:w="1701" w:type="dxa"/>
            <w:gridSpan w:val="2"/>
          </w:tcPr>
          <w:p w14:paraId="4168763E" w14:textId="77777777" w:rsidR="000326DA" w:rsidRPr="00296E4B" w:rsidRDefault="000326DA" w:rsidP="000326DA">
            <w:pPr>
              <w:jc w:val="right"/>
              <w:rPr>
                <w:rFonts w:cs="Arial"/>
                <w:sz w:val="22"/>
              </w:rPr>
            </w:pPr>
            <w:r w:rsidRPr="00296E4B">
              <w:rPr>
                <w:rFonts w:cs="Arial"/>
                <w:sz w:val="22"/>
              </w:rPr>
              <w:t>1 </w:t>
            </w:r>
            <w:r>
              <w:rPr>
                <w:rFonts w:cs="Arial"/>
                <w:sz w:val="22"/>
              </w:rPr>
              <w:t>800</w:t>
            </w:r>
            <w:r w:rsidRPr="00296E4B">
              <w:rPr>
                <w:rFonts w:cs="Arial"/>
                <w:sz w:val="22"/>
              </w:rPr>
              <w:t xml:space="preserve"> 000</w:t>
            </w:r>
          </w:p>
        </w:tc>
      </w:tr>
      <w:tr w:rsidR="000326DA" w:rsidRPr="00296E4B" w14:paraId="14DB080A" w14:textId="77777777" w:rsidTr="000326DA">
        <w:trPr>
          <w:gridAfter w:val="1"/>
          <w:wAfter w:w="6" w:type="dxa"/>
          <w:trHeight w:val="276"/>
        </w:trPr>
        <w:tc>
          <w:tcPr>
            <w:tcW w:w="5624" w:type="dxa"/>
          </w:tcPr>
          <w:p w14:paraId="3FF6B794" w14:textId="77777777" w:rsidR="000326DA" w:rsidRPr="00296E4B" w:rsidRDefault="000326DA" w:rsidP="000326DA">
            <w:pPr>
              <w:rPr>
                <w:rFonts w:cs="Arial"/>
                <w:sz w:val="22"/>
                <w:lang w:val="en-US"/>
              </w:rPr>
            </w:pPr>
            <w:r w:rsidRPr="00296E4B">
              <w:rPr>
                <w:rFonts w:cs="Arial"/>
                <w:sz w:val="22"/>
                <w:lang w:val="en-US"/>
              </w:rPr>
              <w:t>Utekelezaji wa PAR</w:t>
            </w:r>
          </w:p>
        </w:tc>
        <w:tc>
          <w:tcPr>
            <w:tcW w:w="1039" w:type="dxa"/>
            <w:vAlign w:val="center"/>
          </w:tcPr>
          <w:p w14:paraId="76ED799C" w14:textId="77777777" w:rsidR="000326DA" w:rsidRPr="00830A44" w:rsidRDefault="000326DA" w:rsidP="000326DA">
            <w:pPr>
              <w:jc w:val="center"/>
              <w:rPr>
                <w:rFonts w:cs="Arial"/>
                <w:color w:val="000000"/>
                <w:sz w:val="22"/>
              </w:rPr>
            </w:pPr>
            <w:r w:rsidRPr="00830A44">
              <w:rPr>
                <w:rFonts w:cs="Arial"/>
                <w:color w:val="000000"/>
                <w:sz w:val="22"/>
              </w:rPr>
              <w:t>30</w:t>
            </w:r>
          </w:p>
        </w:tc>
        <w:tc>
          <w:tcPr>
            <w:tcW w:w="1700" w:type="dxa"/>
          </w:tcPr>
          <w:p w14:paraId="0F5F5581" w14:textId="77777777" w:rsidR="000326DA" w:rsidRPr="00296E4B" w:rsidRDefault="000326DA" w:rsidP="000326DA">
            <w:pPr>
              <w:jc w:val="right"/>
              <w:rPr>
                <w:rFonts w:cs="Arial"/>
                <w:sz w:val="22"/>
              </w:rPr>
            </w:pPr>
            <w:r w:rsidRPr="00296E4B">
              <w:rPr>
                <w:rFonts w:cs="Arial"/>
                <w:sz w:val="22"/>
              </w:rPr>
              <w:t>40 000</w:t>
            </w:r>
          </w:p>
        </w:tc>
        <w:tc>
          <w:tcPr>
            <w:tcW w:w="1701" w:type="dxa"/>
            <w:gridSpan w:val="2"/>
          </w:tcPr>
          <w:p w14:paraId="575FE4D8" w14:textId="77777777" w:rsidR="000326DA" w:rsidRPr="00296E4B" w:rsidRDefault="000326DA" w:rsidP="000326DA">
            <w:pPr>
              <w:jc w:val="center"/>
              <w:rPr>
                <w:rFonts w:cs="Arial"/>
                <w:sz w:val="22"/>
              </w:rPr>
            </w:pPr>
            <w:r w:rsidRPr="00296E4B">
              <w:rPr>
                <w:rFonts w:cs="Arial"/>
                <w:sz w:val="22"/>
              </w:rPr>
              <w:t xml:space="preserve">        1 </w:t>
            </w:r>
            <w:r>
              <w:rPr>
                <w:rFonts w:cs="Arial"/>
                <w:sz w:val="22"/>
              </w:rPr>
              <w:t>200</w:t>
            </w:r>
            <w:r w:rsidRPr="00296E4B">
              <w:rPr>
                <w:rFonts w:cs="Arial"/>
                <w:sz w:val="22"/>
              </w:rPr>
              <w:t xml:space="preserve"> 000</w:t>
            </w:r>
          </w:p>
        </w:tc>
      </w:tr>
      <w:tr w:rsidR="000326DA" w:rsidRPr="00296E4B" w14:paraId="571D789F" w14:textId="77777777" w:rsidTr="000326DA">
        <w:trPr>
          <w:gridAfter w:val="1"/>
          <w:wAfter w:w="6" w:type="dxa"/>
          <w:trHeight w:val="276"/>
        </w:trPr>
        <w:tc>
          <w:tcPr>
            <w:tcW w:w="5624" w:type="dxa"/>
          </w:tcPr>
          <w:p w14:paraId="31D02BBE" w14:textId="77777777" w:rsidR="000326DA" w:rsidRPr="00372F9C" w:rsidRDefault="000326DA" w:rsidP="000326DA">
            <w:pPr>
              <w:rPr>
                <w:rFonts w:cs="Arial"/>
                <w:sz w:val="22"/>
                <w:lang w:val="nb-NO"/>
              </w:rPr>
            </w:pPr>
            <w:r w:rsidRPr="00372F9C">
              <w:rPr>
                <w:rFonts w:cs="Arial"/>
                <w:sz w:val="22"/>
                <w:lang w:val="nb-NO"/>
              </w:rPr>
              <w:t>Maendeleo na utekelezaji wa PGS</w:t>
            </w:r>
          </w:p>
        </w:tc>
        <w:tc>
          <w:tcPr>
            <w:tcW w:w="1039" w:type="dxa"/>
            <w:vAlign w:val="center"/>
          </w:tcPr>
          <w:p w14:paraId="1A2AF623" w14:textId="77777777" w:rsidR="000326DA" w:rsidRPr="00830A44" w:rsidRDefault="000326DA" w:rsidP="000326DA">
            <w:pPr>
              <w:jc w:val="center"/>
              <w:rPr>
                <w:rFonts w:cs="Arial"/>
                <w:color w:val="000000"/>
                <w:sz w:val="22"/>
              </w:rPr>
            </w:pPr>
            <w:r>
              <w:rPr>
                <w:rFonts w:cs="Arial"/>
                <w:color w:val="000000"/>
                <w:sz w:val="22"/>
              </w:rPr>
              <w:t>1</w:t>
            </w:r>
          </w:p>
        </w:tc>
        <w:tc>
          <w:tcPr>
            <w:tcW w:w="1700" w:type="dxa"/>
          </w:tcPr>
          <w:p w14:paraId="7D315595" w14:textId="77777777" w:rsidR="000326DA" w:rsidRPr="00296E4B" w:rsidRDefault="000326DA" w:rsidP="000326DA">
            <w:pPr>
              <w:jc w:val="right"/>
              <w:rPr>
                <w:rFonts w:cs="Arial"/>
                <w:sz w:val="22"/>
              </w:rPr>
            </w:pPr>
            <w:r>
              <w:rPr>
                <w:rFonts w:cs="Arial"/>
                <w:sz w:val="22"/>
              </w:rPr>
              <w:t>100 000</w:t>
            </w:r>
          </w:p>
        </w:tc>
        <w:tc>
          <w:tcPr>
            <w:tcW w:w="1701" w:type="dxa"/>
            <w:gridSpan w:val="2"/>
          </w:tcPr>
          <w:p w14:paraId="68AD3029" w14:textId="77777777" w:rsidR="000326DA" w:rsidRPr="00296E4B" w:rsidRDefault="000326DA" w:rsidP="000326DA">
            <w:pPr>
              <w:jc w:val="right"/>
              <w:rPr>
                <w:rFonts w:cs="Arial"/>
                <w:sz w:val="22"/>
              </w:rPr>
            </w:pPr>
            <w:r>
              <w:rPr>
                <w:rFonts w:cs="Arial"/>
                <w:sz w:val="22"/>
              </w:rPr>
              <w:t>100 000</w:t>
            </w:r>
          </w:p>
        </w:tc>
      </w:tr>
      <w:tr w:rsidR="000326DA" w:rsidRPr="00296E4B" w14:paraId="757008B3" w14:textId="77777777" w:rsidTr="000326DA">
        <w:trPr>
          <w:gridAfter w:val="1"/>
          <w:wAfter w:w="6" w:type="dxa"/>
          <w:trHeight w:val="276"/>
        </w:trPr>
        <w:tc>
          <w:tcPr>
            <w:tcW w:w="5624" w:type="dxa"/>
          </w:tcPr>
          <w:p w14:paraId="20A962E6" w14:textId="77777777" w:rsidR="000326DA" w:rsidRPr="000326DA" w:rsidRDefault="000326DA" w:rsidP="000326DA">
            <w:pPr>
              <w:rPr>
                <w:rFonts w:cs="Arial"/>
                <w:sz w:val="22"/>
              </w:rPr>
            </w:pPr>
            <w:r w:rsidRPr="000326DA">
              <w:rPr>
                <w:rFonts w:cs="Arial"/>
                <w:sz w:val="22"/>
              </w:rPr>
              <w:t>Maendeleo na utekelezaji wa Mpango wa Usimamizi wa Bayoanuai (PGB)</w:t>
            </w:r>
          </w:p>
        </w:tc>
        <w:tc>
          <w:tcPr>
            <w:tcW w:w="1039" w:type="dxa"/>
            <w:vAlign w:val="center"/>
          </w:tcPr>
          <w:p w14:paraId="1D43E40E" w14:textId="77777777" w:rsidR="000326DA" w:rsidRPr="002A1EE6" w:rsidRDefault="000326DA" w:rsidP="000326DA">
            <w:pPr>
              <w:jc w:val="center"/>
              <w:rPr>
                <w:rFonts w:cs="Arial"/>
                <w:color w:val="000000"/>
                <w:sz w:val="22"/>
              </w:rPr>
            </w:pPr>
            <w:r>
              <w:rPr>
                <w:rFonts w:cs="Arial"/>
                <w:color w:val="000000"/>
                <w:sz w:val="22"/>
              </w:rPr>
              <w:t>1</w:t>
            </w:r>
          </w:p>
        </w:tc>
        <w:tc>
          <w:tcPr>
            <w:tcW w:w="1700" w:type="dxa"/>
          </w:tcPr>
          <w:p w14:paraId="5090A009" w14:textId="77777777" w:rsidR="000326DA" w:rsidRPr="00296E4B" w:rsidRDefault="000326DA" w:rsidP="000326DA">
            <w:pPr>
              <w:jc w:val="right"/>
              <w:rPr>
                <w:rFonts w:cs="Arial"/>
                <w:sz w:val="22"/>
              </w:rPr>
            </w:pPr>
            <w:r>
              <w:rPr>
                <w:rFonts w:cs="Arial"/>
                <w:sz w:val="22"/>
              </w:rPr>
              <w:t>300 000</w:t>
            </w:r>
          </w:p>
        </w:tc>
        <w:tc>
          <w:tcPr>
            <w:tcW w:w="1701" w:type="dxa"/>
            <w:gridSpan w:val="2"/>
          </w:tcPr>
          <w:p w14:paraId="575866E3" w14:textId="77777777" w:rsidR="000326DA" w:rsidRPr="00296E4B" w:rsidRDefault="000326DA" w:rsidP="000326DA">
            <w:pPr>
              <w:jc w:val="center"/>
              <w:rPr>
                <w:rFonts w:cs="Arial"/>
                <w:sz w:val="22"/>
              </w:rPr>
            </w:pPr>
            <w:r>
              <w:rPr>
                <w:rFonts w:cs="Arial"/>
                <w:sz w:val="22"/>
              </w:rPr>
              <w:t xml:space="preserve">           30</w:t>
            </w:r>
            <w:r w:rsidRPr="00296E4B">
              <w:rPr>
                <w:rFonts w:cs="Arial"/>
                <w:sz w:val="22"/>
              </w:rPr>
              <w:t>0 000</w:t>
            </w:r>
          </w:p>
        </w:tc>
      </w:tr>
      <w:tr w:rsidR="000326DA" w:rsidRPr="00296E4B" w14:paraId="65385EF5" w14:textId="77777777" w:rsidTr="000326DA">
        <w:trPr>
          <w:gridAfter w:val="1"/>
          <w:wAfter w:w="6" w:type="dxa"/>
          <w:trHeight w:val="276"/>
        </w:trPr>
        <w:tc>
          <w:tcPr>
            <w:tcW w:w="5624" w:type="dxa"/>
          </w:tcPr>
          <w:p w14:paraId="660AACFE" w14:textId="5C05844D" w:rsidR="000326DA" w:rsidRPr="001C5995" w:rsidRDefault="000326DA" w:rsidP="000326DA">
            <w:pPr>
              <w:rPr>
                <w:rFonts w:cs="Arial"/>
                <w:bCs/>
                <w:sz w:val="22"/>
                <w:lang w:val="pl-PL"/>
              </w:rPr>
            </w:pPr>
            <w:r w:rsidRPr="00364B66">
              <w:rPr>
                <w:rFonts w:cs="Arial"/>
                <w:sz w:val="22"/>
                <w:lang w:val="pl-PL"/>
              </w:rPr>
              <w:lastRenderedPageBreak/>
              <w:t>Utekelezaji wa PMPP, ikiwa ni pamoja na MGP ya kimataifa na MGP nyeti ya VBG</w:t>
            </w:r>
            <w:r w:rsidR="0080404C">
              <w:rPr>
                <w:rFonts w:cs="Arial"/>
                <w:sz w:val="22"/>
                <w:lang w:val="pl-PL"/>
              </w:rPr>
              <w:t xml:space="preserve"> (annexe 15)</w:t>
            </w:r>
          </w:p>
        </w:tc>
        <w:tc>
          <w:tcPr>
            <w:tcW w:w="1039" w:type="dxa"/>
            <w:vAlign w:val="center"/>
          </w:tcPr>
          <w:p w14:paraId="429B70C1" w14:textId="77777777" w:rsidR="000326DA" w:rsidRDefault="000326DA" w:rsidP="000326DA">
            <w:pPr>
              <w:jc w:val="center"/>
              <w:rPr>
                <w:rFonts w:cs="Arial"/>
                <w:color w:val="000000"/>
                <w:sz w:val="22"/>
              </w:rPr>
            </w:pPr>
            <w:r>
              <w:rPr>
                <w:rFonts w:cs="Arial"/>
                <w:color w:val="000000"/>
                <w:sz w:val="22"/>
              </w:rPr>
              <w:t>1</w:t>
            </w:r>
          </w:p>
        </w:tc>
        <w:tc>
          <w:tcPr>
            <w:tcW w:w="1700" w:type="dxa"/>
          </w:tcPr>
          <w:p w14:paraId="604165D7" w14:textId="77777777" w:rsidR="000326DA" w:rsidRPr="00296E4B" w:rsidRDefault="000326DA" w:rsidP="000326DA">
            <w:pPr>
              <w:jc w:val="right"/>
              <w:rPr>
                <w:rFonts w:cs="Arial"/>
                <w:sz w:val="22"/>
              </w:rPr>
            </w:pPr>
            <w:r>
              <w:rPr>
                <w:rFonts w:cs="Arial"/>
                <w:sz w:val="22"/>
              </w:rPr>
              <w:t>2</w:t>
            </w:r>
            <w:r w:rsidRPr="00296E4B">
              <w:rPr>
                <w:rFonts w:cs="Arial"/>
                <w:sz w:val="22"/>
              </w:rPr>
              <w:t xml:space="preserve"> </w:t>
            </w:r>
            <w:r>
              <w:rPr>
                <w:rFonts w:cs="Arial"/>
                <w:sz w:val="22"/>
              </w:rPr>
              <w:t>323</w:t>
            </w:r>
            <w:r w:rsidRPr="00296E4B">
              <w:rPr>
                <w:rFonts w:cs="Arial"/>
                <w:sz w:val="22"/>
              </w:rPr>
              <w:t xml:space="preserve"> 000</w:t>
            </w:r>
          </w:p>
        </w:tc>
        <w:tc>
          <w:tcPr>
            <w:tcW w:w="1701" w:type="dxa"/>
            <w:gridSpan w:val="2"/>
          </w:tcPr>
          <w:p w14:paraId="47ECDF1E" w14:textId="77777777" w:rsidR="000326DA" w:rsidRPr="00296E4B" w:rsidRDefault="000326DA" w:rsidP="000326DA">
            <w:pPr>
              <w:jc w:val="center"/>
              <w:rPr>
                <w:rFonts w:cs="Arial"/>
                <w:sz w:val="22"/>
              </w:rPr>
            </w:pPr>
            <w:r>
              <w:rPr>
                <w:rFonts w:cs="Arial"/>
                <w:sz w:val="22"/>
              </w:rPr>
              <w:t xml:space="preserve">        2 323</w:t>
            </w:r>
            <w:r w:rsidRPr="00296E4B">
              <w:rPr>
                <w:rFonts w:cs="Arial"/>
                <w:sz w:val="22"/>
              </w:rPr>
              <w:t xml:space="preserve"> 000</w:t>
            </w:r>
          </w:p>
        </w:tc>
      </w:tr>
      <w:tr w:rsidR="000326DA" w:rsidRPr="00296E4B" w14:paraId="768AEBF4" w14:textId="77777777" w:rsidTr="000326DA">
        <w:trPr>
          <w:gridAfter w:val="1"/>
          <w:wAfter w:w="6" w:type="dxa"/>
          <w:trHeight w:val="260"/>
        </w:trPr>
        <w:tc>
          <w:tcPr>
            <w:tcW w:w="5624" w:type="dxa"/>
          </w:tcPr>
          <w:p w14:paraId="3E9FCDC5" w14:textId="77777777" w:rsidR="000326DA" w:rsidRPr="00296E4B" w:rsidRDefault="000326DA" w:rsidP="000326DA">
            <w:pPr>
              <w:rPr>
                <w:rFonts w:cs="Arial"/>
                <w:sz w:val="22"/>
              </w:rPr>
            </w:pPr>
            <w:r w:rsidRPr="00296E4B">
              <w:rPr>
                <w:rFonts w:cs="Arial"/>
                <w:sz w:val="22"/>
              </w:rPr>
              <w:t>Msaada kwa ajili ya uhifadhi na marejesho ya Quarries/mkopo Cottages</w:t>
            </w:r>
          </w:p>
        </w:tc>
        <w:tc>
          <w:tcPr>
            <w:tcW w:w="1039" w:type="dxa"/>
            <w:vAlign w:val="center"/>
          </w:tcPr>
          <w:p w14:paraId="13A5E692" w14:textId="77777777" w:rsidR="000326DA" w:rsidRPr="002A1EE6" w:rsidRDefault="000326DA" w:rsidP="000326DA">
            <w:pPr>
              <w:jc w:val="center"/>
              <w:rPr>
                <w:rFonts w:cs="Arial"/>
                <w:color w:val="000000"/>
                <w:sz w:val="22"/>
              </w:rPr>
            </w:pPr>
            <w:r w:rsidRPr="002A1EE6">
              <w:rPr>
                <w:rFonts w:cs="Arial"/>
                <w:color w:val="000000"/>
                <w:sz w:val="22"/>
              </w:rPr>
              <w:t>5</w:t>
            </w:r>
          </w:p>
        </w:tc>
        <w:tc>
          <w:tcPr>
            <w:tcW w:w="1700" w:type="dxa"/>
          </w:tcPr>
          <w:p w14:paraId="5E8B2702" w14:textId="77777777" w:rsidR="000326DA" w:rsidRPr="00296E4B" w:rsidRDefault="000326DA" w:rsidP="000326DA">
            <w:pPr>
              <w:jc w:val="right"/>
              <w:rPr>
                <w:rFonts w:cs="Arial"/>
                <w:sz w:val="22"/>
              </w:rPr>
            </w:pPr>
            <w:r w:rsidRPr="00296E4B">
              <w:rPr>
                <w:rFonts w:cs="Arial"/>
                <w:sz w:val="22"/>
              </w:rPr>
              <w:t>50 000</w:t>
            </w:r>
          </w:p>
        </w:tc>
        <w:tc>
          <w:tcPr>
            <w:tcW w:w="1701" w:type="dxa"/>
            <w:gridSpan w:val="2"/>
          </w:tcPr>
          <w:p w14:paraId="1B646BDE" w14:textId="77777777" w:rsidR="000326DA" w:rsidRPr="00296E4B" w:rsidRDefault="000326DA" w:rsidP="000326DA">
            <w:pPr>
              <w:jc w:val="right"/>
              <w:rPr>
                <w:rFonts w:cs="Arial"/>
                <w:sz w:val="22"/>
              </w:rPr>
            </w:pPr>
            <w:r w:rsidRPr="00296E4B">
              <w:rPr>
                <w:rFonts w:cs="Arial"/>
                <w:sz w:val="22"/>
              </w:rPr>
              <w:t>250 000 </w:t>
            </w:r>
          </w:p>
        </w:tc>
      </w:tr>
      <w:tr w:rsidR="000326DA" w:rsidRPr="00296E4B" w14:paraId="08AD45A0" w14:textId="77777777" w:rsidTr="000326DA">
        <w:trPr>
          <w:gridAfter w:val="1"/>
          <w:wAfter w:w="6" w:type="dxa"/>
          <w:trHeight w:val="260"/>
        </w:trPr>
        <w:tc>
          <w:tcPr>
            <w:tcW w:w="5624" w:type="dxa"/>
          </w:tcPr>
          <w:p w14:paraId="4A8AD458" w14:textId="77777777" w:rsidR="000326DA" w:rsidRPr="001C5995" w:rsidRDefault="000326DA" w:rsidP="000326DA">
            <w:pPr>
              <w:rPr>
                <w:rFonts w:cs="Arial"/>
                <w:sz w:val="22"/>
                <w:lang w:val="pl-PL"/>
              </w:rPr>
            </w:pPr>
            <w:r w:rsidRPr="001C5995">
              <w:rPr>
                <w:rFonts w:cs="Arial"/>
                <w:sz w:val="22"/>
                <w:lang w:val="pl-PL"/>
              </w:rPr>
              <w:t xml:space="preserve">Endaomenti ya pembejeo za kilimo </w:t>
            </w:r>
          </w:p>
        </w:tc>
        <w:tc>
          <w:tcPr>
            <w:tcW w:w="1039" w:type="dxa"/>
            <w:vAlign w:val="center"/>
          </w:tcPr>
          <w:p w14:paraId="4B01129A" w14:textId="77777777" w:rsidR="000326DA" w:rsidRPr="002A1EE6" w:rsidRDefault="000326DA" w:rsidP="000326DA">
            <w:pPr>
              <w:jc w:val="center"/>
              <w:rPr>
                <w:rFonts w:cs="Arial"/>
                <w:color w:val="000000"/>
                <w:sz w:val="22"/>
              </w:rPr>
            </w:pPr>
            <w:r w:rsidRPr="002A1EE6">
              <w:rPr>
                <w:rFonts w:cs="Arial"/>
                <w:color w:val="000000"/>
                <w:sz w:val="22"/>
              </w:rPr>
              <w:t>-</w:t>
            </w:r>
          </w:p>
        </w:tc>
        <w:tc>
          <w:tcPr>
            <w:tcW w:w="1700" w:type="dxa"/>
          </w:tcPr>
          <w:p w14:paraId="03338799" w14:textId="77777777" w:rsidR="000326DA" w:rsidRPr="00296E4B" w:rsidRDefault="000326DA" w:rsidP="000326DA">
            <w:pPr>
              <w:jc w:val="right"/>
              <w:rPr>
                <w:rFonts w:cs="Arial"/>
                <w:sz w:val="22"/>
              </w:rPr>
            </w:pPr>
            <w:r w:rsidRPr="00296E4B">
              <w:rPr>
                <w:rFonts w:cs="Arial"/>
                <w:sz w:val="22"/>
              </w:rPr>
              <w:t>PM</w:t>
            </w:r>
          </w:p>
        </w:tc>
        <w:tc>
          <w:tcPr>
            <w:tcW w:w="1701" w:type="dxa"/>
            <w:gridSpan w:val="2"/>
          </w:tcPr>
          <w:p w14:paraId="6AE5B067" w14:textId="77777777" w:rsidR="000326DA" w:rsidRPr="00296E4B" w:rsidRDefault="000326DA" w:rsidP="000326DA">
            <w:pPr>
              <w:jc w:val="right"/>
              <w:rPr>
                <w:rFonts w:cs="Arial"/>
                <w:sz w:val="22"/>
              </w:rPr>
            </w:pPr>
            <w:r w:rsidRPr="00296E4B">
              <w:rPr>
                <w:rFonts w:cs="Arial"/>
                <w:sz w:val="22"/>
              </w:rPr>
              <w:t xml:space="preserve">PM </w:t>
            </w:r>
          </w:p>
        </w:tc>
      </w:tr>
      <w:tr w:rsidR="000326DA" w:rsidRPr="00296E4B" w14:paraId="489B8040" w14:textId="77777777" w:rsidTr="000326DA">
        <w:trPr>
          <w:gridAfter w:val="1"/>
          <w:wAfter w:w="6" w:type="dxa"/>
          <w:trHeight w:val="260"/>
        </w:trPr>
        <w:tc>
          <w:tcPr>
            <w:tcW w:w="5624" w:type="dxa"/>
          </w:tcPr>
          <w:p w14:paraId="7A54CC62" w14:textId="77777777" w:rsidR="000326DA" w:rsidRPr="001C5995" w:rsidRDefault="000326DA" w:rsidP="000326DA">
            <w:pPr>
              <w:rPr>
                <w:rFonts w:cs="Arial"/>
                <w:sz w:val="22"/>
                <w:lang w:val="pl-PL"/>
              </w:rPr>
            </w:pPr>
            <w:r w:rsidRPr="001C5995">
              <w:rPr>
                <w:rFonts w:cs="Arial"/>
                <w:sz w:val="22"/>
                <w:lang w:val="pl-PL"/>
              </w:rPr>
              <w:t>Endaumenti ya mbegu za kilimo</w:t>
            </w:r>
          </w:p>
        </w:tc>
        <w:tc>
          <w:tcPr>
            <w:tcW w:w="1039" w:type="dxa"/>
            <w:vAlign w:val="center"/>
          </w:tcPr>
          <w:p w14:paraId="2231D3D3" w14:textId="77777777" w:rsidR="000326DA" w:rsidRPr="000326DA" w:rsidRDefault="000326DA" w:rsidP="000326DA">
            <w:pPr>
              <w:jc w:val="center"/>
              <w:rPr>
                <w:rFonts w:cs="Arial"/>
                <w:color w:val="000000"/>
                <w:sz w:val="22"/>
                <w:lang w:val="en-US"/>
              </w:rPr>
            </w:pPr>
            <w:r w:rsidRPr="000326DA">
              <w:rPr>
                <w:rFonts w:cs="Arial"/>
                <w:color w:val="000000"/>
                <w:sz w:val="22"/>
                <w:lang w:val="en-US"/>
              </w:rPr>
              <w:t> </w:t>
            </w:r>
          </w:p>
        </w:tc>
        <w:tc>
          <w:tcPr>
            <w:tcW w:w="1700" w:type="dxa"/>
          </w:tcPr>
          <w:p w14:paraId="6C9801D1" w14:textId="77777777" w:rsidR="000326DA" w:rsidRPr="00296E4B" w:rsidRDefault="000326DA" w:rsidP="000326DA">
            <w:pPr>
              <w:jc w:val="right"/>
              <w:rPr>
                <w:rFonts w:cs="Arial"/>
                <w:sz w:val="22"/>
              </w:rPr>
            </w:pPr>
            <w:r w:rsidRPr="00296E4B">
              <w:rPr>
                <w:rFonts w:cs="Arial"/>
                <w:sz w:val="22"/>
              </w:rPr>
              <w:t>PM</w:t>
            </w:r>
          </w:p>
        </w:tc>
        <w:tc>
          <w:tcPr>
            <w:tcW w:w="1701" w:type="dxa"/>
            <w:gridSpan w:val="2"/>
          </w:tcPr>
          <w:p w14:paraId="1E8AA9A9" w14:textId="77777777" w:rsidR="000326DA" w:rsidRPr="00296E4B" w:rsidRDefault="000326DA" w:rsidP="000326DA">
            <w:pPr>
              <w:jc w:val="right"/>
              <w:rPr>
                <w:rFonts w:cs="Arial"/>
                <w:sz w:val="22"/>
              </w:rPr>
            </w:pPr>
            <w:r w:rsidRPr="00296E4B">
              <w:rPr>
                <w:rFonts w:cs="Arial"/>
                <w:sz w:val="22"/>
              </w:rPr>
              <w:t>PM</w:t>
            </w:r>
          </w:p>
        </w:tc>
      </w:tr>
      <w:tr w:rsidR="000326DA" w:rsidRPr="00296E4B" w14:paraId="15AFAD02" w14:textId="77777777" w:rsidTr="000326DA">
        <w:trPr>
          <w:gridAfter w:val="1"/>
          <w:wAfter w:w="6" w:type="dxa"/>
          <w:trHeight w:val="260"/>
        </w:trPr>
        <w:tc>
          <w:tcPr>
            <w:tcW w:w="5624" w:type="dxa"/>
          </w:tcPr>
          <w:p w14:paraId="1093F883" w14:textId="77777777" w:rsidR="000326DA" w:rsidRPr="001C5995" w:rsidRDefault="000326DA" w:rsidP="000326DA">
            <w:pPr>
              <w:rPr>
                <w:rFonts w:cs="Arial"/>
                <w:sz w:val="22"/>
                <w:lang w:val="pl-PL"/>
              </w:rPr>
            </w:pPr>
            <w:r w:rsidRPr="001C5995">
              <w:rPr>
                <w:rFonts w:cs="Arial"/>
                <w:sz w:val="22"/>
                <w:lang w:val="pl-PL"/>
              </w:rPr>
              <w:t>Mafunzo katika usimamizi wa mazingira na jamii</w:t>
            </w:r>
          </w:p>
        </w:tc>
        <w:tc>
          <w:tcPr>
            <w:tcW w:w="1039" w:type="dxa"/>
            <w:vAlign w:val="center"/>
          </w:tcPr>
          <w:p w14:paraId="17B1643A" w14:textId="77777777" w:rsidR="000326DA" w:rsidRPr="002A1EE6" w:rsidRDefault="000326DA" w:rsidP="000326DA">
            <w:pPr>
              <w:jc w:val="center"/>
              <w:rPr>
                <w:rFonts w:cs="Arial"/>
                <w:color w:val="000000"/>
                <w:sz w:val="22"/>
              </w:rPr>
            </w:pPr>
            <w:r>
              <w:rPr>
                <w:rFonts w:cs="Arial"/>
                <w:color w:val="000000"/>
                <w:sz w:val="22"/>
              </w:rPr>
              <w:t>2</w:t>
            </w:r>
          </w:p>
        </w:tc>
        <w:tc>
          <w:tcPr>
            <w:tcW w:w="1700" w:type="dxa"/>
          </w:tcPr>
          <w:p w14:paraId="0B5EC61D" w14:textId="77777777" w:rsidR="000326DA" w:rsidRPr="00296E4B" w:rsidRDefault="000326DA" w:rsidP="000326DA">
            <w:pPr>
              <w:jc w:val="right"/>
              <w:rPr>
                <w:rFonts w:cs="Arial"/>
                <w:sz w:val="22"/>
              </w:rPr>
            </w:pPr>
            <w:r w:rsidRPr="00296E4B">
              <w:rPr>
                <w:rFonts w:cs="Arial"/>
                <w:sz w:val="22"/>
              </w:rPr>
              <w:t>50 000</w:t>
            </w:r>
          </w:p>
        </w:tc>
        <w:tc>
          <w:tcPr>
            <w:tcW w:w="1701" w:type="dxa"/>
            <w:gridSpan w:val="2"/>
          </w:tcPr>
          <w:p w14:paraId="4DE2ED1F" w14:textId="77777777" w:rsidR="000326DA" w:rsidRPr="00296E4B" w:rsidRDefault="000326DA" w:rsidP="000326DA">
            <w:pPr>
              <w:jc w:val="right"/>
              <w:rPr>
                <w:rFonts w:cs="Arial"/>
                <w:sz w:val="22"/>
              </w:rPr>
            </w:pPr>
            <w:r w:rsidRPr="00296E4B">
              <w:rPr>
                <w:rFonts w:cs="Arial"/>
                <w:sz w:val="22"/>
              </w:rPr>
              <w:t>100 000</w:t>
            </w:r>
          </w:p>
        </w:tc>
      </w:tr>
      <w:tr w:rsidR="000326DA" w:rsidRPr="00296E4B" w14:paraId="565D2315" w14:textId="77777777" w:rsidTr="000326DA">
        <w:trPr>
          <w:gridAfter w:val="1"/>
          <w:wAfter w:w="6" w:type="dxa"/>
          <w:trHeight w:val="260"/>
        </w:trPr>
        <w:tc>
          <w:tcPr>
            <w:tcW w:w="5624" w:type="dxa"/>
          </w:tcPr>
          <w:p w14:paraId="0F8CEB0A" w14:textId="77777777" w:rsidR="000326DA" w:rsidRPr="00566CD2" w:rsidRDefault="000326DA" w:rsidP="000326DA">
            <w:pPr>
              <w:rPr>
                <w:rFonts w:cs="Arial"/>
                <w:sz w:val="22"/>
              </w:rPr>
            </w:pPr>
            <w:r w:rsidRPr="00364B66">
              <w:rPr>
                <w:rFonts w:cs="Arial"/>
                <w:sz w:val="22"/>
              </w:rPr>
              <w:t>Mpango wa Utekelezaji wa EAS / HS, ikiwa ni pamoja na taratibu maalum za MGP kwa malalamiko ya EAS / HS</w:t>
            </w:r>
          </w:p>
        </w:tc>
        <w:tc>
          <w:tcPr>
            <w:tcW w:w="1039" w:type="dxa"/>
            <w:vAlign w:val="center"/>
          </w:tcPr>
          <w:p w14:paraId="2C2192C9" w14:textId="77777777" w:rsidR="000326DA" w:rsidRPr="002A1EE6" w:rsidRDefault="000326DA" w:rsidP="000326DA">
            <w:pPr>
              <w:jc w:val="center"/>
              <w:rPr>
                <w:rFonts w:cs="Arial"/>
                <w:color w:val="000000"/>
                <w:sz w:val="22"/>
              </w:rPr>
            </w:pPr>
            <w:r w:rsidRPr="002A1EE6">
              <w:rPr>
                <w:rFonts w:cs="Arial"/>
                <w:color w:val="000000"/>
                <w:sz w:val="22"/>
              </w:rPr>
              <w:t>-</w:t>
            </w:r>
          </w:p>
        </w:tc>
        <w:tc>
          <w:tcPr>
            <w:tcW w:w="1700" w:type="dxa"/>
          </w:tcPr>
          <w:p w14:paraId="1F08ECAF" w14:textId="77777777" w:rsidR="000326DA" w:rsidRDefault="000326DA" w:rsidP="000326DA">
            <w:pPr>
              <w:jc w:val="right"/>
              <w:rPr>
                <w:rFonts w:cs="Arial"/>
                <w:sz w:val="22"/>
              </w:rPr>
            </w:pPr>
          </w:p>
          <w:p w14:paraId="346CA9E0" w14:textId="77777777" w:rsidR="000326DA" w:rsidRPr="00296E4B" w:rsidRDefault="000326DA" w:rsidP="000326DA">
            <w:pPr>
              <w:jc w:val="right"/>
              <w:rPr>
                <w:rFonts w:cs="Arial"/>
                <w:sz w:val="22"/>
              </w:rPr>
            </w:pPr>
            <w:r>
              <w:rPr>
                <w:rFonts w:cs="Arial"/>
                <w:sz w:val="22"/>
              </w:rPr>
              <w:t> -</w:t>
            </w:r>
          </w:p>
        </w:tc>
        <w:tc>
          <w:tcPr>
            <w:tcW w:w="1701" w:type="dxa"/>
            <w:gridSpan w:val="2"/>
          </w:tcPr>
          <w:p w14:paraId="47BDC7F9" w14:textId="77777777" w:rsidR="000326DA" w:rsidRDefault="000326DA" w:rsidP="000326DA">
            <w:pPr>
              <w:jc w:val="right"/>
              <w:rPr>
                <w:rFonts w:cs="Arial"/>
                <w:sz w:val="22"/>
              </w:rPr>
            </w:pPr>
          </w:p>
          <w:p w14:paraId="56AD6DE1" w14:textId="0BD1CB17" w:rsidR="000326DA" w:rsidRPr="00296E4B" w:rsidRDefault="005C7DF8" w:rsidP="000326DA">
            <w:pPr>
              <w:jc w:val="right"/>
              <w:rPr>
                <w:rFonts w:cs="Arial"/>
                <w:sz w:val="22"/>
              </w:rPr>
            </w:pPr>
            <w:r>
              <w:rPr>
                <w:rFonts w:cs="Arial"/>
                <w:sz w:val="22"/>
              </w:rPr>
              <w:t>7 530 000</w:t>
            </w:r>
          </w:p>
        </w:tc>
      </w:tr>
      <w:tr w:rsidR="000326DA" w:rsidRPr="00296E4B" w14:paraId="79870460" w14:textId="77777777" w:rsidTr="000326DA">
        <w:trPr>
          <w:gridAfter w:val="1"/>
          <w:wAfter w:w="6" w:type="dxa"/>
          <w:trHeight w:val="260"/>
        </w:trPr>
        <w:tc>
          <w:tcPr>
            <w:tcW w:w="5624" w:type="dxa"/>
            <w:vMerge w:val="restart"/>
          </w:tcPr>
          <w:p w14:paraId="4E17CE5F" w14:textId="77777777" w:rsidR="000326DA" w:rsidRPr="00296E4B" w:rsidRDefault="000326DA" w:rsidP="000326DA">
            <w:pPr>
              <w:rPr>
                <w:rFonts w:cs="Arial"/>
                <w:bCs/>
                <w:sz w:val="22"/>
              </w:rPr>
            </w:pPr>
            <w:r w:rsidRPr="00296E4B">
              <w:rPr>
                <w:rFonts w:cs="Arial"/>
                <w:sz w:val="22"/>
              </w:rPr>
              <w:t>Tathmini ya muda na ya mwisho ya PNDA CGES na Audits</w:t>
            </w:r>
          </w:p>
        </w:tc>
        <w:tc>
          <w:tcPr>
            <w:tcW w:w="1039" w:type="dxa"/>
            <w:vAlign w:val="center"/>
          </w:tcPr>
          <w:p w14:paraId="0254E204" w14:textId="77777777" w:rsidR="000326DA" w:rsidRPr="002A1EE6" w:rsidRDefault="000326DA" w:rsidP="000326DA">
            <w:pPr>
              <w:jc w:val="center"/>
              <w:rPr>
                <w:rFonts w:cs="Arial"/>
                <w:color w:val="000000"/>
                <w:sz w:val="22"/>
              </w:rPr>
            </w:pPr>
            <w:r w:rsidRPr="002A1EE6">
              <w:rPr>
                <w:rFonts w:cs="Arial"/>
                <w:color w:val="000000"/>
                <w:sz w:val="22"/>
              </w:rPr>
              <w:t>10</w:t>
            </w:r>
          </w:p>
        </w:tc>
        <w:tc>
          <w:tcPr>
            <w:tcW w:w="1700" w:type="dxa"/>
          </w:tcPr>
          <w:p w14:paraId="0D6F5C38" w14:textId="77777777" w:rsidR="000326DA" w:rsidRPr="00296E4B" w:rsidRDefault="000326DA" w:rsidP="000326DA">
            <w:pPr>
              <w:jc w:val="right"/>
              <w:rPr>
                <w:rFonts w:cs="Arial"/>
                <w:sz w:val="22"/>
              </w:rPr>
            </w:pPr>
            <w:r w:rsidRPr="00296E4B">
              <w:rPr>
                <w:rFonts w:cs="Arial"/>
                <w:sz w:val="22"/>
              </w:rPr>
              <w:t xml:space="preserve">30 000 </w:t>
            </w:r>
          </w:p>
        </w:tc>
        <w:tc>
          <w:tcPr>
            <w:tcW w:w="1701" w:type="dxa"/>
            <w:gridSpan w:val="2"/>
          </w:tcPr>
          <w:p w14:paraId="04317CA2" w14:textId="77777777" w:rsidR="000326DA" w:rsidRPr="00296E4B" w:rsidRDefault="000326DA" w:rsidP="000326DA">
            <w:pPr>
              <w:jc w:val="right"/>
              <w:rPr>
                <w:rFonts w:cs="Arial"/>
                <w:sz w:val="22"/>
              </w:rPr>
            </w:pPr>
            <w:r>
              <w:rPr>
                <w:rFonts w:cs="Arial"/>
                <w:sz w:val="22"/>
              </w:rPr>
              <w:t>30</w:t>
            </w:r>
            <w:r w:rsidRPr="00296E4B">
              <w:rPr>
                <w:rFonts w:cs="Arial"/>
                <w:sz w:val="22"/>
              </w:rPr>
              <w:t xml:space="preserve">0 000 </w:t>
            </w:r>
          </w:p>
        </w:tc>
      </w:tr>
      <w:tr w:rsidR="000326DA" w:rsidRPr="00296E4B" w14:paraId="4EB7B534" w14:textId="77777777" w:rsidTr="000326DA">
        <w:trPr>
          <w:gridAfter w:val="1"/>
          <w:wAfter w:w="6" w:type="dxa"/>
          <w:trHeight w:val="260"/>
        </w:trPr>
        <w:tc>
          <w:tcPr>
            <w:tcW w:w="5624" w:type="dxa"/>
            <w:vMerge/>
          </w:tcPr>
          <w:p w14:paraId="4BBFD98D" w14:textId="77777777" w:rsidR="000326DA" w:rsidRPr="00296E4B" w:rsidRDefault="000326DA" w:rsidP="000326DA">
            <w:pPr>
              <w:rPr>
                <w:rFonts w:cs="Arial"/>
                <w:bCs/>
                <w:sz w:val="22"/>
              </w:rPr>
            </w:pPr>
          </w:p>
        </w:tc>
        <w:tc>
          <w:tcPr>
            <w:tcW w:w="1039" w:type="dxa"/>
            <w:vAlign w:val="center"/>
          </w:tcPr>
          <w:p w14:paraId="1A09C7AC" w14:textId="77777777" w:rsidR="000326DA" w:rsidRPr="004B124D" w:rsidRDefault="000326DA" w:rsidP="000326DA">
            <w:pPr>
              <w:jc w:val="center"/>
              <w:rPr>
                <w:rFonts w:cs="Arial"/>
                <w:color w:val="000000"/>
                <w:sz w:val="22"/>
              </w:rPr>
            </w:pPr>
            <w:r>
              <w:rPr>
                <w:rFonts w:cs="Arial"/>
                <w:color w:val="000000"/>
                <w:sz w:val="22"/>
              </w:rPr>
              <w:t>1</w:t>
            </w:r>
            <w:r w:rsidRPr="004B124D">
              <w:rPr>
                <w:rFonts w:cs="Arial"/>
                <w:color w:val="000000"/>
                <w:sz w:val="22"/>
              </w:rPr>
              <w:t>0</w:t>
            </w:r>
          </w:p>
        </w:tc>
        <w:tc>
          <w:tcPr>
            <w:tcW w:w="1700" w:type="dxa"/>
          </w:tcPr>
          <w:p w14:paraId="043DD5F9" w14:textId="77777777" w:rsidR="000326DA" w:rsidRPr="00296E4B" w:rsidRDefault="000326DA" w:rsidP="000326DA">
            <w:pPr>
              <w:jc w:val="right"/>
              <w:rPr>
                <w:rFonts w:cs="Arial"/>
                <w:sz w:val="22"/>
              </w:rPr>
            </w:pPr>
            <w:r w:rsidRPr="00296E4B">
              <w:rPr>
                <w:rFonts w:cs="Arial"/>
                <w:sz w:val="22"/>
              </w:rPr>
              <w:t>30 000</w:t>
            </w:r>
          </w:p>
        </w:tc>
        <w:tc>
          <w:tcPr>
            <w:tcW w:w="1701" w:type="dxa"/>
            <w:gridSpan w:val="2"/>
          </w:tcPr>
          <w:p w14:paraId="534665AE" w14:textId="77777777" w:rsidR="000326DA" w:rsidRPr="00296E4B" w:rsidRDefault="000326DA" w:rsidP="000326DA">
            <w:pPr>
              <w:jc w:val="right"/>
              <w:rPr>
                <w:rFonts w:cs="Arial"/>
                <w:sz w:val="22"/>
              </w:rPr>
            </w:pPr>
            <w:r>
              <w:rPr>
                <w:rFonts w:cs="Arial"/>
                <w:sz w:val="22"/>
              </w:rPr>
              <w:t>30</w:t>
            </w:r>
            <w:r w:rsidRPr="00296E4B">
              <w:rPr>
                <w:rFonts w:cs="Arial"/>
                <w:sz w:val="22"/>
              </w:rPr>
              <w:t>0 000</w:t>
            </w:r>
          </w:p>
        </w:tc>
      </w:tr>
      <w:tr w:rsidR="000326DA" w:rsidRPr="00296E4B" w14:paraId="2F1148A9" w14:textId="77777777" w:rsidTr="000326DA">
        <w:trPr>
          <w:trHeight w:val="260"/>
        </w:trPr>
        <w:tc>
          <w:tcPr>
            <w:tcW w:w="8369" w:type="dxa"/>
            <w:gridSpan w:val="4"/>
          </w:tcPr>
          <w:p w14:paraId="78AF626E" w14:textId="77777777" w:rsidR="000326DA" w:rsidRPr="00296E4B" w:rsidRDefault="000326DA" w:rsidP="000326DA">
            <w:pPr>
              <w:rPr>
                <w:rFonts w:cs="Arial"/>
                <w:bCs/>
                <w:sz w:val="22"/>
                <w:lang w:val="en-US"/>
              </w:rPr>
            </w:pPr>
            <w:r w:rsidRPr="00296E4B">
              <w:rPr>
                <w:rFonts w:cs="Arial"/>
                <w:bCs/>
                <w:sz w:val="22"/>
                <w:lang w:val="en-US"/>
              </w:rPr>
              <w:t>JUMLA</w:t>
            </w:r>
          </w:p>
        </w:tc>
        <w:tc>
          <w:tcPr>
            <w:tcW w:w="1701" w:type="dxa"/>
            <w:gridSpan w:val="2"/>
          </w:tcPr>
          <w:p w14:paraId="7B600E4B" w14:textId="77777777" w:rsidR="000326DA" w:rsidRPr="00296E4B" w:rsidRDefault="000326DA" w:rsidP="000326DA">
            <w:pPr>
              <w:jc w:val="right"/>
              <w:rPr>
                <w:rFonts w:cs="Arial"/>
                <w:sz w:val="22"/>
              </w:rPr>
            </w:pPr>
            <w:r>
              <w:rPr>
                <w:rFonts w:cs="Arial"/>
                <w:sz w:val="22"/>
              </w:rPr>
              <w:t>14 446 300</w:t>
            </w:r>
          </w:p>
        </w:tc>
      </w:tr>
      <w:tr w:rsidR="000326DA" w:rsidRPr="00296E4B" w14:paraId="61F3DF4F" w14:textId="77777777" w:rsidTr="000326DA">
        <w:trPr>
          <w:gridAfter w:val="1"/>
          <w:wAfter w:w="6" w:type="dxa"/>
          <w:trHeight w:val="260"/>
        </w:trPr>
        <w:tc>
          <w:tcPr>
            <w:tcW w:w="5624" w:type="dxa"/>
          </w:tcPr>
          <w:p w14:paraId="451D4726" w14:textId="77777777" w:rsidR="000326DA" w:rsidRPr="00296E4B" w:rsidRDefault="000326DA" w:rsidP="000326DA">
            <w:pPr>
              <w:rPr>
                <w:rFonts w:cs="Arial"/>
                <w:bCs/>
                <w:sz w:val="22"/>
              </w:rPr>
            </w:pPr>
            <w:r w:rsidRPr="00296E4B">
              <w:rPr>
                <w:rFonts w:cs="Arial"/>
                <w:bCs/>
                <w:sz w:val="22"/>
                <w:lang w:val="en-US"/>
              </w:rPr>
              <w:t xml:space="preserve">Unforeseen na tofauti </w:t>
            </w:r>
            <w:r w:rsidRPr="00296E4B">
              <w:rPr>
                <w:rFonts w:cs="Arial"/>
                <w:bCs/>
                <w:sz w:val="22"/>
              </w:rPr>
              <w:t>(5 %)</w:t>
            </w:r>
          </w:p>
        </w:tc>
        <w:tc>
          <w:tcPr>
            <w:tcW w:w="1039" w:type="dxa"/>
          </w:tcPr>
          <w:p w14:paraId="0F3F48C9" w14:textId="77777777" w:rsidR="000326DA" w:rsidRPr="00296E4B" w:rsidRDefault="000326DA" w:rsidP="000326DA">
            <w:pPr>
              <w:jc w:val="center"/>
              <w:rPr>
                <w:rFonts w:cs="Arial"/>
                <w:sz w:val="22"/>
              </w:rPr>
            </w:pPr>
            <w:r>
              <w:rPr>
                <w:rFonts w:cs="Arial"/>
                <w:sz w:val="22"/>
              </w:rPr>
              <w:t>0,05</w:t>
            </w:r>
          </w:p>
        </w:tc>
        <w:tc>
          <w:tcPr>
            <w:tcW w:w="1700" w:type="dxa"/>
          </w:tcPr>
          <w:p w14:paraId="09D8018B" w14:textId="77777777" w:rsidR="000326DA" w:rsidRPr="00296E4B" w:rsidRDefault="000326DA" w:rsidP="000326DA">
            <w:pPr>
              <w:jc w:val="right"/>
              <w:rPr>
                <w:rFonts w:cs="Arial"/>
                <w:sz w:val="22"/>
              </w:rPr>
            </w:pPr>
          </w:p>
        </w:tc>
        <w:tc>
          <w:tcPr>
            <w:tcW w:w="1701" w:type="dxa"/>
            <w:gridSpan w:val="2"/>
          </w:tcPr>
          <w:p w14:paraId="3EBFDFA7" w14:textId="77777777" w:rsidR="000326DA" w:rsidRPr="00296E4B" w:rsidRDefault="000326DA" w:rsidP="000326DA">
            <w:pPr>
              <w:jc w:val="center"/>
              <w:rPr>
                <w:rFonts w:cs="Arial"/>
                <w:sz w:val="22"/>
              </w:rPr>
            </w:pPr>
            <w:r w:rsidRPr="00296E4B">
              <w:rPr>
                <w:rFonts w:cs="Arial"/>
                <w:sz w:val="22"/>
              </w:rPr>
              <w:t xml:space="preserve">           </w:t>
            </w:r>
            <w:r>
              <w:rPr>
                <w:rFonts w:cs="Arial"/>
                <w:sz w:val="22"/>
              </w:rPr>
              <w:t>722 315</w:t>
            </w:r>
            <w:r w:rsidRPr="00296E4B">
              <w:rPr>
                <w:rFonts w:cs="Arial"/>
                <w:sz w:val="22"/>
              </w:rPr>
              <w:t xml:space="preserve"> </w:t>
            </w:r>
          </w:p>
        </w:tc>
      </w:tr>
      <w:tr w:rsidR="000326DA" w:rsidRPr="00296E4B" w14:paraId="2D22B1C9" w14:textId="77777777" w:rsidTr="000326DA">
        <w:trPr>
          <w:trHeight w:val="276"/>
        </w:trPr>
        <w:tc>
          <w:tcPr>
            <w:tcW w:w="8369" w:type="dxa"/>
            <w:gridSpan w:val="4"/>
            <w:shd w:val="clear" w:color="auto" w:fill="auto"/>
          </w:tcPr>
          <w:p w14:paraId="63CACB24" w14:textId="77777777" w:rsidR="000326DA" w:rsidRPr="00296E4B" w:rsidRDefault="000326DA" w:rsidP="000326DA">
            <w:pPr>
              <w:jc w:val="center"/>
              <w:rPr>
                <w:rFonts w:cs="Arial"/>
                <w:sz w:val="22"/>
              </w:rPr>
            </w:pPr>
            <w:r w:rsidRPr="00296E4B">
              <w:rPr>
                <w:rFonts w:cs="Arial"/>
                <w:bCs/>
                <w:sz w:val="22"/>
                <w:lang w:val="en-US"/>
              </w:rPr>
              <w:t>JUMLA KUBWA</w:t>
            </w:r>
          </w:p>
        </w:tc>
        <w:tc>
          <w:tcPr>
            <w:tcW w:w="1701" w:type="dxa"/>
            <w:gridSpan w:val="2"/>
          </w:tcPr>
          <w:p w14:paraId="75DFFE10" w14:textId="0A68F445" w:rsidR="000326DA" w:rsidRPr="00296E4B" w:rsidRDefault="005C7DF8" w:rsidP="000326DA">
            <w:pPr>
              <w:jc w:val="right"/>
              <w:rPr>
                <w:rFonts w:cs="Arial"/>
                <w:sz w:val="22"/>
              </w:rPr>
            </w:pPr>
            <w:r>
              <w:rPr>
                <w:rFonts w:cs="Arial"/>
                <w:sz w:val="22"/>
              </w:rPr>
              <w:t>18 675 330</w:t>
            </w:r>
            <w:r w:rsidR="000326DA" w:rsidRPr="00296E4B">
              <w:rPr>
                <w:rFonts w:cs="Arial"/>
                <w:sz w:val="22"/>
              </w:rPr>
              <w:t xml:space="preserve"> </w:t>
            </w:r>
          </w:p>
        </w:tc>
      </w:tr>
    </w:tbl>
    <w:p w14:paraId="270B3D2B" w14:textId="77777777" w:rsidR="000326DA" w:rsidRPr="00296E4B" w:rsidRDefault="000326DA" w:rsidP="000326DA">
      <w:pPr>
        <w:jc w:val="left"/>
        <w:rPr>
          <w:rFonts w:cs="Arial"/>
          <w:sz w:val="22"/>
        </w:rPr>
      </w:pPr>
    </w:p>
    <w:p w14:paraId="75366998" w14:textId="77777777" w:rsidR="000326DA" w:rsidRPr="001C5995" w:rsidRDefault="000326DA" w:rsidP="002378EA">
      <w:pPr>
        <w:numPr>
          <w:ilvl w:val="0"/>
          <w:numId w:val="154"/>
        </w:numPr>
        <w:rPr>
          <w:rFonts w:cs="Arial"/>
          <w:i/>
          <w:sz w:val="22"/>
          <w:lang w:val="pl-PL" w:bidi="fr-FR"/>
        </w:rPr>
      </w:pPr>
      <w:r w:rsidRPr="001C5995">
        <w:rPr>
          <w:rFonts w:cs="Arial"/>
          <w:i/>
          <w:sz w:val="22"/>
          <w:lang w:val="pl-PL" w:bidi="fr-FR"/>
        </w:rPr>
        <w:t>Utaratibu wa usimamizi wa malalamishi (MGP)</w:t>
      </w:r>
    </w:p>
    <w:p w14:paraId="437DD74B" w14:textId="77777777" w:rsidR="000326DA" w:rsidRPr="00296E4B" w:rsidRDefault="000326DA" w:rsidP="000326DA">
      <w:pPr>
        <w:rPr>
          <w:rFonts w:cs="Arial"/>
          <w:sz w:val="22"/>
        </w:rPr>
      </w:pPr>
    </w:p>
    <w:p w14:paraId="4DB92173" w14:textId="77777777" w:rsidR="000326DA" w:rsidRDefault="000326DA" w:rsidP="000326DA">
      <w:pPr>
        <w:rPr>
          <w:rFonts w:cs="Arial"/>
          <w:sz w:val="22"/>
        </w:rPr>
      </w:pPr>
      <w:r w:rsidRPr="00364B66">
        <w:rPr>
          <w:rFonts w:cs="Arial"/>
          <w:sz w:val="22"/>
        </w:rPr>
        <w:t>Utaratibu wa Usimamizi wa Malalamiko umewekwa kwa mujibu wa NES 10: ushiriki wa wadau na habari. PMP yaNDA itafikiwa na wadau wote katika mpango huo ikiwemo watu walio katika mazingira magumu. Aidha, taratibu maalum za utunzaji wa maadili na siri za malalamiko ya EAS/HS zitajumuishwa katika MGP. MGP inatetea utaratibu wa azimio linaloweza kuepukika, mbali na kesi za EAS / HS.</w:t>
      </w:r>
    </w:p>
    <w:p w14:paraId="52452460" w14:textId="77777777" w:rsidR="000326DA" w:rsidRPr="00296E4B" w:rsidRDefault="000326DA" w:rsidP="000326DA">
      <w:pPr>
        <w:jc w:val="left"/>
        <w:rPr>
          <w:rFonts w:cs="Arial"/>
          <w:sz w:val="22"/>
        </w:rPr>
      </w:pPr>
    </w:p>
    <w:p w14:paraId="41914A6C" w14:textId="77777777" w:rsidR="000326DA" w:rsidRPr="00296E4B" w:rsidRDefault="000326DA" w:rsidP="000326DA">
      <w:pPr>
        <w:rPr>
          <w:rFonts w:cs="Arial"/>
          <w:sz w:val="22"/>
        </w:rPr>
      </w:pPr>
      <w:r w:rsidRPr="00296E4B">
        <w:rPr>
          <w:rFonts w:cs="Arial"/>
          <w:sz w:val="22"/>
        </w:rPr>
        <w:t xml:space="preserve">Ngazi tatu za utatuzi wa malalamishi na kamati zilizowekwa. Hizi ni: </w:t>
      </w:r>
      <w:r w:rsidRPr="00296E4B">
        <w:rPr>
          <w:rFonts w:cs="Arial"/>
          <w:i/>
          <w:sz w:val="22"/>
        </w:rPr>
        <w:t>(i)</w:t>
      </w:r>
      <w:r w:rsidRPr="00296E4B">
        <w:rPr>
          <w:rFonts w:cs="Arial"/>
          <w:sz w:val="22"/>
        </w:rPr>
        <w:t xml:space="preserve"> eneo la ujirani/kijiji: (</w:t>
      </w:r>
      <w:r w:rsidRPr="00296E4B">
        <w:rPr>
          <w:rFonts w:cs="Arial"/>
          <w:i/>
          <w:sz w:val="22"/>
        </w:rPr>
        <w:t xml:space="preserve">ii) </w:t>
      </w:r>
      <w:r w:rsidRPr="00296E4B">
        <w:rPr>
          <w:rFonts w:cs="Arial"/>
          <w:sz w:val="22"/>
        </w:rPr>
        <w:t>kiwango cha kijamii/Jimbo: (</w:t>
      </w:r>
      <w:r w:rsidRPr="00296E4B">
        <w:rPr>
          <w:rFonts w:cs="Arial"/>
          <w:i/>
          <w:sz w:val="22"/>
        </w:rPr>
        <w:t xml:space="preserve">iii) </w:t>
      </w:r>
      <w:r w:rsidRPr="00296E4B">
        <w:rPr>
          <w:rFonts w:cs="Arial"/>
          <w:sz w:val="22"/>
        </w:rPr>
        <w:t xml:space="preserve">kiwango cha majimbo. </w:t>
      </w:r>
    </w:p>
    <w:p w14:paraId="7DE0D903" w14:textId="77777777" w:rsidR="000326DA" w:rsidRPr="00296E4B" w:rsidRDefault="000326DA" w:rsidP="000326DA">
      <w:pPr>
        <w:rPr>
          <w:rFonts w:cs="Arial"/>
          <w:sz w:val="22"/>
        </w:rPr>
      </w:pPr>
    </w:p>
    <w:p w14:paraId="35F248BE" w14:textId="77777777" w:rsidR="000326DA" w:rsidRPr="00364B66" w:rsidRDefault="000326DA" w:rsidP="000326DA">
      <w:pPr>
        <w:rPr>
          <w:rFonts w:cs="Arial"/>
          <w:sz w:val="22"/>
        </w:rPr>
      </w:pPr>
      <w:r w:rsidRPr="00364B66">
        <w:rPr>
          <w:rFonts w:cs="Arial"/>
          <w:sz w:val="22"/>
        </w:rPr>
        <w:t>Matumizi ya mahakama, ingawa hayapendekezwi kwa kukimbia laini ya Mradi (hatari ya kuzuia, kusitisha kazi, ucheleweshaji, nk), bado mapumziko ya mwisho katika tukio la kushindwa kwa suluhisho la amicable. Kama ilivyobainishawa, kesi za EAS / HS hazitakuwa somo la azimio linaloweza kupatikana.</w:t>
      </w:r>
    </w:p>
    <w:p w14:paraId="2ADD7638" w14:textId="77777777" w:rsidR="000326DA" w:rsidRPr="00364B66" w:rsidRDefault="000326DA" w:rsidP="000326DA">
      <w:pPr>
        <w:rPr>
          <w:rFonts w:cs="Arial"/>
          <w:sz w:val="22"/>
        </w:rPr>
      </w:pPr>
    </w:p>
    <w:p w14:paraId="0D0D09FB" w14:textId="77777777" w:rsidR="000326DA" w:rsidRDefault="000326DA" w:rsidP="000326DA">
      <w:pPr>
        <w:rPr>
          <w:rFonts w:cs="Arial"/>
          <w:sz w:val="22"/>
        </w:rPr>
      </w:pPr>
      <w:r w:rsidRPr="00364B66">
        <w:rPr>
          <w:rFonts w:cs="Arial"/>
          <w:sz w:val="22"/>
        </w:rPr>
        <w:t>Kuhusu masuala ya VBG, kamati ndogo ya VBG ya MGP itapangwa kukabiliana na madai ya VBG / EAS / HS-nyeti, taratibu maalum za utunzaji wa maadili na siri ya malalamiko ya EAS / HS zitatengenezwa na kujumuishwa katika MGP ya kimataifa kwa kiwango cha kamati ndogo maalum Kwa hivyo ikumbukwe kuwa kesi za EAS / HS hazitakuwa somo la azimio linaloweza kutimizwa.</w:t>
      </w:r>
    </w:p>
    <w:p w14:paraId="4844882C" w14:textId="77777777" w:rsidR="000326DA" w:rsidRDefault="000326DA" w:rsidP="000326DA">
      <w:pPr>
        <w:rPr>
          <w:rFonts w:cs="Arial"/>
          <w:sz w:val="22"/>
        </w:rPr>
      </w:pPr>
    </w:p>
    <w:p w14:paraId="0828DD59" w14:textId="77777777" w:rsidR="000326DA" w:rsidRPr="00296E4B" w:rsidRDefault="000326DA" w:rsidP="002378EA">
      <w:pPr>
        <w:numPr>
          <w:ilvl w:val="0"/>
          <w:numId w:val="154"/>
        </w:numPr>
        <w:rPr>
          <w:rFonts w:cs="Arial"/>
          <w:sz w:val="22"/>
        </w:rPr>
      </w:pPr>
      <w:r w:rsidRPr="00296E4B">
        <w:rPr>
          <w:rFonts w:cs="Arial"/>
          <w:i/>
          <w:sz w:val="22"/>
          <w:lang w:val="en-US" w:bidi="fr-FR"/>
        </w:rPr>
        <w:t xml:space="preserve">Mashauriano yalifanywa </w:t>
      </w:r>
    </w:p>
    <w:p w14:paraId="22C05F3F" w14:textId="77777777" w:rsidR="000326DA" w:rsidRPr="00296E4B" w:rsidRDefault="000326DA" w:rsidP="000326DA">
      <w:pPr>
        <w:jc w:val="left"/>
        <w:rPr>
          <w:rFonts w:cs="Arial"/>
          <w:sz w:val="22"/>
        </w:rPr>
      </w:pPr>
    </w:p>
    <w:p w14:paraId="4912CB67" w14:textId="77777777" w:rsidR="000326DA" w:rsidRPr="00364B66" w:rsidRDefault="000326DA" w:rsidP="000326DA">
      <w:pPr>
        <w:rPr>
          <w:rFonts w:cs="Arial"/>
          <w:bCs/>
          <w:sz w:val="22"/>
        </w:rPr>
      </w:pPr>
      <w:r w:rsidRPr="00364B66">
        <w:rPr>
          <w:rFonts w:cs="Arial"/>
          <w:bCs/>
          <w:sz w:val="22"/>
        </w:rPr>
        <w:t xml:space="preserve">Mashauriano ya umma chini ya muktadha wa COVID-19 yalifanywa katika miji ya Matadi (02 Juni 2020), Kananga (03 Juni 2020), Tshikapa (10 Juni 2020), Bandundu-Ville (10 Juni 2020) na Goma (17 Juni 2020). Mashauriano haya yaliwaleta pamoja washiriki 96 wenye kiwango cha juu cha watu 20 / mashauriano (mamlaka kuu, huduma za kiufundi, vyama vya asasi za kiraia, wawakilishi wa watu wanaonufaika, nk) kulingana na matakwa ya hatua za kizuizi zilizotangazwa na Serikali ya DRC, Mwongozo wa Mipango ya Uendeshaji wa Kusaidia Utayari na Majibu ya Nchi" (2020) ya Utayari wa Kimkakati wa WHO na Mpango wa Kukabiliana na COVID-19 na Shirika la Ufundi la Benki ya Dunia 20 Machi 2020 "Mashauriano ya Umma na </w:t>
      </w:r>
      <w:r w:rsidRPr="00364B66">
        <w:rPr>
          <w:rFonts w:cs="Arial"/>
          <w:bCs/>
          <w:sz w:val="22"/>
        </w:rPr>
        <w:lastRenderedPageBreak/>
        <w:t>Ushirikiano wa Wadau katika Shughuli zinazoungwa mkono na Benki ya Dunia ambapo kuna vikwazo juu ya mwenendo wa mikutano ya hadhara</w:t>
      </w:r>
    </w:p>
    <w:p w14:paraId="71120E40" w14:textId="77777777" w:rsidR="000326DA" w:rsidRPr="00364B66" w:rsidRDefault="000326DA" w:rsidP="000326DA">
      <w:pPr>
        <w:rPr>
          <w:rFonts w:cs="Arial"/>
          <w:bCs/>
          <w:sz w:val="22"/>
        </w:rPr>
      </w:pPr>
    </w:p>
    <w:p w14:paraId="5CB9934D" w14:textId="77777777" w:rsidR="000326DA" w:rsidRPr="00364B66" w:rsidRDefault="000326DA" w:rsidP="000326DA">
      <w:pPr>
        <w:rPr>
          <w:rFonts w:cs="Arial"/>
          <w:bCs/>
          <w:sz w:val="22"/>
        </w:rPr>
      </w:pPr>
      <w:r w:rsidRPr="00364B66">
        <w:rPr>
          <w:rFonts w:cs="Arial"/>
          <w:bCs/>
          <w:sz w:val="22"/>
        </w:rPr>
        <w:t>Ni wazi kutokana na vikao hivi vya mashauriano kwamba matarajio ya wadau wote kuhusu Mradi huu ni makubwa na ushirikishwaji wa yote yanaonyeshwa. Wadau mbalimbali tuliokutana nao kwa kuthamini kwa pamoja mpango huo na mbinu shirikishi ambayo inatekelezwa. Mpango huu unakaribishwa kwa sababu utachochea maendeleo ya uzalishaji wa kilimo, uvuvi na ufugaji katika mikoa yote 5 inayohusika. Hata hivyo, wasiwasi na mapendekezo yamefanywa kuhusu Mradi, kama vile: idadi ya watu chini ya udhibiti wa mpango, ushiriki wa wanawake, usambazaji wa pembejeo za kilimo, uvuvi na ufugaji, kupambana na kuepukika, ushirikishwaji wa wanawake na vyama vingine vya wakulima, kuimarisha taasisi</w:t>
      </w:r>
    </w:p>
    <w:p w14:paraId="5654DA19" w14:textId="77777777" w:rsidR="000326DA" w:rsidRPr="00294ADC" w:rsidRDefault="000326DA" w:rsidP="000326DA">
      <w:pPr>
        <w:pStyle w:val="Titre1"/>
        <w:rPr>
          <w:rFonts w:cs="Arial"/>
          <w:sz w:val="22"/>
        </w:rPr>
      </w:pPr>
    </w:p>
    <w:p w14:paraId="103FC4DB" w14:textId="77777777" w:rsidR="001C2F95" w:rsidRPr="00294ADC" w:rsidRDefault="001C2F95" w:rsidP="001C2F95">
      <w:pPr>
        <w:pStyle w:val="Corpsdetexte"/>
        <w:ind w:right="13"/>
        <w:rPr>
          <w:rFonts w:cs="Arial"/>
          <w:sz w:val="22"/>
          <w:szCs w:val="22"/>
        </w:rPr>
      </w:pPr>
    </w:p>
    <w:p w14:paraId="796FBBE1" w14:textId="77777777" w:rsidR="001C2F95" w:rsidRPr="00294ADC" w:rsidRDefault="001C2F95" w:rsidP="001C2F95">
      <w:pPr>
        <w:pStyle w:val="Corpsdetexte"/>
        <w:ind w:right="13"/>
        <w:rPr>
          <w:rFonts w:cs="Arial"/>
          <w:sz w:val="22"/>
          <w:szCs w:val="22"/>
        </w:rPr>
      </w:pPr>
    </w:p>
    <w:p w14:paraId="4E879B07" w14:textId="77777777" w:rsidR="001C2F95" w:rsidRPr="00294ADC" w:rsidRDefault="001C2F95" w:rsidP="001C2F95">
      <w:pPr>
        <w:pStyle w:val="Paragraphedeliste"/>
        <w:widowControl w:val="0"/>
        <w:autoSpaceDE w:val="0"/>
        <w:autoSpaceDN w:val="0"/>
        <w:spacing w:line="271" w:lineRule="auto"/>
        <w:ind w:left="709"/>
        <w:contextualSpacing w:val="0"/>
        <w:rPr>
          <w:rFonts w:cs="Arial"/>
          <w:sz w:val="22"/>
        </w:rPr>
      </w:pPr>
    </w:p>
    <w:p w14:paraId="435331C9" w14:textId="77777777" w:rsidR="001C2F95" w:rsidRPr="00294ADC" w:rsidRDefault="001C2F95" w:rsidP="001C2F95">
      <w:pPr>
        <w:spacing w:line="240" w:lineRule="auto"/>
        <w:jc w:val="left"/>
        <w:rPr>
          <w:rFonts w:cs="Arial"/>
          <w:sz w:val="22"/>
          <w:highlight w:val="yellow"/>
        </w:rPr>
      </w:pPr>
      <w:r w:rsidRPr="00294ADC">
        <w:rPr>
          <w:rFonts w:cs="Arial"/>
          <w:b/>
          <w:color w:val="222222"/>
          <w:sz w:val="22"/>
        </w:rPr>
        <w:br w:type="page"/>
      </w:r>
      <w:bookmarkStart w:id="135" w:name="_Toc45269124"/>
      <w:bookmarkStart w:id="136" w:name="_Toc45269668"/>
      <w:bookmarkStart w:id="137" w:name="_Toc45269125"/>
      <w:bookmarkStart w:id="138" w:name="_Toc45269669"/>
      <w:bookmarkStart w:id="139" w:name="_Toc45269126"/>
      <w:bookmarkStart w:id="140" w:name="_Toc45269670"/>
      <w:bookmarkEnd w:id="135"/>
      <w:bookmarkEnd w:id="136"/>
      <w:bookmarkEnd w:id="137"/>
      <w:bookmarkEnd w:id="138"/>
      <w:bookmarkEnd w:id="139"/>
      <w:bookmarkEnd w:id="140"/>
    </w:p>
    <w:p w14:paraId="69A9C87B" w14:textId="77777777" w:rsidR="001C2F95" w:rsidRPr="00294ADC" w:rsidRDefault="001C2F95" w:rsidP="001C2F95">
      <w:pPr>
        <w:rPr>
          <w:rFonts w:cs="Arial"/>
          <w:color w:val="000000"/>
          <w:sz w:val="22"/>
        </w:rPr>
        <w:sectPr w:rsidR="001C2F95" w:rsidRPr="00294ADC" w:rsidSect="00005290">
          <w:headerReference w:type="default" r:id="rId20"/>
          <w:footerReference w:type="default" r:id="rId21"/>
          <w:footerReference w:type="first" r:id="rId22"/>
          <w:pgSz w:w="11907" w:h="16839" w:code="9"/>
          <w:pgMar w:top="993" w:right="1417" w:bottom="1276" w:left="1418" w:header="720" w:footer="0" w:gutter="0"/>
          <w:pgNumType w:fmt="lowerRoman" w:start="31"/>
          <w:cols w:space="720"/>
          <w:titlePg/>
          <w:docGrid w:linePitch="360"/>
        </w:sectPr>
      </w:pPr>
    </w:p>
    <w:p w14:paraId="317CF612" w14:textId="77777777" w:rsidR="001C2F95" w:rsidRPr="00B6064E" w:rsidRDefault="001C2F95" w:rsidP="001C2F95">
      <w:pPr>
        <w:pStyle w:val="Titre1"/>
        <w:numPr>
          <w:ilvl w:val="0"/>
          <w:numId w:val="4"/>
        </w:numPr>
        <w:rPr>
          <w:rFonts w:cs="Arial"/>
          <w:sz w:val="22"/>
          <w:szCs w:val="22"/>
        </w:rPr>
      </w:pPr>
      <w:bookmarkStart w:id="141" w:name="_Toc500754626"/>
      <w:bookmarkStart w:id="142" w:name="_Toc44626787"/>
      <w:bookmarkStart w:id="143" w:name="_Toc70330330"/>
      <w:r w:rsidRPr="00B6064E">
        <w:rPr>
          <w:rFonts w:cs="Arial"/>
          <w:sz w:val="22"/>
          <w:szCs w:val="22"/>
        </w:rPr>
        <w:lastRenderedPageBreak/>
        <w:t>INTRODUCTION</w:t>
      </w:r>
      <w:bookmarkEnd w:id="57"/>
      <w:bookmarkEnd w:id="58"/>
      <w:bookmarkEnd w:id="59"/>
      <w:bookmarkEnd w:id="141"/>
      <w:bookmarkEnd w:id="142"/>
      <w:bookmarkEnd w:id="143"/>
    </w:p>
    <w:p w14:paraId="21F8CCC9" w14:textId="77777777" w:rsidR="001C2F95" w:rsidRPr="00B6064E" w:rsidRDefault="001C2F95" w:rsidP="001C2F95">
      <w:pPr>
        <w:ind w:left="720"/>
        <w:rPr>
          <w:rFonts w:cs="Arial"/>
          <w:b/>
          <w:sz w:val="22"/>
        </w:rPr>
      </w:pPr>
    </w:p>
    <w:p w14:paraId="60D4EFFE" w14:textId="77777777" w:rsidR="001C2F95" w:rsidRPr="00B6064E" w:rsidRDefault="001C2F95" w:rsidP="001C2F95">
      <w:pPr>
        <w:pStyle w:val="Titre2"/>
        <w:numPr>
          <w:ilvl w:val="1"/>
          <w:numId w:val="4"/>
        </w:numPr>
        <w:ind w:left="851" w:hanging="425"/>
        <w:rPr>
          <w:rFonts w:cs="Arial"/>
          <w:b/>
          <w:sz w:val="22"/>
          <w:szCs w:val="22"/>
        </w:rPr>
      </w:pPr>
      <w:bookmarkStart w:id="144" w:name="_Toc464561967"/>
      <w:bookmarkStart w:id="145" w:name="_Toc476571940"/>
      <w:bookmarkStart w:id="146" w:name="_Toc500754627"/>
      <w:bookmarkStart w:id="147" w:name="_Toc44626788"/>
      <w:bookmarkStart w:id="148" w:name="_Toc70330331"/>
      <w:r w:rsidRPr="00B6064E">
        <w:rPr>
          <w:rFonts w:cs="Arial"/>
          <w:b/>
          <w:sz w:val="22"/>
          <w:szCs w:val="22"/>
        </w:rPr>
        <w:t>Contexte et justification du Projet</w:t>
      </w:r>
      <w:bookmarkEnd w:id="144"/>
      <w:bookmarkEnd w:id="145"/>
      <w:bookmarkEnd w:id="146"/>
      <w:bookmarkEnd w:id="147"/>
      <w:bookmarkEnd w:id="148"/>
    </w:p>
    <w:p w14:paraId="6407CD38" w14:textId="77777777" w:rsidR="001C2F95" w:rsidRPr="00B6064E" w:rsidRDefault="001C2F95" w:rsidP="001C2F95">
      <w:pPr>
        <w:rPr>
          <w:rFonts w:cs="Arial"/>
          <w:sz w:val="22"/>
          <w:lang w:val="fr-CA"/>
        </w:rPr>
      </w:pPr>
      <w:bookmarkStart w:id="149" w:name="_Toc288507377"/>
      <w:bookmarkStart w:id="150" w:name="_Toc295895845"/>
      <w:bookmarkStart w:id="151" w:name="_Toc295898535"/>
      <w:bookmarkStart w:id="152" w:name="_Toc295899380"/>
      <w:bookmarkStart w:id="153" w:name="_Toc295900225"/>
    </w:p>
    <w:p w14:paraId="1A58D768" w14:textId="77777777" w:rsidR="001C2F95" w:rsidRPr="00B6064E" w:rsidRDefault="001C2F95" w:rsidP="001C2F95">
      <w:pPr>
        <w:rPr>
          <w:rFonts w:cs="Arial"/>
          <w:sz w:val="22"/>
        </w:rPr>
      </w:pPr>
      <w:r w:rsidRPr="00730A4A">
        <w:rPr>
          <w:rFonts w:eastAsia="Calibri" w:cs="Arial"/>
          <w:sz w:val="22"/>
          <w:lang w:eastAsia="en-US"/>
        </w:rPr>
        <w:t>Le Gouvernement de la République Démocratique du Congo (RDC) a reçu un appui</w:t>
      </w:r>
      <w:r w:rsidRPr="00B6064E">
        <w:rPr>
          <w:rFonts w:cs="Arial"/>
          <w:sz w:val="22"/>
        </w:rPr>
        <w:t xml:space="preserve"> financier</w:t>
      </w:r>
      <w:r w:rsidRPr="00730A4A">
        <w:rPr>
          <w:rFonts w:eastAsia="Calibri" w:cs="Arial"/>
          <w:sz w:val="22"/>
          <w:lang w:eastAsia="en-US"/>
        </w:rPr>
        <w:t xml:space="preserve"> de l'Association Internationale pour le Dé</w:t>
      </w:r>
      <w:r w:rsidRPr="00B6064E">
        <w:rPr>
          <w:rFonts w:cs="Arial"/>
          <w:sz w:val="22"/>
        </w:rPr>
        <w:t xml:space="preserve">veloppement (IDA) du Groupe de la </w:t>
      </w:r>
      <w:r w:rsidRPr="00730A4A">
        <w:rPr>
          <w:rFonts w:eastAsia="Calibri" w:cs="Arial"/>
          <w:sz w:val="22"/>
          <w:lang w:eastAsia="en-US"/>
        </w:rPr>
        <w:t>Ban</w:t>
      </w:r>
      <w:r w:rsidRPr="00B6064E">
        <w:rPr>
          <w:rFonts w:cs="Arial"/>
          <w:sz w:val="22"/>
        </w:rPr>
        <w:t xml:space="preserve">que Mondiale, pour préparer le Programme National de Développement Agricole (PNDA) </w:t>
      </w:r>
      <w:r w:rsidRPr="00730A4A">
        <w:rPr>
          <w:rFonts w:eastAsia="Calibri" w:cs="Arial"/>
          <w:sz w:val="22"/>
          <w:lang w:eastAsia="en-US"/>
        </w:rPr>
        <w:t>ayant pour objectif, dans sa 1</w:t>
      </w:r>
      <w:r w:rsidRPr="00B6064E">
        <w:rPr>
          <w:rFonts w:cs="Arial"/>
          <w:sz w:val="22"/>
          <w:vertAlign w:val="superscript"/>
        </w:rPr>
        <w:t>ère</w:t>
      </w:r>
      <w:r w:rsidRPr="00B6064E">
        <w:rPr>
          <w:rFonts w:cs="Arial"/>
          <w:sz w:val="22"/>
        </w:rPr>
        <w:t xml:space="preserve"> </w:t>
      </w:r>
      <w:r w:rsidRPr="00730A4A">
        <w:rPr>
          <w:rFonts w:eastAsia="Calibri" w:cs="Arial"/>
          <w:sz w:val="22"/>
          <w:lang w:eastAsia="en-US"/>
        </w:rPr>
        <w:t xml:space="preserve">phase, </w:t>
      </w:r>
      <w:r w:rsidRPr="00B6064E">
        <w:rPr>
          <w:rFonts w:cs="Arial"/>
          <w:sz w:val="22"/>
        </w:rPr>
        <w:t>d’augmenter la productivité agricole et améliorer l’accès au marché des petits exploitants dans des régions sélectionnées.</w:t>
      </w:r>
    </w:p>
    <w:p w14:paraId="5D4C6022" w14:textId="77777777" w:rsidR="001C2F95" w:rsidRPr="00B6064E" w:rsidRDefault="001C2F95" w:rsidP="001C2F95">
      <w:pPr>
        <w:rPr>
          <w:rFonts w:cs="Arial"/>
          <w:sz w:val="22"/>
        </w:rPr>
      </w:pPr>
    </w:p>
    <w:p w14:paraId="5610F0C3" w14:textId="77777777" w:rsidR="001C2F95" w:rsidRDefault="001C2F95" w:rsidP="001C2F95">
      <w:pPr>
        <w:rPr>
          <w:rFonts w:cs="Arial"/>
          <w:sz w:val="22"/>
        </w:rPr>
      </w:pPr>
      <w:r w:rsidRPr="00B6064E">
        <w:rPr>
          <w:rFonts w:cs="Arial"/>
          <w:sz w:val="22"/>
        </w:rPr>
        <w:t>En effet, la RDC continue à faire face à de graves problèmes de développement, mais le nouveau gouvernement s’est engagé à les résoudre. L’agriculture représente actuellement environ 20 % du PIB, emploie entre 70 et 75 % de la population active et joue un rôle clé dans la réduction de l’insécurité alimentaire, de la malnutrition et de la pauvreté rurale, mais l’on observe la baisse de la productivité agricole de la RDC par rapport aux pays voisins est due principalement au sous-investissement, aussi bien au niveau des fermes qu’au niveau des biens et des services publics agricoles, notamment pour l’accès au marché.</w:t>
      </w:r>
    </w:p>
    <w:p w14:paraId="62F13EB5" w14:textId="77777777" w:rsidR="00FA68EC" w:rsidRDefault="00FA68EC" w:rsidP="001C2F95">
      <w:pPr>
        <w:rPr>
          <w:rFonts w:cs="Arial"/>
          <w:sz w:val="22"/>
        </w:rPr>
      </w:pPr>
    </w:p>
    <w:p w14:paraId="5BFF85BC" w14:textId="77777777" w:rsidR="00FA68EC" w:rsidRDefault="00FA68EC" w:rsidP="00FA68EC">
      <w:pPr>
        <w:rPr>
          <w:rFonts w:cs="Arial"/>
          <w:sz w:val="22"/>
        </w:rPr>
      </w:pPr>
      <w:r w:rsidRPr="00DF4321">
        <w:rPr>
          <w:rFonts w:cs="Arial"/>
          <w:sz w:val="22"/>
        </w:rPr>
        <w:t>Les activités du programme sont conçues pour faire le lien avec les investissements en RDC soutenus par la Banque mondiale et liées au développement des MPME, des infrastructures de transport, de l’administration des terres, de la nutrition et du programme relatif au capital humain.</w:t>
      </w:r>
    </w:p>
    <w:p w14:paraId="74BA7148" w14:textId="77777777" w:rsidR="00FA68EC" w:rsidRPr="00DF4321" w:rsidRDefault="00FA68EC" w:rsidP="00FA68EC">
      <w:pPr>
        <w:rPr>
          <w:rFonts w:cs="Arial"/>
          <w:sz w:val="22"/>
        </w:rPr>
      </w:pPr>
    </w:p>
    <w:p w14:paraId="2F98DE41" w14:textId="77777777" w:rsidR="009E0380" w:rsidRDefault="00FA68EC" w:rsidP="00FA68EC">
      <w:pPr>
        <w:rPr>
          <w:rFonts w:cs="Arial"/>
          <w:sz w:val="22"/>
        </w:rPr>
      </w:pPr>
      <w:r w:rsidRPr="0065582C">
        <w:rPr>
          <w:rFonts w:cs="Arial"/>
          <w:sz w:val="22"/>
        </w:rPr>
        <w:t xml:space="preserve">La première analyse montre une corrélation positive significative des phases du programme est basée sur les leçons tirées de la mise en œuvre de projets antérieurs et en cours dans l’agriculture et d’autres secteurs. </w:t>
      </w:r>
    </w:p>
    <w:p w14:paraId="16932A46" w14:textId="77777777" w:rsidR="009E0380" w:rsidRDefault="009E0380" w:rsidP="00FA68EC">
      <w:pPr>
        <w:rPr>
          <w:rFonts w:cs="Arial"/>
          <w:sz w:val="22"/>
        </w:rPr>
      </w:pPr>
    </w:p>
    <w:p w14:paraId="26C97DEC" w14:textId="77777777" w:rsidR="009E0380" w:rsidRDefault="00FA68EC" w:rsidP="00FA68EC">
      <w:pPr>
        <w:rPr>
          <w:rFonts w:cs="Arial"/>
          <w:sz w:val="22"/>
        </w:rPr>
      </w:pPr>
      <w:r w:rsidRPr="0065582C">
        <w:rPr>
          <w:rFonts w:cs="Arial"/>
          <w:sz w:val="22"/>
        </w:rPr>
        <w:t>En effet, la Banque mondiale soutient depuis plusieurs décennies le développement du secteur agricole en RDC par une approche infranationale centrée sur la productivité agricole et l’accès au marché dans plusieurs provinces. Elle couvre actuellement les trois opérations suivantes, totalisant 341 millions USD, et devrait bénéficier 500 000 petits exploitants agricoles : (i) Projet d’Appui à la Réhabilitation et à la Relance du Secteur agricole (PARRSA) P092724 (</w:t>
      </w:r>
      <w:r w:rsidR="0065582C">
        <w:rPr>
          <w:rFonts w:cs="Arial"/>
          <w:sz w:val="22"/>
        </w:rPr>
        <w:t>P</w:t>
      </w:r>
      <w:r w:rsidRPr="0065582C">
        <w:rPr>
          <w:rFonts w:cs="Arial"/>
          <w:sz w:val="22"/>
        </w:rPr>
        <w:t>rovinces de Mongala, Nord Ubangi et Sud Ubangi) ; (ii) Projet de Développement des Pôles de Croissance (PDPC) P124720 (</w:t>
      </w:r>
      <w:r w:rsidR="0065582C">
        <w:rPr>
          <w:rFonts w:cs="Arial"/>
          <w:sz w:val="22"/>
        </w:rPr>
        <w:t>P</w:t>
      </w:r>
      <w:r w:rsidRPr="0065582C">
        <w:rPr>
          <w:rFonts w:cs="Arial"/>
          <w:sz w:val="22"/>
        </w:rPr>
        <w:t xml:space="preserve">rovince du Kongo </w:t>
      </w:r>
      <w:r w:rsidR="0065582C">
        <w:rPr>
          <w:rFonts w:cs="Arial"/>
          <w:sz w:val="22"/>
        </w:rPr>
        <w:t>C</w:t>
      </w:r>
      <w:r w:rsidRPr="0065582C">
        <w:rPr>
          <w:rFonts w:cs="Arial"/>
          <w:sz w:val="22"/>
        </w:rPr>
        <w:t xml:space="preserve">entral) ; et (iii) Programme </w:t>
      </w:r>
      <w:r w:rsidR="0065582C">
        <w:rPr>
          <w:rFonts w:cs="Arial"/>
          <w:sz w:val="22"/>
        </w:rPr>
        <w:t>I</w:t>
      </w:r>
      <w:r w:rsidRPr="0065582C">
        <w:rPr>
          <w:rFonts w:cs="Arial"/>
          <w:sz w:val="22"/>
        </w:rPr>
        <w:t>ntégré de Croissance agricole dans les Grands Lacs (PICAGL) P143307 (</w:t>
      </w:r>
      <w:r w:rsidR="0065582C">
        <w:rPr>
          <w:rFonts w:cs="Arial"/>
          <w:sz w:val="22"/>
        </w:rPr>
        <w:t>P</w:t>
      </w:r>
      <w:r w:rsidRPr="0065582C">
        <w:rPr>
          <w:rFonts w:cs="Arial"/>
          <w:sz w:val="22"/>
        </w:rPr>
        <w:t>rovinces du Tanganyika et du Sud</w:t>
      </w:r>
      <w:r w:rsidR="0065582C">
        <w:rPr>
          <w:rFonts w:cs="Arial"/>
          <w:sz w:val="22"/>
        </w:rPr>
        <w:t>-</w:t>
      </w:r>
      <w:r w:rsidRPr="0065582C">
        <w:rPr>
          <w:rFonts w:cs="Arial"/>
          <w:sz w:val="22"/>
        </w:rPr>
        <w:t>Kivu). À partir des travaux d’analyse récemment effectués (principalement la revue du secteur agricole de 2018 — P165747) et de l’analyse des investissements antérieurs et en cours de la Banque mondiale dans le secteur de l’agriculture en RDC et dans la région, et en particulier des succès du PARRSA (voir Box 1), certains enseignements clés ont été tirés : (i) combiner l’accès aux intrants améliorés (semences, engrais, assistance technique) et aux marchés de sortie (routes rurales, soutien aux groupes d’agriculteurs) a eu un impact significatif sur les rendements agricoles et la sécurité alimentaire en RDC ; (ii) le fait d’appuyer les fournisseurs d’intrants agricoles et les prestataires d’assistance technique du secteur privé par le biais de bons (vouchers) a permis d’améliorer la productivité au niveau de l’exploitation avec des gains importants d’efficacité et de ciblage des dépenses publiques ; et (iii) l’augmentation de la productivité des petits exploitants a eu un impact direct sur l’état nutrition</w:t>
      </w:r>
      <w:r w:rsidR="009E0380" w:rsidRPr="009E0380">
        <w:rPr>
          <w:rFonts w:cs="Arial"/>
          <w:sz w:val="22"/>
        </w:rPr>
        <w:t>nel des ménages</w:t>
      </w:r>
      <w:r w:rsidRPr="0065582C">
        <w:rPr>
          <w:rFonts w:cs="Arial"/>
          <w:sz w:val="22"/>
        </w:rPr>
        <w:t xml:space="preserve">. </w:t>
      </w:r>
    </w:p>
    <w:p w14:paraId="1AF08CF2" w14:textId="77777777" w:rsidR="00FA68EC" w:rsidRPr="00B6064E" w:rsidRDefault="00FA68EC" w:rsidP="00FA68EC">
      <w:pPr>
        <w:rPr>
          <w:rFonts w:cs="Arial"/>
          <w:sz w:val="22"/>
        </w:rPr>
      </w:pPr>
      <w:r w:rsidRPr="0065582C">
        <w:rPr>
          <w:rFonts w:cs="Arial"/>
          <w:sz w:val="22"/>
        </w:rPr>
        <w:lastRenderedPageBreak/>
        <w:t>Cependant, une approche infranationale à projet unique empêche l’intégration des stratégies d’intervention du gouvernement et des donateurs dans toute la RDC, ce qui rend la mise à l’échelle et la reproduction plus difficiles. Par conséquent, sur la base des expériences passées et actuelles et des enseignements tirés, le programme proposé cherchera à développer un programme national et à adopter plusieurs phases (série de projets). Cette approche nationale et programmatique permettra : (i) de déployer différents types d’inte</w:t>
      </w:r>
      <w:r w:rsidR="009E0380" w:rsidRPr="009E0380">
        <w:rPr>
          <w:rFonts w:cs="Arial"/>
          <w:sz w:val="22"/>
        </w:rPr>
        <w:t>rventions selon les conditions</w:t>
      </w:r>
      <w:r w:rsidRPr="0065582C">
        <w:rPr>
          <w:rFonts w:cs="Arial"/>
          <w:sz w:val="22"/>
        </w:rPr>
        <w:t xml:space="preserve"> des petites exploitations agricoles dans chaque région du pays, tout en apprenant les unes des autres ; (ii) d’étendre les interventions géographiquement pour couvrir l’ensemble du pays au fil du temps, en s’appuyant sur les avantages comparatifs et l’intégration des marchés ; (iii) de regrouper les interventions de développement de l’agriculture avec d’autres interventions sectorielles comme dans le transport, la nutrition et le développement des secteurs privé et financier ; et (iv) bâtir les capacités des secteurs public et privé, ce qui ne peut être réalisé de manière durable qu’à moyen et long terme, en mettant en œuvre des politiques et des stratégies nationales</w:t>
      </w:r>
    </w:p>
    <w:p w14:paraId="195BDAF6" w14:textId="77777777" w:rsidR="001C2F95" w:rsidRPr="00B6064E" w:rsidRDefault="001C2F95" w:rsidP="001C2F95">
      <w:pPr>
        <w:rPr>
          <w:rFonts w:cs="Arial"/>
          <w:sz w:val="22"/>
        </w:rPr>
      </w:pPr>
    </w:p>
    <w:p w14:paraId="73EBC7EF" w14:textId="77777777" w:rsidR="001C2F95" w:rsidRPr="00B6064E" w:rsidRDefault="001C2F95" w:rsidP="001C2F95">
      <w:pPr>
        <w:rPr>
          <w:rFonts w:cs="Arial"/>
          <w:sz w:val="22"/>
        </w:rPr>
      </w:pPr>
      <w:r w:rsidRPr="00B6064E">
        <w:rPr>
          <w:rFonts w:cs="Arial"/>
          <w:sz w:val="22"/>
        </w:rPr>
        <w:t xml:space="preserve">Par ailleurs, le secteur agricole de la RDC est particulièrement exposé aux changements climatiques et l’incidence d’autres chocs externes comme la sécheresse, les inondations et autres phénomènes météorologiques extrêmes devraient augmenter en fréquence et en gravité. </w:t>
      </w:r>
    </w:p>
    <w:p w14:paraId="37622159" w14:textId="77777777" w:rsidR="001C2F95" w:rsidRPr="00B6064E" w:rsidRDefault="001C2F95" w:rsidP="001C2F95">
      <w:pPr>
        <w:rPr>
          <w:rFonts w:cs="Arial"/>
          <w:sz w:val="22"/>
        </w:rPr>
      </w:pPr>
    </w:p>
    <w:p w14:paraId="4AA6212F" w14:textId="77777777" w:rsidR="001C2F95" w:rsidRPr="00B6064E" w:rsidRDefault="001C2F95" w:rsidP="001C2F95">
      <w:pPr>
        <w:rPr>
          <w:rFonts w:cs="Arial"/>
          <w:sz w:val="22"/>
        </w:rPr>
      </w:pPr>
      <w:r w:rsidRPr="00B6064E">
        <w:rPr>
          <w:rFonts w:cs="Arial"/>
          <w:sz w:val="22"/>
        </w:rPr>
        <w:t>Pour ce faire, le Gouvernement de la RDC compte réduire la pauvreté rurale en rétablissant et modernisant les systèmes de production agricole, en améliorant la nutrition et la sécurité alimentaire et en mobilisant des investissements importants des secteurs public et privé.</w:t>
      </w:r>
    </w:p>
    <w:p w14:paraId="6253D759" w14:textId="77777777" w:rsidR="001C2F95" w:rsidRPr="00B6064E" w:rsidRDefault="001C2F95" w:rsidP="001C2F95">
      <w:pPr>
        <w:rPr>
          <w:rFonts w:cs="Arial"/>
          <w:sz w:val="22"/>
        </w:rPr>
      </w:pPr>
    </w:p>
    <w:p w14:paraId="457951EA" w14:textId="77777777" w:rsidR="001C2F95" w:rsidRPr="00B6064E" w:rsidRDefault="001C2F95" w:rsidP="001C2F95">
      <w:pPr>
        <w:rPr>
          <w:rFonts w:cs="Arial"/>
          <w:sz w:val="22"/>
        </w:rPr>
      </w:pPr>
      <w:r w:rsidRPr="00B6064E">
        <w:rPr>
          <w:rFonts w:cs="Arial"/>
          <w:sz w:val="22"/>
        </w:rPr>
        <w:t>Ainsi, le programme va soutenir la croissance de la productivité agricole au niveau de l’exploitation, permettant aux petits exploitants agricoles d’accroître leurs actifs et leur production, puis d’intervenir pour favoriser l’accès au marché et l’intégration productive de ces petits exploitants dans les chaînes d’approvisionnement agricoles. Le phasage de telles interventions sectorielles sera soutenu par des investissements importants dans la fourniture des biens et services publics agricoles aux niveaux, national et local, notamment la recherche et le développement agricoles, la santé animale et végétale et les infrastructures. En outre, le programme combinera une approche de développement mené par la communauté visant à fournir un accès aux biens et services publics agricoles critiques et une approche de soutien direct aux agriculteurs pour améliorer la situation en matière de sécurité alimentaire et de malnutrition.</w:t>
      </w:r>
    </w:p>
    <w:p w14:paraId="5A485D04" w14:textId="77777777" w:rsidR="001C2F95" w:rsidRPr="00B6064E" w:rsidRDefault="001C2F95" w:rsidP="001C2F95">
      <w:pPr>
        <w:rPr>
          <w:rFonts w:cs="Arial"/>
          <w:sz w:val="22"/>
        </w:rPr>
      </w:pPr>
      <w:r w:rsidRPr="00B6064E">
        <w:rPr>
          <w:rFonts w:cs="Arial"/>
          <w:sz w:val="22"/>
        </w:rPr>
        <w:t>Les investissements du PNDA seront concentrés en priorité pour cette première phase pour une durée de 5 ans dans la région du Kasaï (Provinces du Kasaï, Kasaï Central), la région de l’Ouest (Provinces du Kongo Central et du Kwilu), la région de l’Est (Province du Nord Kivu).</w:t>
      </w:r>
    </w:p>
    <w:p w14:paraId="25254895" w14:textId="77777777" w:rsidR="001C2F95" w:rsidRPr="00B6064E" w:rsidRDefault="001C2F95" w:rsidP="001C2F95">
      <w:pPr>
        <w:rPr>
          <w:rFonts w:cs="Arial"/>
          <w:sz w:val="22"/>
        </w:rPr>
      </w:pPr>
    </w:p>
    <w:p w14:paraId="225E45B6" w14:textId="77777777" w:rsidR="001C2F95" w:rsidRPr="00B6064E" w:rsidRDefault="001C2F95" w:rsidP="001C2F95">
      <w:pPr>
        <w:pStyle w:val="Titre2"/>
        <w:numPr>
          <w:ilvl w:val="1"/>
          <w:numId w:val="4"/>
        </w:numPr>
        <w:ind w:left="851" w:hanging="425"/>
        <w:rPr>
          <w:rFonts w:cs="Arial"/>
          <w:b/>
          <w:sz w:val="22"/>
          <w:szCs w:val="22"/>
        </w:rPr>
      </w:pPr>
      <w:bookmarkStart w:id="154" w:name="_Toc70330332"/>
      <w:r w:rsidRPr="00B6064E">
        <w:rPr>
          <w:rFonts w:cs="Arial"/>
          <w:b/>
          <w:sz w:val="22"/>
          <w:szCs w:val="22"/>
        </w:rPr>
        <w:t>Objectif du PNDA</w:t>
      </w:r>
      <w:bookmarkEnd w:id="154"/>
    </w:p>
    <w:p w14:paraId="15A518D5" w14:textId="77777777" w:rsidR="001C2F95" w:rsidRPr="00B6064E" w:rsidRDefault="001C2F95" w:rsidP="001C2F95">
      <w:pPr>
        <w:rPr>
          <w:rFonts w:cs="Arial"/>
          <w:sz w:val="22"/>
        </w:rPr>
      </w:pPr>
    </w:p>
    <w:p w14:paraId="79B66251" w14:textId="77777777" w:rsidR="001C2F95" w:rsidRDefault="001C2F95" w:rsidP="001C2F95">
      <w:pPr>
        <w:rPr>
          <w:rFonts w:cs="Arial"/>
          <w:sz w:val="22"/>
        </w:rPr>
      </w:pPr>
      <w:r w:rsidRPr="00B6064E">
        <w:rPr>
          <w:rFonts w:cs="Arial"/>
          <w:sz w:val="22"/>
        </w:rPr>
        <w:t>L’objectif du développement du Projet est d’améliorer la productivité agricole et l’accès au marché des petits exploitants agricoles dans des régions sélectionnées et renforcer la capacité du secteur à faire face aux situations d’urgence éligibles dans le secteur agricole.</w:t>
      </w:r>
    </w:p>
    <w:p w14:paraId="64E6AD71" w14:textId="77777777" w:rsidR="0065582C" w:rsidRDefault="0065582C" w:rsidP="001C2F95">
      <w:pPr>
        <w:rPr>
          <w:rFonts w:cs="Arial"/>
          <w:sz w:val="22"/>
        </w:rPr>
      </w:pPr>
    </w:p>
    <w:p w14:paraId="0098B72C" w14:textId="77777777" w:rsidR="0065582C" w:rsidRPr="00B6064E" w:rsidRDefault="0065582C" w:rsidP="001C2F95">
      <w:pPr>
        <w:rPr>
          <w:rFonts w:cs="Arial"/>
          <w:sz w:val="22"/>
        </w:rPr>
      </w:pPr>
    </w:p>
    <w:p w14:paraId="7DB7D4C5" w14:textId="77777777" w:rsidR="001C2F95" w:rsidRPr="00B6064E" w:rsidRDefault="001C2F95" w:rsidP="001C2F95">
      <w:pPr>
        <w:pStyle w:val="Titre2"/>
        <w:numPr>
          <w:ilvl w:val="1"/>
          <w:numId w:val="4"/>
        </w:numPr>
        <w:ind w:left="851" w:hanging="425"/>
        <w:rPr>
          <w:rFonts w:cs="Arial"/>
          <w:b/>
          <w:sz w:val="22"/>
          <w:szCs w:val="22"/>
        </w:rPr>
      </w:pPr>
      <w:bookmarkStart w:id="155" w:name="_Toc70330333"/>
      <w:r w:rsidRPr="00B6064E">
        <w:rPr>
          <w:rFonts w:cs="Arial"/>
          <w:b/>
          <w:sz w:val="22"/>
          <w:szCs w:val="22"/>
        </w:rPr>
        <w:t>Composantes du PNDA</w:t>
      </w:r>
      <w:bookmarkEnd w:id="155"/>
    </w:p>
    <w:p w14:paraId="106A75D8" w14:textId="77777777" w:rsidR="001C2F95" w:rsidRPr="00B6064E" w:rsidRDefault="001C2F95" w:rsidP="001C2F95">
      <w:pPr>
        <w:rPr>
          <w:rFonts w:cs="Arial"/>
          <w:sz w:val="22"/>
        </w:rPr>
      </w:pPr>
    </w:p>
    <w:p w14:paraId="5F378A40" w14:textId="77777777" w:rsidR="001C2F95" w:rsidRPr="00B6064E" w:rsidRDefault="001C2F95" w:rsidP="001C2F95">
      <w:pPr>
        <w:rPr>
          <w:rFonts w:cs="Arial"/>
          <w:sz w:val="22"/>
        </w:rPr>
      </w:pPr>
      <w:r w:rsidRPr="00B6064E">
        <w:rPr>
          <w:rFonts w:cs="Arial"/>
          <w:sz w:val="22"/>
        </w:rPr>
        <w:lastRenderedPageBreak/>
        <w:t xml:space="preserve">Le PNDA s’articulera autour de quatre composantes : </w:t>
      </w:r>
    </w:p>
    <w:p w14:paraId="70BFAE96" w14:textId="77777777" w:rsidR="001C2F95" w:rsidRPr="00B6064E" w:rsidRDefault="001C2F95" w:rsidP="001C2F95">
      <w:pPr>
        <w:rPr>
          <w:rFonts w:cs="Arial"/>
          <w:sz w:val="22"/>
        </w:rPr>
      </w:pPr>
    </w:p>
    <w:p w14:paraId="04999B92" w14:textId="77777777" w:rsidR="001C2F95" w:rsidRPr="00B6064E" w:rsidRDefault="001C2F95" w:rsidP="002378EA">
      <w:pPr>
        <w:pStyle w:val="Paragraphedeliste"/>
        <w:numPr>
          <w:ilvl w:val="0"/>
          <w:numId w:val="91"/>
        </w:numPr>
        <w:rPr>
          <w:rFonts w:cs="Arial"/>
          <w:i/>
          <w:sz w:val="22"/>
        </w:rPr>
      </w:pPr>
      <w:r w:rsidRPr="00B6064E">
        <w:rPr>
          <w:rFonts w:cs="Arial"/>
          <w:i/>
          <w:sz w:val="22"/>
        </w:rPr>
        <w:t>Composante 1 : Productivité agricole :</w:t>
      </w:r>
    </w:p>
    <w:p w14:paraId="13F1D2E2" w14:textId="77777777" w:rsidR="001C2F95" w:rsidRPr="00B6064E" w:rsidRDefault="001C2F95" w:rsidP="002378EA">
      <w:pPr>
        <w:pStyle w:val="Paragraphedeliste"/>
        <w:numPr>
          <w:ilvl w:val="3"/>
          <w:numId w:val="40"/>
        </w:numPr>
        <w:jc w:val="left"/>
        <w:rPr>
          <w:rFonts w:cs="Arial"/>
          <w:sz w:val="22"/>
        </w:rPr>
      </w:pPr>
      <w:r w:rsidRPr="00B6064E">
        <w:rPr>
          <w:rFonts w:cs="Arial"/>
          <w:sz w:val="22"/>
        </w:rPr>
        <w:t>Sous-composante 1.1 : Soutien direct aux petits exploitants</w:t>
      </w:r>
    </w:p>
    <w:p w14:paraId="3F33ED56" w14:textId="77777777" w:rsidR="001C2F95" w:rsidRPr="00B6064E" w:rsidRDefault="001C2F95" w:rsidP="002378EA">
      <w:pPr>
        <w:pStyle w:val="Paragraphedeliste"/>
        <w:numPr>
          <w:ilvl w:val="3"/>
          <w:numId w:val="40"/>
        </w:numPr>
        <w:jc w:val="left"/>
        <w:rPr>
          <w:rFonts w:cs="Arial"/>
          <w:sz w:val="22"/>
        </w:rPr>
      </w:pPr>
      <w:r w:rsidRPr="00B6064E">
        <w:rPr>
          <w:rFonts w:cs="Arial"/>
          <w:sz w:val="22"/>
        </w:rPr>
        <w:t>Sous-composante 1.2 : Assistance technique et accès financier aux petits exploitants</w:t>
      </w:r>
    </w:p>
    <w:p w14:paraId="4624CFCA" w14:textId="77777777" w:rsidR="001C2F95" w:rsidRPr="00B6064E" w:rsidRDefault="001C2F95" w:rsidP="002378EA">
      <w:pPr>
        <w:pStyle w:val="Paragraphedeliste"/>
        <w:numPr>
          <w:ilvl w:val="0"/>
          <w:numId w:val="91"/>
        </w:numPr>
        <w:rPr>
          <w:rFonts w:cs="Arial"/>
          <w:i/>
          <w:sz w:val="22"/>
        </w:rPr>
      </w:pPr>
      <w:r w:rsidRPr="00B6064E">
        <w:rPr>
          <w:rFonts w:cs="Arial"/>
          <w:i/>
          <w:sz w:val="22"/>
        </w:rPr>
        <w:t>Composante 2 : Accès au marché des petits exploitants :</w:t>
      </w:r>
    </w:p>
    <w:p w14:paraId="0D44402B" w14:textId="77777777" w:rsidR="001C2F95" w:rsidRPr="00B6064E" w:rsidRDefault="001C2F95" w:rsidP="002378EA">
      <w:pPr>
        <w:pStyle w:val="Paragraphedeliste"/>
        <w:numPr>
          <w:ilvl w:val="3"/>
          <w:numId w:val="40"/>
        </w:numPr>
        <w:jc w:val="left"/>
        <w:rPr>
          <w:rFonts w:cs="Arial"/>
          <w:sz w:val="22"/>
        </w:rPr>
      </w:pPr>
      <w:r w:rsidRPr="00B6064E">
        <w:rPr>
          <w:rFonts w:cs="Arial"/>
          <w:sz w:val="22"/>
        </w:rPr>
        <w:t>Sous-composante 2.1 : Infrastructures rurales</w:t>
      </w:r>
    </w:p>
    <w:p w14:paraId="0E5E658D" w14:textId="77777777" w:rsidR="001C2F95" w:rsidRPr="00B6064E" w:rsidRDefault="001C2F95" w:rsidP="002378EA">
      <w:pPr>
        <w:pStyle w:val="Paragraphedeliste"/>
        <w:numPr>
          <w:ilvl w:val="3"/>
          <w:numId w:val="40"/>
        </w:numPr>
        <w:jc w:val="left"/>
        <w:rPr>
          <w:rFonts w:cs="Arial"/>
          <w:sz w:val="22"/>
        </w:rPr>
      </w:pPr>
      <w:r w:rsidRPr="00B6064E">
        <w:rPr>
          <w:rFonts w:cs="Arial"/>
          <w:sz w:val="22"/>
        </w:rPr>
        <w:t>Sous-composante 2.2 : Soutien à l’inclusion des petits exploitants dans les chaînes de valeur</w:t>
      </w:r>
    </w:p>
    <w:p w14:paraId="566A80FA" w14:textId="77777777" w:rsidR="001C2F95" w:rsidRPr="00B6064E" w:rsidRDefault="001C2F95" w:rsidP="002378EA">
      <w:pPr>
        <w:pStyle w:val="Paragraphedeliste"/>
        <w:numPr>
          <w:ilvl w:val="0"/>
          <w:numId w:val="91"/>
        </w:numPr>
        <w:rPr>
          <w:rFonts w:cs="Arial"/>
          <w:i/>
          <w:sz w:val="22"/>
        </w:rPr>
      </w:pPr>
      <w:r w:rsidRPr="00B6064E">
        <w:rPr>
          <w:rFonts w:cs="Arial"/>
          <w:i/>
          <w:sz w:val="22"/>
        </w:rPr>
        <w:t>Composante 3 : Biens et services publics agricoles</w:t>
      </w:r>
    </w:p>
    <w:p w14:paraId="4EE2DDD9" w14:textId="77777777" w:rsidR="001C2F95" w:rsidRPr="00B6064E" w:rsidRDefault="001C2F95" w:rsidP="002378EA">
      <w:pPr>
        <w:pStyle w:val="Paragraphedeliste"/>
        <w:numPr>
          <w:ilvl w:val="3"/>
          <w:numId w:val="40"/>
        </w:numPr>
        <w:jc w:val="left"/>
        <w:rPr>
          <w:rFonts w:cs="Arial"/>
          <w:sz w:val="22"/>
        </w:rPr>
      </w:pPr>
      <w:r w:rsidRPr="00B6064E">
        <w:rPr>
          <w:rFonts w:cs="Arial"/>
          <w:sz w:val="22"/>
        </w:rPr>
        <w:t>Sous-composante 3.1 : Renforcement des capacités pour la fourniture de services publics agricoles ;</w:t>
      </w:r>
    </w:p>
    <w:p w14:paraId="70659E4D" w14:textId="77777777" w:rsidR="001C2F95" w:rsidRPr="00B6064E" w:rsidRDefault="001C2F95" w:rsidP="002378EA">
      <w:pPr>
        <w:pStyle w:val="Paragraphedeliste"/>
        <w:numPr>
          <w:ilvl w:val="3"/>
          <w:numId w:val="40"/>
        </w:numPr>
        <w:jc w:val="left"/>
        <w:rPr>
          <w:rFonts w:cs="Arial"/>
          <w:sz w:val="22"/>
        </w:rPr>
      </w:pPr>
      <w:r w:rsidRPr="00B6064E">
        <w:rPr>
          <w:rFonts w:cs="Arial"/>
          <w:sz w:val="22"/>
        </w:rPr>
        <w:t>Sous-composante 3.2 : Gestion, suivi et évaluation du programme</w:t>
      </w:r>
    </w:p>
    <w:p w14:paraId="0576F353" w14:textId="77777777" w:rsidR="001C2F95" w:rsidRPr="00B6064E" w:rsidRDefault="001C2F95" w:rsidP="002378EA">
      <w:pPr>
        <w:pStyle w:val="Paragraphedeliste"/>
        <w:numPr>
          <w:ilvl w:val="0"/>
          <w:numId w:val="91"/>
        </w:numPr>
        <w:rPr>
          <w:rFonts w:cs="Arial"/>
          <w:i/>
          <w:sz w:val="22"/>
        </w:rPr>
      </w:pPr>
      <w:r w:rsidRPr="00B6064E">
        <w:rPr>
          <w:rFonts w:cs="Arial"/>
          <w:i/>
          <w:sz w:val="22"/>
        </w:rPr>
        <w:t>Composante 4 : Intervention d’urgence agricole</w:t>
      </w:r>
    </w:p>
    <w:p w14:paraId="3F617AAA" w14:textId="77777777" w:rsidR="001C2F95" w:rsidRPr="00B6064E" w:rsidRDefault="001C2F95" w:rsidP="001C2F95">
      <w:pPr>
        <w:rPr>
          <w:rFonts w:cs="Arial"/>
          <w:sz w:val="22"/>
        </w:rPr>
      </w:pPr>
    </w:p>
    <w:p w14:paraId="19AB987D" w14:textId="77777777" w:rsidR="001C2F95" w:rsidRPr="00B6064E" w:rsidRDefault="001C2F95" w:rsidP="001C2F95">
      <w:pPr>
        <w:rPr>
          <w:rFonts w:cs="Arial"/>
          <w:sz w:val="22"/>
          <w:lang w:bidi="fr-FR"/>
        </w:rPr>
      </w:pPr>
      <w:r w:rsidRPr="00B6064E">
        <w:rPr>
          <w:rFonts w:cs="Arial"/>
          <w:sz w:val="22"/>
          <w:lang w:bidi="fr-FR"/>
        </w:rPr>
        <w:t>Le Projet PNDA est soumis aux exigences du nouveau C</w:t>
      </w:r>
      <w:r w:rsidR="0065582C">
        <w:rPr>
          <w:rFonts w:cs="Arial"/>
          <w:sz w:val="22"/>
          <w:lang w:bidi="fr-FR"/>
        </w:rPr>
        <w:t>adre Environnemental et Social (C</w:t>
      </w:r>
      <w:r w:rsidRPr="00B6064E">
        <w:rPr>
          <w:rFonts w:cs="Arial"/>
          <w:sz w:val="22"/>
          <w:lang w:bidi="fr-FR"/>
        </w:rPr>
        <w:t>ES</w:t>
      </w:r>
      <w:r w:rsidR="0065582C">
        <w:rPr>
          <w:rFonts w:cs="Arial"/>
          <w:sz w:val="22"/>
          <w:lang w:bidi="fr-FR"/>
        </w:rPr>
        <w:t>)</w:t>
      </w:r>
      <w:r w:rsidRPr="00B6064E">
        <w:rPr>
          <w:rFonts w:cs="Arial"/>
          <w:sz w:val="22"/>
          <w:lang w:bidi="fr-FR"/>
        </w:rPr>
        <w:t xml:space="preserve"> de la Banque mondiale, entrées en vigueur le 01 octobre 2018. L’évaluation des risques et impacts environnementaux et sociaux du Projet ont permis de le classer comme Projet à "</w:t>
      </w:r>
      <w:r w:rsidR="00D13BCA">
        <w:rPr>
          <w:rFonts w:cs="Arial"/>
          <w:sz w:val="22"/>
          <w:lang w:bidi="fr-FR"/>
        </w:rPr>
        <w:t xml:space="preserve"> </w:t>
      </w:r>
      <w:r w:rsidRPr="00B6064E">
        <w:rPr>
          <w:rFonts w:cs="Arial"/>
          <w:sz w:val="22"/>
          <w:lang w:bidi="fr-FR"/>
        </w:rPr>
        <w:t xml:space="preserve">Risque </w:t>
      </w:r>
      <w:r w:rsidR="00D13BCA" w:rsidRPr="00B6064E">
        <w:rPr>
          <w:rFonts w:cs="Arial"/>
          <w:sz w:val="22"/>
          <w:lang w:bidi="fr-FR"/>
        </w:rPr>
        <w:t>substantiel</w:t>
      </w:r>
      <w:r w:rsidR="00D13BCA">
        <w:rPr>
          <w:rFonts w:cs="Arial"/>
          <w:sz w:val="22"/>
          <w:lang w:bidi="fr-FR"/>
        </w:rPr>
        <w:t xml:space="preserve"> </w:t>
      </w:r>
      <w:r w:rsidRPr="00B6064E">
        <w:rPr>
          <w:rFonts w:cs="Arial"/>
          <w:sz w:val="22"/>
          <w:lang w:bidi="fr-FR"/>
        </w:rPr>
        <w:t>" sur le plan environnemental et</w:t>
      </w:r>
      <w:r w:rsidR="00CC7241">
        <w:rPr>
          <w:rFonts w:cs="Arial"/>
          <w:sz w:val="22"/>
          <w:lang w:bidi="fr-FR"/>
        </w:rPr>
        <w:t xml:space="preserve"> à risque</w:t>
      </w:r>
      <w:r w:rsidRPr="00B6064E">
        <w:rPr>
          <w:rFonts w:cs="Arial"/>
          <w:sz w:val="22"/>
          <w:lang w:bidi="fr-FR"/>
        </w:rPr>
        <w:t xml:space="preserve"> </w:t>
      </w:r>
      <w:r w:rsidR="00CC7241">
        <w:rPr>
          <w:rFonts w:cs="Arial"/>
          <w:sz w:val="22"/>
          <w:lang w:bidi="fr-FR"/>
        </w:rPr>
        <w:t xml:space="preserve">élevé sur le plan </w:t>
      </w:r>
      <w:r w:rsidRPr="00B6064E">
        <w:rPr>
          <w:rFonts w:cs="Arial"/>
          <w:sz w:val="22"/>
          <w:lang w:bidi="fr-FR"/>
        </w:rPr>
        <w:t>social conformément au CES de la Banque mondiale</w:t>
      </w:r>
      <w:r w:rsidR="00D20A53">
        <w:rPr>
          <w:rFonts w:cs="Arial"/>
          <w:sz w:val="22"/>
          <w:lang w:bidi="fr-FR"/>
        </w:rPr>
        <w:t>.</w:t>
      </w:r>
    </w:p>
    <w:p w14:paraId="6705A6E2" w14:textId="77777777" w:rsidR="001C2F95" w:rsidRPr="00730A4A" w:rsidRDefault="001C2F95" w:rsidP="001C2F95">
      <w:pPr>
        <w:rPr>
          <w:rFonts w:eastAsia="Calibri" w:cs="Arial"/>
          <w:sz w:val="22"/>
          <w:lang w:bidi="fr-FR"/>
        </w:rPr>
      </w:pPr>
      <w:r w:rsidRPr="00730A4A">
        <w:rPr>
          <w:rFonts w:eastAsia="Calibri" w:cs="Arial"/>
          <w:sz w:val="22"/>
          <w:lang w:bidi="fr-FR"/>
        </w:rPr>
        <w:t xml:space="preserve">Au vu de l’évaluation environnementale et sociale préliminaire conduite par la Banque mondiale, dix sur les dix </w:t>
      </w:r>
      <w:r w:rsidR="0065582C" w:rsidRPr="00730A4A">
        <w:rPr>
          <w:rFonts w:eastAsia="Calibri" w:cs="Arial"/>
          <w:sz w:val="22"/>
          <w:lang w:bidi="fr-FR"/>
        </w:rPr>
        <w:t>Normes Environnementales et Sociales (</w:t>
      </w:r>
      <w:r w:rsidRPr="00730A4A">
        <w:rPr>
          <w:rFonts w:eastAsia="Calibri" w:cs="Arial"/>
          <w:sz w:val="22"/>
          <w:lang w:bidi="fr-FR"/>
        </w:rPr>
        <w:t>NES</w:t>
      </w:r>
      <w:r w:rsidR="0065582C" w:rsidRPr="00730A4A">
        <w:rPr>
          <w:rFonts w:eastAsia="Calibri" w:cs="Arial"/>
          <w:sz w:val="22"/>
          <w:lang w:bidi="fr-FR"/>
        </w:rPr>
        <w:t>)</w:t>
      </w:r>
      <w:r w:rsidRPr="00730A4A">
        <w:rPr>
          <w:rFonts w:eastAsia="Calibri" w:cs="Arial"/>
          <w:sz w:val="22"/>
          <w:lang w:bidi="fr-FR"/>
        </w:rPr>
        <w:t xml:space="preserve"> ont été jugées pertinentes pour ce projet. Il s’agit de : </w:t>
      </w:r>
    </w:p>
    <w:p w14:paraId="5EE02423" w14:textId="77777777" w:rsidR="001C2F95" w:rsidRPr="00730A4A" w:rsidRDefault="001C2F95" w:rsidP="001C2F95">
      <w:pPr>
        <w:rPr>
          <w:rFonts w:eastAsia="Calibri" w:cs="Arial"/>
          <w:sz w:val="22"/>
          <w:lang w:bidi="fr-FR"/>
        </w:rPr>
      </w:pPr>
    </w:p>
    <w:p w14:paraId="57D72C1A" w14:textId="77777777" w:rsidR="001C2F95" w:rsidRPr="00730A4A" w:rsidRDefault="001C2F95" w:rsidP="002378EA">
      <w:pPr>
        <w:pStyle w:val="Paragraphedeliste"/>
        <w:numPr>
          <w:ilvl w:val="0"/>
          <w:numId w:val="106"/>
        </w:numPr>
        <w:tabs>
          <w:tab w:val="left" w:pos="426"/>
        </w:tabs>
        <w:rPr>
          <w:rFonts w:eastAsia="Calibri" w:cs="Arial"/>
          <w:sz w:val="22"/>
        </w:rPr>
      </w:pPr>
      <w:r w:rsidRPr="00730A4A">
        <w:rPr>
          <w:rFonts w:eastAsia="Calibri" w:cs="Arial"/>
          <w:sz w:val="22"/>
        </w:rPr>
        <w:t xml:space="preserve">NES n° 1 : Évaluation et gestion des risques et effets environnementaux et sociaux </w:t>
      </w:r>
    </w:p>
    <w:p w14:paraId="74C3D608" w14:textId="77777777" w:rsidR="001C2F95" w:rsidRPr="00730A4A" w:rsidRDefault="001C2F95" w:rsidP="002378EA">
      <w:pPr>
        <w:pStyle w:val="Paragraphedeliste"/>
        <w:numPr>
          <w:ilvl w:val="0"/>
          <w:numId w:val="106"/>
        </w:numPr>
        <w:tabs>
          <w:tab w:val="left" w:pos="426"/>
        </w:tabs>
        <w:rPr>
          <w:rFonts w:eastAsia="Calibri" w:cs="Arial"/>
          <w:sz w:val="22"/>
        </w:rPr>
      </w:pPr>
      <w:r w:rsidRPr="00730A4A">
        <w:rPr>
          <w:rFonts w:eastAsia="Calibri" w:cs="Arial"/>
          <w:sz w:val="22"/>
        </w:rPr>
        <w:t>NES n° 2 : Emploi et conditions de travail</w:t>
      </w:r>
    </w:p>
    <w:p w14:paraId="17F6E306" w14:textId="77777777" w:rsidR="001C2F95" w:rsidRPr="00730A4A" w:rsidRDefault="001C2F95" w:rsidP="002378EA">
      <w:pPr>
        <w:pStyle w:val="Paragraphedeliste"/>
        <w:numPr>
          <w:ilvl w:val="0"/>
          <w:numId w:val="106"/>
        </w:numPr>
        <w:tabs>
          <w:tab w:val="left" w:pos="426"/>
        </w:tabs>
        <w:rPr>
          <w:rFonts w:eastAsia="Calibri" w:cs="Arial"/>
          <w:sz w:val="22"/>
        </w:rPr>
      </w:pPr>
      <w:r w:rsidRPr="00730A4A">
        <w:rPr>
          <w:rFonts w:eastAsia="Calibri" w:cs="Arial"/>
          <w:sz w:val="22"/>
        </w:rPr>
        <w:t xml:space="preserve">NES n°3 : Utilisation rationnelle des ressources et prévention et gestion de la pollution </w:t>
      </w:r>
    </w:p>
    <w:p w14:paraId="7570293B" w14:textId="77777777" w:rsidR="001C2F95" w:rsidRPr="00730A4A" w:rsidRDefault="001C2F95" w:rsidP="002378EA">
      <w:pPr>
        <w:pStyle w:val="Paragraphedeliste"/>
        <w:numPr>
          <w:ilvl w:val="0"/>
          <w:numId w:val="106"/>
        </w:numPr>
        <w:tabs>
          <w:tab w:val="left" w:pos="426"/>
        </w:tabs>
        <w:rPr>
          <w:rFonts w:eastAsia="Calibri" w:cs="Arial"/>
          <w:sz w:val="22"/>
        </w:rPr>
      </w:pPr>
      <w:r w:rsidRPr="00730A4A">
        <w:rPr>
          <w:rFonts w:eastAsia="Calibri" w:cs="Arial"/>
          <w:sz w:val="22"/>
        </w:rPr>
        <w:t>NES n°4 : Santé et sécurité des populations</w:t>
      </w:r>
    </w:p>
    <w:p w14:paraId="6AEAA448" w14:textId="77777777" w:rsidR="001C2F95" w:rsidRPr="00730A4A" w:rsidRDefault="001C2F95" w:rsidP="002378EA">
      <w:pPr>
        <w:pStyle w:val="Paragraphedeliste"/>
        <w:numPr>
          <w:ilvl w:val="0"/>
          <w:numId w:val="106"/>
        </w:numPr>
        <w:tabs>
          <w:tab w:val="left" w:pos="426"/>
        </w:tabs>
        <w:rPr>
          <w:rFonts w:eastAsia="Calibri" w:cs="Arial"/>
          <w:sz w:val="22"/>
        </w:rPr>
      </w:pPr>
      <w:r w:rsidRPr="00730A4A">
        <w:rPr>
          <w:rFonts w:eastAsia="Calibri" w:cs="Arial"/>
          <w:sz w:val="22"/>
        </w:rPr>
        <w:t>NES n°5 : Acquisition de terres, restrictions à l’utilisation de terres et réinstallation involontaire</w:t>
      </w:r>
    </w:p>
    <w:p w14:paraId="46AD5511" w14:textId="77777777" w:rsidR="001C2F95" w:rsidRPr="00730A4A" w:rsidRDefault="001C2F95" w:rsidP="002378EA">
      <w:pPr>
        <w:pStyle w:val="Paragraphedeliste"/>
        <w:numPr>
          <w:ilvl w:val="0"/>
          <w:numId w:val="106"/>
        </w:numPr>
        <w:tabs>
          <w:tab w:val="left" w:pos="426"/>
        </w:tabs>
        <w:rPr>
          <w:rFonts w:eastAsia="Calibri" w:cs="Arial"/>
          <w:sz w:val="22"/>
        </w:rPr>
      </w:pPr>
      <w:r w:rsidRPr="00730A4A">
        <w:rPr>
          <w:rFonts w:eastAsia="Calibri" w:cs="Arial"/>
          <w:sz w:val="22"/>
        </w:rPr>
        <w:t>NES n°6 : Préservation de la biodiversité et gestion durable des ressources naturelles biologiques</w:t>
      </w:r>
    </w:p>
    <w:p w14:paraId="02A55136" w14:textId="77777777" w:rsidR="001C2F95" w:rsidRPr="00730A4A" w:rsidRDefault="001C2F95" w:rsidP="002378EA">
      <w:pPr>
        <w:pStyle w:val="Paragraphedeliste"/>
        <w:numPr>
          <w:ilvl w:val="0"/>
          <w:numId w:val="106"/>
        </w:numPr>
        <w:tabs>
          <w:tab w:val="left" w:pos="426"/>
        </w:tabs>
        <w:rPr>
          <w:rFonts w:eastAsia="Calibri" w:cs="Arial"/>
          <w:sz w:val="22"/>
        </w:rPr>
      </w:pPr>
      <w:r w:rsidRPr="00730A4A">
        <w:rPr>
          <w:rFonts w:eastAsia="Calibri" w:cs="Arial"/>
          <w:sz w:val="22"/>
        </w:rPr>
        <w:t xml:space="preserve">NES n°7 : Peuples autochtones / communautés locales traditionnelles d’Afrique subsaharienne historiquement défavorisées </w:t>
      </w:r>
    </w:p>
    <w:p w14:paraId="1B29248A" w14:textId="77777777" w:rsidR="001C2F95" w:rsidRPr="00730A4A" w:rsidRDefault="001C2F95" w:rsidP="002378EA">
      <w:pPr>
        <w:pStyle w:val="Paragraphedeliste"/>
        <w:numPr>
          <w:ilvl w:val="0"/>
          <w:numId w:val="106"/>
        </w:numPr>
        <w:tabs>
          <w:tab w:val="left" w:pos="426"/>
        </w:tabs>
        <w:rPr>
          <w:rFonts w:eastAsia="Calibri" w:cs="Arial"/>
          <w:sz w:val="22"/>
        </w:rPr>
      </w:pPr>
      <w:r w:rsidRPr="00730A4A">
        <w:rPr>
          <w:rFonts w:eastAsia="Calibri" w:cs="Arial"/>
          <w:sz w:val="22"/>
        </w:rPr>
        <w:t>NES n° 8 : Patrimoine culturel  </w:t>
      </w:r>
    </w:p>
    <w:p w14:paraId="146B8426" w14:textId="77777777" w:rsidR="001C2F95" w:rsidRPr="00730A4A" w:rsidRDefault="001C2F95" w:rsidP="002378EA">
      <w:pPr>
        <w:pStyle w:val="Paragraphedeliste"/>
        <w:numPr>
          <w:ilvl w:val="0"/>
          <w:numId w:val="106"/>
        </w:numPr>
        <w:tabs>
          <w:tab w:val="left" w:pos="426"/>
        </w:tabs>
        <w:rPr>
          <w:rFonts w:eastAsia="Calibri" w:cs="Arial"/>
          <w:sz w:val="22"/>
        </w:rPr>
      </w:pPr>
      <w:r w:rsidRPr="00730A4A">
        <w:rPr>
          <w:rFonts w:eastAsia="Calibri" w:cs="Arial"/>
          <w:sz w:val="22"/>
        </w:rPr>
        <w:t xml:space="preserve">Normes n°9 : </w:t>
      </w:r>
      <w:r w:rsidR="00D13BCA" w:rsidRPr="00730A4A">
        <w:rPr>
          <w:rFonts w:eastAsia="Calibri" w:cs="Arial"/>
          <w:sz w:val="22"/>
        </w:rPr>
        <w:t>Intermédiaires</w:t>
      </w:r>
      <w:r w:rsidRPr="00730A4A">
        <w:rPr>
          <w:rFonts w:eastAsia="Calibri" w:cs="Arial"/>
          <w:sz w:val="22"/>
        </w:rPr>
        <w:t xml:space="preserve"> Financiers</w:t>
      </w:r>
    </w:p>
    <w:p w14:paraId="7BB97141" w14:textId="77777777" w:rsidR="001C2F95" w:rsidRPr="00730A4A" w:rsidRDefault="001C2F95" w:rsidP="002378EA">
      <w:pPr>
        <w:pStyle w:val="Paragraphedeliste"/>
        <w:numPr>
          <w:ilvl w:val="0"/>
          <w:numId w:val="106"/>
        </w:numPr>
        <w:tabs>
          <w:tab w:val="left" w:pos="426"/>
        </w:tabs>
        <w:rPr>
          <w:rFonts w:eastAsia="Calibri" w:cs="Arial"/>
          <w:sz w:val="22"/>
        </w:rPr>
      </w:pPr>
      <w:r w:rsidRPr="00730A4A">
        <w:rPr>
          <w:rFonts w:eastAsia="Calibri" w:cs="Arial"/>
          <w:sz w:val="22"/>
        </w:rPr>
        <w:t xml:space="preserve">NES n°10 : Mobilisation des parties prenantes et information </w:t>
      </w:r>
    </w:p>
    <w:p w14:paraId="143AC772" w14:textId="77777777" w:rsidR="001C2F95" w:rsidRPr="00B6064E" w:rsidRDefault="001C2F95" w:rsidP="001C2F95">
      <w:pPr>
        <w:spacing w:line="240" w:lineRule="auto"/>
        <w:rPr>
          <w:rFonts w:cs="Arial"/>
          <w:sz w:val="22"/>
        </w:rPr>
      </w:pPr>
    </w:p>
    <w:p w14:paraId="2E022B92" w14:textId="77777777" w:rsidR="001C2F95" w:rsidRPr="00730A4A" w:rsidRDefault="001C2F95" w:rsidP="001C2F95">
      <w:pPr>
        <w:rPr>
          <w:rFonts w:eastAsia="Calibri" w:cs="Arial"/>
          <w:sz w:val="22"/>
        </w:rPr>
      </w:pPr>
      <w:r w:rsidRPr="00730A4A">
        <w:rPr>
          <w:rFonts w:eastAsia="Calibri" w:cs="Arial"/>
          <w:sz w:val="22"/>
        </w:rPr>
        <w:t>Pour les aspects VBG, le sous projet sera mis en œuvre conformément à la Note de Bonnes Pratiques pour lutter contre les violences sexistes dans le cadre du financement de projets d’investissement comportant de grands travaux de génie civil (septembre 2018) de la Banque Mondiale.</w:t>
      </w:r>
    </w:p>
    <w:p w14:paraId="244E3AA3" w14:textId="77777777" w:rsidR="001C2F95" w:rsidRPr="00B6064E" w:rsidRDefault="001C2F95" w:rsidP="001C2F95">
      <w:pPr>
        <w:rPr>
          <w:rFonts w:cs="Arial"/>
          <w:sz w:val="22"/>
        </w:rPr>
      </w:pPr>
    </w:p>
    <w:p w14:paraId="682C3456" w14:textId="77777777" w:rsidR="001C2F95" w:rsidRDefault="001C2F95" w:rsidP="001C2F95">
      <w:pPr>
        <w:rPr>
          <w:rFonts w:cs="Arial"/>
          <w:sz w:val="22"/>
        </w:rPr>
      </w:pPr>
      <w:r w:rsidRPr="00B6064E">
        <w:rPr>
          <w:rFonts w:cs="Arial"/>
          <w:sz w:val="22"/>
        </w:rPr>
        <w:t xml:space="preserve">Pour répondre aux exigences de ces normes, huit(08) documents sont en cours d’élaboration :  </w:t>
      </w:r>
    </w:p>
    <w:p w14:paraId="02E0BF22" w14:textId="77777777" w:rsidR="0065582C" w:rsidRPr="00B6064E" w:rsidRDefault="0065582C" w:rsidP="001C2F95">
      <w:pPr>
        <w:rPr>
          <w:rFonts w:cs="Arial"/>
          <w:sz w:val="22"/>
        </w:rPr>
      </w:pPr>
    </w:p>
    <w:p w14:paraId="03112072" w14:textId="77777777" w:rsidR="001C2F95" w:rsidRPr="00B6064E" w:rsidRDefault="001C2F95" w:rsidP="002378EA">
      <w:pPr>
        <w:pStyle w:val="Paragraphedeliste"/>
        <w:numPr>
          <w:ilvl w:val="0"/>
          <w:numId w:val="95"/>
        </w:numPr>
        <w:spacing w:line="240" w:lineRule="auto"/>
        <w:contextualSpacing w:val="0"/>
        <w:rPr>
          <w:rFonts w:cs="Arial"/>
          <w:sz w:val="22"/>
        </w:rPr>
      </w:pPr>
      <w:r w:rsidRPr="00B6064E">
        <w:rPr>
          <w:rFonts w:cs="Arial"/>
          <w:sz w:val="22"/>
        </w:rPr>
        <w:lastRenderedPageBreak/>
        <w:t xml:space="preserve">un Cadre de Gestion Environnementale et Sociale (CGES), y </w:t>
      </w:r>
      <w:r w:rsidR="00D13BCA">
        <w:rPr>
          <w:rFonts w:cs="Arial"/>
          <w:sz w:val="22"/>
        </w:rPr>
        <w:t>intégrant</w:t>
      </w:r>
      <w:r w:rsidRPr="00B6064E">
        <w:rPr>
          <w:rFonts w:cs="Arial"/>
          <w:sz w:val="22"/>
        </w:rPr>
        <w:t xml:space="preserve"> un Plan d’action de prévention et réponse à l’EAS/HS ; </w:t>
      </w:r>
    </w:p>
    <w:p w14:paraId="43166585" w14:textId="77777777" w:rsidR="001C2F95" w:rsidRPr="00B6064E" w:rsidRDefault="001C2F95" w:rsidP="002378EA">
      <w:pPr>
        <w:pStyle w:val="Paragraphedeliste"/>
        <w:numPr>
          <w:ilvl w:val="0"/>
          <w:numId w:val="95"/>
        </w:numPr>
        <w:spacing w:line="240" w:lineRule="auto"/>
        <w:contextualSpacing w:val="0"/>
        <w:rPr>
          <w:rFonts w:cs="Arial"/>
          <w:sz w:val="22"/>
        </w:rPr>
      </w:pPr>
      <w:r w:rsidRPr="00B6064E">
        <w:rPr>
          <w:rFonts w:cs="Arial"/>
          <w:sz w:val="22"/>
        </w:rPr>
        <w:t>un Cadre Politique de Réinstallation (CPR) ;</w:t>
      </w:r>
    </w:p>
    <w:p w14:paraId="4D418151" w14:textId="77777777" w:rsidR="001C2F95" w:rsidRPr="00B6064E" w:rsidRDefault="001C2F95" w:rsidP="002378EA">
      <w:pPr>
        <w:pStyle w:val="Paragraphedeliste"/>
        <w:numPr>
          <w:ilvl w:val="0"/>
          <w:numId w:val="95"/>
        </w:numPr>
        <w:spacing w:line="240" w:lineRule="auto"/>
        <w:contextualSpacing w:val="0"/>
        <w:rPr>
          <w:rFonts w:cs="Arial"/>
          <w:sz w:val="22"/>
        </w:rPr>
      </w:pPr>
      <w:r w:rsidRPr="00B6064E">
        <w:rPr>
          <w:rFonts w:cs="Arial"/>
          <w:sz w:val="22"/>
        </w:rPr>
        <w:t>un Cadre de Planification en faveur des Populations Autochtones (CPPA) ;</w:t>
      </w:r>
    </w:p>
    <w:p w14:paraId="650AE919" w14:textId="77777777" w:rsidR="001C2F95" w:rsidRPr="00B6064E" w:rsidRDefault="001C2F95" w:rsidP="002378EA">
      <w:pPr>
        <w:pStyle w:val="Paragraphedeliste"/>
        <w:numPr>
          <w:ilvl w:val="0"/>
          <w:numId w:val="95"/>
        </w:numPr>
        <w:spacing w:line="240" w:lineRule="auto"/>
        <w:contextualSpacing w:val="0"/>
        <w:rPr>
          <w:rFonts w:cs="Arial"/>
          <w:sz w:val="22"/>
        </w:rPr>
      </w:pPr>
      <w:r w:rsidRPr="00B6064E">
        <w:rPr>
          <w:rFonts w:cs="Arial"/>
          <w:sz w:val="22"/>
        </w:rPr>
        <w:t>un Plan de Gestion des Pestes</w:t>
      </w:r>
      <w:r w:rsidR="0029647F">
        <w:rPr>
          <w:rFonts w:cs="Arial"/>
          <w:sz w:val="22"/>
        </w:rPr>
        <w:t xml:space="preserve"> et Pesticides</w:t>
      </w:r>
      <w:r w:rsidRPr="00B6064E">
        <w:rPr>
          <w:rFonts w:cs="Arial"/>
          <w:sz w:val="22"/>
        </w:rPr>
        <w:t> (PGP</w:t>
      </w:r>
      <w:r w:rsidR="0029647F">
        <w:rPr>
          <w:rFonts w:cs="Arial"/>
          <w:sz w:val="22"/>
        </w:rPr>
        <w:t>P</w:t>
      </w:r>
      <w:r w:rsidRPr="00B6064E">
        <w:rPr>
          <w:rFonts w:cs="Arial"/>
          <w:sz w:val="22"/>
        </w:rPr>
        <w:t>) ;</w:t>
      </w:r>
    </w:p>
    <w:p w14:paraId="6E9D5AC4" w14:textId="77777777" w:rsidR="001C2F95" w:rsidRPr="00B6064E" w:rsidRDefault="001C2F95" w:rsidP="002378EA">
      <w:pPr>
        <w:pStyle w:val="Paragraphedeliste"/>
        <w:numPr>
          <w:ilvl w:val="0"/>
          <w:numId w:val="95"/>
        </w:numPr>
        <w:spacing w:line="240" w:lineRule="auto"/>
        <w:contextualSpacing w:val="0"/>
        <w:rPr>
          <w:rFonts w:cs="Arial"/>
          <w:sz w:val="22"/>
        </w:rPr>
      </w:pPr>
      <w:r w:rsidRPr="00B6064E">
        <w:rPr>
          <w:rFonts w:cs="Arial"/>
          <w:sz w:val="22"/>
        </w:rPr>
        <w:t>un Plan d’Engagement Environnemental et Social (PEES) ;</w:t>
      </w:r>
    </w:p>
    <w:p w14:paraId="25B0069E" w14:textId="77777777" w:rsidR="001C2F95" w:rsidRPr="00B6064E" w:rsidRDefault="001C2F95" w:rsidP="002378EA">
      <w:pPr>
        <w:pStyle w:val="Paragraphedeliste"/>
        <w:numPr>
          <w:ilvl w:val="0"/>
          <w:numId w:val="95"/>
        </w:numPr>
        <w:spacing w:line="240" w:lineRule="auto"/>
        <w:contextualSpacing w:val="0"/>
        <w:rPr>
          <w:rFonts w:cs="Arial"/>
          <w:sz w:val="22"/>
        </w:rPr>
      </w:pPr>
      <w:r w:rsidRPr="00B6064E">
        <w:rPr>
          <w:rFonts w:cs="Arial"/>
          <w:sz w:val="22"/>
        </w:rPr>
        <w:t>un Plan de Mobilisation des Parties Prenants (PMPP) ;</w:t>
      </w:r>
    </w:p>
    <w:p w14:paraId="6CFAA726" w14:textId="77777777" w:rsidR="001C2F95" w:rsidRDefault="001C2F95" w:rsidP="002378EA">
      <w:pPr>
        <w:pStyle w:val="Paragraphedeliste"/>
        <w:numPr>
          <w:ilvl w:val="0"/>
          <w:numId w:val="95"/>
        </w:numPr>
        <w:spacing w:line="240" w:lineRule="auto"/>
        <w:contextualSpacing w:val="0"/>
        <w:rPr>
          <w:rFonts w:cs="Arial"/>
          <w:sz w:val="22"/>
        </w:rPr>
      </w:pPr>
      <w:r w:rsidRPr="00B6064E">
        <w:rPr>
          <w:rFonts w:cs="Arial"/>
          <w:sz w:val="22"/>
        </w:rPr>
        <w:t>un Plan de Gestion de la Main d’œuvre (PGMO) ;</w:t>
      </w:r>
    </w:p>
    <w:p w14:paraId="66EB4F25" w14:textId="77777777" w:rsidR="00CC7241" w:rsidRDefault="00CC7241" w:rsidP="002378EA">
      <w:pPr>
        <w:pStyle w:val="Paragraphedeliste"/>
        <w:numPr>
          <w:ilvl w:val="0"/>
          <w:numId w:val="95"/>
        </w:numPr>
        <w:spacing w:line="240" w:lineRule="auto"/>
        <w:contextualSpacing w:val="0"/>
        <w:rPr>
          <w:rFonts w:cs="Arial"/>
          <w:sz w:val="22"/>
        </w:rPr>
      </w:pPr>
      <w:r>
        <w:rPr>
          <w:rFonts w:cs="Arial"/>
          <w:sz w:val="22"/>
        </w:rPr>
        <w:t>un Plan de Gestion de Sécurité (PGS) ;</w:t>
      </w:r>
    </w:p>
    <w:p w14:paraId="6C481F79" w14:textId="77777777" w:rsidR="0090352E" w:rsidRPr="00B6064E" w:rsidRDefault="0090352E" w:rsidP="002378EA">
      <w:pPr>
        <w:pStyle w:val="Paragraphedeliste"/>
        <w:numPr>
          <w:ilvl w:val="0"/>
          <w:numId w:val="95"/>
        </w:numPr>
        <w:spacing w:line="240" w:lineRule="auto"/>
        <w:contextualSpacing w:val="0"/>
        <w:rPr>
          <w:rFonts w:cs="Arial"/>
          <w:sz w:val="22"/>
        </w:rPr>
      </w:pPr>
      <w:r>
        <w:rPr>
          <w:rFonts w:cs="Arial"/>
          <w:sz w:val="22"/>
        </w:rPr>
        <w:t>un Plan de Gestion de la Biodiversité (PGB) ; et</w:t>
      </w:r>
    </w:p>
    <w:p w14:paraId="25EC476A" w14:textId="77777777" w:rsidR="001C2F95" w:rsidRPr="00B6064E" w:rsidRDefault="001C2F95" w:rsidP="002378EA">
      <w:pPr>
        <w:pStyle w:val="Paragraphedeliste"/>
        <w:numPr>
          <w:ilvl w:val="0"/>
          <w:numId w:val="95"/>
        </w:numPr>
        <w:spacing w:line="240" w:lineRule="auto"/>
        <w:contextualSpacing w:val="0"/>
        <w:rPr>
          <w:rFonts w:cs="Arial"/>
          <w:sz w:val="22"/>
        </w:rPr>
      </w:pPr>
      <w:r w:rsidRPr="00B6064E">
        <w:rPr>
          <w:rFonts w:cs="Arial"/>
          <w:sz w:val="22"/>
        </w:rPr>
        <w:t>Un Mécanisme de Gestion des Plaintes (MGP).</w:t>
      </w:r>
    </w:p>
    <w:p w14:paraId="747C7B0E" w14:textId="77777777" w:rsidR="001C2F95" w:rsidRPr="00B6064E" w:rsidRDefault="001C2F95" w:rsidP="001C2F95">
      <w:pPr>
        <w:rPr>
          <w:rFonts w:cs="Arial"/>
          <w:sz w:val="22"/>
        </w:rPr>
      </w:pPr>
    </w:p>
    <w:p w14:paraId="6689C836" w14:textId="77777777" w:rsidR="001C2F95" w:rsidRPr="00730A4A" w:rsidRDefault="001C2F95" w:rsidP="001C2F95">
      <w:pPr>
        <w:rPr>
          <w:rFonts w:eastAsia="Calibri" w:cs="Arial"/>
          <w:sz w:val="22"/>
          <w:lang w:eastAsia="en-US"/>
        </w:rPr>
      </w:pPr>
      <w:r w:rsidRPr="00B6064E">
        <w:rPr>
          <w:rFonts w:cs="Arial"/>
          <w:sz w:val="22"/>
        </w:rPr>
        <w:t xml:space="preserve">C’est dans ce contexte que le présent CGES est élaboré </w:t>
      </w:r>
      <w:r w:rsidRPr="00730A4A">
        <w:rPr>
          <w:rFonts w:eastAsia="Calibri" w:cs="Arial"/>
          <w:sz w:val="22"/>
          <w:lang w:eastAsia="en-US"/>
        </w:rPr>
        <w:t>pour faire en sorte que les préoccupations environnementales et sociales de toutes les activités du Projet soient bien prises en compte depuis la planification, jusqu’à la mise en œuvre et le suivi/évaluation</w:t>
      </w:r>
      <w:r w:rsidRPr="00B6064E">
        <w:rPr>
          <w:rFonts w:cs="Arial"/>
          <w:sz w:val="22"/>
        </w:rPr>
        <w:t xml:space="preserve"> en conformité avec le CES de la Banque Mondiale</w:t>
      </w:r>
      <w:r w:rsidRPr="00730A4A">
        <w:rPr>
          <w:rFonts w:eastAsia="Calibri" w:cs="Arial"/>
          <w:sz w:val="22"/>
          <w:lang w:eastAsia="en-US"/>
        </w:rPr>
        <w:t xml:space="preserve">.  </w:t>
      </w:r>
    </w:p>
    <w:p w14:paraId="4ED2B0D5" w14:textId="77777777" w:rsidR="001C2F95" w:rsidRPr="00B6064E" w:rsidRDefault="001C2F95" w:rsidP="001C2F95">
      <w:pPr>
        <w:rPr>
          <w:rFonts w:cs="Arial"/>
          <w:sz w:val="22"/>
        </w:rPr>
      </w:pPr>
    </w:p>
    <w:p w14:paraId="03D6C6D4" w14:textId="77777777" w:rsidR="001C2F95" w:rsidRPr="00B6064E" w:rsidRDefault="001C2F95" w:rsidP="001C2F95">
      <w:pPr>
        <w:pStyle w:val="Titre2"/>
        <w:numPr>
          <w:ilvl w:val="1"/>
          <w:numId w:val="4"/>
        </w:numPr>
        <w:ind w:left="851" w:hanging="425"/>
        <w:rPr>
          <w:rFonts w:cs="Arial"/>
          <w:b/>
          <w:sz w:val="22"/>
          <w:szCs w:val="22"/>
        </w:rPr>
      </w:pPr>
      <w:bookmarkStart w:id="156" w:name="_Toc37426669"/>
      <w:r w:rsidRPr="00B6064E">
        <w:rPr>
          <w:rFonts w:cs="Arial"/>
          <w:sz w:val="22"/>
          <w:szCs w:val="22"/>
        </w:rPr>
        <w:t xml:space="preserve"> </w:t>
      </w:r>
      <w:bookmarkStart w:id="157" w:name="_Toc70330334"/>
      <w:bookmarkStart w:id="158" w:name="_Toc44626789"/>
      <w:r w:rsidRPr="00B6064E">
        <w:rPr>
          <w:rFonts w:cs="Arial"/>
          <w:b/>
          <w:sz w:val="22"/>
          <w:szCs w:val="22"/>
        </w:rPr>
        <w:t>Objectif du Cadre de Gestion Environnementale et Sociale</w:t>
      </w:r>
      <w:bookmarkEnd w:id="157"/>
      <w:r w:rsidRPr="00B6064E">
        <w:rPr>
          <w:rFonts w:cs="Arial"/>
          <w:b/>
          <w:sz w:val="22"/>
          <w:szCs w:val="22"/>
        </w:rPr>
        <w:t xml:space="preserve"> </w:t>
      </w:r>
      <w:bookmarkEnd w:id="156"/>
      <w:bookmarkEnd w:id="158"/>
    </w:p>
    <w:p w14:paraId="6196789F" w14:textId="77777777" w:rsidR="001C2F95" w:rsidRPr="00B6064E" w:rsidRDefault="001C2F95" w:rsidP="001C2F95">
      <w:pPr>
        <w:spacing w:line="240" w:lineRule="auto"/>
        <w:rPr>
          <w:rFonts w:cs="Arial"/>
          <w:sz w:val="22"/>
        </w:rPr>
      </w:pPr>
    </w:p>
    <w:p w14:paraId="649E6226" w14:textId="77777777" w:rsidR="001C2F95" w:rsidRPr="00730A4A" w:rsidRDefault="001C2F95" w:rsidP="001C2F95">
      <w:pPr>
        <w:rPr>
          <w:rFonts w:eastAsia="Calibri" w:cs="Arial"/>
          <w:sz w:val="22"/>
          <w:lang w:eastAsia="en-US"/>
        </w:rPr>
      </w:pPr>
      <w:r w:rsidRPr="00730A4A">
        <w:rPr>
          <w:rFonts w:eastAsia="Calibri" w:cs="Arial"/>
          <w:sz w:val="22"/>
          <w:lang w:eastAsia="en-US"/>
        </w:rPr>
        <w:t>Le Cadre de Gestion Environnementale et Sociale est un instrument qui s’applique aux risques et aux impacts d’un projet consistant en une série de sous-projets et dans le cas où les risques et les impacts ne peuvent pas être déterminés pour le moment ou quand les détails du programme ou les sous-projets n’ont pas été identifiés.</w:t>
      </w:r>
    </w:p>
    <w:p w14:paraId="2B282558" w14:textId="77777777" w:rsidR="001C2F95" w:rsidRPr="00730A4A" w:rsidRDefault="001C2F95" w:rsidP="001C2F95">
      <w:pPr>
        <w:rPr>
          <w:rFonts w:eastAsia="Calibri" w:cs="Arial"/>
          <w:sz w:val="22"/>
          <w:lang w:eastAsia="en-US"/>
        </w:rPr>
      </w:pPr>
    </w:p>
    <w:p w14:paraId="3E2D7D22" w14:textId="77777777" w:rsidR="001C2F95" w:rsidRPr="00730A4A" w:rsidRDefault="001C2F95" w:rsidP="001C2F95">
      <w:pPr>
        <w:rPr>
          <w:rFonts w:eastAsia="Calibri" w:cs="Arial"/>
          <w:sz w:val="22"/>
          <w:lang w:eastAsia="en-US"/>
        </w:rPr>
      </w:pPr>
      <w:r w:rsidRPr="00730A4A">
        <w:rPr>
          <w:rFonts w:eastAsia="Calibri" w:cs="Arial"/>
          <w:sz w:val="22"/>
          <w:lang w:eastAsia="en-US"/>
        </w:rPr>
        <w:t xml:space="preserve">Le CGES a donc pour objectif spécifique d’identifier l’ensemble de risques et impacts potentiels aux plans environnemental et social au regard des interventions envisagées dans les </w:t>
      </w:r>
      <w:r w:rsidRPr="00B6064E">
        <w:rPr>
          <w:rFonts w:cs="Arial"/>
          <w:sz w:val="22"/>
        </w:rPr>
        <w:t>provinces ciblées par le programme</w:t>
      </w:r>
      <w:r w:rsidRPr="00730A4A">
        <w:rPr>
          <w:rFonts w:eastAsia="Calibri" w:cs="Arial"/>
          <w:sz w:val="22"/>
          <w:lang w:eastAsia="en-US"/>
        </w:rPr>
        <w:t xml:space="preserve"> pour lesquels les investissements à faire et/ou les sites ne sont pas encore connus.  Il définit les principes, les règles, les lignes directrices et les procédures pour évaluer les risques et les impacts environnementaux et sociaux des sous-projets concernés. Il contient des mesures génériques et des plans d’actions pour réduire, mitiger et/ compenser les risques et les impacts négatifs. Il contient aussi des provisions et un budget pour de telles mesu</w:t>
      </w:r>
      <w:r w:rsidRPr="00B6064E">
        <w:rPr>
          <w:rFonts w:cs="Arial"/>
          <w:sz w:val="22"/>
        </w:rPr>
        <w:t>res, et des informations sur l’agence ou les a</w:t>
      </w:r>
      <w:r w:rsidRPr="00730A4A">
        <w:rPr>
          <w:rFonts w:eastAsia="Calibri" w:cs="Arial"/>
          <w:sz w:val="22"/>
          <w:lang w:eastAsia="en-US"/>
        </w:rPr>
        <w:t xml:space="preserve">gences responsables pour adresser de tels impacts et risques du projet, y compris leur capacité à gérer les impacts mêmes et risques sociaux. L’évaluation sera proportionnée aux risques et aux impacts potentiels du projet, de manière à intégrer tous les risques environnementaux et sociaux directs, indirects et cumulés tout le long du cycle du projet, y compris ceux spécifiquement identifiés dans les </w:t>
      </w:r>
      <w:r w:rsidR="0065582C" w:rsidRPr="00730A4A">
        <w:rPr>
          <w:rFonts w:eastAsia="Calibri" w:cs="Arial"/>
          <w:sz w:val="22"/>
          <w:lang w:eastAsia="en-US"/>
        </w:rPr>
        <w:t>N</w:t>
      </w:r>
      <w:r w:rsidRPr="00730A4A">
        <w:rPr>
          <w:rFonts w:eastAsia="Calibri" w:cs="Arial"/>
          <w:sz w:val="22"/>
          <w:lang w:eastAsia="en-US"/>
        </w:rPr>
        <w:t xml:space="preserve">ormes </w:t>
      </w:r>
      <w:r w:rsidR="0065582C" w:rsidRPr="00730A4A">
        <w:rPr>
          <w:rFonts w:eastAsia="Calibri" w:cs="Arial"/>
          <w:sz w:val="22"/>
          <w:lang w:eastAsia="en-US"/>
        </w:rPr>
        <w:t>E</w:t>
      </w:r>
      <w:r w:rsidRPr="00730A4A">
        <w:rPr>
          <w:rFonts w:eastAsia="Calibri" w:cs="Arial"/>
          <w:sz w:val="22"/>
          <w:lang w:eastAsia="en-US"/>
        </w:rPr>
        <w:t xml:space="preserve">nvironnementales et </w:t>
      </w:r>
      <w:r w:rsidR="0065582C" w:rsidRPr="00730A4A">
        <w:rPr>
          <w:rFonts w:eastAsia="Calibri" w:cs="Arial"/>
          <w:sz w:val="22"/>
          <w:lang w:eastAsia="en-US"/>
        </w:rPr>
        <w:t>S</w:t>
      </w:r>
      <w:r w:rsidRPr="00730A4A">
        <w:rPr>
          <w:rFonts w:eastAsia="Calibri" w:cs="Arial"/>
          <w:sz w:val="22"/>
          <w:lang w:eastAsia="en-US"/>
        </w:rPr>
        <w:t>ociales n°1-10 du CES.</w:t>
      </w:r>
    </w:p>
    <w:p w14:paraId="722644DC" w14:textId="77777777" w:rsidR="001C2F95" w:rsidRPr="00730A4A" w:rsidRDefault="001C2F95" w:rsidP="001C2F95">
      <w:pPr>
        <w:rPr>
          <w:rFonts w:eastAsia="Calibri" w:cs="Arial"/>
          <w:sz w:val="22"/>
          <w:lang w:eastAsia="en-US"/>
        </w:rPr>
      </w:pPr>
    </w:p>
    <w:p w14:paraId="412C9F03" w14:textId="77777777" w:rsidR="001C2F95" w:rsidRPr="00730A4A" w:rsidRDefault="001C2F95" w:rsidP="001C2F95">
      <w:pPr>
        <w:rPr>
          <w:rFonts w:eastAsia="Calibri" w:cs="Arial"/>
          <w:sz w:val="22"/>
          <w:lang w:eastAsia="en-US"/>
        </w:rPr>
      </w:pPr>
      <w:r w:rsidRPr="00B6064E">
        <w:rPr>
          <w:rFonts w:cs="Arial"/>
          <w:sz w:val="22"/>
        </w:rPr>
        <w:t>Pour les aspects concernant les VBG, y compris l’EAS et le HS, le Projet sera mis en œuvre en conformité avec la Note de bonnes pratiques EAS/HS de la Banque mondiale (voir note 1), en tenant compte aussi du contexte législatif et politique en RDC quant à la lutte contre les VBG, notamment la SNVBG.</w:t>
      </w:r>
    </w:p>
    <w:p w14:paraId="67DD0FED" w14:textId="77777777" w:rsidR="001C2F95" w:rsidRPr="00730A4A" w:rsidRDefault="001C2F95" w:rsidP="001C2F95">
      <w:pPr>
        <w:rPr>
          <w:rFonts w:eastAsia="Calibri" w:cs="Arial"/>
          <w:sz w:val="22"/>
          <w:lang w:eastAsia="en-US"/>
        </w:rPr>
      </w:pPr>
    </w:p>
    <w:p w14:paraId="26B8EF22" w14:textId="77777777" w:rsidR="001C2F95" w:rsidRPr="00730A4A" w:rsidRDefault="001C2F95" w:rsidP="001C2F95">
      <w:pPr>
        <w:rPr>
          <w:rFonts w:eastAsia="Calibri" w:cs="Arial"/>
          <w:sz w:val="22"/>
          <w:lang w:eastAsia="en-US"/>
        </w:rPr>
      </w:pPr>
      <w:r w:rsidRPr="00730A4A">
        <w:rPr>
          <w:rFonts w:eastAsia="Calibri" w:cs="Arial"/>
          <w:sz w:val="22"/>
          <w:lang w:eastAsia="en-US"/>
        </w:rPr>
        <w:t>Le CGES établit et applique une hiérarchie de mesures d’atténuation pour :</w:t>
      </w:r>
    </w:p>
    <w:p w14:paraId="1FBAC4BE" w14:textId="77777777" w:rsidR="001C2F95" w:rsidRPr="00730A4A" w:rsidRDefault="001C2F95" w:rsidP="001C2F95">
      <w:pPr>
        <w:rPr>
          <w:rFonts w:eastAsia="Calibri" w:cs="Arial"/>
          <w:sz w:val="22"/>
          <w:lang w:eastAsia="en-US"/>
        </w:rPr>
      </w:pPr>
    </w:p>
    <w:p w14:paraId="5B1A7B3F" w14:textId="77777777" w:rsidR="001C2F95" w:rsidRPr="00730A4A" w:rsidRDefault="001C2F95" w:rsidP="002378EA">
      <w:pPr>
        <w:pStyle w:val="Paragraphedeliste"/>
        <w:numPr>
          <w:ilvl w:val="0"/>
          <w:numId w:val="41"/>
        </w:numPr>
        <w:rPr>
          <w:rFonts w:eastAsia="Calibri" w:cs="Arial"/>
          <w:sz w:val="22"/>
        </w:rPr>
      </w:pPr>
      <w:r w:rsidRPr="00730A4A">
        <w:rPr>
          <w:rFonts w:eastAsia="Calibri" w:cs="Arial"/>
          <w:sz w:val="22"/>
        </w:rPr>
        <w:t>Anticiper et éviter les risques et les impacts, y compris les risques et impacts relatifs aux VBG, incluant l’EAS et le HS ;</w:t>
      </w:r>
    </w:p>
    <w:p w14:paraId="21F71201" w14:textId="77777777" w:rsidR="001C2F95" w:rsidRPr="00730A4A" w:rsidRDefault="001C2F95" w:rsidP="002378EA">
      <w:pPr>
        <w:pStyle w:val="Paragraphedeliste"/>
        <w:numPr>
          <w:ilvl w:val="0"/>
          <w:numId w:val="41"/>
        </w:numPr>
        <w:rPr>
          <w:rFonts w:eastAsia="Calibri" w:cs="Arial"/>
          <w:sz w:val="22"/>
          <w:lang w:eastAsia="en-US"/>
        </w:rPr>
      </w:pPr>
      <w:r w:rsidRPr="00730A4A">
        <w:rPr>
          <w:rFonts w:eastAsia="Calibri" w:cs="Arial"/>
          <w:sz w:val="22"/>
          <w:lang w:eastAsia="en-US"/>
        </w:rPr>
        <w:t>Lorsque ce n'est pas possible de l’éviter, minimiser ou réduire les risques et les impacts à des niveaux acceptables ;</w:t>
      </w:r>
    </w:p>
    <w:p w14:paraId="1E7A7C58" w14:textId="77777777" w:rsidR="001C2F95" w:rsidRPr="00730A4A" w:rsidRDefault="001C2F95" w:rsidP="002378EA">
      <w:pPr>
        <w:pStyle w:val="Paragraphedeliste"/>
        <w:numPr>
          <w:ilvl w:val="0"/>
          <w:numId w:val="41"/>
        </w:numPr>
        <w:rPr>
          <w:rFonts w:eastAsia="Calibri" w:cs="Arial"/>
          <w:sz w:val="22"/>
          <w:lang w:eastAsia="en-US"/>
        </w:rPr>
      </w:pPr>
      <w:r w:rsidRPr="00730A4A">
        <w:rPr>
          <w:rFonts w:eastAsia="Calibri" w:cs="Arial"/>
          <w:sz w:val="22"/>
          <w:lang w:eastAsia="en-US"/>
        </w:rPr>
        <w:t>Une fois que les risques et les impacts ont été minimisés ou réduits, les atténuer ; et</w:t>
      </w:r>
    </w:p>
    <w:p w14:paraId="5C00F67D" w14:textId="77777777" w:rsidR="001C2F95" w:rsidRPr="00730A4A" w:rsidRDefault="001C2F95" w:rsidP="002378EA">
      <w:pPr>
        <w:pStyle w:val="Paragraphedeliste"/>
        <w:numPr>
          <w:ilvl w:val="0"/>
          <w:numId w:val="41"/>
        </w:numPr>
        <w:rPr>
          <w:rFonts w:eastAsia="Calibri" w:cs="Arial"/>
          <w:sz w:val="22"/>
          <w:lang w:eastAsia="en-US"/>
        </w:rPr>
      </w:pPr>
      <w:r w:rsidRPr="00730A4A">
        <w:rPr>
          <w:rFonts w:eastAsia="Calibri" w:cs="Arial"/>
          <w:sz w:val="22"/>
          <w:lang w:eastAsia="en-US"/>
        </w:rPr>
        <w:lastRenderedPageBreak/>
        <w:t>Si des impacts résiduels importants subsistent, de les corriger ou compenser lorsque cela est techniquement et financièrement réalisable.</w:t>
      </w:r>
    </w:p>
    <w:p w14:paraId="2BFCEDEE" w14:textId="77777777" w:rsidR="001C2F95" w:rsidRPr="00730A4A" w:rsidRDefault="001C2F95" w:rsidP="001C2F95">
      <w:pPr>
        <w:pStyle w:val="Paragraphedeliste"/>
        <w:rPr>
          <w:rFonts w:eastAsia="Calibri" w:cs="Arial"/>
          <w:sz w:val="22"/>
          <w:lang w:eastAsia="en-US"/>
        </w:rPr>
      </w:pPr>
    </w:p>
    <w:p w14:paraId="2140991B" w14:textId="77777777" w:rsidR="001C2F95" w:rsidRPr="00B6064E" w:rsidRDefault="001C2F95" w:rsidP="001C2F95">
      <w:pPr>
        <w:pStyle w:val="Titre2"/>
        <w:numPr>
          <w:ilvl w:val="1"/>
          <w:numId w:val="4"/>
        </w:numPr>
        <w:ind w:left="851" w:hanging="425"/>
        <w:rPr>
          <w:rFonts w:cs="Arial"/>
          <w:b/>
          <w:sz w:val="22"/>
          <w:szCs w:val="22"/>
        </w:rPr>
      </w:pPr>
      <w:bookmarkStart w:id="159" w:name="_Toc391821302"/>
      <w:bookmarkStart w:id="160" w:name="_Toc395136086"/>
      <w:bookmarkStart w:id="161" w:name="_Toc404105872"/>
      <w:bookmarkStart w:id="162" w:name="_Toc464561974"/>
      <w:bookmarkStart w:id="163" w:name="_Toc476571947"/>
      <w:bookmarkEnd w:id="149"/>
      <w:bookmarkEnd w:id="150"/>
      <w:bookmarkEnd w:id="151"/>
      <w:bookmarkEnd w:id="152"/>
      <w:bookmarkEnd w:id="153"/>
      <w:r w:rsidRPr="00B6064E">
        <w:rPr>
          <w:rFonts w:cs="Arial"/>
          <w:sz w:val="22"/>
          <w:szCs w:val="22"/>
        </w:rPr>
        <w:t xml:space="preserve"> </w:t>
      </w:r>
      <w:bookmarkStart w:id="164" w:name="_Toc500754629"/>
      <w:bookmarkStart w:id="165" w:name="_Toc44626790"/>
      <w:bookmarkStart w:id="166" w:name="_Toc70330335"/>
      <w:r w:rsidRPr="00B6064E">
        <w:rPr>
          <w:rFonts w:cs="Arial"/>
          <w:b/>
          <w:sz w:val="22"/>
          <w:szCs w:val="22"/>
        </w:rPr>
        <w:t xml:space="preserve">Méthodologie d’élaboration du </w:t>
      </w:r>
      <w:bookmarkEnd w:id="159"/>
      <w:bookmarkEnd w:id="160"/>
      <w:bookmarkEnd w:id="161"/>
      <w:bookmarkEnd w:id="162"/>
      <w:bookmarkEnd w:id="163"/>
      <w:bookmarkEnd w:id="164"/>
      <w:r w:rsidRPr="00B6064E">
        <w:rPr>
          <w:rFonts w:cs="Arial"/>
          <w:b/>
          <w:sz w:val="22"/>
          <w:szCs w:val="22"/>
        </w:rPr>
        <w:t>CGES</w:t>
      </w:r>
      <w:bookmarkEnd w:id="165"/>
      <w:bookmarkEnd w:id="166"/>
    </w:p>
    <w:p w14:paraId="463E6BE3" w14:textId="77777777" w:rsidR="001C2F95" w:rsidRPr="00B6064E" w:rsidRDefault="001C2F95" w:rsidP="001C2F95">
      <w:pPr>
        <w:overflowPunct w:val="0"/>
        <w:autoSpaceDE w:val="0"/>
        <w:autoSpaceDN w:val="0"/>
        <w:adjustRightInd w:val="0"/>
        <w:textAlignment w:val="baseline"/>
        <w:rPr>
          <w:rFonts w:cs="Arial"/>
          <w:color w:val="000000"/>
          <w:kern w:val="28"/>
          <w:sz w:val="22"/>
        </w:rPr>
      </w:pPr>
    </w:p>
    <w:p w14:paraId="63BDBD74" w14:textId="77777777" w:rsidR="001C2F95" w:rsidRPr="00B6064E" w:rsidRDefault="001C2F95" w:rsidP="001C2F95">
      <w:pPr>
        <w:rPr>
          <w:rFonts w:cs="Arial"/>
          <w:sz w:val="22"/>
        </w:rPr>
      </w:pPr>
      <w:r w:rsidRPr="00B6064E">
        <w:rPr>
          <w:rFonts w:cs="Arial"/>
          <w:sz w:val="22"/>
        </w:rPr>
        <w:t xml:space="preserve">Le CGES a été </w:t>
      </w:r>
      <w:r w:rsidR="00D13BCA" w:rsidRPr="00B6064E">
        <w:rPr>
          <w:rFonts w:cs="Arial"/>
          <w:sz w:val="22"/>
        </w:rPr>
        <w:t>élaboré</w:t>
      </w:r>
      <w:r w:rsidRPr="00B6064E">
        <w:rPr>
          <w:rFonts w:cs="Arial"/>
          <w:sz w:val="22"/>
        </w:rPr>
        <w:t xml:space="preserve"> par une équipe d’experts pluridisciplinaires d’une firme (Consultant). La </w:t>
      </w:r>
      <w:r w:rsidR="00D13BCA" w:rsidRPr="00B6064E">
        <w:rPr>
          <w:rFonts w:cs="Arial"/>
          <w:sz w:val="22"/>
        </w:rPr>
        <w:t>méthodologie</w:t>
      </w:r>
      <w:r w:rsidRPr="00B6064E">
        <w:rPr>
          <w:rFonts w:cs="Arial"/>
          <w:sz w:val="22"/>
        </w:rPr>
        <w:t xml:space="preserve"> était basée sur une approche participative, en concertation avec l’ensemble des acteurs et partenaires concernés du PNDA. Elle s’articule autour de quatre (04) étapes majeures, à savoir : </w:t>
      </w:r>
      <w:bookmarkStart w:id="167" w:name="_Toc470139813"/>
      <w:bookmarkStart w:id="168" w:name="_Toc470800704"/>
      <w:bookmarkEnd w:id="167"/>
      <w:bookmarkEnd w:id="168"/>
    </w:p>
    <w:p w14:paraId="0119EAC1" w14:textId="77777777" w:rsidR="001C2F95" w:rsidRPr="00B6064E" w:rsidRDefault="001C2F95" w:rsidP="001C2F95">
      <w:pPr>
        <w:pStyle w:val="Default"/>
        <w:spacing w:line="276" w:lineRule="auto"/>
        <w:jc w:val="both"/>
        <w:rPr>
          <w:iCs/>
          <w:color w:val="auto"/>
          <w:sz w:val="22"/>
          <w:szCs w:val="22"/>
          <w:highlight w:val="yellow"/>
          <w:u w:val="single"/>
        </w:rPr>
      </w:pPr>
    </w:p>
    <w:p w14:paraId="5A4F98E5" w14:textId="77777777" w:rsidR="001C2F95" w:rsidRPr="00B6064E" w:rsidRDefault="001C2F95" w:rsidP="001C2F95">
      <w:pPr>
        <w:pStyle w:val="Titre2"/>
        <w:numPr>
          <w:ilvl w:val="2"/>
          <w:numId w:val="4"/>
        </w:numPr>
        <w:ind w:left="1560" w:hanging="709"/>
        <w:rPr>
          <w:rFonts w:cs="Arial"/>
          <w:i/>
          <w:sz w:val="22"/>
          <w:szCs w:val="22"/>
        </w:rPr>
      </w:pPr>
      <w:bookmarkStart w:id="169" w:name="_Toc502652335"/>
      <w:bookmarkStart w:id="170" w:name="_Toc44626791"/>
      <w:bookmarkStart w:id="171" w:name="_Toc70330336"/>
      <w:r w:rsidRPr="00B6064E">
        <w:rPr>
          <w:rFonts w:cs="Arial"/>
          <w:i/>
          <w:sz w:val="22"/>
          <w:szCs w:val="22"/>
        </w:rPr>
        <w:t>Cadrage de l’étude</w:t>
      </w:r>
      <w:bookmarkEnd w:id="169"/>
      <w:bookmarkEnd w:id="170"/>
      <w:bookmarkEnd w:id="171"/>
    </w:p>
    <w:p w14:paraId="3AA97E88" w14:textId="77777777" w:rsidR="001C2F95" w:rsidRPr="00B6064E" w:rsidRDefault="001C2F95" w:rsidP="001C2F95">
      <w:pPr>
        <w:pStyle w:val="Paragraphedeliste"/>
        <w:tabs>
          <w:tab w:val="left" w:pos="426"/>
        </w:tabs>
        <w:ind w:left="0"/>
        <w:rPr>
          <w:rFonts w:cs="Arial"/>
          <w:sz w:val="22"/>
        </w:rPr>
      </w:pPr>
    </w:p>
    <w:p w14:paraId="1367F795" w14:textId="77777777" w:rsidR="001C2F95" w:rsidRPr="00B6064E" w:rsidRDefault="001C2F95" w:rsidP="001C2F95">
      <w:pPr>
        <w:pStyle w:val="Paragraphedeliste"/>
        <w:tabs>
          <w:tab w:val="left" w:pos="426"/>
        </w:tabs>
        <w:ind w:left="0"/>
        <w:rPr>
          <w:rFonts w:cs="Arial"/>
          <w:sz w:val="22"/>
        </w:rPr>
      </w:pPr>
      <w:r w:rsidRPr="00B6064E">
        <w:rPr>
          <w:rFonts w:cs="Arial"/>
          <w:sz w:val="22"/>
        </w:rPr>
        <w:t xml:space="preserve">En date du 15 mai 2020 s’est tenue une réunion en visioconférence de </w:t>
      </w:r>
      <w:r w:rsidRPr="00B6064E">
        <w:rPr>
          <w:rFonts w:cs="Arial"/>
          <w:i/>
          <w:sz w:val="22"/>
        </w:rPr>
        <w:t>Cisco Webex Meetings</w:t>
      </w:r>
      <w:r w:rsidRPr="00B6064E">
        <w:rPr>
          <w:rFonts w:cs="Arial"/>
          <w:sz w:val="22"/>
        </w:rPr>
        <w:t xml:space="preserve"> entre la Banque mondiale, les Spécialistes de sauvegardes environnementale et sociale du PNDA ainsi que le Consultant. L’objectif principal de cette réunion était de définir un calendrier cohérent de préparation des documents de sauvegardes requis par ce projet et la présentation de la méthodologie du Consultant pour son déploiement sur terrain au regard de la situation d’urgence décrétée en RDC pour le COVID-19.</w:t>
      </w:r>
    </w:p>
    <w:p w14:paraId="1691D03F" w14:textId="77777777" w:rsidR="001C2F95" w:rsidRPr="00B6064E" w:rsidRDefault="001C2F95" w:rsidP="001C2F95">
      <w:pPr>
        <w:pStyle w:val="Paragraphedeliste"/>
        <w:tabs>
          <w:tab w:val="left" w:pos="426"/>
        </w:tabs>
        <w:ind w:left="0"/>
        <w:rPr>
          <w:rFonts w:cs="Arial"/>
          <w:sz w:val="22"/>
        </w:rPr>
      </w:pPr>
    </w:p>
    <w:p w14:paraId="72EEAE71" w14:textId="77777777" w:rsidR="001C2F95" w:rsidRPr="00B6064E" w:rsidRDefault="001C2F95" w:rsidP="001C2F95">
      <w:pPr>
        <w:pStyle w:val="Paragraphedeliste"/>
        <w:tabs>
          <w:tab w:val="left" w:pos="426"/>
        </w:tabs>
        <w:ind w:left="0"/>
        <w:rPr>
          <w:rFonts w:cs="Arial"/>
          <w:sz w:val="22"/>
        </w:rPr>
      </w:pPr>
      <w:r w:rsidRPr="00B6064E">
        <w:rPr>
          <w:rFonts w:cs="Arial"/>
          <w:sz w:val="22"/>
        </w:rPr>
        <w:t xml:space="preserve">En date du 26 mai 2020 s’est tenue une seconde réunion en visioconférence de </w:t>
      </w:r>
      <w:r w:rsidRPr="00B6064E">
        <w:rPr>
          <w:rFonts w:cs="Arial"/>
          <w:i/>
          <w:sz w:val="22"/>
        </w:rPr>
        <w:t>WhatsApp</w:t>
      </w:r>
      <w:r w:rsidRPr="00B6064E">
        <w:rPr>
          <w:rFonts w:cs="Arial"/>
          <w:sz w:val="22"/>
        </w:rPr>
        <w:t xml:space="preserve"> entre le Client (les Spécialistes</w:t>
      </w:r>
      <w:r w:rsidRPr="00730A4A" w:rsidDel="00292738">
        <w:rPr>
          <w:rFonts w:cs="Arial"/>
          <w:color w:val="000000"/>
          <w:sz w:val="22"/>
        </w:rPr>
        <w:t xml:space="preserve"> </w:t>
      </w:r>
      <w:r w:rsidRPr="00730A4A">
        <w:rPr>
          <w:rFonts w:cs="Arial"/>
          <w:color w:val="000000"/>
          <w:sz w:val="22"/>
        </w:rPr>
        <w:t>en Sauvegardes Environnementale et Sociale (SSES) du PNDA et l’Expert en Passation des Marchés du Projet PARRSA) et le Consultant</w:t>
      </w:r>
      <w:r w:rsidRPr="00B6064E">
        <w:rPr>
          <w:rFonts w:cs="Arial"/>
          <w:sz w:val="22"/>
        </w:rPr>
        <w:t xml:space="preserve"> à Kinshasa. Cette réunion a permis de s’accorder sur l’urgence et les principaux enjeux liés à la préparation des instruments de sauvegarde environnementale et sociale, mais aussi sur certains points spécifiques de l’étude liés à l’accordance avec le nouveau Cadre Environnemental et Social de la Banque Mondiale, notamment les Normes Environnementales et Sociales (NES de n°1-10), les consultations du public à mener au niveau des provinces ciblées dans la zone du Projet pendant cette période d’état d’urgence et de confinement suite à la COVID-19 où il est autorisé des rencontres en limitant le nombre de participants à 20 personnes au maximum. À cette même occasion, l’équipe a dressé la liste des contacts et des personnes ressources dans les Chefs-lieux des provinces concernées par le Projet.</w:t>
      </w:r>
    </w:p>
    <w:p w14:paraId="49A70FAC" w14:textId="77777777" w:rsidR="001C2F95" w:rsidRPr="00B6064E" w:rsidRDefault="001C2F95" w:rsidP="001C2F95">
      <w:pPr>
        <w:pStyle w:val="Paragraphedeliste"/>
        <w:tabs>
          <w:tab w:val="left" w:pos="426"/>
        </w:tabs>
        <w:ind w:left="0"/>
        <w:rPr>
          <w:rFonts w:cs="Arial"/>
          <w:sz w:val="22"/>
        </w:rPr>
      </w:pPr>
    </w:p>
    <w:p w14:paraId="2911259C" w14:textId="77777777" w:rsidR="001C2F95" w:rsidRPr="00B6064E" w:rsidRDefault="001C2F95" w:rsidP="001C2F95">
      <w:pPr>
        <w:pStyle w:val="Paragraphedeliste"/>
        <w:tabs>
          <w:tab w:val="left" w:pos="426"/>
        </w:tabs>
        <w:ind w:left="0"/>
        <w:rPr>
          <w:rFonts w:cs="Arial"/>
          <w:sz w:val="22"/>
        </w:rPr>
      </w:pPr>
      <w:r w:rsidRPr="00B6064E">
        <w:rPr>
          <w:rFonts w:cs="Arial"/>
          <w:sz w:val="22"/>
        </w:rPr>
        <w:t>Du 1</w:t>
      </w:r>
      <w:r w:rsidRPr="00B6064E">
        <w:rPr>
          <w:rFonts w:cs="Arial"/>
          <w:sz w:val="22"/>
          <w:vertAlign w:val="superscript"/>
        </w:rPr>
        <w:t>er</w:t>
      </w:r>
      <w:r w:rsidRPr="00B6064E">
        <w:rPr>
          <w:rFonts w:cs="Arial"/>
          <w:sz w:val="22"/>
        </w:rPr>
        <w:t xml:space="preserve"> au 19 juin 2020, le Consultant s’est déployé sur terrain en vue de collecter les données socio-environnementales et économiques ainsi que la tenue des consultations du public dans les Chefs-lieux des provinces concernées par le PNDA.  </w:t>
      </w:r>
    </w:p>
    <w:p w14:paraId="11DC8946" w14:textId="77777777" w:rsidR="001C2F95" w:rsidRPr="00B6064E" w:rsidRDefault="001C2F95" w:rsidP="001C2F95">
      <w:pPr>
        <w:outlineLvl w:val="2"/>
        <w:rPr>
          <w:rFonts w:cs="Arial"/>
          <w:b/>
          <w:color w:val="FF0000"/>
          <w:kern w:val="36"/>
          <w:sz w:val="22"/>
        </w:rPr>
      </w:pPr>
    </w:p>
    <w:p w14:paraId="548AED5D" w14:textId="77777777" w:rsidR="001C2F95" w:rsidRPr="00B6064E" w:rsidRDefault="001C2F95" w:rsidP="001C2F95">
      <w:pPr>
        <w:pStyle w:val="Titre2"/>
        <w:numPr>
          <w:ilvl w:val="2"/>
          <w:numId w:val="4"/>
        </w:numPr>
        <w:ind w:left="1560" w:hanging="709"/>
        <w:rPr>
          <w:rFonts w:cs="Arial"/>
          <w:i/>
          <w:sz w:val="22"/>
          <w:szCs w:val="22"/>
        </w:rPr>
      </w:pPr>
      <w:bookmarkStart w:id="172" w:name="_Toc44626792"/>
      <w:bookmarkStart w:id="173" w:name="_Toc70330337"/>
      <w:r w:rsidRPr="00B6064E">
        <w:rPr>
          <w:rFonts w:cs="Arial"/>
          <w:i/>
          <w:sz w:val="22"/>
          <w:szCs w:val="22"/>
        </w:rPr>
        <w:t>Collecte et revue documentaire</w:t>
      </w:r>
      <w:bookmarkEnd w:id="172"/>
      <w:bookmarkEnd w:id="173"/>
    </w:p>
    <w:p w14:paraId="70C0E5B2" w14:textId="77777777" w:rsidR="001C2F95" w:rsidRPr="00B6064E" w:rsidRDefault="001C2F95" w:rsidP="001C2F95">
      <w:pPr>
        <w:rPr>
          <w:rFonts w:cs="Arial"/>
          <w:sz w:val="22"/>
        </w:rPr>
      </w:pPr>
    </w:p>
    <w:p w14:paraId="3338C07F" w14:textId="77777777" w:rsidR="001C2F95" w:rsidRDefault="001C2F95" w:rsidP="001C2F95">
      <w:pPr>
        <w:pStyle w:val="Paragraphedeliste"/>
        <w:tabs>
          <w:tab w:val="left" w:pos="426"/>
        </w:tabs>
        <w:ind w:left="0"/>
        <w:rPr>
          <w:rFonts w:cs="Arial"/>
          <w:sz w:val="22"/>
        </w:rPr>
      </w:pPr>
      <w:r w:rsidRPr="00B6064E">
        <w:rPr>
          <w:rFonts w:cs="Arial"/>
          <w:sz w:val="22"/>
        </w:rPr>
        <w:t>Cette étape a permis de collecter toute la documentation disponible du Projet PNDA</w:t>
      </w:r>
      <w:r w:rsidRPr="00B6064E">
        <w:rPr>
          <w:rFonts w:cs="Arial"/>
          <w:color w:val="000000"/>
          <w:sz w:val="22"/>
        </w:rPr>
        <w:t xml:space="preserve"> dans </w:t>
      </w:r>
      <w:r w:rsidRPr="00B6064E">
        <w:rPr>
          <w:rFonts w:cs="Arial"/>
          <w:sz w:val="22"/>
        </w:rPr>
        <w:t xml:space="preserve">la région du Kasaï (Provinces du Kasaï et Kasaï Central), la région de l’Ouest (Provinces du Kongo Central et du Kwilu), la région de l’Est (Province du Nord Kivu), les aide-mémoires du Projet PNDA, mais aussi les études environnementales et sociales déjà réalisées par le Projet PARRSA, les Normes Environnementales et Sociales de la Banque Mondiale, la politique nationale en matière de l’environnement et social ainsi que de l’agriculture, les principaux textes législatifs, réglementaires et administratifs de la RDC se rapportant à la gestion de l’environnement, des ressources naturelles et aux procédures d’Études d’Impact Environnemental et Social (ÉIES), au régime foncier, aux procédures d’expropriation, de </w:t>
      </w:r>
      <w:r w:rsidRPr="00B6064E">
        <w:rPr>
          <w:rFonts w:cs="Arial"/>
          <w:sz w:val="22"/>
        </w:rPr>
        <w:lastRenderedPageBreak/>
        <w:t>réinstallation et de dédommagement (compensation), et au développement des populations autochtones.</w:t>
      </w:r>
    </w:p>
    <w:p w14:paraId="233D9218" w14:textId="77777777" w:rsidR="001C2F95" w:rsidRPr="00B6064E" w:rsidRDefault="001C2F95" w:rsidP="001C2F95">
      <w:pPr>
        <w:pStyle w:val="Paragraphedeliste"/>
        <w:tabs>
          <w:tab w:val="left" w:pos="426"/>
        </w:tabs>
        <w:ind w:left="0"/>
        <w:rPr>
          <w:rFonts w:cs="Arial"/>
          <w:sz w:val="22"/>
        </w:rPr>
      </w:pPr>
    </w:p>
    <w:p w14:paraId="0C1A60EA" w14:textId="77777777" w:rsidR="001C2F95" w:rsidRPr="00B6064E" w:rsidRDefault="001C2F95" w:rsidP="001C2F95">
      <w:pPr>
        <w:pStyle w:val="Titre2"/>
        <w:numPr>
          <w:ilvl w:val="2"/>
          <w:numId w:val="4"/>
        </w:numPr>
        <w:ind w:left="1560" w:hanging="709"/>
        <w:rPr>
          <w:rFonts w:cs="Arial"/>
          <w:i/>
          <w:sz w:val="22"/>
          <w:szCs w:val="22"/>
        </w:rPr>
      </w:pPr>
      <w:bookmarkStart w:id="174" w:name="_Toc470800710"/>
      <w:bookmarkStart w:id="175" w:name="_Toc502652337"/>
      <w:bookmarkStart w:id="176" w:name="_Toc44626793"/>
      <w:bookmarkStart w:id="177" w:name="_Toc70330338"/>
      <w:r w:rsidRPr="00B6064E">
        <w:rPr>
          <w:rFonts w:cs="Arial"/>
          <w:i/>
          <w:sz w:val="22"/>
          <w:szCs w:val="22"/>
        </w:rPr>
        <w:t>Rencontres institutionnelles</w:t>
      </w:r>
      <w:bookmarkEnd w:id="174"/>
      <w:bookmarkEnd w:id="175"/>
      <w:bookmarkEnd w:id="176"/>
      <w:bookmarkEnd w:id="177"/>
    </w:p>
    <w:p w14:paraId="6B049B57" w14:textId="77777777" w:rsidR="001C2F95" w:rsidRPr="00B6064E" w:rsidRDefault="001C2F95" w:rsidP="001C2F95">
      <w:pPr>
        <w:pStyle w:val="Paragraphedeliste"/>
        <w:tabs>
          <w:tab w:val="left" w:pos="426"/>
        </w:tabs>
        <w:ind w:left="0"/>
        <w:rPr>
          <w:rFonts w:cs="Arial"/>
          <w:sz w:val="22"/>
        </w:rPr>
      </w:pPr>
    </w:p>
    <w:p w14:paraId="2AC84A80" w14:textId="77777777" w:rsidR="001C2F95" w:rsidRPr="00B6064E" w:rsidRDefault="001C2F95" w:rsidP="001C2F95">
      <w:pPr>
        <w:pStyle w:val="Paragraphedeliste"/>
        <w:tabs>
          <w:tab w:val="left" w:pos="426"/>
        </w:tabs>
        <w:ind w:left="0"/>
        <w:rPr>
          <w:rFonts w:cs="Arial"/>
          <w:sz w:val="22"/>
        </w:rPr>
      </w:pPr>
      <w:r w:rsidRPr="00B6064E">
        <w:rPr>
          <w:rFonts w:cs="Arial"/>
          <w:sz w:val="22"/>
        </w:rPr>
        <w:t xml:space="preserve">Cette étape a permis de rencontrer les acteurs institutionnels principalement concernés par le Projet PNDA au niveau des provinces concernées : les Ministères Provinciaux et divisions chargés de l’Agriculture ; l’Office  des Voies de Desserte Agricole (OVDA), la Division de Développement Rural, la Division des Travaux Publics et Reconstruction, la Division de Santé publique, la Division de Travail et Prévoyance Sociale, la Coordination Provinciale de l’Environnement, la Division des Affaires foncières, l’Agence Congolaise de l’Environnement (ACE), les Organisations et les Associations locales, les ONG locales, etc. </w:t>
      </w:r>
    </w:p>
    <w:p w14:paraId="60DEC792" w14:textId="77777777" w:rsidR="001C2F95" w:rsidRPr="00B6064E" w:rsidRDefault="001C2F95" w:rsidP="001C2F95">
      <w:pPr>
        <w:pStyle w:val="Paragraphedeliste"/>
        <w:tabs>
          <w:tab w:val="left" w:pos="426"/>
        </w:tabs>
        <w:ind w:left="0"/>
        <w:rPr>
          <w:rFonts w:cs="Arial"/>
          <w:sz w:val="22"/>
        </w:rPr>
      </w:pPr>
    </w:p>
    <w:p w14:paraId="5D9B1948" w14:textId="77777777" w:rsidR="001C2F95" w:rsidRPr="00B6064E" w:rsidRDefault="001C2F95" w:rsidP="001C2F95">
      <w:pPr>
        <w:pStyle w:val="Titre2"/>
        <w:numPr>
          <w:ilvl w:val="2"/>
          <w:numId w:val="4"/>
        </w:numPr>
        <w:ind w:left="1560" w:hanging="709"/>
        <w:rPr>
          <w:rFonts w:cs="Arial"/>
          <w:i/>
          <w:sz w:val="22"/>
          <w:szCs w:val="22"/>
        </w:rPr>
      </w:pPr>
      <w:bookmarkStart w:id="178" w:name="_Toc470800712"/>
      <w:bookmarkStart w:id="179" w:name="_Toc502652339"/>
      <w:bookmarkStart w:id="180" w:name="_Toc44626795"/>
      <w:bookmarkStart w:id="181" w:name="_Toc70330339"/>
      <w:r w:rsidRPr="00B6064E">
        <w:rPr>
          <w:rFonts w:cs="Arial"/>
          <w:i/>
          <w:sz w:val="22"/>
          <w:szCs w:val="22"/>
        </w:rPr>
        <w:t>Visites de terrain</w:t>
      </w:r>
      <w:bookmarkEnd w:id="178"/>
      <w:bookmarkEnd w:id="179"/>
      <w:bookmarkEnd w:id="180"/>
      <w:bookmarkEnd w:id="181"/>
    </w:p>
    <w:p w14:paraId="2225D8EB" w14:textId="77777777" w:rsidR="001C2F95" w:rsidRPr="00B6064E" w:rsidRDefault="001C2F95" w:rsidP="001C2F95">
      <w:pPr>
        <w:rPr>
          <w:rFonts w:cs="Arial"/>
          <w:sz w:val="22"/>
        </w:rPr>
      </w:pPr>
    </w:p>
    <w:p w14:paraId="20FF6938" w14:textId="77777777" w:rsidR="001C2F95" w:rsidRPr="00B6064E" w:rsidRDefault="001C2F95" w:rsidP="001C2F95">
      <w:pPr>
        <w:pStyle w:val="Paragraphedeliste"/>
        <w:tabs>
          <w:tab w:val="left" w:pos="426"/>
        </w:tabs>
        <w:ind w:left="0"/>
        <w:rPr>
          <w:rFonts w:cs="Arial"/>
          <w:sz w:val="22"/>
        </w:rPr>
      </w:pPr>
      <w:r w:rsidRPr="00B6064E">
        <w:rPr>
          <w:rFonts w:cs="Arial"/>
          <w:sz w:val="22"/>
        </w:rPr>
        <w:t xml:space="preserve">Des visites de terrain ont été effectuées dans les provinces choisies pour apprécier les contraintes et enjeux environnementaux et sociaux dans la zone du Projet, particulièrement les enjeux environnementaux et sociaux majeurs afférents à la mise en œuvre de différentes composantes du Projet, y compris les VBG, le HS ainsi que l’EAS (VBG/HS/EAS).  </w:t>
      </w:r>
    </w:p>
    <w:p w14:paraId="01744584" w14:textId="77777777" w:rsidR="001C2F95" w:rsidRPr="00B6064E" w:rsidRDefault="001C2F95" w:rsidP="001C2F95">
      <w:pPr>
        <w:pStyle w:val="Paragraphedeliste"/>
        <w:tabs>
          <w:tab w:val="left" w:pos="426"/>
        </w:tabs>
        <w:ind w:left="0"/>
        <w:rPr>
          <w:rFonts w:cs="Arial"/>
          <w:sz w:val="22"/>
        </w:rPr>
      </w:pPr>
    </w:p>
    <w:p w14:paraId="649B86F5" w14:textId="77777777" w:rsidR="001C2F95" w:rsidRPr="00B6064E" w:rsidRDefault="001C2F95" w:rsidP="001C2F95">
      <w:pPr>
        <w:pStyle w:val="Titre2"/>
        <w:numPr>
          <w:ilvl w:val="2"/>
          <w:numId w:val="4"/>
        </w:numPr>
        <w:ind w:left="1560" w:hanging="709"/>
        <w:rPr>
          <w:rFonts w:cs="Arial"/>
          <w:i/>
          <w:sz w:val="22"/>
          <w:szCs w:val="22"/>
        </w:rPr>
      </w:pPr>
      <w:bookmarkStart w:id="182" w:name="_Toc470800713"/>
      <w:bookmarkStart w:id="183" w:name="_Toc502652340"/>
      <w:bookmarkStart w:id="184" w:name="_Toc44626796"/>
      <w:bookmarkStart w:id="185" w:name="_Toc70330340"/>
      <w:r w:rsidRPr="00B6064E">
        <w:rPr>
          <w:rFonts w:cs="Arial"/>
          <w:i/>
          <w:sz w:val="22"/>
          <w:szCs w:val="22"/>
        </w:rPr>
        <w:t>Exploitation des données et rédaction du rapport</w:t>
      </w:r>
      <w:bookmarkEnd w:id="182"/>
      <w:bookmarkEnd w:id="183"/>
      <w:bookmarkEnd w:id="184"/>
      <w:bookmarkEnd w:id="185"/>
    </w:p>
    <w:p w14:paraId="3D955313" w14:textId="77777777" w:rsidR="001C2F95" w:rsidRPr="00B6064E" w:rsidRDefault="001C2F95" w:rsidP="001C2F95">
      <w:pPr>
        <w:rPr>
          <w:rFonts w:cs="Arial"/>
          <w:sz w:val="22"/>
        </w:rPr>
      </w:pPr>
    </w:p>
    <w:p w14:paraId="24A0DEB0" w14:textId="77777777" w:rsidR="001C2F95" w:rsidRPr="00B6064E" w:rsidRDefault="001C2F95" w:rsidP="001C2F95">
      <w:pPr>
        <w:pStyle w:val="Paragraphedeliste"/>
        <w:tabs>
          <w:tab w:val="left" w:pos="426"/>
        </w:tabs>
        <w:ind w:left="0"/>
        <w:rPr>
          <w:rFonts w:cs="Arial"/>
          <w:sz w:val="22"/>
        </w:rPr>
      </w:pPr>
      <w:r w:rsidRPr="00B6064E">
        <w:rPr>
          <w:rFonts w:cs="Arial"/>
          <w:sz w:val="22"/>
        </w:rPr>
        <w:t>Les phases de revue documentaire, de collecte des données sur le terrain, de visites de sites potentiels, d’entretiens avec les différents acteurs, ont permis de recueillir des informations de base dont le traitement et l’analyse ont permis la rédaction du présent CGES.</w:t>
      </w:r>
    </w:p>
    <w:p w14:paraId="4A8BD729" w14:textId="77777777" w:rsidR="001C2F95" w:rsidRPr="00B6064E" w:rsidRDefault="001C2F95" w:rsidP="001C2F95">
      <w:pPr>
        <w:autoSpaceDE w:val="0"/>
        <w:autoSpaceDN w:val="0"/>
        <w:adjustRightInd w:val="0"/>
        <w:rPr>
          <w:rFonts w:eastAsia="Calibri" w:cs="Arial"/>
          <w:sz w:val="22"/>
        </w:rPr>
      </w:pPr>
    </w:p>
    <w:p w14:paraId="71CA15D6" w14:textId="77777777" w:rsidR="001C2F95" w:rsidRPr="00B6064E" w:rsidRDefault="001C2F95" w:rsidP="001C2F95">
      <w:pPr>
        <w:pStyle w:val="Titre2"/>
        <w:numPr>
          <w:ilvl w:val="1"/>
          <w:numId w:val="4"/>
        </w:numPr>
        <w:ind w:left="851" w:hanging="425"/>
        <w:rPr>
          <w:rFonts w:eastAsia="Calibri" w:cs="Arial"/>
          <w:b/>
          <w:sz w:val="22"/>
          <w:szCs w:val="22"/>
        </w:rPr>
      </w:pPr>
      <w:bookmarkStart w:id="186" w:name="_Toc44626797"/>
      <w:bookmarkStart w:id="187" w:name="_Toc70330341"/>
      <w:r w:rsidRPr="00B6064E">
        <w:rPr>
          <w:rFonts w:cs="Arial"/>
          <w:b/>
          <w:sz w:val="22"/>
          <w:szCs w:val="22"/>
        </w:rPr>
        <w:t>Structure du rapport</w:t>
      </w:r>
      <w:bookmarkEnd w:id="186"/>
      <w:bookmarkEnd w:id="187"/>
      <w:r w:rsidRPr="00B6064E">
        <w:rPr>
          <w:rFonts w:cs="Arial"/>
          <w:b/>
          <w:sz w:val="22"/>
          <w:szCs w:val="22"/>
        </w:rPr>
        <w:t xml:space="preserve"> </w:t>
      </w:r>
    </w:p>
    <w:p w14:paraId="70B499B1" w14:textId="77777777" w:rsidR="001C2F95" w:rsidRPr="00B6064E" w:rsidRDefault="001C2F95" w:rsidP="001C2F95">
      <w:pPr>
        <w:autoSpaceDE w:val="0"/>
        <w:autoSpaceDN w:val="0"/>
        <w:adjustRightInd w:val="0"/>
        <w:rPr>
          <w:rFonts w:eastAsia="Calibri" w:cs="Arial"/>
          <w:sz w:val="22"/>
        </w:rPr>
      </w:pPr>
    </w:p>
    <w:p w14:paraId="5B790B51" w14:textId="77777777" w:rsidR="001C2F95" w:rsidRPr="00B6064E" w:rsidRDefault="001C2F95" w:rsidP="001C2F95">
      <w:pPr>
        <w:autoSpaceDE w:val="0"/>
        <w:autoSpaceDN w:val="0"/>
        <w:adjustRightInd w:val="0"/>
        <w:rPr>
          <w:rFonts w:eastAsia="Calibri" w:cs="Arial"/>
          <w:sz w:val="22"/>
        </w:rPr>
      </w:pPr>
      <w:r w:rsidRPr="00B6064E">
        <w:rPr>
          <w:rFonts w:eastAsia="Calibri" w:cs="Arial"/>
          <w:sz w:val="22"/>
        </w:rPr>
        <w:t>Le rapport s’articule autour des points suivants :</w:t>
      </w:r>
    </w:p>
    <w:p w14:paraId="4DB4118B" w14:textId="77777777" w:rsidR="001C2F95" w:rsidRPr="00B6064E" w:rsidRDefault="001C2F95" w:rsidP="001C2F95">
      <w:pPr>
        <w:autoSpaceDE w:val="0"/>
        <w:autoSpaceDN w:val="0"/>
        <w:adjustRightInd w:val="0"/>
        <w:rPr>
          <w:rFonts w:eastAsia="Calibri" w:cs="Arial"/>
          <w:sz w:val="22"/>
        </w:rPr>
      </w:pPr>
    </w:p>
    <w:p w14:paraId="1011E9A6" w14:textId="77777777" w:rsidR="001C2F95" w:rsidRPr="00B6064E"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t>Sommaire/Table des matières ;</w:t>
      </w:r>
    </w:p>
    <w:p w14:paraId="1A3D4B37" w14:textId="77777777" w:rsidR="001C2F95" w:rsidRPr="00B6064E"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t>Liste des acronymes et sigles ;</w:t>
      </w:r>
    </w:p>
    <w:p w14:paraId="3C7B4284" w14:textId="77777777" w:rsidR="001C2F95" w:rsidRPr="00B6064E"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t>Résumé exécutif en français ;</w:t>
      </w:r>
    </w:p>
    <w:p w14:paraId="5FB38B02" w14:textId="77777777" w:rsidR="001C2F95" w:rsidRPr="00B6064E"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t>Résumé exécutif en anglais ;</w:t>
      </w:r>
    </w:p>
    <w:p w14:paraId="05E8A964" w14:textId="77777777" w:rsidR="001C2F95" w:rsidRPr="00B6064E"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t>Résumé exécutif en Kikongo, Tshiluba et Swahili</w:t>
      </w:r>
    </w:p>
    <w:p w14:paraId="49B716C0" w14:textId="77777777" w:rsidR="001C2F95"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t>Introduction ;</w:t>
      </w:r>
    </w:p>
    <w:p w14:paraId="0FF0B126" w14:textId="77777777" w:rsidR="0090352E" w:rsidRPr="00B6064E" w:rsidRDefault="0090352E" w:rsidP="002378EA">
      <w:pPr>
        <w:pStyle w:val="Paragraphedeliste"/>
        <w:numPr>
          <w:ilvl w:val="0"/>
          <w:numId w:val="33"/>
        </w:numPr>
        <w:autoSpaceDE w:val="0"/>
        <w:autoSpaceDN w:val="0"/>
        <w:adjustRightInd w:val="0"/>
        <w:ind w:left="720"/>
        <w:rPr>
          <w:rFonts w:eastAsia="Calibri" w:cs="Arial"/>
          <w:sz w:val="22"/>
        </w:rPr>
      </w:pPr>
      <w:r>
        <w:t>Méthodologie ;</w:t>
      </w:r>
    </w:p>
    <w:p w14:paraId="1FC8B9C7" w14:textId="77777777" w:rsidR="001C2F95" w:rsidRPr="00B6064E"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t>Description du Projet ;</w:t>
      </w:r>
    </w:p>
    <w:p w14:paraId="728BB8E5" w14:textId="77777777" w:rsidR="001C2F95" w:rsidRPr="00B6064E"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t>Situation environnementale et sociale dans la zone du projet ;</w:t>
      </w:r>
    </w:p>
    <w:p w14:paraId="75410C78" w14:textId="77777777" w:rsidR="001C2F95" w:rsidRPr="00B6064E"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t xml:space="preserve">Cadre politique, juridique et </w:t>
      </w:r>
      <w:r w:rsidR="00D13BCA" w:rsidRPr="00B6064E">
        <w:rPr>
          <w:rFonts w:eastAsia="Calibri" w:cs="Arial"/>
          <w:sz w:val="22"/>
        </w:rPr>
        <w:t>institutionnel</w:t>
      </w:r>
      <w:r w:rsidRPr="00B6064E">
        <w:rPr>
          <w:rFonts w:eastAsia="Calibri" w:cs="Arial"/>
          <w:sz w:val="22"/>
        </w:rPr>
        <w:t xml:space="preserve"> ;  </w:t>
      </w:r>
    </w:p>
    <w:p w14:paraId="5B884B5B" w14:textId="77777777" w:rsidR="001C2F95" w:rsidRPr="00B6064E"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t>Risques et impacts environnementaux et sociaux potentiels du projet ;</w:t>
      </w:r>
    </w:p>
    <w:p w14:paraId="16BFD454" w14:textId="77777777" w:rsidR="001C2F95" w:rsidRPr="00B6064E" w:rsidRDefault="0090352E" w:rsidP="002378EA">
      <w:pPr>
        <w:pStyle w:val="Paragraphedeliste"/>
        <w:numPr>
          <w:ilvl w:val="0"/>
          <w:numId w:val="33"/>
        </w:numPr>
        <w:autoSpaceDE w:val="0"/>
        <w:autoSpaceDN w:val="0"/>
        <w:adjustRightInd w:val="0"/>
        <w:ind w:left="720"/>
        <w:rPr>
          <w:rFonts w:eastAsia="Calibri" w:cs="Arial"/>
          <w:sz w:val="22"/>
        </w:rPr>
      </w:pPr>
      <w:r>
        <w:t xml:space="preserve">Procédures de gestion </w:t>
      </w:r>
      <w:r w:rsidRPr="00A05C11">
        <w:t xml:space="preserve">E&amp;S </w:t>
      </w:r>
      <w:r>
        <w:t>des sous-projets</w:t>
      </w:r>
      <w:r w:rsidRPr="00B6064E" w:rsidDel="0090352E">
        <w:rPr>
          <w:rFonts w:eastAsia="Calibri" w:cs="Arial"/>
          <w:sz w:val="22"/>
        </w:rPr>
        <w:t xml:space="preserve"> </w:t>
      </w:r>
      <w:r w:rsidR="001C2F95" w:rsidRPr="00B6064E">
        <w:rPr>
          <w:rFonts w:eastAsia="Calibri" w:cs="Arial"/>
          <w:sz w:val="22"/>
        </w:rPr>
        <w:t>y compris les VBG/HS/EAS ;</w:t>
      </w:r>
    </w:p>
    <w:p w14:paraId="58414E11" w14:textId="77777777" w:rsidR="0090352E" w:rsidRPr="0081487A" w:rsidRDefault="0090352E" w:rsidP="002378EA">
      <w:pPr>
        <w:pStyle w:val="Paragraphedeliste"/>
        <w:numPr>
          <w:ilvl w:val="0"/>
          <w:numId w:val="33"/>
        </w:numPr>
        <w:autoSpaceDE w:val="0"/>
        <w:autoSpaceDN w:val="0"/>
        <w:adjustRightInd w:val="0"/>
        <w:ind w:left="720"/>
        <w:rPr>
          <w:rFonts w:eastAsia="Calibri" w:cs="Arial"/>
          <w:sz w:val="22"/>
        </w:rPr>
      </w:pPr>
      <w:r w:rsidRPr="00A05C11">
        <w:t>Mise en œuvre et suivi du PGES</w:t>
      </w:r>
      <w:r>
        <w:t> ;</w:t>
      </w:r>
      <w:r w:rsidRPr="00A05C11">
        <w:t xml:space="preserve"> </w:t>
      </w:r>
    </w:p>
    <w:p w14:paraId="5C5CBAD1" w14:textId="77777777" w:rsidR="0090352E" w:rsidRPr="0081487A" w:rsidRDefault="0090352E" w:rsidP="002378EA">
      <w:pPr>
        <w:pStyle w:val="Paragraphedeliste"/>
        <w:numPr>
          <w:ilvl w:val="0"/>
          <w:numId w:val="33"/>
        </w:numPr>
        <w:autoSpaceDE w:val="0"/>
        <w:autoSpaceDN w:val="0"/>
        <w:adjustRightInd w:val="0"/>
        <w:ind w:left="720"/>
        <w:rPr>
          <w:rFonts w:eastAsia="Calibri" w:cs="Arial"/>
          <w:sz w:val="22"/>
        </w:rPr>
      </w:pPr>
      <w:r w:rsidRPr="00A05C11">
        <w:t>Renforcement des capacités</w:t>
      </w:r>
      <w:r>
        <w:t> ;</w:t>
      </w:r>
    </w:p>
    <w:p w14:paraId="6C77B931" w14:textId="77777777" w:rsidR="0090352E" w:rsidRDefault="0090352E" w:rsidP="002378EA">
      <w:pPr>
        <w:pStyle w:val="Paragraphedeliste"/>
        <w:numPr>
          <w:ilvl w:val="0"/>
          <w:numId w:val="33"/>
        </w:numPr>
        <w:autoSpaceDE w:val="0"/>
        <w:autoSpaceDN w:val="0"/>
        <w:adjustRightInd w:val="0"/>
        <w:ind w:left="720"/>
        <w:rPr>
          <w:rFonts w:eastAsia="Calibri" w:cs="Arial"/>
          <w:sz w:val="22"/>
        </w:rPr>
      </w:pPr>
      <w:r w:rsidRPr="00A05C11">
        <w:t>Calendrier de mise en œuvre des mesures</w:t>
      </w:r>
      <w:r>
        <w:rPr>
          <w:rFonts w:eastAsia="Calibri" w:cs="Arial"/>
          <w:sz w:val="22"/>
        </w:rPr>
        <w:t> ;</w:t>
      </w:r>
    </w:p>
    <w:p w14:paraId="480881C4" w14:textId="77777777" w:rsidR="001C2F95" w:rsidRPr="00B6064E"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t>Consultations du public ;</w:t>
      </w:r>
    </w:p>
    <w:p w14:paraId="09670483" w14:textId="77777777" w:rsidR="001C2F95" w:rsidRPr="00B6064E"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t>Description du Mécanisme de Gestion des Plaintes (MGP)</w:t>
      </w:r>
      <w:r w:rsidR="0090352E">
        <w:rPr>
          <w:rFonts w:eastAsia="Calibri" w:cs="Arial"/>
          <w:sz w:val="22"/>
        </w:rPr>
        <w:t> ;</w:t>
      </w:r>
    </w:p>
    <w:p w14:paraId="5024D3EE" w14:textId="77777777" w:rsidR="001C2F95" w:rsidRPr="00B6064E"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t>Budget estimatif de la mise en œuvre du CGES ;</w:t>
      </w:r>
    </w:p>
    <w:p w14:paraId="2FE33019" w14:textId="77777777" w:rsidR="001C2F95" w:rsidRPr="00B6064E" w:rsidRDefault="001C2F95" w:rsidP="002378EA">
      <w:pPr>
        <w:pStyle w:val="Paragraphedeliste"/>
        <w:numPr>
          <w:ilvl w:val="0"/>
          <w:numId w:val="33"/>
        </w:numPr>
        <w:autoSpaceDE w:val="0"/>
        <w:autoSpaceDN w:val="0"/>
        <w:adjustRightInd w:val="0"/>
        <w:ind w:left="720"/>
        <w:rPr>
          <w:rFonts w:eastAsia="Calibri" w:cs="Arial"/>
          <w:sz w:val="22"/>
        </w:rPr>
      </w:pPr>
      <w:r w:rsidRPr="00B6064E">
        <w:rPr>
          <w:rFonts w:eastAsia="Calibri" w:cs="Arial"/>
          <w:sz w:val="22"/>
        </w:rPr>
        <w:lastRenderedPageBreak/>
        <w:t>Conclusion et recommandations ;</w:t>
      </w:r>
    </w:p>
    <w:p w14:paraId="39B8F25E" w14:textId="77777777" w:rsidR="001C2F95" w:rsidRPr="00B6064E" w:rsidRDefault="001C2F95" w:rsidP="002378EA">
      <w:pPr>
        <w:pStyle w:val="Paragraphedeliste"/>
        <w:numPr>
          <w:ilvl w:val="0"/>
          <w:numId w:val="33"/>
        </w:numPr>
        <w:autoSpaceDE w:val="0"/>
        <w:autoSpaceDN w:val="0"/>
        <w:adjustRightInd w:val="0"/>
        <w:ind w:left="720"/>
        <w:rPr>
          <w:rFonts w:cs="Arial"/>
          <w:bCs/>
          <w:sz w:val="22"/>
        </w:rPr>
      </w:pPr>
      <w:r w:rsidRPr="00B6064E">
        <w:rPr>
          <w:rFonts w:eastAsia="Calibri" w:cs="Arial"/>
          <w:sz w:val="22"/>
        </w:rPr>
        <w:t xml:space="preserve">Annexes. </w:t>
      </w:r>
      <w:r w:rsidRPr="00B6064E">
        <w:rPr>
          <w:rFonts w:cs="Arial"/>
          <w:b/>
          <w:sz w:val="22"/>
        </w:rPr>
        <w:br w:type="page"/>
      </w:r>
    </w:p>
    <w:p w14:paraId="0736DE56" w14:textId="77777777" w:rsidR="001C2F95" w:rsidRPr="00AE6302" w:rsidRDefault="001C2F95" w:rsidP="001C2F95">
      <w:pPr>
        <w:pStyle w:val="Titre1"/>
        <w:numPr>
          <w:ilvl w:val="0"/>
          <w:numId w:val="4"/>
        </w:numPr>
        <w:ind w:left="567" w:hanging="283"/>
        <w:rPr>
          <w:rFonts w:cs="Arial"/>
          <w:sz w:val="22"/>
          <w:szCs w:val="22"/>
        </w:rPr>
      </w:pPr>
      <w:bookmarkStart w:id="188" w:name="_Toc44626798"/>
      <w:bookmarkStart w:id="189" w:name="_Toc70330342"/>
      <w:r w:rsidRPr="00AE6302">
        <w:rPr>
          <w:rFonts w:cs="Arial"/>
          <w:sz w:val="22"/>
          <w:szCs w:val="22"/>
        </w:rPr>
        <w:lastRenderedPageBreak/>
        <w:t>DESCRIPTION DU PROJET</w:t>
      </w:r>
      <w:bookmarkEnd w:id="188"/>
      <w:bookmarkEnd w:id="189"/>
    </w:p>
    <w:p w14:paraId="5EFC4914" w14:textId="77777777" w:rsidR="001C2F95" w:rsidRPr="00AE6302" w:rsidRDefault="001C2F95" w:rsidP="001C2F95">
      <w:pPr>
        <w:rPr>
          <w:rFonts w:cs="Arial"/>
          <w:sz w:val="22"/>
          <w:highlight w:val="yellow"/>
        </w:rPr>
      </w:pPr>
    </w:p>
    <w:p w14:paraId="0F8C7B2E" w14:textId="77777777" w:rsidR="001C2F95" w:rsidRPr="00AE6302" w:rsidRDefault="001C2F95" w:rsidP="001C2F95">
      <w:pPr>
        <w:pStyle w:val="Titre2"/>
        <w:numPr>
          <w:ilvl w:val="1"/>
          <w:numId w:val="4"/>
        </w:numPr>
        <w:ind w:left="851" w:hanging="425"/>
        <w:rPr>
          <w:rFonts w:cs="Arial"/>
          <w:b/>
          <w:sz w:val="22"/>
          <w:szCs w:val="22"/>
        </w:rPr>
      </w:pPr>
      <w:bookmarkStart w:id="190" w:name="_Toc44626799"/>
      <w:bookmarkStart w:id="191" w:name="_Toc70330343"/>
      <w:bookmarkStart w:id="192" w:name="_Toc500754643"/>
      <w:r w:rsidRPr="00AE6302">
        <w:rPr>
          <w:rFonts w:cs="Arial"/>
          <w:b/>
          <w:sz w:val="22"/>
          <w:szCs w:val="22"/>
        </w:rPr>
        <w:t>Objectif du Projet</w:t>
      </w:r>
      <w:bookmarkEnd w:id="190"/>
      <w:bookmarkEnd w:id="191"/>
    </w:p>
    <w:p w14:paraId="1B5E514E" w14:textId="77777777" w:rsidR="001C2F95" w:rsidRPr="00AE6302" w:rsidRDefault="001C2F95" w:rsidP="001C2F95">
      <w:pPr>
        <w:rPr>
          <w:rFonts w:cs="Arial"/>
          <w:sz w:val="22"/>
        </w:rPr>
      </w:pPr>
    </w:p>
    <w:p w14:paraId="0C61DCA7" w14:textId="77777777" w:rsidR="001C2F95" w:rsidRPr="00AE6302" w:rsidRDefault="001C2F95" w:rsidP="001C2F95">
      <w:pPr>
        <w:rPr>
          <w:rFonts w:cs="Arial"/>
          <w:sz w:val="22"/>
        </w:rPr>
      </w:pPr>
      <w:r w:rsidRPr="00AE6302">
        <w:rPr>
          <w:rFonts w:cs="Arial"/>
          <w:sz w:val="22"/>
        </w:rPr>
        <w:t xml:space="preserve">L’objectif du développement du Projet est d’améliorer la productivité agricole et l’accès au marché des petits exploitants agricoles dans des régions sélectionnées et renforcer la capacité du secteur à faire face aux situations d’urgence éligibles dans le secteur agricole. </w:t>
      </w:r>
    </w:p>
    <w:p w14:paraId="215AB8CE" w14:textId="77777777" w:rsidR="001C2F95" w:rsidRPr="00AE6302" w:rsidRDefault="001C2F95" w:rsidP="001C2F95">
      <w:pPr>
        <w:rPr>
          <w:rFonts w:cs="Arial"/>
          <w:sz w:val="22"/>
        </w:rPr>
      </w:pPr>
    </w:p>
    <w:p w14:paraId="30706AEA" w14:textId="77777777" w:rsidR="001C2F95" w:rsidRPr="00AE6302" w:rsidRDefault="001C2F95" w:rsidP="001C2F95">
      <w:pPr>
        <w:rPr>
          <w:rFonts w:cs="Arial"/>
          <w:sz w:val="22"/>
        </w:rPr>
      </w:pPr>
      <w:r w:rsidRPr="00AE6302">
        <w:rPr>
          <w:rFonts w:cs="Arial"/>
          <w:sz w:val="22"/>
        </w:rPr>
        <w:t>Les résultats attendus du PNDA sont :</w:t>
      </w:r>
    </w:p>
    <w:p w14:paraId="63C24FB3" w14:textId="77777777" w:rsidR="001C2F95" w:rsidRPr="00AE6302" w:rsidRDefault="001C2F95" w:rsidP="001C2F95">
      <w:pPr>
        <w:rPr>
          <w:rFonts w:cs="Arial"/>
          <w:sz w:val="22"/>
        </w:rPr>
      </w:pPr>
    </w:p>
    <w:p w14:paraId="307864D0" w14:textId="77777777" w:rsidR="001C2F95" w:rsidRPr="00AE6302" w:rsidRDefault="001C2F95" w:rsidP="002378EA">
      <w:pPr>
        <w:pStyle w:val="Paragraphedeliste"/>
        <w:numPr>
          <w:ilvl w:val="0"/>
          <w:numId w:val="33"/>
        </w:numPr>
        <w:tabs>
          <w:tab w:val="left" w:pos="426"/>
        </w:tabs>
        <w:rPr>
          <w:rFonts w:cs="Arial"/>
          <w:color w:val="222222"/>
          <w:sz w:val="22"/>
        </w:rPr>
      </w:pPr>
      <w:r w:rsidRPr="00AE6302">
        <w:rPr>
          <w:rFonts w:cs="Arial"/>
          <w:color w:val="222222"/>
          <w:sz w:val="22"/>
        </w:rPr>
        <w:t xml:space="preserve">Augmentation des ventes de produits agricoles et alimentaires par les petits exploitants agricoles (augmentation moyenne en pourcentage des ventes) ; </w:t>
      </w:r>
    </w:p>
    <w:p w14:paraId="15C050CA" w14:textId="77777777" w:rsidR="001C2F95" w:rsidRPr="00AE6302" w:rsidRDefault="001C2F95" w:rsidP="002378EA">
      <w:pPr>
        <w:pStyle w:val="Paragraphedeliste"/>
        <w:numPr>
          <w:ilvl w:val="0"/>
          <w:numId w:val="33"/>
        </w:numPr>
        <w:tabs>
          <w:tab w:val="left" w:pos="426"/>
        </w:tabs>
        <w:rPr>
          <w:rFonts w:cs="Arial"/>
          <w:color w:val="222222"/>
          <w:sz w:val="22"/>
        </w:rPr>
      </w:pPr>
      <w:r w:rsidRPr="00AE6302">
        <w:rPr>
          <w:rFonts w:cs="Arial"/>
          <w:color w:val="222222"/>
          <w:sz w:val="22"/>
        </w:rPr>
        <w:t xml:space="preserve">Nombre d’agriculteurs adoptant des technologies ou des pratiques agricoles améliorées (ventilés par genre). (Indicateur de base de Développement Durable : Des agriculteurs qui adoptent une technologie agricole améliorée) ; </w:t>
      </w:r>
    </w:p>
    <w:p w14:paraId="0DE804F7" w14:textId="77777777" w:rsidR="001C2F95" w:rsidRPr="00AE6302" w:rsidRDefault="001C2F95" w:rsidP="002378EA">
      <w:pPr>
        <w:pStyle w:val="Paragraphedeliste"/>
        <w:numPr>
          <w:ilvl w:val="0"/>
          <w:numId w:val="33"/>
        </w:numPr>
        <w:tabs>
          <w:tab w:val="left" w:pos="426"/>
        </w:tabs>
        <w:rPr>
          <w:rFonts w:cs="Arial"/>
          <w:color w:val="222222"/>
          <w:sz w:val="22"/>
        </w:rPr>
      </w:pPr>
      <w:r w:rsidRPr="00AE6302">
        <w:rPr>
          <w:rFonts w:cs="Arial"/>
          <w:color w:val="222222"/>
          <w:sz w:val="22"/>
        </w:rPr>
        <w:t xml:space="preserve">Augmentation du rendement à l’hectare, cultures indicatives sélectionnées (ventilées par genre). (Indicateur de base DD : Rendement saisonnier moyen par zone et type de cultures spécifiques chez les agriculteurs ciblés) ; </w:t>
      </w:r>
    </w:p>
    <w:p w14:paraId="19133852" w14:textId="77777777" w:rsidR="001C2F95" w:rsidRPr="00AE6302" w:rsidRDefault="001C2F95" w:rsidP="002378EA">
      <w:pPr>
        <w:pStyle w:val="Paragraphedeliste"/>
        <w:numPr>
          <w:ilvl w:val="0"/>
          <w:numId w:val="33"/>
        </w:numPr>
        <w:tabs>
          <w:tab w:val="left" w:pos="426"/>
        </w:tabs>
        <w:rPr>
          <w:rFonts w:cs="Arial"/>
          <w:color w:val="222222"/>
          <w:sz w:val="22"/>
        </w:rPr>
      </w:pPr>
      <w:r w:rsidRPr="00AE6302">
        <w:rPr>
          <w:rFonts w:cs="Arial"/>
          <w:color w:val="222222"/>
          <w:sz w:val="22"/>
        </w:rPr>
        <w:t>Réduction en pourcentage des taux de mortalité animale pour des animaux spécifiques dans les zones du programme.</w:t>
      </w:r>
    </w:p>
    <w:p w14:paraId="11646B4C" w14:textId="77777777" w:rsidR="001C2F95" w:rsidRPr="00AE6302" w:rsidRDefault="001C2F95" w:rsidP="001C2F95">
      <w:pPr>
        <w:rPr>
          <w:rFonts w:cs="Arial"/>
          <w:bCs/>
          <w:sz w:val="22"/>
        </w:rPr>
      </w:pPr>
    </w:p>
    <w:p w14:paraId="5474FD5A" w14:textId="77777777" w:rsidR="001C2F95" w:rsidRPr="00AE6302" w:rsidRDefault="001C2F95" w:rsidP="001C2F95">
      <w:pPr>
        <w:pStyle w:val="Titre2"/>
        <w:numPr>
          <w:ilvl w:val="1"/>
          <w:numId w:val="4"/>
        </w:numPr>
        <w:ind w:left="851" w:hanging="425"/>
        <w:rPr>
          <w:rFonts w:cs="Arial"/>
          <w:b/>
          <w:sz w:val="22"/>
          <w:szCs w:val="22"/>
        </w:rPr>
      </w:pPr>
      <w:bookmarkStart w:id="193" w:name="_Toc44626800"/>
      <w:bookmarkStart w:id="194" w:name="_Toc70330344"/>
      <w:r w:rsidRPr="00AE6302">
        <w:rPr>
          <w:rFonts w:cs="Arial"/>
          <w:b/>
          <w:sz w:val="22"/>
          <w:szCs w:val="22"/>
        </w:rPr>
        <w:t>Composantes du Projet</w:t>
      </w:r>
      <w:bookmarkEnd w:id="192"/>
      <w:bookmarkEnd w:id="193"/>
      <w:bookmarkEnd w:id="194"/>
    </w:p>
    <w:p w14:paraId="27284F1F" w14:textId="77777777" w:rsidR="001C2F95" w:rsidRPr="00AE6302" w:rsidRDefault="001C2F95" w:rsidP="001C2F95">
      <w:pPr>
        <w:pStyle w:val="Paragraphedeliste"/>
        <w:tabs>
          <w:tab w:val="left" w:pos="426"/>
        </w:tabs>
        <w:ind w:left="0"/>
        <w:rPr>
          <w:rFonts w:cs="Arial"/>
          <w:color w:val="222222"/>
          <w:sz w:val="22"/>
        </w:rPr>
      </w:pPr>
    </w:p>
    <w:p w14:paraId="5070218A" w14:textId="77777777" w:rsidR="001C2F95" w:rsidRPr="00AE6302" w:rsidRDefault="001C2F95" w:rsidP="001C2F95">
      <w:pPr>
        <w:pStyle w:val="Paragraphedeliste"/>
        <w:tabs>
          <w:tab w:val="left" w:pos="426"/>
        </w:tabs>
        <w:ind w:left="0"/>
        <w:rPr>
          <w:rFonts w:cs="Arial"/>
          <w:color w:val="222222"/>
          <w:sz w:val="22"/>
        </w:rPr>
      </w:pPr>
      <w:r w:rsidRPr="00AE6302">
        <w:rPr>
          <w:rFonts w:cs="Arial"/>
          <w:color w:val="222222"/>
          <w:sz w:val="22"/>
        </w:rPr>
        <w:t>Le Projet comprend quatre composantes ci-dessous.</w:t>
      </w:r>
    </w:p>
    <w:p w14:paraId="78C39DB2" w14:textId="77777777" w:rsidR="001C2F95" w:rsidRPr="00AE6302" w:rsidRDefault="001C2F95" w:rsidP="001C2F95">
      <w:pPr>
        <w:pStyle w:val="Paragraphedeliste"/>
        <w:tabs>
          <w:tab w:val="left" w:pos="426"/>
        </w:tabs>
        <w:ind w:left="0"/>
        <w:rPr>
          <w:rFonts w:cs="Arial"/>
          <w:color w:val="222222"/>
          <w:sz w:val="22"/>
        </w:rPr>
      </w:pPr>
    </w:p>
    <w:p w14:paraId="0385AB75" w14:textId="77777777" w:rsidR="001C2F95" w:rsidRPr="00AE6302" w:rsidRDefault="001C2F95" w:rsidP="002378EA">
      <w:pPr>
        <w:pStyle w:val="Paragraphedeliste"/>
        <w:numPr>
          <w:ilvl w:val="0"/>
          <w:numId w:val="42"/>
        </w:numPr>
        <w:tabs>
          <w:tab w:val="left" w:pos="426"/>
        </w:tabs>
        <w:rPr>
          <w:rFonts w:cs="Arial"/>
          <w:i/>
          <w:color w:val="222222"/>
          <w:sz w:val="22"/>
        </w:rPr>
      </w:pPr>
      <w:r w:rsidRPr="00AE6302">
        <w:rPr>
          <w:rFonts w:cs="Arial"/>
          <w:i/>
          <w:color w:val="222222"/>
          <w:sz w:val="22"/>
        </w:rPr>
        <w:t xml:space="preserve">Composante 1 : Productivité agricole </w:t>
      </w:r>
      <w:r w:rsidR="00F32DE7">
        <w:rPr>
          <w:rFonts w:cs="Arial"/>
          <w:i/>
          <w:color w:val="222222"/>
          <w:sz w:val="22"/>
        </w:rPr>
        <w:t>(estimation : 250 millions USD)</w:t>
      </w:r>
      <w:r w:rsidRPr="00AE6302">
        <w:rPr>
          <w:rFonts w:cs="Arial"/>
          <w:i/>
          <w:color w:val="222222"/>
          <w:sz w:val="22"/>
        </w:rPr>
        <w:t xml:space="preserve"> </w:t>
      </w:r>
    </w:p>
    <w:p w14:paraId="3A0F494C" w14:textId="77777777" w:rsidR="001C2F95" w:rsidRPr="00AE6302" w:rsidRDefault="001C2F95" w:rsidP="001C2F95">
      <w:pPr>
        <w:tabs>
          <w:tab w:val="left" w:pos="426"/>
        </w:tabs>
        <w:rPr>
          <w:rFonts w:cs="Arial"/>
          <w:color w:val="222222"/>
          <w:sz w:val="22"/>
        </w:rPr>
      </w:pPr>
    </w:p>
    <w:p w14:paraId="777BBF60" w14:textId="77777777" w:rsidR="001C2F95" w:rsidRDefault="001C2F95" w:rsidP="001C2F95">
      <w:pPr>
        <w:tabs>
          <w:tab w:val="left" w:pos="426"/>
        </w:tabs>
        <w:rPr>
          <w:rFonts w:cs="Arial"/>
          <w:color w:val="222222"/>
          <w:sz w:val="22"/>
        </w:rPr>
      </w:pPr>
      <w:r w:rsidRPr="00AE6302">
        <w:rPr>
          <w:rFonts w:cs="Arial"/>
          <w:color w:val="222222"/>
          <w:sz w:val="22"/>
        </w:rPr>
        <w:t xml:space="preserve">Cette composante appuiera l’augmentation de la productivité des petites exploitations agricoles (de cultures et de produits animaux) à travers l’adoption de technologies et de pratiques améliorées et l’accès au financement. </w:t>
      </w:r>
    </w:p>
    <w:p w14:paraId="6169ACC0" w14:textId="77777777" w:rsidR="001C2F95" w:rsidRPr="00AE6302" w:rsidRDefault="001C2F95" w:rsidP="001C2F95">
      <w:pPr>
        <w:tabs>
          <w:tab w:val="left" w:pos="426"/>
        </w:tabs>
        <w:rPr>
          <w:rFonts w:cs="Arial"/>
          <w:color w:val="222222"/>
          <w:sz w:val="22"/>
        </w:rPr>
      </w:pPr>
    </w:p>
    <w:p w14:paraId="2E152ABA" w14:textId="77777777" w:rsidR="001C2F95" w:rsidRPr="00AE6302" w:rsidRDefault="001C2F95" w:rsidP="002378EA">
      <w:pPr>
        <w:pStyle w:val="Paragraphedeliste"/>
        <w:numPr>
          <w:ilvl w:val="0"/>
          <w:numId w:val="33"/>
        </w:numPr>
        <w:tabs>
          <w:tab w:val="left" w:pos="426"/>
        </w:tabs>
        <w:rPr>
          <w:rFonts w:cs="Arial"/>
          <w:i/>
          <w:color w:val="222222"/>
          <w:sz w:val="22"/>
        </w:rPr>
      </w:pPr>
      <w:r w:rsidRPr="00AE6302">
        <w:rPr>
          <w:rFonts w:cs="Arial"/>
          <w:i/>
          <w:color w:val="222222"/>
          <w:sz w:val="22"/>
        </w:rPr>
        <w:t xml:space="preserve">Sous-composante 1.1 : Soutien direct aux petits exploitants  </w:t>
      </w:r>
      <w:r w:rsidR="00F32DE7" w:rsidRPr="00AD636A">
        <w:rPr>
          <w:i/>
          <w:color w:val="000000"/>
          <w:szCs w:val="24"/>
        </w:rPr>
        <w:t>(estimation : 240 millions USD).</w:t>
      </w:r>
    </w:p>
    <w:p w14:paraId="7D14E766" w14:textId="77777777" w:rsidR="001C2F95" w:rsidRPr="00AE6302" w:rsidRDefault="001C2F95" w:rsidP="001C2F95">
      <w:pPr>
        <w:tabs>
          <w:tab w:val="left" w:pos="426"/>
        </w:tabs>
        <w:rPr>
          <w:rFonts w:cs="Arial"/>
          <w:color w:val="222222"/>
          <w:sz w:val="22"/>
        </w:rPr>
      </w:pPr>
    </w:p>
    <w:p w14:paraId="25FE3F59" w14:textId="77777777" w:rsidR="001C2F95" w:rsidRPr="00AE6302" w:rsidRDefault="001C2F95" w:rsidP="001C2F95">
      <w:pPr>
        <w:tabs>
          <w:tab w:val="left" w:pos="426"/>
        </w:tabs>
        <w:rPr>
          <w:rFonts w:cs="Arial"/>
          <w:color w:val="222222"/>
          <w:sz w:val="22"/>
        </w:rPr>
      </w:pPr>
      <w:r w:rsidRPr="00AE6302">
        <w:rPr>
          <w:rFonts w:cs="Arial"/>
          <w:color w:val="222222"/>
          <w:sz w:val="22"/>
        </w:rPr>
        <w:t xml:space="preserve">Cette sous-composante financera l’aide directe aux petits exploitants agricoles pour l’adoption des pratiques, technologies et intrants CSA (agriculture intelligente face au climat) et AIN (agriculture intelligente face à la nutrition) (semences, plants, races animales, services de conseil et de vulgarisation). Le processus d’admission utilisera un registre d’agriculteurs qui sera mis en place dans les zones/régions où aucun registre de ce type n’existe encore. </w:t>
      </w:r>
    </w:p>
    <w:p w14:paraId="25D10696" w14:textId="77777777" w:rsidR="001C2F95" w:rsidRPr="00AE6302" w:rsidRDefault="001C2F95" w:rsidP="001C2F95">
      <w:pPr>
        <w:pStyle w:val="Paragraphedeliste"/>
        <w:tabs>
          <w:tab w:val="left" w:pos="426"/>
        </w:tabs>
        <w:ind w:left="0"/>
        <w:rPr>
          <w:rFonts w:cs="Arial"/>
          <w:i/>
          <w:color w:val="222222"/>
          <w:sz w:val="22"/>
        </w:rPr>
      </w:pPr>
    </w:p>
    <w:p w14:paraId="5EF66662" w14:textId="77777777" w:rsidR="001C2F95" w:rsidRPr="00AE6302" w:rsidRDefault="001C2F95" w:rsidP="002378EA">
      <w:pPr>
        <w:pStyle w:val="Paragraphedeliste"/>
        <w:numPr>
          <w:ilvl w:val="0"/>
          <w:numId w:val="33"/>
        </w:numPr>
        <w:tabs>
          <w:tab w:val="left" w:pos="426"/>
        </w:tabs>
        <w:rPr>
          <w:rFonts w:cs="Arial"/>
          <w:i/>
          <w:color w:val="222222"/>
          <w:sz w:val="22"/>
        </w:rPr>
      </w:pPr>
      <w:r w:rsidRPr="00AE6302">
        <w:rPr>
          <w:rFonts w:cs="Arial"/>
          <w:i/>
          <w:color w:val="222222"/>
          <w:sz w:val="22"/>
        </w:rPr>
        <w:t xml:space="preserve">Sous-composante 1.2 : Assistance technique et accès financier aux petits exploitants </w:t>
      </w:r>
      <w:r w:rsidR="00F32DE7" w:rsidRPr="00AD636A">
        <w:rPr>
          <w:i/>
          <w:color w:val="000000"/>
          <w:szCs w:val="24"/>
        </w:rPr>
        <w:t>(estimation : environ 10 millions USD).</w:t>
      </w:r>
    </w:p>
    <w:p w14:paraId="2DC298CA" w14:textId="77777777" w:rsidR="001C2F95" w:rsidRPr="00AE6302" w:rsidRDefault="001C2F95" w:rsidP="001C2F95">
      <w:pPr>
        <w:pStyle w:val="Paragraphedeliste"/>
        <w:tabs>
          <w:tab w:val="left" w:pos="426"/>
        </w:tabs>
        <w:ind w:left="0"/>
        <w:rPr>
          <w:rFonts w:cs="Arial"/>
          <w:color w:val="222222"/>
          <w:sz w:val="22"/>
        </w:rPr>
      </w:pPr>
    </w:p>
    <w:p w14:paraId="1D6C5966" w14:textId="77777777" w:rsidR="00F32DE7" w:rsidRDefault="001C2F95" w:rsidP="001C2F95">
      <w:pPr>
        <w:pStyle w:val="Paragraphedeliste"/>
        <w:tabs>
          <w:tab w:val="left" w:pos="426"/>
        </w:tabs>
        <w:ind w:left="0"/>
        <w:rPr>
          <w:rFonts w:cs="Arial"/>
          <w:color w:val="222222"/>
          <w:sz w:val="22"/>
        </w:rPr>
      </w:pPr>
      <w:r w:rsidRPr="00AE6302">
        <w:rPr>
          <w:rFonts w:cs="Arial"/>
          <w:color w:val="222222"/>
          <w:sz w:val="22"/>
        </w:rPr>
        <w:t xml:space="preserve">Cette Sous-composante traitera de l’accès à l’assistance technique et aux services financiers liés à la mise en œuvre de l’investissement afin de promouvoir de meilleures pratiques et d’améliorer la productivité des petits exploitants. </w:t>
      </w:r>
    </w:p>
    <w:p w14:paraId="60AE53A0" w14:textId="77777777" w:rsidR="00F32DE7" w:rsidRDefault="00F32DE7" w:rsidP="001C2F95">
      <w:pPr>
        <w:pStyle w:val="Paragraphedeliste"/>
        <w:tabs>
          <w:tab w:val="left" w:pos="426"/>
        </w:tabs>
        <w:ind w:left="0"/>
        <w:rPr>
          <w:rFonts w:cs="Arial"/>
          <w:color w:val="222222"/>
          <w:sz w:val="22"/>
        </w:rPr>
      </w:pPr>
    </w:p>
    <w:p w14:paraId="1ACB1C76" w14:textId="77777777" w:rsidR="001C2F95" w:rsidRPr="00AE6302" w:rsidRDefault="001C2F95" w:rsidP="001C2F95">
      <w:pPr>
        <w:rPr>
          <w:rFonts w:cs="Arial"/>
          <w:sz w:val="22"/>
        </w:rPr>
      </w:pPr>
    </w:p>
    <w:p w14:paraId="7D0F8D97" w14:textId="77777777" w:rsidR="001C2F95" w:rsidRPr="00AE6302" w:rsidRDefault="001C2F95" w:rsidP="002378EA">
      <w:pPr>
        <w:pStyle w:val="Paragraphedeliste"/>
        <w:numPr>
          <w:ilvl w:val="0"/>
          <w:numId w:val="42"/>
        </w:numPr>
        <w:tabs>
          <w:tab w:val="left" w:pos="426"/>
        </w:tabs>
        <w:rPr>
          <w:rFonts w:cs="Arial"/>
          <w:i/>
          <w:color w:val="222222"/>
          <w:sz w:val="22"/>
        </w:rPr>
      </w:pPr>
      <w:r w:rsidRPr="00AE6302">
        <w:rPr>
          <w:rFonts w:cs="Arial"/>
          <w:i/>
          <w:color w:val="222222"/>
          <w:sz w:val="22"/>
        </w:rPr>
        <w:lastRenderedPageBreak/>
        <w:t xml:space="preserve">Composante 2 : Accès au marché des petits exploitants </w:t>
      </w:r>
      <w:r w:rsidR="00F32DE7" w:rsidRPr="00744484">
        <w:rPr>
          <w:color w:val="000000"/>
        </w:rPr>
        <w:t>(estimation : 150 millions USD)</w:t>
      </w:r>
    </w:p>
    <w:p w14:paraId="58B7D8EF" w14:textId="77777777" w:rsidR="001C2F95" w:rsidRPr="00AE6302" w:rsidRDefault="001C2F95" w:rsidP="001C2F95">
      <w:pPr>
        <w:rPr>
          <w:rFonts w:cs="Arial"/>
          <w:sz w:val="22"/>
        </w:rPr>
      </w:pPr>
      <w:r w:rsidRPr="00AE6302">
        <w:rPr>
          <w:rFonts w:cs="Arial"/>
          <w:sz w:val="22"/>
        </w:rPr>
        <w:t xml:space="preserve"> </w:t>
      </w:r>
    </w:p>
    <w:p w14:paraId="200A2510" w14:textId="77777777" w:rsidR="00F32DE7" w:rsidRPr="00AE6302" w:rsidRDefault="001C2F95" w:rsidP="001C2F95">
      <w:pPr>
        <w:rPr>
          <w:rFonts w:cs="Arial"/>
          <w:sz w:val="22"/>
        </w:rPr>
      </w:pPr>
      <w:r w:rsidRPr="00AE6302">
        <w:rPr>
          <w:rFonts w:cs="Arial"/>
          <w:sz w:val="22"/>
        </w:rPr>
        <w:t xml:space="preserve">Cette composante appuiera la réduction des coûts de transaction pour les petits exploitants agricoles pour accéder aux marchés, ainsi que leur inclusion dans les groupes d’agriculteurs (coopératives/associations) et les agro-MPME. Les interventions soutenues dans cette composante seront également bénéfiques pour l’adaptation/l’atténuation des changements climatiques et/ou pour la contribution à la réduction de la malnutrition. La composante se concentrera sur les deux domaines suivants : </w:t>
      </w:r>
    </w:p>
    <w:p w14:paraId="403CA14B" w14:textId="77777777" w:rsidR="001C2F95" w:rsidRPr="00AE6302" w:rsidRDefault="001C2F95" w:rsidP="001C2F95">
      <w:pPr>
        <w:rPr>
          <w:rFonts w:cs="Arial"/>
          <w:sz w:val="22"/>
        </w:rPr>
      </w:pPr>
    </w:p>
    <w:p w14:paraId="710482D9" w14:textId="77777777" w:rsidR="001C2F95" w:rsidRPr="00AE6302" w:rsidRDefault="001C2F95" w:rsidP="002378EA">
      <w:pPr>
        <w:pStyle w:val="Paragraphedeliste"/>
        <w:numPr>
          <w:ilvl w:val="0"/>
          <w:numId w:val="33"/>
        </w:numPr>
        <w:rPr>
          <w:rFonts w:cs="Arial"/>
          <w:i/>
          <w:sz w:val="22"/>
        </w:rPr>
      </w:pPr>
      <w:r w:rsidRPr="00AE6302">
        <w:rPr>
          <w:rFonts w:cs="Arial"/>
          <w:i/>
          <w:sz w:val="22"/>
        </w:rPr>
        <w:t xml:space="preserve">Sous-composante 2.1 : Infrastructures rurales </w:t>
      </w:r>
      <w:r w:rsidR="00744484" w:rsidRPr="00497D66">
        <w:rPr>
          <w:i/>
          <w:color w:val="000000"/>
          <w:szCs w:val="24"/>
        </w:rPr>
        <w:t>(estimation : 110 millions USD</w:t>
      </w:r>
      <w:r w:rsidR="00744484" w:rsidRPr="00497D66">
        <w:rPr>
          <w:color w:val="000000"/>
          <w:szCs w:val="24"/>
        </w:rPr>
        <w:t>).</w:t>
      </w:r>
    </w:p>
    <w:p w14:paraId="551CBF68" w14:textId="77777777" w:rsidR="001C2F95" w:rsidRPr="00AE6302" w:rsidRDefault="001C2F95" w:rsidP="001C2F95">
      <w:pPr>
        <w:rPr>
          <w:rFonts w:cs="Arial"/>
          <w:sz w:val="22"/>
        </w:rPr>
      </w:pPr>
    </w:p>
    <w:p w14:paraId="4AE7ED4B" w14:textId="77777777" w:rsidR="001C2F95" w:rsidRPr="00AE6302" w:rsidRDefault="001C2F95" w:rsidP="00D42235">
      <w:pPr>
        <w:rPr>
          <w:rFonts w:cs="Arial"/>
          <w:sz w:val="22"/>
        </w:rPr>
      </w:pPr>
      <w:r w:rsidRPr="00AE6302">
        <w:rPr>
          <w:rFonts w:cs="Arial"/>
          <w:sz w:val="22"/>
        </w:rPr>
        <w:t>Le programme visera principalement à améliorer les routes rurales et les corridors de transport prioritaires (y compris les mesures de sécurité fluviale et les sites de lancement dans les voies navigables, afin de libérer le potentiel de production et de commerce des petits exploitants agricoles dans la zone du projet</w:t>
      </w:r>
      <w:r w:rsidR="00744484">
        <w:rPr>
          <w:rFonts w:cs="Arial"/>
          <w:sz w:val="22"/>
        </w:rPr>
        <w:t>.</w:t>
      </w:r>
      <w:r w:rsidRPr="00AE6302">
        <w:rPr>
          <w:rFonts w:cs="Arial"/>
          <w:sz w:val="22"/>
        </w:rPr>
        <w:t xml:space="preserve"> </w:t>
      </w:r>
    </w:p>
    <w:p w14:paraId="3E874165" w14:textId="77777777" w:rsidR="001C2F95" w:rsidRPr="00AE6302" w:rsidRDefault="001C2F95" w:rsidP="001C2F95">
      <w:pPr>
        <w:rPr>
          <w:rFonts w:cs="Arial"/>
          <w:sz w:val="22"/>
        </w:rPr>
      </w:pPr>
    </w:p>
    <w:p w14:paraId="65E48FCA" w14:textId="77777777" w:rsidR="001C2F95" w:rsidRPr="00AE6302" w:rsidRDefault="001C2F95" w:rsidP="002378EA">
      <w:pPr>
        <w:pStyle w:val="Paragraphedeliste"/>
        <w:numPr>
          <w:ilvl w:val="0"/>
          <w:numId w:val="33"/>
        </w:numPr>
        <w:rPr>
          <w:rFonts w:cs="Arial"/>
          <w:i/>
          <w:sz w:val="22"/>
        </w:rPr>
      </w:pPr>
      <w:r w:rsidRPr="00AE6302">
        <w:rPr>
          <w:rFonts w:cs="Arial"/>
          <w:i/>
          <w:sz w:val="22"/>
        </w:rPr>
        <w:t xml:space="preserve">Sous-composante 2.2 : Soutien à l’inclusion des petits exploitants dans les chaînes de valeur </w:t>
      </w:r>
      <w:r w:rsidR="00744484" w:rsidRPr="00CE1AFE">
        <w:rPr>
          <w:i/>
          <w:color w:val="000000"/>
          <w:szCs w:val="24"/>
        </w:rPr>
        <w:t>(estimation : 40 millions USD).</w:t>
      </w:r>
    </w:p>
    <w:p w14:paraId="0C6D18E5" w14:textId="77777777" w:rsidR="001C2F95" w:rsidRPr="00AE6302" w:rsidRDefault="001C2F95" w:rsidP="001C2F95">
      <w:pPr>
        <w:rPr>
          <w:rFonts w:cs="Arial"/>
          <w:sz w:val="22"/>
        </w:rPr>
      </w:pPr>
    </w:p>
    <w:p w14:paraId="5060BADE" w14:textId="77777777" w:rsidR="00744484" w:rsidRDefault="001C2F95" w:rsidP="001C2F95">
      <w:pPr>
        <w:rPr>
          <w:rFonts w:cs="Arial"/>
          <w:sz w:val="22"/>
        </w:rPr>
      </w:pPr>
      <w:r w:rsidRPr="00AE6302">
        <w:rPr>
          <w:rFonts w:cs="Arial"/>
          <w:sz w:val="22"/>
        </w:rPr>
        <w:t xml:space="preserve">Le programme fournira des subventions de contrepartie basées sur une approche axée sur la demande aux groupes de petits exploitants agricoles (coopératives/associations) et aux agro-MPME qui travailleront avec les petits exploitants agricoles bénéficiaires de la sous-composante 1.1. </w:t>
      </w:r>
    </w:p>
    <w:p w14:paraId="29EDC0E6" w14:textId="77777777" w:rsidR="001C2F95" w:rsidRPr="00AE6302" w:rsidRDefault="001C2F95" w:rsidP="001C2F95">
      <w:pPr>
        <w:rPr>
          <w:rFonts w:cs="Arial"/>
          <w:sz w:val="22"/>
        </w:rPr>
      </w:pPr>
    </w:p>
    <w:p w14:paraId="210E00C3" w14:textId="77777777" w:rsidR="001C2F95" w:rsidRPr="00AE6302" w:rsidRDefault="001C2F95" w:rsidP="002378EA">
      <w:pPr>
        <w:pStyle w:val="Paragraphedeliste"/>
        <w:numPr>
          <w:ilvl w:val="0"/>
          <w:numId w:val="42"/>
        </w:numPr>
        <w:tabs>
          <w:tab w:val="left" w:pos="426"/>
        </w:tabs>
        <w:rPr>
          <w:rFonts w:cs="Arial"/>
          <w:i/>
          <w:color w:val="222222"/>
          <w:sz w:val="22"/>
        </w:rPr>
      </w:pPr>
      <w:r w:rsidRPr="00AE6302">
        <w:rPr>
          <w:rFonts w:cs="Arial"/>
          <w:i/>
          <w:color w:val="222222"/>
          <w:sz w:val="22"/>
        </w:rPr>
        <w:t xml:space="preserve">Composante 3 : Biens et services publics agricoles </w:t>
      </w:r>
      <w:r w:rsidR="00744484" w:rsidRPr="00EB7F94">
        <w:rPr>
          <w:i/>
          <w:color w:val="000000"/>
          <w:szCs w:val="24"/>
        </w:rPr>
        <w:t>(estimation : 80 millions USD)</w:t>
      </w:r>
    </w:p>
    <w:p w14:paraId="313FFE13" w14:textId="77777777" w:rsidR="001C2F95" w:rsidRPr="00AE6302" w:rsidRDefault="001C2F95" w:rsidP="001C2F95">
      <w:pPr>
        <w:rPr>
          <w:rFonts w:cs="Arial"/>
          <w:sz w:val="22"/>
        </w:rPr>
      </w:pPr>
    </w:p>
    <w:p w14:paraId="7F02F272" w14:textId="77777777" w:rsidR="00744484" w:rsidRPr="00AE6302" w:rsidRDefault="001C2F95" w:rsidP="001C2F95">
      <w:pPr>
        <w:rPr>
          <w:rFonts w:cs="Arial"/>
          <w:sz w:val="22"/>
        </w:rPr>
      </w:pPr>
      <w:r w:rsidRPr="00AE6302">
        <w:rPr>
          <w:rFonts w:cs="Arial"/>
          <w:sz w:val="22"/>
        </w:rPr>
        <w:t xml:space="preserve">Cette composante englobe les activités suivantes : </w:t>
      </w:r>
      <w:r w:rsidRPr="00AE6302">
        <w:rPr>
          <w:rFonts w:cs="Arial"/>
          <w:i/>
          <w:sz w:val="22"/>
        </w:rPr>
        <w:t>(i)</w:t>
      </w:r>
      <w:r w:rsidRPr="00AE6302">
        <w:rPr>
          <w:rFonts w:cs="Arial"/>
          <w:sz w:val="22"/>
        </w:rPr>
        <w:t xml:space="preserve"> le renforcement des capacités des ministères clés (tels que de l’Agriculture, Pêche et Élevage, des Affaires Foncières et du Développement Rural) aux niveaux national et provincial en vue de la fourniture de biens et services publics essentiels à l’agriculture ; et </w:t>
      </w:r>
      <w:r w:rsidRPr="00AE6302">
        <w:rPr>
          <w:rFonts w:cs="Arial"/>
          <w:i/>
          <w:sz w:val="22"/>
        </w:rPr>
        <w:t>(ii)</w:t>
      </w:r>
      <w:r w:rsidRPr="00AE6302">
        <w:rPr>
          <w:rFonts w:cs="Arial"/>
          <w:sz w:val="22"/>
        </w:rPr>
        <w:t xml:space="preserve"> la gestion, le suivi et l’évaluation du programme. </w:t>
      </w:r>
    </w:p>
    <w:p w14:paraId="2F1BED8F" w14:textId="77777777" w:rsidR="001C2F95" w:rsidRPr="00AE6302" w:rsidRDefault="001C2F95" w:rsidP="001C2F95">
      <w:pPr>
        <w:rPr>
          <w:rFonts w:cs="Arial"/>
          <w:sz w:val="22"/>
        </w:rPr>
      </w:pPr>
    </w:p>
    <w:p w14:paraId="5D756163" w14:textId="77777777" w:rsidR="001C2F95" w:rsidRPr="00AE6302" w:rsidRDefault="001C2F95" w:rsidP="002378EA">
      <w:pPr>
        <w:pStyle w:val="Paragraphedeliste"/>
        <w:numPr>
          <w:ilvl w:val="0"/>
          <w:numId w:val="33"/>
        </w:numPr>
        <w:rPr>
          <w:rFonts w:cs="Arial"/>
          <w:i/>
          <w:sz w:val="22"/>
        </w:rPr>
      </w:pPr>
      <w:r w:rsidRPr="00AE6302">
        <w:rPr>
          <w:rFonts w:cs="Arial"/>
          <w:i/>
          <w:sz w:val="22"/>
        </w:rPr>
        <w:t xml:space="preserve">Sous-composante 3.1 : Renforcement des capacités pour la fourniture de services publics agricoles </w:t>
      </w:r>
      <w:r w:rsidR="00744484" w:rsidRPr="004079F7">
        <w:rPr>
          <w:i/>
          <w:color w:val="000000"/>
          <w:szCs w:val="24"/>
        </w:rPr>
        <w:t>(estimation : 30 millions USD)</w:t>
      </w:r>
      <w:r w:rsidR="00744484" w:rsidRPr="004079F7">
        <w:rPr>
          <w:color w:val="000000"/>
          <w:szCs w:val="24"/>
        </w:rPr>
        <w:t>.</w:t>
      </w:r>
    </w:p>
    <w:p w14:paraId="7B25F604" w14:textId="77777777" w:rsidR="001C2F95" w:rsidRPr="00AE6302" w:rsidRDefault="001C2F95" w:rsidP="001C2F95">
      <w:pPr>
        <w:rPr>
          <w:rFonts w:cs="Arial"/>
          <w:sz w:val="22"/>
        </w:rPr>
      </w:pPr>
    </w:p>
    <w:p w14:paraId="7A5BFC99" w14:textId="77777777" w:rsidR="00744484" w:rsidRPr="00EB7F94" w:rsidRDefault="001C2F95" w:rsidP="00EB7F94">
      <w:pPr>
        <w:pStyle w:val="Paragraphedeliste"/>
        <w:ind w:left="786"/>
        <w:rPr>
          <w:i/>
          <w:color w:val="000000"/>
          <w:szCs w:val="24"/>
        </w:rPr>
      </w:pPr>
      <w:r w:rsidRPr="00AE6302">
        <w:rPr>
          <w:rFonts w:cs="Arial"/>
          <w:i/>
          <w:sz w:val="22"/>
        </w:rPr>
        <w:t xml:space="preserve">Sous-composante 3.2 : Gestion, suivi et évaluation du programme </w:t>
      </w:r>
      <w:r w:rsidR="00744484" w:rsidRPr="00EB7F94">
        <w:rPr>
          <w:i/>
          <w:color w:val="000000"/>
          <w:szCs w:val="24"/>
        </w:rPr>
        <w:t>(Estimation : 50 millions USD environ).</w:t>
      </w:r>
    </w:p>
    <w:p w14:paraId="35F6713E" w14:textId="77777777" w:rsidR="001C2F95" w:rsidRPr="00AE6302" w:rsidRDefault="001C2F95" w:rsidP="001C2F95">
      <w:pPr>
        <w:rPr>
          <w:rFonts w:cs="Arial"/>
          <w:sz w:val="22"/>
        </w:rPr>
      </w:pPr>
    </w:p>
    <w:p w14:paraId="4A633482" w14:textId="77777777" w:rsidR="001C2F95" w:rsidRPr="00AE6302" w:rsidRDefault="001C2F95" w:rsidP="002378EA">
      <w:pPr>
        <w:pStyle w:val="Paragraphedeliste"/>
        <w:numPr>
          <w:ilvl w:val="0"/>
          <w:numId w:val="42"/>
        </w:numPr>
        <w:tabs>
          <w:tab w:val="left" w:pos="426"/>
        </w:tabs>
        <w:rPr>
          <w:rFonts w:cs="Arial"/>
          <w:i/>
          <w:color w:val="222222"/>
          <w:sz w:val="22"/>
        </w:rPr>
      </w:pPr>
      <w:r w:rsidRPr="00AE6302">
        <w:rPr>
          <w:rFonts w:cs="Arial"/>
          <w:i/>
          <w:color w:val="222222"/>
          <w:sz w:val="22"/>
        </w:rPr>
        <w:t xml:space="preserve">Composante 4 : Intervention d’urgence agricole </w:t>
      </w:r>
      <w:r w:rsidR="00CC7241" w:rsidRPr="00EB7F94">
        <w:rPr>
          <w:color w:val="000000"/>
        </w:rPr>
        <w:t>(estimation : 20 millions USD)</w:t>
      </w:r>
    </w:p>
    <w:p w14:paraId="5AE24906" w14:textId="77777777" w:rsidR="00D20A53" w:rsidRDefault="00D20A53" w:rsidP="001C2F95">
      <w:pPr>
        <w:rPr>
          <w:rFonts w:cs="Arial"/>
          <w:sz w:val="22"/>
        </w:rPr>
      </w:pPr>
    </w:p>
    <w:p w14:paraId="3618574D" w14:textId="77777777" w:rsidR="001C2F95" w:rsidRPr="00AE6302" w:rsidRDefault="001C2F95" w:rsidP="001C2F95">
      <w:pPr>
        <w:rPr>
          <w:rFonts w:cs="Arial"/>
          <w:sz w:val="22"/>
        </w:rPr>
      </w:pPr>
      <w:r w:rsidRPr="00AE6302">
        <w:rPr>
          <w:rFonts w:cs="Arial"/>
          <w:sz w:val="22"/>
        </w:rPr>
        <w:t>Cette composante est une composante d’intervention en cas d’urgence qui financera des activités de renforcement des capacités et des instruments de financement des risques afin de permettre une réaction rapide en cas de situation d’urgence dans le secteur de l’agriculture, définie comme « </w:t>
      </w:r>
      <w:r w:rsidRPr="00AE6302">
        <w:rPr>
          <w:rFonts w:cs="Arial"/>
          <w:i/>
          <w:sz w:val="22"/>
        </w:rPr>
        <w:t>un événement ayant provoqué ou susceptible de provoquer de manière imminente un impact économique et/ou social défavorable majeur associé à des crises ou à des catastrophes naturelles ou d’origine humaine</w:t>
      </w:r>
      <w:r w:rsidRPr="00AE6302">
        <w:rPr>
          <w:rFonts w:cs="Arial"/>
          <w:sz w:val="22"/>
        </w:rPr>
        <w:t xml:space="preserve"> ». Ces événements peuvent inclure des parasites ou des épidémies de maladies chez les végétaux et les animaux. Les dispositions de la Politique de l’IPF, paragraphes 12-14, concernant « Les projets dans des situations de </w:t>
      </w:r>
      <w:r w:rsidRPr="00AE6302">
        <w:rPr>
          <w:rFonts w:cs="Arial"/>
          <w:sz w:val="22"/>
        </w:rPr>
        <w:lastRenderedPageBreak/>
        <w:t>besoin urgent d’assistance ou de contraintes de capacité » s’appliquent à cette composante. Un manuel spécifique à cette composante sera élaboré lors de la préparation du projet et fera partie du manuel d’opérations du programme dans son ensemble. Il identifiera les mécanismes de réponse ex ante et la stratégie de financement des risques à utiliser pour les principaux risques agricoles auxquels sont exposés les petits exploitants dans les régions du programme. Il conservera également une souplesse suffisante pour faire face aux imprévus et la capacité de réagir aux urgences du secteur agricole à travers le pays.</w:t>
      </w:r>
    </w:p>
    <w:p w14:paraId="5EDA02EE" w14:textId="77777777" w:rsidR="001C2F95" w:rsidRPr="00AE6302" w:rsidRDefault="001C2F95" w:rsidP="001C2F95">
      <w:pPr>
        <w:pStyle w:val="Titre3"/>
        <w:keepLines w:val="0"/>
        <w:spacing w:line="240" w:lineRule="auto"/>
        <w:ind w:left="1985" w:hanging="1985"/>
        <w:rPr>
          <w:rFonts w:cs="Arial"/>
          <w:sz w:val="22"/>
          <w:szCs w:val="22"/>
        </w:rPr>
      </w:pPr>
    </w:p>
    <w:p w14:paraId="6CAF5C1E" w14:textId="77777777" w:rsidR="001C2F95" w:rsidRPr="00AE6302" w:rsidRDefault="001C2F95" w:rsidP="001C2F95">
      <w:pPr>
        <w:rPr>
          <w:rFonts w:cs="Arial"/>
          <w:i/>
          <w:sz w:val="22"/>
        </w:rPr>
      </w:pPr>
      <w:r w:rsidRPr="00AE6302">
        <w:rPr>
          <w:rFonts w:cs="Arial"/>
          <w:i/>
          <w:sz w:val="22"/>
        </w:rPr>
        <w:t>Intervention d’urgence agricole (CERC) du Cadre de Gestion Environnementale e</w:t>
      </w:r>
      <w:r w:rsidR="00643A1E">
        <w:rPr>
          <w:rFonts w:cs="Arial"/>
          <w:i/>
          <w:sz w:val="22"/>
        </w:rPr>
        <w:t>t</w:t>
      </w:r>
      <w:r w:rsidRPr="00AE6302">
        <w:rPr>
          <w:rFonts w:cs="Arial"/>
          <w:i/>
          <w:sz w:val="22"/>
        </w:rPr>
        <w:t xml:space="preserve"> Sociale du PNDA</w:t>
      </w:r>
    </w:p>
    <w:p w14:paraId="1E6DEE2D" w14:textId="77777777" w:rsidR="001C2F95" w:rsidRPr="00AE6302" w:rsidRDefault="001C2F95" w:rsidP="001C2F95">
      <w:pPr>
        <w:jc w:val="left"/>
        <w:rPr>
          <w:rFonts w:cs="Arial"/>
          <w:color w:val="000000"/>
          <w:sz w:val="22"/>
        </w:rPr>
      </w:pPr>
    </w:p>
    <w:p w14:paraId="7A56F0D0" w14:textId="77777777" w:rsidR="001C2F95" w:rsidRPr="00AE6302" w:rsidRDefault="001C2F95" w:rsidP="001C2F95">
      <w:pPr>
        <w:rPr>
          <w:rFonts w:cs="Arial"/>
          <w:color w:val="000000"/>
          <w:sz w:val="22"/>
        </w:rPr>
      </w:pPr>
      <w:r w:rsidRPr="00AE6302">
        <w:rPr>
          <w:rFonts w:cs="Arial"/>
          <w:color w:val="000000"/>
          <w:sz w:val="22"/>
        </w:rPr>
        <w:t xml:space="preserve">Cette section concerne la Composante 4 : Intervention d’urgence agricole (CERC). Elle est une Composante d’intervention en cas d’urgence qui financera des activités de renforcement des capacités et des instruments de financement des risques afin de permettre une réaction rapide en cas de situation d’urgence dans le secteur de l’agriculture, définie comme « un événement ayant provoqué ou susceptible de provoquer de manière imminente un impact économique et/ou social défavorable majeur associé à des crises ou à des catastrophes naturelles ou d’origine humaine. </w:t>
      </w:r>
    </w:p>
    <w:p w14:paraId="74614BCD" w14:textId="77777777" w:rsidR="001C2F95" w:rsidRPr="00AE6302" w:rsidRDefault="001C2F95" w:rsidP="001C2F95">
      <w:pPr>
        <w:rPr>
          <w:rFonts w:cs="Arial"/>
          <w:color w:val="000000"/>
          <w:sz w:val="22"/>
        </w:rPr>
      </w:pPr>
    </w:p>
    <w:p w14:paraId="53A5FB92" w14:textId="77777777" w:rsidR="001C2F95" w:rsidRPr="00AE6302" w:rsidRDefault="001C2F95" w:rsidP="001C2F95">
      <w:pPr>
        <w:rPr>
          <w:rFonts w:cs="Arial"/>
          <w:color w:val="000000"/>
          <w:sz w:val="22"/>
        </w:rPr>
      </w:pPr>
      <w:r w:rsidRPr="00AE6302">
        <w:rPr>
          <w:rFonts w:cs="Arial"/>
          <w:color w:val="000000"/>
          <w:sz w:val="22"/>
        </w:rPr>
        <w:t xml:space="preserve">Il décrit des informations supplémentaires sur les exigences environnementales et de sauvegarde sociale pour la mise en œuvre des activités proposées et à réaliser dans le cadre de cette Composante 4 du PNDA. </w:t>
      </w:r>
    </w:p>
    <w:p w14:paraId="21B0F2DF" w14:textId="77777777" w:rsidR="001C2F95" w:rsidRPr="00AE6302" w:rsidRDefault="001C2F95" w:rsidP="001C2F95">
      <w:pPr>
        <w:rPr>
          <w:rFonts w:cs="Arial"/>
          <w:color w:val="000000"/>
          <w:sz w:val="22"/>
        </w:rPr>
      </w:pPr>
    </w:p>
    <w:p w14:paraId="1C621EE5" w14:textId="77777777" w:rsidR="001C2F95" w:rsidRPr="00AE6302" w:rsidRDefault="001C2F95" w:rsidP="001C2F95">
      <w:pPr>
        <w:rPr>
          <w:rFonts w:cs="Arial"/>
          <w:color w:val="000000"/>
          <w:sz w:val="22"/>
        </w:rPr>
      </w:pPr>
      <w:r w:rsidRPr="00AE6302">
        <w:rPr>
          <w:rFonts w:cs="Arial"/>
          <w:color w:val="000000"/>
          <w:sz w:val="22"/>
        </w:rPr>
        <w:t>Le Ministère de l’Agriculture, le Ministère de Développement Rural et le Ministère de la Pêche et Élevage seront bénéficiaires des sous-projets urgents qui seront identifiés pour apporter des réponses urgentes aux problèmes sociaux et améliorer le niveau de vie des populations touchées par les catastrophes agricoles auxquels sont exposés les petits exploitants dans les régions du programme. L’UNCP/PNDA sera chargée de coordonner toutes les activités de la Composante CERC.</w:t>
      </w:r>
    </w:p>
    <w:p w14:paraId="7B47EE69" w14:textId="77777777" w:rsidR="001C2F95" w:rsidRPr="00AE6302" w:rsidRDefault="001C2F95" w:rsidP="001C2F95">
      <w:pPr>
        <w:rPr>
          <w:rFonts w:cs="Arial"/>
          <w:color w:val="000000"/>
          <w:sz w:val="22"/>
        </w:rPr>
      </w:pPr>
    </w:p>
    <w:p w14:paraId="11922D54" w14:textId="77777777" w:rsidR="001C2F95" w:rsidRPr="00AE6302" w:rsidRDefault="001C2F95" w:rsidP="001C2F95">
      <w:pPr>
        <w:rPr>
          <w:rFonts w:cs="Arial"/>
          <w:color w:val="000000"/>
          <w:sz w:val="22"/>
        </w:rPr>
      </w:pPr>
      <w:r w:rsidRPr="00AE6302">
        <w:rPr>
          <w:rFonts w:cs="Arial"/>
          <w:color w:val="000000"/>
          <w:sz w:val="22"/>
        </w:rPr>
        <w:t xml:space="preserve">Les directives et les procédures incluses dans le présent CGES du CERC doivent être prises en compte dans le Manuel d'Interventions d'Urgence (MIU/GRE) qui sera préparé pendant la mise en œuvre du PNDA et contiendra les exigences environnementales et sociales, si la CERC est activée. Les lignes directrices et procédures incluses dans ce CGES/ESMF prennent en compte l'exigence des sauvegardes de la Banque pour la </w:t>
      </w:r>
      <w:r w:rsidR="0054426B" w:rsidRPr="00A147AF">
        <w:t>CERC</w:t>
      </w:r>
      <w:r w:rsidR="0054426B" w:rsidRPr="00AE6302" w:rsidDel="0054426B">
        <w:rPr>
          <w:rFonts w:cs="Arial"/>
          <w:color w:val="000000"/>
          <w:sz w:val="22"/>
        </w:rPr>
        <w:t xml:space="preserve"> </w:t>
      </w:r>
      <w:r w:rsidRPr="00AE6302">
        <w:rPr>
          <w:rFonts w:cs="Arial"/>
          <w:color w:val="000000"/>
          <w:sz w:val="22"/>
        </w:rPr>
        <w:t xml:space="preserve">(Guide de la Banque sur la </w:t>
      </w:r>
      <w:r w:rsidR="0054426B" w:rsidRPr="00A147AF">
        <w:t>CERC</w:t>
      </w:r>
      <w:r w:rsidR="0054426B" w:rsidRPr="00AE6302" w:rsidDel="0054426B">
        <w:rPr>
          <w:rFonts w:cs="Arial"/>
          <w:color w:val="000000"/>
          <w:sz w:val="22"/>
        </w:rPr>
        <w:t xml:space="preserve"> </w:t>
      </w:r>
      <w:r w:rsidRPr="00AE6302">
        <w:rPr>
          <w:rFonts w:cs="Arial"/>
          <w:color w:val="000000"/>
          <w:sz w:val="22"/>
        </w:rPr>
        <w:t xml:space="preserve">octobre 2017). </w:t>
      </w:r>
    </w:p>
    <w:p w14:paraId="2FE1BAAC" w14:textId="77777777" w:rsidR="001C2F95" w:rsidRPr="00730A4A" w:rsidRDefault="001C2F95" w:rsidP="001C2F95">
      <w:pPr>
        <w:rPr>
          <w:rFonts w:cs="Arial"/>
          <w:i/>
          <w:color w:val="000000"/>
          <w:sz w:val="22"/>
          <w:u w:val="single"/>
          <w:shd w:val="clear" w:color="auto" w:fill="FFFFFF"/>
        </w:rPr>
      </w:pPr>
    </w:p>
    <w:p w14:paraId="01C31315" w14:textId="77777777" w:rsidR="001C2F95" w:rsidRPr="00730A4A" w:rsidRDefault="001C2F95" w:rsidP="001C2F95">
      <w:pPr>
        <w:rPr>
          <w:rFonts w:cs="Arial"/>
          <w:i/>
          <w:color w:val="000000"/>
          <w:sz w:val="22"/>
          <w:u w:val="single"/>
          <w:shd w:val="clear" w:color="auto" w:fill="FFFFFF"/>
        </w:rPr>
      </w:pPr>
      <w:r w:rsidRPr="00730A4A">
        <w:rPr>
          <w:rFonts w:cs="Arial"/>
          <w:i/>
          <w:color w:val="000000"/>
          <w:sz w:val="22"/>
          <w:u w:val="single"/>
          <w:shd w:val="clear" w:color="auto" w:fill="FFFFFF"/>
        </w:rPr>
        <w:t xml:space="preserve">Identification des activités potentielles que la composante </w:t>
      </w:r>
      <w:r w:rsidR="0054426B" w:rsidRPr="00372F9C">
        <w:rPr>
          <w:rFonts w:cs="Arial"/>
          <w:i/>
          <w:color w:val="000000"/>
          <w:sz w:val="22"/>
          <w:u w:val="single"/>
          <w:shd w:val="clear" w:color="auto" w:fill="FFFFFF"/>
        </w:rPr>
        <w:t>CERC</w:t>
      </w:r>
      <w:r w:rsidR="0054426B" w:rsidRPr="00730A4A" w:rsidDel="0054426B">
        <w:rPr>
          <w:rFonts w:cs="Arial"/>
          <w:i/>
          <w:color w:val="000000"/>
          <w:sz w:val="22"/>
          <w:u w:val="single"/>
          <w:shd w:val="clear" w:color="auto" w:fill="FFFFFF"/>
        </w:rPr>
        <w:t xml:space="preserve"> </w:t>
      </w:r>
      <w:r w:rsidRPr="00730A4A">
        <w:rPr>
          <w:rFonts w:cs="Arial"/>
          <w:i/>
          <w:color w:val="000000"/>
          <w:sz w:val="22"/>
          <w:u w:val="single"/>
          <w:shd w:val="clear" w:color="auto" w:fill="FFFFFF"/>
        </w:rPr>
        <w:t xml:space="preserve">pourrait financer </w:t>
      </w:r>
    </w:p>
    <w:p w14:paraId="33BFC1C1" w14:textId="77777777" w:rsidR="001C2F95" w:rsidRPr="00AE6302" w:rsidRDefault="001C2F95" w:rsidP="001C2F95">
      <w:pPr>
        <w:rPr>
          <w:rFonts w:cs="Arial"/>
          <w:color w:val="3E3E3E"/>
          <w:sz w:val="22"/>
          <w:shd w:val="clear" w:color="auto" w:fill="FFFFFF"/>
        </w:rPr>
      </w:pPr>
    </w:p>
    <w:p w14:paraId="5E78DAA3" w14:textId="77777777" w:rsidR="001C2F95" w:rsidRPr="00AE6302" w:rsidRDefault="001C2F95" w:rsidP="001C2F95">
      <w:pPr>
        <w:rPr>
          <w:rFonts w:cs="Arial"/>
          <w:color w:val="000000"/>
          <w:sz w:val="22"/>
        </w:rPr>
      </w:pPr>
      <w:r w:rsidRPr="00AE6302">
        <w:rPr>
          <w:rFonts w:cs="Arial"/>
          <w:color w:val="000000"/>
          <w:sz w:val="22"/>
        </w:rPr>
        <w:t xml:space="preserve">Au stade actuel de la préparation du PNDA, les activités urgentes à exécuter si la composante 4 </w:t>
      </w:r>
      <w:r w:rsidR="0054426B" w:rsidRPr="00A147AF">
        <w:t>CERC</w:t>
      </w:r>
      <w:r w:rsidR="0054426B" w:rsidRPr="00AE6302" w:rsidDel="0054426B">
        <w:rPr>
          <w:rFonts w:cs="Arial"/>
          <w:color w:val="000000"/>
          <w:sz w:val="22"/>
        </w:rPr>
        <w:t xml:space="preserve"> </w:t>
      </w:r>
      <w:r w:rsidRPr="00AE6302">
        <w:rPr>
          <w:rFonts w:cs="Arial"/>
          <w:color w:val="000000"/>
          <w:sz w:val="22"/>
        </w:rPr>
        <w:t>est activée ne sont pas encore définies.</w:t>
      </w:r>
    </w:p>
    <w:p w14:paraId="5D6881AB" w14:textId="77777777" w:rsidR="001C2F95" w:rsidRPr="00AE6302" w:rsidRDefault="001C2F95" w:rsidP="001C2F95">
      <w:pPr>
        <w:rPr>
          <w:rFonts w:cs="Arial"/>
          <w:color w:val="000000"/>
          <w:sz w:val="22"/>
        </w:rPr>
      </w:pPr>
    </w:p>
    <w:p w14:paraId="0D4370E4" w14:textId="77777777" w:rsidR="001C2F95" w:rsidRPr="00AE6302" w:rsidRDefault="001C2F95" w:rsidP="001C2F95">
      <w:pPr>
        <w:rPr>
          <w:rFonts w:cs="Arial"/>
          <w:color w:val="000000"/>
          <w:sz w:val="22"/>
        </w:rPr>
      </w:pPr>
      <w:r w:rsidRPr="00AE6302">
        <w:rPr>
          <w:rFonts w:cs="Arial"/>
          <w:color w:val="000000"/>
          <w:sz w:val="22"/>
        </w:rPr>
        <w:t xml:space="preserve">Il sied de noter que les activités ou Sous-projets de la Composante 4 </w:t>
      </w:r>
      <w:r w:rsidR="0054426B" w:rsidRPr="00A147AF">
        <w:t>CERC</w:t>
      </w:r>
      <w:r w:rsidR="0054426B" w:rsidRPr="00AE6302" w:rsidDel="0054426B">
        <w:rPr>
          <w:rFonts w:cs="Arial"/>
          <w:color w:val="000000"/>
          <w:sz w:val="22"/>
        </w:rPr>
        <w:t xml:space="preserve"> </w:t>
      </w:r>
      <w:r w:rsidRPr="00AE6302">
        <w:rPr>
          <w:rFonts w:cs="Arial"/>
          <w:color w:val="000000"/>
          <w:sz w:val="22"/>
        </w:rPr>
        <w:t xml:space="preserve">qui seront financées par le PNDA devraient exclure toute forme d’acquisition de terres ou de biens ou de réinstallation involontaire des populations car l'objectif de la </w:t>
      </w:r>
      <w:r w:rsidR="0054426B" w:rsidRPr="00A147AF">
        <w:t>CERC</w:t>
      </w:r>
      <w:r w:rsidR="0054426B" w:rsidRPr="00AE6302" w:rsidDel="0054426B">
        <w:rPr>
          <w:rFonts w:cs="Arial"/>
          <w:color w:val="000000"/>
          <w:sz w:val="22"/>
        </w:rPr>
        <w:t xml:space="preserve"> </w:t>
      </w:r>
      <w:r w:rsidRPr="00AE6302">
        <w:rPr>
          <w:rFonts w:cs="Arial"/>
          <w:color w:val="000000"/>
          <w:sz w:val="22"/>
        </w:rPr>
        <w:t xml:space="preserve">est de soutenir des activités prioritaires immédiates (moins de 18 mois). </w:t>
      </w:r>
    </w:p>
    <w:p w14:paraId="6F4E804A" w14:textId="77777777" w:rsidR="001C2F95" w:rsidRPr="00AE6302" w:rsidRDefault="001C2F95" w:rsidP="001C2F95">
      <w:pPr>
        <w:rPr>
          <w:rFonts w:cs="Arial"/>
          <w:color w:val="000000"/>
          <w:sz w:val="22"/>
        </w:rPr>
      </w:pPr>
    </w:p>
    <w:p w14:paraId="319C9031" w14:textId="77777777" w:rsidR="001C2F95" w:rsidRPr="00AE6302" w:rsidRDefault="001C2F95" w:rsidP="001C2F95">
      <w:pPr>
        <w:rPr>
          <w:rFonts w:cs="Arial"/>
          <w:color w:val="000000"/>
          <w:sz w:val="22"/>
        </w:rPr>
      </w:pPr>
      <w:r w:rsidRPr="00AE6302">
        <w:rPr>
          <w:rFonts w:cs="Arial"/>
          <w:color w:val="000000"/>
          <w:sz w:val="22"/>
        </w:rPr>
        <w:lastRenderedPageBreak/>
        <w:t>Les sous-projets, plus complexes sur le plan environnemental et social, pourraient être financés par d'autres sources de financement spécifiques.</w:t>
      </w:r>
    </w:p>
    <w:p w14:paraId="5E5484A3" w14:textId="77777777" w:rsidR="001C2F95" w:rsidRPr="00AE6302" w:rsidRDefault="001C2F95" w:rsidP="001C2F95">
      <w:pPr>
        <w:rPr>
          <w:rFonts w:cs="Arial"/>
          <w:color w:val="000000"/>
          <w:sz w:val="22"/>
        </w:rPr>
      </w:pPr>
    </w:p>
    <w:p w14:paraId="6B713D13" w14:textId="77777777" w:rsidR="001C2F95" w:rsidRPr="00AE6302" w:rsidRDefault="001C2F95" w:rsidP="001C2F95">
      <w:pPr>
        <w:rPr>
          <w:rFonts w:cs="Arial"/>
          <w:i/>
          <w:color w:val="000000"/>
          <w:sz w:val="22"/>
        </w:rPr>
      </w:pPr>
      <w:r w:rsidRPr="00AE6302">
        <w:rPr>
          <w:rFonts w:cs="Arial"/>
          <w:i/>
          <w:color w:val="000000"/>
          <w:sz w:val="22"/>
        </w:rPr>
        <w:t>Impacts environnementaux et sociaux (IES) positifs potentiels</w:t>
      </w:r>
    </w:p>
    <w:p w14:paraId="7240F643" w14:textId="77777777" w:rsidR="001C2F95" w:rsidRPr="00AE6302" w:rsidRDefault="001C2F95" w:rsidP="001C2F95">
      <w:pPr>
        <w:rPr>
          <w:rFonts w:cs="Arial"/>
          <w:color w:val="000000"/>
          <w:sz w:val="22"/>
        </w:rPr>
      </w:pPr>
    </w:p>
    <w:p w14:paraId="41346BFD" w14:textId="77777777" w:rsidR="001C2F95" w:rsidRPr="00AE6302" w:rsidRDefault="001C2F95" w:rsidP="001C2F95">
      <w:pPr>
        <w:rPr>
          <w:rFonts w:cs="Arial"/>
          <w:color w:val="000000"/>
          <w:sz w:val="22"/>
        </w:rPr>
      </w:pPr>
      <w:r w:rsidRPr="00AE6302">
        <w:rPr>
          <w:rFonts w:cs="Arial"/>
          <w:color w:val="000000"/>
          <w:sz w:val="22"/>
        </w:rPr>
        <w:t xml:space="preserve">La mise en œuvre des activités sera positive et urgente. Les activités urgentes qui seront proposées dans le cadre de CERC seront des travaux de petites et moyennes envergures, ou la fourniture de biens et services essentiels. </w:t>
      </w:r>
    </w:p>
    <w:p w14:paraId="131FA84C" w14:textId="77777777" w:rsidR="001C2F95" w:rsidRPr="00AE6302" w:rsidRDefault="001C2F95" w:rsidP="001C2F95">
      <w:pPr>
        <w:rPr>
          <w:rFonts w:cs="Arial"/>
          <w:color w:val="000000"/>
          <w:sz w:val="22"/>
        </w:rPr>
      </w:pPr>
    </w:p>
    <w:p w14:paraId="408827DA" w14:textId="77777777" w:rsidR="001C2F95" w:rsidRPr="00AE6302" w:rsidRDefault="001C2F95" w:rsidP="001C2F95">
      <w:pPr>
        <w:rPr>
          <w:rFonts w:cs="Arial"/>
          <w:i/>
          <w:color w:val="000000"/>
          <w:sz w:val="22"/>
        </w:rPr>
      </w:pPr>
      <w:r w:rsidRPr="00AE6302">
        <w:rPr>
          <w:rFonts w:cs="Arial"/>
          <w:i/>
          <w:color w:val="000000"/>
          <w:sz w:val="22"/>
        </w:rPr>
        <w:t>Impacts environnementaux et sociaux (IES) négatifs potentiels</w:t>
      </w:r>
    </w:p>
    <w:p w14:paraId="426DB188" w14:textId="77777777" w:rsidR="001C2F95" w:rsidRPr="00AE6302" w:rsidRDefault="001C2F95" w:rsidP="001C2F95">
      <w:pPr>
        <w:rPr>
          <w:rFonts w:cs="Arial"/>
          <w:color w:val="000000"/>
          <w:sz w:val="22"/>
        </w:rPr>
      </w:pPr>
    </w:p>
    <w:p w14:paraId="0540985C" w14:textId="77777777" w:rsidR="001C2F95" w:rsidRPr="00AE6302" w:rsidRDefault="001C2F95" w:rsidP="001C2F95">
      <w:pPr>
        <w:rPr>
          <w:rFonts w:cs="Arial"/>
          <w:color w:val="000000"/>
          <w:sz w:val="22"/>
        </w:rPr>
      </w:pPr>
      <w:r w:rsidRPr="00AE6302">
        <w:rPr>
          <w:rFonts w:cs="Arial"/>
          <w:color w:val="000000"/>
          <w:sz w:val="22"/>
        </w:rPr>
        <w:t>Les impacts négatifs potentiels devraient être modérés, localisés et temporaires, peuvent être atténués par la mise en œuvre des instruments de sauvegarde environnementale et sociale existants du PNDA et une supervision étroite sera faite par un expert environnementaliste de terrain, un expert en développement social et un expert en VBG ou encore par le consultant chargé de la supervision. Les mesures d'atténuation requises seront incluses dans le cadre PGES à préparer en appui à chaque sous-projet spécifique lorsqu’il est identifié.</w:t>
      </w:r>
    </w:p>
    <w:p w14:paraId="1A21AEC2" w14:textId="77777777" w:rsidR="001C2F95" w:rsidRPr="00AE6302" w:rsidRDefault="001C2F95" w:rsidP="001C2F95">
      <w:pPr>
        <w:rPr>
          <w:rFonts w:cs="Arial"/>
          <w:color w:val="000000"/>
          <w:sz w:val="22"/>
        </w:rPr>
      </w:pPr>
    </w:p>
    <w:p w14:paraId="1939F7D5" w14:textId="77777777" w:rsidR="001C2F95" w:rsidRPr="00AE6302" w:rsidRDefault="001C2F95" w:rsidP="001C2F95">
      <w:pPr>
        <w:rPr>
          <w:rFonts w:cs="Arial"/>
          <w:color w:val="000000"/>
          <w:sz w:val="22"/>
        </w:rPr>
      </w:pPr>
      <w:r w:rsidRPr="00AE6302">
        <w:rPr>
          <w:rFonts w:cs="Arial"/>
          <w:color w:val="000000"/>
          <w:sz w:val="22"/>
        </w:rPr>
        <w:t>En termes d'impacts sociaux, les activités qui entraîneront la prise involontaire de terres, la relocalisation des ménages, la perte d'actifs ou l'accès aux actifs qui conduisent à la perte de sources de revenus ou d'autres moyens de subsistance, et à des interférences avec l'utilisation par les ménages de la terre et les moyens de subsistance ne devraient pas être éligibles. Par conséquent, tous les efforts doivent être faits pour éliminer les activités qui peuvent entraîner de tels impacts. Cependant, si l'acquisition de terres à petite échelle à la suite d'activités d'urgence ne peut être éliminée en tant qu'impact possible, des Plans d'Action de Réinstallation Sommaire (PARS) seront préparés conformément au Cadre de Politique de Réinstallation du PNDA, en tenant compte de la nature et de la flexibilité du cas d'urgence. </w:t>
      </w:r>
    </w:p>
    <w:p w14:paraId="5FE5786C" w14:textId="77777777" w:rsidR="001C2F95" w:rsidRPr="00AE6302" w:rsidRDefault="001C2F95" w:rsidP="001C2F95">
      <w:pPr>
        <w:rPr>
          <w:rFonts w:cs="Arial"/>
          <w:color w:val="000000"/>
          <w:sz w:val="22"/>
        </w:rPr>
      </w:pPr>
    </w:p>
    <w:p w14:paraId="0149C378" w14:textId="77777777" w:rsidR="001C2F95" w:rsidRPr="00AE6302" w:rsidRDefault="001C2F95" w:rsidP="001C2F95">
      <w:pPr>
        <w:rPr>
          <w:rFonts w:cs="Arial"/>
          <w:color w:val="000000"/>
          <w:sz w:val="22"/>
        </w:rPr>
      </w:pPr>
      <w:r w:rsidRPr="00AE6302">
        <w:rPr>
          <w:rFonts w:cs="Arial"/>
          <w:color w:val="000000"/>
          <w:sz w:val="22"/>
        </w:rPr>
        <w:t>Par ailleurs, les travailleurs sous contrat pour effectuer des travaux civils ou autres pour des activités de contingence devront signer un Code de bonne conduite des travailleurs et Règlement d’Ordre Intérieur, qui couvrent des questions telles que la prévention de la violence basée sur le genre/sexe, ainsi que les agressions et abus sexuels. En outre, les travaux de construction ou l'utilisation de biens et d'équipements impliquant le travail forcé, le travail des enfants ou d'autres formes de travail nuisibles ou exploitables sont interdits.</w:t>
      </w:r>
    </w:p>
    <w:p w14:paraId="05DC8C38" w14:textId="77777777" w:rsidR="001C2F95" w:rsidRPr="00AE6302" w:rsidRDefault="001C2F95" w:rsidP="001C2F95">
      <w:pPr>
        <w:rPr>
          <w:rFonts w:cs="Arial"/>
          <w:color w:val="000000"/>
          <w:sz w:val="22"/>
        </w:rPr>
      </w:pPr>
    </w:p>
    <w:p w14:paraId="78FBE79B" w14:textId="77777777" w:rsidR="001C2F95" w:rsidRPr="00AE6302" w:rsidRDefault="001C2F95" w:rsidP="001C2F95">
      <w:pPr>
        <w:rPr>
          <w:rFonts w:cs="Arial"/>
          <w:color w:val="000000"/>
          <w:sz w:val="22"/>
        </w:rPr>
      </w:pPr>
      <w:r w:rsidRPr="00AE6302">
        <w:rPr>
          <w:rFonts w:cs="Arial"/>
          <w:color w:val="000000"/>
          <w:sz w:val="22"/>
        </w:rPr>
        <w:t>À ce stade de préparation du PNDA, il est difficile d’identifier les impacts potentiels des activités urgentes positives des sous-projets du CERC.</w:t>
      </w:r>
    </w:p>
    <w:p w14:paraId="72F11189" w14:textId="77777777" w:rsidR="001C2F95" w:rsidRPr="00AE6302" w:rsidRDefault="001C2F95" w:rsidP="001C2F95">
      <w:pPr>
        <w:rPr>
          <w:rFonts w:cs="Arial"/>
          <w:color w:val="000000"/>
          <w:sz w:val="22"/>
        </w:rPr>
      </w:pPr>
    </w:p>
    <w:p w14:paraId="253AA8D6" w14:textId="77777777" w:rsidR="001C2F95" w:rsidRPr="00AE6302" w:rsidRDefault="001C2F95" w:rsidP="001C2F95">
      <w:pPr>
        <w:rPr>
          <w:rFonts w:cs="Arial"/>
          <w:color w:val="000000"/>
          <w:sz w:val="22"/>
        </w:rPr>
      </w:pPr>
      <w:r w:rsidRPr="00AE6302">
        <w:rPr>
          <w:rFonts w:cs="Arial"/>
          <w:color w:val="000000"/>
          <w:sz w:val="22"/>
        </w:rPr>
        <w:t>Afin de garantir qu'aucun impact négatif ne se produise compte tenu de la nature de l'urgence, les éléments et activités identifiés dans le tableau 1 ci-dessous sont interdits.</w:t>
      </w:r>
    </w:p>
    <w:p w14:paraId="566BDB27" w14:textId="77777777" w:rsidR="001C2F95" w:rsidRPr="00AE6302" w:rsidRDefault="001C2F95" w:rsidP="001C2F95">
      <w:pPr>
        <w:spacing w:line="240" w:lineRule="auto"/>
        <w:jc w:val="left"/>
        <w:rPr>
          <w:rFonts w:cs="Arial"/>
          <w:sz w:val="22"/>
        </w:rPr>
      </w:pPr>
    </w:p>
    <w:p w14:paraId="02C356F7" w14:textId="77777777" w:rsidR="00EB7F94" w:rsidRDefault="00EB7F94">
      <w:pPr>
        <w:spacing w:after="160" w:line="259" w:lineRule="auto"/>
        <w:jc w:val="left"/>
        <w:rPr>
          <w:rFonts w:cs="Arial"/>
          <w:sz w:val="22"/>
        </w:rPr>
      </w:pPr>
      <w:r>
        <w:rPr>
          <w:rFonts w:cs="Arial"/>
          <w:sz w:val="22"/>
        </w:rPr>
        <w:br w:type="page"/>
      </w:r>
    </w:p>
    <w:p w14:paraId="1AEBF582" w14:textId="77777777" w:rsidR="001C2F95" w:rsidRPr="00AE6302" w:rsidRDefault="001C2F95" w:rsidP="001C2F95">
      <w:pPr>
        <w:spacing w:line="240" w:lineRule="auto"/>
        <w:jc w:val="left"/>
        <w:rPr>
          <w:rFonts w:cs="Arial"/>
          <w:sz w:val="22"/>
        </w:rPr>
      </w:pPr>
      <w:bookmarkStart w:id="195" w:name="_Toc70451647"/>
      <w:r w:rsidRPr="00AE6302">
        <w:rPr>
          <w:rFonts w:cs="Arial"/>
          <w:sz w:val="22"/>
        </w:rPr>
        <w:lastRenderedPageBreak/>
        <w:t xml:space="preserve">Tableau </w:t>
      </w:r>
      <w:r w:rsidRPr="00AE6302">
        <w:rPr>
          <w:rFonts w:cs="Arial"/>
          <w:sz w:val="22"/>
        </w:rPr>
        <w:fldChar w:fldCharType="begin"/>
      </w:r>
      <w:r w:rsidRPr="00AE6302">
        <w:rPr>
          <w:rFonts w:cs="Arial"/>
          <w:sz w:val="22"/>
        </w:rPr>
        <w:instrText xml:space="preserve"> SEQ Tableau \* ARABIC </w:instrText>
      </w:r>
      <w:r w:rsidRPr="00AE6302">
        <w:rPr>
          <w:rFonts w:cs="Arial"/>
          <w:sz w:val="22"/>
        </w:rPr>
        <w:fldChar w:fldCharType="separate"/>
      </w:r>
      <w:r w:rsidR="001260B3">
        <w:rPr>
          <w:rFonts w:cs="Arial"/>
          <w:noProof/>
          <w:sz w:val="22"/>
        </w:rPr>
        <w:t>1</w:t>
      </w:r>
      <w:r w:rsidRPr="00AE6302">
        <w:rPr>
          <w:rFonts w:cs="Arial"/>
          <w:sz w:val="22"/>
        </w:rPr>
        <w:fldChar w:fldCharType="end"/>
      </w:r>
      <w:r w:rsidRPr="00AE6302">
        <w:rPr>
          <w:rFonts w:cs="Arial"/>
          <w:sz w:val="22"/>
        </w:rPr>
        <w:t>. Activités interdites pour la Composante 4 : CERC</w:t>
      </w:r>
      <w:bookmarkEnd w:id="195"/>
    </w:p>
    <w:p w14:paraId="69364369" w14:textId="77777777" w:rsidR="001C2F95" w:rsidRPr="00AE6302" w:rsidRDefault="001C2F95" w:rsidP="001C2F95">
      <w:pPr>
        <w:rPr>
          <w:rFonts w:cs="Arial"/>
          <w:color w:val="000000"/>
          <w:sz w:val="22"/>
        </w:rPr>
      </w:pPr>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902"/>
      </w:tblGrid>
      <w:tr w:rsidR="001C2F95" w:rsidRPr="00AE6302" w14:paraId="5BAD26BE" w14:textId="77777777" w:rsidTr="00730A4A">
        <w:trPr>
          <w:tblHeader/>
          <w:jc w:val="center"/>
        </w:trPr>
        <w:tc>
          <w:tcPr>
            <w:tcW w:w="9469" w:type="dxa"/>
            <w:gridSpan w:val="2"/>
            <w:shd w:val="clear" w:color="auto" w:fill="auto"/>
            <w:vAlign w:val="center"/>
          </w:tcPr>
          <w:p w14:paraId="61C4F30D" w14:textId="77777777" w:rsidR="001C2F95" w:rsidRPr="00730A4A" w:rsidRDefault="001C2F95" w:rsidP="00730A4A">
            <w:pPr>
              <w:jc w:val="center"/>
              <w:rPr>
                <w:rFonts w:cs="Arial"/>
                <w:sz w:val="22"/>
                <w:szCs w:val="20"/>
                <w:lang w:val="fr-CD"/>
              </w:rPr>
            </w:pPr>
            <w:r w:rsidRPr="00730A4A">
              <w:rPr>
                <w:rFonts w:cs="Arial"/>
                <w:sz w:val="22"/>
                <w:szCs w:val="20"/>
                <w:lang w:val="fr-CD"/>
              </w:rPr>
              <w:t>Activités interdites pour la Composante 4 : CERC</w:t>
            </w:r>
          </w:p>
        </w:tc>
      </w:tr>
      <w:tr w:rsidR="001C2F95" w:rsidRPr="00AE6302" w14:paraId="03D75153" w14:textId="77777777" w:rsidTr="00730A4A">
        <w:trPr>
          <w:jc w:val="center"/>
        </w:trPr>
        <w:tc>
          <w:tcPr>
            <w:tcW w:w="567" w:type="dxa"/>
            <w:shd w:val="clear" w:color="auto" w:fill="auto"/>
          </w:tcPr>
          <w:p w14:paraId="1CB42BE1" w14:textId="77777777" w:rsidR="001C2F95" w:rsidRPr="00730A4A" w:rsidRDefault="001C2F95" w:rsidP="00971FD2">
            <w:pPr>
              <w:rPr>
                <w:rFonts w:cs="Arial"/>
                <w:sz w:val="22"/>
                <w:szCs w:val="20"/>
                <w:lang w:val="fr-CD"/>
              </w:rPr>
            </w:pPr>
            <w:r w:rsidRPr="00730A4A">
              <w:rPr>
                <w:rFonts w:cs="Arial"/>
                <w:sz w:val="22"/>
                <w:szCs w:val="20"/>
                <w:lang w:val="fr-CD"/>
              </w:rPr>
              <w:t>1</w:t>
            </w:r>
          </w:p>
        </w:tc>
        <w:tc>
          <w:tcPr>
            <w:tcW w:w="8902" w:type="dxa"/>
            <w:shd w:val="clear" w:color="auto" w:fill="auto"/>
          </w:tcPr>
          <w:p w14:paraId="47041CF2" w14:textId="77777777" w:rsidR="001C2F95" w:rsidRPr="00730A4A" w:rsidRDefault="001C2F95" w:rsidP="00971FD2">
            <w:pPr>
              <w:rPr>
                <w:rFonts w:cs="Arial"/>
                <w:sz w:val="22"/>
                <w:szCs w:val="20"/>
                <w:lang w:val="fr-CD"/>
              </w:rPr>
            </w:pPr>
            <w:r w:rsidRPr="00730A4A">
              <w:rPr>
                <w:rFonts w:cs="Arial"/>
                <w:sz w:val="22"/>
                <w:szCs w:val="20"/>
                <w:lang w:val="fr-CD"/>
              </w:rPr>
              <w:t xml:space="preserve">Utilisations des biens et équipements financés par la Composante CERC, qui s’appliquent également à l'utilisation et au stockage pour les activités parallèles à celles du CERC. </w:t>
            </w:r>
          </w:p>
        </w:tc>
      </w:tr>
      <w:tr w:rsidR="001C2F95" w:rsidRPr="00AE6302" w14:paraId="3E2F1900" w14:textId="77777777" w:rsidTr="00730A4A">
        <w:trPr>
          <w:jc w:val="center"/>
        </w:trPr>
        <w:tc>
          <w:tcPr>
            <w:tcW w:w="567" w:type="dxa"/>
            <w:shd w:val="clear" w:color="auto" w:fill="auto"/>
          </w:tcPr>
          <w:p w14:paraId="765795B8" w14:textId="77777777" w:rsidR="001C2F95" w:rsidRPr="00730A4A" w:rsidRDefault="001C2F95" w:rsidP="00971FD2">
            <w:pPr>
              <w:rPr>
                <w:rFonts w:cs="Arial"/>
                <w:sz w:val="22"/>
                <w:szCs w:val="20"/>
                <w:lang w:val="fr-CD"/>
              </w:rPr>
            </w:pPr>
            <w:r w:rsidRPr="00730A4A">
              <w:rPr>
                <w:rFonts w:cs="Arial"/>
                <w:sz w:val="22"/>
                <w:szCs w:val="20"/>
                <w:lang w:val="fr-CD"/>
              </w:rPr>
              <w:t>2</w:t>
            </w:r>
          </w:p>
        </w:tc>
        <w:tc>
          <w:tcPr>
            <w:tcW w:w="8902" w:type="dxa"/>
            <w:shd w:val="clear" w:color="auto" w:fill="auto"/>
          </w:tcPr>
          <w:p w14:paraId="1917B95E" w14:textId="77777777" w:rsidR="001C2F95" w:rsidRPr="00730A4A" w:rsidRDefault="001C2F95" w:rsidP="00971FD2">
            <w:pPr>
              <w:rPr>
                <w:rFonts w:cs="Arial"/>
                <w:sz w:val="22"/>
                <w:szCs w:val="20"/>
                <w:lang w:val="fr-CD"/>
              </w:rPr>
            </w:pPr>
            <w:r w:rsidRPr="00730A4A">
              <w:rPr>
                <w:rFonts w:eastAsia="Calibri" w:cs="Arial"/>
                <w:sz w:val="22"/>
                <w:szCs w:val="20"/>
                <w:lang w:val="fr-CD"/>
              </w:rPr>
              <w:t>Activités de tout type pouvant être classées dans le risque élevé conformément à la        NES n° 1 du CES relative à l’évaluation et gestion des risques et effets environnementaux et sociaux.</w:t>
            </w:r>
          </w:p>
        </w:tc>
      </w:tr>
      <w:tr w:rsidR="001C2F95" w:rsidRPr="00AE6302" w14:paraId="2AD37C1A" w14:textId="77777777" w:rsidTr="00730A4A">
        <w:trPr>
          <w:jc w:val="center"/>
        </w:trPr>
        <w:tc>
          <w:tcPr>
            <w:tcW w:w="567" w:type="dxa"/>
            <w:shd w:val="clear" w:color="auto" w:fill="auto"/>
          </w:tcPr>
          <w:p w14:paraId="2FDEE447" w14:textId="77777777" w:rsidR="001C2F95" w:rsidRPr="00730A4A" w:rsidRDefault="001C2F95" w:rsidP="00971FD2">
            <w:pPr>
              <w:rPr>
                <w:rFonts w:cs="Arial"/>
                <w:sz w:val="22"/>
                <w:szCs w:val="20"/>
                <w:lang w:val="fr-CD"/>
              </w:rPr>
            </w:pPr>
            <w:r w:rsidRPr="00730A4A">
              <w:rPr>
                <w:rFonts w:cs="Arial"/>
                <w:sz w:val="22"/>
                <w:szCs w:val="20"/>
                <w:lang w:val="fr-CD"/>
              </w:rPr>
              <w:t>3</w:t>
            </w:r>
          </w:p>
        </w:tc>
        <w:tc>
          <w:tcPr>
            <w:tcW w:w="8902" w:type="dxa"/>
            <w:shd w:val="clear" w:color="auto" w:fill="auto"/>
          </w:tcPr>
          <w:p w14:paraId="14E83204" w14:textId="77777777" w:rsidR="001C2F95" w:rsidRPr="00730A4A" w:rsidRDefault="001C2F95" w:rsidP="00971FD2">
            <w:pPr>
              <w:rPr>
                <w:rFonts w:cs="Arial"/>
                <w:sz w:val="22"/>
                <w:szCs w:val="20"/>
                <w:lang w:val="fr-CD"/>
              </w:rPr>
            </w:pPr>
            <w:r w:rsidRPr="00730A4A">
              <w:rPr>
                <w:rFonts w:cs="Arial"/>
                <w:sz w:val="22"/>
                <w:szCs w:val="20"/>
                <w:lang w:val="fr-CD"/>
              </w:rPr>
              <w:t>Activités qui entraîneraient la conversion ou la dégradation des zones forestières critiques, d'habitats naturels critiques et de défrichement des forêts ou des écosystèmes forestiers pour installation des campings et centre de riposte et de gestion clinique de certains cas.</w:t>
            </w:r>
          </w:p>
        </w:tc>
      </w:tr>
      <w:tr w:rsidR="001C2F95" w:rsidRPr="00AE6302" w14:paraId="72F41C3D" w14:textId="77777777" w:rsidTr="00730A4A">
        <w:trPr>
          <w:jc w:val="center"/>
        </w:trPr>
        <w:tc>
          <w:tcPr>
            <w:tcW w:w="567" w:type="dxa"/>
            <w:shd w:val="clear" w:color="auto" w:fill="auto"/>
          </w:tcPr>
          <w:p w14:paraId="0E4CB136" w14:textId="77777777" w:rsidR="001C2F95" w:rsidRPr="00730A4A" w:rsidRDefault="001C2F95" w:rsidP="00971FD2">
            <w:pPr>
              <w:rPr>
                <w:rFonts w:cs="Arial"/>
                <w:sz w:val="22"/>
                <w:szCs w:val="20"/>
                <w:lang w:val="fr-CD"/>
              </w:rPr>
            </w:pPr>
            <w:r w:rsidRPr="00730A4A">
              <w:rPr>
                <w:rFonts w:cs="Arial"/>
                <w:sz w:val="22"/>
                <w:szCs w:val="20"/>
                <w:lang w:val="fr-CD"/>
              </w:rPr>
              <w:t>4</w:t>
            </w:r>
          </w:p>
        </w:tc>
        <w:tc>
          <w:tcPr>
            <w:tcW w:w="8902" w:type="dxa"/>
            <w:shd w:val="clear" w:color="auto" w:fill="auto"/>
          </w:tcPr>
          <w:p w14:paraId="2F372E33" w14:textId="77777777" w:rsidR="001C2F95" w:rsidRPr="00730A4A" w:rsidRDefault="001C2F95" w:rsidP="00971FD2">
            <w:pPr>
              <w:rPr>
                <w:rFonts w:cs="Arial"/>
                <w:sz w:val="22"/>
                <w:szCs w:val="20"/>
                <w:lang w:val="fr-CD"/>
              </w:rPr>
            </w:pPr>
            <w:r w:rsidRPr="00730A4A">
              <w:rPr>
                <w:rFonts w:cs="Arial"/>
                <w:sz w:val="22"/>
                <w:szCs w:val="20"/>
                <w:lang w:val="fr-CD"/>
              </w:rPr>
              <w:t>Activités affectant les zones/aires protégées (ou leurs zones tampons), autres que la réhabilitation des zones endommagées/détruites par des catastrophes naturelles antérieures.</w:t>
            </w:r>
          </w:p>
        </w:tc>
      </w:tr>
      <w:tr w:rsidR="001C2F95" w:rsidRPr="00AE6302" w14:paraId="4958D025" w14:textId="77777777" w:rsidTr="00730A4A">
        <w:trPr>
          <w:jc w:val="center"/>
        </w:trPr>
        <w:tc>
          <w:tcPr>
            <w:tcW w:w="567" w:type="dxa"/>
            <w:shd w:val="clear" w:color="auto" w:fill="auto"/>
          </w:tcPr>
          <w:p w14:paraId="19EC3577" w14:textId="77777777" w:rsidR="001C2F95" w:rsidRPr="00730A4A" w:rsidRDefault="001C2F95" w:rsidP="00971FD2">
            <w:pPr>
              <w:rPr>
                <w:rFonts w:cs="Arial"/>
                <w:sz w:val="22"/>
                <w:szCs w:val="20"/>
                <w:lang w:val="fr-CD"/>
              </w:rPr>
            </w:pPr>
            <w:r w:rsidRPr="00730A4A">
              <w:rPr>
                <w:rFonts w:cs="Arial"/>
                <w:sz w:val="22"/>
                <w:szCs w:val="20"/>
                <w:lang w:val="fr-CD"/>
              </w:rPr>
              <w:t>5</w:t>
            </w:r>
          </w:p>
        </w:tc>
        <w:tc>
          <w:tcPr>
            <w:tcW w:w="8902" w:type="dxa"/>
            <w:shd w:val="clear" w:color="auto" w:fill="auto"/>
          </w:tcPr>
          <w:p w14:paraId="15CBDFE3" w14:textId="77777777" w:rsidR="001C2F95" w:rsidRPr="00730A4A" w:rsidRDefault="001C2F95" w:rsidP="00971FD2">
            <w:pPr>
              <w:rPr>
                <w:rFonts w:cs="Arial"/>
                <w:sz w:val="22"/>
                <w:szCs w:val="20"/>
                <w:lang w:val="fr-CD"/>
              </w:rPr>
            </w:pPr>
            <w:r w:rsidRPr="00730A4A">
              <w:rPr>
                <w:rFonts w:cs="Arial"/>
                <w:sz w:val="22"/>
                <w:szCs w:val="20"/>
                <w:lang w:val="fr-CD"/>
              </w:rPr>
              <w:t>Remise en état des terres (c.-à-d. Drainage des terres humides ou remplissage des plans d'eau pour créer des terres).</w:t>
            </w:r>
          </w:p>
        </w:tc>
      </w:tr>
      <w:tr w:rsidR="001C2F95" w:rsidRPr="00AE6302" w14:paraId="1CF4D3B1" w14:textId="77777777" w:rsidTr="00730A4A">
        <w:trPr>
          <w:jc w:val="center"/>
        </w:trPr>
        <w:tc>
          <w:tcPr>
            <w:tcW w:w="567" w:type="dxa"/>
            <w:shd w:val="clear" w:color="auto" w:fill="auto"/>
          </w:tcPr>
          <w:p w14:paraId="6F35FC9F" w14:textId="77777777" w:rsidR="001C2F95" w:rsidRPr="00730A4A" w:rsidRDefault="001C2F95" w:rsidP="00971FD2">
            <w:pPr>
              <w:rPr>
                <w:rFonts w:cs="Arial"/>
                <w:sz w:val="22"/>
                <w:szCs w:val="20"/>
                <w:lang w:val="fr-CD"/>
              </w:rPr>
            </w:pPr>
            <w:r w:rsidRPr="00730A4A">
              <w:rPr>
                <w:rFonts w:cs="Arial"/>
                <w:sz w:val="22"/>
                <w:szCs w:val="20"/>
                <w:lang w:val="fr-CD"/>
              </w:rPr>
              <w:t>6</w:t>
            </w:r>
          </w:p>
        </w:tc>
        <w:tc>
          <w:tcPr>
            <w:tcW w:w="8902" w:type="dxa"/>
            <w:shd w:val="clear" w:color="auto" w:fill="auto"/>
          </w:tcPr>
          <w:p w14:paraId="05295028" w14:textId="77777777" w:rsidR="001C2F95" w:rsidRPr="00730A4A" w:rsidRDefault="001C2F95" w:rsidP="00971FD2">
            <w:pPr>
              <w:rPr>
                <w:rFonts w:cs="Arial"/>
                <w:sz w:val="22"/>
                <w:szCs w:val="20"/>
                <w:lang w:val="fr-CD"/>
              </w:rPr>
            </w:pPr>
            <w:r w:rsidRPr="00730A4A">
              <w:rPr>
                <w:rFonts w:cs="Arial"/>
                <w:sz w:val="22"/>
                <w:szCs w:val="20"/>
                <w:lang w:val="fr-CD"/>
              </w:rPr>
              <w:t>Déboisement et nivellement dans les zones non touchées par les débris résultant de la crise ou de l'urgence éligible.</w:t>
            </w:r>
          </w:p>
        </w:tc>
      </w:tr>
      <w:tr w:rsidR="001C2F95" w:rsidRPr="00AE6302" w14:paraId="28868592" w14:textId="77777777" w:rsidTr="00730A4A">
        <w:trPr>
          <w:jc w:val="center"/>
        </w:trPr>
        <w:tc>
          <w:tcPr>
            <w:tcW w:w="567" w:type="dxa"/>
            <w:shd w:val="clear" w:color="auto" w:fill="auto"/>
          </w:tcPr>
          <w:p w14:paraId="7769F9E0" w14:textId="77777777" w:rsidR="001C2F95" w:rsidRPr="00730A4A" w:rsidRDefault="001C2F95" w:rsidP="00971FD2">
            <w:pPr>
              <w:rPr>
                <w:rFonts w:cs="Arial"/>
                <w:sz w:val="22"/>
                <w:szCs w:val="20"/>
                <w:lang w:val="fr-CD"/>
              </w:rPr>
            </w:pPr>
            <w:r w:rsidRPr="00730A4A">
              <w:rPr>
                <w:rFonts w:cs="Arial"/>
                <w:sz w:val="22"/>
                <w:szCs w:val="20"/>
                <w:lang w:val="fr-CD"/>
              </w:rPr>
              <w:t>7</w:t>
            </w:r>
          </w:p>
        </w:tc>
        <w:tc>
          <w:tcPr>
            <w:tcW w:w="8902" w:type="dxa"/>
            <w:shd w:val="clear" w:color="auto" w:fill="auto"/>
          </w:tcPr>
          <w:p w14:paraId="37A3F8A4" w14:textId="77777777" w:rsidR="001C2F95" w:rsidRPr="00730A4A" w:rsidRDefault="001C2F95" w:rsidP="00971FD2">
            <w:pPr>
              <w:rPr>
                <w:rFonts w:cs="Arial"/>
                <w:sz w:val="22"/>
                <w:szCs w:val="20"/>
                <w:lang w:val="fr-CD"/>
              </w:rPr>
            </w:pPr>
            <w:r w:rsidRPr="00730A4A">
              <w:rPr>
                <w:rFonts w:cs="Arial"/>
                <w:sz w:val="22"/>
                <w:szCs w:val="20"/>
                <w:lang w:val="fr-CD"/>
              </w:rPr>
              <w:t>Formation fluviale (c.-à-d. Réalignement, contraction ou approfondissement d'un chenal fluvial existant, ou excavation d'un nouveau chenal fluvial).</w:t>
            </w:r>
          </w:p>
        </w:tc>
      </w:tr>
      <w:tr w:rsidR="001C2F95" w:rsidRPr="00AE6302" w14:paraId="3AD30F19" w14:textId="77777777" w:rsidTr="00730A4A">
        <w:trPr>
          <w:jc w:val="center"/>
        </w:trPr>
        <w:tc>
          <w:tcPr>
            <w:tcW w:w="567" w:type="dxa"/>
            <w:shd w:val="clear" w:color="auto" w:fill="auto"/>
          </w:tcPr>
          <w:p w14:paraId="4BBEEB49" w14:textId="77777777" w:rsidR="001C2F95" w:rsidRPr="00730A4A" w:rsidRDefault="001C2F95" w:rsidP="00971FD2">
            <w:pPr>
              <w:rPr>
                <w:rFonts w:cs="Arial"/>
                <w:sz w:val="22"/>
                <w:szCs w:val="20"/>
                <w:lang w:val="fr-CD"/>
              </w:rPr>
            </w:pPr>
            <w:r w:rsidRPr="00730A4A">
              <w:rPr>
                <w:rFonts w:cs="Arial"/>
                <w:sz w:val="22"/>
                <w:szCs w:val="20"/>
                <w:lang w:val="fr-CD"/>
              </w:rPr>
              <w:t>8</w:t>
            </w:r>
          </w:p>
        </w:tc>
        <w:tc>
          <w:tcPr>
            <w:tcW w:w="8902" w:type="dxa"/>
            <w:shd w:val="clear" w:color="auto" w:fill="auto"/>
          </w:tcPr>
          <w:p w14:paraId="765520AA" w14:textId="77777777" w:rsidR="001C2F95" w:rsidRPr="00730A4A" w:rsidRDefault="001C2F95" w:rsidP="00971FD2">
            <w:pPr>
              <w:rPr>
                <w:rFonts w:cs="Arial"/>
                <w:sz w:val="22"/>
                <w:szCs w:val="20"/>
                <w:lang w:val="fr-CD"/>
              </w:rPr>
            </w:pPr>
            <w:r w:rsidRPr="00730A4A">
              <w:rPr>
                <w:rFonts w:cs="Arial"/>
                <w:sz w:val="22"/>
                <w:szCs w:val="20"/>
                <w:lang w:val="fr-CD"/>
              </w:rPr>
              <w:t>Activités qui entraîneront la prise involontaire des terres, la relocalisation des ménages, la perte des biens/avoirs ou l'accès à des avoirs entraînant une perte de sources de revenus ou d'autres moyens de subsistance, et une interférence avec l'utilisation des terres et des moyens de subsistance par les ménages.</w:t>
            </w:r>
          </w:p>
        </w:tc>
      </w:tr>
      <w:tr w:rsidR="001C2F95" w:rsidRPr="00AE6302" w14:paraId="54AA53C9" w14:textId="77777777" w:rsidTr="00730A4A">
        <w:trPr>
          <w:jc w:val="center"/>
        </w:trPr>
        <w:tc>
          <w:tcPr>
            <w:tcW w:w="567" w:type="dxa"/>
            <w:shd w:val="clear" w:color="auto" w:fill="auto"/>
          </w:tcPr>
          <w:p w14:paraId="4DF6F6F1" w14:textId="77777777" w:rsidR="001C2F95" w:rsidRPr="00730A4A" w:rsidRDefault="001C2F95" w:rsidP="00971FD2">
            <w:pPr>
              <w:rPr>
                <w:rFonts w:cs="Arial"/>
                <w:sz w:val="22"/>
                <w:szCs w:val="20"/>
                <w:lang w:val="fr-CD"/>
              </w:rPr>
            </w:pPr>
            <w:r w:rsidRPr="00730A4A">
              <w:rPr>
                <w:rFonts w:cs="Arial"/>
                <w:sz w:val="22"/>
                <w:szCs w:val="20"/>
                <w:lang w:val="fr-CD"/>
              </w:rPr>
              <w:t>9</w:t>
            </w:r>
          </w:p>
        </w:tc>
        <w:tc>
          <w:tcPr>
            <w:tcW w:w="8902" w:type="dxa"/>
            <w:shd w:val="clear" w:color="auto" w:fill="auto"/>
          </w:tcPr>
          <w:p w14:paraId="166C529F" w14:textId="77777777" w:rsidR="001C2F95" w:rsidRPr="00730A4A" w:rsidRDefault="001C2F95" w:rsidP="00971FD2">
            <w:pPr>
              <w:rPr>
                <w:rFonts w:cs="Arial"/>
                <w:sz w:val="22"/>
                <w:szCs w:val="20"/>
                <w:lang w:val="fr-CD"/>
              </w:rPr>
            </w:pPr>
            <w:r w:rsidRPr="00730A4A">
              <w:rPr>
                <w:rFonts w:cs="Arial"/>
                <w:sz w:val="22"/>
                <w:szCs w:val="20"/>
                <w:lang w:val="fr-CD"/>
              </w:rPr>
              <w:t>Construction de nouvelles routes, réalignement des routes, ou extension des routes, ou réhabilitation des routes qui sont actuellement situées dans des zones touchées par le virus Ebola.</w:t>
            </w:r>
          </w:p>
        </w:tc>
      </w:tr>
      <w:tr w:rsidR="001C2F95" w:rsidRPr="00AE6302" w14:paraId="4E6220AF" w14:textId="77777777" w:rsidTr="00730A4A">
        <w:trPr>
          <w:jc w:val="center"/>
        </w:trPr>
        <w:tc>
          <w:tcPr>
            <w:tcW w:w="567" w:type="dxa"/>
            <w:shd w:val="clear" w:color="auto" w:fill="auto"/>
          </w:tcPr>
          <w:p w14:paraId="255D1E70" w14:textId="77777777" w:rsidR="001C2F95" w:rsidRPr="00730A4A" w:rsidRDefault="001C2F95" w:rsidP="00971FD2">
            <w:pPr>
              <w:rPr>
                <w:rFonts w:cs="Arial"/>
                <w:sz w:val="22"/>
                <w:szCs w:val="20"/>
                <w:lang w:val="fr-CD"/>
              </w:rPr>
            </w:pPr>
            <w:r w:rsidRPr="00730A4A">
              <w:rPr>
                <w:rFonts w:cs="Arial"/>
                <w:sz w:val="22"/>
                <w:szCs w:val="20"/>
                <w:lang w:val="fr-CD"/>
              </w:rPr>
              <w:t>10</w:t>
            </w:r>
          </w:p>
        </w:tc>
        <w:tc>
          <w:tcPr>
            <w:tcW w:w="8902" w:type="dxa"/>
            <w:shd w:val="clear" w:color="auto" w:fill="auto"/>
          </w:tcPr>
          <w:p w14:paraId="00656F0E" w14:textId="77777777" w:rsidR="001C2F95" w:rsidRPr="00730A4A" w:rsidRDefault="001C2F95" w:rsidP="00971FD2">
            <w:pPr>
              <w:rPr>
                <w:rFonts w:cs="Arial"/>
                <w:sz w:val="22"/>
                <w:szCs w:val="20"/>
                <w:lang w:val="fr-CD"/>
              </w:rPr>
            </w:pPr>
            <w:r w:rsidRPr="00730A4A">
              <w:rPr>
                <w:rFonts w:cs="Arial"/>
                <w:sz w:val="22"/>
                <w:szCs w:val="20"/>
                <w:lang w:val="fr-CD"/>
              </w:rPr>
              <w:t>Les travaux de construction, ou l'utilisation de biens et d'équipements sur des terres abandonnées en raison de tensions, conflits sociaux, ou la propriété du terrain est contestée ou ne peut être établie, ni prouvée.</w:t>
            </w:r>
          </w:p>
        </w:tc>
      </w:tr>
      <w:tr w:rsidR="001C2F95" w:rsidRPr="00AE6302" w14:paraId="7E10F39F" w14:textId="77777777" w:rsidTr="00730A4A">
        <w:trPr>
          <w:jc w:val="center"/>
        </w:trPr>
        <w:tc>
          <w:tcPr>
            <w:tcW w:w="567" w:type="dxa"/>
            <w:shd w:val="clear" w:color="auto" w:fill="auto"/>
          </w:tcPr>
          <w:p w14:paraId="258CC70C" w14:textId="77777777" w:rsidR="001C2F95" w:rsidRPr="00730A4A" w:rsidRDefault="001C2F95" w:rsidP="00971FD2">
            <w:pPr>
              <w:rPr>
                <w:rFonts w:cs="Arial"/>
                <w:sz w:val="22"/>
                <w:szCs w:val="20"/>
                <w:lang w:val="fr-CD"/>
              </w:rPr>
            </w:pPr>
            <w:r w:rsidRPr="00730A4A">
              <w:rPr>
                <w:rFonts w:cs="Arial"/>
                <w:sz w:val="22"/>
                <w:szCs w:val="20"/>
                <w:lang w:val="fr-CD"/>
              </w:rPr>
              <w:t>11</w:t>
            </w:r>
          </w:p>
        </w:tc>
        <w:tc>
          <w:tcPr>
            <w:tcW w:w="8902" w:type="dxa"/>
            <w:shd w:val="clear" w:color="auto" w:fill="auto"/>
          </w:tcPr>
          <w:p w14:paraId="24BCE7AF" w14:textId="77777777" w:rsidR="001C2F95" w:rsidRPr="00730A4A" w:rsidRDefault="001C2F95" w:rsidP="00971FD2">
            <w:pPr>
              <w:rPr>
                <w:rFonts w:cs="Arial"/>
                <w:sz w:val="22"/>
                <w:szCs w:val="20"/>
                <w:lang w:val="fr-CD"/>
              </w:rPr>
            </w:pPr>
            <w:r w:rsidRPr="00730A4A">
              <w:rPr>
                <w:rFonts w:cs="Arial"/>
                <w:sz w:val="22"/>
                <w:szCs w:val="20"/>
                <w:lang w:val="fr-CD"/>
              </w:rPr>
              <w:t>Travaux de construction, ou utilisation de biens et équipements pour démolir ou retirer des actifs, sauf si la propriété des actifs peut être vérifiée et les propriétaires consultés.</w:t>
            </w:r>
          </w:p>
        </w:tc>
      </w:tr>
      <w:tr w:rsidR="001C2F95" w:rsidRPr="00AE6302" w14:paraId="61BBA649" w14:textId="77777777" w:rsidTr="00730A4A">
        <w:trPr>
          <w:jc w:val="center"/>
        </w:trPr>
        <w:tc>
          <w:tcPr>
            <w:tcW w:w="567" w:type="dxa"/>
            <w:shd w:val="clear" w:color="auto" w:fill="auto"/>
          </w:tcPr>
          <w:p w14:paraId="6B5F0CCD" w14:textId="77777777" w:rsidR="001C2F95" w:rsidRPr="00730A4A" w:rsidRDefault="001C2F95" w:rsidP="00971FD2">
            <w:pPr>
              <w:rPr>
                <w:rFonts w:cs="Arial"/>
                <w:sz w:val="22"/>
                <w:szCs w:val="20"/>
                <w:lang w:val="fr-CD"/>
              </w:rPr>
            </w:pPr>
            <w:r w:rsidRPr="00730A4A">
              <w:rPr>
                <w:rFonts w:cs="Arial"/>
                <w:sz w:val="22"/>
                <w:szCs w:val="20"/>
                <w:lang w:val="fr-CD"/>
              </w:rPr>
              <w:t>12</w:t>
            </w:r>
          </w:p>
        </w:tc>
        <w:tc>
          <w:tcPr>
            <w:tcW w:w="8902" w:type="dxa"/>
            <w:shd w:val="clear" w:color="auto" w:fill="auto"/>
          </w:tcPr>
          <w:p w14:paraId="387AFFFF" w14:textId="77777777" w:rsidR="001C2F95" w:rsidRPr="00730A4A" w:rsidRDefault="001C2F95" w:rsidP="00971FD2">
            <w:pPr>
              <w:rPr>
                <w:rFonts w:cs="Arial"/>
                <w:sz w:val="22"/>
                <w:szCs w:val="20"/>
                <w:lang w:val="fr-CD"/>
              </w:rPr>
            </w:pPr>
            <w:r w:rsidRPr="00730A4A">
              <w:rPr>
                <w:rFonts w:cs="Arial"/>
                <w:sz w:val="22"/>
                <w:szCs w:val="20"/>
                <w:lang w:val="fr-CD"/>
              </w:rPr>
              <w:t>Travaux de construction ou utilisations de biens et d'équipements impliquant le travail forcé, le travail des enfants ou d'autres formes de travail nuisibles ou exploitables.</w:t>
            </w:r>
          </w:p>
        </w:tc>
      </w:tr>
      <w:tr w:rsidR="001C2F95" w:rsidRPr="00AE6302" w14:paraId="4425E95F" w14:textId="77777777" w:rsidTr="00730A4A">
        <w:trPr>
          <w:jc w:val="center"/>
        </w:trPr>
        <w:tc>
          <w:tcPr>
            <w:tcW w:w="567" w:type="dxa"/>
            <w:shd w:val="clear" w:color="auto" w:fill="auto"/>
          </w:tcPr>
          <w:p w14:paraId="76E737C0" w14:textId="77777777" w:rsidR="001C2F95" w:rsidRPr="00730A4A" w:rsidRDefault="001C2F95" w:rsidP="00971FD2">
            <w:pPr>
              <w:rPr>
                <w:rFonts w:cs="Arial"/>
                <w:sz w:val="22"/>
                <w:szCs w:val="20"/>
                <w:lang w:val="fr-CD"/>
              </w:rPr>
            </w:pPr>
            <w:r w:rsidRPr="00730A4A">
              <w:rPr>
                <w:rFonts w:cs="Arial"/>
                <w:sz w:val="22"/>
                <w:szCs w:val="20"/>
                <w:lang w:val="fr-CD"/>
              </w:rPr>
              <w:t>13</w:t>
            </w:r>
          </w:p>
        </w:tc>
        <w:tc>
          <w:tcPr>
            <w:tcW w:w="8902" w:type="dxa"/>
            <w:shd w:val="clear" w:color="auto" w:fill="auto"/>
          </w:tcPr>
          <w:p w14:paraId="1F52BCE9" w14:textId="77777777" w:rsidR="001C2F95" w:rsidRPr="00730A4A" w:rsidRDefault="001C2F95" w:rsidP="00971FD2">
            <w:pPr>
              <w:rPr>
                <w:rFonts w:cs="Arial"/>
                <w:sz w:val="22"/>
                <w:szCs w:val="20"/>
                <w:lang w:val="fr-CD"/>
              </w:rPr>
            </w:pPr>
            <w:r w:rsidRPr="00730A4A">
              <w:rPr>
                <w:rFonts w:cs="Arial"/>
                <w:sz w:val="22"/>
                <w:szCs w:val="20"/>
                <w:lang w:val="fr-CD"/>
              </w:rPr>
              <w:t>Travaux de construction ou utilisations de biens et d'équipements pour des activités qui affecteraient les peuples autochtones, à moins d’élaborer un CPPA, un PPA ou à défaut qu'une consultation et un large soutien aient été documentés et confirmés avant le début des activités.</w:t>
            </w:r>
          </w:p>
        </w:tc>
      </w:tr>
      <w:tr w:rsidR="001C2F95" w:rsidRPr="00AE6302" w14:paraId="1464E441" w14:textId="77777777" w:rsidTr="00730A4A">
        <w:trPr>
          <w:jc w:val="center"/>
        </w:trPr>
        <w:tc>
          <w:tcPr>
            <w:tcW w:w="567" w:type="dxa"/>
            <w:shd w:val="clear" w:color="auto" w:fill="auto"/>
          </w:tcPr>
          <w:p w14:paraId="7D76BA39" w14:textId="77777777" w:rsidR="001C2F95" w:rsidRPr="00730A4A" w:rsidRDefault="001C2F95" w:rsidP="00971FD2">
            <w:pPr>
              <w:rPr>
                <w:rFonts w:cs="Arial"/>
                <w:sz w:val="22"/>
                <w:szCs w:val="20"/>
                <w:lang w:val="fr-CD"/>
              </w:rPr>
            </w:pPr>
            <w:r w:rsidRPr="00730A4A">
              <w:rPr>
                <w:rFonts w:cs="Arial"/>
                <w:sz w:val="22"/>
                <w:szCs w:val="20"/>
                <w:lang w:val="fr-CD"/>
              </w:rPr>
              <w:t>14</w:t>
            </w:r>
          </w:p>
        </w:tc>
        <w:tc>
          <w:tcPr>
            <w:tcW w:w="8902" w:type="dxa"/>
            <w:shd w:val="clear" w:color="auto" w:fill="auto"/>
          </w:tcPr>
          <w:p w14:paraId="4ED31F4E" w14:textId="77777777" w:rsidR="001C2F95" w:rsidRPr="00730A4A" w:rsidRDefault="001C2F95" w:rsidP="00971FD2">
            <w:pPr>
              <w:rPr>
                <w:rFonts w:cs="Arial"/>
                <w:sz w:val="22"/>
                <w:szCs w:val="20"/>
                <w:lang w:val="fr-CD"/>
              </w:rPr>
            </w:pPr>
            <w:r w:rsidRPr="00730A4A">
              <w:rPr>
                <w:rFonts w:cs="Arial"/>
                <w:sz w:val="22"/>
                <w:szCs w:val="20"/>
                <w:lang w:val="fr-CD"/>
              </w:rPr>
              <w:t>Travaux de construction ou utilisations de biens et d'équipements à des fins militaires ou paramilitaires.</w:t>
            </w:r>
          </w:p>
        </w:tc>
      </w:tr>
      <w:tr w:rsidR="001C2F95" w:rsidRPr="00AE6302" w14:paraId="2C57E402" w14:textId="77777777" w:rsidTr="00730A4A">
        <w:trPr>
          <w:jc w:val="center"/>
        </w:trPr>
        <w:tc>
          <w:tcPr>
            <w:tcW w:w="567" w:type="dxa"/>
            <w:shd w:val="clear" w:color="auto" w:fill="auto"/>
          </w:tcPr>
          <w:p w14:paraId="7D95612F" w14:textId="77777777" w:rsidR="001C2F95" w:rsidRPr="00730A4A" w:rsidRDefault="001C2F95" w:rsidP="00971FD2">
            <w:pPr>
              <w:rPr>
                <w:rFonts w:cs="Arial"/>
                <w:sz w:val="22"/>
                <w:szCs w:val="20"/>
                <w:lang w:val="fr-CD"/>
              </w:rPr>
            </w:pPr>
            <w:r w:rsidRPr="00730A4A">
              <w:rPr>
                <w:rFonts w:cs="Arial"/>
                <w:sz w:val="22"/>
                <w:szCs w:val="20"/>
                <w:lang w:val="fr-CD"/>
              </w:rPr>
              <w:t>15</w:t>
            </w:r>
          </w:p>
        </w:tc>
        <w:tc>
          <w:tcPr>
            <w:tcW w:w="8902" w:type="dxa"/>
            <w:shd w:val="clear" w:color="auto" w:fill="auto"/>
          </w:tcPr>
          <w:p w14:paraId="66BE4487" w14:textId="77777777" w:rsidR="001C2F95" w:rsidRPr="00730A4A" w:rsidRDefault="001C2F95" w:rsidP="00971FD2">
            <w:pPr>
              <w:rPr>
                <w:rFonts w:cs="Arial"/>
                <w:sz w:val="22"/>
                <w:szCs w:val="20"/>
                <w:lang w:val="fr-CD"/>
              </w:rPr>
            </w:pPr>
            <w:r w:rsidRPr="00730A4A">
              <w:rPr>
                <w:rFonts w:cs="Arial"/>
                <w:sz w:val="22"/>
                <w:szCs w:val="20"/>
                <w:lang w:val="fr-CD"/>
              </w:rPr>
              <w:t>Travaux de construction, ou utilisation de biens et d'équipements en réponse à un conflit, dans toute zone où des opérations militaires ou de groupes armés sont actives.</w:t>
            </w:r>
          </w:p>
        </w:tc>
      </w:tr>
      <w:tr w:rsidR="001C2F95" w:rsidRPr="00AE6302" w14:paraId="1D04216B" w14:textId="77777777" w:rsidTr="00730A4A">
        <w:trPr>
          <w:jc w:val="center"/>
        </w:trPr>
        <w:tc>
          <w:tcPr>
            <w:tcW w:w="567" w:type="dxa"/>
            <w:shd w:val="clear" w:color="auto" w:fill="auto"/>
          </w:tcPr>
          <w:p w14:paraId="42D2E8F5" w14:textId="77777777" w:rsidR="001C2F95" w:rsidRPr="00730A4A" w:rsidRDefault="001C2F95" w:rsidP="00971FD2">
            <w:pPr>
              <w:rPr>
                <w:rFonts w:cs="Arial"/>
                <w:sz w:val="22"/>
                <w:szCs w:val="20"/>
                <w:lang w:val="fr-CD"/>
              </w:rPr>
            </w:pPr>
            <w:r w:rsidRPr="00730A4A">
              <w:rPr>
                <w:rFonts w:cs="Arial"/>
                <w:sz w:val="22"/>
                <w:szCs w:val="20"/>
                <w:lang w:val="fr-CD"/>
              </w:rPr>
              <w:t>16</w:t>
            </w:r>
          </w:p>
        </w:tc>
        <w:tc>
          <w:tcPr>
            <w:tcW w:w="8902" w:type="dxa"/>
            <w:shd w:val="clear" w:color="auto" w:fill="auto"/>
          </w:tcPr>
          <w:p w14:paraId="303FDCBE" w14:textId="77777777" w:rsidR="001C2F95" w:rsidRPr="00730A4A" w:rsidRDefault="001C2F95" w:rsidP="00971FD2">
            <w:pPr>
              <w:rPr>
                <w:rFonts w:cs="Arial"/>
                <w:sz w:val="22"/>
                <w:szCs w:val="20"/>
                <w:lang w:val="fr-CD"/>
              </w:rPr>
            </w:pPr>
            <w:r w:rsidRPr="00730A4A">
              <w:rPr>
                <w:rFonts w:cs="Arial"/>
                <w:sz w:val="22"/>
                <w:szCs w:val="20"/>
                <w:lang w:val="fr-CD"/>
              </w:rPr>
              <w:t>Activités liées au retour des réfugiés et des populations déplacées.</w:t>
            </w:r>
          </w:p>
        </w:tc>
      </w:tr>
      <w:tr w:rsidR="001C2F95" w:rsidRPr="00AE6302" w14:paraId="545EFE3A" w14:textId="77777777" w:rsidTr="00730A4A">
        <w:trPr>
          <w:jc w:val="center"/>
        </w:trPr>
        <w:tc>
          <w:tcPr>
            <w:tcW w:w="567" w:type="dxa"/>
            <w:shd w:val="clear" w:color="auto" w:fill="auto"/>
          </w:tcPr>
          <w:p w14:paraId="4282C8C8" w14:textId="77777777" w:rsidR="001C2F95" w:rsidRPr="00730A4A" w:rsidRDefault="001C2F95" w:rsidP="00971FD2">
            <w:pPr>
              <w:rPr>
                <w:rFonts w:cs="Arial"/>
                <w:sz w:val="22"/>
                <w:szCs w:val="20"/>
                <w:lang w:val="fr-CD"/>
              </w:rPr>
            </w:pPr>
            <w:r w:rsidRPr="00730A4A">
              <w:rPr>
                <w:rFonts w:cs="Arial"/>
                <w:sz w:val="22"/>
                <w:szCs w:val="20"/>
                <w:lang w:val="fr-CD"/>
              </w:rPr>
              <w:t>17</w:t>
            </w:r>
          </w:p>
        </w:tc>
        <w:tc>
          <w:tcPr>
            <w:tcW w:w="8902" w:type="dxa"/>
            <w:shd w:val="clear" w:color="auto" w:fill="auto"/>
          </w:tcPr>
          <w:p w14:paraId="2E5D825D" w14:textId="77777777" w:rsidR="001C2F95" w:rsidRPr="00730A4A" w:rsidRDefault="001C2F95" w:rsidP="00971FD2">
            <w:pPr>
              <w:rPr>
                <w:rFonts w:cs="Arial"/>
                <w:sz w:val="22"/>
                <w:szCs w:val="20"/>
                <w:lang w:val="fr-CD"/>
              </w:rPr>
            </w:pPr>
            <w:r w:rsidRPr="00730A4A">
              <w:rPr>
                <w:rFonts w:cs="Arial"/>
                <w:sz w:val="22"/>
                <w:szCs w:val="20"/>
                <w:lang w:val="fr-CD"/>
              </w:rPr>
              <w:t>Activités qui, lorsqu'elles sont exécutées, affectent ou impliquent l'utilisation de l'eau des rivières ou d'autres masses d'eau (ou de leurs affluents) qui traversent ou sont bordées par des pays autres que l'Emprunteur, Bénéficiaire, de telle manière quant à modifier de quelque manière que ce soit la qualité ou la quantité d'eau qui coule vers ou à la frontière de ces pays.</w:t>
            </w:r>
          </w:p>
        </w:tc>
      </w:tr>
      <w:tr w:rsidR="001C2F95" w:rsidRPr="00AE6302" w14:paraId="4646BF20" w14:textId="77777777" w:rsidTr="00730A4A">
        <w:trPr>
          <w:jc w:val="center"/>
        </w:trPr>
        <w:tc>
          <w:tcPr>
            <w:tcW w:w="567" w:type="dxa"/>
            <w:shd w:val="clear" w:color="auto" w:fill="auto"/>
          </w:tcPr>
          <w:p w14:paraId="5B4BEC1B" w14:textId="77777777" w:rsidR="001C2F95" w:rsidRPr="00730A4A" w:rsidRDefault="001C2F95" w:rsidP="00971FD2">
            <w:pPr>
              <w:rPr>
                <w:rFonts w:cs="Arial"/>
                <w:color w:val="000000"/>
                <w:sz w:val="22"/>
                <w:szCs w:val="20"/>
                <w:lang w:val="fr-CD"/>
              </w:rPr>
            </w:pPr>
            <w:r w:rsidRPr="00730A4A">
              <w:rPr>
                <w:rFonts w:cs="Arial"/>
                <w:color w:val="000000"/>
                <w:sz w:val="22"/>
                <w:szCs w:val="20"/>
                <w:lang w:val="fr-CD"/>
              </w:rPr>
              <w:lastRenderedPageBreak/>
              <w:t>18</w:t>
            </w:r>
          </w:p>
        </w:tc>
        <w:tc>
          <w:tcPr>
            <w:tcW w:w="8902" w:type="dxa"/>
            <w:shd w:val="clear" w:color="auto" w:fill="auto"/>
          </w:tcPr>
          <w:p w14:paraId="0AADBD60" w14:textId="77777777" w:rsidR="001C2F95" w:rsidRPr="00730A4A" w:rsidRDefault="001C2F95" w:rsidP="00971FD2">
            <w:pPr>
              <w:rPr>
                <w:rFonts w:cs="Arial"/>
                <w:sz w:val="22"/>
                <w:szCs w:val="20"/>
                <w:lang w:val="fr-CD"/>
              </w:rPr>
            </w:pPr>
            <w:r w:rsidRPr="00730A4A">
              <w:rPr>
                <w:rFonts w:cs="Arial"/>
                <w:sz w:val="22"/>
                <w:szCs w:val="20"/>
                <w:lang w:val="fr-CD"/>
              </w:rPr>
              <w:t>Utilisation de matériaux de construction à base d'amiante pour les travaux de reconstruction.</w:t>
            </w:r>
          </w:p>
        </w:tc>
      </w:tr>
    </w:tbl>
    <w:p w14:paraId="231F11C2" w14:textId="77777777" w:rsidR="001C2F95" w:rsidRDefault="001C2F95" w:rsidP="001C2F95">
      <w:pPr>
        <w:rPr>
          <w:rFonts w:cs="Arial"/>
          <w:sz w:val="22"/>
        </w:rPr>
      </w:pPr>
    </w:p>
    <w:p w14:paraId="79F8FEDD" w14:textId="2CA5EEDE" w:rsidR="00D20A53" w:rsidRDefault="00D20A53" w:rsidP="00D20A53">
      <w:pPr>
        <w:rPr>
          <w:rFonts w:cs="Arial"/>
          <w:sz w:val="22"/>
        </w:rPr>
      </w:pPr>
      <w:r>
        <w:rPr>
          <w:rFonts w:cs="Arial"/>
          <w:sz w:val="22"/>
        </w:rPr>
        <w:t>Il est important de signaler que l</w:t>
      </w:r>
      <w:r w:rsidRPr="00D20A53">
        <w:rPr>
          <w:rFonts w:cs="Arial"/>
          <w:sz w:val="22"/>
        </w:rPr>
        <w:t>e type de</w:t>
      </w:r>
      <w:r>
        <w:rPr>
          <w:rFonts w:cs="Arial"/>
          <w:sz w:val="22"/>
        </w:rPr>
        <w:t>s</w:t>
      </w:r>
      <w:r w:rsidRPr="00D20A53">
        <w:rPr>
          <w:rFonts w:cs="Arial"/>
          <w:sz w:val="22"/>
        </w:rPr>
        <w:t xml:space="preserve"> sous-projets (</w:t>
      </w:r>
      <w:r w:rsidR="00EB7F94">
        <w:rPr>
          <w:rFonts w:cs="Arial"/>
          <w:sz w:val="22"/>
        </w:rPr>
        <w:t>C</w:t>
      </w:r>
      <w:r w:rsidRPr="00D20A53">
        <w:rPr>
          <w:rFonts w:cs="Arial"/>
          <w:sz w:val="22"/>
        </w:rPr>
        <w:t xml:space="preserve">omposante 2) concernés </w:t>
      </w:r>
      <w:r>
        <w:rPr>
          <w:rFonts w:cs="Arial"/>
          <w:sz w:val="22"/>
        </w:rPr>
        <w:t>par le Programme sont d</w:t>
      </w:r>
      <w:r w:rsidRPr="00D20A53">
        <w:rPr>
          <w:rFonts w:cs="Arial"/>
          <w:sz w:val="22"/>
        </w:rPr>
        <w:t>es projets de réhabilitation des routes de desserte agricole, réhabilitation et construction des ouvrages de franchissement (pont, dalots), réhabilitation des voies navigables et construction/aménagement des ports fluviaux, réhabilitation et construction des infrastructures de commercialisation (marchés et entrepôts), construction des magasins de stockage des produits phytosanitaires et vétérinaires et travaux d’aménagement des étangs piscicoles</w:t>
      </w:r>
      <w:r>
        <w:rPr>
          <w:rFonts w:cs="Arial"/>
          <w:sz w:val="22"/>
        </w:rPr>
        <w:t>.</w:t>
      </w:r>
      <w:r w:rsidR="00372F9C">
        <w:rPr>
          <w:rFonts w:cs="Arial"/>
          <w:sz w:val="22"/>
        </w:rPr>
        <w:t>L</w:t>
      </w:r>
      <w:r w:rsidR="00372F9C" w:rsidRPr="00372F9C">
        <w:rPr>
          <w:rFonts w:cs="Arial"/>
          <w:sz w:val="22"/>
        </w:rPr>
        <w:t>e projet regroupera dans la mesure du possible les études afin de produire un nombre gérable de documents</w:t>
      </w:r>
      <w:r w:rsidR="00372F9C" w:rsidDel="00372F9C">
        <w:rPr>
          <w:rFonts w:cs="Arial"/>
          <w:sz w:val="22"/>
        </w:rPr>
        <w:t xml:space="preserve"> </w:t>
      </w:r>
      <w:r>
        <w:rPr>
          <w:rFonts w:cs="Arial"/>
          <w:sz w:val="22"/>
        </w:rPr>
        <w:t>.</w:t>
      </w:r>
    </w:p>
    <w:p w14:paraId="605657BF" w14:textId="77777777" w:rsidR="00D20A53" w:rsidRPr="00AE6302" w:rsidRDefault="00D20A53" w:rsidP="001C2F95">
      <w:pPr>
        <w:rPr>
          <w:rFonts w:cs="Arial"/>
          <w:sz w:val="22"/>
        </w:rPr>
      </w:pPr>
    </w:p>
    <w:p w14:paraId="6B713724" w14:textId="77777777" w:rsidR="001C2F95" w:rsidRPr="00AE6302" w:rsidRDefault="001C2F95" w:rsidP="001C2F95">
      <w:pPr>
        <w:pStyle w:val="Titre2"/>
        <w:numPr>
          <w:ilvl w:val="1"/>
          <w:numId w:val="4"/>
        </w:numPr>
        <w:ind w:left="851" w:hanging="425"/>
        <w:rPr>
          <w:rFonts w:cs="Arial"/>
          <w:b/>
          <w:sz w:val="22"/>
          <w:szCs w:val="22"/>
        </w:rPr>
      </w:pPr>
      <w:bookmarkStart w:id="196" w:name="_Toc44626801"/>
      <w:bookmarkStart w:id="197" w:name="_Toc70330345"/>
      <w:r w:rsidRPr="00AE6302">
        <w:rPr>
          <w:rFonts w:cs="Arial"/>
          <w:b/>
          <w:sz w:val="22"/>
          <w:szCs w:val="22"/>
        </w:rPr>
        <w:t>Dispositif de la mise en œuvre du Projet</w:t>
      </w:r>
      <w:bookmarkEnd w:id="196"/>
      <w:bookmarkEnd w:id="197"/>
    </w:p>
    <w:p w14:paraId="715D4A79" w14:textId="77777777" w:rsidR="001C2F95" w:rsidRPr="00AE6302" w:rsidRDefault="001C2F95" w:rsidP="001C2F95">
      <w:pPr>
        <w:rPr>
          <w:rFonts w:cs="Arial"/>
          <w:sz w:val="22"/>
        </w:rPr>
      </w:pPr>
    </w:p>
    <w:p w14:paraId="22FF0177" w14:textId="77777777" w:rsidR="001C2F95" w:rsidRPr="00AE6302" w:rsidRDefault="001C2F95" w:rsidP="001C2F95">
      <w:pPr>
        <w:rPr>
          <w:rFonts w:cs="Arial"/>
          <w:sz w:val="22"/>
        </w:rPr>
      </w:pPr>
      <w:r w:rsidRPr="00AE6302">
        <w:rPr>
          <w:rFonts w:cs="Arial"/>
          <w:sz w:val="22"/>
        </w:rPr>
        <w:t>L’Arrêté ministériel n°001/CAB/MIN/AGRI/ABC/LTN/2019 du 01 janvier 20</w:t>
      </w:r>
      <w:r w:rsidR="003D09C9">
        <w:rPr>
          <w:rFonts w:cs="Arial"/>
          <w:sz w:val="22"/>
        </w:rPr>
        <w:t>19</w:t>
      </w:r>
      <w:r w:rsidRPr="00AE6302">
        <w:rPr>
          <w:rFonts w:cs="Arial"/>
          <w:sz w:val="22"/>
        </w:rPr>
        <w:t xml:space="preserve"> portant désignation des membres du Comité Technique Préparatoire et de de Suivi du nouveau Programme National de Développement Agricole est composé des membres issus des institutions suivantes :</w:t>
      </w:r>
    </w:p>
    <w:p w14:paraId="2BE7EF4C" w14:textId="77777777" w:rsidR="001C2F95" w:rsidRPr="00AE6302" w:rsidRDefault="001C2F95" w:rsidP="001C2F95">
      <w:pPr>
        <w:rPr>
          <w:rFonts w:cs="Arial"/>
          <w:sz w:val="22"/>
        </w:rPr>
      </w:pPr>
    </w:p>
    <w:p w14:paraId="7BD411DE" w14:textId="77777777" w:rsidR="001C2F95" w:rsidRPr="00AE6302" w:rsidRDefault="001C2F95" w:rsidP="002378EA">
      <w:pPr>
        <w:pStyle w:val="Paragraphedeliste"/>
        <w:numPr>
          <w:ilvl w:val="0"/>
          <w:numId w:val="33"/>
        </w:numPr>
        <w:rPr>
          <w:rFonts w:cs="Arial"/>
          <w:sz w:val="22"/>
        </w:rPr>
      </w:pPr>
      <w:r w:rsidRPr="00AE6302">
        <w:rPr>
          <w:rFonts w:cs="Arial"/>
          <w:sz w:val="22"/>
        </w:rPr>
        <w:t>Secrétariat Général du Ministère de l’Agriculture, Président ;</w:t>
      </w:r>
    </w:p>
    <w:p w14:paraId="11BE7AFF" w14:textId="77777777" w:rsidR="001C2F95" w:rsidRPr="00AE6302" w:rsidRDefault="001C2F95" w:rsidP="002378EA">
      <w:pPr>
        <w:pStyle w:val="Paragraphedeliste"/>
        <w:numPr>
          <w:ilvl w:val="0"/>
          <w:numId w:val="33"/>
        </w:numPr>
        <w:rPr>
          <w:rFonts w:cs="Arial"/>
          <w:sz w:val="22"/>
        </w:rPr>
      </w:pPr>
      <w:r w:rsidRPr="00AE6302">
        <w:rPr>
          <w:rFonts w:cs="Arial"/>
          <w:sz w:val="22"/>
        </w:rPr>
        <w:t>Direction d’Études et Planification (DEP) du Ministère de l’Agriculture, Directeur et Coordonnateur du CTPS ;</w:t>
      </w:r>
    </w:p>
    <w:p w14:paraId="53813A2A" w14:textId="77777777" w:rsidR="001C2F95" w:rsidRPr="00AE6302" w:rsidRDefault="001C2F95" w:rsidP="002378EA">
      <w:pPr>
        <w:pStyle w:val="Paragraphedeliste"/>
        <w:numPr>
          <w:ilvl w:val="0"/>
          <w:numId w:val="33"/>
        </w:numPr>
        <w:rPr>
          <w:rFonts w:cs="Arial"/>
          <w:sz w:val="22"/>
        </w:rPr>
      </w:pPr>
      <w:r w:rsidRPr="00AE6302">
        <w:rPr>
          <w:rFonts w:cs="Arial"/>
          <w:sz w:val="22"/>
        </w:rPr>
        <w:t>Ministère de l’Agriculture, Directeur de Cabinet ;</w:t>
      </w:r>
    </w:p>
    <w:p w14:paraId="1FA13992" w14:textId="77777777" w:rsidR="001C2F95" w:rsidRPr="00AE6302" w:rsidRDefault="001C2F95" w:rsidP="002378EA">
      <w:pPr>
        <w:pStyle w:val="Paragraphedeliste"/>
        <w:numPr>
          <w:ilvl w:val="0"/>
          <w:numId w:val="33"/>
        </w:numPr>
        <w:rPr>
          <w:rFonts w:cs="Arial"/>
          <w:sz w:val="22"/>
        </w:rPr>
      </w:pPr>
      <w:r w:rsidRPr="00AE6302">
        <w:rPr>
          <w:rFonts w:cs="Arial"/>
          <w:sz w:val="22"/>
        </w:rPr>
        <w:t>Ministère de Développement Rural ;</w:t>
      </w:r>
    </w:p>
    <w:p w14:paraId="072A677D" w14:textId="77777777" w:rsidR="001C2F95" w:rsidRPr="00AE6302" w:rsidRDefault="001C2F95" w:rsidP="002378EA">
      <w:pPr>
        <w:pStyle w:val="Paragraphedeliste"/>
        <w:numPr>
          <w:ilvl w:val="0"/>
          <w:numId w:val="33"/>
        </w:numPr>
        <w:rPr>
          <w:rFonts w:cs="Arial"/>
          <w:sz w:val="22"/>
        </w:rPr>
      </w:pPr>
      <w:r w:rsidRPr="00AE6302">
        <w:rPr>
          <w:rFonts w:cs="Arial"/>
          <w:sz w:val="22"/>
        </w:rPr>
        <w:t>Ministère de Pêche et Élevage ;</w:t>
      </w:r>
    </w:p>
    <w:p w14:paraId="00D0EAE6" w14:textId="77777777" w:rsidR="001C2F95" w:rsidRPr="00AE6302" w:rsidRDefault="001C2F95" w:rsidP="002378EA">
      <w:pPr>
        <w:pStyle w:val="Paragraphedeliste"/>
        <w:numPr>
          <w:ilvl w:val="0"/>
          <w:numId w:val="33"/>
        </w:numPr>
        <w:rPr>
          <w:rFonts w:cs="Arial"/>
          <w:sz w:val="22"/>
        </w:rPr>
      </w:pPr>
      <w:r w:rsidRPr="00AE6302">
        <w:rPr>
          <w:rFonts w:cs="Arial"/>
          <w:sz w:val="22"/>
        </w:rPr>
        <w:t>Service National de Semences (SENASEM) ;</w:t>
      </w:r>
    </w:p>
    <w:p w14:paraId="69D02DC7" w14:textId="77777777" w:rsidR="001C2F95" w:rsidRPr="00AE6302" w:rsidRDefault="001C2F95" w:rsidP="002378EA">
      <w:pPr>
        <w:pStyle w:val="Paragraphedeliste"/>
        <w:numPr>
          <w:ilvl w:val="0"/>
          <w:numId w:val="33"/>
        </w:numPr>
        <w:rPr>
          <w:rFonts w:cs="Arial"/>
          <w:sz w:val="22"/>
        </w:rPr>
      </w:pPr>
      <w:r w:rsidRPr="00AE6302">
        <w:rPr>
          <w:rFonts w:cs="Arial"/>
          <w:sz w:val="22"/>
        </w:rPr>
        <w:t>Service National de Vulgarisation (SNV) ;</w:t>
      </w:r>
    </w:p>
    <w:p w14:paraId="72791C49" w14:textId="77777777" w:rsidR="001C2F95" w:rsidRPr="00AE6302" w:rsidRDefault="001C2F95" w:rsidP="002378EA">
      <w:pPr>
        <w:pStyle w:val="Paragraphedeliste"/>
        <w:numPr>
          <w:ilvl w:val="0"/>
          <w:numId w:val="33"/>
        </w:numPr>
        <w:rPr>
          <w:rFonts w:cs="Arial"/>
          <w:sz w:val="22"/>
        </w:rPr>
      </w:pPr>
      <w:r w:rsidRPr="00AE6302">
        <w:rPr>
          <w:rFonts w:cs="Arial"/>
          <w:sz w:val="22"/>
        </w:rPr>
        <w:t>SAKSS / Agriculture ;</w:t>
      </w:r>
    </w:p>
    <w:p w14:paraId="2B3EFE87" w14:textId="77777777" w:rsidR="001C2F95" w:rsidRPr="00AE6302" w:rsidRDefault="001C2F95" w:rsidP="002378EA">
      <w:pPr>
        <w:pStyle w:val="Paragraphedeliste"/>
        <w:numPr>
          <w:ilvl w:val="0"/>
          <w:numId w:val="33"/>
        </w:numPr>
        <w:rPr>
          <w:rFonts w:cs="Arial"/>
          <w:sz w:val="22"/>
        </w:rPr>
      </w:pPr>
      <w:r w:rsidRPr="00AE6302">
        <w:rPr>
          <w:rFonts w:cs="Arial"/>
          <w:sz w:val="22"/>
        </w:rPr>
        <w:t>Institut National des Études et des Recherches Agronomiques (INERA)</w:t>
      </w:r>
    </w:p>
    <w:p w14:paraId="2AB74B00" w14:textId="77777777" w:rsidR="001C2F95" w:rsidRPr="00AE6302" w:rsidRDefault="001C2F95" w:rsidP="002378EA">
      <w:pPr>
        <w:pStyle w:val="Paragraphedeliste"/>
        <w:numPr>
          <w:ilvl w:val="0"/>
          <w:numId w:val="33"/>
        </w:numPr>
        <w:rPr>
          <w:rFonts w:cs="Arial"/>
          <w:sz w:val="22"/>
        </w:rPr>
      </w:pPr>
      <w:r w:rsidRPr="00AE6302">
        <w:rPr>
          <w:rFonts w:cs="Arial"/>
          <w:sz w:val="22"/>
        </w:rPr>
        <w:t>Cellule d’Analyse des Indicateurs de Développement / Primaire</w:t>
      </w:r>
    </w:p>
    <w:p w14:paraId="54C4FD31" w14:textId="77777777" w:rsidR="001C2F95" w:rsidRPr="00AE6302" w:rsidRDefault="001C2F95" w:rsidP="002378EA">
      <w:pPr>
        <w:pStyle w:val="Paragraphedeliste"/>
        <w:numPr>
          <w:ilvl w:val="0"/>
          <w:numId w:val="33"/>
        </w:numPr>
        <w:rPr>
          <w:rFonts w:cs="Arial"/>
          <w:sz w:val="22"/>
        </w:rPr>
      </w:pPr>
      <w:r w:rsidRPr="00AE6302">
        <w:rPr>
          <w:rFonts w:cs="Arial"/>
          <w:sz w:val="22"/>
        </w:rPr>
        <w:t>Programme National de Nutrition (PRONANUT) ;</w:t>
      </w:r>
    </w:p>
    <w:p w14:paraId="24321180" w14:textId="77777777" w:rsidR="001C2F95" w:rsidRPr="00AE6302" w:rsidRDefault="001C2F95" w:rsidP="002378EA">
      <w:pPr>
        <w:pStyle w:val="Paragraphedeliste"/>
        <w:numPr>
          <w:ilvl w:val="0"/>
          <w:numId w:val="33"/>
        </w:numPr>
        <w:rPr>
          <w:rFonts w:cs="Arial"/>
          <w:sz w:val="22"/>
        </w:rPr>
      </w:pPr>
      <w:r w:rsidRPr="00AE6302">
        <w:rPr>
          <w:rFonts w:cs="Arial"/>
          <w:sz w:val="22"/>
        </w:rPr>
        <w:t>Fédération des Entreprises au Congo (FEC) ;</w:t>
      </w:r>
    </w:p>
    <w:p w14:paraId="2FD62707" w14:textId="77777777" w:rsidR="001C2F95" w:rsidRPr="00AE6302" w:rsidRDefault="001C2F95" w:rsidP="002378EA">
      <w:pPr>
        <w:pStyle w:val="Paragraphedeliste"/>
        <w:numPr>
          <w:ilvl w:val="0"/>
          <w:numId w:val="33"/>
        </w:numPr>
        <w:rPr>
          <w:rFonts w:cs="Arial"/>
          <w:sz w:val="22"/>
        </w:rPr>
      </w:pPr>
      <w:r w:rsidRPr="00AE6302">
        <w:rPr>
          <w:rFonts w:cs="Arial"/>
          <w:sz w:val="22"/>
        </w:rPr>
        <w:t>Confédération des Producteurs Agricoles au Congo (CONAPAC) ;</w:t>
      </w:r>
    </w:p>
    <w:p w14:paraId="45A414FB" w14:textId="77777777" w:rsidR="001C2F95" w:rsidRPr="00AE6302" w:rsidRDefault="001C2F95" w:rsidP="002378EA">
      <w:pPr>
        <w:pStyle w:val="Paragraphedeliste"/>
        <w:numPr>
          <w:ilvl w:val="0"/>
          <w:numId w:val="33"/>
        </w:numPr>
        <w:rPr>
          <w:rFonts w:cs="Arial"/>
          <w:sz w:val="22"/>
        </w:rPr>
      </w:pPr>
      <w:r w:rsidRPr="00AE6302">
        <w:rPr>
          <w:rFonts w:cs="Arial"/>
          <w:sz w:val="22"/>
        </w:rPr>
        <w:t>Faculté des Sciences / UNIKIN ;</w:t>
      </w:r>
    </w:p>
    <w:p w14:paraId="42C5A811" w14:textId="77777777" w:rsidR="001C2F95" w:rsidRPr="00AE6302" w:rsidRDefault="001C2F95" w:rsidP="002378EA">
      <w:pPr>
        <w:pStyle w:val="Paragraphedeliste"/>
        <w:numPr>
          <w:ilvl w:val="0"/>
          <w:numId w:val="33"/>
        </w:numPr>
        <w:rPr>
          <w:rFonts w:cs="Arial"/>
          <w:sz w:val="22"/>
        </w:rPr>
      </w:pPr>
      <w:r w:rsidRPr="00AE6302">
        <w:rPr>
          <w:rFonts w:cs="Arial"/>
          <w:sz w:val="22"/>
        </w:rPr>
        <w:t>Faculté des Sciences Agronomiques de l’UNIKIN ;</w:t>
      </w:r>
    </w:p>
    <w:p w14:paraId="33CD6792" w14:textId="77777777" w:rsidR="001C2F95" w:rsidRPr="00AE6302" w:rsidRDefault="001C2F95" w:rsidP="002378EA">
      <w:pPr>
        <w:pStyle w:val="Paragraphedeliste"/>
        <w:numPr>
          <w:ilvl w:val="0"/>
          <w:numId w:val="33"/>
        </w:numPr>
        <w:rPr>
          <w:rFonts w:cs="Arial"/>
          <w:sz w:val="22"/>
        </w:rPr>
      </w:pPr>
      <w:r w:rsidRPr="00AE6302">
        <w:rPr>
          <w:rFonts w:cs="Arial"/>
          <w:sz w:val="22"/>
        </w:rPr>
        <w:t>Coordination du PARRSA FA ;</w:t>
      </w:r>
    </w:p>
    <w:p w14:paraId="6A0B2C3F" w14:textId="77777777" w:rsidR="001C2F95" w:rsidRPr="00AE6302" w:rsidRDefault="001C2F95" w:rsidP="002378EA">
      <w:pPr>
        <w:pStyle w:val="Paragraphedeliste"/>
        <w:numPr>
          <w:ilvl w:val="0"/>
          <w:numId w:val="33"/>
        </w:numPr>
        <w:rPr>
          <w:rFonts w:cs="Arial"/>
          <w:sz w:val="22"/>
        </w:rPr>
      </w:pPr>
      <w:r w:rsidRPr="00AE6302">
        <w:rPr>
          <w:rFonts w:cs="Arial"/>
          <w:sz w:val="22"/>
        </w:rPr>
        <w:t>Corps des Inspecteurs Nationaux ; et</w:t>
      </w:r>
    </w:p>
    <w:p w14:paraId="49AD4F6B" w14:textId="77777777" w:rsidR="001C2F95" w:rsidRPr="00AE6302" w:rsidRDefault="001C2F95" w:rsidP="002378EA">
      <w:pPr>
        <w:pStyle w:val="Paragraphedeliste"/>
        <w:numPr>
          <w:ilvl w:val="0"/>
          <w:numId w:val="33"/>
        </w:numPr>
        <w:rPr>
          <w:rFonts w:cs="Arial"/>
          <w:sz w:val="22"/>
        </w:rPr>
      </w:pPr>
      <w:r w:rsidRPr="00AE6302">
        <w:rPr>
          <w:rFonts w:cs="Arial"/>
          <w:sz w:val="22"/>
        </w:rPr>
        <w:t>Clinique Centre Agronomique et Vétérinaire Tropical de Kinshasa  CAVTK.</w:t>
      </w:r>
    </w:p>
    <w:p w14:paraId="18CC903E" w14:textId="77777777" w:rsidR="001C2F95" w:rsidRPr="00AE6302" w:rsidRDefault="001C2F95" w:rsidP="001C2F95">
      <w:pPr>
        <w:rPr>
          <w:rFonts w:cs="Arial"/>
          <w:sz w:val="22"/>
        </w:rPr>
      </w:pPr>
    </w:p>
    <w:p w14:paraId="7AC6623A" w14:textId="77777777" w:rsidR="001C2F95" w:rsidRPr="00AE6302" w:rsidRDefault="00EB7F94" w:rsidP="001C2F95">
      <w:pPr>
        <w:rPr>
          <w:rFonts w:cs="Arial"/>
          <w:sz w:val="22"/>
        </w:rPr>
      </w:pPr>
      <w:r>
        <w:rPr>
          <w:rFonts w:cs="Arial"/>
          <w:color w:val="222222"/>
          <w:sz w:val="22"/>
        </w:rPr>
        <w:t>À</w:t>
      </w:r>
      <w:r w:rsidR="001C2F95" w:rsidRPr="00AE6302">
        <w:rPr>
          <w:rFonts w:cs="Arial"/>
          <w:color w:val="222222"/>
          <w:sz w:val="22"/>
        </w:rPr>
        <w:t xml:space="preserve"> ce stade, </w:t>
      </w:r>
      <w:r w:rsidR="001C2F95" w:rsidRPr="00AE6302">
        <w:rPr>
          <w:rFonts w:cs="Arial"/>
          <w:color w:val="000000"/>
          <w:sz w:val="22"/>
        </w:rPr>
        <w:t>le dispositif institutionnel de coordination du projet et de la gestion fiduciaire principale est sous la responsabilité globale de la Coordination du PARRSA FA en collaboration avec le Comité Technique Préparatoire et de Suivi du PNDA.</w:t>
      </w:r>
    </w:p>
    <w:p w14:paraId="27B344C1" w14:textId="77777777" w:rsidR="001C2F95" w:rsidRPr="00AE6302" w:rsidRDefault="001C2F95" w:rsidP="001C2F95">
      <w:pPr>
        <w:rPr>
          <w:rFonts w:cs="Arial"/>
          <w:sz w:val="22"/>
        </w:rPr>
      </w:pPr>
    </w:p>
    <w:p w14:paraId="2361795B" w14:textId="77777777" w:rsidR="00D20A53" w:rsidRDefault="00D20A53">
      <w:pPr>
        <w:spacing w:after="160" w:line="259" w:lineRule="auto"/>
        <w:jc w:val="left"/>
        <w:rPr>
          <w:rFonts w:cs="Arial"/>
          <w:b/>
          <w:bCs/>
          <w:sz w:val="22"/>
        </w:rPr>
      </w:pPr>
      <w:bookmarkStart w:id="198" w:name="_Toc476049900"/>
      <w:bookmarkStart w:id="199" w:name="_Toc506176070"/>
      <w:bookmarkStart w:id="200" w:name="_Toc44626802"/>
      <w:r>
        <w:rPr>
          <w:rFonts w:cs="Arial"/>
          <w:b/>
          <w:sz w:val="22"/>
        </w:rPr>
        <w:br w:type="page"/>
      </w:r>
    </w:p>
    <w:p w14:paraId="6D795858" w14:textId="77777777" w:rsidR="001C2F95" w:rsidRPr="00AE6302" w:rsidRDefault="001C2F95" w:rsidP="001C2F95">
      <w:pPr>
        <w:pStyle w:val="Titre2"/>
        <w:numPr>
          <w:ilvl w:val="1"/>
          <w:numId w:val="4"/>
        </w:numPr>
        <w:ind w:left="851" w:hanging="425"/>
        <w:rPr>
          <w:rFonts w:cs="Arial"/>
          <w:b/>
          <w:sz w:val="22"/>
          <w:szCs w:val="22"/>
        </w:rPr>
      </w:pPr>
      <w:bookmarkStart w:id="201" w:name="_Toc70330346"/>
      <w:r w:rsidRPr="00AE6302">
        <w:rPr>
          <w:rFonts w:cs="Arial"/>
          <w:b/>
          <w:sz w:val="22"/>
          <w:szCs w:val="22"/>
        </w:rPr>
        <w:lastRenderedPageBreak/>
        <w:t>Coût de la mise en œuvre</w:t>
      </w:r>
      <w:bookmarkEnd w:id="198"/>
      <w:bookmarkEnd w:id="199"/>
      <w:bookmarkEnd w:id="200"/>
      <w:bookmarkEnd w:id="201"/>
    </w:p>
    <w:p w14:paraId="633F2253" w14:textId="77777777" w:rsidR="001C2F95" w:rsidRPr="00AE6302" w:rsidRDefault="001C2F95" w:rsidP="001C2F95">
      <w:pPr>
        <w:rPr>
          <w:rFonts w:cs="Arial"/>
          <w:bCs/>
          <w:sz w:val="22"/>
        </w:rPr>
      </w:pPr>
    </w:p>
    <w:p w14:paraId="0814BBD3" w14:textId="77777777" w:rsidR="001C2F95" w:rsidRPr="00AE6302" w:rsidRDefault="001C2F95" w:rsidP="001C2F95">
      <w:pPr>
        <w:rPr>
          <w:rFonts w:cs="Arial"/>
          <w:bCs/>
          <w:sz w:val="22"/>
        </w:rPr>
      </w:pPr>
      <w:r w:rsidRPr="00AE6302">
        <w:rPr>
          <w:rFonts w:cs="Arial"/>
          <w:bCs/>
          <w:sz w:val="22"/>
        </w:rPr>
        <w:t>Le coût de mise en œuvre du PNDA première phase de 5 ans est estimé à 500 millions de dollars américains, répartis par composante dans le tableau 2 ci-dessous.</w:t>
      </w:r>
    </w:p>
    <w:p w14:paraId="1E762FD2" w14:textId="77777777" w:rsidR="001C2F95" w:rsidRPr="00AE6302" w:rsidRDefault="001C2F95" w:rsidP="001C2F95">
      <w:pPr>
        <w:jc w:val="left"/>
        <w:rPr>
          <w:rFonts w:cs="Arial"/>
          <w:sz w:val="22"/>
        </w:rPr>
      </w:pPr>
    </w:p>
    <w:p w14:paraId="37155E89" w14:textId="77777777" w:rsidR="001C2F95" w:rsidRPr="00AE6302" w:rsidRDefault="001C2F95" w:rsidP="001C2F95">
      <w:pPr>
        <w:jc w:val="left"/>
        <w:rPr>
          <w:rFonts w:cs="Arial"/>
          <w:bCs/>
          <w:sz w:val="22"/>
        </w:rPr>
      </w:pPr>
      <w:bookmarkStart w:id="202" w:name="_Toc70451648"/>
      <w:r w:rsidRPr="00AE6302">
        <w:rPr>
          <w:rFonts w:cs="Arial"/>
          <w:sz w:val="22"/>
        </w:rPr>
        <w:t xml:space="preserve">Tableau </w:t>
      </w:r>
      <w:r w:rsidRPr="00AE6302">
        <w:rPr>
          <w:rFonts w:cs="Arial"/>
          <w:sz w:val="22"/>
        </w:rPr>
        <w:fldChar w:fldCharType="begin"/>
      </w:r>
      <w:r w:rsidRPr="00AE6302">
        <w:rPr>
          <w:rFonts w:cs="Arial"/>
          <w:sz w:val="22"/>
        </w:rPr>
        <w:instrText xml:space="preserve"> SEQ Tableau \* ARABIC </w:instrText>
      </w:r>
      <w:r w:rsidRPr="00AE6302">
        <w:rPr>
          <w:rFonts w:cs="Arial"/>
          <w:sz w:val="22"/>
        </w:rPr>
        <w:fldChar w:fldCharType="separate"/>
      </w:r>
      <w:r w:rsidR="001260B3">
        <w:rPr>
          <w:rFonts w:cs="Arial"/>
          <w:noProof/>
          <w:sz w:val="22"/>
        </w:rPr>
        <w:t>2</w:t>
      </w:r>
      <w:r w:rsidRPr="00AE6302">
        <w:rPr>
          <w:rFonts w:cs="Arial"/>
          <w:sz w:val="22"/>
        </w:rPr>
        <w:fldChar w:fldCharType="end"/>
      </w:r>
      <w:r w:rsidRPr="00AE6302">
        <w:rPr>
          <w:rFonts w:cs="Arial"/>
          <w:sz w:val="22"/>
        </w:rPr>
        <w:t>.</w:t>
      </w:r>
      <w:r w:rsidRPr="00AE6302">
        <w:rPr>
          <w:rFonts w:cs="Arial"/>
          <w:bCs/>
          <w:sz w:val="22"/>
        </w:rPr>
        <w:t xml:space="preserve"> Coûts du Projet par composante</w:t>
      </w:r>
      <w:bookmarkEnd w:id="202"/>
    </w:p>
    <w:p w14:paraId="49D8800A" w14:textId="77777777" w:rsidR="00AE3A4F" w:rsidRPr="00AE6302" w:rsidRDefault="00AE3A4F" w:rsidP="001C2F95">
      <w:pPr>
        <w:rPr>
          <w:rFonts w:cs="Arial"/>
          <w:sz w:val="22"/>
        </w:rPr>
      </w:pPr>
    </w:p>
    <w:tbl>
      <w:tblPr>
        <w:tblW w:w="9072" w:type="dxa"/>
        <w:tblInd w:w="-5" w:type="dxa"/>
        <w:tblCellMar>
          <w:left w:w="70" w:type="dxa"/>
          <w:right w:w="70" w:type="dxa"/>
        </w:tblCellMar>
        <w:tblLook w:val="04A0" w:firstRow="1" w:lastRow="0" w:firstColumn="1" w:lastColumn="0" w:noHBand="0" w:noVBand="1"/>
      </w:tblPr>
      <w:tblGrid>
        <w:gridCol w:w="6663"/>
        <w:gridCol w:w="2409"/>
      </w:tblGrid>
      <w:tr w:rsidR="001C2F95" w:rsidRPr="00AE6302" w14:paraId="39D21D2B" w14:textId="77777777" w:rsidTr="00971FD2">
        <w:trPr>
          <w:trHeight w:val="540"/>
        </w:trPr>
        <w:tc>
          <w:tcPr>
            <w:tcW w:w="6663"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11B4EA69" w14:textId="77777777" w:rsidR="001C2F95" w:rsidRPr="00AE6302" w:rsidRDefault="001C2F95" w:rsidP="00971FD2">
            <w:pPr>
              <w:spacing w:line="240" w:lineRule="auto"/>
              <w:jc w:val="center"/>
              <w:rPr>
                <w:rFonts w:cs="Arial"/>
                <w:color w:val="000000"/>
                <w:sz w:val="22"/>
              </w:rPr>
            </w:pPr>
            <w:r w:rsidRPr="00AE6302">
              <w:rPr>
                <w:rFonts w:cs="Arial"/>
                <w:color w:val="000000"/>
                <w:sz w:val="22"/>
              </w:rPr>
              <w:t>Composantes</w:t>
            </w:r>
          </w:p>
        </w:tc>
        <w:tc>
          <w:tcPr>
            <w:tcW w:w="2409" w:type="dxa"/>
            <w:tcBorders>
              <w:top w:val="single" w:sz="4" w:space="0" w:color="auto"/>
              <w:left w:val="nil"/>
              <w:bottom w:val="single" w:sz="4" w:space="0" w:color="auto"/>
              <w:right w:val="single" w:sz="4" w:space="0" w:color="auto"/>
            </w:tcBorders>
            <w:shd w:val="clear" w:color="000000" w:fill="C5E0B3"/>
            <w:vAlign w:val="center"/>
            <w:hideMark/>
          </w:tcPr>
          <w:p w14:paraId="64916B66" w14:textId="77777777" w:rsidR="001C2F95" w:rsidRPr="00AE6302" w:rsidRDefault="001C2F95" w:rsidP="00971FD2">
            <w:pPr>
              <w:spacing w:line="240" w:lineRule="auto"/>
              <w:jc w:val="center"/>
              <w:rPr>
                <w:rFonts w:cs="Arial"/>
                <w:color w:val="000000"/>
                <w:sz w:val="22"/>
              </w:rPr>
            </w:pPr>
            <w:r w:rsidRPr="00AE6302">
              <w:rPr>
                <w:rFonts w:cs="Arial"/>
                <w:color w:val="000000"/>
                <w:sz w:val="22"/>
              </w:rPr>
              <w:t>Coûts en Million USD</w:t>
            </w:r>
          </w:p>
        </w:tc>
      </w:tr>
      <w:tr w:rsidR="001C2F95" w:rsidRPr="00AE6302" w14:paraId="050336E2" w14:textId="77777777" w:rsidTr="00971FD2">
        <w:trPr>
          <w:trHeight w:val="277"/>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4CB5D0CA" w14:textId="77777777" w:rsidR="001C2F95" w:rsidRPr="00AE6302" w:rsidRDefault="001C2F95" w:rsidP="00971FD2">
            <w:pPr>
              <w:spacing w:line="240" w:lineRule="auto"/>
              <w:rPr>
                <w:rFonts w:cs="Arial"/>
                <w:color w:val="222222"/>
                <w:sz w:val="22"/>
              </w:rPr>
            </w:pPr>
            <w:r w:rsidRPr="00AE6302">
              <w:rPr>
                <w:rFonts w:cs="Arial"/>
                <w:color w:val="222222"/>
                <w:sz w:val="22"/>
              </w:rPr>
              <w:t xml:space="preserve">Composante 1 : Productivité agricole </w:t>
            </w:r>
            <w:r w:rsidR="00956B53">
              <w:rPr>
                <w:rFonts w:cs="Arial"/>
                <w:color w:val="222222"/>
                <w:sz w:val="22"/>
              </w:rPr>
              <w:t>(250 Millions USD)</w:t>
            </w:r>
          </w:p>
        </w:tc>
        <w:tc>
          <w:tcPr>
            <w:tcW w:w="2409" w:type="dxa"/>
            <w:tcBorders>
              <w:top w:val="nil"/>
              <w:left w:val="nil"/>
              <w:bottom w:val="single" w:sz="4" w:space="0" w:color="auto"/>
              <w:right w:val="single" w:sz="4" w:space="0" w:color="auto"/>
            </w:tcBorders>
            <w:shd w:val="clear" w:color="auto" w:fill="auto"/>
            <w:vAlign w:val="center"/>
            <w:hideMark/>
          </w:tcPr>
          <w:p w14:paraId="7617AADF" w14:textId="77777777" w:rsidR="001C2F95" w:rsidRPr="00AE6302" w:rsidRDefault="001C2F95" w:rsidP="00971FD2">
            <w:pPr>
              <w:spacing w:line="240" w:lineRule="auto"/>
              <w:jc w:val="center"/>
              <w:rPr>
                <w:rFonts w:cs="Arial"/>
                <w:color w:val="000000"/>
                <w:sz w:val="22"/>
              </w:rPr>
            </w:pPr>
          </w:p>
        </w:tc>
      </w:tr>
      <w:tr w:rsidR="00AE3A4F" w:rsidRPr="00AE6302" w14:paraId="6C597FD4" w14:textId="77777777" w:rsidTr="00971FD2">
        <w:trPr>
          <w:trHeight w:val="277"/>
        </w:trPr>
        <w:tc>
          <w:tcPr>
            <w:tcW w:w="6663" w:type="dxa"/>
            <w:tcBorders>
              <w:top w:val="nil"/>
              <w:left w:val="single" w:sz="4" w:space="0" w:color="auto"/>
              <w:bottom w:val="single" w:sz="4" w:space="0" w:color="auto"/>
              <w:right w:val="single" w:sz="4" w:space="0" w:color="auto"/>
            </w:tcBorders>
            <w:shd w:val="clear" w:color="auto" w:fill="auto"/>
            <w:vAlign w:val="center"/>
          </w:tcPr>
          <w:p w14:paraId="675D37F8" w14:textId="77777777" w:rsidR="00AE3A4F" w:rsidRPr="00AE6302" w:rsidRDefault="00AE3A4F" w:rsidP="00AE3A4F">
            <w:pPr>
              <w:spacing w:line="240" w:lineRule="auto"/>
              <w:rPr>
                <w:rFonts w:cs="Arial"/>
                <w:color w:val="222222"/>
                <w:sz w:val="22"/>
              </w:rPr>
            </w:pPr>
            <w:r w:rsidRPr="00AE3A4F">
              <w:rPr>
                <w:rFonts w:cs="Arial"/>
                <w:color w:val="222222"/>
                <w:sz w:val="22"/>
              </w:rPr>
              <w:t xml:space="preserve">Sous-composante 1.1 : Soutien direct aux petits exploitants  </w:t>
            </w:r>
          </w:p>
        </w:tc>
        <w:tc>
          <w:tcPr>
            <w:tcW w:w="2409" w:type="dxa"/>
            <w:tcBorders>
              <w:top w:val="nil"/>
              <w:left w:val="nil"/>
              <w:bottom w:val="single" w:sz="4" w:space="0" w:color="auto"/>
              <w:right w:val="single" w:sz="4" w:space="0" w:color="auto"/>
            </w:tcBorders>
            <w:shd w:val="clear" w:color="auto" w:fill="auto"/>
            <w:vAlign w:val="center"/>
          </w:tcPr>
          <w:p w14:paraId="7E3903F3" w14:textId="77777777" w:rsidR="00AE3A4F" w:rsidRPr="00AE6302" w:rsidRDefault="00AE3A4F" w:rsidP="00AE3A4F">
            <w:pPr>
              <w:spacing w:line="240" w:lineRule="auto"/>
              <w:jc w:val="center"/>
              <w:rPr>
                <w:rFonts w:cs="Arial"/>
                <w:color w:val="000000"/>
                <w:sz w:val="22"/>
              </w:rPr>
            </w:pPr>
            <w:r>
              <w:rPr>
                <w:rFonts w:cs="Arial"/>
                <w:color w:val="000000"/>
                <w:sz w:val="22"/>
              </w:rPr>
              <w:t xml:space="preserve">240 </w:t>
            </w:r>
          </w:p>
        </w:tc>
      </w:tr>
      <w:tr w:rsidR="00AE3A4F" w:rsidRPr="00AE6302" w14:paraId="0330404F" w14:textId="77777777" w:rsidTr="00971FD2">
        <w:trPr>
          <w:trHeight w:val="277"/>
        </w:trPr>
        <w:tc>
          <w:tcPr>
            <w:tcW w:w="6663" w:type="dxa"/>
            <w:tcBorders>
              <w:top w:val="nil"/>
              <w:left w:val="single" w:sz="4" w:space="0" w:color="auto"/>
              <w:bottom w:val="single" w:sz="4" w:space="0" w:color="auto"/>
              <w:right w:val="single" w:sz="4" w:space="0" w:color="auto"/>
            </w:tcBorders>
            <w:shd w:val="clear" w:color="auto" w:fill="auto"/>
            <w:vAlign w:val="center"/>
          </w:tcPr>
          <w:p w14:paraId="4089E047" w14:textId="77777777" w:rsidR="00AE3A4F" w:rsidRPr="00AE6302" w:rsidRDefault="00AE3A4F" w:rsidP="00AE3A4F">
            <w:pPr>
              <w:spacing w:line="240" w:lineRule="auto"/>
              <w:rPr>
                <w:rFonts w:cs="Arial"/>
                <w:color w:val="222222"/>
                <w:sz w:val="22"/>
              </w:rPr>
            </w:pPr>
            <w:r w:rsidRPr="00AE3A4F">
              <w:rPr>
                <w:rFonts w:cs="Arial"/>
                <w:color w:val="222222"/>
                <w:sz w:val="22"/>
              </w:rPr>
              <w:t xml:space="preserve">Sous-composante 1.2 : Assistance technique et accès financier aux petits exploitants </w:t>
            </w:r>
          </w:p>
        </w:tc>
        <w:tc>
          <w:tcPr>
            <w:tcW w:w="2409" w:type="dxa"/>
            <w:tcBorders>
              <w:top w:val="nil"/>
              <w:left w:val="nil"/>
              <w:bottom w:val="single" w:sz="4" w:space="0" w:color="auto"/>
              <w:right w:val="single" w:sz="4" w:space="0" w:color="auto"/>
            </w:tcBorders>
            <w:shd w:val="clear" w:color="auto" w:fill="auto"/>
            <w:vAlign w:val="center"/>
          </w:tcPr>
          <w:p w14:paraId="046DCBCE" w14:textId="77777777" w:rsidR="00AE3A4F" w:rsidRPr="00AE6302" w:rsidRDefault="00AE3A4F" w:rsidP="00AE3A4F">
            <w:pPr>
              <w:spacing w:line="240" w:lineRule="auto"/>
              <w:jc w:val="center"/>
              <w:rPr>
                <w:rFonts w:cs="Arial"/>
                <w:color w:val="000000"/>
                <w:sz w:val="22"/>
              </w:rPr>
            </w:pPr>
            <w:r>
              <w:rPr>
                <w:rFonts w:cs="Arial"/>
                <w:color w:val="000000"/>
                <w:sz w:val="22"/>
              </w:rPr>
              <w:t>10</w:t>
            </w:r>
          </w:p>
        </w:tc>
      </w:tr>
      <w:tr w:rsidR="00AE3A4F" w:rsidRPr="00AE6302" w14:paraId="7DEA4B36" w14:textId="77777777" w:rsidTr="00971FD2">
        <w:trPr>
          <w:trHeight w:val="409"/>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6D1FB917" w14:textId="77777777" w:rsidR="00AE3A4F" w:rsidRPr="00AE6302" w:rsidRDefault="00AE3A4F" w:rsidP="00AE3A4F">
            <w:pPr>
              <w:spacing w:line="240" w:lineRule="auto"/>
              <w:rPr>
                <w:rFonts w:cs="Arial"/>
                <w:color w:val="222222"/>
                <w:sz w:val="22"/>
              </w:rPr>
            </w:pPr>
            <w:r w:rsidRPr="00AE6302">
              <w:rPr>
                <w:rFonts w:cs="Arial"/>
                <w:color w:val="222222"/>
                <w:sz w:val="22"/>
              </w:rPr>
              <w:t xml:space="preserve">Composante 2 : Accès au marché des petits exploitants </w:t>
            </w:r>
            <w:r w:rsidR="00956B53">
              <w:rPr>
                <w:rFonts w:cs="Arial"/>
                <w:color w:val="222222"/>
                <w:sz w:val="22"/>
              </w:rPr>
              <w:t xml:space="preserve"> (150 Millions USD)</w:t>
            </w:r>
          </w:p>
        </w:tc>
        <w:tc>
          <w:tcPr>
            <w:tcW w:w="2409" w:type="dxa"/>
            <w:tcBorders>
              <w:top w:val="nil"/>
              <w:left w:val="nil"/>
              <w:bottom w:val="single" w:sz="4" w:space="0" w:color="auto"/>
              <w:right w:val="single" w:sz="4" w:space="0" w:color="auto"/>
            </w:tcBorders>
            <w:shd w:val="clear" w:color="auto" w:fill="auto"/>
            <w:vAlign w:val="center"/>
            <w:hideMark/>
          </w:tcPr>
          <w:p w14:paraId="750C8F81" w14:textId="77777777" w:rsidR="00AE3A4F" w:rsidRPr="00AE6302" w:rsidRDefault="00AE3A4F" w:rsidP="00AE3A4F">
            <w:pPr>
              <w:spacing w:line="240" w:lineRule="auto"/>
              <w:jc w:val="center"/>
              <w:rPr>
                <w:rFonts w:cs="Arial"/>
                <w:color w:val="000000"/>
                <w:sz w:val="22"/>
              </w:rPr>
            </w:pPr>
          </w:p>
        </w:tc>
      </w:tr>
      <w:tr w:rsidR="00AE3A4F" w:rsidRPr="00AE6302" w14:paraId="7EDF5E35" w14:textId="77777777" w:rsidTr="00971FD2">
        <w:trPr>
          <w:trHeight w:val="409"/>
        </w:trPr>
        <w:tc>
          <w:tcPr>
            <w:tcW w:w="6663" w:type="dxa"/>
            <w:tcBorders>
              <w:top w:val="nil"/>
              <w:left w:val="single" w:sz="4" w:space="0" w:color="auto"/>
              <w:bottom w:val="single" w:sz="4" w:space="0" w:color="auto"/>
              <w:right w:val="single" w:sz="4" w:space="0" w:color="auto"/>
            </w:tcBorders>
            <w:shd w:val="clear" w:color="auto" w:fill="auto"/>
            <w:vAlign w:val="center"/>
          </w:tcPr>
          <w:p w14:paraId="2054407E" w14:textId="77777777" w:rsidR="00AE3A4F" w:rsidRPr="00AE6302" w:rsidRDefault="00AE3A4F" w:rsidP="00AE3A4F">
            <w:pPr>
              <w:spacing w:line="240" w:lineRule="auto"/>
              <w:rPr>
                <w:rFonts w:cs="Arial"/>
                <w:color w:val="222222"/>
                <w:sz w:val="22"/>
              </w:rPr>
            </w:pPr>
            <w:r w:rsidRPr="00AE3A4F">
              <w:rPr>
                <w:rFonts w:cs="Arial"/>
                <w:color w:val="000000"/>
                <w:sz w:val="22"/>
              </w:rPr>
              <w:t xml:space="preserve">Sous-composante 2.1 : Infrastructures rurales </w:t>
            </w:r>
          </w:p>
        </w:tc>
        <w:tc>
          <w:tcPr>
            <w:tcW w:w="2409" w:type="dxa"/>
            <w:tcBorders>
              <w:top w:val="nil"/>
              <w:left w:val="nil"/>
              <w:bottom w:val="single" w:sz="4" w:space="0" w:color="auto"/>
              <w:right w:val="single" w:sz="4" w:space="0" w:color="auto"/>
            </w:tcBorders>
            <w:shd w:val="clear" w:color="auto" w:fill="auto"/>
            <w:vAlign w:val="center"/>
          </w:tcPr>
          <w:p w14:paraId="5B3AEE93" w14:textId="77777777" w:rsidR="00AE3A4F" w:rsidRPr="00AE6302" w:rsidRDefault="00AE3A4F" w:rsidP="00AE3A4F">
            <w:pPr>
              <w:spacing w:line="240" w:lineRule="auto"/>
              <w:jc w:val="center"/>
              <w:rPr>
                <w:rFonts w:cs="Arial"/>
                <w:color w:val="000000"/>
                <w:sz w:val="22"/>
              </w:rPr>
            </w:pPr>
            <w:r>
              <w:rPr>
                <w:rFonts w:cs="Arial"/>
                <w:color w:val="000000"/>
                <w:sz w:val="22"/>
              </w:rPr>
              <w:t xml:space="preserve">110 </w:t>
            </w:r>
          </w:p>
        </w:tc>
      </w:tr>
      <w:tr w:rsidR="00AE3A4F" w:rsidRPr="00AE6302" w14:paraId="4F88628A" w14:textId="77777777" w:rsidTr="00971FD2">
        <w:trPr>
          <w:trHeight w:val="409"/>
        </w:trPr>
        <w:tc>
          <w:tcPr>
            <w:tcW w:w="6663" w:type="dxa"/>
            <w:tcBorders>
              <w:top w:val="nil"/>
              <w:left w:val="single" w:sz="4" w:space="0" w:color="auto"/>
              <w:bottom w:val="single" w:sz="4" w:space="0" w:color="auto"/>
              <w:right w:val="single" w:sz="4" w:space="0" w:color="auto"/>
            </w:tcBorders>
            <w:shd w:val="clear" w:color="auto" w:fill="auto"/>
            <w:vAlign w:val="center"/>
          </w:tcPr>
          <w:p w14:paraId="5A2E0B2B" w14:textId="77777777" w:rsidR="00AE3A4F" w:rsidRPr="00AE6302" w:rsidRDefault="00AE3A4F" w:rsidP="00AE3A4F">
            <w:pPr>
              <w:spacing w:line="240" w:lineRule="auto"/>
              <w:rPr>
                <w:rFonts w:cs="Arial"/>
                <w:color w:val="222222"/>
                <w:sz w:val="22"/>
              </w:rPr>
            </w:pPr>
            <w:r w:rsidRPr="00AE3A4F">
              <w:rPr>
                <w:rFonts w:cs="Arial"/>
                <w:color w:val="000000"/>
                <w:sz w:val="22"/>
              </w:rPr>
              <w:t xml:space="preserve">Sous-composante 2.2 : Soutien à l’inclusion des petits exploitants dans les chaînes de valeur </w:t>
            </w:r>
          </w:p>
        </w:tc>
        <w:tc>
          <w:tcPr>
            <w:tcW w:w="2409" w:type="dxa"/>
            <w:tcBorders>
              <w:top w:val="nil"/>
              <w:left w:val="nil"/>
              <w:bottom w:val="single" w:sz="4" w:space="0" w:color="auto"/>
              <w:right w:val="single" w:sz="4" w:space="0" w:color="auto"/>
            </w:tcBorders>
            <w:shd w:val="clear" w:color="auto" w:fill="auto"/>
            <w:vAlign w:val="center"/>
          </w:tcPr>
          <w:p w14:paraId="336F4A76" w14:textId="77777777" w:rsidR="00AE3A4F" w:rsidRPr="00AE6302" w:rsidRDefault="00AE3A4F" w:rsidP="00AE3A4F">
            <w:pPr>
              <w:spacing w:line="240" w:lineRule="auto"/>
              <w:jc w:val="center"/>
              <w:rPr>
                <w:rFonts w:cs="Arial"/>
                <w:color w:val="000000"/>
                <w:sz w:val="22"/>
              </w:rPr>
            </w:pPr>
            <w:r>
              <w:rPr>
                <w:rFonts w:cs="Arial"/>
                <w:color w:val="000000"/>
                <w:sz w:val="22"/>
              </w:rPr>
              <w:t>40</w:t>
            </w:r>
          </w:p>
        </w:tc>
      </w:tr>
      <w:tr w:rsidR="00AE3A4F" w:rsidRPr="00AE6302" w14:paraId="7EE59308" w14:textId="77777777" w:rsidTr="00971FD2">
        <w:trPr>
          <w:trHeight w:val="274"/>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3E392186" w14:textId="77777777" w:rsidR="00AE3A4F" w:rsidRPr="00AE6302" w:rsidRDefault="00AE3A4F" w:rsidP="00AE3A4F">
            <w:pPr>
              <w:spacing w:line="240" w:lineRule="auto"/>
              <w:rPr>
                <w:rFonts w:cs="Arial"/>
                <w:color w:val="222222"/>
                <w:sz w:val="22"/>
              </w:rPr>
            </w:pPr>
            <w:r w:rsidRPr="00AE6302">
              <w:rPr>
                <w:rFonts w:cs="Arial"/>
                <w:color w:val="222222"/>
                <w:sz w:val="22"/>
              </w:rPr>
              <w:t>Composante 3 : Biens et services publics agricoles</w:t>
            </w:r>
            <w:r w:rsidR="00956B53">
              <w:rPr>
                <w:rFonts w:cs="Arial"/>
                <w:color w:val="222222"/>
                <w:sz w:val="22"/>
              </w:rPr>
              <w:t xml:space="preserve"> (80 Millions USD)</w:t>
            </w:r>
          </w:p>
        </w:tc>
        <w:tc>
          <w:tcPr>
            <w:tcW w:w="2409" w:type="dxa"/>
            <w:tcBorders>
              <w:top w:val="nil"/>
              <w:left w:val="nil"/>
              <w:bottom w:val="single" w:sz="4" w:space="0" w:color="auto"/>
              <w:right w:val="single" w:sz="4" w:space="0" w:color="auto"/>
            </w:tcBorders>
            <w:shd w:val="clear" w:color="auto" w:fill="auto"/>
            <w:vAlign w:val="center"/>
            <w:hideMark/>
          </w:tcPr>
          <w:p w14:paraId="30C7DFE8" w14:textId="77777777" w:rsidR="00AE3A4F" w:rsidRPr="00AE6302" w:rsidRDefault="00AE3A4F" w:rsidP="00AE3A4F">
            <w:pPr>
              <w:spacing w:line="240" w:lineRule="auto"/>
              <w:jc w:val="center"/>
              <w:rPr>
                <w:rFonts w:cs="Arial"/>
                <w:color w:val="000000"/>
                <w:sz w:val="22"/>
              </w:rPr>
            </w:pPr>
          </w:p>
        </w:tc>
      </w:tr>
      <w:tr w:rsidR="00AE3A4F" w:rsidRPr="00AE6302" w14:paraId="0B1172D5" w14:textId="77777777" w:rsidTr="00971FD2">
        <w:trPr>
          <w:trHeight w:val="274"/>
        </w:trPr>
        <w:tc>
          <w:tcPr>
            <w:tcW w:w="6663" w:type="dxa"/>
            <w:tcBorders>
              <w:top w:val="nil"/>
              <w:left w:val="single" w:sz="4" w:space="0" w:color="auto"/>
              <w:bottom w:val="single" w:sz="4" w:space="0" w:color="auto"/>
              <w:right w:val="single" w:sz="4" w:space="0" w:color="auto"/>
            </w:tcBorders>
            <w:shd w:val="clear" w:color="auto" w:fill="auto"/>
            <w:vAlign w:val="center"/>
          </w:tcPr>
          <w:p w14:paraId="48468C3F" w14:textId="77777777" w:rsidR="00AE3A4F" w:rsidRPr="00AE6302" w:rsidRDefault="00AE3A4F" w:rsidP="00AE3A4F">
            <w:pPr>
              <w:spacing w:line="240" w:lineRule="auto"/>
              <w:rPr>
                <w:rFonts w:cs="Arial"/>
                <w:color w:val="222222"/>
                <w:sz w:val="22"/>
              </w:rPr>
            </w:pPr>
            <w:r w:rsidRPr="00AE3A4F">
              <w:rPr>
                <w:rFonts w:cs="Arial"/>
                <w:color w:val="000000"/>
                <w:sz w:val="22"/>
              </w:rPr>
              <w:t xml:space="preserve">Sous-composante 3.1 : Renforcement des capacités pour la fourniture de services publics agricoles </w:t>
            </w:r>
          </w:p>
        </w:tc>
        <w:tc>
          <w:tcPr>
            <w:tcW w:w="2409" w:type="dxa"/>
            <w:tcBorders>
              <w:top w:val="nil"/>
              <w:left w:val="nil"/>
              <w:bottom w:val="single" w:sz="4" w:space="0" w:color="auto"/>
              <w:right w:val="single" w:sz="4" w:space="0" w:color="auto"/>
            </w:tcBorders>
            <w:shd w:val="clear" w:color="auto" w:fill="auto"/>
            <w:vAlign w:val="center"/>
          </w:tcPr>
          <w:p w14:paraId="557F2DEB" w14:textId="77777777" w:rsidR="00AE3A4F" w:rsidRPr="00AE6302" w:rsidRDefault="00AE3A4F" w:rsidP="00AE3A4F">
            <w:pPr>
              <w:spacing w:line="240" w:lineRule="auto"/>
              <w:jc w:val="center"/>
              <w:rPr>
                <w:rFonts w:cs="Arial"/>
                <w:color w:val="000000"/>
                <w:sz w:val="22"/>
              </w:rPr>
            </w:pPr>
            <w:r>
              <w:rPr>
                <w:rFonts w:cs="Arial"/>
                <w:color w:val="000000"/>
                <w:sz w:val="22"/>
              </w:rPr>
              <w:t xml:space="preserve">30 </w:t>
            </w:r>
          </w:p>
        </w:tc>
      </w:tr>
      <w:tr w:rsidR="00AE3A4F" w:rsidRPr="00AE6302" w14:paraId="364885F9" w14:textId="77777777" w:rsidTr="00971FD2">
        <w:trPr>
          <w:trHeight w:val="274"/>
        </w:trPr>
        <w:tc>
          <w:tcPr>
            <w:tcW w:w="6663" w:type="dxa"/>
            <w:tcBorders>
              <w:top w:val="nil"/>
              <w:left w:val="single" w:sz="4" w:space="0" w:color="auto"/>
              <w:bottom w:val="single" w:sz="4" w:space="0" w:color="auto"/>
              <w:right w:val="single" w:sz="4" w:space="0" w:color="auto"/>
            </w:tcBorders>
            <w:shd w:val="clear" w:color="auto" w:fill="auto"/>
            <w:vAlign w:val="center"/>
          </w:tcPr>
          <w:p w14:paraId="376EFC6B" w14:textId="77777777" w:rsidR="00AE3A4F" w:rsidRPr="00AE6302" w:rsidRDefault="00AE3A4F" w:rsidP="00AE3A4F">
            <w:pPr>
              <w:spacing w:line="240" w:lineRule="auto"/>
              <w:rPr>
                <w:rFonts w:cs="Arial"/>
                <w:color w:val="222222"/>
                <w:sz w:val="22"/>
              </w:rPr>
            </w:pPr>
            <w:r w:rsidRPr="00AE3A4F">
              <w:rPr>
                <w:rFonts w:cs="Arial"/>
                <w:color w:val="000000"/>
                <w:sz w:val="22"/>
              </w:rPr>
              <w:t xml:space="preserve">Sous-composante 3.2 : Gestion, suivi et évaluation du programme </w:t>
            </w:r>
          </w:p>
        </w:tc>
        <w:tc>
          <w:tcPr>
            <w:tcW w:w="2409" w:type="dxa"/>
            <w:tcBorders>
              <w:top w:val="nil"/>
              <w:left w:val="nil"/>
              <w:bottom w:val="single" w:sz="4" w:space="0" w:color="auto"/>
              <w:right w:val="single" w:sz="4" w:space="0" w:color="auto"/>
            </w:tcBorders>
            <w:shd w:val="clear" w:color="auto" w:fill="auto"/>
            <w:vAlign w:val="center"/>
          </w:tcPr>
          <w:p w14:paraId="37D660B3" w14:textId="77777777" w:rsidR="00AE3A4F" w:rsidRPr="00AE6302" w:rsidRDefault="00AE3A4F" w:rsidP="00AE3A4F">
            <w:pPr>
              <w:spacing w:line="240" w:lineRule="auto"/>
              <w:jc w:val="center"/>
              <w:rPr>
                <w:rFonts w:cs="Arial"/>
                <w:color w:val="000000"/>
                <w:sz w:val="22"/>
              </w:rPr>
            </w:pPr>
            <w:r>
              <w:rPr>
                <w:rFonts w:cs="Arial"/>
                <w:color w:val="000000"/>
                <w:sz w:val="22"/>
              </w:rPr>
              <w:t xml:space="preserve">50 </w:t>
            </w:r>
          </w:p>
        </w:tc>
      </w:tr>
      <w:tr w:rsidR="00AE3A4F" w:rsidRPr="00AE6302" w14:paraId="67329948" w14:textId="77777777" w:rsidTr="00971FD2">
        <w:trPr>
          <w:trHeight w:val="270"/>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17487E39" w14:textId="77777777" w:rsidR="00AE3A4F" w:rsidRPr="00AE6302" w:rsidRDefault="00AE3A4F" w:rsidP="00AE3A4F">
            <w:pPr>
              <w:spacing w:line="240" w:lineRule="auto"/>
              <w:rPr>
                <w:rFonts w:cs="Arial"/>
                <w:color w:val="222222"/>
                <w:sz w:val="22"/>
              </w:rPr>
            </w:pPr>
            <w:r w:rsidRPr="00AE6302">
              <w:rPr>
                <w:rFonts w:cs="Arial"/>
                <w:color w:val="222222"/>
                <w:sz w:val="22"/>
              </w:rPr>
              <w:t xml:space="preserve">Composante 4 : Intervention d’urgence agricole </w:t>
            </w:r>
          </w:p>
        </w:tc>
        <w:tc>
          <w:tcPr>
            <w:tcW w:w="2409" w:type="dxa"/>
            <w:tcBorders>
              <w:top w:val="nil"/>
              <w:left w:val="nil"/>
              <w:bottom w:val="single" w:sz="4" w:space="0" w:color="auto"/>
              <w:right w:val="single" w:sz="4" w:space="0" w:color="auto"/>
            </w:tcBorders>
            <w:shd w:val="clear" w:color="auto" w:fill="auto"/>
            <w:vAlign w:val="center"/>
            <w:hideMark/>
          </w:tcPr>
          <w:p w14:paraId="531EFF3D" w14:textId="77777777" w:rsidR="00AE3A4F" w:rsidRPr="00AE6302" w:rsidRDefault="00AE3A4F" w:rsidP="00AE3A4F">
            <w:pPr>
              <w:spacing w:line="240" w:lineRule="auto"/>
              <w:jc w:val="center"/>
              <w:rPr>
                <w:rFonts w:cs="Arial"/>
                <w:color w:val="000000"/>
                <w:sz w:val="22"/>
              </w:rPr>
            </w:pPr>
            <w:r w:rsidRPr="00AE6302">
              <w:rPr>
                <w:rFonts w:cs="Arial"/>
                <w:color w:val="000000"/>
                <w:sz w:val="22"/>
              </w:rPr>
              <w:t>20</w:t>
            </w:r>
          </w:p>
        </w:tc>
      </w:tr>
      <w:tr w:rsidR="00AE3A4F" w:rsidRPr="00AE6302" w14:paraId="473E1BB7" w14:textId="77777777" w:rsidTr="0018702B">
        <w:trPr>
          <w:trHeight w:val="493"/>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14:paraId="1B2F3BFF" w14:textId="77777777" w:rsidR="00AE3A4F" w:rsidRPr="00AE6302" w:rsidRDefault="00AE3A4F" w:rsidP="00AE3A4F">
            <w:pPr>
              <w:spacing w:line="240" w:lineRule="auto"/>
              <w:jc w:val="center"/>
              <w:rPr>
                <w:rFonts w:cs="Arial"/>
                <w:color w:val="000000"/>
                <w:sz w:val="22"/>
              </w:rPr>
            </w:pPr>
            <w:r w:rsidRPr="00AE6302">
              <w:rPr>
                <w:rFonts w:cs="Arial"/>
                <w:color w:val="000000"/>
                <w:sz w:val="22"/>
              </w:rPr>
              <w:t xml:space="preserve">Total </w:t>
            </w:r>
            <w:r>
              <w:rPr>
                <w:rFonts w:cs="Arial"/>
                <w:color w:val="000000"/>
                <w:sz w:val="22"/>
              </w:rPr>
              <w:t>global des composantes</w:t>
            </w:r>
          </w:p>
        </w:tc>
        <w:tc>
          <w:tcPr>
            <w:tcW w:w="2409" w:type="dxa"/>
            <w:tcBorders>
              <w:top w:val="nil"/>
              <w:left w:val="nil"/>
              <w:bottom w:val="single" w:sz="4" w:space="0" w:color="auto"/>
              <w:right w:val="single" w:sz="4" w:space="0" w:color="auto"/>
            </w:tcBorders>
            <w:shd w:val="clear" w:color="auto" w:fill="auto"/>
            <w:vAlign w:val="center"/>
            <w:hideMark/>
          </w:tcPr>
          <w:p w14:paraId="7E1D5B22" w14:textId="77777777" w:rsidR="00AE3A4F" w:rsidRPr="00AE6302" w:rsidRDefault="00AE3A4F" w:rsidP="00AE3A4F">
            <w:pPr>
              <w:spacing w:line="240" w:lineRule="auto"/>
              <w:jc w:val="center"/>
              <w:rPr>
                <w:rFonts w:cs="Arial"/>
                <w:color w:val="000000"/>
                <w:sz w:val="22"/>
              </w:rPr>
            </w:pPr>
            <w:r w:rsidRPr="00AE6302">
              <w:rPr>
                <w:rFonts w:cs="Arial"/>
                <w:color w:val="000000"/>
                <w:sz w:val="22"/>
              </w:rPr>
              <w:t>500</w:t>
            </w:r>
          </w:p>
        </w:tc>
      </w:tr>
    </w:tbl>
    <w:p w14:paraId="34BA18C4" w14:textId="77777777" w:rsidR="001C2F95" w:rsidRPr="00AE6302" w:rsidRDefault="001C2F95" w:rsidP="001C2F95">
      <w:pPr>
        <w:pStyle w:val="Titre2"/>
        <w:ind w:left="851"/>
        <w:rPr>
          <w:rFonts w:cs="Arial"/>
          <w:b/>
          <w:sz w:val="22"/>
          <w:szCs w:val="22"/>
        </w:rPr>
      </w:pPr>
      <w:bookmarkStart w:id="203" w:name="_Toc44626803"/>
    </w:p>
    <w:p w14:paraId="6254F683" w14:textId="77777777" w:rsidR="001C2F95" w:rsidRPr="00AE6302" w:rsidRDefault="001C2F95" w:rsidP="001C2F95">
      <w:pPr>
        <w:rPr>
          <w:rFonts w:cs="Arial"/>
          <w:sz w:val="22"/>
        </w:rPr>
      </w:pPr>
    </w:p>
    <w:p w14:paraId="7081DB39" w14:textId="77777777" w:rsidR="001C2F95" w:rsidRPr="00AE6302" w:rsidRDefault="001C2F95" w:rsidP="001C2F95">
      <w:pPr>
        <w:pStyle w:val="Titre2"/>
        <w:numPr>
          <w:ilvl w:val="1"/>
          <w:numId w:val="4"/>
        </w:numPr>
        <w:ind w:left="851" w:hanging="425"/>
        <w:rPr>
          <w:rFonts w:cs="Arial"/>
          <w:b/>
          <w:sz w:val="22"/>
          <w:szCs w:val="22"/>
        </w:rPr>
      </w:pPr>
      <w:bookmarkStart w:id="204" w:name="_Toc70330347"/>
      <w:r w:rsidRPr="00AE6302">
        <w:rPr>
          <w:rFonts w:cs="Arial"/>
          <w:b/>
          <w:sz w:val="22"/>
          <w:szCs w:val="22"/>
        </w:rPr>
        <w:t>Zone d’intervention du PNDA</w:t>
      </w:r>
      <w:bookmarkEnd w:id="203"/>
      <w:bookmarkEnd w:id="204"/>
    </w:p>
    <w:p w14:paraId="40C41F87" w14:textId="77777777" w:rsidR="001C2F95" w:rsidRPr="00AE6302" w:rsidRDefault="001C2F95" w:rsidP="001C2F95">
      <w:pPr>
        <w:rPr>
          <w:rFonts w:cs="Arial"/>
          <w:bCs/>
          <w:sz w:val="22"/>
        </w:rPr>
      </w:pPr>
    </w:p>
    <w:p w14:paraId="3EFA67C4" w14:textId="77777777" w:rsidR="001C2F95" w:rsidRPr="00AE6302" w:rsidRDefault="001C2F95" w:rsidP="001C2F95">
      <w:pPr>
        <w:rPr>
          <w:rFonts w:cs="Arial"/>
          <w:bCs/>
          <w:sz w:val="22"/>
        </w:rPr>
      </w:pPr>
      <w:r w:rsidRPr="00AE6302">
        <w:rPr>
          <w:rFonts w:cs="Arial"/>
          <w:bCs/>
          <w:sz w:val="22"/>
        </w:rPr>
        <w:t xml:space="preserve">Le PNDA pour </w:t>
      </w:r>
      <w:r w:rsidRPr="00AE6302">
        <w:rPr>
          <w:rFonts w:cs="Arial"/>
          <w:sz w:val="22"/>
        </w:rPr>
        <w:t xml:space="preserve">cette première phase a une durée de cinq ans et va se réaliser dans la région du Kasaï (Provinces du Kasaï et du Kasaï Central), la région de l’Ouest (Provinces du Kongo Central et du Kwilu), et la région de l’Est (Province du Nord-Kivu) </w:t>
      </w:r>
      <w:r w:rsidRPr="00AE6302">
        <w:rPr>
          <w:rFonts w:cs="Arial"/>
          <w:bCs/>
          <w:sz w:val="22"/>
        </w:rPr>
        <w:t>représentées dans la figure 1 ci-dessous.</w:t>
      </w:r>
    </w:p>
    <w:p w14:paraId="276BAF5C" w14:textId="77777777" w:rsidR="001C2F95" w:rsidRPr="00730A4A" w:rsidRDefault="001C2F95" w:rsidP="001C2F95">
      <w:pPr>
        <w:pStyle w:val="Paragraphedeliste"/>
        <w:autoSpaceDE w:val="0"/>
        <w:autoSpaceDN w:val="0"/>
        <w:adjustRightInd w:val="0"/>
        <w:jc w:val="center"/>
        <w:rPr>
          <w:rFonts w:cs="Arial"/>
          <w:color w:val="000000"/>
          <w:sz w:val="22"/>
        </w:rPr>
      </w:pPr>
    </w:p>
    <w:p w14:paraId="69331823" w14:textId="77777777" w:rsidR="00C04217" w:rsidRPr="00730A4A" w:rsidRDefault="00C04217">
      <w:pPr>
        <w:spacing w:after="160" w:line="259" w:lineRule="auto"/>
        <w:jc w:val="left"/>
        <w:rPr>
          <w:rFonts w:cs="Arial"/>
          <w:color w:val="000000"/>
          <w:sz w:val="22"/>
        </w:rPr>
      </w:pPr>
      <w:r w:rsidRPr="00730A4A">
        <w:rPr>
          <w:rFonts w:cs="Arial"/>
          <w:color w:val="000000"/>
          <w:sz w:val="22"/>
        </w:rPr>
        <w:br w:type="page"/>
      </w:r>
    </w:p>
    <w:p w14:paraId="6831EE00" w14:textId="065356F6" w:rsidR="001C2F95" w:rsidRPr="00AE6302" w:rsidRDefault="0078696E" w:rsidP="001C2F95">
      <w:pPr>
        <w:pStyle w:val="Paragraphedeliste"/>
        <w:autoSpaceDE w:val="0"/>
        <w:autoSpaceDN w:val="0"/>
        <w:adjustRightInd w:val="0"/>
        <w:jc w:val="center"/>
        <w:rPr>
          <w:rFonts w:cs="Arial"/>
          <w:sz w:val="22"/>
        </w:rPr>
      </w:pPr>
      <w:bookmarkStart w:id="205" w:name="_Toc70320596"/>
      <w:r>
        <w:rPr>
          <w:noProof/>
        </w:rPr>
        <w:lastRenderedPageBreak/>
        <w:drawing>
          <wp:anchor distT="0" distB="0" distL="114300" distR="114300" simplePos="0" relativeHeight="251658255" behindDoc="1" locked="0" layoutInCell="1" allowOverlap="1" wp14:anchorId="7453F61C" wp14:editId="4505B090">
            <wp:simplePos x="0" y="0"/>
            <wp:positionH relativeFrom="column">
              <wp:posOffset>492125</wp:posOffset>
            </wp:positionH>
            <wp:positionV relativeFrom="paragraph">
              <wp:posOffset>119380</wp:posOffset>
            </wp:positionV>
            <wp:extent cx="5147945" cy="7273290"/>
            <wp:effectExtent l="0" t="0" r="0" b="0"/>
            <wp:wrapNone/>
            <wp:docPr id="200" name="Image 20" descr="C:\Users\user\Documents\PNDA MAI 2020\Carte P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Users\user\Documents\PNDA MAI 2020\Carte PND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7945" cy="727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F95" w:rsidRPr="00730A4A">
        <w:rPr>
          <w:rFonts w:cs="Arial"/>
          <w:color w:val="000000"/>
          <w:sz w:val="22"/>
        </w:rPr>
        <w:t xml:space="preserve">Figure </w:t>
      </w:r>
      <w:r w:rsidR="001C2F95" w:rsidRPr="00730A4A">
        <w:rPr>
          <w:rFonts w:cs="Arial"/>
          <w:color w:val="000000"/>
          <w:sz w:val="22"/>
        </w:rPr>
        <w:fldChar w:fldCharType="begin"/>
      </w:r>
      <w:r w:rsidR="001C2F95" w:rsidRPr="00730A4A">
        <w:rPr>
          <w:rFonts w:cs="Arial"/>
          <w:color w:val="000000"/>
          <w:sz w:val="22"/>
        </w:rPr>
        <w:instrText xml:space="preserve"> SEQ Figure \* ARABIC </w:instrText>
      </w:r>
      <w:r w:rsidR="001C2F95" w:rsidRPr="00730A4A">
        <w:rPr>
          <w:rFonts w:cs="Arial"/>
          <w:color w:val="000000"/>
          <w:sz w:val="22"/>
        </w:rPr>
        <w:fldChar w:fldCharType="separate"/>
      </w:r>
      <w:r w:rsidR="00DD73F5" w:rsidRPr="00730A4A">
        <w:rPr>
          <w:rFonts w:cs="Arial"/>
          <w:noProof/>
          <w:color w:val="000000"/>
          <w:sz w:val="22"/>
        </w:rPr>
        <w:t>1</w:t>
      </w:r>
      <w:r w:rsidR="001C2F95" w:rsidRPr="00730A4A">
        <w:rPr>
          <w:rFonts w:cs="Arial"/>
          <w:noProof/>
          <w:color w:val="000000"/>
          <w:sz w:val="22"/>
        </w:rPr>
        <w:fldChar w:fldCharType="end"/>
      </w:r>
      <w:r w:rsidR="001C2F95" w:rsidRPr="00730A4A">
        <w:rPr>
          <w:rFonts w:cs="Arial"/>
          <w:color w:val="000000"/>
          <w:sz w:val="22"/>
        </w:rPr>
        <w:t xml:space="preserve">. Carte localisation </w:t>
      </w:r>
      <w:r w:rsidR="001C2F95" w:rsidRPr="00AE6302">
        <w:rPr>
          <w:rFonts w:cs="Arial"/>
          <w:sz w:val="22"/>
        </w:rPr>
        <w:t>des Provinces concernées par le Projet.</w:t>
      </w:r>
      <w:bookmarkEnd w:id="205"/>
    </w:p>
    <w:p w14:paraId="5E84566E" w14:textId="77777777" w:rsidR="001C2F95" w:rsidRPr="00AE6302" w:rsidRDefault="001C2F95" w:rsidP="001C2F95">
      <w:pPr>
        <w:rPr>
          <w:rFonts w:cs="Arial"/>
          <w:bCs/>
          <w:sz w:val="22"/>
        </w:rPr>
      </w:pPr>
    </w:p>
    <w:p w14:paraId="15F4B166" w14:textId="77777777" w:rsidR="001C2F95" w:rsidRDefault="001C2F95" w:rsidP="001C2F95">
      <w:pPr>
        <w:rPr>
          <w:rFonts w:cs="Arial"/>
          <w:bCs/>
          <w:sz w:val="22"/>
        </w:rPr>
      </w:pPr>
    </w:p>
    <w:p w14:paraId="67465E0F" w14:textId="77777777" w:rsidR="001C2F95" w:rsidRDefault="001C2F95" w:rsidP="001C2F95">
      <w:pPr>
        <w:rPr>
          <w:rFonts w:cs="Arial"/>
          <w:bCs/>
          <w:sz w:val="22"/>
        </w:rPr>
      </w:pPr>
    </w:p>
    <w:p w14:paraId="119354A5" w14:textId="77777777" w:rsidR="001C2F95" w:rsidRDefault="001C2F95" w:rsidP="001C2F95">
      <w:pPr>
        <w:rPr>
          <w:rFonts w:cs="Arial"/>
          <w:bCs/>
          <w:sz w:val="22"/>
        </w:rPr>
      </w:pPr>
    </w:p>
    <w:p w14:paraId="5C2306B2" w14:textId="77777777" w:rsidR="001C2F95" w:rsidRDefault="001C2F95" w:rsidP="001C2F95">
      <w:pPr>
        <w:rPr>
          <w:rFonts w:cs="Arial"/>
          <w:bCs/>
          <w:sz w:val="22"/>
        </w:rPr>
      </w:pPr>
    </w:p>
    <w:p w14:paraId="46C4C2D0" w14:textId="77777777" w:rsidR="001C2F95" w:rsidRDefault="001C2F95" w:rsidP="001C2F95">
      <w:pPr>
        <w:rPr>
          <w:rFonts w:cs="Arial"/>
          <w:bCs/>
          <w:sz w:val="22"/>
        </w:rPr>
      </w:pPr>
    </w:p>
    <w:p w14:paraId="057291D6" w14:textId="77777777" w:rsidR="001C2F95" w:rsidRDefault="001C2F95" w:rsidP="001C2F95">
      <w:pPr>
        <w:rPr>
          <w:rFonts w:cs="Arial"/>
          <w:bCs/>
          <w:sz w:val="22"/>
        </w:rPr>
      </w:pPr>
    </w:p>
    <w:p w14:paraId="17518447" w14:textId="77777777" w:rsidR="001C2F95" w:rsidRDefault="001C2F95" w:rsidP="001C2F95">
      <w:pPr>
        <w:rPr>
          <w:rFonts w:cs="Arial"/>
          <w:bCs/>
          <w:sz w:val="22"/>
        </w:rPr>
      </w:pPr>
    </w:p>
    <w:p w14:paraId="2D4C60D9" w14:textId="77777777" w:rsidR="001C2F95" w:rsidRDefault="001C2F95" w:rsidP="001C2F95">
      <w:pPr>
        <w:rPr>
          <w:rFonts w:cs="Arial"/>
          <w:bCs/>
          <w:sz w:val="22"/>
        </w:rPr>
      </w:pPr>
    </w:p>
    <w:p w14:paraId="662C427E" w14:textId="77777777" w:rsidR="001C2F95" w:rsidRDefault="001C2F95" w:rsidP="001C2F95">
      <w:pPr>
        <w:rPr>
          <w:rFonts w:cs="Arial"/>
          <w:bCs/>
          <w:sz w:val="22"/>
        </w:rPr>
      </w:pPr>
    </w:p>
    <w:p w14:paraId="4AFFB78F" w14:textId="77777777" w:rsidR="001C2F95" w:rsidRDefault="001C2F95" w:rsidP="001C2F95">
      <w:pPr>
        <w:rPr>
          <w:rFonts w:cs="Arial"/>
          <w:bCs/>
          <w:sz w:val="22"/>
        </w:rPr>
      </w:pPr>
    </w:p>
    <w:p w14:paraId="4F31D658" w14:textId="77777777" w:rsidR="001C2F95" w:rsidRDefault="001C2F95" w:rsidP="001C2F95">
      <w:pPr>
        <w:rPr>
          <w:rFonts w:cs="Arial"/>
          <w:bCs/>
          <w:sz w:val="22"/>
        </w:rPr>
      </w:pPr>
    </w:p>
    <w:p w14:paraId="45F8CF4D" w14:textId="77777777" w:rsidR="001C2F95" w:rsidRDefault="001C2F95" w:rsidP="001C2F95">
      <w:pPr>
        <w:rPr>
          <w:rFonts w:cs="Arial"/>
          <w:bCs/>
          <w:sz w:val="22"/>
        </w:rPr>
      </w:pPr>
    </w:p>
    <w:p w14:paraId="753594F0" w14:textId="77777777" w:rsidR="001C2F95" w:rsidRDefault="001C2F95" w:rsidP="001C2F95">
      <w:pPr>
        <w:rPr>
          <w:rFonts w:cs="Arial"/>
          <w:bCs/>
          <w:sz w:val="22"/>
        </w:rPr>
      </w:pPr>
    </w:p>
    <w:p w14:paraId="239F9E78" w14:textId="77777777" w:rsidR="001C2F95" w:rsidRDefault="001C2F95" w:rsidP="001C2F95">
      <w:pPr>
        <w:rPr>
          <w:rFonts w:cs="Arial"/>
          <w:bCs/>
          <w:sz w:val="22"/>
        </w:rPr>
      </w:pPr>
    </w:p>
    <w:p w14:paraId="3D8F2EFF" w14:textId="77777777" w:rsidR="001C2F95" w:rsidRDefault="001C2F95" w:rsidP="001C2F95">
      <w:pPr>
        <w:rPr>
          <w:rFonts w:cs="Arial"/>
          <w:bCs/>
          <w:sz w:val="22"/>
        </w:rPr>
      </w:pPr>
    </w:p>
    <w:p w14:paraId="390AB877" w14:textId="77777777" w:rsidR="001C2F95" w:rsidRDefault="001C2F95" w:rsidP="001C2F95">
      <w:pPr>
        <w:rPr>
          <w:rFonts w:cs="Arial"/>
          <w:bCs/>
          <w:sz w:val="22"/>
        </w:rPr>
      </w:pPr>
    </w:p>
    <w:p w14:paraId="6B53802C" w14:textId="77777777" w:rsidR="001C2F95" w:rsidRDefault="001C2F95" w:rsidP="001C2F95">
      <w:pPr>
        <w:rPr>
          <w:rFonts w:cs="Arial"/>
          <w:bCs/>
          <w:sz w:val="22"/>
        </w:rPr>
      </w:pPr>
    </w:p>
    <w:p w14:paraId="7D691B1B" w14:textId="77777777" w:rsidR="001C2F95" w:rsidRDefault="001C2F95" w:rsidP="001C2F95">
      <w:pPr>
        <w:rPr>
          <w:rFonts w:cs="Arial"/>
          <w:bCs/>
          <w:sz w:val="22"/>
        </w:rPr>
      </w:pPr>
    </w:p>
    <w:p w14:paraId="4441D637" w14:textId="77777777" w:rsidR="001C2F95" w:rsidRDefault="001C2F95" w:rsidP="001C2F95">
      <w:pPr>
        <w:rPr>
          <w:rFonts w:cs="Arial"/>
          <w:bCs/>
          <w:sz w:val="22"/>
        </w:rPr>
      </w:pPr>
    </w:p>
    <w:p w14:paraId="2CC3DC1D" w14:textId="77777777" w:rsidR="001C2F95" w:rsidRDefault="001C2F95" w:rsidP="001C2F95">
      <w:pPr>
        <w:rPr>
          <w:rFonts w:cs="Arial"/>
          <w:bCs/>
          <w:sz w:val="22"/>
        </w:rPr>
      </w:pPr>
    </w:p>
    <w:p w14:paraId="70E02018" w14:textId="77777777" w:rsidR="001C2F95" w:rsidRDefault="001C2F95" w:rsidP="001C2F95">
      <w:pPr>
        <w:rPr>
          <w:rFonts w:cs="Arial"/>
          <w:bCs/>
          <w:sz w:val="22"/>
        </w:rPr>
      </w:pPr>
    </w:p>
    <w:p w14:paraId="613C3792" w14:textId="77777777" w:rsidR="001C2F95" w:rsidRDefault="001C2F95" w:rsidP="001C2F95">
      <w:pPr>
        <w:rPr>
          <w:rFonts w:cs="Arial"/>
          <w:bCs/>
          <w:sz w:val="22"/>
        </w:rPr>
      </w:pPr>
    </w:p>
    <w:p w14:paraId="5E2CC9CF" w14:textId="77777777" w:rsidR="001C2F95" w:rsidRDefault="001C2F95" w:rsidP="001C2F95">
      <w:pPr>
        <w:rPr>
          <w:rFonts w:cs="Arial"/>
          <w:bCs/>
          <w:sz w:val="22"/>
        </w:rPr>
      </w:pPr>
    </w:p>
    <w:p w14:paraId="7746E802" w14:textId="77777777" w:rsidR="001C2F95" w:rsidRDefault="001C2F95" w:rsidP="001C2F95">
      <w:pPr>
        <w:rPr>
          <w:rFonts w:cs="Arial"/>
          <w:bCs/>
          <w:sz w:val="22"/>
        </w:rPr>
      </w:pPr>
    </w:p>
    <w:p w14:paraId="763F7E73" w14:textId="77777777" w:rsidR="001C2F95" w:rsidRDefault="001C2F95" w:rsidP="001C2F95">
      <w:pPr>
        <w:rPr>
          <w:rFonts w:cs="Arial"/>
          <w:bCs/>
          <w:sz w:val="22"/>
        </w:rPr>
      </w:pPr>
    </w:p>
    <w:p w14:paraId="7CE2E701" w14:textId="77777777" w:rsidR="001C2F95" w:rsidRDefault="001C2F95" w:rsidP="001C2F95">
      <w:pPr>
        <w:rPr>
          <w:rFonts w:cs="Arial"/>
          <w:bCs/>
          <w:sz w:val="22"/>
        </w:rPr>
      </w:pPr>
    </w:p>
    <w:p w14:paraId="27C4FA7D" w14:textId="77777777" w:rsidR="001C2F95" w:rsidRDefault="001C2F95" w:rsidP="001C2F95">
      <w:pPr>
        <w:rPr>
          <w:rFonts w:cs="Arial"/>
          <w:bCs/>
          <w:sz w:val="22"/>
        </w:rPr>
      </w:pPr>
    </w:p>
    <w:p w14:paraId="4ACA6141" w14:textId="77777777" w:rsidR="001C2F95" w:rsidRDefault="001C2F95" w:rsidP="001C2F95">
      <w:pPr>
        <w:rPr>
          <w:rFonts w:cs="Arial"/>
          <w:bCs/>
          <w:sz w:val="22"/>
        </w:rPr>
      </w:pPr>
    </w:p>
    <w:p w14:paraId="5101DE44" w14:textId="77777777" w:rsidR="001C2F95" w:rsidRDefault="001C2F95" w:rsidP="001C2F95">
      <w:pPr>
        <w:rPr>
          <w:rFonts w:cs="Arial"/>
          <w:bCs/>
          <w:sz w:val="22"/>
        </w:rPr>
      </w:pPr>
    </w:p>
    <w:p w14:paraId="4FB8C6DF" w14:textId="77777777" w:rsidR="001C2F95" w:rsidRDefault="001C2F95" w:rsidP="001C2F95">
      <w:pPr>
        <w:rPr>
          <w:rFonts w:cs="Arial"/>
          <w:bCs/>
          <w:sz w:val="22"/>
        </w:rPr>
      </w:pPr>
    </w:p>
    <w:p w14:paraId="7EB22FA0" w14:textId="77777777" w:rsidR="001C2F95" w:rsidRDefault="001C2F95" w:rsidP="001C2F95">
      <w:pPr>
        <w:rPr>
          <w:rFonts w:cs="Arial"/>
          <w:bCs/>
          <w:sz w:val="22"/>
        </w:rPr>
      </w:pPr>
    </w:p>
    <w:p w14:paraId="14DA0C6E" w14:textId="77777777" w:rsidR="001C2F95" w:rsidRDefault="001C2F95" w:rsidP="001C2F95">
      <w:pPr>
        <w:rPr>
          <w:rFonts w:cs="Arial"/>
          <w:bCs/>
          <w:sz w:val="22"/>
        </w:rPr>
      </w:pPr>
    </w:p>
    <w:p w14:paraId="0C1BA2D1" w14:textId="77777777" w:rsidR="001C2F95" w:rsidRDefault="001C2F95" w:rsidP="001C2F95">
      <w:pPr>
        <w:rPr>
          <w:rFonts w:cs="Arial"/>
          <w:bCs/>
          <w:sz w:val="22"/>
        </w:rPr>
      </w:pPr>
    </w:p>
    <w:p w14:paraId="1B41F103" w14:textId="77777777" w:rsidR="001C2F95" w:rsidRDefault="001C2F95" w:rsidP="001C2F95">
      <w:pPr>
        <w:rPr>
          <w:rFonts w:cs="Arial"/>
          <w:bCs/>
          <w:sz w:val="22"/>
        </w:rPr>
      </w:pPr>
    </w:p>
    <w:p w14:paraId="4BC7C5B3" w14:textId="77777777" w:rsidR="001C2F95" w:rsidRDefault="001C2F95" w:rsidP="001C2F95">
      <w:pPr>
        <w:rPr>
          <w:rFonts w:cs="Arial"/>
          <w:bCs/>
          <w:sz w:val="22"/>
        </w:rPr>
      </w:pPr>
    </w:p>
    <w:p w14:paraId="49F8340D" w14:textId="77777777" w:rsidR="001C2F95" w:rsidRDefault="001C2F95" w:rsidP="001C2F95">
      <w:pPr>
        <w:rPr>
          <w:rFonts w:cs="Arial"/>
          <w:bCs/>
          <w:sz w:val="22"/>
        </w:rPr>
      </w:pPr>
    </w:p>
    <w:p w14:paraId="51F1B043" w14:textId="77777777" w:rsidR="001C2F95" w:rsidRDefault="001C2F95" w:rsidP="001C2F95">
      <w:pPr>
        <w:rPr>
          <w:rFonts w:cs="Arial"/>
          <w:bCs/>
          <w:sz w:val="22"/>
        </w:rPr>
      </w:pPr>
    </w:p>
    <w:p w14:paraId="4003D681" w14:textId="77777777" w:rsidR="001C2F95" w:rsidRDefault="001C2F95" w:rsidP="001C2F95">
      <w:pPr>
        <w:rPr>
          <w:rFonts w:cs="Arial"/>
          <w:i/>
          <w:sz w:val="22"/>
        </w:rPr>
      </w:pPr>
    </w:p>
    <w:p w14:paraId="6E48D65F" w14:textId="77777777" w:rsidR="001C2F95" w:rsidRPr="00AE6302" w:rsidRDefault="001C2F95" w:rsidP="001C2F95">
      <w:pPr>
        <w:jc w:val="center"/>
        <w:rPr>
          <w:rFonts w:cs="Arial"/>
          <w:b/>
          <w:sz w:val="22"/>
          <w:highlight w:val="yellow"/>
        </w:rPr>
        <w:sectPr w:rsidR="001C2F95" w:rsidRPr="00AE6302" w:rsidSect="00971FD2">
          <w:headerReference w:type="even" r:id="rId24"/>
          <w:headerReference w:type="default" r:id="rId25"/>
          <w:footerReference w:type="even" r:id="rId26"/>
          <w:footerReference w:type="default" r:id="rId27"/>
          <w:pgSz w:w="11906" w:h="16838"/>
          <w:pgMar w:top="1276" w:right="1440" w:bottom="1440" w:left="1440" w:header="706" w:footer="82" w:gutter="0"/>
          <w:pgNumType w:start="1"/>
          <w:cols w:space="708"/>
          <w:docGrid w:linePitch="360"/>
        </w:sectPr>
      </w:pPr>
      <w:r w:rsidRPr="00AE6302">
        <w:rPr>
          <w:rFonts w:cs="Arial"/>
          <w:i/>
          <w:sz w:val="22"/>
        </w:rPr>
        <w:t>Source : OKAPI ENVIRONNEMENT &amp; GÉNIE CIVIL SARL, Juin 2020</w:t>
      </w:r>
      <w:bookmarkStart w:id="206" w:name="_Toc470800724"/>
      <w:bookmarkStart w:id="207" w:name="_Toc502652354"/>
    </w:p>
    <w:p w14:paraId="7B54ED99" w14:textId="77777777" w:rsidR="001C2F95" w:rsidRPr="001857F5" w:rsidRDefault="001C2F95" w:rsidP="001C2F95">
      <w:pPr>
        <w:pStyle w:val="Titre1"/>
        <w:numPr>
          <w:ilvl w:val="0"/>
          <w:numId w:val="4"/>
        </w:numPr>
        <w:rPr>
          <w:rFonts w:cs="Arial"/>
          <w:sz w:val="22"/>
          <w:szCs w:val="22"/>
        </w:rPr>
      </w:pPr>
      <w:bookmarkStart w:id="208" w:name="_Toc44626804"/>
      <w:bookmarkStart w:id="209" w:name="_Toc70330348"/>
      <w:r w:rsidRPr="001857F5">
        <w:rPr>
          <w:rFonts w:cs="Arial"/>
          <w:sz w:val="22"/>
          <w:szCs w:val="22"/>
        </w:rPr>
        <w:lastRenderedPageBreak/>
        <w:t>SITUATION ENVIRONNEMENTALE ET SOCIALE DANS LA ZONE DU PRO</w:t>
      </w:r>
      <w:bookmarkEnd w:id="206"/>
      <w:bookmarkEnd w:id="207"/>
      <w:bookmarkEnd w:id="208"/>
      <w:r w:rsidR="00B465EA">
        <w:rPr>
          <w:rFonts w:cs="Arial"/>
          <w:sz w:val="22"/>
          <w:szCs w:val="22"/>
        </w:rPr>
        <w:t>GRAMME</w:t>
      </w:r>
      <w:bookmarkEnd w:id="209"/>
    </w:p>
    <w:p w14:paraId="042C06CA" w14:textId="77777777" w:rsidR="001C2F95" w:rsidRPr="001857F5" w:rsidRDefault="001C2F95" w:rsidP="001C2F95">
      <w:pPr>
        <w:rPr>
          <w:rFonts w:cs="Arial"/>
          <w:b/>
          <w:sz w:val="22"/>
        </w:rPr>
      </w:pPr>
    </w:p>
    <w:p w14:paraId="280D1EC5" w14:textId="77777777" w:rsidR="001C2F95" w:rsidRPr="001857F5" w:rsidRDefault="001C2F95" w:rsidP="001C2F95">
      <w:pPr>
        <w:pStyle w:val="Titre2"/>
        <w:numPr>
          <w:ilvl w:val="1"/>
          <w:numId w:val="4"/>
        </w:numPr>
        <w:ind w:left="851" w:hanging="425"/>
        <w:rPr>
          <w:rFonts w:cs="Arial"/>
          <w:b/>
          <w:sz w:val="22"/>
          <w:szCs w:val="22"/>
        </w:rPr>
      </w:pPr>
      <w:bookmarkStart w:id="210" w:name="_Toc44626805"/>
      <w:bookmarkStart w:id="211" w:name="_Toc70330349"/>
      <w:r w:rsidRPr="001857F5">
        <w:rPr>
          <w:rFonts w:cs="Arial"/>
          <w:b/>
          <w:sz w:val="22"/>
          <w:szCs w:val="22"/>
        </w:rPr>
        <w:t>Situation socio-économique des provinces concernées par le PNDA</w:t>
      </w:r>
      <w:bookmarkEnd w:id="210"/>
      <w:bookmarkEnd w:id="211"/>
    </w:p>
    <w:p w14:paraId="1A622590" w14:textId="77777777" w:rsidR="001C2F95" w:rsidRPr="001857F5" w:rsidRDefault="001C2F95" w:rsidP="001C2F95">
      <w:pPr>
        <w:rPr>
          <w:rFonts w:cs="Arial"/>
          <w:sz w:val="22"/>
        </w:rPr>
      </w:pPr>
    </w:p>
    <w:p w14:paraId="4247CF6B" w14:textId="77777777" w:rsidR="001C2F95" w:rsidRPr="001857F5" w:rsidRDefault="001C2F95" w:rsidP="001C2F95">
      <w:pPr>
        <w:rPr>
          <w:rFonts w:cs="Arial"/>
          <w:sz w:val="22"/>
        </w:rPr>
      </w:pPr>
      <w:r w:rsidRPr="001857F5">
        <w:rPr>
          <w:rFonts w:cs="Arial"/>
          <w:sz w:val="22"/>
        </w:rPr>
        <w:t>Les tableaux 3, 4, 5, 6 et 7 ci-dessous contiennent les résultats synthétiques de l’étude des données socioéconomiques relatives à la zone d’intervention du Projet, respectivement des provinces du Kwilu, Kongo Central, Kasaï Central, Kasaï et Nord-Kivu.</w:t>
      </w:r>
    </w:p>
    <w:p w14:paraId="57ED07FF" w14:textId="77777777" w:rsidR="001C2F95" w:rsidRPr="001857F5" w:rsidRDefault="001C2F95" w:rsidP="001C2F95">
      <w:pPr>
        <w:rPr>
          <w:rFonts w:cs="Arial"/>
          <w:sz w:val="22"/>
        </w:rPr>
      </w:pPr>
    </w:p>
    <w:p w14:paraId="3B58B075" w14:textId="77777777" w:rsidR="001C2F95" w:rsidRPr="001857F5" w:rsidRDefault="001C2F95" w:rsidP="001C2F95">
      <w:pPr>
        <w:jc w:val="left"/>
        <w:rPr>
          <w:rFonts w:cs="Arial"/>
          <w:sz w:val="22"/>
        </w:rPr>
      </w:pPr>
      <w:bookmarkStart w:id="212" w:name="_Toc506391526"/>
      <w:bookmarkStart w:id="213" w:name="_Toc70451649"/>
      <w:r w:rsidRPr="001857F5">
        <w:rPr>
          <w:rFonts w:cs="Arial"/>
          <w:sz w:val="22"/>
        </w:rPr>
        <w:t xml:space="preserve">Tableau </w:t>
      </w:r>
      <w:r w:rsidRPr="001857F5">
        <w:rPr>
          <w:rFonts w:cs="Arial"/>
          <w:sz w:val="22"/>
        </w:rPr>
        <w:fldChar w:fldCharType="begin"/>
      </w:r>
      <w:r w:rsidRPr="001857F5">
        <w:rPr>
          <w:rFonts w:cs="Arial"/>
          <w:sz w:val="22"/>
        </w:rPr>
        <w:instrText xml:space="preserve"> SEQ Tableau \* ARABIC </w:instrText>
      </w:r>
      <w:r w:rsidRPr="001857F5">
        <w:rPr>
          <w:rFonts w:cs="Arial"/>
          <w:sz w:val="22"/>
        </w:rPr>
        <w:fldChar w:fldCharType="separate"/>
      </w:r>
      <w:r w:rsidR="001260B3">
        <w:rPr>
          <w:rFonts w:cs="Arial"/>
          <w:noProof/>
          <w:sz w:val="22"/>
        </w:rPr>
        <w:t>3</w:t>
      </w:r>
      <w:r w:rsidRPr="001857F5">
        <w:rPr>
          <w:rFonts w:cs="Arial"/>
          <w:sz w:val="22"/>
        </w:rPr>
        <w:fldChar w:fldCharType="end"/>
      </w:r>
      <w:r w:rsidRPr="001857F5">
        <w:rPr>
          <w:rFonts w:cs="Arial"/>
          <w:sz w:val="22"/>
        </w:rPr>
        <w:t xml:space="preserve">. Données socio-économiques </w:t>
      </w:r>
      <w:bookmarkEnd w:id="212"/>
      <w:r w:rsidRPr="001857F5">
        <w:rPr>
          <w:rFonts w:cs="Arial"/>
          <w:sz w:val="22"/>
        </w:rPr>
        <w:t>de la Province du Kwilu</w:t>
      </w:r>
      <w:bookmarkEnd w:id="213"/>
    </w:p>
    <w:p w14:paraId="547644C8" w14:textId="77777777" w:rsidR="001C2F95" w:rsidRPr="001857F5" w:rsidRDefault="001C2F95" w:rsidP="001C2F95">
      <w:pPr>
        <w:rPr>
          <w:rFonts w:cs="Arial"/>
          <w:sz w:val="22"/>
        </w:rPr>
      </w:pPr>
    </w:p>
    <w:tbl>
      <w:tblPr>
        <w:tblW w:w="13887"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78"/>
        <w:gridCol w:w="11509"/>
      </w:tblGrid>
      <w:tr w:rsidR="001C2F95" w:rsidRPr="001857F5" w14:paraId="1664E29F" w14:textId="77777777" w:rsidTr="00971FD2">
        <w:trPr>
          <w:trHeight w:val="414"/>
          <w:tblHeader/>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C2D69B"/>
            <w:tcMar>
              <w:left w:w="108" w:type="dxa"/>
            </w:tcMar>
          </w:tcPr>
          <w:p w14:paraId="5839830C" w14:textId="77777777" w:rsidR="001C2F95" w:rsidRPr="001857F5" w:rsidRDefault="001C2F95" w:rsidP="00971FD2">
            <w:pPr>
              <w:jc w:val="center"/>
              <w:rPr>
                <w:rFonts w:eastAsia="Calibri" w:cs="Arial"/>
                <w:b/>
                <w:sz w:val="22"/>
              </w:rPr>
            </w:pPr>
            <w:r w:rsidRPr="001857F5">
              <w:rPr>
                <w:rFonts w:eastAsia="Calibri" w:cs="Arial"/>
                <w:b/>
                <w:sz w:val="22"/>
              </w:rPr>
              <w:t>Secteur</w:t>
            </w:r>
          </w:p>
        </w:tc>
        <w:tc>
          <w:tcPr>
            <w:tcW w:w="11509" w:type="dxa"/>
            <w:tcBorders>
              <w:top w:val="single" w:sz="4" w:space="0" w:color="000001"/>
              <w:left w:val="single" w:sz="4" w:space="0" w:color="000001"/>
              <w:bottom w:val="single" w:sz="4" w:space="0" w:color="000001"/>
              <w:right w:val="single" w:sz="4" w:space="0" w:color="000001"/>
            </w:tcBorders>
            <w:shd w:val="clear" w:color="auto" w:fill="C2D69B"/>
          </w:tcPr>
          <w:p w14:paraId="31654DC2" w14:textId="77777777" w:rsidR="001C2F95" w:rsidRPr="001857F5" w:rsidRDefault="001C2F95" w:rsidP="00971FD2">
            <w:pPr>
              <w:jc w:val="center"/>
              <w:rPr>
                <w:rFonts w:eastAsia="Calibri" w:cs="Arial"/>
                <w:b/>
                <w:sz w:val="22"/>
              </w:rPr>
            </w:pPr>
            <w:r w:rsidRPr="001857F5">
              <w:rPr>
                <w:rFonts w:eastAsia="Calibri" w:cs="Arial"/>
                <w:b/>
                <w:sz w:val="22"/>
              </w:rPr>
              <w:t>Province du Kwilu</w:t>
            </w:r>
          </w:p>
        </w:tc>
      </w:tr>
      <w:tr w:rsidR="001C2F95" w:rsidRPr="001857F5" w14:paraId="17F23428" w14:textId="77777777" w:rsidTr="00971FD2">
        <w:trPr>
          <w:trHeight w:val="276"/>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56AAC1" w14:textId="77777777" w:rsidR="001C2F95" w:rsidRPr="001857F5" w:rsidRDefault="001C2F95" w:rsidP="00971FD2">
            <w:pPr>
              <w:rPr>
                <w:rFonts w:eastAsia="Calibri" w:cs="Arial"/>
                <w:b/>
                <w:sz w:val="22"/>
              </w:rPr>
            </w:pPr>
            <w:r w:rsidRPr="001857F5">
              <w:rPr>
                <w:rFonts w:eastAsia="Calibri" w:cs="Arial"/>
                <w:b/>
                <w:sz w:val="22"/>
              </w:rPr>
              <w:t>Situation géographique</w:t>
            </w:r>
          </w:p>
        </w:tc>
        <w:tc>
          <w:tcPr>
            <w:tcW w:w="11509" w:type="dxa"/>
            <w:tcBorders>
              <w:top w:val="single" w:sz="4" w:space="0" w:color="000001"/>
              <w:left w:val="single" w:sz="4" w:space="0" w:color="000001"/>
              <w:bottom w:val="single" w:sz="4" w:space="0" w:color="000001"/>
              <w:right w:val="single" w:sz="4" w:space="0" w:color="000001"/>
            </w:tcBorders>
          </w:tcPr>
          <w:p w14:paraId="12E18269" w14:textId="77777777" w:rsidR="001C2F95" w:rsidRPr="00730A4A" w:rsidRDefault="001C2F95" w:rsidP="00971FD2">
            <w:pPr>
              <w:textAlignment w:val="baseline"/>
              <w:rPr>
                <w:rFonts w:cs="Arial"/>
                <w:b/>
                <w:bCs/>
                <w:i/>
                <w:color w:val="000000"/>
                <w:sz w:val="22"/>
              </w:rPr>
            </w:pPr>
            <w:r w:rsidRPr="00730A4A">
              <w:rPr>
                <w:rFonts w:cs="Arial"/>
                <w:b/>
                <w:bCs/>
                <w:i/>
                <w:color w:val="000000"/>
                <w:sz w:val="22"/>
              </w:rPr>
              <w:t>Localisation</w:t>
            </w:r>
          </w:p>
          <w:p w14:paraId="7054B6E1" w14:textId="77777777" w:rsidR="001C2F95" w:rsidRPr="001857F5" w:rsidRDefault="001C2F95" w:rsidP="00971FD2">
            <w:pPr>
              <w:ind w:left="40"/>
              <w:textAlignment w:val="baseline"/>
              <w:rPr>
                <w:rFonts w:cs="Arial"/>
                <w:color w:val="000000"/>
                <w:sz w:val="22"/>
              </w:rPr>
            </w:pPr>
            <w:r w:rsidRPr="001857F5">
              <w:rPr>
                <w:rFonts w:cs="Arial"/>
                <w:color w:val="000000"/>
                <w:sz w:val="22"/>
              </w:rPr>
              <w:t>La Province du Kwilu est depuis 2015 une Province de la </w:t>
            </w:r>
            <w:hyperlink r:id="rId28" w:tooltip="République démocratique du Congo" w:history="1">
              <w:r w:rsidRPr="001857F5">
                <w:rPr>
                  <w:rFonts w:cs="Arial"/>
                  <w:color w:val="000000"/>
                  <w:sz w:val="22"/>
                </w:rPr>
                <w:t>République Démocratique du Congo</w:t>
              </w:r>
            </w:hyperlink>
            <w:r w:rsidRPr="001857F5">
              <w:rPr>
                <w:rFonts w:cs="Arial"/>
                <w:color w:val="000000"/>
                <w:sz w:val="22"/>
              </w:rPr>
              <w:t> à la suite de l’éclatement de la Province du </w:t>
            </w:r>
            <w:hyperlink r:id="rId29" w:tooltip="Bandundu (province)" w:history="1">
              <w:r w:rsidRPr="001857F5">
                <w:rPr>
                  <w:rFonts w:cs="Arial"/>
                  <w:color w:val="000000"/>
                  <w:sz w:val="22"/>
                </w:rPr>
                <w:t>Bandundu</w:t>
              </w:r>
            </w:hyperlink>
            <w:r w:rsidRPr="001857F5">
              <w:rPr>
                <w:rFonts w:cs="Arial"/>
                <w:color w:val="000000"/>
                <w:sz w:val="22"/>
              </w:rPr>
              <w:t>. La Province du Kwilu a une superficie de 78 441 km</w:t>
            </w:r>
            <w:r w:rsidRPr="001857F5">
              <w:rPr>
                <w:rFonts w:cs="Arial"/>
                <w:color w:val="000000"/>
                <w:sz w:val="22"/>
                <w:vertAlign w:val="superscript"/>
              </w:rPr>
              <w:t>2</w:t>
            </w:r>
            <w:r w:rsidRPr="001857F5">
              <w:rPr>
                <w:rFonts w:cs="Arial"/>
                <w:color w:val="000000"/>
                <w:sz w:val="22"/>
              </w:rPr>
              <w:t xml:space="preserve">. Elle est limitée au Nord par le Sud de la Province de Maï-Ndombe ; à l’Est par l’Ouest de la Province du Kasaï ; au Sud par le Nord de la Province du Kwango et à l’Ouest par le l’Est de la Ville-Province de Kinshasa. Bandundu est le Chef-lieu de la Province. Le Kwilu compte 5 Territoires à savoir : Bagata, Kazamba, Lukeni, Nzinda et Lukolela. </w:t>
            </w:r>
          </w:p>
          <w:p w14:paraId="7CF8D38A" w14:textId="77777777" w:rsidR="001C2F95" w:rsidRPr="001857F5" w:rsidRDefault="001C2F95" w:rsidP="00971FD2">
            <w:pPr>
              <w:ind w:left="40"/>
              <w:textAlignment w:val="baseline"/>
              <w:rPr>
                <w:rFonts w:cs="Arial"/>
                <w:color w:val="000000"/>
                <w:sz w:val="22"/>
              </w:rPr>
            </w:pPr>
          </w:p>
          <w:p w14:paraId="70D8546F" w14:textId="77777777" w:rsidR="001C2F95" w:rsidRPr="001857F5" w:rsidRDefault="001C2F95" w:rsidP="00971FD2">
            <w:pPr>
              <w:ind w:left="40"/>
              <w:textAlignment w:val="baseline"/>
              <w:rPr>
                <w:rFonts w:cs="Arial"/>
                <w:b/>
                <w:i/>
                <w:color w:val="000000"/>
                <w:sz w:val="22"/>
              </w:rPr>
            </w:pPr>
            <w:r w:rsidRPr="001857F5">
              <w:rPr>
                <w:rFonts w:cs="Arial"/>
                <w:b/>
                <w:i/>
                <w:color w:val="000000"/>
                <w:sz w:val="22"/>
              </w:rPr>
              <w:t>Climat et saison</w:t>
            </w:r>
          </w:p>
          <w:p w14:paraId="362C178B" w14:textId="77777777" w:rsidR="001C2F95" w:rsidRPr="001857F5" w:rsidRDefault="001C2F95" w:rsidP="00971FD2">
            <w:pPr>
              <w:ind w:left="40"/>
              <w:textAlignment w:val="baseline"/>
              <w:rPr>
                <w:rFonts w:cs="Arial"/>
                <w:color w:val="000000"/>
                <w:sz w:val="22"/>
              </w:rPr>
            </w:pPr>
            <w:r w:rsidRPr="001857F5">
              <w:rPr>
                <w:rFonts w:cs="Arial"/>
                <w:color w:val="000000"/>
                <w:sz w:val="22"/>
              </w:rPr>
              <w:t>Les coordonnées géographiques sont : 5° 02’ 01’’ Sud et 18° 50’ 01’’ Est.</w:t>
            </w:r>
          </w:p>
          <w:p w14:paraId="548FF4A7" w14:textId="77777777" w:rsidR="001C2F95" w:rsidRPr="001857F5" w:rsidRDefault="001C2F95" w:rsidP="00971FD2">
            <w:pPr>
              <w:ind w:left="40"/>
              <w:textAlignment w:val="baseline"/>
              <w:rPr>
                <w:rFonts w:cs="Arial"/>
                <w:color w:val="000000"/>
                <w:sz w:val="22"/>
              </w:rPr>
            </w:pPr>
            <w:r w:rsidRPr="001857F5">
              <w:rPr>
                <w:rFonts w:cs="Arial"/>
                <w:color w:val="000000"/>
                <w:sz w:val="22"/>
              </w:rPr>
              <w:t>Le climat de la Province du Kwilu appartient au type climatique ‘’AF’’ relevé dans la classification de KÖPPEN dont la hauteur mensuelle des pluies du mois le plus sec est supérieur à 60 mm. La saison sèche ne dure que deux mois à Bandundu Ville, de juin à juillet. Kikwit jouit d’un climat subéquatorial avec trois mois de saison sèche.</w:t>
            </w:r>
            <w:r w:rsidR="008454F4" w:rsidRPr="001857F5">
              <w:rPr>
                <w:rFonts w:cs="Arial"/>
                <w:color w:val="000000"/>
                <w:sz w:val="22"/>
              </w:rPr>
              <w:t xml:space="preserve"> L</w:t>
            </w:r>
            <w:r w:rsidRPr="001857F5">
              <w:rPr>
                <w:rFonts w:cs="Arial"/>
                <w:color w:val="000000"/>
                <w:sz w:val="22"/>
              </w:rPr>
              <w:t xml:space="preserve">es activités agricoles du PNDA sur les grandes étendues de terres, la réhabilitation des pistes rurales avec l’utilisation des carrières d’emprunts des matériaux risquent d’impacter sur l’écosystème avec la coupe des végétaux et au besoin induire au changement climatique si les mesures </w:t>
            </w:r>
            <w:r w:rsidR="008454F4" w:rsidRPr="001857F5">
              <w:rPr>
                <w:rFonts w:cs="Arial"/>
                <w:color w:val="000000"/>
                <w:sz w:val="22"/>
              </w:rPr>
              <w:t>nécessaires</w:t>
            </w:r>
            <w:r w:rsidRPr="001857F5">
              <w:rPr>
                <w:rFonts w:cs="Arial"/>
                <w:color w:val="000000"/>
                <w:sz w:val="22"/>
              </w:rPr>
              <w:t xml:space="preserve"> de compensation (reboisement, plantation des cultures </w:t>
            </w:r>
            <w:r w:rsidR="008454F4" w:rsidRPr="001857F5">
              <w:rPr>
                <w:rFonts w:cs="Arial"/>
                <w:color w:val="000000"/>
                <w:sz w:val="22"/>
              </w:rPr>
              <w:t>pérennes</w:t>
            </w:r>
            <w:r w:rsidRPr="001857F5">
              <w:rPr>
                <w:rFonts w:cs="Arial"/>
                <w:color w:val="000000"/>
                <w:sz w:val="22"/>
              </w:rPr>
              <w:t>) ne sont pas prises en compte</w:t>
            </w:r>
            <w:r w:rsidR="008454F4" w:rsidRPr="001857F5">
              <w:rPr>
                <w:rFonts w:cs="Arial"/>
                <w:color w:val="000000"/>
                <w:sz w:val="22"/>
              </w:rPr>
              <w:t>.</w:t>
            </w:r>
            <w:r w:rsidRPr="001857F5">
              <w:rPr>
                <w:rFonts w:cs="Arial"/>
                <w:color w:val="000000"/>
                <w:sz w:val="22"/>
              </w:rPr>
              <w:t xml:space="preserve"> </w:t>
            </w:r>
          </w:p>
          <w:p w14:paraId="31A99D9C" w14:textId="77777777" w:rsidR="001C2F95" w:rsidRPr="001857F5" w:rsidRDefault="001C2F95" w:rsidP="00971FD2">
            <w:pPr>
              <w:textAlignment w:val="baseline"/>
              <w:rPr>
                <w:rFonts w:cs="Arial"/>
                <w:color w:val="000000"/>
                <w:sz w:val="22"/>
              </w:rPr>
            </w:pPr>
            <w:r w:rsidRPr="001857F5">
              <w:rPr>
                <w:rFonts w:cs="Arial"/>
                <w:color w:val="000000"/>
                <w:sz w:val="22"/>
              </w:rPr>
              <w:br/>
              <w:t xml:space="preserve">Les températures moyennes annuelles observées s’élèvent à 25° C pour l’ensemble de la Province. Elles sont de 30° C dans la zone de climat équatorial et varient entre 20° C et 25° C dans la zone du climat tropical. </w:t>
            </w:r>
          </w:p>
          <w:p w14:paraId="53103593" w14:textId="77777777" w:rsidR="001C2F95" w:rsidRDefault="001C2F95" w:rsidP="00971FD2">
            <w:pPr>
              <w:jc w:val="left"/>
              <w:textAlignment w:val="baseline"/>
              <w:rPr>
                <w:rFonts w:cs="Arial"/>
                <w:color w:val="000000"/>
                <w:sz w:val="22"/>
              </w:rPr>
            </w:pPr>
          </w:p>
          <w:p w14:paraId="2FE42251" w14:textId="77777777" w:rsidR="00EB7F94" w:rsidRDefault="00EB7F94" w:rsidP="00971FD2">
            <w:pPr>
              <w:jc w:val="left"/>
              <w:textAlignment w:val="baseline"/>
              <w:rPr>
                <w:rFonts w:cs="Arial"/>
                <w:color w:val="000000"/>
                <w:sz w:val="22"/>
              </w:rPr>
            </w:pPr>
          </w:p>
          <w:p w14:paraId="5E055610" w14:textId="77777777" w:rsidR="00EB7F94" w:rsidRDefault="00EB7F94" w:rsidP="00971FD2">
            <w:pPr>
              <w:jc w:val="left"/>
              <w:textAlignment w:val="baseline"/>
              <w:rPr>
                <w:rFonts w:cs="Arial"/>
                <w:color w:val="000000"/>
                <w:sz w:val="22"/>
              </w:rPr>
            </w:pPr>
          </w:p>
          <w:p w14:paraId="0DC39F73" w14:textId="77777777" w:rsidR="001857F5" w:rsidRPr="001857F5" w:rsidRDefault="001857F5" w:rsidP="00971FD2">
            <w:pPr>
              <w:jc w:val="left"/>
              <w:textAlignment w:val="baseline"/>
              <w:rPr>
                <w:rFonts w:cs="Arial"/>
                <w:color w:val="000000"/>
                <w:sz w:val="22"/>
              </w:rPr>
            </w:pPr>
          </w:p>
          <w:p w14:paraId="24C8A704" w14:textId="77777777" w:rsidR="001C2F95" w:rsidRPr="001857F5" w:rsidRDefault="001C2F95" w:rsidP="00971FD2">
            <w:pPr>
              <w:jc w:val="left"/>
              <w:textAlignment w:val="baseline"/>
              <w:rPr>
                <w:rFonts w:cs="Arial"/>
                <w:b/>
                <w:bCs/>
                <w:i/>
                <w:color w:val="333333"/>
                <w:sz w:val="22"/>
              </w:rPr>
            </w:pPr>
            <w:r w:rsidRPr="00730A4A">
              <w:rPr>
                <w:rFonts w:cs="Arial"/>
                <w:b/>
                <w:bCs/>
                <w:i/>
                <w:color w:val="000000"/>
                <w:sz w:val="22"/>
              </w:rPr>
              <w:lastRenderedPageBreak/>
              <w:t xml:space="preserve">Sol </w:t>
            </w:r>
            <w:r w:rsidRPr="001857F5">
              <w:rPr>
                <w:rFonts w:cs="Arial"/>
                <w:b/>
                <w:bCs/>
                <w:i/>
                <w:sz w:val="22"/>
              </w:rPr>
              <w:t>et Relief</w:t>
            </w:r>
            <w:r w:rsidRPr="001857F5">
              <w:rPr>
                <w:rFonts w:cs="Arial"/>
                <w:i/>
                <w:color w:val="000000"/>
                <w:sz w:val="22"/>
              </w:rPr>
              <w:t> </w:t>
            </w:r>
          </w:p>
          <w:p w14:paraId="40BC0CAF" w14:textId="77777777" w:rsidR="001C2F95" w:rsidRPr="001857F5" w:rsidRDefault="001C2F95" w:rsidP="00971FD2">
            <w:pPr>
              <w:ind w:left="40"/>
              <w:textAlignment w:val="baseline"/>
              <w:rPr>
                <w:rFonts w:cs="Arial"/>
                <w:color w:val="000000"/>
                <w:sz w:val="22"/>
              </w:rPr>
            </w:pPr>
            <w:r w:rsidRPr="001857F5">
              <w:rPr>
                <w:rFonts w:cs="Arial"/>
                <w:color w:val="000000"/>
                <w:sz w:val="22"/>
              </w:rPr>
              <w:t>Le sol est de nature argilo-sablonneux. Le plan topographique de la Province du Kwilu se dessine sur un schéma progressivement élevé en se déplaçant vers le Sud jusqu’à la frontière Angolaise à environ 1 000 m d’altitude et incliné au point le plus bas vers le Nord à environ 300 m d’altitude. Cette position géographique situe la province au 1/3 de sa superficie dans le cadre naturel de la Cuvette Centrale. Par ailleurs, dans le Territoire de Bulungu, le sol y est argilo-sablonneux avec un relief généralement accidenté se caractérisant par des collines, des plateaux et des plaines.</w:t>
            </w:r>
          </w:p>
          <w:p w14:paraId="093F7350" w14:textId="77777777" w:rsidR="001C2F95" w:rsidRPr="001857F5" w:rsidRDefault="001C2F95" w:rsidP="00971FD2">
            <w:pPr>
              <w:textAlignment w:val="baseline"/>
              <w:rPr>
                <w:rFonts w:cs="Arial"/>
                <w:color w:val="333333"/>
                <w:sz w:val="22"/>
              </w:rPr>
            </w:pPr>
          </w:p>
          <w:p w14:paraId="62378074" w14:textId="77777777" w:rsidR="001C2F95" w:rsidRPr="001857F5" w:rsidRDefault="001C2F95" w:rsidP="00971FD2">
            <w:pPr>
              <w:textAlignment w:val="baseline"/>
              <w:rPr>
                <w:rFonts w:cs="Arial"/>
                <w:b/>
                <w:i/>
                <w:color w:val="000000"/>
                <w:sz w:val="22"/>
              </w:rPr>
            </w:pPr>
            <w:r w:rsidRPr="001857F5">
              <w:rPr>
                <w:rFonts w:cs="Arial"/>
                <w:b/>
                <w:i/>
                <w:color w:val="000000"/>
                <w:sz w:val="22"/>
              </w:rPr>
              <w:t>Hydrographie</w:t>
            </w:r>
          </w:p>
          <w:p w14:paraId="0647CB6B" w14:textId="77777777" w:rsidR="001C2F95" w:rsidRPr="001857F5" w:rsidRDefault="001C2F95" w:rsidP="00971FD2">
            <w:pPr>
              <w:ind w:left="40"/>
              <w:textAlignment w:val="baseline"/>
              <w:rPr>
                <w:rFonts w:cs="Arial"/>
                <w:color w:val="000000"/>
                <w:sz w:val="22"/>
              </w:rPr>
            </w:pPr>
            <w:r w:rsidRPr="001857F5">
              <w:rPr>
                <w:rFonts w:cs="Arial"/>
                <w:color w:val="000000"/>
                <w:sz w:val="22"/>
              </w:rPr>
              <w:t>La Province du Kwilu est baignée par les rivières suivantes : Kwango, Inzia, Kwilu et Kasaï. Les autres cours d’eau des territoires sont : Bagata, Nko, Luniungu, Luzumu, Nzalambala, Kamuthia, Mubangu, Lukwa. À Gungu : les Rivières Loange, Kwilu, Lufuku, Lutshima, Kwenge, Lubwe et Yembesi. À Masimanimba l’on rencontre les rivières Inzia, Lukula, Luie et Kwenge.</w:t>
            </w:r>
          </w:p>
          <w:p w14:paraId="0B538338" w14:textId="77777777" w:rsidR="001C2F95" w:rsidRPr="001857F5" w:rsidRDefault="001C2F95" w:rsidP="00971FD2">
            <w:pPr>
              <w:ind w:left="40"/>
              <w:textAlignment w:val="baseline"/>
              <w:rPr>
                <w:rFonts w:cs="Arial"/>
                <w:color w:val="000000"/>
                <w:sz w:val="22"/>
              </w:rPr>
            </w:pPr>
          </w:p>
          <w:p w14:paraId="1DDDA96D" w14:textId="77777777" w:rsidR="001C2F95" w:rsidRPr="001857F5" w:rsidRDefault="001C2F95" w:rsidP="00971FD2">
            <w:pPr>
              <w:textAlignment w:val="baseline"/>
              <w:rPr>
                <w:rFonts w:cs="Arial"/>
                <w:b/>
                <w:i/>
                <w:color w:val="000000"/>
                <w:sz w:val="22"/>
              </w:rPr>
            </w:pPr>
            <w:r w:rsidRPr="001857F5">
              <w:rPr>
                <w:rFonts w:cs="Arial"/>
                <w:b/>
                <w:i/>
                <w:color w:val="000000"/>
                <w:sz w:val="22"/>
              </w:rPr>
              <w:t>Espèces phares de la faune</w:t>
            </w:r>
          </w:p>
          <w:p w14:paraId="5BB98945" w14:textId="77777777" w:rsidR="001C2F95" w:rsidRPr="001857F5" w:rsidRDefault="001C2F95" w:rsidP="00971FD2">
            <w:pPr>
              <w:textAlignment w:val="baseline"/>
              <w:rPr>
                <w:rFonts w:cs="Arial"/>
                <w:color w:val="000000"/>
                <w:sz w:val="22"/>
              </w:rPr>
            </w:pPr>
            <w:r w:rsidRPr="001857F5">
              <w:rPr>
                <w:rFonts w:cs="Arial"/>
                <w:color w:val="000000"/>
                <w:sz w:val="22"/>
              </w:rPr>
              <w:t>Léopard, buffle, antilope rouge, antilope cheval, antilope simple, et éléphant.</w:t>
            </w:r>
            <w:r w:rsidR="008454F4" w:rsidRPr="001857F5">
              <w:rPr>
                <w:rFonts w:cs="Arial"/>
                <w:color w:val="000000"/>
                <w:sz w:val="22"/>
              </w:rPr>
              <w:t xml:space="preserve"> </w:t>
            </w:r>
            <w:r w:rsidRPr="001857F5">
              <w:rPr>
                <w:rFonts w:cs="Arial"/>
                <w:color w:val="000000"/>
                <w:sz w:val="22"/>
              </w:rPr>
              <w:t xml:space="preserve">Il sied de signaler que les </w:t>
            </w:r>
            <w:r w:rsidR="008454F4" w:rsidRPr="001857F5">
              <w:rPr>
                <w:rFonts w:cs="Arial"/>
                <w:color w:val="000000"/>
                <w:sz w:val="22"/>
              </w:rPr>
              <w:t>hippopotames</w:t>
            </w:r>
            <w:r w:rsidRPr="001857F5">
              <w:rPr>
                <w:rFonts w:cs="Arial"/>
                <w:color w:val="000000"/>
                <w:sz w:val="22"/>
              </w:rPr>
              <w:t xml:space="preserve"> rencontrés dans le domaine de chasse de Mangai est un animal protégé </w:t>
            </w:r>
            <w:r w:rsidR="008454F4" w:rsidRPr="001857F5">
              <w:rPr>
                <w:rFonts w:cs="Arial"/>
                <w:color w:val="000000"/>
                <w:sz w:val="22"/>
              </w:rPr>
              <w:t>menacé</w:t>
            </w:r>
            <w:r w:rsidRPr="001857F5">
              <w:rPr>
                <w:rFonts w:cs="Arial"/>
                <w:color w:val="000000"/>
                <w:sz w:val="22"/>
              </w:rPr>
              <w:t xml:space="preserve"> par le braconnage.</w:t>
            </w:r>
          </w:p>
          <w:p w14:paraId="77D411A0" w14:textId="77777777" w:rsidR="001C2F95" w:rsidRPr="001857F5" w:rsidRDefault="001C2F95" w:rsidP="00971FD2">
            <w:pPr>
              <w:textAlignment w:val="baseline"/>
              <w:rPr>
                <w:rFonts w:cs="Arial"/>
                <w:color w:val="000000"/>
                <w:sz w:val="22"/>
              </w:rPr>
            </w:pPr>
          </w:p>
          <w:p w14:paraId="1DB5271B" w14:textId="77777777" w:rsidR="001C2F95" w:rsidRPr="001857F5" w:rsidRDefault="001C2F95" w:rsidP="00971FD2">
            <w:pPr>
              <w:textAlignment w:val="baseline"/>
              <w:rPr>
                <w:rFonts w:cs="Arial"/>
                <w:b/>
                <w:i/>
                <w:color w:val="000000"/>
                <w:sz w:val="22"/>
              </w:rPr>
            </w:pPr>
            <w:r w:rsidRPr="001857F5">
              <w:rPr>
                <w:rFonts w:cs="Arial"/>
                <w:b/>
                <w:i/>
                <w:color w:val="000000"/>
                <w:sz w:val="22"/>
              </w:rPr>
              <w:t>Végétation</w:t>
            </w:r>
          </w:p>
          <w:p w14:paraId="49A9F393" w14:textId="77777777" w:rsidR="001C2F95" w:rsidRPr="001857F5" w:rsidRDefault="001C2F95" w:rsidP="00971FD2">
            <w:pPr>
              <w:textAlignment w:val="baseline"/>
              <w:rPr>
                <w:rFonts w:cs="Arial"/>
                <w:color w:val="000000"/>
                <w:sz w:val="22"/>
              </w:rPr>
            </w:pPr>
            <w:r w:rsidRPr="001857F5">
              <w:rPr>
                <w:rFonts w:cs="Arial"/>
                <w:color w:val="000000"/>
                <w:sz w:val="22"/>
              </w:rPr>
              <w:t>La végétation de la Province du Kwilu est dominée par la vue de la savane et la forêt. Dans certains territoires comme celui de Bagata on y trouve à 80 % la savane arbustive avec de rares inclusions de savanes. La densité de ces arbustes constamment soumis au passage du feu est très variable par endroits. Il en est de même pour le Territoire de Masimanimba. Elle est parfois suffisante pour fournir une fertilité acceptable aux cultures de savanes, qui dominent sur les cultures de forêt.</w:t>
            </w:r>
            <w:r w:rsidRPr="001857F5">
              <w:rPr>
                <w:rFonts w:cs="Arial"/>
                <w:b/>
                <w:i/>
                <w:color w:val="000000"/>
                <w:sz w:val="22"/>
              </w:rPr>
              <w:t xml:space="preserve"> </w:t>
            </w:r>
            <w:r w:rsidRPr="001857F5">
              <w:rPr>
                <w:rFonts w:cs="Arial"/>
                <w:color w:val="000000"/>
                <w:sz w:val="22"/>
              </w:rPr>
              <w:t>La forêt de la province est avant tout représentée par les galeries forestières des grandes rivières et de leurs affluents, Kwilu et Kwango. Dans ce vaste espace savanicole, on peut encore admirer des massifs de belle allure où logent les essences les plus convoitées : les wenge, lifaki, sipo, iroko, militia, mulundu, ipaki, mbwaki et tola.</w:t>
            </w:r>
            <w:r w:rsidR="008454F4" w:rsidRPr="001857F5">
              <w:rPr>
                <w:rFonts w:cs="Arial"/>
                <w:color w:val="000000"/>
                <w:sz w:val="22"/>
              </w:rPr>
              <w:t xml:space="preserve"> </w:t>
            </w:r>
            <w:r w:rsidRPr="001857F5">
              <w:rPr>
                <w:rFonts w:cs="Arial"/>
                <w:color w:val="000000"/>
                <w:sz w:val="22"/>
              </w:rPr>
              <w:t>Il sied de signaler que les espaces forestières ne seront pas converti</w:t>
            </w:r>
            <w:r w:rsidR="004F0CA2" w:rsidRPr="001857F5">
              <w:rPr>
                <w:rFonts w:cs="Arial"/>
                <w:color w:val="000000"/>
                <w:sz w:val="22"/>
              </w:rPr>
              <w:t>e</w:t>
            </w:r>
            <w:r w:rsidRPr="001857F5">
              <w:rPr>
                <w:rFonts w:cs="Arial"/>
                <w:color w:val="000000"/>
                <w:sz w:val="22"/>
              </w:rPr>
              <w:t>s aux espaces agricoles.</w:t>
            </w:r>
          </w:p>
        </w:tc>
      </w:tr>
      <w:tr w:rsidR="001C2F95" w:rsidRPr="001857F5" w14:paraId="23EECA8B" w14:textId="77777777" w:rsidTr="00971FD2">
        <w:trPr>
          <w:trHeight w:val="2123"/>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1C7AFA2" w14:textId="77777777" w:rsidR="001C2F95" w:rsidRPr="001857F5" w:rsidRDefault="001C2F95" w:rsidP="00971FD2">
            <w:pPr>
              <w:rPr>
                <w:rFonts w:eastAsia="Calibri" w:cs="Arial"/>
                <w:b/>
                <w:sz w:val="22"/>
              </w:rPr>
            </w:pPr>
            <w:r w:rsidRPr="001857F5">
              <w:rPr>
                <w:rFonts w:eastAsia="Calibri" w:cs="Arial"/>
                <w:b/>
                <w:sz w:val="22"/>
              </w:rPr>
              <w:lastRenderedPageBreak/>
              <w:t>Populations</w:t>
            </w:r>
          </w:p>
        </w:tc>
        <w:tc>
          <w:tcPr>
            <w:tcW w:w="11509" w:type="dxa"/>
            <w:tcBorders>
              <w:top w:val="single" w:sz="4" w:space="0" w:color="000001"/>
              <w:left w:val="single" w:sz="4" w:space="0" w:color="000001"/>
              <w:bottom w:val="single" w:sz="4" w:space="0" w:color="000001"/>
              <w:right w:val="single" w:sz="4" w:space="0" w:color="000001"/>
            </w:tcBorders>
          </w:tcPr>
          <w:p w14:paraId="24A9B02C" w14:textId="77777777" w:rsidR="001C2F95" w:rsidRPr="001857F5" w:rsidRDefault="001C2F95" w:rsidP="00971FD2">
            <w:pPr>
              <w:textAlignment w:val="baseline"/>
              <w:rPr>
                <w:rFonts w:cs="Arial"/>
                <w:color w:val="000000"/>
                <w:sz w:val="22"/>
              </w:rPr>
            </w:pPr>
            <w:r w:rsidRPr="001857F5">
              <w:rPr>
                <w:rFonts w:cs="Arial"/>
                <w:color w:val="000000"/>
                <w:sz w:val="22"/>
              </w:rPr>
              <w:t>La Province du Kwilu est l’une des trois (3) Provinces issues du découpage de la grande Province de Bandundu ; de ce fait, elle est parmi les 26 Provinces de la République Démocratique du Congo. Elle a une superficie de 78 441 km</w:t>
            </w:r>
            <w:r w:rsidRPr="001857F5">
              <w:rPr>
                <w:rFonts w:cs="Arial"/>
                <w:color w:val="000000"/>
                <w:sz w:val="22"/>
                <w:vertAlign w:val="superscript"/>
              </w:rPr>
              <w:t>2</w:t>
            </w:r>
            <w:r w:rsidRPr="001857F5">
              <w:rPr>
                <w:rFonts w:cs="Arial"/>
                <w:color w:val="000000"/>
                <w:sz w:val="22"/>
              </w:rPr>
              <w:t xml:space="preserve"> et hébergent une population totale d’environ 7 567 180 habitants. </w:t>
            </w:r>
          </w:p>
          <w:p w14:paraId="1CD8450E" w14:textId="77777777" w:rsidR="001C2F95" w:rsidRPr="001857F5" w:rsidRDefault="001C2F95" w:rsidP="00971FD2">
            <w:pPr>
              <w:textAlignment w:val="baseline"/>
              <w:rPr>
                <w:rFonts w:cs="Arial"/>
                <w:color w:val="000000"/>
                <w:sz w:val="22"/>
              </w:rPr>
            </w:pPr>
          </w:p>
          <w:p w14:paraId="2FDDDEFD" w14:textId="77777777" w:rsidR="001C2F95" w:rsidRPr="001857F5" w:rsidRDefault="001C2F95" w:rsidP="00971FD2">
            <w:pPr>
              <w:textAlignment w:val="baseline"/>
              <w:rPr>
                <w:rFonts w:cs="Arial"/>
                <w:color w:val="000000"/>
                <w:sz w:val="22"/>
              </w:rPr>
            </w:pPr>
            <w:r w:rsidRPr="001857F5">
              <w:rPr>
                <w:rFonts w:cs="Arial"/>
                <w:color w:val="000000"/>
                <w:sz w:val="22"/>
              </w:rPr>
              <w:t>Les Ethnies dominantes (autochtones) des Territoires qui composent la Province du Kwilu sont : Dans le Territoire de Bagata, de toutes les tribus, les Yanzi représentent 85 % de la population totale du Territoire. Ce peuple est connu pour son usage continuel des proverbes et toutes les tribus appliquent le régime matriarcal. Tandis que dans le Territoire de Bulungu, on rencontre les Mbala et les Yansi y sont majoritaires. Par contre, le Territoire de Gungu est dominé par la tribu Pende suivie de Bunda et Kwese, Wongo et Lunda. Dans le Territoire d’Idiofa, l’on rencontre les tribus Bunda, Dinga, Lele, Ngoli, Ngwili, Nzadi, Pende et Wongo. Sur le plan culturel, l</w:t>
            </w:r>
            <w:r w:rsidRPr="001857F5">
              <w:rPr>
                <w:rFonts w:cs="Arial"/>
                <w:sz w:val="22"/>
              </w:rPr>
              <w:t>e mode de vie des femmes engendre des pratiques, des us et coutumes rétrogrades qui sont à la base des violences sexistes</w:t>
            </w:r>
          </w:p>
          <w:p w14:paraId="6DC04C86" w14:textId="77777777" w:rsidR="001C2F95" w:rsidRPr="001857F5" w:rsidRDefault="001C2F95" w:rsidP="00971FD2">
            <w:pPr>
              <w:textAlignment w:val="baseline"/>
              <w:rPr>
                <w:rFonts w:cs="Arial"/>
                <w:color w:val="000000"/>
                <w:sz w:val="22"/>
              </w:rPr>
            </w:pPr>
          </w:p>
          <w:p w14:paraId="0544AEDD" w14:textId="77777777" w:rsidR="001C2F95" w:rsidRPr="001857F5" w:rsidRDefault="001C2F95" w:rsidP="00971FD2">
            <w:pPr>
              <w:textAlignment w:val="baseline"/>
              <w:rPr>
                <w:rFonts w:cs="Arial"/>
                <w:color w:val="000000"/>
                <w:sz w:val="22"/>
              </w:rPr>
            </w:pPr>
            <w:r w:rsidRPr="001857F5">
              <w:rPr>
                <w:rFonts w:cs="Arial"/>
                <w:color w:val="000000"/>
                <w:sz w:val="22"/>
              </w:rPr>
              <w:t xml:space="preserve">Les langues parlées sont : Kikongo, Lingala, Pende. Dépendant jadis de l’ancienne Province de Bandundu, le Kikongo est et reste la langue nationale la plus parlée. </w:t>
            </w:r>
          </w:p>
          <w:p w14:paraId="36F50344" w14:textId="77777777" w:rsidR="001C2F95" w:rsidRPr="001857F5" w:rsidRDefault="001C2F95" w:rsidP="00971FD2">
            <w:pPr>
              <w:textAlignment w:val="baseline"/>
              <w:rPr>
                <w:rFonts w:cs="Arial"/>
                <w:color w:val="000000"/>
                <w:sz w:val="22"/>
              </w:rPr>
            </w:pPr>
          </w:p>
          <w:p w14:paraId="708B1D45" w14:textId="77777777" w:rsidR="001C2F95" w:rsidRPr="001857F5" w:rsidRDefault="001C2F95" w:rsidP="00971FD2">
            <w:pPr>
              <w:textAlignment w:val="baseline"/>
              <w:rPr>
                <w:rFonts w:cs="Arial"/>
                <w:color w:val="000000"/>
                <w:sz w:val="22"/>
              </w:rPr>
            </w:pPr>
            <w:r w:rsidRPr="001857F5">
              <w:rPr>
                <w:rFonts w:cs="Arial"/>
                <w:color w:val="000000"/>
                <w:sz w:val="22"/>
              </w:rPr>
              <w:t>Il sied de noter que les peuples autochtones ne sont pas signalés dans la Province du Kwilu.</w:t>
            </w:r>
          </w:p>
        </w:tc>
      </w:tr>
      <w:tr w:rsidR="001C2F95" w:rsidRPr="001857F5" w14:paraId="3C0BD205"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DCEE52" w14:textId="77777777" w:rsidR="001C2F95" w:rsidRPr="001857F5" w:rsidRDefault="001C2F95" w:rsidP="00971FD2">
            <w:pPr>
              <w:rPr>
                <w:rFonts w:eastAsia="Calibri" w:cs="Arial"/>
                <w:b/>
                <w:sz w:val="22"/>
              </w:rPr>
            </w:pPr>
            <w:r w:rsidRPr="001857F5">
              <w:rPr>
                <w:rFonts w:eastAsia="Calibri" w:cs="Arial"/>
                <w:b/>
                <w:sz w:val="22"/>
              </w:rPr>
              <w:t>Activités principales de la population</w:t>
            </w:r>
          </w:p>
        </w:tc>
        <w:tc>
          <w:tcPr>
            <w:tcW w:w="11509" w:type="dxa"/>
            <w:tcBorders>
              <w:top w:val="single" w:sz="4" w:space="0" w:color="000001"/>
              <w:left w:val="single" w:sz="4" w:space="0" w:color="000001"/>
              <w:bottom w:val="single" w:sz="4" w:space="0" w:color="000001"/>
              <w:right w:val="single" w:sz="4" w:space="0" w:color="000001"/>
            </w:tcBorders>
          </w:tcPr>
          <w:p w14:paraId="28AF7FA1" w14:textId="77777777" w:rsidR="001C2F95" w:rsidRPr="00730A4A" w:rsidRDefault="001C2F95" w:rsidP="00971FD2">
            <w:pPr>
              <w:textAlignment w:val="baseline"/>
              <w:rPr>
                <w:rFonts w:cs="Arial"/>
                <w:color w:val="000000"/>
                <w:sz w:val="22"/>
              </w:rPr>
            </w:pPr>
            <w:r w:rsidRPr="00730A4A">
              <w:rPr>
                <w:rFonts w:cs="Arial"/>
                <w:color w:val="000000"/>
                <w:sz w:val="22"/>
              </w:rPr>
              <w:t>Les activités principales sont :</w:t>
            </w:r>
          </w:p>
          <w:p w14:paraId="6FC01409" w14:textId="77777777" w:rsidR="001C2F95" w:rsidRPr="001857F5" w:rsidRDefault="001C2F95" w:rsidP="00971FD2">
            <w:pPr>
              <w:textAlignment w:val="baseline"/>
              <w:rPr>
                <w:rFonts w:cs="Arial"/>
                <w:color w:val="000000"/>
                <w:sz w:val="22"/>
              </w:rPr>
            </w:pPr>
            <w:r w:rsidRPr="001857F5">
              <w:rPr>
                <w:rFonts w:cs="Arial"/>
                <w:color w:val="000000"/>
                <w:sz w:val="22"/>
              </w:rPr>
              <w:t xml:space="preserve">La majorité de la population de Kwilu s’adonne à l’agriculture vivrière et à l’élevage. Tous les cinq Territoires produisent le manioc, le maïs, l’arachide, le millet, le soja, la courge et bien d’autres produits agricoles. La population du Kwilu utilise 5 types d’élevage : volaille, caprin, porcin, ovin et bovin </w:t>
            </w:r>
            <w:r w:rsidR="004F0CA2" w:rsidRPr="001857F5">
              <w:rPr>
                <w:rFonts w:cs="Arial"/>
                <w:color w:val="000000"/>
                <w:sz w:val="22"/>
              </w:rPr>
              <w:t>rependus</w:t>
            </w:r>
            <w:r w:rsidRPr="001857F5">
              <w:rPr>
                <w:rFonts w:cs="Arial"/>
                <w:color w:val="000000"/>
                <w:sz w:val="22"/>
              </w:rPr>
              <w:t xml:space="preserve"> à travers toute l’étendue de la Province. L’activité de la pêche est concentrée dans le Nord de la Province sur les Rivières Kwilu et Kwango.</w:t>
            </w:r>
          </w:p>
          <w:p w14:paraId="36CD813A" w14:textId="77777777" w:rsidR="001C2F95" w:rsidRPr="001857F5" w:rsidRDefault="001C2F95" w:rsidP="00971FD2">
            <w:pPr>
              <w:textAlignment w:val="baseline"/>
              <w:rPr>
                <w:rFonts w:cs="Arial"/>
                <w:color w:val="000000"/>
                <w:sz w:val="22"/>
              </w:rPr>
            </w:pPr>
          </w:p>
          <w:p w14:paraId="04E34D8A" w14:textId="77777777" w:rsidR="001C2F95" w:rsidRPr="001857F5" w:rsidRDefault="001C2F95" w:rsidP="00971FD2">
            <w:pPr>
              <w:textAlignment w:val="baseline"/>
              <w:rPr>
                <w:rFonts w:cs="Arial"/>
                <w:i/>
                <w:color w:val="000000"/>
                <w:sz w:val="22"/>
              </w:rPr>
            </w:pPr>
            <w:r w:rsidRPr="001857F5">
              <w:rPr>
                <w:rFonts w:cs="Arial"/>
                <w:i/>
                <w:color w:val="000000"/>
                <w:sz w:val="22"/>
              </w:rPr>
              <w:t xml:space="preserve">Niveau de production agricole et manipulation des pesticides   </w:t>
            </w:r>
          </w:p>
          <w:p w14:paraId="1F2254D7" w14:textId="77777777" w:rsidR="001C2F95" w:rsidRPr="001857F5" w:rsidRDefault="001C2F95" w:rsidP="00971FD2">
            <w:pPr>
              <w:textAlignment w:val="baseline"/>
              <w:rPr>
                <w:rFonts w:cs="Arial"/>
                <w:color w:val="000000"/>
                <w:sz w:val="22"/>
              </w:rPr>
            </w:pPr>
          </w:p>
          <w:p w14:paraId="031D8E4E" w14:textId="77777777" w:rsidR="001C2F95" w:rsidRPr="001857F5" w:rsidRDefault="001C2F95" w:rsidP="00971FD2">
            <w:pPr>
              <w:textAlignment w:val="baseline"/>
              <w:rPr>
                <w:rFonts w:cs="Arial"/>
                <w:color w:val="000000"/>
                <w:sz w:val="22"/>
              </w:rPr>
            </w:pPr>
            <w:r w:rsidRPr="001857F5">
              <w:rPr>
                <w:rFonts w:cs="Arial"/>
                <w:color w:val="000000"/>
                <w:sz w:val="22"/>
              </w:rPr>
              <w:t xml:space="preserve">L’agriculture dans la Province du Kwilu est largement traditionnelle, pauvre. Elle n’est pas organisée, encadrée réellement. Les opérateurs du secteur agricole ne disposent pas d’un </w:t>
            </w:r>
            <w:r w:rsidR="004F0CA2" w:rsidRPr="001857F5">
              <w:rPr>
                <w:rFonts w:cs="Arial"/>
                <w:color w:val="000000"/>
                <w:sz w:val="22"/>
              </w:rPr>
              <w:t>vadémécum</w:t>
            </w:r>
            <w:r w:rsidRPr="001857F5">
              <w:rPr>
                <w:rFonts w:cs="Arial"/>
                <w:color w:val="000000"/>
                <w:sz w:val="22"/>
              </w:rPr>
              <w:t xml:space="preserve"> technique pour la conduite de leurs activités agricoles. Le soutien du Gouvernement consiste parfois à la mise à disposition des tracteurs à certains dignitaires et matériels aratoires et semences aux paysans.  Cette agriculture consomme trop peu des pesticides.  </w:t>
            </w:r>
          </w:p>
          <w:p w14:paraId="1FE903C8" w14:textId="77777777" w:rsidR="001C2F95" w:rsidRPr="001857F5" w:rsidRDefault="001C2F95" w:rsidP="00971FD2">
            <w:pPr>
              <w:textAlignment w:val="baseline"/>
              <w:rPr>
                <w:rFonts w:cs="Arial"/>
                <w:color w:val="000000"/>
                <w:sz w:val="22"/>
              </w:rPr>
            </w:pPr>
            <w:r w:rsidRPr="001857F5">
              <w:rPr>
                <w:rFonts w:cs="Arial"/>
                <w:color w:val="000000"/>
                <w:sz w:val="22"/>
              </w:rPr>
              <w:t xml:space="preserve">S’agissant des produits phytosanitaires, tout commerçant intéressé par ce business l'entreprend même sans infrastructure et sans connaissance préalable la vente des intrants dans les villes de Kikwit et Bandundu ville ainsi qu’au niveau des chefs-lieux des territoires de la Province du Kwilu. En outre, les conditions de stockage, de transport et d’utilisation des pesticides ne sont pas respectées. Les utilisateurs (agriculteurs) ne sont pas informés par les </w:t>
            </w:r>
            <w:r w:rsidRPr="001857F5">
              <w:rPr>
                <w:rFonts w:cs="Arial"/>
                <w:color w:val="000000"/>
                <w:sz w:val="22"/>
              </w:rPr>
              <w:lastRenderedPageBreak/>
              <w:t>vendeurs de la toxicité de ces produits et de mode d’emploi correcte pour améliorer leur rendement agricole. Ainsi, l’observe des insuffisances ci-après : Les fournisseurs reconditionnent et livrent parfois les pesticides dans des sachets en plastiques sans étiquettes, aucune réglementation en vigueur, Les pesticides sont utilisés de façon empirique sans essais comparatifs préalables ni évaluation d'efficacité. Aussi, la majorité des utilisateurs ont une connaissance très limitée de technique de manipulation de pesticides et de formation à cette fin non organisée</w:t>
            </w:r>
          </w:p>
          <w:p w14:paraId="4942C109" w14:textId="77777777" w:rsidR="001C2F95" w:rsidRPr="001857F5" w:rsidRDefault="001C2F95" w:rsidP="00971FD2">
            <w:pPr>
              <w:textAlignment w:val="baseline"/>
              <w:rPr>
                <w:rFonts w:cs="Arial"/>
                <w:color w:val="000000"/>
                <w:sz w:val="22"/>
              </w:rPr>
            </w:pPr>
            <w:r w:rsidRPr="001857F5">
              <w:rPr>
                <w:rFonts w:cs="Arial"/>
                <w:color w:val="000000"/>
                <w:sz w:val="22"/>
              </w:rPr>
              <w:t xml:space="preserve">Quelques principales menaces (zoonoses et maladies des plantes) sont : Les criquets, chenilles processionnaires, mouches des fruits, les maladies de la banane et la </w:t>
            </w:r>
            <w:r w:rsidR="008454F4" w:rsidRPr="001857F5">
              <w:rPr>
                <w:rFonts w:cs="Arial"/>
                <w:color w:val="000000"/>
                <w:sz w:val="22"/>
              </w:rPr>
              <w:t>mosaïque</w:t>
            </w:r>
            <w:r w:rsidRPr="001857F5">
              <w:rPr>
                <w:rFonts w:cs="Arial"/>
                <w:color w:val="000000"/>
                <w:sz w:val="22"/>
              </w:rPr>
              <w:t xml:space="preserve"> du manioc sont parmi les ravageurs et les maladies des plantes les plus destructeurs dans la région.</w:t>
            </w:r>
          </w:p>
          <w:p w14:paraId="20F45BA6" w14:textId="77777777" w:rsidR="001C2F95" w:rsidRPr="001857F5" w:rsidRDefault="001C2F95" w:rsidP="00971FD2">
            <w:pPr>
              <w:textAlignment w:val="baseline"/>
              <w:rPr>
                <w:rFonts w:cs="Arial"/>
                <w:color w:val="000000"/>
                <w:sz w:val="22"/>
              </w:rPr>
            </w:pPr>
          </w:p>
          <w:p w14:paraId="596CBFED" w14:textId="77777777" w:rsidR="001C2F95" w:rsidRPr="001857F5" w:rsidRDefault="001C2F95" w:rsidP="00971FD2">
            <w:pPr>
              <w:textAlignment w:val="baseline"/>
              <w:rPr>
                <w:rFonts w:cs="Arial"/>
                <w:color w:val="000000"/>
                <w:sz w:val="22"/>
              </w:rPr>
            </w:pPr>
            <w:r w:rsidRPr="001857F5">
              <w:rPr>
                <w:rFonts w:cs="Arial"/>
                <w:color w:val="000000"/>
                <w:sz w:val="22"/>
              </w:rPr>
              <w:t>Au regard de toutes ces réalités, nous pouvons dire que l’agriculture dans la Province du Kwilu est caractérisé une productivité très en-deçà des potentialités. Les cultures ont connu des baisses importantes de production liées à la faible utilisation de semences de qualité, d’intrants et de pratiques culturales améliorées. La sensibilité de certaines variétés aux maladies a également entraîné des baisses de productivité. Il y a lieu de relancer ce secteur pour améliorer le niveau de vie de la population de cette province qui alimente également la ville province de Kinshasa.</w:t>
            </w:r>
          </w:p>
        </w:tc>
      </w:tr>
      <w:tr w:rsidR="001C2F95" w:rsidRPr="001857F5" w14:paraId="5DCD32C4"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C84EB60" w14:textId="77777777" w:rsidR="001C2F95" w:rsidRPr="001857F5" w:rsidRDefault="001C2F95" w:rsidP="00971FD2">
            <w:pPr>
              <w:rPr>
                <w:rFonts w:eastAsia="Calibri" w:cs="Arial"/>
                <w:b/>
                <w:sz w:val="22"/>
              </w:rPr>
            </w:pPr>
            <w:r w:rsidRPr="001857F5">
              <w:rPr>
                <w:rFonts w:eastAsia="Calibri" w:cs="Arial"/>
                <w:b/>
                <w:sz w:val="22"/>
              </w:rPr>
              <w:lastRenderedPageBreak/>
              <w:t>Économie</w:t>
            </w:r>
          </w:p>
        </w:tc>
        <w:tc>
          <w:tcPr>
            <w:tcW w:w="11509" w:type="dxa"/>
            <w:tcBorders>
              <w:top w:val="single" w:sz="4" w:space="0" w:color="000001"/>
              <w:left w:val="single" w:sz="4" w:space="0" w:color="000001"/>
              <w:bottom w:val="single" w:sz="4" w:space="0" w:color="000001"/>
              <w:right w:val="single" w:sz="4" w:space="0" w:color="000001"/>
            </w:tcBorders>
          </w:tcPr>
          <w:p w14:paraId="02468863" w14:textId="77777777" w:rsidR="001C2F95" w:rsidRPr="001857F5" w:rsidRDefault="001C2F95" w:rsidP="00971FD2">
            <w:pPr>
              <w:textAlignment w:val="baseline"/>
              <w:rPr>
                <w:rFonts w:cs="Arial"/>
                <w:color w:val="000000"/>
                <w:sz w:val="22"/>
              </w:rPr>
            </w:pPr>
            <w:r w:rsidRPr="001857F5">
              <w:rPr>
                <w:rFonts w:cs="Arial"/>
                <w:color w:val="000000"/>
                <w:sz w:val="22"/>
              </w:rPr>
              <w:t>Le potentiel foncier de la Province reste encore intact, non prospecté, sous exploité. On y rencontre des vastes étendues de terres vacantes propices à l’agriculture, à l’élevage, etc. Deux systèmes de production agricole coexistent dans la Province ; il s’agit des exploitations de type moderne (café, hévéa, cacao, palmier éla</w:t>
            </w:r>
            <w:r w:rsidR="00643A1E">
              <w:rPr>
                <w:rFonts w:cs="Arial"/>
                <w:color w:val="000000"/>
                <w:sz w:val="22"/>
              </w:rPr>
              <w:t>i</w:t>
            </w:r>
            <w:r w:rsidRPr="001857F5">
              <w:rPr>
                <w:rFonts w:cs="Arial"/>
                <w:color w:val="000000"/>
                <w:sz w:val="22"/>
              </w:rPr>
              <w:t>s, etc.) et des exploitations de type traditionnel (familial) qui pratiquent essentiellement les cultures vivrières : le manioc, le maïs, le riz, l’arachide, le haricot et le niébé, la banane plantain, la patate douce, l’igname, la pomme de terre, le millet ainsi que les légumes et fruits divers. La femme et la jeune fille fournissent une main d’œuvre très importante pour les travaux champêtres (</w:t>
            </w:r>
            <w:r w:rsidR="008454F4" w:rsidRPr="001857F5">
              <w:rPr>
                <w:rFonts w:cs="Arial"/>
                <w:color w:val="000000"/>
                <w:sz w:val="22"/>
              </w:rPr>
              <w:t>récolte</w:t>
            </w:r>
            <w:r w:rsidRPr="001857F5">
              <w:rPr>
                <w:rFonts w:cs="Arial"/>
                <w:color w:val="000000"/>
                <w:sz w:val="22"/>
              </w:rPr>
              <w:t xml:space="preserve"> – transport et vente des produits agricoles sur le marché) pour la survie des ménages. Les jeunes filles n’étudient pas et sont associées à toutes les activités sociales (</w:t>
            </w:r>
            <w:r w:rsidR="008454F4" w:rsidRPr="001857F5">
              <w:rPr>
                <w:rFonts w:cs="Arial"/>
                <w:color w:val="000000"/>
                <w:sz w:val="22"/>
              </w:rPr>
              <w:t>tâches</w:t>
            </w:r>
            <w:r w:rsidRPr="001857F5">
              <w:rPr>
                <w:rFonts w:cs="Arial"/>
                <w:color w:val="000000"/>
                <w:sz w:val="22"/>
              </w:rPr>
              <w:t xml:space="preserve"> domestiques, soins des enfants, travail de champ, etc.) pour leur initiation.</w:t>
            </w:r>
            <w:r w:rsidR="008454F4" w:rsidRPr="001857F5">
              <w:rPr>
                <w:rFonts w:cs="Arial"/>
                <w:color w:val="000000"/>
                <w:sz w:val="22"/>
              </w:rPr>
              <w:t xml:space="preserve"> </w:t>
            </w:r>
            <w:r w:rsidRPr="001857F5">
              <w:rPr>
                <w:rFonts w:cs="Arial"/>
                <w:color w:val="000000"/>
                <w:sz w:val="22"/>
              </w:rPr>
              <w:t>D’une manière générale, en RDC, 58% des femmes travaillent dans le secteur agricol</w:t>
            </w:r>
            <w:r w:rsidR="008454F4" w:rsidRPr="001857F5">
              <w:rPr>
                <w:rFonts w:cs="Arial"/>
                <w:color w:val="000000"/>
                <w:sz w:val="22"/>
              </w:rPr>
              <w:t>e</w:t>
            </w:r>
            <w:r w:rsidRPr="001857F5">
              <w:rPr>
                <w:rFonts w:cs="Arial"/>
                <w:color w:val="000000"/>
                <w:sz w:val="22"/>
              </w:rPr>
              <w:t xml:space="preserve"> (Profil National Genre des Secteurs de l’Agriculture et du Développement Rural – République </w:t>
            </w:r>
            <w:r w:rsidR="008454F4" w:rsidRPr="001857F5">
              <w:rPr>
                <w:rFonts w:cs="Arial"/>
                <w:color w:val="000000"/>
                <w:sz w:val="22"/>
              </w:rPr>
              <w:t>Démocratique</w:t>
            </w:r>
            <w:r w:rsidRPr="001857F5">
              <w:rPr>
                <w:rFonts w:cs="Arial"/>
                <w:color w:val="000000"/>
                <w:sz w:val="22"/>
              </w:rPr>
              <w:t xml:space="preserve"> du Congo, Kinshasa, 2020). De ce fait le mariage précoce est très courant dans cette contrée. Pour l’élevage de type traditionnel (familial), les ménages possèdent quelques unités de petit bétail (caprins, ovins, porcins) et quelques sujets des animaux de basse-cour. La variété des eaux (fleuve, lacs, rivières, ruisseaux, eaux douces) qui forme son réseau hydrographique constitue un potentiel halieutique important pour la Province. </w:t>
            </w:r>
          </w:p>
          <w:p w14:paraId="66EAEE84" w14:textId="77777777" w:rsidR="001C2F95" w:rsidRPr="001857F5" w:rsidRDefault="001C2F95" w:rsidP="00971FD2">
            <w:pPr>
              <w:textAlignment w:val="baseline"/>
              <w:rPr>
                <w:rFonts w:cs="Arial"/>
                <w:i/>
                <w:color w:val="000000"/>
                <w:sz w:val="22"/>
              </w:rPr>
            </w:pPr>
            <w:r w:rsidRPr="001857F5">
              <w:rPr>
                <w:rFonts w:cs="Arial"/>
                <w:color w:val="000000"/>
                <w:sz w:val="22"/>
              </w:rPr>
              <w:t>Il sied de signaler que la Province du Kwilu n’a pas assez d’industrie de transformation des produits agricoles et de distribution. L’on rencontre l’entreprise agroindustrielle Feronia à Kikwit. On dehors de cette entreprise, l’on trouve également depuis 2014 le programme</w:t>
            </w:r>
            <w:r w:rsidRPr="001857F5">
              <w:rPr>
                <w:rStyle w:val="Accentuation"/>
                <w:rFonts w:cs="Arial"/>
                <w:b/>
                <w:bCs/>
                <w:i w:val="0"/>
                <w:iCs w:val="0"/>
                <w:color w:val="5F6368"/>
                <w:sz w:val="22"/>
              </w:rPr>
              <w:t xml:space="preserve"> </w:t>
            </w:r>
            <w:r w:rsidRPr="001857F5">
              <w:rPr>
                <w:rFonts w:cs="Arial"/>
                <w:color w:val="4D5156"/>
                <w:sz w:val="22"/>
                <w:shd w:val="clear" w:color="auto" w:fill="FFFFFF"/>
              </w:rPr>
              <w:t>d'appui aux pôles d'approvisionnement de Kinshasa</w:t>
            </w:r>
            <w:r w:rsidRPr="001857F5">
              <w:rPr>
                <w:rFonts w:cs="Arial"/>
                <w:color w:val="000000"/>
                <w:sz w:val="22"/>
              </w:rPr>
              <w:t xml:space="preserve"> (PAPAKIN) qui s’occupe </w:t>
            </w:r>
            <w:r w:rsidRPr="001857F5">
              <w:rPr>
                <w:rFonts w:cs="Arial"/>
                <w:color w:val="000000"/>
                <w:sz w:val="22"/>
              </w:rPr>
              <w:lastRenderedPageBreak/>
              <w:t>de l’amélioration des techniques culturales, l’éducation et l’organisation des paysans dans une partie de la province du Kwilu.</w:t>
            </w:r>
          </w:p>
        </w:tc>
      </w:tr>
      <w:tr w:rsidR="001C2F95" w:rsidRPr="001857F5" w14:paraId="668861CB"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42180DE" w14:textId="77777777" w:rsidR="001C2F95" w:rsidRPr="001857F5" w:rsidRDefault="001C2F95" w:rsidP="00971FD2">
            <w:pPr>
              <w:rPr>
                <w:rFonts w:eastAsia="Calibri" w:cs="Arial"/>
                <w:b/>
                <w:sz w:val="22"/>
              </w:rPr>
            </w:pPr>
            <w:r w:rsidRPr="001857F5">
              <w:rPr>
                <w:rFonts w:eastAsia="Calibri" w:cs="Arial"/>
                <w:b/>
                <w:sz w:val="22"/>
              </w:rPr>
              <w:lastRenderedPageBreak/>
              <w:t>Situation sanitaire</w:t>
            </w:r>
          </w:p>
        </w:tc>
        <w:tc>
          <w:tcPr>
            <w:tcW w:w="11509" w:type="dxa"/>
            <w:tcBorders>
              <w:top w:val="single" w:sz="4" w:space="0" w:color="000001"/>
              <w:left w:val="single" w:sz="4" w:space="0" w:color="000001"/>
              <w:bottom w:val="single" w:sz="4" w:space="0" w:color="000001"/>
              <w:right w:val="single" w:sz="4" w:space="0" w:color="000001"/>
            </w:tcBorders>
          </w:tcPr>
          <w:p w14:paraId="34597B33" w14:textId="77777777" w:rsidR="001C2F95" w:rsidRPr="001857F5" w:rsidRDefault="001C2F95" w:rsidP="00971FD2">
            <w:pPr>
              <w:textAlignment w:val="baseline"/>
              <w:rPr>
                <w:rFonts w:cs="Arial"/>
                <w:color w:val="000000"/>
                <w:sz w:val="22"/>
              </w:rPr>
            </w:pPr>
            <w:r w:rsidRPr="001857F5">
              <w:rPr>
                <w:rFonts w:cs="Arial"/>
                <w:color w:val="000000"/>
                <w:sz w:val="22"/>
              </w:rPr>
              <w:t>Le nombre des zones de santé est de 24 dont 13 ZS cas (FBP) et 11 ZS témoins. Les structures sanitaires sont au nombre de 578, dont 254 cas (FBP) et 242 témoins (CS, HGR et ECZ). Le paludisme constitue la première cause de la morbidité (soit, 76 %,) suivi des IRA (Bronchopneumonie et Pneumonie, soit 23 %). Les mortalités déclarées pour ces maladies sont respectivement de 85 % pour le paludisme et 12 % pour les méningites. Selon le Bulletin de surveillance des décès maternels et riposte – 2019, le Kwilu accusent le taux le plus élevé de mortalité maternelle et néonatale en République démocratique du Congo. Pour l'année 2019, la Province a accusé 252 décès de femmes.  Sur le plan sanitaire, une épidémie de choléra a été déclarée en 2017 sur l’étendue de la Province. Elle a touché les Zones de Santé riveraines de la Rivière Kasaï (Bandundu, Sia, Ipamu et Mokala). En plus de l’insuffisance d’un personnel médical qualifié et motivé, la Province souffre d’une déficience en équipements et infrastructures de soins. Les structures qualifiées appuient la prise en charge des survivantes de VBG, mais le personnel formé et qualifié fait aussi défaut.</w:t>
            </w:r>
          </w:p>
          <w:p w14:paraId="67D80FFE" w14:textId="77777777" w:rsidR="001C2F95" w:rsidRPr="001857F5" w:rsidRDefault="001C2F95" w:rsidP="00971FD2">
            <w:pPr>
              <w:textAlignment w:val="baseline"/>
              <w:rPr>
                <w:rFonts w:cs="Arial"/>
                <w:color w:val="000000"/>
                <w:sz w:val="22"/>
              </w:rPr>
            </w:pPr>
          </w:p>
          <w:p w14:paraId="66EA7384" w14:textId="77777777" w:rsidR="008454F4" w:rsidRPr="001857F5" w:rsidRDefault="008454F4" w:rsidP="008454F4">
            <w:pPr>
              <w:textAlignment w:val="baseline"/>
              <w:rPr>
                <w:rFonts w:cs="Arial"/>
                <w:color w:val="000000"/>
                <w:sz w:val="22"/>
              </w:rPr>
            </w:pPr>
            <w:r w:rsidRPr="001857F5">
              <w:rPr>
                <w:rFonts w:cs="Arial"/>
                <w:color w:val="000000"/>
                <w:sz w:val="22"/>
              </w:rPr>
              <w:t>Taux de mortalité maternelle : la RDC a le 17</w:t>
            </w:r>
            <w:r w:rsidRPr="001857F5">
              <w:rPr>
                <w:rFonts w:cs="Arial"/>
                <w:color w:val="000000"/>
                <w:sz w:val="22"/>
                <w:vertAlign w:val="superscript"/>
              </w:rPr>
              <w:t>ème</w:t>
            </w:r>
            <w:r w:rsidR="004F0CA2" w:rsidRPr="001857F5">
              <w:rPr>
                <w:rFonts w:cs="Arial"/>
                <w:color w:val="000000"/>
                <w:sz w:val="22"/>
              </w:rPr>
              <w:t xml:space="preserve"> </w:t>
            </w:r>
            <w:r w:rsidRPr="001857F5">
              <w:rPr>
                <w:rFonts w:cs="Arial"/>
                <w:color w:val="000000"/>
                <w:sz w:val="22"/>
              </w:rPr>
              <w:t>taux de mortalité maternelle le plus élevé du monde, avec 693 morts/ 100 000 naissances (en 2015). Taux de mortalité infantile : la RDC a le 12ème taux de mortalité infantile le plus élevé du monde. Totale : 71,47 morts/1 000 naissances</w:t>
            </w:r>
          </w:p>
          <w:p w14:paraId="4B5E6C8A" w14:textId="77777777" w:rsidR="008454F4" w:rsidRPr="001857F5" w:rsidRDefault="008454F4" w:rsidP="00971FD2">
            <w:pPr>
              <w:textAlignment w:val="baseline"/>
              <w:rPr>
                <w:rFonts w:cs="Arial"/>
                <w:color w:val="000000"/>
                <w:sz w:val="22"/>
              </w:rPr>
            </w:pPr>
          </w:p>
          <w:p w14:paraId="0076BEF5" w14:textId="77777777" w:rsidR="001C2F95" w:rsidRPr="001857F5" w:rsidRDefault="001C2F95" w:rsidP="00971FD2">
            <w:pPr>
              <w:pStyle w:val="Paragraphedeliste"/>
              <w:ind w:left="0"/>
              <w:textAlignment w:val="baseline"/>
              <w:rPr>
                <w:rFonts w:cs="Arial"/>
                <w:color w:val="000000"/>
                <w:sz w:val="22"/>
              </w:rPr>
            </w:pPr>
            <w:r w:rsidRPr="001857F5">
              <w:rPr>
                <w:rFonts w:cs="Arial"/>
                <w:color w:val="000000"/>
                <w:sz w:val="22"/>
              </w:rPr>
              <w:t xml:space="preserve">Maladies récurrentes : Paludisme, Infections respiratoires aigües, Anémie, Diarrhée, Malnutrition, Tuberculose, IST et VIH/SIDA etc. Le paludisme est la première cause de morbidité et de mortalité pour l’ensemble de la Province du Kwilu. Les infections respiratoires et l’anémie affectent plus les enfants de moins de 10 ans. Les femmes sont souvent taxées de </w:t>
            </w:r>
            <w:r w:rsidR="004F0CA2" w:rsidRPr="001857F5">
              <w:rPr>
                <w:rFonts w:cs="Arial"/>
                <w:color w:val="000000"/>
                <w:sz w:val="22"/>
              </w:rPr>
              <w:t>négligentes</w:t>
            </w:r>
            <w:r w:rsidRPr="001857F5">
              <w:rPr>
                <w:rFonts w:cs="Arial"/>
                <w:color w:val="000000"/>
                <w:sz w:val="22"/>
              </w:rPr>
              <w:t xml:space="preserve"> lorsque les enfants tombent malades ou décèdent.</w:t>
            </w:r>
            <w:r w:rsidR="004F0CA2" w:rsidRPr="001857F5">
              <w:rPr>
                <w:rFonts w:cs="Arial"/>
                <w:color w:val="000000"/>
                <w:sz w:val="22"/>
              </w:rPr>
              <w:t xml:space="preserve"> Les femmes rurales ont de nombreux rôles, et leurs responsabilités et connaissances sont différentes de celles des hommes. Or, malgré leurs nombreuses responsabilités, les femmes ont nettement moins accès aux ressources et aux services dont elles ont besoin pour augmenter leur productivité et leurs revenus, et alléger leur fardeau de tâches ménagères. Les femmes sont handicapées par le manque d’instruction, l’inégalité des droits de propriété et l’impossibilité ou presque d’accéder aux ressources. Ces normes plantées par la communauté font que lorsqu’un enfant est malade, la femme doit attendre l’autorisation de son mari pour assurer la prise en charge.</w:t>
            </w:r>
          </w:p>
        </w:tc>
      </w:tr>
      <w:tr w:rsidR="001C2F95" w:rsidRPr="001857F5" w14:paraId="6362EA79"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91C89B5" w14:textId="77777777" w:rsidR="001C2F95" w:rsidRPr="001857F5" w:rsidRDefault="001C2F95" w:rsidP="00971FD2">
            <w:pPr>
              <w:rPr>
                <w:rFonts w:eastAsia="Calibri" w:cs="Arial"/>
                <w:b/>
                <w:sz w:val="22"/>
              </w:rPr>
            </w:pPr>
            <w:r w:rsidRPr="001857F5">
              <w:rPr>
                <w:rFonts w:eastAsia="Calibri" w:cs="Arial"/>
                <w:b/>
                <w:sz w:val="22"/>
              </w:rPr>
              <w:t xml:space="preserve">Situation du COVID-19 dans la Province du Kwilu </w:t>
            </w:r>
          </w:p>
        </w:tc>
        <w:tc>
          <w:tcPr>
            <w:tcW w:w="11509" w:type="dxa"/>
            <w:tcBorders>
              <w:top w:val="single" w:sz="4" w:space="0" w:color="000001"/>
              <w:left w:val="single" w:sz="4" w:space="0" w:color="000001"/>
              <w:bottom w:val="single" w:sz="4" w:space="0" w:color="000001"/>
              <w:right w:val="single" w:sz="4" w:space="0" w:color="000001"/>
            </w:tcBorders>
          </w:tcPr>
          <w:p w14:paraId="76DBA557" w14:textId="77777777" w:rsidR="001C2F95" w:rsidRPr="001857F5" w:rsidRDefault="001C2F95" w:rsidP="00971FD2">
            <w:pPr>
              <w:textAlignment w:val="baseline"/>
              <w:rPr>
                <w:rFonts w:cs="Arial"/>
                <w:color w:val="000000"/>
                <w:sz w:val="22"/>
              </w:rPr>
            </w:pPr>
            <w:r w:rsidRPr="001857F5">
              <w:rPr>
                <w:rFonts w:cs="Arial"/>
                <w:color w:val="000000"/>
                <w:sz w:val="22"/>
              </w:rPr>
              <w:t>Douze (12) cas confirmés de la COVID-19 est la situation du 12 janvier 2021 dans la Province du Kwilu en RDC (Bulletin publié n°294 de Magasine Santé</w:t>
            </w:r>
            <w:r w:rsidR="004F0CA2" w:rsidRPr="001857F5">
              <w:rPr>
                <w:rFonts w:cs="Arial"/>
                <w:color w:val="000000"/>
                <w:sz w:val="22"/>
              </w:rPr>
              <w:t xml:space="preserve"> </w:t>
            </w:r>
            <w:r w:rsidRPr="001857F5">
              <w:rPr>
                <w:rFonts w:cs="Arial"/>
                <w:color w:val="000000"/>
                <w:sz w:val="22"/>
              </w:rPr>
              <w:t>news – situation épidémiologique COVID-19 en janvier 2021). Les cas de contaminations peuvent diminuer si la population respecte les mesures barrières.</w:t>
            </w:r>
          </w:p>
        </w:tc>
      </w:tr>
      <w:tr w:rsidR="001C2F95" w:rsidRPr="001857F5" w14:paraId="1EC14475"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4CA0523" w14:textId="77777777" w:rsidR="001C2F95" w:rsidRPr="001857F5" w:rsidRDefault="001C2F95" w:rsidP="00971FD2">
            <w:pPr>
              <w:rPr>
                <w:rFonts w:eastAsia="Calibri" w:cs="Arial"/>
                <w:b/>
                <w:sz w:val="22"/>
              </w:rPr>
            </w:pPr>
            <w:r w:rsidRPr="001857F5">
              <w:rPr>
                <w:rFonts w:eastAsia="Calibri" w:cs="Arial"/>
                <w:b/>
                <w:sz w:val="22"/>
              </w:rPr>
              <w:lastRenderedPageBreak/>
              <w:t>Éducation</w:t>
            </w:r>
          </w:p>
        </w:tc>
        <w:tc>
          <w:tcPr>
            <w:tcW w:w="11509" w:type="dxa"/>
            <w:tcBorders>
              <w:top w:val="single" w:sz="4" w:space="0" w:color="000001"/>
              <w:left w:val="single" w:sz="4" w:space="0" w:color="000001"/>
              <w:bottom w:val="single" w:sz="4" w:space="0" w:color="000001"/>
              <w:right w:val="single" w:sz="4" w:space="0" w:color="000001"/>
            </w:tcBorders>
          </w:tcPr>
          <w:p w14:paraId="3534001C" w14:textId="77777777" w:rsidR="001C2F95" w:rsidRPr="001857F5" w:rsidRDefault="001C2F95" w:rsidP="00971FD2">
            <w:pPr>
              <w:textAlignment w:val="baseline"/>
              <w:rPr>
                <w:rFonts w:cs="Arial"/>
                <w:sz w:val="22"/>
              </w:rPr>
            </w:pPr>
            <w:r w:rsidRPr="001857F5">
              <w:rPr>
                <w:rFonts w:cs="Arial"/>
                <w:sz w:val="22"/>
              </w:rPr>
              <w:t>Le taux d’accès à l’école a augmenté avec le programme du Gouvernement de la RDC sur la gratuité de l’enseignement soutenue par la Banque Mondiale. Des indicateurs chiffrés ne sont pas encore disponibles. Toutefois, l’enquête MICS2-Palu, RDC 2017-2018 renseigne que le taux net de fréquentation scolaire des enfants dans la Province du Kwilu est de 50,8 %. Il sied de signaler que cette gratuité de l’enseignement va augmenter le taux de fréquentation des filles à l’école ce qui pourrait contribuer à une réduction des mariages précoces dans cette communauté.</w:t>
            </w:r>
          </w:p>
          <w:p w14:paraId="26F4F755" w14:textId="77777777" w:rsidR="001C2F95" w:rsidRPr="001857F5" w:rsidRDefault="001C2F95" w:rsidP="00971FD2">
            <w:pPr>
              <w:textAlignment w:val="baseline"/>
              <w:rPr>
                <w:rFonts w:cs="Arial"/>
                <w:sz w:val="22"/>
              </w:rPr>
            </w:pPr>
            <w:r w:rsidRPr="001857F5">
              <w:rPr>
                <w:rFonts w:cs="Arial"/>
                <w:sz w:val="22"/>
              </w:rPr>
              <w:t>Les infrastructures scolaires sont en nombre insuffisant et sont pour la plupart dans un état de délabrement très avancé. Presque toutes les écoles agréées en 1990 sont en pisé, sans bancs et sans équipements. La ville de Bandundu a, à elle seule, 81 écoles primaires et secondaires dont 22 dans la commune de Basoko, 39 à Mayoyo et 20 à Disasi. Il convient de relever l’insuffisance des locaux et l’état de désuétude de certaines écoles construites généralement de blocs à dobe. La ville de Kikwit compte 85 établissements scolaires dont 55 écoles primaires et 30 écoles secondaires. À cela, il faut ajouter 11 écoles maternelles, une université et quatre instituts supérieurs. Ces écoles sont inégalement réparties dans les différentes communes de la ville.</w:t>
            </w:r>
          </w:p>
        </w:tc>
      </w:tr>
      <w:tr w:rsidR="001C2F95" w:rsidRPr="001857F5" w14:paraId="786A93BE"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76C0867" w14:textId="77777777" w:rsidR="001C2F95" w:rsidRPr="001857F5" w:rsidRDefault="001C2F95" w:rsidP="00971FD2">
            <w:pPr>
              <w:rPr>
                <w:rFonts w:eastAsia="Calibri" w:cs="Arial"/>
                <w:b/>
                <w:sz w:val="22"/>
              </w:rPr>
            </w:pPr>
            <w:r w:rsidRPr="001857F5">
              <w:rPr>
                <w:rFonts w:eastAsia="Calibri" w:cs="Arial"/>
                <w:b/>
                <w:sz w:val="22"/>
              </w:rPr>
              <w:t>Violences Basées sur le Genre (VBG)</w:t>
            </w:r>
          </w:p>
        </w:tc>
        <w:tc>
          <w:tcPr>
            <w:tcW w:w="11509" w:type="dxa"/>
            <w:tcBorders>
              <w:top w:val="single" w:sz="4" w:space="0" w:color="000001"/>
              <w:left w:val="single" w:sz="4" w:space="0" w:color="000001"/>
              <w:bottom w:val="single" w:sz="4" w:space="0" w:color="000001"/>
              <w:right w:val="single" w:sz="4" w:space="0" w:color="000001"/>
            </w:tcBorders>
          </w:tcPr>
          <w:p w14:paraId="068B57B3" w14:textId="77777777" w:rsidR="001C2F95" w:rsidRPr="001857F5" w:rsidRDefault="001C2F95" w:rsidP="00902ED8">
            <w:pPr>
              <w:rPr>
                <w:rFonts w:cs="Arial"/>
                <w:color w:val="000000"/>
                <w:sz w:val="22"/>
              </w:rPr>
            </w:pPr>
            <w:r w:rsidRPr="001857F5">
              <w:rPr>
                <w:rFonts w:cs="Arial"/>
                <w:color w:val="000000"/>
                <w:sz w:val="22"/>
              </w:rPr>
              <w:t xml:space="preserve">En 2014, le nombre de cas des VBG rapportés dans la Province était de 1 063 tandis que le nombre de cas incidents était de 1 055. En termes de descriptif, 97,5 % des cas portent sur le viol (y compris le viol collectif) contre 2,5 % pour les agressions sexuelles. Au sein des victimes, 52,8 % ont entre 26 et 40 ans. </w:t>
            </w:r>
          </w:p>
          <w:p w14:paraId="2AB0204E" w14:textId="77777777" w:rsidR="00902ED8" w:rsidRPr="001857F5" w:rsidRDefault="00902ED8" w:rsidP="00902ED8">
            <w:pPr>
              <w:rPr>
                <w:rFonts w:cs="Arial"/>
                <w:color w:val="000000"/>
                <w:sz w:val="22"/>
              </w:rPr>
            </w:pPr>
          </w:p>
          <w:p w14:paraId="41D4259B" w14:textId="77777777" w:rsidR="00902ED8" w:rsidRPr="001857F5" w:rsidRDefault="00902ED8" w:rsidP="00902ED8">
            <w:pPr>
              <w:rPr>
                <w:rFonts w:cs="Arial"/>
                <w:color w:val="000000"/>
                <w:sz w:val="22"/>
              </w:rPr>
            </w:pPr>
            <w:r w:rsidRPr="001857F5">
              <w:rPr>
                <w:rFonts w:cs="Arial"/>
                <w:color w:val="000000"/>
                <w:sz w:val="22"/>
              </w:rPr>
              <w:t>Selon l’étude démographique et de santé 2013-2014, en RDC, 46 % de femmes, en union ou en rupture d’union, ont déclaré avoir subi à un moment quelconque des actes de violence physique de la part de leur mari/partenaire actuel ou le plus récent, 37 % de la violence émotionnelle et 26 % des actes de violence sexuelle. Au cours des 12 derniers mois, 30 % des femmes en union ou en rupture d’union ont été confrontées à des actes de violence physique de la part de leur mari/partenaire : dans 13 % des cas, ce comportement s’est produit souvent et dans 17 % des cas, il s’est produit parfois. Au cours de cette même période, 29 % ont subi de la violence émotionnelle : 14 % souvent et 15 % parfois, et pour 20 % des femmes, la violence au cours des 12 derniers mois s’est manifestée sous la forme sexuelle, 10 % souvent et 10 % parfois. Pratiquement la moitié des femmes en union ou l’ayant été ont subi des actes de violence physique et/ou sexuelle (51 %) et 57 % en ont subi sous les trois formes à un certain moment de leur vie. Au cours des 12 derniers mois, ces proportions sont respectivement de 37 % et 44 %.</w:t>
            </w:r>
          </w:p>
          <w:p w14:paraId="02B379EA" w14:textId="77777777" w:rsidR="00902ED8" w:rsidRPr="001857F5" w:rsidRDefault="00902ED8" w:rsidP="00902ED8">
            <w:pPr>
              <w:rPr>
                <w:rFonts w:cs="Arial"/>
                <w:color w:val="000000"/>
                <w:sz w:val="22"/>
              </w:rPr>
            </w:pPr>
          </w:p>
          <w:p w14:paraId="3A58A7E0" w14:textId="77777777" w:rsidR="00902ED8" w:rsidRPr="001857F5" w:rsidRDefault="00902ED8" w:rsidP="00902ED8">
            <w:pPr>
              <w:rPr>
                <w:rFonts w:cs="Arial"/>
                <w:color w:val="000000"/>
                <w:sz w:val="22"/>
              </w:rPr>
            </w:pPr>
            <w:r w:rsidRPr="001857F5">
              <w:rPr>
                <w:rFonts w:cs="Arial"/>
                <w:color w:val="000000"/>
                <w:sz w:val="22"/>
              </w:rPr>
              <w:t xml:space="preserve">Les résultats sont également présentés selon le type d’actes de violence conjugale. On constate que l’acte physique violent le plus fréquent a consisté à gifler la femme (40 % à n’importe quel moment et 24 % au cours des 12 derniers mois) Les femmes ont déclaré ensuite dans 27 % des cas avoir été insultées ou rabaissées. Au cours des 12 derniers mois, cette proportion est de 21 %. En outre, un peu plus d’une femme sur cinq (23 %) a déclaré avoir été forcée </w:t>
            </w:r>
            <w:r w:rsidRPr="001857F5">
              <w:rPr>
                <w:rFonts w:cs="Arial"/>
                <w:color w:val="000000"/>
                <w:sz w:val="22"/>
              </w:rPr>
              <w:lastRenderedPageBreak/>
              <w:t>physiquement à avoir des rapports sexuels avec son mari/partenaire alors qu’elle ne le souhaitait pas. Au cours des 12 derniers mois, cette proportion est de 17 %.</w:t>
            </w:r>
          </w:p>
          <w:p w14:paraId="762D1A1C" w14:textId="77777777" w:rsidR="00902ED8" w:rsidRPr="001857F5" w:rsidRDefault="00902ED8" w:rsidP="00902ED8">
            <w:pPr>
              <w:rPr>
                <w:rFonts w:cs="Arial"/>
                <w:color w:val="000000"/>
                <w:sz w:val="22"/>
              </w:rPr>
            </w:pPr>
          </w:p>
          <w:p w14:paraId="3B4F9DEE" w14:textId="77777777" w:rsidR="00902ED8" w:rsidRPr="001857F5" w:rsidRDefault="00902ED8" w:rsidP="00902ED8">
            <w:pPr>
              <w:rPr>
                <w:rFonts w:cs="Arial"/>
                <w:color w:val="000000"/>
                <w:sz w:val="22"/>
              </w:rPr>
            </w:pPr>
            <w:r w:rsidRPr="001857F5">
              <w:rPr>
                <w:rFonts w:cs="Arial"/>
                <w:color w:val="000000"/>
                <w:sz w:val="22"/>
              </w:rPr>
              <w:t>Globalement, 53 % des femmes en union ou l’ayant été ont subi des actes de violence conjugale, physique et/ou sexuelle. Et aussi, l’âge d’entrée en union des femmes est assez précoce. En effet, 43 % de femmes âgées de 25-49 ans au moment de l’enquête étaient déjà en union avant d’atteindre l’âge de 18 ans (Tableau 4.3). Plus de trois femmes de 25-49 ans sur cinq (62 %) étaient déjà en union avant 20 ans et près de neuf sur 62 • Nuptialité et exposition au risque de grossesse dix (86 %) l’étaient avant 25 ans.</w:t>
            </w:r>
          </w:p>
        </w:tc>
      </w:tr>
      <w:tr w:rsidR="001C2F95" w:rsidRPr="001857F5" w14:paraId="1CC0178B"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BB2C986" w14:textId="77777777" w:rsidR="001C2F95" w:rsidRPr="001857F5" w:rsidRDefault="001C2F95" w:rsidP="00971FD2">
            <w:pPr>
              <w:jc w:val="left"/>
              <w:rPr>
                <w:rFonts w:eastAsia="Calibri" w:cs="Arial"/>
                <w:b/>
                <w:sz w:val="22"/>
              </w:rPr>
            </w:pPr>
            <w:r w:rsidRPr="001857F5">
              <w:rPr>
                <w:rFonts w:eastAsia="Calibri" w:cs="Arial"/>
                <w:b/>
                <w:sz w:val="22"/>
              </w:rPr>
              <w:lastRenderedPageBreak/>
              <w:t>Infrastructures de transport</w:t>
            </w:r>
          </w:p>
        </w:tc>
        <w:tc>
          <w:tcPr>
            <w:tcW w:w="11509" w:type="dxa"/>
            <w:tcBorders>
              <w:top w:val="single" w:sz="4" w:space="0" w:color="000001"/>
              <w:left w:val="single" w:sz="4" w:space="0" w:color="000001"/>
              <w:bottom w:val="single" w:sz="4" w:space="0" w:color="000001"/>
              <w:right w:val="single" w:sz="4" w:space="0" w:color="000001"/>
            </w:tcBorders>
          </w:tcPr>
          <w:p w14:paraId="04E9E9EF" w14:textId="77777777" w:rsidR="001C2F95" w:rsidRPr="001857F5" w:rsidRDefault="001C2F95" w:rsidP="00971FD2">
            <w:pPr>
              <w:pStyle w:val="Paragraphedeliste"/>
              <w:ind w:left="0"/>
              <w:rPr>
                <w:rFonts w:cs="Arial"/>
                <w:color w:val="000000"/>
                <w:sz w:val="22"/>
              </w:rPr>
            </w:pPr>
            <w:r w:rsidRPr="001857F5">
              <w:rPr>
                <w:rFonts w:cs="Arial"/>
                <w:color w:val="000000"/>
                <w:sz w:val="22"/>
              </w:rPr>
              <w:t xml:space="preserve">Les routes de la Provinces de Kwilu se trouvent dans état de délabrement très avancé. La RN1 quitte Kinshasa jusqu’à Kikwit à près de 527 km. De Kikwit à Bandundu-Ville, l’on empreinte la route en terre battue en état de délabrement avancé. Les routes de desserte agricole sont également en mauvais état. Pour arriver vite au Chef-lieu de la Province, la majorité des gens utilisent la moto. Le délabrement des routes est souvent un risque des VBG du fait que les véhicules qui s’embourbent sont obligés de mettre plus de temps que prévu dans les villages avoisinants. Par la suite, les passagers sont logés dans la communauté, ce qui crée des risques d’EAS pour les jeunes filles qui ne fréquentent pas l’école et sont souvent à la recherche d’un revenu ou des activités économiques pour soutenir la famille. Des grossesses et mariages précoces sont alors les phénomènes très fréquents dans ces axes. </w:t>
            </w:r>
          </w:p>
        </w:tc>
      </w:tr>
      <w:tr w:rsidR="001C2F95" w:rsidRPr="001857F5" w14:paraId="4F0C9F1C"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053FF4C" w14:textId="77777777" w:rsidR="001C2F95" w:rsidRPr="001857F5" w:rsidRDefault="001C2F95" w:rsidP="00971FD2">
            <w:pPr>
              <w:rPr>
                <w:rFonts w:eastAsia="Calibri" w:cs="Arial"/>
                <w:b/>
                <w:sz w:val="22"/>
              </w:rPr>
            </w:pPr>
            <w:r w:rsidRPr="001857F5">
              <w:rPr>
                <w:rFonts w:eastAsia="Calibri" w:cs="Arial"/>
                <w:b/>
                <w:sz w:val="22"/>
              </w:rPr>
              <w:t>Accès à l’énergie</w:t>
            </w:r>
          </w:p>
        </w:tc>
        <w:tc>
          <w:tcPr>
            <w:tcW w:w="11509" w:type="dxa"/>
            <w:tcBorders>
              <w:top w:val="single" w:sz="4" w:space="0" w:color="000001"/>
              <w:left w:val="single" w:sz="4" w:space="0" w:color="000001"/>
              <w:bottom w:val="single" w:sz="4" w:space="0" w:color="000001"/>
              <w:right w:val="single" w:sz="4" w:space="0" w:color="000001"/>
            </w:tcBorders>
          </w:tcPr>
          <w:p w14:paraId="0175CB3F" w14:textId="77777777" w:rsidR="001C2F95" w:rsidRPr="001857F5" w:rsidRDefault="001C2F95" w:rsidP="00971FD2">
            <w:pPr>
              <w:pStyle w:val="Paragraphedeliste"/>
              <w:ind w:left="0"/>
              <w:textAlignment w:val="baseline"/>
              <w:rPr>
                <w:rFonts w:cs="Arial"/>
                <w:color w:val="000000"/>
                <w:sz w:val="22"/>
              </w:rPr>
            </w:pPr>
            <w:r w:rsidRPr="001857F5">
              <w:rPr>
                <w:rFonts w:cs="Arial"/>
                <w:color w:val="000000"/>
                <w:sz w:val="22"/>
              </w:rPr>
              <w:t xml:space="preserve">Principales sources d’énergie : </w:t>
            </w:r>
            <w:r w:rsidRPr="001857F5">
              <w:rPr>
                <w:rFonts w:cs="Arial"/>
                <w:i/>
                <w:color w:val="000000"/>
                <w:sz w:val="22"/>
              </w:rPr>
              <w:t>(i)</w:t>
            </w:r>
            <w:r w:rsidRPr="001857F5">
              <w:rPr>
                <w:rFonts w:cs="Arial"/>
                <w:color w:val="000000"/>
                <w:sz w:val="22"/>
              </w:rPr>
              <w:t xml:space="preserve"> Électricité/groupe électrogène </w:t>
            </w:r>
            <w:r w:rsidRPr="001857F5">
              <w:rPr>
                <w:rFonts w:cs="Arial"/>
                <w:i/>
                <w:color w:val="000000"/>
                <w:sz w:val="22"/>
              </w:rPr>
              <w:t>; (ii)</w:t>
            </w:r>
            <w:r w:rsidRPr="001857F5">
              <w:rPr>
                <w:rFonts w:cs="Arial"/>
                <w:color w:val="000000"/>
                <w:sz w:val="22"/>
              </w:rPr>
              <w:t xml:space="preserve"> Solaire ; </w:t>
            </w:r>
            <w:r w:rsidRPr="001857F5">
              <w:rPr>
                <w:rFonts w:cs="Arial"/>
                <w:i/>
                <w:color w:val="000000"/>
                <w:sz w:val="22"/>
              </w:rPr>
              <w:t xml:space="preserve">(iii) </w:t>
            </w:r>
            <w:r w:rsidRPr="001857F5">
              <w:rPr>
                <w:rFonts w:cs="Arial"/>
                <w:color w:val="000000"/>
                <w:sz w:val="22"/>
              </w:rPr>
              <w:t xml:space="preserve">Bois ; </w:t>
            </w:r>
            <w:r w:rsidRPr="001857F5">
              <w:rPr>
                <w:rFonts w:cs="Arial"/>
                <w:i/>
                <w:color w:val="000000"/>
                <w:sz w:val="22"/>
              </w:rPr>
              <w:t>(iv)</w:t>
            </w:r>
            <w:r w:rsidRPr="001857F5">
              <w:rPr>
                <w:rFonts w:cs="Arial"/>
                <w:color w:val="000000"/>
                <w:sz w:val="22"/>
              </w:rPr>
              <w:t xml:space="preserve"> Pétrole.</w:t>
            </w:r>
          </w:p>
          <w:p w14:paraId="1F02F20D" w14:textId="77777777" w:rsidR="001C2F95" w:rsidRPr="001857F5" w:rsidRDefault="001C2F95" w:rsidP="00971FD2">
            <w:pPr>
              <w:textAlignment w:val="baseline"/>
              <w:rPr>
                <w:rFonts w:cs="Arial"/>
                <w:color w:val="000000"/>
                <w:sz w:val="22"/>
              </w:rPr>
            </w:pPr>
            <w:r w:rsidRPr="001857F5">
              <w:rPr>
                <w:rFonts w:cs="Arial"/>
                <w:color w:val="000000"/>
                <w:sz w:val="22"/>
              </w:rPr>
              <w:t xml:space="preserve">En dehors de Bandundu-Ville alimentée par le barrage d’Inga, le courant électrique est une denrée rare dans la Province du Kwilu. Les jeunes garçons et filles font le ramassage de bois pour la survie. Le plus souvent, les filles courent des risques de VBG plus </w:t>
            </w:r>
            <w:r w:rsidR="00902ED8" w:rsidRPr="001857F5">
              <w:rPr>
                <w:rFonts w:cs="Arial"/>
                <w:color w:val="000000"/>
                <w:sz w:val="22"/>
              </w:rPr>
              <w:t>élevés</w:t>
            </w:r>
            <w:r w:rsidRPr="001857F5">
              <w:rPr>
                <w:rFonts w:cs="Arial"/>
                <w:color w:val="000000"/>
                <w:sz w:val="22"/>
              </w:rPr>
              <w:t xml:space="preserve"> à l’occasion de cette activité. Le taux de recours principal aux combustibles et technologies propres de cuisson (dans les ménages qui déclarent cuisiner) est de 1,7 %. (Enquête MICS2-Palu, RDC 2017-2018)</w:t>
            </w:r>
          </w:p>
        </w:tc>
      </w:tr>
      <w:tr w:rsidR="001C2F95" w:rsidRPr="001857F5" w14:paraId="1FA92B1A"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240D7F7" w14:textId="77777777" w:rsidR="001C2F95" w:rsidRPr="001857F5" w:rsidRDefault="001C2F95" w:rsidP="00971FD2">
            <w:pPr>
              <w:rPr>
                <w:rFonts w:eastAsia="Calibri" w:cs="Arial"/>
                <w:b/>
                <w:sz w:val="22"/>
              </w:rPr>
            </w:pPr>
            <w:r w:rsidRPr="001857F5">
              <w:rPr>
                <w:rFonts w:eastAsia="Calibri" w:cs="Arial"/>
                <w:b/>
                <w:sz w:val="22"/>
              </w:rPr>
              <w:t>Accès à l’eau</w:t>
            </w:r>
          </w:p>
        </w:tc>
        <w:tc>
          <w:tcPr>
            <w:tcW w:w="11509" w:type="dxa"/>
            <w:tcBorders>
              <w:top w:val="single" w:sz="4" w:space="0" w:color="000001"/>
              <w:left w:val="single" w:sz="4" w:space="0" w:color="000001"/>
              <w:bottom w:val="single" w:sz="4" w:space="0" w:color="000001"/>
              <w:right w:val="single" w:sz="4" w:space="0" w:color="000001"/>
            </w:tcBorders>
          </w:tcPr>
          <w:p w14:paraId="7CA9F857" w14:textId="77777777" w:rsidR="001C2F95" w:rsidRPr="001857F5" w:rsidRDefault="001C2F95" w:rsidP="00902ED8">
            <w:pPr>
              <w:textAlignment w:val="baseline"/>
              <w:rPr>
                <w:rFonts w:cs="Arial"/>
                <w:color w:val="000000"/>
                <w:sz w:val="22"/>
              </w:rPr>
            </w:pPr>
            <w:r w:rsidRPr="001857F5">
              <w:rPr>
                <w:rFonts w:cs="Arial"/>
                <w:color w:val="000000"/>
                <w:sz w:val="22"/>
              </w:rPr>
              <w:t xml:space="preserve">Les Villes de Bandundu et de Kikwit sont desservies en eau potable par la REGIDESO selon un horaire adapté aux conditions de travail de la société qui fonctionne à l’aide d’un groupe électrogène à Kikwit. Tandis qu’à Bandundu-Ville tous les jours grâce à l’électricité de la SNEL. Par contre à l’intérieur de la Province de Kwilu, la population s’approvisionne en eau potable à travers des sources aménagées et non aménagées, mais également dans les rivières. Cette situation expose sérieusement la population aux maladies d’origine hydrique. Le taux d’accès en eau potable est de 1,2 % sur l’ensemble de la population de la province du Kwilu (Enquête </w:t>
            </w:r>
            <w:r w:rsidRPr="001857F5">
              <w:rPr>
                <w:rFonts w:cs="Arial"/>
                <w:sz w:val="22"/>
              </w:rPr>
              <w:t xml:space="preserve">MICS2-Palu, RDC 2017 – 2018). </w:t>
            </w:r>
            <w:r w:rsidRPr="001857F5">
              <w:rPr>
                <w:rFonts w:cs="Arial"/>
                <w:color w:val="000000"/>
                <w:sz w:val="22"/>
              </w:rPr>
              <w:t>Les jeunes filles sont plus exposées aux risques de VBG, y compris l’EAS, dans la communauté lorsqu’elles se rendent à la rivière pour s’approvisionner en eau</w:t>
            </w:r>
            <w:r w:rsidR="00902ED8" w:rsidRPr="001857F5">
              <w:rPr>
                <w:rFonts w:cs="Arial"/>
                <w:color w:val="000000"/>
                <w:sz w:val="22"/>
              </w:rPr>
              <w:t xml:space="preserve"> sur les sentiers non sécurisés</w:t>
            </w:r>
            <w:r w:rsidRPr="001857F5">
              <w:rPr>
                <w:rFonts w:cs="Arial"/>
                <w:color w:val="000000"/>
                <w:sz w:val="22"/>
              </w:rPr>
              <w:t xml:space="preserve">. </w:t>
            </w:r>
            <w:r w:rsidR="00902ED8" w:rsidRPr="001857F5">
              <w:rPr>
                <w:rFonts w:cs="Arial"/>
                <w:color w:val="000000"/>
                <w:sz w:val="22"/>
              </w:rPr>
              <w:t xml:space="preserve">Les jeunes délinquants, à l’âge </w:t>
            </w:r>
            <w:r w:rsidR="00902ED8" w:rsidRPr="001857F5">
              <w:rPr>
                <w:rFonts w:cs="Arial"/>
                <w:color w:val="000000"/>
                <w:sz w:val="22"/>
              </w:rPr>
              <w:lastRenderedPageBreak/>
              <w:t xml:space="preserve">de la recherche d’une expérience sexuelle leur tendent souvent des pièges pour les tirer dans la brousse afin d’abuser d’elles. Ce genre d’actes se </w:t>
            </w:r>
            <w:r w:rsidR="00D10357" w:rsidRPr="001857F5">
              <w:rPr>
                <w:rFonts w:cs="Arial"/>
                <w:color w:val="000000"/>
                <w:sz w:val="22"/>
              </w:rPr>
              <w:t>commet</w:t>
            </w:r>
            <w:r w:rsidR="00902ED8" w:rsidRPr="001857F5">
              <w:rPr>
                <w:rFonts w:cs="Arial"/>
                <w:color w:val="000000"/>
                <w:sz w:val="22"/>
              </w:rPr>
              <w:t xml:space="preserve"> le plus souvent collectivement.</w:t>
            </w:r>
          </w:p>
        </w:tc>
      </w:tr>
      <w:tr w:rsidR="001C2F95" w:rsidRPr="001857F5" w14:paraId="039F856A"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E743E9" w14:textId="77777777" w:rsidR="001C2F95" w:rsidRPr="001857F5" w:rsidRDefault="001C2F95" w:rsidP="00971FD2">
            <w:pPr>
              <w:rPr>
                <w:rFonts w:eastAsia="Calibri" w:cs="Arial"/>
                <w:b/>
                <w:sz w:val="22"/>
              </w:rPr>
            </w:pPr>
            <w:r w:rsidRPr="001857F5">
              <w:rPr>
                <w:rFonts w:eastAsia="Calibri" w:cs="Arial"/>
                <w:b/>
                <w:sz w:val="22"/>
              </w:rPr>
              <w:lastRenderedPageBreak/>
              <w:t>Communication</w:t>
            </w:r>
          </w:p>
        </w:tc>
        <w:tc>
          <w:tcPr>
            <w:tcW w:w="11509" w:type="dxa"/>
            <w:tcBorders>
              <w:top w:val="single" w:sz="4" w:space="0" w:color="000001"/>
              <w:left w:val="single" w:sz="4" w:space="0" w:color="000001"/>
              <w:bottom w:val="single" w:sz="4" w:space="0" w:color="000001"/>
              <w:right w:val="single" w:sz="4" w:space="0" w:color="000001"/>
            </w:tcBorders>
          </w:tcPr>
          <w:p w14:paraId="3E2515B7" w14:textId="77777777" w:rsidR="001C2F95" w:rsidRPr="001857F5" w:rsidRDefault="001C2F95" w:rsidP="00D10357">
            <w:pPr>
              <w:textAlignment w:val="baseline"/>
              <w:rPr>
                <w:rFonts w:cs="Arial"/>
                <w:color w:val="000000"/>
                <w:sz w:val="22"/>
              </w:rPr>
            </w:pPr>
            <w:r w:rsidRPr="001857F5">
              <w:rPr>
                <w:rFonts w:cs="Arial"/>
                <w:color w:val="000000"/>
                <w:sz w:val="22"/>
              </w:rPr>
              <w:t>Dans la Province du Kwilu, l’on rencontre les entreprises de communication cellulaire suivantes : Vodacom, Airtel et Orange. Tandis que quelques cybercafés fournissent la connexion Internet à la population de la province. Le secteur de la télécommunication est bien développé dans les Villes de Bandundu et Kikwit. Tous les opérateurs de télécommunication cellulaire de la République s’y bousculent à l’exception de l’opérateur Africel</w:t>
            </w:r>
            <w:r w:rsidR="00643A1E">
              <w:rPr>
                <w:rFonts w:cs="Arial"/>
                <w:color w:val="000000"/>
                <w:sz w:val="22"/>
              </w:rPr>
              <w:t>l</w:t>
            </w:r>
            <w:r w:rsidRPr="001857F5">
              <w:rPr>
                <w:rFonts w:cs="Arial"/>
                <w:color w:val="000000"/>
                <w:sz w:val="22"/>
              </w:rPr>
              <w:t xml:space="preserve"> qui n’est pas encore représenté dans la Province. Tous les services sont disponibles, de la vente des cartes prépayées, des cartes SIM et des téléphones en passant par la livraison des cartes SIM blanches jusqu’au service de transfert électronique d’argent (M-pesa, Airtel money et Orange money). Le secteur médiatique n’est pas en reste, la Ville de Bandundu est médiatiquement couverte par plusieurs Stations de radio et télévision, il s’agit de la RTNC, la Radio Concorde, la Radio SM Bandundu et la Radio RTD). Les radios communautaires sont de plus en plus présentes partout dans le Bandundu.</w:t>
            </w:r>
          </w:p>
          <w:p w14:paraId="2FBEDFAE" w14:textId="77777777" w:rsidR="00E26735" w:rsidRPr="001857F5" w:rsidRDefault="00E26735" w:rsidP="00D10357">
            <w:pPr>
              <w:textAlignment w:val="baseline"/>
              <w:rPr>
                <w:rFonts w:cs="Arial"/>
                <w:color w:val="000000"/>
                <w:sz w:val="22"/>
              </w:rPr>
            </w:pPr>
          </w:p>
          <w:p w14:paraId="4897D3A7" w14:textId="77777777" w:rsidR="00E26735" w:rsidRPr="001857F5" w:rsidRDefault="00E26735" w:rsidP="00D10357">
            <w:pPr>
              <w:textAlignment w:val="baseline"/>
              <w:rPr>
                <w:rFonts w:cs="Arial"/>
                <w:color w:val="000000"/>
                <w:sz w:val="22"/>
              </w:rPr>
            </w:pPr>
            <w:r w:rsidRPr="001857F5">
              <w:rPr>
                <w:rFonts w:cs="Arial"/>
                <w:color w:val="000000"/>
                <w:sz w:val="22"/>
              </w:rPr>
              <w:t>La plupart de femmes ne maitrise pas comment manipuler le téléphone mobile par manque d’instructions. D’autres par contre bien qu’instruites, ne reçoivent pas l’autorisation du mari ou leur partenaire pour avoir accès. Les jeunes filles utilisent plus les téléphones mobiles que les femmes pour être à la mode dans les réseaux sociaux. Au point où les femmes disposant des téléphones android se laissent conduire par leurs jeunes enfants pour avoir accès à l’internet afin de communiquer.</w:t>
            </w:r>
          </w:p>
        </w:tc>
      </w:tr>
      <w:tr w:rsidR="001C2F95" w:rsidRPr="001857F5" w14:paraId="6CBFAF7F"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9CDDB86" w14:textId="77777777" w:rsidR="001C2F95" w:rsidRPr="001857F5" w:rsidRDefault="001C2F95" w:rsidP="00971FD2">
            <w:pPr>
              <w:rPr>
                <w:rFonts w:eastAsia="Calibri" w:cs="Arial"/>
                <w:b/>
                <w:sz w:val="22"/>
              </w:rPr>
            </w:pPr>
          </w:p>
          <w:p w14:paraId="096B5702" w14:textId="77777777" w:rsidR="001C2F95" w:rsidRPr="001857F5" w:rsidRDefault="001C2F95" w:rsidP="00971FD2">
            <w:pPr>
              <w:rPr>
                <w:rFonts w:eastAsia="Calibri" w:cs="Arial"/>
                <w:b/>
                <w:sz w:val="22"/>
              </w:rPr>
            </w:pPr>
            <w:r w:rsidRPr="001857F5">
              <w:rPr>
                <w:rFonts w:eastAsia="Calibri" w:cs="Arial"/>
                <w:b/>
                <w:sz w:val="22"/>
              </w:rPr>
              <w:t>ONG et Association locale</w:t>
            </w:r>
          </w:p>
        </w:tc>
        <w:tc>
          <w:tcPr>
            <w:tcW w:w="11509" w:type="dxa"/>
            <w:tcBorders>
              <w:top w:val="single" w:sz="4" w:space="0" w:color="000001"/>
              <w:left w:val="single" w:sz="4" w:space="0" w:color="000001"/>
              <w:bottom w:val="single" w:sz="4" w:space="0" w:color="000001"/>
              <w:right w:val="single" w:sz="4" w:space="0" w:color="000001"/>
            </w:tcBorders>
          </w:tcPr>
          <w:p w14:paraId="75F5AB75" w14:textId="77777777" w:rsidR="001C2F95" w:rsidRPr="001857F5" w:rsidRDefault="001C2F95" w:rsidP="00971FD2">
            <w:pPr>
              <w:textAlignment w:val="baseline"/>
              <w:rPr>
                <w:rFonts w:cs="Arial"/>
                <w:color w:val="000000"/>
                <w:sz w:val="22"/>
              </w:rPr>
            </w:pPr>
            <w:r w:rsidRPr="001857F5">
              <w:rPr>
                <w:rFonts w:cs="Arial"/>
                <w:color w:val="000000"/>
                <w:sz w:val="22"/>
              </w:rPr>
              <w:t xml:space="preserve">Les principaux projets et ONG rencontrés dans la Province du Kwilu sont : </w:t>
            </w:r>
            <w:r w:rsidRPr="001857F5">
              <w:rPr>
                <w:rFonts w:cs="Arial"/>
                <w:i/>
                <w:color w:val="000000"/>
                <w:sz w:val="22"/>
              </w:rPr>
              <w:t>(i)</w:t>
            </w:r>
            <w:r w:rsidRPr="001857F5">
              <w:rPr>
                <w:rFonts w:cs="Arial"/>
                <w:color w:val="000000"/>
                <w:sz w:val="22"/>
              </w:rPr>
              <w:t xml:space="preserve"> Projet d’encadrement des maraichers financé par la FAO ; </w:t>
            </w:r>
            <w:r w:rsidRPr="001857F5">
              <w:rPr>
                <w:rFonts w:cs="Arial"/>
                <w:i/>
                <w:color w:val="000000"/>
                <w:sz w:val="22"/>
              </w:rPr>
              <w:t>(ii)</w:t>
            </w:r>
            <w:r w:rsidRPr="001857F5">
              <w:rPr>
                <w:rFonts w:cs="Arial"/>
                <w:color w:val="000000"/>
                <w:sz w:val="22"/>
              </w:rPr>
              <w:t xml:space="preserve"> Projet d’appui aux institutions étatiques par la PNUD ; </w:t>
            </w:r>
            <w:r w:rsidRPr="001857F5">
              <w:rPr>
                <w:rFonts w:cs="Arial"/>
                <w:i/>
                <w:color w:val="000000"/>
                <w:sz w:val="22"/>
              </w:rPr>
              <w:t>(iii)</w:t>
            </w:r>
            <w:r w:rsidRPr="001857F5">
              <w:rPr>
                <w:rFonts w:cs="Arial"/>
                <w:color w:val="000000"/>
                <w:sz w:val="22"/>
              </w:rPr>
              <w:t xml:space="preserve"> Projet sur la nutrition sous financement de la Croix-Rouge ; </w:t>
            </w:r>
            <w:r w:rsidRPr="001857F5">
              <w:rPr>
                <w:rFonts w:cs="Arial"/>
                <w:i/>
                <w:color w:val="000000"/>
                <w:sz w:val="22"/>
              </w:rPr>
              <w:t>(iv)</w:t>
            </w:r>
            <w:r w:rsidRPr="001857F5">
              <w:rPr>
                <w:rFonts w:cs="Arial"/>
                <w:color w:val="000000"/>
                <w:sz w:val="22"/>
              </w:rPr>
              <w:t xml:space="preserve"> Projet de lutte contre le VIH/Sida par CORDAID sous financement du Fonds Mondial.</w:t>
            </w:r>
          </w:p>
        </w:tc>
      </w:tr>
      <w:tr w:rsidR="001C2F95" w:rsidRPr="001857F5" w14:paraId="64DD4A2A"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0BC8F0E" w14:textId="77777777" w:rsidR="001C2F95" w:rsidRPr="001857F5" w:rsidRDefault="001C2F95" w:rsidP="00971FD2">
            <w:pPr>
              <w:rPr>
                <w:rFonts w:eastAsia="Calibri" w:cs="Arial"/>
                <w:b/>
                <w:sz w:val="22"/>
              </w:rPr>
            </w:pPr>
            <w:r w:rsidRPr="001857F5">
              <w:rPr>
                <w:rFonts w:eastAsia="Calibri" w:cs="Arial"/>
                <w:b/>
                <w:sz w:val="22"/>
              </w:rPr>
              <w:t xml:space="preserve">Aire </w:t>
            </w:r>
            <w:r w:rsidR="00E26735" w:rsidRPr="001857F5">
              <w:rPr>
                <w:rFonts w:eastAsia="Calibri" w:cs="Arial"/>
                <w:b/>
                <w:sz w:val="22"/>
              </w:rPr>
              <w:t>protégée</w:t>
            </w:r>
            <w:r w:rsidRPr="001857F5">
              <w:rPr>
                <w:rFonts w:eastAsia="Calibri" w:cs="Arial"/>
                <w:b/>
                <w:sz w:val="22"/>
              </w:rPr>
              <w:t xml:space="preserve"> </w:t>
            </w:r>
          </w:p>
        </w:tc>
        <w:tc>
          <w:tcPr>
            <w:tcW w:w="11509" w:type="dxa"/>
            <w:tcBorders>
              <w:top w:val="single" w:sz="4" w:space="0" w:color="000001"/>
              <w:left w:val="single" w:sz="4" w:space="0" w:color="000001"/>
              <w:bottom w:val="single" w:sz="4" w:space="0" w:color="000001"/>
              <w:right w:val="single" w:sz="4" w:space="0" w:color="000001"/>
            </w:tcBorders>
          </w:tcPr>
          <w:p w14:paraId="2CC8BF90" w14:textId="77777777" w:rsidR="001C2F95" w:rsidRPr="001857F5" w:rsidRDefault="001C2F95" w:rsidP="00971FD2">
            <w:pPr>
              <w:textAlignment w:val="baseline"/>
              <w:rPr>
                <w:rFonts w:cs="Arial"/>
                <w:color w:val="000000"/>
                <w:sz w:val="22"/>
              </w:rPr>
            </w:pPr>
            <w:r w:rsidRPr="001857F5">
              <w:rPr>
                <w:rFonts w:cs="Arial"/>
                <w:color w:val="000000"/>
                <w:sz w:val="22"/>
              </w:rPr>
              <w:t>La province du Kwilu compte un Domaine de Chasse et Réserve à Hippopotame de Manga</w:t>
            </w:r>
            <w:r w:rsidR="001857F5">
              <w:rPr>
                <w:rFonts w:cs="Arial"/>
                <w:color w:val="000000"/>
                <w:sz w:val="22"/>
              </w:rPr>
              <w:t>i</w:t>
            </w:r>
            <w:r w:rsidRPr="001857F5">
              <w:rPr>
                <w:rFonts w:cs="Arial"/>
                <w:color w:val="000000"/>
                <w:sz w:val="22"/>
              </w:rPr>
              <w:t xml:space="preserve">. Ce Domaine de Chasse  est une aire protégée localisée au Sud-Ouest de la RDC, dans les territoires d'Idiofa en province de Kwilu et une partie de d’Oshwe dans la Province du Mai-Ndombe. Il est créé en 1944 et superficie est approximativement 1 176 800 ha. Ces espèces principales sont les </w:t>
            </w:r>
            <w:hyperlink r:id="rId30" w:tooltip="Hippopotame" w:history="1">
              <w:r w:rsidRPr="001857F5">
                <w:rPr>
                  <w:rFonts w:cs="Arial"/>
                  <w:color w:val="000000"/>
                  <w:sz w:val="22"/>
                </w:rPr>
                <w:t>hippopotames</w:t>
              </w:r>
            </w:hyperlink>
            <w:r w:rsidRPr="001857F5">
              <w:rPr>
                <w:rFonts w:cs="Arial"/>
                <w:color w:val="000000"/>
                <w:sz w:val="22"/>
              </w:rPr>
              <w:t xml:space="preserve">, les chimpanzés nains ou </w:t>
            </w:r>
            <w:hyperlink r:id="rId31" w:tooltip="Bonobo" w:history="1">
              <w:r w:rsidRPr="001857F5">
                <w:rPr>
                  <w:rFonts w:cs="Arial"/>
                  <w:color w:val="000000"/>
                  <w:sz w:val="22"/>
                </w:rPr>
                <w:t>bonobos</w:t>
              </w:r>
            </w:hyperlink>
            <w:r w:rsidRPr="001857F5">
              <w:rPr>
                <w:rFonts w:cs="Arial"/>
                <w:color w:val="000000"/>
                <w:sz w:val="22"/>
              </w:rPr>
              <w:t xml:space="preserve">. </w:t>
            </w:r>
          </w:p>
          <w:p w14:paraId="2C69C8FC" w14:textId="77777777" w:rsidR="001C2F95" w:rsidRPr="001857F5" w:rsidRDefault="001C2F95" w:rsidP="00971FD2">
            <w:pPr>
              <w:textAlignment w:val="baseline"/>
              <w:rPr>
                <w:rFonts w:cs="Arial"/>
                <w:color w:val="000000"/>
                <w:sz w:val="22"/>
              </w:rPr>
            </w:pPr>
          </w:p>
          <w:p w14:paraId="715044EF" w14:textId="77777777" w:rsidR="001C2F95" w:rsidRPr="001857F5" w:rsidRDefault="001C2F95" w:rsidP="00971FD2">
            <w:pPr>
              <w:textAlignment w:val="baseline"/>
              <w:rPr>
                <w:rFonts w:cs="Arial"/>
                <w:color w:val="000000"/>
                <w:sz w:val="22"/>
              </w:rPr>
            </w:pPr>
            <w:r w:rsidRPr="001857F5">
              <w:rPr>
                <w:rFonts w:cs="Arial"/>
                <w:color w:val="000000"/>
                <w:sz w:val="22"/>
              </w:rPr>
              <w:t>Les principales pressions que connait le domaine de chasse et réserve à hippopotame de Mangai sont :</w:t>
            </w:r>
          </w:p>
          <w:p w14:paraId="2F71796A" w14:textId="77777777" w:rsidR="001C2F95" w:rsidRPr="001857F5" w:rsidRDefault="001C2F95" w:rsidP="00971FD2">
            <w:pPr>
              <w:textAlignment w:val="baseline"/>
              <w:rPr>
                <w:rFonts w:cs="Arial"/>
                <w:color w:val="000000"/>
                <w:sz w:val="22"/>
              </w:rPr>
            </w:pPr>
          </w:p>
          <w:p w14:paraId="2F4BA343" w14:textId="77777777" w:rsidR="001C2F95" w:rsidRPr="001857F5" w:rsidRDefault="001C2F95" w:rsidP="002378EA">
            <w:pPr>
              <w:pStyle w:val="Paragraphedeliste"/>
              <w:numPr>
                <w:ilvl w:val="0"/>
                <w:numId w:val="33"/>
              </w:numPr>
              <w:textAlignment w:val="baseline"/>
              <w:rPr>
                <w:rFonts w:cs="Arial"/>
                <w:color w:val="000000"/>
                <w:sz w:val="22"/>
              </w:rPr>
            </w:pPr>
            <w:r w:rsidRPr="001857F5">
              <w:rPr>
                <w:rFonts w:cs="Arial"/>
                <w:color w:val="000000"/>
                <w:sz w:val="22"/>
              </w:rPr>
              <w:t xml:space="preserve">Le braconnage ; </w:t>
            </w:r>
          </w:p>
          <w:p w14:paraId="03C30D52" w14:textId="77777777" w:rsidR="001C2F95" w:rsidRPr="001857F5" w:rsidRDefault="001C2F95" w:rsidP="002378EA">
            <w:pPr>
              <w:pStyle w:val="Paragraphedeliste"/>
              <w:numPr>
                <w:ilvl w:val="0"/>
                <w:numId w:val="33"/>
              </w:numPr>
              <w:textAlignment w:val="baseline"/>
              <w:rPr>
                <w:rFonts w:cs="Arial"/>
                <w:color w:val="000000"/>
                <w:sz w:val="22"/>
              </w:rPr>
            </w:pPr>
            <w:r w:rsidRPr="001857F5">
              <w:rPr>
                <w:rFonts w:cs="Arial"/>
                <w:color w:val="000000"/>
                <w:sz w:val="22"/>
              </w:rPr>
              <w:t xml:space="preserve">L’exploitation forestière (coupe de grumes) ; </w:t>
            </w:r>
          </w:p>
          <w:p w14:paraId="6CE2BD4E" w14:textId="77777777" w:rsidR="001C2F95" w:rsidRPr="001857F5" w:rsidRDefault="001C2F95" w:rsidP="002378EA">
            <w:pPr>
              <w:pStyle w:val="Paragraphedeliste"/>
              <w:numPr>
                <w:ilvl w:val="0"/>
                <w:numId w:val="33"/>
              </w:numPr>
              <w:textAlignment w:val="baseline"/>
              <w:rPr>
                <w:rFonts w:cs="Arial"/>
                <w:color w:val="000000"/>
                <w:sz w:val="22"/>
              </w:rPr>
            </w:pPr>
            <w:r w:rsidRPr="001857F5">
              <w:rPr>
                <w:rFonts w:cs="Arial"/>
                <w:color w:val="000000"/>
                <w:sz w:val="22"/>
              </w:rPr>
              <w:lastRenderedPageBreak/>
              <w:t xml:space="preserve">L’exploitation minière (on note de nos jours près de 250 exploitants dans la rivière du Kassaï) ; </w:t>
            </w:r>
          </w:p>
          <w:p w14:paraId="51855438" w14:textId="77777777" w:rsidR="001C2F95" w:rsidRPr="001857F5" w:rsidRDefault="001C2F95" w:rsidP="002378EA">
            <w:pPr>
              <w:pStyle w:val="Paragraphedeliste"/>
              <w:numPr>
                <w:ilvl w:val="0"/>
                <w:numId w:val="33"/>
              </w:numPr>
              <w:textAlignment w:val="baseline"/>
              <w:rPr>
                <w:rFonts w:cs="Arial"/>
                <w:color w:val="000000"/>
                <w:sz w:val="22"/>
              </w:rPr>
            </w:pPr>
            <w:r w:rsidRPr="001857F5">
              <w:rPr>
                <w:rFonts w:cs="Arial"/>
                <w:color w:val="000000"/>
                <w:sz w:val="22"/>
              </w:rPr>
              <w:t xml:space="preserve">La pêche illicite ; </w:t>
            </w:r>
          </w:p>
          <w:p w14:paraId="02FCBDFE" w14:textId="77777777" w:rsidR="001C2F95" w:rsidRPr="001857F5" w:rsidRDefault="001C2F95" w:rsidP="002378EA">
            <w:pPr>
              <w:pStyle w:val="Paragraphedeliste"/>
              <w:numPr>
                <w:ilvl w:val="0"/>
                <w:numId w:val="33"/>
              </w:numPr>
              <w:textAlignment w:val="baseline"/>
              <w:rPr>
                <w:rFonts w:cs="Arial"/>
                <w:color w:val="000000"/>
                <w:sz w:val="22"/>
              </w:rPr>
            </w:pPr>
            <w:r w:rsidRPr="001857F5">
              <w:rPr>
                <w:rFonts w:cs="Arial"/>
                <w:color w:val="000000"/>
                <w:sz w:val="22"/>
              </w:rPr>
              <w:t>La forte pression humaine à l’intérieur de l’AP (une installation de champs et de villages) : (https://papaco.org/wp-content/uploads/2015/09/METT-Mangai.pdf).</w:t>
            </w:r>
          </w:p>
          <w:p w14:paraId="35115DFD" w14:textId="77777777" w:rsidR="001C2F95" w:rsidRPr="001857F5" w:rsidRDefault="001C2F95" w:rsidP="00971FD2">
            <w:pPr>
              <w:textAlignment w:val="baseline"/>
              <w:rPr>
                <w:rFonts w:cs="Arial"/>
                <w:color w:val="000000"/>
                <w:sz w:val="22"/>
              </w:rPr>
            </w:pPr>
          </w:p>
          <w:p w14:paraId="764F8CE6" w14:textId="77777777" w:rsidR="001C2F95" w:rsidRPr="001857F5" w:rsidRDefault="001C2F95" w:rsidP="00971FD2">
            <w:pPr>
              <w:textAlignment w:val="baseline"/>
              <w:rPr>
                <w:rFonts w:cs="Arial"/>
                <w:color w:val="000000"/>
                <w:sz w:val="22"/>
              </w:rPr>
            </w:pPr>
            <w:r w:rsidRPr="001857F5">
              <w:rPr>
                <w:rFonts w:cs="Arial"/>
                <w:color w:val="000000"/>
                <w:sz w:val="22"/>
              </w:rPr>
              <w:t>Si les activités du PNDA touche le domaine de chasse de Mangai, le PNDA travaillera en étroite collaboration avec l’ICCN et ensemble, ils vont identifier des impacts négatifs et proposera des mesures d’atténuation.</w:t>
            </w:r>
          </w:p>
        </w:tc>
      </w:tr>
    </w:tbl>
    <w:p w14:paraId="18731BC8" w14:textId="77777777" w:rsidR="001C2F95" w:rsidRPr="001857F5" w:rsidRDefault="001C2F95" w:rsidP="001C2F95">
      <w:pPr>
        <w:spacing w:line="240" w:lineRule="auto"/>
        <w:jc w:val="left"/>
        <w:rPr>
          <w:rFonts w:cs="Arial"/>
          <w:sz w:val="22"/>
        </w:rPr>
      </w:pPr>
    </w:p>
    <w:p w14:paraId="12FD7810" w14:textId="77777777" w:rsidR="001C2F95" w:rsidRPr="001857F5" w:rsidRDefault="001C2F95" w:rsidP="001C2F95">
      <w:pPr>
        <w:spacing w:line="240" w:lineRule="auto"/>
        <w:jc w:val="center"/>
        <w:rPr>
          <w:rFonts w:cs="Arial"/>
          <w:sz w:val="22"/>
        </w:rPr>
      </w:pPr>
    </w:p>
    <w:p w14:paraId="20F3BE54" w14:textId="77777777" w:rsidR="001C2F95" w:rsidRPr="001857F5" w:rsidRDefault="001C2F95" w:rsidP="001C2F95">
      <w:pPr>
        <w:spacing w:line="240" w:lineRule="auto"/>
        <w:jc w:val="left"/>
        <w:rPr>
          <w:rFonts w:cs="Arial"/>
          <w:sz w:val="22"/>
        </w:rPr>
      </w:pPr>
      <w:r w:rsidRPr="001857F5">
        <w:rPr>
          <w:rFonts w:cs="Arial"/>
          <w:sz w:val="22"/>
        </w:rPr>
        <w:br w:type="page"/>
      </w:r>
    </w:p>
    <w:p w14:paraId="41D95F0D" w14:textId="77777777" w:rsidR="001C2F95" w:rsidRPr="001857F5" w:rsidRDefault="001C2F95" w:rsidP="001C2F95">
      <w:pPr>
        <w:spacing w:line="240" w:lineRule="auto"/>
        <w:jc w:val="left"/>
        <w:rPr>
          <w:rFonts w:cs="Arial"/>
          <w:sz w:val="22"/>
        </w:rPr>
      </w:pPr>
      <w:bookmarkStart w:id="214" w:name="_Toc70451650"/>
      <w:r w:rsidRPr="001857F5">
        <w:rPr>
          <w:rFonts w:cs="Arial"/>
          <w:sz w:val="22"/>
        </w:rPr>
        <w:lastRenderedPageBreak/>
        <w:t xml:space="preserve">Tableau </w:t>
      </w:r>
      <w:r w:rsidRPr="001857F5">
        <w:rPr>
          <w:rFonts w:cs="Arial"/>
          <w:sz w:val="22"/>
        </w:rPr>
        <w:fldChar w:fldCharType="begin"/>
      </w:r>
      <w:r w:rsidRPr="001857F5">
        <w:rPr>
          <w:rFonts w:cs="Arial"/>
          <w:sz w:val="22"/>
        </w:rPr>
        <w:instrText xml:space="preserve"> SEQ Tableau \* ARABIC </w:instrText>
      </w:r>
      <w:r w:rsidRPr="001857F5">
        <w:rPr>
          <w:rFonts w:cs="Arial"/>
          <w:sz w:val="22"/>
        </w:rPr>
        <w:fldChar w:fldCharType="separate"/>
      </w:r>
      <w:r w:rsidR="001260B3">
        <w:rPr>
          <w:rFonts w:cs="Arial"/>
          <w:noProof/>
          <w:sz w:val="22"/>
        </w:rPr>
        <w:t>4</w:t>
      </w:r>
      <w:r w:rsidRPr="001857F5">
        <w:rPr>
          <w:rFonts w:cs="Arial"/>
          <w:sz w:val="22"/>
        </w:rPr>
        <w:fldChar w:fldCharType="end"/>
      </w:r>
      <w:r w:rsidRPr="001857F5">
        <w:rPr>
          <w:rFonts w:cs="Arial"/>
          <w:sz w:val="22"/>
        </w:rPr>
        <w:t>. Données socio-économiques de la Province du Kongo Central</w:t>
      </w:r>
      <w:bookmarkEnd w:id="214"/>
    </w:p>
    <w:p w14:paraId="4B205AF3" w14:textId="77777777" w:rsidR="001C2F95" w:rsidRPr="001857F5" w:rsidRDefault="001C2F95" w:rsidP="001C2F95">
      <w:pPr>
        <w:rPr>
          <w:rFonts w:cs="Arial"/>
          <w:sz w:val="22"/>
        </w:rPr>
      </w:pPr>
    </w:p>
    <w:tbl>
      <w:tblPr>
        <w:tblW w:w="1366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78"/>
        <w:gridCol w:w="11287"/>
      </w:tblGrid>
      <w:tr w:rsidR="001C2F95" w:rsidRPr="001857F5" w14:paraId="54F6E83B" w14:textId="77777777" w:rsidTr="00971FD2">
        <w:trPr>
          <w:trHeight w:val="414"/>
          <w:tblHeader/>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C2D69B"/>
            <w:tcMar>
              <w:left w:w="108" w:type="dxa"/>
            </w:tcMar>
          </w:tcPr>
          <w:p w14:paraId="334E0554" w14:textId="77777777" w:rsidR="001C2F95" w:rsidRPr="001857F5" w:rsidRDefault="001C2F95" w:rsidP="00971FD2">
            <w:pPr>
              <w:jc w:val="center"/>
              <w:rPr>
                <w:rFonts w:eastAsia="Calibri" w:cs="Arial"/>
                <w:b/>
                <w:sz w:val="22"/>
              </w:rPr>
            </w:pPr>
            <w:r w:rsidRPr="001857F5">
              <w:rPr>
                <w:rFonts w:eastAsia="Calibri" w:cs="Arial"/>
                <w:b/>
                <w:sz w:val="22"/>
              </w:rPr>
              <w:t>Secteur</w:t>
            </w:r>
          </w:p>
        </w:tc>
        <w:tc>
          <w:tcPr>
            <w:tcW w:w="11287" w:type="dxa"/>
            <w:tcBorders>
              <w:top w:val="single" w:sz="4" w:space="0" w:color="000001"/>
              <w:left w:val="single" w:sz="4" w:space="0" w:color="000001"/>
              <w:bottom w:val="single" w:sz="4" w:space="0" w:color="000001"/>
              <w:right w:val="single" w:sz="4" w:space="0" w:color="000001"/>
            </w:tcBorders>
            <w:shd w:val="clear" w:color="auto" w:fill="C2D69B"/>
          </w:tcPr>
          <w:p w14:paraId="532F3451" w14:textId="77777777" w:rsidR="001C2F95" w:rsidRPr="001857F5" w:rsidRDefault="001C2F95" w:rsidP="00971FD2">
            <w:pPr>
              <w:jc w:val="center"/>
              <w:rPr>
                <w:rFonts w:eastAsia="Calibri" w:cs="Arial"/>
                <w:b/>
                <w:sz w:val="22"/>
              </w:rPr>
            </w:pPr>
            <w:r w:rsidRPr="001857F5">
              <w:rPr>
                <w:rFonts w:eastAsia="Calibri" w:cs="Arial"/>
                <w:b/>
                <w:sz w:val="22"/>
              </w:rPr>
              <w:t>Province du Kongo Central</w:t>
            </w:r>
          </w:p>
        </w:tc>
      </w:tr>
      <w:tr w:rsidR="001C2F95" w:rsidRPr="001857F5" w14:paraId="1E3B3A5E" w14:textId="77777777" w:rsidTr="00971FD2">
        <w:trPr>
          <w:trHeight w:val="276"/>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F38135A" w14:textId="77777777" w:rsidR="001C2F95" w:rsidRPr="001857F5" w:rsidRDefault="001C2F95" w:rsidP="00971FD2">
            <w:pPr>
              <w:rPr>
                <w:rFonts w:eastAsia="Calibri" w:cs="Arial"/>
                <w:b/>
                <w:sz w:val="22"/>
              </w:rPr>
            </w:pPr>
            <w:r w:rsidRPr="001857F5">
              <w:rPr>
                <w:rFonts w:eastAsia="Calibri" w:cs="Arial"/>
                <w:b/>
                <w:sz w:val="22"/>
              </w:rPr>
              <w:t>Situation géographique</w:t>
            </w:r>
          </w:p>
        </w:tc>
        <w:tc>
          <w:tcPr>
            <w:tcW w:w="11287" w:type="dxa"/>
            <w:tcBorders>
              <w:top w:val="single" w:sz="4" w:space="0" w:color="000001"/>
              <w:left w:val="single" w:sz="4" w:space="0" w:color="000001"/>
              <w:bottom w:val="single" w:sz="4" w:space="0" w:color="000001"/>
              <w:right w:val="single" w:sz="4" w:space="0" w:color="000001"/>
            </w:tcBorders>
          </w:tcPr>
          <w:p w14:paraId="454B1719" w14:textId="77777777" w:rsidR="001C2F95" w:rsidRPr="00730A4A" w:rsidRDefault="001C2F95" w:rsidP="00971FD2">
            <w:pPr>
              <w:textAlignment w:val="baseline"/>
              <w:rPr>
                <w:rFonts w:cs="Arial"/>
                <w:b/>
                <w:bCs/>
                <w:color w:val="000000"/>
                <w:sz w:val="22"/>
              </w:rPr>
            </w:pPr>
            <w:r w:rsidRPr="00730A4A">
              <w:rPr>
                <w:rFonts w:cs="Arial"/>
                <w:b/>
                <w:bCs/>
                <w:color w:val="000000"/>
                <w:sz w:val="22"/>
              </w:rPr>
              <w:t>Localisation </w:t>
            </w:r>
          </w:p>
          <w:p w14:paraId="6CC1E4C8" w14:textId="77777777" w:rsidR="001C2F95" w:rsidRPr="001857F5" w:rsidRDefault="001C2F95" w:rsidP="00971FD2">
            <w:pPr>
              <w:rPr>
                <w:rFonts w:cs="Arial"/>
                <w:color w:val="000000"/>
                <w:sz w:val="22"/>
              </w:rPr>
            </w:pPr>
            <w:r w:rsidRPr="001857F5">
              <w:rPr>
                <w:rFonts w:cs="Arial"/>
                <w:color w:val="000000"/>
                <w:sz w:val="22"/>
              </w:rPr>
              <w:t>Le Kongo Central (en Kikongo : Kôngo ya Kati), appelé Bas-Congo avant 2015, est une Province de la République Démocratique du Congo. C'est la seule Province du pays ayant un accès à la mer.</w:t>
            </w:r>
          </w:p>
          <w:p w14:paraId="6572D087" w14:textId="77777777" w:rsidR="001C2F95" w:rsidRPr="001857F5" w:rsidRDefault="001C2F95" w:rsidP="00971FD2">
            <w:pPr>
              <w:rPr>
                <w:rFonts w:cs="Arial"/>
                <w:color w:val="000000"/>
                <w:sz w:val="22"/>
              </w:rPr>
            </w:pPr>
          </w:p>
          <w:p w14:paraId="00B6BF43" w14:textId="77777777" w:rsidR="001C2F95" w:rsidRPr="001857F5" w:rsidRDefault="001C2F95" w:rsidP="00971FD2">
            <w:pPr>
              <w:rPr>
                <w:rFonts w:cs="Arial"/>
                <w:color w:val="000000"/>
                <w:sz w:val="22"/>
              </w:rPr>
            </w:pPr>
            <w:r w:rsidRPr="001857F5">
              <w:rPr>
                <w:rFonts w:cs="Arial"/>
                <w:color w:val="000000"/>
                <w:sz w:val="22"/>
              </w:rPr>
              <w:t>Située au Sud-Ouest de la République Démocratique du Congo, la Province du Kongo Central s’étend sur une superficie de 53 920 km², soit 2,3 % du territoire national.</w:t>
            </w:r>
          </w:p>
          <w:p w14:paraId="7DD4163F" w14:textId="77777777" w:rsidR="001C2F95" w:rsidRPr="001857F5" w:rsidRDefault="001C2F95" w:rsidP="00971FD2">
            <w:pPr>
              <w:rPr>
                <w:rFonts w:cs="Arial"/>
                <w:color w:val="000000"/>
                <w:sz w:val="22"/>
              </w:rPr>
            </w:pPr>
          </w:p>
          <w:p w14:paraId="4C6675D5" w14:textId="77777777" w:rsidR="001C2F95" w:rsidRPr="001857F5" w:rsidRDefault="001C2F95" w:rsidP="00971FD2">
            <w:pPr>
              <w:rPr>
                <w:rFonts w:cs="Arial"/>
                <w:color w:val="000000"/>
                <w:sz w:val="22"/>
              </w:rPr>
            </w:pPr>
            <w:r w:rsidRPr="001857F5">
              <w:rPr>
                <w:rFonts w:cs="Arial"/>
                <w:color w:val="000000"/>
                <w:sz w:val="22"/>
              </w:rPr>
              <w:t>La Province du Kongo Central s'étend entre 4° et 6° de latitude Sud, et 12° et 16° de longitude Est et est limitée au Nord par la République du Congo, au Sud par la République d’Angola, à l’Est par la Ville-Province de Kinshasa et la Province de Kwango et enfin, à l’Ouest par l’Océan Atlantique et l’enclave Angolaise de Cabinda.</w:t>
            </w:r>
          </w:p>
          <w:p w14:paraId="11C35701" w14:textId="77777777" w:rsidR="001C2F95" w:rsidRPr="001857F5" w:rsidRDefault="001C2F95" w:rsidP="00971FD2">
            <w:pPr>
              <w:rPr>
                <w:rFonts w:cs="Arial"/>
                <w:color w:val="000000"/>
                <w:sz w:val="22"/>
              </w:rPr>
            </w:pPr>
          </w:p>
          <w:p w14:paraId="0DED870D" w14:textId="77777777" w:rsidR="001C2F95" w:rsidRPr="001857F5" w:rsidRDefault="001C2F95" w:rsidP="00971FD2">
            <w:pPr>
              <w:rPr>
                <w:rFonts w:cs="Arial"/>
                <w:color w:val="000000"/>
                <w:sz w:val="22"/>
              </w:rPr>
            </w:pPr>
            <w:r w:rsidRPr="001857F5">
              <w:rPr>
                <w:rFonts w:cs="Arial"/>
                <w:color w:val="000000"/>
                <w:sz w:val="22"/>
              </w:rPr>
              <w:t>La Province du Kongo Central est l'une des entités administratives les mieux structurées de la RDC. Avec une superficie d'environ 54 mille km</w:t>
            </w:r>
            <w:r w:rsidRPr="001857F5">
              <w:rPr>
                <w:rFonts w:cs="Arial"/>
                <w:color w:val="000000"/>
                <w:sz w:val="22"/>
                <w:vertAlign w:val="superscript"/>
              </w:rPr>
              <w:t>2</w:t>
            </w:r>
            <w:r w:rsidRPr="001857F5">
              <w:rPr>
                <w:rFonts w:cs="Arial"/>
                <w:color w:val="000000"/>
                <w:sz w:val="22"/>
              </w:rPr>
              <w:t>, elle compte une dizaine de Territoires (en plus du Territoire Urbain de Matadi). Déjà à l'époque de l'Etat Indépendant du Congo, sur les 11 Districts que comptait le pays en 1888, 4 appartenaient à l'actuel Kongo Central.</w:t>
            </w:r>
          </w:p>
          <w:p w14:paraId="6C62AE59" w14:textId="77777777" w:rsidR="001C2F95" w:rsidRPr="001857F5" w:rsidRDefault="001C2F95" w:rsidP="00971FD2">
            <w:pPr>
              <w:ind w:left="40"/>
              <w:jc w:val="left"/>
              <w:textAlignment w:val="baseline"/>
              <w:rPr>
                <w:rFonts w:cs="Arial"/>
                <w:color w:val="333333"/>
                <w:sz w:val="22"/>
              </w:rPr>
            </w:pPr>
          </w:p>
          <w:p w14:paraId="20C7881E" w14:textId="77777777" w:rsidR="001C2F95" w:rsidRPr="00730A4A" w:rsidRDefault="001C2F95" w:rsidP="00971FD2">
            <w:pPr>
              <w:textAlignment w:val="baseline"/>
              <w:rPr>
                <w:rFonts w:cs="Arial"/>
                <w:b/>
                <w:i/>
                <w:color w:val="000000"/>
                <w:sz w:val="22"/>
              </w:rPr>
            </w:pPr>
            <w:r w:rsidRPr="00730A4A">
              <w:rPr>
                <w:rFonts w:cs="Arial"/>
                <w:b/>
                <w:i/>
                <w:color w:val="000000"/>
                <w:sz w:val="22"/>
              </w:rPr>
              <w:t>Climat et saisons </w:t>
            </w:r>
          </w:p>
          <w:p w14:paraId="21BD9D13" w14:textId="77777777" w:rsidR="001C2F95" w:rsidRPr="001857F5" w:rsidRDefault="001C2F95" w:rsidP="00971FD2">
            <w:pPr>
              <w:rPr>
                <w:rFonts w:cs="Arial"/>
                <w:color w:val="000000"/>
                <w:sz w:val="22"/>
              </w:rPr>
            </w:pPr>
            <w:r w:rsidRPr="001857F5">
              <w:rPr>
                <w:rFonts w:cs="Arial"/>
                <w:color w:val="000000"/>
                <w:sz w:val="22"/>
              </w:rPr>
              <w:t>Son climat est de type tropical avec deux saisons : saison pluvieuse et saison sèche. Les précipitations annuelles varient entre 900 mm et 1 500 mm. Suivant la répartition locale, l’année compte cinq saisons : la grande saison des pluies ou Saison A, appelée « Masanza », de mi-octobre à décembre, la petite saison sèche ou « Kianzu ou Kundi » de janvier à février, la petite saison des pluies ou Saison B, appelée « Kintombo » de mars à mi-mai, la saison sèche ou Saison C appelée « Sivu » de mi-mai à mi-octobre. Celle-ci comporte deux variantes caractérisées par une période fraîche allant de juin à août, ainsi qu’une période très chaude dénommée « Mbangala » de septembre à mi-octobre.</w:t>
            </w:r>
          </w:p>
          <w:p w14:paraId="023FA1E5" w14:textId="77777777" w:rsidR="001C2F95" w:rsidRPr="001857F5" w:rsidRDefault="001C2F95" w:rsidP="00971FD2">
            <w:pPr>
              <w:ind w:left="40"/>
              <w:textAlignment w:val="baseline"/>
              <w:rPr>
                <w:rFonts w:cs="Arial"/>
                <w:color w:val="000000"/>
                <w:sz w:val="22"/>
              </w:rPr>
            </w:pPr>
          </w:p>
          <w:p w14:paraId="5E328650" w14:textId="77777777" w:rsidR="001C2F95" w:rsidRPr="001857F5" w:rsidRDefault="001C2F95" w:rsidP="00971FD2">
            <w:pPr>
              <w:textAlignment w:val="baseline"/>
              <w:rPr>
                <w:rFonts w:cs="Arial"/>
                <w:b/>
                <w:i/>
                <w:color w:val="000000"/>
                <w:sz w:val="22"/>
              </w:rPr>
            </w:pPr>
            <w:r w:rsidRPr="001857F5">
              <w:rPr>
                <w:rFonts w:cs="Arial"/>
                <w:b/>
                <w:i/>
                <w:color w:val="000000"/>
                <w:sz w:val="22"/>
              </w:rPr>
              <w:t>Hydrographie</w:t>
            </w:r>
          </w:p>
          <w:p w14:paraId="535786C7" w14:textId="77777777" w:rsidR="001C2F95" w:rsidRPr="001857F5" w:rsidRDefault="001C2F95" w:rsidP="00971FD2">
            <w:pPr>
              <w:rPr>
                <w:rFonts w:cs="Arial"/>
                <w:color w:val="000000"/>
                <w:sz w:val="22"/>
              </w:rPr>
            </w:pPr>
            <w:r w:rsidRPr="001857F5">
              <w:rPr>
                <w:rFonts w:cs="Arial"/>
                <w:color w:val="000000"/>
                <w:sz w:val="22"/>
              </w:rPr>
              <w:t xml:space="preserve">Le Kongo Central fait partie du grand Bassin du Fleuve Congo, à l'exception du Mayombe drainé par le Fleuve Shiloango. Cependant, l'apport des affluents du Kongo Central au débit du Fleuve est minime (1,5 % au maximum). De même, si le Fleuve Congo est une voie de communication principale pour la République Démocratique du </w:t>
            </w:r>
            <w:r w:rsidRPr="001857F5">
              <w:rPr>
                <w:rFonts w:cs="Arial"/>
                <w:color w:val="000000"/>
                <w:sz w:val="22"/>
              </w:rPr>
              <w:lastRenderedPageBreak/>
              <w:t>Congo, la partie navigable du Kongo Central n'est que de 168 km entre Matadi et Banana. Ainsi, sur 400 km entre Kinshasa et Banana, 232 km (Kinshasa-Matadi) ne sont pas navigables à cause des chutes et des rapides.</w:t>
            </w:r>
          </w:p>
          <w:p w14:paraId="5FDA575C" w14:textId="77777777" w:rsidR="001C2F95" w:rsidRPr="001857F5" w:rsidRDefault="001C2F95" w:rsidP="00971FD2">
            <w:pPr>
              <w:rPr>
                <w:rFonts w:cs="Arial"/>
                <w:color w:val="000000"/>
                <w:sz w:val="22"/>
              </w:rPr>
            </w:pPr>
          </w:p>
          <w:p w14:paraId="565640CF" w14:textId="77777777" w:rsidR="001C2F95" w:rsidRPr="001857F5" w:rsidRDefault="001C2F95" w:rsidP="00971FD2">
            <w:pPr>
              <w:rPr>
                <w:rFonts w:cs="Arial"/>
                <w:color w:val="000000"/>
                <w:sz w:val="22"/>
              </w:rPr>
            </w:pPr>
            <w:r w:rsidRPr="001857F5">
              <w:rPr>
                <w:rFonts w:cs="Arial"/>
                <w:color w:val="000000"/>
                <w:sz w:val="22"/>
              </w:rPr>
              <w:t>En outre, le Fleuve Congo regorge d’un formidable potentiel hydro-électrique estimé à 100 000 Mégawatts dont 58 000 Mégawatts entre Kinshasa et Matadi sur le Territoire du Kongo Central. En dehors du Fleuve Congo, le réseau hydrographique du Kongo Central est formé de nombreuses rivières aux dimensions plus modestes dont les plus importantes sont : Inkisi, Nsele, Mfidi, Lubishi, Lumene, Bombo, Lufimi, Luidi, Lukunga, Ngufu, Mosi, Mobi, Lugunga, Kwilu, Lufu, Mfumu, Yambi, Luala, Tombe, Lunionzo, Madiadia, Luima, Sanzikua, Lukasu, Ngudi, Luozi, Luenda, Lukula, Lubuzi, Mbavu, Lemba, Luangu, Mbulu, Nkiela, Ndudi, ainsi que le Fleuve Shiloango dans le Territoire du Bas-Fleuve.</w:t>
            </w:r>
          </w:p>
          <w:p w14:paraId="46011D9D" w14:textId="77777777" w:rsidR="001C2F95" w:rsidRPr="001857F5" w:rsidRDefault="001C2F95" w:rsidP="00971FD2">
            <w:pPr>
              <w:textAlignment w:val="baseline"/>
              <w:rPr>
                <w:rFonts w:cs="Arial"/>
                <w:color w:val="000000"/>
                <w:sz w:val="22"/>
              </w:rPr>
            </w:pPr>
          </w:p>
          <w:p w14:paraId="33D9F6C3" w14:textId="77777777" w:rsidR="001C2F95" w:rsidRPr="001857F5" w:rsidRDefault="001C2F95" w:rsidP="00971FD2">
            <w:pPr>
              <w:textAlignment w:val="baseline"/>
              <w:rPr>
                <w:rFonts w:cs="Arial"/>
                <w:b/>
                <w:i/>
                <w:color w:val="000000"/>
                <w:sz w:val="22"/>
              </w:rPr>
            </w:pPr>
            <w:r w:rsidRPr="001857F5">
              <w:rPr>
                <w:rFonts w:cs="Arial"/>
                <w:b/>
                <w:i/>
                <w:color w:val="000000"/>
                <w:sz w:val="22"/>
              </w:rPr>
              <w:t>Relief et type de sol </w:t>
            </w:r>
          </w:p>
          <w:p w14:paraId="4BDC71CD" w14:textId="77777777" w:rsidR="001C2F95" w:rsidRPr="001857F5" w:rsidRDefault="001C2F95" w:rsidP="00971FD2">
            <w:pPr>
              <w:rPr>
                <w:rFonts w:cs="Arial"/>
                <w:sz w:val="22"/>
              </w:rPr>
            </w:pPr>
            <w:r w:rsidRPr="001857F5">
              <w:rPr>
                <w:rFonts w:cs="Arial"/>
                <w:sz w:val="22"/>
              </w:rPr>
              <w:t>Le Kongo Central a un relief très varié ; mais il est essentiellement une Province des plateaux plus ou moins vivement disséqués et jamais très élevés. L'altitude dépasse rarement 750 m. Nous pouvons distinguer quatre régions dans le Kongo Central : la région côtière, la région de Mayombe, la région des Cataractes et les confins du Kongo Central (aux abords du Kwango).</w:t>
            </w:r>
          </w:p>
          <w:p w14:paraId="6306B2F1" w14:textId="77777777" w:rsidR="001C2F95" w:rsidRPr="001857F5" w:rsidRDefault="001C2F95" w:rsidP="00971FD2">
            <w:pPr>
              <w:rPr>
                <w:rFonts w:cs="Arial"/>
                <w:bCs/>
                <w:sz w:val="22"/>
              </w:rPr>
            </w:pPr>
          </w:p>
          <w:p w14:paraId="130BAFDB" w14:textId="77777777" w:rsidR="001C2F95" w:rsidRPr="001857F5" w:rsidRDefault="001C2F95" w:rsidP="00971FD2">
            <w:pPr>
              <w:rPr>
                <w:rFonts w:cs="Arial"/>
                <w:bCs/>
                <w:sz w:val="22"/>
              </w:rPr>
            </w:pPr>
            <w:r w:rsidRPr="001857F5">
              <w:rPr>
                <w:rFonts w:cs="Arial"/>
                <w:bCs/>
                <w:sz w:val="22"/>
              </w:rPr>
              <w:t>La Province du Kongo Central compte quatre types de sols à savoir :</w:t>
            </w:r>
          </w:p>
          <w:p w14:paraId="4266120A" w14:textId="77777777" w:rsidR="001C2F95" w:rsidRPr="001857F5" w:rsidRDefault="001C2F95" w:rsidP="00971FD2">
            <w:pPr>
              <w:rPr>
                <w:rFonts w:cs="Arial"/>
                <w:sz w:val="22"/>
              </w:rPr>
            </w:pPr>
          </w:p>
          <w:p w14:paraId="60CEED49" w14:textId="77777777" w:rsidR="001C2F95" w:rsidRPr="001857F5" w:rsidRDefault="001C2F95" w:rsidP="002378EA">
            <w:pPr>
              <w:pStyle w:val="Paragraphedeliste"/>
              <w:numPr>
                <w:ilvl w:val="0"/>
                <w:numId w:val="43"/>
              </w:numPr>
              <w:rPr>
                <w:rFonts w:cs="Arial"/>
                <w:sz w:val="22"/>
              </w:rPr>
            </w:pPr>
            <w:r w:rsidRPr="001857F5">
              <w:rPr>
                <w:rFonts w:cs="Arial"/>
                <w:sz w:val="22"/>
              </w:rPr>
              <w:t xml:space="preserve">Les sols sablonneux du type arénoferral : </w:t>
            </w:r>
          </w:p>
          <w:p w14:paraId="7D71F9AF" w14:textId="77777777" w:rsidR="001C2F95" w:rsidRPr="001857F5" w:rsidRDefault="001C2F95" w:rsidP="002378EA">
            <w:pPr>
              <w:pStyle w:val="Paragraphedeliste"/>
              <w:numPr>
                <w:ilvl w:val="0"/>
                <w:numId w:val="43"/>
              </w:numPr>
              <w:rPr>
                <w:rFonts w:cs="Arial"/>
                <w:sz w:val="22"/>
              </w:rPr>
            </w:pPr>
            <w:r w:rsidRPr="001857F5">
              <w:rPr>
                <w:rFonts w:cs="Arial"/>
                <w:sz w:val="22"/>
              </w:rPr>
              <w:t>Les sols argilo-sablonneux et argileux ;</w:t>
            </w:r>
          </w:p>
          <w:p w14:paraId="1884AB8F" w14:textId="77777777" w:rsidR="001C2F95" w:rsidRPr="001857F5" w:rsidRDefault="001C2F95" w:rsidP="002378EA">
            <w:pPr>
              <w:pStyle w:val="Paragraphedeliste"/>
              <w:numPr>
                <w:ilvl w:val="0"/>
                <w:numId w:val="43"/>
              </w:numPr>
              <w:rPr>
                <w:rFonts w:cs="Arial"/>
                <w:sz w:val="22"/>
              </w:rPr>
            </w:pPr>
            <w:r w:rsidRPr="001857F5">
              <w:rPr>
                <w:rFonts w:cs="Arial"/>
                <w:sz w:val="22"/>
              </w:rPr>
              <w:t>Les sols sablo-argileux avec tâches argilo-sablonneuses se trouvent au Nord et à l'Est de Luozi (District des Cataractes), au Nord-Ouest de Mbanza-Ngungu (District des Cataractes) et dans le District de Lukaya ; ces sols sont fragiles et faiblement fertiles.</w:t>
            </w:r>
          </w:p>
          <w:p w14:paraId="34B63F87" w14:textId="77777777" w:rsidR="001977A4" w:rsidRDefault="001977A4" w:rsidP="00971FD2">
            <w:pPr>
              <w:textAlignment w:val="baseline"/>
              <w:rPr>
                <w:rFonts w:cs="Arial"/>
                <w:b/>
                <w:i/>
                <w:color w:val="000000"/>
                <w:sz w:val="22"/>
              </w:rPr>
            </w:pPr>
          </w:p>
          <w:p w14:paraId="4EAFE8D2" w14:textId="77777777" w:rsidR="001C2F95" w:rsidRPr="001857F5" w:rsidRDefault="001C2F95" w:rsidP="00971FD2">
            <w:pPr>
              <w:textAlignment w:val="baseline"/>
              <w:rPr>
                <w:rFonts w:cs="Arial"/>
                <w:b/>
                <w:i/>
                <w:color w:val="000000"/>
                <w:sz w:val="22"/>
              </w:rPr>
            </w:pPr>
            <w:r w:rsidRPr="001857F5">
              <w:rPr>
                <w:rFonts w:cs="Arial"/>
                <w:b/>
                <w:i/>
                <w:color w:val="000000"/>
                <w:sz w:val="22"/>
              </w:rPr>
              <w:t>Faune </w:t>
            </w:r>
          </w:p>
          <w:p w14:paraId="4D83A4C4" w14:textId="77777777" w:rsidR="001C2F95" w:rsidRPr="001857F5" w:rsidRDefault="001C2F95" w:rsidP="00971FD2">
            <w:pPr>
              <w:textAlignment w:val="baseline"/>
              <w:rPr>
                <w:rFonts w:cs="Arial"/>
                <w:b/>
                <w:i/>
                <w:color w:val="000000"/>
                <w:sz w:val="22"/>
              </w:rPr>
            </w:pPr>
            <w:r w:rsidRPr="001857F5">
              <w:rPr>
                <w:rFonts w:cs="Arial"/>
                <w:bCs/>
                <w:sz w:val="22"/>
              </w:rPr>
              <w:t>La Province du Kongo Central regorge d’importantes ressources fauniques, qui pour la plupart font l’objet du braconnage excessif occasionné par des chasseurs. Faute d’inventaire, les ressources fauniques de cette province sont peu connues. Mais, l’on observe sur les marchés, comme celui de la viande de brousse de Boma, des gibiers étalés par les vendeuses et vendeurs.</w:t>
            </w:r>
            <w:r w:rsidRPr="001857F5">
              <w:rPr>
                <w:rFonts w:cs="Arial"/>
                <w:b/>
                <w:i/>
                <w:color w:val="000000"/>
                <w:sz w:val="22"/>
              </w:rPr>
              <w:t xml:space="preserve">   </w:t>
            </w:r>
          </w:p>
          <w:p w14:paraId="4E54E34C" w14:textId="77777777" w:rsidR="001977A4" w:rsidRDefault="001977A4" w:rsidP="00971FD2">
            <w:pPr>
              <w:textAlignment w:val="baseline"/>
              <w:rPr>
                <w:rFonts w:cs="Arial"/>
                <w:b/>
                <w:i/>
                <w:color w:val="000000"/>
                <w:sz w:val="22"/>
              </w:rPr>
            </w:pPr>
          </w:p>
          <w:p w14:paraId="29A0AA43" w14:textId="77777777" w:rsidR="00EB7F94" w:rsidRDefault="00EB7F94" w:rsidP="00971FD2">
            <w:pPr>
              <w:textAlignment w:val="baseline"/>
              <w:rPr>
                <w:rFonts w:cs="Arial"/>
                <w:b/>
                <w:i/>
                <w:color w:val="000000"/>
                <w:sz w:val="22"/>
              </w:rPr>
            </w:pPr>
          </w:p>
          <w:p w14:paraId="13B0830A" w14:textId="77777777" w:rsidR="001C2F95" w:rsidRPr="001857F5" w:rsidRDefault="001C2F95" w:rsidP="00971FD2">
            <w:pPr>
              <w:textAlignment w:val="baseline"/>
              <w:rPr>
                <w:rFonts w:cs="Arial"/>
                <w:b/>
                <w:i/>
                <w:color w:val="000000"/>
                <w:sz w:val="22"/>
              </w:rPr>
            </w:pPr>
            <w:r w:rsidRPr="001857F5">
              <w:rPr>
                <w:rFonts w:cs="Arial"/>
                <w:b/>
                <w:i/>
                <w:color w:val="000000"/>
                <w:sz w:val="22"/>
              </w:rPr>
              <w:lastRenderedPageBreak/>
              <w:t xml:space="preserve">Potentialités </w:t>
            </w:r>
          </w:p>
          <w:p w14:paraId="759FE109" w14:textId="77777777" w:rsidR="001C2F95" w:rsidRPr="001857F5" w:rsidRDefault="001C2F95" w:rsidP="00971FD2">
            <w:pPr>
              <w:textAlignment w:val="baseline"/>
              <w:rPr>
                <w:rFonts w:cs="Arial"/>
                <w:bCs/>
                <w:sz w:val="22"/>
              </w:rPr>
            </w:pPr>
            <w:r w:rsidRPr="001857F5">
              <w:rPr>
                <w:rFonts w:cs="Arial"/>
                <w:b/>
                <w:i/>
                <w:color w:val="000000"/>
                <w:sz w:val="22"/>
              </w:rPr>
              <w:t xml:space="preserve"> </w:t>
            </w:r>
            <w:r w:rsidRPr="001857F5">
              <w:rPr>
                <w:rFonts w:cs="Arial"/>
                <w:bCs/>
                <w:sz w:val="22"/>
              </w:rPr>
              <w:t xml:space="preserve">La flore de la zone du projet comprend les types de forêt cités ci haut. Cette flore constitue un puits de carbone qui contribue à la mitigation des effets des changements climatiques. Tout en servant d’habitat faunique, elle produit de la biomasse ligneuse exploitée industriellement et de manière artisanale. On en tire plusieurs produits forestiers non ligneux (PFNL) comestibles et ayant des vertus thérapeutiques.  </w:t>
            </w:r>
          </w:p>
          <w:p w14:paraId="1188FE46" w14:textId="77777777" w:rsidR="001C2F95" w:rsidRPr="001857F5" w:rsidRDefault="001C2F95" w:rsidP="00971FD2">
            <w:pPr>
              <w:textAlignment w:val="baseline"/>
              <w:rPr>
                <w:rFonts w:cs="Arial"/>
                <w:bCs/>
                <w:sz w:val="22"/>
              </w:rPr>
            </w:pPr>
            <w:r w:rsidRPr="001857F5">
              <w:rPr>
                <w:rFonts w:cs="Arial"/>
                <w:bCs/>
                <w:sz w:val="22"/>
              </w:rPr>
              <w:t xml:space="preserve"> </w:t>
            </w:r>
          </w:p>
          <w:p w14:paraId="4F8F7B67" w14:textId="77777777" w:rsidR="001C2F95" w:rsidRPr="001857F5" w:rsidRDefault="001C2F95" w:rsidP="00971FD2">
            <w:pPr>
              <w:textAlignment w:val="baseline"/>
              <w:rPr>
                <w:rFonts w:cs="Arial"/>
                <w:bCs/>
                <w:sz w:val="22"/>
              </w:rPr>
            </w:pPr>
            <w:r w:rsidRPr="001857F5">
              <w:rPr>
                <w:rFonts w:cs="Arial"/>
                <w:bCs/>
                <w:sz w:val="22"/>
              </w:rPr>
              <w:t xml:space="preserve">Tels que décrit ci-haut, la faune du Bas-Congo est riche et diversifiée, de ce fait on remarque une présence continuelle de la viande de gibiers, surtout sous forme boucanée dans le marché de la viande de brousse de Boma. </w:t>
            </w:r>
          </w:p>
          <w:p w14:paraId="4E7DEC31" w14:textId="77777777" w:rsidR="001C2F95" w:rsidRPr="001857F5" w:rsidRDefault="001C2F95" w:rsidP="00971FD2">
            <w:pPr>
              <w:textAlignment w:val="baseline"/>
              <w:rPr>
                <w:rFonts w:cs="Arial"/>
                <w:bCs/>
                <w:sz w:val="22"/>
              </w:rPr>
            </w:pPr>
            <w:r w:rsidRPr="001857F5">
              <w:rPr>
                <w:rFonts w:cs="Arial"/>
                <w:bCs/>
                <w:sz w:val="22"/>
              </w:rPr>
              <w:t xml:space="preserve"> </w:t>
            </w:r>
          </w:p>
          <w:p w14:paraId="4FDB0278" w14:textId="77777777" w:rsidR="001C2F95" w:rsidRPr="001857F5" w:rsidRDefault="001C2F95" w:rsidP="00971FD2">
            <w:pPr>
              <w:textAlignment w:val="baseline"/>
              <w:rPr>
                <w:rFonts w:cs="Arial"/>
                <w:b/>
                <w:i/>
                <w:color w:val="000000"/>
                <w:sz w:val="22"/>
              </w:rPr>
            </w:pPr>
            <w:r w:rsidRPr="001857F5">
              <w:rPr>
                <w:rFonts w:cs="Arial"/>
                <w:bCs/>
                <w:sz w:val="22"/>
              </w:rPr>
              <w:t>La population du Kongo Central consomme toutes les espèces animales comestibles de son écosystème: oiseaux, reptiles, invertébrés (escargots, insectes, larves d’insectes, chenilles, etc.).</w:t>
            </w:r>
            <w:r w:rsidRPr="001857F5">
              <w:rPr>
                <w:rFonts w:cs="Arial"/>
                <w:b/>
                <w:i/>
                <w:color w:val="000000"/>
                <w:sz w:val="22"/>
              </w:rPr>
              <w:t xml:space="preserve"> </w:t>
            </w:r>
          </w:p>
          <w:p w14:paraId="1FFA9A4D" w14:textId="77777777" w:rsidR="001C2F95" w:rsidRPr="001857F5" w:rsidRDefault="001C2F95" w:rsidP="00971FD2">
            <w:pPr>
              <w:textAlignment w:val="baseline"/>
              <w:rPr>
                <w:rFonts w:cs="Arial"/>
                <w:b/>
                <w:i/>
                <w:color w:val="000000"/>
                <w:sz w:val="22"/>
              </w:rPr>
            </w:pPr>
          </w:p>
          <w:p w14:paraId="6BFE343E" w14:textId="77777777" w:rsidR="001C2F95" w:rsidRPr="001857F5" w:rsidRDefault="001C2F95" w:rsidP="00971FD2">
            <w:pPr>
              <w:textAlignment w:val="baseline"/>
              <w:rPr>
                <w:rFonts w:cs="Arial"/>
                <w:b/>
                <w:i/>
                <w:color w:val="000000"/>
                <w:sz w:val="22"/>
              </w:rPr>
            </w:pPr>
            <w:r w:rsidRPr="001857F5">
              <w:rPr>
                <w:rFonts w:cs="Arial"/>
                <w:b/>
                <w:i/>
                <w:color w:val="000000"/>
                <w:sz w:val="22"/>
              </w:rPr>
              <w:t xml:space="preserve">Menaces </w:t>
            </w:r>
          </w:p>
          <w:p w14:paraId="1227182D" w14:textId="77777777" w:rsidR="001C2F95" w:rsidRPr="001857F5" w:rsidRDefault="001C2F95" w:rsidP="00971FD2">
            <w:pPr>
              <w:textAlignment w:val="baseline"/>
              <w:rPr>
                <w:rFonts w:cs="Arial"/>
                <w:bCs/>
                <w:sz w:val="22"/>
              </w:rPr>
            </w:pPr>
            <w:r w:rsidRPr="001857F5">
              <w:rPr>
                <w:rFonts w:cs="Arial"/>
                <w:bCs/>
                <w:sz w:val="22"/>
              </w:rPr>
              <w:t xml:space="preserve">Menace de la flore par l’agriculture : C’est la première activité destructrice des écosystèmes parce que toutes les populations rurales et même citadines y font recours pour leur survie. Les différentes pratiques agricoles non durables, avec de temps de jachère courte et l’utilisation des produits phytosanitaires entrainent une dégradation du sol jusqu’à son appauvrissement. </w:t>
            </w:r>
          </w:p>
          <w:p w14:paraId="00D72E53" w14:textId="77777777" w:rsidR="001C2F95" w:rsidRPr="001857F5" w:rsidRDefault="001C2F95" w:rsidP="00971FD2">
            <w:pPr>
              <w:textAlignment w:val="baseline"/>
              <w:rPr>
                <w:rFonts w:cs="Arial"/>
                <w:bCs/>
                <w:sz w:val="22"/>
              </w:rPr>
            </w:pPr>
            <w:r w:rsidRPr="001857F5">
              <w:rPr>
                <w:rFonts w:cs="Arial"/>
                <w:bCs/>
                <w:sz w:val="22"/>
              </w:rPr>
              <w:t xml:space="preserve"> </w:t>
            </w:r>
          </w:p>
          <w:p w14:paraId="5A18CD90" w14:textId="77777777" w:rsidR="001C2F95" w:rsidRPr="001857F5" w:rsidRDefault="001C2F95" w:rsidP="00971FD2">
            <w:pPr>
              <w:textAlignment w:val="baseline"/>
              <w:rPr>
                <w:rFonts w:cs="Arial"/>
                <w:bCs/>
                <w:sz w:val="22"/>
              </w:rPr>
            </w:pPr>
            <w:r w:rsidRPr="001857F5">
              <w:rPr>
                <w:rFonts w:cs="Arial"/>
                <w:bCs/>
                <w:sz w:val="22"/>
              </w:rPr>
              <w:t xml:space="preserve">Menace de la faune et flore par le feu de brousse : il est utilisé comme moyen de chasse de petits gibiers, mais surtout pour la culture sur brûlis. Cette pratique détruit toutes les ressources naturelles fauniques et floristiques sur son passage. Cette pratique est la plus destructrice de l’ensemble des habitats fauniques, même des espèces vivant dans le sol.  </w:t>
            </w:r>
          </w:p>
          <w:p w14:paraId="0492FBFD" w14:textId="77777777" w:rsidR="001C2F95" w:rsidRPr="001857F5" w:rsidRDefault="001C2F95" w:rsidP="00971FD2">
            <w:pPr>
              <w:textAlignment w:val="baseline"/>
              <w:rPr>
                <w:rFonts w:cs="Arial"/>
                <w:bCs/>
                <w:sz w:val="22"/>
              </w:rPr>
            </w:pPr>
            <w:r w:rsidRPr="001857F5">
              <w:rPr>
                <w:rFonts w:cs="Arial"/>
                <w:b/>
                <w:i/>
                <w:color w:val="000000"/>
                <w:sz w:val="22"/>
              </w:rPr>
              <w:t xml:space="preserve"> </w:t>
            </w:r>
            <w:r w:rsidRPr="001857F5">
              <w:rPr>
                <w:rFonts w:cs="Arial"/>
                <w:bCs/>
                <w:sz w:val="22"/>
              </w:rPr>
              <w:t xml:space="preserve"> </w:t>
            </w:r>
          </w:p>
          <w:p w14:paraId="15D9BC5B" w14:textId="77777777" w:rsidR="001C2F95" w:rsidRPr="001857F5" w:rsidRDefault="001C2F95" w:rsidP="00971FD2">
            <w:pPr>
              <w:textAlignment w:val="baseline"/>
              <w:rPr>
                <w:rFonts w:cs="Arial"/>
                <w:bCs/>
                <w:sz w:val="22"/>
              </w:rPr>
            </w:pPr>
            <w:r w:rsidRPr="001857F5">
              <w:rPr>
                <w:rFonts w:cs="Arial"/>
                <w:bCs/>
                <w:sz w:val="22"/>
              </w:rPr>
              <w:t>Menaces dues aux activités minières En détruisant l’écosystème forestier, les activités minières artisanales contribuent à la modification du climat et peuvent exposer le sol à l’érosion hydrique. Par ricochet, elles affectent l’habitat faunique mettant en péril certaines espèces protégées.</w:t>
            </w:r>
          </w:p>
          <w:p w14:paraId="5D1B9F50" w14:textId="77777777" w:rsidR="001C2F95" w:rsidRPr="001857F5" w:rsidRDefault="001C2F95" w:rsidP="00971FD2">
            <w:pPr>
              <w:textAlignment w:val="baseline"/>
              <w:rPr>
                <w:rFonts w:cs="Arial"/>
                <w:bCs/>
                <w:sz w:val="22"/>
              </w:rPr>
            </w:pPr>
          </w:p>
          <w:p w14:paraId="07BB9902" w14:textId="77777777" w:rsidR="001C2F95" w:rsidRPr="001857F5" w:rsidRDefault="001C2F95" w:rsidP="00971FD2">
            <w:pPr>
              <w:textAlignment w:val="baseline"/>
              <w:rPr>
                <w:rFonts w:cs="Arial"/>
                <w:bCs/>
                <w:sz w:val="22"/>
              </w:rPr>
            </w:pPr>
            <w:r w:rsidRPr="001857F5">
              <w:rPr>
                <w:rFonts w:cs="Arial"/>
                <w:bCs/>
                <w:sz w:val="22"/>
              </w:rPr>
              <w:t xml:space="preserve">Le prélèvement anarchique d’espèces animales comestibles dans le Kongo Central, surtout dans le territoire de Lukula et celui de Boma se fait par la chasse. La chasse affecte généralement la population des mammifères herbivores. En plus, elle concerne la capture d’oiseaux, des reptiles et des invertébrés comestibles (mollusques, insectes, etc.). Cette situation est accentuée parce que le commerce des gibiers et d’autres animaux est florissant dans cette zone.  </w:t>
            </w:r>
          </w:p>
          <w:p w14:paraId="42E98624" w14:textId="77777777" w:rsidR="001C2F95" w:rsidRPr="001857F5" w:rsidRDefault="001C2F95" w:rsidP="00971FD2">
            <w:pPr>
              <w:textAlignment w:val="baseline"/>
              <w:rPr>
                <w:rFonts w:cs="Arial"/>
                <w:b/>
                <w:i/>
                <w:color w:val="000000"/>
                <w:sz w:val="22"/>
              </w:rPr>
            </w:pPr>
            <w:r w:rsidRPr="001857F5">
              <w:rPr>
                <w:rFonts w:cs="Arial"/>
                <w:b/>
                <w:i/>
                <w:color w:val="000000"/>
                <w:sz w:val="22"/>
              </w:rPr>
              <w:lastRenderedPageBreak/>
              <w:t xml:space="preserve"> Ressources aquatiques (Faune aquatique) </w:t>
            </w:r>
          </w:p>
          <w:p w14:paraId="13CBF78F" w14:textId="77777777" w:rsidR="001C2F95" w:rsidRPr="001857F5" w:rsidRDefault="001C2F95" w:rsidP="00971FD2">
            <w:pPr>
              <w:textAlignment w:val="baseline"/>
              <w:rPr>
                <w:rFonts w:cs="Arial"/>
                <w:bCs/>
                <w:sz w:val="22"/>
              </w:rPr>
            </w:pPr>
            <w:r w:rsidRPr="001857F5">
              <w:rPr>
                <w:rFonts w:cs="Arial"/>
                <w:b/>
                <w:i/>
                <w:color w:val="000000"/>
                <w:sz w:val="22"/>
              </w:rPr>
              <w:t xml:space="preserve"> </w:t>
            </w:r>
            <w:r w:rsidRPr="001857F5">
              <w:rPr>
                <w:rFonts w:cs="Arial"/>
                <w:bCs/>
                <w:sz w:val="22"/>
              </w:rPr>
              <w:t>La Province du Kongo Central regorge d’importantes ressources aquatiques dans ses différentes rivières, fleuve et l’océan qui le borde.  Ces ressources sont exploitées de manière artisanale pour couvrir le besoin en protéines animales. La pisciculture dans cette zone n’est pas assez développée, malgré la présence de la société congolaise de pêche. Les espèces couramment vendues sur le marché dans cette zone sont : le capitaine, le Tilapia, le Silure chat, le Ngassia, le Mayoli, etc.</w:t>
            </w:r>
          </w:p>
          <w:p w14:paraId="12E4F2AF" w14:textId="77777777" w:rsidR="001C2F95" w:rsidRPr="001857F5" w:rsidRDefault="001C2F95" w:rsidP="00971FD2">
            <w:pPr>
              <w:textAlignment w:val="baseline"/>
              <w:rPr>
                <w:rFonts w:cs="Arial"/>
                <w:b/>
                <w:i/>
                <w:color w:val="000000"/>
                <w:sz w:val="22"/>
              </w:rPr>
            </w:pPr>
          </w:p>
          <w:p w14:paraId="743ECCDB" w14:textId="77777777" w:rsidR="001C2F95" w:rsidRPr="001857F5" w:rsidRDefault="001C2F95" w:rsidP="00971FD2">
            <w:pPr>
              <w:textAlignment w:val="baseline"/>
              <w:rPr>
                <w:rFonts w:cs="Arial"/>
                <w:b/>
                <w:i/>
                <w:color w:val="000000"/>
                <w:sz w:val="22"/>
              </w:rPr>
            </w:pPr>
            <w:r w:rsidRPr="001857F5">
              <w:rPr>
                <w:rFonts w:cs="Arial"/>
                <w:b/>
                <w:i/>
                <w:color w:val="000000"/>
                <w:sz w:val="22"/>
              </w:rPr>
              <w:t>Végétation</w:t>
            </w:r>
          </w:p>
          <w:p w14:paraId="2845F0FC" w14:textId="77777777" w:rsidR="001C2F95" w:rsidRPr="001857F5" w:rsidRDefault="001C2F95" w:rsidP="00971FD2">
            <w:pPr>
              <w:textAlignment w:val="baseline"/>
              <w:rPr>
                <w:rFonts w:cs="Arial"/>
                <w:color w:val="000000"/>
                <w:sz w:val="22"/>
              </w:rPr>
            </w:pPr>
            <w:r w:rsidRPr="001857F5">
              <w:rPr>
                <w:rFonts w:cs="Arial"/>
                <w:color w:val="000000"/>
                <w:sz w:val="22"/>
              </w:rPr>
              <w:t>La végétation du Kongo Central comprend trois types de formation naturelle distincts :</w:t>
            </w:r>
          </w:p>
          <w:p w14:paraId="1E3ABE1A" w14:textId="77777777" w:rsidR="001C2F95" w:rsidRPr="001857F5" w:rsidRDefault="001C2F95" w:rsidP="00971FD2">
            <w:pPr>
              <w:textAlignment w:val="baseline"/>
              <w:rPr>
                <w:rFonts w:cs="Arial"/>
                <w:color w:val="000000"/>
                <w:sz w:val="22"/>
              </w:rPr>
            </w:pPr>
          </w:p>
          <w:p w14:paraId="4E9BBB05" w14:textId="77777777" w:rsidR="001C2F95" w:rsidRPr="001857F5" w:rsidRDefault="001C2F95" w:rsidP="002378EA">
            <w:pPr>
              <w:pStyle w:val="Paragraphedeliste"/>
              <w:numPr>
                <w:ilvl w:val="0"/>
                <w:numId w:val="43"/>
              </w:numPr>
              <w:rPr>
                <w:rFonts w:cs="Arial"/>
                <w:sz w:val="22"/>
              </w:rPr>
            </w:pPr>
            <w:r w:rsidRPr="001857F5">
              <w:rPr>
                <w:rFonts w:cs="Arial"/>
                <w:sz w:val="22"/>
              </w:rPr>
              <w:t>L'hinterland côtier ou le littoral, caractérisé par une végétation de mangroves dans les terrains marécageux de l'embouchure du Fleuve Congo et de steppes dans les plateaux dominant la côte de Moanda ;</w:t>
            </w:r>
          </w:p>
          <w:p w14:paraId="476284E9" w14:textId="77777777" w:rsidR="001C2F95" w:rsidRPr="001857F5" w:rsidRDefault="001C2F95" w:rsidP="002378EA">
            <w:pPr>
              <w:pStyle w:val="Paragraphedeliste"/>
              <w:numPr>
                <w:ilvl w:val="0"/>
                <w:numId w:val="43"/>
              </w:numPr>
              <w:rPr>
                <w:rFonts w:cs="Arial"/>
                <w:sz w:val="22"/>
              </w:rPr>
            </w:pPr>
            <w:r w:rsidRPr="001857F5">
              <w:rPr>
                <w:rFonts w:cs="Arial"/>
                <w:sz w:val="22"/>
              </w:rPr>
              <w:t>Le Territoire du Bas-Fleuve recouverte par la forêt sur toute son étendue ;</w:t>
            </w:r>
          </w:p>
          <w:p w14:paraId="2991AD2C" w14:textId="77777777" w:rsidR="001C2F95" w:rsidRPr="001857F5" w:rsidRDefault="001C2F95" w:rsidP="002378EA">
            <w:pPr>
              <w:pStyle w:val="Paragraphedeliste"/>
              <w:numPr>
                <w:ilvl w:val="0"/>
                <w:numId w:val="43"/>
              </w:numPr>
              <w:rPr>
                <w:rFonts w:cs="Arial"/>
                <w:color w:val="000000"/>
                <w:sz w:val="22"/>
              </w:rPr>
            </w:pPr>
            <w:r w:rsidRPr="001857F5">
              <w:rPr>
                <w:rFonts w:cs="Arial"/>
                <w:sz w:val="22"/>
              </w:rPr>
              <w:t xml:space="preserve">Le Territoire des Cataractes et de la Lukaya, lesquels, malgré une forte pluviosité, correspondent à une région de savane entrecoupée par des lambeaux de forêt. </w:t>
            </w:r>
          </w:p>
          <w:p w14:paraId="54AD323F" w14:textId="77777777" w:rsidR="001C2F95" w:rsidRPr="001857F5" w:rsidRDefault="001C2F95" w:rsidP="00971FD2">
            <w:pPr>
              <w:pStyle w:val="Paragraphedeliste"/>
              <w:rPr>
                <w:rFonts w:cs="Arial"/>
                <w:color w:val="000000"/>
                <w:sz w:val="22"/>
              </w:rPr>
            </w:pPr>
          </w:p>
          <w:p w14:paraId="136D7CBF" w14:textId="77777777" w:rsidR="001C2F95" w:rsidRPr="001857F5" w:rsidRDefault="001C2F95" w:rsidP="00971FD2">
            <w:pPr>
              <w:textAlignment w:val="baseline"/>
              <w:rPr>
                <w:rFonts w:cs="Arial"/>
                <w:bCs/>
                <w:sz w:val="22"/>
              </w:rPr>
            </w:pPr>
            <w:r w:rsidRPr="001857F5">
              <w:rPr>
                <w:rFonts w:cs="Arial"/>
                <w:color w:val="000000"/>
                <w:sz w:val="22"/>
              </w:rPr>
              <w:t> </w:t>
            </w:r>
            <w:r w:rsidRPr="001857F5">
              <w:rPr>
                <w:rFonts w:cs="Arial"/>
                <w:bCs/>
                <w:sz w:val="22"/>
              </w:rPr>
              <w:t xml:space="preserve">Menace de la flore par le prélèvement du bois de chauffe La production de charbon de bois et l’exploitation artisanale du bois dans la province par les paysans est dictée par le besoin en : </w:t>
            </w:r>
          </w:p>
          <w:p w14:paraId="6A576767" w14:textId="77777777" w:rsidR="001C2F95" w:rsidRPr="001857F5" w:rsidRDefault="001C2F95" w:rsidP="00971FD2">
            <w:pPr>
              <w:textAlignment w:val="baseline"/>
              <w:rPr>
                <w:rFonts w:cs="Arial"/>
                <w:b/>
                <w:i/>
                <w:color w:val="000000"/>
                <w:sz w:val="22"/>
              </w:rPr>
            </w:pPr>
            <w:r w:rsidRPr="001857F5">
              <w:rPr>
                <w:rFonts w:cs="Arial"/>
                <w:b/>
                <w:i/>
                <w:color w:val="000000"/>
                <w:sz w:val="22"/>
              </w:rPr>
              <w:t xml:space="preserve"> </w:t>
            </w:r>
          </w:p>
          <w:p w14:paraId="3626C737" w14:textId="77777777" w:rsidR="001C2F95" w:rsidRPr="001857F5" w:rsidRDefault="001C2F95" w:rsidP="002378EA">
            <w:pPr>
              <w:pStyle w:val="Paragraphedeliste"/>
              <w:numPr>
                <w:ilvl w:val="0"/>
                <w:numId w:val="43"/>
              </w:numPr>
              <w:textAlignment w:val="baseline"/>
              <w:rPr>
                <w:rFonts w:cs="Arial"/>
                <w:bCs/>
                <w:sz w:val="22"/>
              </w:rPr>
            </w:pPr>
            <w:r w:rsidRPr="001857F5">
              <w:rPr>
                <w:rFonts w:cs="Arial"/>
                <w:bCs/>
                <w:sz w:val="22"/>
              </w:rPr>
              <w:t>bois de chauffe et en charbon de bois pour la cuisson des aliments et le chauffage, sans oublier les sticks de bois pour la construction des cases ; - bois d’œuvre (utilisé principalement pour fabriquer  des planches pour les meubles, chevrons, madriers et poutre pour la construction des maisons, chevrons : les pirogues, les meubles, le mortier, la construction des maisons, etc.) ;</w:t>
            </w:r>
          </w:p>
          <w:p w14:paraId="08B558EF" w14:textId="77777777" w:rsidR="001C2F95" w:rsidRPr="001857F5" w:rsidRDefault="001C2F95" w:rsidP="002378EA">
            <w:pPr>
              <w:pStyle w:val="Paragraphedeliste"/>
              <w:numPr>
                <w:ilvl w:val="0"/>
                <w:numId w:val="43"/>
              </w:numPr>
              <w:textAlignment w:val="baseline"/>
              <w:rPr>
                <w:rFonts w:cs="Arial"/>
                <w:bCs/>
                <w:sz w:val="22"/>
              </w:rPr>
            </w:pPr>
            <w:r w:rsidRPr="001857F5">
              <w:rPr>
                <w:rFonts w:cs="Arial"/>
                <w:bCs/>
                <w:sz w:val="22"/>
              </w:rPr>
              <w:t xml:space="preserve">Les conséquences de ces usages du bois sont la perte de la biodiversité et l’épuisement du stock de la biomasse ligneuse qui se caractérise par la dégradation forestière remarquable en divers lieux. </w:t>
            </w:r>
          </w:p>
          <w:p w14:paraId="30217509" w14:textId="77777777" w:rsidR="001C2F95" w:rsidRPr="001857F5" w:rsidRDefault="001C2F95" w:rsidP="00971FD2">
            <w:pPr>
              <w:textAlignment w:val="baseline"/>
              <w:rPr>
                <w:rFonts w:cs="Arial"/>
                <w:bCs/>
                <w:sz w:val="22"/>
              </w:rPr>
            </w:pPr>
            <w:r w:rsidRPr="001857F5">
              <w:rPr>
                <w:rFonts w:cs="Arial"/>
                <w:bCs/>
                <w:sz w:val="22"/>
              </w:rPr>
              <w:t xml:space="preserve"> </w:t>
            </w:r>
          </w:p>
          <w:p w14:paraId="0E939431" w14:textId="77777777" w:rsidR="001C2F95" w:rsidRDefault="001C2F95" w:rsidP="00971FD2">
            <w:pPr>
              <w:textAlignment w:val="baseline"/>
              <w:rPr>
                <w:rFonts w:cs="Arial"/>
                <w:bCs/>
                <w:sz w:val="22"/>
              </w:rPr>
            </w:pPr>
            <w:r w:rsidRPr="001857F5">
              <w:rPr>
                <w:rFonts w:cs="Arial"/>
                <w:bCs/>
                <w:sz w:val="22"/>
              </w:rPr>
              <w:t>Outre le prélèvement anarchique du bois par les artisanaux, l’occasion faisant le larron, ces exploitants artisanaux qui œuvrent exclusivement dans les forêts, en profitent pour faire la chasse, la cueillette, les pièges aux gibiers et le ramassage pour se nourrir pendant les heures des travaux.</w:t>
            </w:r>
          </w:p>
          <w:p w14:paraId="4EA8DEF0" w14:textId="77777777" w:rsidR="00A251AF" w:rsidRPr="001857F5" w:rsidRDefault="00A251AF" w:rsidP="00971FD2">
            <w:pPr>
              <w:textAlignment w:val="baseline"/>
              <w:rPr>
                <w:rFonts w:cs="Arial"/>
                <w:color w:val="000000"/>
                <w:sz w:val="22"/>
              </w:rPr>
            </w:pPr>
            <w:r>
              <w:rPr>
                <w:rFonts w:cs="Arial"/>
                <w:bCs/>
                <w:sz w:val="22"/>
              </w:rPr>
              <w:t xml:space="preserve">Le PNDA devra s’assurer qu’aucun espace forestier ne soit converti </w:t>
            </w:r>
            <w:r w:rsidR="00D51E1B">
              <w:rPr>
                <w:rFonts w:cs="Arial"/>
                <w:bCs/>
                <w:sz w:val="22"/>
              </w:rPr>
              <w:t>en espace agricole.</w:t>
            </w:r>
          </w:p>
          <w:p w14:paraId="3F7D6D70" w14:textId="77777777" w:rsidR="001C2F95" w:rsidRDefault="001C2F95" w:rsidP="00971FD2">
            <w:pPr>
              <w:textAlignment w:val="baseline"/>
              <w:rPr>
                <w:rFonts w:cs="Arial"/>
                <w:i/>
                <w:color w:val="000000"/>
                <w:sz w:val="22"/>
              </w:rPr>
            </w:pPr>
            <w:r w:rsidRPr="001857F5">
              <w:rPr>
                <w:rFonts w:cs="Arial"/>
                <w:i/>
                <w:color w:val="000000"/>
                <w:sz w:val="22"/>
              </w:rPr>
              <w:t>Source : Centre d’analyse des indicateurs du Développement (CAID)</w:t>
            </w:r>
          </w:p>
          <w:p w14:paraId="49DC29C5" w14:textId="77777777" w:rsidR="00EB7F94" w:rsidRPr="001857F5" w:rsidRDefault="00EB7F94" w:rsidP="00971FD2">
            <w:pPr>
              <w:textAlignment w:val="baseline"/>
              <w:rPr>
                <w:rFonts w:cs="Arial"/>
                <w:i/>
                <w:color w:val="000000"/>
                <w:sz w:val="22"/>
              </w:rPr>
            </w:pPr>
          </w:p>
        </w:tc>
      </w:tr>
      <w:tr w:rsidR="001C2F95" w:rsidRPr="001857F5" w14:paraId="75C07AAB"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13AECC8" w14:textId="77777777" w:rsidR="001C2F95" w:rsidRPr="001857F5" w:rsidRDefault="001C2F95" w:rsidP="00971FD2">
            <w:pPr>
              <w:rPr>
                <w:rFonts w:eastAsia="Calibri" w:cs="Arial"/>
                <w:b/>
                <w:sz w:val="22"/>
              </w:rPr>
            </w:pPr>
            <w:r w:rsidRPr="001857F5">
              <w:rPr>
                <w:rFonts w:eastAsia="Calibri" w:cs="Arial"/>
                <w:b/>
                <w:sz w:val="22"/>
              </w:rPr>
              <w:lastRenderedPageBreak/>
              <w:t>Populations</w:t>
            </w:r>
          </w:p>
        </w:tc>
        <w:tc>
          <w:tcPr>
            <w:tcW w:w="11287" w:type="dxa"/>
            <w:tcBorders>
              <w:top w:val="single" w:sz="4" w:space="0" w:color="000001"/>
              <w:left w:val="single" w:sz="4" w:space="0" w:color="000001"/>
              <w:bottom w:val="single" w:sz="4" w:space="0" w:color="000001"/>
              <w:right w:val="single" w:sz="4" w:space="0" w:color="000001"/>
            </w:tcBorders>
          </w:tcPr>
          <w:p w14:paraId="2C9A9D2F" w14:textId="77777777" w:rsidR="001C2F95" w:rsidRPr="001857F5" w:rsidRDefault="001C2F95" w:rsidP="00971FD2">
            <w:pPr>
              <w:textAlignment w:val="baseline"/>
              <w:rPr>
                <w:rFonts w:cs="Arial"/>
                <w:b/>
                <w:i/>
                <w:color w:val="000000"/>
                <w:sz w:val="22"/>
              </w:rPr>
            </w:pPr>
            <w:r w:rsidRPr="001857F5">
              <w:rPr>
                <w:rFonts w:cs="Arial"/>
                <w:b/>
                <w:i/>
                <w:color w:val="000000"/>
                <w:sz w:val="22"/>
              </w:rPr>
              <w:t xml:space="preserve">Caractéristiques démographiques </w:t>
            </w:r>
          </w:p>
          <w:p w14:paraId="428CD676" w14:textId="77777777" w:rsidR="001C2F95" w:rsidRPr="001857F5" w:rsidRDefault="001C2F95" w:rsidP="00971FD2">
            <w:pPr>
              <w:textAlignment w:val="baseline"/>
              <w:rPr>
                <w:rFonts w:cs="Arial"/>
                <w:color w:val="000000"/>
                <w:sz w:val="22"/>
              </w:rPr>
            </w:pPr>
            <w:r w:rsidRPr="001857F5">
              <w:rPr>
                <w:rFonts w:cs="Arial"/>
                <w:color w:val="000000"/>
                <w:sz w:val="22"/>
              </w:rPr>
              <w:t>La population du Kongo Central est estimée à 5 575 000 habitants en 2016 dont 2 508 750 Hommes (45 %) et 3 066 250 Femmes (55 %) selon les projections de l’Institut National de la Statistique (INS) en 2015. Cette population est relativement jeune (53 %).  Sur le plan social, la situation des ménages se présente comme suit : 44,9 % mariés, 16 % en union libre, 4,8 % divorcés, 9 % veufs/veuves et 25,3 % célibataires selon le rapport de l’Enquête 1-2-3, 2012 de l’INS/RDC.</w:t>
            </w:r>
          </w:p>
          <w:p w14:paraId="300C4429" w14:textId="77777777" w:rsidR="001C2F95" w:rsidRPr="001857F5" w:rsidRDefault="001C2F95" w:rsidP="00971FD2">
            <w:pPr>
              <w:textAlignment w:val="baseline"/>
              <w:rPr>
                <w:rFonts w:cs="Arial"/>
                <w:color w:val="000000"/>
                <w:sz w:val="22"/>
              </w:rPr>
            </w:pPr>
            <w:r w:rsidRPr="001857F5">
              <w:rPr>
                <w:rFonts w:cs="Arial"/>
                <w:color w:val="000000"/>
                <w:sz w:val="22"/>
              </w:rPr>
              <w:t xml:space="preserve"> </w:t>
            </w:r>
          </w:p>
          <w:p w14:paraId="619FA3D2" w14:textId="77777777" w:rsidR="001C2F95" w:rsidRPr="001857F5" w:rsidRDefault="001C2F95" w:rsidP="00971FD2">
            <w:pPr>
              <w:textAlignment w:val="baseline"/>
              <w:rPr>
                <w:rFonts w:cs="Arial"/>
                <w:color w:val="000000"/>
                <w:sz w:val="22"/>
              </w:rPr>
            </w:pPr>
            <w:r w:rsidRPr="001857F5">
              <w:rPr>
                <w:rFonts w:cs="Arial"/>
                <w:color w:val="000000"/>
                <w:sz w:val="22"/>
              </w:rPr>
              <w:t xml:space="preserve">La population du Kongo Central venant de tous les coins du Congo, elle parle plusieurs langues. Les langues les plus importantes reflètent la composition de la population. Étant donné que la majorité de la population descend directement du </w:t>
            </w:r>
            <w:hyperlink r:id="rId32" w:history="1">
              <w:r w:rsidRPr="001857F5">
                <w:rPr>
                  <w:rFonts w:cs="Arial"/>
                  <w:color w:val="000000"/>
                  <w:sz w:val="22"/>
                </w:rPr>
                <w:t>Royaume Kongo</w:t>
              </w:r>
            </w:hyperlink>
            <w:r w:rsidRPr="001857F5">
              <w:rPr>
                <w:rFonts w:cs="Arial"/>
                <w:color w:val="000000"/>
                <w:sz w:val="22"/>
              </w:rPr>
              <w:t xml:space="preserve">, celle-ci parle majoritairement le </w:t>
            </w:r>
            <w:hyperlink r:id="rId33" w:history="1">
              <w:r w:rsidRPr="001857F5">
                <w:rPr>
                  <w:rFonts w:cs="Arial"/>
                  <w:color w:val="000000"/>
                  <w:sz w:val="22"/>
                </w:rPr>
                <w:t>Kikongo</w:t>
              </w:r>
            </w:hyperlink>
            <w:r w:rsidRPr="001857F5">
              <w:rPr>
                <w:rFonts w:cs="Arial"/>
                <w:color w:val="000000"/>
                <w:sz w:val="22"/>
              </w:rPr>
              <w:t xml:space="preserve"> ou ses dialectes (kiyombe, kimanianga, kindibu, kintandu, kilemfu, etc.). Le Kikongo est la langue principale de la culture populaire, de la musique, des églises, du théâtre populaire, etc. Le </w:t>
            </w:r>
            <w:hyperlink r:id="rId34" w:history="1">
              <w:r w:rsidRPr="001857F5">
                <w:rPr>
                  <w:rFonts w:cs="Arial"/>
                  <w:color w:val="000000"/>
                  <w:sz w:val="22"/>
                </w:rPr>
                <w:t>Lingala</w:t>
              </w:r>
            </w:hyperlink>
            <w:r w:rsidRPr="001857F5">
              <w:rPr>
                <w:rFonts w:cs="Arial"/>
                <w:color w:val="000000"/>
                <w:sz w:val="22"/>
              </w:rPr>
              <w:t xml:space="preserve"> reste aussi une des langues que l'on parle dans le Kongo Central.</w:t>
            </w:r>
          </w:p>
          <w:p w14:paraId="445CA1B4" w14:textId="77777777" w:rsidR="001C2F95" w:rsidRPr="001857F5" w:rsidRDefault="001C2F95" w:rsidP="00971FD2">
            <w:pPr>
              <w:textAlignment w:val="baseline"/>
              <w:rPr>
                <w:rFonts w:cs="Arial"/>
                <w:color w:val="000000"/>
                <w:sz w:val="22"/>
              </w:rPr>
            </w:pPr>
          </w:p>
          <w:p w14:paraId="30B45E3E" w14:textId="77777777" w:rsidR="001C2F95" w:rsidRPr="001857F5" w:rsidRDefault="001C2F95" w:rsidP="00971FD2">
            <w:pPr>
              <w:textAlignment w:val="baseline"/>
              <w:rPr>
                <w:rFonts w:cs="Arial"/>
                <w:color w:val="000000"/>
                <w:sz w:val="22"/>
              </w:rPr>
            </w:pPr>
            <w:r w:rsidRPr="001857F5">
              <w:rPr>
                <w:rFonts w:cs="Arial"/>
                <w:color w:val="000000"/>
                <w:sz w:val="22"/>
              </w:rPr>
              <w:t>Les Ethnies dominantes (autochtones) des Territoires qui composent la Province du Kongo Central sont : les Yombe, les Tandu, les Ndibu, le Nianga, etc.</w:t>
            </w:r>
          </w:p>
          <w:p w14:paraId="129040ED" w14:textId="77777777" w:rsidR="001C2F95" w:rsidRPr="001857F5" w:rsidRDefault="001C2F95" w:rsidP="00971FD2">
            <w:pPr>
              <w:textAlignment w:val="baseline"/>
              <w:rPr>
                <w:rFonts w:cs="Arial"/>
                <w:color w:val="000000"/>
                <w:sz w:val="22"/>
              </w:rPr>
            </w:pPr>
          </w:p>
          <w:p w14:paraId="431773C1" w14:textId="77777777" w:rsidR="001C2F95" w:rsidRPr="001857F5" w:rsidRDefault="001C2F95" w:rsidP="00971FD2">
            <w:pPr>
              <w:textAlignment w:val="baseline"/>
              <w:rPr>
                <w:rFonts w:cs="Arial"/>
                <w:color w:val="000000"/>
                <w:sz w:val="22"/>
              </w:rPr>
            </w:pPr>
            <w:r w:rsidRPr="001857F5">
              <w:rPr>
                <w:rFonts w:cs="Arial"/>
                <w:color w:val="000000"/>
                <w:sz w:val="22"/>
              </w:rPr>
              <w:t>Il sied de noter que les peuples autochtones ne sont pas signalés dans la Province du Kongo Central.</w:t>
            </w:r>
          </w:p>
        </w:tc>
      </w:tr>
      <w:tr w:rsidR="001C2F95" w:rsidRPr="001857F5" w14:paraId="0973EAB6"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42EDDDD" w14:textId="77777777" w:rsidR="001C2F95" w:rsidRPr="001857F5" w:rsidRDefault="001C2F95" w:rsidP="00E26735">
            <w:pPr>
              <w:jc w:val="left"/>
              <w:rPr>
                <w:rFonts w:eastAsia="Calibri" w:cs="Arial"/>
                <w:b/>
                <w:sz w:val="22"/>
              </w:rPr>
            </w:pPr>
            <w:r w:rsidRPr="001857F5">
              <w:rPr>
                <w:rFonts w:eastAsia="Calibri" w:cs="Arial"/>
                <w:b/>
                <w:sz w:val="22"/>
              </w:rPr>
              <w:t>Violences Basées sur le Genre (VBG)</w:t>
            </w:r>
          </w:p>
        </w:tc>
        <w:tc>
          <w:tcPr>
            <w:tcW w:w="11287" w:type="dxa"/>
            <w:tcBorders>
              <w:top w:val="single" w:sz="4" w:space="0" w:color="000001"/>
              <w:left w:val="single" w:sz="4" w:space="0" w:color="000001"/>
              <w:bottom w:val="single" w:sz="4" w:space="0" w:color="000001"/>
              <w:right w:val="single" w:sz="4" w:space="0" w:color="000001"/>
            </w:tcBorders>
          </w:tcPr>
          <w:p w14:paraId="45026F48" w14:textId="77777777" w:rsidR="001C2F95" w:rsidRPr="001857F5" w:rsidRDefault="001C2F95" w:rsidP="00971FD2">
            <w:pPr>
              <w:textAlignment w:val="baseline"/>
              <w:rPr>
                <w:rFonts w:cs="Arial"/>
                <w:b/>
                <w:i/>
                <w:color w:val="000000"/>
                <w:sz w:val="22"/>
              </w:rPr>
            </w:pPr>
            <w:r w:rsidRPr="001857F5">
              <w:rPr>
                <w:rFonts w:cs="Arial"/>
                <w:color w:val="000000"/>
                <w:sz w:val="22"/>
              </w:rPr>
              <w:t xml:space="preserve">En ce qui concerne les violences physiques </w:t>
            </w:r>
            <w:r w:rsidR="00971FD2" w:rsidRPr="001857F5">
              <w:rPr>
                <w:rFonts w:cs="Arial"/>
                <w:b/>
                <w:i/>
                <w:color w:val="000000"/>
                <w:sz w:val="22"/>
              </w:rPr>
              <w:t xml:space="preserve">l’Enquête Démographique et Sanitaire de la RDC (2013-2014) indique que </w:t>
            </w:r>
            <w:r w:rsidRPr="001857F5">
              <w:rPr>
                <w:rFonts w:cs="Arial"/>
                <w:color w:val="000000"/>
                <w:sz w:val="22"/>
              </w:rPr>
              <w:t xml:space="preserve">le Kongo Central enregistre des taux relativement plus faibles qu’au niveau national, respectivement 47 % et 52 %.  En en ce qui concerne les violences sexuelles, </w:t>
            </w:r>
            <w:r w:rsidR="00971FD2" w:rsidRPr="001857F5">
              <w:rPr>
                <w:rFonts w:cs="Arial"/>
                <w:b/>
                <w:i/>
                <w:color w:val="000000"/>
                <w:sz w:val="22"/>
              </w:rPr>
              <w:t>l’EDS_RDC 2013-2114 a montré que</w:t>
            </w:r>
            <w:r w:rsidR="00971FD2" w:rsidRPr="001857F5">
              <w:rPr>
                <w:rFonts w:cs="Arial"/>
                <w:color w:val="000000"/>
                <w:sz w:val="22"/>
              </w:rPr>
              <w:t xml:space="preserve"> </w:t>
            </w:r>
            <w:r w:rsidRPr="001857F5">
              <w:rPr>
                <w:rFonts w:cs="Arial"/>
                <w:color w:val="000000"/>
                <w:sz w:val="22"/>
              </w:rPr>
              <w:t xml:space="preserve">le taux au Kongo Central est de 11 % plus bas que la moyenne nationale, respectivement 16 % et 27 %. Quant aux violences physiques durant la grossesse, 6,3 % des femmes en ont été victimes. Au Kongo Central on note les violences des jeunes gens contre les jeunes garçons surtout dans la Zone de Santé de Nzanza. Les jeunes adolescents expérimentent les actes sexuels auprès des garçons dont l’âge varie entre 7 et 10. Cette Zone de Santé note beaucoup de délinquants </w:t>
            </w:r>
            <w:r w:rsidR="00971FD2" w:rsidRPr="001857F5">
              <w:rPr>
                <w:rFonts w:cs="Arial"/>
                <w:color w:val="000000"/>
                <w:sz w:val="22"/>
              </w:rPr>
              <w:t>juvéniles</w:t>
            </w:r>
            <w:r w:rsidRPr="001857F5">
              <w:rPr>
                <w:rFonts w:cs="Arial"/>
                <w:color w:val="000000"/>
                <w:sz w:val="22"/>
              </w:rPr>
              <w:t xml:space="preserve"> qui se droguent et créent de l’insécurité. Les viols et violences physiques y sont souvent enregistrés.</w:t>
            </w:r>
            <w:r w:rsidR="00971FD2" w:rsidRPr="001857F5">
              <w:rPr>
                <w:rFonts w:cs="Arial"/>
                <w:color w:val="000000"/>
                <w:sz w:val="22"/>
              </w:rPr>
              <w:t xml:space="preserve"> Référence rapport de l’ONG BDOM BOMA, financement du Fond Mondial NMF1, 2015-2017. Ce rapport renseigne aussi des viols anaux des jeunes délinquants dont l’âge varie entre 16 et 18 ans à l’égard des enfants de 6 à 8 ans.</w:t>
            </w:r>
          </w:p>
        </w:tc>
      </w:tr>
      <w:tr w:rsidR="001C2F95" w:rsidRPr="001857F5" w14:paraId="30D35548"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EFFFB85" w14:textId="77777777" w:rsidR="001C2F95" w:rsidRPr="001857F5" w:rsidRDefault="001C2F95" w:rsidP="00971FD2">
            <w:pPr>
              <w:rPr>
                <w:rFonts w:eastAsia="Calibri" w:cs="Arial"/>
                <w:b/>
                <w:sz w:val="22"/>
              </w:rPr>
            </w:pPr>
            <w:r w:rsidRPr="001857F5">
              <w:rPr>
                <w:rFonts w:eastAsia="Calibri" w:cs="Arial"/>
                <w:b/>
                <w:sz w:val="22"/>
              </w:rPr>
              <w:t>Activités principales de la population</w:t>
            </w:r>
          </w:p>
        </w:tc>
        <w:tc>
          <w:tcPr>
            <w:tcW w:w="11287" w:type="dxa"/>
            <w:tcBorders>
              <w:top w:val="single" w:sz="4" w:space="0" w:color="000001"/>
              <w:left w:val="single" w:sz="4" w:space="0" w:color="000001"/>
              <w:bottom w:val="single" w:sz="4" w:space="0" w:color="000001"/>
              <w:right w:val="single" w:sz="4" w:space="0" w:color="000001"/>
            </w:tcBorders>
          </w:tcPr>
          <w:p w14:paraId="7D60E804" w14:textId="77777777" w:rsidR="001C2F95" w:rsidRPr="00730A4A" w:rsidRDefault="001C2F95" w:rsidP="00971FD2">
            <w:pPr>
              <w:textAlignment w:val="baseline"/>
              <w:rPr>
                <w:rFonts w:cs="Arial"/>
                <w:color w:val="000000"/>
                <w:sz w:val="22"/>
              </w:rPr>
            </w:pPr>
            <w:r w:rsidRPr="00730A4A">
              <w:rPr>
                <w:rFonts w:cs="Arial"/>
                <w:color w:val="000000"/>
                <w:sz w:val="22"/>
              </w:rPr>
              <w:t>Les activités principales sont :</w:t>
            </w:r>
          </w:p>
          <w:p w14:paraId="09B1E555" w14:textId="77777777" w:rsidR="001C2F95" w:rsidRPr="001857F5" w:rsidRDefault="001C2F95" w:rsidP="00971FD2">
            <w:pPr>
              <w:textAlignment w:val="baseline"/>
              <w:rPr>
                <w:rFonts w:cs="Arial"/>
                <w:color w:val="333333"/>
                <w:sz w:val="22"/>
              </w:rPr>
            </w:pPr>
          </w:p>
          <w:p w14:paraId="08B7955F" w14:textId="77777777" w:rsidR="001C2F95" w:rsidRPr="001857F5" w:rsidRDefault="001C2F95" w:rsidP="002378EA">
            <w:pPr>
              <w:numPr>
                <w:ilvl w:val="0"/>
                <w:numId w:val="34"/>
              </w:numPr>
              <w:ind w:left="479" w:hanging="270"/>
              <w:textAlignment w:val="baseline"/>
              <w:rPr>
                <w:rFonts w:cs="Arial"/>
                <w:color w:val="000000"/>
                <w:sz w:val="22"/>
              </w:rPr>
            </w:pPr>
            <w:r w:rsidRPr="001857F5">
              <w:rPr>
                <w:rFonts w:cs="Arial"/>
                <w:color w:val="000000"/>
                <w:sz w:val="22"/>
              </w:rPr>
              <w:t>L’agriculture ;</w:t>
            </w:r>
          </w:p>
          <w:p w14:paraId="05EA066D" w14:textId="77777777" w:rsidR="001C2F95" w:rsidRPr="001857F5" w:rsidRDefault="001C2F95" w:rsidP="002378EA">
            <w:pPr>
              <w:numPr>
                <w:ilvl w:val="0"/>
                <w:numId w:val="34"/>
              </w:numPr>
              <w:ind w:left="479" w:hanging="270"/>
              <w:textAlignment w:val="baseline"/>
              <w:rPr>
                <w:rFonts w:cs="Arial"/>
                <w:color w:val="000000"/>
                <w:sz w:val="22"/>
              </w:rPr>
            </w:pPr>
            <w:r w:rsidRPr="001857F5">
              <w:rPr>
                <w:rFonts w:cs="Arial"/>
                <w:color w:val="000000"/>
                <w:sz w:val="22"/>
              </w:rPr>
              <w:lastRenderedPageBreak/>
              <w:t>La pêche ;</w:t>
            </w:r>
          </w:p>
          <w:p w14:paraId="7E053DD0" w14:textId="77777777" w:rsidR="001C2F95" w:rsidRPr="001857F5" w:rsidRDefault="001C2F95" w:rsidP="002378EA">
            <w:pPr>
              <w:numPr>
                <w:ilvl w:val="0"/>
                <w:numId w:val="34"/>
              </w:numPr>
              <w:ind w:left="479" w:hanging="270"/>
              <w:textAlignment w:val="baseline"/>
              <w:rPr>
                <w:rFonts w:cs="Arial"/>
                <w:color w:val="000000"/>
                <w:sz w:val="22"/>
              </w:rPr>
            </w:pPr>
            <w:r w:rsidRPr="001857F5">
              <w:rPr>
                <w:rFonts w:cs="Arial"/>
                <w:color w:val="000000"/>
                <w:sz w:val="22"/>
              </w:rPr>
              <w:t>L’élevage ;</w:t>
            </w:r>
          </w:p>
          <w:p w14:paraId="2A2159F0" w14:textId="77777777" w:rsidR="001C2F95" w:rsidRPr="001857F5" w:rsidRDefault="001C2F95" w:rsidP="002378EA">
            <w:pPr>
              <w:numPr>
                <w:ilvl w:val="0"/>
                <w:numId w:val="34"/>
              </w:numPr>
              <w:ind w:left="479" w:hanging="270"/>
              <w:textAlignment w:val="baseline"/>
              <w:rPr>
                <w:rFonts w:cs="Arial"/>
                <w:color w:val="000000"/>
                <w:sz w:val="22"/>
              </w:rPr>
            </w:pPr>
            <w:r w:rsidRPr="001857F5">
              <w:rPr>
                <w:rFonts w:cs="Arial"/>
                <w:color w:val="000000"/>
                <w:sz w:val="22"/>
              </w:rPr>
              <w:t>Le petit commerce.</w:t>
            </w:r>
          </w:p>
          <w:p w14:paraId="5C840BF3" w14:textId="77777777" w:rsidR="001C2F95" w:rsidRPr="001857F5" w:rsidRDefault="001C2F95" w:rsidP="00971FD2">
            <w:pPr>
              <w:textAlignment w:val="baseline"/>
              <w:rPr>
                <w:rFonts w:cs="Arial"/>
                <w:color w:val="000000"/>
                <w:sz w:val="22"/>
              </w:rPr>
            </w:pPr>
          </w:p>
          <w:p w14:paraId="50CB5938" w14:textId="77777777" w:rsidR="001C2F95" w:rsidRPr="001857F5" w:rsidRDefault="001C2F95" w:rsidP="00971FD2">
            <w:pPr>
              <w:textAlignment w:val="baseline"/>
              <w:rPr>
                <w:rFonts w:cs="Arial"/>
                <w:color w:val="000000"/>
                <w:sz w:val="22"/>
              </w:rPr>
            </w:pPr>
            <w:r w:rsidRPr="001857F5">
              <w:rPr>
                <w:rFonts w:cs="Arial"/>
                <w:color w:val="000000"/>
                <w:sz w:val="22"/>
              </w:rPr>
              <w:t xml:space="preserve">En effet, quoi qu'étant la plus petite Province du pays, la Province du Kongo Central dispose de 500 000 ha mécanisables, soit 100 000 ha/an si on respecte la période normale de 5 années de jachère. Ce chiffre monte à environ 250 000 ha/an si on amende le sol avec une jachère améliorante, telle que la culture des légumineuses. Aujourd'hui, moins de 1 % seulement de ces terres mécanisables sont exploitées. </w:t>
            </w:r>
          </w:p>
          <w:p w14:paraId="242AA16C" w14:textId="77777777" w:rsidR="001C2F95" w:rsidRPr="001857F5" w:rsidRDefault="001C2F95" w:rsidP="00971FD2">
            <w:pPr>
              <w:textAlignment w:val="baseline"/>
              <w:rPr>
                <w:rFonts w:cs="Arial"/>
                <w:color w:val="000000"/>
                <w:sz w:val="22"/>
              </w:rPr>
            </w:pPr>
          </w:p>
          <w:p w14:paraId="127F6B2D" w14:textId="77777777" w:rsidR="001C2F95" w:rsidRPr="001857F5" w:rsidRDefault="001C2F95" w:rsidP="00971FD2">
            <w:pPr>
              <w:textAlignment w:val="baseline"/>
              <w:rPr>
                <w:rFonts w:cs="Arial"/>
                <w:color w:val="000000"/>
                <w:sz w:val="22"/>
              </w:rPr>
            </w:pPr>
            <w:r w:rsidRPr="001857F5">
              <w:rPr>
                <w:rFonts w:cs="Arial"/>
                <w:color w:val="000000"/>
                <w:sz w:val="22"/>
              </w:rPr>
              <w:t>La Province du Kongo Central dispose de vastes étendues de terres propices à l'élevage du gros bétail et de très nombreux kraals abandonnés dont les activités pourraient aisément être relancées.)</w:t>
            </w:r>
          </w:p>
          <w:p w14:paraId="3D3F6701" w14:textId="77777777" w:rsidR="001C2F95" w:rsidRPr="001857F5" w:rsidRDefault="001C2F95" w:rsidP="00971FD2">
            <w:pPr>
              <w:textAlignment w:val="baseline"/>
              <w:rPr>
                <w:rFonts w:cs="Arial"/>
                <w:b/>
                <w:i/>
                <w:color w:val="000000"/>
                <w:sz w:val="22"/>
              </w:rPr>
            </w:pPr>
          </w:p>
          <w:p w14:paraId="445F5A0B" w14:textId="77777777" w:rsidR="001C2F95" w:rsidRPr="001857F5" w:rsidRDefault="001C2F95" w:rsidP="00971FD2">
            <w:pPr>
              <w:textAlignment w:val="baseline"/>
              <w:rPr>
                <w:rFonts w:cs="Arial"/>
                <w:b/>
                <w:i/>
                <w:color w:val="000000"/>
                <w:sz w:val="22"/>
              </w:rPr>
            </w:pPr>
            <w:r w:rsidRPr="001857F5">
              <w:rPr>
                <w:rFonts w:cs="Arial"/>
                <w:b/>
                <w:i/>
                <w:color w:val="000000"/>
                <w:sz w:val="22"/>
              </w:rPr>
              <w:t>Production industrielle du poisson :</w:t>
            </w:r>
          </w:p>
          <w:p w14:paraId="190E392E" w14:textId="77777777" w:rsidR="001C2F95" w:rsidRPr="001857F5" w:rsidRDefault="001C2F95" w:rsidP="00971FD2">
            <w:pPr>
              <w:textAlignment w:val="baseline"/>
              <w:rPr>
                <w:rFonts w:cs="Arial"/>
                <w:color w:val="000000"/>
                <w:sz w:val="22"/>
              </w:rPr>
            </w:pPr>
            <w:r w:rsidRPr="001857F5">
              <w:rPr>
                <w:rFonts w:cs="Arial"/>
                <w:color w:val="000000"/>
                <w:sz w:val="22"/>
              </w:rPr>
              <w:t>Dans ce domaine, il s'agit notamment :</w:t>
            </w:r>
          </w:p>
          <w:p w14:paraId="51B463BD" w14:textId="77777777" w:rsidR="001C2F95" w:rsidRPr="001857F5" w:rsidRDefault="001C2F95" w:rsidP="002378EA">
            <w:pPr>
              <w:pStyle w:val="Paragraphedeliste"/>
              <w:numPr>
                <w:ilvl w:val="1"/>
                <w:numId w:val="44"/>
              </w:numPr>
              <w:ind w:left="486" w:hanging="283"/>
              <w:textAlignment w:val="baseline"/>
              <w:rPr>
                <w:rFonts w:cs="Arial"/>
                <w:color w:val="000000"/>
                <w:sz w:val="22"/>
              </w:rPr>
            </w:pPr>
            <w:r w:rsidRPr="001857F5">
              <w:rPr>
                <w:rFonts w:cs="Arial"/>
                <w:color w:val="000000"/>
                <w:sz w:val="22"/>
              </w:rPr>
              <w:t>de la pêche maritime dans les eaux territoriales (côte océanique de Muanda) et fluviales (Boma, Inga, Luozi et Mpioka) qui sont très poissonneuses, mais aujourd'hui très peu exploitées ;</w:t>
            </w:r>
          </w:p>
          <w:p w14:paraId="1063352F" w14:textId="77777777" w:rsidR="001C2F95" w:rsidRPr="001857F5" w:rsidRDefault="001C2F95" w:rsidP="002378EA">
            <w:pPr>
              <w:pStyle w:val="Paragraphedeliste"/>
              <w:numPr>
                <w:ilvl w:val="1"/>
                <w:numId w:val="44"/>
              </w:numPr>
              <w:ind w:left="486" w:hanging="283"/>
              <w:textAlignment w:val="baseline"/>
              <w:rPr>
                <w:rFonts w:cs="Arial"/>
                <w:color w:val="000000"/>
                <w:sz w:val="22"/>
              </w:rPr>
            </w:pPr>
            <w:r w:rsidRPr="001857F5">
              <w:rPr>
                <w:rFonts w:cs="Arial"/>
                <w:color w:val="000000"/>
                <w:sz w:val="22"/>
              </w:rPr>
              <w:t xml:space="preserve">du rempoissonnement de nombreux étangs naturels dont regorge la Province (particulièrement dans le Territoire de Songololo) pour une exploitation industrielle et intensive ; </w:t>
            </w:r>
          </w:p>
          <w:p w14:paraId="48FC18A7" w14:textId="77777777" w:rsidR="001C2F95" w:rsidRPr="001857F5" w:rsidRDefault="001C2F95" w:rsidP="002378EA">
            <w:pPr>
              <w:pStyle w:val="Paragraphedeliste"/>
              <w:numPr>
                <w:ilvl w:val="1"/>
                <w:numId w:val="44"/>
              </w:numPr>
              <w:ind w:left="486" w:hanging="284"/>
              <w:textAlignment w:val="baseline"/>
              <w:rPr>
                <w:rFonts w:cs="Arial"/>
                <w:color w:val="000000"/>
                <w:sz w:val="22"/>
              </w:rPr>
            </w:pPr>
            <w:r w:rsidRPr="001857F5">
              <w:rPr>
                <w:rFonts w:cs="Arial"/>
                <w:color w:val="000000"/>
                <w:sz w:val="22"/>
              </w:rPr>
              <w:t>de l'aquaculture pour la production industrielle et intensive du poisson.</w:t>
            </w:r>
          </w:p>
          <w:p w14:paraId="0A4A8A93" w14:textId="77777777" w:rsidR="001C2F95" w:rsidRPr="001857F5" w:rsidRDefault="001C2F95" w:rsidP="00971FD2">
            <w:pPr>
              <w:rPr>
                <w:rFonts w:cs="Arial"/>
                <w:color w:val="000000"/>
                <w:sz w:val="22"/>
                <w:shd w:val="clear" w:color="auto" w:fill="FFFFFF"/>
              </w:rPr>
            </w:pPr>
          </w:p>
          <w:p w14:paraId="68B2DCF3" w14:textId="77777777" w:rsidR="001C2F95" w:rsidRPr="001857F5" w:rsidRDefault="001C2F95" w:rsidP="00971FD2">
            <w:pPr>
              <w:textAlignment w:val="baseline"/>
              <w:rPr>
                <w:rFonts w:cs="Arial"/>
                <w:color w:val="000000"/>
                <w:sz w:val="22"/>
              </w:rPr>
            </w:pPr>
            <w:r w:rsidRPr="001857F5">
              <w:rPr>
                <w:rFonts w:cs="Arial"/>
                <w:color w:val="000000"/>
                <w:sz w:val="22"/>
              </w:rPr>
              <w:t xml:space="preserve">Comme dit plus haut, la Province dispose d'un énorme potentiel de production hydro-électrique. Cependant sa desserte actuelle n'atteint que 6,2 % de l'ensemble de sa population. </w:t>
            </w:r>
          </w:p>
        </w:tc>
      </w:tr>
      <w:tr w:rsidR="001C2F95" w:rsidRPr="001857F5" w14:paraId="18439505"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67B806D" w14:textId="77777777" w:rsidR="001C2F95" w:rsidRPr="001857F5" w:rsidRDefault="001C2F95" w:rsidP="00971FD2">
            <w:pPr>
              <w:rPr>
                <w:rFonts w:eastAsia="Calibri" w:cs="Arial"/>
                <w:b/>
                <w:sz w:val="22"/>
              </w:rPr>
            </w:pPr>
            <w:r w:rsidRPr="001857F5">
              <w:rPr>
                <w:rFonts w:eastAsia="Calibri" w:cs="Arial"/>
                <w:b/>
                <w:sz w:val="22"/>
              </w:rPr>
              <w:lastRenderedPageBreak/>
              <w:t>Économie</w:t>
            </w:r>
          </w:p>
        </w:tc>
        <w:tc>
          <w:tcPr>
            <w:tcW w:w="11287" w:type="dxa"/>
            <w:tcBorders>
              <w:top w:val="single" w:sz="4" w:space="0" w:color="000001"/>
              <w:left w:val="single" w:sz="4" w:space="0" w:color="000001"/>
              <w:bottom w:val="single" w:sz="4" w:space="0" w:color="000001"/>
              <w:right w:val="single" w:sz="4" w:space="0" w:color="000001"/>
            </w:tcBorders>
          </w:tcPr>
          <w:p w14:paraId="3AFAA433" w14:textId="77777777" w:rsidR="001C2F95" w:rsidRPr="001857F5" w:rsidRDefault="001C2F95" w:rsidP="00971FD2">
            <w:pPr>
              <w:textAlignment w:val="baseline"/>
              <w:rPr>
                <w:rFonts w:cs="Arial"/>
                <w:color w:val="000000"/>
                <w:sz w:val="22"/>
              </w:rPr>
            </w:pPr>
            <w:r w:rsidRPr="001857F5">
              <w:rPr>
                <w:rFonts w:cs="Arial"/>
                <w:color w:val="000000"/>
                <w:sz w:val="22"/>
              </w:rPr>
              <w:t xml:space="preserve">La Province du Kongo Central se caractérise par sa dotation particulière en infrastructures de transport, un tissu industriel diversifié, d’énormes potentialités de développement agricole, une richesse énergétique incommensurable estimée à 46 913 493 Méga Volt Ampère (MVA) dont 2 176 MVA installés et 478 MVA seulement opérationnels, produits par le Barrage d’Inga et deux autres de moindre importance à savoir Zongo et Nsanga ; des réserves pétrolières probables de l’ordre de 3 milliards de barils selon le rapport annuel de la Division Provinciale de l’Énergie. </w:t>
            </w:r>
          </w:p>
          <w:p w14:paraId="3C7A00C2" w14:textId="77777777" w:rsidR="001C2F95" w:rsidRPr="001857F5" w:rsidRDefault="001C2F95" w:rsidP="00971FD2">
            <w:pPr>
              <w:pStyle w:val="Paragraphedeliste"/>
              <w:textAlignment w:val="baseline"/>
              <w:rPr>
                <w:rFonts w:cs="Arial"/>
                <w:color w:val="000000"/>
                <w:sz w:val="22"/>
              </w:rPr>
            </w:pPr>
            <w:r w:rsidRPr="001857F5">
              <w:rPr>
                <w:rFonts w:cs="Arial"/>
                <w:color w:val="000000"/>
                <w:sz w:val="22"/>
              </w:rPr>
              <w:t xml:space="preserve"> </w:t>
            </w:r>
          </w:p>
          <w:p w14:paraId="2F7BF037" w14:textId="77777777" w:rsidR="001C2F95" w:rsidRPr="001857F5" w:rsidRDefault="001C2F95" w:rsidP="00971FD2">
            <w:pPr>
              <w:textAlignment w:val="baseline"/>
              <w:rPr>
                <w:rFonts w:cs="Arial"/>
                <w:color w:val="000000"/>
                <w:sz w:val="22"/>
              </w:rPr>
            </w:pPr>
            <w:r w:rsidRPr="001857F5">
              <w:rPr>
                <w:rFonts w:cs="Arial"/>
                <w:color w:val="000000"/>
                <w:sz w:val="22"/>
              </w:rPr>
              <w:t xml:space="preserve">Dans la composition sectorielle des activités économiques de la Province, on note une forte dominance des activités du secteur primaire qui contribue à 78 % au PIB dont 55 % pour la production agricole (végétale, aquacole, </w:t>
            </w:r>
            <w:r w:rsidRPr="001857F5">
              <w:rPr>
                <w:rFonts w:cs="Arial"/>
                <w:color w:val="000000"/>
                <w:sz w:val="22"/>
              </w:rPr>
              <w:lastRenderedPageBreak/>
              <w:t xml:space="preserve">animale et forestière) et 23 % pour les industries extractives (mines et hydrocarbures) ; le secteur des services contribue quant à lui à 12 % au PIB et le secteur secondaire à 10 %. </w:t>
            </w:r>
          </w:p>
          <w:p w14:paraId="40BB2A5F" w14:textId="77777777" w:rsidR="001C2F95" w:rsidRPr="001857F5" w:rsidRDefault="001C2F95" w:rsidP="00971FD2">
            <w:pPr>
              <w:textAlignment w:val="baseline"/>
              <w:rPr>
                <w:rFonts w:cs="Arial"/>
                <w:color w:val="000000"/>
                <w:sz w:val="22"/>
              </w:rPr>
            </w:pPr>
            <w:r w:rsidRPr="001857F5">
              <w:rPr>
                <w:rFonts w:cs="Arial"/>
                <w:color w:val="000000"/>
                <w:sz w:val="22"/>
              </w:rPr>
              <w:t xml:space="preserve">Le Kongo Central est une Province à grandes potentialités agricoles. Les conditions éco climatiques favorisent la culture d’une gamme variée de produits de type tropical.  </w:t>
            </w:r>
          </w:p>
          <w:p w14:paraId="675567C9" w14:textId="77777777" w:rsidR="001C2F95" w:rsidRPr="001857F5" w:rsidRDefault="001C2F95" w:rsidP="00971FD2">
            <w:pPr>
              <w:textAlignment w:val="baseline"/>
              <w:rPr>
                <w:rFonts w:cs="Arial"/>
                <w:color w:val="000000"/>
                <w:sz w:val="22"/>
              </w:rPr>
            </w:pPr>
          </w:p>
          <w:p w14:paraId="527B6BBA" w14:textId="77777777" w:rsidR="001C2F95" w:rsidRPr="001857F5" w:rsidRDefault="001C2F95" w:rsidP="00971FD2">
            <w:pPr>
              <w:textAlignment w:val="baseline"/>
              <w:rPr>
                <w:rFonts w:cs="Arial"/>
                <w:color w:val="000000"/>
                <w:sz w:val="22"/>
              </w:rPr>
            </w:pPr>
            <w:r w:rsidRPr="001857F5">
              <w:rPr>
                <w:rFonts w:cs="Arial"/>
                <w:color w:val="000000"/>
                <w:sz w:val="22"/>
              </w:rPr>
              <w:t>Par ailleurs, d’après les études socio-économiques menées par le Projet de Développement de Pôles de Croissance Ouest (PDPC) financées par l’appui de la Banque mondiale dans le Kongo Central, environ 50 000 agriculteurs, dont 40% de femmes, ont été directement touchés par les activités agricoles qui consistent en la fourniture des biens publics sous forme d’infrastructures physiques et institutionnelles sur tous les maillons de la chaîne de valeurs des produits agricoles en vue de l’augmentation de la productivité et de l’emploi dans ces filières.</w:t>
            </w:r>
          </w:p>
          <w:p w14:paraId="63E09303" w14:textId="77777777" w:rsidR="001C2F95" w:rsidRPr="001857F5" w:rsidRDefault="001C2F95" w:rsidP="00971FD2">
            <w:pPr>
              <w:textAlignment w:val="baseline"/>
              <w:rPr>
                <w:rFonts w:cs="Arial"/>
                <w:color w:val="000000"/>
                <w:sz w:val="22"/>
              </w:rPr>
            </w:pPr>
          </w:p>
          <w:p w14:paraId="3974CF21" w14:textId="77777777" w:rsidR="001C2F95" w:rsidRPr="001857F5" w:rsidRDefault="001C2F95" w:rsidP="00971FD2">
            <w:pPr>
              <w:textAlignment w:val="baseline"/>
              <w:rPr>
                <w:rFonts w:cs="Arial"/>
                <w:color w:val="000000"/>
                <w:sz w:val="22"/>
              </w:rPr>
            </w:pPr>
            <w:r w:rsidRPr="001857F5">
              <w:rPr>
                <w:rFonts w:cs="Arial"/>
                <w:color w:val="000000"/>
                <w:sz w:val="22"/>
              </w:rPr>
              <w:t>La culture est manuelle et il n’y a pas d’utilisation de variétés améliorées, ni d’engrais. Par conséquent, les rendements sont également très faibles. Malgré la présence d’unités de production modernes dans la province, le secteur informel domine les activités agricoles à hauteur de 93% contre une moyenne nationale de 91% (Enquête 123 de 2012). Actuellement les 22 pistes de desserte agricole réhabilitée dans le cadre du PDPC dans l’</w:t>
            </w:r>
            <w:r w:rsidR="00971FD2" w:rsidRPr="001857F5">
              <w:rPr>
                <w:rFonts w:cs="Arial"/>
                <w:color w:val="000000"/>
                <w:sz w:val="22"/>
              </w:rPr>
              <w:t xml:space="preserve">ensemble </w:t>
            </w:r>
            <w:r w:rsidRPr="001857F5">
              <w:rPr>
                <w:rFonts w:cs="Arial"/>
                <w:color w:val="000000"/>
                <w:sz w:val="22"/>
              </w:rPr>
              <w:t xml:space="preserve"> de la province se trouve en état de délabrement très avancé par manque d’entretien. Cette situation ne permet pas l’évacuation des produits agricoles sur le marché des grands centres de consommation tels que Matadi, Boma, Mwanda et la ville province de Kinshasa en passant par la RN1.</w:t>
            </w:r>
          </w:p>
          <w:p w14:paraId="513AF430" w14:textId="77777777" w:rsidR="001C2F95" w:rsidRPr="001857F5" w:rsidRDefault="001C2F95" w:rsidP="00971FD2">
            <w:pPr>
              <w:pStyle w:val="Paragraphedeliste"/>
              <w:textAlignment w:val="baseline"/>
              <w:rPr>
                <w:rFonts w:cs="Arial"/>
                <w:color w:val="000000"/>
                <w:sz w:val="22"/>
              </w:rPr>
            </w:pPr>
            <w:r w:rsidRPr="001857F5">
              <w:rPr>
                <w:rFonts w:cs="Arial"/>
                <w:color w:val="000000"/>
                <w:sz w:val="22"/>
              </w:rPr>
              <w:t xml:space="preserve"> </w:t>
            </w:r>
          </w:p>
          <w:p w14:paraId="5DB6AF0D" w14:textId="77777777" w:rsidR="001C2F95" w:rsidRPr="001857F5" w:rsidRDefault="001C2F95" w:rsidP="00971FD2">
            <w:pPr>
              <w:textAlignment w:val="baseline"/>
              <w:rPr>
                <w:rFonts w:cs="Arial"/>
                <w:color w:val="000000"/>
                <w:sz w:val="22"/>
              </w:rPr>
            </w:pPr>
            <w:r w:rsidRPr="001857F5">
              <w:rPr>
                <w:rFonts w:cs="Arial"/>
                <w:color w:val="000000"/>
                <w:sz w:val="22"/>
              </w:rPr>
              <w:t xml:space="preserve">Le secteur traditionnel demeure le principal pourvoyeur des produits vivriers. Les spéculations principales sont le manioc, l’arachide, le haricot, le maïs, la banane et le riz.  L’agriculture y est extensive sur de petites exploitations et se caractérise par la prépondérance des activités manuelles, l’utilisation très limitée de la fumure organique et minérale, le recours à la jachère. La femme et la jeune fille sont une main-d’œuvre très participative, les jeunes filles quoi qu’elles étudient, elles sont associées à toutes les activités de l’agriculture et la vente des poissons frais issus des eaux territoriales et fluviales. Le mariage précoce est aussi </w:t>
            </w:r>
            <w:r w:rsidR="00971FD2" w:rsidRPr="001857F5">
              <w:rPr>
                <w:rFonts w:cs="Arial"/>
                <w:color w:val="000000"/>
                <w:sz w:val="22"/>
              </w:rPr>
              <w:t>récurrent</w:t>
            </w:r>
            <w:r w:rsidRPr="001857F5">
              <w:rPr>
                <w:rFonts w:cs="Arial"/>
                <w:color w:val="000000"/>
                <w:sz w:val="22"/>
              </w:rPr>
              <w:t xml:space="preserve"> dans les endroits reculés de la Province que dans le chef</w:t>
            </w:r>
            <w:r w:rsidR="00971FD2" w:rsidRPr="001857F5">
              <w:rPr>
                <w:rFonts w:cs="Arial"/>
                <w:color w:val="000000"/>
                <w:sz w:val="22"/>
              </w:rPr>
              <w:t>-</w:t>
            </w:r>
            <w:r w:rsidRPr="001857F5">
              <w:rPr>
                <w:rFonts w:cs="Arial"/>
                <w:color w:val="000000"/>
                <w:sz w:val="22"/>
              </w:rPr>
              <w:t>lieu Matadi. Il faut noter que le Kongo Central est directement influencé par la culture de Kinshasa à cause de sa proximité. En effet 365 km relient Kinshasa à Matadi en cinq heures de route</w:t>
            </w:r>
          </w:p>
          <w:p w14:paraId="446668DA" w14:textId="77777777" w:rsidR="001C2F95" w:rsidRPr="001857F5" w:rsidRDefault="001C2F95" w:rsidP="00971FD2">
            <w:pPr>
              <w:textAlignment w:val="baseline"/>
              <w:rPr>
                <w:rFonts w:cs="Arial"/>
                <w:color w:val="000000"/>
                <w:sz w:val="22"/>
              </w:rPr>
            </w:pPr>
          </w:p>
          <w:p w14:paraId="27D158F3" w14:textId="77777777" w:rsidR="00971FD2" w:rsidRPr="001857F5" w:rsidRDefault="00971FD2" w:rsidP="00971FD2">
            <w:pPr>
              <w:textAlignment w:val="baseline"/>
              <w:rPr>
                <w:rFonts w:cs="Arial"/>
                <w:color w:val="000000"/>
                <w:sz w:val="22"/>
              </w:rPr>
            </w:pPr>
            <w:r w:rsidRPr="001857F5">
              <w:rPr>
                <w:rFonts w:cs="Arial"/>
                <w:color w:val="333333"/>
                <w:sz w:val="22"/>
              </w:rPr>
              <w:t>Le mariage précoce et forcé des filles adolescentes existe dans plusieurs coins de la RDC. Cette situation est liée aux us et coutumes, à la pauvreté, au manque d'accès à l'éducation de qualité des filles et au manque d'information auprès de la communauté. Bien que la loi interdisant le mariage précoce et forcé soit promulguée, la réalité sur le terrain prouve le contraire. C'est ainsi que plusieurs associations féminines luttent contre ce fléau.</w:t>
            </w:r>
          </w:p>
          <w:p w14:paraId="254E2F61" w14:textId="77777777" w:rsidR="00971FD2" w:rsidRPr="001857F5" w:rsidRDefault="00971FD2" w:rsidP="00971FD2">
            <w:pPr>
              <w:textAlignment w:val="baseline"/>
              <w:rPr>
                <w:rFonts w:cs="Arial"/>
                <w:color w:val="000000"/>
                <w:sz w:val="22"/>
              </w:rPr>
            </w:pPr>
          </w:p>
          <w:p w14:paraId="437C728E" w14:textId="77777777" w:rsidR="001C2F95" w:rsidRPr="001857F5" w:rsidRDefault="001C2F95" w:rsidP="00971FD2">
            <w:pPr>
              <w:textAlignment w:val="baseline"/>
              <w:rPr>
                <w:rFonts w:cs="Arial"/>
                <w:color w:val="000000"/>
                <w:sz w:val="22"/>
              </w:rPr>
            </w:pPr>
            <w:r w:rsidRPr="001857F5">
              <w:rPr>
                <w:rFonts w:cs="Arial"/>
                <w:color w:val="000000"/>
                <w:sz w:val="22"/>
              </w:rPr>
              <w:t>La production animale reste également faible malgré son potentiel. Comme pour l’agriculture, le potentiel de production animale (élevage, pisciculture, pêche et apiculture) est non négligeable. Le cheptel est constitué de façon générale de bovins, porcins, caprins, ovins et de volailles (poules, canards, pigeons, cobayes, …). Bien que le Kongo Central soit une province agropastorale par excellence, la production d’élevage reste faible et le nombre d’animaux pour type d’animal ne dépasse pas le niveau d’il y a 10 ans. Depuis la faillite de la Pêcherie Maritime du Congo (PEMARCO), la pêche et la pisciculture sont devenues des activités essentiellement artisanales qui s’exercent essentiellement sur le fleuve, avec une capacité qui ne dépasse guère 1000 tonnes par an. Les activités de pêche dans la partie du fleuve qui se situe à Luozi sont importantes avec des pêcheurs organisés en associations (Banque mondiale - 2016 : Rapport sur la situation économique de la Province du Kongo Central : Enjeux de la modernisation d'une province à fort potentiel énergétique face à la qualité de vie de sa population.)</w:t>
            </w:r>
          </w:p>
        </w:tc>
      </w:tr>
      <w:tr w:rsidR="001C2F95" w:rsidRPr="001857F5" w14:paraId="416B36C2"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3B895B7" w14:textId="77777777" w:rsidR="001C2F95" w:rsidRPr="001857F5" w:rsidRDefault="001C2F95" w:rsidP="00971FD2">
            <w:pPr>
              <w:rPr>
                <w:rFonts w:eastAsia="Calibri" w:cs="Arial"/>
                <w:b/>
                <w:sz w:val="22"/>
              </w:rPr>
            </w:pPr>
            <w:r w:rsidRPr="001857F5">
              <w:rPr>
                <w:rFonts w:eastAsia="Calibri" w:cs="Arial"/>
                <w:b/>
                <w:sz w:val="22"/>
              </w:rPr>
              <w:lastRenderedPageBreak/>
              <w:t>Situation sanitaire</w:t>
            </w:r>
          </w:p>
        </w:tc>
        <w:tc>
          <w:tcPr>
            <w:tcW w:w="11287" w:type="dxa"/>
            <w:tcBorders>
              <w:top w:val="single" w:sz="4" w:space="0" w:color="000001"/>
              <w:left w:val="single" w:sz="4" w:space="0" w:color="000001"/>
              <w:bottom w:val="single" w:sz="4" w:space="0" w:color="000001"/>
              <w:right w:val="single" w:sz="4" w:space="0" w:color="000001"/>
            </w:tcBorders>
          </w:tcPr>
          <w:p w14:paraId="0B547077" w14:textId="77777777" w:rsidR="001C2F95" w:rsidRPr="001857F5" w:rsidRDefault="001C2F95" w:rsidP="00971FD2">
            <w:pPr>
              <w:textAlignment w:val="baseline"/>
              <w:rPr>
                <w:rFonts w:cs="Arial"/>
                <w:color w:val="000000"/>
                <w:sz w:val="22"/>
              </w:rPr>
            </w:pPr>
            <w:r w:rsidRPr="001857F5">
              <w:rPr>
                <w:rFonts w:cs="Arial"/>
                <w:color w:val="000000"/>
                <w:sz w:val="22"/>
              </w:rPr>
              <w:t>Les résultats de l’enquête 1-2-3 montrent que la majorité des ménages, soit 58,7 %, résident à moins de vingt minutes de la structure de santé la plus proche ; dont 21,6 % résident à moins de dix minutes. Seuls         12,4 % des ménages sont à plus de cinquante minutes de marche de la structure de santé la plus proche. La structure de santé ici comprend l’Hôpital public ou privé, le Centre de Santé et le Poste de Santé.</w:t>
            </w:r>
            <w:r w:rsidRPr="001857F5">
              <w:rPr>
                <w:rFonts w:cs="Arial"/>
                <w:sz w:val="22"/>
              </w:rPr>
              <w:t xml:space="preserve"> </w:t>
            </w:r>
            <w:r w:rsidRPr="001857F5">
              <w:rPr>
                <w:rFonts w:cs="Arial"/>
                <w:color w:val="000000"/>
                <w:sz w:val="22"/>
              </w:rPr>
              <w:t xml:space="preserve">Outre le problème d’accessibilité géographique des services de santé, la majorité des femmes du Kongo Central déclarent avoir rencontré des problèmes pour accéder aux soins de santé : 22,0% des femmes déclarent s’être vu refuser la permission d’aller se soigner, 38,8% ont rencontré des problèmes de transport et enfin 72,1% ont eu des problèmes financiers (PNUD 2009 – Profile Résumé – </w:t>
            </w:r>
            <w:r w:rsidR="00971FD2" w:rsidRPr="001857F5">
              <w:rPr>
                <w:rFonts w:cs="Arial"/>
                <w:color w:val="000000"/>
                <w:sz w:val="22"/>
              </w:rPr>
              <w:t>pauvreté</w:t>
            </w:r>
            <w:r w:rsidRPr="001857F5">
              <w:rPr>
                <w:rFonts w:cs="Arial"/>
                <w:color w:val="000000"/>
                <w:sz w:val="22"/>
              </w:rPr>
              <w:t xml:space="preserve"> et condition de vie des ménages)</w:t>
            </w:r>
          </w:p>
        </w:tc>
      </w:tr>
      <w:tr w:rsidR="001C2F95" w:rsidRPr="001857F5" w14:paraId="6E396886"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9208CCA" w14:textId="77777777" w:rsidR="001C2F95" w:rsidRPr="001857F5" w:rsidRDefault="001C2F95" w:rsidP="00971FD2">
            <w:pPr>
              <w:jc w:val="left"/>
              <w:rPr>
                <w:rFonts w:eastAsia="Calibri" w:cs="Arial"/>
                <w:b/>
                <w:sz w:val="22"/>
              </w:rPr>
            </w:pPr>
            <w:r w:rsidRPr="001857F5">
              <w:rPr>
                <w:rFonts w:eastAsia="Calibri" w:cs="Arial"/>
                <w:b/>
                <w:sz w:val="22"/>
              </w:rPr>
              <w:t xml:space="preserve">Situation de la </w:t>
            </w:r>
            <w:r w:rsidR="00971FD2" w:rsidRPr="001857F5">
              <w:rPr>
                <w:rFonts w:eastAsia="Calibri" w:cs="Arial"/>
                <w:b/>
                <w:sz w:val="22"/>
              </w:rPr>
              <w:t>pauvreté</w:t>
            </w:r>
            <w:r w:rsidRPr="001857F5">
              <w:rPr>
                <w:rFonts w:eastAsia="Calibri" w:cs="Arial"/>
                <w:b/>
                <w:sz w:val="22"/>
              </w:rPr>
              <w:t xml:space="preserve"> </w:t>
            </w:r>
          </w:p>
        </w:tc>
        <w:tc>
          <w:tcPr>
            <w:tcW w:w="11287" w:type="dxa"/>
            <w:tcBorders>
              <w:top w:val="single" w:sz="4" w:space="0" w:color="000001"/>
              <w:left w:val="single" w:sz="4" w:space="0" w:color="000001"/>
              <w:bottom w:val="single" w:sz="4" w:space="0" w:color="000001"/>
              <w:right w:val="single" w:sz="4" w:space="0" w:color="000001"/>
            </w:tcBorders>
          </w:tcPr>
          <w:p w14:paraId="00C5F2D6" w14:textId="77777777" w:rsidR="001C2F95" w:rsidRPr="001857F5" w:rsidRDefault="001C2F95" w:rsidP="00971FD2">
            <w:pPr>
              <w:textAlignment w:val="baseline"/>
              <w:rPr>
                <w:rFonts w:cs="Arial"/>
                <w:color w:val="000000"/>
                <w:sz w:val="22"/>
              </w:rPr>
            </w:pPr>
            <w:r w:rsidRPr="001857F5">
              <w:rPr>
                <w:rFonts w:cs="Arial"/>
                <w:color w:val="000000"/>
                <w:sz w:val="22"/>
              </w:rPr>
              <w:t>La pauvreté demeure massive en dépit de sa diminution dans la province car près de la moitié de la population de la province est encore considérée pauvre. Les conditions de vie des ménages et les indicateurs du développement humain se sont améliorés mais les défis restent importants. Les indicateurs de développement humain et d’accès à l’électricité et à l’eau potable mettent en évidence des disparités importantes selon le milieu de résidence. Les inégalités sont importantes entre les riches et les pauvres.</w:t>
            </w:r>
          </w:p>
          <w:p w14:paraId="450199DD" w14:textId="77777777" w:rsidR="001C2F95" w:rsidRPr="001857F5" w:rsidRDefault="001C2F95" w:rsidP="00971FD2">
            <w:pPr>
              <w:textAlignment w:val="baseline"/>
              <w:rPr>
                <w:rFonts w:cs="Arial"/>
                <w:color w:val="000000"/>
                <w:sz w:val="22"/>
              </w:rPr>
            </w:pPr>
          </w:p>
          <w:p w14:paraId="69788DDF" w14:textId="77777777" w:rsidR="001C2F95" w:rsidRPr="001857F5" w:rsidRDefault="001C2F95" w:rsidP="00971FD2">
            <w:pPr>
              <w:textAlignment w:val="baseline"/>
              <w:rPr>
                <w:rFonts w:cs="Arial"/>
                <w:color w:val="000000"/>
                <w:sz w:val="22"/>
              </w:rPr>
            </w:pPr>
            <w:r w:rsidRPr="001857F5">
              <w:rPr>
                <w:rFonts w:cs="Arial"/>
                <w:color w:val="000000"/>
                <w:sz w:val="22"/>
              </w:rPr>
              <w:t xml:space="preserve">Ainsi, la pauvreté monétaire s’est réduite entre 2005 et 2012 dans la province du Kongo Central plus vite qu’au niveau national. L’incidence de pauvreté, ou la proportion des pauvres dans la population totale, a baissé de 12,9 points, passant de 62,2% à 49,3% entre 2005 et 2012, alors qu’au niveau national, cette baisse n’a été que de 5,3 points si on réfère aux chiffres de l’INS. Aussi, la profondeur et la sévérité de la pauvreté ont également décliné respectivement à 13,0% et 4,7% en 2012, alors qu’elles s’établissaient respectivement à 20,5% et 9,0% en 2005. Ces deux indicateurs mesurent respectivement le fossé qui sépare les pauvres de non-pauvres et le degré d’aversion d’une société pour la pauvreté et l’inégalité entre les pauvres (Banque mondiale - 2016 : Rapport sur la </w:t>
            </w:r>
            <w:r w:rsidRPr="001857F5">
              <w:rPr>
                <w:rFonts w:cs="Arial"/>
                <w:color w:val="000000"/>
                <w:sz w:val="22"/>
              </w:rPr>
              <w:lastRenderedPageBreak/>
              <w:t>situation économique de la Province du Kongo Central : Enjeux de la modernisation d'une province à fort potentiel énergétique face à la qualité de vie de sa population, page 43).</w:t>
            </w:r>
          </w:p>
          <w:p w14:paraId="50E7A078" w14:textId="77777777" w:rsidR="001C2F95" w:rsidRPr="001857F5" w:rsidRDefault="001C2F95" w:rsidP="00971FD2">
            <w:pPr>
              <w:textAlignment w:val="baseline"/>
              <w:rPr>
                <w:rFonts w:cs="Arial"/>
                <w:color w:val="000000"/>
                <w:sz w:val="22"/>
              </w:rPr>
            </w:pPr>
          </w:p>
          <w:p w14:paraId="6103EA1E" w14:textId="77777777" w:rsidR="001C2F95" w:rsidRPr="001857F5" w:rsidRDefault="001C2F95" w:rsidP="00971FD2">
            <w:pPr>
              <w:textAlignment w:val="baseline"/>
              <w:rPr>
                <w:rFonts w:cs="Arial"/>
                <w:color w:val="000000"/>
                <w:sz w:val="22"/>
              </w:rPr>
            </w:pPr>
            <w:r w:rsidRPr="001857F5">
              <w:rPr>
                <w:rFonts w:cs="Arial"/>
                <w:color w:val="000000"/>
                <w:sz w:val="22"/>
              </w:rPr>
              <w:t>Par ailleurs, La pauvreté est plus perceptible au niveau individuel qu’à celui des ménages de la province. Contrairement au rapport de l’enquête 1-2-3 de 2005 qui n’a analysé que la pauvreté individuelle, celui de 2012 a apporté une innovation en calculant les indicateurs de pauvreté au niveau des ménages. Ce rapport indique donc que la pauvreté des ménages de la province se situe à 45,8% contre 49,3% pour les individus en 2012. Si l’on tient compte des sexes, il s’établit que les femmes dans les ménages (38,1%) sont moins pauvres que les hommes (48,2%). Cette situation, comme le souligne le rapport de l’enquête 123, met en exergue le fait qu’au sein des ménages, les individus s’organisent mieux en communautés ; ce qui permet de faire des économies d’échelles.</w:t>
            </w:r>
          </w:p>
        </w:tc>
      </w:tr>
      <w:tr w:rsidR="001C2F95" w:rsidRPr="001857F5" w14:paraId="40A6792B"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B6BBE8A" w14:textId="77777777" w:rsidR="001C2F95" w:rsidRPr="001857F5" w:rsidRDefault="001C2F95" w:rsidP="00971FD2">
            <w:pPr>
              <w:rPr>
                <w:rFonts w:eastAsia="Calibri" w:cs="Arial"/>
                <w:b/>
                <w:sz w:val="22"/>
              </w:rPr>
            </w:pPr>
            <w:r w:rsidRPr="001857F5">
              <w:rPr>
                <w:rFonts w:eastAsia="Calibri" w:cs="Arial"/>
                <w:b/>
                <w:sz w:val="22"/>
              </w:rPr>
              <w:lastRenderedPageBreak/>
              <w:t>Situation du COVID-19 dans la Province du Kongo Central</w:t>
            </w:r>
          </w:p>
        </w:tc>
        <w:tc>
          <w:tcPr>
            <w:tcW w:w="11287" w:type="dxa"/>
            <w:tcBorders>
              <w:top w:val="single" w:sz="4" w:space="0" w:color="000001"/>
              <w:left w:val="single" w:sz="4" w:space="0" w:color="000001"/>
              <w:bottom w:val="single" w:sz="4" w:space="0" w:color="000001"/>
              <w:right w:val="single" w:sz="4" w:space="0" w:color="000001"/>
            </w:tcBorders>
          </w:tcPr>
          <w:p w14:paraId="5F79704C" w14:textId="77777777" w:rsidR="001C2F95" w:rsidRPr="001857F5" w:rsidRDefault="001C2F95" w:rsidP="00971FD2">
            <w:pPr>
              <w:textAlignment w:val="baseline"/>
              <w:rPr>
                <w:rFonts w:cs="Arial"/>
                <w:color w:val="000000"/>
                <w:sz w:val="22"/>
              </w:rPr>
            </w:pPr>
            <w:r w:rsidRPr="001857F5">
              <w:rPr>
                <w:rFonts w:cs="Arial"/>
                <w:color w:val="000000"/>
                <w:sz w:val="22"/>
              </w:rPr>
              <w:t xml:space="preserve">Depuis le début de la pandémie à COVID-19 en RDC, la Province du Kongo Central compte 1214 cas enregistrés jusque-là jusqu’au 12 janvier 2021 sur les 20003 cas de COVID-19 enregistrés en RDC. Pour la RDC, sur les 20 003 cas confirmés de COVID-19, 14767 cas </w:t>
            </w:r>
            <w:r w:rsidR="00971FD2" w:rsidRPr="001857F5">
              <w:rPr>
                <w:rFonts w:cs="Arial"/>
                <w:color w:val="000000"/>
                <w:sz w:val="22"/>
              </w:rPr>
              <w:t>guéris</w:t>
            </w:r>
            <w:r w:rsidRPr="001857F5">
              <w:rPr>
                <w:rFonts w:cs="Arial"/>
                <w:color w:val="000000"/>
                <w:sz w:val="22"/>
              </w:rPr>
              <w:t xml:space="preserve"> et 626 cas de décès. Des mesures barrières sont observées sur toute l’étendue de la Province. Les camionneurs qui voyagent sur la Route Nationale n° 1 (RN1) entre Kinshasa et Kongo Central restent les principaux suspects qui constituent le canal de transmission. Le Kongo Central est la deuxième Province la plus touchée à cause de sa position par rapport à la Ville-Province de Kinshasa, porte d’entrée de la RDC depuis l’Océan Atlantique. Le trafic intense malgré les restrictions du Gouvernement est à la base de cette propagation de la maladie à Corona virus dans la Province du Kongo Central dont les statistiques sont dynamiques. Il sied de signaler que les femmes / filles vendeuses aux marchés, </w:t>
            </w:r>
            <w:r w:rsidR="00971FD2" w:rsidRPr="001857F5">
              <w:rPr>
                <w:rFonts w:cs="Arial"/>
                <w:color w:val="000000"/>
                <w:sz w:val="22"/>
              </w:rPr>
              <w:t>commerçantes</w:t>
            </w:r>
            <w:r w:rsidRPr="001857F5">
              <w:rPr>
                <w:rFonts w:cs="Arial"/>
                <w:color w:val="000000"/>
                <w:sz w:val="22"/>
              </w:rPr>
              <w:t xml:space="preserve"> / trafiquantes qui s’occupent en majorité pour la survie des ménages sont les plus exposées au risque de la contamination de COVID-19 dans la province du Kongo Central car dans les différents marchés, les mesures barrières et la distanciation physique ne sont pas observées.</w:t>
            </w:r>
          </w:p>
          <w:p w14:paraId="50D60E57" w14:textId="77777777" w:rsidR="00971FD2" w:rsidRPr="001857F5" w:rsidRDefault="00971FD2" w:rsidP="00971FD2">
            <w:pPr>
              <w:textAlignment w:val="baseline"/>
              <w:rPr>
                <w:rFonts w:cs="Arial"/>
                <w:color w:val="000000"/>
                <w:sz w:val="22"/>
              </w:rPr>
            </w:pPr>
          </w:p>
          <w:p w14:paraId="3EF10DAD" w14:textId="77777777" w:rsidR="00971FD2" w:rsidRPr="001857F5" w:rsidRDefault="00971FD2" w:rsidP="00971FD2">
            <w:pPr>
              <w:textAlignment w:val="baseline"/>
              <w:rPr>
                <w:rFonts w:cs="Arial"/>
                <w:color w:val="000000"/>
                <w:sz w:val="22"/>
              </w:rPr>
            </w:pPr>
            <w:r w:rsidRPr="001857F5">
              <w:rPr>
                <w:rFonts w:cs="Arial"/>
                <w:sz w:val="22"/>
              </w:rPr>
              <w:t>Les femmes sont principalement responsables de l'approvisionnement et de la cuisson des aliments pour la famille, l'augmentation de l'insécurité alimentaire à la suite des crises peut les exposer à un risque accru, par exemple, de la part du partenaire intime, ainsi que d'autres formes de violences domestiques dues à l'intensification des tensions au sein du ménage.</w:t>
            </w:r>
          </w:p>
        </w:tc>
      </w:tr>
      <w:tr w:rsidR="001C2F95" w:rsidRPr="001857F5" w14:paraId="2768BC06"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D833FDC" w14:textId="77777777" w:rsidR="001C2F95" w:rsidRPr="001857F5" w:rsidRDefault="001C2F95" w:rsidP="00971FD2">
            <w:pPr>
              <w:rPr>
                <w:rFonts w:eastAsia="Calibri" w:cs="Arial"/>
                <w:b/>
                <w:sz w:val="22"/>
              </w:rPr>
            </w:pPr>
            <w:r w:rsidRPr="001857F5">
              <w:rPr>
                <w:rFonts w:eastAsia="Calibri" w:cs="Arial"/>
                <w:b/>
                <w:sz w:val="22"/>
              </w:rPr>
              <w:t>Éducation</w:t>
            </w:r>
          </w:p>
        </w:tc>
        <w:tc>
          <w:tcPr>
            <w:tcW w:w="11287" w:type="dxa"/>
            <w:tcBorders>
              <w:top w:val="single" w:sz="4" w:space="0" w:color="000001"/>
              <w:left w:val="single" w:sz="4" w:space="0" w:color="000001"/>
              <w:bottom w:val="single" w:sz="4" w:space="0" w:color="000001"/>
              <w:right w:val="single" w:sz="4" w:space="0" w:color="000001"/>
            </w:tcBorders>
          </w:tcPr>
          <w:p w14:paraId="3F35C193" w14:textId="77777777" w:rsidR="001C2F95" w:rsidRPr="001857F5" w:rsidRDefault="001C2F95" w:rsidP="00971FD2">
            <w:pPr>
              <w:pStyle w:val="Paragraphedeliste"/>
              <w:ind w:left="0"/>
              <w:textAlignment w:val="baseline"/>
              <w:rPr>
                <w:rFonts w:cs="Arial"/>
                <w:sz w:val="22"/>
              </w:rPr>
            </w:pPr>
            <w:r w:rsidRPr="001857F5">
              <w:rPr>
                <w:rFonts w:cs="Arial"/>
                <w:sz w:val="22"/>
              </w:rPr>
              <w:t>Dans la Province du Kongo Central, l’offre scolaire reste contrôlée en grande partie par les Confessions Religieuses avec près de 78 % des enfants au primaire, scolarisés dans les écoles dites conventionnées, 15 % dans les écoles de l’Etat et 7 % dans les privées selon le SIGE 2011/12.</w:t>
            </w:r>
          </w:p>
          <w:p w14:paraId="0C4FF867" w14:textId="77777777" w:rsidR="00B86CA8" w:rsidRDefault="00B86CA8" w:rsidP="00971FD2">
            <w:pPr>
              <w:textAlignment w:val="baseline"/>
              <w:rPr>
                <w:rFonts w:cs="Arial"/>
                <w:sz w:val="22"/>
              </w:rPr>
            </w:pPr>
          </w:p>
          <w:p w14:paraId="72F92C48" w14:textId="77777777" w:rsidR="001C2F95" w:rsidRPr="001857F5" w:rsidRDefault="001C2F95" w:rsidP="00971FD2">
            <w:pPr>
              <w:textAlignment w:val="baseline"/>
              <w:rPr>
                <w:rFonts w:cs="Arial"/>
                <w:color w:val="000000"/>
                <w:sz w:val="22"/>
              </w:rPr>
            </w:pPr>
            <w:r w:rsidRPr="001857F5">
              <w:rPr>
                <w:rFonts w:cs="Arial"/>
                <w:sz w:val="22"/>
              </w:rPr>
              <w:lastRenderedPageBreak/>
              <w:t xml:space="preserve">Selon les résultats du recensement scolaire 2013-2014, le patrimoine immobilier à l’usage de l’enseignement au niveau primaire dans le Kongo Central compte 17 238 salles de classes dont 86,9 % sont dans un état jugé bon et 56,0 % construits en matériaux durables. La Province dispose encore d’une grande capacité d’accueil, car le ratio élèves/classe est inférieur à 40. </w:t>
            </w:r>
            <w:r w:rsidRPr="001857F5">
              <w:rPr>
                <w:rFonts w:cs="Arial"/>
                <w:color w:val="000000"/>
                <w:sz w:val="22"/>
              </w:rPr>
              <w:t>Par contre, pour ce qui est de l’accès aux établissements scolaires dans le primaire, près de 70 % des ménages disposent d’une école primaire à moins d’une demie heure de marche de leur domicile, dont 29,5 % à moins de dix minutes de marche et ils sont seulement 12,8 % à se trouver à plus d’une heure de l’école primaire la plus proche.</w:t>
            </w:r>
          </w:p>
          <w:p w14:paraId="5C24AE15" w14:textId="77777777" w:rsidR="001C2F95" w:rsidRPr="001857F5" w:rsidRDefault="001C2F95" w:rsidP="00971FD2">
            <w:pPr>
              <w:textAlignment w:val="baseline"/>
              <w:rPr>
                <w:rFonts w:cs="Arial"/>
                <w:sz w:val="22"/>
              </w:rPr>
            </w:pPr>
          </w:p>
          <w:p w14:paraId="06373313" w14:textId="77777777" w:rsidR="001C2F95" w:rsidRPr="001857F5" w:rsidRDefault="001C2F95" w:rsidP="00971FD2">
            <w:pPr>
              <w:textAlignment w:val="baseline"/>
              <w:rPr>
                <w:rFonts w:cs="Arial"/>
                <w:sz w:val="22"/>
              </w:rPr>
            </w:pPr>
            <w:r w:rsidRPr="001857F5">
              <w:rPr>
                <w:rFonts w:cs="Arial"/>
                <w:sz w:val="22"/>
              </w:rPr>
              <w:t xml:space="preserve">Le taux net de fréquentation scolaire au niveau primaire est de 83,4 % pour les garçons et 80,6 % pour les filles, tandis que le taux d’alphabétisation dans la population de 15-24 ans est de 91,2 % pour les garçons et de 73,6 % pour les filles. En outre, l’enquête MICS2-Palu, RDC, 2017-2018 renseigne que le taux net de scolarisation des enfants filles et </w:t>
            </w:r>
            <w:r w:rsidR="00AB3C0C" w:rsidRPr="001857F5">
              <w:rPr>
                <w:rFonts w:cs="Arial"/>
                <w:sz w:val="22"/>
              </w:rPr>
              <w:t>garçons</w:t>
            </w:r>
            <w:r w:rsidRPr="001857F5">
              <w:rPr>
                <w:rFonts w:cs="Arial"/>
                <w:sz w:val="22"/>
              </w:rPr>
              <w:t xml:space="preserve"> dans la province du Kongo Central est de 83,1%. En outre, 50,2% de la population de la Province du Kongo Central ont atteint le niveau secondaire et 2,2% le niveau universitaire (rapport PNUD). Ce taux risque d’augmenter avec le programme de la gratuité de l’enseignement du Gouvernement financé par la Banque mondiale.</w:t>
            </w:r>
          </w:p>
          <w:p w14:paraId="0EAF1268" w14:textId="77777777" w:rsidR="001C2F95" w:rsidRPr="001857F5" w:rsidRDefault="001C2F95" w:rsidP="00971FD2">
            <w:pPr>
              <w:textAlignment w:val="baseline"/>
              <w:rPr>
                <w:rFonts w:cs="Arial"/>
                <w:sz w:val="22"/>
              </w:rPr>
            </w:pPr>
            <w:r w:rsidRPr="001857F5">
              <w:rPr>
                <w:rFonts w:cs="Arial"/>
                <w:sz w:val="22"/>
              </w:rPr>
              <w:t>Les femmes ont de plus en plus accès à l’éducation. L’analyse des données des enquêtes EDS 2007 et 2013-2014 montre qu’il y a une nette amélioration de la fréquentation nette des filles dans le primaire. Cela se confirme lorsqu’on compare les résultats précédents à ceux de l’enquête MICS 2010.</w:t>
            </w:r>
          </w:p>
          <w:p w14:paraId="6D61E397" w14:textId="77777777" w:rsidR="001C2F95" w:rsidRPr="001857F5" w:rsidRDefault="001C2F95" w:rsidP="00971FD2">
            <w:pPr>
              <w:pStyle w:val="Paragraphedeliste"/>
              <w:ind w:left="332"/>
              <w:textAlignment w:val="baseline"/>
              <w:rPr>
                <w:rFonts w:cs="Arial"/>
                <w:sz w:val="22"/>
              </w:rPr>
            </w:pPr>
          </w:p>
          <w:p w14:paraId="5F650074" w14:textId="77777777" w:rsidR="001C2F95" w:rsidRPr="001857F5" w:rsidRDefault="001C2F95" w:rsidP="00971FD2">
            <w:pPr>
              <w:textAlignment w:val="baseline"/>
              <w:rPr>
                <w:rFonts w:cs="Arial"/>
                <w:sz w:val="22"/>
              </w:rPr>
            </w:pPr>
            <w:r w:rsidRPr="001857F5">
              <w:rPr>
                <w:rFonts w:cs="Arial"/>
                <w:sz w:val="22"/>
              </w:rPr>
              <w:t xml:space="preserve">Bien que des efforts soient consentis au primaire dans la fréquentation des filles, au niveau secondaire, en revanche, le taux net de fréquentation des filles demeure encore très faible et se situe à 39,2 %. Les mariages précoces contribuent à cette situation. Il sied de signaler que la coutume de peuple Nekongo est à la base de mariage </w:t>
            </w:r>
            <w:r w:rsidR="00AB3C0C" w:rsidRPr="001857F5">
              <w:rPr>
                <w:rFonts w:cs="Arial"/>
                <w:sz w:val="22"/>
              </w:rPr>
              <w:t>précoce</w:t>
            </w:r>
            <w:r w:rsidRPr="001857F5">
              <w:rPr>
                <w:rFonts w:cs="Arial"/>
                <w:sz w:val="22"/>
              </w:rPr>
              <w:t>. En ce qui concerne l’élimination des disparités entre filles et garçons, l’indice de parité montre qu’il n’y a plus des disparités entre les deux sexes au primaire depuis 2007 jusqu’en 2014 ; même si la tendance semble donner beaucoup plus de filles que de garçons au primaire.</w:t>
            </w:r>
          </w:p>
          <w:p w14:paraId="40CF51DC" w14:textId="77777777" w:rsidR="001C2F95" w:rsidRPr="001857F5" w:rsidRDefault="001C2F95" w:rsidP="00971FD2">
            <w:pPr>
              <w:textAlignment w:val="baseline"/>
              <w:rPr>
                <w:rFonts w:cs="Arial"/>
                <w:sz w:val="22"/>
              </w:rPr>
            </w:pPr>
          </w:p>
          <w:p w14:paraId="6C843817" w14:textId="77777777" w:rsidR="001C2F95" w:rsidRPr="001857F5" w:rsidRDefault="001C2F95" w:rsidP="00971FD2">
            <w:pPr>
              <w:textAlignment w:val="baseline"/>
              <w:rPr>
                <w:rFonts w:cs="Arial"/>
                <w:sz w:val="22"/>
              </w:rPr>
            </w:pPr>
            <w:r w:rsidRPr="001857F5">
              <w:rPr>
                <w:rFonts w:cs="Arial"/>
                <w:sz w:val="22"/>
              </w:rPr>
              <w:t>En somme, avec le Programme du Gouvernement sur la gratuité de l’enseignement, l’on espère voir tous les enfants en âge scolaire fréquenter l’école sans discrimination.</w:t>
            </w:r>
          </w:p>
        </w:tc>
      </w:tr>
      <w:tr w:rsidR="001C2F95" w:rsidRPr="001857F5" w14:paraId="1F40B931"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801FAC8" w14:textId="77777777" w:rsidR="001C2F95" w:rsidRPr="001857F5" w:rsidRDefault="001C2F95" w:rsidP="00971FD2">
            <w:pPr>
              <w:jc w:val="left"/>
              <w:rPr>
                <w:rFonts w:eastAsia="Calibri" w:cs="Arial"/>
                <w:b/>
                <w:sz w:val="22"/>
              </w:rPr>
            </w:pPr>
            <w:r w:rsidRPr="001857F5">
              <w:rPr>
                <w:rFonts w:eastAsia="Calibri" w:cs="Arial"/>
                <w:b/>
                <w:sz w:val="22"/>
              </w:rPr>
              <w:lastRenderedPageBreak/>
              <w:t>Infrastructures de transport</w:t>
            </w:r>
          </w:p>
        </w:tc>
        <w:tc>
          <w:tcPr>
            <w:tcW w:w="11287" w:type="dxa"/>
            <w:tcBorders>
              <w:top w:val="single" w:sz="4" w:space="0" w:color="000001"/>
              <w:left w:val="single" w:sz="4" w:space="0" w:color="000001"/>
              <w:bottom w:val="single" w:sz="4" w:space="0" w:color="000001"/>
              <w:right w:val="single" w:sz="4" w:space="0" w:color="000001"/>
            </w:tcBorders>
          </w:tcPr>
          <w:p w14:paraId="7EFECB3B" w14:textId="77777777" w:rsidR="001C2F95" w:rsidRPr="001857F5" w:rsidRDefault="001C2F95" w:rsidP="00971FD2">
            <w:pPr>
              <w:textAlignment w:val="baseline"/>
              <w:rPr>
                <w:rFonts w:cs="Arial"/>
                <w:color w:val="000000"/>
                <w:sz w:val="22"/>
              </w:rPr>
            </w:pPr>
            <w:r w:rsidRPr="001857F5">
              <w:rPr>
                <w:rFonts w:cs="Arial"/>
                <w:color w:val="000000"/>
                <w:sz w:val="22"/>
              </w:rPr>
              <w:t xml:space="preserve">La Province du Kongo Central compte un réseau de 1 730 km de routes à très grande circulation, soit 1.427 km de routes nationales et 303 km de routes d'intérêt provincial. De ces routes, 612 km sont revêtus et 1 118 km ne le sont pas. Des 612 km de routes revêtues, seul le tronçon Kinshasa-Matadi (365 km) est en bon état et entretenu régulièrement grâce notamment au Fonds du Péage instauré depuis 2006. De petits marchés de fortune naissent autour de ces Postes de Péage, et la plupart des vendeurs sont des femmes ainsi que de jeunes filles qui sont donc exposées aux risques des VBG, y compris l’EAS, suite à la grande circulation qui se passe dans ces endroits. Le reste de ce réseau, soit près de 80% (247 km de routes revêtues et 1 118 km de routes non revêtues) est en mauvais ou en très mauvais état. Il demande donc une réhabilitation, mieux, un revêtement (asphaltage ou bétonnage). </w:t>
            </w:r>
          </w:p>
          <w:p w14:paraId="0FC78AF3" w14:textId="77777777" w:rsidR="001C2F95" w:rsidRPr="001857F5" w:rsidRDefault="001C2F95" w:rsidP="00971FD2">
            <w:pPr>
              <w:textAlignment w:val="baseline"/>
              <w:rPr>
                <w:rFonts w:cs="Arial"/>
                <w:color w:val="000000"/>
                <w:sz w:val="22"/>
              </w:rPr>
            </w:pPr>
          </w:p>
          <w:p w14:paraId="752A5122" w14:textId="77777777" w:rsidR="001C2F95" w:rsidRPr="001857F5" w:rsidRDefault="001C2F95" w:rsidP="00971FD2">
            <w:pPr>
              <w:textAlignment w:val="baseline"/>
              <w:rPr>
                <w:rFonts w:cs="Arial"/>
                <w:color w:val="000000"/>
                <w:sz w:val="22"/>
              </w:rPr>
            </w:pPr>
            <w:r w:rsidRPr="001857F5">
              <w:rPr>
                <w:rFonts w:cs="Arial"/>
                <w:color w:val="000000"/>
                <w:sz w:val="22"/>
              </w:rPr>
              <w:t>Par ailleurs, du fait de l'accroissement prévisible de l'activité économique dans certaines parties de la Province (exploitations pétrolière et minière notamment), d'autres embranchements routiers devraient être envisagés.</w:t>
            </w:r>
          </w:p>
          <w:p w14:paraId="737782C7" w14:textId="77777777" w:rsidR="001C2F95" w:rsidRPr="001857F5" w:rsidRDefault="001C2F95" w:rsidP="00971FD2">
            <w:pPr>
              <w:textAlignment w:val="baseline"/>
              <w:rPr>
                <w:rFonts w:cs="Arial"/>
                <w:color w:val="000000"/>
                <w:sz w:val="22"/>
              </w:rPr>
            </w:pPr>
          </w:p>
          <w:p w14:paraId="4AE10F31" w14:textId="77777777" w:rsidR="001C2F95" w:rsidRPr="001857F5" w:rsidRDefault="001C2F95" w:rsidP="00971FD2">
            <w:pPr>
              <w:textAlignment w:val="baseline"/>
              <w:rPr>
                <w:rFonts w:cs="Arial"/>
                <w:color w:val="000000"/>
                <w:sz w:val="22"/>
              </w:rPr>
            </w:pPr>
            <w:r w:rsidRPr="001857F5">
              <w:rPr>
                <w:rFonts w:cs="Arial"/>
                <w:color w:val="000000"/>
                <w:sz w:val="22"/>
              </w:rPr>
              <w:t>Il y a donc là de nombreuses opportunités d'investissement pour les capitaux à risques, les Gouvernements Central et Provincial étant disposés à accorder des concessions de très longue durée pour permettre aux investisseurs de rentabiliser leurs capitaux moyennant péage.</w:t>
            </w:r>
          </w:p>
          <w:p w14:paraId="3710B13B" w14:textId="77777777" w:rsidR="001C2F95" w:rsidRPr="001857F5" w:rsidRDefault="001C2F95" w:rsidP="00971FD2">
            <w:pPr>
              <w:textAlignment w:val="baseline"/>
              <w:rPr>
                <w:rFonts w:cs="Arial"/>
                <w:color w:val="000000"/>
                <w:sz w:val="22"/>
              </w:rPr>
            </w:pPr>
          </w:p>
          <w:p w14:paraId="166BE387" w14:textId="77777777" w:rsidR="001C2F95" w:rsidRPr="001857F5" w:rsidRDefault="001C2F95" w:rsidP="00971FD2">
            <w:pPr>
              <w:textAlignment w:val="baseline"/>
              <w:rPr>
                <w:rFonts w:cs="Arial"/>
                <w:color w:val="000000"/>
                <w:sz w:val="22"/>
              </w:rPr>
            </w:pPr>
            <w:r w:rsidRPr="001857F5">
              <w:rPr>
                <w:rFonts w:cs="Arial"/>
                <w:color w:val="000000"/>
                <w:sz w:val="22"/>
              </w:rPr>
              <w:t>En 2019, le Projet PDPC a réhabilité 22 pistes rurales dans tous les Territoires de la Province du Kongo Central.</w:t>
            </w:r>
          </w:p>
          <w:p w14:paraId="44046345" w14:textId="77777777" w:rsidR="001857F5" w:rsidRPr="001857F5" w:rsidRDefault="001857F5" w:rsidP="00971FD2">
            <w:pPr>
              <w:textAlignment w:val="baseline"/>
              <w:rPr>
                <w:rFonts w:cs="Arial"/>
                <w:color w:val="000000"/>
                <w:sz w:val="22"/>
              </w:rPr>
            </w:pPr>
          </w:p>
          <w:p w14:paraId="776134DD" w14:textId="77777777" w:rsidR="001C2F95" w:rsidRPr="001857F5" w:rsidRDefault="001C2F95" w:rsidP="00971FD2">
            <w:pPr>
              <w:textAlignment w:val="baseline"/>
              <w:rPr>
                <w:rFonts w:cs="Arial"/>
                <w:b/>
                <w:i/>
                <w:color w:val="000000"/>
                <w:sz w:val="22"/>
              </w:rPr>
            </w:pPr>
            <w:r w:rsidRPr="001857F5">
              <w:rPr>
                <w:rFonts w:cs="Arial"/>
                <w:b/>
                <w:i/>
                <w:color w:val="000000"/>
                <w:sz w:val="22"/>
              </w:rPr>
              <w:t>Chemin de fer</w:t>
            </w:r>
          </w:p>
          <w:p w14:paraId="67360A94" w14:textId="77777777" w:rsidR="001C2F95" w:rsidRPr="001857F5" w:rsidRDefault="001C2F95" w:rsidP="00971FD2">
            <w:pPr>
              <w:textAlignment w:val="baseline"/>
              <w:rPr>
                <w:rFonts w:cs="Arial"/>
                <w:color w:val="000000"/>
                <w:sz w:val="22"/>
              </w:rPr>
            </w:pPr>
            <w:r w:rsidRPr="001857F5">
              <w:rPr>
                <w:rFonts w:cs="Arial"/>
                <w:color w:val="000000"/>
                <w:sz w:val="22"/>
              </w:rPr>
              <w:t xml:space="preserve">Afin de faciliter l'évacuation des produits qui seront importés via le Port en eaux profondes de Banana et les exportations du pays (principalement celle des minerais du Haut-Katanga) par la seule voie nationale sans rupture de charge, le Gouvernement Central a pris l'option de construire deux tronçons de voie ferrée pour compléter la voie ferrée nationale : le tronçon Ilebo-Kinshasa et le tronçon Matadi-Banana. </w:t>
            </w:r>
          </w:p>
        </w:tc>
      </w:tr>
      <w:tr w:rsidR="001C2F95" w:rsidRPr="001857F5" w14:paraId="13EB1FFF"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10D5615" w14:textId="77777777" w:rsidR="001C2F95" w:rsidRPr="001857F5" w:rsidRDefault="001C2F95" w:rsidP="00971FD2">
            <w:pPr>
              <w:rPr>
                <w:rFonts w:eastAsia="Calibri" w:cs="Arial"/>
                <w:b/>
                <w:sz w:val="22"/>
              </w:rPr>
            </w:pPr>
            <w:r w:rsidRPr="001857F5">
              <w:rPr>
                <w:rFonts w:eastAsia="Calibri" w:cs="Arial"/>
                <w:b/>
                <w:sz w:val="22"/>
              </w:rPr>
              <w:t>Accès à l’énergie</w:t>
            </w:r>
          </w:p>
        </w:tc>
        <w:tc>
          <w:tcPr>
            <w:tcW w:w="11287" w:type="dxa"/>
            <w:tcBorders>
              <w:top w:val="single" w:sz="4" w:space="0" w:color="000001"/>
              <w:left w:val="single" w:sz="4" w:space="0" w:color="000001"/>
              <w:bottom w:val="single" w:sz="4" w:space="0" w:color="000001"/>
              <w:right w:val="single" w:sz="4" w:space="0" w:color="000001"/>
            </w:tcBorders>
          </w:tcPr>
          <w:p w14:paraId="47AC2FD5" w14:textId="77777777" w:rsidR="001C2F95" w:rsidRPr="001857F5" w:rsidRDefault="001C2F95" w:rsidP="00971FD2">
            <w:pPr>
              <w:textAlignment w:val="baseline"/>
              <w:rPr>
                <w:rFonts w:cs="Arial"/>
                <w:color w:val="000000"/>
                <w:sz w:val="22"/>
              </w:rPr>
            </w:pPr>
            <w:r w:rsidRPr="001857F5">
              <w:rPr>
                <w:rFonts w:cs="Arial"/>
                <w:color w:val="000000"/>
                <w:sz w:val="22"/>
              </w:rPr>
              <w:t>L’accès à l’électricité reste globalement faible dans la Province alors que le pétrole est l’énergie la plus utilisée pour l’éclairage par les ménages. En effet, 16,1 % des ménages sont connectés au réseau électrique et utilisent l’électricité comme mode d’éclairage de leurs habitations. Ce pourcentage, légèrement supérieur à la moyenne nationale de 15 %, n’a connu qu’une faible amélioration depuis 2005, quand le taux de desserte était à 15 %. Au même moment, 71,5 % des ménages utilisent le pétrole avec la lampe tempête et la lampe Coleman. Finalement, si un ménage sur dix (9,8 %) en RDC utilise une énergie d’éclairage autre que les énergies classiques, dans la Province, cette proportion n’est que de 0,2 %. Pour la cuisson des aliments, la majeure partie des ménages dans la Province utilisent le bois de chauffe (61,4 %), et 30,2 % le charbon de bois, soit au total 91,6 % d’énergie de cuisson provenant de la forêt, avec des conséquences néfastes sur l’environnement en général (source : Rapport sur la situation économique de la Province du Kongo Central : «  Enjeux de la modernisation d'une province à fort potentiel énergétique face à la qualité de vie de sa population » Groupe de la Banque Mondiale – juin 2016.</w:t>
            </w:r>
          </w:p>
          <w:p w14:paraId="33B3CDCE" w14:textId="77777777" w:rsidR="001C2F95" w:rsidRPr="001857F5" w:rsidRDefault="001C2F95" w:rsidP="00971FD2">
            <w:pPr>
              <w:textAlignment w:val="baseline"/>
              <w:rPr>
                <w:rFonts w:cs="Arial"/>
                <w:color w:val="000000"/>
                <w:sz w:val="22"/>
              </w:rPr>
            </w:pPr>
            <w:r w:rsidRPr="001857F5">
              <w:rPr>
                <w:rFonts w:cs="Arial"/>
                <w:color w:val="000000"/>
                <w:sz w:val="22"/>
              </w:rPr>
              <w:t>Les jeunes garçons et jeunes filles font le ramassage de bois pour la survie. Par la suite, les filles sont plus exposées aux risques de VBG au cours de cette activité.</w:t>
            </w:r>
          </w:p>
        </w:tc>
      </w:tr>
      <w:tr w:rsidR="001C2F95" w:rsidRPr="001857F5" w14:paraId="7BD16C1F"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E372A0A" w14:textId="77777777" w:rsidR="001C2F95" w:rsidRPr="001857F5" w:rsidRDefault="001C2F95" w:rsidP="00971FD2">
            <w:pPr>
              <w:textAlignment w:val="baseline"/>
              <w:rPr>
                <w:rFonts w:cs="Arial"/>
                <w:b/>
                <w:iCs/>
                <w:color w:val="000000"/>
                <w:sz w:val="22"/>
                <w:shd w:val="clear" w:color="auto" w:fill="FFFFFF"/>
              </w:rPr>
            </w:pPr>
            <w:r w:rsidRPr="001857F5">
              <w:rPr>
                <w:rFonts w:cs="Arial"/>
                <w:b/>
                <w:iCs/>
                <w:color w:val="000000"/>
                <w:sz w:val="22"/>
                <w:shd w:val="clear" w:color="auto" w:fill="FFFFFF"/>
              </w:rPr>
              <w:t>Accès à l’eau</w:t>
            </w:r>
          </w:p>
        </w:tc>
        <w:tc>
          <w:tcPr>
            <w:tcW w:w="11287" w:type="dxa"/>
            <w:tcBorders>
              <w:top w:val="single" w:sz="4" w:space="0" w:color="000001"/>
              <w:left w:val="single" w:sz="4" w:space="0" w:color="000001"/>
              <w:bottom w:val="single" w:sz="4" w:space="0" w:color="000001"/>
              <w:right w:val="single" w:sz="4" w:space="0" w:color="000001"/>
            </w:tcBorders>
          </w:tcPr>
          <w:p w14:paraId="6554A882" w14:textId="77777777" w:rsidR="001C2F95" w:rsidRPr="001857F5" w:rsidRDefault="001C2F95" w:rsidP="00971FD2">
            <w:pPr>
              <w:textAlignment w:val="baseline"/>
              <w:rPr>
                <w:rFonts w:cs="Arial"/>
                <w:color w:val="000000"/>
                <w:sz w:val="22"/>
                <w:shd w:val="clear" w:color="auto" w:fill="FFFFFF"/>
              </w:rPr>
            </w:pPr>
            <w:r w:rsidRPr="001857F5">
              <w:rPr>
                <w:rFonts w:cs="Arial"/>
                <w:color w:val="000000"/>
                <w:sz w:val="22"/>
                <w:shd w:val="clear" w:color="auto" w:fill="FFFFFF"/>
              </w:rPr>
              <w:t>L’accès à l’eau potable est en amélioration dans la Province, mais demeure insuffisant, en dépit de l’immense potentiel en hydrographie. Dans la Province du Kongo Central, 61,3 % des ménages utilisent une source d’eau de boisson dite améliorée ; néanmoins 38,7 % déclarent que celle-ci se trouve dans leurs parcelles, ce qui signifie que la moitié des ménages dans le Kongo Central n’ont pas un accès direct à l’eau</w:t>
            </w:r>
            <w:r w:rsidR="00AB3C0C" w:rsidRPr="001857F5">
              <w:rPr>
                <w:rFonts w:cs="Arial"/>
                <w:color w:val="000000"/>
                <w:sz w:val="22"/>
                <w:shd w:val="clear" w:color="auto" w:fill="FFFFFF"/>
              </w:rPr>
              <w:t xml:space="preserve"> </w:t>
            </w:r>
            <w:r w:rsidR="00AB3C0C" w:rsidRPr="001857F5">
              <w:rPr>
                <w:rFonts w:cs="Arial"/>
                <w:color w:val="000000"/>
                <w:sz w:val="22"/>
              </w:rPr>
              <w:t>sur des routes insécures et à des heures tardives ou aux petites heures matinales</w:t>
            </w:r>
            <w:r w:rsidRPr="001857F5">
              <w:rPr>
                <w:rFonts w:cs="Arial"/>
                <w:color w:val="000000"/>
                <w:sz w:val="22"/>
                <w:shd w:val="clear" w:color="auto" w:fill="FFFFFF"/>
              </w:rPr>
              <w:t xml:space="preserve">. </w:t>
            </w:r>
            <w:r w:rsidRPr="001857F5">
              <w:rPr>
                <w:rFonts w:cs="Arial"/>
                <w:color w:val="000000"/>
                <w:sz w:val="22"/>
              </w:rPr>
              <w:t>Les jeunes filles sont exposées aux actes des VBG, y compris l’EAS et le HS, dans la communauté lorsqu’elles se rendent à la riv</w:t>
            </w:r>
            <w:r w:rsidR="00AB3C0C" w:rsidRPr="001857F5">
              <w:rPr>
                <w:rFonts w:cs="Arial"/>
                <w:color w:val="000000"/>
                <w:sz w:val="22"/>
              </w:rPr>
              <w:t>i</w:t>
            </w:r>
            <w:r w:rsidRPr="001857F5">
              <w:rPr>
                <w:rFonts w:cs="Arial"/>
                <w:color w:val="000000"/>
                <w:sz w:val="22"/>
              </w:rPr>
              <w:t>ère pour s’approvisionner en eau. Les jeunes adolescents surprennent et harcèlent les filles sur le trajet</w:t>
            </w:r>
            <w:r w:rsidR="00AB3C0C" w:rsidRPr="001857F5">
              <w:rPr>
                <w:rFonts w:cs="Arial"/>
                <w:color w:val="000000"/>
                <w:sz w:val="22"/>
              </w:rPr>
              <w:t xml:space="preserve"> et parfois obligent les filles à avoir des rapports sexuels avec eux</w:t>
            </w:r>
            <w:r w:rsidRPr="001857F5">
              <w:rPr>
                <w:rFonts w:cs="Arial"/>
                <w:color w:val="000000"/>
                <w:sz w:val="22"/>
              </w:rPr>
              <w:t>.</w:t>
            </w:r>
          </w:p>
        </w:tc>
      </w:tr>
      <w:tr w:rsidR="001C2F95" w:rsidRPr="001857F5" w14:paraId="2CB231E2"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C2DECDB" w14:textId="77777777" w:rsidR="001C2F95" w:rsidRPr="001857F5" w:rsidRDefault="001C2F95" w:rsidP="00971FD2">
            <w:pPr>
              <w:rPr>
                <w:rFonts w:eastAsia="Calibri" w:cs="Arial"/>
                <w:b/>
                <w:sz w:val="22"/>
              </w:rPr>
            </w:pPr>
            <w:r w:rsidRPr="001857F5">
              <w:rPr>
                <w:rFonts w:eastAsia="Calibri" w:cs="Arial"/>
                <w:b/>
                <w:sz w:val="22"/>
              </w:rPr>
              <w:t>Communication</w:t>
            </w:r>
          </w:p>
        </w:tc>
        <w:tc>
          <w:tcPr>
            <w:tcW w:w="11287" w:type="dxa"/>
            <w:tcBorders>
              <w:top w:val="single" w:sz="4" w:space="0" w:color="000001"/>
              <w:left w:val="single" w:sz="4" w:space="0" w:color="000001"/>
              <w:bottom w:val="single" w:sz="4" w:space="0" w:color="000001"/>
              <w:right w:val="single" w:sz="4" w:space="0" w:color="000001"/>
            </w:tcBorders>
          </w:tcPr>
          <w:p w14:paraId="78E45051" w14:textId="77777777" w:rsidR="001C2F95" w:rsidRPr="001857F5" w:rsidRDefault="001C2F95" w:rsidP="00971FD2">
            <w:pPr>
              <w:textAlignment w:val="baseline"/>
              <w:rPr>
                <w:rFonts w:cs="Arial"/>
                <w:color w:val="000000"/>
                <w:sz w:val="22"/>
              </w:rPr>
            </w:pPr>
            <w:r w:rsidRPr="001857F5">
              <w:rPr>
                <w:rFonts w:cs="Arial"/>
                <w:color w:val="000000"/>
                <w:sz w:val="22"/>
              </w:rPr>
              <w:t xml:space="preserve">Dans la Province du Kongo Central, l’on rencontre les entreprises de télécommunication cellulaire suivantes : Vodacom, Airtel et Orange. L’on note également dans la Province du Kongo Central la présence de la fibre optique qui n’est pas encore opérationnelle sur toute l’étendue de la République. Il y a aussi quelques cybercafés qui fournissent la connexion Internet. En ce qui concerne l’accès aux technologies de l’information et de la communication par le biais de l’internet, l’enquête 123 mentionne que 66,6% des ménages peuvent utiliser les services d’un cybercafé à moins de 20 minutes de leur domicile, dont 22,2% à moins de dix minutes. Seuls 22,3% des ménages n’y ont accès qu’après plus de cinquante minutes ou plus de marche. </w:t>
            </w:r>
          </w:p>
          <w:p w14:paraId="69EA2D8F" w14:textId="77777777" w:rsidR="00AB3C0C" w:rsidRPr="001857F5" w:rsidRDefault="00AB3C0C" w:rsidP="00971FD2">
            <w:pPr>
              <w:textAlignment w:val="baseline"/>
              <w:rPr>
                <w:rFonts w:cs="Arial"/>
                <w:color w:val="000000"/>
                <w:sz w:val="22"/>
              </w:rPr>
            </w:pPr>
          </w:p>
          <w:p w14:paraId="57E2A3C9" w14:textId="77777777" w:rsidR="00AB3C0C" w:rsidRPr="001857F5" w:rsidRDefault="00AB3C0C" w:rsidP="00971FD2">
            <w:pPr>
              <w:textAlignment w:val="baseline"/>
              <w:rPr>
                <w:rFonts w:cs="Arial"/>
                <w:color w:val="000000"/>
                <w:sz w:val="22"/>
              </w:rPr>
            </w:pPr>
            <w:r w:rsidRPr="001857F5">
              <w:rPr>
                <w:rFonts w:cs="Arial"/>
                <w:color w:val="000000"/>
                <w:sz w:val="22"/>
              </w:rPr>
              <w:t>Le Kongo Central, étant la Province la plus proche, est très influencé par la ville Province de Kinshasa. Ce qui fait qu’au niveau des zones urbaines les femmes comme les filles ont facilement accès aux téléphones mobiles. Le grand défi reste au niveau des zones rurales où les femmes moins instruites n’ont pas accès aux téléphones mobiles ni à l’internet. Les partenaires n’autorisent pas non plus l’accès aux téléphones et doivent passer par leur partenaire pour atteindre soit un membre de la famille.</w:t>
            </w:r>
          </w:p>
        </w:tc>
      </w:tr>
      <w:tr w:rsidR="001C2F95" w:rsidRPr="001857F5" w14:paraId="13829B65"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B30791A" w14:textId="77777777" w:rsidR="001C2F95" w:rsidRPr="001857F5" w:rsidRDefault="001C2F95" w:rsidP="00971FD2">
            <w:pPr>
              <w:rPr>
                <w:rFonts w:eastAsia="Calibri" w:cs="Arial"/>
                <w:b/>
                <w:sz w:val="22"/>
              </w:rPr>
            </w:pPr>
            <w:r w:rsidRPr="001857F5">
              <w:rPr>
                <w:rFonts w:eastAsia="Calibri" w:cs="Arial"/>
                <w:b/>
                <w:sz w:val="22"/>
              </w:rPr>
              <w:t>Aire protégée</w:t>
            </w:r>
          </w:p>
        </w:tc>
        <w:tc>
          <w:tcPr>
            <w:tcW w:w="11287" w:type="dxa"/>
            <w:tcBorders>
              <w:top w:val="single" w:sz="4" w:space="0" w:color="000001"/>
              <w:left w:val="single" w:sz="4" w:space="0" w:color="000001"/>
              <w:bottom w:val="single" w:sz="4" w:space="0" w:color="000001"/>
              <w:right w:val="single" w:sz="4" w:space="0" w:color="000001"/>
            </w:tcBorders>
          </w:tcPr>
          <w:p w14:paraId="1DA2B7A9" w14:textId="77777777" w:rsidR="001C2F95" w:rsidRPr="001857F5" w:rsidRDefault="001C2F95" w:rsidP="00971FD2">
            <w:pPr>
              <w:textAlignment w:val="baseline"/>
              <w:rPr>
                <w:rFonts w:cs="Arial"/>
                <w:color w:val="000000"/>
                <w:sz w:val="22"/>
              </w:rPr>
            </w:pPr>
            <w:r w:rsidRPr="001857F5">
              <w:rPr>
                <w:rFonts w:cs="Arial"/>
                <w:color w:val="000000"/>
                <w:sz w:val="22"/>
              </w:rPr>
              <w:t>La Province du Kongo Central regorge un seul parc national, le parc marin des mangroves et quelques réserves de chasse et de la flore, notamment celle de Luki dans le territoire de Lukula et Boma dans une partie de la forêt de May</w:t>
            </w:r>
            <w:r w:rsidR="001977A4">
              <w:rPr>
                <w:rFonts w:cs="Arial"/>
                <w:color w:val="000000"/>
                <w:sz w:val="22"/>
              </w:rPr>
              <w:t>o</w:t>
            </w:r>
            <w:r w:rsidRPr="001857F5">
              <w:rPr>
                <w:rFonts w:cs="Arial"/>
                <w:color w:val="000000"/>
                <w:sz w:val="22"/>
              </w:rPr>
              <w:t>mbe. L’on note également le jardin botanique de Kisantu.</w:t>
            </w:r>
          </w:p>
          <w:p w14:paraId="066C8060" w14:textId="77777777" w:rsidR="001C2F95" w:rsidRPr="001857F5" w:rsidRDefault="001C2F95" w:rsidP="00971FD2">
            <w:pPr>
              <w:textAlignment w:val="baseline"/>
              <w:rPr>
                <w:rFonts w:cs="Arial"/>
                <w:color w:val="000000"/>
                <w:sz w:val="22"/>
              </w:rPr>
            </w:pPr>
            <w:r w:rsidRPr="001857F5">
              <w:rPr>
                <w:rFonts w:cs="Arial"/>
                <w:color w:val="000000"/>
                <w:sz w:val="22"/>
              </w:rPr>
              <w:t xml:space="preserve"> </w:t>
            </w:r>
          </w:p>
          <w:p w14:paraId="0B859C46" w14:textId="77777777" w:rsidR="001C2F95" w:rsidRPr="001857F5" w:rsidRDefault="001C2F95" w:rsidP="00971FD2">
            <w:pPr>
              <w:textAlignment w:val="baseline"/>
              <w:rPr>
                <w:rFonts w:cs="Arial"/>
                <w:color w:val="000000"/>
                <w:sz w:val="22"/>
              </w:rPr>
            </w:pPr>
            <w:r w:rsidRPr="001857F5">
              <w:rPr>
                <w:rFonts w:cs="Arial"/>
                <w:color w:val="000000"/>
                <w:sz w:val="22"/>
              </w:rPr>
              <w:t xml:space="preserve">Parc Marin des Mangroves  </w:t>
            </w:r>
          </w:p>
          <w:p w14:paraId="1FC8E227" w14:textId="77777777" w:rsidR="001C2F95" w:rsidRPr="001857F5" w:rsidRDefault="001C2F95" w:rsidP="00971FD2">
            <w:pPr>
              <w:textAlignment w:val="baseline"/>
              <w:rPr>
                <w:rFonts w:cs="Arial"/>
                <w:color w:val="000000"/>
                <w:sz w:val="22"/>
              </w:rPr>
            </w:pPr>
          </w:p>
          <w:p w14:paraId="7898B8E6" w14:textId="77777777" w:rsidR="001C2F95" w:rsidRPr="001857F5" w:rsidRDefault="001C2F95" w:rsidP="00971FD2">
            <w:pPr>
              <w:textAlignment w:val="baseline"/>
              <w:rPr>
                <w:rFonts w:cs="Arial"/>
                <w:color w:val="000000"/>
                <w:sz w:val="22"/>
              </w:rPr>
            </w:pPr>
            <w:r w:rsidRPr="001857F5">
              <w:rPr>
                <w:rFonts w:cs="Arial"/>
                <w:color w:val="000000"/>
                <w:sz w:val="22"/>
              </w:rPr>
              <w:t xml:space="preserve">Le Parc Marin des Mangroves (PMM) est une réserve naturelle intégrale qui a été créée par l’arrêté ministériel n°0044/CM/ECN/92 du 2 mai 1992 en vue de protéger le biotope spécial du littoral atlantique et les ressources biologiques caractéristiques des zones humides dont la forêt des mangroves à palétuvier, le Lamantin, la Tortue, plusieurs espèces d’oiseaux aquatiques et, de contribuer à la promotion du tourisme dans l’axe Kinshasa – Océan. Le Parc Marin des Mangroves est situé à l’embouchure du Fleuve Congo dans la province du Kongo Central.  </w:t>
            </w:r>
          </w:p>
          <w:p w14:paraId="15FA3B61" w14:textId="77777777" w:rsidR="001C2F95" w:rsidRPr="001857F5" w:rsidRDefault="001C2F95" w:rsidP="00971FD2">
            <w:pPr>
              <w:textAlignment w:val="baseline"/>
              <w:rPr>
                <w:rFonts w:cs="Arial"/>
                <w:color w:val="000000"/>
                <w:sz w:val="22"/>
              </w:rPr>
            </w:pPr>
            <w:r w:rsidRPr="001857F5">
              <w:rPr>
                <w:rFonts w:cs="Arial"/>
                <w:color w:val="000000"/>
                <w:sz w:val="22"/>
              </w:rPr>
              <w:t xml:space="preserve"> </w:t>
            </w:r>
          </w:p>
          <w:p w14:paraId="3BC4BA67" w14:textId="77777777" w:rsidR="001C2F95" w:rsidRPr="001857F5" w:rsidRDefault="001C2F95" w:rsidP="00971FD2">
            <w:pPr>
              <w:textAlignment w:val="baseline"/>
              <w:rPr>
                <w:rFonts w:cs="Arial"/>
                <w:color w:val="000000"/>
                <w:sz w:val="22"/>
              </w:rPr>
            </w:pPr>
            <w:r w:rsidRPr="001857F5">
              <w:rPr>
                <w:rFonts w:cs="Arial"/>
                <w:color w:val="000000"/>
                <w:sz w:val="22"/>
              </w:rPr>
              <w:t xml:space="preserve">Il a une superficie de 768 km² (76 800 ha) dont 20 % sont situés dans l’océan Atlantique. Le PMM est un site RAMSAR. Le PMM est subdivisé en deux zones :   </w:t>
            </w:r>
          </w:p>
          <w:p w14:paraId="052FC3CF" w14:textId="77777777" w:rsidR="001C2F95" w:rsidRPr="001857F5" w:rsidRDefault="001C2F95" w:rsidP="00971FD2">
            <w:pPr>
              <w:textAlignment w:val="baseline"/>
              <w:rPr>
                <w:rFonts w:cs="Arial"/>
                <w:color w:val="000000"/>
                <w:sz w:val="22"/>
              </w:rPr>
            </w:pPr>
            <w:r w:rsidRPr="001857F5">
              <w:rPr>
                <w:rFonts w:cs="Arial"/>
                <w:color w:val="000000"/>
                <w:sz w:val="22"/>
              </w:rPr>
              <w:t xml:space="preserve"> </w:t>
            </w:r>
          </w:p>
          <w:p w14:paraId="14778D21" w14:textId="77777777" w:rsidR="001C2F95" w:rsidRPr="001857F5" w:rsidRDefault="001C2F95" w:rsidP="002378EA">
            <w:pPr>
              <w:pStyle w:val="Paragraphedeliste"/>
              <w:numPr>
                <w:ilvl w:val="0"/>
                <w:numId w:val="44"/>
              </w:numPr>
              <w:textAlignment w:val="baseline"/>
              <w:rPr>
                <w:rFonts w:cs="Arial"/>
                <w:color w:val="000000"/>
                <w:sz w:val="22"/>
              </w:rPr>
            </w:pPr>
            <w:r w:rsidRPr="001857F5">
              <w:rPr>
                <w:rFonts w:cs="Arial"/>
                <w:color w:val="000000"/>
                <w:sz w:val="22"/>
              </w:rPr>
              <w:t xml:space="preserve">la Zone A de protection intégrale proprement dite comprenant la majeure partie des mangroves à palétuviers et constituée d’îlots et de chenaux et,  </w:t>
            </w:r>
          </w:p>
          <w:p w14:paraId="496DF5EB" w14:textId="77777777" w:rsidR="001C2F95" w:rsidRPr="001857F5" w:rsidRDefault="001C2F95" w:rsidP="002378EA">
            <w:pPr>
              <w:pStyle w:val="Paragraphedeliste"/>
              <w:numPr>
                <w:ilvl w:val="0"/>
                <w:numId w:val="44"/>
              </w:numPr>
              <w:textAlignment w:val="baseline"/>
              <w:rPr>
                <w:rFonts w:cs="Arial"/>
                <w:color w:val="000000"/>
                <w:sz w:val="22"/>
              </w:rPr>
            </w:pPr>
            <w:r w:rsidRPr="001857F5">
              <w:rPr>
                <w:rFonts w:cs="Arial"/>
                <w:color w:val="000000"/>
                <w:sz w:val="22"/>
              </w:rPr>
              <w:t xml:space="preserve">la Zone B de protection partielle caractérisée par la savane humide dénudée avec des étangs.  </w:t>
            </w:r>
          </w:p>
          <w:p w14:paraId="1A80046D" w14:textId="77777777" w:rsidR="001C2F95" w:rsidRPr="001857F5" w:rsidRDefault="001C2F95" w:rsidP="00971FD2">
            <w:pPr>
              <w:textAlignment w:val="baseline"/>
              <w:rPr>
                <w:rFonts w:cs="Arial"/>
                <w:color w:val="000000"/>
                <w:sz w:val="22"/>
              </w:rPr>
            </w:pPr>
          </w:p>
          <w:p w14:paraId="3C368B16" w14:textId="77777777" w:rsidR="001C2F95" w:rsidRPr="001857F5" w:rsidRDefault="001C2F95" w:rsidP="00971FD2">
            <w:pPr>
              <w:textAlignment w:val="baseline"/>
              <w:rPr>
                <w:rFonts w:cs="Arial"/>
                <w:color w:val="000000"/>
                <w:sz w:val="22"/>
              </w:rPr>
            </w:pPr>
            <w:r w:rsidRPr="001857F5">
              <w:rPr>
                <w:rFonts w:cs="Arial"/>
                <w:color w:val="000000"/>
                <w:sz w:val="22"/>
              </w:rPr>
              <w:t>Les principales espèces du PMM sont les tortues marines et les lamantins. On note aussi la présence du Buffle, du Potamochère, du Cercopithèque (sp.), de l’Hippopotame, du Céphalophe (sp.), du Sitatunga, du Guib harnaché. Il y aurait, en outre 40 espèces de poissons et 13 espèces de reptiles. L’habitat est constitué de forêts marécageuses, de forêts périodiquement inondées, de forêts de mangroves, ainsi que de savanes.</w:t>
            </w:r>
          </w:p>
        </w:tc>
      </w:tr>
    </w:tbl>
    <w:p w14:paraId="14902159" w14:textId="77777777" w:rsidR="001C2F95" w:rsidRPr="001857F5" w:rsidRDefault="001C2F95" w:rsidP="001C2F95">
      <w:pPr>
        <w:jc w:val="center"/>
        <w:rPr>
          <w:rFonts w:cs="Arial"/>
          <w:i/>
          <w:sz w:val="22"/>
        </w:rPr>
      </w:pPr>
      <w:r w:rsidRPr="001857F5">
        <w:rPr>
          <w:rFonts w:cs="Arial"/>
          <w:i/>
          <w:sz w:val="22"/>
        </w:rPr>
        <w:t xml:space="preserve">Source : </w:t>
      </w:r>
      <w:hyperlink r:id="rId35" w:history="1">
        <w:r w:rsidRPr="001857F5">
          <w:rPr>
            <w:rStyle w:val="Lienhypertexte"/>
            <w:rFonts w:cs="Arial"/>
            <w:sz w:val="22"/>
          </w:rPr>
          <w:t>https://www.caid.cd/index.php/donnees-par-province-administrative/province-de-Kongo Central/?donnees=fiche</w:t>
        </w:r>
      </w:hyperlink>
      <w:r w:rsidRPr="001857F5">
        <w:rPr>
          <w:rFonts w:cs="Arial"/>
          <w:sz w:val="22"/>
        </w:rPr>
        <w:t xml:space="preserve"> </w:t>
      </w:r>
      <w:r w:rsidRPr="001857F5">
        <w:rPr>
          <w:rFonts w:cs="Arial"/>
          <w:i/>
          <w:sz w:val="22"/>
        </w:rPr>
        <w:t xml:space="preserve">,01 mai 2020 </w:t>
      </w:r>
    </w:p>
    <w:p w14:paraId="785C1AE3" w14:textId="77777777" w:rsidR="001C2F95" w:rsidRPr="001857F5" w:rsidRDefault="001C2F95" w:rsidP="001C2F95">
      <w:pPr>
        <w:spacing w:line="240" w:lineRule="auto"/>
        <w:jc w:val="left"/>
        <w:rPr>
          <w:rFonts w:cs="Arial"/>
          <w:sz w:val="22"/>
        </w:rPr>
      </w:pPr>
    </w:p>
    <w:p w14:paraId="00806237" w14:textId="77777777" w:rsidR="001C2F95" w:rsidRPr="001857F5" w:rsidRDefault="001C2F95" w:rsidP="001C2F95">
      <w:pPr>
        <w:spacing w:line="240" w:lineRule="auto"/>
        <w:jc w:val="left"/>
        <w:rPr>
          <w:rFonts w:cs="Arial"/>
          <w:sz w:val="22"/>
        </w:rPr>
      </w:pPr>
    </w:p>
    <w:p w14:paraId="5844933F" w14:textId="77777777" w:rsidR="001C2F95" w:rsidRPr="001857F5" w:rsidRDefault="001C2F95" w:rsidP="001C2F95">
      <w:pPr>
        <w:spacing w:line="240" w:lineRule="auto"/>
        <w:jc w:val="left"/>
        <w:rPr>
          <w:rFonts w:cs="Arial"/>
          <w:sz w:val="22"/>
        </w:rPr>
      </w:pPr>
      <w:r w:rsidRPr="001857F5">
        <w:rPr>
          <w:rFonts w:cs="Arial"/>
          <w:sz w:val="22"/>
        </w:rPr>
        <w:br w:type="page"/>
      </w:r>
    </w:p>
    <w:p w14:paraId="59D1CBBA" w14:textId="77777777" w:rsidR="001C2F95" w:rsidRPr="001857F5" w:rsidRDefault="001C2F95" w:rsidP="001C2F95">
      <w:pPr>
        <w:spacing w:line="240" w:lineRule="auto"/>
        <w:jc w:val="left"/>
        <w:rPr>
          <w:rFonts w:cs="Arial"/>
          <w:i/>
          <w:sz w:val="22"/>
        </w:rPr>
      </w:pPr>
      <w:bookmarkStart w:id="215" w:name="_Toc70451651"/>
      <w:r w:rsidRPr="001857F5">
        <w:rPr>
          <w:rFonts w:cs="Arial"/>
          <w:sz w:val="22"/>
        </w:rPr>
        <w:t xml:space="preserve">Tableau </w:t>
      </w:r>
      <w:r w:rsidRPr="001857F5">
        <w:rPr>
          <w:rFonts w:cs="Arial"/>
          <w:sz w:val="22"/>
        </w:rPr>
        <w:fldChar w:fldCharType="begin"/>
      </w:r>
      <w:r w:rsidRPr="001857F5">
        <w:rPr>
          <w:rFonts w:cs="Arial"/>
          <w:sz w:val="22"/>
        </w:rPr>
        <w:instrText xml:space="preserve"> SEQ Tableau \* ARABIC </w:instrText>
      </w:r>
      <w:r w:rsidRPr="001857F5">
        <w:rPr>
          <w:rFonts w:cs="Arial"/>
          <w:sz w:val="22"/>
        </w:rPr>
        <w:fldChar w:fldCharType="separate"/>
      </w:r>
      <w:r w:rsidR="001260B3">
        <w:rPr>
          <w:rFonts w:cs="Arial"/>
          <w:noProof/>
          <w:sz w:val="22"/>
        </w:rPr>
        <w:t>5</w:t>
      </w:r>
      <w:r w:rsidRPr="001857F5">
        <w:rPr>
          <w:rFonts w:cs="Arial"/>
          <w:sz w:val="22"/>
        </w:rPr>
        <w:fldChar w:fldCharType="end"/>
      </w:r>
      <w:r w:rsidRPr="001857F5">
        <w:rPr>
          <w:rFonts w:cs="Arial"/>
          <w:sz w:val="22"/>
        </w:rPr>
        <w:t>. Données socio-économiques de la Province du Kasaï Central</w:t>
      </w:r>
      <w:bookmarkEnd w:id="215"/>
    </w:p>
    <w:p w14:paraId="60817CD4" w14:textId="77777777" w:rsidR="001C2F95" w:rsidRPr="001857F5" w:rsidRDefault="001C2F95" w:rsidP="001C2F95">
      <w:pPr>
        <w:jc w:val="center"/>
        <w:rPr>
          <w:rFonts w:cs="Arial"/>
          <w:i/>
          <w:sz w:val="22"/>
        </w:rPr>
      </w:pPr>
    </w:p>
    <w:tbl>
      <w:tblPr>
        <w:tblW w:w="1366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78"/>
        <w:gridCol w:w="11287"/>
      </w:tblGrid>
      <w:tr w:rsidR="001C2F95" w:rsidRPr="001857F5" w14:paraId="4BE8199D" w14:textId="77777777" w:rsidTr="00971FD2">
        <w:trPr>
          <w:trHeight w:val="414"/>
          <w:tblHeader/>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C2D69B"/>
            <w:tcMar>
              <w:left w:w="108" w:type="dxa"/>
            </w:tcMar>
          </w:tcPr>
          <w:p w14:paraId="629EBE2F" w14:textId="77777777" w:rsidR="001C2F95" w:rsidRPr="001857F5" w:rsidRDefault="001C2F95" w:rsidP="00971FD2">
            <w:pPr>
              <w:jc w:val="center"/>
              <w:rPr>
                <w:rFonts w:eastAsia="Calibri" w:cs="Arial"/>
                <w:b/>
                <w:sz w:val="22"/>
              </w:rPr>
            </w:pPr>
            <w:r w:rsidRPr="001857F5">
              <w:rPr>
                <w:rFonts w:eastAsia="Calibri" w:cs="Arial"/>
                <w:b/>
                <w:sz w:val="22"/>
              </w:rPr>
              <w:t>Secteur</w:t>
            </w:r>
          </w:p>
        </w:tc>
        <w:tc>
          <w:tcPr>
            <w:tcW w:w="11287" w:type="dxa"/>
            <w:tcBorders>
              <w:top w:val="single" w:sz="4" w:space="0" w:color="000001"/>
              <w:left w:val="single" w:sz="4" w:space="0" w:color="000001"/>
              <w:bottom w:val="single" w:sz="4" w:space="0" w:color="000001"/>
              <w:right w:val="single" w:sz="4" w:space="0" w:color="000001"/>
            </w:tcBorders>
            <w:shd w:val="clear" w:color="auto" w:fill="C2D69B"/>
          </w:tcPr>
          <w:p w14:paraId="7EF303DC" w14:textId="77777777" w:rsidR="001C2F95" w:rsidRPr="001857F5" w:rsidRDefault="001C2F95" w:rsidP="00971FD2">
            <w:pPr>
              <w:jc w:val="center"/>
              <w:rPr>
                <w:rFonts w:eastAsia="Calibri" w:cs="Arial"/>
                <w:b/>
                <w:sz w:val="22"/>
              </w:rPr>
            </w:pPr>
            <w:r w:rsidRPr="001857F5">
              <w:rPr>
                <w:rFonts w:eastAsia="Calibri" w:cs="Arial"/>
                <w:b/>
                <w:sz w:val="22"/>
              </w:rPr>
              <w:t>Province du Kasaï Central</w:t>
            </w:r>
          </w:p>
        </w:tc>
      </w:tr>
      <w:tr w:rsidR="001C2F95" w:rsidRPr="001857F5" w14:paraId="276FCF41" w14:textId="77777777" w:rsidTr="00971FD2">
        <w:trPr>
          <w:trHeight w:val="276"/>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22B7E45" w14:textId="77777777" w:rsidR="001C2F95" w:rsidRPr="001857F5" w:rsidRDefault="001C2F95" w:rsidP="00971FD2">
            <w:pPr>
              <w:rPr>
                <w:rFonts w:cs="Arial"/>
                <w:b/>
                <w:iCs/>
                <w:color w:val="000000"/>
                <w:sz w:val="22"/>
              </w:rPr>
            </w:pPr>
            <w:r w:rsidRPr="001857F5">
              <w:rPr>
                <w:rFonts w:cs="Arial"/>
                <w:b/>
                <w:iCs/>
                <w:color w:val="000000"/>
                <w:sz w:val="22"/>
              </w:rPr>
              <w:t>Situation géographique</w:t>
            </w:r>
          </w:p>
        </w:tc>
        <w:tc>
          <w:tcPr>
            <w:tcW w:w="11287" w:type="dxa"/>
            <w:tcBorders>
              <w:top w:val="single" w:sz="4" w:space="0" w:color="000001"/>
              <w:left w:val="single" w:sz="4" w:space="0" w:color="000001"/>
              <w:bottom w:val="single" w:sz="4" w:space="0" w:color="000001"/>
              <w:right w:val="single" w:sz="4" w:space="0" w:color="000001"/>
            </w:tcBorders>
          </w:tcPr>
          <w:p w14:paraId="7997D58F" w14:textId="77777777" w:rsidR="001C2F95" w:rsidRPr="001857F5" w:rsidRDefault="001C2F95" w:rsidP="00971FD2">
            <w:pPr>
              <w:textAlignment w:val="baseline"/>
              <w:rPr>
                <w:rFonts w:cs="Arial"/>
                <w:b/>
                <w:i/>
                <w:color w:val="000000"/>
                <w:sz w:val="22"/>
              </w:rPr>
            </w:pPr>
            <w:r w:rsidRPr="001857F5">
              <w:rPr>
                <w:rFonts w:cs="Arial"/>
                <w:b/>
                <w:i/>
                <w:color w:val="000000"/>
                <w:sz w:val="22"/>
              </w:rPr>
              <w:t>Localisation </w:t>
            </w:r>
          </w:p>
          <w:p w14:paraId="50E8CD81" w14:textId="77777777" w:rsidR="001C2F95" w:rsidRPr="001857F5" w:rsidRDefault="001C2F95" w:rsidP="00971FD2">
            <w:pPr>
              <w:rPr>
                <w:rFonts w:cs="Arial"/>
                <w:color w:val="000000"/>
                <w:sz w:val="22"/>
              </w:rPr>
            </w:pPr>
            <w:r w:rsidRPr="001857F5">
              <w:rPr>
                <w:rFonts w:cs="Arial"/>
                <w:color w:val="000000"/>
                <w:sz w:val="22"/>
              </w:rPr>
              <w:t xml:space="preserve">Le Kasaï Central est depuis 2015 une Province de la </w:t>
            </w:r>
            <w:hyperlink r:id="rId36" w:tooltip="République démocratique du Congo" w:history="1">
              <w:r w:rsidRPr="001857F5">
                <w:rPr>
                  <w:rFonts w:cs="Arial"/>
                  <w:color w:val="000000"/>
                  <w:sz w:val="22"/>
                </w:rPr>
                <w:t>République Démocratique du Congo</w:t>
              </w:r>
            </w:hyperlink>
            <w:r w:rsidRPr="001857F5">
              <w:rPr>
                <w:rFonts w:cs="Arial"/>
                <w:color w:val="000000"/>
                <w:sz w:val="22"/>
              </w:rPr>
              <w:t xml:space="preserve"> à la suite de l'éclatement de l’ancienne Province du </w:t>
            </w:r>
            <w:hyperlink r:id="rId37" w:tooltip="Kasaï-Occidental" w:history="1">
              <w:r w:rsidRPr="001857F5">
                <w:rPr>
                  <w:rFonts w:cs="Arial"/>
                  <w:color w:val="000000"/>
                  <w:sz w:val="22"/>
                </w:rPr>
                <w:t>Kasaï-Occidental</w:t>
              </w:r>
            </w:hyperlink>
            <w:r w:rsidRPr="001857F5">
              <w:rPr>
                <w:rFonts w:cs="Arial"/>
                <w:color w:val="000000"/>
                <w:sz w:val="22"/>
              </w:rPr>
              <w:t xml:space="preserve">. Elle a pour Chef-lieu la Ville de </w:t>
            </w:r>
            <w:hyperlink r:id="rId38" w:tooltip="Kananga" w:history="1">
              <w:r w:rsidRPr="001857F5">
                <w:rPr>
                  <w:rFonts w:cs="Arial"/>
                  <w:color w:val="000000"/>
                  <w:sz w:val="22"/>
                </w:rPr>
                <w:t>Kananga</w:t>
              </w:r>
            </w:hyperlink>
            <w:r w:rsidRPr="001857F5">
              <w:rPr>
                <w:rFonts w:cs="Arial"/>
                <w:color w:val="000000"/>
                <w:sz w:val="22"/>
              </w:rPr>
              <w:t xml:space="preserve">. </w:t>
            </w:r>
          </w:p>
          <w:p w14:paraId="0E209FC3" w14:textId="77777777" w:rsidR="001C2F95" w:rsidRPr="001857F5" w:rsidRDefault="001C2F95" w:rsidP="00971FD2">
            <w:pPr>
              <w:rPr>
                <w:rFonts w:cs="Arial"/>
                <w:color w:val="000000"/>
                <w:sz w:val="22"/>
              </w:rPr>
            </w:pPr>
          </w:p>
          <w:p w14:paraId="149DC3C6" w14:textId="77777777" w:rsidR="001C2F95" w:rsidRPr="001857F5" w:rsidRDefault="001C2F95" w:rsidP="00971FD2">
            <w:pPr>
              <w:rPr>
                <w:rFonts w:cs="Arial"/>
                <w:color w:val="000000"/>
                <w:sz w:val="22"/>
              </w:rPr>
            </w:pPr>
            <w:r w:rsidRPr="001857F5">
              <w:rPr>
                <w:rFonts w:cs="Arial"/>
                <w:color w:val="000000"/>
                <w:sz w:val="22"/>
              </w:rPr>
              <w:t xml:space="preserve">La Province du Kasaï Central est bornée au Nord par la Province de </w:t>
            </w:r>
            <w:hyperlink r:id="rId39" w:tooltip="Sankuru (district)" w:history="1">
              <w:r w:rsidRPr="001857F5">
                <w:rPr>
                  <w:rFonts w:cs="Arial"/>
                  <w:color w:val="000000"/>
                  <w:sz w:val="22"/>
                </w:rPr>
                <w:t>Sankuru</w:t>
              </w:r>
            </w:hyperlink>
            <w:r w:rsidRPr="001857F5">
              <w:rPr>
                <w:rFonts w:cs="Arial"/>
                <w:color w:val="000000"/>
                <w:sz w:val="22"/>
              </w:rPr>
              <w:t>, au Sud par la Province angolaise de Lunda Norte et de la Province du Lualaba, à l’Est par la Province du Kasaï-Oriental et à l’Ouest par la Province du Kasaï.</w:t>
            </w:r>
          </w:p>
          <w:p w14:paraId="036C44CC" w14:textId="77777777" w:rsidR="001C2F95" w:rsidRPr="001857F5" w:rsidRDefault="001C2F95" w:rsidP="00971FD2">
            <w:pPr>
              <w:rPr>
                <w:rFonts w:cs="Arial"/>
                <w:color w:val="000000"/>
                <w:sz w:val="22"/>
              </w:rPr>
            </w:pPr>
          </w:p>
          <w:p w14:paraId="6B97EC9F" w14:textId="77777777" w:rsidR="001C2F95" w:rsidRPr="001857F5" w:rsidRDefault="001C2F95" w:rsidP="00971FD2">
            <w:pPr>
              <w:rPr>
                <w:rFonts w:cs="Arial"/>
                <w:color w:val="000000"/>
                <w:sz w:val="22"/>
              </w:rPr>
            </w:pPr>
            <w:r w:rsidRPr="001857F5">
              <w:rPr>
                <w:rFonts w:cs="Arial"/>
                <w:color w:val="000000"/>
                <w:sz w:val="22"/>
              </w:rPr>
              <w:t>Elle a une superficie de 58 368 km</w:t>
            </w:r>
            <w:r w:rsidRPr="001857F5">
              <w:rPr>
                <w:rFonts w:cs="Arial"/>
                <w:color w:val="000000"/>
                <w:sz w:val="22"/>
                <w:vertAlign w:val="superscript"/>
              </w:rPr>
              <w:t>2</w:t>
            </w:r>
            <w:r w:rsidRPr="001857F5">
              <w:rPr>
                <w:rFonts w:cs="Arial"/>
                <w:color w:val="000000"/>
                <w:sz w:val="22"/>
              </w:rPr>
              <w:t xml:space="preserve"> et est située entre les </w:t>
            </w:r>
            <w:hyperlink r:id="rId40" w:tooltip="Parallèle (géographie)" w:history="1">
              <w:r w:rsidRPr="001857F5">
                <w:rPr>
                  <w:rFonts w:cs="Arial"/>
                  <w:color w:val="000000"/>
                  <w:sz w:val="22"/>
                </w:rPr>
                <w:t>parallèles</w:t>
              </w:r>
            </w:hyperlink>
            <w:r w:rsidRPr="001857F5">
              <w:rPr>
                <w:rFonts w:cs="Arial"/>
                <w:color w:val="000000"/>
                <w:sz w:val="22"/>
              </w:rPr>
              <w:t xml:space="preserve"> 2° et 8° de </w:t>
            </w:r>
            <w:hyperlink r:id="rId41" w:tooltip="Latitude" w:history="1">
              <w:r w:rsidRPr="001857F5">
                <w:rPr>
                  <w:rFonts w:cs="Arial"/>
                  <w:color w:val="000000"/>
                  <w:sz w:val="22"/>
                </w:rPr>
                <w:t>latitude</w:t>
              </w:r>
            </w:hyperlink>
            <w:r w:rsidRPr="001857F5">
              <w:rPr>
                <w:rFonts w:cs="Arial"/>
                <w:color w:val="000000"/>
                <w:sz w:val="22"/>
              </w:rPr>
              <w:t xml:space="preserve"> Sud et entre les </w:t>
            </w:r>
            <w:hyperlink r:id="rId42" w:tooltip="Méridien" w:history="1">
              <w:r w:rsidRPr="001857F5">
                <w:rPr>
                  <w:rFonts w:cs="Arial"/>
                  <w:color w:val="000000"/>
                  <w:sz w:val="22"/>
                </w:rPr>
                <w:t>méridiens</w:t>
              </w:r>
            </w:hyperlink>
            <w:r w:rsidRPr="001857F5">
              <w:rPr>
                <w:rFonts w:cs="Arial"/>
                <w:color w:val="000000"/>
                <w:sz w:val="22"/>
              </w:rPr>
              <w:t xml:space="preserve"> 21°30’ et 24° de </w:t>
            </w:r>
            <w:hyperlink r:id="rId43" w:tooltip="Longitude" w:history="1">
              <w:r w:rsidRPr="001857F5">
                <w:rPr>
                  <w:rFonts w:cs="Arial"/>
                  <w:color w:val="000000"/>
                  <w:sz w:val="22"/>
                </w:rPr>
                <w:t>longitude</w:t>
              </w:r>
            </w:hyperlink>
            <w:r w:rsidRPr="001857F5">
              <w:rPr>
                <w:rFonts w:cs="Arial"/>
                <w:color w:val="000000"/>
                <w:sz w:val="22"/>
              </w:rPr>
              <w:t xml:space="preserve"> Est.</w:t>
            </w:r>
          </w:p>
          <w:p w14:paraId="3E5D778A" w14:textId="77777777" w:rsidR="001C2F95" w:rsidRPr="001857F5" w:rsidRDefault="001C2F95" w:rsidP="00971FD2">
            <w:pPr>
              <w:jc w:val="left"/>
              <w:textAlignment w:val="baseline"/>
              <w:rPr>
                <w:rFonts w:cs="Arial"/>
                <w:color w:val="000000"/>
                <w:sz w:val="22"/>
              </w:rPr>
            </w:pPr>
          </w:p>
          <w:p w14:paraId="22BFB2A4" w14:textId="77777777" w:rsidR="001C2F95" w:rsidRPr="001857F5" w:rsidRDefault="001C2F95" w:rsidP="00971FD2">
            <w:pPr>
              <w:textAlignment w:val="baseline"/>
              <w:rPr>
                <w:rFonts w:cs="Arial"/>
                <w:b/>
                <w:i/>
                <w:color w:val="000000"/>
                <w:sz w:val="22"/>
              </w:rPr>
            </w:pPr>
            <w:r w:rsidRPr="001857F5">
              <w:rPr>
                <w:rFonts w:cs="Arial"/>
                <w:b/>
                <w:i/>
                <w:color w:val="000000"/>
                <w:sz w:val="22"/>
              </w:rPr>
              <w:t>Climat et saisons </w:t>
            </w:r>
          </w:p>
          <w:p w14:paraId="2F34F853" w14:textId="77777777" w:rsidR="001C2F95" w:rsidRPr="001857F5" w:rsidRDefault="001C2F95" w:rsidP="00971FD2">
            <w:pPr>
              <w:rPr>
                <w:rFonts w:cs="Arial"/>
                <w:color w:val="000000"/>
                <w:sz w:val="22"/>
              </w:rPr>
            </w:pPr>
            <w:r w:rsidRPr="001857F5">
              <w:rPr>
                <w:rFonts w:cs="Arial"/>
                <w:color w:val="000000"/>
                <w:sz w:val="22"/>
              </w:rPr>
              <w:t xml:space="preserve">Le </w:t>
            </w:r>
            <w:hyperlink r:id="rId44" w:tooltip="Climat" w:history="1">
              <w:r w:rsidRPr="001857F5">
                <w:rPr>
                  <w:rFonts w:cs="Arial"/>
                  <w:color w:val="000000"/>
                  <w:sz w:val="22"/>
                </w:rPr>
                <w:t>climat</w:t>
              </w:r>
            </w:hyperlink>
            <w:r w:rsidRPr="001857F5">
              <w:rPr>
                <w:rFonts w:cs="Arial"/>
                <w:color w:val="000000"/>
                <w:sz w:val="22"/>
              </w:rPr>
              <w:t xml:space="preserve"> de la Province du Kasaï Central est du type </w:t>
            </w:r>
            <w:hyperlink r:id="rId45" w:tooltip="Climat tropical" w:history="1">
              <w:r w:rsidRPr="001857F5">
                <w:rPr>
                  <w:rFonts w:cs="Arial"/>
                  <w:color w:val="000000"/>
                  <w:sz w:val="22"/>
                </w:rPr>
                <w:t>tropical chaud et humide</w:t>
              </w:r>
            </w:hyperlink>
            <w:r w:rsidRPr="001857F5">
              <w:rPr>
                <w:rFonts w:cs="Arial"/>
                <w:color w:val="000000"/>
                <w:sz w:val="22"/>
              </w:rPr>
              <w:t xml:space="preserve"> caractérisé par l’alternance des </w:t>
            </w:r>
            <w:hyperlink r:id="rId46" w:tooltip="Saison" w:history="1">
              <w:r w:rsidRPr="001857F5">
                <w:rPr>
                  <w:rFonts w:cs="Arial"/>
                  <w:color w:val="000000"/>
                  <w:sz w:val="22"/>
                </w:rPr>
                <w:t>saisons</w:t>
              </w:r>
            </w:hyperlink>
            <w:r w:rsidRPr="001857F5">
              <w:rPr>
                <w:rFonts w:cs="Arial"/>
                <w:color w:val="000000"/>
                <w:sz w:val="22"/>
              </w:rPr>
              <w:t xml:space="preserve">, à savoir : la </w:t>
            </w:r>
            <w:hyperlink r:id="rId47" w:tooltip="Saison humide" w:history="1">
              <w:r w:rsidRPr="001857F5">
                <w:rPr>
                  <w:rFonts w:cs="Arial"/>
                  <w:color w:val="000000"/>
                  <w:sz w:val="22"/>
                </w:rPr>
                <w:t>saison des pluie</w:t>
              </w:r>
            </w:hyperlink>
            <w:r w:rsidRPr="001857F5">
              <w:rPr>
                <w:rFonts w:cs="Arial"/>
                <w:color w:val="000000"/>
                <w:sz w:val="22"/>
              </w:rPr>
              <w:t xml:space="preserve">s et la </w:t>
            </w:r>
            <w:hyperlink r:id="rId48" w:tooltip="Saison sèche" w:history="1">
              <w:r w:rsidRPr="001857F5">
                <w:rPr>
                  <w:rFonts w:cs="Arial"/>
                  <w:color w:val="000000"/>
                  <w:sz w:val="22"/>
                </w:rPr>
                <w:t>saison sèche</w:t>
              </w:r>
            </w:hyperlink>
            <w:r w:rsidRPr="001857F5">
              <w:rPr>
                <w:rFonts w:cs="Arial"/>
                <w:color w:val="000000"/>
                <w:sz w:val="22"/>
              </w:rPr>
              <w:t xml:space="preserve">. </w:t>
            </w:r>
          </w:p>
          <w:p w14:paraId="1E274B37" w14:textId="77777777" w:rsidR="001C2F95" w:rsidRPr="001857F5" w:rsidRDefault="001C2F95" w:rsidP="00971FD2">
            <w:pPr>
              <w:textAlignment w:val="baseline"/>
              <w:rPr>
                <w:rFonts w:cs="Arial"/>
                <w:b/>
                <w:color w:val="000000"/>
                <w:sz w:val="22"/>
              </w:rPr>
            </w:pPr>
          </w:p>
          <w:p w14:paraId="647D4642" w14:textId="77777777" w:rsidR="001C2F95" w:rsidRPr="001857F5" w:rsidRDefault="001C2F95" w:rsidP="00971FD2">
            <w:pPr>
              <w:textAlignment w:val="baseline"/>
              <w:rPr>
                <w:rFonts w:cs="Arial"/>
                <w:b/>
                <w:i/>
                <w:color w:val="000000"/>
                <w:sz w:val="22"/>
              </w:rPr>
            </w:pPr>
            <w:r w:rsidRPr="001857F5">
              <w:rPr>
                <w:rFonts w:cs="Arial"/>
                <w:b/>
                <w:i/>
                <w:color w:val="000000"/>
                <w:sz w:val="22"/>
              </w:rPr>
              <w:t>Hydrographie</w:t>
            </w:r>
          </w:p>
          <w:p w14:paraId="34FD448B" w14:textId="77777777" w:rsidR="001C2F95" w:rsidRPr="001857F5" w:rsidRDefault="001C2F95" w:rsidP="00971FD2">
            <w:pPr>
              <w:textAlignment w:val="baseline"/>
              <w:rPr>
                <w:rFonts w:cs="Arial"/>
                <w:color w:val="000000"/>
                <w:sz w:val="22"/>
              </w:rPr>
            </w:pPr>
            <w:r w:rsidRPr="001857F5">
              <w:rPr>
                <w:rFonts w:cs="Arial"/>
                <w:color w:val="000000"/>
                <w:sz w:val="22"/>
              </w:rPr>
              <w:t>L’hydrographie est composée principalement de la Rivière Kasaï, alimentée elle-même par plusieurs affluents.</w:t>
            </w:r>
          </w:p>
          <w:p w14:paraId="733B57EB" w14:textId="77777777" w:rsidR="001C2F95" w:rsidRPr="001857F5" w:rsidRDefault="001C2F95" w:rsidP="00971FD2">
            <w:pPr>
              <w:textAlignment w:val="baseline"/>
              <w:rPr>
                <w:rFonts w:cs="Arial"/>
                <w:b/>
                <w:i/>
                <w:color w:val="000000"/>
                <w:sz w:val="22"/>
              </w:rPr>
            </w:pPr>
          </w:p>
          <w:p w14:paraId="46A8C0E4" w14:textId="77777777" w:rsidR="001C2F95" w:rsidRPr="001857F5" w:rsidRDefault="001C2F95" w:rsidP="00971FD2">
            <w:pPr>
              <w:textAlignment w:val="baseline"/>
              <w:rPr>
                <w:rFonts w:cs="Arial"/>
                <w:b/>
                <w:i/>
                <w:color w:val="000000"/>
                <w:sz w:val="22"/>
              </w:rPr>
            </w:pPr>
            <w:r w:rsidRPr="001857F5">
              <w:rPr>
                <w:rFonts w:cs="Arial"/>
                <w:b/>
                <w:i/>
                <w:color w:val="000000"/>
                <w:sz w:val="22"/>
              </w:rPr>
              <w:t>Type de sol </w:t>
            </w:r>
          </w:p>
          <w:p w14:paraId="52FCC1AB" w14:textId="77777777" w:rsidR="001C2F95" w:rsidRPr="001857F5" w:rsidRDefault="001C2F95" w:rsidP="00971FD2">
            <w:pPr>
              <w:textAlignment w:val="baseline"/>
              <w:rPr>
                <w:rFonts w:cs="Arial"/>
                <w:color w:val="000000"/>
                <w:sz w:val="22"/>
              </w:rPr>
            </w:pPr>
            <w:r w:rsidRPr="001857F5">
              <w:rPr>
                <w:rFonts w:cs="Arial"/>
                <w:color w:val="000000"/>
                <w:sz w:val="22"/>
              </w:rPr>
              <w:t>Deux types de sols caractérisent la Province du Kasaï Central : le sol argilo-sablonneux qui domine tout le Territoire de Luiza et le Secteur de Tshishilu, en Territoire de Dibaya. Et le sol sablo-argileux prédominant dans le reste de la Province.</w:t>
            </w:r>
          </w:p>
          <w:p w14:paraId="459EAAF7" w14:textId="77777777" w:rsidR="001C2F95" w:rsidRPr="001857F5" w:rsidRDefault="001C2F95" w:rsidP="00971FD2">
            <w:pPr>
              <w:textAlignment w:val="baseline"/>
              <w:rPr>
                <w:rFonts w:cs="Arial"/>
                <w:color w:val="000000"/>
                <w:sz w:val="22"/>
              </w:rPr>
            </w:pPr>
          </w:p>
          <w:p w14:paraId="7311AA82" w14:textId="77777777" w:rsidR="001C2F95" w:rsidRPr="001857F5" w:rsidRDefault="001C2F95" w:rsidP="00971FD2">
            <w:pPr>
              <w:textAlignment w:val="baseline"/>
              <w:rPr>
                <w:rFonts w:cs="Arial"/>
                <w:color w:val="000000"/>
                <w:sz w:val="22"/>
              </w:rPr>
            </w:pPr>
            <w:r w:rsidRPr="001857F5">
              <w:rPr>
                <w:rFonts w:cs="Arial"/>
                <w:color w:val="000000"/>
                <w:sz w:val="22"/>
              </w:rPr>
              <w:t>Faune</w:t>
            </w:r>
          </w:p>
          <w:p w14:paraId="07C722D5" w14:textId="77777777" w:rsidR="001C2F95" w:rsidRPr="001857F5" w:rsidRDefault="001C2F95" w:rsidP="00971FD2">
            <w:pPr>
              <w:textAlignment w:val="baseline"/>
              <w:rPr>
                <w:rFonts w:cs="Arial"/>
                <w:color w:val="202124"/>
                <w:sz w:val="22"/>
                <w:shd w:val="clear" w:color="auto" w:fill="FFFFFF"/>
              </w:rPr>
            </w:pPr>
          </w:p>
          <w:p w14:paraId="7D90048A" w14:textId="77777777" w:rsidR="001C2F95" w:rsidRPr="001857F5" w:rsidRDefault="001C2F95" w:rsidP="00971FD2">
            <w:pPr>
              <w:textAlignment w:val="baseline"/>
              <w:rPr>
                <w:rFonts w:cs="Arial"/>
                <w:color w:val="202124"/>
                <w:sz w:val="22"/>
                <w:shd w:val="clear" w:color="auto" w:fill="FFFFFF"/>
              </w:rPr>
            </w:pPr>
            <w:r w:rsidRPr="001857F5">
              <w:rPr>
                <w:rFonts w:cs="Arial"/>
                <w:color w:val="202124"/>
                <w:sz w:val="22"/>
                <w:shd w:val="clear" w:color="auto" w:fill="FFFFFF"/>
              </w:rPr>
              <w:t xml:space="preserve">Dans ces divers biotopes, la Province du </w:t>
            </w:r>
            <w:r w:rsidR="001857F5" w:rsidRPr="001857F5">
              <w:rPr>
                <w:rFonts w:cs="Arial"/>
                <w:color w:val="202124"/>
                <w:sz w:val="22"/>
                <w:shd w:val="clear" w:color="auto" w:fill="FFFFFF"/>
              </w:rPr>
              <w:t>Kasaï</w:t>
            </w:r>
            <w:r w:rsidRPr="001857F5">
              <w:rPr>
                <w:rFonts w:cs="Arial"/>
                <w:color w:val="202124"/>
                <w:sz w:val="22"/>
                <w:shd w:val="clear" w:color="auto" w:fill="FFFFFF"/>
              </w:rPr>
              <w:t xml:space="preserve"> Centrale l'on </w:t>
            </w:r>
            <w:r w:rsidRPr="001857F5">
              <w:rPr>
                <w:rFonts w:cs="Arial"/>
                <w:bCs/>
                <w:color w:val="202124"/>
                <w:sz w:val="22"/>
              </w:rPr>
              <w:t>rencontre</w:t>
            </w:r>
            <w:r w:rsidRPr="001857F5">
              <w:rPr>
                <w:rFonts w:cs="Arial"/>
                <w:color w:val="202124"/>
                <w:sz w:val="22"/>
                <w:shd w:val="clear" w:color="auto" w:fill="FFFFFF"/>
              </w:rPr>
              <w:t xml:space="preserve"> les espèces fauniques telles que des buffles encore en abondance relative, des sitatungas, des cobes Defassa, des singes, des potamochères, et des hippopotames dans les rivières Lulua et Bushimaie. Les buffles et les hippopotames sont des animaux </w:t>
            </w:r>
            <w:r w:rsidR="00AB3C0C" w:rsidRPr="001857F5">
              <w:rPr>
                <w:rFonts w:cs="Arial"/>
                <w:color w:val="202124"/>
                <w:sz w:val="22"/>
                <w:shd w:val="clear" w:color="auto" w:fill="FFFFFF"/>
              </w:rPr>
              <w:t>protégés</w:t>
            </w:r>
            <w:r w:rsidRPr="001857F5">
              <w:rPr>
                <w:rFonts w:cs="Arial"/>
                <w:color w:val="202124"/>
                <w:sz w:val="22"/>
                <w:shd w:val="clear" w:color="auto" w:fill="FFFFFF"/>
              </w:rPr>
              <w:t xml:space="preserve">. </w:t>
            </w:r>
          </w:p>
          <w:p w14:paraId="190B270F" w14:textId="77777777" w:rsidR="001C2F95" w:rsidRPr="001857F5" w:rsidRDefault="001C2F95" w:rsidP="00971FD2">
            <w:pPr>
              <w:textAlignment w:val="baseline"/>
              <w:rPr>
                <w:rFonts w:cs="Arial"/>
                <w:b/>
                <w:i/>
                <w:color w:val="000000"/>
                <w:sz w:val="22"/>
              </w:rPr>
            </w:pPr>
            <w:r w:rsidRPr="001857F5">
              <w:rPr>
                <w:rFonts w:cs="Arial"/>
                <w:b/>
                <w:i/>
                <w:color w:val="000000"/>
                <w:sz w:val="22"/>
              </w:rPr>
              <w:t>Végétation</w:t>
            </w:r>
          </w:p>
          <w:p w14:paraId="5BE626EA" w14:textId="77777777" w:rsidR="001C2F95" w:rsidRPr="001857F5" w:rsidRDefault="001C2F95" w:rsidP="00971FD2">
            <w:pPr>
              <w:textAlignment w:val="baseline"/>
              <w:rPr>
                <w:rFonts w:cs="Arial"/>
                <w:color w:val="000000"/>
                <w:sz w:val="22"/>
              </w:rPr>
            </w:pPr>
            <w:r w:rsidRPr="001857F5">
              <w:rPr>
                <w:rFonts w:cs="Arial"/>
                <w:color w:val="000000"/>
                <w:sz w:val="22"/>
              </w:rPr>
              <w:t xml:space="preserve">La Province du Kasaï Central connaît deux types de </w:t>
            </w:r>
            <w:hyperlink r:id="rId49" w:tooltip="Végétation" w:history="1">
              <w:r w:rsidRPr="001857F5">
                <w:rPr>
                  <w:rFonts w:cs="Arial"/>
                  <w:color w:val="000000"/>
                  <w:sz w:val="22"/>
                </w:rPr>
                <w:t>végétation</w:t>
              </w:r>
            </w:hyperlink>
            <w:r w:rsidRPr="001857F5">
              <w:rPr>
                <w:rFonts w:cs="Arial"/>
                <w:color w:val="000000"/>
                <w:sz w:val="22"/>
              </w:rPr>
              <w:t xml:space="preserve">  : la végétation forestière et la </w:t>
            </w:r>
            <w:hyperlink r:id="rId50" w:tooltip="Savane" w:history="1">
              <w:r w:rsidRPr="001857F5">
                <w:rPr>
                  <w:rFonts w:cs="Arial"/>
                  <w:color w:val="000000"/>
                  <w:sz w:val="22"/>
                </w:rPr>
                <w:t>savane</w:t>
              </w:r>
            </w:hyperlink>
            <w:r w:rsidRPr="001857F5">
              <w:rPr>
                <w:rFonts w:cs="Arial"/>
                <w:color w:val="000000"/>
                <w:sz w:val="22"/>
              </w:rPr>
              <w:t xml:space="preserve"> </w:t>
            </w:r>
            <w:hyperlink r:id="rId51" w:tooltip="Guinée" w:history="1">
              <w:r w:rsidRPr="001857F5">
                <w:rPr>
                  <w:rFonts w:cs="Arial"/>
                  <w:color w:val="000000"/>
                  <w:sz w:val="22"/>
                </w:rPr>
                <w:t>guinéenne</w:t>
              </w:r>
            </w:hyperlink>
            <w:r w:rsidRPr="001857F5">
              <w:rPr>
                <w:rFonts w:cs="Arial"/>
                <w:color w:val="000000"/>
                <w:sz w:val="22"/>
              </w:rPr>
              <w:t>. La première est rencontrée dans la partie Nord des Territoires de Demba et de Dimbelenge, tandis que la seconde occupe une grande partie de la Province sur le sol relativement pauvre d’une part, des terres riches du Territoire de Luiza et du Sud du Territoire de Kazumba.</w:t>
            </w:r>
          </w:p>
        </w:tc>
      </w:tr>
      <w:tr w:rsidR="001C2F95" w:rsidRPr="001857F5" w14:paraId="3FC093E9"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76EA7D7" w14:textId="77777777" w:rsidR="001C2F95" w:rsidRPr="001857F5" w:rsidRDefault="001C2F95" w:rsidP="00971FD2">
            <w:pPr>
              <w:rPr>
                <w:rFonts w:eastAsia="Calibri" w:cs="Arial"/>
                <w:b/>
                <w:sz w:val="22"/>
              </w:rPr>
            </w:pPr>
            <w:r w:rsidRPr="001857F5">
              <w:rPr>
                <w:rFonts w:eastAsia="Calibri" w:cs="Arial"/>
                <w:b/>
                <w:sz w:val="22"/>
              </w:rPr>
              <w:t>Populations</w:t>
            </w:r>
          </w:p>
        </w:tc>
        <w:tc>
          <w:tcPr>
            <w:tcW w:w="11287" w:type="dxa"/>
            <w:tcBorders>
              <w:top w:val="single" w:sz="4" w:space="0" w:color="000001"/>
              <w:left w:val="single" w:sz="4" w:space="0" w:color="000001"/>
              <w:bottom w:val="single" w:sz="4" w:space="0" w:color="000001"/>
              <w:right w:val="single" w:sz="4" w:space="0" w:color="000001"/>
            </w:tcBorders>
          </w:tcPr>
          <w:p w14:paraId="3B299190" w14:textId="77777777" w:rsidR="001C2F95" w:rsidRPr="001857F5" w:rsidRDefault="001C2F95" w:rsidP="00971FD2">
            <w:pPr>
              <w:textAlignment w:val="baseline"/>
              <w:rPr>
                <w:rFonts w:cs="Arial"/>
                <w:b/>
                <w:i/>
                <w:color w:val="000000"/>
                <w:sz w:val="22"/>
              </w:rPr>
            </w:pPr>
            <w:r w:rsidRPr="001857F5">
              <w:rPr>
                <w:rFonts w:cs="Arial"/>
                <w:b/>
                <w:i/>
                <w:color w:val="000000"/>
                <w:sz w:val="22"/>
              </w:rPr>
              <w:t xml:space="preserve">Caractéristiques démographiques </w:t>
            </w:r>
          </w:p>
          <w:p w14:paraId="44C20C77" w14:textId="77777777" w:rsidR="001C2F95" w:rsidRPr="001857F5" w:rsidRDefault="001C2F95" w:rsidP="00971FD2">
            <w:pPr>
              <w:textAlignment w:val="baseline"/>
              <w:rPr>
                <w:rFonts w:cs="Arial"/>
                <w:color w:val="000000"/>
                <w:sz w:val="22"/>
              </w:rPr>
            </w:pPr>
            <w:r w:rsidRPr="001857F5">
              <w:rPr>
                <w:rFonts w:cs="Arial"/>
                <w:color w:val="000000"/>
                <w:sz w:val="22"/>
              </w:rPr>
              <w:t>La Province du Kasaï Central a une superficie de 59 111 km</w:t>
            </w:r>
            <w:r w:rsidRPr="001857F5">
              <w:rPr>
                <w:rFonts w:cs="Arial"/>
                <w:color w:val="000000"/>
                <w:sz w:val="22"/>
                <w:vertAlign w:val="superscript"/>
              </w:rPr>
              <w:t>2</w:t>
            </w:r>
            <w:r w:rsidRPr="001857F5">
              <w:rPr>
                <w:rFonts w:cs="Arial"/>
                <w:color w:val="000000"/>
                <w:sz w:val="22"/>
              </w:rPr>
              <w:t xml:space="preserve"> et une population totale estimée à 4 563 387 habitants. Il sied de signaler que les statistiques hommes-femmes, garcons et filles, veufs et veuves ne sont pas disponibles. Cette Province est constituée de cinq Territoires, à savoir : Tshimbulu, Demba, Dibaya, Kazumba et Luiza.</w:t>
            </w:r>
          </w:p>
          <w:p w14:paraId="63651230" w14:textId="77777777" w:rsidR="001C2F95" w:rsidRPr="001857F5" w:rsidRDefault="001C2F95" w:rsidP="00971FD2">
            <w:pPr>
              <w:textAlignment w:val="baseline"/>
              <w:rPr>
                <w:rFonts w:cs="Arial"/>
                <w:color w:val="000000"/>
                <w:sz w:val="22"/>
              </w:rPr>
            </w:pPr>
          </w:p>
          <w:p w14:paraId="377796ED" w14:textId="77777777" w:rsidR="001C2F95" w:rsidRPr="001857F5" w:rsidRDefault="001C2F95" w:rsidP="00971FD2">
            <w:pPr>
              <w:textAlignment w:val="baseline"/>
              <w:rPr>
                <w:rFonts w:cs="Arial"/>
                <w:b/>
                <w:i/>
                <w:color w:val="000000"/>
                <w:sz w:val="22"/>
              </w:rPr>
            </w:pPr>
            <w:r w:rsidRPr="001857F5">
              <w:rPr>
                <w:rFonts w:cs="Arial"/>
                <w:b/>
                <w:i/>
                <w:color w:val="000000"/>
                <w:sz w:val="22"/>
              </w:rPr>
              <w:t xml:space="preserve">Ethnies </w:t>
            </w:r>
          </w:p>
          <w:p w14:paraId="01E5D3A0" w14:textId="77777777" w:rsidR="001C2F95" w:rsidRPr="001857F5" w:rsidRDefault="001C2F95" w:rsidP="00971FD2">
            <w:pPr>
              <w:textAlignment w:val="baseline"/>
              <w:rPr>
                <w:rFonts w:cs="Arial"/>
                <w:color w:val="000000"/>
                <w:sz w:val="22"/>
              </w:rPr>
            </w:pPr>
            <w:r w:rsidRPr="001857F5">
              <w:rPr>
                <w:rFonts w:cs="Arial"/>
                <w:color w:val="000000"/>
                <w:sz w:val="22"/>
              </w:rPr>
              <w:t>Plusieurs groupes ethniques sont dénombrés dans le grand territoire de la région du Kasaï. On y rencontre des groupes ethniques dont les plus grands sont Luba, Lulua en pleine évolution comme les Babindi, Bakwa-Mputu, Bambole, Bakete, Basha, Bankutshu, les Luntu, Kuba, Kanintshina, les Leele (Bashilele), Lunda, Ndekese, Ohindo, Pende, Salampasu, Songe, Tshokwe et Tetela. Certains de ces groupes sont à cheval avec les autres Provinces voisines notamment le Kwango, le Lomami, le Lualaba, la Tshopo ainsi qu’avec la République d’Angola.</w:t>
            </w:r>
          </w:p>
          <w:p w14:paraId="68F44636" w14:textId="77777777" w:rsidR="001C2F95" w:rsidRPr="001857F5" w:rsidRDefault="001C2F95" w:rsidP="00971FD2">
            <w:pPr>
              <w:textAlignment w:val="baseline"/>
              <w:rPr>
                <w:rFonts w:cs="Arial"/>
                <w:color w:val="000000"/>
                <w:sz w:val="22"/>
              </w:rPr>
            </w:pPr>
          </w:p>
          <w:p w14:paraId="7E368272" w14:textId="77777777" w:rsidR="001C2F95" w:rsidRPr="001857F5" w:rsidRDefault="001C2F95" w:rsidP="00971FD2">
            <w:pPr>
              <w:textAlignment w:val="baseline"/>
              <w:rPr>
                <w:rFonts w:cs="Arial"/>
                <w:color w:val="000000"/>
                <w:sz w:val="22"/>
              </w:rPr>
            </w:pPr>
            <w:r w:rsidRPr="001857F5">
              <w:rPr>
                <w:rFonts w:cs="Arial"/>
                <w:b/>
                <w:i/>
                <w:color w:val="000000"/>
                <w:sz w:val="22"/>
              </w:rPr>
              <w:t>Langues parlées</w:t>
            </w:r>
            <w:r w:rsidRPr="001857F5">
              <w:rPr>
                <w:rFonts w:cs="Arial"/>
                <w:color w:val="000000"/>
                <w:sz w:val="22"/>
              </w:rPr>
              <w:t> : le Tshiluba, le Swahili, le Francais sont des langues parlées dans la Province du Kasaï Central. La langue Tshiluba domine les autres langues nationales.</w:t>
            </w:r>
          </w:p>
          <w:p w14:paraId="0C3757C9" w14:textId="77777777" w:rsidR="001C2F95" w:rsidRPr="001857F5" w:rsidRDefault="001C2F95" w:rsidP="00971FD2">
            <w:pPr>
              <w:textAlignment w:val="baseline"/>
              <w:rPr>
                <w:rFonts w:cs="Arial"/>
                <w:color w:val="000000"/>
                <w:sz w:val="22"/>
              </w:rPr>
            </w:pPr>
          </w:p>
          <w:p w14:paraId="422F83F9" w14:textId="77777777" w:rsidR="001C2F95" w:rsidRPr="001857F5" w:rsidRDefault="001C2F95" w:rsidP="00971FD2">
            <w:pPr>
              <w:textAlignment w:val="baseline"/>
              <w:rPr>
                <w:rFonts w:cs="Arial"/>
                <w:color w:val="000000"/>
                <w:sz w:val="22"/>
              </w:rPr>
            </w:pPr>
            <w:r w:rsidRPr="001857F5">
              <w:rPr>
                <w:rFonts w:cs="Arial"/>
                <w:color w:val="000000"/>
                <w:sz w:val="22"/>
              </w:rPr>
              <w:t>Au sommet de la crise 1,4 million Personnes Déplacées Internes (PDIs) ont été dénombrées et environ 34 000 sont réfugiées en Angola.  La plupart des PDIs sont concentrées dans les agglomérations les plus sécurisées, au sein des familles d’accueil dans des Provinces voisines pour s’éloigner le plus possible des tensions intercommunautaires et des activités des milices ou des forces de sécurité dans leur zone d’origine. Au Kasaï Central, 584 432 déplacés ont été enregistrés par l’ONG internationale OCHA.</w:t>
            </w:r>
          </w:p>
          <w:p w14:paraId="33E6CC03" w14:textId="77777777" w:rsidR="001C2F95" w:rsidRPr="001857F5" w:rsidRDefault="001C2F95" w:rsidP="00971FD2">
            <w:pPr>
              <w:textAlignment w:val="baseline"/>
              <w:rPr>
                <w:rFonts w:cs="Arial"/>
                <w:color w:val="000000"/>
                <w:sz w:val="22"/>
              </w:rPr>
            </w:pPr>
          </w:p>
          <w:p w14:paraId="382D5FCA" w14:textId="77777777" w:rsidR="001C2F95" w:rsidRPr="001857F5" w:rsidRDefault="001C2F95" w:rsidP="00971FD2">
            <w:pPr>
              <w:textAlignment w:val="baseline"/>
              <w:rPr>
                <w:rFonts w:cs="Arial"/>
                <w:color w:val="000000"/>
                <w:sz w:val="22"/>
              </w:rPr>
            </w:pPr>
            <w:r w:rsidRPr="001857F5">
              <w:rPr>
                <w:rFonts w:cs="Arial"/>
                <w:color w:val="000000"/>
                <w:sz w:val="22"/>
              </w:rPr>
              <w:t>Il sied de noter que les peuples autochtones sont  signalés dans trois Territoires de la Province du Kasaï Central. (REPALEF, 2020)</w:t>
            </w:r>
          </w:p>
        </w:tc>
      </w:tr>
      <w:tr w:rsidR="001C2F95" w:rsidRPr="001857F5" w14:paraId="15083E30"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F72F14" w14:textId="77777777" w:rsidR="001C2F95" w:rsidRPr="001857F5" w:rsidRDefault="001C2F95" w:rsidP="00971FD2">
            <w:pPr>
              <w:rPr>
                <w:rFonts w:eastAsia="Calibri" w:cs="Arial"/>
                <w:b/>
                <w:sz w:val="22"/>
              </w:rPr>
            </w:pPr>
            <w:r w:rsidRPr="001857F5">
              <w:rPr>
                <w:rFonts w:eastAsia="Calibri" w:cs="Arial"/>
                <w:b/>
                <w:sz w:val="22"/>
              </w:rPr>
              <w:t>Activités principales de la population</w:t>
            </w:r>
          </w:p>
        </w:tc>
        <w:tc>
          <w:tcPr>
            <w:tcW w:w="11287" w:type="dxa"/>
            <w:tcBorders>
              <w:top w:val="single" w:sz="4" w:space="0" w:color="000001"/>
              <w:left w:val="single" w:sz="4" w:space="0" w:color="000001"/>
              <w:bottom w:val="single" w:sz="4" w:space="0" w:color="000001"/>
              <w:right w:val="single" w:sz="4" w:space="0" w:color="000001"/>
            </w:tcBorders>
          </w:tcPr>
          <w:p w14:paraId="7AD5FF82" w14:textId="77777777" w:rsidR="001C2F95" w:rsidRPr="001857F5" w:rsidRDefault="001C2F95" w:rsidP="00971FD2">
            <w:pPr>
              <w:rPr>
                <w:rFonts w:cs="Arial"/>
                <w:color w:val="000000"/>
                <w:sz w:val="22"/>
              </w:rPr>
            </w:pPr>
            <w:r w:rsidRPr="001857F5">
              <w:rPr>
                <w:rFonts w:cs="Arial"/>
                <w:color w:val="000000"/>
                <w:sz w:val="22"/>
              </w:rPr>
              <w:t xml:space="preserve">La Province du Kasaï Central dispose d’importantes ressources minières comme le diamant et l’or. Ainsi, l’économie de la Province est dominée par l’exploitation minière artisanale, et l’industrie minière n’y existe pas. Les recettes et taxes perçues par l’activité extractive n’ont pas d’impact significatif sur la Province.  </w:t>
            </w:r>
          </w:p>
          <w:p w14:paraId="7EB817FB" w14:textId="77777777" w:rsidR="001C2F95" w:rsidRPr="001857F5" w:rsidRDefault="001C2F95" w:rsidP="00971FD2">
            <w:pPr>
              <w:rPr>
                <w:rFonts w:cs="Arial"/>
                <w:color w:val="000000"/>
                <w:sz w:val="22"/>
              </w:rPr>
            </w:pPr>
            <w:r w:rsidRPr="001857F5">
              <w:rPr>
                <w:rFonts w:cs="Arial"/>
                <w:color w:val="000000"/>
                <w:sz w:val="22"/>
              </w:rPr>
              <w:t xml:space="preserve"> </w:t>
            </w:r>
          </w:p>
          <w:p w14:paraId="777CFED4" w14:textId="77777777" w:rsidR="001C2F95" w:rsidRPr="001857F5" w:rsidRDefault="001C2F95" w:rsidP="00971FD2">
            <w:pPr>
              <w:rPr>
                <w:rFonts w:cs="Arial"/>
                <w:color w:val="000000"/>
                <w:sz w:val="22"/>
              </w:rPr>
            </w:pPr>
            <w:r w:rsidRPr="001857F5">
              <w:rPr>
                <w:rFonts w:cs="Arial"/>
                <w:color w:val="000000"/>
                <w:sz w:val="22"/>
              </w:rPr>
              <w:t xml:space="preserve">Cependant la Province dispose également de quelques entreprises dans les branches agroalimentaire, industrie chimique (savonnerie, peinture, etc.), construction, industrie du bois. </w:t>
            </w:r>
          </w:p>
          <w:p w14:paraId="1148F498" w14:textId="77777777" w:rsidR="001C2F95" w:rsidRPr="001857F5" w:rsidRDefault="001C2F95" w:rsidP="00971FD2">
            <w:pPr>
              <w:rPr>
                <w:rFonts w:cs="Arial"/>
                <w:color w:val="000000"/>
                <w:sz w:val="22"/>
              </w:rPr>
            </w:pPr>
          </w:p>
          <w:p w14:paraId="36DC1C26" w14:textId="77777777" w:rsidR="001C2F95" w:rsidRPr="001857F5" w:rsidRDefault="001C2F95" w:rsidP="00971FD2">
            <w:pPr>
              <w:rPr>
                <w:rFonts w:cs="Arial"/>
                <w:color w:val="000000"/>
                <w:sz w:val="22"/>
              </w:rPr>
            </w:pPr>
            <w:r w:rsidRPr="001857F5">
              <w:rPr>
                <w:rFonts w:cs="Arial"/>
                <w:color w:val="000000"/>
                <w:sz w:val="22"/>
              </w:rPr>
              <w:t xml:space="preserve">On observe en outre plus d’une dizaine de sites touristiques dans la Province.  </w:t>
            </w:r>
          </w:p>
          <w:p w14:paraId="3530A8BC" w14:textId="77777777" w:rsidR="001C2F95" w:rsidRPr="001857F5" w:rsidRDefault="001C2F95" w:rsidP="00971FD2">
            <w:pPr>
              <w:rPr>
                <w:rFonts w:cs="Arial"/>
                <w:color w:val="000000"/>
                <w:sz w:val="22"/>
              </w:rPr>
            </w:pPr>
            <w:r w:rsidRPr="001857F5">
              <w:rPr>
                <w:rFonts w:cs="Arial"/>
                <w:color w:val="000000"/>
                <w:sz w:val="22"/>
              </w:rPr>
              <w:t xml:space="preserve"> </w:t>
            </w:r>
          </w:p>
          <w:p w14:paraId="26C6005A" w14:textId="77777777" w:rsidR="001C2F95" w:rsidRPr="001857F5" w:rsidRDefault="001C2F95" w:rsidP="00971FD2">
            <w:pPr>
              <w:rPr>
                <w:rFonts w:cs="Arial"/>
                <w:color w:val="000000"/>
                <w:sz w:val="22"/>
              </w:rPr>
            </w:pPr>
            <w:r w:rsidRPr="001857F5">
              <w:rPr>
                <w:rFonts w:cs="Arial"/>
                <w:color w:val="000000"/>
                <w:sz w:val="22"/>
              </w:rPr>
              <w:t>Malgré cela, l’agriculture reste l’activité principale de la Province du Kasaï Central. Les principales productions sont les aliments de base (le manioc, le maïs, l’arachide, le riz, etc.) donc très souvent tournées vers l’autoconsommation.</w:t>
            </w:r>
          </w:p>
        </w:tc>
      </w:tr>
      <w:tr w:rsidR="001C2F95" w:rsidRPr="001857F5" w14:paraId="51FB2260"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8466178" w14:textId="77777777" w:rsidR="001C2F95" w:rsidRPr="001857F5" w:rsidRDefault="001C2F95" w:rsidP="00971FD2">
            <w:pPr>
              <w:rPr>
                <w:rFonts w:eastAsia="Calibri" w:cs="Arial"/>
                <w:b/>
                <w:sz w:val="22"/>
              </w:rPr>
            </w:pPr>
            <w:r w:rsidRPr="001857F5">
              <w:rPr>
                <w:rFonts w:eastAsia="Calibri" w:cs="Arial"/>
                <w:b/>
                <w:sz w:val="22"/>
              </w:rPr>
              <w:t>Violences Basées sur le Genre (VBG)</w:t>
            </w:r>
          </w:p>
        </w:tc>
        <w:tc>
          <w:tcPr>
            <w:tcW w:w="11287" w:type="dxa"/>
            <w:tcBorders>
              <w:top w:val="single" w:sz="4" w:space="0" w:color="000001"/>
              <w:left w:val="single" w:sz="4" w:space="0" w:color="000001"/>
              <w:bottom w:val="single" w:sz="4" w:space="0" w:color="000001"/>
              <w:right w:val="single" w:sz="4" w:space="0" w:color="000001"/>
            </w:tcBorders>
          </w:tcPr>
          <w:p w14:paraId="3F1634FA" w14:textId="77777777" w:rsidR="001C2F95" w:rsidRPr="001857F5" w:rsidRDefault="001C2F95" w:rsidP="00971FD2">
            <w:pPr>
              <w:rPr>
                <w:rFonts w:cs="Arial"/>
                <w:color w:val="000000"/>
                <w:sz w:val="22"/>
              </w:rPr>
            </w:pPr>
            <w:r w:rsidRPr="001857F5">
              <w:rPr>
                <w:rFonts w:cs="Arial"/>
                <w:color w:val="000000"/>
                <w:sz w:val="22"/>
              </w:rPr>
              <w:t>Les résultats des évaluations rapides montrent une situation préoccupante des VBG qui s’est aggravée depuis août 2016, à la suite à l’instabilité politique dans la Province. Exposées aux conflits armés et intercommunautaires, les femmes et les filles ont subi des violences sexuelles. Selon le dernier rapport du Fonds des Nations Unies pour la Population</w:t>
            </w:r>
            <w:r w:rsidRPr="001857F5" w:rsidDel="000351AD">
              <w:rPr>
                <w:rFonts w:cs="Arial"/>
                <w:color w:val="000000"/>
                <w:sz w:val="22"/>
              </w:rPr>
              <w:t xml:space="preserve"> </w:t>
            </w:r>
            <w:r w:rsidRPr="001857F5">
              <w:rPr>
                <w:rFonts w:cs="Arial"/>
                <w:color w:val="000000"/>
                <w:sz w:val="22"/>
              </w:rPr>
              <w:t>(UNFPA) (Sous-Cluster VBG, RDC) entre août 2016 et mai 2017, 656 incidents des VBG ont été rapportés dans les 49 points de prestation des services évalués dans les Provinces du Kasa</w:t>
            </w:r>
            <w:r w:rsidR="00AB3C0C" w:rsidRPr="001857F5">
              <w:rPr>
                <w:rFonts w:cs="Arial"/>
                <w:color w:val="000000"/>
                <w:sz w:val="22"/>
              </w:rPr>
              <w:t>ï</w:t>
            </w:r>
            <w:r w:rsidRPr="001857F5">
              <w:rPr>
                <w:rFonts w:cs="Arial"/>
                <w:color w:val="000000"/>
                <w:sz w:val="22"/>
              </w:rPr>
              <w:t xml:space="preserve">, du Kasaï Central et </w:t>
            </w:r>
            <w:r w:rsidR="00AB3C0C" w:rsidRPr="001857F5">
              <w:rPr>
                <w:rFonts w:cs="Arial"/>
                <w:color w:val="000000"/>
                <w:sz w:val="22"/>
              </w:rPr>
              <w:t>Kasaï-Oriental</w:t>
            </w:r>
            <w:r w:rsidRPr="001857F5">
              <w:rPr>
                <w:rFonts w:cs="Arial"/>
                <w:color w:val="000000"/>
                <w:sz w:val="22"/>
              </w:rPr>
              <w:t xml:space="preserve"> dont des cas de viol (79%), d’agression sexuelle (11 %), d’agression physique (4 %) et de mariage forcé (4 %), de violences psychologiques et émotionnelles (2 %) et de dénis des ressources, opportunités ou services (un cas a été rapporté). On note que 68% des survivants sont des mineurs, avec une majorité des filles adolescentes âgées entre 12 et 17 ans. Parmi les survivants de ces agressions, 97,4 % sont de sexe féminin et 2,6 % de sexe masculin. Parmi les Provinces portées par l’étude, la plus grande proportion des déplacés par les incidents des VBG est enregistrée dans le Kasaï Central (19,2 %) et un nombre relativement élevé des VBG commis sur les retournés accueillis sur son sol. La prise en charge médicale est confrontée à plusieurs difficultés dont l’insuffisance du personnel sanitaire formé à la gestion clinique du viol ainsi qu’à la faible disponibilité des kits post-viol. Mais également, il faut signaler le non-respect du protocole national de prise en charge médicale des survivants de violences sexuelles et l’irrégularité dans la gratuité des soins. </w:t>
            </w:r>
            <w:r w:rsidR="00AB3C0C" w:rsidRPr="001857F5">
              <w:rPr>
                <w:rFonts w:cs="Arial"/>
                <w:color w:val="2E3436"/>
                <w:spacing w:val="3"/>
                <w:sz w:val="22"/>
                <w:shd w:val="clear" w:color="auto" w:fill="FFFFFF"/>
              </w:rPr>
              <w:t>La collecte des données relatives aux incidents pris en charge a été réalisée auprès de 49 points de prestation des services dont 21 au Kasaï Central, 22 au Kasaï Oriental et 6 au Kasaï. Leur répartition selon le domaine d’intervention permet de constater la présence de 13 structures œuvrant dans la prise en charge médico-sanitaire, 18 dans l’accompagnement psychosocial, 7 dans l’assistance juridique et judiciaire, 6 dans la protection et sécurité, tandis que 5 structures sont actives dans plus d’un domaine d’intervention à la fois. </w:t>
            </w:r>
            <w:r w:rsidRPr="001857F5">
              <w:rPr>
                <w:rFonts w:cs="Arial"/>
                <w:color w:val="000000"/>
                <w:sz w:val="22"/>
              </w:rPr>
              <w:t>Les normes culturelles conservatrices en matière du genre constituent encore une barrière majeure pour le changement de comportement et soulignent les causes racines des actes de VBG. Pour ce faire, des supports éducatifs de sensibilisation interviendront pour appuyer la communication pour le changement social et de comportement de la communauté.</w:t>
            </w:r>
          </w:p>
        </w:tc>
      </w:tr>
      <w:tr w:rsidR="001C2F95" w:rsidRPr="001857F5" w14:paraId="5F804ADB"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A62A8A0" w14:textId="77777777" w:rsidR="001C2F95" w:rsidRPr="001857F5" w:rsidRDefault="001C2F95" w:rsidP="00971FD2">
            <w:pPr>
              <w:rPr>
                <w:rFonts w:eastAsia="Calibri" w:cs="Arial"/>
                <w:b/>
                <w:sz w:val="22"/>
              </w:rPr>
            </w:pPr>
            <w:r w:rsidRPr="001857F5">
              <w:rPr>
                <w:rFonts w:eastAsia="Calibri" w:cs="Arial"/>
                <w:b/>
                <w:sz w:val="22"/>
              </w:rPr>
              <w:t>Économie</w:t>
            </w:r>
          </w:p>
        </w:tc>
        <w:tc>
          <w:tcPr>
            <w:tcW w:w="11287" w:type="dxa"/>
            <w:tcBorders>
              <w:top w:val="single" w:sz="4" w:space="0" w:color="000001"/>
              <w:left w:val="single" w:sz="4" w:space="0" w:color="000001"/>
              <w:bottom w:val="single" w:sz="4" w:space="0" w:color="000001"/>
              <w:right w:val="single" w:sz="4" w:space="0" w:color="000001"/>
            </w:tcBorders>
          </w:tcPr>
          <w:p w14:paraId="25EBBD3F" w14:textId="77777777" w:rsidR="001C2F95" w:rsidRPr="001857F5" w:rsidRDefault="001C2F95" w:rsidP="00971FD2">
            <w:pPr>
              <w:textAlignment w:val="baseline"/>
              <w:rPr>
                <w:rFonts w:cs="Arial"/>
                <w:color w:val="000000"/>
                <w:sz w:val="22"/>
              </w:rPr>
            </w:pPr>
            <w:r w:rsidRPr="001857F5">
              <w:rPr>
                <w:rFonts w:cs="Arial"/>
                <w:color w:val="000000"/>
                <w:sz w:val="22"/>
              </w:rPr>
              <w:t xml:space="preserve">La Province du Kasaï Central démembrée avait d’énormes potentialités économiques dont la plupart ne sont pas mises en valeur. </w:t>
            </w:r>
          </w:p>
          <w:p w14:paraId="5FC7D96D" w14:textId="77777777" w:rsidR="001C2F95" w:rsidRPr="001857F5" w:rsidRDefault="001C2F95" w:rsidP="00971FD2">
            <w:pPr>
              <w:textAlignment w:val="baseline"/>
              <w:rPr>
                <w:rFonts w:cs="Arial"/>
                <w:color w:val="000000"/>
                <w:sz w:val="22"/>
              </w:rPr>
            </w:pPr>
          </w:p>
          <w:p w14:paraId="10ED05A4" w14:textId="77777777" w:rsidR="001C2F95" w:rsidRPr="001857F5" w:rsidRDefault="001C2F95" w:rsidP="00971FD2">
            <w:pPr>
              <w:textAlignment w:val="baseline"/>
              <w:rPr>
                <w:rFonts w:cs="Arial"/>
                <w:color w:val="000000"/>
                <w:sz w:val="22"/>
              </w:rPr>
            </w:pPr>
            <w:r w:rsidRPr="001857F5">
              <w:rPr>
                <w:rFonts w:cs="Arial"/>
                <w:color w:val="000000"/>
                <w:sz w:val="22"/>
              </w:rPr>
              <w:t xml:space="preserve">Les activités économiques sont caractérisées par : </w:t>
            </w:r>
          </w:p>
          <w:p w14:paraId="6FFE0C4A" w14:textId="77777777" w:rsidR="001C2F95" w:rsidRPr="001857F5" w:rsidRDefault="001C2F95" w:rsidP="00971FD2">
            <w:pPr>
              <w:textAlignment w:val="baseline"/>
              <w:rPr>
                <w:rFonts w:cs="Arial"/>
                <w:color w:val="000000"/>
                <w:sz w:val="22"/>
              </w:rPr>
            </w:pPr>
          </w:p>
          <w:p w14:paraId="002A5711" w14:textId="77777777" w:rsidR="001C2F95" w:rsidRPr="001857F5" w:rsidRDefault="001C2F95" w:rsidP="002378EA">
            <w:pPr>
              <w:pStyle w:val="Paragraphedeliste"/>
              <w:numPr>
                <w:ilvl w:val="0"/>
                <w:numId w:val="44"/>
              </w:numPr>
              <w:textAlignment w:val="baseline"/>
              <w:rPr>
                <w:rFonts w:cs="Arial"/>
                <w:color w:val="000000"/>
                <w:sz w:val="22"/>
              </w:rPr>
            </w:pPr>
            <w:r w:rsidRPr="001857F5">
              <w:rPr>
                <w:rFonts w:cs="Arial"/>
                <w:color w:val="000000"/>
                <w:sz w:val="22"/>
              </w:rPr>
              <w:t>L’exploitation du diamant et de l’or ;</w:t>
            </w:r>
          </w:p>
          <w:p w14:paraId="735AD51B" w14:textId="77777777" w:rsidR="001C2F95" w:rsidRPr="001857F5" w:rsidRDefault="001C2F95" w:rsidP="002378EA">
            <w:pPr>
              <w:pStyle w:val="Paragraphedeliste"/>
              <w:numPr>
                <w:ilvl w:val="0"/>
                <w:numId w:val="44"/>
              </w:numPr>
              <w:textAlignment w:val="baseline"/>
              <w:rPr>
                <w:rFonts w:cs="Arial"/>
                <w:color w:val="000000"/>
                <w:sz w:val="22"/>
              </w:rPr>
            </w:pPr>
            <w:r w:rsidRPr="001857F5">
              <w:rPr>
                <w:rFonts w:cs="Arial"/>
                <w:color w:val="000000"/>
                <w:sz w:val="22"/>
              </w:rPr>
              <w:t xml:space="preserve">La production agricole </w:t>
            </w:r>
            <w:r w:rsidR="00AB3C0C" w:rsidRPr="001857F5">
              <w:rPr>
                <w:rFonts w:cs="Arial"/>
                <w:color w:val="000000"/>
                <w:sz w:val="22"/>
              </w:rPr>
              <w:t>(principale activité des femmes)</w:t>
            </w:r>
            <w:r w:rsidRPr="001857F5">
              <w:rPr>
                <w:rFonts w:cs="Arial"/>
                <w:color w:val="000000"/>
                <w:sz w:val="22"/>
              </w:rPr>
              <w:t xml:space="preserve">: manioc, arachide et maïs, café, huile de palme ; </w:t>
            </w:r>
          </w:p>
          <w:p w14:paraId="7EAE53E8" w14:textId="77777777" w:rsidR="00AB3C0C" w:rsidRPr="001857F5" w:rsidRDefault="001C2F95" w:rsidP="002378EA">
            <w:pPr>
              <w:pStyle w:val="Paragraphedeliste"/>
              <w:numPr>
                <w:ilvl w:val="0"/>
                <w:numId w:val="44"/>
              </w:numPr>
              <w:textAlignment w:val="baseline"/>
              <w:rPr>
                <w:rFonts w:cs="Arial"/>
                <w:color w:val="000000"/>
                <w:sz w:val="22"/>
              </w:rPr>
            </w:pPr>
            <w:r w:rsidRPr="001857F5">
              <w:rPr>
                <w:rFonts w:cs="Arial"/>
                <w:color w:val="000000"/>
                <w:sz w:val="22"/>
              </w:rPr>
              <w:t>L’élevage de gros et petit bétail</w:t>
            </w:r>
            <w:r w:rsidR="00AB3C0C" w:rsidRPr="001857F5">
              <w:rPr>
                <w:rFonts w:cs="Arial"/>
                <w:color w:val="000000"/>
                <w:sz w:val="22"/>
              </w:rPr>
              <w:t> ;</w:t>
            </w:r>
          </w:p>
          <w:p w14:paraId="00D5F77A" w14:textId="77777777" w:rsidR="001C2F95" w:rsidRPr="001857F5" w:rsidRDefault="00AB3C0C" w:rsidP="002378EA">
            <w:pPr>
              <w:pStyle w:val="Paragraphedeliste"/>
              <w:numPr>
                <w:ilvl w:val="0"/>
                <w:numId w:val="44"/>
              </w:numPr>
              <w:textAlignment w:val="baseline"/>
              <w:rPr>
                <w:rFonts w:cs="Arial"/>
                <w:color w:val="000000"/>
                <w:sz w:val="22"/>
              </w:rPr>
            </w:pPr>
            <w:r w:rsidRPr="001857F5">
              <w:rPr>
                <w:rFonts w:cs="Arial"/>
                <w:color w:val="000000"/>
                <w:sz w:val="22"/>
              </w:rPr>
              <w:t>Le petit commerce au le marché public (surtout les femmes)</w:t>
            </w:r>
            <w:r w:rsidR="001C2F95" w:rsidRPr="001857F5">
              <w:rPr>
                <w:rFonts w:cs="Arial"/>
                <w:color w:val="000000"/>
                <w:sz w:val="22"/>
              </w:rPr>
              <w:t xml:space="preserve">. </w:t>
            </w:r>
          </w:p>
          <w:p w14:paraId="2B83B11A" w14:textId="77777777" w:rsidR="001C2F95" w:rsidRPr="001857F5" w:rsidRDefault="001C2F95" w:rsidP="00971FD2">
            <w:pPr>
              <w:textAlignment w:val="baseline"/>
              <w:rPr>
                <w:rFonts w:cs="Arial"/>
                <w:color w:val="000000"/>
                <w:sz w:val="22"/>
              </w:rPr>
            </w:pPr>
            <w:r w:rsidRPr="001857F5">
              <w:rPr>
                <w:rFonts w:cs="Arial"/>
                <w:color w:val="000000"/>
                <w:sz w:val="22"/>
              </w:rPr>
              <w:t xml:space="preserve"> </w:t>
            </w:r>
          </w:p>
          <w:p w14:paraId="762E0B9C" w14:textId="77777777" w:rsidR="001C2F95" w:rsidRPr="001857F5" w:rsidRDefault="001C2F95" w:rsidP="00971FD2">
            <w:pPr>
              <w:textAlignment w:val="baseline"/>
              <w:rPr>
                <w:rFonts w:cs="Arial"/>
                <w:color w:val="000000"/>
                <w:sz w:val="22"/>
              </w:rPr>
            </w:pPr>
            <w:r w:rsidRPr="001857F5">
              <w:rPr>
                <w:rFonts w:cs="Arial"/>
                <w:color w:val="000000"/>
                <w:sz w:val="22"/>
              </w:rPr>
              <w:t xml:space="preserve">Selon les résultats de l’Enquête nationale du type 1-2-3 de 2012, l’incidence de la pauvreté dans l’ancienne Province du Kasaï Occidental a atteint 76,6 %, soit une augmentation d’environ 20 % par rapport à l’année 2005 où elle était estimée à 55,8 %. </w:t>
            </w:r>
          </w:p>
        </w:tc>
      </w:tr>
      <w:tr w:rsidR="001C2F95" w:rsidRPr="001857F5" w14:paraId="71EF9ABD"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7C49A6F" w14:textId="77777777" w:rsidR="001C2F95" w:rsidRPr="001857F5" w:rsidRDefault="001C2F95" w:rsidP="00971FD2">
            <w:pPr>
              <w:rPr>
                <w:rFonts w:eastAsia="Calibri" w:cs="Arial"/>
                <w:b/>
                <w:sz w:val="22"/>
              </w:rPr>
            </w:pPr>
            <w:r w:rsidRPr="001857F5">
              <w:rPr>
                <w:rFonts w:eastAsia="Calibri" w:cs="Arial"/>
                <w:b/>
                <w:sz w:val="22"/>
              </w:rPr>
              <w:t>Situation sanitaire</w:t>
            </w:r>
          </w:p>
        </w:tc>
        <w:tc>
          <w:tcPr>
            <w:tcW w:w="11287" w:type="dxa"/>
            <w:tcBorders>
              <w:top w:val="single" w:sz="4" w:space="0" w:color="000001"/>
              <w:left w:val="single" w:sz="4" w:space="0" w:color="000001"/>
              <w:bottom w:val="single" w:sz="4" w:space="0" w:color="000001"/>
              <w:right w:val="single" w:sz="4" w:space="0" w:color="000001"/>
            </w:tcBorders>
          </w:tcPr>
          <w:p w14:paraId="2C657D3A" w14:textId="77777777" w:rsidR="001C2F95" w:rsidRPr="001857F5" w:rsidRDefault="001C2F95" w:rsidP="00971FD2">
            <w:pPr>
              <w:textAlignment w:val="baseline"/>
              <w:rPr>
                <w:rFonts w:cs="Arial"/>
                <w:color w:val="000000"/>
                <w:sz w:val="22"/>
              </w:rPr>
            </w:pPr>
            <w:r w:rsidRPr="001857F5">
              <w:rPr>
                <w:rFonts w:cs="Arial"/>
                <w:color w:val="000000"/>
                <w:sz w:val="22"/>
              </w:rPr>
              <w:t>Selon l’enquête 1-2-3, les infrastructures sanitaires sont jugées accessibles physiquement aux ménages du Kasaï Central puisque 84,7 % habitent dans un rayon de 2 km d’un Centre de Santé. Le Centre de Santé est l’infrastructure de santé la plus utilisée autant au Kasaï Central (48,2 %) que sur l’ensemble de la RDC (63,2 %). En revanche, les hôpitaux sont rarement fréquentés (8,2 %). Les services de soins de santé sont en nombre insuffisant face à l’effectif de la population : 40 hôpitaux pour toute la Province, 11,2 lits pour 100 000 habitants et1 médecin pour 23 656 habitants alors que la norme de l’OMS est de 1 médecin pour 10 000 habitants.</w:t>
            </w:r>
          </w:p>
          <w:p w14:paraId="4C81D8EF" w14:textId="77777777" w:rsidR="001C2F95" w:rsidRPr="001857F5" w:rsidRDefault="001C2F95" w:rsidP="00971FD2">
            <w:pPr>
              <w:textAlignment w:val="baseline"/>
              <w:rPr>
                <w:rFonts w:cs="Arial"/>
                <w:color w:val="000000"/>
                <w:sz w:val="22"/>
              </w:rPr>
            </w:pPr>
          </w:p>
          <w:p w14:paraId="2C6C31E0" w14:textId="77777777" w:rsidR="001C2F95" w:rsidRPr="001857F5" w:rsidRDefault="001C2F95" w:rsidP="00971FD2">
            <w:pPr>
              <w:textAlignment w:val="baseline"/>
              <w:rPr>
                <w:rFonts w:cs="Arial"/>
                <w:color w:val="000000"/>
                <w:sz w:val="22"/>
              </w:rPr>
            </w:pPr>
            <w:r w:rsidRPr="001857F5">
              <w:rPr>
                <w:rFonts w:cs="Arial"/>
                <w:color w:val="000000"/>
                <w:sz w:val="22"/>
              </w:rPr>
              <w:t>La situation sanitaire dans la province est précaire. Elle s’est aggravée avec les deux dernières guerres  et se caractérise par les faits suivants : (i)Taux élevé de morbidité-mortalité  due, par ordre décroissant, aux pathologies suivantes : paludisme ; anémie ; diarrhée non sanglante ; méningite ; IRA ; MPE ; VIH/SIDA ; INN (y compris TNN) ; (ii) Taux élevé de morbidité-mortalité infantile par des maladies évitables au moyen de la vaccination, notamment : TBC ; rougeole ; coqueluche ; polio ; diphtérie ; tétanos ; Malnutrition protéino-énergétique élevée ; (iv) Eruption des épidémies de rougeole, monkey</w:t>
            </w:r>
            <w:r w:rsidR="00AB3C0C" w:rsidRPr="001857F5">
              <w:rPr>
                <w:rFonts w:cs="Arial"/>
                <w:color w:val="000000"/>
                <w:sz w:val="22"/>
              </w:rPr>
              <w:t xml:space="preserve"> </w:t>
            </w:r>
            <w:r w:rsidRPr="001857F5">
              <w:rPr>
                <w:rFonts w:cs="Arial"/>
                <w:color w:val="000000"/>
                <w:sz w:val="22"/>
              </w:rPr>
              <w:t>pox et coqueluche presque chaque année.</w:t>
            </w:r>
          </w:p>
          <w:p w14:paraId="4DC22B2D" w14:textId="77777777" w:rsidR="001C2F95" w:rsidRPr="001857F5" w:rsidRDefault="001C2F95" w:rsidP="00971FD2">
            <w:pPr>
              <w:textAlignment w:val="baseline"/>
              <w:rPr>
                <w:rFonts w:cs="Arial"/>
                <w:color w:val="000000"/>
                <w:sz w:val="22"/>
              </w:rPr>
            </w:pPr>
          </w:p>
          <w:p w14:paraId="2CFF3E28" w14:textId="77777777" w:rsidR="001C2F95" w:rsidRPr="001857F5" w:rsidRDefault="001C2F95" w:rsidP="00971FD2">
            <w:pPr>
              <w:textAlignment w:val="baseline"/>
              <w:rPr>
                <w:rFonts w:cs="Arial"/>
                <w:iCs/>
                <w:color w:val="000000"/>
                <w:sz w:val="22"/>
              </w:rPr>
            </w:pPr>
            <w:r w:rsidRPr="001857F5">
              <w:rPr>
                <w:rFonts w:cs="Arial"/>
                <w:color w:val="000000"/>
                <w:sz w:val="22"/>
              </w:rPr>
              <w:t xml:space="preserve">Les résultats des évaluations rapides sur les VBG révèlent que </w:t>
            </w:r>
            <w:r w:rsidRPr="001857F5">
              <w:rPr>
                <w:rFonts w:cs="Arial"/>
                <w:iCs/>
                <w:color w:val="000000"/>
                <w:sz w:val="22"/>
              </w:rPr>
              <w:t xml:space="preserve">le constat global fait état d’une prise en charge essentiellement non holistique, conséquence d’un mécanisme de référencement incomplet, inefficace et non suffisamment utilisé par les acteurs. L’évaluation a montré des écarts dans les méthodes de gestion des cas et l’approche « axée sur le/la survivant(e) » et en particulier dans les compétences spécifiquement pour le volet psychosocial auprès des organisations offrants la prise en charge. Les différents volets de la prise en charge multisectorielle sont globalement qualitativement faibles, la couverture géographique de la prestation des services est insuffisante par rapport aux besoins, et la documentation des cas ne respecte pas les principes d’éthique minimaux. Finalement, nombreux acteurs des VBG cartographiés ne sont pas opérationnels et se limitent souvent à un appui aux survivant(e)s concernant l’accueil et le référencement. </w:t>
            </w:r>
          </w:p>
          <w:p w14:paraId="57005215" w14:textId="77777777" w:rsidR="001C2F95" w:rsidRPr="001857F5" w:rsidRDefault="001C2F95" w:rsidP="00971FD2">
            <w:pPr>
              <w:textAlignment w:val="baseline"/>
              <w:rPr>
                <w:rFonts w:cs="Arial"/>
                <w:iCs/>
                <w:color w:val="000000"/>
                <w:sz w:val="22"/>
              </w:rPr>
            </w:pPr>
          </w:p>
          <w:p w14:paraId="4259C965" w14:textId="77777777" w:rsidR="001C2F95" w:rsidRPr="001857F5" w:rsidRDefault="001C2F95" w:rsidP="00971FD2">
            <w:pPr>
              <w:textAlignment w:val="baseline"/>
              <w:rPr>
                <w:rFonts w:cs="Arial"/>
                <w:color w:val="000000"/>
                <w:sz w:val="22"/>
              </w:rPr>
            </w:pPr>
            <w:r w:rsidRPr="001857F5">
              <w:rPr>
                <w:rFonts w:cs="Arial"/>
                <w:iCs/>
                <w:color w:val="000000"/>
                <w:sz w:val="22"/>
              </w:rPr>
              <w:t xml:space="preserve">Pendant le conflit de Kamuina Nsapu, l’OMS a apporté son appui en médicaments essentiels qui a permis d'assurer la continuité dans la fourniture des services dans les Centres de Santé qui prennent gratuitement en charge les déplacés. Même les familles qui les accueillent ont été prises en compte. </w:t>
            </w:r>
            <w:r w:rsidRPr="001857F5">
              <w:rPr>
                <w:rFonts w:cs="Arial"/>
                <w:color w:val="000000"/>
                <w:sz w:val="22"/>
              </w:rPr>
              <w:t>118 structures sanitaires ont été pillées lors de la crise qui a touché les 26 Zones de Santé de sa Province. Les personnes déplacées ainsi que la population hôte avait gratuitement accès aux soins de santé de qualité dans les Centres de Santé et dans les Hôpitaux Généraux de Référence sélectionnés par l’ONG ADRA.</w:t>
            </w:r>
          </w:p>
          <w:p w14:paraId="098FF266" w14:textId="77777777" w:rsidR="001C2F95" w:rsidRPr="001857F5" w:rsidRDefault="001C2F95" w:rsidP="00971FD2">
            <w:pPr>
              <w:textAlignment w:val="baseline"/>
              <w:rPr>
                <w:rFonts w:cs="Arial"/>
                <w:color w:val="000000"/>
                <w:sz w:val="22"/>
              </w:rPr>
            </w:pPr>
          </w:p>
          <w:p w14:paraId="7252EA33" w14:textId="77777777" w:rsidR="001C2F95" w:rsidRPr="001857F5" w:rsidRDefault="001C2F95" w:rsidP="00971FD2">
            <w:pPr>
              <w:textAlignment w:val="baseline"/>
              <w:rPr>
                <w:rFonts w:cs="Arial"/>
                <w:color w:val="000000"/>
                <w:sz w:val="22"/>
              </w:rPr>
            </w:pPr>
            <w:r w:rsidRPr="001857F5">
              <w:rPr>
                <w:rFonts w:cs="Arial"/>
                <w:color w:val="000000"/>
                <w:sz w:val="22"/>
              </w:rPr>
              <w:t>À ce jour, l’accès aux soins de santé demeure précaire dans ce contexte de COVID-19.</w:t>
            </w:r>
          </w:p>
        </w:tc>
      </w:tr>
      <w:tr w:rsidR="001C2F95" w:rsidRPr="001857F5" w14:paraId="58D5BE92" w14:textId="77777777" w:rsidTr="00971FD2">
        <w:trPr>
          <w:trHeight w:val="820"/>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0103A60" w14:textId="77777777" w:rsidR="001C2F95" w:rsidRPr="001857F5" w:rsidRDefault="001C2F95" w:rsidP="00971FD2">
            <w:pPr>
              <w:rPr>
                <w:rFonts w:eastAsia="Calibri" w:cs="Arial"/>
                <w:b/>
                <w:sz w:val="22"/>
              </w:rPr>
            </w:pPr>
            <w:r w:rsidRPr="001857F5">
              <w:rPr>
                <w:rFonts w:eastAsia="Calibri" w:cs="Arial"/>
                <w:b/>
                <w:sz w:val="22"/>
              </w:rPr>
              <w:t>Situation du COVID-19 dans la Province du Kasaï Central</w:t>
            </w:r>
          </w:p>
        </w:tc>
        <w:tc>
          <w:tcPr>
            <w:tcW w:w="11287" w:type="dxa"/>
            <w:tcBorders>
              <w:top w:val="single" w:sz="4" w:space="0" w:color="000001"/>
              <w:left w:val="single" w:sz="4" w:space="0" w:color="000001"/>
              <w:bottom w:val="single" w:sz="4" w:space="0" w:color="000001"/>
              <w:right w:val="single" w:sz="4" w:space="0" w:color="000001"/>
            </w:tcBorders>
          </w:tcPr>
          <w:p w14:paraId="599C3623" w14:textId="77777777" w:rsidR="001C2F95" w:rsidRPr="001857F5" w:rsidRDefault="001C2F95" w:rsidP="00971FD2">
            <w:pPr>
              <w:textAlignment w:val="baseline"/>
              <w:rPr>
                <w:rFonts w:cs="Arial"/>
                <w:color w:val="000000"/>
                <w:sz w:val="22"/>
              </w:rPr>
            </w:pPr>
            <w:r w:rsidRPr="001857F5">
              <w:rPr>
                <w:rFonts w:cs="Arial"/>
                <w:color w:val="000000"/>
                <w:sz w:val="22"/>
              </w:rPr>
              <w:t>Depuis le début de la pandémie à COVID-19 en RDC, la Province du Kasaï Central a</w:t>
            </w:r>
            <w:r w:rsidR="00AB3C0C" w:rsidRPr="001857F5">
              <w:rPr>
                <w:rFonts w:cs="Arial"/>
                <w:color w:val="000000"/>
                <w:sz w:val="22"/>
              </w:rPr>
              <w:t xml:space="preserve"> </w:t>
            </w:r>
            <w:r w:rsidRPr="001857F5">
              <w:rPr>
                <w:rFonts w:cs="Arial"/>
                <w:color w:val="000000"/>
                <w:sz w:val="22"/>
              </w:rPr>
              <w:t>enregistré 16 cas confirmé de COVID-19, statistique avancée par l’INRB en date de 12 janvier 2021. Des mesures barrières et le couvre-feu qui débute de 21h00 à 5h00 sont observées sur toute l’étendue de la Province.</w:t>
            </w:r>
          </w:p>
        </w:tc>
      </w:tr>
      <w:tr w:rsidR="001C2F95" w:rsidRPr="001857F5" w14:paraId="7EA7901A"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FCC96C" w14:textId="77777777" w:rsidR="001C2F95" w:rsidRPr="001857F5" w:rsidRDefault="001C2F95" w:rsidP="00971FD2">
            <w:pPr>
              <w:rPr>
                <w:rFonts w:eastAsia="Calibri" w:cs="Arial"/>
                <w:b/>
                <w:sz w:val="22"/>
              </w:rPr>
            </w:pPr>
            <w:r w:rsidRPr="001857F5">
              <w:rPr>
                <w:rFonts w:eastAsia="Calibri" w:cs="Arial"/>
                <w:b/>
                <w:sz w:val="22"/>
              </w:rPr>
              <w:t>Éducation</w:t>
            </w:r>
          </w:p>
        </w:tc>
        <w:tc>
          <w:tcPr>
            <w:tcW w:w="11287" w:type="dxa"/>
            <w:tcBorders>
              <w:top w:val="single" w:sz="4" w:space="0" w:color="000001"/>
              <w:left w:val="single" w:sz="4" w:space="0" w:color="000001"/>
              <w:bottom w:val="single" w:sz="4" w:space="0" w:color="000001"/>
              <w:right w:val="single" w:sz="4" w:space="0" w:color="000001"/>
            </w:tcBorders>
          </w:tcPr>
          <w:p w14:paraId="6EC7FAAA" w14:textId="77777777" w:rsidR="001C2F95" w:rsidRPr="001857F5" w:rsidRDefault="001C2F95" w:rsidP="00971FD2">
            <w:pPr>
              <w:textAlignment w:val="baseline"/>
              <w:rPr>
                <w:rFonts w:cs="Arial"/>
                <w:sz w:val="22"/>
              </w:rPr>
            </w:pPr>
            <w:r w:rsidRPr="001857F5">
              <w:rPr>
                <w:rFonts w:cs="Arial"/>
                <w:sz w:val="22"/>
              </w:rPr>
              <w:t xml:space="preserve">Le taux de fréquentation scolaire dans la Province du </w:t>
            </w:r>
            <w:r w:rsidR="00AB3C0C" w:rsidRPr="001857F5">
              <w:rPr>
                <w:rFonts w:cs="Arial"/>
                <w:sz w:val="22"/>
              </w:rPr>
              <w:t>Kasaï</w:t>
            </w:r>
            <w:r w:rsidRPr="001857F5">
              <w:rPr>
                <w:rFonts w:cs="Arial"/>
                <w:sz w:val="22"/>
              </w:rPr>
              <w:t xml:space="preserve"> Central est de 57,8 % (Enquête MICS2-Palu, RDC, 2017-2018). On observait vers l’année 2017, le taux de scolarisation des filles s’écarte de celui des garçons au fur et à mesure que le niveau d’instruction monte. De 49,4 % en primaire, ce taux pour les filles descend à 15,9 % au secondaire puis 0,3 % au niveau supérieur. Il en est de même pour l’accès à l’éducation puisque si on compte 9 filles pour 10 garçons au primaire, ce ratio descend à 4 sur 10 au niveau secondaire pour finir à seulement une fille pour 10 garçons au niveau supérieur. Le mariage précoce des filles est une pratique très courante dans le Kasaï Central ; ainsi, les filles n’ont pas le même accès aux études. Les normes très conservatrices soulignent la phrase « La fille n’est pas faite pour les études mais pour le ménage ». Certains jeunes garçons préfèrent exploiter les produits miniers plutôt que fréquenter l’école. Le travail d’enfant est très récurrent dans le </w:t>
            </w:r>
            <w:r w:rsidR="001857F5" w:rsidRPr="001857F5">
              <w:rPr>
                <w:rFonts w:cs="Arial"/>
                <w:sz w:val="22"/>
              </w:rPr>
              <w:t>Kasaï</w:t>
            </w:r>
            <w:r w:rsidRPr="001857F5">
              <w:rPr>
                <w:rFonts w:cs="Arial"/>
                <w:sz w:val="22"/>
              </w:rPr>
              <w:t>-Central, en lieu et place des études.</w:t>
            </w:r>
          </w:p>
          <w:p w14:paraId="08E84213" w14:textId="77777777" w:rsidR="001C2F95" w:rsidRPr="001857F5" w:rsidRDefault="001C2F95" w:rsidP="00971FD2">
            <w:pPr>
              <w:textAlignment w:val="baseline"/>
              <w:rPr>
                <w:rFonts w:cs="Arial"/>
                <w:sz w:val="22"/>
              </w:rPr>
            </w:pPr>
          </w:p>
          <w:p w14:paraId="513B7F2F" w14:textId="77777777" w:rsidR="00AB3C0C" w:rsidRPr="001857F5" w:rsidRDefault="00AB3C0C" w:rsidP="00AB3C0C">
            <w:pPr>
              <w:textAlignment w:val="baseline"/>
              <w:rPr>
                <w:rFonts w:cs="Arial"/>
                <w:sz w:val="22"/>
              </w:rPr>
            </w:pPr>
            <w:r w:rsidRPr="001857F5">
              <w:rPr>
                <w:rFonts w:cs="Arial"/>
                <w:sz w:val="22"/>
              </w:rPr>
              <w:t xml:space="preserve">On note aussi certaines filles qui sont abusées et de fois même sollicitées en mariage par leurs enseignants ou sont victimes de harcèlement de la part de leurs enseignants. Les parents trouvent que c’est un honneur que leur fille soit mariée, mineure qu’elle soit à son enseignant. </w:t>
            </w:r>
          </w:p>
          <w:p w14:paraId="728B1553" w14:textId="77777777" w:rsidR="00AB3C0C" w:rsidRPr="001857F5" w:rsidRDefault="00AB3C0C" w:rsidP="00971FD2">
            <w:pPr>
              <w:textAlignment w:val="baseline"/>
              <w:rPr>
                <w:rFonts w:cs="Arial"/>
                <w:sz w:val="22"/>
              </w:rPr>
            </w:pPr>
          </w:p>
          <w:p w14:paraId="5CBDF687" w14:textId="77777777" w:rsidR="001C2F95" w:rsidRPr="001857F5" w:rsidRDefault="001C2F95" w:rsidP="00971FD2">
            <w:pPr>
              <w:textAlignment w:val="baseline"/>
              <w:rPr>
                <w:rFonts w:cs="Arial"/>
                <w:sz w:val="22"/>
              </w:rPr>
            </w:pPr>
            <w:r w:rsidRPr="001857F5">
              <w:rPr>
                <w:rFonts w:cs="Arial"/>
                <w:sz w:val="22"/>
              </w:rPr>
              <w:t>Mais avec le Programme de la gratuité de l’enseignement décrété par le Gouvernement de la République cette dernière année scolaire 2019-2020, les indicateurs de l’accès à l’éducation vont sensiblement améliorer le taux d’alphabétisation. Cette gratuité a augmenté le taux des filles à l’école ce qui donne l’espoir d’une réduction des mariages précoces dans cette communauté.</w:t>
            </w:r>
          </w:p>
        </w:tc>
      </w:tr>
      <w:tr w:rsidR="001C2F95" w:rsidRPr="001857F5" w14:paraId="09C9DD89"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D502755" w14:textId="77777777" w:rsidR="001C2F95" w:rsidRPr="001857F5" w:rsidRDefault="001C2F95" w:rsidP="00971FD2">
            <w:pPr>
              <w:jc w:val="left"/>
              <w:rPr>
                <w:rFonts w:eastAsia="Calibri" w:cs="Arial"/>
                <w:b/>
                <w:sz w:val="22"/>
              </w:rPr>
            </w:pPr>
            <w:r w:rsidRPr="001857F5">
              <w:rPr>
                <w:rFonts w:eastAsia="Calibri" w:cs="Arial"/>
                <w:b/>
                <w:sz w:val="22"/>
              </w:rPr>
              <w:t>Infrastructures de transport</w:t>
            </w:r>
          </w:p>
        </w:tc>
        <w:tc>
          <w:tcPr>
            <w:tcW w:w="11287" w:type="dxa"/>
            <w:tcBorders>
              <w:top w:val="single" w:sz="4" w:space="0" w:color="000001"/>
              <w:left w:val="single" w:sz="4" w:space="0" w:color="000001"/>
              <w:bottom w:val="single" w:sz="4" w:space="0" w:color="000001"/>
              <w:right w:val="single" w:sz="4" w:space="0" w:color="000001"/>
            </w:tcBorders>
          </w:tcPr>
          <w:p w14:paraId="0701EBAE" w14:textId="77777777" w:rsidR="001C2F95" w:rsidRPr="001857F5" w:rsidRDefault="001C2F95" w:rsidP="00971FD2">
            <w:pPr>
              <w:textAlignment w:val="baseline"/>
              <w:rPr>
                <w:rFonts w:cs="Arial"/>
                <w:color w:val="000000"/>
                <w:sz w:val="22"/>
              </w:rPr>
            </w:pPr>
            <w:r w:rsidRPr="001857F5">
              <w:rPr>
                <w:rFonts w:cs="Arial"/>
                <w:color w:val="000000"/>
                <w:sz w:val="22"/>
              </w:rPr>
              <w:t xml:space="preserve">Dans cette Province, le transport est assuré principalement par un réseau routier qui comprend 1 977 km de routes d’intérêt national, 1 147 km de routes d’intérêt provincial et 11 486 km des routes de dessertes agricoles. L’état de dégradation de ce réseau routier constitue un frein à la mobilité des personnes et des biens dans la Province. </w:t>
            </w:r>
          </w:p>
          <w:p w14:paraId="6FBB392A" w14:textId="77777777" w:rsidR="001C2F95" w:rsidRPr="001857F5" w:rsidRDefault="001C2F95" w:rsidP="00971FD2">
            <w:pPr>
              <w:textAlignment w:val="baseline"/>
              <w:rPr>
                <w:rFonts w:cs="Arial"/>
                <w:color w:val="000000"/>
                <w:sz w:val="22"/>
              </w:rPr>
            </w:pPr>
          </w:p>
          <w:p w14:paraId="7C8D00FB" w14:textId="77777777" w:rsidR="001C2F95" w:rsidRPr="001857F5" w:rsidRDefault="001C2F95" w:rsidP="00971FD2">
            <w:pPr>
              <w:textAlignment w:val="baseline"/>
              <w:rPr>
                <w:rFonts w:cs="Arial"/>
                <w:color w:val="000000"/>
                <w:sz w:val="22"/>
              </w:rPr>
            </w:pPr>
            <w:r w:rsidRPr="001857F5">
              <w:rPr>
                <w:rFonts w:cs="Arial"/>
                <w:color w:val="000000"/>
                <w:sz w:val="22"/>
              </w:rPr>
              <w:t xml:space="preserve">La Province dispose également d’une voie fluviale de près de 642 km de biefs navigables qui permet la circulation des produits au sein de la Province. </w:t>
            </w:r>
          </w:p>
          <w:p w14:paraId="486B9FC9" w14:textId="77777777" w:rsidR="001C2F95" w:rsidRPr="001857F5" w:rsidRDefault="001C2F95" w:rsidP="00971FD2">
            <w:pPr>
              <w:textAlignment w:val="baseline"/>
              <w:rPr>
                <w:rFonts w:cs="Arial"/>
                <w:color w:val="000000"/>
                <w:sz w:val="22"/>
              </w:rPr>
            </w:pPr>
          </w:p>
          <w:p w14:paraId="63DDAC92" w14:textId="77777777" w:rsidR="001C2F95" w:rsidRPr="001857F5" w:rsidRDefault="001C2F95" w:rsidP="00971FD2">
            <w:pPr>
              <w:textAlignment w:val="baseline"/>
              <w:rPr>
                <w:rFonts w:cs="Arial"/>
                <w:color w:val="000000"/>
                <w:sz w:val="22"/>
              </w:rPr>
            </w:pPr>
            <w:r w:rsidRPr="001857F5">
              <w:rPr>
                <w:rFonts w:cs="Arial"/>
                <w:color w:val="000000"/>
                <w:sz w:val="22"/>
              </w:rPr>
              <w:t>Le réseau ferroviaire de l’ancienne Province est composé de la voie ferrée venant de l’Afrique du Sud, en passant par la Zambie, les Provinces du Haut-Katanga et du Lomami.</w:t>
            </w:r>
          </w:p>
          <w:p w14:paraId="4A3252FA" w14:textId="77777777" w:rsidR="001C2F95" w:rsidRPr="001857F5" w:rsidRDefault="001C2F95" w:rsidP="00971FD2">
            <w:pPr>
              <w:textAlignment w:val="baseline"/>
              <w:rPr>
                <w:rFonts w:cs="Arial"/>
                <w:color w:val="000000"/>
                <w:sz w:val="22"/>
              </w:rPr>
            </w:pPr>
          </w:p>
          <w:p w14:paraId="07A616EB" w14:textId="77777777" w:rsidR="001C2F95" w:rsidRPr="001857F5" w:rsidRDefault="001C2F95" w:rsidP="00AB3C0C">
            <w:pPr>
              <w:textAlignment w:val="baseline"/>
              <w:rPr>
                <w:rFonts w:cs="Arial"/>
                <w:color w:val="000000"/>
                <w:sz w:val="22"/>
              </w:rPr>
            </w:pPr>
            <w:r w:rsidRPr="001857F5">
              <w:rPr>
                <w:rFonts w:cs="Arial"/>
                <w:color w:val="000000"/>
                <w:sz w:val="22"/>
              </w:rPr>
              <w:t xml:space="preserve">Le délabrement des routes est souvent un risque des VBG du fait que les </w:t>
            </w:r>
            <w:r w:rsidR="00AB3C0C" w:rsidRPr="001857F5">
              <w:rPr>
                <w:rFonts w:cs="Arial"/>
                <w:color w:val="000000"/>
                <w:sz w:val="22"/>
              </w:rPr>
              <w:t xml:space="preserve">passagers des </w:t>
            </w:r>
            <w:r w:rsidRPr="001857F5">
              <w:rPr>
                <w:rFonts w:cs="Arial"/>
                <w:color w:val="000000"/>
                <w:sz w:val="22"/>
              </w:rPr>
              <w:t xml:space="preserve">véhicules qui s’embourbent sont obligés de passer plus de temps que prévu dans les villages avoisinants, ce qui crée des risques d’EAS pour les filles qui ne fréquentent pas l’école et sont souvent à la recherche d’un revenu ou des activités </w:t>
            </w:r>
            <w:r w:rsidR="00AB3C0C" w:rsidRPr="001857F5">
              <w:rPr>
                <w:rFonts w:cs="Arial"/>
                <w:color w:val="000000"/>
                <w:sz w:val="22"/>
              </w:rPr>
              <w:t>génératrices de revenus</w:t>
            </w:r>
            <w:r w:rsidRPr="001857F5">
              <w:rPr>
                <w:rFonts w:cs="Arial"/>
                <w:color w:val="000000"/>
                <w:sz w:val="22"/>
              </w:rPr>
              <w:t xml:space="preserve"> pour soutenir la famille. Des grossesses et mariages précoces sont alors les phénomènes très </w:t>
            </w:r>
            <w:r w:rsidR="00AB3C0C" w:rsidRPr="001857F5">
              <w:rPr>
                <w:rFonts w:cs="Arial"/>
                <w:color w:val="000000"/>
                <w:sz w:val="22"/>
              </w:rPr>
              <w:t>récurrents</w:t>
            </w:r>
            <w:r w:rsidRPr="001857F5">
              <w:rPr>
                <w:rFonts w:cs="Arial"/>
                <w:color w:val="000000"/>
                <w:sz w:val="22"/>
              </w:rPr>
              <w:t xml:space="preserve"> dans certains tronçons routiers du Kasaï Central.</w:t>
            </w:r>
          </w:p>
        </w:tc>
      </w:tr>
      <w:tr w:rsidR="001C2F95" w:rsidRPr="001857F5" w14:paraId="69E00138"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0449209" w14:textId="77777777" w:rsidR="001C2F95" w:rsidRPr="001857F5" w:rsidRDefault="001C2F95" w:rsidP="00971FD2">
            <w:pPr>
              <w:rPr>
                <w:rFonts w:eastAsia="Calibri" w:cs="Arial"/>
                <w:b/>
                <w:sz w:val="22"/>
              </w:rPr>
            </w:pPr>
            <w:r w:rsidRPr="001857F5">
              <w:rPr>
                <w:rFonts w:eastAsia="Calibri" w:cs="Arial"/>
                <w:b/>
                <w:sz w:val="22"/>
              </w:rPr>
              <w:t>Accès à l’énergie</w:t>
            </w:r>
          </w:p>
        </w:tc>
        <w:tc>
          <w:tcPr>
            <w:tcW w:w="11287" w:type="dxa"/>
            <w:tcBorders>
              <w:top w:val="single" w:sz="4" w:space="0" w:color="000001"/>
              <w:left w:val="single" w:sz="4" w:space="0" w:color="000001"/>
              <w:bottom w:val="single" w:sz="4" w:space="0" w:color="000001"/>
              <w:right w:val="single" w:sz="4" w:space="0" w:color="000001"/>
            </w:tcBorders>
          </w:tcPr>
          <w:p w14:paraId="01A31EC4" w14:textId="77777777" w:rsidR="001C2F95" w:rsidRPr="001857F5" w:rsidRDefault="001C2F95" w:rsidP="00971FD2">
            <w:pPr>
              <w:textAlignment w:val="baseline"/>
              <w:rPr>
                <w:rFonts w:cs="Arial"/>
                <w:color w:val="000000"/>
                <w:sz w:val="22"/>
              </w:rPr>
            </w:pPr>
            <w:r w:rsidRPr="001857F5">
              <w:rPr>
                <w:rFonts w:cs="Arial"/>
                <w:color w:val="000000"/>
                <w:sz w:val="22"/>
              </w:rPr>
              <w:t>L’accès à l’électricité pose encore d’énormes problèmes dans cette partie du pays. En effet, seulement 5,6 % des ménages ont accès à l’électricité. En outre, le taux de recours principal aux combustibles et technologies propres de cuisson (dans les ménages qui déclarent cuisiner) est de 0,8 % (enquête MICS2-Palu, RDC 2017-2018). Ces chiffres traduisent la précarité de la vie dans la Province du Kasaï Central. Les jeunes garçons et jeunes filles font le ramassage de bois pour la survie. Par la suite, les filles sont plus exposées aux risques de VBG au cours de cette activi</w:t>
            </w:r>
            <w:r w:rsidR="00AB3C0C" w:rsidRPr="001857F5">
              <w:rPr>
                <w:rFonts w:cs="Arial"/>
                <w:color w:val="000000"/>
                <w:sz w:val="22"/>
              </w:rPr>
              <w:t>t</w:t>
            </w:r>
            <w:r w:rsidRPr="001857F5">
              <w:rPr>
                <w:rFonts w:cs="Arial"/>
                <w:color w:val="000000"/>
                <w:sz w:val="22"/>
              </w:rPr>
              <w:t>é.</w:t>
            </w:r>
          </w:p>
        </w:tc>
      </w:tr>
      <w:tr w:rsidR="001C2F95" w:rsidRPr="001857F5" w14:paraId="7AF28A53"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19BAE24" w14:textId="77777777" w:rsidR="001C2F95" w:rsidRPr="001857F5" w:rsidRDefault="001C2F95" w:rsidP="00971FD2">
            <w:pPr>
              <w:textAlignment w:val="baseline"/>
              <w:rPr>
                <w:rFonts w:cs="Arial"/>
                <w:b/>
                <w:color w:val="000000"/>
                <w:sz w:val="22"/>
                <w:shd w:val="clear" w:color="auto" w:fill="FFFFFF"/>
              </w:rPr>
            </w:pPr>
            <w:r w:rsidRPr="001857F5">
              <w:rPr>
                <w:rFonts w:cs="Arial"/>
                <w:b/>
                <w:color w:val="000000"/>
                <w:sz w:val="22"/>
                <w:shd w:val="clear" w:color="auto" w:fill="FFFFFF"/>
              </w:rPr>
              <w:t>Accès à l’eau</w:t>
            </w:r>
          </w:p>
        </w:tc>
        <w:tc>
          <w:tcPr>
            <w:tcW w:w="11287" w:type="dxa"/>
            <w:tcBorders>
              <w:top w:val="single" w:sz="4" w:space="0" w:color="000001"/>
              <w:left w:val="single" w:sz="4" w:space="0" w:color="000001"/>
              <w:bottom w:val="single" w:sz="4" w:space="0" w:color="000001"/>
              <w:right w:val="single" w:sz="4" w:space="0" w:color="000001"/>
            </w:tcBorders>
          </w:tcPr>
          <w:p w14:paraId="5C74767D" w14:textId="77777777" w:rsidR="001C2F95" w:rsidRPr="001857F5" w:rsidRDefault="001C2F95" w:rsidP="00AB3C0C">
            <w:pPr>
              <w:textAlignment w:val="baseline"/>
              <w:rPr>
                <w:rFonts w:cs="Arial"/>
                <w:color w:val="000000"/>
                <w:sz w:val="22"/>
                <w:shd w:val="clear" w:color="auto" w:fill="FFFFFF"/>
              </w:rPr>
            </w:pPr>
            <w:r w:rsidRPr="001857F5">
              <w:rPr>
                <w:rFonts w:cs="Arial"/>
                <w:color w:val="000000"/>
                <w:sz w:val="22"/>
                <w:shd w:val="clear" w:color="auto" w:fill="FFFFFF"/>
              </w:rPr>
              <w:t xml:space="preserve">L’accès à l’eau potable pose aussi d’énormes problèmes dans cette partie du pays où seulement 28,9 % des ménages ont accès à l’eau. En outre, 0,8 % des ménages ont accès à l’eau potable de robinet (Enquête MICS2-Palu, RDC, 2017-2018). Ces chiffres traduisent la précarité de la vie dans la Province du Kasaï Central. Cette situation de pénurie d’eau expose les femmes et jeunes filles aux risques de VBG, qui sont appelées à chercher de l’eau potable. </w:t>
            </w:r>
            <w:r w:rsidRPr="001857F5">
              <w:rPr>
                <w:rFonts w:cs="Arial"/>
                <w:color w:val="000000"/>
                <w:sz w:val="22"/>
              </w:rPr>
              <w:t>Les jeunes femmes et filles sont exposées aux actes des VBG, y compris l’EAS et le HS, lorsqu’elles se rendent à la riv</w:t>
            </w:r>
            <w:r w:rsidR="00AB3C0C" w:rsidRPr="001857F5">
              <w:rPr>
                <w:rFonts w:cs="Arial"/>
                <w:color w:val="000000"/>
                <w:sz w:val="22"/>
              </w:rPr>
              <w:t>i</w:t>
            </w:r>
            <w:r w:rsidRPr="001857F5">
              <w:rPr>
                <w:rFonts w:cs="Arial"/>
                <w:color w:val="000000"/>
                <w:sz w:val="22"/>
              </w:rPr>
              <w:t>ère pour s’approvisionner en eau. Les jeunes délinquants leur tendent souvent des pièges pour les harceler</w:t>
            </w:r>
            <w:r w:rsidR="00AB3C0C" w:rsidRPr="001857F5">
              <w:rPr>
                <w:rFonts w:cs="Arial"/>
                <w:color w:val="000000"/>
                <w:sz w:val="22"/>
              </w:rPr>
              <w:t xml:space="preserve"> et parfois obligent les filles à avoir des rapports sexuels avec eux</w:t>
            </w:r>
            <w:r w:rsidRPr="001857F5">
              <w:rPr>
                <w:rFonts w:cs="Arial"/>
                <w:color w:val="000000"/>
                <w:sz w:val="22"/>
              </w:rPr>
              <w:t>.</w:t>
            </w:r>
          </w:p>
        </w:tc>
      </w:tr>
      <w:tr w:rsidR="001C2F95" w:rsidRPr="001857F5" w14:paraId="1C89BA0C"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5B18817" w14:textId="77777777" w:rsidR="001C2F95" w:rsidRPr="001857F5" w:rsidRDefault="001C2F95" w:rsidP="00971FD2">
            <w:pPr>
              <w:rPr>
                <w:rFonts w:eastAsia="Calibri" w:cs="Arial"/>
                <w:b/>
                <w:sz w:val="22"/>
              </w:rPr>
            </w:pPr>
            <w:r w:rsidRPr="001857F5">
              <w:rPr>
                <w:rFonts w:eastAsia="Calibri" w:cs="Arial"/>
                <w:b/>
                <w:sz w:val="22"/>
              </w:rPr>
              <w:t>Communication</w:t>
            </w:r>
          </w:p>
        </w:tc>
        <w:tc>
          <w:tcPr>
            <w:tcW w:w="11287" w:type="dxa"/>
            <w:tcBorders>
              <w:top w:val="single" w:sz="4" w:space="0" w:color="000001"/>
              <w:left w:val="single" w:sz="4" w:space="0" w:color="000001"/>
              <w:bottom w:val="single" w:sz="4" w:space="0" w:color="000001"/>
              <w:right w:val="single" w:sz="4" w:space="0" w:color="000001"/>
            </w:tcBorders>
          </w:tcPr>
          <w:p w14:paraId="46BEB099" w14:textId="77777777" w:rsidR="001C2F95" w:rsidRPr="001857F5" w:rsidRDefault="001C2F95" w:rsidP="00971FD2">
            <w:pPr>
              <w:textAlignment w:val="baseline"/>
              <w:rPr>
                <w:rFonts w:cs="Arial"/>
                <w:color w:val="000000"/>
                <w:sz w:val="22"/>
              </w:rPr>
            </w:pPr>
            <w:r w:rsidRPr="001857F5">
              <w:rPr>
                <w:rFonts w:cs="Arial"/>
                <w:color w:val="000000"/>
                <w:sz w:val="22"/>
              </w:rPr>
              <w:t xml:space="preserve">Le réseau téléphonique est composé du secteur public (Postes et Télécommunications) et du secteur privé (Airtel, Vodacom et Orange). Il y a également plus d’une trentaine des radios et de télévisions locales. Les radios communautaires sont les plus utilisées dans la communication, et elles sont l’émanation des Confessions Religieuses. Les radios les plus connues rencontrées dans la Province du </w:t>
            </w:r>
            <w:r w:rsidR="00AB3C0C" w:rsidRPr="001857F5">
              <w:rPr>
                <w:rFonts w:cs="Arial"/>
                <w:color w:val="000000"/>
                <w:sz w:val="22"/>
              </w:rPr>
              <w:t>Kasaï</w:t>
            </w:r>
            <w:r w:rsidRPr="001857F5">
              <w:rPr>
                <w:rFonts w:cs="Arial"/>
                <w:color w:val="000000"/>
                <w:sz w:val="22"/>
              </w:rPr>
              <w:t xml:space="preserve"> Central sont : la RTNC et la radio OKAPI, Radio Ditekemena de Tshikula, et Radio Dibaya Tabalayi de Tshimbulu, etc.</w:t>
            </w:r>
          </w:p>
        </w:tc>
      </w:tr>
      <w:tr w:rsidR="001C2F95" w:rsidRPr="001857F5" w14:paraId="010CF3DD"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AB31761" w14:textId="77777777" w:rsidR="001C2F95" w:rsidRPr="001857F5" w:rsidRDefault="001C2F95" w:rsidP="00971FD2">
            <w:pPr>
              <w:rPr>
                <w:rFonts w:eastAsia="Calibri" w:cs="Arial"/>
                <w:b/>
                <w:sz w:val="22"/>
              </w:rPr>
            </w:pPr>
            <w:r w:rsidRPr="001857F5">
              <w:rPr>
                <w:rFonts w:eastAsia="Calibri" w:cs="Arial"/>
                <w:b/>
                <w:sz w:val="22"/>
              </w:rPr>
              <w:t>Aire protégée</w:t>
            </w:r>
          </w:p>
          <w:p w14:paraId="7394C6D7" w14:textId="77777777" w:rsidR="001C2F95" w:rsidRPr="001857F5" w:rsidRDefault="001C2F95" w:rsidP="00971FD2">
            <w:pPr>
              <w:rPr>
                <w:rFonts w:eastAsia="Calibri" w:cs="Arial"/>
                <w:b/>
                <w:sz w:val="22"/>
              </w:rPr>
            </w:pPr>
          </w:p>
        </w:tc>
        <w:tc>
          <w:tcPr>
            <w:tcW w:w="11287" w:type="dxa"/>
            <w:tcBorders>
              <w:top w:val="single" w:sz="4" w:space="0" w:color="000001"/>
              <w:left w:val="single" w:sz="4" w:space="0" w:color="000001"/>
              <w:bottom w:val="single" w:sz="4" w:space="0" w:color="000001"/>
              <w:right w:val="single" w:sz="4" w:space="0" w:color="000001"/>
            </w:tcBorders>
          </w:tcPr>
          <w:p w14:paraId="2D9D27CF" w14:textId="77777777" w:rsidR="001C2F95" w:rsidRPr="001857F5" w:rsidRDefault="001C2F95" w:rsidP="00971FD2">
            <w:pPr>
              <w:textAlignment w:val="baseline"/>
              <w:rPr>
                <w:rFonts w:cs="Arial"/>
                <w:color w:val="000000"/>
                <w:sz w:val="22"/>
              </w:rPr>
            </w:pPr>
            <w:r w:rsidRPr="001857F5">
              <w:rPr>
                <w:rFonts w:cs="Arial"/>
                <w:color w:val="000000"/>
                <w:sz w:val="22"/>
              </w:rPr>
              <w:t xml:space="preserve">Une partie du domaine de chasse et la réserve de Bushimaie se trouve dans la Province du Kasaï Central vers </w:t>
            </w:r>
            <w:hyperlink r:id="rId52" w:tooltip="Luiza (territoire)" w:history="1">
              <w:r w:rsidRPr="001857F5">
                <w:rPr>
                  <w:rFonts w:cs="Arial"/>
                  <w:color w:val="000000"/>
                  <w:sz w:val="22"/>
                </w:rPr>
                <w:t>Luiza</w:t>
              </w:r>
            </w:hyperlink>
            <w:r w:rsidRPr="001857F5">
              <w:rPr>
                <w:rFonts w:cs="Arial"/>
                <w:color w:val="000000"/>
                <w:sz w:val="22"/>
              </w:rPr>
              <w:t xml:space="preserve"> dans la Province. Le domaine est créé en 1958 et sa superficie est approximativement de 4 700 000 ha. Les principales espèces fauniques sont : l‘</w:t>
            </w:r>
            <w:hyperlink r:id="rId53" w:tooltip="Hippopotame" w:history="1">
              <w:r w:rsidRPr="001857F5">
                <w:rPr>
                  <w:rFonts w:cs="Arial"/>
                  <w:color w:val="000000"/>
                  <w:sz w:val="22"/>
                </w:rPr>
                <w:t>hippopotame</w:t>
              </w:r>
            </w:hyperlink>
            <w:r w:rsidRPr="001857F5">
              <w:rPr>
                <w:rFonts w:cs="Arial"/>
                <w:color w:val="000000"/>
                <w:sz w:val="22"/>
              </w:rPr>
              <w:t xml:space="preserve">, le </w:t>
            </w:r>
            <w:hyperlink r:id="rId54" w:tooltip="Sitatunga" w:history="1">
              <w:r w:rsidRPr="001857F5">
                <w:rPr>
                  <w:rFonts w:cs="Arial"/>
                  <w:color w:val="000000"/>
                  <w:sz w:val="22"/>
                </w:rPr>
                <w:t>sitatunga</w:t>
              </w:r>
            </w:hyperlink>
            <w:r w:rsidRPr="001857F5">
              <w:rPr>
                <w:rFonts w:cs="Arial"/>
                <w:color w:val="000000"/>
                <w:sz w:val="22"/>
              </w:rPr>
              <w:t xml:space="preserve">, et le </w:t>
            </w:r>
            <w:hyperlink r:id="rId55" w:tooltip="Buffle" w:history="1">
              <w:r w:rsidRPr="001857F5">
                <w:rPr>
                  <w:rFonts w:cs="Arial"/>
                  <w:color w:val="000000"/>
                  <w:sz w:val="22"/>
                </w:rPr>
                <w:t>buffle</w:t>
              </w:r>
            </w:hyperlink>
            <w:r w:rsidRPr="001857F5">
              <w:rPr>
                <w:rFonts w:cs="Arial"/>
                <w:color w:val="000000"/>
                <w:sz w:val="22"/>
              </w:rPr>
              <w:t>.</w:t>
            </w:r>
          </w:p>
        </w:tc>
      </w:tr>
    </w:tbl>
    <w:p w14:paraId="68F41995" w14:textId="77777777" w:rsidR="001C2F95" w:rsidRPr="001857F5" w:rsidRDefault="001C2F95" w:rsidP="001C2F95">
      <w:pPr>
        <w:jc w:val="center"/>
        <w:rPr>
          <w:rFonts w:cs="Arial"/>
          <w:sz w:val="22"/>
        </w:rPr>
      </w:pPr>
    </w:p>
    <w:p w14:paraId="77866116" w14:textId="77777777" w:rsidR="001C2F95" w:rsidRPr="001857F5" w:rsidRDefault="001C2F95" w:rsidP="001C2F95">
      <w:pPr>
        <w:jc w:val="center"/>
        <w:rPr>
          <w:rFonts w:cs="Arial"/>
          <w:sz w:val="22"/>
        </w:rPr>
      </w:pPr>
    </w:p>
    <w:p w14:paraId="79478D3D" w14:textId="77777777" w:rsidR="001C2F95" w:rsidRPr="001857F5" w:rsidRDefault="001C2F95" w:rsidP="001C2F95">
      <w:pPr>
        <w:spacing w:line="240" w:lineRule="auto"/>
        <w:jc w:val="left"/>
        <w:rPr>
          <w:rFonts w:cs="Arial"/>
          <w:sz w:val="22"/>
        </w:rPr>
      </w:pPr>
      <w:r w:rsidRPr="001857F5">
        <w:rPr>
          <w:rFonts w:cs="Arial"/>
          <w:sz w:val="22"/>
        </w:rPr>
        <w:br w:type="page"/>
      </w:r>
    </w:p>
    <w:p w14:paraId="49024DED" w14:textId="77777777" w:rsidR="001C2F95" w:rsidRPr="001857F5" w:rsidRDefault="001C2F95" w:rsidP="001C2F95">
      <w:pPr>
        <w:rPr>
          <w:rFonts w:cs="Arial"/>
          <w:i/>
          <w:sz w:val="22"/>
        </w:rPr>
      </w:pPr>
      <w:bookmarkStart w:id="216" w:name="_Toc70451652"/>
      <w:r w:rsidRPr="001857F5">
        <w:rPr>
          <w:rFonts w:cs="Arial"/>
          <w:sz w:val="22"/>
        </w:rPr>
        <w:t xml:space="preserve">Tableau </w:t>
      </w:r>
      <w:r w:rsidRPr="001857F5">
        <w:rPr>
          <w:rFonts w:cs="Arial"/>
          <w:sz w:val="22"/>
        </w:rPr>
        <w:fldChar w:fldCharType="begin"/>
      </w:r>
      <w:r w:rsidRPr="001857F5">
        <w:rPr>
          <w:rFonts w:cs="Arial"/>
          <w:sz w:val="22"/>
        </w:rPr>
        <w:instrText xml:space="preserve"> SEQ Tableau \* ARABIC </w:instrText>
      </w:r>
      <w:r w:rsidRPr="001857F5">
        <w:rPr>
          <w:rFonts w:cs="Arial"/>
          <w:sz w:val="22"/>
        </w:rPr>
        <w:fldChar w:fldCharType="separate"/>
      </w:r>
      <w:r w:rsidR="001260B3">
        <w:rPr>
          <w:rFonts w:cs="Arial"/>
          <w:noProof/>
          <w:sz w:val="22"/>
        </w:rPr>
        <w:t>6</w:t>
      </w:r>
      <w:r w:rsidRPr="001857F5">
        <w:rPr>
          <w:rFonts w:cs="Arial"/>
          <w:sz w:val="22"/>
        </w:rPr>
        <w:fldChar w:fldCharType="end"/>
      </w:r>
      <w:r w:rsidRPr="001857F5">
        <w:rPr>
          <w:rFonts w:cs="Arial"/>
          <w:sz w:val="22"/>
        </w:rPr>
        <w:t>. Données socio-économiques de la Province du Kasaï</w:t>
      </w:r>
      <w:bookmarkEnd w:id="216"/>
    </w:p>
    <w:p w14:paraId="7874652C" w14:textId="77777777" w:rsidR="001C2F95" w:rsidRPr="001857F5" w:rsidRDefault="001C2F95" w:rsidP="001C2F95">
      <w:pPr>
        <w:jc w:val="center"/>
        <w:rPr>
          <w:rFonts w:cs="Arial"/>
          <w:i/>
          <w:sz w:val="22"/>
        </w:rPr>
      </w:pPr>
    </w:p>
    <w:tbl>
      <w:tblPr>
        <w:tblW w:w="1366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78"/>
        <w:gridCol w:w="11287"/>
      </w:tblGrid>
      <w:tr w:rsidR="001C2F95" w:rsidRPr="001857F5" w14:paraId="6ED1F4D0" w14:textId="77777777" w:rsidTr="00971FD2">
        <w:trPr>
          <w:trHeight w:val="414"/>
          <w:tblHeader/>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C2D69B"/>
            <w:tcMar>
              <w:left w:w="108" w:type="dxa"/>
            </w:tcMar>
          </w:tcPr>
          <w:p w14:paraId="245A2E4A" w14:textId="77777777" w:rsidR="001C2F95" w:rsidRPr="001857F5" w:rsidRDefault="001C2F95" w:rsidP="00971FD2">
            <w:pPr>
              <w:jc w:val="center"/>
              <w:rPr>
                <w:rFonts w:eastAsia="Calibri" w:cs="Arial"/>
                <w:b/>
                <w:sz w:val="22"/>
              </w:rPr>
            </w:pPr>
            <w:r w:rsidRPr="001857F5">
              <w:rPr>
                <w:rFonts w:eastAsia="Calibri" w:cs="Arial"/>
                <w:b/>
                <w:sz w:val="22"/>
              </w:rPr>
              <w:t>Secteur</w:t>
            </w:r>
          </w:p>
        </w:tc>
        <w:tc>
          <w:tcPr>
            <w:tcW w:w="11287" w:type="dxa"/>
            <w:tcBorders>
              <w:top w:val="single" w:sz="4" w:space="0" w:color="000001"/>
              <w:left w:val="single" w:sz="4" w:space="0" w:color="000001"/>
              <w:bottom w:val="single" w:sz="4" w:space="0" w:color="000001"/>
              <w:right w:val="single" w:sz="4" w:space="0" w:color="000001"/>
            </w:tcBorders>
            <w:shd w:val="clear" w:color="auto" w:fill="C2D69B"/>
          </w:tcPr>
          <w:p w14:paraId="32AE968A" w14:textId="77777777" w:rsidR="001C2F95" w:rsidRPr="001857F5" w:rsidRDefault="001C2F95" w:rsidP="00971FD2">
            <w:pPr>
              <w:jc w:val="center"/>
              <w:rPr>
                <w:rFonts w:eastAsia="Calibri" w:cs="Arial"/>
                <w:b/>
                <w:sz w:val="22"/>
              </w:rPr>
            </w:pPr>
            <w:r w:rsidRPr="001857F5">
              <w:rPr>
                <w:rFonts w:eastAsia="Calibri" w:cs="Arial"/>
                <w:b/>
                <w:sz w:val="22"/>
              </w:rPr>
              <w:t>Province du Kasaï</w:t>
            </w:r>
          </w:p>
        </w:tc>
      </w:tr>
      <w:tr w:rsidR="001C2F95" w:rsidRPr="001857F5" w14:paraId="5FBB80FF" w14:textId="77777777" w:rsidTr="00971FD2">
        <w:trPr>
          <w:trHeight w:val="276"/>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7A9B0C0" w14:textId="77777777" w:rsidR="001C2F95" w:rsidRPr="001857F5" w:rsidRDefault="001C2F95" w:rsidP="00971FD2">
            <w:pPr>
              <w:rPr>
                <w:rFonts w:cs="Arial"/>
                <w:b/>
                <w:iCs/>
                <w:color w:val="000000"/>
                <w:sz w:val="22"/>
              </w:rPr>
            </w:pPr>
            <w:r w:rsidRPr="001857F5">
              <w:rPr>
                <w:rFonts w:cs="Arial"/>
                <w:b/>
                <w:iCs/>
                <w:color w:val="000000"/>
                <w:sz w:val="22"/>
              </w:rPr>
              <w:t>Situation géographique</w:t>
            </w:r>
          </w:p>
        </w:tc>
        <w:tc>
          <w:tcPr>
            <w:tcW w:w="11287" w:type="dxa"/>
            <w:tcBorders>
              <w:top w:val="single" w:sz="4" w:space="0" w:color="000001"/>
              <w:left w:val="single" w:sz="4" w:space="0" w:color="000001"/>
              <w:bottom w:val="single" w:sz="4" w:space="0" w:color="000001"/>
              <w:right w:val="single" w:sz="4" w:space="0" w:color="000001"/>
            </w:tcBorders>
          </w:tcPr>
          <w:p w14:paraId="13EE597E" w14:textId="77777777" w:rsidR="001C2F95" w:rsidRPr="001857F5" w:rsidRDefault="001C2F95" w:rsidP="00971FD2">
            <w:pPr>
              <w:textAlignment w:val="baseline"/>
              <w:rPr>
                <w:rFonts w:cs="Arial"/>
                <w:b/>
                <w:i/>
                <w:color w:val="000000"/>
                <w:sz w:val="22"/>
              </w:rPr>
            </w:pPr>
            <w:r w:rsidRPr="001857F5">
              <w:rPr>
                <w:rFonts w:cs="Arial"/>
                <w:b/>
                <w:i/>
                <w:color w:val="000000"/>
                <w:sz w:val="22"/>
              </w:rPr>
              <w:t>Localisation </w:t>
            </w:r>
          </w:p>
          <w:p w14:paraId="39EC02E7" w14:textId="77777777" w:rsidR="001C2F95" w:rsidRPr="001857F5" w:rsidRDefault="001C2F95" w:rsidP="00971FD2">
            <w:pPr>
              <w:textAlignment w:val="baseline"/>
              <w:rPr>
                <w:rFonts w:cs="Arial"/>
                <w:color w:val="000000"/>
                <w:sz w:val="22"/>
              </w:rPr>
            </w:pPr>
            <w:r w:rsidRPr="001857F5">
              <w:rPr>
                <w:rFonts w:cs="Arial"/>
                <w:color w:val="000000"/>
                <w:sz w:val="22"/>
              </w:rPr>
              <w:t xml:space="preserve">Le Kasaï est depuis 2015 une Province de la </w:t>
            </w:r>
            <w:hyperlink r:id="rId56" w:tooltip="République démocratique du Congo" w:history="1">
              <w:r w:rsidRPr="001857F5">
                <w:rPr>
                  <w:rFonts w:cs="Arial"/>
                  <w:color w:val="000000"/>
                  <w:sz w:val="22"/>
                </w:rPr>
                <w:t>République Démocratique du Congo</w:t>
              </w:r>
            </w:hyperlink>
            <w:r w:rsidRPr="001857F5">
              <w:rPr>
                <w:rFonts w:cs="Arial"/>
                <w:color w:val="000000"/>
                <w:sz w:val="22"/>
              </w:rPr>
              <w:t xml:space="preserve"> à la suite de l'éclatement de l’ancienne Province du </w:t>
            </w:r>
            <w:hyperlink r:id="rId57" w:tooltip="Kasaï-Occidental" w:history="1">
              <w:r w:rsidRPr="001857F5">
                <w:rPr>
                  <w:rFonts w:cs="Arial"/>
                  <w:color w:val="000000"/>
                  <w:sz w:val="22"/>
                </w:rPr>
                <w:t>Kasaï Occidental</w:t>
              </w:r>
            </w:hyperlink>
            <w:r w:rsidRPr="001857F5">
              <w:rPr>
                <w:rFonts w:cs="Arial"/>
                <w:color w:val="000000"/>
                <w:sz w:val="22"/>
              </w:rPr>
              <w:t xml:space="preserve"> Il se situe au centre du pays sur la Rivière </w:t>
            </w:r>
            <w:hyperlink r:id="rId58" w:tooltip="Kasaï (rivière)" w:history="1">
              <w:r w:rsidRPr="001857F5">
                <w:rPr>
                  <w:rFonts w:cs="Arial"/>
                  <w:color w:val="000000"/>
                  <w:sz w:val="22"/>
                </w:rPr>
                <w:t>Kasaï</w:t>
              </w:r>
            </w:hyperlink>
            <w:r w:rsidRPr="001857F5">
              <w:rPr>
                <w:rFonts w:cs="Arial"/>
                <w:color w:val="000000"/>
                <w:sz w:val="22"/>
              </w:rPr>
              <w:t xml:space="preserve">. La Province est divisée en une Ville (Tshikapa) et cinq Territoires : </w:t>
            </w:r>
            <w:hyperlink r:id="rId59" w:tooltip="Dekese" w:history="1">
              <w:r w:rsidRPr="001857F5">
                <w:rPr>
                  <w:rFonts w:cs="Arial"/>
                  <w:color w:val="000000"/>
                  <w:sz w:val="22"/>
                </w:rPr>
                <w:t>Dekese</w:t>
              </w:r>
            </w:hyperlink>
            <w:r w:rsidRPr="001857F5">
              <w:rPr>
                <w:rFonts w:cs="Arial"/>
                <w:color w:val="000000"/>
                <w:sz w:val="22"/>
              </w:rPr>
              <w:t xml:space="preserve">, </w:t>
            </w:r>
            <w:hyperlink r:id="rId60" w:tooltip="Ilebo" w:history="1">
              <w:r w:rsidRPr="001857F5">
                <w:rPr>
                  <w:rFonts w:cs="Arial"/>
                  <w:color w:val="000000"/>
                  <w:sz w:val="22"/>
                </w:rPr>
                <w:t>Ilebo</w:t>
              </w:r>
            </w:hyperlink>
            <w:r w:rsidRPr="001857F5">
              <w:rPr>
                <w:rFonts w:cs="Arial"/>
                <w:color w:val="000000"/>
                <w:sz w:val="22"/>
              </w:rPr>
              <w:t xml:space="preserve">, </w:t>
            </w:r>
            <w:hyperlink r:id="rId61" w:tooltip="Kamonia" w:history="1">
              <w:r w:rsidRPr="001857F5">
                <w:rPr>
                  <w:rFonts w:cs="Arial"/>
                  <w:color w:val="000000"/>
                  <w:sz w:val="22"/>
                </w:rPr>
                <w:t>Kamonia</w:t>
              </w:r>
            </w:hyperlink>
            <w:r w:rsidRPr="001857F5">
              <w:rPr>
                <w:rFonts w:cs="Arial"/>
                <w:color w:val="000000"/>
                <w:sz w:val="22"/>
              </w:rPr>
              <w:t xml:space="preserve">, </w:t>
            </w:r>
            <w:hyperlink r:id="rId62" w:tooltip="Luebo" w:history="1">
              <w:r w:rsidRPr="001857F5">
                <w:rPr>
                  <w:rFonts w:cs="Arial"/>
                  <w:color w:val="000000"/>
                  <w:sz w:val="22"/>
                </w:rPr>
                <w:t>Luebo</w:t>
              </w:r>
            </w:hyperlink>
            <w:r w:rsidRPr="001857F5">
              <w:rPr>
                <w:rFonts w:cs="Arial"/>
                <w:color w:val="000000"/>
                <w:sz w:val="22"/>
              </w:rPr>
              <w:t xml:space="preserve"> et </w:t>
            </w:r>
            <w:hyperlink r:id="rId63" w:tooltip="Mweka" w:history="1">
              <w:r w:rsidRPr="001857F5">
                <w:rPr>
                  <w:rFonts w:cs="Arial"/>
                  <w:color w:val="000000"/>
                  <w:sz w:val="22"/>
                </w:rPr>
                <w:t>Mweka</w:t>
              </w:r>
            </w:hyperlink>
            <w:r w:rsidRPr="001857F5">
              <w:rPr>
                <w:rFonts w:cs="Arial"/>
                <w:color w:val="000000"/>
                <w:sz w:val="22"/>
              </w:rPr>
              <w:t>. Les Coordonnées GPS sont : 5° 21′ 00″ Sud, 21° 25′ 00″ Est. Elle a une superficie e 95 631 km</w:t>
            </w:r>
            <w:r w:rsidRPr="001857F5">
              <w:rPr>
                <w:rFonts w:cs="Arial"/>
                <w:color w:val="000000"/>
                <w:sz w:val="22"/>
                <w:vertAlign w:val="superscript"/>
              </w:rPr>
              <w:t>2</w:t>
            </w:r>
            <w:r w:rsidRPr="001857F5">
              <w:rPr>
                <w:rFonts w:cs="Arial"/>
                <w:color w:val="000000"/>
                <w:sz w:val="22"/>
              </w:rPr>
              <w:t>. On notera une forte densité urbaine qui est de 2 251 habitants au km</w:t>
            </w:r>
            <w:r w:rsidRPr="001857F5">
              <w:rPr>
                <w:rFonts w:cs="Arial"/>
                <w:color w:val="000000"/>
                <w:sz w:val="22"/>
                <w:vertAlign w:val="superscript"/>
              </w:rPr>
              <w:t>2</w:t>
            </w:r>
            <w:r w:rsidRPr="001857F5">
              <w:rPr>
                <w:rFonts w:cs="Arial"/>
                <w:color w:val="000000"/>
                <w:sz w:val="22"/>
              </w:rPr>
              <w:t xml:space="preserve"> pour la Ville de Tshikapa à cause de l’attrait de l’exploitation du diamant.</w:t>
            </w:r>
          </w:p>
          <w:p w14:paraId="2E382060" w14:textId="77777777" w:rsidR="001C2F95" w:rsidRPr="001857F5" w:rsidRDefault="001C2F95" w:rsidP="00971FD2">
            <w:pPr>
              <w:jc w:val="left"/>
              <w:textAlignment w:val="baseline"/>
              <w:rPr>
                <w:rFonts w:cs="Arial"/>
                <w:color w:val="000000"/>
                <w:sz w:val="22"/>
              </w:rPr>
            </w:pPr>
          </w:p>
          <w:p w14:paraId="3A3ECF27" w14:textId="77777777" w:rsidR="001C2F95" w:rsidRPr="001857F5" w:rsidRDefault="001C2F95" w:rsidP="00971FD2">
            <w:pPr>
              <w:rPr>
                <w:rFonts w:cs="Arial"/>
                <w:color w:val="000000"/>
                <w:sz w:val="22"/>
              </w:rPr>
            </w:pPr>
            <w:r w:rsidRPr="001857F5">
              <w:rPr>
                <w:rFonts w:cs="Arial"/>
                <w:color w:val="000000"/>
                <w:sz w:val="22"/>
              </w:rPr>
              <w:t>Située au Centre-Ouest du pays, elle est limitrophe de six Provinces congolaises (Ma</w:t>
            </w:r>
            <w:r w:rsidR="00AB3C0C" w:rsidRPr="001857F5">
              <w:rPr>
                <w:rFonts w:cs="Arial"/>
                <w:color w:val="000000"/>
                <w:sz w:val="22"/>
              </w:rPr>
              <w:t>ï-N</w:t>
            </w:r>
            <w:r w:rsidRPr="001857F5">
              <w:rPr>
                <w:rFonts w:cs="Arial"/>
                <w:color w:val="000000"/>
                <w:sz w:val="22"/>
              </w:rPr>
              <w:t xml:space="preserve">dombe, Tshuapa et Sankuru au Nord, </w:t>
            </w:r>
            <w:r w:rsidR="00AB3C0C" w:rsidRPr="001857F5">
              <w:rPr>
                <w:rFonts w:cs="Arial"/>
                <w:color w:val="000000"/>
                <w:sz w:val="22"/>
              </w:rPr>
              <w:t>Kasaï</w:t>
            </w:r>
            <w:r w:rsidRPr="001857F5">
              <w:rPr>
                <w:rFonts w:cs="Arial"/>
                <w:color w:val="000000"/>
                <w:sz w:val="22"/>
              </w:rPr>
              <w:t>-Central à l’Est, à l’Ouest le Kwilu et au Sud la Province du Kwango et d'une Province angolaise.</w:t>
            </w:r>
            <w:r w:rsidRPr="001857F5">
              <w:rPr>
                <w:rFonts w:cs="Arial"/>
                <w:sz w:val="22"/>
              </w:rPr>
              <w:t xml:space="preserve"> </w:t>
            </w:r>
          </w:p>
          <w:p w14:paraId="169DE190" w14:textId="77777777" w:rsidR="001C2F95" w:rsidRPr="001857F5" w:rsidRDefault="001C2F95" w:rsidP="00971FD2">
            <w:pPr>
              <w:rPr>
                <w:rFonts w:cs="Arial"/>
                <w:color w:val="000000"/>
                <w:sz w:val="22"/>
              </w:rPr>
            </w:pPr>
          </w:p>
          <w:p w14:paraId="41E31559" w14:textId="77777777" w:rsidR="001C2F95" w:rsidRPr="001857F5" w:rsidRDefault="001C2F95" w:rsidP="00971FD2">
            <w:pPr>
              <w:textAlignment w:val="baseline"/>
              <w:rPr>
                <w:rFonts w:cs="Arial"/>
                <w:b/>
                <w:i/>
                <w:color w:val="000000"/>
                <w:sz w:val="22"/>
              </w:rPr>
            </w:pPr>
            <w:r w:rsidRPr="001857F5">
              <w:rPr>
                <w:rFonts w:cs="Arial"/>
                <w:b/>
                <w:i/>
                <w:color w:val="000000"/>
                <w:sz w:val="22"/>
              </w:rPr>
              <w:t>Climat et saisons </w:t>
            </w:r>
          </w:p>
          <w:p w14:paraId="3FB6CE79" w14:textId="77777777" w:rsidR="001C2F95" w:rsidRPr="001857F5" w:rsidRDefault="001C2F95" w:rsidP="00971FD2">
            <w:pPr>
              <w:textAlignment w:val="baseline"/>
              <w:rPr>
                <w:rFonts w:cs="Arial"/>
                <w:color w:val="000000"/>
                <w:sz w:val="22"/>
              </w:rPr>
            </w:pPr>
            <w:r w:rsidRPr="001857F5">
              <w:rPr>
                <w:rFonts w:cs="Arial"/>
                <w:color w:val="000000"/>
                <w:sz w:val="22"/>
              </w:rPr>
              <w:t xml:space="preserve">La Province connaît un climat tropical équatorial dans le Nord et un climat de type soudanais dans le Sud. Elle comprend deux saisons : la saison des pluies (mi-août à mi-janvier) entrecoupée par une petite saison sèche au mois de février et la saison sèche (mi-mai à mi-août). La température moyenne varie de 16° C à 32° C. </w:t>
            </w:r>
          </w:p>
          <w:p w14:paraId="631BDB4F" w14:textId="77777777" w:rsidR="001C2F95" w:rsidRPr="001857F5" w:rsidRDefault="001C2F95" w:rsidP="00971FD2">
            <w:pPr>
              <w:textAlignment w:val="baseline"/>
              <w:rPr>
                <w:rFonts w:cs="Arial"/>
                <w:b/>
                <w:color w:val="000000"/>
                <w:sz w:val="22"/>
              </w:rPr>
            </w:pPr>
          </w:p>
          <w:p w14:paraId="3EB9605B" w14:textId="77777777" w:rsidR="001C2F95" w:rsidRPr="001857F5" w:rsidRDefault="001C2F95" w:rsidP="00971FD2">
            <w:pPr>
              <w:textAlignment w:val="baseline"/>
              <w:rPr>
                <w:rFonts w:cs="Arial"/>
                <w:b/>
                <w:i/>
                <w:color w:val="000000"/>
                <w:sz w:val="22"/>
              </w:rPr>
            </w:pPr>
            <w:r w:rsidRPr="001857F5">
              <w:rPr>
                <w:rFonts w:cs="Arial"/>
                <w:b/>
                <w:i/>
                <w:color w:val="000000"/>
                <w:sz w:val="22"/>
              </w:rPr>
              <w:t>Hydrographie</w:t>
            </w:r>
          </w:p>
          <w:p w14:paraId="68B26A28" w14:textId="77777777" w:rsidR="001C2F95" w:rsidRPr="001857F5" w:rsidRDefault="001C2F95" w:rsidP="00971FD2">
            <w:pPr>
              <w:textAlignment w:val="baseline"/>
              <w:rPr>
                <w:rFonts w:cs="Arial"/>
                <w:color w:val="000000"/>
                <w:sz w:val="22"/>
              </w:rPr>
            </w:pPr>
            <w:r w:rsidRPr="001857F5">
              <w:rPr>
                <w:rFonts w:cs="Arial"/>
                <w:color w:val="000000"/>
                <w:sz w:val="22"/>
              </w:rPr>
              <w:t xml:space="preserve">Cette Province est couverte essentiellement par trois formations végétales : la forêt dense humide (ou équatoriale) au Nord, la forêt subéquatoriale et la savane au Sud. L’hydrographie est composée principalement de la Rivière Kasaï, alimentée elle-même par plusieurs affluents. </w:t>
            </w:r>
          </w:p>
          <w:p w14:paraId="1F9F7E57" w14:textId="77777777" w:rsidR="001C2F95" w:rsidRPr="001857F5" w:rsidRDefault="001C2F95" w:rsidP="00971FD2">
            <w:pPr>
              <w:textAlignment w:val="baseline"/>
              <w:rPr>
                <w:rFonts w:cs="Arial"/>
                <w:b/>
                <w:i/>
                <w:color w:val="000000"/>
                <w:sz w:val="22"/>
              </w:rPr>
            </w:pPr>
          </w:p>
          <w:p w14:paraId="44BE821B" w14:textId="77777777" w:rsidR="001C2F95" w:rsidRPr="001857F5" w:rsidRDefault="001C2F95" w:rsidP="00971FD2">
            <w:pPr>
              <w:textAlignment w:val="baseline"/>
              <w:rPr>
                <w:rFonts w:cs="Arial"/>
                <w:b/>
                <w:i/>
                <w:color w:val="000000"/>
                <w:sz w:val="22"/>
              </w:rPr>
            </w:pPr>
            <w:r w:rsidRPr="001857F5">
              <w:rPr>
                <w:rFonts w:cs="Arial"/>
                <w:b/>
                <w:i/>
                <w:color w:val="000000"/>
                <w:sz w:val="22"/>
              </w:rPr>
              <w:t>Type de sol </w:t>
            </w:r>
          </w:p>
          <w:p w14:paraId="5B922FFB" w14:textId="77777777" w:rsidR="001C2F95" w:rsidRPr="001857F5" w:rsidRDefault="001C2F95" w:rsidP="00971FD2">
            <w:pPr>
              <w:textAlignment w:val="baseline"/>
              <w:rPr>
                <w:rFonts w:cs="Arial"/>
                <w:color w:val="000000"/>
                <w:sz w:val="22"/>
              </w:rPr>
            </w:pPr>
            <w:r w:rsidRPr="001857F5">
              <w:rPr>
                <w:rFonts w:cs="Arial"/>
                <w:color w:val="000000"/>
                <w:sz w:val="22"/>
              </w:rPr>
              <w:t>Deux types de sol caractérisent la Province du Kasaï qui est de nature argilo-sablonneux. Il est riche en diamant et de l’or.</w:t>
            </w:r>
          </w:p>
          <w:p w14:paraId="124798C9" w14:textId="77777777" w:rsidR="001C2F95" w:rsidRPr="001857F5" w:rsidRDefault="001C2F95" w:rsidP="00971FD2">
            <w:pPr>
              <w:textAlignment w:val="baseline"/>
              <w:rPr>
                <w:rFonts w:cs="Arial"/>
                <w:color w:val="000000"/>
                <w:sz w:val="22"/>
              </w:rPr>
            </w:pPr>
          </w:p>
          <w:p w14:paraId="5FBD205F" w14:textId="77777777" w:rsidR="001C2F95" w:rsidRPr="001857F5" w:rsidRDefault="001C2F95" w:rsidP="00971FD2">
            <w:pPr>
              <w:textAlignment w:val="baseline"/>
              <w:rPr>
                <w:rFonts w:cs="Arial"/>
                <w:b/>
                <w:i/>
                <w:color w:val="000000"/>
                <w:sz w:val="22"/>
              </w:rPr>
            </w:pPr>
            <w:r w:rsidRPr="001857F5">
              <w:rPr>
                <w:rFonts w:cs="Arial"/>
                <w:b/>
                <w:i/>
                <w:color w:val="000000"/>
                <w:sz w:val="22"/>
              </w:rPr>
              <w:t>Faune </w:t>
            </w:r>
          </w:p>
          <w:p w14:paraId="758FD60B" w14:textId="77777777" w:rsidR="001C2F95" w:rsidRPr="001857F5" w:rsidRDefault="001C2F95" w:rsidP="00971FD2">
            <w:pPr>
              <w:textAlignment w:val="baseline"/>
              <w:rPr>
                <w:rFonts w:cs="Arial"/>
                <w:b/>
                <w:i/>
                <w:color w:val="000000"/>
                <w:sz w:val="22"/>
              </w:rPr>
            </w:pPr>
            <w:r w:rsidRPr="001857F5">
              <w:rPr>
                <w:rFonts w:cs="Arial"/>
                <w:color w:val="333333"/>
                <w:sz w:val="22"/>
                <w:shd w:val="clear" w:color="auto" w:fill="FFFFFF"/>
              </w:rPr>
              <w:t xml:space="preserve">La Province du </w:t>
            </w:r>
            <w:r w:rsidR="00AB3C0C" w:rsidRPr="001857F5">
              <w:rPr>
                <w:rFonts w:cs="Arial"/>
                <w:color w:val="333333"/>
                <w:sz w:val="22"/>
                <w:shd w:val="clear" w:color="auto" w:fill="FFFFFF"/>
              </w:rPr>
              <w:t>Kasaï</w:t>
            </w:r>
            <w:r w:rsidRPr="001857F5">
              <w:rPr>
                <w:rFonts w:cs="Arial"/>
                <w:color w:val="333333"/>
                <w:sz w:val="22"/>
                <w:shd w:val="clear" w:color="auto" w:fill="FFFFFF"/>
              </w:rPr>
              <w:t xml:space="preserve"> étant une province dominée par la savane et de la galerie forestière elle a une faune, riche et variée, comprend des antilopes, des guépards, des girafes, des crocodiles dans la rivière, ainsi que de nombreux oiseaux et serpents. L’on rencontre également quelques mammifères africains mis en avant tels</w:t>
            </w:r>
            <w:r w:rsidR="00AB3C0C" w:rsidRPr="001857F5">
              <w:rPr>
                <w:rFonts w:cs="Arial"/>
                <w:color w:val="333333"/>
                <w:sz w:val="22"/>
                <w:shd w:val="clear" w:color="auto" w:fill="FFFFFF"/>
              </w:rPr>
              <w:t xml:space="preserve"> </w:t>
            </w:r>
            <w:r w:rsidRPr="001857F5">
              <w:rPr>
                <w:rFonts w:cs="Arial"/>
                <w:color w:val="333333"/>
                <w:sz w:val="22"/>
                <w:shd w:val="clear" w:color="auto" w:fill="FFFFFF"/>
              </w:rPr>
              <w:t>que : le lion, le léopard et le buffle. Le buffle est une espèce animale menacée d'extinction.</w:t>
            </w:r>
          </w:p>
          <w:p w14:paraId="2A1355AA" w14:textId="77777777" w:rsidR="001C2F95" w:rsidRPr="001857F5" w:rsidRDefault="001C2F95" w:rsidP="00971FD2">
            <w:pPr>
              <w:textAlignment w:val="baseline"/>
              <w:rPr>
                <w:rFonts w:cs="Arial"/>
                <w:b/>
                <w:i/>
                <w:color w:val="000000"/>
                <w:sz w:val="22"/>
              </w:rPr>
            </w:pPr>
            <w:r w:rsidRPr="001857F5">
              <w:rPr>
                <w:rFonts w:cs="Arial"/>
                <w:b/>
                <w:i/>
                <w:color w:val="000000"/>
                <w:sz w:val="22"/>
              </w:rPr>
              <w:t>Végétation</w:t>
            </w:r>
          </w:p>
          <w:p w14:paraId="42CA235D" w14:textId="77777777" w:rsidR="001C2F95" w:rsidRPr="001857F5" w:rsidRDefault="001C2F95" w:rsidP="00971FD2">
            <w:pPr>
              <w:textAlignment w:val="baseline"/>
              <w:rPr>
                <w:rFonts w:cs="Arial"/>
                <w:color w:val="000000"/>
                <w:sz w:val="22"/>
              </w:rPr>
            </w:pPr>
            <w:r w:rsidRPr="001857F5">
              <w:rPr>
                <w:rFonts w:cs="Arial"/>
                <w:color w:val="000000"/>
                <w:sz w:val="22"/>
              </w:rPr>
              <w:t xml:space="preserve">La Province du Kasaï connaît deux types de </w:t>
            </w:r>
            <w:hyperlink r:id="rId64" w:tooltip="Végétation" w:history="1">
              <w:r w:rsidRPr="001857F5">
                <w:rPr>
                  <w:rFonts w:cs="Arial"/>
                  <w:color w:val="000000"/>
                  <w:sz w:val="22"/>
                </w:rPr>
                <w:t>végétation</w:t>
              </w:r>
            </w:hyperlink>
            <w:r w:rsidRPr="001857F5">
              <w:rPr>
                <w:rFonts w:cs="Arial"/>
                <w:color w:val="000000"/>
                <w:sz w:val="22"/>
              </w:rPr>
              <w:t xml:space="preserve"> : la végétation forestière et la </w:t>
            </w:r>
            <w:hyperlink r:id="rId65" w:tooltip="Savane" w:history="1">
              <w:r w:rsidRPr="001857F5">
                <w:rPr>
                  <w:rFonts w:cs="Arial"/>
                  <w:color w:val="000000"/>
                  <w:sz w:val="22"/>
                </w:rPr>
                <w:t>savane</w:t>
              </w:r>
            </w:hyperlink>
            <w:r w:rsidRPr="001857F5">
              <w:rPr>
                <w:rFonts w:cs="Arial"/>
                <w:color w:val="000000"/>
                <w:sz w:val="22"/>
              </w:rPr>
              <w:t xml:space="preserve"> </w:t>
            </w:r>
            <w:hyperlink r:id="rId66" w:tooltip="Guinée" w:history="1">
              <w:r w:rsidRPr="001857F5">
                <w:rPr>
                  <w:rFonts w:cs="Arial"/>
                  <w:color w:val="000000"/>
                  <w:sz w:val="22"/>
                </w:rPr>
                <w:t>guinéenne</w:t>
              </w:r>
            </w:hyperlink>
            <w:r w:rsidRPr="001857F5">
              <w:rPr>
                <w:rFonts w:cs="Arial"/>
                <w:color w:val="000000"/>
                <w:sz w:val="22"/>
              </w:rPr>
              <w:t xml:space="preserve">. </w:t>
            </w:r>
          </w:p>
        </w:tc>
      </w:tr>
      <w:tr w:rsidR="001C2F95" w:rsidRPr="001857F5" w14:paraId="70458C7C"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50AB27" w14:textId="77777777" w:rsidR="001C2F95" w:rsidRPr="001857F5" w:rsidRDefault="001C2F95" w:rsidP="00971FD2">
            <w:pPr>
              <w:rPr>
                <w:rFonts w:eastAsia="Calibri" w:cs="Arial"/>
                <w:b/>
                <w:sz w:val="22"/>
              </w:rPr>
            </w:pPr>
            <w:r w:rsidRPr="001857F5">
              <w:rPr>
                <w:rFonts w:eastAsia="Calibri" w:cs="Arial"/>
                <w:b/>
                <w:sz w:val="22"/>
              </w:rPr>
              <w:t>Populations</w:t>
            </w:r>
          </w:p>
        </w:tc>
        <w:tc>
          <w:tcPr>
            <w:tcW w:w="11287" w:type="dxa"/>
            <w:tcBorders>
              <w:top w:val="single" w:sz="4" w:space="0" w:color="000001"/>
              <w:left w:val="single" w:sz="4" w:space="0" w:color="000001"/>
              <w:bottom w:val="single" w:sz="4" w:space="0" w:color="000001"/>
              <w:right w:val="single" w:sz="4" w:space="0" w:color="000001"/>
            </w:tcBorders>
          </w:tcPr>
          <w:p w14:paraId="2CC2BBF4" w14:textId="77777777" w:rsidR="001C2F95" w:rsidRPr="001857F5" w:rsidRDefault="001C2F95" w:rsidP="00971FD2">
            <w:pPr>
              <w:textAlignment w:val="baseline"/>
              <w:rPr>
                <w:rFonts w:cs="Arial"/>
                <w:b/>
                <w:i/>
                <w:color w:val="000000"/>
                <w:sz w:val="22"/>
              </w:rPr>
            </w:pPr>
            <w:r w:rsidRPr="001857F5">
              <w:rPr>
                <w:rFonts w:cs="Arial"/>
                <w:b/>
                <w:i/>
                <w:color w:val="000000"/>
                <w:sz w:val="22"/>
              </w:rPr>
              <w:t>Caractéristiques démographiques</w:t>
            </w:r>
          </w:p>
          <w:p w14:paraId="45B14FBD" w14:textId="77777777" w:rsidR="001C2F95" w:rsidRPr="001857F5" w:rsidRDefault="001C2F95" w:rsidP="00971FD2">
            <w:pPr>
              <w:textAlignment w:val="baseline"/>
              <w:rPr>
                <w:rFonts w:cs="Arial"/>
                <w:color w:val="FF0000"/>
                <w:sz w:val="22"/>
              </w:rPr>
            </w:pPr>
            <w:r w:rsidRPr="001857F5">
              <w:rPr>
                <w:rFonts w:cs="Arial"/>
                <w:sz w:val="22"/>
              </w:rPr>
              <w:t>La province du Kasaï a une superficie de 59 111 km</w:t>
            </w:r>
            <w:r w:rsidRPr="001857F5">
              <w:rPr>
                <w:rFonts w:cs="Arial"/>
                <w:sz w:val="22"/>
                <w:vertAlign w:val="superscript"/>
              </w:rPr>
              <w:t>2</w:t>
            </w:r>
            <w:r w:rsidRPr="001857F5">
              <w:rPr>
                <w:rFonts w:cs="Arial"/>
                <w:sz w:val="22"/>
              </w:rPr>
              <w:t xml:space="preserve"> et une population estimée à 4 563 387 habitants. Cette Province est constituée de cinq Territoires, à savoir : Tshimbulu, Demba, Dibaya, Kazumba et Luiza. </w:t>
            </w:r>
          </w:p>
          <w:p w14:paraId="3E4CE62B" w14:textId="77777777" w:rsidR="001C2F95" w:rsidRPr="001857F5" w:rsidRDefault="001C2F95" w:rsidP="00971FD2">
            <w:pPr>
              <w:textAlignment w:val="baseline"/>
              <w:rPr>
                <w:rFonts w:cs="Arial"/>
                <w:color w:val="000000"/>
                <w:sz w:val="22"/>
              </w:rPr>
            </w:pPr>
          </w:p>
          <w:p w14:paraId="2726D7AA" w14:textId="77777777" w:rsidR="001C2F95" w:rsidRPr="001857F5" w:rsidRDefault="001C2F95" w:rsidP="00971FD2">
            <w:pPr>
              <w:textAlignment w:val="baseline"/>
              <w:rPr>
                <w:rFonts w:cs="Arial"/>
                <w:b/>
                <w:i/>
                <w:color w:val="000000"/>
                <w:sz w:val="22"/>
              </w:rPr>
            </w:pPr>
            <w:r w:rsidRPr="001857F5">
              <w:rPr>
                <w:rFonts w:cs="Arial"/>
                <w:b/>
                <w:i/>
                <w:color w:val="000000"/>
                <w:sz w:val="22"/>
              </w:rPr>
              <w:t xml:space="preserve">Ethnies </w:t>
            </w:r>
          </w:p>
          <w:p w14:paraId="182C58A5" w14:textId="77777777" w:rsidR="001C2F95" w:rsidRPr="001857F5" w:rsidRDefault="001C2F95" w:rsidP="00971FD2">
            <w:pPr>
              <w:textAlignment w:val="baseline"/>
              <w:rPr>
                <w:rFonts w:cs="Arial"/>
                <w:color w:val="000000"/>
                <w:sz w:val="22"/>
              </w:rPr>
            </w:pPr>
            <w:r w:rsidRPr="001857F5">
              <w:rPr>
                <w:rFonts w:cs="Arial"/>
                <w:color w:val="000000"/>
                <w:sz w:val="22"/>
              </w:rPr>
              <w:t>Plusieurs groupes ethniques sont dénombrés dans le grand territoire de la région du Kasaï. On y rencontre des groupes ethniques dont les plus importants sont Luba, Lulua en pleine évolution comme les Babindi, Bakwa-Mputu, Bambole, Bakete, Basha, Bankutshu, les Luntu, Kuba, Kanintshina, les Leele (Bashilele), Lunda, Ndengese, Ohindo, Pende, Salampasu, Songe, Tchokwe et Tetela. Certains de ces groupes sont à cheval avec les autres provinces voisines notamment le Kwango, le Lomami, Lualaba, la Tshopo ainsi qu’avec l’Angola.</w:t>
            </w:r>
          </w:p>
          <w:p w14:paraId="78517B25" w14:textId="77777777" w:rsidR="001C2F95" w:rsidRPr="001857F5" w:rsidRDefault="001C2F95" w:rsidP="00971FD2">
            <w:pPr>
              <w:textAlignment w:val="baseline"/>
              <w:rPr>
                <w:rFonts w:cs="Arial"/>
                <w:color w:val="000000"/>
                <w:sz w:val="22"/>
              </w:rPr>
            </w:pPr>
          </w:p>
          <w:p w14:paraId="68EE2609" w14:textId="77777777" w:rsidR="001C2F95" w:rsidRPr="001857F5" w:rsidRDefault="001C2F95" w:rsidP="00971FD2">
            <w:pPr>
              <w:textAlignment w:val="baseline"/>
              <w:rPr>
                <w:rFonts w:cs="Arial"/>
                <w:color w:val="000000"/>
                <w:sz w:val="22"/>
              </w:rPr>
            </w:pPr>
            <w:r w:rsidRPr="001857F5">
              <w:rPr>
                <w:rFonts w:cs="Arial"/>
                <w:b/>
                <w:i/>
                <w:color w:val="000000"/>
                <w:sz w:val="22"/>
              </w:rPr>
              <w:t>Langues parlées</w:t>
            </w:r>
            <w:r w:rsidRPr="001857F5">
              <w:rPr>
                <w:rFonts w:cs="Arial"/>
                <w:color w:val="000000"/>
                <w:sz w:val="22"/>
              </w:rPr>
              <w:t xml:space="preserve"> : le Tshiluba, le Swahili, le </w:t>
            </w:r>
            <w:r w:rsidR="00B86CA8" w:rsidRPr="001857F5">
              <w:rPr>
                <w:rFonts w:cs="Arial"/>
                <w:color w:val="000000"/>
                <w:sz w:val="22"/>
              </w:rPr>
              <w:t>Français</w:t>
            </w:r>
            <w:r w:rsidRPr="001857F5">
              <w:rPr>
                <w:rFonts w:cs="Arial"/>
                <w:color w:val="000000"/>
                <w:sz w:val="22"/>
              </w:rPr>
              <w:t xml:space="preserve"> sont des langues parlées dans la Province du Kasaï central. La langue Tshiluba domine les autres langues nationales.</w:t>
            </w:r>
          </w:p>
          <w:p w14:paraId="1336212E" w14:textId="77777777" w:rsidR="001C2F95" w:rsidRPr="001857F5" w:rsidRDefault="001C2F95" w:rsidP="00971FD2">
            <w:pPr>
              <w:textAlignment w:val="baseline"/>
              <w:rPr>
                <w:rFonts w:cs="Arial"/>
                <w:color w:val="000000"/>
                <w:sz w:val="22"/>
              </w:rPr>
            </w:pPr>
          </w:p>
          <w:p w14:paraId="1EA3A97F" w14:textId="77777777" w:rsidR="001C2F95" w:rsidRPr="001857F5" w:rsidRDefault="001C2F95" w:rsidP="00971FD2">
            <w:pPr>
              <w:textAlignment w:val="baseline"/>
              <w:rPr>
                <w:rFonts w:cs="Arial"/>
                <w:color w:val="000000"/>
                <w:sz w:val="22"/>
              </w:rPr>
            </w:pPr>
            <w:r w:rsidRPr="001857F5">
              <w:rPr>
                <w:rFonts w:cs="Arial"/>
                <w:color w:val="000000"/>
                <w:sz w:val="22"/>
              </w:rPr>
              <w:t>Les principales aires culturelles et linguistiques dénombrées dans l’espace du Kasaï sont : la culture Kuba, la culture Luba-Kasaï, la culture Bas-Kasaï, la culture Mongo Sud-Ouest, la culture Lunda, la culture Songye et la culture Pende.</w:t>
            </w:r>
          </w:p>
          <w:p w14:paraId="07AA2111" w14:textId="77777777" w:rsidR="001C2F95" w:rsidRPr="001857F5" w:rsidRDefault="001C2F95" w:rsidP="00971FD2">
            <w:pPr>
              <w:textAlignment w:val="baseline"/>
              <w:rPr>
                <w:rFonts w:cs="Arial"/>
                <w:color w:val="000000"/>
                <w:sz w:val="22"/>
              </w:rPr>
            </w:pPr>
          </w:p>
          <w:p w14:paraId="24C337EF" w14:textId="77777777" w:rsidR="001C2F95" w:rsidRPr="001857F5" w:rsidRDefault="001C2F95" w:rsidP="00971FD2">
            <w:pPr>
              <w:textAlignment w:val="baseline"/>
              <w:rPr>
                <w:rFonts w:cs="Arial"/>
                <w:color w:val="000000"/>
                <w:sz w:val="22"/>
              </w:rPr>
            </w:pPr>
            <w:r w:rsidRPr="001857F5">
              <w:rPr>
                <w:rFonts w:cs="Arial"/>
                <w:color w:val="000000"/>
                <w:sz w:val="22"/>
              </w:rPr>
              <w:t>D’après les informations récoltées, la Province du Kasaï n’a pas de populations autochtones.</w:t>
            </w:r>
          </w:p>
        </w:tc>
      </w:tr>
      <w:tr w:rsidR="001C2F95" w:rsidRPr="001857F5" w14:paraId="4491D0B0"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2B67E2" w14:textId="77777777" w:rsidR="001C2F95" w:rsidRPr="001857F5" w:rsidRDefault="001C2F95" w:rsidP="00971FD2">
            <w:pPr>
              <w:textAlignment w:val="baseline"/>
              <w:rPr>
                <w:rFonts w:cs="Arial"/>
                <w:b/>
                <w:color w:val="000000"/>
                <w:sz w:val="22"/>
              </w:rPr>
            </w:pPr>
            <w:r w:rsidRPr="001857F5">
              <w:rPr>
                <w:rFonts w:cs="Arial"/>
                <w:b/>
                <w:color w:val="000000"/>
                <w:sz w:val="22"/>
              </w:rPr>
              <w:t>Violences Basées sur le Genre (VBG)</w:t>
            </w:r>
          </w:p>
        </w:tc>
        <w:tc>
          <w:tcPr>
            <w:tcW w:w="11287" w:type="dxa"/>
            <w:tcBorders>
              <w:top w:val="single" w:sz="4" w:space="0" w:color="000001"/>
              <w:left w:val="single" w:sz="4" w:space="0" w:color="000001"/>
              <w:bottom w:val="single" w:sz="4" w:space="0" w:color="000001"/>
              <w:right w:val="single" w:sz="4" w:space="0" w:color="000001"/>
            </w:tcBorders>
          </w:tcPr>
          <w:p w14:paraId="173D263E" w14:textId="77777777" w:rsidR="001C2F95" w:rsidRPr="001857F5" w:rsidRDefault="001C2F95" w:rsidP="001E6744">
            <w:pPr>
              <w:textAlignment w:val="baseline"/>
              <w:rPr>
                <w:rFonts w:cs="Arial"/>
                <w:color w:val="000000"/>
                <w:sz w:val="22"/>
              </w:rPr>
            </w:pPr>
            <w:r w:rsidRPr="001857F5">
              <w:rPr>
                <w:rFonts w:cs="Arial"/>
                <w:color w:val="000000"/>
                <w:sz w:val="22"/>
              </w:rPr>
              <w:t xml:space="preserve">La Province du Kasaï située dans le grand Kasaï n’a pas été épargnée des affres causées par les conflits armés survenus entre la milice Kamuina-Nsapu et l’armée régulière qui ont éclaté entre août 2016 et mai 2017 dans la Province du Kasaï, à Kamonia, et qui ont fait plusieurs victimes, notamment : 1 779 jeunes filles mineures et femmes survivantes de violences sexuelles, 5 725 enfants non accompagnés, 2 210 enfants exploités abusivement par les milices et 4 603 Enfants Orphelins Vulnérables (EOV). Avec l’arrivée des humanitaires à Tshikapa, après la sensibilisation de la loi sur les violences sexuelles, </w:t>
            </w:r>
            <w:r w:rsidR="001E6744" w:rsidRPr="001857F5">
              <w:rPr>
                <w:rFonts w:cs="Arial"/>
                <w:color w:val="000000"/>
                <w:sz w:val="22"/>
              </w:rPr>
              <w:t xml:space="preserve">la population a été informée sur les sanctions infligées à un auteur de violences basées sur le genre, delà, </w:t>
            </w:r>
            <w:r w:rsidRPr="001857F5">
              <w:rPr>
                <w:rFonts w:cs="Arial"/>
                <w:color w:val="000000"/>
                <w:sz w:val="22"/>
              </w:rPr>
              <w:t xml:space="preserve">le mariage précoce est né au niveau de certaines familles où les parents donnent en mariage leurs filles mineures aux expatriés afin de gagner de l’argent. </w:t>
            </w:r>
            <w:r w:rsidR="001E6744" w:rsidRPr="001857F5">
              <w:rPr>
                <w:rFonts w:cs="Arial"/>
                <w:color w:val="000000"/>
                <w:sz w:val="22"/>
              </w:rPr>
              <w:t xml:space="preserve">Et dès qu’il y a un problème, on taxe les expatriés d’auteur de viol sur mineures. </w:t>
            </w:r>
            <w:r w:rsidRPr="001857F5">
              <w:rPr>
                <w:rFonts w:cs="Arial"/>
                <w:color w:val="000000"/>
                <w:sz w:val="22"/>
              </w:rPr>
              <w:t xml:space="preserve">Le slogan populaire qui rend les VBG le quotidien au niveau de la communauté : « Ici c’est comme ça », empêche les acteurs de prévention et réponse aux VBG de mener aisément les activités. Les normes culturelles conservatrices en matière du genre ainsi que les us et coutumes soulignent les causes racines des VBG et constituent encore une barrière pour le changement de comportement. </w:t>
            </w:r>
            <w:r w:rsidR="001E6744" w:rsidRPr="001857F5">
              <w:rPr>
                <w:rFonts w:cs="Arial"/>
                <w:color w:val="000000"/>
                <w:sz w:val="22"/>
              </w:rPr>
              <w:t xml:space="preserve"> </w:t>
            </w:r>
          </w:p>
          <w:p w14:paraId="1FF0C389" w14:textId="77777777" w:rsidR="001E6744" w:rsidRPr="001857F5" w:rsidRDefault="001E6744" w:rsidP="001E6744">
            <w:pPr>
              <w:textAlignment w:val="baseline"/>
              <w:rPr>
                <w:rFonts w:cs="Arial"/>
                <w:color w:val="000000"/>
                <w:sz w:val="22"/>
              </w:rPr>
            </w:pPr>
          </w:p>
          <w:p w14:paraId="728A1C48" w14:textId="77777777" w:rsidR="001E6744" w:rsidRPr="001857F5" w:rsidRDefault="001E6744" w:rsidP="001E6744">
            <w:pPr>
              <w:textAlignment w:val="baseline"/>
              <w:rPr>
                <w:rFonts w:cs="Arial"/>
                <w:color w:val="000000"/>
                <w:sz w:val="22"/>
              </w:rPr>
            </w:pPr>
            <w:r w:rsidRPr="001857F5">
              <w:rPr>
                <w:rFonts w:cs="Arial"/>
                <w:color w:val="000000"/>
                <w:sz w:val="22"/>
              </w:rPr>
              <w:t xml:space="preserve">Le rapport sur l’évaluation rapide des VBG au Kasaï renseignement que les services de prise en charge sont à </w:t>
            </w:r>
            <w:r w:rsidR="00EB7F94">
              <w:rPr>
                <w:rFonts w:cs="Arial"/>
                <w:color w:val="000000"/>
                <w:sz w:val="22"/>
              </w:rPr>
              <w:t xml:space="preserve">    </w:t>
            </w:r>
            <w:r w:rsidRPr="001857F5">
              <w:rPr>
                <w:rFonts w:cs="Arial"/>
                <w:color w:val="000000"/>
                <w:sz w:val="22"/>
              </w:rPr>
              <w:t>77</w:t>
            </w:r>
            <w:r w:rsidR="00EB7F94">
              <w:rPr>
                <w:rFonts w:cs="Arial"/>
                <w:color w:val="000000"/>
                <w:sz w:val="22"/>
              </w:rPr>
              <w:t xml:space="preserve"> </w:t>
            </w:r>
            <w:r w:rsidRPr="001857F5">
              <w:rPr>
                <w:rFonts w:cs="Arial"/>
                <w:color w:val="000000"/>
                <w:sz w:val="22"/>
              </w:rPr>
              <w:t>% pour la prise en charge psychosociale, 19% pour la prise en charge médicale et 22</w:t>
            </w:r>
            <w:r w:rsidR="00EB7F94">
              <w:rPr>
                <w:rFonts w:cs="Arial"/>
                <w:color w:val="000000"/>
                <w:sz w:val="22"/>
              </w:rPr>
              <w:t xml:space="preserve"> </w:t>
            </w:r>
            <w:r w:rsidRPr="001857F5">
              <w:rPr>
                <w:rFonts w:cs="Arial"/>
                <w:color w:val="000000"/>
                <w:sz w:val="22"/>
              </w:rPr>
              <w:t>% pour la prise en charge judiciaire.</w:t>
            </w:r>
          </w:p>
          <w:p w14:paraId="376BFB3B" w14:textId="77777777" w:rsidR="001E6744" w:rsidRPr="001857F5" w:rsidRDefault="001E6744" w:rsidP="001E6744">
            <w:pPr>
              <w:textAlignment w:val="baseline"/>
              <w:rPr>
                <w:rFonts w:cs="Arial"/>
                <w:color w:val="000000"/>
                <w:sz w:val="22"/>
              </w:rPr>
            </w:pPr>
            <w:r w:rsidRPr="001857F5">
              <w:rPr>
                <w:rFonts w:cs="Arial"/>
                <w:color w:val="000000"/>
                <w:sz w:val="22"/>
              </w:rPr>
              <w:t>Cette participation aux activités économiques, surtout la vente en ambulatoire, expose les filles et jeunes femmes aux risques des VBG. Le mariage précoce est d’usage courant dans la Province du Kasaï</w:t>
            </w:r>
          </w:p>
        </w:tc>
      </w:tr>
      <w:tr w:rsidR="001C2F95" w:rsidRPr="001857F5" w14:paraId="5B99A145"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8FFCA01" w14:textId="77777777" w:rsidR="001C2F95" w:rsidRPr="001857F5" w:rsidRDefault="001C2F95" w:rsidP="00971FD2">
            <w:pPr>
              <w:rPr>
                <w:rFonts w:eastAsia="Calibri" w:cs="Arial"/>
                <w:b/>
                <w:sz w:val="22"/>
              </w:rPr>
            </w:pPr>
            <w:r w:rsidRPr="001857F5">
              <w:rPr>
                <w:rFonts w:eastAsia="Calibri" w:cs="Arial"/>
                <w:b/>
                <w:sz w:val="22"/>
              </w:rPr>
              <w:t>Activités principales de la population</w:t>
            </w:r>
          </w:p>
        </w:tc>
        <w:tc>
          <w:tcPr>
            <w:tcW w:w="11287" w:type="dxa"/>
            <w:tcBorders>
              <w:top w:val="single" w:sz="4" w:space="0" w:color="000001"/>
              <w:left w:val="single" w:sz="4" w:space="0" w:color="000001"/>
              <w:bottom w:val="single" w:sz="4" w:space="0" w:color="000001"/>
              <w:right w:val="single" w:sz="4" w:space="0" w:color="000001"/>
            </w:tcBorders>
          </w:tcPr>
          <w:p w14:paraId="77F54893" w14:textId="77777777" w:rsidR="001C2F95" w:rsidRPr="001857F5" w:rsidRDefault="001C2F95" w:rsidP="00971FD2">
            <w:pPr>
              <w:rPr>
                <w:rFonts w:cs="Arial"/>
                <w:color w:val="000000"/>
                <w:sz w:val="22"/>
              </w:rPr>
            </w:pPr>
            <w:r w:rsidRPr="001857F5">
              <w:rPr>
                <w:rFonts w:cs="Arial"/>
                <w:color w:val="000000"/>
                <w:sz w:val="22"/>
              </w:rPr>
              <w:t xml:space="preserve">La Province du Kasaï dispose d’importantes ressources minières comme le diamant et l’or. Ainsi, l’économie de la Province est dominée par l’exploitation minière artisanale et il n’existe pas d’industrie minière. Les recettes et taxes perçues par l’activité extractive n’ont pas d’impact significatif sur la Province.  </w:t>
            </w:r>
          </w:p>
          <w:p w14:paraId="17EE22CB" w14:textId="77777777" w:rsidR="001C2F95" w:rsidRPr="001857F5" w:rsidRDefault="001C2F95" w:rsidP="00971FD2">
            <w:pPr>
              <w:rPr>
                <w:rFonts w:cs="Arial"/>
                <w:color w:val="000000"/>
                <w:sz w:val="22"/>
              </w:rPr>
            </w:pPr>
            <w:r w:rsidRPr="001857F5">
              <w:rPr>
                <w:rFonts w:cs="Arial"/>
                <w:color w:val="000000"/>
                <w:sz w:val="22"/>
              </w:rPr>
              <w:t xml:space="preserve"> </w:t>
            </w:r>
          </w:p>
          <w:p w14:paraId="25B99519" w14:textId="77777777" w:rsidR="001C2F95" w:rsidRPr="001857F5" w:rsidRDefault="001C2F95" w:rsidP="00971FD2">
            <w:pPr>
              <w:rPr>
                <w:rFonts w:cs="Arial"/>
                <w:color w:val="000000"/>
                <w:sz w:val="22"/>
              </w:rPr>
            </w:pPr>
            <w:r w:rsidRPr="001857F5">
              <w:rPr>
                <w:rFonts w:cs="Arial"/>
                <w:color w:val="000000"/>
                <w:sz w:val="22"/>
              </w:rPr>
              <w:t>Le secteur vivrier traditionnel comprend essentiellement l’agriculture. Les cultures suivantes : maïs, manioc, haricot, arachide, riz, patate douce, pomme de terre, igname, tomate, aubergine, banane, ananas, agrumes et autres fruits. Les cultures maraîchères, source de vitamines, sont pratiquées dans les périphéries des grands centres de consommation et dans les missions tenues par les religieux notamment. Dans l’ensemble de la Province, on rencontre principalement quatre cultures industrielles, le coton, le palmier à huile, le café robusta, tous cultivés t à Tshikapa.</w:t>
            </w:r>
          </w:p>
        </w:tc>
      </w:tr>
      <w:tr w:rsidR="001C2F95" w:rsidRPr="001857F5" w14:paraId="18C70611"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FCCAEF5" w14:textId="77777777" w:rsidR="001C2F95" w:rsidRPr="001857F5" w:rsidRDefault="001C2F95" w:rsidP="00971FD2">
            <w:pPr>
              <w:rPr>
                <w:rFonts w:eastAsia="Calibri" w:cs="Arial"/>
                <w:b/>
                <w:sz w:val="22"/>
              </w:rPr>
            </w:pPr>
            <w:r w:rsidRPr="001857F5">
              <w:rPr>
                <w:rFonts w:eastAsia="Calibri" w:cs="Arial"/>
                <w:b/>
                <w:sz w:val="22"/>
              </w:rPr>
              <w:t>Économie</w:t>
            </w:r>
          </w:p>
        </w:tc>
        <w:tc>
          <w:tcPr>
            <w:tcW w:w="11287" w:type="dxa"/>
            <w:tcBorders>
              <w:top w:val="single" w:sz="4" w:space="0" w:color="000001"/>
              <w:left w:val="single" w:sz="4" w:space="0" w:color="000001"/>
              <w:bottom w:val="single" w:sz="4" w:space="0" w:color="000001"/>
              <w:right w:val="single" w:sz="4" w:space="0" w:color="000001"/>
            </w:tcBorders>
          </w:tcPr>
          <w:p w14:paraId="5A60AD24" w14:textId="77777777" w:rsidR="001C2F95" w:rsidRPr="001857F5" w:rsidRDefault="001C2F95" w:rsidP="00971FD2">
            <w:pPr>
              <w:textAlignment w:val="baseline"/>
              <w:rPr>
                <w:rFonts w:cs="Arial"/>
                <w:color w:val="000000"/>
                <w:sz w:val="22"/>
              </w:rPr>
            </w:pPr>
            <w:r w:rsidRPr="001857F5">
              <w:rPr>
                <w:rFonts w:cs="Arial"/>
                <w:color w:val="000000"/>
                <w:sz w:val="22"/>
              </w:rPr>
              <w:t>Les principales activités sont l’agriculture de subsistance, le commerce, l’élevage, la chasse, la pêche et l’exploitation artisanale de diamant et de l’or.</w:t>
            </w:r>
          </w:p>
          <w:p w14:paraId="49DF2A80" w14:textId="77777777" w:rsidR="001C2F95" w:rsidRPr="001857F5" w:rsidRDefault="001C2F95" w:rsidP="00971FD2">
            <w:pPr>
              <w:textAlignment w:val="baseline"/>
              <w:rPr>
                <w:rFonts w:cs="Arial"/>
                <w:color w:val="000000"/>
                <w:sz w:val="22"/>
              </w:rPr>
            </w:pPr>
          </w:p>
          <w:p w14:paraId="116E43F9" w14:textId="77777777" w:rsidR="001C2F95" w:rsidRPr="001857F5" w:rsidRDefault="001C2F95" w:rsidP="00971FD2">
            <w:pPr>
              <w:textAlignment w:val="baseline"/>
              <w:rPr>
                <w:rFonts w:cs="Arial"/>
                <w:color w:val="000000"/>
                <w:sz w:val="22"/>
              </w:rPr>
            </w:pPr>
            <w:r w:rsidRPr="001857F5">
              <w:rPr>
                <w:rFonts w:cs="Arial"/>
                <w:color w:val="000000"/>
                <w:sz w:val="22"/>
              </w:rPr>
              <w:t xml:space="preserve">Agriculture, élevage et pêche : En dépit de la réputation de diamantaire que lui confèrent la Ville et le Territoire de Tshikapa, cette Province est d’une vocation essentiellement agricole. Les 60 % de sa superficie étant constitués de terres cultivables et sa population étant à plus de 70 % agricole. Elle a hérité de l’essentiel des bassins agricoles de l’ancienne Province du Kasaï-Occidental. Ces atouts sont susceptibles d’investir cet espace en un grenier agricole de la sous-région et, améliorer sensiblement la qualité de vie de ses populations. Les principales productions agricoles sont le maïs, le café, le manioc, l’arachide, le haricot, le riz, l’huile de palme, le millet. La femme et la jeune fille sont une main d’œuvre très participative. Quoique les jeunes filles n’étudient pas, elles sont associées à toutes les activités </w:t>
            </w:r>
            <w:r w:rsidR="001E6744" w:rsidRPr="001857F5">
              <w:rPr>
                <w:rFonts w:cs="Arial"/>
                <w:color w:val="000000"/>
                <w:sz w:val="22"/>
              </w:rPr>
              <w:t>génératrices des revenus</w:t>
            </w:r>
            <w:r w:rsidRPr="001857F5">
              <w:rPr>
                <w:rFonts w:cs="Arial"/>
                <w:color w:val="000000"/>
                <w:sz w:val="22"/>
              </w:rPr>
              <w:t>, surtout dans l’agriculture et la vente en ambulatoire des produits vivriers. Cette participation aux activités économiques, surtout la vente en ambulatoire, expose les filles et jeunes femmes aux risques des VBG. Le mariage précoce est d’usage courant dans la Province du Kasaï.</w:t>
            </w:r>
          </w:p>
          <w:p w14:paraId="4E326845" w14:textId="77777777" w:rsidR="001C2F95" w:rsidRPr="001857F5" w:rsidRDefault="001C2F95" w:rsidP="00971FD2">
            <w:pPr>
              <w:textAlignment w:val="baseline"/>
              <w:rPr>
                <w:rFonts w:cs="Arial"/>
                <w:color w:val="000000"/>
                <w:sz w:val="22"/>
              </w:rPr>
            </w:pPr>
          </w:p>
          <w:p w14:paraId="7ED6FD79" w14:textId="77777777" w:rsidR="001C2F95" w:rsidRPr="001857F5" w:rsidRDefault="001C2F95" w:rsidP="00971FD2">
            <w:pPr>
              <w:textAlignment w:val="baseline"/>
              <w:rPr>
                <w:rFonts w:cs="Arial"/>
                <w:color w:val="000000"/>
                <w:sz w:val="22"/>
              </w:rPr>
            </w:pPr>
            <w:r w:rsidRPr="001857F5">
              <w:rPr>
                <w:rFonts w:cs="Arial"/>
                <w:color w:val="000000"/>
                <w:sz w:val="22"/>
              </w:rPr>
              <w:t>La pêche pratiquée est de type artisanal. Les types d’élevage pratiqués sont : le gros bétail, le petit bétail et la basse-cour.</w:t>
            </w:r>
          </w:p>
        </w:tc>
      </w:tr>
      <w:tr w:rsidR="001C2F95" w:rsidRPr="001857F5" w14:paraId="7F949780"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6407E70" w14:textId="77777777" w:rsidR="001C2F95" w:rsidRPr="001857F5" w:rsidRDefault="001C2F95" w:rsidP="00971FD2">
            <w:pPr>
              <w:rPr>
                <w:rFonts w:eastAsia="Calibri" w:cs="Arial"/>
                <w:b/>
                <w:sz w:val="22"/>
              </w:rPr>
            </w:pPr>
            <w:r w:rsidRPr="001857F5">
              <w:rPr>
                <w:rFonts w:eastAsia="Calibri" w:cs="Arial"/>
                <w:b/>
                <w:sz w:val="22"/>
              </w:rPr>
              <w:t>Situation sanitaire</w:t>
            </w:r>
          </w:p>
        </w:tc>
        <w:tc>
          <w:tcPr>
            <w:tcW w:w="11287" w:type="dxa"/>
            <w:tcBorders>
              <w:top w:val="single" w:sz="4" w:space="0" w:color="000001"/>
              <w:left w:val="single" w:sz="4" w:space="0" w:color="000001"/>
              <w:bottom w:val="single" w:sz="4" w:space="0" w:color="000001"/>
              <w:right w:val="single" w:sz="4" w:space="0" w:color="000001"/>
            </w:tcBorders>
          </w:tcPr>
          <w:p w14:paraId="133F5460" w14:textId="77777777" w:rsidR="001C2F95" w:rsidRPr="001857F5" w:rsidRDefault="001C2F95" w:rsidP="00971FD2">
            <w:pPr>
              <w:textAlignment w:val="baseline"/>
              <w:rPr>
                <w:rFonts w:cs="Arial"/>
                <w:color w:val="000000"/>
                <w:sz w:val="22"/>
              </w:rPr>
            </w:pPr>
            <w:r w:rsidRPr="001857F5">
              <w:rPr>
                <w:rFonts w:cs="Arial"/>
                <w:color w:val="000000"/>
                <w:sz w:val="22"/>
              </w:rPr>
              <w:t>Selon l’enquête 1-2-3, les infrastructures sanitaires sont jugées accessibles physiquement aux ménages du Kasaï puisque 84,7% habitent dans un rayon de 2 km d’un Centre de Santé. Le Centre de Santé est l’infrastructure de santé la plus utilisée autant au Kasaï central (48,2 %) que sur l’ensemble de la RDC (63,2 %). En revanche, les hôpitaux sont rarement fréquentés (8,2%). Les services de soins de santé sont très insuffisants compte tenu de l’effectif de la population : 40 hôpitaux pour toute la Province, 11,2 lits pour 100 000 habitants et 1 médecin pour 23 656 habitants alors que la norme de l’OMS est de 1 médecin pour 10 000 habitants. Les maladies </w:t>
            </w:r>
            <w:r w:rsidR="001857F5" w:rsidRPr="001857F5">
              <w:rPr>
                <w:rFonts w:cs="Arial"/>
                <w:color w:val="000000"/>
                <w:sz w:val="22"/>
              </w:rPr>
              <w:t>récurrentes</w:t>
            </w:r>
            <w:r w:rsidRPr="001857F5">
              <w:rPr>
                <w:rFonts w:cs="Arial"/>
                <w:color w:val="000000"/>
                <w:sz w:val="22"/>
              </w:rPr>
              <w:t xml:space="preserve"> sont la tuberculose, le paludisme, les IST et le VIH/SIDA (80,9 % des personnes ont déjà entendu parler du VIH/SIDA d’après l’enquête MICS2-2017 - 2018), etc.</w:t>
            </w:r>
          </w:p>
        </w:tc>
      </w:tr>
      <w:tr w:rsidR="001C2F95" w:rsidRPr="001857F5" w14:paraId="5F84A7A7"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2850549" w14:textId="77777777" w:rsidR="001C2F95" w:rsidRPr="001857F5" w:rsidRDefault="001C2F95" w:rsidP="00971FD2">
            <w:pPr>
              <w:rPr>
                <w:rFonts w:eastAsia="Calibri" w:cs="Arial"/>
                <w:b/>
                <w:sz w:val="22"/>
              </w:rPr>
            </w:pPr>
            <w:r w:rsidRPr="001857F5">
              <w:rPr>
                <w:rFonts w:eastAsia="Calibri" w:cs="Arial"/>
                <w:b/>
                <w:sz w:val="22"/>
              </w:rPr>
              <w:t>Situation du COVID-19 dans la Province du Kasaï Central</w:t>
            </w:r>
          </w:p>
        </w:tc>
        <w:tc>
          <w:tcPr>
            <w:tcW w:w="11287" w:type="dxa"/>
            <w:tcBorders>
              <w:top w:val="single" w:sz="4" w:space="0" w:color="000001"/>
              <w:left w:val="single" w:sz="4" w:space="0" w:color="000001"/>
              <w:bottom w:val="single" w:sz="4" w:space="0" w:color="000001"/>
              <w:right w:val="single" w:sz="4" w:space="0" w:color="000001"/>
            </w:tcBorders>
          </w:tcPr>
          <w:p w14:paraId="442877B1" w14:textId="77777777" w:rsidR="001C2F95" w:rsidRPr="001857F5" w:rsidRDefault="001C2F95" w:rsidP="00971FD2">
            <w:pPr>
              <w:textAlignment w:val="baseline"/>
              <w:rPr>
                <w:rFonts w:cs="Arial"/>
                <w:color w:val="000000"/>
                <w:sz w:val="22"/>
              </w:rPr>
            </w:pPr>
            <w:r w:rsidRPr="001857F5">
              <w:rPr>
                <w:rFonts w:cs="Arial"/>
                <w:color w:val="000000"/>
                <w:sz w:val="22"/>
              </w:rPr>
              <w:t>Depuis le début de la pandémie à COVID-19 en RDC, la Province du Kasaï a un seul cas demeure confirmé du COVID-19 à la situation du 12 janvier 2021. Des mesures barrières sont observées sur toute l’étendue de la Province.</w:t>
            </w:r>
          </w:p>
        </w:tc>
      </w:tr>
      <w:tr w:rsidR="001C2F95" w:rsidRPr="001857F5" w14:paraId="2E662CBD"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F20A727" w14:textId="77777777" w:rsidR="001C2F95" w:rsidRPr="001857F5" w:rsidRDefault="001C2F95" w:rsidP="00971FD2">
            <w:pPr>
              <w:rPr>
                <w:rFonts w:eastAsia="Calibri" w:cs="Arial"/>
                <w:b/>
                <w:sz w:val="22"/>
              </w:rPr>
            </w:pPr>
            <w:r w:rsidRPr="001857F5">
              <w:rPr>
                <w:rFonts w:eastAsia="Calibri" w:cs="Arial"/>
                <w:b/>
                <w:sz w:val="22"/>
              </w:rPr>
              <w:t>Éducation</w:t>
            </w:r>
          </w:p>
        </w:tc>
        <w:tc>
          <w:tcPr>
            <w:tcW w:w="11287" w:type="dxa"/>
            <w:tcBorders>
              <w:top w:val="single" w:sz="4" w:space="0" w:color="000001"/>
              <w:left w:val="single" w:sz="4" w:space="0" w:color="000001"/>
              <w:bottom w:val="single" w:sz="4" w:space="0" w:color="000001"/>
              <w:right w:val="single" w:sz="4" w:space="0" w:color="000001"/>
            </w:tcBorders>
          </w:tcPr>
          <w:p w14:paraId="22B97C2E" w14:textId="77777777" w:rsidR="001C2F95" w:rsidRPr="001857F5" w:rsidRDefault="001C2F95" w:rsidP="00971FD2">
            <w:pPr>
              <w:textAlignment w:val="baseline"/>
              <w:rPr>
                <w:rFonts w:cs="Arial"/>
                <w:sz w:val="22"/>
              </w:rPr>
            </w:pPr>
            <w:r w:rsidRPr="001857F5">
              <w:rPr>
                <w:rFonts w:cs="Arial"/>
                <w:sz w:val="22"/>
              </w:rPr>
              <w:t>Le taux net de fréquentation scolaire dans la Province du Kasaï est de 59 % (Enquête MICS2-Palu, RDC, 2017 – 2018). On observait vers l’année 2017, le taux de scolarisation des filles s’écarte de celui des garçons au fur et à mesure que le niveau d’instruction monte. Allant de 49,4 % en primaire, ce taux pour les filles descend à 15,9 % au secondaire puis 0,3 % au niveau supérieur. Il en est de même pour l’accès à l’éducation puisque si on compte 9 filles pour 10 garçons au primaire, ce ratio descend à 4 sur 10 au niveau secondaire pour finir à seulement une fille pour 10 garçons au niveau supérieur.</w:t>
            </w:r>
          </w:p>
          <w:p w14:paraId="40DDB1AD" w14:textId="77777777" w:rsidR="001C2F95" w:rsidRPr="001857F5" w:rsidRDefault="001C2F95" w:rsidP="00971FD2">
            <w:pPr>
              <w:textAlignment w:val="baseline"/>
              <w:rPr>
                <w:rFonts w:cs="Arial"/>
                <w:sz w:val="22"/>
              </w:rPr>
            </w:pPr>
          </w:p>
          <w:p w14:paraId="13F5FFD5" w14:textId="77777777" w:rsidR="001C2F95" w:rsidRPr="001857F5" w:rsidRDefault="001C2F95" w:rsidP="00971FD2">
            <w:pPr>
              <w:textAlignment w:val="baseline"/>
              <w:rPr>
                <w:rFonts w:cs="Arial"/>
                <w:sz w:val="22"/>
              </w:rPr>
            </w:pPr>
            <w:r w:rsidRPr="001857F5">
              <w:rPr>
                <w:rFonts w:cs="Arial"/>
                <w:sz w:val="22"/>
              </w:rPr>
              <w:t>Le mariage précoce des filles est une pratique très courante dans le Kasaï. Ainsi, les filles n’ont pas le même accès aux études dû à ces normes très conservatrices, ce qui soulignent la phrase, « La fille n’est pas faite pour les études, mais pour le ménage ». Certains jeunes garçons préfèrent exploiter les produits miniers que de se rendre sur le banc de l’école. Le travail d’enfant est très récurrent dans le Kasaï, en lieu et place des études.</w:t>
            </w:r>
          </w:p>
          <w:p w14:paraId="5F645AE1" w14:textId="77777777" w:rsidR="001C2F95" w:rsidRPr="001857F5" w:rsidRDefault="001C2F95" w:rsidP="00971FD2">
            <w:pPr>
              <w:pStyle w:val="Paragraphedeliste"/>
              <w:ind w:left="332"/>
              <w:textAlignment w:val="baseline"/>
              <w:rPr>
                <w:rFonts w:cs="Arial"/>
                <w:sz w:val="22"/>
              </w:rPr>
            </w:pPr>
          </w:p>
          <w:p w14:paraId="27FF550A" w14:textId="77777777" w:rsidR="001C2F95" w:rsidRPr="001857F5" w:rsidRDefault="001C2F95" w:rsidP="00971FD2">
            <w:pPr>
              <w:textAlignment w:val="baseline"/>
              <w:rPr>
                <w:rFonts w:cs="Arial"/>
                <w:sz w:val="22"/>
              </w:rPr>
            </w:pPr>
            <w:r w:rsidRPr="001857F5">
              <w:rPr>
                <w:rFonts w:cs="Arial"/>
                <w:sz w:val="22"/>
              </w:rPr>
              <w:t>Mais avec le Programme de la gratuité de l’enseignement décrété par le Gouvernement de la République cette année passée, les indicateurs de l’accès à l’éducation vont sensiblement changer vers un taux d’alphabétisation élevé. Cette gratuité a amélioré le taux des filles à l’école ce qui pourrait réduire les mariages précoces dans cette communauté.</w:t>
            </w:r>
          </w:p>
          <w:p w14:paraId="096E184F" w14:textId="77777777" w:rsidR="001E6744" w:rsidRPr="001857F5" w:rsidRDefault="001E6744" w:rsidP="00971FD2">
            <w:pPr>
              <w:textAlignment w:val="baseline"/>
              <w:rPr>
                <w:rFonts w:cs="Arial"/>
                <w:sz w:val="22"/>
              </w:rPr>
            </w:pPr>
          </w:p>
          <w:p w14:paraId="5FA7409A" w14:textId="77777777" w:rsidR="001E6744" w:rsidRPr="001857F5" w:rsidRDefault="001E6744" w:rsidP="00971FD2">
            <w:pPr>
              <w:textAlignment w:val="baseline"/>
              <w:rPr>
                <w:rFonts w:cs="Arial"/>
                <w:sz w:val="22"/>
              </w:rPr>
            </w:pPr>
            <w:r w:rsidRPr="001857F5">
              <w:rPr>
                <w:rFonts w:cs="Arial"/>
                <w:sz w:val="22"/>
              </w:rPr>
              <w:t>On note aussi certaines filles qui sont abusées et de fois même sollicitées en mariage par leurs enseignants ou sont victimes de harcèlement de la part de leurs enseignants. Les parents trouvent que c’est un honneur que leur fille soit mariée, mineure qu’elle soit à son enseignant.</w:t>
            </w:r>
          </w:p>
        </w:tc>
      </w:tr>
      <w:tr w:rsidR="001C2F95" w:rsidRPr="001857F5" w14:paraId="2B1780F9"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0CF0B81" w14:textId="77777777" w:rsidR="001C2F95" w:rsidRPr="001857F5" w:rsidRDefault="001C2F95" w:rsidP="00971FD2">
            <w:pPr>
              <w:jc w:val="left"/>
              <w:rPr>
                <w:rFonts w:eastAsia="Calibri" w:cs="Arial"/>
                <w:b/>
                <w:sz w:val="22"/>
              </w:rPr>
            </w:pPr>
            <w:r w:rsidRPr="001857F5">
              <w:rPr>
                <w:rFonts w:eastAsia="Calibri" w:cs="Arial"/>
                <w:b/>
                <w:sz w:val="22"/>
              </w:rPr>
              <w:t>Infrastructures de transport</w:t>
            </w:r>
          </w:p>
        </w:tc>
        <w:tc>
          <w:tcPr>
            <w:tcW w:w="11287" w:type="dxa"/>
            <w:tcBorders>
              <w:top w:val="single" w:sz="4" w:space="0" w:color="000001"/>
              <w:left w:val="single" w:sz="4" w:space="0" w:color="000001"/>
              <w:bottom w:val="single" w:sz="4" w:space="0" w:color="000001"/>
              <w:right w:val="single" w:sz="4" w:space="0" w:color="000001"/>
            </w:tcBorders>
          </w:tcPr>
          <w:p w14:paraId="41F91A39" w14:textId="77777777" w:rsidR="001C2F95" w:rsidRPr="001857F5" w:rsidRDefault="001C2F95" w:rsidP="00971FD2">
            <w:pPr>
              <w:textAlignment w:val="baseline"/>
              <w:rPr>
                <w:rFonts w:cs="Arial"/>
                <w:color w:val="000000"/>
                <w:sz w:val="22"/>
              </w:rPr>
            </w:pPr>
            <w:r w:rsidRPr="001857F5">
              <w:rPr>
                <w:rFonts w:cs="Arial"/>
                <w:color w:val="000000"/>
                <w:sz w:val="22"/>
              </w:rPr>
              <w:t xml:space="preserve">Dans cette Province, le transport est assuré principalement par un réseau routier qui comprend 1 977 km de routes d’intérêt national, 1 147 Km de routes d’intérêt provincial et 11 486 km des routes de dessertes agricoles. L’état de dégradation de ce réseau routier constitue un frein pour la mobilité des personnes et des biens dans la province. </w:t>
            </w:r>
          </w:p>
          <w:p w14:paraId="0C6FC5B1" w14:textId="77777777" w:rsidR="001C2F95" w:rsidRPr="001857F5" w:rsidRDefault="001C2F95" w:rsidP="00971FD2">
            <w:pPr>
              <w:textAlignment w:val="baseline"/>
              <w:rPr>
                <w:rFonts w:cs="Arial"/>
                <w:color w:val="000000"/>
                <w:sz w:val="22"/>
              </w:rPr>
            </w:pPr>
          </w:p>
          <w:p w14:paraId="36FFC7A1" w14:textId="77777777" w:rsidR="001C2F95" w:rsidRPr="001857F5" w:rsidRDefault="001C2F95" w:rsidP="00971FD2">
            <w:pPr>
              <w:textAlignment w:val="baseline"/>
              <w:rPr>
                <w:rFonts w:cs="Arial"/>
                <w:color w:val="000000"/>
                <w:sz w:val="22"/>
              </w:rPr>
            </w:pPr>
            <w:r w:rsidRPr="001857F5">
              <w:rPr>
                <w:rFonts w:cs="Arial"/>
                <w:color w:val="000000"/>
                <w:sz w:val="22"/>
              </w:rPr>
              <w:t xml:space="preserve">Le Kasaï est plus grande rivière </w:t>
            </w:r>
            <w:r w:rsidR="001977A4" w:rsidRPr="001857F5">
              <w:rPr>
                <w:rFonts w:cs="Arial"/>
                <w:color w:val="000000"/>
                <w:sz w:val="22"/>
              </w:rPr>
              <w:t>rencontr</w:t>
            </w:r>
            <w:r w:rsidR="001977A4">
              <w:rPr>
                <w:rFonts w:cs="Arial"/>
                <w:color w:val="000000"/>
                <w:sz w:val="22"/>
              </w:rPr>
              <w:t>é</w:t>
            </w:r>
            <w:r w:rsidR="001977A4" w:rsidRPr="001857F5">
              <w:rPr>
                <w:rFonts w:cs="Arial"/>
                <w:color w:val="000000"/>
                <w:sz w:val="22"/>
              </w:rPr>
              <w:t>e</w:t>
            </w:r>
            <w:r w:rsidRPr="001857F5">
              <w:rPr>
                <w:rFonts w:cs="Arial"/>
                <w:color w:val="000000"/>
                <w:sz w:val="22"/>
              </w:rPr>
              <w:t xml:space="preserve"> dans cette province. Elle a une longueur de 2 272 km, et de 2361 km en prenant compte la longueur depuis la source de la </w:t>
            </w:r>
            <w:hyperlink r:id="rId67" w:tooltip="Munyango (page inexistante)" w:history="1">
              <w:r w:rsidRPr="001857F5">
                <w:rPr>
                  <w:rFonts w:cs="Arial"/>
                  <w:color w:val="000000"/>
                  <w:sz w:val="22"/>
                </w:rPr>
                <w:t>Munyango</w:t>
              </w:r>
            </w:hyperlink>
            <w:r w:rsidRPr="001857F5">
              <w:rPr>
                <w:rFonts w:cs="Arial"/>
                <w:color w:val="000000"/>
                <w:sz w:val="22"/>
              </w:rPr>
              <w:t xml:space="preserve">. Elle a aussi des affluents qui facilite le transport des biens et des personnes à savoir les rivières </w:t>
            </w:r>
            <w:hyperlink r:id="rId68" w:tooltip="Fimi" w:history="1">
              <w:r w:rsidRPr="001857F5">
                <w:rPr>
                  <w:rFonts w:cs="Arial"/>
                  <w:color w:val="000000"/>
                  <w:sz w:val="22"/>
                </w:rPr>
                <w:t>Fimi</w:t>
              </w:r>
            </w:hyperlink>
            <w:r w:rsidRPr="001857F5">
              <w:rPr>
                <w:rFonts w:cs="Arial"/>
                <w:color w:val="000000"/>
                <w:sz w:val="22"/>
              </w:rPr>
              <w:t xml:space="preserve">, </w:t>
            </w:r>
            <w:hyperlink r:id="rId69" w:tooltip="Luete (page inexistante)" w:history="1">
              <w:r w:rsidRPr="001857F5">
                <w:rPr>
                  <w:rFonts w:cs="Arial"/>
                  <w:color w:val="000000"/>
                  <w:sz w:val="22"/>
                </w:rPr>
                <w:t>Luete</w:t>
              </w:r>
            </w:hyperlink>
            <w:r w:rsidRPr="001857F5">
              <w:rPr>
                <w:rFonts w:cs="Arial"/>
                <w:color w:val="000000"/>
                <w:sz w:val="22"/>
              </w:rPr>
              <w:t xml:space="preserve">, </w:t>
            </w:r>
            <w:hyperlink r:id="rId70" w:tooltip="Lutshima (page inexistante)" w:history="1">
              <w:r w:rsidRPr="001857F5">
                <w:rPr>
                  <w:rFonts w:cs="Arial"/>
                  <w:color w:val="000000"/>
                  <w:sz w:val="22"/>
                </w:rPr>
                <w:t>Lutshima</w:t>
              </w:r>
            </w:hyperlink>
            <w:r w:rsidRPr="001857F5">
              <w:rPr>
                <w:rFonts w:cs="Arial"/>
                <w:color w:val="000000"/>
                <w:sz w:val="22"/>
              </w:rPr>
              <w:t xml:space="preserve">, </w:t>
            </w:r>
            <w:hyperlink r:id="rId71" w:tooltip="Lubembe (page inexistante)" w:history="1">
              <w:r w:rsidRPr="001857F5">
                <w:rPr>
                  <w:rFonts w:cs="Arial"/>
                  <w:color w:val="000000"/>
                  <w:sz w:val="22"/>
                </w:rPr>
                <w:t>Lubembe</w:t>
              </w:r>
            </w:hyperlink>
            <w:r w:rsidRPr="001857F5">
              <w:rPr>
                <w:rFonts w:cs="Arial"/>
                <w:color w:val="000000"/>
                <w:sz w:val="22"/>
              </w:rPr>
              <w:t xml:space="preserve">, </w:t>
            </w:r>
            <w:hyperlink r:id="rId72" w:tooltip="Lwachimo (cours d'eau)" w:history="1">
              <w:r w:rsidRPr="001857F5">
                <w:rPr>
                  <w:rFonts w:cs="Arial"/>
                  <w:color w:val="000000"/>
                  <w:sz w:val="22"/>
                </w:rPr>
                <w:t>Lwachimo</w:t>
              </w:r>
            </w:hyperlink>
            <w:r w:rsidRPr="001857F5">
              <w:rPr>
                <w:rFonts w:cs="Arial"/>
                <w:color w:val="000000"/>
                <w:sz w:val="22"/>
              </w:rPr>
              <w:t xml:space="preserve"> ou Longatshimo</w:t>
            </w:r>
            <w:r w:rsidRPr="001857F5">
              <w:rPr>
                <w:rFonts w:cs="Arial"/>
                <w:sz w:val="22"/>
              </w:rPr>
              <w:t xml:space="preserve"> </w:t>
            </w:r>
            <w:hyperlink r:id="rId73" w:tooltip="Tshikapa (rivière)" w:history="1">
              <w:r w:rsidRPr="001857F5">
                <w:rPr>
                  <w:rFonts w:cs="Arial"/>
                  <w:color w:val="000000"/>
                  <w:sz w:val="22"/>
                </w:rPr>
                <w:t>Tshikapa</w:t>
              </w:r>
            </w:hyperlink>
            <w:r w:rsidRPr="001857F5">
              <w:rPr>
                <w:rFonts w:cs="Arial"/>
                <w:color w:val="000000"/>
                <w:sz w:val="22"/>
              </w:rPr>
              <w:t>.</w:t>
            </w:r>
          </w:p>
          <w:p w14:paraId="0D9A4B66" w14:textId="77777777" w:rsidR="001C2F95" w:rsidRPr="001857F5" w:rsidRDefault="001C2F95" w:rsidP="00971FD2">
            <w:pPr>
              <w:textAlignment w:val="baseline"/>
              <w:rPr>
                <w:rFonts w:cs="Arial"/>
                <w:color w:val="000000"/>
                <w:sz w:val="22"/>
              </w:rPr>
            </w:pPr>
          </w:p>
          <w:p w14:paraId="734B4EB6" w14:textId="77777777" w:rsidR="001C2F95" w:rsidRPr="001857F5" w:rsidRDefault="001C2F95" w:rsidP="00971FD2">
            <w:pPr>
              <w:textAlignment w:val="baseline"/>
              <w:rPr>
                <w:rFonts w:cs="Arial"/>
                <w:color w:val="000000"/>
                <w:sz w:val="22"/>
              </w:rPr>
            </w:pPr>
            <w:r w:rsidRPr="001857F5">
              <w:rPr>
                <w:rFonts w:cs="Arial"/>
                <w:color w:val="000000"/>
                <w:sz w:val="22"/>
              </w:rPr>
              <w:t xml:space="preserve">Le délabrement des routes est souvent un risque des VBG du fait que les véhicules qui s’embourbent sont obligés de mettre plus de temps que prévu dans les villages avoisinants. Par la suite, les passagers sont logés dans la communauté, ce qui crée des risques d’EAS pour les filles qui ne fréquentent pas l’école et sont souvent à la recherche d’un revenu ou des activités économiques pour soutenir la famille. Des grossesses et mariages précoces sont alors les phénomènes très </w:t>
            </w:r>
            <w:r w:rsidR="001E6744" w:rsidRPr="001857F5">
              <w:rPr>
                <w:rFonts w:cs="Arial"/>
                <w:color w:val="000000"/>
                <w:sz w:val="22"/>
              </w:rPr>
              <w:t>récurrents</w:t>
            </w:r>
            <w:r w:rsidRPr="001857F5">
              <w:rPr>
                <w:rFonts w:cs="Arial"/>
                <w:color w:val="000000"/>
                <w:sz w:val="22"/>
              </w:rPr>
              <w:t xml:space="preserve"> dans certains tronçons du Kasaï.</w:t>
            </w:r>
          </w:p>
        </w:tc>
      </w:tr>
      <w:tr w:rsidR="001C2F95" w:rsidRPr="001857F5" w14:paraId="7817D2F8"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FBB96D1" w14:textId="77777777" w:rsidR="001C2F95" w:rsidRPr="001857F5" w:rsidRDefault="001C2F95" w:rsidP="00971FD2">
            <w:pPr>
              <w:rPr>
                <w:rFonts w:eastAsia="Calibri" w:cs="Arial"/>
                <w:b/>
                <w:sz w:val="22"/>
              </w:rPr>
            </w:pPr>
            <w:r w:rsidRPr="001857F5">
              <w:rPr>
                <w:rFonts w:eastAsia="Calibri" w:cs="Arial"/>
                <w:b/>
                <w:sz w:val="22"/>
              </w:rPr>
              <w:t>Accès à l’énergie</w:t>
            </w:r>
          </w:p>
        </w:tc>
        <w:tc>
          <w:tcPr>
            <w:tcW w:w="11287" w:type="dxa"/>
            <w:tcBorders>
              <w:top w:val="single" w:sz="4" w:space="0" w:color="000001"/>
              <w:left w:val="single" w:sz="4" w:space="0" w:color="000001"/>
              <w:bottom w:val="single" w:sz="4" w:space="0" w:color="000001"/>
              <w:right w:val="single" w:sz="4" w:space="0" w:color="000001"/>
            </w:tcBorders>
          </w:tcPr>
          <w:p w14:paraId="1A9598E9" w14:textId="77777777" w:rsidR="001C2F95" w:rsidRPr="001857F5" w:rsidRDefault="001C2F95" w:rsidP="00971FD2">
            <w:pPr>
              <w:textAlignment w:val="baseline"/>
              <w:rPr>
                <w:rFonts w:cs="Arial"/>
                <w:color w:val="000000"/>
                <w:sz w:val="22"/>
              </w:rPr>
            </w:pPr>
            <w:r w:rsidRPr="001857F5">
              <w:rPr>
                <w:rFonts w:cs="Arial"/>
                <w:color w:val="000000"/>
                <w:sz w:val="22"/>
              </w:rPr>
              <w:t>L’accès à l’électricité pose encore d’énormes problèmes dans cette partie du pays : seulement 5,6 % des ménages ont accès à l’électricité Ces chiffres traduisent la précarité de la vie dans la Province du Kasaï. Par ailleurs, l’accès à l’énergie (combustible et technologie propre pour la cuisson de la nourriture) est de 0,2 %. Les jeunes garçons et jeunes filles font le ramassage de bois pour la survie. Par la suite, les filles sont plus exposées aux risques de VBG au cours de cette activité de ramassage.</w:t>
            </w:r>
          </w:p>
        </w:tc>
      </w:tr>
      <w:tr w:rsidR="001C2F95" w:rsidRPr="001857F5" w14:paraId="32F479B1"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5057A5E" w14:textId="77777777" w:rsidR="001C2F95" w:rsidRPr="001857F5" w:rsidRDefault="001C2F95" w:rsidP="00971FD2">
            <w:pPr>
              <w:textAlignment w:val="baseline"/>
              <w:rPr>
                <w:rFonts w:cs="Arial"/>
                <w:b/>
                <w:color w:val="000000"/>
                <w:sz w:val="22"/>
                <w:shd w:val="clear" w:color="auto" w:fill="FFFFFF"/>
              </w:rPr>
            </w:pPr>
            <w:r w:rsidRPr="001857F5">
              <w:rPr>
                <w:rFonts w:cs="Arial"/>
                <w:b/>
                <w:color w:val="000000"/>
                <w:sz w:val="22"/>
                <w:shd w:val="clear" w:color="auto" w:fill="FFFFFF"/>
              </w:rPr>
              <w:t>Accès à l’eau</w:t>
            </w:r>
          </w:p>
        </w:tc>
        <w:tc>
          <w:tcPr>
            <w:tcW w:w="11287" w:type="dxa"/>
            <w:tcBorders>
              <w:top w:val="single" w:sz="4" w:space="0" w:color="000001"/>
              <w:left w:val="single" w:sz="4" w:space="0" w:color="000001"/>
              <w:bottom w:val="single" w:sz="4" w:space="0" w:color="000001"/>
              <w:right w:val="single" w:sz="4" w:space="0" w:color="000001"/>
            </w:tcBorders>
          </w:tcPr>
          <w:p w14:paraId="7E342ECD" w14:textId="77777777" w:rsidR="001C2F95" w:rsidRPr="001857F5" w:rsidRDefault="001C2F95" w:rsidP="00971FD2">
            <w:pPr>
              <w:textAlignment w:val="baseline"/>
              <w:rPr>
                <w:rFonts w:cs="Arial"/>
                <w:color w:val="000000"/>
                <w:sz w:val="22"/>
                <w:shd w:val="clear" w:color="auto" w:fill="FFFFFF"/>
              </w:rPr>
            </w:pPr>
            <w:r w:rsidRPr="001857F5">
              <w:rPr>
                <w:rFonts w:cs="Arial"/>
                <w:color w:val="000000"/>
                <w:sz w:val="22"/>
                <w:shd w:val="clear" w:color="auto" w:fill="FFFFFF"/>
              </w:rPr>
              <w:t>L’accès à l’eau potable pose encore d’énormes problèmes dans cette partie du pays 28,9 % des ménages ont accès à l’eau. Dans la Province du Kasaï, le taux d’accès à l’eau potable qui sort dans des robinets est de 0,3 %. Ces chiffres traduisent la précarité de la vie dans la province du Kasaï. Cette situation de pénurie d’eau expose les femmes et jeunes filles aux risques de VBG car elles sont appelées à chercher de l’eau potable. Par la suite, elles sont plus exposées aux risques de VBG, y compris l’EAS et le HS, dans la communauté lorsqu’elles se rendent à la rivière pour s’approvisionner en eau. Les jeunes délinquants leur tendent souvent des pièges pour les harceler.</w:t>
            </w:r>
          </w:p>
        </w:tc>
      </w:tr>
      <w:tr w:rsidR="001C2F95" w:rsidRPr="001857F5" w14:paraId="517D9126"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7ED41A8" w14:textId="77777777" w:rsidR="001C2F95" w:rsidRPr="001857F5" w:rsidRDefault="001C2F95" w:rsidP="00971FD2">
            <w:pPr>
              <w:rPr>
                <w:rFonts w:eastAsia="Calibri" w:cs="Arial"/>
                <w:b/>
                <w:sz w:val="22"/>
              </w:rPr>
            </w:pPr>
            <w:r w:rsidRPr="001857F5">
              <w:rPr>
                <w:rFonts w:eastAsia="Calibri" w:cs="Arial"/>
                <w:b/>
                <w:sz w:val="22"/>
              </w:rPr>
              <w:t>Communication</w:t>
            </w:r>
          </w:p>
        </w:tc>
        <w:tc>
          <w:tcPr>
            <w:tcW w:w="11287" w:type="dxa"/>
            <w:tcBorders>
              <w:top w:val="single" w:sz="4" w:space="0" w:color="000001"/>
              <w:left w:val="single" w:sz="4" w:space="0" w:color="000001"/>
              <w:bottom w:val="single" w:sz="4" w:space="0" w:color="000001"/>
              <w:right w:val="single" w:sz="4" w:space="0" w:color="000001"/>
            </w:tcBorders>
          </w:tcPr>
          <w:p w14:paraId="13FCB961" w14:textId="77777777" w:rsidR="001C2F95" w:rsidRPr="001857F5" w:rsidRDefault="001C2F95" w:rsidP="00971FD2">
            <w:pPr>
              <w:textAlignment w:val="baseline"/>
              <w:rPr>
                <w:rFonts w:cs="Arial"/>
                <w:color w:val="000000"/>
                <w:sz w:val="22"/>
              </w:rPr>
            </w:pPr>
            <w:r w:rsidRPr="001857F5">
              <w:rPr>
                <w:rFonts w:cs="Arial"/>
                <w:color w:val="000000"/>
                <w:sz w:val="22"/>
              </w:rPr>
              <w:t xml:space="preserve">Le réseau téléphonique est composé du secteur public (Postes et Télécommunications) et du secteur privé (Airtel, Vodacom et   Orange). Il y a également plus d’une trentaine de radios et de télévisions locales. L’on peut citer : Radio La Promesse à Kakenge, Radio Télé Kamonia, Radio Arc-en-ciel à Kamako, et Radio Kilimanjaro, Ondes du progrès, </w:t>
            </w:r>
            <w:r w:rsidR="001977A4" w:rsidRPr="001857F5">
              <w:rPr>
                <w:rFonts w:cs="Arial"/>
                <w:color w:val="000000"/>
                <w:sz w:val="22"/>
              </w:rPr>
              <w:t>Kasaï</w:t>
            </w:r>
            <w:r w:rsidRPr="001857F5">
              <w:rPr>
                <w:rFonts w:cs="Arial"/>
                <w:color w:val="000000"/>
                <w:sz w:val="22"/>
              </w:rPr>
              <w:t xml:space="preserve"> Horizon à Tshikapa.</w:t>
            </w:r>
          </w:p>
          <w:p w14:paraId="61606E91" w14:textId="77777777" w:rsidR="001E6744" w:rsidRPr="001857F5" w:rsidRDefault="001E6744" w:rsidP="00971FD2">
            <w:pPr>
              <w:textAlignment w:val="baseline"/>
              <w:rPr>
                <w:rFonts w:cs="Arial"/>
                <w:color w:val="000000"/>
                <w:sz w:val="22"/>
              </w:rPr>
            </w:pPr>
          </w:p>
          <w:p w14:paraId="4B7E9095" w14:textId="77777777" w:rsidR="001E6744" w:rsidRPr="001857F5" w:rsidRDefault="001E6744" w:rsidP="00971FD2">
            <w:pPr>
              <w:textAlignment w:val="baseline"/>
              <w:rPr>
                <w:rFonts w:cs="Arial"/>
                <w:color w:val="000000"/>
                <w:sz w:val="22"/>
              </w:rPr>
            </w:pPr>
            <w:r w:rsidRPr="001857F5">
              <w:rPr>
                <w:rFonts w:cs="Arial"/>
                <w:color w:val="000000"/>
                <w:sz w:val="22"/>
              </w:rPr>
              <w:t>La plupart de femmes ne maitrise pas comment manipuler le téléphone mobile par manque d’instructions. D’autres par contre bien qu’instruites, ne reçoivent pas l’autorisation du mari ou leur partenaire pour avoir accès. Les jeunes filles utilisent plus les téléphones mobiles que les femmes pour être à la mode dans les réseaux sociaux. Les femmes doivent obtenir l’autorisation du partenaire pour détenir un téléphone mobile</w:t>
            </w:r>
          </w:p>
        </w:tc>
      </w:tr>
      <w:tr w:rsidR="001C2F95" w:rsidRPr="001857F5" w14:paraId="37C2A55A"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3643A8" w14:textId="77777777" w:rsidR="001C2F95" w:rsidRPr="001857F5" w:rsidRDefault="001C2F95" w:rsidP="00971FD2">
            <w:pPr>
              <w:rPr>
                <w:rFonts w:eastAsia="Calibri" w:cs="Arial"/>
                <w:b/>
                <w:sz w:val="22"/>
              </w:rPr>
            </w:pPr>
            <w:r w:rsidRPr="001857F5">
              <w:rPr>
                <w:rFonts w:eastAsia="Calibri" w:cs="Arial"/>
                <w:b/>
                <w:sz w:val="22"/>
              </w:rPr>
              <w:t>Aire protégée</w:t>
            </w:r>
          </w:p>
        </w:tc>
        <w:tc>
          <w:tcPr>
            <w:tcW w:w="11287" w:type="dxa"/>
            <w:tcBorders>
              <w:top w:val="single" w:sz="4" w:space="0" w:color="000001"/>
              <w:left w:val="single" w:sz="4" w:space="0" w:color="000001"/>
              <w:bottom w:val="single" w:sz="4" w:space="0" w:color="000001"/>
              <w:right w:val="single" w:sz="4" w:space="0" w:color="000001"/>
            </w:tcBorders>
          </w:tcPr>
          <w:p w14:paraId="11CE709B" w14:textId="77777777" w:rsidR="001C2F95" w:rsidRPr="001857F5" w:rsidRDefault="001C2F95" w:rsidP="00971FD2">
            <w:pPr>
              <w:textAlignment w:val="baseline"/>
              <w:rPr>
                <w:rFonts w:cs="Arial"/>
                <w:color w:val="000000"/>
                <w:sz w:val="22"/>
              </w:rPr>
            </w:pPr>
            <w:r w:rsidRPr="001857F5">
              <w:rPr>
                <w:rFonts w:cs="Arial"/>
                <w:color w:val="000000"/>
                <w:sz w:val="22"/>
              </w:rPr>
              <w:t>La Province du Kasaï n’a aucune aire protégée.</w:t>
            </w:r>
          </w:p>
        </w:tc>
      </w:tr>
    </w:tbl>
    <w:p w14:paraId="414E4CA1" w14:textId="77777777" w:rsidR="001C2F95" w:rsidRPr="001857F5" w:rsidRDefault="001C2F95" w:rsidP="001C2F95">
      <w:pPr>
        <w:rPr>
          <w:rFonts w:cs="Arial"/>
          <w:sz w:val="22"/>
        </w:rPr>
      </w:pPr>
    </w:p>
    <w:p w14:paraId="73DE9BA5" w14:textId="77777777" w:rsidR="001977A4" w:rsidRDefault="001977A4">
      <w:pPr>
        <w:spacing w:after="160" w:line="259" w:lineRule="auto"/>
        <w:jc w:val="left"/>
        <w:rPr>
          <w:rFonts w:cs="Arial"/>
          <w:sz w:val="22"/>
        </w:rPr>
      </w:pPr>
      <w:r>
        <w:rPr>
          <w:rFonts w:cs="Arial"/>
          <w:sz w:val="22"/>
        </w:rPr>
        <w:br w:type="page"/>
      </w:r>
    </w:p>
    <w:p w14:paraId="3E05FD01" w14:textId="77777777" w:rsidR="001C2F95" w:rsidRPr="001857F5" w:rsidRDefault="001C2F95" w:rsidP="001C2F95">
      <w:pPr>
        <w:spacing w:line="240" w:lineRule="auto"/>
        <w:jc w:val="left"/>
        <w:rPr>
          <w:rFonts w:cs="Arial"/>
          <w:i/>
          <w:sz w:val="22"/>
        </w:rPr>
      </w:pPr>
      <w:bookmarkStart w:id="217" w:name="_Toc70451653"/>
      <w:r w:rsidRPr="001857F5">
        <w:rPr>
          <w:rFonts w:cs="Arial"/>
          <w:sz w:val="22"/>
        </w:rPr>
        <w:t xml:space="preserve">Tableau </w:t>
      </w:r>
      <w:r w:rsidRPr="001857F5">
        <w:rPr>
          <w:rFonts w:cs="Arial"/>
          <w:sz w:val="22"/>
        </w:rPr>
        <w:fldChar w:fldCharType="begin"/>
      </w:r>
      <w:r w:rsidRPr="001857F5">
        <w:rPr>
          <w:rFonts w:cs="Arial"/>
          <w:sz w:val="22"/>
        </w:rPr>
        <w:instrText xml:space="preserve"> SEQ Tableau \* ARABIC </w:instrText>
      </w:r>
      <w:r w:rsidRPr="001857F5">
        <w:rPr>
          <w:rFonts w:cs="Arial"/>
          <w:sz w:val="22"/>
        </w:rPr>
        <w:fldChar w:fldCharType="separate"/>
      </w:r>
      <w:r w:rsidR="001260B3">
        <w:rPr>
          <w:rFonts w:cs="Arial"/>
          <w:noProof/>
          <w:sz w:val="22"/>
        </w:rPr>
        <w:t>7</w:t>
      </w:r>
      <w:r w:rsidRPr="001857F5">
        <w:rPr>
          <w:rFonts w:cs="Arial"/>
          <w:sz w:val="22"/>
        </w:rPr>
        <w:fldChar w:fldCharType="end"/>
      </w:r>
      <w:r w:rsidRPr="001857F5">
        <w:rPr>
          <w:rFonts w:cs="Arial"/>
          <w:sz w:val="22"/>
        </w:rPr>
        <w:t>. Données socio-économiques de la Province du Nord-K</w:t>
      </w:r>
      <w:r w:rsidR="00B86CA8">
        <w:rPr>
          <w:rFonts w:cs="Arial"/>
          <w:sz w:val="22"/>
        </w:rPr>
        <w:t>i</w:t>
      </w:r>
      <w:r w:rsidRPr="001857F5">
        <w:rPr>
          <w:rFonts w:cs="Arial"/>
          <w:sz w:val="22"/>
        </w:rPr>
        <w:t>vu</w:t>
      </w:r>
      <w:bookmarkEnd w:id="217"/>
    </w:p>
    <w:p w14:paraId="06C7F725" w14:textId="77777777" w:rsidR="001C2F95" w:rsidRPr="001857F5" w:rsidRDefault="001C2F95" w:rsidP="001C2F95">
      <w:pPr>
        <w:rPr>
          <w:rFonts w:cs="Arial"/>
          <w:sz w:val="22"/>
        </w:rPr>
      </w:pPr>
    </w:p>
    <w:tbl>
      <w:tblPr>
        <w:tblW w:w="1366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78"/>
        <w:gridCol w:w="11287"/>
      </w:tblGrid>
      <w:tr w:rsidR="001C2F95" w:rsidRPr="001857F5" w14:paraId="3193AF55" w14:textId="77777777" w:rsidTr="00971FD2">
        <w:trPr>
          <w:trHeight w:val="414"/>
          <w:tblHeader/>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C2D69B"/>
            <w:tcMar>
              <w:left w:w="108" w:type="dxa"/>
            </w:tcMar>
          </w:tcPr>
          <w:p w14:paraId="4060E982" w14:textId="77777777" w:rsidR="001C2F95" w:rsidRPr="001857F5" w:rsidRDefault="001C2F95" w:rsidP="00971FD2">
            <w:pPr>
              <w:jc w:val="center"/>
              <w:rPr>
                <w:rFonts w:eastAsia="Calibri" w:cs="Arial"/>
                <w:b/>
                <w:sz w:val="22"/>
              </w:rPr>
            </w:pPr>
            <w:r w:rsidRPr="001857F5">
              <w:rPr>
                <w:rFonts w:eastAsia="Calibri" w:cs="Arial"/>
                <w:b/>
                <w:sz w:val="22"/>
              </w:rPr>
              <w:t>Secteur</w:t>
            </w:r>
          </w:p>
        </w:tc>
        <w:tc>
          <w:tcPr>
            <w:tcW w:w="11287" w:type="dxa"/>
            <w:tcBorders>
              <w:top w:val="single" w:sz="4" w:space="0" w:color="000001"/>
              <w:left w:val="single" w:sz="4" w:space="0" w:color="000001"/>
              <w:bottom w:val="single" w:sz="4" w:space="0" w:color="000001"/>
              <w:right w:val="single" w:sz="4" w:space="0" w:color="000001"/>
            </w:tcBorders>
            <w:shd w:val="clear" w:color="auto" w:fill="C2D69B"/>
          </w:tcPr>
          <w:p w14:paraId="60EAFA5D" w14:textId="77777777" w:rsidR="001C2F95" w:rsidRPr="001857F5" w:rsidRDefault="001C2F95" w:rsidP="00971FD2">
            <w:pPr>
              <w:jc w:val="center"/>
              <w:rPr>
                <w:rFonts w:eastAsia="Calibri" w:cs="Arial"/>
                <w:b/>
                <w:sz w:val="22"/>
              </w:rPr>
            </w:pPr>
            <w:r w:rsidRPr="001857F5">
              <w:rPr>
                <w:rFonts w:eastAsia="Calibri" w:cs="Arial"/>
                <w:b/>
                <w:sz w:val="22"/>
              </w:rPr>
              <w:t>Province du Nord-Kivu</w:t>
            </w:r>
          </w:p>
        </w:tc>
      </w:tr>
      <w:tr w:rsidR="001C2F95" w:rsidRPr="001857F5" w14:paraId="556A3F20" w14:textId="77777777" w:rsidTr="00971FD2">
        <w:trPr>
          <w:trHeight w:val="276"/>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9BA18CA" w14:textId="77777777" w:rsidR="001C2F95" w:rsidRPr="001857F5" w:rsidRDefault="001C2F95" w:rsidP="00971FD2">
            <w:pPr>
              <w:rPr>
                <w:rFonts w:cs="Arial"/>
                <w:b/>
                <w:iCs/>
                <w:color w:val="000000"/>
                <w:sz w:val="22"/>
              </w:rPr>
            </w:pPr>
            <w:r w:rsidRPr="001857F5">
              <w:rPr>
                <w:rFonts w:cs="Arial"/>
                <w:b/>
                <w:iCs/>
                <w:color w:val="000000"/>
                <w:sz w:val="22"/>
              </w:rPr>
              <w:t>Situation géographique</w:t>
            </w:r>
          </w:p>
        </w:tc>
        <w:tc>
          <w:tcPr>
            <w:tcW w:w="11287" w:type="dxa"/>
            <w:tcBorders>
              <w:top w:val="single" w:sz="4" w:space="0" w:color="000001"/>
              <w:left w:val="single" w:sz="4" w:space="0" w:color="000001"/>
              <w:bottom w:val="single" w:sz="4" w:space="0" w:color="000001"/>
              <w:right w:val="single" w:sz="4" w:space="0" w:color="000001"/>
            </w:tcBorders>
          </w:tcPr>
          <w:p w14:paraId="4355A6BE" w14:textId="77777777" w:rsidR="001C2F95" w:rsidRPr="001857F5" w:rsidRDefault="001C2F95" w:rsidP="00971FD2">
            <w:pPr>
              <w:textAlignment w:val="baseline"/>
              <w:rPr>
                <w:rFonts w:cs="Arial"/>
                <w:b/>
                <w:i/>
                <w:color w:val="000000"/>
                <w:sz w:val="22"/>
              </w:rPr>
            </w:pPr>
            <w:r w:rsidRPr="001857F5">
              <w:rPr>
                <w:rFonts w:cs="Arial"/>
                <w:b/>
                <w:i/>
                <w:color w:val="000000"/>
                <w:sz w:val="22"/>
              </w:rPr>
              <w:t>Localisation </w:t>
            </w:r>
          </w:p>
          <w:p w14:paraId="47EAAB0D" w14:textId="77777777" w:rsidR="001C2F95" w:rsidRPr="001857F5" w:rsidRDefault="001C2F95" w:rsidP="00971FD2">
            <w:pPr>
              <w:textAlignment w:val="baseline"/>
              <w:rPr>
                <w:rFonts w:cs="Arial"/>
                <w:color w:val="000000"/>
                <w:sz w:val="22"/>
              </w:rPr>
            </w:pPr>
            <w:r w:rsidRPr="001857F5">
              <w:rPr>
                <w:rFonts w:cs="Arial"/>
                <w:color w:val="000000"/>
                <w:sz w:val="22"/>
              </w:rPr>
              <w:t>La Province du Nord-Kivu est située à cheval sur l’Equateur. Elle est comprise entre 0° 58’ de latitude Nord et       02° 03’ de latitude Sud et entre 27°14’ de longitude Ouest et 29° 58’ de longitude Est. Elle est limitée à l’Est par les Républiques de l’Ouganda et du Rwanda (Sud-Est), au Nord et à l’Ouest par la Province de Tshopo, au Sud-Ouest par la Province du Maniema et au Sud par la Province du Sud-Kivu. Sa superficie est de 59 631 km</w:t>
            </w:r>
            <w:r w:rsidRPr="001857F5">
              <w:rPr>
                <w:rFonts w:cs="Arial"/>
                <w:color w:val="000000"/>
                <w:sz w:val="22"/>
                <w:vertAlign w:val="superscript"/>
              </w:rPr>
              <w:t>2</w:t>
            </w:r>
            <w:r w:rsidRPr="001857F5">
              <w:rPr>
                <w:rFonts w:cs="Arial"/>
                <w:color w:val="000000"/>
                <w:sz w:val="22"/>
              </w:rPr>
              <w:t xml:space="preserve">, soit environ 2,5 % de l’étendue du territoire national. Le relief du Nord-Kivu est très accidenté. L’altitude varie de moins de 800 m à plus de 2 500 m. Certains sommets atteignent plus de 5 000 m. Ce relief est formé des plaines, des plateaux et des chaînes de montagne. Les plaines alluviales s’étendent du Nord au Sud du Lac Edouard. Il s’agit, respectivement, des plaines alluviales de la Semliki et des Rwindi- Rutshuru. Les Rives occidentales du Lac Edouard se heurtent à un escarpement abrupt, dont le prolongement vers le Sud, en bordure de la plaine des Rwindi-Rutshuru est connu sous le nom d’escarpement de Kabasha. </w:t>
            </w:r>
          </w:p>
          <w:p w14:paraId="10B0FE5F" w14:textId="77777777" w:rsidR="001C2F95" w:rsidRPr="001857F5" w:rsidRDefault="001C2F95" w:rsidP="00971FD2">
            <w:pPr>
              <w:rPr>
                <w:rFonts w:cs="Arial"/>
                <w:color w:val="000000"/>
                <w:sz w:val="22"/>
              </w:rPr>
            </w:pPr>
          </w:p>
          <w:p w14:paraId="711B4485" w14:textId="77777777" w:rsidR="001C2F95" w:rsidRPr="001857F5" w:rsidRDefault="001C2F95" w:rsidP="00971FD2">
            <w:pPr>
              <w:textAlignment w:val="baseline"/>
              <w:rPr>
                <w:rFonts w:cs="Arial"/>
                <w:b/>
                <w:i/>
                <w:color w:val="000000"/>
                <w:sz w:val="22"/>
              </w:rPr>
            </w:pPr>
            <w:r w:rsidRPr="001857F5">
              <w:rPr>
                <w:rFonts w:cs="Arial"/>
                <w:b/>
                <w:i/>
                <w:color w:val="000000"/>
                <w:sz w:val="22"/>
              </w:rPr>
              <w:t>Climat et saisons </w:t>
            </w:r>
          </w:p>
          <w:p w14:paraId="3E20A37E" w14:textId="77777777" w:rsidR="001C2F95" w:rsidRPr="001857F5" w:rsidRDefault="001C2F95" w:rsidP="00971FD2">
            <w:pPr>
              <w:textAlignment w:val="baseline"/>
              <w:rPr>
                <w:rFonts w:cs="Arial"/>
                <w:color w:val="000000"/>
                <w:sz w:val="22"/>
              </w:rPr>
            </w:pPr>
            <w:r w:rsidRPr="001857F5">
              <w:rPr>
                <w:rFonts w:cs="Arial"/>
                <w:color w:val="000000"/>
                <w:sz w:val="22"/>
              </w:rPr>
              <w:t>Le climat d’altitude et le relief confèrent aux sols du Nord- Kivu une certaine complexité. On pourrait néanmoins diviser les sols du Nord- Kivu en trois grandes classes : les sols volcaniques récents (entre Goma et Rutshuru) ; les sols des plaines alluviales (dans les plaines de la Semliki) et les sols des roches anciennes (Rutshuru).</w:t>
            </w:r>
          </w:p>
          <w:p w14:paraId="052CF850" w14:textId="77777777" w:rsidR="001C2F95" w:rsidRPr="001857F5" w:rsidRDefault="001C2F95" w:rsidP="00971FD2">
            <w:pPr>
              <w:textAlignment w:val="baseline"/>
              <w:rPr>
                <w:rFonts w:cs="Arial"/>
                <w:color w:val="000000"/>
                <w:sz w:val="22"/>
              </w:rPr>
            </w:pPr>
          </w:p>
          <w:p w14:paraId="293EB8E1" w14:textId="77777777" w:rsidR="001C2F95" w:rsidRPr="001857F5" w:rsidRDefault="001C2F95" w:rsidP="00971FD2">
            <w:pPr>
              <w:textAlignment w:val="baseline"/>
              <w:rPr>
                <w:rFonts w:cs="Arial"/>
                <w:color w:val="000000"/>
                <w:sz w:val="22"/>
              </w:rPr>
            </w:pPr>
            <w:r w:rsidRPr="001857F5">
              <w:rPr>
                <w:rFonts w:cs="Arial"/>
                <w:color w:val="000000"/>
                <w:sz w:val="22"/>
              </w:rPr>
              <w:t>L’hétérogénéité du relief amène une grande variété de climats. D’une manière générale, on observe une corrélation étroite entre l’altitude et la température moyenne. En-dessous de 1 000 m, cette température est voisine de 23° C. A 1 500 m, on enregistre quelques 19° C et à 2 000 m, 15° C environ.  La pluviométrie moyenne varie entre 1.000 mm et 2 000 mm. Les précipitations mensuelles les plus faibles sont enregistrées entre janvier et février et entre juillet et août. Quatre saisons caractérisent le climat du Nord- Kivu : deux saisons humides et deux saisons sèches.</w:t>
            </w:r>
          </w:p>
          <w:p w14:paraId="664762D5" w14:textId="77777777" w:rsidR="001C2F95" w:rsidRPr="001857F5" w:rsidRDefault="001C2F95" w:rsidP="00971FD2">
            <w:pPr>
              <w:textAlignment w:val="baseline"/>
              <w:rPr>
                <w:rFonts w:cs="Arial"/>
                <w:b/>
                <w:color w:val="000000"/>
                <w:sz w:val="22"/>
              </w:rPr>
            </w:pPr>
          </w:p>
          <w:p w14:paraId="5BA77013" w14:textId="77777777" w:rsidR="001C2F95" w:rsidRPr="001857F5" w:rsidRDefault="001C2F95" w:rsidP="00971FD2">
            <w:pPr>
              <w:textAlignment w:val="baseline"/>
              <w:rPr>
                <w:rFonts w:cs="Arial"/>
                <w:b/>
                <w:i/>
                <w:color w:val="000000"/>
                <w:sz w:val="22"/>
              </w:rPr>
            </w:pPr>
            <w:r w:rsidRPr="001857F5">
              <w:rPr>
                <w:rFonts w:cs="Arial"/>
                <w:b/>
                <w:i/>
                <w:color w:val="000000"/>
                <w:sz w:val="22"/>
              </w:rPr>
              <w:t>Hydrographie</w:t>
            </w:r>
          </w:p>
          <w:p w14:paraId="41837BEB" w14:textId="77777777" w:rsidR="001C2F95" w:rsidRPr="001857F5" w:rsidRDefault="001C2F95" w:rsidP="00971FD2">
            <w:pPr>
              <w:textAlignment w:val="baseline"/>
              <w:rPr>
                <w:rFonts w:cs="Arial"/>
                <w:color w:val="000000"/>
                <w:sz w:val="22"/>
              </w:rPr>
            </w:pPr>
            <w:r w:rsidRPr="001857F5">
              <w:rPr>
                <w:rFonts w:cs="Arial"/>
                <w:color w:val="000000"/>
                <w:sz w:val="22"/>
              </w:rPr>
              <w:t>L‛hydrographie du Nord-Kivu est dominée par l‛existence de deux grands lacs à savoir Lac Édouard et Lac Kivu. Le Lac Édouard : il a une superficie de 2 150 km</w:t>
            </w:r>
            <w:r w:rsidRPr="001857F5">
              <w:rPr>
                <w:rFonts w:cs="Arial"/>
                <w:color w:val="000000"/>
                <w:sz w:val="22"/>
                <w:vertAlign w:val="superscript"/>
              </w:rPr>
              <w:t>2</w:t>
            </w:r>
            <w:r w:rsidRPr="001857F5">
              <w:rPr>
                <w:rFonts w:cs="Arial"/>
                <w:color w:val="000000"/>
                <w:sz w:val="22"/>
              </w:rPr>
              <w:t xml:space="preserve"> dont 1 630 km</w:t>
            </w:r>
            <w:r w:rsidRPr="001857F5">
              <w:rPr>
                <w:rFonts w:cs="Arial"/>
                <w:color w:val="000000"/>
                <w:sz w:val="22"/>
                <w:vertAlign w:val="superscript"/>
              </w:rPr>
              <w:t>2</w:t>
            </w:r>
            <w:r w:rsidRPr="001857F5">
              <w:rPr>
                <w:rFonts w:cs="Arial"/>
                <w:color w:val="000000"/>
                <w:sz w:val="22"/>
              </w:rPr>
              <w:t xml:space="preserve"> pour la partie congolaise, avec une profondeur moyenne de 30 m. ce lac est très poissonneux et constitue une source importante de revenus pour les familles riveraines. Le Lac Kivu : il est le plus haut de l‛Afrique Centrale parce qu‛il se trouve pittoresquement situé à                  1 460 m d‛altitude dans la fosse limitée par les hauts volcans des Virunga. Sa superficie est de 2 700 km</w:t>
            </w:r>
            <w:r w:rsidRPr="001857F5">
              <w:rPr>
                <w:rFonts w:cs="Arial"/>
                <w:color w:val="000000"/>
                <w:sz w:val="22"/>
                <w:vertAlign w:val="superscript"/>
              </w:rPr>
              <w:t>2</w:t>
            </w:r>
            <w:r w:rsidRPr="001857F5">
              <w:rPr>
                <w:rFonts w:cs="Arial"/>
                <w:color w:val="000000"/>
                <w:sz w:val="22"/>
              </w:rPr>
              <w:t xml:space="preserve"> pour la partie congolaise avec une profondeur moyenne de 285 m. Contrairement au Lac Edouard, le Lac Kivu est peu poissonneux. Les Lacs Mokotos : il s‛agit de quatre lacs dénommés respectivement Ndalaha, Lukulu, Mbalukia et Mbila. Ensemble, ils couvrent une superficie de 86 km</w:t>
            </w:r>
            <w:r w:rsidRPr="001857F5">
              <w:rPr>
                <w:rFonts w:cs="Arial"/>
                <w:color w:val="000000"/>
                <w:sz w:val="22"/>
                <w:vertAlign w:val="superscript"/>
              </w:rPr>
              <w:t>2</w:t>
            </w:r>
            <w:r w:rsidRPr="001857F5">
              <w:rPr>
                <w:rFonts w:cs="Arial"/>
                <w:color w:val="000000"/>
                <w:sz w:val="22"/>
              </w:rPr>
              <w:t xml:space="preserve"> et sont situés à côté du Monastère du même nom, en Chefferie de Bashali, Territoire de Masisi. Le réseau hydrographique comprend aussi les rivières suivantes : Rutshuru, Rwindi, Semliki, Osso et Lowa. </w:t>
            </w:r>
          </w:p>
          <w:p w14:paraId="6C35B93D" w14:textId="77777777" w:rsidR="001C2F95" w:rsidRPr="001857F5" w:rsidRDefault="001C2F95" w:rsidP="00971FD2">
            <w:pPr>
              <w:textAlignment w:val="baseline"/>
              <w:rPr>
                <w:rFonts w:cs="Arial"/>
                <w:color w:val="000000"/>
                <w:sz w:val="22"/>
              </w:rPr>
            </w:pPr>
          </w:p>
          <w:p w14:paraId="64105551" w14:textId="77777777" w:rsidR="001C2F95" w:rsidRPr="001857F5" w:rsidRDefault="001C2F95" w:rsidP="00971FD2">
            <w:pPr>
              <w:textAlignment w:val="baseline"/>
              <w:rPr>
                <w:rFonts w:cs="Arial"/>
                <w:b/>
                <w:i/>
                <w:color w:val="000000"/>
                <w:sz w:val="22"/>
              </w:rPr>
            </w:pPr>
            <w:r w:rsidRPr="001857F5">
              <w:rPr>
                <w:rFonts w:cs="Arial"/>
                <w:b/>
                <w:i/>
                <w:color w:val="000000"/>
                <w:sz w:val="22"/>
              </w:rPr>
              <w:t>Relief et sol</w:t>
            </w:r>
          </w:p>
          <w:p w14:paraId="61A5DD84" w14:textId="77777777" w:rsidR="001C2F95" w:rsidRPr="001857F5" w:rsidRDefault="001C2F95" w:rsidP="00971FD2">
            <w:pPr>
              <w:textAlignment w:val="baseline"/>
              <w:rPr>
                <w:rFonts w:cs="Arial"/>
                <w:color w:val="000000"/>
                <w:sz w:val="22"/>
              </w:rPr>
            </w:pPr>
            <w:r w:rsidRPr="001857F5">
              <w:rPr>
                <w:rFonts w:cs="Arial"/>
                <w:color w:val="000000"/>
                <w:sz w:val="22"/>
              </w:rPr>
              <w:t>Le climat d‛altitude et le relief confèrent aux sols du Nord- Kivu une certaine complexité. On pourrait néanmoins diviser les sols du Nord- Kivu en trois grandes classes : Les sols volcaniques récents : provenant des coulées de lave de volcans. Les coulées récentes ne permettent pas encore à l‛agriculture de s‛y installer ; tandis que dans les coulées plus anciennes, la lave est particulièrement décomposée et forme un sol parfois encore superficiel mais très fertile. Ces sols se retrouvent entre Goma et Rutshuru. Les sols des plaines alluviales : ces sols se retrouvent dans les plaines de la Semliki et proviennent des dépôts lacustres, de la Rivière Semliki et de ses affluents. Les sols des roches anciennes : ces sols sont très profonds et riches en humus. Ils sont assez argileux et peu compacts et disposent, en surface, d‛une importante réserve de matières organiques. Le plus haut sommet est le Ruwenzori.</w:t>
            </w:r>
          </w:p>
          <w:p w14:paraId="332FE9AB" w14:textId="77777777" w:rsidR="001C2F95" w:rsidRPr="001857F5" w:rsidRDefault="001C2F95" w:rsidP="00971FD2">
            <w:pPr>
              <w:textAlignment w:val="baseline"/>
              <w:rPr>
                <w:rFonts w:cs="Arial"/>
                <w:color w:val="000000"/>
                <w:sz w:val="22"/>
              </w:rPr>
            </w:pPr>
          </w:p>
          <w:p w14:paraId="5024215B" w14:textId="77777777" w:rsidR="001C2F95" w:rsidRPr="001857F5" w:rsidRDefault="001C2F95" w:rsidP="00971FD2">
            <w:pPr>
              <w:textAlignment w:val="baseline"/>
              <w:rPr>
                <w:rFonts w:cs="Arial"/>
                <w:b/>
                <w:i/>
                <w:color w:val="000000"/>
                <w:sz w:val="22"/>
              </w:rPr>
            </w:pPr>
            <w:r w:rsidRPr="001857F5">
              <w:rPr>
                <w:rFonts w:cs="Arial"/>
                <w:b/>
                <w:i/>
                <w:color w:val="000000"/>
                <w:sz w:val="22"/>
              </w:rPr>
              <w:t>Faune</w:t>
            </w:r>
          </w:p>
          <w:p w14:paraId="152090E7" w14:textId="77777777" w:rsidR="001C2F95" w:rsidRPr="001857F5" w:rsidRDefault="001C2F95" w:rsidP="00971FD2">
            <w:pPr>
              <w:textAlignment w:val="baseline"/>
              <w:rPr>
                <w:rFonts w:cs="Arial"/>
                <w:sz w:val="22"/>
              </w:rPr>
            </w:pPr>
            <w:r w:rsidRPr="001857F5">
              <w:rPr>
                <w:rFonts w:cs="Arial"/>
                <w:color w:val="333333"/>
                <w:sz w:val="22"/>
                <w:shd w:val="clear" w:color="auto" w:fill="FFFFFF"/>
              </w:rPr>
              <w:t xml:space="preserve">La Province du Nord-Kivu comporte divers types de végétation qui abrite également une faune diversifiée : </w:t>
            </w:r>
            <w:r w:rsidRPr="001857F5">
              <w:rPr>
                <w:rFonts w:cs="Arial"/>
                <w:b/>
                <w:color w:val="333333"/>
                <w:sz w:val="22"/>
                <w:shd w:val="clear" w:color="auto" w:fill="FFFFFF"/>
              </w:rPr>
              <w:t>Mamifères :</w:t>
            </w:r>
            <w:r w:rsidRPr="001857F5">
              <w:rPr>
                <w:rFonts w:cs="Arial"/>
                <w:color w:val="333333"/>
                <w:sz w:val="22"/>
                <w:shd w:val="clear" w:color="auto" w:fill="FFFFFF"/>
              </w:rPr>
              <w:t xml:space="preserve"> </w:t>
            </w:r>
            <w:r w:rsidRPr="001857F5">
              <w:rPr>
                <w:rFonts w:cs="Arial"/>
                <w:sz w:val="22"/>
              </w:rPr>
              <w:t>Vache, Antilope, Chien, Chèvre, Singe mona de dent, Singe argenté, Singe doré</w:t>
            </w:r>
            <w:r w:rsidRPr="001857F5">
              <w:rPr>
                <w:rFonts w:cs="Arial"/>
                <w:sz w:val="22"/>
                <w:vertAlign w:val="superscript"/>
              </w:rPr>
              <w:t>(+)</w:t>
            </w:r>
            <w:r w:rsidRPr="001857F5">
              <w:rPr>
                <w:rFonts w:cs="Arial"/>
                <w:sz w:val="22"/>
              </w:rPr>
              <w:t>, Singe de diadème</w:t>
            </w:r>
            <w:r w:rsidRPr="001857F5">
              <w:rPr>
                <w:rFonts w:cs="Arial"/>
                <w:sz w:val="22"/>
                <w:vertAlign w:val="superscript"/>
              </w:rPr>
              <w:t>(+)</w:t>
            </w:r>
            <w:r w:rsidRPr="001857F5">
              <w:rPr>
                <w:rFonts w:cs="Arial"/>
                <w:sz w:val="22"/>
              </w:rPr>
              <w:t>, Singe de Brazza ou noir, Rat de Gambie, Antilopes de bois</w:t>
            </w:r>
            <w:r w:rsidRPr="001857F5">
              <w:rPr>
                <w:rFonts w:cs="Arial"/>
                <w:sz w:val="22"/>
                <w:vertAlign w:val="superscript"/>
              </w:rPr>
              <w:t>(+)</w:t>
            </w:r>
            <w:r w:rsidRPr="001857F5">
              <w:rPr>
                <w:rFonts w:cs="Arial"/>
                <w:sz w:val="22"/>
              </w:rPr>
              <w:t>, Cob de Fassa, Cercocebe agile, Civette, Colobe d’Angola, Gazelle, Gorille</w:t>
            </w:r>
            <w:r w:rsidRPr="001857F5">
              <w:rPr>
                <w:rFonts w:cs="Arial"/>
                <w:sz w:val="22"/>
                <w:vertAlign w:val="superscript"/>
              </w:rPr>
              <w:t>(+)</w:t>
            </w:r>
            <w:r w:rsidRPr="001857F5">
              <w:rPr>
                <w:rFonts w:cs="Arial"/>
                <w:sz w:val="22"/>
              </w:rPr>
              <w:t>, Chat, Hippopotame</w:t>
            </w:r>
            <w:r w:rsidRPr="001857F5">
              <w:rPr>
                <w:rFonts w:cs="Arial"/>
                <w:sz w:val="22"/>
                <w:vertAlign w:val="superscript"/>
              </w:rPr>
              <w:t>(+)</w:t>
            </w:r>
            <w:r w:rsidRPr="001857F5">
              <w:rPr>
                <w:rFonts w:cs="Arial"/>
                <w:sz w:val="22"/>
              </w:rPr>
              <w:t>, Antiloppe naine, Hylochère, Porc-Epic, Cob, Lièvre, Lièvre africain de savane, Eléphant de savane</w:t>
            </w:r>
            <w:r w:rsidRPr="001857F5">
              <w:rPr>
                <w:rFonts w:cs="Arial"/>
                <w:sz w:val="22"/>
                <w:vertAlign w:val="superscript"/>
              </w:rPr>
              <w:t>(+)</w:t>
            </w:r>
            <w:r w:rsidRPr="001857F5">
              <w:rPr>
                <w:rFonts w:cs="Arial"/>
                <w:sz w:val="22"/>
              </w:rPr>
              <w:t>, Pangolin</w:t>
            </w:r>
            <w:r w:rsidRPr="001857F5">
              <w:rPr>
                <w:rFonts w:cs="Arial"/>
                <w:sz w:val="22"/>
                <w:vertAlign w:val="superscript"/>
              </w:rPr>
              <w:t>(+)</w:t>
            </w:r>
            <w:r w:rsidRPr="001857F5">
              <w:rPr>
                <w:rFonts w:cs="Arial"/>
                <w:sz w:val="22"/>
              </w:rPr>
              <w:t>, Okapi</w:t>
            </w:r>
            <w:r w:rsidRPr="001857F5">
              <w:rPr>
                <w:rFonts w:cs="Arial"/>
                <w:sz w:val="22"/>
                <w:vertAlign w:val="superscript"/>
              </w:rPr>
              <w:t>(+)</w:t>
            </w:r>
            <w:r w:rsidRPr="001857F5">
              <w:rPr>
                <w:rFonts w:cs="Arial"/>
                <w:sz w:val="22"/>
              </w:rPr>
              <w:t>, Mouton, Chimpanzé</w:t>
            </w:r>
            <w:r w:rsidRPr="001857F5">
              <w:rPr>
                <w:rFonts w:cs="Arial"/>
                <w:sz w:val="22"/>
                <w:vertAlign w:val="superscript"/>
              </w:rPr>
              <w:t>(+)</w:t>
            </w:r>
            <w:r w:rsidRPr="001857F5">
              <w:rPr>
                <w:rFonts w:cs="Arial"/>
                <w:sz w:val="22"/>
              </w:rPr>
              <w:t>, Lion</w:t>
            </w:r>
            <w:r w:rsidRPr="001857F5">
              <w:rPr>
                <w:rFonts w:cs="Arial"/>
                <w:sz w:val="22"/>
                <w:vertAlign w:val="superscript"/>
              </w:rPr>
              <w:t>(+)</w:t>
            </w:r>
            <w:r w:rsidRPr="001857F5">
              <w:rPr>
                <w:rFonts w:cs="Arial"/>
                <w:sz w:val="22"/>
              </w:rPr>
              <w:t>, Léopard</w:t>
            </w:r>
            <w:r w:rsidRPr="001857F5">
              <w:rPr>
                <w:rFonts w:cs="Arial"/>
                <w:sz w:val="22"/>
                <w:vertAlign w:val="superscript"/>
              </w:rPr>
              <w:t>(+)</w:t>
            </w:r>
            <w:r w:rsidRPr="001857F5">
              <w:rPr>
                <w:rFonts w:cs="Arial"/>
                <w:sz w:val="22"/>
              </w:rPr>
              <w:t>, Babouin doguera, Chat de brousse, Phacochère, Potamochère</w:t>
            </w:r>
            <w:r w:rsidRPr="001857F5">
              <w:rPr>
                <w:rFonts w:cs="Arial"/>
                <w:sz w:val="22"/>
                <w:vertAlign w:val="superscript"/>
              </w:rPr>
              <w:t>(+)</w:t>
            </w:r>
            <w:r w:rsidRPr="001857F5">
              <w:rPr>
                <w:rFonts w:cs="Arial"/>
                <w:sz w:val="22"/>
              </w:rPr>
              <w:t>, Chat doré d’Afrique, Ecureil, Buffle</w:t>
            </w:r>
            <w:r w:rsidRPr="001857F5">
              <w:rPr>
                <w:rFonts w:cs="Arial"/>
                <w:sz w:val="22"/>
                <w:vertAlign w:val="superscript"/>
              </w:rPr>
              <w:t>(+)</w:t>
            </w:r>
            <w:r w:rsidRPr="001857F5">
              <w:rPr>
                <w:rFonts w:cs="Arial"/>
                <w:sz w:val="22"/>
              </w:rPr>
              <w:t xml:space="preserve">, Rat-taupe, Guib harnaché, Sitatunga, Aulacode, Renard ; </w:t>
            </w:r>
            <w:r w:rsidRPr="001857F5">
              <w:rPr>
                <w:rFonts w:cs="Arial"/>
                <w:b/>
                <w:sz w:val="22"/>
              </w:rPr>
              <w:t xml:space="preserve">Reptiles : </w:t>
            </w:r>
            <w:r w:rsidRPr="001857F5">
              <w:rPr>
                <w:rFonts w:cs="Arial"/>
                <w:sz w:val="22"/>
              </w:rPr>
              <w:t>Agame</w:t>
            </w:r>
            <w:r w:rsidRPr="001857F5">
              <w:rPr>
                <w:rFonts w:cs="Arial"/>
                <w:sz w:val="22"/>
                <w:vertAlign w:val="superscript"/>
              </w:rPr>
              <w:t>(+)</w:t>
            </w:r>
            <w:r w:rsidRPr="001857F5">
              <w:rPr>
                <w:rFonts w:cs="Arial"/>
                <w:sz w:val="22"/>
              </w:rPr>
              <w:t>, Vipère, Caméléon</w:t>
            </w:r>
            <w:r w:rsidRPr="001857F5">
              <w:rPr>
                <w:rFonts w:cs="Arial"/>
                <w:sz w:val="22"/>
                <w:vertAlign w:val="superscript"/>
              </w:rPr>
              <w:t>(+)</w:t>
            </w:r>
            <w:r w:rsidRPr="001857F5">
              <w:rPr>
                <w:rFonts w:cs="Arial"/>
                <w:sz w:val="22"/>
              </w:rPr>
              <w:t>, Gecko</w:t>
            </w:r>
            <w:r w:rsidRPr="001857F5">
              <w:rPr>
                <w:rFonts w:cs="Arial"/>
                <w:sz w:val="22"/>
                <w:vertAlign w:val="superscript"/>
              </w:rPr>
              <w:t>(+)</w:t>
            </w:r>
            <w:r w:rsidRPr="001857F5">
              <w:rPr>
                <w:rFonts w:cs="Arial"/>
                <w:sz w:val="22"/>
              </w:rPr>
              <w:t>, Lézard ordinaire, Lézard vert, Leazard</w:t>
            </w:r>
            <w:r w:rsidRPr="001857F5">
              <w:rPr>
                <w:rFonts w:cs="Arial"/>
                <w:sz w:val="22"/>
                <w:vertAlign w:val="superscript"/>
              </w:rPr>
              <w:t>(+)</w:t>
            </w:r>
            <w:r w:rsidRPr="001857F5">
              <w:rPr>
                <w:rFonts w:cs="Arial"/>
                <w:sz w:val="22"/>
              </w:rPr>
              <w:t>, Tortue</w:t>
            </w:r>
            <w:r w:rsidRPr="001857F5">
              <w:rPr>
                <w:rFonts w:cs="Arial"/>
                <w:sz w:val="22"/>
                <w:vertAlign w:val="superscript"/>
              </w:rPr>
              <w:t>(+)</w:t>
            </w:r>
            <w:r w:rsidRPr="001857F5">
              <w:rPr>
                <w:rFonts w:cs="Arial"/>
                <w:sz w:val="22"/>
              </w:rPr>
              <w:t>, Python, Serpent noir, Lézzard</w:t>
            </w:r>
            <w:r w:rsidRPr="001857F5">
              <w:rPr>
                <w:rFonts w:cs="Arial"/>
                <w:sz w:val="22"/>
                <w:vertAlign w:val="superscript"/>
              </w:rPr>
              <w:t>(+)</w:t>
            </w:r>
            <w:r w:rsidRPr="001857F5">
              <w:rPr>
                <w:rFonts w:cs="Arial"/>
                <w:sz w:val="22"/>
              </w:rPr>
              <w:t xml:space="preserve"> ; </w:t>
            </w:r>
            <w:r w:rsidRPr="001857F5">
              <w:rPr>
                <w:rFonts w:cs="Arial"/>
                <w:b/>
                <w:sz w:val="22"/>
              </w:rPr>
              <w:t>Faune aviaire :</w:t>
            </w:r>
            <w:r w:rsidRPr="001857F5">
              <w:rPr>
                <w:rFonts w:cs="Arial"/>
                <w:sz w:val="22"/>
              </w:rPr>
              <w:t xml:space="preserve"> Canard, Canard d'eau, Heron goliath, Hirondelles, Bec-à-sabot, Hibou, Aiglette</w:t>
            </w:r>
            <w:r w:rsidRPr="001857F5">
              <w:rPr>
                <w:rFonts w:cs="Arial"/>
                <w:sz w:val="22"/>
                <w:vertAlign w:val="superscript"/>
              </w:rPr>
              <w:t>(+)</w:t>
            </w:r>
            <w:r w:rsidRPr="001857F5">
              <w:rPr>
                <w:rFonts w:cs="Arial"/>
                <w:sz w:val="22"/>
              </w:rPr>
              <w:t xml:space="preserve">, Poule, iglette pécheur, Heron plongio nain, Epervier, Pintades, Bec-à-ciseaux, Perdrix, Moineau, Tisserand, Pigeon ordinaire, Pigeon sauvage, Pelican, Corbeau, Marabout, Vaneau à tête noire, Vanneau couronne, Flamant rose, Martin pécheur ; </w:t>
            </w:r>
            <w:r w:rsidRPr="001857F5">
              <w:rPr>
                <w:rFonts w:cs="Arial"/>
                <w:b/>
                <w:sz w:val="22"/>
              </w:rPr>
              <w:t>Faune aquatique</w:t>
            </w:r>
            <w:r w:rsidRPr="001857F5">
              <w:rPr>
                <w:rFonts w:cs="Arial"/>
                <w:sz w:val="22"/>
              </w:rPr>
              <w:t xml:space="preserve"> : Bidet, Carpes, Goujon, Crevette, Crabe, Anguille jaune, Anguille noire, Poisson chat, Grand poisson chat, Tilapia noire, Tilapia rouge ; </w:t>
            </w:r>
            <w:r w:rsidRPr="001857F5">
              <w:rPr>
                <w:rFonts w:cs="Arial"/>
                <w:b/>
                <w:sz w:val="22"/>
              </w:rPr>
              <w:t xml:space="preserve">batraciens : </w:t>
            </w:r>
            <w:r w:rsidRPr="001857F5">
              <w:rPr>
                <w:rFonts w:cs="Arial"/>
                <w:sz w:val="22"/>
              </w:rPr>
              <w:t xml:space="preserve">Crapaud, Grenouilles ; </w:t>
            </w:r>
            <w:r w:rsidRPr="001857F5">
              <w:rPr>
                <w:rFonts w:cs="Arial"/>
                <w:b/>
                <w:sz w:val="22"/>
              </w:rPr>
              <w:t>Myriapoda</w:t>
            </w:r>
            <w:r w:rsidRPr="001857F5">
              <w:rPr>
                <w:rFonts w:cs="Arial"/>
                <w:sz w:val="22"/>
              </w:rPr>
              <w:t xml:space="preserve"> : Milles pattes ; </w:t>
            </w:r>
            <w:r w:rsidRPr="001857F5">
              <w:rPr>
                <w:rFonts w:cs="Arial"/>
                <w:b/>
                <w:sz w:val="22"/>
              </w:rPr>
              <w:t xml:space="preserve">Mollusques : </w:t>
            </w:r>
            <w:r w:rsidRPr="001857F5">
              <w:rPr>
                <w:rFonts w:cs="Arial"/>
                <w:sz w:val="22"/>
              </w:rPr>
              <w:t xml:space="preserve">Escargots. </w:t>
            </w:r>
          </w:p>
          <w:p w14:paraId="1D63B687" w14:textId="77777777" w:rsidR="001C2F95" w:rsidRPr="001857F5" w:rsidRDefault="001C2F95" w:rsidP="00971FD2">
            <w:pPr>
              <w:textAlignment w:val="baseline"/>
              <w:rPr>
                <w:rFonts w:cs="Arial"/>
                <w:sz w:val="22"/>
              </w:rPr>
            </w:pPr>
            <w:r w:rsidRPr="001857F5">
              <w:rPr>
                <w:rFonts w:cs="Arial"/>
                <w:b/>
                <w:sz w:val="22"/>
              </w:rPr>
              <w:t>Légende </w:t>
            </w:r>
            <w:r w:rsidRPr="001857F5">
              <w:rPr>
                <w:rFonts w:cs="Arial"/>
                <w:sz w:val="22"/>
              </w:rPr>
              <w:t xml:space="preserve">: </w:t>
            </w:r>
            <w:r w:rsidRPr="001857F5">
              <w:rPr>
                <w:rFonts w:cs="Arial"/>
                <w:sz w:val="22"/>
                <w:vertAlign w:val="superscript"/>
              </w:rPr>
              <w:t>(+) </w:t>
            </w:r>
            <w:r w:rsidRPr="001857F5">
              <w:rPr>
                <w:rFonts w:cs="Arial"/>
                <w:sz w:val="22"/>
              </w:rPr>
              <w:t xml:space="preserve">: </w:t>
            </w:r>
            <w:r w:rsidRPr="001857F5">
              <w:rPr>
                <w:rFonts w:cs="Arial"/>
                <w:bCs/>
                <w:i/>
                <w:sz w:val="22"/>
              </w:rPr>
              <w:t>Espèces rares ou en voie de disparition</w:t>
            </w:r>
          </w:p>
          <w:p w14:paraId="155E0CE5" w14:textId="77777777" w:rsidR="001C2F95" w:rsidRDefault="001C2F95" w:rsidP="00971FD2">
            <w:pPr>
              <w:textAlignment w:val="baseline"/>
              <w:rPr>
                <w:rFonts w:cs="Arial"/>
                <w:i/>
                <w:sz w:val="22"/>
              </w:rPr>
            </w:pPr>
            <w:r w:rsidRPr="001857F5">
              <w:rPr>
                <w:rFonts w:cs="Arial"/>
                <w:i/>
                <w:sz w:val="22"/>
              </w:rPr>
              <w:t>(</w:t>
            </w:r>
            <w:r w:rsidRPr="001857F5">
              <w:rPr>
                <w:rFonts w:cs="Arial"/>
                <w:b/>
                <w:i/>
                <w:sz w:val="22"/>
              </w:rPr>
              <w:t>Source </w:t>
            </w:r>
            <w:r w:rsidRPr="001857F5">
              <w:rPr>
                <w:rFonts w:cs="Arial"/>
                <w:i/>
                <w:sz w:val="22"/>
              </w:rPr>
              <w:t>: Languy M. et De Merode E. (2006). Virunga-Survie du premier parc d’Afrique).</w:t>
            </w:r>
          </w:p>
          <w:p w14:paraId="54217B57" w14:textId="77777777" w:rsidR="00EB7F94" w:rsidRPr="001857F5" w:rsidRDefault="00EB7F94" w:rsidP="00971FD2">
            <w:pPr>
              <w:textAlignment w:val="baseline"/>
              <w:rPr>
                <w:rFonts w:cs="Arial"/>
                <w:b/>
                <w:i/>
                <w:color w:val="000000"/>
                <w:sz w:val="22"/>
              </w:rPr>
            </w:pPr>
          </w:p>
          <w:p w14:paraId="2385A3C1" w14:textId="77777777" w:rsidR="001C2F95" w:rsidRPr="001857F5" w:rsidRDefault="001C2F95" w:rsidP="00971FD2">
            <w:pPr>
              <w:textAlignment w:val="baseline"/>
              <w:rPr>
                <w:rFonts w:cs="Arial"/>
                <w:b/>
                <w:i/>
                <w:color w:val="000000"/>
                <w:sz w:val="22"/>
              </w:rPr>
            </w:pPr>
            <w:r w:rsidRPr="001857F5">
              <w:rPr>
                <w:rFonts w:cs="Arial"/>
                <w:b/>
                <w:i/>
                <w:color w:val="000000"/>
                <w:sz w:val="22"/>
              </w:rPr>
              <w:t>Végétation</w:t>
            </w:r>
          </w:p>
          <w:p w14:paraId="58E7F336" w14:textId="77777777" w:rsidR="001C2F95" w:rsidRPr="001857F5" w:rsidRDefault="001C2F95" w:rsidP="00971FD2">
            <w:pPr>
              <w:textAlignment w:val="baseline"/>
              <w:rPr>
                <w:rFonts w:cs="Arial"/>
                <w:color w:val="000000"/>
                <w:sz w:val="22"/>
              </w:rPr>
            </w:pPr>
            <w:r w:rsidRPr="001857F5">
              <w:rPr>
                <w:rFonts w:cs="Arial"/>
                <w:color w:val="000000"/>
                <w:sz w:val="22"/>
              </w:rPr>
              <w:t xml:space="preserve">Les principaux types de végétation de la Province du Nord- Kivu sont : </w:t>
            </w:r>
            <w:r w:rsidRPr="001857F5">
              <w:rPr>
                <w:rFonts w:cs="Arial"/>
                <w:i/>
                <w:color w:val="000000"/>
                <w:sz w:val="22"/>
              </w:rPr>
              <w:t>(i)</w:t>
            </w:r>
            <w:r w:rsidRPr="001857F5">
              <w:rPr>
                <w:rFonts w:cs="Arial"/>
                <w:color w:val="000000"/>
                <w:sz w:val="22"/>
              </w:rPr>
              <w:t xml:space="preserve"> les savanes dominantes dans les plaines alluviales de la Semliki et de la Rutshuru ; </w:t>
            </w:r>
            <w:r w:rsidRPr="001857F5">
              <w:rPr>
                <w:rFonts w:cs="Arial"/>
                <w:i/>
                <w:color w:val="000000"/>
                <w:sz w:val="22"/>
              </w:rPr>
              <w:t>(ii)</w:t>
            </w:r>
            <w:r w:rsidRPr="001857F5">
              <w:rPr>
                <w:rFonts w:cs="Arial"/>
                <w:color w:val="000000"/>
                <w:sz w:val="22"/>
              </w:rPr>
              <w:t xml:space="preserve"> les formations climatiques sclérophylles arbustives et forestières dans la plaine des laves au Nord du Lac Kivu ; </w:t>
            </w:r>
            <w:r w:rsidRPr="001857F5">
              <w:rPr>
                <w:rFonts w:cs="Arial"/>
                <w:i/>
                <w:color w:val="000000"/>
                <w:sz w:val="22"/>
              </w:rPr>
              <w:t xml:space="preserve">(iii) </w:t>
            </w:r>
            <w:r w:rsidRPr="001857F5">
              <w:rPr>
                <w:rFonts w:cs="Arial"/>
                <w:color w:val="000000"/>
                <w:sz w:val="22"/>
              </w:rPr>
              <w:t xml:space="preserve">les forêts ombrophiles de montagnes essentiellement dans les massifs de Ruwenzori et Virunga ; et </w:t>
            </w:r>
            <w:r w:rsidRPr="001857F5">
              <w:rPr>
                <w:rFonts w:cs="Arial"/>
                <w:i/>
                <w:color w:val="000000"/>
                <w:sz w:val="22"/>
              </w:rPr>
              <w:t>(iv)</w:t>
            </w:r>
            <w:r w:rsidRPr="001857F5">
              <w:rPr>
                <w:rFonts w:cs="Arial"/>
                <w:color w:val="000000"/>
                <w:sz w:val="22"/>
              </w:rPr>
              <w:t xml:space="preserve"> la forêt équatoriale dans les Territoires de Lubero, Masisi, Walikale et Beni.</w:t>
            </w:r>
          </w:p>
        </w:tc>
      </w:tr>
      <w:tr w:rsidR="001C2F95" w:rsidRPr="001857F5" w14:paraId="79B840F2"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80486AA" w14:textId="77777777" w:rsidR="001C2F95" w:rsidRPr="001857F5" w:rsidRDefault="001C2F95" w:rsidP="00971FD2">
            <w:pPr>
              <w:rPr>
                <w:rFonts w:eastAsia="Calibri" w:cs="Arial"/>
                <w:b/>
                <w:sz w:val="22"/>
              </w:rPr>
            </w:pPr>
            <w:r w:rsidRPr="001857F5">
              <w:rPr>
                <w:rFonts w:eastAsia="Calibri" w:cs="Arial"/>
                <w:b/>
                <w:sz w:val="22"/>
              </w:rPr>
              <w:t>Populations</w:t>
            </w:r>
          </w:p>
        </w:tc>
        <w:tc>
          <w:tcPr>
            <w:tcW w:w="11287" w:type="dxa"/>
            <w:tcBorders>
              <w:top w:val="single" w:sz="4" w:space="0" w:color="000001"/>
              <w:left w:val="single" w:sz="4" w:space="0" w:color="000001"/>
              <w:bottom w:val="single" w:sz="4" w:space="0" w:color="000001"/>
              <w:right w:val="single" w:sz="4" w:space="0" w:color="000001"/>
            </w:tcBorders>
          </w:tcPr>
          <w:p w14:paraId="10AF1202" w14:textId="77777777" w:rsidR="001C2F95" w:rsidRPr="001857F5" w:rsidRDefault="001C2F95" w:rsidP="00971FD2">
            <w:pPr>
              <w:textAlignment w:val="baseline"/>
              <w:rPr>
                <w:rFonts w:cs="Arial"/>
                <w:b/>
                <w:i/>
                <w:color w:val="000000"/>
                <w:sz w:val="22"/>
              </w:rPr>
            </w:pPr>
            <w:r w:rsidRPr="001857F5">
              <w:rPr>
                <w:rFonts w:cs="Arial"/>
                <w:b/>
                <w:i/>
                <w:color w:val="000000"/>
                <w:sz w:val="22"/>
              </w:rPr>
              <w:t xml:space="preserve">Caractéristiques démographiques </w:t>
            </w:r>
          </w:p>
          <w:p w14:paraId="27529FEF" w14:textId="77777777" w:rsidR="001C2F95" w:rsidRPr="001857F5" w:rsidRDefault="001C2F95" w:rsidP="00971FD2">
            <w:pPr>
              <w:textAlignment w:val="baseline"/>
              <w:rPr>
                <w:rFonts w:cs="Arial"/>
                <w:color w:val="000000"/>
                <w:sz w:val="22"/>
              </w:rPr>
            </w:pPr>
            <w:r w:rsidRPr="001857F5">
              <w:rPr>
                <w:rFonts w:cs="Arial"/>
                <w:color w:val="000000"/>
                <w:sz w:val="22"/>
              </w:rPr>
              <w:t>La Province du Nord – Kivu s’étend sur une surface de 59 631 km² (soit 2,5% de la superficie nationale) avec une population de 6 655 000 hab (PNDS, 2016) et une densité de 102 habitants par km². L’espérance de vie de sa population est estimée à la naissance à 43,7 ans. Son Chef-lieu est la Ville de Goma hébergeant environ 493 993 habitants.</w:t>
            </w:r>
            <w:r w:rsidRPr="001857F5">
              <w:rPr>
                <w:rFonts w:cs="Arial"/>
                <w:sz w:val="22"/>
              </w:rPr>
              <w:t xml:space="preserve"> </w:t>
            </w:r>
            <w:r w:rsidRPr="001857F5">
              <w:rPr>
                <w:rFonts w:cs="Arial"/>
                <w:color w:val="000000"/>
                <w:sz w:val="22"/>
              </w:rPr>
              <w:t>Sur le plan administratif, la Province du Nord- Kivu est subdivisée en 6 Territoires (Beni, Lubero, Rutshuru, Masisi, Nyiragongo et Walikale). Goma reste le chef-lieu, 3 Villes, 10 Communes, 17 Collectivités dont 10 Chefferies et 7 Secteurs, 97 Groupements, 5 Cités, 5 178 Villages.</w:t>
            </w:r>
          </w:p>
          <w:p w14:paraId="27CE590F" w14:textId="77777777" w:rsidR="001C2F95" w:rsidRPr="001857F5" w:rsidRDefault="001C2F95" w:rsidP="00971FD2">
            <w:pPr>
              <w:textAlignment w:val="baseline"/>
              <w:rPr>
                <w:rFonts w:cs="Arial"/>
                <w:color w:val="000000"/>
                <w:sz w:val="22"/>
              </w:rPr>
            </w:pPr>
            <w:r w:rsidRPr="001857F5">
              <w:rPr>
                <w:rFonts w:cs="Arial"/>
                <w:color w:val="000000"/>
                <w:sz w:val="22"/>
              </w:rPr>
              <w:t>L‛afflux des réfugiés rwandais en Juillet 1994 aurait encore quadruplé ces effectifs, car les estimations des réfugiés à cette époque étaient au-delà d‛un million. Au niveau des échanges migratoires inter-régionaux, les résultats du recensement scientifique de 1984 ont montré que c‛est surtout les populations du Kasaï Oriental, à l’époque, qui déferlaient dans l‛ancien Kivu. Et aujourd‛hui pour le Nord-Kivu, ce sont toujours les mêmes Kasaïens avec les Bashi du Sud-Kivu, les Banyarwandas du Rwanda et les populations de Maniema.</w:t>
            </w:r>
          </w:p>
          <w:p w14:paraId="323B67FF" w14:textId="77777777" w:rsidR="001C2F95" w:rsidRPr="001857F5" w:rsidRDefault="001C2F95" w:rsidP="00971FD2">
            <w:pPr>
              <w:textAlignment w:val="baseline"/>
              <w:rPr>
                <w:rFonts w:cs="Arial"/>
                <w:color w:val="000000"/>
                <w:sz w:val="22"/>
              </w:rPr>
            </w:pPr>
          </w:p>
          <w:p w14:paraId="2C11696B" w14:textId="77777777" w:rsidR="001C2F95" w:rsidRPr="001857F5" w:rsidRDefault="001C2F95" w:rsidP="00971FD2">
            <w:pPr>
              <w:textAlignment w:val="baseline"/>
              <w:rPr>
                <w:rFonts w:cs="Arial"/>
                <w:b/>
                <w:i/>
                <w:color w:val="000000"/>
                <w:sz w:val="22"/>
              </w:rPr>
            </w:pPr>
            <w:r w:rsidRPr="001857F5">
              <w:rPr>
                <w:rFonts w:cs="Arial"/>
                <w:b/>
                <w:i/>
                <w:color w:val="000000"/>
                <w:sz w:val="22"/>
              </w:rPr>
              <w:t xml:space="preserve">Ethnies </w:t>
            </w:r>
          </w:p>
          <w:p w14:paraId="33060829" w14:textId="77777777" w:rsidR="001C2F95" w:rsidRPr="001857F5" w:rsidRDefault="001C2F95" w:rsidP="00971FD2">
            <w:pPr>
              <w:textAlignment w:val="baseline"/>
              <w:rPr>
                <w:rFonts w:cs="Arial"/>
                <w:color w:val="000000"/>
                <w:sz w:val="22"/>
              </w:rPr>
            </w:pPr>
            <w:r w:rsidRPr="001857F5">
              <w:rPr>
                <w:rFonts w:cs="Arial"/>
                <w:color w:val="000000"/>
                <w:sz w:val="22"/>
              </w:rPr>
              <w:t>Les Ethnies MBOBA, TALINGA, TEMBO et MBUTE compte tenu de leur importance démographique, regroupent un pourcentage faible de la population autochtone. Et par conséquent, elles peuvent être considérées comme des groupes ethniques minoritaires dans la Province.</w:t>
            </w:r>
          </w:p>
          <w:p w14:paraId="0973E204" w14:textId="77777777" w:rsidR="001C2F95" w:rsidRPr="001857F5" w:rsidRDefault="001C2F95" w:rsidP="00971FD2">
            <w:pPr>
              <w:textAlignment w:val="baseline"/>
              <w:rPr>
                <w:rFonts w:cs="Arial"/>
                <w:color w:val="000000"/>
                <w:sz w:val="22"/>
              </w:rPr>
            </w:pPr>
          </w:p>
          <w:p w14:paraId="3DB2741E" w14:textId="77777777" w:rsidR="001C2F95" w:rsidRPr="001857F5" w:rsidRDefault="001C2F95" w:rsidP="00971FD2">
            <w:pPr>
              <w:textAlignment w:val="baseline"/>
              <w:rPr>
                <w:rFonts w:cs="Arial"/>
                <w:color w:val="000000"/>
                <w:sz w:val="22"/>
              </w:rPr>
            </w:pPr>
            <w:r w:rsidRPr="001857F5">
              <w:rPr>
                <w:rFonts w:cs="Arial"/>
                <w:b/>
                <w:i/>
                <w:color w:val="000000"/>
                <w:sz w:val="22"/>
              </w:rPr>
              <w:t>Langues parlées</w:t>
            </w:r>
            <w:r w:rsidRPr="001857F5">
              <w:rPr>
                <w:rFonts w:cs="Arial"/>
                <w:color w:val="000000"/>
                <w:sz w:val="22"/>
              </w:rPr>
              <w:t> : le Swahili et le Français.</w:t>
            </w:r>
          </w:p>
          <w:p w14:paraId="021D7360" w14:textId="77777777" w:rsidR="001C2F95" w:rsidRDefault="001C2F95" w:rsidP="00971FD2">
            <w:pPr>
              <w:textAlignment w:val="baseline"/>
              <w:rPr>
                <w:rFonts w:cs="Arial"/>
                <w:color w:val="000000"/>
                <w:sz w:val="22"/>
              </w:rPr>
            </w:pPr>
          </w:p>
          <w:p w14:paraId="3EDFE080" w14:textId="77777777" w:rsidR="001C2F95" w:rsidRPr="001857F5" w:rsidRDefault="001C2F95" w:rsidP="00971FD2">
            <w:pPr>
              <w:textAlignment w:val="baseline"/>
              <w:rPr>
                <w:rFonts w:cs="Arial"/>
                <w:b/>
                <w:i/>
                <w:color w:val="000000"/>
                <w:sz w:val="22"/>
              </w:rPr>
            </w:pPr>
            <w:r w:rsidRPr="001857F5">
              <w:rPr>
                <w:rFonts w:cs="Arial"/>
                <w:b/>
                <w:i/>
                <w:color w:val="000000"/>
                <w:sz w:val="22"/>
              </w:rPr>
              <w:t>Populations Autochtones (PA)</w:t>
            </w:r>
          </w:p>
          <w:p w14:paraId="2DB451F0" w14:textId="77777777" w:rsidR="001C2F95" w:rsidRPr="001857F5" w:rsidRDefault="001C2F95" w:rsidP="00971FD2">
            <w:pPr>
              <w:textAlignment w:val="baseline"/>
              <w:rPr>
                <w:rFonts w:cs="Arial"/>
                <w:color w:val="000000"/>
                <w:sz w:val="22"/>
              </w:rPr>
            </w:pPr>
            <w:r w:rsidRPr="001857F5">
              <w:rPr>
                <w:rFonts w:cs="Arial"/>
                <w:color w:val="000000"/>
                <w:sz w:val="22"/>
              </w:rPr>
              <w:t>Il existe dans les populations autochtones de la Province du Nord- Kivu des Pypmoïdes, des Bantous et des Nilotiques. Les communautés autochtones comprennent les MBUTE qui occupent la partie forestière du Nord-Kivu où ils pratiquent la chasse et la cueillette dans le cadre d‛une vie de nomadisme. On les retrouve dans les Territoires de Masisi, Beni, Walikale, Rutshuru et Lubero. Leur mode de vie est en recul à cause de la destruction de la forêt, leur habitat naturel et aussi de l‛influence des tribus bantous voisines. Les PIRI du Territoire de Beni sont plus réceptifs à cette évolution car on rencontre de plus en plus d‛agriculteurs/-trices parmi eux.</w:t>
            </w:r>
          </w:p>
        </w:tc>
      </w:tr>
      <w:tr w:rsidR="001C2F95" w:rsidRPr="00982564" w14:paraId="1BA40185"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CA07F2C" w14:textId="77777777" w:rsidR="001C2F95" w:rsidRPr="00982564" w:rsidRDefault="001C2F95" w:rsidP="00971FD2">
            <w:pPr>
              <w:rPr>
                <w:rFonts w:eastAsia="Calibri" w:cs="Arial"/>
                <w:b/>
                <w:sz w:val="22"/>
              </w:rPr>
            </w:pPr>
            <w:r w:rsidRPr="00982564">
              <w:rPr>
                <w:rFonts w:eastAsia="Calibri" w:cs="Arial"/>
                <w:b/>
                <w:sz w:val="22"/>
              </w:rPr>
              <w:t>Situation sécuritaire</w:t>
            </w:r>
          </w:p>
        </w:tc>
        <w:tc>
          <w:tcPr>
            <w:tcW w:w="11287" w:type="dxa"/>
            <w:tcBorders>
              <w:top w:val="single" w:sz="4" w:space="0" w:color="000001"/>
              <w:left w:val="single" w:sz="4" w:space="0" w:color="000001"/>
              <w:bottom w:val="single" w:sz="4" w:space="0" w:color="000001"/>
              <w:right w:val="single" w:sz="4" w:space="0" w:color="000001"/>
            </w:tcBorders>
          </w:tcPr>
          <w:p w14:paraId="243B8D2F" w14:textId="77777777" w:rsidR="001C2F95" w:rsidRPr="00982564" w:rsidRDefault="001C2F95" w:rsidP="00971FD2">
            <w:pPr>
              <w:textAlignment w:val="baseline"/>
              <w:rPr>
                <w:rFonts w:cs="Arial"/>
                <w:b/>
                <w:i/>
                <w:color w:val="000000"/>
                <w:sz w:val="22"/>
              </w:rPr>
            </w:pPr>
            <w:r w:rsidRPr="00982564">
              <w:rPr>
                <w:rFonts w:cs="Arial"/>
                <w:color w:val="000000"/>
                <w:sz w:val="22"/>
              </w:rPr>
              <w:t xml:space="preserve">Le contexte sécuritaire extrêmement précaire est dominé par l’activisme et incursions des groupes armés contre les populations civiles, ainsi que la poursuite des opérations militaires lancées en début 2014 contre des groupes armés dans plusieurs Territoires. De manière générale, la situation sécuritaire dans la Province est marquée par : </w:t>
            </w:r>
            <w:r w:rsidRPr="00982564">
              <w:rPr>
                <w:rFonts w:cs="Arial"/>
                <w:i/>
                <w:color w:val="000000"/>
                <w:sz w:val="22"/>
              </w:rPr>
              <w:t xml:space="preserve">(i) </w:t>
            </w:r>
            <w:r w:rsidRPr="00982564">
              <w:rPr>
                <w:rFonts w:cs="Arial"/>
                <w:color w:val="000000"/>
                <w:sz w:val="22"/>
              </w:rPr>
              <w:t xml:space="preserve">De nombreux cas d’attaques de localités et villages, et de représailles contre la population civile par un grand nombre de groupes armés à travers la Province (ADF, FDLR, APLCS, Cheka, Mayi-Mayi et autres), avec une concentration particulièrement forte dans les territoires de Beni, Masisi, Lubero, Rutshuru et Walikale ; </w:t>
            </w:r>
            <w:r w:rsidRPr="00982564">
              <w:rPr>
                <w:rFonts w:cs="Arial"/>
                <w:i/>
                <w:color w:val="000000"/>
                <w:sz w:val="22"/>
              </w:rPr>
              <w:t xml:space="preserve">(ii) </w:t>
            </w:r>
            <w:r w:rsidRPr="00982564">
              <w:rPr>
                <w:rFonts w:cs="Arial"/>
                <w:color w:val="000000"/>
                <w:sz w:val="22"/>
              </w:rPr>
              <w:t xml:space="preserve">Activisme fortement accru d’hommes armés présumés ADF dans plusieurs zones  du Territoire et la Ville de Beni, avec une série d’attaques violentes contre les civils ; </w:t>
            </w:r>
            <w:r w:rsidRPr="00982564">
              <w:rPr>
                <w:rFonts w:cs="Arial"/>
                <w:i/>
                <w:color w:val="000000"/>
                <w:sz w:val="22"/>
              </w:rPr>
              <w:t>(iii)</w:t>
            </w:r>
            <w:r w:rsidRPr="00982564">
              <w:rPr>
                <w:rFonts w:cs="Arial"/>
                <w:color w:val="000000"/>
                <w:sz w:val="22"/>
              </w:rPr>
              <w:t xml:space="preserve"> Combats entre groupes armés dans les territoires de Lubero et Walikale, occasionnant de mouvements importants de population vers la zone de Pinga et vers le sud Lubero ; </w:t>
            </w:r>
            <w:r w:rsidRPr="00982564">
              <w:rPr>
                <w:rFonts w:cs="Arial"/>
                <w:i/>
                <w:color w:val="000000"/>
                <w:sz w:val="22"/>
              </w:rPr>
              <w:t>(iv)</w:t>
            </w:r>
            <w:r w:rsidRPr="00982564">
              <w:rPr>
                <w:rFonts w:cs="Arial"/>
                <w:color w:val="000000"/>
                <w:sz w:val="22"/>
              </w:rPr>
              <w:t xml:space="preserve"> Poursuite des opérations militaires des FARDC contre des groupes armés dans les Territoires de Beni, Rutshuru et Walikale ; </w:t>
            </w:r>
            <w:r w:rsidRPr="00982564">
              <w:rPr>
                <w:rFonts w:cs="Arial"/>
                <w:i/>
                <w:color w:val="000000"/>
                <w:sz w:val="22"/>
              </w:rPr>
              <w:t>(v)</w:t>
            </w:r>
            <w:r w:rsidRPr="00982564">
              <w:rPr>
                <w:rFonts w:cs="Arial"/>
                <w:color w:val="000000"/>
                <w:sz w:val="22"/>
              </w:rPr>
              <w:t xml:space="preserve"> Banditisme et insécurité dans de nombreuses parties de la Province.</w:t>
            </w:r>
          </w:p>
        </w:tc>
      </w:tr>
      <w:tr w:rsidR="001C2F95" w:rsidRPr="00982564" w14:paraId="5B5DE1D8"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DDAFCB1" w14:textId="77777777" w:rsidR="001C2F95" w:rsidRPr="00982564" w:rsidRDefault="001C2F95" w:rsidP="00971FD2">
            <w:pPr>
              <w:rPr>
                <w:rFonts w:eastAsia="Calibri" w:cs="Arial"/>
                <w:b/>
                <w:sz w:val="22"/>
              </w:rPr>
            </w:pPr>
            <w:r w:rsidRPr="00982564">
              <w:rPr>
                <w:rFonts w:eastAsia="Calibri" w:cs="Arial"/>
                <w:b/>
                <w:sz w:val="22"/>
              </w:rPr>
              <w:t>Activités principales de la population</w:t>
            </w:r>
          </w:p>
        </w:tc>
        <w:tc>
          <w:tcPr>
            <w:tcW w:w="11287" w:type="dxa"/>
            <w:tcBorders>
              <w:top w:val="single" w:sz="4" w:space="0" w:color="000001"/>
              <w:left w:val="single" w:sz="4" w:space="0" w:color="000001"/>
              <w:bottom w:val="single" w:sz="4" w:space="0" w:color="000001"/>
              <w:right w:val="single" w:sz="4" w:space="0" w:color="000001"/>
            </w:tcBorders>
          </w:tcPr>
          <w:p w14:paraId="551D070A" w14:textId="77777777" w:rsidR="001C2F95" w:rsidRPr="00982564" w:rsidRDefault="001C2F95" w:rsidP="00971FD2">
            <w:pPr>
              <w:spacing w:line="240" w:lineRule="auto"/>
              <w:jc w:val="left"/>
              <w:outlineLvl w:val="5"/>
              <w:rPr>
                <w:rFonts w:cs="Arial"/>
                <w:b/>
                <w:color w:val="000000"/>
                <w:sz w:val="22"/>
              </w:rPr>
            </w:pPr>
            <w:r w:rsidRPr="00982564">
              <w:rPr>
                <w:rFonts w:cs="Arial"/>
                <w:b/>
                <w:color w:val="000000"/>
                <w:sz w:val="22"/>
              </w:rPr>
              <w:t>Agriculture</w:t>
            </w:r>
          </w:p>
          <w:p w14:paraId="55A3E479" w14:textId="77777777" w:rsidR="001C2F95" w:rsidRPr="00982564" w:rsidRDefault="001C2F95" w:rsidP="00971FD2">
            <w:pPr>
              <w:spacing w:line="300" w:lineRule="atLeast"/>
              <w:rPr>
                <w:rFonts w:cs="Arial"/>
                <w:color w:val="000000"/>
                <w:sz w:val="22"/>
              </w:rPr>
            </w:pPr>
            <w:r w:rsidRPr="00982564">
              <w:rPr>
                <w:rFonts w:cs="Arial"/>
                <w:color w:val="000000"/>
                <w:sz w:val="22"/>
              </w:rPr>
              <w:t xml:space="preserve">Le secteur traditionnel est caractérisé </w:t>
            </w:r>
            <w:r w:rsidRPr="00982564">
              <w:rPr>
                <w:rFonts w:cs="Arial"/>
                <w:sz w:val="22"/>
              </w:rPr>
              <w:t>par l‛insuffisance des superficies, d‛intrants agricoles, de paysans, main-d‛œuvre. Il constitue la totalité de l‛agriculture. Ainsi, la culture du manioc est très préférée par les paysans et n‛est pas très exigeante et constitue un aliment de réserve. La pâte de manioc ou Ugali ainsi que ses feuilles constituent les légumes « Sombe » sont réguliers à chaque repas de beaucoup de ménages au Nord- Kivu. La culture de manioc est attaquée par la mosaïque et est cultivée sur toute l‛étendue de la Province. Il faudra un programme de multiplication et de diffusion des boutures saines de manioc résistantes à la mosaïque.</w:t>
            </w:r>
          </w:p>
          <w:p w14:paraId="0B80C7A2" w14:textId="77777777" w:rsidR="001C2F95" w:rsidRPr="00982564" w:rsidRDefault="001C2F95" w:rsidP="00971FD2">
            <w:pPr>
              <w:spacing w:line="300" w:lineRule="atLeast"/>
              <w:rPr>
                <w:rFonts w:cs="Arial"/>
                <w:color w:val="000000"/>
                <w:sz w:val="22"/>
              </w:rPr>
            </w:pPr>
            <w:r w:rsidRPr="00982564">
              <w:rPr>
                <w:rFonts w:cs="Arial"/>
                <w:color w:val="000000"/>
                <w:sz w:val="22"/>
              </w:rPr>
              <w:br/>
              <w:t xml:space="preserve">Le mais est souvent cultivé souvent en association avec le manioc, arachide, haricot est pratiquée sur toute l‛étendue de la Province. Le maïs constitue un aliment de base et consommé sous forme de la pâte, épis ou bouillie. Il est utilisé comme matière première dans la préparation de l‛alcool traditionnel « LOTOKO » et de la bière « MANDRAKWA ». </w:t>
            </w:r>
          </w:p>
          <w:p w14:paraId="667744E0" w14:textId="77777777" w:rsidR="001C2F95" w:rsidRPr="00982564" w:rsidRDefault="001C2F95" w:rsidP="00971FD2">
            <w:pPr>
              <w:spacing w:line="300" w:lineRule="atLeast"/>
              <w:rPr>
                <w:rFonts w:cs="Arial"/>
                <w:color w:val="000000"/>
                <w:sz w:val="22"/>
              </w:rPr>
            </w:pPr>
            <w:r w:rsidRPr="00982564">
              <w:rPr>
                <w:rFonts w:cs="Arial"/>
                <w:color w:val="000000"/>
                <w:sz w:val="22"/>
              </w:rPr>
              <w:t xml:space="preserve">La banane plantain, banane douce ou « Bisamunyu » et banane fruit sont toutes destinées à la commercialisation alimentaire. La variété amère est destinée à la fabrication de la bière de banane « le KASIKISI ». Le surplus de la production est commercialisé dans les centres urbains et les pays limitrophes Uganda et le Rwanda. </w:t>
            </w:r>
          </w:p>
          <w:p w14:paraId="089A39F8" w14:textId="77777777" w:rsidR="001C2F95" w:rsidRPr="00982564" w:rsidRDefault="001C2F95" w:rsidP="00971FD2">
            <w:pPr>
              <w:spacing w:line="300" w:lineRule="atLeast"/>
              <w:rPr>
                <w:rFonts w:cs="Arial"/>
                <w:color w:val="000000"/>
                <w:sz w:val="22"/>
              </w:rPr>
            </w:pPr>
            <w:r w:rsidRPr="00982564">
              <w:rPr>
                <w:rFonts w:cs="Arial"/>
                <w:color w:val="000000"/>
                <w:sz w:val="22"/>
              </w:rPr>
              <w:br/>
            </w:r>
            <w:r w:rsidRPr="00982564">
              <w:rPr>
                <w:rFonts w:cs="Arial"/>
                <w:sz w:val="22"/>
              </w:rPr>
              <w:t xml:space="preserve">L’Est de la province est </w:t>
            </w:r>
            <w:r w:rsidRPr="00982564">
              <w:rPr>
                <w:rFonts w:cs="Arial"/>
                <w:color w:val="000000"/>
                <w:sz w:val="22"/>
              </w:rPr>
              <w:t xml:space="preserve">propice à la culture du climat tempéré de haute altitude. Le Territoire de Lubero en est le plus grand producteur suivi du Territoire de Nyiragongo. La plus grande quantité commercialisée est acheminée vers les grands centres de consommation : Kinshasa – Kisangani – Mbuji-Mayi, etc. Les variétés les plus cultivées sont Mabouro et Gahinga en provenance du Rwanda. </w:t>
            </w:r>
          </w:p>
          <w:p w14:paraId="1FAE847C" w14:textId="77777777" w:rsidR="001C2F95" w:rsidRPr="00982564" w:rsidRDefault="001C2F95" w:rsidP="00971FD2">
            <w:pPr>
              <w:spacing w:line="300" w:lineRule="atLeast"/>
              <w:rPr>
                <w:rFonts w:cs="Arial"/>
                <w:color w:val="000000"/>
                <w:sz w:val="22"/>
              </w:rPr>
            </w:pPr>
            <w:r w:rsidRPr="00982564">
              <w:rPr>
                <w:rFonts w:cs="Arial"/>
                <w:color w:val="000000"/>
                <w:sz w:val="22"/>
              </w:rPr>
              <w:t>Les principaux légumes sont : Choux de chine, les choux rouges, le poireau, l’oignon, l‘aubergine, le concombre, la carotte, la tomate, la laitue, etc. Les Territoires les plus maraîchers sont : Lubero et Nyiragongo, les sols, le climat, le relief y sont favorables.</w:t>
            </w:r>
          </w:p>
          <w:p w14:paraId="051D5507" w14:textId="77777777" w:rsidR="001C2F95" w:rsidRPr="00982564" w:rsidRDefault="001C2F95" w:rsidP="00971FD2">
            <w:pPr>
              <w:spacing w:line="300" w:lineRule="atLeast"/>
              <w:rPr>
                <w:rFonts w:cs="Arial"/>
                <w:color w:val="000000"/>
                <w:sz w:val="22"/>
              </w:rPr>
            </w:pPr>
          </w:p>
          <w:p w14:paraId="5153A810" w14:textId="77777777" w:rsidR="001C2F95" w:rsidRPr="00982564" w:rsidRDefault="001C2F95" w:rsidP="00971FD2">
            <w:pPr>
              <w:spacing w:line="300" w:lineRule="atLeast"/>
              <w:rPr>
                <w:rFonts w:cs="Arial"/>
                <w:b/>
                <w:color w:val="000000"/>
                <w:sz w:val="22"/>
              </w:rPr>
            </w:pPr>
            <w:r w:rsidRPr="00982564">
              <w:rPr>
                <w:rFonts w:cs="Arial"/>
                <w:color w:val="333333"/>
                <w:sz w:val="22"/>
                <w:shd w:val="clear" w:color="auto" w:fill="FFFFFF"/>
              </w:rPr>
              <w:t>Le haricot est la légumineuse cultivée sur toute l‛étendue de la Province du Nord-Kivu. La dégénérescence de certaines variétés est une contrainte majeure.</w:t>
            </w:r>
          </w:p>
          <w:p w14:paraId="11634256" w14:textId="77777777" w:rsidR="001C2F95" w:rsidRPr="00982564" w:rsidRDefault="001C2F95" w:rsidP="00971FD2">
            <w:pPr>
              <w:spacing w:line="300" w:lineRule="atLeast"/>
              <w:rPr>
                <w:rFonts w:cs="Arial"/>
                <w:b/>
                <w:color w:val="000000"/>
                <w:sz w:val="22"/>
              </w:rPr>
            </w:pPr>
          </w:p>
          <w:p w14:paraId="27F48C86" w14:textId="77777777" w:rsidR="001C2F95" w:rsidRPr="00982564" w:rsidRDefault="001C2F95" w:rsidP="00971FD2">
            <w:pPr>
              <w:spacing w:line="300" w:lineRule="atLeast"/>
              <w:rPr>
                <w:rFonts w:cs="Arial"/>
                <w:b/>
                <w:color w:val="000000"/>
                <w:sz w:val="22"/>
              </w:rPr>
            </w:pPr>
            <w:r w:rsidRPr="00982564">
              <w:rPr>
                <w:rFonts w:cs="Arial"/>
                <w:b/>
                <w:color w:val="000000"/>
                <w:sz w:val="22"/>
              </w:rPr>
              <w:t>Élevage</w:t>
            </w:r>
          </w:p>
          <w:p w14:paraId="6BBFBBC1" w14:textId="77777777" w:rsidR="001C2F95" w:rsidRPr="00982564" w:rsidRDefault="001C2F95" w:rsidP="00971FD2">
            <w:pPr>
              <w:spacing w:line="300" w:lineRule="atLeast"/>
              <w:rPr>
                <w:rFonts w:cs="Arial"/>
                <w:b/>
                <w:color w:val="000000"/>
                <w:sz w:val="22"/>
              </w:rPr>
            </w:pPr>
          </w:p>
          <w:p w14:paraId="3592DB77" w14:textId="77777777" w:rsidR="001C2F95" w:rsidRPr="00982564" w:rsidRDefault="001C2F95" w:rsidP="00971FD2">
            <w:pPr>
              <w:jc w:val="left"/>
              <w:textAlignment w:val="baseline"/>
              <w:rPr>
                <w:rFonts w:cs="Arial"/>
                <w:color w:val="000000"/>
                <w:sz w:val="22"/>
              </w:rPr>
            </w:pPr>
            <w:r w:rsidRPr="00982564">
              <w:rPr>
                <w:rFonts w:cs="Arial"/>
                <w:color w:val="000000"/>
                <w:sz w:val="22"/>
              </w:rPr>
              <w:t>La Province du Nord-Kivu est favorable à l‛élevage. On y pratique deux  types d‛élevage :</w:t>
            </w:r>
            <w:r w:rsidRPr="00982564">
              <w:rPr>
                <w:rFonts w:cs="Arial"/>
                <w:color w:val="000000"/>
                <w:sz w:val="22"/>
              </w:rPr>
              <w:br/>
              <w:t xml:space="preserve">L‛élevage traditionnel : est exercé par de petits éleveurs ayant un nombre réduit de bovins ou nomadisme avec la race Ankole rustique et résistante aux maladies. </w:t>
            </w:r>
            <w:r w:rsidRPr="00982564">
              <w:rPr>
                <w:rFonts w:cs="Arial"/>
                <w:color w:val="000000"/>
                <w:sz w:val="22"/>
              </w:rPr>
              <w:br/>
            </w:r>
          </w:p>
          <w:p w14:paraId="5DFA43EA" w14:textId="77777777" w:rsidR="001C2F95" w:rsidRPr="00982564" w:rsidRDefault="001C2F95" w:rsidP="00971FD2">
            <w:pPr>
              <w:jc w:val="left"/>
              <w:textAlignment w:val="baseline"/>
              <w:rPr>
                <w:rFonts w:cs="Arial"/>
                <w:color w:val="000000"/>
                <w:sz w:val="22"/>
              </w:rPr>
            </w:pPr>
            <w:r w:rsidRPr="00982564">
              <w:rPr>
                <w:rFonts w:cs="Arial"/>
                <w:color w:val="000000"/>
                <w:sz w:val="22"/>
              </w:rPr>
              <w:t xml:space="preserve">L‛élevage moderne ou élevage organisé : est constitué par les fermes de 200 têtes de bovins pratiquant l‛insémination artificielle pour l‛amélioration du bétail ou en croisement des races locales Ankole avec les races exotiques. </w:t>
            </w:r>
          </w:p>
          <w:p w14:paraId="650C401F" w14:textId="77777777" w:rsidR="001C2F95" w:rsidRPr="00982564" w:rsidRDefault="001C2F95" w:rsidP="00971FD2">
            <w:pPr>
              <w:jc w:val="left"/>
              <w:textAlignment w:val="baseline"/>
              <w:rPr>
                <w:rFonts w:cs="Arial"/>
                <w:b/>
                <w:i/>
                <w:color w:val="000000"/>
                <w:sz w:val="22"/>
              </w:rPr>
            </w:pPr>
          </w:p>
          <w:p w14:paraId="2204D67B" w14:textId="77777777" w:rsidR="001C2F95" w:rsidRPr="00982564" w:rsidRDefault="001C2F95" w:rsidP="00971FD2">
            <w:pPr>
              <w:jc w:val="left"/>
              <w:textAlignment w:val="baseline"/>
              <w:rPr>
                <w:rFonts w:cs="Arial"/>
                <w:b/>
                <w:color w:val="000000"/>
                <w:sz w:val="22"/>
              </w:rPr>
            </w:pPr>
            <w:r w:rsidRPr="00982564">
              <w:rPr>
                <w:rFonts w:cs="Arial"/>
                <w:b/>
                <w:color w:val="000000"/>
                <w:sz w:val="22"/>
              </w:rPr>
              <w:t xml:space="preserve">Pêche </w:t>
            </w:r>
          </w:p>
          <w:p w14:paraId="2EA4F1C5" w14:textId="77777777" w:rsidR="001C2F95" w:rsidRPr="00982564" w:rsidRDefault="001C2F95" w:rsidP="00971FD2">
            <w:pPr>
              <w:jc w:val="left"/>
              <w:textAlignment w:val="baseline"/>
              <w:rPr>
                <w:rFonts w:cs="Arial"/>
                <w:color w:val="000000"/>
                <w:sz w:val="22"/>
              </w:rPr>
            </w:pPr>
            <w:r w:rsidRPr="00982564">
              <w:rPr>
                <w:rFonts w:cs="Arial"/>
                <w:color w:val="000000"/>
                <w:sz w:val="22"/>
              </w:rPr>
              <w:t>La Province du Nord-Kivu comprend des lacs, des rivières poissonneuses pour la pratique de la pêche.</w:t>
            </w:r>
            <w:r w:rsidRPr="00982564">
              <w:rPr>
                <w:rFonts w:cs="Arial"/>
                <w:color w:val="000000"/>
                <w:sz w:val="22"/>
              </w:rPr>
              <w:br/>
              <w:t xml:space="preserve">Le Lac Edouard est très poissonneux avec une production annuelle estimée à 15 000 Tonnes. </w:t>
            </w:r>
            <w:r w:rsidRPr="00982564">
              <w:rPr>
                <w:rFonts w:cs="Arial"/>
                <w:color w:val="000000"/>
                <w:sz w:val="22"/>
              </w:rPr>
              <w:br/>
              <w:t xml:space="preserve">Les principales espèces des poissons sont : Tilapia : 60 % des ressources halieutiques. </w:t>
            </w:r>
            <w:r w:rsidRPr="00982564">
              <w:rPr>
                <w:rFonts w:cs="Arial"/>
                <w:color w:val="000000"/>
                <w:sz w:val="22"/>
              </w:rPr>
              <w:br/>
              <w:t xml:space="preserve">Bagrus : 10 % des ressources halieutiques </w:t>
            </w:r>
            <w:r w:rsidRPr="00982564">
              <w:rPr>
                <w:rFonts w:cs="Arial"/>
                <w:color w:val="000000"/>
                <w:sz w:val="22"/>
              </w:rPr>
              <w:br/>
              <w:t xml:space="preserve">Clarias : 10 % des ressources halieutiques </w:t>
            </w:r>
            <w:r w:rsidRPr="00982564">
              <w:rPr>
                <w:rFonts w:cs="Arial"/>
                <w:color w:val="000000"/>
                <w:sz w:val="22"/>
              </w:rPr>
              <w:br/>
              <w:t xml:space="preserve">Autres espèces : 20 % des ressources halieutiques. </w:t>
            </w:r>
            <w:r w:rsidRPr="00982564">
              <w:rPr>
                <w:rFonts w:cs="Arial"/>
                <w:color w:val="000000"/>
                <w:sz w:val="22"/>
              </w:rPr>
              <w:br/>
              <w:t>Le Lac Kivu est peu poissonneux. Les espèces recensées sont : Limnothrissa moidon ou SAMBAZA : 90 % Autres espèces : 10 %.</w:t>
            </w:r>
          </w:p>
          <w:p w14:paraId="08DBD82E" w14:textId="77777777" w:rsidR="001C2F95" w:rsidRPr="00982564" w:rsidRDefault="001C2F95" w:rsidP="00971FD2">
            <w:pPr>
              <w:jc w:val="left"/>
              <w:textAlignment w:val="baseline"/>
              <w:rPr>
                <w:rFonts w:cs="Arial"/>
                <w:color w:val="000000"/>
                <w:sz w:val="22"/>
              </w:rPr>
            </w:pPr>
          </w:p>
          <w:p w14:paraId="7501065E" w14:textId="77777777" w:rsidR="001C2F95" w:rsidRPr="00982564" w:rsidRDefault="001C2F95" w:rsidP="00971FD2">
            <w:pPr>
              <w:jc w:val="left"/>
              <w:textAlignment w:val="baseline"/>
              <w:rPr>
                <w:rFonts w:cs="Arial"/>
                <w:color w:val="000000"/>
                <w:sz w:val="22"/>
              </w:rPr>
            </w:pPr>
            <w:r w:rsidRPr="00982564">
              <w:rPr>
                <w:rFonts w:cs="Arial"/>
                <w:color w:val="000000"/>
                <w:sz w:val="22"/>
              </w:rPr>
              <w:t xml:space="preserve">Conflits en lien avec les terres et insécurité alimentaire </w:t>
            </w:r>
          </w:p>
          <w:p w14:paraId="435E440D" w14:textId="77777777" w:rsidR="001C2F95" w:rsidRPr="00982564" w:rsidRDefault="001C2F95" w:rsidP="00971FD2">
            <w:pPr>
              <w:jc w:val="left"/>
              <w:textAlignment w:val="baseline"/>
              <w:rPr>
                <w:rFonts w:cs="Arial"/>
                <w:color w:val="000000"/>
                <w:sz w:val="22"/>
              </w:rPr>
            </w:pPr>
          </w:p>
          <w:p w14:paraId="126582F6" w14:textId="77777777" w:rsidR="001C2F95" w:rsidRPr="00982564" w:rsidRDefault="001C2F95" w:rsidP="00580417">
            <w:pPr>
              <w:textAlignment w:val="baseline"/>
              <w:rPr>
                <w:rFonts w:cs="Arial"/>
                <w:color w:val="000000"/>
                <w:sz w:val="22"/>
              </w:rPr>
            </w:pPr>
            <w:r w:rsidRPr="00982564">
              <w:rPr>
                <w:rFonts w:cs="Arial"/>
                <w:color w:val="000000"/>
                <w:sz w:val="22"/>
              </w:rPr>
              <w:t>Dans le territoire de Beni (en particulier dans les zones au nord et à l’est d’Oicha), une autre division existe entre les « Nandes migrants », qui se sont déplacés du territoire de Lubero voisin pour s’installer dans le territoire de Beni, et les « populations d’origine » de Beni, qui comprennent des groupes minoritaires (les Vuba, les Bakapombe, les Batalinga et les Batangi) et des Nandes natifs de la région. De nombreux Nandes migrants ont été pris pour cibles durant les violences et les assassinats récents afin de permettre aux autorités locales de reprendre des terres agricoles. Dans les zones du sud du territoire de Lubero (non touchées par la flambée épidémique d’Ébola au moment de la rédaction), une autre série de conflits existe entre Nandes et Hutus concernant l’accès aux terres. En raison de la présence de milices au nord de Beni, l’agriculture dans la zone entourant Mangina constituait une importante source de nourriture pour la ville, et cet accès est désormais largement coupé à cause de la flambée épidémique d’Ébola et de l’insécurité. Des craintes concernant l’augmentation de l’insécurité alimentaire dans la ville ont été signalées.</w:t>
            </w:r>
          </w:p>
        </w:tc>
      </w:tr>
      <w:tr w:rsidR="001C2F95" w:rsidRPr="00982564" w14:paraId="59F39417"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BAE0A70" w14:textId="77777777" w:rsidR="001C2F95" w:rsidRPr="00982564" w:rsidRDefault="001C2F95" w:rsidP="00971FD2">
            <w:pPr>
              <w:rPr>
                <w:rFonts w:eastAsia="Calibri" w:cs="Arial"/>
                <w:b/>
                <w:sz w:val="22"/>
              </w:rPr>
            </w:pPr>
            <w:r w:rsidRPr="00982564">
              <w:rPr>
                <w:rFonts w:eastAsia="Calibri" w:cs="Arial"/>
                <w:b/>
                <w:sz w:val="22"/>
              </w:rPr>
              <w:t>Économie</w:t>
            </w:r>
          </w:p>
        </w:tc>
        <w:tc>
          <w:tcPr>
            <w:tcW w:w="11287" w:type="dxa"/>
            <w:tcBorders>
              <w:top w:val="single" w:sz="4" w:space="0" w:color="000001"/>
              <w:left w:val="single" w:sz="4" w:space="0" w:color="000001"/>
              <w:bottom w:val="single" w:sz="4" w:space="0" w:color="000001"/>
              <w:right w:val="single" w:sz="4" w:space="0" w:color="000001"/>
            </w:tcBorders>
          </w:tcPr>
          <w:p w14:paraId="1ED344E7" w14:textId="77777777" w:rsidR="001C2F95" w:rsidRPr="00982564" w:rsidRDefault="001C2F95" w:rsidP="00971FD2">
            <w:pPr>
              <w:textAlignment w:val="baseline"/>
              <w:rPr>
                <w:rFonts w:cs="Arial"/>
                <w:color w:val="000000"/>
                <w:sz w:val="22"/>
              </w:rPr>
            </w:pPr>
            <w:r w:rsidRPr="00982564">
              <w:rPr>
                <w:rFonts w:cs="Arial"/>
                <w:color w:val="000000"/>
                <w:sz w:val="22"/>
              </w:rPr>
              <w:t>La Province du Nord-Kivu regorge d‛un faible potentiel minier comparativement à celui d‛autres Provinces du Pays telles que le Grand Katanga, le Grand Kasaï ou l’ex Province Orientale. Cependant, ce potentiel n‛est pas négligeable ; en effet du sous-sol du Nord-Kivu, sont extraits depuis l‛époque coloniale : de la cassitérite (oxyde d‛étain), de la colombo-tantalite (oxyde mixte de tantale) et de niobium anciennement appelé colombium du wolframite, de la monazite et de l‛or.</w:t>
            </w:r>
          </w:p>
          <w:p w14:paraId="2A072012" w14:textId="77777777" w:rsidR="001C2F95" w:rsidRPr="00982564" w:rsidRDefault="001C2F95" w:rsidP="00971FD2">
            <w:pPr>
              <w:textAlignment w:val="baseline"/>
              <w:rPr>
                <w:rFonts w:cs="Arial"/>
                <w:color w:val="000000"/>
                <w:sz w:val="22"/>
              </w:rPr>
            </w:pPr>
          </w:p>
          <w:p w14:paraId="6E661752" w14:textId="77777777" w:rsidR="001C2F95" w:rsidRPr="00982564" w:rsidRDefault="001C2F95" w:rsidP="00971FD2">
            <w:pPr>
              <w:textAlignment w:val="baseline"/>
              <w:rPr>
                <w:rFonts w:cs="Arial"/>
                <w:color w:val="000000"/>
                <w:sz w:val="22"/>
              </w:rPr>
            </w:pPr>
            <w:r w:rsidRPr="00982564">
              <w:rPr>
                <w:rFonts w:cs="Arial"/>
                <w:color w:val="000000"/>
                <w:sz w:val="22"/>
              </w:rPr>
              <w:t>Au Nord-Kivu, l‛exploitation artisanale du coltan a connu un boom en 2000-2001, à la suite d‛une très forte augmentation des cours du tantale sur le marché mondial. En effet, alors que ce cours était de 33-45$/lb Ta2O5 en novembre 1999, il a augmenté de 60$/lb Ta2O5 en Janvier 2000 pour atteindre son plus haut niveau de l‛histoire à 350$/lb Ta2O5 en Décembre de la même année. Par la suite les cours du tantale a dégringolé en 2001 jusqu‛à moins de 20$/lb.</w:t>
            </w:r>
          </w:p>
          <w:p w14:paraId="5D999B40" w14:textId="77777777" w:rsidR="001C2F95" w:rsidRPr="00982564" w:rsidRDefault="001C2F95" w:rsidP="00971FD2">
            <w:pPr>
              <w:textAlignment w:val="baseline"/>
              <w:rPr>
                <w:rFonts w:cs="Arial"/>
                <w:color w:val="000000"/>
                <w:sz w:val="22"/>
              </w:rPr>
            </w:pPr>
            <w:r w:rsidRPr="00982564">
              <w:rPr>
                <w:rFonts w:cs="Arial"/>
                <w:color w:val="000000"/>
                <w:sz w:val="22"/>
              </w:rPr>
              <w:t xml:space="preserve">Mais, il y a lieu de noter que l’importance que revêt ces minerais dits stratégiques dans les nouveaux enjeux de l’économie mondiale de prochaines années, fait que ces minerais confèrent à la Province l’intérêt qu’autrefois elle n’avait pas aux yeux de grandes puissances mondiales. La guerre qui sévit à l’Est de la RDC depuis plusieurs années par les groupes armés interposés puise son origine dans la convoitise de ces minerais stratégiques dont les puissants de ce monde veulent à tout prix se constituer un grand stock et à moindre frais par des voies de la contrebande. </w:t>
            </w:r>
          </w:p>
          <w:p w14:paraId="68E5C6D5" w14:textId="77777777" w:rsidR="001857F5" w:rsidRPr="00982564" w:rsidRDefault="001857F5" w:rsidP="00971FD2">
            <w:pPr>
              <w:textAlignment w:val="baseline"/>
              <w:rPr>
                <w:rFonts w:cs="Arial"/>
                <w:color w:val="000000"/>
                <w:sz w:val="22"/>
              </w:rPr>
            </w:pPr>
          </w:p>
          <w:p w14:paraId="5209B863" w14:textId="77777777" w:rsidR="001857F5" w:rsidRPr="00982564" w:rsidRDefault="001857F5" w:rsidP="001857F5">
            <w:pPr>
              <w:textAlignment w:val="baseline"/>
              <w:rPr>
                <w:rFonts w:cs="Arial"/>
                <w:color w:val="000000"/>
                <w:sz w:val="22"/>
              </w:rPr>
            </w:pPr>
            <w:r w:rsidRPr="00982564">
              <w:rPr>
                <w:rFonts w:cs="Arial"/>
                <w:color w:val="000000"/>
                <w:sz w:val="22"/>
              </w:rPr>
              <w:t>Dans le Nord-Kivu la femme n’a pas accès à la terre. Tous les biens matériels appartiennent à l’homme et à sa famille. La femme travaille jour et nuit en transportant des grandes charges sur sa tête lors de la récolte. Mais c’est l’homme qui est le maitre de la vente et des décisions liées aux dépenses. Les us et coutumes ont un impact très négatif sur le traitement de la femme en termes de richesse et d’appropriation des ressources.</w:t>
            </w:r>
          </w:p>
        </w:tc>
      </w:tr>
      <w:tr w:rsidR="001C2F95" w:rsidRPr="00982564" w14:paraId="638161EE"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085264C" w14:textId="77777777" w:rsidR="001C2F95" w:rsidRPr="00982564" w:rsidRDefault="001C2F95" w:rsidP="00971FD2">
            <w:pPr>
              <w:rPr>
                <w:rFonts w:eastAsia="Calibri" w:cs="Arial"/>
                <w:b/>
                <w:sz w:val="22"/>
              </w:rPr>
            </w:pPr>
            <w:r w:rsidRPr="00982564">
              <w:rPr>
                <w:rFonts w:eastAsia="Calibri" w:cs="Arial"/>
                <w:b/>
                <w:sz w:val="22"/>
              </w:rPr>
              <w:t>Situation sanitaire</w:t>
            </w:r>
          </w:p>
        </w:tc>
        <w:tc>
          <w:tcPr>
            <w:tcW w:w="11287" w:type="dxa"/>
            <w:tcBorders>
              <w:top w:val="single" w:sz="4" w:space="0" w:color="000001"/>
              <w:left w:val="single" w:sz="4" w:space="0" w:color="000001"/>
              <w:bottom w:val="single" w:sz="4" w:space="0" w:color="000001"/>
              <w:right w:val="single" w:sz="4" w:space="0" w:color="000001"/>
            </w:tcBorders>
          </w:tcPr>
          <w:p w14:paraId="3F1B19AF" w14:textId="77777777" w:rsidR="001C2F95" w:rsidRPr="00982564" w:rsidRDefault="001C2F95" w:rsidP="00971FD2">
            <w:pPr>
              <w:textAlignment w:val="baseline"/>
              <w:rPr>
                <w:rFonts w:cs="Arial"/>
                <w:color w:val="000000"/>
                <w:sz w:val="22"/>
              </w:rPr>
            </w:pPr>
            <w:r w:rsidRPr="00982564">
              <w:rPr>
                <w:rFonts w:cs="Arial"/>
                <w:color w:val="000000"/>
                <w:sz w:val="22"/>
              </w:rPr>
              <w:t>Insuffisance des infrastructures sanitaires et accès difficile aux soins de santé.</w:t>
            </w:r>
          </w:p>
          <w:p w14:paraId="0DB533F5" w14:textId="77777777" w:rsidR="001C2F95" w:rsidRPr="00982564" w:rsidRDefault="001C2F95" w:rsidP="00971FD2">
            <w:pPr>
              <w:textAlignment w:val="baseline"/>
              <w:rPr>
                <w:rFonts w:cs="Arial"/>
                <w:color w:val="000000"/>
                <w:sz w:val="22"/>
              </w:rPr>
            </w:pPr>
            <w:r w:rsidRPr="00982564">
              <w:rPr>
                <w:rFonts w:cs="Arial"/>
                <w:color w:val="000000"/>
                <w:sz w:val="22"/>
              </w:rPr>
              <w:t>La capacité de desserte sanitaire en Province du Nord-Kivu est insuffisante par rapport à la population à prendre en charge. Certaines infrastructures sanitaires ont été détruites pendant la guerre et leurs équipements et médicaments pillés. L’on assiste à une marchandisation très exagérée des actes médicaux qui, parfois, sont de très mauvaise qualité. Selon MICS2, 140 enfants sur 1 000 meurent avant l’âge de 1 an et 237 sur 1 000 meurent avant l’âge de 5 ans.</w:t>
            </w:r>
          </w:p>
          <w:p w14:paraId="7B96E843" w14:textId="77777777" w:rsidR="001857F5" w:rsidRPr="00982564" w:rsidRDefault="001C2F95" w:rsidP="00971FD2">
            <w:pPr>
              <w:textAlignment w:val="baseline"/>
              <w:rPr>
                <w:rFonts w:cs="Arial"/>
                <w:color w:val="000000"/>
                <w:sz w:val="22"/>
              </w:rPr>
            </w:pPr>
            <w:r w:rsidRPr="00982564">
              <w:rPr>
                <w:rFonts w:cs="Arial"/>
                <w:color w:val="000000"/>
                <w:sz w:val="22"/>
              </w:rPr>
              <w:t xml:space="preserve">Avec l’arrivée des humanitaires, dans le cadre de porter une réponse aux affres de la guerre, plusieurs </w:t>
            </w:r>
            <w:r w:rsidR="001857F5" w:rsidRPr="00982564">
              <w:rPr>
                <w:rFonts w:cs="Arial"/>
                <w:color w:val="000000"/>
                <w:sz w:val="22"/>
              </w:rPr>
              <w:t>hôpitaux</w:t>
            </w:r>
            <w:r w:rsidRPr="00982564">
              <w:rPr>
                <w:rFonts w:cs="Arial"/>
                <w:color w:val="000000"/>
                <w:sz w:val="22"/>
              </w:rPr>
              <w:t xml:space="preserve"> et centre de santé ont été réhabilités et appuyés. Les offres de services liés aux survivantes des VBG ont été lancés, et les kits post viol pour les cas de violences sexuelles ont été rendus disponibles dans les centres de santé les plus </w:t>
            </w:r>
            <w:r w:rsidR="001857F5" w:rsidRPr="00982564">
              <w:rPr>
                <w:rFonts w:cs="Arial"/>
                <w:color w:val="000000"/>
                <w:sz w:val="22"/>
              </w:rPr>
              <w:t>reculés</w:t>
            </w:r>
            <w:r w:rsidRPr="00982564">
              <w:rPr>
                <w:rFonts w:cs="Arial"/>
                <w:color w:val="000000"/>
                <w:sz w:val="22"/>
              </w:rPr>
              <w:t xml:space="preserve"> du fait que la majorité des cas venaient des coins les plus vulnérables de la Province. </w:t>
            </w:r>
          </w:p>
          <w:p w14:paraId="67593D43" w14:textId="77777777" w:rsidR="001857F5" w:rsidRPr="00982564" w:rsidRDefault="001857F5" w:rsidP="00971FD2">
            <w:pPr>
              <w:textAlignment w:val="baseline"/>
              <w:rPr>
                <w:rFonts w:cs="Arial"/>
                <w:color w:val="000000"/>
                <w:sz w:val="22"/>
              </w:rPr>
            </w:pPr>
          </w:p>
          <w:p w14:paraId="659014F8" w14:textId="77777777" w:rsidR="001857F5" w:rsidRPr="00982564" w:rsidRDefault="001857F5" w:rsidP="001857F5">
            <w:pPr>
              <w:textAlignment w:val="baseline"/>
              <w:rPr>
                <w:rFonts w:cs="Arial"/>
                <w:color w:val="000000"/>
                <w:sz w:val="22"/>
              </w:rPr>
            </w:pPr>
            <w:r w:rsidRPr="00982564">
              <w:rPr>
                <w:rFonts w:cs="Arial"/>
                <w:color w:val="000000"/>
                <w:sz w:val="22"/>
              </w:rPr>
              <w:t>Le Nord Kivu est la Province qui a connu le plus grand investissement des bailleurs sur le plan sanitaire. Les femmes et filles qui jadis sent parcouraient des très longues distances pour avoir accès aux soins se sont vu alléger par la création des postes de santé et des cliniques mobiles afin d’être le plus proche possible de la population à causes des affres de guerre. Cependant les besoins en couverture sanitaire est loin d’être totale.</w:t>
            </w:r>
          </w:p>
        </w:tc>
      </w:tr>
      <w:tr w:rsidR="001C2F95" w:rsidRPr="00982564" w14:paraId="3E5411A1"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596E09E" w14:textId="77777777" w:rsidR="001C2F95" w:rsidRPr="00982564" w:rsidRDefault="001C2F95" w:rsidP="00971FD2">
            <w:pPr>
              <w:rPr>
                <w:rFonts w:eastAsia="Calibri" w:cs="Arial"/>
                <w:b/>
                <w:sz w:val="22"/>
              </w:rPr>
            </w:pPr>
            <w:r w:rsidRPr="00982564">
              <w:rPr>
                <w:rFonts w:eastAsia="Calibri" w:cs="Arial"/>
                <w:b/>
                <w:sz w:val="22"/>
              </w:rPr>
              <w:t>Situation du COVID-19 et Ebola dans la Province du Nord-Kivu</w:t>
            </w:r>
          </w:p>
        </w:tc>
        <w:tc>
          <w:tcPr>
            <w:tcW w:w="11287" w:type="dxa"/>
            <w:tcBorders>
              <w:top w:val="single" w:sz="4" w:space="0" w:color="000001"/>
              <w:left w:val="single" w:sz="4" w:space="0" w:color="000001"/>
              <w:bottom w:val="single" w:sz="4" w:space="0" w:color="000001"/>
              <w:right w:val="single" w:sz="4" w:space="0" w:color="000001"/>
            </w:tcBorders>
          </w:tcPr>
          <w:p w14:paraId="38340296" w14:textId="27C73FE2" w:rsidR="001C2F95" w:rsidRPr="00982564" w:rsidRDefault="001C2F95" w:rsidP="00971FD2">
            <w:pPr>
              <w:textAlignment w:val="baseline"/>
              <w:rPr>
                <w:rFonts w:cs="Arial"/>
                <w:color w:val="000000"/>
                <w:sz w:val="22"/>
              </w:rPr>
            </w:pPr>
            <w:r w:rsidRPr="00982564">
              <w:rPr>
                <w:rFonts w:cs="Arial"/>
                <w:color w:val="000000"/>
                <w:sz w:val="22"/>
              </w:rPr>
              <w:t>Depuis le début de la pandémie à COVID-19 en RDC, la Province du Nord-Kivu a déjà enregistré 1295 cas de la COVID-19 confirmés par l’INRB</w:t>
            </w:r>
            <w:r w:rsidR="001857F5" w:rsidRPr="00982564">
              <w:rPr>
                <w:rFonts w:cs="Arial"/>
                <w:color w:val="000000"/>
                <w:sz w:val="22"/>
              </w:rPr>
              <w:t xml:space="preserve"> </w:t>
            </w:r>
            <w:r w:rsidRPr="00982564">
              <w:rPr>
                <w:rFonts w:cs="Arial"/>
                <w:color w:val="000000"/>
                <w:sz w:val="22"/>
              </w:rPr>
              <w:t>d’après la situation du 12 janvier 2021. Des mesures barrières et le couvre-feu à partir du 21h00 à 5h00 sont observées sur toute l’étendue de la Province. Tandis qu’au 25 juin 2020, la RDC a déclaré la fin de la dixième épidémie d'Ebola. Déclarée le 1</w:t>
            </w:r>
            <w:r w:rsidRPr="00B86CA8">
              <w:rPr>
                <w:rFonts w:cs="Arial"/>
                <w:color w:val="000000"/>
                <w:sz w:val="22"/>
                <w:vertAlign w:val="superscript"/>
              </w:rPr>
              <w:t>er</w:t>
            </w:r>
            <w:r w:rsidRPr="00982564">
              <w:rPr>
                <w:rFonts w:cs="Arial"/>
                <w:color w:val="000000"/>
                <w:sz w:val="22"/>
              </w:rPr>
              <w:t xml:space="preserve"> août 2018, elle a fait plus de 2 200 morts, la plus grave dans l'histoire du pays. </w:t>
            </w:r>
            <w:r w:rsidR="00217EDB">
              <w:rPr>
                <w:rFonts w:cs="Arial"/>
                <w:color w:val="000000"/>
                <w:sz w:val="22"/>
              </w:rPr>
              <w:t xml:space="preserve">Cependant, il y a eu une réapparution du virus Ebola au Nord-Kivu signalée par l’OMS le 7 février 2021.  </w:t>
            </w:r>
            <w:r w:rsidRPr="00982564">
              <w:rPr>
                <w:rFonts w:cs="Arial"/>
                <w:color w:val="000000"/>
                <w:sz w:val="22"/>
              </w:rPr>
              <w:t xml:space="preserve"> </w:t>
            </w:r>
          </w:p>
        </w:tc>
      </w:tr>
      <w:tr w:rsidR="001C2F95" w:rsidRPr="00982564" w14:paraId="15734DFF"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A351EDC" w14:textId="77777777" w:rsidR="001C2F95" w:rsidRPr="00982564" w:rsidRDefault="001C2F95" w:rsidP="00971FD2">
            <w:pPr>
              <w:rPr>
                <w:rFonts w:eastAsia="Calibri" w:cs="Arial"/>
                <w:b/>
                <w:sz w:val="22"/>
              </w:rPr>
            </w:pPr>
            <w:r w:rsidRPr="00982564">
              <w:rPr>
                <w:rFonts w:eastAsia="Calibri" w:cs="Arial"/>
                <w:b/>
                <w:sz w:val="22"/>
              </w:rPr>
              <w:t>Éducation</w:t>
            </w:r>
          </w:p>
        </w:tc>
        <w:tc>
          <w:tcPr>
            <w:tcW w:w="11287" w:type="dxa"/>
            <w:tcBorders>
              <w:top w:val="single" w:sz="4" w:space="0" w:color="000001"/>
              <w:left w:val="single" w:sz="4" w:space="0" w:color="000001"/>
              <w:bottom w:val="single" w:sz="4" w:space="0" w:color="000001"/>
              <w:right w:val="single" w:sz="4" w:space="0" w:color="000001"/>
            </w:tcBorders>
          </w:tcPr>
          <w:p w14:paraId="22EDC1CE" w14:textId="77777777" w:rsidR="001C2F95" w:rsidRPr="00982564" w:rsidRDefault="001C2F95" w:rsidP="00971FD2">
            <w:pPr>
              <w:textAlignment w:val="baseline"/>
              <w:rPr>
                <w:rFonts w:cs="Arial"/>
                <w:color w:val="000000"/>
                <w:sz w:val="22"/>
              </w:rPr>
            </w:pPr>
            <w:r w:rsidRPr="00982564">
              <w:rPr>
                <w:rFonts w:cs="Arial"/>
                <w:color w:val="000000"/>
                <w:sz w:val="22"/>
              </w:rPr>
              <w:t>L’enquête MICS2-Palu, RDC, 2017-2018 renseigne que le taux de fréquentation scolaire des enfants dans la Province du Nord-Kivu est de 80,5 %. Mais suite aux conflits récurrents dans la Province, un grand nombre d’enfants sont confrontés à des ruptures fréquentes des cours, ce qui n’épargne pas la Province du Nord-Kivu de figurer sur la liste des provinces qui enregistrent des taux de non scolarisation élevés surtout en zones affectées par les conflits. L’année 2014 a été marquée par un faible accès à l’école pour un bon nombre d’enfants déplacés et retournés affectés par les conflits surtout en Territoires de Walikale (axes Walikale-Bukavu), Masisi (axes Kibabi-Katoyi-Luke, Karuba-Ngungu/Ufamandu) et récemment Beni (axe Beni-Eringeti) avec les attaques à l’arme blanche attribuées aux présumés ADF/NALU.</w:t>
            </w:r>
          </w:p>
          <w:p w14:paraId="1630B42F" w14:textId="77777777" w:rsidR="001C2F95" w:rsidRPr="00982564" w:rsidRDefault="001C2F95" w:rsidP="00971FD2">
            <w:pPr>
              <w:textAlignment w:val="baseline"/>
              <w:rPr>
                <w:rFonts w:cs="Arial"/>
                <w:color w:val="000000"/>
                <w:sz w:val="22"/>
              </w:rPr>
            </w:pPr>
          </w:p>
          <w:p w14:paraId="657D3954" w14:textId="77777777" w:rsidR="001C2F95" w:rsidRPr="00982564" w:rsidRDefault="001C2F95" w:rsidP="00971FD2">
            <w:pPr>
              <w:textAlignment w:val="baseline"/>
              <w:rPr>
                <w:rFonts w:cs="Arial"/>
                <w:color w:val="000000"/>
                <w:sz w:val="22"/>
              </w:rPr>
            </w:pPr>
            <w:r w:rsidRPr="00982564">
              <w:rPr>
                <w:rFonts w:cs="Arial"/>
                <w:color w:val="000000"/>
                <w:sz w:val="22"/>
              </w:rPr>
              <w:t>Au Nord-Kivu existe aussi la discrimination scolaire. Dans une famille, les garçons sont privilégiés pour accéder aux études par rapport aux filles. Les travaux ménagers et de champs concourent plus à la main-d’</w:t>
            </w:r>
            <w:r w:rsidR="001857F5" w:rsidRPr="00982564">
              <w:rPr>
                <w:rFonts w:cs="Arial"/>
                <w:color w:val="000000"/>
                <w:sz w:val="22"/>
              </w:rPr>
              <w:t xml:space="preserve">œuvre </w:t>
            </w:r>
            <w:r w:rsidRPr="00982564">
              <w:rPr>
                <w:rFonts w:cs="Arial"/>
                <w:color w:val="000000"/>
                <w:sz w:val="22"/>
              </w:rPr>
              <w:t xml:space="preserve"> féminine. </w:t>
            </w:r>
          </w:p>
          <w:p w14:paraId="100D2595" w14:textId="77777777" w:rsidR="001C2F95" w:rsidRPr="00982564" w:rsidRDefault="001C2F95" w:rsidP="00971FD2">
            <w:pPr>
              <w:textAlignment w:val="baseline"/>
              <w:rPr>
                <w:rFonts w:cs="Arial"/>
                <w:color w:val="000000"/>
                <w:sz w:val="22"/>
              </w:rPr>
            </w:pPr>
          </w:p>
          <w:p w14:paraId="63678557" w14:textId="77777777" w:rsidR="001C2F95" w:rsidRPr="00982564" w:rsidRDefault="001C2F95" w:rsidP="001857F5">
            <w:pPr>
              <w:textAlignment w:val="baseline"/>
              <w:rPr>
                <w:rFonts w:cs="Arial"/>
                <w:color w:val="000000"/>
                <w:sz w:val="22"/>
              </w:rPr>
            </w:pPr>
            <w:r w:rsidRPr="00982564">
              <w:rPr>
                <w:rFonts w:cs="Arial"/>
                <w:color w:val="000000"/>
                <w:sz w:val="22"/>
              </w:rPr>
              <w:t xml:space="preserve">Malgré le programme du Gouvernement sur la gratuité de l’enseignement sur toute l’étendue de la RDC, la Province du Nord-Kivu connait toujours des problèmes de l’insécurité qui ne permet pas aux élèves filles et garçons d’aller à l’école, hormis dans le </w:t>
            </w:r>
            <w:r w:rsidR="001857F5" w:rsidRPr="00982564">
              <w:rPr>
                <w:rFonts w:cs="Arial"/>
                <w:color w:val="000000"/>
                <w:sz w:val="22"/>
              </w:rPr>
              <w:t>C</w:t>
            </w:r>
            <w:r w:rsidRPr="00982564">
              <w:rPr>
                <w:rFonts w:cs="Arial"/>
                <w:color w:val="000000"/>
                <w:sz w:val="22"/>
              </w:rPr>
              <w:t>hef</w:t>
            </w:r>
            <w:r w:rsidR="001857F5" w:rsidRPr="00982564">
              <w:rPr>
                <w:rFonts w:cs="Arial"/>
                <w:color w:val="000000"/>
                <w:sz w:val="22"/>
              </w:rPr>
              <w:t>-</w:t>
            </w:r>
            <w:r w:rsidRPr="00982564">
              <w:rPr>
                <w:rFonts w:cs="Arial"/>
                <w:color w:val="000000"/>
                <w:sz w:val="22"/>
              </w:rPr>
              <w:t>lieu, Goma.</w:t>
            </w:r>
          </w:p>
        </w:tc>
      </w:tr>
      <w:tr w:rsidR="001C2F95" w:rsidRPr="00982564" w14:paraId="5B3D3982"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383FEFD" w14:textId="77777777" w:rsidR="001C2F95" w:rsidRPr="00982564" w:rsidRDefault="001C2F95" w:rsidP="00971FD2">
            <w:pPr>
              <w:jc w:val="left"/>
              <w:rPr>
                <w:rFonts w:eastAsia="Calibri" w:cs="Arial"/>
                <w:b/>
                <w:sz w:val="22"/>
              </w:rPr>
            </w:pPr>
            <w:r w:rsidRPr="00982564">
              <w:rPr>
                <w:rFonts w:eastAsia="Calibri" w:cs="Arial"/>
                <w:b/>
                <w:sz w:val="22"/>
              </w:rPr>
              <w:t>Infrastructures de transport</w:t>
            </w:r>
          </w:p>
        </w:tc>
        <w:tc>
          <w:tcPr>
            <w:tcW w:w="11287" w:type="dxa"/>
            <w:tcBorders>
              <w:top w:val="single" w:sz="4" w:space="0" w:color="000001"/>
              <w:left w:val="single" w:sz="4" w:space="0" w:color="000001"/>
              <w:bottom w:val="single" w:sz="4" w:space="0" w:color="000001"/>
              <w:right w:val="single" w:sz="4" w:space="0" w:color="000001"/>
            </w:tcBorders>
          </w:tcPr>
          <w:p w14:paraId="79D9F118" w14:textId="77777777" w:rsidR="001C2F95" w:rsidRPr="00982564" w:rsidRDefault="001C2F95" w:rsidP="00971FD2">
            <w:pPr>
              <w:textAlignment w:val="baseline"/>
              <w:rPr>
                <w:rFonts w:cs="Arial"/>
                <w:color w:val="000000"/>
                <w:sz w:val="22"/>
              </w:rPr>
            </w:pPr>
            <w:r w:rsidRPr="00982564">
              <w:rPr>
                <w:rFonts w:cs="Arial"/>
                <w:color w:val="000000"/>
                <w:sz w:val="22"/>
              </w:rPr>
              <w:t>La Province du Nord-Kivu compte 1.709 km du réseau routier, indiquent les statistiques 2014 du ministère provincial de l’Intérieur et de la reconstruction fournis par le périodique « Soleil du Congo » paru à Kinshasa, dans son édition spéciale consacrée entièrement à cette province.</w:t>
            </w:r>
          </w:p>
          <w:p w14:paraId="390326F9" w14:textId="77777777" w:rsidR="001C2F95" w:rsidRPr="00982564" w:rsidRDefault="001C2F95" w:rsidP="00971FD2">
            <w:pPr>
              <w:textAlignment w:val="baseline"/>
              <w:rPr>
                <w:rFonts w:cs="Arial"/>
                <w:color w:val="000000"/>
                <w:sz w:val="22"/>
              </w:rPr>
            </w:pPr>
          </w:p>
          <w:p w14:paraId="48FADEAC" w14:textId="77777777" w:rsidR="001C2F95" w:rsidRPr="00982564" w:rsidRDefault="001C2F95" w:rsidP="00971FD2">
            <w:pPr>
              <w:textAlignment w:val="baseline"/>
              <w:rPr>
                <w:rFonts w:cs="Arial"/>
                <w:color w:val="000000"/>
                <w:sz w:val="22"/>
                <w:highlight w:val="yellow"/>
              </w:rPr>
            </w:pPr>
            <w:r w:rsidRPr="00982564">
              <w:rPr>
                <w:rFonts w:cs="Arial"/>
                <w:color w:val="000000"/>
                <w:sz w:val="22"/>
              </w:rPr>
              <w:t>Le Lac Kivu a pour exutoire la rivière Ruzizi qui alimente le Lac Tanganyika. Le lac couvre une superficie totale de 2 700 km</w:t>
            </w:r>
            <w:r w:rsidRPr="00982564">
              <w:rPr>
                <w:rFonts w:cs="Arial"/>
                <w:color w:val="000000"/>
                <w:sz w:val="22"/>
                <w:vertAlign w:val="superscript"/>
              </w:rPr>
              <w:t xml:space="preserve">2 </w:t>
            </w:r>
            <w:r w:rsidRPr="00982564">
              <w:rPr>
                <w:rFonts w:cs="Arial"/>
                <w:color w:val="000000"/>
                <w:sz w:val="22"/>
              </w:rPr>
              <w:t>de l’espace d’eau navigable. Tandis que le Lac Édouard est alimenté par les rivières Nyamugasani, Ishasha, Rutshuru et Rwindi. Ce lac a une taille de 77 km sur 40 et couvre une espace totale de 2 150 km</w:t>
            </w:r>
            <w:r w:rsidRPr="00982564">
              <w:rPr>
                <w:rFonts w:cs="Arial"/>
                <w:color w:val="000000"/>
                <w:sz w:val="22"/>
                <w:vertAlign w:val="superscript"/>
              </w:rPr>
              <w:t>2</w:t>
            </w:r>
            <w:r w:rsidRPr="00982564">
              <w:rPr>
                <w:rFonts w:cs="Arial"/>
                <w:color w:val="000000"/>
                <w:sz w:val="22"/>
              </w:rPr>
              <w:t>. L’insécurité est un problème très sérieux qui menace toutes les voies de communication.</w:t>
            </w:r>
          </w:p>
        </w:tc>
      </w:tr>
      <w:tr w:rsidR="001C2F95" w:rsidRPr="00982564" w14:paraId="23BFE08D"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6D425F0" w14:textId="77777777" w:rsidR="001C2F95" w:rsidRPr="00982564" w:rsidRDefault="001C2F95" w:rsidP="00971FD2">
            <w:pPr>
              <w:rPr>
                <w:rFonts w:eastAsia="Calibri" w:cs="Arial"/>
                <w:b/>
                <w:sz w:val="22"/>
              </w:rPr>
            </w:pPr>
            <w:r w:rsidRPr="00982564">
              <w:rPr>
                <w:rFonts w:eastAsia="Calibri" w:cs="Arial"/>
                <w:b/>
                <w:sz w:val="22"/>
              </w:rPr>
              <w:t>Accès à l’énergie</w:t>
            </w:r>
          </w:p>
        </w:tc>
        <w:tc>
          <w:tcPr>
            <w:tcW w:w="11287" w:type="dxa"/>
            <w:tcBorders>
              <w:top w:val="single" w:sz="4" w:space="0" w:color="000001"/>
              <w:left w:val="single" w:sz="4" w:space="0" w:color="000001"/>
              <w:bottom w:val="single" w:sz="4" w:space="0" w:color="000001"/>
              <w:right w:val="single" w:sz="4" w:space="0" w:color="000001"/>
            </w:tcBorders>
          </w:tcPr>
          <w:p w14:paraId="23C04FBE" w14:textId="77777777" w:rsidR="001C2F95" w:rsidRPr="00982564" w:rsidRDefault="001C2F95" w:rsidP="00971FD2">
            <w:pPr>
              <w:textAlignment w:val="baseline"/>
              <w:rPr>
                <w:rFonts w:cs="Arial"/>
                <w:color w:val="000000"/>
                <w:sz w:val="22"/>
              </w:rPr>
            </w:pPr>
            <w:r w:rsidRPr="00982564">
              <w:rPr>
                <w:rFonts w:cs="Arial"/>
                <w:color w:val="000000"/>
                <w:sz w:val="22"/>
                <w:shd w:val="clear" w:color="auto" w:fill="FFFFFF"/>
              </w:rPr>
              <w:t xml:space="preserve">En milieu rural, l‛énergie domestique est fournie en concurrence de 98 % par le bois de chauffe et les braises et     2 % par le pétrole. La Ville de GOMA est alimentée en énergie électrique par le Barrage Hydroélectrique de la Ruzizi dans le Sud- Kivu et celui de Matebe pour le compte de la société Virunga SARL. Les jeunes garçons et jeunes filles font le ramassage de bois pour la survie. </w:t>
            </w:r>
            <w:r w:rsidRPr="00982564">
              <w:rPr>
                <w:rFonts w:cs="Arial"/>
                <w:color w:val="000000"/>
                <w:sz w:val="22"/>
              </w:rPr>
              <w:t xml:space="preserve">Par la suite, les filles sont plus exposées aux risques de </w:t>
            </w:r>
            <w:r w:rsidRPr="00982564">
              <w:rPr>
                <w:rFonts w:cs="Arial"/>
                <w:color w:val="000000"/>
                <w:sz w:val="22"/>
                <w:shd w:val="clear" w:color="auto" w:fill="FFFFFF"/>
              </w:rPr>
              <w:t>VBG à l’occasion de ces activités de ramassage.</w:t>
            </w:r>
          </w:p>
        </w:tc>
      </w:tr>
      <w:tr w:rsidR="001C2F95" w:rsidRPr="00982564" w14:paraId="3CB78732"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316415D" w14:textId="77777777" w:rsidR="001C2F95" w:rsidRPr="00982564" w:rsidRDefault="001C2F95" w:rsidP="00971FD2">
            <w:pPr>
              <w:textAlignment w:val="baseline"/>
              <w:rPr>
                <w:rFonts w:cs="Arial"/>
                <w:b/>
                <w:color w:val="000000"/>
                <w:sz w:val="22"/>
                <w:shd w:val="clear" w:color="auto" w:fill="FFFFFF"/>
              </w:rPr>
            </w:pPr>
            <w:r w:rsidRPr="00982564">
              <w:rPr>
                <w:rFonts w:cs="Arial"/>
                <w:b/>
                <w:color w:val="000000"/>
                <w:sz w:val="22"/>
                <w:shd w:val="clear" w:color="auto" w:fill="FFFFFF"/>
              </w:rPr>
              <w:t>Accès à l’eau</w:t>
            </w:r>
          </w:p>
        </w:tc>
        <w:tc>
          <w:tcPr>
            <w:tcW w:w="11287" w:type="dxa"/>
            <w:tcBorders>
              <w:top w:val="single" w:sz="4" w:space="0" w:color="000001"/>
              <w:left w:val="single" w:sz="4" w:space="0" w:color="000001"/>
              <w:bottom w:val="single" w:sz="4" w:space="0" w:color="000001"/>
              <w:right w:val="single" w:sz="4" w:space="0" w:color="000001"/>
            </w:tcBorders>
          </w:tcPr>
          <w:p w14:paraId="57D652D8" w14:textId="77777777" w:rsidR="001C2F95" w:rsidRPr="00982564" w:rsidRDefault="001C2F95" w:rsidP="00971FD2">
            <w:pPr>
              <w:textAlignment w:val="baseline"/>
              <w:rPr>
                <w:rFonts w:cs="Arial"/>
                <w:color w:val="000000"/>
                <w:sz w:val="22"/>
                <w:shd w:val="clear" w:color="auto" w:fill="FFFFFF"/>
              </w:rPr>
            </w:pPr>
            <w:r w:rsidRPr="00982564">
              <w:rPr>
                <w:rFonts w:cs="Arial"/>
                <w:color w:val="000000"/>
                <w:sz w:val="22"/>
                <w:shd w:val="clear" w:color="auto" w:fill="FFFFFF"/>
              </w:rPr>
              <w:t>L’accès à l’eau potable est très difficile dans la Province du Nord-Kivu. La majorité de la population n’a pas accès à l’eau potable, ce, suite à l’insuffisance des sources d’eau aménagées en milieux ruraux et à l’incapacité de la REGIDESO de satisfaire à la demande en milieux urbains. Le taux de consommation de l’eau par la population n’est pas conforme aux normes de l’OMS et la quantité utilisée par habitant est nettement insuffisante.</w:t>
            </w:r>
            <w:r w:rsidRPr="00982564">
              <w:rPr>
                <w:rFonts w:cs="Arial"/>
                <w:sz w:val="22"/>
              </w:rPr>
              <w:t xml:space="preserve"> </w:t>
            </w:r>
            <w:r w:rsidRPr="00982564">
              <w:rPr>
                <w:rFonts w:cs="Arial"/>
                <w:color w:val="000000"/>
                <w:sz w:val="22"/>
                <w:shd w:val="clear" w:color="auto" w:fill="FFFFFF"/>
              </w:rPr>
              <w:t>Le très faible accès à l’eau potable, aux ouvrages d’assainissement ainsi que les épidémies récurrentes principalement le choléra, font du Nord-Kivu l’une des Provinces les plus vulnérables de la RDC (couverture en eau potable de 26 % et couverture en assainissement de 23 % selon les résultats de l’étude menée par la Banque Mondiale en juin 2011). La vulnérabilité aux épidémies est aggravée par les mouvements des populations liés au contexte de conflits armés, à la consommation de l’eau non traitée et au faible taux de lavage des mains aux moments clés.</w:t>
            </w:r>
          </w:p>
          <w:p w14:paraId="5434FBF0" w14:textId="77777777" w:rsidR="001C2F95" w:rsidRPr="00982564" w:rsidRDefault="001C2F95" w:rsidP="00971FD2">
            <w:pPr>
              <w:textAlignment w:val="baseline"/>
              <w:rPr>
                <w:rFonts w:cs="Arial"/>
                <w:color w:val="000000"/>
                <w:sz w:val="22"/>
                <w:shd w:val="clear" w:color="auto" w:fill="FFFFFF"/>
              </w:rPr>
            </w:pPr>
          </w:p>
          <w:p w14:paraId="0FB20D5E" w14:textId="77777777" w:rsidR="001C2F95" w:rsidRPr="00982564" w:rsidRDefault="001C2F95" w:rsidP="00971FD2">
            <w:pPr>
              <w:textAlignment w:val="baseline"/>
              <w:rPr>
                <w:rFonts w:cs="Arial"/>
                <w:color w:val="000000"/>
                <w:sz w:val="22"/>
                <w:shd w:val="clear" w:color="auto" w:fill="FFFFFF"/>
              </w:rPr>
            </w:pPr>
            <w:r w:rsidRPr="00982564">
              <w:rPr>
                <w:rFonts w:cs="Arial"/>
                <w:color w:val="000000"/>
                <w:sz w:val="22"/>
                <w:shd w:val="clear" w:color="auto" w:fill="FFFFFF"/>
              </w:rPr>
              <w:t>Au Nord-Kivu, la population s’approvisionne en eau du lac avec tout ce qu’elle présente comme risques du point de vue de la santé. Les jeunes filles/femmes/garçons puisent de l’eau tôt le matin et tard dans la soirée. Cette situation expose les filles/femmes aux actes des VBG, y compris l’EAS et le HS, dans la communauté lorsqu’elles se rendent au lac pour s’approvisionner en eau.</w:t>
            </w:r>
          </w:p>
        </w:tc>
      </w:tr>
      <w:tr w:rsidR="001C2F95" w:rsidRPr="00982564" w14:paraId="56DEE518"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7CA5DE8" w14:textId="77777777" w:rsidR="001C2F95" w:rsidRPr="00982564" w:rsidRDefault="001C2F95" w:rsidP="00971FD2">
            <w:pPr>
              <w:rPr>
                <w:rFonts w:eastAsia="Calibri" w:cs="Arial"/>
                <w:b/>
                <w:sz w:val="22"/>
              </w:rPr>
            </w:pPr>
            <w:r w:rsidRPr="00982564">
              <w:rPr>
                <w:rFonts w:eastAsia="Calibri" w:cs="Arial"/>
                <w:b/>
                <w:sz w:val="22"/>
              </w:rPr>
              <w:t>Communication</w:t>
            </w:r>
          </w:p>
        </w:tc>
        <w:tc>
          <w:tcPr>
            <w:tcW w:w="11287" w:type="dxa"/>
            <w:tcBorders>
              <w:top w:val="single" w:sz="4" w:space="0" w:color="000001"/>
              <w:left w:val="single" w:sz="4" w:space="0" w:color="000001"/>
              <w:bottom w:val="single" w:sz="4" w:space="0" w:color="000001"/>
              <w:right w:val="single" w:sz="4" w:space="0" w:color="000001"/>
            </w:tcBorders>
          </w:tcPr>
          <w:p w14:paraId="598177D4" w14:textId="77777777" w:rsidR="001C2F95" w:rsidRPr="00982564" w:rsidRDefault="001C2F95" w:rsidP="00971FD2">
            <w:pPr>
              <w:textAlignment w:val="baseline"/>
              <w:rPr>
                <w:rFonts w:cs="Arial"/>
                <w:color w:val="000000"/>
                <w:sz w:val="22"/>
              </w:rPr>
            </w:pPr>
            <w:r w:rsidRPr="00982564">
              <w:rPr>
                <w:rFonts w:cs="Arial"/>
                <w:color w:val="000000"/>
                <w:sz w:val="22"/>
              </w:rPr>
              <w:t>Le réseau téléphonique est composé du secteur public (Postes et Télécommunications) et du secteur privé (Airtel, Vodacom et   Orange).</w:t>
            </w:r>
            <w:r w:rsidRPr="00982564">
              <w:rPr>
                <w:rFonts w:cs="Arial"/>
                <w:sz w:val="22"/>
              </w:rPr>
              <w:t xml:space="preserve"> </w:t>
            </w:r>
            <w:r w:rsidRPr="00982564">
              <w:rPr>
                <w:rFonts w:cs="Arial"/>
                <w:color w:val="000000"/>
                <w:sz w:val="22"/>
              </w:rPr>
              <w:t>Certains utilisateurs rapportent se connecter à Internet via leur téléphone mobile mais fréquentent également les cyber-cafés dans les villes Il y a également plus d’une trentaine des radios et de télévisions locales.</w:t>
            </w:r>
          </w:p>
        </w:tc>
      </w:tr>
      <w:tr w:rsidR="001C2F95" w:rsidRPr="00982564" w14:paraId="64F2934A"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007A4D5" w14:textId="77777777" w:rsidR="001C2F95" w:rsidRPr="00982564" w:rsidRDefault="001C2F95" w:rsidP="00971FD2">
            <w:pPr>
              <w:rPr>
                <w:rFonts w:eastAsia="Calibri" w:cs="Arial"/>
                <w:b/>
                <w:sz w:val="22"/>
              </w:rPr>
            </w:pPr>
            <w:r w:rsidRPr="00982564">
              <w:rPr>
                <w:rFonts w:eastAsia="Calibri" w:cs="Arial"/>
                <w:b/>
                <w:sz w:val="22"/>
              </w:rPr>
              <w:t>Aire protégée</w:t>
            </w:r>
          </w:p>
        </w:tc>
        <w:tc>
          <w:tcPr>
            <w:tcW w:w="11287" w:type="dxa"/>
            <w:tcBorders>
              <w:top w:val="single" w:sz="4" w:space="0" w:color="000001"/>
              <w:left w:val="single" w:sz="4" w:space="0" w:color="000001"/>
              <w:bottom w:val="single" w:sz="4" w:space="0" w:color="000001"/>
              <w:right w:val="single" w:sz="4" w:space="0" w:color="000001"/>
            </w:tcBorders>
          </w:tcPr>
          <w:p w14:paraId="004B546D" w14:textId="77777777" w:rsidR="001C2F95" w:rsidRPr="00982564" w:rsidRDefault="001C2F95" w:rsidP="00971FD2">
            <w:pPr>
              <w:textAlignment w:val="baseline"/>
              <w:rPr>
                <w:rFonts w:cs="Arial"/>
                <w:color w:val="232323"/>
                <w:sz w:val="22"/>
                <w:shd w:val="clear" w:color="auto" w:fill="FFFFFF"/>
              </w:rPr>
            </w:pPr>
            <w:r w:rsidRPr="00982564">
              <w:rPr>
                <w:rFonts w:cs="Arial"/>
                <w:color w:val="000000"/>
                <w:sz w:val="22"/>
                <w:shd w:val="clear" w:color="auto" w:fill="FFFFFF"/>
              </w:rPr>
              <w:t xml:space="preserve">Situé en bordure du Rift Albertin, le Parc National des Virunga (PNVi) est l’une des aires protégées les plus spectaculaires d’Afrique. Des lacs aux volcans en activités, aux savanes, en passant par les forêts sèches, les forêts denses humides, les zones alpines afro-tropicales ; on peut être tenté de prétendre qu’il ne manque que le désert et la mer parmi les biomes présents dans le Parc National des Virunga. Premier Parc d’Afrique, il fut créé en 1925 pour protéger les gorilles de montagne établis sur les pentes des volcans Virunga. Il fut plus tard étendu au Nord pour inclure les plaines herbeuses de la Rwindi, le Lac Edouard, les forêts denses humides de la vallée de la Semeliki et le massif du Rwenzori avec ses neiges éternelles. </w:t>
            </w:r>
          </w:p>
        </w:tc>
      </w:tr>
    </w:tbl>
    <w:p w14:paraId="490978D7" w14:textId="77777777" w:rsidR="001C2F95" w:rsidRPr="00982564" w:rsidRDefault="001C2F95" w:rsidP="001C2F95">
      <w:pPr>
        <w:rPr>
          <w:rFonts w:cs="Arial"/>
          <w:sz w:val="22"/>
        </w:rPr>
        <w:sectPr w:rsidR="001C2F95" w:rsidRPr="00982564" w:rsidSect="00EB7F94">
          <w:pgSz w:w="16838" w:h="11906" w:orient="landscape"/>
          <w:pgMar w:top="1276" w:right="1440" w:bottom="851" w:left="1440" w:header="709" w:footer="79" w:gutter="0"/>
          <w:cols w:space="708"/>
          <w:docGrid w:linePitch="360"/>
        </w:sectPr>
      </w:pPr>
    </w:p>
    <w:p w14:paraId="0B6DBB1B" w14:textId="77777777" w:rsidR="009B164E" w:rsidRDefault="007D4D73" w:rsidP="001C2F95">
      <w:pPr>
        <w:pStyle w:val="Titre2"/>
        <w:numPr>
          <w:ilvl w:val="1"/>
          <w:numId w:val="4"/>
        </w:numPr>
        <w:ind w:left="851" w:hanging="425"/>
        <w:rPr>
          <w:rFonts w:cs="Arial"/>
          <w:b/>
          <w:sz w:val="22"/>
          <w:szCs w:val="22"/>
        </w:rPr>
      </w:pPr>
      <w:bookmarkStart w:id="218" w:name="_Toc70330350"/>
      <w:bookmarkStart w:id="219" w:name="_Toc44626806"/>
      <w:bookmarkStart w:id="220" w:name="_Toc500754679"/>
      <w:r>
        <w:rPr>
          <w:rFonts w:cs="Arial"/>
          <w:b/>
          <w:sz w:val="22"/>
          <w:szCs w:val="22"/>
        </w:rPr>
        <w:t>Nombre estimatif des agriculteurs et petits exploitants agricoles rencontr</w:t>
      </w:r>
      <w:r w:rsidR="00D42235">
        <w:rPr>
          <w:rFonts w:cs="Arial"/>
          <w:b/>
          <w:sz w:val="22"/>
          <w:szCs w:val="22"/>
        </w:rPr>
        <w:t>é</w:t>
      </w:r>
      <w:r>
        <w:rPr>
          <w:rFonts w:cs="Arial"/>
          <w:b/>
          <w:sz w:val="22"/>
          <w:szCs w:val="22"/>
        </w:rPr>
        <w:t>s dans la zone du Programme.</w:t>
      </w:r>
      <w:bookmarkEnd w:id="218"/>
    </w:p>
    <w:p w14:paraId="0BAFBCF9" w14:textId="77777777" w:rsidR="007D4D73" w:rsidRDefault="007D4D73" w:rsidP="00EB7F94">
      <w:pPr>
        <w:ind w:left="426"/>
      </w:pPr>
    </w:p>
    <w:p w14:paraId="6FF15ED7" w14:textId="77777777" w:rsidR="007D4D73" w:rsidRPr="00EB7F94" w:rsidRDefault="00EB7F94" w:rsidP="00EB7F94">
      <w:pPr>
        <w:jc w:val="center"/>
      </w:pPr>
      <w:bookmarkStart w:id="221" w:name="_Toc70451654"/>
      <w:r w:rsidRPr="00AE6302">
        <w:rPr>
          <w:rFonts w:cs="Arial"/>
          <w:sz w:val="22"/>
        </w:rPr>
        <w:t xml:space="preserve">Tableau </w:t>
      </w:r>
      <w:r w:rsidRPr="00AE6302">
        <w:rPr>
          <w:rFonts w:cs="Arial"/>
          <w:sz w:val="22"/>
        </w:rPr>
        <w:fldChar w:fldCharType="begin"/>
      </w:r>
      <w:r w:rsidRPr="00AE6302">
        <w:rPr>
          <w:rFonts w:cs="Arial"/>
          <w:sz w:val="22"/>
        </w:rPr>
        <w:instrText xml:space="preserve"> SEQ Tableau \* ARABIC </w:instrText>
      </w:r>
      <w:r w:rsidRPr="00AE6302">
        <w:rPr>
          <w:rFonts w:cs="Arial"/>
          <w:sz w:val="22"/>
        </w:rPr>
        <w:fldChar w:fldCharType="separate"/>
      </w:r>
      <w:r w:rsidR="001260B3">
        <w:rPr>
          <w:rFonts w:cs="Arial"/>
          <w:noProof/>
          <w:sz w:val="22"/>
        </w:rPr>
        <w:t>8</w:t>
      </w:r>
      <w:r w:rsidRPr="00AE6302">
        <w:rPr>
          <w:rFonts w:cs="Arial"/>
          <w:sz w:val="22"/>
        </w:rPr>
        <w:fldChar w:fldCharType="end"/>
      </w:r>
      <w:r w:rsidRPr="00AE6302">
        <w:rPr>
          <w:rFonts w:cs="Arial"/>
          <w:sz w:val="22"/>
        </w:rPr>
        <w:t xml:space="preserve">. </w:t>
      </w:r>
      <w:r w:rsidR="00753252">
        <w:t>Nombre estimatif des exploitants agricoles de la zone du Programme</w:t>
      </w:r>
      <w:bookmarkEnd w:id="221"/>
    </w:p>
    <w:p w14:paraId="19D05BC3" w14:textId="77777777" w:rsidR="009B164E" w:rsidRDefault="009B164E" w:rsidP="00EB7F94">
      <w:pPr>
        <w:pStyle w:val="Titre2"/>
        <w:rPr>
          <w:rFonts w:cs="Arial"/>
          <w:b/>
          <w:sz w:val="22"/>
          <w:szCs w:val="22"/>
        </w:rPr>
      </w:pPr>
    </w:p>
    <w:tbl>
      <w:tblPr>
        <w:tblW w:w="7120" w:type="dxa"/>
        <w:jc w:val="center"/>
        <w:tblCellMar>
          <w:left w:w="70" w:type="dxa"/>
          <w:right w:w="70" w:type="dxa"/>
        </w:tblCellMar>
        <w:tblLook w:val="04A0" w:firstRow="1" w:lastRow="0" w:firstColumn="1" w:lastColumn="0" w:noHBand="0" w:noVBand="1"/>
      </w:tblPr>
      <w:tblGrid>
        <w:gridCol w:w="1660"/>
        <w:gridCol w:w="1820"/>
        <w:gridCol w:w="1820"/>
        <w:gridCol w:w="1820"/>
      </w:tblGrid>
      <w:tr w:rsidR="009B164E" w:rsidRPr="009B164E" w14:paraId="5A433CB1" w14:textId="77777777" w:rsidTr="00EB7F94">
        <w:trPr>
          <w:trHeight w:val="288"/>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5D12D7" w14:textId="77777777" w:rsidR="009B164E" w:rsidRPr="009B164E" w:rsidRDefault="009B164E" w:rsidP="009B164E">
            <w:pPr>
              <w:spacing w:line="240" w:lineRule="auto"/>
              <w:jc w:val="center"/>
              <w:rPr>
                <w:rFonts w:cs="Arial"/>
                <w:color w:val="000000"/>
                <w:sz w:val="22"/>
              </w:rPr>
            </w:pPr>
            <w:r w:rsidRPr="009B164E">
              <w:rPr>
                <w:rFonts w:cs="Arial"/>
                <w:color w:val="000000"/>
                <w:sz w:val="22"/>
              </w:rPr>
              <w:t>Province</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A8BB7E" w14:textId="77777777" w:rsidR="009B164E" w:rsidRPr="009B164E" w:rsidRDefault="009B164E" w:rsidP="009B164E">
            <w:pPr>
              <w:spacing w:line="240" w:lineRule="auto"/>
              <w:jc w:val="center"/>
              <w:rPr>
                <w:rFonts w:cs="Arial"/>
                <w:color w:val="000000"/>
                <w:sz w:val="22"/>
              </w:rPr>
            </w:pPr>
            <w:r w:rsidRPr="009B164E">
              <w:rPr>
                <w:rFonts w:cs="Arial"/>
                <w:color w:val="000000"/>
                <w:sz w:val="22"/>
              </w:rPr>
              <w:t xml:space="preserve">Nombre d’agriculteurs ruraux pauvres  </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2D8E25" w14:textId="77777777" w:rsidR="009B164E" w:rsidRPr="009B164E" w:rsidRDefault="009B164E" w:rsidP="009B164E">
            <w:pPr>
              <w:spacing w:line="240" w:lineRule="auto"/>
              <w:jc w:val="center"/>
              <w:rPr>
                <w:rFonts w:cs="Arial"/>
                <w:color w:val="000000"/>
                <w:sz w:val="22"/>
              </w:rPr>
            </w:pPr>
            <w:r w:rsidRPr="009B164E">
              <w:rPr>
                <w:rFonts w:cs="Arial"/>
                <w:color w:val="000000"/>
                <w:sz w:val="22"/>
              </w:rPr>
              <w:t xml:space="preserve">Nombre de foyers dans l’IPC 3 + 416 </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2CBDB" w14:textId="77777777" w:rsidR="009B164E" w:rsidRPr="009B164E" w:rsidRDefault="009B164E" w:rsidP="009B164E">
            <w:pPr>
              <w:spacing w:line="240" w:lineRule="auto"/>
              <w:jc w:val="center"/>
              <w:rPr>
                <w:rFonts w:cs="Arial"/>
                <w:color w:val="000000"/>
                <w:sz w:val="22"/>
              </w:rPr>
            </w:pPr>
            <w:r w:rsidRPr="009B164E">
              <w:rPr>
                <w:rFonts w:cs="Arial"/>
                <w:color w:val="000000"/>
                <w:sz w:val="22"/>
              </w:rPr>
              <w:t>Petits exploitants bénéficiaires estimés</w:t>
            </w:r>
          </w:p>
        </w:tc>
      </w:tr>
      <w:tr w:rsidR="009B164E" w:rsidRPr="009B164E" w14:paraId="2390F082" w14:textId="77777777" w:rsidTr="00EB7F94">
        <w:trPr>
          <w:trHeight w:val="528"/>
          <w:jc w:val="center"/>
        </w:trPr>
        <w:tc>
          <w:tcPr>
            <w:tcW w:w="1660" w:type="dxa"/>
            <w:vMerge/>
            <w:tcBorders>
              <w:top w:val="single" w:sz="4" w:space="0" w:color="auto"/>
              <w:left w:val="single" w:sz="4" w:space="0" w:color="auto"/>
              <w:bottom w:val="single" w:sz="4" w:space="0" w:color="auto"/>
              <w:right w:val="single" w:sz="4" w:space="0" w:color="auto"/>
            </w:tcBorders>
            <w:vAlign w:val="center"/>
            <w:hideMark/>
          </w:tcPr>
          <w:p w14:paraId="607C2B9D" w14:textId="77777777" w:rsidR="009B164E" w:rsidRPr="009B164E" w:rsidRDefault="009B164E" w:rsidP="009B164E">
            <w:pPr>
              <w:spacing w:line="240" w:lineRule="auto"/>
              <w:jc w:val="left"/>
              <w:rPr>
                <w:rFonts w:cs="Arial"/>
                <w:color w:val="000000"/>
                <w:sz w:val="22"/>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16A213A8" w14:textId="77777777" w:rsidR="009B164E" w:rsidRPr="009B164E" w:rsidRDefault="009B164E" w:rsidP="009B164E">
            <w:pPr>
              <w:spacing w:line="240" w:lineRule="auto"/>
              <w:jc w:val="left"/>
              <w:rPr>
                <w:rFonts w:cs="Arial"/>
                <w:color w:val="000000"/>
                <w:sz w:val="22"/>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62D8E3E7" w14:textId="77777777" w:rsidR="009B164E" w:rsidRPr="009B164E" w:rsidRDefault="009B164E" w:rsidP="009B164E">
            <w:pPr>
              <w:spacing w:line="240" w:lineRule="auto"/>
              <w:jc w:val="left"/>
              <w:rPr>
                <w:rFonts w:cs="Arial"/>
                <w:color w:val="000000"/>
                <w:sz w:val="22"/>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35AC06E3" w14:textId="77777777" w:rsidR="009B164E" w:rsidRPr="009B164E" w:rsidRDefault="009B164E" w:rsidP="009B164E">
            <w:pPr>
              <w:spacing w:line="240" w:lineRule="auto"/>
              <w:jc w:val="left"/>
              <w:rPr>
                <w:rFonts w:cs="Arial"/>
                <w:color w:val="000000"/>
                <w:sz w:val="22"/>
              </w:rPr>
            </w:pPr>
          </w:p>
        </w:tc>
      </w:tr>
      <w:tr w:rsidR="009B164E" w:rsidRPr="009B164E" w14:paraId="0E7EAAEE" w14:textId="77777777" w:rsidTr="00EB7F94">
        <w:trPr>
          <w:trHeight w:val="40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A676DFE" w14:textId="77777777" w:rsidR="009B164E" w:rsidRPr="009B164E" w:rsidRDefault="009B164E" w:rsidP="009B164E">
            <w:pPr>
              <w:spacing w:line="240" w:lineRule="auto"/>
              <w:jc w:val="left"/>
              <w:rPr>
                <w:rFonts w:cs="Arial"/>
                <w:color w:val="000000"/>
                <w:sz w:val="22"/>
              </w:rPr>
            </w:pPr>
            <w:r w:rsidRPr="009B164E">
              <w:rPr>
                <w:rFonts w:cs="Arial"/>
                <w:color w:val="000000"/>
                <w:sz w:val="22"/>
              </w:rPr>
              <w:t>Kongo Central</w:t>
            </w:r>
          </w:p>
        </w:tc>
        <w:tc>
          <w:tcPr>
            <w:tcW w:w="1820" w:type="dxa"/>
            <w:tcBorders>
              <w:top w:val="nil"/>
              <w:left w:val="nil"/>
              <w:bottom w:val="single" w:sz="4" w:space="0" w:color="auto"/>
              <w:right w:val="single" w:sz="4" w:space="0" w:color="auto"/>
            </w:tcBorders>
            <w:shd w:val="clear" w:color="auto" w:fill="auto"/>
            <w:vAlign w:val="center"/>
            <w:hideMark/>
          </w:tcPr>
          <w:p w14:paraId="3CF356AE" w14:textId="77777777" w:rsidR="009B164E" w:rsidRPr="009B164E" w:rsidRDefault="009B164E" w:rsidP="009B164E">
            <w:pPr>
              <w:spacing w:line="240" w:lineRule="auto"/>
              <w:jc w:val="center"/>
              <w:rPr>
                <w:rFonts w:cs="Arial"/>
                <w:color w:val="000000"/>
                <w:sz w:val="22"/>
              </w:rPr>
            </w:pPr>
            <w:r w:rsidRPr="009B164E">
              <w:rPr>
                <w:rFonts w:cs="Arial"/>
                <w:color w:val="000000"/>
                <w:sz w:val="22"/>
              </w:rPr>
              <w:t>860 000</w:t>
            </w:r>
          </w:p>
        </w:tc>
        <w:tc>
          <w:tcPr>
            <w:tcW w:w="1820" w:type="dxa"/>
            <w:tcBorders>
              <w:top w:val="nil"/>
              <w:left w:val="nil"/>
              <w:bottom w:val="single" w:sz="4" w:space="0" w:color="auto"/>
              <w:right w:val="single" w:sz="4" w:space="0" w:color="auto"/>
            </w:tcBorders>
            <w:shd w:val="clear" w:color="auto" w:fill="auto"/>
            <w:vAlign w:val="center"/>
            <w:hideMark/>
          </w:tcPr>
          <w:p w14:paraId="5E512DE5" w14:textId="77777777" w:rsidR="009B164E" w:rsidRPr="009B164E" w:rsidRDefault="009B164E" w:rsidP="009B164E">
            <w:pPr>
              <w:spacing w:line="240" w:lineRule="auto"/>
              <w:jc w:val="center"/>
              <w:rPr>
                <w:rFonts w:cs="Arial"/>
                <w:color w:val="000000"/>
                <w:sz w:val="22"/>
              </w:rPr>
            </w:pPr>
            <w:r w:rsidRPr="009B164E">
              <w:rPr>
                <w:rFonts w:cs="Arial"/>
                <w:color w:val="000000"/>
                <w:sz w:val="22"/>
              </w:rPr>
              <w:t>160 000</w:t>
            </w:r>
          </w:p>
        </w:tc>
        <w:tc>
          <w:tcPr>
            <w:tcW w:w="1820" w:type="dxa"/>
            <w:tcBorders>
              <w:top w:val="nil"/>
              <w:left w:val="nil"/>
              <w:bottom w:val="single" w:sz="4" w:space="0" w:color="auto"/>
              <w:right w:val="single" w:sz="4" w:space="0" w:color="auto"/>
            </w:tcBorders>
            <w:shd w:val="clear" w:color="auto" w:fill="auto"/>
            <w:vAlign w:val="center"/>
            <w:hideMark/>
          </w:tcPr>
          <w:p w14:paraId="6B5A9E7A" w14:textId="77777777" w:rsidR="009B164E" w:rsidRPr="009B164E" w:rsidRDefault="009B164E" w:rsidP="009B164E">
            <w:pPr>
              <w:spacing w:line="240" w:lineRule="auto"/>
              <w:jc w:val="center"/>
              <w:rPr>
                <w:rFonts w:cs="Arial"/>
                <w:color w:val="000000"/>
                <w:sz w:val="22"/>
              </w:rPr>
            </w:pPr>
            <w:r w:rsidRPr="009B164E">
              <w:rPr>
                <w:rFonts w:cs="Arial"/>
                <w:color w:val="000000"/>
                <w:sz w:val="22"/>
              </w:rPr>
              <w:t>570 000</w:t>
            </w:r>
          </w:p>
        </w:tc>
      </w:tr>
      <w:tr w:rsidR="009B164E" w:rsidRPr="009B164E" w14:paraId="69563AEB" w14:textId="77777777" w:rsidTr="00EB7F94">
        <w:trPr>
          <w:trHeight w:val="40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C7022A3" w14:textId="77777777" w:rsidR="009B164E" w:rsidRPr="009B164E" w:rsidRDefault="009B164E" w:rsidP="009B164E">
            <w:pPr>
              <w:spacing w:line="240" w:lineRule="auto"/>
              <w:jc w:val="left"/>
              <w:rPr>
                <w:rFonts w:cs="Arial"/>
                <w:color w:val="000000"/>
                <w:sz w:val="22"/>
              </w:rPr>
            </w:pPr>
            <w:r w:rsidRPr="009B164E">
              <w:rPr>
                <w:rFonts w:cs="Arial"/>
                <w:color w:val="000000"/>
                <w:sz w:val="22"/>
              </w:rPr>
              <w:t>Kwilu</w:t>
            </w:r>
          </w:p>
        </w:tc>
        <w:tc>
          <w:tcPr>
            <w:tcW w:w="1820" w:type="dxa"/>
            <w:tcBorders>
              <w:top w:val="nil"/>
              <w:left w:val="nil"/>
              <w:bottom w:val="single" w:sz="4" w:space="0" w:color="auto"/>
              <w:right w:val="single" w:sz="4" w:space="0" w:color="auto"/>
            </w:tcBorders>
            <w:shd w:val="clear" w:color="auto" w:fill="auto"/>
            <w:vAlign w:val="center"/>
            <w:hideMark/>
          </w:tcPr>
          <w:p w14:paraId="64ED8734" w14:textId="77777777" w:rsidR="009B164E" w:rsidRPr="009B164E" w:rsidRDefault="009B164E" w:rsidP="009B164E">
            <w:pPr>
              <w:spacing w:line="240" w:lineRule="auto"/>
              <w:jc w:val="center"/>
              <w:rPr>
                <w:rFonts w:cs="Arial"/>
                <w:color w:val="000000"/>
                <w:sz w:val="22"/>
              </w:rPr>
            </w:pPr>
            <w:r w:rsidRPr="009B164E">
              <w:rPr>
                <w:rFonts w:cs="Arial"/>
                <w:color w:val="000000"/>
                <w:sz w:val="22"/>
              </w:rPr>
              <w:t>900 000</w:t>
            </w:r>
          </w:p>
        </w:tc>
        <w:tc>
          <w:tcPr>
            <w:tcW w:w="1820" w:type="dxa"/>
            <w:tcBorders>
              <w:top w:val="nil"/>
              <w:left w:val="nil"/>
              <w:bottom w:val="single" w:sz="4" w:space="0" w:color="auto"/>
              <w:right w:val="single" w:sz="4" w:space="0" w:color="auto"/>
            </w:tcBorders>
            <w:shd w:val="clear" w:color="auto" w:fill="auto"/>
            <w:vAlign w:val="center"/>
            <w:hideMark/>
          </w:tcPr>
          <w:p w14:paraId="0768B461" w14:textId="77777777" w:rsidR="009B164E" w:rsidRPr="009B164E" w:rsidRDefault="009B164E" w:rsidP="009B164E">
            <w:pPr>
              <w:spacing w:line="240" w:lineRule="auto"/>
              <w:jc w:val="center"/>
              <w:rPr>
                <w:rFonts w:cs="Arial"/>
                <w:color w:val="000000"/>
                <w:sz w:val="22"/>
              </w:rPr>
            </w:pPr>
            <w:r w:rsidRPr="009B164E">
              <w:rPr>
                <w:rFonts w:cs="Arial"/>
                <w:color w:val="000000"/>
                <w:sz w:val="22"/>
              </w:rPr>
              <w:t>N/A</w:t>
            </w:r>
          </w:p>
        </w:tc>
        <w:tc>
          <w:tcPr>
            <w:tcW w:w="1820" w:type="dxa"/>
            <w:tcBorders>
              <w:top w:val="nil"/>
              <w:left w:val="nil"/>
              <w:bottom w:val="single" w:sz="4" w:space="0" w:color="auto"/>
              <w:right w:val="single" w:sz="4" w:space="0" w:color="auto"/>
            </w:tcBorders>
            <w:shd w:val="clear" w:color="auto" w:fill="auto"/>
            <w:vAlign w:val="center"/>
            <w:hideMark/>
          </w:tcPr>
          <w:p w14:paraId="56DCA296" w14:textId="77777777" w:rsidR="009B164E" w:rsidRPr="009B164E" w:rsidRDefault="009B164E" w:rsidP="009B164E">
            <w:pPr>
              <w:spacing w:line="240" w:lineRule="auto"/>
              <w:jc w:val="center"/>
              <w:rPr>
                <w:rFonts w:cs="Arial"/>
                <w:color w:val="000000"/>
                <w:sz w:val="22"/>
              </w:rPr>
            </w:pPr>
            <w:r w:rsidRPr="009B164E">
              <w:rPr>
                <w:rFonts w:cs="Arial"/>
                <w:color w:val="000000"/>
                <w:sz w:val="22"/>
              </w:rPr>
              <w:t>590 000</w:t>
            </w:r>
          </w:p>
        </w:tc>
      </w:tr>
      <w:tr w:rsidR="009B164E" w:rsidRPr="009B164E" w14:paraId="420D2DFA" w14:textId="77777777" w:rsidTr="00EB7F94">
        <w:trPr>
          <w:trHeight w:val="40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C1F2ED3" w14:textId="77777777" w:rsidR="009B164E" w:rsidRPr="009B164E" w:rsidRDefault="009B164E" w:rsidP="009B164E">
            <w:pPr>
              <w:spacing w:line="240" w:lineRule="auto"/>
              <w:jc w:val="left"/>
              <w:rPr>
                <w:rFonts w:cs="Arial"/>
                <w:color w:val="000000"/>
                <w:sz w:val="22"/>
              </w:rPr>
            </w:pPr>
            <w:r w:rsidRPr="009B164E">
              <w:rPr>
                <w:rFonts w:cs="Arial"/>
                <w:color w:val="000000"/>
                <w:sz w:val="22"/>
              </w:rPr>
              <w:t>Nord Kivu</w:t>
            </w:r>
          </w:p>
        </w:tc>
        <w:tc>
          <w:tcPr>
            <w:tcW w:w="1820" w:type="dxa"/>
            <w:tcBorders>
              <w:top w:val="nil"/>
              <w:left w:val="nil"/>
              <w:bottom w:val="single" w:sz="4" w:space="0" w:color="auto"/>
              <w:right w:val="single" w:sz="4" w:space="0" w:color="auto"/>
            </w:tcBorders>
            <w:shd w:val="clear" w:color="auto" w:fill="auto"/>
            <w:vAlign w:val="center"/>
            <w:hideMark/>
          </w:tcPr>
          <w:p w14:paraId="43542C3E" w14:textId="77777777" w:rsidR="009B164E" w:rsidRPr="009B164E" w:rsidRDefault="009B164E" w:rsidP="009B164E">
            <w:pPr>
              <w:spacing w:line="240" w:lineRule="auto"/>
              <w:jc w:val="center"/>
              <w:rPr>
                <w:rFonts w:cs="Arial"/>
                <w:color w:val="000000"/>
                <w:sz w:val="22"/>
              </w:rPr>
            </w:pPr>
            <w:r w:rsidRPr="009B164E">
              <w:rPr>
                <w:rFonts w:cs="Arial"/>
                <w:color w:val="000000"/>
                <w:sz w:val="22"/>
              </w:rPr>
              <w:t>820 000</w:t>
            </w:r>
          </w:p>
        </w:tc>
        <w:tc>
          <w:tcPr>
            <w:tcW w:w="1820" w:type="dxa"/>
            <w:tcBorders>
              <w:top w:val="nil"/>
              <w:left w:val="nil"/>
              <w:bottom w:val="single" w:sz="4" w:space="0" w:color="auto"/>
              <w:right w:val="single" w:sz="4" w:space="0" w:color="auto"/>
            </w:tcBorders>
            <w:shd w:val="clear" w:color="auto" w:fill="auto"/>
            <w:vAlign w:val="center"/>
            <w:hideMark/>
          </w:tcPr>
          <w:p w14:paraId="0F322D54" w14:textId="77777777" w:rsidR="009B164E" w:rsidRPr="009B164E" w:rsidRDefault="009B164E" w:rsidP="009B164E">
            <w:pPr>
              <w:spacing w:line="240" w:lineRule="auto"/>
              <w:jc w:val="center"/>
              <w:rPr>
                <w:rFonts w:cs="Arial"/>
                <w:color w:val="000000"/>
                <w:sz w:val="22"/>
              </w:rPr>
            </w:pPr>
            <w:r w:rsidRPr="009B164E">
              <w:rPr>
                <w:rFonts w:cs="Arial"/>
                <w:color w:val="000000"/>
                <w:sz w:val="22"/>
              </w:rPr>
              <w:t>270 000</w:t>
            </w:r>
          </w:p>
        </w:tc>
        <w:tc>
          <w:tcPr>
            <w:tcW w:w="1820" w:type="dxa"/>
            <w:tcBorders>
              <w:top w:val="nil"/>
              <w:left w:val="nil"/>
              <w:bottom w:val="single" w:sz="4" w:space="0" w:color="auto"/>
              <w:right w:val="single" w:sz="4" w:space="0" w:color="auto"/>
            </w:tcBorders>
            <w:shd w:val="clear" w:color="auto" w:fill="auto"/>
            <w:vAlign w:val="center"/>
            <w:hideMark/>
          </w:tcPr>
          <w:p w14:paraId="1301AB16" w14:textId="77777777" w:rsidR="009B164E" w:rsidRPr="009B164E" w:rsidRDefault="009B164E" w:rsidP="009B164E">
            <w:pPr>
              <w:spacing w:line="240" w:lineRule="auto"/>
              <w:jc w:val="center"/>
              <w:rPr>
                <w:rFonts w:cs="Arial"/>
                <w:color w:val="000000"/>
                <w:sz w:val="22"/>
              </w:rPr>
            </w:pPr>
            <w:r w:rsidRPr="009B164E">
              <w:rPr>
                <w:rFonts w:cs="Arial"/>
                <w:color w:val="000000"/>
                <w:sz w:val="22"/>
              </w:rPr>
              <w:t>540 000</w:t>
            </w:r>
          </w:p>
        </w:tc>
      </w:tr>
      <w:tr w:rsidR="009B164E" w:rsidRPr="009B164E" w14:paraId="5E2163BB" w14:textId="77777777" w:rsidTr="00EB7F94">
        <w:trPr>
          <w:trHeight w:val="40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EA9B880" w14:textId="77777777" w:rsidR="009B164E" w:rsidRPr="009B164E" w:rsidRDefault="009B164E" w:rsidP="009B164E">
            <w:pPr>
              <w:spacing w:line="240" w:lineRule="auto"/>
              <w:jc w:val="left"/>
              <w:rPr>
                <w:rFonts w:cs="Arial"/>
                <w:color w:val="000000"/>
                <w:sz w:val="22"/>
              </w:rPr>
            </w:pPr>
            <w:r w:rsidRPr="009B164E">
              <w:rPr>
                <w:rFonts w:cs="Arial"/>
                <w:color w:val="000000"/>
                <w:sz w:val="22"/>
              </w:rPr>
              <w:t>Kasaï Central</w:t>
            </w:r>
          </w:p>
        </w:tc>
        <w:tc>
          <w:tcPr>
            <w:tcW w:w="1820" w:type="dxa"/>
            <w:tcBorders>
              <w:top w:val="nil"/>
              <w:left w:val="nil"/>
              <w:bottom w:val="single" w:sz="4" w:space="0" w:color="auto"/>
              <w:right w:val="single" w:sz="4" w:space="0" w:color="auto"/>
            </w:tcBorders>
            <w:shd w:val="clear" w:color="auto" w:fill="auto"/>
            <w:vAlign w:val="center"/>
            <w:hideMark/>
          </w:tcPr>
          <w:p w14:paraId="2017B076" w14:textId="77777777" w:rsidR="009B164E" w:rsidRPr="009B164E" w:rsidRDefault="009B164E" w:rsidP="009B164E">
            <w:pPr>
              <w:spacing w:line="240" w:lineRule="auto"/>
              <w:jc w:val="center"/>
              <w:rPr>
                <w:rFonts w:cs="Arial"/>
                <w:color w:val="000000"/>
                <w:sz w:val="22"/>
              </w:rPr>
            </w:pPr>
            <w:r w:rsidRPr="009B164E">
              <w:rPr>
                <w:rFonts w:cs="Arial"/>
                <w:color w:val="000000"/>
                <w:sz w:val="22"/>
              </w:rPr>
              <w:t>430 000</w:t>
            </w:r>
          </w:p>
        </w:tc>
        <w:tc>
          <w:tcPr>
            <w:tcW w:w="1820" w:type="dxa"/>
            <w:tcBorders>
              <w:top w:val="nil"/>
              <w:left w:val="nil"/>
              <w:bottom w:val="single" w:sz="4" w:space="0" w:color="auto"/>
              <w:right w:val="single" w:sz="4" w:space="0" w:color="auto"/>
            </w:tcBorders>
            <w:shd w:val="clear" w:color="auto" w:fill="auto"/>
            <w:vAlign w:val="center"/>
            <w:hideMark/>
          </w:tcPr>
          <w:p w14:paraId="47D96DEB" w14:textId="77777777" w:rsidR="009B164E" w:rsidRPr="009B164E" w:rsidRDefault="009B164E" w:rsidP="009B164E">
            <w:pPr>
              <w:spacing w:line="240" w:lineRule="auto"/>
              <w:jc w:val="center"/>
              <w:rPr>
                <w:rFonts w:cs="Arial"/>
                <w:color w:val="000000"/>
                <w:sz w:val="22"/>
              </w:rPr>
            </w:pPr>
            <w:r w:rsidRPr="009B164E">
              <w:rPr>
                <w:rFonts w:cs="Arial"/>
                <w:color w:val="000000"/>
                <w:sz w:val="22"/>
              </w:rPr>
              <w:t>N/A</w:t>
            </w:r>
          </w:p>
        </w:tc>
        <w:tc>
          <w:tcPr>
            <w:tcW w:w="1820" w:type="dxa"/>
            <w:tcBorders>
              <w:top w:val="nil"/>
              <w:left w:val="nil"/>
              <w:bottom w:val="single" w:sz="4" w:space="0" w:color="auto"/>
              <w:right w:val="single" w:sz="4" w:space="0" w:color="auto"/>
            </w:tcBorders>
            <w:shd w:val="clear" w:color="auto" w:fill="auto"/>
            <w:vAlign w:val="center"/>
            <w:hideMark/>
          </w:tcPr>
          <w:p w14:paraId="7B5A9C0C" w14:textId="77777777" w:rsidR="009B164E" w:rsidRPr="009B164E" w:rsidRDefault="009B164E" w:rsidP="009B164E">
            <w:pPr>
              <w:spacing w:line="240" w:lineRule="auto"/>
              <w:jc w:val="center"/>
              <w:rPr>
                <w:rFonts w:cs="Arial"/>
                <w:color w:val="000000"/>
                <w:sz w:val="22"/>
              </w:rPr>
            </w:pPr>
            <w:r w:rsidRPr="009B164E">
              <w:rPr>
                <w:rFonts w:cs="Arial"/>
                <w:color w:val="000000"/>
                <w:sz w:val="22"/>
              </w:rPr>
              <w:t>300 000</w:t>
            </w:r>
          </w:p>
        </w:tc>
      </w:tr>
      <w:tr w:rsidR="009B164E" w:rsidRPr="009B164E" w14:paraId="00596192" w14:textId="77777777" w:rsidTr="00EB7F94">
        <w:trPr>
          <w:trHeight w:val="40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1FBE203" w14:textId="77777777" w:rsidR="009B164E" w:rsidRPr="009B164E" w:rsidRDefault="009B164E" w:rsidP="009B164E">
            <w:pPr>
              <w:spacing w:line="240" w:lineRule="auto"/>
              <w:jc w:val="left"/>
              <w:rPr>
                <w:rFonts w:cs="Arial"/>
                <w:color w:val="000000"/>
                <w:sz w:val="22"/>
              </w:rPr>
            </w:pPr>
            <w:r w:rsidRPr="009B164E">
              <w:rPr>
                <w:rFonts w:cs="Arial"/>
                <w:color w:val="000000"/>
                <w:sz w:val="22"/>
              </w:rPr>
              <w:t>Total</w:t>
            </w:r>
          </w:p>
        </w:tc>
        <w:tc>
          <w:tcPr>
            <w:tcW w:w="1820" w:type="dxa"/>
            <w:tcBorders>
              <w:top w:val="nil"/>
              <w:left w:val="nil"/>
              <w:bottom w:val="single" w:sz="4" w:space="0" w:color="auto"/>
              <w:right w:val="single" w:sz="4" w:space="0" w:color="auto"/>
            </w:tcBorders>
            <w:shd w:val="clear" w:color="auto" w:fill="auto"/>
            <w:vAlign w:val="center"/>
            <w:hideMark/>
          </w:tcPr>
          <w:p w14:paraId="771A6833" w14:textId="77777777" w:rsidR="009B164E" w:rsidRPr="009B164E" w:rsidRDefault="009B164E" w:rsidP="009B164E">
            <w:pPr>
              <w:spacing w:line="240" w:lineRule="auto"/>
              <w:jc w:val="center"/>
              <w:rPr>
                <w:rFonts w:cs="Arial"/>
                <w:color w:val="000000"/>
                <w:sz w:val="22"/>
              </w:rPr>
            </w:pPr>
            <w:r w:rsidRPr="009B164E">
              <w:rPr>
                <w:rFonts w:cs="Arial"/>
                <w:color w:val="000000"/>
                <w:sz w:val="22"/>
              </w:rPr>
              <w:t>3 010 000</w:t>
            </w:r>
          </w:p>
        </w:tc>
        <w:tc>
          <w:tcPr>
            <w:tcW w:w="1820" w:type="dxa"/>
            <w:tcBorders>
              <w:top w:val="nil"/>
              <w:left w:val="nil"/>
              <w:bottom w:val="single" w:sz="4" w:space="0" w:color="auto"/>
              <w:right w:val="single" w:sz="4" w:space="0" w:color="auto"/>
            </w:tcBorders>
            <w:shd w:val="clear" w:color="auto" w:fill="auto"/>
            <w:vAlign w:val="center"/>
            <w:hideMark/>
          </w:tcPr>
          <w:p w14:paraId="4B1C67EF" w14:textId="77777777" w:rsidR="009B164E" w:rsidRPr="009B164E" w:rsidRDefault="009B164E" w:rsidP="009B164E">
            <w:pPr>
              <w:spacing w:line="240" w:lineRule="auto"/>
              <w:jc w:val="center"/>
              <w:rPr>
                <w:rFonts w:cs="Arial"/>
                <w:color w:val="000000"/>
                <w:sz w:val="22"/>
              </w:rPr>
            </w:pPr>
            <w:r w:rsidRPr="009B164E">
              <w:rPr>
                <w:rFonts w:cs="Arial"/>
                <w:color w:val="000000"/>
                <w:sz w:val="22"/>
              </w:rPr>
              <w:t>430 000</w:t>
            </w:r>
          </w:p>
        </w:tc>
        <w:tc>
          <w:tcPr>
            <w:tcW w:w="1820" w:type="dxa"/>
            <w:tcBorders>
              <w:top w:val="nil"/>
              <w:left w:val="nil"/>
              <w:bottom w:val="single" w:sz="4" w:space="0" w:color="auto"/>
              <w:right w:val="single" w:sz="4" w:space="0" w:color="auto"/>
            </w:tcBorders>
            <w:shd w:val="clear" w:color="auto" w:fill="auto"/>
            <w:vAlign w:val="center"/>
            <w:hideMark/>
          </w:tcPr>
          <w:p w14:paraId="1BCC1BF6" w14:textId="77777777" w:rsidR="009B164E" w:rsidRPr="009B164E" w:rsidRDefault="009B164E" w:rsidP="009B164E">
            <w:pPr>
              <w:spacing w:line="240" w:lineRule="auto"/>
              <w:jc w:val="center"/>
              <w:rPr>
                <w:rFonts w:cs="Arial"/>
                <w:color w:val="000000"/>
                <w:sz w:val="22"/>
              </w:rPr>
            </w:pPr>
            <w:r w:rsidRPr="009B164E">
              <w:rPr>
                <w:rFonts w:cs="Arial"/>
                <w:color w:val="000000"/>
                <w:sz w:val="22"/>
              </w:rPr>
              <w:t>2 000 000</w:t>
            </w:r>
          </w:p>
        </w:tc>
      </w:tr>
    </w:tbl>
    <w:p w14:paraId="0000D02C" w14:textId="77777777" w:rsidR="009B164E" w:rsidRPr="00EB7F94" w:rsidRDefault="00753252" w:rsidP="00EB7F94">
      <w:pPr>
        <w:jc w:val="center"/>
        <w:rPr>
          <w:i/>
        </w:rPr>
      </w:pPr>
      <w:r w:rsidRPr="00EB7F94">
        <w:rPr>
          <w:i/>
        </w:rPr>
        <w:t>Source : Ministère de l’</w:t>
      </w:r>
      <w:r w:rsidR="004178C6">
        <w:rPr>
          <w:i/>
        </w:rPr>
        <w:t>A</w:t>
      </w:r>
      <w:r w:rsidRPr="00EB7F94">
        <w:rPr>
          <w:i/>
        </w:rPr>
        <w:t xml:space="preserve">griculture, </w:t>
      </w:r>
      <w:r w:rsidR="004178C6">
        <w:rPr>
          <w:i/>
        </w:rPr>
        <w:t>Direction d’Etudes et Planification (</w:t>
      </w:r>
      <w:r w:rsidRPr="00EB7F94">
        <w:rPr>
          <w:i/>
        </w:rPr>
        <w:t>DEP</w:t>
      </w:r>
      <w:r w:rsidR="004178C6">
        <w:rPr>
          <w:i/>
        </w:rPr>
        <w:t>)</w:t>
      </w:r>
      <w:r w:rsidRPr="00EB7F94">
        <w:rPr>
          <w:i/>
        </w:rPr>
        <w:t>, Avril 2021</w:t>
      </w:r>
    </w:p>
    <w:p w14:paraId="3A3EC8F4" w14:textId="77777777" w:rsidR="00D42235" w:rsidRPr="00D42235" w:rsidRDefault="00D42235" w:rsidP="00D42235"/>
    <w:p w14:paraId="15B01DDC" w14:textId="77777777" w:rsidR="001C2F95" w:rsidRPr="00982564" w:rsidRDefault="001C2F95" w:rsidP="00EB7F94">
      <w:pPr>
        <w:pStyle w:val="Titre2"/>
        <w:numPr>
          <w:ilvl w:val="1"/>
          <w:numId w:val="4"/>
        </w:numPr>
        <w:ind w:left="851" w:hanging="425"/>
        <w:rPr>
          <w:rFonts w:cs="Arial"/>
          <w:b/>
          <w:sz w:val="22"/>
          <w:szCs w:val="22"/>
        </w:rPr>
      </w:pPr>
      <w:bookmarkStart w:id="222" w:name="_Toc70330351"/>
      <w:r w:rsidRPr="00982564">
        <w:rPr>
          <w:rFonts w:cs="Arial"/>
          <w:b/>
          <w:sz w:val="22"/>
          <w:szCs w:val="22"/>
        </w:rPr>
        <w:t>Situation de la pandémie de COVID-19 et de l’épidémie d’Ebola en RDC</w:t>
      </w:r>
      <w:bookmarkEnd w:id="219"/>
      <w:bookmarkEnd w:id="222"/>
    </w:p>
    <w:p w14:paraId="20763D64" w14:textId="77777777" w:rsidR="001C2F95" w:rsidRPr="00982564" w:rsidRDefault="001C2F95" w:rsidP="001C2F95">
      <w:pPr>
        <w:spacing w:line="240" w:lineRule="auto"/>
        <w:jc w:val="left"/>
        <w:rPr>
          <w:rFonts w:cs="Arial"/>
          <w:color w:val="333333"/>
          <w:sz w:val="22"/>
        </w:rPr>
      </w:pPr>
    </w:p>
    <w:p w14:paraId="731DEF34" w14:textId="77777777" w:rsidR="001C2F95" w:rsidRPr="00982564" w:rsidRDefault="001C2F95" w:rsidP="001C2F95">
      <w:pPr>
        <w:rPr>
          <w:rFonts w:cs="Arial"/>
          <w:sz w:val="22"/>
        </w:rPr>
      </w:pPr>
      <w:r w:rsidRPr="00982564">
        <w:rPr>
          <w:rFonts w:cs="Arial"/>
          <w:sz w:val="22"/>
        </w:rPr>
        <w:t>Depuis le début de l’épidémie déclarée le 10 mars 2020 au 12 janvier 2021, la RDC a enregistré un cumul des cas est de 20003 cas confirmés dont 14 767 cas gu</w:t>
      </w:r>
      <w:r w:rsidR="00AA77BB" w:rsidRPr="00982564">
        <w:rPr>
          <w:rFonts w:cs="Arial"/>
          <w:sz w:val="22"/>
        </w:rPr>
        <w:t>é</w:t>
      </w:r>
      <w:r w:rsidRPr="00982564">
        <w:rPr>
          <w:rFonts w:cs="Arial"/>
          <w:sz w:val="22"/>
        </w:rPr>
        <w:t xml:space="preserve">ris et 626 cas de décès. </w:t>
      </w:r>
      <w:r w:rsidR="00AA77BB" w:rsidRPr="00982564">
        <w:rPr>
          <w:rFonts w:cs="Arial"/>
          <w:sz w:val="22"/>
        </w:rPr>
        <w:t>Parmi</w:t>
      </w:r>
      <w:r w:rsidRPr="00982564">
        <w:rPr>
          <w:rFonts w:cs="Arial"/>
          <w:sz w:val="22"/>
        </w:rPr>
        <w:t xml:space="preserve"> les Provinces concernées par le PNDA, l’on trouve le Kongo Central avec 1249cas ; Nord-Kivu, 1251 cas ; Kwilu, 8 cas, et Kasaï, 1 seul cas. Par ailleurs, les autres provinces touchées par la </w:t>
      </w:r>
      <w:r w:rsidR="00AA77BB" w:rsidRPr="00982564">
        <w:rPr>
          <w:rFonts w:cs="Arial"/>
          <w:sz w:val="22"/>
        </w:rPr>
        <w:t>pandémie</w:t>
      </w:r>
      <w:r w:rsidRPr="00982564">
        <w:rPr>
          <w:rFonts w:cs="Arial"/>
          <w:sz w:val="22"/>
        </w:rPr>
        <w:t xml:space="preserve"> de COVID-19 sont : Kinshasa : 16277, </w:t>
      </w:r>
      <w:r w:rsidR="001977A4" w:rsidRPr="00982564">
        <w:rPr>
          <w:rFonts w:cs="Arial"/>
          <w:sz w:val="22"/>
        </w:rPr>
        <w:t>Kasaï</w:t>
      </w:r>
      <w:r w:rsidRPr="00982564">
        <w:rPr>
          <w:rFonts w:cs="Arial"/>
          <w:sz w:val="22"/>
        </w:rPr>
        <w:t xml:space="preserve"> central : 16 cas, Haut-</w:t>
      </w:r>
      <w:r w:rsidR="00AA77BB" w:rsidRPr="00982564">
        <w:rPr>
          <w:rFonts w:cs="Arial"/>
          <w:sz w:val="22"/>
        </w:rPr>
        <w:t>K</w:t>
      </w:r>
      <w:r w:rsidRPr="00982564">
        <w:rPr>
          <w:rFonts w:cs="Arial"/>
          <w:sz w:val="22"/>
        </w:rPr>
        <w:t xml:space="preserve">atanga : 574, Ituri : 224 cas, Tshopo : 99 cas, Haut-Uélé : 94 cas, </w:t>
      </w:r>
      <w:r w:rsidR="00AA77BB" w:rsidRPr="00982564">
        <w:rPr>
          <w:rFonts w:cs="Arial"/>
          <w:sz w:val="22"/>
        </w:rPr>
        <w:t>É</w:t>
      </w:r>
      <w:r w:rsidRPr="00982564">
        <w:rPr>
          <w:rFonts w:cs="Arial"/>
          <w:sz w:val="22"/>
        </w:rPr>
        <w:t>quateur : 48 cas, Nord-</w:t>
      </w:r>
      <w:r w:rsidR="00AA77BB" w:rsidRPr="00982564">
        <w:rPr>
          <w:rFonts w:cs="Arial"/>
          <w:sz w:val="22"/>
        </w:rPr>
        <w:t>U</w:t>
      </w:r>
      <w:r w:rsidRPr="00982564">
        <w:rPr>
          <w:rFonts w:cs="Arial"/>
          <w:sz w:val="22"/>
        </w:rPr>
        <w:t xml:space="preserve">bangi : 40 cas, Maniema : 17 cas, Sud-Ubangi : 7, Tanganyika : 6, Bas-Uélé : 6, </w:t>
      </w:r>
      <w:r w:rsidR="001977A4" w:rsidRPr="00982564">
        <w:rPr>
          <w:rFonts w:cs="Arial"/>
          <w:sz w:val="22"/>
        </w:rPr>
        <w:t>Kasaï</w:t>
      </w:r>
      <w:r w:rsidRPr="00982564">
        <w:rPr>
          <w:rFonts w:cs="Arial"/>
          <w:sz w:val="22"/>
        </w:rPr>
        <w:t xml:space="preserve"> Oriental : 4 cas, Tshuapa : 2, Kwango : 2 ; Haut-</w:t>
      </w:r>
      <w:r w:rsidR="00AA77BB" w:rsidRPr="00982564">
        <w:rPr>
          <w:rFonts w:cs="Arial"/>
          <w:sz w:val="22"/>
        </w:rPr>
        <w:t>L</w:t>
      </w:r>
      <w:r w:rsidRPr="00982564">
        <w:rPr>
          <w:rFonts w:cs="Arial"/>
          <w:sz w:val="22"/>
        </w:rPr>
        <w:t xml:space="preserve">omami : 2, </w:t>
      </w:r>
      <w:r w:rsidR="001977A4" w:rsidRPr="00982564">
        <w:rPr>
          <w:rFonts w:cs="Arial"/>
          <w:sz w:val="22"/>
        </w:rPr>
        <w:t>Kasaï</w:t>
      </w:r>
      <w:r w:rsidRPr="00982564">
        <w:rPr>
          <w:rFonts w:cs="Arial"/>
          <w:sz w:val="22"/>
        </w:rPr>
        <w:t> : 1.</w:t>
      </w:r>
    </w:p>
    <w:p w14:paraId="5E6EA1D6" w14:textId="77777777" w:rsidR="001C2F95" w:rsidRPr="00982564" w:rsidRDefault="001C2F95" w:rsidP="001C2F95">
      <w:pPr>
        <w:rPr>
          <w:rFonts w:cs="Arial"/>
          <w:sz w:val="22"/>
        </w:rPr>
      </w:pPr>
    </w:p>
    <w:p w14:paraId="55438A00" w14:textId="77777777" w:rsidR="001C2F95" w:rsidRPr="00982564" w:rsidRDefault="001C2F95" w:rsidP="001C2F95">
      <w:pPr>
        <w:rPr>
          <w:rFonts w:cs="Arial"/>
          <w:sz w:val="22"/>
        </w:rPr>
      </w:pPr>
      <w:r w:rsidRPr="00982564">
        <w:rPr>
          <w:rFonts w:cs="Arial"/>
          <w:sz w:val="22"/>
        </w:rPr>
        <w:t>Il sied de signaler que la Ville-Province de Kinshasa est l’épicentre de COVID-19 en RDC et actuellement l’on dénombre 16277 cas confirmés. Face à cette deuxième vague, le Gouvernement de la Républiqu</w:t>
      </w:r>
      <w:r w:rsidR="00AA77BB" w:rsidRPr="00982564">
        <w:rPr>
          <w:rFonts w:cs="Arial"/>
          <w:sz w:val="22"/>
        </w:rPr>
        <w:t>e</w:t>
      </w:r>
      <w:r w:rsidRPr="00982564">
        <w:rPr>
          <w:rFonts w:cs="Arial"/>
          <w:sz w:val="22"/>
        </w:rPr>
        <w:t xml:space="preserve"> a déclenché un couvre </w:t>
      </w:r>
      <w:r w:rsidR="00AA77BB" w:rsidRPr="00982564">
        <w:rPr>
          <w:rFonts w:cs="Arial"/>
          <w:sz w:val="22"/>
        </w:rPr>
        <w:t>-</w:t>
      </w:r>
      <w:r w:rsidRPr="00982564">
        <w:rPr>
          <w:rFonts w:cs="Arial"/>
          <w:sz w:val="22"/>
        </w:rPr>
        <w:t xml:space="preserve"> feu sur l’ensemble du pays. Le port de masque, la distanciation physique, le respect des mesures barrières</w:t>
      </w:r>
      <w:r w:rsidR="00AA77BB" w:rsidRPr="00982564">
        <w:rPr>
          <w:rFonts w:cs="Arial"/>
          <w:sz w:val="22"/>
        </w:rPr>
        <w:t xml:space="preserve"> </w:t>
      </w:r>
      <w:r w:rsidRPr="00982564">
        <w:rPr>
          <w:rFonts w:cs="Arial"/>
          <w:sz w:val="22"/>
        </w:rPr>
        <w:t>restent toujours obligatoire sur toute l’étendue du territoire national.</w:t>
      </w:r>
    </w:p>
    <w:p w14:paraId="1B11F420" w14:textId="77777777" w:rsidR="001C2F95" w:rsidRPr="00982564" w:rsidRDefault="001C2F95" w:rsidP="001C2F95">
      <w:pPr>
        <w:rPr>
          <w:rFonts w:cs="Arial"/>
          <w:sz w:val="22"/>
        </w:rPr>
      </w:pPr>
    </w:p>
    <w:p w14:paraId="1ACF261A" w14:textId="77777777" w:rsidR="001C2F95" w:rsidRPr="00982564" w:rsidRDefault="001C2F95" w:rsidP="001C2F95">
      <w:pPr>
        <w:pStyle w:val="Paragraphedeliste"/>
        <w:numPr>
          <w:ilvl w:val="2"/>
          <w:numId w:val="4"/>
        </w:numPr>
        <w:rPr>
          <w:rFonts w:cs="Arial"/>
          <w:i/>
          <w:sz w:val="22"/>
        </w:rPr>
      </w:pPr>
      <w:r w:rsidRPr="00982564">
        <w:rPr>
          <w:rFonts w:cs="Arial"/>
          <w:i/>
          <w:sz w:val="22"/>
        </w:rPr>
        <w:t>Pandémie de COVID-19 en RDC et le genre</w:t>
      </w:r>
    </w:p>
    <w:p w14:paraId="17F568F2" w14:textId="77777777" w:rsidR="001C2F95" w:rsidRPr="00982564" w:rsidRDefault="001C2F95" w:rsidP="001C2F95">
      <w:pPr>
        <w:rPr>
          <w:rFonts w:cs="Arial"/>
          <w:sz w:val="22"/>
        </w:rPr>
      </w:pPr>
    </w:p>
    <w:p w14:paraId="3CC7D9EA" w14:textId="77777777" w:rsidR="001C2F95" w:rsidRPr="00982564" w:rsidRDefault="001C2F95" w:rsidP="001C2F95">
      <w:pPr>
        <w:rPr>
          <w:rFonts w:cs="Arial"/>
          <w:sz w:val="22"/>
        </w:rPr>
      </w:pPr>
      <w:r w:rsidRPr="00982564">
        <w:rPr>
          <w:rFonts w:cs="Arial"/>
          <w:sz w:val="22"/>
        </w:rPr>
        <w:t>Depuis l’entrée de la pandémie de la COVID-19 en mars 2020 en RDC, la population a un accès très limité au déplacement, au travail, à l’école, à l’église, au supermarché, etc. Cette pandémie constitue une expérience inédite dans la vie quotidienne et présente des conséquences néfastes sur la santé de la population.</w:t>
      </w:r>
    </w:p>
    <w:p w14:paraId="59FFC338" w14:textId="77777777" w:rsidR="001C2F95" w:rsidRPr="00982564" w:rsidRDefault="001C2F95" w:rsidP="001C2F95">
      <w:pPr>
        <w:rPr>
          <w:rFonts w:cs="Arial"/>
          <w:sz w:val="22"/>
        </w:rPr>
      </w:pPr>
      <w:r w:rsidRPr="00982564">
        <w:rPr>
          <w:rFonts w:cs="Arial"/>
          <w:sz w:val="22"/>
        </w:rPr>
        <w:t xml:space="preserve"> </w:t>
      </w:r>
    </w:p>
    <w:p w14:paraId="43F113AF" w14:textId="77777777" w:rsidR="001C2F95" w:rsidRPr="00982564" w:rsidRDefault="001C2F95" w:rsidP="001C2F95">
      <w:pPr>
        <w:rPr>
          <w:rFonts w:cs="Arial"/>
          <w:sz w:val="22"/>
        </w:rPr>
      </w:pPr>
      <w:r w:rsidRPr="00982564">
        <w:rPr>
          <w:rFonts w:cs="Arial"/>
          <w:sz w:val="22"/>
        </w:rPr>
        <w:t>Cependant, ces conséquences ne sont pas les mêmes pour tout le monde. Comme ce fut le cas du VIH-SIDA, du SRAS, de la grippe H1N1 ou encore d’Ebola, ce sont souvent les plus vulnérables (pays, communautés, familles ou individus) qui payent la plus lourde tribu aux épidémies. Et, parmi ces populations particulièrement vulnérables, il y a les femmes et les filles.</w:t>
      </w:r>
    </w:p>
    <w:p w14:paraId="128D0056" w14:textId="77777777" w:rsidR="001C2F95" w:rsidRPr="00982564" w:rsidRDefault="001C2F95" w:rsidP="001C2F95">
      <w:pPr>
        <w:rPr>
          <w:rFonts w:cs="Arial"/>
          <w:sz w:val="22"/>
        </w:rPr>
      </w:pPr>
    </w:p>
    <w:p w14:paraId="46529BF6" w14:textId="77777777" w:rsidR="001C2F95" w:rsidRPr="00982564" w:rsidRDefault="001C2F95" w:rsidP="001C2F95">
      <w:pPr>
        <w:rPr>
          <w:rFonts w:cs="Arial"/>
          <w:sz w:val="22"/>
        </w:rPr>
      </w:pPr>
      <w:r w:rsidRPr="00982564">
        <w:rPr>
          <w:rFonts w:cs="Arial"/>
          <w:sz w:val="22"/>
        </w:rPr>
        <w:t xml:space="preserve">Les écarts préexistants entre les sexes peuvent en effet aggraver les conséquences de la pandémie. On risque ainsi d’assister à un creusement des inégalités entre hommes et femmes pendant et après la pandémie et à une perte des progrès accomplis petit à petit depuis plusieurs décennies dans </w:t>
      </w:r>
      <w:hyperlink r:id="rId74" w:history="1">
        <w:r w:rsidRPr="00982564">
          <w:rPr>
            <w:rFonts w:cs="Arial"/>
            <w:sz w:val="22"/>
          </w:rPr>
          <w:t>l’accumulation du capital humain, l’émancipation économique et la capacité de décision et d’action des femmes</w:t>
        </w:r>
      </w:hyperlink>
      <w:r w:rsidRPr="00982564">
        <w:rPr>
          <w:rFonts w:cs="Arial"/>
          <w:sz w:val="22"/>
        </w:rPr>
        <w:t xml:space="preserve">. Pour concevoir des politiques qui n'ignorent pas la situation spécifique des femmes, il est important de comprendre en quoi la pandémie de COVID-19 et la crise économique qui en découle affectent diversement les deux sexes et comment l'inégalité pourrait s’en ressentir. Ces disparités sont mises en évidence dans cette analyse qui reprend les trois dimensions fondamentales de la </w:t>
      </w:r>
      <w:hyperlink r:id="rId75" w:history="1">
        <w:r w:rsidRPr="00982564">
          <w:rPr>
            <w:rFonts w:cs="Arial"/>
            <w:sz w:val="22"/>
          </w:rPr>
          <w:t>stratégie du Groupe de la Banque Mondiale sur le genre et l'égalité des sexes</w:t>
        </w:r>
      </w:hyperlink>
      <w:r w:rsidRPr="00982564">
        <w:rPr>
          <w:rFonts w:cs="Arial"/>
          <w:sz w:val="22"/>
        </w:rPr>
        <w:t>, à savoir les opportunités économiques, le capital humain (santé et éducation) et la capacité de décision et d'action.</w:t>
      </w:r>
    </w:p>
    <w:p w14:paraId="6A361976" w14:textId="77777777" w:rsidR="001C2F95" w:rsidRPr="00982564" w:rsidRDefault="001C2F95" w:rsidP="001C2F95">
      <w:pPr>
        <w:rPr>
          <w:rFonts w:cs="Arial"/>
          <w:sz w:val="22"/>
        </w:rPr>
      </w:pPr>
    </w:p>
    <w:p w14:paraId="387BAFB1" w14:textId="77777777" w:rsidR="001C2F95" w:rsidRPr="00982564" w:rsidRDefault="001C2F95" w:rsidP="001C2F95">
      <w:pPr>
        <w:rPr>
          <w:rFonts w:cs="Arial"/>
          <w:i/>
          <w:sz w:val="22"/>
        </w:rPr>
      </w:pPr>
      <w:r w:rsidRPr="00982564">
        <w:rPr>
          <w:rFonts w:cs="Arial"/>
          <w:i/>
          <w:sz w:val="22"/>
        </w:rPr>
        <w:t xml:space="preserve">Conséquences économiques de la pandémie de la COVID-19 </w:t>
      </w:r>
    </w:p>
    <w:p w14:paraId="7C0FDB62" w14:textId="77777777" w:rsidR="001C2F95" w:rsidRPr="00982564" w:rsidRDefault="001C2F95" w:rsidP="001C2F95">
      <w:pPr>
        <w:rPr>
          <w:rFonts w:cs="Arial"/>
          <w:sz w:val="22"/>
        </w:rPr>
      </w:pPr>
    </w:p>
    <w:p w14:paraId="076046C0" w14:textId="77777777" w:rsidR="001C2F95" w:rsidRPr="00982564" w:rsidRDefault="001C2F95" w:rsidP="001C2F95">
      <w:pPr>
        <w:rPr>
          <w:rFonts w:cs="Arial"/>
          <w:sz w:val="22"/>
        </w:rPr>
      </w:pPr>
      <w:r w:rsidRPr="00982564">
        <w:rPr>
          <w:rFonts w:cs="Arial"/>
          <w:sz w:val="22"/>
        </w:rPr>
        <w:t>Le constat est le même partout dans le monde entier, en général, et en RDC, en particulier : les hommes et les femmes travaillent généralement dans des secteurs distincts. Dans celui des services, durement touché par la crise actuelle, les femmes sont surreprésentées. Elles travaillent comme réceptionnistes, femmes de ménage, hôtesses de l'air, serveuses, coiffeuses, employées de maison, etc. Mais certaines activités du secteur manufacturier sont aussi extrêmement féminisées. Par exemple, environ 80 % des femmes vendeurs des marchés et petits commerces à la sauvette sont privés d’exercer leurs activités dans le marché central de la ville Province de Kinshasa.</w:t>
      </w:r>
    </w:p>
    <w:p w14:paraId="1386E8E1" w14:textId="77777777" w:rsidR="001C2F95" w:rsidRPr="00982564" w:rsidRDefault="001C2F95" w:rsidP="001C2F95">
      <w:pPr>
        <w:rPr>
          <w:rFonts w:cs="Arial"/>
          <w:sz w:val="22"/>
        </w:rPr>
      </w:pPr>
    </w:p>
    <w:p w14:paraId="39A0AAE6" w14:textId="77777777" w:rsidR="001C2F95" w:rsidRPr="00982564" w:rsidRDefault="001C2F95" w:rsidP="001C2F95">
      <w:pPr>
        <w:rPr>
          <w:rFonts w:cs="Arial"/>
          <w:sz w:val="22"/>
        </w:rPr>
      </w:pPr>
      <w:r w:rsidRPr="00982564">
        <w:rPr>
          <w:rFonts w:cs="Arial"/>
          <w:sz w:val="22"/>
        </w:rPr>
        <w:t xml:space="preserve">De surcroît, et dans les pays à faible revenu comme en RDC tout particulièrement, beaucoup de femmes travaillent dans le secteur informel et ne bénéficient donc pas d’une protection sociale (assurance chômage ou autres). Le taux de mortalité du coronavirus étant plus élevé chez les hommes, il est donc encore plus indispensable pour les femmes qui se retrouvent seules de pouvoir accéder à une couverture sociale ou à d'autres aides financières pour elles et leur famille. (La RDC a déjà enregistré 208 </w:t>
      </w:r>
      <w:r w:rsidR="00AA77BB" w:rsidRPr="00982564">
        <w:rPr>
          <w:rFonts w:cs="Arial"/>
          <w:sz w:val="22"/>
        </w:rPr>
        <w:t>décès</w:t>
      </w:r>
      <w:r w:rsidRPr="00982564">
        <w:rPr>
          <w:rFonts w:cs="Arial"/>
          <w:sz w:val="22"/>
        </w:rPr>
        <w:t xml:space="preserve">, statistiques renseignant la situation de décès au 26 juillet 2020). </w:t>
      </w:r>
    </w:p>
    <w:p w14:paraId="63C90501" w14:textId="77777777" w:rsidR="001C2F95" w:rsidRPr="00982564" w:rsidRDefault="001C2F95" w:rsidP="001C2F95">
      <w:pPr>
        <w:rPr>
          <w:rFonts w:cs="Arial"/>
          <w:sz w:val="22"/>
        </w:rPr>
      </w:pPr>
    </w:p>
    <w:p w14:paraId="31D1F432" w14:textId="77777777" w:rsidR="001C2F95" w:rsidRPr="00982564" w:rsidRDefault="001C2F95" w:rsidP="001C2F95">
      <w:pPr>
        <w:rPr>
          <w:rFonts w:cs="Arial"/>
          <w:sz w:val="22"/>
        </w:rPr>
      </w:pPr>
      <w:r w:rsidRPr="00982564">
        <w:rPr>
          <w:rFonts w:cs="Arial"/>
          <w:sz w:val="22"/>
        </w:rPr>
        <w:t>Par ailleurs, le poids des tâches domestiques est très inégalement réparti entre les hommes et les femmes au sein des ménages en RDC. En temps normal et en vertu des normes sociales dominantes, les femmes et les filles assument la responsabilité de l'entretien de la maison et prennent soin des membres de la famille. Il est fort probable que le poids de ces tâches va s'alourdir en raison de la fermeture des écoles, du confinement des personnes âgées et du nombre croissant de malades au sein du foyer. Cette situation risque fortement d'inciter de nombreuses femmes à travers le monde à quitter leur emploi, en particulier quand le télétravail n’est pas possible, ce qui pourrait avoir des effets négatifs durables sur la participation des femmes au marché du travail.</w:t>
      </w:r>
    </w:p>
    <w:p w14:paraId="5E91ED2A" w14:textId="77777777" w:rsidR="001C2F95" w:rsidRPr="00982564" w:rsidRDefault="001C2F95" w:rsidP="001C2F95">
      <w:pPr>
        <w:rPr>
          <w:rFonts w:cs="Arial"/>
          <w:sz w:val="22"/>
        </w:rPr>
      </w:pPr>
    </w:p>
    <w:p w14:paraId="1F445DA5" w14:textId="77777777" w:rsidR="001C2F95" w:rsidRPr="00982564" w:rsidRDefault="001C2F95" w:rsidP="001C2F95">
      <w:pPr>
        <w:rPr>
          <w:rFonts w:cs="Arial"/>
          <w:i/>
          <w:sz w:val="22"/>
        </w:rPr>
      </w:pPr>
      <w:r w:rsidRPr="00982564">
        <w:rPr>
          <w:rFonts w:cs="Arial"/>
          <w:i/>
          <w:sz w:val="22"/>
        </w:rPr>
        <w:t xml:space="preserve">Conséquences de la crise sur la santé </w:t>
      </w:r>
    </w:p>
    <w:p w14:paraId="1CC9404F" w14:textId="77777777" w:rsidR="001C2F95" w:rsidRPr="00982564" w:rsidRDefault="001C2F95" w:rsidP="001C2F95">
      <w:pPr>
        <w:rPr>
          <w:rFonts w:cs="Arial"/>
          <w:sz w:val="22"/>
        </w:rPr>
      </w:pPr>
    </w:p>
    <w:p w14:paraId="6FB4E778" w14:textId="77777777" w:rsidR="001C2F95" w:rsidRPr="00982564" w:rsidRDefault="001C2F95" w:rsidP="001C2F95">
      <w:pPr>
        <w:rPr>
          <w:rFonts w:cs="Arial"/>
          <w:sz w:val="22"/>
        </w:rPr>
      </w:pPr>
      <w:r w:rsidRPr="00982564">
        <w:rPr>
          <w:rFonts w:cs="Arial"/>
          <w:sz w:val="22"/>
        </w:rPr>
        <w:t xml:space="preserve">La pandémie de la COVID-19 se répercute différemment sur le capital humain des hommes et des femmes en RDC. C'est désormais </w:t>
      </w:r>
      <w:hyperlink r:id="rId76" w:history="1">
        <w:r w:rsidRPr="00982564">
          <w:rPr>
            <w:rFonts w:cs="Arial"/>
            <w:sz w:val="22"/>
          </w:rPr>
          <w:t>un fait avéré</w:t>
        </w:r>
      </w:hyperlink>
      <w:r w:rsidRPr="00982564">
        <w:rPr>
          <w:rFonts w:cs="Arial"/>
          <w:sz w:val="22"/>
        </w:rPr>
        <w:t xml:space="preserve"> : les hommes courent un risque plus élevé de mourir de ce Coronavirus que les femmes. Les raisons de cette différence ne sont pas encore complètement éclaircies, mais les experts mettent en avant une </w:t>
      </w:r>
      <w:hyperlink r:id="rId77" w:history="1">
        <w:r w:rsidRPr="00982564">
          <w:rPr>
            <w:rFonts w:cs="Arial"/>
            <w:sz w:val="22"/>
          </w:rPr>
          <w:t>combinaison de facteurs biologiques et comportementaux</w:t>
        </w:r>
      </w:hyperlink>
      <w:r w:rsidRPr="00982564">
        <w:rPr>
          <w:rFonts w:cs="Arial"/>
          <w:sz w:val="22"/>
        </w:rPr>
        <w:t>. Cependant, s'il existe une sérieuse « vulnérabilité masculine », des menaces spécifiques pèsent aussi sur les femmes et les filles.</w:t>
      </w:r>
    </w:p>
    <w:p w14:paraId="0A20DF75" w14:textId="77777777" w:rsidR="001C2F95" w:rsidRPr="00982564" w:rsidRDefault="001C2F95" w:rsidP="001C2F95">
      <w:pPr>
        <w:rPr>
          <w:rFonts w:cs="Arial"/>
          <w:sz w:val="22"/>
        </w:rPr>
      </w:pPr>
    </w:p>
    <w:p w14:paraId="2A293E88" w14:textId="77777777" w:rsidR="001C2F95" w:rsidRPr="00982564" w:rsidRDefault="001C2F95" w:rsidP="001C2F95">
      <w:pPr>
        <w:rPr>
          <w:rFonts w:cs="Arial"/>
          <w:color w:val="000000"/>
          <w:sz w:val="22"/>
          <w:shd w:val="clear" w:color="auto" w:fill="FFFFFF"/>
        </w:rPr>
      </w:pPr>
      <w:r w:rsidRPr="00982564">
        <w:rPr>
          <w:rFonts w:cs="Arial"/>
          <w:sz w:val="22"/>
        </w:rPr>
        <w:t xml:space="preserve">Du fait de leur rôle d’aidante et de soignante, au sein du foyer et à l'extérieur, les femmes sont exposées de façon disproportionnée au virus. À l'échelle mondiale, </w:t>
      </w:r>
      <w:hyperlink r:id="rId78" w:history="1">
        <w:r w:rsidRPr="00982564">
          <w:rPr>
            <w:rFonts w:cs="Arial"/>
            <w:sz w:val="22"/>
          </w:rPr>
          <w:t>88 % des auxiliaires de soins à la personne et 69 % des professionnels de santé sont des femmes</w:t>
        </w:r>
      </w:hyperlink>
      <w:r w:rsidRPr="00982564">
        <w:rPr>
          <w:rFonts w:cs="Arial"/>
          <w:sz w:val="22"/>
        </w:rPr>
        <w:t xml:space="preserve">. Ces métiers sont en première ligne, ils supposent un contact avec le patient et ne peuvent s'exercer à distance. En Espagne, par exemple, </w:t>
      </w:r>
      <w:hyperlink r:id="rId79" w:history="1">
        <w:r w:rsidRPr="00982564">
          <w:rPr>
            <w:rFonts w:cs="Arial"/>
            <w:sz w:val="22"/>
          </w:rPr>
          <w:t>71,8 % du personnel de santé infecté sont des femmes</w:t>
        </w:r>
      </w:hyperlink>
      <w:r w:rsidRPr="00982564">
        <w:rPr>
          <w:rFonts w:cs="Arial"/>
          <w:sz w:val="22"/>
        </w:rPr>
        <w:t xml:space="preserve"> (a). En RDC pour le mois de mars, </w:t>
      </w:r>
      <w:r w:rsidRPr="00982564">
        <w:rPr>
          <w:rFonts w:cs="Arial"/>
          <w:color w:val="000000"/>
          <w:sz w:val="22"/>
          <w:shd w:val="clear" w:color="auto" w:fill="FFFFFF"/>
        </w:rPr>
        <w:t xml:space="preserve">sur l’ensemble de personnes atteintes du Coronavirus, soit 48 cas, 78 % sont des hommes et seuls 12 % sont femmes. Si leur âge varie entre 31 et 70 ans, la plus grande majorité de porteurs est venue de l’étranger. </w:t>
      </w:r>
    </w:p>
    <w:p w14:paraId="0B50B5A3" w14:textId="77777777" w:rsidR="001C2F95" w:rsidRPr="00982564" w:rsidRDefault="001C2F95" w:rsidP="001C2F95">
      <w:pPr>
        <w:rPr>
          <w:rFonts w:cs="Arial"/>
          <w:sz w:val="22"/>
        </w:rPr>
      </w:pPr>
    </w:p>
    <w:p w14:paraId="3254D39B" w14:textId="77777777" w:rsidR="001C2F95" w:rsidRPr="00982564" w:rsidRDefault="001C2F95" w:rsidP="001C2F95">
      <w:pPr>
        <w:rPr>
          <w:rFonts w:cs="Arial"/>
          <w:sz w:val="22"/>
        </w:rPr>
      </w:pPr>
      <w:r w:rsidRPr="00982564">
        <w:rPr>
          <w:rFonts w:cs="Arial"/>
          <w:sz w:val="22"/>
        </w:rPr>
        <w:t xml:space="preserve">Le redéploiement des ressources publiques compte tenu de l'urgence sanitaire peut également restreindre les services de santé sexuelle, reproductive et maternelle, en particulier lorsque les moyens des systèmes de santé sont très limités. Une hausse de la mortalité maternelle a ainsi été observée lors des précédentes épidémies </w:t>
      </w:r>
      <w:hyperlink r:id="rId80" w:history="1">
        <w:r w:rsidRPr="00982564">
          <w:rPr>
            <w:rFonts w:cs="Arial"/>
            <w:sz w:val="22"/>
          </w:rPr>
          <w:t>d'Ebola</w:t>
        </w:r>
      </w:hyperlink>
      <w:r w:rsidRPr="00982564">
        <w:rPr>
          <w:rFonts w:cs="Arial"/>
          <w:sz w:val="22"/>
        </w:rPr>
        <w:t xml:space="preserve"> et de SRAS, en partie liée à l'accès plus difficile aux services de santé et à la crainte d'une contagion dans les maternités. De même, ces difficultés d'accès pourraient entraîner une augmentation des grossesses non désirées, notamment </w:t>
      </w:r>
      <w:hyperlink r:id="rId81" w:history="1">
        <w:r w:rsidRPr="00982564">
          <w:rPr>
            <w:rFonts w:cs="Arial"/>
            <w:sz w:val="22"/>
          </w:rPr>
          <w:t>chez les adolescentes</w:t>
        </w:r>
      </w:hyperlink>
      <w:r w:rsidRPr="00982564">
        <w:rPr>
          <w:rFonts w:cs="Arial"/>
          <w:sz w:val="22"/>
        </w:rPr>
        <w:t>.</w:t>
      </w:r>
    </w:p>
    <w:p w14:paraId="7B46AD48" w14:textId="77777777" w:rsidR="001C2F95" w:rsidRPr="00982564" w:rsidRDefault="001C2F95" w:rsidP="001C2F95">
      <w:pPr>
        <w:rPr>
          <w:rFonts w:cs="Arial"/>
          <w:sz w:val="22"/>
        </w:rPr>
      </w:pPr>
      <w:r w:rsidRPr="00982564">
        <w:rPr>
          <w:rFonts w:cs="Arial"/>
          <w:sz w:val="22"/>
        </w:rPr>
        <w:t xml:space="preserve">Enfin, cette crise va probablement avoir des effets néfastes sur la capacité de décision et d'action des femmes. Les </w:t>
      </w:r>
      <w:hyperlink r:id="rId82" w:history="1">
        <w:r w:rsidRPr="00982564">
          <w:rPr>
            <w:rFonts w:cs="Arial"/>
            <w:sz w:val="22"/>
          </w:rPr>
          <w:t>violences à l'égard des femmes</w:t>
        </w:r>
      </w:hyperlink>
      <w:r w:rsidRPr="00982564">
        <w:rPr>
          <w:rFonts w:cs="Arial"/>
          <w:sz w:val="22"/>
        </w:rPr>
        <w:t xml:space="preserve"> en sont une illustration flagrante. Les traditions patriarcales, l'incertitude économique et le stress, combinés aux mesures de confinement et à la limitation de nombreux services, ont déjà provoqué une hausse inquiétante de la violence intrafamiliale dans les pays touchés par l’épidémie comme la RDC. La situation est telle que </w:t>
      </w:r>
      <w:hyperlink r:id="rId83" w:history="1">
        <w:r w:rsidRPr="00982564">
          <w:rPr>
            <w:rFonts w:cs="Arial"/>
            <w:sz w:val="22"/>
          </w:rPr>
          <w:t>le Secrétaire Général de l'ONU a exhorté les gouvernements</w:t>
        </w:r>
      </w:hyperlink>
      <w:r w:rsidRPr="00982564">
        <w:rPr>
          <w:rFonts w:cs="Arial"/>
          <w:sz w:val="22"/>
        </w:rPr>
        <w:t xml:space="preserve"> à faire de la prévention et de la réparation des violences à l'encontre des femmes un élément clé de leurs plans nationaux de réponse à la crise. Par exemple : en ajoutant les centres d’hébergement à la liste des services essentiels, en mettant en place des systèmes d'alerte d'urgence dans les pharmacies et magasins d’alimentation, et en veillant à ce que l’appareil judiciaire continue de poursuivre les coupables. </w:t>
      </w:r>
    </w:p>
    <w:p w14:paraId="6172AA66" w14:textId="77777777" w:rsidR="001C2F95" w:rsidRPr="00982564" w:rsidRDefault="001C2F95" w:rsidP="001C2F95">
      <w:pPr>
        <w:rPr>
          <w:rFonts w:cs="Arial"/>
          <w:sz w:val="22"/>
        </w:rPr>
      </w:pPr>
    </w:p>
    <w:p w14:paraId="07000604" w14:textId="77777777" w:rsidR="001C2F95" w:rsidRPr="00982564" w:rsidRDefault="001C2F95" w:rsidP="001C2F95">
      <w:pPr>
        <w:rPr>
          <w:rFonts w:cs="Arial"/>
          <w:sz w:val="22"/>
        </w:rPr>
      </w:pPr>
      <w:r w:rsidRPr="00982564">
        <w:rPr>
          <w:rFonts w:cs="Arial"/>
          <w:sz w:val="22"/>
        </w:rPr>
        <w:t xml:space="preserve">Que faire à présent ? Il faut rassembler des éléments probants pour éclairer la prise de décisions, en recensant les risques existants, en produisant très régulièrement des </w:t>
      </w:r>
      <w:hyperlink r:id="rId84" w:history="1">
        <w:r w:rsidRPr="00982564">
          <w:rPr>
            <w:rFonts w:cs="Arial"/>
            <w:sz w:val="22"/>
          </w:rPr>
          <w:t xml:space="preserve">données </w:t>
        </w:r>
        <w:r w:rsidR="00AA77BB" w:rsidRPr="00982564">
          <w:rPr>
            <w:rFonts w:cs="Arial"/>
            <w:sz w:val="22"/>
          </w:rPr>
          <w:t>générées</w:t>
        </w:r>
      </w:hyperlink>
      <w:r w:rsidRPr="00982564">
        <w:rPr>
          <w:rFonts w:cs="Arial"/>
          <w:sz w:val="22"/>
        </w:rPr>
        <w:t xml:space="preserve"> sur les conséquences de la pandémie et en veillant à ce que les politiques publiques et les interventions mises en place répondent aux besoins des femmes comme des hommes, ainsi que cela a été exposé supra. </w:t>
      </w:r>
      <w:hyperlink r:id="rId85" w:tgtFrame="_blank" w:history="1">
        <w:r w:rsidRPr="00982564">
          <w:rPr>
            <w:rFonts w:cs="Arial"/>
            <w:sz w:val="22"/>
          </w:rPr>
          <w:t>Parce que le virus ne touche pas les femmes et les hommes de la même façon, la réponse doit tenir compte de ces différences. </w:t>
        </w:r>
      </w:hyperlink>
    </w:p>
    <w:p w14:paraId="26F37DB4" w14:textId="77777777" w:rsidR="001C2F95" w:rsidRPr="00982564" w:rsidRDefault="001C2F95" w:rsidP="001C2F95">
      <w:pPr>
        <w:rPr>
          <w:rFonts w:cs="Arial"/>
          <w:sz w:val="22"/>
        </w:rPr>
      </w:pPr>
    </w:p>
    <w:p w14:paraId="662A2959" w14:textId="77777777" w:rsidR="001C2F95" w:rsidRPr="00982564" w:rsidRDefault="001C2F95" w:rsidP="001C2F95">
      <w:pPr>
        <w:pStyle w:val="Paragraphedeliste"/>
        <w:numPr>
          <w:ilvl w:val="2"/>
          <w:numId w:val="4"/>
        </w:numPr>
        <w:rPr>
          <w:rFonts w:cs="Arial"/>
          <w:i/>
          <w:sz w:val="22"/>
        </w:rPr>
      </w:pPr>
      <w:r w:rsidRPr="00982564">
        <w:rPr>
          <w:rFonts w:cs="Arial"/>
          <w:i/>
          <w:sz w:val="22"/>
        </w:rPr>
        <w:t>Situation d’Ebola en RDC</w:t>
      </w:r>
    </w:p>
    <w:p w14:paraId="7A8115B1" w14:textId="77777777" w:rsidR="001C2F95" w:rsidRPr="00982564" w:rsidRDefault="001C2F95" w:rsidP="001C2F95">
      <w:pPr>
        <w:spacing w:line="240" w:lineRule="auto"/>
        <w:jc w:val="left"/>
        <w:rPr>
          <w:rFonts w:cs="Arial"/>
          <w:color w:val="222222"/>
          <w:sz w:val="22"/>
          <w:shd w:val="clear" w:color="auto" w:fill="FFFFFF"/>
        </w:rPr>
      </w:pPr>
    </w:p>
    <w:p w14:paraId="452A29C0" w14:textId="77777777" w:rsidR="001C2F95" w:rsidRPr="00982564" w:rsidRDefault="001C2F95" w:rsidP="001C2F95">
      <w:pPr>
        <w:rPr>
          <w:rFonts w:cs="Arial"/>
          <w:sz w:val="22"/>
        </w:rPr>
      </w:pPr>
      <w:r w:rsidRPr="00982564">
        <w:rPr>
          <w:rFonts w:cs="Arial"/>
          <w:sz w:val="22"/>
        </w:rPr>
        <w:t>L'épidémie d'Ebola qui a frappé le Nord-Est de la République Démocratique du Congo (RDC) est la deuxième plus grave épidémie au monde et la première dans une zone de conflit actif. Au 26 avril 2020, au total 3 316 cas confirmés ont été signalés, dont 2 277 décès.</w:t>
      </w:r>
    </w:p>
    <w:p w14:paraId="7D908DBA" w14:textId="77777777" w:rsidR="001C2F95" w:rsidRPr="00982564" w:rsidRDefault="001C2F95" w:rsidP="001C2F95">
      <w:pPr>
        <w:rPr>
          <w:rFonts w:cs="Arial"/>
          <w:color w:val="2A303B"/>
          <w:spacing w:val="1"/>
          <w:sz w:val="22"/>
          <w:shd w:val="clear" w:color="auto" w:fill="FFFFFF"/>
        </w:rPr>
      </w:pPr>
    </w:p>
    <w:p w14:paraId="2D9A16C0" w14:textId="77777777" w:rsidR="001C2F95" w:rsidRPr="00982564" w:rsidRDefault="001C2F95" w:rsidP="001C2F95">
      <w:pPr>
        <w:rPr>
          <w:rFonts w:cs="Arial"/>
          <w:sz w:val="22"/>
        </w:rPr>
      </w:pPr>
      <w:r w:rsidRPr="00982564">
        <w:rPr>
          <w:rFonts w:cs="Arial"/>
          <w:sz w:val="22"/>
        </w:rPr>
        <w:t>Cette deuxième vague d’épidémie d’Ebola déclarée sur le sol congolais depuis le 1</w:t>
      </w:r>
      <w:r w:rsidRPr="00982564">
        <w:rPr>
          <w:rFonts w:cs="Arial"/>
          <w:sz w:val="22"/>
          <w:vertAlign w:val="superscript"/>
        </w:rPr>
        <w:t>er</w:t>
      </w:r>
      <w:r w:rsidRPr="00982564">
        <w:rPr>
          <w:rFonts w:cs="Arial"/>
          <w:sz w:val="22"/>
        </w:rPr>
        <w:t xml:space="preserve"> août 2018 est annoncée terminée dans la Province du Nord-Kivu le 25 juin 2020 par le Gouvernement de la RDC.  </w:t>
      </w:r>
    </w:p>
    <w:p w14:paraId="0B679919" w14:textId="77777777" w:rsidR="001C2F95" w:rsidRPr="00982564" w:rsidRDefault="001C2F95" w:rsidP="001C2F95">
      <w:pPr>
        <w:ind w:right="300"/>
        <w:textAlignment w:val="baseline"/>
        <w:rPr>
          <w:rFonts w:cs="Arial"/>
          <w:color w:val="333333"/>
          <w:sz w:val="22"/>
        </w:rPr>
      </w:pPr>
    </w:p>
    <w:p w14:paraId="2069034A" w14:textId="77777777" w:rsidR="00A34945" w:rsidRPr="00D42235" w:rsidRDefault="00A34945" w:rsidP="00A34945">
      <w:pPr>
        <w:rPr>
          <w:rFonts w:cs="Arial"/>
          <w:sz w:val="22"/>
        </w:rPr>
      </w:pPr>
      <w:bookmarkStart w:id="223" w:name="_Toc44626808"/>
      <w:r w:rsidRPr="00D42235">
        <w:rPr>
          <w:rFonts w:cs="Arial"/>
          <w:sz w:val="22"/>
        </w:rPr>
        <w:t xml:space="preserve">07 février 2021 - Le </w:t>
      </w:r>
      <w:r w:rsidR="004178C6">
        <w:rPr>
          <w:rFonts w:cs="Arial"/>
          <w:sz w:val="22"/>
        </w:rPr>
        <w:t>M</w:t>
      </w:r>
      <w:r w:rsidRPr="00D42235">
        <w:rPr>
          <w:rFonts w:cs="Arial"/>
          <w:sz w:val="22"/>
        </w:rPr>
        <w:t xml:space="preserve">inistère de la Santé de la République </w:t>
      </w:r>
      <w:r w:rsidR="004178C6">
        <w:rPr>
          <w:rFonts w:cs="Arial"/>
          <w:sz w:val="22"/>
        </w:rPr>
        <w:t>D</w:t>
      </w:r>
      <w:r w:rsidRPr="00D42235">
        <w:rPr>
          <w:rFonts w:cs="Arial"/>
          <w:sz w:val="22"/>
        </w:rPr>
        <w:t xml:space="preserve">émocratique du Congoa annoncé aqu'un nouveau cas d'Ebola a été détecté à Butembo, une ville de la </w:t>
      </w:r>
      <w:r w:rsidR="004178C6">
        <w:rPr>
          <w:rFonts w:cs="Arial"/>
          <w:sz w:val="22"/>
        </w:rPr>
        <w:t>P</w:t>
      </w:r>
      <w:r w:rsidRPr="00D42235">
        <w:rPr>
          <w:rFonts w:cs="Arial"/>
          <w:sz w:val="22"/>
        </w:rPr>
        <w:t>rovince du Nord-Kivu, où une précédente épidém</w:t>
      </w:r>
      <w:r>
        <w:rPr>
          <w:rFonts w:cs="Arial"/>
          <w:sz w:val="22"/>
        </w:rPr>
        <w:t>ie avait pris fin en juin 2020.</w:t>
      </w:r>
    </w:p>
    <w:p w14:paraId="77AFF1FD" w14:textId="77777777" w:rsidR="00A34945" w:rsidRPr="00D42235" w:rsidRDefault="00A34945" w:rsidP="00A34945">
      <w:pPr>
        <w:rPr>
          <w:rFonts w:cs="Arial"/>
          <w:sz w:val="22"/>
        </w:rPr>
      </w:pPr>
    </w:p>
    <w:p w14:paraId="33E37B62" w14:textId="77777777" w:rsidR="00A34945" w:rsidRPr="00D42235" w:rsidRDefault="00A34945" w:rsidP="00A34945">
      <w:pPr>
        <w:rPr>
          <w:rFonts w:cs="Arial"/>
          <w:sz w:val="22"/>
        </w:rPr>
      </w:pPr>
      <w:r w:rsidRPr="00D42235">
        <w:rPr>
          <w:rFonts w:cs="Arial"/>
          <w:sz w:val="22"/>
        </w:rPr>
        <w:t>La branche de Butembo de l'Institut National de Recherche Biomédicale (INRB) a confirmé la présence du virus Ebola dans des échantillons prélevés sur une patiente présentant des symptômes similaires à ceux d'Ebola et qui s'était rendue dans un centre de santé local pour se faire soigner. La femme était l'épouse d'un survivant du virus Ebola. Elle est décédée depuis.  </w:t>
      </w:r>
    </w:p>
    <w:p w14:paraId="39013DD6" w14:textId="77777777" w:rsidR="00A34945" w:rsidRPr="00D42235" w:rsidRDefault="00A34945" w:rsidP="00A34945">
      <w:pPr>
        <w:rPr>
          <w:rFonts w:cs="Arial"/>
          <w:sz w:val="22"/>
        </w:rPr>
      </w:pPr>
      <w:r w:rsidRPr="00D42235">
        <w:rPr>
          <w:rFonts w:cs="Arial"/>
          <w:sz w:val="22"/>
        </w:rPr>
        <w:t>Butembo était l'un des épicentres de la précédente épidémie d'Ebola dans l'est de la RDC. Il est fréquent que des cas sporadiques surviennent à la suite d'une épidémie majeure. </w:t>
      </w:r>
    </w:p>
    <w:p w14:paraId="7FAE0F68" w14:textId="77777777" w:rsidR="00A34945" w:rsidRPr="00D42235" w:rsidRDefault="00A34945" w:rsidP="00A34945">
      <w:pPr>
        <w:rPr>
          <w:rFonts w:cs="Arial"/>
          <w:sz w:val="22"/>
        </w:rPr>
      </w:pPr>
    </w:p>
    <w:p w14:paraId="539212B9" w14:textId="77777777" w:rsidR="00A34945" w:rsidRPr="00D42235" w:rsidRDefault="00A34945" w:rsidP="00A34945">
      <w:pPr>
        <w:rPr>
          <w:rFonts w:cs="Arial"/>
          <w:sz w:val="22"/>
        </w:rPr>
      </w:pPr>
      <w:r w:rsidRPr="00D42235">
        <w:rPr>
          <w:rFonts w:cs="Arial"/>
          <w:sz w:val="22"/>
        </w:rPr>
        <w:t xml:space="preserve">Grâce aux capacités locales considérables qui ont été mises en place lors de la précédente épidémie, les autorités sanitaires de la province du Nord-Kivu dirigent la réponse actuelle avec le soutien du </w:t>
      </w:r>
      <w:r w:rsidR="005F0B8E">
        <w:rPr>
          <w:rFonts w:cs="Arial"/>
          <w:sz w:val="22"/>
        </w:rPr>
        <w:t>M</w:t>
      </w:r>
      <w:r w:rsidRPr="00D42235">
        <w:rPr>
          <w:rFonts w:cs="Arial"/>
          <w:sz w:val="22"/>
        </w:rPr>
        <w:t xml:space="preserve">inistère de la Santé et de l'Organisation </w:t>
      </w:r>
      <w:r w:rsidR="004178C6">
        <w:rPr>
          <w:rFonts w:cs="Arial"/>
          <w:sz w:val="22"/>
        </w:rPr>
        <w:t>M</w:t>
      </w:r>
      <w:r w:rsidRPr="00D42235">
        <w:rPr>
          <w:rFonts w:cs="Arial"/>
          <w:sz w:val="22"/>
        </w:rPr>
        <w:t>ondiale de la Santé (OMS). L'OMS a assuré la formation des techniciens de laboratoire, des personnes chargées de la recherche des contacts et des équipes de vaccination locales, et a établi un dialogue avec les groupes communautaires pour les sensibiliser à la maladie à virus Ebola et mettre en place un programme pour les survivants.</w:t>
      </w:r>
    </w:p>
    <w:p w14:paraId="25E52C7C" w14:textId="77777777" w:rsidR="00A34945" w:rsidRPr="00D42235" w:rsidRDefault="00A34945" w:rsidP="00A34945">
      <w:pPr>
        <w:rPr>
          <w:rFonts w:cs="Arial"/>
          <w:sz w:val="22"/>
        </w:rPr>
      </w:pPr>
    </w:p>
    <w:p w14:paraId="63E84C63" w14:textId="77777777" w:rsidR="00A34945" w:rsidRDefault="00A34945" w:rsidP="00A34945">
      <w:pPr>
        <w:rPr>
          <w:rFonts w:cs="Arial"/>
          <w:sz w:val="22"/>
        </w:rPr>
      </w:pPr>
      <w:r w:rsidRPr="00D42235">
        <w:rPr>
          <w:rFonts w:cs="Arial"/>
          <w:sz w:val="22"/>
        </w:rPr>
        <w:t>Les épidémiologistes de l'OMS sont sur le terrain pour enquêter sur ce cas. Plus de 70 contacts ont déjà été identifiés. La désinfection des sites visités par les patients est également en cours.</w:t>
      </w:r>
    </w:p>
    <w:p w14:paraId="61C76CC5" w14:textId="77777777" w:rsidR="00A34945" w:rsidRPr="00D42235" w:rsidRDefault="00A34945" w:rsidP="00A34945">
      <w:pPr>
        <w:rPr>
          <w:rFonts w:cs="Arial"/>
          <w:sz w:val="22"/>
        </w:rPr>
      </w:pPr>
    </w:p>
    <w:p w14:paraId="3AA4B69B" w14:textId="77777777" w:rsidR="00A34945" w:rsidRPr="00D42235" w:rsidRDefault="00A34945" w:rsidP="00A34945">
      <w:pPr>
        <w:rPr>
          <w:rFonts w:cs="Arial"/>
          <w:sz w:val="22"/>
        </w:rPr>
      </w:pPr>
      <w:r w:rsidRPr="00D42235">
        <w:rPr>
          <w:rFonts w:cs="Arial"/>
          <w:sz w:val="22"/>
        </w:rPr>
        <w:t>Des échantillons prélevés sur le patient porteur du virus Ebola ont été envoyés au laboratoire principal de l'Institut National de Recherche Biomédicale à Kinshasa pour un séquençage du génome afin d'identifier la souche du virus Ebola et de déterminer son lien avec l'épidémie précédente.</w:t>
      </w:r>
    </w:p>
    <w:p w14:paraId="5BFE2782" w14:textId="77777777" w:rsidR="00A34945" w:rsidRPr="00D42235" w:rsidRDefault="00A34945" w:rsidP="00A34945">
      <w:pPr>
        <w:rPr>
          <w:rFonts w:cs="Arial"/>
          <w:sz w:val="22"/>
        </w:rPr>
      </w:pPr>
    </w:p>
    <w:p w14:paraId="403E7FD7" w14:textId="77777777" w:rsidR="00A34945" w:rsidRPr="00D42235" w:rsidRDefault="00A34945" w:rsidP="00A34945">
      <w:pPr>
        <w:rPr>
          <w:rFonts w:cs="Arial"/>
          <w:sz w:val="22"/>
        </w:rPr>
      </w:pPr>
      <w:r>
        <w:rPr>
          <w:rFonts w:cs="Arial"/>
          <w:sz w:val="22"/>
        </w:rPr>
        <w:t>Pour rappel, l</w:t>
      </w:r>
      <w:r w:rsidRPr="00D42235">
        <w:rPr>
          <w:rFonts w:cs="Arial"/>
          <w:sz w:val="22"/>
        </w:rPr>
        <w:t>a dixième épidémie d'Ebola en RDC, qui a duré près de deux ans, était la deuxième plus importante au monde. Lorsqu'elle s'est terminée, on comptait 3</w:t>
      </w:r>
      <w:r w:rsidR="005F0B8E">
        <w:rPr>
          <w:rFonts w:cs="Arial"/>
          <w:sz w:val="22"/>
        </w:rPr>
        <w:t xml:space="preserve"> </w:t>
      </w:r>
      <w:r w:rsidRPr="00D42235">
        <w:rPr>
          <w:rFonts w:cs="Arial"/>
          <w:sz w:val="22"/>
        </w:rPr>
        <w:t>481 cas, 2</w:t>
      </w:r>
      <w:r w:rsidR="004178C6">
        <w:rPr>
          <w:rFonts w:cs="Arial"/>
          <w:sz w:val="22"/>
        </w:rPr>
        <w:t xml:space="preserve"> </w:t>
      </w:r>
      <w:r w:rsidRPr="00D42235">
        <w:rPr>
          <w:rFonts w:cs="Arial"/>
          <w:sz w:val="22"/>
        </w:rPr>
        <w:t>299 décès et 1</w:t>
      </w:r>
      <w:r w:rsidR="004178C6">
        <w:rPr>
          <w:rFonts w:cs="Arial"/>
          <w:sz w:val="22"/>
        </w:rPr>
        <w:t xml:space="preserve"> </w:t>
      </w:r>
      <w:r w:rsidRPr="00D42235">
        <w:rPr>
          <w:rFonts w:cs="Arial"/>
          <w:sz w:val="22"/>
        </w:rPr>
        <w:t>162 survivants. La réponse à l'épidémie avait été particulièrement difficile, en raison de l'insécurité qui a perturbé les efforts d'urgence.</w:t>
      </w:r>
      <w:r>
        <w:rPr>
          <w:rFonts w:cs="Arial"/>
          <w:sz w:val="22"/>
        </w:rPr>
        <w:t xml:space="preserve"> </w:t>
      </w:r>
      <w:r w:rsidRPr="00D42235">
        <w:rPr>
          <w:rFonts w:cs="Arial"/>
          <w:i/>
          <w:sz w:val="22"/>
        </w:rPr>
        <w:t>(</w:t>
      </w:r>
      <w:hyperlink r:id="rId86" w:history="1">
        <w:r w:rsidRPr="00D42235">
          <w:rPr>
            <w:i/>
            <w:color w:val="0000FF"/>
            <w:u w:val="single"/>
          </w:rPr>
          <w:t>Réapparition du virus Ebola au Nord-Kivu en République démocratique du Congo | Regional Office for Africa (who.int)</w:t>
        </w:r>
      </w:hyperlink>
      <w:r>
        <w:t xml:space="preserve"> </w:t>
      </w:r>
    </w:p>
    <w:p w14:paraId="38BB3E3D" w14:textId="77777777" w:rsidR="0062749B" w:rsidRDefault="0062749B" w:rsidP="00B86CA8">
      <w:pPr>
        <w:spacing w:line="240" w:lineRule="auto"/>
        <w:rPr>
          <w:rFonts w:cs="Arial"/>
          <w:sz w:val="22"/>
        </w:rPr>
      </w:pPr>
    </w:p>
    <w:p w14:paraId="024F698E" w14:textId="77777777" w:rsidR="0062749B" w:rsidRPr="0062749B" w:rsidRDefault="0062749B" w:rsidP="0062749B">
      <w:pPr>
        <w:pStyle w:val="Paragraphedeliste"/>
        <w:numPr>
          <w:ilvl w:val="2"/>
          <w:numId w:val="4"/>
        </w:numPr>
        <w:rPr>
          <w:rFonts w:cs="Arial"/>
          <w:b/>
          <w:bCs/>
          <w:sz w:val="22"/>
        </w:rPr>
      </w:pPr>
      <w:r w:rsidRPr="0062749B">
        <w:rPr>
          <w:rFonts w:cs="Arial"/>
          <w:i/>
          <w:sz w:val="22"/>
        </w:rPr>
        <w:t>Implications du COVID-19 pour la préparation et la mise en œuvre du programme</w:t>
      </w:r>
      <w:r w:rsidRPr="00982564">
        <w:rPr>
          <w:rFonts w:cs="Arial"/>
          <w:sz w:val="22"/>
        </w:rPr>
        <w:t xml:space="preserve"> </w:t>
      </w:r>
    </w:p>
    <w:p w14:paraId="3B911353" w14:textId="77777777" w:rsidR="00B05ECF" w:rsidRPr="00B05ECF" w:rsidRDefault="00B05ECF" w:rsidP="00426DB3">
      <w:pPr>
        <w:spacing w:before="100" w:beforeAutospacing="1" w:after="100" w:afterAutospacing="1" w:line="240" w:lineRule="auto"/>
        <w:rPr>
          <w:rFonts w:cs="Arial"/>
          <w:sz w:val="22"/>
        </w:rPr>
      </w:pPr>
      <w:r w:rsidRPr="00426DB3">
        <w:rPr>
          <w:rFonts w:cs="Arial"/>
          <w:sz w:val="22"/>
        </w:rPr>
        <w:t>La République démocratique du Congo a été touchée par la pandémie à coronavirus en mars 2020. Grâce à la mobilisation du Gouvernement et de tous les acteurs nationaux et internationaux, ponctuée par une bonne mutualisation des efforts, cette pandémie demeure encore sous contrôle en RDC</w:t>
      </w:r>
      <w:r w:rsidR="00FC34A6">
        <w:rPr>
          <w:rFonts w:cs="Arial"/>
          <w:sz w:val="22"/>
        </w:rPr>
        <w:t xml:space="preserve">. </w:t>
      </w:r>
      <w:r w:rsidR="007C7A5F">
        <w:rPr>
          <w:rFonts w:cs="Arial"/>
          <w:sz w:val="22"/>
        </w:rPr>
        <w:t>Les</w:t>
      </w:r>
      <w:r w:rsidR="007C7A5F" w:rsidRPr="00B05ECF">
        <w:rPr>
          <w:rFonts w:cs="Arial"/>
          <w:sz w:val="22"/>
        </w:rPr>
        <w:t xml:space="preserve"> </w:t>
      </w:r>
      <w:r w:rsidR="00FC34A6">
        <w:rPr>
          <w:rFonts w:cs="Arial"/>
          <w:sz w:val="22"/>
        </w:rPr>
        <w:t>tendanc</w:t>
      </w:r>
      <w:r w:rsidR="00FC34A6" w:rsidRPr="00B05ECF">
        <w:rPr>
          <w:rFonts w:cs="Arial"/>
          <w:sz w:val="22"/>
        </w:rPr>
        <w:t>es</w:t>
      </w:r>
      <w:r w:rsidRPr="00B05ECF">
        <w:rPr>
          <w:rFonts w:cs="Arial"/>
          <w:sz w:val="22"/>
        </w:rPr>
        <w:t xml:space="preserve"> rapportées jusqu’au jeudi 04 février 2021en RDC </w:t>
      </w:r>
      <w:r w:rsidRPr="00426DB3">
        <w:rPr>
          <w:rFonts w:cs="Arial"/>
          <w:sz w:val="22"/>
        </w:rPr>
        <w:t xml:space="preserve">se présente comme suit : </w:t>
      </w:r>
      <w:r w:rsidRPr="00B05ECF">
        <w:rPr>
          <w:rFonts w:cs="Arial"/>
          <w:sz w:val="22"/>
        </w:rPr>
        <w:t>149 nouveaux cas de contamination par le coronavirus</w:t>
      </w:r>
      <w:r w:rsidR="00426DB3" w:rsidRPr="00426DB3">
        <w:rPr>
          <w:rFonts w:cs="Arial"/>
          <w:sz w:val="22"/>
        </w:rPr>
        <w:t xml:space="preserve"> </w:t>
      </w:r>
      <w:r w:rsidR="00426DB3" w:rsidRPr="00B05ECF">
        <w:rPr>
          <w:rFonts w:cs="Arial"/>
          <w:sz w:val="22"/>
        </w:rPr>
        <w:t>enregistr</w:t>
      </w:r>
      <w:r w:rsidR="00426DB3" w:rsidRPr="00426DB3">
        <w:rPr>
          <w:rFonts w:cs="Arial"/>
          <w:sz w:val="22"/>
        </w:rPr>
        <w:t>és</w:t>
      </w:r>
      <w:r w:rsidRPr="00B05ECF">
        <w:rPr>
          <w:rFonts w:cs="Arial"/>
          <w:sz w:val="22"/>
        </w:rPr>
        <w:t xml:space="preserve">, COVID-19, dont 88 à Kinshasa, 44 au Sud-Kivu, 11 dans le Haut-Katanga, 2 au Lualaba, 2 dans le Maï-Ndombe (23ème province à être touchée) et 2 au Nord-Kivu (source : données issues des laboratoires de l’INRB et validées par le Comité multisectoriel de la riposte COVID-19 de la RDC). Les tests ont été réalisés sur les 936 échantillons reçus pour l’analyse biologique à l’INRB. Le nombre total de cas positifs au nouveau coronavirus en République démocratique du Congo est de 23 371 (23 370 cas confirmés et 1 cas probable) </w:t>
      </w:r>
      <w:r w:rsidR="00FC34A6">
        <w:rPr>
          <w:rFonts w:cs="Arial"/>
          <w:sz w:val="22"/>
        </w:rPr>
        <w:t>(</w:t>
      </w:r>
      <w:r w:rsidR="00FC34A6" w:rsidRPr="00426DB3">
        <w:rPr>
          <w:rFonts w:cs="Arial"/>
          <w:sz w:val="22"/>
        </w:rPr>
        <w:t>l’OMS</w:t>
      </w:r>
      <w:r w:rsidR="00FC34A6">
        <w:rPr>
          <w:rFonts w:cs="Arial"/>
          <w:sz w:val="22"/>
        </w:rPr>
        <w:t>, 2021)</w:t>
      </w:r>
    </w:p>
    <w:p w14:paraId="479F2D79" w14:textId="77777777" w:rsidR="00B05ECF" w:rsidRPr="00B05ECF" w:rsidRDefault="00B05ECF" w:rsidP="00426DB3">
      <w:pPr>
        <w:spacing w:before="100" w:beforeAutospacing="1" w:after="100" w:afterAutospacing="1" w:line="240" w:lineRule="auto"/>
        <w:jc w:val="left"/>
        <w:rPr>
          <w:rFonts w:cs="Arial"/>
          <w:sz w:val="22"/>
        </w:rPr>
      </w:pPr>
      <w:r w:rsidRPr="00B05ECF">
        <w:rPr>
          <w:rFonts w:cs="Arial"/>
          <w:sz w:val="22"/>
        </w:rPr>
        <w:t>Aucun nouveau décès des cas confirmés n’a été rapporté. Total de cas mortels en RDC à la date du 04 février 2021 : 678 (677 cas mortels confirmés et un cas probable). Létalité : 3% ;</w:t>
      </w:r>
    </w:p>
    <w:p w14:paraId="40A04F07" w14:textId="77777777" w:rsidR="00426DB3" w:rsidRDefault="00B05ECF" w:rsidP="00426DB3">
      <w:pPr>
        <w:spacing w:before="100" w:beforeAutospacing="1" w:after="100" w:afterAutospacing="1" w:line="240" w:lineRule="auto"/>
        <w:jc w:val="left"/>
        <w:rPr>
          <w:rFonts w:cs="Arial"/>
          <w:sz w:val="22"/>
        </w:rPr>
      </w:pPr>
      <w:r w:rsidRPr="00B05ECF">
        <w:rPr>
          <w:rFonts w:cs="Arial"/>
          <w:sz w:val="22"/>
        </w:rPr>
        <w:t xml:space="preserve">Aucun patient supplémentaire n’est sorti guéri dans la journée du 04 février 2021. Total de personnes guéries du nouveau coronavirus, COVID-19 en RDC : 15 085. Taux de </w:t>
      </w:r>
      <w:r w:rsidR="00FC34A6" w:rsidRPr="00B05ECF">
        <w:rPr>
          <w:rFonts w:cs="Arial"/>
          <w:sz w:val="22"/>
        </w:rPr>
        <w:t>guérison :</w:t>
      </w:r>
      <w:r w:rsidRPr="00B05ECF">
        <w:rPr>
          <w:rFonts w:cs="Arial"/>
          <w:sz w:val="22"/>
        </w:rPr>
        <w:t xml:space="preserve"> 64,5 %. Total de cas actifs : 7</w:t>
      </w:r>
      <w:r w:rsidR="00426DB3">
        <w:rPr>
          <w:rFonts w:cs="Arial"/>
          <w:sz w:val="22"/>
        </w:rPr>
        <w:t> </w:t>
      </w:r>
      <w:r w:rsidRPr="00B05ECF">
        <w:rPr>
          <w:rFonts w:cs="Arial"/>
          <w:sz w:val="22"/>
        </w:rPr>
        <w:t>608</w:t>
      </w:r>
      <w:r w:rsidR="00426DB3">
        <w:rPr>
          <w:rFonts w:cs="Arial"/>
          <w:sz w:val="22"/>
        </w:rPr>
        <w:t>.</w:t>
      </w:r>
    </w:p>
    <w:p w14:paraId="610491BD" w14:textId="77777777" w:rsidR="00426DB3" w:rsidRDefault="00426DB3" w:rsidP="00426DB3">
      <w:pPr>
        <w:spacing w:before="100" w:beforeAutospacing="1" w:after="100" w:afterAutospacing="1" w:line="240" w:lineRule="auto"/>
        <w:jc w:val="left"/>
        <w:rPr>
          <w:rFonts w:cs="Arial"/>
          <w:sz w:val="22"/>
        </w:rPr>
      </w:pPr>
      <w:r>
        <w:rPr>
          <w:rFonts w:cs="Arial"/>
          <w:sz w:val="22"/>
        </w:rPr>
        <w:t>Dans la zone d’intervention du programme, on enregistre :</w:t>
      </w:r>
      <w:r w:rsidR="00B05ECF" w:rsidRPr="00B05ECF">
        <w:rPr>
          <w:rFonts w:cs="Arial"/>
          <w:sz w:val="22"/>
        </w:rPr>
        <w:t xml:space="preserve"> Kasaï (2 cas), Kasaï Central (17 cas), Kongo Central (1 428 cas), Kwilu (9 cas &amp; 2 décès</w:t>
      </w:r>
      <w:r>
        <w:rPr>
          <w:rFonts w:cs="Arial"/>
          <w:sz w:val="22"/>
        </w:rPr>
        <w:t xml:space="preserve">) et </w:t>
      </w:r>
      <w:r w:rsidR="00B05ECF" w:rsidRPr="00B05ECF">
        <w:rPr>
          <w:rFonts w:cs="Arial"/>
          <w:sz w:val="22"/>
        </w:rPr>
        <w:t>Nord-Kivu (1 343 cas</w:t>
      </w:r>
      <w:r>
        <w:rPr>
          <w:rFonts w:cs="Arial"/>
          <w:sz w:val="22"/>
        </w:rPr>
        <w:t>)</w:t>
      </w:r>
      <w:r w:rsidR="00B05ECF" w:rsidRPr="00B05ECF">
        <w:rPr>
          <w:rFonts w:cs="Arial"/>
          <w:sz w:val="22"/>
        </w:rPr>
        <w:t>.</w:t>
      </w:r>
    </w:p>
    <w:p w14:paraId="0757E378" w14:textId="77777777" w:rsidR="005F0B8E" w:rsidRDefault="005F0B8E" w:rsidP="00426DB3">
      <w:pPr>
        <w:spacing w:before="100" w:beforeAutospacing="1" w:after="100" w:afterAutospacing="1" w:line="240" w:lineRule="auto"/>
        <w:jc w:val="left"/>
        <w:rPr>
          <w:rFonts w:cs="Arial"/>
          <w:sz w:val="22"/>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2"/>
        <w:gridCol w:w="3022"/>
        <w:gridCol w:w="3023"/>
      </w:tblGrid>
      <w:tr w:rsidR="00426DB3" w:rsidRPr="00FC34A6" w14:paraId="591F4446" w14:textId="77777777" w:rsidTr="00730A4A">
        <w:trPr>
          <w:trHeight w:val="29"/>
        </w:trPr>
        <w:tc>
          <w:tcPr>
            <w:tcW w:w="3022" w:type="dxa"/>
            <w:shd w:val="clear" w:color="auto" w:fill="auto"/>
          </w:tcPr>
          <w:p w14:paraId="51BE23F9" w14:textId="77777777" w:rsidR="00426DB3" w:rsidRPr="00730A4A" w:rsidRDefault="00426DB3" w:rsidP="00730A4A">
            <w:pPr>
              <w:jc w:val="center"/>
              <w:rPr>
                <w:b/>
                <w:bCs/>
                <w:sz w:val="20"/>
                <w:szCs w:val="20"/>
              </w:rPr>
            </w:pPr>
            <w:r w:rsidRPr="00730A4A">
              <w:rPr>
                <w:b/>
                <w:bCs/>
                <w:sz w:val="20"/>
                <w:szCs w:val="20"/>
              </w:rPr>
              <w:t>Revenu</w:t>
            </w:r>
          </w:p>
        </w:tc>
        <w:tc>
          <w:tcPr>
            <w:tcW w:w="3022" w:type="dxa"/>
            <w:shd w:val="clear" w:color="auto" w:fill="auto"/>
          </w:tcPr>
          <w:p w14:paraId="0676D5D6" w14:textId="77777777" w:rsidR="00426DB3" w:rsidRPr="00730A4A" w:rsidRDefault="00426DB3" w:rsidP="00730A4A">
            <w:pPr>
              <w:jc w:val="center"/>
              <w:rPr>
                <w:b/>
                <w:bCs/>
                <w:sz w:val="20"/>
                <w:szCs w:val="20"/>
              </w:rPr>
            </w:pPr>
            <w:r w:rsidRPr="00730A4A">
              <w:rPr>
                <w:b/>
                <w:bCs/>
                <w:sz w:val="20"/>
                <w:szCs w:val="20"/>
              </w:rPr>
              <w:t>Dépenses</w:t>
            </w:r>
          </w:p>
        </w:tc>
        <w:tc>
          <w:tcPr>
            <w:tcW w:w="3023" w:type="dxa"/>
            <w:shd w:val="clear" w:color="auto" w:fill="auto"/>
          </w:tcPr>
          <w:p w14:paraId="17F62612" w14:textId="77777777" w:rsidR="00426DB3" w:rsidRPr="00730A4A" w:rsidRDefault="00426DB3" w:rsidP="00730A4A">
            <w:pPr>
              <w:jc w:val="center"/>
              <w:rPr>
                <w:b/>
                <w:bCs/>
                <w:sz w:val="20"/>
                <w:szCs w:val="20"/>
              </w:rPr>
            </w:pPr>
            <w:r w:rsidRPr="00730A4A">
              <w:rPr>
                <w:b/>
                <w:bCs/>
                <w:sz w:val="20"/>
                <w:szCs w:val="20"/>
              </w:rPr>
              <w:t>Accès aux services sociaux</w:t>
            </w:r>
          </w:p>
        </w:tc>
      </w:tr>
      <w:tr w:rsidR="00426DB3" w:rsidRPr="00FC34A6" w14:paraId="47E487A3" w14:textId="77777777" w:rsidTr="00730A4A">
        <w:trPr>
          <w:trHeight w:val="561"/>
        </w:trPr>
        <w:tc>
          <w:tcPr>
            <w:tcW w:w="3022" w:type="dxa"/>
            <w:shd w:val="clear" w:color="auto" w:fill="auto"/>
          </w:tcPr>
          <w:p w14:paraId="1F8B1310" w14:textId="77777777" w:rsidR="00FC34A6" w:rsidRPr="00730A4A" w:rsidRDefault="00426DB3" w:rsidP="00730A4A">
            <w:pPr>
              <w:pStyle w:val="Paragraphedeliste"/>
              <w:numPr>
                <w:ilvl w:val="0"/>
                <w:numId w:val="116"/>
              </w:numPr>
              <w:ind w:left="262" w:hanging="262"/>
              <w:rPr>
                <w:sz w:val="20"/>
                <w:szCs w:val="20"/>
              </w:rPr>
            </w:pPr>
            <w:r w:rsidRPr="00730A4A">
              <w:rPr>
                <w:sz w:val="20"/>
                <w:szCs w:val="20"/>
              </w:rPr>
              <w:t xml:space="preserve">Baisse du revenu par habitant du fait du repli de la croissance. </w:t>
            </w:r>
          </w:p>
          <w:p w14:paraId="35671A4A" w14:textId="77777777" w:rsidR="00FC34A6" w:rsidRPr="00730A4A" w:rsidRDefault="00426DB3" w:rsidP="00730A4A">
            <w:pPr>
              <w:pStyle w:val="Paragraphedeliste"/>
              <w:numPr>
                <w:ilvl w:val="0"/>
                <w:numId w:val="116"/>
              </w:numPr>
              <w:ind w:left="262" w:hanging="262"/>
              <w:rPr>
                <w:sz w:val="20"/>
                <w:szCs w:val="20"/>
              </w:rPr>
            </w:pPr>
            <w:r w:rsidRPr="00730A4A">
              <w:rPr>
                <w:sz w:val="20"/>
                <w:szCs w:val="20"/>
              </w:rPr>
              <w:t xml:space="preserve">Baisse du revenu qui affecte plus encore les ménages dont les revenus sont libellés en monnaie nationale. </w:t>
            </w:r>
          </w:p>
          <w:p w14:paraId="4F685BAE" w14:textId="77777777" w:rsidR="00FC34A6" w:rsidRPr="00730A4A" w:rsidRDefault="00426DB3" w:rsidP="00730A4A">
            <w:pPr>
              <w:pStyle w:val="Paragraphedeliste"/>
              <w:numPr>
                <w:ilvl w:val="0"/>
                <w:numId w:val="116"/>
              </w:numPr>
              <w:ind w:left="262" w:hanging="262"/>
              <w:rPr>
                <w:sz w:val="20"/>
                <w:szCs w:val="20"/>
              </w:rPr>
            </w:pPr>
            <w:r w:rsidRPr="00730A4A">
              <w:rPr>
                <w:sz w:val="20"/>
                <w:szCs w:val="20"/>
              </w:rPr>
              <w:t xml:space="preserve">Pertes d’emplois dans certains secteurs d’activité ainsi qu’un accès très limité à de nouvelles embauches. </w:t>
            </w:r>
          </w:p>
          <w:p w14:paraId="7191F108" w14:textId="77777777" w:rsidR="00FC34A6" w:rsidRPr="00730A4A" w:rsidRDefault="00426DB3" w:rsidP="00730A4A">
            <w:pPr>
              <w:pStyle w:val="Paragraphedeliste"/>
              <w:numPr>
                <w:ilvl w:val="0"/>
                <w:numId w:val="116"/>
              </w:numPr>
              <w:ind w:left="262" w:hanging="262"/>
              <w:rPr>
                <w:sz w:val="20"/>
                <w:szCs w:val="20"/>
              </w:rPr>
            </w:pPr>
            <w:r w:rsidRPr="00730A4A">
              <w:rPr>
                <w:sz w:val="20"/>
                <w:szCs w:val="20"/>
              </w:rPr>
              <w:t xml:space="preserve">Baisse du rendement et de la profitabilité des activités informelles développées pour assurer la survie du fait de la baisse de la demande solvable. </w:t>
            </w:r>
          </w:p>
          <w:p w14:paraId="06D8C369" w14:textId="77777777" w:rsidR="00FC34A6" w:rsidRPr="00730A4A" w:rsidRDefault="00426DB3" w:rsidP="00730A4A">
            <w:pPr>
              <w:pStyle w:val="Paragraphedeliste"/>
              <w:numPr>
                <w:ilvl w:val="0"/>
                <w:numId w:val="116"/>
              </w:numPr>
              <w:ind w:left="262" w:hanging="262"/>
              <w:rPr>
                <w:sz w:val="20"/>
                <w:szCs w:val="20"/>
              </w:rPr>
            </w:pPr>
            <w:r w:rsidRPr="00730A4A">
              <w:rPr>
                <w:sz w:val="20"/>
                <w:szCs w:val="20"/>
              </w:rPr>
              <w:t xml:space="preserve">Accroissement du taux d’inactivité et une rupture de l’adéquation revenus – nombre de bouches à nourrir. </w:t>
            </w:r>
          </w:p>
          <w:p w14:paraId="44CD3E3A" w14:textId="77777777" w:rsidR="00FC34A6" w:rsidRPr="00730A4A" w:rsidRDefault="00426DB3" w:rsidP="00730A4A">
            <w:pPr>
              <w:pStyle w:val="Paragraphedeliste"/>
              <w:numPr>
                <w:ilvl w:val="0"/>
                <w:numId w:val="116"/>
              </w:numPr>
              <w:ind w:left="262" w:hanging="262"/>
              <w:rPr>
                <w:sz w:val="20"/>
                <w:szCs w:val="20"/>
              </w:rPr>
            </w:pPr>
            <w:r w:rsidRPr="00730A4A">
              <w:rPr>
                <w:sz w:val="20"/>
                <w:szCs w:val="20"/>
              </w:rPr>
              <w:t xml:space="preserve">Retards de paiement des salaires. </w:t>
            </w:r>
          </w:p>
          <w:p w14:paraId="10D921EC" w14:textId="77777777" w:rsidR="00426DB3" w:rsidRPr="00730A4A" w:rsidRDefault="00426DB3" w:rsidP="00730A4A">
            <w:pPr>
              <w:pStyle w:val="Paragraphedeliste"/>
              <w:numPr>
                <w:ilvl w:val="0"/>
                <w:numId w:val="116"/>
              </w:numPr>
              <w:ind w:left="262" w:hanging="262"/>
              <w:rPr>
                <w:sz w:val="20"/>
                <w:szCs w:val="20"/>
              </w:rPr>
            </w:pPr>
            <w:r w:rsidRPr="00730A4A">
              <w:rPr>
                <w:sz w:val="20"/>
                <w:szCs w:val="20"/>
              </w:rPr>
              <w:t>Perte de la valeur de l’épargne constituée jadis et une dilapidation progressive des actifs accumulés.</w:t>
            </w:r>
          </w:p>
        </w:tc>
        <w:tc>
          <w:tcPr>
            <w:tcW w:w="3022" w:type="dxa"/>
            <w:shd w:val="clear" w:color="auto" w:fill="auto"/>
          </w:tcPr>
          <w:p w14:paraId="74F70EF5" w14:textId="77777777" w:rsidR="00426DB3" w:rsidRPr="00730A4A" w:rsidRDefault="00426DB3" w:rsidP="00730A4A">
            <w:pPr>
              <w:pStyle w:val="Paragraphedeliste"/>
              <w:numPr>
                <w:ilvl w:val="0"/>
                <w:numId w:val="116"/>
              </w:numPr>
              <w:ind w:left="262" w:hanging="262"/>
              <w:rPr>
                <w:sz w:val="20"/>
                <w:szCs w:val="20"/>
              </w:rPr>
            </w:pPr>
            <w:r w:rsidRPr="00730A4A">
              <w:rPr>
                <w:sz w:val="20"/>
                <w:szCs w:val="20"/>
              </w:rPr>
              <w:t xml:space="preserve">Perte du pouvoir d’achat en raison d’une forte inflation et d’une dépréciation monétaire rapide. </w:t>
            </w:r>
          </w:p>
          <w:p w14:paraId="4505BDFF" w14:textId="77777777" w:rsidR="00426DB3" w:rsidRPr="00730A4A" w:rsidRDefault="00426DB3" w:rsidP="00730A4A">
            <w:pPr>
              <w:pStyle w:val="Paragraphedeliste"/>
              <w:numPr>
                <w:ilvl w:val="0"/>
                <w:numId w:val="116"/>
              </w:numPr>
              <w:ind w:left="262" w:hanging="262"/>
              <w:rPr>
                <w:sz w:val="20"/>
                <w:szCs w:val="20"/>
              </w:rPr>
            </w:pPr>
            <w:r w:rsidRPr="00730A4A">
              <w:rPr>
                <w:sz w:val="20"/>
                <w:szCs w:val="20"/>
              </w:rPr>
              <w:t xml:space="preserve">Incapacité pour les chefs de ménages à répondre à leurs obligations compte tenu de la baisse du pouvoir d’achat et du nombre de bouches à nourrir. </w:t>
            </w:r>
          </w:p>
          <w:p w14:paraId="0856B62F" w14:textId="77777777" w:rsidR="00426DB3" w:rsidRPr="00730A4A" w:rsidRDefault="00426DB3" w:rsidP="00730A4A">
            <w:pPr>
              <w:pStyle w:val="Paragraphedeliste"/>
              <w:numPr>
                <w:ilvl w:val="0"/>
                <w:numId w:val="116"/>
              </w:numPr>
              <w:ind w:left="262" w:hanging="262"/>
              <w:rPr>
                <w:sz w:val="20"/>
                <w:szCs w:val="20"/>
              </w:rPr>
            </w:pPr>
            <w:r w:rsidRPr="00730A4A">
              <w:rPr>
                <w:sz w:val="20"/>
                <w:szCs w:val="20"/>
              </w:rPr>
              <w:t>Alors que les prestataires de services (écoles, centres de santé, ...) sont dans des conditions technico-financières déplorables, les ménages appauvris ont moins de capacités à supporter les frais exigés en contrepartie des prestations</w:t>
            </w:r>
          </w:p>
        </w:tc>
        <w:tc>
          <w:tcPr>
            <w:tcW w:w="3023" w:type="dxa"/>
            <w:shd w:val="clear" w:color="auto" w:fill="auto"/>
          </w:tcPr>
          <w:p w14:paraId="0197D4B0" w14:textId="77777777" w:rsidR="00426DB3" w:rsidRPr="00730A4A" w:rsidRDefault="00426DB3" w:rsidP="00730A4A">
            <w:pPr>
              <w:pStyle w:val="Paragraphedeliste"/>
              <w:numPr>
                <w:ilvl w:val="0"/>
                <w:numId w:val="116"/>
              </w:numPr>
              <w:ind w:left="262" w:hanging="262"/>
              <w:rPr>
                <w:sz w:val="20"/>
                <w:szCs w:val="20"/>
              </w:rPr>
            </w:pPr>
            <w:r w:rsidRPr="00730A4A">
              <w:rPr>
                <w:sz w:val="20"/>
                <w:szCs w:val="20"/>
              </w:rPr>
              <w:t xml:space="preserve">Difficultés de paiement de certaines factures, notamment celles du loyer, de l’eau et de l’électricité. </w:t>
            </w:r>
          </w:p>
          <w:p w14:paraId="38C70C79" w14:textId="77777777" w:rsidR="00426DB3" w:rsidRPr="00730A4A" w:rsidRDefault="00426DB3" w:rsidP="00730A4A">
            <w:pPr>
              <w:pStyle w:val="Paragraphedeliste"/>
              <w:numPr>
                <w:ilvl w:val="0"/>
                <w:numId w:val="116"/>
              </w:numPr>
              <w:ind w:left="262" w:hanging="262"/>
              <w:rPr>
                <w:sz w:val="20"/>
                <w:szCs w:val="20"/>
              </w:rPr>
            </w:pPr>
            <w:r w:rsidRPr="00730A4A">
              <w:rPr>
                <w:sz w:val="20"/>
                <w:szCs w:val="20"/>
              </w:rPr>
              <w:t xml:space="preserve">Incapacité pour les parents à prendre intégralement en charge les frais de scolarité de leurs enfants (minerval et autres frais). </w:t>
            </w:r>
          </w:p>
          <w:p w14:paraId="47366210" w14:textId="77777777" w:rsidR="00426DB3" w:rsidRPr="00730A4A" w:rsidRDefault="00426DB3" w:rsidP="00730A4A">
            <w:pPr>
              <w:pStyle w:val="Paragraphedeliste"/>
              <w:numPr>
                <w:ilvl w:val="0"/>
                <w:numId w:val="116"/>
              </w:numPr>
              <w:ind w:left="262" w:hanging="262"/>
              <w:rPr>
                <w:sz w:val="20"/>
                <w:szCs w:val="20"/>
              </w:rPr>
            </w:pPr>
            <w:r w:rsidRPr="00730A4A">
              <w:rPr>
                <w:sz w:val="20"/>
                <w:szCs w:val="20"/>
              </w:rPr>
              <w:t xml:space="preserve">Accès limité à une alimentation de qualité du fait de la perte du pouvoir d’achat, de l’augmentation des prix des denrées et la baisse de l’offre alimentaire. </w:t>
            </w:r>
          </w:p>
          <w:p w14:paraId="0C5CD888" w14:textId="77777777" w:rsidR="00426DB3" w:rsidRPr="00730A4A" w:rsidRDefault="00426DB3" w:rsidP="00730A4A">
            <w:pPr>
              <w:pStyle w:val="Paragraphedeliste"/>
              <w:numPr>
                <w:ilvl w:val="0"/>
                <w:numId w:val="116"/>
              </w:numPr>
              <w:ind w:left="262" w:hanging="262"/>
              <w:rPr>
                <w:sz w:val="20"/>
                <w:szCs w:val="20"/>
              </w:rPr>
            </w:pPr>
            <w:r w:rsidRPr="00730A4A">
              <w:rPr>
                <w:sz w:val="20"/>
                <w:szCs w:val="20"/>
              </w:rPr>
              <w:t xml:space="preserve">Accès limité aux services de santé (y compris l’immunisation, la santé de la mère et de l’enfant) et produits pharmaceutiques du fait de la perte de pouvoir d’achat et de la baisse de la qualité des services offerts. </w:t>
            </w:r>
          </w:p>
          <w:p w14:paraId="60EB8F47" w14:textId="77777777" w:rsidR="00426DB3" w:rsidRPr="00730A4A" w:rsidRDefault="00426DB3" w:rsidP="00730A4A">
            <w:pPr>
              <w:pStyle w:val="Paragraphedeliste"/>
              <w:numPr>
                <w:ilvl w:val="0"/>
                <w:numId w:val="116"/>
              </w:numPr>
              <w:ind w:left="262" w:hanging="262"/>
              <w:rPr>
                <w:sz w:val="20"/>
                <w:szCs w:val="20"/>
              </w:rPr>
            </w:pPr>
            <w:r w:rsidRPr="00730A4A">
              <w:rPr>
                <w:sz w:val="20"/>
                <w:szCs w:val="20"/>
              </w:rPr>
              <w:t>Accès limité à certains services publics (eau, électricité et assainissement) en raison de la baisse des investissements publics.</w:t>
            </w:r>
          </w:p>
        </w:tc>
      </w:tr>
    </w:tbl>
    <w:p w14:paraId="253440D3" w14:textId="77777777" w:rsidR="00426DB3" w:rsidRDefault="00FC34A6" w:rsidP="007C7A5F">
      <w:pPr>
        <w:spacing w:before="100" w:beforeAutospacing="1" w:after="100" w:afterAutospacing="1" w:line="240" w:lineRule="auto"/>
        <w:rPr>
          <w:sz w:val="20"/>
          <w:szCs w:val="20"/>
        </w:rPr>
      </w:pPr>
      <w:r w:rsidRPr="007C7A5F">
        <w:rPr>
          <w:sz w:val="20"/>
          <w:szCs w:val="20"/>
        </w:rPr>
        <w:t>Si toutes les mesures sont</w:t>
      </w:r>
      <w:r w:rsidR="007C7A5F" w:rsidRPr="007C7A5F">
        <w:rPr>
          <w:sz w:val="20"/>
          <w:szCs w:val="20"/>
        </w:rPr>
        <w:t xml:space="preserve"> appliquées et respectées, le PNDA </w:t>
      </w:r>
      <w:r w:rsidR="007C7A5F">
        <w:rPr>
          <w:sz w:val="20"/>
          <w:szCs w:val="20"/>
        </w:rPr>
        <w:t xml:space="preserve">contribuera largement </w:t>
      </w:r>
      <w:r w:rsidR="001E4043">
        <w:rPr>
          <w:sz w:val="20"/>
          <w:szCs w:val="20"/>
        </w:rPr>
        <w:t>au développement économique</w:t>
      </w:r>
      <w:r w:rsidR="007C7A5F">
        <w:rPr>
          <w:sz w:val="20"/>
          <w:szCs w:val="20"/>
        </w:rPr>
        <w:t xml:space="preserve"> et à l’amélioration des conditions de vie des ménages de la zone du programme</w:t>
      </w:r>
    </w:p>
    <w:p w14:paraId="60A79280" w14:textId="77777777" w:rsidR="007C7A5F" w:rsidRDefault="007C7A5F" w:rsidP="007C7A5F">
      <w:pPr>
        <w:spacing w:before="100" w:beforeAutospacing="1" w:after="100" w:afterAutospacing="1" w:line="240" w:lineRule="auto"/>
        <w:jc w:val="left"/>
        <w:rPr>
          <w:sz w:val="20"/>
          <w:szCs w:val="20"/>
        </w:rPr>
      </w:pPr>
      <w:r>
        <w:rPr>
          <w:sz w:val="20"/>
          <w:szCs w:val="20"/>
        </w:rPr>
        <w:br w:type="page"/>
      </w:r>
    </w:p>
    <w:p w14:paraId="17AC2D04" w14:textId="77777777" w:rsidR="001C2F95" w:rsidRPr="00982564" w:rsidRDefault="001C2F95" w:rsidP="001C2F95">
      <w:pPr>
        <w:pStyle w:val="Titre1"/>
        <w:numPr>
          <w:ilvl w:val="0"/>
          <w:numId w:val="4"/>
        </w:numPr>
        <w:ind w:left="567" w:hanging="283"/>
        <w:rPr>
          <w:rFonts w:cs="Arial"/>
          <w:color w:val="000000"/>
          <w:sz w:val="22"/>
          <w:szCs w:val="22"/>
        </w:rPr>
      </w:pPr>
      <w:bookmarkStart w:id="224" w:name="_Toc70330352"/>
      <w:r w:rsidRPr="00982564">
        <w:rPr>
          <w:rFonts w:cs="Arial"/>
          <w:sz w:val="22"/>
          <w:szCs w:val="22"/>
        </w:rPr>
        <w:t>CADRE POLITIQUE, JURIDIQUE ET INSTITUTIONNEL</w:t>
      </w:r>
      <w:bookmarkEnd w:id="220"/>
      <w:bookmarkEnd w:id="223"/>
      <w:bookmarkEnd w:id="224"/>
    </w:p>
    <w:p w14:paraId="4347B73D" w14:textId="77777777" w:rsidR="001C2F95" w:rsidRPr="00982564" w:rsidRDefault="001C2F95" w:rsidP="001C2F95">
      <w:pPr>
        <w:rPr>
          <w:rFonts w:cs="Arial"/>
          <w:sz w:val="22"/>
        </w:rPr>
      </w:pPr>
    </w:p>
    <w:p w14:paraId="314D6F42" w14:textId="77777777" w:rsidR="001C2F95" w:rsidRPr="00982564" w:rsidRDefault="001C2F95" w:rsidP="001C2F95">
      <w:pPr>
        <w:rPr>
          <w:rFonts w:cs="Arial"/>
          <w:sz w:val="22"/>
        </w:rPr>
      </w:pPr>
      <w:r w:rsidRPr="00982564">
        <w:rPr>
          <w:rFonts w:cs="Arial"/>
          <w:sz w:val="22"/>
        </w:rPr>
        <w:t>Le présent chapitre décrit le cadre politique, juridique et institutionnel national de gestion environnementale et sociale du PNDA et présente un aperçu des Normes Environnementales et Sociales inscrites dans le nouveau Cadre Environnemental et Social de la Banque Mondiale, jugées pertinentes et applicables au Projet.</w:t>
      </w:r>
    </w:p>
    <w:p w14:paraId="02B2177D" w14:textId="77777777" w:rsidR="001C2F95" w:rsidRPr="00982564" w:rsidRDefault="001C2F95" w:rsidP="001C2F95">
      <w:pPr>
        <w:rPr>
          <w:rFonts w:cs="Arial"/>
          <w:sz w:val="22"/>
        </w:rPr>
      </w:pPr>
    </w:p>
    <w:p w14:paraId="053BC817" w14:textId="77777777" w:rsidR="001C2F95" w:rsidRPr="00982564" w:rsidRDefault="001C2F95" w:rsidP="001C2F95">
      <w:pPr>
        <w:pStyle w:val="Titre2"/>
        <w:numPr>
          <w:ilvl w:val="1"/>
          <w:numId w:val="4"/>
        </w:numPr>
        <w:ind w:left="851" w:hanging="425"/>
        <w:rPr>
          <w:rFonts w:cs="Arial"/>
          <w:b/>
          <w:sz w:val="22"/>
          <w:szCs w:val="22"/>
        </w:rPr>
      </w:pPr>
      <w:bookmarkStart w:id="225" w:name="_Toc457558085"/>
      <w:bookmarkStart w:id="226" w:name="_Toc500754680"/>
      <w:bookmarkStart w:id="227" w:name="_Toc44626809"/>
      <w:bookmarkStart w:id="228" w:name="_Toc70330353"/>
      <w:r w:rsidRPr="00982564">
        <w:rPr>
          <w:rFonts w:cs="Arial"/>
          <w:b/>
          <w:sz w:val="22"/>
          <w:szCs w:val="22"/>
        </w:rPr>
        <w:t>Cadre politique et programmes en rapport avec le P</w:t>
      </w:r>
      <w:bookmarkEnd w:id="225"/>
      <w:bookmarkEnd w:id="226"/>
      <w:r w:rsidRPr="00982564">
        <w:rPr>
          <w:rFonts w:cs="Arial"/>
          <w:b/>
          <w:sz w:val="22"/>
          <w:szCs w:val="22"/>
        </w:rPr>
        <w:t>NDA</w:t>
      </w:r>
      <w:bookmarkEnd w:id="227"/>
      <w:bookmarkEnd w:id="228"/>
    </w:p>
    <w:p w14:paraId="6177DE3E" w14:textId="77777777" w:rsidR="001C2F95" w:rsidRPr="00982564" w:rsidRDefault="001C2F95" w:rsidP="001C2F95">
      <w:pPr>
        <w:rPr>
          <w:rFonts w:cs="Arial"/>
          <w:spacing w:val="-3"/>
          <w:sz w:val="22"/>
        </w:rPr>
      </w:pPr>
    </w:p>
    <w:p w14:paraId="4E95D0B9" w14:textId="77777777" w:rsidR="001C2F95" w:rsidRPr="00982564" w:rsidRDefault="001C2F95" w:rsidP="001C2F95">
      <w:pPr>
        <w:autoSpaceDE w:val="0"/>
        <w:autoSpaceDN w:val="0"/>
        <w:adjustRightInd w:val="0"/>
        <w:rPr>
          <w:rFonts w:cs="Arial"/>
          <w:bCs/>
          <w:sz w:val="22"/>
        </w:rPr>
      </w:pPr>
      <w:r w:rsidRPr="00982564">
        <w:rPr>
          <w:rFonts w:cs="Arial"/>
          <w:sz w:val="22"/>
        </w:rPr>
        <w:t xml:space="preserve">Le tableau </w:t>
      </w:r>
      <w:r w:rsidR="005F0B8E">
        <w:rPr>
          <w:rFonts w:cs="Arial"/>
          <w:sz w:val="22"/>
        </w:rPr>
        <w:t>9</w:t>
      </w:r>
      <w:r w:rsidRPr="00982564">
        <w:rPr>
          <w:rFonts w:cs="Arial"/>
          <w:sz w:val="22"/>
        </w:rPr>
        <w:t xml:space="preserve"> ci-dessous se penche sur les politiques et programmes en rapport avec le PNDA. </w:t>
      </w:r>
    </w:p>
    <w:p w14:paraId="64751C73" w14:textId="77777777" w:rsidR="001C2F95" w:rsidRPr="00982564" w:rsidRDefault="001C2F95" w:rsidP="001C2F95">
      <w:pPr>
        <w:jc w:val="left"/>
        <w:rPr>
          <w:rFonts w:cs="Arial"/>
          <w:bCs/>
          <w:sz w:val="22"/>
        </w:rPr>
      </w:pPr>
    </w:p>
    <w:p w14:paraId="7BD16069" w14:textId="77777777" w:rsidR="001C2F95" w:rsidRPr="00982564" w:rsidRDefault="001C2F95" w:rsidP="001C2F95">
      <w:pPr>
        <w:jc w:val="left"/>
        <w:rPr>
          <w:rFonts w:cs="Arial"/>
          <w:bCs/>
          <w:sz w:val="22"/>
        </w:rPr>
      </w:pPr>
      <w:bookmarkStart w:id="229" w:name="_Toc70451655"/>
      <w:r w:rsidRPr="00982564">
        <w:rPr>
          <w:rFonts w:cs="Arial"/>
          <w:bCs/>
          <w:sz w:val="22"/>
        </w:rPr>
        <w:t xml:space="preserve">Tableau </w:t>
      </w:r>
      <w:r w:rsidRPr="00982564">
        <w:rPr>
          <w:rFonts w:cs="Arial"/>
          <w:sz w:val="22"/>
        </w:rPr>
        <w:fldChar w:fldCharType="begin"/>
      </w:r>
      <w:r w:rsidRPr="00982564">
        <w:rPr>
          <w:rFonts w:cs="Arial"/>
          <w:sz w:val="22"/>
        </w:rPr>
        <w:instrText xml:space="preserve"> SEQ Tableau \* ARABIC </w:instrText>
      </w:r>
      <w:r w:rsidRPr="00982564">
        <w:rPr>
          <w:rFonts w:cs="Arial"/>
          <w:sz w:val="22"/>
        </w:rPr>
        <w:fldChar w:fldCharType="separate"/>
      </w:r>
      <w:r w:rsidR="001260B3">
        <w:rPr>
          <w:rFonts w:cs="Arial"/>
          <w:noProof/>
          <w:sz w:val="22"/>
        </w:rPr>
        <w:t>9</w:t>
      </w:r>
      <w:r w:rsidRPr="00982564">
        <w:rPr>
          <w:rFonts w:cs="Arial"/>
          <w:sz w:val="22"/>
        </w:rPr>
        <w:fldChar w:fldCharType="end"/>
      </w:r>
      <w:r w:rsidRPr="00982564">
        <w:rPr>
          <w:rFonts w:cs="Arial"/>
          <w:sz w:val="22"/>
        </w:rPr>
        <w:t>.</w:t>
      </w:r>
      <w:r w:rsidRPr="00982564">
        <w:rPr>
          <w:rFonts w:cs="Arial"/>
          <w:bCs/>
          <w:sz w:val="22"/>
        </w:rPr>
        <w:t xml:space="preserve"> Politiques et programmes applicables au Projet</w:t>
      </w:r>
      <w:bookmarkEnd w:id="229"/>
    </w:p>
    <w:p w14:paraId="2A6C86EB" w14:textId="77777777" w:rsidR="001C2F95" w:rsidRPr="00982564" w:rsidRDefault="001C2F95" w:rsidP="001C2F95">
      <w:pPr>
        <w:jc w:val="left"/>
        <w:rPr>
          <w:rFonts w:cs="Arial"/>
          <w:bCs/>
          <w:sz w:val="22"/>
        </w:rPr>
      </w:pPr>
    </w:p>
    <w:tbl>
      <w:tblPr>
        <w:tblpPr w:leftFromText="141" w:rightFromText="141" w:vertAnchor="text" w:tblpX="-572" w:tblpY="1"/>
        <w:tblOverlap w:val="never"/>
        <w:tblW w:w="10626" w:type="dxa"/>
        <w:tblLook w:val="04A0" w:firstRow="1" w:lastRow="0" w:firstColumn="1" w:lastColumn="0" w:noHBand="0" w:noVBand="1"/>
      </w:tblPr>
      <w:tblGrid>
        <w:gridCol w:w="2027"/>
        <w:gridCol w:w="2100"/>
        <w:gridCol w:w="3381"/>
        <w:gridCol w:w="3118"/>
      </w:tblGrid>
      <w:tr w:rsidR="001C2F95" w:rsidRPr="00982564" w14:paraId="7CEB33AA" w14:textId="77777777" w:rsidTr="007C7A5F">
        <w:trPr>
          <w:trHeight w:val="697"/>
          <w:tblHeader/>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0B911" w14:textId="77777777" w:rsidR="001C2F95" w:rsidRPr="00982564" w:rsidRDefault="001C2F95" w:rsidP="00971FD2">
            <w:pPr>
              <w:jc w:val="center"/>
              <w:rPr>
                <w:rFonts w:cs="Arial"/>
                <w:b/>
                <w:color w:val="000000"/>
                <w:sz w:val="22"/>
                <w:lang w:val="en-US" w:eastAsia="en-US"/>
              </w:rPr>
            </w:pPr>
            <w:r w:rsidRPr="00982564">
              <w:rPr>
                <w:rFonts w:cs="Arial"/>
                <w:b/>
                <w:color w:val="000000"/>
                <w:sz w:val="22"/>
                <w:lang w:eastAsia="en-US"/>
              </w:rPr>
              <w:t>Politiques</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054896E6" w14:textId="77777777" w:rsidR="001C2F95" w:rsidRPr="00982564" w:rsidRDefault="001C2F95" w:rsidP="00971FD2">
            <w:pPr>
              <w:jc w:val="center"/>
              <w:rPr>
                <w:rFonts w:cs="Arial"/>
                <w:b/>
                <w:color w:val="000000"/>
                <w:sz w:val="22"/>
                <w:lang w:val="en-US" w:eastAsia="en-US"/>
              </w:rPr>
            </w:pPr>
            <w:r w:rsidRPr="00982564">
              <w:rPr>
                <w:rFonts w:cs="Arial"/>
                <w:b/>
                <w:color w:val="000000"/>
                <w:sz w:val="22"/>
                <w:lang w:eastAsia="en-US"/>
              </w:rPr>
              <w:t>Niveau opérationnel</w:t>
            </w:r>
          </w:p>
        </w:tc>
        <w:tc>
          <w:tcPr>
            <w:tcW w:w="3381" w:type="dxa"/>
            <w:tcBorders>
              <w:top w:val="single" w:sz="4" w:space="0" w:color="auto"/>
              <w:left w:val="nil"/>
              <w:bottom w:val="single" w:sz="4" w:space="0" w:color="auto"/>
              <w:right w:val="single" w:sz="4" w:space="0" w:color="auto"/>
            </w:tcBorders>
            <w:shd w:val="clear" w:color="auto" w:fill="auto"/>
            <w:vAlign w:val="center"/>
            <w:hideMark/>
          </w:tcPr>
          <w:p w14:paraId="4CD1A13D" w14:textId="77777777" w:rsidR="001C2F95" w:rsidRPr="00982564" w:rsidRDefault="001C2F95" w:rsidP="00971FD2">
            <w:pPr>
              <w:jc w:val="center"/>
              <w:rPr>
                <w:rFonts w:cs="Arial"/>
                <w:b/>
                <w:color w:val="000000"/>
                <w:sz w:val="22"/>
                <w:lang w:val="en-US" w:eastAsia="en-US"/>
              </w:rPr>
            </w:pPr>
            <w:r w:rsidRPr="00982564">
              <w:rPr>
                <w:rFonts w:cs="Arial"/>
                <w:b/>
                <w:color w:val="000000"/>
                <w:sz w:val="22"/>
                <w:lang w:eastAsia="en-US"/>
              </w:rPr>
              <w:t>Dispositions et orientations</w:t>
            </w:r>
          </w:p>
        </w:tc>
        <w:tc>
          <w:tcPr>
            <w:tcW w:w="3118" w:type="dxa"/>
            <w:tcBorders>
              <w:top w:val="single" w:sz="4" w:space="0" w:color="auto"/>
              <w:left w:val="nil"/>
              <w:bottom w:val="single" w:sz="4" w:space="0" w:color="auto"/>
              <w:right w:val="single" w:sz="4" w:space="0" w:color="auto"/>
            </w:tcBorders>
          </w:tcPr>
          <w:p w14:paraId="21237708" w14:textId="77777777" w:rsidR="001C2F95" w:rsidRPr="00982564" w:rsidRDefault="001C2F95" w:rsidP="00971FD2">
            <w:pPr>
              <w:jc w:val="center"/>
              <w:rPr>
                <w:rFonts w:cs="Arial"/>
                <w:b/>
                <w:color w:val="000000"/>
                <w:sz w:val="22"/>
                <w:lang w:eastAsia="en-US"/>
              </w:rPr>
            </w:pPr>
          </w:p>
          <w:p w14:paraId="689A2786" w14:textId="77777777" w:rsidR="001C2F95" w:rsidRPr="00982564" w:rsidRDefault="001C2F95" w:rsidP="00971FD2">
            <w:pPr>
              <w:jc w:val="center"/>
              <w:rPr>
                <w:rFonts w:cs="Arial"/>
                <w:b/>
                <w:color w:val="000000"/>
                <w:sz w:val="22"/>
                <w:lang w:eastAsia="en-US"/>
              </w:rPr>
            </w:pPr>
            <w:r w:rsidRPr="00982564">
              <w:rPr>
                <w:rFonts w:cs="Arial"/>
                <w:b/>
                <w:color w:val="000000"/>
                <w:sz w:val="22"/>
                <w:lang w:eastAsia="en-US"/>
              </w:rPr>
              <w:t>Pertinence dans le cadre du PNDA</w:t>
            </w:r>
          </w:p>
        </w:tc>
      </w:tr>
      <w:tr w:rsidR="001C2F95" w:rsidRPr="00982564" w14:paraId="7DE1876C" w14:textId="77777777" w:rsidTr="007C7A5F">
        <w:trPr>
          <w:trHeight w:val="2368"/>
        </w:trPr>
        <w:tc>
          <w:tcPr>
            <w:tcW w:w="2027" w:type="dxa"/>
            <w:vMerge w:val="restart"/>
            <w:tcBorders>
              <w:top w:val="nil"/>
              <w:left w:val="single" w:sz="4" w:space="0" w:color="auto"/>
              <w:bottom w:val="single" w:sz="4" w:space="0" w:color="000000"/>
              <w:right w:val="single" w:sz="4" w:space="0" w:color="auto"/>
            </w:tcBorders>
            <w:shd w:val="clear" w:color="auto" w:fill="auto"/>
            <w:vAlign w:val="center"/>
            <w:hideMark/>
          </w:tcPr>
          <w:p w14:paraId="662A07DA" w14:textId="77777777" w:rsidR="001C2F95" w:rsidRPr="00982564" w:rsidRDefault="001C2F95" w:rsidP="00971FD2">
            <w:pPr>
              <w:jc w:val="left"/>
              <w:rPr>
                <w:rFonts w:cs="Arial"/>
                <w:color w:val="000000"/>
                <w:sz w:val="22"/>
                <w:lang w:val="en-US" w:eastAsia="en-US"/>
              </w:rPr>
            </w:pPr>
            <w:r w:rsidRPr="00982564">
              <w:rPr>
                <w:rFonts w:cs="Arial"/>
                <w:color w:val="000000"/>
                <w:sz w:val="22"/>
                <w:lang w:eastAsia="en-US"/>
              </w:rPr>
              <w:t>Politique et programmes environnementaux</w:t>
            </w:r>
          </w:p>
        </w:tc>
        <w:tc>
          <w:tcPr>
            <w:tcW w:w="2100" w:type="dxa"/>
            <w:tcBorders>
              <w:top w:val="nil"/>
              <w:left w:val="nil"/>
              <w:bottom w:val="single" w:sz="4" w:space="0" w:color="auto"/>
              <w:right w:val="single" w:sz="4" w:space="0" w:color="auto"/>
            </w:tcBorders>
            <w:shd w:val="clear" w:color="auto" w:fill="auto"/>
            <w:vAlign w:val="center"/>
            <w:hideMark/>
          </w:tcPr>
          <w:p w14:paraId="757C2337"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Plan National d’Actions Environnementales (PNAE)</w:t>
            </w:r>
          </w:p>
        </w:tc>
        <w:tc>
          <w:tcPr>
            <w:tcW w:w="3381" w:type="dxa"/>
            <w:tcBorders>
              <w:top w:val="nil"/>
              <w:left w:val="nil"/>
              <w:bottom w:val="single" w:sz="4" w:space="0" w:color="auto"/>
              <w:right w:val="single" w:sz="4" w:space="0" w:color="auto"/>
            </w:tcBorders>
            <w:shd w:val="clear" w:color="auto" w:fill="auto"/>
            <w:vAlign w:val="center"/>
            <w:hideMark/>
          </w:tcPr>
          <w:p w14:paraId="365FD9D6" w14:textId="77777777" w:rsidR="001C2F95" w:rsidRPr="00982564" w:rsidRDefault="001C2F95" w:rsidP="00971FD2">
            <w:pPr>
              <w:rPr>
                <w:rFonts w:cs="Arial"/>
                <w:color w:val="000000"/>
                <w:sz w:val="22"/>
                <w:lang w:eastAsia="en-US"/>
              </w:rPr>
            </w:pPr>
            <w:r w:rsidRPr="00982564">
              <w:rPr>
                <w:rFonts w:cs="Arial"/>
                <w:color w:val="000000"/>
                <w:sz w:val="22"/>
                <w:lang w:eastAsia="en-US"/>
              </w:rPr>
              <w:t>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ÉIES.</w:t>
            </w:r>
          </w:p>
        </w:tc>
        <w:tc>
          <w:tcPr>
            <w:tcW w:w="3118" w:type="dxa"/>
            <w:tcBorders>
              <w:top w:val="nil"/>
              <w:left w:val="nil"/>
              <w:bottom w:val="single" w:sz="4" w:space="0" w:color="auto"/>
              <w:right w:val="single" w:sz="4" w:space="0" w:color="auto"/>
            </w:tcBorders>
          </w:tcPr>
          <w:p w14:paraId="1634AD1A" w14:textId="77777777" w:rsidR="001C2F95" w:rsidRPr="00982564" w:rsidRDefault="001C2F95" w:rsidP="00971FD2">
            <w:pPr>
              <w:rPr>
                <w:rFonts w:cs="Arial"/>
                <w:color w:val="000000"/>
                <w:sz w:val="22"/>
                <w:lang w:eastAsia="en-US"/>
              </w:rPr>
            </w:pPr>
            <w:r w:rsidRPr="00982564">
              <w:rPr>
                <w:rFonts w:cs="Arial"/>
                <w:color w:val="000000"/>
                <w:sz w:val="22"/>
                <w:lang w:eastAsia="en-US"/>
              </w:rPr>
              <w:t>Le PNAE est pertinent dans le cadre du PNDA dans le sens que ce dernier est un projet de développement agricole par lequel ses activités agricoles notamment les travaux d’irrigation, la réhabilitation des pistes rurales, la construction des dépôts, des marchés, etc. vont impacter plusieurs composantes de l’environnement notamment le sol, l’air, l’eau, le foret, la faune, l’homme. Le PNAE insiste sur la protection de l’environnement à travers l’élaboration des instruments de sauvegarde et la mise en application de ceux-ci selon le respect de la législation nationale en la matière</w:t>
            </w:r>
          </w:p>
        </w:tc>
      </w:tr>
      <w:tr w:rsidR="001C2F95" w:rsidRPr="00982564" w14:paraId="7F150ED6" w14:textId="77777777" w:rsidTr="007C7A5F">
        <w:trPr>
          <w:trHeight w:val="558"/>
        </w:trPr>
        <w:tc>
          <w:tcPr>
            <w:tcW w:w="2027" w:type="dxa"/>
            <w:vMerge/>
            <w:tcBorders>
              <w:top w:val="nil"/>
              <w:left w:val="single" w:sz="4" w:space="0" w:color="auto"/>
              <w:bottom w:val="single" w:sz="4" w:space="0" w:color="000000"/>
              <w:right w:val="single" w:sz="4" w:space="0" w:color="auto"/>
            </w:tcBorders>
            <w:vAlign w:val="center"/>
            <w:hideMark/>
          </w:tcPr>
          <w:p w14:paraId="5015374A" w14:textId="77777777" w:rsidR="001C2F95" w:rsidRPr="00982564" w:rsidRDefault="001C2F95" w:rsidP="00971FD2">
            <w:pPr>
              <w:jc w:val="left"/>
              <w:rPr>
                <w:rFonts w:cs="Arial"/>
                <w:color w:val="000000"/>
                <w:sz w:val="22"/>
                <w:lang w:eastAsia="en-US"/>
              </w:rPr>
            </w:pPr>
          </w:p>
        </w:tc>
        <w:tc>
          <w:tcPr>
            <w:tcW w:w="2100" w:type="dxa"/>
            <w:tcBorders>
              <w:top w:val="nil"/>
              <w:left w:val="nil"/>
              <w:bottom w:val="single" w:sz="4" w:space="0" w:color="auto"/>
              <w:right w:val="single" w:sz="4" w:space="0" w:color="auto"/>
            </w:tcBorders>
            <w:shd w:val="clear" w:color="auto" w:fill="auto"/>
            <w:vAlign w:val="center"/>
            <w:hideMark/>
          </w:tcPr>
          <w:p w14:paraId="58F6F1DD"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Stratégie nationale et le Plan d’actions de la Diversité biologique</w:t>
            </w:r>
          </w:p>
        </w:tc>
        <w:tc>
          <w:tcPr>
            <w:tcW w:w="3381" w:type="dxa"/>
            <w:tcBorders>
              <w:top w:val="nil"/>
              <w:left w:val="nil"/>
              <w:bottom w:val="single" w:sz="4" w:space="0" w:color="auto"/>
              <w:right w:val="single" w:sz="4" w:space="0" w:color="auto"/>
            </w:tcBorders>
            <w:shd w:val="clear" w:color="auto" w:fill="auto"/>
            <w:vAlign w:val="center"/>
            <w:hideMark/>
          </w:tcPr>
          <w:p w14:paraId="14A99F47" w14:textId="77777777" w:rsidR="001C2F95" w:rsidRPr="00982564" w:rsidRDefault="001C2F95" w:rsidP="00971FD2">
            <w:pPr>
              <w:rPr>
                <w:rFonts w:cs="Arial"/>
                <w:color w:val="000000"/>
                <w:sz w:val="22"/>
                <w:lang w:eastAsia="en-US"/>
              </w:rPr>
            </w:pPr>
            <w:r w:rsidRPr="00982564">
              <w:rPr>
                <w:rFonts w:cs="Arial"/>
                <w:color w:val="000000"/>
                <w:sz w:val="22"/>
                <w:lang w:eastAsia="en-US"/>
              </w:rPr>
              <w:t>La Stratégie nationale et le Plan d’actions de la Diversité biologique, élaborés en 1999 et actualisés en octobre 2001 constituent un cadre de référence pour la gestion durable des ressources biologiques de la RDC. Elle définit ainsi différentes stratégies pouvant mettre un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p>
        </w:tc>
        <w:tc>
          <w:tcPr>
            <w:tcW w:w="3118" w:type="dxa"/>
            <w:tcBorders>
              <w:top w:val="nil"/>
              <w:left w:val="nil"/>
              <w:bottom w:val="single" w:sz="4" w:space="0" w:color="auto"/>
              <w:right w:val="single" w:sz="4" w:space="0" w:color="auto"/>
            </w:tcBorders>
          </w:tcPr>
          <w:p w14:paraId="4A502129" w14:textId="77777777" w:rsidR="001C2F95" w:rsidRPr="00982564" w:rsidRDefault="001C2F95" w:rsidP="00971FD2">
            <w:pPr>
              <w:rPr>
                <w:rFonts w:cs="Arial"/>
                <w:color w:val="000000"/>
                <w:sz w:val="22"/>
                <w:lang w:eastAsia="en-US"/>
              </w:rPr>
            </w:pPr>
            <w:r w:rsidRPr="00982564">
              <w:rPr>
                <w:rFonts w:cs="Arial"/>
                <w:color w:val="000000"/>
                <w:sz w:val="22"/>
                <w:lang w:eastAsia="en-US"/>
              </w:rPr>
              <w:t xml:space="preserve">Cette politique est pertinente pour le PNDA dans le sens qu’elle prône : (i) la conservation de la biodiversité ; (ii) l’utilisation durable des ressources biologiques ; et, (iii) le partage juste et équitable des avantages résultant de l’exploitation des ressources génétiques d’une part et le PNDA étant un programme agricole, ses activités risquent de toucher les aires protégées, les grandes forêts, la diversité biologique etc. Ainsi, la politique définit les différentes stratégies pouvant mettre fin aux activités agricoles qui risquent d’impacter négativement l’environnement </w:t>
            </w:r>
          </w:p>
        </w:tc>
      </w:tr>
      <w:tr w:rsidR="001C2F95" w:rsidRPr="00982564" w14:paraId="63980765" w14:textId="77777777" w:rsidTr="007C7A5F">
        <w:trPr>
          <w:trHeight w:val="557"/>
        </w:trPr>
        <w:tc>
          <w:tcPr>
            <w:tcW w:w="2027" w:type="dxa"/>
            <w:vMerge/>
            <w:tcBorders>
              <w:top w:val="nil"/>
              <w:left w:val="single" w:sz="4" w:space="0" w:color="auto"/>
              <w:bottom w:val="single" w:sz="4" w:space="0" w:color="000000"/>
              <w:right w:val="single" w:sz="4" w:space="0" w:color="auto"/>
            </w:tcBorders>
            <w:vAlign w:val="center"/>
            <w:hideMark/>
          </w:tcPr>
          <w:p w14:paraId="65E72BFD" w14:textId="77777777" w:rsidR="001C2F95" w:rsidRPr="00982564" w:rsidRDefault="001C2F95" w:rsidP="00971FD2">
            <w:pPr>
              <w:jc w:val="left"/>
              <w:rPr>
                <w:rFonts w:cs="Arial"/>
                <w:color w:val="000000"/>
                <w:sz w:val="22"/>
                <w:lang w:eastAsia="en-US"/>
              </w:rPr>
            </w:pPr>
          </w:p>
        </w:tc>
        <w:tc>
          <w:tcPr>
            <w:tcW w:w="2100" w:type="dxa"/>
            <w:tcBorders>
              <w:top w:val="nil"/>
              <w:left w:val="nil"/>
              <w:bottom w:val="single" w:sz="4" w:space="0" w:color="auto"/>
              <w:right w:val="single" w:sz="4" w:space="0" w:color="auto"/>
            </w:tcBorders>
            <w:shd w:val="clear" w:color="auto" w:fill="auto"/>
            <w:vAlign w:val="center"/>
            <w:hideMark/>
          </w:tcPr>
          <w:p w14:paraId="708F79AD"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Plan d’Actions National d’Adaptation aux changements climatiques (PANA)</w:t>
            </w:r>
          </w:p>
        </w:tc>
        <w:tc>
          <w:tcPr>
            <w:tcW w:w="3381" w:type="dxa"/>
            <w:tcBorders>
              <w:top w:val="nil"/>
              <w:left w:val="nil"/>
              <w:bottom w:val="single" w:sz="4" w:space="0" w:color="auto"/>
              <w:right w:val="single" w:sz="4" w:space="0" w:color="auto"/>
            </w:tcBorders>
            <w:shd w:val="clear" w:color="auto" w:fill="auto"/>
            <w:vAlign w:val="center"/>
            <w:hideMark/>
          </w:tcPr>
          <w:p w14:paraId="4B3BC9D9" w14:textId="77777777" w:rsidR="001C2F95" w:rsidRPr="00982564" w:rsidRDefault="001C2F95" w:rsidP="00971FD2">
            <w:pPr>
              <w:rPr>
                <w:rFonts w:cs="Arial"/>
                <w:color w:val="000000"/>
                <w:sz w:val="22"/>
                <w:lang w:eastAsia="en-US"/>
              </w:rPr>
            </w:pPr>
            <w:r w:rsidRPr="00982564">
              <w:rPr>
                <w:rFonts w:cs="Arial"/>
                <w:color w:val="000000"/>
                <w:sz w:val="22"/>
                <w:lang w:eastAsia="en-US"/>
              </w:rPr>
              <w:t>Le Gouvernement de la RDC, avec l’assistance des partenaires au développement (FEM, PNUD) a élaboré le PANA en 2007. Le PANA a permis, entre autres, d’établir l’inventaire des risques climatiques les plus courants ainsi que leur tendance et les mesures d’adaptation urgentes appropriées à envisager.</w:t>
            </w:r>
          </w:p>
        </w:tc>
        <w:tc>
          <w:tcPr>
            <w:tcW w:w="3118" w:type="dxa"/>
            <w:tcBorders>
              <w:top w:val="nil"/>
              <w:left w:val="nil"/>
              <w:bottom w:val="single" w:sz="4" w:space="0" w:color="auto"/>
              <w:right w:val="single" w:sz="4" w:space="0" w:color="auto"/>
            </w:tcBorders>
          </w:tcPr>
          <w:p w14:paraId="4FBB682B" w14:textId="77777777" w:rsidR="001C2F95" w:rsidRPr="00982564" w:rsidRDefault="001C2F95" w:rsidP="00971FD2">
            <w:pPr>
              <w:rPr>
                <w:rFonts w:cs="Arial"/>
                <w:color w:val="000000"/>
                <w:sz w:val="22"/>
                <w:lang w:eastAsia="en-US"/>
              </w:rPr>
            </w:pPr>
            <w:r w:rsidRPr="00982564">
              <w:rPr>
                <w:rFonts w:cs="Arial"/>
                <w:color w:val="000000"/>
                <w:sz w:val="22"/>
                <w:lang w:eastAsia="en-US"/>
              </w:rPr>
              <w:t xml:space="preserve">Cette politique de PANA est pertinente pour le PNDA dans le sens que les activités champêtres, d’irrigation, d’ouverture des pistes rurales vont toucher des grandes étendues des terres et des </w:t>
            </w:r>
            <w:r w:rsidR="007C7A5F" w:rsidRPr="00982564">
              <w:rPr>
                <w:rFonts w:cs="Arial"/>
                <w:color w:val="000000"/>
                <w:sz w:val="22"/>
                <w:lang w:eastAsia="en-US"/>
              </w:rPr>
              <w:t>forêts</w:t>
            </w:r>
            <w:r w:rsidRPr="00982564">
              <w:rPr>
                <w:rFonts w:cs="Arial"/>
                <w:color w:val="000000"/>
                <w:sz w:val="22"/>
                <w:lang w:eastAsia="en-US"/>
              </w:rPr>
              <w:t xml:space="preserve"> qui induiraient au changement climatique. Ainsi, le PNDA va analyser les risques climatiques et proposer des mesures d’atténuation</w:t>
            </w:r>
          </w:p>
        </w:tc>
      </w:tr>
      <w:tr w:rsidR="001C2F95" w:rsidRPr="00982564" w14:paraId="68672695" w14:textId="77777777" w:rsidTr="007C7A5F">
        <w:trPr>
          <w:trHeight w:val="1250"/>
        </w:trPr>
        <w:tc>
          <w:tcPr>
            <w:tcW w:w="2027" w:type="dxa"/>
            <w:vMerge w:val="restart"/>
            <w:tcBorders>
              <w:top w:val="nil"/>
              <w:left w:val="single" w:sz="4" w:space="0" w:color="auto"/>
              <w:right w:val="single" w:sz="4" w:space="0" w:color="auto"/>
            </w:tcBorders>
            <w:vAlign w:val="center"/>
          </w:tcPr>
          <w:p w14:paraId="5A609C5C" w14:textId="77777777" w:rsidR="001C2F95" w:rsidRPr="00982564" w:rsidRDefault="001C2F95" w:rsidP="00971FD2">
            <w:pPr>
              <w:jc w:val="left"/>
              <w:rPr>
                <w:rFonts w:cs="Arial"/>
                <w:color w:val="000000"/>
                <w:sz w:val="22"/>
                <w:lang w:eastAsia="en-US"/>
              </w:rPr>
            </w:pPr>
          </w:p>
          <w:p w14:paraId="475B5A20" w14:textId="77777777" w:rsidR="001C2F95" w:rsidRPr="00982564" w:rsidRDefault="001C2F95" w:rsidP="00971FD2">
            <w:pPr>
              <w:jc w:val="left"/>
              <w:rPr>
                <w:rFonts w:cs="Arial"/>
                <w:color w:val="000000"/>
                <w:sz w:val="22"/>
                <w:lang w:eastAsia="en-US"/>
              </w:rPr>
            </w:pPr>
          </w:p>
          <w:p w14:paraId="169D5C43" w14:textId="77777777" w:rsidR="001C2F95" w:rsidRPr="00982564" w:rsidRDefault="001C2F95" w:rsidP="00971FD2">
            <w:pPr>
              <w:jc w:val="left"/>
              <w:rPr>
                <w:rFonts w:cs="Arial"/>
                <w:color w:val="000000"/>
                <w:sz w:val="22"/>
                <w:lang w:eastAsia="en-US"/>
              </w:rPr>
            </w:pPr>
          </w:p>
          <w:p w14:paraId="2DE939A0" w14:textId="77777777" w:rsidR="001C2F95" w:rsidRPr="00982564" w:rsidRDefault="001C2F95" w:rsidP="00971FD2">
            <w:pPr>
              <w:jc w:val="left"/>
              <w:rPr>
                <w:rFonts w:cs="Arial"/>
                <w:color w:val="000000"/>
                <w:sz w:val="22"/>
                <w:lang w:eastAsia="en-US"/>
              </w:rPr>
            </w:pPr>
          </w:p>
          <w:p w14:paraId="67548D4F" w14:textId="77777777" w:rsidR="001C2F95" w:rsidRPr="00982564" w:rsidRDefault="001C2F95" w:rsidP="00971FD2">
            <w:pPr>
              <w:jc w:val="left"/>
              <w:rPr>
                <w:rFonts w:cs="Arial"/>
                <w:color w:val="000000"/>
                <w:sz w:val="22"/>
                <w:lang w:eastAsia="en-US"/>
              </w:rPr>
            </w:pPr>
          </w:p>
          <w:p w14:paraId="31BDF5E7" w14:textId="77777777" w:rsidR="001C2F95" w:rsidRPr="00982564" w:rsidRDefault="001C2F95" w:rsidP="00971FD2">
            <w:pPr>
              <w:jc w:val="left"/>
              <w:rPr>
                <w:rFonts w:cs="Arial"/>
                <w:color w:val="000000"/>
                <w:sz w:val="22"/>
                <w:lang w:eastAsia="en-US"/>
              </w:rPr>
            </w:pPr>
          </w:p>
          <w:p w14:paraId="5F8F6F77" w14:textId="77777777" w:rsidR="001C2F95" w:rsidRPr="00982564" w:rsidRDefault="001C2F95" w:rsidP="00971FD2">
            <w:pPr>
              <w:jc w:val="left"/>
              <w:rPr>
                <w:rFonts w:cs="Arial"/>
                <w:color w:val="000000"/>
                <w:sz w:val="22"/>
                <w:lang w:eastAsia="en-US"/>
              </w:rPr>
            </w:pPr>
          </w:p>
          <w:p w14:paraId="1CB40C30" w14:textId="77777777" w:rsidR="001C2F95" w:rsidRPr="00982564" w:rsidRDefault="001C2F95" w:rsidP="00971FD2">
            <w:pPr>
              <w:jc w:val="left"/>
              <w:rPr>
                <w:rFonts w:cs="Arial"/>
                <w:color w:val="000000"/>
                <w:sz w:val="22"/>
                <w:lang w:eastAsia="en-US"/>
              </w:rPr>
            </w:pPr>
          </w:p>
          <w:p w14:paraId="42444CC1" w14:textId="77777777" w:rsidR="001C2F95" w:rsidRPr="00982564" w:rsidRDefault="001C2F95" w:rsidP="00971FD2">
            <w:pPr>
              <w:jc w:val="left"/>
              <w:rPr>
                <w:rFonts w:cs="Arial"/>
                <w:color w:val="000000"/>
                <w:sz w:val="22"/>
                <w:lang w:eastAsia="en-US"/>
              </w:rPr>
            </w:pPr>
          </w:p>
          <w:p w14:paraId="51414E3F" w14:textId="77777777" w:rsidR="001C2F95" w:rsidRPr="00982564" w:rsidRDefault="001C2F95" w:rsidP="00971FD2">
            <w:pPr>
              <w:jc w:val="left"/>
              <w:rPr>
                <w:rFonts w:cs="Arial"/>
                <w:color w:val="000000"/>
                <w:sz w:val="22"/>
                <w:lang w:eastAsia="en-US"/>
              </w:rPr>
            </w:pPr>
          </w:p>
          <w:p w14:paraId="5163A153" w14:textId="77777777" w:rsidR="001C2F95" w:rsidRPr="00982564" w:rsidRDefault="001C2F95" w:rsidP="00971FD2">
            <w:pPr>
              <w:jc w:val="left"/>
              <w:rPr>
                <w:rFonts w:cs="Arial"/>
                <w:color w:val="000000"/>
                <w:sz w:val="22"/>
                <w:lang w:eastAsia="en-US"/>
              </w:rPr>
            </w:pPr>
          </w:p>
          <w:p w14:paraId="7630D034" w14:textId="77777777" w:rsidR="001C2F95" w:rsidRPr="00982564" w:rsidRDefault="001C2F95" w:rsidP="00971FD2">
            <w:pPr>
              <w:jc w:val="left"/>
              <w:rPr>
                <w:rFonts w:cs="Arial"/>
                <w:color w:val="000000"/>
                <w:sz w:val="22"/>
                <w:lang w:eastAsia="en-US"/>
              </w:rPr>
            </w:pPr>
          </w:p>
          <w:p w14:paraId="49B0600A" w14:textId="77777777" w:rsidR="001C2F95" w:rsidRPr="00982564" w:rsidRDefault="001C2F95" w:rsidP="00971FD2">
            <w:pPr>
              <w:jc w:val="left"/>
              <w:rPr>
                <w:rFonts w:cs="Arial"/>
                <w:color w:val="000000"/>
                <w:sz w:val="22"/>
                <w:lang w:eastAsia="en-US"/>
              </w:rPr>
            </w:pPr>
          </w:p>
          <w:p w14:paraId="0E6130EF" w14:textId="77777777" w:rsidR="001C2F95" w:rsidRPr="00982564" w:rsidRDefault="001C2F95" w:rsidP="00971FD2">
            <w:pPr>
              <w:jc w:val="left"/>
              <w:rPr>
                <w:rFonts w:cs="Arial"/>
                <w:color w:val="000000"/>
                <w:sz w:val="22"/>
                <w:lang w:eastAsia="en-US"/>
              </w:rPr>
            </w:pPr>
          </w:p>
          <w:p w14:paraId="419EF75F" w14:textId="77777777" w:rsidR="001C2F95" w:rsidRPr="00982564" w:rsidRDefault="001C2F95" w:rsidP="00971FD2">
            <w:pPr>
              <w:jc w:val="left"/>
              <w:rPr>
                <w:rFonts w:cs="Arial"/>
                <w:color w:val="000000"/>
                <w:sz w:val="22"/>
                <w:lang w:eastAsia="en-US"/>
              </w:rPr>
            </w:pPr>
          </w:p>
          <w:p w14:paraId="0A84DA59" w14:textId="77777777" w:rsidR="001C2F95" w:rsidRPr="00982564" w:rsidRDefault="001C2F95" w:rsidP="00971FD2">
            <w:pPr>
              <w:jc w:val="left"/>
              <w:rPr>
                <w:rFonts w:cs="Arial"/>
                <w:color w:val="000000"/>
                <w:sz w:val="22"/>
                <w:lang w:eastAsia="en-US"/>
              </w:rPr>
            </w:pPr>
          </w:p>
          <w:p w14:paraId="25B92BDA" w14:textId="77777777" w:rsidR="001C2F95" w:rsidRPr="00982564" w:rsidRDefault="001C2F95" w:rsidP="00971FD2">
            <w:pPr>
              <w:jc w:val="left"/>
              <w:rPr>
                <w:rFonts w:cs="Arial"/>
                <w:color w:val="000000"/>
                <w:sz w:val="22"/>
                <w:lang w:eastAsia="en-US"/>
              </w:rPr>
            </w:pPr>
          </w:p>
          <w:p w14:paraId="4BD4016B" w14:textId="77777777" w:rsidR="001C2F95" w:rsidRPr="00982564" w:rsidRDefault="001C2F95" w:rsidP="00971FD2">
            <w:pPr>
              <w:jc w:val="left"/>
              <w:rPr>
                <w:rFonts w:cs="Arial"/>
                <w:color w:val="000000"/>
                <w:sz w:val="22"/>
                <w:lang w:eastAsia="en-US"/>
              </w:rPr>
            </w:pPr>
          </w:p>
          <w:p w14:paraId="1F473AB1" w14:textId="77777777" w:rsidR="001C2F95" w:rsidRPr="00982564" w:rsidRDefault="001C2F95" w:rsidP="00971FD2">
            <w:pPr>
              <w:jc w:val="left"/>
              <w:rPr>
                <w:rFonts w:cs="Arial"/>
                <w:color w:val="000000"/>
                <w:sz w:val="22"/>
                <w:lang w:eastAsia="en-US"/>
              </w:rPr>
            </w:pPr>
          </w:p>
          <w:p w14:paraId="0AA36375" w14:textId="77777777" w:rsidR="001C2F95" w:rsidRPr="00982564" w:rsidRDefault="001C2F95" w:rsidP="00971FD2">
            <w:pPr>
              <w:jc w:val="left"/>
              <w:rPr>
                <w:rFonts w:cs="Arial"/>
                <w:color w:val="000000"/>
                <w:sz w:val="22"/>
                <w:lang w:eastAsia="en-US"/>
              </w:rPr>
            </w:pPr>
          </w:p>
          <w:p w14:paraId="392B3A19" w14:textId="77777777" w:rsidR="001C2F95" w:rsidRPr="00982564" w:rsidRDefault="001C2F95" w:rsidP="00971FD2">
            <w:pPr>
              <w:jc w:val="left"/>
              <w:rPr>
                <w:rFonts w:cs="Arial"/>
                <w:color w:val="000000"/>
                <w:sz w:val="22"/>
                <w:lang w:eastAsia="en-US"/>
              </w:rPr>
            </w:pPr>
          </w:p>
          <w:p w14:paraId="4A60AC92" w14:textId="77777777" w:rsidR="001C2F95" w:rsidRPr="00982564" w:rsidRDefault="001C2F95" w:rsidP="00971FD2">
            <w:pPr>
              <w:jc w:val="left"/>
              <w:rPr>
                <w:rFonts w:cs="Arial"/>
                <w:color w:val="000000"/>
                <w:sz w:val="22"/>
                <w:lang w:eastAsia="en-US"/>
              </w:rPr>
            </w:pPr>
          </w:p>
          <w:p w14:paraId="79C92E8F"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 xml:space="preserve">Politique agricole </w:t>
            </w:r>
          </w:p>
        </w:tc>
        <w:tc>
          <w:tcPr>
            <w:tcW w:w="2100" w:type="dxa"/>
            <w:tcBorders>
              <w:top w:val="nil"/>
              <w:left w:val="nil"/>
              <w:bottom w:val="single" w:sz="4" w:space="0" w:color="auto"/>
              <w:right w:val="single" w:sz="4" w:space="0" w:color="auto"/>
            </w:tcBorders>
            <w:shd w:val="clear" w:color="auto" w:fill="auto"/>
            <w:vAlign w:val="center"/>
          </w:tcPr>
          <w:p w14:paraId="360C15C4"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Note de politique agricole, (septembre 2007)</w:t>
            </w:r>
          </w:p>
          <w:p w14:paraId="08ABD6C0" w14:textId="77777777" w:rsidR="001C2F95" w:rsidRPr="00982564" w:rsidRDefault="001C2F95" w:rsidP="00971FD2">
            <w:pPr>
              <w:jc w:val="left"/>
              <w:rPr>
                <w:rFonts w:cs="Arial"/>
                <w:color w:val="000000"/>
                <w:sz w:val="22"/>
                <w:lang w:eastAsia="en-US"/>
              </w:rPr>
            </w:pPr>
          </w:p>
        </w:tc>
        <w:tc>
          <w:tcPr>
            <w:tcW w:w="3381" w:type="dxa"/>
            <w:tcBorders>
              <w:top w:val="nil"/>
              <w:left w:val="nil"/>
              <w:bottom w:val="single" w:sz="4" w:space="0" w:color="auto"/>
              <w:right w:val="single" w:sz="4" w:space="0" w:color="auto"/>
            </w:tcBorders>
            <w:shd w:val="clear" w:color="auto" w:fill="auto"/>
            <w:vAlign w:val="center"/>
          </w:tcPr>
          <w:p w14:paraId="435A2F5C" w14:textId="77777777" w:rsidR="001C2F95" w:rsidRPr="00982564" w:rsidRDefault="001C2F95" w:rsidP="00971FD2">
            <w:pPr>
              <w:rPr>
                <w:rFonts w:cs="Arial"/>
                <w:sz w:val="22"/>
              </w:rPr>
            </w:pPr>
            <w:r w:rsidRPr="00982564">
              <w:rPr>
                <w:rFonts w:cs="Arial"/>
                <w:sz w:val="22"/>
              </w:rPr>
              <w:t>La Note de Politique Agricole constitue un cadre de référence d’orientation et de planification pour la relance et le développement durable du secteur agricole rural. Son objectif global est d’assurer la sécurité alimentaire des populations de la RDC et de réduire la pauvreté avec pour principales cibles les Organisations des Producteurs Agricoles (OPA) des sous- secteurs de la production agricole végétale, la pêche et l’élevage.</w:t>
            </w:r>
          </w:p>
          <w:p w14:paraId="75D7AB52" w14:textId="77777777" w:rsidR="001C2F95" w:rsidRPr="00982564" w:rsidRDefault="001C2F95" w:rsidP="00971FD2">
            <w:pPr>
              <w:rPr>
                <w:rFonts w:cs="Arial"/>
                <w:sz w:val="22"/>
              </w:rPr>
            </w:pPr>
          </w:p>
          <w:p w14:paraId="6DD44CE4" w14:textId="77777777" w:rsidR="001C2F95" w:rsidRPr="00982564" w:rsidRDefault="001C2F95" w:rsidP="00971FD2">
            <w:pPr>
              <w:rPr>
                <w:rFonts w:cs="Arial"/>
                <w:sz w:val="22"/>
              </w:rPr>
            </w:pPr>
            <w:r w:rsidRPr="00982564">
              <w:rPr>
                <w:rFonts w:cs="Arial"/>
                <w:sz w:val="22"/>
              </w:rPr>
              <w:t xml:space="preserve">La politique agricole se fixe les objectifs spécifiques ci-après : </w:t>
            </w:r>
            <w:r w:rsidRPr="00982564">
              <w:rPr>
                <w:rFonts w:cs="Arial"/>
                <w:i/>
                <w:sz w:val="22"/>
              </w:rPr>
              <w:t>(i)</w:t>
            </w:r>
            <w:r w:rsidRPr="00982564">
              <w:rPr>
                <w:rFonts w:cs="Arial"/>
                <w:sz w:val="22"/>
              </w:rPr>
              <w:t xml:space="preserve"> améliorer</w:t>
            </w:r>
            <w:r w:rsidRPr="00982564">
              <w:rPr>
                <w:rFonts w:cs="Arial"/>
                <w:spacing w:val="-8"/>
                <w:sz w:val="22"/>
              </w:rPr>
              <w:t xml:space="preserve"> </w:t>
            </w:r>
            <w:r w:rsidRPr="00982564">
              <w:rPr>
                <w:rFonts w:cs="Arial"/>
                <w:sz w:val="22"/>
              </w:rPr>
              <w:t>l’accès</w:t>
            </w:r>
            <w:r w:rsidRPr="00982564">
              <w:rPr>
                <w:rFonts w:cs="Arial"/>
                <w:spacing w:val="-9"/>
                <w:sz w:val="22"/>
              </w:rPr>
              <w:t xml:space="preserve"> </w:t>
            </w:r>
            <w:r w:rsidRPr="00982564">
              <w:rPr>
                <w:rFonts w:cs="Arial"/>
                <w:sz w:val="22"/>
              </w:rPr>
              <w:t>aux</w:t>
            </w:r>
            <w:r w:rsidRPr="00982564">
              <w:rPr>
                <w:rFonts w:cs="Arial"/>
                <w:spacing w:val="-6"/>
                <w:sz w:val="22"/>
              </w:rPr>
              <w:t xml:space="preserve"> </w:t>
            </w:r>
            <w:r w:rsidRPr="00982564">
              <w:rPr>
                <w:rFonts w:cs="Arial"/>
                <w:sz w:val="22"/>
              </w:rPr>
              <w:t>marchés</w:t>
            </w:r>
            <w:r w:rsidRPr="00982564">
              <w:rPr>
                <w:rFonts w:cs="Arial"/>
                <w:spacing w:val="-9"/>
                <w:sz w:val="22"/>
              </w:rPr>
              <w:t xml:space="preserve"> </w:t>
            </w:r>
            <w:r w:rsidRPr="00982564">
              <w:rPr>
                <w:rFonts w:cs="Arial"/>
                <w:sz w:val="22"/>
              </w:rPr>
              <w:t>et</w:t>
            </w:r>
            <w:r w:rsidRPr="00982564">
              <w:rPr>
                <w:rFonts w:cs="Arial"/>
                <w:spacing w:val="-7"/>
                <w:sz w:val="22"/>
              </w:rPr>
              <w:t xml:space="preserve"> </w:t>
            </w:r>
            <w:r w:rsidRPr="00982564">
              <w:rPr>
                <w:rFonts w:cs="Arial"/>
                <w:sz w:val="22"/>
              </w:rPr>
              <w:t>la</w:t>
            </w:r>
            <w:r w:rsidRPr="00982564">
              <w:rPr>
                <w:rFonts w:cs="Arial"/>
                <w:spacing w:val="-7"/>
                <w:sz w:val="22"/>
              </w:rPr>
              <w:t xml:space="preserve"> </w:t>
            </w:r>
            <w:r w:rsidRPr="00982564">
              <w:rPr>
                <w:rFonts w:cs="Arial"/>
                <w:sz w:val="22"/>
              </w:rPr>
              <w:t>valeur</w:t>
            </w:r>
            <w:r w:rsidRPr="00982564">
              <w:rPr>
                <w:rFonts w:cs="Arial"/>
                <w:spacing w:val="-7"/>
                <w:sz w:val="22"/>
              </w:rPr>
              <w:t xml:space="preserve"> </w:t>
            </w:r>
            <w:r w:rsidRPr="00982564">
              <w:rPr>
                <w:rFonts w:cs="Arial"/>
                <w:sz w:val="22"/>
              </w:rPr>
              <w:t>ajoutée</w:t>
            </w:r>
            <w:r w:rsidRPr="00982564">
              <w:rPr>
                <w:rFonts w:cs="Arial"/>
                <w:spacing w:val="-6"/>
                <w:sz w:val="22"/>
              </w:rPr>
              <w:t xml:space="preserve"> </w:t>
            </w:r>
            <w:r w:rsidRPr="00982564">
              <w:rPr>
                <w:rFonts w:cs="Arial"/>
                <w:sz w:val="22"/>
              </w:rPr>
              <w:t>des</w:t>
            </w:r>
            <w:r w:rsidRPr="00982564">
              <w:rPr>
                <w:rFonts w:cs="Arial"/>
                <w:spacing w:val="-9"/>
                <w:sz w:val="22"/>
              </w:rPr>
              <w:t xml:space="preserve"> </w:t>
            </w:r>
            <w:r w:rsidRPr="00982564">
              <w:rPr>
                <w:rFonts w:cs="Arial"/>
                <w:sz w:val="22"/>
              </w:rPr>
              <w:t>productions</w:t>
            </w:r>
            <w:r w:rsidRPr="00982564">
              <w:rPr>
                <w:rFonts w:cs="Arial"/>
                <w:spacing w:val="-8"/>
                <w:sz w:val="22"/>
              </w:rPr>
              <w:t xml:space="preserve"> </w:t>
            </w:r>
            <w:r w:rsidRPr="00982564">
              <w:rPr>
                <w:rFonts w:cs="Arial"/>
                <w:sz w:val="22"/>
              </w:rPr>
              <w:t>agricoles</w:t>
            </w:r>
            <w:r w:rsidRPr="00982564">
              <w:rPr>
                <w:rFonts w:cs="Arial"/>
                <w:spacing w:val="-7"/>
                <w:sz w:val="22"/>
              </w:rPr>
              <w:t xml:space="preserve"> </w:t>
            </w:r>
            <w:r w:rsidRPr="00982564">
              <w:rPr>
                <w:rFonts w:cs="Arial"/>
                <w:sz w:val="22"/>
              </w:rPr>
              <w:t xml:space="preserve">; </w:t>
            </w:r>
            <w:r w:rsidRPr="00982564">
              <w:rPr>
                <w:rFonts w:cs="Arial"/>
                <w:i/>
                <w:sz w:val="22"/>
              </w:rPr>
              <w:t>(ii)</w:t>
            </w:r>
            <w:r w:rsidRPr="00982564">
              <w:rPr>
                <w:rFonts w:cs="Arial"/>
                <w:sz w:val="22"/>
              </w:rPr>
              <w:t xml:space="preserve"> améliorer la productivité du secteur agricole (production vivrière, horticole et légumière, pêche,</w:t>
            </w:r>
            <w:r w:rsidRPr="00982564">
              <w:rPr>
                <w:rFonts w:cs="Arial"/>
                <w:spacing w:val="-1"/>
                <w:sz w:val="22"/>
              </w:rPr>
              <w:t xml:space="preserve"> </w:t>
            </w:r>
            <w:r w:rsidRPr="00982564">
              <w:rPr>
                <w:rFonts w:cs="Arial"/>
                <w:sz w:val="22"/>
              </w:rPr>
              <w:t xml:space="preserve">élevage) ; </w:t>
            </w:r>
            <w:r w:rsidRPr="00982564">
              <w:rPr>
                <w:rFonts w:cs="Arial"/>
                <w:i/>
                <w:sz w:val="22"/>
              </w:rPr>
              <w:t>(iii)</w:t>
            </w:r>
            <w:r w:rsidRPr="00982564">
              <w:rPr>
                <w:rFonts w:cs="Arial"/>
                <w:sz w:val="22"/>
              </w:rPr>
              <w:t xml:space="preserve"> promouvoir des systèmes financiers décentralisés et autogérés qui s’adaptent au caractère particulier du secteur</w:t>
            </w:r>
            <w:r w:rsidRPr="00982564">
              <w:rPr>
                <w:rFonts w:cs="Arial"/>
                <w:spacing w:val="-6"/>
                <w:sz w:val="22"/>
              </w:rPr>
              <w:t xml:space="preserve"> </w:t>
            </w:r>
            <w:r w:rsidRPr="00982564">
              <w:rPr>
                <w:rFonts w:cs="Arial"/>
                <w:sz w:val="22"/>
              </w:rPr>
              <w:t xml:space="preserve">agricole ; </w:t>
            </w:r>
            <w:r w:rsidRPr="00982564">
              <w:rPr>
                <w:rFonts w:cs="Arial"/>
                <w:i/>
                <w:sz w:val="22"/>
              </w:rPr>
              <w:t>(iv)</w:t>
            </w:r>
            <w:r w:rsidRPr="00982564">
              <w:rPr>
                <w:rFonts w:cs="Arial"/>
                <w:sz w:val="22"/>
              </w:rPr>
              <w:t xml:space="preserve"> renforcer</w:t>
            </w:r>
            <w:r w:rsidRPr="00982564">
              <w:rPr>
                <w:rFonts w:cs="Arial"/>
                <w:spacing w:val="-13"/>
                <w:sz w:val="22"/>
              </w:rPr>
              <w:t xml:space="preserve"> </w:t>
            </w:r>
            <w:r w:rsidRPr="00982564">
              <w:rPr>
                <w:rFonts w:cs="Arial"/>
                <w:sz w:val="22"/>
              </w:rPr>
              <w:t>les</w:t>
            </w:r>
            <w:r w:rsidRPr="00982564">
              <w:rPr>
                <w:rFonts w:cs="Arial"/>
                <w:spacing w:val="-13"/>
                <w:sz w:val="22"/>
              </w:rPr>
              <w:t xml:space="preserve"> </w:t>
            </w:r>
            <w:r w:rsidRPr="00982564">
              <w:rPr>
                <w:rFonts w:cs="Arial"/>
                <w:sz w:val="22"/>
              </w:rPr>
              <w:t>capacités</w:t>
            </w:r>
            <w:r w:rsidRPr="00982564">
              <w:rPr>
                <w:rFonts w:cs="Arial"/>
                <w:spacing w:val="-13"/>
                <w:sz w:val="22"/>
              </w:rPr>
              <w:t xml:space="preserve"> </w:t>
            </w:r>
            <w:r w:rsidRPr="00982564">
              <w:rPr>
                <w:rFonts w:cs="Arial"/>
                <w:sz w:val="22"/>
              </w:rPr>
              <w:t>techniques</w:t>
            </w:r>
            <w:r w:rsidRPr="00982564">
              <w:rPr>
                <w:rFonts w:cs="Arial"/>
                <w:spacing w:val="-14"/>
                <w:sz w:val="22"/>
              </w:rPr>
              <w:t xml:space="preserve"> </w:t>
            </w:r>
            <w:r w:rsidRPr="00982564">
              <w:rPr>
                <w:rFonts w:cs="Arial"/>
                <w:sz w:val="22"/>
              </w:rPr>
              <w:t>et</w:t>
            </w:r>
            <w:r w:rsidRPr="00982564">
              <w:rPr>
                <w:rFonts w:cs="Arial"/>
                <w:spacing w:val="-12"/>
                <w:sz w:val="22"/>
              </w:rPr>
              <w:t xml:space="preserve"> </w:t>
            </w:r>
            <w:r w:rsidRPr="00982564">
              <w:rPr>
                <w:rFonts w:cs="Arial"/>
                <w:sz w:val="22"/>
              </w:rPr>
              <w:t>organisationnelles</w:t>
            </w:r>
            <w:r w:rsidRPr="00982564">
              <w:rPr>
                <w:rFonts w:cs="Arial"/>
                <w:spacing w:val="-13"/>
                <w:sz w:val="22"/>
              </w:rPr>
              <w:t xml:space="preserve"> </w:t>
            </w:r>
            <w:r w:rsidRPr="00982564">
              <w:rPr>
                <w:rFonts w:cs="Arial"/>
                <w:sz w:val="22"/>
              </w:rPr>
              <w:t>des</w:t>
            </w:r>
            <w:r w:rsidRPr="00982564">
              <w:rPr>
                <w:rFonts w:cs="Arial"/>
                <w:spacing w:val="-13"/>
                <w:sz w:val="22"/>
              </w:rPr>
              <w:t xml:space="preserve"> </w:t>
            </w:r>
            <w:r w:rsidRPr="00982564">
              <w:rPr>
                <w:rFonts w:cs="Arial"/>
                <w:sz w:val="22"/>
              </w:rPr>
              <w:t>institutions</w:t>
            </w:r>
            <w:r w:rsidRPr="00982564">
              <w:rPr>
                <w:rFonts w:cs="Arial"/>
                <w:spacing w:val="-13"/>
                <w:sz w:val="22"/>
              </w:rPr>
              <w:t xml:space="preserve"> </w:t>
            </w:r>
            <w:r w:rsidRPr="00982564">
              <w:rPr>
                <w:rFonts w:cs="Arial"/>
                <w:sz w:val="22"/>
              </w:rPr>
              <w:t>publiques</w:t>
            </w:r>
            <w:r w:rsidRPr="00982564">
              <w:rPr>
                <w:rFonts w:cs="Arial"/>
                <w:spacing w:val="-13"/>
                <w:sz w:val="22"/>
              </w:rPr>
              <w:t xml:space="preserve"> </w:t>
            </w:r>
            <w:r w:rsidRPr="00982564">
              <w:rPr>
                <w:rFonts w:cs="Arial"/>
                <w:sz w:val="22"/>
              </w:rPr>
              <w:t>et</w:t>
            </w:r>
            <w:r w:rsidRPr="00982564">
              <w:rPr>
                <w:rFonts w:cs="Arial"/>
                <w:spacing w:val="-12"/>
                <w:sz w:val="22"/>
              </w:rPr>
              <w:t xml:space="preserve"> </w:t>
            </w:r>
            <w:r w:rsidRPr="00982564">
              <w:rPr>
                <w:rFonts w:cs="Arial"/>
                <w:sz w:val="22"/>
              </w:rPr>
              <w:t>privées d’appui à la production</w:t>
            </w:r>
            <w:r w:rsidRPr="00982564">
              <w:rPr>
                <w:rFonts w:cs="Arial"/>
                <w:spacing w:val="-11"/>
                <w:sz w:val="22"/>
              </w:rPr>
              <w:t xml:space="preserve"> </w:t>
            </w:r>
            <w:r w:rsidRPr="00982564">
              <w:rPr>
                <w:rFonts w:cs="Arial"/>
                <w:sz w:val="22"/>
              </w:rPr>
              <w:t>agricole.</w:t>
            </w:r>
          </w:p>
          <w:p w14:paraId="0496BA72" w14:textId="77777777" w:rsidR="001C2F95" w:rsidRPr="00982564" w:rsidRDefault="001C2F95" w:rsidP="00971FD2">
            <w:pPr>
              <w:pStyle w:val="Corpsdetexte"/>
              <w:spacing w:before="6"/>
              <w:rPr>
                <w:rFonts w:cs="Arial"/>
                <w:sz w:val="22"/>
                <w:szCs w:val="22"/>
              </w:rPr>
            </w:pPr>
          </w:p>
          <w:p w14:paraId="257B6562" w14:textId="77777777" w:rsidR="001C2F95" w:rsidRPr="00982564" w:rsidRDefault="001C2F95" w:rsidP="00971FD2">
            <w:pPr>
              <w:rPr>
                <w:rFonts w:cs="Arial"/>
                <w:color w:val="000000"/>
                <w:sz w:val="22"/>
                <w:lang w:eastAsia="en-US"/>
              </w:rPr>
            </w:pPr>
            <w:r w:rsidRPr="00982564">
              <w:rPr>
                <w:rFonts w:cs="Arial"/>
                <w:sz w:val="22"/>
              </w:rPr>
              <w:t>Ces objectifs visant la réduction de la pauvreté par la relance de la production agricole et des activités connexes sont en phase avec les Objectifs du Développement Durable (ODD).</w:t>
            </w:r>
          </w:p>
        </w:tc>
        <w:tc>
          <w:tcPr>
            <w:tcW w:w="3118" w:type="dxa"/>
            <w:tcBorders>
              <w:top w:val="nil"/>
              <w:left w:val="nil"/>
              <w:bottom w:val="single" w:sz="4" w:space="0" w:color="auto"/>
              <w:right w:val="single" w:sz="4" w:space="0" w:color="auto"/>
            </w:tcBorders>
          </w:tcPr>
          <w:p w14:paraId="09ED1C66" w14:textId="77777777" w:rsidR="001C2F95" w:rsidRPr="00982564" w:rsidRDefault="001C2F95" w:rsidP="00971FD2">
            <w:pPr>
              <w:rPr>
                <w:rFonts w:cs="Arial"/>
                <w:sz w:val="22"/>
              </w:rPr>
            </w:pPr>
            <w:r w:rsidRPr="00982564">
              <w:rPr>
                <w:rFonts w:cs="Arial"/>
                <w:sz w:val="22"/>
              </w:rPr>
              <w:t>Cette politique est pertinente dans le cadre du PNDA dans le sens qu’elle donne des orientations précises au programme pour la relance du développement durable afin d’assurer la sécurité alimentaire dans les provinces concernées par le PNDA</w:t>
            </w:r>
          </w:p>
        </w:tc>
      </w:tr>
      <w:tr w:rsidR="001C2F95" w:rsidRPr="00982564" w14:paraId="00AD8F59" w14:textId="77777777" w:rsidTr="007C7A5F">
        <w:trPr>
          <w:trHeight w:val="621"/>
        </w:trPr>
        <w:tc>
          <w:tcPr>
            <w:tcW w:w="2027" w:type="dxa"/>
            <w:vMerge/>
            <w:tcBorders>
              <w:left w:val="single" w:sz="4" w:space="0" w:color="auto"/>
              <w:right w:val="single" w:sz="4" w:space="0" w:color="auto"/>
            </w:tcBorders>
            <w:vAlign w:val="center"/>
          </w:tcPr>
          <w:p w14:paraId="583FFE70" w14:textId="77777777" w:rsidR="001C2F95" w:rsidRPr="00982564" w:rsidRDefault="001C2F95" w:rsidP="00971FD2">
            <w:pPr>
              <w:jc w:val="left"/>
              <w:rPr>
                <w:rFonts w:cs="Arial"/>
                <w:color w:val="000000"/>
                <w:sz w:val="22"/>
                <w:lang w:eastAsia="en-US"/>
              </w:rPr>
            </w:pPr>
          </w:p>
        </w:tc>
        <w:tc>
          <w:tcPr>
            <w:tcW w:w="2100" w:type="dxa"/>
            <w:tcBorders>
              <w:top w:val="nil"/>
              <w:left w:val="nil"/>
              <w:bottom w:val="single" w:sz="4" w:space="0" w:color="auto"/>
              <w:right w:val="single" w:sz="4" w:space="0" w:color="auto"/>
            </w:tcBorders>
            <w:shd w:val="clear" w:color="auto" w:fill="auto"/>
            <w:vAlign w:val="center"/>
          </w:tcPr>
          <w:p w14:paraId="2A110680"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Stratégie sectorielle de l’agriculture et du développement rural (SSADR, mars 2010)</w:t>
            </w:r>
          </w:p>
        </w:tc>
        <w:tc>
          <w:tcPr>
            <w:tcW w:w="3381" w:type="dxa"/>
            <w:tcBorders>
              <w:top w:val="nil"/>
              <w:left w:val="nil"/>
              <w:bottom w:val="single" w:sz="4" w:space="0" w:color="auto"/>
              <w:right w:val="single" w:sz="4" w:space="0" w:color="auto"/>
            </w:tcBorders>
            <w:shd w:val="clear" w:color="auto" w:fill="auto"/>
            <w:vAlign w:val="center"/>
          </w:tcPr>
          <w:p w14:paraId="6A3320FB" w14:textId="77777777" w:rsidR="001C2F95" w:rsidRPr="00982564" w:rsidRDefault="001C2F95" w:rsidP="00971FD2">
            <w:pPr>
              <w:rPr>
                <w:rFonts w:cs="Arial"/>
                <w:sz w:val="22"/>
              </w:rPr>
            </w:pPr>
            <w:r w:rsidRPr="00982564">
              <w:rPr>
                <w:rFonts w:cs="Arial"/>
                <w:sz w:val="22"/>
              </w:rPr>
              <w:t>La SSADR a été formulé, avec les orientations stratégiques sont les suivantes : une recherche agricole à grande échelle ; la vulgarisation des innovations technologiques respectueuses de l’environnement ; l’affectation des budgets adéquats dans le contexte de la décentralisation ; la structuration et l’organisation du monde rural tenant compte de la dimension genre ; la mise en œuvre du plan de restructuration des services de l’agriculture et du développement rural ; la promotion des systèmes financiers adaptés à la nature des activités du secteur ; l’expansion de l’infrastructure publique pour viabiliser les sites de production ; la relance du secteur agricole pour la promotion d’une agriculture vivrière, du type familial et industriel ; l’appropriation du développement local par les communautés de base.</w:t>
            </w:r>
          </w:p>
        </w:tc>
        <w:tc>
          <w:tcPr>
            <w:tcW w:w="3118" w:type="dxa"/>
            <w:tcBorders>
              <w:top w:val="nil"/>
              <w:left w:val="nil"/>
              <w:bottom w:val="single" w:sz="4" w:space="0" w:color="auto"/>
              <w:right w:val="single" w:sz="4" w:space="0" w:color="auto"/>
            </w:tcBorders>
          </w:tcPr>
          <w:p w14:paraId="46853E23" w14:textId="77777777" w:rsidR="001C2F95" w:rsidRPr="00982564" w:rsidRDefault="001C2F95" w:rsidP="00971FD2">
            <w:pPr>
              <w:rPr>
                <w:rFonts w:cs="Arial"/>
                <w:sz w:val="22"/>
              </w:rPr>
            </w:pPr>
            <w:r w:rsidRPr="00982564">
              <w:rPr>
                <w:rFonts w:cs="Arial"/>
                <w:sz w:val="22"/>
              </w:rPr>
              <w:t>Cette politique est pertinente pour le PNDA dans le sens que ce dernier introduit des innovations technologiques dans la pratique agricoles.</w:t>
            </w:r>
          </w:p>
        </w:tc>
      </w:tr>
      <w:tr w:rsidR="001C2F95" w:rsidRPr="00982564" w14:paraId="072D76A4" w14:textId="77777777" w:rsidTr="007C7A5F">
        <w:trPr>
          <w:trHeight w:val="1250"/>
        </w:trPr>
        <w:tc>
          <w:tcPr>
            <w:tcW w:w="2027" w:type="dxa"/>
            <w:vMerge/>
            <w:tcBorders>
              <w:left w:val="single" w:sz="4" w:space="0" w:color="auto"/>
              <w:right w:val="single" w:sz="4" w:space="0" w:color="auto"/>
            </w:tcBorders>
            <w:vAlign w:val="center"/>
          </w:tcPr>
          <w:p w14:paraId="1D60F983" w14:textId="77777777" w:rsidR="001C2F95" w:rsidRPr="00982564" w:rsidRDefault="001C2F95" w:rsidP="00971FD2">
            <w:pPr>
              <w:jc w:val="left"/>
              <w:rPr>
                <w:rFonts w:cs="Arial"/>
                <w:color w:val="000000"/>
                <w:sz w:val="22"/>
                <w:lang w:eastAsia="en-US"/>
              </w:rPr>
            </w:pPr>
          </w:p>
        </w:tc>
        <w:tc>
          <w:tcPr>
            <w:tcW w:w="2100" w:type="dxa"/>
            <w:tcBorders>
              <w:top w:val="nil"/>
              <w:left w:val="nil"/>
              <w:bottom w:val="single" w:sz="4" w:space="0" w:color="auto"/>
              <w:right w:val="single" w:sz="4" w:space="0" w:color="auto"/>
            </w:tcBorders>
            <w:shd w:val="clear" w:color="auto" w:fill="auto"/>
            <w:vAlign w:val="center"/>
          </w:tcPr>
          <w:p w14:paraId="2C50E890"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Programme National de Sécurité Alimentaire (PNSA, 2009)</w:t>
            </w:r>
          </w:p>
        </w:tc>
        <w:tc>
          <w:tcPr>
            <w:tcW w:w="3381" w:type="dxa"/>
            <w:tcBorders>
              <w:top w:val="nil"/>
              <w:left w:val="nil"/>
              <w:bottom w:val="single" w:sz="4" w:space="0" w:color="auto"/>
              <w:right w:val="single" w:sz="4" w:space="0" w:color="auto"/>
            </w:tcBorders>
            <w:shd w:val="clear" w:color="auto" w:fill="auto"/>
            <w:vAlign w:val="center"/>
          </w:tcPr>
          <w:p w14:paraId="36F6B6B7" w14:textId="77777777" w:rsidR="001C2F95" w:rsidRPr="00982564" w:rsidRDefault="001C2F95" w:rsidP="00971FD2">
            <w:pPr>
              <w:rPr>
                <w:rFonts w:cs="Arial"/>
                <w:sz w:val="22"/>
              </w:rPr>
            </w:pPr>
            <w:r w:rsidRPr="00982564">
              <w:rPr>
                <w:rFonts w:cs="Arial"/>
                <w:sz w:val="22"/>
              </w:rPr>
              <w:t>L’objectif global du PNSA vise à contribuer de façon durable à lutter contre l’insécurité alimentaire et à améliorer les conditions de vie des populations par l’augmentation des productions et des revenus des ménages. Les objectifs spécifiques du Programme devant permettre l’atteinte de cet objectif global sont : Accroître les volumes des productions agricoles grâce à l’amélioration de la productivité, de la diversification des productions et la sécurisation des systèmes de production ; Valoriser les produits végétaux, halieutiques, animaux et forestiers non ligneux par l’amélioration des techniques de stockage, de conservation et de transformation ; Améliorer l’accès aux denrées alimentaires et l’état nutritionnel et sanitaire des populations ; Renforcer les capacités des structures d’appui aux producteurs ; Améliorer les capacités des ménages à aborder toutes les dimensions de la sécurité alimentaire et nutritionnelle en leur sein et dans la communauté.</w:t>
            </w:r>
          </w:p>
        </w:tc>
        <w:tc>
          <w:tcPr>
            <w:tcW w:w="3118" w:type="dxa"/>
            <w:tcBorders>
              <w:top w:val="nil"/>
              <w:left w:val="nil"/>
              <w:bottom w:val="single" w:sz="4" w:space="0" w:color="auto"/>
              <w:right w:val="single" w:sz="4" w:space="0" w:color="auto"/>
            </w:tcBorders>
          </w:tcPr>
          <w:p w14:paraId="31CC56DF" w14:textId="77777777" w:rsidR="001C2F95" w:rsidRPr="00982564" w:rsidRDefault="001C2F95" w:rsidP="00971FD2">
            <w:pPr>
              <w:rPr>
                <w:rFonts w:cs="Arial"/>
                <w:sz w:val="22"/>
              </w:rPr>
            </w:pPr>
            <w:r w:rsidRPr="00982564">
              <w:rPr>
                <w:rFonts w:cs="Arial"/>
                <w:sz w:val="22"/>
              </w:rPr>
              <w:t>Le PNSA est pertinente pour le PNDA dans le sens qu’il contribue à lutter contre l’insécurité alimentaire et à améliorer les conditions de vie des populations. Cet objectif est également visé par le PNDA</w:t>
            </w:r>
          </w:p>
        </w:tc>
      </w:tr>
      <w:tr w:rsidR="001C2F95" w:rsidRPr="00982564" w14:paraId="7C326ADB" w14:textId="77777777" w:rsidTr="007C7A5F">
        <w:trPr>
          <w:trHeight w:val="1250"/>
        </w:trPr>
        <w:tc>
          <w:tcPr>
            <w:tcW w:w="2027" w:type="dxa"/>
            <w:vMerge/>
            <w:tcBorders>
              <w:left w:val="single" w:sz="4" w:space="0" w:color="auto"/>
              <w:right w:val="single" w:sz="4" w:space="0" w:color="auto"/>
            </w:tcBorders>
            <w:vAlign w:val="center"/>
          </w:tcPr>
          <w:p w14:paraId="762D2BF2" w14:textId="77777777" w:rsidR="001C2F95" w:rsidRPr="00982564" w:rsidRDefault="001C2F95" w:rsidP="00971FD2">
            <w:pPr>
              <w:jc w:val="left"/>
              <w:rPr>
                <w:rFonts w:cs="Arial"/>
                <w:color w:val="000000"/>
                <w:sz w:val="22"/>
                <w:lang w:eastAsia="en-US"/>
              </w:rPr>
            </w:pPr>
          </w:p>
        </w:tc>
        <w:tc>
          <w:tcPr>
            <w:tcW w:w="2100" w:type="dxa"/>
            <w:tcBorders>
              <w:top w:val="nil"/>
              <w:left w:val="nil"/>
              <w:bottom w:val="single" w:sz="4" w:space="0" w:color="auto"/>
              <w:right w:val="single" w:sz="4" w:space="0" w:color="auto"/>
            </w:tcBorders>
            <w:shd w:val="clear" w:color="auto" w:fill="auto"/>
            <w:vAlign w:val="center"/>
          </w:tcPr>
          <w:p w14:paraId="3DFBCFDC"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Plans de Développement Agricole Provinciaux (PDAP)</w:t>
            </w:r>
          </w:p>
        </w:tc>
        <w:tc>
          <w:tcPr>
            <w:tcW w:w="3381" w:type="dxa"/>
            <w:tcBorders>
              <w:top w:val="nil"/>
              <w:left w:val="nil"/>
              <w:bottom w:val="single" w:sz="4" w:space="0" w:color="auto"/>
              <w:right w:val="single" w:sz="4" w:space="0" w:color="auto"/>
            </w:tcBorders>
            <w:shd w:val="clear" w:color="auto" w:fill="auto"/>
            <w:vAlign w:val="center"/>
          </w:tcPr>
          <w:p w14:paraId="006208F6" w14:textId="77777777" w:rsidR="001C2F95" w:rsidRPr="00982564" w:rsidRDefault="001C2F95" w:rsidP="00971FD2">
            <w:pPr>
              <w:rPr>
                <w:rFonts w:cs="Arial"/>
                <w:sz w:val="22"/>
              </w:rPr>
            </w:pPr>
            <w:r w:rsidRPr="00982564">
              <w:rPr>
                <w:rFonts w:cs="Arial"/>
                <w:sz w:val="22"/>
              </w:rPr>
              <w:t>Avec l’appui de la Banque africaine de développement (BAD), une étude du secteur agricole a été réalisée pour élaborer un plan directeur de développement qui permette de relancer, sur une base durable, le secteur agricole congolais. Cette étude a débouché sur la confection de Plans de Développement Agricole Provinciaux (PDAP), reflétant ainsi l’esprit de la décentralisation qui laisse une large part des initiatives de développement aux provinces, notamment au Kongo Central, Kasaï Central, Kasaï, Kwilu et Nord-Kivu</w:t>
            </w:r>
          </w:p>
        </w:tc>
        <w:tc>
          <w:tcPr>
            <w:tcW w:w="3118" w:type="dxa"/>
            <w:tcBorders>
              <w:top w:val="nil"/>
              <w:left w:val="nil"/>
              <w:bottom w:val="single" w:sz="4" w:space="0" w:color="auto"/>
              <w:right w:val="single" w:sz="4" w:space="0" w:color="auto"/>
            </w:tcBorders>
          </w:tcPr>
          <w:p w14:paraId="4BFE7745" w14:textId="77777777" w:rsidR="001C2F95" w:rsidRPr="00982564" w:rsidRDefault="001C2F95" w:rsidP="00971FD2">
            <w:pPr>
              <w:rPr>
                <w:rFonts w:cs="Arial"/>
                <w:sz w:val="22"/>
              </w:rPr>
            </w:pPr>
            <w:r w:rsidRPr="00982564">
              <w:rPr>
                <w:rFonts w:cs="Arial"/>
                <w:sz w:val="22"/>
              </w:rPr>
              <w:t>Le PDAP est pertinente pour le PNDA dans le sens qu’ils fournissent des informations réelles (problèmes d’infrastructures agricoles, renforcement des capacités des acteurs du secteur agricole, etc.) identifiées préalablement dans le secteur agricole et propose des besoins prioritaires pour la relance agricole dans les provinces concernées par le PNDA</w:t>
            </w:r>
          </w:p>
        </w:tc>
      </w:tr>
      <w:tr w:rsidR="001C2F95" w:rsidRPr="00982564" w14:paraId="22021905" w14:textId="77777777" w:rsidTr="007C7A5F">
        <w:trPr>
          <w:trHeight w:val="287"/>
        </w:trPr>
        <w:tc>
          <w:tcPr>
            <w:tcW w:w="2027" w:type="dxa"/>
            <w:vMerge/>
            <w:tcBorders>
              <w:left w:val="single" w:sz="4" w:space="0" w:color="auto"/>
              <w:right w:val="single" w:sz="4" w:space="0" w:color="auto"/>
            </w:tcBorders>
            <w:vAlign w:val="center"/>
          </w:tcPr>
          <w:p w14:paraId="353A4527" w14:textId="77777777" w:rsidR="001C2F95" w:rsidRPr="00982564" w:rsidRDefault="001C2F95" w:rsidP="00971FD2">
            <w:pPr>
              <w:jc w:val="left"/>
              <w:rPr>
                <w:rFonts w:cs="Arial"/>
                <w:color w:val="000000"/>
                <w:sz w:val="22"/>
                <w:lang w:eastAsia="en-US"/>
              </w:rPr>
            </w:pPr>
          </w:p>
        </w:tc>
        <w:tc>
          <w:tcPr>
            <w:tcW w:w="2100" w:type="dxa"/>
            <w:tcBorders>
              <w:top w:val="nil"/>
              <w:left w:val="nil"/>
              <w:bottom w:val="single" w:sz="4" w:space="0" w:color="auto"/>
              <w:right w:val="single" w:sz="4" w:space="0" w:color="auto"/>
            </w:tcBorders>
            <w:shd w:val="clear" w:color="auto" w:fill="auto"/>
            <w:vAlign w:val="center"/>
          </w:tcPr>
          <w:p w14:paraId="177BAABC"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Plan National d’Investissement Agricole (PNIA)</w:t>
            </w:r>
          </w:p>
        </w:tc>
        <w:tc>
          <w:tcPr>
            <w:tcW w:w="3381" w:type="dxa"/>
            <w:tcBorders>
              <w:top w:val="nil"/>
              <w:left w:val="nil"/>
              <w:bottom w:val="single" w:sz="4" w:space="0" w:color="auto"/>
              <w:right w:val="single" w:sz="4" w:space="0" w:color="auto"/>
            </w:tcBorders>
            <w:shd w:val="clear" w:color="auto" w:fill="auto"/>
            <w:vAlign w:val="center"/>
          </w:tcPr>
          <w:p w14:paraId="7E519F4C" w14:textId="77777777" w:rsidR="001C2F95" w:rsidRPr="00982564" w:rsidRDefault="001C2F95" w:rsidP="00971FD2">
            <w:pPr>
              <w:rPr>
                <w:rFonts w:cs="Arial"/>
                <w:sz w:val="22"/>
              </w:rPr>
            </w:pPr>
            <w:r w:rsidRPr="00982564">
              <w:rPr>
                <w:rFonts w:cs="Arial"/>
                <w:sz w:val="22"/>
              </w:rPr>
              <w:t>Le Plan National d’Investissement Agricole (PNIA) de la RDC est le cadre national de planification des fonds nationaux et extérieurs pour le secteur de l’agriculture et du développement rural. Il prend en compte les besoins, les acquis, les gaps à rechercher pour l’investissement et le fonctionnement du secteur sur un horizon de huit ans (2013 – 2020)</w:t>
            </w:r>
          </w:p>
        </w:tc>
        <w:tc>
          <w:tcPr>
            <w:tcW w:w="3118" w:type="dxa"/>
            <w:tcBorders>
              <w:top w:val="nil"/>
              <w:left w:val="nil"/>
              <w:bottom w:val="single" w:sz="4" w:space="0" w:color="auto"/>
              <w:right w:val="single" w:sz="4" w:space="0" w:color="auto"/>
            </w:tcBorders>
          </w:tcPr>
          <w:p w14:paraId="1C591EDF" w14:textId="77777777" w:rsidR="001C2F95" w:rsidRPr="00982564" w:rsidRDefault="001C2F95" w:rsidP="00971FD2">
            <w:pPr>
              <w:rPr>
                <w:rFonts w:cs="Arial"/>
                <w:sz w:val="22"/>
              </w:rPr>
            </w:pPr>
            <w:r w:rsidRPr="00982564">
              <w:rPr>
                <w:rFonts w:cs="Arial"/>
                <w:sz w:val="22"/>
              </w:rPr>
              <w:t>Le PNIA est également pertinent pour le PNDA dans le sens qu’il fournit des besoins, les acquis, les gaps pour l’investissement national agricole de la RDC.</w:t>
            </w:r>
          </w:p>
        </w:tc>
      </w:tr>
      <w:tr w:rsidR="001C2F95" w:rsidRPr="00982564" w14:paraId="28562E9D" w14:textId="77777777" w:rsidTr="007C7A5F">
        <w:trPr>
          <w:trHeight w:val="530"/>
        </w:trPr>
        <w:tc>
          <w:tcPr>
            <w:tcW w:w="2027" w:type="dxa"/>
            <w:vMerge/>
            <w:tcBorders>
              <w:left w:val="single" w:sz="4" w:space="0" w:color="auto"/>
              <w:right w:val="single" w:sz="4" w:space="0" w:color="auto"/>
            </w:tcBorders>
            <w:shd w:val="clear" w:color="auto" w:fill="auto"/>
            <w:vAlign w:val="center"/>
          </w:tcPr>
          <w:p w14:paraId="45869DA6" w14:textId="77777777" w:rsidR="001C2F95" w:rsidRPr="00982564" w:rsidRDefault="001C2F95" w:rsidP="00971FD2">
            <w:pPr>
              <w:jc w:val="left"/>
              <w:rPr>
                <w:rFonts w:cs="Arial"/>
                <w:color w:val="000000"/>
                <w:sz w:val="22"/>
                <w:lang w:eastAsia="en-US"/>
              </w:rPr>
            </w:pPr>
          </w:p>
        </w:tc>
        <w:tc>
          <w:tcPr>
            <w:tcW w:w="2100" w:type="dxa"/>
            <w:tcBorders>
              <w:top w:val="nil"/>
              <w:left w:val="nil"/>
              <w:bottom w:val="single" w:sz="4" w:space="0" w:color="auto"/>
              <w:right w:val="single" w:sz="4" w:space="0" w:color="auto"/>
            </w:tcBorders>
            <w:shd w:val="clear" w:color="auto" w:fill="auto"/>
            <w:vAlign w:val="center"/>
          </w:tcPr>
          <w:p w14:paraId="585AB20F"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Plan d’actions pour l'amélioration de la gestion des pesticides</w:t>
            </w:r>
          </w:p>
        </w:tc>
        <w:tc>
          <w:tcPr>
            <w:tcW w:w="3381" w:type="dxa"/>
            <w:tcBorders>
              <w:top w:val="nil"/>
              <w:left w:val="nil"/>
              <w:bottom w:val="single" w:sz="4" w:space="0" w:color="auto"/>
              <w:right w:val="single" w:sz="4" w:space="0" w:color="auto"/>
            </w:tcBorders>
            <w:shd w:val="clear" w:color="auto" w:fill="auto"/>
            <w:vAlign w:val="center"/>
          </w:tcPr>
          <w:p w14:paraId="2A6DD19A" w14:textId="77777777" w:rsidR="001C2F95" w:rsidRPr="00982564" w:rsidRDefault="001C2F95" w:rsidP="00971FD2">
            <w:pPr>
              <w:rPr>
                <w:rFonts w:cs="Arial"/>
                <w:color w:val="000000"/>
                <w:sz w:val="22"/>
                <w:lang w:eastAsia="en-US"/>
              </w:rPr>
            </w:pPr>
            <w:r w:rsidRPr="00982564">
              <w:rPr>
                <w:rFonts w:cs="Arial"/>
                <w:color w:val="000000"/>
                <w:sz w:val="22"/>
                <w:lang w:eastAsia="en-US"/>
              </w:rPr>
              <w:t>Pour s’adapter et répondre aux exigences internationales en matière de gestion rationnelle des pesticides, la RDC a élaboré un Plan d’actions pour l'amélioration de la gestion des pesticides dont les grandes lignes se présentent comme suit :</w:t>
            </w:r>
          </w:p>
          <w:p w14:paraId="520EC6DA" w14:textId="77777777" w:rsidR="001C2F95" w:rsidRPr="00982564" w:rsidRDefault="001C2F95" w:rsidP="002378EA">
            <w:pPr>
              <w:pStyle w:val="Paragraphedeliste"/>
              <w:numPr>
                <w:ilvl w:val="0"/>
                <w:numId w:val="101"/>
              </w:numPr>
              <w:ind w:left="155" w:hanging="142"/>
              <w:rPr>
                <w:rFonts w:cs="Arial"/>
                <w:color w:val="000000"/>
                <w:sz w:val="22"/>
                <w:lang w:eastAsia="en-US"/>
              </w:rPr>
            </w:pPr>
            <w:r w:rsidRPr="00982564">
              <w:rPr>
                <w:rFonts w:cs="Arial"/>
                <w:color w:val="000000"/>
                <w:sz w:val="22"/>
                <w:lang w:eastAsia="en-US"/>
              </w:rPr>
              <w:t xml:space="preserve">l'amélioration des conditions de l’exécution des attributions des services de la gestion des pesticides au niveau des provinces en s’appuyant sur l’application de la Loi portant sur principes fondamentaux relatifs à l’Agriculture et sur le Décret portant réglementation phytosanitaire ; </w:t>
            </w:r>
          </w:p>
          <w:p w14:paraId="1BEF8518" w14:textId="77777777" w:rsidR="001C2F95" w:rsidRPr="00982564" w:rsidRDefault="001C2F95" w:rsidP="002378EA">
            <w:pPr>
              <w:pStyle w:val="Paragraphedeliste"/>
              <w:numPr>
                <w:ilvl w:val="0"/>
                <w:numId w:val="101"/>
              </w:numPr>
              <w:ind w:left="155" w:hanging="142"/>
              <w:rPr>
                <w:rFonts w:cs="Arial"/>
                <w:color w:val="000000"/>
                <w:sz w:val="22"/>
                <w:lang w:eastAsia="en-US"/>
              </w:rPr>
            </w:pPr>
            <w:r w:rsidRPr="00982564">
              <w:rPr>
                <w:rFonts w:cs="Arial"/>
                <w:color w:val="000000"/>
                <w:sz w:val="22"/>
                <w:lang w:eastAsia="en-US"/>
              </w:rPr>
              <w:t xml:space="preserve">l'amélioration de la coordination provinciale par le renforcement de moyens de communication et de moyens d’investigation et la mise en place d’un réseau de circulation rapide de l’information ; </w:t>
            </w:r>
          </w:p>
          <w:p w14:paraId="4ED1B2C6" w14:textId="77777777" w:rsidR="001C2F95" w:rsidRPr="00982564" w:rsidRDefault="001C2F95" w:rsidP="002378EA">
            <w:pPr>
              <w:pStyle w:val="Paragraphedeliste"/>
              <w:numPr>
                <w:ilvl w:val="0"/>
                <w:numId w:val="101"/>
              </w:numPr>
              <w:ind w:left="155" w:hanging="142"/>
              <w:rPr>
                <w:rFonts w:cs="Arial"/>
                <w:color w:val="000000"/>
                <w:sz w:val="22"/>
                <w:lang w:eastAsia="en-US"/>
              </w:rPr>
            </w:pPr>
            <w:r w:rsidRPr="00982564">
              <w:rPr>
                <w:rFonts w:cs="Arial"/>
                <w:color w:val="000000"/>
                <w:sz w:val="22"/>
                <w:lang w:eastAsia="en-US"/>
              </w:rPr>
              <w:t xml:space="preserve">le renforcement du réseau d’inspection et de contrôle provincial et central ; </w:t>
            </w:r>
          </w:p>
          <w:p w14:paraId="5DC43397" w14:textId="77777777" w:rsidR="001C2F95" w:rsidRPr="00982564" w:rsidRDefault="001C2F95" w:rsidP="002378EA">
            <w:pPr>
              <w:pStyle w:val="Paragraphedeliste"/>
              <w:numPr>
                <w:ilvl w:val="0"/>
                <w:numId w:val="101"/>
              </w:numPr>
              <w:ind w:left="155" w:hanging="142"/>
              <w:rPr>
                <w:rFonts w:cs="Arial"/>
                <w:color w:val="000000"/>
                <w:sz w:val="22"/>
                <w:lang w:eastAsia="en-US"/>
              </w:rPr>
            </w:pPr>
            <w:r w:rsidRPr="00982564">
              <w:rPr>
                <w:rFonts w:cs="Arial"/>
                <w:color w:val="000000"/>
                <w:sz w:val="22"/>
                <w:lang w:eastAsia="en-US"/>
              </w:rPr>
              <w:t xml:space="preserve">la formation et le renforcement de capacité des intervenants du secteur en gestion des pesticides ; </w:t>
            </w:r>
          </w:p>
          <w:p w14:paraId="4AFC03A4" w14:textId="77777777" w:rsidR="001C2F95" w:rsidRPr="00982564" w:rsidRDefault="001C2F95" w:rsidP="002378EA">
            <w:pPr>
              <w:pStyle w:val="Paragraphedeliste"/>
              <w:numPr>
                <w:ilvl w:val="0"/>
                <w:numId w:val="101"/>
              </w:numPr>
              <w:ind w:left="155" w:hanging="142"/>
              <w:rPr>
                <w:rFonts w:cs="Arial"/>
                <w:color w:val="000000"/>
                <w:sz w:val="22"/>
                <w:lang w:eastAsia="en-US"/>
              </w:rPr>
            </w:pPr>
            <w:r w:rsidRPr="00982564">
              <w:rPr>
                <w:rFonts w:cs="Arial"/>
                <w:color w:val="000000"/>
                <w:sz w:val="22"/>
                <w:lang w:eastAsia="en-US"/>
              </w:rPr>
              <w:t>la formation et la sensibilisation des producteurs et des agriculteurs à travers les champs écoles paysans par la promotion de la gestion intégrée des pesticides (utilisation, stockage, transport et élimination des contenants et l’appui aux organisations paysannes ;</w:t>
            </w:r>
          </w:p>
          <w:p w14:paraId="412497F9" w14:textId="77777777" w:rsidR="001C2F95" w:rsidRPr="00982564" w:rsidRDefault="001C2F95" w:rsidP="002378EA">
            <w:pPr>
              <w:pStyle w:val="Paragraphedeliste"/>
              <w:numPr>
                <w:ilvl w:val="0"/>
                <w:numId w:val="101"/>
              </w:numPr>
              <w:ind w:left="155" w:hanging="142"/>
              <w:rPr>
                <w:rFonts w:cs="Arial"/>
                <w:color w:val="000000"/>
                <w:sz w:val="22"/>
                <w:lang w:eastAsia="en-US"/>
              </w:rPr>
            </w:pPr>
            <w:r w:rsidRPr="00982564">
              <w:rPr>
                <w:rFonts w:cs="Arial"/>
                <w:color w:val="000000"/>
                <w:sz w:val="22"/>
                <w:lang w:eastAsia="en-US"/>
              </w:rPr>
              <w:t>la sensibilisation et l’information des populations ;</w:t>
            </w:r>
          </w:p>
          <w:p w14:paraId="33E70CCA" w14:textId="77777777" w:rsidR="001C2F95" w:rsidRPr="00982564" w:rsidRDefault="001C2F95" w:rsidP="002378EA">
            <w:pPr>
              <w:pStyle w:val="Paragraphedeliste"/>
              <w:numPr>
                <w:ilvl w:val="0"/>
                <w:numId w:val="101"/>
              </w:numPr>
              <w:ind w:left="155" w:hanging="142"/>
              <w:rPr>
                <w:rFonts w:cs="Arial"/>
                <w:color w:val="000000"/>
                <w:sz w:val="22"/>
                <w:lang w:eastAsia="en-US"/>
              </w:rPr>
            </w:pPr>
            <w:r w:rsidRPr="00982564">
              <w:rPr>
                <w:rFonts w:cs="Arial"/>
                <w:color w:val="000000"/>
                <w:sz w:val="22"/>
                <w:lang w:eastAsia="en-US"/>
              </w:rPr>
              <w:t>la mise sur pied en partenariat avec le Ministère en charge de l’environnement et le secteur privé importateur des pesticides, le mécanisme de récupération et d’élimination des pesticides obsolètes.</w:t>
            </w:r>
          </w:p>
        </w:tc>
        <w:tc>
          <w:tcPr>
            <w:tcW w:w="3118" w:type="dxa"/>
            <w:tcBorders>
              <w:top w:val="nil"/>
              <w:left w:val="nil"/>
              <w:bottom w:val="single" w:sz="4" w:space="0" w:color="auto"/>
              <w:right w:val="single" w:sz="4" w:space="0" w:color="auto"/>
            </w:tcBorders>
          </w:tcPr>
          <w:p w14:paraId="41E27959" w14:textId="77777777" w:rsidR="001C2F95" w:rsidRPr="00982564" w:rsidRDefault="001C2F95" w:rsidP="00971FD2">
            <w:pPr>
              <w:rPr>
                <w:rFonts w:cs="Arial"/>
                <w:color w:val="000000"/>
                <w:sz w:val="22"/>
                <w:lang w:eastAsia="en-US"/>
              </w:rPr>
            </w:pPr>
            <w:r w:rsidRPr="00982564">
              <w:rPr>
                <w:rFonts w:cs="Arial"/>
                <w:color w:val="000000"/>
                <w:sz w:val="22"/>
                <w:lang w:eastAsia="en-US"/>
              </w:rPr>
              <w:t>Etant donné que le PNDA va élaborer un plan de gestion de pesticide (PGP) pour ses activités agricoles, le Plan d’actions pour l’amélioration de la gestion des pesticides va fournir au PNDA les modalités d’exécution et de gestion rationnelle de pesticide conformément aux exigences internationales</w:t>
            </w:r>
          </w:p>
        </w:tc>
      </w:tr>
      <w:tr w:rsidR="001C2F95" w:rsidRPr="00982564" w14:paraId="6B0FD0C8" w14:textId="77777777" w:rsidTr="007C7A5F">
        <w:trPr>
          <w:trHeight w:val="530"/>
        </w:trPr>
        <w:tc>
          <w:tcPr>
            <w:tcW w:w="2027" w:type="dxa"/>
            <w:vMerge/>
            <w:tcBorders>
              <w:left w:val="single" w:sz="4" w:space="0" w:color="auto"/>
              <w:bottom w:val="single" w:sz="4" w:space="0" w:color="auto"/>
              <w:right w:val="single" w:sz="4" w:space="0" w:color="auto"/>
            </w:tcBorders>
            <w:shd w:val="clear" w:color="auto" w:fill="auto"/>
            <w:vAlign w:val="center"/>
          </w:tcPr>
          <w:p w14:paraId="0D470A5D" w14:textId="77777777" w:rsidR="001C2F95" w:rsidRPr="00982564" w:rsidRDefault="001C2F95" w:rsidP="00971FD2">
            <w:pPr>
              <w:jc w:val="left"/>
              <w:rPr>
                <w:rFonts w:cs="Arial"/>
                <w:color w:val="000000"/>
                <w:sz w:val="22"/>
                <w:lang w:eastAsia="en-US"/>
              </w:rPr>
            </w:pPr>
          </w:p>
        </w:tc>
        <w:tc>
          <w:tcPr>
            <w:tcW w:w="2100" w:type="dxa"/>
            <w:tcBorders>
              <w:top w:val="nil"/>
              <w:left w:val="nil"/>
              <w:bottom w:val="single" w:sz="4" w:space="0" w:color="auto"/>
              <w:right w:val="single" w:sz="4" w:space="0" w:color="auto"/>
            </w:tcBorders>
            <w:shd w:val="clear" w:color="auto" w:fill="auto"/>
            <w:vAlign w:val="center"/>
          </w:tcPr>
          <w:p w14:paraId="796556A4"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 xml:space="preserve">Service National des Fertilisants et Intrants Connexes </w:t>
            </w:r>
          </w:p>
          <w:p w14:paraId="3FB9CF02" w14:textId="77777777" w:rsidR="001C2F95" w:rsidRPr="00982564" w:rsidRDefault="001C2F95" w:rsidP="00971FD2">
            <w:pPr>
              <w:jc w:val="left"/>
              <w:rPr>
                <w:rFonts w:cs="Arial"/>
                <w:color w:val="000000"/>
                <w:sz w:val="22"/>
                <w:lang w:val="fr-BE" w:eastAsia="en-US"/>
              </w:rPr>
            </w:pPr>
          </w:p>
        </w:tc>
        <w:tc>
          <w:tcPr>
            <w:tcW w:w="3381" w:type="dxa"/>
            <w:tcBorders>
              <w:top w:val="nil"/>
              <w:left w:val="nil"/>
              <w:bottom w:val="single" w:sz="4" w:space="0" w:color="auto"/>
              <w:right w:val="single" w:sz="4" w:space="0" w:color="auto"/>
            </w:tcBorders>
            <w:shd w:val="clear" w:color="auto" w:fill="auto"/>
            <w:vAlign w:val="center"/>
          </w:tcPr>
          <w:p w14:paraId="56475C43" w14:textId="77777777" w:rsidR="001C2F95" w:rsidRPr="00982564" w:rsidRDefault="001C2F95" w:rsidP="00971FD2">
            <w:pPr>
              <w:autoSpaceDE w:val="0"/>
              <w:adjustRightInd w:val="0"/>
              <w:rPr>
                <w:rFonts w:cs="Arial"/>
                <w:color w:val="000000"/>
                <w:sz w:val="22"/>
                <w:lang w:eastAsia="en-US"/>
              </w:rPr>
            </w:pPr>
            <w:r w:rsidRPr="00982564">
              <w:rPr>
                <w:rFonts w:eastAsia="Calibri" w:cs="Arial"/>
                <w:color w:val="000000"/>
                <w:sz w:val="22"/>
                <w:lang w:val="fr-BE" w:eastAsia="en-US"/>
              </w:rPr>
              <w:t>C’est un service spécialisé relevant du Ministère de l’Agriculture et régi par l’arrêté départemental n° 001/BCE/AGRI/90 du 13 janvier 1990. L</w:t>
            </w:r>
            <w:r w:rsidRPr="00982564">
              <w:rPr>
                <w:rFonts w:cs="Arial"/>
                <w:sz w:val="22"/>
              </w:rPr>
              <w:t>a fonction de contrôle des engrais et pesticides et de surveillance phytosanitaire lui est normalement dévolue.</w:t>
            </w:r>
          </w:p>
        </w:tc>
        <w:tc>
          <w:tcPr>
            <w:tcW w:w="3118" w:type="dxa"/>
            <w:tcBorders>
              <w:top w:val="nil"/>
              <w:left w:val="nil"/>
              <w:bottom w:val="single" w:sz="4" w:space="0" w:color="auto"/>
              <w:right w:val="single" w:sz="4" w:space="0" w:color="auto"/>
            </w:tcBorders>
          </w:tcPr>
          <w:p w14:paraId="0AAB5CB2" w14:textId="77777777" w:rsidR="001C2F95" w:rsidRPr="00982564" w:rsidRDefault="001C2F95" w:rsidP="00971FD2">
            <w:pPr>
              <w:autoSpaceDE w:val="0"/>
              <w:adjustRightInd w:val="0"/>
              <w:rPr>
                <w:rFonts w:eastAsia="Calibri" w:cs="Arial"/>
                <w:color w:val="000000"/>
                <w:sz w:val="22"/>
                <w:lang w:val="fr-BE" w:eastAsia="en-US"/>
              </w:rPr>
            </w:pPr>
            <w:r w:rsidRPr="00982564">
              <w:rPr>
                <w:rFonts w:eastAsia="Calibri" w:cs="Arial"/>
                <w:color w:val="000000"/>
                <w:sz w:val="22"/>
                <w:lang w:val="fr-BE" w:eastAsia="en-US"/>
              </w:rPr>
              <w:t>Etant donné que les activités du PNDA vont induire à l’utilisation de fertilisants et intrants, le service National des Fertilisants et Intrants Connexes va aider le Programme à faire le contrôle des engrais et pesticides ainsi qu’une surveillance phytosanitaire d’une façon périodique.</w:t>
            </w:r>
          </w:p>
        </w:tc>
      </w:tr>
      <w:tr w:rsidR="001C2F95" w:rsidRPr="00982564" w14:paraId="0222968A" w14:textId="77777777" w:rsidTr="007C7A5F">
        <w:trPr>
          <w:trHeight w:val="530"/>
        </w:trPr>
        <w:tc>
          <w:tcPr>
            <w:tcW w:w="2027" w:type="dxa"/>
            <w:tcBorders>
              <w:top w:val="nil"/>
              <w:left w:val="single" w:sz="4" w:space="0" w:color="auto"/>
              <w:bottom w:val="single" w:sz="4" w:space="0" w:color="auto"/>
              <w:right w:val="single" w:sz="4" w:space="0" w:color="auto"/>
            </w:tcBorders>
            <w:shd w:val="clear" w:color="auto" w:fill="auto"/>
            <w:vAlign w:val="center"/>
            <w:hideMark/>
          </w:tcPr>
          <w:p w14:paraId="58C98ABB"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Politique et programmes économiques et sociaux</w:t>
            </w:r>
          </w:p>
        </w:tc>
        <w:tc>
          <w:tcPr>
            <w:tcW w:w="2100" w:type="dxa"/>
            <w:tcBorders>
              <w:top w:val="nil"/>
              <w:left w:val="nil"/>
              <w:bottom w:val="single" w:sz="4" w:space="0" w:color="auto"/>
              <w:right w:val="single" w:sz="4" w:space="0" w:color="auto"/>
            </w:tcBorders>
            <w:shd w:val="clear" w:color="auto" w:fill="auto"/>
            <w:vAlign w:val="center"/>
            <w:hideMark/>
          </w:tcPr>
          <w:p w14:paraId="46DC0E5C"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Document de Stratégie de Croissance et de Réduction de la Pauvreté (DSCRP)</w:t>
            </w:r>
          </w:p>
        </w:tc>
        <w:tc>
          <w:tcPr>
            <w:tcW w:w="3381" w:type="dxa"/>
            <w:tcBorders>
              <w:top w:val="nil"/>
              <w:left w:val="nil"/>
              <w:bottom w:val="single" w:sz="4" w:space="0" w:color="auto"/>
              <w:right w:val="single" w:sz="4" w:space="0" w:color="auto"/>
            </w:tcBorders>
            <w:shd w:val="clear" w:color="auto" w:fill="auto"/>
            <w:vAlign w:val="center"/>
            <w:hideMark/>
          </w:tcPr>
          <w:p w14:paraId="031FC4E1" w14:textId="77777777" w:rsidR="001C2F95" w:rsidRPr="00982564" w:rsidRDefault="001C2F95" w:rsidP="00971FD2">
            <w:pPr>
              <w:rPr>
                <w:rFonts w:cs="Arial"/>
                <w:color w:val="000000"/>
                <w:sz w:val="22"/>
                <w:lang w:eastAsia="en-US"/>
              </w:rPr>
            </w:pPr>
            <w:r w:rsidRPr="00982564">
              <w:rPr>
                <w:rFonts w:cs="Arial"/>
                <w:color w:val="000000"/>
                <w:sz w:val="22"/>
                <w:lang w:eastAsia="en-US"/>
              </w:rPr>
              <w:t>La DSCRP, deuxième génération, (élaborée en Septembre 2011), constitue le seul cadre fédérateur de l’ensemble des politiques macroéconomiques et sectorielles pour le prochain quinquennat (2011-2015). Pour assurer une stabilité durable et soutenir une croissance forte, la présente stratégie repose sur quatre (4) piliers comportant chacun des axes stratégiques clairs et des actions prioritaires pour leur mise en œuvre. Ainsi, sur la base de la vision du DSCRP 2, des piliers ont été bâtis comme suit : Pilier 1 « Renforcer la gouvernance et la paix » ; Pilier 2                       « Diversifier l’économie, accélérer la croissance et promouvoir l’emploi » ; Pilier 3 « Améliorer l’accès aux services sociaux de base et renforcer le capital humain » ; Pilier 4 « Protéger l’environnement et lutter contre les changements climatiques »</w:t>
            </w:r>
          </w:p>
        </w:tc>
        <w:tc>
          <w:tcPr>
            <w:tcW w:w="3118" w:type="dxa"/>
            <w:tcBorders>
              <w:top w:val="nil"/>
              <w:left w:val="nil"/>
              <w:bottom w:val="single" w:sz="4" w:space="0" w:color="auto"/>
              <w:right w:val="single" w:sz="4" w:space="0" w:color="auto"/>
            </w:tcBorders>
          </w:tcPr>
          <w:p w14:paraId="74D09CF7" w14:textId="77777777" w:rsidR="001C2F95" w:rsidRPr="00982564" w:rsidRDefault="001C2F95" w:rsidP="00971FD2">
            <w:pPr>
              <w:rPr>
                <w:rFonts w:cs="Arial"/>
                <w:color w:val="000000"/>
                <w:sz w:val="22"/>
                <w:lang w:eastAsia="en-US"/>
              </w:rPr>
            </w:pPr>
            <w:r w:rsidRPr="00982564">
              <w:rPr>
                <w:rFonts w:cs="Arial"/>
                <w:color w:val="000000"/>
                <w:sz w:val="22"/>
                <w:lang w:eastAsia="en-US"/>
              </w:rPr>
              <w:t>Le DSCRP est pertinent pour le PNDA dans le sens qu’il fournit au PNDA des indicateurs objectivement vérifiable par rapport à la situation de la pauvreté observée dans chaque province concernée par le Programme envie d’orienter des actions agricoles pour améliorer le niveau de vie de la population.</w:t>
            </w:r>
          </w:p>
        </w:tc>
      </w:tr>
      <w:tr w:rsidR="001C2F95" w:rsidRPr="00982564" w14:paraId="5EDF0CD7" w14:textId="77777777" w:rsidTr="007C7A5F">
        <w:trPr>
          <w:trHeight w:val="558"/>
        </w:trPr>
        <w:tc>
          <w:tcPr>
            <w:tcW w:w="2027" w:type="dxa"/>
            <w:tcBorders>
              <w:top w:val="nil"/>
              <w:left w:val="single" w:sz="4" w:space="0" w:color="auto"/>
              <w:bottom w:val="single" w:sz="4" w:space="0" w:color="auto"/>
              <w:right w:val="single" w:sz="4" w:space="0" w:color="auto"/>
            </w:tcBorders>
            <w:shd w:val="clear" w:color="auto" w:fill="auto"/>
            <w:vAlign w:val="center"/>
            <w:hideMark/>
          </w:tcPr>
          <w:p w14:paraId="03F5D86B" w14:textId="77777777" w:rsidR="001C2F95" w:rsidRPr="00982564" w:rsidRDefault="001C2F95" w:rsidP="00971FD2">
            <w:pPr>
              <w:jc w:val="left"/>
              <w:rPr>
                <w:rFonts w:cs="Arial"/>
                <w:color w:val="000000"/>
                <w:sz w:val="22"/>
                <w:lang w:val="en-US" w:eastAsia="en-US"/>
              </w:rPr>
            </w:pPr>
            <w:r w:rsidRPr="00982564">
              <w:rPr>
                <w:rFonts w:cs="Arial"/>
                <w:color w:val="000000"/>
                <w:sz w:val="22"/>
                <w:lang w:eastAsia="en-US"/>
              </w:rPr>
              <w:t>Politique foncière</w:t>
            </w:r>
          </w:p>
        </w:tc>
        <w:tc>
          <w:tcPr>
            <w:tcW w:w="2100" w:type="dxa"/>
            <w:tcBorders>
              <w:top w:val="nil"/>
              <w:left w:val="nil"/>
              <w:bottom w:val="single" w:sz="4" w:space="0" w:color="auto"/>
              <w:right w:val="single" w:sz="4" w:space="0" w:color="auto"/>
            </w:tcBorders>
            <w:shd w:val="clear" w:color="auto" w:fill="auto"/>
            <w:vAlign w:val="center"/>
            <w:hideMark/>
          </w:tcPr>
          <w:p w14:paraId="097C41C4" w14:textId="77777777" w:rsidR="001C2F95" w:rsidRPr="00982564" w:rsidRDefault="001C2F95" w:rsidP="00971FD2">
            <w:pPr>
              <w:jc w:val="left"/>
              <w:rPr>
                <w:rFonts w:cs="Arial"/>
                <w:color w:val="000000"/>
                <w:sz w:val="22"/>
                <w:lang w:val="en-US" w:eastAsia="en-US"/>
              </w:rPr>
            </w:pPr>
            <w:r w:rsidRPr="00982564">
              <w:rPr>
                <w:rFonts w:cs="Arial"/>
                <w:color w:val="000000"/>
                <w:sz w:val="22"/>
                <w:lang w:eastAsia="en-US"/>
              </w:rPr>
              <w:t>Programme de réforme foncière</w:t>
            </w:r>
          </w:p>
        </w:tc>
        <w:tc>
          <w:tcPr>
            <w:tcW w:w="3381" w:type="dxa"/>
            <w:tcBorders>
              <w:top w:val="nil"/>
              <w:left w:val="nil"/>
              <w:bottom w:val="single" w:sz="4" w:space="0" w:color="auto"/>
              <w:right w:val="single" w:sz="4" w:space="0" w:color="auto"/>
            </w:tcBorders>
            <w:shd w:val="clear" w:color="auto" w:fill="auto"/>
            <w:vAlign w:val="center"/>
            <w:hideMark/>
          </w:tcPr>
          <w:p w14:paraId="7EF3ABD8" w14:textId="77777777" w:rsidR="001C2F95" w:rsidRPr="00982564" w:rsidRDefault="001C2F95" w:rsidP="00971FD2">
            <w:pPr>
              <w:rPr>
                <w:rFonts w:cs="Arial"/>
                <w:color w:val="000000"/>
                <w:sz w:val="22"/>
                <w:lang w:eastAsia="en-US"/>
              </w:rPr>
            </w:pPr>
            <w:r w:rsidRPr="00982564">
              <w:rPr>
                <w:rFonts w:cs="Arial"/>
                <w:color w:val="000000"/>
                <w:sz w:val="22"/>
                <w:lang w:eastAsia="en-US"/>
              </w:rPr>
              <w:t>Réformer le secteur foncier en vue de limiter, voire éradiquer les conflits fonciers et les violences d’origine foncière ; - Mieux protéger les droits fonciers des personnes physiques et morales publiques et privées avec une attention particulière aux personnes vulnérables (communautés locales, populations autochtones, femmes et enfants) ; - Stimuler l’investissement productif dans le respect de la durabilité environnementale et sociale ; - Améliorer les recettes financières d’origine foncière.</w:t>
            </w:r>
          </w:p>
        </w:tc>
        <w:tc>
          <w:tcPr>
            <w:tcW w:w="3118" w:type="dxa"/>
            <w:tcBorders>
              <w:top w:val="nil"/>
              <w:left w:val="nil"/>
              <w:bottom w:val="single" w:sz="4" w:space="0" w:color="auto"/>
              <w:right w:val="single" w:sz="4" w:space="0" w:color="auto"/>
            </w:tcBorders>
          </w:tcPr>
          <w:p w14:paraId="6514827E" w14:textId="77777777" w:rsidR="001C2F95" w:rsidRPr="00982564" w:rsidRDefault="001C2F95" w:rsidP="00971FD2">
            <w:pPr>
              <w:rPr>
                <w:rFonts w:cs="Arial"/>
                <w:color w:val="000000"/>
                <w:sz w:val="22"/>
                <w:lang w:eastAsia="en-US"/>
              </w:rPr>
            </w:pPr>
            <w:r w:rsidRPr="00982564">
              <w:rPr>
                <w:rFonts w:cs="Arial"/>
                <w:color w:val="000000"/>
                <w:sz w:val="22"/>
                <w:lang w:eastAsia="en-US"/>
              </w:rPr>
              <w:t>Etant donné que les activités agricoles du PNDA vont occuper dans grandes étendues des terres dans les milieux ruraux, ce programme de réforme foncière va fournir des informations claires pour éviter des conflits et des violences d’origine foncière pendant la mise en œuvre du PNDA</w:t>
            </w:r>
          </w:p>
        </w:tc>
      </w:tr>
      <w:tr w:rsidR="001C2F95" w:rsidRPr="00982564" w14:paraId="67AFA859" w14:textId="77777777" w:rsidTr="007C7A5F">
        <w:trPr>
          <w:trHeight w:val="1124"/>
        </w:trPr>
        <w:tc>
          <w:tcPr>
            <w:tcW w:w="2027" w:type="dxa"/>
            <w:vMerge w:val="restart"/>
            <w:tcBorders>
              <w:top w:val="nil"/>
              <w:left w:val="single" w:sz="4" w:space="0" w:color="auto"/>
              <w:right w:val="single" w:sz="4" w:space="0" w:color="auto"/>
            </w:tcBorders>
            <w:shd w:val="clear" w:color="auto" w:fill="auto"/>
            <w:vAlign w:val="center"/>
            <w:hideMark/>
          </w:tcPr>
          <w:p w14:paraId="2DFC719E"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Politique genre, protection de la femme et de l’enfant</w:t>
            </w:r>
          </w:p>
        </w:tc>
        <w:tc>
          <w:tcPr>
            <w:tcW w:w="2100" w:type="dxa"/>
            <w:tcBorders>
              <w:top w:val="nil"/>
              <w:left w:val="nil"/>
              <w:bottom w:val="single" w:sz="4" w:space="0" w:color="auto"/>
              <w:right w:val="single" w:sz="4" w:space="0" w:color="auto"/>
            </w:tcBorders>
            <w:shd w:val="clear" w:color="auto" w:fill="auto"/>
            <w:vAlign w:val="center"/>
            <w:hideMark/>
          </w:tcPr>
          <w:p w14:paraId="489F8840"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Stratégie nationale de lutte contre les violences basées sur le genre révisée (SNVBG), novembre 2009-2019</w:t>
            </w:r>
          </w:p>
        </w:tc>
        <w:tc>
          <w:tcPr>
            <w:tcW w:w="3381" w:type="dxa"/>
            <w:tcBorders>
              <w:top w:val="nil"/>
              <w:left w:val="nil"/>
              <w:bottom w:val="single" w:sz="4" w:space="0" w:color="auto"/>
              <w:right w:val="single" w:sz="4" w:space="0" w:color="auto"/>
            </w:tcBorders>
            <w:shd w:val="clear" w:color="auto" w:fill="auto"/>
            <w:vAlign w:val="center"/>
            <w:hideMark/>
          </w:tcPr>
          <w:p w14:paraId="2B3ACE87" w14:textId="77777777" w:rsidR="001C2F95" w:rsidRPr="00982564" w:rsidRDefault="001C2F95" w:rsidP="00971FD2">
            <w:pPr>
              <w:rPr>
                <w:rFonts w:cs="Arial"/>
                <w:color w:val="000000"/>
                <w:sz w:val="22"/>
                <w:lang w:eastAsia="en-US"/>
              </w:rPr>
            </w:pPr>
            <w:r w:rsidRPr="00982564">
              <w:rPr>
                <w:rFonts w:cs="Arial"/>
                <w:color w:val="000000"/>
                <w:sz w:val="22"/>
                <w:lang w:eastAsia="en-US"/>
              </w:rPr>
              <w:t xml:space="preserve">L’Objectif global de la présente Stratégie Nationale de lutte contre les violences basées sur le genre révisée est de fournir au Gouvernement, à ses partenaires techniques et financiers et à l’ensemble des acteurs, un cadre de référence, d’orientation des programmes et d’activités visant à contribuer à la prévention et à l’élimination des VBG ainsi qu’à la prise en charge holistique des survivant(e)s, en vue de promouvoir et de défendre les droits humains de la femme congolaise, mais aussi sa dignité, d’améliorer ses conditions de vie, et de garantir sa contribution au développement du pays. </w:t>
            </w:r>
          </w:p>
        </w:tc>
        <w:tc>
          <w:tcPr>
            <w:tcW w:w="3118" w:type="dxa"/>
            <w:tcBorders>
              <w:top w:val="nil"/>
              <w:left w:val="nil"/>
              <w:bottom w:val="single" w:sz="4" w:space="0" w:color="auto"/>
              <w:right w:val="single" w:sz="4" w:space="0" w:color="auto"/>
            </w:tcBorders>
          </w:tcPr>
          <w:p w14:paraId="0A11CB44" w14:textId="77777777" w:rsidR="001C2F95" w:rsidRPr="00982564" w:rsidRDefault="001C2F95" w:rsidP="00971FD2">
            <w:pPr>
              <w:rPr>
                <w:rFonts w:cs="Arial"/>
                <w:color w:val="000000"/>
                <w:sz w:val="22"/>
                <w:lang w:eastAsia="en-US"/>
              </w:rPr>
            </w:pPr>
            <w:r w:rsidRPr="00982564">
              <w:rPr>
                <w:rFonts w:cs="Arial"/>
                <w:color w:val="000000"/>
                <w:sz w:val="22"/>
                <w:lang w:eastAsia="en-US"/>
              </w:rPr>
              <w:t xml:space="preserve">Cette politique est pertinente pour le PNDA dans le sens qu’elle fournit un cadre de référence et d’orientation visant à la prévention et l’élimination des VBG. Les activités agricoles vont impliquer un taux de pourcentage non négligeable des femmes. En outre, la Province du Nord-Kivu réputée par son insécurité, enregistre un nombre élevé des cas de VBG.  </w:t>
            </w:r>
          </w:p>
        </w:tc>
      </w:tr>
      <w:tr w:rsidR="001C2F95" w:rsidRPr="00982564" w14:paraId="420942B9" w14:textId="77777777" w:rsidTr="007C7A5F">
        <w:trPr>
          <w:trHeight w:val="290"/>
        </w:trPr>
        <w:tc>
          <w:tcPr>
            <w:tcW w:w="2027" w:type="dxa"/>
            <w:vMerge/>
            <w:tcBorders>
              <w:left w:val="single" w:sz="4" w:space="0" w:color="auto"/>
              <w:bottom w:val="single" w:sz="4" w:space="0" w:color="auto"/>
              <w:right w:val="single" w:sz="4" w:space="0" w:color="auto"/>
            </w:tcBorders>
            <w:shd w:val="clear" w:color="auto" w:fill="auto"/>
            <w:vAlign w:val="center"/>
            <w:hideMark/>
          </w:tcPr>
          <w:p w14:paraId="58DA4475" w14:textId="77777777" w:rsidR="001C2F95" w:rsidRPr="00982564" w:rsidRDefault="001C2F95" w:rsidP="00971FD2">
            <w:pPr>
              <w:jc w:val="left"/>
              <w:rPr>
                <w:rFonts w:cs="Arial"/>
                <w:color w:val="000000"/>
                <w:sz w:val="22"/>
                <w:lang w:eastAsia="en-US"/>
              </w:rPr>
            </w:pPr>
          </w:p>
        </w:tc>
        <w:tc>
          <w:tcPr>
            <w:tcW w:w="2100" w:type="dxa"/>
            <w:tcBorders>
              <w:top w:val="nil"/>
              <w:left w:val="single" w:sz="4" w:space="0" w:color="auto"/>
              <w:bottom w:val="single" w:sz="4" w:space="0" w:color="auto"/>
              <w:right w:val="single" w:sz="4" w:space="0" w:color="auto"/>
            </w:tcBorders>
            <w:shd w:val="clear" w:color="auto" w:fill="auto"/>
            <w:vAlign w:val="center"/>
            <w:hideMark/>
          </w:tcPr>
          <w:p w14:paraId="48812C72" w14:textId="77777777" w:rsidR="001C2F95" w:rsidRPr="00982564" w:rsidRDefault="001C2F95" w:rsidP="00971FD2">
            <w:pPr>
              <w:jc w:val="left"/>
              <w:rPr>
                <w:rFonts w:cs="Arial"/>
                <w:color w:val="000000"/>
                <w:sz w:val="22"/>
                <w:lang w:eastAsia="en-US"/>
              </w:rPr>
            </w:pPr>
            <w:r w:rsidRPr="00982564">
              <w:rPr>
                <w:rFonts w:cs="Arial"/>
                <w:color w:val="000000"/>
                <w:sz w:val="22"/>
                <w:lang w:eastAsia="en-US"/>
              </w:rPr>
              <w:t xml:space="preserve">Politique Nationale d’Intégration du Genre, de Promotion de la Famille et de la Protection de l’Enfant </w:t>
            </w:r>
          </w:p>
        </w:tc>
        <w:tc>
          <w:tcPr>
            <w:tcW w:w="3381" w:type="dxa"/>
            <w:tcBorders>
              <w:top w:val="nil"/>
              <w:left w:val="nil"/>
              <w:bottom w:val="single" w:sz="4" w:space="0" w:color="auto"/>
              <w:right w:val="single" w:sz="4" w:space="0" w:color="auto"/>
            </w:tcBorders>
            <w:shd w:val="clear" w:color="auto" w:fill="auto"/>
            <w:vAlign w:val="center"/>
            <w:hideMark/>
          </w:tcPr>
          <w:p w14:paraId="1E92F97E" w14:textId="77777777" w:rsidR="001C2F95" w:rsidRPr="00982564" w:rsidRDefault="001C2F95" w:rsidP="00971FD2">
            <w:pPr>
              <w:rPr>
                <w:rFonts w:cs="Arial"/>
                <w:color w:val="000000"/>
                <w:sz w:val="22"/>
                <w:lang w:eastAsia="en-US"/>
              </w:rPr>
            </w:pPr>
            <w:r w:rsidRPr="00982564">
              <w:rPr>
                <w:rFonts w:cs="Arial"/>
                <w:color w:val="000000"/>
                <w:sz w:val="22"/>
                <w:lang w:eastAsia="en-US"/>
              </w:rPr>
              <w:t xml:space="preserve">La politique vise les objectifs suivants : </w:t>
            </w:r>
          </w:p>
          <w:p w14:paraId="077A15B8" w14:textId="77777777" w:rsidR="001C2F95" w:rsidRPr="00982564" w:rsidRDefault="001C2F95" w:rsidP="002378EA">
            <w:pPr>
              <w:pStyle w:val="Paragraphedeliste"/>
              <w:numPr>
                <w:ilvl w:val="1"/>
                <w:numId w:val="22"/>
              </w:numPr>
              <w:ind w:left="155" w:hanging="155"/>
              <w:rPr>
                <w:rFonts w:cs="Arial"/>
                <w:color w:val="000000"/>
                <w:sz w:val="22"/>
                <w:lang w:eastAsia="en-US"/>
              </w:rPr>
            </w:pPr>
            <w:r w:rsidRPr="00982564">
              <w:rPr>
                <w:rFonts w:cs="Arial"/>
                <w:color w:val="000000"/>
                <w:sz w:val="22"/>
                <w:lang w:eastAsia="en-US"/>
              </w:rPr>
              <w:t>Promouvoir l’accès à l’éducation et à la formation de tous, surtout des filles / femmes ;</w:t>
            </w:r>
          </w:p>
          <w:p w14:paraId="719FD722" w14:textId="77777777" w:rsidR="001C2F95" w:rsidRPr="00982564" w:rsidRDefault="001C2F95" w:rsidP="002378EA">
            <w:pPr>
              <w:pStyle w:val="Paragraphedeliste"/>
              <w:numPr>
                <w:ilvl w:val="1"/>
                <w:numId w:val="22"/>
              </w:numPr>
              <w:ind w:left="155" w:hanging="155"/>
              <w:rPr>
                <w:rFonts w:cs="Arial"/>
                <w:color w:val="000000"/>
                <w:sz w:val="22"/>
                <w:lang w:eastAsia="en-US"/>
              </w:rPr>
            </w:pPr>
            <w:r w:rsidRPr="00982564">
              <w:rPr>
                <w:rFonts w:cs="Arial"/>
                <w:color w:val="000000"/>
                <w:sz w:val="22"/>
                <w:lang w:eastAsia="en-US"/>
              </w:rPr>
              <w:t xml:space="preserve">Œuvrer au renforcement du pouvoir économique des hommes et des femmes ; </w:t>
            </w:r>
          </w:p>
          <w:p w14:paraId="1C0D2266" w14:textId="77777777" w:rsidR="001C2F95" w:rsidRPr="00982564" w:rsidRDefault="001C2F95" w:rsidP="002378EA">
            <w:pPr>
              <w:pStyle w:val="Paragraphedeliste"/>
              <w:numPr>
                <w:ilvl w:val="1"/>
                <w:numId w:val="22"/>
              </w:numPr>
              <w:ind w:left="155" w:hanging="155"/>
              <w:rPr>
                <w:rFonts w:cs="Arial"/>
                <w:color w:val="000000"/>
                <w:sz w:val="22"/>
                <w:lang w:eastAsia="en-US"/>
              </w:rPr>
            </w:pPr>
            <w:r w:rsidRPr="00982564">
              <w:rPr>
                <w:rFonts w:cs="Arial"/>
                <w:color w:val="000000"/>
                <w:sz w:val="22"/>
                <w:lang w:eastAsia="en-US"/>
              </w:rPr>
              <w:t xml:space="preserve">Travailler à la réduction de la vulnérabilité de la Population Congolaise en particulier celle de la femme ; </w:t>
            </w:r>
          </w:p>
          <w:p w14:paraId="3EED5E06" w14:textId="77777777" w:rsidR="001C2F95" w:rsidRPr="00982564" w:rsidRDefault="001C2F95" w:rsidP="002378EA">
            <w:pPr>
              <w:pStyle w:val="Paragraphedeliste"/>
              <w:numPr>
                <w:ilvl w:val="1"/>
                <w:numId w:val="22"/>
              </w:numPr>
              <w:ind w:left="155" w:hanging="155"/>
              <w:rPr>
                <w:rFonts w:cs="Arial"/>
                <w:color w:val="000000"/>
                <w:sz w:val="22"/>
                <w:lang w:eastAsia="en-US"/>
              </w:rPr>
            </w:pPr>
            <w:r w:rsidRPr="00982564">
              <w:rPr>
                <w:rFonts w:cs="Arial"/>
                <w:color w:val="000000"/>
                <w:sz w:val="22"/>
                <w:lang w:eastAsia="en-US"/>
              </w:rPr>
              <w:t>Contribuer à l’amélioration de la participation citoyenne et politique et encourager la femme dans ce secteur</w:t>
            </w:r>
          </w:p>
        </w:tc>
        <w:tc>
          <w:tcPr>
            <w:tcW w:w="3118" w:type="dxa"/>
            <w:tcBorders>
              <w:top w:val="nil"/>
              <w:left w:val="nil"/>
              <w:bottom w:val="single" w:sz="4" w:space="0" w:color="auto"/>
              <w:right w:val="single" w:sz="4" w:space="0" w:color="auto"/>
            </w:tcBorders>
          </w:tcPr>
          <w:p w14:paraId="333CE426" w14:textId="77777777" w:rsidR="001C2F95" w:rsidRPr="00982564" w:rsidRDefault="001C2F95" w:rsidP="00971FD2">
            <w:pPr>
              <w:rPr>
                <w:rFonts w:cs="Arial"/>
                <w:color w:val="000000"/>
                <w:sz w:val="22"/>
                <w:lang w:eastAsia="en-US"/>
              </w:rPr>
            </w:pPr>
            <w:r w:rsidRPr="00982564">
              <w:rPr>
                <w:rFonts w:cs="Arial"/>
                <w:color w:val="000000"/>
                <w:sz w:val="22"/>
                <w:lang w:eastAsia="en-US"/>
              </w:rPr>
              <w:t>Cette politique est pertinente pour le PNDA dans le sens qu’elle favorise la promotion du genre compte tenu du fait la femme joue un rôle très capitale dans la production agricole et la survie des ménages dans les milieux ruraux</w:t>
            </w:r>
          </w:p>
        </w:tc>
      </w:tr>
    </w:tbl>
    <w:p w14:paraId="78518088" w14:textId="77777777" w:rsidR="001C2F95" w:rsidRPr="00982564" w:rsidRDefault="001C2F95" w:rsidP="001C2F95">
      <w:pPr>
        <w:jc w:val="left"/>
        <w:rPr>
          <w:rFonts w:cs="Arial"/>
          <w:bCs/>
          <w:sz w:val="22"/>
        </w:rPr>
      </w:pPr>
    </w:p>
    <w:p w14:paraId="69BCCCA0" w14:textId="77777777" w:rsidR="00A34945" w:rsidRDefault="00A34945">
      <w:pPr>
        <w:spacing w:after="160" w:line="259" w:lineRule="auto"/>
        <w:jc w:val="left"/>
        <w:rPr>
          <w:rFonts w:cs="Arial"/>
          <w:b/>
          <w:bCs/>
          <w:sz w:val="22"/>
        </w:rPr>
      </w:pPr>
      <w:bookmarkStart w:id="230" w:name="_Toc44626810"/>
    </w:p>
    <w:p w14:paraId="0B0313A2" w14:textId="77777777" w:rsidR="001C2F95" w:rsidRPr="00982564" w:rsidRDefault="001C2F95" w:rsidP="001C2F95">
      <w:pPr>
        <w:pStyle w:val="Titre2"/>
        <w:numPr>
          <w:ilvl w:val="1"/>
          <w:numId w:val="4"/>
        </w:numPr>
        <w:ind w:left="851" w:hanging="425"/>
        <w:rPr>
          <w:rFonts w:cs="Arial"/>
          <w:b/>
          <w:sz w:val="22"/>
          <w:szCs w:val="22"/>
        </w:rPr>
      </w:pPr>
      <w:bookmarkStart w:id="231" w:name="_Toc70330354"/>
      <w:r w:rsidRPr="00982564">
        <w:rPr>
          <w:rFonts w:cs="Arial"/>
          <w:b/>
          <w:sz w:val="22"/>
          <w:szCs w:val="22"/>
        </w:rPr>
        <w:t>Cadre juridique applicable au PNDA</w:t>
      </w:r>
      <w:bookmarkEnd w:id="230"/>
      <w:bookmarkEnd w:id="231"/>
      <w:r w:rsidRPr="00982564">
        <w:rPr>
          <w:rFonts w:cs="Arial"/>
          <w:b/>
          <w:sz w:val="22"/>
          <w:szCs w:val="22"/>
        </w:rPr>
        <w:t xml:space="preserve"> </w:t>
      </w:r>
    </w:p>
    <w:p w14:paraId="1014EAD9" w14:textId="77777777" w:rsidR="001C2F95" w:rsidRPr="00982564" w:rsidRDefault="001C2F95" w:rsidP="001C2F95">
      <w:pPr>
        <w:rPr>
          <w:rFonts w:cs="Arial"/>
          <w:sz w:val="22"/>
        </w:rPr>
      </w:pPr>
    </w:p>
    <w:p w14:paraId="0D8234C4" w14:textId="77777777" w:rsidR="001C2F95" w:rsidRPr="00982564" w:rsidRDefault="001C2F95" w:rsidP="001C2F95">
      <w:pPr>
        <w:pStyle w:val="Titre2"/>
        <w:numPr>
          <w:ilvl w:val="2"/>
          <w:numId w:val="4"/>
        </w:numPr>
        <w:ind w:left="1560" w:hanging="709"/>
        <w:rPr>
          <w:rFonts w:cs="Arial"/>
          <w:i/>
          <w:sz w:val="22"/>
          <w:szCs w:val="22"/>
        </w:rPr>
      </w:pPr>
      <w:bookmarkStart w:id="232" w:name="_Toc44626811"/>
      <w:bookmarkStart w:id="233" w:name="_Toc70330355"/>
      <w:r w:rsidRPr="00982564">
        <w:rPr>
          <w:rFonts w:cs="Arial"/>
          <w:i/>
          <w:sz w:val="22"/>
          <w:szCs w:val="22"/>
        </w:rPr>
        <w:t>Législation environnementale et sociale</w:t>
      </w:r>
      <w:bookmarkEnd w:id="232"/>
      <w:bookmarkEnd w:id="233"/>
    </w:p>
    <w:p w14:paraId="572F03F1" w14:textId="77777777" w:rsidR="001C2F95" w:rsidRPr="00982564" w:rsidRDefault="001C2F95" w:rsidP="001C2F95">
      <w:pPr>
        <w:rPr>
          <w:rFonts w:cs="Arial"/>
          <w:sz w:val="22"/>
        </w:rPr>
      </w:pPr>
    </w:p>
    <w:p w14:paraId="41B70BFE" w14:textId="77777777" w:rsidR="001C2F95" w:rsidRPr="00982564" w:rsidRDefault="001C2F95" w:rsidP="001C2F95">
      <w:pPr>
        <w:rPr>
          <w:rFonts w:cs="Arial"/>
          <w:i/>
          <w:sz w:val="22"/>
        </w:rPr>
      </w:pPr>
      <w:r w:rsidRPr="00982564">
        <w:rPr>
          <w:rFonts w:cs="Arial"/>
          <w:i/>
          <w:sz w:val="22"/>
        </w:rPr>
        <w:t>Constitution du 18 février 2006</w:t>
      </w:r>
    </w:p>
    <w:p w14:paraId="2653E824" w14:textId="77777777" w:rsidR="001C2F95" w:rsidRPr="00982564" w:rsidRDefault="001C2F95" w:rsidP="001C2F95">
      <w:pPr>
        <w:rPr>
          <w:rFonts w:cs="Arial"/>
          <w:sz w:val="22"/>
        </w:rPr>
      </w:pPr>
    </w:p>
    <w:p w14:paraId="7BFD70E3" w14:textId="77777777" w:rsidR="001C2F95" w:rsidRPr="00982564" w:rsidRDefault="001C2F95" w:rsidP="001C2F95">
      <w:pPr>
        <w:rPr>
          <w:rFonts w:cs="Arial"/>
          <w:sz w:val="22"/>
        </w:rPr>
      </w:pPr>
      <w:r w:rsidRPr="00982564">
        <w:rPr>
          <w:rFonts w:cs="Arial"/>
          <w:sz w:val="22"/>
        </w:rPr>
        <w:t>La Constitution de la RDC, adoptée en février 2006, telle que modifiée à ce jour par la loi n° 11/002 du 20 janvier 2011 portant révision de certains articles de la Constitution du 18 février 2006, spécialement en son article 53 dispose que : « Toute personne a droit à un environnement sain et propice à son épanouissement intégral. Elle a le devoir de le défendre. L’État veille à la protection de l’environnement et à la santé des populations » ; aussi, en son Article 14 alinéa 4 elle dispose également que : «  </w:t>
      </w:r>
      <w:r w:rsidRPr="00982564">
        <w:rPr>
          <w:rFonts w:cs="Arial"/>
          <w:iCs/>
          <w:sz w:val="22"/>
        </w:rPr>
        <w:t>La femme a droit à une représentation équitable au sein des institutions nationales, provinciales et locales. L’Etat garantit la mise en œuvre de la parité homme-femme dans lesdites institutions</w:t>
      </w:r>
      <w:r w:rsidRPr="00982564">
        <w:rPr>
          <w:rFonts w:cs="Arial"/>
          <w:sz w:val="22"/>
        </w:rPr>
        <w:t> ».</w:t>
      </w:r>
    </w:p>
    <w:p w14:paraId="44E09D11" w14:textId="77777777" w:rsidR="001C2F95" w:rsidRPr="00982564" w:rsidRDefault="001C2F95" w:rsidP="001C2F95">
      <w:pPr>
        <w:rPr>
          <w:rFonts w:cs="Arial"/>
          <w:sz w:val="22"/>
        </w:rPr>
      </w:pPr>
    </w:p>
    <w:p w14:paraId="77F65E87" w14:textId="77777777" w:rsidR="001C2F95" w:rsidRPr="00982564" w:rsidRDefault="001C2F95" w:rsidP="001C2F95">
      <w:pPr>
        <w:rPr>
          <w:rFonts w:cs="Arial"/>
          <w:i/>
          <w:sz w:val="22"/>
        </w:rPr>
      </w:pPr>
      <w:r w:rsidRPr="00982564">
        <w:rPr>
          <w:rFonts w:cs="Arial"/>
          <w:i/>
          <w:sz w:val="22"/>
        </w:rPr>
        <w:t>Loi n° 11/009 du 09 juillet 2011 portant Principes fondamentaux relatifs à la protection de l’environnement</w:t>
      </w:r>
    </w:p>
    <w:p w14:paraId="41955A94" w14:textId="77777777" w:rsidR="001C2F95" w:rsidRPr="00982564" w:rsidRDefault="001C2F95" w:rsidP="001C2F95">
      <w:pPr>
        <w:rPr>
          <w:rFonts w:cs="Arial"/>
          <w:sz w:val="22"/>
        </w:rPr>
      </w:pPr>
    </w:p>
    <w:p w14:paraId="19C0AB39" w14:textId="77777777" w:rsidR="001C2F95" w:rsidRPr="00982564" w:rsidRDefault="001C2F95" w:rsidP="001C2F95">
      <w:pPr>
        <w:rPr>
          <w:rFonts w:cs="Arial"/>
          <w:sz w:val="22"/>
        </w:rPr>
      </w:pPr>
      <w:r w:rsidRPr="00982564">
        <w:rPr>
          <w:rFonts w:cs="Arial"/>
          <w:sz w:val="22"/>
        </w:rPr>
        <w:t>La Loi n° 11/009 du 09 juillet 2011 portant Principes fondamentaux relatifs à la protection de l’environnement, vise à favoriser la gestion durable des ressources naturelles, à prévenir les risques, à lutter contre les formes de pollutions et nuisances, et à améliorer la qualité de la vie des populations dans le respect de l’équilibre écologique.</w:t>
      </w:r>
    </w:p>
    <w:p w14:paraId="0F7559D0" w14:textId="77777777" w:rsidR="001C2F95" w:rsidRPr="00982564" w:rsidRDefault="001C2F95" w:rsidP="001C2F95">
      <w:pPr>
        <w:rPr>
          <w:rFonts w:cs="Arial"/>
          <w:sz w:val="22"/>
        </w:rPr>
      </w:pPr>
    </w:p>
    <w:p w14:paraId="24034B91" w14:textId="77777777" w:rsidR="001C2F95" w:rsidRPr="00982564" w:rsidRDefault="001C2F95" w:rsidP="001C2F95">
      <w:pPr>
        <w:rPr>
          <w:rFonts w:cs="Arial"/>
          <w:sz w:val="22"/>
        </w:rPr>
      </w:pPr>
      <w:r w:rsidRPr="00982564">
        <w:rPr>
          <w:rFonts w:cs="Arial"/>
          <w:sz w:val="22"/>
        </w:rPr>
        <w:t xml:space="preserve">Cette loi est </w:t>
      </w:r>
      <w:r w:rsidR="00AA2F6A" w:rsidRPr="00982564">
        <w:rPr>
          <w:rFonts w:cs="Arial"/>
          <w:sz w:val="22"/>
        </w:rPr>
        <w:t>pertinente</w:t>
      </w:r>
      <w:r w:rsidRPr="00982564">
        <w:rPr>
          <w:rFonts w:cs="Arial"/>
          <w:sz w:val="22"/>
        </w:rPr>
        <w:t xml:space="preserve"> pour le PNDA dans le sens qu’elle édicte les principes généraux qui servent de base aux lois particulières pour agir les différents secteurs de l’environnement notamment le secteur agricole en RDC.</w:t>
      </w:r>
    </w:p>
    <w:p w14:paraId="2D76CCB3" w14:textId="77777777" w:rsidR="001C2F95" w:rsidRPr="00982564" w:rsidRDefault="001C2F95" w:rsidP="001C2F95">
      <w:pPr>
        <w:rPr>
          <w:rFonts w:cs="Arial"/>
          <w:sz w:val="22"/>
        </w:rPr>
      </w:pPr>
    </w:p>
    <w:p w14:paraId="4197AC65" w14:textId="77777777" w:rsidR="001C2F95" w:rsidRPr="00982564" w:rsidRDefault="001C2F95" w:rsidP="001C2F95">
      <w:pPr>
        <w:rPr>
          <w:rFonts w:cs="Arial"/>
          <w:i/>
          <w:sz w:val="22"/>
        </w:rPr>
      </w:pPr>
      <w:r w:rsidRPr="00982564">
        <w:rPr>
          <w:rFonts w:cs="Arial"/>
          <w:i/>
          <w:sz w:val="22"/>
        </w:rPr>
        <w:t xml:space="preserve">Loi n° 11/022 du 24 décembre 2011 portant Principes fondamentaux relatifs à l’Agriculture </w:t>
      </w:r>
    </w:p>
    <w:p w14:paraId="72BD6F76" w14:textId="77777777" w:rsidR="001C2F95" w:rsidRPr="00982564" w:rsidRDefault="001C2F95" w:rsidP="001C2F95">
      <w:pPr>
        <w:rPr>
          <w:rFonts w:cs="Arial"/>
          <w:sz w:val="22"/>
        </w:rPr>
      </w:pPr>
      <w:r w:rsidRPr="00982564">
        <w:rPr>
          <w:rFonts w:cs="Arial"/>
          <w:sz w:val="22"/>
        </w:rPr>
        <w:t xml:space="preserve"> </w:t>
      </w:r>
    </w:p>
    <w:p w14:paraId="6869FAB9" w14:textId="77777777" w:rsidR="001C2F95" w:rsidRPr="00982564" w:rsidRDefault="001C2F95" w:rsidP="001C2F95">
      <w:pPr>
        <w:rPr>
          <w:rFonts w:cs="Arial"/>
          <w:sz w:val="22"/>
        </w:rPr>
      </w:pPr>
      <w:r w:rsidRPr="00982564">
        <w:rPr>
          <w:rFonts w:cs="Arial"/>
          <w:sz w:val="22"/>
        </w:rPr>
        <w:t xml:space="preserve">Cette Loi prévoit la mise sur pied d’un régime de contrôle des organismes génétiquement modifiés et d’un régime de contrôle des pratiques agricoles pouvant entraîner des impacts sur l’environnement. </w:t>
      </w:r>
    </w:p>
    <w:p w14:paraId="44C48AF6" w14:textId="77777777" w:rsidR="001C2F95" w:rsidRPr="00982564" w:rsidRDefault="001C2F95" w:rsidP="001C2F95">
      <w:pPr>
        <w:rPr>
          <w:rFonts w:cs="Arial"/>
          <w:sz w:val="22"/>
        </w:rPr>
      </w:pPr>
      <w:r w:rsidRPr="00982564">
        <w:rPr>
          <w:rFonts w:cs="Arial"/>
          <w:sz w:val="22"/>
        </w:rPr>
        <w:t xml:space="preserve"> </w:t>
      </w:r>
    </w:p>
    <w:p w14:paraId="4313CD98" w14:textId="77777777" w:rsidR="001C2F95" w:rsidRPr="00982564" w:rsidRDefault="001C2F95" w:rsidP="001C2F95">
      <w:pPr>
        <w:rPr>
          <w:rFonts w:cs="Arial"/>
          <w:sz w:val="22"/>
        </w:rPr>
      </w:pPr>
      <w:r w:rsidRPr="00982564">
        <w:rPr>
          <w:rFonts w:cs="Arial"/>
          <w:sz w:val="22"/>
        </w:rPr>
        <w:t xml:space="preserve">Les articles 10 à 15 du de la Loi sur l’agriculture fixent les bases de la réforme foncière agricole. Cette réforme a pour principes directeurs l’accès équitable aux terres agricoles, la sécurisation de l’exploitation et des exploitants agricoles, la promotion des investissements publics et privés de la gestion durable des ressources en terres. </w:t>
      </w:r>
    </w:p>
    <w:p w14:paraId="69C30BF8" w14:textId="77777777" w:rsidR="001C2F95" w:rsidRPr="00982564" w:rsidRDefault="001C2F95" w:rsidP="001C2F95">
      <w:pPr>
        <w:rPr>
          <w:rFonts w:cs="Arial"/>
          <w:sz w:val="22"/>
        </w:rPr>
      </w:pPr>
    </w:p>
    <w:p w14:paraId="7AAF1B6E" w14:textId="77777777" w:rsidR="001C2F95" w:rsidRPr="00982564" w:rsidRDefault="001C2F95" w:rsidP="001C2F95">
      <w:pPr>
        <w:rPr>
          <w:rFonts w:cs="Arial"/>
          <w:sz w:val="22"/>
        </w:rPr>
      </w:pPr>
      <w:r w:rsidRPr="00982564">
        <w:rPr>
          <w:rFonts w:cs="Arial"/>
          <w:sz w:val="22"/>
        </w:rPr>
        <w:t xml:space="preserve">L’article 12 dispose que chaque province fixe, par édit, les superficies rurales et urbano-rurales destinées à l’usage agricole. Il s’agit donc d’un processus de planification de l’usage du territoire qui s’effectue à l’échelle provinciale, duquel découle un plan de zonage agricole. </w:t>
      </w:r>
    </w:p>
    <w:p w14:paraId="2ABC5235" w14:textId="77777777" w:rsidR="001C2F95" w:rsidRPr="00982564" w:rsidRDefault="001C2F95" w:rsidP="001C2F95">
      <w:pPr>
        <w:rPr>
          <w:rFonts w:cs="Arial"/>
          <w:sz w:val="22"/>
        </w:rPr>
      </w:pPr>
    </w:p>
    <w:p w14:paraId="15AA8FDA" w14:textId="77777777" w:rsidR="001C2F95" w:rsidRPr="00982564" w:rsidRDefault="001C2F95" w:rsidP="001C2F95">
      <w:pPr>
        <w:rPr>
          <w:rFonts w:cs="Arial"/>
          <w:sz w:val="22"/>
        </w:rPr>
      </w:pPr>
      <w:r w:rsidRPr="00982564">
        <w:rPr>
          <w:rFonts w:cs="Arial"/>
          <w:sz w:val="22"/>
        </w:rPr>
        <w:t xml:space="preserve">L’Article 13 dispose la mise sur pied, par les gouverneurs de provinces, de cadastres agricoles visant à : </w:t>
      </w:r>
    </w:p>
    <w:p w14:paraId="4B5D5471" w14:textId="77777777" w:rsidR="001C2F95" w:rsidRPr="00982564" w:rsidRDefault="001C2F95" w:rsidP="001C2F95">
      <w:pPr>
        <w:rPr>
          <w:rFonts w:cs="Arial"/>
          <w:sz w:val="22"/>
        </w:rPr>
      </w:pPr>
      <w:r w:rsidRPr="00982564">
        <w:rPr>
          <w:rFonts w:cs="Arial"/>
          <w:sz w:val="22"/>
        </w:rPr>
        <w:t xml:space="preserve"> </w:t>
      </w:r>
    </w:p>
    <w:p w14:paraId="567D605F" w14:textId="77777777" w:rsidR="001C2F95" w:rsidRPr="00982564" w:rsidRDefault="001C2F95" w:rsidP="002378EA">
      <w:pPr>
        <w:pStyle w:val="Paragraphedeliste"/>
        <w:numPr>
          <w:ilvl w:val="0"/>
          <w:numId w:val="46"/>
        </w:numPr>
        <w:rPr>
          <w:rFonts w:cs="Arial"/>
          <w:sz w:val="22"/>
        </w:rPr>
      </w:pPr>
      <w:r w:rsidRPr="00982564">
        <w:rPr>
          <w:rFonts w:cs="Arial"/>
          <w:sz w:val="22"/>
        </w:rPr>
        <w:t xml:space="preserve">proposer à l’autorité foncière l’octroi de concessions d’exploitation agricole ; </w:t>
      </w:r>
    </w:p>
    <w:p w14:paraId="22E6F6E1" w14:textId="77777777" w:rsidR="001C2F95" w:rsidRPr="00982564" w:rsidRDefault="001C2F95" w:rsidP="002378EA">
      <w:pPr>
        <w:pStyle w:val="Paragraphedeliste"/>
        <w:numPr>
          <w:ilvl w:val="0"/>
          <w:numId w:val="46"/>
        </w:numPr>
        <w:rPr>
          <w:rFonts w:cs="Arial"/>
          <w:sz w:val="22"/>
        </w:rPr>
      </w:pPr>
      <w:r w:rsidRPr="00982564">
        <w:rPr>
          <w:rFonts w:cs="Arial"/>
          <w:sz w:val="22"/>
        </w:rPr>
        <w:t xml:space="preserve">assurer la bonne administration des terres destinées à l’exploitation agricole ; </w:t>
      </w:r>
    </w:p>
    <w:p w14:paraId="1199CB77" w14:textId="77777777" w:rsidR="001C2F95" w:rsidRPr="00982564" w:rsidRDefault="001C2F95" w:rsidP="002378EA">
      <w:pPr>
        <w:pStyle w:val="Paragraphedeliste"/>
        <w:numPr>
          <w:ilvl w:val="0"/>
          <w:numId w:val="46"/>
        </w:numPr>
        <w:rPr>
          <w:rFonts w:cs="Arial"/>
          <w:sz w:val="22"/>
        </w:rPr>
      </w:pPr>
      <w:r w:rsidRPr="00982564">
        <w:rPr>
          <w:rFonts w:cs="Arial"/>
          <w:sz w:val="22"/>
        </w:rPr>
        <w:t xml:space="preserve">constater la mise en valeur des terres agricoles ; </w:t>
      </w:r>
    </w:p>
    <w:p w14:paraId="541F50C6" w14:textId="77777777" w:rsidR="001C2F95" w:rsidRPr="00982564" w:rsidRDefault="001C2F95" w:rsidP="002378EA">
      <w:pPr>
        <w:pStyle w:val="Paragraphedeliste"/>
        <w:numPr>
          <w:ilvl w:val="0"/>
          <w:numId w:val="46"/>
        </w:numPr>
        <w:rPr>
          <w:rFonts w:cs="Arial"/>
          <w:sz w:val="22"/>
        </w:rPr>
      </w:pPr>
      <w:r w:rsidRPr="00982564">
        <w:rPr>
          <w:rFonts w:cs="Arial"/>
          <w:sz w:val="22"/>
        </w:rPr>
        <w:t xml:space="preserve">conserver les documents cartographiques en rapport avec les terres destinées à l’exploitation agricole. </w:t>
      </w:r>
    </w:p>
    <w:p w14:paraId="506A8CC7" w14:textId="77777777" w:rsidR="001C2F95" w:rsidRPr="00982564" w:rsidRDefault="001C2F95" w:rsidP="001C2F95">
      <w:pPr>
        <w:rPr>
          <w:rFonts w:cs="Arial"/>
          <w:sz w:val="22"/>
        </w:rPr>
      </w:pPr>
      <w:r w:rsidRPr="00982564">
        <w:rPr>
          <w:rFonts w:cs="Arial"/>
          <w:sz w:val="22"/>
        </w:rPr>
        <w:t xml:space="preserve"> </w:t>
      </w:r>
    </w:p>
    <w:p w14:paraId="22A787C2" w14:textId="77777777" w:rsidR="001C2F95" w:rsidRPr="00982564" w:rsidRDefault="001C2F95" w:rsidP="001C2F95">
      <w:pPr>
        <w:rPr>
          <w:rFonts w:cs="Arial"/>
          <w:sz w:val="22"/>
        </w:rPr>
      </w:pPr>
      <w:r w:rsidRPr="00982564">
        <w:rPr>
          <w:rFonts w:cs="Arial"/>
          <w:sz w:val="22"/>
        </w:rPr>
        <w:t xml:space="preserve">Les Articles 18 et 19 prévoient la reconnaissance, à chaque communauté locale, des droits fonciers coutumiers exercés collectivement ou individuellement sur ses terres conformément à la loi, et ce sans qu’il ne soit nécessaire de lui décerner un certificat d’enregistrement. L’ensemble des terres reconnues à chaque communauté locale constitue son domaine foncier de jouissance et comprend des réserves des terres de cultures, de jachère, de pâturage et de parcours, et les boisements utilisés régulièrement par la communauté locale. </w:t>
      </w:r>
    </w:p>
    <w:p w14:paraId="100FF2AC" w14:textId="77777777" w:rsidR="001C2F95" w:rsidRPr="00982564" w:rsidRDefault="001C2F95" w:rsidP="001C2F95">
      <w:pPr>
        <w:rPr>
          <w:rFonts w:cs="Arial"/>
          <w:sz w:val="22"/>
        </w:rPr>
      </w:pPr>
    </w:p>
    <w:p w14:paraId="4EDD781E" w14:textId="77777777" w:rsidR="001C2F95" w:rsidRPr="00982564" w:rsidRDefault="001C2F95" w:rsidP="001C2F95">
      <w:pPr>
        <w:rPr>
          <w:rFonts w:cs="Arial"/>
          <w:sz w:val="22"/>
        </w:rPr>
      </w:pPr>
      <w:r w:rsidRPr="00982564">
        <w:rPr>
          <w:rFonts w:cs="Arial"/>
          <w:sz w:val="22"/>
        </w:rPr>
        <w:t xml:space="preserve">Ainsi, la présente loi est </w:t>
      </w:r>
      <w:r w:rsidR="00AA2F6A" w:rsidRPr="00982564">
        <w:rPr>
          <w:rFonts w:cs="Arial"/>
          <w:sz w:val="22"/>
        </w:rPr>
        <w:t>pertinente</w:t>
      </w:r>
      <w:r w:rsidRPr="00982564">
        <w:rPr>
          <w:rFonts w:cs="Arial"/>
          <w:sz w:val="22"/>
        </w:rPr>
        <w:t xml:space="preserve"> pour le PNDA dans le sens qu’elle détermine, conformément à l'article 123, point 14 de la Constitution, les principes fondamentaux relatifs à l'agriculture en RDC. Elle vise la promotion et la croissance de la production agricole en vue de garantir la sécurité alimentaire et le développement du milieu rural. Ses objectifs rejoignent également l’objectif du développement du Programme PNDA.</w:t>
      </w:r>
    </w:p>
    <w:p w14:paraId="2155E341" w14:textId="77777777" w:rsidR="001C2F95" w:rsidRPr="00982564" w:rsidRDefault="001C2F95" w:rsidP="001C2F95">
      <w:pPr>
        <w:rPr>
          <w:rFonts w:cs="Arial"/>
          <w:sz w:val="22"/>
        </w:rPr>
      </w:pPr>
    </w:p>
    <w:p w14:paraId="76FBEB9C" w14:textId="77777777" w:rsidR="001C2F95" w:rsidRPr="00982564" w:rsidRDefault="001C2F95" w:rsidP="001C2F95">
      <w:pPr>
        <w:rPr>
          <w:rFonts w:cs="Arial"/>
          <w:i/>
          <w:sz w:val="22"/>
        </w:rPr>
      </w:pPr>
      <w:r w:rsidRPr="00982564">
        <w:rPr>
          <w:rFonts w:cs="Arial"/>
          <w:i/>
          <w:sz w:val="22"/>
        </w:rPr>
        <w:t>Protection de la végétation et de la faune</w:t>
      </w:r>
    </w:p>
    <w:p w14:paraId="398AA5F3" w14:textId="77777777" w:rsidR="001C2F95" w:rsidRPr="00982564" w:rsidRDefault="001C2F95" w:rsidP="001C2F95">
      <w:pPr>
        <w:rPr>
          <w:rFonts w:cs="Arial"/>
          <w:sz w:val="22"/>
        </w:rPr>
      </w:pPr>
    </w:p>
    <w:p w14:paraId="170D32DF" w14:textId="77777777" w:rsidR="001C2F95" w:rsidRPr="00982564" w:rsidRDefault="001C2F95" w:rsidP="001C2F95">
      <w:pPr>
        <w:rPr>
          <w:rFonts w:cs="Arial"/>
          <w:sz w:val="22"/>
        </w:rPr>
      </w:pPr>
      <w:r w:rsidRPr="00982564">
        <w:rPr>
          <w:rFonts w:cs="Arial"/>
          <w:sz w:val="22"/>
        </w:rPr>
        <w:t xml:space="preserve">La Loi n° 011-2002 du 29 août 2002 portant Code Forestier qui traite du défrichement et des problèmes d’érosion interdit : « tout acte de déboisement des zones exposées au risque d’érosion et d’inondation ; tout déboisement sur une distance de 50 mètres de part et d’autre des cours d’eau et dans un rayon de 100 mètres autour de leurs sources ». En outre le Code précise : « tout déboisement doit être compensé par un reboisement équivalent en qualité et en superficie au couvert forestier initial (…) et exige l’obtention d’un permis de déboisement pour une superficie supérieure à 2 ha ». </w:t>
      </w:r>
    </w:p>
    <w:p w14:paraId="70655573" w14:textId="77777777" w:rsidR="001C2F95" w:rsidRPr="00982564" w:rsidRDefault="001C2F95" w:rsidP="001C2F95">
      <w:pPr>
        <w:rPr>
          <w:rFonts w:cs="Arial"/>
          <w:sz w:val="22"/>
        </w:rPr>
      </w:pPr>
    </w:p>
    <w:p w14:paraId="7A8BFEB5" w14:textId="77777777" w:rsidR="001C2F95" w:rsidRPr="00982564" w:rsidRDefault="001C2F95" w:rsidP="001C2F95">
      <w:pPr>
        <w:rPr>
          <w:rFonts w:cs="Arial"/>
          <w:sz w:val="22"/>
        </w:rPr>
      </w:pPr>
      <w:r w:rsidRPr="00982564">
        <w:rPr>
          <w:rFonts w:cs="Arial"/>
          <w:color w:val="202124"/>
          <w:sz w:val="22"/>
          <w:shd w:val="clear" w:color="auto" w:fill="FFFFFF"/>
        </w:rPr>
        <w:t xml:space="preserve">Étant donné que les activités agricoles du PNDA risquent d’impacter (risque d’empiètement) </w:t>
      </w:r>
      <w:r w:rsidR="00DB17B7" w:rsidRPr="00982564">
        <w:rPr>
          <w:rFonts w:cs="Arial"/>
          <w:color w:val="202124"/>
          <w:sz w:val="22"/>
          <w:shd w:val="clear" w:color="auto" w:fill="FFFFFF"/>
        </w:rPr>
        <w:t>des vastes étendus</w:t>
      </w:r>
      <w:r w:rsidRPr="00982564">
        <w:rPr>
          <w:rFonts w:cs="Arial"/>
          <w:color w:val="202124"/>
          <w:sz w:val="22"/>
          <w:shd w:val="clear" w:color="auto" w:fill="FFFFFF"/>
        </w:rPr>
        <w:t xml:space="preserve"> des </w:t>
      </w:r>
      <w:r w:rsidR="00DB17B7" w:rsidRPr="00982564">
        <w:rPr>
          <w:rFonts w:cs="Arial"/>
          <w:color w:val="202124"/>
          <w:sz w:val="22"/>
          <w:shd w:val="clear" w:color="auto" w:fill="FFFFFF"/>
        </w:rPr>
        <w:t>forêts</w:t>
      </w:r>
      <w:r w:rsidRPr="00982564">
        <w:rPr>
          <w:rFonts w:cs="Arial"/>
          <w:color w:val="202124"/>
          <w:sz w:val="22"/>
          <w:shd w:val="clear" w:color="auto" w:fill="FFFFFF"/>
        </w:rPr>
        <w:t xml:space="preserve"> et des aires protégées dans les provinces concernées (</w:t>
      </w:r>
      <w:r w:rsidRPr="00982564">
        <w:rPr>
          <w:rFonts w:eastAsia="MS Mincho" w:cs="Arial"/>
          <w:sz w:val="22"/>
        </w:rPr>
        <w:t>domaine de chasse de Mangai, Bushimaie, Parc Marine de Mangrove et Parc National de Virunga)</w:t>
      </w:r>
      <w:r w:rsidRPr="00982564">
        <w:rPr>
          <w:rFonts w:cs="Arial"/>
          <w:color w:val="202124"/>
          <w:sz w:val="22"/>
          <w:shd w:val="clear" w:color="auto" w:fill="FFFFFF"/>
        </w:rPr>
        <w:t xml:space="preserve">, la </w:t>
      </w:r>
      <w:r w:rsidRPr="00982564">
        <w:rPr>
          <w:rFonts w:cs="Arial"/>
          <w:sz w:val="22"/>
        </w:rPr>
        <w:t xml:space="preserve">présente loi est </w:t>
      </w:r>
      <w:r w:rsidR="00AA2F6A" w:rsidRPr="00982564">
        <w:rPr>
          <w:rFonts w:cs="Arial"/>
          <w:sz w:val="22"/>
        </w:rPr>
        <w:t>pertinente</w:t>
      </w:r>
      <w:r w:rsidRPr="00982564">
        <w:rPr>
          <w:rFonts w:cs="Arial"/>
          <w:sz w:val="22"/>
        </w:rPr>
        <w:t xml:space="preserve"> pour le PNDA dans le sens qu’elle</w:t>
      </w:r>
      <w:r w:rsidRPr="00982564">
        <w:rPr>
          <w:rFonts w:cs="Arial"/>
          <w:color w:val="202124"/>
          <w:sz w:val="22"/>
          <w:shd w:val="clear" w:color="auto" w:fill="FFFFFF"/>
        </w:rPr>
        <w:t xml:space="preserve"> définit le régime applicable à la conservation, à l'exploitation et à la mise en valeur des ressources forestières sur l'ensemble du territoire national. </w:t>
      </w:r>
    </w:p>
    <w:p w14:paraId="67B74F2D" w14:textId="77777777" w:rsidR="001C2F95" w:rsidRPr="00982564" w:rsidRDefault="001C2F95" w:rsidP="001C2F95">
      <w:pPr>
        <w:rPr>
          <w:rFonts w:cs="Arial"/>
          <w:sz w:val="22"/>
        </w:rPr>
      </w:pPr>
    </w:p>
    <w:p w14:paraId="7E656110" w14:textId="77777777" w:rsidR="001C2F95" w:rsidRPr="00982564" w:rsidRDefault="001C2F95" w:rsidP="001C2F95">
      <w:pPr>
        <w:rPr>
          <w:rFonts w:cs="Arial"/>
          <w:sz w:val="22"/>
        </w:rPr>
      </w:pPr>
      <w:r w:rsidRPr="00982564">
        <w:rPr>
          <w:rFonts w:cs="Arial"/>
          <w:sz w:val="22"/>
        </w:rPr>
        <w:t>La Loi n° 14/003 du 11 février 2014 relative à la conservation de la nature s’inscrit dans la volonté exprimée par l’article 202, point 36, litera f, de la Constitution. Elle intègre par ailleurs les dispositions des articles 203, point 18, et 204, point 23, relatives aux compétences reconnues au pouvoir central et à la province. En outre, en application des dispositions de l’article 36 de la Loi n°11/009 du 09 juillet 2011 portant principes fondamentaux relatifs à la protection de l’environnement, elle clarifie certaines règles relatives à la conservation et à la gestion durable des ressources naturelles, de la diversité biologique, des écosystèmes, des sites et monuments situés sur le territoire national.</w:t>
      </w:r>
    </w:p>
    <w:p w14:paraId="12499C59" w14:textId="77777777" w:rsidR="001C2F95" w:rsidRPr="00982564" w:rsidRDefault="001C2F95" w:rsidP="001C2F95">
      <w:pPr>
        <w:rPr>
          <w:rFonts w:cs="Arial"/>
          <w:sz w:val="22"/>
        </w:rPr>
      </w:pPr>
    </w:p>
    <w:p w14:paraId="2CFFCDC9" w14:textId="77777777" w:rsidR="001C2F95" w:rsidRPr="00982564" w:rsidRDefault="001C2F95" w:rsidP="001C2F95">
      <w:pPr>
        <w:rPr>
          <w:rFonts w:cs="Arial"/>
          <w:sz w:val="22"/>
        </w:rPr>
      </w:pPr>
      <w:r w:rsidRPr="00982564">
        <w:rPr>
          <w:rFonts w:cs="Arial"/>
          <w:sz w:val="22"/>
        </w:rPr>
        <w:t>Tel qu’indiqué ci-haut, l</w:t>
      </w:r>
      <w:r w:rsidRPr="00982564">
        <w:rPr>
          <w:rFonts w:cs="Arial"/>
          <w:color w:val="202124"/>
          <w:sz w:val="22"/>
          <w:shd w:val="clear" w:color="auto" w:fill="FFFFFF"/>
        </w:rPr>
        <w:t xml:space="preserve">a présente est </w:t>
      </w:r>
      <w:r w:rsidR="00DB17B7" w:rsidRPr="00982564">
        <w:rPr>
          <w:rFonts w:cs="Arial"/>
          <w:color w:val="202124"/>
          <w:sz w:val="22"/>
          <w:shd w:val="clear" w:color="auto" w:fill="FFFFFF"/>
        </w:rPr>
        <w:t>pertinente</w:t>
      </w:r>
      <w:r w:rsidRPr="00982564">
        <w:rPr>
          <w:rFonts w:cs="Arial"/>
          <w:color w:val="202124"/>
          <w:sz w:val="22"/>
          <w:shd w:val="clear" w:color="auto" w:fill="FFFFFF"/>
        </w:rPr>
        <w:t xml:space="preserve"> aux activités agricoles du PNDA dans le sens qu’elle fixe, conformément à l'article 202, point 36, litera f, de la Constitution, les règles relatives à la </w:t>
      </w:r>
      <w:r w:rsidRPr="00982564">
        <w:rPr>
          <w:rFonts w:cs="Arial"/>
          <w:bCs/>
          <w:color w:val="202124"/>
          <w:sz w:val="22"/>
        </w:rPr>
        <w:t>conservation</w:t>
      </w:r>
      <w:r w:rsidRPr="00982564">
        <w:rPr>
          <w:rFonts w:cs="Arial"/>
          <w:color w:val="202124"/>
          <w:sz w:val="22"/>
          <w:shd w:val="clear" w:color="auto" w:fill="FFFFFF"/>
        </w:rPr>
        <w:t xml:space="preserve"> de la diversité biologique, à l'utilisation durable de ses éléments constitutifs ainsi qu'à l'accès et au partage juste et équitable des avantages découlant de l'exploitation des ressources naturelles dans les aires protégées susceptibles d’être impactées par les activités du PNDA. Il s’agit de </w:t>
      </w:r>
      <w:r w:rsidRPr="00982564">
        <w:rPr>
          <w:rFonts w:eastAsia="MS Mincho" w:cs="Arial"/>
          <w:sz w:val="22"/>
        </w:rPr>
        <w:t xml:space="preserve">domaine de chasse de Mangai dans la province du Kweilu, Bushimaie dans le </w:t>
      </w:r>
      <w:r w:rsidR="001977A4" w:rsidRPr="00982564">
        <w:rPr>
          <w:rFonts w:eastAsia="MS Mincho" w:cs="Arial"/>
          <w:sz w:val="22"/>
        </w:rPr>
        <w:t>Kasaï</w:t>
      </w:r>
      <w:r w:rsidRPr="00982564">
        <w:rPr>
          <w:rFonts w:eastAsia="MS Mincho" w:cs="Arial"/>
          <w:sz w:val="22"/>
        </w:rPr>
        <w:t>, Parc Marine de Mangrove dans le Kongo Central et Parc National de Virunga dans le Nord-Kivu.</w:t>
      </w:r>
    </w:p>
    <w:p w14:paraId="6C866E7C" w14:textId="77777777" w:rsidR="001C2F95" w:rsidRPr="00982564" w:rsidRDefault="001C2F95" w:rsidP="001C2F95">
      <w:pPr>
        <w:rPr>
          <w:rFonts w:cs="Arial"/>
          <w:sz w:val="22"/>
        </w:rPr>
      </w:pPr>
    </w:p>
    <w:p w14:paraId="7C497C69" w14:textId="77777777" w:rsidR="001C2F95" w:rsidRPr="00982564" w:rsidRDefault="001C2F95" w:rsidP="001C2F95">
      <w:pPr>
        <w:rPr>
          <w:rFonts w:cs="Arial"/>
          <w:i/>
          <w:sz w:val="22"/>
        </w:rPr>
      </w:pPr>
      <w:r w:rsidRPr="00982564">
        <w:rPr>
          <w:rFonts w:cs="Arial"/>
          <w:i/>
          <w:sz w:val="22"/>
        </w:rPr>
        <w:t>Autres textes liés à la gestion de ressources naturelles</w:t>
      </w:r>
    </w:p>
    <w:p w14:paraId="2A36C19B" w14:textId="77777777" w:rsidR="001C2F95" w:rsidRPr="00982564" w:rsidRDefault="001C2F95" w:rsidP="001C2F95">
      <w:pPr>
        <w:rPr>
          <w:rFonts w:cs="Arial"/>
          <w:sz w:val="22"/>
        </w:rPr>
      </w:pPr>
    </w:p>
    <w:p w14:paraId="11AE1BB9" w14:textId="77777777" w:rsidR="001C2F95" w:rsidRPr="00982564" w:rsidRDefault="001C2F95" w:rsidP="001C2F95">
      <w:pPr>
        <w:rPr>
          <w:rFonts w:cs="Arial"/>
          <w:sz w:val="22"/>
        </w:rPr>
      </w:pPr>
      <w:r w:rsidRPr="00982564">
        <w:rPr>
          <w:rFonts w:cs="Arial"/>
          <w:sz w:val="22"/>
        </w:rPr>
        <w:t>Loi n°82/002 du 28 mai 1982 portant réglementation de la chasse : Bien que définissant les conditions d’accès ou d’exploitation de la faune, cette loi établit la liste des espèces totalement et partiellement protégées et interdit de détériorer d’une manière irrégulière l’habitat de la faune, sauf autorisation de l’autorité locale. - Ordonnance-loi n°69-041 du 22 août 1969 relative à la conservation de la nature : Elle interdit toute activité dans les réserves naturelles intégrales. Elle prévoit que les terres domaniales situées dans les réserves intégrales ne peuvent recevoir d’affectation incompatible avec la protection de la nature. Elle y interdit de faire des fouilles, terrassements, sondages, prélèvements, matériaux et tous autres travaux de nature à modifier l’aspect du terrain ou de la végétation, de bloquer les rivières, de prélever ou de polluer directement ou indirectement les eaux. Elle permet la réalisation des infrastructures en vue d’organiser le tourisme ou de permettre le déplacement indispensable de population pour le développement économique. Elle détermine les espèces de faune totalement et partiellement protégées. - Loi n°75-04 du 22 juillet 1975 relative à la création des secteurs sauvegardés. - Décret du 26 novembre 1958 sur la conservation de la nature et l’utilisation des sols.</w:t>
      </w:r>
    </w:p>
    <w:p w14:paraId="5F6A3576" w14:textId="77777777" w:rsidR="001C2F95" w:rsidRPr="00982564" w:rsidRDefault="001C2F95" w:rsidP="001C2F95">
      <w:pPr>
        <w:rPr>
          <w:rFonts w:cs="Arial"/>
          <w:sz w:val="22"/>
        </w:rPr>
      </w:pPr>
    </w:p>
    <w:p w14:paraId="0891E4FC" w14:textId="77777777" w:rsidR="001C2F95" w:rsidRPr="00982564" w:rsidRDefault="001C2F95" w:rsidP="001C2F95">
      <w:pPr>
        <w:rPr>
          <w:rFonts w:cs="Arial"/>
          <w:sz w:val="22"/>
        </w:rPr>
      </w:pPr>
      <w:r w:rsidRPr="00982564">
        <w:rPr>
          <w:rFonts w:cs="Arial"/>
          <w:sz w:val="22"/>
        </w:rPr>
        <w:t xml:space="preserve">Le PNDA étant un Programme qui va se réaliser dans les milieux ruraux où l’on rencontre des </w:t>
      </w:r>
      <w:r w:rsidR="00DB17B7" w:rsidRPr="00982564">
        <w:rPr>
          <w:rFonts w:cs="Arial"/>
          <w:sz w:val="22"/>
        </w:rPr>
        <w:t>forêts</w:t>
      </w:r>
      <w:r w:rsidRPr="00982564">
        <w:rPr>
          <w:rFonts w:cs="Arial"/>
          <w:sz w:val="22"/>
        </w:rPr>
        <w:t xml:space="preserve"> et des aires protégées riches en ressources fauniques, la Loi n° 82-002 du 28/05/1982 article 12 et 16) va aider le PNDA à vulgariser la </w:t>
      </w:r>
      <w:r w:rsidR="004A5706" w:rsidRPr="00982564">
        <w:rPr>
          <w:rFonts w:cs="Arial"/>
          <w:sz w:val="22"/>
        </w:rPr>
        <w:t>réglementation</w:t>
      </w:r>
      <w:r w:rsidRPr="00982564">
        <w:rPr>
          <w:rFonts w:cs="Arial"/>
          <w:sz w:val="22"/>
        </w:rPr>
        <w:t xml:space="preserve"> de chasse qui est en principe ouverte et fermée selon le calendrier prévu par la loi.</w:t>
      </w:r>
    </w:p>
    <w:p w14:paraId="600A4759" w14:textId="77777777" w:rsidR="001C2F95" w:rsidRPr="00982564" w:rsidRDefault="001C2F95" w:rsidP="001C2F95">
      <w:pPr>
        <w:rPr>
          <w:rFonts w:cs="Arial"/>
          <w:sz w:val="22"/>
        </w:rPr>
      </w:pPr>
    </w:p>
    <w:p w14:paraId="05601D31" w14:textId="77777777" w:rsidR="001C2F95" w:rsidRPr="00982564" w:rsidRDefault="001C2F95" w:rsidP="001C2F95">
      <w:pPr>
        <w:rPr>
          <w:rFonts w:cs="Arial"/>
          <w:i/>
          <w:sz w:val="22"/>
        </w:rPr>
      </w:pPr>
      <w:r w:rsidRPr="00982564">
        <w:rPr>
          <w:rFonts w:cs="Arial"/>
          <w:i/>
          <w:sz w:val="22"/>
        </w:rPr>
        <w:t>Protection et utilisation des ressources physiques (sols et eau)</w:t>
      </w:r>
    </w:p>
    <w:p w14:paraId="534C9DF1" w14:textId="77777777" w:rsidR="001C2F95" w:rsidRPr="00982564" w:rsidRDefault="001C2F95" w:rsidP="001C2F95">
      <w:pPr>
        <w:rPr>
          <w:rFonts w:cs="Arial"/>
          <w:sz w:val="22"/>
        </w:rPr>
      </w:pPr>
    </w:p>
    <w:p w14:paraId="3D5408C8" w14:textId="77777777" w:rsidR="001C2F95" w:rsidRPr="00982564" w:rsidRDefault="001C2F95" w:rsidP="001C2F95">
      <w:pPr>
        <w:rPr>
          <w:rFonts w:cs="Arial"/>
          <w:sz w:val="22"/>
        </w:rPr>
      </w:pPr>
      <w:r w:rsidRPr="00982564">
        <w:rPr>
          <w:rFonts w:cs="Arial"/>
          <w:sz w:val="22"/>
        </w:rPr>
        <w:t>La Loi n° 15/026 du 31 décembre 2015 relative à l’eau dispose, en son Article 1</w:t>
      </w:r>
      <w:r w:rsidRPr="00982564">
        <w:rPr>
          <w:rFonts w:cs="Arial"/>
          <w:sz w:val="22"/>
          <w:vertAlign w:val="superscript"/>
        </w:rPr>
        <w:t>er</w:t>
      </w:r>
      <w:r w:rsidRPr="00982564">
        <w:rPr>
          <w:rFonts w:cs="Arial"/>
          <w:sz w:val="22"/>
        </w:rPr>
        <w:t xml:space="preserve"> qu’elle a pour objet la gestion durable et équitable des ressources en eau constituées des eaux souterraines et de surface, tant continentales que maritimes, conformément aux Articles 9 et 48 de la Constitution. Elle en définit la nature, les régimes de mise en valeur, de protection et de son utilisation comme ressource économique ainsi que de coopération interétatique pour les lacs et les cours d’eau transfrontaliers. </w:t>
      </w:r>
    </w:p>
    <w:p w14:paraId="5BE1BF84" w14:textId="77777777" w:rsidR="001C2F95" w:rsidRPr="00982564" w:rsidRDefault="001C2F95" w:rsidP="001C2F95">
      <w:pPr>
        <w:rPr>
          <w:rFonts w:cs="Arial"/>
          <w:sz w:val="22"/>
        </w:rPr>
      </w:pPr>
    </w:p>
    <w:p w14:paraId="7E7D0324" w14:textId="77777777" w:rsidR="001C2F95" w:rsidRPr="00982564" w:rsidRDefault="001C2F95" w:rsidP="001C2F95">
      <w:pPr>
        <w:rPr>
          <w:rFonts w:cs="Arial"/>
          <w:sz w:val="22"/>
        </w:rPr>
      </w:pPr>
      <w:r w:rsidRPr="00982564">
        <w:rPr>
          <w:rFonts w:cs="Arial"/>
          <w:sz w:val="22"/>
        </w:rPr>
        <w:t>Cette Loi dispose également en son article 7 que : « Sous réserve des dérogations établies par la loi, les ressources en eau et les écosystèmes aquatiques naturels font partie du domaine public. » ; quant à leur protection, il est interdit, tout rejet des déchets, substances, organismes ou espèces biologiques exotiques envahissantes susceptibles de polluer, d’altérer ou de dégrader la qualité des eaux de surface ou souterraine, tant continentales que maritimes, de nuire à leurs ressources biologiques et aux écosystèmes côtiers et de mettre en danger la santé (Article 19). Et plus spécifiquement aux eaux continentales, il est interdit sauf dérogation d’empêcher le libre écoulement des eaux de surface et des eaux souterraines ni en changer le cours (Article 20). Le projet est tenu de se conformer à ces exigences.</w:t>
      </w:r>
    </w:p>
    <w:p w14:paraId="1CEE7444" w14:textId="77777777" w:rsidR="001C2F95" w:rsidRPr="00982564" w:rsidRDefault="001C2F95" w:rsidP="001C2F95">
      <w:pPr>
        <w:rPr>
          <w:rFonts w:cs="Arial"/>
          <w:sz w:val="22"/>
        </w:rPr>
      </w:pPr>
    </w:p>
    <w:p w14:paraId="02EF15AC" w14:textId="77777777" w:rsidR="001C2F95" w:rsidRPr="00982564" w:rsidRDefault="001C2F95" w:rsidP="001C2F95">
      <w:pPr>
        <w:rPr>
          <w:rFonts w:cs="Arial"/>
          <w:sz w:val="22"/>
        </w:rPr>
      </w:pPr>
      <w:r w:rsidRPr="00982564">
        <w:rPr>
          <w:rFonts w:cs="Arial"/>
          <w:sz w:val="22"/>
        </w:rPr>
        <w:t xml:space="preserve">Les activités agricoles et de pêche du PNDA sont susceptibles d’impacter les eaux des lacs Edouard et Kivu dans la Province du Nord-Kivu ainsi que les activités de balisage des rivières affluents du Fleuve Congo non encore identifiées d’autres provinces concernées, la loi relative à l’eau </w:t>
      </w:r>
      <w:r w:rsidRPr="00982564">
        <w:rPr>
          <w:rFonts w:cs="Arial"/>
          <w:color w:val="202124"/>
          <w:sz w:val="22"/>
          <w:shd w:val="clear" w:color="auto" w:fill="FFFFFF"/>
        </w:rPr>
        <w:t>définit la nature, les régimes de mise en valeur, de protection et de son utilisation comme ressource économique ainsi que de coopération interétatique pour les lacs et les cours d'eau transfrontaliers.</w:t>
      </w:r>
    </w:p>
    <w:p w14:paraId="291F071B" w14:textId="77777777" w:rsidR="001C2F95" w:rsidRPr="00982564" w:rsidRDefault="001C2F95" w:rsidP="001C2F95">
      <w:pPr>
        <w:rPr>
          <w:rFonts w:cs="Arial"/>
          <w:sz w:val="22"/>
        </w:rPr>
      </w:pPr>
    </w:p>
    <w:p w14:paraId="26606351" w14:textId="77777777" w:rsidR="001C2F95" w:rsidRPr="00982564" w:rsidRDefault="001C2F95" w:rsidP="001C2F95">
      <w:pPr>
        <w:rPr>
          <w:rFonts w:cs="Arial"/>
          <w:sz w:val="22"/>
        </w:rPr>
      </w:pPr>
      <w:r w:rsidRPr="00982564">
        <w:rPr>
          <w:rFonts w:cs="Arial"/>
          <w:sz w:val="22"/>
        </w:rPr>
        <w:t>La Loi n° 007/2002 du 11 juillet 2002 portant Code Minier tel que modifiée et complétée par la Loi n°18/001 du 09 mars 2018 : tout en définissant les conditions d’ouverture et d’exploitation des gîtes de matériaux, le Code minier et son Règlement prennent en compte les préoccupations environnementales (par exemple : « Les demandes des droits miniers ou de carrières font l’objet d’une instruction cadastrale suivie des instructions techniques et environnementales ; Les contraintes d’ordre environnemental ont conduit le législateur à imposer au requérant d’un Permis d’Exploitation, de présenter, à l’appui de sa demande de Permis, une Étude d’Impact Environnemental et Social et un Plan de Gestion Environnementale et Sociale, etc. ») ;  en cas d’extraction de matériaux de construction, le Projet devra respecter les dispositions du Code minier y relatives.</w:t>
      </w:r>
    </w:p>
    <w:p w14:paraId="5ACED000" w14:textId="77777777" w:rsidR="001C2F95" w:rsidRPr="00982564" w:rsidRDefault="001C2F95" w:rsidP="001C2F95">
      <w:pPr>
        <w:rPr>
          <w:rFonts w:cs="Arial"/>
          <w:sz w:val="22"/>
        </w:rPr>
      </w:pPr>
    </w:p>
    <w:p w14:paraId="4B0E64F8" w14:textId="77777777" w:rsidR="001C2F95" w:rsidRPr="00982564" w:rsidRDefault="001C2F95" w:rsidP="001C2F95">
      <w:pPr>
        <w:rPr>
          <w:rFonts w:cs="Arial"/>
          <w:bCs/>
          <w:i/>
          <w:sz w:val="22"/>
        </w:rPr>
      </w:pPr>
      <w:r w:rsidRPr="00982564">
        <w:rPr>
          <w:rFonts w:cs="Arial"/>
          <w:bCs/>
          <w:i/>
          <w:sz w:val="22"/>
        </w:rPr>
        <w:t>Textes relatifs aux mines</w:t>
      </w:r>
    </w:p>
    <w:p w14:paraId="02445730" w14:textId="77777777" w:rsidR="001C2F95" w:rsidRPr="00982564" w:rsidRDefault="001C2F95" w:rsidP="001C2F95">
      <w:pPr>
        <w:rPr>
          <w:rFonts w:cs="Arial"/>
          <w:bCs/>
          <w:sz w:val="22"/>
          <w:u w:val="single"/>
        </w:rPr>
      </w:pPr>
    </w:p>
    <w:p w14:paraId="12D17ECB" w14:textId="77777777" w:rsidR="001C2F95" w:rsidRPr="00982564" w:rsidRDefault="001C2F95" w:rsidP="001C2F95">
      <w:pPr>
        <w:rPr>
          <w:rFonts w:cs="Arial"/>
          <w:sz w:val="22"/>
        </w:rPr>
      </w:pPr>
      <w:r w:rsidRPr="00982564">
        <w:rPr>
          <w:rFonts w:cs="Arial"/>
          <w:sz w:val="22"/>
        </w:rPr>
        <w:t>La Loi n° 007/2002 du 11 juillet 2002 portant Code Minier tel que modifiée et complétée par la Loi n°18/001 du 09 mars 2018 et le Décret n°038/2003 du 26 mars 2003 portant Règlement Minier tel que modifié et complété par le Décret n°18/024 du 08 juin 2018 : tout en définissant les conditions d’ouverture et d’exploitation des gîtes de matériaux, le Code Minier et Règlement Minier prennent en compte les préoccupations environnementales (par exemple : « Les demandes des droits miniers ou de carrières font l’objet d’une instruction cadastrale suivie des instructions techniques et environnementale ; Les contraintes d’ordre environnemental ont conduit le législateur à imposer au requérant du Permis d’Exploitation,  de présenter, à l’appui de sa demande de Permis, une Étude d’Impact Environnemental et Social et un Plan de Gestion Environnementale et Sociale  (PGES), etc. »);  en cas d’extraction de matériaux de construction, le Projet devra respecter les dispositions du Code Minier y relatives.</w:t>
      </w:r>
    </w:p>
    <w:p w14:paraId="09F9E7A0" w14:textId="77777777" w:rsidR="001C2F95" w:rsidRPr="00982564" w:rsidRDefault="001C2F95" w:rsidP="001C2F95">
      <w:pPr>
        <w:rPr>
          <w:rFonts w:cs="Arial"/>
          <w:sz w:val="22"/>
        </w:rPr>
      </w:pPr>
    </w:p>
    <w:p w14:paraId="5337A03E" w14:textId="77777777" w:rsidR="001C2F95" w:rsidRPr="00982564" w:rsidRDefault="001C2F95" w:rsidP="001C2F95">
      <w:pPr>
        <w:rPr>
          <w:rFonts w:cs="Arial"/>
          <w:sz w:val="22"/>
        </w:rPr>
      </w:pPr>
      <w:r w:rsidRPr="00982564">
        <w:rPr>
          <w:rFonts w:cs="Arial"/>
          <w:sz w:val="22"/>
        </w:rPr>
        <w:t xml:space="preserve">Étant donné que les activités de réhabilitation des pistes rurales, de construction des marchés, </w:t>
      </w:r>
      <w:r w:rsidR="004A5706" w:rsidRPr="00982564">
        <w:rPr>
          <w:rFonts w:cs="Arial"/>
          <w:sz w:val="22"/>
        </w:rPr>
        <w:t>dépôts</w:t>
      </w:r>
      <w:r w:rsidRPr="00982564">
        <w:rPr>
          <w:rFonts w:cs="Arial"/>
          <w:sz w:val="22"/>
        </w:rPr>
        <w:t xml:space="preserve"> agricoles et </w:t>
      </w:r>
      <w:r w:rsidR="004A5706" w:rsidRPr="00982564">
        <w:rPr>
          <w:rFonts w:cs="Arial"/>
          <w:sz w:val="22"/>
        </w:rPr>
        <w:t>abattoirs</w:t>
      </w:r>
      <w:r w:rsidRPr="00982564">
        <w:rPr>
          <w:rFonts w:cs="Arial"/>
          <w:sz w:val="22"/>
        </w:rPr>
        <w:t>, etc. vont néc</w:t>
      </w:r>
      <w:r w:rsidR="004A5706" w:rsidRPr="00982564">
        <w:rPr>
          <w:rFonts w:cs="Arial"/>
          <w:sz w:val="22"/>
        </w:rPr>
        <w:t>e</w:t>
      </w:r>
      <w:r w:rsidRPr="00982564">
        <w:rPr>
          <w:rFonts w:cs="Arial"/>
          <w:sz w:val="22"/>
        </w:rPr>
        <w:t>ssit</w:t>
      </w:r>
      <w:r w:rsidR="004A5706" w:rsidRPr="00982564">
        <w:rPr>
          <w:rFonts w:cs="Arial"/>
          <w:sz w:val="22"/>
        </w:rPr>
        <w:t>er</w:t>
      </w:r>
      <w:r w:rsidRPr="00982564">
        <w:rPr>
          <w:rFonts w:cs="Arial"/>
          <w:sz w:val="22"/>
        </w:rPr>
        <w:t xml:space="preserve"> l’extraction des matériaux (latérites, graviers, </w:t>
      </w:r>
      <w:r w:rsidR="004A5706" w:rsidRPr="00982564">
        <w:rPr>
          <w:rFonts w:cs="Arial"/>
          <w:sz w:val="22"/>
        </w:rPr>
        <w:t>moellons</w:t>
      </w:r>
      <w:r w:rsidRPr="00982564">
        <w:rPr>
          <w:rFonts w:cs="Arial"/>
          <w:sz w:val="22"/>
        </w:rPr>
        <w:t>, etc.) dans les carrières d’</w:t>
      </w:r>
      <w:r w:rsidR="004A5706" w:rsidRPr="00982564">
        <w:rPr>
          <w:rFonts w:cs="Arial"/>
          <w:sz w:val="22"/>
        </w:rPr>
        <w:t>emprunts</w:t>
      </w:r>
      <w:r w:rsidRPr="00982564">
        <w:rPr>
          <w:rFonts w:cs="Arial"/>
          <w:sz w:val="22"/>
        </w:rPr>
        <w:t xml:space="preserve">, cela touche le sous-sol, domaine régi par le Code Minier. Voilà pourquoi ce dernier est </w:t>
      </w:r>
      <w:r w:rsidR="004A5706" w:rsidRPr="00982564">
        <w:rPr>
          <w:rFonts w:cs="Arial"/>
          <w:sz w:val="22"/>
        </w:rPr>
        <w:t>pertinent</w:t>
      </w:r>
      <w:r w:rsidRPr="00982564">
        <w:rPr>
          <w:rFonts w:cs="Arial"/>
          <w:sz w:val="22"/>
        </w:rPr>
        <w:t xml:space="preserve"> dans le cadre des activités du PNDA.</w:t>
      </w:r>
    </w:p>
    <w:p w14:paraId="180B506E" w14:textId="77777777" w:rsidR="001C2F95" w:rsidRPr="00982564" w:rsidRDefault="001C2F95" w:rsidP="001C2F95">
      <w:pPr>
        <w:rPr>
          <w:rFonts w:cs="Arial"/>
          <w:sz w:val="22"/>
        </w:rPr>
      </w:pPr>
    </w:p>
    <w:p w14:paraId="051940A4" w14:textId="77777777" w:rsidR="001C2F95" w:rsidRPr="00982564" w:rsidRDefault="001C2F95" w:rsidP="001C2F95">
      <w:pPr>
        <w:rPr>
          <w:rFonts w:cs="Arial"/>
          <w:i/>
          <w:sz w:val="22"/>
        </w:rPr>
      </w:pPr>
      <w:r w:rsidRPr="00982564">
        <w:rPr>
          <w:rFonts w:cs="Arial"/>
          <w:i/>
          <w:sz w:val="22"/>
        </w:rPr>
        <w:t>Législation sur le régime foncier, la compensation et la réinstallation</w:t>
      </w:r>
    </w:p>
    <w:p w14:paraId="34D17B4B" w14:textId="77777777" w:rsidR="001C2F95" w:rsidRPr="00982564" w:rsidRDefault="001C2F95" w:rsidP="001C2F95">
      <w:pPr>
        <w:rPr>
          <w:rFonts w:cs="Arial"/>
          <w:sz w:val="22"/>
        </w:rPr>
      </w:pPr>
    </w:p>
    <w:p w14:paraId="6373AA0F" w14:textId="77777777" w:rsidR="001C2F95" w:rsidRPr="00982564" w:rsidRDefault="001C2F95" w:rsidP="001C2F95">
      <w:pPr>
        <w:rPr>
          <w:rFonts w:cs="Arial"/>
          <w:sz w:val="22"/>
        </w:rPr>
      </w:pPr>
      <w:r w:rsidRPr="00982564">
        <w:rPr>
          <w:rFonts w:cs="Arial"/>
          <w:sz w:val="22"/>
        </w:rPr>
        <w:t xml:space="preserve">La Loi 73 - 021 du 20 juillet 1973 porte sur le régime général des biens, régime foncier et immobilier et régime des sûretés. Au regard de l'article 34 de la Constitution du 18 février 2006, toute décision d'expropriation relève de la compétence du pouvoir législatif. En tenant compte de cet article de la Constitution, la Loi n° 11-2004 du 26 mars 2004 décrit les procédures d'expropriation pour cause d’utilité publique qui devraient être en rigueur. </w:t>
      </w:r>
    </w:p>
    <w:p w14:paraId="674FFC08" w14:textId="77777777" w:rsidR="001C2F95" w:rsidRPr="00982564" w:rsidRDefault="001C2F95" w:rsidP="001C2F95">
      <w:pPr>
        <w:rPr>
          <w:rFonts w:cs="Arial"/>
          <w:sz w:val="22"/>
        </w:rPr>
      </w:pPr>
    </w:p>
    <w:p w14:paraId="02849F0B" w14:textId="77777777" w:rsidR="001C2F95" w:rsidRPr="00982564" w:rsidRDefault="001C2F95" w:rsidP="001C2F95">
      <w:pPr>
        <w:rPr>
          <w:rFonts w:cs="Arial"/>
          <w:sz w:val="22"/>
        </w:rPr>
      </w:pPr>
      <w:r w:rsidRPr="00982564">
        <w:rPr>
          <w:rFonts w:cs="Arial"/>
          <w:sz w:val="22"/>
        </w:rPr>
        <w:t>Au regard de l'article 34 de la Constitution du 18 février 2006, toute décision d'expropriation relève de la compétence du pouvoir législatif. En tenant compte de cet article de la Constitution, la loi n° 77-001 du 22/02/2002 décrit les procédures d'expropriation qui devraient être en vigueur.</w:t>
      </w:r>
    </w:p>
    <w:p w14:paraId="34D61E32" w14:textId="77777777" w:rsidR="001C2F95" w:rsidRPr="00982564" w:rsidRDefault="001C2F95" w:rsidP="001C2F95">
      <w:pPr>
        <w:rPr>
          <w:rFonts w:cs="Arial"/>
          <w:sz w:val="22"/>
        </w:rPr>
      </w:pPr>
      <w:r w:rsidRPr="00982564">
        <w:rPr>
          <w:rFonts w:cs="Arial"/>
          <w:sz w:val="22"/>
        </w:rPr>
        <w:t xml:space="preserve">Certaines activités du PNDA pourraient entraîner une réinstallation. Dans le cadre du Projet, un Cadre de Politique de Réinstallation (CPR) sera préparé en document séparé pour déterminer comment ces aspects seront pris en compte. En outre, certaines activités pourraient affectés les populations autochtones dans la Province du Nord-Kivu. C’est ainsi que dans le cadre du projet, un Cadre en faveur des Populations Autochtones (CPPA) sera préparé en document séparé pour prendre en compte ces aspects quant à ce. </w:t>
      </w:r>
    </w:p>
    <w:p w14:paraId="15513CA9" w14:textId="77777777" w:rsidR="001C2F95" w:rsidRPr="00982564" w:rsidRDefault="001C2F95" w:rsidP="001C2F95">
      <w:pPr>
        <w:rPr>
          <w:rFonts w:cs="Arial"/>
          <w:sz w:val="22"/>
        </w:rPr>
      </w:pPr>
      <w:r w:rsidRPr="00982564">
        <w:rPr>
          <w:rFonts w:cs="Arial"/>
          <w:sz w:val="22"/>
        </w:rPr>
        <w:t xml:space="preserve"> </w:t>
      </w:r>
    </w:p>
    <w:p w14:paraId="6890D75D" w14:textId="77777777" w:rsidR="001C2F95" w:rsidRPr="00982564" w:rsidRDefault="001C2F95" w:rsidP="001C2F95">
      <w:pPr>
        <w:rPr>
          <w:rFonts w:cs="Arial"/>
          <w:i/>
          <w:sz w:val="22"/>
        </w:rPr>
      </w:pPr>
      <w:r w:rsidRPr="00982564">
        <w:rPr>
          <w:rFonts w:cs="Arial"/>
          <w:i/>
          <w:sz w:val="22"/>
        </w:rPr>
        <w:t>Protection des travailleurs</w:t>
      </w:r>
    </w:p>
    <w:p w14:paraId="17A2FEED" w14:textId="77777777" w:rsidR="001C2F95" w:rsidRPr="00982564" w:rsidRDefault="001C2F95" w:rsidP="001C2F95">
      <w:pPr>
        <w:rPr>
          <w:rFonts w:cs="Arial"/>
          <w:i/>
          <w:sz w:val="22"/>
        </w:rPr>
      </w:pPr>
    </w:p>
    <w:p w14:paraId="631A9267" w14:textId="77777777" w:rsidR="001C2F95" w:rsidRPr="00982564" w:rsidRDefault="001C2F95" w:rsidP="001C2F95">
      <w:pPr>
        <w:rPr>
          <w:rFonts w:cs="Arial"/>
          <w:sz w:val="22"/>
        </w:rPr>
      </w:pPr>
      <w:r w:rsidRPr="00982564">
        <w:rPr>
          <w:rFonts w:cs="Arial"/>
          <w:sz w:val="22"/>
        </w:rPr>
        <w:t xml:space="preserve">La Loi n° 16/010 du 15 juillet 2016 modifiant et complétant la Loi n° 015-2002 portant Code du Travail. Celui-ci vise, entre autres, à protéger la santé et la sécurité des travailleurs, à assurer un service médical, à garantir un salaire minimum et à réglementer les conditions de travail. On notera aussi </w:t>
      </w:r>
      <w:r w:rsidRPr="00982564">
        <w:rPr>
          <w:rFonts w:cs="Arial"/>
          <w:i/>
          <w:sz w:val="22"/>
        </w:rPr>
        <w:t>(i)</w:t>
      </w:r>
      <w:r w:rsidRPr="00982564">
        <w:rPr>
          <w:rFonts w:cs="Arial"/>
          <w:sz w:val="22"/>
        </w:rPr>
        <w:t xml:space="preserve"> l’Ordonnance n° 74/098 du 06 juin 1974 relative à la protection de la main-d’œuvre nationale contre la concurrence étrangère et </w:t>
      </w:r>
      <w:r w:rsidRPr="00982564">
        <w:rPr>
          <w:rFonts w:cs="Arial"/>
          <w:i/>
          <w:sz w:val="22"/>
        </w:rPr>
        <w:t>(ii)</w:t>
      </w:r>
      <w:r w:rsidRPr="00982564">
        <w:rPr>
          <w:rFonts w:cs="Arial"/>
          <w:sz w:val="22"/>
        </w:rPr>
        <w:t xml:space="preserve"> l’Arrêté départemental 78/004 bis du 3 janvier 1978 portant institution des comités d’hygiène et de sécurité dans les entreprises. Le projet devra veiller à faire respecter le Code du travail dans l’utilisation du personnel lors des travaux.</w:t>
      </w:r>
    </w:p>
    <w:p w14:paraId="0D6F5E20" w14:textId="77777777" w:rsidR="001C2F95" w:rsidRPr="00982564" w:rsidRDefault="001C2F95" w:rsidP="001C2F95">
      <w:pPr>
        <w:rPr>
          <w:rFonts w:cs="Arial"/>
          <w:sz w:val="22"/>
        </w:rPr>
      </w:pPr>
    </w:p>
    <w:p w14:paraId="047AA9E6" w14:textId="77777777" w:rsidR="001C2F95" w:rsidRPr="00982564" w:rsidRDefault="001C2F95" w:rsidP="001C2F95">
      <w:pPr>
        <w:rPr>
          <w:rFonts w:cs="Arial"/>
          <w:sz w:val="22"/>
        </w:rPr>
      </w:pPr>
      <w:r w:rsidRPr="00982564">
        <w:rPr>
          <w:rFonts w:cs="Arial"/>
          <w:sz w:val="22"/>
        </w:rPr>
        <w:t xml:space="preserve">Les activités du PNDA vont induire au recrutement des entreprises PME, aux sous-traitant et autres prestataires de service ainsi qu’au recrutement de la main d’œuvre locale, le présent </w:t>
      </w:r>
      <w:r w:rsidRPr="00982564">
        <w:rPr>
          <w:rFonts w:cs="Arial"/>
          <w:color w:val="383838"/>
          <w:sz w:val="22"/>
          <w:shd w:val="clear" w:color="auto" w:fill="FFFFFF"/>
        </w:rPr>
        <w:t xml:space="preserve">Le présent est </w:t>
      </w:r>
      <w:r w:rsidR="004A5706" w:rsidRPr="00982564">
        <w:rPr>
          <w:rFonts w:cs="Arial"/>
          <w:color w:val="383838"/>
          <w:sz w:val="22"/>
          <w:shd w:val="clear" w:color="auto" w:fill="FFFFFF"/>
        </w:rPr>
        <w:t>pertinente</w:t>
      </w:r>
      <w:r w:rsidRPr="00982564">
        <w:rPr>
          <w:rFonts w:cs="Arial"/>
          <w:color w:val="383838"/>
          <w:sz w:val="22"/>
          <w:shd w:val="clear" w:color="auto" w:fill="FFFFFF"/>
        </w:rPr>
        <w:t xml:space="preserve"> au PNDA dans le sens qu’il est applicable à tous les travailleurs et à tous les employeurs, y compris ceux des entreprises publiques exerçant leur activité professionnelle sur l’étendue des provinces concernées dans le cadre du PNDA en République Démocratique du Congo, quels que soient la race, le sexe, l’état civil, la religion, l’opinion politique, l’ascendance nationale, l’origine sociale, la nationalité des parties, la nature des prestations, la rémunération ou le lieu de conclusion du contrat, dès lors que ce dernier s’exécute en République Démocratique du Congo.</w:t>
      </w:r>
    </w:p>
    <w:p w14:paraId="70D49FD6" w14:textId="77777777" w:rsidR="001C2F95" w:rsidRPr="00982564" w:rsidRDefault="001C2F95" w:rsidP="001C2F95">
      <w:pPr>
        <w:rPr>
          <w:rFonts w:cs="Arial"/>
          <w:sz w:val="22"/>
        </w:rPr>
      </w:pPr>
    </w:p>
    <w:p w14:paraId="2804D94B" w14:textId="77777777" w:rsidR="001C2F95" w:rsidRPr="00982564" w:rsidRDefault="001C2F95" w:rsidP="001C2F95">
      <w:pPr>
        <w:rPr>
          <w:rFonts w:cs="Arial"/>
          <w:i/>
          <w:sz w:val="22"/>
        </w:rPr>
      </w:pPr>
      <w:r w:rsidRPr="00982564">
        <w:rPr>
          <w:rFonts w:cs="Arial"/>
          <w:i/>
          <w:sz w:val="22"/>
        </w:rPr>
        <w:t>Protection de l’Énergie</w:t>
      </w:r>
    </w:p>
    <w:p w14:paraId="5D10D229" w14:textId="77777777" w:rsidR="001C2F95" w:rsidRPr="00982564" w:rsidRDefault="001C2F95" w:rsidP="001C2F95">
      <w:pPr>
        <w:rPr>
          <w:rFonts w:cs="Arial"/>
          <w:sz w:val="22"/>
        </w:rPr>
      </w:pPr>
    </w:p>
    <w:p w14:paraId="695B4669" w14:textId="77777777" w:rsidR="001C2F95" w:rsidRPr="00982564" w:rsidRDefault="001C2F95" w:rsidP="001C2F95">
      <w:pPr>
        <w:rPr>
          <w:rFonts w:cs="Arial"/>
          <w:sz w:val="22"/>
        </w:rPr>
      </w:pPr>
      <w:r w:rsidRPr="00982564">
        <w:rPr>
          <w:rFonts w:cs="Arial"/>
          <w:sz w:val="22"/>
        </w:rPr>
        <w:t>Loi n° 14/011 du 17 juin 2014 relative au secteur de l'électricité. L'électricité est l'un des facteurs majeurs et irréversibles qui conditionnent le développement économique, social, technologique et culturel de toutes les nations, de tous les peuples, de toutes les communautés ou de tout individu pris isolément.</w:t>
      </w:r>
    </w:p>
    <w:p w14:paraId="6DA909FA" w14:textId="77777777" w:rsidR="001C2F95" w:rsidRPr="00982564" w:rsidRDefault="001C2F95" w:rsidP="001C2F95">
      <w:pPr>
        <w:rPr>
          <w:rFonts w:cs="Arial"/>
          <w:sz w:val="22"/>
        </w:rPr>
      </w:pPr>
    </w:p>
    <w:p w14:paraId="08F0A1E0" w14:textId="77777777" w:rsidR="001C2F95" w:rsidRPr="00982564" w:rsidRDefault="001C2F95" w:rsidP="001C2F95">
      <w:pPr>
        <w:rPr>
          <w:rFonts w:cs="Arial"/>
          <w:sz w:val="22"/>
        </w:rPr>
      </w:pPr>
      <w:r w:rsidRPr="00982564">
        <w:rPr>
          <w:rFonts w:cs="Arial"/>
          <w:sz w:val="22"/>
        </w:rPr>
        <w:t xml:space="preserve">La présente loi est </w:t>
      </w:r>
      <w:r w:rsidR="004A5706" w:rsidRPr="00982564">
        <w:rPr>
          <w:rFonts w:cs="Arial"/>
          <w:sz w:val="22"/>
        </w:rPr>
        <w:t>pertinente</w:t>
      </w:r>
      <w:r w:rsidRPr="00982564">
        <w:rPr>
          <w:rFonts w:cs="Arial"/>
          <w:sz w:val="22"/>
        </w:rPr>
        <w:t xml:space="preserve"> pour le PNDA dans le sens que les activités agricoles de ce dernier dans ses phases d’exécution et d’exploitation vont nécessiter l’utilisation de l’électricité (Moyenne ou haute tension) dans la transformation des produits agricoles, la conservation des viandes issues des abattoirs mais également la conservation des produits halieutiques dans des chambres froides. </w:t>
      </w:r>
    </w:p>
    <w:p w14:paraId="127ED124" w14:textId="77777777" w:rsidR="001C2F95" w:rsidRPr="00982564" w:rsidRDefault="001C2F95" w:rsidP="001C2F95">
      <w:pPr>
        <w:rPr>
          <w:rFonts w:cs="Arial"/>
          <w:sz w:val="22"/>
        </w:rPr>
      </w:pPr>
    </w:p>
    <w:p w14:paraId="2629FF7D" w14:textId="77777777" w:rsidR="001C2F95" w:rsidRPr="00982564" w:rsidRDefault="001C2F95" w:rsidP="001C2F95">
      <w:pPr>
        <w:rPr>
          <w:rFonts w:cs="Arial"/>
          <w:i/>
          <w:sz w:val="22"/>
        </w:rPr>
      </w:pPr>
      <w:r w:rsidRPr="00982564">
        <w:rPr>
          <w:rFonts w:cs="Arial"/>
          <w:i/>
          <w:sz w:val="22"/>
        </w:rPr>
        <w:t>Protection des investissements</w:t>
      </w:r>
    </w:p>
    <w:p w14:paraId="343B14BC" w14:textId="77777777" w:rsidR="001C2F95" w:rsidRPr="00982564" w:rsidRDefault="001C2F95" w:rsidP="001C2F95">
      <w:pPr>
        <w:rPr>
          <w:rFonts w:cs="Arial"/>
          <w:sz w:val="22"/>
        </w:rPr>
      </w:pPr>
    </w:p>
    <w:p w14:paraId="59973E39" w14:textId="77777777" w:rsidR="001C2F95" w:rsidRPr="00982564" w:rsidRDefault="001C2F95" w:rsidP="001C2F95">
      <w:pPr>
        <w:rPr>
          <w:rFonts w:cs="Arial"/>
          <w:sz w:val="22"/>
        </w:rPr>
      </w:pPr>
      <w:r w:rsidRPr="00982564">
        <w:rPr>
          <w:rFonts w:cs="Arial"/>
          <w:sz w:val="22"/>
        </w:rPr>
        <w:t>Loi n° 004/2002 du 21 février 2002 portant Codes investissements. Le Code oblige tout investisseur de remplir les règlements nationaux couvrant la protection de l’environnement, la conservation de la nature et l’emploi. Le cadre législatif sur les questions de l’environnement touche à la Loi n° 011/2002 du code forestier à partir du 29 août 2002, et à l’Ordonnance-loi n° 69-041 du 22 août 1969 dans le respect de la conservation de la nature.</w:t>
      </w:r>
    </w:p>
    <w:p w14:paraId="1A3AE6F4" w14:textId="77777777" w:rsidR="004A5706" w:rsidRPr="00982564" w:rsidRDefault="004A5706" w:rsidP="001C2F95">
      <w:pPr>
        <w:rPr>
          <w:rFonts w:cs="Arial"/>
          <w:sz w:val="22"/>
        </w:rPr>
      </w:pPr>
    </w:p>
    <w:p w14:paraId="60BAD4BD" w14:textId="77777777" w:rsidR="001C2F95" w:rsidRPr="00982564" w:rsidRDefault="001C2F95" w:rsidP="001C2F95">
      <w:pPr>
        <w:rPr>
          <w:rFonts w:cs="Arial"/>
          <w:sz w:val="22"/>
        </w:rPr>
      </w:pPr>
      <w:r w:rsidRPr="00982564">
        <w:rPr>
          <w:rFonts w:cs="Arial"/>
          <w:sz w:val="22"/>
        </w:rPr>
        <w:t>La construction des marchés, dépôt agricoles et abattoirs ainsi des chambres froides par les PME et autres prestataires de services dans le cadre du PNDA constitue des investissements importants. Ainsi, la présente loi est pert</w:t>
      </w:r>
      <w:r w:rsidR="004A5706" w:rsidRPr="00982564">
        <w:rPr>
          <w:rFonts w:cs="Arial"/>
          <w:sz w:val="22"/>
        </w:rPr>
        <w:t>i</w:t>
      </w:r>
      <w:r w:rsidRPr="00982564">
        <w:rPr>
          <w:rFonts w:cs="Arial"/>
          <w:sz w:val="22"/>
        </w:rPr>
        <w:t>nente pour le PNDA dans le sens qu’elle fixe les conditions, les avantages ainsi que les règles générales applicables aux investissements directs, nationaux et étrangers, réalisés en République Démocratique du Congo dans les secteurs qui ne sont pas expressément réservés à l’Etat.</w:t>
      </w:r>
    </w:p>
    <w:p w14:paraId="7A80360A" w14:textId="77777777" w:rsidR="001C2F95" w:rsidRPr="00B86CA8" w:rsidRDefault="001C2F95" w:rsidP="001C2F95">
      <w:pPr>
        <w:rPr>
          <w:rFonts w:cs="Arial"/>
          <w:bCs/>
          <w:sz w:val="16"/>
          <w:szCs w:val="16"/>
        </w:rPr>
      </w:pPr>
    </w:p>
    <w:p w14:paraId="23A6269B" w14:textId="77777777" w:rsidR="001C2F95" w:rsidRPr="00982564" w:rsidRDefault="001C2F95" w:rsidP="001C2F95">
      <w:pPr>
        <w:rPr>
          <w:rFonts w:cs="Arial"/>
          <w:bCs/>
          <w:i/>
          <w:sz w:val="22"/>
        </w:rPr>
      </w:pPr>
      <w:r w:rsidRPr="00982564">
        <w:rPr>
          <w:rFonts w:cs="Arial"/>
          <w:bCs/>
          <w:i/>
          <w:sz w:val="22"/>
        </w:rPr>
        <w:t>Lois sur les violences basées sur le genre et la protection de l’enfant</w:t>
      </w:r>
    </w:p>
    <w:p w14:paraId="3823BD49" w14:textId="77777777" w:rsidR="001C2F95" w:rsidRPr="00B86CA8" w:rsidRDefault="001C2F95" w:rsidP="001C2F95">
      <w:pPr>
        <w:rPr>
          <w:rFonts w:cs="Arial"/>
          <w:bCs/>
          <w:sz w:val="16"/>
          <w:szCs w:val="16"/>
        </w:rPr>
      </w:pPr>
    </w:p>
    <w:p w14:paraId="4E215D1B" w14:textId="77777777" w:rsidR="001C2F95" w:rsidRPr="00982564" w:rsidRDefault="001C2F95" w:rsidP="001C2F95">
      <w:pPr>
        <w:rPr>
          <w:rFonts w:cs="Arial"/>
          <w:bCs/>
          <w:sz w:val="22"/>
        </w:rPr>
      </w:pPr>
      <w:r w:rsidRPr="00982564">
        <w:rPr>
          <w:rFonts w:cs="Arial"/>
          <w:bCs/>
          <w:sz w:val="22"/>
        </w:rPr>
        <w:t>La Loi 06/018 modifiant et complétant le Décret du 30 juin 1940 portant Code Pénal Congolais et la loi 06/019 modifiant et complétant le Décret du 06 août 1959 portant Code de Procédure Pénale Congolais qui répertorie les différents types de violences sexuelles et les peines prévues contre leurs auteurs des faits, y compris d’autres lois touchant les aspects de l’égalité de genre dans le Code de la Famille, le Code du Travail.</w:t>
      </w:r>
    </w:p>
    <w:p w14:paraId="70FDA880" w14:textId="77777777" w:rsidR="001C2F95" w:rsidRPr="00B86CA8" w:rsidRDefault="001C2F95" w:rsidP="001C2F95">
      <w:pPr>
        <w:rPr>
          <w:rFonts w:cs="Arial"/>
          <w:bCs/>
          <w:sz w:val="16"/>
          <w:szCs w:val="16"/>
        </w:rPr>
      </w:pPr>
    </w:p>
    <w:p w14:paraId="4E363295" w14:textId="77777777" w:rsidR="001C2F95" w:rsidRPr="00982564" w:rsidRDefault="001C2F95" w:rsidP="001C2F95">
      <w:pPr>
        <w:rPr>
          <w:rFonts w:cs="Arial"/>
          <w:bCs/>
          <w:sz w:val="22"/>
        </w:rPr>
      </w:pPr>
      <w:r w:rsidRPr="00982564">
        <w:rPr>
          <w:rFonts w:cs="Arial"/>
          <w:bCs/>
          <w:sz w:val="22"/>
        </w:rPr>
        <w:t>À cette loi il faudra associer la Loi n°09/001 du 10 janvier 2009 portant protection de l’enfant ainsi que la Loi n° 08/011 du 14 juillet 2008 portant protection des droits des personnes vivant avec le VIH/SIDA et des personnes affectées celle contre la stigmatisation et la discrimination des personnes vivant avec le VIH de la RDC qui comprennent certaines dispositions sur les violences basées sur le genre.</w:t>
      </w:r>
    </w:p>
    <w:p w14:paraId="103F502E" w14:textId="77777777" w:rsidR="004A5706" w:rsidRPr="00B86CA8" w:rsidRDefault="004A5706" w:rsidP="004A5706">
      <w:pPr>
        <w:rPr>
          <w:rFonts w:cs="Arial"/>
          <w:bCs/>
          <w:sz w:val="16"/>
          <w:szCs w:val="16"/>
        </w:rPr>
      </w:pPr>
    </w:p>
    <w:p w14:paraId="67F3A437" w14:textId="77777777" w:rsidR="004A5706" w:rsidRPr="00982564" w:rsidRDefault="004A5706" w:rsidP="004A5706">
      <w:pPr>
        <w:rPr>
          <w:rFonts w:cs="Arial"/>
          <w:bCs/>
          <w:i/>
          <w:sz w:val="22"/>
        </w:rPr>
      </w:pPr>
      <w:r w:rsidRPr="00982564">
        <w:rPr>
          <w:rFonts w:cs="Arial"/>
          <w:bCs/>
          <w:i/>
          <w:sz w:val="22"/>
        </w:rPr>
        <w:t>Conventions et accords internationaux relatifs aux VBG</w:t>
      </w:r>
    </w:p>
    <w:p w14:paraId="08EFB1F8" w14:textId="77777777" w:rsidR="00B86CA8" w:rsidRPr="00B86CA8" w:rsidRDefault="00B86CA8" w:rsidP="004A5706">
      <w:pPr>
        <w:rPr>
          <w:rFonts w:cs="Arial"/>
          <w:bCs/>
          <w:sz w:val="16"/>
          <w:szCs w:val="16"/>
        </w:rPr>
      </w:pPr>
    </w:p>
    <w:p w14:paraId="6E8B1E5B" w14:textId="77777777" w:rsidR="004A5706" w:rsidRDefault="004A5706" w:rsidP="004A5706">
      <w:pPr>
        <w:rPr>
          <w:rFonts w:cs="Arial"/>
          <w:bCs/>
          <w:sz w:val="22"/>
        </w:rPr>
      </w:pPr>
      <w:r w:rsidRPr="00982564">
        <w:rPr>
          <w:rFonts w:cs="Arial"/>
          <w:bCs/>
          <w:sz w:val="22"/>
        </w:rPr>
        <w:t xml:space="preserve">Sur le plan international, la RDC est signataire de plusieurs Conventions internationales en matière de genre. Les Conventions internationales signées par la RDC applicables au projet sont les suivants : </w:t>
      </w:r>
    </w:p>
    <w:p w14:paraId="6A1869CA" w14:textId="77777777" w:rsidR="005823A4" w:rsidRPr="00982564" w:rsidRDefault="005823A4" w:rsidP="004A5706">
      <w:pPr>
        <w:rPr>
          <w:rFonts w:cs="Arial"/>
          <w:bCs/>
          <w:sz w:val="22"/>
        </w:rPr>
      </w:pPr>
    </w:p>
    <w:p w14:paraId="459F5767" w14:textId="77777777" w:rsidR="004A5706" w:rsidRPr="00982564" w:rsidRDefault="004A5706" w:rsidP="002378EA">
      <w:pPr>
        <w:pStyle w:val="Paragraphedeliste"/>
        <w:numPr>
          <w:ilvl w:val="0"/>
          <w:numId w:val="114"/>
        </w:numPr>
        <w:rPr>
          <w:rFonts w:cs="Arial"/>
          <w:bCs/>
          <w:sz w:val="22"/>
        </w:rPr>
      </w:pPr>
      <w:r w:rsidRPr="00982564">
        <w:rPr>
          <w:rFonts w:cs="Arial"/>
          <w:bCs/>
          <w:sz w:val="22"/>
        </w:rPr>
        <w:t xml:space="preserve">Convention des Nations Unies sur l’élimination de toutes les formes de discrimination à l’égard des femmes ; </w:t>
      </w:r>
    </w:p>
    <w:p w14:paraId="0CE8EF46" w14:textId="77777777" w:rsidR="004A5706" w:rsidRPr="00982564" w:rsidRDefault="004A5706" w:rsidP="002378EA">
      <w:pPr>
        <w:pStyle w:val="Paragraphedeliste"/>
        <w:numPr>
          <w:ilvl w:val="0"/>
          <w:numId w:val="114"/>
        </w:numPr>
        <w:rPr>
          <w:rFonts w:cs="Arial"/>
          <w:bCs/>
          <w:sz w:val="22"/>
        </w:rPr>
      </w:pPr>
      <w:r w:rsidRPr="00982564">
        <w:rPr>
          <w:rFonts w:cs="Arial"/>
          <w:bCs/>
          <w:sz w:val="22"/>
        </w:rPr>
        <w:t xml:space="preserve">Convention des Nations Unies relative aux droits de l’enfant et à la Charte africaine des droits et du bien-être de l’enfant ; </w:t>
      </w:r>
    </w:p>
    <w:p w14:paraId="5F3016A3" w14:textId="77777777" w:rsidR="004A5706" w:rsidRPr="00982564" w:rsidRDefault="004A5706" w:rsidP="002378EA">
      <w:pPr>
        <w:pStyle w:val="Paragraphedeliste"/>
        <w:numPr>
          <w:ilvl w:val="0"/>
          <w:numId w:val="114"/>
        </w:numPr>
        <w:rPr>
          <w:rFonts w:cs="Arial"/>
          <w:bCs/>
          <w:sz w:val="22"/>
        </w:rPr>
      </w:pPr>
      <w:r w:rsidRPr="00982564">
        <w:rPr>
          <w:rFonts w:cs="Arial"/>
          <w:bCs/>
          <w:sz w:val="22"/>
        </w:rPr>
        <w:t xml:space="preserve">Déclaration sur l’élimination de la violence à l’égard des femmes (1993) ;  </w:t>
      </w:r>
    </w:p>
    <w:p w14:paraId="52E14C9F" w14:textId="77777777" w:rsidR="004A5706" w:rsidRPr="00982564" w:rsidRDefault="004A5706" w:rsidP="002378EA">
      <w:pPr>
        <w:pStyle w:val="Paragraphedeliste"/>
        <w:numPr>
          <w:ilvl w:val="0"/>
          <w:numId w:val="114"/>
        </w:numPr>
        <w:rPr>
          <w:rFonts w:cs="Arial"/>
          <w:bCs/>
          <w:sz w:val="22"/>
        </w:rPr>
      </w:pPr>
      <w:r w:rsidRPr="00982564">
        <w:rPr>
          <w:rFonts w:cs="Arial"/>
          <w:bCs/>
          <w:sz w:val="22"/>
        </w:rPr>
        <w:t xml:space="preserve">Résolution 1325 du Conseil de sécurité des Nations Unies sur les femmes, la paix et la sécurité (2000) et résolution 1820 du Conseil de sécurité des Nations Unies sur la violence sexuelle dans les situations de conflit armé (2008) ; </w:t>
      </w:r>
    </w:p>
    <w:p w14:paraId="28454EB3" w14:textId="77777777" w:rsidR="004A5706" w:rsidRPr="00982564" w:rsidRDefault="004A5706" w:rsidP="002378EA">
      <w:pPr>
        <w:pStyle w:val="Paragraphedeliste"/>
        <w:numPr>
          <w:ilvl w:val="0"/>
          <w:numId w:val="114"/>
        </w:numPr>
        <w:rPr>
          <w:rFonts w:cs="Arial"/>
          <w:bCs/>
          <w:sz w:val="22"/>
        </w:rPr>
      </w:pPr>
      <w:r w:rsidRPr="00982564">
        <w:rPr>
          <w:rFonts w:cs="Arial"/>
          <w:bCs/>
          <w:sz w:val="22"/>
        </w:rPr>
        <w:t xml:space="preserve">Charte africaine des droits de l’homme et des peuples et le Protocole de la Charte africaine des droits des femmes en Afrique (Protocole de Maputo) (2003) ; </w:t>
      </w:r>
    </w:p>
    <w:p w14:paraId="05E8E1D4" w14:textId="77777777" w:rsidR="004A5706" w:rsidRPr="00982564" w:rsidRDefault="004A5706" w:rsidP="002378EA">
      <w:pPr>
        <w:pStyle w:val="Paragraphedeliste"/>
        <w:numPr>
          <w:ilvl w:val="0"/>
          <w:numId w:val="114"/>
        </w:numPr>
        <w:rPr>
          <w:rFonts w:cs="Arial"/>
          <w:bCs/>
          <w:sz w:val="22"/>
        </w:rPr>
      </w:pPr>
      <w:r w:rsidRPr="00982564">
        <w:rPr>
          <w:rFonts w:cs="Arial"/>
          <w:bCs/>
          <w:sz w:val="22"/>
        </w:rPr>
        <w:t>Protocole sur la prévention et la répression de la violence sexuelle à l’égard des femmes et des enfants de la Conférence internationale sur la région des Grands Lacs (2006) ;</w:t>
      </w:r>
    </w:p>
    <w:p w14:paraId="522C295A" w14:textId="77777777" w:rsidR="004A5706" w:rsidRPr="00982564" w:rsidRDefault="004A5706" w:rsidP="002378EA">
      <w:pPr>
        <w:pStyle w:val="Paragraphedeliste"/>
        <w:numPr>
          <w:ilvl w:val="0"/>
          <w:numId w:val="114"/>
        </w:numPr>
        <w:rPr>
          <w:rFonts w:cs="Arial"/>
          <w:bCs/>
          <w:sz w:val="22"/>
        </w:rPr>
      </w:pPr>
      <w:r w:rsidRPr="00982564">
        <w:rPr>
          <w:rFonts w:cs="Arial"/>
          <w:bCs/>
          <w:sz w:val="22"/>
        </w:rPr>
        <w:t>Déclaration de Goma sur l’éradication de la violence sexuelle et la fin de l’impunité dans la région des Grands Lacs (2008) ;</w:t>
      </w:r>
    </w:p>
    <w:p w14:paraId="033B4966" w14:textId="77777777" w:rsidR="004A5706" w:rsidRPr="00982564" w:rsidRDefault="004A5706" w:rsidP="002378EA">
      <w:pPr>
        <w:pStyle w:val="Paragraphedeliste"/>
        <w:numPr>
          <w:ilvl w:val="0"/>
          <w:numId w:val="114"/>
        </w:numPr>
        <w:rPr>
          <w:rFonts w:cs="Arial"/>
          <w:bCs/>
          <w:sz w:val="22"/>
        </w:rPr>
      </w:pPr>
      <w:r w:rsidRPr="00982564">
        <w:rPr>
          <w:rFonts w:cs="Arial"/>
          <w:bCs/>
          <w:sz w:val="22"/>
        </w:rPr>
        <w:t>Déclaration de Kampala sur la fin de l’impunité (2003) ;</w:t>
      </w:r>
    </w:p>
    <w:p w14:paraId="147B9085" w14:textId="77777777" w:rsidR="004A5706" w:rsidRPr="00982564" w:rsidRDefault="004A5706" w:rsidP="002378EA">
      <w:pPr>
        <w:pStyle w:val="Paragraphedeliste"/>
        <w:numPr>
          <w:ilvl w:val="0"/>
          <w:numId w:val="114"/>
        </w:numPr>
        <w:rPr>
          <w:rFonts w:cs="Arial"/>
          <w:bCs/>
          <w:sz w:val="22"/>
        </w:rPr>
      </w:pPr>
      <w:r w:rsidRPr="00982564">
        <w:rPr>
          <w:rFonts w:cs="Arial"/>
          <w:bCs/>
          <w:sz w:val="22"/>
        </w:rPr>
        <w:t>Charte africaine des droits et du bien-être de l'enfant (Juillet 1990) ;</w:t>
      </w:r>
    </w:p>
    <w:p w14:paraId="6363F637" w14:textId="77777777" w:rsidR="004A5706" w:rsidRPr="00982564" w:rsidRDefault="004A5706" w:rsidP="002378EA">
      <w:pPr>
        <w:pStyle w:val="Paragraphedeliste"/>
        <w:numPr>
          <w:ilvl w:val="0"/>
          <w:numId w:val="114"/>
        </w:numPr>
        <w:rPr>
          <w:rFonts w:cs="Arial"/>
          <w:bCs/>
          <w:sz w:val="22"/>
        </w:rPr>
      </w:pPr>
      <w:r w:rsidRPr="00982564">
        <w:rPr>
          <w:rFonts w:cs="Arial"/>
          <w:bCs/>
          <w:sz w:val="22"/>
        </w:rPr>
        <w:t>Convention sur l'élimination de toutes les formes de discrimination à l’égard des femmes ou la déclaration sur l’élimination de la violence contre les femmes (1981) : A été adopté le 18 Décembre 1979 par l’Assemblée générale des Nations Unies. Elle a été signée en 1980 et ratifié en 1986 par la RDC. Elle est entrée en vigueur le 3 septembre 1981 après avoir été ratifié par 20 pays ;</w:t>
      </w:r>
    </w:p>
    <w:p w14:paraId="0CE979CB" w14:textId="77777777" w:rsidR="004A5706" w:rsidRPr="00982564" w:rsidRDefault="004A5706" w:rsidP="002378EA">
      <w:pPr>
        <w:pStyle w:val="Paragraphedeliste"/>
        <w:numPr>
          <w:ilvl w:val="0"/>
          <w:numId w:val="114"/>
        </w:numPr>
        <w:rPr>
          <w:rFonts w:cs="Arial"/>
          <w:bCs/>
          <w:sz w:val="22"/>
        </w:rPr>
      </w:pPr>
      <w:r w:rsidRPr="00982564">
        <w:rPr>
          <w:rFonts w:cs="Arial"/>
          <w:bCs/>
          <w:sz w:val="22"/>
        </w:rPr>
        <w:t xml:space="preserve">Résolution 2011/33 sur la Prévention, la protection et la coopération internationale contre l’utilisation de nouvelles technologies d’information pour abuser et/ou exploiter les enfants (1981) : A été adopté le 18 Décembre 1979 par l’Assemblée générale des Nations Unies. Elle a été signée en 1980 et ratifié en 1986 par la RDC. Elle est entrée en vigueur le 3 septembre 1981 après avoir été ratifié par 20 pays.   </w:t>
      </w:r>
    </w:p>
    <w:p w14:paraId="73F2241B" w14:textId="77777777" w:rsidR="004A5706" w:rsidRPr="00982564" w:rsidRDefault="004A5706" w:rsidP="004A5706">
      <w:pPr>
        <w:rPr>
          <w:rFonts w:cs="Arial"/>
          <w:i/>
          <w:sz w:val="22"/>
        </w:rPr>
      </w:pPr>
    </w:p>
    <w:p w14:paraId="2B6004F7" w14:textId="77777777" w:rsidR="004A5706" w:rsidRPr="00982564" w:rsidRDefault="004A5706" w:rsidP="004A5706">
      <w:pPr>
        <w:rPr>
          <w:rFonts w:cs="Arial"/>
          <w:i/>
          <w:sz w:val="22"/>
        </w:rPr>
      </w:pPr>
      <w:r w:rsidRPr="00982564">
        <w:rPr>
          <w:rFonts w:cs="Arial"/>
          <w:i/>
          <w:sz w:val="22"/>
        </w:rPr>
        <w:t>En matière violences basées sur le genre, compris l’exploitation et abus ainsi que le harcèlement, en plus des cadres légaux de la RDC et internationaux, il faudra aussi prendre en compte la Note sur les bonnes pratiques de la BM</w:t>
      </w:r>
    </w:p>
    <w:p w14:paraId="1DAB339A" w14:textId="77777777" w:rsidR="001C2F95" w:rsidRPr="00982564" w:rsidRDefault="001C2F95" w:rsidP="001C2F95">
      <w:pPr>
        <w:rPr>
          <w:rFonts w:cs="Arial"/>
          <w:i/>
          <w:sz w:val="22"/>
        </w:rPr>
      </w:pPr>
    </w:p>
    <w:p w14:paraId="4BE75371" w14:textId="77777777" w:rsidR="001C2F95" w:rsidRPr="00982564" w:rsidRDefault="001C2F95" w:rsidP="001C2F95">
      <w:pPr>
        <w:rPr>
          <w:rFonts w:cs="Arial"/>
          <w:i/>
          <w:iCs/>
          <w:sz w:val="22"/>
        </w:rPr>
      </w:pPr>
      <w:r w:rsidRPr="00982564">
        <w:rPr>
          <w:rFonts w:cs="Arial"/>
          <w:i/>
          <w:iCs/>
          <w:sz w:val="22"/>
        </w:rPr>
        <w:t>Note de Bonnes Pratiques : Lutter contre l’exploitation et les atteintes sexuelles ainsi que le harcèlement sexuel dans le cadre du financement de projets d’investissement comportant de grands travaux de génie civil (Banque mondiale, 2</w:t>
      </w:r>
      <w:r w:rsidRPr="00982564">
        <w:rPr>
          <w:rFonts w:cs="Arial"/>
          <w:i/>
          <w:iCs/>
          <w:sz w:val="22"/>
          <w:vertAlign w:val="superscript"/>
        </w:rPr>
        <w:t>ème</w:t>
      </w:r>
      <w:r w:rsidRPr="00982564">
        <w:rPr>
          <w:rFonts w:cs="Arial"/>
          <w:i/>
          <w:iCs/>
          <w:sz w:val="22"/>
        </w:rPr>
        <w:t xml:space="preserve"> éd, février 2020).</w:t>
      </w:r>
    </w:p>
    <w:p w14:paraId="0478EE3F" w14:textId="77777777" w:rsidR="001C2F95" w:rsidRPr="00982564" w:rsidRDefault="001C2F95" w:rsidP="001C2F95">
      <w:pPr>
        <w:rPr>
          <w:rFonts w:cs="Arial"/>
          <w:bCs/>
          <w:i/>
          <w:sz w:val="22"/>
        </w:rPr>
      </w:pPr>
    </w:p>
    <w:p w14:paraId="2E589259" w14:textId="77777777" w:rsidR="001C2F95" w:rsidRPr="00982564" w:rsidRDefault="001C2F95" w:rsidP="001C2F95">
      <w:pPr>
        <w:rPr>
          <w:rFonts w:cs="Arial"/>
          <w:bCs/>
          <w:sz w:val="22"/>
        </w:rPr>
      </w:pPr>
      <w:r w:rsidRPr="00982564">
        <w:rPr>
          <w:rFonts w:cs="Arial"/>
          <w:bCs/>
          <w:sz w:val="22"/>
        </w:rPr>
        <w:t>Cette Note de bonnes pratiques a été préparée pour aider les équipes des projets financés par la Banque mondiale à définir une approche permettant de déterminer les risques d’EAS/HS, que peuvent présenter des opérations de financement de projets d’investissement (FPI) comportant des marchés de grands travaux de génie civil, et de conseiller en conséquence les Emprunteurs sur la meilleure façon de gérer ces risques. La Note s’appuie sur l’expérience de la Banque mondiale et sur les bonnes pratiques en usage dans ce secteur au niveau international, y compris celles d’autres partenaires de développement. Si elle est destinée principalement à l’usage des équipes de projet de la Banque mondiale, elle a également pour objectif de contribuer à la constitution d’une base de connaissances grandissante sur le sujet.</w:t>
      </w:r>
    </w:p>
    <w:p w14:paraId="16F3214C" w14:textId="77777777" w:rsidR="00B86CA8" w:rsidRPr="00982564" w:rsidRDefault="00B86CA8" w:rsidP="001C2F95">
      <w:pPr>
        <w:rPr>
          <w:rFonts w:cs="Arial"/>
          <w:i/>
          <w:sz w:val="22"/>
        </w:rPr>
      </w:pPr>
    </w:p>
    <w:p w14:paraId="08512699" w14:textId="77777777" w:rsidR="001C2F95" w:rsidRPr="00982564" w:rsidRDefault="001C2F95" w:rsidP="001C2F95">
      <w:pPr>
        <w:rPr>
          <w:rFonts w:cs="Arial"/>
          <w:i/>
          <w:sz w:val="22"/>
        </w:rPr>
      </w:pPr>
      <w:r w:rsidRPr="00982564">
        <w:rPr>
          <w:rFonts w:cs="Arial"/>
          <w:i/>
          <w:sz w:val="22"/>
        </w:rPr>
        <w:t>Protection du patrimoine culturel</w:t>
      </w:r>
    </w:p>
    <w:p w14:paraId="2C4261B9" w14:textId="77777777" w:rsidR="001C2F95" w:rsidRPr="00982564" w:rsidRDefault="001C2F95" w:rsidP="001C2F95">
      <w:pPr>
        <w:rPr>
          <w:rFonts w:cs="Arial"/>
          <w:sz w:val="22"/>
        </w:rPr>
      </w:pPr>
    </w:p>
    <w:p w14:paraId="09ABBB25" w14:textId="77777777" w:rsidR="001C2F95" w:rsidRPr="00982564" w:rsidRDefault="001C2F95" w:rsidP="001C2F95">
      <w:pPr>
        <w:rPr>
          <w:rFonts w:cs="Arial"/>
          <w:sz w:val="22"/>
        </w:rPr>
      </w:pPr>
      <w:r w:rsidRPr="00982564">
        <w:rPr>
          <w:rFonts w:cs="Arial"/>
          <w:sz w:val="22"/>
        </w:rPr>
        <w:t>L’Ordonnance-Loi n °71-016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 Lors des travaux, il est possible de découvrir de façon fortuite des vestiges culturels. Dans ces cas, le projet devra se conformer aux exigences de l’Ordonnance-Loi n° 71-016.</w:t>
      </w:r>
    </w:p>
    <w:p w14:paraId="1C37321E" w14:textId="77777777" w:rsidR="001C2F95" w:rsidRPr="00982564" w:rsidRDefault="001C2F95" w:rsidP="001C2F95">
      <w:pPr>
        <w:rPr>
          <w:rFonts w:cs="Arial"/>
          <w:sz w:val="22"/>
        </w:rPr>
      </w:pPr>
    </w:p>
    <w:p w14:paraId="0C8A5ACE" w14:textId="77777777" w:rsidR="001C2F95" w:rsidRPr="00982564" w:rsidRDefault="001C2F95" w:rsidP="001C2F95">
      <w:pPr>
        <w:rPr>
          <w:rFonts w:cs="Arial"/>
          <w:sz w:val="22"/>
        </w:rPr>
      </w:pPr>
      <w:r w:rsidRPr="00982564">
        <w:rPr>
          <w:rFonts w:cs="Arial"/>
          <w:sz w:val="22"/>
        </w:rPr>
        <w:t>Il sied de signaler que les activités de réhabilitation des pistes rurales, les travaux d’irrigation, les travaux champêtres à des vastes étendues des terres risquent d’impacter à la découverte fortuite et aux culturels dans les milieux ruraux. Ainsi, la présente ordonnance-loi est pert</w:t>
      </w:r>
      <w:r w:rsidR="004A5706" w:rsidRPr="00982564">
        <w:rPr>
          <w:rFonts w:cs="Arial"/>
          <w:sz w:val="22"/>
        </w:rPr>
        <w:t>i</w:t>
      </w:r>
      <w:r w:rsidRPr="00982564">
        <w:rPr>
          <w:rFonts w:cs="Arial"/>
          <w:sz w:val="22"/>
        </w:rPr>
        <w:t>nente pour le PNDA dans le sens qu’elle fixe la procédure et toutes les mesures de la découverte fortuite des vestiges culturels en RDC.</w:t>
      </w:r>
    </w:p>
    <w:p w14:paraId="32CA4344" w14:textId="77777777" w:rsidR="001C2F95" w:rsidRPr="00982564" w:rsidRDefault="001C2F95" w:rsidP="001C2F95">
      <w:pPr>
        <w:rPr>
          <w:rFonts w:cs="Arial"/>
          <w:i/>
          <w:sz w:val="22"/>
        </w:rPr>
      </w:pPr>
    </w:p>
    <w:p w14:paraId="1483448C" w14:textId="77777777" w:rsidR="001C2F95" w:rsidRPr="00982564" w:rsidRDefault="001C2F95" w:rsidP="001C2F95">
      <w:pPr>
        <w:rPr>
          <w:rFonts w:cs="Arial"/>
          <w:i/>
          <w:sz w:val="22"/>
        </w:rPr>
      </w:pPr>
      <w:r w:rsidRPr="00982564">
        <w:rPr>
          <w:rFonts w:cs="Arial"/>
          <w:i/>
          <w:sz w:val="22"/>
        </w:rPr>
        <w:t>Gestion des pest</w:t>
      </w:r>
      <w:r w:rsidR="004A5706" w:rsidRPr="00982564">
        <w:rPr>
          <w:rFonts w:cs="Arial"/>
          <w:i/>
          <w:sz w:val="22"/>
        </w:rPr>
        <w:t>e</w:t>
      </w:r>
      <w:r w:rsidRPr="00982564">
        <w:rPr>
          <w:rFonts w:cs="Arial"/>
          <w:i/>
          <w:sz w:val="22"/>
        </w:rPr>
        <w:t xml:space="preserve">s/nuisibles </w:t>
      </w:r>
    </w:p>
    <w:p w14:paraId="0AE97538" w14:textId="77777777" w:rsidR="001C2F95" w:rsidRPr="00982564" w:rsidRDefault="001C2F95" w:rsidP="001C2F95">
      <w:pPr>
        <w:suppressAutoHyphens/>
        <w:autoSpaceDN w:val="0"/>
        <w:textAlignment w:val="baseline"/>
        <w:rPr>
          <w:rFonts w:cs="Arial"/>
          <w:sz w:val="22"/>
        </w:rPr>
      </w:pPr>
    </w:p>
    <w:p w14:paraId="3942AE53" w14:textId="77777777" w:rsidR="001C2F95" w:rsidRPr="00982564" w:rsidRDefault="001C2F95" w:rsidP="001C2F95">
      <w:pPr>
        <w:suppressAutoHyphens/>
        <w:autoSpaceDN w:val="0"/>
        <w:textAlignment w:val="baseline"/>
        <w:rPr>
          <w:rFonts w:cs="Arial"/>
          <w:sz w:val="22"/>
        </w:rPr>
      </w:pPr>
      <w:r w:rsidRPr="00982564">
        <w:rPr>
          <w:rFonts w:cs="Arial"/>
          <w:sz w:val="22"/>
        </w:rPr>
        <w:t>Le Décret n° 05/162 du 18 novembre 2005 portant réglementation phytosanitaire en RDC renferme les mesures de protection des cultures contre les maladies et le danger représenté par les parasites devant l'augmentation du volume des échanges entre pays d’un côté ; et au regard des diverses recommandations formulées par la Convention Internationale pour la Protection des Végétaux (CIPV) de la FAO, la Convention sur la Biodiversité et l'Organisation Mondiale du Commerce (OMC), spécialement en ce qui concerne l'Accord sur les mesures sanitaires et phytosanitaires (SPS) de l’autre.</w:t>
      </w:r>
    </w:p>
    <w:p w14:paraId="4E267CD8" w14:textId="77777777" w:rsidR="001C2F95" w:rsidRDefault="001C2F95" w:rsidP="001C2F95">
      <w:pPr>
        <w:rPr>
          <w:rFonts w:cs="Arial"/>
          <w:sz w:val="22"/>
        </w:rPr>
      </w:pPr>
    </w:p>
    <w:p w14:paraId="35904A61" w14:textId="77777777" w:rsidR="005823A4" w:rsidRDefault="005823A4" w:rsidP="001C2F95">
      <w:pPr>
        <w:rPr>
          <w:rFonts w:cs="Arial"/>
          <w:sz w:val="22"/>
        </w:rPr>
      </w:pPr>
    </w:p>
    <w:p w14:paraId="7B8231E4" w14:textId="77777777" w:rsidR="005823A4" w:rsidRDefault="005823A4" w:rsidP="001C2F95">
      <w:pPr>
        <w:rPr>
          <w:rFonts w:cs="Arial"/>
          <w:sz w:val="22"/>
        </w:rPr>
      </w:pPr>
    </w:p>
    <w:p w14:paraId="4CC1030B" w14:textId="77777777" w:rsidR="005823A4" w:rsidRPr="00982564" w:rsidRDefault="005823A4" w:rsidP="001C2F95">
      <w:pPr>
        <w:rPr>
          <w:rFonts w:cs="Arial"/>
          <w:sz w:val="22"/>
        </w:rPr>
      </w:pPr>
    </w:p>
    <w:p w14:paraId="239EA9B8" w14:textId="77777777" w:rsidR="001C2F95" w:rsidRPr="00982564" w:rsidRDefault="001C2F95" w:rsidP="001C2F95">
      <w:pPr>
        <w:rPr>
          <w:rFonts w:cs="Arial"/>
          <w:sz w:val="22"/>
        </w:rPr>
      </w:pPr>
      <w:r w:rsidRPr="00982564">
        <w:rPr>
          <w:rFonts w:cs="Arial"/>
          <w:sz w:val="22"/>
        </w:rPr>
        <w:t>Le Décret sus évoqué régit :</w:t>
      </w:r>
    </w:p>
    <w:p w14:paraId="18E1C0D4" w14:textId="77777777" w:rsidR="001C2F95" w:rsidRPr="00982564" w:rsidRDefault="001C2F95" w:rsidP="001C2F95">
      <w:pPr>
        <w:rPr>
          <w:rFonts w:cs="Arial"/>
          <w:sz w:val="22"/>
        </w:rPr>
      </w:pPr>
    </w:p>
    <w:p w14:paraId="27AF3559" w14:textId="77777777" w:rsidR="001C2F95" w:rsidRPr="00982564" w:rsidRDefault="001C2F95" w:rsidP="002378EA">
      <w:pPr>
        <w:numPr>
          <w:ilvl w:val="0"/>
          <w:numId w:val="103"/>
        </w:numPr>
        <w:suppressAutoHyphens/>
        <w:autoSpaceDE w:val="0"/>
        <w:autoSpaceDN w:val="0"/>
        <w:rPr>
          <w:rFonts w:cs="Arial"/>
          <w:sz w:val="22"/>
        </w:rPr>
      </w:pPr>
      <w:r w:rsidRPr="00982564">
        <w:rPr>
          <w:rFonts w:cs="Arial"/>
          <w:sz w:val="22"/>
        </w:rPr>
        <w:t>La protection sanitaire des végétaux et produits végétaux par la prévention et la lutte contre les organismes nuisibles tant au niveau de leur introduction qu’à celui de leur propagation sur le Territoire national ;</w:t>
      </w:r>
    </w:p>
    <w:p w14:paraId="079E50E1" w14:textId="77777777" w:rsidR="001C2F95" w:rsidRPr="00982564" w:rsidRDefault="001C2F95" w:rsidP="002378EA">
      <w:pPr>
        <w:numPr>
          <w:ilvl w:val="0"/>
          <w:numId w:val="103"/>
        </w:numPr>
        <w:suppressAutoHyphens/>
        <w:autoSpaceDE w:val="0"/>
        <w:autoSpaceDN w:val="0"/>
        <w:rPr>
          <w:rFonts w:cs="Arial"/>
          <w:sz w:val="22"/>
        </w:rPr>
      </w:pPr>
      <w:r w:rsidRPr="00982564">
        <w:rPr>
          <w:rFonts w:cs="Arial"/>
          <w:sz w:val="22"/>
        </w:rPr>
        <w:t>La diffusion et la vulgarisation des techniques appropriées de la protection phytosanitaire ;</w:t>
      </w:r>
    </w:p>
    <w:p w14:paraId="5F918E65" w14:textId="77777777" w:rsidR="001C2F95" w:rsidRPr="00982564" w:rsidRDefault="001C2F95" w:rsidP="002378EA">
      <w:pPr>
        <w:numPr>
          <w:ilvl w:val="0"/>
          <w:numId w:val="103"/>
        </w:numPr>
        <w:suppressAutoHyphens/>
        <w:autoSpaceDE w:val="0"/>
        <w:autoSpaceDN w:val="0"/>
        <w:rPr>
          <w:rFonts w:cs="Arial"/>
          <w:sz w:val="22"/>
        </w:rPr>
      </w:pPr>
      <w:r w:rsidRPr="00982564">
        <w:rPr>
          <w:rFonts w:cs="Arial"/>
          <w:sz w:val="22"/>
        </w:rPr>
        <w:t>L’organisation de l’agrément des produits phytosanitaires et leur contrôle à l’importation, à la mise sur le marché et à leur utilisation ;</w:t>
      </w:r>
    </w:p>
    <w:p w14:paraId="6E109D8B" w14:textId="77777777" w:rsidR="001C2F95" w:rsidRPr="00982564" w:rsidRDefault="001C2F95" w:rsidP="002378EA">
      <w:pPr>
        <w:numPr>
          <w:ilvl w:val="0"/>
          <w:numId w:val="103"/>
        </w:numPr>
        <w:suppressAutoHyphens/>
        <w:autoSpaceDE w:val="0"/>
        <w:autoSpaceDN w:val="0"/>
        <w:rPr>
          <w:rFonts w:cs="Arial"/>
          <w:sz w:val="22"/>
        </w:rPr>
      </w:pPr>
      <w:r w:rsidRPr="00982564">
        <w:rPr>
          <w:rFonts w:cs="Arial"/>
          <w:sz w:val="22"/>
        </w:rPr>
        <w:t>Le contrôle à l’importation et à l’exportation des végétaux et des produits végétaux ;</w:t>
      </w:r>
    </w:p>
    <w:p w14:paraId="0E78CA12" w14:textId="77777777" w:rsidR="001C2F95" w:rsidRPr="00982564" w:rsidRDefault="001C2F95" w:rsidP="002378EA">
      <w:pPr>
        <w:numPr>
          <w:ilvl w:val="0"/>
          <w:numId w:val="103"/>
        </w:numPr>
        <w:suppressAutoHyphens/>
        <w:autoSpaceDE w:val="0"/>
        <w:autoSpaceDN w:val="0"/>
        <w:rPr>
          <w:rFonts w:cs="Arial"/>
          <w:sz w:val="22"/>
        </w:rPr>
      </w:pPr>
      <w:r w:rsidRPr="00982564">
        <w:rPr>
          <w:rFonts w:cs="Arial"/>
          <w:sz w:val="22"/>
        </w:rPr>
        <w:t>Le contrôle de l’état sanitaire des denrées alimentaires d’origine végétale ou minérale susceptibles de porter des germes pathogènes.</w:t>
      </w:r>
    </w:p>
    <w:p w14:paraId="4AECCFA8" w14:textId="77777777" w:rsidR="001C2F95" w:rsidRPr="00982564" w:rsidRDefault="001C2F95" w:rsidP="001C2F95">
      <w:pPr>
        <w:rPr>
          <w:rFonts w:cs="Arial"/>
          <w:i/>
          <w:sz w:val="22"/>
        </w:rPr>
      </w:pPr>
    </w:p>
    <w:p w14:paraId="79E745EE" w14:textId="77777777" w:rsidR="001C2F95" w:rsidRPr="00982564" w:rsidRDefault="001C2F95" w:rsidP="001C2F95">
      <w:pPr>
        <w:rPr>
          <w:rFonts w:cs="Arial"/>
          <w:sz w:val="22"/>
        </w:rPr>
      </w:pPr>
      <w:r w:rsidRPr="00982564">
        <w:rPr>
          <w:rFonts w:cs="Arial"/>
          <w:sz w:val="22"/>
        </w:rPr>
        <w:t xml:space="preserve">Notons que les activités agricoles du PNDA induiront à l’utilisation des pesticides (engrais chimiques) et autres produits pour la lutte contre les maladies d’origine végétales. Ainsi, le présent </w:t>
      </w:r>
      <w:r w:rsidR="004A5706" w:rsidRPr="00982564">
        <w:rPr>
          <w:rFonts w:cs="Arial"/>
          <w:sz w:val="22"/>
        </w:rPr>
        <w:t>Décret</w:t>
      </w:r>
      <w:r w:rsidRPr="00982564">
        <w:rPr>
          <w:rFonts w:cs="Arial"/>
          <w:sz w:val="22"/>
        </w:rPr>
        <w:t xml:space="preserve"> est pert</w:t>
      </w:r>
      <w:r w:rsidR="004A5706" w:rsidRPr="00982564">
        <w:rPr>
          <w:rFonts w:cs="Arial"/>
          <w:sz w:val="22"/>
        </w:rPr>
        <w:t>i</w:t>
      </w:r>
      <w:r w:rsidRPr="00982564">
        <w:rPr>
          <w:rFonts w:cs="Arial"/>
          <w:sz w:val="22"/>
        </w:rPr>
        <w:t>nent dans le sens qu’il fixe la r</w:t>
      </w:r>
      <w:r w:rsidR="004A5706" w:rsidRPr="00982564">
        <w:rPr>
          <w:rFonts w:cs="Arial"/>
          <w:sz w:val="22"/>
        </w:rPr>
        <w:t>é</w:t>
      </w:r>
      <w:r w:rsidRPr="00982564">
        <w:rPr>
          <w:rFonts w:cs="Arial"/>
          <w:sz w:val="22"/>
        </w:rPr>
        <w:t>glementation phytosanitaire et les mesures de protection des cultures contre les maladies et danger des parasites.</w:t>
      </w:r>
    </w:p>
    <w:p w14:paraId="3872BCDD" w14:textId="77777777" w:rsidR="001C2F95" w:rsidRPr="00982564" w:rsidRDefault="001C2F95" w:rsidP="001C2F95">
      <w:pPr>
        <w:rPr>
          <w:rFonts w:cs="Arial"/>
          <w:i/>
          <w:sz w:val="22"/>
        </w:rPr>
      </w:pPr>
    </w:p>
    <w:p w14:paraId="24C43870" w14:textId="77777777" w:rsidR="001C2F95" w:rsidRPr="00982564" w:rsidRDefault="001C2F95" w:rsidP="001C2F95">
      <w:pPr>
        <w:rPr>
          <w:rFonts w:cs="Arial"/>
          <w:i/>
          <w:sz w:val="22"/>
        </w:rPr>
      </w:pPr>
      <w:r w:rsidRPr="00982564">
        <w:rPr>
          <w:rFonts w:cs="Arial"/>
          <w:i/>
          <w:sz w:val="22"/>
        </w:rPr>
        <w:t>Évaluation environnementale et sociale en RDC</w:t>
      </w:r>
    </w:p>
    <w:p w14:paraId="16B5E579" w14:textId="77777777" w:rsidR="001C2F95" w:rsidRPr="00982564" w:rsidRDefault="001C2F95" w:rsidP="001C2F95">
      <w:pPr>
        <w:rPr>
          <w:rFonts w:cs="Arial"/>
          <w:sz w:val="22"/>
        </w:rPr>
      </w:pPr>
    </w:p>
    <w:p w14:paraId="5B31230E" w14:textId="77777777" w:rsidR="001C2F95" w:rsidRPr="00982564" w:rsidRDefault="001C2F95" w:rsidP="001C2F95">
      <w:pPr>
        <w:rPr>
          <w:rFonts w:cs="Arial"/>
          <w:sz w:val="22"/>
        </w:rPr>
      </w:pPr>
      <w:r w:rsidRPr="00982564">
        <w:rPr>
          <w:rFonts w:cs="Arial"/>
          <w:sz w:val="22"/>
        </w:rPr>
        <w:t xml:space="preserve">Le Décret n°14/030 du 18 novembre 2014 précise le cadre général de la mise en œuvre du processus de l’évaluation environnementale et sociale en RDC. </w:t>
      </w:r>
    </w:p>
    <w:p w14:paraId="071AB099" w14:textId="77777777" w:rsidR="001C2F95" w:rsidRPr="00982564" w:rsidRDefault="001C2F95" w:rsidP="001C2F95">
      <w:pPr>
        <w:rPr>
          <w:rFonts w:cs="Arial"/>
          <w:sz w:val="22"/>
        </w:rPr>
      </w:pPr>
    </w:p>
    <w:p w14:paraId="25F58F43" w14:textId="77777777" w:rsidR="001C2F95" w:rsidRPr="00982564" w:rsidRDefault="001C2F95" w:rsidP="001C2F95">
      <w:pPr>
        <w:spacing w:line="240" w:lineRule="auto"/>
        <w:jc w:val="left"/>
        <w:rPr>
          <w:rFonts w:cs="Arial"/>
          <w:i/>
          <w:sz w:val="22"/>
        </w:rPr>
      </w:pPr>
      <w:r w:rsidRPr="00982564">
        <w:rPr>
          <w:rFonts w:cs="Arial"/>
          <w:i/>
          <w:sz w:val="22"/>
        </w:rPr>
        <w:t>Procédures de réalisation des études d’impact environnemental et social en RDC</w:t>
      </w:r>
    </w:p>
    <w:p w14:paraId="5885C139" w14:textId="77777777" w:rsidR="001C2F95" w:rsidRPr="00982564" w:rsidRDefault="001C2F95" w:rsidP="001C2F95">
      <w:pPr>
        <w:rPr>
          <w:rFonts w:cs="Arial"/>
          <w:sz w:val="22"/>
        </w:rPr>
      </w:pPr>
    </w:p>
    <w:p w14:paraId="1E529747" w14:textId="77777777" w:rsidR="001C2F95" w:rsidRPr="00982564" w:rsidRDefault="001C2F95" w:rsidP="001C2F95">
      <w:pPr>
        <w:rPr>
          <w:rFonts w:cs="Arial"/>
          <w:sz w:val="22"/>
        </w:rPr>
      </w:pPr>
      <w:r w:rsidRPr="00982564">
        <w:rPr>
          <w:rFonts w:cs="Arial"/>
          <w:sz w:val="22"/>
        </w:rPr>
        <w:t xml:space="preserve">Le Décret n° 14/019 du 02 août 2014 fixant les règles de fonctionnement des mécanismes procéduraux de la protection de l’environnement constitue le texte qui encadre toute la procédure de réalisation d’une ÉIES de manière à s’assurer qu’un projet respecte les normes existantes en matière d’environnement. Ce texte ne mentionne aucune catégorisation des ÉIES. Mais il précise que l’ÉIES devra être réalisée par le promoteur et sous sa seule responsabilité. Les termes de référence seront établis par l’administration de tutelle du secteur d’activité concerné en lien avec le promoteur du projet, sur la base des orientations générales et sectorielles qui seront alors élaborées par l’ACE. </w:t>
      </w:r>
    </w:p>
    <w:p w14:paraId="61824406" w14:textId="77777777" w:rsidR="001C2F95" w:rsidRPr="00982564" w:rsidRDefault="001C2F95" w:rsidP="001C2F95">
      <w:pPr>
        <w:rPr>
          <w:rFonts w:cs="Arial"/>
          <w:sz w:val="22"/>
        </w:rPr>
      </w:pPr>
    </w:p>
    <w:p w14:paraId="5D789416" w14:textId="77777777" w:rsidR="001C2F95" w:rsidRPr="00982564" w:rsidRDefault="001C2F95" w:rsidP="001C2F95">
      <w:pPr>
        <w:rPr>
          <w:rFonts w:cs="Arial"/>
          <w:sz w:val="22"/>
        </w:rPr>
      </w:pPr>
      <w:r w:rsidRPr="00982564">
        <w:rPr>
          <w:rFonts w:cs="Arial"/>
          <w:sz w:val="22"/>
        </w:rPr>
        <w:t xml:space="preserve">La procédure de l’ÉIES se présente comme suit : </w:t>
      </w:r>
    </w:p>
    <w:p w14:paraId="75D5FE22" w14:textId="77777777" w:rsidR="001C2F95" w:rsidRPr="00982564" w:rsidRDefault="001C2F95" w:rsidP="001C2F95">
      <w:pPr>
        <w:rPr>
          <w:rFonts w:cs="Arial"/>
          <w:sz w:val="22"/>
        </w:rPr>
      </w:pPr>
    </w:p>
    <w:p w14:paraId="2D835F01" w14:textId="77777777" w:rsidR="001C2F95" w:rsidRPr="00982564" w:rsidRDefault="001C2F95" w:rsidP="002378EA">
      <w:pPr>
        <w:pStyle w:val="Paragraphedeliste"/>
        <w:numPr>
          <w:ilvl w:val="0"/>
          <w:numId w:val="20"/>
        </w:numPr>
        <w:rPr>
          <w:rFonts w:cs="Arial"/>
          <w:sz w:val="22"/>
        </w:rPr>
      </w:pPr>
      <w:r w:rsidRPr="00982564">
        <w:rPr>
          <w:rFonts w:cs="Arial"/>
          <w:sz w:val="22"/>
        </w:rPr>
        <w:t>L'Agence élabore, en collaboration avec tous les services concernés, et met à la disposition du public le Manuel d'Opérations et des Procédures de réalisation des études d'impact environnemental et social.</w:t>
      </w:r>
    </w:p>
    <w:p w14:paraId="23E07E8F" w14:textId="77777777" w:rsidR="001C2F95" w:rsidRPr="00982564" w:rsidRDefault="001C2F95" w:rsidP="002378EA">
      <w:pPr>
        <w:pStyle w:val="Paragraphedeliste"/>
        <w:numPr>
          <w:ilvl w:val="0"/>
          <w:numId w:val="20"/>
        </w:numPr>
        <w:rPr>
          <w:rFonts w:cs="Arial"/>
          <w:sz w:val="22"/>
        </w:rPr>
      </w:pPr>
      <w:r w:rsidRPr="00982564">
        <w:rPr>
          <w:rFonts w:cs="Arial"/>
          <w:sz w:val="22"/>
        </w:rPr>
        <w:t>L'étude d'impact environnemental et social est à la charge du promoteur.</w:t>
      </w:r>
    </w:p>
    <w:p w14:paraId="7663FB94" w14:textId="77777777" w:rsidR="001C2F95" w:rsidRPr="00982564" w:rsidRDefault="001C2F95" w:rsidP="002378EA">
      <w:pPr>
        <w:pStyle w:val="Paragraphedeliste"/>
        <w:numPr>
          <w:ilvl w:val="0"/>
          <w:numId w:val="20"/>
        </w:numPr>
        <w:rPr>
          <w:rFonts w:cs="Arial"/>
          <w:sz w:val="22"/>
        </w:rPr>
      </w:pPr>
      <w:r w:rsidRPr="00982564">
        <w:rPr>
          <w:rFonts w:cs="Arial"/>
          <w:sz w:val="22"/>
        </w:rPr>
        <w:t>Le promoteur recrute un bureau d'études national agréé par le Ministère de l'Environnement ou International pour la réaliser. Toutefois, à compétence égale, la priorité est accordée aux nationaux.</w:t>
      </w:r>
    </w:p>
    <w:p w14:paraId="74B74F7A" w14:textId="77777777" w:rsidR="001C2F95" w:rsidRPr="00982564" w:rsidRDefault="001C2F95" w:rsidP="002378EA">
      <w:pPr>
        <w:pStyle w:val="Paragraphedeliste"/>
        <w:numPr>
          <w:ilvl w:val="0"/>
          <w:numId w:val="20"/>
        </w:numPr>
        <w:rPr>
          <w:rFonts w:cs="Arial"/>
          <w:sz w:val="22"/>
        </w:rPr>
      </w:pPr>
      <w:r w:rsidRPr="00982564">
        <w:rPr>
          <w:rFonts w:cs="Arial"/>
          <w:sz w:val="22"/>
        </w:rPr>
        <w:t>Tout bureau d'études International recruté s'associe à un bureau d'études national.</w:t>
      </w:r>
    </w:p>
    <w:p w14:paraId="3770FF1F" w14:textId="77777777" w:rsidR="001C2F95" w:rsidRPr="00982564" w:rsidRDefault="001C2F95" w:rsidP="002378EA">
      <w:pPr>
        <w:pStyle w:val="Paragraphedeliste"/>
        <w:numPr>
          <w:ilvl w:val="0"/>
          <w:numId w:val="20"/>
        </w:numPr>
        <w:rPr>
          <w:rFonts w:cs="Arial"/>
          <w:sz w:val="22"/>
        </w:rPr>
      </w:pPr>
      <w:r w:rsidRPr="00982564">
        <w:rPr>
          <w:rFonts w:cs="Arial"/>
          <w:sz w:val="22"/>
        </w:rPr>
        <w:t>Un arrêté du ministre ayant l'environnement dans ses attributions fixe les conditions d'agrément des bureaux d'études</w:t>
      </w:r>
    </w:p>
    <w:p w14:paraId="04F80F39" w14:textId="77777777" w:rsidR="001C2F95" w:rsidRPr="00982564" w:rsidRDefault="001C2F95" w:rsidP="002378EA">
      <w:pPr>
        <w:pStyle w:val="Paragraphedeliste"/>
        <w:numPr>
          <w:ilvl w:val="0"/>
          <w:numId w:val="20"/>
        </w:numPr>
        <w:rPr>
          <w:rFonts w:cs="Arial"/>
          <w:sz w:val="22"/>
        </w:rPr>
      </w:pPr>
      <w:r w:rsidRPr="00982564">
        <w:rPr>
          <w:rFonts w:cs="Arial"/>
          <w:sz w:val="22"/>
        </w:rPr>
        <w:t>Le promoteur adresse une demande de réalisation de l'étude d'impact environnemental et social à l'Agence se conformant aux directives contenues dans le manuel d'opérations et des procédures prévus à l'article 20 du décret repris ci-dessus.</w:t>
      </w:r>
    </w:p>
    <w:p w14:paraId="3B6CB1B5" w14:textId="77777777" w:rsidR="001C2F95" w:rsidRPr="00982564" w:rsidRDefault="001C2F95" w:rsidP="002378EA">
      <w:pPr>
        <w:pStyle w:val="Paragraphedeliste"/>
        <w:numPr>
          <w:ilvl w:val="0"/>
          <w:numId w:val="20"/>
        </w:numPr>
        <w:rPr>
          <w:rFonts w:cs="Arial"/>
          <w:sz w:val="22"/>
        </w:rPr>
      </w:pPr>
      <w:r w:rsidRPr="00982564">
        <w:rPr>
          <w:rFonts w:cs="Arial"/>
          <w:sz w:val="22"/>
        </w:rPr>
        <w:t>L'autorisation de la réalisation de tout projet assujetti à une étude d'impact environnemental et social est sanctionnée par la délivrance d'un Certificat Environnemental par l'Agence.</w:t>
      </w:r>
    </w:p>
    <w:p w14:paraId="53EA48D7" w14:textId="77777777" w:rsidR="001C2F95" w:rsidRPr="00982564" w:rsidRDefault="001C2F95" w:rsidP="002378EA">
      <w:pPr>
        <w:pStyle w:val="Paragraphedeliste"/>
        <w:numPr>
          <w:ilvl w:val="0"/>
          <w:numId w:val="20"/>
        </w:numPr>
        <w:rPr>
          <w:rFonts w:cs="Arial"/>
          <w:sz w:val="22"/>
        </w:rPr>
      </w:pPr>
      <w:r w:rsidRPr="00982564">
        <w:rPr>
          <w:rFonts w:cs="Arial"/>
          <w:sz w:val="22"/>
        </w:rPr>
        <w:t>Après examen de la demande, l'Agence détermine si le projet est assujetti ou non à l'étude d'impact environnemental et social et en informe le promoteur.</w:t>
      </w:r>
    </w:p>
    <w:p w14:paraId="5DF94302" w14:textId="77777777" w:rsidR="001C2F95" w:rsidRPr="00982564" w:rsidRDefault="001C2F95" w:rsidP="002378EA">
      <w:pPr>
        <w:pStyle w:val="Paragraphedeliste"/>
        <w:numPr>
          <w:ilvl w:val="0"/>
          <w:numId w:val="20"/>
        </w:numPr>
        <w:rPr>
          <w:rFonts w:cs="Arial"/>
          <w:sz w:val="22"/>
        </w:rPr>
      </w:pPr>
      <w:r w:rsidRPr="00982564">
        <w:rPr>
          <w:rFonts w:cs="Arial"/>
          <w:sz w:val="22"/>
        </w:rPr>
        <w:t>L'Agence constitue, après le dépôt de l'étude, un Panel d'experts 1 composé selon la spécificité du projet pour son évaluation. Ce Panel comprend : 4 représentants de l'établissement public compétent ; 1 représentant par Ministère concerné par le projet ; 1 représentant du Fonds National de Promotion de Service Social ; 3 personnes ressources identifiées du fait de leur expertise.</w:t>
      </w:r>
    </w:p>
    <w:p w14:paraId="3E8C9AF0" w14:textId="77777777" w:rsidR="001C2F95" w:rsidRPr="00982564" w:rsidRDefault="001C2F95" w:rsidP="002378EA">
      <w:pPr>
        <w:pStyle w:val="Paragraphedeliste"/>
        <w:numPr>
          <w:ilvl w:val="0"/>
          <w:numId w:val="20"/>
        </w:numPr>
        <w:rPr>
          <w:rFonts w:cs="Arial"/>
          <w:sz w:val="22"/>
        </w:rPr>
      </w:pPr>
      <w:r w:rsidRPr="00982564">
        <w:rPr>
          <w:rFonts w:cs="Arial"/>
          <w:sz w:val="22"/>
        </w:rPr>
        <w:t>L'Agence dispose d'un délai de trois mois à dater du dépôt de l'étude pour notifier au promoteur : Soit la recevabilité de l'étude, auquel cas il délivre le Certificat Environnemental ; Soit les observations à intégrer pour rendre 1 'étude recevable moyennant amendement ; Soit son rejet, auquel cas le promoteur doit reprendre son étude.</w:t>
      </w:r>
    </w:p>
    <w:p w14:paraId="3320C2A7" w14:textId="77777777" w:rsidR="001C2F95" w:rsidRPr="00982564" w:rsidRDefault="001C2F95" w:rsidP="002378EA">
      <w:pPr>
        <w:pStyle w:val="Paragraphedeliste"/>
        <w:numPr>
          <w:ilvl w:val="0"/>
          <w:numId w:val="20"/>
        </w:numPr>
        <w:rPr>
          <w:rFonts w:cs="Arial"/>
          <w:sz w:val="22"/>
        </w:rPr>
      </w:pPr>
      <w:r w:rsidRPr="00982564">
        <w:rPr>
          <w:rFonts w:cs="Arial"/>
          <w:sz w:val="22"/>
        </w:rPr>
        <w:t>Le promoteur dispose d'un délai de 30 jours à dater de la notification des observations pour les intégrer dans son étude aux fins de réexamen. Passé ce délai, l'étude est réputée rejetée.</w:t>
      </w:r>
    </w:p>
    <w:p w14:paraId="0AD855DD" w14:textId="77777777" w:rsidR="001C2F95" w:rsidRPr="00982564" w:rsidRDefault="001C2F95" w:rsidP="002378EA">
      <w:pPr>
        <w:pStyle w:val="Paragraphedeliste"/>
        <w:numPr>
          <w:ilvl w:val="0"/>
          <w:numId w:val="20"/>
        </w:numPr>
        <w:rPr>
          <w:rFonts w:cs="Arial"/>
          <w:sz w:val="22"/>
        </w:rPr>
      </w:pPr>
      <w:r w:rsidRPr="00982564">
        <w:rPr>
          <w:rFonts w:cs="Arial"/>
          <w:sz w:val="22"/>
        </w:rPr>
        <w:t>Si le promoteur ne reçoit aucune suite de l'Agence dans le délai imparti à l'article 27 ci-dessus, l'étude est réputée recevable et le certificat acquis.</w:t>
      </w:r>
    </w:p>
    <w:p w14:paraId="2862C6EB" w14:textId="77777777" w:rsidR="001C2F95" w:rsidRPr="00982564" w:rsidRDefault="001C2F95" w:rsidP="002378EA">
      <w:pPr>
        <w:pStyle w:val="Paragraphedeliste"/>
        <w:numPr>
          <w:ilvl w:val="0"/>
          <w:numId w:val="20"/>
        </w:numPr>
        <w:rPr>
          <w:rFonts w:cs="Arial"/>
          <w:sz w:val="22"/>
        </w:rPr>
      </w:pPr>
      <w:r w:rsidRPr="00982564">
        <w:rPr>
          <w:rFonts w:cs="Arial"/>
          <w:sz w:val="22"/>
        </w:rPr>
        <w:t>Les frais liés à l'évaluation des études d'impact environnemental et social sont à charge du promoteur et payables au moment du dépôt du rapport de l'étude.</w:t>
      </w:r>
    </w:p>
    <w:p w14:paraId="7075F1B8" w14:textId="77777777" w:rsidR="00161D87" w:rsidRPr="00982564" w:rsidRDefault="00161D87" w:rsidP="001C2F95">
      <w:pPr>
        <w:rPr>
          <w:rFonts w:cs="Arial"/>
          <w:sz w:val="22"/>
        </w:rPr>
      </w:pPr>
    </w:p>
    <w:p w14:paraId="77C72391" w14:textId="77777777" w:rsidR="001C2F95" w:rsidRPr="00982564" w:rsidRDefault="001C2F95" w:rsidP="001C2F95">
      <w:pPr>
        <w:rPr>
          <w:rFonts w:cs="Arial"/>
          <w:sz w:val="22"/>
        </w:rPr>
      </w:pPr>
      <w:r w:rsidRPr="00982564">
        <w:rPr>
          <w:rFonts w:cs="Arial"/>
          <w:sz w:val="22"/>
        </w:rPr>
        <w:t>Il sied de signaler qu’il y a une absence remarquable des procédures de réalisation des études sociales dans le Décret n° 14/019 du 02 août 2014 fixant les règles de fonctionnement des mécanismes procéduraux de la protection de l’environnement.</w:t>
      </w:r>
    </w:p>
    <w:p w14:paraId="2DAC581B" w14:textId="77777777" w:rsidR="001C2F95" w:rsidRPr="00982564" w:rsidRDefault="001C2F95" w:rsidP="001C2F95">
      <w:pPr>
        <w:rPr>
          <w:rFonts w:cs="Arial"/>
          <w:sz w:val="22"/>
        </w:rPr>
      </w:pPr>
    </w:p>
    <w:p w14:paraId="47BCC2F9" w14:textId="77777777" w:rsidR="001C2F95" w:rsidRPr="00982564" w:rsidRDefault="001C2F95" w:rsidP="001C2F95">
      <w:pPr>
        <w:rPr>
          <w:rFonts w:cs="Arial"/>
          <w:sz w:val="22"/>
        </w:rPr>
      </w:pPr>
      <w:r w:rsidRPr="00982564">
        <w:rPr>
          <w:rFonts w:cs="Arial"/>
          <w:sz w:val="22"/>
        </w:rPr>
        <w:t>D’autres textes se rapportent aux questions environnementales et sociales, comme présentés ci-dessous.</w:t>
      </w:r>
    </w:p>
    <w:p w14:paraId="2F90A905" w14:textId="77777777" w:rsidR="001C2F95" w:rsidRPr="00982564" w:rsidRDefault="001C2F95" w:rsidP="001C2F95">
      <w:pPr>
        <w:rPr>
          <w:rFonts w:cs="Arial"/>
          <w:sz w:val="22"/>
        </w:rPr>
      </w:pPr>
    </w:p>
    <w:p w14:paraId="5BB0E122" w14:textId="77777777" w:rsidR="001C2F95" w:rsidRPr="00982564" w:rsidRDefault="001C2F95" w:rsidP="001C2F95">
      <w:pPr>
        <w:rPr>
          <w:rFonts w:cs="Arial"/>
          <w:sz w:val="22"/>
        </w:rPr>
      </w:pPr>
      <w:r w:rsidRPr="00982564">
        <w:rPr>
          <w:rFonts w:cs="Arial"/>
          <w:sz w:val="22"/>
        </w:rPr>
        <w:t>Le Décret n° 13-015 du 29 mai 2013 portant Réglementation des Installations Classées ; l’Arrêté Ministériel n° 28/CAB/MIN/ECNDD/23/RBM/2016 du 22 mars 2016 fixant les conditions d’agrément d’un Bureau d’Études en évaluation environnementale et sociale ; l’Arrêté Ministériel n° 022/CAB/MIN/EDD/AAN/2017 du 06 septembre 2017 fixant les frais liés à l’évaluation des études environnementales et sociales. Dans le cadre du Projet, les dispositions relatives à cette loi devront être rigoureusement respectées.</w:t>
      </w:r>
    </w:p>
    <w:p w14:paraId="2BB9B7A9" w14:textId="77777777" w:rsidR="001C2F95" w:rsidRPr="00982564" w:rsidRDefault="001C2F95" w:rsidP="001C2F95">
      <w:pPr>
        <w:rPr>
          <w:rFonts w:cs="Arial"/>
          <w:sz w:val="22"/>
        </w:rPr>
      </w:pPr>
    </w:p>
    <w:p w14:paraId="0EC78DDD" w14:textId="77777777" w:rsidR="001C2F95" w:rsidRPr="00982564" w:rsidRDefault="001C2F95" w:rsidP="001C2F95">
      <w:pPr>
        <w:pStyle w:val="Titre2"/>
        <w:numPr>
          <w:ilvl w:val="2"/>
          <w:numId w:val="4"/>
        </w:numPr>
        <w:ind w:left="1560" w:hanging="709"/>
        <w:rPr>
          <w:rFonts w:cs="Arial"/>
          <w:i/>
          <w:sz w:val="22"/>
          <w:szCs w:val="22"/>
        </w:rPr>
      </w:pPr>
      <w:bookmarkStart w:id="234" w:name="_Toc44626812"/>
      <w:bookmarkStart w:id="235" w:name="_Toc70330356"/>
      <w:r w:rsidRPr="00982564">
        <w:rPr>
          <w:rFonts w:cs="Arial"/>
          <w:i/>
          <w:sz w:val="22"/>
          <w:szCs w:val="22"/>
        </w:rPr>
        <w:t>Conventions internationales en matière d’environnement et de social applicables au Projet</w:t>
      </w:r>
      <w:bookmarkEnd w:id="234"/>
      <w:bookmarkEnd w:id="235"/>
    </w:p>
    <w:p w14:paraId="189A04FF" w14:textId="77777777" w:rsidR="001C2F95" w:rsidRPr="00982564" w:rsidRDefault="001C2F95" w:rsidP="001C2F95">
      <w:pPr>
        <w:rPr>
          <w:rFonts w:cs="Arial"/>
          <w:sz w:val="22"/>
        </w:rPr>
      </w:pPr>
    </w:p>
    <w:p w14:paraId="67BE5678" w14:textId="77777777" w:rsidR="001C2F95" w:rsidRPr="00982564" w:rsidRDefault="001C2F95" w:rsidP="001C2F95">
      <w:pPr>
        <w:autoSpaceDE w:val="0"/>
        <w:autoSpaceDN w:val="0"/>
        <w:adjustRightInd w:val="0"/>
        <w:rPr>
          <w:rFonts w:cs="Arial"/>
          <w:sz w:val="22"/>
        </w:rPr>
      </w:pPr>
      <w:r w:rsidRPr="00982564">
        <w:rPr>
          <w:rFonts w:cs="Arial"/>
          <w:sz w:val="22"/>
        </w:rPr>
        <w:t xml:space="preserve">Au plan international, la RDC est signataire de plusieurs Conventions Internationales en matière d’environnement et aussi des aspects sociaux. Les accords multilatéraux en relation avec le projet sont repris dans le tableau </w:t>
      </w:r>
      <w:r w:rsidR="005823A4">
        <w:rPr>
          <w:rFonts w:cs="Arial"/>
          <w:sz w:val="22"/>
        </w:rPr>
        <w:t>10</w:t>
      </w:r>
      <w:r w:rsidRPr="00982564">
        <w:rPr>
          <w:rFonts w:cs="Arial"/>
          <w:sz w:val="22"/>
        </w:rPr>
        <w:t xml:space="preserve"> ci-dessous.</w:t>
      </w:r>
    </w:p>
    <w:p w14:paraId="0C081D67" w14:textId="77777777" w:rsidR="001C2F95" w:rsidRPr="00982564" w:rsidRDefault="001C2F95" w:rsidP="001C2F95">
      <w:pPr>
        <w:autoSpaceDE w:val="0"/>
        <w:autoSpaceDN w:val="0"/>
        <w:adjustRightInd w:val="0"/>
        <w:rPr>
          <w:rFonts w:cs="Arial"/>
          <w:sz w:val="22"/>
        </w:rPr>
      </w:pPr>
    </w:p>
    <w:p w14:paraId="2E5CA9CC" w14:textId="77777777" w:rsidR="001C2F95" w:rsidRPr="00982564" w:rsidRDefault="001C2F95" w:rsidP="001C2F95">
      <w:pPr>
        <w:spacing w:line="240" w:lineRule="auto"/>
        <w:jc w:val="left"/>
        <w:rPr>
          <w:rFonts w:cs="Arial"/>
          <w:sz w:val="22"/>
        </w:rPr>
      </w:pPr>
      <w:r w:rsidRPr="00982564">
        <w:rPr>
          <w:rFonts w:cs="Arial"/>
          <w:sz w:val="22"/>
        </w:rPr>
        <w:br w:type="page"/>
      </w:r>
    </w:p>
    <w:p w14:paraId="33EAC57C" w14:textId="77777777" w:rsidR="001C2F95" w:rsidRPr="00982564" w:rsidRDefault="001C2F95" w:rsidP="001C2F95">
      <w:pPr>
        <w:autoSpaceDE w:val="0"/>
        <w:autoSpaceDN w:val="0"/>
        <w:adjustRightInd w:val="0"/>
        <w:rPr>
          <w:rFonts w:cs="Arial"/>
          <w:sz w:val="22"/>
        </w:rPr>
        <w:sectPr w:rsidR="001C2F95" w:rsidRPr="00982564" w:rsidSect="004178C6">
          <w:pgSz w:w="11906" w:h="16838"/>
          <w:pgMar w:top="993" w:right="1440" w:bottom="993" w:left="1440" w:header="568" w:footer="82" w:gutter="0"/>
          <w:cols w:space="708"/>
          <w:docGrid w:linePitch="360"/>
        </w:sectPr>
      </w:pPr>
    </w:p>
    <w:p w14:paraId="50A6FFBC" w14:textId="77777777" w:rsidR="001C2F95" w:rsidRPr="00982564" w:rsidRDefault="001C2F95" w:rsidP="001C2F95">
      <w:pPr>
        <w:autoSpaceDE w:val="0"/>
        <w:autoSpaceDN w:val="0"/>
        <w:adjustRightInd w:val="0"/>
        <w:rPr>
          <w:rFonts w:cs="Arial"/>
          <w:sz w:val="22"/>
        </w:rPr>
      </w:pPr>
      <w:bookmarkStart w:id="236" w:name="_Toc70451656"/>
      <w:r w:rsidRPr="00982564">
        <w:rPr>
          <w:rFonts w:cs="Arial"/>
          <w:sz w:val="22"/>
        </w:rPr>
        <w:t xml:space="preserve">Tableau </w:t>
      </w:r>
      <w:r w:rsidRPr="00982564">
        <w:rPr>
          <w:rFonts w:cs="Arial"/>
          <w:sz w:val="22"/>
        </w:rPr>
        <w:fldChar w:fldCharType="begin"/>
      </w:r>
      <w:r w:rsidRPr="00982564">
        <w:rPr>
          <w:rFonts w:cs="Arial"/>
          <w:sz w:val="22"/>
        </w:rPr>
        <w:instrText xml:space="preserve"> SEQ Tableau \* ARABIC </w:instrText>
      </w:r>
      <w:r w:rsidRPr="00982564">
        <w:rPr>
          <w:rFonts w:cs="Arial"/>
          <w:sz w:val="22"/>
        </w:rPr>
        <w:fldChar w:fldCharType="separate"/>
      </w:r>
      <w:r w:rsidR="001260B3">
        <w:rPr>
          <w:rFonts w:cs="Arial"/>
          <w:noProof/>
          <w:sz w:val="22"/>
        </w:rPr>
        <w:t>10</w:t>
      </w:r>
      <w:r w:rsidRPr="00982564">
        <w:rPr>
          <w:rFonts w:cs="Arial"/>
          <w:sz w:val="22"/>
        </w:rPr>
        <w:fldChar w:fldCharType="end"/>
      </w:r>
      <w:r w:rsidRPr="00982564">
        <w:rPr>
          <w:rFonts w:cs="Arial"/>
          <w:sz w:val="22"/>
        </w:rPr>
        <w:t>.</w:t>
      </w:r>
      <w:r w:rsidRPr="00982564">
        <w:rPr>
          <w:rFonts w:cs="Arial"/>
          <w:bCs/>
          <w:sz w:val="22"/>
        </w:rPr>
        <w:t xml:space="preserve"> </w:t>
      </w:r>
      <w:r w:rsidRPr="00982564">
        <w:rPr>
          <w:rFonts w:cs="Arial"/>
          <w:sz w:val="22"/>
        </w:rPr>
        <w:t xml:space="preserve"> Conventions internationales signées par la RDC applicables au Projet</w:t>
      </w:r>
      <w:bookmarkEnd w:id="236"/>
    </w:p>
    <w:p w14:paraId="31ADB966" w14:textId="77777777" w:rsidR="001C2F95" w:rsidRPr="00982564" w:rsidRDefault="001C2F95" w:rsidP="001C2F95">
      <w:pPr>
        <w:autoSpaceDE w:val="0"/>
        <w:autoSpaceDN w:val="0"/>
        <w:adjustRightInd w:val="0"/>
        <w:rPr>
          <w:rFonts w:cs="Arial"/>
          <w:sz w:val="22"/>
        </w:rPr>
      </w:pPr>
    </w:p>
    <w:tbl>
      <w:tblPr>
        <w:tblW w:w="148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4301"/>
        <w:gridCol w:w="2353"/>
        <w:gridCol w:w="5499"/>
      </w:tblGrid>
      <w:tr w:rsidR="00BB0401" w:rsidRPr="001E4043" w14:paraId="56D7AF72" w14:textId="77777777" w:rsidTr="00730A4A">
        <w:tc>
          <w:tcPr>
            <w:tcW w:w="2694" w:type="dxa"/>
            <w:shd w:val="clear" w:color="auto" w:fill="auto"/>
          </w:tcPr>
          <w:p w14:paraId="70AE3952" w14:textId="77777777" w:rsidR="001C2F95" w:rsidRPr="00730A4A" w:rsidRDefault="001C2F95" w:rsidP="00730A4A">
            <w:pPr>
              <w:autoSpaceDE w:val="0"/>
              <w:autoSpaceDN w:val="0"/>
              <w:adjustRightInd w:val="0"/>
              <w:jc w:val="center"/>
              <w:rPr>
                <w:rFonts w:cs="Arial"/>
                <w:b/>
                <w:sz w:val="22"/>
              </w:rPr>
            </w:pPr>
          </w:p>
          <w:p w14:paraId="66D9F2A0" w14:textId="77777777" w:rsidR="001C2F95" w:rsidRPr="00730A4A" w:rsidRDefault="001C2F95" w:rsidP="00730A4A">
            <w:pPr>
              <w:autoSpaceDE w:val="0"/>
              <w:autoSpaceDN w:val="0"/>
              <w:adjustRightInd w:val="0"/>
              <w:jc w:val="center"/>
              <w:rPr>
                <w:rFonts w:cs="Arial"/>
                <w:b/>
                <w:sz w:val="22"/>
              </w:rPr>
            </w:pPr>
            <w:r w:rsidRPr="00730A4A">
              <w:rPr>
                <w:rFonts w:cs="Arial"/>
                <w:b/>
                <w:sz w:val="22"/>
              </w:rPr>
              <w:t>Nom de la Convention</w:t>
            </w:r>
          </w:p>
          <w:p w14:paraId="523DDD6F" w14:textId="77777777" w:rsidR="001C2F95" w:rsidRPr="00730A4A" w:rsidRDefault="001C2F95" w:rsidP="00730A4A">
            <w:pPr>
              <w:autoSpaceDE w:val="0"/>
              <w:autoSpaceDN w:val="0"/>
              <w:adjustRightInd w:val="0"/>
              <w:jc w:val="center"/>
              <w:rPr>
                <w:rFonts w:cs="Arial"/>
                <w:b/>
                <w:sz w:val="22"/>
              </w:rPr>
            </w:pPr>
          </w:p>
        </w:tc>
        <w:tc>
          <w:tcPr>
            <w:tcW w:w="4301" w:type="dxa"/>
            <w:shd w:val="clear" w:color="auto" w:fill="auto"/>
          </w:tcPr>
          <w:p w14:paraId="2A64C816" w14:textId="77777777" w:rsidR="001C2F95" w:rsidRPr="00730A4A" w:rsidRDefault="001C2F95" w:rsidP="00730A4A">
            <w:pPr>
              <w:autoSpaceDE w:val="0"/>
              <w:autoSpaceDN w:val="0"/>
              <w:adjustRightInd w:val="0"/>
              <w:jc w:val="center"/>
              <w:rPr>
                <w:rFonts w:cs="Arial"/>
                <w:b/>
                <w:sz w:val="22"/>
              </w:rPr>
            </w:pPr>
          </w:p>
          <w:p w14:paraId="775CC8E2" w14:textId="77777777" w:rsidR="001C2F95" w:rsidRPr="00730A4A" w:rsidRDefault="001C2F95" w:rsidP="00730A4A">
            <w:pPr>
              <w:autoSpaceDE w:val="0"/>
              <w:autoSpaceDN w:val="0"/>
              <w:adjustRightInd w:val="0"/>
              <w:jc w:val="center"/>
              <w:rPr>
                <w:rFonts w:cs="Arial"/>
                <w:b/>
                <w:sz w:val="22"/>
              </w:rPr>
            </w:pPr>
            <w:r w:rsidRPr="00730A4A">
              <w:rPr>
                <w:rFonts w:cs="Arial"/>
                <w:b/>
                <w:sz w:val="22"/>
              </w:rPr>
              <w:t>Objet</w:t>
            </w:r>
          </w:p>
        </w:tc>
        <w:tc>
          <w:tcPr>
            <w:tcW w:w="2353" w:type="dxa"/>
            <w:shd w:val="clear" w:color="auto" w:fill="auto"/>
          </w:tcPr>
          <w:p w14:paraId="3D937E96" w14:textId="77777777" w:rsidR="001C2F95" w:rsidRPr="00730A4A" w:rsidRDefault="001C2F95" w:rsidP="00730A4A">
            <w:pPr>
              <w:autoSpaceDE w:val="0"/>
              <w:autoSpaceDN w:val="0"/>
              <w:adjustRightInd w:val="0"/>
              <w:ind w:firstLine="708"/>
              <w:jc w:val="center"/>
              <w:rPr>
                <w:rFonts w:cs="Arial"/>
                <w:b/>
                <w:sz w:val="22"/>
              </w:rPr>
            </w:pPr>
          </w:p>
          <w:p w14:paraId="5E6C1D54" w14:textId="77777777" w:rsidR="001C2F95" w:rsidRPr="00730A4A" w:rsidRDefault="001C2F95" w:rsidP="00730A4A">
            <w:pPr>
              <w:autoSpaceDE w:val="0"/>
              <w:autoSpaceDN w:val="0"/>
              <w:adjustRightInd w:val="0"/>
              <w:jc w:val="center"/>
              <w:rPr>
                <w:rFonts w:cs="Arial"/>
                <w:b/>
                <w:sz w:val="22"/>
              </w:rPr>
            </w:pPr>
            <w:r w:rsidRPr="00730A4A">
              <w:rPr>
                <w:rFonts w:cs="Arial"/>
                <w:b/>
                <w:sz w:val="22"/>
              </w:rPr>
              <w:t>Pays /ville et date d’adoption</w:t>
            </w:r>
          </w:p>
        </w:tc>
        <w:tc>
          <w:tcPr>
            <w:tcW w:w="5499" w:type="dxa"/>
            <w:shd w:val="clear" w:color="auto" w:fill="auto"/>
          </w:tcPr>
          <w:p w14:paraId="74ADFB60" w14:textId="77777777" w:rsidR="001C2F95" w:rsidRPr="00730A4A" w:rsidRDefault="001C2F95" w:rsidP="00730A4A">
            <w:pPr>
              <w:autoSpaceDE w:val="0"/>
              <w:autoSpaceDN w:val="0"/>
              <w:adjustRightInd w:val="0"/>
              <w:jc w:val="center"/>
              <w:rPr>
                <w:rFonts w:cs="Arial"/>
                <w:b/>
                <w:sz w:val="22"/>
              </w:rPr>
            </w:pPr>
          </w:p>
          <w:p w14:paraId="5191863D" w14:textId="77777777" w:rsidR="001C2F95" w:rsidRPr="00730A4A" w:rsidRDefault="001C2F95" w:rsidP="00730A4A">
            <w:pPr>
              <w:autoSpaceDE w:val="0"/>
              <w:autoSpaceDN w:val="0"/>
              <w:adjustRightInd w:val="0"/>
              <w:jc w:val="center"/>
              <w:rPr>
                <w:rFonts w:cs="Arial"/>
                <w:b/>
                <w:sz w:val="22"/>
              </w:rPr>
            </w:pPr>
            <w:r w:rsidRPr="00730A4A">
              <w:rPr>
                <w:rFonts w:cs="Arial"/>
                <w:b/>
                <w:sz w:val="22"/>
              </w:rPr>
              <w:t>Pertinence pour le PNDA</w:t>
            </w:r>
          </w:p>
        </w:tc>
      </w:tr>
      <w:tr w:rsidR="00BB0401" w:rsidRPr="001E4043" w14:paraId="04865BDF" w14:textId="77777777" w:rsidTr="00730A4A">
        <w:tc>
          <w:tcPr>
            <w:tcW w:w="2694" w:type="dxa"/>
            <w:shd w:val="clear" w:color="auto" w:fill="auto"/>
          </w:tcPr>
          <w:p w14:paraId="2B7287B9" w14:textId="77777777" w:rsidR="001C2F95" w:rsidRPr="00730A4A" w:rsidRDefault="001C2F95" w:rsidP="00730A4A">
            <w:pPr>
              <w:autoSpaceDE w:val="0"/>
              <w:autoSpaceDN w:val="0"/>
              <w:adjustRightInd w:val="0"/>
              <w:jc w:val="left"/>
              <w:rPr>
                <w:rFonts w:cs="Arial"/>
                <w:sz w:val="22"/>
              </w:rPr>
            </w:pPr>
            <w:r w:rsidRPr="00730A4A">
              <w:rPr>
                <w:rFonts w:cs="Arial"/>
                <w:sz w:val="22"/>
              </w:rPr>
              <w:t>Convention relative à la conservation de la faune et de la flore à l’état naturel.</w:t>
            </w:r>
          </w:p>
        </w:tc>
        <w:tc>
          <w:tcPr>
            <w:tcW w:w="4301" w:type="dxa"/>
            <w:shd w:val="clear" w:color="auto" w:fill="auto"/>
          </w:tcPr>
          <w:p w14:paraId="63CD9FD8" w14:textId="77777777" w:rsidR="001C2F95" w:rsidRPr="00730A4A" w:rsidRDefault="001C2F95" w:rsidP="00730A4A">
            <w:pPr>
              <w:autoSpaceDE w:val="0"/>
              <w:autoSpaceDN w:val="0"/>
              <w:adjustRightInd w:val="0"/>
              <w:jc w:val="left"/>
              <w:rPr>
                <w:rFonts w:cs="Arial"/>
                <w:sz w:val="22"/>
              </w:rPr>
            </w:pPr>
          </w:p>
          <w:p w14:paraId="627A00ED" w14:textId="77777777" w:rsidR="001C2F95" w:rsidRPr="00730A4A" w:rsidRDefault="001C2F95" w:rsidP="00730A4A">
            <w:pPr>
              <w:autoSpaceDE w:val="0"/>
              <w:autoSpaceDN w:val="0"/>
              <w:adjustRightInd w:val="0"/>
              <w:jc w:val="left"/>
              <w:rPr>
                <w:rFonts w:cs="Arial"/>
                <w:sz w:val="22"/>
              </w:rPr>
            </w:pPr>
            <w:r w:rsidRPr="00730A4A">
              <w:rPr>
                <w:rFonts w:cs="Arial"/>
                <w:sz w:val="22"/>
              </w:rPr>
              <w:t>Etablir dans les territoires des Etats parties, des parcs nationaux et des réserves naturelles intégrales (préservation de la faune et de la flore à l'état naturel)</w:t>
            </w:r>
          </w:p>
          <w:p w14:paraId="7D826DAB" w14:textId="77777777" w:rsidR="001C2F95" w:rsidRPr="00730A4A" w:rsidRDefault="001C2F95" w:rsidP="00730A4A">
            <w:pPr>
              <w:autoSpaceDE w:val="0"/>
              <w:autoSpaceDN w:val="0"/>
              <w:adjustRightInd w:val="0"/>
              <w:jc w:val="left"/>
              <w:rPr>
                <w:rFonts w:cs="Arial"/>
                <w:sz w:val="22"/>
              </w:rPr>
            </w:pPr>
          </w:p>
        </w:tc>
        <w:tc>
          <w:tcPr>
            <w:tcW w:w="2353" w:type="dxa"/>
            <w:tcBorders>
              <w:top w:val="nil"/>
              <w:left w:val="nil"/>
              <w:bottom w:val="single" w:sz="4" w:space="0" w:color="auto"/>
              <w:right w:val="single" w:sz="4" w:space="0" w:color="auto"/>
            </w:tcBorders>
            <w:shd w:val="clear" w:color="auto" w:fill="auto"/>
            <w:vAlign w:val="center"/>
          </w:tcPr>
          <w:p w14:paraId="0FB636B4" w14:textId="77777777" w:rsidR="001C2F95" w:rsidRPr="00730A4A" w:rsidRDefault="001C2F95" w:rsidP="00730A4A">
            <w:pPr>
              <w:autoSpaceDE w:val="0"/>
              <w:autoSpaceDN w:val="0"/>
              <w:adjustRightInd w:val="0"/>
              <w:jc w:val="left"/>
              <w:rPr>
                <w:rFonts w:cs="Arial"/>
                <w:sz w:val="22"/>
              </w:rPr>
            </w:pPr>
            <w:r w:rsidRPr="00730A4A">
              <w:rPr>
                <w:rFonts w:cs="Arial"/>
                <w:sz w:val="22"/>
              </w:rPr>
              <w:t>Londres (Angleterre), 14 janvier 1936</w:t>
            </w:r>
          </w:p>
        </w:tc>
        <w:tc>
          <w:tcPr>
            <w:tcW w:w="5499" w:type="dxa"/>
            <w:tcBorders>
              <w:top w:val="nil"/>
              <w:left w:val="nil"/>
              <w:bottom w:val="single" w:sz="4" w:space="0" w:color="auto"/>
              <w:right w:val="single" w:sz="4" w:space="0" w:color="auto"/>
            </w:tcBorders>
            <w:shd w:val="clear" w:color="auto" w:fill="auto"/>
          </w:tcPr>
          <w:p w14:paraId="5C5D5B59" w14:textId="77777777" w:rsidR="001C2F95" w:rsidRPr="00730A4A" w:rsidRDefault="001C2F95" w:rsidP="00730A4A">
            <w:pPr>
              <w:autoSpaceDE w:val="0"/>
              <w:autoSpaceDN w:val="0"/>
              <w:adjustRightInd w:val="0"/>
              <w:jc w:val="left"/>
              <w:rPr>
                <w:rFonts w:cs="Arial"/>
                <w:sz w:val="22"/>
              </w:rPr>
            </w:pPr>
            <w:r w:rsidRPr="00730A4A">
              <w:rPr>
                <w:rFonts w:cs="Arial"/>
                <w:color w:val="000000"/>
                <w:sz w:val="22"/>
              </w:rPr>
              <w:t>Cette Convention est pertinente pour le PNDA dans le sens que les activités du Programme risque d’empiéter les aires protégées (le Parc National de Virunga (PNVi) dans le Nord-Kivu et le Domaine de chasse de Bushimaie dans le Kasaï Central vers Luiza et le Parc Salonga dans le Kasaï) et des forêts primaires dans les provinces concernées par le PNDA. Le projet est interpelé par la convention et devra veiller à leur protection.</w:t>
            </w:r>
          </w:p>
        </w:tc>
      </w:tr>
      <w:tr w:rsidR="00BB0401" w:rsidRPr="001E4043" w14:paraId="10F1B9C8" w14:textId="77777777" w:rsidTr="00730A4A">
        <w:tc>
          <w:tcPr>
            <w:tcW w:w="2694" w:type="dxa"/>
            <w:shd w:val="clear" w:color="auto" w:fill="auto"/>
          </w:tcPr>
          <w:p w14:paraId="317F3B20" w14:textId="77777777" w:rsidR="001C2F95" w:rsidRPr="00730A4A" w:rsidRDefault="001C2F95" w:rsidP="00730A4A">
            <w:pPr>
              <w:autoSpaceDE w:val="0"/>
              <w:autoSpaceDN w:val="0"/>
              <w:adjustRightInd w:val="0"/>
              <w:jc w:val="left"/>
              <w:rPr>
                <w:rFonts w:cs="Arial"/>
                <w:sz w:val="22"/>
              </w:rPr>
            </w:pPr>
            <w:r w:rsidRPr="00730A4A">
              <w:rPr>
                <w:rFonts w:cs="Arial"/>
                <w:sz w:val="22"/>
              </w:rPr>
              <w:t>Convention internationale pour la protection des végétaux.</w:t>
            </w:r>
          </w:p>
        </w:tc>
        <w:tc>
          <w:tcPr>
            <w:tcW w:w="4301" w:type="dxa"/>
            <w:shd w:val="clear" w:color="auto" w:fill="auto"/>
          </w:tcPr>
          <w:p w14:paraId="790C0E8B" w14:textId="77777777" w:rsidR="001C2F95" w:rsidRPr="00730A4A" w:rsidRDefault="001C2F95" w:rsidP="00730A4A">
            <w:pPr>
              <w:autoSpaceDE w:val="0"/>
              <w:autoSpaceDN w:val="0"/>
              <w:adjustRightInd w:val="0"/>
              <w:jc w:val="left"/>
              <w:rPr>
                <w:rFonts w:cs="Arial"/>
                <w:sz w:val="22"/>
              </w:rPr>
            </w:pPr>
            <w:r w:rsidRPr="00730A4A">
              <w:rPr>
                <w:rFonts w:cs="Arial"/>
                <w:sz w:val="22"/>
              </w:rPr>
              <w:t>Protection des plantes cultivées et sauvages en prévenant l'introduction et la dissémination d'organismes nuisibles</w:t>
            </w:r>
          </w:p>
        </w:tc>
        <w:tc>
          <w:tcPr>
            <w:tcW w:w="2353" w:type="dxa"/>
            <w:tcBorders>
              <w:top w:val="nil"/>
              <w:left w:val="nil"/>
              <w:bottom w:val="single" w:sz="4" w:space="0" w:color="auto"/>
              <w:right w:val="single" w:sz="4" w:space="0" w:color="auto"/>
            </w:tcBorders>
            <w:shd w:val="clear" w:color="auto" w:fill="auto"/>
            <w:vAlign w:val="center"/>
          </w:tcPr>
          <w:p w14:paraId="5E96D51E" w14:textId="77777777" w:rsidR="001C2F95" w:rsidRPr="00730A4A" w:rsidRDefault="001C2F95" w:rsidP="00730A4A">
            <w:pPr>
              <w:autoSpaceDE w:val="0"/>
              <w:autoSpaceDN w:val="0"/>
              <w:adjustRightInd w:val="0"/>
              <w:jc w:val="left"/>
              <w:rPr>
                <w:rFonts w:cs="Arial"/>
                <w:sz w:val="22"/>
              </w:rPr>
            </w:pPr>
            <w:r w:rsidRPr="00730A4A">
              <w:rPr>
                <w:rFonts w:cs="Arial"/>
                <w:sz w:val="22"/>
              </w:rPr>
              <w:t>Rome, (Italie), 6 décembre 1951.</w:t>
            </w:r>
          </w:p>
        </w:tc>
        <w:tc>
          <w:tcPr>
            <w:tcW w:w="5499" w:type="dxa"/>
            <w:tcBorders>
              <w:top w:val="nil"/>
              <w:left w:val="nil"/>
              <w:bottom w:val="single" w:sz="4" w:space="0" w:color="auto"/>
              <w:right w:val="single" w:sz="4" w:space="0" w:color="auto"/>
            </w:tcBorders>
            <w:shd w:val="clear" w:color="auto" w:fill="auto"/>
          </w:tcPr>
          <w:p w14:paraId="5B7ACC05" w14:textId="77777777" w:rsidR="001C2F95" w:rsidRPr="00730A4A" w:rsidRDefault="001C2F95" w:rsidP="00730A4A">
            <w:pPr>
              <w:autoSpaceDE w:val="0"/>
              <w:autoSpaceDN w:val="0"/>
              <w:adjustRightInd w:val="0"/>
              <w:jc w:val="left"/>
              <w:rPr>
                <w:rFonts w:cs="Arial"/>
                <w:sz w:val="22"/>
              </w:rPr>
            </w:pPr>
            <w:r w:rsidRPr="00730A4A">
              <w:rPr>
                <w:rFonts w:cs="Arial"/>
                <w:sz w:val="22"/>
              </w:rPr>
              <w:t>Étant donné que le PNDA est un programme agricole, cette Convention internationale est pertinente pour le PNDA dans le sens qu’elle lutte contre les ennemis des végétaux, produits végétaux et contre leur diffusion et spécialement leur introduction au-delà des frontières nationales, Le projet est interpelé par la convention et devra veiller à leur protection.</w:t>
            </w:r>
          </w:p>
        </w:tc>
      </w:tr>
      <w:tr w:rsidR="00BB0401" w:rsidRPr="001E4043" w14:paraId="3CB0E164" w14:textId="77777777" w:rsidTr="00730A4A">
        <w:tc>
          <w:tcPr>
            <w:tcW w:w="2694" w:type="dxa"/>
            <w:shd w:val="clear" w:color="auto" w:fill="auto"/>
          </w:tcPr>
          <w:p w14:paraId="2470D898" w14:textId="77777777" w:rsidR="001C2F95" w:rsidRPr="00730A4A" w:rsidRDefault="001C2F95" w:rsidP="00730A4A">
            <w:pPr>
              <w:autoSpaceDE w:val="0"/>
              <w:autoSpaceDN w:val="0"/>
              <w:adjustRightInd w:val="0"/>
              <w:rPr>
                <w:rFonts w:cs="Arial"/>
                <w:sz w:val="22"/>
              </w:rPr>
            </w:pPr>
            <w:r w:rsidRPr="00730A4A">
              <w:rPr>
                <w:rFonts w:cs="Arial"/>
                <w:sz w:val="22"/>
              </w:rPr>
              <w:t>Convention phytosanitaire pour l’Afrique au sud du Sahara</w:t>
            </w:r>
          </w:p>
        </w:tc>
        <w:tc>
          <w:tcPr>
            <w:tcW w:w="4301" w:type="dxa"/>
            <w:shd w:val="clear" w:color="auto" w:fill="auto"/>
          </w:tcPr>
          <w:p w14:paraId="1831F5C5" w14:textId="77777777" w:rsidR="001C2F95" w:rsidRPr="00730A4A" w:rsidRDefault="001C2F95" w:rsidP="00730A4A">
            <w:pPr>
              <w:autoSpaceDE w:val="0"/>
              <w:autoSpaceDN w:val="0"/>
              <w:adjustRightInd w:val="0"/>
              <w:jc w:val="left"/>
              <w:rPr>
                <w:rFonts w:cs="Arial"/>
                <w:sz w:val="22"/>
              </w:rPr>
            </w:pPr>
            <w:r w:rsidRPr="00730A4A">
              <w:rPr>
                <w:rFonts w:cs="Arial"/>
                <w:sz w:val="22"/>
              </w:rPr>
              <w:t xml:space="preserve">Lutte contre les maladies des plantes qui sévissent en Afrique sub-saharienne, de les éliminer et d’empêcher des nouvelles maladies d’être introduite en Afrique, </w:t>
            </w:r>
          </w:p>
        </w:tc>
        <w:tc>
          <w:tcPr>
            <w:tcW w:w="2353" w:type="dxa"/>
            <w:shd w:val="clear" w:color="auto" w:fill="auto"/>
          </w:tcPr>
          <w:p w14:paraId="4FAE4308" w14:textId="77777777" w:rsidR="001C2F95" w:rsidRPr="00730A4A" w:rsidRDefault="001C2F95" w:rsidP="00730A4A">
            <w:pPr>
              <w:autoSpaceDE w:val="0"/>
              <w:autoSpaceDN w:val="0"/>
              <w:adjustRightInd w:val="0"/>
              <w:jc w:val="left"/>
              <w:rPr>
                <w:rFonts w:cs="Arial"/>
                <w:sz w:val="22"/>
              </w:rPr>
            </w:pPr>
            <w:r w:rsidRPr="00730A4A">
              <w:rPr>
                <w:rFonts w:cs="Arial"/>
                <w:sz w:val="22"/>
              </w:rPr>
              <w:t>Angleterre Londres, 29 juillet 1954.</w:t>
            </w:r>
          </w:p>
        </w:tc>
        <w:tc>
          <w:tcPr>
            <w:tcW w:w="5499" w:type="dxa"/>
            <w:shd w:val="clear" w:color="auto" w:fill="auto"/>
          </w:tcPr>
          <w:p w14:paraId="6B4E7A26" w14:textId="77777777" w:rsidR="001C2F95" w:rsidRPr="00730A4A" w:rsidRDefault="001C2F95" w:rsidP="00730A4A">
            <w:pPr>
              <w:autoSpaceDE w:val="0"/>
              <w:autoSpaceDN w:val="0"/>
              <w:adjustRightInd w:val="0"/>
              <w:rPr>
                <w:rFonts w:cs="Arial"/>
                <w:sz w:val="22"/>
              </w:rPr>
            </w:pPr>
            <w:r w:rsidRPr="00730A4A">
              <w:rPr>
                <w:rFonts w:cs="Arial"/>
                <w:sz w:val="22"/>
              </w:rPr>
              <w:t>Cette Convention est pertinente pour le PNDA dans le sens qu’elle permet de lutte contre les maladies des plantes et permet aux exploitants agricoles ainsi à accroitre l’unité économique et alimentaire des plantes.</w:t>
            </w:r>
          </w:p>
        </w:tc>
      </w:tr>
      <w:tr w:rsidR="00BB0401" w:rsidRPr="001E4043" w14:paraId="259E3B74"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68C38E38" w14:textId="77777777" w:rsidR="001C2F95" w:rsidRPr="00730A4A" w:rsidRDefault="001C2F95" w:rsidP="00730A4A">
            <w:pPr>
              <w:autoSpaceDE w:val="0"/>
              <w:autoSpaceDN w:val="0"/>
              <w:adjustRightInd w:val="0"/>
              <w:jc w:val="left"/>
              <w:rPr>
                <w:rFonts w:cs="Arial"/>
                <w:sz w:val="22"/>
              </w:rPr>
            </w:pPr>
            <w:r w:rsidRPr="00730A4A">
              <w:rPr>
                <w:rFonts w:cs="Arial"/>
                <w:sz w:val="22"/>
              </w:rPr>
              <w:t>Accord de coopération concernant la quarantaine et la protection des plantes contre les parasites et les maladies</w:t>
            </w:r>
          </w:p>
        </w:tc>
        <w:tc>
          <w:tcPr>
            <w:tcW w:w="4301" w:type="dxa"/>
            <w:tcBorders>
              <w:top w:val="nil"/>
              <w:left w:val="nil"/>
              <w:bottom w:val="single" w:sz="4" w:space="0" w:color="auto"/>
              <w:right w:val="single" w:sz="4" w:space="0" w:color="auto"/>
            </w:tcBorders>
            <w:shd w:val="clear" w:color="auto" w:fill="auto"/>
            <w:vAlign w:val="center"/>
          </w:tcPr>
          <w:p w14:paraId="3133F2D4" w14:textId="77777777" w:rsidR="001C2F95" w:rsidRPr="00730A4A" w:rsidRDefault="001C2F95" w:rsidP="00730A4A">
            <w:pPr>
              <w:autoSpaceDE w:val="0"/>
              <w:autoSpaceDN w:val="0"/>
              <w:adjustRightInd w:val="0"/>
              <w:rPr>
                <w:rFonts w:cs="Arial"/>
                <w:sz w:val="22"/>
              </w:rPr>
            </w:pPr>
            <w:r w:rsidRPr="00730A4A">
              <w:rPr>
                <w:rFonts w:cs="Arial"/>
                <w:sz w:val="22"/>
              </w:rPr>
              <w:t>Mise en quarantaine et la protection des plantes contre les parasites et les maladies</w:t>
            </w:r>
          </w:p>
        </w:tc>
        <w:tc>
          <w:tcPr>
            <w:tcW w:w="2353" w:type="dxa"/>
            <w:tcBorders>
              <w:top w:val="nil"/>
              <w:left w:val="nil"/>
              <w:bottom w:val="single" w:sz="4" w:space="0" w:color="auto"/>
              <w:right w:val="single" w:sz="4" w:space="0" w:color="auto"/>
            </w:tcBorders>
            <w:shd w:val="clear" w:color="auto" w:fill="auto"/>
            <w:vAlign w:val="center"/>
          </w:tcPr>
          <w:p w14:paraId="30F78BDA" w14:textId="77777777" w:rsidR="001C2F95" w:rsidRPr="00730A4A" w:rsidRDefault="001C2F95" w:rsidP="00730A4A">
            <w:pPr>
              <w:autoSpaceDE w:val="0"/>
              <w:autoSpaceDN w:val="0"/>
              <w:adjustRightInd w:val="0"/>
              <w:jc w:val="left"/>
              <w:rPr>
                <w:rFonts w:cs="Arial"/>
                <w:sz w:val="22"/>
              </w:rPr>
            </w:pPr>
            <w:r w:rsidRPr="00730A4A">
              <w:rPr>
                <w:rFonts w:cs="Arial"/>
                <w:sz w:val="22"/>
              </w:rPr>
              <w:t>Sofia (Bulgarie), 14 décembre 1959.</w:t>
            </w:r>
          </w:p>
        </w:tc>
        <w:tc>
          <w:tcPr>
            <w:tcW w:w="5499" w:type="dxa"/>
            <w:shd w:val="clear" w:color="auto" w:fill="auto"/>
          </w:tcPr>
          <w:p w14:paraId="23BD060F" w14:textId="77777777" w:rsidR="001C2F95" w:rsidRPr="00730A4A" w:rsidRDefault="001C2F95" w:rsidP="00730A4A">
            <w:pPr>
              <w:autoSpaceDE w:val="0"/>
              <w:autoSpaceDN w:val="0"/>
              <w:adjustRightInd w:val="0"/>
              <w:rPr>
                <w:rFonts w:cs="Arial"/>
                <w:sz w:val="22"/>
              </w:rPr>
            </w:pPr>
            <w:r w:rsidRPr="00730A4A">
              <w:rPr>
                <w:rFonts w:cs="Arial"/>
                <w:sz w:val="22"/>
              </w:rPr>
              <w:t>Cet Accord est pertinent pour le PNDA dans le sens qu’il permet la mise en quarantaine et la protection des plantes contre les parasites et les maladies.</w:t>
            </w:r>
          </w:p>
        </w:tc>
      </w:tr>
      <w:tr w:rsidR="00BB0401" w:rsidRPr="001E4043" w14:paraId="7C6D015E"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425B87FD" w14:textId="77777777" w:rsidR="001C2F95" w:rsidRPr="00730A4A" w:rsidRDefault="001C2F95" w:rsidP="00730A4A">
            <w:pPr>
              <w:autoSpaceDE w:val="0"/>
              <w:autoSpaceDN w:val="0"/>
              <w:adjustRightInd w:val="0"/>
              <w:jc w:val="left"/>
              <w:rPr>
                <w:rFonts w:cs="Arial"/>
                <w:sz w:val="22"/>
              </w:rPr>
            </w:pPr>
            <w:r w:rsidRPr="00730A4A">
              <w:rPr>
                <w:rFonts w:cs="Arial"/>
                <w:sz w:val="22"/>
              </w:rPr>
              <w:t>Convention Africaine sur la conservation de la nature et des ressources naturelles.</w:t>
            </w:r>
          </w:p>
        </w:tc>
        <w:tc>
          <w:tcPr>
            <w:tcW w:w="4301" w:type="dxa"/>
            <w:tcBorders>
              <w:top w:val="nil"/>
              <w:left w:val="nil"/>
              <w:bottom w:val="single" w:sz="4" w:space="0" w:color="auto"/>
              <w:right w:val="single" w:sz="4" w:space="0" w:color="auto"/>
            </w:tcBorders>
            <w:shd w:val="clear" w:color="auto" w:fill="auto"/>
            <w:vAlign w:val="center"/>
          </w:tcPr>
          <w:p w14:paraId="4C7CCD40" w14:textId="77777777" w:rsidR="001C2F95" w:rsidRPr="00730A4A" w:rsidRDefault="001C2F95" w:rsidP="00730A4A">
            <w:pPr>
              <w:autoSpaceDE w:val="0"/>
              <w:autoSpaceDN w:val="0"/>
              <w:adjustRightInd w:val="0"/>
              <w:jc w:val="left"/>
              <w:rPr>
                <w:rFonts w:cs="Arial"/>
                <w:sz w:val="22"/>
              </w:rPr>
            </w:pPr>
            <w:r w:rsidRPr="00730A4A">
              <w:rPr>
                <w:rFonts w:cs="Arial"/>
                <w:sz w:val="22"/>
              </w:rPr>
              <w:t>Cette convention vise à prendre les mesures nécessaires pour assurer la conservation, l’utilisation et le développement des sols des eaux, de la flore et des ressources en faune en se fondant sur les principes scientifiques et en prenant en considération les intérêts de la population</w:t>
            </w:r>
          </w:p>
        </w:tc>
        <w:tc>
          <w:tcPr>
            <w:tcW w:w="2353" w:type="dxa"/>
            <w:tcBorders>
              <w:top w:val="nil"/>
              <w:left w:val="nil"/>
              <w:bottom w:val="single" w:sz="4" w:space="0" w:color="auto"/>
              <w:right w:val="single" w:sz="4" w:space="0" w:color="auto"/>
            </w:tcBorders>
            <w:shd w:val="clear" w:color="auto" w:fill="auto"/>
            <w:vAlign w:val="center"/>
          </w:tcPr>
          <w:p w14:paraId="6ADAF002" w14:textId="77777777" w:rsidR="001C2F95" w:rsidRPr="00730A4A" w:rsidRDefault="001C2F95" w:rsidP="00730A4A">
            <w:pPr>
              <w:autoSpaceDE w:val="0"/>
              <w:autoSpaceDN w:val="0"/>
              <w:adjustRightInd w:val="0"/>
              <w:jc w:val="left"/>
              <w:rPr>
                <w:rFonts w:cs="Arial"/>
                <w:sz w:val="22"/>
              </w:rPr>
            </w:pPr>
            <w:r w:rsidRPr="00730A4A">
              <w:rPr>
                <w:rFonts w:cs="Arial"/>
                <w:sz w:val="22"/>
              </w:rPr>
              <w:t>Alger, (Algérie), 15 septembre 1968</w:t>
            </w:r>
          </w:p>
        </w:tc>
        <w:tc>
          <w:tcPr>
            <w:tcW w:w="5499" w:type="dxa"/>
            <w:shd w:val="clear" w:color="auto" w:fill="auto"/>
          </w:tcPr>
          <w:p w14:paraId="6C365BCF" w14:textId="77777777" w:rsidR="001C2F95" w:rsidRPr="00730A4A" w:rsidRDefault="001C2F95" w:rsidP="00730A4A">
            <w:pPr>
              <w:autoSpaceDE w:val="0"/>
              <w:autoSpaceDN w:val="0"/>
              <w:adjustRightInd w:val="0"/>
              <w:rPr>
                <w:rFonts w:cs="Arial"/>
                <w:sz w:val="22"/>
              </w:rPr>
            </w:pPr>
            <w:r w:rsidRPr="00730A4A">
              <w:rPr>
                <w:rFonts w:cs="Arial"/>
                <w:sz w:val="22"/>
              </w:rPr>
              <w:t>Cette Convention est pertinente pour le PNDA dans le sens qu’elle assure la protection de l’écosystème des provinces concernées par le PNDA</w:t>
            </w:r>
          </w:p>
        </w:tc>
      </w:tr>
      <w:tr w:rsidR="00BB0401" w:rsidRPr="001E4043" w14:paraId="544D798D"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7CDA6603" w14:textId="77777777" w:rsidR="001C2F95" w:rsidRPr="00730A4A" w:rsidRDefault="001C2F95" w:rsidP="00730A4A">
            <w:pPr>
              <w:autoSpaceDE w:val="0"/>
              <w:autoSpaceDN w:val="0"/>
              <w:adjustRightInd w:val="0"/>
              <w:jc w:val="left"/>
              <w:rPr>
                <w:rFonts w:cs="Arial"/>
                <w:sz w:val="22"/>
              </w:rPr>
            </w:pPr>
            <w:r w:rsidRPr="00730A4A">
              <w:rPr>
                <w:rFonts w:cs="Arial"/>
                <w:sz w:val="22"/>
              </w:rPr>
              <w:t>Convention relative aux zones humides d’importance internationale particulièrement comme habitats de la sauvagine ou (Ramsar).</w:t>
            </w:r>
          </w:p>
        </w:tc>
        <w:tc>
          <w:tcPr>
            <w:tcW w:w="4301" w:type="dxa"/>
            <w:tcBorders>
              <w:top w:val="nil"/>
              <w:left w:val="nil"/>
              <w:bottom w:val="single" w:sz="4" w:space="0" w:color="auto"/>
              <w:right w:val="single" w:sz="4" w:space="0" w:color="auto"/>
            </w:tcBorders>
            <w:shd w:val="clear" w:color="auto" w:fill="auto"/>
            <w:vAlign w:val="center"/>
          </w:tcPr>
          <w:p w14:paraId="61886C76" w14:textId="77777777" w:rsidR="001C2F95" w:rsidRPr="00730A4A" w:rsidRDefault="001C2F95" w:rsidP="00730A4A">
            <w:pPr>
              <w:autoSpaceDE w:val="0"/>
              <w:autoSpaceDN w:val="0"/>
              <w:adjustRightInd w:val="0"/>
              <w:jc w:val="left"/>
              <w:rPr>
                <w:rFonts w:cs="Arial"/>
                <w:sz w:val="22"/>
              </w:rPr>
            </w:pPr>
            <w:r w:rsidRPr="00730A4A">
              <w:rPr>
                <w:rFonts w:cs="Arial"/>
                <w:sz w:val="22"/>
              </w:rPr>
              <w:t>Assurer la conservation et l’utilisation rationnelle (maintien des caractéristiques écologiques) des zones humides et de leurs ressources</w:t>
            </w:r>
          </w:p>
        </w:tc>
        <w:tc>
          <w:tcPr>
            <w:tcW w:w="2353" w:type="dxa"/>
            <w:tcBorders>
              <w:top w:val="nil"/>
              <w:left w:val="nil"/>
              <w:bottom w:val="single" w:sz="4" w:space="0" w:color="auto"/>
              <w:right w:val="single" w:sz="4" w:space="0" w:color="auto"/>
            </w:tcBorders>
            <w:shd w:val="clear" w:color="auto" w:fill="auto"/>
            <w:vAlign w:val="center"/>
          </w:tcPr>
          <w:p w14:paraId="49B5CFF2" w14:textId="77777777" w:rsidR="001C2F95" w:rsidRPr="00730A4A" w:rsidRDefault="001C2F95" w:rsidP="00730A4A">
            <w:pPr>
              <w:autoSpaceDE w:val="0"/>
              <w:autoSpaceDN w:val="0"/>
              <w:adjustRightInd w:val="0"/>
              <w:jc w:val="left"/>
              <w:rPr>
                <w:rFonts w:cs="Arial"/>
                <w:sz w:val="22"/>
              </w:rPr>
            </w:pPr>
            <w:r w:rsidRPr="00730A4A">
              <w:rPr>
                <w:rFonts w:cs="Arial"/>
                <w:sz w:val="22"/>
              </w:rPr>
              <w:t>Ramsar (Iran), 2 février 1971</w:t>
            </w:r>
          </w:p>
        </w:tc>
        <w:tc>
          <w:tcPr>
            <w:tcW w:w="5499" w:type="dxa"/>
            <w:shd w:val="clear" w:color="auto" w:fill="auto"/>
          </w:tcPr>
          <w:p w14:paraId="5EF75206" w14:textId="77777777" w:rsidR="001C2F95" w:rsidRPr="00730A4A" w:rsidRDefault="001C2F95" w:rsidP="00730A4A">
            <w:pPr>
              <w:autoSpaceDE w:val="0"/>
              <w:autoSpaceDN w:val="0"/>
              <w:adjustRightInd w:val="0"/>
              <w:rPr>
                <w:rFonts w:cs="Arial"/>
                <w:sz w:val="22"/>
              </w:rPr>
            </w:pPr>
          </w:p>
          <w:p w14:paraId="5112AB96" w14:textId="77777777" w:rsidR="001C2F95" w:rsidRPr="00730A4A" w:rsidRDefault="001C2F95" w:rsidP="00971FD2">
            <w:pPr>
              <w:rPr>
                <w:rFonts w:cs="Arial"/>
                <w:sz w:val="22"/>
              </w:rPr>
            </w:pPr>
            <w:r w:rsidRPr="00730A4A">
              <w:rPr>
                <w:rFonts w:cs="Arial"/>
                <w:sz w:val="22"/>
              </w:rPr>
              <w:t>La mise en œuvre du PNDA se fera dans le strict respect de la préservation des zones humides et de leurs ressources surtout pour ses activités d’irrigation et les activités agricoles du bas-fond</w:t>
            </w:r>
          </w:p>
        </w:tc>
      </w:tr>
      <w:tr w:rsidR="00BB0401" w:rsidRPr="001E4043" w14:paraId="3BAFD7EE"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3B3CEAD1" w14:textId="77777777" w:rsidR="001C2F95" w:rsidRPr="00730A4A" w:rsidRDefault="001C2F95" w:rsidP="00730A4A">
            <w:pPr>
              <w:autoSpaceDE w:val="0"/>
              <w:autoSpaceDN w:val="0"/>
              <w:adjustRightInd w:val="0"/>
              <w:jc w:val="left"/>
              <w:rPr>
                <w:rFonts w:cs="Arial"/>
                <w:sz w:val="22"/>
              </w:rPr>
            </w:pPr>
            <w:r w:rsidRPr="00730A4A">
              <w:rPr>
                <w:rFonts w:cs="Arial"/>
                <w:sz w:val="22"/>
              </w:rPr>
              <w:t>Convention relative la protection du patrimoine mondiale culturel et naturel</w:t>
            </w:r>
          </w:p>
        </w:tc>
        <w:tc>
          <w:tcPr>
            <w:tcW w:w="4301" w:type="dxa"/>
            <w:tcBorders>
              <w:top w:val="nil"/>
              <w:left w:val="nil"/>
              <w:bottom w:val="single" w:sz="4" w:space="0" w:color="auto"/>
              <w:right w:val="single" w:sz="4" w:space="0" w:color="auto"/>
            </w:tcBorders>
            <w:shd w:val="clear" w:color="auto" w:fill="auto"/>
            <w:vAlign w:val="center"/>
          </w:tcPr>
          <w:p w14:paraId="2B09308A" w14:textId="77777777" w:rsidR="001C2F95" w:rsidRPr="00730A4A" w:rsidRDefault="001C2F95" w:rsidP="00730A4A">
            <w:pPr>
              <w:autoSpaceDE w:val="0"/>
              <w:autoSpaceDN w:val="0"/>
              <w:adjustRightInd w:val="0"/>
              <w:jc w:val="left"/>
              <w:rPr>
                <w:rFonts w:cs="Arial"/>
                <w:sz w:val="22"/>
              </w:rPr>
            </w:pPr>
            <w:r w:rsidRPr="00730A4A">
              <w:rPr>
                <w:rFonts w:cs="Arial"/>
                <w:sz w:val="22"/>
              </w:rPr>
              <w:t>Assurer l’identification, la protection, la conservation, la mise en valeur et la transmission aux générations futures du patrimoine culturel et naturel.</w:t>
            </w:r>
          </w:p>
        </w:tc>
        <w:tc>
          <w:tcPr>
            <w:tcW w:w="2353" w:type="dxa"/>
            <w:tcBorders>
              <w:top w:val="nil"/>
              <w:left w:val="nil"/>
              <w:bottom w:val="single" w:sz="4" w:space="0" w:color="auto"/>
              <w:right w:val="single" w:sz="4" w:space="0" w:color="auto"/>
            </w:tcBorders>
            <w:shd w:val="clear" w:color="auto" w:fill="auto"/>
            <w:vAlign w:val="center"/>
          </w:tcPr>
          <w:p w14:paraId="1A97E518" w14:textId="77777777" w:rsidR="001C2F95" w:rsidRPr="00730A4A" w:rsidRDefault="001C2F95" w:rsidP="00730A4A">
            <w:pPr>
              <w:autoSpaceDE w:val="0"/>
              <w:autoSpaceDN w:val="0"/>
              <w:adjustRightInd w:val="0"/>
              <w:jc w:val="left"/>
              <w:rPr>
                <w:rFonts w:cs="Arial"/>
                <w:sz w:val="22"/>
              </w:rPr>
            </w:pPr>
            <w:r w:rsidRPr="00730A4A">
              <w:rPr>
                <w:rFonts w:cs="Arial"/>
                <w:sz w:val="22"/>
              </w:rPr>
              <w:t>Paris (France), 23 novembre 1972.</w:t>
            </w:r>
          </w:p>
        </w:tc>
        <w:tc>
          <w:tcPr>
            <w:tcW w:w="5499" w:type="dxa"/>
            <w:shd w:val="clear" w:color="auto" w:fill="auto"/>
          </w:tcPr>
          <w:p w14:paraId="503C7DB8" w14:textId="77777777" w:rsidR="001C2F95" w:rsidRPr="00730A4A" w:rsidRDefault="001C2F95" w:rsidP="00730A4A">
            <w:pPr>
              <w:autoSpaceDE w:val="0"/>
              <w:autoSpaceDN w:val="0"/>
              <w:adjustRightInd w:val="0"/>
              <w:rPr>
                <w:rFonts w:cs="Arial"/>
                <w:sz w:val="22"/>
              </w:rPr>
            </w:pPr>
            <w:r w:rsidRPr="00730A4A">
              <w:rPr>
                <w:rFonts w:cs="Arial"/>
                <w:sz w:val="22"/>
              </w:rPr>
              <w:t>La phase opérationnelle des sous-projets du PNDA avec la réalisation de travaux de fouilles ou d’excavations, pourraient ramener en surface des biens culturels.  Le PNDA intègre les mesures de protection du patrimoine culturel et naturel à travers l’élaboration des orientations pour la protection des ressources culturelles physiques dans le présent CGES</w:t>
            </w:r>
          </w:p>
        </w:tc>
      </w:tr>
      <w:tr w:rsidR="00BB0401" w:rsidRPr="001E4043" w14:paraId="67FF2335"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63FBA85D" w14:textId="77777777" w:rsidR="001C2F95" w:rsidRPr="00730A4A" w:rsidRDefault="001C2F95" w:rsidP="00730A4A">
            <w:pPr>
              <w:autoSpaceDE w:val="0"/>
              <w:autoSpaceDN w:val="0"/>
              <w:adjustRightInd w:val="0"/>
              <w:jc w:val="left"/>
              <w:rPr>
                <w:rFonts w:cs="Arial"/>
                <w:sz w:val="22"/>
              </w:rPr>
            </w:pPr>
            <w:r w:rsidRPr="00730A4A">
              <w:rPr>
                <w:rFonts w:cs="Arial"/>
                <w:sz w:val="22"/>
              </w:rPr>
              <w:t>Convention sur la conservation des espèces sauvages de flore et de faune menacées d’extinction ou (CITES).</w:t>
            </w:r>
          </w:p>
        </w:tc>
        <w:tc>
          <w:tcPr>
            <w:tcW w:w="4301" w:type="dxa"/>
            <w:tcBorders>
              <w:top w:val="nil"/>
              <w:left w:val="nil"/>
              <w:bottom w:val="single" w:sz="4" w:space="0" w:color="auto"/>
              <w:right w:val="single" w:sz="4" w:space="0" w:color="auto"/>
            </w:tcBorders>
            <w:shd w:val="clear" w:color="auto" w:fill="auto"/>
            <w:vAlign w:val="center"/>
          </w:tcPr>
          <w:p w14:paraId="4876EEFF" w14:textId="77777777" w:rsidR="001C2F95" w:rsidRPr="00730A4A" w:rsidRDefault="001C2F95" w:rsidP="00730A4A">
            <w:pPr>
              <w:autoSpaceDE w:val="0"/>
              <w:autoSpaceDN w:val="0"/>
              <w:adjustRightInd w:val="0"/>
              <w:jc w:val="left"/>
              <w:rPr>
                <w:rFonts w:cs="Arial"/>
                <w:sz w:val="22"/>
              </w:rPr>
            </w:pPr>
            <w:r w:rsidRPr="00730A4A">
              <w:rPr>
                <w:rFonts w:cs="Arial"/>
                <w:sz w:val="22"/>
              </w:rPr>
              <w:t>Elle a pour but de veiller à ce que le commerce international des spécimens d'animaux et de plantes sauvages ne menace pas la survie des espèces auxquelles ils appartiennent.</w:t>
            </w:r>
          </w:p>
        </w:tc>
        <w:tc>
          <w:tcPr>
            <w:tcW w:w="2353" w:type="dxa"/>
            <w:tcBorders>
              <w:top w:val="nil"/>
              <w:left w:val="nil"/>
              <w:bottom w:val="single" w:sz="4" w:space="0" w:color="auto"/>
              <w:right w:val="single" w:sz="4" w:space="0" w:color="auto"/>
            </w:tcBorders>
            <w:shd w:val="clear" w:color="auto" w:fill="auto"/>
            <w:vAlign w:val="center"/>
          </w:tcPr>
          <w:p w14:paraId="15BB861B" w14:textId="77777777" w:rsidR="001C2F95" w:rsidRPr="00730A4A" w:rsidRDefault="001C2F95" w:rsidP="00730A4A">
            <w:pPr>
              <w:autoSpaceDE w:val="0"/>
              <w:autoSpaceDN w:val="0"/>
              <w:adjustRightInd w:val="0"/>
              <w:jc w:val="left"/>
              <w:rPr>
                <w:rFonts w:cs="Arial"/>
                <w:sz w:val="22"/>
              </w:rPr>
            </w:pPr>
            <w:r w:rsidRPr="00730A4A">
              <w:rPr>
                <w:rFonts w:cs="Arial"/>
                <w:sz w:val="22"/>
              </w:rPr>
              <w:t>Washington (USA), 3 mars 1973.</w:t>
            </w:r>
          </w:p>
        </w:tc>
        <w:tc>
          <w:tcPr>
            <w:tcW w:w="5499" w:type="dxa"/>
            <w:shd w:val="clear" w:color="auto" w:fill="auto"/>
          </w:tcPr>
          <w:p w14:paraId="561468A3" w14:textId="77777777" w:rsidR="001C2F95" w:rsidRPr="00730A4A" w:rsidRDefault="001C2F95" w:rsidP="00730A4A">
            <w:pPr>
              <w:autoSpaceDE w:val="0"/>
              <w:autoSpaceDN w:val="0"/>
              <w:adjustRightInd w:val="0"/>
              <w:rPr>
                <w:rFonts w:cs="Arial"/>
                <w:color w:val="000000"/>
                <w:sz w:val="22"/>
              </w:rPr>
            </w:pPr>
            <w:r w:rsidRPr="00730A4A">
              <w:rPr>
                <w:rFonts w:cs="Arial"/>
                <w:color w:val="000000"/>
                <w:sz w:val="22"/>
              </w:rPr>
              <w:t xml:space="preserve">Etant donné que le PNDA va se réaliser dans deux Provinces notamment le Kasaï et le Nord-Kivu qui partagent des </w:t>
            </w:r>
            <w:r w:rsidR="00161D87" w:rsidRPr="00730A4A">
              <w:rPr>
                <w:rFonts w:cs="Arial"/>
                <w:color w:val="000000"/>
                <w:sz w:val="22"/>
              </w:rPr>
              <w:t>frontières</w:t>
            </w:r>
            <w:r w:rsidRPr="00730A4A">
              <w:rPr>
                <w:rFonts w:cs="Arial"/>
                <w:color w:val="000000"/>
                <w:sz w:val="22"/>
              </w:rPr>
              <w:t xml:space="preserve"> avec l’Angola, le Rwanda et l’Ouganda et compte tenu de du fait que ces deux provinces comptent des aires protégées et de Lac (PNVi</w:t>
            </w:r>
            <w:r w:rsidRPr="00730A4A">
              <w:rPr>
                <w:rFonts w:eastAsia="Calibri" w:cs="Arial"/>
                <w:color w:val="000000"/>
                <w:sz w:val="22"/>
              </w:rPr>
              <w:t xml:space="preserve"> le Domaine de chasse de Bushimaie dans le Kasaï Central vers Luiza, le Parc de Salonga vers le Kasaï et le Lac-Kivu). Pendant la phase d’exécution des sous-projets du PNDA, ce dernier veillera à l’interdiction du commerce international des animaux et des plantes sauvages. Le présent CGES prévoit des mesures conformément à la NES n°6</w:t>
            </w:r>
          </w:p>
        </w:tc>
      </w:tr>
      <w:tr w:rsidR="00BB0401" w:rsidRPr="001E4043" w14:paraId="50837ACC"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41F69AF8" w14:textId="77777777" w:rsidR="001C2F95" w:rsidRPr="00730A4A" w:rsidRDefault="001C2F95" w:rsidP="00730A4A">
            <w:pPr>
              <w:autoSpaceDE w:val="0"/>
              <w:autoSpaceDN w:val="0"/>
              <w:adjustRightInd w:val="0"/>
              <w:rPr>
                <w:rFonts w:cs="Arial"/>
                <w:sz w:val="22"/>
              </w:rPr>
            </w:pPr>
            <w:r w:rsidRPr="00730A4A">
              <w:rPr>
                <w:rFonts w:cs="Arial"/>
                <w:sz w:val="22"/>
              </w:rPr>
              <w:t>Convention sur la convention des espèces migratrices appartenant à la faune sauvage.</w:t>
            </w:r>
          </w:p>
        </w:tc>
        <w:tc>
          <w:tcPr>
            <w:tcW w:w="4301" w:type="dxa"/>
            <w:tcBorders>
              <w:top w:val="nil"/>
              <w:left w:val="nil"/>
              <w:bottom w:val="single" w:sz="4" w:space="0" w:color="auto"/>
              <w:right w:val="single" w:sz="4" w:space="0" w:color="auto"/>
            </w:tcBorders>
            <w:shd w:val="clear" w:color="auto" w:fill="auto"/>
            <w:vAlign w:val="center"/>
          </w:tcPr>
          <w:p w14:paraId="2CA3F975" w14:textId="77777777" w:rsidR="001C2F95" w:rsidRPr="00730A4A" w:rsidRDefault="001C2F95" w:rsidP="00730A4A">
            <w:pPr>
              <w:autoSpaceDE w:val="0"/>
              <w:autoSpaceDN w:val="0"/>
              <w:adjustRightInd w:val="0"/>
              <w:jc w:val="left"/>
              <w:rPr>
                <w:rFonts w:cs="Arial"/>
                <w:sz w:val="22"/>
              </w:rPr>
            </w:pPr>
            <w:r w:rsidRPr="00730A4A">
              <w:rPr>
                <w:rFonts w:cs="Arial"/>
                <w:sz w:val="22"/>
              </w:rPr>
              <w:t>La convention de Bonn a pour objectif la conservation des espèces migratrices de la faune sauvage à l'échelle mondiale. La conservation des espèces migratrices nécessite en particulier une coopération internationale pour assurer la protection de l'ensemble de leur aire de répartition</w:t>
            </w:r>
          </w:p>
        </w:tc>
        <w:tc>
          <w:tcPr>
            <w:tcW w:w="2353" w:type="dxa"/>
            <w:tcBorders>
              <w:top w:val="nil"/>
              <w:left w:val="nil"/>
              <w:bottom w:val="single" w:sz="4" w:space="0" w:color="auto"/>
              <w:right w:val="single" w:sz="4" w:space="0" w:color="auto"/>
            </w:tcBorders>
            <w:shd w:val="clear" w:color="auto" w:fill="auto"/>
            <w:vAlign w:val="center"/>
          </w:tcPr>
          <w:p w14:paraId="29A5BD6B" w14:textId="77777777" w:rsidR="001C2F95" w:rsidRPr="00730A4A" w:rsidRDefault="001C2F95" w:rsidP="00730A4A">
            <w:pPr>
              <w:autoSpaceDE w:val="0"/>
              <w:autoSpaceDN w:val="0"/>
              <w:adjustRightInd w:val="0"/>
              <w:jc w:val="left"/>
              <w:rPr>
                <w:rFonts w:cs="Arial"/>
                <w:sz w:val="22"/>
              </w:rPr>
            </w:pPr>
            <w:r w:rsidRPr="00730A4A">
              <w:rPr>
                <w:rFonts w:cs="Arial"/>
                <w:sz w:val="22"/>
              </w:rPr>
              <w:t>Bonn, (Allemagne), 23 juin 1979.</w:t>
            </w:r>
          </w:p>
        </w:tc>
        <w:tc>
          <w:tcPr>
            <w:tcW w:w="5499" w:type="dxa"/>
            <w:shd w:val="clear" w:color="auto" w:fill="auto"/>
          </w:tcPr>
          <w:p w14:paraId="56608963" w14:textId="77777777" w:rsidR="001C2F95" w:rsidRPr="00730A4A" w:rsidRDefault="001C2F95" w:rsidP="00730A4A">
            <w:pPr>
              <w:autoSpaceDE w:val="0"/>
              <w:autoSpaceDN w:val="0"/>
              <w:adjustRightInd w:val="0"/>
              <w:rPr>
                <w:rFonts w:cs="Arial"/>
                <w:color w:val="000000"/>
                <w:sz w:val="22"/>
              </w:rPr>
            </w:pPr>
            <w:r w:rsidRPr="00730A4A">
              <w:rPr>
                <w:rFonts w:eastAsia="Calibri" w:cs="Arial"/>
                <w:color w:val="000000"/>
                <w:sz w:val="22"/>
              </w:rPr>
              <w:t>Pendant la mise en œuvre des sous-projets des activités agricoles, le PNDA va veiller à la protection des espèces migratrices appartenant à la faune sauvage. Le présent CGES prévoit des mesures conformément à la NES n°6</w:t>
            </w:r>
          </w:p>
        </w:tc>
      </w:tr>
      <w:tr w:rsidR="00BB0401" w:rsidRPr="001E4043" w14:paraId="42CF483B"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5F0ACA29" w14:textId="77777777" w:rsidR="001C2F95" w:rsidRPr="00730A4A" w:rsidRDefault="001C2F95" w:rsidP="00730A4A">
            <w:pPr>
              <w:autoSpaceDE w:val="0"/>
              <w:autoSpaceDN w:val="0"/>
              <w:adjustRightInd w:val="0"/>
              <w:rPr>
                <w:rFonts w:cs="Arial"/>
                <w:sz w:val="22"/>
              </w:rPr>
            </w:pPr>
            <w:r w:rsidRPr="00730A4A">
              <w:rPr>
                <w:rFonts w:cs="Arial"/>
                <w:sz w:val="22"/>
              </w:rPr>
              <w:t xml:space="preserve">Convention de Vienne sur la protection de la couche d’ozone </w:t>
            </w:r>
          </w:p>
        </w:tc>
        <w:tc>
          <w:tcPr>
            <w:tcW w:w="4301" w:type="dxa"/>
            <w:tcBorders>
              <w:top w:val="nil"/>
              <w:left w:val="nil"/>
              <w:bottom w:val="single" w:sz="4" w:space="0" w:color="auto"/>
              <w:right w:val="single" w:sz="4" w:space="0" w:color="auto"/>
            </w:tcBorders>
            <w:shd w:val="clear" w:color="auto" w:fill="auto"/>
            <w:vAlign w:val="center"/>
          </w:tcPr>
          <w:p w14:paraId="3BFA6FDF" w14:textId="77777777" w:rsidR="001C2F95" w:rsidRPr="00730A4A" w:rsidRDefault="001C2F95" w:rsidP="00730A4A">
            <w:pPr>
              <w:autoSpaceDE w:val="0"/>
              <w:autoSpaceDN w:val="0"/>
              <w:adjustRightInd w:val="0"/>
              <w:jc w:val="left"/>
              <w:rPr>
                <w:rFonts w:cs="Arial"/>
                <w:sz w:val="22"/>
              </w:rPr>
            </w:pPr>
            <w:r w:rsidRPr="00730A4A">
              <w:rPr>
                <w:rFonts w:cs="Arial"/>
                <w:sz w:val="22"/>
              </w:rPr>
              <w:t>Cette convention établit un cadre pour la coopération et la formulation des mesures convenues pour protéger la santé humaine et l’environnement contre les effets néfastes résultant des modifications de la couche d’ozone par les activités humaines.</w:t>
            </w:r>
          </w:p>
        </w:tc>
        <w:tc>
          <w:tcPr>
            <w:tcW w:w="2353" w:type="dxa"/>
            <w:tcBorders>
              <w:top w:val="nil"/>
              <w:left w:val="nil"/>
              <w:bottom w:val="single" w:sz="4" w:space="0" w:color="auto"/>
              <w:right w:val="single" w:sz="4" w:space="0" w:color="auto"/>
            </w:tcBorders>
            <w:shd w:val="clear" w:color="auto" w:fill="auto"/>
            <w:vAlign w:val="center"/>
          </w:tcPr>
          <w:p w14:paraId="11A283D9" w14:textId="77777777" w:rsidR="001C2F95" w:rsidRPr="00730A4A" w:rsidRDefault="001C2F95" w:rsidP="00730A4A">
            <w:pPr>
              <w:autoSpaceDE w:val="0"/>
              <w:autoSpaceDN w:val="0"/>
              <w:adjustRightInd w:val="0"/>
              <w:jc w:val="left"/>
              <w:rPr>
                <w:rFonts w:cs="Arial"/>
                <w:sz w:val="22"/>
              </w:rPr>
            </w:pPr>
            <w:r w:rsidRPr="00730A4A">
              <w:rPr>
                <w:rFonts w:cs="Arial"/>
                <w:sz w:val="22"/>
              </w:rPr>
              <w:t>Vienne, 22 mars 1985</w:t>
            </w:r>
          </w:p>
        </w:tc>
        <w:tc>
          <w:tcPr>
            <w:tcW w:w="5499" w:type="dxa"/>
            <w:shd w:val="clear" w:color="auto" w:fill="auto"/>
          </w:tcPr>
          <w:p w14:paraId="22A8DA66" w14:textId="77777777" w:rsidR="001C2F95" w:rsidRPr="00730A4A" w:rsidRDefault="001C2F95" w:rsidP="00730A4A">
            <w:pPr>
              <w:autoSpaceDE w:val="0"/>
              <w:autoSpaceDN w:val="0"/>
              <w:adjustRightInd w:val="0"/>
              <w:rPr>
                <w:rFonts w:cs="Arial"/>
                <w:sz w:val="22"/>
              </w:rPr>
            </w:pPr>
            <w:r w:rsidRPr="00730A4A">
              <w:rPr>
                <w:rFonts w:cs="Arial"/>
                <w:sz w:val="22"/>
              </w:rPr>
              <w:t>La pollution de l’air pendant la mise en œuvre du PNDA sera tributaire des émissions de gaz provenant de la combustion des produits d’hydrocarbures qui peuvent impacter négativement sur la couche d’ozone. Ainsi, le PNDA est concerné par cette convention. Le présent CGES intègre des mesures de réduction des émissions de CO2 et de protection de la santé humaine et de l’environnement.</w:t>
            </w:r>
          </w:p>
        </w:tc>
      </w:tr>
      <w:tr w:rsidR="00BB0401" w:rsidRPr="001E4043" w14:paraId="06C98DD3"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2512DCB9" w14:textId="77777777" w:rsidR="001C2F95" w:rsidRPr="00730A4A" w:rsidRDefault="001C2F95" w:rsidP="00730A4A">
            <w:pPr>
              <w:autoSpaceDE w:val="0"/>
              <w:autoSpaceDN w:val="0"/>
              <w:adjustRightInd w:val="0"/>
              <w:jc w:val="left"/>
              <w:rPr>
                <w:rFonts w:cs="Arial"/>
                <w:sz w:val="22"/>
              </w:rPr>
            </w:pPr>
            <w:r w:rsidRPr="00730A4A">
              <w:rPr>
                <w:rFonts w:cs="Arial"/>
                <w:sz w:val="22"/>
              </w:rPr>
              <w:t xml:space="preserve">Convention de Bâle sur le transport transfrontalier des déchets dangereux et leur traitement </w:t>
            </w:r>
          </w:p>
        </w:tc>
        <w:tc>
          <w:tcPr>
            <w:tcW w:w="4301" w:type="dxa"/>
            <w:tcBorders>
              <w:top w:val="nil"/>
              <w:left w:val="nil"/>
              <w:bottom w:val="single" w:sz="4" w:space="0" w:color="auto"/>
              <w:right w:val="single" w:sz="4" w:space="0" w:color="auto"/>
            </w:tcBorders>
            <w:shd w:val="clear" w:color="auto" w:fill="auto"/>
            <w:vAlign w:val="center"/>
          </w:tcPr>
          <w:p w14:paraId="5FAA5E27" w14:textId="77777777" w:rsidR="001C2F95" w:rsidRPr="00730A4A" w:rsidRDefault="001C2F95" w:rsidP="00730A4A">
            <w:pPr>
              <w:autoSpaceDE w:val="0"/>
              <w:autoSpaceDN w:val="0"/>
              <w:adjustRightInd w:val="0"/>
              <w:rPr>
                <w:rFonts w:cs="Arial"/>
                <w:sz w:val="22"/>
              </w:rPr>
            </w:pPr>
            <w:r w:rsidRPr="00730A4A">
              <w:rPr>
                <w:rFonts w:cs="Arial"/>
                <w:sz w:val="22"/>
              </w:rPr>
              <w:t>Convention de Bâle sur le contrôle des mouvements transfrontières de déchets dangereux et de leur élimination est un traité international qui a été conçu afin de réduire la circulation des déchets dangereux entre les pays</w:t>
            </w:r>
            <w:r w:rsidRPr="00730A4A">
              <w:rPr>
                <w:rFonts w:cs="Arial"/>
                <w:color w:val="202124"/>
                <w:sz w:val="22"/>
                <w:shd w:val="clear" w:color="auto" w:fill="FFFFFF"/>
              </w:rPr>
              <w:t>.</w:t>
            </w:r>
          </w:p>
        </w:tc>
        <w:tc>
          <w:tcPr>
            <w:tcW w:w="2353" w:type="dxa"/>
            <w:tcBorders>
              <w:top w:val="nil"/>
              <w:left w:val="nil"/>
              <w:bottom w:val="single" w:sz="4" w:space="0" w:color="auto"/>
              <w:right w:val="single" w:sz="4" w:space="0" w:color="auto"/>
            </w:tcBorders>
            <w:shd w:val="clear" w:color="auto" w:fill="auto"/>
            <w:vAlign w:val="center"/>
          </w:tcPr>
          <w:p w14:paraId="25EAD9CF" w14:textId="77777777" w:rsidR="001C2F95" w:rsidRPr="00730A4A" w:rsidRDefault="001C2F95" w:rsidP="00730A4A">
            <w:pPr>
              <w:autoSpaceDE w:val="0"/>
              <w:autoSpaceDN w:val="0"/>
              <w:adjustRightInd w:val="0"/>
              <w:jc w:val="left"/>
              <w:rPr>
                <w:rFonts w:cs="Arial"/>
                <w:sz w:val="22"/>
              </w:rPr>
            </w:pPr>
            <w:r w:rsidRPr="00730A4A">
              <w:rPr>
                <w:rFonts w:cs="Arial"/>
                <w:sz w:val="22"/>
              </w:rPr>
              <w:t>Suisse (Bâle) 22 mars 1989.</w:t>
            </w:r>
          </w:p>
        </w:tc>
        <w:tc>
          <w:tcPr>
            <w:tcW w:w="5499" w:type="dxa"/>
            <w:shd w:val="clear" w:color="auto" w:fill="auto"/>
          </w:tcPr>
          <w:p w14:paraId="3DB2934C" w14:textId="77777777" w:rsidR="001C2F95" w:rsidRPr="00730A4A" w:rsidRDefault="001C2F95" w:rsidP="00730A4A">
            <w:pPr>
              <w:autoSpaceDE w:val="0"/>
              <w:autoSpaceDN w:val="0"/>
              <w:adjustRightInd w:val="0"/>
              <w:rPr>
                <w:rFonts w:cs="Arial"/>
                <w:sz w:val="22"/>
              </w:rPr>
            </w:pPr>
            <w:r w:rsidRPr="00730A4A">
              <w:rPr>
                <w:rFonts w:cs="Arial"/>
                <w:sz w:val="22"/>
              </w:rPr>
              <w:t>La mise en œuvre des sous-projets dans les provinces frontalières du PNDA va générer des déchets dangereux avec l’utilisation des engrais chimiques et des pesticides pour les activités agricoles, les huiles et batteries usagées, etc. Donc, le PNDA est concerné par cette convention. Le présent CGES préconise des mesures idoines conformes à la NES n°3 pendant la phase de mise en œuvre du PNDA et il veillera au respect strict de cette Convention.</w:t>
            </w:r>
          </w:p>
        </w:tc>
      </w:tr>
      <w:tr w:rsidR="00BB0401" w:rsidRPr="001E4043" w14:paraId="40DD006E"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7D528881" w14:textId="77777777" w:rsidR="001C2F95" w:rsidRPr="00730A4A" w:rsidRDefault="001C2F95" w:rsidP="00730A4A">
            <w:pPr>
              <w:autoSpaceDE w:val="0"/>
              <w:autoSpaceDN w:val="0"/>
              <w:adjustRightInd w:val="0"/>
              <w:rPr>
                <w:rFonts w:cs="Arial"/>
                <w:sz w:val="22"/>
              </w:rPr>
            </w:pPr>
            <w:r w:rsidRPr="00730A4A">
              <w:rPr>
                <w:rFonts w:cs="Arial"/>
                <w:sz w:val="22"/>
              </w:rPr>
              <w:t xml:space="preserve">Accord international sur les bois tropicaux. Genève </w:t>
            </w:r>
          </w:p>
        </w:tc>
        <w:tc>
          <w:tcPr>
            <w:tcW w:w="4301" w:type="dxa"/>
            <w:tcBorders>
              <w:top w:val="nil"/>
              <w:left w:val="nil"/>
              <w:bottom w:val="single" w:sz="4" w:space="0" w:color="auto"/>
              <w:right w:val="single" w:sz="4" w:space="0" w:color="auto"/>
            </w:tcBorders>
            <w:shd w:val="clear" w:color="auto" w:fill="auto"/>
            <w:vAlign w:val="center"/>
          </w:tcPr>
          <w:p w14:paraId="624BA72F" w14:textId="77777777" w:rsidR="001C2F95" w:rsidRPr="00730A4A" w:rsidRDefault="001C2F95" w:rsidP="00730A4A">
            <w:pPr>
              <w:autoSpaceDE w:val="0"/>
              <w:autoSpaceDN w:val="0"/>
              <w:adjustRightInd w:val="0"/>
              <w:rPr>
                <w:rFonts w:cs="Arial"/>
                <w:sz w:val="22"/>
              </w:rPr>
            </w:pPr>
            <w:r w:rsidRPr="00730A4A">
              <w:rPr>
                <w:rFonts w:cs="Arial"/>
                <w:sz w:val="22"/>
              </w:rPr>
              <w:t>Promouvoir l’expansion et la désertification du commerce international des bois tropicaux provenant des forêts gérées de manière durable et exploitées dans le respect de la loi ;</w:t>
            </w:r>
          </w:p>
          <w:p w14:paraId="0B59ACB0" w14:textId="77777777" w:rsidR="001C2F95" w:rsidRPr="00730A4A" w:rsidRDefault="001C2F95" w:rsidP="00730A4A">
            <w:pPr>
              <w:autoSpaceDE w:val="0"/>
              <w:autoSpaceDN w:val="0"/>
              <w:adjustRightInd w:val="0"/>
              <w:rPr>
                <w:rFonts w:cs="Arial"/>
                <w:sz w:val="22"/>
              </w:rPr>
            </w:pPr>
          </w:p>
          <w:p w14:paraId="0A42A406" w14:textId="77777777" w:rsidR="001C2F95" w:rsidRPr="00730A4A" w:rsidRDefault="001C2F95" w:rsidP="00730A4A">
            <w:pPr>
              <w:autoSpaceDE w:val="0"/>
              <w:autoSpaceDN w:val="0"/>
              <w:adjustRightInd w:val="0"/>
              <w:rPr>
                <w:rFonts w:cs="Arial"/>
                <w:sz w:val="22"/>
              </w:rPr>
            </w:pPr>
            <w:r w:rsidRPr="00730A4A">
              <w:rPr>
                <w:rFonts w:cs="Arial"/>
                <w:sz w:val="22"/>
              </w:rPr>
              <w:t xml:space="preserve">Promouvoir la gestion durable des forêts productrices des bois tropicaux </w:t>
            </w:r>
          </w:p>
        </w:tc>
        <w:tc>
          <w:tcPr>
            <w:tcW w:w="2353" w:type="dxa"/>
            <w:tcBorders>
              <w:top w:val="nil"/>
              <w:left w:val="nil"/>
              <w:bottom w:val="single" w:sz="4" w:space="0" w:color="auto"/>
              <w:right w:val="single" w:sz="4" w:space="0" w:color="auto"/>
            </w:tcBorders>
            <w:shd w:val="clear" w:color="auto" w:fill="auto"/>
            <w:vAlign w:val="center"/>
          </w:tcPr>
          <w:p w14:paraId="399B239E" w14:textId="77777777" w:rsidR="001C2F95" w:rsidRPr="00730A4A" w:rsidRDefault="001C2F95" w:rsidP="00730A4A">
            <w:pPr>
              <w:autoSpaceDE w:val="0"/>
              <w:autoSpaceDN w:val="0"/>
              <w:adjustRightInd w:val="0"/>
              <w:jc w:val="left"/>
              <w:rPr>
                <w:rFonts w:cs="Arial"/>
                <w:sz w:val="22"/>
              </w:rPr>
            </w:pPr>
            <w:r w:rsidRPr="00730A4A">
              <w:rPr>
                <w:rFonts w:cs="Arial"/>
                <w:sz w:val="22"/>
              </w:rPr>
              <w:t>(Suisse).18 novembre 1992</w:t>
            </w:r>
          </w:p>
        </w:tc>
        <w:tc>
          <w:tcPr>
            <w:tcW w:w="5499" w:type="dxa"/>
            <w:shd w:val="clear" w:color="auto" w:fill="auto"/>
          </w:tcPr>
          <w:p w14:paraId="0FB22909" w14:textId="77777777" w:rsidR="001C2F95" w:rsidRPr="00730A4A" w:rsidRDefault="001C2F95" w:rsidP="00730A4A">
            <w:pPr>
              <w:autoSpaceDE w:val="0"/>
              <w:autoSpaceDN w:val="0"/>
              <w:adjustRightInd w:val="0"/>
              <w:rPr>
                <w:rFonts w:cs="Arial"/>
                <w:sz w:val="22"/>
              </w:rPr>
            </w:pPr>
            <w:r w:rsidRPr="00730A4A">
              <w:rPr>
                <w:rFonts w:cs="Arial"/>
                <w:sz w:val="22"/>
              </w:rPr>
              <w:t xml:space="preserve">Pendant la phase de mise en œuvre des sous-projets agricoles et la réhabilitation des pistes rurales du PNDA dans les forêts des provinces concernées (surtout le Nord-Kivu et les Kongo Central) par le Programme risquent d’amplifier l’exploitation des bois tropicaux. Le présent CGES préconise des mesures nécessaires pour atténuer cette activité d’exploitation des bois tropicaux. Le PNDA veillera au strict respect de cette </w:t>
            </w:r>
            <w:r w:rsidR="00161D87" w:rsidRPr="00730A4A">
              <w:rPr>
                <w:rFonts w:cs="Arial"/>
                <w:sz w:val="22"/>
              </w:rPr>
              <w:t>C</w:t>
            </w:r>
            <w:r w:rsidRPr="00730A4A">
              <w:rPr>
                <w:rFonts w:cs="Arial"/>
                <w:sz w:val="22"/>
              </w:rPr>
              <w:t>onvention.</w:t>
            </w:r>
          </w:p>
        </w:tc>
      </w:tr>
      <w:tr w:rsidR="00BB0401" w:rsidRPr="001E4043" w14:paraId="56D3AA61"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796664B5" w14:textId="77777777" w:rsidR="001C2F95" w:rsidRPr="00730A4A" w:rsidRDefault="001C2F95" w:rsidP="00730A4A">
            <w:pPr>
              <w:autoSpaceDE w:val="0"/>
              <w:autoSpaceDN w:val="0"/>
              <w:adjustRightInd w:val="0"/>
              <w:rPr>
                <w:rFonts w:cs="Arial"/>
                <w:sz w:val="22"/>
              </w:rPr>
            </w:pPr>
            <w:r w:rsidRPr="00730A4A">
              <w:rPr>
                <w:rFonts w:cs="Arial"/>
                <w:sz w:val="22"/>
              </w:rPr>
              <w:t>Convention de Nations-Unies sur les changements climatiques.</w:t>
            </w:r>
          </w:p>
        </w:tc>
        <w:tc>
          <w:tcPr>
            <w:tcW w:w="4301" w:type="dxa"/>
            <w:tcBorders>
              <w:top w:val="nil"/>
              <w:left w:val="nil"/>
              <w:bottom w:val="single" w:sz="4" w:space="0" w:color="auto"/>
              <w:right w:val="single" w:sz="4" w:space="0" w:color="auto"/>
            </w:tcBorders>
            <w:shd w:val="clear" w:color="auto" w:fill="auto"/>
            <w:vAlign w:val="center"/>
          </w:tcPr>
          <w:p w14:paraId="68327168" w14:textId="77777777" w:rsidR="001C2F95" w:rsidRPr="00730A4A" w:rsidRDefault="001C2F95" w:rsidP="00730A4A">
            <w:pPr>
              <w:autoSpaceDE w:val="0"/>
              <w:autoSpaceDN w:val="0"/>
              <w:adjustRightInd w:val="0"/>
              <w:rPr>
                <w:rFonts w:cs="Arial"/>
                <w:sz w:val="22"/>
              </w:rPr>
            </w:pPr>
            <w:r w:rsidRPr="00730A4A">
              <w:rPr>
                <w:rFonts w:cs="Arial"/>
                <w:sz w:val="22"/>
              </w:rPr>
              <w:t xml:space="preserve">Stabiliser les émissions de gaz à effet de serre et fournir un cadre institutionnel de négociation.  </w:t>
            </w:r>
          </w:p>
        </w:tc>
        <w:tc>
          <w:tcPr>
            <w:tcW w:w="2353" w:type="dxa"/>
            <w:tcBorders>
              <w:top w:val="nil"/>
              <w:left w:val="nil"/>
              <w:bottom w:val="single" w:sz="4" w:space="0" w:color="auto"/>
              <w:right w:val="single" w:sz="4" w:space="0" w:color="auto"/>
            </w:tcBorders>
            <w:shd w:val="clear" w:color="auto" w:fill="auto"/>
            <w:vAlign w:val="center"/>
          </w:tcPr>
          <w:p w14:paraId="72359425" w14:textId="77777777" w:rsidR="001C2F95" w:rsidRPr="00730A4A" w:rsidRDefault="001C2F95" w:rsidP="00730A4A">
            <w:pPr>
              <w:autoSpaceDE w:val="0"/>
              <w:autoSpaceDN w:val="0"/>
              <w:adjustRightInd w:val="0"/>
              <w:jc w:val="left"/>
              <w:rPr>
                <w:rFonts w:cs="Arial"/>
                <w:sz w:val="22"/>
              </w:rPr>
            </w:pPr>
            <w:r w:rsidRPr="00730A4A">
              <w:rPr>
                <w:rFonts w:cs="Arial"/>
                <w:sz w:val="22"/>
              </w:rPr>
              <w:t>Rio de Janeiro (Brésil) 4 juin 1992.</w:t>
            </w:r>
          </w:p>
        </w:tc>
        <w:tc>
          <w:tcPr>
            <w:tcW w:w="5499" w:type="dxa"/>
            <w:shd w:val="clear" w:color="auto" w:fill="auto"/>
          </w:tcPr>
          <w:p w14:paraId="0C8148D4" w14:textId="77777777" w:rsidR="001C2F95" w:rsidRPr="00730A4A" w:rsidRDefault="001C2F95" w:rsidP="00730A4A">
            <w:pPr>
              <w:autoSpaceDE w:val="0"/>
              <w:autoSpaceDN w:val="0"/>
              <w:adjustRightInd w:val="0"/>
              <w:rPr>
                <w:rFonts w:cs="Arial"/>
                <w:sz w:val="22"/>
              </w:rPr>
            </w:pPr>
            <w:r w:rsidRPr="00730A4A">
              <w:rPr>
                <w:rFonts w:cs="Arial"/>
                <w:sz w:val="22"/>
              </w:rPr>
              <w:t>La mise en œuvre des sous-projets agricoles (a réalisation des aménagements paysagers le long ou autour de certains ouvrages, travaux champêtres, l’exploitation des carrières d’emprunt des matériaux, aménagement des pistes rurales, etc.) risque d’induire au changement climatique dans la zone du projet. Le CGES prévoit des mesures de reboisement des zones impactées pour lutter contre les changements climatiques.</w:t>
            </w:r>
          </w:p>
        </w:tc>
      </w:tr>
      <w:tr w:rsidR="00BB0401" w:rsidRPr="001E4043" w14:paraId="1182914E"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113C4261" w14:textId="77777777" w:rsidR="001C2F95" w:rsidRPr="00730A4A" w:rsidRDefault="001C2F95" w:rsidP="00730A4A">
            <w:pPr>
              <w:autoSpaceDE w:val="0"/>
              <w:autoSpaceDN w:val="0"/>
              <w:adjustRightInd w:val="0"/>
              <w:rPr>
                <w:rFonts w:cs="Arial"/>
                <w:sz w:val="22"/>
              </w:rPr>
            </w:pPr>
            <w:r w:rsidRPr="00730A4A">
              <w:rPr>
                <w:rFonts w:cs="Arial"/>
                <w:sz w:val="22"/>
              </w:rPr>
              <w:t>Convention sur la Diversité Biologique.</w:t>
            </w:r>
          </w:p>
        </w:tc>
        <w:tc>
          <w:tcPr>
            <w:tcW w:w="4301" w:type="dxa"/>
            <w:tcBorders>
              <w:top w:val="nil"/>
              <w:left w:val="nil"/>
              <w:bottom w:val="single" w:sz="4" w:space="0" w:color="auto"/>
              <w:right w:val="single" w:sz="4" w:space="0" w:color="auto"/>
            </w:tcBorders>
            <w:shd w:val="clear" w:color="auto" w:fill="auto"/>
            <w:vAlign w:val="center"/>
          </w:tcPr>
          <w:p w14:paraId="4FCB2F5F" w14:textId="77777777" w:rsidR="001C2F95" w:rsidRPr="00730A4A" w:rsidRDefault="001C2F95" w:rsidP="00730A4A">
            <w:pPr>
              <w:autoSpaceDE w:val="0"/>
              <w:autoSpaceDN w:val="0"/>
              <w:adjustRightInd w:val="0"/>
              <w:jc w:val="left"/>
              <w:rPr>
                <w:rFonts w:cs="Arial"/>
                <w:sz w:val="22"/>
              </w:rPr>
            </w:pPr>
            <w:r w:rsidRPr="00730A4A">
              <w:rPr>
                <w:rFonts w:cs="Arial"/>
                <w:sz w:val="22"/>
              </w:rPr>
              <w:t>Ses principaux objectifs sont : la conservation de la diversité biologique, l'utilisation durable de ses éléments et le partage juste et équitable des avantages découlant de l'exploitation des ressources génétiques</w:t>
            </w:r>
          </w:p>
        </w:tc>
        <w:tc>
          <w:tcPr>
            <w:tcW w:w="2353" w:type="dxa"/>
            <w:tcBorders>
              <w:top w:val="nil"/>
              <w:left w:val="nil"/>
              <w:bottom w:val="single" w:sz="4" w:space="0" w:color="auto"/>
              <w:right w:val="single" w:sz="4" w:space="0" w:color="auto"/>
            </w:tcBorders>
            <w:shd w:val="clear" w:color="auto" w:fill="auto"/>
            <w:vAlign w:val="center"/>
          </w:tcPr>
          <w:p w14:paraId="40E528D4" w14:textId="77777777" w:rsidR="001C2F95" w:rsidRPr="00730A4A" w:rsidRDefault="001C2F95" w:rsidP="00730A4A">
            <w:pPr>
              <w:autoSpaceDE w:val="0"/>
              <w:autoSpaceDN w:val="0"/>
              <w:adjustRightInd w:val="0"/>
              <w:jc w:val="left"/>
              <w:rPr>
                <w:rFonts w:cs="Arial"/>
                <w:sz w:val="22"/>
              </w:rPr>
            </w:pPr>
            <w:r w:rsidRPr="00730A4A">
              <w:rPr>
                <w:rFonts w:cs="Arial"/>
                <w:sz w:val="22"/>
              </w:rPr>
              <w:t>Rio de Janeiro (Brésil) 4 juin 1994.</w:t>
            </w:r>
          </w:p>
        </w:tc>
        <w:tc>
          <w:tcPr>
            <w:tcW w:w="5499" w:type="dxa"/>
            <w:shd w:val="clear" w:color="auto" w:fill="auto"/>
          </w:tcPr>
          <w:p w14:paraId="325C1446" w14:textId="77777777" w:rsidR="001C2F95" w:rsidRPr="00730A4A" w:rsidRDefault="001C2F95" w:rsidP="00730A4A">
            <w:pPr>
              <w:autoSpaceDE w:val="0"/>
              <w:autoSpaceDN w:val="0"/>
              <w:adjustRightInd w:val="0"/>
              <w:rPr>
                <w:rFonts w:cs="Arial"/>
                <w:sz w:val="22"/>
              </w:rPr>
            </w:pPr>
            <w:r w:rsidRPr="00730A4A">
              <w:rPr>
                <w:rFonts w:cs="Arial"/>
                <w:sz w:val="22"/>
              </w:rPr>
              <w:t>Etant donné que les activités des sous-projets du PNDA risquent d’empiéter les aires protégées et les rivières et le lac qui regorgent une diversité biologique, le CGES prévoit des mesures conformes à la NES n°6.</w:t>
            </w:r>
          </w:p>
        </w:tc>
      </w:tr>
      <w:tr w:rsidR="00BB0401" w:rsidRPr="001E4043" w14:paraId="6E119D53"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590D28F0" w14:textId="77777777" w:rsidR="001C2F95" w:rsidRPr="00730A4A" w:rsidRDefault="001C2F95" w:rsidP="00730A4A">
            <w:pPr>
              <w:autoSpaceDE w:val="0"/>
              <w:autoSpaceDN w:val="0"/>
              <w:adjustRightInd w:val="0"/>
              <w:jc w:val="left"/>
              <w:rPr>
                <w:rFonts w:cs="Arial"/>
                <w:sz w:val="22"/>
              </w:rPr>
            </w:pPr>
            <w:r w:rsidRPr="00730A4A">
              <w:rPr>
                <w:rFonts w:cs="Arial"/>
                <w:sz w:val="22"/>
              </w:rPr>
              <w:t xml:space="preserve">Convention de Rotterdam sur la procédure de consentement préalable en connaissance de cause applicable à certains produits chimiques et pesticides dangereux qui font l’objet d’un commerce international </w:t>
            </w:r>
          </w:p>
        </w:tc>
        <w:tc>
          <w:tcPr>
            <w:tcW w:w="4301" w:type="dxa"/>
            <w:tcBorders>
              <w:top w:val="nil"/>
              <w:left w:val="nil"/>
              <w:bottom w:val="single" w:sz="4" w:space="0" w:color="auto"/>
              <w:right w:val="single" w:sz="4" w:space="0" w:color="auto"/>
            </w:tcBorders>
            <w:shd w:val="clear" w:color="auto" w:fill="auto"/>
            <w:vAlign w:val="center"/>
          </w:tcPr>
          <w:p w14:paraId="68E86397" w14:textId="77777777" w:rsidR="001C2F95" w:rsidRPr="00730A4A" w:rsidRDefault="001C2F95" w:rsidP="00730A4A">
            <w:pPr>
              <w:autoSpaceDE w:val="0"/>
              <w:autoSpaceDN w:val="0"/>
              <w:adjustRightInd w:val="0"/>
              <w:jc w:val="left"/>
              <w:rPr>
                <w:rFonts w:cs="Arial"/>
                <w:sz w:val="22"/>
              </w:rPr>
            </w:pPr>
            <w:r w:rsidRPr="00730A4A">
              <w:rPr>
                <w:rFonts w:cs="Arial"/>
                <w:sz w:val="22"/>
              </w:rPr>
              <w:t>La présente Convention a pour but d'encourager le partage des responsabilités et la coopération entre Parties dans le domaine du commerce international de certains produits chimiques dangereux, afin de protéger la santé des personnes et l'environnement contre des dommages éventuels</w:t>
            </w:r>
          </w:p>
        </w:tc>
        <w:tc>
          <w:tcPr>
            <w:tcW w:w="2353" w:type="dxa"/>
            <w:tcBorders>
              <w:top w:val="nil"/>
              <w:left w:val="nil"/>
              <w:bottom w:val="single" w:sz="4" w:space="0" w:color="auto"/>
              <w:right w:val="single" w:sz="4" w:space="0" w:color="auto"/>
            </w:tcBorders>
            <w:shd w:val="clear" w:color="auto" w:fill="auto"/>
            <w:vAlign w:val="center"/>
          </w:tcPr>
          <w:p w14:paraId="364180FB" w14:textId="77777777" w:rsidR="001C2F95" w:rsidRPr="00730A4A" w:rsidRDefault="001C2F95" w:rsidP="00730A4A">
            <w:pPr>
              <w:autoSpaceDE w:val="0"/>
              <w:autoSpaceDN w:val="0"/>
              <w:adjustRightInd w:val="0"/>
              <w:jc w:val="left"/>
              <w:rPr>
                <w:rFonts w:cs="Arial"/>
                <w:sz w:val="22"/>
              </w:rPr>
            </w:pPr>
            <w:r w:rsidRPr="00730A4A">
              <w:rPr>
                <w:rFonts w:cs="Arial"/>
                <w:sz w:val="22"/>
              </w:rPr>
              <w:t>Rotterdam, septembre 1998</w:t>
            </w:r>
          </w:p>
        </w:tc>
        <w:tc>
          <w:tcPr>
            <w:tcW w:w="5499" w:type="dxa"/>
            <w:shd w:val="clear" w:color="auto" w:fill="auto"/>
          </w:tcPr>
          <w:p w14:paraId="09FDF0F5" w14:textId="77777777" w:rsidR="001C2F95" w:rsidRPr="00730A4A" w:rsidRDefault="001C2F95" w:rsidP="00730A4A">
            <w:pPr>
              <w:autoSpaceDE w:val="0"/>
              <w:autoSpaceDN w:val="0"/>
              <w:adjustRightInd w:val="0"/>
              <w:rPr>
                <w:rFonts w:cs="Arial"/>
                <w:sz w:val="22"/>
              </w:rPr>
            </w:pPr>
            <w:r w:rsidRPr="00730A4A">
              <w:rPr>
                <w:rFonts w:cs="Arial"/>
                <w:sz w:val="22"/>
              </w:rPr>
              <w:t xml:space="preserve">La mise en œuvre des sous-projets agricoles du PNDA va induire à l’utilisation certains produits chimiques et pesticides dangereux. Le présent CGES recommande l’élaboration du PGP conformément à la NES n°3 : </w:t>
            </w:r>
            <w:r w:rsidRPr="00730A4A">
              <w:rPr>
                <w:rFonts w:cs="Arial"/>
                <w:i/>
                <w:sz w:val="22"/>
              </w:rPr>
              <w:t>Utilisation rationnelle des ressources et prévention et gestion de la pollution.</w:t>
            </w:r>
          </w:p>
        </w:tc>
      </w:tr>
      <w:tr w:rsidR="00BB0401" w:rsidRPr="001E4043" w14:paraId="2AE23B52"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34CD6D71" w14:textId="77777777" w:rsidR="001C2F95" w:rsidRPr="00730A4A" w:rsidRDefault="001C2F95" w:rsidP="00730A4A">
            <w:pPr>
              <w:autoSpaceDE w:val="0"/>
              <w:autoSpaceDN w:val="0"/>
              <w:adjustRightInd w:val="0"/>
              <w:rPr>
                <w:rFonts w:cs="Arial"/>
                <w:sz w:val="22"/>
              </w:rPr>
            </w:pPr>
            <w:r w:rsidRPr="00730A4A">
              <w:rPr>
                <w:rFonts w:cs="Arial"/>
                <w:sz w:val="22"/>
              </w:rPr>
              <w:t xml:space="preserve">Convention de Stockholm sur les polluants organiques persistants </w:t>
            </w:r>
          </w:p>
        </w:tc>
        <w:tc>
          <w:tcPr>
            <w:tcW w:w="4301" w:type="dxa"/>
            <w:tcBorders>
              <w:top w:val="nil"/>
              <w:left w:val="nil"/>
              <w:bottom w:val="single" w:sz="4" w:space="0" w:color="auto"/>
              <w:right w:val="single" w:sz="4" w:space="0" w:color="auto"/>
            </w:tcBorders>
            <w:shd w:val="clear" w:color="auto" w:fill="auto"/>
            <w:vAlign w:val="center"/>
          </w:tcPr>
          <w:p w14:paraId="47EC5E4B" w14:textId="77777777" w:rsidR="001C2F95" w:rsidRPr="00730A4A" w:rsidRDefault="001C2F95" w:rsidP="00730A4A">
            <w:pPr>
              <w:autoSpaceDE w:val="0"/>
              <w:autoSpaceDN w:val="0"/>
              <w:adjustRightInd w:val="0"/>
              <w:jc w:val="left"/>
              <w:rPr>
                <w:rFonts w:cs="Arial"/>
                <w:sz w:val="22"/>
              </w:rPr>
            </w:pPr>
            <w:r w:rsidRPr="00730A4A">
              <w:rPr>
                <w:rFonts w:cs="Arial"/>
                <w:sz w:val="22"/>
              </w:rPr>
              <w:t>Ce traité mondial a pour objectif de protéger la santé humaine et l'environnement des conséquences néfastes des polluants organiques persistants (POP). Il vise à limiter et, à terme, à éliminer leur production, utilisation, commerce, rejet et stockage intentionnels ou non intentionnels</w:t>
            </w:r>
          </w:p>
        </w:tc>
        <w:tc>
          <w:tcPr>
            <w:tcW w:w="2353" w:type="dxa"/>
            <w:tcBorders>
              <w:top w:val="nil"/>
              <w:left w:val="nil"/>
              <w:bottom w:val="single" w:sz="4" w:space="0" w:color="auto"/>
              <w:right w:val="single" w:sz="4" w:space="0" w:color="auto"/>
            </w:tcBorders>
            <w:shd w:val="clear" w:color="auto" w:fill="auto"/>
            <w:vAlign w:val="center"/>
          </w:tcPr>
          <w:p w14:paraId="51EA3FB5" w14:textId="77777777" w:rsidR="001C2F95" w:rsidRPr="00730A4A" w:rsidRDefault="001C2F95" w:rsidP="00730A4A">
            <w:pPr>
              <w:autoSpaceDE w:val="0"/>
              <w:autoSpaceDN w:val="0"/>
              <w:adjustRightInd w:val="0"/>
              <w:jc w:val="left"/>
              <w:rPr>
                <w:rFonts w:cs="Arial"/>
                <w:sz w:val="22"/>
              </w:rPr>
            </w:pPr>
            <w:r w:rsidRPr="00730A4A">
              <w:rPr>
                <w:rFonts w:cs="Arial"/>
                <w:sz w:val="22"/>
              </w:rPr>
              <w:t>Stockholm, 22 mai 2001</w:t>
            </w:r>
          </w:p>
        </w:tc>
        <w:tc>
          <w:tcPr>
            <w:tcW w:w="5499" w:type="dxa"/>
            <w:shd w:val="clear" w:color="auto" w:fill="auto"/>
          </w:tcPr>
          <w:p w14:paraId="229AE224" w14:textId="77777777" w:rsidR="001C2F95" w:rsidRPr="00730A4A" w:rsidRDefault="001C2F95" w:rsidP="00730A4A">
            <w:pPr>
              <w:autoSpaceDE w:val="0"/>
              <w:autoSpaceDN w:val="0"/>
              <w:adjustRightInd w:val="0"/>
              <w:rPr>
                <w:rFonts w:cs="Arial"/>
                <w:sz w:val="22"/>
              </w:rPr>
            </w:pPr>
            <w:r w:rsidRPr="00730A4A">
              <w:rPr>
                <w:rFonts w:cs="Arial"/>
                <w:sz w:val="22"/>
              </w:rPr>
              <w:t xml:space="preserve">La mise en œuvre des sous-projets agricoles du PNDA risque d’induire à l’utilisation certains produits chimiques et pesticides dangereux, des PCB et des hydrocarbures. Le présent CGES recommande l’élaboration du PGP conformément à la NES n°3 : </w:t>
            </w:r>
            <w:r w:rsidRPr="00730A4A">
              <w:rPr>
                <w:rFonts w:cs="Arial"/>
                <w:i/>
                <w:sz w:val="22"/>
              </w:rPr>
              <w:t>Utilisation rationnelle des ressources et prévention et gestion de la pollution.</w:t>
            </w:r>
          </w:p>
        </w:tc>
      </w:tr>
      <w:tr w:rsidR="00BB0401" w:rsidRPr="001E4043" w14:paraId="2F259E85"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440A9420" w14:textId="77777777" w:rsidR="001C2F95" w:rsidRPr="00730A4A" w:rsidRDefault="001C2F95" w:rsidP="00730A4A">
            <w:pPr>
              <w:autoSpaceDE w:val="0"/>
              <w:autoSpaceDN w:val="0"/>
              <w:adjustRightInd w:val="0"/>
              <w:rPr>
                <w:rFonts w:cs="Arial"/>
                <w:sz w:val="22"/>
              </w:rPr>
            </w:pPr>
            <w:r w:rsidRPr="00730A4A">
              <w:rPr>
                <w:rFonts w:cs="Arial"/>
                <w:sz w:val="22"/>
              </w:rPr>
              <w:t>Autorité du Bassin du Lac Kivu et de la Rivière Ruzizi (ABAKIR)</w:t>
            </w:r>
          </w:p>
        </w:tc>
        <w:tc>
          <w:tcPr>
            <w:tcW w:w="4301" w:type="dxa"/>
            <w:tcBorders>
              <w:top w:val="nil"/>
              <w:left w:val="nil"/>
              <w:bottom w:val="single" w:sz="4" w:space="0" w:color="auto"/>
              <w:right w:val="single" w:sz="4" w:space="0" w:color="auto"/>
            </w:tcBorders>
            <w:shd w:val="clear" w:color="auto" w:fill="auto"/>
            <w:vAlign w:val="center"/>
          </w:tcPr>
          <w:p w14:paraId="64E17992" w14:textId="77777777" w:rsidR="001C2F95" w:rsidRPr="00730A4A" w:rsidRDefault="001C2F95" w:rsidP="00730A4A">
            <w:pPr>
              <w:autoSpaceDE w:val="0"/>
              <w:autoSpaceDN w:val="0"/>
              <w:adjustRightInd w:val="0"/>
              <w:jc w:val="left"/>
              <w:rPr>
                <w:rFonts w:cs="Arial"/>
                <w:sz w:val="22"/>
              </w:rPr>
            </w:pPr>
            <w:r w:rsidRPr="00730A4A">
              <w:rPr>
                <w:rFonts w:cs="Arial"/>
                <w:sz w:val="22"/>
              </w:rPr>
              <w:t>Mettre en œuvre une politique de coopération de développement durable et de stabilisation de la Région des Grands Lacs à travers la gestion intégrée des ressources en eau du bassin du Lac Kivu et de la Rivière Ruzizi, dans toutes ses dimensions (énergétique, agriculture, pêche, transport lacustre, tourisme, biodiversité, etc.)</w:t>
            </w:r>
          </w:p>
        </w:tc>
        <w:tc>
          <w:tcPr>
            <w:tcW w:w="2353" w:type="dxa"/>
            <w:tcBorders>
              <w:top w:val="nil"/>
              <w:left w:val="nil"/>
              <w:bottom w:val="single" w:sz="4" w:space="0" w:color="auto"/>
              <w:right w:val="single" w:sz="4" w:space="0" w:color="auto"/>
            </w:tcBorders>
            <w:shd w:val="clear" w:color="auto" w:fill="auto"/>
            <w:vAlign w:val="center"/>
          </w:tcPr>
          <w:p w14:paraId="3901D019" w14:textId="77777777" w:rsidR="001C2F95" w:rsidRPr="00730A4A" w:rsidRDefault="001C2F95" w:rsidP="00730A4A">
            <w:pPr>
              <w:autoSpaceDE w:val="0"/>
              <w:autoSpaceDN w:val="0"/>
              <w:adjustRightInd w:val="0"/>
              <w:jc w:val="left"/>
              <w:rPr>
                <w:rFonts w:cs="Arial"/>
                <w:sz w:val="22"/>
              </w:rPr>
            </w:pPr>
            <w:r w:rsidRPr="00730A4A">
              <w:rPr>
                <w:rFonts w:cs="Arial"/>
                <w:sz w:val="22"/>
              </w:rPr>
              <w:t>Kinshasa, 04 novembre 2014</w:t>
            </w:r>
          </w:p>
        </w:tc>
        <w:tc>
          <w:tcPr>
            <w:tcW w:w="5499" w:type="dxa"/>
            <w:shd w:val="clear" w:color="auto" w:fill="auto"/>
          </w:tcPr>
          <w:p w14:paraId="159924CE" w14:textId="77777777" w:rsidR="001C2F95" w:rsidRPr="00730A4A" w:rsidRDefault="001C2F95" w:rsidP="00730A4A">
            <w:pPr>
              <w:autoSpaceDE w:val="0"/>
              <w:autoSpaceDN w:val="0"/>
              <w:adjustRightInd w:val="0"/>
              <w:rPr>
                <w:rFonts w:cs="Arial"/>
                <w:sz w:val="22"/>
              </w:rPr>
            </w:pPr>
            <w:r w:rsidRPr="00730A4A">
              <w:rPr>
                <w:rFonts w:cs="Arial"/>
                <w:sz w:val="22"/>
              </w:rPr>
              <w:t>La mise en œuvre des sous-projets agricoles du PNDA dans le Province du Nord-Kivu risque d’impacter sur le lac Kivu qui l’une des ressources régionales entre le Rwanda et la RDC. Le présent CGES prévoit des mesures pour la protection des écosystèmes marines conformément à la NES n°6 et l’OP/B.P 7.50 relative aux cours d’eau internationales</w:t>
            </w:r>
          </w:p>
        </w:tc>
      </w:tr>
      <w:tr w:rsidR="00BB0401" w:rsidRPr="001E4043" w14:paraId="751E81C2"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513F2A2F" w14:textId="77777777" w:rsidR="001C2F95" w:rsidRPr="00730A4A" w:rsidRDefault="001C2F95" w:rsidP="00730A4A">
            <w:pPr>
              <w:autoSpaceDE w:val="0"/>
              <w:autoSpaceDN w:val="0"/>
              <w:adjustRightInd w:val="0"/>
              <w:jc w:val="left"/>
              <w:rPr>
                <w:rFonts w:cs="Arial"/>
                <w:sz w:val="22"/>
              </w:rPr>
            </w:pPr>
            <w:r w:rsidRPr="00730A4A">
              <w:rPr>
                <w:rFonts w:cs="Arial"/>
                <w:sz w:val="22"/>
              </w:rPr>
              <w:t>Accord instituant un Régime Fluvial Uniforme et créant la Commission Internationale du Bassin Congo-Oubangui-Sangha (CICOS).</w:t>
            </w:r>
          </w:p>
        </w:tc>
        <w:tc>
          <w:tcPr>
            <w:tcW w:w="4301" w:type="dxa"/>
            <w:tcBorders>
              <w:top w:val="nil"/>
              <w:left w:val="nil"/>
              <w:bottom w:val="single" w:sz="4" w:space="0" w:color="auto"/>
              <w:right w:val="single" w:sz="4" w:space="0" w:color="auto"/>
            </w:tcBorders>
            <w:shd w:val="clear" w:color="auto" w:fill="auto"/>
            <w:vAlign w:val="center"/>
          </w:tcPr>
          <w:p w14:paraId="7F422D0E" w14:textId="77777777" w:rsidR="001C2F95" w:rsidRPr="00730A4A" w:rsidRDefault="001C2F95" w:rsidP="00730A4A">
            <w:pPr>
              <w:autoSpaceDE w:val="0"/>
              <w:autoSpaceDN w:val="0"/>
              <w:adjustRightInd w:val="0"/>
              <w:rPr>
                <w:rFonts w:cs="Arial"/>
                <w:sz w:val="22"/>
              </w:rPr>
            </w:pPr>
            <w:r w:rsidRPr="00730A4A">
              <w:rPr>
                <w:rFonts w:cs="Arial"/>
                <w:sz w:val="22"/>
              </w:rPr>
              <w:t xml:space="preserve">Cet Accord a pour objet : </w:t>
            </w:r>
          </w:p>
          <w:p w14:paraId="28C76614" w14:textId="77777777" w:rsidR="001C2F95" w:rsidRPr="00730A4A" w:rsidRDefault="001C2F95" w:rsidP="00730A4A">
            <w:pPr>
              <w:pStyle w:val="Paragraphedeliste"/>
              <w:numPr>
                <w:ilvl w:val="0"/>
                <w:numId w:val="103"/>
              </w:numPr>
              <w:autoSpaceDE w:val="0"/>
              <w:autoSpaceDN w:val="0"/>
              <w:adjustRightInd w:val="0"/>
              <w:jc w:val="left"/>
              <w:rPr>
                <w:rFonts w:cs="Arial"/>
                <w:sz w:val="22"/>
              </w:rPr>
            </w:pPr>
            <w:r w:rsidRPr="00730A4A">
              <w:rPr>
                <w:rFonts w:cs="Arial"/>
                <w:sz w:val="22"/>
              </w:rPr>
              <w:t>D’instituer un régime fluvial uniforme de navigation sur la base des principes de liberté et d'égalité de traitement ;</w:t>
            </w:r>
          </w:p>
          <w:p w14:paraId="04A3C7A4" w14:textId="77777777" w:rsidR="001C2F95" w:rsidRPr="00730A4A" w:rsidRDefault="001C2F95" w:rsidP="00730A4A">
            <w:pPr>
              <w:pStyle w:val="Paragraphedeliste"/>
              <w:numPr>
                <w:ilvl w:val="0"/>
                <w:numId w:val="103"/>
              </w:numPr>
              <w:autoSpaceDE w:val="0"/>
              <w:autoSpaceDN w:val="0"/>
              <w:adjustRightInd w:val="0"/>
              <w:jc w:val="left"/>
              <w:rPr>
                <w:rFonts w:cs="Arial"/>
                <w:sz w:val="22"/>
              </w:rPr>
            </w:pPr>
            <w:r w:rsidRPr="00730A4A">
              <w:rPr>
                <w:rFonts w:cs="Arial"/>
                <w:sz w:val="22"/>
              </w:rPr>
              <w:t>D’aménager et d'exploiter le fleuve et les cours d'eau du Bassin dans le respect des principes de liberté de navigation, d'égalité de traitement des usagers, du droit de participation équitable et raisonnable aux avantages tirés de l'utilisation durable des eaux ;</w:t>
            </w:r>
          </w:p>
          <w:p w14:paraId="1A2E7ECD" w14:textId="77777777" w:rsidR="001C2F95" w:rsidRPr="00730A4A" w:rsidRDefault="001C2F95" w:rsidP="00730A4A">
            <w:pPr>
              <w:pStyle w:val="Paragraphedeliste"/>
              <w:autoSpaceDE w:val="0"/>
              <w:autoSpaceDN w:val="0"/>
              <w:adjustRightInd w:val="0"/>
              <w:ind w:left="644"/>
              <w:jc w:val="left"/>
              <w:rPr>
                <w:rFonts w:cs="Arial"/>
                <w:sz w:val="22"/>
              </w:rPr>
            </w:pPr>
          </w:p>
        </w:tc>
        <w:tc>
          <w:tcPr>
            <w:tcW w:w="2353" w:type="dxa"/>
            <w:tcBorders>
              <w:top w:val="nil"/>
              <w:left w:val="nil"/>
              <w:bottom w:val="single" w:sz="4" w:space="0" w:color="auto"/>
              <w:right w:val="single" w:sz="4" w:space="0" w:color="auto"/>
            </w:tcBorders>
            <w:shd w:val="clear" w:color="auto" w:fill="auto"/>
            <w:vAlign w:val="center"/>
          </w:tcPr>
          <w:p w14:paraId="04C33600" w14:textId="77777777" w:rsidR="001C2F95" w:rsidRPr="00730A4A" w:rsidRDefault="001C2F95" w:rsidP="00730A4A">
            <w:pPr>
              <w:autoSpaceDE w:val="0"/>
              <w:autoSpaceDN w:val="0"/>
              <w:adjustRightInd w:val="0"/>
              <w:jc w:val="left"/>
              <w:rPr>
                <w:rFonts w:cs="Arial"/>
                <w:sz w:val="22"/>
              </w:rPr>
            </w:pPr>
            <w:r w:rsidRPr="00730A4A">
              <w:rPr>
                <w:rFonts w:cs="Arial"/>
                <w:sz w:val="22"/>
              </w:rPr>
              <w:t>Brazzaville, 06 novembre 1999</w:t>
            </w:r>
          </w:p>
        </w:tc>
        <w:tc>
          <w:tcPr>
            <w:tcW w:w="5499" w:type="dxa"/>
            <w:shd w:val="clear" w:color="auto" w:fill="auto"/>
          </w:tcPr>
          <w:p w14:paraId="4FFB41F7" w14:textId="77777777" w:rsidR="001C2F95" w:rsidRPr="00730A4A" w:rsidRDefault="001C2F95" w:rsidP="00730A4A">
            <w:pPr>
              <w:autoSpaceDE w:val="0"/>
              <w:autoSpaceDN w:val="0"/>
              <w:adjustRightInd w:val="0"/>
              <w:rPr>
                <w:rFonts w:cs="Arial"/>
                <w:sz w:val="22"/>
              </w:rPr>
            </w:pPr>
            <w:r w:rsidRPr="00730A4A">
              <w:rPr>
                <w:rFonts w:cs="Arial"/>
                <w:sz w:val="22"/>
              </w:rPr>
              <w:t xml:space="preserve">La mise en œuvre des sous-projets agricoles du PNDA dans le Province du Kongo central traversée par le Fleuve Congo qui partage les frontières avec la Congo Brazza et la République d’Angola risque d’impacter sur les rivières affluentes du Fleuve Congo et le Fleuve Congo </w:t>
            </w:r>
            <w:r w:rsidR="00B86CA8" w:rsidRPr="00730A4A">
              <w:rPr>
                <w:rFonts w:cs="Arial"/>
                <w:sz w:val="22"/>
              </w:rPr>
              <w:t>lui-même</w:t>
            </w:r>
            <w:r w:rsidRPr="00730A4A">
              <w:rPr>
                <w:rFonts w:cs="Arial"/>
                <w:sz w:val="22"/>
              </w:rPr>
              <w:t xml:space="preserve"> qui traverse toute la province pour se jeter dans l’océan. Le présent CGES prévoit des mesures pour la protection de l’OP/B.P 7.50 relative aux cours d’eau internationales. Le PNDA devra envoyer une notification aux états riverains avec toutes les informations sur le Programme y compris celles sur les études d’impact des activités du projet sur ce bassin versant. Le destinataire de la notification dans ce sera la Commission Internationale du Bassin Congo-Oubangui-Sangha (CICOS).</w:t>
            </w:r>
          </w:p>
        </w:tc>
      </w:tr>
      <w:tr w:rsidR="00BB0401" w:rsidRPr="001E4043" w14:paraId="43E56B43"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2E64F84C" w14:textId="77777777" w:rsidR="001C2F95" w:rsidRPr="00730A4A" w:rsidRDefault="001C2F95" w:rsidP="00730A4A">
            <w:pPr>
              <w:autoSpaceDE w:val="0"/>
              <w:autoSpaceDN w:val="0"/>
              <w:adjustRightInd w:val="0"/>
              <w:jc w:val="left"/>
              <w:rPr>
                <w:rFonts w:cs="Arial"/>
                <w:sz w:val="22"/>
              </w:rPr>
            </w:pPr>
            <w:r w:rsidRPr="00730A4A">
              <w:rPr>
                <w:rFonts w:cs="Arial"/>
                <w:sz w:val="22"/>
              </w:rPr>
              <w:t>Convention N° 111 concernant la discrimination (emploi profession)</w:t>
            </w:r>
          </w:p>
        </w:tc>
        <w:tc>
          <w:tcPr>
            <w:tcW w:w="4301" w:type="dxa"/>
            <w:tcBorders>
              <w:top w:val="nil"/>
              <w:left w:val="nil"/>
              <w:bottom w:val="single" w:sz="4" w:space="0" w:color="auto"/>
              <w:right w:val="single" w:sz="4" w:space="0" w:color="auto"/>
            </w:tcBorders>
            <w:shd w:val="clear" w:color="auto" w:fill="auto"/>
            <w:vAlign w:val="center"/>
          </w:tcPr>
          <w:p w14:paraId="72964928" w14:textId="77777777" w:rsidR="001C2F95" w:rsidRPr="00730A4A" w:rsidRDefault="001C2F95" w:rsidP="00730A4A">
            <w:pPr>
              <w:autoSpaceDE w:val="0"/>
              <w:autoSpaceDN w:val="0"/>
              <w:adjustRightInd w:val="0"/>
              <w:rPr>
                <w:rFonts w:cs="Arial"/>
                <w:sz w:val="22"/>
              </w:rPr>
            </w:pPr>
            <w:r w:rsidRPr="00730A4A">
              <w:rPr>
                <w:rFonts w:cs="Arial"/>
                <w:sz w:val="22"/>
              </w:rPr>
              <w:t xml:space="preserve">Cette </w:t>
            </w:r>
            <w:r w:rsidR="00B86CA8" w:rsidRPr="00730A4A">
              <w:rPr>
                <w:rFonts w:cs="Arial"/>
                <w:sz w:val="22"/>
              </w:rPr>
              <w:t>C</w:t>
            </w:r>
            <w:r w:rsidRPr="00730A4A">
              <w:rPr>
                <w:rFonts w:cs="Arial"/>
                <w:sz w:val="22"/>
              </w:rPr>
              <w:t>onvention lutte contre la discrimination en matière d'emploi et de profession. la discrimination constitue une violation de droits énoncés dans la Déclaration universelle des droits de l'homme</w:t>
            </w:r>
          </w:p>
        </w:tc>
        <w:tc>
          <w:tcPr>
            <w:tcW w:w="2353" w:type="dxa"/>
            <w:tcBorders>
              <w:top w:val="nil"/>
              <w:left w:val="nil"/>
              <w:bottom w:val="single" w:sz="4" w:space="0" w:color="auto"/>
              <w:right w:val="single" w:sz="4" w:space="0" w:color="auto"/>
            </w:tcBorders>
            <w:shd w:val="clear" w:color="auto" w:fill="auto"/>
            <w:vAlign w:val="center"/>
          </w:tcPr>
          <w:p w14:paraId="0A8183AA" w14:textId="77777777" w:rsidR="001C2F95" w:rsidRPr="00730A4A" w:rsidRDefault="00B86CA8" w:rsidP="00730A4A">
            <w:pPr>
              <w:autoSpaceDE w:val="0"/>
              <w:autoSpaceDN w:val="0"/>
              <w:adjustRightInd w:val="0"/>
              <w:jc w:val="left"/>
              <w:rPr>
                <w:rFonts w:cs="Arial"/>
                <w:sz w:val="22"/>
              </w:rPr>
            </w:pPr>
            <w:r w:rsidRPr="00730A4A">
              <w:rPr>
                <w:rFonts w:cs="Arial"/>
                <w:sz w:val="22"/>
              </w:rPr>
              <w:t>R</w:t>
            </w:r>
            <w:r w:rsidR="001C2F95" w:rsidRPr="00730A4A">
              <w:rPr>
                <w:rFonts w:cs="Arial"/>
                <w:sz w:val="22"/>
              </w:rPr>
              <w:t>atifiée le 20/06/2001</w:t>
            </w:r>
          </w:p>
        </w:tc>
        <w:tc>
          <w:tcPr>
            <w:tcW w:w="5499" w:type="dxa"/>
            <w:shd w:val="clear" w:color="auto" w:fill="auto"/>
          </w:tcPr>
          <w:p w14:paraId="25A4B540" w14:textId="77777777" w:rsidR="001C2F95" w:rsidRPr="00730A4A" w:rsidRDefault="001C2F95" w:rsidP="00730A4A">
            <w:pPr>
              <w:autoSpaceDE w:val="0"/>
              <w:autoSpaceDN w:val="0"/>
              <w:adjustRightInd w:val="0"/>
              <w:rPr>
                <w:rFonts w:cs="Arial"/>
                <w:sz w:val="22"/>
              </w:rPr>
            </w:pPr>
            <w:r w:rsidRPr="00730A4A">
              <w:rPr>
                <w:rFonts w:cs="Arial"/>
                <w:sz w:val="22"/>
              </w:rPr>
              <w:t xml:space="preserve">La discrimination désigne : </w:t>
            </w:r>
          </w:p>
          <w:p w14:paraId="3ACA1D56" w14:textId="77777777" w:rsidR="001C2F95" w:rsidRPr="00730A4A" w:rsidRDefault="001C2F95" w:rsidP="00730A4A">
            <w:pPr>
              <w:pStyle w:val="Paragraphedeliste"/>
              <w:numPr>
                <w:ilvl w:val="0"/>
                <w:numId w:val="103"/>
              </w:numPr>
              <w:autoSpaceDE w:val="0"/>
              <w:autoSpaceDN w:val="0"/>
              <w:adjustRightInd w:val="0"/>
              <w:jc w:val="left"/>
              <w:rPr>
                <w:rFonts w:cs="Arial"/>
                <w:sz w:val="22"/>
              </w:rPr>
            </w:pPr>
            <w:r w:rsidRPr="00730A4A">
              <w:rPr>
                <w:rFonts w:cs="Arial"/>
                <w:sz w:val="22"/>
              </w:rPr>
              <w:t>toute distinction, exclusion ou préférence fondée sur la race, la couleur, le sexe, la religion, l'opinion politique, l'ascendance nationale ou l'origine sociale, qui a pour effet de détruire ou d'altérer l'égalité de chances ou de traitement en matière d'emploi ou de profession ;</w:t>
            </w:r>
          </w:p>
          <w:p w14:paraId="76D431D9" w14:textId="77777777" w:rsidR="001C2F95" w:rsidRPr="00730A4A" w:rsidRDefault="001C2F95" w:rsidP="00730A4A">
            <w:pPr>
              <w:pStyle w:val="Paragraphedeliste"/>
              <w:numPr>
                <w:ilvl w:val="0"/>
                <w:numId w:val="103"/>
              </w:numPr>
              <w:autoSpaceDE w:val="0"/>
              <w:autoSpaceDN w:val="0"/>
              <w:adjustRightInd w:val="0"/>
              <w:jc w:val="left"/>
              <w:rPr>
                <w:rFonts w:cs="Arial"/>
                <w:sz w:val="22"/>
              </w:rPr>
            </w:pPr>
            <w:r w:rsidRPr="00730A4A">
              <w:rPr>
                <w:rFonts w:cs="Arial"/>
                <w:sz w:val="22"/>
              </w:rPr>
              <w:t>toute autre distinction, exclusion ou préférence ayant pour effet de détruire ou d'altérer l'égalité de chances ou de traitement en matière d'emploi ou de profession, qui pourra être spécifiée par le Membre intéressé après consultation des organisations représentatives d'employeurs et de travailleurs, s'il en existe, et d'autres organismes appropriés.</w:t>
            </w:r>
          </w:p>
          <w:p w14:paraId="45894838" w14:textId="77777777" w:rsidR="001C2F95" w:rsidRPr="00730A4A" w:rsidRDefault="001C2F95" w:rsidP="00730A4A">
            <w:pPr>
              <w:autoSpaceDE w:val="0"/>
              <w:autoSpaceDN w:val="0"/>
              <w:adjustRightInd w:val="0"/>
              <w:jc w:val="left"/>
              <w:rPr>
                <w:rFonts w:cs="Arial"/>
                <w:sz w:val="22"/>
              </w:rPr>
            </w:pPr>
          </w:p>
          <w:p w14:paraId="3EA465E2" w14:textId="77777777" w:rsidR="001C2F95" w:rsidRPr="00730A4A" w:rsidRDefault="001C2F95" w:rsidP="00730A4A">
            <w:pPr>
              <w:autoSpaceDE w:val="0"/>
              <w:autoSpaceDN w:val="0"/>
              <w:adjustRightInd w:val="0"/>
              <w:jc w:val="left"/>
              <w:rPr>
                <w:rFonts w:cs="Arial"/>
                <w:sz w:val="22"/>
              </w:rPr>
            </w:pPr>
            <w:r w:rsidRPr="00730A4A">
              <w:rPr>
                <w:rFonts w:cs="Arial"/>
                <w:sz w:val="22"/>
              </w:rPr>
              <w:t>Le PNDA préconise des mesures d’atténuation et veillera au respect strict de la Convention conformément à la législation nationale et à la NES n°2 du CES de la Banque mondiale.</w:t>
            </w:r>
          </w:p>
        </w:tc>
      </w:tr>
      <w:tr w:rsidR="00BB0401" w:rsidRPr="001E4043" w14:paraId="7AFF3237"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5350D336" w14:textId="77777777" w:rsidR="001C2F95" w:rsidRPr="00730A4A" w:rsidRDefault="001C2F95" w:rsidP="00730A4A">
            <w:pPr>
              <w:autoSpaceDE w:val="0"/>
              <w:autoSpaceDN w:val="0"/>
              <w:adjustRightInd w:val="0"/>
              <w:rPr>
                <w:rFonts w:cs="Arial"/>
                <w:sz w:val="22"/>
              </w:rPr>
            </w:pPr>
            <w:r w:rsidRPr="00730A4A">
              <w:rPr>
                <w:rFonts w:cs="Arial"/>
                <w:sz w:val="22"/>
              </w:rPr>
              <w:t>La convention (n° 138) sur l’âge minimum de l’Organisation internationale du Travail (OIT)</w:t>
            </w:r>
          </w:p>
        </w:tc>
        <w:tc>
          <w:tcPr>
            <w:tcW w:w="4301" w:type="dxa"/>
            <w:tcBorders>
              <w:top w:val="nil"/>
              <w:left w:val="nil"/>
              <w:bottom w:val="single" w:sz="4" w:space="0" w:color="auto"/>
              <w:right w:val="single" w:sz="4" w:space="0" w:color="auto"/>
            </w:tcBorders>
            <w:shd w:val="clear" w:color="auto" w:fill="auto"/>
            <w:vAlign w:val="center"/>
          </w:tcPr>
          <w:p w14:paraId="5EC3B1B5" w14:textId="77777777" w:rsidR="001C2F95" w:rsidRPr="00730A4A" w:rsidRDefault="001C2F95" w:rsidP="00730A4A">
            <w:pPr>
              <w:autoSpaceDE w:val="0"/>
              <w:autoSpaceDN w:val="0"/>
              <w:adjustRightInd w:val="0"/>
              <w:rPr>
                <w:rFonts w:cs="Arial"/>
                <w:sz w:val="22"/>
              </w:rPr>
            </w:pPr>
            <w:r w:rsidRPr="00730A4A">
              <w:rPr>
                <w:rFonts w:cs="Arial"/>
                <w:sz w:val="22"/>
              </w:rPr>
              <w:t>La convention (n° 138) sur l’âge minimum de l’Organisation internationale du Travail (OIT) a pour objectif l’abolition effective du travail des enfants – travail dangereux pour la santé, la sécurité ou la moralité des enfants, interférant avec l’enseignement obligatoire ou pour lequel ils sont simplement trop jeunes.</w:t>
            </w:r>
          </w:p>
        </w:tc>
        <w:tc>
          <w:tcPr>
            <w:tcW w:w="2353" w:type="dxa"/>
            <w:tcBorders>
              <w:top w:val="nil"/>
              <w:left w:val="nil"/>
              <w:bottom w:val="single" w:sz="4" w:space="0" w:color="auto"/>
              <w:right w:val="single" w:sz="4" w:space="0" w:color="auto"/>
            </w:tcBorders>
            <w:shd w:val="clear" w:color="auto" w:fill="auto"/>
            <w:vAlign w:val="center"/>
          </w:tcPr>
          <w:p w14:paraId="14854699" w14:textId="77777777" w:rsidR="001C2F95" w:rsidRPr="00730A4A" w:rsidRDefault="001C2F95" w:rsidP="00730A4A">
            <w:pPr>
              <w:autoSpaceDE w:val="0"/>
              <w:autoSpaceDN w:val="0"/>
              <w:adjustRightInd w:val="0"/>
              <w:jc w:val="left"/>
              <w:rPr>
                <w:rFonts w:cs="Arial"/>
                <w:sz w:val="22"/>
              </w:rPr>
            </w:pPr>
            <w:r w:rsidRPr="00730A4A">
              <w:rPr>
                <w:rFonts w:cs="Arial"/>
                <w:sz w:val="22"/>
              </w:rPr>
              <w:t>Entrée en vigueur le 17 juin 1976. Elle a été ratifiée par la RDC, le 20 juin 2001</w:t>
            </w:r>
          </w:p>
        </w:tc>
        <w:tc>
          <w:tcPr>
            <w:tcW w:w="5499" w:type="dxa"/>
            <w:shd w:val="clear" w:color="auto" w:fill="auto"/>
          </w:tcPr>
          <w:p w14:paraId="57F206E4" w14:textId="77777777" w:rsidR="001C2F95" w:rsidRPr="00730A4A" w:rsidRDefault="001C2F95" w:rsidP="00730A4A">
            <w:pPr>
              <w:autoSpaceDE w:val="0"/>
              <w:autoSpaceDN w:val="0"/>
              <w:adjustRightInd w:val="0"/>
              <w:rPr>
                <w:rFonts w:cs="Arial"/>
                <w:sz w:val="22"/>
              </w:rPr>
            </w:pPr>
            <w:r w:rsidRPr="00730A4A">
              <w:rPr>
                <w:rFonts w:cs="Arial"/>
                <w:sz w:val="22"/>
              </w:rPr>
              <w:t>La Convention n° 138 fixe à 18 ans l’âge minimum concernant les travaux dangereux, définis comme étant tout type de travail qui, par sa nature ou les conditions dans lesquelles il s’exerce, est susceptible de compromettre la santé, la sécurité ou la moralité des enfants. Le Présent CGES préconise des mesures d’atténuation conformément à la législation nationale et à la NES n°2. Le PNDA veillera au strict respect de cette Convention.</w:t>
            </w:r>
          </w:p>
        </w:tc>
      </w:tr>
      <w:tr w:rsidR="00BB0401" w:rsidRPr="001E4043" w14:paraId="4DA7DFE0" w14:textId="77777777" w:rsidTr="00730A4A">
        <w:tc>
          <w:tcPr>
            <w:tcW w:w="2694" w:type="dxa"/>
            <w:tcBorders>
              <w:top w:val="nil"/>
              <w:left w:val="single" w:sz="4" w:space="0" w:color="auto"/>
              <w:bottom w:val="single" w:sz="4" w:space="0" w:color="auto"/>
              <w:right w:val="single" w:sz="4" w:space="0" w:color="auto"/>
            </w:tcBorders>
            <w:shd w:val="clear" w:color="auto" w:fill="auto"/>
            <w:vAlign w:val="center"/>
          </w:tcPr>
          <w:p w14:paraId="2B365C92" w14:textId="77777777" w:rsidR="001C2F95" w:rsidRPr="00730A4A" w:rsidRDefault="001C2F95" w:rsidP="00730A4A">
            <w:pPr>
              <w:autoSpaceDE w:val="0"/>
              <w:autoSpaceDN w:val="0"/>
              <w:adjustRightInd w:val="0"/>
              <w:jc w:val="left"/>
              <w:rPr>
                <w:rFonts w:cs="Arial"/>
                <w:sz w:val="22"/>
              </w:rPr>
            </w:pPr>
            <w:r w:rsidRPr="00730A4A">
              <w:rPr>
                <w:rFonts w:cs="Arial"/>
                <w:sz w:val="22"/>
              </w:rPr>
              <w:t>Convention sur l'élimination de toutes les formes de discrimination à l’égard des femmes ou la déclaration sur l’élimination de la violence contre les femmes</w:t>
            </w:r>
          </w:p>
        </w:tc>
        <w:tc>
          <w:tcPr>
            <w:tcW w:w="4301" w:type="dxa"/>
            <w:tcBorders>
              <w:top w:val="nil"/>
              <w:left w:val="nil"/>
              <w:bottom w:val="single" w:sz="4" w:space="0" w:color="auto"/>
              <w:right w:val="single" w:sz="4" w:space="0" w:color="auto"/>
            </w:tcBorders>
            <w:shd w:val="clear" w:color="auto" w:fill="auto"/>
            <w:vAlign w:val="center"/>
          </w:tcPr>
          <w:p w14:paraId="5F8A18CA" w14:textId="77777777" w:rsidR="001C2F95" w:rsidRPr="00730A4A" w:rsidRDefault="001C2F95" w:rsidP="00730A4A">
            <w:pPr>
              <w:autoSpaceDE w:val="0"/>
              <w:autoSpaceDN w:val="0"/>
              <w:adjustRightInd w:val="0"/>
              <w:rPr>
                <w:rFonts w:cs="Arial"/>
                <w:sz w:val="22"/>
              </w:rPr>
            </w:pPr>
            <w:r w:rsidRPr="00730A4A">
              <w:rPr>
                <w:rFonts w:cs="Arial"/>
                <w:sz w:val="22"/>
              </w:rPr>
              <w:t xml:space="preserve">Cette Convention </w:t>
            </w:r>
            <w:r w:rsidR="00B86CA8" w:rsidRPr="00730A4A">
              <w:rPr>
                <w:rFonts w:cs="Arial"/>
                <w:sz w:val="22"/>
              </w:rPr>
              <w:t>prône</w:t>
            </w:r>
            <w:r w:rsidRPr="00730A4A">
              <w:rPr>
                <w:rFonts w:cs="Arial"/>
                <w:sz w:val="22"/>
              </w:rPr>
              <w:t xml:space="preserve"> les droits fondamentaux de l'homme, dans la dignité et la valeur de la personne humaine et dans l'égalité de droits des hommes et des femmes.</w:t>
            </w:r>
          </w:p>
        </w:tc>
        <w:tc>
          <w:tcPr>
            <w:tcW w:w="2353" w:type="dxa"/>
            <w:tcBorders>
              <w:top w:val="nil"/>
              <w:left w:val="nil"/>
              <w:bottom w:val="single" w:sz="4" w:space="0" w:color="auto"/>
              <w:right w:val="single" w:sz="4" w:space="0" w:color="auto"/>
            </w:tcBorders>
            <w:shd w:val="clear" w:color="auto" w:fill="auto"/>
            <w:vAlign w:val="center"/>
          </w:tcPr>
          <w:p w14:paraId="4FE5EFB9" w14:textId="77777777" w:rsidR="001C2F95" w:rsidRPr="00730A4A" w:rsidRDefault="001C2F95" w:rsidP="00730A4A">
            <w:pPr>
              <w:autoSpaceDE w:val="0"/>
              <w:autoSpaceDN w:val="0"/>
              <w:adjustRightInd w:val="0"/>
              <w:jc w:val="left"/>
              <w:rPr>
                <w:rFonts w:cs="Arial"/>
                <w:sz w:val="22"/>
              </w:rPr>
            </w:pPr>
            <w:r w:rsidRPr="00730A4A">
              <w:rPr>
                <w:rFonts w:cs="Arial"/>
                <w:sz w:val="22"/>
              </w:rPr>
              <w:t>A été adoptée le 18 Décembre 1979 par l’Assemblée générale des Nations Unies. Elle a été signée en 1980 et ratifiée en 1986 par la RDC. Elle est entrée en vigueur le 3 septembre 1981 après avoir été ratifiée par 20 pays</w:t>
            </w:r>
          </w:p>
        </w:tc>
        <w:tc>
          <w:tcPr>
            <w:tcW w:w="5499" w:type="dxa"/>
            <w:shd w:val="clear" w:color="auto" w:fill="auto"/>
          </w:tcPr>
          <w:p w14:paraId="432A6D17" w14:textId="77777777" w:rsidR="001C2F95" w:rsidRPr="00730A4A" w:rsidRDefault="001C2F95" w:rsidP="00730A4A">
            <w:pPr>
              <w:autoSpaceDE w:val="0"/>
              <w:autoSpaceDN w:val="0"/>
              <w:adjustRightInd w:val="0"/>
              <w:rPr>
                <w:rFonts w:cs="Arial"/>
                <w:sz w:val="22"/>
              </w:rPr>
            </w:pPr>
            <w:r w:rsidRPr="00730A4A">
              <w:rPr>
                <w:rFonts w:cs="Arial"/>
                <w:sz w:val="22"/>
              </w:rPr>
              <w:t>Étant donné le PNDA va embaucher des hommes et des femmes dans son programme, il se conformera ladite Convention, à la législation nationale et Les recommandations de la Note de bonnes pratiques pour lutter contre l’exploitation et l’abus sexuel et le harcèlement sexuel dans le cadre du financement de projets d´investissement comportant de grands travaux de génie civil (World Bank, septembre 2018) seront tenues en compte pour l´enrichissement des mesures de prévention, atténuation et réponse aux risques VBG liés au projet.</w:t>
            </w:r>
          </w:p>
        </w:tc>
      </w:tr>
      <w:tr w:rsidR="00BB0401" w:rsidRPr="001E4043" w14:paraId="00361123" w14:textId="77777777" w:rsidTr="00730A4A">
        <w:trPr>
          <w:trHeight w:val="2956"/>
        </w:trPr>
        <w:tc>
          <w:tcPr>
            <w:tcW w:w="2694" w:type="dxa"/>
            <w:tcBorders>
              <w:top w:val="nil"/>
              <w:left w:val="single" w:sz="4" w:space="0" w:color="auto"/>
              <w:bottom w:val="single" w:sz="4" w:space="0" w:color="auto"/>
              <w:right w:val="single" w:sz="4" w:space="0" w:color="auto"/>
            </w:tcBorders>
            <w:shd w:val="clear" w:color="auto" w:fill="auto"/>
            <w:vAlign w:val="bottom"/>
          </w:tcPr>
          <w:p w14:paraId="3C446A05" w14:textId="77777777" w:rsidR="001C2F95" w:rsidRPr="00730A4A" w:rsidRDefault="001C2F95" w:rsidP="00730A4A">
            <w:pPr>
              <w:autoSpaceDE w:val="0"/>
              <w:autoSpaceDN w:val="0"/>
              <w:adjustRightInd w:val="0"/>
              <w:jc w:val="left"/>
              <w:rPr>
                <w:rFonts w:cs="Arial"/>
                <w:sz w:val="22"/>
              </w:rPr>
            </w:pPr>
            <w:r w:rsidRPr="00730A4A">
              <w:rPr>
                <w:rFonts w:cs="Arial"/>
                <w:sz w:val="22"/>
              </w:rPr>
              <w:t xml:space="preserve">Résolution 2011/33 du 23 juillet 2011 sur la Prévention, la protection et la coopération internationale contre l’utilisation de nouvelles technologies d’information pour abus et/ou exploitation des enfants </w:t>
            </w:r>
          </w:p>
        </w:tc>
        <w:tc>
          <w:tcPr>
            <w:tcW w:w="4301" w:type="dxa"/>
            <w:tcBorders>
              <w:top w:val="nil"/>
              <w:left w:val="nil"/>
              <w:bottom w:val="single" w:sz="4" w:space="0" w:color="auto"/>
              <w:right w:val="single" w:sz="4" w:space="0" w:color="auto"/>
            </w:tcBorders>
            <w:shd w:val="clear" w:color="auto" w:fill="auto"/>
            <w:vAlign w:val="bottom"/>
          </w:tcPr>
          <w:p w14:paraId="27A40CE5" w14:textId="77777777" w:rsidR="001C2F95" w:rsidRPr="00730A4A" w:rsidRDefault="001C2F95" w:rsidP="00730A4A">
            <w:pPr>
              <w:autoSpaceDE w:val="0"/>
              <w:autoSpaceDN w:val="0"/>
              <w:adjustRightInd w:val="0"/>
              <w:rPr>
                <w:rFonts w:cs="Arial"/>
                <w:sz w:val="22"/>
              </w:rPr>
            </w:pPr>
            <w:r w:rsidRPr="00730A4A">
              <w:rPr>
                <w:rFonts w:cs="Arial"/>
                <w:sz w:val="22"/>
              </w:rPr>
              <w:t>Cette Résolution vise la prévention, la protection et la coopération internationale contre l’utilisation de nouvelles technologies d’information pour abus et/ou exploitation des enfants</w:t>
            </w:r>
          </w:p>
          <w:p w14:paraId="5B8F872E" w14:textId="77777777" w:rsidR="001C2F95" w:rsidRPr="00730A4A" w:rsidRDefault="001C2F95" w:rsidP="00730A4A">
            <w:pPr>
              <w:autoSpaceDE w:val="0"/>
              <w:autoSpaceDN w:val="0"/>
              <w:adjustRightInd w:val="0"/>
              <w:rPr>
                <w:rFonts w:cs="Arial"/>
                <w:sz w:val="22"/>
              </w:rPr>
            </w:pPr>
          </w:p>
          <w:p w14:paraId="2C41CF52" w14:textId="77777777" w:rsidR="001C2F95" w:rsidRPr="00730A4A" w:rsidRDefault="001C2F95" w:rsidP="00730A4A">
            <w:pPr>
              <w:autoSpaceDE w:val="0"/>
              <w:autoSpaceDN w:val="0"/>
              <w:adjustRightInd w:val="0"/>
              <w:rPr>
                <w:rFonts w:cs="Arial"/>
                <w:sz w:val="22"/>
              </w:rPr>
            </w:pPr>
          </w:p>
          <w:p w14:paraId="73BB4DEF" w14:textId="77777777" w:rsidR="001C2F95" w:rsidRPr="00730A4A" w:rsidRDefault="001C2F95" w:rsidP="00730A4A">
            <w:pPr>
              <w:autoSpaceDE w:val="0"/>
              <w:autoSpaceDN w:val="0"/>
              <w:adjustRightInd w:val="0"/>
              <w:rPr>
                <w:rFonts w:cs="Arial"/>
                <w:sz w:val="22"/>
              </w:rPr>
            </w:pPr>
          </w:p>
          <w:p w14:paraId="73A9BF29" w14:textId="77777777" w:rsidR="001C2F95" w:rsidRPr="00730A4A" w:rsidRDefault="001C2F95" w:rsidP="00730A4A">
            <w:pPr>
              <w:autoSpaceDE w:val="0"/>
              <w:autoSpaceDN w:val="0"/>
              <w:adjustRightInd w:val="0"/>
              <w:rPr>
                <w:rFonts w:cs="Arial"/>
                <w:sz w:val="22"/>
              </w:rPr>
            </w:pPr>
          </w:p>
          <w:p w14:paraId="5217731E" w14:textId="77777777" w:rsidR="001C2F95" w:rsidRPr="00730A4A" w:rsidRDefault="001C2F95" w:rsidP="00730A4A">
            <w:pPr>
              <w:autoSpaceDE w:val="0"/>
              <w:autoSpaceDN w:val="0"/>
              <w:adjustRightInd w:val="0"/>
              <w:rPr>
                <w:rFonts w:cs="Arial"/>
                <w:sz w:val="22"/>
              </w:rPr>
            </w:pPr>
          </w:p>
        </w:tc>
        <w:tc>
          <w:tcPr>
            <w:tcW w:w="2353" w:type="dxa"/>
            <w:tcBorders>
              <w:top w:val="nil"/>
              <w:left w:val="nil"/>
              <w:bottom w:val="single" w:sz="4" w:space="0" w:color="auto"/>
              <w:right w:val="single" w:sz="4" w:space="0" w:color="auto"/>
            </w:tcBorders>
            <w:shd w:val="clear" w:color="auto" w:fill="auto"/>
            <w:vAlign w:val="bottom"/>
          </w:tcPr>
          <w:p w14:paraId="68A81D0A" w14:textId="77777777" w:rsidR="001C2F95" w:rsidRPr="00730A4A" w:rsidRDefault="001C2F95" w:rsidP="00730A4A">
            <w:pPr>
              <w:spacing w:line="240" w:lineRule="auto"/>
              <w:jc w:val="left"/>
              <w:rPr>
                <w:rFonts w:cs="Arial"/>
                <w:sz w:val="22"/>
              </w:rPr>
            </w:pPr>
          </w:p>
          <w:p w14:paraId="146EEBFE" w14:textId="77777777" w:rsidR="001C2F95" w:rsidRPr="00730A4A" w:rsidRDefault="001C2F95" w:rsidP="00730A4A">
            <w:pPr>
              <w:spacing w:line="240" w:lineRule="auto"/>
              <w:jc w:val="left"/>
              <w:rPr>
                <w:rFonts w:cs="Arial"/>
                <w:sz w:val="22"/>
              </w:rPr>
            </w:pPr>
            <w:r w:rsidRPr="00730A4A">
              <w:rPr>
                <w:rFonts w:cs="Arial"/>
                <w:sz w:val="22"/>
              </w:rPr>
              <w:t>Entrée en vigueur le 23 juillet 2011</w:t>
            </w:r>
          </w:p>
          <w:p w14:paraId="7E601D33" w14:textId="77777777" w:rsidR="001C2F95" w:rsidRPr="00730A4A" w:rsidRDefault="001C2F95" w:rsidP="00730A4A">
            <w:pPr>
              <w:spacing w:line="240" w:lineRule="auto"/>
              <w:jc w:val="left"/>
              <w:rPr>
                <w:rFonts w:cs="Arial"/>
                <w:sz w:val="22"/>
              </w:rPr>
            </w:pPr>
          </w:p>
          <w:p w14:paraId="484D3AFE" w14:textId="77777777" w:rsidR="001C2F95" w:rsidRPr="00730A4A" w:rsidRDefault="001C2F95" w:rsidP="00730A4A">
            <w:pPr>
              <w:spacing w:line="240" w:lineRule="auto"/>
              <w:jc w:val="left"/>
              <w:rPr>
                <w:rFonts w:cs="Arial"/>
                <w:sz w:val="22"/>
              </w:rPr>
            </w:pPr>
          </w:p>
          <w:p w14:paraId="55DCF9B7" w14:textId="77777777" w:rsidR="001C2F95" w:rsidRPr="00730A4A" w:rsidRDefault="001C2F95" w:rsidP="00730A4A">
            <w:pPr>
              <w:spacing w:line="240" w:lineRule="auto"/>
              <w:jc w:val="left"/>
              <w:rPr>
                <w:rFonts w:cs="Arial"/>
                <w:sz w:val="22"/>
              </w:rPr>
            </w:pPr>
          </w:p>
          <w:p w14:paraId="1964BA59" w14:textId="77777777" w:rsidR="001C2F95" w:rsidRPr="00730A4A" w:rsidRDefault="001C2F95" w:rsidP="00730A4A">
            <w:pPr>
              <w:spacing w:line="240" w:lineRule="auto"/>
              <w:jc w:val="left"/>
              <w:rPr>
                <w:rFonts w:cs="Arial"/>
                <w:sz w:val="22"/>
              </w:rPr>
            </w:pPr>
          </w:p>
          <w:p w14:paraId="484DAC24" w14:textId="77777777" w:rsidR="001C2F95" w:rsidRPr="00730A4A" w:rsidRDefault="001C2F95" w:rsidP="00730A4A">
            <w:pPr>
              <w:spacing w:line="240" w:lineRule="auto"/>
              <w:jc w:val="left"/>
              <w:rPr>
                <w:rFonts w:cs="Arial"/>
                <w:sz w:val="22"/>
              </w:rPr>
            </w:pPr>
          </w:p>
          <w:p w14:paraId="66D1C9AD" w14:textId="77777777" w:rsidR="001C2F95" w:rsidRPr="00730A4A" w:rsidRDefault="001C2F95" w:rsidP="00730A4A">
            <w:pPr>
              <w:spacing w:line="240" w:lineRule="auto"/>
              <w:jc w:val="left"/>
              <w:rPr>
                <w:rFonts w:cs="Arial"/>
                <w:sz w:val="22"/>
              </w:rPr>
            </w:pPr>
          </w:p>
          <w:p w14:paraId="1932E192" w14:textId="77777777" w:rsidR="001C2F95" w:rsidRPr="00730A4A" w:rsidRDefault="001C2F95" w:rsidP="00730A4A">
            <w:pPr>
              <w:spacing w:line="240" w:lineRule="auto"/>
              <w:jc w:val="left"/>
              <w:rPr>
                <w:rFonts w:cs="Arial"/>
                <w:sz w:val="22"/>
              </w:rPr>
            </w:pPr>
          </w:p>
          <w:p w14:paraId="50044AD8" w14:textId="77777777" w:rsidR="001C2F95" w:rsidRPr="00730A4A" w:rsidRDefault="001C2F95" w:rsidP="00730A4A">
            <w:pPr>
              <w:spacing w:line="240" w:lineRule="auto"/>
              <w:jc w:val="left"/>
              <w:rPr>
                <w:rFonts w:cs="Arial"/>
                <w:sz w:val="22"/>
              </w:rPr>
            </w:pPr>
          </w:p>
          <w:p w14:paraId="4FB83222" w14:textId="77777777" w:rsidR="001C2F95" w:rsidRPr="00730A4A" w:rsidRDefault="001C2F95" w:rsidP="00730A4A">
            <w:pPr>
              <w:autoSpaceDE w:val="0"/>
              <w:autoSpaceDN w:val="0"/>
              <w:adjustRightInd w:val="0"/>
              <w:jc w:val="left"/>
              <w:rPr>
                <w:rFonts w:cs="Arial"/>
                <w:sz w:val="22"/>
              </w:rPr>
            </w:pPr>
          </w:p>
        </w:tc>
        <w:tc>
          <w:tcPr>
            <w:tcW w:w="5499" w:type="dxa"/>
            <w:shd w:val="clear" w:color="auto" w:fill="auto"/>
          </w:tcPr>
          <w:p w14:paraId="6868313E" w14:textId="77777777" w:rsidR="001C2F95" w:rsidRPr="00730A4A" w:rsidRDefault="001C2F95" w:rsidP="00730A4A">
            <w:pPr>
              <w:autoSpaceDE w:val="0"/>
              <w:autoSpaceDN w:val="0"/>
              <w:adjustRightInd w:val="0"/>
              <w:rPr>
                <w:rFonts w:cs="Arial"/>
                <w:sz w:val="22"/>
              </w:rPr>
            </w:pPr>
            <w:r w:rsidRPr="00730A4A">
              <w:rPr>
                <w:rFonts w:cs="Arial"/>
                <w:sz w:val="22"/>
              </w:rPr>
              <w:t>Le PNDA veillera au respect strict de ladite Résolution et le CGES prévoit des mesures d’atténuation conformément à la législation nationale et à la NES n°2.</w:t>
            </w:r>
          </w:p>
        </w:tc>
      </w:tr>
    </w:tbl>
    <w:p w14:paraId="353C17A0" w14:textId="77777777" w:rsidR="00B86CA8" w:rsidRDefault="00B86CA8" w:rsidP="001C2F95">
      <w:pPr>
        <w:autoSpaceDE w:val="0"/>
        <w:autoSpaceDN w:val="0"/>
        <w:adjustRightInd w:val="0"/>
        <w:rPr>
          <w:rFonts w:cs="Arial"/>
          <w:sz w:val="22"/>
        </w:rPr>
        <w:sectPr w:rsidR="00B86CA8" w:rsidSect="00B86CA8">
          <w:pgSz w:w="16838" w:h="11906" w:orient="landscape"/>
          <w:pgMar w:top="1440" w:right="1440" w:bottom="1440" w:left="1276" w:header="709" w:footer="79" w:gutter="0"/>
          <w:cols w:space="708"/>
          <w:docGrid w:linePitch="360"/>
        </w:sectPr>
      </w:pPr>
    </w:p>
    <w:p w14:paraId="5D631989" w14:textId="77777777" w:rsidR="004B5AFD" w:rsidRDefault="004B5AFD" w:rsidP="001C2F95">
      <w:pPr>
        <w:pStyle w:val="Titre2"/>
        <w:numPr>
          <w:ilvl w:val="2"/>
          <w:numId w:val="4"/>
        </w:numPr>
        <w:ind w:left="1560" w:hanging="709"/>
        <w:rPr>
          <w:rFonts w:cs="Arial"/>
          <w:i/>
          <w:sz w:val="22"/>
          <w:szCs w:val="22"/>
        </w:rPr>
      </w:pPr>
      <w:bookmarkStart w:id="237" w:name="_Toc70330357"/>
      <w:bookmarkStart w:id="238" w:name="_Toc44626813"/>
      <w:r>
        <w:rPr>
          <w:rFonts w:cs="Arial"/>
          <w:i/>
          <w:sz w:val="22"/>
          <w:szCs w:val="22"/>
        </w:rPr>
        <w:t>Cadre Environnemental et Social de la Banque mondiale</w:t>
      </w:r>
      <w:bookmarkEnd w:id="237"/>
    </w:p>
    <w:p w14:paraId="3DD77EC7" w14:textId="77777777" w:rsidR="004B5AFD" w:rsidRDefault="004B5AFD" w:rsidP="004B5AFD"/>
    <w:p w14:paraId="0F276240" w14:textId="77777777" w:rsidR="004B5AFD" w:rsidRDefault="004B5AFD" w:rsidP="004B5AFD">
      <w:pPr>
        <w:rPr>
          <w:rFonts w:cs="Arial"/>
          <w:sz w:val="22"/>
        </w:rPr>
      </w:pPr>
      <w:r w:rsidRPr="004B5AFD">
        <w:rPr>
          <w:rFonts w:cs="Arial"/>
          <w:sz w:val="22"/>
        </w:rPr>
        <w:t xml:space="preserve">Le Cadre </w:t>
      </w:r>
      <w:r w:rsidR="00D22FDD">
        <w:rPr>
          <w:rFonts w:cs="Arial"/>
          <w:sz w:val="22"/>
        </w:rPr>
        <w:t>E</w:t>
      </w:r>
      <w:r w:rsidRPr="004B5AFD">
        <w:rPr>
          <w:rFonts w:cs="Arial"/>
          <w:sz w:val="22"/>
        </w:rPr>
        <w:t xml:space="preserve">nvironnemental et </w:t>
      </w:r>
      <w:r w:rsidR="00D22FDD">
        <w:rPr>
          <w:rFonts w:cs="Arial"/>
          <w:sz w:val="22"/>
        </w:rPr>
        <w:t>S</w:t>
      </w:r>
      <w:r w:rsidRPr="004B5AFD">
        <w:rPr>
          <w:rFonts w:cs="Arial"/>
          <w:sz w:val="22"/>
        </w:rPr>
        <w:t>ocial de la Banque mondiale décrit l’engagement de la B</w:t>
      </w:r>
      <w:r>
        <w:rPr>
          <w:rFonts w:cs="Arial"/>
          <w:sz w:val="22"/>
        </w:rPr>
        <w:t>anque à promouvoir le développe</w:t>
      </w:r>
      <w:r w:rsidRPr="004B5AFD">
        <w:rPr>
          <w:rFonts w:cs="Arial"/>
          <w:sz w:val="22"/>
        </w:rPr>
        <w:t xml:space="preserve">ment durable à travers une politique et un ensemble de </w:t>
      </w:r>
      <w:r w:rsidR="00D22FDD">
        <w:rPr>
          <w:rFonts w:cs="Arial"/>
          <w:sz w:val="22"/>
        </w:rPr>
        <w:t>N</w:t>
      </w:r>
      <w:r w:rsidRPr="004B5AFD">
        <w:rPr>
          <w:rFonts w:cs="Arial"/>
          <w:sz w:val="22"/>
        </w:rPr>
        <w:t xml:space="preserve">ormes </w:t>
      </w:r>
      <w:r w:rsidR="00D22FDD">
        <w:rPr>
          <w:rFonts w:cs="Arial"/>
          <w:sz w:val="22"/>
        </w:rPr>
        <w:t>E</w:t>
      </w:r>
      <w:r w:rsidRPr="004B5AFD">
        <w:rPr>
          <w:rFonts w:cs="Arial"/>
          <w:sz w:val="22"/>
        </w:rPr>
        <w:t xml:space="preserve">nvironnementales et </w:t>
      </w:r>
      <w:r w:rsidR="00D22FDD">
        <w:rPr>
          <w:rFonts w:cs="Arial"/>
          <w:sz w:val="22"/>
        </w:rPr>
        <w:t>S</w:t>
      </w:r>
      <w:r w:rsidRPr="004B5AFD">
        <w:rPr>
          <w:rFonts w:cs="Arial"/>
          <w:sz w:val="22"/>
        </w:rPr>
        <w:t>ociales conçues pour appuyer les projets des pays emprunteurs dans le but de mettre fin à l’extrême pauvreté et de promouvoir une pro</w:t>
      </w:r>
      <w:r>
        <w:rPr>
          <w:rFonts w:cs="Arial"/>
          <w:sz w:val="22"/>
        </w:rPr>
        <w:t>spérité partagée.</w:t>
      </w:r>
    </w:p>
    <w:p w14:paraId="74F0EF70" w14:textId="77777777" w:rsidR="004B5AFD" w:rsidRDefault="004B5AFD" w:rsidP="004B5AFD">
      <w:pPr>
        <w:rPr>
          <w:rFonts w:cs="Arial"/>
          <w:sz w:val="22"/>
        </w:rPr>
      </w:pPr>
    </w:p>
    <w:p w14:paraId="5A1E92BF" w14:textId="77777777" w:rsidR="004B5AFD" w:rsidRDefault="004B5AFD" w:rsidP="004B5AFD">
      <w:pPr>
        <w:rPr>
          <w:rFonts w:cs="Arial"/>
          <w:sz w:val="22"/>
        </w:rPr>
      </w:pPr>
      <w:r w:rsidRPr="004B5AFD">
        <w:rPr>
          <w:rFonts w:cs="Arial"/>
          <w:sz w:val="22"/>
        </w:rPr>
        <w:t xml:space="preserve">Les Normes </w:t>
      </w:r>
      <w:r w:rsidR="00D22FDD">
        <w:rPr>
          <w:rFonts w:cs="Arial"/>
          <w:sz w:val="22"/>
        </w:rPr>
        <w:t>E</w:t>
      </w:r>
      <w:r w:rsidRPr="004B5AFD">
        <w:rPr>
          <w:rFonts w:cs="Arial"/>
          <w:sz w:val="22"/>
        </w:rPr>
        <w:t xml:space="preserve">nvironnementales et </w:t>
      </w:r>
      <w:r w:rsidR="00D22FDD">
        <w:rPr>
          <w:rFonts w:cs="Arial"/>
          <w:sz w:val="22"/>
        </w:rPr>
        <w:t>S</w:t>
      </w:r>
      <w:r w:rsidRPr="004B5AFD">
        <w:rPr>
          <w:rFonts w:cs="Arial"/>
          <w:sz w:val="22"/>
        </w:rPr>
        <w:t>ociales</w:t>
      </w:r>
      <w:r>
        <w:rPr>
          <w:rFonts w:cs="Arial"/>
          <w:sz w:val="22"/>
        </w:rPr>
        <w:t xml:space="preserve"> décrites dans le CES de la </w:t>
      </w:r>
      <w:r w:rsidR="00D22FDD">
        <w:rPr>
          <w:rFonts w:cs="Arial"/>
          <w:sz w:val="22"/>
        </w:rPr>
        <w:t>B</w:t>
      </w:r>
      <w:r>
        <w:rPr>
          <w:rFonts w:cs="Arial"/>
          <w:sz w:val="22"/>
        </w:rPr>
        <w:t>anque mondiale</w:t>
      </w:r>
      <w:r w:rsidRPr="004B5AFD">
        <w:rPr>
          <w:rFonts w:cs="Arial"/>
          <w:sz w:val="22"/>
        </w:rPr>
        <w:t xml:space="preserve"> énoncent les obligations des Emprunteurs en matière d’identification et d’évaluation des risques et effets environnementaux et sociaux des projets appuyés par la Banque au moyen du Financement de projets d’investissement. La Banque estime que l’application de ces normes, en mettant l’accent sur l’identification et la gestion des risques environnementaux et sociaux, permettra aux Emprunteurs de réaliser leur objectif de réduction de la pauvreté et d’accroissement de la prospérité d’une façon durable pour le bien de leurs citoyens et de l’environnement.</w:t>
      </w:r>
    </w:p>
    <w:p w14:paraId="61F09B5A" w14:textId="77777777" w:rsidR="004B5AFD" w:rsidRDefault="004B5AFD" w:rsidP="004B5AFD">
      <w:pPr>
        <w:rPr>
          <w:rFonts w:cs="Arial"/>
          <w:sz w:val="22"/>
        </w:rPr>
      </w:pPr>
    </w:p>
    <w:p w14:paraId="6684B019" w14:textId="77777777" w:rsidR="004B5AFD" w:rsidRDefault="004B5AFD" w:rsidP="004B5AFD">
      <w:pPr>
        <w:rPr>
          <w:rFonts w:cs="Arial"/>
          <w:sz w:val="22"/>
        </w:rPr>
      </w:pPr>
      <w:r w:rsidRPr="00F65E9B">
        <w:rPr>
          <w:rFonts w:cs="Arial"/>
          <w:sz w:val="22"/>
        </w:rPr>
        <w:t>Ces normes vont  : a) aider les Emprunteurs à appliquer de bonnes pratiques international</w:t>
      </w:r>
      <w:r w:rsidRPr="004B5AFD">
        <w:rPr>
          <w:rFonts w:cs="Arial"/>
          <w:sz w:val="22"/>
        </w:rPr>
        <w:t>es en matière de viabilité envi</w:t>
      </w:r>
      <w:r w:rsidRPr="00F65E9B">
        <w:rPr>
          <w:rFonts w:cs="Arial"/>
          <w:sz w:val="22"/>
        </w:rPr>
        <w:t>ronnementale et sociale ; b) aider les Emprunteurs à s’acquitter de leurs obligations environnementales et sociales au niveau national et international ; c) favoriser la non-discrimina</w:t>
      </w:r>
      <w:r w:rsidRPr="004B5AFD">
        <w:rPr>
          <w:rFonts w:cs="Arial"/>
          <w:sz w:val="22"/>
        </w:rPr>
        <w:t xml:space="preserve">tion, </w:t>
      </w:r>
      <w:r w:rsidRPr="00E800E3">
        <w:rPr>
          <w:rFonts w:cs="Arial"/>
          <w:sz w:val="22"/>
        </w:rPr>
        <w:t>la transparence, la parti</w:t>
      </w:r>
      <w:r w:rsidRPr="00F65E9B">
        <w:rPr>
          <w:rFonts w:cs="Arial"/>
          <w:sz w:val="22"/>
        </w:rPr>
        <w:t>cipation, la respon</w:t>
      </w:r>
      <w:r w:rsidRPr="00E800E3">
        <w:rPr>
          <w:rFonts w:cs="Arial"/>
          <w:sz w:val="22"/>
        </w:rPr>
        <w:t>sabilisation et la gouvernance </w:t>
      </w:r>
      <w:r w:rsidRPr="00F65E9B">
        <w:rPr>
          <w:rFonts w:cs="Arial"/>
          <w:sz w:val="22"/>
        </w:rPr>
        <w:t>; et d) contribuer à améliorer les résultats des projets en matière de développement durable grâce à l’adhésion permanente des parties prenantes.</w:t>
      </w:r>
    </w:p>
    <w:p w14:paraId="0B649836" w14:textId="77777777" w:rsidR="004B5AFD" w:rsidRPr="004B5AFD" w:rsidRDefault="004B5AFD" w:rsidP="004B5AFD"/>
    <w:p w14:paraId="2D2FFD06" w14:textId="77777777" w:rsidR="001C2F95" w:rsidRPr="00982564" w:rsidRDefault="001C2F95" w:rsidP="001C2F95">
      <w:pPr>
        <w:pStyle w:val="Titre2"/>
        <w:numPr>
          <w:ilvl w:val="2"/>
          <w:numId w:val="4"/>
        </w:numPr>
        <w:ind w:left="1560" w:hanging="709"/>
        <w:rPr>
          <w:rFonts w:cs="Arial"/>
          <w:i/>
          <w:sz w:val="22"/>
          <w:szCs w:val="22"/>
        </w:rPr>
      </w:pPr>
      <w:bookmarkStart w:id="239" w:name="_Toc70330358"/>
      <w:r w:rsidRPr="00982564">
        <w:rPr>
          <w:rFonts w:cs="Arial"/>
          <w:i/>
          <w:sz w:val="22"/>
          <w:szCs w:val="22"/>
        </w:rPr>
        <w:t>Normes Environnementales et Sociales pertinentes au PNDA</w:t>
      </w:r>
      <w:bookmarkEnd w:id="238"/>
      <w:bookmarkEnd w:id="239"/>
    </w:p>
    <w:p w14:paraId="250AABDE" w14:textId="77777777" w:rsidR="001C2F95" w:rsidRPr="00982564" w:rsidRDefault="001C2F95" w:rsidP="001C2F95">
      <w:pPr>
        <w:rPr>
          <w:rFonts w:cs="Arial"/>
          <w:sz w:val="22"/>
        </w:rPr>
      </w:pPr>
    </w:p>
    <w:p w14:paraId="25703193" w14:textId="77777777" w:rsidR="001C2F95" w:rsidRPr="00982564" w:rsidRDefault="001C2F95" w:rsidP="001C2F95">
      <w:pPr>
        <w:rPr>
          <w:rFonts w:cs="Arial"/>
          <w:sz w:val="22"/>
        </w:rPr>
      </w:pPr>
      <w:r w:rsidRPr="00982564">
        <w:rPr>
          <w:rFonts w:cs="Arial"/>
          <w:sz w:val="22"/>
        </w:rPr>
        <w:t xml:space="preserve">Le Projet PNDA est soumis aux exigences du nouveau CES de la Banque Mondiale, entré en vigueur le 1 octobre 2018. L’évaluation préliminaire des risques et impacts environnementaux et sociaux du Projet ont permis de le classer comme Projet à risque environnemental et social substantiel. </w:t>
      </w:r>
      <w:r w:rsidR="0053329E">
        <w:rPr>
          <w:rFonts w:cs="Arial"/>
          <w:sz w:val="22"/>
        </w:rPr>
        <w:t xml:space="preserve">Il est important de signaler que chaque </w:t>
      </w:r>
      <w:r w:rsidR="0053329E">
        <w:t>norme est accompagnée d’une Note d’orientation à l’attention des emprunteurs qui sont indispensables pour leur mise en œuvre.</w:t>
      </w:r>
      <w:r w:rsidR="0053329E" w:rsidRPr="00982564">
        <w:rPr>
          <w:rFonts w:cs="Arial"/>
          <w:sz w:val="22"/>
        </w:rPr>
        <w:t xml:space="preserve"> </w:t>
      </w:r>
      <w:r w:rsidRPr="00982564">
        <w:rPr>
          <w:rFonts w:cs="Arial"/>
          <w:sz w:val="22"/>
        </w:rPr>
        <w:t xml:space="preserve">Toutes  les dix Normes environnementales et Sociales ont été jugées pertinentes pour ce Projet. Il s’agit de : </w:t>
      </w:r>
    </w:p>
    <w:p w14:paraId="5C2AAAA5" w14:textId="77777777" w:rsidR="001C2F95" w:rsidRPr="00982564" w:rsidRDefault="001C2F95" w:rsidP="001C2F95">
      <w:pPr>
        <w:rPr>
          <w:rFonts w:cs="Arial"/>
          <w:b/>
          <w:bCs/>
          <w:i/>
          <w:sz w:val="22"/>
        </w:rPr>
      </w:pPr>
    </w:p>
    <w:p w14:paraId="6BE15867" w14:textId="77777777" w:rsidR="001C2F95" w:rsidRPr="00982564" w:rsidRDefault="001C2F95" w:rsidP="001C2F95">
      <w:pPr>
        <w:rPr>
          <w:rFonts w:cs="Arial"/>
          <w:i/>
          <w:sz w:val="22"/>
        </w:rPr>
      </w:pPr>
      <w:r w:rsidRPr="00982564">
        <w:rPr>
          <w:rFonts w:cs="Arial"/>
          <w:i/>
          <w:sz w:val="22"/>
        </w:rPr>
        <w:t>NES n°1 : Évaluation et gestion des risques et effets environnementaux et sociaux</w:t>
      </w:r>
    </w:p>
    <w:p w14:paraId="3F0946CD" w14:textId="77777777" w:rsidR="001C2F95" w:rsidRPr="00982564" w:rsidRDefault="001C2F95" w:rsidP="001C2F95">
      <w:pPr>
        <w:rPr>
          <w:rFonts w:cs="Arial"/>
          <w:b/>
          <w:i/>
          <w:sz w:val="22"/>
        </w:rPr>
      </w:pPr>
    </w:p>
    <w:p w14:paraId="61EE0927" w14:textId="77777777" w:rsidR="001C2F95" w:rsidRPr="00982564" w:rsidRDefault="001C2F95" w:rsidP="001C2F95">
      <w:pPr>
        <w:rPr>
          <w:rFonts w:cs="Arial"/>
          <w:sz w:val="22"/>
        </w:rPr>
      </w:pPr>
      <w:r w:rsidRPr="00982564">
        <w:rPr>
          <w:rFonts w:cs="Arial"/>
          <w:sz w:val="22"/>
        </w:rPr>
        <w:t>Elle énonce les responsabilités de l’Emprunteur en matière d’évaluation, de gestion et de suivi des risques et effets environnementaux et sociaux associés à chaque étape d’un projet, appuyé par la Banque au moyen du mécanisme de Financement de projets d’investissement en vue d’atteindre des résultats environnementaux et sociaux compatibles avec les Normes Environnementales et Sociales.</w:t>
      </w:r>
    </w:p>
    <w:p w14:paraId="03E1FF7A" w14:textId="77777777" w:rsidR="001C2F95" w:rsidRPr="00982564" w:rsidRDefault="001C2F95" w:rsidP="001C2F95">
      <w:pPr>
        <w:rPr>
          <w:rFonts w:cs="Arial"/>
          <w:sz w:val="22"/>
        </w:rPr>
      </w:pPr>
    </w:p>
    <w:p w14:paraId="1012AACA" w14:textId="77777777" w:rsidR="001C2F95" w:rsidRPr="00982564" w:rsidRDefault="001C2F95" w:rsidP="001C2F95">
      <w:pPr>
        <w:rPr>
          <w:rFonts w:cs="Arial"/>
          <w:sz w:val="22"/>
        </w:rPr>
      </w:pPr>
      <w:r w:rsidRPr="00982564">
        <w:rPr>
          <w:rFonts w:cs="Arial"/>
          <w:sz w:val="22"/>
        </w:rPr>
        <w:t>Les objectifs de la NES 1 sont :</w:t>
      </w:r>
    </w:p>
    <w:p w14:paraId="372EB517" w14:textId="77777777" w:rsidR="001C2F95" w:rsidRPr="00982564" w:rsidRDefault="001C2F95" w:rsidP="001C2F95">
      <w:pPr>
        <w:rPr>
          <w:rFonts w:cs="Arial"/>
          <w:sz w:val="22"/>
        </w:rPr>
      </w:pPr>
    </w:p>
    <w:p w14:paraId="15E6058E" w14:textId="77777777" w:rsidR="001C2F95" w:rsidRPr="00982564" w:rsidRDefault="001C2F95" w:rsidP="002378EA">
      <w:pPr>
        <w:pStyle w:val="Paragraphedeliste"/>
        <w:numPr>
          <w:ilvl w:val="0"/>
          <w:numId w:val="96"/>
        </w:numPr>
        <w:rPr>
          <w:rFonts w:cs="Arial"/>
          <w:sz w:val="22"/>
        </w:rPr>
      </w:pPr>
      <w:r w:rsidRPr="00982564">
        <w:rPr>
          <w:rFonts w:cs="Arial"/>
          <w:sz w:val="22"/>
        </w:rPr>
        <w:t xml:space="preserve">Déterminer, évaluer et gérer les risques et effets environnementaux et sociaux du projet d’une manière compatible avec les NES ; </w:t>
      </w:r>
    </w:p>
    <w:p w14:paraId="346FD607" w14:textId="77777777" w:rsidR="001C2F95" w:rsidRPr="00982564" w:rsidRDefault="001C2F95" w:rsidP="002378EA">
      <w:pPr>
        <w:pStyle w:val="Paragraphedeliste"/>
        <w:numPr>
          <w:ilvl w:val="0"/>
          <w:numId w:val="96"/>
        </w:numPr>
        <w:rPr>
          <w:rFonts w:cs="Arial"/>
          <w:sz w:val="22"/>
        </w:rPr>
      </w:pPr>
      <w:r w:rsidRPr="00982564">
        <w:rPr>
          <w:rFonts w:cs="Arial"/>
          <w:sz w:val="22"/>
        </w:rPr>
        <w:t xml:space="preserve">Adopter une approche de hiérarchie d’atténuation consistant à : a) anticiper et éviter les risques et les impacts ;  b) lorsqu’il n’est pas possible de les éviter, minimiser ou réduire les risques et les impacts à des niveaux acceptables ;  c) une fois que les risques et les impacts ont été minimisés ou réduits, les atténuer ; et  d) lorsque les impacts résiduels sont importants, les compenser ou les neutraliser dans la mesure où cela est techniquement et financièrement faisable ; </w:t>
      </w:r>
    </w:p>
    <w:p w14:paraId="4172A249" w14:textId="77777777" w:rsidR="001C2F95" w:rsidRPr="00982564" w:rsidRDefault="001C2F95" w:rsidP="002378EA">
      <w:pPr>
        <w:pStyle w:val="Paragraphedeliste"/>
        <w:numPr>
          <w:ilvl w:val="0"/>
          <w:numId w:val="96"/>
        </w:numPr>
        <w:rPr>
          <w:rFonts w:cs="Arial"/>
          <w:sz w:val="22"/>
        </w:rPr>
      </w:pPr>
      <w:r w:rsidRPr="00982564">
        <w:rPr>
          <w:rFonts w:cs="Arial"/>
          <w:sz w:val="22"/>
        </w:rPr>
        <w:t>Adopter des mesures différenciées de sorte que les impacts négatifs ne touchent pas de façon disproportionnée les personnes défavorisées ou vulnérables, et que celles-ci ne soient pas lésées dans le partage des avantages et opportunités de développement qu’offre le projet ;</w:t>
      </w:r>
    </w:p>
    <w:p w14:paraId="65C898E4" w14:textId="77777777" w:rsidR="001C2F95" w:rsidRPr="00982564" w:rsidRDefault="001C2F95" w:rsidP="002378EA">
      <w:pPr>
        <w:pStyle w:val="Paragraphedeliste"/>
        <w:numPr>
          <w:ilvl w:val="0"/>
          <w:numId w:val="96"/>
        </w:numPr>
        <w:rPr>
          <w:rFonts w:cs="Arial"/>
          <w:sz w:val="22"/>
        </w:rPr>
      </w:pPr>
      <w:r w:rsidRPr="00982564">
        <w:rPr>
          <w:rFonts w:cs="Arial"/>
          <w:sz w:val="22"/>
        </w:rPr>
        <w:t xml:space="preserve">Utiliser, chaque fois qu’il convient, les institutions, lois, procédures, réglementations et systèmes nationaux en matière environnementale et sociale pour l’évaluation, la préparation et la mise en œuvre des projets ; </w:t>
      </w:r>
    </w:p>
    <w:p w14:paraId="5B9E62E1" w14:textId="77777777" w:rsidR="001C2F95" w:rsidRPr="00982564" w:rsidRDefault="001C2F95" w:rsidP="002378EA">
      <w:pPr>
        <w:pStyle w:val="Paragraphedeliste"/>
        <w:numPr>
          <w:ilvl w:val="0"/>
          <w:numId w:val="96"/>
        </w:numPr>
        <w:rPr>
          <w:rFonts w:cs="Arial"/>
          <w:sz w:val="22"/>
        </w:rPr>
      </w:pPr>
      <w:r w:rsidRPr="00982564">
        <w:rPr>
          <w:rFonts w:cs="Arial"/>
          <w:sz w:val="22"/>
        </w:rPr>
        <w:t xml:space="preserve">Promouvoir l’amélioration des performances environnementales et sociales d’une manière qui prend en compte et renforce les capacités de l’Emprunteur. </w:t>
      </w:r>
    </w:p>
    <w:p w14:paraId="66443BD6" w14:textId="77777777" w:rsidR="001C2F95" w:rsidRPr="00982564" w:rsidRDefault="001C2F95" w:rsidP="001C2F95">
      <w:pPr>
        <w:rPr>
          <w:rFonts w:cs="Arial"/>
          <w:sz w:val="22"/>
        </w:rPr>
      </w:pPr>
    </w:p>
    <w:p w14:paraId="62B8625F" w14:textId="77777777" w:rsidR="001C2F95" w:rsidRPr="00982564" w:rsidRDefault="001C2F95" w:rsidP="001C2F95">
      <w:pPr>
        <w:rPr>
          <w:rFonts w:cs="Arial"/>
          <w:sz w:val="22"/>
        </w:rPr>
      </w:pPr>
      <w:r w:rsidRPr="00982564">
        <w:rPr>
          <w:rFonts w:cs="Arial"/>
          <w:sz w:val="22"/>
        </w:rPr>
        <w:t>Pour se conformer au Cadre Environnemental et Social de la Banque Mondiale, la présente NES énonce l’élaboration du Plan d’Engagement Environnemental et Social (PEES) dans lequel sera décrit les principales mesures et actions nécessaires pour que le projet soit en conformité avec les NES dans un délai précis. Le PEES fera partie intégrante de l’accord de financement qui prévoira, le cas échéant, l’obligation pour l’Emprunteur d’appuyer sa mise en œuvre.</w:t>
      </w:r>
    </w:p>
    <w:p w14:paraId="56A2CA5A" w14:textId="77777777" w:rsidR="001C2F95" w:rsidRPr="00982564" w:rsidRDefault="001C2F95" w:rsidP="001C2F95">
      <w:pPr>
        <w:rPr>
          <w:rFonts w:cs="Arial"/>
          <w:sz w:val="22"/>
        </w:rPr>
      </w:pPr>
    </w:p>
    <w:p w14:paraId="3E39B17E" w14:textId="77777777" w:rsidR="001C2F95" w:rsidRPr="00982564" w:rsidRDefault="001C2F95" w:rsidP="001C2F95">
      <w:pPr>
        <w:rPr>
          <w:rFonts w:cs="Arial"/>
          <w:sz w:val="22"/>
        </w:rPr>
      </w:pPr>
      <w:r w:rsidRPr="00982564">
        <w:rPr>
          <w:rFonts w:cs="Arial"/>
          <w:sz w:val="22"/>
        </w:rPr>
        <w:t xml:space="preserve">Ainsi, le Gouvernement de la RDC prévoit la mise en œuvre du Projet PNDA à travers le Ministère de l’Agriculture, et la Banque </w:t>
      </w:r>
      <w:r w:rsidR="008C23C5">
        <w:rPr>
          <w:rFonts w:cs="Arial"/>
          <w:sz w:val="22"/>
        </w:rPr>
        <w:t>m</w:t>
      </w:r>
      <w:r w:rsidRPr="00982564">
        <w:rPr>
          <w:rFonts w:cs="Arial"/>
          <w:sz w:val="22"/>
        </w:rPr>
        <w:t xml:space="preserve">ondiale a convenu d’accorder un financement au Projet. </w:t>
      </w:r>
    </w:p>
    <w:p w14:paraId="465AFD99" w14:textId="77777777" w:rsidR="001C2F95" w:rsidRPr="00982564" w:rsidRDefault="001C2F95" w:rsidP="001C2F95">
      <w:pPr>
        <w:rPr>
          <w:rFonts w:cs="Arial"/>
          <w:sz w:val="22"/>
        </w:rPr>
      </w:pPr>
    </w:p>
    <w:p w14:paraId="2BBFB3B8" w14:textId="77777777" w:rsidR="001C2F95" w:rsidRPr="00982564" w:rsidRDefault="001C2F95" w:rsidP="001C2F95">
      <w:pPr>
        <w:rPr>
          <w:rFonts w:cs="Arial"/>
          <w:sz w:val="22"/>
        </w:rPr>
      </w:pPr>
      <w:r w:rsidRPr="00982564">
        <w:rPr>
          <w:rFonts w:cs="Arial"/>
          <w:sz w:val="22"/>
        </w:rPr>
        <w:t xml:space="preserve">Le Gouvernement de la RDC mettra en œuvre les mesures et actions concrètes qui sont nécessaires pour faire en sorte que le Projet soit exécuté dans le respect des NES de la Banque Mondiale. En effet, le PEES est un document de synthèse qui énonce ces mesures et actions. </w:t>
      </w:r>
    </w:p>
    <w:p w14:paraId="745E6B37" w14:textId="77777777" w:rsidR="001C2F95" w:rsidRPr="00982564" w:rsidRDefault="001C2F95" w:rsidP="001C2F95">
      <w:pPr>
        <w:rPr>
          <w:rFonts w:cs="Arial"/>
          <w:sz w:val="22"/>
        </w:rPr>
      </w:pPr>
    </w:p>
    <w:p w14:paraId="654400DC" w14:textId="77777777" w:rsidR="001C2F95" w:rsidRPr="00982564" w:rsidRDefault="001C2F95" w:rsidP="001C2F95">
      <w:pPr>
        <w:rPr>
          <w:rFonts w:cs="Arial"/>
          <w:sz w:val="22"/>
        </w:rPr>
      </w:pPr>
      <w:r w:rsidRPr="00982564">
        <w:rPr>
          <w:rFonts w:cs="Arial"/>
          <w:sz w:val="22"/>
        </w:rPr>
        <w:t xml:space="preserve">Lorsque le PEES fait référence à des plans précis ou à d’autres documents déjà établis ou qui doivent l’être, le PEES exige le respect de toutes les dispositions de ces plans ou autres documents. En particulier, le PEES exige le respect des dispositions énoncées dans le CGES, CPR, ÉIES, PGES, PAR,  etc. élaborés dans le cadre du PNDA. En outre, s’il existe ou est prévu des plans distincts ou d’autres documents préparés pour le Projet, le PEES identifiera chacun de ces plans ou autres documents par leur intitulé. </w:t>
      </w:r>
    </w:p>
    <w:p w14:paraId="7CE1D6B4" w14:textId="77777777" w:rsidR="001C2F95" w:rsidRPr="00982564" w:rsidRDefault="001C2F95" w:rsidP="001C2F95">
      <w:pPr>
        <w:rPr>
          <w:rFonts w:cs="Arial"/>
          <w:sz w:val="22"/>
        </w:rPr>
      </w:pPr>
    </w:p>
    <w:p w14:paraId="7EF6AEF9" w14:textId="77777777" w:rsidR="001C2F95" w:rsidRPr="00982564" w:rsidRDefault="001C2F95" w:rsidP="001C2F95">
      <w:pPr>
        <w:rPr>
          <w:rFonts w:cs="Arial"/>
          <w:sz w:val="22"/>
        </w:rPr>
      </w:pPr>
      <w:r w:rsidRPr="00982564">
        <w:rPr>
          <w:rFonts w:cs="Arial"/>
          <w:sz w:val="22"/>
        </w:rPr>
        <w:t>Le PEES prendra en compte les conclusions de l’évaluation environnementale et sociale, les vérifications préalables effectuées par la Banque en matière environnementale et sociale et les résultats des consultations avec les parties prenantes. Il constituera un résumé précis des mesures et actions importantes qu’il faudra entreprendre pour éviter, minimiser, réduire ou autrement atténuer les risques et effets environnementaux et sociaux potentiels du Projet y compris ceux liés à l'EAS/HS. Il précisera le délai de réalisation de chaque action.</w:t>
      </w:r>
    </w:p>
    <w:p w14:paraId="58A382C3" w14:textId="77777777" w:rsidR="001C2F95" w:rsidRPr="00982564" w:rsidRDefault="001C2F95" w:rsidP="001C2F95">
      <w:pPr>
        <w:rPr>
          <w:rFonts w:cs="Arial"/>
          <w:sz w:val="22"/>
        </w:rPr>
      </w:pPr>
    </w:p>
    <w:p w14:paraId="13DC59DF" w14:textId="77777777" w:rsidR="001C2F95" w:rsidRPr="00982564" w:rsidRDefault="001C2F95" w:rsidP="001C2F95">
      <w:pPr>
        <w:rPr>
          <w:rFonts w:cs="Arial"/>
          <w:sz w:val="22"/>
        </w:rPr>
      </w:pPr>
      <w:r w:rsidRPr="00982564">
        <w:rPr>
          <w:rFonts w:cs="Arial"/>
          <w:sz w:val="22"/>
        </w:rPr>
        <w:t xml:space="preserve">La mise en œuvre des mesures et actions concrètes définies dans le PEES fera l’objet d’un suivi de la part du Gouvernement de la RDC et de rapports que celui-ci communiquera à la Banque Mondiale en application des dispositions du PEES et des conditions de l’accord juridique, tandis que la Banque Mondiale assurera le suivi-évaluation de l’avancement et la réalisation de ces mesures et actions concrètes tout au long de la mise en œuvre du PNDA. </w:t>
      </w:r>
    </w:p>
    <w:p w14:paraId="07706A20" w14:textId="77777777" w:rsidR="001C2F95" w:rsidRPr="00982564" w:rsidRDefault="001C2F95" w:rsidP="001C2F95">
      <w:pPr>
        <w:rPr>
          <w:rFonts w:cs="Arial"/>
          <w:sz w:val="22"/>
        </w:rPr>
      </w:pPr>
      <w:r w:rsidRPr="00982564">
        <w:rPr>
          <w:rFonts w:cs="Arial"/>
          <w:sz w:val="22"/>
        </w:rPr>
        <w:t xml:space="preserve">Il sied de noter que le PEES peut être révisé selon le besoin durant la mise en œuvre du Projet, d’une façon qui rend compte de la gestion adaptative des changements ou des situations imprévues pouvant survenir dans le cadre du PNDA, ou en réponse à une évaluation de la performance du Projet réalisée en vertu du PEES lui-même. Dans de telles situations, le Gouvernement de la RDC conviendra de ces changements avec la Banque Mondiale et révisera le PEES en conséquence. L’accord sur les modifications apportées au PEES sera attesté par l’échange de lettres signées entre la Banque Mondiale et le Gouvernement de la RDC. Ce dernier publiera sans délai le PEES révisé. En fonction de la nature du Projet, le PEES peut également indiquer le montant des fonds requis pour la réalisation d’une mesure ou d’une action. </w:t>
      </w:r>
    </w:p>
    <w:p w14:paraId="7EA4043F" w14:textId="77777777" w:rsidR="001C2F95" w:rsidRPr="00982564" w:rsidRDefault="001C2F95" w:rsidP="001C2F95">
      <w:pPr>
        <w:rPr>
          <w:rFonts w:cs="Arial"/>
          <w:sz w:val="22"/>
        </w:rPr>
      </w:pPr>
    </w:p>
    <w:p w14:paraId="7543CEAF" w14:textId="77777777" w:rsidR="001C2F95" w:rsidRPr="00982564" w:rsidRDefault="001C2F95" w:rsidP="001C2F95">
      <w:pPr>
        <w:rPr>
          <w:rFonts w:cs="Arial"/>
          <w:sz w:val="22"/>
        </w:rPr>
      </w:pPr>
      <w:r w:rsidRPr="00982564">
        <w:rPr>
          <w:rFonts w:cs="Arial"/>
          <w:sz w:val="22"/>
        </w:rPr>
        <w:t xml:space="preserve">En fin, lorsque la performance même du Projet ou bien des situations imprévues ou des changements survenus dans le cadre du PNDA entraînent une évolution des risques et des effets durant sa mise en œuvre, </w:t>
      </w:r>
    </w:p>
    <w:p w14:paraId="455CFBB2" w14:textId="77777777" w:rsidR="001C2F95" w:rsidRPr="00982564" w:rsidRDefault="001C2F95" w:rsidP="001C2F95">
      <w:pPr>
        <w:rPr>
          <w:rFonts w:cs="Arial"/>
          <w:sz w:val="22"/>
        </w:rPr>
      </w:pPr>
    </w:p>
    <w:p w14:paraId="1B30B9B4" w14:textId="77777777" w:rsidR="001C2F95" w:rsidRPr="00982564" w:rsidRDefault="001C2F95" w:rsidP="001C2F95">
      <w:pPr>
        <w:rPr>
          <w:rFonts w:cs="Arial"/>
          <w:sz w:val="22"/>
        </w:rPr>
      </w:pPr>
      <w:r w:rsidRPr="00982564">
        <w:rPr>
          <w:rFonts w:cs="Arial"/>
          <w:sz w:val="22"/>
        </w:rPr>
        <w:t>Le Gouvernement de la RDC met à disposition des fonds additionnels, le cas échéant, pour la mise en œuvre des actions et des mesures permettant de faire face à ces risques et effets, qui peuvent comprendre par exemple les risques et effets pertinents pour le Projet, comme les effets environnementaux, sanitaires et sécuritaires, l’afflux de main-d’œuvre et les violences basées sur le genre, etc.</w:t>
      </w:r>
    </w:p>
    <w:p w14:paraId="3750E04B" w14:textId="77777777" w:rsidR="001C2F95" w:rsidRPr="00982564" w:rsidRDefault="001C2F95" w:rsidP="001C2F95">
      <w:pPr>
        <w:rPr>
          <w:rFonts w:cs="Arial"/>
          <w:sz w:val="22"/>
        </w:rPr>
      </w:pPr>
    </w:p>
    <w:p w14:paraId="34B9760A" w14:textId="77777777" w:rsidR="001C2F95" w:rsidRPr="00982564" w:rsidRDefault="001C2F95" w:rsidP="001C2F95">
      <w:pPr>
        <w:rPr>
          <w:rFonts w:cs="Arial"/>
          <w:sz w:val="22"/>
        </w:rPr>
      </w:pPr>
      <w:r w:rsidRPr="00982564">
        <w:rPr>
          <w:rFonts w:cs="Arial"/>
          <w:sz w:val="22"/>
        </w:rPr>
        <w:t xml:space="preserve">Dans le cas du PNDA qui présente un risque environnemental et social substantiel, le Gouvernement transmettra à la Banque et rendra public, avant l’évaluation du Projet, comme convenu avec la Banque, de la documentation sur les risques et effets environnementaux et sociaux du Projet. Ces documents cités ci-haut examineront les principaux risques et effets du Projet de manière approfondie et comporteront des informations suffisamment détaillées pour servir de base à la mobilisation des parties prenantes et aux décisions de la Banque. Le Gouvernement de la RDC </w:t>
      </w:r>
      <w:r w:rsidRPr="00982564">
        <w:rPr>
          <w:rFonts w:cs="Arial"/>
          <w:i/>
          <w:sz w:val="22"/>
        </w:rPr>
        <w:t>via</w:t>
      </w:r>
      <w:r w:rsidRPr="00982564">
        <w:rPr>
          <w:rFonts w:cs="Arial"/>
          <w:sz w:val="22"/>
        </w:rPr>
        <w:t xml:space="preserve"> le PNDA transmettra à la Banque et rendra publics les documents définitifs ou actualisés, tel qu’indiqué dans le PEES.</w:t>
      </w:r>
    </w:p>
    <w:p w14:paraId="49F21A79" w14:textId="77777777" w:rsidR="001C2F95" w:rsidRPr="00982564" w:rsidRDefault="001C2F95" w:rsidP="001C2F95">
      <w:pPr>
        <w:autoSpaceDE w:val="0"/>
        <w:autoSpaceDN w:val="0"/>
        <w:adjustRightInd w:val="0"/>
        <w:rPr>
          <w:rFonts w:cs="Arial"/>
          <w:color w:val="000000"/>
          <w:sz w:val="22"/>
        </w:rPr>
      </w:pPr>
    </w:p>
    <w:p w14:paraId="67EE80AD" w14:textId="77777777" w:rsidR="001C2F95" w:rsidRPr="00982564" w:rsidRDefault="001C2F95" w:rsidP="001C2F95">
      <w:pPr>
        <w:rPr>
          <w:rFonts w:cs="Arial"/>
          <w:i/>
          <w:sz w:val="22"/>
        </w:rPr>
      </w:pPr>
      <w:r w:rsidRPr="00982564">
        <w:rPr>
          <w:rFonts w:cs="Arial"/>
          <w:i/>
          <w:sz w:val="22"/>
        </w:rPr>
        <w:t>NES n°2 : Emploi et conditions de travail</w:t>
      </w:r>
    </w:p>
    <w:p w14:paraId="43CB5C31" w14:textId="77777777" w:rsidR="001C2F95" w:rsidRPr="00982564" w:rsidRDefault="001C2F95" w:rsidP="001C2F95">
      <w:pPr>
        <w:rPr>
          <w:rFonts w:cs="Arial"/>
          <w:sz w:val="22"/>
        </w:rPr>
      </w:pPr>
    </w:p>
    <w:p w14:paraId="6B9C9A7E" w14:textId="77777777" w:rsidR="001C2F95" w:rsidRPr="00982564" w:rsidRDefault="001C2F95" w:rsidP="001C2F95">
      <w:pPr>
        <w:rPr>
          <w:rFonts w:cs="Arial"/>
          <w:sz w:val="22"/>
        </w:rPr>
      </w:pPr>
      <w:r w:rsidRPr="00982564">
        <w:rPr>
          <w:rFonts w:cs="Arial"/>
          <w:sz w:val="22"/>
        </w:rPr>
        <w:t>Elle reconnaît l’importance de la création d’emplois et d’activités génératrices de revenus à des fins de réduction de la pauvreté et de promotion d’une croissance économique solidaire. Les Emprunteurs peuvent promouvoir de bonnes relations entre travailleurs et employeurs et améliorer les retombées d’un projet sur le développement en traitant les travailleurs du projet de façon équitable et en leur offrant des conditions de travail saines et sûres.</w:t>
      </w:r>
    </w:p>
    <w:p w14:paraId="71DFB3AE" w14:textId="77777777" w:rsidR="001C2F95" w:rsidRPr="00982564" w:rsidRDefault="001C2F95" w:rsidP="001C2F95">
      <w:pPr>
        <w:rPr>
          <w:rFonts w:cs="Arial"/>
          <w:sz w:val="22"/>
        </w:rPr>
      </w:pPr>
    </w:p>
    <w:p w14:paraId="2DFD073C" w14:textId="77777777" w:rsidR="001C2F95" w:rsidRPr="00982564" w:rsidRDefault="001C2F95" w:rsidP="001C2F95">
      <w:pPr>
        <w:rPr>
          <w:rFonts w:cs="Arial"/>
          <w:sz w:val="22"/>
        </w:rPr>
      </w:pPr>
      <w:r w:rsidRPr="00982564">
        <w:rPr>
          <w:rFonts w:cs="Arial"/>
          <w:sz w:val="22"/>
        </w:rPr>
        <w:t>Le champ d’application de la NES n°2 dépend du type de relation qui lie l’Emprunteur aux travailleurs du Projet. La NES n°2 s’applique aux travailleurs à temps plein, à temps partiel, temporaires, saisonniers et migrants, qui peuvent être des travailleurs directs du projet, des travailleurs contractuels, les personnes employées ou recrutées par les fournisseurs principaux, les membres de la communauté recrutés pour travailler sur le Projet (travailleurs communautaire).</w:t>
      </w:r>
    </w:p>
    <w:p w14:paraId="5F0B475C" w14:textId="77777777" w:rsidR="001C2F95" w:rsidRPr="00982564" w:rsidRDefault="001C2F95" w:rsidP="001C2F95">
      <w:pPr>
        <w:rPr>
          <w:rFonts w:cs="Arial"/>
          <w:sz w:val="22"/>
        </w:rPr>
      </w:pPr>
    </w:p>
    <w:p w14:paraId="4EBD87F6" w14:textId="77777777" w:rsidR="001C2F95" w:rsidRPr="00982564" w:rsidRDefault="001C2F95" w:rsidP="001C2F95">
      <w:pPr>
        <w:rPr>
          <w:rFonts w:cs="Arial"/>
          <w:sz w:val="22"/>
        </w:rPr>
      </w:pPr>
      <w:r w:rsidRPr="00982564">
        <w:rPr>
          <w:rFonts w:cs="Arial"/>
          <w:sz w:val="22"/>
        </w:rPr>
        <w:t xml:space="preserve">Cette norme exige que le Gouvernement de la RDC </w:t>
      </w:r>
      <w:r w:rsidR="001E4043" w:rsidRPr="00982564">
        <w:rPr>
          <w:rFonts w:cs="Arial"/>
          <w:sz w:val="22"/>
        </w:rPr>
        <w:t>élabore</w:t>
      </w:r>
      <w:r w:rsidRPr="00982564">
        <w:rPr>
          <w:rFonts w:cs="Arial"/>
          <w:sz w:val="22"/>
        </w:rPr>
        <w:t xml:space="preserve"> et met</w:t>
      </w:r>
      <w:r w:rsidR="001E4043">
        <w:rPr>
          <w:rFonts w:cs="Arial"/>
          <w:sz w:val="22"/>
        </w:rPr>
        <w:t>te</w:t>
      </w:r>
      <w:r w:rsidRPr="00982564">
        <w:rPr>
          <w:rFonts w:cs="Arial"/>
          <w:sz w:val="22"/>
        </w:rPr>
        <w:t xml:space="preserve"> en </w:t>
      </w:r>
      <w:r w:rsidR="00161D87" w:rsidRPr="00982564">
        <w:rPr>
          <w:rFonts w:cs="Arial"/>
          <w:sz w:val="22"/>
        </w:rPr>
        <w:t>œuvre</w:t>
      </w:r>
      <w:r w:rsidRPr="00982564">
        <w:rPr>
          <w:rFonts w:cs="Arial"/>
          <w:sz w:val="22"/>
        </w:rPr>
        <w:t xml:space="preserve"> des procédures de gestion de la main d’œuvre (PGMO) applicables au PNDA. Ces procédures décriront la manière dont les travailleurs du Projet seront gérés, conformément aux prescriptions du droit national et de la présente NES. Elles indiqueront de quelle façon la présente NES s’appliquera aux différentes catégories de travailleurs du projet, y compris les travailleurs directs, et les obligations que le Gouvernement de la RDC</w:t>
      </w:r>
      <w:r w:rsidR="00161D87" w:rsidRPr="00982564">
        <w:rPr>
          <w:rFonts w:cs="Arial"/>
          <w:sz w:val="22"/>
        </w:rPr>
        <w:t xml:space="preserve"> </w:t>
      </w:r>
      <w:r w:rsidRPr="00982564">
        <w:rPr>
          <w:rFonts w:cs="Arial"/>
          <w:sz w:val="22"/>
        </w:rPr>
        <w:t xml:space="preserve">imposera aux tiers concernant la gestion de leurs employés. </w:t>
      </w:r>
    </w:p>
    <w:p w14:paraId="5815C5A7" w14:textId="77777777" w:rsidR="001C2F95" w:rsidRPr="00982564" w:rsidRDefault="001C2F95" w:rsidP="001C2F95">
      <w:pPr>
        <w:rPr>
          <w:rFonts w:cs="Arial"/>
          <w:sz w:val="22"/>
        </w:rPr>
      </w:pPr>
    </w:p>
    <w:p w14:paraId="564C76FA" w14:textId="77777777" w:rsidR="001C2F95" w:rsidRPr="00982564" w:rsidRDefault="001C2F95" w:rsidP="001C2F95">
      <w:pPr>
        <w:rPr>
          <w:rFonts w:cs="Arial"/>
          <w:sz w:val="22"/>
        </w:rPr>
      </w:pPr>
      <w:r w:rsidRPr="00982564">
        <w:rPr>
          <w:rFonts w:cs="Arial"/>
          <w:sz w:val="22"/>
        </w:rPr>
        <w:t xml:space="preserve">Elle prône entre autres : </w:t>
      </w:r>
      <w:r w:rsidRPr="00982564">
        <w:rPr>
          <w:rFonts w:cs="Arial"/>
          <w:i/>
          <w:sz w:val="22"/>
        </w:rPr>
        <w:t>(i)</w:t>
      </w:r>
      <w:r w:rsidRPr="00982564">
        <w:rPr>
          <w:rFonts w:cs="Arial"/>
          <w:sz w:val="22"/>
        </w:rPr>
        <w:t xml:space="preserve"> la non-discrimination et égalité des chances, y compris les proscriptions des actes de harcèlement sexuel dans l’environnement de travail ; </w:t>
      </w:r>
      <w:r w:rsidRPr="00982564">
        <w:rPr>
          <w:rFonts w:cs="Arial"/>
          <w:i/>
          <w:sz w:val="22"/>
        </w:rPr>
        <w:t>(ii)</w:t>
      </w:r>
      <w:r w:rsidRPr="00982564">
        <w:rPr>
          <w:rFonts w:cs="Arial"/>
          <w:sz w:val="22"/>
        </w:rPr>
        <w:t xml:space="preserve"> Organisations professionnelles ; </w:t>
      </w:r>
      <w:r w:rsidRPr="00982564">
        <w:rPr>
          <w:rFonts w:cs="Arial"/>
          <w:i/>
          <w:sz w:val="22"/>
        </w:rPr>
        <w:t>(iii)</w:t>
      </w:r>
      <w:r w:rsidRPr="00982564">
        <w:rPr>
          <w:rFonts w:cs="Arial"/>
          <w:sz w:val="22"/>
        </w:rPr>
        <w:t xml:space="preserve"> la proscription du travail des enfants en dehors de l’âge minimum fixe par la norme ou la loi nationale du pays ; </w:t>
      </w:r>
      <w:r w:rsidRPr="00982564">
        <w:rPr>
          <w:rFonts w:cs="Arial"/>
          <w:i/>
          <w:sz w:val="22"/>
        </w:rPr>
        <w:t xml:space="preserve">(iv) </w:t>
      </w:r>
      <w:r w:rsidRPr="00982564">
        <w:rPr>
          <w:rFonts w:cs="Arial"/>
          <w:sz w:val="22"/>
        </w:rPr>
        <w:t>interdiction du travail force, la possibilité pour les travailleurs de pouvoir se plaindre ; etc.</w:t>
      </w:r>
    </w:p>
    <w:p w14:paraId="4E7D3075" w14:textId="77777777" w:rsidR="001C2F95" w:rsidRPr="00982564" w:rsidRDefault="001C2F95" w:rsidP="001C2F95">
      <w:pPr>
        <w:rPr>
          <w:rFonts w:cs="Arial"/>
          <w:sz w:val="22"/>
        </w:rPr>
      </w:pPr>
    </w:p>
    <w:p w14:paraId="33B8D7F7" w14:textId="77777777" w:rsidR="001C2F95" w:rsidRPr="00982564" w:rsidRDefault="001C2F95" w:rsidP="001C2F95">
      <w:pPr>
        <w:rPr>
          <w:rFonts w:cs="Arial"/>
          <w:sz w:val="22"/>
        </w:rPr>
      </w:pPr>
      <w:r w:rsidRPr="00982564">
        <w:rPr>
          <w:rFonts w:cs="Arial"/>
          <w:sz w:val="22"/>
        </w:rPr>
        <w:t xml:space="preserve">S’agissant de </w:t>
      </w:r>
      <w:r w:rsidRPr="00982564">
        <w:rPr>
          <w:rFonts w:cs="Arial"/>
          <w:i/>
          <w:sz w:val="22"/>
        </w:rPr>
        <w:t>la gestion des fournisseurs et prestataires,</w:t>
      </w:r>
      <w:r w:rsidRPr="00982564">
        <w:rPr>
          <w:rFonts w:cs="Arial"/>
          <w:sz w:val="22"/>
        </w:rPr>
        <w:t xml:space="preserve"> le PNDA exigera que tous les fournisseurs et prestataires intervenant dans son projet se conforment aux dispositions de la NES n° 2, y compris les dispositions des procédures de gestion de la main d’œuvre. </w:t>
      </w:r>
    </w:p>
    <w:p w14:paraId="5541E1F1" w14:textId="77777777" w:rsidR="001C2F95" w:rsidRPr="00982564" w:rsidRDefault="001C2F95" w:rsidP="001C2F95">
      <w:pPr>
        <w:rPr>
          <w:rFonts w:cs="Arial"/>
          <w:sz w:val="22"/>
        </w:rPr>
      </w:pPr>
    </w:p>
    <w:p w14:paraId="5B85B1C4" w14:textId="77777777" w:rsidR="001C2F95" w:rsidRDefault="001C2F95" w:rsidP="001C2F95">
      <w:pPr>
        <w:rPr>
          <w:rFonts w:cs="Arial"/>
          <w:sz w:val="22"/>
        </w:rPr>
      </w:pPr>
      <w:r w:rsidRPr="00982564">
        <w:rPr>
          <w:rFonts w:cs="Arial"/>
          <w:sz w:val="22"/>
        </w:rPr>
        <w:t xml:space="preserve">S’agissant des risques d’EAS/HS et du Mécanisme de Gestion des Plaintes, quelques actions pour les adresser au niveau des entreprises, et aussi au niveau du personnel de projet, méritent d’être prises en compte : </w:t>
      </w:r>
      <w:r w:rsidRPr="00982564">
        <w:rPr>
          <w:rFonts w:cs="Arial"/>
          <w:i/>
          <w:sz w:val="22"/>
        </w:rPr>
        <w:t xml:space="preserve">(i) </w:t>
      </w:r>
      <w:r w:rsidRPr="00982564">
        <w:rPr>
          <w:rFonts w:cs="Arial"/>
          <w:sz w:val="22"/>
        </w:rPr>
        <w:t xml:space="preserve">définir clairement les requis en matière d’EAS/HS dans une note aux travailleurs ; </w:t>
      </w:r>
      <w:r w:rsidRPr="00982564">
        <w:rPr>
          <w:rFonts w:cs="Arial"/>
          <w:i/>
          <w:sz w:val="22"/>
        </w:rPr>
        <w:t>(ii)</w:t>
      </w:r>
      <w:r w:rsidRPr="00982564">
        <w:rPr>
          <w:rFonts w:cs="Arial"/>
          <w:sz w:val="22"/>
        </w:rPr>
        <w:t xml:space="preserve"> inclure et expliquer clairement les exigences relatives aux codes de conduite dans la note aux travailleurs, fournir un exemplaire de code de conduite ; </w:t>
      </w:r>
      <w:r w:rsidRPr="00982564">
        <w:rPr>
          <w:rFonts w:cs="Arial"/>
          <w:i/>
          <w:sz w:val="22"/>
        </w:rPr>
        <w:t>(iii)</w:t>
      </w:r>
      <w:r w:rsidRPr="00982564">
        <w:rPr>
          <w:rFonts w:cs="Arial"/>
          <w:sz w:val="22"/>
        </w:rPr>
        <w:t xml:space="preserve"> inclure les closes liées à l’atténuation des risques d’EAS/HS dans le contrat (ex. en matière de santé et de sécurité au travail) ; </w:t>
      </w:r>
      <w:r w:rsidRPr="00982564">
        <w:rPr>
          <w:rFonts w:cs="Arial"/>
          <w:i/>
          <w:sz w:val="22"/>
        </w:rPr>
        <w:t xml:space="preserve">(iv) </w:t>
      </w:r>
      <w:r w:rsidRPr="00982564">
        <w:rPr>
          <w:rFonts w:cs="Arial"/>
          <w:sz w:val="22"/>
        </w:rPr>
        <w:t xml:space="preserve">inclure toutes les responsabilités et sanctions en matière d’EAS/HS dans les conditions particulières du contrat ; </w:t>
      </w:r>
      <w:r w:rsidRPr="00982564">
        <w:rPr>
          <w:rFonts w:cs="Arial"/>
          <w:i/>
          <w:sz w:val="22"/>
        </w:rPr>
        <w:t>(v)</w:t>
      </w:r>
      <w:r w:rsidRPr="00982564">
        <w:rPr>
          <w:rFonts w:cs="Arial"/>
          <w:sz w:val="22"/>
        </w:rPr>
        <w:t xml:space="preserve"> les travailleurs doivent signer un code de conduite ; </w:t>
      </w:r>
      <w:r w:rsidRPr="00982564">
        <w:rPr>
          <w:rFonts w:cs="Arial"/>
          <w:i/>
          <w:sz w:val="22"/>
        </w:rPr>
        <w:t>(vi)</w:t>
      </w:r>
      <w:r w:rsidRPr="00982564">
        <w:rPr>
          <w:rFonts w:cs="Arial"/>
          <w:sz w:val="22"/>
        </w:rPr>
        <w:t xml:space="preserve"> les travailleurs doivent assister et être mis à la disposition des formations ; </w:t>
      </w:r>
      <w:r w:rsidRPr="00982564">
        <w:rPr>
          <w:rFonts w:cs="Arial"/>
          <w:i/>
          <w:sz w:val="22"/>
        </w:rPr>
        <w:t>(vii)</w:t>
      </w:r>
      <w:r w:rsidRPr="00982564">
        <w:rPr>
          <w:rFonts w:cs="Arial"/>
          <w:sz w:val="22"/>
        </w:rPr>
        <w:t xml:space="preserve"> préciser le nombre de jours de formation et de fréquence ; </w:t>
      </w:r>
      <w:r w:rsidRPr="00982564">
        <w:rPr>
          <w:rFonts w:cs="Arial"/>
          <w:i/>
          <w:sz w:val="22"/>
        </w:rPr>
        <w:t>(viii)</w:t>
      </w:r>
      <w:r w:rsidRPr="00982564">
        <w:rPr>
          <w:rFonts w:cs="Arial"/>
          <w:sz w:val="22"/>
        </w:rPr>
        <w:t xml:space="preserve"> évaluer la proposition de réponse de l’entreprise en matière d’EAS/HS dans le cadre de l’évaluation des soumissions (risque modéré)</w:t>
      </w:r>
      <w:r w:rsidR="00161D87" w:rsidRPr="00982564">
        <w:rPr>
          <w:rFonts w:cs="Arial"/>
          <w:sz w:val="22"/>
        </w:rPr>
        <w:t xml:space="preserve">, </w:t>
      </w:r>
      <w:r w:rsidR="00161D87" w:rsidRPr="00982564">
        <w:rPr>
          <w:rFonts w:cs="Arial"/>
          <w:i/>
          <w:sz w:val="22"/>
        </w:rPr>
        <w:t>(ix)</w:t>
      </w:r>
      <w:r w:rsidR="00161D87" w:rsidRPr="00982564">
        <w:rPr>
          <w:rFonts w:cs="Arial"/>
          <w:sz w:val="22"/>
        </w:rPr>
        <w:t xml:space="preserve"> mise en place d’un mécanisme de gestion des plaintes sensibles au genre</w:t>
      </w:r>
      <w:r w:rsidRPr="00982564">
        <w:rPr>
          <w:rFonts w:cs="Arial"/>
          <w:sz w:val="22"/>
        </w:rPr>
        <w:t>.</w:t>
      </w:r>
    </w:p>
    <w:p w14:paraId="33019687" w14:textId="77777777" w:rsidR="00C04217" w:rsidRDefault="00C04217" w:rsidP="001C2F95">
      <w:pPr>
        <w:rPr>
          <w:rFonts w:cs="Arial"/>
          <w:sz w:val="22"/>
        </w:rPr>
      </w:pPr>
    </w:p>
    <w:p w14:paraId="5EF88937" w14:textId="77777777" w:rsidR="00C04217" w:rsidRPr="00982564" w:rsidRDefault="00C04217" w:rsidP="001C2F95">
      <w:pPr>
        <w:rPr>
          <w:rFonts w:cs="Arial"/>
          <w:sz w:val="22"/>
        </w:rPr>
      </w:pPr>
      <w:r>
        <w:rPr>
          <w:rFonts w:cs="Arial"/>
          <w:sz w:val="22"/>
        </w:rPr>
        <w:t>Il est important de signaler que le</w:t>
      </w:r>
      <w:r w:rsidRPr="00F65E9B">
        <w:rPr>
          <w:rFonts w:cs="Arial"/>
          <w:sz w:val="22"/>
        </w:rPr>
        <w:t xml:space="preserve"> MGP et </w:t>
      </w:r>
      <w:r>
        <w:rPr>
          <w:rFonts w:cs="Arial"/>
          <w:sz w:val="22"/>
        </w:rPr>
        <w:t xml:space="preserve">les </w:t>
      </w:r>
      <w:r w:rsidRPr="00F65E9B">
        <w:rPr>
          <w:rFonts w:cs="Arial"/>
          <w:sz w:val="22"/>
        </w:rPr>
        <w:t>PGMO s’appliqueront pour tous les travaux de réhabilitation des routes, d’aménagement des voies navigables et de construction des infrastructures par les entreprises qui auron</w:t>
      </w:r>
      <w:r w:rsidRPr="00C04217">
        <w:rPr>
          <w:rFonts w:cs="Arial"/>
          <w:sz w:val="22"/>
        </w:rPr>
        <w:t>t à recruter la main d</w:t>
      </w:r>
      <w:r>
        <w:rPr>
          <w:rFonts w:cs="Arial"/>
          <w:sz w:val="22"/>
        </w:rPr>
        <w:t>’œuvre locale</w:t>
      </w:r>
      <w:r w:rsidRPr="00F65E9B">
        <w:rPr>
          <w:rFonts w:cs="Arial"/>
          <w:sz w:val="22"/>
        </w:rPr>
        <w:t>. Par contre, l’application du MGP et du PGMO pour les exploitations familiales ne sera pas nécessaire. Cependant, leur application aux exploitants agricoles dépendra de la taille, du matériel et de la quantité de la main d’œuvre qui sera recrutée. Tout dépendra des résultats</w:t>
      </w:r>
      <w:r w:rsidR="004D36E4" w:rsidRPr="00F65E9B">
        <w:rPr>
          <w:rFonts w:cs="Arial"/>
          <w:sz w:val="22"/>
        </w:rPr>
        <w:t xml:space="preserve"> des enquêtes d’indentification des bassins de production en cours.</w:t>
      </w:r>
    </w:p>
    <w:p w14:paraId="7FB4EA74" w14:textId="77777777" w:rsidR="001C2F95" w:rsidRPr="00982564" w:rsidRDefault="001C2F95" w:rsidP="001C2F95">
      <w:pPr>
        <w:rPr>
          <w:rFonts w:cs="Arial"/>
          <w:i/>
          <w:sz w:val="22"/>
        </w:rPr>
      </w:pPr>
    </w:p>
    <w:p w14:paraId="5A935E6C" w14:textId="77777777" w:rsidR="001C2F95" w:rsidRPr="00982564" w:rsidRDefault="001C2F95" w:rsidP="001C2F95">
      <w:pPr>
        <w:rPr>
          <w:rFonts w:cs="Arial"/>
          <w:i/>
          <w:sz w:val="22"/>
        </w:rPr>
      </w:pPr>
      <w:r w:rsidRPr="00982564">
        <w:rPr>
          <w:rFonts w:cs="Arial"/>
          <w:i/>
          <w:sz w:val="22"/>
        </w:rPr>
        <w:t>NES n°3 : Utilisation rationnelle des ressources et prévention et gestion de la pollution</w:t>
      </w:r>
    </w:p>
    <w:p w14:paraId="629A3FDB" w14:textId="77777777" w:rsidR="001C2F95" w:rsidRPr="00982564" w:rsidRDefault="001C2F95" w:rsidP="001C2F95">
      <w:pPr>
        <w:rPr>
          <w:rFonts w:cs="Arial"/>
          <w:sz w:val="22"/>
        </w:rPr>
      </w:pPr>
    </w:p>
    <w:p w14:paraId="5290A09B" w14:textId="77777777" w:rsidR="001C2F95" w:rsidRPr="00982564" w:rsidRDefault="001C2F95" w:rsidP="001C2F95">
      <w:pPr>
        <w:rPr>
          <w:rFonts w:cs="Arial"/>
          <w:sz w:val="22"/>
        </w:rPr>
      </w:pPr>
      <w:r w:rsidRPr="00982564">
        <w:rPr>
          <w:rFonts w:cs="Arial"/>
          <w:sz w:val="22"/>
        </w:rPr>
        <w:t xml:space="preserve">Elle reconnaît que l’activité économique et l’urbanisation sont souvent à l’origine de la pollution de l’air, de l’eau et des sols, et appauvrissent les ressources déjà limitées. Ces effets peuvent menacer les personnes, les services écosystémiques et l’environnement à l’échelle locale, régionale et mondiale, y compris les concentrations atmosphériques actuelles et prévisionnelles de gaz à effet de serre (GES) qui menacent le bien-être des générations actuelles et futures. </w:t>
      </w:r>
    </w:p>
    <w:p w14:paraId="116E314E" w14:textId="77777777" w:rsidR="001C2F95" w:rsidRPr="00982564" w:rsidRDefault="001C2F95" w:rsidP="001C2F95">
      <w:pPr>
        <w:rPr>
          <w:rFonts w:cs="Arial"/>
          <w:sz w:val="22"/>
        </w:rPr>
      </w:pPr>
    </w:p>
    <w:p w14:paraId="4B662C64" w14:textId="77777777" w:rsidR="001C2F95" w:rsidRPr="00982564" w:rsidRDefault="001C2F95" w:rsidP="001C2F95">
      <w:pPr>
        <w:rPr>
          <w:rFonts w:cs="Arial"/>
          <w:sz w:val="22"/>
        </w:rPr>
      </w:pPr>
      <w:r w:rsidRPr="00982564">
        <w:rPr>
          <w:rFonts w:cs="Arial"/>
          <w:sz w:val="22"/>
        </w:rPr>
        <w:t>Le champ d’application de la présente NES est déterminé durant l’évaluation environnementale et sociale décrite dans la NES n° 1.</w:t>
      </w:r>
    </w:p>
    <w:p w14:paraId="29C1D4DE" w14:textId="77777777" w:rsidR="001C2F95" w:rsidRPr="00982564" w:rsidRDefault="001C2F95" w:rsidP="001C2F95">
      <w:pPr>
        <w:rPr>
          <w:rFonts w:cs="Arial"/>
          <w:sz w:val="22"/>
        </w:rPr>
      </w:pPr>
    </w:p>
    <w:p w14:paraId="0C1008A4" w14:textId="77777777" w:rsidR="001C2F95" w:rsidRPr="00982564" w:rsidRDefault="001C2F95" w:rsidP="001C2F95">
      <w:pPr>
        <w:rPr>
          <w:rFonts w:cs="Arial"/>
          <w:sz w:val="22"/>
        </w:rPr>
      </w:pPr>
      <w:r w:rsidRPr="00982564">
        <w:rPr>
          <w:rFonts w:cs="Arial"/>
          <w:sz w:val="22"/>
        </w:rPr>
        <w:t xml:space="preserve">Dans le cadre de la lutte antiparasitaire dans le PNDA, </w:t>
      </w:r>
      <w:r w:rsidR="00B708C8">
        <w:rPr>
          <w:rFonts w:cs="Arial"/>
          <w:sz w:val="22"/>
        </w:rPr>
        <w:t xml:space="preserve">conformément aux Lois du pays et à la </w:t>
      </w:r>
      <w:r w:rsidR="00AC4FCB">
        <w:rPr>
          <w:rFonts w:cs="Arial"/>
          <w:sz w:val="22"/>
        </w:rPr>
        <w:t xml:space="preserve">NES </w:t>
      </w:r>
      <w:r w:rsidR="001E4043" w:rsidRPr="00982564">
        <w:rPr>
          <w:rFonts w:cs="Arial"/>
          <w:sz w:val="22"/>
        </w:rPr>
        <w:t xml:space="preserve">n° </w:t>
      </w:r>
      <w:r w:rsidR="00B708C8">
        <w:rPr>
          <w:rFonts w:cs="Arial"/>
          <w:sz w:val="22"/>
        </w:rPr>
        <w:t>3 de la Banque mondiale,</w:t>
      </w:r>
      <w:r w:rsidRPr="00982564">
        <w:rPr>
          <w:rFonts w:cs="Arial"/>
          <w:sz w:val="22"/>
        </w:rPr>
        <w:t xml:space="preserve"> </w:t>
      </w:r>
      <w:r w:rsidR="00B708C8" w:rsidRPr="00982564">
        <w:rPr>
          <w:rFonts w:cs="Arial"/>
          <w:sz w:val="22"/>
        </w:rPr>
        <w:t>le Gouvernement de la RDC</w:t>
      </w:r>
      <w:r w:rsidR="00B708C8">
        <w:rPr>
          <w:rFonts w:cs="Arial"/>
          <w:sz w:val="22"/>
        </w:rPr>
        <w:t xml:space="preserve">, </w:t>
      </w:r>
      <w:r w:rsidRPr="00982564">
        <w:rPr>
          <w:rFonts w:cs="Arial"/>
          <w:sz w:val="22"/>
        </w:rPr>
        <w:t>a préparé un document séparé, en l’occurrence le Cadre de</w:t>
      </w:r>
      <w:r w:rsidR="00B708C8">
        <w:rPr>
          <w:rFonts w:cs="Arial"/>
          <w:sz w:val="22"/>
        </w:rPr>
        <w:t xml:space="preserve"> Gestion des Pestes et Pesticides (PGPP)</w:t>
      </w:r>
      <w:r w:rsidRPr="00982564">
        <w:rPr>
          <w:rFonts w:cs="Arial"/>
          <w:sz w:val="22"/>
        </w:rPr>
        <w:t>.</w:t>
      </w:r>
    </w:p>
    <w:p w14:paraId="5E2833B3" w14:textId="77777777" w:rsidR="001C2F95" w:rsidRPr="00982564" w:rsidRDefault="001C2F95" w:rsidP="001C2F95">
      <w:pPr>
        <w:rPr>
          <w:rFonts w:cs="Arial"/>
          <w:sz w:val="22"/>
        </w:rPr>
      </w:pPr>
    </w:p>
    <w:p w14:paraId="475435BD" w14:textId="77777777" w:rsidR="001C2F95" w:rsidRPr="00982564" w:rsidRDefault="001C2F95" w:rsidP="001C2F95">
      <w:pPr>
        <w:rPr>
          <w:rFonts w:cs="Arial"/>
          <w:i/>
          <w:sz w:val="22"/>
        </w:rPr>
      </w:pPr>
      <w:r w:rsidRPr="00982564">
        <w:rPr>
          <w:rFonts w:cs="Arial"/>
          <w:i/>
          <w:sz w:val="22"/>
        </w:rPr>
        <w:t>NES n°4 : Santé et sécurité des populations</w:t>
      </w:r>
    </w:p>
    <w:p w14:paraId="049E7A17" w14:textId="77777777" w:rsidR="001C2F95" w:rsidRPr="00982564" w:rsidRDefault="001C2F95" w:rsidP="001C2F95">
      <w:pPr>
        <w:rPr>
          <w:rFonts w:cs="Arial"/>
          <w:sz w:val="22"/>
        </w:rPr>
      </w:pPr>
    </w:p>
    <w:p w14:paraId="4EBE8372" w14:textId="77777777" w:rsidR="001C2F95" w:rsidRPr="00982564" w:rsidRDefault="001C2F95" w:rsidP="001C2F95">
      <w:pPr>
        <w:rPr>
          <w:rFonts w:cs="Arial"/>
          <w:sz w:val="22"/>
        </w:rPr>
      </w:pPr>
      <w:r w:rsidRPr="00982564">
        <w:rPr>
          <w:rFonts w:cs="Arial"/>
          <w:sz w:val="22"/>
        </w:rPr>
        <w:t>Elle reconnaît que les activités, le matériel et les infrastructures du projet peuvent augmenter leur exposition aux risques et effets néfastes associés au projet. En outre, celles qui subissent déjà l’impact du changement climatique peuvent connaître une accélération ou une intensification de ceux-ci à cause du projet.</w:t>
      </w:r>
    </w:p>
    <w:p w14:paraId="7DC58400" w14:textId="77777777" w:rsidR="001C2F95" w:rsidRPr="00982564" w:rsidRDefault="001C2F95" w:rsidP="001C2F95">
      <w:pPr>
        <w:rPr>
          <w:rFonts w:cs="Arial"/>
          <w:sz w:val="22"/>
        </w:rPr>
      </w:pPr>
    </w:p>
    <w:p w14:paraId="1D66012B" w14:textId="77777777" w:rsidR="001C2F95" w:rsidRPr="00982564" w:rsidRDefault="001C2F95" w:rsidP="001C2F95">
      <w:pPr>
        <w:rPr>
          <w:rFonts w:cs="Arial"/>
          <w:sz w:val="22"/>
        </w:rPr>
      </w:pPr>
      <w:r w:rsidRPr="00982564">
        <w:rPr>
          <w:rFonts w:cs="Arial"/>
          <w:sz w:val="22"/>
        </w:rPr>
        <w:t>La NES n°4 traite des risques et effets du projet sur la santé, la sûreté et la sécurité des populations touchées par celui-ci, y compris les risques des VBG, et de la responsabilité pour le pays d’éviter ou de minimiser ces risques et effets, en portant une attention particulière aux groupes qui, du fait de leur situation particulière, peuvent être considérés comme vulnérables. Elle donne également des directives à suivre pour ce qui est de la circulation et sécurité routière, conception et sécurité des infrastructures et des équipements, ainsi que des directives à suivre en cas de besoin d’utilisation d’un personnel de sécurité.</w:t>
      </w:r>
    </w:p>
    <w:p w14:paraId="6D478A30" w14:textId="77777777" w:rsidR="001C2F95" w:rsidRPr="00982564" w:rsidRDefault="001C2F95" w:rsidP="001C2F95">
      <w:pPr>
        <w:rPr>
          <w:rFonts w:cs="Arial"/>
          <w:sz w:val="22"/>
        </w:rPr>
      </w:pPr>
    </w:p>
    <w:p w14:paraId="6C8D3CC9" w14:textId="77777777" w:rsidR="001C2F95" w:rsidRPr="00982564" w:rsidRDefault="001C2F95" w:rsidP="001C2F95">
      <w:pPr>
        <w:rPr>
          <w:rFonts w:cs="Arial"/>
          <w:i/>
          <w:sz w:val="22"/>
        </w:rPr>
      </w:pPr>
      <w:r w:rsidRPr="00982564">
        <w:rPr>
          <w:rFonts w:cs="Arial"/>
          <w:sz w:val="22"/>
        </w:rPr>
        <w:t xml:space="preserve"> </w:t>
      </w:r>
      <w:r w:rsidRPr="00982564">
        <w:rPr>
          <w:rFonts w:cs="Arial"/>
          <w:i/>
          <w:sz w:val="22"/>
        </w:rPr>
        <w:t>NES n°5 : Acquisition de terres, restrictions à l’utilisation de terres et réinstallation involontaire</w:t>
      </w:r>
    </w:p>
    <w:p w14:paraId="0161D3D9" w14:textId="77777777" w:rsidR="001C2F95" w:rsidRPr="00982564" w:rsidRDefault="001C2F95" w:rsidP="001C2F95">
      <w:pPr>
        <w:rPr>
          <w:rFonts w:cs="Arial"/>
          <w:sz w:val="22"/>
        </w:rPr>
      </w:pPr>
    </w:p>
    <w:p w14:paraId="2108E3CE" w14:textId="77777777" w:rsidR="001C2F95" w:rsidRPr="00982564" w:rsidRDefault="001C2F95" w:rsidP="001C2F95">
      <w:pPr>
        <w:rPr>
          <w:rFonts w:cs="Arial"/>
          <w:sz w:val="22"/>
        </w:rPr>
      </w:pPr>
      <w:r w:rsidRPr="00982564">
        <w:rPr>
          <w:rFonts w:cs="Arial"/>
          <w:sz w:val="22"/>
        </w:rPr>
        <w:t xml:space="preserve">Elle reconnaît que l’acquisition de terres en rapport avec le projet et l’imposition de restrictions à leur utilisation peuvent avoir des effets néfastes sur les communautés et les populations. L’acquisition de terres ou l’imposition de restrictions à l’utilisation peuvent entraîner le déplacement physique (déménagement, perte de terrain résidentiel ou de logement), le déplacement économique (perte de terres, d’actifs ou d’accès à ces actifs, qui donne notamment lieu à une perte de source de revenus ou d’autres moyens de subsistance), ou les deux. La « réinstallation involontaire » se rapporte à ces effets. La réinstallation est considérée comme involontaire lorsque les personnes ou les communautés touchées n’ont pas le droit de refuser l’acquisition de terres ou les restrictions à leur utilisation qui </w:t>
      </w:r>
      <w:r w:rsidR="006B29CF" w:rsidRPr="00982564">
        <w:rPr>
          <w:rFonts w:cs="Arial"/>
          <w:sz w:val="22"/>
        </w:rPr>
        <w:t>est</w:t>
      </w:r>
      <w:r w:rsidRPr="00982564">
        <w:rPr>
          <w:rFonts w:cs="Arial"/>
          <w:sz w:val="22"/>
        </w:rPr>
        <w:t xml:space="preserve"> à l’origine du déplacement. Dans le PNDA, un Cadre de Politique de Réinstallation sera élaboré en document séparé pour permettre d’être en conformité avec cette norme. </w:t>
      </w:r>
    </w:p>
    <w:p w14:paraId="6D18239C" w14:textId="77777777" w:rsidR="006B29CF" w:rsidRPr="00982564" w:rsidRDefault="006B29CF" w:rsidP="001C2F95">
      <w:pPr>
        <w:ind w:left="1134" w:hanging="1134"/>
        <w:rPr>
          <w:rFonts w:cs="Arial"/>
          <w:i/>
          <w:sz w:val="22"/>
        </w:rPr>
      </w:pPr>
    </w:p>
    <w:p w14:paraId="521B11D7" w14:textId="77777777" w:rsidR="001C2F95" w:rsidRPr="00982564" w:rsidRDefault="001C2F95" w:rsidP="001C2F95">
      <w:pPr>
        <w:ind w:left="1134" w:hanging="1134"/>
        <w:rPr>
          <w:rFonts w:cs="Arial"/>
          <w:sz w:val="22"/>
        </w:rPr>
      </w:pPr>
      <w:r w:rsidRPr="00982564">
        <w:rPr>
          <w:rFonts w:cs="Arial"/>
          <w:i/>
          <w:sz w:val="22"/>
        </w:rPr>
        <w:t>NES n°6 : Préservation de la biodiversité et gestion durable des ressources naturelles biologiques</w:t>
      </w:r>
    </w:p>
    <w:p w14:paraId="73885891" w14:textId="77777777" w:rsidR="001C2F95" w:rsidRPr="00982564" w:rsidRDefault="001C2F95" w:rsidP="001C2F95">
      <w:pPr>
        <w:rPr>
          <w:rFonts w:cs="Arial"/>
          <w:sz w:val="22"/>
        </w:rPr>
      </w:pPr>
    </w:p>
    <w:p w14:paraId="50BAAF5B" w14:textId="77777777" w:rsidR="001C2F95" w:rsidRPr="00982564" w:rsidRDefault="001C2F95" w:rsidP="001C2F95">
      <w:pPr>
        <w:rPr>
          <w:rFonts w:cs="Arial"/>
          <w:sz w:val="22"/>
        </w:rPr>
      </w:pPr>
      <w:r w:rsidRPr="00982564">
        <w:rPr>
          <w:rFonts w:cs="Arial"/>
          <w:sz w:val="22"/>
        </w:rPr>
        <w:t xml:space="preserve">Elle reconnaît que la protection et la préservation de la biodiversité et la gestion durable des ressources naturelles biologiques sont fondamentales pour le développement durable. La biodiversité désigne la variabilité des organismes vivants de toute origine, y compris, entre autres, les écosystèmes terrestres, marins et autres écosystèmes aquatiques et les complexes écologiques dont ils font partie. Cela comprend la diversité au sein des espèces et entre espèces, ainsi que celle des écosystèmes. Parce que la biodiversité sous-tend souvent les services écosystémiques valorisés par les humains, des effets néfastes sur la diversité biologique peuvent avoir une incidence négative sur ces services. </w:t>
      </w:r>
    </w:p>
    <w:p w14:paraId="24E6197E" w14:textId="77777777" w:rsidR="001C2F95" w:rsidRPr="00982564" w:rsidRDefault="001C2F95" w:rsidP="001C2F95">
      <w:pPr>
        <w:rPr>
          <w:rFonts w:cs="Arial"/>
          <w:sz w:val="22"/>
        </w:rPr>
      </w:pPr>
    </w:p>
    <w:p w14:paraId="2A6CABAD" w14:textId="77777777" w:rsidR="001C2F95" w:rsidRPr="00982564" w:rsidRDefault="001C2F95" w:rsidP="001C2F95">
      <w:pPr>
        <w:rPr>
          <w:rFonts w:cs="Arial"/>
          <w:sz w:val="22"/>
        </w:rPr>
      </w:pPr>
      <w:r w:rsidRPr="00982564">
        <w:rPr>
          <w:rFonts w:cs="Arial"/>
          <w:sz w:val="22"/>
        </w:rPr>
        <w:t>Pour se conformer à cette norme, des mesures spécifiques de préservation de la biodiversité et de gestion durable des ressources naturelles biologiques sont incluses dans ce CGES.</w:t>
      </w:r>
    </w:p>
    <w:p w14:paraId="2602C877" w14:textId="77777777" w:rsidR="001C2F95" w:rsidRPr="00982564" w:rsidRDefault="001C2F95" w:rsidP="001C2F95">
      <w:pPr>
        <w:ind w:left="1418" w:hanging="1418"/>
        <w:rPr>
          <w:rFonts w:cs="Arial"/>
          <w:i/>
          <w:sz w:val="22"/>
        </w:rPr>
      </w:pPr>
      <w:r w:rsidRPr="00982564">
        <w:rPr>
          <w:rFonts w:cs="Arial"/>
          <w:i/>
          <w:sz w:val="22"/>
        </w:rPr>
        <w:t>NES n°7 : Peuples autochtones / communautés locales traditionnelles d’Afrique subsaharienne historiquement défavorisées</w:t>
      </w:r>
    </w:p>
    <w:p w14:paraId="53D1550C" w14:textId="77777777" w:rsidR="001C2F95" w:rsidRPr="00982564" w:rsidRDefault="001C2F95" w:rsidP="001C2F95">
      <w:pPr>
        <w:rPr>
          <w:rFonts w:cs="Arial"/>
          <w:i/>
          <w:sz w:val="22"/>
        </w:rPr>
      </w:pPr>
    </w:p>
    <w:p w14:paraId="20B882B4" w14:textId="77777777" w:rsidR="001C2F95" w:rsidRPr="00982564" w:rsidRDefault="001C2F95" w:rsidP="001C2F95">
      <w:pPr>
        <w:rPr>
          <w:rFonts w:cs="Arial"/>
          <w:sz w:val="22"/>
        </w:rPr>
      </w:pPr>
      <w:r w:rsidRPr="00982564">
        <w:rPr>
          <w:rFonts w:cs="Arial"/>
          <w:sz w:val="22"/>
        </w:rPr>
        <w:t>La NES n° 7 veille à ce que le processus de développement favorise le plein respect des droits humains, de la dignité, des aspirations, de l'identité, de la culture et des moyens de subsistance fondés sur des ressources naturelles des Peuples autochtones / Communautés locales traditionnelles d’Afrique subsaharienne historiquement défavorisées. La NES n° 7 a également pour objectif d'éviter les impacts négatifs des projets sur les Peuples autochtones / Communautés locales traditionnelles d’Afrique subsaharienne historiquement défavorisées ou, si cela n’est pas possible, réduire, atténuer et / ou compenser ces impacts historiquement défavorisées » équivaut à tous ces autres termes et expressions. Ainsi, pour se conformer à la NES n°7, le PNDA procédera à la préparation du Cadre de Politique en faveur des Populations Autochtones (CPPA).</w:t>
      </w:r>
    </w:p>
    <w:p w14:paraId="617B08F5" w14:textId="77777777" w:rsidR="001C2F95" w:rsidRPr="00982564" w:rsidRDefault="001C2F95" w:rsidP="001C2F95">
      <w:pPr>
        <w:rPr>
          <w:rFonts w:cs="Arial"/>
          <w:i/>
          <w:sz w:val="22"/>
        </w:rPr>
      </w:pPr>
    </w:p>
    <w:p w14:paraId="4813897A" w14:textId="77777777" w:rsidR="001C2F95" w:rsidRPr="00982564" w:rsidRDefault="001C2F95" w:rsidP="001C2F95">
      <w:pPr>
        <w:rPr>
          <w:rFonts w:cs="Arial"/>
          <w:i/>
          <w:sz w:val="22"/>
        </w:rPr>
      </w:pPr>
      <w:r w:rsidRPr="00982564">
        <w:rPr>
          <w:rFonts w:cs="Arial"/>
          <w:i/>
          <w:sz w:val="22"/>
        </w:rPr>
        <w:t>NES n° 8 : Patrimoine culturel</w:t>
      </w:r>
    </w:p>
    <w:p w14:paraId="308DEB6E" w14:textId="77777777" w:rsidR="001C2F95" w:rsidRPr="00982564" w:rsidRDefault="001C2F95" w:rsidP="001C2F95">
      <w:pPr>
        <w:rPr>
          <w:rFonts w:cs="Arial"/>
          <w:i/>
          <w:sz w:val="22"/>
        </w:rPr>
      </w:pPr>
    </w:p>
    <w:p w14:paraId="4F8DBA32" w14:textId="77777777" w:rsidR="001C2F95" w:rsidRPr="00982564" w:rsidRDefault="001C2F95" w:rsidP="001C2F95">
      <w:pPr>
        <w:rPr>
          <w:rFonts w:cs="Arial"/>
          <w:sz w:val="22"/>
        </w:rPr>
      </w:pPr>
      <w:r w:rsidRPr="00982564">
        <w:rPr>
          <w:rFonts w:cs="Arial"/>
          <w:sz w:val="22"/>
        </w:rPr>
        <w:t>Elle reconnaît que le patrimoine culturel permet d’assurer la continuité entre le passé, le présent et l’avenir de façon tangible ou intangible. Les individus s’identifient à leur patrimoine culturel comme étant le reflet et l’expression de leurs valeurs, croyances, savoirs et traditions en constante évolution. Par ses nombreux aspects, le patrimoine culturel est important en ce qu’il est une source de précieuses informations scientifiques et historiques, un atout économique et social pour le développement, et une partie intégrante de l’identité et de la pratique culturelles d’un peuple. La NES n° 8 énonce des mesures destinées à protéger le patrimoine culturel tout au long du cycle de vie du projet.</w:t>
      </w:r>
    </w:p>
    <w:p w14:paraId="0B2CE4D6" w14:textId="77777777" w:rsidR="001C2F95" w:rsidRPr="00982564" w:rsidRDefault="001C2F95" w:rsidP="001C2F95">
      <w:pPr>
        <w:rPr>
          <w:rFonts w:cs="Arial"/>
          <w:sz w:val="22"/>
        </w:rPr>
      </w:pPr>
    </w:p>
    <w:p w14:paraId="5453A2F5" w14:textId="77777777" w:rsidR="001C2F95" w:rsidRPr="00982564" w:rsidRDefault="001C2F95" w:rsidP="001C2F95">
      <w:pPr>
        <w:rPr>
          <w:rFonts w:cs="Arial"/>
          <w:sz w:val="22"/>
        </w:rPr>
      </w:pPr>
      <w:r w:rsidRPr="00982564">
        <w:rPr>
          <w:rFonts w:cs="Arial"/>
          <w:sz w:val="22"/>
        </w:rPr>
        <w:t>Pour se conformer à cette norme, des dispositions permettant de gérer les effets néfastes sur le patrimoine culturel sont incluses dans ce CGES.</w:t>
      </w:r>
    </w:p>
    <w:p w14:paraId="279F7A34" w14:textId="77777777" w:rsidR="001C2F95" w:rsidRPr="00982564" w:rsidRDefault="001C2F95" w:rsidP="001C2F95">
      <w:pPr>
        <w:rPr>
          <w:rFonts w:cs="Arial"/>
          <w:sz w:val="22"/>
        </w:rPr>
      </w:pPr>
    </w:p>
    <w:p w14:paraId="2C1FF7A1" w14:textId="77777777" w:rsidR="001C2F95" w:rsidRPr="00982564" w:rsidRDefault="001C2F95" w:rsidP="001C2F95">
      <w:pPr>
        <w:rPr>
          <w:rFonts w:cs="Arial"/>
          <w:i/>
          <w:iCs/>
          <w:sz w:val="22"/>
        </w:rPr>
      </w:pPr>
      <w:r w:rsidRPr="00982564">
        <w:rPr>
          <w:rFonts w:cs="Arial"/>
          <w:i/>
          <w:iCs/>
          <w:sz w:val="22"/>
        </w:rPr>
        <w:t>NES n°9 : Intermédiaires financiers</w:t>
      </w:r>
    </w:p>
    <w:p w14:paraId="616BB40D" w14:textId="77777777" w:rsidR="001C2F95" w:rsidRPr="00982564" w:rsidRDefault="001C2F95" w:rsidP="001C2F95">
      <w:pPr>
        <w:rPr>
          <w:rFonts w:cs="Arial"/>
          <w:i/>
          <w:iCs/>
          <w:sz w:val="22"/>
        </w:rPr>
      </w:pPr>
    </w:p>
    <w:p w14:paraId="7BE74B62" w14:textId="77777777" w:rsidR="001C2F95" w:rsidRPr="00982564" w:rsidRDefault="001C2F95" w:rsidP="001C2F95">
      <w:pPr>
        <w:rPr>
          <w:rFonts w:cs="Arial"/>
          <w:sz w:val="22"/>
        </w:rPr>
      </w:pPr>
      <w:r w:rsidRPr="00982564">
        <w:rPr>
          <w:rFonts w:cs="Arial"/>
          <w:sz w:val="22"/>
        </w:rPr>
        <w:t>La NES n°9 reconnaît un marché de capitaux et des marchés financiers bien développés à l’échelle nationale ainsi que l’accès au financement sont importants pour le développement économique, la croissance et la réduction de la pauvreté. La Banque est déterminée à soutenir le développement durable du secteur financier et à renforcer le rôle des marchés de capitaux et des marchés financiers au niveau des pays.</w:t>
      </w:r>
    </w:p>
    <w:p w14:paraId="7343E7AF" w14:textId="77777777" w:rsidR="001C2F95" w:rsidRPr="00982564" w:rsidRDefault="001C2F95" w:rsidP="001C2F95">
      <w:pPr>
        <w:rPr>
          <w:rFonts w:cs="Arial"/>
          <w:sz w:val="22"/>
        </w:rPr>
      </w:pPr>
    </w:p>
    <w:p w14:paraId="0F1C12CC" w14:textId="77777777" w:rsidR="001C2F95" w:rsidRPr="00982564" w:rsidRDefault="001C2F95" w:rsidP="001C2F95">
      <w:pPr>
        <w:rPr>
          <w:rFonts w:cs="Arial"/>
          <w:sz w:val="22"/>
        </w:rPr>
      </w:pPr>
      <w:r w:rsidRPr="00982564">
        <w:rPr>
          <w:rFonts w:cs="Arial"/>
          <w:sz w:val="22"/>
        </w:rPr>
        <w:t>Les objectifs de la NES n°9 sont :</w:t>
      </w:r>
    </w:p>
    <w:p w14:paraId="4309D714" w14:textId="77777777" w:rsidR="001C2F95" w:rsidRPr="00982564" w:rsidRDefault="001C2F95" w:rsidP="001C2F95">
      <w:pPr>
        <w:rPr>
          <w:rFonts w:cs="Arial"/>
          <w:sz w:val="22"/>
        </w:rPr>
      </w:pPr>
    </w:p>
    <w:p w14:paraId="6B8CF23B" w14:textId="77777777" w:rsidR="001C2F95" w:rsidRPr="00982564" w:rsidRDefault="001C2F95" w:rsidP="002378EA">
      <w:pPr>
        <w:pStyle w:val="Paragraphedeliste"/>
        <w:numPr>
          <w:ilvl w:val="0"/>
          <w:numId w:val="96"/>
        </w:numPr>
        <w:rPr>
          <w:rFonts w:cs="Arial"/>
          <w:sz w:val="22"/>
        </w:rPr>
      </w:pPr>
      <w:r w:rsidRPr="00982564">
        <w:rPr>
          <w:rFonts w:cs="Arial"/>
          <w:sz w:val="22"/>
        </w:rPr>
        <w:t>Définir la manière dont les IF vont évaluer et gérer les risques et effets environnementaux et sociaux associés aux sous-projets qu’ils financent ;</w:t>
      </w:r>
    </w:p>
    <w:p w14:paraId="1935A4B7" w14:textId="77777777" w:rsidR="001C2F95" w:rsidRPr="00982564" w:rsidRDefault="001C2F95" w:rsidP="002378EA">
      <w:pPr>
        <w:pStyle w:val="Paragraphedeliste"/>
        <w:numPr>
          <w:ilvl w:val="0"/>
          <w:numId w:val="96"/>
        </w:numPr>
        <w:rPr>
          <w:rFonts w:cs="Arial"/>
          <w:sz w:val="22"/>
        </w:rPr>
      </w:pPr>
      <w:r w:rsidRPr="00982564">
        <w:rPr>
          <w:rFonts w:cs="Arial"/>
          <w:sz w:val="22"/>
        </w:rPr>
        <w:t>Encourager de bonnes pratiques de gestion environnementale et sociale dans les sous-projets que les IF financent ; et</w:t>
      </w:r>
    </w:p>
    <w:p w14:paraId="39FCCDE2" w14:textId="77777777" w:rsidR="001C2F95" w:rsidRPr="00982564" w:rsidRDefault="001C2F95" w:rsidP="002378EA">
      <w:pPr>
        <w:pStyle w:val="Paragraphedeliste"/>
        <w:numPr>
          <w:ilvl w:val="0"/>
          <w:numId w:val="96"/>
        </w:numPr>
        <w:rPr>
          <w:rFonts w:cs="Arial"/>
          <w:sz w:val="22"/>
        </w:rPr>
      </w:pPr>
      <w:r w:rsidRPr="00982564">
        <w:rPr>
          <w:rFonts w:cs="Arial"/>
          <w:sz w:val="22"/>
        </w:rPr>
        <w:t>Promouvoir une bonne gestion de l’environnement et des ressources humaines dans le cadre de l’intermédiation financière.</w:t>
      </w:r>
    </w:p>
    <w:p w14:paraId="327322EE" w14:textId="77777777" w:rsidR="001C2F95" w:rsidRPr="00982564" w:rsidRDefault="001C2F95" w:rsidP="001C2F95">
      <w:pPr>
        <w:rPr>
          <w:rFonts w:cs="Arial"/>
          <w:i/>
          <w:iCs/>
          <w:sz w:val="22"/>
        </w:rPr>
      </w:pPr>
    </w:p>
    <w:p w14:paraId="060FD769" w14:textId="77777777" w:rsidR="001C2F95" w:rsidRPr="00982564" w:rsidRDefault="001C2F95" w:rsidP="001C2F95">
      <w:pPr>
        <w:rPr>
          <w:rFonts w:cs="Arial"/>
          <w:sz w:val="22"/>
        </w:rPr>
      </w:pPr>
      <w:r w:rsidRPr="00982564">
        <w:rPr>
          <w:rFonts w:cs="Arial"/>
          <w:sz w:val="22"/>
        </w:rPr>
        <w:t>Les interm</w:t>
      </w:r>
      <w:r w:rsidR="006B29CF" w:rsidRPr="00982564">
        <w:rPr>
          <w:rFonts w:cs="Arial"/>
          <w:sz w:val="22"/>
        </w:rPr>
        <w:t>é</w:t>
      </w:r>
      <w:r w:rsidRPr="00982564">
        <w:rPr>
          <w:rFonts w:cs="Arial"/>
          <w:sz w:val="22"/>
        </w:rPr>
        <w:t>diaires financiers (IF) ont l’obligation d’assurer le suivi et la gestion des risques et effets environnementaux et sociaux de leur portefeuille et leurs sous-projets, et de surveiller le risque de portefeuille en fonction de la nature du financement intermédi</w:t>
      </w:r>
      <w:r w:rsidR="006B29CF" w:rsidRPr="00982564">
        <w:rPr>
          <w:rFonts w:cs="Arial"/>
          <w:sz w:val="22"/>
        </w:rPr>
        <w:t>aire</w:t>
      </w:r>
      <w:r w:rsidRPr="00982564">
        <w:rPr>
          <w:rFonts w:cs="Arial"/>
          <w:sz w:val="22"/>
        </w:rPr>
        <w:t>. Le portefeuille de l’IF sera géré de différentes manières, compte tenu d’un certain nombre d’éléments parmi lesquels la capacité de l’IF et la nature et l’importance des financements à octroyer.</w:t>
      </w:r>
    </w:p>
    <w:p w14:paraId="28C78D8B" w14:textId="77777777" w:rsidR="001C2F95" w:rsidRPr="00982564" w:rsidRDefault="001C2F95" w:rsidP="001C2F95">
      <w:pPr>
        <w:rPr>
          <w:rFonts w:cs="Arial"/>
          <w:sz w:val="22"/>
        </w:rPr>
      </w:pPr>
    </w:p>
    <w:p w14:paraId="0A8DE265" w14:textId="77777777" w:rsidR="001C2F95" w:rsidRPr="00982564" w:rsidRDefault="001C2F95" w:rsidP="001C2F95">
      <w:pPr>
        <w:rPr>
          <w:rFonts w:cs="Arial"/>
          <w:sz w:val="22"/>
        </w:rPr>
      </w:pPr>
      <w:r w:rsidRPr="00982564">
        <w:rPr>
          <w:rFonts w:cs="Arial"/>
          <w:sz w:val="22"/>
        </w:rPr>
        <w:t>Les IF ont l’obligation d’adopter et de maintenir, sous la forme d’un système de gestion environnementale et sociale (SGES), des systèmes, des procédures et des capacités d’évaluation, de gestion et de suivi des risques et effets environnementaux et sociaux des sous-projets, ainsi que de gérer le risque de portefeuille global d’une manière responsable.</w:t>
      </w:r>
    </w:p>
    <w:p w14:paraId="0032E874" w14:textId="77777777" w:rsidR="001C2F95" w:rsidRPr="00982564" w:rsidRDefault="001C2F95" w:rsidP="001C2F95">
      <w:pPr>
        <w:rPr>
          <w:rFonts w:cs="Arial"/>
          <w:i/>
          <w:iCs/>
          <w:sz w:val="22"/>
        </w:rPr>
      </w:pPr>
    </w:p>
    <w:p w14:paraId="3C0C609D" w14:textId="77777777" w:rsidR="001C2F95" w:rsidRPr="00982564" w:rsidRDefault="001C2F95" w:rsidP="001C2F95">
      <w:pPr>
        <w:rPr>
          <w:rFonts w:cs="Arial"/>
          <w:sz w:val="22"/>
        </w:rPr>
      </w:pPr>
      <w:r w:rsidRPr="00982564">
        <w:rPr>
          <w:rFonts w:cs="Arial"/>
          <w:sz w:val="22"/>
        </w:rPr>
        <w:t>La présente NES s’applique aux intermédiaires financiers (IF) qui reçoivent un appui financier de la Banque. Les IF englobent des prestataires publics et privés de services financiers, y compris des banques nationales et régionales de développement, qui acheminent des ressources financières vers une diversité d’activités économiques réalisées dans tous les secteurs de l’industrie. L’intermédiation financière désigne également le fait pour des IF d’apporter des financements ou des garanties à d’autres IF. Aux fins de la présente NES, l’expression « sous-projet d’intermédiaire financier » désigne les projets financés par les IF avec l’appui de la Banque. Lorsque le projet consiste, pour un IF, en une rétrocession de prêts à un autre IF, l’expression « sous-projet d’IF» désignera les sous-projets de chaque IF suivant. </w:t>
      </w:r>
    </w:p>
    <w:p w14:paraId="41E342E6" w14:textId="77777777" w:rsidR="001C2F95" w:rsidRPr="00982564" w:rsidRDefault="001C2F95" w:rsidP="001C2F95">
      <w:pPr>
        <w:rPr>
          <w:rFonts w:cs="Arial"/>
          <w:sz w:val="22"/>
        </w:rPr>
      </w:pPr>
    </w:p>
    <w:p w14:paraId="468A4DF1" w14:textId="77777777" w:rsidR="001C2F95" w:rsidRPr="00982564" w:rsidRDefault="001C2F95" w:rsidP="001C2F95">
      <w:pPr>
        <w:rPr>
          <w:rFonts w:cs="Arial"/>
          <w:sz w:val="22"/>
        </w:rPr>
      </w:pPr>
      <w:r w:rsidRPr="00982564">
        <w:rPr>
          <w:rFonts w:cs="Arial"/>
          <w:sz w:val="22"/>
        </w:rPr>
        <w:t>Les dispositions de la présente NES s’appliquent à tous les IF qui bénéficient de l’appui de la Banque, soit directement, soit en passant par l’Emprunteur ou par d’autres IF, ainsi qu’il suit :  a) Lorsque l’appui de la Banque est fourni à l’IF pour financer des sous-projets d’IF clairement définis, les dispositions de la présente NES s’appliqueront à chacun de ces sous-projets ;  b) Lorsque le concours de la Banque à l’IF est d’une portée générale3, les dispositions de la présente NES s’appliqueront à l’ensemble du portefeuille en préparation de l’IF à compter de la date d’entrée en vigueur de l’accord juridique .</w:t>
      </w:r>
    </w:p>
    <w:p w14:paraId="42DCEEF7" w14:textId="77777777" w:rsidR="001C2F95" w:rsidRPr="00982564" w:rsidRDefault="001C2F95" w:rsidP="001C2F95">
      <w:pPr>
        <w:rPr>
          <w:rFonts w:cs="Arial"/>
          <w:i/>
          <w:iCs/>
          <w:sz w:val="22"/>
        </w:rPr>
      </w:pPr>
    </w:p>
    <w:p w14:paraId="30C86075" w14:textId="77777777" w:rsidR="001C2F95" w:rsidRPr="00982564" w:rsidRDefault="001C2F95" w:rsidP="001C2F95">
      <w:pPr>
        <w:rPr>
          <w:rFonts w:cs="Arial"/>
          <w:sz w:val="22"/>
        </w:rPr>
      </w:pPr>
      <w:r w:rsidRPr="00982564">
        <w:rPr>
          <w:rFonts w:cs="Arial"/>
          <w:sz w:val="22"/>
        </w:rPr>
        <w:t>Ainsi, les IF mettront en place et maintiendront un SGES afin d’identifier, d’évaluer, de gérer et de suivre en permanence les risques et effets environnementaux et sociaux de leurs sous-projets. Le SGES sera proportionné à la nature et l’importance des risques et effets environnementaux et sociaux des sous-projets d’IF, aux types de financement et au profil de risque global agrégé au niveau du portefeuille. Lorsque l’IF peut démontrer qu’il dispose d’un SGES, il communiquera à la Banque des documents appropriés attestant de l’existence d’un tel SGES, et indiquant quels éléments (le cas échéant) doivent être renforcés ou modifiés pour répondre aux exigences de la présente NES.</w:t>
      </w:r>
    </w:p>
    <w:p w14:paraId="12294378" w14:textId="77777777" w:rsidR="001C2F95" w:rsidRPr="00982564" w:rsidRDefault="001C2F95" w:rsidP="001C2F95">
      <w:pPr>
        <w:rPr>
          <w:rFonts w:cs="Arial"/>
          <w:i/>
          <w:iCs/>
          <w:sz w:val="22"/>
        </w:rPr>
      </w:pPr>
    </w:p>
    <w:p w14:paraId="540E19B3" w14:textId="77777777" w:rsidR="001C2F95" w:rsidRPr="00982564" w:rsidRDefault="001C2F95" w:rsidP="001C2F95">
      <w:pPr>
        <w:rPr>
          <w:rFonts w:cs="Arial"/>
          <w:sz w:val="22"/>
        </w:rPr>
      </w:pPr>
      <w:r w:rsidRPr="00982564">
        <w:rPr>
          <w:rFonts w:cs="Arial"/>
          <w:i/>
          <w:sz w:val="22"/>
        </w:rPr>
        <w:t>NES n°10 (Mobilisation des parties prenantes et information)</w:t>
      </w:r>
      <w:r w:rsidRPr="00982564">
        <w:rPr>
          <w:rFonts w:cs="Arial"/>
          <w:b/>
          <w:i/>
          <w:sz w:val="22"/>
        </w:rPr>
        <w:t xml:space="preserve"> :</w:t>
      </w:r>
      <w:r w:rsidRPr="00982564">
        <w:rPr>
          <w:rFonts w:cs="Arial"/>
          <w:sz w:val="22"/>
        </w:rPr>
        <w:t xml:space="preserve"> </w:t>
      </w:r>
    </w:p>
    <w:p w14:paraId="3BFCD054" w14:textId="77777777" w:rsidR="001C2F95" w:rsidRPr="00982564" w:rsidRDefault="001C2F95" w:rsidP="001C2F95">
      <w:pPr>
        <w:rPr>
          <w:rFonts w:cs="Arial"/>
          <w:sz w:val="22"/>
        </w:rPr>
      </w:pPr>
    </w:p>
    <w:p w14:paraId="6CD0FA5C" w14:textId="77777777" w:rsidR="001C2F95" w:rsidRDefault="001C2F95" w:rsidP="001C2F95">
      <w:pPr>
        <w:rPr>
          <w:rFonts w:cs="Arial"/>
          <w:sz w:val="22"/>
        </w:rPr>
      </w:pPr>
      <w:r w:rsidRPr="00982564">
        <w:rPr>
          <w:rFonts w:cs="Arial"/>
          <w:sz w:val="22"/>
        </w:rPr>
        <w:t xml:space="preserve">Elle reconnaît l’importance d’une collaboration ouverte et transparente entre l’Emprunteur et les parties prenantes du projet, élément essentiel des bonnes pratiques internationales. La mobilisation effective des parties prenantes peut améliorer la durabilité environnementale et sociale des projets, renforcer l’adhésion aux projets, et contribuer sensiblement à une conception et une mise en œuvre réussies du projet. </w:t>
      </w:r>
      <w:r w:rsidR="00874483" w:rsidRPr="00874483">
        <w:rPr>
          <w:rFonts w:cs="Arial"/>
          <w:sz w:val="22"/>
        </w:rPr>
        <w:t>Les recommandations de la Note de bonnes pratiques pour lutter contre les violences sexistes dans le cadre du financement de projets d´investissement comportant de grands travaux de génie civil</w:t>
      </w:r>
      <w:r w:rsidR="00874483" w:rsidRPr="00874483">
        <w:rPr>
          <w:rFonts w:cs="Arial"/>
          <w:sz w:val="22"/>
          <w:vertAlign w:val="superscript"/>
        </w:rPr>
        <w:footnoteReference w:id="16"/>
      </w:r>
      <w:r w:rsidR="00874483">
        <w:rPr>
          <w:rFonts w:cs="Arial"/>
          <w:sz w:val="22"/>
        </w:rPr>
        <w:t xml:space="preserve"> </w:t>
      </w:r>
      <w:r w:rsidR="00874483" w:rsidRPr="00874483">
        <w:rPr>
          <w:rFonts w:cs="Arial"/>
          <w:sz w:val="22"/>
        </w:rPr>
        <w:t>(World Bank, septembre 2018 et mis à jour en février 2021) seront tenues en compte pour l´enrichissement des mesures de prévention, atténuation et réponse aux risques VBG liés au projet</w:t>
      </w:r>
      <w:r w:rsidR="00AC4FCB">
        <w:rPr>
          <w:rFonts w:cs="Arial"/>
          <w:sz w:val="22"/>
        </w:rPr>
        <w:t>.</w:t>
      </w:r>
    </w:p>
    <w:p w14:paraId="28217F14" w14:textId="77777777" w:rsidR="00AC4FCB" w:rsidRPr="00982564" w:rsidRDefault="00AC4FCB" w:rsidP="001C2F95">
      <w:pPr>
        <w:rPr>
          <w:rFonts w:cs="Arial"/>
          <w:sz w:val="22"/>
        </w:rPr>
      </w:pPr>
    </w:p>
    <w:p w14:paraId="2814EC39" w14:textId="77777777" w:rsidR="001C2F95" w:rsidRDefault="001C2F95" w:rsidP="001C2F95">
      <w:pPr>
        <w:rPr>
          <w:rFonts w:cs="Arial"/>
          <w:sz w:val="22"/>
        </w:rPr>
      </w:pPr>
      <w:r w:rsidRPr="00DE552E">
        <w:rPr>
          <w:rFonts w:cs="Arial"/>
          <w:sz w:val="22"/>
        </w:rPr>
        <w:t>Par ailleurs, tel qu’énoncé dans cette NES n°10, le PNDA va mettre en place un Plan de Mobilisation des Parties Prenantes et Informations et continuera à collaborer avec les acteurs concernés pendant toute la durée de vie du projet, en mettant un accent sur les consultations avec les populations vulnérables, y compris les femmes dans des conditions sûres et confidentielles, et leur fournira des informations d’une manière adaptée à la nature de leurs intérêts et aux risques et effets environnementaux et sociaux potentiels du projet.</w:t>
      </w:r>
      <w:r w:rsidR="006B29CF" w:rsidRPr="00DE552E">
        <w:rPr>
          <w:rFonts w:cs="Arial"/>
          <w:sz w:val="22"/>
        </w:rPr>
        <w:t xml:space="preserve"> </w:t>
      </w:r>
      <w:r w:rsidR="00DE552E" w:rsidRPr="00DE552E">
        <w:rPr>
          <w:rFonts w:cs="Arial"/>
          <w:sz w:val="22"/>
        </w:rPr>
        <w:t>En outre, l</w:t>
      </w:r>
      <w:r w:rsidR="006B29CF" w:rsidRPr="00DE552E">
        <w:rPr>
          <w:rFonts w:cs="Arial"/>
          <w:sz w:val="22"/>
        </w:rPr>
        <w:t xml:space="preserve">e </w:t>
      </w:r>
      <w:r w:rsidR="001E4043" w:rsidRPr="00DE552E">
        <w:rPr>
          <w:rFonts w:cs="Arial"/>
          <w:sz w:val="22"/>
        </w:rPr>
        <w:t xml:space="preserve">programme </w:t>
      </w:r>
      <w:r w:rsidR="00DE552E" w:rsidRPr="00DE552E">
        <w:rPr>
          <w:rFonts w:cs="Arial"/>
          <w:sz w:val="22"/>
        </w:rPr>
        <w:t>mettra en</w:t>
      </w:r>
      <w:r w:rsidR="00977EBF" w:rsidRPr="00DE552E">
        <w:rPr>
          <w:rFonts w:cs="Arial"/>
          <w:sz w:val="22"/>
        </w:rPr>
        <w:t xml:space="preserve"> place un </w:t>
      </w:r>
      <w:r w:rsidR="006B29CF" w:rsidRPr="00DE552E">
        <w:rPr>
          <w:rFonts w:cs="Arial"/>
          <w:sz w:val="22"/>
        </w:rPr>
        <w:t>M</w:t>
      </w:r>
      <w:r w:rsidR="00DE552E" w:rsidRPr="00DE552E">
        <w:rPr>
          <w:rFonts w:cs="Arial"/>
          <w:sz w:val="22"/>
        </w:rPr>
        <w:t xml:space="preserve">écanisme de </w:t>
      </w:r>
      <w:r w:rsidR="006B29CF" w:rsidRPr="00DE552E">
        <w:rPr>
          <w:rFonts w:cs="Arial"/>
          <w:sz w:val="22"/>
        </w:rPr>
        <w:t>G</w:t>
      </w:r>
      <w:r w:rsidR="00DE552E" w:rsidRPr="00DE552E">
        <w:rPr>
          <w:rFonts w:cs="Arial"/>
          <w:sz w:val="22"/>
        </w:rPr>
        <w:t xml:space="preserve">estion des </w:t>
      </w:r>
      <w:r w:rsidR="006B29CF" w:rsidRPr="00DE552E">
        <w:rPr>
          <w:rFonts w:cs="Arial"/>
          <w:sz w:val="22"/>
        </w:rPr>
        <w:t>P</w:t>
      </w:r>
      <w:r w:rsidR="00DE552E" w:rsidRPr="00DE552E">
        <w:rPr>
          <w:rFonts w:cs="Arial"/>
          <w:sz w:val="22"/>
        </w:rPr>
        <w:t>laintes pour le traitement éthique et confidentiel des plaintes EAS/HS</w:t>
      </w:r>
      <w:r w:rsidR="006B29CF" w:rsidRPr="00DE552E">
        <w:rPr>
          <w:rFonts w:cs="Arial"/>
          <w:sz w:val="22"/>
        </w:rPr>
        <w:t xml:space="preserve"> </w:t>
      </w:r>
      <w:r w:rsidR="00DE552E" w:rsidRPr="00DE552E">
        <w:rPr>
          <w:rFonts w:cs="Arial"/>
          <w:sz w:val="22"/>
        </w:rPr>
        <w:t xml:space="preserve">qui </w:t>
      </w:r>
      <w:r w:rsidR="006B29CF" w:rsidRPr="00DE552E">
        <w:rPr>
          <w:rFonts w:cs="Arial"/>
          <w:sz w:val="22"/>
        </w:rPr>
        <w:t>sera partie intégrante du PMPP et les coûts du MGP y seront inclus.</w:t>
      </w:r>
    </w:p>
    <w:p w14:paraId="45B704E6" w14:textId="77777777" w:rsidR="00366D39" w:rsidRDefault="00366D39" w:rsidP="001C2F95">
      <w:pPr>
        <w:rPr>
          <w:rFonts w:cs="Arial"/>
          <w:sz w:val="22"/>
        </w:rPr>
      </w:pPr>
    </w:p>
    <w:p w14:paraId="3BF47128" w14:textId="77777777" w:rsidR="00EA3F7F" w:rsidRPr="00372F9C" w:rsidRDefault="00EA3F7F" w:rsidP="00EA3F7F">
      <w:pPr>
        <w:rPr>
          <w:rFonts w:cs="Arial"/>
          <w:b/>
          <w:bCs/>
          <w:i/>
          <w:iCs/>
          <w:sz w:val="22"/>
        </w:rPr>
      </w:pPr>
      <w:r w:rsidRPr="00372F9C">
        <w:rPr>
          <w:rFonts w:cs="Arial"/>
          <w:b/>
          <w:bCs/>
          <w:i/>
          <w:iCs/>
          <w:sz w:val="22"/>
        </w:rPr>
        <w:t>Notes d’orientation à l’attention des emprunteurs</w:t>
      </w:r>
    </w:p>
    <w:p w14:paraId="2BA5DF9A" w14:textId="77777777" w:rsidR="00EA3F7F" w:rsidRDefault="00EA3F7F" w:rsidP="00EA3F7F">
      <w:pPr>
        <w:rPr>
          <w:rFonts w:cs="Arial"/>
          <w:sz w:val="22"/>
        </w:rPr>
      </w:pPr>
    </w:p>
    <w:p w14:paraId="731D4C1E" w14:textId="77777777" w:rsidR="00EA3F7F" w:rsidRDefault="00EA3F7F" w:rsidP="00EA3F7F">
      <w:pPr>
        <w:rPr>
          <w:rFonts w:cs="Arial"/>
          <w:sz w:val="22"/>
        </w:rPr>
      </w:pPr>
      <w:r>
        <w:rPr>
          <w:rFonts w:cs="Arial"/>
          <w:sz w:val="22"/>
        </w:rPr>
        <w:t>Il y a lieu d’épingler également que chaque Norme environnementale et sociale (NES) sus-évoquée est accompagnée d’une Note d’orientation à l’attention des emprunteurs qui sont indispensables pour leur mise en œuvre</w:t>
      </w:r>
    </w:p>
    <w:p w14:paraId="3E883B9B" w14:textId="77777777" w:rsidR="00EA3F7F" w:rsidRDefault="00EA3F7F" w:rsidP="00EA3F7F">
      <w:pPr>
        <w:rPr>
          <w:rFonts w:cs="Arial"/>
          <w:sz w:val="22"/>
        </w:rPr>
      </w:pPr>
    </w:p>
    <w:p w14:paraId="1943BC41" w14:textId="6650369C" w:rsidR="00A10692" w:rsidRPr="00AC4FCB" w:rsidRDefault="00A10692" w:rsidP="001C2F95">
      <w:pPr>
        <w:rPr>
          <w:b/>
          <w:i/>
        </w:rPr>
      </w:pPr>
      <w:r>
        <w:rPr>
          <w:b/>
          <w:i/>
        </w:rPr>
        <w:t xml:space="preserve">Note de bonnes pratiques </w:t>
      </w:r>
      <w:r w:rsidR="00F22F73">
        <w:rPr>
          <w:b/>
          <w:i/>
        </w:rPr>
        <w:t>de la Banque mondiale</w:t>
      </w:r>
    </w:p>
    <w:p w14:paraId="5699D524" w14:textId="77777777" w:rsidR="00A10692" w:rsidRDefault="00A10692" w:rsidP="001C2F95">
      <w:pPr>
        <w:rPr>
          <w:rFonts w:cs="Arial"/>
          <w:sz w:val="22"/>
        </w:rPr>
      </w:pPr>
    </w:p>
    <w:p w14:paraId="0C721FA4" w14:textId="77777777" w:rsidR="000979A8" w:rsidRDefault="000979A8" w:rsidP="000979A8">
      <w:pPr>
        <w:rPr>
          <w:rFonts w:cs="Arial"/>
          <w:sz w:val="22"/>
        </w:rPr>
      </w:pPr>
      <w:r>
        <w:rPr>
          <w:rFonts w:cs="Arial"/>
          <w:sz w:val="22"/>
        </w:rPr>
        <w:t>Les notes de bonnes pratiques de la Banque mondiale ont été préparées pour aider les équipes de projet à définir une approche permettant de déterminer les risques, suivant différentes thématiques, que peuvent présenter les opérations de financement de projets d’investissement, et de conseiller en conséquence les emprunteurs sur la meilleure façon de gérer ces risques. Ces notes s’appuient sur l’expérience de la Banque mondiale et sur les bonnes pratiques en usage dans ces secteurs au niveau international, y compris celles d’autres partenaires de développement. Elles doivent être lues parallèlement au CES, notamment à la Politique et aux Normes environnementales et sociales (NES n° 1 à 10) ainsi qu’aux Notes d’orientation connexes à l’intention des Emprunteurs.</w:t>
      </w:r>
    </w:p>
    <w:p w14:paraId="113486D6" w14:textId="77777777" w:rsidR="000979A8" w:rsidRDefault="000979A8" w:rsidP="000979A8">
      <w:pPr>
        <w:rPr>
          <w:rFonts w:cs="Arial"/>
          <w:sz w:val="22"/>
        </w:rPr>
      </w:pPr>
      <w:r>
        <w:rPr>
          <w:rFonts w:cs="Arial"/>
          <w:sz w:val="22"/>
        </w:rPr>
        <w:t xml:space="preserve">Même si ces notes sont destinées principalement à l’usage des équipes de projet de la Banque mondiale, elles ont également pour objectif de contribuer à la constitution des bases de connaissances sur ces thématiques. Sur ce, il existe les notes de bonnes pratiques de la Banque mondiale relatives : </w:t>
      </w:r>
    </w:p>
    <w:p w14:paraId="272580B3" w14:textId="23CFD228" w:rsidR="000979A8" w:rsidRDefault="000979A8" w:rsidP="00372F9C">
      <w:pPr>
        <w:numPr>
          <w:ilvl w:val="0"/>
          <w:numId w:val="179"/>
        </w:numPr>
        <w:rPr>
          <w:rFonts w:cs="Arial"/>
          <w:sz w:val="22"/>
        </w:rPr>
      </w:pPr>
      <w:r w:rsidRPr="00372F9C">
        <w:rPr>
          <w:rFonts w:cs="Arial"/>
          <w:i/>
          <w:iCs/>
          <w:sz w:val="22"/>
        </w:rPr>
        <w:t>A la lutte contre l’exploitation et les abus sexuels ainsi que le harcèlement sexuel dans le cadre de projets d’investissement comportant de grands travaux de génie civil</w:t>
      </w:r>
      <w:r w:rsidR="004B1079">
        <w:rPr>
          <w:rFonts w:cs="Arial"/>
          <w:i/>
          <w:iCs/>
          <w:sz w:val="22"/>
        </w:rPr>
        <w:t> :</w:t>
      </w:r>
      <w:r w:rsidRPr="000979A8">
        <w:rPr>
          <w:rFonts w:cs="Arial"/>
          <w:sz w:val="22"/>
        </w:rPr>
        <w:t> </w:t>
      </w:r>
      <w:r>
        <w:rPr>
          <w:rFonts w:cs="Arial"/>
          <w:sz w:val="22"/>
        </w:rPr>
        <w:t xml:space="preserve"> cette Note s’articule autour de trois (03) étapes clés couvrant la préparation et la mise en œuvre des projets notamment (i) identifier et évaluer les risques d’EAS/HS, y compris au travers d’une analyse sociale et d’une évaluation des capacités, (ii) agir sur les risques d’EAS/HS en définissant et en mettant en oeuvre des stratégies appropriées d’atténuation desdits risques et (iii)répondra à toutes les allégations de VBG signalées, qu’elles soient liées au projet ou non.</w:t>
      </w:r>
    </w:p>
    <w:p w14:paraId="64C709C3" w14:textId="77777777" w:rsidR="000979A8" w:rsidRDefault="000979A8" w:rsidP="00372F9C">
      <w:pPr>
        <w:numPr>
          <w:ilvl w:val="0"/>
          <w:numId w:val="179"/>
        </w:numPr>
        <w:rPr>
          <w:rFonts w:cs="Arial"/>
          <w:sz w:val="22"/>
        </w:rPr>
      </w:pPr>
      <w:r w:rsidRPr="00372F9C">
        <w:rPr>
          <w:rFonts w:cs="Arial"/>
          <w:i/>
          <w:iCs/>
          <w:sz w:val="22"/>
        </w:rPr>
        <w:t>A la santé animale et aux risques connexes</w:t>
      </w:r>
      <w:r>
        <w:rPr>
          <w:rFonts w:cs="Arial"/>
          <w:sz w:val="22"/>
        </w:rPr>
        <w:t xml:space="preserve"> : Cette Note explique comment le cadre environnemental et social (CES) peut aider à identifier, évaluer et gérer les risques sanitaires liés aux projets impliquant des animaux vivants. </w:t>
      </w:r>
    </w:p>
    <w:p w14:paraId="42CE5EE9" w14:textId="77777777" w:rsidR="000979A8" w:rsidRDefault="000979A8" w:rsidP="00372F9C">
      <w:pPr>
        <w:numPr>
          <w:ilvl w:val="0"/>
          <w:numId w:val="179"/>
        </w:numPr>
        <w:rPr>
          <w:rFonts w:cs="Arial"/>
          <w:sz w:val="22"/>
        </w:rPr>
      </w:pPr>
      <w:r w:rsidRPr="00372F9C">
        <w:rPr>
          <w:rFonts w:cs="Arial"/>
          <w:i/>
          <w:iCs/>
          <w:sz w:val="22"/>
        </w:rPr>
        <w:t>A l’évaluation et gestion des risques et effets du recours au personnel de sécurité</w:t>
      </w:r>
      <w:r>
        <w:rPr>
          <w:rFonts w:cs="Arial"/>
          <w:sz w:val="22"/>
        </w:rPr>
        <w:t> : cette Note vise à aider les équipes de projet et les spécialistes des questions environnementales et sociales travaillant avec les Emprunteurs à évaluer et gérer les risques que l’utilisation ou la présence de personnel de sécurité engagé à des fins de protection du projet ou de ses aspects connexes pourrait faire peser sur la sécurité des travailleurs du projet et des populations touchées par ses activités.</w:t>
      </w:r>
    </w:p>
    <w:p w14:paraId="021BE35F" w14:textId="77777777" w:rsidR="000979A8" w:rsidRDefault="000979A8" w:rsidP="00372F9C">
      <w:pPr>
        <w:numPr>
          <w:ilvl w:val="0"/>
          <w:numId w:val="179"/>
        </w:numPr>
        <w:rPr>
          <w:rFonts w:cs="Arial"/>
          <w:sz w:val="22"/>
        </w:rPr>
      </w:pPr>
      <w:r w:rsidRPr="00372F9C">
        <w:rPr>
          <w:rFonts w:cs="Arial"/>
          <w:i/>
          <w:iCs/>
          <w:sz w:val="22"/>
        </w:rPr>
        <w:t>Au Genre</w:t>
      </w:r>
      <w:r>
        <w:rPr>
          <w:rFonts w:cs="Arial"/>
          <w:sz w:val="22"/>
        </w:rPr>
        <w:t> : cette Note explique comment le Cadre environnemental et social (CES) au niveau des projets soutient le travail de la Banque mondiale pour combler les écarts entre les hommes et les femmes, les filles et les garçons et renforcer le leadership et la voix des femmes.</w:t>
      </w:r>
    </w:p>
    <w:p w14:paraId="02EE5502" w14:textId="77777777" w:rsidR="000979A8" w:rsidRDefault="000979A8" w:rsidP="00372F9C">
      <w:pPr>
        <w:numPr>
          <w:ilvl w:val="0"/>
          <w:numId w:val="179"/>
        </w:numPr>
        <w:rPr>
          <w:rFonts w:cs="Arial"/>
          <w:sz w:val="22"/>
        </w:rPr>
      </w:pPr>
      <w:r w:rsidRPr="00372F9C">
        <w:rPr>
          <w:rFonts w:cs="Arial"/>
          <w:i/>
          <w:iCs/>
          <w:sz w:val="22"/>
        </w:rPr>
        <w:t>A la non-discrimination et handicap </w:t>
      </w:r>
      <w:r>
        <w:rPr>
          <w:rFonts w:cs="Arial"/>
          <w:sz w:val="22"/>
        </w:rPr>
        <w:t>: cette Note met l’accent sur les enjeux du financement des projets d’investissment liés à la discrimination fondéee sur le handicap.</w:t>
      </w:r>
    </w:p>
    <w:p w14:paraId="0C3FE8A0" w14:textId="77777777" w:rsidR="000979A8" w:rsidRDefault="000979A8" w:rsidP="00372F9C">
      <w:pPr>
        <w:numPr>
          <w:ilvl w:val="0"/>
          <w:numId w:val="179"/>
        </w:numPr>
        <w:rPr>
          <w:rFonts w:cs="Arial"/>
          <w:sz w:val="22"/>
        </w:rPr>
      </w:pPr>
      <w:r w:rsidRPr="00372F9C">
        <w:rPr>
          <w:rFonts w:cs="Arial"/>
          <w:i/>
          <w:iCs/>
          <w:sz w:val="22"/>
        </w:rPr>
        <w:t>A la non-discrimination pour orientation sexuelle et identité de genre</w:t>
      </w:r>
      <w:r>
        <w:rPr>
          <w:rFonts w:cs="Arial"/>
          <w:sz w:val="22"/>
        </w:rPr>
        <w:t xml:space="preserve"> : cette Note se concentre sur les questions de financement de projets d'investissement liées à la discrimination fondée sur l'orientation sexuelle et l'identité de genre.</w:t>
      </w:r>
    </w:p>
    <w:p w14:paraId="0ACC03C3" w14:textId="77777777" w:rsidR="000979A8" w:rsidRDefault="000979A8" w:rsidP="00372F9C">
      <w:pPr>
        <w:numPr>
          <w:ilvl w:val="0"/>
          <w:numId w:val="179"/>
        </w:numPr>
        <w:rPr>
          <w:rFonts w:cs="Arial"/>
          <w:sz w:val="22"/>
        </w:rPr>
      </w:pPr>
      <w:r w:rsidRPr="00372F9C">
        <w:rPr>
          <w:rFonts w:cs="Arial"/>
          <w:i/>
          <w:iCs/>
          <w:sz w:val="22"/>
        </w:rPr>
        <w:t>A la sécurité routière</w:t>
      </w:r>
      <w:r>
        <w:rPr>
          <w:rFonts w:cs="Arial"/>
          <w:sz w:val="22"/>
        </w:rPr>
        <w:t> : cette Note se concentre sur la sécurité routière dans les opérations financées par la Banque mondiale.</w:t>
      </w:r>
    </w:p>
    <w:p w14:paraId="4FB90030" w14:textId="77777777" w:rsidR="000979A8" w:rsidRDefault="000979A8" w:rsidP="000979A8">
      <w:pPr>
        <w:numPr>
          <w:ilvl w:val="0"/>
          <w:numId w:val="179"/>
        </w:numPr>
        <w:rPr>
          <w:rFonts w:cs="Arial"/>
          <w:sz w:val="22"/>
        </w:rPr>
      </w:pPr>
      <w:r w:rsidRPr="00372F9C">
        <w:rPr>
          <w:rFonts w:cs="Arial"/>
          <w:i/>
          <w:iCs/>
          <w:sz w:val="22"/>
        </w:rPr>
        <w:t>A la surveillance par des tiers</w:t>
      </w:r>
      <w:r>
        <w:rPr>
          <w:rFonts w:cs="Arial"/>
          <w:sz w:val="22"/>
        </w:rPr>
        <w:t xml:space="preserve"> : cette Note propose étape par étape l’approche du personnel de la Banque pour aider les emprunteurs à l’établissement de la surveillance par des tiers lors de la mise en œuvre du projet. </w:t>
      </w:r>
    </w:p>
    <w:p w14:paraId="2297C5D6" w14:textId="77777777" w:rsidR="007C46F5" w:rsidRDefault="007C46F5" w:rsidP="001C2F95"/>
    <w:p w14:paraId="338D7623" w14:textId="77777777" w:rsidR="007C46F5" w:rsidRDefault="007C46F5" w:rsidP="001C2F95">
      <w:pPr>
        <w:rPr>
          <w:b/>
          <w:i/>
        </w:rPr>
      </w:pPr>
      <w:r w:rsidRPr="007A6C83">
        <w:rPr>
          <w:b/>
          <w:i/>
        </w:rPr>
        <w:t>Directives environnementales, sanitaires et sécuritaires générales</w:t>
      </w:r>
      <w:r>
        <w:rPr>
          <w:b/>
          <w:i/>
        </w:rPr>
        <w:t xml:space="preserve"> de l’IFC.</w:t>
      </w:r>
      <w:r>
        <w:rPr>
          <w:rStyle w:val="Appelnotedebasdep"/>
          <w:b/>
          <w:i/>
        </w:rPr>
        <w:footnoteReference w:id="17"/>
      </w:r>
    </w:p>
    <w:p w14:paraId="54F9FCEC" w14:textId="77777777" w:rsidR="007C46F5" w:rsidRPr="007A6C83" w:rsidRDefault="007C46F5" w:rsidP="001C2F95">
      <w:pPr>
        <w:rPr>
          <w:b/>
          <w:i/>
        </w:rPr>
      </w:pPr>
    </w:p>
    <w:p w14:paraId="1568CC45" w14:textId="77777777" w:rsidR="001C2F95" w:rsidRPr="00E56C8D" w:rsidRDefault="007C46F5" w:rsidP="001C2F95">
      <w:pPr>
        <w:rPr>
          <w:rFonts w:cs="Arial"/>
          <w:sz w:val="22"/>
        </w:rPr>
      </w:pPr>
      <w:r w:rsidRPr="007A6C83">
        <w:rPr>
          <w:rFonts w:cs="Arial"/>
          <w:sz w:val="22"/>
        </w:rPr>
        <w:t>Les Directives environnementales, sanitaires et sécuritaires (Directives EHS) sont à utiliser avec les Directives EHS pour les différentes branches d’activité qui présentent les questions d’ordre environnemental, sanitaire et sécuritaire propres au domaine considéré. Les projets complexes peuvent exiger l’application de plusieurs directives couvrant des branches d’activité différentes.</w:t>
      </w:r>
    </w:p>
    <w:p w14:paraId="70712112" w14:textId="77777777" w:rsidR="00E56C8D" w:rsidRPr="003C339D" w:rsidRDefault="00E56C8D" w:rsidP="001C2F95">
      <w:pPr>
        <w:rPr>
          <w:rFonts w:cs="Arial"/>
          <w:sz w:val="22"/>
        </w:rPr>
      </w:pPr>
    </w:p>
    <w:p w14:paraId="3F0E9D9C" w14:textId="77777777" w:rsidR="00E56C8D" w:rsidRPr="007A6C83" w:rsidRDefault="00E56C8D" w:rsidP="001C2F95">
      <w:r w:rsidRPr="007A6C83">
        <w:rPr>
          <w:rFonts w:cs="Arial"/>
          <w:sz w:val="22"/>
        </w:rPr>
        <w:t xml:space="preserve">Les </w:t>
      </w:r>
      <w:r w:rsidR="00AC4FCB">
        <w:rPr>
          <w:rFonts w:cs="Arial"/>
          <w:sz w:val="22"/>
        </w:rPr>
        <w:t>D</w:t>
      </w:r>
      <w:r w:rsidRPr="007A6C83">
        <w:rPr>
          <w:rFonts w:cs="Arial"/>
          <w:sz w:val="22"/>
        </w:rPr>
        <w:t>irectives EHS générales s’appliquent aux installations ou projets produisant des émissions atmosphériques à une étape quelconque de leur cycle de vie. Elles complètent les Directives EHS spécifiques aux différentes branches d’activité en donnant des informations sur les techniques de gestion des émissions qui peuvent être employées dans de nombreuses branches d’activité. Ces directives fournissent un cadre à la gestion des sources d’émissions significatives, notamment en indiquant la marche à suivre pour évaluer et suivre les impacts. Elles donnent également de plus amples informations sur la gestion des émissions pour des projets situés dans des zones où la mauvaise qualité de l’air nécessite l’établissement de normes d’émissions spécifiques à ces projets.</w:t>
      </w:r>
    </w:p>
    <w:p w14:paraId="2EC13D12" w14:textId="77777777" w:rsidR="007C46F5" w:rsidRDefault="007C46F5" w:rsidP="001C2F95">
      <w:pPr>
        <w:rPr>
          <w:rFonts w:cs="Arial"/>
          <w:sz w:val="22"/>
        </w:rPr>
      </w:pPr>
    </w:p>
    <w:p w14:paraId="46509562" w14:textId="77777777" w:rsidR="0053329E" w:rsidRPr="002821E8" w:rsidRDefault="0053329E" w:rsidP="00533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rPr>
      </w:pPr>
      <w:r>
        <w:rPr>
          <w:b/>
          <w:i/>
          <w:sz w:val="22"/>
        </w:rPr>
        <w:t>En plus de ces 10</w:t>
      </w:r>
      <w:r w:rsidRPr="002821E8">
        <w:rPr>
          <w:b/>
          <w:i/>
          <w:sz w:val="22"/>
        </w:rPr>
        <w:t xml:space="preserve"> normes, le </w:t>
      </w:r>
      <w:r w:rsidR="00AC4FCB">
        <w:rPr>
          <w:b/>
          <w:i/>
          <w:sz w:val="22"/>
        </w:rPr>
        <w:t>P</w:t>
      </w:r>
      <w:r w:rsidRPr="002821E8">
        <w:rPr>
          <w:b/>
          <w:i/>
          <w:sz w:val="22"/>
        </w:rPr>
        <w:t xml:space="preserve">rojet applique la </w:t>
      </w:r>
      <w:r w:rsidR="00AC4FCB">
        <w:rPr>
          <w:b/>
          <w:i/>
          <w:sz w:val="22"/>
        </w:rPr>
        <w:t>P</w:t>
      </w:r>
      <w:r w:rsidRPr="002821E8">
        <w:rPr>
          <w:b/>
          <w:i/>
          <w:sz w:val="22"/>
        </w:rPr>
        <w:t xml:space="preserve">olitiques </w:t>
      </w:r>
      <w:r w:rsidR="00AC4FCB">
        <w:rPr>
          <w:b/>
          <w:i/>
          <w:sz w:val="22"/>
        </w:rPr>
        <w:t>O</w:t>
      </w:r>
      <w:r w:rsidRPr="002821E8">
        <w:rPr>
          <w:b/>
          <w:i/>
          <w:sz w:val="22"/>
        </w:rPr>
        <w:t>pérationnelle PO/PB 7.50</w:t>
      </w:r>
      <w:r w:rsidR="00AC4FCB">
        <w:rPr>
          <w:b/>
          <w:i/>
          <w:sz w:val="22"/>
        </w:rPr>
        <w:t xml:space="preserve"> : </w:t>
      </w:r>
      <w:r w:rsidRPr="002821E8">
        <w:rPr>
          <w:b/>
          <w:i/>
          <w:sz w:val="22"/>
        </w:rPr>
        <w:t> Projet sur les cours d’eaux internationaux,</w:t>
      </w:r>
      <w:r w:rsidRPr="002821E8">
        <w:rPr>
          <w:sz w:val="22"/>
        </w:rPr>
        <w:t> qui n’a pas été modifiée avec le nouveau CES</w:t>
      </w:r>
      <w:r w:rsidR="00AC4FCB">
        <w:rPr>
          <w:sz w:val="22"/>
        </w:rPr>
        <w:t xml:space="preserve"> </w:t>
      </w:r>
      <w:r w:rsidRPr="002821E8">
        <w:rPr>
          <w:sz w:val="22"/>
        </w:rPr>
        <w:t>: L’objectif de cette politique est de faire en sorte que les projets financés par la Banque affectant les cours d’eaux internationaux ne puissent pas affecter : (i) les relations entre la Banque et ses emprunteurs et entre Etats (membres ou non de la Banque) ; et (ii) les cours d’eaux internationaux soient utilisés et protégés de façon efficace. La politique s’applique aux types de projets ci-après : (a) projets hydroélectriques, d’irrigation, de lutte contre l’inondation, de navigation, de drainage, d’évacuation des eaux, du domaine industriel et autres impliquant l’utilisation ou la pollution potentielle de cours d’eaux internationaux ; et (b)</w:t>
      </w:r>
      <w:r w:rsidR="00AC4FCB">
        <w:rPr>
          <w:sz w:val="22"/>
        </w:rPr>
        <w:t xml:space="preserve"> </w:t>
      </w:r>
      <w:r w:rsidRPr="002821E8">
        <w:rPr>
          <w:sz w:val="22"/>
        </w:rPr>
        <w:t xml:space="preserve">études détaillées et de conception de projets sous le point (a) ci-haut, y compris celles qui sont effectuées par la Banque en qualité d’agence d’exécution ou en qualité autre. Cette politique a été déclenchée parce que le </w:t>
      </w:r>
      <w:r w:rsidR="00AC4FCB">
        <w:rPr>
          <w:sz w:val="22"/>
        </w:rPr>
        <w:t>P</w:t>
      </w:r>
      <w:r w:rsidRPr="002821E8">
        <w:rPr>
          <w:sz w:val="22"/>
        </w:rPr>
        <w:t xml:space="preserve">rojet financera des études détaillées et des investissements sur </w:t>
      </w:r>
      <w:r w:rsidR="00FD0E6B">
        <w:rPr>
          <w:sz w:val="22"/>
        </w:rPr>
        <w:t xml:space="preserve">le Fleuve Congo qui se déverse dans l’Océan à partir de la </w:t>
      </w:r>
      <w:r w:rsidR="00AC4FCB">
        <w:rPr>
          <w:sz w:val="22"/>
        </w:rPr>
        <w:t>P</w:t>
      </w:r>
      <w:r w:rsidR="00FD0E6B">
        <w:rPr>
          <w:sz w:val="22"/>
        </w:rPr>
        <w:t>rovince du Kongo Central à Moanda (</w:t>
      </w:r>
      <w:r w:rsidR="00AC4FCB">
        <w:rPr>
          <w:sz w:val="22"/>
        </w:rPr>
        <w:t>R</w:t>
      </w:r>
      <w:r w:rsidR="00FD0E6B">
        <w:rPr>
          <w:sz w:val="22"/>
        </w:rPr>
        <w:t>épublique d’Angola à partir de Cabinda) et au niveau du Lac</w:t>
      </w:r>
      <w:r w:rsidR="00AC4FCB">
        <w:rPr>
          <w:sz w:val="22"/>
        </w:rPr>
        <w:t xml:space="preserve"> </w:t>
      </w:r>
      <w:r w:rsidR="00FD0E6B">
        <w:rPr>
          <w:sz w:val="22"/>
        </w:rPr>
        <w:t xml:space="preserve">Kivu, </w:t>
      </w:r>
      <w:r w:rsidR="00AC4FCB">
        <w:rPr>
          <w:sz w:val="22"/>
        </w:rPr>
        <w:t>L</w:t>
      </w:r>
      <w:r w:rsidR="00FD0E6B">
        <w:rPr>
          <w:sz w:val="22"/>
        </w:rPr>
        <w:t>ac Albert et partageant les frontières avec l’Ouganda et le Rwanda</w:t>
      </w:r>
      <w:r w:rsidRPr="002821E8">
        <w:rPr>
          <w:sz w:val="22"/>
        </w:rPr>
        <w:t xml:space="preserve"> pouvant impacter </w:t>
      </w:r>
      <w:r w:rsidR="00AC4FCB">
        <w:rPr>
          <w:sz w:val="22"/>
        </w:rPr>
        <w:t>c</w:t>
      </w:r>
      <w:r w:rsidRPr="002821E8">
        <w:rPr>
          <w:sz w:val="22"/>
        </w:rPr>
        <w:t>es sources d’eaux internationales.</w:t>
      </w:r>
      <w:r w:rsidR="00FD0E6B">
        <w:rPr>
          <w:sz w:val="22"/>
        </w:rPr>
        <w:t xml:space="preserve"> Ainsi, le PNDA va procéder </w:t>
      </w:r>
      <w:r w:rsidR="00FD0E6B">
        <w:t>à la</w:t>
      </w:r>
      <w:r w:rsidR="00FD0E6B" w:rsidRPr="0094318F">
        <w:t xml:space="preserve"> notification</w:t>
      </w:r>
      <w:r w:rsidR="00FD0E6B">
        <w:t xml:space="preserve"> des pays concernés pour les informer des éventuels impacts qui pourraient surgir pendant la mise en œuvre du Projet et les mesures d’atténuations proposées</w:t>
      </w:r>
      <w:r w:rsidR="00FD0E6B" w:rsidRPr="0094318F">
        <w:t>.</w:t>
      </w:r>
    </w:p>
    <w:p w14:paraId="1C7FB322" w14:textId="77777777" w:rsidR="0053329E" w:rsidRPr="00982564" w:rsidRDefault="0053329E" w:rsidP="001C2F95">
      <w:pPr>
        <w:rPr>
          <w:rFonts w:cs="Arial"/>
          <w:sz w:val="22"/>
        </w:rPr>
      </w:pPr>
    </w:p>
    <w:p w14:paraId="6A07F3B8" w14:textId="77777777" w:rsidR="001C2F95" w:rsidRPr="00982564" w:rsidRDefault="001C2F95" w:rsidP="001C2F95">
      <w:pPr>
        <w:rPr>
          <w:rFonts w:cs="Arial"/>
          <w:sz w:val="22"/>
        </w:rPr>
        <w:sectPr w:rsidR="001C2F95" w:rsidRPr="00982564" w:rsidSect="00F65E9B">
          <w:pgSz w:w="11906" w:h="16838"/>
          <w:pgMar w:top="993" w:right="1440" w:bottom="1440" w:left="1440" w:header="706" w:footer="82" w:gutter="0"/>
          <w:cols w:space="708"/>
          <w:docGrid w:linePitch="360"/>
        </w:sectPr>
      </w:pPr>
      <w:r w:rsidRPr="00982564">
        <w:rPr>
          <w:rFonts w:cs="Arial"/>
          <w:sz w:val="22"/>
        </w:rPr>
        <w:t>Le Tableau 1</w:t>
      </w:r>
      <w:r w:rsidR="007A6C83">
        <w:rPr>
          <w:rFonts w:cs="Arial"/>
          <w:sz w:val="22"/>
        </w:rPr>
        <w:t>1</w:t>
      </w:r>
      <w:r w:rsidRPr="00982564">
        <w:rPr>
          <w:rFonts w:cs="Arial"/>
          <w:sz w:val="22"/>
        </w:rPr>
        <w:t xml:space="preserve"> ci-dessous présente la c</w:t>
      </w:r>
      <w:r w:rsidRPr="00982564">
        <w:rPr>
          <w:rFonts w:cs="Arial"/>
          <w:bCs/>
          <w:sz w:val="22"/>
        </w:rPr>
        <w:t>omparaison entre le Cadre environnemental et Social de la RDC avec les NES de la Banque Mondiale.</w:t>
      </w:r>
      <w:bookmarkStart w:id="240" w:name="_Toc33464343"/>
      <w:bookmarkStart w:id="241" w:name="_Toc36632180"/>
    </w:p>
    <w:p w14:paraId="4E1DC7EA" w14:textId="77777777" w:rsidR="001C2F95" w:rsidRPr="00982564" w:rsidRDefault="001C2F95" w:rsidP="001C2F95">
      <w:pPr>
        <w:autoSpaceDE w:val="0"/>
        <w:autoSpaceDN w:val="0"/>
        <w:adjustRightInd w:val="0"/>
        <w:ind w:left="1276" w:hanging="1276"/>
        <w:rPr>
          <w:rFonts w:cs="Arial"/>
          <w:bCs/>
          <w:sz w:val="22"/>
        </w:rPr>
      </w:pPr>
      <w:bookmarkStart w:id="242" w:name="_Toc70451657"/>
      <w:r w:rsidRPr="00982564">
        <w:rPr>
          <w:rFonts w:cs="Arial"/>
          <w:sz w:val="22"/>
        </w:rPr>
        <w:t xml:space="preserve">Tableau </w:t>
      </w:r>
      <w:r w:rsidRPr="00982564">
        <w:rPr>
          <w:rFonts w:cs="Arial"/>
          <w:sz w:val="22"/>
        </w:rPr>
        <w:fldChar w:fldCharType="begin"/>
      </w:r>
      <w:r w:rsidRPr="00982564">
        <w:rPr>
          <w:rFonts w:cs="Arial"/>
          <w:sz w:val="22"/>
        </w:rPr>
        <w:instrText xml:space="preserve"> SEQ Tableau \* ARABIC </w:instrText>
      </w:r>
      <w:r w:rsidRPr="00982564">
        <w:rPr>
          <w:rFonts w:cs="Arial"/>
          <w:sz w:val="22"/>
        </w:rPr>
        <w:fldChar w:fldCharType="separate"/>
      </w:r>
      <w:r w:rsidR="001260B3">
        <w:rPr>
          <w:rFonts w:cs="Arial"/>
          <w:noProof/>
          <w:sz w:val="22"/>
        </w:rPr>
        <w:t>11</w:t>
      </w:r>
      <w:r w:rsidRPr="00982564">
        <w:rPr>
          <w:rFonts w:cs="Arial"/>
          <w:noProof/>
          <w:sz w:val="22"/>
        </w:rPr>
        <w:fldChar w:fldCharType="end"/>
      </w:r>
      <w:r w:rsidRPr="00982564">
        <w:rPr>
          <w:rFonts w:cs="Arial"/>
          <w:sz w:val="22"/>
        </w:rPr>
        <w:t>.</w:t>
      </w:r>
      <w:r w:rsidRPr="00982564">
        <w:rPr>
          <w:rFonts w:cs="Arial"/>
          <w:bCs/>
          <w:sz w:val="22"/>
        </w:rPr>
        <w:t xml:space="preserve"> Comparaison entre le Cadre Environnemental et Social de la RDC avec les Normes Environnementales et Sociales de la Banque Mondiale</w:t>
      </w:r>
      <w:bookmarkEnd w:id="240"/>
      <w:bookmarkEnd w:id="241"/>
      <w:bookmarkEnd w:id="242"/>
    </w:p>
    <w:p w14:paraId="678B2F53" w14:textId="77777777" w:rsidR="001C2F95" w:rsidRDefault="001C2F95" w:rsidP="001C2F95">
      <w:pPr>
        <w:autoSpaceDE w:val="0"/>
        <w:autoSpaceDN w:val="0"/>
        <w:adjustRightInd w:val="0"/>
        <w:rPr>
          <w:rFonts w:cs="Arial"/>
          <w:bCs/>
          <w:color w:val="B98C2E"/>
          <w:sz w:val="2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5670"/>
        <w:gridCol w:w="3969"/>
      </w:tblGrid>
      <w:tr w:rsidR="00E800E3" w:rsidRPr="00E800E3" w14:paraId="0C856E0B" w14:textId="77777777" w:rsidTr="00E800E3">
        <w:trPr>
          <w:tblHeader/>
          <w:jc w:val="center"/>
        </w:trPr>
        <w:tc>
          <w:tcPr>
            <w:tcW w:w="5670" w:type="dxa"/>
            <w:shd w:val="clear" w:color="auto" w:fill="92D050"/>
            <w:vAlign w:val="center"/>
          </w:tcPr>
          <w:p w14:paraId="61A382C1" w14:textId="77777777" w:rsidR="00E800E3" w:rsidRPr="007A6C83" w:rsidRDefault="00E800E3" w:rsidP="00E800E3">
            <w:pPr>
              <w:jc w:val="center"/>
              <w:rPr>
                <w:rFonts w:eastAsia="Calibri" w:cs="Arial"/>
                <w:b/>
                <w:i/>
                <w:iCs/>
                <w:sz w:val="20"/>
                <w:szCs w:val="20"/>
              </w:rPr>
            </w:pPr>
            <w:r w:rsidRPr="007A6C83">
              <w:rPr>
                <w:rFonts w:eastAsia="Calibri" w:cs="Arial"/>
                <w:b/>
                <w:i/>
                <w:iCs/>
                <w:sz w:val="20"/>
                <w:szCs w:val="20"/>
              </w:rPr>
              <w:t>Exigences des NES</w:t>
            </w:r>
          </w:p>
        </w:tc>
        <w:tc>
          <w:tcPr>
            <w:tcW w:w="5670" w:type="dxa"/>
            <w:shd w:val="clear" w:color="auto" w:fill="92D050"/>
            <w:vAlign w:val="center"/>
          </w:tcPr>
          <w:p w14:paraId="58DC0CC4" w14:textId="77777777" w:rsidR="00E800E3" w:rsidRPr="007A6C83" w:rsidRDefault="00E800E3" w:rsidP="00FC60B1">
            <w:pPr>
              <w:jc w:val="center"/>
              <w:rPr>
                <w:rFonts w:eastAsia="Calibri" w:cs="Arial"/>
                <w:b/>
                <w:i/>
                <w:iCs/>
                <w:sz w:val="20"/>
                <w:szCs w:val="20"/>
              </w:rPr>
            </w:pPr>
            <w:r w:rsidRPr="007A6C83">
              <w:rPr>
                <w:rFonts w:eastAsia="Calibri" w:cs="Arial"/>
                <w:b/>
                <w:i/>
                <w:iCs/>
                <w:sz w:val="20"/>
                <w:szCs w:val="20"/>
              </w:rPr>
              <w:t>Dispositions nationales pertinentes</w:t>
            </w:r>
          </w:p>
        </w:tc>
        <w:tc>
          <w:tcPr>
            <w:tcW w:w="3969" w:type="dxa"/>
            <w:shd w:val="clear" w:color="auto" w:fill="92D050"/>
            <w:vAlign w:val="center"/>
          </w:tcPr>
          <w:p w14:paraId="0CE28F34" w14:textId="77777777" w:rsidR="00E800E3" w:rsidRPr="007A6C83" w:rsidRDefault="00E800E3" w:rsidP="0021620B">
            <w:pPr>
              <w:jc w:val="center"/>
              <w:rPr>
                <w:rFonts w:eastAsia="Calibri" w:cs="Arial"/>
                <w:b/>
                <w:i/>
                <w:iCs/>
                <w:sz w:val="20"/>
                <w:szCs w:val="20"/>
              </w:rPr>
            </w:pPr>
            <w:r w:rsidRPr="007A6C83">
              <w:rPr>
                <w:rFonts w:eastAsia="Calibri" w:cs="Arial"/>
                <w:b/>
                <w:i/>
                <w:iCs/>
                <w:sz w:val="20"/>
                <w:szCs w:val="20"/>
              </w:rPr>
              <w:t>Observations/</w:t>
            </w:r>
          </w:p>
          <w:p w14:paraId="6A9C62C1" w14:textId="77777777" w:rsidR="00E800E3" w:rsidRPr="007A6C83" w:rsidRDefault="00E800E3" w:rsidP="002C45C0">
            <w:pPr>
              <w:jc w:val="center"/>
              <w:rPr>
                <w:rFonts w:eastAsia="Calibri" w:cs="Arial"/>
                <w:b/>
                <w:i/>
                <w:iCs/>
                <w:sz w:val="20"/>
                <w:szCs w:val="20"/>
              </w:rPr>
            </w:pPr>
            <w:r w:rsidRPr="007A6C83">
              <w:rPr>
                <w:rFonts w:eastAsia="Calibri" w:cs="Arial"/>
                <w:b/>
                <w:i/>
                <w:iCs/>
                <w:sz w:val="20"/>
                <w:szCs w:val="20"/>
              </w:rPr>
              <w:t>Recommandations</w:t>
            </w:r>
          </w:p>
        </w:tc>
      </w:tr>
      <w:tr w:rsidR="00E800E3" w:rsidRPr="00E800E3" w14:paraId="7925CAE5" w14:textId="77777777" w:rsidTr="00730A4A">
        <w:trPr>
          <w:cantSplit/>
          <w:jc w:val="center"/>
        </w:trPr>
        <w:tc>
          <w:tcPr>
            <w:tcW w:w="15309" w:type="dxa"/>
            <w:gridSpan w:val="3"/>
            <w:shd w:val="clear" w:color="auto" w:fill="C5E0B3"/>
          </w:tcPr>
          <w:p w14:paraId="75DB4CFF" w14:textId="77777777" w:rsidR="00E800E3" w:rsidRPr="007A6C83" w:rsidRDefault="00E800E3" w:rsidP="00E800E3">
            <w:pPr>
              <w:spacing w:before="60" w:after="60"/>
              <w:rPr>
                <w:rFonts w:eastAsia="Calibri" w:cs="Arial"/>
                <w:b/>
                <w:bCs/>
                <w:sz w:val="20"/>
                <w:szCs w:val="20"/>
              </w:rPr>
            </w:pPr>
            <w:r w:rsidRPr="007A6C83">
              <w:rPr>
                <w:rFonts w:cs="Arial"/>
                <w:b/>
                <w:bCs/>
                <w:sz w:val="20"/>
                <w:szCs w:val="20"/>
              </w:rPr>
              <w:t>NES 1.  Évaluation et gestion des risques et effets environnementaux et sociaux</w:t>
            </w:r>
          </w:p>
        </w:tc>
      </w:tr>
      <w:tr w:rsidR="00E800E3" w:rsidRPr="00E800E3" w14:paraId="7F983B40" w14:textId="77777777" w:rsidTr="00E800E3">
        <w:trPr>
          <w:cantSplit/>
          <w:jc w:val="center"/>
        </w:trPr>
        <w:tc>
          <w:tcPr>
            <w:tcW w:w="5670" w:type="dxa"/>
          </w:tcPr>
          <w:p w14:paraId="39E5A190" w14:textId="77777777" w:rsidR="00E800E3" w:rsidRPr="007A6C83" w:rsidRDefault="00E800E3" w:rsidP="007A6C83">
            <w:pPr>
              <w:pStyle w:val="Tabletext0"/>
              <w:spacing w:line="276" w:lineRule="auto"/>
              <w:rPr>
                <w:rFonts w:ascii="Arial" w:hAnsi="Arial" w:cs="Arial"/>
                <w:szCs w:val="20"/>
              </w:rPr>
            </w:pPr>
          </w:p>
          <w:p w14:paraId="3973DA38" w14:textId="77777777" w:rsidR="00E800E3" w:rsidRPr="007A6C83" w:rsidRDefault="00E800E3" w:rsidP="007A6C83">
            <w:pPr>
              <w:pStyle w:val="Tabletext0"/>
              <w:spacing w:line="276" w:lineRule="auto"/>
              <w:rPr>
                <w:rFonts w:ascii="Arial" w:hAnsi="Arial" w:cs="Arial"/>
                <w:szCs w:val="20"/>
              </w:rPr>
            </w:pPr>
            <w:r w:rsidRPr="007A6C83">
              <w:rPr>
                <w:rFonts w:ascii="Arial" w:hAnsi="Arial" w:cs="Arial"/>
                <w:szCs w:val="20"/>
              </w:rPr>
              <w:t>Répondre aux exigences de la NES de manière et dans des délais acceptables (y compris pour les installations existantes), gérer les entités associées à la mise en œuvre, déployer des personnes qualifiées, ainsi qu’à des spécialistes indépendants pour les projets à haut risque</w:t>
            </w:r>
          </w:p>
          <w:p w14:paraId="2C876612" w14:textId="77777777" w:rsidR="00E800E3" w:rsidRPr="007A6C83" w:rsidRDefault="00E800E3" w:rsidP="00E800E3">
            <w:pPr>
              <w:rPr>
                <w:rFonts w:eastAsia="Calibri" w:cs="Arial"/>
                <w:i/>
                <w:sz w:val="20"/>
                <w:szCs w:val="20"/>
                <w:u w:val="single"/>
              </w:rPr>
            </w:pPr>
            <w:r w:rsidRPr="007A6C83">
              <w:rPr>
                <w:rFonts w:cs="Arial"/>
                <w:i/>
                <w:iCs/>
                <w:sz w:val="20"/>
                <w:szCs w:val="20"/>
              </w:rPr>
              <w:t>Paragraphes 7, 10, 11, 16, 25 et 33</w:t>
            </w:r>
          </w:p>
        </w:tc>
        <w:tc>
          <w:tcPr>
            <w:tcW w:w="5670" w:type="dxa"/>
            <w:shd w:val="clear" w:color="auto" w:fill="auto"/>
            <w:vAlign w:val="center"/>
          </w:tcPr>
          <w:p w14:paraId="61637E34" w14:textId="77777777" w:rsidR="00E800E3" w:rsidRPr="00E800E3" w:rsidRDefault="00E800E3" w:rsidP="00FC60B1">
            <w:pPr>
              <w:rPr>
                <w:rFonts w:cs="Arial"/>
                <w:sz w:val="20"/>
                <w:szCs w:val="20"/>
              </w:rPr>
            </w:pPr>
            <w:r w:rsidRPr="007A6C83">
              <w:rPr>
                <w:rFonts w:cs="Arial"/>
                <w:sz w:val="20"/>
                <w:szCs w:val="20"/>
              </w:rPr>
              <w:t>La législation congolaise ne mentionne pas cette classification des projets suivant le niveau de risque.</w:t>
            </w:r>
          </w:p>
        </w:tc>
        <w:tc>
          <w:tcPr>
            <w:tcW w:w="3969" w:type="dxa"/>
            <w:shd w:val="clear" w:color="auto" w:fill="auto"/>
            <w:vAlign w:val="center"/>
          </w:tcPr>
          <w:p w14:paraId="40ED7D89" w14:textId="77777777" w:rsidR="00E800E3" w:rsidRPr="007A6C83" w:rsidRDefault="00E800E3" w:rsidP="0053329E">
            <w:pPr>
              <w:rPr>
                <w:rFonts w:cs="Arial"/>
                <w:sz w:val="20"/>
                <w:szCs w:val="20"/>
              </w:rPr>
            </w:pPr>
          </w:p>
          <w:p w14:paraId="71F5D924" w14:textId="77777777" w:rsidR="00E800E3" w:rsidRPr="00E800E3" w:rsidRDefault="00E800E3" w:rsidP="0021620B">
            <w:pPr>
              <w:rPr>
                <w:rFonts w:eastAsia="Calibri" w:cs="Arial"/>
                <w:sz w:val="20"/>
                <w:szCs w:val="20"/>
              </w:rPr>
            </w:pPr>
            <w:r w:rsidRPr="007A6C83">
              <w:rPr>
                <w:rFonts w:cs="Arial"/>
                <w:sz w:val="20"/>
                <w:szCs w:val="20"/>
              </w:rPr>
              <w:t>La loi nationale satisfait partiellement à cette exigence de la NES n°1. En effet, la Loi nationale (i) ne prévoit pas certains instruments d’évaluation environnementale et sociale de la NES 1, (ii) ne classifie pas les projets selon les 4 niveaux de risques et impacts environnementaux et sociaux Elevé, Substantiel, Modéré et Faible, (iii) ne prévoit pas une approche basée sur les risques et les résultats, (iv) ne prévoit pas la gestion adaptative, etc.</w:t>
            </w:r>
            <w:r w:rsidRPr="007A6C83" w:rsidDel="008E4C7B">
              <w:rPr>
                <w:rFonts w:cs="Arial"/>
                <w:sz w:val="20"/>
                <w:szCs w:val="20"/>
              </w:rPr>
              <w:t xml:space="preserve"> </w:t>
            </w:r>
            <w:r w:rsidRPr="007A6C83">
              <w:rPr>
                <w:rFonts w:cs="Arial"/>
                <w:sz w:val="20"/>
                <w:szCs w:val="20"/>
              </w:rPr>
              <w:t xml:space="preserve"> Ainsi, c’est la NES n°1 qui s’appliquera et sera suivi par la Banque mondiale.</w:t>
            </w:r>
          </w:p>
        </w:tc>
      </w:tr>
      <w:tr w:rsidR="00E800E3" w:rsidRPr="00E800E3" w14:paraId="5D847FA5" w14:textId="77777777" w:rsidTr="00E800E3">
        <w:trPr>
          <w:cantSplit/>
          <w:jc w:val="center"/>
        </w:trPr>
        <w:tc>
          <w:tcPr>
            <w:tcW w:w="5670" w:type="dxa"/>
          </w:tcPr>
          <w:p w14:paraId="0E260C26" w14:textId="77777777" w:rsidR="00E800E3" w:rsidRPr="007A6C83" w:rsidRDefault="00E800E3" w:rsidP="007A6C83">
            <w:pPr>
              <w:pStyle w:val="Tabletext0"/>
              <w:spacing w:line="276" w:lineRule="auto"/>
              <w:rPr>
                <w:rFonts w:ascii="Arial" w:hAnsi="Arial" w:cs="Arial"/>
                <w:szCs w:val="20"/>
              </w:rPr>
            </w:pPr>
            <w:r w:rsidRPr="007A6C83">
              <w:rPr>
                <w:rFonts w:ascii="Arial" w:hAnsi="Arial" w:cs="Arial"/>
                <w:szCs w:val="20"/>
              </w:rPr>
              <w:t>Convenir d'une "approche commune" pour le financement conjoint avec d'autres IFI (mesures incluses dans le PEES, divulgation d'un seul jeu de documents de projet)</w:t>
            </w:r>
          </w:p>
          <w:p w14:paraId="64ACD80F" w14:textId="77777777" w:rsidR="00E800E3" w:rsidRPr="007A6C83" w:rsidRDefault="00E800E3" w:rsidP="00E800E3">
            <w:pPr>
              <w:rPr>
                <w:rFonts w:eastAsia="Calibri" w:cs="Arial"/>
                <w:i/>
                <w:sz w:val="20"/>
                <w:szCs w:val="20"/>
                <w:u w:val="single"/>
              </w:rPr>
            </w:pPr>
            <w:r w:rsidRPr="007A6C83">
              <w:rPr>
                <w:rFonts w:cs="Arial"/>
                <w:i/>
                <w:iCs/>
                <w:sz w:val="20"/>
                <w:szCs w:val="20"/>
              </w:rPr>
              <w:t>Paragraphes 9, 12, 13</w:t>
            </w:r>
          </w:p>
        </w:tc>
        <w:tc>
          <w:tcPr>
            <w:tcW w:w="5670" w:type="dxa"/>
            <w:shd w:val="clear" w:color="auto" w:fill="auto"/>
            <w:vAlign w:val="center"/>
          </w:tcPr>
          <w:p w14:paraId="55E99183" w14:textId="77777777" w:rsidR="00E800E3" w:rsidRPr="007A6C83" w:rsidRDefault="00E800E3" w:rsidP="007A6C83">
            <w:pPr>
              <w:pStyle w:val="Tabletext0"/>
              <w:spacing w:line="276" w:lineRule="auto"/>
              <w:rPr>
                <w:rFonts w:ascii="Arial" w:hAnsi="Arial" w:cs="Arial"/>
                <w:szCs w:val="20"/>
              </w:rPr>
            </w:pPr>
            <w:r w:rsidRPr="007A6C83">
              <w:rPr>
                <w:rFonts w:ascii="Arial" w:hAnsi="Arial" w:cs="Arial"/>
                <w:szCs w:val="20"/>
              </w:rPr>
              <w:t>Non mentionné dans la législation nationale congolaise</w:t>
            </w:r>
          </w:p>
        </w:tc>
        <w:tc>
          <w:tcPr>
            <w:tcW w:w="3969" w:type="dxa"/>
            <w:shd w:val="clear" w:color="auto" w:fill="auto"/>
            <w:vAlign w:val="center"/>
          </w:tcPr>
          <w:p w14:paraId="7C80352A" w14:textId="77777777" w:rsidR="00E800E3" w:rsidRPr="00E800E3" w:rsidRDefault="00E800E3" w:rsidP="00E800E3">
            <w:pPr>
              <w:rPr>
                <w:rFonts w:eastAsia="Calibri" w:cs="Arial"/>
                <w:sz w:val="20"/>
                <w:szCs w:val="20"/>
              </w:rPr>
            </w:pPr>
            <w:r w:rsidRPr="007A6C83">
              <w:rPr>
                <w:rFonts w:cs="Arial"/>
                <w:sz w:val="20"/>
                <w:szCs w:val="20"/>
              </w:rPr>
              <w:t>La loi nationale ne satisfait pas à cette exigence de la NES n°1. Ainsi, c’est le PEES de la Banque mondiale qui s’appliquera et sera suivi par l’IDA.</w:t>
            </w:r>
          </w:p>
        </w:tc>
      </w:tr>
      <w:tr w:rsidR="00E800E3" w:rsidRPr="00E800E3" w14:paraId="3EFD6500" w14:textId="77777777" w:rsidTr="00E800E3">
        <w:trPr>
          <w:cantSplit/>
          <w:jc w:val="center"/>
        </w:trPr>
        <w:tc>
          <w:tcPr>
            <w:tcW w:w="5670" w:type="dxa"/>
          </w:tcPr>
          <w:p w14:paraId="3F21D2A7" w14:textId="77777777" w:rsidR="00E800E3" w:rsidRPr="007A6C83" w:rsidRDefault="00E800E3" w:rsidP="007A6C83">
            <w:pPr>
              <w:pStyle w:val="Tabletext0"/>
              <w:spacing w:line="276" w:lineRule="auto"/>
              <w:rPr>
                <w:rFonts w:ascii="Arial" w:hAnsi="Arial" w:cs="Arial"/>
                <w:szCs w:val="20"/>
              </w:rPr>
            </w:pPr>
            <w:r w:rsidRPr="007A6C83">
              <w:rPr>
                <w:rFonts w:ascii="Arial" w:hAnsi="Arial" w:cs="Arial"/>
                <w:szCs w:val="20"/>
              </w:rPr>
              <w:t>Évaluer et gérer les installations associées et les risques de la chaîne d'approvisionnement, ou démontrer l'incapacité juridique et institutionnelle de les contrôler ou influencer.</w:t>
            </w:r>
          </w:p>
          <w:p w14:paraId="0F9B3839" w14:textId="77777777" w:rsidR="007A6C83" w:rsidRDefault="00E800E3" w:rsidP="00E800E3">
            <w:pPr>
              <w:rPr>
                <w:rFonts w:eastAsia="Calibri" w:cs="Arial"/>
                <w:i/>
                <w:sz w:val="20"/>
                <w:szCs w:val="20"/>
                <w:u w:val="single"/>
              </w:rPr>
            </w:pPr>
            <w:r w:rsidRPr="007A6C83">
              <w:rPr>
                <w:rFonts w:cs="Arial"/>
                <w:i/>
                <w:iCs/>
                <w:sz w:val="20"/>
                <w:szCs w:val="20"/>
              </w:rPr>
              <w:t>Paragraphes 10, 11, 30, 32, 36</w:t>
            </w:r>
          </w:p>
          <w:p w14:paraId="50C8973B" w14:textId="77777777" w:rsidR="007A6C83" w:rsidRPr="007A6C83" w:rsidRDefault="007A6C83" w:rsidP="007A6C83">
            <w:pPr>
              <w:rPr>
                <w:rFonts w:eastAsia="Calibri" w:cs="Arial"/>
                <w:sz w:val="20"/>
                <w:szCs w:val="20"/>
              </w:rPr>
            </w:pPr>
          </w:p>
          <w:p w14:paraId="3A5E98F0" w14:textId="77777777" w:rsidR="007A6C83" w:rsidRPr="007A6C83" w:rsidRDefault="007A6C83" w:rsidP="007A6C83">
            <w:pPr>
              <w:rPr>
                <w:rFonts w:eastAsia="Calibri" w:cs="Arial"/>
                <w:sz w:val="20"/>
                <w:szCs w:val="20"/>
              </w:rPr>
            </w:pPr>
          </w:p>
          <w:p w14:paraId="5A1DF53F" w14:textId="77777777" w:rsidR="007A6C83" w:rsidRPr="007A6C83" w:rsidRDefault="007A6C83" w:rsidP="007A6C83">
            <w:pPr>
              <w:rPr>
                <w:rFonts w:eastAsia="Calibri" w:cs="Arial"/>
                <w:sz w:val="20"/>
                <w:szCs w:val="20"/>
              </w:rPr>
            </w:pPr>
          </w:p>
          <w:p w14:paraId="4A56455B" w14:textId="77777777" w:rsidR="00E800E3" w:rsidRPr="007A6C83" w:rsidRDefault="007A6C83" w:rsidP="007A6C83">
            <w:pPr>
              <w:tabs>
                <w:tab w:val="left" w:pos="1584"/>
              </w:tabs>
              <w:rPr>
                <w:rFonts w:eastAsia="Calibri" w:cs="Arial"/>
                <w:sz w:val="20"/>
                <w:szCs w:val="20"/>
              </w:rPr>
            </w:pPr>
            <w:r>
              <w:rPr>
                <w:rFonts w:eastAsia="Calibri" w:cs="Arial"/>
                <w:sz w:val="20"/>
                <w:szCs w:val="20"/>
              </w:rPr>
              <w:tab/>
            </w:r>
          </w:p>
        </w:tc>
        <w:tc>
          <w:tcPr>
            <w:tcW w:w="5670" w:type="dxa"/>
            <w:shd w:val="clear" w:color="auto" w:fill="auto"/>
            <w:vAlign w:val="center"/>
          </w:tcPr>
          <w:p w14:paraId="6AAF9B3C" w14:textId="77777777" w:rsidR="00E800E3" w:rsidRPr="00E800E3" w:rsidRDefault="00E800E3" w:rsidP="00FC60B1">
            <w:pPr>
              <w:rPr>
                <w:rFonts w:cs="Arial"/>
                <w:sz w:val="20"/>
                <w:szCs w:val="20"/>
              </w:rPr>
            </w:pPr>
            <w:r w:rsidRPr="007A6C83">
              <w:rPr>
                <w:rFonts w:cs="Arial"/>
                <w:sz w:val="20"/>
                <w:szCs w:val="20"/>
              </w:rPr>
              <w:t>La Loi n° 11/009 du 09 juillet 2011 portant Principes fondamentaux relatifs à la protection de l’environnement, et le Décret n° 14/019 du 02 août 2014 fixant les règles de fonctionnement des mécanismes procéduraux de la protection de l’environnement déterminent les règles et procédures applicables aux études relatives à l’impact environnemental pour tout projet susceptible de porter atteinte à l’environnement</w:t>
            </w:r>
          </w:p>
        </w:tc>
        <w:tc>
          <w:tcPr>
            <w:tcW w:w="3969" w:type="dxa"/>
            <w:shd w:val="clear" w:color="auto" w:fill="auto"/>
            <w:vAlign w:val="center"/>
          </w:tcPr>
          <w:p w14:paraId="6DE32B34" w14:textId="77777777" w:rsidR="00E800E3" w:rsidRPr="00E800E3" w:rsidRDefault="00E800E3" w:rsidP="0053329E">
            <w:pPr>
              <w:rPr>
                <w:rFonts w:eastAsia="Calibri" w:cs="Arial"/>
                <w:sz w:val="20"/>
                <w:szCs w:val="20"/>
              </w:rPr>
            </w:pPr>
            <w:r w:rsidRPr="007A6C83">
              <w:rPr>
                <w:rFonts w:cs="Arial"/>
                <w:sz w:val="20"/>
                <w:szCs w:val="20"/>
              </w:rPr>
              <w:t>La loi nationale satisfait à cette exigence de la NES n°1. Toutefois, la NES n°1 s’appliquera et sera suivi par la Banque mondiale</w:t>
            </w:r>
          </w:p>
        </w:tc>
      </w:tr>
      <w:tr w:rsidR="00E800E3" w:rsidRPr="00E800E3" w14:paraId="47A7DEF4" w14:textId="77777777" w:rsidTr="00E800E3">
        <w:trPr>
          <w:cantSplit/>
          <w:jc w:val="center"/>
        </w:trPr>
        <w:tc>
          <w:tcPr>
            <w:tcW w:w="5670" w:type="dxa"/>
          </w:tcPr>
          <w:p w14:paraId="1A187543" w14:textId="77777777" w:rsidR="00E800E3" w:rsidRPr="007A6C83" w:rsidRDefault="00E800E3" w:rsidP="007A6C83">
            <w:pPr>
              <w:pStyle w:val="Tabletext0"/>
              <w:spacing w:line="276" w:lineRule="auto"/>
              <w:rPr>
                <w:rFonts w:ascii="Arial" w:hAnsi="Arial" w:cs="Arial"/>
                <w:szCs w:val="20"/>
              </w:rPr>
            </w:pPr>
            <w:r w:rsidRPr="007A6C83">
              <w:rPr>
                <w:rFonts w:ascii="Arial" w:hAnsi="Arial" w:cs="Arial"/>
                <w:szCs w:val="20"/>
              </w:rPr>
              <w:t>Utiliser le cadre de l'emprunteur lorsqu'il est substantiellement cohérent avec les NES, et comprendre, le cas échéant, des mesures de renforcement des capacités de l’emprunteur</w:t>
            </w:r>
          </w:p>
          <w:p w14:paraId="37575106" w14:textId="77777777" w:rsidR="00E800E3" w:rsidRPr="007A6C83" w:rsidRDefault="00E800E3" w:rsidP="00E800E3">
            <w:pPr>
              <w:rPr>
                <w:rFonts w:eastAsia="Calibri" w:cs="Arial"/>
                <w:i/>
                <w:sz w:val="20"/>
                <w:szCs w:val="20"/>
                <w:u w:val="single"/>
              </w:rPr>
            </w:pPr>
            <w:r w:rsidRPr="007A6C83">
              <w:rPr>
                <w:rFonts w:cs="Arial"/>
                <w:i/>
                <w:iCs/>
                <w:sz w:val="20"/>
                <w:szCs w:val="20"/>
              </w:rPr>
              <w:t>Paragraphe 5, 19, 20 et 21</w:t>
            </w:r>
          </w:p>
        </w:tc>
        <w:tc>
          <w:tcPr>
            <w:tcW w:w="5670" w:type="dxa"/>
            <w:shd w:val="clear" w:color="auto" w:fill="auto"/>
            <w:vAlign w:val="center"/>
          </w:tcPr>
          <w:p w14:paraId="2BCC2A2C" w14:textId="77777777" w:rsidR="00E800E3" w:rsidRPr="00E800E3" w:rsidRDefault="00E800E3" w:rsidP="00E800E3">
            <w:pPr>
              <w:rPr>
                <w:rFonts w:cs="Arial"/>
                <w:sz w:val="20"/>
                <w:szCs w:val="20"/>
              </w:rPr>
            </w:pPr>
            <w:r w:rsidRPr="007A6C83">
              <w:rPr>
                <w:rFonts w:cs="Arial"/>
                <w:sz w:val="20"/>
                <w:szCs w:val="20"/>
              </w:rPr>
              <w:t>Non mentionné dans la législation nationale congolaise</w:t>
            </w:r>
          </w:p>
        </w:tc>
        <w:tc>
          <w:tcPr>
            <w:tcW w:w="3969" w:type="dxa"/>
            <w:shd w:val="clear" w:color="auto" w:fill="auto"/>
            <w:vAlign w:val="center"/>
          </w:tcPr>
          <w:p w14:paraId="527AAF67" w14:textId="77777777" w:rsidR="00E800E3" w:rsidRPr="00E800E3" w:rsidRDefault="00E800E3" w:rsidP="00E800E3">
            <w:pPr>
              <w:rPr>
                <w:rFonts w:eastAsia="Calibri" w:cs="Arial"/>
                <w:sz w:val="20"/>
                <w:szCs w:val="20"/>
              </w:rPr>
            </w:pPr>
            <w:r w:rsidRPr="007A6C83">
              <w:rPr>
                <w:rFonts w:cs="Arial"/>
                <w:sz w:val="20"/>
                <w:szCs w:val="20"/>
              </w:rPr>
              <w:t>La loi nationale ne satisfait pas à cette exigence de la NES n°1. Ainsi, la NES n°1  s’appliquera et sera suivi par la Banque mondiale</w:t>
            </w:r>
          </w:p>
        </w:tc>
      </w:tr>
      <w:tr w:rsidR="00E800E3" w:rsidRPr="00E800E3" w14:paraId="1EC0BED1" w14:textId="77777777" w:rsidTr="00E800E3">
        <w:trPr>
          <w:cantSplit/>
          <w:jc w:val="center"/>
        </w:trPr>
        <w:tc>
          <w:tcPr>
            <w:tcW w:w="5670" w:type="dxa"/>
          </w:tcPr>
          <w:p w14:paraId="0E211CFF" w14:textId="77777777" w:rsidR="00E800E3" w:rsidRPr="007A6C83" w:rsidRDefault="00E800E3" w:rsidP="007A6C83">
            <w:pPr>
              <w:pStyle w:val="Tabletext0"/>
              <w:spacing w:line="276" w:lineRule="auto"/>
              <w:rPr>
                <w:rFonts w:ascii="Arial" w:hAnsi="Arial" w:cs="Arial"/>
                <w:szCs w:val="20"/>
              </w:rPr>
            </w:pPr>
            <w:r w:rsidRPr="007A6C83">
              <w:rPr>
                <w:rFonts w:ascii="Arial" w:hAnsi="Arial" w:cs="Arial"/>
                <w:szCs w:val="20"/>
              </w:rPr>
              <w:t>Effectuer une évaluation environnementale et sociale (EES) intégrée des impacts directs, indirects, cumulatifs, et transfrontaliers, et tenir compte du principe d’hiérarchie d'atténuation</w:t>
            </w:r>
          </w:p>
          <w:p w14:paraId="27621AC3" w14:textId="77777777" w:rsidR="00E800E3" w:rsidRPr="007A6C83" w:rsidRDefault="00E800E3" w:rsidP="00E800E3">
            <w:pPr>
              <w:rPr>
                <w:rFonts w:eastAsia="Calibri" w:cs="Arial"/>
                <w:i/>
                <w:sz w:val="20"/>
                <w:szCs w:val="20"/>
                <w:u w:val="single"/>
              </w:rPr>
            </w:pPr>
            <w:r w:rsidRPr="007A6C83">
              <w:rPr>
                <w:rFonts w:cs="Arial"/>
                <w:i/>
                <w:iCs/>
                <w:sz w:val="20"/>
                <w:szCs w:val="20"/>
              </w:rPr>
              <w:t>Paragraphes 23 à 29, 35</w:t>
            </w:r>
          </w:p>
        </w:tc>
        <w:tc>
          <w:tcPr>
            <w:tcW w:w="5670" w:type="dxa"/>
            <w:shd w:val="clear" w:color="auto" w:fill="auto"/>
            <w:vAlign w:val="center"/>
          </w:tcPr>
          <w:p w14:paraId="79A96030" w14:textId="77777777" w:rsidR="00E800E3" w:rsidRPr="00E800E3" w:rsidRDefault="00E800E3" w:rsidP="00E800E3">
            <w:pPr>
              <w:rPr>
                <w:rFonts w:cs="Arial"/>
                <w:sz w:val="20"/>
                <w:szCs w:val="20"/>
              </w:rPr>
            </w:pPr>
            <w:r w:rsidRPr="007A6C83">
              <w:rPr>
                <w:rFonts w:cs="Arial"/>
                <w:sz w:val="20"/>
                <w:szCs w:val="20"/>
              </w:rPr>
              <w:t>La Loi n° 11/009 du 09 juillet 2011 portant Principes fondamentaux relatifs à la protection de l’environnement, et le Décret n° 14/019 du 02 août 2014 fixant les règles de fonctionnement des mécanismes procéduraux de la protection de l’environnement déterminent les règles et procédures applicables aux études relatives à l’impact environnemental pour tout projet susceptible de porter atteinte à l’environnement</w:t>
            </w:r>
          </w:p>
        </w:tc>
        <w:tc>
          <w:tcPr>
            <w:tcW w:w="3969" w:type="dxa"/>
            <w:shd w:val="clear" w:color="auto" w:fill="auto"/>
            <w:vAlign w:val="center"/>
          </w:tcPr>
          <w:p w14:paraId="71DBF7DD" w14:textId="77777777" w:rsidR="00E800E3" w:rsidRPr="00E800E3" w:rsidRDefault="00E800E3" w:rsidP="00E800E3">
            <w:pPr>
              <w:rPr>
                <w:rFonts w:eastAsia="Calibri" w:cs="Arial"/>
                <w:sz w:val="20"/>
                <w:szCs w:val="20"/>
              </w:rPr>
            </w:pPr>
            <w:r w:rsidRPr="007A6C83">
              <w:rPr>
                <w:rFonts w:cs="Arial"/>
                <w:sz w:val="20"/>
                <w:szCs w:val="20"/>
              </w:rPr>
              <w:t>La loi nationale satisfait à cette exigence de la NES n°1. Toutefois, la NES n°1 s’appliquera et sera suivi par la Banque mondiale</w:t>
            </w:r>
          </w:p>
        </w:tc>
      </w:tr>
      <w:tr w:rsidR="00E800E3" w:rsidRPr="00E800E3" w14:paraId="5DFEE667" w14:textId="77777777" w:rsidTr="00E800E3">
        <w:trPr>
          <w:cantSplit/>
          <w:jc w:val="center"/>
        </w:trPr>
        <w:tc>
          <w:tcPr>
            <w:tcW w:w="5670" w:type="dxa"/>
          </w:tcPr>
          <w:p w14:paraId="63651032" w14:textId="77777777" w:rsidR="00E800E3" w:rsidRPr="007A6C83" w:rsidRDefault="00E800E3" w:rsidP="007A6C83">
            <w:pPr>
              <w:pStyle w:val="Tabletext0"/>
              <w:spacing w:line="276" w:lineRule="auto"/>
              <w:rPr>
                <w:rFonts w:ascii="Arial" w:hAnsi="Arial" w:cs="Arial"/>
                <w:szCs w:val="20"/>
              </w:rPr>
            </w:pPr>
            <w:r w:rsidRPr="007A6C83">
              <w:rPr>
                <w:rFonts w:ascii="Arial" w:hAnsi="Arial" w:cs="Arial"/>
                <w:szCs w:val="20"/>
              </w:rPr>
              <w:t>Prendre en compte tous les risques et effets environnementaux et sociaux pertinents du projet, et se conformer aux dispositions pertinentes des Directives environnementales, sanitaires et sécuritaires ESS et les autres bonnes pratiques internationales en vigueur dans les secteurs d’activité (concernés BPISA)</w:t>
            </w:r>
          </w:p>
          <w:p w14:paraId="372B37D0" w14:textId="77777777" w:rsidR="00E800E3" w:rsidRPr="007A6C83" w:rsidRDefault="00E800E3" w:rsidP="00E800E3">
            <w:pPr>
              <w:rPr>
                <w:rFonts w:eastAsia="Calibri" w:cs="Arial"/>
                <w:i/>
                <w:sz w:val="20"/>
                <w:szCs w:val="20"/>
                <w:u w:val="single"/>
              </w:rPr>
            </w:pPr>
            <w:r w:rsidRPr="007A6C83">
              <w:rPr>
                <w:rFonts w:cs="Arial"/>
                <w:i/>
                <w:iCs/>
                <w:sz w:val="20"/>
                <w:szCs w:val="20"/>
              </w:rPr>
              <w:t>Paragraphe 18, 26, 28</w:t>
            </w:r>
          </w:p>
        </w:tc>
        <w:tc>
          <w:tcPr>
            <w:tcW w:w="5670" w:type="dxa"/>
            <w:shd w:val="clear" w:color="auto" w:fill="auto"/>
            <w:vAlign w:val="center"/>
          </w:tcPr>
          <w:p w14:paraId="100904C0" w14:textId="77777777" w:rsidR="00E800E3" w:rsidRPr="00E800E3" w:rsidRDefault="00E800E3" w:rsidP="00E800E3">
            <w:pPr>
              <w:rPr>
                <w:rFonts w:cs="Arial"/>
                <w:sz w:val="20"/>
                <w:szCs w:val="20"/>
              </w:rPr>
            </w:pPr>
            <w:r w:rsidRPr="007A6C83">
              <w:rPr>
                <w:rFonts w:cs="Arial"/>
                <w:sz w:val="20"/>
                <w:szCs w:val="20"/>
              </w:rPr>
              <w:t>Non mentionné dans la législation nationale congolaise</w:t>
            </w:r>
          </w:p>
        </w:tc>
        <w:tc>
          <w:tcPr>
            <w:tcW w:w="3969" w:type="dxa"/>
            <w:shd w:val="clear" w:color="auto" w:fill="auto"/>
            <w:vAlign w:val="center"/>
          </w:tcPr>
          <w:p w14:paraId="4507F997" w14:textId="77777777" w:rsidR="00E800E3" w:rsidRPr="00E800E3" w:rsidRDefault="00E800E3" w:rsidP="00E800E3">
            <w:pPr>
              <w:rPr>
                <w:rFonts w:eastAsia="Calibri" w:cs="Arial"/>
                <w:sz w:val="20"/>
                <w:szCs w:val="20"/>
              </w:rPr>
            </w:pPr>
            <w:r w:rsidRPr="007A6C83">
              <w:rPr>
                <w:rFonts w:cs="Arial"/>
                <w:sz w:val="20"/>
                <w:szCs w:val="20"/>
              </w:rPr>
              <w:t>La loi nationale ne satisfait pas à cette exigence de la NES n°1. Ainsi, c’est la NES n°1 qui s’appliquera et sera suivi par l’IDA.</w:t>
            </w:r>
          </w:p>
        </w:tc>
      </w:tr>
      <w:tr w:rsidR="00E800E3" w:rsidRPr="00E800E3" w14:paraId="25DA2C66" w14:textId="77777777" w:rsidTr="00E800E3">
        <w:trPr>
          <w:cantSplit/>
          <w:jc w:val="center"/>
        </w:trPr>
        <w:tc>
          <w:tcPr>
            <w:tcW w:w="5670" w:type="dxa"/>
          </w:tcPr>
          <w:p w14:paraId="16D9E160" w14:textId="77777777" w:rsidR="00E800E3" w:rsidRPr="007A6C83" w:rsidRDefault="00E800E3" w:rsidP="007A6C83">
            <w:pPr>
              <w:pStyle w:val="Tabletext0"/>
              <w:spacing w:line="276" w:lineRule="auto"/>
              <w:rPr>
                <w:rFonts w:ascii="Arial" w:hAnsi="Arial" w:cs="Arial"/>
                <w:szCs w:val="20"/>
              </w:rPr>
            </w:pPr>
            <w:r w:rsidRPr="007A6C83">
              <w:rPr>
                <w:rFonts w:ascii="Arial" w:hAnsi="Arial" w:cs="Arial"/>
                <w:szCs w:val="20"/>
              </w:rPr>
              <w:t>Mettre en œuvre des mesures différenciées de sorte que les impacts négatifs du projet n’affectent de manière disproportionnée les groupes défavorisés et vulnérables</w:t>
            </w:r>
          </w:p>
          <w:p w14:paraId="3FA7DF31" w14:textId="77777777" w:rsidR="00E800E3" w:rsidRPr="007A6C83" w:rsidRDefault="00E800E3" w:rsidP="00E800E3">
            <w:pPr>
              <w:rPr>
                <w:rFonts w:eastAsia="Calibri" w:cs="Arial"/>
                <w:i/>
                <w:sz w:val="20"/>
                <w:szCs w:val="20"/>
                <w:u w:val="single"/>
              </w:rPr>
            </w:pPr>
            <w:r w:rsidRPr="007A6C83">
              <w:rPr>
                <w:rFonts w:cs="Arial"/>
                <w:i/>
                <w:iCs/>
                <w:sz w:val="20"/>
                <w:szCs w:val="20"/>
              </w:rPr>
              <w:t>Paragraphe 28,29</w:t>
            </w:r>
          </w:p>
        </w:tc>
        <w:tc>
          <w:tcPr>
            <w:tcW w:w="5670" w:type="dxa"/>
            <w:shd w:val="clear" w:color="auto" w:fill="auto"/>
            <w:vAlign w:val="center"/>
          </w:tcPr>
          <w:p w14:paraId="262A20F0" w14:textId="77777777" w:rsidR="00E800E3" w:rsidRPr="00E800E3" w:rsidRDefault="00E800E3" w:rsidP="00E800E3">
            <w:pPr>
              <w:rPr>
                <w:rFonts w:cs="Arial"/>
                <w:sz w:val="20"/>
                <w:szCs w:val="20"/>
              </w:rPr>
            </w:pPr>
            <w:r w:rsidRPr="007A6C83">
              <w:rPr>
                <w:rFonts w:cs="Arial"/>
                <w:sz w:val="20"/>
                <w:szCs w:val="20"/>
              </w:rPr>
              <w:t>La Loi n° 11/009 du 09 juillet 2011 portant Principes fondamentaux relatifs à la protection de l’environnement, et le Décret n° 14/019 du 02 août 2014 fixant les règles de fonctionnement des mécanismes procéduraux de la protection de l’environnement déterminent les règles et procédures applicables aux études relatives à l’impact environnemental pour tout projet susceptible de porter atteinte à l’environnement</w:t>
            </w:r>
          </w:p>
        </w:tc>
        <w:tc>
          <w:tcPr>
            <w:tcW w:w="3969" w:type="dxa"/>
            <w:shd w:val="clear" w:color="auto" w:fill="auto"/>
            <w:vAlign w:val="center"/>
          </w:tcPr>
          <w:p w14:paraId="393E4B43" w14:textId="77777777" w:rsidR="00E800E3" w:rsidRPr="00E800E3" w:rsidRDefault="00E800E3" w:rsidP="00E800E3">
            <w:pPr>
              <w:rPr>
                <w:rFonts w:eastAsia="Calibri" w:cs="Arial"/>
                <w:sz w:val="20"/>
                <w:szCs w:val="20"/>
              </w:rPr>
            </w:pPr>
            <w:r w:rsidRPr="007A6C83">
              <w:rPr>
                <w:rFonts w:cs="Arial"/>
                <w:sz w:val="20"/>
                <w:szCs w:val="20"/>
              </w:rPr>
              <w:t>La loi nationale satisfait à cette exigence de la NES n°1. Toutefois, la NES n°1  s’appliquera et sera suivi par la Banque mondiale</w:t>
            </w:r>
          </w:p>
        </w:tc>
      </w:tr>
      <w:tr w:rsidR="00E800E3" w:rsidRPr="00E800E3" w14:paraId="7A8A7414" w14:textId="77777777" w:rsidTr="00E800E3">
        <w:trPr>
          <w:cantSplit/>
          <w:jc w:val="center"/>
        </w:trPr>
        <w:tc>
          <w:tcPr>
            <w:tcW w:w="5670" w:type="dxa"/>
          </w:tcPr>
          <w:p w14:paraId="3DE5FD7A" w14:textId="77777777" w:rsidR="00E800E3" w:rsidRPr="007A6C83" w:rsidRDefault="00E800E3" w:rsidP="007A6C83">
            <w:pPr>
              <w:pStyle w:val="Tabletext0"/>
              <w:spacing w:line="276" w:lineRule="auto"/>
              <w:rPr>
                <w:rFonts w:ascii="Arial" w:hAnsi="Arial" w:cs="Arial"/>
                <w:szCs w:val="20"/>
              </w:rPr>
            </w:pPr>
            <w:r w:rsidRPr="007A6C83">
              <w:rPr>
                <w:rFonts w:ascii="Arial" w:hAnsi="Arial" w:cs="Arial"/>
                <w:szCs w:val="20"/>
              </w:rPr>
              <w:t>Élaborer, divulguer et mettre en œuvre un plan d'engagement environnemental et social (PEES)</w:t>
            </w:r>
          </w:p>
          <w:p w14:paraId="3B3A028B" w14:textId="77777777" w:rsidR="00E800E3" w:rsidRPr="007A6C83" w:rsidRDefault="00E800E3" w:rsidP="00E800E3">
            <w:pPr>
              <w:rPr>
                <w:rFonts w:eastAsia="Calibri" w:cs="Arial"/>
                <w:i/>
                <w:sz w:val="20"/>
                <w:szCs w:val="20"/>
                <w:u w:val="single"/>
              </w:rPr>
            </w:pPr>
            <w:r w:rsidRPr="007A6C83">
              <w:rPr>
                <w:rFonts w:cs="Arial"/>
                <w:i/>
                <w:iCs/>
                <w:sz w:val="20"/>
                <w:szCs w:val="20"/>
              </w:rPr>
              <w:t>Paragraphes 36 à 44</w:t>
            </w:r>
          </w:p>
        </w:tc>
        <w:tc>
          <w:tcPr>
            <w:tcW w:w="5670" w:type="dxa"/>
            <w:shd w:val="clear" w:color="auto" w:fill="auto"/>
            <w:vAlign w:val="center"/>
          </w:tcPr>
          <w:p w14:paraId="3B806470" w14:textId="77777777" w:rsidR="00E800E3" w:rsidRPr="00E800E3" w:rsidRDefault="00E800E3" w:rsidP="00E800E3">
            <w:pPr>
              <w:rPr>
                <w:rFonts w:cs="Arial"/>
                <w:sz w:val="20"/>
                <w:szCs w:val="20"/>
              </w:rPr>
            </w:pPr>
            <w:r w:rsidRPr="007A6C83">
              <w:rPr>
                <w:rFonts w:cs="Arial"/>
                <w:sz w:val="20"/>
                <w:szCs w:val="20"/>
              </w:rPr>
              <w:t>Non mentionné dans la législation nationale congolaise</w:t>
            </w:r>
          </w:p>
        </w:tc>
        <w:tc>
          <w:tcPr>
            <w:tcW w:w="3969" w:type="dxa"/>
            <w:shd w:val="clear" w:color="auto" w:fill="auto"/>
            <w:vAlign w:val="center"/>
          </w:tcPr>
          <w:p w14:paraId="479A03A4" w14:textId="77777777" w:rsidR="00E800E3" w:rsidRPr="00E800E3" w:rsidRDefault="00E800E3" w:rsidP="00E800E3">
            <w:pPr>
              <w:rPr>
                <w:rFonts w:eastAsia="Calibri" w:cs="Arial"/>
                <w:sz w:val="20"/>
                <w:szCs w:val="20"/>
              </w:rPr>
            </w:pPr>
            <w:r w:rsidRPr="007A6C83">
              <w:rPr>
                <w:rFonts w:cs="Arial"/>
                <w:sz w:val="20"/>
                <w:szCs w:val="20"/>
              </w:rPr>
              <w:t>La loi nationale ne satisfait pas à cette exigence de la NES n°1. Ainsi, c’est le PEES de la Banque mondiale qui s’appliquera et sera suivi par l’IDA.</w:t>
            </w:r>
          </w:p>
        </w:tc>
      </w:tr>
      <w:tr w:rsidR="00E800E3" w:rsidRPr="00E800E3" w14:paraId="0D7C2676" w14:textId="77777777" w:rsidTr="00E800E3">
        <w:trPr>
          <w:cantSplit/>
          <w:jc w:val="center"/>
        </w:trPr>
        <w:tc>
          <w:tcPr>
            <w:tcW w:w="5670" w:type="dxa"/>
          </w:tcPr>
          <w:p w14:paraId="2C942ABD" w14:textId="77777777" w:rsidR="00E800E3" w:rsidRPr="007A6C83" w:rsidRDefault="00E800E3" w:rsidP="007A6C83">
            <w:pPr>
              <w:pStyle w:val="Tabletext0"/>
              <w:spacing w:line="276" w:lineRule="auto"/>
              <w:rPr>
                <w:rFonts w:ascii="Arial" w:hAnsi="Arial" w:cs="Arial"/>
                <w:szCs w:val="20"/>
              </w:rPr>
            </w:pPr>
            <w:r w:rsidRPr="007A6C83">
              <w:rPr>
                <w:rFonts w:ascii="Arial" w:hAnsi="Arial" w:cs="Arial"/>
                <w:szCs w:val="20"/>
              </w:rPr>
              <w:t>Assurer le suivi, y compris par des tiers, mettre en œuvre des mesures préventives et correctives, notifier la Banque tout incident ou accident en lien avec le projet susceptible d’avoir des conséquences graves</w:t>
            </w:r>
          </w:p>
          <w:p w14:paraId="4B3857B8" w14:textId="77777777" w:rsidR="00E800E3" w:rsidRPr="007A6C83" w:rsidRDefault="00E800E3" w:rsidP="00E800E3">
            <w:pPr>
              <w:rPr>
                <w:rFonts w:eastAsia="Calibri" w:cs="Arial"/>
                <w:i/>
                <w:sz w:val="20"/>
                <w:szCs w:val="20"/>
                <w:u w:val="single"/>
              </w:rPr>
            </w:pPr>
            <w:r w:rsidRPr="007A6C83">
              <w:rPr>
                <w:rFonts w:cs="Arial"/>
                <w:i/>
                <w:iCs/>
                <w:sz w:val="20"/>
                <w:szCs w:val="20"/>
              </w:rPr>
              <w:t>Paragraphe 45-50</w:t>
            </w:r>
          </w:p>
        </w:tc>
        <w:tc>
          <w:tcPr>
            <w:tcW w:w="5670" w:type="dxa"/>
            <w:shd w:val="clear" w:color="auto" w:fill="auto"/>
            <w:vAlign w:val="center"/>
          </w:tcPr>
          <w:p w14:paraId="4B8A1D7D" w14:textId="77777777" w:rsidR="00E800E3" w:rsidRPr="00E800E3" w:rsidRDefault="00E800E3" w:rsidP="00E800E3">
            <w:pPr>
              <w:rPr>
                <w:rFonts w:cs="Arial"/>
                <w:sz w:val="20"/>
                <w:szCs w:val="20"/>
              </w:rPr>
            </w:pPr>
            <w:r w:rsidRPr="007A6C83">
              <w:rPr>
                <w:rFonts w:cs="Arial"/>
                <w:sz w:val="20"/>
                <w:szCs w:val="20"/>
              </w:rPr>
              <w:t>Non mentionné dans la législation nationale congolaise</w:t>
            </w:r>
          </w:p>
        </w:tc>
        <w:tc>
          <w:tcPr>
            <w:tcW w:w="3969" w:type="dxa"/>
            <w:shd w:val="clear" w:color="auto" w:fill="auto"/>
            <w:vAlign w:val="center"/>
          </w:tcPr>
          <w:p w14:paraId="0C9A109E" w14:textId="77777777" w:rsidR="00E800E3" w:rsidRPr="00E800E3" w:rsidRDefault="00E800E3" w:rsidP="00E800E3">
            <w:pPr>
              <w:rPr>
                <w:rFonts w:eastAsia="Calibri" w:cs="Arial"/>
                <w:sz w:val="20"/>
                <w:szCs w:val="20"/>
              </w:rPr>
            </w:pPr>
            <w:r w:rsidRPr="007A6C83">
              <w:rPr>
                <w:rFonts w:cs="Arial"/>
                <w:sz w:val="20"/>
                <w:szCs w:val="20"/>
              </w:rPr>
              <w:t>La loi nationale ne satisfait pas à cette exigence de la NES n°1. Ainsi, c’est le NES n°1 qui s’appliquera et sera suivi par l’IDA.</w:t>
            </w:r>
          </w:p>
        </w:tc>
      </w:tr>
      <w:tr w:rsidR="00E800E3" w:rsidRPr="00E800E3" w14:paraId="3280342B" w14:textId="77777777" w:rsidTr="00E800E3">
        <w:trPr>
          <w:cantSplit/>
          <w:jc w:val="center"/>
        </w:trPr>
        <w:tc>
          <w:tcPr>
            <w:tcW w:w="5670" w:type="dxa"/>
          </w:tcPr>
          <w:p w14:paraId="6EDC4505" w14:textId="77777777" w:rsidR="00E800E3" w:rsidRPr="007A6C83" w:rsidRDefault="00E800E3" w:rsidP="007A6C83">
            <w:pPr>
              <w:pStyle w:val="Tabletext0"/>
              <w:spacing w:line="276" w:lineRule="auto"/>
              <w:rPr>
                <w:rFonts w:ascii="Arial" w:hAnsi="Arial" w:cs="Arial"/>
                <w:szCs w:val="20"/>
              </w:rPr>
            </w:pPr>
            <w:r w:rsidRPr="007A6C83">
              <w:rPr>
                <w:rFonts w:ascii="Arial" w:hAnsi="Arial" w:cs="Arial"/>
                <w:szCs w:val="20"/>
              </w:rPr>
              <w:t>Mobiliser les parties prenantes et rendre public des informations sur les risques, et effets environnementaux et sociaux du projet, avant l’évaluation du projet</w:t>
            </w:r>
          </w:p>
          <w:p w14:paraId="1350CDF3" w14:textId="77777777" w:rsidR="00E800E3" w:rsidRPr="007A6C83" w:rsidRDefault="00E800E3" w:rsidP="00E800E3">
            <w:pPr>
              <w:rPr>
                <w:rFonts w:eastAsia="Calibri" w:cs="Arial"/>
                <w:i/>
                <w:sz w:val="20"/>
                <w:szCs w:val="20"/>
                <w:u w:val="single"/>
              </w:rPr>
            </w:pPr>
            <w:r w:rsidRPr="007A6C83">
              <w:rPr>
                <w:rFonts w:cs="Arial"/>
                <w:i/>
                <w:iCs/>
                <w:sz w:val="20"/>
                <w:szCs w:val="20"/>
              </w:rPr>
              <w:t>Paragraphes 51-53</w:t>
            </w:r>
          </w:p>
        </w:tc>
        <w:tc>
          <w:tcPr>
            <w:tcW w:w="5670" w:type="dxa"/>
            <w:shd w:val="clear" w:color="auto" w:fill="auto"/>
            <w:vAlign w:val="center"/>
          </w:tcPr>
          <w:p w14:paraId="1DF9A3F1" w14:textId="77777777" w:rsidR="00E800E3" w:rsidRPr="00E800E3" w:rsidRDefault="00E800E3" w:rsidP="00E800E3">
            <w:pPr>
              <w:rPr>
                <w:rFonts w:cs="Arial"/>
                <w:sz w:val="20"/>
                <w:szCs w:val="20"/>
              </w:rPr>
            </w:pPr>
            <w:r w:rsidRPr="007A6C83">
              <w:rPr>
                <w:rFonts w:cs="Arial"/>
                <w:sz w:val="20"/>
                <w:szCs w:val="20"/>
              </w:rPr>
              <w:t>La Loi n° 11/009 du 09 juillet 2011 portant Principes fondamentaux relatifs à la protection de l’environnement, et le Décret n° 14/019 du 02 août 2014 fixant les règles de fonctionnement des mécanismes procéduraux de la protection de l’environnement déterminent les règles et procédures applicables aux études relatives à l’impact environnemental pour tout projet susceptible de porter atteinte à l’environnement</w:t>
            </w:r>
          </w:p>
        </w:tc>
        <w:tc>
          <w:tcPr>
            <w:tcW w:w="3969" w:type="dxa"/>
            <w:shd w:val="clear" w:color="auto" w:fill="auto"/>
            <w:vAlign w:val="center"/>
          </w:tcPr>
          <w:p w14:paraId="0D132507" w14:textId="77777777" w:rsidR="00E800E3" w:rsidRPr="00E800E3" w:rsidRDefault="00E800E3" w:rsidP="00E800E3">
            <w:pPr>
              <w:rPr>
                <w:rFonts w:eastAsia="Calibri" w:cs="Arial"/>
                <w:sz w:val="20"/>
                <w:szCs w:val="20"/>
              </w:rPr>
            </w:pPr>
            <w:r w:rsidRPr="007A6C83">
              <w:rPr>
                <w:rFonts w:cs="Arial"/>
                <w:sz w:val="20"/>
                <w:szCs w:val="20"/>
              </w:rPr>
              <w:t>La loi nationale satisfait à cette exigence de la NES n°1. Toutefois, la NES n°1 s’appliquera et sera suivi par la Banque mondiale</w:t>
            </w:r>
          </w:p>
        </w:tc>
      </w:tr>
      <w:tr w:rsidR="00E800E3" w:rsidRPr="00E800E3" w14:paraId="203B8C27" w14:textId="77777777" w:rsidTr="00730A4A">
        <w:trPr>
          <w:jc w:val="center"/>
        </w:trPr>
        <w:tc>
          <w:tcPr>
            <w:tcW w:w="5670" w:type="dxa"/>
            <w:shd w:val="clear" w:color="auto" w:fill="C5E0B3"/>
            <w:vAlign w:val="center"/>
          </w:tcPr>
          <w:p w14:paraId="7B5E190E" w14:textId="77777777" w:rsidR="00E800E3" w:rsidRPr="007A6C83" w:rsidRDefault="00E800E3" w:rsidP="00E800E3">
            <w:pPr>
              <w:spacing w:before="60" w:after="60"/>
              <w:rPr>
                <w:rFonts w:eastAsia="Calibri" w:cs="Arial"/>
                <w:b/>
                <w:bCs/>
                <w:sz w:val="20"/>
                <w:szCs w:val="20"/>
              </w:rPr>
            </w:pPr>
            <w:r w:rsidRPr="007A6C83">
              <w:rPr>
                <w:rFonts w:eastAsia="Calibri" w:cs="Arial"/>
                <w:b/>
                <w:bCs/>
                <w:sz w:val="20"/>
                <w:szCs w:val="20"/>
              </w:rPr>
              <w:t>NES 2.  Emploi et conditions de travail</w:t>
            </w:r>
          </w:p>
        </w:tc>
        <w:tc>
          <w:tcPr>
            <w:tcW w:w="5670" w:type="dxa"/>
            <w:shd w:val="clear" w:color="auto" w:fill="C5E0B3"/>
          </w:tcPr>
          <w:p w14:paraId="63F41A35" w14:textId="77777777" w:rsidR="00E800E3" w:rsidRPr="007A6C83" w:rsidRDefault="00E800E3" w:rsidP="00FC60B1">
            <w:pPr>
              <w:spacing w:before="60" w:after="60"/>
              <w:rPr>
                <w:rFonts w:eastAsia="Calibri" w:cs="Arial"/>
                <w:b/>
                <w:bCs/>
                <w:sz w:val="20"/>
                <w:szCs w:val="20"/>
              </w:rPr>
            </w:pPr>
          </w:p>
        </w:tc>
        <w:tc>
          <w:tcPr>
            <w:tcW w:w="3969" w:type="dxa"/>
            <w:shd w:val="clear" w:color="auto" w:fill="C5E0B3"/>
            <w:vAlign w:val="center"/>
          </w:tcPr>
          <w:p w14:paraId="269E414A" w14:textId="77777777" w:rsidR="00E800E3" w:rsidRPr="007A6C83" w:rsidRDefault="00E800E3" w:rsidP="0021620B">
            <w:pPr>
              <w:spacing w:before="60" w:after="60"/>
              <w:rPr>
                <w:rFonts w:eastAsia="Calibri" w:cs="Arial"/>
                <w:b/>
                <w:bCs/>
                <w:sz w:val="20"/>
                <w:szCs w:val="20"/>
              </w:rPr>
            </w:pPr>
          </w:p>
        </w:tc>
      </w:tr>
      <w:tr w:rsidR="00E800E3" w:rsidRPr="00E800E3" w14:paraId="4CEC883D" w14:textId="77777777" w:rsidTr="00E800E3">
        <w:trPr>
          <w:cantSplit/>
          <w:jc w:val="center"/>
        </w:trPr>
        <w:tc>
          <w:tcPr>
            <w:tcW w:w="5670" w:type="dxa"/>
          </w:tcPr>
          <w:p w14:paraId="277C6699" w14:textId="77777777" w:rsidR="00E800E3" w:rsidRPr="007A6C83" w:rsidRDefault="00E800E3" w:rsidP="007A6C83">
            <w:pPr>
              <w:pStyle w:val="Tabletext0"/>
              <w:spacing w:line="276" w:lineRule="auto"/>
              <w:rPr>
                <w:rFonts w:ascii="Arial" w:hAnsi="Arial" w:cs="Arial"/>
                <w:szCs w:val="20"/>
              </w:rPr>
            </w:pPr>
            <w:r w:rsidRPr="007A6C83">
              <w:rPr>
                <w:rFonts w:ascii="Arial" w:hAnsi="Arial" w:cs="Arial"/>
                <w:szCs w:val="20"/>
              </w:rPr>
              <w:t>Identifier les travailleurs du projet à temps plein, à temps partiel, temporaires, saisonniers et migrants (directs, contractuels, employés des principaux fournisseurs, travailleurs communautaires)</w:t>
            </w:r>
          </w:p>
          <w:p w14:paraId="6A78B86C" w14:textId="77777777" w:rsidR="00E800E3" w:rsidRPr="00E800E3" w:rsidRDefault="00E800E3" w:rsidP="00E800E3">
            <w:pPr>
              <w:autoSpaceDE w:val="0"/>
              <w:autoSpaceDN w:val="0"/>
              <w:adjustRightInd w:val="0"/>
              <w:rPr>
                <w:rFonts w:eastAsia="Calibri" w:cs="Arial"/>
                <w:sz w:val="20"/>
                <w:szCs w:val="20"/>
              </w:rPr>
            </w:pPr>
            <w:r w:rsidRPr="00E800E3">
              <w:rPr>
                <w:rFonts w:cs="Arial"/>
                <w:i/>
                <w:iCs/>
                <w:sz w:val="20"/>
                <w:szCs w:val="20"/>
              </w:rPr>
              <w:t>Paragraphes 3 à 8</w:t>
            </w:r>
          </w:p>
        </w:tc>
        <w:tc>
          <w:tcPr>
            <w:tcW w:w="5670" w:type="dxa"/>
            <w:shd w:val="clear" w:color="auto" w:fill="auto"/>
            <w:vAlign w:val="center"/>
          </w:tcPr>
          <w:p w14:paraId="3447F3F5" w14:textId="77777777" w:rsidR="00E800E3" w:rsidRPr="00E800E3" w:rsidRDefault="00E800E3" w:rsidP="00E800E3">
            <w:pPr>
              <w:autoSpaceDE w:val="0"/>
              <w:autoSpaceDN w:val="0"/>
              <w:adjustRightInd w:val="0"/>
              <w:rPr>
                <w:rFonts w:cs="Arial"/>
                <w:sz w:val="20"/>
                <w:szCs w:val="20"/>
              </w:rPr>
            </w:pPr>
            <w:r w:rsidRPr="007A6C83">
              <w:rPr>
                <w:rFonts w:cs="Arial"/>
                <w:sz w:val="20"/>
                <w:szCs w:val="20"/>
              </w:rPr>
              <w:t>Non mentionné dans la législation nationale congolaise</w:t>
            </w:r>
          </w:p>
        </w:tc>
        <w:tc>
          <w:tcPr>
            <w:tcW w:w="3969" w:type="dxa"/>
            <w:shd w:val="clear" w:color="auto" w:fill="auto"/>
            <w:vAlign w:val="center"/>
          </w:tcPr>
          <w:p w14:paraId="4766C6FC" w14:textId="77777777" w:rsidR="00E800E3" w:rsidRPr="00E800E3" w:rsidRDefault="00E800E3" w:rsidP="00E800E3">
            <w:pPr>
              <w:rPr>
                <w:rFonts w:cs="Arial"/>
                <w:sz w:val="20"/>
                <w:szCs w:val="20"/>
              </w:rPr>
            </w:pPr>
            <w:r w:rsidRPr="007A6C83">
              <w:rPr>
                <w:rFonts w:cs="Arial"/>
                <w:sz w:val="20"/>
                <w:szCs w:val="20"/>
              </w:rPr>
              <w:t>La loi nationale ne satisfait pas à cette exigence de la NES n°2. Ainsi, c’est le NES n°2 qui s’appliquera et sera suivi par l’IDA.</w:t>
            </w:r>
          </w:p>
        </w:tc>
      </w:tr>
      <w:tr w:rsidR="00874483" w:rsidRPr="00E800E3" w14:paraId="7D348E6C" w14:textId="77777777" w:rsidTr="007A6C83">
        <w:trPr>
          <w:cantSplit/>
          <w:jc w:val="center"/>
        </w:trPr>
        <w:tc>
          <w:tcPr>
            <w:tcW w:w="5670" w:type="dxa"/>
            <w:shd w:val="clear" w:color="auto" w:fill="auto"/>
            <w:vAlign w:val="center"/>
          </w:tcPr>
          <w:p w14:paraId="29336C12" w14:textId="77777777" w:rsidR="00874483" w:rsidRPr="007A6C83" w:rsidRDefault="00874483" w:rsidP="007A6C83">
            <w:pPr>
              <w:pStyle w:val="Tabletext0"/>
              <w:spacing w:line="276" w:lineRule="auto"/>
              <w:rPr>
                <w:rFonts w:cs="Arial"/>
                <w:b/>
                <w:i/>
                <w:szCs w:val="20"/>
              </w:rPr>
            </w:pPr>
            <w:r w:rsidRPr="007A6C83">
              <w:rPr>
                <w:rFonts w:ascii="Arial" w:hAnsi="Arial" w:cs="Arial"/>
                <w:b/>
                <w:i/>
                <w:szCs w:val="20"/>
              </w:rPr>
              <w:t>Non-discrimination et égalité des chances</w:t>
            </w:r>
          </w:p>
          <w:p w14:paraId="34C5B533" w14:textId="77777777" w:rsidR="00874483" w:rsidRPr="007A6C83" w:rsidRDefault="00874483" w:rsidP="007A6C83">
            <w:pPr>
              <w:pStyle w:val="Tabletext0"/>
              <w:spacing w:line="276" w:lineRule="auto"/>
              <w:rPr>
                <w:rFonts w:cs="Arial"/>
                <w:szCs w:val="20"/>
              </w:rPr>
            </w:pPr>
          </w:p>
          <w:p w14:paraId="1FC52405" w14:textId="77777777" w:rsidR="00874483" w:rsidRPr="00874483" w:rsidRDefault="00874483" w:rsidP="00874483">
            <w:pPr>
              <w:pStyle w:val="Tabletext0"/>
              <w:spacing w:line="276" w:lineRule="auto"/>
              <w:rPr>
                <w:rFonts w:ascii="Arial" w:hAnsi="Arial" w:cs="Arial"/>
                <w:szCs w:val="20"/>
              </w:rPr>
            </w:pPr>
            <w:r w:rsidRPr="007A6C83">
              <w:rPr>
                <w:rFonts w:ascii="Arial" w:hAnsi="Arial" w:cs="Arial"/>
                <w:szCs w:val="20"/>
              </w:rPr>
              <w:t>La NES n°2 dispose que l’Emprunteur fondera la relation de travail sur le principe de l’égalité des chances et de traitement, et ne prendra aucune mesure discriminatoire concernant un aspect quelconque de la relation de travail…</w:t>
            </w:r>
          </w:p>
        </w:tc>
        <w:tc>
          <w:tcPr>
            <w:tcW w:w="5670" w:type="dxa"/>
            <w:shd w:val="clear" w:color="auto" w:fill="auto"/>
            <w:vAlign w:val="center"/>
          </w:tcPr>
          <w:p w14:paraId="69039A06" w14:textId="77777777" w:rsidR="00874483" w:rsidRPr="00E430AE" w:rsidRDefault="00874483" w:rsidP="007A6C83">
            <w:pPr>
              <w:pStyle w:val="Tabletext0"/>
              <w:spacing w:line="276" w:lineRule="auto"/>
              <w:rPr>
                <w:rFonts w:cs="Arial"/>
                <w:szCs w:val="20"/>
              </w:rPr>
            </w:pPr>
            <w:r w:rsidRPr="007A6C83">
              <w:rPr>
                <w:rFonts w:ascii="Arial" w:hAnsi="Arial" w:cs="Arial"/>
                <w:szCs w:val="20"/>
              </w:rPr>
              <w:t>L’une des innovations les plus importantes de la Loi n°15/2002 du 16 octobre 2002 portant Code du Travail est le renforcement des mesures antidiscriminatoires à l’égard des femmes et des personnes avec handicap.</w:t>
            </w:r>
          </w:p>
        </w:tc>
        <w:tc>
          <w:tcPr>
            <w:tcW w:w="3969" w:type="dxa"/>
            <w:shd w:val="clear" w:color="auto" w:fill="auto"/>
            <w:vAlign w:val="center"/>
          </w:tcPr>
          <w:p w14:paraId="4A38B996" w14:textId="77777777" w:rsidR="00874483" w:rsidRPr="00E430AE" w:rsidRDefault="00874483" w:rsidP="007A6C83">
            <w:pPr>
              <w:pStyle w:val="Tabletext0"/>
              <w:spacing w:line="276" w:lineRule="auto"/>
              <w:rPr>
                <w:rFonts w:cs="Arial"/>
                <w:szCs w:val="20"/>
              </w:rPr>
            </w:pPr>
            <w:r w:rsidRPr="007A6C83">
              <w:rPr>
                <w:rFonts w:ascii="Arial" w:hAnsi="Arial" w:cs="Arial"/>
                <w:szCs w:val="20"/>
              </w:rPr>
              <w:t>La loi nationale satisfait cette exigence de la NES n°2.</w:t>
            </w:r>
          </w:p>
        </w:tc>
      </w:tr>
      <w:tr w:rsidR="00874483" w:rsidRPr="00E800E3" w14:paraId="0A61EABE" w14:textId="77777777" w:rsidTr="00E800E3">
        <w:trPr>
          <w:cantSplit/>
          <w:jc w:val="center"/>
        </w:trPr>
        <w:tc>
          <w:tcPr>
            <w:tcW w:w="5670" w:type="dxa"/>
          </w:tcPr>
          <w:p w14:paraId="6448CAC1"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Établir des procédures écrites de gestion de la main d’œuvre qui s’appliquent au projet, y compris les conditions de travail et d’emploi</w:t>
            </w:r>
          </w:p>
          <w:p w14:paraId="57974253"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Paragraphes 9 à 12</w:t>
            </w:r>
          </w:p>
        </w:tc>
        <w:tc>
          <w:tcPr>
            <w:tcW w:w="5670" w:type="dxa"/>
            <w:shd w:val="clear" w:color="auto" w:fill="auto"/>
            <w:vAlign w:val="center"/>
          </w:tcPr>
          <w:p w14:paraId="60D85FCA"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La Loi n° 16/010 du 15 juillet 2016 modifiant et complétant la Loi n° 015-2002 portant Code du Travail constitue le texte de base régissant les conditions de travail et d’emploi en RDC et elle a été publiée au Journal Officiel après son adoption (numéro spécial du 25 octobre 2002).</w:t>
            </w:r>
          </w:p>
        </w:tc>
        <w:tc>
          <w:tcPr>
            <w:tcW w:w="3969" w:type="dxa"/>
            <w:shd w:val="clear" w:color="auto" w:fill="auto"/>
            <w:vAlign w:val="center"/>
          </w:tcPr>
          <w:p w14:paraId="67DFA8F7" w14:textId="77777777" w:rsidR="00874483" w:rsidRPr="00E800E3" w:rsidRDefault="00874483" w:rsidP="00874483">
            <w:pPr>
              <w:rPr>
                <w:rFonts w:cs="Arial"/>
                <w:sz w:val="20"/>
                <w:szCs w:val="20"/>
              </w:rPr>
            </w:pPr>
            <w:r w:rsidRPr="007A6C83">
              <w:rPr>
                <w:rFonts w:cs="Arial"/>
                <w:sz w:val="20"/>
                <w:szCs w:val="20"/>
              </w:rPr>
              <w:t>La loi nationale satisfait partiellement à cette exigence de la NES n°2. Néanmoins, une Procédure de Gestion de la Main-d’Œuvre (PGMO) suivant les exigences de la NES n°2 sera produite. Ainsi, c’est la NES n°2 qui s’appliquera et sera suivi par la Banque mondiale</w:t>
            </w:r>
          </w:p>
        </w:tc>
      </w:tr>
      <w:tr w:rsidR="00874483" w:rsidRPr="00E800E3" w14:paraId="7D60BDB6" w14:textId="77777777" w:rsidTr="00E800E3">
        <w:trPr>
          <w:cantSplit/>
          <w:jc w:val="center"/>
        </w:trPr>
        <w:tc>
          <w:tcPr>
            <w:tcW w:w="5670" w:type="dxa"/>
          </w:tcPr>
          <w:p w14:paraId="69773AC9"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Assurer la non-discrimination et l'égalité des chances, prévenir la discrimination, et prendre des mesures pour protéger les personnes vulnérables</w:t>
            </w:r>
          </w:p>
          <w:p w14:paraId="1E1720F7"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Paragraphes 13-15</w:t>
            </w:r>
          </w:p>
        </w:tc>
        <w:tc>
          <w:tcPr>
            <w:tcW w:w="5670" w:type="dxa"/>
            <w:shd w:val="clear" w:color="auto" w:fill="auto"/>
            <w:vAlign w:val="center"/>
          </w:tcPr>
          <w:p w14:paraId="78586571"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L’une des innovations les plus importantes de la Loi n° 16/010 du 15 juillet 2016 modifiant et complétant la Loi n° 015-2002 portant Code du Travail est le renforcement des mesures antidiscriminatoires à l’égard des femmes et des personnes avec handicap.</w:t>
            </w:r>
          </w:p>
        </w:tc>
        <w:tc>
          <w:tcPr>
            <w:tcW w:w="3969" w:type="dxa"/>
            <w:shd w:val="clear" w:color="auto" w:fill="auto"/>
            <w:vAlign w:val="center"/>
          </w:tcPr>
          <w:p w14:paraId="7238855A" w14:textId="77777777" w:rsidR="00874483" w:rsidRPr="00E800E3" w:rsidRDefault="00874483" w:rsidP="00874483">
            <w:pPr>
              <w:rPr>
                <w:rFonts w:cs="Arial"/>
                <w:sz w:val="20"/>
                <w:szCs w:val="20"/>
              </w:rPr>
            </w:pPr>
            <w:r w:rsidRPr="007A6C83">
              <w:rPr>
                <w:rFonts w:cs="Arial"/>
                <w:sz w:val="20"/>
                <w:szCs w:val="20"/>
              </w:rPr>
              <w:t>La loi nationale satisfait à cette exigence de la NES n°2. Toutefois, la NES n°2  s’appliquera et sera suivi par la Banque mondiale</w:t>
            </w:r>
          </w:p>
        </w:tc>
      </w:tr>
      <w:tr w:rsidR="00874483" w:rsidRPr="00E800E3" w14:paraId="4794FC9E" w14:textId="77777777" w:rsidTr="00E800E3">
        <w:trPr>
          <w:cantSplit/>
          <w:jc w:val="center"/>
        </w:trPr>
        <w:tc>
          <w:tcPr>
            <w:tcW w:w="5670" w:type="dxa"/>
          </w:tcPr>
          <w:p w14:paraId="035ADE3D"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Respecter le rôle des organisations de travailleurs dans les pays où le droit national reconnaît le droit des travailleurs à se constituer en association</w:t>
            </w:r>
          </w:p>
          <w:p w14:paraId="500C8C05"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16</w:t>
            </w:r>
          </w:p>
        </w:tc>
        <w:tc>
          <w:tcPr>
            <w:tcW w:w="5670" w:type="dxa"/>
            <w:shd w:val="clear" w:color="auto" w:fill="auto"/>
            <w:vAlign w:val="center"/>
          </w:tcPr>
          <w:p w14:paraId="0C648F0F" w14:textId="77777777" w:rsidR="00874483" w:rsidRPr="007A6C83" w:rsidRDefault="00874483" w:rsidP="00874483">
            <w:pPr>
              <w:autoSpaceDE w:val="0"/>
              <w:autoSpaceDN w:val="0"/>
              <w:adjustRightInd w:val="0"/>
              <w:rPr>
                <w:rFonts w:cs="Arial"/>
                <w:sz w:val="20"/>
                <w:szCs w:val="20"/>
              </w:rPr>
            </w:pPr>
            <w:r w:rsidRPr="007A6C83">
              <w:rPr>
                <w:rFonts w:cs="Arial"/>
                <w:sz w:val="20"/>
                <w:szCs w:val="20"/>
              </w:rPr>
              <w:t xml:space="preserve">L’article 249 du Code du travail donne le droit aux travailleurs d’avoir une représentation dans les établissements de toute nature est assurée par une délégation élue. </w:t>
            </w:r>
          </w:p>
          <w:p w14:paraId="08D0F3DE" w14:textId="77777777" w:rsidR="00874483" w:rsidRPr="00E800E3" w:rsidRDefault="00874483" w:rsidP="00874483">
            <w:pPr>
              <w:autoSpaceDE w:val="0"/>
              <w:autoSpaceDN w:val="0"/>
              <w:adjustRightInd w:val="0"/>
              <w:rPr>
                <w:rFonts w:cs="Arial"/>
                <w:sz w:val="20"/>
                <w:szCs w:val="20"/>
              </w:rPr>
            </w:pPr>
          </w:p>
        </w:tc>
        <w:tc>
          <w:tcPr>
            <w:tcW w:w="3969" w:type="dxa"/>
            <w:shd w:val="clear" w:color="auto" w:fill="auto"/>
            <w:vAlign w:val="center"/>
          </w:tcPr>
          <w:p w14:paraId="53282EB7" w14:textId="77777777" w:rsidR="00874483" w:rsidRPr="00E800E3" w:rsidRDefault="00874483" w:rsidP="00874483">
            <w:pPr>
              <w:rPr>
                <w:rFonts w:cs="Arial"/>
                <w:sz w:val="20"/>
                <w:szCs w:val="20"/>
              </w:rPr>
            </w:pPr>
            <w:r w:rsidRPr="007A6C83">
              <w:rPr>
                <w:rFonts w:cs="Arial"/>
                <w:sz w:val="20"/>
                <w:szCs w:val="20"/>
              </w:rPr>
              <w:t>La loi nationale satisfait à cette exigence de la NES n°2. Toutefois, la NES n°2  s’appliquera et sera suivi par la Banque mondiale</w:t>
            </w:r>
          </w:p>
        </w:tc>
      </w:tr>
      <w:tr w:rsidR="00874483" w:rsidRPr="00E800E3" w14:paraId="11522CBF" w14:textId="77777777" w:rsidTr="00E800E3">
        <w:trPr>
          <w:cantSplit/>
          <w:jc w:val="center"/>
        </w:trPr>
        <w:tc>
          <w:tcPr>
            <w:tcW w:w="5670" w:type="dxa"/>
          </w:tcPr>
          <w:p w14:paraId="39AC26F2"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Ne pas employer les enfants n’ayant pas atteint l’âge minimum et ne pas avoir recours au travail forcé.</w:t>
            </w:r>
          </w:p>
          <w:p w14:paraId="1C5EDAD2"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17-20</w:t>
            </w:r>
          </w:p>
        </w:tc>
        <w:tc>
          <w:tcPr>
            <w:tcW w:w="5670" w:type="dxa"/>
            <w:shd w:val="clear" w:color="auto" w:fill="auto"/>
            <w:vAlign w:val="center"/>
          </w:tcPr>
          <w:p w14:paraId="7DFD7A02"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La Loi modifiant et complétant la loi n° 015-2002 portant Code du travail, fixe de capacité de contracter à 18 ans.</w:t>
            </w:r>
          </w:p>
          <w:p w14:paraId="003EA920" w14:textId="77777777" w:rsidR="00874483" w:rsidRPr="00E800E3" w:rsidRDefault="00874483" w:rsidP="00874483">
            <w:pPr>
              <w:autoSpaceDE w:val="0"/>
              <w:autoSpaceDN w:val="0"/>
              <w:adjustRightInd w:val="0"/>
              <w:rPr>
                <w:rFonts w:cs="Arial"/>
                <w:sz w:val="20"/>
                <w:szCs w:val="20"/>
              </w:rPr>
            </w:pPr>
          </w:p>
        </w:tc>
        <w:tc>
          <w:tcPr>
            <w:tcW w:w="3969" w:type="dxa"/>
            <w:shd w:val="clear" w:color="auto" w:fill="auto"/>
            <w:vAlign w:val="center"/>
          </w:tcPr>
          <w:p w14:paraId="7EEAD09E" w14:textId="77777777" w:rsidR="00874483" w:rsidRPr="00E800E3" w:rsidRDefault="00874483" w:rsidP="00874483">
            <w:pPr>
              <w:rPr>
                <w:rFonts w:cs="Arial"/>
                <w:sz w:val="20"/>
                <w:szCs w:val="20"/>
              </w:rPr>
            </w:pPr>
            <w:r w:rsidRPr="007A6C83">
              <w:rPr>
                <w:rFonts w:cs="Arial"/>
                <w:sz w:val="20"/>
                <w:szCs w:val="20"/>
              </w:rPr>
              <w:t>La loi nationale satisfait à cette exigence de la NES n°2. Toutefois, la NES n°2  s’appliquera et sera suivi par la Banque mondiale</w:t>
            </w:r>
          </w:p>
        </w:tc>
      </w:tr>
      <w:tr w:rsidR="00874483" w:rsidRPr="00E800E3" w14:paraId="1B28CD7A" w14:textId="77777777" w:rsidTr="00E800E3">
        <w:trPr>
          <w:cantSplit/>
          <w:jc w:val="center"/>
        </w:trPr>
        <w:tc>
          <w:tcPr>
            <w:tcW w:w="5670" w:type="dxa"/>
          </w:tcPr>
          <w:p w14:paraId="188B5A1B"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Mettre à disposition de tous les travailleurs un mécanisme de gestion des plaintes.  Ce mécanisme est distinct de celui requis par la NES10 et n’est pas applicable aux travailleurs communautaires)</w:t>
            </w:r>
          </w:p>
          <w:p w14:paraId="350C728F"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Paragraphes 21-23, 33, 36</w:t>
            </w:r>
          </w:p>
        </w:tc>
        <w:tc>
          <w:tcPr>
            <w:tcW w:w="5670" w:type="dxa"/>
            <w:shd w:val="clear" w:color="auto" w:fill="auto"/>
            <w:vAlign w:val="center"/>
          </w:tcPr>
          <w:p w14:paraId="3993ACFE" w14:textId="77777777" w:rsidR="00874483" w:rsidRPr="00E800E3" w:rsidRDefault="00874483" w:rsidP="00874483">
            <w:pPr>
              <w:rPr>
                <w:rFonts w:cs="Arial"/>
                <w:sz w:val="20"/>
                <w:szCs w:val="20"/>
              </w:rPr>
            </w:pPr>
            <w:r w:rsidRPr="007A6C83">
              <w:rPr>
                <w:rFonts w:cs="Arial"/>
                <w:sz w:val="20"/>
                <w:szCs w:val="20"/>
              </w:rPr>
              <w:t>La législation nationale ne mentionne pas ce mécanisme de gestion des plaintes pour les travailleurs mais la Loi n°15/2002 du 16 octobre 2002 portant Code du Travail, en son article 62, Chapitre VI, Section I, dispose que : … Ne constitue pas de motifs valables de licenciement notamment … le fait d’avoir déposé une plainte ou participé à des procédures engagées contre un employeur en raison de violations alléguées de la législation, ou présenté un recours devant les autorités administratives compétentes,</w:t>
            </w:r>
          </w:p>
        </w:tc>
        <w:tc>
          <w:tcPr>
            <w:tcW w:w="3969" w:type="dxa"/>
            <w:shd w:val="clear" w:color="auto" w:fill="auto"/>
            <w:vAlign w:val="center"/>
          </w:tcPr>
          <w:p w14:paraId="71606C54" w14:textId="77777777" w:rsidR="00874483" w:rsidRPr="00E800E3" w:rsidRDefault="00874483" w:rsidP="00874483">
            <w:pPr>
              <w:rPr>
                <w:rFonts w:cs="Arial"/>
                <w:sz w:val="20"/>
                <w:szCs w:val="20"/>
              </w:rPr>
            </w:pPr>
            <w:r w:rsidRPr="007A6C83">
              <w:rPr>
                <w:rFonts w:cs="Arial"/>
                <w:sz w:val="20"/>
                <w:szCs w:val="20"/>
              </w:rPr>
              <w:t>La loi nationale prend en compte implicitement cette exigence de la NES n°2 et donc elle satisfait partiellement. Il sera nécessaire donc de prendre en compte le mécanisme de gestion des plaintes pour les travailleurs. C’est la NES n°2 qui va s’appliquer</w:t>
            </w:r>
          </w:p>
        </w:tc>
      </w:tr>
      <w:tr w:rsidR="00874483" w:rsidRPr="00E800E3" w14:paraId="269D3E34" w14:textId="77777777" w:rsidTr="00E800E3">
        <w:trPr>
          <w:cantSplit/>
          <w:jc w:val="center"/>
        </w:trPr>
        <w:tc>
          <w:tcPr>
            <w:tcW w:w="5670" w:type="dxa"/>
          </w:tcPr>
          <w:p w14:paraId="075F77A6"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Appliquer les mesures relatives à la santé et la sécurité au travail en tenant compte des DESS</w:t>
            </w:r>
          </w:p>
          <w:p w14:paraId="747DC2DD"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Paragraphes 24-30</w:t>
            </w:r>
          </w:p>
        </w:tc>
        <w:tc>
          <w:tcPr>
            <w:tcW w:w="5670" w:type="dxa"/>
            <w:shd w:val="clear" w:color="auto" w:fill="auto"/>
            <w:vAlign w:val="center"/>
          </w:tcPr>
          <w:p w14:paraId="17A994E5" w14:textId="77777777" w:rsidR="00874483" w:rsidRPr="007A6C83" w:rsidRDefault="00874483" w:rsidP="00874483">
            <w:pPr>
              <w:rPr>
                <w:rFonts w:cs="Arial"/>
                <w:sz w:val="20"/>
                <w:szCs w:val="20"/>
              </w:rPr>
            </w:pPr>
            <w:r w:rsidRPr="007A6C83">
              <w:rPr>
                <w:rFonts w:cs="Arial"/>
                <w:sz w:val="20"/>
                <w:szCs w:val="20"/>
              </w:rPr>
              <w:t>La Loi n° 16/010 du 15 juillet 2016 modifiant et complétant la Loi n° 015-2002 portant Code du Travail. Celui-ci vise, entre autres, à protéger la santé et la sécurité des travailleurs, à assurer un service médical, à garantir un salaire minimum et à réglementer les conditions de travail. On notera aussi (i) l’Ordonnance n° 74/098 du 06 juin 1974 relative à la protection de la main-d’œuvre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 ;</w:t>
            </w:r>
          </w:p>
          <w:p w14:paraId="5FC1CB5D" w14:textId="77777777" w:rsidR="00874483" w:rsidRPr="00E800E3" w:rsidRDefault="00874483" w:rsidP="00874483">
            <w:pPr>
              <w:autoSpaceDE w:val="0"/>
              <w:autoSpaceDN w:val="0"/>
              <w:adjustRightInd w:val="0"/>
              <w:rPr>
                <w:rFonts w:cs="Arial"/>
                <w:sz w:val="20"/>
                <w:szCs w:val="20"/>
              </w:rPr>
            </w:pPr>
          </w:p>
        </w:tc>
        <w:tc>
          <w:tcPr>
            <w:tcW w:w="3969" w:type="dxa"/>
            <w:shd w:val="clear" w:color="auto" w:fill="auto"/>
            <w:vAlign w:val="center"/>
          </w:tcPr>
          <w:p w14:paraId="28A39524" w14:textId="77777777" w:rsidR="00874483" w:rsidRPr="00E800E3" w:rsidRDefault="00874483" w:rsidP="00874483">
            <w:pPr>
              <w:rPr>
                <w:rFonts w:cs="Arial"/>
                <w:sz w:val="20"/>
                <w:szCs w:val="20"/>
              </w:rPr>
            </w:pPr>
            <w:r w:rsidRPr="007A6C83">
              <w:rPr>
                <w:rFonts w:cs="Arial"/>
                <w:sz w:val="20"/>
                <w:szCs w:val="20"/>
              </w:rPr>
              <w:t>La loi nationale satisfait à cette exigence de la NES n°2. Ainsi, la NES n°2  s’appliquera et sera suivi par la Banque mondiale</w:t>
            </w:r>
          </w:p>
        </w:tc>
      </w:tr>
      <w:tr w:rsidR="00874483" w:rsidRPr="00E800E3" w14:paraId="1109E0E5" w14:textId="77777777" w:rsidTr="00E800E3">
        <w:trPr>
          <w:cantSplit/>
          <w:jc w:val="center"/>
        </w:trPr>
        <w:tc>
          <w:tcPr>
            <w:tcW w:w="5670" w:type="dxa"/>
          </w:tcPr>
          <w:p w14:paraId="7968063D"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Gérer les travailleurs contractuels des tiers et vérifier la fiabilité des entités contractantes</w:t>
            </w:r>
          </w:p>
          <w:p w14:paraId="26C43897"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Paragraphes 31-32</w:t>
            </w:r>
          </w:p>
        </w:tc>
        <w:tc>
          <w:tcPr>
            <w:tcW w:w="5670" w:type="dxa"/>
            <w:shd w:val="clear" w:color="auto" w:fill="auto"/>
            <w:vAlign w:val="center"/>
          </w:tcPr>
          <w:p w14:paraId="50BBB805" w14:textId="77777777" w:rsidR="00874483" w:rsidRPr="007A6C83" w:rsidRDefault="00874483" w:rsidP="00874483">
            <w:pPr>
              <w:rPr>
                <w:rFonts w:cs="Arial"/>
                <w:sz w:val="20"/>
                <w:szCs w:val="20"/>
              </w:rPr>
            </w:pPr>
            <w:r w:rsidRPr="007A6C83">
              <w:rPr>
                <w:rFonts w:cs="Arial"/>
                <w:sz w:val="20"/>
                <w:szCs w:val="20"/>
              </w:rPr>
              <w:t>(i) l’Ordonnance n° 74/098 du 06 juin 1974 relative à la protection de la main-d’œuvre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 ;</w:t>
            </w:r>
          </w:p>
          <w:p w14:paraId="4C8F7660" w14:textId="77777777" w:rsidR="00874483" w:rsidRPr="00E800E3" w:rsidRDefault="00874483" w:rsidP="00874483">
            <w:pPr>
              <w:autoSpaceDE w:val="0"/>
              <w:autoSpaceDN w:val="0"/>
              <w:adjustRightInd w:val="0"/>
              <w:rPr>
                <w:rFonts w:cs="Arial"/>
                <w:sz w:val="20"/>
                <w:szCs w:val="20"/>
              </w:rPr>
            </w:pPr>
          </w:p>
        </w:tc>
        <w:tc>
          <w:tcPr>
            <w:tcW w:w="3969" w:type="dxa"/>
            <w:shd w:val="clear" w:color="auto" w:fill="auto"/>
            <w:vAlign w:val="center"/>
          </w:tcPr>
          <w:p w14:paraId="36BD238E" w14:textId="77777777" w:rsidR="00874483" w:rsidRPr="00E800E3" w:rsidRDefault="00874483" w:rsidP="00874483">
            <w:pPr>
              <w:rPr>
                <w:rFonts w:cs="Arial"/>
                <w:sz w:val="20"/>
                <w:szCs w:val="20"/>
              </w:rPr>
            </w:pPr>
            <w:r w:rsidRPr="007A6C83">
              <w:rPr>
                <w:rFonts w:cs="Arial"/>
                <w:sz w:val="20"/>
                <w:szCs w:val="20"/>
              </w:rPr>
              <w:t>La loi nationale satisfait à cette exigence de la NES n°2. Ainsi, la NES n°2  s’appliquera et sera suivi par la Banque mondiale</w:t>
            </w:r>
          </w:p>
        </w:tc>
      </w:tr>
      <w:tr w:rsidR="00874483" w:rsidRPr="00E800E3" w14:paraId="1AA2E658" w14:textId="77777777" w:rsidTr="00E800E3">
        <w:trPr>
          <w:cantSplit/>
          <w:jc w:val="center"/>
        </w:trPr>
        <w:tc>
          <w:tcPr>
            <w:tcW w:w="5670" w:type="dxa"/>
          </w:tcPr>
          <w:p w14:paraId="430570A8"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Appliquera les dispositions pertinentes de la présente NES d’une manière proportionnée aux activités spécifiques auxquelles contribuent les travailleurs communautaires, et la nature des risques et effets potentiels</w:t>
            </w:r>
          </w:p>
          <w:p w14:paraId="42BFB11A"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Paragraphes 34 à 38</w:t>
            </w:r>
          </w:p>
        </w:tc>
        <w:tc>
          <w:tcPr>
            <w:tcW w:w="5670" w:type="dxa"/>
            <w:shd w:val="clear" w:color="auto" w:fill="auto"/>
            <w:vAlign w:val="center"/>
          </w:tcPr>
          <w:p w14:paraId="4EFA04A4"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Non mentionné dans la législation nationale congolaise</w:t>
            </w:r>
          </w:p>
        </w:tc>
        <w:tc>
          <w:tcPr>
            <w:tcW w:w="3969" w:type="dxa"/>
            <w:shd w:val="clear" w:color="auto" w:fill="auto"/>
            <w:vAlign w:val="center"/>
          </w:tcPr>
          <w:p w14:paraId="6890EB61" w14:textId="77777777" w:rsidR="00874483" w:rsidRPr="00E800E3" w:rsidRDefault="00874483" w:rsidP="00874483">
            <w:pPr>
              <w:rPr>
                <w:rFonts w:cs="Arial"/>
                <w:sz w:val="20"/>
                <w:szCs w:val="20"/>
              </w:rPr>
            </w:pPr>
            <w:r w:rsidRPr="007A6C83">
              <w:rPr>
                <w:rFonts w:cs="Arial"/>
                <w:sz w:val="20"/>
                <w:szCs w:val="20"/>
              </w:rPr>
              <w:t>La loi nationale ne satisfait pas à cette exigence de la NES n°2. Ainsi, c’est le NES n°2 qui s’appliquera et sera suivi par l’IDA.</w:t>
            </w:r>
          </w:p>
        </w:tc>
      </w:tr>
      <w:tr w:rsidR="00874483" w:rsidRPr="00E800E3" w14:paraId="59C53A21" w14:textId="77777777" w:rsidTr="00E800E3">
        <w:trPr>
          <w:cantSplit/>
          <w:jc w:val="center"/>
        </w:trPr>
        <w:tc>
          <w:tcPr>
            <w:tcW w:w="5670" w:type="dxa"/>
          </w:tcPr>
          <w:p w14:paraId="766B8C57" w14:textId="77777777" w:rsidR="00874483" w:rsidRPr="007A6C83" w:rsidRDefault="00874483" w:rsidP="007A6C83">
            <w:pPr>
              <w:pStyle w:val="Tabletext0"/>
              <w:spacing w:line="276" w:lineRule="auto"/>
              <w:rPr>
                <w:rFonts w:ascii="Arial" w:hAnsi="Arial" w:cs="Arial"/>
                <w:szCs w:val="20"/>
              </w:rPr>
            </w:pPr>
            <w:bookmarkStart w:id="243" w:name="_Hlk60065349"/>
            <w:r w:rsidRPr="007A6C83">
              <w:rPr>
                <w:rFonts w:ascii="Arial" w:hAnsi="Arial" w:cs="Arial"/>
                <w:szCs w:val="20"/>
              </w:rPr>
              <w:t>Gérer les risques associés aux fournisseurs principaux</w:t>
            </w:r>
          </w:p>
          <w:p w14:paraId="16F3E5A9"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39</w:t>
            </w:r>
          </w:p>
        </w:tc>
        <w:tc>
          <w:tcPr>
            <w:tcW w:w="5670" w:type="dxa"/>
            <w:shd w:val="clear" w:color="auto" w:fill="auto"/>
            <w:vAlign w:val="center"/>
          </w:tcPr>
          <w:p w14:paraId="25BE4835"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Non mentionné dans la législation nationale congolaise</w:t>
            </w:r>
          </w:p>
        </w:tc>
        <w:tc>
          <w:tcPr>
            <w:tcW w:w="3969" w:type="dxa"/>
            <w:shd w:val="clear" w:color="auto" w:fill="auto"/>
            <w:vAlign w:val="center"/>
          </w:tcPr>
          <w:p w14:paraId="0FE4DB7E" w14:textId="77777777" w:rsidR="00874483" w:rsidRPr="00E800E3" w:rsidRDefault="00874483" w:rsidP="00874483">
            <w:pPr>
              <w:rPr>
                <w:rFonts w:cs="Arial"/>
                <w:sz w:val="20"/>
                <w:szCs w:val="20"/>
              </w:rPr>
            </w:pPr>
            <w:r w:rsidRPr="007A6C83">
              <w:rPr>
                <w:rFonts w:cs="Arial"/>
                <w:sz w:val="20"/>
                <w:szCs w:val="20"/>
              </w:rPr>
              <w:t>La loi nationale ne satisfait pas à cette exigence de la NES n°2. Ainsi, c’est le NES n°2 qui s’appliquera et sera suivi par l’IDA.</w:t>
            </w:r>
          </w:p>
        </w:tc>
      </w:tr>
      <w:bookmarkEnd w:id="243"/>
      <w:tr w:rsidR="00874483" w:rsidRPr="00E800E3" w14:paraId="71720B32" w14:textId="77777777" w:rsidTr="00730A4A">
        <w:trPr>
          <w:jc w:val="center"/>
        </w:trPr>
        <w:tc>
          <w:tcPr>
            <w:tcW w:w="15309" w:type="dxa"/>
            <w:gridSpan w:val="3"/>
            <w:shd w:val="clear" w:color="auto" w:fill="C5E0B3"/>
            <w:vAlign w:val="center"/>
          </w:tcPr>
          <w:p w14:paraId="7E53D728" w14:textId="77777777" w:rsidR="00874483" w:rsidRPr="007A6C83" w:rsidRDefault="00874483" w:rsidP="00874483">
            <w:pPr>
              <w:keepNext/>
              <w:keepLines/>
              <w:spacing w:before="60" w:after="60"/>
              <w:rPr>
                <w:rFonts w:eastAsia="Calibri" w:cs="Arial"/>
                <w:b/>
                <w:bCs/>
                <w:sz w:val="20"/>
                <w:szCs w:val="20"/>
              </w:rPr>
            </w:pPr>
            <w:r w:rsidRPr="007A6C83">
              <w:rPr>
                <w:rFonts w:eastAsia="Calibri" w:cs="Arial"/>
                <w:b/>
                <w:bCs/>
                <w:sz w:val="20"/>
                <w:szCs w:val="20"/>
              </w:rPr>
              <w:t>NES 3.  Utilisation rationnelle des ressources et prévention et gestion de la pollution ;</w:t>
            </w:r>
          </w:p>
        </w:tc>
      </w:tr>
      <w:tr w:rsidR="00874483" w:rsidRPr="00E800E3" w14:paraId="39D745CF" w14:textId="77777777" w:rsidTr="00E800E3">
        <w:trPr>
          <w:cantSplit/>
          <w:jc w:val="center"/>
        </w:trPr>
        <w:tc>
          <w:tcPr>
            <w:tcW w:w="5670" w:type="dxa"/>
          </w:tcPr>
          <w:p w14:paraId="3F246C22" w14:textId="77777777" w:rsidR="00874483" w:rsidRPr="007A6C83" w:rsidRDefault="00874483" w:rsidP="00874483">
            <w:pPr>
              <w:autoSpaceDE w:val="0"/>
              <w:autoSpaceDN w:val="0"/>
              <w:adjustRightInd w:val="0"/>
              <w:rPr>
                <w:rFonts w:cs="Arial"/>
                <w:sz w:val="20"/>
                <w:szCs w:val="20"/>
              </w:rPr>
            </w:pPr>
            <w:r w:rsidRPr="007A6C83">
              <w:rPr>
                <w:rFonts w:cs="Arial"/>
                <w:sz w:val="20"/>
                <w:szCs w:val="20"/>
              </w:rPr>
              <w:t>Adopter les mesures indiquées dans les Directives ESS pour optimiser l’utilisation de l’énergie lorsque cela est techniquement et financièrement possible</w:t>
            </w:r>
          </w:p>
          <w:p w14:paraId="73552EA3" w14:textId="77777777" w:rsidR="00874483" w:rsidRPr="007A6C83" w:rsidRDefault="00874483" w:rsidP="00874483">
            <w:pPr>
              <w:autoSpaceDE w:val="0"/>
              <w:autoSpaceDN w:val="0"/>
              <w:adjustRightInd w:val="0"/>
              <w:rPr>
                <w:rFonts w:cs="Arial"/>
                <w:sz w:val="20"/>
                <w:szCs w:val="20"/>
              </w:rPr>
            </w:pPr>
            <w:r w:rsidRPr="007A6C83">
              <w:rPr>
                <w:rFonts w:cs="Arial"/>
                <w:sz w:val="20"/>
                <w:szCs w:val="20"/>
              </w:rPr>
              <w:t>Paragraphe 6</w:t>
            </w:r>
          </w:p>
        </w:tc>
        <w:tc>
          <w:tcPr>
            <w:tcW w:w="5670" w:type="dxa"/>
            <w:shd w:val="clear" w:color="auto" w:fill="auto"/>
            <w:vAlign w:val="center"/>
          </w:tcPr>
          <w:p w14:paraId="25EB1EB3" w14:textId="77777777" w:rsidR="00874483" w:rsidRPr="007A6C83" w:rsidRDefault="00874483" w:rsidP="00874483">
            <w:pPr>
              <w:autoSpaceDE w:val="0"/>
              <w:autoSpaceDN w:val="0"/>
              <w:adjustRightInd w:val="0"/>
              <w:rPr>
                <w:rFonts w:cs="Arial"/>
                <w:sz w:val="20"/>
                <w:szCs w:val="20"/>
              </w:rPr>
            </w:pPr>
            <w:r w:rsidRPr="007A6C83">
              <w:rPr>
                <w:rFonts w:cs="Arial"/>
                <w:sz w:val="20"/>
                <w:szCs w:val="20"/>
              </w:rPr>
              <w:t>La Loi n°11/009 du 09 juillet 2011 portant Principes fondamentaux relatifs à la protection de l’environnement, traite dans son chapitre 5 de la conservation et la gestion durables des ressources naturelles. Ces éléments sont pris en compte dans l’évaluation environnementale et sociale du projet.</w:t>
            </w:r>
          </w:p>
          <w:p w14:paraId="480579B1" w14:textId="77777777" w:rsidR="00874483" w:rsidRPr="007A6C83" w:rsidRDefault="00874483" w:rsidP="00874483">
            <w:pPr>
              <w:autoSpaceDE w:val="0"/>
              <w:autoSpaceDN w:val="0"/>
              <w:adjustRightInd w:val="0"/>
              <w:rPr>
                <w:rFonts w:cs="Arial"/>
                <w:sz w:val="20"/>
                <w:szCs w:val="20"/>
              </w:rPr>
            </w:pPr>
          </w:p>
          <w:p w14:paraId="151A4BC7" w14:textId="77777777" w:rsidR="00874483" w:rsidRPr="007A6C83" w:rsidRDefault="00874483" w:rsidP="00874483">
            <w:pPr>
              <w:autoSpaceDE w:val="0"/>
              <w:autoSpaceDN w:val="0"/>
              <w:adjustRightInd w:val="0"/>
              <w:rPr>
                <w:rFonts w:cs="Arial"/>
                <w:sz w:val="20"/>
                <w:szCs w:val="20"/>
              </w:rPr>
            </w:pPr>
            <w:r w:rsidRPr="007A6C83">
              <w:rPr>
                <w:rFonts w:cs="Arial"/>
                <w:sz w:val="20"/>
                <w:szCs w:val="20"/>
              </w:rPr>
              <w:t>Loi n° 18-031 modifiant et complétant la loi 14-011 du 17 juin 2014 relative au secteur de l'électricité. Loi n° 15/026 du 31 décembre 2015 relative à l’eau.</w:t>
            </w:r>
          </w:p>
        </w:tc>
        <w:tc>
          <w:tcPr>
            <w:tcW w:w="3969" w:type="dxa"/>
            <w:shd w:val="clear" w:color="auto" w:fill="auto"/>
            <w:vAlign w:val="center"/>
          </w:tcPr>
          <w:p w14:paraId="2CD9C7EB" w14:textId="77777777" w:rsidR="00874483" w:rsidRPr="00E800E3" w:rsidRDefault="00874483" w:rsidP="00874483">
            <w:pPr>
              <w:rPr>
                <w:rFonts w:eastAsia="Calibri" w:cs="Arial"/>
                <w:sz w:val="20"/>
                <w:szCs w:val="20"/>
              </w:rPr>
            </w:pPr>
            <w:r w:rsidRPr="007A6C83">
              <w:rPr>
                <w:rFonts w:cs="Arial"/>
                <w:sz w:val="20"/>
                <w:szCs w:val="20"/>
              </w:rPr>
              <w:t>La loi nationale satisfait à ces exigences de la NES n°3. Toutefois, la NES n°3 s’appliquera et sera suivi par la Banque mondiale</w:t>
            </w:r>
          </w:p>
        </w:tc>
      </w:tr>
      <w:tr w:rsidR="00874483" w:rsidRPr="00E800E3" w14:paraId="7B987B68" w14:textId="77777777" w:rsidTr="00E800E3">
        <w:trPr>
          <w:cantSplit/>
          <w:jc w:val="center"/>
        </w:trPr>
        <w:tc>
          <w:tcPr>
            <w:tcW w:w="5670" w:type="dxa"/>
          </w:tcPr>
          <w:p w14:paraId="129DDBF6"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Adopter des mesures pour éviter ou réduire la surconsommation d’eau, lorsque cela est techniquement et financièrement possible.</w:t>
            </w:r>
          </w:p>
          <w:p w14:paraId="4D0C23F7"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7 à 9</w:t>
            </w:r>
          </w:p>
        </w:tc>
        <w:tc>
          <w:tcPr>
            <w:tcW w:w="5670" w:type="dxa"/>
            <w:shd w:val="clear" w:color="auto" w:fill="auto"/>
            <w:vAlign w:val="center"/>
          </w:tcPr>
          <w:p w14:paraId="65CC8C07" w14:textId="77777777" w:rsidR="00874483" w:rsidRPr="007A6C83" w:rsidRDefault="00874483" w:rsidP="00874483">
            <w:pPr>
              <w:autoSpaceDE w:val="0"/>
              <w:autoSpaceDN w:val="0"/>
              <w:adjustRightInd w:val="0"/>
              <w:rPr>
                <w:rFonts w:cs="Arial"/>
                <w:sz w:val="20"/>
                <w:szCs w:val="20"/>
              </w:rPr>
            </w:pPr>
            <w:r w:rsidRPr="007A6C83">
              <w:rPr>
                <w:rFonts w:cs="Arial"/>
                <w:sz w:val="20"/>
                <w:szCs w:val="20"/>
              </w:rPr>
              <w:t>La Loi n°11/009 du 09 juillet 2011 portant Principes fondamentaux relatifs à la protection de l’environnement, traite dans son chapitre 5 de la conservation et la gestion durables des ressources naturelles. Ces éléments sont pris en compte dans l’évaluation environnementale et sociale du projet.</w:t>
            </w:r>
          </w:p>
          <w:p w14:paraId="7324C574"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Loi n° 15/026 du 31 décembre 2015 relative à l’eau</w:t>
            </w:r>
          </w:p>
        </w:tc>
        <w:tc>
          <w:tcPr>
            <w:tcW w:w="3969" w:type="dxa"/>
            <w:shd w:val="clear" w:color="auto" w:fill="auto"/>
            <w:vAlign w:val="center"/>
          </w:tcPr>
          <w:p w14:paraId="64B7D5F8" w14:textId="77777777" w:rsidR="00874483" w:rsidRPr="00E800E3" w:rsidRDefault="00874483" w:rsidP="00874483">
            <w:pPr>
              <w:rPr>
                <w:rFonts w:eastAsia="Calibri" w:cs="Arial"/>
                <w:sz w:val="20"/>
                <w:szCs w:val="20"/>
              </w:rPr>
            </w:pPr>
            <w:r w:rsidRPr="007A6C83">
              <w:rPr>
                <w:rFonts w:cs="Arial"/>
                <w:sz w:val="20"/>
                <w:szCs w:val="20"/>
              </w:rPr>
              <w:t>La loi nationale satisfait à ces exigences de la NES n°3. Toutefois, la NES n°3 s’appliquera et sera suivi par la Banque mondiale</w:t>
            </w:r>
          </w:p>
        </w:tc>
      </w:tr>
      <w:tr w:rsidR="00874483" w:rsidRPr="00E800E3" w14:paraId="5B71F29A" w14:textId="77777777" w:rsidTr="00E800E3">
        <w:trPr>
          <w:cantSplit/>
          <w:jc w:val="center"/>
        </w:trPr>
        <w:tc>
          <w:tcPr>
            <w:tcW w:w="5670" w:type="dxa"/>
          </w:tcPr>
          <w:p w14:paraId="23C34FB3"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Adopter les mesures indiquées dans les Directives ESS et dans d’autres BPISA pour encourager l’utilisation rationnelle des matières premières lorsque cela est techniquement et financièrement possible.</w:t>
            </w:r>
          </w:p>
          <w:p w14:paraId="16D556E1"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10</w:t>
            </w:r>
          </w:p>
        </w:tc>
        <w:tc>
          <w:tcPr>
            <w:tcW w:w="5670" w:type="dxa"/>
            <w:shd w:val="clear" w:color="auto" w:fill="auto"/>
            <w:vAlign w:val="center"/>
          </w:tcPr>
          <w:p w14:paraId="1172A8D8"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Non mentionné dans la législation nationale congolaise</w:t>
            </w:r>
          </w:p>
        </w:tc>
        <w:tc>
          <w:tcPr>
            <w:tcW w:w="3969" w:type="dxa"/>
            <w:shd w:val="clear" w:color="auto" w:fill="auto"/>
            <w:vAlign w:val="center"/>
          </w:tcPr>
          <w:p w14:paraId="76C4154C" w14:textId="77777777" w:rsidR="00874483" w:rsidRPr="00E800E3" w:rsidRDefault="00874483" w:rsidP="00874483">
            <w:pPr>
              <w:rPr>
                <w:rFonts w:eastAsia="Calibri" w:cs="Arial"/>
                <w:sz w:val="20"/>
                <w:szCs w:val="20"/>
              </w:rPr>
            </w:pPr>
            <w:r w:rsidRPr="007A6C83">
              <w:rPr>
                <w:rFonts w:cs="Arial"/>
                <w:sz w:val="20"/>
                <w:szCs w:val="20"/>
              </w:rPr>
              <w:t>La loi nationale ne satisfait pas à cette exigence de la NES n°3. Ainsi, c’est le NES n°3 qui s’appliquera et sera suivi par l’IDA.</w:t>
            </w:r>
          </w:p>
        </w:tc>
      </w:tr>
      <w:tr w:rsidR="00874483" w:rsidRPr="00E800E3" w14:paraId="1DC1A74E" w14:textId="77777777" w:rsidTr="00E800E3">
        <w:trPr>
          <w:cantSplit/>
          <w:jc w:val="center"/>
        </w:trPr>
        <w:tc>
          <w:tcPr>
            <w:tcW w:w="5670" w:type="dxa"/>
          </w:tcPr>
          <w:p w14:paraId="3D74F0A9"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Éviter de rejeter des polluants dans l’air, l’eau et les sols de façon régulière, sinon éviter, limiter et contrôlera la concentration ou le débit massique de ces rejets sur la base des normes nationales ou des Directives ESS</w:t>
            </w:r>
          </w:p>
          <w:p w14:paraId="4A4160C1"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11</w:t>
            </w:r>
          </w:p>
        </w:tc>
        <w:tc>
          <w:tcPr>
            <w:tcW w:w="5670" w:type="dxa"/>
            <w:shd w:val="clear" w:color="auto" w:fill="auto"/>
            <w:vAlign w:val="center"/>
          </w:tcPr>
          <w:p w14:paraId="4929B264"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La Loi n°11/009 du 09 juillet 2011 portant Principes fondamentaux relatifs à la protection de l’environnement, traite dans son chapitre 5 de la conservation et la gestion durables des ressources naturelles. Elle traite aussi dans son chapitre 6 de la prévention et de la lutte contre les pollutions et nuisances. Ces éléments sont pris en compte dans l’évaluation environnementale et sociale du projet.</w:t>
            </w:r>
          </w:p>
        </w:tc>
        <w:tc>
          <w:tcPr>
            <w:tcW w:w="3969" w:type="dxa"/>
            <w:shd w:val="clear" w:color="auto" w:fill="auto"/>
            <w:vAlign w:val="center"/>
          </w:tcPr>
          <w:p w14:paraId="5FAD7DD8" w14:textId="77777777" w:rsidR="00874483" w:rsidRPr="00E800E3" w:rsidRDefault="00874483" w:rsidP="00874483">
            <w:pPr>
              <w:rPr>
                <w:rFonts w:eastAsia="Calibri" w:cs="Arial"/>
                <w:sz w:val="20"/>
                <w:szCs w:val="20"/>
              </w:rPr>
            </w:pPr>
            <w:r w:rsidRPr="007A6C83">
              <w:rPr>
                <w:rFonts w:cs="Arial"/>
                <w:sz w:val="20"/>
                <w:szCs w:val="20"/>
              </w:rPr>
              <w:t>La loi nationale satisfait à ces exigences de la NES n°3. Toutefois, la NES n°3 s’appliquera et sera suivi par la Banque mondiale</w:t>
            </w:r>
          </w:p>
        </w:tc>
      </w:tr>
      <w:tr w:rsidR="00874483" w:rsidRPr="00E800E3" w14:paraId="6EBB4EA8" w14:textId="77777777" w:rsidTr="00E800E3">
        <w:trPr>
          <w:cantSplit/>
          <w:jc w:val="center"/>
        </w:trPr>
        <w:tc>
          <w:tcPr>
            <w:tcW w:w="5670" w:type="dxa"/>
          </w:tcPr>
          <w:p w14:paraId="293C1B07"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Si la pollution historique peut poser un risque important pour les communautés, les travailleurs et l’environnement, identifier les parties responsables et entreprendra une évaluation des risques</w:t>
            </w:r>
          </w:p>
          <w:p w14:paraId="01E59E29"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12</w:t>
            </w:r>
          </w:p>
        </w:tc>
        <w:tc>
          <w:tcPr>
            <w:tcW w:w="5670" w:type="dxa"/>
            <w:shd w:val="clear" w:color="auto" w:fill="auto"/>
            <w:vAlign w:val="center"/>
          </w:tcPr>
          <w:p w14:paraId="60F12A5D"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La Loi n°11/009 du 09 juillet 2011 portant Principes fondamentaux relatifs à la protection de l’environnement,  traite dans son chapitre 6 de la prévention et de la lutte contre les pollutions et nuisances. Ces éléments sont pris en compte dans l’évaluation environnementale et sociale du projet.</w:t>
            </w:r>
          </w:p>
        </w:tc>
        <w:tc>
          <w:tcPr>
            <w:tcW w:w="3969" w:type="dxa"/>
            <w:shd w:val="clear" w:color="auto" w:fill="auto"/>
            <w:vAlign w:val="center"/>
          </w:tcPr>
          <w:p w14:paraId="1EF316B8" w14:textId="77777777" w:rsidR="00874483" w:rsidRPr="00E800E3" w:rsidRDefault="00874483" w:rsidP="00874483">
            <w:pPr>
              <w:rPr>
                <w:rFonts w:eastAsia="Calibri" w:cs="Arial"/>
                <w:sz w:val="20"/>
                <w:szCs w:val="20"/>
              </w:rPr>
            </w:pPr>
            <w:r w:rsidRPr="007A6C83">
              <w:rPr>
                <w:rFonts w:cs="Arial"/>
                <w:sz w:val="20"/>
                <w:szCs w:val="20"/>
              </w:rPr>
              <w:t>La loi nationale satisfait à ces exigences de la NES n°3. Toutefois, la NES n°3 s’appliquera et sera suivi par la Banque mondiale</w:t>
            </w:r>
          </w:p>
        </w:tc>
      </w:tr>
      <w:tr w:rsidR="00874483" w:rsidRPr="00E800E3" w14:paraId="2FC27E02" w14:textId="77777777" w:rsidTr="00E800E3">
        <w:trPr>
          <w:cantSplit/>
          <w:jc w:val="center"/>
        </w:trPr>
        <w:tc>
          <w:tcPr>
            <w:tcW w:w="5670" w:type="dxa"/>
          </w:tcPr>
          <w:p w14:paraId="22C57D9E"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Tenir compte les facteurs pertinents de facteurs tels que : les conditions ambiantes, la capacité d’assimilation, l’utilisation des terres, la proximité de zones de biodiversité, impacts cumulatifs et l’impact du changement climatique</w:t>
            </w:r>
          </w:p>
          <w:p w14:paraId="0D70D02C"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13</w:t>
            </w:r>
          </w:p>
        </w:tc>
        <w:tc>
          <w:tcPr>
            <w:tcW w:w="5670" w:type="dxa"/>
            <w:shd w:val="clear" w:color="auto" w:fill="auto"/>
            <w:vAlign w:val="center"/>
          </w:tcPr>
          <w:p w14:paraId="3BEEDD2F"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La Loi n°11/009 du 09 juillet 2011 portant Principes fondamentaux relatifs à la protection de l’environnement, traite dans son chapitre 5 de la conservation et la gestion durables des ressources naturelles. Elle traite aussi dans son chapitre 6 de la prévention et de la lutte contre les pollutions et nuisances. Ces éléments sont pris en compte dans l’évaluation environnementale et sociale du projet.</w:t>
            </w:r>
          </w:p>
        </w:tc>
        <w:tc>
          <w:tcPr>
            <w:tcW w:w="3969" w:type="dxa"/>
            <w:shd w:val="clear" w:color="auto" w:fill="auto"/>
            <w:vAlign w:val="center"/>
          </w:tcPr>
          <w:p w14:paraId="55A82C90" w14:textId="77777777" w:rsidR="00874483" w:rsidRPr="00E800E3" w:rsidRDefault="00874483" w:rsidP="00874483">
            <w:pPr>
              <w:rPr>
                <w:rFonts w:eastAsia="Calibri" w:cs="Arial"/>
                <w:sz w:val="20"/>
                <w:szCs w:val="20"/>
              </w:rPr>
            </w:pPr>
            <w:r w:rsidRPr="007A6C83">
              <w:rPr>
                <w:rFonts w:cs="Arial"/>
                <w:sz w:val="20"/>
                <w:szCs w:val="20"/>
              </w:rPr>
              <w:t>La loi nationale satisfait à ces exigences de la NES n°3. Toutefois, la NES n°3 s’appliquera et sera suivi par la Banque mondiale</w:t>
            </w:r>
          </w:p>
        </w:tc>
      </w:tr>
      <w:tr w:rsidR="00874483" w:rsidRPr="00E800E3" w14:paraId="59AD0130" w14:textId="77777777" w:rsidTr="00E800E3">
        <w:trPr>
          <w:cantSplit/>
          <w:jc w:val="center"/>
        </w:trPr>
        <w:tc>
          <w:tcPr>
            <w:tcW w:w="5670" w:type="dxa"/>
          </w:tcPr>
          <w:p w14:paraId="5368E991"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Éviter ou réduire les émissions atmosphériques pendant la conception, la construction et l’exploitation du projet</w:t>
            </w:r>
          </w:p>
          <w:p w14:paraId="7AD54D84"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15</w:t>
            </w:r>
          </w:p>
        </w:tc>
        <w:tc>
          <w:tcPr>
            <w:tcW w:w="5670" w:type="dxa"/>
            <w:shd w:val="clear" w:color="auto" w:fill="auto"/>
            <w:vAlign w:val="center"/>
          </w:tcPr>
          <w:p w14:paraId="640BCC18"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La Loi n°11/009 du 09 juillet 2011 portant Principes fondamentaux relatifs à la protection de l’environnement, traite dans son chapitre 5 de la conservation et la gestion durables des ressources naturelles. Elle traite aussi dans son chapitre 6 de la prévention et de la lutte contre les pollutions et nuisances. Ces éléments sont pris en compte dans l’évaluation environnementale et sociale du projet.</w:t>
            </w:r>
          </w:p>
        </w:tc>
        <w:tc>
          <w:tcPr>
            <w:tcW w:w="3969" w:type="dxa"/>
            <w:shd w:val="clear" w:color="auto" w:fill="auto"/>
            <w:vAlign w:val="center"/>
          </w:tcPr>
          <w:p w14:paraId="33A19A66" w14:textId="77777777" w:rsidR="00874483" w:rsidRPr="00E800E3" w:rsidRDefault="00874483" w:rsidP="00874483">
            <w:pPr>
              <w:rPr>
                <w:rFonts w:eastAsia="Calibri" w:cs="Arial"/>
                <w:sz w:val="20"/>
                <w:szCs w:val="20"/>
              </w:rPr>
            </w:pPr>
            <w:r w:rsidRPr="007A6C83">
              <w:rPr>
                <w:rFonts w:cs="Arial"/>
                <w:sz w:val="20"/>
                <w:szCs w:val="20"/>
              </w:rPr>
              <w:t>La loi nationale satisfait à ces exigences de la NES n°3. Toutefois, la NES n°3 s’appliquera et sera suivi par la Banque mondiale</w:t>
            </w:r>
          </w:p>
        </w:tc>
      </w:tr>
      <w:tr w:rsidR="00874483" w:rsidRPr="00E800E3" w14:paraId="7587BC9D" w14:textId="77777777" w:rsidTr="00E800E3">
        <w:trPr>
          <w:cantSplit/>
          <w:jc w:val="center"/>
        </w:trPr>
        <w:tc>
          <w:tcPr>
            <w:tcW w:w="5670" w:type="dxa"/>
          </w:tcPr>
          <w:p w14:paraId="5D1368E0"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Identifier et estimer les émissions brutes de gaz à effet de serre (GES) résultant du projet, lorsque cette estimation est techniquement et financièrement réalisable.  Au besoin la Banque mondiale peur fournir une assistance</w:t>
            </w:r>
          </w:p>
          <w:p w14:paraId="4CAB3C6E"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16</w:t>
            </w:r>
          </w:p>
        </w:tc>
        <w:tc>
          <w:tcPr>
            <w:tcW w:w="5670" w:type="dxa"/>
            <w:shd w:val="clear" w:color="auto" w:fill="auto"/>
            <w:vAlign w:val="center"/>
          </w:tcPr>
          <w:p w14:paraId="603A26BE"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La Loi n°11/009 du 09 juillet 2011 portant Principes fondamentaux relatifs à la protection de l’environnement, traite aussi dans son chapitre 6 de la prévention et de la lutte contre les pollutions et nuisances. Ces éléments sont pris en compte dans l’évaluation environnementale et sociale du projet.</w:t>
            </w:r>
          </w:p>
        </w:tc>
        <w:tc>
          <w:tcPr>
            <w:tcW w:w="3969" w:type="dxa"/>
            <w:shd w:val="clear" w:color="auto" w:fill="auto"/>
            <w:vAlign w:val="center"/>
          </w:tcPr>
          <w:p w14:paraId="31ED3E9C" w14:textId="77777777" w:rsidR="00874483" w:rsidRPr="00E800E3" w:rsidRDefault="00874483" w:rsidP="00874483">
            <w:pPr>
              <w:rPr>
                <w:rFonts w:eastAsia="Calibri" w:cs="Arial"/>
                <w:sz w:val="20"/>
                <w:szCs w:val="20"/>
              </w:rPr>
            </w:pPr>
            <w:r w:rsidRPr="007A6C83">
              <w:rPr>
                <w:rFonts w:cs="Arial"/>
                <w:sz w:val="20"/>
                <w:szCs w:val="20"/>
              </w:rPr>
              <w:t>La loi nationale satisfait à ces exigences de la NES n°3. Toutefois, la NES n°3 s’appliquera et sera suivi par la Banque mondiale</w:t>
            </w:r>
          </w:p>
        </w:tc>
      </w:tr>
      <w:tr w:rsidR="00874483" w:rsidRPr="00E800E3" w14:paraId="7739A254" w14:textId="77777777" w:rsidTr="00E800E3">
        <w:trPr>
          <w:cantSplit/>
          <w:jc w:val="center"/>
        </w:trPr>
        <w:tc>
          <w:tcPr>
            <w:tcW w:w="5670" w:type="dxa"/>
          </w:tcPr>
          <w:p w14:paraId="735BB9FC"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Éviter ou minimiser la production de déchets dangereux et non dangereux, réutiliser, recycler et récupérer ces déchets, se conformer aux dispositions en vigueur en matière de stockage, de transport et d’élimination</w:t>
            </w:r>
          </w:p>
          <w:p w14:paraId="20FAE891"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Paragraphes 17 à 20</w:t>
            </w:r>
          </w:p>
        </w:tc>
        <w:tc>
          <w:tcPr>
            <w:tcW w:w="5670" w:type="dxa"/>
            <w:shd w:val="clear" w:color="auto" w:fill="auto"/>
            <w:vAlign w:val="center"/>
          </w:tcPr>
          <w:p w14:paraId="54B8CB6E"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La Loi n°11/009 du 09 juillet 2011 portant Principes fondamentaux relatifs à la protection de l’environnement, traite dans son chapitre 5 de la conservation et la gestion durables des ressources naturelles. Elle traite aussi dans son chapitre 6 de la prévention et de la lutte contre les pollutions et nuisances. Ces éléments sont pris en compte dans l’évaluation environnementale et sociale du projet.</w:t>
            </w:r>
          </w:p>
        </w:tc>
        <w:tc>
          <w:tcPr>
            <w:tcW w:w="3969" w:type="dxa"/>
            <w:shd w:val="clear" w:color="auto" w:fill="auto"/>
            <w:vAlign w:val="center"/>
          </w:tcPr>
          <w:p w14:paraId="5061231C" w14:textId="77777777" w:rsidR="00874483" w:rsidRPr="007A6C83" w:rsidRDefault="00874483" w:rsidP="00874483">
            <w:pPr>
              <w:rPr>
                <w:rFonts w:cs="Arial"/>
                <w:sz w:val="20"/>
                <w:szCs w:val="20"/>
              </w:rPr>
            </w:pPr>
            <w:r w:rsidRPr="007A6C83">
              <w:rPr>
                <w:rFonts w:cs="Arial"/>
                <w:sz w:val="20"/>
                <w:szCs w:val="20"/>
              </w:rPr>
              <w:t>Les lois nationales ne satisfont pas entièrement cette exigence de la NES n°3.</w:t>
            </w:r>
          </w:p>
          <w:p w14:paraId="398CD572" w14:textId="77777777" w:rsidR="00874483" w:rsidRPr="007A6C83" w:rsidRDefault="00874483" w:rsidP="00874483">
            <w:pPr>
              <w:rPr>
                <w:rFonts w:cs="Arial"/>
                <w:sz w:val="20"/>
                <w:szCs w:val="20"/>
              </w:rPr>
            </w:pPr>
            <w:r w:rsidRPr="007A6C83">
              <w:rPr>
                <w:rFonts w:cs="Arial"/>
                <w:sz w:val="20"/>
                <w:szCs w:val="20"/>
              </w:rPr>
              <w:t>La promotion des moyens de lutte intégrée et de lutte alternative n’est pas suffisamment vulgarisée. L’accent est mis sur la lutte chimique et l’utilisation des produits phytosanitaires homologués.</w:t>
            </w:r>
          </w:p>
          <w:p w14:paraId="6AE53BF2" w14:textId="77777777" w:rsidR="00874483" w:rsidRPr="00E800E3" w:rsidRDefault="00874483" w:rsidP="00874483">
            <w:pPr>
              <w:rPr>
                <w:rFonts w:eastAsia="Calibri" w:cs="Arial"/>
                <w:sz w:val="20"/>
                <w:szCs w:val="20"/>
              </w:rPr>
            </w:pPr>
            <w:r w:rsidRPr="007A6C83">
              <w:rPr>
                <w:rFonts w:cs="Arial"/>
                <w:sz w:val="20"/>
                <w:szCs w:val="20"/>
              </w:rPr>
              <w:t>Dans le cas du PNDA, un Plan de gestion des nuisibles a été préparé et sera mis en œuvre pour veiller à promouvoir la lutte intégrée à travers des actions de renforcement de capacités et des sensibilisations. Toutefois, la NES n°3  s’appliquera et sera suivi par la Banque mondiale</w:t>
            </w:r>
          </w:p>
        </w:tc>
      </w:tr>
      <w:tr w:rsidR="00874483" w:rsidRPr="00E800E3" w14:paraId="095143D6" w14:textId="77777777" w:rsidTr="00E800E3">
        <w:trPr>
          <w:cantSplit/>
          <w:jc w:val="center"/>
        </w:trPr>
        <w:tc>
          <w:tcPr>
            <w:tcW w:w="5670" w:type="dxa"/>
          </w:tcPr>
          <w:p w14:paraId="7915749C"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Pour tout projet présentant des enjeux importants en matière de lutte antiparasitaire ou de gestion des pesticides, préparer un plan de lutte contre les nuisible, en utilisant des stratégies combinées de gestion intégrée es nuisibles et des vecteurs</w:t>
            </w:r>
          </w:p>
          <w:p w14:paraId="47278DDE" w14:textId="77777777" w:rsidR="00874483" w:rsidRPr="007A6C83" w:rsidRDefault="00874483" w:rsidP="007A6C83">
            <w:pPr>
              <w:pStyle w:val="Tabletext0"/>
              <w:spacing w:line="276" w:lineRule="auto"/>
              <w:rPr>
                <w:rFonts w:ascii="Arial" w:hAnsi="Arial" w:cs="Arial"/>
                <w:i/>
                <w:iCs/>
                <w:szCs w:val="20"/>
              </w:rPr>
            </w:pPr>
            <w:r w:rsidRPr="007A6C83">
              <w:rPr>
                <w:rFonts w:ascii="Arial" w:hAnsi="Arial" w:cs="Arial"/>
                <w:i/>
                <w:iCs/>
                <w:szCs w:val="20"/>
              </w:rPr>
              <w:t>Paragraphes 22 à 25</w:t>
            </w:r>
          </w:p>
        </w:tc>
        <w:tc>
          <w:tcPr>
            <w:tcW w:w="5670" w:type="dxa"/>
            <w:shd w:val="clear" w:color="auto" w:fill="auto"/>
            <w:vAlign w:val="center"/>
          </w:tcPr>
          <w:p w14:paraId="537A479A" w14:textId="77777777" w:rsidR="00874483" w:rsidRPr="007A6C83" w:rsidRDefault="00874483" w:rsidP="00874483">
            <w:pPr>
              <w:rPr>
                <w:rFonts w:cs="Arial"/>
                <w:sz w:val="20"/>
                <w:szCs w:val="20"/>
              </w:rPr>
            </w:pPr>
            <w:r w:rsidRPr="007A6C83">
              <w:rPr>
                <w:rFonts w:cs="Arial"/>
                <w:sz w:val="20"/>
                <w:szCs w:val="20"/>
              </w:rPr>
              <w:t>Il s’agit des textes réglementaires nationaux dont les dispositions s’appliquent directement ou indirectement aux activités liées à la gestion des pestes et pesticides :</w:t>
            </w:r>
          </w:p>
          <w:p w14:paraId="1519C381" w14:textId="77777777" w:rsidR="00874483" w:rsidRPr="007A6C83" w:rsidRDefault="00874483" w:rsidP="00874483">
            <w:pPr>
              <w:rPr>
                <w:rFonts w:cs="Arial"/>
                <w:sz w:val="20"/>
                <w:szCs w:val="20"/>
              </w:rPr>
            </w:pPr>
          </w:p>
          <w:p w14:paraId="186DD633" w14:textId="77777777" w:rsidR="00874483" w:rsidRPr="007A6C83" w:rsidRDefault="00874483" w:rsidP="002378EA">
            <w:pPr>
              <w:pStyle w:val="Paragraphedeliste"/>
              <w:numPr>
                <w:ilvl w:val="0"/>
                <w:numId w:val="102"/>
              </w:numPr>
              <w:suppressAutoHyphens/>
              <w:autoSpaceDE w:val="0"/>
              <w:autoSpaceDN w:val="0"/>
              <w:ind w:left="317" w:hanging="283"/>
              <w:contextualSpacing w:val="0"/>
              <w:textAlignment w:val="baseline"/>
              <w:rPr>
                <w:rFonts w:cs="Arial"/>
                <w:sz w:val="20"/>
                <w:szCs w:val="20"/>
              </w:rPr>
            </w:pPr>
            <w:r w:rsidRPr="007A6C83">
              <w:rPr>
                <w:rFonts w:cs="Arial"/>
                <w:sz w:val="20"/>
                <w:szCs w:val="20"/>
              </w:rPr>
              <w:t xml:space="preserve">La Loi n° 11/009 du 09 juillet 2011 portant Principes fondamentaux relatifs à la protection de l’environnement dispose </w:t>
            </w:r>
            <w:r w:rsidRPr="007A6C83">
              <w:rPr>
                <w:rFonts w:cs="Arial"/>
                <w:sz w:val="20"/>
                <w:szCs w:val="20"/>
                <w:lang w:val="fr-RE"/>
              </w:rPr>
              <w:t>dans son Chapitre 6, sections 3 et 4, respectivement des questions de la gestion de la gestion des produits chimiques, et de déchets.</w:t>
            </w:r>
          </w:p>
          <w:p w14:paraId="48BF2E0E" w14:textId="77777777" w:rsidR="00874483" w:rsidRPr="007A6C83" w:rsidRDefault="00874483" w:rsidP="00874483">
            <w:pPr>
              <w:pStyle w:val="Paragraphedeliste"/>
              <w:suppressAutoHyphens/>
              <w:autoSpaceDE w:val="0"/>
              <w:autoSpaceDN w:val="0"/>
              <w:ind w:left="317"/>
              <w:contextualSpacing w:val="0"/>
              <w:textAlignment w:val="baseline"/>
              <w:rPr>
                <w:rFonts w:cs="Arial"/>
                <w:sz w:val="20"/>
                <w:szCs w:val="20"/>
              </w:rPr>
            </w:pPr>
          </w:p>
          <w:p w14:paraId="6956AC85" w14:textId="77777777" w:rsidR="00874483" w:rsidRPr="007A6C83" w:rsidRDefault="00874483" w:rsidP="00874483">
            <w:pPr>
              <w:pStyle w:val="Paragraphedeliste"/>
              <w:suppressAutoHyphens/>
              <w:autoSpaceDE w:val="0"/>
              <w:autoSpaceDN w:val="0"/>
              <w:ind w:left="317"/>
              <w:contextualSpacing w:val="0"/>
              <w:textAlignment w:val="baseline"/>
              <w:rPr>
                <w:rFonts w:cs="Arial"/>
                <w:sz w:val="20"/>
                <w:szCs w:val="20"/>
                <w:lang w:val="fr-RE"/>
              </w:rPr>
            </w:pPr>
            <w:r w:rsidRPr="007A6C83">
              <w:rPr>
                <w:rFonts w:cs="Arial"/>
                <w:sz w:val="20"/>
                <w:szCs w:val="20"/>
                <w:lang w:val="fr-RE"/>
              </w:rPr>
              <w:t xml:space="preserve">Cette Loi dispose qu’en son Article 53 que : « L’Etat prend des mesures appropriées pour prévenir, atténuer et éliminer les effets nuisibles sur l’environnement et la santé des produits chimiques, des pesticides dangereux et des polluants organiques persistants ». </w:t>
            </w:r>
          </w:p>
          <w:p w14:paraId="3D255790" w14:textId="77777777" w:rsidR="00874483" w:rsidRPr="007A6C83" w:rsidRDefault="00874483" w:rsidP="00874483">
            <w:pPr>
              <w:rPr>
                <w:rFonts w:cs="Arial"/>
                <w:sz w:val="20"/>
                <w:szCs w:val="20"/>
                <w:lang w:val="fr-RE"/>
              </w:rPr>
            </w:pPr>
          </w:p>
          <w:p w14:paraId="5C9D02B5" w14:textId="77777777" w:rsidR="00874483" w:rsidRPr="007A6C83" w:rsidRDefault="00874483" w:rsidP="002378EA">
            <w:pPr>
              <w:pStyle w:val="Paragraphedeliste"/>
              <w:numPr>
                <w:ilvl w:val="0"/>
                <w:numId w:val="102"/>
              </w:numPr>
              <w:suppressAutoHyphens/>
              <w:autoSpaceDE w:val="0"/>
              <w:autoSpaceDN w:val="0"/>
              <w:ind w:left="317" w:hanging="283"/>
              <w:contextualSpacing w:val="0"/>
              <w:textAlignment w:val="baseline"/>
              <w:rPr>
                <w:rFonts w:cs="Arial"/>
                <w:sz w:val="20"/>
                <w:szCs w:val="20"/>
              </w:rPr>
            </w:pPr>
            <w:r w:rsidRPr="007A6C83">
              <w:rPr>
                <w:rFonts w:cs="Arial"/>
                <w:sz w:val="20"/>
                <w:szCs w:val="20"/>
              </w:rPr>
              <w:t>La Loi n° 11/022 du 24 décembre 2011 portant Principes fondamentaux relatifs à l’Agriculture prend en charge de façon globale les conditions de gestion des pesticides au niveau de toute la filière (importation, stockage, transport, utilisation, élimination des contenants, …). </w:t>
            </w:r>
          </w:p>
          <w:p w14:paraId="0E7DB9F7" w14:textId="77777777" w:rsidR="00874483" w:rsidRPr="007A6C83" w:rsidRDefault="00874483" w:rsidP="00874483">
            <w:pPr>
              <w:pStyle w:val="Paragraphedeliste"/>
              <w:suppressAutoHyphens/>
              <w:autoSpaceDE w:val="0"/>
              <w:autoSpaceDN w:val="0"/>
              <w:ind w:left="317"/>
              <w:contextualSpacing w:val="0"/>
              <w:textAlignment w:val="baseline"/>
              <w:rPr>
                <w:rFonts w:cs="Arial"/>
                <w:sz w:val="20"/>
                <w:szCs w:val="20"/>
              </w:rPr>
            </w:pPr>
          </w:p>
          <w:p w14:paraId="0853F4E7" w14:textId="77777777" w:rsidR="00874483" w:rsidRPr="007A6C83" w:rsidRDefault="00874483" w:rsidP="002378EA">
            <w:pPr>
              <w:pStyle w:val="Paragraphedeliste"/>
              <w:numPr>
                <w:ilvl w:val="0"/>
                <w:numId w:val="102"/>
              </w:numPr>
              <w:suppressAutoHyphens/>
              <w:autoSpaceDE w:val="0"/>
              <w:autoSpaceDN w:val="0"/>
              <w:ind w:left="317" w:hanging="283"/>
              <w:contextualSpacing w:val="0"/>
              <w:textAlignment w:val="baseline"/>
              <w:rPr>
                <w:rFonts w:cs="Arial"/>
                <w:sz w:val="20"/>
                <w:szCs w:val="20"/>
              </w:rPr>
            </w:pPr>
            <w:r w:rsidRPr="007A6C83">
              <w:rPr>
                <w:rFonts w:cs="Arial"/>
                <w:sz w:val="20"/>
                <w:szCs w:val="20"/>
              </w:rPr>
              <w:t xml:space="preserve">Le Décret n°05/162 du 18 novembre 2005 portant réglementation phytosanitaire en République Démocratique du Congo. </w:t>
            </w:r>
          </w:p>
          <w:p w14:paraId="17E6EFED" w14:textId="77777777" w:rsidR="00874483" w:rsidRPr="007A6C83" w:rsidRDefault="00874483" w:rsidP="00874483">
            <w:pPr>
              <w:rPr>
                <w:rFonts w:cs="Arial"/>
                <w:sz w:val="20"/>
                <w:szCs w:val="20"/>
              </w:rPr>
            </w:pPr>
          </w:p>
          <w:p w14:paraId="118F1ECF" w14:textId="77777777" w:rsidR="00874483" w:rsidRPr="007A6C83" w:rsidRDefault="00874483" w:rsidP="00874483">
            <w:pPr>
              <w:rPr>
                <w:rFonts w:cs="Arial"/>
                <w:color w:val="383838"/>
                <w:sz w:val="20"/>
                <w:szCs w:val="20"/>
              </w:rPr>
            </w:pPr>
            <w:r w:rsidRPr="007A6C83">
              <w:rPr>
                <w:rFonts w:cs="Arial"/>
                <w:sz w:val="20"/>
                <w:szCs w:val="20"/>
              </w:rPr>
              <w:t xml:space="preserve">Instruments : EIES est exigée pour (i) </w:t>
            </w:r>
            <w:r w:rsidRPr="007A6C83">
              <w:rPr>
                <w:rFonts w:cs="Arial"/>
                <w:color w:val="383838"/>
                <w:sz w:val="20"/>
                <w:szCs w:val="20"/>
              </w:rPr>
              <w:t>d'aménagement ou réhabilitation hydro agricole ou agricole de plus de cinq cent hectares (500 ha) ; (ii) projet d'épandage de produits chimiques, de par son envergure de porter atteinte à l'environnement et à la santé</w:t>
            </w:r>
          </w:p>
          <w:p w14:paraId="3A9D9828" w14:textId="77777777" w:rsidR="00874483" w:rsidRPr="007A6C83" w:rsidRDefault="00874483" w:rsidP="00874483">
            <w:pPr>
              <w:rPr>
                <w:rFonts w:cs="Arial"/>
                <w:color w:val="383838"/>
                <w:sz w:val="20"/>
                <w:szCs w:val="20"/>
              </w:rPr>
            </w:pPr>
            <w:r w:rsidRPr="007A6C83">
              <w:rPr>
                <w:rFonts w:cs="Arial"/>
                <w:color w:val="383838"/>
                <w:sz w:val="20"/>
                <w:szCs w:val="20"/>
              </w:rPr>
              <w:t>Humaine ; (iii) toute unité de stockage de pesticides, de produits chimiques, pharmaceutiques d'une capacité supérieure à dix tonnes</w:t>
            </w:r>
          </w:p>
          <w:p w14:paraId="4AE30FC5" w14:textId="77777777" w:rsidR="00874483" w:rsidRPr="007A6C83" w:rsidRDefault="00874483" w:rsidP="00874483">
            <w:pPr>
              <w:rPr>
                <w:rFonts w:cs="Arial"/>
                <w:color w:val="383838"/>
                <w:sz w:val="20"/>
                <w:szCs w:val="20"/>
              </w:rPr>
            </w:pPr>
            <w:r w:rsidRPr="007A6C83">
              <w:rPr>
                <w:rFonts w:cs="Arial"/>
                <w:color w:val="383838"/>
                <w:sz w:val="20"/>
                <w:szCs w:val="20"/>
              </w:rPr>
              <w:t>(10 T) ; (iv) toute unité de récupération, d'élimination ou de traitement de déchets domestiques, industriels et autres déchets à</w:t>
            </w:r>
          </w:p>
          <w:p w14:paraId="03E0DF39" w14:textId="77777777" w:rsidR="00874483" w:rsidRPr="00E800E3" w:rsidRDefault="00874483" w:rsidP="007A6C83">
            <w:pPr>
              <w:rPr>
                <w:rFonts w:cs="Arial"/>
                <w:sz w:val="20"/>
                <w:szCs w:val="20"/>
              </w:rPr>
            </w:pPr>
            <w:r w:rsidRPr="007A6C83">
              <w:rPr>
                <w:rFonts w:cs="Arial"/>
                <w:color w:val="383838"/>
                <w:sz w:val="20"/>
                <w:szCs w:val="20"/>
              </w:rPr>
              <w:t>Caractère dangereux ; etc.</w:t>
            </w:r>
          </w:p>
        </w:tc>
        <w:tc>
          <w:tcPr>
            <w:tcW w:w="3969" w:type="dxa"/>
            <w:shd w:val="clear" w:color="auto" w:fill="auto"/>
            <w:vAlign w:val="center"/>
          </w:tcPr>
          <w:p w14:paraId="64E03B56" w14:textId="77777777" w:rsidR="00874483" w:rsidRPr="00E800E3" w:rsidRDefault="00874483" w:rsidP="00874483">
            <w:pPr>
              <w:rPr>
                <w:rFonts w:eastAsia="Calibri" w:cs="Arial"/>
                <w:sz w:val="20"/>
                <w:szCs w:val="20"/>
              </w:rPr>
            </w:pPr>
          </w:p>
        </w:tc>
      </w:tr>
      <w:tr w:rsidR="00874483" w:rsidRPr="00E800E3" w14:paraId="6DF7C9B3" w14:textId="77777777" w:rsidTr="00730A4A">
        <w:trPr>
          <w:jc w:val="center"/>
        </w:trPr>
        <w:tc>
          <w:tcPr>
            <w:tcW w:w="15309" w:type="dxa"/>
            <w:gridSpan w:val="3"/>
            <w:shd w:val="clear" w:color="auto" w:fill="C5E0B3"/>
            <w:vAlign w:val="center"/>
          </w:tcPr>
          <w:p w14:paraId="0DA42A4F" w14:textId="77777777" w:rsidR="00874483" w:rsidRPr="007A6C83" w:rsidRDefault="00874483" w:rsidP="00874483">
            <w:pPr>
              <w:keepNext/>
              <w:keepLines/>
              <w:spacing w:before="60" w:after="60"/>
              <w:rPr>
                <w:rFonts w:eastAsia="Calibri" w:cs="Arial"/>
                <w:b/>
                <w:bCs/>
                <w:sz w:val="20"/>
                <w:szCs w:val="20"/>
              </w:rPr>
            </w:pPr>
            <w:r w:rsidRPr="007A6C83">
              <w:rPr>
                <w:rFonts w:eastAsia="Calibri" w:cs="Arial"/>
                <w:b/>
                <w:bCs/>
                <w:sz w:val="20"/>
                <w:szCs w:val="20"/>
              </w:rPr>
              <w:t>NES4.  Santé et sécurité des populations</w:t>
            </w:r>
          </w:p>
        </w:tc>
      </w:tr>
      <w:tr w:rsidR="00874483" w:rsidRPr="00E800E3" w14:paraId="0768B6F5" w14:textId="77777777" w:rsidTr="00E800E3">
        <w:trPr>
          <w:jc w:val="center"/>
        </w:trPr>
        <w:tc>
          <w:tcPr>
            <w:tcW w:w="5670" w:type="dxa"/>
          </w:tcPr>
          <w:p w14:paraId="5601D049"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Évaluer les risques et effets sur la santé et la sécurité des populations touchées par le projet tout au long de celui-ci, y compris les personnes qui peuvent être considérées comme vulnérables en raison de leur situation particulière.</w:t>
            </w:r>
          </w:p>
          <w:p w14:paraId="1EA06EE4"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5</w:t>
            </w:r>
          </w:p>
        </w:tc>
        <w:tc>
          <w:tcPr>
            <w:tcW w:w="5670" w:type="dxa"/>
            <w:shd w:val="clear" w:color="auto" w:fill="auto"/>
            <w:vAlign w:val="center"/>
          </w:tcPr>
          <w:p w14:paraId="0BCAE9A9"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Les dispositions de la Loi n° 11/009 du 09 juillet 2011 portant Principes fondamentaux relatifs à la protection de l’environnement, relatives à l’évaluation environnementale et sociale prennent en compte la santé et la sécurité des communautés.</w:t>
            </w:r>
          </w:p>
        </w:tc>
        <w:tc>
          <w:tcPr>
            <w:tcW w:w="3969" w:type="dxa"/>
            <w:shd w:val="clear" w:color="auto" w:fill="auto"/>
            <w:vAlign w:val="center"/>
          </w:tcPr>
          <w:p w14:paraId="0272C127" w14:textId="77777777" w:rsidR="00874483" w:rsidRPr="00E800E3" w:rsidRDefault="00874483" w:rsidP="00874483">
            <w:pPr>
              <w:spacing w:before="100" w:beforeAutospacing="1" w:after="100" w:afterAutospacing="1"/>
              <w:rPr>
                <w:rFonts w:cs="Arial"/>
                <w:color w:val="000000"/>
                <w:sz w:val="20"/>
                <w:szCs w:val="20"/>
              </w:rPr>
            </w:pPr>
            <w:r w:rsidRPr="007A6C83">
              <w:rPr>
                <w:rFonts w:cs="Arial"/>
                <w:sz w:val="20"/>
                <w:szCs w:val="20"/>
              </w:rPr>
              <w:t>La loi nationale satisfait à ces exigences de la NES n°4 mais avec un besoin de renforcement des dispositions relatives au personnel chargé de la sécurité. Toutefois, la NES n°4  s’appliquera et sera suivi par la Banque mondiale</w:t>
            </w:r>
          </w:p>
        </w:tc>
      </w:tr>
      <w:tr w:rsidR="00874483" w:rsidRPr="00E800E3" w14:paraId="194B697B" w14:textId="77777777" w:rsidTr="00E800E3">
        <w:trPr>
          <w:jc w:val="center"/>
        </w:trPr>
        <w:tc>
          <w:tcPr>
            <w:tcW w:w="5670" w:type="dxa"/>
          </w:tcPr>
          <w:p w14:paraId="573F9AEA"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Assurer la conception, la construction, l’exploitation et le démantèlement des structures du projet, conformément aux dispositions nationales, aux Directives ESS et aux autres BPISA, par des professionnels compétents et certifiés, et tenir compte du changement climatique</w:t>
            </w:r>
          </w:p>
          <w:p w14:paraId="3E26DF89"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Paragraphes 6 à 8</w:t>
            </w:r>
          </w:p>
        </w:tc>
        <w:tc>
          <w:tcPr>
            <w:tcW w:w="5670" w:type="dxa"/>
            <w:shd w:val="clear" w:color="auto" w:fill="auto"/>
            <w:vAlign w:val="center"/>
          </w:tcPr>
          <w:p w14:paraId="745A61D5"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Non mentionné dans la législation nationale congolaise</w:t>
            </w:r>
          </w:p>
        </w:tc>
        <w:tc>
          <w:tcPr>
            <w:tcW w:w="3969" w:type="dxa"/>
            <w:shd w:val="clear" w:color="auto" w:fill="auto"/>
            <w:vAlign w:val="center"/>
          </w:tcPr>
          <w:p w14:paraId="4A682B21" w14:textId="77777777" w:rsidR="00874483" w:rsidRPr="00E800E3" w:rsidRDefault="00874483" w:rsidP="00874483">
            <w:pPr>
              <w:spacing w:before="100" w:beforeAutospacing="1" w:after="100" w:afterAutospacing="1"/>
              <w:rPr>
                <w:rFonts w:cs="Arial"/>
                <w:color w:val="000000"/>
                <w:sz w:val="20"/>
                <w:szCs w:val="20"/>
              </w:rPr>
            </w:pPr>
            <w:r w:rsidRPr="007A6C83">
              <w:rPr>
                <w:rFonts w:cs="Arial"/>
                <w:sz w:val="20"/>
                <w:szCs w:val="20"/>
              </w:rPr>
              <w:t>La loi nationale ne satisfait pas à cette exigence de la NES n°4. Ainsi, c’est le NES n°4 qui s’appliquera et sera suivi par l’IDA.</w:t>
            </w:r>
          </w:p>
        </w:tc>
      </w:tr>
      <w:tr w:rsidR="00874483" w:rsidRPr="00E800E3" w14:paraId="253DF9BA" w14:textId="77777777" w:rsidTr="00E800E3">
        <w:trPr>
          <w:jc w:val="center"/>
        </w:trPr>
        <w:tc>
          <w:tcPr>
            <w:tcW w:w="5670" w:type="dxa"/>
          </w:tcPr>
          <w:p w14:paraId="7D1A5B03"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Anticiper et minimiser les risques et effets que les services offerts aux communautés par le projet peuvent avoir sur leur santé et leur sécurité, et appliquer le principe d'accès universel lorsque cela est possible.</w:t>
            </w:r>
          </w:p>
          <w:p w14:paraId="77227F4B"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9</w:t>
            </w:r>
          </w:p>
        </w:tc>
        <w:tc>
          <w:tcPr>
            <w:tcW w:w="5670" w:type="dxa"/>
            <w:shd w:val="clear" w:color="auto" w:fill="auto"/>
            <w:vAlign w:val="center"/>
          </w:tcPr>
          <w:p w14:paraId="017A4E2C"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L’article 40 de la Loi N°11/009 du 09 juillet 2011 portant principes fondamentaux relatifs à la protection de l’environnement, dispose que tout exploitant d’une installation classée élabore et met en œuvre des mesures de sécurité industrielle appropriées et établit un plan d’urgence décrivant les mesures nécessaires pour maîtriser les accidents industriels et limiter leurs conséquences pour l’environnement et la santé. Ce plan d’urgence est porté à la connaissance des autorités administratives compétentes et des populations avoisinantes. Est sournoise à l’autorisation, toute installation dont l’existence ou l’exploitation présente des dangers, des inconvénients, ou des incommodités graves pour la sante, la sécurité, la salubrité publique, le voisinage, l'environnement ou la conservation des sites et monuments</w:t>
            </w:r>
          </w:p>
        </w:tc>
        <w:tc>
          <w:tcPr>
            <w:tcW w:w="3969" w:type="dxa"/>
            <w:shd w:val="clear" w:color="auto" w:fill="auto"/>
            <w:vAlign w:val="center"/>
          </w:tcPr>
          <w:p w14:paraId="4C158D14" w14:textId="77777777" w:rsidR="00874483" w:rsidRPr="007A6C83" w:rsidRDefault="00874483" w:rsidP="00874483">
            <w:pPr>
              <w:spacing w:before="60" w:after="60"/>
              <w:rPr>
                <w:rFonts w:cs="Arial"/>
                <w:sz w:val="20"/>
                <w:szCs w:val="20"/>
              </w:rPr>
            </w:pPr>
            <w:r w:rsidRPr="007A6C83">
              <w:rPr>
                <w:rFonts w:cs="Arial"/>
                <w:sz w:val="20"/>
                <w:szCs w:val="20"/>
              </w:rPr>
              <w:t>Le cadre national n’aborde pas explicitement les risques de sécurité routière, les aspects services Eco systémiques, accès universel et d’utilisation du personnel de sécurité, et le projet devra s’assurer que ces exigences si requises sont bien prises en compte dans les instruments E&amp;S à préparer. Il existe des similitudes sur le plan de l’évaluation des dangers, gestion de la prise en compte des mesures d’urgence et des atteintes à la santé, sécurité, la protection des populations avoisinantes. Ainsi, la NES n°4 sera appliquée et suivie par la Banque mondiale.</w:t>
            </w:r>
          </w:p>
          <w:p w14:paraId="71D220B7" w14:textId="77777777" w:rsidR="00874483" w:rsidRPr="00E800E3" w:rsidRDefault="00874483" w:rsidP="00874483">
            <w:pPr>
              <w:spacing w:before="100" w:beforeAutospacing="1" w:after="100" w:afterAutospacing="1"/>
              <w:rPr>
                <w:rFonts w:cs="Arial"/>
                <w:color w:val="000000"/>
                <w:sz w:val="20"/>
                <w:szCs w:val="20"/>
              </w:rPr>
            </w:pPr>
          </w:p>
        </w:tc>
      </w:tr>
      <w:tr w:rsidR="00874483" w:rsidRPr="00E800E3" w14:paraId="341CD3AD" w14:textId="77777777" w:rsidTr="00E800E3">
        <w:trPr>
          <w:jc w:val="center"/>
        </w:trPr>
        <w:tc>
          <w:tcPr>
            <w:tcW w:w="5670" w:type="dxa"/>
          </w:tcPr>
          <w:p w14:paraId="55A2281D"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Identifier, évaluer et surveiller les risques du projet liés à la circulation et à la sécurité routière, améliorer la sécurité des conducteurs et des véhicules du projet, et éviter que des personnes étrangères au projet soient victimes d’accidents</w:t>
            </w:r>
          </w:p>
          <w:p w14:paraId="48E9CEAE"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Paragraphes 10 à 12</w:t>
            </w:r>
          </w:p>
        </w:tc>
        <w:tc>
          <w:tcPr>
            <w:tcW w:w="5670" w:type="dxa"/>
            <w:shd w:val="clear" w:color="auto" w:fill="auto"/>
            <w:vAlign w:val="center"/>
          </w:tcPr>
          <w:p w14:paraId="4CAAC380" w14:textId="77777777" w:rsidR="00874483" w:rsidRPr="007A6C83" w:rsidRDefault="00874483" w:rsidP="00874483">
            <w:pPr>
              <w:autoSpaceDE w:val="0"/>
              <w:autoSpaceDN w:val="0"/>
              <w:adjustRightInd w:val="0"/>
              <w:rPr>
                <w:rFonts w:cs="Arial"/>
                <w:sz w:val="20"/>
                <w:szCs w:val="20"/>
              </w:rPr>
            </w:pPr>
            <w:r w:rsidRPr="007A6C83">
              <w:rPr>
                <w:rFonts w:cs="Arial"/>
                <w:sz w:val="20"/>
                <w:szCs w:val="20"/>
              </w:rPr>
              <w:t>Les dispositions de la Loi n° 11/009 du 09 juillet 2011 portant Principes fondamentaux relatifs à la protection de l’environnement et la loi 78-022 du 30 août 1978 portant nouveau Code de la route qui régit la circulation routière en RDC abordent partiellement la sécurité routière.</w:t>
            </w:r>
          </w:p>
          <w:p w14:paraId="4E1ADA9E" w14:textId="77777777" w:rsidR="00874483" w:rsidRPr="00E800E3" w:rsidRDefault="00874483" w:rsidP="00874483">
            <w:pPr>
              <w:autoSpaceDE w:val="0"/>
              <w:autoSpaceDN w:val="0"/>
              <w:adjustRightInd w:val="0"/>
              <w:rPr>
                <w:rFonts w:cs="Arial"/>
                <w:sz w:val="20"/>
                <w:szCs w:val="20"/>
              </w:rPr>
            </w:pPr>
          </w:p>
        </w:tc>
        <w:tc>
          <w:tcPr>
            <w:tcW w:w="3969" w:type="dxa"/>
            <w:shd w:val="clear" w:color="auto" w:fill="auto"/>
            <w:vAlign w:val="center"/>
          </w:tcPr>
          <w:p w14:paraId="7741C66C" w14:textId="77777777" w:rsidR="00874483" w:rsidRPr="007A6C83" w:rsidRDefault="00874483" w:rsidP="00874483">
            <w:pPr>
              <w:spacing w:before="60" w:after="60"/>
              <w:rPr>
                <w:rFonts w:cs="Arial"/>
                <w:sz w:val="20"/>
                <w:szCs w:val="20"/>
              </w:rPr>
            </w:pPr>
            <w:r w:rsidRPr="007A6C83">
              <w:rPr>
                <w:rFonts w:cs="Arial"/>
                <w:sz w:val="20"/>
                <w:szCs w:val="20"/>
              </w:rPr>
              <w:t>Le cadre national n’aborde pas explicitement les risques de sécurité routière, les aspects services Eco systémiques, accès universel et d’utilisation du personnel de sécurité, et le projet devra s’assurer que ces exigences si requises sont bien prises en compte dans les instruments E&amp;S à préparer. Il existe des similitudes sur le plan de l’évaluation des dangers, gestion de la prise en compte des mesures d’urgence et des atteintes à la santé, sécurité, la protection des populations avoisinantes. Ainsi, la NES n°4 sera appliquée et suivie par la Banque mondiale.</w:t>
            </w:r>
          </w:p>
          <w:p w14:paraId="31661412" w14:textId="77777777" w:rsidR="00874483" w:rsidRPr="00E800E3" w:rsidRDefault="00874483" w:rsidP="00874483">
            <w:pPr>
              <w:spacing w:before="100" w:beforeAutospacing="1" w:after="100" w:afterAutospacing="1"/>
              <w:rPr>
                <w:rFonts w:cs="Arial"/>
                <w:color w:val="000000"/>
                <w:sz w:val="20"/>
                <w:szCs w:val="20"/>
              </w:rPr>
            </w:pPr>
          </w:p>
        </w:tc>
      </w:tr>
      <w:tr w:rsidR="00874483" w:rsidRPr="00E800E3" w14:paraId="79919AB0" w14:textId="77777777" w:rsidTr="00E800E3">
        <w:trPr>
          <w:jc w:val="center"/>
        </w:trPr>
        <w:tc>
          <w:tcPr>
            <w:tcW w:w="5670" w:type="dxa"/>
          </w:tcPr>
          <w:p w14:paraId="50F16538"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Identifier les risques et effets potentiels du projet sur les services écosystémiques qui pourraient être exacerbés par le changement climatique, et compromettre sur la santé et la sécurité des populations touchées</w:t>
            </w:r>
          </w:p>
          <w:p w14:paraId="57C4F939"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14</w:t>
            </w:r>
          </w:p>
        </w:tc>
        <w:tc>
          <w:tcPr>
            <w:tcW w:w="5670" w:type="dxa"/>
            <w:shd w:val="clear" w:color="auto" w:fill="auto"/>
            <w:vAlign w:val="center"/>
          </w:tcPr>
          <w:p w14:paraId="3A99DE6B"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Non mentionné dans la législation nationale congolaise</w:t>
            </w:r>
          </w:p>
        </w:tc>
        <w:tc>
          <w:tcPr>
            <w:tcW w:w="3969" w:type="dxa"/>
            <w:shd w:val="clear" w:color="auto" w:fill="auto"/>
            <w:vAlign w:val="center"/>
          </w:tcPr>
          <w:p w14:paraId="3BF67920" w14:textId="77777777" w:rsidR="00874483" w:rsidRPr="00E800E3" w:rsidRDefault="00874483" w:rsidP="00874483">
            <w:pPr>
              <w:spacing w:before="100" w:beforeAutospacing="1" w:after="100" w:afterAutospacing="1"/>
              <w:rPr>
                <w:rFonts w:cs="Arial"/>
                <w:color w:val="000000"/>
                <w:sz w:val="20"/>
                <w:szCs w:val="20"/>
              </w:rPr>
            </w:pPr>
            <w:r w:rsidRPr="007A6C83">
              <w:rPr>
                <w:rFonts w:cs="Arial"/>
                <w:sz w:val="20"/>
                <w:szCs w:val="20"/>
              </w:rPr>
              <w:t>La loi nationale ne satisfait pas à cette exigence de la NES n°4. Ainsi, c’est le NES n°4 qui s’appliquera et sera suivi par l’IDA.</w:t>
            </w:r>
          </w:p>
        </w:tc>
      </w:tr>
      <w:tr w:rsidR="00874483" w:rsidRPr="00E800E3" w14:paraId="643DE5B2" w14:textId="77777777" w:rsidTr="00E800E3">
        <w:trPr>
          <w:jc w:val="center"/>
        </w:trPr>
        <w:tc>
          <w:tcPr>
            <w:tcW w:w="5670" w:type="dxa"/>
          </w:tcPr>
          <w:p w14:paraId="61E83883"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Éviter ou minimiser la propagation de maladies transmissibles qui peuvent être associées à l’afflux de main-d’œuvre temporaire ou permanente sur le projet.</w:t>
            </w:r>
          </w:p>
          <w:p w14:paraId="24CCED0E"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15 et 16</w:t>
            </w:r>
          </w:p>
        </w:tc>
        <w:tc>
          <w:tcPr>
            <w:tcW w:w="5670" w:type="dxa"/>
            <w:shd w:val="clear" w:color="auto" w:fill="auto"/>
            <w:vAlign w:val="center"/>
          </w:tcPr>
          <w:p w14:paraId="64AF0867" w14:textId="77777777" w:rsidR="00874483" w:rsidRPr="00E800E3" w:rsidRDefault="00874483" w:rsidP="00874483">
            <w:pPr>
              <w:spacing w:before="100" w:beforeAutospacing="1" w:after="100" w:afterAutospacing="1"/>
              <w:rPr>
                <w:rFonts w:cs="Arial"/>
                <w:sz w:val="20"/>
                <w:szCs w:val="20"/>
              </w:rPr>
            </w:pPr>
            <w:r w:rsidRPr="007A6C83">
              <w:rPr>
                <w:rFonts w:cs="Arial"/>
                <w:sz w:val="20"/>
                <w:szCs w:val="20"/>
              </w:rPr>
              <w:t>Loi n° 08/011 du 14 juillet 2008 portant protection des droits des personnes vivant avec le VIH/SIDA et des personnes affectées et Ordonnance n° 20/014 du 24 mars 2020 portant proclamation de l’état d’urgence sanitaire pour faire face à l'épidémie de COVID-19 aborde la situation de la propagation des maladies transmissible</w:t>
            </w:r>
          </w:p>
        </w:tc>
        <w:tc>
          <w:tcPr>
            <w:tcW w:w="3969" w:type="dxa"/>
            <w:shd w:val="clear" w:color="auto" w:fill="auto"/>
            <w:vAlign w:val="center"/>
          </w:tcPr>
          <w:p w14:paraId="29E23AD9" w14:textId="77777777" w:rsidR="00874483" w:rsidRDefault="00874483" w:rsidP="00874483">
            <w:pPr>
              <w:spacing w:before="100" w:beforeAutospacing="1" w:after="100" w:afterAutospacing="1"/>
              <w:rPr>
                <w:rFonts w:cs="Arial"/>
                <w:sz w:val="20"/>
                <w:szCs w:val="20"/>
              </w:rPr>
            </w:pPr>
            <w:r w:rsidRPr="007A6C83">
              <w:rPr>
                <w:rFonts w:cs="Arial"/>
                <w:sz w:val="20"/>
                <w:szCs w:val="20"/>
              </w:rPr>
              <w:t>Les lois nationales satisfont à cette exigence de la NES n°4. Ainsi, c’est le NES n°4 qui s’appliquera et sera suivi par l’IDA.</w:t>
            </w:r>
          </w:p>
          <w:p w14:paraId="66F87218" w14:textId="77777777" w:rsidR="00874483" w:rsidRPr="00E800E3" w:rsidRDefault="00874483" w:rsidP="00874483">
            <w:pPr>
              <w:spacing w:before="100" w:beforeAutospacing="1" w:after="100" w:afterAutospacing="1"/>
              <w:rPr>
                <w:rFonts w:cs="Arial"/>
                <w:color w:val="000000"/>
                <w:sz w:val="20"/>
                <w:szCs w:val="20"/>
              </w:rPr>
            </w:pPr>
            <w:r w:rsidRPr="007A6C83">
              <w:rPr>
                <w:rFonts w:cs="Arial"/>
                <w:sz w:val="20"/>
                <w:szCs w:val="20"/>
              </w:rPr>
              <w:t>le PNDA suivra les dernières directives de la BM relatives à la COVID-19</w:t>
            </w:r>
          </w:p>
        </w:tc>
      </w:tr>
      <w:tr w:rsidR="00874483" w:rsidRPr="00E800E3" w14:paraId="6B40550D" w14:textId="77777777" w:rsidTr="00E800E3">
        <w:trPr>
          <w:jc w:val="center"/>
        </w:trPr>
        <w:tc>
          <w:tcPr>
            <w:tcW w:w="5670" w:type="dxa"/>
          </w:tcPr>
          <w:p w14:paraId="35A1DBD8"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Éviter que les populations soient exposées aux matières et substances dangereuses qui peuvent être émises par le projet ou minimisera leur exposition à ces matières et substances</w:t>
            </w:r>
          </w:p>
          <w:p w14:paraId="1D7BC2D1"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17 et 178</w:t>
            </w:r>
          </w:p>
        </w:tc>
        <w:tc>
          <w:tcPr>
            <w:tcW w:w="5670" w:type="dxa"/>
            <w:shd w:val="clear" w:color="auto" w:fill="auto"/>
            <w:vAlign w:val="center"/>
          </w:tcPr>
          <w:p w14:paraId="2FED7B22" w14:textId="77777777" w:rsidR="00874483" w:rsidRPr="007A6C83" w:rsidRDefault="00874483" w:rsidP="00874483">
            <w:pPr>
              <w:spacing w:before="60" w:after="60"/>
              <w:rPr>
                <w:rFonts w:cs="Arial"/>
                <w:sz w:val="20"/>
                <w:szCs w:val="20"/>
              </w:rPr>
            </w:pPr>
            <w:r w:rsidRPr="007A6C83">
              <w:rPr>
                <w:rFonts w:cs="Arial"/>
                <w:sz w:val="20"/>
                <w:szCs w:val="20"/>
              </w:rPr>
              <w:t>Conformément à l’article 123 point 15 de la Constitution du 18 février 2006, la Loi cadre N°11/009 du 09 juillet 2011 est destinée à prévenir les risques et lutter contre toutes les formes de pollutions et nuisances, et l’Article 53 stipule que l’Etat prend des mesures appropriées pour prévenir, atténuer et éliminer les effets nuisibles sur l’environnement et la santé des produits chimiques, des pesticides dangereux et des polluants organiques persistants. La Section 4 est dédiée a la gestion des déchets.</w:t>
            </w:r>
            <w:r w:rsidRPr="007A6C83">
              <w:rPr>
                <w:rFonts w:cs="Arial"/>
                <w:b/>
                <w:bCs/>
                <w:sz w:val="20"/>
                <w:szCs w:val="20"/>
              </w:rPr>
              <w:t xml:space="preserve"> </w:t>
            </w:r>
          </w:p>
          <w:p w14:paraId="44998B76" w14:textId="77777777" w:rsidR="00874483" w:rsidRPr="00E800E3" w:rsidRDefault="00874483" w:rsidP="00874483">
            <w:pPr>
              <w:autoSpaceDE w:val="0"/>
              <w:autoSpaceDN w:val="0"/>
              <w:adjustRightInd w:val="0"/>
              <w:rPr>
                <w:rFonts w:cs="Arial"/>
                <w:sz w:val="20"/>
                <w:szCs w:val="20"/>
              </w:rPr>
            </w:pPr>
          </w:p>
        </w:tc>
        <w:tc>
          <w:tcPr>
            <w:tcW w:w="3969" w:type="dxa"/>
            <w:shd w:val="clear" w:color="auto" w:fill="auto"/>
            <w:vAlign w:val="center"/>
          </w:tcPr>
          <w:p w14:paraId="51880BFA" w14:textId="77777777" w:rsidR="00874483" w:rsidRPr="00E800E3" w:rsidRDefault="00874483" w:rsidP="00874483">
            <w:pPr>
              <w:spacing w:before="100" w:beforeAutospacing="1" w:after="100" w:afterAutospacing="1"/>
              <w:rPr>
                <w:rFonts w:cs="Arial"/>
                <w:color w:val="000000"/>
                <w:sz w:val="20"/>
                <w:szCs w:val="20"/>
              </w:rPr>
            </w:pPr>
            <w:r w:rsidRPr="007A6C83">
              <w:rPr>
                <w:rFonts w:cs="Arial"/>
                <w:sz w:val="20"/>
                <w:szCs w:val="20"/>
              </w:rPr>
              <w:t>La loi nationale satisfait à cette exigence de la NES n°4. Ainsi, c’est le NES n°4 qui s’appliquera et sera suivi par l’IDA.</w:t>
            </w:r>
          </w:p>
        </w:tc>
      </w:tr>
      <w:tr w:rsidR="00874483" w:rsidRPr="00E800E3" w14:paraId="539F4221" w14:textId="77777777" w:rsidTr="00E800E3">
        <w:trPr>
          <w:jc w:val="center"/>
        </w:trPr>
        <w:tc>
          <w:tcPr>
            <w:tcW w:w="5670" w:type="dxa"/>
          </w:tcPr>
          <w:p w14:paraId="1E0BCEC2"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Formuler et mettre en œuvre des mesures permettant de gérer les situations d’urgence, y compris l’évaluation des risques et dangers (ERD) et la préparation d’un Plan d’intervention d’urgence (PIU) en coordination avec les autorités locales compétentes et la communauté touchée</w:t>
            </w:r>
          </w:p>
          <w:p w14:paraId="4607A5D8"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19 à 23</w:t>
            </w:r>
          </w:p>
        </w:tc>
        <w:tc>
          <w:tcPr>
            <w:tcW w:w="5670" w:type="dxa"/>
            <w:shd w:val="clear" w:color="auto" w:fill="auto"/>
            <w:vAlign w:val="center"/>
          </w:tcPr>
          <w:p w14:paraId="2E72203E" w14:textId="77777777" w:rsidR="00874483" w:rsidRPr="00E800E3" w:rsidRDefault="00874483" w:rsidP="00874483">
            <w:pPr>
              <w:autoSpaceDE w:val="0"/>
              <w:autoSpaceDN w:val="0"/>
              <w:adjustRightInd w:val="0"/>
              <w:rPr>
                <w:rFonts w:cs="Arial"/>
                <w:sz w:val="20"/>
                <w:szCs w:val="20"/>
              </w:rPr>
            </w:pPr>
            <w:r w:rsidRPr="007A6C83">
              <w:rPr>
                <w:rFonts w:cs="Arial"/>
                <w:sz w:val="20"/>
                <w:szCs w:val="20"/>
              </w:rPr>
              <w:t>L’article 40 de la Loi N°11/009 du 09 juillet 2011 portant principes fondamentaux relatifs à la protection de l’environnement, dispose que tout exploitant d’une installation classée élabore et met en œuvre des mesures de sécurité industrielle appropriées et établit un plan d’urgence décrivant les mesures nécessaires pour maîtriser les accidents industriels et limiter leurs conséquences pour l’environnement et la santé. Ce plan d’urgence est porté à la connaissance des autorités administratives compétentes et des populations avoisinantes. Est sournoise à l’autorisation, toute installation dont l’existence ou l’exploitation présente des dangers, des inconvénients, ou des incommodités graves pour la santé, la sécurité, la salubrité publique, le voisinage, l'environnement ou la conservation des sites et monuments.</w:t>
            </w:r>
          </w:p>
        </w:tc>
        <w:tc>
          <w:tcPr>
            <w:tcW w:w="3969" w:type="dxa"/>
            <w:shd w:val="clear" w:color="auto" w:fill="auto"/>
            <w:vAlign w:val="center"/>
          </w:tcPr>
          <w:p w14:paraId="6B4BBD04" w14:textId="77777777" w:rsidR="00874483" w:rsidRPr="00E800E3" w:rsidRDefault="00874483" w:rsidP="00874483">
            <w:pPr>
              <w:spacing w:before="100" w:beforeAutospacing="1" w:after="100" w:afterAutospacing="1"/>
              <w:rPr>
                <w:rFonts w:cs="Arial"/>
                <w:color w:val="000000"/>
                <w:sz w:val="20"/>
                <w:szCs w:val="20"/>
              </w:rPr>
            </w:pPr>
            <w:r w:rsidRPr="007A6C83">
              <w:rPr>
                <w:rFonts w:cs="Arial"/>
                <w:sz w:val="20"/>
                <w:szCs w:val="20"/>
              </w:rPr>
              <w:t>La loi nationale satisfait à cette exigence de la NES n°4. Ainsi, c’est le NES n°4 qui s’appliquera et sera suivi par l’IDA</w:t>
            </w:r>
          </w:p>
        </w:tc>
      </w:tr>
      <w:tr w:rsidR="00874483" w:rsidRPr="00E800E3" w14:paraId="603FC992" w14:textId="77777777" w:rsidTr="00E800E3">
        <w:trPr>
          <w:jc w:val="center"/>
        </w:trPr>
        <w:tc>
          <w:tcPr>
            <w:tcW w:w="5670" w:type="dxa"/>
          </w:tcPr>
          <w:p w14:paraId="1FB8D99C"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Évaluer les risques posés par les dispositifs de sécurité, tant à l’intérieur qu’à l’extérieur du site du projet, encouragera les autorités compétentes à publier les dispositifs de sécurité applicables</w:t>
            </w:r>
          </w:p>
          <w:p w14:paraId="1181058C"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Paragraphe 24-27</w:t>
            </w:r>
          </w:p>
        </w:tc>
        <w:tc>
          <w:tcPr>
            <w:tcW w:w="5670" w:type="dxa"/>
            <w:shd w:val="clear" w:color="auto" w:fill="auto"/>
            <w:vAlign w:val="center"/>
          </w:tcPr>
          <w:p w14:paraId="1DBE9777" w14:textId="77777777" w:rsidR="00874483" w:rsidRPr="007A6C83" w:rsidRDefault="00874483" w:rsidP="00874483">
            <w:pPr>
              <w:autoSpaceDE w:val="0"/>
              <w:autoSpaceDN w:val="0"/>
              <w:adjustRightInd w:val="0"/>
              <w:rPr>
                <w:rFonts w:cs="Arial"/>
                <w:sz w:val="20"/>
                <w:szCs w:val="20"/>
              </w:rPr>
            </w:pPr>
            <w:r w:rsidRPr="007A6C83">
              <w:rPr>
                <w:rFonts w:cs="Arial"/>
                <w:sz w:val="20"/>
                <w:szCs w:val="20"/>
              </w:rPr>
              <w:t>Les dispositions de la Loi n° 11/009 du 09 juillet 2011 portant Principes fondamentaux relatifs à la protection de l’environnement et la loi 78-022 du 30 août 1978 portant nouveau Code de la route qui régit la circulation routière en RDC abordent partiellement la sécurité routière.</w:t>
            </w:r>
          </w:p>
          <w:p w14:paraId="33C56E46" w14:textId="77777777" w:rsidR="00874483" w:rsidRPr="00E800E3" w:rsidRDefault="00874483" w:rsidP="00874483">
            <w:pPr>
              <w:autoSpaceDE w:val="0"/>
              <w:autoSpaceDN w:val="0"/>
              <w:adjustRightInd w:val="0"/>
              <w:rPr>
                <w:rFonts w:cs="Arial"/>
                <w:sz w:val="20"/>
                <w:szCs w:val="20"/>
              </w:rPr>
            </w:pPr>
          </w:p>
        </w:tc>
        <w:tc>
          <w:tcPr>
            <w:tcW w:w="3969" w:type="dxa"/>
            <w:shd w:val="clear" w:color="auto" w:fill="auto"/>
            <w:vAlign w:val="center"/>
          </w:tcPr>
          <w:p w14:paraId="38243631" w14:textId="77777777" w:rsidR="00874483" w:rsidRPr="00E800E3" w:rsidRDefault="00874483" w:rsidP="007A6C83">
            <w:pPr>
              <w:spacing w:before="60" w:after="60"/>
              <w:rPr>
                <w:rFonts w:cs="Arial"/>
                <w:color w:val="000000"/>
                <w:sz w:val="20"/>
                <w:szCs w:val="20"/>
              </w:rPr>
            </w:pPr>
            <w:r w:rsidRPr="007A6C83">
              <w:rPr>
                <w:rFonts w:cs="Arial"/>
                <w:sz w:val="20"/>
                <w:szCs w:val="20"/>
              </w:rPr>
              <w:t>Le cadre national n’aborde pas explicitement les risques de sécurité routière, les aspects services Eco systémiques, accès universel et d’utilisation du personnel de sécurité, et le projet devra s’assurer que ces exigences si requises sont bien prises en compte dans les instruments E&amp;S à préparer. Il existe des similitudes sur le plan de l’évaluation des dangers, gestion de la prise en compte des mesures d’urgence et des atteintes à la santé, sécurité, la protection des populations avoisinantes. Ainsi, la NES n°4 sera appliquée et suivie par la Banque mondiale.</w:t>
            </w:r>
          </w:p>
        </w:tc>
      </w:tr>
      <w:tr w:rsidR="00874483" w:rsidRPr="00E800E3" w14:paraId="3208746A" w14:textId="77777777" w:rsidTr="00E800E3">
        <w:trPr>
          <w:jc w:val="center"/>
        </w:trPr>
        <w:tc>
          <w:tcPr>
            <w:tcW w:w="5670" w:type="dxa"/>
          </w:tcPr>
          <w:p w14:paraId="0A24C2BB"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Recrutera des professionnels expérimentés et compétents pour superviser la conception et la construction de nouveaux barrages, et adopter et mettre en œuvre les mesures de sécurité des barrages.</w:t>
            </w:r>
          </w:p>
          <w:p w14:paraId="3F4F277F" w14:textId="77777777" w:rsidR="00874483" w:rsidRPr="00E800E3" w:rsidRDefault="00874483" w:rsidP="00874483">
            <w:pPr>
              <w:autoSpaceDE w:val="0"/>
              <w:autoSpaceDN w:val="0"/>
              <w:adjustRightInd w:val="0"/>
              <w:rPr>
                <w:rFonts w:eastAsia="Calibri" w:cs="Arial"/>
                <w:sz w:val="20"/>
                <w:szCs w:val="20"/>
              </w:rPr>
            </w:pPr>
            <w:r w:rsidRPr="00E800E3">
              <w:rPr>
                <w:rFonts w:cs="Arial"/>
                <w:i/>
                <w:iCs/>
                <w:sz w:val="20"/>
                <w:szCs w:val="20"/>
              </w:rPr>
              <w:t>Annexe 1</w:t>
            </w:r>
          </w:p>
        </w:tc>
        <w:tc>
          <w:tcPr>
            <w:tcW w:w="5670" w:type="dxa"/>
            <w:shd w:val="clear" w:color="auto" w:fill="auto"/>
            <w:vAlign w:val="center"/>
          </w:tcPr>
          <w:p w14:paraId="5AAB0961" w14:textId="77777777" w:rsidR="00874483" w:rsidRPr="007A6C83" w:rsidRDefault="00874483" w:rsidP="00874483">
            <w:pPr>
              <w:spacing w:before="60" w:after="60"/>
              <w:rPr>
                <w:rFonts w:cs="Arial"/>
                <w:sz w:val="20"/>
                <w:szCs w:val="20"/>
              </w:rPr>
            </w:pPr>
            <w:r w:rsidRPr="007A6C83">
              <w:rPr>
                <w:rFonts w:cs="Arial"/>
                <w:sz w:val="20"/>
                <w:szCs w:val="20"/>
              </w:rPr>
              <w:t>L’article 34 de la loi sur l’électricité requiert la mobilisation des experts indépendants pour la certification des installations électriques de production, de transport et de distribution suivant les puissances ou tensions exploitées sont agréés par le ministre afin d'exercer, à charge de l'opérateur, le contrôle ou l'inspection technique de conformité requis dans le cadre de la présente loi et de ses mesures d'exécution.</w:t>
            </w:r>
          </w:p>
        </w:tc>
        <w:tc>
          <w:tcPr>
            <w:tcW w:w="3969" w:type="dxa"/>
            <w:shd w:val="clear" w:color="auto" w:fill="auto"/>
            <w:vAlign w:val="center"/>
          </w:tcPr>
          <w:p w14:paraId="6E93AAB3" w14:textId="77777777" w:rsidR="00874483" w:rsidRPr="00E800E3" w:rsidRDefault="00874483" w:rsidP="00874483">
            <w:pPr>
              <w:spacing w:before="100" w:beforeAutospacing="1" w:after="100" w:afterAutospacing="1"/>
              <w:rPr>
                <w:rFonts w:cs="Arial"/>
                <w:color w:val="000000"/>
                <w:sz w:val="20"/>
                <w:szCs w:val="20"/>
              </w:rPr>
            </w:pPr>
            <w:r w:rsidRPr="007A6C83">
              <w:rPr>
                <w:rFonts w:cs="Arial"/>
                <w:sz w:val="20"/>
                <w:szCs w:val="20"/>
              </w:rPr>
              <w:t>La loi nationale satisfait à cette exigence de la NES n°4. Ainsi, c’est le NES n°4 qui s’appliquera et sera suivi par l’IDA.</w:t>
            </w:r>
          </w:p>
        </w:tc>
      </w:tr>
      <w:tr w:rsidR="00874483" w:rsidRPr="00E800E3" w14:paraId="464CFAF5" w14:textId="77777777" w:rsidTr="00730A4A">
        <w:trPr>
          <w:jc w:val="center"/>
        </w:trPr>
        <w:tc>
          <w:tcPr>
            <w:tcW w:w="15309" w:type="dxa"/>
            <w:gridSpan w:val="3"/>
            <w:shd w:val="clear" w:color="auto" w:fill="C5E0B3"/>
            <w:vAlign w:val="center"/>
          </w:tcPr>
          <w:p w14:paraId="0966C2D4" w14:textId="77777777" w:rsidR="00874483" w:rsidRPr="00E800E3" w:rsidRDefault="00874483" w:rsidP="00874483">
            <w:pPr>
              <w:spacing w:before="60" w:after="60"/>
              <w:rPr>
                <w:rFonts w:eastAsia="Calibri" w:cs="Arial"/>
                <w:b/>
                <w:bCs/>
                <w:sz w:val="20"/>
                <w:szCs w:val="20"/>
              </w:rPr>
            </w:pPr>
            <w:r w:rsidRPr="00E800E3">
              <w:rPr>
                <w:rFonts w:eastAsia="Calibri" w:cs="Arial"/>
                <w:b/>
                <w:bCs/>
                <w:sz w:val="20"/>
                <w:szCs w:val="20"/>
              </w:rPr>
              <w:t>NES 5.  Acquisition de terres, restrictions à l’utilisation de terres et réinstallation involontaire ;</w:t>
            </w:r>
          </w:p>
        </w:tc>
      </w:tr>
      <w:tr w:rsidR="00874483" w:rsidRPr="00E800E3" w14:paraId="45FBE801" w14:textId="77777777" w:rsidTr="00E800E3">
        <w:trPr>
          <w:jc w:val="center"/>
        </w:trPr>
        <w:tc>
          <w:tcPr>
            <w:tcW w:w="5670" w:type="dxa"/>
          </w:tcPr>
          <w:p w14:paraId="12446ED6"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Éviter la réinstallation involontaire ou, lorsqu’elle est inévitable, la minimiser en envisageant des solutions de rechange lors de la conception du projet, et éviter l’expulsion forcée</w:t>
            </w:r>
          </w:p>
          <w:p w14:paraId="665CB572" w14:textId="77777777" w:rsidR="00874483" w:rsidRPr="00E800E3" w:rsidRDefault="00874483" w:rsidP="00874483">
            <w:pPr>
              <w:rPr>
                <w:rFonts w:eastAsia="Calibri" w:cs="Arial"/>
                <w:i/>
                <w:sz w:val="20"/>
                <w:szCs w:val="20"/>
                <w:u w:val="single"/>
              </w:rPr>
            </w:pPr>
            <w:r w:rsidRPr="00E800E3">
              <w:rPr>
                <w:rFonts w:cs="Arial"/>
                <w:i/>
                <w:iCs/>
                <w:sz w:val="20"/>
                <w:szCs w:val="20"/>
              </w:rPr>
              <w:t>Paragraphe 2</w:t>
            </w:r>
          </w:p>
        </w:tc>
        <w:tc>
          <w:tcPr>
            <w:tcW w:w="5670" w:type="dxa"/>
            <w:vMerge w:val="restart"/>
            <w:shd w:val="clear" w:color="auto" w:fill="auto"/>
            <w:vAlign w:val="center"/>
          </w:tcPr>
          <w:p w14:paraId="0DA9CEFA" w14:textId="77777777" w:rsidR="00874483" w:rsidRPr="007A6C83" w:rsidRDefault="00874483" w:rsidP="00874483">
            <w:pPr>
              <w:spacing w:before="60" w:after="60"/>
              <w:rPr>
                <w:rFonts w:cs="Arial"/>
                <w:sz w:val="20"/>
                <w:szCs w:val="20"/>
              </w:rPr>
            </w:pPr>
            <w:r w:rsidRPr="007A6C83">
              <w:rPr>
                <w:rFonts w:cs="Arial"/>
                <w:sz w:val="20"/>
                <w:szCs w:val="20"/>
              </w:rPr>
              <w:t>Loi n° 77-001 du 22 février 1977 sur l’expropriation pour cause d’utilité publique n’est pas explicite sur les aspects expulsion forcée, l’évitement de la réinstallation forcée, etc. Par ailleurs, les personnes éligibles à une compensation sont les propriétaires d’un immeuble ; les titulaires de droits réels immobiliers et fonciers ; les titulaires des droits de créance ayant pour objet l’acquisition ou la jouissance d’un immeuble ; les titulaires de droits des communautés locales sur les terres domaniales (article premier Loi n° 77-001 du 22 février 1977).</w:t>
            </w:r>
          </w:p>
          <w:p w14:paraId="46760A43" w14:textId="77777777" w:rsidR="00874483" w:rsidRPr="00FC60B1" w:rsidRDefault="00874483" w:rsidP="00874483">
            <w:pPr>
              <w:rPr>
                <w:rFonts w:cs="Arial"/>
                <w:sz w:val="20"/>
                <w:szCs w:val="20"/>
              </w:rPr>
            </w:pPr>
          </w:p>
        </w:tc>
        <w:tc>
          <w:tcPr>
            <w:tcW w:w="3969" w:type="dxa"/>
            <w:shd w:val="clear" w:color="auto" w:fill="auto"/>
            <w:vAlign w:val="center"/>
          </w:tcPr>
          <w:p w14:paraId="39748415" w14:textId="77777777" w:rsidR="00874483" w:rsidRPr="00FC60B1" w:rsidRDefault="00874483" w:rsidP="00874483">
            <w:pPr>
              <w:rPr>
                <w:rFonts w:eastAsia="Calibri" w:cs="Arial"/>
                <w:sz w:val="20"/>
                <w:szCs w:val="20"/>
              </w:rPr>
            </w:pPr>
          </w:p>
        </w:tc>
      </w:tr>
      <w:tr w:rsidR="00874483" w:rsidRPr="00E800E3" w14:paraId="5CDA7E69" w14:textId="77777777" w:rsidTr="00E800E3">
        <w:trPr>
          <w:jc w:val="center"/>
        </w:trPr>
        <w:tc>
          <w:tcPr>
            <w:tcW w:w="5670" w:type="dxa"/>
          </w:tcPr>
          <w:p w14:paraId="6C00480D"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Atténuer les effets sociaux et économiques néfastes de l’acquisition de terres ou des restrictions à leur utilisation, en assurant une indemnisation rapide au coût de remplacement des personnes spoliées de leurs biens, et aider les personnes déplacées à rétablir ou améliorer leurs moyens de subsistance et leur niveau de vie d’avant le projet</w:t>
            </w:r>
          </w:p>
          <w:p w14:paraId="61D904D2" w14:textId="77777777" w:rsidR="00874483" w:rsidRPr="00E800E3" w:rsidRDefault="00874483" w:rsidP="00874483">
            <w:pPr>
              <w:rPr>
                <w:rFonts w:eastAsia="Calibri" w:cs="Arial"/>
                <w:i/>
                <w:sz w:val="20"/>
                <w:szCs w:val="20"/>
                <w:u w:val="single"/>
              </w:rPr>
            </w:pPr>
            <w:r w:rsidRPr="00E800E3">
              <w:rPr>
                <w:rFonts w:cs="Arial"/>
                <w:i/>
                <w:iCs/>
                <w:sz w:val="20"/>
                <w:szCs w:val="20"/>
              </w:rPr>
              <w:t>Paragraphes 2</w:t>
            </w:r>
          </w:p>
        </w:tc>
        <w:tc>
          <w:tcPr>
            <w:tcW w:w="5670" w:type="dxa"/>
            <w:vMerge/>
            <w:shd w:val="clear" w:color="auto" w:fill="auto"/>
            <w:vAlign w:val="center"/>
          </w:tcPr>
          <w:p w14:paraId="5D9ACDEB" w14:textId="77777777" w:rsidR="00874483" w:rsidRPr="00E800E3" w:rsidRDefault="00874483" w:rsidP="00874483">
            <w:pPr>
              <w:rPr>
                <w:rFonts w:cs="Arial"/>
                <w:sz w:val="20"/>
                <w:szCs w:val="20"/>
              </w:rPr>
            </w:pPr>
          </w:p>
        </w:tc>
        <w:tc>
          <w:tcPr>
            <w:tcW w:w="3969" w:type="dxa"/>
            <w:shd w:val="clear" w:color="auto" w:fill="auto"/>
            <w:vAlign w:val="center"/>
          </w:tcPr>
          <w:p w14:paraId="16DAA437" w14:textId="77777777" w:rsidR="00874483" w:rsidRPr="00E800E3" w:rsidRDefault="00874483" w:rsidP="00874483">
            <w:pPr>
              <w:rPr>
                <w:rFonts w:eastAsia="Calibri" w:cs="Arial"/>
                <w:sz w:val="20"/>
                <w:szCs w:val="20"/>
              </w:rPr>
            </w:pPr>
            <w:r w:rsidRPr="007A6C83">
              <w:rPr>
                <w:rFonts w:cs="Arial"/>
                <w:sz w:val="20"/>
                <w:szCs w:val="20"/>
              </w:rPr>
              <w:t>La loi nationale satisfait à cette exigence de la NES n°5 Ainsi, c’est le NES n°5 qui s’appliquera et sera suivi par l’IDA.</w:t>
            </w:r>
          </w:p>
        </w:tc>
      </w:tr>
      <w:tr w:rsidR="00874483" w:rsidRPr="00E800E3" w14:paraId="22AA9CDC" w14:textId="77777777" w:rsidTr="00E800E3">
        <w:trPr>
          <w:cantSplit/>
          <w:jc w:val="center"/>
        </w:trPr>
        <w:tc>
          <w:tcPr>
            <w:tcW w:w="5670" w:type="dxa"/>
          </w:tcPr>
          <w:p w14:paraId="45307755"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Ne pas appliquer le NES5 aux effets qui ne sont pas directement imputables à l’acquisition de terres ou aux restrictions à leur utilisation imposée par le projet, mais plutôt gérer ces effets conformément à la NES1</w:t>
            </w:r>
          </w:p>
          <w:p w14:paraId="6F5ED503" w14:textId="77777777" w:rsidR="00874483" w:rsidRPr="00E800E3" w:rsidRDefault="00874483" w:rsidP="00874483">
            <w:pPr>
              <w:rPr>
                <w:rFonts w:eastAsia="Calibri" w:cs="Arial"/>
                <w:i/>
                <w:sz w:val="20"/>
                <w:szCs w:val="20"/>
                <w:u w:val="single"/>
              </w:rPr>
            </w:pPr>
            <w:r w:rsidRPr="00E800E3">
              <w:rPr>
                <w:rFonts w:cs="Arial"/>
                <w:i/>
                <w:iCs/>
                <w:sz w:val="20"/>
                <w:szCs w:val="20"/>
              </w:rPr>
              <w:t>Paragraphes 5 à 9</w:t>
            </w:r>
          </w:p>
        </w:tc>
        <w:tc>
          <w:tcPr>
            <w:tcW w:w="5670" w:type="dxa"/>
            <w:shd w:val="clear" w:color="auto" w:fill="auto"/>
            <w:vAlign w:val="center"/>
          </w:tcPr>
          <w:p w14:paraId="241ECBD4" w14:textId="77777777" w:rsidR="00874483" w:rsidRPr="00E800E3" w:rsidRDefault="00874483" w:rsidP="00874483">
            <w:pPr>
              <w:rPr>
                <w:rFonts w:cs="Arial"/>
                <w:sz w:val="20"/>
                <w:szCs w:val="20"/>
              </w:rPr>
            </w:pPr>
            <w:r w:rsidRPr="007A6C83">
              <w:rPr>
                <w:rFonts w:cs="Arial"/>
                <w:sz w:val="20"/>
                <w:szCs w:val="20"/>
              </w:rPr>
              <w:t>Non mentionné dans la législation nationale congolaise</w:t>
            </w:r>
          </w:p>
        </w:tc>
        <w:tc>
          <w:tcPr>
            <w:tcW w:w="3969" w:type="dxa"/>
            <w:shd w:val="clear" w:color="auto" w:fill="auto"/>
            <w:vAlign w:val="center"/>
          </w:tcPr>
          <w:p w14:paraId="4C7E41AE" w14:textId="77777777" w:rsidR="00874483" w:rsidRPr="00E800E3" w:rsidRDefault="00874483" w:rsidP="00874483">
            <w:pPr>
              <w:rPr>
                <w:rFonts w:eastAsia="Calibri" w:cs="Arial"/>
                <w:sz w:val="20"/>
                <w:szCs w:val="20"/>
              </w:rPr>
            </w:pPr>
            <w:r w:rsidRPr="007A6C83">
              <w:rPr>
                <w:rFonts w:cs="Arial"/>
                <w:sz w:val="20"/>
                <w:szCs w:val="20"/>
              </w:rPr>
              <w:t>La loi nationale ne satisfait pas à cette exigence de la NES n°5. Ainsi, c’est le NES n°5 qui s’appliquera et sera suivi par l’IDA.</w:t>
            </w:r>
          </w:p>
        </w:tc>
      </w:tr>
      <w:tr w:rsidR="00874483" w:rsidRPr="00E800E3" w14:paraId="50B8E88E" w14:textId="77777777" w:rsidTr="00E800E3">
        <w:trPr>
          <w:cantSplit/>
          <w:jc w:val="center"/>
        </w:trPr>
        <w:tc>
          <w:tcPr>
            <w:tcW w:w="5670" w:type="dxa"/>
          </w:tcPr>
          <w:p w14:paraId="065065F0"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Démontrera que l’acquisition forcée de terres ou les restrictions à leur utilisation se limitent aux besoins directs du projet, et étudier des variantes de conception du projet afin d’éviter ou de minimiser l’acquisition de terres ou les restrictions à leur utilisation</w:t>
            </w:r>
          </w:p>
          <w:p w14:paraId="55635CA3" w14:textId="77777777" w:rsidR="00874483" w:rsidRPr="00E800E3" w:rsidRDefault="00874483" w:rsidP="00874483">
            <w:pPr>
              <w:rPr>
                <w:rFonts w:eastAsia="Calibri" w:cs="Arial"/>
                <w:i/>
                <w:sz w:val="20"/>
                <w:szCs w:val="20"/>
                <w:u w:val="single"/>
              </w:rPr>
            </w:pPr>
            <w:r w:rsidRPr="00E800E3">
              <w:rPr>
                <w:rFonts w:cs="Arial"/>
                <w:i/>
                <w:iCs/>
                <w:sz w:val="20"/>
                <w:szCs w:val="20"/>
              </w:rPr>
              <w:t>Paragraphes 11</w:t>
            </w:r>
          </w:p>
        </w:tc>
        <w:tc>
          <w:tcPr>
            <w:tcW w:w="5670" w:type="dxa"/>
            <w:shd w:val="clear" w:color="auto" w:fill="auto"/>
            <w:vAlign w:val="center"/>
          </w:tcPr>
          <w:p w14:paraId="5FE5B8BF" w14:textId="77777777" w:rsidR="00874483" w:rsidRPr="00E800E3" w:rsidRDefault="00874483" w:rsidP="00874483">
            <w:pPr>
              <w:rPr>
                <w:rFonts w:cs="Arial"/>
                <w:sz w:val="20"/>
                <w:szCs w:val="20"/>
              </w:rPr>
            </w:pPr>
            <w:r w:rsidRPr="007A6C83">
              <w:rPr>
                <w:rFonts w:cs="Arial"/>
                <w:sz w:val="20"/>
                <w:szCs w:val="20"/>
              </w:rPr>
              <w:t>Non mentionné dans la législation nationale congolaise</w:t>
            </w:r>
          </w:p>
        </w:tc>
        <w:tc>
          <w:tcPr>
            <w:tcW w:w="3969" w:type="dxa"/>
            <w:shd w:val="clear" w:color="auto" w:fill="auto"/>
            <w:vAlign w:val="center"/>
          </w:tcPr>
          <w:p w14:paraId="0AED67EF" w14:textId="77777777" w:rsidR="00874483" w:rsidRPr="00E800E3" w:rsidRDefault="00874483" w:rsidP="00874483">
            <w:pPr>
              <w:rPr>
                <w:rFonts w:eastAsia="Calibri" w:cs="Arial"/>
                <w:sz w:val="20"/>
                <w:szCs w:val="20"/>
              </w:rPr>
            </w:pPr>
            <w:r w:rsidRPr="007A6C83">
              <w:rPr>
                <w:rFonts w:cs="Arial"/>
                <w:sz w:val="20"/>
                <w:szCs w:val="20"/>
              </w:rPr>
              <w:t>La loi nationale ne satisfait pas à cette exigence de la NES n°5. Ainsi, c’est le NES n°5 qui s’appliquera et sera suivi par l’IDA</w:t>
            </w:r>
          </w:p>
        </w:tc>
      </w:tr>
      <w:tr w:rsidR="00874483" w:rsidRPr="00E800E3" w14:paraId="27B085B6" w14:textId="77777777" w:rsidTr="00E800E3">
        <w:trPr>
          <w:cantSplit/>
          <w:jc w:val="center"/>
        </w:trPr>
        <w:tc>
          <w:tcPr>
            <w:tcW w:w="5670" w:type="dxa"/>
          </w:tcPr>
          <w:p w14:paraId="60BE7A48"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Ne prendre possession des terres et des actifs connexes que lorsque les indemnisations auront été versées conformément aux dispositions de la présente NES et, le cas échéant, lorsque les personnes déplacées auront été réinstallées et les indemnités de déplacement leur auront été versées en sus des indemnisations</w:t>
            </w:r>
          </w:p>
          <w:p w14:paraId="06660F2D" w14:textId="77777777" w:rsidR="00874483" w:rsidRPr="00E800E3" w:rsidRDefault="00874483" w:rsidP="00874483">
            <w:pPr>
              <w:rPr>
                <w:rFonts w:eastAsia="Calibri" w:cs="Arial"/>
                <w:i/>
                <w:sz w:val="20"/>
                <w:szCs w:val="20"/>
                <w:u w:val="single"/>
              </w:rPr>
            </w:pPr>
            <w:r w:rsidRPr="00E800E3">
              <w:rPr>
                <w:rFonts w:cs="Arial"/>
                <w:i/>
                <w:iCs/>
                <w:sz w:val="20"/>
                <w:szCs w:val="20"/>
              </w:rPr>
              <w:t>Paragraphes 15 et 16</w:t>
            </w:r>
          </w:p>
        </w:tc>
        <w:tc>
          <w:tcPr>
            <w:tcW w:w="5670" w:type="dxa"/>
            <w:shd w:val="clear" w:color="auto" w:fill="auto"/>
            <w:vAlign w:val="center"/>
          </w:tcPr>
          <w:p w14:paraId="1460DDDC" w14:textId="77777777" w:rsidR="00874483" w:rsidRPr="00E800E3" w:rsidRDefault="00874483" w:rsidP="00874483">
            <w:pPr>
              <w:rPr>
                <w:rFonts w:cs="Arial"/>
                <w:sz w:val="20"/>
                <w:szCs w:val="20"/>
              </w:rPr>
            </w:pPr>
            <w:r w:rsidRPr="007A6C83">
              <w:rPr>
                <w:rFonts w:cs="Arial"/>
                <w:sz w:val="20"/>
                <w:szCs w:val="20"/>
              </w:rPr>
              <w:t>Non mentionné dans la législation nationale congolaise</w:t>
            </w:r>
          </w:p>
        </w:tc>
        <w:tc>
          <w:tcPr>
            <w:tcW w:w="3969" w:type="dxa"/>
            <w:shd w:val="clear" w:color="auto" w:fill="auto"/>
            <w:vAlign w:val="center"/>
          </w:tcPr>
          <w:p w14:paraId="632BF05A" w14:textId="77777777" w:rsidR="00874483" w:rsidRPr="00E800E3" w:rsidRDefault="00874483" w:rsidP="00874483">
            <w:pPr>
              <w:rPr>
                <w:rFonts w:eastAsia="Calibri" w:cs="Arial"/>
                <w:sz w:val="20"/>
                <w:szCs w:val="20"/>
              </w:rPr>
            </w:pPr>
            <w:r w:rsidRPr="00DF4321">
              <w:rPr>
                <w:rFonts w:cs="Arial"/>
                <w:sz w:val="20"/>
                <w:szCs w:val="20"/>
              </w:rPr>
              <w:t>La loi nationale ne satisfait pas à cette exigence de la NES n°5. Ainsi, c’est le NES n°5 qui s’appliquera et sera suivi par l’IDA.</w:t>
            </w:r>
          </w:p>
        </w:tc>
      </w:tr>
      <w:tr w:rsidR="00874483" w:rsidRPr="00E800E3" w14:paraId="40A839ED" w14:textId="77777777" w:rsidTr="00E800E3">
        <w:trPr>
          <w:cantSplit/>
          <w:jc w:val="center"/>
        </w:trPr>
        <w:tc>
          <w:tcPr>
            <w:tcW w:w="5670" w:type="dxa"/>
          </w:tcPr>
          <w:p w14:paraId="3A0668DD"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Veiller à ce qu’un mécanisme de gestion des plaintes soit en place le plus tôt possible pendant la phase de préparation du projet, conformément aux dispositions de la NES10, afin de gérer les préoccupations soulevées par les personnes déplacées</w:t>
            </w:r>
          </w:p>
          <w:p w14:paraId="22F1C6A5" w14:textId="77777777" w:rsidR="00874483" w:rsidRPr="00E800E3" w:rsidRDefault="00874483" w:rsidP="00874483">
            <w:pPr>
              <w:rPr>
                <w:rFonts w:eastAsia="Calibri" w:cs="Arial"/>
                <w:i/>
                <w:sz w:val="20"/>
                <w:szCs w:val="20"/>
                <w:u w:val="single"/>
              </w:rPr>
            </w:pPr>
            <w:r w:rsidRPr="00E800E3">
              <w:rPr>
                <w:rFonts w:cs="Arial"/>
                <w:i/>
                <w:iCs/>
                <w:sz w:val="20"/>
                <w:szCs w:val="20"/>
              </w:rPr>
              <w:t>Paragraphe 19</w:t>
            </w:r>
          </w:p>
        </w:tc>
        <w:tc>
          <w:tcPr>
            <w:tcW w:w="5670" w:type="dxa"/>
            <w:shd w:val="clear" w:color="auto" w:fill="auto"/>
            <w:vAlign w:val="center"/>
          </w:tcPr>
          <w:p w14:paraId="305E720C"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L’article 11 de la Loi n° 77-001 du 22 février 1977 dispose que les réclamations, observations et accords auxquels la décision d’expropriation donne lieu, ainsi que les prix, indemnités ou compensations dûment justifiés, que les personnes intéressées réclament, doivent être portés à la connaissance de l’autorité qui a pris la décision d’expropriation, dans le délai d’un mois à dater de l’avis de réception ou du récépissé prévus aux articles 7 et 8 qui précèdent. Négociation à travers les structures étatiques pour s’entendre sur le montant de l’indemnisation. Dans le cas contraire, la phase judiciaire est mise en œuvre.</w:t>
            </w:r>
          </w:p>
        </w:tc>
        <w:tc>
          <w:tcPr>
            <w:tcW w:w="3969" w:type="dxa"/>
            <w:shd w:val="clear" w:color="auto" w:fill="auto"/>
            <w:vAlign w:val="center"/>
          </w:tcPr>
          <w:p w14:paraId="324A027D" w14:textId="77777777" w:rsidR="00874483" w:rsidRPr="007A6C83" w:rsidRDefault="00874483" w:rsidP="00874483">
            <w:pPr>
              <w:autoSpaceDE w:val="0"/>
              <w:autoSpaceDN w:val="0"/>
              <w:rPr>
                <w:rFonts w:cs="Arial"/>
                <w:sz w:val="20"/>
                <w:szCs w:val="20"/>
              </w:rPr>
            </w:pPr>
            <w:r w:rsidRPr="007A6C83">
              <w:rPr>
                <w:rFonts w:cs="Arial"/>
                <w:sz w:val="20"/>
                <w:szCs w:val="20"/>
              </w:rPr>
              <w:t>Deux modalités différentes sur le plan des principes mais dans la réalité les mécanismes de résolution de conflit rejoignent ceux exigés par la Banque mondiale. Ainsi, les exigences de la Norme 5 de la Banque mondiale s’appliqueront</w:t>
            </w:r>
          </w:p>
          <w:p w14:paraId="5C4E3DDD" w14:textId="77777777" w:rsidR="00874483" w:rsidRPr="00E800E3" w:rsidRDefault="00874483" w:rsidP="00874483">
            <w:pPr>
              <w:rPr>
                <w:rFonts w:eastAsia="Calibri" w:cs="Arial"/>
                <w:sz w:val="20"/>
                <w:szCs w:val="20"/>
              </w:rPr>
            </w:pPr>
          </w:p>
        </w:tc>
      </w:tr>
      <w:tr w:rsidR="00874483" w:rsidRPr="00E800E3" w14:paraId="47385A94" w14:textId="77777777" w:rsidTr="00E800E3">
        <w:trPr>
          <w:cantSplit/>
          <w:jc w:val="center"/>
        </w:trPr>
        <w:tc>
          <w:tcPr>
            <w:tcW w:w="5670" w:type="dxa"/>
          </w:tcPr>
          <w:p w14:paraId="10C30F7E"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Dans le cadre de l’évaluation environnementale et sociale, recenser les personnes touchées par le projet, faire l’inventaire des terres et des biens concernés, identifier les personnes éligibles à être indemnisées ou aidées, et dissuader celles qui ne rempliront pas les conditions requises à cette fin, et préparer un plan de réinstallation proportionné aux risques et effets associés</w:t>
            </w:r>
          </w:p>
          <w:p w14:paraId="263618CF" w14:textId="77777777" w:rsidR="00874483" w:rsidRPr="00E800E3" w:rsidRDefault="00874483" w:rsidP="00874483">
            <w:pPr>
              <w:rPr>
                <w:rFonts w:eastAsia="Calibri" w:cs="Arial"/>
                <w:i/>
                <w:sz w:val="20"/>
                <w:szCs w:val="20"/>
                <w:u w:val="single"/>
              </w:rPr>
            </w:pPr>
            <w:r w:rsidRPr="00E800E3">
              <w:rPr>
                <w:rFonts w:cs="Arial"/>
                <w:i/>
                <w:iCs/>
                <w:sz w:val="20"/>
                <w:szCs w:val="20"/>
              </w:rPr>
              <w:t>Paragraphes 20 à 25</w:t>
            </w:r>
          </w:p>
        </w:tc>
        <w:tc>
          <w:tcPr>
            <w:tcW w:w="5670" w:type="dxa"/>
            <w:shd w:val="clear" w:color="auto" w:fill="auto"/>
            <w:vAlign w:val="center"/>
          </w:tcPr>
          <w:p w14:paraId="04629458" w14:textId="77777777" w:rsidR="00874483" w:rsidRPr="007A6C83" w:rsidRDefault="00874483" w:rsidP="00874483">
            <w:pPr>
              <w:spacing w:before="60" w:after="60"/>
              <w:rPr>
                <w:rFonts w:cs="Arial"/>
                <w:sz w:val="20"/>
                <w:szCs w:val="20"/>
              </w:rPr>
            </w:pPr>
            <w:r w:rsidRPr="007A6C83">
              <w:rPr>
                <w:rFonts w:cs="Arial"/>
                <w:sz w:val="20"/>
                <w:szCs w:val="20"/>
              </w:rPr>
              <w:t>Les personnes éligibles à une compensation sont les propriétaires d’un immeuble ; les titulaires de droits réels immobiliers et fonciers ; les titulaires des droits de créance ayant pour objet l’acquisition ou la jouissance d’un immeuble ; les titulaires de droits des communautés locales sur les terres domaniales (article premier Loi n° 77-001 du 22 février 1977).</w:t>
            </w:r>
          </w:p>
          <w:p w14:paraId="54E1B0F6" w14:textId="77777777" w:rsidR="00874483" w:rsidRPr="007A6C83" w:rsidRDefault="00874483" w:rsidP="00874483">
            <w:pPr>
              <w:rPr>
                <w:rFonts w:cs="Arial"/>
                <w:sz w:val="20"/>
                <w:szCs w:val="20"/>
              </w:rPr>
            </w:pPr>
          </w:p>
          <w:p w14:paraId="714EA1A9" w14:textId="77777777" w:rsidR="00874483" w:rsidRPr="007A6C83" w:rsidRDefault="00874483" w:rsidP="007A6C83">
            <w:r w:rsidRPr="007A6C83">
              <w:rPr>
                <w:rFonts w:cs="Arial"/>
                <w:sz w:val="20"/>
                <w:szCs w:val="20"/>
              </w:rPr>
              <w:t xml:space="preserve">L’EIES exige le recensement </w:t>
            </w:r>
            <w:r w:rsidRPr="007A6C83">
              <w:rPr>
                <w:rFonts w:eastAsia="Arial" w:cs="Arial"/>
                <w:w w:val="105"/>
                <w:sz w:val="20"/>
                <w:szCs w:val="20"/>
              </w:rPr>
              <w:t>des personnes touchées par le projet, faire l’inventaire des terres et des biens concernés, identifier les personnes éligibles à être expropriées.</w:t>
            </w:r>
          </w:p>
        </w:tc>
        <w:tc>
          <w:tcPr>
            <w:tcW w:w="3969" w:type="dxa"/>
            <w:shd w:val="clear" w:color="auto" w:fill="auto"/>
            <w:vAlign w:val="center"/>
          </w:tcPr>
          <w:p w14:paraId="709CB77E" w14:textId="77777777" w:rsidR="00874483" w:rsidRPr="00E800E3" w:rsidRDefault="00874483" w:rsidP="00874483">
            <w:pPr>
              <w:rPr>
                <w:rFonts w:eastAsia="Calibri" w:cs="Arial"/>
                <w:sz w:val="20"/>
                <w:szCs w:val="20"/>
              </w:rPr>
            </w:pPr>
            <w:r w:rsidRPr="007A6C83">
              <w:rPr>
                <w:rFonts w:cs="Arial"/>
                <w:sz w:val="20"/>
                <w:szCs w:val="20"/>
              </w:rPr>
              <w:t>La loi nationale satisfait cette exigence de la NES n°5. Ainsi, la NES n°5 s’appliquera</w:t>
            </w:r>
          </w:p>
        </w:tc>
      </w:tr>
      <w:tr w:rsidR="00874483" w:rsidRPr="00E800E3" w14:paraId="1F4D210C" w14:textId="77777777" w:rsidTr="00E800E3">
        <w:trPr>
          <w:cantSplit/>
          <w:jc w:val="center"/>
        </w:trPr>
        <w:tc>
          <w:tcPr>
            <w:tcW w:w="5670" w:type="dxa"/>
          </w:tcPr>
          <w:p w14:paraId="57F7B8B4"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Offrir aux personnes concernées par un déplacement physique le choix entre un bien de remplacement d’une valeur égale ou supérieure, avec sécurité de jouissance, ou une indemnisation financière au coût de remplacement, ainsi qu’un appui temporaire afin de rétablir leur capacité à gagner leur vie, leur niveau de production et de vie.</w:t>
            </w:r>
          </w:p>
          <w:p w14:paraId="5575C288" w14:textId="77777777" w:rsidR="00874483" w:rsidRPr="00E800E3" w:rsidRDefault="00874483" w:rsidP="00874483">
            <w:pPr>
              <w:rPr>
                <w:rFonts w:eastAsia="Calibri" w:cs="Arial"/>
                <w:i/>
                <w:sz w:val="20"/>
                <w:szCs w:val="20"/>
                <w:u w:val="single"/>
              </w:rPr>
            </w:pPr>
            <w:r w:rsidRPr="00E800E3">
              <w:rPr>
                <w:rFonts w:cs="Arial"/>
                <w:i/>
                <w:iCs/>
                <w:sz w:val="20"/>
                <w:szCs w:val="20"/>
              </w:rPr>
              <w:t>Paragraphes 26 à 32</w:t>
            </w:r>
          </w:p>
        </w:tc>
        <w:tc>
          <w:tcPr>
            <w:tcW w:w="5670" w:type="dxa"/>
            <w:shd w:val="clear" w:color="auto" w:fill="auto"/>
          </w:tcPr>
          <w:p w14:paraId="21B4BFE3" w14:textId="77777777" w:rsidR="00874483" w:rsidRPr="007A6C83" w:rsidRDefault="00874483" w:rsidP="007A6C83">
            <w:pPr>
              <w:pStyle w:val="Tabletext0"/>
              <w:spacing w:line="276" w:lineRule="auto"/>
              <w:rPr>
                <w:rFonts w:ascii="Arial" w:hAnsi="Arial" w:cs="Arial"/>
                <w:szCs w:val="20"/>
              </w:rPr>
            </w:pPr>
          </w:p>
          <w:p w14:paraId="2E323132" w14:textId="77777777" w:rsidR="00874483" w:rsidRPr="007A6C83" w:rsidRDefault="00874483" w:rsidP="007A6C83">
            <w:pPr>
              <w:pStyle w:val="Tabletext0"/>
              <w:spacing w:line="276" w:lineRule="auto"/>
              <w:rPr>
                <w:rFonts w:ascii="Arial" w:hAnsi="Arial" w:cs="Arial"/>
                <w:szCs w:val="20"/>
              </w:rPr>
            </w:pPr>
          </w:p>
          <w:p w14:paraId="56961AD0" w14:textId="77777777" w:rsidR="00874483" w:rsidRPr="007A6C83" w:rsidRDefault="00874483" w:rsidP="007A6C83">
            <w:pPr>
              <w:pStyle w:val="Tabletext0"/>
              <w:spacing w:line="276" w:lineRule="auto"/>
              <w:rPr>
                <w:rFonts w:ascii="Arial" w:hAnsi="Arial" w:cs="Arial"/>
                <w:szCs w:val="20"/>
              </w:rPr>
            </w:pPr>
          </w:p>
          <w:p w14:paraId="578F7A9F" w14:textId="77777777" w:rsidR="00874483" w:rsidRPr="007A6C83" w:rsidRDefault="00874483" w:rsidP="007A6C83">
            <w:pPr>
              <w:pStyle w:val="Tabletext0"/>
              <w:spacing w:line="276" w:lineRule="auto"/>
              <w:rPr>
                <w:rFonts w:ascii="Arial" w:eastAsia="Times New Roman" w:hAnsi="Arial" w:cs="Arial"/>
                <w:szCs w:val="20"/>
              </w:rPr>
            </w:pPr>
            <w:r w:rsidRPr="007A6C83">
              <w:rPr>
                <w:rFonts w:ascii="Arial" w:hAnsi="Arial" w:cs="Arial"/>
                <w:szCs w:val="20"/>
              </w:rPr>
              <w:t>Non mentionné dans la législation nationale</w:t>
            </w:r>
          </w:p>
        </w:tc>
        <w:tc>
          <w:tcPr>
            <w:tcW w:w="3969" w:type="dxa"/>
            <w:shd w:val="clear" w:color="auto" w:fill="auto"/>
            <w:vAlign w:val="center"/>
          </w:tcPr>
          <w:p w14:paraId="36601688" w14:textId="77777777" w:rsidR="00874483" w:rsidRPr="00E800E3" w:rsidRDefault="00874483" w:rsidP="00874483">
            <w:pPr>
              <w:rPr>
                <w:rFonts w:eastAsia="Calibri" w:cs="Arial"/>
                <w:sz w:val="20"/>
                <w:szCs w:val="20"/>
              </w:rPr>
            </w:pPr>
            <w:r w:rsidRPr="00DF4321">
              <w:rPr>
                <w:rFonts w:cs="Arial"/>
                <w:sz w:val="20"/>
                <w:szCs w:val="20"/>
              </w:rPr>
              <w:t>La loi nationale ne satisfait pas à cette exigence de la NES n°5. Ainsi, c’est le NES n°5 qui s’appliquera et sera suivi par l’IDA.</w:t>
            </w:r>
          </w:p>
        </w:tc>
      </w:tr>
      <w:tr w:rsidR="00874483" w:rsidRPr="00E800E3" w14:paraId="21668229" w14:textId="77777777" w:rsidTr="007A6C83">
        <w:trPr>
          <w:cantSplit/>
          <w:jc w:val="center"/>
        </w:trPr>
        <w:tc>
          <w:tcPr>
            <w:tcW w:w="5670" w:type="dxa"/>
          </w:tcPr>
          <w:p w14:paraId="6CF98154"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Au besoin, mettre en œuvre un plan contenant des mesures pour aider les personnes touchées à améliorer, ou tout au moins rétablir, leurs revenus ou moyens de subsistance, et faire en sorte ces prestations soient accordées d’une manière transparente, cohérente et équitable.</w:t>
            </w:r>
          </w:p>
          <w:p w14:paraId="3AE367A8" w14:textId="77777777" w:rsidR="00874483" w:rsidRPr="00E800E3" w:rsidRDefault="00874483" w:rsidP="00874483">
            <w:pPr>
              <w:rPr>
                <w:rFonts w:eastAsia="Calibri" w:cs="Arial"/>
                <w:i/>
                <w:sz w:val="20"/>
                <w:szCs w:val="20"/>
                <w:u w:val="single"/>
              </w:rPr>
            </w:pPr>
            <w:r w:rsidRPr="00E800E3">
              <w:rPr>
                <w:rFonts w:cs="Arial"/>
                <w:i/>
                <w:iCs/>
                <w:sz w:val="20"/>
                <w:szCs w:val="20"/>
              </w:rPr>
              <w:t>Paragraphes 33 à 36</w:t>
            </w:r>
          </w:p>
        </w:tc>
        <w:tc>
          <w:tcPr>
            <w:tcW w:w="5670" w:type="dxa"/>
            <w:shd w:val="clear" w:color="auto" w:fill="auto"/>
          </w:tcPr>
          <w:p w14:paraId="410C607D" w14:textId="77777777" w:rsidR="00874483" w:rsidRPr="007A6C83" w:rsidRDefault="00874483" w:rsidP="007A6C83">
            <w:pPr>
              <w:pStyle w:val="Tabletext0"/>
              <w:spacing w:line="276" w:lineRule="auto"/>
              <w:rPr>
                <w:rFonts w:ascii="Arial" w:hAnsi="Arial" w:cs="Arial"/>
                <w:szCs w:val="20"/>
              </w:rPr>
            </w:pPr>
          </w:p>
          <w:p w14:paraId="12DE67B1" w14:textId="77777777" w:rsidR="00874483" w:rsidRPr="007A6C83" w:rsidRDefault="00874483" w:rsidP="007A6C83">
            <w:pPr>
              <w:pStyle w:val="Tabletext0"/>
              <w:spacing w:line="276" w:lineRule="auto"/>
              <w:rPr>
                <w:rFonts w:ascii="Arial" w:hAnsi="Arial" w:cs="Arial"/>
                <w:szCs w:val="20"/>
              </w:rPr>
            </w:pPr>
          </w:p>
          <w:p w14:paraId="793CA154" w14:textId="77777777" w:rsidR="00874483" w:rsidRPr="007A6C83" w:rsidRDefault="00874483" w:rsidP="007A6C83">
            <w:pPr>
              <w:pStyle w:val="Tabletext0"/>
              <w:spacing w:line="276" w:lineRule="auto"/>
              <w:rPr>
                <w:rFonts w:ascii="Arial" w:hAnsi="Arial" w:cs="Arial"/>
                <w:szCs w:val="20"/>
              </w:rPr>
            </w:pPr>
          </w:p>
          <w:p w14:paraId="2605FDEA" w14:textId="77777777" w:rsidR="00874483" w:rsidRPr="00E800E3" w:rsidRDefault="00874483" w:rsidP="00874483">
            <w:pPr>
              <w:rPr>
                <w:rFonts w:cs="Arial"/>
                <w:sz w:val="20"/>
                <w:szCs w:val="20"/>
              </w:rPr>
            </w:pPr>
            <w:r w:rsidRPr="007A6C83">
              <w:rPr>
                <w:rFonts w:cs="Arial"/>
                <w:sz w:val="20"/>
                <w:szCs w:val="20"/>
              </w:rPr>
              <w:t>Non mentionné dans la législation nationale</w:t>
            </w:r>
          </w:p>
        </w:tc>
        <w:tc>
          <w:tcPr>
            <w:tcW w:w="3969" w:type="dxa"/>
            <w:shd w:val="clear" w:color="auto" w:fill="auto"/>
          </w:tcPr>
          <w:p w14:paraId="4EEAD126" w14:textId="77777777" w:rsidR="00874483" w:rsidRPr="00E800E3" w:rsidRDefault="00874483" w:rsidP="00874483">
            <w:pPr>
              <w:autoSpaceDE w:val="0"/>
              <w:autoSpaceDN w:val="0"/>
              <w:rPr>
                <w:rFonts w:eastAsia="Calibri" w:cs="Arial"/>
                <w:sz w:val="20"/>
                <w:szCs w:val="20"/>
              </w:rPr>
            </w:pPr>
            <w:r w:rsidRPr="00A42DA9">
              <w:rPr>
                <w:rFonts w:cs="Arial"/>
                <w:sz w:val="20"/>
                <w:szCs w:val="20"/>
              </w:rPr>
              <w:t>La loi nationale ne satisfait pas à cette exigence de la NES n°5. Ainsi, c’est le NES n°5 qui s’appliquera et sera suivi par l’IDA.</w:t>
            </w:r>
          </w:p>
        </w:tc>
      </w:tr>
      <w:tr w:rsidR="00874483" w:rsidRPr="00E800E3" w14:paraId="67BADC84" w14:textId="77777777" w:rsidTr="007A6C83">
        <w:trPr>
          <w:cantSplit/>
          <w:jc w:val="center"/>
        </w:trPr>
        <w:tc>
          <w:tcPr>
            <w:tcW w:w="5670" w:type="dxa"/>
          </w:tcPr>
          <w:p w14:paraId="749C3330"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Assurer la collaboration entre l’entité chargée de la mise en œuvre du projet et toute autre agence publique ou autorité ou entité locale chargée de l’acquisition de terres, de la planification de la réinstallation, ou de la mise à disposition de l’aide nécessaire, et au besoin demander l’assistance technique ou l’aide financière de la Banque mondiale</w:t>
            </w:r>
          </w:p>
          <w:p w14:paraId="27649F8A" w14:textId="77777777" w:rsidR="00874483" w:rsidRPr="00E800E3" w:rsidRDefault="00874483" w:rsidP="00874483">
            <w:pPr>
              <w:rPr>
                <w:rFonts w:eastAsia="Calibri" w:cs="Arial"/>
                <w:i/>
                <w:sz w:val="20"/>
                <w:szCs w:val="20"/>
                <w:u w:val="single"/>
              </w:rPr>
            </w:pPr>
            <w:r w:rsidRPr="00E800E3">
              <w:rPr>
                <w:rFonts w:cs="Arial"/>
                <w:i/>
                <w:iCs/>
                <w:sz w:val="20"/>
                <w:szCs w:val="20"/>
              </w:rPr>
              <w:t>Paragraphes 37 à 39</w:t>
            </w:r>
          </w:p>
        </w:tc>
        <w:tc>
          <w:tcPr>
            <w:tcW w:w="5670" w:type="dxa"/>
            <w:shd w:val="clear" w:color="auto" w:fill="auto"/>
          </w:tcPr>
          <w:p w14:paraId="5A494893" w14:textId="77777777" w:rsidR="00874483" w:rsidRPr="007A6C83" w:rsidRDefault="00874483" w:rsidP="007A6C83">
            <w:pPr>
              <w:pStyle w:val="Tabletext0"/>
              <w:spacing w:line="276" w:lineRule="auto"/>
              <w:rPr>
                <w:rFonts w:ascii="Arial" w:hAnsi="Arial" w:cs="Arial"/>
                <w:szCs w:val="20"/>
              </w:rPr>
            </w:pPr>
          </w:p>
          <w:p w14:paraId="48720844" w14:textId="77777777" w:rsidR="00874483" w:rsidRPr="007A6C83" w:rsidRDefault="00874483" w:rsidP="007A6C83">
            <w:pPr>
              <w:pStyle w:val="Tabletext0"/>
              <w:spacing w:line="276" w:lineRule="auto"/>
              <w:rPr>
                <w:rFonts w:ascii="Arial" w:hAnsi="Arial" w:cs="Arial"/>
                <w:szCs w:val="20"/>
              </w:rPr>
            </w:pPr>
          </w:p>
          <w:p w14:paraId="59B402E0" w14:textId="77777777" w:rsidR="00874483" w:rsidRPr="007A6C83" w:rsidRDefault="00874483" w:rsidP="007A6C83">
            <w:pPr>
              <w:pStyle w:val="Tabletext0"/>
              <w:spacing w:line="276" w:lineRule="auto"/>
              <w:rPr>
                <w:rFonts w:ascii="Arial" w:hAnsi="Arial" w:cs="Arial"/>
                <w:szCs w:val="20"/>
              </w:rPr>
            </w:pPr>
          </w:p>
          <w:p w14:paraId="69DF33F9" w14:textId="77777777" w:rsidR="00874483" w:rsidRPr="00E800E3" w:rsidRDefault="00874483" w:rsidP="00874483">
            <w:pPr>
              <w:rPr>
                <w:rFonts w:cs="Arial"/>
                <w:sz w:val="20"/>
                <w:szCs w:val="20"/>
              </w:rPr>
            </w:pPr>
            <w:r w:rsidRPr="007A6C83">
              <w:rPr>
                <w:rFonts w:cs="Arial"/>
                <w:sz w:val="20"/>
                <w:szCs w:val="20"/>
              </w:rPr>
              <w:t>Non mentionné dans la législation nationale</w:t>
            </w:r>
          </w:p>
        </w:tc>
        <w:tc>
          <w:tcPr>
            <w:tcW w:w="3969" w:type="dxa"/>
            <w:shd w:val="clear" w:color="auto" w:fill="auto"/>
          </w:tcPr>
          <w:p w14:paraId="32D9C72D" w14:textId="77777777" w:rsidR="00874483" w:rsidRPr="00E800E3" w:rsidRDefault="00874483" w:rsidP="00874483">
            <w:pPr>
              <w:rPr>
                <w:rFonts w:eastAsia="Calibri" w:cs="Arial"/>
                <w:sz w:val="20"/>
                <w:szCs w:val="20"/>
              </w:rPr>
            </w:pPr>
            <w:r w:rsidRPr="00A42DA9">
              <w:rPr>
                <w:rFonts w:cs="Arial"/>
                <w:sz w:val="20"/>
                <w:szCs w:val="20"/>
              </w:rPr>
              <w:t>La loi nationale ne satisfait pas à cette exigence de la NES n°5. Ainsi, c’est le NES n°5 qui s’appliquera et sera suivi par l’IDA.</w:t>
            </w:r>
          </w:p>
        </w:tc>
      </w:tr>
      <w:tr w:rsidR="00874483" w:rsidRPr="00E800E3" w14:paraId="5BA08D4A" w14:textId="77777777" w:rsidTr="00730A4A">
        <w:trPr>
          <w:cantSplit/>
          <w:jc w:val="center"/>
        </w:trPr>
        <w:tc>
          <w:tcPr>
            <w:tcW w:w="15309" w:type="dxa"/>
            <w:gridSpan w:val="3"/>
            <w:shd w:val="clear" w:color="auto" w:fill="C5E0B3"/>
            <w:vAlign w:val="center"/>
          </w:tcPr>
          <w:p w14:paraId="06AAA5A0" w14:textId="77777777" w:rsidR="00874483" w:rsidRPr="007A6C83" w:rsidRDefault="00874483" w:rsidP="00874483">
            <w:pPr>
              <w:spacing w:before="60" w:after="60"/>
              <w:rPr>
                <w:rFonts w:eastAsia="Calibri" w:cs="Arial"/>
                <w:b/>
                <w:bCs/>
                <w:sz w:val="20"/>
                <w:szCs w:val="20"/>
              </w:rPr>
            </w:pPr>
            <w:r w:rsidRPr="007A6C83">
              <w:rPr>
                <w:rFonts w:eastAsia="Calibri" w:cs="Arial"/>
                <w:b/>
                <w:bCs/>
                <w:sz w:val="20"/>
                <w:szCs w:val="20"/>
              </w:rPr>
              <w:t>NES 6.  Préservation de la biodiversité et gestion durable des ressources naturelles biologiques ;</w:t>
            </w:r>
          </w:p>
        </w:tc>
      </w:tr>
      <w:tr w:rsidR="00874483" w:rsidRPr="00E800E3" w14:paraId="37ED8230" w14:textId="77777777" w:rsidTr="00E800E3">
        <w:trPr>
          <w:cantSplit/>
          <w:jc w:val="center"/>
        </w:trPr>
        <w:tc>
          <w:tcPr>
            <w:tcW w:w="5670" w:type="dxa"/>
          </w:tcPr>
          <w:p w14:paraId="3959497E"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Déterminera les risques et effets potentiels du projet sur les habitats et la biodiversité qu’ils abritent, évaluer ces risques et effets du projet, et les gérer selon le principe de la hiérarchie d’atténuation et les BPISA.</w:t>
            </w:r>
          </w:p>
          <w:p w14:paraId="3165390C"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i/>
                <w:iCs/>
                <w:szCs w:val="20"/>
              </w:rPr>
              <w:t>Paragraphe 10 à 12</w:t>
            </w:r>
          </w:p>
        </w:tc>
        <w:tc>
          <w:tcPr>
            <w:tcW w:w="5670" w:type="dxa"/>
            <w:shd w:val="clear" w:color="auto" w:fill="auto"/>
            <w:vAlign w:val="center"/>
          </w:tcPr>
          <w:p w14:paraId="134A45C6" w14:textId="77777777" w:rsidR="00874483" w:rsidRPr="007A6C83" w:rsidRDefault="00874483" w:rsidP="007A6C83">
            <w:pPr>
              <w:pStyle w:val="Tabletext0"/>
              <w:spacing w:line="276" w:lineRule="auto"/>
              <w:rPr>
                <w:rFonts w:ascii="Arial" w:hAnsi="Arial" w:cs="Arial"/>
                <w:szCs w:val="20"/>
                <w:lang w:eastAsia="fr-FR"/>
              </w:rPr>
            </w:pPr>
            <w:r w:rsidRPr="007A6C83">
              <w:rPr>
                <w:rFonts w:ascii="Arial" w:hAnsi="Arial" w:cs="Arial"/>
                <w:szCs w:val="20"/>
              </w:rPr>
              <w:t>La Loi n° 11/009 du 09 juillet 2011 portant Principes fondamentaux relatifs à la protection de l’environnement, et le Décret n° 14/019 du 02 août 2014 fixant les règles de fonctionnement des mécanismes procéduraux de la protection de l’environnement et mettent un accent particulier sur les habitats naturels. Aussi, il est stipulé en son article 32 que l’Etat, la Province et l’Entité Territoriale Décentralisée assurent, dans les limites de leurs compétences respectives, la conservation et la gestion durable de la diversité biologique</w:t>
            </w:r>
          </w:p>
        </w:tc>
        <w:tc>
          <w:tcPr>
            <w:tcW w:w="3969" w:type="dxa"/>
            <w:shd w:val="clear" w:color="auto" w:fill="auto"/>
            <w:vAlign w:val="center"/>
          </w:tcPr>
          <w:p w14:paraId="23636A30" w14:textId="77777777" w:rsidR="00874483" w:rsidRPr="007A6C83" w:rsidRDefault="00874483" w:rsidP="00874483">
            <w:pPr>
              <w:rPr>
                <w:rFonts w:eastAsia="Calibri" w:cs="Arial"/>
                <w:sz w:val="20"/>
                <w:szCs w:val="20"/>
              </w:rPr>
            </w:pPr>
            <w:r w:rsidRPr="007A6C83">
              <w:rPr>
                <w:rFonts w:eastAsia="Calibri" w:cs="Arial"/>
                <w:sz w:val="20"/>
                <w:szCs w:val="20"/>
              </w:rPr>
              <w:t>La loi nationale satisfait partiellement à cette NES n°6. Donc la NES n°6 s’appliquera</w:t>
            </w:r>
          </w:p>
        </w:tc>
      </w:tr>
      <w:tr w:rsidR="00874483" w:rsidRPr="00E800E3" w14:paraId="072B7FEF" w14:textId="77777777" w:rsidTr="00E800E3">
        <w:trPr>
          <w:cantSplit/>
          <w:jc w:val="center"/>
        </w:trPr>
        <w:tc>
          <w:tcPr>
            <w:tcW w:w="5670" w:type="dxa"/>
          </w:tcPr>
          <w:p w14:paraId="2DA8419B"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Lorsque la stratégie d’atténuation comprend un système de compensation, faire intervenir les parties concernées et des experts qualifiés, et démontrer que ce système entrainera de préférence un gain net de biodiversité, et qu’il sera techniquement et financièrement viable à long terme</w:t>
            </w:r>
          </w:p>
          <w:p w14:paraId="2AE9ACCE"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i/>
                <w:iCs/>
                <w:szCs w:val="20"/>
              </w:rPr>
              <w:t>Paragraphes 13 à 16</w:t>
            </w:r>
          </w:p>
        </w:tc>
        <w:tc>
          <w:tcPr>
            <w:tcW w:w="5670" w:type="dxa"/>
            <w:shd w:val="clear" w:color="auto" w:fill="auto"/>
          </w:tcPr>
          <w:p w14:paraId="619717FA" w14:textId="77777777" w:rsidR="00874483" w:rsidRPr="007A6C83" w:rsidRDefault="00874483" w:rsidP="007A6C83">
            <w:pPr>
              <w:pStyle w:val="Tabletext0"/>
              <w:spacing w:line="276" w:lineRule="auto"/>
              <w:rPr>
                <w:rFonts w:ascii="Arial" w:hAnsi="Arial" w:cs="Arial"/>
                <w:szCs w:val="20"/>
              </w:rPr>
            </w:pPr>
          </w:p>
          <w:p w14:paraId="7C7FB40C" w14:textId="77777777" w:rsidR="00874483" w:rsidRPr="007A6C83" w:rsidRDefault="00874483" w:rsidP="007A6C83">
            <w:pPr>
              <w:pStyle w:val="Tabletext0"/>
              <w:spacing w:line="276" w:lineRule="auto"/>
              <w:rPr>
                <w:rFonts w:ascii="Arial" w:hAnsi="Arial" w:cs="Arial"/>
                <w:szCs w:val="20"/>
              </w:rPr>
            </w:pPr>
          </w:p>
          <w:p w14:paraId="4A2B3595" w14:textId="77777777" w:rsidR="00874483" w:rsidRPr="007A6C83" w:rsidRDefault="00874483" w:rsidP="007A6C83">
            <w:pPr>
              <w:pStyle w:val="Tabletext0"/>
              <w:spacing w:line="276" w:lineRule="auto"/>
              <w:rPr>
                <w:rFonts w:ascii="Arial" w:hAnsi="Arial" w:cs="Arial"/>
                <w:szCs w:val="20"/>
              </w:rPr>
            </w:pPr>
          </w:p>
          <w:p w14:paraId="76B36D77" w14:textId="77777777" w:rsidR="00874483" w:rsidRPr="007A6C83" w:rsidRDefault="00874483" w:rsidP="007A6C83">
            <w:pPr>
              <w:pStyle w:val="Tabletext0"/>
              <w:spacing w:line="276" w:lineRule="auto"/>
              <w:rPr>
                <w:rFonts w:ascii="Arial" w:hAnsi="Arial" w:cs="Arial"/>
                <w:szCs w:val="20"/>
                <w:lang w:eastAsia="fr-FR"/>
              </w:rPr>
            </w:pPr>
            <w:r w:rsidRPr="007A6C83">
              <w:rPr>
                <w:rFonts w:ascii="Arial" w:hAnsi="Arial" w:cs="Arial"/>
                <w:szCs w:val="20"/>
              </w:rPr>
              <w:t>Non mentionné dans la législation nationale</w:t>
            </w:r>
          </w:p>
        </w:tc>
        <w:tc>
          <w:tcPr>
            <w:tcW w:w="3969" w:type="dxa"/>
            <w:shd w:val="clear" w:color="auto" w:fill="auto"/>
            <w:vAlign w:val="center"/>
          </w:tcPr>
          <w:p w14:paraId="5C7B745A" w14:textId="77777777" w:rsidR="00874483" w:rsidRPr="007A6C83" w:rsidRDefault="00874483" w:rsidP="00874483">
            <w:pPr>
              <w:rPr>
                <w:rFonts w:eastAsia="Calibri" w:cs="Arial"/>
                <w:sz w:val="20"/>
                <w:szCs w:val="20"/>
              </w:rPr>
            </w:pPr>
            <w:r w:rsidRPr="007A6C83">
              <w:rPr>
                <w:rFonts w:eastAsia="Calibri" w:cs="Arial"/>
                <w:sz w:val="20"/>
                <w:szCs w:val="20"/>
              </w:rPr>
              <w:t>La loi nationale ne satisfait pas à cette NES n°6. Donc la NES n°6 s’appliquera</w:t>
            </w:r>
          </w:p>
        </w:tc>
      </w:tr>
      <w:tr w:rsidR="00874483" w:rsidRPr="00E800E3" w14:paraId="5D79D319" w14:textId="77777777" w:rsidTr="00E800E3">
        <w:trPr>
          <w:cantSplit/>
          <w:jc w:val="center"/>
        </w:trPr>
        <w:tc>
          <w:tcPr>
            <w:tcW w:w="5670" w:type="dxa"/>
          </w:tcPr>
          <w:p w14:paraId="2AD7A222"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Éviter ou minimiser les impacts sur la biodiversité des habitats modifiés et mettre en œuvre des mesures d’atténuation selon le cas.</w:t>
            </w:r>
          </w:p>
          <w:p w14:paraId="2D73AF92"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i/>
                <w:iCs/>
                <w:szCs w:val="20"/>
              </w:rPr>
              <w:t>Paragraphes 19 et 20</w:t>
            </w:r>
          </w:p>
        </w:tc>
        <w:tc>
          <w:tcPr>
            <w:tcW w:w="5670" w:type="dxa"/>
            <w:shd w:val="clear" w:color="auto" w:fill="auto"/>
            <w:vAlign w:val="center"/>
          </w:tcPr>
          <w:p w14:paraId="4A2336E0" w14:textId="77777777" w:rsidR="00874483" w:rsidRPr="007A6C83" w:rsidRDefault="00874483" w:rsidP="007A6C83">
            <w:pPr>
              <w:pStyle w:val="Tabletext0"/>
              <w:spacing w:line="276" w:lineRule="auto"/>
              <w:rPr>
                <w:rFonts w:ascii="Arial" w:hAnsi="Arial" w:cs="Arial"/>
                <w:szCs w:val="20"/>
                <w:lang w:eastAsia="fr-FR"/>
              </w:rPr>
            </w:pPr>
            <w:r w:rsidRPr="007A6C83">
              <w:rPr>
                <w:rFonts w:ascii="Arial" w:hAnsi="Arial" w:cs="Arial"/>
                <w:szCs w:val="20"/>
              </w:rPr>
              <w:t>La Loi n° 11/009 du 09 juillet 2011 portant Principes fondamentaux relatifs à la protection de l’environnement, et le Décret n° 14/019 du 02 août 2014 fixant les règles de fonctionnement des mécanismes procéduraux de la protection de l’environnement et mettent un accent particulier sur les habitats naturels</w:t>
            </w:r>
          </w:p>
        </w:tc>
        <w:tc>
          <w:tcPr>
            <w:tcW w:w="3969" w:type="dxa"/>
            <w:shd w:val="clear" w:color="auto" w:fill="auto"/>
            <w:vAlign w:val="center"/>
          </w:tcPr>
          <w:p w14:paraId="43FD0A1D" w14:textId="77777777" w:rsidR="00874483" w:rsidRPr="007A6C83" w:rsidRDefault="00874483" w:rsidP="00874483">
            <w:pPr>
              <w:rPr>
                <w:rFonts w:eastAsia="Calibri" w:cs="Arial"/>
                <w:sz w:val="20"/>
                <w:szCs w:val="20"/>
              </w:rPr>
            </w:pPr>
            <w:r w:rsidRPr="007A6C83">
              <w:rPr>
                <w:rFonts w:cs="Arial"/>
                <w:sz w:val="20"/>
                <w:szCs w:val="20"/>
              </w:rPr>
              <w:t>La loi satisfait à cette NES n°6 Les exigences de la Norme 6 s’appliqueront</w:t>
            </w:r>
          </w:p>
        </w:tc>
      </w:tr>
      <w:tr w:rsidR="00874483" w:rsidRPr="00E800E3" w14:paraId="5A0F124F" w14:textId="77777777" w:rsidTr="00E800E3">
        <w:trPr>
          <w:cantSplit/>
          <w:jc w:val="center"/>
        </w:trPr>
        <w:tc>
          <w:tcPr>
            <w:tcW w:w="5670" w:type="dxa"/>
          </w:tcPr>
          <w:p w14:paraId="25A45ABF"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Éviter les impacts négatifs sur les habitats naturels, sauf s’il n’existe aucune autre solution technique, et alors mettre en place des mesures d’atténuation appropriées selon principe de la hiérarchie d’atténuation, et au besoin compenser la selon le principe « d’équivalence ou d’amélioration écologique ».</w:t>
            </w:r>
          </w:p>
          <w:p w14:paraId="2D3A241C"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i/>
                <w:iCs/>
                <w:szCs w:val="20"/>
              </w:rPr>
              <w:t>Paragraphes 19-à 22</w:t>
            </w:r>
          </w:p>
        </w:tc>
        <w:tc>
          <w:tcPr>
            <w:tcW w:w="5670" w:type="dxa"/>
            <w:shd w:val="clear" w:color="auto" w:fill="auto"/>
          </w:tcPr>
          <w:p w14:paraId="2A880E08" w14:textId="77777777" w:rsidR="00874483" w:rsidRPr="007A6C83" w:rsidRDefault="00874483" w:rsidP="007A6C83">
            <w:pPr>
              <w:pStyle w:val="Tabletext0"/>
              <w:spacing w:line="276" w:lineRule="auto"/>
              <w:rPr>
                <w:rFonts w:ascii="Arial" w:hAnsi="Arial" w:cs="Arial"/>
                <w:szCs w:val="20"/>
              </w:rPr>
            </w:pPr>
          </w:p>
          <w:p w14:paraId="408F03CD" w14:textId="77777777" w:rsidR="00874483" w:rsidRPr="007A6C83" w:rsidRDefault="00874483" w:rsidP="007A6C83">
            <w:pPr>
              <w:pStyle w:val="Tabletext0"/>
              <w:spacing w:line="276" w:lineRule="auto"/>
              <w:rPr>
                <w:rFonts w:ascii="Arial" w:hAnsi="Arial" w:cs="Arial"/>
                <w:szCs w:val="20"/>
              </w:rPr>
            </w:pPr>
          </w:p>
          <w:p w14:paraId="4991A078" w14:textId="77777777" w:rsidR="00874483" w:rsidRPr="007A6C83" w:rsidRDefault="00874483" w:rsidP="007A6C83">
            <w:pPr>
              <w:pStyle w:val="Tabletext0"/>
              <w:spacing w:line="276" w:lineRule="auto"/>
              <w:rPr>
                <w:rFonts w:ascii="Arial" w:hAnsi="Arial" w:cs="Arial"/>
                <w:szCs w:val="20"/>
              </w:rPr>
            </w:pPr>
          </w:p>
          <w:p w14:paraId="72C602FE" w14:textId="77777777" w:rsidR="00874483" w:rsidRPr="007A6C83" w:rsidRDefault="00874483" w:rsidP="007A6C83">
            <w:pPr>
              <w:pStyle w:val="Tabletext0"/>
              <w:spacing w:line="276" w:lineRule="auto"/>
              <w:rPr>
                <w:rFonts w:ascii="Arial" w:hAnsi="Arial" w:cs="Arial"/>
                <w:szCs w:val="20"/>
                <w:lang w:eastAsia="fr-FR"/>
              </w:rPr>
            </w:pPr>
            <w:r w:rsidRPr="007A6C83">
              <w:rPr>
                <w:rFonts w:ascii="Arial" w:hAnsi="Arial" w:cs="Arial"/>
                <w:szCs w:val="20"/>
              </w:rPr>
              <w:t>Non mentionné dans la législation nationale</w:t>
            </w:r>
          </w:p>
        </w:tc>
        <w:tc>
          <w:tcPr>
            <w:tcW w:w="3969" w:type="dxa"/>
            <w:shd w:val="clear" w:color="auto" w:fill="auto"/>
          </w:tcPr>
          <w:p w14:paraId="316DBD97" w14:textId="77777777" w:rsidR="00874483" w:rsidRPr="007A6C83" w:rsidRDefault="00874483" w:rsidP="00874483">
            <w:pPr>
              <w:rPr>
                <w:rFonts w:eastAsia="Calibri" w:cs="Arial"/>
                <w:sz w:val="20"/>
                <w:szCs w:val="20"/>
              </w:rPr>
            </w:pPr>
            <w:r w:rsidRPr="007A6C83">
              <w:rPr>
                <w:rFonts w:eastAsia="Calibri" w:cs="Arial"/>
                <w:sz w:val="20"/>
                <w:szCs w:val="20"/>
              </w:rPr>
              <w:t>La loi nationale ne satisfait pas à cette NES n°6. Donc la NES n°6 s’appliquera</w:t>
            </w:r>
          </w:p>
        </w:tc>
      </w:tr>
      <w:tr w:rsidR="00874483" w:rsidRPr="00E800E3" w14:paraId="3A602646" w14:textId="77777777" w:rsidTr="00E800E3">
        <w:trPr>
          <w:cantSplit/>
          <w:jc w:val="center"/>
        </w:trPr>
        <w:tc>
          <w:tcPr>
            <w:tcW w:w="5670" w:type="dxa"/>
          </w:tcPr>
          <w:p w14:paraId="0F3E5358"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Mettre en œuvre aucune activité du susceptible d’avoir une incidence négative sur une zone d’habitat critique, à moins de démontrer que toutes les conditions décrites dans la NES6 ont été remplies</w:t>
            </w:r>
          </w:p>
          <w:p w14:paraId="651006FF"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i/>
                <w:iCs/>
                <w:szCs w:val="20"/>
              </w:rPr>
              <w:t>Paragraphes 23 et 24</w:t>
            </w:r>
          </w:p>
        </w:tc>
        <w:tc>
          <w:tcPr>
            <w:tcW w:w="5670" w:type="dxa"/>
            <w:shd w:val="clear" w:color="auto" w:fill="auto"/>
          </w:tcPr>
          <w:p w14:paraId="32E94F09" w14:textId="77777777" w:rsidR="00874483" w:rsidRPr="007A6C83" w:rsidRDefault="00874483" w:rsidP="007A6C83">
            <w:pPr>
              <w:pStyle w:val="Tabletext0"/>
              <w:spacing w:line="276" w:lineRule="auto"/>
              <w:rPr>
                <w:rFonts w:ascii="Arial" w:hAnsi="Arial" w:cs="Arial"/>
                <w:szCs w:val="20"/>
              </w:rPr>
            </w:pPr>
          </w:p>
          <w:p w14:paraId="3B89E369" w14:textId="77777777" w:rsidR="00874483" w:rsidRPr="007A6C83" w:rsidRDefault="00874483" w:rsidP="007A6C83">
            <w:pPr>
              <w:pStyle w:val="Tabletext0"/>
              <w:spacing w:line="276" w:lineRule="auto"/>
              <w:rPr>
                <w:rFonts w:ascii="Arial" w:hAnsi="Arial" w:cs="Arial"/>
                <w:szCs w:val="20"/>
              </w:rPr>
            </w:pPr>
          </w:p>
          <w:p w14:paraId="33E61680" w14:textId="77777777" w:rsidR="00874483" w:rsidRPr="007A6C83" w:rsidRDefault="00874483" w:rsidP="007A6C83">
            <w:pPr>
              <w:pStyle w:val="Tabletext0"/>
              <w:spacing w:line="276" w:lineRule="auto"/>
              <w:rPr>
                <w:rFonts w:ascii="Arial" w:hAnsi="Arial" w:cs="Arial"/>
                <w:szCs w:val="20"/>
              </w:rPr>
            </w:pPr>
          </w:p>
          <w:p w14:paraId="1CFA00CC" w14:textId="77777777" w:rsidR="00874483" w:rsidRPr="007A6C83" w:rsidRDefault="00874483" w:rsidP="007A6C83">
            <w:pPr>
              <w:pStyle w:val="Tabletext0"/>
              <w:spacing w:line="276" w:lineRule="auto"/>
              <w:rPr>
                <w:rFonts w:ascii="Arial" w:hAnsi="Arial" w:cs="Arial"/>
                <w:szCs w:val="20"/>
                <w:lang w:eastAsia="fr-FR"/>
              </w:rPr>
            </w:pPr>
            <w:r w:rsidRPr="007A6C83">
              <w:rPr>
                <w:rFonts w:ascii="Arial" w:hAnsi="Arial" w:cs="Arial"/>
                <w:szCs w:val="20"/>
              </w:rPr>
              <w:t>Non mentionné dans la législation nationale</w:t>
            </w:r>
          </w:p>
        </w:tc>
        <w:tc>
          <w:tcPr>
            <w:tcW w:w="3969" w:type="dxa"/>
            <w:shd w:val="clear" w:color="auto" w:fill="auto"/>
          </w:tcPr>
          <w:p w14:paraId="3DFD52D9" w14:textId="77777777" w:rsidR="00874483" w:rsidRPr="007A6C83" w:rsidRDefault="00874483" w:rsidP="00874483">
            <w:pPr>
              <w:rPr>
                <w:rFonts w:eastAsia="Calibri" w:cs="Arial"/>
                <w:sz w:val="20"/>
                <w:szCs w:val="20"/>
              </w:rPr>
            </w:pPr>
            <w:r w:rsidRPr="007A6C83">
              <w:rPr>
                <w:rFonts w:eastAsia="Calibri" w:cs="Arial"/>
                <w:sz w:val="20"/>
                <w:szCs w:val="20"/>
              </w:rPr>
              <w:t>La loi nationale ne satisfait pas à cette NES n°6. Donc la NES n°6 s’appliquera</w:t>
            </w:r>
          </w:p>
        </w:tc>
      </w:tr>
      <w:tr w:rsidR="00874483" w:rsidRPr="00E800E3" w14:paraId="3304BF11" w14:textId="77777777" w:rsidTr="00E800E3">
        <w:trPr>
          <w:cantSplit/>
          <w:jc w:val="center"/>
        </w:trPr>
        <w:tc>
          <w:tcPr>
            <w:tcW w:w="5670" w:type="dxa"/>
          </w:tcPr>
          <w:p w14:paraId="15A9244C"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Veiller à ce que les activités du projet soient compatibles avec le statut juridique des zones protégées affectées et leurs objectifs d’aménagement, et appliquer le principe de hiérarchie d’atténuation afin d’atténuer les effets qui pourraient compromettre à leur intégrité, nuire aux objectifs de conservation, ou réduire l’importance de la biodiversité</w:t>
            </w:r>
          </w:p>
          <w:p w14:paraId="14E23B6C"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i/>
                <w:iCs/>
                <w:szCs w:val="20"/>
              </w:rPr>
              <w:t>Paragraphes 26 et 27</w:t>
            </w:r>
          </w:p>
        </w:tc>
        <w:tc>
          <w:tcPr>
            <w:tcW w:w="5670" w:type="dxa"/>
            <w:shd w:val="clear" w:color="auto" w:fill="auto"/>
          </w:tcPr>
          <w:p w14:paraId="460E6079" w14:textId="77777777" w:rsidR="00874483" w:rsidRPr="007A6C83" w:rsidRDefault="00874483" w:rsidP="007A6C83">
            <w:pPr>
              <w:pStyle w:val="Tabletext0"/>
              <w:spacing w:line="276" w:lineRule="auto"/>
              <w:rPr>
                <w:rFonts w:ascii="Arial" w:hAnsi="Arial" w:cs="Arial"/>
                <w:szCs w:val="20"/>
              </w:rPr>
            </w:pPr>
          </w:p>
          <w:p w14:paraId="3097CB50" w14:textId="77777777" w:rsidR="00874483" w:rsidRPr="007A6C83" w:rsidRDefault="00874483" w:rsidP="007A6C83">
            <w:pPr>
              <w:pStyle w:val="Tabletext0"/>
              <w:spacing w:line="276" w:lineRule="auto"/>
              <w:rPr>
                <w:rFonts w:ascii="Arial" w:hAnsi="Arial" w:cs="Arial"/>
                <w:szCs w:val="20"/>
              </w:rPr>
            </w:pPr>
          </w:p>
          <w:p w14:paraId="4A5F8F3C" w14:textId="77777777" w:rsidR="00874483" w:rsidRPr="007A6C83" w:rsidRDefault="00874483" w:rsidP="007A6C83">
            <w:pPr>
              <w:pStyle w:val="Tabletext0"/>
              <w:spacing w:line="276" w:lineRule="auto"/>
              <w:rPr>
                <w:rFonts w:ascii="Arial" w:hAnsi="Arial" w:cs="Arial"/>
                <w:szCs w:val="20"/>
              </w:rPr>
            </w:pPr>
          </w:p>
          <w:p w14:paraId="4F06BC19" w14:textId="77777777" w:rsidR="00874483" w:rsidRPr="007A6C83" w:rsidRDefault="00874483" w:rsidP="007A6C83">
            <w:pPr>
              <w:pStyle w:val="Tabletext0"/>
              <w:spacing w:line="276" w:lineRule="auto"/>
              <w:rPr>
                <w:rFonts w:ascii="Arial" w:hAnsi="Arial" w:cs="Arial"/>
                <w:szCs w:val="20"/>
                <w:lang w:eastAsia="fr-FR"/>
              </w:rPr>
            </w:pPr>
            <w:r w:rsidRPr="007A6C83">
              <w:rPr>
                <w:rFonts w:ascii="Arial" w:hAnsi="Arial" w:cs="Arial"/>
                <w:szCs w:val="20"/>
              </w:rPr>
              <w:t>Non mentionné dans la législation nationale</w:t>
            </w:r>
          </w:p>
        </w:tc>
        <w:tc>
          <w:tcPr>
            <w:tcW w:w="3969" w:type="dxa"/>
            <w:shd w:val="clear" w:color="auto" w:fill="auto"/>
          </w:tcPr>
          <w:p w14:paraId="506AF9FA" w14:textId="77777777" w:rsidR="00874483" w:rsidRPr="007A6C83" w:rsidRDefault="00874483" w:rsidP="00874483">
            <w:pPr>
              <w:rPr>
                <w:rFonts w:eastAsia="Calibri" w:cs="Arial"/>
                <w:sz w:val="20"/>
                <w:szCs w:val="20"/>
              </w:rPr>
            </w:pPr>
            <w:r w:rsidRPr="007A6C83">
              <w:rPr>
                <w:rFonts w:eastAsia="Calibri" w:cs="Arial"/>
                <w:sz w:val="20"/>
                <w:szCs w:val="20"/>
              </w:rPr>
              <w:t>La loi nationale ne satisfait pas à cette NES n°6. Donc la NES n°6 s’appliquera</w:t>
            </w:r>
          </w:p>
        </w:tc>
      </w:tr>
      <w:tr w:rsidR="00874483" w:rsidRPr="00E800E3" w14:paraId="59A68D5F" w14:textId="77777777" w:rsidTr="00E800E3">
        <w:trPr>
          <w:cantSplit/>
          <w:jc w:val="center"/>
        </w:trPr>
        <w:tc>
          <w:tcPr>
            <w:tcW w:w="5670" w:type="dxa"/>
          </w:tcPr>
          <w:p w14:paraId="5822C172"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Ne pas introduire intentionnellement de nouvelles espèces exotiques, à moins qu’elles soient ces espèces soient introduites conformément au cadre réglementaire en vigueur, et prévenir que le projet propage les espèces exotiques déjà présentes vers de nouvelles zones</w:t>
            </w:r>
          </w:p>
          <w:p w14:paraId="48641D30"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i/>
                <w:iCs/>
                <w:szCs w:val="20"/>
              </w:rPr>
              <w:t>Paragraphes 28 à 30</w:t>
            </w:r>
          </w:p>
        </w:tc>
        <w:tc>
          <w:tcPr>
            <w:tcW w:w="5670" w:type="dxa"/>
            <w:shd w:val="clear" w:color="auto" w:fill="auto"/>
          </w:tcPr>
          <w:p w14:paraId="43C08E0F" w14:textId="77777777" w:rsidR="00874483" w:rsidRPr="007A6C83" w:rsidRDefault="00874483" w:rsidP="007A6C83">
            <w:pPr>
              <w:pStyle w:val="Tabletext0"/>
              <w:spacing w:line="276" w:lineRule="auto"/>
              <w:rPr>
                <w:rFonts w:ascii="Arial" w:hAnsi="Arial" w:cs="Arial"/>
                <w:szCs w:val="20"/>
              </w:rPr>
            </w:pPr>
          </w:p>
          <w:p w14:paraId="4D16A433" w14:textId="77777777" w:rsidR="00874483" w:rsidRPr="007A6C83" w:rsidRDefault="00874483" w:rsidP="007A6C83">
            <w:pPr>
              <w:pStyle w:val="Tabletext0"/>
              <w:spacing w:line="276" w:lineRule="auto"/>
              <w:rPr>
                <w:rFonts w:ascii="Arial" w:hAnsi="Arial" w:cs="Arial"/>
                <w:szCs w:val="20"/>
              </w:rPr>
            </w:pPr>
          </w:p>
          <w:p w14:paraId="78A60EB1" w14:textId="77777777" w:rsidR="00874483" w:rsidRPr="007A6C83" w:rsidRDefault="00874483" w:rsidP="007A6C83">
            <w:pPr>
              <w:pStyle w:val="Tabletext0"/>
              <w:spacing w:line="276" w:lineRule="auto"/>
              <w:rPr>
                <w:rFonts w:ascii="Arial" w:hAnsi="Arial" w:cs="Arial"/>
                <w:szCs w:val="20"/>
              </w:rPr>
            </w:pPr>
          </w:p>
          <w:p w14:paraId="158E9829" w14:textId="77777777" w:rsidR="00874483" w:rsidRPr="007A6C83" w:rsidRDefault="00874483" w:rsidP="007A6C83">
            <w:pPr>
              <w:pStyle w:val="Tabletext0"/>
              <w:spacing w:line="276" w:lineRule="auto"/>
              <w:rPr>
                <w:rFonts w:ascii="Arial" w:hAnsi="Arial" w:cs="Arial"/>
                <w:szCs w:val="20"/>
                <w:lang w:eastAsia="fr-FR"/>
              </w:rPr>
            </w:pPr>
            <w:r w:rsidRPr="007A6C83">
              <w:rPr>
                <w:rFonts w:ascii="Arial" w:hAnsi="Arial" w:cs="Arial"/>
                <w:szCs w:val="20"/>
              </w:rPr>
              <w:t>Non mentionné dans la législation nationale</w:t>
            </w:r>
          </w:p>
        </w:tc>
        <w:tc>
          <w:tcPr>
            <w:tcW w:w="3969" w:type="dxa"/>
            <w:shd w:val="clear" w:color="auto" w:fill="auto"/>
          </w:tcPr>
          <w:p w14:paraId="1A701A1D" w14:textId="77777777" w:rsidR="00874483" w:rsidRPr="007A6C83" w:rsidRDefault="00874483" w:rsidP="00874483">
            <w:pPr>
              <w:rPr>
                <w:rFonts w:eastAsia="Calibri" w:cs="Arial"/>
                <w:sz w:val="20"/>
                <w:szCs w:val="20"/>
              </w:rPr>
            </w:pPr>
            <w:r w:rsidRPr="007A6C83">
              <w:rPr>
                <w:rFonts w:eastAsia="Calibri" w:cs="Arial"/>
                <w:sz w:val="20"/>
                <w:szCs w:val="20"/>
              </w:rPr>
              <w:t>La loi nationale ne satisfait pas à cette NES n°6. Donc la NES n°6 s’appliquera</w:t>
            </w:r>
          </w:p>
        </w:tc>
      </w:tr>
      <w:tr w:rsidR="00874483" w:rsidRPr="00E800E3" w14:paraId="03F6659B" w14:textId="77777777" w:rsidTr="00E800E3">
        <w:trPr>
          <w:cantSplit/>
          <w:jc w:val="center"/>
        </w:trPr>
        <w:tc>
          <w:tcPr>
            <w:tcW w:w="5670" w:type="dxa"/>
          </w:tcPr>
          <w:p w14:paraId="658A503F"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Évaluer si les projets incluant la production primaire et l’exploitation de ressources naturelles sont globalement durables, ainsi que leurs effets potentiels sur les habitats locaux, avoisinants ou écologiquement associés, sur la biodiversité et sur les communautés locales, y compris les peuples autochtones.</w:t>
            </w:r>
          </w:p>
          <w:p w14:paraId="06357FD2"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i/>
                <w:iCs/>
                <w:szCs w:val="20"/>
              </w:rPr>
              <w:t>Paragraphes 31 à 34</w:t>
            </w:r>
          </w:p>
        </w:tc>
        <w:tc>
          <w:tcPr>
            <w:tcW w:w="5670" w:type="dxa"/>
            <w:shd w:val="clear" w:color="auto" w:fill="auto"/>
            <w:vAlign w:val="center"/>
          </w:tcPr>
          <w:p w14:paraId="4D75433A" w14:textId="77777777" w:rsidR="00874483" w:rsidRPr="007A6C83" w:rsidRDefault="00874483" w:rsidP="007A6C83">
            <w:pPr>
              <w:pStyle w:val="Tabletext0"/>
              <w:spacing w:line="276" w:lineRule="auto"/>
              <w:rPr>
                <w:rFonts w:ascii="Arial" w:hAnsi="Arial" w:cs="Arial"/>
                <w:szCs w:val="20"/>
                <w:lang w:eastAsia="fr-FR"/>
              </w:rPr>
            </w:pPr>
            <w:r w:rsidRPr="007A6C83">
              <w:rPr>
                <w:rFonts w:ascii="Arial" w:hAnsi="Arial" w:cs="Arial"/>
                <w:szCs w:val="20"/>
              </w:rPr>
              <w:t>La Loi n° 14/003 du 11 février 2014 relative à la conservation de la nature fixe les règles relatives à la conservation de la diversité biologique, à l’utilisation durable de ses éléments constitutifs ainsi qu’à l’accès et au partage juste et équitable des avantages découlant de l’exploitation des ressources biologiques et génétiques. Elle concourt à assurer notamment la conservation des écosystèmes et des habitats naturels, la protection des espèces de faune et de flore sauvages ainsi que le développement durable dans les aires protégées.</w:t>
            </w:r>
          </w:p>
        </w:tc>
        <w:tc>
          <w:tcPr>
            <w:tcW w:w="3969" w:type="dxa"/>
            <w:shd w:val="clear" w:color="auto" w:fill="auto"/>
            <w:vAlign w:val="center"/>
          </w:tcPr>
          <w:p w14:paraId="26A0DACB" w14:textId="77777777" w:rsidR="00874483" w:rsidRPr="007A6C83" w:rsidRDefault="00874483" w:rsidP="00874483">
            <w:pPr>
              <w:rPr>
                <w:rFonts w:eastAsia="Calibri" w:cs="Arial"/>
                <w:sz w:val="20"/>
                <w:szCs w:val="20"/>
              </w:rPr>
            </w:pPr>
            <w:r w:rsidRPr="007A6C83">
              <w:rPr>
                <w:rFonts w:eastAsia="Calibri" w:cs="Arial"/>
                <w:sz w:val="20"/>
                <w:szCs w:val="20"/>
              </w:rPr>
              <w:t>La loi nationale satisfait à cette NES n°6. Donc la NES n°6 s’appliquera</w:t>
            </w:r>
          </w:p>
        </w:tc>
      </w:tr>
      <w:tr w:rsidR="00874483" w:rsidRPr="00E800E3" w14:paraId="1CA3930F" w14:textId="77777777" w:rsidTr="00E800E3">
        <w:trPr>
          <w:cantSplit/>
          <w:jc w:val="center"/>
        </w:trPr>
        <w:tc>
          <w:tcPr>
            <w:tcW w:w="5670" w:type="dxa"/>
          </w:tcPr>
          <w:p w14:paraId="1EA4A634"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Exiger que l’exploitation des ressources naturelles biologiques soit gérée d’une manière durable, y compris d’être soumise à un système indépendant de certification forestière pour les projets industriels, et d’accords de gestion forestière conjointe lorsque le projet n’est associé directement à une exploitation industrielle</w:t>
            </w:r>
          </w:p>
          <w:p w14:paraId="2D88E9E4"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i/>
                <w:iCs/>
                <w:szCs w:val="20"/>
              </w:rPr>
              <w:t>Paragraphes 35-36</w:t>
            </w:r>
          </w:p>
        </w:tc>
        <w:tc>
          <w:tcPr>
            <w:tcW w:w="5670" w:type="dxa"/>
            <w:shd w:val="clear" w:color="auto" w:fill="auto"/>
            <w:vAlign w:val="center"/>
          </w:tcPr>
          <w:p w14:paraId="788190DD" w14:textId="77777777" w:rsidR="00874483" w:rsidRPr="007A6C83" w:rsidRDefault="00874483" w:rsidP="00874483">
            <w:pPr>
              <w:rPr>
                <w:rFonts w:cs="Arial"/>
                <w:sz w:val="20"/>
                <w:szCs w:val="20"/>
              </w:rPr>
            </w:pPr>
            <w:r w:rsidRPr="007A6C83">
              <w:rPr>
                <w:rFonts w:cs="Arial"/>
                <w:sz w:val="20"/>
                <w:szCs w:val="20"/>
              </w:rPr>
              <w:t xml:space="preserve">La Loi 011-2002 du 29 août 2002 portant Code Forestier qui traite du défrichement et des problèmes d’érosion. Le code précise : « tout déboisement doit être compensé par un reboisement équivalent en qualité et en superficie au couvert forestier initial (…) et exige l’obtention d’un permis de déboisement pour une superficie supérieure à 2 ha ». </w:t>
            </w:r>
          </w:p>
          <w:p w14:paraId="1D9F619A" w14:textId="77777777" w:rsidR="00874483" w:rsidRPr="007A6C83" w:rsidRDefault="00874483" w:rsidP="00874483">
            <w:pPr>
              <w:rPr>
                <w:rFonts w:cs="Arial"/>
                <w:sz w:val="20"/>
                <w:szCs w:val="20"/>
              </w:rPr>
            </w:pPr>
          </w:p>
          <w:p w14:paraId="06701968" w14:textId="77777777" w:rsidR="00874483" w:rsidRPr="007A6C83" w:rsidRDefault="00874483" w:rsidP="007A6C83">
            <w:pPr>
              <w:pStyle w:val="Tabletext0"/>
              <w:spacing w:line="276" w:lineRule="auto"/>
              <w:rPr>
                <w:rFonts w:ascii="Arial" w:hAnsi="Arial" w:cs="Arial"/>
                <w:szCs w:val="20"/>
                <w:lang w:eastAsia="fr-FR"/>
              </w:rPr>
            </w:pPr>
            <w:r w:rsidRPr="007A6C83">
              <w:rPr>
                <w:rFonts w:ascii="Arial" w:hAnsi="Arial" w:cs="Arial"/>
                <w:szCs w:val="20"/>
              </w:rPr>
              <w:t>La Loi n° 14/003 du 11 février 2014 relative à la conservation de la nature fixe les règles relatives à la conservation de la diversité biologique, à l’utilisation durable de ses éléments constitutifs ainsi qu’à l’accès et au partage juste et équitable des avantages découlant de l’exploitation des ressources biologiques et génétiques. Elle concourt à assurer notamment la conservation des écosystèmes et des habitats naturels, la protection des espèces de faune et de flore sauvages ainsi que le développement durable dans les aires protégées</w:t>
            </w:r>
          </w:p>
        </w:tc>
        <w:tc>
          <w:tcPr>
            <w:tcW w:w="3969" w:type="dxa"/>
            <w:shd w:val="clear" w:color="auto" w:fill="auto"/>
            <w:vAlign w:val="center"/>
          </w:tcPr>
          <w:p w14:paraId="158B50B3" w14:textId="77777777" w:rsidR="00874483" w:rsidRPr="007A6C83" w:rsidRDefault="00874483" w:rsidP="00874483">
            <w:pPr>
              <w:rPr>
                <w:rFonts w:eastAsia="Calibri" w:cs="Arial"/>
                <w:sz w:val="20"/>
                <w:szCs w:val="20"/>
              </w:rPr>
            </w:pPr>
            <w:r w:rsidRPr="007A6C83">
              <w:rPr>
                <w:rFonts w:eastAsia="Calibri" w:cs="Arial"/>
                <w:sz w:val="20"/>
                <w:szCs w:val="20"/>
              </w:rPr>
              <w:t>La loi nationale satisfait à cette NES n°6. Donc la NES n°6 s’appliquera</w:t>
            </w:r>
          </w:p>
        </w:tc>
      </w:tr>
      <w:tr w:rsidR="00874483" w:rsidRPr="00E800E3" w14:paraId="0910F8DB" w14:textId="77777777" w:rsidTr="00E800E3">
        <w:trPr>
          <w:cantSplit/>
          <w:jc w:val="center"/>
        </w:trPr>
        <w:tc>
          <w:tcPr>
            <w:tcW w:w="5670" w:type="dxa"/>
          </w:tcPr>
          <w:p w14:paraId="4A4D6A7C"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Pour les fournisseurs principaux de ressources naturelles, contrôler les lieux de provenance, confirmer qu’ils ne contribuent pas d’une manière substantielle à la conversion ou la dégradation d’habitats naturels ou critiques, et sinon les remplacer</w:t>
            </w:r>
          </w:p>
          <w:p w14:paraId="16FAEE31"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i/>
                <w:iCs/>
                <w:szCs w:val="20"/>
              </w:rPr>
              <w:t>Paragraphes 38 à 40</w:t>
            </w:r>
          </w:p>
        </w:tc>
        <w:tc>
          <w:tcPr>
            <w:tcW w:w="5670" w:type="dxa"/>
            <w:shd w:val="clear" w:color="auto" w:fill="auto"/>
          </w:tcPr>
          <w:p w14:paraId="33908ACB" w14:textId="77777777" w:rsidR="00874483" w:rsidRPr="007A6C83" w:rsidRDefault="00874483" w:rsidP="007A6C83">
            <w:pPr>
              <w:pStyle w:val="Tabletext0"/>
              <w:spacing w:line="276" w:lineRule="auto"/>
              <w:rPr>
                <w:rFonts w:ascii="Arial" w:hAnsi="Arial" w:cs="Arial"/>
                <w:szCs w:val="20"/>
              </w:rPr>
            </w:pPr>
          </w:p>
          <w:p w14:paraId="4B29620A" w14:textId="77777777" w:rsidR="00874483" w:rsidRPr="007A6C83" w:rsidRDefault="00874483" w:rsidP="007A6C83">
            <w:pPr>
              <w:pStyle w:val="Tabletext0"/>
              <w:spacing w:line="276" w:lineRule="auto"/>
              <w:rPr>
                <w:rFonts w:ascii="Arial" w:hAnsi="Arial" w:cs="Arial"/>
                <w:szCs w:val="20"/>
              </w:rPr>
            </w:pPr>
          </w:p>
          <w:p w14:paraId="0DA300BD" w14:textId="77777777" w:rsidR="00874483" w:rsidRPr="007A6C83" w:rsidRDefault="00874483" w:rsidP="007A6C83">
            <w:pPr>
              <w:pStyle w:val="Tabletext0"/>
              <w:spacing w:line="276" w:lineRule="auto"/>
              <w:rPr>
                <w:rFonts w:ascii="Arial" w:hAnsi="Arial" w:cs="Arial"/>
                <w:szCs w:val="20"/>
              </w:rPr>
            </w:pPr>
          </w:p>
          <w:p w14:paraId="416003BD" w14:textId="77777777" w:rsidR="00874483" w:rsidRPr="007A6C83" w:rsidRDefault="00874483" w:rsidP="007A6C83">
            <w:pPr>
              <w:pStyle w:val="Tabletext0"/>
              <w:spacing w:line="276" w:lineRule="auto"/>
              <w:rPr>
                <w:rFonts w:ascii="Arial" w:hAnsi="Arial" w:cs="Arial"/>
                <w:szCs w:val="20"/>
                <w:lang w:eastAsia="fr-FR"/>
              </w:rPr>
            </w:pPr>
            <w:r w:rsidRPr="007A6C83">
              <w:rPr>
                <w:rFonts w:ascii="Arial" w:hAnsi="Arial" w:cs="Arial"/>
                <w:szCs w:val="20"/>
              </w:rPr>
              <w:t>Non mentionné dans la législation nationale</w:t>
            </w:r>
          </w:p>
        </w:tc>
        <w:tc>
          <w:tcPr>
            <w:tcW w:w="3969" w:type="dxa"/>
            <w:shd w:val="clear" w:color="auto" w:fill="auto"/>
            <w:vAlign w:val="center"/>
          </w:tcPr>
          <w:p w14:paraId="1B7C4287" w14:textId="77777777" w:rsidR="00874483" w:rsidRPr="007A6C83" w:rsidRDefault="00874483" w:rsidP="00874483">
            <w:pPr>
              <w:rPr>
                <w:rFonts w:eastAsia="Calibri" w:cs="Arial"/>
                <w:sz w:val="20"/>
                <w:szCs w:val="20"/>
              </w:rPr>
            </w:pPr>
            <w:r w:rsidRPr="007A6C83">
              <w:rPr>
                <w:rFonts w:cs="Arial"/>
                <w:sz w:val="20"/>
                <w:szCs w:val="20"/>
              </w:rPr>
              <w:t xml:space="preserve">La loi nationale ne satisfait pas à la NES n°6. Les exigences de la Norme 6 s’appliqueront </w:t>
            </w:r>
          </w:p>
        </w:tc>
      </w:tr>
      <w:tr w:rsidR="00874483" w:rsidRPr="00E800E3" w14:paraId="6BF67A76" w14:textId="77777777" w:rsidTr="00730A4A">
        <w:trPr>
          <w:cantSplit/>
          <w:jc w:val="center"/>
        </w:trPr>
        <w:tc>
          <w:tcPr>
            <w:tcW w:w="15309" w:type="dxa"/>
            <w:gridSpan w:val="3"/>
            <w:shd w:val="clear" w:color="auto" w:fill="C5E0B3"/>
            <w:vAlign w:val="center"/>
          </w:tcPr>
          <w:p w14:paraId="6B27ABCB" w14:textId="77777777" w:rsidR="00874483" w:rsidRPr="007A6C83" w:rsidRDefault="00874483" w:rsidP="00874483">
            <w:pPr>
              <w:spacing w:before="60" w:after="60"/>
              <w:rPr>
                <w:rFonts w:eastAsia="Calibri" w:cs="Arial"/>
                <w:b/>
                <w:bCs/>
                <w:sz w:val="20"/>
                <w:szCs w:val="20"/>
              </w:rPr>
            </w:pPr>
            <w:r w:rsidRPr="007A6C83">
              <w:rPr>
                <w:rFonts w:eastAsia="Calibri" w:cs="Arial"/>
                <w:b/>
                <w:bCs/>
                <w:sz w:val="20"/>
                <w:szCs w:val="20"/>
              </w:rPr>
              <w:t>NES 7.  Peuples autochtones/Communautés locales traditionnelles d’Afrique subsaharienne historiquement défavorisées</w:t>
            </w:r>
          </w:p>
        </w:tc>
      </w:tr>
      <w:tr w:rsidR="00874483" w:rsidRPr="00E800E3" w14:paraId="708CF851" w14:textId="77777777" w:rsidTr="00E800E3">
        <w:trPr>
          <w:cantSplit/>
          <w:jc w:val="center"/>
        </w:trPr>
        <w:tc>
          <w:tcPr>
            <w:tcW w:w="5670" w:type="dxa"/>
          </w:tcPr>
          <w:p w14:paraId="69C4FA79"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Déterminer la présence ou l'attachement des peuples autochtones (y compris les communautés locales traditionnelles d'Afrique subsaharienne historiquement mal desservies)</w:t>
            </w:r>
          </w:p>
          <w:p w14:paraId="44C9ECAB" w14:textId="77777777" w:rsidR="00874483" w:rsidRPr="007A6C83" w:rsidRDefault="00874483" w:rsidP="00874483">
            <w:pPr>
              <w:rPr>
                <w:rFonts w:cs="Arial"/>
                <w:sz w:val="20"/>
                <w:szCs w:val="20"/>
              </w:rPr>
            </w:pPr>
            <w:r w:rsidRPr="007A6C83">
              <w:rPr>
                <w:rFonts w:cs="Arial"/>
                <w:i/>
                <w:iCs/>
                <w:sz w:val="20"/>
                <w:szCs w:val="20"/>
              </w:rPr>
              <w:t>Paragraphes 1, 6, 8, et 10</w:t>
            </w:r>
          </w:p>
        </w:tc>
        <w:tc>
          <w:tcPr>
            <w:tcW w:w="5670" w:type="dxa"/>
            <w:shd w:val="clear" w:color="auto" w:fill="auto"/>
          </w:tcPr>
          <w:p w14:paraId="11892781" w14:textId="77777777" w:rsidR="00874483" w:rsidRPr="007A6C83" w:rsidRDefault="00874483" w:rsidP="007A6C83">
            <w:pPr>
              <w:pStyle w:val="Tabletext0"/>
              <w:spacing w:line="276" w:lineRule="auto"/>
              <w:rPr>
                <w:rFonts w:ascii="Arial" w:hAnsi="Arial" w:cs="Arial"/>
                <w:szCs w:val="20"/>
              </w:rPr>
            </w:pPr>
          </w:p>
          <w:p w14:paraId="55BD28FF"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54DAB420" w14:textId="77777777" w:rsidR="00874483" w:rsidRPr="007A6C83" w:rsidRDefault="00874483" w:rsidP="007A6C83">
            <w:pPr>
              <w:pStyle w:val="Tabletext0"/>
              <w:spacing w:line="276" w:lineRule="auto"/>
              <w:rPr>
                <w:rFonts w:ascii="Arial" w:hAnsi="Arial" w:cs="Arial"/>
                <w:szCs w:val="20"/>
                <w:lang w:eastAsia="fr-FR"/>
              </w:rPr>
            </w:pPr>
          </w:p>
        </w:tc>
        <w:tc>
          <w:tcPr>
            <w:tcW w:w="3969" w:type="dxa"/>
            <w:shd w:val="clear" w:color="auto" w:fill="auto"/>
            <w:vAlign w:val="center"/>
          </w:tcPr>
          <w:p w14:paraId="653D0245" w14:textId="77777777" w:rsidR="00874483" w:rsidRPr="007A6C83" w:rsidRDefault="00874483" w:rsidP="00874483">
            <w:pPr>
              <w:rPr>
                <w:rFonts w:eastAsia="Calibri" w:cs="Arial"/>
                <w:sz w:val="20"/>
                <w:szCs w:val="20"/>
              </w:rPr>
            </w:pPr>
            <w:r w:rsidRPr="007A6C83">
              <w:rPr>
                <w:rFonts w:cs="Arial"/>
                <w:sz w:val="20"/>
                <w:szCs w:val="20"/>
              </w:rPr>
              <w:t>La loi nationale ne satisfait pas à la NES n°7. Les exigences de la Norme 7 s’appliqueront</w:t>
            </w:r>
          </w:p>
        </w:tc>
      </w:tr>
      <w:tr w:rsidR="00874483" w:rsidRPr="00E800E3" w14:paraId="78FA0DF2" w14:textId="77777777" w:rsidTr="00E800E3">
        <w:trPr>
          <w:cantSplit/>
          <w:jc w:val="center"/>
        </w:trPr>
        <w:tc>
          <w:tcPr>
            <w:tcW w:w="5670" w:type="dxa"/>
          </w:tcPr>
          <w:p w14:paraId="6B1F20CD"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Reconnaître que les peuples indigènes sont souvent désavantagés par les modèles traditionnels de développement</w:t>
            </w:r>
          </w:p>
          <w:p w14:paraId="243A4F89" w14:textId="77777777" w:rsidR="00874483" w:rsidRPr="007A6C83" w:rsidRDefault="00874483" w:rsidP="00874483">
            <w:pPr>
              <w:rPr>
                <w:rFonts w:cs="Arial"/>
                <w:sz w:val="20"/>
                <w:szCs w:val="20"/>
              </w:rPr>
            </w:pPr>
            <w:r w:rsidRPr="007A6C83">
              <w:rPr>
                <w:rFonts w:cs="Arial"/>
                <w:i/>
                <w:iCs/>
                <w:sz w:val="20"/>
                <w:szCs w:val="20"/>
              </w:rPr>
              <w:t>Paragraphes 3, 4, 19, 35, et 36</w:t>
            </w:r>
          </w:p>
        </w:tc>
        <w:tc>
          <w:tcPr>
            <w:tcW w:w="5670" w:type="dxa"/>
            <w:shd w:val="clear" w:color="auto" w:fill="auto"/>
          </w:tcPr>
          <w:p w14:paraId="6C0A065F" w14:textId="77777777" w:rsidR="00874483" w:rsidRPr="007A6C83" w:rsidRDefault="00874483" w:rsidP="007A6C83">
            <w:pPr>
              <w:pStyle w:val="Tabletext0"/>
              <w:spacing w:line="276" w:lineRule="auto"/>
              <w:rPr>
                <w:rFonts w:ascii="Arial" w:hAnsi="Arial" w:cs="Arial"/>
                <w:szCs w:val="20"/>
              </w:rPr>
            </w:pPr>
          </w:p>
          <w:p w14:paraId="57A34EEA"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2F175022" w14:textId="77777777" w:rsidR="00874483" w:rsidRPr="007A6C83" w:rsidRDefault="00874483" w:rsidP="00874483">
            <w:pPr>
              <w:autoSpaceDE w:val="0"/>
              <w:autoSpaceDN w:val="0"/>
              <w:adjustRightInd w:val="0"/>
              <w:rPr>
                <w:rFonts w:eastAsia="Calibri" w:cs="Arial"/>
                <w:sz w:val="20"/>
                <w:szCs w:val="20"/>
              </w:rPr>
            </w:pPr>
          </w:p>
        </w:tc>
        <w:tc>
          <w:tcPr>
            <w:tcW w:w="3969" w:type="dxa"/>
            <w:shd w:val="clear" w:color="auto" w:fill="auto"/>
          </w:tcPr>
          <w:p w14:paraId="2C69FC1F" w14:textId="77777777" w:rsidR="00874483" w:rsidRPr="007A6C83" w:rsidRDefault="00874483" w:rsidP="00874483">
            <w:pPr>
              <w:rPr>
                <w:rFonts w:eastAsia="Calibri" w:cs="Arial"/>
                <w:sz w:val="20"/>
                <w:szCs w:val="20"/>
              </w:rPr>
            </w:pPr>
            <w:r w:rsidRPr="007A6C83">
              <w:rPr>
                <w:rFonts w:cs="Arial"/>
                <w:sz w:val="20"/>
                <w:szCs w:val="20"/>
              </w:rPr>
              <w:t>La loi nationale ne satisfait pas à la NES n°7. Les exigences de la Norme 7 s’appliqueront</w:t>
            </w:r>
          </w:p>
        </w:tc>
      </w:tr>
      <w:tr w:rsidR="00874483" w:rsidRPr="00E800E3" w14:paraId="4B33C79E" w14:textId="77777777" w:rsidTr="00E800E3">
        <w:trPr>
          <w:cantSplit/>
          <w:jc w:val="center"/>
        </w:trPr>
        <w:tc>
          <w:tcPr>
            <w:tcW w:w="5670" w:type="dxa"/>
          </w:tcPr>
          <w:p w14:paraId="2BF5F134"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Évaluer les risques et les impacts des projets en veillant à ce que l'évaluation soit sensible aux contextes autochtones et à ce que la conception et les modalités de mise en œuvre des projets fassent l'objet d'une consultation</w:t>
            </w:r>
          </w:p>
          <w:p w14:paraId="15332E23" w14:textId="77777777" w:rsidR="00874483" w:rsidRPr="007A6C83" w:rsidRDefault="00874483" w:rsidP="00874483">
            <w:pPr>
              <w:rPr>
                <w:rFonts w:cs="Arial"/>
                <w:sz w:val="20"/>
                <w:szCs w:val="20"/>
              </w:rPr>
            </w:pPr>
            <w:r w:rsidRPr="007A6C83">
              <w:rPr>
                <w:rFonts w:cs="Arial"/>
                <w:i/>
                <w:iCs/>
                <w:sz w:val="20"/>
                <w:szCs w:val="20"/>
              </w:rPr>
              <w:t>Paragraphes 5, 11, 12, 18, et 20</w:t>
            </w:r>
          </w:p>
        </w:tc>
        <w:tc>
          <w:tcPr>
            <w:tcW w:w="5670" w:type="dxa"/>
            <w:shd w:val="clear" w:color="auto" w:fill="auto"/>
          </w:tcPr>
          <w:p w14:paraId="677DAAD0" w14:textId="77777777" w:rsidR="00874483" w:rsidRPr="007A6C83" w:rsidRDefault="00874483" w:rsidP="007A6C83">
            <w:pPr>
              <w:pStyle w:val="Tabletext0"/>
              <w:spacing w:line="276" w:lineRule="auto"/>
              <w:rPr>
                <w:rFonts w:ascii="Arial" w:hAnsi="Arial" w:cs="Arial"/>
                <w:szCs w:val="20"/>
              </w:rPr>
            </w:pPr>
          </w:p>
          <w:p w14:paraId="5B0ECCF2"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61D94285" w14:textId="77777777" w:rsidR="00874483" w:rsidRPr="007A6C83" w:rsidRDefault="00874483" w:rsidP="00874483">
            <w:pPr>
              <w:autoSpaceDE w:val="0"/>
              <w:autoSpaceDN w:val="0"/>
              <w:adjustRightInd w:val="0"/>
              <w:rPr>
                <w:rFonts w:eastAsia="Calibri" w:cs="Arial"/>
                <w:sz w:val="20"/>
                <w:szCs w:val="20"/>
              </w:rPr>
            </w:pPr>
          </w:p>
        </w:tc>
        <w:tc>
          <w:tcPr>
            <w:tcW w:w="3969" w:type="dxa"/>
            <w:shd w:val="clear" w:color="auto" w:fill="auto"/>
          </w:tcPr>
          <w:p w14:paraId="66D9C3A7" w14:textId="77777777" w:rsidR="00874483" w:rsidRPr="007A6C83" w:rsidRDefault="00874483" w:rsidP="00874483">
            <w:pPr>
              <w:rPr>
                <w:rFonts w:eastAsia="Calibri" w:cs="Arial"/>
                <w:sz w:val="20"/>
                <w:szCs w:val="20"/>
              </w:rPr>
            </w:pPr>
            <w:r w:rsidRPr="007A6C83">
              <w:rPr>
                <w:rFonts w:cs="Arial"/>
                <w:sz w:val="20"/>
                <w:szCs w:val="20"/>
              </w:rPr>
              <w:t>La loi nationale ne satisfait pas à la NES n°7. Les exigences de la Norme 7 s’appliqueront</w:t>
            </w:r>
          </w:p>
        </w:tc>
      </w:tr>
      <w:tr w:rsidR="00874483" w:rsidRPr="00E800E3" w14:paraId="17F9938B" w14:textId="77777777" w:rsidTr="00E800E3">
        <w:trPr>
          <w:cantSplit/>
          <w:jc w:val="center"/>
        </w:trPr>
        <w:tc>
          <w:tcPr>
            <w:tcW w:w="5670" w:type="dxa"/>
          </w:tcPr>
          <w:p w14:paraId="1C7DCC19"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Identifier des mesures d'atténuation répondant aux objectifs et aux préférences des autochtones</w:t>
            </w:r>
          </w:p>
          <w:p w14:paraId="210B8A70" w14:textId="77777777" w:rsidR="00874483" w:rsidRPr="007A6C83" w:rsidRDefault="00874483" w:rsidP="00874483">
            <w:pPr>
              <w:rPr>
                <w:rFonts w:cs="Arial"/>
                <w:sz w:val="20"/>
                <w:szCs w:val="20"/>
              </w:rPr>
            </w:pPr>
            <w:r w:rsidRPr="007A6C83">
              <w:rPr>
                <w:rFonts w:cs="Arial"/>
                <w:i/>
                <w:iCs/>
                <w:sz w:val="20"/>
                <w:szCs w:val="20"/>
              </w:rPr>
              <w:t>Paragraphes 13, 18, 21, et 22</w:t>
            </w:r>
          </w:p>
        </w:tc>
        <w:tc>
          <w:tcPr>
            <w:tcW w:w="5670" w:type="dxa"/>
            <w:shd w:val="clear" w:color="auto" w:fill="auto"/>
          </w:tcPr>
          <w:p w14:paraId="52CABCBC" w14:textId="77777777" w:rsidR="00874483" w:rsidRPr="007A6C83" w:rsidRDefault="00874483" w:rsidP="007A6C83">
            <w:pPr>
              <w:pStyle w:val="Tabletext0"/>
              <w:spacing w:line="276" w:lineRule="auto"/>
              <w:rPr>
                <w:rFonts w:ascii="Arial" w:hAnsi="Arial" w:cs="Arial"/>
                <w:szCs w:val="20"/>
              </w:rPr>
            </w:pPr>
          </w:p>
          <w:p w14:paraId="46B74E2A"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013E813F" w14:textId="77777777" w:rsidR="00874483" w:rsidRPr="007A6C83" w:rsidRDefault="00874483" w:rsidP="00874483">
            <w:pPr>
              <w:autoSpaceDE w:val="0"/>
              <w:autoSpaceDN w:val="0"/>
              <w:adjustRightInd w:val="0"/>
              <w:rPr>
                <w:rFonts w:eastAsia="Calibri" w:cs="Arial"/>
                <w:sz w:val="20"/>
                <w:szCs w:val="20"/>
              </w:rPr>
            </w:pPr>
          </w:p>
        </w:tc>
        <w:tc>
          <w:tcPr>
            <w:tcW w:w="3969" w:type="dxa"/>
            <w:shd w:val="clear" w:color="auto" w:fill="auto"/>
          </w:tcPr>
          <w:p w14:paraId="55F0F526" w14:textId="77777777" w:rsidR="00874483" w:rsidRPr="007A6C83" w:rsidRDefault="00874483" w:rsidP="00874483">
            <w:pPr>
              <w:rPr>
                <w:rFonts w:eastAsia="Calibri" w:cs="Arial"/>
                <w:sz w:val="20"/>
                <w:szCs w:val="20"/>
              </w:rPr>
            </w:pPr>
            <w:r w:rsidRPr="007A6C83">
              <w:rPr>
                <w:rFonts w:cs="Arial"/>
                <w:sz w:val="20"/>
                <w:szCs w:val="20"/>
              </w:rPr>
              <w:t>La loi nationale ne satisfait pas à la NES n°7. Les exigences de la Norme 7 s’appliqueront</w:t>
            </w:r>
          </w:p>
        </w:tc>
      </w:tr>
      <w:tr w:rsidR="00874483" w:rsidRPr="00E800E3" w14:paraId="0EC55ED5" w14:textId="77777777" w:rsidTr="00E800E3">
        <w:trPr>
          <w:cantSplit/>
          <w:jc w:val="center"/>
        </w:trPr>
        <w:tc>
          <w:tcPr>
            <w:tcW w:w="5670" w:type="dxa"/>
          </w:tcPr>
          <w:p w14:paraId="5C9DE72E"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Préparer un plan pour les populations autochtones (plan de développement communautaire intégré lorsque les groupes sont divers, ou intégrer la planification dans la conception lorsque les bénéficiaires sont uniques)</w:t>
            </w:r>
          </w:p>
          <w:p w14:paraId="30BAA594" w14:textId="77777777" w:rsidR="00874483" w:rsidRPr="007A6C83" w:rsidRDefault="00874483" w:rsidP="00874483">
            <w:pPr>
              <w:rPr>
                <w:rFonts w:cs="Arial"/>
                <w:sz w:val="20"/>
                <w:szCs w:val="20"/>
              </w:rPr>
            </w:pPr>
            <w:r w:rsidRPr="007A6C83">
              <w:rPr>
                <w:rFonts w:cs="Arial"/>
                <w:i/>
                <w:iCs/>
                <w:sz w:val="20"/>
                <w:szCs w:val="20"/>
              </w:rPr>
              <w:t>Paragraphes 14, 15, et 17</w:t>
            </w:r>
          </w:p>
        </w:tc>
        <w:tc>
          <w:tcPr>
            <w:tcW w:w="5670" w:type="dxa"/>
            <w:shd w:val="clear" w:color="auto" w:fill="auto"/>
          </w:tcPr>
          <w:p w14:paraId="036EFEC1" w14:textId="77777777" w:rsidR="00874483" w:rsidRPr="007A6C83" w:rsidRDefault="00874483" w:rsidP="007A6C83">
            <w:pPr>
              <w:pStyle w:val="Tabletext0"/>
              <w:spacing w:line="276" w:lineRule="auto"/>
              <w:rPr>
                <w:rFonts w:ascii="Arial" w:hAnsi="Arial" w:cs="Arial"/>
                <w:szCs w:val="20"/>
              </w:rPr>
            </w:pPr>
          </w:p>
          <w:p w14:paraId="542FD960" w14:textId="77777777" w:rsidR="00874483" w:rsidRPr="007A6C83" w:rsidRDefault="00874483" w:rsidP="007A6C83">
            <w:pPr>
              <w:pStyle w:val="Tabletext0"/>
              <w:spacing w:line="276" w:lineRule="auto"/>
              <w:rPr>
                <w:rFonts w:ascii="Arial" w:hAnsi="Arial" w:cs="Arial"/>
                <w:szCs w:val="20"/>
              </w:rPr>
            </w:pPr>
          </w:p>
          <w:p w14:paraId="4AB3189B"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53C3DF41" w14:textId="77777777" w:rsidR="00874483" w:rsidRPr="007A6C83" w:rsidRDefault="00874483" w:rsidP="00874483">
            <w:pPr>
              <w:autoSpaceDE w:val="0"/>
              <w:autoSpaceDN w:val="0"/>
              <w:adjustRightInd w:val="0"/>
              <w:rPr>
                <w:rFonts w:eastAsia="Calibri" w:cs="Arial"/>
                <w:sz w:val="20"/>
                <w:szCs w:val="20"/>
              </w:rPr>
            </w:pPr>
          </w:p>
        </w:tc>
        <w:tc>
          <w:tcPr>
            <w:tcW w:w="3969" w:type="dxa"/>
            <w:shd w:val="clear" w:color="auto" w:fill="auto"/>
          </w:tcPr>
          <w:p w14:paraId="1C589E80" w14:textId="77777777" w:rsidR="00874483" w:rsidRPr="007A6C83" w:rsidRDefault="00874483" w:rsidP="00874483">
            <w:pPr>
              <w:rPr>
                <w:rFonts w:eastAsia="Calibri" w:cs="Arial"/>
                <w:sz w:val="20"/>
                <w:szCs w:val="20"/>
              </w:rPr>
            </w:pPr>
            <w:r w:rsidRPr="007A6C83">
              <w:rPr>
                <w:rFonts w:cs="Arial"/>
                <w:sz w:val="20"/>
                <w:szCs w:val="20"/>
              </w:rPr>
              <w:t>La loi nationale ne satisfait pas à la NES n°7. Les exigences de la Norme 7 s’appliqueront</w:t>
            </w:r>
          </w:p>
        </w:tc>
      </w:tr>
      <w:tr w:rsidR="00874483" w:rsidRPr="00E800E3" w14:paraId="7F6FC0FC" w14:textId="77777777" w:rsidTr="00E800E3">
        <w:trPr>
          <w:cantSplit/>
          <w:jc w:val="center"/>
        </w:trPr>
        <w:tc>
          <w:tcPr>
            <w:tcW w:w="5670" w:type="dxa"/>
          </w:tcPr>
          <w:p w14:paraId="44D3CC0C"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Engager un processus de mobilisation tel que prévu dans la NES 10, qui comprendra une analyse des parties prenantes et la formulation de plans de mobilisation, la diffusion d’informations ainsi que des consultations approfondies, d’une manière adaptée à la culture locale.</w:t>
            </w:r>
          </w:p>
          <w:p w14:paraId="0C47CAD2" w14:textId="77777777" w:rsidR="00874483" w:rsidRPr="007A6C83" w:rsidRDefault="00874483" w:rsidP="00874483">
            <w:pPr>
              <w:rPr>
                <w:rFonts w:cs="Arial"/>
                <w:sz w:val="20"/>
                <w:szCs w:val="20"/>
              </w:rPr>
            </w:pPr>
            <w:r w:rsidRPr="007A6C83">
              <w:rPr>
                <w:rFonts w:cs="Arial"/>
                <w:i/>
                <w:iCs/>
                <w:sz w:val="20"/>
                <w:szCs w:val="20"/>
              </w:rPr>
              <w:t>Paragraphe 23</w:t>
            </w:r>
          </w:p>
        </w:tc>
        <w:tc>
          <w:tcPr>
            <w:tcW w:w="5670" w:type="dxa"/>
            <w:shd w:val="clear" w:color="auto" w:fill="auto"/>
          </w:tcPr>
          <w:p w14:paraId="393C8154" w14:textId="77777777" w:rsidR="00874483" w:rsidRPr="007A6C83" w:rsidRDefault="00874483" w:rsidP="007A6C83">
            <w:pPr>
              <w:pStyle w:val="Tabletext0"/>
              <w:spacing w:line="276" w:lineRule="auto"/>
              <w:rPr>
                <w:rFonts w:ascii="Arial" w:hAnsi="Arial" w:cs="Arial"/>
                <w:szCs w:val="20"/>
              </w:rPr>
            </w:pPr>
          </w:p>
          <w:p w14:paraId="613A3F57" w14:textId="77777777" w:rsidR="00874483" w:rsidRPr="007A6C83" w:rsidRDefault="00874483" w:rsidP="007A6C83">
            <w:pPr>
              <w:pStyle w:val="Tabletext0"/>
              <w:spacing w:line="276" w:lineRule="auto"/>
              <w:rPr>
                <w:rFonts w:ascii="Arial" w:hAnsi="Arial" w:cs="Arial"/>
                <w:szCs w:val="20"/>
              </w:rPr>
            </w:pPr>
          </w:p>
          <w:p w14:paraId="129CE5EB"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282D1EC5" w14:textId="77777777" w:rsidR="00874483" w:rsidRPr="007A6C83" w:rsidRDefault="00874483" w:rsidP="00874483">
            <w:pPr>
              <w:autoSpaceDE w:val="0"/>
              <w:autoSpaceDN w:val="0"/>
              <w:adjustRightInd w:val="0"/>
              <w:rPr>
                <w:rFonts w:eastAsia="Calibri" w:cs="Arial"/>
                <w:sz w:val="20"/>
                <w:szCs w:val="20"/>
              </w:rPr>
            </w:pPr>
          </w:p>
        </w:tc>
        <w:tc>
          <w:tcPr>
            <w:tcW w:w="3969" w:type="dxa"/>
            <w:shd w:val="clear" w:color="auto" w:fill="auto"/>
          </w:tcPr>
          <w:p w14:paraId="66024075" w14:textId="77777777" w:rsidR="00874483" w:rsidRPr="007A6C83" w:rsidRDefault="00874483" w:rsidP="00874483">
            <w:pPr>
              <w:rPr>
                <w:rFonts w:eastAsia="Calibri" w:cs="Arial"/>
                <w:sz w:val="20"/>
                <w:szCs w:val="20"/>
              </w:rPr>
            </w:pPr>
            <w:r w:rsidRPr="007A6C83">
              <w:rPr>
                <w:rFonts w:cs="Arial"/>
                <w:sz w:val="20"/>
                <w:szCs w:val="20"/>
              </w:rPr>
              <w:t>La loi nationale ne satisfait pas à la NES n°7. Les exigences de la Norme 7 s’appliqueront</w:t>
            </w:r>
          </w:p>
        </w:tc>
      </w:tr>
      <w:tr w:rsidR="00874483" w:rsidRPr="00E800E3" w14:paraId="0CB84438" w14:textId="77777777" w:rsidTr="00E800E3">
        <w:trPr>
          <w:cantSplit/>
          <w:jc w:val="center"/>
        </w:trPr>
        <w:tc>
          <w:tcPr>
            <w:tcW w:w="5670" w:type="dxa"/>
          </w:tcPr>
          <w:p w14:paraId="7D4B86BE"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Obtenir un consentement libre, préalable et éclairé (CPLCC) pour les projets ayant un impact sur les terres, les ressources ou le patrimoine culturel des populations indigènes, ou entraînant une relocalisation</w:t>
            </w:r>
          </w:p>
          <w:p w14:paraId="557D2953" w14:textId="77777777" w:rsidR="00874483" w:rsidRPr="007A6C83" w:rsidRDefault="00874483" w:rsidP="00874483">
            <w:pPr>
              <w:rPr>
                <w:rFonts w:cs="Arial"/>
                <w:sz w:val="20"/>
                <w:szCs w:val="20"/>
              </w:rPr>
            </w:pPr>
            <w:r w:rsidRPr="007A6C83">
              <w:rPr>
                <w:rFonts w:cs="Arial"/>
                <w:i/>
                <w:iCs/>
                <w:sz w:val="20"/>
                <w:szCs w:val="20"/>
              </w:rPr>
              <w:t>Paragraphes 24 à 28</w:t>
            </w:r>
          </w:p>
        </w:tc>
        <w:tc>
          <w:tcPr>
            <w:tcW w:w="5670" w:type="dxa"/>
            <w:shd w:val="clear" w:color="auto" w:fill="auto"/>
          </w:tcPr>
          <w:p w14:paraId="3DA72A32" w14:textId="77777777" w:rsidR="00874483" w:rsidRPr="007A6C83" w:rsidRDefault="00874483" w:rsidP="007A6C83">
            <w:pPr>
              <w:pStyle w:val="Tabletext0"/>
              <w:spacing w:line="276" w:lineRule="auto"/>
              <w:rPr>
                <w:rFonts w:ascii="Arial" w:hAnsi="Arial" w:cs="Arial"/>
                <w:szCs w:val="20"/>
              </w:rPr>
            </w:pPr>
          </w:p>
          <w:p w14:paraId="510AA039" w14:textId="77777777" w:rsidR="00874483" w:rsidRPr="007A6C83" w:rsidRDefault="00874483" w:rsidP="007A6C83">
            <w:pPr>
              <w:pStyle w:val="Tabletext0"/>
              <w:spacing w:line="276" w:lineRule="auto"/>
              <w:rPr>
                <w:rFonts w:ascii="Arial" w:hAnsi="Arial" w:cs="Arial"/>
                <w:szCs w:val="20"/>
              </w:rPr>
            </w:pPr>
          </w:p>
          <w:p w14:paraId="1FB17F4E"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776D8995" w14:textId="77777777" w:rsidR="00874483" w:rsidRPr="007A6C83" w:rsidRDefault="00874483" w:rsidP="00874483">
            <w:pPr>
              <w:autoSpaceDE w:val="0"/>
              <w:autoSpaceDN w:val="0"/>
              <w:adjustRightInd w:val="0"/>
              <w:rPr>
                <w:rFonts w:eastAsia="Calibri" w:cs="Arial"/>
                <w:sz w:val="20"/>
                <w:szCs w:val="20"/>
              </w:rPr>
            </w:pPr>
          </w:p>
        </w:tc>
        <w:tc>
          <w:tcPr>
            <w:tcW w:w="3969" w:type="dxa"/>
            <w:shd w:val="clear" w:color="auto" w:fill="auto"/>
          </w:tcPr>
          <w:p w14:paraId="40440673" w14:textId="77777777" w:rsidR="00874483" w:rsidRPr="007A6C83" w:rsidRDefault="00874483" w:rsidP="00874483">
            <w:pPr>
              <w:rPr>
                <w:rFonts w:eastAsia="Calibri" w:cs="Arial"/>
                <w:sz w:val="20"/>
                <w:szCs w:val="20"/>
              </w:rPr>
            </w:pPr>
            <w:r w:rsidRPr="007A6C83">
              <w:rPr>
                <w:rFonts w:cs="Arial"/>
                <w:sz w:val="20"/>
                <w:szCs w:val="20"/>
              </w:rPr>
              <w:t>La loi nationale ne satisfait pas à la NES n°7. Les exigences de la Norme 7 s’appliqueront</w:t>
            </w:r>
          </w:p>
        </w:tc>
      </w:tr>
      <w:tr w:rsidR="00874483" w:rsidRPr="00E800E3" w14:paraId="376EA27E" w14:textId="77777777" w:rsidTr="00E800E3">
        <w:trPr>
          <w:cantSplit/>
          <w:jc w:val="center"/>
        </w:trPr>
        <w:tc>
          <w:tcPr>
            <w:tcW w:w="5670" w:type="dxa"/>
          </w:tcPr>
          <w:p w14:paraId="141DD50A"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Éviter la délocalisation des terres traditionnelles et préparer des plans pour la reconnaissance de la propriété légale</w:t>
            </w:r>
          </w:p>
          <w:p w14:paraId="5782990D" w14:textId="77777777" w:rsidR="00874483" w:rsidRPr="007A6C83" w:rsidRDefault="00874483" w:rsidP="00874483">
            <w:pPr>
              <w:rPr>
                <w:rFonts w:cs="Arial"/>
                <w:sz w:val="20"/>
                <w:szCs w:val="20"/>
              </w:rPr>
            </w:pPr>
            <w:r w:rsidRPr="007A6C83">
              <w:rPr>
                <w:rFonts w:cs="Arial"/>
                <w:i/>
                <w:iCs/>
                <w:sz w:val="20"/>
                <w:szCs w:val="20"/>
              </w:rPr>
              <w:t>Paragraphes 29 à 31</w:t>
            </w:r>
          </w:p>
        </w:tc>
        <w:tc>
          <w:tcPr>
            <w:tcW w:w="5670" w:type="dxa"/>
            <w:shd w:val="clear" w:color="auto" w:fill="auto"/>
          </w:tcPr>
          <w:p w14:paraId="48367F4F" w14:textId="77777777" w:rsidR="00874483" w:rsidRPr="007A6C83" w:rsidRDefault="00874483" w:rsidP="007A6C83">
            <w:pPr>
              <w:pStyle w:val="Tabletext0"/>
              <w:spacing w:line="276" w:lineRule="auto"/>
              <w:rPr>
                <w:rFonts w:ascii="Arial" w:hAnsi="Arial" w:cs="Arial"/>
                <w:szCs w:val="20"/>
              </w:rPr>
            </w:pPr>
          </w:p>
          <w:p w14:paraId="6DBECFA4"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4C30AD87" w14:textId="77777777" w:rsidR="00874483" w:rsidRPr="007A6C83" w:rsidRDefault="00874483" w:rsidP="00874483">
            <w:pPr>
              <w:autoSpaceDE w:val="0"/>
              <w:autoSpaceDN w:val="0"/>
              <w:adjustRightInd w:val="0"/>
              <w:rPr>
                <w:rFonts w:eastAsia="Calibri" w:cs="Arial"/>
                <w:sz w:val="20"/>
                <w:szCs w:val="20"/>
              </w:rPr>
            </w:pPr>
          </w:p>
        </w:tc>
        <w:tc>
          <w:tcPr>
            <w:tcW w:w="3969" w:type="dxa"/>
            <w:shd w:val="clear" w:color="auto" w:fill="auto"/>
          </w:tcPr>
          <w:p w14:paraId="027E0411" w14:textId="77777777" w:rsidR="00874483" w:rsidRPr="007A6C83" w:rsidRDefault="00874483" w:rsidP="00874483">
            <w:pPr>
              <w:rPr>
                <w:rFonts w:eastAsia="Calibri" w:cs="Arial"/>
                <w:sz w:val="20"/>
                <w:szCs w:val="20"/>
              </w:rPr>
            </w:pPr>
            <w:r w:rsidRPr="007A6C83">
              <w:rPr>
                <w:rFonts w:cs="Arial"/>
                <w:sz w:val="20"/>
                <w:szCs w:val="20"/>
              </w:rPr>
              <w:t>La loi nationale ne satisfait pas à la NES n°7. Les exigences de la Norme 7 s’appliqueront</w:t>
            </w:r>
          </w:p>
        </w:tc>
      </w:tr>
      <w:tr w:rsidR="00874483" w:rsidRPr="00E800E3" w14:paraId="4F91FFFE" w14:textId="77777777" w:rsidTr="00E800E3">
        <w:trPr>
          <w:cantSplit/>
          <w:jc w:val="center"/>
        </w:trPr>
        <w:tc>
          <w:tcPr>
            <w:tcW w:w="5670" w:type="dxa"/>
          </w:tcPr>
          <w:p w14:paraId="2A5C9CF6"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Éviter les impacts significatifs sur le patrimoine culturel et obtenir le CPLCC si l'on propose une utilisation commerciale</w:t>
            </w:r>
          </w:p>
          <w:p w14:paraId="3DFE4409" w14:textId="77777777" w:rsidR="00874483" w:rsidRPr="007A6C83" w:rsidRDefault="00874483" w:rsidP="00874483">
            <w:pPr>
              <w:rPr>
                <w:rFonts w:cs="Arial"/>
                <w:sz w:val="20"/>
                <w:szCs w:val="20"/>
              </w:rPr>
            </w:pPr>
            <w:r w:rsidRPr="007A6C83">
              <w:rPr>
                <w:rFonts w:cs="Arial"/>
                <w:i/>
                <w:iCs/>
                <w:sz w:val="20"/>
                <w:szCs w:val="20"/>
              </w:rPr>
              <w:t>Paragraphe 33</w:t>
            </w:r>
          </w:p>
        </w:tc>
        <w:tc>
          <w:tcPr>
            <w:tcW w:w="5670" w:type="dxa"/>
            <w:shd w:val="clear" w:color="auto" w:fill="auto"/>
          </w:tcPr>
          <w:p w14:paraId="5E84EFB9" w14:textId="77777777" w:rsidR="00874483" w:rsidRPr="007A6C83" w:rsidRDefault="00874483" w:rsidP="007A6C83">
            <w:pPr>
              <w:pStyle w:val="Tabletext0"/>
              <w:spacing w:line="276" w:lineRule="auto"/>
              <w:rPr>
                <w:rFonts w:ascii="Arial" w:hAnsi="Arial" w:cs="Arial"/>
                <w:szCs w:val="20"/>
              </w:rPr>
            </w:pPr>
          </w:p>
          <w:p w14:paraId="2CED7FF9"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2E533F49" w14:textId="77777777" w:rsidR="00874483" w:rsidRPr="007A6C83" w:rsidRDefault="00874483" w:rsidP="00874483">
            <w:pPr>
              <w:autoSpaceDE w:val="0"/>
              <w:autoSpaceDN w:val="0"/>
              <w:adjustRightInd w:val="0"/>
              <w:rPr>
                <w:rFonts w:eastAsia="Calibri" w:cs="Arial"/>
                <w:sz w:val="20"/>
                <w:szCs w:val="20"/>
              </w:rPr>
            </w:pPr>
          </w:p>
        </w:tc>
        <w:tc>
          <w:tcPr>
            <w:tcW w:w="3969" w:type="dxa"/>
            <w:shd w:val="clear" w:color="auto" w:fill="auto"/>
          </w:tcPr>
          <w:p w14:paraId="4AAFA677" w14:textId="77777777" w:rsidR="00874483" w:rsidRPr="007A6C83" w:rsidRDefault="00874483" w:rsidP="00874483">
            <w:pPr>
              <w:rPr>
                <w:rFonts w:eastAsia="Calibri" w:cs="Arial"/>
                <w:sz w:val="20"/>
                <w:szCs w:val="20"/>
              </w:rPr>
            </w:pPr>
            <w:r w:rsidRPr="007A6C83">
              <w:rPr>
                <w:rFonts w:cs="Arial"/>
                <w:sz w:val="20"/>
                <w:szCs w:val="20"/>
              </w:rPr>
              <w:t>La loi nationale ne satisfait pas à la NES n°7. Les exigences de la Norme 7 s’appliqueront</w:t>
            </w:r>
          </w:p>
        </w:tc>
      </w:tr>
      <w:tr w:rsidR="00874483" w:rsidRPr="00E800E3" w14:paraId="4865D5E2" w14:textId="77777777" w:rsidTr="00E800E3">
        <w:trPr>
          <w:cantSplit/>
          <w:jc w:val="center"/>
        </w:trPr>
        <w:tc>
          <w:tcPr>
            <w:tcW w:w="5670" w:type="dxa"/>
          </w:tcPr>
          <w:p w14:paraId="2F16882B"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Mettre en place un mécanisme de gestion des plaintes culturellement adapté selon la NES 10, et tenir compte de la disponibilité de voies de recours judiciaires et de mécanismes coutumiers de règlement des conflits</w:t>
            </w:r>
          </w:p>
          <w:p w14:paraId="0E72ABBF" w14:textId="77777777" w:rsidR="00874483" w:rsidRPr="007A6C83" w:rsidRDefault="00874483" w:rsidP="00874483">
            <w:pPr>
              <w:rPr>
                <w:rFonts w:cs="Arial"/>
                <w:sz w:val="20"/>
                <w:szCs w:val="20"/>
              </w:rPr>
            </w:pPr>
            <w:r w:rsidRPr="007A6C83">
              <w:rPr>
                <w:rFonts w:cs="Arial"/>
                <w:i/>
                <w:iCs/>
                <w:sz w:val="20"/>
                <w:szCs w:val="20"/>
              </w:rPr>
              <w:t>Paragraphe 33</w:t>
            </w:r>
          </w:p>
        </w:tc>
        <w:tc>
          <w:tcPr>
            <w:tcW w:w="5670" w:type="dxa"/>
            <w:shd w:val="clear" w:color="auto" w:fill="auto"/>
          </w:tcPr>
          <w:p w14:paraId="603374DC" w14:textId="77777777" w:rsidR="00874483" w:rsidRPr="007A6C83" w:rsidRDefault="00874483" w:rsidP="007A6C83">
            <w:pPr>
              <w:pStyle w:val="Tabletext0"/>
              <w:spacing w:line="276" w:lineRule="auto"/>
              <w:rPr>
                <w:rFonts w:ascii="Arial" w:hAnsi="Arial" w:cs="Arial"/>
                <w:szCs w:val="20"/>
              </w:rPr>
            </w:pPr>
          </w:p>
          <w:p w14:paraId="3116F7C9"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592CA805" w14:textId="77777777" w:rsidR="00874483" w:rsidRPr="007A6C83" w:rsidRDefault="00874483" w:rsidP="00874483">
            <w:pPr>
              <w:autoSpaceDE w:val="0"/>
              <w:autoSpaceDN w:val="0"/>
              <w:adjustRightInd w:val="0"/>
              <w:rPr>
                <w:rFonts w:eastAsia="Calibri" w:cs="Arial"/>
                <w:sz w:val="20"/>
                <w:szCs w:val="20"/>
              </w:rPr>
            </w:pPr>
          </w:p>
        </w:tc>
        <w:tc>
          <w:tcPr>
            <w:tcW w:w="3969" w:type="dxa"/>
            <w:shd w:val="clear" w:color="auto" w:fill="auto"/>
          </w:tcPr>
          <w:p w14:paraId="2136A508" w14:textId="77777777" w:rsidR="00874483" w:rsidRPr="007A6C83" w:rsidRDefault="00874483" w:rsidP="00874483">
            <w:pPr>
              <w:rPr>
                <w:rFonts w:eastAsia="Calibri" w:cs="Arial"/>
                <w:sz w:val="20"/>
                <w:szCs w:val="20"/>
              </w:rPr>
            </w:pPr>
            <w:r w:rsidRPr="007A6C83">
              <w:rPr>
                <w:rFonts w:cs="Arial"/>
                <w:sz w:val="20"/>
                <w:szCs w:val="20"/>
              </w:rPr>
              <w:t>La loi nationale ne satisfait pas à la NES n°7. Les exigences de la Norme 7 s’appliqueront</w:t>
            </w:r>
          </w:p>
        </w:tc>
      </w:tr>
      <w:tr w:rsidR="00874483" w:rsidRPr="00E800E3" w14:paraId="5C6BBD01" w14:textId="77777777" w:rsidTr="00730A4A">
        <w:trPr>
          <w:cantSplit/>
          <w:jc w:val="center"/>
        </w:trPr>
        <w:tc>
          <w:tcPr>
            <w:tcW w:w="15309" w:type="dxa"/>
            <w:gridSpan w:val="3"/>
            <w:shd w:val="clear" w:color="auto" w:fill="C5E0B3"/>
          </w:tcPr>
          <w:p w14:paraId="05CB1EDD" w14:textId="77777777" w:rsidR="00874483" w:rsidRPr="007A6C83" w:rsidRDefault="00874483" w:rsidP="00874483">
            <w:pPr>
              <w:spacing w:before="60" w:after="60"/>
              <w:rPr>
                <w:rFonts w:eastAsia="Calibri" w:cs="Arial"/>
                <w:b/>
                <w:bCs/>
                <w:sz w:val="20"/>
                <w:szCs w:val="20"/>
              </w:rPr>
            </w:pPr>
            <w:r w:rsidRPr="007A6C83">
              <w:rPr>
                <w:rFonts w:eastAsia="Calibri" w:cs="Arial"/>
                <w:b/>
                <w:bCs/>
                <w:sz w:val="20"/>
                <w:szCs w:val="20"/>
              </w:rPr>
              <w:t>NES 8. Patrimoine culturel</w:t>
            </w:r>
          </w:p>
        </w:tc>
      </w:tr>
      <w:tr w:rsidR="00874483" w:rsidRPr="00E800E3" w14:paraId="3D8E53BA" w14:textId="77777777" w:rsidTr="00E800E3">
        <w:trPr>
          <w:cantSplit/>
          <w:jc w:val="center"/>
        </w:trPr>
        <w:tc>
          <w:tcPr>
            <w:tcW w:w="5670" w:type="dxa"/>
          </w:tcPr>
          <w:p w14:paraId="2C3EBC76"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Inclure le patrimoine culturel dans l’évaluation environnementale et sociale, éviter les impacts négatifs sur le patrimoine culturel, sinon prévoir la mise en œuvre de mesures pour gérer ces impacts, et au besoin, élaborer un Plan de gestion du patrimoine culturel</w:t>
            </w:r>
          </w:p>
          <w:p w14:paraId="7DD0C053" w14:textId="77777777" w:rsidR="00874483" w:rsidRPr="007A6C83" w:rsidRDefault="00874483" w:rsidP="00874483">
            <w:pPr>
              <w:rPr>
                <w:rFonts w:cs="Arial"/>
                <w:sz w:val="20"/>
                <w:szCs w:val="20"/>
                <w:lang w:eastAsia="x-none"/>
              </w:rPr>
            </w:pPr>
            <w:r w:rsidRPr="007A6C83">
              <w:rPr>
                <w:rFonts w:cs="Arial"/>
                <w:i/>
                <w:iCs/>
                <w:sz w:val="20"/>
                <w:szCs w:val="20"/>
              </w:rPr>
              <w:t>Paragraphes 8  et 9</w:t>
            </w:r>
          </w:p>
        </w:tc>
        <w:tc>
          <w:tcPr>
            <w:tcW w:w="5670" w:type="dxa"/>
            <w:shd w:val="clear" w:color="auto" w:fill="auto"/>
            <w:vAlign w:val="center"/>
          </w:tcPr>
          <w:p w14:paraId="4C6F189A" w14:textId="77777777" w:rsidR="00874483" w:rsidRPr="007A6C83" w:rsidRDefault="00874483" w:rsidP="007A6C83">
            <w:pPr>
              <w:pStyle w:val="Tabletext0"/>
              <w:spacing w:line="276" w:lineRule="auto"/>
              <w:rPr>
                <w:rFonts w:ascii="Arial" w:hAnsi="Arial" w:cs="Arial"/>
                <w:szCs w:val="20"/>
              </w:rPr>
            </w:pPr>
            <w:r w:rsidRPr="007A6C83">
              <w:rPr>
                <w:rFonts w:ascii="Arial" w:eastAsia="Calibri" w:hAnsi="Arial" w:cs="Arial"/>
                <w:szCs w:val="20"/>
              </w:rPr>
              <w:t>L’Ordonnance-loi n° 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w:t>
            </w:r>
          </w:p>
        </w:tc>
        <w:tc>
          <w:tcPr>
            <w:tcW w:w="3969" w:type="dxa"/>
            <w:shd w:val="clear" w:color="auto" w:fill="auto"/>
            <w:vAlign w:val="center"/>
          </w:tcPr>
          <w:p w14:paraId="5D0FADE0" w14:textId="77777777" w:rsidR="00874483" w:rsidRPr="007A6C83" w:rsidRDefault="00874483" w:rsidP="00874483">
            <w:pPr>
              <w:rPr>
                <w:rFonts w:cs="Arial"/>
                <w:sz w:val="20"/>
                <w:szCs w:val="20"/>
              </w:rPr>
            </w:pPr>
            <w:r w:rsidRPr="007A6C83">
              <w:rPr>
                <w:rFonts w:eastAsia="Calibri" w:cs="Arial"/>
                <w:sz w:val="20"/>
                <w:szCs w:val="20"/>
              </w:rPr>
              <w:t>La loi nationale satisfait à cette NES n°8. Donc la NES n°8 s’appliquera</w:t>
            </w:r>
          </w:p>
        </w:tc>
      </w:tr>
      <w:tr w:rsidR="00874483" w:rsidRPr="00E800E3" w14:paraId="107EC198" w14:textId="77777777" w:rsidTr="00E800E3">
        <w:trPr>
          <w:cantSplit/>
          <w:jc w:val="center"/>
        </w:trPr>
        <w:tc>
          <w:tcPr>
            <w:tcW w:w="5670" w:type="dxa"/>
          </w:tcPr>
          <w:p w14:paraId="182EC8E2"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Inclure une procédure de découverte fortuite dans tous les marchés et contrats de construction du projet comprenant des fouilles, des démolitions, des terrassements, des inondations et d’autres modifications physiques de l’environnement, en cas de découverte, durant les activités du projet, d’un patrimoine culturel inconnu auparavant.</w:t>
            </w:r>
          </w:p>
          <w:p w14:paraId="55DD566C" w14:textId="77777777" w:rsidR="00874483" w:rsidRPr="007A6C83" w:rsidRDefault="00874483" w:rsidP="00874483">
            <w:pPr>
              <w:rPr>
                <w:rFonts w:cs="Arial"/>
                <w:sz w:val="20"/>
                <w:szCs w:val="20"/>
                <w:lang w:eastAsia="x-none"/>
              </w:rPr>
            </w:pPr>
            <w:r w:rsidRPr="007A6C83">
              <w:rPr>
                <w:rFonts w:cs="Arial"/>
                <w:i/>
                <w:iCs/>
                <w:sz w:val="20"/>
                <w:szCs w:val="20"/>
              </w:rPr>
              <w:t>Paragraphe 11</w:t>
            </w:r>
          </w:p>
        </w:tc>
        <w:tc>
          <w:tcPr>
            <w:tcW w:w="5670" w:type="dxa"/>
            <w:shd w:val="clear" w:color="auto" w:fill="auto"/>
            <w:vAlign w:val="center"/>
          </w:tcPr>
          <w:p w14:paraId="274962A6" w14:textId="77777777" w:rsidR="00874483" w:rsidRPr="007A6C83" w:rsidRDefault="00874483" w:rsidP="00874483">
            <w:pPr>
              <w:rPr>
                <w:rFonts w:cs="Arial"/>
                <w:sz w:val="20"/>
                <w:szCs w:val="20"/>
              </w:rPr>
            </w:pPr>
            <w:r w:rsidRPr="007A6C83">
              <w:rPr>
                <w:rFonts w:eastAsia="Calibri" w:cs="Arial"/>
                <w:sz w:val="20"/>
                <w:szCs w:val="20"/>
              </w:rPr>
              <w:t>L’Ordonnance-loi n° 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w:t>
            </w:r>
          </w:p>
        </w:tc>
        <w:tc>
          <w:tcPr>
            <w:tcW w:w="3969" w:type="dxa"/>
            <w:shd w:val="clear" w:color="auto" w:fill="auto"/>
            <w:vAlign w:val="center"/>
          </w:tcPr>
          <w:p w14:paraId="455A45FB" w14:textId="77777777" w:rsidR="00874483" w:rsidRPr="007A6C83" w:rsidRDefault="00874483" w:rsidP="007A6C83">
            <w:pPr>
              <w:pStyle w:val="Tabletext0"/>
              <w:spacing w:line="276" w:lineRule="auto"/>
              <w:rPr>
                <w:rFonts w:ascii="Arial" w:eastAsia="Calibri" w:hAnsi="Arial" w:cs="Arial"/>
                <w:szCs w:val="20"/>
              </w:rPr>
            </w:pPr>
            <w:r w:rsidRPr="007A6C83">
              <w:rPr>
                <w:rFonts w:ascii="Arial" w:eastAsia="Calibri" w:hAnsi="Arial" w:cs="Arial"/>
                <w:szCs w:val="20"/>
              </w:rPr>
              <w:t>La loi nationale satisfait à cette disposition de la NES n°8, mais pour être en conformité avec cette politique, des dispositions sont prises dans le CGES pour protéger les sites culturels et les éventuelles découvertes archéologiques, voire Annexe 3 sur les clauses environnementales et sociales à insérer dans les DAO et les marchés de travaux.</w:t>
            </w:r>
            <w:r w:rsidRPr="007A6C83">
              <w:rPr>
                <w:rFonts w:ascii="Arial" w:hAnsi="Arial" w:cs="Arial"/>
                <w:szCs w:val="20"/>
              </w:rPr>
              <w:t xml:space="preserve"> Ainsi, les exigences de la NES n°8 s’appliqueront.</w:t>
            </w:r>
          </w:p>
          <w:p w14:paraId="333B998F" w14:textId="77777777" w:rsidR="00874483" w:rsidRPr="007A6C83" w:rsidRDefault="00874483" w:rsidP="00874483">
            <w:pPr>
              <w:rPr>
                <w:rFonts w:cs="Arial"/>
                <w:sz w:val="20"/>
                <w:szCs w:val="20"/>
              </w:rPr>
            </w:pPr>
          </w:p>
        </w:tc>
      </w:tr>
      <w:tr w:rsidR="00874483" w:rsidRPr="00E800E3" w14:paraId="04A3F699" w14:textId="77777777" w:rsidTr="00E800E3">
        <w:trPr>
          <w:cantSplit/>
          <w:jc w:val="center"/>
        </w:trPr>
        <w:tc>
          <w:tcPr>
            <w:tcW w:w="5670" w:type="dxa"/>
          </w:tcPr>
          <w:p w14:paraId="69D591FF"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Identifier, conformément à la NES 10, toutes les parties concernées par le patrimoine culturel connu ou susceptible d’être découvert durant le projet, et tenir des consultations approfondies avec les parties prenantes, conformément à la NES 10.</w:t>
            </w:r>
          </w:p>
          <w:p w14:paraId="414EE32A" w14:textId="77777777" w:rsidR="00874483" w:rsidRPr="007A6C83" w:rsidRDefault="00874483" w:rsidP="00874483">
            <w:pPr>
              <w:rPr>
                <w:rFonts w:cs="Arial"/>
                <w:sz w:val="20"/>
                <w:szCs w:val="20"/>
                <w:lang w:eastAsia="x-none"/>
              </w:rPr>
            </w:pPr>
            <w:r w:rsidRPr="007A6C83">
              <w:rPr>
                <w:rFonts w:cs="Arial"/>
                <w:i/>
                <w:iCs/>
                <w:sz w:val="20"/>
                <w:szCs w:val="20"/>
              </w:rPr>
              <w:t>Paragraphe 13 et 14</w:t>
            </w:r>
          </w:p>
        </w:tc>
        <w:tc>
          <w:tcPr>
            <w:tcW w:w="5670" w:type="dxa"/>
            <w:shd w:val="clear" w:color="auto" w:fill="auto"/>
          </w:tcPr>
          <w:p w14:paraId="0A6DA1F2" w14:textId="77777777" w:rsidR="00874483" w:rsidRPr="007A6C83" w:rsidRDefault="00874483" w:rsidP="007A6C83">
            <w:pPr>
              <w:pStyle w:val="Tabletext0"/>
              <w:spacing w:line="276" w:lineRule="auto"/>
              <w:rPr>
                <w:rFonts w:ascii="Arial" w:hAnsi="Arial" w:cs="Arial"/>
                <w:szCs w:val="20"/>
              </w:rPr>
            </w:pPr>
          </w:p>
          <w:p w14:paraId="2AEA72AB" w14:textId="77777777" w:rsidR="00874483" w:rsidRPr="007A6C83" w:rsidRDefault="00874483" w:rsidP="007A6C83">
            <w:pPr>
              <w:pStyle w:val="Tabletext0"/>
              <w:spacing w:line="276" w:lineRule="auto"/>
              <w:rPr>
                <w:rFonts w:ascii="Arial" w:hAnsi="Arial" w:cs="Arial"/>
                <w:szCs w:val="20"/>
              </w:rPr>
            </w:pPr>
          </w:p>
          <w:p w14:paraId="7F3DD4F9"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02203FE9" w14:textId="77777777" w:rsidR="00874483" w:rsidRPr="007A6C83" w:rsidRDefault="00874483" w:rsidP="00874483">
            <w:pPr>
              <w:rPr>
                <w:rFonts w:cs="Arial"/>
                <w:sz w:val="20"/>
                <w:szCs w:val="20"/>
              </w:rPr>
            </w:pPr>
          </w:p>
        </w:tc>
        <w:tc>
          <w:tcPr>
            <w:tcW w:w="3969" w:type="dxa"/>
            <w:shd w:val="clear" w:color="auto" w:fill="auto"/>
            <w:vAlign w:val="center"/>
          </w:tcPr>
          <w:p w14:paraId="2A406D0B" w14:textId="77777777" w:rsidR="00874483" w:rsidRPr="007A6C83" w:rsidRDefault="00874483" w:rsidP="00874483">
            <w:pPr>
              <w:rPr>
                <w:rFonts w:cs="Arial"/>
                <w:sz w:val="20"/>
                <w:szCs w:val="20"/>
              </w:rPr>
            </w:pPr>
            <w:r w:rsidRPr="007A6C83">
              <w:rPr>
                <w:rFonts w:cs="Arial"/>
                <w:sz w:val="20"/>
                <w:szCs w:val="20"/>
              </w:rPr>
              <w:t xml:space="preserve">La loi nationale ne satisfait pas à la NES n°8. Donc les exigences de la Norme 8 s’appliqueront </w:t>
            </w:r>
          </w:p>
        </w:tc>
      </w:tr>
      <w:tr w:rsidR="00874483" w:rsidRPr="00E800E3" w14:paraId="711D17BC" w14:textId="77777777" w:rsidTr="00E800E3">
        <w:trPr>
          <w:cantSplit/>
          <w:jc w:val="center"/>
        </w:trPr>
        <w:tc>
          <w:tcPr>
            <w:tcW w:w="5670" w:type="dxa"/>
          </w:tcPr>
          <w:p w14:paraId="21380D85"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Lorsque le site du projet abrite un patrimoine culturel ou bloque l’accès à des sites du patrimoine culturel accessibles auparavant, autoriser l’accès continu aux sites culturels, ou ouvrir une autre voie d’accès.</w:t>
            </w:r>
          </w:p>
          <w:p w14:paraId="7E6B7B28" w14:textId="77777777" w:rsidR="00874483" w:rsidRPr="007A6C83" w:rsidRDefault="00874483" w:rsidP="00874483">
            <w:pPr>
              <w:rPr>
                <w:rFonts w:cs="Arial"/>
                <w:sz w:val="20"/>
                <w:szCs w:val="20"/>
                <w:lang w:eastAsia="x-none"/>
              </w:rPr>
            </w:pPr>
            <w:r w:rsidRPr="007A6C83">
              <w:rPr>
                <w:rFonts w:cs="Arial"/>
                <w:i/>
                <w:iCs/>
                <w:sz w:val="20"/>
                <w:szCs w:val="20"/>
              </w:rPr>
              <w:t>Paragraphes 16</w:t>
            </w:r>
          </w:p>
        </w:tc>
        <w:tc>
          <w:tcPr>
            <w:tcW w:w="5670" w:type="dxa"/>
            <w:shd w:val="clear" w:color="auto" w:fill="auto"/>
          </w:tcPr>
          <w:p w14:paraId="7C60B78C" w14:textId="77777777" w:rsidR="00874483" w:rsidRPr="007A6C83" w:rsidRDefault="00874483" w:rsidP="007A6C83">
            <w:pPr>
              <w:pStyle w:val="Tabletext0"/>
              <w:spacing w:line="276" w:lineRule="auto"/>
              <w:rPr>
                <w:rFonts w:ascii="Arial" w:hAnsi="Arial" w:cs="Arial"/>
                <w:szCs w:val="20"/>
              </w:rPr>
            </w:pPr>
          </w:p>
          <w:p w14:paraId="256E662E" w14:textId="77777777" w:rsidR="00874483" w:rsidRPr="007A6C83" w:rsidRDefault="00874483" w:rsidP="007A6C83">
            <w:pPr>
              <w:pStyle w:val="Tabletext0"/>
              <w:spacing w:line="276" w:lineRule="auto"/>
              <w:rPr>
                <w:rFonts w:ascii="Arial" w:hAnsi="Arial" w:cs="Arial"/>
                <w:szCs w:val="20"/>
              </w:rPr>
            </w:pPr>
          </w:p>
          <w:p w14:paraId="1752B0FB"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5A5C3E7C" w14:textId="77777777" w:rsidR="00874483" w:rsidRPr="007A6C83" w:rsidRDefault="00874483" w:rsidP="00874483">
            <w:pPr>
              <w:rPr>
                <w:rFonts w:cs="Arial"/>
                <w:sz w:val="20"/>
                <w:szCs w:val="20"/>
              </w:rPr>
            </w:pPr>
          </w:p>
        </w:tc>
        <w:tc>
          <w:tcPr>
            <w:tcW w:w="3969" w:type="dxa"/>
            <w:shd w:val="clear" w:color="auto" w:fill="auto"/>
          </w:tcPr>
          <w:p w14:paraId="1FD608D2" w14:textId="77777777" w:rsidR="00874483" w:rsidRPr="007A6C83" w:rsidRDefault="00874483" w:rsidP="00874483">
            <w:pPr>
              <w:rPr>
                <w:rFonts w:cs="Arial"/>
                <w:sz w:val="20"/>
                <w:szCs w:val="20"/>
              </w:rPr>
            </w:pPr>
            <w:r w:rsidRPr="007A6C83">
              <w:rPr>
                <w:rFonts w:cs="Arial"/>
                <w:sz w:val="20"/>
                <w:szCs w:val="20"/>
              </w:rPr>
              <w:t xml:space="preserve">La loi nationale ne satisfait pas à la NES n°8. Donc les exigences de la Norme 8 s’appliqueront </w:t>
            </w:r>
          </w:p>
        </w:tc>
      </w:tr>
      <w:tr w:rsidR="00874483" w:rsidRPr="00E800E3" w14:paraId="2157C235" w14:textId="77777777" w:rsidTr="00E800E3">
        <w:trPr>
          <w:cantSplit/>
          <w:jc w:val="center"/>
        </w:trPr>
        <w:tc>
          <w:tcPr>
            <w:tcW w:w="5670" w:type="dxa"/>
          </w:tcPr>
          <w:p w14:paraId="04247106"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Dresser l’inventaire de toutes les aires protégées touchées par le projet qui abritent un patrimoine culturel classé</w:t>
            </w:r>
          </w:p>
          <w:p w14:paraId="0510B20C" w14:textId="77777777" w:rsidR="00874483" w:rsidRPr="007A6C83" w:rsidRDefault="00874483" w:rsidP="00874483">
            <w:pPr>
              <w:rPr>
                <w:rFonts w:cs="Arial"/>
                <w:sz w:val="20"/>
                <w:szCs w:val="20"/>
                <w:lang w:eastAsia="x-none"/>
              </w:rPr>
            </w:pPr>
            <w:r w:rsidRPr="007A6C83">
              <w:rPr>
                <w:rFonts w:cs="Arial"/>
                <w:i/>
                <w:iCs/>
                <w:sz w:val="20"/>
                <w:szCs w:val="20"/>
              </w:rPr>
              <w:t>Paragraphes 17</w:t>
            </w:r>
          </w:p>
        </w:tc>
        <w:tc>
          <w:tcPr>
            <w:tcW w:w="5670" w:type="dxa"/>
            <w:shd w:val="clear" w:color="auto" w:fill="auto"/>
          </w:tcPr>
          <w:p w14:paraId="6C8B390B" w14:textId="77777777" w:rsidR="00874483" w:rsidRPr="007A6C83" w:rsidRDefault="00874483" w:rsidP="007A6C83">
            <w:pPr>
              <w:pStyle w:val="Tabletext0"/>
              <w:spacing w:line="276" w:lineRule="auto"/>
              <w:rPr>
                <w:rFonts w:ascii="Arial" w:hAnsi="Arial" w:cs="Arial"/>
                <w:szCs w:val="20"/>
              </w:rPr>
            </w:pPr>
          </w:p>
          <w:p w14:paraId="34184E29"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237B5BC7" w14:textId="77777777" w:rsidR="00874483" w:rsidRPr="007A6C83" w:rsidRDefault="00874483" w:rsidP="00874483">
            <w:pPr>
              <w:rPr>
                <w:rFonts w:cs="Arial"/>
                <w:sz w:val="20"/>
                <w:szCs w:val="20"/>
              </w:rPr>
            </w:pPr>
          </w:p>
        </w:tc>
        <w:tc>
          <w:tcPr>
            <w:tcW w:w="3969" w:type="dxa"/>
            <w:shd w:val="clear" w:color="auto" w:fill="auto"/>
          </w:tcPr>
          <w:p w14:paraId="4E7CB5D0" w14:textId="77777777" w:rsidR="00874483" w:rsidRPr="007A6C83" w:rsidRDefault="00874483" w:rsidP="00874483">
            <w:pPr>
              <w:rPr>
                <w:rFonts w:cs="Arial"/>
                <w:sz w:val="20"/>
                <w:szCs w:val="20"/>
              </w:rPr>
            </w:pPr>
            <w:r w:rsidRPr="007A6C83">
              <w:rPr>
                <w:rFonts w:cs="Arial"/>
                <w:sz w:val="20"/>
                <w:szCs w:val="20"/>
              </w:rPr>
              <w:t xml:space="preserve">La loi nationale ne satisfait pas à la NES n°8. Donc les exigences de la Norme 8 s’appliqueront </w:t>
            </w:r>
          </w:p>
        </w:tc>
      </w:tr>
      <w:tr w:rsidR="00874483" w:rsidRPr="00E800E3" w14:paraId="7E5FA26B" w14:textId="77777777" w:rsidTr="00E800E3">
        <w:trPr>
          <w:cantSplit/>
          <w:jc w:val="center"/>
        </w:trPr>
        <w:tc>
          <w:tcPr>
            <w:tcW w:w="5670" w:type="dxa"/>
          </w:tcPr>
          <w:p w14:paraId="3EC23655"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Lorsqu’il existe une forte probabilité d’activité humaine passée dans la zone du projet, procéder à une recherche documentaire et des enquêtes de terrain pour enregistrer, cartographier et étudier les vestiges archéologiques, garder trace écrite de l’emplacement de sites découverts, et transmettre les informations aux institutions nationales ou locales concernées.</w:t>
            </w:r>
          </w:p>
          <w:p w14:paraId="3BAB34DE" w14:textId="77777777" w:rsidR="00874483" w:rsidRPr="007A6C83" w:rsidRDefault="00874483" w:rsidP="00874483">
            <w:pPr>
              <w:rPr>
                <w:rFonts w:cs="Arial"/>
                <w:sz w:val="20"/>
                <w:szCs w:val="20"/>
                <w:lang w:eastAsia="x-none"/>
              </w:rPr>
            </w:pPr>
            <w:r w:rsidRPr="007A6C83">
              <w:rPr>
                <w:rFonts w:cs="Arial"/>
                <w:i/>
                <w:iCs/>
                <w:sz w:val="20"/>
                <w:szCs w:val="20"/>
              </w:rPr>
              <w:t>Paragraphes 18 à 20</w:t>
            </w:r>
          </w:p>
        </w:tc>
        <w:tc>
          <w:tcPr>
            <w:tcW w:w="5670" w:type="dxa"/>
            <w:shd w:val="clear" w:color="auto" w:fill="auto"/>
          </w:tcPr>
          <w:p w14:paraId="32180842" w14:textId="77777777" w:rsidR="00874483" w:rsidRPr="007A6C83" w:rsidRDefault="00874483" w:rsidP="007A6C83">
            <w:pPr>
              <w:pStyle w:val="Tabletext0"/>
              <w:spacing w:line="276" w:lineRule="auto"/>
              <w:rPr>
                <w:rFonts w:ascii="Arial" w:hAnsi="Arial" w:cs="Arial"/>
                <w:szCs w:val="20"/>
              </w:rPr>
            </w:pPr>
          </w:p>
          <w:p w14:paraId="5F019D1F" w14:textId="77777777" w:rsidR="00874483" w:rsidRPr="007A6C83" w:rsidRDefault="00874483" w:rsidP="007A6C83">
            <w:pPr>
              <w:pStyle w:val="Tabletext0"/>
              <w:spacing w:line="276" w:lineRule="auto"/>
              <w:rPr>
                <w:rFonts w:ascii="Arial" w:hAnsi="Arial" w:cs="Arial"/>
                <w:szCs w:val="20"/>
              </w:rPr>
            </w:pPr>
          </w:p>
          <w:p w14:paraId="5BF5A399" w14:textId="77777777" w:rsidR="00874483" w:rsidRPr="007A6C83" w:rsidRDefault="00874483" w:rsidP="007A6C83">
            <w:pPr>
              <w:pStyle w:val="Tabletext0"/>
              <w:spacing w:line="276" w:lineRule="auto"/>
              <w:rPr>
                <w:rFonts w:ascii="Arial" w:hAnsi="Arial" w:cs="Arial"/>
                <w:szCs w:val="20"/>
              </w:rPr>
            </w:pPr>
          </w:p>
          <w:p w14:paraId="79920FA7"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736F6929" w14:textId="77777777" w:rsidR="00874483" w:rsidRPr="007A6C83" w:rsidRDefault="00874483" w:rsidP="00874483">
            <w:pPr>
              <w:rPr>
                <w:rFonts w:cs="Arial"/>
                <w:sz w:val="20"/>
                <w:szCs w:val="20"/>
              </w:rPr>
            </w:pPr>
          </w:p>
        </w:tc>
        <w:tc>
          <w:tcPr>
            <w:tcW w:w="3969" w:type="dxa"/>
            <w:shd w:val="clear" w:color="auto" w:fill="auto"/>
          </w:tcPr>
          <w:p w14:paraId="14222E87" w14:textId="77777777" w:rsidR="00874483" w:rsidRPr="007A6C83" w:rsidRDefault="00874483" w:rsidP="00874483">
            <w:pPr>
              <w:rPr>
                <w:rFonts w:cs="Arial"/>
                <w:sz w:val="20"/>
                <w:szCs w:val="20"/>
              </w:rPr>
            </w:pPr>
            <w:r w:rsidRPr="007A6C83">
              <w:rPr>
                <w:rFonts w:cs="Arial"/>
                <w:sz w:val="20"/>
                <w:szCs w:val="20"/>
              </w:rPr>
              <w:t xml:space="preserve">La loi nationale ne satisfait pas à la NES n°8. Donc les exigences de la Norme 8 s’appliqueront </w:t>
            </w:r>
          </w:p>
        </w:tc>
      </w:tr>
      <w:tr w:rsidR="00874483" w:rsidRPr="00E800E3" w14:paraId="1B025D95" w14:textId="77777777" w:rsidTr="00E800E3">
        <w:trPr>
          <w:cantSplit/>
          <w:jc w:val="center"/>
        </w:trPr>
        <w:tc>
          <w:tcPr>
            <w:tcW w:w="5670" w:type="dxa"/>
          </w:tcPr>
          <w:p w14:paraId="35E6D79C"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Définir des mesures d’atténuation appropriées pour remédier aux impacts négatifs sur le patrimoine bâti, préserver l’authenticité des formes, des matériaux et des techniques de construction, ainsi que l’environnement physique et visuel des structures historiques.</w:t>
            </w:r>
          </w:p>
          <w:p w14:paraId="73EA5582" w14:textId="77777777" w:rsidR="00874483" w:rsidRPr="007A6C83" w:rsidRDefault="00874483" w:rsidP="00874483">
            <w:pPr>
              <w:rPr>
                <w:rFonts w:cs="Arial"/>
                <w:sz w:val="20"/>
                <w:szCs w:val="20"/>
                <w:lang w:eastAsia="x-none"/>
              </w:rPr>
            </w:pPr>
            <w:r w:rsidRPr="007A6C83">
              <w:rPr>
                <w:rFonts w:cs="Arial"/>
                <w:i/>
                <w:iCs/>
                <w:sz w:val="20"/>
                <w:szCs w:val="20"/>
              </w:rPr>
              <w:t>Paragraphes 21 à 23</w:t>
            </w:r>
          </w:p>
        </w:tc>
        <w:tc>
          <w:tcPr>
            <w:tcW w:w="5670" w:type="dxa"/>
            <w:shd w:val="clear" w:color="auto" w:fill="auto"/>
          </w:tcPr>
          <w:p w14:paraId="7FDF5442" w14:textId="77777777" w:rsidR="00874483" w:rsidRPr="007A6C83" w:rsidRDefault="00874483" w:rsidP="007A6C83">
            <w:pPr>
              <w:pStyle w:val="Tabletext0"/>
              <w:spacing w:line="276" w:lineRule="auto"/>
              <w:rPr>
                <w:rFonts w:ascii="Arial" w:hAnsi="Arial" w:cs="Arial"/>
                <w:szCs w:val="20"/>
              </w:rPr>
            </w:pPr>
          </w:p>
          <w:p w14:paraId="35B067E1"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4B8DFEFA" w14:textId="77777777" w:rsidR="00874483" w:rsidRPr="007A6C83" w:rsidRDefault="00874483" w:rsidP="00874483">
            <w:pPr>
              <w:rPr>
                <w:rFonts w:cs="Arial"/>
                <w:sz w:val="20"/>
                <w:szCs w:val="20"/>
              </w:rPr>
            </w:pPr>
          </w:p>
        </w:tc>
        <w:tc>
          <w:tcPr>
            <w:tcW w:w="3969" w:type="dxa"/>
            <w:shd w:val="clear" w:color="auto" w:fill="auto"/>
          </w:tcPr>
          <w:p w14:paraId="217B874D" w14:textId="77777777" w:rsidR="00874483" w:rsidRPr="007A6C83" w:rsidRDefault="00874483" w:rsidP="00874483">
            <w:pPr>
              <w:rPr>
                <w:rFonts w:cs="Arial"/>
                <w:sz w:val="20"/>
                <w:szCs w:val="20"/>
              </w:rPr>
            </w:pPr>
            <w:r w:rsidRPr="007A6C83">
              <w:rPr>
                <w:rFonts w:cs="Arial"/>
                <w:sz w:val="20"/>
                <w:szCs w:val="20"/>
              </w:rPr>
              <w:t xml:space="preserve">La loi nationale ne satisfait pas à la NES n°8. Donc les exigences de la Norme 8 s’appliqueront </w:t>
            </w:r>
          </w:p>
        </w:tc>
      </w:tr>
      <w:tr w:rsidR="00874483" w:rsidRPr="00E800E3" w14:paraId="0158414D" w14:textId="77777777" w:rsidTr="00E800E3">
        <w:trPr>
          <w:cantSplit/>
          <w:jc w:val="center"/>
        </w:trPr>
        <w:tc>
          <w:tcPr>
            <w:tcW w:w="5670" w:type="dxa"/>
          </w:tcPr>
          <w:p w14:paraId="44CCD0FB"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Identifier, à travers la recherche et des consultations avec les parties concernées, les éléments naturels d’importance pour le patrimoine culturel qui pourraient être touchés par le projet, les populations qui valorisent ces éléments et les individus ou groupes qui sont habilités à représenter ces populations.</w:t>
            </w:r>
          </w:p>
          <w:p w14:paraId="0079FB57" w14:textId="77777777" w:rsidR="00874483" w:rsidRPr="007A6C83" w:rsidRDefault="00874483" w:rsidP="00874483">
            <w:pPr>
              <w:rPr>
                <w:rFonts w:cs="Arial"/>
                <w:sz w:val="20"/>
                <w:szCs w:val="20"/>
                <w:lang w:eastAsia="x-none"/>
              </w:rPr>
            </w:pPr>
            <w:r w:rsidRPr="007A6C83">
              <w:rPr>
                <w:rFonts w:cs="Arial"/>
                <w:i/>
                <w:iCs/>
                <w:sz w:val="20"/>
                <w:szCs w:val="20"/>
              </w:rPr>
              <w:t>Paragraphes 24 à 26</w:t>
            </w:r>
          </w:p>
        </w:tc>
        <w:tc>
          <w:tcPr>
            <w:tcW w:w="5670" w:type="dxa"/>
            <w:shd w:val="clear" w:color="auto" w:fill="auto"/>
          </w:tcPr>
          <w:p w14:paraId="62ABD706" w14:textId="77777777" w:rsidR="00874483" w:rsidRPr="007A6C83" w:rsidRDefault="00874483" w:rsidP="007A6C83">
            <w:pPr>
              <w:pStyle w:val="Tabletext0"/>
              <w:spacing w:line="276" w:lineRule="auto"/>
              <w:rPr>
                <w:rFonts w:ascii="Arial" w:hAnsi="Arial" w:cs="Arial"/>
                <w:szCs w:val="20"/>
              </w:rPr>
            </w:pPr>
          </w:p>
          <w:p w14:paraId="7564F7A4"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3D7D3A8D" w14:textId="77777777" w:rsidR="00874483" w:rsidRPr="007A6C83" w:rsidRDefault="00874483" w:rsidP="00874483">
            <w:pPr>
              <w:rPr>
                <w:rFonts w:cs="Arial"/>
                <w:sz w:val="20"/>
                <w:szCs w:val="20"/>
              </w:rPr>
            </w:pPr>
          </w:p>
        </w:tc>
        <w:tc>
          <w:tcPr>
            <w:tcW w:w="3969" w:type="dxa"/>
            <w:shd w:val="clear" w:color="auto" w:fill="auto"/>
          </w:tcPr>
          <w:p w14:paraId="083C0353" w14:textId="77777777" w:rsidR="00874483" w:rsidRPr="007A6C83" w:rsidRDefault="00874483" w:rsidP="00874483">
            <w:pPr>
              <w:rPr>
                <w:rFonts w:cs="Arial"/>
                <w:sz w:val="20"/>
                <w:szCs w:val="20"/>
              </w:rPr>
            </w:pPr>
            <w:r w:rsidRPr="007A6C83">
              <w:rPr>
                <w:rFonts w:cs="Arial"/>
                <w:sz w:val="20"/>
                <w:szCs w:val="20"/>
              </w:rPr>
              <w:t xml:space="preserve">La loi nationale ne satisfait pas à la NES n°8. Donc les exigences de la Norme 8 s’appliqueront </w:t>
            </w:r>
          </w:p>
        </w:tc>
      </w:tr>
      <w:tr w:rsidR="00874483" w:rsidRPr="00E800E3" w14:paraId="7DEBA952" w14:textId="77777777" w:rsidTr="00E800E3">
        <w:trPr>
          <w:cantSplit/>
          <w:jc w:val="center"/>
        </w:trPr>
        <w:tc>
          <w:tcPr>
            <w:tcW w:w="5670" w:type="dxa"/>
          </w:tcPr>
          <w:p w14:paraId="31CDD8A7"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Prendre des mesures pour se prémunir contre le vol et le trafic illicite d’objets du patrimoine culturel mobilier touché par le projet, et informera les autorités compétentes de toute activité de cette nature.</w:t>
            </w:r>
          </w:p>
          <w:p w14:paraId="40FD428E" w14:textId="77777777" w:rsidR="00874483" w:rsidRPr="007A6C83" w:rsidRDefault="00874483" w:rsidP="00874483">
            <w:pPr>
              <w:rPr>
                <w:rFonts w:cs="Arial"/>
                <w:sz w:val="20"/>
                <w:szCs w:val="20"/>
                <w:lang w:eastAsia="x-none"/>
              </w:rPr>
            </w:pPr>
            <w:r w:rsidRPr="007A6C83">
              <w:rPr>
                <w:rFonts w:cs="Arial"/>
                <w:i/>
                <w:iCs/>
                <w:sz w:val="20"/>
                <w:szCs w:val="20"/>
              </w:rPr>
              <w:t>Paragraphes 27 et 28</w:t>
            </w:r>
          </w:p>
        </w:tc>
        <w:tc>
          <w:tcPr>
            <w:tcW w:w="5670" w:type="dxa"/>
            <w:shd w:val="clear" w:color="auto" w:fill="auto"/>
          </w:tcPr>
          <w:p w14:paraId="4EEF164B" w14:textId="77777777" w:rsidR="00874483" w:rsidRPr="007A6C83" w:rsidRDefault="00874483" w:rsidP="007A6C83">
            <w:pPr>
              <w:pStyle w:val="Tabletext0"/>
              <w:spacing w:line="276" w:lineRule="auto"/>
              <w:rPr>
                <w:rFonts w:ascii="Arial" w:hAnsi="Arial" w:cs="Arial"/>
                <w:szCs w:val="20"/>
              </w:rPr>
            </w:pPr>
          </w:p>
          <w:p w14:paraId="45370F2A" w14:textId="77777777" w:rsidR="00874483" w:rsidRPr="007A6C83" w:rsidRDefault="00874483" w:rsidP="007A6C83">
            <w:pPr>
              <w:pStyle w:val="Tabletext0"/>
              <w:spacing w:line="276" w:lineRule="auto"/>
              <w:rPr>
                <w:rFonts w:ascii="Arial" w:hAnsi="Arial" w:cs="Arial"/>
                <w:szCs w:val="20"/>
              </w:rPr>
            </w:pPr>
          </w:p>
          <w:p w14:paraId="6C4DA8E1"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7A54ABC8" w14:textId="77777777" w:rsidR="00874483" w:rsidRPr="007A6C83" w:rsidRDefault="00874483" w:rsidP="00874483">
            <w:pPr>
              <w:rPr>
                <w:rFonts w:cs="Arial"/>
                <w:sz w:val="20"/>
                <w:szCs w:val="20"/>
              </w:rPr>
            </w:pPr>
          </w:p>
        </w:tc>
        <w:tc>
          <w:tcPr>
            <w:tcW w:w="3969" w:type="dxa"/>
            <w:shd w:val="clear" w:color="auto" w:fill="auto"/>
          </w:tcPr>
          <w:p w14:paraId="1D4F152A" w14:textId="77777777" w:rsidR="00874483" w:rsidRPr="007A6C83" w:rsidRDefault="00874483" w:rsidP="00874483">
            <w:pPr>
              <w:rPr>
                <w:rFonts w:cs="Arial"/>
                <w:sz w:val="20"/>
                <w:szCs w:val="20"/>
              </w:rPr>
            </w:pPr>
            <w:r w:rsidRPr="007A6C83">
              <w:rPr>
                <w:rFonts w:cs="Arial"/>
                <w:sz w:val="20"/>
                <w:szCs w:val="20"/>
              </w:rPr>
              <w:t xml:space="preserve">La loi nationale ne satisfait pas à la NES n°8. Donc les exigences de la Norme 8 s’appliqueront </w:t>
            </w:r>
          </w:p>
        </w:tc>
      </w:tr>
      <w:tr w:rsidR="00874483" w:rsidRPr="00E800E3" w14:paraId="62459BC1" w14:textId="77777777" w:rsidTr="00E800E3">
        <w:trPr>
          <w:cantSplit/>
          <w:jc w:val="center"/>
        </w:trPr>
        <w:tc>
          <w:tcPr>
            <w:tcW w:w="5670" w:type="dxa"/>
          </w:tcPr>
          <w:p w14:paraId="54CBB06A"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Ne procéder à une lise en valeur de patrimoine culturel à des fins commerciales qu'après des consultations approfondies, un partage juste et équitable des avantages issus de la mise en valeur, et la définition de mesures d’atténuation</w:t>
            </w:r>
          </w:p>
          <w:p w14:paraId="253BB5A4"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i/>
                <w:iCs/>
                <w:szCs w:val="20"/>
              </w:rPr>
              <w:t>Paragraphe 29</w:t>
            </w:r>
          </w:p>
        </w:tc>
        <w:tc>
          <w:tcPr>
            <w:tcW w:w="5670" w:type="dxa"/>
            <w:shd w:val="clear" w:color="auto" w:fill="auto"/>
          </w:tcPr>
          <w:p w14:paraId="7EB413F7" w14:textId="77777777" w:rsidR="00874483" w:rsidRPr="007A6C83" w:rsidRDefault="00874483" w:rsidP="007A6C83">
            <w:pPr>
              <w:pStyle w:val="Tabletext0"/>
              <w:spacing w:line="276" w:lineRule="auto"/>
              <w:rPr>
                <w:rFonts w:ascii="Arial" w:hAnsi="Arial" w:cs="Arial"/>
                <w:szCs w:val="20"/>
              </w:rPr>
            </w:pPr>
          </w:p>
          <w:p w14:paraId="5D6EDE32" w14:textId="77777777" w:rsidR="00874483" w:rsidRPr="007A6C83" w:rsidRDefault="00874483" w:rsidP="007A6C83">
            <w:pPr>
              <w:pStyle w:val="Tabletext0"/>
              <w:spacing w:line="276" w:lineRule="auto"/>
              <w:rPr>
                <w:rFonts w:ascii="Arial" w:hAnsi="Arial" w:cs="Arial"/>
                <w:szCs w:val="20"/>
              </w:rPr>
            </w:pPr>
          </w:p>
          <w:p w14:paraId="014EFA8F"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4DEF03FC" w14:textId="77777777" w:rsidR="00874483" w:rsidRPr="007A6C83" w:rsidRDefault="00874483" w:rsidP="00874483">
            <w:pPr>
              <w:rPr>
                <w:rFonts w:cs="Arial"/>
                <w:sz w:val="20"/>
                <w:szCs w:val="20"/>
              </w:rPr>
            </w:pPr>
          </w:p>
        </w:tc>
        <w:tc>
          <w:tcPr>
            <w:tcW w:w="3969" w:type="dxa"/>
            <w:shd w:val="clear" w:color="auto" w:fill="auto"/>
          </w:tcPr>
          <w:p w14:paraId="6578B1B0" w14:textId="77777777" w:rsidR="00874483" w:rsidRPr="007A6C83" w:rsidRDefault="00874483" w:rsidP="00874483">
            <w:pPr>
              <w:rPr>
                <w:rFonts w:cs="Arial"/>
                <w:sz w:val="20"/>
                <w:szCs w:val="20"/>
              </w:rPr>
            </w:pPr>
            <w:r w:rsidRPr="007A6C83">
              <w:rPr>
                <w:rFonts w:cs="Arial"/>
                <w:sz w:val="20"/>
                <w:szCs w:val="20"/>
              </w:rPr>
              <w:t xml:space="preserve">La loi nationale ne satisfait pas à la NES n°8. Donc les exigences de la Norme 8 s’appliqueront </w:t>
            </w:r>
          </w:p>
        </w:tc>
      </w:tr>
      <w:tr w:rsidR="00874483" w:rsidRPr="00E800E3" w14:paraId="61691B81" w14:textId="77777777" w:rsidTr="00730A4A">
        <w:trPr>
          <w:cantSplit/>
          <w:jc w:val="center"/>
        </w:trPr>
        <w:tc>
          <w:tcPr>
            <w:tcW w:w="15309" w:type="dxa"/>
            <w:gridSpan w:val="3"/>
            <w:shd w:val="clear" w:color="auto" w:fill="C5E0B3"/>
          </w:tcPr>
          <w:p w14:paraId="23752DC1" w14:textId="77777777" w:rsidR="00874483" w:rsidRPr="007A6C83" w:rsidRDefault="00874483" w:rsidP="007A6C83">
            <w:pPr>
              <w:spacing w:before="60" w:after="60"/>
              <w:jc w:val="left"/>
              <w:rPr>
                <w:rFonts w:cs="Arial"/>
                <w:sz w:val="20"/>
                <w:szCs w:val="20"/>
              </w:rPr>
            </w:pPr>
            <w:r w:rsidRPr="007A6C83">
              <w:rPr>
                <w:rFonts w:eastAsia="Calibri" w:cs="Arial"/>
                <w:b/>
                <w:bCs/>
                <w:sz w:val="20"/>
                <w:szCs w:val="20"/>
              </w:rPr>
              <w:t>NES 9.  Mobilisation des parties prenantes et information</w:t>
            </w:r>
          </w:p>
        </w:tc>
      </w:tr>
      <w:tr w:rsidR="00874483" w:rsidRPr="00E800E3" w14:paraId="5FEA511B" w14:textId="77777777" w:rsidTr="00E800E3">
        <w:trPr>
          <w:cantSplit/>
          <w:jc w:val="center"/>
        </w:trPr>
        <w:tc>
          <w:tcPr>
            <w:tcW w:w="5670" w:type="dxa"/>
          </w:tcPr>
          <w:p w14:paraId="18510E44"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 xml:space="preserve">Définir la manière dont les IF vont évaluer et gérer les risques et effets environnementaux et sociaux associés aux sous-projets qu’ils financent. </w:t>
            </w:r>
          </w:p>
        </w:tc>
        <w:tc>
          <w:tcPr>
            <w:tcW w:w="5670" w:type="dxa"/>
            <w:shd w:val="clear" w:color="auto" w:fill="auto"/>
          </w:tcPr>
          <w:p w14:paraId="789CF77A" w14:textId="77777777" w:rsidR="00874483" w:rsidRPr="007A6C83" w:rsidRDefault="00874483" w:rsidP="007A6C83">
            <w:pPr>
              <w:pStyle w:val="Tabletext0"/>
              <w:spacing w:line="276" w:lineRule="auto"/>
              <w:rPr>
                <w:rFonts w:ascii="Arial" w:hAnsi="Arial" w:cs="Arial"/>
                <w:szCs w:val="20"/>
              </w:rPr>
            </w:pPr>
          </w:p>
          <w:p w14:paraId="38CF0D0A" w14:textId="77777777" w:rsidR="00874483" w:rsidRPr="007A6C83" w:rsidRDefault="00874483" w:rsidP="007A6C83">
            <w:pPr>
              <w:pStyle w:val="Tabletext0"/>
              <w:spacing w:line="276" w:lineRule="auto"/>
              <w:rPr>
                <w:rFonts w:ascii="Arial" w:hAnsi="Arial" w:cs="Arial"/>
                <w:szCs w:val="20"/>
              </w:rPr>
            </w:pPr>
          </w:p>
          <w:p w14:paraId="7A340D13"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39E686F1" w14:textId="77777777" w:rsidR="00874483" w:rsidRPr="007A6C83" w:rsidRDefault="00874483" w:rsidP="007A6C83">
            <w:pPr>
              <w:pStyle w:val="Tabletext0"/>
              <w:spacing w:line="276" w:lineRule="auto"/>
              <w:rPr>
                <w:rFonts w:ascii="Arial" w:hAnsi="Arial" w:cs="Arial"/>
                <w:szCs w:val="20"/>
              </w:rPr>
            </w:pPr>
          </w:p>
        </w:tc>
        <w:tc>
          <w:tcPr>
            <w:tcW w:w="3969" w:type="dxa"/>
            <w:shd w:val="clear" w:color="auto" w:fill="auto"/>
          </w:tcPr>
          <w:p w14:paraId="5BD39AE6" w14:textId="77777777" w:rsidR="00874483" w:rsidRPr="007A6C83" w:rsidRDefault="00874483" w:rsidP="00874483">
            <w:pPr>
              <w:rPr>
                <w:rFonts w:cs="Arial"/>
                <w:sz w:val="20"/>
                <w:szCs w:val="20"/>
              </w:rPr>
            </w:pPr>
            <w:r w:rsidRPr="007A6C83">
              <w:rPr>
                <w:rFonts w:cs="Arial"/>
                <w:sz w:val="20"/>
                <w:szCs w:val="20"/>
              </w:rPr>
              <w:t>La loi nationale ne satisfait pas à cette exigence de la NES n° 9. Ainsi donc, la NES n°9 s’appliquera et sera suivi par la Banque mondiale</w:t>
            </w:r>
          </w:p>
        </w:tc>
      </w:tr>
      <w:tr w:rsidR="00874483" w:rsidRPr="00E800E3" w14:paraId="0AA87C9F" w14:textId="77777777" w:rsidTr="00E800E3">
        <w:trPr>
          <w:cantSplit/>
          <w:jc w:val="center"/>
        </w:trPr>
        <w:tc>
          <w:tcPr>
            <w:tcW w:w="5670" w:type="dxa"/>
          </w:tcPr>
          <w:p w14:paraId="3B3653B2"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 xml:space="preserve">Encourager de bonnes pratiques de gestion environnementale et sociale dans les sous-projets que les IF financent. </w:t>
            </w:r>
          </w:p>
        </w:tc>
        <w:tc>
          <w:tcPr>
            <w:tcW w:w="5670" w:type="dxa"/>
            <w:shd w:val="clear" w:color="auto" w:fill="auto"/>
          </w:tcPr>
          <w:p w14:paraId="2E35BA2B" w14:textId="77777777" w:rsidR="00874483" w:rsidRPr="007A6C83" w:rsidRDefault="00874483" w:rsidP="007A6C83">
            <w:pPr>
              <w:pStyle w:val="Tabletext0"/>
              <w:spacing w:line="276" w:lineRule="auto"/>
              <w:rPr>
                <w:rFonts w:ascii="Arial" w:hAnsi="Arial" w:cs="Arial"/>
                <w:szCs w:val="20"/>
              </w:rPr>
            </w:pPr>
          </w:p>
          <w:p w14:paraId="5E33C9AD" w14:textId="77777777" w:rsidR="00874483" w:rsidRPr="007A6C83" w:rsidRDefault="00874483" w:rsidP="007A6C83">
            <w:pPr>
              <w:pStyle w:val="Tabletext0"/>
              <w:spacing w:line="276" w:lineRule="auto"/>
              <w:rPr>
                <w:rFonts w:ascii="Arial" w:hAnsi="Arial" w:cs="Arial"/>
                <w:szCs w:val="20"/>
              </w:rPr>
            </w:pPr>
          </w:p>
          <w:p w14:paraId="03CCEBAF"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677A5963" w14:textId="77777777" w:rsidR="00874483" w:rsidRPr="007A6C83" w:rsidRDefault="00874483" w:rsidP="007A6C83">
            <w:pPr>
              <w:pStyle w:val="Tabletext0"/>
              <w:spacing w:line="276" w:lineRule="auto"/>
              <w:rPr>
                <w:rFonts w:ascii="Arial" w:hAnsi="Arial" w:cs="Arial"/>
                <w:szCs w:val="20"/>
              </w:rPr>
            </w:pPr>
          </w:p>
        </w:tc>
        <w:tc>
          <w:tcPr>
            <w:tcW w:w="3969" w:type="dxa"/>
            <w:shd w:val="clear" w:color="auto" w:fill="auto"/>
          </w:tcPr>
          <w:p w14:paraId="5BC40960" w14:textId="77777777" w:rsidR="00874483" w:rsidRPr="007A6C83" w:rsidRDefault="00874483" w:rsidP="00874483">
            <w:pPr>
              <w:rPr>
                <w:rFonts w:cs="Arial"/>
                <w:sz w:val="20"/>
                <w:szCs w:val="20"/>
              </w:rPr>
            </w:pPr>
            <w:r w:rsidRPr="007A6C83">
              <w:rPr>
                <w:rFonts w:cs="Arial"/>
                <w:sz w:val="20"/>
                <w:szCs w:val="20"/>
              </w:rPr>
              <w:t>La loi nationale ne satisfait pas à cette exigence de la NES n° 9. Ainsi donc, la NES n°9 s’appliquera et sera suivi par la Banque mondiale</w:t>
            </w:r>
          </w:p>
        </w:tc>
      </w:tr>
      <w:tr w:rsidR="00874483" w:rsidRPr="00E800E3" w14:paraId="7AC13303" w14:textId="77777777" w:rsidTr="00E800E3">
        <w:trPr>
          <w:cantSplit/>
          <w:jc w:val="center"/>
        </w:trPr>
        <w:tc>
          <w:tcPr>
            <w:tcW w:w="5670" w:type="dxa"/>
          </w:tcPr>
          <w:p w14:paraId="7CC1A3F1"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Promouvoir une bonne gestion de l’environnement et des ressources humaines dans le cadre de l’intermédiation financière</w:t>
            </w:r>
          </w:p>
        </w:tc>
        <w:tc>
          <w:tcPr>
            <w:tcW w:w="5670" w:type="dxa"/>
            <w:shd w:val="clear" w:color="auto" w:fill="auto"/>
          </w:tcPr>
          <w:p w14:paraId="2BBB5FFE" w14:textId="77777777" w:rsidR="00874483" w:rsidRPr="007A6C83" w:rsidRDefault="00874483" w:rsidP="007A6C83">
            <w:pPr>
              <w:pStyle w:val="Tabletext0"/>
              <w:spacing w:line="276" w:lineRule="auto"/>
              <w:rPr>
                <w:rFonts w:ascii="Arial" w:hAnsi="Arial" w:cs="Arial"/>
                <w:szCs w:val="20"/>
              </w:rPr>
            </w:pPr>
          </w:p>
          <w:p w14:paraId="4E5E6E76" w14:textId="77777777" w:rsidR="00874483" w:rsidRPr="007A6C83" w:rsidRDefault="00874483" w:rsidP="007A6C83">
            <w:pPr>
              <w:pStyle w:val="Tabletext0"/>
              <w:spacing w:line="276" w:lineRule="auto"/>
              <w:rPr>
                <w:rFonts w:ascii="Arial" w:hAnsi="Arial" w:cs="Arial"/>
                <w:szCs w:val="20"/>
              </w:rPr>
            </w:pPr>
          </w:p>
          <w:p w14:paraId="17C080E2"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4F1D13AD" w14:textId="77777777" w:rsidR="00874483" w:rsidRPr="007A6C83" w:rsidRDefault="00874483" w:rsidP="007A6C83">
            <w:pPr>
              <w:pStyle w:val="Tabletext0"/>
              <w:spacing w:line="276" w:lineRule="auto"/>
              <w:rPr>
                <w:rFonts w:ascii="Arial" w:hAnsi="Arial" w:cs="Arial"/>
                <w:szCs w:val="20"/>
              </w:rPr>
            </w:pPr>
          </w:p>
        </w:tc>
        <w:tc>
          <w:tcPr>
            <w:tcW w:w="3969" w:type="dxa"/>
            <w:shd w:val="clear" w:color="auto" w:fill="auto"/>
          </w:tcPr>
          <w:p w14:paraId="2988A8D1" w14:textId="77777777" w:rsidR="00874483" w:rsidRPr="007A6C83" w:rsidRDefault="00874483" w:rsidP="00874483">
            <w:pPr>
              <w:rPr>
                <w:rFonts w:cs="Arial"/>
                <w:sz w:val="20"/>
                <w:szCs w:val="20"/>
              </w:rPr>
            </w:pPr>
            <w:r w:rsidRPr="007A6C83">
              <w:rPr>
                <w:rFonts w:cs="Arial"/>
                <w:sz w:val="20"/>
                <w:szCs w:val="20"/>
              </w:rPr>
              <w:t>La loi nationale ne satisfait pas à cette exigence de la NES n° 9. Ainsi donc, la NES n°9 s’appliquera et sera suivi par la Banque mondiale</w:t>
            </w:r>
          </w:p>
        </w:tc>
      </w:tr>
      <w:tr w:rsidR="00874483" w:rsidRPr="00E800E3" w14:paraId="7F39C2DB" w14:textId="77777777" w:rsidTr="00730A4A">
        <w:trPr>
          <w:cantSplit/>
          <w:jc w:val="center"/>
        </w:trPr>
        <w:tc>
          <w:tcPr>
            <w:tcW w:w="15309" w:type="dxa"/>
            <w:gridSpan w:val="3"/>
            <w:shd w:val="clear" w:color="auto" w:fill="C5E0B3"/>
          </w:tcPr>
          <w:p w14:paraId="60CEF92B" w14:textId="77777777" w:rsidR="00874483" w:rsidRPr="007A6C83" w:rsidRDefault="00874483" w:rsidP="00874483">
            <w:pPr>
              <w:spacing w:before="60" w:after="60"/>
              <w:rPr>
                <w:rFonts w:eastAsia="Calibri" w:cs="Arial"/>
                <w:b/>
                <w:bCs/>
                <w:sz w:val="20"/>
                <w:szCs w:val="20"/>
              </w:rPr>
            </w:pPr>
            <w:r w:rsidRPr="007A6C83">
              <w:rPr>
                <w:rFonts w:eastAsia="Calibri" w:cs="Arial"/>
                <w:b/>
                <w:bCs/>
                <w:sz w:val="20"/>
                <w:szCs w:val="20"/>
              </w:rPr>
              <w:t>NES 10.  Mobilisation des parties prenantes et information</w:t>
            </w:r>
          </w:p>
        </w:tc>
      </w:tr>
      <w:tr w:rsidR="00874483" w:rsidRPr="00E800E3" w14:paraId="502369EA" w14:textId="77777777" w:rsidTr="00E800E3">
        <w:trPr>
          <w:cantSplit/>
          <w:jc w:val="center"/>
        </w:trPr>
        <w:tc>
          <w:tcPr>
            <w:tcW w:w="5670" w:type="dxa"/>
          </w:tcPr>
          <w:p w14:paraId="65F53C66"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Mettre en place un processus de mobilisation des parties prenantes qui sera intégré à l’évaluation environnementale et sociale et à la conception et la mise en œuvre du projet, tel que préconisé dans la NES 1.</w:t>
            </w:r>
          </w:p>
          <w:p w14:paraId="0C1B042D" w14:textId="77777777" w:rsidR="00874483" w:rsidRPr="007A6C83" w:rsidRDefault="00874483" w:rsidP="00874483">
            <w:pPr>
              <w:tabs>
                <w:tab w:val="center" w:pos="4320"/>
                <w:tab w:val="right" w:pos="8640"/>
              </w:tabs>
              <w:autoSpaceDE w:val="0"/>
              <w:autoSpaceDN w:val="0"/>
              <w:adjustRightInd w:val="0"/>
              <w:rPr>
                <w:rFonts w:cs="Arial"/>
                <w:i/>
                <w:sz w:val="20"/>
                <w:szCs w:val="20"/>
                <w:u w:val="single"/>
              </w:rPr>
            </w:pPr>
            <w:r w:rsidRPr="007A6C83">
              <w:rPr>
                <w:rFonts w:cs="Arial"/>
                <w:i/>
                <w:iCs/>
                <w:sz w:val="20"/>
                <w:szCs w:val="20"/>
              </w:rPr>
              <w:t>Paragraphe 4</w:t>
            </w:r>
          </w:p>
        </w:tc>
        <w:tc>
          <w:tcPr>
            <w:tcW w:w="5670" w:type="dxa"/>
            <w:shd w:val="clear" w:color="auto" w:fill="auto"/>
            <w:vAlign w:val="center"/>
          </w:tcPr>
          <w:p w14:paraId="037BF424" w14:textId="77777777" w:rsidR="00874483" w:rsidRPr="007A6C83" w:rsidRDefault="00874483" w:rsidP="00874483">
            <w:pPr>
              <w:rPr>
                <w:rFonts w:cs="Arial"/>
                <w:sz w:val="20"/>
                <w:szCs w:val="20"/>
              </w:rPr>
            </w:pPr>
            <w:r w:rsidRPr="007A6C83">
              <w:rPr>
                <w:rFonts w:cs="Arial"/>
                <w:sz w:val="20"/>
                <w:szCs w:val="20"/>
              </w:rPr>
              <w:t>La Loi n° 11/009 du 09 juillet 2011 en son Article 24 dispose que « Tout projet ou toute activité susceptible d’avoir un impact sur l’environnement est assujetti à une enquête publique préalable.</w:t>
            </w:r>
          </w:p>
          <w:p w14:paraId="4551A89F" w14:textId="77777777" w:rsidR="00874483" w:rsidRPr="007A6C83" w:rsidRDefault="00874483" w:rsidP="00874483">
            <w:pPr>
              <w:rPr>
                <w:rFonts w:cs="Arial"/>
                <w:sz w:val="20"/>
                <w:szCs w:val="20"/>
              </w:rPr>
            </w:pPr>
            <w:r w:rsidRPr="007A6C83">
              <w:rPr>
                <w:rFonts w:cs="Arial"/>
                <w:sz w:val="20"/>
                <w:szCs w:val="20"/>
              </w:rPr>
              <w:t>L’enquête publique a pour objet :</w:t>
            </w:r>
          </w:p>
          <w:p w14:paraId="68BEC7A8" w14:textId="77777777" w:rsidR="00874483" w:rsidRPr="007A6C83" w:rsidRDefault="00874483" w:rsidP="00874483">
            <w:pPr>
              <w:rPr>
                <w:rFonts w:cs="Arial"/>
                <w:sz w:val="20"/>
                <w:szCs w:val="20"/>
              </w:rPr>
            </w:pPr>
            <w:r w:rsidRPr="007A6C83">
              <w:rPr>
                <w:rFonts w:cs="Arial"/>
                <w:sz w:val="20"/>
                <w:szCs w:val="20"/>
              </w:rPr>
              <w:t>a) d’informer le public en général et la population locale en particulier sur le projet ou l’activité ;</w:t>
            </w:r>
          </w:p>
          <w:p w14:paraId="79FE6772" w14:textId="77777777" w:rsidR="00874483" w:rsidRPr="007A6C83" w:rsidRDefault="00874483" w:rsidP="00874483">
            <w:pPr>
              <w:rPr>
                <w:rFonts w:cs="Arial"/>
                <w:sz w:val="20"/>
                <w:szCs w:val="20"/>
              </w:rPr>
            </w:pPr>
            <w:r w:rsidRPr="007A6C83">
              <w:rPr>
                <w:rFonts w:cs="Arial"/>
                <w:sz w:val="20"/>
                <w:szCs w:val="20"/>
              </w:rPr>
              <w:t>b) de recueillir les informations sur la nature et l’étendue des droits que pourraient détenir des tiers sur la zone affectée par le projet ou l’activité ;</w:t>
            </w:r>
          </w:p>
          <w:p w14:paraId="2FD38470" w14:textId="77777777" w:rsidR="00874483" w:rsidRPr="007A6C83" w:rsidRDefault="00874483" w:rsidP="00874483">
            <w:pPr>
              <w:rPr>
                <w:rFonts w:cs="Arial"/>
                <w:sz w:val="20"/>
                <w:szCs w:val="20"/>
              </w:rPr>
            </w:pPr>
            <w:r w:rsidRPr="007A6C83">
              <w:rPr>
                <w:rFonts w:cs="Arial"/>
                <w:sz w:val="20"/>
                <w:szCs w:val="20"/>
              </w:rPr>
              <w:t>c) collecter les appréciations, suggestions et contre-propositions, afin de permettre à l’autorité compétente de disposer de tous les éléments nécessaires à sa décision.</w:t>
            </w:r>
          </w:p>
          <w:p w14:paraId="608C989F"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Un décret délibéré en conseil des ministres fixe le déroulement et la sanction de l’enquête publique</w:t>
            </w:r>
          </w:p>
        </w:tc>
        <w:tc>
          <w:tcPr>
            <w:tcW w:w="3969" w:type="dxa"/>
            <w:shd w:val="clear" w:color="auto" w:fill="auto"/>
            <w:vAlign w:val="center"/>
          </w:tcPr>
          <w:p w14:paraId="0CC80719" w14:textId="77777777" w:rsidR="00874483" w:rsidRPr="007A6C83" w:rsidRDefault="00874483" w:rsidP="00874483">
            <w:pPr>
              <w:autoSpaceDE w:val="0"/>
              <w:autoSpaceDN w:val="0"/>
              <w:rPr>
                <w:rFonts w:cs="Arial"/>
                <w:sz w:val="20"/>
                <w:szCs w:val="20"/>
              </w:rPr>
            </w:pPr>
            <w:r w:rsidRPr="007A6C83">
              <w:rPr>
                <w:rFonts w:cs="Arial"/>
                <w:sz w:val="20"/>
                <w:szCs w:val="20"/>
              </w:rPr>
              <w:t>La législation nationale ne précise pas les types de projets soumis à enquête publique. Un plan de mobilisation des parties prenantes sera produit pour le Programme et adapté au fur et mesure selon l’évolution du Projet et ses besoins en communications Ainsi, la NES n°10 s’appliquera et sera suivi par la Banque mondiale</w:t>
            </w:r>
          </w:p>
          <w:p w14:paraId="70C4FCCE" w14:textId="77777777" w:rsidR="00874483" w:rsidRPr="007A6C83" w:rsidRDefault="00874483" w:rsidP="00874483">
            <w:pPr>
              <w:rPr>
                <w:rFonts w:eastAsia="Calibri" w:cs="Arial"/>
                <w:sz w:val="20"/>
                <w:szCs w:val="20"/>
              </w:rPr>
            </w:pPr>
          </w:p>
        </w:tc>
      </w:tr>
      <w:tr w:rsidR="00874483" w:rsidRPr="00E800E3" w14:paraId="4D1A4BCC" w14:textId="77777777" w:rsidTr="00E800E3">
        <w:trPr>
          <w:cantSplit/>
          <w:jc w:val="center"/>
        </w:trPr>
        <w:tc>
          <w:tcPr>
            <w:tcW w:w="5670" w:type="dxa"/>
          </w:tcPr>
          <w:p w14:paraId="79A3123E"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Mobiliser les parties prenantes pendant toute la durée de vie du projet, le plus tôt possible pendant l’élaboration du projet, et selon un calendrier qui permette des consultations approfondies avec les parties prenantes sur la conception du projet, et proportionner la nature, la portée et la fréquence de cette mobilisation à l’envergure et aux risques du projet.</w:t>
            </w:r>
          </w:p>
          <w:p w14:paraId="7FFFC55D" w14:textId="77777777" w:rsidR="00874483" w:rsidRPr="007A6C83" w:rsidRDefault="00874483" w:rsidP="00874483">
            <w:pPr>
              <w:tabs>
                <w:tab w:val="center" w:pos="4320"/>
                <w:tab w:val="right" w:pos="8640"/>
              </w:tabs>
              <w:autoSpaceDE w:val="0"/>
              <w:autoSpaceDN w:val="0"/>
              <w:adjustRightInd w:val="0"/>
              <w:rPr>
                <w:rFonts w:cs="Arial"/>
                <w:i/>
                <w:sz w:val="20"/>
                <w:szCs w:val="20"/>
                <w:u w:val="single"/>
              </w:rPr>
            </w:pPr>
            <w:r w:rsidRPr="007A6C83">
              <w:rPr>
                <w:rFonts w:cs="Arial"/>
                <w:i/>
                <w:iCs/>
                <w:sz w:val="20"/>
                <w:szCs w:val="20"/>
              </w:rPr>
              <w:t>Paragraphe 6</w:t>
            </w:r>
          </w:p>
        </w:tc>
        <w:tc>
          <w:tcPr>
            <w:tcW w:w="5670" w:type="dxa"/>
            <w:shd w:val="clear" w:color="auto" w:fill="auto"/>
          </w:tcPr>
          <w:p w14:paraId="12436FE8" w14:textId="77777777" w:rsidR="00874483" w:rsidRPr="007A6C83" w:rsidRDefault="00874483" w:rsidP="007A6C83">
            <w:pPr>
              <w:pStyle w:val="Tabletext0"/>
              <w:spacing w:line="276" w:lineRule="auto"/>
              <w:rPr>
                <w:rFonts w:ascii="Arial" w:hAnsi="Arial" w:cs="Arial"/>
                <w:szCs w:val="20"/>
              </w:rPr>
            </w:pPr>
          </w:p>
          <w:p w14:paraId="4028D925" w14:textId="77777777" w:rsidR="00874483" w:rsidRPr="007A6C83" w:rsidRDefault="00874483" w:rsidP="007A6C83">
            <w:pPr>
              <w:pStyle w:val="Tabletext0"/>
              <w:spacing w:line="276" w:lineRule="auto"/>
              <w:rPr>
                <w:rFonts w:ascii="Arial" w:hAnsi="Arial" w:cs="Arial"/>
                <w:szCs w:val="20"/>
              </w:rPr>
            </w:pPr>
          </w:p>
          <w:p w14:paraId="7A1F2D51"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191A6434" w14:textId="77777777" w:rsidR="00874483" w:rsidRPr="007A6C83" w:rsidRDefault="00874483" w:rsidP="0087448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2482E866" w14:textId="77777777" w:rsidR="00874483" w:rsidRPr="007A6C83" w:rsidRDefault="00874483" w:rsidP="00874483">
            <w:pPr>
              <w:rPr>
                <w:rFonts w:eastAsia="Calibri" w:cs="Arial"/>
                <w:sz w:val="20"/>
                <w:szCs w:val="20"/>
              </w:rPr>
            </w:pPr>
            <w:r w:rsidRPr="007A6C83">
              <w:rPr>
                <w:rFonts w:cs="Arial"/>
                <w:sz w:val="20"/>
                <w:szCs w:val="20"/>
              </w:rPr>
              <w:t>La loi nationale ne satisfait pas à cette exigence de la NES n° 10. Ainsi donc, la NES n°10 s’appliquera et sera suivi par la Banque mondiale</w:t>
            </w:r>
          </w:p>
        </w:tc>
      </w:tr>
      <w:tr w:rsidR="00874483" w:rsidRPr="00E800E3" w14:paraId="1BDDB059" w14:textId="77777777" w:rsidTr="00E800E3">
        <w:trPr>
          <w:cantSplit/>
          <w:jc w:val="center"/>
        </w:trPr>
        <w:tc>
          <w:tcPr>
            <w:tcW w:w="5670" w:type="dxa"/>
          </w:tcPr>
          <w:p w14:paraId="04DABA8A"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Mener des consultations approfondies avec l’ensemble des parties prenantes, leur communiquer des informations à jour, pertinentes, compréhensibles et accessibles, et les consulter d’une manière adaptée à leur culture et libre de toute manipulation, interférence, coercition, discrimination et intimidation.</w:t>
            </w:r>
          </w:p>
          <w:p w14:paraId="5632E30C" w14:textId="77777777" w:rsidR="00874483" w:rsidRPr="007A6C83" w:rsidRDefault="00874483" w:rsidP="00874483">
            <w:pPr>
              <w:tabs>
                <w:tab w:val="center" w:pos="4320"/>
                <w:tab w:val="right" w:pos="8640"/>
              </w:tabs>
              <w:autoSpaceDE w:val="0"/>
              <w:autoSpaceDN w:val="0"/>
              <w:adjustRightInd w:val="0"/>
              <w:rPr>
                <w:rFonts w:cs="Arial"/>
                <w:i/>
                <w:sz w:val="20"/>
                <w:szCs w:val="20"/>
                <w:u w:val="single"/>
              </w:rPr>
            </w:pPr>
            <w:r w:rsidRPr="007A6C83">
              <w:rPr>
                <w:rFonts w:cs="Arial"/>
                <w:i/>
                <w:iCs/>
                <w:sz w:val="20"/>
                <w:szCs w:val="20"/>
              </w:rPr>
              <w:t>Paragraphes 7</w:t>
            </w:r>
          </w:p>
        </w:tc>
        <w:tc>
          <w:tcPr>
            <w:tcW w:w="5670" w:type="dxa"/>
            <w:shd w:val="clear" w:color="auto" w:fill="auto"/>
          </w:tcPr>
          <w:p w14:paraId="793D35EC" w14:textId="77777777" w:rsidR="00874483" w:rsidRPr="007A6C83" w:rsidRDefault="00874483" w:rsidP="007A6C83">
            <w:pPr>
              <w:pStyle w:val="Tabletext0"/>
              <w:spacing w:line="276" w:lineRule="auto"/>
              <w:rPr>
                <w:rFonts w:ascii="Arial" w:hAnsi="Arial" w:cs="Arial"/>
                <w:szCs w:val="20"/>
              </w:rPr>
            </w:pPr>
          </w:p>
          <w:p w14:paraId="3C4A9486" w14:textId="77777777" w:rsidR="00874483" w:rsidRPr="007A6C83" w:rsidRDefault="00874483" w:rsidP="007A6C83">
            <w:pPr>
              <w:pStyle w:val="Tabletext0"/>
              <w:spacing w:line="276" w:lineRule="auto"/>
              <w:rPr>
                <w:rFonts w:ascii="Arial" w:hAnsi="Arial" w:cs="Arial"/>
                <w:szCs w:val="20"/>
              </w:rPr>
            </w:pPr>
          </w:p>
          <w:p w14:paraId="1430A0D7"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28970883" w14:textId="77777777" w:rsidR="00874483" w:rsidRPr="007A6C83" w:rsidRDefault="00874483" w:rsidP="0087448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452E4A1A" w14:textId="77777777" w:rsidR="00874483" w:rsidRPr="007A6C83" w:rsidRDefault="00874483" w:rsidP="00874483">
            <w:pPr>
              <w:rPr>
                <w:rFonts w:eastAsia="Calibri" w:cs="Arial"/>
                <w:sz w:val="20"/>
                <w:szCs w:val="20"/>
              </w:rPr>
            </w:pPr>
            <w:r w:rsidRPr="007A6C83">
              <w:rPr>
                <w:rFonts w:cs="Arial"/>
                <w:sz w:val="20"/>
                <w:szCs w:val="20"/>
              </w:rPr>
              <w:t>La loi nationale ne satisfait pas à cette exigence de la NES n° 10. Ainsi donc, la NES n°10 s’appliquera et sera suivi par la Banque mondiale</w:t>
            </w:r>
          </w:p>
        </w:tc>
      </w:tr>
      <w:tr w:rsidR="00874483" w:rsidRPr="00E800E3" w14:paraId="7ED9F870" w14:textId="77777777" w:rsidTr="00E800E3">
        <w:trPr>
          <w:cantSplit/>
          <w:jc w:val="center"/>
        </w:trPr>
        <w:tc>
          <w:tcPr>
            <w:tcW w:w="5670" w:type="dxa"/>
          </w:tcPr>
          <w:p w14:paraId="22C30533"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Maintenir et publier dans le cadre de l’évaluation environnementale et sociale, un recueil de documents rendant compte de la mobilisation des parties prenantes, y compris une présentation des parties prenantes consultées, un résumé des réactions obtenues, et une brève explication de la manière dont ces réactions ont été prises en compte ou non.</w:t>
            </w:r>
          </w:p>
          <w:p w14:paraId="2EAB3837" w14:textId="77777777" w:rsidR="00874483" w:rsidRPr="007A6C83" w:rsidRDefault="00874483" w:rsidP="00874483">
            <w:pPr>
              <w:tabs>
                <w:tab w:val="center" w:pos="4320"/>
                <w:tab w:val="right" w:pos="8640"/>
              </w:tabs>
              <w:autoSpaceDE w:val="0"/>
              <w:autoSpaceDN w:val="0"/>
              <w:adjustRightInd w:val="0"/>
              <w:rPr>
                <w:rFonts w:cs="Arial"/>
                <w:i/>
                <w:sz w:val="20"/>
                <w:szCs w:val="20"/>
                <w:u w:val="single"/>
              </w:rPr>
            </w:pPr>
            <w:r w:rsidRPr="007A6C83">
              <w:rPr>
                <w:rFonts w:cs="Arial"/>
                <w:i/>
                <w:iCs/>
                <w:sz w:val="20"/>
                <w:szCs w:val="20"/>
              </w:rPr>
              <w:t>Paragraphe 9</w:t>
            </w:r>
          </w:p>
        </w:tc>
        <w:tc>
          <w:tcPr>
            <w:tcW w:w="5670" w:type="dxa"/>
            <w:shd w:val="clear" w:color="auto" w:fill="auto"/>
          </w:tcPr>
          <w:p w14:paraId="799862C7" w14:textId="77777777" w:rsidR="00874483" w:rsidRPr="007A6C83" w:rsidRDefault="00874483" w:rsidP="007A6C83">
            <w:pPr>
              <w:pStyle w:val="Tabletext0"/>
              <w:spacing w:line="276" w:lineRule="auto"/>
              <w:rPr>
                <w:rFonts w:ascii="Arial" w:hAnsi="Arial" w:cs="Arial"/>
                <w:szCs w:val="20"/>
              </w:rPr>
            </w:pPr>
          </w:p>
          <w:p w14:paraId="66127376" w14:textId="77777777" w:rsidR="00874483" w:rsidRPr="007A6C83" w:rsidRDefault="00874483" w:rsidP="007A6C83">
            <w:pPr>
              <w:pStyle w:val="Tabletext0"/>
              <w:spacing w:line="276" w:lineRule="auto"/>
              <w:rPr>
                <w:rFonts w:ascii="Arial" w:hAnsi="Arial" w:cs="Arial"/>
                <w:szCs w:val="20"/>
              </w:rPr>
            </w:pPr>
          </w:p>
          <w:p w14:paraId="6CE469C7"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11BAF76C" w14:textId="77777777" w:rsidR="00874483" w:rsidRPr="007A6C83" w:rsidRDefault="00874483" w:rsidP="0087448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4CB2B516" w14:textId="77777777" w:rsidR="00874483" w:rsidRPr="007A6C83" w:rsidRDefault="00874483" w:rsidP="00874483">
            <w:pPr>
              <w:rPr>
                <w:rFonts w:eastAsia="Calibri" w:cs="Arial"/>
                <w:sz w:val="20"/>
                <w:szCs w:val="20"/>
              </w:rPr>
            </w:pPr>
            <w:r w:rsidRPr="007A6C83">
              <w:rPr>
                <w:rFonts w:cs="Arial"/>
                <w:sz w:val="20"/>
                <w:szCs w:val="20"/>
              </w:rPr>
              <w:t>La loi nationale ne satisfait pas à cette exigence de la NES n° 10. Ainsi donc, la NES n°10 s’appliquera et sera suivi par la Banque mondiale</w:t>
            </w:r>
          </w:p>
        </w:tc>
      </w:tr>
      <w:tr w:rsidR="00874483" w:rsidRPr="00E800E3" w14:paraId="73415B06" w14:textId="77777777" w:rsidTr="00E800E3">
        <w:trPr>
          <w:cantSplit/>
          <w:jc w:val="center"/>
        </w:trPr>
        <w:tc>
          <w:tcPr>
            <w:tcW w:w="5670" w:type="dxa"/>
          </w:tcPr>
          <w:p w14:paraId="0B1CCCAA"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Identifier les différentes parties prenantes, aussi bien les parties touchées par le projet que les autres parties concernées, notamment les individus ou les groupes qui, en raison de leur situation particulière, peuvent être défavorisés ou vulnérables</w:t>
            </w:r>
          </w:p>
          <w:p w14:paraId="6AE43F7E" w14:textId="77777777" w:rsidR="00874483" w:rsidRPr="007A6C83" w:rsidRDefault="00874483" w:rsidP="00874483">
            <w:pPr>
              <w:tabs>
                <w:tab w:val="center" w:pos="4320"/>
                <w:tab w:val="right" w:pos="8640"/>
              </w:tabs>
              <w:autoSpaceDE w:val="0"/>
              <w:autoSpaceDN w:val="0"/>
              <w:adjustRightInd w:val="0"/>
              <w:rPr>
                <w:rFonts w:cs="Arial"/>
                <w:i/>
                <w:sz w:val="20"/>
                <w:szCs w:val="20"/>
                <w:u w:val="single"/>
              </w:rPr>
            </w:pPr>
            <w:r w:rsidRPr="007A6C83">
              <w:rPr>
                <w:rFonts w:cs="Arial"/>
                <w:i/>
                <w:iCs/>
                <w:sz w:val="20"/>
                <w:szCs w:val="20"/>
              </w:rPr>
              <w:t>Paragraphes 10 à 12</w:t>
            </w:r>
          </w:p>
        </w:tc>
        <w:tc>
          <w:tcPr>
            <w:tcW w:w="5670" w:type="dxa"/>
            <w:shd w:val="clear" w:color="auto" w:fill="auto"/>
          </w:tcPr>
          <w:p w14:paraId="5164A548" w14:textId="77777777" w:rsidR="00874483" w:rsidRPr="007A6C83" w:rsidRDefault="00874483" w:rsidP="007A6C83">
            <w:pPr>
              <w:pStyle w:val="Tabletext0"/>
              <w:spacing w:line="276" w:lineRule="auto"/>
              <w:rPr>
                <w:rFonts w:ascii="Arial" w:hAnsi="Arial" w:cs="Arial"/>
                <w:szCs w:val="20"/>
              </w:rPr>
            </w:pPr>
          </w:p>
          <w:p w14:paraId="1D259333" w14:textId="77777777" w:rsidR="00874483" w:rsidRPr="007A6C83" w:rsidRDefault="00874483" w:rsidP="007A6C83">
            <w:pPr>
              <w:pStyle w:val="Tabletext0"/>
              <w:spacing w:line="276" w:lineRule="auto"/>
              <w:rPr>
                <w:rFonts w:ascii="Arial" w:hAnsi="Arial" w:cs="Arial"/>
                <w:szCs w:val="20"/>
              </w:rPr>
            </w:pPr>
          </w:p>
          <w:p w14:paraId="458CCF6A"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45FDDEB6" w14:textId="77777777" w:rsidR="00874483" w:rsidRPr="007A6C83" w:rsidRDefault="00874483" w:rsidP="0087448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3755D7B7" w14:textId="77777777" w:rsidR="00874483" w:rsidRPr="007A6C83" w:rsidRDefault="00874483" w:rsidP="00874483">
            <w:pPr>
              <w:rPr>
                <w:rFonts w:eastAsia="Calibri" w:cs="Arial"/>
                <w:sz w:val="20"/>
                <w:szCs w:val="20"/>
              </w:rPr>
            </w:pPr>
            <w:r w:rsidRPr="007A6C83">
              <w:rPr>
                <w:rFonts w:cs="Arial"/>
                <w:sz w:val="20"/>
                <w:szCs w:val="20"/>
              </w:rPr>
              <w:t>La loi nationale ne satisfait pas à cette exigence de la NES n° 9. Ainsi donc, la NES n°10 s’appliquera et sera suivi par la Banque mondiale</w:t>
            </w:r>
          </w:p>
        </w:tc>
      </w:tr>
      <w:tr w:rsidR="00874483" w:rsidRPr="00E800E3" w14:paraId="4F764249" w14:textId="77777777" w:rsidTr="00E800E3">
        <w:trPr>
          <w:cantSplit/>
          <w:jc w:val="center"/>
        </w:trPr>
        <w:tc>
          <w:tcPr>
            <w:tcW w:w="5670" w:type="dxa"/>
          </w:tcPr>
          <w:p w14:paraId="2D4DE353"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Élaborer, mettre en œuvre et rendre public un Plan de mobilisation des parties prenantes (PMPP) proportionné à la nature et l’envergure du projet, qui décrive les mesures prises pour lever les obstacles à la participation, et les modalités pour la prise en compte des points de vue de groupes touchés différemment.</w:t>
            </w:r>
          </w:p>
          <w:p w14:paraId="2016C198" w14:textId="77777777" w:rsidR="00874483" w:rsidRPr="007A6C83" w:rsidRDefault="00874483" w:rsidP="00874483">
            <w:pPr>
              <w:tabs>
                <w:tab w:val="center" w:pos="4320"/>
                <w:tab w:val="right" w:pos="8640"/>
              </w:tabs>
              <w:autoSpaceDE w:val="0"/>
              <w:autoSpaceDN w:val="0"/>
              <w:adjustRightInd w:val="0"/>
              <w:rPr>
                <w:rFonts w:cs="Arial"/>
                <w:i/>
                <w:sz w:val="20"/>
                <w:szCs w:val="20"/>
                <w:u w:val="single"/>
              </w:rPr>
            </w:pPr>
            <w:r w:rsidRPr="007A6C83">
              <w:rPr>
                <w:rFonts w:cs="Arial"/>
                <w:i/>
                <w:iCs/>
                <w:sz w:val="20"/>
                <w:szCs w:val="20"/>
              </w:rPr>
              <w:t>Paragraphes 13 à 18</w:t>
            </w:r>
          </w:p>
        </w:tc>
        <w:tc>
          <w:tcPr>
            <w:tcW w:w="5670" w:type="dxa"/>
            <w:shd w:val="clear" w:color="auto" w:fill="auto"/>
          </w:tcPr>
          <w:p w14:paraId="240DA0EA" w14:textId="77777777" w:rsidR="00874483" w:rsidRPr="007A6C83" w:rsidRDefault="00874483" w:rsidP="007A6C83">
            <w:pPr>
              <w:pStyle w:val="Tabletext0"/>
              <w:spacing w:line="276" w:lineRule="auto"/>
              <w:rPr>
                <w:rFonts w:ascii="Arial" w:hAnsi="Arial" w:cs="Arial"/>
                <w:szCs w:val="20"/>
              </w:rPr>
            </w:pPr>
          </w:p>
          <w:p w14:paraId="39E2E96E" w14:textId="77777777" w:rsidR="00874483" w:rsidRPr="007A6C83" w:rsidRDefault="00874483" w:rsidP="007A6C83">
            <w:pPr>
              <w:pStyle w:val="Tabletext0"/>
              <w:spacing w:line="276" w:lineRule="auto"/>
              <w:rPr>
                <w:rFonts w:ascii="Arial" w:hAnsi="Arial" w:cs="Arial"/>
                <w:szCs w:val="20"/>
              </w:rPr>
            </w:pPr>
          </w:p>
          <w:p w14:paraId="5121F22F"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1E54CB05" w14:textId="77777777" w:rsidR="00874483" w:rsidRPr="007A6C83" w:rsidRDefault="00874483" w:rsidP="0087448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35FD3F68" w14:textId="77777777" w:rsidR="00874483" w:rsidRPr="007A6C83" w:rsidRDefault="00874483" w:rsidP="00874483">
            <w:pPr>
              <w:rPr>
                <w:rFonts w:eastAsia="Calibri" w:cs="Arial"/>
                <w:sz w:val="20"/>
                <w:szCs w:val="20"/>
              </w:rPr>
            </w:pPr>
            <w:r w:rsidRPr="007A6C83">
              <w:rPr>
                <w:rFonts w:cs="Arial"/>
                <w:sz w:val="20"/>
                <w:szCs w:val="20"/>
              </w:rPr>
              <w:t>La loi nationale ne satisfait pas à cette exigence de la NES n° 9. Ainsi donc, la NES n°10 s’appliquera et sera suivi par la Banque mondiale</w:t>
            </w:r>
          </w:p>
        </w:tc>
      </w:tr>
      <w:tr w:rsidR="00874483" w:rsidRPr="00E800E3" w14:paraId="07511D59" w14:textId="77777777" w:rsidTr="00E800E3">
        <w:trPr>
          <w:cantSplit/>
          <w:jc w:val="center"/>
        </w:trPr>
        <w:tc>
          <w:tcPr>
            <w:tcW w:w="5670" w:type="dxa"/>
          </w:tcPr>
          <w:p w14:paraId="06D9CBA1"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Rendre publiques les informations sur le projet pour permettre aux parties prenantes de comprendre les risques et ses effets potentiels, ainsi que les possibilités qu’il pourrait offrir.</w:t>
            </w:r>
          </w:p>
          <w:p w14:paraId="6C65A28C" w14:textId="77777777" w:rsidR="00874483" w:rsidRPr="007A6C83" w:rsidRDefault="00874483" w:rsidP="00874483">
            <w:pPr>
              <w:tabs>
                <w:tab w:val="center" w:pos="4320"/>
                <w:tab w:val="right" w:pos="8640"/>
              </w:tabs>
              <w:autoSpaceDE w:val="0"/>
              <w:autoSpaceDN w:val="0"/>
              <w:adjustRightInd w:val="0"/>
              <w:rPr>
                <w:rFonts w:cs="Arial"/>
                <w:i/>
                <w:sz w:val="20"/>
                <w:szCs w:val="20"/>
                <w:u w:val="single"/>
              </w:rPr>
            </w:pPr>
            <w:r w:rsidRPr="007A6C83">
              <w:rPr>
                <w:rFonts w:cs="Arial"/>
                <w:i/>
                <w:iCs/>
                <w:sz w:val="20"/>
                <w:szCs w:val="20"/>
              </w:rPr>
              <w:t>Paragraphe 19 et 20</w:t>
            </w:r>
          </w:p>
        </w:tc>
        <w:tc>
          <w:tcPr>
            <w:tcW w:w="5670" w:type="dxa"/>
            <w:shd w:val="clear" w:color="auto" w:fill="auto"/>
          </w:tcPr>
          <w:p w14:paraId="1219C481" w14:textId="77777777" w:rsidR="00874483" w:rsidRPr="007A6C83" w:rsidRDefault="00874483" w:rsidP="007A6C83">
            <w:pPr>
              <w:pStyle w:val="Tabletext0"/>
              <w:spacing w:line="276" w:lineRule="auto"/>
              <w:rPr>
                <w:rFonts w:ascii="Arial" w:hAnsi="Arial" w:cs="Arial"/>
                <w:szCs w:val="20"/>
              </w:rPr>
            </w:pPr>
          </w:p>
          <w:p w14:paraId="01945538" w14:textId="77777777" w:rsidR="00874483" w:rsidRPr="007A6C83" w:rsidRDefault="00874483" w:rsidP="007A6C83">
            <w:pPr>
              <w:pStyle w:val="Tabletext0"/>
              <w:spacing w:line="276" w:lineRule="auto"/>
              <w:rPr>
                <w:rFonts w:ascii="Arial" w:hAnsi="Arial" w:cs="Arial"/>
                <w:szCs w:val="20"/>
              </w:rPr>
            </w:pPr>
          </w:p>
          <w:p w14:paraId="3295FC58"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3EFE7BE2" w14:textId="77777777" w:rsidR="00874483" w:rsidRPr="007A6C83" w:rsidRDefault="00874483" w:rsidP="007A6C83">
            <w:pPr>
              <w:pStyle w:val="Tabletext0"/>
              <w:spacing w:line="276" w:lineRule="auto"/>
              <w:rPr>
                <w:rFonts w:ascii="Arial" w:hAnsi="Arial" w:cs="Arial"/>
                <w:szCs w:val="20"/>
              </w:rPr>
            </w:pPr>
          </w:p>
        </w:tc>
        <w:tc>
          <w:tcPr>
            <w:tcW w:w="3969" w:type="dxa"/>
            <w:shd w:val="clear" w:color="auto" w:fill="auto"/>
          </w:tcPr>
          <w:p w14:paraId="43E3701F" w14:textId="77777777" w:rsidR="00874483" w:rsidRPr="007A6C83" w:rsidRDefault="00874483" w:rsidP="00874483">
            <w:pPr>
              <w:rPr>
                <w:rFonts w:eastAsia="Calibri" w:cs="Arial"/>
                <w:sz w:val="20"/>
                <w:szCs w:val="20"/>
              </w:rPr>
            </w:pPr>
            <w:r w:rsidRPr="007A6C83">
              <w:rPr>
                <w:rFonts w:cs="Arial"/>
                <w:sz w:val="20"/>
                <w:szCs w:val="20"/>
              </w:rPr>
              <w:t>La loi nationale ne satisfait pas à cette exigence de la NES n° 10. Ainsi donc, la NES n°10 s’appliquera et sera suivi par la Banque mondiale</w:t>
            </w:r>
          </w:p>
        </w:tc>
      </w:tr>
      <w:tr w:rsidR="00874483" w:rsidRPr="00E800E3" w14:paraId="019861E8" w14:textId="77777777" w:rsidTr="00E800E3">
        <w:trPr>
          <w:cantSplit/>
          <w:jc w:val="center"/>
        </w:trPr>
        <w:tc>
          <w:tcPr>
            <w:tcW w:w="5670" w:type="dxa"/>
          </w:tcPr>
          <w:p w14:paraId="4DDF88C4"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Entreprendre des consultations approfondies qui offrent la possibilité aux parties prenantes de donner leur avis sur les risques, les effets et les mesures d’atténuation du projet, de façon continue, au fur et à mesure de l’évolution des enjeux, des impacts et des possibilités.</w:t>
            </w:r>
          </w:p>
          <w:p w14:paraId="138EB234" w14:textId="77777777" w:rsidR="00874483" w:rsidRPr="007A6C83" w:rsidRDefault="00874483" w:rsidP="00874483">
            <w:pPr>
              <w:tabs>
                <w:tab w:val="center" w:pos="4320"/>
                <w:tab w:val="right" w:pos="8640"/>
              </w:tabs>
              <w:autoSpaceDE w:val="0"/>
              <w:autoSpaceDN w:val="0"/>
              <w:adjustRightInd w:val="0"/>
              <w:rPr>
                <w:rFonts w:cs="Arial"/>
                <w:i/>
                <w:sz w:val="20"/>
                <w:szCs w:val="20"/>
                <w:u w:val="single"/>
              </w:rPr>
            </w:pPr>
            <w:r w:rsidRPr="007A6C83">
              <w:rPr>
                <w:rFonts w:cs="Arial"/>
                <w:i/>
                <w:iCs/>
                <w:sz w:val="20"/>
                <w:szCs w:val="20"/>
              </w:rPr>
              <w:t>Paragraphes 21 et 22</w:t>
            </w:r>
          </w:p>
        </w:tc>
        <w:tc>
          <w:tcPr>
            <w:tcW w:w="5670" w:type="dxa"/>
            <w:shd w:val="clear" w:color="auto" w:fill="auto"/>
          </w:tcPr>
          <w:p w14:paraId="6457370D" w14:textId="77777777" w:rsidR="00874483" w:rsidRPr="007A6C83" w:rsidRDefault="00874483" w:rsidP="007A6C83">
            <w:pPr>
              <w:pStyle w:val="Tabletext0"/>
              <w:spacing w:line="276" w:lineRule="auto"/>
              <w:rPr>
                <w:rFonts w:ascii="Arial" w:hAnsi="Arial" w:cs="Arial"/>
                <w:szCs w:val="20"/>
              </w:rPr>
            </w:pPr>
          </w:p>
          <w:p w14:paraId="00E7D67A" w14:textId="77777777" w:rsidR="00874483" w:rsidRPr="007A6C83" w:rsidRDefault="00874483" w:rsidP="007A6C83">
            <w:pPr>
              <w:pStyle w:val="Tabletext0"/>
              <w:spacing w:line="276" w:lineRule="auto"/>
              <w:rPr>
                <w:rFonts w:ascii="Arial" w:hAnsi="Arial" w:cs="Arial"/>
                <w:szCs w:val="20"/>
              </w:rPr>
            </w:pPr>
          </w:p>
          <w:p w14:paraId="591BB73F"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1751DD2F" w14:textId="77777777" w:rsidR="00874483" w:rsidRPr="007A6C83" w:rsidRDefault="00874483" w:rsidP="0087448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3A9F053A" w14:textId="77777777" w:rsidR="00874483" w:rsidRPr="007A6C83" w:rsidRDefault="00874483" w:rsidP="00874483">
            <w:pPr>
              <w:rPr>
                <w:rFonts w:eastAsia="Calibri" w:cs="Arial"/>
                <w:sz w:val="20"/>
                <w:szCs w:val="20"/>
              </w:rPr>
            </w:pPr>
            <w:r w:rsidRPr="007A6C83">
              <w:rPr>
                <w:rFonts w:cs="Arial"/>
                <w:sz w:val="20"/>
                <w:szCs w:val="20"/>
              </w:rPr>
              <w:t>La loi nationale ne satisfait pas à cette exigence de la NES n° 10. Ainsi donc, la NES n°10 s’appliquera et sera suivi par la Banque mondiale</w:t>
            </w:r>
          </w:p>
        </w:tc>
      </w:tr>
      <w:tr w:rsidR="00874483" w:rsidRPr="00E800E3" w14:paraId="098FF68D" w14:textId="77777777" w:rsidTr="00E800E3">
        <w:trPr>
          <w:cantSplit/>
          <w:jc w:val="center"/>
        </w:trPr>
        <w:tc>
          <w:tcPr>
            <w:tcW w:w="5670" w:type="dxa"/>
          </w:tcPr>
          <w:p w14:paraId="4DF0C0F8"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Continuer de mobiliser les parties prenantes conformément au PMPP pendant toute la durée du projet, solliciter les réactions des parties prenantes sur la mise en œuvre des mesures d’atténuation énoncées dans le PEES, et publier un PEES révisé indiquant toute mesure d’atténuation supplémentaire</w:t>
            </w:r>
          </w:p>
          <w:p w14:paraId="2827D312" w14:textId="77777777" w:rsidR="00874483" w:rsidRPr="007A6C83" w:rsidRDefault="00874483" w:rsidP="00874483">
            <w:pPr>
              <w:tabs>
                <w:tab w:val="center" w:pos="4320"/>
                <w:tab w:val="right" w:pos="8640"/>
              </w:tabs>
              <w:autoSpaceDE w:val="0"/>
              <w:autoSpaceDN w:val="0"/>
              <w:adjustRightInd w:val="0"/>
              <w:rPr>
                <w:rFonts w:cs="Arial"/>
                <w:i/>
                <w:sz w:val="20"/>
                <w:szCs w:val="20"/>
                <w:u w:val="single"/>
              </w:rPr>
            </w:pPr>
            <w:r w:rsidRPr="007A6C83">
              <w:rPr>
                <w:rFonts w:cs="Arial"/>
                <w:i/>
                <w:iCs/>
                <w:sz w:val="20"/>
                <w:szCs w:val="20"/>
              </w:rPr>
              <w:t>Paragraphe 23 à 25</w:t>
            </w:r>
          </w:p>
        </w:tc>
        <w:tc>
          <w:tcPr>
            <w:tcW w:w="5670" w:type="dxa"/>
            <w:shd w:val="clear" w:color="auto" w:fill="auto"/>
          </w:tcPr>
          <w:p w14:paraId="1AD92AD7" w14:textId="77777777" w:rsidR="00874483" w:rsidRPr="007A6C83" w:rsidRDefault="00874483" w:rsidP="007A6C83">
            <w:pPr>
              <w:pStyle w:val="Tabletext0"/>
              <w:spacing w:line="276" w:lineRule="auto"/>
              <w:rPr>
                <w:rFonts w:ascii="Arial" w:hAnsi="Arial" w:cs="Arial"/>
                <w:szCs w:val="20"/>
              </w:rPr>
            </w:pPr>
          </w:p>
          <w:p w14:paraId="184D30A8" w14:textId="77777777" w:rsidR="00874483" w:rsidRPr="007A6C83" w:rsidRDefault="00874483" w:rsidP="007A6C83">
            <w:pPr>
              <w:pStyle w:val="Tabletext0"/>
              <w:spacing w:line="276" w:lineRule="auto"/>
              <w:rPr>
                <w:rFonts w:ascii="Arial" w:hAnsi="Arial" w:cs="Arial"/>
                <w:szCs w:val="20"/>
              </w:rPr>
            </w:pPr>
          </w:p>
          <w:p w14:paraId="6450597F"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79864D60" w14:textId="77777777" w:rsidR="00874483" w:rsidRPr="007A6C83" w:rsidRDefault="00874483" w:rsidP="0087448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30535FD3" w14:textId="77777777" w:rsidR="00874483" w:rsidRPr="007A6C83" w:rsidRDefault="00874483" w:rsidP="00874483">
            <w:pPr>
              <w:rPr>
                <w:rFonts w:eastAsia="Calibri" w:cs="Arial"/>
                <w:sz w:val="20"/>
                <w:szCs w:val="20"/>
              </w:rPr>
            </w:pPr>
            <w:r w:rsidRPr="007A6C83">
              <w:rPr>
                <w:rFonts w:cs="Arial"/>
                <w:sz w:val="20"/>
                <w:szCs w:val="20"/>
              </w:rPr>
              <w:t>La loi nationale ne satisfait pas à cette exigence de la NES n° 10. Ainsi donc, la NES n°10 s’appliquera et sera suivi par la Banque mondiale</w:t>
            </w:r>
          </w:p>
        </w:tc>
      </w:tr>
      <w:tr w:rsidR="00874483" w:rsidRPr="00E800E3" w14:paraId="1F0B42FE" w14:textId="77777777" w:rsidTr="00E800E3">
        <w:trPr>
          <w:cantSplit/>
          <w:jc w:val="center"/>
        </w:trPr>
        <w:tc>
          <w:tcPr>
            <w:tcW w:w="5670" w:type="dxa"/>
          </w:tcPr>
          <w:p w14:paraId="72F22AFA"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Mettre en œuvre un mécanisme de gestion des plaintes proportionné aux risques et aux effets néfastes potentiels du projet, accessible et ouvert à tous, rapide, efficace, transparent, respectueux de la culture locale, sans frais ni rétribution.</w:t>
            </w:r>
          </w:p>
          <w:p w14:paraId="4F67BC05" w14:textId="77777777" w:rsidR="00874483" w:rsidRPr="007A6C83" w:rsidRDefault="00874483" w:rsidP="00874483">
            <w:pPr>
              <w:tabs>
                <w:tab w:val="center" w:pos="4320"/>
                <w:tab w:val="right" w:pos="8640"/>
              </w:tabs>
              <w:autoSpaceDE w:val="0"/>
              <w:autoSpaceDN w:val="0"/>
              <w:adjustRightInd w:val="0"/>
              <w:rPr>
                <w:rFonts w:cs="Arial"/>
                <w:i/>
                <w:sz w:val="20"/>
                <w:szCs w:val="20"/>
                <w:u w:val="single"/>
              </w:rPr>
            </w:pPr>
            <w:r w:rsidRPr="007A6C83">
              <w:rPr>
                <w:rFonts w:cs="Arial"/>
                <w:i/>
                <w:iCs/>
                <w:sz w:val="20"/>
                <w:szCs w:val="20"/>
              </w:rPr>
              <w:t>Paragraphes 26 et 27</w:t>
            </w:r>
          </w:p>
        </w:tc>
        <w:tc>
          <w:tcPr>
            <w:tcW w:w="5670" w:type="dxa"/>
            <w:shd w:val="clear" w:color="auto" w:fill="auto"/>
          </w:tcPr>
          <w:p w14:paraId="59A4E7C1" w14:textId="77777777" w:rsidR="00874483" w:rsidRPr="007A6C83" w:rsidRDefault="00874483" w:rsidP="007A6C83">
            <w:pPr>
              <w:pStyle w:val="Tabletext0"/>
              <w:spacing w:line="276" w:lineRule="auto"/>
              <w:rPr>
                <w:rFonts w:ascii="Arial" w:hAnsi="Arial" w:cs="Arial"/>
                <w:szCs w:val="20"/>
              </w:rPr>
            </w:pPr>
          </w:p>
          <w:p w14:paraId="265BAC15" w14:textId="77777777" w:rsidR="00874483" w:rsidRPr="007A6C83" w:rsidRDefault="00874483" w:rsidP="007A6C83">
            <w:pPr>
              <w:pStyle w:val="Tabletext0"/>
              <w:spacing w:line="276" w:lineRule="auto"/>
              <w:rPr>
                <w:rFonts w:ascii="Arial" w:hAnsi="Arial" w:cs="Arial"/>
                <w:szCs w:val="20"/>
              </w:rPr>
            </w:pPr>
          </w:p>
          <w:p w14:paraId="25E57AB8" w14:textId="77777777" w:rsidR="00874483" w:rsidRPr="007A6C83" w:rsidRDefault="00874483" w:rsidP="007A6C83">
            <w:pPr>
              <w:pStyle w:val="Tabletext0"/>
              <w:spacing w:line="276" w:lineRule="auto"/>
              <w:rPr>
                <w:rFonts w:ascii="Arial" w:hAnsi="Arial" w:cs="Arial"/>
                <w:szCs w:val="20"/>
              </w:rPr>
            </w:pPr>
            <w:r w:rsidRPr="007A6C83">
              <w:rPr>
                <w:rFonts w:ascii="Arial" w:hAnsi="Arial" w:cs="Arial"/>
                <w:szCs w:val="20"/>
              </w:rPr>
              <w:t>Non mentionné dans la législation nationale</w:t>
            </w:r>
          </w:p>
          <w:p w14:paraId="6FA1BD8E" w14:textId="77777777" w:rsidR="00874483" w:rsidRPr="007A6C83" w:rsidRDefault="00874483" w:rsidP="0087448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2AF1F330" w14:textId="77777777" w:rsidR="00874483" w:rsidRPr="007A6C83" w:rsidRDefault="00874483" w:rsidP="00874483">
            <w:pPr>
              <w:rPr>
                <w:rFonts w:eastAsia="Calibri" w:cs="Arial"/>
                <w:sz w:val="20"/>
                <w:szCs w:val="20"/>
              </w:rPr>
            </w:pPr>
            <w:r w:rsidRPr="007A6C83">
              <w:rPr>
                <w:rFonts w:cs="Arial"/>
                <w:sz w:val="20"/>
                <w:szCs w:val="20"/>
              </w:rPr>
              <w:t>La loi nationale ne satisfait pas à cette exigence de la NES n° 9. Ainsi donc, la NES n°9 s’appliquera et sera suivi par la Banque mondiale</w:t>
            </w:r>
          </w:p>
        </w:tc>
      </w:tr>
    </w:tbl>
    <w:p w14:paraId="0E15D9DA" w14:textId="77777777" w:rsidR="00E800E3" w:rsidRDefault="00E800E3" w:rsidP="001C2F95">
      <w:pPr>
        <w:autoSpaceDE w:val="0"/>
        <w:autoSpaceDN w:val="0"/>
        <w:adjustRightInd w:val="0"/>
        <w:rPr>
          <w:rFonts w:cs="Arial"/>
          <w:bCs/>
          <w:color w:val="B98C2E"/>
          <w:sz w:val="22"/>
        </w:rPr>
      </w:pPr>
    </w:p>
    <w:p w14:paraId="77532FEC" w14:textId="77777777" w:rsidR="00F34A1D" w:rsidRDefault="00F34A1D" w:rsidP="00211F7B">
      <w:pPr>
        <w:autoSpaceDE w:val="0"/>
        <w:autoSpaceDN w:val="0"/>
        <w:adjustRightInd w:val="0"/>
        <w:ind w:left="426" w:hanging="426"/>
        <w:rPr>
          <w:rFonts w:cs="Arial"/>
          <w:bCs/>
          <w:color w:val="B98C2E"/>
          <w:sz w:val="22"/>
        </w:rPr>
      </w:pPr>
      <w:r w:rsidRPr="00982564">
        <w:rPr>
          <w:rFonts w:cs="Arial"/>
          <w:sz w:val="22"/>
        </w:rPr>
        <w:t>N.B.  Le risque environnemental du PNDA est jugé substantiel selon la note conceptuelle.</w:t>
      </w:r>
      <w:r>
        <w:rPr>
          <w:rFonts w:cs="Arial"/>
          <w:sz w:val="22"/>
        </w:rPr>
        <w:t xml:space="preserve"> Ainsi, tout sous projet à risque </w:t>
      </w:r>
      <w:r w:rsidR="0053329E">
        <w:rPr>
          <w:rFonts w:cs="Arial"/>
          <w:sz w:val="22"/>
        </w:rPr>
        <w:t>élevé</w:t>
      </w:r>
      <w:r>
        <w:rPr>
          <w:rFonts w:cs="Arial"/>
          <w:sz w:val="22"/>
        </w:rPr>
        <w:t xml:space="preserve"> sur le plan environnemental ne sera </w:t>
      </w:r>
      <w:r w:rsidR="0053329E">
        <w:rPr>
          <w:rFonts w:cs="Arial"/>
          <w:sz w:val="22"/>
        </w:rPr>
        <w:t>pas financé par le Programme. (en annexe la liste d’exclusion)</w:t>
      </w:r>
    </w:p>
    <w:p w14:paraId="4D62659F" w14:textId="77777777" w:rsidR="00F34A1D" w:rsidRDefault="00F34A1D" w:rsidP="001C2F95">
      <w:pPr>
        <w:autoSpaceDE w:val="0"/>
        <w:autoSpaceDN w:val="0"/>
        <w:adjustRightInd w:val="0"/>
        <w:rPr>
          <w:rFonts w:cs="Arial"/>
          <w:bCs/>
          <w:color w:val="B98C2E"/>
          <w:sz w:val="22"/>
        </w:rPr>
      </w:pPr>
    </w:p>
    <w:p w14:paraId="52E16C63" w14:textId="77777777" w:rsidR="001C2F95" w:rsidRPr="00982564" w:rsidRDefault="001C2F95" w:rsidP="001C2F95">
      <w:pPr>
        <w:pStyle w:val="Titre2"/>
        <w:numPr>
          <w:ilvl w:val="1"/>
          <w:numId w:val="4"/>
        </w:numPr>
        <w:ind w:left="851" w:hanging="425"/>
        <w:rPr>
          <w:rFonts w:cs="Arial"/>
          <w:sz w:val="22"/>
          <w:szCs w:val="22"/>
          <w:highlight w:val="yellow"/>
        </w:rPr>
        <w:sectPr w:rsidR="001C2F95" w:rsidRPr="00982564" w:rsidSect="0018702B">
          <w:pgSz w:w="16838" w:h="11906" w:orient="landscape"/>
          <w:pgMar w:top="993" w:right="1440" w:bottom="851" w:left="1440" w:header="709" w:footer="79" w:gutter="0"/>
          <w:cols w:space="708"/>
          <w:docGrid w:linePitch="360"/>
        </w:sectPr>
      </w:pPr>
    </w:p>
    <w:p w14:paraId="2D07F3D3" w14:textId="77777777" w:rsidR="001C2F95" w:rsidRPr="00982564" w:rsidRDefault="001C2F95" w:rsidP="001C2F95">
      <w:pPr>
        <w:pStyle w:val="Titre2"/>
        <w:numPr>
          <w:ilvl w:val="1"/>
          <w:numId w:val="4"/>
        </w:numPr>
        <w:ind w:left="851" w:hanging="425"/>
        <w:rPr>
          <w:rFonts w:cs="Arial"/>
          <w:b/>
          <w:sz w:val="22"/>
          <w:szCs w:val="22"/>
        </w:rPr>
      </w:pPr>
      <w:bookmarkStart w:id="244" w:name="_Toc44626814"/>
      <w:bookmarkStart w:id="245" w:name="_Toc70330359"/>
      <w:r w:rsidRPr="00982564">
        <w:rPr>
          <w:rFonts w:cs="Arial"/>
          <w:b/>
          <w:sz w:val="22"/>
          <w:szCs w:val="22"/>
        </w:rPr>
        <w:t>Cadre institutionnel de gestion environnementale et sociale</w:t>
      </w:r>
      <w:bookmarkEnd w:id="244"/>
      <w:bookmarkEnd w:id="245"/>
      <w:r w:rsidRPr="00982564">
        <w:rPr>
          <w:rFonts w:cs="Arial"/>
          <w:b/>
          <w:sz w:val="22"/>
          <w:szCs w:val="22"/>
        </w:rPr>
        <w:t xml:space="preserve"> </w:t>
      </w:r>
    </w:p>
    <w:p w14:paraId="2521A1AC" w14:textId="77777777" w:rsidR="001C2F95" w:rsidRPr="00982564" w:rsidRDefault="001C2F95" w:rsidP="001C2F95">
      <w:pPr>
        <w:rPr>
          <w:rFonts w:cs="Arial"/>
          <w:spacing w:val="-5"/>
          <w:sz w:val="22"/>
        </w:rPr>
      </w:pPr>
    </w:p>
    <w:p w14:paraId="164409EB" w14:textId="77777777" w:rsidR="001C2F95" w:rsidRPr="00982564" w:rsidRDefault="001C2F95" w:rsidP="001C2F95">
      <w:pPr>
        <w:rPr>
          <w:rFonts w:cs="Arial"/>
          <w:spacing w:val="-5"/>
          <w:sz w:val="22"/>
        </w:rPr>
      </w:pPr>
      <w:r w:rsidRPr="00982564">
        <w:rPr>
          <w:rFonts w:cs="Arial"/>
          <w:spacing w:val="-5"/>
          <w:sz w:val="22"/>
        </w:rPr>
        <w:t>Conformément à l’Ordonnance Présidentielle n°20/017 du 27 mars 2020 fixant les attributions des ministères en RDC, les Ministères ci-après ont des attributions en rapport avec la présente :</w:t>
      </w:r>
    </w:p>
    <w:p w14:paraId="4B3D4C52" w14:textId="77777777" w:rsidR="001C2F95" w:rsidRPr="00982564" w:rsidRDefault="001C2F95" w:rsidP="001C2F95">
      <w:pPr>
        <w:rPr>
          <w:rFonts w:cs="Arial"/>
          <w:spacing w:val="-5"/>
          <w:sz w:val="22"/>
        </w:rPr>
      </w:pPr>
    </w:p>
    <w:p w14:paraId="09A5B85D" w14:textId="77777777" w:rsidR="001C2F95" w:rsidRPr="00982564" w:rsidRDefault="001C2F95" w:rsidP="001C2F95">
      <w:pPr>
        <w:pStyle w:val="Titre2"/>
        <w:numPr>
          <w:ilvl w:val="2"/>
          <w:numId w:val="4"/>
        </w:numPr>
        <w:ind w:left="1560" w:hanging="709"/>
        <w:rPr>
          <w:rFonts w:cs="Arial"/>
          <w:i/>
          <w:sz w:val="22"/>
          <w:szCs w:val="22"/>
        </w:rPr>
      </w:pPr>
      <w:bookmarkStart w:id="246" w:name="_Toc466294740"/>
      <w:bookmarkStart w:id="247" w:name="_Toc44626815"/>
      <w:bookmarkStart w:id="248" w:name="_Toc70330360"/>
      <w:r w:rsidRPr="00982564">
        <w:rPr>
          <w:rFonts w:cs="Arial"/>
          <w:i/>
          <w:sz w:val="22"/>
          <w:szCs w:val="22"/>
        </w:rPr>
        <w:t>Ministère de l’Agriculture</w:t>
      </w:r>
      <w:bookmarkEnd w:id="246"/>
      <w:bookmarkEnd w:id="247"/>
      <w:bookmarkEnd w:id="248"/>
    </w:p>
    <w:p w14:paraId="359E81B5" w14:textId="77777777" w:rsidR="001C2F95" w:rsidRPr="00982564" w:rsidRDefault="001C2F95" w:rsidP="001C2F95">
      <w:pPr>
        <w:rPr>
          <w:rFonts w:cs="Arial"/>
          <w:sz w:val="22"/>
          <w:u w:val="single"/>
        </w:rPr>
      </w:pPr>
    </w:p>
    <w:p w14:paraId="1CE2BFE4" w14:textId="77777777" w:rsidR="001C2F95" w:rsidRPr="00982564" w:rsidRDefault="001C2F95" w:rsidP="001C2F95">
      <w:pPr>
        <w:rPr>
          <w:rFonts w:cs="Arial"/>
          <w:sz w:val="22"/>
        </w:rPr>
      </w:pPr>
      <w:r w:rsidRPr="00982564">
        <w:rPr>
          <w:rFonts w:cs="Arial"/>
          <w:sz w:val="22"/>
        </w:rPr>
        <w:t>Il est le Ministère de tutelle du PNDA. Il a dans ses attributions :</w:t>
      </w:r>
    </w:p>
    <w:p w14:paraId="41E85E14" w14:textId="77777777" w:rsidR="001C2F95" w:rsidRPr="00982564" w:rsidRDefault="001C2F95" w:rsidP="001C2F95">
      <w:pPr>
        <w:rPr>
          <w:rFonts w:cs="Arial"/>
          <w:sz w:val="22"/>
        </w:rPr>
      </w:pPr>
    </w:p>
    <w:p w14:paraId="0A6DED5A" w14:textId="77777777" w:rsidR="001C2F95" w:rsidRPr="00982564" w:rsidRDefault="001C2F95" w:rsidP="002378EA">
      <w:pPr>
        <w:pStyle w:val="Paragraphedeliste"/>
        <w:numPr>
          <w:ilvl w:val="1"/>
          <w:numId w:val="22"/>
        </w:numPr>
        <w:rPr>
          <w:rFonts w:cs="Arial"/>
          <w:sz w:val="22"/>
        </w:rPr>
      </w:pPr>
      <w:r w:rsidRPr="00982564">
        <w:rPr>
          <w:rFonts w:cs="Arial"/>
          <w:sz w:val="22"/>
        </w:rPr>
        <w:t>Production agricole et autosuffisance alimentaire ;</w:t>
      </w:r>
    </w:p>
    <w:p w14:paraId="36373F22" w14:textId="77777777" w:rsidR="001C2F95" w:rsidRPr="00982564" w:rsidRDefault="001C2F95" w:rsidP="002378EA">
      <w:pPr>
        <w:pStyle w:val="Paragraphedeliste"/>
        <w:numPr>
          <w:ilvl w:val="1"/>
          <w:numId w:val="22"/>
        </w:numPr>
        <w:rPr>
          <w:rFonts w:cs="Arial"/>
          <w:sz w:val="22"/>
        </w:rPr>
      </w:pPr>
      <w:r w:rsidRPr="00982564">
        <w:rPr>
          <w:rFonts w:cs="Arial"/>
          <w:sz w:val="22"/>
        </w:rPr>
        <w:t>Planification des objectifs nationaux de production dans les domaines de l’agriculture, et de l’agroforesterie ;</w:t>
      </w:r>
    </w:p>
    <w:p w14:paraId="007DBFFD" w14:textId="77777777" w:rsidR="001C2F95" w:rsidRPr="00982564" w:rsidRDefault="001C2F95" w:rsidP="002378EA">
      <w:pPr>
        <w:pStyle w:val="Paragraphedeliste"/>
        <w:numPr>
          <w:ilvl w:val="1"/>
          <w:numId w:val="22"/>
        </w:numPr>
        <w:rPr>
          <w:rFonts w:cs="Arial"/>
          <w:sz w:val="22"/>
        </w:rPr>
      </w:pPr>
      <w:r w:rsidRPr="00982564">
        <w:rPr>
          <w:rFonts w:cs="Arial"/>
          <w:sz w:val="22"/>
        </w:rPr>
        <w:t>Promotion et encadrement des Associations et Coopératives agricoles ;</w:t>
      </w:r>
    </w:p>
    <w:p w14:paraId="733B0F12" w14:textId="77777777" w:rsidR="001C2F95" w:rsidRPr="00982564" w:rsidRDefault="001C2F95" w:rsidP="002378EA">
      <w:pPr>
        <w:pStyle w:val="Paragraphedeliste"/>
        <w:numPr>
          <w:ilvl w:val="1"/>
          <w:numId w:val="22"/>
        </w:numPr>
        <w:rPr>
          <w:rFonts w:cs="Arial"/>
          <w:sz w:val="22"/>
        </w:rPr>
      </w:pPr>
      <w:r w:rsidRPr="00982564">
        <w:rPr>
          <w:rFonts w:cs="Arial"/>
          <w:sz w:val="22"/>
        </w:rPr>
        <w:t>Conception, exécution, suivi et évaluation des programmes et projets de développement agricole ;</w:t>
      </w:r>
    </w:p>
    <w:p w14:paraId="3BBE0E4A" w14:textId="77777777" w:rsidR="001C2F95" w:rsidRPr="00982564" w:rsidRDefault="001C2F95" w:rsidP="002378EA">
      <w:pPr>
        <w:pStyle w:val="Paragraphedeliste"/>
        <w:numPr>
          <w:ilvl w:val="1"/>
          <w:numId w:val="22"/>
        </w:numPr>
        <w:rPr>
          <w:rFonts w:cs="Arial"/>
          <w:sz w:val="22"/>
        </w:rPr>
      </w:pPr>
      <w:r w:rsidRPr="00982564">
        <w:rPr>
          <w:rFonts w:cs="Arial"/>
          <w:sz w:val="22"/>
        </w:rPr>
        <w:t>Promotion des produits de l’agriculture destinés à l’alimentation intérieure, à l’industrie nationale et à l’exportation ;</w:t>
      </w:r>
    </w:p>
    <w:p w14:paraId="05370FB8" w14:textId="77777777" w:rsidR="001C2F95" w:rsidRPr="00982564" w:rsidRDefault="001C2F95" w:rsidP="002378EA">
      <w:pPr>
        <w:pStyle w:val="Paragraphedeliste"/>
        <w:numPr>
          <w:ilvl w:val="1"/>
          <w:numId w:val="22"/>
        </w:numPr>
        <w:rPr>
          <w:rFonts w:cs="Arial"/>
          <w:sz w:val="22"/>
        </w:rPr>
      </w:pPr>
      <w:r w:rsidRPr="00982564">
        <w:rPr>
          <w:rFonts w:cs="Arial"/>
          <w:sz w:val="22"/>
        </w:rPr>
        <w:t>Surveillance phytosanitaire et gestion de la quarantaine végétale à l’intérieur du pays et aux postes frontaliers et mise à jour permanente des mesures réglementaires y relatives ;</w:t>
      </w:r>
    </w:p>
    <w:p w14:paraId="2C62A95C" w14:textId="77777777" w:rsidR="001C2F95" w:rsidRPr="00982564" w:rsidRDefault="001C2F95" w:rsidP="002378EA">
      <w:pPr>
        <w:pStyle w:val="Paragraphedeliste"/>
        <w:numPr>
          <w:ilvl w:val="1"/>
          <w:numId w:val="22"/>
        </w:numPr>
        <w:rPr>
          <w:rFonts w:cs="Arial"/>
          <w:sz w:val="22"/>
        </w:rPr>
      </w:pPr>
      <w:r w:rsidRPr="00982564">
        <w:rPr>
          <w:rFonts w:cs="Arial"/>
          <w:sz w:val="22"/>
        </w:rPr>
        <w:t>Orientation et appui des opérateurs économiques intéressés à investir dans les secteurs de l’agriculture vers les sites à hautes potentialités de production, de manière à minimiser les coûts d’exploitation ; et</w:t>
      </w:r>
    </w:p>
    <w:p w14:paraId="60080C01" w14:textId="77777777" w:rsidR="001C2F95" w:rsidRDefault="001C2F95" w:rsidP="002378EA">
      <w:pPr>
        <w:pStyle w:val="Paragraphedeliste"/>
        <w:numPr>
          <w:ilvl w:val="1"/>
          <w:numId w:val="22"/>
        </w:numPr>
        <w:rPr>
          <w:rFonts w:cs="Arial"/>
          <w:sz w:val="22"/>
        </w:rPr>
      </w:pPr>
      <w:r w:rsidRPr="00982564">
        <w:rPr>
          <w:rFonts w:cs="Arial"/>
          <w:sz w:val="22"/>
        </w:rPr>
        <w:t>Collecte, analyse et publication des données statistiques d’agriculture sous forme d’annuaire.</w:t>
      </w:r>
    </w:p>
    <w:p w14:paraId="2FC17D8C" w14:textId="77777777" w:rsidR="00EF43F1" w:rsidRPr="00982564" w:rsidRDefault="00EF43F1" w:rsidP="00EF43F1">
      <w:pPr>
        <w:pStyle w:val="Paragraphedeliste"/>
        <w:rPr>
          <w:rFonts w:cs="Arial"/>
          <w:sz w:val="22"/>
        </w:rPr>
      </w:pPr>
    </w:p>
    <w:p w14:paraId="2CFA2F04" w14:textId="77777777" w:rsidR="003E63CD" w:rsidRDefault="003E63CD" w:rsidP="001C2F95">
      <w:pPr>
        <w:pStyle w:val="Titre2"/>
        <w:rPr>
          <w:rFonts w:cs="Arial"/>
          <w:i/>
          <w:sz w:val="22"/>
          <w:szCs w:val="22"/>
        </w:rPr>
      </w:pPr>
      <w:bookmarkStart w:id="249" w:name="_Toc70326998"/>
      <w:bookmarkStart w:id="250" w:name="_Toc70330361"/>
      <w:bookmarkStart w:id="251" w:name="_Toc44626828"/>
      <w:bookmarkStart w:id="252" w:name="_Toc45269701"/>
      <w:bookmarkStart w:id="253" w:name="_Toc64026132"/>
      <w:r w:rsidRPr="00EF43F1">
        <w:rPr>
          <w:rFonts w:cs="Arial"/>
          <w:i/>
          <w:sz w:val="22"/>
          <w:szCs w:val="22"/>
        </w:rPr>
        <w:t>Comité Technique Préparatoire du PNDA</w:t>
      </w:r>
      <w:bookmarkEnd w:id="249"/>
      <w:bookmarkEnd w:id="250"/>
    </w:p>
    <w:p w14:paraId="14EA670D" w14:textId="77777777" w:rsidR="003E63CD" w:rsidRDefault="003E63CD" w:rsidP="003E63CD"/>
    <w:p w14:paraId="7F8012D8" w14:textId="77777777" w:rsidR="00EF43F1" w:rsidRPr="00E86F55" w:rsidRDefault="00EF43F1" w:rsidP="00EF43F1">
      <w:pPr>
        <w:rPr>
          <w:rFonts w:cs="Arial"/>
          <w:sz w:val="22"/>
        </w:rPr>
      </w:pPr>
      <w:r w:rsidRPr="00E86F55">
        <w:rPr>
          <w:rFonts w:cs="Arial"/>
          <w:sz w:val="22"/>
        </w:rPr>
        <w:t>Le Comité Technique Préparatoire et de Suivi du PNDA</w:t>
      </w:r>
      <w:r w:rsidRPr="00EF43F1">
        <w:rPr>
          <w:rFonts w:eastAsia="Calibri" w:cs="Arial"/>
          <w:iCs/>
          <w:sz w:val="22"/>
        </w:rPr>
        <w:t xml:space="preserve"> </w:t>
      </w:r>
      <w:r w:rsidRPr="00982564">
        <w:rPr>
          <w:rFonts w:eastAsia="Calibri" w:cs="Arial"/>
          <w:iCs/>
          <w:sz w:val="22"/>
        </w:rPr>
        <w:t xml:space="preserve">sous tutelle </w:t>
      </w:r>
      <w:r>
        <w:rPr>
          <w:rFonts w:eastAsia="Calibri" w:cs="Arial"/>
          <w:iCs/>
          <w:sz w:val="22"/>
        </w:rPr>
        <w:t xml:space="preserve">de la Division d’Etudes et Planification (DEP) </w:t>
      </w:r>
      <w:r w:rsidRPr="00982564">
        <w:rPr>
          <w:rFonts w:eastAsia="Calibri" w:cs="Arial"/>
          <w:iCs/>
          <w:sz w:val="22"/>
        </w:rPr>
        <w:t>du Ministère de l’agriculture</w:t>
      </w:r>
      <w:r>
        <w:rPr>
          <w:rFonts w:eastAsia="Calibri" w:cs="Arial"/>
          <w:iCs/>
          <w:sz w:val="22"/>
        </w:rPr>
        <w:t xml:space="preserve"> </w:t>
      </w:r>
      <w:r w:rsidRPr="00E86F55">
        <w:rPr>
          <w:rFonts w:cs="Arial"/>
          <w:sz w:val="22"/>
        </w:rPr>
        <w:t>va assurer</w:t>
      </w:r>
      <w:r>
        <w:rPr>
          <w:rFonts w:cs="Arial"/>
          <w:sz w:val="22"/>
        </w:rPr>
        <w:t xml:space="preserve">, </w:t>
      </w:r>
      <w:r w:rsidRPr="00E86F55">
        <w:rPr>
          <w:rFonts w:cs="Arial"/>
          <w:sz w:val="22"/>
        </w:rPr>
        <w:t>en collaboration avec l’UNCP/PARRSA</w:t>
      </w:r>
      <w:r>
        <w:rPr>
          <w:rFonts w:cs="Arial"/>
          <w:sz w:val="22"/>
        </w:rPr>
        <w:t>,</w:t>
      </w:r>
      <w:r w:rsidRPr="00E86F55">
        <w:rPr>
          <w:rFonts w:cs="Arial"/>
          <w:sz w:val="22"/>
        </w:rPr>
        <w:t xml:space="preserve"> la préparation technique et le suivi du PNDA. Le CTPS veillera à l’inscription et à la budgétisation des diligences environnementales et sociales dans les Plans de Travail et Budget Annuels (PTBA). Il effectuera également des missions de supervision sur le terrain afin de vérifier la prise en compte des aspects environnementaux et sociaux</w:t>
      </w:r>
      <w:r>
        <w:rPr>
          <w:rFonts w:cs="Arial"/>
          <w:sz w:val="22"/>
        </w:rPr>
        <w:t>.</w:t>
      </w:r>
      <w:r w:rsidRPr="00E86F55">
        <w:rPr>
          <w:rFonts w:cs="Arial"/>
          <w:sz w:val="22"/>
        </w:rPr>
        <w:t xml:space="preserve"> </w:t>
      </w:r>
    </w:p>
    <w:p w14:paraId="6F5FE05A" w14:textId="77777777" w:rsidR="003E63CD" w:rsidRPr="003E63CD" w:rsidRDefault="003E63CD" w:rsidP="003E63CD"/>
    <w:p w14:paraId="4C2ECE83" w14:textId="77777777" w:rsidR="001C2F95" w:rsidRPr="00982564" w:rsidRDefault="001C2F95" w:rsidP="001C2F95">
      <w:pPr>
        <w:pStyle w:val="Titre2"/>
        <w:rPr>
          <w:rFonts w:cs="Arial"/>
          <w:i/>
          <w:sz w:val="22"/>
          <w:szCs w:val="22"/>
        </w:rPr>
      </w:pPr>
      <w:bookmarkStart w:id="254" w:name="_Toc70326999"/>
      <w:bookmarkStart w:id="255" w:name="_Toc70330362"/>
      <w:r w:rsidRPr="00982564">
        <w:rPr>
          <w:rFonts w:cs="Arial"/>
          <w:i/>
          <w:sz w:val="22"/>
          <w:szCs w:val="22"/>
        </w:rPr>
        <w:t>Unité Nationale de Coordination du Projet</w:t>
      </w:r>
      <w:bookmarkEnd w:id="251"/>
      <w:bookmarkEnd w:id="252"/>
      <w:bookmarkEnd w:id="253"/>
      <w:bookmarkEnd w:id="254"/>
      <w:bookmarkEnd w:id="255"/>
      <w:r w:rsidRPr="00982564">
        <w:rPr>
          <w:rFonts w:cs="Arial"/>
          <w:i/>
          <w:sz w:val="22"/>
          <w:szCs w:val="22"/>
        </w:rPr>
        <w:t xml:space="preserve"> </w:t>
      </w:r>
    </w:p>
    <w:p w14:paraId="3AB54E22" w14:textId="77777777" w:rsidR="001C2F95" w:rsidRPr="00982564" w:rsidRDefault="001C2F95" w:rsidP="001C2F95">
      <w:pPr>
        <w:autoSpaceDE w:val="0"/>
        <w:autoSpaceDN w:val="0"/>
        <w:adjustRightInd w:val="0"/>
        <w:rPr>
          <w:rFonts w:eastAsia="Calibri" w:cs="Arial"/>
          <w:i/>
          <w:color w:val="000000"/>
          <w:sz w:val="22"/>
          <w:u w:val="single"/>
        </w:rPr>
      </w:pPr>
    </w:p>
    <w:p w14:paraId="58834052" w14:textId="77777777" w:rsidR="001C2F95" w:rsidRPr="00982564" w:rsidRDefault="001C2F95" w:rsidP="001C2F95">
      <w:pPr>
        <w:autoSpaceDE w:val="0"/>
        <w:autoSpaceDN w:val="0"/>
        <w:adjustRightInd w:val="0"/>
        <w:rPr>
          <w:rFonts w:eastAsia="Calibri" w:cs="Arial"/>
          <w:iCs/>
          <w:sz w:val="22"/>
        </w:rPr>
      </w:pPr>
      <w:r w:rsidRPr="00982564">
        <w:rPr>
          <w:rFonts w:eastAsia="Calibri" w:cs="Arial"/>
          <w:iCs/>
          <w:sz w:val="22"/>
        </w:rPr>
        <w:t>L’UNCP sous tutelle du Ministère de l’agriculture, aura les responsabilités à la fois technique et fiduciaire pour la mise en œuvre du Projet.</w:t>
      </w:r>
    </w:p>
    <w:p w14:paraId="3E477F0D" w14:textId="77777777" w:rsidR="001C2F95" w:rsidRPr="00982564" w:rsidRDefault="001C2F95" w:rsidP="001C2F95">
      <w:pPr>
        <w:autoSpaceDE w:val="0"/>
        <w:autoSpaceDN w:val="0"/>
        <w:adjustRightInd w:val="0"/>
        <w:rPr>
          <w:rFonts w:eastAsia="Calibri" w:cs="Arial"/>
          <w:color w:val="000000"/>
          <w:sz w:val="22"/>
          <w:highlight w:val="yellow"/>
        </w:rPr>
      </w:pPr>
    </w:p>
    <w:p w14:paraId="57E1F9D3" w14:textId="77777777" w:rsidR="001C2F95" w:rsidRPr="00982564" w:rsidRDefault="001C2F95" w:rsidP="001C2F95">
      <w:pPr>
        <w:autoSpaceDE w:val="0"/>
        <w:autoSpaceDN w:val="0"/>
        <w:adjustRightInd w:val="0"/>
        <w:rPr>
          <w:rFonts w:eastAsia="Calibri" w:cs="Arial"/>
          <w:color w:val="000000"/>
          <w:sz w:val="22"/>
        </w:rPr>
      </w:pPr>
      <w:r w:rsidRPr="00982564">
        <w:rPr>
          <w:rFonts w:eastAsia="Calibri" w:cs="Arial"/>
          <w:sz w:val="22"/>
        </w:rPr>
        <w:t xml:space="preserve">L’UNCP </w:t>
      </w:r>
      <w:r w:rsidRPr="00982564">
        <w:rPr>
          <w:rFonts w:eastAsia="Calibri" w:cs="Arial"/>
          <w:color w:val="000000"/>
          <w:sz w:val="22"/>
        </w:rPr>
        <w:t>est chargée de :</w:t>
      </w:r>
    </w:p>
    <w:p w14:paraId="133A0745" w14:textId="77777777" w:rsidR="001C2F95" w:rsidRPr="00982564" w:rsidRDefault="001C2F95" w:rsidP="001C2F95">
      <w:pPr>
        <w:autoSpaceDE w:val="0"/>
        <w:autoSpaceDN w:val="0"/>
        <w:adjustRightInd w:val="0"/>
        <w:rPr>
          <w:rFonts w:eastAsia="Calibri" w:cs="Arial"/>
          <w:color w:val="000000"/>
          <w:sz w:val="22"/>
          <w:highlight w:val="yellow"/>
        </w:rPr>
      </w:pPr>
    </w:p>
    <w:p w14:paraId="34359FF5" w14:textId="77777777" w:rsidR="001C2F95" w:rsidRPr="00982564" w:rsidRDefault="001C2F95" w:rsidP="002378EA">
      <w:pPr>
        <w:numPr>
          <w:ilvl w:val="0"/>
          <w:numId w:val="36"/>
        </w:numPr>
        <w:autoSpaceDE w:val="0"/>
        <w:autoSpaceDN w:val="0"/>
        <w:adjustRightInd w:val="0"/>
        <w:rPr>
          <w:rFonts w:eastAsia="Calibri" w:cs="Arial"/>
          <w:sz w:val="22"/>
        </w:rPr>
      </w:pPr>
      <w:r w:rsidRPr="00982564">
        <w:rPr>
          <w:rFonts w:eastAsia="Calibri" w:cs="Arial"/>
          <w:sz w:val="22"/>
        </w:rPr>
        <w:t>L’assurance de la gestion technique et la gestion fiduciaire des activités du projet. À ce titre, elle aura son propre compte dédié pour la gestion du Projet ;</w:t>
      </w:r>
    </w:p>
    <w:p w14:paraId="08465532" w14:textId="77777777" w:rsidR="001C2F95" w:rsidRPr="00982564" w:rsidRDefault="001C2F95" w:rsidP="002378EA">
      <w:pPr>
        <w:numPr>
          <w:ilvl w:val="0"/>
          <w:numId w:val="36"/>
        </w:numPr>
        <w:shd w:val="clear" w:color="auto" w:fill="FFFFFF"/>
        <w:rPr>
          <w:rFonts w:cs="Arial"/>
          <w:bCs/>
          <w:color w:val="1E1E1E"/>
          <w:sz w:val="22"/>
        </w:rPr>
      </w:pPr>
      <w:r w:rsidRPr="00982564">
        <w:rPr>
          <w:rFonts w:cs="Arial"/>
          <w:bCs/>
          <w:color w:val="1E1E1E"/>
          <w:sz w:val="22"/>
        </w:rPr>
        <w:t>La gestion et du suivi des activités du Projet.</w:t>
      </w:r>
    </w:p>
    <w:p w14:paraId="0D3F14D1" w14:textId="77777777" w:rsidR="001C2F95" w:rsidRPr="00982564" w:rsidRDefault="001C2F95" w:rsidP="001C2F95">
      <w:pPr>
        <w:autoSpaceDE w:val="0"/>
        <w:autoSpaceDN w:val="0"/>
        <w:adjustRightInd w:val="0"/>
        <w:rPr>
          <w:rFonts w:cs="Arial"/>
          <w:sz w:val="22"/>
        </w:rPr>
      </w:pPr>
    </w:p>
    <w:p w14:paraId="480E4B80" w14:textId="77777777" w:rsidR="001C2F95" w:rsidRPr="00982564" w:rsidRDefault="001C2F95" w:rsidP="001C2F95">
      <w:pPr>
        <w:autoSpaceDE w:val="0"/>
        <w:autoSpaceDN w:val="0"/>
        <w:adjustRightInd w:val="0"/>
        <w:rPr>
          <w:rFonts w:eastAsia="Calibri" w:cs="Arial"/>
          <w:iCs/>
          <w:sz w:val="22"/>
        </w:rPr>
      </w:pPr>
      <w:r w:rsidRPr="00982564">
        <w:rPr>
          <w:rFonts w:eastAsia="Calibri" w:cs="Arial"/>
          <w:iCs/>
          <w:sz w:val="22"/>
        </w:rPr>
        <w:t>Il sied de signaler qu’actuellement l’Unité Nationale de Coordination du PARRSA</w:t>
      </w:r>
      <w:r w:rsidRPr="00982564">
        <w:rPr>
          <w:rFonts w:eastAsia="Calibri" w:cs="Arial"/>
          <w:sz w:val="22"/>
        </w:rPr>
        <w:t xml:space="preserve"> en collaboration avec le Comité Technique mis en place</w:t>
      </w:r>
      <w:r w:rsidRPr="00982564">
        <w:rPr>
          <w:rFonts w:eastAsia="Calibri" w:cs="Arial"/>
          <w:iCs/>
          <w:sz w:val="22"/>
        </w:rPr>
        <w:t xml:space="preserve"> est chargée de la préparation du PNDA.</w:t>
      </w:r>
    </w:p>
    <w:p w14:paraId="67734277" w14:textId="77777777" w:rsidR="001C2F95" w:rsidRPr="00982564" w:rsidRDefault="001C2F95" w:rsidP="001C2F95">
      <w:pPr>
        <w:autoSpaceDE w:val="0"/>
        <w:autoSpaceDN w:val="0"/>
        <w:adjustRightInd w:val="0"/>
        <w:rPr>
          <w:rFonts w:cs="Arial"/>
          <w:bCs/>
          <w:sz w:val="22"/>
        </w:rPr>
      </w:pPr>
    </w:p>
    <w:p w14:paraId="4BC9CEAF" w14:textId="77777777" w:rsidR="001C2F95" w:rsidRPr="00982564" w:rsidRDefault="001C2F95" w:rsidP="001C2F95">
      <w:pPr>
        <w:autoSpaceDE w:val="0"/>
        <w:autoSpaceDN w:val="0"/>
        <w:adjustRightInd w:val="0"/>
        <w:rPr>
          <w:rFonts w:cs="Arial"/>
          <w:bCs/>
          <w:sz w:val="22"/>
        </w:rPr>
      </w:pPr>
      <w:r w:rsidRPr="00982564">
        <w:rPr>
          <w:rFonts w:cs="Arial"/>
          <w:bCs/>
          <w:sz w:val="22"/>
        </w:rPr>
        <w:t>Par ailleurs, l</w:t>
      </w:r>
      <w:r w:rsidRPr="00982564">
        <w:rPr>
          <w:rFonts w:cs="Arial"/>
          <w:bCs/>
          <w:sz w:val="22"/>
          <w:lang w:val="it-IT"/>
        </w:rPr>
        <w:t>’UNCP</w:t>
      </w:r>
      <w:r w:rsidR="006A483C">
        <w:rPr>
          <w:rFonts w:cs="Arial"/>
          <w:bCs/>
          <w:sz w:val="22"/>
          <w:lang w:val="it-IT"/>
        </w:rPr>
        <w:t>/PNDA</w:t>
      </w:r>
      <w:r w:rsidRPr="00982564">
        <w:rPr>
          <w:rFonts w:cs="Arial"/>
          <w:bCs/>
          <w:sz w:val="22"/>
          <w:lang w:val="it-IT"/>
        </w:rPr>
        <w:t xml:space="preserve"> dispose d'une Unité Environnementale et Sociale (UES) composée</w:t>
      </w:r>
      <w:r w:rsidR="00D2107C">
        <w:rPr>
          <w:rFonts w:cs="Arial"/>
          <w:bCs/>
          <w:sz w:val="22"/>
          <w:lang w:val="it-IT"/>
        </w:rPr>
        <w:t xml:space="preserve"> d’</w:t>
      </w:r>
      <w:r w:rsidR="00D2107C" w:rsidRPr="00982564">
        <w:rPr>
          <w:rFonts w:cs="Arial"/>
          <w:bCs/>
          <w:sz w:val="22"/>
          <w:lang w:val="it-IT"/>
        </w:rPr>
        <w:t>un</w:t>
      </w:r>
      <w:r w:rsidRPr="00982564">
        <w:rPr>
          <w:rFonts w:cs="Arial"/>
          <w:bCs/>
          <w:sz w:val="22"/>
          <w:lang w:val="it-IT"/>
        </w:rPr>
        <w:t xml:space="preserve"> </w:t>
      </w:r>
      <w:r w:rsidR="00D2107C">
        <w:rPr>
          <w:rFonts w:cs="Arial"/>
          <w:bCs/>
          <w:sz w:val="22"/>
          <w:lang w:val="it-IT"/>
        </w:rPr>
        <w:t>spécialiste</w:t>
      </w:r>
      <w:r w:rsidRPr="00982564">
        <w:rPr>
          <w:rFonts w:cs="Arial"/>
          <w:bCs/>
          <w:sz w:val="22"/>
          <w:lang w:val="it-IT"/>
        </w:rPr>
        <w:t xml:space="preserve"> environnementaliste, d’un </w:t>
      </w:r>
      <w:r w:rsidR="00D2107C">
        <w:rPr>
          <w:rFonts w:cs="Arial"/>
          <w:bCs/>
          <w:sz w:val="22"/>
          <w:lang w:val="it-IT"/>
        </w:rPr>
        <w:t>spécialiste</w:t>
      </w:r>
      <w:r w:rsidRPr="00982564">
        <w:rPr>
          <w:rFonts w:cs="Arial"/>
          <w:bCs/>
          <w:sz w:val="22"/>
          <w:lang w:val="it-IT"/>
        </w:rPr>
        <w:t xml:space="preserve"> en développement social et d’un expert en violence et basée sur le genre. L’Unité Environnementale et Sociale de l’UNCP est chargée du suivi et de gestion des aspects environnementaux et sociaux du PNDA. En dehors du Coordonnateur du Projet, elle est composée des experts clés suivants :</w:t>
      </w:r>
      <w:r w:rsidRPr="00982564">
        <w:rPr>
          <w:rFonts w:cs="Arial"/>
          <w:bCs/>
          <w:sz w:val="22"/>
        </w:rPr>
        <w:t xml:space="preserve"> </w:t>
      </w:r>
    </w:p>
    <w:p w14:paraId="180AE84B" w14:textId="77777777" w:rsidR="001C2F95" w:rsidRPr="00982564" w:rsidRDefault="001C2F95" w:rsidP="001C2F95">
      <w:pPr>
        <w:autoSpaceDE w:val="0"/>
        <w:autoSpaceDN w:val="0"/>
        <w:adjustRightInd w:val="0"/>
        <w:rPr>
          <w:rFonts w:cs="Arial"/>
          <w:bCs/>
          <w:sz w:val="22"/>
        </w:rPr>
      </w:pPr>
    </w:p>
    <w:p w14:paraId="757E3B1E" w14:textId="77777777" w:rsidR="001C2F95" w:rsidRPr="00D2107C" w:rsidRDefault="001C2F95" w:rsidP="002378EA">
      <w:pPr>
        <w:numPr>
          <w:ilvl w:val="0"/>
          <w:numId w:val="107"/>
        </w:numPr>
        <w:ind w:left="720"/>
        <w:rPr>
          <w:rFonts w:cs="Arial"/>
          <w:color w:val="000000"/>
          <w:sz w:val="22"/>
        </w:rPr>
      </w:pPr>
      <w:r w:rsidRPr="00D2107C">
        <w:rPr>
          <w:rFonts w:cs="Arial"/>
          <w:color w:val="000000"/>
          <w:sz w:val="22"/>
        </w:rPr>
        <w:t>Le Spécialiste en Sauvegardes Environnementales, le Spécialiste en Sauvegardes Sociales et l’Expert VBG (SSE/PNDA, SSS/PNDA et EVBG/PNDA en phase de préparation</w:t>
      </w:r>
      <w:r w:rsidR="00D2107C" w:rsidRPr="00D2107C">
        <w:rPr>
          <w:rFonts w:cs="Arial"/>
          <w:color w:val="000000"/>
          <w:sz w:val="22"/>
        </w:rPr>
        <w:t xml:space="preserve">. En phase de mise en œuvre du programme,  </w:t>
      </w:r>
      <w:r w:rsidR="00D2107C">
        <w:rPr>
          <w:rFonts w:cs="Arial"/>
          <w:color w:val="000000"/>
          <w:sz w:val="22"/>
        </w:rPr>
        <w:t>ils</w:t>
      </w:r>
      <w:r w:rsidRPr="00D2107C">
        <w:rPr>
          <w:rFonts w:cs="Arial"/>
          <w:color w:val="000000"/>
          <w:sz w:val="22"/>
        </w:rPr>
        <w:t xml:space="preserve"> vont s’assurer de la mise en œuvre de toutes les mesures de sauvegardes environnementale et sociale pendant la durée du pro</w:t>
      </w:r>
      <w:r w:rsidR="00D2107C" w:rsidRPr="00D2107C">
        <w:rPr>
          <w:rFonts w:cs="Arial"/>
          <w:color w:val="000000"/>
          <w:sz w:val="22"/>
        </w:rPr>
        <w:t>gramme</w:t>
      </w:r>
      <w:r w:rsidRPr="00D2107C">
        <w:rPr>
          <w:rFonts w:cs="Arial"/>
          <w:color w:val="000000"/>
          <w:sz w:val="22"/>
        </w:rPr>
        <w:t> : (i) ils rempliront les fiches de sélection environnementale et sociale et procéderont à la détermination du niveau de risque E&amp;S approprié</w:t>
      </w:r>
      <w:r w:rsidR="00D2107C">
        <w:rPr>
          <w:rFonts w:cs="Arial"/>
          <w:color w:val="000000"/>
          <w:sz w:val="22"/>
        </w:rPr>
        <w:t xml:space="preserve"> et orienteront les études à réaliser (EIES, NIES, PGES, PAR, PSR)</w:t>
      </w:r>
      <w:r w:rsidRPr="00D2107C">
        <w:rPr>
          <w:rFonts w:cs="Arial"/>
          <w:color w:val="000000"/>
          <w:sz w:val="22"/>
        </w:rPr>
        <w:t xml:space="preserve"> avec l’appui de la Banque </w:t>
      </w:r>
      <w:r w:rsidR="00D2107C">
        <w:rPr>
          <w:rFonts w:cs="Arial"/>
          <w:color w:val="000000"/>
          <w:sz w:val="22"/>
        </w:rPr>
        <w:t>m</w:t>
      </w:r>
      <w:r w:rsidRPr="00D2107C">
        <w:rPr>
          <w:rFonts w:cs="Arial"/>
          <w:color w:val="000000"/>
          <w:sz w:val="22"/>
        </w:rPr>
        <w:t xml:space="preserve">ondiale, (ii) ils effectueront également le choix des mesures d’atténuation appropriées en cas de non-nécessité d’élaborer des PGES pour les sous-projets, (iii) ils s’ assureront de l’intégration de toutes les clauses environnementales et sociales dans les dossiers d’ appel d’ offre (DAO), ainsi que les contrats des entreprises ; (iv) ils assureront aussi la coordination du suivi des aspects environnementaux et sociaux, </w:t>
      </w:r>
      <w:r w:rsidR="00D2107C">
        <w:rPr>
          <w:rFonts w:cs="Arial"/>
          <w:color w:val="000000"/>
          <w:sz w:val="22"/>
        </w:rPr>
        <w:t xml:space="preserve">du MGP </w:t>
      </w:r>
      <w:r w:rsidRPr="00D2107C">
        <w:rPr>
          <w:rFonts w:cs="Arial"/>
          <w:color w:val="000000"/>
          <w:sz w:val="22"/>
        </w:rPr>
        <w:t>ainsi que de l’audit de conformité du projet avec les mesures environnementales et sociales proposées ; (v) l’EVBG assurera l’application du plan d’action VBG du PNDA.</w:t>
      </w:r>
    </w:p>
    <w:p w14:paraId="06AEDEBF" w14:textId="77777777" w:rsidR="001C2F95" w:rsidRPr="00982564" w:rsidRDefault="001C2F95" w:rsidP="001C2F95">
      <w:pPr>
        <w:autoSpaceDE w:val="0"/>
        <w:autoSpaceDN w:val="0"/>
        <w:adjustRightInd w:val="0"/>
        <w:rPr>
          <w:rFonts w:eastAsia="Calibri" w:cs="Arial"/>
          <w:iCs/>
          <w:sz w:val="22"/>
        </w:rPr>
      </w:pPr>
    </w:p>
    <w:p w14:paraId="7DA3E7C6" w14:textId="77777777" w:rsidR="001C2F95" w:rsidRPr="00982564" w:rsidRDefault="00D2107C" w:rsidP="002378EA">
      <w:pPr>
        <w:numPr>
          <w:ilvl w:val="0"/>
          <w:numId w:val="107"/>
        </w:numPr>
        <w:ind w:left="720"/>
        <w:rPr>
          <w:rFonts w:cs="Arial"/>
          <w:color w:val="000000"/>
          <w:sz w:val="22"/>
        </w:rPr>
      </w:pPr>
      <w:r>
        <w:rPr>
          <w:rFonts w:cs="Arial"/>
          <w:color w:val="000000"/>
          <w:sz w:val="22"/>
        </w:rPr>
        <w:t xml:space="preserve">Le </w:t>
      </w:r>
      <w:r w:rsidR="001C2F95" w:rsidRPr="00982564">
        <w:rPr>
          <w:rFonts w:cs="Arial"/>
          <w:color w:val="000000"/>
          <w:sz w:val="22"/>
        </w:rPr>
        <w:t xml:space="preserve">Responsable technique de l’activité éligible au Programme PNDA (Chargé de projet) est responsable de : l’identification de la localisation/site et </w:t>
      </w:r>
      <w:r w:rsidR="00D662DC" w:rsidRPr="00982564">
        <w:rPr>
          <w:rFonts w:cs="Arial"/>
          <w:color w:val="000000"/>
          <w:sz w:val="22"/>
        </w:rPr>
        <w:t>principales caractéristiques techniques</w:t>
      </w:r>
      <w:r w:rsidR="001C2F95" w:rsidRPr="00982564">
        <w:rPr>
          <w:rFonts w:cs="Arial"/>
          <w:color w:val="000000"/>
          <w:sz w:val="22"/>
        </w:rPr>
        <w:t xml:space="preserve"> du sous-projet et de ’intégration dans le dossier d’appel d’offres (DAO) du sous-projet, de toutes les mesures de la phase des travaux pouvant être contractualisées avec l’entreprise </w:t>
      </w:r>
    </w:p>
    <w:p w14:paraId="13FFA572" w14:textId="77777777" w:rsidR="001C2F95" w:rsidRPr="00982564" w:rsidRDefault="001C2F95" w:rsidP="001C2F95">
      <w:pPr>
        <w:pStyle w:val="Paragraphedeliste"/>
        <w:rPr>
          <w:rFonts w:cs="Arial"/>
          <w:color w:val="000000"/>
          <w:sz w:val="22"/>
        </w:rPr>
      </w:pPr>
    </w:p>
    <w:p w14:paraId="517ACC79" w14:textId="77777777" w:rsidR="001C2F95" w:rsidRPr="00982564" w:rsidRDefault="001C2F95" w:rsidP="002378EA">
      <w:pPr>
        <w:numPr>
          <w:ilvl w:val="0"/>
          <w:numId w:val="107"/>
        </w:numPr>
        <w:ind w:left="720"/>
        <w:rPr>
          <w:rFonts w:cs="Arial"/>
          <w:color w:val="000000"/>
          <w:sz w:val="22"/>
        </w:rPr>
      </w:pPr>
      <w:r w:rsidRPr="00982564">
        <w:rPr>
          <w:rFonts w:cs="Arial"/>
          <w:color w:val="000000"/>
          <w:sz w:val="22"/>
        </w:rPr>
        <w:t xml:space="preserve">Le Spécialiste en passation de marchés </w:t>
      </w:r>
      <w:r w:rsidRPr="00982564">
        <w:rPr>
          <w:rFonts w:cs="Arial"/>
          <w:sz w:val="22"/>
        </w:rPr>
        <w:t xml:space="preserve">(du PNDA en phase de préparation et en phase de mise en œuvre, en concertation avec les spécialistes environnemental et social du PNDA) </w:t>
      </w:r>
      <w:r w:rsidRPr="00982564">
        <w:rPr>
          <w:rFonts w:cs="Arial"/>
          <w:color w:val="000000"/>
          <w:sz w:val="22"/>
        </w:rPr>
        <w:t>: veille à l’inclusion des activités suivantes dans les plans de passation des marchés et prépare les documents contractuels y relatifs (étude s, intégration des mesures dans le dossier d’appel d’offres ; PGES entreprise, exécution/Mise en œuvre des mesures ; renforcement des capacités ; surveillance et audit).</w:t>
      </w:r>
    </w:p>
    <w:p w14:paraId="6F03116D" w14:textId="77777777" w:rsidR="001C2F95" w:rsidRPr="00982564" w:rsidRDefault="001C2F95" w:rsidP="001C2F95">
      <w:pPr>
        <w:pStyle w:val="Paragraphedeliste"/>
        <w:spacing w:after="200"/>
        <w:rPr>
          <w:rFonts w:cs="Arial"/>
          <w:sz w:val="22"/>
        </w:rPr>
      </w:pPr>
    </w:p>
    <w:p w14:paraId="63C069C6" w14:textId="77777777" w:rsidR="001C2F95" w:rsidRPr="00982564" w:rsidRDefault="001C2F95" w:rsidP="002378EA">
      <w:pPr>
        <w:pStyle w:val="Paragraphedeliste"/>
        <w:numPr>
          <w:ilvl w:val="0"/>
          <w:numId w:val="108"/>
        </w:numPr>
        <w:spacing w:after="200"/>
        <w:rPr>
          <w:rFonts w:cs="Arial"/>
          <w:sz w:val="22"/>
        </w:rPr>
      </w:pPr>
      <w:r w:rsidRPr="00982564">
        <w:rPr>
          <w:rFonts w:cs="Arial"/>
          <w:sz w:val="22"/>
        </w:rPr>
        <w:t>Le Responsable des finances </w:t>
      </w:r>
      <w:r w:rsidRPr="00982564">
        <w:rPr>
          <w:rFonts w:cs="Arial"/>
          <w:color w:val="000000"/>
          <w:sz w:val="22"/>
        </w:rPr>
        <w:t xml:space="preserve">de la </w:t>
      </w:r>
      <w:r w:rsidRPr="00982564">
        <w:rPr>
          <w:rFonts w:cs="Arial"/>
          <w:sz w:val="22"/>
        </w:rPr>
        <w:t xml:space="preserve">(du PNDA en phase de préparation et en phase de mise en œuvre) : inclut dans les états financiers les provisions budgétaires relatives à l’Exécution/Mise en œuvre des mesures et à la Surveillance de la mise en œuvre des mesures environnementales et sociales </w:t>
      </w:r>
    </w:p>
    <w:p w14:paraId="67A6AF6A" w14:textId="77777777" w:rsidR="001C2F95" w:rsidRPr="00982564" w:rsidRDefault="001C2F95" w:rsidP="001C2F95">
      <w:pPr>
        <w:pStyle w:val="Paragraphedeliste"/>
        <w:spacing w:after="200"/>
        <w:rPr>
          <w:rFonts w:cs="Arial"/>
          <w:sz w:val="22"/>
        </w:rPr>
      </w:pPr>
    </w:p>
    <w:p w14:paraId="00A45139" w14:textId="77777777" w:rsidR="001C2F95" w:rsidRPr="00982564" w:rsidRDefault="001C2F95" w:rsidP="002378EA">
      <w:pPr>
        <w:pStyle w:val="Paragraphedeliste"/>
        <w:numPr>
          <w:ilvl w:val="0"/>
          <w:numId w:val="108"/>
        </w:numPr>
        <w:spacing w:after="200"/>
        <w:rPr>
          <w:rFonts w:cs="Arial"/>
          <w:sz w:val="22"/>
        </w:rPr>
      </w:pPr>
      <w:r w:rsidRPr="00982564">
        <w:rPr>
          <w:rFonts w:cs="Arial"/>
          <w:sz w:val="22"/>
        </w:rPr>
        <w:t>Le Spécialiste en suivi-évaluation (du PNDA en phase de préparation et en phase de mise en œuvre) : il participe à la Surveillance interne de la mise en œuvre des mesures environnementales et sociales, au Suivi environnemental et social et à l’Audit de mise en œuvre des mesures environnementales et sociales.</w:t>
      </w:r>
    </w:p>
    <w:p w14:paraId="3ACCB7C5" w14:textId="77777777" w:rsidR="001C2F95" w:rsidRPr="00982564" w:rsidRDefault="001C2F95" w:rsidP="001C2F95">
      <w:pPr>
        <w:autoSpaceDE w:val="0"/>
        <w:autoSpaceDN w:val="0"/>
        <w:adjustRightInd w:val="0"/>
        <w:rPr>
          <w:rFonts w:eastAsia="Calibri" w:cs="Arial"/>
          <w:iCs/>
          <w:sz w:val="22"/>
        </w:rPr>
      </w:pPr>
      <w:r w:rsidRPr="00982564">
        <w:rPr>
          <w:rFonts w:eastAsia="Calibri" w:cs="Arial"/>
          <w:iCs/>
          <w:sz w:val="22"/>
        </w:rPr>
        <w:t xml:space="preserve">Quelques Directions normatives </w:t>
      </w:r>
    </w:p>
    <w:p w14:paraId="5AB2E605" w14:textId="77777777" w:rsidR="001C2F95" w:rsidRPr="00982564" w:rsidRDefault="001C2F95" w:rsidP="001C2F95">
      <w:pPr>
        <w:autoSpaceDE w:val="0"/>
        <w:autoSpaceDN w:val="0"/>
        <w:adjustRightInd w:val="0"/>
        <w:rPr>
          <w:rFonts w:cs="Arial"/>
          <w:b/>
          <w:i/>
          <w:sz w:val="22"/>
        </w:rPr>
      </w:pPr>
    </w:p>
    <w:p w14:paraId="1C2F30E0" w14:textId="77777777" w:rsidR="001C2F95" w:rsidRPr="00982564" w:rsidRDefault="001C2F95" w:rsidP="001C2F95">
      <w:pPr>
        <w:autoSpaceDE w:val="0"/>
        <w:autoSpaceDN w:val="0"/>
        <w:adjustRightInd w:val="0"/>
        <w:rPr>
          <w:rFonts w:eastAsia="Calibri" w:cs="Arial"/>
          <w:iCs/>
          <w:sz w:val="22"/>
        </w:rPr>
      </w:pPr>
      <w:r w:rsidRPr="00982564">
        <w:rPr>
          <w:rFonts w:cs="Arial"/>
          <w:sz w:val="22"/>
        </w:rPr>
        <w:t>Le tableau ci-dessous contient les Directions normatives et leurs missions respectives.</w:t>
      </w:r>
      <w:r w:rsidRPr="00982564">
        <w:rPr>
          <w:rFonts w:cs="Arial"/>
          <w:b/>
          <w:i/>
          <w:sz w:val="22"/>
        </w:rPr>
        <w:br w:type="page"/>
      </w:r>
    </w:p>
    <w:p w14:paraId="5972B9CB" w14:textId="77777777" w:rsidR="001C2F95" w:rsidRPr="00982564" w:rsidRDefault="001C2F95" w:rsidP="001C2F95">
      <w:pPr>
        <w:spacing w:line="240" w:lineRule="auto"/>
        <w:jc w:val="left"/>
        <w:rPr>
          <w:rFonts w:cs="Arial"/>
          <w:i/>
          <w:w w:val="90"/>
          <w:sz w:val="22"/>
          <w:u w:val="single"/>
        </w:rPr>
      </w:pPr>
      <w:bookmarkStart w:id="256" w:name="_Toc70451658"/>
      <w:r w:rsidRPr="00982564">
        <w:rPr>
          <w:rFonts w:cs="Arial"/>
          <w:sz w:val="22"/>
        </w:rPr>
        <w:t xml:space="preserve">Tableau </w:t>
      </w:r>
      <w:r w:rsidRPr="00982564">
        <w:rPr>
          <w:rFonts w:cs="Arial"/>
          <w:sz w:val="22"/>
        </w:rPr>
        <w:fldChar w:fldCharType="begin"/>
      </w:r>
      <w:r w:rsidRPr="00982564">
        <w:rPr>
          <w:rFonts w:cs="Arial"/>
          <w:sz w:val="22"/>
        </w:rPr>
        <w:instrText xml:space="preserve"> SEQ Tableau \* ARABIC </w:instrText>
      </w:r>
      <w:r w:rsidRPr="00982564">
        <w:rPr>
          <w:rFonts w:cs="Arial"/>
          <w:sz w:val="22"/>
        </w:rPr>
        <w:fldChar w:fldCharType="separate"/>
      </w:r>
      <w:r w:rsidR="001260B3">
        <w:rPr>
          <w:rFonts w:cs="Arial"/>
          <w:noProof/>
          <w:sz w:val="22"/>
        </w:rPr>
        <w:t>12</w:t>
      </w:r>
      <w:r w:rsidRPr="00982564">
        <w:rPr>
          <w:rFonts w:cs="Arial"/>
          <w:noProof/>
          <w:sz w:val="22"/>
        </w:rPr>
        <w:fldChar w:fldCharType="end"/>
      </w:r>
      <w:r w:rsidRPr="00982564">
        <w:rPr>
          <w:rFonts w:cs="Arial"/>
          <w:sz w:val="22"/>
        </w:rPr>
        <w:t>.</w:t>
      </w:r>
      <w:r w:rsidRPr="00982564">
        <w:rPr>
          <w:rFonts w:cs="Arial"/>
          <w:bCs/>
          <w:sz w:val="22"/>
        </w:rPr>
        <w:t xml:space="preserve"> Directions normatives et leurs missions</w:t>
      </w:r>
      <w:bookmarkEnd w:id="256"/>
    </w:p>
    <w:p w14:paraId="214E9855" w14:textId="77777777" w:rsidR="001C2F95" w:rsidRPr="00982564" w:rsidRDefault="001C2F95" w:rsidP="001C2F95">
      <w:pPr>
        <w:rPr>
          <w:rFonts w:cs="Arial"/>
          <w:spacing w:val="-5"/>
          <w:sz w:val="22"/>
        </w:rPr>
      </w:pPr>
    </w:p>
    <w:tbl>
      <w:tblPr>
        <w:tblW w:w="8931" w:type="dxa"/>
        <w:tblInd w:w="-5" w:type="dxa"/>
        <w:tblCellMar>
          <w:left w:w="70" w:type="dxa"/>
          <w:right w:w="70" w:type="dxa"/>
        </w:tblCellMar>
        <w:tblLook w:val="04A0" w:firstRow="1" w:lastRow="0" w:firstColumn="1" w:lastColumn="0" w:noHBand="0" w:noVBand="1"/>
      </w:tblPr>
      <w:tblGrid>
        <w:gridCol w:w="4111"/>
        <w:gridCol w:w="4820"/>
      </w:tblGrid>
      <w:tr w:rsidR="001C2F95" w:rsidRPr="00982564" w14:paraId="7B753106" w14:textId="77777777" w:rsidTr="00730A4A">
        <w:trPr>
          <w:trHeight w:val="546"/>
          <w:tblHeader/>
        </w:trPr>
        <w:tc>
          <w:tcPr>
            <w:tcW w:w="4111"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36CAD2" w14:textId="77777777" w:rsidR="001C2F95" w:rsidRPr="00982564" w:rsidRDefault="001C2F95" w:rsidP="00971FD2">
            <w:pPr>
              <w:spacing w:line="240" w:lineRule="auto"/>
              <w:jc w:val="center"/>
              <w:rPr>
                <w:rFonts w:cs="Arial"/>
                <w:color w:val="000000"/>
                <w:sz w:val="22"/>
              </w:rPr>
            </w:pPr>
            <w:r w:rsidRPr="00982564">
              <w:rPr>
                <w:rFonts w:cs="Arial"/>
                <w:color w:val="000000"/>
                <w:sz w:val="22"/>
              </w:rPr>
              <w:t>Direction normatives</w:t>
            </w:r>
          </w:p>
        </w:tc>
        <w:tc>
          <w:tcPr>
            <w:tcW w:w="4820" w:type="dxa"/>
            <w:tcBorders>
              <w:top w:val="single" w:sz="4" w:space="0" w:color="auto"/>
              <w:left w:val="nil"/>
              <w:bottom w:val="single" w:sz="4" w:space="0" w:color="auto"/>
              <w:right w:val="single" w:sz="4" w:space="0" w:color="auto"/>
            </w:tcBorders>
            <w:shd w:val="clear" w:color="auto" w:fill="BDD6EE"/>
            <w:vAlign w:val="center"/>
            <w:hideMark/>
          </w:tcPr>
          <w:p w14:paraId="540FC13D" w14:textId="77777777" w:rsidR="001C2F95" w:rsidRPr="00982564" w:rsidRDefault="001C2F95" w:rsidP="00971FD2">
            <w:pPr>
              <w:spacing w:line="240" w:lineRule="auto"/>
              <w:jc w:val="center"/>
              <w:rPr>
                <w:rFonts w:cs="Arial"/>
                <w:color w:val="000000"/>
                <w:sz w:val="22"/>
              </w:rPr>
            </w:pPr>
            <w:r w:rsidRPr="00982564">
              <w:rPr>
                <w:rFonts w:cs="Arial"/>
                <w:color w:val="000000"/>
                <w:sz w:val="22"/>
              </w:rPr>
              <w:t>Missions</w:t>
            </w:r>
          </w:p>
        </w:tc>
      </w:tr>
      <w:tr w:rsidR="001C2F95" w:rsidRPr="00982564" w14:paraId="4732DE37" w14:textId="77777777" w:rsidTr="00971FD2">
        <w:trPr>
          <w:trHeight w:val="113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9E6BAA6" w14:textId="77777777" w:rsidR="001C2F95" w:rsidRPr="00982564" w:rsidRDefault="001C2F95" w:rsidP="00971FD2">
            <w:pPr>
              <w:spacing w:line="240" w:lineRule="auto"/>
              <w:rPr>
                <w:rFonts w:cs="Arial"/>
                <w:color w:val="000000"/>
                <w:sz w:val="22"/>
              </w:rPr>
            </w:pPr>
            <w:r w:rsidRPr="00982564">
              <w:rPr>
                <w:rFonts w:cs="Arial"/>
                <w:color w:val="000000"/>
                <w:sz w:val="22"/>
              </w:rPr>
              <w:t>Direction de la Production et Protection des Végétaux (DPPV)</w:t>
            </w:r>
          </w:p>
        </w:tc>
        <w:tc>
          <w:tcPr>
            <w:tcW w:w="4820" w:type="dxa"/>
            <w:tcBorders>
              <w:top w:val="nil"/>
              <w:left w:val="nil"/>
              <w:bottom w:val="single" w:sz="4" w:space="0" w:color="auto"/>
              <w:right w:val="single" w:sz="4" w:space="0" w:color="auto"/>
            </w:tcBorders>
            <w:shd w:val="clear" w:color="auto" w:fill="auto"/>
            <w:vAlign w:val="center"/>
            <w:hideMark/>
          </w:tcPr>
          <w:p w14:paraId="03935BBC" w14:textId="77777777" w:rsidR="001C2F95" w:rsidRPr="00982564" w:rsidRDefault="001C2F95" w:rsidP="00971FD2">
            <w:pPr>
              <w:spacing w:line="240" w:lineRule="auto"/>
              <w:jc w:val="left"/>
              <w:rPr>
                <w:rFonts w:cs="Arial"/>
                <w:color w:val="000000"/>
                <w:sz w:val="22"/>
              </w:rPr>
            </w:pPr>
            <w:r w:rsidRPr="00982564">
              <w:rPr>
                <w:rFonts w:cs="Arial"/>
                <w:color w:val="000000"/>
                <w:sz w:val="22"/>
              </w:rPr>
              <w:t>Contribuer à la conception et à l’élaboration de la politique nationale en matière de production et protection végétales, assurer l’encadrement de la production et protection végétales.</w:t>
            </w:r>
          </w:p>
        </w:tc>
      </w:tr>
      <w:tr w:rsidR="001C2F95" w:rsidRPr="00982564" w14:paraId="410758A8" w14:textId="77777777" w:rsidTr="00971FD2">
        <w:trPr>
          <w:trHeight w:val="1276"/>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583B030" w14:textId="77777777" w:rsidR="001C2F95" w:rsidRPr="00982564" w:rsidRDefault="001C2F95" w:rsidP="00971FD2">
            <w:pPr>
              <w:spacing w:line="240" w:lineRule="auto"/>
              <w:rPr>
                <w:rFonts w:cs="Arial"/>
                <w:color w:val="000000"/>
                <w:sz w:val="22"/>
              </w:rPr>
            </w:pPr>
            <w:r w:rsidRPr="00982564">
              <w:rPr>
                <w:rFonts w:cs="Arial"/>
                <w:color w:val="000000"/>
                <w:sz w:val="22"/>
              </w:rPr>
              <w:t>Direction de la Production et Santé Animales (DPSA)</w:t>
            </w:r>
          </w:p>
        </w:tc>
        <w:tc>
          <w:tcPr>
            <w:tcW w:w="4820" w:type="dxa"/>
            <w:tcBorders>
              <w:top w:val="nil"/>
              <w:left w:val="nil"/>
              <w:bottom w:val="single" w:sz="4" w:space="0" w:color="auto"/>
              <w:right w:val="single" w:sz="4" w:space="0" w:color="auto"/>
            </w:tcBorders>
            <w:shd w:val="clear" w:color="auto" w:fill="auto"/>
            <w:vAlign w:val="center"/>
            <w:hideMark/>
          </w:tcPr>
          <w:p w14:paraId="280ACA80" w14:textId="77777777" w:rsidR="001C2F95" w:rsidRPr="00982564" w:rsidRDefault="001C2F95" w:rsidP="00971FD2">
            <w:pPr>
              <w:spacing w:line="240" w:lineRule="auto"/>
              <w:jc w:val="left"/>
              <w:rPr>
                <w:rFonts w:cs="Arial"/>
                <w:color w:val="000000"/>
                <w:sz w:val="22"/>
              </w:rPr>
            </w:pPr>
            <w:r w:rsidRPr="00982564">
              <w:rPr>
                <w:rFonts w:cs="Arial"/>
                <w:color w:val="000000"/>
                <w:sz w:val="22"/>
              </w:rPr>
              <w:t>Contribuer à la conception et à l’élaboration de la politique nationale en matière d’élevage production et santé animales) et en suivre l’exécution, assurer l’encadrement de la production animale.</w:t>
            </w:r>
          </w:p>
        </w:tc>
      </w:tr>
      <w:tr w:rsidR="001C2F95" w:rsidRPr="00982564" w14:paraId="15C15773" w14:textId="77777777" w:rsidTr="00971FD2">
        <w:trPr>
          <w:trHeight w:val="684"/>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1E0FBCC" w14:textId="77777777" w:rsidR="001C2F95" w:rsidRPr="00982564" w:rsidRDefault="001C2F95" w:rsidP="00971FD2">
            <w:pPr>
              <w:spacing w:line="240" w:lineRule="auto"/>
              <w:jc w:val="left"/>
              <w:rPr>
                <w:rFonts w:cs="Arial"/>
                <w:color w:val="000000"/>
                <w:sz w:val="22"/>
              </w:rPr>
            </w:pPr>
            <w:r w:rsidRPr="00982564">
              <w:rPr>
                <w:rFonts w:cs="Arial"/>
                <w:color w:val="000000"/>
                <w:sz w:val="22"/>
              </w:rPr>
              <w:t>Direction des Pêches (DP)</w:t>
            </w:r>
          </w:p>
        </w:tc>
        <w:tc>
          <w:tcPr>
            <w:tcW w:w="4820" w:type="dxa"/>
            <w:tcBorders>
              <w:top w:val="nil"/>
              <w:left w:val="nil"/>
              <w:bottom w:val="single" w:sz="4" w:space="0" w:color="auto"/>
              <w:right w:val="single" w:sz="4" w:space="0" w:color="auto"/>
            </w:tcBorders>
            <w:shd w:val="clear" w:color="auto" w:fill="auto"/>
            <w:vAlign w:val="center"/>
            <w:hideMark/>
          </w:tcPr>
          <w:p w14:paraId="3F28A7FC" w14:textId="77777777" w:rsidR="001C2F95" w:rsidRPr="00982564" w:rsidRDefault="001C2F95" w:rsidP="00971FD2">
            <w:pPr>
              <w:spacing w:line="240" w:lineRule="auto"/>
              <w:jc w:val="left"/>
              <w:rPr>
                <w:rFonts w:cs="Arial"/>
                <w:color w:val="000000"/>
                <w:sz w:val="22"/>
              </w:rPr>
            </w:pPr>
            <w:r w:rsidRPr="00982564">
              <w:rPr>
                <w:rFonts w:cs="Arial"/>
                <w:color w:val="000000"/>
                <w:sz w:val="22"/>
              </w:rPr>
              <w:t>Contribuer à la conception et à la définition de la politique nationale en matière de pêche et en suivre l’application.</w:t>
            </w:r>
          </w:p>
        </w:tc>
      </w:tr>
      <w:tr w:rsidR="001C2F95" w:rsidRPr="00982564" w14:paraId="2804F64B" w14:textId="77777777" w:rsidTr="00971FD2">
        <w:trPr>
          <w:trHeight w:val="1205"/>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54495A5" w14:textId="77777777" w:rsidR="001C2F95" w:rsidRPr="00982564" w:rsidRDefault="001C2F95" w:rsidP="00971FD2">
            <w:pPr>
              <w:spacing w:line="240" w:lineRule="auto"/>
              <w:jc w:val="left"/>
              <w:rPr>
                <w:rFonts w:cs="Arial"/>
                <w:color w:val="000000"/>
                <w:sz w:val="22"/>
              </w:rPr>
            </w:pPr>
            <w:r w:rsidRPr="00982564">
              <w:rPr>
                <w:rFonts w:cs="Arial"/>
                <w:color w:val="000000"/>
                <w:sz w:val="22"/>
              </w:rPr>
              <w:t>Direction des Marchés, Prix et Crédits de Campagne (DMPCC)</w:t>
            </w:r>
          </w:p>
        </w:tc>
        <w:tc>
          <w:tcPr>
            <w:tcW w:w="4820" w:type="dxa"/>
            <w:tcBorders>
              <w:top w:val="nil"/>
              <w:left w:val="nil"/>
              <w:bottom w:val="single" w:sz="4" w:space="0" w:color="auto"/>
              <w:right w:val="single" w:sz="4" w:space="0" w:color="auto"/>
            </w:tcBorders>
            <w:shd w:val="clear" w:color="auto" w:fill="auto"/>
            <w:vAlign w:val="center"/>
            <w:hideMark/>
          </w:tcPr>
          <w:p w14:paraId="232D9DA1" w14:textId="77777777" w:rsidR="001C2F95" w:rsidRPr="00982564" w:rsidRDefault="001C2F95" w:rsidP="00971FD2">
            <w:pPr>
              <w:spacing w:line="240" w:lineRule="auto"/>
              <w:rPr>
                <w:rFonts w:cs="Arial"/>
                <w:color w:val="000000"/>
                <w:sz w:val="22"/>
              </w:rPr>
            </w:pPr>
            <w:r w:rsidRPr="00982564">
              <w:rPr>
                <w:rFonts w:cs="Arial"/>
                <w:color w:val="000000"/>
                <w:sz w:val="22"/>
              </w:rPr>
              <w:t>Chargée du suivi de la commercialisation agricole en général avec ses divisions des prix agricoles, des études commerciales, des infrastructures commerciales et de financement agricole.</w:t>
            </w:r>
          </w:p>
        </w:tc>
      </w:tr>
      <w:tr w:rsidR="001C2F95" w:rsidRPr="00982564" w14:paraId="793D68F5" w14:textId="77777777" w:rsidTr="00971FD2">
        <w:trPr>
          <w:trHeight w:val="629"/>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16955B0" w14:textId="77777777" w:rsidR="001C2F95" w:rsidRPr="00982564" w:rsidRDefault="001C2F95" w:rsidP="00971FD2">
            <w:pPr>
              <w:spacing w:line="240" w:lineRule="auto"/>
              <w:jc w:val="left"/>
              <w:rPr>
                <w:rFonts w:cs="Arial"/>
                <w:color w:val="000000"/>
                <w:sz w:val="22"/>
              </w:rPr>
            </w:pPr>
            <w:r w:rsidRPr="00982564">
              <w:rPr>
                <w:rFonts w:cs="Arial"/>
                <w:color w:val="000000"/>
                <w:sz w:val="22"/>
              </w:rPr>
              <w:t>Direction de l’Inspection</w:t>
            </w:r>
          </w:p>
        </w:tc>
        <w:tc>
          <w:tcPr>
            <w:tcW w:w="4820" w:type="dxa"/>
            <w:tcBorders>
              <w:top w:val="nil"/>
              <w:left w:val="nil"/>
              <w:bottom w:val="single" w:sz="4" w:space="0" w:color="auto"/>
              <w:right w:val="single" w:sz="4" w:space="0" w:color="auto"/>
            </w:tcBorders>
            <w:shd w:val="clear" w:color="auto" w:fill="auto"/>
            <w:vAlign w:val="center"/>
            <w:hideMark/>
          </w:tcPr>
          <w:p w14:paraId="210934DB" w14:textId="77777777" w:rsidR="001C2F95" w:rsidRPr="00982564" w:rsidRDefault="001C2F95" w:rsidP="00971FD2">
            <w:pPr>
              <w:spacing w:line="240" w:lineRule="auto"/>
              <w:jc w:val="left"/>
              <w:rPr>
                <w:rFonts w:cs="Arial"/>
                <w:color w:val="000000"/>
                <w:sz w:val="22"/>
              </w:rPr>
            </w:pPr>
            <w:r w:rsidRPr="00982564">
              <w:rPr>
                <w:rFonts w:cs="Arial"/>
                <w:color w:val="000000"/>
                <w:sz w:val="22"/>
              </w:rPr>
              <w:t>Chargée du contrôle technique, administratif et financier de tous les services du Ministère.</w:t>
            </w:r>
          </w:p>
        </w:tc>
      </w:tr>
      <w:tr w:rsidR="001C2F95" w:rsidRPr="00982564" w14:paraId="2990E072" w14:textId="77777777" w:rsidTr="00971FD2">
        <w:trPr>
          <w:trHeight w:val="1545"/>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3F07012" w14:textId="77777777" w:rsidR="001C2F95" w:rsidRPr="00982564" w:rsidRDefault="001C2F95" w:rsidP="00971FD2">
            <w:pPr>
              <w:spacing w:line="240" w:lineRule="auto"/>
              <w:jc w:val="left"/>
              <w:rPr>
                <w:rFonts w:cs="Arial"/>
                <w:color w:val="000000"/>
                <w:sz w:val="22"/>
              </w:rPr>
            </w:pPr>
            <w:r w:rsidRPr="00982564">
              <w:rPr>
                <w:rFonts w:cs="Arial"/>
                <w:color w:val="000000"/>
                <w:sz w:val="22"/>
              </w:rPr>
              <w:t>Direction de l’Administration Générale des Projets (DAGP)</w:t>
            </w:r>
          </w:p>
        </w:tc>
        <w:tc>
          <w:tcPr>
            <w:tcW w:w="4820" w:type="dxa"/>
            <w:tcBorders>
              <w:top w:val="nil"/>
              <w:left w:val="nil"/>
              <w:bottom w:val="single" w:sz="4" w:space="0" w:color="auto"/>
              <w:right w:val="single" w:sz="4" w:space="0" w:color="auto"/>
            </w:tcBorders>
            <w:shd w:val="clear" w:color="auto" w:fill="auto"/>
            <w:vAlign w:val="center"/>
            <w:hideMark/>
          </w:tcPr>
          <w:p w14:paraId="7A08401F" w14:textId="77777777" w:rsidR="001C2F95" w:rsidRPr="00982564" w:rsidRDefault="001C2F95" w:rsidP="00971FD2">
            <w:pPr>
              <w:spacing w:line="240" w:lineRule="auto"/>
              <w:jc w:val="left"/>
              <w:rPr>
                <w:rFonts w:cs="Arial"/>
                <w:color w:val="000000"/>
                <w:sz w:val="22"/>
              </w:rPr>
            </w:pPr>
            <w:r w:rsidRPr="00982564">
              <w:rPr>
                <w:rFonts w:cs="Arial"/>
                <w:color w:val="000000"/>
                <w:sz w:val="22"/>
              </w:rPr>
              <w:t>Contribuer à l’exécution des activités de suivi et d’évaluation des programmes agricoles exécutés avec l’appui et l’encadrement de l’Etat notamment avec ses divisions suivi-évaluation des projets de production végétale et des projets production animale aquacole et pêche.</w:t>
            </w:r>
          </w:p>
        </w:tc>
      </w:tr>
      <w:tr w:rsidR="001C2F95" w:rsidRPr="00982564" w14:paraId="3162B157" w14:textId="77777777" w:rsidTr="00971FD2">
        <w:trPr>
          <w:trHeight w:val="85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5FF4091" w14:textId="77777777" w:rsidR="001C2F95" w:rsidRPr="00982564" w:rsidRDefault="001C2F95" w:rsidP="00971FD2">
            <w:pPr>
              <w:spacing w:line="240" w:lineRule="auto"/>
              <w:jc w:val="left"/>
              <w:rPr>
                <w:rFonts w:cs="Arial"/>
                <w:color w:val="000000"/>
                <w:sz w:val="22"/>
              </w:rPr>
            </w:pPr>
            <w:r w:rsidRPr="00982564">
              <w:rPr>
                <w:rFonts w:cs="Arial"/>
                <w:color w:val="000000"/>
                <w:sz w:val="22"/>
              </w:rPr>
              <w:t>Division Urbaine du genre de l’enfant et famille</w:t>
            </w:r>
          </w:p>
        </w:tc>
        <w:tc>
          <w:tcPr>
            <w:tcW w:w="4820" w:type="dxa"/>
            <w:tcBorders>
              <w:top w:val="nil"/>
              <w:left w:val="nil"/>
              <w:bottom w:val="single" w:sz="4" w:space="0" w:color="auto"/>
              <w:right w:val="single" w:sz="4" w:space="0" w:color="auto"/>
            </w:tcBorders>
            <w:shd w:val="clear" w:color="auto" w:fill="auto"/>
            <w:vAlign w:val="center"/>
            <w:hideMark/>
          </w:tcPr>
          <w:p w14:paraId="1C5CDBA3" w14:textId="77777777" w:rsidR="001C2F95" w:rsidRPr="00982564" w:rsidRDefault="001C2F95" w:rsidP="00971FD2">
            <w:pPr>
              <w:spacing w:line="240" w:lineRule="auto"/>
              <w:jc w:val="left"/>
              <w:rPr>
                <w:rFonts w:cs="Arial"/>
                <w:color w:val="000000"/>
                <w:sz w:val="22"/>
              </w:rPr>
            </w:pPr>
            <w:r w:rsidRPr="00982564">
              <w:rPr>
                <w:rFonts w:cs="Arial"/>
                <w:color w:val="000000"/>
                <w:sz w:val="22"/>
              </w:rPr>
              <w:t xml:space="preserve">Appuyer les activités de lutte contre les violences basées sur le genre en </w:t>
            </w:r>
            <w:r w:rsidR="00715CC9" w:rsidRPr="00982564">
              <w:rPr>
                <w:rFonts w:cs="Arial"/>
                <w:color w:val="000000"/>
                <w:sz w:val="22"/>
              </w:rPr>
              <w:t>tant</w:t>
            </w:r>
            <w:r w:rsidRPr="00982564">
              <w:rPr>
                <w:rFonts w:cs="Arial"/>
                <w:color w:val="000000"/>
                <w:sz w:val="22"/>
              </w:rPr>
              <w:t xml:space="preserve"> qu’organe technique du Ministère du Genre.</w:t>
            </w:r>
          </w:p>
        </w:tc>
      </w:tr>
    </w:tbl>
    <w:p w14:paraId="323A2821" w14:textId="77777777" w:rsidR="001C2F95" w:rsidRPr="00982564" w:rsidRDefault="001C2F95" w:rsidP="001C2F95">
      <w:pPr>
        <w:autoSpaceDE w:val="0"/>
        <w:autoSpaceDN w:val="0"/>
        <w:adjustRightInd w:val="0"/>
        <w:rPr>
          <w:rFonts w:eastAsia="Calibri" w:cs="Arial"/>
          <w:iCs/>
          <w:sz w:val="22"/>
        </w:rPr>
      </w:pPr>
    </w:p>
    <w:p w14:paraId="7C224570" w14:textId="77777777" w:rsidR="001C2F95" w:rsidRPr="00982564" w:rsidRDefault="001C2F95" w:rsidP="001C2F95">
      <w:pPr>
        <w:autoSpaceDE w:val="0"/>
        <w:autoSpaceDN w:val="0"/>
        <w:adjustRightInd w:val="0"/>
        <w:rPr>
          <w:rFonts w:eastAsia="Calibri" w:cs="Arial"/>
          <w:iCs/>
          <w:sz w:val="22"/>
        </w:rPr>
      </w:pPr>
      <w:r w:rsidRPr="00982564">
        <w:rPr>
          <w:rFonts w:eastAsia="Calibri" w:cs="Arial"/>
          <w:iCs/>
          <w:sz w:val="22"/>
        </w:rPr>
        <w:t>Il s’agit souvent de structures mises en place dans le cadre de projets, dont l’objectif initial est de renforcer certaines activités spécifiques des directions normatives, mais qui ont été érigées en Services nationaux au terme du financement extérieur dont elles étaient bénéficiaires. On distingue actuellement :</w:t>
      </w:r>
    </w:p>
    <w:p w14:paraId="49CED685" w14:textId="77777777" w:rsidR="001C2F95" w:rsidRPr="00982564" w:rsidRDefault="001C2F95" w:rsidP="001C2F95">
      <w:pPr>
        <w:autoSpaceDE w:val="0"/>
        <w:autoSpaceDN w:val="0"/>
        <w:adjustRightInd w:val="0"/>
        <w:rPr>
          <w:rFonts w:eastAsia="Calibri" w:cs="Arial"/>
          <w:iCs/>
          <w:sz w:val="22"/>
        </w:rPr>
      </w:pPr>
    </w:p>
    <w:p w14:paraId="1F087779" w14:textId="77777777" w:rsidR="001C2F95" w:rsidRPr="00982564" w:rsidRDefault="001C2F95" w:rsidP="002378EA">
      <w:pPr>
        <w:pStyle w:val="Paragraphedeliste"/>
        <w:numPr>
          <w:ilvl w:val="0"/>
          <w:numId w:val="36"/>
        </w:numPr>
        <w:autoSpaceDE w:val="0"/>
        <w:autoSpaceDN w:val="0"/>
        <w:adjustRightInd w:val="0"/>
        <w:rPr>
          <w:rFonts w:eastAsia="Calibri" w:cs="Arial"/>
          <w:iCs/>
          <w:sz w:val="22"/>
        </w:rPr>
      </w:pPr>
      <w:r w:rsidRPr="00982564">
        <w:rPr>
          <w:rFonts w:eastAsia="Calibri" w:cs="Arial"/>
          <w:iCs/>
          <w:sz w:val="22"/>
        </w:rPr>
        <w:t>Service National de Vulgarisation (SNV)</w:t>
      </w:r>
    </w:p>
    <w:p w14:paraId="22DC178E" w14:textId="77777777" w:rsidR="001C2F95" w:rsidRPr="00982564" w:rsidRDefault="001C2F95" w:rsidP="001C2F95">
      <w:pPr>
        <w:autoSpaceDE w:val="0"/>
        <w:autoSpaceDN w:val="0"/>
        <w:adjustRightInd w:val="0"/>
        <w:rPr>
          <w:rFonts w:eastAsia="Calibri" w:cs="Arial"/>
          <w:iCs/>
          <w:sz w:val="22"/>
        </w:rPr>
      </w:pPr>
    </w:p>
    <w:p w14:paraId="708057B5" w14:textId="77777777" w:rsidR="001C2F95" w:rsidRPr="00982564" w:rsidRDefault="001C2F95" w:rsidP="001C2F95">
      <w:pPr>
        <w:autoSpaceDE w:val="0"/>
        <w:autoSpaceDN w:val="0"/>
        <w:adjustRightInd w:val="0"/>
        <w:rPr>
          <w:rFonts w:eastAsia="Calibri" w:cs="Arial"/>
          <w:iCs/>
          <w:sz w:val="22"/>
        </w:rPr>
      </w:pPr>
      <w:r w:rsidRPr="00982564">
        <w:rPr>
          <w:rFonts w:eastAsia="Calibri" w:cs="Arial"/>
          <w:iCs/>
          <w:sz w:val="22"/>
        </w:rPr>
        <w:t>Il est régi par l’Arrêté ministériel n° 0045/BCE/DDR/89 du 06/6/89 du Département du Développement Rural portant création d’un Service National de Vulgarisation. Le SNV dispose dans chacune de ces 5 provinces concernées par le PNDA d’une Coordination provinciale comportant 4 cellules. Ses missions portent sur la coordination, l’harmonisation et l’appui aux actions de vulgarisation en milieu rural.</w:t>
      </w:r>
    </w:p>
    <w:p w14:paraId="06B1B2A5" w14:textId="77777777" w:rsidR="001C2F95" w:rsidRPr="00982564" w:rsidRDefault="001C2F95" w:rsidP="001C2F95">
      <w:pPr>
        <w:autoSpaceDE w:val="0"/>
        <w:autoSpaceDN w:val="0"/>
        <w:adjustRightInd w:val="0"/>
        <w:rPr>
          <w:rFonts w:eastAsia="Calibri" w:cs="Arial"/>
          <w:iCs/>
          <w:sz w:val="22"/>
        </w:rPr>
      </w:pPr>
    </w:p>
    <w:p w14:paraId="6A1F0907" w14:textId="77777777" w:rsidR="001C2F95" w:rsidRDefault="001C2F95" w:rsidP="001C2F95">
      <w:pPr>
        <w:autoSpaceDE w:val="0"/>
        <w:autoSpaceDN w:val="0"/>
        <w:adjustRightInd w:val="0"/>
        <w:rPr>
          <w:rFonts w:eastAsia="Calibri" w:cs="Arial"/>
          <w:iCs/>
          <w:sz w:val="22"/>
        </w:rPr>
      </w:pPr>
      <w:r w:rsidRPr="00982564">
        <w:rPr>
          <w:rFonts w:eastAsia="Calibri" w:cs="Arial"/>
          <w:iCs/>
          <w:sz w:val="22"/>
        </w:rPr>
        <w:t>Les activités du PNDA en ce qui concerne notamment les techniques agricoles, l’utilisation pertinente des engrais et des produits phytosanitaires nécessite un programme de vulgarisation efficace auquel peut participer le SNV.</w:t>
      </w:r>
    </w:p>
    <w:p w14:paraId="43AA4E60" w14:textId="77777777" w:rsidR="007A6C83" w:rsidRDefault="007A6C83" w:rsidP="001C2F95">
      <w:pPr>
        <w:autoSpaceDE w:val="0"/>
        <w:autoSpaceDN w:val="0"/>
        <w:adjustRightInd w:val="0"/>
        <w:rPr>
          <w:rFonts w:eastAsia="Calibri" w:cs="Arial"/>
          <w:iCs/>
          <w:sz w:val="22"/>
        </w:rPr>
      </w:pPr>
    </w:p>
    <w:p w14:paraId="778D83E0" w14:textId="77777777" w:rsidR="007A6C83" w:rsidRDefault="007A6C83" w:rsidP="001C2F95">
      <w:pPr>
        <w:autoSpaceDE w:val="0"/>
        <w:autoSpaceDN w:val="0"/>
        <w:adjustRightInd w:val="0"/>
        <w:rPr>
          <w:rFonts w:eastAsia="Calibri" w:cs="Arial"/>
          <w:iCs/>
          <w:sz w:val="22"/>
        </w:rPr>
      </w:pPr>
    </w:p>
    <w:p w14:paraId="0B0921C3" w14:textId="77777777" w:rsidR="007A6C83" w:rsidRDefault="007A6C83" w:rsidP="001C2F95">
      <w:pPr>
        <w:autoSpaceDE w:val="0"/>
        <w:autoSpaceDN w:val="0"/>
        <w:adjustRightInd w:val="0"/>
        <w:rPr>
          <w:rFonts w:eastAsia="Calibri" w:cs="Arial"/>
          <w:iCs/>
          <w:sz w:val="22"/>
        </w:rPr>
      </w:pPr>
    </w:p>
    <w:p w14:paraId="7860F334" w14:textId="77777777" w:rsidR="007A6C83" w:rsidRPr="00982564" w:rsidRDefault="007A6C83" w:rsidP="001C2F95">
      <w:pPr>
        <w:autoSpaceDE w:val="0"/>
        <w:autoSpaceDN w:val="0"/>
        <w:adjustRightInd w:val="0"/>
        <w:rPr>
          <w:rFonts w:eastAsia="Calibri" w:cs="Arial"/>
          <w:iCs/>
          <w:sz w:val="22"/>
        </w:rPr>
      </w:pPr>
    </w:p>
    <w:p w14:paraId="3A5F0907" w14:textId="77777777" w:rsidR="001C2F95" w:rsidRPr="00982564" w:rsidRDefault="001C2F95" w:rsidP="002378EA">
      <w:pPr>
        <w:pStyle w:val="Paragraphedeliste"/>
        <w:numPr>
          <w:ilvl w:val="0"/>
          <w:numId w:val="36"/>
        </w:numPr>
        <w:autoSpaceDE w:val="0"/>
        <w:autoSpaceDN w:val="0"/>
        <w:adjustRightInd w:val="0"/>
        <w:rPr>
          <w:rFonts w:eastAsia="Calibri" w:cs="Arial"/>
          <w:iCs/>
          <w:sz w:val="22"/>
        </w:rPr>
      </w:pPr>
      <w:r w:rsidRPr="00982564">
        <w:rPr>
          <w:rFonts w:eastAsia="Calibri" w:cs="Arial"/>
          <w:iCs/>
          <w:sz w:val="22"/>
        </w:rPr>
        <w:t>Service National des Semences (SENASEM)</w:t>
      </w:r>
    </w:p>
    <w:p w14:paraId="6AEA2430" w14:textId="77777777" w:rsidR="001C2F95" w:rsidRPr="00982564" w:rsidRDefault="001C2F95" w:rsidP="001C2F95">
      <w:pPr>
        <w:autoSpaceDE w:val="0"/>
        <w:autoSpaceDN w:val="0"/>
        <w:adjustRightInd w:val="0"/>
        <w:rPr>
          <w:rFonts w:eastAsia="Calibri" w:cs="Arial"/>
          <w:iCs/>
          <w:sz w:val="22"/>
        </w:rPr>
      </w:pPr>
    </w:p>
    <w:p w14:paraId="337B2CB1" w14:textId="77777777" w:rsidR="001C2F95" w:rsidRPr="00982564" w:rsidRDefault="001C2F95" w:rsidP="001C2F95">
      <w:pPr>
        <w:autoSpaceDE w:val="0"/>
        <w:autoSpaceDN w:val="0"/>
        <w:adjustRightInd w:val="0"/>
        <w:rPr>
          <w:rFonts w:eastAsia="Calibri" w:cs="Arial"/>
          <w:iCs/>
          <w:sz w:val="22"/>
        </w:rPr>
      </w:pPr>
      <w:r w:rsidRPr="00982564">
        <w:rPr>
          <w:rFonts w:eastAsia="Calibri" w:cs="Arial"/>
          <w:iCs/>
          <w:sz w:val="22"/>
        </w:rPr>
        <w:t>Il est régi par l’arrêté ministériel n° 30/CAB/MIN/AGRIDAL/1995 du 29 juin 1995 portant restructuration du Service National des Semences « SENASEM » qui fait suite à l’arrêté départemental n° 003 portant Création et organisation d’un Service National des Semences. Le SENASEM dispose dans chacune des 11 provinces (suivant l’ancien découpage) d’une Coordination provinciale comportant 3 cellules. Ses missions portent sur l’appui à la production des semences, le contrôle et la certification</w:t>
      </w:r>
    </w:p>
    <w:p w14:paraId="176E4178" w14:textId="77777777" w:rsidR="001C2F95" w:rsidRPr="00982564" w:rsidRDefault="001C2F95" w:rsidP="001C2F95">
      <w:pPr>
        <w:autoSpaceDE w:val="0"/>
        <w:autoSpaceDN w:val="0"/>
        <w:adjustRightInd w:val="0"/>
        <w:rPr>
          <w:rFonts w:eastAsia="Calibri" w:cs="Arial"/>
          <w:iCs/>
          <w:sz w:val="22"/>
        </w:rPr>
      </w:pPr>
    </w:p>
    <w:p w14:paraId="7BD250C9" w14:textId="77777777" w:rsidR="001C2F95" w:rsidRPr="00982564" w:rsidRDefault="001C2F95" w:rsidP="001C2F95">
      <w:pPr>
        <w:autoSpaceDE w:val="0"/>
        <w:autoSpaceDN w:val="0"/>
        <w:adjustRightInd w:val="0"/>
        <w:rPr>
          <w:rFonts w:eastAsia="Calibri" w:cs="Arial"/>
          <w:iCs/>
          <w:sz w:val="22"/>
        </w:rPr>
      </w:pPr>
      <w:r w:rsidRPr="00982564">
        <w:rPr>
          <w:rFonts w:eastAsia="Calibri" w:cs="Arial"/>
          <w:iCs/>
          <w:sz w:val="22"/>
        </w:rPr>
        <w:t>Le PNDA prévoit la promotion des semences améliorées au niveau des Organisation des Professionnels Agricoles (OPA) de l’aire du projet et interpelle les compétences du SENASEM.</w:t>
      </w:r>
    </w:p>
    <w:p w14:paraId="4E723810" w14:textId="77777777" w:rsidR="001C2F95" w:rsidRPr="00982564" w:rsidRDefault="001C2F95" w:rsidP="001C2F95">
      <w:pPr>
        <w:autoSpaceDE w:val="0"/>
        <w:autoSpaceDN w:val="0"/>
        <w:adjustRightInd w:val="0"/>
        <w:rPr>
          <w:rFonts w:eastAsia="Calibri" w:cs="Arial"/>
          <w:iCs/>
          <w:sz w:val="22"/>
        </w:rPr>
      </w:pPr>
    </w:p>
    <w:p w14:paraId="0EDDA032" w14:textId="77777777" w:rsidR="001C2F95" w:rsidRPr="00982564" w:rsidRDefault="001C2F95" w:rsidP="002378EA">
      <w:pPr>
        <w:pStyle w:val="Paragraphedeliste"/>
        <w:numPr>
          <w:ilvl w:val="0"/>
          <w:numId w:val="36"/>
        </w:numPr>
        <w:autoSpaceDE w:val="0"/>
        <w:autoSpaceDN w:val="0"/>
        <w:adjustRightInd w:val="0"/>
        <w:rPr>
          <w:rFonts w:eastAsia="Calibri" w:cs="Arial"/>
          <w:iCs/>
          <w:sz w:val="22"/>
        </w:rPr>
      </w:pPr>
      <w:r w:rsidRPr="00982564">
        <w:rPr>
          <w:rFonts w:eastAsia="Calibri" w:cs="Arial"/>
          <w:iCs/>
          <w:sz w:val="22"/>
        </w:rPr>
        <w:t>Service National des Fertilisants et Intrants Connexes (SENAFIC)</w:t>
      </w:r>
    </w:p>
    <w:p w14:paraId="67576498" w14:textId="77777777" w:rsidR="001C2F95" w:rsidRPr="00982564" w:rsidRDefault="001C2F95" w:rsidP="001C2F95">
      <w:pPr>
        <w:autoSpaceDE w:val="0"/>
        <w:autoSpaceDN w:val="0"/>
        <w:adjustRightInd w:val="0"/>
        <w:rPr>
          <w:rFonts w:eastAsia="Calibri" w:cs="Arial"/>
          <w:iCs/>
          <w:sz w:val="22"/>
        </w:rPr>
      </w:pPr>
    </w:p>
    <w:p w14:paraId="1EBB1188" w14:textId="77777777" w:rsidR="001C2F95" w:rsidRPr="00982564" w:rsidRDefault="001C2F95" w:rsidP="001C2F95">
      <w:pPr>
        <w:autoSpaceDE w:val="0"/>
        <w:autoSpaceDN w:val="0"/>
        <w:adjustRightInd w:val="0"/>
        <w:rPr>
          <w:rFonts w:eastAsia="Calibri" w:cs="Arial"/>
          <w:iCs/>
          <w:sz w:val="22"/>
        </w:rPr>
      </w:pPr>
      <w:r w:rsidRPr="00982564">
        <w:rPr>
          <w:rFonts w:eastAsia="Calibri" w:cs="Arial"/>
          <w:iCs/>
          <w:sz w:val="22"/>
        </w:rPr>
        <w:t>Il est régi par l’arrêté départemental n°001/BCE/AGRI/90 du 13 janvier 1990. Ses missions portent sur :</w:t>
      </w:r>
    </w:p>
    <w:p w14:paraId="099C60FB" w14:textId="77777777" w:rsidR="001C2F95" w:rsidRPr="00982564" w:rsidRDefault="001C2F95" w:rsidP="001C2F95">
      <w:pPr>
        <w:autoSpaceDE w:val="0"/>
        <w:autoSpaceDN w:val="0"/>
        <w:adjustRightInd w:val="0"/>
        <w:rPr>
          <w:rFonts w:eastAsia="Calibri" w:cs="Arial"/>
          <w:iCs/>
          <w:sz w:val="22"/>
        </w:rPr>
      </w:pPr>
    </w:p>
    <w:p w14:paraId="4F41371A" w14:textId="77777777" w:rsidR="001C2F95" w:rsidRPr="00982564" w:rsidRDefault="001C2F95" w:rsidP="002378EA">
      <w:pPr>
        <w:pStyle w:val="Paragraphedeliste"/>
        <w:numPr>
          <w:ilvl w:val="0"/>
          <w:numId w:val="36"/>
        </w:numPr>
        <w:autoSpaceDE w:val="0"/>
        <w:autoSpaceDN w:val="0"/>
        <w:adjustRightInd w:val="0"/>
        <w:rPr>
          <w:rFonts w:eastAsia="Calibri" w:cs="Arial"/>
          <w:iCs/>
          <w:sz w:val="22"/>
        </w:rPr>
      </w:pPr>
      <w:r w:rsidRPr="00982564">
        <w:rPr>
          <w:rFonts w:eastAsia="Calibri" w:cs="Arial"/>
          <w:iCs/>
          <w:sz w:val="22"/>
        </w:rPr>
        <w:t>la proposition de la politique nationale en matière de fertilité des sols ;</w:t>
      </w:r>
    </w:p>
    <w:p w14:paraId="13EBC9F3" w14:textId="77777777" w:rsidR="001C2F95" w:rsidRPr="00982564" w:rsidRDefault="001C2F95" w:rsidP="002378EA">
      <w:pPr>
        <w:pStyle w:val="Paragraphedeliste"/>
        <w:numPr>
          <w:ilvl w:val="0"/>
          <w:numId w:val="36"/>
        </w:numPr>
        <w:autoSpaceDE w:val="0"/>
        <w:autoSpaceDN w:val="0"/>
        <w:adjustRightInd w:val="0"/>
        <w:rPr>
          <w:rFonts w:eastAsia="Calibri" w:cs="Arial"/>
          <w:iCs/>
          <w:sz w:val="22"/>
        </w:rPr>
      </w:pPr>
      <w:r w:rsidRPr="00982564">
        <w:rPr>
          <w:rFonts w:eastAsia="Calibri" w:cs="Arial"/>
          <w:iCs/>
          <w:sz w:val="22"/>
        </w:rPr>
        <w:t>la gestion et la distribution des fertilisants et intrants connexes (engrais, inoculums, pesticides et matériels agricoles) ;</w:t>
      </w:r>
    </w:p>
    <w:p w14:paraId="57AF1929" w14:textId="77777777" w:rsidR="001C2F95" w:rsidRPr="00982564" w:rsidRDefault="001C2F95" w:rsidP="002378EA">
      <w:pPr>
        <w:pStyle w:val="Paragraphedeliste"/>
        <w:numPr>
          <w:ilvl w:val="0"/>
          <w:numId w:val="36"/>
        </w:numPr>
        <w:autoSpaceDE w:val="0"/>
        <w:autoSpaceDN w:val="0"/>
        <w:adjustRightInd w:val="0"/>
        <w:rPr>
          <w:rFonts w:eastAsia="Calibri" w:cs="Arial"/>
          <w:iCs/>
          <w:sz w:val="22"/>
        </w:rPr>
      </w:pPr>
      <w:r w:rsidRPr="00982564">
        <w:rPr>
          <w:rFonts w:eastAsia="Calibri" w:cs="Arial"/>
          <w:iCs/>
          <w:sz w:val="22"/>
        </w:rPr>
        <w:t>l’introduction et la vulgarisation des fertilisants et intrants connexes ;</w:t>
      </w:r>
    </w:p>
    <w:p w14:paraId="73652856" w14:textId="77777777" w:rsidR="001C2F95" w:rsidRPr="00982564" w:rsidRDefault="001C2F95" w:rsidP="002378EA">
      <w:pPr>
        <w:pStyle w:val="Paragraphedeliste"/>
        <w:numPr>
          <w:ilvl w:val="0"/>
          <w:numId w:val="36"/>
        </w:numPr>
        <w:autoSpaceDE w:val="0"/>
        <w:autoSpaceDN w:val="0"/>
        <w:adjustRightInd w:val="0"/>
        <w:rPr>
          <w:rFonts w:eastAsia="Calibri" w:cs="Arial"/>
          <w:iCs/>
          <w:sz w:val="22"/>
        </w:rPr>
      </w:pPr>
      <w:r w:rsidRPr="00982564">
        <w:rPr>
          <w:rFonts w:eastAsia="Calibri" w:cs="Arial"/>
          <w:iCs/>
          <w:sz w:val="22"/>
        </w:rPr>
        <w:t>la formation du personnel technique spécialisé dans la fertilité des sols, la nutrition des plantes et la vulgarisation des fertilisants ;</w:t>
      </w:r>
    </w:p>
    <w:p w14:paraId="0AC96168" w14:textId="77777777" w:rsidR="001C2F95" w:rsidRPr="00982564" w:rsidRDefault="001C2F95" w:rsidP="002378EA">
      <w:pPr>
        <w:pStyle w:val="Paragraphedeliste"/>
        <w:numPr>
          <w:ilvl w:val="0"/>
          <w:numId w:val="36"/>
        </w:numPr>
        <w:autoSpaceDE w:val="0"/>
        <w:autoSpaceDN w:val="0"/>
        <w:adjustRightInd w:val="0"/>
        <w:rPr>
          <w:rFonts w:eastAsia="Calibri" w:cs="Arial"/>
          <w:iCs/>
          <w:sz w:val="22"/>
        </w:rPr>
      </w:pPr>
      <w:r w:rsidRPr="00982564">
        <w:rPr>
          <w:rFonts w:eastAsia="Calibri" w:cs="Arial"/>
          <w:iCs/>
          <w:sz w:val="22"/>
        </w:rPr>
        <w:t>l’élaboration et la proposition de la législation relative aux fertilisants, aux pesticides et le suivi du respect de ces normes.</w:t>
      </w:r>
    </w:p>
    <w:p w14:paraId="6AAA977D" w14:textId="77777777" w:rsidR="001C2F95" w:rsidRPr="00982564" w:rsidRDefault="001C2F95" w:rsidP="001C2F95">
      <w:pPr>
        <w:autoSpaceDE w:val="0"/>
        <w:autoSpaceDN w:val="0"/>
        <w:adjustRightInd w:val="0"/>
        <w:rPr>
          <w:rFonts w:eastAsia="Calibri" w:cs="Arial"/>
          <w:iCs/>
          <w:sz w:val="22"/>
        </w:rPr>
      </w:pPr>
    </w:p>
    <w:p w14:paraId="2D8285E8" w14:textId="77777777" w:rsidR="001C2F95" w:rsidRPr="00982564" w:rsidRDefault="001C2F95" w:rsidP="001C2F95">
      <w:pPr>
        <w:autoSpaceDE w:val="0"/>
        <w:autoSpaceDN w:val="0"/>
        <w:adjustRightInd w:val="0"/>
        <w:rPr>
          <w:rFonts w:eastAsia="Calibri" w:cs="Arial"/>
          <w:iCs/>
          <w:sz w:val="22"/>
        </w:rPr>
      </w:pPr>
      <w:r w:rsidRPr="00982564">
        <w:rPr>
          <w:rFonts w:eastAsia="Calibri" w:cs="Arial"/>
          <w:iCs/>
          <w:sz w:val="22"/>
        </w:rPr>
        <w:t>Dans le cadre de l’acquisition, la distribution et l’utilisation des pesticides dans le cadre du PNDA, le SENAFIC est un acteur à impliquer.</w:t>
      </w:r>
    </w:p>
    <w:p w14:paraId="0357D38D" w14:textId="77777777" w:rsidR="001C2F95" w:rsidRPr="00982564" w:rsidRDefault="001C2F95" w:rsidP="001C2F95">
      <w:pPr>
        <w:rPr>
          <w:rFonts w:cs="Arial"/>
          <w:spacing w:val="-5"/>
          <w:sz w:val="22"/>
        </w:rPr>
      </w:pPr>
    </w:p>
    <w:p w14:paraId="5B5B7986" w14:textId="77777777" w:rsidR="001C2F95" w:rsidRPr="00982564" w:rsidRDefault="001C2F95" w:rsidP="001C2F95">
      <w:pPr>
        <w:pStyle w:val="Titre2"/>
        <w:numPr>
          <w:ilvl w:val="2"/>
          <w:numId w:val="4"/>
        </w:numPr>
        <w:rPr>
          <w:rFonts w:cs="Arial"/>
          <w:i/>
          <w:sz w:val="22"/>
          <w:szCs w:val="22"/>
        </w:rPr>
      </w:pPr>
      <w:bookmarkStart w:id="257" w:name="_Toc44626816"/>
      <w:bookmarkStart w:id="258" w:name="_Toc70330363"/>
      <w:r w:rsidRPr="00982564">
        <w:rPr>
          <w:rFonts w:cs="Arial"/>
          <w:i/>
          <w:sz w:val="22"/>
          <w:szCs w:val="22"/>
        </w:rPr>
        <w:t>Ministère de la Pêche et Élevage</w:t>
      </w:r>
      <w:bookmarkEnd w:id="257"/>
      <w:bookmarkEnd w:id="258"/>
    </w:p>
    <w:p w14:paraId="5F51F773" w14:textId="77777777" w:rsidR="001C2F95" w:rsidRPr="00982564" w:rsidRDefault="001C2F95" w:rsidP="001C2F95">
      <w:pPr>
        <w:rPr>
          <w:rFonts w:cs="Arial"/>
          <w:spacing w:val="-5"/>
          <w:sz w:val="22"/>
        </w:rPr>
      </w:pPr>
    </w:p>
    <w:p w14:paraId="668ED496" w14:textId="77777777" w:rsidR="001C2F95" w:rsidRPr="00982564" w:rsidRDefault="001C2F95" w:rsidP="001C2F95">
      <w:pPr>
        <w:rPr>
          <w:rFonts w:cs="Arial"/>
          <w:spacing w:val="-5"/>
          <w:sz w:val="22"/>
        </w:rPr>
      </w:pPr>
      <w:r w:rsidRPr="00982564">
        <w:rPr>
          <w:rFonts w:cs="Arial"/>
          <w:spacing w:val="-5"/>
          <w:sz w:val="22"/>
        </w:rPr>
        <w:t>Le Ministère de la Pêche et Élevage a pour attribution :</w:t>
      </w:r>
    </w:p>
    <w:p w14:paraId="107E6838" w14:textId="77777777" w:rsidR="001C2F95" w:rsidRPr="00982564" w:rsidRDefault="001C2F95" w:rsidP="001C2F95">
      <w:pPr>
        <w:rPr>
          <w:rFonts w:cs="Arial"/>
          <w:spacing w:val="-5"/>
          <w:sz w:val="22"/>
        </w:rPr>
      </w:pPr>
    </w:p>
    <w:p w14:paraId="5C70EB22" w14:textId="77777777" w:rsidR="001C2F95" w:rsidRPr="00982564" w:rsidRDefault="001C2F95" w:rsidP="002378EA">
      <w:pPr>
        <w:pStyle w:val="Paragraphedeliste"/>
        <w:numPr>
          <w:ilvl w:val="1"/>
          <w:numId w:val="22"/>
        </w:numPr>
        <w:rPr>
          <w:rFonts w:cs="Arial"/>
          <w:spacing w:val="-5"/>
          <w:sz w:val="22"/>
        </w:rPr>
      </w:pPr>
      <w:r w:rsidRPr="00982564">
        <w:rPr>
          <w:rFonts w:cs="Arial"/>
          <w:spacing w:val="-5"/>
          <w:sz w:val="22"/>
        </w:rPr>
        <w:t>Production animale et halieutique et autosuffisance alimentaire ;</w:t>
      </w:r>
    </w:p>
    <w:p w14:paraId="72F9596E" w14:textId="77777777" w:rsidR="001C2F95" w:rsidRPr="00982564" w:rsidRDefault="001C2F95" w:rsidP="002378EA">
      <w:pPr>
        <w:pStyle w:val="Paragraphedeliste"/>
        <w:numPr>
          <w:ilvl w:val="1"/>
          <w:numId w:val="22"/>
        </w:numPr>
        <w:rPr>
          <w:rFonts w:cs="Arial"/>
          <w:spacing w:val="-5"/>
          <w:sz w:val="22"/>
        </w:rPr>
      </w:pPr>
      <w:r w:rsidRPr="00982564">
        <w:rPr>
          <w:rFonts w:cs="Arial"/>
          <w:spacing w:val="-5"/>
          <w:sz w:val="22"/>
        </w:rPr>
        <w:t>Planification des objectifs nationaux de production dans les domaines de la pêche, de l’aquaculture, de la pisciculture et de l’élevage ;</w:t>
      </w:r>
    </w:p>
    <w:p w14:paraId="62E8C83F" w14:textId="77777777" w:rsidR="001C2F95" w:rsidRPr="00982564" w:rsidRDefault="001C2F95" w:rsidP="002378EA">
      <w:pPr>
        <w:pStyle w:val="Paragraphedeliste"/>
        <w:numPr>
          <w:ilvl w:val="1"/>
          <w:numId w:val="22"/>
        </w:numPr>
        <w:rPr>
          <w:rFonts w:cs="Arial"/>
          <w:spacing w:val="-5"/>
          <w:sz w:val="22"/>
        </w:rPr>
      </w:pPr>
      <w:r w:rsidRPr="00982564">
        <w:rPr>
          <w:rFonts w:cs="Arial"/>
          <w:spacing w:val="-5"/>
          <w:sz w:val="22"/>
        </w:rPr>
        <w:t>Agrément et contrôle des dispensaires, cliniques, laboratoire et pharmacie vétérinaires ;</w:t>
      </w:r>
    </w:p>
    <w:p w14:paraId="1756F952" w14:textId="77777777" w:rsidR="001C2F95" w:rsidRPr="00982564" w:rsidRDefault="001C2F95" w:rsidP="002378EA">
      <w:pPr>
        <w:pStyle w:val="Paragraphedeliste"/>
        <w:numPr>
          <w:ilvl w:val="1"/>
          <w:numId w:val="22"/>
        </w:numPr>
        <w:rPr>
          <w:rFonts w:cs="Arial"/>
          <w:spacing w:val="-5"/>
          <w:sz w:val="22"/>
        </w:rPr>
      </w:pPr>
      <w:r w:rsidRPr="00982564">
        <w:rPr>
          <w:rFonts w:cs="Arial"/>
          <w:spacing w:val="-5"/>
          <w:sz w:val="22"/>
        </w:rPr>
        <w:t>Promotion et encadrement des paysans, éleveurs, pêcheurs, associations et coopératives avicoles, piscicoles, aquacoles et pastorales ;</w:t>
      </w:r>
    </w:p>
    <w:p w14:paraId="7EA78FDC" w14:textId="77777777" w:rsidR="001C2F95" w:rsidRPr="00982564" w:rsidRDefault="001C2F95" w:rsidP="002378EA">
      <w:pPr>
        <w:pStyle w:val="Paragraphedeliste"/>
        <w:numPr>
          <w:ilvl w:val="1"/>
          <w:numId w:val="22"/>
        </w:numPr>
        <w:rPr>
          <w:rFonts w:cs="Arial"/>
          <w:spacing w:val="-5"/>
          <w:sz w:val="22"/>
        </w:rPr>
      </w:pPr>
      <w:r w:rsidRPr="00982564">
        <w:rPr>
          <w:rFonts w:cs="Arial"/>
          <w:spacing w:val="-5"/>
          <w:sz w:val="22"/>
        </w:rPr>
        <w:t>Conception, exécution, suivi et évaluation des programmes avicole, piscicole, aquacole et pastorale ;</w:t>
      </w:r>
    </w:p>
    <w:p w14:paraId="7D46D94A" w14:textId="77777777" w:rsidR="001C2F95" w:rsidRPr="00982564" w:rsidRDefault="001C2F95" w:rsidP="002378EA">
      <w:pPr>
        <w:pStyle w:val="Paragraphedeliste"/>
        <w:numPr>
          <w:ilvl w:val="1"/>
          <w:numId w:val="22"/>
        </w:numPr>
        <w:rPr>
          <w:rFonts w:cs="Arial"/>
          <w:spacing w:val="-5"/>
          <w:sz w:val="22"/>
        </w:rPr>
      </w:pPr>
      <w:r w:rsidRPr="00982564">
        <w:rPr>
          <w:rFonts w:cs="Arial"/>
          <w:spacing w:val="-5"/>
          <w:sz w:val="22"/>
        </w:rPr>
        <w:t>Promotion des produits de la pêche et de l’élevage destinés à l’alimentation intérieure, à l’industrie nationale et à l’exportation ;</w:t>
      </w:r>
    </w:p>
    <w:p w14:paraId="220ADB27" w14:textId="77777777" w:rsidR="001C2F95" w:rsidRPr="00982564" w:rsidRDefault="001C2F95" w:rsidP="002378EA">
      <w:pPr>
        <w:pStyle w:val="Paragraphedeliste"/>
        <w:numPr>
          <w:ilvl w:val="1"/>
          <w:numId w:val="22"/>
        </w:numPr>
        <w:rPr>
          <w:rFonts w:cs="Arial"/>
          <w:spacing w:val="-5"/>
          <w:sz w:val="22"/>
        </w:rPr>
      </w:pPr>
      <w:r w:rsidRPr="00982564">
        <w:rPr>
          <w:rFonts w:cs="Arial"/>
          <w:spacing w:val="-5"/>
          <w:sz w:val="22"/>
        </w:rPr>
        <w:t>Surveillance zoo-sanitaire et gestion de la quarantaine animale et halieutique et mise à jour permanente des mesures réglementaires y relatives ;</w:t>
      </w:r>
    </w:p>
    <w:p w14:paraId="158636F8" w14:textId="77777777" w:rsidR="001C2F95" w:rsidRPr="00982564" w:rsidRDefault="001C2F95" w:rsidP="002378EA">
      <w:pPr>
        <w:pStyle w:val="Paragraphedeliste"/>
        <w:numPr>
          <w:ilvl w:val="1"/>
          <w:numId w:val="22"/>
        </w:numPr>
        <w:rPr>
          <w:rFonts w:cs="Arial"/>
          <w:spacing w:val="-5"/>
          <w:sz w:val="22"/>
        </w:rPr>
      </w:pPr>
      <w:r w:rsidRPr="00982564">
        <w:rPr>
          <w:rFonts w:cs="Arial"/>
          <w:spacing w:val="-5"/>
          <w:sz w:val="22"/>
        </w:rPr>
        <w:t>Orientation et appui des opérations économiques intéressés à investir dans les secteurs de la pêche et de l’élevage vers les sites à hautes potentialités de production, de manière à minimiser les couts d’exploitation ;</w:t>
      </w:r>
    </w:p>
    <w:p w14:paraId="58F78CBA" w14:textId="77777777" w:rsidR="001C2F95" w:rsidRPr="00982564" w:rsidRDefault="001C2F95" w:rsidP="002378EA">
      <w:pPr>
        <w:pStyle w:val="Paragraphedeliste"/>
        <w:numPr>
          <w:ilvl w:val="1"/>
          <w:numId w:val="22"/>
        </w:numPr>
        <w:rPr>
          <w:rFonts w:cs="Arial"/>
          <w:spacing w:val="-5"/>
          <w:sz w:val="22"/>
        </w:rPr>
      </w:pPr>
      <w:r w:rsidRPr="00982564">
        <w:rPr>
          <w:rFonts w:cs="Arial"/>
          <w:spacing w:val="-5"/>
          <w:sz w:val="22"/>
        </w:rPr>
        <w:t>Collecte, analyse et publication des données statistiques de pêche et d’élevage, sous forme d’annuaire ;</w:t>
      </w:r>
    </w:p>
    <w:p w14:paraId="2BDEA419" w14:textId="77777777" w:rsidR="001C2F95" w:rsidRPr="00982564" w:rsidRDefault="001C2F95" w:rsidP="002378EA">
      <w:pPr>
        <w:pStyle w:val="Paragraphedeliste"/>
        <w:numPr>
          <w:ilvl w:val="1"/>
          <w:numId w:val="22"/>
        </w:numPr>
        <w:rPr>
          <w:rFonts w:cs="Arial"/>
          <w:spacing w:val="-5"/>
          <w:sz w:val="22"/>
        </w:rPr>
      </w:pPr>
      <w:r w:rsidRPr="00982564">
        <w:rPr>
          <w:rFonts w:cs="Arial"/>
          <w:spacing w:val="-5"/>
          <w:sz w:val="22"/>
        </w:rPr>
        <w:t>Réglementation de la pêche en collaboration avec le Ministère ayant l’environnement dans ses attributions.</w:t>
      </w:r>
    </w:p>
    <w:p w14:paraId="174A1579" w14:textId="77777777" w:rsidR="001C2F95" w:rsidRPr="00982564" w:rsidRDefault="001C2F95" w:rsidP="001C2F95">
      <w:pPr>
        <w:pStyle w:val="Titre1"/>
        <w:rPr>
          <w:rFonts w:cs="Arial"/>
          <w:b w:val="0"/>
          <w:sz w:val="22"/>
          <w:szCs w:val="22"/>
          <w:u w:val="single"/>
        </w:rPr>
      </w:pPr>
      <w:bookmarkStart w:id="259" w:name="_Toc62814571"/>
    </w:p>
    <w:p w14:paraId="102673E3" w14:textId="77777777" w:rsidR="001C2F95" w:rsidRPr="00982564" w:rsidRDefault="001C2F95" w:rsidP="001C2F95">
      <w:pPr>
        <w:pStyle w:val="Titre1"/>
        <w:rPr>
          <w:rFonts w:cs="Arial"/>
          <w:b w:val="0"/>
          <w:i/>
          <w:sz w:val="22"/>
          <w:szCs w:val="22"/>
        </w:rPr>
      </w:pPr>
      <w:bookmarkStart w:id="260" w:name="_Toc64026134"/>
      <w:bookmarkStart w:id="261" w:name="_Toc70327001"/>
      <w:bookmarkStart w:id="262" w:name="_Toc70330364"/>
      <w:r w:rsidRPr="00982564">
        <w:rPr>
          <w:rFonts w:cs="Arial"/>
          <w:b w:val="0"/>
          <w:i/>
          <w:sz w:val="22"/>
          <w:szCs w:val="22"/>
        </w:rPr>
        <w:t>Direction de la Production et Santé Animale</w:t>
      </w:r>
      <w:bookmarkEnd w:id="259"/>
      <w:r w:rsidRPr="00982564">
        <w:rPr>
          <w:rFonts w:cs="Arial"/>
          <w:b w:val="0"/>
          <w:i/>
          <w:sz w:val="22"/>
          <w:szCs w:val="22"/>
        </w:rPr>
        <w:t xml:space="preserve"> </w:t>
      </w:r>
      <w:r w:rsidRPr="00982564">
        <w:rPr>
          <w:rFonts w:cs="Arial"/>
          <w:b w:val="0"/>
          <w:i/>
          <w:color w:val="000000"/>
          <w:sz w:val="22"/>
          <w:szCs w:val="22"/>
        </w:rPr>
        <w:t>(</w:t>
      </w:r>
      <w:r w:rsidRPr="00982564">
        <w:rPr>
          <w:rFonts w:cs="Arial"/>
          <w:b w:val="0"/>
          <w:i/>
          <w:sz w:val="22"/>
          <w:szCs w:val="22"/>
        </w:rPr>
        <w:t>DPSA)</w:t>
      </w:r>
      <w:bookmarkEnd w:id="260"/>
      <w:bookmarkEnd w:id="261"/>
      <w:bookmarkEnd w:id="262"/>
    </w:p>
    <w:p w14:paraId="2E389665" w14:textId="77777777" w:rsidR="001C2F95" w:rsidRPr="00982564" w:rsidRDefault="001C2F95" w:rsidP="001C2F95">
      <w:pPr>
        <w:rPr>
          <w:rFonts w:cs="Arial"/>
          <w:sz w:val="22"/>
        </w:rPr>
      </w:pPr>
      <w:r w:rsidRPr="00982564">
        <w:rPr>
          <w:rFonts w:cs="Arial"/>
          <w:sz w:val="22"/>
        </w:rPr>
        <w:t xml:space="preserve"> </w:t>
      </w:r>
    </w:p>
    <w:p w14:paraId="4BEE6CBE" w14:textId="77777777" w:rsidR="001C2F95" w:rsidRPr="00982564" w:rsidRDefault="001C2F95" w:rsidP="001C2F95">
      <w:pPr>
        <w:rPr>
          <w:rFonts w:cs="Arial"/>
          <w:sz w:val="22"/>
        </w:rPr>
      </w:pPr>
      <w:r w:rsidRPr="00982564">
        <w:rPr>
          <w:rFonts w:cs="Arial"/>
          <w:sz w:val="22"/>
        </w:rPr>
        <w:t xml:space="preserve">La </w:t>
      </w:r>
      <w:r w:rsidRPr="00982564">
        <w:rPr>
          <w:rFonts w:cs="Arial"/>
          <w:color w:val="000000"/>
          <w:sz w:val="22"/>
        </w:rPr>
        <w:t xml:space="preserve">Direction de la Production et Santé Animale </w:t>
      </w:r>
      <w:r w:rsidRPr="00982564">
        <w:rPr>
          <w:rFonts w:cs="Arial"/>
          <w:sz w:val="22"/>
        </w:rPr>
        <w:t>est une Direction normative. Sa mission consiste à</w:t>
      </w:r>
      <w:r w:rsidRPr="00982564">
        <w:rPr>
          <w:rFonts w:cs="Arial"/>
          <w:i/>
          <w:sz w:val="22"/>
        </w:rPr>
        <w:t xml:space="preserve"> (i)</w:t>
      </w:r>
      <w:r w:rsidRPr="00982564">
        <w:rPr>
          <w:rFonts w:cs="Arial"/>
          <w:sz w:val="22"/>
        </w:rPr>
        <w:t xml:space="preserve"> contribuer à la conception et à l’élaboration de la politique nationale en matière d’élevage (production et santé animale) et en suivre l’exécution et </w:t>
      </w:r>
      <w:r w:rsidRPr="00982564">
        <w:rPr>
          <w:rFonts w:cs="Arial"/>
          <w:i/>
          <w:sz w:val="22"/>
        </w:rPr>
        <w:t>(ii)</w:t>
      </w:r>
      <w:r w:rsidRPr="00982564">
        <w:rPr>
          <w:rFonts w:cs="Arial"/>
          <w:sz w:val="22"/>
        </w:rPr>
        <w:t xml:space="preserve"> assurer l’encadrement de la production animale. Elle a en son sein une Division qui s’occupe de la Santé et de l’Hygiène animale. </w:t>
      </w:r>
    </w:p>
    <w:p w14:paraId="14CE9CE1" w14:textId="77777777" w:rsidR="001C2F95" w:rsidRPr="00982564" w:rsidRDefault="001C2F95" w:rsidP="001C2F95">
      <w:pPr>
        <w:rPr>
          <w:rFonts w:cs="Arial"/>
          <w:spacing w:val="-5"/>
          <w:sz w:val="22"/>
        </w:rPr>
      </w:pPr>
    </w:p>
    <w:p w14:paraId="55650DC6" w14:textId="77777777" w:rsidR="001C2F95" w:rsidRPr="00EF43F1" w:rsidRDefault="001C2F95" w:rsidP="001C2F95">
      <w:pPr>
        <w:autoSpaceDE w:val="0"/>
        <w:autoSpaceDN w:val="0"/>
        <w:adjustRightInd w:val="0"/>
        <w:jc w:val="left"/>
        <w:rPr>
          <w:rFonts w:cs="Arial"/>
          <w:bCs/>
          <w:i/>
          <w:sz w:val="22"/>
        </w:rPr>
      </w:pPr>
      <w:r w:rsidRPr="00EF43F1">
        <w:rPr>
          <w:rFonts w:cs="Arial"/>
          <w:bCs/>
          <w:i/>
          <w:sz w:val="22"/>
        </w:rPr>
        <w:t>Service National de Promotion et de Développement de la Pêche (SENADEP)</w:t>
      </w:r>
    </w:p>
    <w:p w14:paraId="20CE3AF3" w14:textId="77777777" w:rsidR="001C2F95" w:rsidRPr="00982564" w:rsidRDefault="001C2F95" w:rsidP="001C2F95">
      <w:pPr>
        <w:autoSpaceDE w:val="0"/>
        <w:autoSpaceDN w:val="0"/>
        <w:adjustRightInd w:val="0"/>
        <w:rPr>
          <w:rFonts w:eastAsia="Calibri" w:cs="Arial"/>
          <w:iCs/>
          <w:sz w:val="22"/>
        </w:rPr>
      </w:pPr>
    </w:p>
    <w:p w14:paraId="22B843D6" w14:textId="77777777" w:rsidR="001C2F95" w:rsidRPr="00982564" w:rsidRDefault="001C2F95" w:rsidP="001C2F95">
      <w:pPr>
        <w:autoSpaceDE w:val="0"/>
        <w:autoSpaceDN w:val="0"/>
        <w:adjustRightInd w:val="0"/>
        <w:rPr>
          <w:rFonts w:eastAsia="Calibri" w:cs="Arial"/>
          <w:iCs/>
          <w:sz w:val="22"/>
        </w:rPr>
      </w:pPr>
      <w:r w:rsidRPr="00982564">
        <w:rPr>
          <w:rFonts w:eastAsia="Calibri" w:cs="Arial"/>
          <w:iCs/>
          <w:sz w:val="22"/>
        </w:rPr>
        <w:t>Il est régi par l’Arrêté Départemental n° 0083 du 02 Août 1988 portant création d’un Service National de Promotion et de Développement de la Pêche. Ses missions portent sur l’encadrement des pêcheurs sur toute l’étendue du territoire national.</w:t>
      </w:r>
    </w:p>
    <w:p w14:paraId="120F2E21" w14:textId="77777777" w:rsidR="001C2F95" w:rsidRPr="00982564" w:rsidRDefault="001C2F95" w:rsidP="001C2F95">
      <w:pPr>
        <w:rPr>
          <w:rFonts w:cs="Arial"/>
          <w:spacing w:val="-5"/>
          <w:sz w:val="22"/>
        </w:rPr>
      </w:pPr>
    </w:p>
    <w:p w14:paraId="6B69631B" w14:textId="77777777" w:rsidR="001C2F95" w:rsidRPr="00982564" w:rsidRDefault="001C2F95" w:rsidP="001C2F95">
      <w:pPr>
        <w:pStyle w:val="Titre2"/>
        <w:numPr>
          <w:ilvl w:val="2"/>
          <w:numId w:val="4"/>
        </w:numPr>
        <w:ind w:left="1560" w:hanging="709"/>
        <w:rPr>
          <w:rFonts w:cs="Arial"/>
          <w:i/>
          <w:sz w:val="22"/>
          <w:szCs w:val="22"/>
        </w:rPr>
      </w:pPr>
      <w:bookmarkStart w:id="263" w:name="_Toc44626817"/>
      <w:bookmarkStart w:id="264" w:name="_Toc70330365"/>
      <w:r w:rsidRPr="00982564">
        <w:rPr>
          <w:rFonts w:cs="Arial"/>
          <w:i/>
          <w:sz w:val="22"/>
          <w:szCs w:val="22"/>
        </w:rPr>
        <w:t>Ministère du Développement Rural</w:t>
      </w:r>
      <w:bookmarkEnd w:id="263"/>
      <w:bookmarkEnd w:id="264"/>
    </w:p>
    <w:p w14:paraId="450BE8B6" w14:textId="77777777" w:rsidR="001C2F95" w:rsidRPr="00982564" w:rsidRDefault="001C2F95" w:rsidP="001C2F95">
      <w:pPr>
        <w:rPr>
          <w:rFonts w:cs="Arial"/>
          <w:sz w:val="22"/>
        </w:rPr>
      </w:pPr>
    </w:p>
    <w:p w14:paraId="74EB6927" w14:textId="77777777" w:rsidR="001C2F95" w:rsidRPr="00982564" w:rsidRDefault="001C2F95" w:rsidP="001C2F95">
      <w:pPr>
        <w:rPr>
          <w:rFonts w:cs="Arial"/>
          <w:sz w:val="22"/>
        </w:rPr>
      </w:pPr>
      <w:r w:rsidRPr="00982564">
        <w:rPr>
          <w:rFonts w:cs="Arial"/>
          <w:sz w:val="22"/>
        </w:rPr>
        <w:t>Le Ministère du Développement Rural a pour attribution :</w:t>
      </w:r>
    </w:p>
    <w:p w14:paraId="062DF19C" w14:textId="77777777" w:rsidR="001C2F95" w:rsidRPr="00982564" w:rsidRDefault="001C2F95" w:rsidP="001C2F95">
      <w:pPr>
        <w:rPr>
          <w:rFonts w:cs="Arial"/>
          <w:sz w:val="22"/>
        </w:rPr>
      </w:pPr>
    </w:p>
    <w:p w14:paraId="2B9AABA4" w14:textId="77777777" w:rsidR="001C2F95" w:rsidRPr="00982564" w:rsidRDefault="001C2F95" w:rsidP="002378EA">
      <w:pPr>
        <w:pStyle w:val="Paragraphedeliste"/>
        <w:numPr>
          <w:ilvl w:val="1"/>
          <w:numId w:val="22"/>
        </w:numPr>
        <w:rPr>
          <w:rFonts w:cs="Arial"/>
          <w:sz w:val="22"/>
        </w:rPr>
      </w:pPr>
      <w:r w:rsidRPr="00982564">
        <w:rPr>
          <w:rFonts w:cs="Arial"/>
          <w:sz w:val="22"/>
        </w:rPr>
        <w:t>Élaboration et suivi des projets de développement dans les campagnes, milieux ruraux et péri urbains ;</w:t>
      </w:r>
    </w:p>
    <w:p w14:paraId="67B76E5E" w14:textId="77777777" w:rsidR="001C2F95" w:rsidRPr="00982564" w:rsidRDefault="001C2F95" w:rsidP="002378EA">
      <w:pPr>
        <w:pStyle w:val="Paragraphedeliste"/>
        <w:numPr>
          <w:ilvl w:val="1"/>
          <w:numId w:val="22"/>
        </w:numPr>
        <w:rPr>
          <w:rFonts w:cs="Arial"/>
          <w:sz w:val="22"/>
        </w:rPr>
      </w:pPr>
      <w:r w:rsidRPr="00982564">
        <w:rPr>
          <w:rFonts w:cs="Arial"/>
          <w:sz w:val="22"/>
        </w:rPr>
        <w:t>Organisation et encadrement des paysans dans des coopératives et associations en milieu rural, en collaboration avec le ministère ayant l’Agriculture dans ses attributions ;</w:t>
      </w:r>
    </w:p>
    <w:p w14:paraId="03120A68" w14:textId="77777777" w:rsidR="001C2F95" w:rsidRPr="00982564" w:rsidRDefault="001C2F95" w:rsidP="002378EA">
      <w:pPr>
        <w:pStyle w:val="Paragraphedeliste"/>
        <w:numPr>
          <w:ilvl w:val="1"/>
          <w:numId w:val="22"/>
        </w:numPr>
        <w:rPr>
          <w:rFonts w:cs="Arial"/>
          <w:sz w:val="22"/>
        </w:rPr>
      </w:pPr>
      <w:r w:rsidRPr="00982564">
        <w:rPr>
          <w:rFonts w:cs="Arial"/>
          <w:sz w:val="22"/>
        </w:rPr>
        <w:t>Élaboration et conduite des politiques et stratégies de développement rural ;</w:t>
      </w:r>
    </w:p>
    <w:p w14:paraId="6625EDBA" w14:textId="77777777" w:rsidR="001C2F95" w:rsidRPr="00982564" w:rsidRDefault="001C2F95" w:rsidP="002378EA">
      <w:pPr>
        <w:pStyle w:val="Paragraphedeliste"/>
        <w:numPr>
          <w:ilvl w:val="1"/>
          <w:numId w:val="22"/>
        </w:numPr>
        <w:rPr>
          <w:rFonts w:cs="Arial"/>
          <w:sz w:val="22"/>
        </w:rPr>
      </w:pPr>
      <w:r w:rsidRPr="00982564">
        <w:rPr>
          <w:rFonts w:cs="Arial"/>
          <w:sz w:val="22"/>
        </w:rPr>
        <w:t>Organisation et encadrement de la population rurale pour l’accroissement de la production agricole, en collaboration avec le ministère ayant l’Agriculture dans ses attributions ;</w:t>
      </w:r>
    </w:p>
    <w:p w14:paraId="581DF062" w14:textId="77777777" w:rsidR="001C2F95" w:rsidRPr="00982564" w:rsidRDefault="001C2F95" w:rsidP="002378EA">
      <w:pPr>
        <w:pStyle w:val="Paragraphedeliste"/>
        <w:numPr>
          <w:ilvl w:val="1"/>
          <w:numId w:val="22"/>
        </w:numPr>
        <w:rPr>
          <w:rFonts w:cs="Arial"/>
          <w:sz w:val="22"/>
        </w:rPr>
      </w:pPr>
      <w:r w:rsidRPr="00982564">
        <w:rPr>
          <w:rFonts w:cs="Arial"/>
          <w:sz w:val="22"/>
        </w:rPr>
        <w:t>Aménagement et équipement de l’espace rural ;</w:t>
      </w:r>
    </w:p>
    <w:p w14:paraId="0F9BBB18" w14:textId="77777777" w:rsidR="001C2F95" w:rsidRPr="00982564" w:rsidRDefault="001C2F95" w:rsidP="002378EA">
      <w:pPr>
        <w:pStyle w:val="Paragraphedeliste"/>
        <w:numPr>
          <w:ilvl w:val="1"/>
          <w:numId w:val="22"/>
        </w:numPr>
        <w:rPr>
          <w:rFonts w:cs="Arial"/>
          <w:sz w:val="22"/>
        </w:rPr>
      </w:pPr>
      <w:r w:rsidRPr="00982564">
        <w:rPr>
          <w:rFonts w:cs="Arial"/>
          <w:sz w:val="22"/>
        </w:rPr>
        <w:t>Coordination et intégration des programmes de développement en milieu rural ;</w:t>
      </w:r>
    </w:p>
    <w:p w14:paraId="646532E0" w14:textId="77777777" w:rsidR="001C2F95" w:rsidRPr="00982564" w:rsidRDefault="001C2F95" w:rsidP="002378EA">
      <w:pPr>
        <w:pStyle w:val="Paragraphedeliste"/>
        <w:numPr>
          <w:ilvl w:val="1"/>
          <w:numId w:val="22"/>
        </w:numPr>
        <w:rPr>
          <w:rFonts w:cs="Arial"/>
          <w:sz w:val="22"/>
        </w:rPr>
      </w:pPr>
      <w:r w:rsidRPr="00982564">
        <w:rPr>
          <w:rFonts w:cs="Arial"/>
          <w:sz w:val="22"/>
        </w:rPr>
        <w:t>Promotion du bien-être social des populations rurales par la sensibilisation et l’animation rurales ;</w:t>
      </w:r>
    </w:p>
    <w:p w14:paraId="195DAD32" w14:textId="77777777" w:rsidR="001C2F95" w:rsidRPr="00982564" w:rsidRDefault="001C2F95" w:rsidP="002378EA">
      <w:pPr>
        <w:pStyle w:val="Paragraphedeliste"/>
        <w:numPr>
          <w:ilvl w:val="1"/>
          <w:numId w:val="22"/>
        </w:numPr>
        <w:rPr>
          <w:rFonts w:cs="Arial"/>
          <w:sz w:val="22"/>
        </w:rPr>
      </w:pPr>
      <w:r w:rsidRPr="00982564">
        <w:rPr>
          <w:rFonts w:cs="Arial"/>
          <w:sz w:val="22"/>
        </w:rPr>
        <w:t>Promotion et soutien de la pêche en milieu rural ;</w:t>
      </w:r>
    </w:p>
    <w:p w14:paraId="39CA0745" w14:textId="77777777" w:rsidR="001C2F95" w:rsidRPr="00982564" w:rsidRDefault="001C2F95" w:rsidP="002378EA">
      <w:pPr>
        <w:pStyle w:val="Paragraphedeliste"/>
        <w:numPr>
          <w:ilvl w:val="1"/>
          <w:numId w:val="22"/>
        </w:numPr>
        <w:rPr>
          <w:rFonts w:cs="Arial"/>
          <w:sz w:val="22"/>
        </w:rPr>
      </w:pPr>
      <w:r w:rsidRPr="00982564">
        <w:rPr>
          <w:rFonts w:cs="Arial"/>
          <w:sz w:val="22"/>
        </w:rPr>
        <w:t>Aménagement, construction, réhabilitation, entretien des infrastructures socio-économiques de base en milieu rural et péri urbain dont :</w:t>
      </w:r>
    </w:p>
    <w:p w14:paraId="1685AD13" w14:textId="77777777" w:rsidR="001C2F95" w:rsidRPr="00982564" w:rsidRDefault="001C2F95" w:rsidP="002378EA">
      <w:pPr>
        <w:pStyle w:val="Paragraphedeliste"/>
        <w:numPr>
          <w:ilvl w:val="0"/>
          <w:numId w:val="47"/>
        </w:numPr>
        <w:rPr>
          <w:rFonts w:cs="Arial"/>
          <w:sz w:val="22"/>
        </w:rPr>
      </w:pPr>
      <w:r w:rsidRPr="00982564">
        <w:rPr>
          <w:rFonts w:cs="Arial"/>
          <w:sz w:val="22"/>
        </w:rPr>
        <w:t>Voies de desserte agricole et cours d’eau ;</w:t>
      </w:r>
    </w:p>
    <w:p w14:paraId="214D5E90" w14:textId="77777777" w:rsidR="001C2F95" w:rsidRPr="00982564" w:rsidRDefault="001C2F95" w:rsidP="002378EA">
      <w:pPr>
        <w:pStyle w:val="Paragraphedeliste"/>
        <w:numPr>
          <w:ilvl w:val="0"/>
          <w:numId w:val="47"/>
        </w:numPr>
        <w:rPr>
          <w:rFonts w:cs="Arial"/>
          <w:sz w:val="22"/>
        </w:rPr>
      </w:pPr>
      <w:r w:rsidRPr="00982564">
        <w:rPr>
          <w:rFonts w:cs="Arial"/>
          <w:sz w:val="22"/>
        </w:rPr>
        <w:t>Sources d’eau, adduction granitaire et forage des puits ; et</w:t>
      </w:r>
    </w:p>
    <w:p w14:paraId="303177AE" w14:textId="77777777" w:rsidR="001C2F95" w:rsidRPr="00982564" w:rsidRDefault="001C2F95" w:rsidP="002378EA">
      <w:pPr>
        <w:pStyle w:val="Paragraphedeliste"/>
        <w:numPr>
          <w:ilvl w:val="0"/>
          <w:numId w:val="47"/>
        </w:numPr>
        <w:rPr>
          <w:rFonts w:cs="Arial"/>
          <w:sz w:val="22"/>
        </w:rPr>
      </w:pPr>
      <w:r w:rsidRPr="00982564">
        <w:rPr>
          <w:rFonts w:cs="Arial"/>
          <w:sz w:val="22"/>
        </w:rPr>
        <w:t>Électrification rurale, en collaboration avec les ministères ayant les Travaux Publics et Infrastructures ainsi que l’Electricité dans leurs attributions.</w:t>
      </w:r>
    </w:p>
    <w:p w14:paraId="74C91EFB" w14:textId="77777777" w:rsidR="0065547D" w:rsidRPr="00982564" w:rsidRDefault="0065547D" w:rsidP="001C2F95">
      <w:pPr>
        <w:rPr>
          <w:rFonts w:cs="Arial"/>
          <w:i/>
          <w:sz w:val="22"/>
        </w:rPr>
      </w:pPr>
    </w:p>
    <w:p w14:paraId="62B67C0B" w14:textId="77777777" w:rsidR="001C2F95" w:rsidRPr="00982564" w:rsidRDefault="001C2F95" w:rsidP="001C2F95">
      <w:pPr>
        <w:rPr>
          <w:rFonts w:cs="Arial"/>
          <w:i/>
          <w:sz w:val="22"/>
        </w:rPr>
      </w:pPr>
      <w:r w:rsidRPr="00982564">
        <w:rPr>
          <w:rFonts w:cs="Arial"/>
          <w:i/>
          <w:sz w:val="22"/>
        </w:rPr>
        <w:t xml:space="preserve">Service National d’Information Rurale (SNIR) </w:t>
      </w:r>
    </w:p>
    <w:p w14:paraId="0DC18B64" w14:textId="77777777" w:rsidR="001C2F95" w:rsidRPr="00982564" w:rsidRDefault="001C2F95" w:rsidP="001C2F95">
      <w:pPr>
        <w:rPr>
          <w:rFonts w:cs="Arial"/>
          <w:sz w:val="22"/>
        </w:rPr>
      </w:pPr>
    </w:p>
    <w:p w14:paraId="550D2330" w14:textId="77777777" w:rsidR="001C2F95" w:rsidRPr="00982564" w:rsidRDefault="001C2F95" w:rsidP="001C2F95">
      <w:pPr>
        <w:rPr>
          <w:rFonts w:cs="Arial"/>
          <w:sz w:val="22"/>
        </w:rPr>
      </w:pPr>
      <w:r w:rsidRPr="00982564">
        <w:rPr>
          <w:rFonts w:cs="Arial"/>
          <w:sz w:val="22"/>
        </w:rPr>
        <w:t xml:space="preserve">Le Service National d’Information Rural a pour mission d’assurer la diffusion des informations et communications appropriées pour le développement des milieux ruraux : </w:t>
      </w:r>
      <w:r w:rsidRPr="00982564">
        <w:rPr>
          <w:rFonts w:cs="Arial"/>
          <w:i/>
          <w:sz w:val="22"/>
        </w:rPr>
        <w:t>(i)</w:t>
      </w:r>
      <w:r w:rsidRPr="00982564">
        <w:rPr>
          <w:rFonts w:cs="Arial"/>
          <w:sz w:val="22"/>
        </w:rPr>
        <w:t xml:space="preserve"> concevoir, exécuter ou faire exécuter les programmes d’informations rurales ; </w:t>
      </w:r>
      <w:r w:rsidRPr="00982564">
        <w:rPr>
          <w:rFonts w:cs="Arial"/>
          <w:i/>
          <w:sz w:val="22"/>
        </w:rPr>
        <w:t>(ii)</w:t>
      </w:r>
      <w:r w:rsidRPr="00982564">
        <w:rPr>
          <w:rFonts w:cs="Arial"/>
          <w:sz w:val="22"/>
        </w:rPr>
        <w:t xml:space="preserve"> concevoir, exécuter ou faire exécuter les travaux d’édition, de production et de diffusion du matériel audiovisuel par la vulgarisation agricole et l’animation animale ; </w:t>
      </w:r>
      <w:r w:rsidRPr="00982564">
        <w:rPr>
          <w:rFonts w:cs="Arial"/>
          <w:i/>
          <w:sz w:val="22"/>
        </w:rPr>
        <w:t>(iii)</w:t>
      </w:r>
      <w:r w:rsidRPr="00982564">
        <w:rPr>
          <w:rFonts w:cs="Arial"/>
          <w:sz w:val="22"/>
        </w:rPr>
        <w:t xml:space="preserve"> mettre à la disposition de l’administration et autres intervenants de terrain des informations fiables leur permettant de jouer efficacement leurs rôles par la conciliation des actions avec les particularités de chaque milieu.</w:t>
      </w:r>
    </w:p>
    <w:p w14:paraId="740BDA8D" w14:textId="77777777" w:rsidR="001C2F95" w:rsidRPr="00982564" w:rsidRDefault="001C2F95" w:rsidP="001C2F95">
      <w:pPr>
        <w:rPr>
          <w:rFonts w:cs="Arial"/>
          <w:i/>
          <w:sz w:val="22"/>
        </w:rPr>
      </w:pPr>
      <w:r w:rsidRPr="00982564">
        <w:rPr>
          <w:rFonts w:cs="Arial"/>
          <w:i/>
          <w:sz w:val="22"/>
        </w:rPr>
        <w:t>Service National des Énergies Nouvelles (SENEN)</w:t>
      </w:r>
    </w:p>
    <w:p w14:paraId="05CC4591" w14:textId="77777777" w:rsidR="001C2F95" w:rsidRPr="00982564" w:rsidRDefault="001C2F95" w:rsidP="001C2F95">
      <w:pPr>
        <w:rPr>
          <w:rFonts w:cs="Arial"/>
          <w:sz w:val="22"/>
        </w:rPr>
      </w:pPr>
    </w:p>
    <w:p w14:paraId="08958659" w14:textId="77777777" w:rsidR="001C2F95" w:rsidRPr="00982564" w:rsidRDefault="001C2F95" w:rsidP="001C2F95">
      <w:pPr>
        <w:rPr>
          <w:rFonts w:cs="Arial"/>
          <w:sz w:val="22"/>
        </w:rPr>
      </w:pPr>
      <w:r w:rsidRPr="00982564">
        <w:rPr>
          <w:rFonts w:cs="Arial"/>
          <w:sz w:val="22"/>
        </w:rPr>
        <w:t xml:space="preserve">Le Service National des Énergies Nouvelles a pour mission de : </w:t>
      </w:r>
      <w:r w:rsidRPr="00982564">
        <w:rPr>
          <w:rFonts w:cs="Arial"/>
          <w:i/>
          <w:sz w:val="22"/>
        </w:rPr>
        <w:t>(i)</w:t>
      </w:r>
      <w:r w:rsidRPr="00982564">
        <w:rPr>
          <w:rFonts w:cs="Arial"/>
          <w:sz w:val="22"/>
        </w:rPr>
        <w:t xml:space="preserve"> définir la politique et les normes en matière d’énergie non traditionnelle en milieu rural ; </w:t>
      </w:r>
      <w:r w:rsidRPr="00982564">
        <w:rPr>
          <w:rFonts w:cs="Arial"/>
          <w:i/>
          <w:sz w:val="22"/>
        </w:rPr>
        <w:t>(ii)</w:t>
      </w:r>
      <w:r w:rsidRPr="00982564">
        <w:rPr>
          <w:rFonts w:cs="Arial"/>
          <w:sz w:val="22"/>
        </w:rPr>
        <w:t xml:space="preserve"> planifier les objectifs nationaux de production et d’utilisation de ces énergies ; </w:t>
      </w:r>
      <w:r w:rsidRPr="00982564">
        <w:rPr>
          <w:rFonts w:cs="Arial"/>
          <w:i/>
          <w:sz w:val="22"/>
        </w:rPr>
        <w:t>(iii)</w:t>
      </w:r>
      <w:r w:rsidRPr="00982564">
        <w:rPr>
          <w:rFonts w:cs="Arial"/>
          <w:sz w:val="22"/>
        </w:rPr>
        <w:t xml:space="preserve">  faire profiter aux communautés rurales des ressources énergies non traditionnelles et assurer l’encadrement des producteurs et des utilisateurs de ces énergies ; </w:t>
      </w:r>
      <w:r w:rsidRPr="00982564">
        <w:rPr>
          <w:rFonts w:cs="Arial"/>
          <w:i/>
          <w:sz w:val="22"/>
        </w:rPr>
        <w:t>(iv)</w:t>
      </w:r>
      <w:r w:rsidRPr="00982564">
        <w:rPr>
          <w:rFonts w:cs="Arial"/>
          <w:sz w:val="22"/>
        </w:rPr>
        <w:t xml:space="preserve"> promouvoir la recherche en matière des énergies nouvelles et renouvelables.</w:t>
      </w:r>
    </w:p>
    <w:p w14:paraId="6B4FC06C" w14:textId="77777777" w:rsidR="001C2F95" w:rsidRPr="00982564" w:rsidRDefault="001C2F95" w:rsidP="001C2F95">
      <w:pPr>
        <w:rPr>
          <w:rFonts w:cs="Arial"/>
          <w:sz w:val="22"/>
        </w:rPr>
      </w:pPr>
    </w:p>
    <w:p w14:paraId="6D95E2FF" w14:textId="77777777" w:rsidR="001C2F95" w:rsidRPr="00982564" w:rsidRDefault="001C2F95" w:rsidP="001C2F95">
      <w:pPr>
        <w:rPr>
          <w:rFonts w:cs="Arial"/>
          <w:i/>
          <w:sz w:val="22"/>
        </w:rPr>
      </w:pPr>
      <w:r w:rsidRPr="00982564">
        <w:rPr>
          <w:rFonts w:cs="Arial"/>
          <w:i/>
          <w:sz w:val="22"/>
        </w:rPr>
        <w:t>Service National des Coopératives et Organisations Paysannes (SNCOOP)</w:t>
      </w:r>
    </w:p>
    <w:p w14:paraId="2A3242E7" w14:textId="77777777" w:rsidR="001C2F95" w:rsidRPr="00982564" w:rsidRDefault="001C2F95" w:rsidP="001C2F95">
      <w:pPr>
        <w:rPr>
          <w:rFonts w:cs="Arial"/>
          <w:sz w:val="22"/>
        </w:rPr>
      </w:pPr>
    </w:p>
    <w:p w14:paraId="653D71E8" w14:textId="77777777" w:rsidR="001C2F95" w:rsidRPr="00982564" w:rsidRDefault="001C2F95" w:rsidP="001C2F95">
      <w:pPr>
        <w:rPr>
          <w:rFonts w:cs="Arial"/>
          <w:sz w:val="22"/>
        </w:rPr>
      </w:pPr>
      <w:r w:rsidRPr="00982564">
        <w:rPr>
          <w:rFonts w:cs="Arial"/>
          <w:sz w:val="22"/>
        </w:rPr>
        <w:t xml:space="preserve">Le Service National des Coopératives et Organisations Paysannes a pour mission de : </w:t>
      </w:r>
      <w:r w:rsidRPr="00982564">
        <w:rPr>
          <w:rFonts w:cs="Arial"/>
          <w:i/>
          <w:sz w:val="22"/>
        </w:rPr>
        <w:t>(i)</w:t>
      </w:r>
      <w:r w:rsidRPr="00982564">
        <w:rPr>
          <w:rFonts w:cs="Arial"/>
          <w:sz w:val="22"/>
        </w:rPr>
        <w:t xml:space="preserve"> encourager le développement des Coopératives sur l’ensemble du territoire national ; </w:t>
      </w:r>
      <w:r w:rsidRPr="00982564">
        <w:rPr>
          <w:rFonts w:cs="Arial"/>
          <w:i/>
          <w:sz w:val="22"/>
        </w:rPr>
        <w:t xml:space="preserve">(ii) </w:t>
      </w:r>
      <w:r w:rsidRPr="00982564">
        <w:rPr>
          <w:rFonts w:cs="Arial"/>
          <w:sz w:val="22"/>
        </w:rPr>
        <w:t xml:space="preserve">mettre en place les structures d’orientation, de consultation et d’appui technique et financier des mouvements coopératifs sur l’ensemble du territoire national ; </w:t>
      </w:r>
      <w:r w:rsidRPr="00982564">
        <w:rPr>
          <w:rFonts w:cs="Arial"/>
          <w:i/>
          <w:sz w:val="22"/>
        </w:rPr>
        <w:t xml:space="preserve">(iii) </w:t>
      </w:r>
      <w:r w:rsidRPr="00982564">
        <w:rPr>
          <w:rFonts w:cs="Arial"/>
          <w:sz w:val="22"/>
        </w:rPr>
        <w:t xml:space="preserve">favoriser la création des organisations autres que les Coopératives sur l’ensemble du territoire national ; </w:t>
      </w:r>
      <w:r w:rsidRPr="00982564">
        <w:rPr>
          <w:rFonts w:cs="Arial"/>
          <w:i/>
          <w:sz w:val="22"/>
        </w:rPr>
        <w:t xml:space="preserve">(iv) </w:t>
      </w:r>
      <w:r w:rsidRPr="00982564">
        <w:rPr>
          <w:rFonts w:cs="Arial"/>
          <w:sz w:val="22"/>
        </w:rPr>
        <w:t>immatriculer toutes les Coopératives au niveau national.</w:t>
      </w:r>
    </w:p>
    <w:p w14:paraId="0147B0E5" w14:textId="77777777" w:rsidR="001C2F95" w:rsidRPr="00982564" w:rsidRDefault="001C2F95" w:rsidP="001C2F95">
      <w:pPr>
        <w:rPr>
          <w:rFonts w:cs="Arial"/>
          <w:i/>
          <w:spacing w:val="-5"/>
          <w:sz w:val="22"/>
        </w:rPr>
      </w:pPr>
    </w:p>
    <w:p w14:paraId="3659EBFA" w14:textId="77777777" w:rsidR="001C2F95" w:rsidRPr="00982564" w:rsidRDefault="001C2F95" w:rsidP="001C2F95">
      <w:pPr>
        <w:rPr>
          <w:rFonts w:cs="Arial"/>
          <w:i/>
          <w:spacing w:val="-5"/>
          <w:sz w:val="22"/>
        </w:rPr>
      </w:pPr>
      <w:r w:rsidRPr="00982564">
        <w:rPr>
          <w:rFonts w:cs="Arial"/>
          <w:i/>
          <w:spacing w:val="-5"/>
          <w:sz w:val="22"/>
        </w:rPr>
        <w:t>Office des Voies de Dessertes Agricoles (OVDA)</w:t>
      </w:r>
    </w:p>
    <w:p w14:paraId="32BEA4CC" w14:textId="77777777" w:rsidR="001C2F95" w:rsidRPr="00982564" w:rsidRDefault="001C2F95" w:rsidP="001C2F95">
      <w:pPr>
        <w:rPr>
          <w:rFonts w:cs="Arial"/>
          <w:sz w:val="22"/>
        </w:rPr>
      </w:pPr>
    </w:p>
    <w:p w14:paraId="56C4F648" w14:textId="77777777" w:rsidR="001C2F95" w:rsidRPr="00982564" w:rsidRDefault="001C2F95" w:rsidP="001C2F95">
      <w:pPr>
        <w:rPr>
          <w:rFonts w:cs="Arial"/>
          <w:sz w:val="22"/>
        </w:rPr>
      </w:pPr>
      <w:r w:rsidRPr="00982564">
        <w:rPr>
          <w:rFonts w:cs="Arial"/>
          <w:sz w:val="22"/>
        </w:rPr>
        <w:t>Créé par le Décret n° 20/008 du 1</w:t>
      </w:r>
      <w:r w:rsidRPr="00982564">
        <w:rPr>
          <w:rFonts w:cs="Arial"/>
          <w:sz w:val="22"/>
          <w:vertAlign w:val="superscript"/>
        </w:rPr>
        <w:t>er</w:t>
      </w:r>
      <w:r w:rsidRPr="00982564">
        <w:rPr>
          <w:rFonts w:cs="Arial"/>
          <w:sz w:val="22"/>
        </w:rPr>
        <w:t xml:space="preserve"> avril 2020 portant création, organisation et fonctionnement de l’Office des Voies de Desserte Agricole, en sigle « OVDA ».</w:t>
      </w:r>
    </w:p>
    <w:p w14:paraId="5D290FA1" w14:textId="77777777" w:rsidR="001C2F95" w:rsidRPr="00982564" w:rsidRDefault="001C2F95" w:rsidP="001C2F95">
      <w:pPr>
        <w:rPr>
          <w:rFonts w:cs="Arial"/>
          <w:sz w:val="22"/>
        </w:rPr>
      </w:pPr>
    </w:p>
    <w:p w14:paraId="0B498DC6" w14:textId="77777777" w:rsidR="001C2F95" w:rsidRPr="00982564" w:rsidRDefault="001C2F95" w:rsidP="001C2F95">
      <w:pPr>
        <w:shd w:val="clear" w:color="auto" w:fill="FFFFFF"/>
        <w:spacing w:line="240" w:lineRule="auto"/>
        <w:rPr>
          <w:rFonts w:cs="Arial"/>
          <w:color w:val="000000"/>
          <w:sz w:val="22"/>
        </w:rPr>
      </w:pPr>
      <w:r w:rsidRPr="00982564">
        <w:rPr>
          <w:rFonts w:cs="Arial"/>
          <w:color w:val="000000"/>
          <w:sz w:val="22"/>
        </w:rPr>
        <w:t>On</w:t>
      </w:r>
      <w:r w:rsidRPr="00982564">
        <w:rPr>
          <w:rFonts w:cs="Arial"/>
          <w:color w:val="000000"/>
          <w:spacing w:val="2"/>
          <w:sz w:val="22"/>
        </w:rPr>
        <w:t> </w:t>
      </w:r>
      <w:r w:rsidRPr="00982564">
        <w:rPr>
          <w:rFonts w:cs="Arial"/>
          <w:color w:val="000000"/>
          <w:sz w:val="22"/>
        </w:rPr>
        <w:t>e</w:t>
      </w:r>
      <w:r w:rsidRPr="00982564">
        <w:rPr>
          <w:rFonts w:cs="Arial"/>
          <w:color w:val="000000"/>
          <w:spacing w:val="-2"/>
          <w:sz w:val="22"/>
        </w:rPr>
        <w:t>n</w:t>
      </w:r>
      <w:r w:rsidRPr="00982564">
        <w:rPr>
          <w:rFonts w:cs="Arial"/>
          <w:color w:val="000000"/>
          <w:spacing w:val="1"/>
          <w:sz w:val="22"/>
        </w:rPr>
        <w:t>t</w:t>
      </w:r>
      <w:r w:rsidRPr="00982564">
        <w:rPr>
          <w:rFonts w:cs="Arial"/>
          <w:color w:val="000000"/>
          <w:sz w:val="22"/>
        </w:rPr>
        <w:t>end p</w:t>
      </w:r>
      <w:r w:rsidRPr="00982564">
        <w:rPr>
          <w:rFonts w:cs="Arial"/>
          <w:color w:val="000000"/>
          <w:spacing w:val="-2"/>
          <w:sz w:val="22"/>
        </w:rPr>
        <w:t>a</w:t>
      </w:r>
      <w:r w:rsidRPr="00982564">
        <w:rPr>
          <w:rFonts w:cs="Arial"/>
          <w:color w:val="000000"/>
          <w:sz w:val="22"/>
        </w:rPr>
        <w:t>r</w:t>
      </w:r>
      <w:r w:rsidRPr="00982564">
        <w:rPr>
          <w:rFonts w:cs="Arial"/>
          <w:color w:val="000000"/>
          <w:spacing w:val="3"/>
          <w:sz w:val="22"/>
        </w:rPr>
        <w:t> </w:t>
      </w:r>
      <w:r w:rsidRPr="00982564">
        <w:rPr>
          <w:rFonts w:cs="Arial"/>
          <w:color w:val="000000"/>
          <w:sz w:val="22"/>
        </w:rPr>
        <w:t>« </w:t>
      </w:r>
      <w:r w:rsidRPr="00982564">
        <w:rPr>
          <w:rFonts w:cs="Arial"/>
          <w:color w:val="000000"/>
          <w:spacing w:val="-2"/>
          <w:sz w:val="22"/>
        </w:rPr>
        <w:t>v</w:t>
      </w:r>
      <w:r w:rsidRPr="00982564">
        <w:rPr>
          <w:rFonts w:cs="Arial"/>
          <w:color w:val="000000"/>
          <w:sz w:val="22"/>
        </w:rPr>
        <w:t>o</w:t>
      </w:r>
      <w:r w:rsidRPr="00982564">
        <w:rPr>
          <w:rFonts w:cs="Arial"/>
          <w:color w:val="000000"/>
          <w:spacing w:val="1"/>
          <w:sz w:val="22"/>
        </w:rPr>
        <w:t>i</w:t>
      </w:r>
      <w:r w:rsidRPr="00982564">
        <w:rPr>
          <w:rFonts w:cs="Arial"/>
          <w:color w:val="000000"/>
          <w:sz w:val="22"/>
        </w:rPr>
        <w:t>es de</w:t>
      </w:r>
      <w:r w:rsidRPr="00982564">
        <w:rPr>
          <w:rFonts w:cs="Arial"/>
          <w:color w:val="000000"/>
          <w:spacing w:val="1"/>
          <w:sz w:val="22"/>
        </w:rPr>
        <w:t> </w:t>
      </w:r>
      <w:r w:rsidRPr="00982564">
        <w:rPr>
          <w:rFonts w:cs="Arial"/>
          <w:color w:val="000000"/>
          <w:sz w:val="22"/>
        </w:rPr>
        <w:t>de</w:t>
      </w:r>
      <w:r w:rsidRPr="00982564">
        <w:rPr>
          <w:rFonts w:cs="Arial"/>
          <w:color w:val="000000"/>
          <w:spacing w:val="-2"/>
          <w:sz w:val="22"/>
        </w:rPr>
        <w:t>s</w:t>
      </w:r>
      <w:r w:rsidRPr="00982564">
        <w:rPr>
          <w:rFonts w:cs="Arial"/>
          <w:color w:val="000000"/>
          <w:spacing w:val="1"/>
          <w:sz w:val="22"/>
        </w:rPr>
        <w:t>s</w:t>
      </w:r>
      <w:r w:rsidRPr="00982564">
        <w:rPr>
          <w:rFonts w:cs="Arial"/>
          <w:color w:val="000000"/>
          <w:sz w:val="22"/>
        </w:rPr>
        <w:t>e</w:t>
      </w:r>
      <w:r w:rsidRPr="00982564">
        <w:rPr>
          <w:rFonts w:cs="Arial"/>
          <w:color w:val="000000"/>
          <w:spacing w:val="-2"/>
          <w:sz w:val="22"/>
        </w:rPr>
        <w:t>r</w:t>
      </w:r>
      <w:r w:rsidRPr="00982564">
        <w:rPr>
          <w:rFonts w:cs="Arial"/>
          <w:color w:val="000000"/>
          <w:spacing w:val="1"/>
          <w:sz w:val="22"/>
        </w:rPr>
        <w:t>t</w:t>
      </w:r>
      <w:r w:rsidRPr="00982564">
        <w:rPr>
          <w:rFonts w:cs="Arial"/>
          <w:color w:val="000000"/>
          <w:sz w:val="22"/>
        </w:rPr>
        <w:t>e</w:t>
      </w:r>
      <w:r w:rsidRPr="00982564">
        <w:rPr>
          <w:rFonts w:cs="Arial"/>
          <w:color w:val="000000"/>
          <w:spacing w:val="-2"/>
          <w:sz w:val="22"/>
        </w:rPr>
        <w:t> </w:t>
      </w:r>
      <w:r w:rsidRPr="00982564">
        <w:rPr>
          <w:rFonts w:cs="Arial"/>
          <w:color w:val="000000"/>
          <w:sz w:val="22"/>
        </w:rPr>
        <w:t>a</w:t>
      </w:r>
      <w:r w:rsidRPr="00982564">
        <w:rPr>
          <w:rFonts w:cs="Arial"/>
          <w:color w:val="000000"/>
          <w:spacing w:val="-2"/>
          <w:sz w:val="22"/>
        </w:rPr>
        <w:t>g</w:t>
      </w:r>
      <w:r w:rsidRPr="00982564">
        <w:rPr>
          <w:rFonts w:cs="Arial"/>
          <w:color w:val="000000"/>
          <w:spacing w:val="1"/>
          <w:sz w:val="22"/>
        </w:rPr>
        <w:t>ri</w:t>
      </w:r>
      <w:r w:rsidRPr="00982564">
        <w:rPr>
          <w:rFonts w:cs="Arial"/>
          <w:color w:val="000000"/>
          <w:sz w:val="22"/>
        </w:rPr>
        <w:t>c</w:t>
      </w:r>
      <w:r w:rsidRPr="00982564">
        <w:rPr>
          <w:rFonts w:cs="Arial"/>
          <w:color w:val="000000"/>
          <w:spacing w:val="-2"/>
          <w:sz w:val="22"/>
        </w:rPr>
        <w:t>o</w:t>
      </w:r>
      <w:r w:rsidRPr="00982564">
        <w:rPr>
          <w:rFonts w:cs="Arial"/>
          <w:color w:val="000000"/>
          <w:spacing w:val="1"/>
          <w:sz w:val="22"/>
        </w:rPr>
        <w:t>l</w:t>
      </w:r>
      <w:r w:rsidRPr="00982564">
        <w:rPr>
          <w:rFonts w:cs="Arial"/>
          <w:color w:val="000000"/>
          <w:sz w:val="22"/>
        </w:rPr>
        <w:t>e</w:t>
      </w:r>
      <w:r w:rsidRPr="00982564">
        <w:rPr>
          <w:rFonts w:cs="Arial"/>
          <w:color w:val="000000"/>
          <w:spacing w:val="-2"/>
          <w:sz w:val="22"/>
        </w:rPr>
        <w:t> </w:t>
      </w:r>
      <w:r w:rsidRPr="00982564">
        <w:rPr>
          <w:rFonts w:cs="Arial"/>
          <w:color w:val="000000"/>
          <w:sz w:val="22"/>
        </w:rPr>
        <w:t>:</w:t>
      </w:r>
    </w:p>
    <w:p w14:paraId="1FD0A931" w14:textId="77777777" w:rsidR="001C2F95" w:rsidRPr="00982564" w:rsidRDefault="001C2F95" w:rsidP="001C2F95">
      <w:pPr>
        <w:shd w:val="clear" w:color="auto" w:fill="FFFFFF"/>
        <w:spacing w:line="240" w:lineRule="auto"/>
        <w:rPr>
          <w:rFonts w:cs="Arial"/>
          <w:color w:val="383838"/>
          <w:sz w:val="22"/>
        </w:rPr>
      </w:pPr>
    </w:p>
    <w:p w14:paraId="22F7827C" w14:textId="77777777" w:rsidR="001C2F95" w:rsidRPr="00982564" w:rsidRDefault="001C2F95" w:rsidP="002378EA">
      <w:pPr>
        <w:pStyle w:val="Paragraphedeliste"/>
        <w:numPr>
          <w:ilvl w:val="1"/>
          <w:numId w:val="22"/>
        </w:numPr>
        <w:jc w:val="left"/>
        <w:rPr>
          <w:rFonts w:cs="Arial"/>
          <w:sz w:val="22"/>
        </w:rPr>
      </w:pPr>
      <w:r w:rsidRPr="00982564">
        <w:rPr>
          <w:rFonts w:cs="Arial"/>
          <w:sz w:val="22"/>
        </w:rPr>
        <w:t>les  routes  d'intérêt  local  classées  au  niveau  des territoires  connectées  au résenational  ou provincial ;</w:t>
      </w:r>
    </w:p>
    <w:p w14:paraId="0C55A60B" w14:textId="77777777" w:rsidR="001C2F95" w:rsidRPr="00982564" w:rsidRDefault="001C2F95" w:rsidP="002378EA">
      <w:pPr>
        <w:pStyle w:val="Paragraphedeliste"/>
        <w:numPr>
          <w:ilvl w:val="1"/>
          <w:numId w:val="22"/>
        </w:numPr>
        <w:rPr>
          <w:rFonts w:cs="Arial"/>
          <w:sz w:val="22"/>
        </w:rPr>
      </w:pPr>
      <w:r w:rsidRPr="00982564">
        <w:rPr>
          <w:rFonts w:cs="Arial"/>
          <w:sz w:val="22"/>
        </w:rPr>
        <w:t>les cours d'eau navigable d'intérêt local (mouillage 1,20 m HE - 0,80 m BE et 0,90 m HE - 0,40m BE), les pistes d’</w:t>
      </w:r>
      <w:r w:rsidR="0065547D" w:rsidRPr="00982564">
        <w:rPr>
          <w:rFonts w:cs="Arial"/>
          <w:sz w:val="22"/>
        </w:rPr>
        <w:t>atterrissage</w:t>
      </w:r>
      <w:r w:rsidRPr="00982564">
        <w:rPr>
          <w:rFonts w:cs="Arial"/>
          <w:sz w:val="22"/>
        </w:rPr>
        <w:t xml:space="preserve"> en milieu rural dont la longueur est comprise entre 800 et 1000 m.</w:t>
      </w:r>
    </w:p>
    <w:p w14:paraId="4CCFA30D" w14:textId="77777777" w:rsidR="001C2F95" w:rsidRPr="00982564" w:rsidRDefault="001C2F95" w:rsidP="002378EA">
      <w:pPr>
        <w:pStyle w:val="Paragraphedeliste"/>
        <w:numPr>
          <w:ilvl w:val="1"/>
          <w:numId w:val="22"/>
        </w:numPr>
        <w:jc w:val="left"/>
        <w:rPr>
          <w:rFonts w:cs="Arial"/>
          <w:sz w:val="22"/>
        </w:rPr>
      </w:pPr>
      <w:r w:rsidRPr="00982564">
        <w:rPr>
          <w:rFonts w:cs="Arial"/>
          <w:sz w:val="22"/>
        </w:rPr>
        <w:t>Ces voies permettent les échanges entre les milieux ruraux, centres de production, et les centres de consommation.</w:t>
      </w:r>
    </w:p>
    <w:p w14:paraId="54AF0642" w14:textId="77777777" w:rsidR="001C2F95" w:rsidRPr="00982564" w:rsidRDefault="001C2F95" w:rsidP="002378EA">
      <w:pPr>
        <w:pStyle w:val="Paragraphedeliste"/>
        <w:numPr>
          <w:ilvl w:val="1"/>
          <w:numId w:val="22"/>
        </w:numPr>
        <w:jc w:val="left"/>
        <w:rPr>
          <w:rFonts w:cs="Arial"/>
          <w:sz w:val="22"/>
        </w:rPr>
      </w:pPr>
      <w:r w:rsidRPr="00982564">
        <w:rPr>
          <w:rFonts w:cs="Arial"/>
          <w:sz w:val="22"/>
        </w:rPr>
        <w:t>Elles  concernent  aussi  les  voies  qui relient les centres de production aux centres périurbains.</w:t>
      </w:r>
    </w:p>
    <w:p w14:paraId="598FF854" w14:textId="77777777" w:rsidR="001C2F95" w:rsidRPr="00982564" w:rsidRDefault="001C2F95" w:rsidP="001C2F95">
      <w:pPr>
        <w:rPr>
          <w:rFonts w:cs="Arial"/>
          <w:spacing w:val="-5"/>
          <w:sz w:val="22"/>
        </w:rPr>
      </w:pPr>
    </w:p>
    <w:p w14:paraId="03368D01" w14:textId="77777777" w:rsidR="001C2F95" w:rsidRPr="00982564" w:rsidRDefault="001C2F95" w:rsidP="001C2F95">
      <w:pPr>
        <w:shd w:val="clear" w:color="auto" w:fill="FFFFFF"/>
        <w:spacing w:line="240" w:lineRule="auto"/>
        <w:jc w:val="left"/>
        <w:rPr>
          <w:rFonts w:cs="Arial"/>
          <w:color w:val="383838"/>
          <w:sz w:val="22"/>
        </w:rPr>
      </w:pPr>
      <w:r w:rsidRPr="00982564">
        <w:rPr>
          <w:rFonts w:cs="Arial"/>
          <w:color w:val="000000"/>
          <w:sz w:val="22"/>
        </w:rPr>
        <w:t>L</w:t>
      </w:r>
      <w:r w:rsidRPr="00982564">
        <w:rPr>
          <w:rFonts w:cs="Arial"/>
          <w:color w:val="000000"/>
          <w:spacing w:val="-4"/>
          <w:sz w:val="22"/>
        </w:rPr>
        <w:t>'</w:t>
      </w:r>
      <w:r w:rsidRPr="00982564">
        <w:rPr>
          <w:rFonts w:cs="Arial"/>
          <w:color w:val="000000"/>
          <w:spacing w:val="-1"/>
          <w:sz w:val="22"/>
        </w:rPr>
        <w:t>O</w:t>
      </w:r>
      <w:r w:rsidRPr="00982564">
        <w:rPr>
          <w:rFonts w:cs="Arial"/>
          <w:color w:val="000000"/>
          <w:spacing w:val="2"/>
          <w:sz w:val="22"/>
        </w:rPr>
        <w:t>V</w:t>
      </w:r>
      <w:r w:rsidRPr="00982564">
        <w:rPr>
          <w:rFonts w:cs="Arial"/>
          <w:color w:val="000000"/>
          <w:spacing w:val="-1"/>
          <w:sz w:val="22"/>
        </w:rPr>
        <w:t>D</w:t>
      </w:r>
      <w:r w:rsidRPr="00982564">
        <w:rPr>
          <w:rFonts w:cs="Arial"/>
          <w:color w:val="000000"/>
          <w:sz w:val="22"/>
        </w:rPr>
        <w:t>A</w:t>
      </w:r>
      <w:r w:rsidRPr="00982564">
        <w:rPr>
          <w:rFonts w:cs="Arial"/>
          <w:color w:val="000000"/>
          <w:spacing w:val="-1"/>
          <w:sz w:val="22"/>
        </w:rPr>
        <w:t> </w:t>
      </w:r>
      <w:r w:rsidRPr="00982564">
        <w:rPr>
          <w:rFonts w:cs="Arial"/>
          <w:color w:val="000000"/>
          <w:sz w:val="22"/>
        </w:rPr>
        <w:t>a</w:t>
      </w:r>
      <w:r w:rsidRPr="00982564">
        <w:rPr>
          <w:rFonts w:cs="Arial"/>
          <w:color w:val="000000"/>
          <w:spacing w:val="1"/>
          <w:sz w:val="22"/>
        </w:rPr>
        <w:t> </w:t>
      </w:r>
      <w:r w:rsidRPr="00982564">
        <w:rPr>
          <w:rFonts w:cs="Arial"/>
          <w:color w:val="000000"/>
          <w:sz w:val="22"/>
        </w:rPr>
        <w:t>po</w:t>
      </w:r>
      <w:r w:rsidRPr="00982564">
        <w:rPr>
          <w:rFonts w:cs="Arial"/>
          <w:color w:val="000000"/>
          <w:spacing w:val="-2"/>
          <w:sz w:val="22"/>
        </w:rPr>
        <w:t>u</w:t>
      </w:r>
      <w:r w:rsidRPr="00982564">
        <w:rPr>
          <w:rFonts w:cs="Arial"/>
          <w:color w:val="000000"/>
          <w:sz w:val="22"/>
        </w:rPr>
        <w:t>r</w:t>
      </w:r>
      <w:r w:rsidRPr="00982564">
        <w:rPr>
          <w:rFonts w:cs="Arial"/>
          <w:color w:val="000000"/>
          <w:spacing w:val="-1"/>
          <w:sz w:val="22"/>
        </w:rPr>
        <w:t> </w:t>
      </w:r>
      <w:r w:rsidRPr="00982564">
        <w:rPr>
          <w:rFonts w:cs="Arial"/>
          <w:color w:val="000000"/>
          <w:spacing w:val="-4"/>
          <w:sz w:val="22"/>
        </w:rPr>
        <w:t>m</w:t>
      </w:r>
      <w:r w:rsidRPr="00982564">
        <w:rPr>
          <w:rFonts w:cs="Arial"/>
          <w:color w:val="000000"/>
          <w:spacing w:val="1"/>
          <w:sz w:val="22"/>
        </w:rPr>
        <w:t>issi</w:t>
      </w:r>
      <w:r w:rsidRPr="00982564">
        <w:rPr>
          <w:rFonts w:cs="Arial"/>
          <w:color w:val="000000"/>
          <w:sz w:val="22"/>
        </w:rPr>
        <w:t>ons</w:t>
      </w:r>
      <w:r w:rsidRPr="00982564">
        <w:rPr>
          <w:rFonts w:cs="Arial"/>
          <w:color w:val="000000"/>
          <w:spacing w:val="1"/>
          <w:sz w:val="22"/>
        </w:rPr>
        <w:t> </w:t>
      </w:r>
      <w:r w:rsidRPr="00982564">
        <w:rPr>
          <w:rFonts w:cs="Arial"/>
          <w:color w:val="000000"/>
          <w:spacing w:val="-2"/>
          <w:sz w:val="22"/>
        </w:rPr>
        <w:t>d</w:t>
      </w:r>
      <w:r w:rsidRPr="00982564">
        <w:rPr>
          <w:rFonts w:cs="Arial"/>
          <w:color w:val="000000"/>
          <w:sz w:val="22"/>
        </w:rPr>
        <w:t>e</w:t>
      </w:r>
      <w:r w:rsidRPr="00982564">
        <w:rPr>
          <w:rFonts w:cs="Arial"/>
          <w:color w:val="000000"/>
          <w:spacing w:val="1"/>
          <w:sz w:val="22"/>
        </w:rPr>
        <w:t> </w:t>
      </w:r>
      <w:r w:rsidRPr="00982564">
        <w:rPr>
          <w:rFonts w:cs="Arial"/>
          <w:color w:val="000000"/>
          <w:sz w:val="22"/>
        </w:rPr>
        <w:t>:</w:t>
      </w:r>
    </w:p>
    <w:p w14:paraId="5ECC14B6" w14:textId="77777777" w:rsidR="001C2F95" w:rsidRPr="00982564" w:rsidRDefault="001C2F95" w:rsidP="001C2F95">
      <w:pPr>
        <w:shd w:val="clear" w:color="auto" w:fill="FFFFFF"/>
        <w:spacing w:line="240" w:lineRule="auto"/>
        <w:jc w:val="left"/>
        <w:rPr>
          <w:rFonts w:cs="Arial"/>
          <w:color w:val="383838"/>
          <w:sz w:val="22"/>
        </w:rPr>
      </w:pPr>
    </w:p>
    <w:p w14:paraId="5643708C" w14:textId="77777777" w:rsidR="001C2F95" w:rsidRPr="00982564" w:rsidRDefault="001C2F95" w:rsidP="002378EA">
      <w:pPr>
        <w:pStyle w:val="Paragraphedeliste"/>
        <w:numPr>
          <w:ilvl w:val="1"/>
          <w:numId w:val="22"/>
        </w:numPr>
        <w:jc w:val="left"/>
        <w:rPr>
          <w:rFonts w:cs="Arial"/>
          <w:sz w:val="22"/>
        </w:rPr>
      </w:pPr>
      <w:r w:rsidRPr="00982564">
        <w:rPr>
          <w:rFonts w:cs="Arial"/>
          <w:sz w:val="22"/>
        </w:rPr>
        <w:t>Construire réhabiliter et entretenir les routes d'intérêt local ;</w:t>
      </w:r>
    </w:p>
    <w:p w14:paraId="744180F3" w14:textId="77777777" w:rsidR="001C2F95" w:rsidRPr="00982564" w:rsidRDefault="001C2F95" w:rsidP="002378EA">
      <w:pPr>
        <w:pStyle w:val="Paragraphedeliste"/>
        <w:numPr>
          <w:ilvl w:val="1"/>
          <w:numId w:val="22"/>
        </w:numPr>
        <w:jc w:val="left"/>
        <w:rPr>
          <w:rFonts w:cs="Arial"/>
          <w:sz w:val="22"/>
        </w:rPr>
      </w:pPr>
      <w:r w:rsidRPr="00982564">
        <w:rPr>
          <w:rFonts w:cs="Arial"/>
          <w:sz w:val="22"/>
        </w:rPr>
        <w:t>Aménager  et  entretenir  les  cours  d'eau  d'intérêt local (de 3e et 4e catégories)      destinés à assurer les échanges entre les centres de production agricole et les centres de consommation ;</w:t>
      </w:r>
    </w:p>
    <w:p w14:paraId="0FFCDF2B" w14:textId="77777777" w:rsidR="001C2F95" w:rsidRPr="00982564" w:rsidRDefault="001C2F95" w:rsidP="002378EA">
      <w:pPr>
        <w:pStyle w:val="Paragraphedeliste"/>
        <w:numPr>
          <w:ilvl w:val="1"/>
          <w:numId w:val="22"/>
        </w:numPr>
        <w:jc w:val="left"/>
        <w:rPr>
          <w:rFonts w:cs="Arial"/>
          <w:sz w:val="22"/>
        </w:rPr>
      </w:pPr>
      <w:r w:rsidRPr="00982564">
        <w:rPr>
          <w:rFonts w:cs="Arial"/>
          <w:sz w:val="22"/>
        </w:rPr>
        <w:t>Promouvoir un partenariat entre le pouvoir public, propriétaire des infrastructures (maître d'ouvrage), les bailleurs de fonds apportant l'appui financier et les opérateurs de développement, principaux usagers des voies de desserte agricole, ainsi que les bénéficiaires ;</w:t>
      </w:r>
    </w:p>
    <w:p w14:paraId="730A35E1" w14:textId="77777777" w:rsidR="001C2F95" w:rsidRPr="00982564" w:rsidRDefault="001C2F95" w:rsidP="002378EA">
      <w:pPr>
        <w:pStyle w:val="Paragraphedeliste"/>
        <w:numPr>
          <w:ilvl w:val="1"/>
          <w:numId w:val="22"/>
        </w:numPr>
        <w:jc w:val="left"/>
        <w:rPr>
          <w:rFonts w:cs="Arial"/>
          <w:sz w:val="22"/>
        </w:rPr>
      </w:pPr>
      <w:r w:rsidRPr="00982564">
        <w:rPr>
          <w:rFonts w:cs="Arial"/>
          <w:sz w:val="22"/>
        </w:rPr>
        <w:t>Former, installer  et  fédérer  à  la  base  (Territoire, Commune rurale, Secteur ou chefferie) les Comités Locaux d'Entretien et de Réhabilitation (CLER) comme organes de gestion des patrimoines routiers et fluviaux jouissant d'une reconnaissance juridique ; et</w:t>
      </w:r>
    </w:p>
    <w:p w14:paraId="69C200F5" w14:textId="77777777" w:rsidR="001C2F95" w:rsidRPr="00982564" w:rsidRDefault="001C2F95" w:rsidP="002378EA">
      <w:pPr>
        <w:pStyle w:val="Paragraphedeliste"/>
        <w:numPr>
          <w:ilvl w:val="1"/>
          <w:numId w:val="22"/>
        </w:numPr>
        <w:jc w:val="left"/>
        <w:rPr>
          <w:rFonts w:cs="Arial"/>
          <w:sz w:val="22"/>
        </w:rPr>
      </w:pPr>
      <w:r w:rsidRPr="00982564">
        <w:rPr>
          <w:rFonts w:cs="Arial"/>
          <w:sz w:val="22"/>
        </w:rPr>
        <w:t>Promouvoir les bonnes pratiques de l'utilisation du réseau routier.</w:t>
      </w:r>
    </w:p>
    <w:p w14:paraId="52AB9989" w14:textId="77777777" w:rsidR="001C2F95" w:rsidRPr="00982564" w:rsidRDefault="001C2F95" w:rsidP="001C2F95">
      <w:pPr>
        <w:rPr>
          <w:rFonts w:cs="Arial"/>
          <w:spacing w:val="-5"/>
          <w:sz w:val="22"/>
        </w:rPr>
      </w:pPr>
    </w:p>
    <w:p w14:paraId="1C2DF124" w14:textId="77777777" w:rsidR="001C2F95" w:rsidRDefault="001C2F95" w:rsidP="001C2F95">
      <w:pPr>
        <w:rPr>
          <w:rFonts w:cs="Arial"/>
          <w:spacing w:val="-5"/>
          <w:sz w:val="22"/>
        </w:rPr>
      </w:pPr>
      <w:r w:rsidRPr="00982564">
        <w:rPr>
          <w:rFonts w:cs="Arial"/>
          <w:spacing w:val="-5"/>
          <w:sz w:val="22"/>
        </w:rPr>
        <w:t>Dans le cadre du PNDA, l’OVDA sera impliqué dans le cadre de la réhabilitation des pistes rurales et leur entretien.</w:t>
      </w:r>
    </w:p>
    <w:p w14:paraId="2988B9C9" w14:textId="77777777" w:rsidR="00A01158" w:rsidRPr="00982564" w:rsidRDefault="00A01158" w:rsidP="001C2F95">
      <w:pPr>
        <w:rPr>
          <w:rFonts w:cs="Arial"/>
          <w:spacing w:val="-5"/>
          <w:sz w:val="22"/>
        </w:rPr>
      </w:pPr>
    </w:p>
    <w:p w14:paraId="7D4C2756" w14:textId="77777777" w:rsidR="001C2F95" w:rsidRPr="00982564" w:rsidRDefault="001C2F95" w:rsidP="001C2F95">
      <w:pPr>
        <w:pStyle w:val="Titre2"/>
        <w:numPr>
          <w:ilvl w:val="2"/>
          <w:numId w:val="4"/>
        </w:numPr>
        <w:ind w:left="1560" w:hanging="709"/>
        <w:rPr>
          <w:rFonts w:cs="Arial"/>
          <w:i/>
          <w:sz w:val="22"/>
          <w:szCs w:val="22"/>
        </w:rPr>
      </w:pPr>
      <w:bookmarkStart w:id="265" w:name="_Toc44626818"/>
      <w:bookmarkStart w:id="266" w:name="_Toc70330366"/>
      <w:bookmarkStart w:id="267" w:name="_Toc487204589"/>
      <w:r w:rsidRPr="00982564">
        <w:rPr>
          <w:rFonts w:cs="Arial"/>
          <w:i/>
          <w:sz w:val="22"/>
          <w:szCs w:val="22"/>
        </w:rPr>
        <w:t>Ministère de l’Environnement et Développement Durable</w:t>
      </w:r>
      <w:bookmarkEnd w:id="265"/>
      <w:bookmarkEnd w:id="266"/>
      <w:r w:rsidRPr="00982564">
        <w:rPr>
          <w:rFonts w:cs="Arial"/>
          <w:i/>
          <w:sz w:val="22"/>
          <w:szCs w:val="22"/>
        </w:rPr>
        <w:t xml:space="preserve"> </w:t>
      </w:r>
      <w:bookmarkEnd w:id="267"/>
    </w:p>
    <w:p w14:paraId="6D8E0DD8" w14:textId="77777777" w:rsidR="001C2F95" w:rsidRPr="00982564" w:rsidRDefault="001C2F95" w:rsidP="001C2F95">
      <w:pPr>
        <w:rPr>
          <w:rFonts w:cs="Arial"/>
          <w:sz w:val="22"/>
        </w:rPr>
      </w:pPr>
    </w:p>
    <w:p w14:paraId="7DB5FE31" w14:textId="77777777" w:rsidR="001C2F95" w:rsidRPr="00982564" w:rsidRDefault="001C2F95" w:rsidP="001C2F95">
      <w:pPr>
        <w:rPr>
          <w:rFonts w:cs="Arial"/>
          <w:sz w:val="22"/>
        </w:rPr>
      </w:pPr>
      <w:r w:rsidRPr="00982564">
        <w:rPr>
          <w:rFonts w:cs="Arial"/>
          <w:sz w:val="22"/>
        </w:rPr>
        <w:t xml:space="preserve">Le Ministère de l’Environnement </w:t>
      </w:r>
      <w:r w:rsidRPr="00982564">
        <w:rPr>
          <w:rFonts w:cs="Arial"/>
          <w:iCs/>
          <w:sz w:val="22"/>
        </w:rPr>
        <w:t>et Développement Durable</w:t>
      </w:r>
      <w:r w:rsidRPr="00982564">
        <w:rPr>
          <w:rFonts w:cs="Arial"/>
          <w:sz w:val="22"/>
        </w:rPr>
        <w:t xml:space="preserve"> prépare et met en œuvre la politique du Gouvernement dans les domaines de l’environnement et de la protection de la nature. À ce titre, il est directement responsable de la lutte contre les pollutions de toute nature et de la lutte contre la désertification, de la protection et de la régénération des sols, des forêts et autres espaces boisés, de l’exploitation rationnelle des ressources forestières, ainsi que de la défense des espèces animales et végétales et des milieux naturels. Il a autorité sur les parcs et sur les réserves. </w:t>
      </w:r>
    </w:p>
    <w:p w14:paraId="49E59F34" w14:textId="77777777" w:rsidR="001C2F95" w:rsidRPr="00982564" w:rsidRDefault="001C2F95" w:rsidP="001C2F95">
      <w:pPr>
        <w:rPr>
          <w:rFonts w:cs="Arial"/>
          <w:sz w:val="22"/>
        </w:rPr>
      </w:pPr>
    </w:p>
    <w:p w14:paraId="09195C0B" w14:textId="77777777" w:rsidR="001C2F95" w:rsidRPr="00982564" w:rsidRDefault="001C2F95" w:rsidP="001C2F95">
      <w:pPr>
        <w:rPr>
          <w:rFonts w:cs="Arial"/>
          <w:sz w:val="22"/>
        </w:rPr>
      </w:pPr>
      <w:r w:rsidRPr="00982564">
        <w:rPr>
          <w:rFonts w:cs="Arial"/>
          <w:sz w:val="22"/>
        </w:rPr>
        <w:t>Le MEDD compte en son sein des Directions et des Cellules. Il s’agit de la Direction de la Gestion forestière, de la Direction de la Conservation de la nature, de la Direction de Contrôle et de Vérification Interne (DCVI) pour la gestion et le suivi des activités aux postes de contrôle faunique et floristique, de la Direction du Développement Durable et de la Direction de l’Assainissement. D’autres structures sont rattachées au MEDD au niveau provincial, on note les Coordinations Provinciales de l’Environnement et les Coordinations Urbaines de l’Environnement.</w:t>
      </w:r>
    </w:p>
    <w:p w14:paraId="2CECD6C8" w14:textId="77777777" w:rsidR="001C2F95" w:rsidRPr="00982564" w:rsidRDefault="001C2F95" w:rsidP="001C2F95">
      <w:pPr>
        <w:rPr>
          <w:rFonts w:cs="Arial"/>
          <w:sz w:val="22"/>
        </w:rPr>
      </w:pPr>
      <w:r w:rsidRPr="00982564">
        <w:rPr>
          <w:rFonts w:cs="Arial"/>
          <w:sz w:val="22"/>
        </w:rPr>
        <w:t xml:space="preserve">Dans la conduite et le suivi des procédures des ÉIES, le MEDD s’appuie sur l’ACE. </w:t>
      </w:r>
    </w:p>
    <w:p w14:paraId="14F886C2" w14:textId="77777777" w:rsidR="001C2F95" w:rsidRPr="00982564" w:rsidRDefault="001C2F95" w:rsidP="001C2F95">
      <w:pPr>
        <w:rPr>
          <w:rFonts w:cs="Arial"/>
          <w:sz w:val="22"/>
        </w:rPr>
      </w:pPr>
    </w:p>
    <w:p w14:paraId="1D567AA0" w14:textId="77777777" w:rsidR="001C2F95" w:rsidRPr="00982564" w:rsidRDefault="001C2F95" w:rsidP="001C2F95">
      <w:pPr>
        <w:pStyle w:val="Titre2"/>
        <w:rPr>
          <w:rFonts w:cs="Arial"/>
          <w:i/>
          <w:sz w:val="22"/>
          <w:szCs w:val="22"/>
        </w:rPr>
      </w:pPr>
      <w:bookmarkStart w:id="268" w:name="_Toc44626819"/>
      <w:bookmarkStart w:id="269" w:name="_Toc45269705"/>
      <w:bookmarkStart w:id="270" w:name="_Toc64026137"/>
      <w:bookmarkStart w:id="271" w:name="_Toc70327004"/>
      <w:bookmarkStart w:id="272" w:name="_Toc70330367"/>
      <w:bookmarkStart w:id="273" w:name="_Toc487204590"/>
      <w:r w:rsidRPr="00982564">
        <w:rPr>
          <w:rFonts w:cs="Arial"/>
          <w:i/>
          <w:sz w:val="22"/>
          <w:szCs w:val="22"/>
        </w:rPr>
        <w:t>Agence Congolaise de l’Environnement</w:t>
      </w:r>
      <w:bookmarkEnd w:id="268"/>
      <w:bookmarkEnd w:id="269"/>
      <w:bookmarkEnd w:id="270"/>
      <w:bookmarkEnd w:id="271"/>
      <w:bookmarkEnd w:id="272"/>
      <w:r w:rsidRPr="00982564">
        <w:rPr>
          <w:rFonts w:cs="Arial"/>
          <w:i/>
          <w:sz w:val="22"/>
          <w:szCs w:val="22"/>
        </w:rPr>
        <w:t xml:space="preserve"> </w:t>
      </w:r>
      <w:bookmarkEnd w:id="273"/>
    </w:p>
    <w:p w14:paraId="19AAFDCE" w14:textId="77777777" w:rsidR="001C2F95" w:rsidRPr="00982564" w:rsidRDefault="001C2F95" w:rsidP="001C2F95">
      <w:pPr>
        <w:rPr>
          <w:rFonts w:cs="Arial"/>
          <w:sz w:val="22"/>
        </w:rPr>
      </w:pPr>
    </w:p>
    <w:p w14:paraId="4FD78BB8" w14:textId="77777777" w:rsidR="001C2F95" w:rsidRPr="00982564" w:rsidRDefault="001C2F95" w:rsidP="001C2F95">
      <w:pPr>
        <w:rPr>
          <w:rFonts w:cs="Arial"/>
          <w:sz w:val="22"/>
        </w:rPr>
      </w:pPr>
      <w:r w:rsidRPr="00982564">
        <w:rPr>
          <w:rFonts w:cs="Arial"/>
          <w:sz w:val="22"/>
        </w:rPr>
        <w:t>Le Décret n° 14/030 du 18 novembre 2014 fixant les statuts d’un Établissement Public dénommé Agence Congolaise de l’Environnement.</w:t>
      </w:r>
    </w:p>
    <w:p w14:paraId="1B18016A" w14:textId="77777777" w:rsidR="001C2F95" w:rsidRPr="00982564" w:rsidRDefault="001C2F95" w:rsidP="001C2F95">
      <w:pPr>
        <w:rPr>
          <w:rFonts w:cs="Arial"/>
          <w:sz w:val="22"/>
        </w:rPr>
      </w:pPr>
    </w:p>
    <w:p w14:paraId="02FB04BF" w14:textId="77777777" w:rsidR="001C2F95" w:rsidRPr="00982564" w:rsidRDefault="001C2F95" w:rsidP="001C2F95">
      <w:pPr>
        <w:rPr>
          <w:rFonts w:cs="Arial"/>
          <w:sz w:val="22"/>
        </w:rPr>
      </w:pPr>
      <w:r w:rsidRPr="00982564">
        <w:rPr>
          <w:rFonts w:cs="Arial"/>
          <w:sz w:val="22"/>
        </w:rPr>
        <w:t>L’Agence est régie par la Loi n° 08/009 du 07 juillet 2008 portant dispositions générales applicables aux Établissements Publics et par le Décret sus évoqué.</w:t>
      </w:r>
    </w:p>
    <w:p w14:paraId="72F1C091" w14:textId="77777777" w:rsidR="001C2F95" w:rsidRPr="00982564" w:rsidRDefault="001C2F95" w:rsidP="001C2F95">
      <w:pPr>
        <w:rPr>
          <w:rFonts w:cs="Arial"/>
          <w:sz w:val="22"/>
        </w:rPr>
      </w:pPr>
    </w:p>
    <w:p w14:paraId="3F7568D3" w14:textId="77777777" w:rsidR="001C2F95" w:rsidRPr="00982564" w:rsidRDefault="001C2F95" w:rsidP="001C2F95">
      <w:pPr>
        <w:rPr>
          <w:rFonts w:cs="Arial"/>
          <w:sz w:val="22"/>
        </w:rPr>
      </w:pPr>
      <w:r w:rsidRPr="00982564">
        <w:rPr>
          <w:rFonts w:cs="Arial"/>
          <w:sz w:val="22"/>
        </w:rPr>
        <w:t>L’Agence a pour objet l’évaluation et l’approbation de l’ensemble des études environnementales et sociales ainsi que le suivi de leur mise en œuvre.</w:t>
      </w:r>
    </w:p>
    <w:p w14:paraId="164331A9" w14:textId="77777777" w:rsidR="001C2F95" w:rsidRPr="00982564" w:rsidRDefault="001C2F95" w:rsidP="001C2F95">
      <w:pPr>
        <w:rPr>
          <w:rFonts w:cs="Arial"/>
          <w:sz w:val="22"/>
        </w:rPr>
      </w:pPr>
    </w:p>
    <w:p w14:paraId="2AD4CD0E" w14:textId="77777777" w:rsidR="001C2F95" w:rsidRPr="00982564" w:rsidRDefault="001C2F95" w:rsidP="001C2F95">
      <w:pPr>
        <w:rPr>
          <w:rFonts w:cs="Arial"/>
          <w:sz w:val="22"/>
        </w:rPr>
      </w:pPr>
      <w:r w:rsidRPr="00982564">
        <w:rPr>
          <w:rFonts w:cs="Arial"/>
          <w:sz w:val="22"/>
        </w:rPr>
        <w:t xml:space="preserve">Sans préjudice des dispositions de l’article 71 de la Loi n°11/009 du 09 juillet 2011 portant principes fondamentaux relatifs à la protection de l’environnement, elle veille à la prise en compte de la protection de l’environnement dans l’exécution de tout projet de développement, d’infrastructures ou d’exploitation de toute activités industrielle, commerciale, agricole, forestière, minière, de télécommunication ou autre, susceptible d’avoir un impact sur l’environnement. Elle dispose des compétences humaines requises dans le domaine des Évaluations et Études d’Impacts sur l’Environnement, pour mener à bien sa mission. Toutefois, ses capacités matérielles et financières sont relativement réduites pour lui permettre d’assurer correctement l’accomplissement de sa mission. </w:t>
      </w:r>
    </w:p>
    <w:p w14:paraId="40CB4F74" w14:textId="77777777" w:rsidR="000B4ED9" w:rsidRPr="00982564" w:rsidRDefault="000B4ED9" w:rsidP="001C2F95">
      <w:pPr>
        <w:rPr>
          <w:rFonts w:cs="Arial"/>
          <w:sz w:val="22"/>
        </w:rPr>
      </w:pPr>
    </w:p>
    <w:p w14:paraId="52B3E5EA" w14:textId="77777777" w:rsidR="001C2F95" w:rsidRPr="00982564" w:rsidRDefault="001C2F95" w:rsidP="001C2F95">
      <w:pPr>
        <w:pStyle w:val="Titre2"/>
        <w:rPr>
          <w:rFonts w:cs="Arial"/>
          <w:i/>
          <w:sz w:val="22"/>
          <w:szCs w:val="22"/>
        </w:rPr>
      </w:pPr>
      <w:bookmarkStart w:id="274" w:name="_Toc44626820"/>
      <w:bookmarkStart w:id="275" w:name="_Toc45269706"/>
      <w:bookmarkStart w:id="276" w:name="_Toc64026138"/>
      <w:bookmarkStart w:id="277" w:name="_Toc70327005"/>
      <w:bookmarkStart w:id="278" w:name="_Toc70330368"/>
      <w:r w:rsidRPr="00982564">
        <w:rPr>
          <w:rFonts w:cs="Arial"/>
          <w:i/>
          <w:sz w:val="22"/>
          <w:szCs w:val="22"/>
        </w:rPr>
        <w:t>Institut Congolais pour la Conservation de la Nature</w:t>
      </w:r>
      <w:bookmarkEnd w:id="274"/>
      <w:bookmarkEnd w:id="275"/>
      <w:bookmarkEnd w:id="276"/>
      <w:bookmarkEnd w:id="277"/>
      <w:bookmarkEnd w:id="278"/>
      <w:r w:rsidRPr="00982564">
        <w:rPr>
          <w:rFonts w:cs="Arial"/>
          <w:i/>
          <w:sz w:val="22"/>
          <w:szCs w:val="22"/>
        </w:rPr>
        <w:t xml:space="preserve"> </w:t>
      </w:r>
    </w:p>
    <w:p w14:paraId="5A881481" w14:textId="77777777" w:rsidR="001C2F95" w:rsidRPr="00982564" w:rsidRDefault="001C2F95" w:rsidP="001C2F95">
      <w:pPr>
        <w:autoSpaceDE w:val="0"/>
        <w:autoSpaceDN w:val="0"/>
        <w:adjustRightInd w:val="0"/>
        <w:rPr>
          <w:rFonts w:eastAsia="Calibri" w:cs="Arial"/>
          <w:color w:val="000000"/>
          <w:sz w:val="22"/>
        </w:rPr>
      </w:pPr>
    </w:p>
    <w:p w14:paraId="3187722E" w14:textId="77777777" w:rsidR="001C2F95" w:rsidRPr="00982564" w:rsidRDefault="001C2F95" w:rsidP="001C2F95">
      <w:pPr>
        <w:pStyle w:val="oknormal"/>
        <w:rPr>
          <w:sz w:val="22"/>
          <w:szCs w:val="22"/>
          <w:lang w:bidi="ar-SA"/>
        </w:rPr>
      </w:pPr>
      <w:r w:rsidRPr="00982564">
        <w:rPr>
          <w:sz w:val="22"/>
          <w:szCs w:val="22"/>
          <w:lang w:bidi="ar-SA"/>
        </w:rPr>
        <w:t>L’Institut Congolais pour la Conservation de la Nature (ICCN) a été transformé en un Établissement Public par le Décret n °10/15 du 10 avril 2010 qui fixe ses statuts et définit son objet social. Il est désormais également régi par la Loi n°08/09 du 7 juillet 2008 portant dispositions générales applicables aux établissements publics. Il dispose toujours d’une personnalité juridique propre et d’une autonomie de gestion financière et administrative.</w:t>
      </w:r>
    </w:p>
    <w:p w14:paraId="343415F8" w14:textId="77777777" w:rsidR="001C2F95" w:rsidRPr="00982564" w:rsidRDefault="001C2F95" w:rsidP="001C2F95">
      <w:pPr>
        <w:pStyle w:val="oknormal"/>
        <w:rPr>
          <w:sz w:val="22"/>
          <w:szCs w:val="22"/>
          <w:lang w:bidi="ar-SA"/>
        </w:rPr>
      </w:pPr>
    </w:p>
    <w:p w14:paraId="4D3B9AF8" w14:textId="77777777" w:rsidR="000B4ED9" w:rsidRDefault="001C2F95" w:rsidP="001C2F95">
      <w:pPr>
        <w:pStyle w:val="oknormal"/>
        <w:rPr>
          <w:sz w:val="22"/>
          <w:szCs w:val="22"/>
          <w:lang w:bidi="ar-SA"/>
        </w:rPr>
      </w:pPr>
      <w:r w:rsidRPr="00982564">
        <w:rPr>
          <w:sz w:val="22"/>
          <w:szCs w:val="22"/>
          <w:lang w:bidi="ar-SA"/>
        </w:rPr>
        <w:t xml:space="preserve">Son objet fixé par décret est la conservation de la nature dans les aires protégées in et ex situ. </w:t>
      </w:r>
    </w:p>
    <w:p w14:paraId="02B4E7B3" w14:textId="77777777" w:rsidR="000B4ED9" w:rsidRDefault="000B4ED9" w:rsidP="001C2F95">
      <w:pPr>
        <w:pStyle w:val="oknormal"/>
        <w:rPr>
          <w:sz w:val="22"/>
          <w:szCs w:val="22"/>
          <w:lang w:bidi="ar-SA"/>
        </w:rPr>
      </w:pPr>
    </w:p>
    <w:p w14:paraId="71297C11" w14:textId="77777777" w:rsidR="001C2F95" w:rsidRPr="00982564" w:rsidRDefault="001C2F95" w:rsidP="001C2F95">
      <w:pPr>
        <w:pStyle w:val="oknormal"/>
        <w:rPr>
          <w:sz w:val="22"/>
          <w:szCs w:val="22"/>
          <w:lang w:bidi="ar-SA"/>
        </w:rPr>
      </w:pPr>
      <w:r w:rsidRPr="00982564">
        <w:rPr>
          <w:sz w:val="22"/>
          <w:szCs w:val="22"/>
          <w:lang w:bidi="ar-SA"/>
        </w:rPr>
        <w:t>À ce titre il est chargé notamment :</w:t>
      </w:r>
    </w:p>
    <w:p w14:paraId="5F89814D" w14:textId="77777777" w:rsidR="001C2F95" w:rsidRPr="00982564" w:rsidRDefault="001C2F95" w:rsidP="001C2F95">
      <w:pPr>
        <w:pStyle w:val="oknormal"/>
        <w:rPr>
          <w:sz w:val="22"/>
          <w:szCs w:val="22"/>
          <w:lang w:bidi="ar-SA"/>
        </w:rPr>
      </w:pPr>
    </w:p>
    <w:p w14:paraId="393251BF" w14:textId="77777777" w:rsidR="001C2F95" w:rsidRPr="00982564" w:rsidRDefault="001C2F95" w:rsidP="002378EA">
      <w:pPr>
        <w:pStyle w:val="okpuce1"/>
        <w:numPr>
          <w:ilvl w:val="0"/>
          <w:numId w:val="38"/>
        </w:numPr>
        <w:ind w:left="567" w:hanging="283"/>
        <w:rPr>
          <w:sz w:val="22"/>
          <w:szCs w:val="22"/>
        </w:rPr>
      </w:pPr>
      <w:r w:rsidRPr="00982564">
        <w:rPr>
          <w:sz w:val="22"/>
          <w:szCs w:val="22"/>
        </w:rPr>
        <w:t>D’assurer la protection de la faune et de la flore ;</w:t>
      </w:r>
    </w:p>
    <w:p w14:paraId="5A76E001" w14:textId="77777777" w:rsidR="001C2F95" w:rsidRPr="00982564" w:rsidRDefault="001C2F95" w:rsidP="002378EA">
      <w:pPr>
        <w:pStyle w:val="okpuce1"/>
        <w:numPr>
          <w:ilvl w:val="0"/>
          <w:numId w:val="38"/>
        </w:numPr>
        <w:ind w:left="567" w:hanging="283"/>
        <w:rPr>
          <w:sz w:val="22"/>
          <w:szCs w:val="22"/>
        </w:rPr>
      </w:pPr>
      <w:r w:rsidRPr="00982564">
        <w:rPr>
          <w:sz w:val="22"/>
          <w:szCs w:val="22"/>
        </w:rPr>
        <w:t>De valoriser la biodiversité en favorisant la recherche scientifique et en facilitant les activités d’écotourisme conformément à la législation en vigueur et dans le respect des principes fondamentaux de la conservation ;</w:t>
      </w:r>
    </w:p>
    <w:p w14:paraId="1D7C7B7B" w14:textId="77777777" w:rsidR="001C2F95" w:rsidRPr="00982564" w:rsidRDefault="001C2F95" w:rsidP="002378EA">
      <w:pPr>
        <w:pStyle w:val="okpuce1"/>
        <w:numPr>
          <w:ilvl w:val="0"/>
          <w:numId w:val="38"/>
        </w:numPr>
        <w:ind w:left="567" w:hanging="283"/>
        <w:rPr>
          <w:sz w:val="22"/>
          <w:szCs w:val="22"/>
        </w:rPr>
      </w:pPr>
      <w:r w:rsidRPr="00982564">
        <w:rPr>
          <w:sz w:val="22"/>
          <w:szCs w:val="22"/>
        </w:rPr>
        <w:t>De réaliser ou faire réaliser les études et d’en assurer la vulgarisation à des fins scientifiques et didactiques dans le domaine de la conservation.</w:t>
      </w:r>
    </w:p>
    <w:p w14:paraId="4B99CD7D" w14:textId="77777777" w:rsidR="001C2F95" w:rsidRPr="00982564" w:rsidRDefault="001C2F95" w:rsidP="001C2F95">
      <w:pPr>
        <w:pStyle w:val="oknormal"/>
        <w:rPr>
          <w:sz w:val="22"/>
          <w:szCs w:val="22"/>
        </w:rPr>
      </w:pPr>
    </w:p>
    <w:p w14:paraId="666D09E7" w14:textId="77777777" w:rsidR="001C2F95" w:rsidRPr="00982564" w:rsidRDefault="001C2F95" w:rsidP="001C2F95">
      <w:pPr>
        <w:pStyle w:val="oknormal"/>
        <w:rPr>
          <w:sz w:val="22"/>
          <w:szCs w:val="22"/>
        </w:rPr>
      </w:pPr>
      <w:r w:rsidRPr="00982564">
        <w:rPr>
          <w:sz w:val="22"/>
          <w:szCs w:val="22"/>
        </w:rPr>
        <w:t xml:space="preserve">La vision nouvelle dont est doté l’ICCN est libellée comme suit : Assurer la conservation et la gestion efficace et durable de la biodiversité dans le réseau national d’aires protégées de la RDC, en coopération avec les communautés locales et les autres partenaires pour le bien-être des populations congolaises et de toute l’humanité ». </w:t>
      </w:r>
    </w:p>
    <w:p w14:paraId="0021C66D" w14:textId="77777777" w:rsidR="001C2F95" w:rsidRPr="00982564" w:rsidRDefault="001C2F95" w:rsidP="001C2F95">
      <w:pPr>
        <w:pStyle w:val="oknormal"/>
        <w:rPr>
          <w:sz w:val="22"/>
          <w:szCs w:val="22"/>
        </w:rPr>
      </w:pPr>
    </w:p>
    <w:p w14:paraId="2AC5FF78" w14:textId="77777777" w:rsidR="001C2F95" w:rsidRPr="00982564" w:rsidRDefault="001C2F95" w:rsidP="001C2F95">
      <w:pPr>
        <w:autoSpaceDE w:val="0"/>
        <w:autoSpaceDN w:val="0"/>
        <w:adjustRightInd w:val="0"/>
        <w:rPr>
          <w:rFonts w:eastAsia="Calibri" w:cs="Arial"/>
          <w:color w:val="000000"/>
          <w:sz w:val="22"/>
        </w:rPr>
      </w:pPr>
      <w:r w:rsidRPr="00982564">
        <w:rPr>
          <w:rFonts w:eastAsia="Calibri" w:cs="Arial"/>
          <w:color w:val="000000"/>
          <w:sz w:val="22"/>
        </w:rPr>
        <w:t>Dans le cadre du PNDA, l’ICCN sera associé pour s’assurer qu’aucune activité du Projet ne puisse impacter le Domaine Chasse d’Idiofa et la Réserve à hippopotames de Mangai (DCRHM) ont été créés par les Arrêtés n°205/Agri du 14 juin 1940 et 414/Agri du 3 juillet 1944, le Parc National de Virunga (PNVi) dans le Nord-Kivu et le Domaine de chasse de Bushimaie dans le Kasaï Central vers Luiza et</w:t>
      </w:r>
      <w:r w:rsidRPr="00982564">
        <w:rPr>
          <w:rFonts w:cs="Arial"/>
          <w:sz w:val="22"/>
        </w:rPr>
        <w:t xml:space="preserve"> </w:t>
      </w:r>
      <w:r w:rsidRPr="00982564">
        <w:rPr>
          <w:rFonts w:eastAsia="Calibri" w:cs="Arial"/>
          <w:color w:val="000000"/>
          <w:sz w:val="22"/>
        </w:rPr>
        <w:t xml:space="preserve">le Parc Salonga dans le Kasaï. </w:t>
      </w:r>
    </w:p>
    <w:p w14:paraId="08E65718" w14:textId="77777777" w:rsidR="001C2F95" w:rsidRPr="00982564" w:rsidRDefault="001C2F95" w:rsidP="001C2F95">
      <w:pPr>
        <w:autoSpaceDE w:val="0"/>
        <w:autoSpaceDN w:val="0"/>
        <w:adjustRightInd w:val="0"/>
        <w:rPr>
          <w:rFonts w:eastAsia="Calibri" w:cs="Arial"/>
          <w:color w:val="000000"/>
          <w:sz w:val="22"/>
        </w:rPr>
      </w:pPr>
    </w:p>
    <w:p w14:paraId="07A7F3F0" w14:textId="77777777" w:rsidR="001C2F95" w:rsidRPr="00982564" w:rsidRDefault="001C2F95" w:rsidP="001C2F95">
      <w:pPr>
        <w:pStyle w:val="Titre2"/>
        <w:numPr>
          <w:ilvl w:val="2"/>
          <w:numId w:val="4"/>
        </w:numPr>
        <w:ind w:left="1560" w:hanging="709"/>
        <w:rPr>
          <w:rFonts w:cs="Arial"/>
          <w:i/>
          <w:sz w:val="22"/>
          <w:szCs w:val="22"/>
        </w:rPr>
      </w:pPr>
      <w:bookmarkStart w:id="279" w:name="_Toc44626821"/>
      <w:bookmarkStart w:id="280" w:name="_Toc70330369"/>
      <w:r w:rsidRPr="00982564">
        <w:rPr>
          <w:rFonts w:cs="Arial"/>
          <w:i/>
          <w:sz w:val="22"/>
          <w:szCs w:val="22"/>
        </w:rPr>
        <w:t>Agence Congolaise de Transition Écologique et Développement Durable (ACTEDD)</w:t>
      </w:r>
      <w:bookmarkEnd w:id="279"/>
      <w:bookmarkEnd w:id="280"/>
    </w:p>
    <w:p w14:paraId="5145E4DA" w14:textId="77777777" w:rsidR="001C2F95" w:rsidRPr="00982564" w:rsidRDefault="001C2F95" w:rsidP="001C2F95">
      <w:pPr>
        <w:rPr>
          <w:rFonts w:cs="Arial"/>
          <w:sz w:val="22"/>
        </w:rPr>
      </w:pPr>
    </w:p>
    <w:p w14:paraId="01694E8C" w14:textId="77777777" w:rsidR="001C2F95" w:rsidRPr="00982564" w:rsidRDefault="001C2F95" w:rsidP="001C2F95">
      <w:pPr>
        <w:autoSpaceDE w:val="0"/>
        <w:autoSpaceDN w:val="0"/>
        <w:adjustRightInd w:val="0"/>
        <w:rPr>
          <w:rFonts w:eastAsia="Calibri" w:cs="Arial"/>
          <w:color w:val="000000"/>
          <w:sz w:val="22"/>
        </w:rPr>
      </w:pPr>
      <w:r w:rsidRPr="00982564">
        <w:rPr>
          <w:rFonts w:eastAsia="Calibri" w:cs="Arial"/>
          <w:color w:val="000000"/>
          <w:sz w:val="22"/>
        </w:rPr>
        <w:t>L’Ordonnance n° 01/013 du 28 février 2020 portant création de l’Agence Congolaise de Transition Écologique et Développement Durable. Elle a pour mission de concevoir, de coordonner et d’implémenter les politiques nationales relatives à la transition écologique en RDC.</w:t>
      </w:r>
    </w:p>
    <w:p w14:paraId="3FF7120C" w14:textId="77777777" w:rsidR="001C2F95" w:rsidRPr="00982564" w:rsidRDefault="001C2F95" w:rsidP="001C2F95">
      <w:pPr>
        <w:autoSpaceDE w:val="0"/>
        <w:autoSpaceDN w:val="0"/>
        <w:adjustRightInd w:val="0"/>
        <w:rPr>
          <w:rFonts w:eastAsia="Calibri" w:cs="Arial"/>
          <w:color w:val="000000"/>
          <w:sz w:val="22"/>
        </w:rPr>
      </w:pPr>
    </w:p>
    <w:p w14:paraId="047C3141" w14:textId="77777777" w:rsidR="001C2F95" w:rsidRDefault="001C2F95" w:rsidP="001C2F95">
      <w:pPr>
        <w:autoSpaceDE w:val="0"/>
        <w:autoSpaceDN w:val="0"/>
        <w:adjustRightInd w:val="0"/>
        <w:rPr>
          <w:rFonts w:eastAsia="Calibri" w:cs="Arial"/>
          <w:color w:val="000000"/>
          <w:sz w:val="22"/>
        </w:rPr>
      </w:pPr>
      <w:r w:rsidRPr="00982564">
        <w:rPr>
          <w:rFonts w:eastAsia="Calibri" w:cs="Arial"/>
          <w:color w:val="000000"/>
          <w:sz w:val="22"/>
        </w:rPr>
        <w:t>Cette Agence est chargée d’étudier, d’analyser et évaluer toutes les questions qui lui sont soumises par le Président de la République en rapport avec la transition écologique et le développement durable. Elle devra aussi établir les indicateurs nationaux de performance de développement durable pour mesurer l’avancement de la transition écologique.</w:t>
      </w:r>
    </w:p>
    <w:p w14:paraId="2B7A2FDB" w14:textId="77777777" w:rsidR="001E4043" w:rsidRPr="00982564" w:rsidRDefault="001E4043" w:rsidP="001C2F95">
      <w:pPr>
        <w:autoSpaceDE w:val="0"/>
        <w:autoSpaceDN w:val="0"/>
        <w:adjustRightInd w:val="0"/>
        <w:rPr>
          <w:rFonts w:eastAsia="Calibri" w:cs="Arial"/>
          <w:color w:val="000000"/>
          <w:sz w:val="22"/>
        </w:rPr>
      </w:pPr>
    </w:p>
    <w:p w14:paraId="098AA29A" w14:textId="77777777" w:rsidR="001C2F95" w:rsidRPr="00982564" w:rsidRDefault="001C2F95" w:rsidP="001C2F95">
      <w:pPr>
        <w:pStyle w:val="Titre2"/>
        <w:numPr>
          <w:ilvl w:val="2"/>
          <w:numId w:val="4"/>
        </w:numPr>
        <w:ind w:left="1560" w:hanging="709"/>
        <w:rPr>
          <w:rFonts w:cs="Arial"/>
          <w:i/>
          <w:sz w:val="22"/>
          <w:szCs w:val="22"/>
        </w:rPr>
      </w:pPr>
      <w:bookmarkStart w:id="281" w:name="_Toc44626822"/>
      <w:bookmarkStart w:id="282" w:name="_Toc70330370"/>
      <w:r w:rsidRPr="00982564">
        <w:rPr>
          <w:rFonts w:cs="Arial"/>
          <w:i/>
          <w:sz w:val="22"/>
          <w:szCs w:val="22"/>
        </w:rPr>
        <w:t>Ministère des Affaires Foncières</w:t>
      </w:r>
      <w:bookmarkEnd w:id="281"/>
      <w:bookmarkEnd w:id="282"/>
    </w:p>
    <w:p w14:paraId="268CB0B5" w14:textId="77777777" w:rsidR="001C2F95" w:rsidRPr="00982564" w:rsidRDefault="001C2F95" w:rsidP="001C2F95">
      <w:pPr>
        <w:pStyle w:val="Corpsdetexte"/>
        <w:spacing w:before="6" w:line="276" w:lineRule="auto"/>
        <w:rPr>
          <w:rFonts w:cs="Arial"/>
          <w:i/>
          <w:sz w:val="22"/>
          <w:szCs w:val="22"/>
        </w:rPr>
      </w:pPr>
    </w:p>
    <w:p w14:paraId="7E63E385" w14:textId="77777777" w:rsidR="001C2F95" w:rsidRPr="00982564" w:rsidRDefault="001C2F95" w:rsidP="001C2F95">
      <w:pPr>
        <w:pStyle w:val="Corpsdetexte"/>
        <w:spacing w:line="276" w:lineRule="auto"/>
        <w:ind w:right="-46"/>
        <w:rPr>
          <w:rFonts w:cs="Arial"/>
          <w:sz w:val="22"/>
          <w:szCs w:val="22"/>
        </w:rPr>
      </w:pPr>
      <w:r w:rsidRPr="00982564">
        <w:rPr>
          <w:rFonts w:cs="Arial"/>
          <w:sz w:val="22"/>
          <w:szCs w:val="22"/>
        </w:rPr>
        <w:t>Le Ministère des Affaires Foncières a pour attribution :</w:t>
      </w:r>
    </w:p>
    <w:p w14:paraId="591C685D" w14:textId="77777777" w:rsidR="001C2F95" w:rsidRPr="00982564" w:rsidRDefault="001C2F95" w:rsidP="001C2F95">
      <w:pPr>
        <w:pStyle w:val="Corpsdetexte"/>
        <w:spacing w:line="276" w:lineRule="auto"/>
        <w:ind w:right="1012"/>
        <w:rPr>
          <w:rFonts w:cs="Arial"/>
          <w:sz w:val="22"/>
          <w:szCs w:val="22"/>
        </w:rPr>
      </w:pPr>
    </w:p>
    <w:p w14:paraId="31DCAC26" w14:textId="77777777" w:rsidR="001C2F95" w:rsidRPr="00982564" w:rsidRDefault="001C2F95" w:rsidP="002378EA">
      <w:pPr>
        <w:pStyle w:val="okpuce1"/>
        <w:numPr>
          <w:ilvl w:val="0"/>
          <w:numId w:val="38"/>
        </w:numPr>
        <w:ind w:left="567" w:hanging="283"/>
        <w:rPr>
          <w:sz w:val="22"/>
          <w:szCs w:val="22"/>
        </w:rPr>
      </w:pPr>
      <w:r w:rsidRPr="00982564">
        <w:rPr>
          <w:sz w:val="22"/>
          <w:szCs w:val="22"/>
        </w:rPr>
        <w:t>Application et vulgarisation de la législation foncière et immobilière ;</w:t>
      </w:r>
    </w:p>
    <w:p w14:paraId="79C50B03" w14:textId="77777777" w:rsidR="001C2F95" w:rsidRPr="00982564" w:rsidRDefault="001C2F95" w:rsidP="002378EA">
      <w:pPr>
        <w:pStyle w:val="okpuce1"/>
        <w:numPr>
          <w:ilvl w:val="0"/>
          <w:numId w:val="38"/>
        </w:numPr>
        <w:ind w:left="567" w:hanging="283"/>
        <w:rPr>
          <w:sz w:val="22"/>
          <w:szCs w:val="22"/>
        </w:rPr>
      </w:pPr>
      <w:r w:rsidRPr="00982564">
        <w:rPr>
          <w:sz w:val="22"/>
          <w:szCs w:val="22"/>
        </w:rPr>
        <w:t>Notariat en matière foncière et cadastrale ;</w:t>
      </w:r>
    </w:p>
    <w:p w14:paraId="174470CC" w14:textId="77777777" w:rsidR="001C2F95" w:rsidRPr="00982564" w:rsidRDefault="001C2F95" w:rsidP="002378EA">
      <w:pPr>
        <w:pStyle w:val="okpuce1"/>
        <w:numPr>
          <w:ilvl w:val="0"/>
          <w:numId w:val="38"/>
        </w:numPr>
        <w:ind w:left="567" w:hanging="283"/>
        <w:rPr>
          <w:sz w:val="22"/>
          <w:szCs w:val="22"/>
        </w:rPr>
      </w:pPr>
      <w:r w:rsidRPr="00982564">
        <w:rPr>
          <w:sz w:val="22"/>
          <w:szCs w:val="22"/>
        </w:rPr>
        <w:t>Gestion et octroi des titres immobiliers ;</w:t>
      </w:r>
    </w:p>
    <w:p w14:paraId="37A7FB95" w14:textId="77777777" w:rsidR="001C2F95" w:rsidRPr="00982564" w:rsidRDefault="001C2F95" w:rsidP="002378EA">
      <w:pPr>
        <w:pStyle w:val="okpuce1"/>
        <w:numPr>
          <w:ilvl w:val="0"/>
          <w:numId w:val="38"/>
        </w:numPr>
        <w:ind w:left="567" w:hanging="283"/>
        <w:rPr>
          <w:sz w:val="22"/>
          <w:szCs w:val="22"/>
        </w:rPr>
      </w:pPr>
      <w:r w:rsidRPr="00982564">
        <w:rPr>
          <w:sz w:val="22"/>
          <w:szCs w:val="22"/>
        </w:rPr>
        <w:t>Lotissement en collaboration avec le Ministère de l’Urbanisme et Habitat ;</w:t>
      </w:r>
    </w:p>
    <w:p w14:paraId="426B42D1" w14:textId="77777777" w:rsidR="001C2F95" w:rsidRPr="00982564" w:rsidRDefault="001C2F95" w:rsidP="002378EA">
      <w:pPr>
        <w:pStyle w:val="okpuce1"/>
        <w:numPr>
          <w:ilvl w:val="0"/>
          <w:numId w:val="38"/>
        </w:numPr>
        <w:ind w:left="567" w:hanging="283"/>
        <w:rPr>
          <w:sz w:val="22"/>
          <w:szCs w:val="22"/>
        </w:rPr>
      </w:pPr>
      <w:r w:rsidRPr="00982564">
        <w:rPr>
          <w:sz w:val="22"/>
          <w:szCs w:val="22"/>
        </w:rPr>
        <w:t>Octroi des parcelles en vue de la mise en valeur.</w:t>
      </w:r>
    </w:p>
    <w:p w14:paraId="27EF34E7" w14:textId="77777777" w:rsidR="001C2F95" w:rsidRPr="00982564" w:rsidRDefault="001C2F95" w:rsidP="001C2F95">
      <w:pPr>
        <w:rPr>
          <w:rFonts w:cs="Arial"/>
          <w:sz w:val="22"/>
        </w:rPr>
      </w:pPr>
    </w:p>
    <w:p w14:paraId="1ECD47C1" w14:textId="77777777" w:rsidR="001C2F95" w:rsidRPr="00982564" w:rsidRDefault="001C2F95" w:rsidP="001C2F95">
      <w:pPr>
        <w:rPr>
          <w:rFonts w:cs="Arial"/>
          <w:i/>
          <w:sz w:val="22"/>
        </w:rPr>
      </w:pPr>
      <w:r w:rsidRPr="00982564">
        <w:rPr>
          <w:rFonts w:cs="Arial"/>
          <w:sz w:val="22"/>
        </w:rPr>
        <w:t>Aux</w:t>
      </w:r>
      <w:r w:rsidRPr="00982564">
        <w:rPr>
          <w:rFonts w:cs="Arial"/>
          <w:spacing w:val="-17"/>
          <w:sz w:val="22"/>
        </w:rPr>
        <w:t xml:space="preserve"> </w:t>
      </w:r>
      <w:r w:rsidRPr="00982564">
        <w:rPr>
          <w:rFonts w:cs="Arial"/>
          <w:sz w:val="22"/>
        </w:rPr>
        <w:t>termes</w:t>
      </w:r>
      <w:r w:rsidRPr="00982564">
        <w:rPr>
          <w:rFonts w:cs="Arial"/>
          <w:spacing w:val="-18"/>
          <w:sz w:val="22"/>
        </w:rPr>
        <w:t xml:space="preserve"> </w:t>
      </w:r>
      <w:r w:rsidRPr="00982564">
        <w:rPr>
          <w:rFonts w:cs="Arial"/>
          <w:sz w:val="22"/>
        </w:rPr>
        <w:t>de</w:t>
      </w:r>
      <w:r w:rsidRPr="00982564">
        <w:rPr>
          <w:rFonts w:cs="Arial"/>
          <w:spacing w:val="-18"/>
          <w:sz w:val="22"/>
        </w:rPr>
        <w:t xml:space="preserve"> </w:t>
      </w:r>
      <w:r w:rsidRPr="00982564">
        <w:rPr>
          <w:rFonts w:cs="Arial"/>
          <w:sz w:val="22"/>
        </w:rPr>
        <w:t>l’article</w:t>
      </w:r>
      <w:r w:rsidRPr="00982564">
        <w:rPr>
          <w:rFonts w:cs="Arial"/>
          <w:spacing w:val="-17"/>
          <w:sz w:val="22"/>
        </w:rPr>
        <w:t xml:space="preserve"> </w:t>
      </w:r>
      <w:r w:rsidRPr="00982564">
        <w:rPr>
          <w:rFonts w:cs="Arial"/>
          <w:sz w:val="22"/>
        </w:rPr>
        <w:t>181</w:t>
      </w:r>
      <w:r w:rsidRPr="00982564">
        <w:rPr>
          <w:rFonts w:cs="Arial"/>
          <w:spacing w:val="-17"/>
          <w:sz w:val="22"/>
        </w:rPr>
        <w:t xml:space="preserve"> </w:t>
      </w:r>
      <w:r w:rsidRPr="00982564">
        <w:rPr>
          <w:rFonts w:cs="Arial"/>
          <w:sz w:val="22"/>
        </w:rPr>
        <w:t>de</w:t>
      </w:r>
      <w:r w:rsidRPr="00982564">
        <w:rPr>
          <w:rFonts w:cs="Arial"/>
          <w:spacing w:val="-19"/>
          <w:sz w:val="22"/>
        </w:rPr>
        <w:t xml:space="preserve"> </w:t>
      </w:r>
      <w:r w:rsidRPr="00982564">
        <w:rPr>
          <w:rFonts w:cs="Arial"/>
          <w:sz w:val="22"/>
        </w:rPr>
        <w:t>la</w:t>
      </w:r>
      <w:r w:rsidRPr="00982564">
        <w:rPr>
          <w:rFonts w:cs="Arial"/>
          <w:spacing w:val="-17"/>
          <w:sz w:val="22"/>
        </w:rPr>
        <w:t xml:space="preserve"> </w:t>
      </w:r>
      <w:r w:rsidRPr="00982564">
        <w:rPr>
          <w:rFonts w:cs="Arial"/>
          <w:sz w:val="22"/>
        </w:rPr>
        <w:t>Loi</w:t>
      </w:r>
      <w:r w:rsidRPr="00982564">
        <w:rPr>
          <w:rFonts w:cs="Arial"/>
          <w:spacing w:val="-19"/>
          <w:sz w:val="22"/>
        </w:rPr>
        <w:t xml:space="preserve"> </w:t>
      </w:r>
      <w:r w:rsidRPr="00982564">
        <w:rPr>
          <w:rFonts w:cs="Arial"/>
          <w:sz w:val="22"/>
        </w:rPr>
        <w:t>foncière,</w:t>
      </w:r>
      <w:r w:rsidRPr="00982564">
        <w:rPr>
          <w:rFonts w:cs="Arial"/>
          <w:spacing w:val="-18"/>
          <w:sz w:val="22"/>
        </w:rPr>
        <w:t xml:space="preserve"> </w:t>
      </w:r>
      <w:r w:rsidRPr="00982564">
        <w:rPr>
          <w:rFonts w:cs="Arial"/>
          <w:sz w:val="22"/>
        </w:rPr>
        <w:t>ce</w:t>
      </w:r>
      <w:r w:rsidRPr="00982564">
        <w:rPr>
          <w:rFonts w:cs="Arial"/>
          <w:spacing w:val="-18"/>
          <w:sz w:val="22"/>
        </w:rPr>
        <w:t xml:space="preserve"> </w:t>
      </w:r>
      <w:r w:rsidRPr="00982564">
        <w:rPr>
          <w:rFonts w:cs="Arial"/>
          <w:sz w:val="22"/>
        </w:rPr>
        <w:t>ministère</w:t>
      </w:r>
      <w:r w:rsidRPr="00982564">
        <w:rPr>
          <w:rFonts w:cs="Arial"/>
          <w:spacing w:val="-17"/>
          <w:sz w:val="22"/>
        </w:rPr>
        <w:t xml:space="preserve"> </w:t>
      </w:r>
      <w:r w:rsidRPr="00982564">
        <w:rPr>
          <w:rFonts w:cs="Arial"/>
          <w:sz w:val="22"/>
        </w:rPr>
        <w:t>a</w:t>
      </w:r>
      <w:r w:rsidRPr="00982564">
        <w:rPr>
          <w:rFonts w:cs="Arial"/>
          <w:spacing w:val="-17"/>
          <w:sz w:val="22"/>
        </w:rPr>
        <w:t xml:space="preserve"> </w:t>
      </w:r>
      <w:r w:rsidRPr="00982564">
        <w:rPr>
          <w:rFonts w:cs="Arial"/>
          <w:sz w:val="22"/>
        </w:rPr>
        <w:t>dans</w:t>
      </w:r>
      <w:r w:rsidRPr="00982564">
        <w:rPr>
          <w:rFonts w:cs="Arial"/>
          <w:spacing w:val="-18"/>
          <w:sz w:val="22"/>
        </w:rPr>
        <w:t xml:space="preserve"> </w:t>
      </w:r>
      <w:r w:rsidRPr="00982564">
        <w:rPr>
          <w:rFonts w:cs="Arial"/>
          <w:sz w:val="22"/>
        </w:rPr>
        <w:t>ses</w:t>
      </w:r>
      <w:r w:rsidRPr="00982564">
        <w:rPr>
          <w:rFonts w:cs="Arial"/>
          <w:spacing w:val="-18"/>
          <w:sz w:val="22"/>
        </w:rPr>
        <w:t xml:space="preserve"> </w:t>
      </w:r>
      <w:r w:rsidRPr="00982564">
        <w:rPr>
          <w:rFonts w:cs="Arial"/>
          <w:sz w:val="22"/>
        </w:rPr>
        <w:t>attributions</w:t>
      </w:r>
      <w:r w:rsidRPr="00982564">
        <w:rPr>
          <w:rFonts w:cs="Arial"/>
          <w:spacing w:val="-18"/>
          <w:sz w:val="22"/>
        </w:rPr>
        <w:t xml:space="preserve"> </w:t>
      </w:r>
      <w:r w:rsidRPr="00982564">
        <w:rPr>
          <w:rFonts w:cs="Arial"/>
          <w:sz w:val="22"/>
        </w:rPr>
        <w:t>l’application</w:t>
      </w:r>
      <w:r w:rsidRPr="00982564">
        <w:rPr>
          <w:rFonts w:cs="Arial"/>
          <w:spacing w:val="-18"/>
          <w:sz w:val="22"/>
        </w:rPr>
        <w:t xml:space="preserve"> </w:t>
      </w:r>
      <w:r w:rsidRPr="00982564">
        <w:rPr>
          <w:rFonts w:cs="Arial"/>
          <w:sz w:val="22"/>
        </w:rPr>
        <w:t>de</w:t>
      </w:r>
      <w:r w:rsidRPr="00982564">
        <w:rPr>
          <w:rFonts w:cs="Arial"/>
          <w:spacing w:val="-18"/>
          <w:sz w:val="22"/>
        </w:rPr>
        <w:t xml:space="preserve"> </w:t>
      </w:r>
      <w:r w:rsidRPr="00982564">
        <w:rPr>
          <w:rFonts w:cs="Arial"/>
          <w:sz w:val="22"/>
        </w:rPr>
        <w:t>la politique</w:t>
      </w:r>
      <w:r w:rsidRPr="00982564">
        <w:rPr>
          <w:rFonts w:cs="Arial"/>
          <w:spacing w:val="-24"/>
          <w:sz w:val="22"/>
        </w:rPr>
        <w:t xml:space="preserve"> </w:t>
      </w:r>
      <w:r w:rsidRPr="00982564">
        <w:rPr>
          <w:rFonts w:cs="Arial"/>
          <w:sz w:val="22"/>
        </w:rPr>
        <w:t>de</w:t>
      </w:r>
      <w:r w:rsidRPr="00982564">
        <w:rPr>
          <w:rFonts w:cs="Arial"/>
          <w:spacing w:val="-25"/>
          <w:sz w:val="22"/>
        </w:rPr>
        <w:t xml:space="preserve"> </w:t>
      </w:r>
      <w:r w:rsidRPr="00982564">
        <w:rPr>
          <w:rFonts w:cs="Arial"/>
          <w:sz w:val="22"/>
        </w:rPr>
        <w:t>l’Etat</w:t>
      </w:r>
      <w:r w:rsidRPr="00982564">
        <w:rPr>
          <w:rFonts w:cs="Arial"/>
          <w:spacing w:val="-26"/>
          <w:sz w:val="22"/>
        </w:rPr>
        <w:t xml:space="preserve"> </w:t>
      </w:r>
      <w:r w:rsidRPr="00982564">
        <w:rPr>
          <w:rFonts w:cs="Arial"/>
          <w:sz w:val="22"/>
        </w:rPr>
        <w:t>en</w:t>
      </w:r>
      <w:r w:rsidRPr="00982564">
        <w:rPr>
          <w:rFonts w:cs="Arial"/>
          <w:spacing w:val="-23"/>
          <w:sz w:val="22"/>
        </w:rPr>
        <w:t xml:space="preserve"> </w:t>
      </w:r>
      <w:r w:rsidRPr="00982564">
        <w:rPr>
          <w:rFonts w:cs="Arial"/>
          <w:sz w:val="22"/>
        </w:rPr>
        <w:t>matière</w:t>
      </w:r>
      <w:r w:rsidRPr="00982564">
        <w:rPr>
          <w:rFonts w:cs="Arial"/>
          <w:spacing w:val="-24"/>
          <w:sz w:val="22"/>
        </w:rPr>
        <w:t xml:space="preserve"> </w:t>
      </w:r>
      <w:r w:rsidRPr="00982564">
        <w:rPr>
          <w:rFonts w:cs="Arial"/>
          <w:sz w:val="22"/>
        </w:rPr>
        <w:t>d’affectation</w:t>
      </w:r>
      <w:r w:rsidRPr="00982564">
        <w:rPr>
          <w:rFonts w:cs="Arial"/>
          <w:spacing w:val="-24"/>
          <w:sz w:val="22"/>
        </w:rPr>
        <w:t xml:space="preserve"> </w:t>
      </w:r>
      <w:r w:rsidRPr="00982564">
        <w:rPr>
          <w:rFonts w:cs="Arial"/>
          <w:sz w:val="22"/>
        </w:rPr>
        <w:t>et</w:t>
      </w:r>
      <w:r w:rsidRPr="00982564">
        <w:rPr>
          <w:rFonts w:cs="Arial"/>
          <w:spacing w:val="-25"/>
          <w:sz w:val="22"/>
        </w:rPr>
        <w:t xml:space="preserve"> </w:t>
      </w:r>
      <w:r w:rsidRPr="00982564">
        <w:rPr>
          <w:rFonts w:cs="Arial"/>
          <w:sz w:val="22"/>
        </w:rPr>
        <w:t>de</w:t>
      </w:r>
      <w:r w:rsidRPr="00982564">
        <w:rPr>
          <w:rFonts w:cs="Arial"/>
          <w:spacing w:val="-24"/>
          <w:sz w:val="22"/>
        </w:rPr>
        <w:t xml:space="preserve"> </w:t>
      </w:r>
      <w:r w:rsidRPr="00982564">
        <w:rPr>
          <w:rFonts w:cs="Arial"/>
          <w:sz w:val="22"/>
        </w:rPr>
        <w:t>distribution</w:t>
      </w:r>
      <w:r w:rsidRPr="00982564">
        <w:rPr>
          <w:rFonts w:cs="Arial"/>
          <w:spacing w:val="-24"/>
          <w:sz w:val="22"/>
        </w:rPr>
        <w:t xml:space="preserve"> </w:t>
      </w:r>
      <w:r w:rsidRPr="00982564">
        <w:rPr>
          <w:rFonts w:cs="Arial"/>
          <w:sz w:val="22"/>
        </w:rPr>
        <w:t>des</w:t>
      </w:r>
      <w:r w:rsidRPr="00982564">
        <w:rPr>
          <w:rFonts w:cs="Arial"/>
          <w:spacing w:val="-25"/>
          <w:sz w:val="22"/>
        </w:rPr>
        <w:t xml:space="preserve"> </w:t>
      </w:r>
      <w:r w:rsidRPr="00982564">
        <w:rPr>
          <w:rFonts w:cs="Arial"/>
          <w:sz w:val="22"/>
        </w:rPr>
        <w:t>terres.</w:t>
      </w:r>
      <w:r w:rsidRPr="00982564">
        <w:rPr>
          <w:rFonts w:cs="Arial"/>
          <w:spacing w:val="-24"/>
          <w:sz w:val="22"/>
        </w:rPr>
        <w:t xml:space="preserve"> </w:t>
      </w:r>
      <w:r w:rsidRPr="00982564">
        <w:rPr>
          <w:rFonts w:cs="Arial"/>
          <w:sz w:val="22"/>
        </w:rPr>
        <w:t>Malheureusement,</w:t>
      </w:r>
      <w:r w:rsidRPr="00982564">
        <w:rPr>
          <w:rFonts w:cs="Arial"/>
          <w:spacing w:val="-24"/>
          <w:sz w:val="22"/>
        </w:rPr>
        <w:t xml:space="preserve"> </w:t>
      </w:r>
      <w:r w:rsidRPr="00982564">
        <w:rPr>
          <w:rFonts w:cs="Arial"/>
          <w:sz w:val="22"/>
        </w:rPr>
        <w:t>il</w:t>
      </w:r>
      <w:r w:rsidRPr="00982564">
        <w:rPr>
          <w:rFonts w:cs="Arial"/>
          <w:spacing w:val="-25"/>
          <w:sz w:val="22"/>
        </w:rPr>
        <w:t xml:space="preserve"> </w:t>
      </w:r>
      <w:r w:rsidRPr="00982564">
        <w:rPr>
          <w:rFonts w:cs="Arial"/>
          <w:sz w:val="22"/>
        </w:rPr>
        <w:t>n’existe pas</w:t>
      </w:r>
      <w:r w:rsidRPr="00982564">
        <w:rPr>
          <w:rFonts w:cs="Arial"/>
          <w:spacing w:val="-18"/>
          <w:sz w:val="22"/>
        </w:rPr>
        <w:t xml:space="preserve"> </w:t>
      </w:r>
      <w:r w:rsidRPr="00982564">
        <w:rPr>
          <w:rFonts w:cs="Arial"/>
          <w:sz w:val="22"/>
        </w:rPr>
        <w:t>de</w:t>
      </w:r>
      <w:r w:rsidRPr="00982564">
        <w:rPr>
          <w:rFonts w:cs="Arial"/>
          <w:spacing w:val="-17"/>
          <w:sz w:val="22"/>
        </w:rPr>
        <w:t xml:space="preserve"> </w:t>
      </w:r>
      <w:r w:rsidRPr="00982564">
        <w:rPr>
          <w:rFonts w:cs="Arial"/>
          <w:sz w:val="22"/>
        </w:rPr>
        <w:t>plans</w:t>
      </w:r>
      <w:r w:rsidRPr="00982564">
        <w:rPr>
          <w:rFonts w:cs="Arial"/>
          <w:spacing w:val="-18"/>
          <w:sz w:val="22"/>
        </w:rPr>
        <w:t xml:space="preserve"> </w:t>
      </w:r>
      <w:r w:rsidRPr="00982564">
        <w:rPr>
          <w:rFonts w:cs="Arial"/>
          <w:sz w:val="22"/>
        </w:rPr>
        <w:t>d’utilisation</w:t>
      </w:r>
      <w:r w:rsidRPr="00982564">
        <w:rPr>
          <w:rFonts w:cs="Arial"/>
          <w:spacing w:val="-16"/>
          <w:sz w:val="22"/>
        </w:rPr>
        <w:t xml:space="preserve"> </w:t>
      </w:r>
      <w:r w:rsidRPr="00982564">
        <w:rPr>
          <w:rFonts w:cs="Arial"/>
          <w:sz w:val="22"/>
        </w:rPr>
        <w:t>des</w:t>
      </w:r>
      <w:r w:rsidRPr="00982564">
        <w:rPr>
          <w:rFonts w:cs="Arial"/>
          <w:spacing w:val="-18"/>
          <w:sz w:val="22"/>
        </w:rPr>
        <w:t xml:space="preserve"> </w:t>
      </w:r>
      <w:r w:rsidRPr="00982564">
        <w:rPr>
          <w:rFonts w:cs="Arial"/>
          <w:sz w:val="22"/>
        </w:rPr>
        <w:t>terres</w:t>
      </w:r>
      <w:r w:rsidRPr="00982564">
        <w:rPr>
          <w:rFonts w:cs="Arial"/>
          <w:spacing w:val="-17"/>
          <w:sz w:val="22"/>
        </w:rPr>
        <w:t xml:space="preserve"> </w:t>
      </w:r>
      <w:r w:rsidRPr="00982564">
        <w:rPr>
          <w:rFonts w:cs="Arial"/>
          <w:sz w:val="22"/>
        </w:rPr>
        <w:t>et</w:t>
      </w:r>
      <w:r w:rsidRPr="00982564">
        <w:rPr>
          <w:rFonts w:cs="Arial"/>
          <w:spacing w:val="-17"/>
          <w:sz w:val="22"/>
        </w:rPr>
        <w:t xml:space="preserve"> </w:t>
      </w:r>
      <w:r w:rsidRPr="00982564">
        <w:rPr>
          <w:rFonts w:cs="Arial"/>
          <w:sz w:val="22"/>
        </w:rPr>
        <w:t>des</w:t>
      </w:r>
      <w:r w:rsidRPr="00982564">
        <w:rPr>
          <w:rFonts w:cs="Arial"/>
          <w:spacing w:val="-18"/>
          <w:sz w:val="22"/>
        </w:rPr>
        <w:t xml:space="preserve"> </w:t>
      </w:r>
      <w:r w:rsidRPr="00982564">
        <w:rPr>
          <w:rFonts w:cs="Arial"/>
          <w:sz w:val="22"/>
        </w:rPr>
        <w:t>mesures</w:t>
      </w:r>
      <w:r w:rsidRPr="00982564">
        <w:rPr>
          <w:rFonts w:cs="Arial"/>
          <w:spacing w:val="-16"/>
          <w:sz w:val="22"/>
        </w:rPr>
        <w:t xml:space="preserve"> </w:t>
      </w:r>
      <w:r w:rsidRPr="00982564">
        <w:rPr>
          <w:rFonts w:cs="Arial"/>
          <w:sz w:val="22"/>
        </w:rPr>
        <w:t>de</w:t>
      </w:r>
      <w:r w:rsidRPr="00982564">
        <w:rPr>
          <w:rFonts w:cs="Arial"/>
          <w:spacing w:val="-16"/>
          <w:sz w:val="22"/>
        </w:rPr>
        <w:t xml:space="preserve"> </w:t>
      </w:r>
      <w:r w:rsidRPr="00982564">
        <w:rPr>
          <w:rFonts w:cs="Arial"/>
          <w:sz w:val="22"/>
        </w:rPr>
        <w:t>conservation</w:t>
      </w:r>
      <w:r w:rsidRPr="00982564">
        <w:rPr>
          <w:rFonts w:cs="Arial"/>
          <w:spacing w:val="-17"/>
          <w:sz w:val="22"/>
        </w:rPr>
        <w:t xml:space="preserve"> </w:t>
      </w:r>
      <w:r w:rsidRPr="00982564">
        <w:rPr>
          <w:rFonts w:cs="Arial"/>
          <w:sz w:val="22"/>
        </w:rPr>
        <w:t>et</w:t>
      </w:r>
      <w:r w:rsidRPr="00982564">
        <w:rPr>
          <w:rFonts w:cs="Arial"/>
          <w:spacing w:val="-17"/>
          <w:sz w:val="22"/>
        </w:rPr>
        <w:t xml:space="preserve"> </w:t>
      </w:r>
      <w:r w:rsidRPr="00982564">
        <w:rPr>
          <w:rFonts w:cs="Arial"/>
          <w:sz w:val="22"/>
        </w:rPr>
        <w:t>d’amélioration</w:t>
      </w:r>
      <w:r w:rsidRPr="00982564">
        <w:rPr>
          <w:rFonts w:cs="Arial"/>
          <w:spacing w:val="-17"/>
          <w:sz w:val="22"/>
        </w:rPr>
        <w:t xml:space="preserve"> </w:t>
      </w:r>
      <w:r w:rsidRPr="00982564">
        <w:rPr>
          <w:rFonts w:cs="Arial"/>
          <w:sz w:val="22"/>
        </w:rPr>
        <w:t>des</w:t>
      </w:r>
      <w:r w:rsidRPr="00982564">
        <w:rPr>
          <w:rFonts w:cs="Arial"/>
          <w:spacing w:val="-18"/>
          <w:sz w:val="22"/>
        </w:rPr>
        <w:t xml:space="preserve"> </w:t>
      </w:r>
      <w:r w:rsidRPr="00982564">
        <w:rPr>
          <w:rFonts w:cs="Arial"/>
          <w:sz w:val="22"/>
        </w:rPr>
        <w:t>sols</w:t>
      </w:r>
      <w:r w:rsidRPr="00982564">
        <w:rPr>
          <w:rFonts w:cs="Arial"/>
          <w:spacing w:val="-18"/>
          <w:sz w:val="22"/>
        </w:rPr>
        <w:t xml:space="preserve"> </w:t>
      </w:r>
      <w:r w:rsidRPr="00982564">
        <w:rPr>
          <w:rFonts w:cs="Arial"/>
          <w:sz w:val="22"/>
        </w:rPr>
        <w:t>en</w:t>
      </w:r>
      <w:r w:rsidRPr="00982564">
        <w:rPr>
          <w:rFonts w:cs="Arial"/>
          <w:spacing w:val="-16"/>
          <w:sz w:val="22"/>
        </w:rPr>
        <w:t xml:space="preserve"> </w:t>
      </w:r>
      <w:r w:rsidRPr="00982564">
        <w:rPr>
          <w:rFonts w:cs="Arial"/>
          <w:sz w:val="22"/>
        </w:rPr>
        <w:t>vue de combattre la mauvaise utilisation des sols, le déboisement et l’érosion des zones fragiles, notamment</w:t>
      </w:r>
      <w:r w:rsidRPr="00982564">
        <w:rPr>
          <w:rFonts w:cs="Arial"/>
          <w:spacing w:val="-8"/>
          <w:sz w:val="22"/>
        </w:rPr>
        <w:t xml:space="preserve"> </w:t>
      </w:r>
      <w:r w:rsidRPr="00982564">
        <w:rPr>
          <w:rFonts w:cs="Arial"/>
          <w:sz w:val="22"/>
        </w:rPr>
        <w:t>les</w:t>
      </w:r>
      <w:r w:rsidRPr="00982564">
        <w:rPr>
          <w:rFonts w:cs="Arial"/>
          <w:spacing w:val="-8"/>
          <w:sz w:val="22"/>
        </w:rPr>
        <w:t xml:space="preserve"> </w:t>
      </w:r>
      <w:r w:rsidRPr="00982564">
        <w:rPr>
          <w:rFonts w:cs="Arial"/>
          <w:sz w:val="22"/>
        </w:rPr>
        <w:t>montagnes,</w:t>
      </w:r>
      <w:r w:rsidRPr="00982564">
        <w:rPr>
          <w:rFonts w:cs="Arial"/>
          <w:spacing w:val="-7"/>
          <w:sz w:val="22"/>
        </w:rPr>
        <w:t xml:space="preserve"> </w:t>
      </w:r>
      <w:r w:rsidRPr="00982564">
        <w:rPr>
          <w:rFonts w:cs="Arial"/>
          <w:sz w:val="22"/>
        </w:rPr>
        <w:t>les</w:t>
      </w:r>
      <w:r w:rsidRPr="00982564">
        <w:rPr>
          <w:rFonts w:cs="Arial"/>
          <w:spacing w:val="-8"/>
          <w:sz w:val="22"/>
        </w:rPr>
        <w:t xml:space="preserve"> </w:t>
      </w:r>
      <w:r w:rsidRPr="00982564">
        <w:rPr>
          <w:rFonts w:cs="Arial"/>
          <w:sz w:val="22"/>
        </w:rPr>
        <w:t>périmètres</w:t>
      </w:r>
      <w:r w:rsidRPr="00982564">
        <w:rPr>
          <w:rFonts w:cs="Arial"/>
          <w:spacing w:val="-6"/>
          <w:sz w:val="22"/>
        </w:rPr>
        <w:t xml:space="preserve"> </w:t>
      </w:r>
      <w:r w:rsidRPr="00982564">
        <w:rPr>
          <w:rFonts w:cs="Arial"/>
          <w:sz w:val="22"/>
        </w:rPr>
        <w:t>définis</w:t>
      </w:r>
      <w:r w:rsidRPr="00982564">
        <w:rPr>
          <w:rFonts w:cs="Arial"/>
          <w:spacing w:val="-9"/>
          <w:sz w:val="22"/>
        </w:rPr>
        <w:t xml:space="preserve"> </w:t>
      </w:r>
      <w:r w:rsidRPr="00982564">
        <w:rPr>
          <w:rFonts w:cs="Arial"/>
          <w:sz w:val="22"/>
        </w:rPr>
        <w:t>des</w:t>
      </w:r>
      <w:r w:rsidRPr="00982564">
        <w:rPr>
          <w:rFonts w:cs="Arial"/>
          <w:spacing w:val="-5"/>
          <w:sz w:val="22"/>
        </w:rPr>
        <w:t xml:space="preserve"> </w:t>
      </w:r>
      <w:r w:rsidRPr="00982564">
        <w:rPr>
          <w:rFonts w:cs="Arial"/>
          <w:sz w:val="22"/>
        </w:rPr>
        <w:t>cours</w:t>
      </w:r>
      <w:r w:rsidRPr="00982564">
        <w:rPr>
          <w:rFonts w:cs="Arial"/>
          <w:spacing w:val="-9"/>
          <w:sz w:val="22"/>
        </w:rPr>
        <w:t xml:space="preserve"> </w:t>
      </w:r>
      <w:r w:rsidRPr="00982564">
        <w:rPr>
          <w:rFonts w:cs="Arial"/>
          <w:sz w:val="22"/>
        </w:rPr>
        <w:t>d’eau</w:t>
      </w:r>
      <w:r w:rsidRPr="00982564">
        <w:rPr>
          <w:rFonts w:cs="Arial"/>
          <w:spacing w:val="-6"/>
          <w:sz w:val="22"/>
        </w:rPr>
        <w:t xml:space="preserve"> </w:t>
      </w:r>
      <w:r w:rsidRPr="00982564">
        <w:rPr>
          <w:rFonts w:cs="Arial"/>
          <w:sz w:val="22"/>
        </w:rPr>
        <w:t>et</w:t>
      </w:r>
      <w:r w:rsidRPr="00982564">
        <w:rPr>
          <w:rFonts w:cs="Arial"/>
          <w:spacing w:val="-7"/>
          <w:sz w:val="22"/>
        </w:rPr>
        <w:t xml:space="preserve"> </w:t>
      </w:r>
      <w:r w:rsidRPr="00982564">
        <w:rPr>
          <w:rFonts w:cs="Arial"/>
          <w:sz w:val="22"/>
        </w:rPr>
        <w:t>le</w:t>
      </w:r>
      <w:r w:rsidRPr="00982564">
        <w:rPr>
          <w:rFonts w:cs="Arial"/>
          <w:spacing w:val="-6"/>
          <w:sz w:val="22"/>
        </w:rPr>
        <w:t xml:space="preserve"> </w:t>
      </w:r>
      <w:r w:rsidRPr="00982564">
        <w:rPr>
          <w:rFonts w:cs="Arial"/>
          <w:sz w:val="22"/>
        </w:rPr>
        <w:t>littoral.</w:t>
      </w:r>
    </w:p>
    <w:p w14:paraId="444675AE" w14:textId="77777777" w:rsidR="001C2F95" w:rsidRPr="00982564" w:rsidRDefault="001C2F95" w:rsidP="001C2F95">
      <w:pPr>
        <w:autoSpaceDE w:val="0"/>
        <w:autoSpaceDN w:val="0"/>
        <w:adjustRightInd w:val="0"/>
        <w:rPr>
          <w:rFonts w:eastAsia="Calibri" w:cs="Arial"/>
          <w:color w:val="000000"/>
          <w:sz w:val="22"/>
        </w:rPr>
      </w:pPr>
    </w:p>
    <w:p w14:paraId="5E1D6163" w14:textId="77777777" w:rsidR="001C2F95" w:rsidRPr="00982564" w:rsidRDefault="001C2F95" w:rsidP="001C2F95">
      <w:pPr>
        <w:pStyle w:val="Titre2"/>
        <w:numPr>
          <w:ilvl w:val="2"/>
          <w:numId w:val="4"/>
        </w:numPr>
        <w:ind w:left="1560" w:hanging="709"/>
        <w:rPr>
          <w:rFonts w:cs="Arial"/>
          <w:i/>
          <w:sz w:val="22"/>
          <w:szCs w:val="22"/>
        </w:rPr>
      </w:pPr>
      <w:bookmarkStart w:id="283" w:name="_Toc44626823"/>
      <w:bookmarkStart w:id="284" w:name="_Toc70330371"/>
      <w:r w:rsidRPr="00982564">
        <w:rPr>
          <w:rFonts w:cs="Arial"/>
          <w:i/>
          <w:sz w:val="22"/>
          <w:szCs w:val="22"/>
        </w:rPr>
        <w:t>Ministère de la Santé</w:t>
      </w:r>
      <w:bookmarkEnd w:id="283"/>
      <w:bookmarkEnd w:id="284"/>
      <w:r w:rsidRPr="00982564">
        <w:rPr>
          <w:rFonts w:cs="Arial"/>
          <w:i/>
          <w:sz w:val="22"/>
          <w:szCs w:val="22"/>
        </w:rPr>
        <w:t xml:space="preserve"> </w:t>
      </w:r>
    </w:p>
    <w:p w14:paraId="282DF041" w14:textId="77777777" w:rsidR="001C2F95" w:rsidRPr="00982564" w:rsidRDefault="001C2F95" w:rsidP="001C2F95">
      <w:pPr>
        <w:tabs>
          <w:tab w:val="left" w:pos="426"/>
          <w:tab w:val="left" w:pos="567"/>
        </w:tabs>
        <w:contextualSpacing/>
        <w:rPr>
          <w:rFonts w:cs="Arial"/>
          <w:b/>
          <w:i/>
          <w:sz w:val="22"/>
          <w:u w:val="single"/>
        </w:rPr>
      </w:pPr>
    </w:p>
    <w:p w14:paraId="0566A690" w14:textId="77777777" w:rsidR="001C2F95" w:rsidRPr="00982564" w:rsidRDefault="001C2F95" w:rsidP="001C2F95">
      <w:pPr>
        <w:autoSpaceDE w:val="0"/>
        <w:autoSpaceDN w:val="0"/>
        <w:adjustRightInd w:val="0"/>
        <w:rPr>
          <w:rFonts w:eastAsia="Calibri" w:cs="Arial"/>
          <w:color w:val="000000"/>
          <w:sz w:val="22"/>
        </w:rPr>
      </w:pPr>
      <w:r w:rsidRPr="00982564">
        <w:rPr>
          <w:rFonts w:eastAsia="Calibri" w:cs="Arial"/>
          <w:color w:val="000000"/>
          <w:sz w:val="22"/>
        </w:rPr>
        <w:t>L’action de ce Ministère dans le PNDA consiste à la mise en place d’un programme de sensibilisation de lutte contre le Paludisme, le VIH/SIDA, les IST et les différents modes de prévention, ainsi que la prise en charge médicale des cas de VBG.</w:t>
      </w:r>
    </w:p>
    <w:p w14:paraId="4E109796" w14:textId="77777777" w:rsidR="001C2F95" w:rsidRPr="00982564" w:rsidRDefault="001C2F95" w:rsidP="001C2F95">
      <w:pPr>
        <w:autoSpaceDE w:val="0"/>
        <w:autoSpaceDN w:val="0"/>
        <w:adjustRightInd w:val="0"/>
        <w:rPr>
          <w:rFonts w:eastAsia="Calibri" w:cs="Arial"/>
          <w:color w:val="000000"/>
          <w:sz w:val="22"/>
        </w:rPr>
      </w:pPr>
    </w:p>
    <w:p w14:paraId="6D9434F3" w14:textId="77777777" w:rsidR="001C2F95" w:rsidRPr="00982564" w:rsidRDefault="001C2F95" w:rsidP="001C2F95">
      <w:pPr>
        <w:autoSpaceDE w:val="0"/>
        <w:autoSpaceDN w:val="0"/>
        <w:adjustRightInd w:val="0"/>
        <w:rPr>
          <w:rFonts w:eastAsia="Calibri" w:cs="Arial"/>
          <w:color w:val="000000"/>
          <w:sz w:val="22"/>
        </w:rPr>
      </w:pPr>
      <w:r w:rsidRPr="00982564">
        <w:rPr>
          <w:rFonts w:eastAsia="Calibri" w:cs="Arial"/>
          <w:color w:val="000000"/>
          <w:sz w:val="22"/>
        </w:rPr>
        <w:t>En outre, le Ministère de la santé publique a mis en place un comité multisectoriel de riposte (CMR) contre le COVID-19 en RDC et vient de mettre en place le Fonds national de solidarité contre le Covid-19 (FNSCC) qui a pour mission de rechercher et collecter des moyens financiers destinés à servir sous forme d’aide, assistance ou soutien aux personnes physiques ou morales, personnels médicaux soignants, services médicaux ou hospitaliers.</w:t>
      </w:r>
    </w:p>
    <w:p w14:paraId="69C037D9" w14:textId="77777777" w:rsidR="001C2F95" w:rsidRPr="00982564" w:rsidRDefault="001C2F95" w:rsidP="001C2F95">
      <w:pPr>
        <w:tabs>
          <w:tab w:val="left" w:pos="426"/>
          <w:tab w:val="left" w:pos="567"/>
        </w:tabs>
        <w:contextualSpacing/>
        <w:rPr>
          <w:rFonts w:cs="Arial"/>
          <w:b/>
          <w:i/>
          <w:sz w:val="22"/>
          <w:u w:val="single"/>
        </w:rPr>
      </w:pPr>
    </w:p>
    <w:p w14:paraId="0E2B7D7D" w14:textId="77777777" w:rsidR="001C2F95" w:rsidRPr="00982564" w:rsidRDefault="001C2F95" w:rsidP="001C2F95">
      <w:pPr>
        <w:pStyle w:val="Titre2"/>
        <w:rPr>
          <w:rFonts w:cs="Arial"/>
          <w:i/>
          <w:sz w:val="22"/>
          <w:szCs w:val="22"/>
        </w:rPr>
      </w:pPr>
      <w:bookmarkStart w:id="285" w:name="_Toc44626824"/>
      <w:bookmarkStart w:id="286" w:name="_Toc45269710"/>
      <w:bookmarkStart w:id="287" w:name="_Toc64026142"/>
      <w:bookmarkStart w:id="288" w:name="_Toc70327009"/>
      <w:bookmarkStart w:id="289" w:name="_Toc70330372"/>
      <w:r w:rsidRPr="00982564">
        <w:rPr>
          <w:rFonts w:cs="Arial"/>
          <w:i/>
          <w:sz w:val="22"/>
          <w:szCs w:val="22"/>
        </w:rPr>
        <w:t>Fonds National de Solidarité Contre la COVID-19</w:t>
      </w:r>
      <w:bookmarkEnd w:id="285"/>
      <w:bookmarkEnd w:id="286"/>
      <w:bookmarkEnd w:id="287"/>
      <w:bookmarkEnd w:id="288"/>
      <w:bookmarkEnd w:id="289"/>
    </w:p>
    <w:p w14:paraId="3579EF57" w14:textId="77777777" w:rsidR="001C2F95" w:rsidRPr="00982564" w:rsidRDefault="001C2F95" w:rsidP="001C2F95">
      <w:pPr>
        <w:rPr>
          <w:rFonts w:cs="Arial"/>
          <w:bCs/>
          <w:sz w:val="22"/>
        </w:rPr>
      </w:pPr>
    </w:p>
    <w:p w14:paraId="21DFA8A9" w14:textId="77777777" w:rsidR="001C2F95" w:rsidRPr="00982564" w:rsidRDefault="001C2F95" w:rsidP="001C2F95">
      <w:pPr>
        <w:rPr>
          <w:rFonts w:cs="Arial"/>
          <w:bCs/>
          <w:sz w:val="22"/>
        </w:rPr>
      </w:pPr>
      <w:r w:rsidRPr="00982564">
        <w:rPr>
          <w:rFonts w:cs="Arial"/>
          <w:bCs/>
          <w:sz w:val="22"/>
        </w:rPr>
        <w:t>Le Fonds National de Solidarité Contre la COVID-19 (FNSCC) a été créé par l’Ordonnance       n° 20/018 du 6 avril 2020. Il a pour principale mission de de rechercher et collecter des moyens financiers destinés à servir sous forme d’aide, assistance ou soutien aux personnes physiques ou morales, personnels médicaux soignants, services médicaux ou hospitaliers. </w:t>
      </w:r>
    </w:p>
    <w:p w14:paraId="1C561CE2" w14:textId="77777777" w:rsidR="001C2F95" w:rsidRPr="00982564" w:rsidRDefault="001C2F95" w:rsidP="001C2F95">
      <w:pPr>
        <w:rPr>
          <w:rFonts w:cs="Arial"/>
          <w:bCs/>
          <w:sz w:val="22"/>
        </w:rPr>
      </w:pPr>
    </w:p>
    <w:p w14:paraId="2E9EDA80" w14:textId="77777777" w:rsidR="001C2F95" w:rsidRPr="00982564" w:rsidRDefault="001C2F95" w:rsidP="001C2F95">
      <w:pPr>
        <w:rPr>
          <w:rFonts w:cs="Arial"/>
          <w:bCs/>
          <w:sz w:val="22"/>
        </w:rPr>
      </w:pPr>
      <w:r w:rsidRPr="00982564">
        <w:rPr>
          <w:rFonts w:cs="Arial"/>
          <w:bCs/>
          <w:sz w:val="22"/>
        </w:rPr>
        <w:t>Il vise également d’appuyer les entreprises et autres structures exerçant une activité économique qui seraient particulièrement touchés par les conséquences économiques, financières et sociales de la propagation de la COVID-19 et des mesures prises pour en limiter la propagation. </w:t>
      </w:r>
    </w:p>
    <w:p w14:paraId="1F313685" w14:textId="77777777" w:rsidR="001C2F95" w:rsidRPr="00982564" w:rsidRDefault="001C2F95" w:rsidP="001C2F95">
      <w:pPr>
        <w:rPr>
          <w:rFonts w:cs="Arial"/>
          <w:bCs/>
          <w:sz w:val="22"/>
        </w:rPr>
      </w:pPr>
    </w:p>
    <w:p w14:paraId="3E0553E0" w14:textId="77777777" w:rsidR="001C2F95" w:rsidRPr="00982564" w:rsidRDefault="001C2F95" w:rsidP="001C2F95">
      <w:pPr>
        <w:rPr>
          <w:rFonts w:cs="Arial"/>
          <w:bCs/>
          <w:sz w:val="22"/>
        </w:rPr>
      </w:pPr>
      <w:r w:rsidRPr="00982564">
        <w:rPr>
          <w:rFonts w:cs="Arial"/>
          <w:bCs/>
          <w:sz w:val="22"/>
        </w:rPr>
        <w:t>Par ailleurs, le Fonds est chargé de centraliser toutes les donations financières nécessaires à la riposte contre la pandémie de COVID-19, précise l’ordonnance présidentielle. </w:t>
      </w:r>
    </w:p>
    <w:p w14:paraId="6D6F7DC2" w14:textId="77777777" w:rsidR="001C2F95" w:rsidRPr="00982564" w:rsidRDefault="001C2F95" w:rsidP="001C2F95">
      <w:pPr>
        <w:rPr>
          <w:rFonts w:cs="Arial"/>
          <w:bCs/>
          <w:sz w:val="22"/>
        </w:rPr>
      </w:pPr>
    </w:p>
    <w:p w14:paraId="69385CF5" w14:textId="77777777" w:rsidR="001C2F95" w:rsidRPr="00982564" w:rsidRDefault="001C2F95" w:rsidP="001C2F95">
      <w:pPr>
        <w:rPr>
          <w:rFonts w:eastAsia="Calibri" w:cs="Arial"/>
          <w:color w:val="000000"/>
          <w:sz w:val="22"/>
        </w:rPr>
      </w:pPr>
      <w:r w:rsidRPr="00982564">
        <w:rPr>
          <w:rFonts w:cs="Arial"/>
          <w:bCs/>
          <w:sz w:val="22"/>
        </w:rPr>
        <w:t>Cette structure temporaire est créée pour la durée de l’Etat d’urgence sanitaire proclamée par l’Ordonnance Présidentielle n° 20/014 du 24 mars 2020. Sa durée d’intervention sera prolongée automatiquement en cas de prolongation de l’Etat d’urgence sanitaire et à durée équivalente. Il est chargé également de soutenir financièrement les agents de santé et des communautés locales pour qu’ils aient accès partout aux dernières informations scientifiques pour pouvoir se protéger, prévenir l’infection, endiguer sa propagation et dispenses des soins à ceux qui en ont besoin de manière à réduire l’impact de la COVID-19 sur les femmes, les enfants et les vulnérables. </w:t>
      </w:r>
    </w:p>
    <w:p w14:paraId="325308FC" w14:textId="77777777" w:rsidR="001C2F95" w:rsidRPr="00982564" w:rsidRDefault="001C2F95" w:rsidP="001C2F95">
      <w:pPr>
        <w:autoSpaceDE w:val="0"/>
        <w:autoSpaceDN w:val="0"/>
        <w:adjustRightInd w:val="0"/>
        <w:rPr>
          <w:rFonts w:eastAsia="Calibri" w:cs="Arial"/>
          <w:color w:val="000000"/>
          <w:sz w:val="22"/>
        </w:rPr>
      </w:pPr>
    </w:p>
    <w:p w14:paraId="368C6731" w14:textId="77777777" w:rsidR="001C2F95" w:rsidRPr="00982564" w:rsidRDefault="001C2F95" w:rsidP="001C2F95">
      <w:pPr>
        <w:pStyle w:val="Titre2"/>
        <w:numPr>
          <w:ilvl w:val="2"/>
          <w:numId w:val="4"/>
        </w:numPr>
        <w:ind w:left="1560" w:hanging="709"/>
        <w:rPr>
          <w:rFonts w:cs="Arial"/>
          <w:i/>
          <w:sz w:val="22"/>
          <w:szCs w:val="22"/>
        </w:rPr>
      </w:pPr>
      <w:bookmarkStart w:id="290" w:name="_Toc487204591"/>
      <w:bookmarkStart w:id="291" w:name="_Toc44626825"/>
      <w:bookmarkStart w:id="292" w:name="_Toc70330373"/>
      <w:r w:rsidRPr="00982564">
        <w:rPr>
          <w:rFonts w:cs="Arial"/>
          <w:i/>
          <w:sz w:val="22"/>
          <w:szCs w:val="22"/>
        </w:rPr>
        <w:t>Ministère des Affaires Sociales</w:t>
      </w:r>
      <w:bookmarkEnd w:id="290"/>
      <w:bookmarkEnd w:id="291"/>
      <w:bookmarkEnd w:id="292"/>
    </w:p>
    <w:p w14:paraId="435F8CC1" w14:textId="77777777" w:rsidR="001C2F95" w:rsidRPr="00982564" w:rsidRDefault="001C2F95" w:rsidP="001C2F95">
      <w:pPr>
        <w:ind w:left="-142"/>
        <w:rPr>
          <w:rFonts w:cs="Arial"/>
          <w:sz w:val="22"/>
          <w:lang w:val="en-US"/>
        </w:rPr>
      </w:pPr>
    </w:p>
    <w:p w14:paraId="43A7ACAB" w14:textId="77777777" w:rsidR="001C2F95" w:rsidRPr="00982564" w:rsidRDefault="001C2F95" w:rsidP="001C2F95">
      <w:pPr>
        <w:outlineLvl w:val="0"/>
        <w:rPr>
          <w:rFonts w:cs="Arial"/>
          <w:b/>
          <w:bCs/>
          <w:kern w:val="36"/>
          <w:sz w:val="22"/>
        </w:rPr>
      </w:pPr>
      <w:bookmarkStart w:id="293" w:name="_Toc520893451"/>
      <w:bookmarkStart w:id="294" w:name="_Toc33371399"/>
      <w:bookmarkStart w:id="295" w:name="_Toc33464167"/>
      <w:bookmarkStart w:id="296" w:name="_Toc44626826"/>
      <w:bookmarkStart w:id="297" w:name="_Toc45269712"/>
      <w:bookmarkStart w:id="298" w:name="_Toc64026144"/>
      <w:bookmarkStart w:id="299" w:name="_Toc70327011"/>
      <w:bookmarkStart w:id="300" w:name="_Toc70330374"/>
      <w:bookmarkStart w:id="301" w:name="_Toc487204593"/>
      <w:r w:rsidRPr="00982564">
        <w:rPr>
          <w:rFonts w:cs="Arial"/>
          <w:sz w:val="22"/>
        </w:rPr>
        <w:t>Le Ministère des Affaires Sociales a pour attribution :</w:t>
      </w:r>
      <w:bookmarkEnd w:id="293"/>
      <w:bookmarkEnd w:id="294"/>
      <w:bookmarkEnd w:id="295"/>
      <w:bookmarkEnd w:id="296"/>
      <w:bookmarkEnd w:id="297"/>
      <w:bookmarkEnd w:id="298"/>
      <w:bookmarkEnd w:id="299"/>
      <w:bookmarkEnd w:id="300"/>
      <w:r w:rsidRPr="00982564">
        <w:rPr>
          <w:rFonts w:cs="Arial"/>
          <w:sz w:val="22"/>
        </w:rPr>
        <w:t> </w:t>
      </w:r>
      <w:r w:rsidRPr="00982564">
        <w:rPr>
          <w:rFonts w:cs="Arial"/>
          <w:b/>
          <w:bCs/>
          <w:kern w:val="36"/>
          <w:sz w:val="22"/>
        </w:rPr>
        <w:t xml:space="preserve"> </w:t>
      </w:r>
    </w:p>
    <w:p w14:paraId="1297ECD2" w14:textId="77777777" w:rsidR="001C2F95" w:rsidRPr="00982564" w:rsidRDefault="001C2F95" w:rsidP="001C2F95">
      <w:pPr>
        <w:rPr>
          <w:rFonts w:cs="Arial"/>
          <w:sz w:val="22"/>
        </w:rPr>
      </w:pPr>
    </w:p>
    <w:p w14:paraId="6964FFD1" w14:textId="77777777" w:rsidR="001C2F95" w:rsidRPr="00982564" w:rsidRDefault="001C2F95" w:rsidP="002378EA">
      <w:pPr>
        <w:pStyle w:val="Paragraphedeliste"/>
        <w:numPr>
          <w:ilvl w:val="0"/>
          <w:numId w:val="45"/>
        </w:numPr>
        <w:rPr>
          <w:rFonts w:cs="Arial"/>
          <w:sz w:val="22"/>
        </w:rPr>
      </w:pPr>
      <w:r w:rsidRPr="00982564">
        <w:rPr>
          <w:rFonts w:cs="Arial"/>
          <w:sz w:val="22"/>
        </w:rPr>
        <w:t>Organisation, administration et gestion des centres d’actions sociales tels que les centres de promotion sociale, les orphelinats, les homes et les auspices de vieillards, les centres d’apprentissage professionnel pour les personnes vivant avec handicap ;</w:t>
      </w:r>
    </w:p>
    <w:p w14:paraId="62B6D25C" w14:textId="77777777" w:rsidR="001C2F95" w:rsidRPr="00982564" w:rsidRDefault="001C2F95" w:rsidP="002378EA">
      <w:pPr>
        <w:pStyle w:val="Paragraphedeliste"/>
        <w:numPr>
          <w:ilvl w:val="0"/>
          <w:numId w:val="45"/>
        </w:numPr>
        <w:rPr>
          <w:rFonts w:cs="Arial"/>
          <w:sz w:val="22"/>
        </w:rPr>
      </w:pPr>
      <w:r w:rsidRPr="00982564">
        <w:rPr>
          <w:rFonts w:cs="Arial"/>
          <w:sz w:val="22"/>
        </w:rPr>
        <w:t>Assistance sociale aux populations nécessiteuses ;</w:t>
      </w:r>
    </w:p>
    <w:p w14:paraId="1AB100AC" w14:textId="77777777" w:rsidR="001C2F95" w:rsidRPr="00982564" w:rsidRDefault="001C2F95" w:rsidP="002378EA">
      <w:pPr>
        <w:pStyle w:val="Paragraphedeliste"/>
        <w:numPr>
          <w:ilvl w:val="0"/>
          <w:numId w:val="45"/>
        </w:numPr>
        <w:rPr>
          <w:rFonts w:cs="Arial"/>
          <w:sz w:val="22"/>
        </w:rPr>
      </w:pPr>
      <w:r w:rsidRPr="00982564">
        <w:rPr>
          <w:rFonts w:cs="Arial"/>
          <w:sz w:val="22"/>
        </w:rPr>
        <w:t>Tutelle et reclassement des enfants en situation particulièrement difficile ;</w:t>
      </w:r>
    </w:p>
    <w:p w14:paraId="13737385" w14:textId="77777777" w:rsidR="001C2F95" w:rsidRPr="00982564" w:rsidRDefault="001C2F95" w:rsidP="002378EA">
      <w:pPr>
        <w:pStyle w:val="Paragraphedeliste"/>
        <w:numPr>
          <w:ilvl w:val="0"/>
          <w:numId w:val="45"/>
        </w:numPr>
        <w:rPr>
          <w:rFonts w:cs="Arial"/>
          <w:sz w:val="22"/>
        </w:rPr>
      </w:pPr>
      <w:r w:rsidRPr="00982564">
        <w:rPr>
          <w:rFonts w:cs="Arial"/>
          <w:sz w:val="22"/>
        </w:rPr>
        <w:t>Collaboration à l’élaboration des projets pilotes de lutte contre la pauvreté ;</w:t>
      </w:r>
    </w:p>
    <w:p w14:paraId="4F236F29" w14:textId="77777777" w:rsidR="001C2F95" w:rsidRPr="00982564" w:rsidRDefault="001C2F95" w:rsidP="002378EA">
      <w:pPr>
        <w:pStyle w:val="Paragraphedeliste"/>
        <w:numPr>
          <w:ilvl w:val="0"/>
          <w:numId w:val="45"/>
        </w:numPr>
        <w:rPr>
          <w:rFonts w:cs="Arial"/>
          <w:sz w:val="22"/>
        </w:rPr>
      </w:pPr>
      <w:r w:rsidRPr="00982564">
        <w:rPr>
          <w:rFonts w:cs="Arial"/>
          <w:sz w:val="22"/>
        </w:rPr>
        <w:t>Protection et insertion sociale des groupes vulnérables ;</w:t>
      </w:r>
    </w:p>
    <w:p w14:paraId="1D6C5A6D" w14:textId="77777777" w:rsidR="001C2F95" w:rsidRPr="00982564" w:rsidRDefault="001C2F95" w:rsidP="002378EA">
      <w:pPr>
        <w:pStyle w:val="Paragraphedeliste"/>
        <w:numPr>
          <w:ilvl w:val="0"/>
          <w:numId w:val="45"/>
        </w:numPr>
        <w:rPr>
          <w:rFonts w:cs="Arial"/>
          <w:sz w:val="22"/>
        </w:rPr>
      </w:pPr>
      <w:r w:rsidRPr="00982564">
        <w:rPr>
          <w:rFonts w:cs="Arial"/>
          <w:sz w:val="22"/>
        </w:rPr>
        <w:t>Collaboration à l’organisation de l’enseignement spécial au profit des enfants vivant avec handicap ;</w:t>
      </w:r>
    </w:p>
    <w:p w14:paraId="60D5DBF7" w14:textId="77777777" w:rsidR="001C2F95" w:rsidRPr="00982564" w:rsidRDefault="001C2F95" w:rsidP="002378EA">
      <w:pPr>
        <w:pStyle w:val="Paragraphedeliste"/>
        <w:numPr>
          <w:ilvl w:val="0"/>
          <w:numId w:val="45"/>
        </w:numPr>
        <w:rPr>
          <w:rFonts w:cs="Arial"/>
          <w:sz w:val="22"/>
        </w:rPr>
      </w:pPr>
      <w:r w:rsidRPr="00982564">
        <w:rPr>
          <w:rFonts w:cs="Arial"/>
          <w:sz w:val="22"/>
        </w:rPr>
        <w:t>Organisation de l’éducation non formelle en collaboration avec les ministères ayant en charge l’enseignement primaire et secondaire, professionnel ainsi que la jeunesse et les sports.</w:t>
      </w:r>
    </w:p>
    <w:p w14:paraId="076480CE" w14:textId="77777777" w:rsidR="001C2F95" w:rsidRPr="00982564" w:rsidRDefault="001C2F95" w:rsidP="001C2F95">
      <w:pPr>
        <w:pStyle w:val="Paragraphedeliste"/>
        <w:rPr>
          <w:rFonts w:cs="Arial"/>
          <w:sz w:val="22"/>
        </w:rPr>
      </w:pPr>
    </w:p>
    <w:p w14:paraId="35AE0BCB" w14:textId="77777777" w:rsidR="001C2F95" w:rsidRPr="00982564" w:rsidRDefault="001C2F95" w:rsidP="001C2F95">
      <w:pPr>
        <w:pStyle w:val="Titre2"/>
        <w:rPr>
          <w:rFonts w:cs="Arial"/>
          <w:i/>
          <w:sz w:val="22"/>
          <w:szCs w:val="22"/>
        </w:rPr>
      </w:pPr>
      <w:bookmarkStart w:id="302" w:name="_Toc64026145"/>
      <w:bookmarkStart w:id="303" w:name="_Toc70327012"/>
      <w:bookmarkStart w:id="304" w:name="_Toc70330375"/>
      <w:bookmarkStart w:id="305" w:name="_Toc44626827"/>
      <w:bookmarkStart w:id="306" w:name="_Toc45269713"/>
      <w:r w:rsidRPr="00982564">
        <w:rPr>
          <w:rFonts w:cs="Arial"/>
          <w:i/>
          <w:sz w:val="22"/>
          <w:szCs w:val="22"/>
        </w:rPr>
        <w:t>Fonds National de Promotion et de Service Social (FNPSS)</w:t>
      </w:r>
      <w:bookmarkEnd w:id="302"/>
      <w:bookmarkEnd w:id="303"/>
      <w:bookmarkEnd w:id="304"/>
      <w:r w:rsidRPr="00982564">
        <w:rPr>
          <w:rFonts w:cs="Arial"/>
          <w:i/>
          <w:sz w:val="22"/>
          <w:szCs w:val="22"/>
        </w:rPr>
        <w:t xml:space="preserve"> </w:t>
      </w:r>
    </w:p>
    <w:p w14:paraId="710743FC" w14:textId="77777777" w:rsidR="001C2F95" w:rsidRPr="00982564" w:rsidRDefault="001C2F95" w:rsidP="001C2F95">
      <w:pPr>
        <w:pStyle w:val="Titre2"/>
        <w:rPr>
          <w:rFonts w:cs="Arial"/>
          <w:sz w:val="22"/>
          <w:szCs w:val="22"/>
        </w:rPr>
      </w:pPr>
    </w:p>
    <w:p w14:paraId="3EC80133" w14:textId="77777777" w:rsidR="001C2F95" w:rsidRPr="00982564" w:rsidRDefault="001C2F95" w:rsidP="001C2F95">
      <w:pPr>
        <w:pStyle w:val="Titre2"/>
        <w:rPr>
          <w:rFonts w:cs="Arial"/>
          <w:sz w:val="22"/>
          <w:szCs w:val="22"/>
        </w:rPr>
      </w:pPr>
      <w:bookmarkStart w:id="307" w:name="_Toc64026146"/>
      <w:bookmarkStart w:id="308" w:name="_Toc70327013"/>
      <w:bookmarkStart w:id="309" w:name="_Toc70330376"/>
      <w:r w:rsidRPr="00982564">
        <w:rPr>
          <w:rFonts w:cs="Arial"/>
          <w:sz w:val="22"/>
          <w:szCs w:val="22"/>
        </w:rPr>
        <w:t>Le Fonds National de Promotion et de Service Social (FNPSS) est un Etablissement Public à caractère technique, financier, social et humanitaire. Il est doté de la personnalité juridique et jouit d’une autonomie administrative et financière.</w:t>
      </w:r>
      <w:bookmarkEnd w:id="307"/>
      <w:bookmarkEnd w:id="308"/>
      <w:bookmarkEnd w:id="309"/>
      <w:r w:rsidRPr="00982564">
        <w:rPr>
          <w:rFonts w:cs="Arial"/>
          <w:sz w:val="22"/>
          <w:szCs w:val="22"/>
        </w:rPr>
        <w:t xml:space="preserve"> </w:t>
      </w:r>
    </w:p>
    <w:p w14:paraId="19E2D5AD" w14:textId="77777777" w:rsidR="001C2F95" w:rsidRPr="00982564" w:rsidRDefault="001C2F95" w:rsidP="001C2F95">
      <w:pPr>
        <w:rPr>
          <w:rFonts w:cs="Arial"/>
          <w:sz w:val="22"/>
        </w:rPr>
      </w:pPr>
    </w:p>
    <w:p w14:paraId="2E2C00A7" w14:textId="77777777" w:rsidR="001C2F95" w:rsidRPr="00982564" w:rsidRDefault="001C2F95" w:rsidP="001C2F95">
      <w:pPr>
        <w:pStyle w:val="Titre2"/>
        <w:rPr>
          <w:rFonts w:cs="Arial"/>
          <w:sz w:val="22"/>
          <w:szCs w:val="22"/>
        </w:rPr>
      </w:pPr>
      <w:bookmarkStart w:id="310" w:name="_Toc64026147"/>
      <w:bookmarkStart w:id="311" w:name="_Toc70327014"/>
      <w:bookmarkStart w:id="312" w:name="_Toc70330377"/>
      <w:r w:rsidRPr="00982564">
        <w:rPr>
          <w:rFonts w:cs="Arial"/>
          <w:sz w:val="22"/>
          <w:szCs w:val="22"/>
        </w:rPr>
        <w:t>Il est régi par le Décret n°13/007 du 23 Janvier 2013. Il a pour mission :</w:t>
      </w:r>
      <w:bookmarkEnd w:id="310"/>
      <w:bookmarkEnd w:id="311"/>
      <w:bookmarkEnd w:id="312"/>
      <w:r w:rsidRPr="00982564">
        <w:rPr>
          <w:rFonts w:cs="Arial"/>
          <w:sz w:val="22"/>
          <w:szCs w:val="22"/>
        </w:rPr>
        <w:t xml:space="preserve"> </w:t>
      </w:r>
    </w:p>
    <w:p w14:paraId="6921BFFC" w14:textId="77777777" w:rsidR="001C2F95" w:rsidRPr="00982564" w:rsidRDefault="001C2F95" w:rsidP="001C2F95">
      <w:pPr>
        <w:rPr>
          <w:rFonts w:cs="Arial"/>
          <w:sz w:val="22"/>
        </w:rPr>
      </w:pPr>
    </w:p>
    <w:p w14:paraId="4ECF2506" w14:textId="77777777" w:rsidR="001C2F95" w:rsidRPr="00982564" w:rsidRDefault="001C2F95" w:rsidP="002378EA">
      <w:pPr>
        <w:pStyle w:val="Paragraphedeliste"/>
        <w:numPr>
          <w:ilvl w:val="0"/>
          <w:numId w:val="45"/>
        </w:numPr>
        <w:rPr>
          <w:rFonts w:cs="Arial"/>
          <w:sz w:val="22"/>
        </w:rPr>
      </w:pPr>
      <w:r w:rsidRPr="00982564">
        <w:rPr>
          <w:rFonts w:cs="Arial"/>
          <w:sz w:val="22"/>
        </w:rPr>
        <w:t xml:space="preserve">Appuyer l’action sociale et humanitaire du Gouvernement dans le cadre de la politique sociale et humanitaire telle que définie par le Ministère des Affaires Sociales, Action Humanitaire et Solidarité Nationale ; </w:t>
      </w:r>
    </w:p>
    <w:p w14:paraId="7BCC4865" w14:textId="77777777" w:rsidR="001C2F95" w:rsidRPr="00982564" w:rsidRDefault="001C2F95" w:rsidP="002378EA">
      <w:pPr>
        <w:pStyle w:val="Paragraphedeliste"/>
        <w:numPr>
          <w:ilvl w:val="0"/>
          <w:numId w:val="45"/>
        </w:numPr>
        <w:rPr>
          <w:rFonts w:cs="Arial"/>
          <w:sz w:val="22"/>
        </w:rPr>
      </w:pPr>
      <w:r w:rsidRPr="00982564">
        <w:rPr>
          <w:rFonts w:cs="Arial"/>
          <w:sz w:val="22"/>
        </w:rPr>
        <w:t xml:space="preserve">Jouer le rôle d’interface pour l’appui aux structures de prise en charge du Ministère des Affaires Sociales, Action Humanitaire et Solidarité Nationale et des partenaires et intervenants sociaux et humanitaires ; </w:t>
      </w:r>
    </w:p>
    <w:p w14:paraId="67023623" w14:textId="77777777" w:rsidR="001C2F95" w:rsidRPr="00982564" w:rsidRDefault="001C2F95" w:rsidP="002378EA">
      <w:pPr>
        <w:pStyle w:val="Paragraphedeliste"/>
        <w:numPr>
          <w:ilvl w:val="0"/>
          <w:numId w:val="45"/>
        </w:numPr>
        <w:rPr>
          <w:rFonts w:cs="Arial"/>
          <w:sz w:val="22"/>
        </w:rPr>
      </w:pPr>
      <w:r w:rsidRPr="00982564">
        <w:rPr>
          <w:rFonts w:cs="Arial"/>
          <w:sz w:val="22"/>
        </w:rPr>
        <w:t xml:space="preserve">Organiser la plate-forme de l’aide sociale et humanitaire ; </w:t>
      </w:r>
    </w:p>
    <w:p w14:paraId="5AE3C8D6" w14:textId="77777777" w:rsidR="001C2F95" w:rsidRPr="00982564" w:rsidRDefault="001C2F95" w:rsidP="002378EA">
      <w:pPr>
        <w:pStyle w:val="Paragraphedeliste"/>
        <w:numPr>
          <w:ilvl w:val="0"/>
          <w:numId w:val="45"/>
        </w:numPr>
        <w:rPr>
          <w:rFonts w:cs="Arial"/>
          <w:sz w:val="22"/>
        </w:rPr>
      </w:pPr>
      <w:r w:rsidRPr="00982564">
        <w:rPr>
          <w:rFonts w:cs="Arial"/>
          <w:sz w:val="22"/>
        </w:rPr>
        <w:t xml:space="preserve">Prendre en charge des opérations de lancement des projets de relèvement social ; </w:t>
      </w:r>
    </w:p>
    <w:p w14:paraId="6F9C97B3" w14:textId="77777777" w:rsidR="001C2F95" w:rsidRPr="00982564" w:rsidRDefault="001C2F95" w:rsidP="002378EA">
      <w:pPr>
        <w:pStyle w:val="Paragraphedeliste"/>
        <w:numPr>
          <w:ilvl w:val="0"/>
          <w:numId w:val="45"/>
        </w:numPr>
        <w:rPr>
          <w:rFonts w:cs="Arial"/>
          <w:sz w:val="22"/>
        </w:rPr>
      </w:pPr>
      <w:r w:rsidRPr="00982564">
        <w:rPr>
          <w:rFonts w:cs="Arial"/>
          <w:sz w:val="22"/>
        </w:rPr>
        <w:t xml:space="preserve">Mobiliser des fonds nécessaires à la réalisation des actions à caractère social et humanitaire ; </w:t>
      </w:r>
    </w:p>
    <w:p w14:paraId="6574A5B0" w14:textId="77777777" w:rsidR="001C2F95" w:rsidRPr="00982564" w:rsidRDefault="001C2F95" w:rsidP="002378EA">
      <w:pPr>
        <w:pStyle w:val="Paragraphedeliste"/>
        <w:numPr>
          <w:ilvl w:val="0"/>
          <w:numId w:val="45"/>
        </w:numPr>
        <w:rPr>
          <w:rFonts w:cs="Arial"/>
          <w:sz w:val="22"/>
        </w:rPr>
      </w:pPr>
      <w:r w:rsidRPr="00982564">
        <w:rPr>
          <w:rFonts w:cs="Arial"/>
          <w:sz w:val="22"/>
        </w:rPr>
        <w:t xml:space="preserve">Gérer la caisse de solidarité nationale ; </w:t>
      </w:r>
    </w:p>
    <w:p w14:paraId="47052DEC" w14:textId="77777777" w:rsidR="001C2F95" w:rsidRPr="00982564" w:rsidRDefault="001C2F95" w:rsidP="002378EA">
      <w:pPr>
        <w:pStyle w:val="Paragraphedeliste"/>
        <w:numPr>
          <w:ilvl w:val="0"/>
          <w:numId w:val="45"/>
        </w:numPr>
        <w:rPr>
          <w:rFonts w:cs="Arial"/>
          <w:sz w:val="22"/>
        </w:rPr>
      </w:pPr>
      <w:r w:rsidRPr="00982564">
        <w:rPr>
          <w:rFonts w:cs="Arial"/>
          <w:sz w:val="22"/>
        </w:rPr>
        <w:t xml:space="preserve">Participer aux actions de promotion sociale ; </w:t>
      </w:r>
    </w:p>
    <w:p w14:paraId="2CBFA089" w14:textId="77777777" w:rsidR="001C2F95" w:rsidRPr="00982564" w:rsidRDefault="001C2F95" w:rsidP="002378EA">
      <w:pPr>
        <w:pStyle w:val="Paragraphedeliste"/>
        <w:numPr>
          <w:ilvl w:val="0"/>
          <w:numId w:val="45"/>
        </w:numPr>
        <w:rPr>
          <w:rFonts w:cs="Arial"/>
          <w:sz w:val="22"/>
        </w:rPr>
      </w:pPr>
      <w:r w:rsidRPr="00982564">
        <w:rPr>
          <w:rFonts w:cs="Arial"/>
          <w:sz w:val="22"/>
        </w:rPr>
        <w:t xml:space="preserve">Octroyer de l’aide sous forme de dons en matériels ou en espèce et des prêts gardant un caractère exceptionnel ; </w:t>
      </w:r>
    </w:p>
    <w:p w14:paraId="4E7E6D87" w14:textId="77777777" w:rsidR="001C2F95" w:rsidRPr="00982564" w:rsidRDefault="001C2F95" w:rsidP="002378EA">
      <w:pPr>
        <w:pStyle w:val="Paragraphedeliste"/>
        <w:numPr>
          <w:ilvl w:val="0"/>
          <w:numId w:val="45"/>
        </w:numPr>
        <w:rPr>
          <w:rFonts w:cs="Arial"/>
          <w:sz w:val="22"/>
        </w:rPr>
      </w:pPr>
      <w:r w:rsidRPr="00982564">
        <w:rPr>
          <w:rFonts w:cs="Arial"/>
          <w:sz w:val="22"/>
        </w:rPr>
        <w:t xml:space="preserve">Servir de banque sociale de proximité pour la promotion et la protection des personnes nécessiteuses et défavorisées ; </w:t>
      </w:r>
    </w:p>
    <w:p w14:paraId="633CB200" w14:textId="77777777" w:rsidR="001C2F95" w:rsidRPr="00982564" w:rsidRDefault="001C2F95" w:rsidP="002378EA">
      <w:pPr>
        <w:pStyle w:val="Paragraphedeliste"/>
        <w:numPr>
          <w:ilvl w:val="0"/>
          <w:numId w:val="45"/>
        </w:numPr>
        <w:rPr>
          <w:rFonts w:cs="Arial"/>
          <w:sz w:val="22"/>
        </w:rPr>
      </w:pPr>
      <w:r w:rsidRPr="00982564">
        <w:rPr>
          <w:rFonts w:cs="Arial"/>
          <w:sz w:val="22"/>
        </w:rPr>
        <w:t xml:space="preserve">Émettre des avis techniques sur les projets à caractère social et humanitaire ; </w:t>
      </w:r>
    </w:p>
    <w:p w14:paraId="2A85A1AA" w14:textId="77777777" w:rsidR="001C2F95" w:rsidRPr="00982564" w:rsidRDefault="001C2F95" w:rsidP="002378EA">
      <w:pPr>
        <w:pStyle w:val="Paragraphedeliste"/>
        <w:numPr>
          <w:ilvl w:val="0"/>
          <w:numId w:val="45"/>
        </w:numPr>
        <w:rPr>
          <w:rFonts w:cs="Arial"/>
          <w:sz w:val="22"/>
        </w:rPr>
      </w:pPr>
      <w:r w:rsidRPr="00982564">
        <w:rPr>
          <w:rFonts w:cs="Arial"/>
          <w:sz w:val="22"/>
        </w:rPr>
        <w:t xml:space="preserve">Servir d’organe consultatif pour les questions relatives aux facilités administratives ; fiscales et douanières au profit des partenaires et intervenants sociaux et humanitaires ; </w:t>
      </w:r>
    </w:p>
    <w:p w14:paraId="6397AD4E" w14:textId="77777777" w:rsidR="001C2F95" w:rsidRPr="00982564" w:rsidRDefault="001C2F95" w:rsidP="002378EA">
      <w:pPr>
        <w:pStyle w:val="Paragraphedeliste"/>
        <w:numPr>
          <w:ilvl w:val="0"/>
          <w:numId w:val="45"/>
        </w:numPr>
        <w:rPr>
          <w:rFonts w:cs="Arial"/>
          <w:sz w:val="22"/>
        </w:rPr>
      </w:pPr>
      <w:r w:rsidRPr="00982564">
        <w:rPr>
          <w:rFonts w:cs="Arial"/>
          <w:sz w:val="22"/>
        </w:rPr>
        <w:t xml:space="preserve">Tenir la gestion de l’Observatoire de la Vulnérabilité Sociale et de la banque de données des partenaires et des intervenants dans le domaine social et humanitaire. </w:t>
      </w:r>
    </w:p>
    <w:p w14:paraId="4CE06C2A" w14:textId="77777777" w:rsidR="001C2F95" w:rsidRPr="00982564" w:rsidRDefault="001C2F95" w:rsidP="001C2F95">
      <w:pPr>
        <w:pStyle w:val="Titre2"/>
        <w:rPr>
          <w:rFonts w:cs="Arial"/>
          <w:i/>
          <w:sz w:val="22"/>
          <w:szCs w:val="22"/>
        </w:rPr>
      </w:pPr>
    </w:p>
    <w:p w14:paraId="58A27780" w14:textId="77777777" w:rsidR="001C2F95" w:rsidRPr="00982564" w:rsidRDefault="001C2F95" w:rsidP="001C2F95">
      <w:pPr>
        <w:pStyle w:val="Titre2"/>
        <w:rPr>
          <w:rFonts w:cs="Arial"/>
          <w:i/>
          <w:sz w:val="22"/>
          <w:szCs w:val="22"/>
        </w:rPr>
      </w:pPr>
      <w:bookmarkStart w:id="313" w:name="_Toc64026148"/>
      <w:bookmarkStart w:id="314" w:name="_Toc70327015"/>
      <w:bookmarkStart w:id="315" w:name="_Toc70330378"/>
      <w:r w:rsidRPr="00982564">
        <w:rPr>
          <w:rFonts w:cs="Arial"/>
          <w:i/>
          <w:sz w:val="22"/>
          <w:szCs w:val="22"/>
        </w:rPr>
        <w:t>Programme National d'appui à la Protection Sociale</w:t>
      </w:r>
      <w:bookmarkEnd w:id="305"/>
      <w:r w:rsidRPr="00982564">
        <w:rPr>
          <w:rFonts w:cs="Arial"/>
          <w:i/>
          <w:sz w:val="22"/>
          <w:szCs w:val="22"/>
        </w:rPr>
        <w:t xml:space="preserve"> (PNPS)</w:t>
      </w:r>
      <w:bookmarkEnd w:id="306"/>
      <w:bookmarkEnd w:id="313"/>
      <w:bookmarkEnd w:id="314"/>
      <w:bookmarkEnd w:id="315"/>
    </w:p>
    <w:p w14:paraId="6BCF4715" w14:textId="77777777" w:rsidR="001C2F95" w:rsidRPr="00982564" w:rsidRDefault="001C2F95" w:rsidP="001C2F95">
      <w:pPr>
        <w:autoSpaceDE w:val="0"/>
        <w:autoSpaceDN w:val="0"/>
        <w:adjustRightInd w:val="0"/>
        <w:rPr>
          <w:rFonts w:eastAsia="Calibri" w:cs="Arial"/>
          <w:color w:val="000000"/>
          <w:sz w:val="22"/>
          <w:highlight w:val="yellow"/>
        </w:rPr>
      </w:pPr>
    </w:p>
    <w:p w14:paraId="09E6EBD1" w14:textId="77777777" w:rsidR="001C2F95" w:rsidRPr="00982564" w:rsidRDefault="001C2F95" w:rsidP="001C2F95">
      <w:pPr>
        <w:autoSpaceDE w:val="0"/>
        <w:autoSpaceDN w:val="0"/>
        <w:adjustRightInd w:val="0"/>
        <w:rPr>
          <w:rFonts w:eastAsia="Calibri" w:cs="Arial"/>
          <w:color w:val="000000"/>
          <w:sz w:val="22"/>
        </w:rPr>
      </w:pPr>
      <w:r w:rsidRPr="00982564">
        <w:rPr>
          <w:rFonts w:eastAsia="Calibri" w:cs="Arial"/>
          <w:color w:val="000000"/>
          <w:sz w:val="22"/>
        </w:rPr>
        <w:t xml:space="preserve">Depuis novembre 2005, le Gouvernement congolais a mis en place le Programme National d’appui à la Protection Sociale avec cinq (5) missions : </w:t>
      </w:r>
      <w:r w:rsidRPr="00982564">
        <w:rPr>
          <w:rFonts w:eastAsia="Calibri" w:cs="Arial"/>
          <w:i/>
          <w:color w:val="000000"/>
          <w:sz w:val="22"/>
        </w:rPr>
        <w:t>(i)</w:t>
      </w:r>
      <w:r w:rsidRPr="00982564">
        <w:rPr>
          <w:rFonts w:eastAsia="Calibri" w:cs="Arial"/>
          <w:color w:val="000000"/>
          <w:sz w:val="22"/>
        </w:rPr>
        <w:t xml:space="preserve"> étendre la couverture de la protection sociale ; </w:t>
      </w:r>
      <w:r w:rsidRPr="00982564">
        <w:rPr>
          <w:rFonts w:eastAsia="Calibri" w:cs="Arial"/>
          <w:i/>
          <w:color w:val="000000"/>
          <w:sz w:val="22"/>
        </w:rPr>
        <w:t>(ii)</w:t>
      </w:r>
      <w:r w:rsidRPr="00982564">
        <w:rPr>
          <w:rFonts w:eastAsia="Calibri" w:cs="Arial"/>
          <w:color w:val="000000"/>
          <w:sz w:val="22"/>
        </w:rPr>
        <w:t xml:space="preserve"> améliorer la qualité des prestations sociales ; </w:t>
      </w:r>
      <w:r w:rsidRPr="00982564">
        <w:rPr>
          <w:rFonts w:eastAsia="Calibri" w:cs="Arial"/>
          <w:i/>
          <w:color w:val="000000"/>
          <w:sz w:val="22"/>
        </w:rPr>
        <w:t>(iii)</w:t>
      </w:r>
      <w:r w:rsidRPr="00982564">
        <w:rPr>
          <w:rFonts w:eastAsia="Calibri" w:cs="Arial"/>
          <w:color w:val="000000"/>
          <w:sz w:val="22"/>
        </w:rPr>
        <w:t xml:space="preserve"> mettre en place et gérer un système de couverture des soins de santé, </w:t>
      </w:r>
      <w:r w:rsidRPr="00982564">
        <w:rPr>
          <w:rFonts w:eastAsia="Calibri" w:cs="Arial"/>
          <w:i/>
          <w:color w:val="000000"/>
          <w:sz w:val="22"/>
        </w:rPr>
        <w:t>(iv)</w:t>
      </w:r>
      <w:r w:rsidRPr="00982564">
        <w:rPr>
          <w:rFonts w:eastAsia="Calibri" w:cs="Arial"/>
          <w:color w:val="000000"/>
          <w:sz w:val="22"/>
        </w:rPr>
        <w:t xml:space="preserve"> concourir aux travaux de réforme avec la commission ad hoc ; et </w:t>
      </w:r>
      <w:r w:rsidRPr="00982564">
        <w:rPr>
          <w:rFonts w:eastAsia="Calibri" w:cs="Arial"/>
          <w:i/>
          <w:color w:val="000000"/>
          <w:sz w:val="22"/>
        </w:rPr>
        <w:t>(v)</w:t>
      </w:r>
      <w:r w:rsidRPr="00982564">
        <w:rPr>
          <w:rFonts w:eastAsia="Calibri" w:cs="Arial"/>
          <w:color w:val="000000"/>
          <w:sz w:val="22"/>
        </w:rPr>
        <w:t xml:space="preserve"> rendre effective la protection sociale pour tous. La formulation de la Politique Nationale de Protection Sociale est l’une des missions confiées au Conseil du PNPS dont le Ministre de la Prévoyance Sociale est le Président.</w:t>
      </w:r>
    </w:p>
    <w:p w14:paraId="7AF155B6" w14:textId="77777777" w:rsidR="001C2F95" w:rsidRPr="00982564" w:rsidRDefault="001C2F95" w:rsidP="001C2F95">
      <w:pPr>
        <w:autoSpaceDE w:val="0"/>
        <w:autoSpaceDN w:val="0"/>
        <w:adjustRightInd w:val="0"/>
        <w:rPr>
          <w:rFonts w:eastAsia="Calibri" w:cs="Arial"/>
          <w:color w:val="000000"/>
          <w:sz w:val="22"/>
        </w:rPr>
      </w:pPr>
    </w:p>
    <w:p w14:paraId="17722E71" w14:textId="77777777" w:rsidR="001C2F95" w:rsidRPr="00982564" w:rsidRDefault="001C2F95" w:rsidP="001C2F95">
      <w:pPr>
        <w:autoSpaceDE w:val="0"/>
        <w:autoSpaceDN w:val="0"/>
        <w:adjustRightInd w:val="0"/>
        <w:rPr>
          <w:rFonts w:eastAsia="Calibri" w:cs="Arial"/>
          <w:color w:val="000000"/>
          <w:sz w:val="22"/>
        </w:rPr>
      </w:pPr>
      <w:r w:rsidRPr="00982564">
        <w:rPr>
          <w:rFonts w:eastAsia="Calibri" w:cs="Arial"/>
          <w:color w:val="000000"/>
          <w:sz w:val="22"/>
        </w:rPr>
        <w:t xml:space="preserve">La Politique Nationale de Protection Sociale de la RDC, adoptée par le Conseil du PNPS, vise une protection efficace des couches sociales les plus vulnérables et les plus démunies, à l’horizon 2030, en leur octroyant, notamment, des soins de santé de qualité, un revenu minimum, une alimentation saine et équilibrée, dans le cadre du Socle national de Protection Sociale. </w:t>
      </w:r>
    </w:p>
    <w:p w14:paraId="126C5A54" w14:textId="77777777" w:rsidR="001C2F95" w:rsidRPr="00982564" w:rsidRDefault="001C2F95" w:rsidP="001C2F95">
      <w:pPr>
        <w:autoSpaceDE w:val="0"/>
        <w:autoSpaceDN w:val="0"/>
        <w:adjustRightInd w:val="0"/>
        <w:rPr>
          <w:rFonts w:eastAsia="Calibri" w:cs="Arial"/>
          <w:color w:val="000000"/>
          <w:sz w:val="22"/>
        </w:rPr>
      </w:pPr>
    </w:p>
    <w:p w14:paraId="61D2019C" w14:textId="77777777" w:rsidR="001C2F95" w:rsidRPr="00982564" w:rsidRDefault="001C2F95" w:rsidP="001C2F95">
      <w:pPr>
        <w:autoSpaceDE w:val="0"/>
        <w:autoSpaceDN w:val="0"/>
        <w:adjustRightInd w:val="0"/>
        <w:rPr>
          <w:rFonts w:eastAsia="Calibri" w:cs="Arial"/>
          <w:color w:val="000000"/>
          <w:sz w:val="22"/>
        </w:rPr>
      </w:pPr>
      <w:r w:rsidRPr="00982564">
        <w:rPr>
          <w:rFonts w:eastAsia="Calibri" w:cs="Arial"/>
          <w:color w:val="000000"/>
          <w:sz w:val="22"/>
        </w:rPr>
        <w:t>Par ailleurs, dans le cadre du PNDA, le PNPS appuiera l’UNCP et assurera la coordination et l’orientation générale du Programme dans le cadre de la réinstallation involontaire des populations et des biens qui seront touchés par le PNDA.</w:t>
      </w:r>
    </w:p>
    <w:bookmarkEnd w:id="301"/>
    <w:p w14:paraId="5094A73F" w14:textId="77777777" w:rsidR="001C2F95" w:rsidRPr="00982564" w:rsidRDefault="001C2F95" w:rsidP="001C2F95">
      <w:pPr>
        <w:autoSpaceDE w:val="0"/>
        <w:autoSpaceDN w:val="0"/>
        <w:adjustRightInd w:val="0"/>
        <w:rPr>
          <w:rFonts w:eastAsia="Calibri" w:cs="Arial"/>
          <w:iCs/>
          <w:sz w:val="22"/>
        </w:rPr>
      </w:pPr>
    </w:p>
    <w:p w14:paraId="71E0F31A" w14:textId="77777777" w:rsidR="001C2F95" w:rsidRPr="00982564" w:rsidRDefault="001C2F95" w:rsidP="001C2F95">
      <w:pPr>
        <w:pStyle w:val="Titre2"/>
        <w:numPr>
          <w:ilvl w:val="2"/>
          <w:numId w:val="4"/>
        </w:numPr>
        <w:ind w:left="1560" w:hanging="709"/>
        <w:rPr>
          <w:rFonts w:cs="Arial"/>
          <w:i/>
          <w:sz w:val="22"/>
          <w:szCs w:val="22"/>
        </w:rPr>
      </w:pPr>
      <w:bookmarkStart w:id="316" w:name="_Toc44626829"/>
      <w:bookmarkStart w:id="317" w:name="_Toc70330379"/>
      <w:bookmarkStart w:id="318" w:name="_Toc487204594"/>
      <w:r w:rsidRPr="00982564">
        <w:rPr>
          <w:rFonts w:cs="Arial"/>
          <w:i/>
          <w:sz w:val="22"/>
          <w:szCs w:val="22"/>
        </w:rPr>
        <w:t>Ministère de l’Emploi, Travail et Prévoyance Sociale</w:t>
      </w:r>
      <w:bookmarkEnd w:id="316"/>
      <w:bookmarkEnd w:id="317"/>
    </w:p>
    <w:p w14:paraId="5DDB16C4" w14:textId="77777777" w:rsidR="001C2F95" w:rsidRPr="00982564" w:rsidRDefault="001C2F95" w:rsidP="001C2F95">
      <w:pPr>
        <w:tabs>
          <w:tab w:val="left" w:pos="426"/>
          <w:tab w:val="left" w:pos="567"/>
        </w:tabs>
        <w:contextualSpacing/>
        <w:rPr>
          <w:rFonts w:cs="Arial"/>
          <w:sz w:val="22"/>
        </w:rPr>
      </w:pPr>
    </w:p>
    <w:p w14:paraId="390553D1" w14:textId="77777777" w:rsidR="001C2F95" w:rsidRPr="00982564" w:rsidRDefault="001C2F95" w:rsidP="001C2F95">
      <w:pPr>
        <w:autoSpaceDE w:val="0"/>
        <w:autoSpaceDN w:val="0"/>
        <w:adjustRightInd w:val="0"/>
        <w:rPr>
          <w:rFonts w:eastAsia="Calibri" w:cs="Arial"/>
          <w:color w:val="000000"/>
          <w:sz w:val="22"/>
        </w:rPr>
      </w:pPr>
      <w:r w:rsidRPr="00982564">
        <w:rPr>
          <w:rFonts w:eastAsia="Calibri" w:cs="Arial"/>
          <w:color w:val="000000"/>
          <w:sz w:val="22"/>
        </w:rPr>
        <w:t>Le Ministère en charge de l’Emploi, Travail et Prévoyance Sociale assure le contrôle de l’application des lois du travail, notamment le respect des rémunérations minimales, conformité des modèles de contrat de travail et des mesures de protection sociale des travailleurs</w:t>
      </w:r>
      <w:r w:rsidR="00715CC9">
        <w:rPr>
          <w:rFonts w:eastAsia="Calibri" w:cs="Arial"/>
          <w:color w:val="000000"/>
          <w:sz w:val="22"/>
        </w:rPr>
        <w:t xml:space="preserve"> de tous les secteurs, agricole y compris</w:t>
      </w:r>
      <w:r w:rsidRPr="00982564">
        <w:rPr>
          <w:rFonts w:eastAsia="Calibri" w:cs="Arial"/>
          <w:color w:val="000000"/>
          <w:sz w:val="22"/>
        </w:rPr>
        <w:t xml:space="preserve">. </w:t>
      </w:r>
    </w:p>
    <w:p w14:paraId="1C6D4102" w14:textId="77777777" w:rsidR="001C2F95" w:rsidRPr="00982564" w:rsidRDefault="001C2F95" w:rsidP="001C2F95">
      <w:pPr>
        <w:autoSpaceDE w:val="0"/>
        <w:autoSpaceDN w:val="0"/>
        <w:adjustRightInd w:val="0"/>
        <w:rPr>
          <w:rFonts w:eastAsia="Calibri" w:cs="Arial"/>
          <w:color w:val="000000"/>
          <w:sz w:val="22"/>
        </w:rPr>
      </w:pPr>
    </w:p>
    <w:p w14:paraId="2663B987" w14:textId="77777777" w:rsidR="001C2F95" w:rsidRPr="00982564" w:rsidRDefault="001C2F95" w:rsidP="001C2F95">
      <w:pPr>
        <w:pStyle w:val="Titre2"/>
        <w:numPr>
          <w:ilvl w:val="2"/>
          <w:numId w:val="4"/>
        </w:numPr>
        <w:ind w:left="1560" w:hanging="709"/>
        <w:rPr>
          <w:rFonts w:cs="Arial"/>
          <w:i/>
          <w:sz w:val="22"/>
          <w:szCs w:val="22"/>
        </w:rPr>
      </w:pPr>
      <w:bookmarkStart w:id="319" w:name="_Toc70330380"/>
      <w:r w:rsidRPr="00982564">
        <w:rPr>
          <w:rFonts w:cs="Arial"/>
          <w:i/>
          <w:sz w:val="22"/>
          <w:szCs w:val="22"/>
        </w:rPr>
        <w:t>Ministère du Genre, Famille et Enfant</w:t>
      </w:r>
      <w:bookmarkEnd w:id="319"/>
    </w:p>
    <w:p w14:paraId="5AD134AD" w14:textId="77777777" w:rsidR="001C2F95" w:rsidRPr="00982564" w:rsidRDefault="001C2F95" w:rsidP="001C2F95">
      <w:pPr>
        <w:autoSpaceDE w:val="0"/>
        <w:autoSpaceDN w:val="0"/>
        <w:adjustRightInd w:val="0"/>
        <w:contextualSpacing/>
        <w:rPr>
          <w:rFonts w:eastAsia="Calibri" w:cs="Arial"/>
          <w:sz w:val="22"/>
          <w:lang w:eastAsia="en-US"/>
        </w:rPr>
      </w:pPr>
    </w:p>
    <w:p w14:paraId="26DEB960" w14:textId="77777777" w:rsidR="001C2F95" w:rsidRPr="00982564" w:rsidRDefault="001C2F95" w:rsidP="001C2F95">
      <w:pPr>
        <w:autoSpaceDE w:val="0"/>
        <w:autoSpaceDN w:val="0"/>
        <w:adjustRightInd w:val="0"/>
        <w:contextualSpacing/>
        <w:rPr>
          <w:rFonts w:eastAsia="Calibri" w:cs="Arial"/>
          <w:sz w:val="22"/>
          <w:lang w:eastAsia="en-US"/>
        </w:rPr>
      </w:pPr>
      <w:r w:rsidRPr="00982564">
        <w:rPr>
          <w:rFonts w:eastAsia="Calibri" w:cs="Arial"/>
          <w:sz w:val="22"/>
          <w:lang w:eastAsia="en-US"/>
        </w:rPr>
        <w:t>Le Ministère va appuyer le PNDA suivant le Décret n° 09/38 du 10 octobre 2009 portant création, organisation et fonctionnement de l’Agence Nationale de lutte contre les violences faites à la femme, à la jeune et petite fille, mise en place, cette structure nationale devant coordonner toutes les actions en rapport avec la lutte contre les violences faites à la femme, jeune et petite fille en République Démocratique du Congo, en sigle, AVIFEM.</w:t>
      </w:r>
    </w:p>
    <w:p w14:paraId="497A5A43" w14:textId="77777777" w:rsidR="001C2F95" w:rsidRPr="00982564" w:rsidRDefault="001C2F95" w:rsidP="001C2F95">
      <w:pPr>
        <w:autoSpaceDE w:val="0"/>
        <w:autoSpaceDN w:val="0"/>
        <w:adjustRightInd w:val="0"/>
        <w:contextualSpacing/>
        <w:rPr>
          <w:rFonts w:eastAsia="Calibri" w:cs="Arial"/>
          <w:sz w:val="22"/>
          <w:lang w:eastAsia="en-US"/>
        </w:rPr>
      </w:pPr>
    </w:p>
    <w:p w14:paraId="75E593A1" w14:textId="77777777" w:rsidR="001C2F95" w:rsidRPr="00982564" w:rsidRDefault="001C2F95" w:rsidP="001C2F95">
      <w:pPr>
        <w:autoSpaceDE w:val="0"/>
        <w:autoSpaceDN w:val="0"/>
        <w:adjustRightInd w:val="0"/>
        <w:contextualSpacing/>
        <w:rPr>
          <w:rFonts w:eastAsia="Calibri" w:cs="Arial"/>
          <w:sz w:val="22"/>
          <w:lang w:eastAsia="en-US"/>
        </w:rPr>
      </w:pPr>
      <w:r w:rsidRPr="00982564">
        <w:rPr>
          <w:rFonts w:eastAsia="Calibri" w:cs="Arial"/>
          <w:sz w:val="22"/>
          <w:lang w:eastAsia="en-US"/>
        </w:rPr>
        <w:t>Sa mission générale est l’exécution de la stratégie nationale de lutte contre toutes les formes de VBG, spécialement faites à la femme, à la jeune et petite fille. A ce titre il est notamment chargé de :</w:t>
      </w:r>
    </w:p>
    <w:p w14:paraId="035D78C9" w14:textId="77777777" w:rsidR="001C2F95" w:rsidRPr="00982564" w:rsidRDefault="001C2F95" w:rsidP="001C2F95">
      <w:pPr>
        <w:autoSpaceDE w:val="0"/>
        <w:autoSpaceDN w:val="0"/>
        <w:adjustRightInd w:val="0"/>
        <w:contextualSpacing/>
        <w:rPr>
          <w:rFonts w:eastAsia="Calibri" w:cs="Arial"/>
          <w:sz w:val="22"/>
          <w:lang w:eastAsia="en-US"/>
        </w:rPr>
      </w:pPr>
    </w:p>
    <w:p w14:paraId="33EF5CB6" w14:textId="77777777" w:rsidR="001C2F95" w:rsidRPr="00982564" w:rsidRDefault="001C2F95" w:rsidP="002378EA">
      <w:pPr>
        <w:pStyle w:val="Paragraphedeliste"/>
        <w:numPr>
          <w:ilvl w:val="0"/>
          <w:numId w:val="45"/>
        </w:numPr>
        <w:rPr>
          <w:rFonts w:cs="Arial"/>
          <w:sz w:val="22"/>
        </w:rPr>
      </w:pPr>
      <w:r w:rsidRPr="00982564">
        <w:rPr>
          <w:rFonts w:cs="Arial"/>
          <w:sz w:val="22"/>
        </w:rPr>
        <w:t>Assurer la vulgarisation des lois ;</w:t>
      </w:r>
    </w:p>
    <w:p w14:paraId="00C4739C" w14:textId="77777777" w:rsidR="001C2F95" w:rsidRPr="00982564" w:rsidRDefault="001C2F95" w:rsidP="002378EA">
      <w:pPr>
        <w:pStyle w:val="Paragraphedeliste"/>
        <w:numPr>
          <w:ilvl w:val="0"/>
          <w:numId w:val="45"/>
        </w:numPr>
        <w:rPr>
          <w:rFonts w:cs="Arial"/>
          <w:sz w:val="22"/>
        </w:rPr>
      </w:pPr>
      <w:r w:rsidRPr="00982564">
        <w:rPr>
          <w:rFonts w:cs="Arial"/>
          <w:sz w:val="22"/>
        </w:rPr>
        <w:t>Renforcer la prévention et la protection ;</w:t>
      </w:r>
    </w:p>
    <w:p w14:paraId="0B93D1B6" w14:textId="77777777" w:rsidR="001C2F95" w:rsidRPr="00982564" w:rsidRDefault="001C2F95" w:rsidP="002378EA">
      <w:pPr>
        <w:pStyle w:val="Paragraphedeliste"/>
        <w:numPr>
          <w:ilvl w:val="0"/>
          <w:numId w:val="45"/>
        </w:numPr>
        <w:rPr>
          <w:rFonts w:cs="Arial"/>
          <w:sz w:val="22"/>
        </w:rPr>
      </w:pPr>
      <w:r w:rsidRPr="00982564">
        <w:rPr>
          <w:rFonts w:cs="Arial"/>
          <w:sz w:val="22"/>
        </w:rPr>
        <w:t>Lutter contre l’impunité ;</w:t>
      </w:r>
    </w:p>
    <w:p w14:paraId="40E0E2C6" w14:textId="77777777" w:rsidR="001C2F95" w:rsidRPr="00982564" w:rsidRDefault="001C2F95" w:rsidP="002378EA">
      <w:pPr>
        <w:pStyle w:val="Paragraphedeliste"/>
        <w:numPr>
          <w:ilvl w:val="0"/>
          <w:numId w:val="45"/>
        </w:numPr>
        <w:rPr>
          <w:rFonts w:cs="Arial"/>
          <w:sz w:val="22"/>
        </w:rPr>
      </w:pPr>
      <w:r w:rsidRPr="00982564">
        <w:rPr>
          <w:rFonts w:cs="Arial"/>
          <w:sz w:val="22"/>
        </w:rPr>
        <w:t>Appuyer les réformes de la sécurité et de la justice ;</w:t>
      </w:r>
    </w:p>
    <w:p w14:paraId="0E6898FE" w14:textId="77777777" w:rsidR="001C2F95" w:rsidRPr="00982564" w:rsidRDefault="001C2F95" w:rsidP="002378EA">
      <w:pPr>
        <w:pStyle w:val="Paragraphedeliste"/>
        <w:numPr>
          <w:ilvl w:val="0"/>
          <w:numId w:val="45"/>
        </w:numPr>
        <w:rPr>
          <w:rFonts w:cs="Arial"/>
          <w:sz w:val="22"/>
        </w:rPr>
      </w:pPr>
      <w:r w:rsidRPr="00982564">
        <w:rPr>
          <w:rFonts w:cs="Arial"/>
          <w:sz w:val="22"/>
        </w:rPr>
        <w:t>Formuler les réponses aux besoins des survivant(e)s ; et</w:t>
      </w:r>
    </w:p>
    <w:p w14:paraId="5DC1F5FA" w14:textId="77777777" w:rsidR="001C2F95" w:rsidRPr="00982564" w:rsidRDefault="001C2F95" w:rsidP="002378EA">
      <w:pPr>
        <w:pStyle w:val="Paragraphedeliste"/>
        <w:numPr>
          <w:ilvl w:val="0"/>
          <w:numId w:val="45"/>
        </w:numPr>
        <w:rPr>
          <w:rFonts w:cs="Arial"/>
          <w:sz w:val="22"/>
        </w:rPr>
      </w:pPr>
      <w:r w:rsidRPr="00982564">
        <w:rPr>
          <w:rFonts w:cs="Arial"/>
          <w:sz w:val="22"/>
        </w:rPr>
        <w:t>Gérer efficacement les données et les informations.</w:t>
      </w:r>
    </w:p>
    <w:p w14:paraId="75067061" w14:textId="77777777" w:rsidR="001C2F95" w:rsidRPr="00982564" w:rsidRDefault="001C2F95" w:rsidP="001C2F95">
      <w:pPr>
        <w:autoSpaceDE w:val="0"/>
        <w:autoSpaceDN w:val="0"/>
        <w:adjustRightInd w:val="0"/>
        <w:rPr>
          <w:rFonts w:eastAsia="Calibri" w:cs="Arial"/>
          <w:color w:val="000000"/>
          <w:sz w:val="22"/>
        </w:rPr>
      </w:pPr>
    </w:p>
    <w:p w14:paraId="13121D0C" w14:textId="77777777" w:rsidR="001C2F95" w:rsidRPr="00982564" w:rsidRDefault="001C2F95" w:rsidP="001C2F95">
      <w:pPr>
        <w:pStyle w:val="Titre2"/>
        <w:numPr>
          <w:ilvl w:val="2"/>
          <w:numId w:val="4"/>
        </w:numPr>
        <w:ind w:left="1560" w:hanging="709"/>
        <w:rPr>
          <w:rFonts w:cs="Arial"/>
          <w:i/>
          <w:sz w:val="22"/>
          <w:szCs w:val="22"/>
        </w:rPr>
      </w:pPr>
      <w:bookmarkStart w:id="320" w:name="_Toc70330381"/>
      <w:r w:rsidRPr="00982564">
        <w:rPr>
          <w:rFonts w:cs="Arial"/>
          <w:i/>
          <w:sz w:val="22"/>
          <w:szCs w:val="22"/>
        </w:rPr>
        <w:t>Ministère des Transports et Voies de Communications</w:t>
      </w:r>
      <w:bookmarkEnd w:id="320"/>
    </w:p>
    <w:p w14:paraId="38F106BD" w14:textId="77777777" w:rsidR="001C2F95" w:rsidRPr="00982564" w:rsidRDefault="001C2F95" w:rsidP="001C2F95">
      <w:pPr>
        <w:autoSpaceDE w:val="0"/>
        <w:autoSpaceDN w:val="0"/>
        <w:adjustRightInd w:val="0"/>
        <w:rPr>
          <w:rFonts w:eastAsia="Calibri" w:cs="Arial"/>
          <w:color w:val="000000"/>
          <w:sz w:val="22"/>
        </w:rPr>
      </w:pPr>
    </w:p>
    <w:p w14:paraId="119C4F0A" w14:textId="77777777" w:rsidR="001C2F95" w:rsidRPr="00982564" w:rsidRDefault="001C2F95" w:rsidP="001C2F95">
      <w:pPr>
        <w:autoSpaceDE w:val="0"/>
        <w:autoSpaceDN w:val="0"/>
        <w:adjustRightInd w:val="0"/>
        <w:rPr>
          <w:rFonts w:eastAsia="Calibri" w:cs="Arial"/>
          <w:color w:val="000000"/>
          <w:sz w:val="22"/>
        </w:rPr>
      </w:pPr>
      <w:r w:rsidRPr="00982564">
        <w:rPr>
          <w:rFonts w:eastAsia="Calibri" w:cs="Arial"/>
          <w:color w:val="000000"/>
          <w:sz w:val="22"/>
        </w:rPr>
        <w:t>Le ministère de transport sera impliqué dans le cadre du PNDA sur les activités de balisage des rivières et autres cours pour faciliter l’évacuation des produits agricoles dans les centres de consommation.</w:t>
      </w:r>
    </w:p>
    <w:p w14:paraId="3490E5F6" w14:textId="77777777" w:rsidR="001C2F95" w:rsidRPr="00982564" w:rsidRDefault="001C2F95" w:rsidP="001C2F95">
      <w:pPr>
        <w:autoSpaceDE w:val="0"/>
        <w:autoSpaceDN w:val="0"/>
        <w:adjustRightInd w:val="0"/>
        <w:rPr>
          <w:rFonts w:eastAsia="Calibri" w:cs="Arial"/>
          <w:color w:val="000000"/>
          <w:sz w:val="22"/>
        </w:rPr>
      </w:pPr>
    </w:p>
    <w:p w14:paraId="35D2D21A" w14:textId="77777777" w:rsidR="001C2F95" w:rsidRPr="00982564" w:rsidRDefault="001C2F95" w:rsidP="001C2F95">
      <w:pPr>
        <w:autoSpaceDE w:val="0"/>
        <w:autoSpaceDN w:val="0"/>
        <w:adjustRightInd w:val="0"/>
        <w:rPr>
          <w:rFonts w:eastAsia="Calibri" w:cs="Arial"/>
          <w:color w:val="000000"/>
          <w:sz w:val="22"/>
        </w:rPr>
      </w:pPr>
      <w:r w:rsidRPr="00982564">
        <w:rPr>
          <w:rFonts w:eastAsia="Calibri" w:cs="Arial"/>
          <w:color w:val="000000"/>
          <w:sz w:val="22"/>
        </w:rPr>
        <w:t>Ainsi, le Ministère de transport a pour mission :</w:t>
      </w:r>
    </w:p>
    <w:p w14:paraId="73D31113" w14:textId="77777777" w:rsidR="001C2F95" w:rsidRPr="00982564" w:rsidRDefault="001C2F95" w:rsidP="001C2F95">
      <w:pPr>
        <w:autoSpaceDE w:val="0"/>
        <w:autoSpaceDN w:val="0"/>
        <w:adjustRightInd w:val="0"/>
        <w:rPr>
          <w:rFonts w:eastAsia="Calibri" w:cs="Arial"/>
          <w:color w:val="000000"/>
          <w:sz w:val="22"/>
        </w:rPr>
      </w:pPr>
    </w:p>
    <w:p w14:paraId="0342F9BF" w14:textId="77777777" w:rsidR="001C2F95" w:rsidRPr="00982564" w:rsidRDefault="001C2F95" w:rsidP="002378EA">
      <w:pPr>
        <w:pStyle w:val="Paragraphedeliste"/>
        <w:numPr>
          <w:ilvl w:val="0"/>
          <w:numId w:val="45"/>
        </w:numPr>
        <w:rPr>
          <w:rFonts w:cs="Arial"/>
          <w:sz w:val="22"/>
        </w:rPr>
      </w:pPr>
      <w:r w:rsidRPr="00982564">
        <w:rPr>
          <w:rFonts w:cs="Arial"/>
          <w:sz w:val="22"/>
        </w:rPr>
        <w:t>Organisation et gestion des transports (transport aérien, terrestre, fluvial, lacustre et maritime) ;</w:t>
      </w:r>
    </w:p>
    <w:p w14:paraId="3B73C0F8" w14:textId="77777777" w:rsidR="001C2F95" w:rsidRPr="00982564" w:rsidRDefault="001C2F95" w:rsidP="002378EA">
      <w:pPr>
        <w:pStyle w:val="Paragraphedeliste"/>
        <w:numPr>
          <w:ilvl w:val="0"/>
          <w:numId w:val="45"/>
        </w:numPr>
        <w:rPr>
          <w:rFonts w:cs="Arial"/>
          <w:sz w:val="22"/>
        </w:rPr>
      </w:pPr>
      <w:r w:rsidRPr="00982564">
        <w:rPr>
          <w:rFonts w:cs="Arial"/>
          <w:sz w:val="22"/>
        </w:rPr>
        <w:t>Aéronautique civile ;</w:t>
      </w:r>
    </w:p>
    <w:p w14:paraId="62BEC6DB" w14:textId="77777777" w:rsidR="001C2F95" w:rsidRPr="00982564" w:rsidRDefault="001C2F95" w:rsidP="002378EA">
      <w:pPr>
        <w:pStyle w:val="Paragraphedeliste"/>
        <w:numPr>
          <w:ilvl w:val="0"/>
          <w:numId w:val="45"/>
        </w:numPr>
        <w:rPr>
          <w:rFonts w:cs="Arial"/>
          <w:sz w:val="22"/>
        </w:rPr>
      </w:pPr>
      <w:r w:rsidRPr="00982564">
        <w:rPr>
          <w:rFonts w:cs="Arial"/>
          <w:sz w:val="22"/>
        </w:rPr>
        <w:t>Météorologie ;</w:t>
      </w:r>
    </w:p>
    <w:p w14:paraId="4BDFAB74" w14:textId="77777777" w:rsidR="001C2F95" w:rsidRPr="00982564" w:rsidRDefault="001C2F95" w:rsidP="002378EA">
      <w:pPr>
        <w:pStyle w:val="Paragraphedeliste"/>
        <w:numPr>
          <w:ilvl w:val="0"/>
          <w:numId w:val="45"/>
        </w:numPr>
        <w:rPr>
          <w:rFonts w:cs="Arial"/>
          <w:sz w:val="22"/>
        </w:rPr>
      </w:pPr>
      <w:r w:rsidRPr="00982564">
        <w:rPr>
          <w:rFonts w:cs="Arial"/>
          <w:sz w:val="22"/>
        </w:rPr>
        <w:t>Marine marchande ;</w:t>
      </w:r>
    </w:p>
    <w:p w14:paraId="5EC1708F" w14:textId="77777777" w:rsidR="001C2F95" w:rsidRPr="00982564" w:rsidRDefault="001C2F95" w:rsidP="002378EA">
      <w:pPr>
        <w:pStyle w:val="Paragraphedeliste"/>
        <w:numPr>
          <w:ilvl w:val="0"/>
          <w:numId w:val="45"/>
        </w:numPr>
        <w:rPr>
          <w:rFonts w:cs="Arial"/>
          <w:sz w:val="22"/>
        </w:rPr>
      </w:pPr>
      <w:r w:rsidRPr="00982564">
        <w:rPr>
          <w:rFonts w:cs="Arial"/>
          <w:sz w:val="22"/>
        </w:rPr>
        <w:t>Exploitation des infrastructures routières, ferroviaires, maritimes, fluviales, lacustres,</w:t>
      </w:r>
    </w:p>
    <w:p w14:paraId="3E07FB9C" w14:textId="77777777" w:rsidR="001C2F95" w:rsidRPr="00982564" w:rsidRDefault="001C2F95" w:rsidP="001C2F95">
      <w:pPr>
        <w:pStyle w:val="Paragraphedeliste"/>
        <w:rPr>
          <w:rFonts w:cs="Arial"/>
          <w:sz w:val="22"/>
        </w:rPr>
      </w:pPr>
      <w:r w:rsidRPr="00982564">
        <w:rPr>
          <w:rFonts w:cs="Arial"/>
          <w:sz w:val="22"/>
        </w:rPr>
        <w:t>Aéroportuaires et de météorologie ;</w:t>
      </w:r>
    </w:p>
    <w:p w14:paraId="534C6B75" w14:textId="77777777" w:rsidR="001C2F95" w:rsidRPr="00982564" w:rsidRDefault="001C2F95" w:rsidP="002378EA">
      <w:pPr>
        <w:pStyle w:val="Paragraphedeliste"/>
        <w:numPr>
          <w:ilvl w:val="0"/>
          <w:numId w:val="45"/>
        </w:numPr>
        <w:rPr>
          <w:rFonts w:cs="Arial"/>
          <w:sz w:val="22"/>
        </w:rPr>
      </w:pPr>
      <w:r w:rsidRPr="00982564">
        <w:rPr>
          <w:rFonts w:cs="Arial"/>
          <w:sz w:val="22"/>
        </w:rPr>
        <w:t>Equipements des transports routier, ferroviaire, maritime, fluvial et lacustre et de l’aviation civile ;</w:t>
      </w:r>
    </w:p>
    <w:p w14:paraId="35C354E6" w14:textId="77777777" w:rsidR="001C2F95" w:rsidRPr="00982564" w:rsidRDefault="001C2F95" w:rsidP="002378EA">
      <w:pPr>
        <w:pStyle w:val="Paragraphedeliste"/>
        <w:numPr>
          <w:ilvl w:val="0"/>
          <w:numId w:val="45"/>
        </w:numPr>
        <w:rPr>
          <w:rFonts w:cs="Arial"/>
          <w:sz w:val="22"/>
        </w:rPr>
      </w:pPr>
      <w:r w:rsidRPr="00982564">
        <w:rPr>
          <w:rFonts w:cs="Arial"/>
          <w:sz w:val="22"/>
        </w:rPr>
        <w:t>Qualification du personnel technique en transport routier, ferroviaire, maritime, fluvial et lacustre et de l’aviation civile ;</w:t>
      </w:r>
    </w:p>
    <w:p w14:paraId="219CDCE4" w14:textId="77777777" w:rsidR="001C2F95" w:rsidRPr="00982564" w:rsidRDefault="001C2F95" w:rsidP="002378EA">
      <w:pPr>
        <w:pStyle w:val="Paragraphedeliste"/>
        <w:numPr>
          <w:ilvl w:val="0"/>
          <w:numId w:val="45"/>
        </w:numPr>
        <w:rPr>
          <w:rFonts w:cs="Arial"/>
          <w:sz w:val="22"/>
        </w:rPr>
      </w:pPr>
      <w:r w:rsidRPr="00982564">
        <w:rPr>
          <w:rFonts w:cs="Arial"/>
          <w:sz w:val="22"/>
        </w:rPr>
        <w:t>Élaboration de la politique nationale des transports ;</w:t>
      </w:r>
    </w:p>
    <w:p w14:paraId="19D2C86F" w14:textId="77777777" w:rsidR="001C2F95" w:rsidRPr="00982564" w:rsidRDefault="001C2F95" w:rsidP="002378EA">
      <w:pPr>
        <w:pStyle w:val="Paragraphedeliste"/>
        <w:numPr>
          <w:ilvl w:val="0"/>
          <w:numId w:val="45"/>
        </w:numPr>
        <w:rPr>
          <w:rFonts w:cs="Arial"/>
          <w:sz w:val="22"/>
        </w:rPr>
      </w:pPr>
      <w:r w:rsidRPr="00982564">
        <w:rPr>
          <w:rFonts w:cs="Arial"/>
          <w:sz w:val="22"/>
        </w:rPr>
        <w:t>Développement coordonné de tous les moyens et équipements des transports publics</w:t>
      </w:r>
    </w:p>
    <w:p w14:paraId="4660073E" w14:textId="77777777" w:rsidR="001C2F95" w:rsidRPr="00982564" w:rsidRDefault="001C2F95" w:rsidP="002378EA">
      <w:pPr>
        <w:pStyle w:val="Paragraphedeliste"/>
        <w:numPr>
          <w:ilvl w:val="0"/>
          <w:numId w:val="45"/>
        </w:numPr>
        <w:rPr>
          <w:rFonts w:cs="Arial"/>
          <w:sz w:val="22"/>
        </w:rPr>
      </w:pPr>
      <w:r w:rsidRPr="00982564">
        <w:rPr>
          <w:rFonts w:cs="Arial"/>
          <w:sz w:val="22"/>
        </w:rPr>
        <w:t>Promotion de l’inter-modalité des transports et ses plateformes ;</w:t>
      </w:r>
    </w:p>
    <w:p w14:paraId="6D02A2D9" w14:textId="77777777" w:rsidR="001C2F95" w:rsidRPr="00982564" w:rsidRDefault="001C2F95" w:rsidP="002378EA">
      <w:pPr>
        <w:pStyle w:val="Paragraphedeliste"/>
        <w:numPr>
          <w:ilvl w:val="0"/>
          <w:numId w:val="45"/>
        </w:numPr>
        <w:rPr>
          <w:rFonts w:cs="Arial"/>
          <w:sz w:val="22"/>
        </w:rPr>
      </w:pPr>
      <w:r w:rsidRPr="00982564">
        <w:rPr>
          <w:rFonts w:cs="Arial"/>
          <w:sz w:val="22"/>
        </w:rPr>
        <w:t>Étude pour l’organisation et le développement des activités du sous-secteur des auxiliaires des transports (commissionnaires en douane, transitaires, courtiers, affréteurs, agents de fret, consignataires, groupeurs, emballeurs, manutentionnaires, agents de voyage, agents portuaires, etc.) ;</w:t>
      </w:r>
    </w:p>
    <w:p w14:paraId="192E4A0F" w14:textId="77777777" w:rsidR="001C2F95" w:rsidRPr="00982564" w:rsidRDefault="001C2F95" w:rsidP="002378EA">
      <w:pPr>
        <w:pStyle w:val="Paragraphedeliste"/>
        <w:numPr>
          <w:ilvl w:val="0"/>
          <w:numId w:val="45"/>
        </w:numPr>
        <w:rPr>
          <w:rFonts w:cs="Arial"/>
          <w:sz w:val="22"/>
        </w:rPr>
      </w:pPr>
      <w:r w:rsidRPr="00982564">
        <w:rPr>
          <w:rFonts w:cs="Arial"/>
          <w:sz w:val="22"/>
        </w:rPr>
        <w:t>Octroi des titres d’exploitation et de sécurité de transport et auxiliaires.</w:t>
      </w:r>
    </w:p>
    <w:p w14:paraId="1FDBD23B" w14:textId="77777777" w:rsidR="001C2F95" w:rsidRPr="00982564" w:rsidRDefault="001C2F95" w:rsidP="002378EA">
      <w:pPr>
        <w:pStyle w:val="Paragraphedeliste"/>
        <w:numPr>
          <w:ilvl w:val="0"/>
          <w:numId w:val="45"/>
        </w:numPr>
        <w:rPr>
          <w:rFonts w:cs="Arial"/>
          <w:sz w:val="22"/>
        </w:rPr>
      </w:pPr>
      <w:r w:rsidRPr="00982564">
        <w:rPr>
          <w:rFonts w:cs="Arial"/>
          <w:sz w:val="22"/>
        </w:rPr>
        <w:t>Étude et élaboration des normes en matière de conditionnement et d’emballage des marchandises pour le transport, la manutention et le stockage.</w:t>
      </w:r>
    </w:p>
    <w:p w14:paraId="4F1CDE6D" w14:textId="77777777" w:rsidR="001C2F95" w:rsidRPr="00982564" w:rsidRDefault="001C2F95" w:rsidP="001C2F95">
      <w:pPr>
        <w:autoSpaceDE w:val="0"/>
        <w:autoSpaceDN w:val="0"/>
        <w:adjustRightInd w:val="0"/>
        <w:rPr>
          <w:rFonts w:eastAsia="Calibri" w:cs="Arial"/>
          <w:color w:val="000000"/>
          <w:sz w:val="22"/>
        </w:rPr>
      </w:pPr>
    </w:p>
    <w:p w14:paraId="218DCFE5" w14:textId="77777777" w:rsidR="001C2F95" w:rsidRPr="00982564" w:rsidRDefault="001C2F95" w:rsidP="001C2F95">
      <w:pPr>
        <w:pStyle w:val="Titre2"/>
        <w:numPr>
          <w:ilvl w:val="2"/>
          <w:numId w:val="4"/>
        </w:numPr>
        <w:ind w:left="1560" w:hanging="709"/>
        <w:rPr>
          <w:rFonts w:cs="Arial"/>
          <w:i/>
          <w:sz w:val="22"/>
          <w:szCs w:val="22"/>
        </w:rPr>
      </w:pPr>
      <w:bookmarkStart w:id="321" w:name="_Toc70330382"/>
      <w:r w:rsidRPr="00982564">
        <w:rPr>
          <w:rFonts w:cs="Arial"/>
          <w:i/>
          <w:sz w:val="22"/>
          <w:szCs w:val="22"/>
        </w:rPr>
        <w:t>5. Ministère des Infrastructures et Travaux Publics</w:t>
      </w:r>
      <w:bookmarkEnd w:id="321"/>
    </w:p>
    <w:p w14:paraId="586D44EE" w14:textId="77777777" w:rsidR="001C2F95" w:rsidRPr="00982564" w:rsidRDefault="001C2F95" w:rsidP="001C2F95">
      <w:pPr>
        <w:rPr>
          <w:rFonts w:cs="Arial"/>
          <w:sz w:val="22"/>
        </w:rPr>
      </w:pPr>
    </w:p>
    <w:p w14:paraId="72FA35E6" w14:textId="77777777" w:rsidR="001C2F95" w:rsidRPr="00982564" w:rsidRDefault="001C2F95" w:rsidP="001C2F95">
      <w:pPr>
        <w:rPr>
          <w:rFonts w:cs="Arial"/>
          <w:sz w:val="22"/>
        </w:rPr>
      </w:pPr>
      <w:r w:rsidRPr="00982564">
        <w:rPr>
          <w:rFonts w:cs="Arial"/>
          <w:sz w:val="22"/>
        </w:rPr>
        <w:t xml:space="preserve">Le ministère des infrastructures et travaux publics a pour mission : </w:t>
      </w:r>
    </w:p>
    <w:p w14:paraId="03F2B7C9" w14:textId="77777777" w:rsidR="001C2F95" w:rsidRPr="00982564" w:rsidRDefault="001C2F95" w:rsidP="001C2F95">
      <w:pPr>
        <w:rPr>
          <w:rFonts w:cs="Arial"/>
          <w:sz w:val="22"/>
        </w:rPr>
      </w:pPr>
    </w:p>
    <w:p w14:paraId="11815DFC" w14:textId="77777777" w:rsidR="001C2F95" w:rsidRPr="00982564" w:rsidRDefault="001C2F95" w:rsidP="002378EA">
      <w:pPr>
        <w:pStyle w:val="Paragraphedeliste"/>
        <w:numPr>
          <w:ilvl w:val="0"/>
          <w:numId w:val="45"/>
        </w:numPr>
        <w:rPr>
          <w:rFonts w:cs="Arial"/>
          <w:sz w:val="22"/>
        </w:rPr>
      </w:pPr>
      <w:r w:rsidRPr="00982564">
        <w:rPr>
          <w:rFonts w:cs="Arial"/>
          <w:sz w:val="22"/>
        </w:rPr>
        <w:t>Conception, construction, modernisation, développement, aménagement et entretien des infrastructures routières, portuaires, aéroportuaires, ferroviaires, hydroélectriques non concédées, scolaires, sanitaires, sociales, touristiques et sportives, des bâtiments et des édifices publics en collaboration, le cas échéant, avec les Ministères sectoriels concernés par les projets d’infrastructures ;</w:t>
      </w:r>
    </w:p>
    <w:p w14:paraId="2AFF365C" w14:textId="77777777" w:rsidR="001C2F95" w:rsidRPr="00982564" w:rsidRDefault="001C2F95" w:rsidP="002378EA">
      <w:pPr>
        <w:pStyle w:val="Paragraphedeliste"/>
        <w:numPr>
          <w:ilvl w:val="0"/>
          <w:numId w:val="45"/>
        </w:numPr>
        <w:rPr>
          <w:rFonts w:cs="Arial"/>
          <w:sz w:val="22"/>
        </w:rPr>
      </w:pPr>
      <w:r w:rsidRPr="00982564">
        <w:rPr>
          <w:rFonts w:cs="Arial"/>
          <w:sz w:val="22"/>
        </w:rPr>
        <w:t>Conception, construction, aménagement et entretien des ouvrages à caractère national de drainage, d’assainissement et de lutte antiérosive ;</w:t>
      </w:r>
    </w:p>
    <w:p w14:paraId="1BD52889" w14:textId="77777777" w:rsidR="001C2F95" w:rsidRPr="00982564" w:rsidRDefault="001C2F95" w:rsidP="002378EA">
      <w:pPr>
        <w:pStyle w:val="Paragraphedeliste"/>
        <w:numPr>
          <w:ilvl w:val="0"/>
          <w:numId w:val="45"/>
        </w:numPr>
        <w:rPr>
          <w:rFonts w:cs="Arial"/>
          <w:sz w:val="22"/>
        </w:rPr>
      </w:pPr>
      <w:r w:rsidRPr="00982564">
        <w:rPr>
          <w:rFonts w:cs="Arial"/>
          <w:sz w:val="22"/>
        </w:rPr>
        <w:t>Préparation, passation, contrôle et surveillance des marchés publics relatifs aux études et aux travaux de génie civil financés par le Gouvernement et les partenaires extérieurs, en collaboration avec les Ministères ayant les Finances, le Budget et le Plan dans leurs attributions ;</w:t>
      </w:r>
    </w:p>
    <w:p w14:paraId="5B80E3B0" w14:textId="77777777" w:rsidR="001C2F95" w:rsidRPr="00982564" w:rsidRDefault="001C2F95" w:rsidP="002378EA">
      <w:pPr>
        <w:pStyle w:val="Paragraphedeliste"/>
        <w:numPr>
          <w:ilvl w:val="0"/>
          <w:numId w:val="45"/>
        </w:numPr>
        <w:rPr>
          <w:rFonts w:cs="Arial"/>
          <w:sz w:val="22"/>
        </w:rPr>
      </w:pPr>
      <w:r w:rsidRPr="00982564">
        <w:rPr>
          <w:rFonts w:cs="Arial"/>
          <w:sz w:val="22"/>
        </w:rPr>
        <w:t>Surveillance et contrôle technique et financier des études et des travaux en régie et à l’entreprise ;</w:t>
      </w:r>
    </w:p>
    <w:p w14:paraId="7AABC18F" w14:textId="77777777" w:rsidR="001C2F95" w:rsidRPr="00982564" w:rsidRDefault="001C2F95" w:rsidP="002378EA">
      <w:pPr>
        <w:pStyle w:val="Paragraphedeliste"/>
        <w:numPr>
          <w:ilvl w:val="0"/>
          <w:numId w:val="45"/>
        </w:numPr>
        <w:rPr>
          <w:rFonts w:cs="Arial"/>
          <w:sz w:val="22"/>
        </w:rPr>
      </w:pPr>
      <w:r w:rsidRPr="00982564">
        <w:rPr>
          <w:rFonts w:cs="Arial"/>
          <w:sz w:val="22"/>
        </w:rPr>
        <w:t>Expertise et contre-expertise en matière d’études portant sur les travaux publics et les biens mobiliers de l’État ;</w:t>
      </w:r>
    </w:p>
    <w:p w14:paraId="2A2D76FF" w14:textId="77777777" w:rsidR="001C2F95" w:rsidRPr="00982564" w:rsidRDefault="001C2F95" w:rsidP="002378EA">
      <w:pPr>
        <w:pStyle w:val="Paragraphedeliste"/>
        <w:numPr>
          <w:ilvl w:val="0"/>
          <w:numId w:val="45"/>
        </w:numPr>
        <w:rPr>
          <w:rFonts w:cs="Arial"/>
          <w:sz w:val="22"/>
        </w:rPr>
      </w:pPr>
      <w:r w:rsidRPr="00982564">
        <w:rPr>
          <w:rFonts w:cs="Arial"/>
          <w:sz w:val="22"/>
        </w:rPr>
        <w:t>Promotion des matériaux et des techniques de construction ;</w:t>
      </w:r>
    </w:p>
    <w:p w14:paraId="2D3AEBC8" w14:textId="77777777" w:rsidR="001C2F95" w:rsidRPr="00982564" w:rsidRDefault="001C2F95" w:rsidP="002378EA">
      <w:pPr>
        <w:pStyle w:val="Paragraphedeliste"/>
        <w:numPr>
          <w:ilvl w:val="0"/>
          <w:numId w:val="45"/>
        </w:numPr>
        <w:rPr>
          <w:rFonts w:cs="Arial"/>
          <w:sz w:val="22"/>
        </w:rPr>
      </w:pPr>
      <w:r w:rsidRPr="00982564">
        <w:rPr>
          <w:rFonts w:cs="Arial"/>
          <w:sz w:val="22"/>
        </w:rPr>
        <w:t>Enregistrement et agrément d’entreprises, bureaux d’études et indépendants du secteur de la construction ;</w:t>
      </w:r>
    </w:p>
    <w:p w14:paraId="487414A6" w14:textId="77777777" w:rsidR="001C2F95" w:rsidRPr="00982564" w:rsidRDefault="001C2F95" w:rsidP="002378EA">
      <w:pPr>
        <w:pStyle w:val="Paragraphedeliste"/>
        <w:numPr>
          <w:ilvl w:val="0"/>
          <w:numId w:val="45"/>
        </w:numPr>
        <w:rPr>
          <w:rFonts w:cs="Arial"/>
          <w:sz w:val="22"/>
        </w:rPr>
      </w:pPr>
      <w:r w:rsidRPr="00982564">
        <w:rPr>
          <w:rFonts w:cs="Arial"/>
          <w:sz w:val="22"/>
        </w:rPr>
        <w:t>Inventaire, analyse et interprétation des données sur les infrastructures et les équipements ;</w:t>
      </w:r>
    </w:p>
    <w:p w14:paraId="2848F89A" w14:textId="77777777" w:rsidR="001C2F95" w:rsidRPr="00982564" w:rsidRDefault="001C2F95" w:rsidP="002378EA">
      <w:pPr>
        <w:pStyle w:val="Paragraphedeliste"/>
        <w:numPr>
          <w:ilvl w:val="0"/>
          <w:numId w:val="45"/>
        </w:numPr>
        <w:rPr>
          <w:rFonts w:cs="Arial"/>
          <w:sz w:val="22"/>
        </w:rPr>
      </w:pPr>
      <w:r w:rsidRPr="00982564">
        <w:rPr>
          <w:rFonts w:cs="Arial"/>
          <w:sz w:val="22"/>
        </w:rPr>
        <w:t>Elaboration des normes en matière de construction ;</w:t>
      </w:r>
    </w:p>
    <w:p w14:paraId="1275ECB0" w14:textId="77777777" w:rsidR="001C2F95" w:rsidRPr="00982564" w:rsidRDefault="001C2F95" w:rsidP="002378EA">
      <w:pPr>
        <w:pStyle w:val="Paragraphedeliste"/>
        <w:numPr>
          <w:ilvl w:val="0"/>
          <w:numId w:val="45"/>
        </w:numPr>
        <w:rPr>
          <w:rFonts w:cs="Arial"/>
          <w:sz w:val="22"/>
        </w:rPr>
      </w:pPr>
      <w:r w:rsidRPr="00982564">
        <w:rPr>
          <w:rFonts w:cs="Arial"/>
          <w:sz w:val="22"/>
        </w:rPr>
        <w:t>Contrôle de l’application des normes légales, réglementaires ou techniques relatives à la construction ;</w:t>
      </w:r>
    </w:p>
    <w:p w14:paraId="5105CD04" w14:textId="77777777" w:rsidR="001C2F95" w:rsidRPr="00982564" w:rsidRDefault="001C2F95" w:rsidP="002378EA">
      <w:pPr>
        <w:pStyle w:val="Paragraphedeliste"/>
        <w:numPr>
          <w:ilvl w:val="0"/>
          <w:numId w:val="45"/>
        </w:numPr>
        <w:rPr>
          <w:rFonts w:cs="Arial"/>
          <w:sz w:val="22"/>
        </w:rPr>
      </w:pPr>
      <w:r w:rsidRPr="00982564">
        <w:rPr>
          <w:rFonts w:cs="Arial"/>
          <w:sz w:val="22"/>
        </w:rPr>
        <w:t>Conception de la politique de reconstruction en collaboration avec les Ministères concernés ;</w:t>
      </w:r>
    </w:p>
    <w:p w14:paraId="6696EB51" w14:textId="77777777" w:rsidR="001C2F95" w:rsidRPr="00982564" w:rsidRDefault="001C2F95" w:rsidP="002378EA">
      <w:pPr>
        <w:pStyle w:val="Paragraphedeliste"/>
        <w:numPr>
          <w:ilvl w:val="0"/>
          <w:numId w:val="45"/>
        </w:numPr>
        <w:rPr>
          <w:rFonts w:cs="Arial"/>
          <w:sz w:val="22"/>
        </w:rPr>
      </w:pPr>
      <w:r w:rsidRPr="00982564">
        <w:rPr>
          <w:rFonts w:cs="Arial"/>
          <w:sz w:val="22"/>
        </w:rPr>
        <w:t>Gestion du parc automobile de l’État ;</w:t>
      </w:r>
    </w:p>
    <w:p w14:paraId="46CE6C99" w14:textId="77777777" w:rsidR="001C2F95" w:rsidRPr="00982564" w:rsidRDefault="001C2F95" w:rsidP="002378EA">
      <w:pPr>
        <w:pStyle w:val="Paragraphedeliste"/>
        <w:numPr>
          <w:ilvl w:val="0"/>
          <w:numId w:val="45"/>
        </w:numPr>
        <w:rPr>
          <w:rFonts w:cs="Arial"/>
          <w:sz w:val="22"/>
        </w:rPr>
      </w:pPr>
      <w:r w:rsidRPr="00982564">
        <w:rPr>
          <w:rFonts w:cs="Arial"/>
          <w:sz w:val="22"/>
        </w:rPr>
        <w:t>Gestion des stocks et suivi de la consommation des hydrocarbures de l’État ;</w:t>
      </w:r>
    </w:p>
    <w:p w14:paraId="7829122E" w14:textId="77777777" w:rsidR="001C2F95" w:rsidRPr="00982564" w:rsidRDefault="001C2F95" w:rsidP="002378EA">
      <w:pPr>
        <w:pStyle w:val="Paragraphedeliste"/>
        <w:numPr>
          <w:ilvl w:val="0"/>
          <w:numId w:val="45"/>
        </w:numPr>
        <w:rPr>
          <w:rFonts w:cs="Arial"/>
          <w:sz w:val="22"/>
        </w:rPr>
      </w:pPr>
      <w:r w:rsidRPr="00982564">
        <w:rPr>
          <w:rFonts w:cs="Arial"/>
          <w:sz w:val="22"/>
        </w:rPr>
        <w:t>Gestion du patrimoine immobilier du domaine public de l’État ainsi que de tous les équipements y relatifs.</w:t>
      </w:r>
    </w:p>
    <w:p w14:paraId="5AAB5E6D" w14:textId="77777777" w:rsidR="001C2F95" w:rsidRPr="00982564" w:rsidRDefault="001C2F95" w:rsidP="001C2F95">
      <w:pPr>
        <w:autoSpaceDE w:val="0"/>
        <w:autoSpaceDN w:val="0"/>
        <w:adjustRightInd w:val="0"/>
        <w:rPr>
          <w:rFonts w:eastAsia="Calibri" w:cs="Arial"/>
          <w:color w:val="000000"/>
          <w:sz w:val="22"/>
        </w:rPr>
      </w:pPr>
    </w:p>
    <w:p w14:paraId="7B527534" w14:textId="77777777" w:rsidR="001C2F95" w:rsidRPr="00982564" w:rsidRDefault="001C2F95" w:rsidP="001C2F95">
      <w:pPr>
        <w:pStyle w:val="Titre2"/>
        <w:numPr>
          <w:ilvl w:val="2"/>
          <w:numId w:val="4"/>
        </w:numPr>
        <w:ind w:left="1560" w:hanging="709"/>
        <w:rPr>
          <w:rFonts w:cs="Arial"/>
          <w:i/>
          <w:sz w:val="22"/>
          <w:szCs w:val="22"/>
        </w:rPr>
      </w:pPr>
      <w:bookmarkStart w:id="322" w:name="_Toc70330383"/>
      <w:r w:rsidRPr="00982564">
        <w:rPr>
          <w:rFonts w:cs="Arial"/>
          <w:i/>
          <w:sz w:val="22"/>
          <w:szCs w:val="22"/>
        </w:rPr>
        <w:t>Ministère des Classes Moyennes, Petites et Moyennes Entreprises, Artisanat</w:t>
      </w:r>
      <w:bookmarkEnd w:id="322"/>
    </w:p>
    <w:p w14:paraId="25674487" w14:textId="77777777" w:rsidR="001C2F95" w:rsidRPr="00982564" w:rsidRDefault="001C2F95" w:rsidP="001C2F95">
      <w:pPr>
        <w:shd w:val="clear" w:color="auto" w:fill="FFFFFF"/>
        <w:spacing w:line="240" w:lineRule="auto"/>
        <w:rPr>
          <w:rFonts w:cs="Arial"/>
          <w:bCs/>
          <w:color w:val="000000"/>
          <w:sz w:val="22"/>
        </w:rPr>
      </w:pPr>
    </w:p>
    <w:p w14:paraId="05BCB39B" w14:textId="77777777" w:rsidR="001C2F95" w:rsidRPr="00982564" w:rsidRDefault="001C2F95" w:rsidP="001C2F95">
      <w:pPr>
        <w:shd w:val="clear" w:color="auto" w:fill="FFFFFF"/>
        <w:spacing w:line="240" w:lineRule="auto"/>
        <w:rPr>
          <w:rFonts w:cs="Arial"/>
          <w:bCs/>
          <w:color w:val="000000"/>
          <w:sz w:val="22"/>
        </w:rPr>
      </w:pPr>
      <w:r w:rsidRPr="00982564">
        <w:rPr>
          <w:rFonts w:cs="Arial"/>
          <w:bCs/>
          <w:color w:val="000000"/>
          <w:sz w:val="22"/>
        </w:rPr>
        <w:t>Le ministère de PME a pour mission :</w:t>
      </w:r>
    </w:p>
    <w:p w14:paraId="3342FC81" w14:textId="77777777" w:rsidR="001C2F95" w:rsidRPr="00982564" w:rsidRDefault="001C2F95" w:rsidP="001C2F95">
      <w:pPr>
        <w:shd w:val="clear" w:color="auto" w:fill="FFFFFF"/>
        <w:spacing w:line="240" w:lineRule="auto"/>
        <w:rPr>
          <w:rFonts w:cs="Arial"/>
          <w:color w:val="383838"/>
          <w:sz w:val="22"/>
        </w:rPr>
      </w:pPr>
    </w:p>
    <w:p w14:paraId="2BDDA75F" w14:textId="77777777" w:rsidR="001C2F95" w:rsidRPr="00982564" w:rsidRDefault="001C2F95" w:rsidP="002378EA">
      <w:pPr>
        <w:pStyle w:val="Paragraphedeliste"/>
        <w:numPr>
          <w:ilvl w:val="0"/>
          <w:numId w:val="45"/>
        </w:numPr>
        <w:rPr>
          <w:rFonts w:cs="Arial"/>
          <w:sz w:val="22"/>
        </w:rPr>
      </w:pPr>
      <w:r w:rsidRPr="00982564">
        <w:rPr>
          <w:rFonts w:cs="Arial"/>
          <w:sz w:val="22"/>
        </w:rPr>
        <w:t xml:space="preserve">Mise en </w:t>
      </w:r>
      <w:r w:rsidR="0065547D" w:rsidRPr="00982564">
        <w:rPr>
          <w:rFonts w:cs="Arial"/>
          <w:sz w:val="22"/>
        </w:rPr>
        <w:t>œuvre</w:t>
      </w:r>
      <w:r w:rsidRPr="00982564">
        <w:rPr>
          <w:rFonts w:cs="Arial"/>
          <w:sz w:val="22"/>
        </w:rPr>
        <w:t xml:space="preserve"> de la politique de promotion des classes moyennes ;</w:t>
      </w:r>
    </w:p>
    <w:p w14:paraId="716ABE6D" w14:textId="77777777" w:rsidR="001C2F95" w:rsidRPr="00982564" w:rsidRDefault="001C2F95" w:rsidP="002378EA">
      <w:pPr>
        <w:pStyle w:val="Paragraphedeliste"/>
        <w:numPr>
          <w:ilvl w:val="0"/>
          <w:numId w:val="45"/>
        </w:numPr>
        <w:rPr>
          <w:rFonts w:cs="Arial"/>
          <w:sz w:val="22"/>
        </w:rPr>
      </w:pPr>
      <w:r w:rsidRPr="00982564">
        <w:rPr>
          <w:rFonts w:cs="Arial"/>
          <w:sz w:val="22"/>
        </w:rPr>
        <w:t>de la culture de l’entrepreneuriat et de l’artisanat,</w:t>
      </w:r>
    </w:p>
    <w:p w14:paraId="2718506A" w14:textId="77777777" w:rsidR="001C2F95" w:rsidRPr="00982564" w:rsidRDefault="001C2F95" w:rsidP="002378EA">
      <w:pPr>
        <w:pStyle w:val="Paragraphedeliste"/>
        <w:numPr>
          <w:ilvl w:val="0"/>
          <w:numId w:val="45"/>
        </w:numPr>
        <w:rPr>
          <w:rFonts w:cs="Arial"/>
          <w:sz w:val="22"/>
        </w:rPr>
      </w:pPr>
      <w:r w:rsidRPr="00982564">
        <w:rPr>
          <w:rFonts w:cs="Arial"/>
          <w:sz w:val="22"/>
        </w:rPr>
        <w:t>des incubateurs des Petites et Moyennes Entreprises et Artisanat (PMEA) ;</w:t>
      </w:r>
    </w:p>
    <w:p w14:paraId="6AD1ACE0" w14:textId="77777777" w:rsidR="001C2F95" w:rsidRPr="00982564" w:rsidRDefault="001C2F95" w:rsidP="002378EA">
      <w:pPr>
        <w:pStyle w:val="Paragraphedeliste"/>
        <w:numPr>
          <w:ilvl w:val="0"/>
          <w:numId w:val="45"/>
        </w:numPr>
        <w:rPr>
          <w:rFonts w:cs="Arial"/>
          <w:sz w:val="22"/>
        </w:rPr>
      </w:pPr>
      <w:r w:rsidRPr="00982564">
        <w:rPr>
          <w:rFonts w:cs="Arial"/>
          <w:sz w:val="22"/>
        </w:rPr>
        <w:t>de la sous-traitance dans le secteur privé ;</w:t>
      </w:r>
    </w:p>
    <w:p w14:paraId="08E1FA53" w14:textId="77777777" w:rsidR="001C2F95" w:rsidRPr="00982564" w:rsidRDefault="001C2F95" w:rsidP="002378EA">
      <w:pPr>
        <w:pStyle w:val="Paragraphedeliste"/>
        <w:numPr>
          <w:ilvl w:val="0"/>
          <w:numId w:val="45"/>
        </w:numPr>
        <w:rPr>
          <w:rFonts w:cs="Arial"/>
          <w:sz w:val="22"/>
        </w:rPr>
      </w:pPr>
      <w:r w:rsidRPr="00982564">
        <w:rPr>
          <w:rFonts w:cs="Arial"/>
          <w:sz w:val="22"/>
        </w:rPr>
        <w:t>des chambres des artisans ;</w:t>
      </w:r>
    </w:p>
    <w:p w14:paraId="604CF9D3" w14:textId="77777777" w:rsidR="001C2F95" w:rsidRPr="00982564" w:rsidRDefault="001C2F95" w:rsidP="002378EA">
      <w:pPr>
        <w:pStyle w:val="Paragraphedeliste"/>
        <w:numPr>
          <w:ilvl w:val="0"/>
          <w:numId w:val="45"/>
        </w:numPr>
        <w:rPr>
          <w:rFonts w:cs="Arial"/>
          <w:sz w:val="22"/>
        </w:rPr>
      </w:pPr>
      <w:r w:rsidRPr="00982564">
        <w:rPr>
          <w:rFonts w:cs="Arial"/>
          <w:sz w:val="22"/>
        </w:rPr>
        <w:t>des organisations professionnelles des PME ;</w:t>
      </w:r>
    </w:p>
    <w:p w14:paraId="0418EBEC" w14:textId="77777777" w:rsidR="001C2F95" w:rsidRPr="00982564" w:rsidRDefault="001C2F95" w:rsidP="002378EA">
      <w:pPr>
        <w:pStyle w:val="Paragraphedeliste"/>
        <w:numPr>
          <w:ilvl w:val="0"/>
          <w:numId w:val="45"/>
        </w:numPr>
        <w:rPr>
          <w:rFonts w:cs="Arial"/>
          <w:sz w:val="22"/>
        </w:rPr>
      </w:pPr>
      <w:r w:rsidRPr="00982564">
        <w:rPr>
          <w:rFonts w:cs="Arial"/>
          <w:sz w:val="22"/>
        </w:rPr>
        <w:t>de l’usage des normes et des poids par les PMEA ;</w:t>
      </w:r>
    </w:p>
    <w:p w14:paraId="4B1F6F29" w14:textId="77777777" w:rsidR="001C2F95" w:rsidRPr="00982564" w:rsidRDefault="001C2F95" w:rsidP="002378EA">
      <w:pPr>
        <w:pStyle w:val="Paragraphedeliste"/>
        <w:numPr>
          <w:ilvl w:val="0"/>
          <w:numId w:val="45"/>
        </w:numPr>
        <w:rPr>
          <w:rFonts w:cs="Arial"/>
          <w:sz w:val="22"/>
        </w:rPr>
      </w:pPr>
      <w:r w:rsidRPr="00982564">
        <w:rPr>
          <w:rFonts w:cs="Arial"/>
          <w:sz w:val="22"/>
        </w:rPr>
        <w:t>Définition, promotion et développement des moyens alternatifs et innovants de financement des PMEA en collaboration avec le Ministère ayant les Finances dans ses attributions ;</w:t>
      </w:r>
    </w:p>
    <w:p w14:paraId="0FF85B1A" w14:textId="77777777" w:rsidR="001C2F95" w:rsidRPr="00982564" w:rsidRDefault="001C2F95" w:rsidP="002378EA">
      <w:pPr>
        <w:pStyle w:val="Paragraphedeliste"/>
        <w:numPr>
          <w:ilvl w:val="0"/>
          <w:numId w:val="45"/>
        </w:numPr>
        <w:rPr>
          <w:rFonts w:cs="Arial"/>
          <w:sz w:val="22"/>
        </w:rPr>
      </w:pPr>
      <w:r w:rsidRPr="00982564">
        <w:rPr>
          <w:rFonts w:cs="Arial"/>
          <w:sz w:val="22"/>
        </w:rPr>
        <w:t>Identification, recensement et accompagnement des PMEA en collaboration avec le Ministère en charge de l’Economie nationale ;</w:t>
      </w:r>
    </w:p>
    <w:p w14:paraId="45CBBACE" w14:textId="77777777" w:rsidR="001C2F95" w:rsidRPr="00982564" w:rsidRDefault="001C2F95" w:rsidP="002378EA">
      <w:pPr>
        <w:pStyle w:val="Paragraphedeliste"/>
        <w:numPr>
          <w:ilvl w:val="0"/>
          <w:numId w:val="45"/>
        </w:numPr>
        <w:rPr>
          <w:rFonts w:cs="Arial"/>
          <w:sz w:val="22"/>
        </w:rPr>
      </w:pPr>
      <w:r w:rsidRPr="00982564">
        <w:rPr>
          <w:rFonts w:cs="Arial"/>
          <w:sz w:val="22"/>
        </w:rPr>
        <w:t>Identification, organisation, encadrement et intégration de l'économie informelle, en collaboration avec le Ministère ayant l'Economie dans ses attributions ;</w:t>
      </w:r>
    </w:p>
    <w:p w14:paraId="33CA39D1" w14:textId="77777777" w:rsidR="001C2F95" w:rsidRPr="00982564" w:rsidRDefault="001C2F95" w:rsidP="002378EA">
      <w:pPr>
        <w:pStyle w:val="Paragraphedeliste"/>
        <w:numPr>
          <w:ilvl w:val="0"/>
          <w:numId w:val="45"/>
        </w:numPr>
        <w:rPr>
          <w:rFonts w:cs="Arial"/>
          <w:sz w:val="22"/>
        </w:rPr>
      </w:pPr>
      <w:r w:rsidRPr="00982564">
        <w:rPr>
          <w:rFonts w:cs="Arial"/>
          <w:sz w:val="22"/>
        </w:rPr>
        <w:t>Inspection technique des Petites et Moyennes Entreprises et Artisanat.</w:t>
      </w:r>
    </w:p>
    <w:p w14:paraId="7018DD9D" w14:textId="77777777" w:rsidR="001C2F95" w:rsidRPr="00982564" w:rsidRDefault="001C2F95" w:rsidP="001C2F95">
      <w:pPr>
        <w:autoSpaceDE w:val="0"/>
        <w:autoSpaceDN w:val="0"/>
        <w:adjustRightInd w:val="0"/>
        <w:rPr>
          <w:rFonts w:eastAsia="Calibri" w:cs="Arial"/>
          <w:color w:val="000000"/>
          <w:sz w:val="22"/>
        </w:rPr>
      </w:pPr>
    </w:p>
    <w:p w14:paraId="04FAD650" w14:textId="77777777" w:rsidR="001C2F95" w:rsidRPr="00982564" w:rsidRDefault="001C2F95" w:rsidP="001C2F95">
      <w:pPr>
        <w:pStyle w:val="Titre2"/>
        <w:numPr>
          <w:ilvl w:val="2"/>
          <w:numId w:val="4"/>
        </w:numPr>
        <w:ind w:left="1560" w:hanging="709"/>
        <w:rPr>
          <w:rFonts w:cs="Arial"/>
          <w:i/>
          <w:sz w:val="22"/>
          <w:szCs w:val="22"/>
        </w:rPr>
      </w:pPr>
      <w:bookmarkStart w:id="323" w:name="_Toc44626830"/>
      <w:bookmarkStart w:id="324" w:name="_Toc70330384"/>
      <w:r w:rsidRPr="00982564">
        <w:rPr>
          <w:rFonts w:cs="Arial"/>
          <w:i/>
          <w:sz w:val="22"/>
          <w:szCs w:val="22"/>
        </w:rPr>
        <w:t>Autres Ministères Provinciaux impliqués dans la gestion environnementale et sociale du Projet</w:t>
      </w:r>
      <w:bookmarkEnd w:id="318"/>
      <w:bookmarkEnd w:id="323"/>
      <w:bookmarkEnd w:id="324"/>
    </w:p>
    <w:p w14:paraId="25FC5B5C" w14:textId="77777777" w:rsidR="001C2F95" w:rsidRPr="00982564" w:rsidRDefault="001C2F95" w:rsidP="001C2F95">
      <w:pPr>
        <w:rPr>
          <w:rFonts w:cs="Arial"/>
          <w:sz w:val="22"/>
        </w:rPr>
      </w:pPr>
    </w:p>
    <w:p w14:paraId="5D4996E9" w14:textId="77777777" w:rsidR="001C2F95" w:rsidRPr="00982564" w:rsidRDefault="001C2F95" w:rsidP="001C2F95">
      <w:pPr>
        <w:rPr>
          <w:rFonts w:cs="Arial"/>
          <w:sz w:val="22"/>
        </w:rPr>
      </w:pPr>
      <w:r w:rsidRPr="00982564">
        <w:rPr>
          <w:rFonts w:cs="Arial"/>
          <w:sz w:val="22"/>
        </w:rPr>
        <w:t xml:space="preserve">La gestion environnementale et sociale des activités du Projet interpelle aussi les institutions suivantes : </w:t>
      </w:r>
    </w:p>
    <w:p w14:paraId="6B2F5537" w14:textId="77777777" w:rsidR="001C2F95" w:rsidRPr="00982564" w:rsidRDefault="001C2F95" w:rsidP="001C2F95">
      <w:pPr>
        <w:rPr>
          <w:rFonts w:cs="Arial"/>
          <w:sz w:val="22"/>
        </w:rPr>
      </w:pPr>
    </w:p>
    <w:p w14:paraId="11E50064" w14:textId="77777777" w:rsidR="001C2F95" w:rsidRPr="00982564" w:rsidRDefault="001C2F95" w:rsidP="002378EA">
      <w:pPr>
        <w:pStyle w:val="Paragraphedeliste"/>
        <w:numPr>
          <w:ilvl w:val="0"/>
          <w:numId w:val="45"/>
        </w:numPr>
        <w:rPr>
          <w:rFonts w:cs="Arial"/>
          <w:sz w:val="22"/>
        </w:rPr>
      </w:pPr>
      <w:r w:rsidRPr="00982564">
        <w:rPr>
          <w:rFonts w:cs="Arial"/>
          <w:sz w:val="22"/>
        </w:rPr>
        <w:t>Ministère Provincial de l’Agriculture ;</w:t>
      </w:r>
    </w:p>
    <w:p w14:paraId="194CB4E7" w14:textId="77777777" w:rsidR="001C2F95" w:rsidRPr="00982564" w:rsidRDefault="001C2F95" w:rsidP="002378EA">
      <w:pPr>
        <w:pStyle w:val="Paragraphedeliste"/>
        <w:numPr>
          <w:ilvl w:val="0"/>
          <w:numId w:val="45"/>
        </w:numPr>
        <w:rPr>
          <w:rFonts w:cs="Arial"/>
          <w:sz w:val="22"/>
        </w:rPr>
      </w:pPr>
      <w:r w:rsidRPr="00982564">
        <w:rPr>
          <w:rFonts w:cs="Arial"/>
          <w:sz w:val="22"/>
        </w:rPr>
        <w:t>Ministère Provincial de la Santé Publique qui coordonne la lutte contre le VIH/SIDA, à travers le Programme National de Lutte contre le SIDA et les IST, ainsi que la réponse médicale aux cas de VBG ;</w:t>
      </w:r>
    </w:p>
    <w:p w14:paraId="2EC4BAB7" w14:textId="77777777" w:rsidR="001C2F95" w:rsidRPr="00982564" w:rsidRDefault="001C2F95" w:rsidP="002378EA">
      <w:pPr>
        <w:pStyle w:val="Paragraphedeliste"/>
        <w:numPr>
          <w:ilvl w:val="0"/>
          <w:numId w:val="45"/>
        </w:numPr>
        <w:rPr>
          <w:rFonts w:cs="Arial"/>
          <w:sz w:val="22"/>
        </w:rPr>
      </w:pPr>
      <w:r w:rsidRPr="00982564">
        <w:rPr>
          <w:rFonts w:cs="Arial"/>
          <w:sz w:val="22"/>
        </w:rPr>
        <w:t>Ministère Provincial des Infrastructures, Travaux Publics et Reconstruction à travers la   conception, la construction, la modernisation, le développement, l’aménagement et l’entretien des infrastructures routières, aéroportuaires, scolaires, sanitaires, sociales, touristiques et sportives, des bâtiments et des édifices publics ;</w:t>
      </w:r>
    </w:p>
    <w:p w14:paraId="4C3BCC2E" w14:textId="77777777" w:rsidR="001C2F95" w:rsidRPr="00982564" w:rsidRDefault="001C2F95" w:rsidP="002378EA">
      <w:pPr>
        <w:pStyle w:val="Paragraphedeliste"/>
        <w:numPr>
          <w:ilvl w:val="0"/>
          <w:numId w:val="45"/>
        </w:numPr>
        <w:rPr>
          <w:rFonts w:cs="Arial"/>
          <w:sz w:val="22"/>
        </w:rPr>
      </w:pPr>
      <w:r w:rsidRPr="00982564">
        <w:rPr>
          <w:rFonts w:cs="Arial"/>
          <w:sz w:val="22"/>
        </w:rPr>
        <w:t>Ministère Provincial du Développement Rural ;</w:t>
      </w:r>
    </w:p>
    <w:p w14:paraId="2D14E86A" w14:textId="77777777" w:rsidR="001C2F95" w:rsidRPr="00982564" w:rsidRDefault="001C2F95" w:rsidP="002378EA">
      <w:pPr>
        <w:pStyle w:val="Paragraphedeliste"/>
        <w:numPr>
          <w:ilvl w:val="0"/>
          <w:numId w:val="45"/>
        </w:numPr>
        <w:rPr>
          <w:rFonts w:cs="Arial"/>
          <w:sz w:val="22"/>
        </w:rPr>
      </w:pPr>
      <w:r w:rsidRPr="00982564">
        <w:rPr>
          <w:rFonts w:cs="Arial"/>
          <w:sz w:val="22"/>
        </w:rPr>
        <w:t>Ministère Provincial du Genre, de l’Enfant et de la Famille, concernant la prévention et réponse aux VBG.</w:t>
      </w:r>
    </w:p>
    <w:p w14:paraId="1624ECF9" w14:textId="77777777" w:rsidR="001C2F95" w:rsidRPr="00982564" w:rsidRDefault="001C2F95" w:rsidP="001C2F95">
      <w:pPr>
        <w:ind w:left="720"/>
        <w:rPr>
          <w:rFonts w:cs="Arial"/>
          <w:sz w:val="22"/>
        </w:rPr>
      </w:pPr>
    </w:p>
    <w:p w14:paraId="21A3C45B" w14:textId="77777777" w:rsidR="001C2F95" w:rsidRPr="00982564" w:rsidRDefault="001C2F95" w:rsidP="001C2F95">
      <w:pPr>
        <w:pStyle w:val="Titre2"/>
        <w:numPr>
          <w:ilvl w:val="2"/>
          <w:numId w:val="4"/>
        </w:numPr>
        <w:ind w:left="1560" w:hanging="709"/>
        <w:rPr>
          <w:rFonts w:cs="Arial"/>
          <w:i/>
          <w:sz w:val="22"/>
          <w:szCs w:val="22"/>
        </w:rPr>
      </w:pPr>
      <w:bookmarkStart w:id="325" w:name="_Toc487204595"/>
      <w:bookmarkStart w:id="326" w:name="_Toc44626831"/>
      <w:bookmarkStart w:id="327" w:name="_Toc70330385"/>
      <w:r w:rsidRPr="00982564">
        <w:rPr>
          <w:rFonts w:cs="Arial"/>
          <w:i/>
          <w:sz w:val="22"/>
          <w:szCs w:val="22"/>
        </w:rPr>
        <w:t>Administrations locales</w:t>
      </w:r>
      <w:bookmarkEnd w:id="325"/>
      <w:bookmarkEnd w:id="326"/>
      <w:bookmarkEnd w:id="327"/>
      <w:r w:rsidRPr="00982564">
        <w:rPr>
          <w:rFonts w:cs="Arial"/>
          <w:i/>
          <w:sz w:val="22"/>
          <w:szCs w:val="22"/>
        </w:rPr>
        <w:t> </w:t>
      </w:r>
    </w:p>
    <w:p w14:paraId="22B09DDE" w14:textId="77777777" w:rsidR="001C2F95" w:rsidRPr="00982564" w:rsidRDefault="001C2F95" w:rsidP="001C2F95">
      <w:pPr>
        <w:pStyle w:val="Style1"/>
        <w:kinsoku w:val="0"/>
        <w:autoSpaceDE/>
        <w:autoSpaceDN/>
        <w:adjustRightInd/>
        <w:spacing w:line="276" w:lineRule="auto"/>
        <w:ind w:right="72"/>
        <w:jc w:val="both"/>
        <w:rPr>
          <w:rFonts w:ascii="Arial" w:hAnsi="Arial" w:cs="Arial"/>
          <w:sz w:val="22"/>
          <w:szCs w:val="22"/>
        </w:rPr>
      </w:pPr>
    </w:p>
    <w:p w14:paraId="6CA51A13" w14:textId="77777777" w:rsidR="001C2F95" w:rsidRPr="00982564" w:rsidRDefault="001C2F95" w:rsidP="001C2F95">
      <w:pPr>
        <w:pStyle w:val="Style1"/>
        <w:kinsoku w:val="0"/>
        <w:autoSpaceDE/>
        <w:autoSpaceDN/>
        <w:adjustRightInd/>
        <w:spacing w:line="276" w:lineRule="auto"/>
        <w:ind w:right="72"/>
        <w:jc w:val="both"/>
        <w:rPr>
          <w:rStyle w:val="CharacterStyle1"/>
          <w:rFonts w:ascii="Arial" w:hAnsi="Arial" w:cs="Arial"/>
          <w:sz w:val="22"/>
          <w:szCs w:val="22"/>
        </w:rPr>
      </w:pPr>
      <w:r w:rsidRPr="00982564">
        <w:rPr>
          <w:rFonts w:ascii="Arial" w:hAnsi="Arial" w:cs="Arial"/>
          <w:sz w:val="22"/>
          <w:szCs w:val="22"/>
        </w:rPr>
        <w:t>Les Ordonnances portant création et organisation des collectivités locales et des circonscriptions administratives attribuent des compétences aux collectivités en ce qui concerne la gestion de leur environnement (</w:t>
      </w:r>
      <w:r w:rsidRPr="00982564">
        <w:rPr>
          <w:rStyle w:val="CharacterStyle1"/>
          <w:rFonts w:ascii="Arial" w:hAnsi="Arial" w:cs="Arial"/>
          <w:spacing w:val="1"/>
          <w:sz w:val="22"/>
          <w:szCs w:val="22"/>
        </w:rPr>
        <w:t xml:space="preserve">Décret-loi du 02 juillet 1998 portant organisation territoriale et administrative de la </w:t>
      </w:r>
      <w:r w:rsidRPr="00982564">
        <w:rPr>
          <w:rStyle w:val="CharacterStyle1"/>
          <w:rFonts w:ascii="Arial" w:hAnsi="Arial" w:cs="Arial"/>
          <w:spacing w:val="5"/>
          <w:sz w:val="22"/>
          <w:szCs w:val="22"/>
        </w:rPr>
        <w:t>République Démocratique du Congo)</w:t>
      </w:r>
      <w:r w:rsidRPr="00982564">
        <w:rPr>
          <w:rFonts w:ascii="Arial" w:hAnsi="Arial" w:cs="Arial"/>
          <w:sz w:val="22"/>
          <w:szCs w:val="22"/>
        </w:rPr>
        <w:t xml:space="preserve">. Selon ce Décret, les entités </w:t>
      </w:r>
      <w:r w:rsidRPr="00982564">
        <w:rPr>
          <w:rStyle w:val="CharacterStyle1"/>
          <w:rFonts w:ascii="Arial" w:hAnsi="Arial" w:cs="Arial"/>
          <w:spacing w:val="5"/>
          <w:sz w:val="22"/>
          <w:szCs w:val="22"/>
        </w:rPr>
        <w:t xml:space="preserve">administratives décentralisées dotées de la personnalité </w:t>
      </w:r>
      <w:r w:rsidRPr="00982564">
        <w:rPr>
          <w:rStyle w:val="CharacterStyle1"/>
          <w:rFonts w:ascii="Arial" w:hAnsi="Arial" w:cs="Arial"/>
          <w:spacing w:val="1"/>
          <w:sz w:val="22"/>
          <w:szCs w:val="22"/>
        </w:rPr>
        <w:t>juridique</w:t>
      </w:r>
      <w:r w:rsidRPr="00982564">
        <w:rPr>
          <w:rFonts w:ascii="Arial" w:hAnsi="Arial" w:cs="Arial"/>
          <w:sz w:val="22"/>
          <w:szCs w:val="22"/>
        </w:rPr>
        <w:t xml:space="preserve"> sont </w:t>
      </w:r>
      <w:r w:rsidRPr="00982564">
        <w:rPr>
          <w:rStyle w:val="CharacterStyle1"/>
          <w:rFonts w:ascii="Arial" w:hAnsi="Arial" w:cs="Arial"/>
          <w:spacing w:val="1"/>
          <w:sz w:val="22"/>
          <w:szCs w:val="22"/>
        </w:rPr>
        <w:t xml:space="preserve">la province, la ville, le territoire et la commune. </w:t>
      </w:r>
      <w:r w:rsidRPr="00982564">
        <w:rPr>
          <w:rStyle w:val="CharacterStyle1"/>
          <w:rFonts w:ascii="Arial" w:hAnsi="Arial" w:cs="Arial"/>
          <w:sz w:val="22"/>
          <w:szCs w:val="22"/>
        </w:rPr>
        <w:t xml:space="preserve">Ce Décret-loi établit la répartition des attributions spécifiques par secteur d’activités entre le Pouvoir Central et les </w:t>
      </w:r>
      <w:r w:rsidRPr="00982564">
        <w:rPr>
          <w:rStyle w:val="CharacterStyle1"/>
          <w:rFonts w:ascii="Arial" w:hAnsi="Arial" w:cs="Arial"/>
          <w:spacing w:val="3"/>
          <w:sz w:val="22"/>
          <w:szCs w:val="22"/>
        </w:rPr>
        <w:t xml:space="preserve">entités administratives décentralisées. Ces dernières se sont vues attribuées entre autres les compétences </w:t>
      </w:r>
      <w:r w:rsidRPr="00982564">
        <w:rPr>
          <w:rStyle w:val="CharacterStyle1"/>
          <w:rFonts w:ascii="Arial" w:hAnsi="Arial" w:cs="Arial"/>
          <w:sz w:val="22"/>
          <w:szCs w:val="22"/>
        </w:rPr>
        <w:t>environnementales suivantes :</w:t>
      </w:r>
    </w:p>
    <w:p w14:paraId="14E62F3C" w14:textId="77777777" w:rsidR="001C2F95" w:rsidRPr="00982564" w:rsidRDefault="001C2F95" w:rsidP="001C2F95">
      <w:pPr>
        <w:pStyle w:val="Style1"/>
        <w:kinsoku w:val="0"/>
        <w:autoSpaceDE/>
        <w:autoSpaceDN/>
        <w:adjustRightInd/>
        <w:spacing w:line="276" w:lineRule="auto"/>
        <w:ind w:right="72"/>
        <w:jc w:val="both"/>
        <w:rPr>
          <w:rStyle w:val="CharacterStyle1"/>
          <w:rFonts w:ascii="Arial" w:hAnsi="Arial" w:cs="Arial"/>
          <w:sz w:val="22"/>
          <w:szCs w:val="22"/>
        </w:rPr>
      </w:pPr>
    </w:p>
    <w:p w14:paraId="5DAECCAA" w14:textId="77777777" w:rsidR="001C2F95" w:rsidRPr="00982564" w:rsidRDefault="001C2F95" w:rsidP="002378EA">
      <w:pPr>
        <w:numPr>
          <w:ilvl w:val="0"/>
          <w:numId w:val="23"/>
        </w:numPr>
        <w:suppressAutoHyphens/>
        <w:rPr>
          <w:rFonts w:cs="Arial"/>
          <w:sz w:val="22"/>
        </w:rPr>
      </w:pPr>
      <w:r w:rsidRPr="00982564">
        <w:rPr>
          <w:rFonts w:cs="Arial"/>
          <w:sz w:val="22"/>
        </w:rPr>
        <w:t>La lutte anti</w:t>
      </w:r>
      <w:r w:rsidR="00715CC9">
        <w:rPr>
          <w:rFonts w:cs="Arial"/>
          <w:sz w:val="22"/>
        </w:rPr>
        <w:t xml:space="preserve"> </w:t>
      </w:r>
      <w:r w:rsidRPr="00982564">
        <w:rPr>
          <w:rFonts w:cs="Arial"/>
          <w:sz w:val="22"/>
        </w:rPr>
        <w:t>-</w:t>
      </w:r>
      <w:r w:rsidR="00715CC9">
        <w:rPr>
          <w:rFonts w:cs="Arial"/>
          <w:sz w:val="22"/>
        </w:rPr>
        <w:t xml:space="preserve"> </w:t>
      </w:r>
      <w:r w:rsidRPr="00982564">
        <w:rPr>
          <w:rFonts w:cs="Arial"/>
          <w:sz w:val="22"/>
        </w:rPr>
        <w:t>vectorielle et, particulièrement, la désinsectisation sous toutes ses formes ;</w:t>
      </w:r>
    </w:p>
    <w:p w14:paraId="15EE749F" w14:textId="77777777" w:rsidR="001C2F95" w:rsidRPr="00982564" w:rsidRDefault="001C2F95" w:rsidP="002378EA">
      <w:pPr>
        <w:numPr>
          <w:ilvl w:val="0"/>
          <w:numId w:val="23"/>
        </w:numPr>
        <w:suppressAutoHyphens/>
        <w:rPr>
          <w:rFonts w:cs="Arial"/>
          <w:sz w:val="22"/>
        </w:rPr>
      </w:pPr>
      <w:r w:rsidRPr="00982564">
        <w:rPr>
          <w:rFonts w:cs="Arial"/>
          <w:sz w:val="22"/>
        </w:rPr>
        <w:t xml:space="preserve">La protection des sites classés installés dans les entités locales ainsi que celle des monuments ; </w:t>
      </w:r>
    </w:p>
    <w:p w14:paraId="77FCA996" w14:textId="77777777" w:rsidR="001C2F95" w:rsidRPr="00982564" w:rsidRDefault="001C2F95" w:rsidP="002378EA">
      <w:pPr>
        <w:numPr>
          <w:ilvl w:val="0"/>
          <w:numId w:val="23"/>
        </w:numPr>
        <w:suppressAutoHyphens/>
        <w:rPr>
          <w:rFonts w:cs="Arial"/>
          <w:sz w:val="22"/>
        </w:rPr>
      </w:pPr>
      <w:r w:rsidRPr="00982564">
        <w:rPr>
          <w:rFonts w:cs="Arial"/>
          <w:sz w:val="22"/>
        </w:rPr>
        <w:t>La sensibilisation de la population aux problèmes de l’hygiène du milieu ;</w:t>
      </w:r>
    </w:p>
    <w:p w14:paraId="3302D7AE" w14:textId="77777777" w:rsidR="001C2F95" w:rsidRPr="00982564" w:rsidRDefault="001C2F95" w:rsidP="002378EA">
      <w:pPr>
        <w:numPr>
          <w:ilvl w:val="0"/>
          <w:numId w:val="23"/>
        </w:numPr>
        <w:suppressAutoHyphens/>
        <w:rPr>
          <w:rFonts w:cs="Arial"/>
          <w:sz w:val="22"/>
        </w:rPr>
      </w:pPr>
      <w:r w:rsidRPr="00982564">
        <w:rPr>
          <w:rFonts w:cs="Arial"/>
          <w:sz w:val="22"/>
        </w:rPr>
        <w:t>La délivrance des permis d’exploitation et de contrôle des établissements dangereux, insalubres et incommodes de la catégorie III ;</w:t>
      </w:r>
    </w:p>
    <w:p w14:paraId="0F18EF2D" w14:textId="77777777" w:rsidR="001C2F95" w:rsidRPr="00982564" w:rsidRDefault="001C2F95" w:rsidP="002378EA">
      <w:pPr>
        <w:numPr>
          <w:ilvl w:val="0"/>
          <w:numId w:val="23"/>
        </w:numPr>
        <w:suppressAutoHyphens/>
        <w:rPr>
          <w:rFonts w:cs="Arial"/>
          <w:sz w:val="22"/>
        </w:rPr>
      </w:pPr>
      <w:r w:rsidRPr="00982564">
        <w:rPr>
          <w:rFonts w:cs="Arial"/>
          <w:sz w:val="22"/>
        </w:rPr>
        <w:t>Le drainage et le curage des collecteurs et égouts des eaux usées ;</w:t>
      </w:r>
    </w:p>
    <w:p w14:paraId="4A9C5755" w14:textId="77777777" w:rsidR="001C2F95" w:rsidRPr="00982564" w:rsidRDefault="001C2F95" w:rsidP="002378EA">
      <w:pPr>
        <w:numPr>
          <w:ilvl w:val="0"/>
          <w:numId w:val="23"/>
        </w:numPr>
        <w:suppressAutoHyphens/>
        <w:rPr>
          <w:rFonts w:cs="Arial"/>
          <w:sz w:val="22"/>
        </w:rPr>
      </w:pPr>
      <w:r w:rsidRPr="00982564">
        <w:rPr>
          <w:rFonts w:cs="Arial"/>
          <w:sz w:val="22"/>
        </w:rPr>
        <w:t xml:space="preserve">Le nettoiement, la collecte et l’évacuation des ordures ménagères et immondices. </w:t>
      </w:r>
    </w:p>
    <w:p w14:paraId="6ACF2461" w14:textId="77777777" w:rsidR="001C2F95" w:rsidRPr="00982564" w:rsidRDefault="001C2F95" w:rsidP="001C2F95">
      <w:pPr>
        <w:rPr>
          <w:rFonts w:cs="Arial"/>
          <w:sz w:val="22"/>
        </w:rPr>
      </w:pPr>
    </w:p>
    <w:p w14:paraId="27B3888A" w14:textId="77777777" w:rsidR="001C2F95" w:rsidRPr="00982564" w:rsidRDefault="001C2F95" w:rsidP="001C2F95">
      <w:pPr>
        <w:rPr>
          <w:rFonts w:cs="Arial"/>
          <w:sz w:val="22"/>
        </w:rPr>
      </w:pPr>
      <w:r w:rsidRPr="00982564">
        <w:rPr>
          <w:rFonts w:cs="Arial"/>
          <w:sz w:val="22"/>
        </w:rPr>
        <w:t>Il faut tout de même relever la faiblesse des capacités d’intervention et de gestion environnementale et sociale de ces collectivités, notamment en termes de suivi de la mise en œuvre des projets qui s’exécutent sur leur territoire.</w:t>
      </w:r>
    </w:p>
    <w:p w14:paraId="2D89CDCE" w14:textId="77777777" w:rsidR="001C2F95" w:rsidRPr="00982564" w:rsidRDefault="001C2F95" w:rsidP="001C2F95">
      <w:pPr>
        <w:rPr>
          <w:rFonts w:cs="Arial"/>
          <w:sz w:val="22"/>
        </w:rPr>
      </w:pPr>
    </w:p>
    <w:p w14:paraId="1AA9301B" w14:textId="77777777" w:rsidR="001C2F95" w:rsidRPr="00982564" w:rsidRDefault="001C2F95" w:rsidP="001C2F95">
      <w:pPr>
        <w:pStyle w:val="Titre2"/>
        <w:numPr>
          <w:ilvl w:val="2"/>
          <w:numId w:val="4"/>
        </w:numPr>
        <w:ind w:left="1560" w:hanging="709"/>
        <w:rPr>
          <w:rFonts w:cs="Arial"/>
          <w:i/>
          <w:sz w:val="22"/>
          <w:szCs w:val="22"/>
          <w:u w:val="single"/>
        </w:rPr>
      </w:pPr>
      <w:bookmarkStart w:id="328" w:name="_Toc487204596"/>
      <w:bookmarkStart w:id="329" w:name="_Toc44626832"/>
      <w:bookmarkStart w:id="330" w:name="_Toc70330386"/>
      <w:r w:rsidRPr="00982564">
        <w:rPr>
          <w:rFonts w:cs="Arial"/>
          <w:i/>
          <w:sz w:val="22"/>
          <w:szCs w:val="22"/>
        </w:rPr>
        <w:t>Acteurs Non Gouvernementaux</w:t>
      </w:r>
      <w:bookmarkEnd w:id="328"/>
      <w:bookmarkEnd w:id="329"/>
      <w:bookmarkEnd w:id="330"/>
    </w:p>
    <w:p w14:paraId="67A72E3C" w14:textId="77777777" w:rsidR="001C2F95" w:rsidRPr="00982564" w:rsidRDefault="001C2F95" w:rsidP="001C2F95">
      <w:pPr>
        <w:rPr>
          <w:rFonts w:cs="Arial"/>
          <w:bCs/>
          <w:sz w:val="22"/>
        </w:rPr>
      </w:pPr>
    </w:p>
    <w:p w14:paraId="13A59701" w14:textId="77777777" w:rsidR="001C2F95" w:rsidRPr="00982564" w:rsidRDefault="001C2F95" w:rsidP="001C2F95">
      <w:pPr>
        <w:rPr>
          <w:rFonts w:cs="Arial"/>
          <w:sz w:val="22"/>
        </w:rPr>
      </w:pPr>
      <w:r w:rsidRPr="00982564">
        <w:rPr>
          <w:rFonts w:cs="Arial"/>
          <w:bCs/>
          <w:sz w:val="22"/>
        </w:rPr>
        <w:t xml:space="preserve">En RDC, les activités des ONG sont régies par la Loi n° 004/2001 du 20 juillet 2001 portant dispositions générales applicables aux Associations sans but lucratif et aux </w:t>
      </w:r>
      <w:r w:rsidRPr="00982564">
        <w:rPr>
          <w:rFonts w:cs="Arial"/>
          <w:color w:val="000000"/>
          <w:sz w:val="22"/>
        </w:rPr>
        <w:t>É</w:t>
      </w:r>
      <w:r w:rsidRPr="00982564">
        <w:rPr>
          <w:rFonts w:cs="Arial"/>
          <w:bCs/>
          <w:sz w:val="22"/>
        </w:rPr>
        <w:t xml:space="preserve">tablissements d’utilité publique. Les ONG participent à la conception et à la mise en œuvre de la politique de développement à la base. Plusieurs ONG et Réseaux d’ONG </w:t>
      </w:r>
      <w:r w:rsidRPr="00982564">
        <w:rPr>
          <w:rFonts w:cs="Arial"/>
          <w:sz w:val="22"/>
        </w:rPr>
        <w:t xml:space="preserve">nationales et internationales </w:t>
      </w:r>
      <w:r w:rsidRPr="00982564">
        <w:rPr>
          <w:rFonts w:cs="Arial"/>
          <w:bCs/>
          <w:sz w:val="22"/>
        </w:rPr>
        <w:t xml:space="preserve">évoluent dans le secteur de l’environnement et </w:t>
      </w:r>
      <w:r w:rsidRPr="00982564">
        <w:rPr>
          <w:rFonts w:cs="Arial"/>
          <w:sz w:val="22"/>
        </w:rPr>
        <w:t>accompagnent les secteurs de développement dans plusieurs domaines : renforcement des capacités, information, sensibilisation, mobilisation et accompagnement social ; protection. Ces structures de proximité peuvent jouer un rôle important dans le suivi de la mise en œuvre du Projet. Les ONG de lutte contre les VBG et celles de lutte contre les IST et le VIH/SIDA ainsi que celles qui luttent contre la COVID-19 seront impliquées totalement dans la mise en œuvre du PNDA.</w:t>
      </w:r>
    </w:p>
    <w:p w14:paraId="529EC7B8" w14:textId="77777777" w:rsidR="001C2F95" w:rsidRDefault="001C2F95" w:rsidP="001C2F95">
      <w:pPr>
        <w:rPr>
          <w:rFonts w:cs="Arial"/>
          <w:i/>
          <w:sz w:val="22"/>
        </w:rPr>
      </w:pPr>
    </w:p>
    <w:p w14:paraId="3060CD30" w14:textId="77777777" w:rsidR="002C45C0" w:rsidRPr="000B4ED9" w:rsidRDefault="00D179B0" w:rsidP="002C45C0">
      <w:pPr>
        <w:rPr>
          <w:sz w:val="22"/>
        </w:rPr>
      </w:pPr>
      <w:r>
        <w:rPr>
          <w:sz w:val="22"/>
        </w:rPr>
        <w:t>Les a</w:t>
      </w:r>
      <w:r w:rsidR="002C45C0" w:rsidRPr="000B4ED9">
        <w:rPr>
          <w:sz w:val="22"/>
        </w:rPr>
        <w:t>utres acteurs non gouvernementaux </w:t>
      </w:r>
      <w:r w:rsidR="00E23149" w:rsidRPr="000B4ED9">
        <w:rPr>
          <w:sz w:val="22"/>
        </w:rPr>
        <w:t xml:space="preserve">œuvrant </w:t>
      </w:r>
      <w:r w:rsidR="002C45C0" w:rsidRPr="000B4ED9">
        <w:rPr>
          <w:sz w:val="22"/>
        </w:rPr>
        <w:t>dans les Provinces concernées par le PNDA</w:t>
      </w:r>
      <w:r>
        <w:rPr>
          <w:sz w:val="22"/>
        </w:rPr>
        <w:t xml:space="preserve"> sont</w:t>
      </w:r>
      <w:r w:rsidR="002C45C0" w:rsidRPr="000B4ED9">
        <w:rPr>
          <w:sz w:val="22"/>
        </w:rPr>
        <w:t xml:space="preserve"> :</w:t>
      </w:r>
    </w:p>
    <w:p w14:paraId="0CAC8122" w14:textId="77777777" w:rsidR="002C45C0" w:rsidRPr="000B4ED9" w:rsidRDefault="002C45C0" w:rsidP="002C45C0">
      <w:pPr>
        <w:rPr>
          <w:sz w:val="22"/>
        </w:rPr>
      </w:pPr>
    </w:p>
    <w:p w14:paraId="50E2AEE5" w14:textId="77777777" w:rsidR="00ED1B4B" w:rsidRPr="000B4ED9" w:rsidRDefault="00E23149" w:rsidP="002378EA">
      <w:pPr>
        <w:pStyle w:val="Paragraphedeliste"/>
        <w:numPr>
          <w:ilvl w:val="0"/>
          <w:numId w:val="142"/>
        </w:numPr>
        <w:spacing w:after="120" w:line="0" w:lineRule="atLeast"/>
        <w:contextualSpacing w:val="0"/>
        <w:rPr>
          <w:sz w:val="22"/>
        </w:rPr>
      </w:pPr>
      <w:r w:rsidRPr="000B4ED9">
        <w:rPr>
          <w:sz w:val="22"/>
        </w:rPr>
        <w:t xml:space="preserve">Les deux clusters l'Organisation pour l'alimentation et l'agriculture (FAO) </w:t>
      </w:r>
      <w:r w:rsidR="002C45C0" w:rsidRPr="000B4ED9">
        <w:rPr>
          <w:sz w:val="22"/>
        </w:rPr>
        <w:t>et le</w:t>
      </w:r>
      <w:r w:rsidRPr="000B4ED9">
        <w:rPr>
          <w:sz w:val="22"/>
        </w:rPr>
        <w:t xml:space="preserve"> </w:t>
      </w:r>
      <w:r w:rsidR="002C45C0" w:rsidRPr="000B4ED9">
        <w:rPr>
          <w:sz w:val="22"/>
        </w:rPr>
        <w:t>Programme alimentaire mondial des Nations Unies (PAM)</w:t>
      </w:r>
      <w:r w:rsidRPr="000B4ED9">
        <w:rPr>
          <w:sz w:val="22"/>
        </w:rPr>
        <w:t>, le</w:t>
      </w:r>
      <w:r w:rsidR="002C45C0" w:rsidRPr="000B4ED9">
        <w:rPr>
          <w:sz w:val="22"/>
        </w:rPr>
        <w:t xml:space="preserve"> </w:t>
      </w:r>
      <w:r w:rsidRPr="000B4ED9">
        <w:rPr>
          <w:sz w:val="22"/>
        </w:rPr>
        <w:t>Fonds international de développement agricole (FIDA</w:t>
      </w:r>
      <w:r w:rsidR="00B87511" w:rsidRPr="000B4ED9">
        <w:rPr>
          <w:sz w:val="22"/>
        </w:rPr>
        <w:t>)</w:t>
      </w:r>
      <w:r w:rsidR="00ED1B4B" w:rsidRPr="000B4ED9">
        <w:rPr>
          <w:sz w:val="22"/>
        </w:rPr>
        <w:t xml:space="preserve"> qui finance le Projet d’Appui au secteur agricole dans la Province du Nord-Kivu</w:t>
      </w:r>
      <w:r w:rsidRPr="000B4ED9">
        <w:rPr>
          <w:sz w:val="22"/>
        </w:rPr>
        <w:t xml:space="preserve"> </w:t>
      </w:r>
      <w:r w:rsidR="002C45C0" w:rsidRPr="000B4ED9">
        <w:rPr>
          <w:sz w:val="22"/>
        </w:rPr>
        <w:t>pour renforcer la coopération et le partenariat pour coordonner les réponses de sécurité alimentaire, la disponibilité, l'accès et l'utilisation de la nourriture ;</w:t>
      </w:r>
    </w:p>
    <w:p w14:paraId="235C7437" w14:textId="77777777" w:rsidR="002C45C0" w:rsidRPr="000B4ED9" w:rsidRDefault="002C45C0" w:rsidP="002378EA">
      <w:pPr>
        <w:pStyle w:val="Paragraphedeliste"/>
        <w:numPr>
          <w:ilvl w:val="0"/>
          <w:numId w:val="142"/>
        </w:numPr>
        <w:spacing w:after="120" w:line="0" w:lineRule="atLeast"/>
        <w:contextualSpacing w:val="0"/>
        <w:rPr>
          <w:sz w:val="22"/>
        </w:rPr>
      </w:pPr>
      <w:r w:rsidRPr="000B4ED9">
        <w:rPr>
          <w:sz w:val="22"/>
        </w:rPr>
        <w:t>Les deux clusters l</w:t>
      </w:r>
      <w:r w:rsidR="00ED1B4B">
        <w:rPr>
          <w:rFonts w:cs="Arial"/>
          <w:color w:val="4D5156"/>
          <w:szCs w:val="21"/>
          <w:shd w:val="clear" w:color="auto" w:fill="FFFFFF"/>
        </w:rPr>
        <w:t>e Fonds des Nations Unies pour l'enfance (</w:t>
      </w:r>
      <w:r w:rsidRPr="000B4ED9">
        <w:rPr>
          <w:sz w:val="22"/>
        </w:rPr>
        <w:t>UNICEF</w:t>
      </w:r>
      <w:r w:rsidR="00ED1B4B">
        <w:rPr>
          <w:sz w:val="22"/>
        </w:rPr>
        <w:t>)</w:t>
      </w:r>
      <w:r w:rsidRPr="000B4ED9">
        <w:rPr>
          <w:sz w:val="22"/>
        </w:rPr>
        <w:t xml:space="preserve"> et </w:t>
      </w:r>
      <w:r w:rsidR="00ED1B4B">
        <w:rPr>
          <w:sz w:val="22"/>
        </w:rPr>
        <w:t>Coopération Internationale (COOPI), une</w:t>
      </w:r>
      <w:r w:rsidR="00ED1B4B" w:rsidRPr="00ED1B4B">
        <w:rPr>
          <w:sz w:val="22"/>
        </w:rPr>
        <w:t xml:space="preserve"> ONG italienne</w:t>
      </w:r>
      <w:r w:rsidRPr="000B4ED9">
        <w:rPr>
          <w:sz w:val="22"/>
        </w:rPr>
        <w:t xml:space="preserve"> pour surveiller les taux de malnutrition et intervient en cas de besoin</w:t>
      </w:r>
      <w:r w:rsidR="00ED1B4B" w:rsidRPr="00D179B0">
        <w:rPr>
          <w:sz w:val="22"/>
        </w:rPr>
        <w:t xml:space="preserve"> </w:t>
      </w:r>
      <w:r w:rsidRPr="000B4ED9">
        <w:rPr>
          <w:sz w:val="22"/>
        </w:rPr>
        <w:t xml:space="preserve">; </w:t>
      </w:r>
    </w:p>
    <w:p w14:paraId="2CE32079" w14:textId="77777777" w:rsidR="002C45C0" w:rsidRPr="000B4ED9" w:rsidRDefault="002C45C0" w:rsidP="002378EA">
      <w:pPr>
        <w:pStyle w:val="Paragraphedeliste"/>
        <w:numPr>
          <w:ilvl w:val="0"/>
          <w:numId w:val="142"/>
        </w:numPr>
        <w:spacing w:after="120" w:line="0" w:lineRule="atLeast"/>
        <w:contextualSpacing w:val="0"/>
        <w:rPr>
          <w:sz w:val="22"/>
        </w:rPr>
      </w:pPr>
      <w:r w:rsidRPr="000B4ED9">
        <w:rPr>
          <w:sz w:val="22"/>
        </w:rPr>
        <w:t>Le Programme National de Nutrition (PRONANUT) au niveau national et l’agence d'exécution du comité national multisectoriel de nutrition (CNMN) pour coordonner la mise en œuvre des CNMN provinciaux. ;</w:t>
      </w:r>
    </w:p>
    <w:p w14:paraId="2061882B" w14:textId="77777777" w:rsidR="002C45C0" w:rsidRPr="000B4ED9" w:rsidRDefault="00ED1B4B" w:rsidP="002378EA">
      <w:pPr>
        <w:pStyle w:val="Paragraphedeliste"/>
        <w:numPr>
          <w:ilvl w:val="0"/>
          <w:numId w:val="142"/>
        </w:numPr>
        <w:spacing w:after="120" w:line="0" w:lineRule="atLeast"/>
        <w:contextualSpacing w:val="0"/>
        <w:rPr>
          <w:sz w:val="22"/>
        </w:rPr>
      </w:pPr>
      <w:r w:rsidRPr="000B4ED9">
        <w:rPr>
          <w:sz w:val="22"/>
        </w:rPr>
        <w:t>l'Institut International d'Agriculture Tropicale (IITA) a pour mission qui consiste à offrir un partenariat de recherche de premier plan qui facilite des solutions agricoles contre la faim, la pauvreté et la dégradation des ressources naturelles dans les tropiques.</w:t>
      </w:r>
    </w:p>
    <w:p w14:paraId="58B194AA" w14:textId="77777777" w:rsidR="00ED1B4B" w:rsidRDefault="00ED1B4B" w:rsidP="001C2F95">
      <w:pPr>
        <w:rPr>
          <w:rFonts w:cs="Arial"/>
          <w:i/>
          <w:sz w:val="22"/>
        </w:rPr>
      </w:pPr>
    </w:p>
    <w:p w14:paraId="2FA11CB1" w14:textId="77777777" w:rsidR="001C2F95" w:rsidRPr="00982564" w:rsidRDefault="001C2F95" w:rsidP="001C2F95">
      <w:pPr>
        <w:rPr>
          <w:rFonts w:cs="Arial"/>
          <w:i/>
          <w:sz w:val="22"/>
        </w:rPr>
      </w:pPr>
      <w:r w:rsidRPr="00982564">
        <w:rPr>
          <w:rFonts w:cs="Arial"/>
          <w:i/>
          <w:sz w:val="22"/>
        </w:rPr>
        <w:t xml:space="preserve">Réseau des Populations Autochtones et Locales pour la Gestion Durable des Ecosystèmes Forestiers (REPALEF) </w:t>
      </w:r>
    </w:p>
    <w:p w14:paraId="52D69175" w14:textId="77777777" w:rsidR="001C2F95" w:rsidRPr="00982564" w:rsidRDefault="001C2F95" w:rsidP="001C2F95">
      <w:pPr>
        <w:rPr>
          <w:rFonts w:cs="Arial"/>
          <w:sz w:val="22"/>
        </w:rPr>
      </w:pPr>
      <w:r w:rsidRPr="00982564">
        <w:rPr>
          <w:rFonts w:cs="Arial"/>
          <w:sz w:val="22"/>
        </w:rPr>
        <w:t xml:space="preserve"> </w:t>
      </w:r>
    </w:p>
    <w:p w14:paraId="0C972992" w14:textId="77777777" w:rsidR="001C2F95" w:rsidRPr="00982564" w:rsidRDefault="001C2F95" w:rsidP="001C2F95">
      <w:pPr>
        <w:rPr>
          <w:rFonts w:cs="Arial"/>
          <w:sz w:val="22"/>
        </w:rPr>
      </w:pPr>
      <w:r w:rsidRPr="00982564">
        <w:rPr>
          <w:rFonts w:cs="Arial"/>
          <w:sz w:val="22"/>
        </w:rPr>
        <w:t xml:space="preserve">Le REPALEF, plateforme des réseaux et organisations des peuples autochtones, est une ONGD nationale qui œuvre pour une gestion durable des écosystèmes en RDC. Il regroupe actuellement (directement ou indirectement) plus de 40 organisations de défense ou de promotion des PA. Il dispose dans chaque province des Points Focaux provinciaux ainsi que des correspondants, dans chaque Province, de ses organisations membres où l’on rencontre les PA. Le REPALEF dispose ainsi de relais dans la Province du Nord-Kivu où l’on rencontre des PA dans le cadre du PNDA. </w:t>
      </w:r>
    </w:p>
    <w:p w14:paraId="1E228761" w14:textId="77777777" w:rsidR="001C2F95" w:rsidRPr="00982564" w:rsidRDefault="001C2F95" w:rsidP="001C2F95">
      <w:pPr>
        <w:rPr>
          <w:rFonts w:cs="Arial"/>
          <w:sz w:val="22"/>
        </w:rPr>
      </w:pPr>
    </w:p>
    <w:p w14:paraId="2DB056B3" w14:textId="77777777" w:rsidR="001C2F95" w:rsidRPr="00982564" w:rsidRDefault="001C2F95" w:rsidP="001C2F95">
      <w:pPr>
        <w:rPr>
          <w:rFonts w:cs="Arial"/>
          <w:sz w:val="22"/>
        </w:rPr>
      </w:pPr>
      <w:r w:rsidRPr="00982564">
        <w:rPr>
          <w:rFonts w:cs="Arial"/>
          <w:sz w:val="22"/>
        </w:rPr>
        <w:t>Dans le cadre du PNDA, le REPALEF va accompagner les PA dans l’élaboration du Cadre de Politique en faveur des Peuples Autochtones et Plan en faveur des Peuples Autochtones ainsi que dans la phase de sa mise en œuvre.</w:t>
      </w:r>
    </w:p>
    <w:p w14:paraId="60FAEF49" w14:textId="77777777" w:rsidR="001C2F95" w:rsidRPr="00982564" w:rsidRDefault="001C2F95" w:rsidP="001C2F95">
      <w:pPr>
        <w:rPr>
          <w:rFonts w:cs="Arial"/>
          <w:sz w:val="22"/>
        </w:rPr>
      </w:pPr>
    </w:p>
    <w:p w14:paraId="15BAB0B1" w14:textId="77777777" w:rsidR="001C2F95" w:rsidRPr="00982564" w:rsidRDefault="001C2F95" w:rsidP="001C2F95">
      <w:pPr>
        <w:pStyle w:val="Titre2"/>
        <w:numPr>
          <w:ilvl w:val="2"/>
          <w:numId w:val="4"/>
        </w:numPr>
        <w:ind w:left="1560" w:hanging="709"/>
        <w:rPr>
          <w:rFonts w:cs="Arial"/>
          <w:i/>
          <w:sz w:val="22"/>
          <w:szCs w:val="22"/>
        </w:rPr>
      </w:pPr>
      <w:bookmarkStart w:id="331" w:name="_Toc70330387"/>
      <w:r w:rsidRPr="00982564">
        <w:rPr>
          <w:rFonts w:cs="Arial"/>
          <w:i/>
          <w:sz w:val="22"/>
          <w:szCs w:val="22"/>
        </w:rPr>
        <w:t>Quelques institutions intermédiaires financiers (les IF – banques, institutions de micro</w:t>
      </w:r>
      <w:r w:rsidR="001E4043">
        <w:rPr>
          <w:rFonts w:cs="Arial"/>
          <w:i/>
          <w:sz w:val="22"/>
          <w:szCs w:val="22"/>
        </w:rPr>
        <w:t xml:space="preserve"> </w:t>
      </w:r>
      <w:r w:rsidR="0065547D" w:rsidRPr="00982564">
        <w:rPr>
          <w:rFonts w:cs="Arial"/>
          <w:i/>
          <w:sz w:val="22"/>
          <w:szCs w:val="22"/>
        </w:rPr>
        <w:t>-</w:t>
      </w:r>
      <w:r w:rsidR="001E4043">
        <w:rPr>
          <w:rFonts w:cs="Arial"/>
          <w:i/>
          <w:sz w:val="22"/>
          <w:szCs w:val="22"/>
        </w:rPr>
        <w:t xml:space="preserve"> </w:t>
      </w:r>
      <w:r w:rsidRPr="00982564">
        <w:rPr>
          <w:rFonts w:cs="Arial"/>
          <w:i/>
          <w:sz w:val="22"/>
          <w:szCs w:val="22"/>
        </w:rPr>
        <w:t>finance, coopératives d'épargne et de crédit)</w:t>
      </w:r>
      <w:bookmarkEnd w:id="331"/>
    </w:p>
    <w:p w14:paraId="361942BB" w14:textId="77777777" w:rsidR="001C2F95" w:rsidRPr="00982564" w:rsidRDefault="001C2F95" w:rsidP="001C2F95">
      <w:pPr>
        <w:rPr>
          <w:rFonts w:cs="Arial"/>
          <w:sz w:val="22"/>
        </w:rPr>
      </w:pPr>
    </w:p>
    <w:p w14:paraId="0221BDE7" w14:textId="77777777" w:rsidR="001C2F95" w:rsidRPr="00982564" w:rsidRDefault="001C2F95" w:rsidP="001C2F95">
      <w:pPr>
        <w:pStyle w:val="Titre2"/>
        <w:rPr>
          <w:rFonts w:cs="Arial"/>
          <w:i/>
          <w:sz w:val="22"/>
          <w:szCs w:val="22"/>
        </w:rPr>
      </w:pPr>
      <w:bookmarkStart w:id="332" w:name="_Toc64026158"/>
      <w:bookmarkStart w:id="333" w:name="_Toc70327025"/>
      <w:bookmarkStart w:id="334" w:name="_Toc70330388"/>
      <w:r w:rsidRPr="00982564">
        <w:rPr>
          <w:rFonts w:cs="Arial"/>
          <w:i/>
          <w:sz w:val="22"/>
          <w:szCs w:val="22"/>
        </w:rPr>
        <w:t>Banque Centrale du Congo (BCC)</w:t>
      </w:r>
      <w:bookmarkEnd w:id="332"/>
      <w:bookmarkEnd w:id="333"/>
      <w:bookmarkEnd w:id="334"/>
    </w:p>
    <w:p w14:paraId="637F02B5" w14:textId="77777777" w:rsidR="001C2F95" w:rsidRPr="00982564" w:rsidRDefault="001C2F95" w:rsidP="001C2F95">
      <w:pPr>
        <w:autoSpaceDE w:val="0"/>
        <w:autoSpaceDN w:val="0"/>
        <w:adjustRightInd w:val="0"/>
        <w:rPr>
          <w:rFonts w:cs="Arial"/>
          <w:color w:val="202122"/>
          <w:sz w:val="22"/>
          <w:shd w:val="clear" w:color="auto" w:fill="FFFFFF"/>
        </w:rPr>
      </w:pPr>
    </w:p>
    <w:p w14:paraId="1A97D803" w14:textId="77777777" w:rsidR="001C2F95" w:rsidRPr="00982564" w:rsidRDefault="001C2F95" w:rsidP="001C2F95">
      <w:pPr>
        <w:rPr>
          <w:rFonts w:cs="Arial"/>
          <w:sz w:val="22"/>
        </w:rPr>
      </w:pPr>
      <w:r w:rsidRPr="00982564">
        <w:rPr>
          <w:rFonts w:cs="Arial"/>
          <w:sz w:val="22"/>
        </w:rPr>
        <w:t>La Banque centrale du Congo a été créée le 30 juillet 1951 sous le nom de Banque Centrale du Congo et du Ruanda-Urundi. Au 30 juillet 2001 la Banque Centrale avait totalisé 50 ans d’existence durant lesquels elle a traversé deux périodes radicalement distinctes dont la première se rapporte à l’époque coloniale et la seconde se situe après l’accession du pays à la souveraineté nationale.</w:t>
      </w:r>
    </w:p>
    <w:p w14:paraId="4E46B80A" w14:textId="77777777" w:rsidR="001C2F95" w:rsidRPr="00982564" w:rsidRDefault="001C2F95" w:rsidP="001C2F95">
      <w:pPr>
        <w:rPr>
          <w:rFonts w:cs="Arial"/>
          <w:sz w:val="22"/>
        </w:rPr>
      </w:pPr>
    </w:p>
    <w:p w14:paraId="0A0F4661" w14:textId="77777777" w:rsidR="001C2F95" w:rsidRPr="00982564" w:rsidRDefault="001C2F95" w:rsidP="001C2F95">
      <w:pPr>
        <w:rPr>
          <w:rFonts w:cs="Arial"/>
          <w:sz w:val="22"/>
        </w:rPr>
      </w:pPr>
      <w:r w:rsidRPr="00982564">
        <w:rPr>
          <w:rFonts w:cs="Arial"/>
          <w:sz w:val="22"/>
        </w:rPr>
        <w:t>Aux termes de la Loi n°005/2002 du 07 mai 2002 portant constitution, organisation et fonctionnement de la Banque Centrale du Congo, il est dévolu à cette dernière les missions suivantes :</w:t>
      </w:r>
    </w:p>
    <w:p w14:paraId="070BBC8D" w14:textId="77777777" w:rsidR="001C2F95" w:rsidRPr="00982564" w:rsidRDefault="001C2F95" w:rsidP="001C2F95">
      <w:pPr>
        <w:rPr>
          <w:rFonts w:cs="Arial"/>
          <w:sz w:val="22"/>
        </w:rPr>
      </w:pPr>
    </w:p>
    <w:p w14:paraId="684D215F" w14:textId="77777777" w:rsidR="001C2F95" w:rsidRPr="00982564" w:rsidRDefault="001C2F95" w:rsidP="002378EA">
      <w:pPr>
        <w:pStyle w:val="Paragraphedeliste"/>
        <w:numPr>
          <w:ilvl w:val="0"/>
          <w:numId w:val="45"/>
        </w:numPr>
        <w:rPr>
          <w:rFonts w:cs="Arial"/>
          <w:sz w:val="22"/>
        </w:rPr>
      </w:pPr>
      <w:r w:rsidRPr="00982564">
        <w:rPr>
          <w:rFonts w:cs="Arial"/>
          <w:sz w:val="22"/>
        </w:rPr>
        <w:t>Mettre en œuvre la politique monétaire du pays dont l’objectif principal est d’assurer la stabilité du niveau général des prix donc, assurer la stabilité interne et externe de la monnaie nationale ;</w:t>
      </w:r>
    </w:p>
    <w:p w14:paraId="72062388" w14:textId="77777777" w:rsidR="001C2F95" w:rsidRPr="00982564" w:rsidRDefault="001C2F95" w:rsidP="002378EA">
      <w:pPr>
        <w:pStyle w:val="Paragraphedeliste"/>
        <w:numPr>
          <w:ilvl w:val="0"/>
          <w:numId w:val="45"/>
        </w:numPr>
        <w:rPr>
          <w:rFonts w:cs="Arial"/>
          <w:sz w:val="22"/>
        </w:rPr>
      </w:pPr>
      <w:r w:rsidRPr="00982564">
        <w:rPr>
          <w:rFonts w:cs="Arial"/>
          <w:sz w:val="22"/>
        </w:rPr>
        <w:t>Détenir et gérer les réserves officielles de la République ;</w:t>
      </w:r>
    </w:p>
    <w:p w14:paraId="708E196E" w14:textId="77777777" w:rsidR="001C2F95" w:rsidRPr="00982564" w:rsidRDefault="001C2F95" w:rsidP="002378EA">
      <w:pPr>
        <w:pStyle w:val="Paragraphedeliste"/>
        <w:numPr>
          <w:ilvl w:val="0"/>
          <w:numId w:val="45"/>
        </w:numPr>
        <w:rPr>
          <w:rFonts w:cs="Arial"/>
          <w:sz w:val="22"/>
        </w:rPr>
      </w:pPr>
      <w:r w:rsidRPr="00982564">
        <w:rPr>
          <w:rFonts w:cs="Arial"/>
          <w:sz w:val="22"/>
        </w:rPr>
        <w:t>Edicter les normes et règlements concernant les opérations sur les devises étrangères ;</w:t>
      </w:r>
    </w:p>
    <w:p w14:paraId="16728913" w14:textId="77777777" w:rsidR="001C2F95" w:rsidRPr="00982564" w:rsidRDefault="001C2F95" w:rsidP="002378EA">
      <w:pPr>
        <w:pStyle w:val="Paragraphedeliste"/>
        <w:numPr>
          <w:ilvl w:val="0"/>
          <w:numId w:val="45"/>
        </w:numPr>
        <w:rPr>
          <w:rFonts w:cs="Arial"/>
          <w:sz w:val="22"/>
        </w:rPr>
      </w:pPr>
      <w:r w:rsidRPr="00982564">
        <w:rPr>
          <w:rFonts w:cs="Arial"/>
          <w:sz w:val="22"/>
        </w:rPr>
        <w:t>Participer à la négociation de tout accord international comportant des modalités de paiement et en assurer l’exécution ;</w:t>
      </w:r>
    </w:p>
    <w:p w14:paraId="430157F9" w14:textId="77777777" w:rsidR="001C2F95" w:rsidRPr="00982564" w:rsidRDefault="001C2F95" w:rsidP="002378EA">
      <w:pPr>
        <w:pStyle w:val="Paragraphedeliste"/>
        <w:numPr>
          <w:ilvl w:val="0"/>
          <w:numId w:val="45"/>
        </w:numPr>
        <w:rPr>
          <w:rFonts w:cs="Arial"/>
          <w:sz w:val="22"/>
        </w:rPr>
      </w:pPr>
      <w:r w:rsidRPr="00982564">
        <w:rPr>
          <w:rFonts w:cs="Arial"/>
          <w:sz w:val="22"/>
        </w:rPr>
        <w:t>Elaborer la réglementation et contrôler les établissements de crédit, les institutions de micro</w:t>
      </w:r>
      <w:r w:rsidR="00715CC9">
        <w:rPr>
          <w:rFonts w:cs="Arial"/>
          <w:sz w:val="22"/>
        </w:rPr>
        <w:t xml:space="preserve"> </w:t>
      </w:r>
      <w:r w:rsidRPr="00982564">
        <w:rPr>
          <w:rFonts w:cs="Arial"/>
          <w:sz w:val="22"/>
        </w:rPr>
        <w:t>-</w:t>
      </w:r>
      <w:r w:rsidR="00715CC9">
        <w:rPr>
          <w:rFonts w:cs="Arial"/>
          <w:sz w:val="22"/>
        </w:rPr>
        <w:t xml:space="preserve"> </w:t>
      </w:r>
      <w:r w:rsidRPr="00982564">
        <w:rPr>
          <w:rFonts w:cs="Arial"/>
          <w:sz w:val="22"/>
        </w:rPr>
        <w:t>finance et les autres intermédiaires financiers ;</w:t>
      </w:r>
    </w:p>
    <w:p w14:paraId="2598BC88" w14:textId="77777777" w:rsidR="001C2F95" w:rsidRPr="00982564" w:rsidRDefault="001C2F95" w:rsidP="002378EA">
      <w:pPr>
        <w:pStyle w:val="Paragraphedeliste"/>
        <w:numPr>
          <w:ilvl w:val="0"/>
          <w:numId w:val="45"/>
        </w:numPr>
        <w:rPr>
          <w:rFonts w:cs="Arial"/>
          <w:sz w:val="22"/>
        </w:rPr>
      </w:pPr>
      <w:r w:rsidRPr="00982564">
        <w:rPr>
          <w:rFonts w:cs="Arial"/>
          <w:sz w:val="22"/>
        </w:rPr>
        <w:t>Promouvoir le bon fonctionnement des systèmes de compensation et de paiement ;</w:t>
      </w:r>
    </w:p>
    <w:p w14:paraId="6F857569" w14:textId="77777777" w:rsidR="001C2F95" w:rsidRPr="00982564" w:rsidRDefault="001C2F95" w:rsidP="002378EA">
      <w:pPr>
        <w:pStyle w:val="Paragraphedeliste"/>
        <w:numPr>
          <w:ilvl w:val="0"/>
          <w:numId w:val="45"/>
        </w:numPr>
        <w:rPr>
          <w:rFonts w:cs="Arial"/>
          <w:sz w:val="22"/>
        </w:rPr>
      </w:pPr>
      <w:r w:rsidRPr="00982564">
        <w:rPr>
          <w:rFonts w:cs="Arial"/>
          <w:sz w:val="22"/>
        </w:rPr>
        <w:t>Promouvoir le développement des marchés monétaires et des capitaux.</w:t>
      </w:r>
    </w:p>
    <w:p w14:paraId="6DF62C56" w14:textId="77777777" w:rsidR="001C2F95" w:rsidRPr="00982564" w:rsidRDefault="001C2F95" w:rsidP="001C2F95">
      <w:pPr>
        <w:jc w:val="left"/>
        <w:rPr>
          <w:rFonts w:cs="Arial"/>
          <w:sz w:val="22"/>
        </w:rPr>
      </w:pPr>
    </w:p>
    <w:p w14:paraId="180FCE5D" w14:textId="77777777" w:rsidR="001C2F95" w:rsidRPr="00982564" w:rsidRDefault="001C2F95" w:rsidP="001C2F95">
      <w:pPr>
        <w:spacing w:line="240" w:lineRule="auto"/>
        <w:rPr>
          <w:rFonts w:cs="Arial"/>
          <w:color w:val="323232"/>
          <w:sz w:val="22"/>
        </w:rPr>
      </w:pPr>
      <w:r w:rsidRPr="00982564">
        <w:rPr>
          <w:rFonts w:cs="Arial"/>
          <w:color w:val="323232"/>
          <w:sz w:val="22"/>
        </w:rPr>
        <w:t>Sans préjudice de l’objectif principal de stabilité du niveau général de prix, la BCC, accomplie toutes les missions d’une Banque Centrale, notamment :</w:t>
      </w:r>
    </w:p>
    <w:p w14:paraId="316C87A6" w14:textId="77777777" w:rsidR="001C2F95" w:rsidRPr="00982564" w:rsidRDefault="001C2F95" w:rsidP="001C2F95">
      <w:pPr>
        <w:spacing w:line="240" w:lineRule="auto"/>
        <w:jc w:val="left"/>
        <w:rPr>
          <w:rFonts w:cs="Arial"/>
          <w:color w:val="323232"/>
          <w:sz w:val="22"/>
        </w:rPr>
      </w:pPr>
    </w:p>
    <w:p w14:paraId="2B9CB82F" w14:textId="77777777" w:rsidR="001C2F95" w:rsidRPr="00982564" w:rsidRDefault="001C2F95" w:rsidP="002378EA">
      <w:pPr>
        <w:pStyle w:val="Paragraphedeliste"/>
        <w:numPr>
          <w:ilvl w:val="0"/>
          <w:numId w:val="45"/>
        </w:numPr>
        <w:rPr>
          <w:rFonts w:cs="Arial"/>
          <w:sz w:val="22"/>
        </w:rPr>
      </w:pPr>
      <w:r w:rsidRPr="00982564">
        <w:rPr>
          <w:rFonts w:cs="Arial"/>
          <w:sz w:val="22"/>
        </w:rPr>
        <w:t>Institut d’émission : la Banque Centrale est seule habilitée sur le territoire national, à émettre des billets et pièces de monnaie ayant cours légal, libellés dans l’unité monétaire de la RDC, le Franc Congolais ou dans ses sous-unités. Elle assure la stabilité interne et externe de monnaie nationale.</w:t>
      </w:r>
    </w:p>
    <w:p w14:paraId="3652A47D" w14:textId="77777777" w:rsidR="001C2F95" w:rsidRPr="00982564" w:rsidRDefault="001C2F95" w:rsidP="002378EA">
      <w:pPr>
        <w:pStyle w:val="Paragraphedeliste"/>
        <w:numPr>
          <w:ilvl w:val="0"/>
          <w:numId w:val="45"/>
        </w:numPr>
        <w:rPr>
          <w:rFonts w:cs="Arial"/>
          <w:sz w:val="22"/>
        </w:rPr>
      </w:pPr>
      <w:r w:rsidRPr="00982564">
        <w:rPr>
          <w:rFonts w:cs="Arial"/>
          <w:sz w:val="22"/>
        </w:rPr>
        <w:t>Banque des Banques : La BCC contrôle le système bancaire et la distribution du crédit par les institutions financières bancaires et non bancaires.</w:t>
      </w:r>
    </w:p>
    <w:p w14:paraId="1B7D18D8" w14:textId="77777777" w:rsidR="001C2F95" w:rsidRPr="00982564" w:rsidRDefault="001C2F95" w:rsidP="002378EA">
      <w:pPr>
        <w:pStyle w:val="Paragraphedeliste"/>
        <w:numPr>
          <w:ilvl w:val="0"/>
          <w:numId w:val="45"/>
        </w:numPr>
        <w:rPr>
          <w:rFonts w:cs="Arial"/>
          <w:sz w:val="22"/>
        </w:rPr>
      </w:pPr>
      <w:r w:rsidRPr="00982564">
        <w:rPr>
          <w:rFonts w:cs="Arial"/>
          <w:sz w:val="22"/>
        </w:rPr>
        <w:t>Caissier de l’Etat : suivant la convention du caissier de la République Démocratique du Congo, la BCC accepte et effectue les paiements pour le compte de l’Etat. Elle peut, à cette fin, désigner les Etablissements de crédit habilités à agir en son nom et pour compte dans les localités où elle n’est pas représentée. Elle assure le service de la dette publique et administre tout compte spécial de l’Etat, en accord avec le ministère intéressé. En sus, elle achète, vend, décaisse, transfère, perçoit ou détient pour compte de l’Etat tous chèques, lettres de change, valeurs mobilières et autres valeurs. Elle perçoit le produit, en principal et/ou intérêt, résultant de la vente de toute valeur pour compte de l’Etat ou revenant à l’Etat en sa qualité de détenteur de valeurs.</w:t>
      </w:r>
    </w:p>
    <w:p w14:paraId="292ECA3F" w14:textId="77777777" w:rsidR="001C2F95" w:rsidRPr="00982564" w:rsidRDefault="001C2F95" w:rsidP="002378EA">
      <w:pPr>
        <w:pStyle w:val="Paragraphedeliste"/>
        <w:numPr>
          <w:ilvl w:val="0"/>
          <w:numId w:val="45"/>
        </w:numPr>
        <w:rPr>
          <w:rFonts w:cs="Arial"/>
          <w:sz w:val="22"/>
        </w:rPr>
      </w:pPr>
      <w:r w:rsidRPr="00982564">
        <w:rPr>
          <w:rFonts w:cs="Arial"/>
          <w:sz w:val="22"/>
        </w:rPr>
        <w:t>Conseiller de l’Etat : en sa qualité de conseiller du gouvernement en matière économique, monétaire et financière ; la BCC peut d’office ou à la demande du gouvernement émettre des avis ou des conseils sur toute politique ou mesure que le gouvernement envisage de prendre.</w:t>
      </w:r>
    </w:p>
    <w:p w14:paraId="03119A13" w14:textId="77777777" w:rsidR="001C2F95" w:rsidRPr="00982564" w:rsidRDefault="001C2F95" w:rsidP="002378EA">
      <w:pPr>
        <w:pStyle w:val="Paragraphedeliste"/>
        <w:numPr>
          <w:ilvl w:val="0"/>
          <w:numId w:val="45"/>
        </w:numPr>
        <w:rPr>
          <w:rFonts w:cs="Arial"/>
          <w:sz w:val="22"/>
        </w:rPr>
      </w:pPr>
      <w:r w:rsidRPr="00982564">
        <w:rPr>
          <w:rFonts w:cs="Arial"/>
          <w:sz w:val="22"/>
        </w:rPr>
        <w:t>Gestionnaire des Réserves Officielles en Or et en Devises de la République : la BCC détient et gère les réserves en or et devises de la République Démocratique du Congo.</w:t>
      </w:r>
    </w:p>
    <w:p w14:paraId="55506D71" w14:textId="77777777" w:rsidR="001C2F95" w:rsidRPr="00982564" w:rsidRDefault="001C2F95" w:rsidP="002378EA">
      <w:pPr>
        <w:pStyle w:val="Paragraphedeliste"/>
        <w:numPr>
          <w:ilvl w:val="0"/>
          <w:numId w:val="45"/>
        </w:numPr>
        <w:rPr>
          <w:rFonts w:cs="Arial"/>
          <w:sz w:val="22"/>
        </w:rPr>
      </w:pPr>
      <w:r w:rsidRPr="00982564">
        <w:rPr>
          <w:rFonts w:cs="Arial"/>
          <w:sz w:val="22"/>
        </w:rPr>
        <w:t>Superviser des intermédiaires financiers : la BCC a, outre les missions précitées, la fonction d’élaborer la réglementation et de contrôler les établissements et de contrôler les établissements de crédit, les institutions de Micro Finance et les autres intermédiaires financiers.</w:t>
      </w:r>
    </w:p>
    <w:p w14:paraId="09837E25" w14:textId="77777777" w:rsidR="001C2F95" w:rsidRPr="00982564" w:rsidRDefault="001C2F95" w:rsidP="001C2F95">
      <w:pPr>
        <w:rPr>
          <w:rFonts w:cs="Arial"/>
          <w:sz w:val="22"/>
        </w:rPr>
      </w:pPr>
    </w:p>
    <w:p w14:paraId="148AFFC0" w14:textId="77777777" w:rsidR="001C2F95" w:rsidRPr="00982564" w:rsidRDefault="001C2F95" w:rsidP="001C2F95">
      <w:pPr>
        <w:rPr>
          <w:rFonts w:cs="Arial"/>
          <w:sz w:val="22"/>
        </w:rPr>
      </w:pPr>
      <w:r w:rsidRPr="00982564">
        <w:rPr>
          <w:rFonts w:cs="Arial"/>
          <w:sz w:val="22"/>
        </w:rPr>
        <w:t xml:space="preserve">Dans le cadre du PNDA, les provinces du Kwilu, </w:t>
      </w:r>
      <w:r w:rsidR="001977A4" w:rsidRPr="00982564">
        <w:rPr>
          <w:rFonts w:cs="Arial"/>
          <w:sz w:val="22"/>
        </w:rPr>
        <w:t>Kasaï</w:t>
      </w:r>
      <w:r w:rsidRPr="00982564">
        <w:rPr>
          <w:rFonts w:cs="Arial"/>
          <w:sz w:val="22"/>
        </w:rPr>
        <w:t xml:space="preserve"> </w:t>
      </w:r>
      <w:r w:rsidR="0065547D" w:rsidRPr="00982564">
        <w:rPr>
          <w:rFonts w:cs="Arial"/>
          <w:sz w:val="22"/>
        </w:rPr>
        <w:t>C</w:t>
      </w:r>
      <w:r w:rsidRPr="00982564">
        <w:rPr>
          <w:rFonts w:cs="Arial"/>
          <w:sz w:val="22"/>
        </w:rPr>
        <w:t>entral, et Nord-Kivu ont des directions provinciales notamment dans les villes de Bandundu, Goma, Kananga et les villes de Kikwit, Matadi ont des Agences autonomes.</w:t>
      </w:r>
    </w:p>
    <w:p w14:paraId="338225F8" w14:textId="77777777" w:rsidR="001C2F95" w:rsidRPr="00982564" w:rsidRDefault="001C2F95" w:rsidP="001C2F95">
      <w:pPr>
        <w:pStyle w:val="Titre2"/>
        <w:rPr>
          <w:rFonts w:cs="Arial"/>
          <w:b/>
          <w:i/>
          <w:sz w:val="22"/>
          <w:szCs w:val="22"/>
        </w:rPr>
      </w:pPr>
    </w:p>
    <w:p w14:paraId="22F75DEF" w14:textId="77777777" w:rsidR="001C2F95" w:rsidRPr="00982564" w:rsidRDefault="000B4ED9" w:rsidP="001C2F95">
      <w:pPr>
        <w:pStyle w:val="Titre2"/>
        <w:rPr>
          <w:rFonts w:cs="Arial"/>
          <w:i/>
          <w:sz w:val="22"/>
          <w:szCs w:val="22"/>
        </w:rPr>
      </w:pPr>
      <w:bookmarkStart w:id="335" w:name="_Toc64026159"/>
      <w:bookmarkStart w:id="336" w:name="_Toc70327026"/>
      <w:bookmarkStart w:id="337" w:name="_Toc70330389"/>
      <w:r w:rsidRPr="00982564">
        <w:rPr>
          <w:rFonts w:cs="Arial"/>
          <w:i/>
          <w:sz w:val="22"/>
          <w:szCs w:val="22"/>
        </w:rPr>
        <w:t>EQUITY</w:t>
      </w:r>
      <w:bookmarkEnd w:id="335"/>
      <w:r w:rsidR="003B119C" w:rsidRPr="003B119C">
        <w:rPr>
          <w:rFonts w:cs="Arial"/>
          <w:i/>
          <w:sz w:val="22"/>
          <w:szCs w:val="22"/>
        </w:rPr>
        <w:t xml:space="preserve"> </w:t>
      </w:r>
      <w:r w:rsidR="003B119C">
        <w:rPr>
          <w:rFonts w:cs="Arial"/>
          <w:i/>
          <w:sz w:val="22"/>
          <w:szCs w:val="22"/>
        </w:rPr>
        <w:t>BCDC</w:t>
      </w:r>
      <w:bookmarkEnd w:id="336"/>
      <w:bookmarkEnd w:id="337"/>
    </w:p>
    <w:p w14:paraId="06DB4E34" w14:textId="77777777" w:rsidR="001C2F95" w:rsidRPr="00982564" w:rsidRDefault="001C2F95" w:rsidP="001C2F95">
      <w:pPr>
        <w:autoSpaceDE w:val="0"/>
        <w:autoSpaceDN w:val="0"/>
        <w:adjustRightInd w:val="0"/>
        <w:rPr>
          <w:rFonts w:eastAsia="Calibri" w:cs="Arial"/>
          <w:color w:val="000000"/>
          <w:sz w:val="22"/>
        </w:rPr>
      </w:pPr>
    </w:p>
    <w:p w14:paraId="2653D318" w14:textId="77777777" w:rsidR="00EE2129" w:rsidRPr="00EE2129" w:rsidRDefault="00EE2129" w:rsidP="001C2F95">
      <w:pPr>
        <w:rPr>
          <w:rFonts w:cs="Arial"/>
          <w:sz w:val="22"/>
        </w:rPr>
      </w:pPr>
      <w:r w:rsidRPr="00EE2129">
        <w:rPr>
          <w:rFonts w:cs="Arial"/>
          <w:sz w:val="22"/>
        </w:rPr>
        <w:t xml:space="preserve">La Banque commerciale du Congo (BCDC) est une des premières banques de la </w:t>
      </w:r>
      <w:hyperlink r:id="rId87" w:tooltip="République démocratique du Congo" w:history="1">
        <w:r w:rsidRPr="00EE2129">
          <w:rPr>
            <w:rFonts w:cs="Arial"/>
            <w:sz w:val="22"/>
          </w:rPr>
          <w:t>République démocratique du Congo</w:t>
        </w:r>
      </w:hyperlink>
      <w:r w:rsidRPr="00EE2129">
        <w:rPr>
          <w:rFonts w:cs="Arial"/>
          <w:sz w:val="22"/>
        </w:rPr>
        <w:t xml:space="preserve">. Fondée en </w:t>
      </w:r>
      <w:hyperlink r:id="rId88" w:tooltip="1909" w:history="1">
        <w:r w:rsidRPr="00EE2129">
          <w:rPr>
            <w:rFonts w:cs="Arial"/>
            <w:sz w:val="22"/>
          </w:rPr>
          <w:t>1909</w:t>
        </w:r>
      </w:hyperlink>
      <w:r w:rsidRPr="00EE2129">
        <w:rPr>
          <w:rFonts w:cs="Arial"/>
          <w:sz w:val="22"/>
        </w:rPr>
        <w:t xml:space="preserve">, </w:t>
      </w:r>
      <w:r w:rsidR="00623A52">
        <w:rPr>
          <w:rFonts w:cs="Arial"/>
          <w:sz w:val="22"/>
        </w:rPr>
        <w:t>elle est</w:t>
      </w:r>
      <w:r w:rsidRPr="00EE2129">
        <w:rPr>
          <w:rFonts w:cs="Arial"/>
          <w:sz w:val="22"/>
        </w:rPr>
        <w:t xml:space="preserve"> l'une des banques les plus importantes et actives de la </w:t>
      </w:r>
      <w:hyperlink r:id="rId89" w:tooltip="République démocratique du Congo" w:history="1">
        <w:r w:rsidRPr="00EE2129">
          <w:rPr>
            <w:rFonts w:cs="Arial"/>
            <w:sz w:val="22"/>
          </w:rPr>
          <w:t>RDC</w:t>
        </w:r>
      </w:hyperlink>
      <w:r w:rsidRPr="00EE2129">
        <w:rPr>
          <w:rFonts w:cs="Arial"/>
          <w:sz w:val="22"/>
        </w:rPr>
        <w:t xml:space="preserve">. Sa clientèle englobe des particuliers, des petites et moyennes entreprises, des grandes sociétés ainsi que des organismes gouvernementaux. Hormis les services bancaires de base, la BCDC propose de nombreux autres services, tels que la </w:t>
      </w:r>
      <w:hyperlink r:id="rId90" w:tooltip="Banque électronique" w:history="1">
        <w:r w:rsidRPr="00EE2129">
          <w:rPr>
            <w:rFonts w:cs="Arial"/>
            <w:sz w:val="22"/>
          </w:rPr>
          <w:t>banque électronique</w:t>
        </w:r>
      </w:hyperlink>
      <w:r w:rsidRPr="00EE2129">
        <w:rPr>
          <w:rFonts w:cs="Arial"/>
          <w:sz w:val="22"/>
        </w:rPr>
        <w:t xml:space="preserve">, </w:t>
      </w:r>
      <w:hyperlink r:id="rId91" w:tooltip="Western Union" w:history="1">
        <w:r w:rsidRPr="00EE2129">
          <w:rPr>
            <w:rFonts w:cs="Arial"/>
            <w:sz w:val="22"/>
          </w:rPr>
          <w:t>Western Union</w:t>
        </w:r>
      </w:hyperlink>
      <w:r w:rsidRPr="00EE2129">
        <w:rPr>
          <w:rFonts w:cs="Arial"/>
          <w:sz w:val="22"/>
        </w:rPr>
        <w:t xml:space="preserve">, </w:t>
      </w:r>
      <w:hyperlink r:id="rId92" w:tooltip="MasterCard (carte bancaire)" w:history="1">
        <w:r w:rsidRPr="00EE2129">
          <w:rPr>
            <w:rFonts w:cs="Arial"/>
            <w:sz w:val="22"/>
          </w:rPr>
          <w:t>MasterCard</w:t>
        </w:r>
      </w:hyperlink>
      <w:r w:rsidRPr="00EE2129">
        <w:rPr>
          <w:rFonts w:cs="Arial"/>
          <w:sz w:val="22"/>
        </w:rPr>
        <w:t xml:space="preserve">. </w:t>
      </w:r>
    </w:p>
    <w:p w14:paraId="78D60E04" w14:textId="77777777" w:rsidR="00EE2129" w:rsidRDefault="00EE2129" w:rsidP="001C2F95"/>
    <w:p w14:paraId="46E4A88A" w14:textId="77777777" w:rsidR="00623A52" w:rsidRDefault="001C2F95" w:rsidP="00623A52">
      <w:pPr>
        <w:rPr>
          <w:rFonts w:cs="Arial"/>
          <w:sz w:val="22"/>
        </w:rPr>
      </w:pPr>
      <w:r w:rsidRPr="00623A52">
        <w:rPr>
          <w:rFonts w:cs="Arial"/>
          <w:sz w:val="22"/>
        </w:rPr>
        <w:t xml:space="preserve">Equity Bank Congo SA opère en RDC depuis 2005 (jusqu'à Septembre 2015). Elle est une banque commerciale de la République démocratique du Congo. </w:t>
      </w:r>
      <w:r w:rsidR="00623A52" w:rsidRPr="00982564">
        <w:rPr>
          <w:rFonts w:cs="Arial"/>
          <w:sz w:val="22"/>
        </w:rPr>
        <w:t xml:space="preserve">Son objectif est de faciliter l'accès aux services bancaires à tous, et de financer les petites, moyennes et grandes entreprises congolaises. Elle propose une gamme complète de services innovants et adaptés. </w:t>
      </w:r>
    </w:p>
    <w:p w14:paraId="4D227DFD" w14:textId="77777777" w:rsidR="00666C52" w:rsidRDefault="00666C52" w:rsidP="00623A52"/>
    <w:p w14:paraId="3F48342B" w14:textId="77777777" w:rsidR="001C2F95" w:rsidRPr="00982564" w:rsidRDefault="00623A52" w:rsidP="001C2F95">
      <w:pPr>
        <w:rPr>
          <w:rFonts w:cs="Arial"/>
          <w:sz w:val="22"/>
        </w:rPr>
      </w:pPr>
      <w:r>
        <w:t>À la suite de</w:t>
      </w:r>
      <w:r w:rsidR="00666C52">
        <w:t xml:space="preserve"> la fusion, la nouvelle banque EQUITY BCDC devient la deuxième plus grande banque de la République Démocratique du Congo. le 30 décembre 2020 : Equity Group holdings Plc, en sigle EGH, a reçu l'approbation de la Banque Centrale du Congo pour la fusion des deux filiales Equity Bank Congo en sigle EBC et la Banque Commerciale du Congo en sigle BCDC, en une seule entité. La nouvelle banque </w:t>
      </w:r>
      <w:r>
        <w:t>est</w:t>
      </w:r>
      <w:r w:rsidR="00666C52">
        <w:t xml:space="preserve"> connue sous le nom de EQUITY BANQUE COMMERCIALE DU CONGO S.A. (en sigle EQUITY BCDC). </w:t>
      </w:r>
      <w:r w:rsidR="00DE605B">
        <w:rPr>
          <w:rFonts w:cs="Arial"/>
          <w:sz w:val="22"/>
        </w:rPr>
        <w:t>Avec cette fusion, l’institution va</w:t>
      </w:r>
      <w:r w:rsidR="001C2F95" w:rsidRPr="00982564">
        <w:rPr>
          <w:rFonts w:cs="Arial"/>
          <w:sz w:val="22"/>
        </w:rPr>
        <w:t xml:space="preserve"> </w:t>
      </w:r>
      <w:r w:rsidR="00DE605B" w:rsidRPr="00982564">
        <w:rPr>
          <w:rFonts w:cs="Arial"/>
          <w:sz w:val="22"/>
        </w:rPr>
        <w:t>op</w:t>
      </w:r>
      <w:r w:rsidR="00DE605B">
        <w:rPr>
          <w:rFonts w:cs="Arial"/>
          <w:sz w:val="22"/>
        </w:rPr>
        <w:t>érer</w:t>
      </w:r>
      <w:r w:rsidR="001C2F95" w:rsidRPr="00982564">
        <w:rPr>
          <w:rFonts w:cs="Arial"/>
          <w:sz w:val="22"/>
        </w:rPr>
        <w:t xml:space="preserve"> dans </w:t>
      </w:r>
      <w:r w:rsidR="00DE605B">
        <w:rPr>
          <w:rFonts w:cs="Arial"/>
          <w:sz w:val="22"/>
        </w:rPr>
        <w:t>toutes les</w:t>
      </w:r>
      <w:r w:rsidR="001C2F95" w:rsidRPr="00982564">
        <w:rPr>
          <w:rFonts w:cs="Arial"/>
          <w:sz w:val="22"/>
        </w:rPr>
        <w:t xml:space="preserve"> provinces concernées par le PNDA. </w:t>
      </w:r>
      <w:r w:rsidR="00DE605B">
        <w:rPr>
          <w:rFonts w:cs="Arial"/>
          <w:sz w:val="22"/>
        </w:rPr>
        <w:t xml:space="preserve"> </w:t>
      </w:r>
    </w:p>
    <w:p w14:paraId="5006269E" w14:textId="77777777" w:rsidR="001C2F95" w:rsidRPr="00982564" w:rsidRDefault="001C2F95" w:rsidP="001C2F95">
      <w:pPr>
        <w:rPr>
          <w:rFonts w:cs="Arial"/>
          <w:sz w:val="22"/>
        </w:rPr>
      </w:pPr>
    </w:p>
    <w:p w14:paraId="170462CD" w14:textId="77777777" w:rsidR="001C2F95" w:rsidRPr="00982564" w:rsidRDefault="001C2F95" w:rsidP="001C2F95">
      <w:pPr>
        <w:pStyle w:val="Titre2"/>
        <w:rPr>
          <w:rFonts w:cs="Arial"/>
          <w:i/>
          <w:sz w:val="22"/>
          <w:szCs w:val="22"/>
        </w:rPr>
      </w:pPr>
      <w:bookmarkStart w:id="338" w:name="_Toc64026160"/>
      <w:bookmarkStart w:id="339" w:name="_Toc70327027"/>
      <w:bookmarkStart w:id="340" w:name="_Toc70330390"/>
      <w:r w:rsidRPr="00982564">
        <w:rPr>
          <w:rFonts w:cs="Arial"/>
          <w:i/>
          <w:sz w:val="22"/>
          <w:szCs w:val="22"/>
        </w:rPr>
        <w:t>RAWBANK SARL</w:t>
      </w:r>
      <w:bookmarkEnd w:id="338"/>
      <w:bookmarkEnd w:id="339"/>
      <w:bookmarkEnd w:id="340"/>
    </w:p>
    <w:p w14:paraId="1E4F1F6D" w14:textId="77777777" w:rsidR="001C2F95" w:rsidRPr="00982564" w:rsidRDefault="001C2F95" w:rsidP="001C2F95">
      <w:pPr>
        <w:spacing w:line="240" w:lineRule="auto"/>
        <w:rPr>
          <w:rFonts w:cs="Arial"/>
          <w:b/>
          <w:bCs/>
          <w:color w:val="202122"/>
          <w:sz w:val="22"/>
        </w:rPr>
      </w:pPr>
    </w:p>
    <w:p w14:paraId="5C7560FA" w14:textId="77777777" w:rsidR="001C2F95" w:rsidRPr="00982564" w:rsidRDefault="001C2F95" w:rsidP="001C2F95">
      <w:pPr>
        <w:rPr>
          <w:rFonts w:cs="Arial"/>
          <w:sz w:val="22"/>
        </w:rPr>
      </w:pPr>
      <w:r w:rsidRPr="00982564">
        <w:rPr>
          <w:rFonts w:cs="Arial"/>
          <w:sz w:val="22"/>
        </w:rPr>
        <w:t>R</w:t>
      </w:r>
      <w:r w:rsidR="003B119C" w:rsidRPr="00982564">
        <w:rPr>
          <w:rFonts w:cs="Arial"/>
          <w:sz w:val="22"/>
        </w:rPr>
        <w:t xml:space="preserve">AWBANK </w:t>
      </w:r>
      <w:r w:rsidRPr="00982564">
        <w:rPr>
          <w:rFonts w:cs="Arial"/>
          <w:sz w:val="22"/>
        </w:rPr>
        <w:t xml:space="preserve">est une </w:t>
      </w:r>
      <w:hyperlink r:id="rId93" w:tooltip="Banque" w:history="1">
        <w:r w:rsidRPr="00982564">
          <w:rPr>
            <w:rFonts w:cs="Arial"/>
            <w:sz w:val="22"/>
          </w:rPr>
          <w:t>banque</w:t>
        </w:r>
      </w:hyperlink>
      <w:r w:rsidRPr="00982564">
        <w:rPr>
          <w:rFonts w:cs="Arial"/>
          <w:sz w:val="22"/>
        </w:rPr>
        <w:t xml:space="preserve"> commerciale de la </w:t>
      </w:r>
      <w:hyperlink r:id="rId94" w:tooltip="République démocratique du Congo" w:history="1">
        <w:r w:rsidRPr="00982564">
          <w:rPr>
            <w:rFonts w:cs="Arial"/>
            <w:sz w:val="22"/>
          </w:rPr>
          <w:t>République démocratique du Congo</w:t>
        </w:r>
      </w:hyperlink>
      <w:r w:rsidRPr="00982564">
        <w:rPr>
          <w:rFonts w:cs="Arial"/>
          <w:sz w:val="22"/>
        </w:rPr>
        <w:t xml:space="preserve">, qui occupe une place significative dans le secteur bancaire congolais par son total actif, son total des dépôts et son total des crédits. Elle a été créée en 2002 et a son siège social à </w:t>
      </w:r>
      <w:hyperlink r:id="rId95" w:tooltip="Kinshasa" w:history="1">
        <w:r w:rsidRPr="00982564">
          <w:rPr>
            <w:rFonts w:cs="Arial"/>
            <w:sz w:val="22"/>
          </w:rPr>
          <w:t>Kinshasa</w:t>
        </w:r>
      </w:hyperlink>
      <w:r w:rsidRPr="00982564">
        <w:rPr>
          <w:rFonts w:cs="Arial"/>
          <w:sz w:val="22"/>
        </w:rPr>
        <w:t>.</w:t>
      </w:r>
    </w:p>
    <w:p w14:paraId="1E16427F" w14:textId="77777777" w:rsidR="001C2F95" w:rsidRPr="00982564" w:rsidRDefault="001C2F95" w:rsidP="001C2F95">
      <w:pPr>
        <w:spacing w:line="240" w:lineRule="auto"/>
        <w:rPr>
          <w:rFonts w:cs="Arial"/>
          <w:color w:val="000000"/>
          <w:sz w:val="22"/>
        </w:rPr>
      </w:pPr>
    </w:p>
    <w:p w14:paraId="5701B649" w14:textId="77777777" w:rsidR="001C2F95" w:rsidRPr="00982564" w:rsidRDefault="001C2F95" w:rsidP="001C2F95">
      <w:pPr>
        <w:spacing w:line="240" w:lineRule="auto"/>
        <w:rPr>
          <w:rFonts w:cs="Arial"/>
          <w:color w:val="000000"/>
          <w:sz w:val="22"/>
        </w:rPr>
      </w:pPr>
      <w:r w:rsidRPr="00982564">
        <w:rPr>
          <w:rFonts w:cs="Arial"/>
          <w:color w:val="000000"/>
          <w:sz w:val="22"/>
        </w:rPr>
        <w:t xml:space="preserve">La </w:t>
      </w:r>
      <w:r w:rsidR="003B119C" w:rsidRPr="00982564">
        <w:rPr>
          <w:rFonts w:cs="Arial"/>
          <w:color w:val="000000"/>
          <w:sz w:val="22"/>
        </w:rPr>
        <w:t>RAWBANK</w:t>
      </w:r>
      <w:r w:rsidRPr="00982564">
        <w:rPr>
          <w:rFonts w:cs="Arial"/>
          <w:color w:val="000000"/>
          <w:sz w:val="22"/>
        </w:rPr>
        <w:t xml:space="preserve"> a comme objectif :</w:t>
      </w:r>
    </w:p>
    <w:p w14:paraId="77BAF88A" w14:textId="77777777" w:rsidR="001C2F95" w:rsidRPr="00982564" w:rsidRDefault="001C2F95" w:rsidP="001C2F95">
      <w:pPr>
        <w:spacing w:line="240" w:lineRule="auto"/>
        <w:rPr>
          <w:rFonts w:cs="Arial"/>
          <w:color w:val="000000"/>
          <w:sz w:val="22"/>
        </w:rPr>
      </w:pPr>
    </w:p>
    <w:p w14:paraId="5ADDC728" w14:textId="77777777" w:rsidR="001C2F95" w:rsidRPr="00982564" w:rsidRDefault="001C2F95" w:rsidP="002378EA">
      <w:pPr>
        <w:pStyle w:val="Paragraphedeliste"/>
        <w:numPr>
          <w:ilvl w:val="0"/>
          <w:numId w:val="45"/>
        </w:numPr>
        <w:rPr>
          <w:rFonts w:cs="Arial"/>
          <w:sz w:val="22"/>
        </w:rPr>
      </w:pPr>
      <w:r w:rsidRPr="00982564">
        <w:rPr>
          <w:rFonts w:cs="Arial"/>
          <w:sz w:val="22"/>
        </w:rPr>
        <w:t>Le placement, l'achat, la gestion, la garde et la vente des valeurs mobilières et de tout actif financier ;</w:t>
      </w:r>
    </w:p>
    <w:p w14:paraId="092E41A5" w14:textId="77777777" w:rsidR="001C2F95" w:rsidRPr="00982564" w:rsidRDefault="001C2F95" w:rsidP="002378EA">
      <w:pPr>
        <w:pStyle w:val="Paragraphedeliste"/>
        <w:numPr>
          <w:ilvl w:val="0"/>
          <w:numId w:val="45"/>
        </w:numPr>
        <w:rPr>
          <w:rFonts w:cs="Arial"/>
          <w:sz w:val="22"/>
        </w:rPr>
      </w:pPr>
      <w:r w:rsidRPr="00982564">
        <w:rPr>
          <w:rFonts w:cs="Arial"/>
          <w:sz w:val="22"/>
        </w:rPr>
        <w:t>D'effectuer toutes les opérations de banque, bourse, de financement de trésorerie, de commission ainsi que toutes les opérations sur or métaux précieux ;</w:t>
      </w:r>
    </w:p>
    <w:p w14:paraId="4E9910EF" w14:textId="77777777" w:rsidR="001C2F95" w:rsidRPr="00982564" w:rsidRDefault="001C2F95" w:rsidP="002378EA">
      <w:pPr>
        <w:pStyle w:val="Paragraphedeliste"/>
        <w:numPr>
          <w:ilvl w:val="0"/>
          <w:numId w:val="45"/>
        </w:numPr>
        <w:rPr>
          <w:rFonts w:cs="Arial"/>
          <w:sz w:val="22"/>
        </w:rPr>
      </w:pPr>
      <w:r w:rsidRPr="00982564">
        <w:rPr>
          <w:rFonts w:cs="Arial"/>
          <w:sz w:val="22"/>
        </w:rPr>
        <w:t>Le conseil et l'assistance en matière de gestion financière ainsi que tous services destinés à faciliter la création et le développement des entreprises.</w:t>
      </w:r>
    </w:p>
    <w:p w14:paraId="612B914A" w14:textId="77777777" w:rsidR="001C2F95" w:rsidRPr="00982564" w:rsidRDefault="001C2F95" w:rsidP="002378EA">
      <w:pPr>
        <w:pStyle w:val="Paragraphedeliste"/>
        <w:numPr>
          <w:ilvl w:val="0"/>
          <w:numId w:val="45"/>
        </w:numPr>
        <w:rPr>
          <w:rFonts w:cs="Arial"/>
          <w:sz w:val="22"/>
        </w:rPr>
      </w:pPr>
      <w:r w:rsidRPr="00982564">
        <w:rPr>
          <w:rFonts w:cs="Arial"/>
          <w:sz w:val="22"/>
        </w:rPr>
        <w:t>La représentation de titres de commissionnaires, du mandataire ou l'agent, de toutes personnes physiques ou morales ;</w:t>
      </w:r>
    </w:p>
    <w:p w14:paraId="5F71B65F" w14:textId="77777777" w:rsidR="001C2F95" w:rsidRPr="00982564" w:rsidRDefault="001C2F95" w:rsidP="002378EA">
      <w:pPr>
        <w:pStyle w:val="Paragraphedeliste"/>
        <w:numPr>
          <w:ilvl w:val="0"/>
          <w:numId w:val="45"/>
        </w:numPr>
        <w:rPr>
          <w:rFonts w:cs="Arial"/>
          <w:sz w:val="22"/>
        </w:rPr>
      </w:pPr>
      <w:r w:rsidRPr="00982564">
        <w:rPr>
          <w:rFonts w:cs="Arial"/>
          <w:sz w:val="22"/>
        </w:rPr>
        <w:t>Effectuer toute action ou toute opération pour tiers ;</w:t>
      </w:r>
    </w:p>
    <w:p w14:paraId="286E4955" w14:textId="77777777" w:rsidR="001C2F95" w:rsidRPr="00982564" w:rsidRDefault="001C2F95" w:rsidP="002378EA">
      <w:pPr>
        <w:pStyle w:val="Paragraphedeliste"/>
        <w:numPr>
          <w:ilvl w:val="0"/>
          <w:numId w:val="45"/>
        </w:numPr>
        <w:rPr>
          <w:rFonts w:cs="Arial"/>
          <w:sz w:val="22"/>
        </w:rPr>
      </w:pPr>
      <w:r w:rsidRPr="00982564">
        <w:rPr>
          <w:rFonts w:cs="Arial"/>
          <w:sz w:val="22"/>
        </w:rPr>
        <w:t>Acquisition, construction ou location de tout immeuble utile à son fonctionnement, et à la réalisation de son objet social ou bien-être de son personnel ;</w:t>
      </w:r>
    </w:p>
    <w:p w14:paraId="2A000E28" w14:textId="77777777" w:rsidR="001C2F95" w:rsidRPr="00982564" w:rsidRDefault="001C2F95" w:rsidP="002378EA">
      <w:pPr>
        <w:pStyle w:val="Paragraphedeliste"/>
        <w:numPr>
          <w:ilvl w:val="0"/>
          <w:numId w:val="45"/>
        </w:numPr>
        <w:rPr>
          <w:rFonts w:cs="Arial"/>
          <w:sz w:val="22"/>
        </w:rPr>
      </w:pPr>
      <w:r w:rsidRPr="00982564">
        <w:rPr>
          <w:rFonts w:cs="Arial"/>
          <w:sz w:val="22"/>
        </w:rPr>
        <w:t>La participation par voie de création des sociétés nouvelles, de souscription ou l'achat des titres ou droit sociaux, de fusion, de prise de location gérance ou autrement.</w:t>
      </w:r>
    </w:p>
    <w:p w14:paraId="5F2BEAEC" w14:textId="77777777" w:rsidR="001C2F95" w:rsidRPr="00982564" w:rsidRDefault="001C2F95" w:rsidP="001C2F95">
      <w:pPr>
        <w:rPr>
          <w:rFonts w:cs="Arial"/>
          <w:color w:val="4D5156"/>
          <w:sz w:val="22"/>
          <w:shd w:val="clear" w:color="auto" w:fill="FFFFFF"/>
        </w:rPr>
      </w:pPr>
    </w:p>
    <w:p w14:paraId="32E04A22" w14:textId="77777777" w:rsidR="001C2F95" w:rsidRPr="009A7F3A" w:rsidRDefault="001C2F95" w:rsidP="001C2F95">
      <w:pPr>
        <w:rPr>
          <w:rFonts w:cs="Arial"/>
          <w:sz w:val="22"/>
        </w:rPr>
      </w:pPr>
      <w:r w:rsidRPr="009A7F3A">
        <w:rPr>
          <w:rFonts w:cs="Arial"/>
          <w:sz w:val="22"/>
        </w:rPr>
        <w:t>La RAWBANK focalise son activité sur les gros importateurs ainsi que les exportateurs « soft ou hard commodités » ; elle est également résolue à soutenir activement les entreprises publiques dans leurs transactions avec l'étranger et à favoriser les opérations financières des organismes internationaux, des organisations non gouvernementales. En dehors de la ville de Kinshasa, la RAWBANK a aussi ses directions provinciales dans les provinces concernées par le PNDA notamment</w:t>
      </w:r>
      <w:r w:rsidR="00DE605B" w:rsidRPr="009A7F3A">
        <w:rPr>
          <w:rFonts w:cs="Arial"/>
          <w:sz w:val="22"/>
        </w:rPr>
        <w:t> : les provinces de</w:t>
      </w:r>
      <w:r w:rsidRPr="009A7F3A">
        <w:rPr>
          <w:rFonts w:cs="Arial"/>
          <w:sz w:val="22"/>
        </w:rPr>
        <w:t xml:space="preserve"> Kwilu, </w:t>
      </w:r>
      <w:r w:rsidR="00DE605B" w:rsidRPr="009A7F3A">
        <w:rPr>
          <w:rFonts w:cs="Arial"/>
          <w:sz w:val="22"/>
        </w:rPr>
        <w:t>Kongo central,</w:t>
      </w:r>
      <w:r w:rsidRPr="009A7F3A">
        <w:rPr>
          <w:rFonts w:cs="Arial"/>
          <w:sz w:val="22"/>
        </w:rPr>
        <w:t xml:space="preserve"> </w:t>
      </w:r>
      <w:r w:rsidR="001977A4" w:rsidRPr="009A7F3A">
        <w:rPr>
          <w:rFonts w:cs="Arial"/>
          <w:sz w:val="22"/>
        </w:rPr>
        <w:t>Kasaï</w:t>
      </w:r>
      <w:r w:rsidRPr="009A7F3A">
        <w:rPr>
          <w:rFonts w:cs="Arial"/>
          <w:sz w:val="22"/>
        </w:rPr>
        <w:t xml:space="preserve"> central</w:t>
      </w:r>
      <w:r w:rsidR="00DE605B" w:rsidRPr="009A7F3A">
        <w:rPr>
          <w:rFonts w:cs="Arial"/>
          <w:sz w:val="22"/>
        </w:rPr>
        <w:t xml:space="preserve">, </w:t>
      </w:r>
      <w:r w:rsidR="001977A4" w:rsidRPr="009A7F3A">
        <w:rPr>
          <w:rFonts w:cs="Arial"/>
          <w:sz w:val="22"/>
        </w:rPr>
        <w:t>Kasaï</w:t>
      </w:r>
      <w:r w:rsidRPr="009A7F3A">
        <w:rPr>
          <w:rFonts w:cs="Arial"/>
          <w:sz w:val="22"/>
        </w:rPr>
        <w:t xml:space="preserve"> </w:t>
      </w:r>
      <w:r w:rsidR="00DE605B" w:rsidRPr="009A7F3A">
        <w:rPr>
          <w:rFonts w:cs="Arial"/>
          <w:sz w:val="22"/>
        </w:rPr>
        <w:t>et</w:t>
      </w:r>
      <w:r w:rsidRPr="009A7F3A">
        <w:rPr>
          <w:rFonts w:cs="Arial"/>
          <w:sz w:val="22"/>
        </w:rPr>
        <w:t xml:space="preserve"> le Nord-Kivu.</w:t>
      </w:r>
    </w:p>
    <w:p w14:paraId="6188D17E" w14:textId="77777777" w:rsidR="001C2F95" w:rsidRPr="009A7F3A" w:rsidRDefault="001C2F95" w:rsidP="001C2F95">
      <w:pPr>
        <w:rPr>
          <w:rFonts w:cs="Arial"/>
          <w:sz w:val="22"/>
        </w:rPr>
      </w:pPr>
    </w:p>
    <w:p w14:paraId="58D9B221" w14:textId="77777777" w:rsidR="001C2F95" w:rsidRPr="009A7F3A" w:rsidRDefault="001C2F95" w:rsidP="001C2F95">
      <w:pPr>
        <w:rPr>
          <w:rFonts w:cs="Arial"/>
          <w:sz w:val="22"/>
        </w:rPr>
      </w:pPr>
      <w:r w:rsidRPr="009A7F3A">
        <w:rPr>
          <w:rFonts w:cs="Arial"/>
          <w:sz w:val="22"/>
        </w:rPr>
        <w:t xml:space="preserve">Toutes ces trois banques peuvent jouer le </w:t>
      </w:r>
      <w:r w:rsidR="0065547D" w:rsidRPr="009A7F3A">
        <w:rPr>
          <w:rFonts w:cs="Arial"/>
          <w:sz w:val="22"/>
        </w:rPr>
        <w:t>rôle</w:t>
      </w:r>
      <w:r w:rsidRPr="009A7F3A">
        <w:rPr>
          <w:rFonts w:cs="Arial"/>
          <w:sz w:val="22"/>
        </w:rPr>
        <w:t xml:space="preserve"> des </w:t>
      </w:r>
      <w:r w:rsidR="0065547D" w:rsidRPr="009A7F3A">
        <w:rPr>
          <w:rFonts w:cs="Arial"/>
          <w:sz w:val="22"/>
        </w:rPr>
        <w:t>intermédiaires</w:t>
      </w:r>
      <w:r w:rsidRPr="009A7F3A">
        <w:rPr>
          <w:rFonts w:cs="Arial"/>
          <w:sz w:val="22"/>
        </w:rPr>
        <w:t xml:space="preserve"> financiers pour financer les activités des petits </w:t>
      </w:r>
      <w:r w:rsidR="0065547D" w:rsidRPr="009A7F3A">
        <w:rPr>
          <w:rFonts w:cs="Arial"/>
          <w:sz w:val="22"/>
        </w:rPr>
        <w:t>exploitants</w:t>
      </w:r>
      <w:r w:rsidRPr="009A7F3A">
        <w:rPr>
          <w:rFonts w:cs="Arial"/>
          <w:sz w:val="22"/>
        </w:rPr>
        <w:t xml:space="preserve"> agricoles dans le cadre du PNDA conformément à la Norme n°9.</w:t>
      </w:r>
    </w:p>
    <w:p w14:paraId="32937049" w14:textId="77777777" w:rsidR="001C2F95" w:rsidRPr="00982564" w:rsidRDefault="001C2F95" w:rsidP="001C2F95">
      <w:pPr>
        <w:rPr>
          <w:rFonts w:cs="Arial"/>
          <w:sz w:val="22"/>
        </w:rPr>
      </w:pPr>
    </w:p>
    <w:p w14:paraId="5D476142" w14:textId="77777777" w:rsidR="001C2F95" w:rsidRPr="00982564" w:rsidRDefault="001C2F95" w:rsidP="001C2F95">
      <w:pPr>
        <w:rPr>
          <w:rFonts w:cs="Arial"/>
          <w:i/>
          <w:sz w:val="22"/>
        </w:rPr>
      </w:pPr>
      <w:r w:rsidRPr="00982564">
        <w:rPr>
          <w:rFonts w:cs="Arial"/>
          <w:i/>
          <w:sz w:val="22"/>
        </w:rPr>
        <w:t>Associations des producteurs/productrices et coop</w:t>
      </w:r>
      <w:r w:rsidR="0065547D" w:rsidRPr="00982564">
        <w:rPr>
          <w:rFonts w:cs="Arial"/>
          <w:i/>
          <w:sz w:val="22"/>
        </w:rPr>
        <w:t>é</w:t>
      </w:r>
      <w:r w:rsidRPr="00982564">
        <w:rPr>
          <w:rFonts w:cs="Arial"/>
          <w:i/>
          <w:sz w:val="22"/>
        </w:rPr>
        <w:t xml:space="preserve">ratives agricoles </w:t>
      </w:r>
    </w:p>
    <w:p w14:paraId="166AF86C" w14:textId="77777777" w:rsidR="001C2F95" w:rsidRPr="00982564" w:rsidRDefault="001C2F95" w:rsidP="001C2F95">
      <w:pPr>
        <w:rPr>
          <w:rFonts w:cs="Arial"/>
          <w:color w:val="4D5156"/>
          <w:sz w:val="22"/>
          <w:shd w:val="clear" w:color="auto" w:fill="FFFFFF"/>
        </w:rPr>
      </w:pPr>
      <w:bookmarkStart w:id="341" w:name="_Toc425004143"/>
      <w:bookmarkStart w:id="342" w:name="_Toc418783680"/>
      <w:bookmarkStart w:id="343" w:name="_Toc425004144"/>
      <w:bookmarkStart w:id="344" w:name="_Toc418783681"/>
      <w:bookmarkEnd w:id="341"/>
      <w:bookmarkEnd w:id="342"/>
      <w:bookmarkEnd w:id="343"/>
      <w:bookmarkEnd w:id="344"/>
    </w:p>
    <w:p w14:paraId="20C8F9BD" w14:textId="77777777" w:rsidR="001C2F95" w:rsidRPr="009B775A" w:rsidRDefault="001C2F95" w:rsidP="001C2F95">
      <w:pPr>
        <w:rPr>
          <w:rFonts w:cs="Arial"/>
          <w:sz w:val="22"/>
          <w:shd w:val="clear" w:color="auto" w:fill="FFFFFF"/>
        </w:rPr>
      </w:pPr>
      <w:r w:rsidRPr="009B775A">
        <w:rPr>
          <w:rFonts w:cs="Arial"/>
          <w:sz w:val="22"/>
          <w:shd w:val="clear" w:color="auto" w:fill="FFFFFF"/>
        </w:rPr>
        <w:t>Les organisations d'agriculteurs et de producteurs sont des institutions importantes en mesure de fournir différents services à leurs membres, de faciliter l'accès aux marchés et de donner aux petits exploitants les moyens de participer à l'élaboration des politiques. Elles ont un rôle clé à jouer dans une transformation inclusive et durable dans le cadre du PNDA.</w:t>
      </w:r>
    </w:p>
    <w:p w14:paraId="59218B78" w14:textId="77777777" w:rsidR="001C2F95" w:rsidRPr="009B775A" w:rsidRDefault="001C2F95" w:rsidP="001C2F95">
      <w:pPr>
        <w:rPr>
          <w:rFonts w:cs="Arial"/>
          <w:sz w:val="22"/>
          <w:highlight w:val="yellow"/>
        </w:rPr>
      </w:pPr>
    </w:p>
    <w:p w14:paraId="76F06331" w14:textId="77777777" w:rsidR="001C2F95" w:rsidRPr="009B775A" w:rsidRDefault="001C2F95" w:rsidP="001C2F95">
      <w:pPr>
        <w:rPr>
          <w:rFonts w:cs="Arial"/>
          <w:sz w:val="22"/>
          <w:shd w:val="clear" w:color="auto" w:fill="FFFFFF"/>
        </w:rPr>
      </w:pPr>
      <w:r w:rsidRPr="009B775A">
        <w:rPr>
          <w:rFonts w:cs="Arial"/>
          <w:sz w:val="22"/>
          <w:shd w:val="clear" w:color="auto" w:fill="FFFFFF"/>
        </w:rPr>
        <w:t>Dans la Province du Nord-Kivu, l’on rencontre les coopératives telles que La Coopérative Centrale du Nord Kivu (COOCENKI), Coopérative des Concessionnaires du Nord-Kivu (CCNK), Coopérative des Cultivateurs de Kibirizi, (COOCUKI), Coopérative des Producteurs Agricoles pour le Développement de Rutshuru (COOPADERU), Coopérative des Producteurs Agricoles de Kinyandonyi-Rutshuru, (COOPAKIRU) Coopérative pour le Développement de l’Elevage et de l’Agriculture à Kiseguro (COODELA).</w:t>
      </w:r>
    </w:p>
    <w:p w14:paraId="7F1A3E84" w14:textId="77777777" w:rsidR="0062432F" w:rsidRPr="00982564" w:rsidRDefault="0062432F" w:rsidP="001C2F95">
      <w:pPr>
        <w:rPr>
          <w:rFonts w:cs="Arial"/>
          <w:bCs/>
          <w:sz w:val="22"/>
        </w:rPr>
      </w:pPr>
    </w:p>
    <w:p w14:paraId="2CDD4790" w14:textId="77777777" w:rsidR="001C2F95" w:rsidRPr="00982564" w:rsidRDefault="001C2F95" w:rsidP="001C2F95">
      <w:pPr>
        <w:rPr>
          <w:rFonts w:cs="Arial"/>
          <w:bCs/>
          <w:sz w:val="22"/>
        </w:rPr>
      </w:pPr>
      <w:r w:rsidRPr="00982564">
        <w:rPr>
          <w:rFonts w:cs="Arial"/>
          <w:bCs/>
          <w:sz w:val="22"/>
        </w:rPr>
        <w:t>En plus, on a tous les Ministères Provinciaux ayant en charge les attributions, au niveau des provinces, des Ministères Centraux cités ci-haut.</w:t>
      </w:r>
      <w:bookmarkStart w:id="345" w:name="_Toc380948590"/>
      <w:bookmarkStart w:id="346" w:name="_Toc380948673"/>
      <w:bookmarkStart w:id="347" w:name="_Toc380948755"/>
      <w:bookmarkStart w:id="348" w:name="_Toc380995402"/>
      <w:bookmarkStart w:id="349" w:name="_Toc381011739"/>
      <w:bookmarkStart w:id="350" w:name="_Toc381011807"/>
      <w:bookmarkStart w:id="351" w:name="_Toc381016085"/>
      <w:bookmarkStart w:id="352" w:name="_Toc381016150"/>
      <w:bookmarkStart w:id="353" w:name="_Toc381083143"/>
      <w:bookmarkStart w:id="354" w:name="_Toc381083205"/>
      <w:bookmarkStart w:id="355" w:name="_Toc381083264"/>
      <w:bookmarkStart w:id="356" w:name="_Toc381126093"/>
      <w:bookmarkStart w:id="357" w:name="_Toc381124993"/>
      <w:bookmarkStart w:id="358" w:name="_Toc381129440"/>
      <w:bookmarkStart w:id="359" w:name="_Toc381129582"/>
      <w:bookmarkStart w:id="360" w:name="_Toc385175139"/>
      <w:bookmarkStart w:id="361" w:name="_Toc387217331"/>
      <w:bookmarkStart w:id="362" w:name="_Toc387250062"/>
      <w:bookmarkStart w:id="363" w:name="_Toc388207204"/>
      <w:bookmarkStart w:id="364" w:name="_Toc388207425"/>
      <w:bookmarkStart w:id="365" w:name="_Toc388288448"/>
      <w:bookmarkStart w:id="366" w:name="_Toc388326485"/>
      <w:bookmarkStart w:id="367" w:name="_Toc388326634"/>
      <w:bookmarkStart w:id="368" w:name="_Toc402881345"/>
      <w:bookmarkStart w:id="369" w:name="_Toc402881595"/>
      <w:bookmarkStart w:id="370" w:name="_Toc402882281"/>
      <w:bookmarkStart w:id="371" w:name="_Toc404101732"/>
      <w:bookmarkStart w:id="372" w:name="_Toc404102026"/>
      <w:bookmarkStart w:id="373" w:name="_Toc404102589"/>
      <w:bookmarkStart w:id="374" w:name="_Toc404179121"/>
      <w:bookmarkStart w:id="375" w:name="_Toc404180378"/>
      <w:bookmarkStart w:id="376" w:name="_Toc413628498"/>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400F31A9" w14:textId="77777777" w:rsidR="001C2F95" w:rsidRPr="00982564" w:rsidRDefault="001C2F95" w:rsidP="001C2F95">
      <w:pPr>
        <w:rPr>
          <w:rFonts w:cs="Arial"/>
          <w:sz w:val="22"/>
          <w:highlight w:val="yellow"/>
        </w:rPr>
      </w:pPr>
    </w:p>
    <w:p w14:paraId="21F0EBC6" w14:textId="77777777" w:rsidR="001C2F95" w:rsidRPr="00982564" w:rsidRDefault="001C2F95" w:rsidP="001C2F95">
      <w:pPr>
        <w:pStyle w:val="Titre2"/>
        <w:numPr>
          <w:ilvl w:val="1"/>
          <w:numId w:val="4"/>
        </w:numPr>
        <w:ind w:left="851" w:hanging="425"/>
        <w:rPr>
          <w:rFonts w:cs="Arial"/>
          <w:b/>
          <w:sz w:val="22"/>
          <w:szCs w:val="22"/>
        </w:rPr>
      </w:pPr>
      <w:bookmarkStart w:id="377" w:name="_Toc284240620"/>
      <w:bookmarkStart w:id="378" w:name="_Toc487204597"/>
      <w:bookmarkStart w:id="379" w:name="_Toc44626833"/>
      <w:bookmarkStart w:id="380" w:name="_Toc70330391"/>
      <w:r w:rsidRPr="00982564">
        <w:rPr>
          <w:rFonts w:cs="Arial"/>
          <w:b/>
          <w:sz w:val="22"/>
          <w:szCs w:val="22"/>
        </w:rPr>
        <w:t>Analyse des capacités de gestion environnementale et sociale</w:t>
      </w:r>
      <w:bookmarkEnd w:id="377"/>
      <w:bookmarkEnd w:id="378"/>
      <w:bookmarkEnd w:id="379"/>
      <w:bookmarkEnd w:id="380"/>
    </w:p>
    <w:p w14:paraId="3291DA6E" w14:textId="77777777" w:rsidR="001C2F95" w:rsidRPr="00982564" w:rsidRDefault="001C2F95" w:rsidP="001C2F95">
      <w:pPr>
        <w:pStyle w:val="Lgende"/>
        <w:rPr>
          <w:rFonts w:cs="Arial"/>
          <w:sz w:val="22"/>
          <w:szCs w:val="22"/>
        </w:rPr>
      </w:pPr>
      <w:bookmarkStart w:id="381" w:name="_Toc464166382"/>
    </w:p>
    <w:p w14:paraId="20757D16" w14:textId="77777777" w:rsidR="001C2F95" w:rsidRPr="00982564" w:rsidRDefault="001C2F95" w:rsidP="001C2F95">
      <w:pPr>
        <w:pStyle w:val="Lgende"/>
        <w:rPr>
          <w:rFonts w:cs="Arial"/>
          <w:sz w:val="22"/>
          <w:szCs w:val="22"/>
        </w:rPr>
      </w:pPr>
      <w:r w:rsidRPr="00982564">
        <w:rPr>
          <w:rFonts w:cs="Arial"/>
          <w:sz w:val="22"/>
          <w:szCs w:val="22"/>
        </w:rPr>
        <w:t>Le tableau 1</w:t>
      </w:r>
      <w:r w:rsidR="003B119C">
        <w:rPr>
          <w:rFonts w:cs="Arial"/>
          <w:sz w:val="22"/>
          <w:szCs w:val="22"/>
        </w:rPr>
        <w:t>3</w:t>
      </w:r>
      <w:r w:rsidRPr="00982564">
        <w:rPr>
          <w:rFonts w:cs="Arial"/>
          <w:sz w:val="22"/>
          <w:szCs w:val="22"/>
        </w:rPr>
        <w:t xml:space="preserve"> ci-dessous présente une analyse des capacités de différents acteurs et propose des mesures à prendre. </w:t>
      </w:r>
      <w:bookmarkEnd w:id="381"/>
    </w:p>
    <w:p w14:paraId="564C87A3" w14:textId="77777777" w:rsidR="001C2F95" w:rsidRPr="00982564" w:rsidRDefault="001C2F95" w:rsidP="001C2F95">
      <w:pPr>
        <w:spacing w:line="240" w:lineRule="auto"/>
        <w:jc w:val="left"/>
        <w:rPr>
          <w:rFonts w:cs="Arial"/>
          <w:sz w:val="22"/>
        </w:rPr>
      </w:pPr>
      <w:bookmarkStart w:id="382" w:name="_Toc485127597"/>
    </w:p>
    <w:p w14:paraId="50FC5F77" w14:textId="77777777" w:rsidR="003B119C" w:rsidRDefault="003B119C">
      <w:pPr>
        <w:spacing w:after="160" w:line="259" w:lineRule="auto"/>
        <w:jc w:val="left"/>
        <w:rPr>
          <w:rFonts w:cs="Arial"/>
          <w:sz w:val="22"/>
        </w:rPr>
      </w:pPr>
      <w:r>
        <w:rPr>
          <w:rFonts w:cs="Arial"/>
          <w:sz w:val="22"/>
        </w:rPr>
        <w:br w:type="page"/>
      </w:r>
    </w:p>
    <w:p w14:paraId="7CE73D9B" w14:textId="77777777" w:rsidR="001C2F95" w:rsidRPr="00982564" w:rsidRDefault="001C2F95" w:rsidP="001C2F95">
      <w:pPr>
        <w:spacing w:line="240" w:lineRule="auto"/>
        <w:jc w:val="left"/>
        <w:rPr>
          <w:rFonts w:cs="Arial"/>
          <w:sz w:val="22"/>
        </w:rPr>
      </w:pPr>
      <w:bookmarkStart w:id="383" w:name="_Toc70451659"/>
      <w:r w:rsidRPr="00982564">
        <w:rPr>
          <w:rFonts w:cs="Arial"/>
          <w:sz w:val="22"/>
        </w:rPr>
        <w:t xml:space="preserve">Tableau </w:t>
      </w:r>
      <w:r w:rsidRPr="00982564">
        <w:rPr>
          <w:rFonts w:cs="Arial"/>
          <w:sz w:val="22"/>
        </w:rPr>
        <w:fldChar w:fldCharType="begin"/>
      </w:r>
      <w:r w:rsidRPr="00982564">
        <w:rPr>
          <w:rFonts w:cs="Arial"/>
          <w:sz w:val="22"/>
        </w:rPr>
        <w:instrText xml:space="preserve"> SEQ Tableau \* ARABIC </w:instrText>
      </w:r>
      <w:r w:rsidRPr="00982564">
        <w:rPr>
          <w:rFonts w:cs="Arial"/>
          <w:sz w:val="22"/>
        </w:rPr>
        <w:fldChar w:fldCharType="separate"/>
      </w:r>
      <w:r w:rsidR="001260B3">
        <w:rPr>
          <w:rFonts w:cs="Arial"/>
          <w:noProof/>
          <w:sz w:val="22"/>
        </w:rPr>
        <w:t>13</w:t>
      </w:r>
      <w:r w:rsidRPr="00982564">
        <w:rPr>
          <w:rFonts w:cs="Arial"/>
          <w:sz w:val="22"/>
        </w:rPr>
        <w:fldChar w:fldCharType="end"/>
      </w:r>
      <w:r w:rsidRPr="00982564">
        <w:rPr>
          <w:rFonts w:cs="Arial"/>
          <w:sz w:val="22"/>
        </w:rPr>
        <w:t>.</w:t>
      </w:r>
      <w:r w:rsidRPr="00982564">
        <w:rPr>
          <w:rFonts w:cs="Arial"/>
          <w:bCs/>
          <w:sz w:val="22"/>
        </w:rPr>
        <w:t xml:space="preserve"> </w:t>
      </w:r>
      <w:r w:rsidRPr="00982564">
        <w:rPr>
          <w:rFonts w:cs="Arial"/>
          <w:sz w:val="22"/>
        </w:rPr>
        <w:t xml:space="preserve"> Synthèse des capacités de gestion environnementale des acteurs du Projet</w:t>
      </w:r>
      <w:bookmarkEnd w:id="382"/>
      <w:bookmarkEnd w:id="383"/>
    </w:p>
    <w:p w14:paraId="4E335A4B" w14:textId="77777777" w:rsidR="001C2F95" w:rsidRPr="00982564" w:rsidRDefault="001C2F95" w:rsidP="001C2F95">
      <w:pPr>
        <w:pStyle w:val="WB-Numbered"/>
        <w:numPr>
          <w:ilvl w:val="0"/>
          <w:numId w:val="0"/>
        </w:numPr>
        <w:spacing w:after="0"/>
        <w:rPr>
          <w:rFonts w:ascii="Arial" w:hAnsi="Arial" w:cs="Arial"/>
          <w:sz w:val="22"/>
          <w:szCs w:val="22"/>
          <w:lang w:val="fr-FR"/>
        </w:rPr>
      </w:pPr>
    </w:p>
    <w:tbl>
      <w:tblPr>
        <w:tblW w:w="98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2980"/>
        <w:gridCol w:w="2456"/>
        <w:gridCol w:w="2666"/>
      </w:tblGrid>
      <w:tr w:rsidR="001C2F95" w:rsidRPr="00982564" w14:paraId="6FEAC755" w14:textId="77777777" w:rsidTr="00730A4A">
        <w:trPr>
          <w:cantSplit/>
          <w:trHeight w:val="290"/>
          <w:tblHeader/>
        </w:trPr>
        <w:tc>
          <w:tcPr>
            <w:tcW w:w="1794" w:type="dxa"/>
            <w:vMerge w:val="restart"/>
            <w:shd w:val="clear" w:color="auto" w:fill="BDD6EE"/>
            <w:vAlign w:val="center"/>
            <w:hideMark/>
          </w:tcPr>
          <w:p w14:paraId="231BDA2C" w14:textId="77777777" w:rsidR="001C2F95" w:rsidRPr="00982564" w:rsidRDefault="001C2F95" w:rsidP="00971FD2">
            <w:pPr>
              <w:jc w:val="center"/>
              <w:rPr>
                <w:rFonts w:cs="Arial"/>
                <w:color w:val="000000"/>
                <w:sz w:val="22"/>
              </w:rPr>
            </w:pPr>
            <w:r w:rsidRPr="00982564">
              <w:rPr>
                <w:rFonts w:cs="Arial"/>
                <w:color w:val="000000"/>
                <w:sz w:val="22"/>
              </w:rPr>
              <w:t>Acteurs</w:t>
            </w:r>
          </w:p>
        </w:tc>
        <w:tc>
          <w:tcPr>
            <w:tcW w:w="5436" w:type="dxa"/>
            <w:gridSpan w:val="2"/>
            <w:shd w:val="clear" w:color="auto" w:fill="BDD6EE"/>
            <w:vAlign w:val="center"/>
            <w:hideMark/>
          </w:tcPr>
          <w:p w14:paraId="7E8D852D" w14:textId="77777777" w:rsidR="001C2F95" w:rsidRPr="00982564" w:rsidRDefault="001C2F95" w:rsidP="00971FD2">
            <w:pPr>
              <w:jc w:val="center"/>
              <w:rPr>
                <w:rFonts w:cs="Arial"/>
                <w:color w:val="000000"/>
                <w:sz w:val="22"/>
              </w:rPr>
            </w:pPr>
            <w:r w:rsidRPr="00982564">
              <w:rPr>
                <w:rFonts w:cs="Arial"/>
                <w:color w:val="000000"/>
                <w:sz w:val="22"/>
              </w:rPr>
              <w:t>Capacités</w:t>
            </w:r>
          </w:p>
        </w:tc>
        <w:tc>
          <w:tcPr>
            <w:tcW w:w="2666" w:type="dxa"/>
            <w:vMerge w:val="restart"/>
            <w:shd w:val="clear" w:color="auto" w:fill="BDD6EE"/>
            <w:vAlign w:val="center"/>
            <w:hideMark/>
          </w:tcPr>
          <w:p w14:paraId="163AFC39" w14:textId="77777777" w:rsidR="001C2F95" w:rsidRPr="00982564" w:rsidRDefault="001C2F95" w:rsidP="00971FD2">
            <w:pPr>
              <w:jc w:val="center"/>
              <w:rPr>
                <w:rFonts w:cs="Arial"/>
                <w:color w:val="000000"/>
                <w:sz w:val="22"/>
              </w:rPr>
            </w:pPr>
            <w:r w:rsidRPr="00982564">
              <w:rPr>
                <w:rFonts w:cs="Arial"/>
                <w:color w:val="000000"/>
                <w:sz w:val="22"/>
              </w:rPr>
              <w:t>Propositions</w:t>
            </w:r>
          </w:p>
        </w:tc>
      </w:tr>
      <w:tr w:rsidR="001C2F95" w:rsidRPr="00982564" w14:paraId="01FD77D1" w14:textId="77777777" w:rsidTr="00730A4A">
        <w:trPr>
          <w:trHeight w:val="290"/>
          <w:tblHeader/>
        </w:trPr>
        <w:tc>
          <w:tcPr>
            <w:tcW w:w="1794" w:type="dxa"/>
            <w:vMerge/>
            <w:vAlign w:val="center"/>
            <w:hideMark/>
          </w:tcPr>
          <w:p w14:paraId="1CEE03AA" w14:textId="77777777" w:rsidR="001C2F95" w:rsidRPr="00982564" w:rsidRDefault="001C2F95" w:rsidP="00971FD2">
            <w:pPr>
              <w:rPr>
                <w:rFonts w:cs="Arial"/>
                <w:color w:val="000000"/>
                <w:sz w:val="22"/>
              </w:rPr>
            </w:pPr>
          </w:p>
        </w:tc>
        <w:tc>
          <w:tcPr>
            <w:tcW w:w="2980" w:type="dxa"/>
            <w:shd w:val="clear" w:color="auto" w:fill="BDD6EE"/>
            <w:vAlign w:val="center"/>
            <w:hideMark/>
          </w:tcPr>
          <w:p w14:paraId="720F46EE" w14:textId="77777777" w:rsidR="001C2F95" w:rsidRPr="00982564" w:rsidRDefault="001C2F95" w:rsidP="00971FD2">
            <w:pPr>
              <w:jc w:val="center"/>
              <w:rPr>
                <w:rFonts w:cs="Arial"/>
                <w:color w:val="000000"/>
                <w:sz w:val="22"/>
              </w:rPr>
            </w:pPr>
            <w:r w:rsidRPr="00982564">
              <w:rPr>
                <w:rFonts w:cs="Arial"/>
                <w:color w:val="000000"/>
                <w:sz w:val="22"/>
              </w:rPr>
              <w:t>Atouts</w:t>
            </w:r>
          </w:p>
        </w:tc>
        <w:tc>
          <w:tcPr>
            <w:tcW w:w="2456" w:type="dxa"/>
            <w:shd w:val="clear" w:color="auto" w:fill="BDD6EE"/>
            <w:vAlign w:val="center"/>
            <w:hideMark/>
          </w:tcPr>
          <w:p w14:paraId="4F20FED0" w14:textId="77777777" w:rsidR="001C2F95" w:rsidRPr="00982564" w:rsidRDefault="001C2F95" w:rsidP="00971FD2">
            <w:pPr>
              <w:jc w:val="center"/>
              <w:rPr>
                <w:rFonts w:cs="Arial"/>
                <w:color w:val="000000"/>
                <w:sz w:val="22"/>
              </w:rPr>
            </w:pPr>
            <w:r w:rsidRPr="00982564">
              <w:rPr>
                <w:rFonts w:cs="Arial"/>
                <w:color w:val="000000"/>
                <w:sz w:val="22"/>
              </w:rPr>
              <w:t>Limites</w:t>
            </w:r>
          </w:p>
        </w:tc>
        <w:tc>
          <w:tcPr>
            <w:tcW w:w="2666" w:type="dxa"/>
            <w:vMerge/>
            <w:shd w:val="clear" w:color="auto" w:fill="BDD6EE"/>
            <w:vAlign w:val="center"/>
            <w:hideMark/>
          </w:tcPr>
          <w:p w14:paraId="3FDC5033" w14:textId="77777777" w:rsidR="001C2F95" w:rsidRPr="00982564" w:rsidRDefault="001C2F95" w:rsidP="00971FD2">
            <w:pPr>
              <w:rPr>
                <w:rFonts w:cs="Arial"/>
                <w:color w:val="000000"/>
                <w:sz w:val="22"/>
              </w:rPr>
            </w:pPr>
          </w:p>
        </w:tc>
      </w:tr>
      <w:tr w:rsidR="001C2F95" w:rsidRPr="00982564" w14:paraId="6EC94946" w14:textId="77777777" w:rsidTr="00971FD2">
        <w:trPr>
          <w:trHeight w:val="926"/>
        </w:trPr>
        <w:tc>
          <w:tcPr>
            <w:tcW w:w="1794" w:type="dxa"/>
            <w:shd w:val="clear" w:color="auto" w:fill="auto"/>
            <w:vAlign w:val="center"/>
            <w:hideMark/>
          </w:tcPr>
          <w:p w14:paraId="73EA44BF" w14:textId="77777777" w:rsidR="001C2F95" w:rsidRPr="00982564" w:rsidRDefault="001C2F95" w:rsidP="00971FD2">
            <w:pPr>
              <w:jc w:val="left"/>
              <w:rPr>
                <w:rFonts w:cs="Arial"/>
                <w:color w:val="000000"/>
                <w:sz w:val="22"/>
                <w:highlight w:val="yellow"/>
              </w:rPr>
            </w:pPr>
            <w:r w:rsidRPr="00982564">
              <w:rPr>
                <w:rFonts w:cs="Arial"/>
                <w:color w:val="000000"/>
                <w:sz w:val="22"/>
              </w:rPr>
              <w:t>UNCP</w:t>
            </w:r>
          </w:p>
        </w:tc>
        <w:tc>
          <w:tcPr>
            <w:tcW w:w="2980" w:type="dxa"/>
            <w:shd w:val="clear" w:color="auto" w:fill="auto"/>
            <w:vAlign w:val="center"/>
            <w:hideMark/>
          </w:tcPr>
          <w:p w14:paraId="7D5C3996" w14:textId="77777777" w:rsidR="001C2F95" w:rsidRPr="00982564" w:rsidRDefault="001C2F95" w:rsidP="00971FD2">
            <w:pPr>
              <w:jc w:val="left"/>
              <w:rPr>
                <w:rFonts w:cs="Arial"/>
                <w:color w:val="000000"/>
                <w:sz w:val="22"/>
                <w:highlight w:val="yellow"/>
              </w:rPr>
            </w:pPr>
            <w:r w:rsidRPr="00982564">
              <w:rPr>
                <w:rFonts w:cs="Arial"/>
                <w:color w:val="000000"/>
                <w:sz w:val="22"/>
              </w:rPr>
              <w:t>Le PNDA a mis en place une Unité de gestion Environnementale et Sociale composée de trois Spécialistes en Sauvegardes (Environnement, Social et Violences Basées sur le Genre)</w:t>
            </w:r>
          </w:p>
        </w:tc>
        <w:tc>
          <w:tcPr>
            <w:tcW w:w="2456" w:type="dxa"/>
            <w:shd w:val="clear" w:color="auto" w:fill="auto"/>
            <w:vAlign w:val="center"/>
          </w:tcPr>
          <w:p w14:paraId="561A3D7B"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Connaissance moyenne sur le nouveau Cadre Environnemental et Social de la Banque Mondiale</w:t>
            </w:r>
          </w:p>
          <w:p w14:paraId="47B5799D" w14:textId="77777777" w:rsidR="001C2F95" w:rsidRPr="00982564" w:rsidRDefault="001C2F95" w:rsidP="00971FD2">
            <w:pPr>
              <w:jc w:val="left"/>
              <w:rPr>
                <w:rFonts w:cs="Arial"/>
                <w:color w:val="000000"/>
                <w:sz w:val="22"/>
              </w:rPr>
            </w:pPr>
          </w:p>
        </w:tc>
        <w:tc>
          <w:tcPr>
            <w:tcW w:w="2666" w:type="dxa"/>
            <w:shd w:val="clear" w:color="auto" w:fill="auto"/>
            <w:vAlign w:val="center"/>
          </w:tcPr>
          <w:p w14:paraId="18076563"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Renforcer leurs capacités sur le nouveau Cadre Environnemental et Social de la Banque Mondiale, y compris l’atténuation des risques d’EAS/HS liés au projet et les notions concernant la prévention et la réponse à l’EAS/HS</w:t>
            </w:r>
          </w:p>
        </w:tc>
      </w:tr>
      <w:tr w:rsidR="001C2F95" w:rsidRPr="00982564" w14:paraId="494C4833" w14:textId="77777777" w:rsidTr="00971FD2">
        <w:trPr>
          <w:trHeight w:val="710"/>
        </w:trPr>
        <w:tc>
          <w:tcPr>
            <w:tcW w:w="1794" w:type="dxa"/>
            <w:shd w:val="clear" w:color="auto" w:fill="auto"/>
            <w:vAlign w:val="center"/>
            <w:hideMark/>
          </w:tcPr>
          <w:p w14:paraId="3B0CF91E" w14:textId="77777777" w:rsidR="001C2F95" w:rsidRPr="00982564" w:rsidRDefault="001C2F95" w:rsidP="00971FD2">
            <w:pPr>
              <w:rPr>
                <w:rFonts w:cs="Arial"/>
                <w:color w:val="000000"/>
                <w:sz w:val="22"/>
              </w:rPr>
            </w:pPr>
            <w:r w:rsidRPr="00982564">
              <w:rPr>
                <w:rFonts w:cs="Arial"/>
                <w:color w:val="000000"/>
                <w:sz w:val="22"/>
              </w:rPr>
              <w:t>ACE</w:t>
            </w:r>
          </w:p>
        </w:tc>
        <w:tc>
          <w:tcPr>
            <w:tcW w:w="2980" w:type="dxa"/>
            <w:shd w:val="clear" w:color="auto" w:fill="auto"/>
            <w:vAlign w:val="center"/>
            <w:hideMark/>
          </w:tcPr>
          <w:p w14:paraId="7BBDC2F2" w14:textId="77777777" w:rsidR="001C2F95" w:rsidRPr="00982564" w:rsidRDefault="001C2F95" w:rsidP="00971FD2">
            <w:pPr>
              <w:jc w:val="left"/>
              <w:rPr>
                <w:rFonts w:cs="Arial"/>
                <w:color w:val="000000"/>
                <w:sz w:val="22"/>
              </w:rPr>
            </w:pPr>
            <w:r w:rsidRPr="00982564">
              <w:rPr>
                <w:rFonts w:cs="Arial"/>
                <w:color w:val="000000"/>
                <w:sz w:val="22"/>
              </w:rPr>
              <w:t>Existence des cadres maitrisant les outils d’évaluation environnementales nationales et de la Banque Mondiale.</w:t>
            </w:r>
          </w:p>
        </w:tc>
        <w:tc>
          <w:tcPr>
            <w:tcW w:w="2456" w:type="dxa"/>
            <w:shd w:val="clear" w:color="auto" w:fill="auto"/>
            <w:vAlign w:val="center"/>
            <w:hideMark/>
          </w:tcPr>
          <w:p w14:paraId="39ECAFF5"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Moyens financiers et logistiques insuffisants ;</w:t>
            </w:r>
          </w:p>
          <w:p w14:paraId="48270F2A"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Insuffisance de capacités techniques et des normes environnementales et sociales par rapport au nouveau CES ;</w:t>
            </w:r>
          </w:p>
          <w:p w14:paraId="1D7D8AD6"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Absence de suivi régulier de la mise en œuvre des PGES.</w:t>
            </w:r>
          </w:p>
        </w:tc>
        <w:tc>
          <w:tcPr>
            <w:tcW w:w="2666" w:type="dxa"/>
            <w:shd w:val="clear" w:color="auto" w:fill="auto"/>
            <w:vAlign w:val="center"/>
            <w:hideMark/>
          </w:tcPr>
          <w:p w14:paraId="7443FFA4"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Mettre à la disposition de l’ACE des ressources financières et logistiques nécessaires pour accomplir sa mission de suivi</w:t>
            </w:r>
          </w:p>
          <w:p w14:paraId="6FB336DA"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Renforcer les capacités des experts de l’ACE par rapport au CES de la Banque Mondiale et de l’EAS/HS et la formation sur la lutte contre la COVID-19</w:t>
            </w:r>
          </w:p>
        </w:tc>
      </w:tr>
      <w:tr w:rsidR="001C2F95" w:rsidRPr="00982564" w14:paraId="02A3E507" w14:textId="77777777" w:rsidTr="00971FD2">
        <w:trPr>
          <w:trHeight w:val="710"/>
        </w:trPr>
        <w:tc>
          <w:tcPr>
            <w:tcW w:w="1794" w:type="dxa"/>
            <w:shd w:val="clear" w:color="auto" w:fill="auto"/>
            <w:vAlign w:val="center"/>
          </w:tcPr>
          <w:p w14:paraId="0E7AA1E0" w14:textId="77777777" w:rsidR="001C2F95" w:rsidRPr="00982564" w:rsidRDefault="001C2F95" w:rsidP="00971FD2">
            <w:pPr>
              <w:rPr>
                <w:rFonts w:cs="Arial"/>
                <w:color w:val="000000"/>
                <w:sz w:val="22"/>
              </w:rPr>
            </w:pPr>
            <w:r w:rsidRPr="00982564">
              <w:rPr>
                <w:rFonts w:cs="Arial"/>
                <w:color w:val="000000"/>
                <w:sz w:val="22"/>
              </w:rPr>
              <w:t>Directions Provinciales de l’Environnement (DPE) et autres Directions impliquées</w:t>
            </w:r>
          </w:p>
        </w:tc>
        <w:tc>
          <w:tcPr>
            <w:tcW w:w="2980" w:type="dxa"/>
            <w:shd w:val="clear" w:color="auto" w:fill="auto"/>
            <w:vAlign w:val="center"/>
          </w:tcPr>
          <w:p w14:paraId="11A0BD95" w14:textId="77777777" w:rsidR="001C2F95" w:rsidRPr="00982564" w:rsidRDefault="001C2F95" w:rsidP="00971FD2">
            <w:pPr>
              <w:jc w:val="left"/>
              <w:rPr>
                <w:rFonts w:cs="Arial"/>
                <w:color w:val="000000"/>
                <w:sz w:val="22"/>
              </w:rPr>
            </w:pPr>
            <w:r w:rsidRPr="00982564">
              <w:rPr>
                <w:rFonts w:cs="Arial"/>
                <w:color w:val="000000"/>
                <w:sz w:val="22"/>
              </w:rPr>
              <w:t>Seules les Directions Provinciales Environnementales ont des atouts qui leur permettent de faire le suivi environnemental et social</w:t>
            </w:r>
          </w:p>
        </w:tc>
        <w:tc>
          <w:tcPr>
            <w:tcW w:w="2456" w:type="dxa"/>
            <w:shd w:val="clear" w:color="auto" w:fill="auto"/>
            <w:vAlign w:val="center"/>
          </w:tcPr>
          <w:p w14:paraId="5E95C13D"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Non maitrise des Normes environnementales et sociales de la Banque Mondiale ;</w:t>
            </w:r>
          </w:p>
          <w:p w14:paraId="32231F45"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Manque de formation pour les autres services techniques ;</w:t>
            </w:r>
          </w:p>
          <w:p w14:paraId="0873794E"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Manque de moyens financiers et logistiques ;</w:t>
            </w:r>
          </w:p>
          <w:p w14:paraId="510153A4" w14:textId="77777777" w:rsidR="001C2F95" w:rsidRPr="00982564" w:rsidRDefault="001C2F95" w:rsidP="002378EA">
            <w:pPr>
              <w:pStyle w:val="Paragraphedeliste"/>
              <w:numPr>
                <w:ilvl w:val="0"/>
                <w:numId w:val="21"/>
              </w:numPr>
              <w:ind w:left="109" w:hanging="109"/>
              <w:rPr>
                <w:rFonts w:cs="Arial"/>
                <w:color w:val="000000"/>
                <w:sz w:val="22"/>
              </w:rPr>
            </w:pPr>
            <w:r w:rsidRPr="00982564">
              <w:rPr>
                <w:rFonts w:cs="Arial"/>
                <w:color w:val="000000"/>
                <w:sz w:val="22"/>
              </w:rPr>
              <w:t>Insuffisance de capacités techniques et des normes environnementales et sociales par rapport au nouveau CES ;</w:t>
            </w:r>
          </w:p>
          <w:p w14:paraId="3AF29E29"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Absence de suivi régulier de la mise en œuvre des PGES.</w:t>
            </w:r>
          </w:p>
        </w:tc>
        <w:tc>
          <w:tcPr>
            <w:tcW w:w="2666" w:type="dxa"/>
            <w:shd w:val="clear" w:color="auto" w:fill="auto"/>
            <w:vAlign w:val="center"/>
          </w:tcPr>
          <w:p w14:paraId="08AA4DBC"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Prévoir dans le Projet des séances de renforcement des capacités sur : la législation nationale, les Normes Environnementales de la Banque Mondiale, le screening, le suivi environnemental, le mécanisme de gestion des plaintes, etc.</w:t>
            </w:r>
          </w:p>
          <w:p w14:paraId="0874D9AD"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Formation sur l’EAS/HS, y compris les mesures d’atténuation y afférentes et la gestion de ces plaintes, et la formation sur la lutte contre le COVID-19</w:t>
            </w:r>
          </w:p>
          <w:p w14:paraId="05CF740E" w14:textId="77777777" w:rsidR="001C2F95" w:rsidRPr="00982564" w:rsidRDefault="001C2F95" w:rsidP="00971FD2">
            <w:pPr>
              <w:pStyle w:val="Paragraphedeliste"/>
              <w:ind w:left="109"/>
              <w:jc w:val="left"/>
              <w:rPr>
                <w:rFonts w:cs="Arial"/>
                <w:color w:val="000000"/>
                <w:sz w:val="22"/>
              </w:rPr>
            </w:pPr>
          </w:p>
        </w:tc>
      </w:tr>
      <w:tr w:rsidR="001C2F95" w:rsidRPr="00982564" w14:paraId="4F8611B7" w14:textId="77777777" w:rsidTr="00971FD2">
        <w:trPr>
          <w:trHeight w:val="558"/>
        </w:trPr>
        <w:tc>
          <w:tcPr>
            <w:tcW w:w="1794" w:type="dxa"/>
            <w:shd w:val="clear" w:color="auto" w:fill="auto"/>
            <w:vAlign w:val="center"/>
            <w:hideMark/>
          </w:tcPr>
          <w:p w14:paraId="6495E9E6" w14:textId="77777777" w:rsidR="001C2F95" w:rsidRPr="00982564" w:rsidRDefault="001C2F95" w:rsidP="00971FD2">
            <w:pPr>
              <w:rPr>
                <w:rFonts w:cs="Arial"/>
                <w:color w:val="000000"/>
                <w:sz w:val="22"/>
              </w:rPr>
            </w:pPr>
            <w:r w:rsidRPr="00982564">
              <w:rPr>
                <w:rFonts w:cs="Arial"/>
                <w:color w:val="000000"/>
                <w:sz w:val="22"/>
              </w:rPr>
              <w:t>Inspection provinciales de l’Agriculture</w:t>
            </w:r>
          </w:p>
        </w:tc>
        <w:tc>
          <w:tcPr>
            <w:tcW w:w="2980" w:type="dxa"/>
            <w:shd w:val="clear" w:color="auto" w:fill="auto"/>
            <w:vAlign w:val="center"/>
            <w:hideMark/>
          </w:tcPr>
          <w:p w14:paraId="663B0AC6" w14:textId="77777777" w:rsidR="001C2F95" w:rsidRPr="00982564" w:rsidRDefault="001C2F95" w:rsidP="00971FD2">
            <w:pPr>
              <w:jc w:val="left"/>
              <w:rPr>
                <w:rFonts w:cs="Arial"/>
                <w:color w:val="000000"/>
                <w:sz w:val="22"/>
              </w:rPr>
            </w:pPr>
            <w:r w:rsidRPr="00982564">
              <w:rPr>
                <w:rFonts w:cs="Arial"/>
                <w:color w:val="000000"/>
                <w:sz w:val="22"/>
              </w:rPr>
              <w:t>Absence d’un service chargé de l’environnement</w:t>
            </w:r>
          </w:p>
        </w:tc>
        <w:tc>
          <w:tcPr>
            <w:tcW w:w="2456" w:type="dxa"/>
            <w:shd w:val="clear" w:color="auto" w:fill="auto"/>
            <w:vAlign w:val="center"/>
            <w:hideMark/>
          </w:tcPr>
          <w:p w14:paraId="02194632"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 xml:space="preserve">Manque de formation des cadres de la Direction Technique en gestion environnementale et suivi des PGES ; </w:t>
            </w:r>
          </w:p>
          <w:p w14:paraId="1EA68DBC"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Non maitrise des Normes Environnementales et Sociales de la Banque Mondiale.</w:t>
            </w:r>
          </w:p>
        </w:tc>
        <w:tc>
          <w:tcPr>
            <w:tcW w:w="2666" w:type="dxa"/>
            <w:shd w:val="clear" w:color="auto" w:fill="auto"/>
            <w:vAlign w:val="center"/>
            <w:hideMark/>
          </w:tcPr>
          <w:p w14:paraId="76982728"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Former les cadres des Inspections Provinciales de l’Agriculture dans le domaine de l’environnement, sur la législation nationale et les NES de la Banque Mondiale, le suivi et évaluation environnementale et sociale</w:t>
            </w:r>
          </w:p>
          <w:p w14:paraId="462333C6"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Formation sur l’EAS/HS, y compris les mesures d’atténuation y afférentes et la gestion de ces plaintes, et la formation sur la lutte contre la COVID-19</w:t>
            </w:r>
          </w:p>
        </w:tc>
      </w:tr>
      <w:tr w:rsidR="001C2F95" w:rsidRPr="00982564" w14:paraId="5609403E" w14:textId="77777777" w:rsidTr="00971FD2">
        <w:trPr>
          <w:cantSplit/>
          <w:trHeight w:val="3000"/>
        </w:trPr>
        <w:tc>
          <w:tcPr>
            <w:tcW w:w="1794" w:type="dxa"/>
            <w:shd w:val="clear" w:color="auto" w:fill="auto"/>
            <w:vAlign w:val="center"/>
            <w:hideMark/>
          </w:tcPr>
          <w:p w14:paraId="65626AB3" w14:textId="77777777" w:rsidR="001C2F95" w:rsidRPr="00982564" w:rsidRDefault="001C2F95" w:rsidP="00971FD2">
            <w:pPr>
              <w:rPr>
                <w:rFonts w:cs="Arial"/>
                <w:color w:val="000000"/>
                <w:sz w:val="22"/>
              </w:rPr>
            </w:pPr>
            <w:r w:rsidRPr="00982564">
              <w:rPr>
                <w:rFonts w:cs="Arial"/>
                <w:color w:val="000000"/>
                <w:sz w:val="22"/>
              </w:rPr>
              <w:t>Administration locales (Villes et Territoires, Collectivités et Villages)</w:t>
            </w:r>
          </w:p>
        </w:tc>
        <w:tc>
          <w:tcPr>
            <w:tcW w:w="2980" w:type="dxa"/>
            <w:shd w:val="clear" w:color="auto" w:fill="auto"/>
            <w:vAlign w:val="center"/>
            <w:hideMark/>
          </w:tcPr>
          <w:p w14:paraId="0BA45156" w14:textId="77777777" w:rsidR="001C2F95" w:rsidRPr="00982564" w:rsidRDefault="001C2F95" w:rsidP="00971FD2">
            <w:pPr>
              <w:jc w:val="left"/>
              <w:rPr>
                <w:rFonts w:cs="Arial"/>
                <w:color w:val="000000"/>
                <w:sz w:val="22"/>
              </w:rPr>
            </w:pPr>
            <w:r w:rsidRPr="00982564">
              <w:rPr>
                <w:rFonts w:cs="Arial"/>
                <w:color w:val="000000"/>
                <w:sz w:val="22"/>
              </w:rPr>
              <w:t>Synergie d’action entre les autorités administratives locales et coutumières dans la gestion du régime foncier</w:t>
            </w:r>
          </w:p>
        </w:tc>
        <w:tc>
          <w:tcPr>
            <w:tcW w:w="2456" w:type="dxa"/>
            <w:shd w:val="clear" w:color="auto" w:fill="auto"/>
            <w:vAlign w:val="center"/>
            <w:hideMark/>
          </w:tcPr>
          <w:p w14:paraId="39D110D5"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 xml:space="preserve">Expertise insuffisante par rapport aux missions environnementales ; </w:t>
            </w:r>
          </w:p>
          <w:p w14:paraId="247F84E3"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 xml:space="preserve">Manque de moyens financiers pour la conduite de leurs missions de suivi ; </w:t>
            </w:r>
          </w:p>
          <w:p w14:paraId="4B19B335"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Absence de coordination des interventions.</w:t>
            </w:r>
          </w:p>
        </w:tc>
        <w:tc>
          <w:tcPr>
            <w:tcW w:w="2666" w:type="dxa"/>
            <w:shd w:val="clear" w:color="auto" w:fill="auto"/>
            <w:vAlign w:val="center"/>
            <w:hideMark/>
          </w:tcPr>
          <w:p w14:paraId="33FCE1AE"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Prévoir un budget d’intervention de ces organisations dans le suivi environnemental du Projet ;</w:t>
            </w:r>
          </w:p>
          <w:p w14:paraId="076A997F"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Renforcement des capacités des agents territoriaux sur la législation nationale et les NES de la Banque Mondiale, y compris la formation sur l’EAS/HS, incluant les mesures d’atténuation y afférentes et la gestion de ces plaintes, et la formation sur la lutte contre la COVID-19 ;</w:t>
            </w:r>
          </w:p>
          <w:p w14:paraId="1F8F42FA"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Prévoir des formations en évaluations environnementales notamment le suivi des PGES, le screening.</w:t>
            </w:r>
          </w:p>
        </w:tc>
      </w:tr>
      <w:tr w:rsidR="001C2F95" w:rsidRPr="00982564" w14:paraId="15A4031C" w14:textId="77777777" w:rsidTr="00971FD2">
        <w:trPr>
          <w:cantSplit/>
          <w:trHeight w:val="3320"/>
        </w:trPr>
        <w:tc>
          <w:tcPr>
            <w:tcW w:w="1794" w:type="dxa"/>
            <w:shd w:val="clear" w:color="auto" w:fill="auto"/>
            <w:vAlign w:val="center"/>
            <w:hideMark/>
          </w:tcPr>
          <w:p w14:paraId="3BF2790B" w14:textId="77777777" w:rsidR="001C2F95" w:rsidRPr="00982564" w:rsidRDefault="001C2F95" w:rsidP="00971FD2">
            <w:pPr>
              <w:jc w:val="left"/>
              <w:rPr>
                <w:rFonts w:cs="Arial"/>
                <w:color w:val="000000"/>
                <w:sz w:val="22"/>
              </w:rPr>
            </w:pPr>
            <w:r w:rsidRPr="00982564">
              <w:rPr>
                <w:rFonts w:cs="Arial"/>
                <w:color w:val="000000"/>
                <w:sz w:val="22"/>
              </w:rPr>
              <w:t>ONG et Mouvements Associatifs (associations des femmes et des jeunes au niveau des territoires)</w:t>
            </w:r>
          </w:p>
        </w:tc>
        <w:tc>
          <w:tcPr>
            <w:tcW w:w="2980" w:type="dxa"/>
            <w:shd w:val="clear" w:color="auto" w:fill="auto"/>
            <w:vAlign w:val="center"/>
            <w:hideMark/>
          </w:tcPr>
          <w:p w14:paraId="601A71C3" w14:textId="77777777" w:rsidR="001C2F95" w:rsidRPr="00982564" w:rsidRDefault="001C2F95" w:rsidP="00971FD2">
            <w:pPr>
              <w:jc w:val="left"/>
              <w:rPr>
                <w:rFonts w:cs="Arial"/>
                <w:color w:val="000000"/>
                <w:sz w:val="22"/>
              </w:rPr>
            </w:pPr>
            <w:r w:rsidRPr="00982564">
              <w:rPr>
                <w:rFonts w:cs="Arial"/>
                <w:color w:val="000000"/>
                <w:sz w:val="22"/>
              </w:rPr>
              <w:t xml:space="preserve">Vecteurs efficaces pour informer, sensibiliser et éduquer les populations ; Bonne capacité de mobilisation des acteurs locaux ; </w:t>
            </w:r>
          </w:p>
          <w:p w14:paraId="718B2CB7" w14:textId="77777777" w:rsidR="001C2F95" w:rsidRPr="00982564" w:rsidRDefault="001C2F95" w:rsidP="00971FD2">
            <w:pPr>
              <w:jc w:val="left"/>
              <w:rPr>
                <w:rFonts w:cs="Arial"/>
                <w:color w:val="000000"/>
                <w:sz w:val="22"/>
              </w:rPr>
            </w:pPr>
            <w:r w:rsidRPr="00982564">
              <w:rPr>
                <w:rFonts w:cs="Arial"/>
                <w:color w:val="000000"/>
                <w:sz w:val="22"/>
              </w:rPr>
              <w:t>Facilitation de contact avec les partenaires au développement. </w:t>
            </w:r>
          </w:p>
        </w:tc>
        <w:tc>
          <w:tcPr>
            <w:tcW w:w="2456" w:type="dxa"/>
            <w:shd w:val="clear" w:color="auto" w:fill="auto"/>
            <w:vAlign w:val="center"/>
            <w:hideMark/>
          </w:tcPr>
          <w:p w14:paraId="033F5162"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Absence de coordination des interventions.</w:t>
            </w:r>
          </w:p>
        </w:tc>
        <w:tc>
          <w:tcPr>
            <w:tcW w:w="2666" w:type="dxa"/>
            <w:shd w:val="clear" w:color="auto" w:fill="auto"/>
            <w:vAlign w:val="center"/>
            <w:hideMark/>
          </w:tcPr>
          <w:p w14:paraId="2F21DB78"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 xml:space="preserve">Prévoir un budget d’intervention de ces organisations dans le suivi environnemental du Projet ; </w:t>
            </w:r>
          </w:p>
          <w:p w14:paraId="40ED4D48"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Prévoir des formations sur la lutte contre la COVID-19 et aussi sur l’EAS/HS, incluant les mesures d’atténuation y afférentes et la gestion de ces plaintes ;</w:t>
            </w:r>
          </w:p>
          <w:p w14:paraId="6ABAA6F5"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Prévoir des formations en évaluation environnementale notamment le suivi des PGES, le screening.</w:t>
            </w:r>
          </w:p>
        </w:tc>
      </w:tr>
      <w:tr w:rsidR="001C2F95" w:rsidRPr="00982564" w14:paraId="6DDE61B0" w14:textId="77777777" w:rsidTr="00971FD2">
        <w:trPr>
          <w:cantSplit/>
          <w:trHeight w:val="1810"/>
        </w:trPr>
        <w:tc>
          <w:tcPr>
            <w:tcW w:w="1794" w:type="dxa"/>
            <w:shd w:val="clear" w:color="auto" w:fill="auto"/>
            <w:vAlign w:val="center"/>
            <w:hideMark/>
          </w:tcPr>
          <w:p w14:paraId="5018178C" w14:textId="77777777" w:rsidR="001C2F95" w:rsidRPr="00982564" w:rsidRDefault="001C2F95" w:rsidP="00971FD2">
            <w:pPr>
              <w:jc w:val="left"/>
              <w:rPr>
                <w:rFonts w:cs="Arial"/>
                <w:color w:val="000000"/>
                <w:sz w:val="22"/>
              </w:rPr>
            </w:pPr>
            <w:r w:rsidRPr="00982564">
              <w:rPr>
                <w:rFonts w:cs="Arial"/>
                <w:color w:val="000000"/>
                <w:sz w:val="22"/>
              </w:rPr>
              <w:t>Entreprises de BTP et PME</w:t>
            </w:r>
          </w:p>
        </w:tc>
        <w:tc>
          <w:tcPr>
            <w:tcW w:w="2980" w:type="dxa"/>
            <w:shd w:val="clear" w:color="auto" w:fill="auto"/>
            <w:vAlign w:val="center"/>
            <w:hideMark/>
          </w:tcPr>
          <w:p w14:paraId="474C2F8C" w14:textId="77777777" w:rsidR="001C2F95" w:rsidRPr="00982564" w:rsidRDefault="001C2F95" w:rsidP="00971FD2">
            <w:pPr>
              <w:jc w:val="left"/>
              <w:rPr>
                <w:rFonts w:cs="Arial"/>
                <w:color w:val="000000"/>
                <w:sz w:val="22"/>
              </w:rPr>
            </w:pPr>
            <w:r w:rsidRPr="00982564">
              <w:rPr>
                <w:rFonts w:cs="Arial"/>
                <w:color w:val="000000"/>
                <w:sz w:val="22"/>
              </w:rPr>
              <w:t xml:space="preserve">Expérience dans la réalisation des travaux. </w:t>
            </w:r>
          </w:p>
        </w:tc>
        <w:tc>
          <w:tcPr>
            <w:tcW w:w="2456" w:type="dxa"/>
            <w:shd w:val="clear" w:color="auto" w:fill="auto"/>
            <w:vAlign w:val="center"/>
            <w:hideMark/>
          </w:tcPr>
          <w:p w14:paraId="50C8F7F5"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 xml:space="preserve">Manque d’expérience dans la prise en compte des aspects de sauvegarde de l’environnement dans l’exécution des travaux. </w:t>
            </w:r>
          </w:p>
        </w:tc>
        <w:tc>
          <w:tcPr>
            <w:tcW w:w="2666" w:type="dxa"/>
            <w:shd w:val="clear" w:color="auto" w:fill="auto"/>
            <w:vAlign w:val="center"/>
            <w:hideMark/>
          </w:tcPr>
          <w:p w14:paraId="48DD53A3"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Intégrer dans les DAO des clauses environnementales et sociales, des obligations de recruter les environnementalistes et experts en développement social expérimentés et aussi des clauses relatives à l’EAS/HS.</w:t>
            </w:r>
          </w:p>
        </w:tc>
      </w:tr>
      <w:tr w:rsidR="001C2F95" w:rsidRPr="00982564" w14:paraId="1BB7BF0B" w14:textId="77777777" w:rsidTr="00971FD2">
        <w:trPr>
          <w:cantSplit/>
          <w:trHeight w:val="1810"/>
        </w:trPr>
        <w:tc>
          <w:tcPr>
            <w:tcW w:w="1794" w:type="dxa"/>
            <w:shd w:val="clear" w:color="auto" w:fill="auto"/>
            <w:vAlign w:val="center"/>
          </w:tcPr>
          <w:p w14:paraId="0756961A" w14:textId="77777777" w:rsidR="001C2F95" w:rsidRPr="00982564" w:rsidRDefault="001C2F95" w:rsidP="00971FD2">
            <w:pPr>
              <w:jc w:val="left"/>
              <w:rPr>
                <w:rFonts w:cs="Arial"/>
                <w:color w:val="000000"/>
                <w:sz w:val="22"/>
              </w:rPr>
            </w:pPr>
            <w:r w:rsidRPr="00982564">
              <w:rPr>
                <w:rFonts w:cs="Arial"/>
                <w:color w:val="000000"/>
                <w:sz w:val="22"/>
              </w:rPr>
              <w:t xml:space="preserve">Associations de </w:t>
            </w:r>
            <w:r w:rsidR="00623A52" w:rsidRPr="00982564">
              <w:rPr>
                <w:rFonts w:cs="Arial"/>
                <w:color w:val="000000"/>
                <w:sz w:val="22"/>
              </w:rPr>
              <w:t>producteurs</w:t>
            </w:r>
            <w:r w:rsidRPr="00982564">
              <w:rPr>
                <w:rFonts w:cs="Arial"/>
                <w:color w:val="000000"/>
                <w:sz w:val="22"/>
              </w:rPr>
              <w:t xml:space="preserve"> (trices) et </w:t>
            </w:r>
            <w:r w:rsidR="00623A52" w:rsidRPr="00982564">
              <w:rPr>
                <w:rFonts w:cs="Arial"/>
                <w:color w:val="000000"/>
                <w:sz w:val="22"/>
              </w:rPr>
              <w:t>coopératives</w:t>
            </w:r>
            <w:r w:rsidRPr="00982564">
              <w:rPr>
                <w:rFonts w:cs="Arial"/>
                <w:color w:val="000000"/>
                <w:sz w:val="22"/>
              </w:rPr>
              <w:t xml:space="preserve"> agricoles </w:t>
            </w:r>
          </w:p>
        </w:tc>
        <w:tc>
          <w:tcPr>
            <w:tcW w:w="2980" w:type="dxa"/>
            <w:shd w:val="clear" w:color="auto" w:fill="auto"/>
            <w:vAlign w:val="center"/>
          </w:tcPr>
          <w:p w14:paraId="1FC90BFC" w14:textId="77777777" w:rsidR="001C2F95" w:rsidRPr="00982564" w:rsidRDefault="001C2F95" w:rsidP="00971FD2">
            <w:pPr>
              <w:jc w:val="left"/>
              <w:rPr>
                <w:rFonts w:cs="Arial"/>
                <w:color w:val="000000"/>
                <w:sz w:val="22"/>
              </w:rPr>
            </w:pPr>
            <w:r w:rsidRPr="00982564">
              <w:rPr>
                <w:rFonts w:cs="Arial"/>
                <w:color w:val="000000"/>
                <w:sz w:val="22"/>
              </w:rPr>
              <w:t>- L’appui au développement de chaines de valeurs dans les filières agricoles suivantes : manioc, mais, haricot, riz, pomme de terre, soja, huile de palme, café ;</w:t>
            </w:r>
            <w:r w:rsidRPr="00982564">
              <w:rPr>
                <w:rFonts w:cs="Arial"/>
                <w:color w:val="000000"/>
                <w:sz w:val="22"/>
              </w:rPr>
              <w:br/>
              <w:t>- Approvisionnement en intrants agricoles de qualité : semences vivrières, engrais minéraux, herbicides ;</w:t>
            </w:r>
            <w:r w:rsidRPr="00982564">
              <w:rPr>
                <w:rFonts w:cs="Arial"/>
                <w:color w:val="000000"/>
                <w:sz w:val="22"/>
              </w:rPr>
              <w:br/>
              <w:t>- Encadrement technique des producteurs agricoles regroupés en coopérative</w:t>
            </w:r>
          </w:p>
        </w:tc>
        <w:tc>
          <w:tcPr>
            <w:tcW w:w="2456" w:type="dxa"/>
            <w:shd w:val="clear" w:color="auto" w:fill="auto"/>
            <w:vAlign w:val="center"/>
          </w:tcPr>
          <w:p w14:paraId="7EDD8049"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Non intégration de la dimension environnementale et sociale dans les activités des Associations des producteurs et Coopératives</w:t>
            </w:r>
          </w:p>
        </w:tc>
        <w:tc>
          <w:tcPr>
            <w:tcW w:w="2666" w:type="dxa"/>
            <w:shd w:val="clear" w:color="auto" w:fill="auto"/>
            <w:vAlign w:val="center"/>
          </w:tcPr>
          <w:p w14:paraId="128F6423"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 xml:space="preserve">Prévoir un budget d’intervention de ces organisations dans le suivi environnemental du Projet ; </w:t>
            </w:r>
          </w:p>
          <w:p w14:paraId="220150AF"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Prévoir des formations sur la lutte contre la COVID-19 et aussi sur l’EAS/HS, incluant les mesures d’atténuation y afférentes et la gestion de ces plaintes ;</w:t>
            </w:r>
          </w:p>
          <w:p w14:paraId="2781055E"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Prévoir des formations en évaluation environnementale notamment le suivi des PGES, le screening.</w:t>
            </w:r>
          </w:p>
        </w:tc>
      </w:tr>
      <w:tr w:rsidR="001C2F95" w:rsidRPr="00982564" w14:paraId="4266ACCE" w14:textId="77777777" w:rsidTr="00971FD2">
        <w:trPr>
          <w:cantSplit/>
          <w:trHeight w:val="1810"/>
        </w:trPr>
        <w:tc>
          <w:tcPr>
            <w:tcW w:w="1794" w:type="dxa"/>
            <w:shd w:val="clear" w:color="auto" w:fill="auto"/>
            <w:vAlign w:val="center"/>
          </w:tcPr>
          <w:p w14:paraId="7328BEF1" w14:textId="77777777" w:rsidR="001C2F95" w:rsidRPr="00982564" w:rsidRDefault="001C2F95" w:rsidP="00971FD2">
            <w:pPr>
              <w:jc w:val="left"/>
              <w:rPr>
                <w:rFonts w:cs="Arial"/>
                <w:color w:val="000000"/>
                <w:sz w:val="22"/>
              </w:rPr>
            </w:pPr>
            <w:r w:rsidRPr="00982564">
              <w:rPr>
                <w:rFonts w:cs="Arial"/>
                <w:color w:val="000000"/>
                <w:sz w:val="22"/>
              </w:rPr>
              <w:t xml:space="preserve">Banque Centrale et autres </w:t>
            </w:r>
            <w:r w:rsidR="00623A52" w:rsidRPr="00982564">
              <w:rPr>
                <w:rFonts w:cs="Arial"/>
                <w:color w:val="000000"/>
                <w:sz w:val="22"/>
              </w:rPr>
              <w:t>intermédiaires</w:t>
            </w:r>
            <w:r w:rsidRPr="00982564">
              <w:rPr>
                <w:rFonts w:cs="Arial"/>
                <w:color w:val="000000"/>
                <w:sz w:val="22"/>
              </w:rPr>
              <w:t xml:space="preserve"> financiers </w:t>
            </w:r>
          </w:p>
        </w:tc>
        <w:tc>
          <w:tcPr>
            <w:tcW w:w="2980" w:type="dxa"/>
            <w:shd w:val="clear" w:color="auto" w:fill="auto"/>
            <w:vAlign w:val="center"/>
          </w:tcPr>
          <w:p w14:paraId="7D321B5C" w14:textId="77777777" w:rsidR="001C2F95" w:rsidRPr="00982564" w:rsidRDefault="001C2F95" w:rsidP="00971FD2">
            <w:pPr>
              <w:jc w:val="left"/>
              <w:rPr>
                <w:rFonts w:cs="Arial"/>
                <w:color w:val="000000"/>
                <w:sz w:val="22"/>
              </w:rPr>
            </w:pPr>
            <w:r w:rsidRPr="00982564">
              <w:rPr>
                <w:rFonts w:cs="Arial"/>
                <w:color w:val="000000"/>
                <w:sz w:val="22"/>
              </w:rPr>
              <w:t>Absence d’un service chargé de l’environnement</w:t>
            </w:r>
          </w:p>
        </w:tc>
        <w:tc>
          <w:tcPr>
            <w:tcW w:w="2456" w:type="dxa"/>
            <w:shd w:val="clear" w:color="auto" w:fill="auto"/>
            <w:vAlign w:val="center"/>
          </w:tcPr>
          <w:p w14:paraId="06508359"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Absence d’une politique environnementale et sociale au niveau de la Banque Centrale</w:t>
            </w:r>
          </w:p>
        </w:tc>
        <w:tc>
          <w:tcPr>
            <w:tcW w:w="2666" w:type="dxa"/>
            <w:shd w:val="clear" w:color="auto" w:fill="auto"/>
            <w:vAlign w:val="center"/>
          </w:tcPr>
          <w:p w14:paraId="59CBA899"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Mettre en place une unité environnementale et sociale au sein de la BCC</w:t>
            </w:r>
          </w:p>
          <w:p w14:paraId="750FE96B"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Formation sur le CES</w:t>
            </w:r>
          </w:p>
          <w:p w14:paraId="7E7AA707"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Prévoir des formations en évaluation environnementale notamment le suivi des PGES, le screening.</w:t>
            </w:r>
          </w:p>
        </w:tc>
      </w:tr>
      <w:tr w:rsidR="001C2F95" w:rsidRPr="00982564" w14:paraId="21B55275" w14:textId="77777777" w:rsidTr="00971FD2">
        <w:trPr>
          <w:cantSplit/>
          <w:trHeight w:val="1810"/>
        </w:trPr>
        <w:tc>
          <w:tcPr>
            <w:tcW w:w="1794" w:type="dxa"/>
            <w:shd w:val="clear" w:color="auto" w:fill="auto"/>
            <w:vAlign w:val="center"/>
          </w:tcPr>
          <w:p w14:paraId="78003F03" w14:textId="77777777" w:rsidR="001C2F95" w:rsidRPr="00982564" w:rsidRDefault="001C2F95" w:rsidP="00971FD2">
            <w:pPr>
              <w:jc w:val="left"/>
              <w:rPr>
                <w:rFonts w:cs="Arial"/>
                <w:color w:val="000000"/>
                <w:sz w:val="22"/>
              </w:rPr>
            </w:pPr>
            <w:r w:rsidRPr="00982564">
              <w:rPr>
                <w:rFonts w:cs="Arial"/>
                <w:color w:val="000000"/>
                <w:sz w:val="22"/>
              </w:rPr>
              <w:t>Equity</w:t>
            </w:r>
            <w:r w:rsidR="00623A52">
              <w:rPr>
                <w:rFonts w:cs="Arial"/>
                <w:color w:val="000000"/>
                <w:sz w:val="22"/>
              </w:rPr>
              <w:t xml:space="preserve"> </w:t>
            </w:r>
            <w:r w:rsidRPr="00982564">
              <w:rPr>
                <w:rFonts w:cs="Arial"/>
                <w:color w:val="000000"/>
                <w:sz w:val="22"/>
              </w:rPr>
              <w:t xml:space="preserve">Bank </w:t>
            </w:r>
            <w:r w:rsidR="00623A52">
              <w:rPr>
                <w:rFonts w:cs="Arial"/>
                <w:color w:val="000000"/>
                <w:sz w:val="22"/>
              </w:rPr>
              <w:t>BCDC</w:t>
            </w:r>
          </w:p>
        </w:tc>
        <w:tc>
          <w:tcPr>
            <w:tcW w:w="2980" w:type="dxa"/>
            <w:shd w:val="clear" w:color="auto" w:fill="auto"/>
            <w:vAlign w:val="center"/>
          </w:tcPr>
          <w:p w14:paraId="3C7E50AC" w14:textId="77777777" w:rsidR="001C2F95" w:rsidRPr="00982564" w:rsidRDefault="001C2F95" w:rsidP="00971FD2">
            <w:pPr>
              <w:jc w:val="left"/>
              <w:rPr>
                <w:rFonts w:cs="Arial"/>
                <w:color w:val="000000"/>
                <w:sz w:val="22"/>
              </w:rPr>
            </w:pPr>
            <w:r w:rsidRPr="00982564">
              <w:rPr>
                <w:rFonts w:cs="Arial"/>
                <w:color w:val="000000"/>
                <w:sz w:val="22"/>
              </w:rPr>
              <w:t xml:space="preserve">Présence d’une politique environnementale et sociale </w:t>
            </w:r>
          </w:p>
        </w:tc>
        <w:tc>
          <w:tcPr>
            <w:tcW w:w="2456" w:type="dxa"/>
            <w:shd w:val="clear" w:color="auto" w:fill="auto"/>
            <w:vAlign w:val="center"/>
          </w:tcPr>
          <w:p w14:paraId="54E9B69E"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Absence d’un service chargé de l’environnement</w:t>
            </w:r>
          </w:p>
        </w:tc>
        <w:tc>
          <w:tcPr>
            <w:tcW w:w="2666" w:type="dxa"/>
            <w:shd w:val="clear" w:color="auto" w:fill="auto"/>
            <w:vAlign w:val="center"/>
          </w:tcPr>
          <w:p w14:paraId="250FA6F6"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Mettre en place une unité environnementale et sociale au sein d’Equity</w:t>
            </w:r>
            <w:r w:rsidR="00A01158">
              <w:rPr>
                <w:rFonts w:cs="Arial"/>
                <w:color w:val="000000"/>
                <w:sz w:val="22"/>
              </w:rPr>
              <w:t xml:space="preserve"> </w:t>
            </w:r>
            <w:r w:rsidRPr="00982564">
              <w:rPr>
                <w:rFonts w:cs="Arial"/>
                <w:color w:val="000000"/>
                <w:sz w:val="22"/>
              </w:rPr>
              <w:t>Bank Congo</w:t>
            </w:r>
          </w:p>
          <w:p w14:paraId="648503DB"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Formation sur le CES</w:t>
            </w:r>
          </w:p>
          <w:p w14:paraId="5DF1D641"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Prévoir des formations en évaluation environnementale notamment le suivi des PGES, le screening.</w:t>
            </w:r>
          </w:p>
        </w:tc>
      </w:tr>
      <w:tr w:rsidR="001C2F95" w:rsidRPr="00982564" w14:paraId="26BBF713" w14:textId="77777777" w:rsidTr="00971FD2">
        <w:trPr>
          <w:cantSplit/>
          <w:trHeight w:val="1810"/>
        </w:trPr>
        <w:tc>
          <w:tcPr>
            <w:tcW w:w="1794" w:type="dxa"/>
            <w:shd w:val="clear" w:color="auto" w:fill="auto"/>
            <w:vAlign w:val="center"/>
          </w:tcPr>
          <w:p w14:paraId="442919FC" w14:textId="77777777" w:rsidR="001C2F95" w:rsidRPr="00982564" w:rsidRDefault="001C2F95" w:rsidP="00971FD2">
            <w:pPr>
              <w:jc w:val="left"/>
              <w:rPr>
                <w:rFonts w:cs="Arial"/>
                <w:color w:val="000000"/>
                <w:sz w:val="22"/>
              </w:rPr>
            </w:pPr>
            <w:r w:rsidRPr="00982564">
              <w:rPr>
                <w:rFonts w:cs="Arial"/>
                <w:color w:val="000000"/>
                <w:sz w:val="22"/>
              </w:rPr>
              <w:t>Raw Bank Sarl</w:t>
            </w:r>
          </w:p>
        </w:tc>
        <w:tc>
          <w:tcPr>
            <w:tcW w:w="2980" w:type="dxa"/>
            <w:shd w:val="clear" w:color="auto" w:fill="auto"/>
            <w:vAlign w:val="center"/>
          </w:tcPr>
          <w:p w14:paraId="77D6BD53" w14:textId="77777777" w:rsidR="001C2F95" w:rsidRPr="00982564" w:rsidRDefault="001C2F95" w:rsidP="00971FD2">
            <w:pPr>
              <w:jc w:val="left"/>
              <w:rPr>
                <w:rFonts w:cs="Arial"/>
                <w:color w:val="000000"/>
                <w:sz w:val="22"/>
              </w:rPr>
            </w:pPr>
            <w:r w:rsidRPr="00982564">
              <w:rPr>
                <w:rFonts w:cs="Arial"/>
                <w:color w:val="000000"/>
                <w:sz w:val="22"/>
              </w:rPr>
              <w:t xml:space="preserve">Présence d’une politique environnementale et sociale </w:t>
            </w:r>
          </w:p>
        </w:tc>
        <w:tc>
          <w:tcPr>
            <w:tcW w:w="2456" w:type="dxa"/>
            <w:shd w:val="clear" w:color="auto" w:fill="auto"/>
            <w:vAlign w:val="center"/>
          </w:tcPr>
          <w:p w14:paraId="0429FEC2"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Absence d’un service chargé de l’environnement</w:t>
            </w:r>
          </w:p>
        </w:tc>
        <w:tc>
          <w:tcPr>
            <w:tcW w:w="2666" w:type="dxa"/>
            <w:shd w:val="clear" w:color="auto" w:fill="auto"/>
            <w:vAlign w:val="center"/>
          </w:tcPr>
          <w:p w14:paraId="5A1F17A4"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Mettre en place une unité environnementale et sociale au sein de la RawBank ;</w:t>
            </w:r>
          </w:p>
          <w:p w14:paraId="75DACD22"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Formation sur le CES</w:t>
            </w:r>
          </w:p>
          <w:p w14:paraId="65FC9A65" w14:textId="77777777" w:rsidR="001C2F95" w:rsidRPr="00982564" w:rsidRDefault="001C2F95" w:rsidP="002378EA">
            <w:pPr>
              <w:pStyle w:val="Paragraphedeliste"/>
              <w:numPr>
                <w:ilvl w:val="0"/>
                <w:numId w:val="21"/>
              </w:numPr>
              <w:ind w:left="109" w:hanging="109"/>
              <w:jc w:val="left"/>
              <w:rPr>
                <w:rFonts w:cs="Arial"/>
                <w:color w:val="000000"/>
                <w:sz w:val="22"/>
              </w:rPr>
            </w:pPr>
            <w:r w:rsidRPr="00982564">
              <w:rPr>
                <w:rFonts w:cs="Arial"/>
                <w:color w:val="000000"/>
                <w:sz w:val="22"/>
              </w:rPr>
              <w:t>Prévoir des formations en évaluation environnementale notamment le suivi des PGES, le screening.</w:t>
            </w:r>
          </w:p>
        </w:tc>
      </w:tr>
    </w:tbl>
    <w:p w14:paraId="14025A57" w14:textId="77777777" w:rsidR="001C2F95" w:rsidRPr="00982564" w:rsidRDefault="001C2F95" w:rsidP="001C2F95">
      <w:pPr>
        <w:rPr>
          <w:rFonts w:cs="Arial"/>
          <w:i/>
          <w:sz w:val="22"/>
        </w:rPr>
      </w:pPr>
    </w:p>
    <w:p w14:paraId="39506531" w14:textId="77777777" w:rsidR="001C2F95" w:rsidRPr="00982564" w:rsidRDefault="001C2F95" w:rsidP="001C2F95">
      <w:pPr>
        <w:spacing w:line="240" w:lineRule="auto"/>
        <w:jc w:val="left"/>
        <w:rPr>
          <w:rFonts w:cs="Arial"/>
          <w:i/>
          <w:sz w:val="22"/>
        </w:rPr>
      </w:pPr>
      <w:r w:rsidRPr="00982564">
        <w:rPr>
          <w:rFonts w:cs="Arial"/>
          <w:i/>
          <w:sz w:val="22"/>
        </w:rPr>
        <w:t>Recommandations pour la gestion environnementale et sociale du PNDA</w:t>
      </w:r>
    </w:p>
    <w:p w14:paraId="5C46DB5F" w14:textId="77777777" w:rsidR="001C2F95" w:rsidRPr="00982564" w:rsidRDefault="001C2F95" w:rsidP="001C2F95">
      <w:pPr>
        <w:rPr>
          <w:rFonts w:cs="Arial"/>
          <w:bCs/>
          <w:sz w:val="22"/>
        </w:rPr>
      </w:pPr>
    </w:p>
    <w:p w14:paraId="255AABCC" w14:textId="77777777" w:rsidR="001C2F95" w:rsidRPr="00982564" w:rsidRDefault="001C2F95" w:rsidP="001C2F95">
      <w:pPr>
        <w:rPr>
          <w:rFonts w:cs="Arial"/>
          <w:bCs/>
          <w:sz w:val="22"/>
        </w:rPr>
      </w:pPr>
      <w:r w:rsidRPr="00982564">
        <w:rPr>
          <w:rFonts w:cs="Arial"/>
          <w:bCs/>
          <w:sz w:val="22"/>
        </w:rPr>
        <w:t>Au total, la fonction environnementale et sociale nécessite d’être renforcée au sein de ces institutions, et au sein des coop</w:t>
      </w:r>
      <w:r w:rsidR="00982564" w:rsidRPr="00982564">
        <w:rPr>
          <w:rFonts w:cs="Arial"/>
          <w:bCs/>
          <w:sz w:val="22"/>
        </w:rPr>
        <w:t>é</w:t>
      </w:r>
      <w:r w:rsidRPr="00982564">
        <w:rPr>
          <w:rFonts w:cs="Arial"/>
          <w:bCs/>
          <w:sz w:val="22"/>
        </w:rPr>
        <w:t>ratives agricoles b</w:t>
      </w:r>
      <w:r w:rsidR="00982564" w:rsidRPr="00982564">
        <w:rPr>
          <w:rFonts w:cs="Arial"/>
          <w:bCs/>
          <w:sz w:val="22"/>
        </w:rPr>
        <w:t>é</w:t>
      </w:r>
      <w:r w:rsidRPr="00982564">
        <w:rPr>
          <w:rFonts w:cs="Arial"/>
          <w:bCs/>
          <w:sz w:val="22"/>
        </w:rPr>
        <w:t>n</w:t>
      </w:r>
      <w:r w:rsidR="00982564" w:rsidRPr="00982564">
        <w:rPr>
          <w:rFonts w:cs="Arial"/>
          <w:bCs/>
          <w:sz w:val="22"/>
        </w:rPr>
        <w:t>é</w:t>
      </w:r>
      <w:r w:rsidRPr="00982564">
        <w:rPr>
          <w:rFonts w:cs="Arial"/>
          <w:bCs/>
          <w:sz w:val="22"/>
        </w:rPr>
        <w:t>ficiaires/associations des producteurs/</w:t>
      </w:r>
      <w:r w:rsidR="00982564" w:rsidRPr="00982564">
        <w:rPr>
          <w:rFonts w:cs="Arial"/>
          <w:bCs/>
          <w:sz w:val="22"/>
        </w:rPr>
        <w:t>t</w:t>
      </w:r>
      <w:r w:rsidRPr="00982564">
        <w:rPr>
          <w:rFonts w:cs="Arial"/>
          <w:bCs/>
          <w:sz w:val="22"/>
        </w:rPr>
        <w:t xml:space="preserve">rices pour garantir la durabilité des activités du Programme. Dans cette perspective, les capacités des agents de ces différentes institutions devront être davantage renforcées, notamment sur le plan du suivi environnemental et social des activités, en rapport avec le Nouveau Cadre Environnementale et Sociale de la Banque mondiale. </w:t>
      </w:r>
    </w:p>
    <w:p w14:paraId="227D743F" w14:textId="77777777" w:rsidR="001C2F95" w:rsidRPr="00982564" w:rsidRDefault="001C2F95" w:rsidP="001C2F95">
      <w:pPr>
        <w:rPr>
          <w:rFonts w:cs="Arial"/>
          <w:sz w:val="22"/>
        </w:rPr>
      </w:pPr>
    </w:p>
    <w:p w14:paraId="41E16523" w14:textId="77777777" w:rsidR="001C2F95" w:rsidRPr="00982564" w:rsidRDefault="001C2F95" w:rsidP="001C2F95">
      <w:pPr>
        <w:rPr>
          <w:rFonts w:cs="Arial"/>
          <w:sz w:val="22"/>
        </w:rPr>
      </w:pPr>
      <w:r w:rsidRPr="00982564">
        <w:rPr>
          <w:rFonts w:cs="Arial"/>
          <w:bCs/>
          <w:sz w:val="22"/>
        </w:rPr>
        <w:t xml:space="preserve">Le renforcement portera aussi sur la </w:t>
      </w:r>
      <w:r w:rsidRPr="00982564">
        <w:rPr>
          <w:rFonts w:cs="Arial"/>
          <w:sz w:val="22"/>
        </w:rPr>
        <w:t xml:space="preserve">formation des autres acteurs impliqués et la sensibilisation des populations dans les cinq provinces concernées par le </w:t>
      </w:r>
      <w:r w:rsidRPr="00982564">
        <w:rPr>
          <w:rFonts w:cs="Arial"/>
          <w:bCs/>
          <w:sz w:val="22"/>
        </w:rPr>
        <w:t>Programme</w:t>
      </w:r>
      <w:r w:rsidRPr="00982564">
        <w:rPr>
          <w:rFonts w:cs="Arial"/>
          <w:sz w:val="22"/>
        </w:rPr>
        <w:t>. Ces actions d’appui technique, de formation et de sensibilisation visent à rendre opérationnelle la stratégie de gestion environnementale et sociale du PNDA et de protéger l’environnement agricole, les infrastructures de desserte agricole, la santé et la sécurité des populations bénéficiaires.</w:t>
      </w:r>
    </w:p>
    <w:p w14:paraId="7EF1B7CB" w14:textId="77777777" w:rsidR="001C2F95" w:rsidRDefault="001C2F95" w:rsidP="001C2F95">
      <w:pPr>
        <w:pStyle w:val="WB-Numbered"/>
        <w:numPr>
          <w:ilvl w:val="0"/>
          <w:numId w:val="0"/>
        </w:numPr>
        <w:spacing w:after="0"/>
        <w:rPr>
          <w:rFonts w:ascii="Arial" w:hAnsi="Arial" w:cs="Arial"/>
          <w:sz w:val="21"/>
          <w:szCs w:val="21"/>
          <w:lang w:val="fr-FR"/>
        </w:rPr>
      </w:pPr>
    </w:p>
    <w:p w14:paraId="1A24DCE9" w14:textId="77777777" w:rsidR="00022EB8" w:rsidRPr="00F003DE" w:rsidRDefault="00022EB8" w:rsidP="00022EB8">
      <w:pPr>
        <w:pStyle w:val="Titre2"/>
        <w:numPr>
          <w:ilvl w:val="1"/>
          <w:numId w:val="4"/>
        </w:numPr>
        <w:ind w:left="851" w:hanging="425"/>
        <w:rPr>
          <w:rFonts w:cs="Arial"/>
          <w:b/>
          <w:sz w:val="22"/>
          <w:szCs w:val="22"/>
        </w:rPr>
      </w:pPr>
      <w:bookmarkStart w:id="384" w:name="_Toc70330392"/>
      <w:r w:rsidRPr="00F003DE">
        <w:rPr>
          <w:rFonts w:cs="Arial"/>
          <w:b/>
          <w:sz w:val="22"/>
          <w:szCs w:val="22"/>
        </w:rPr>
        <w:t>Activités de renforcement des capacités des acteurs responsables de la mise en œuvre du CGES</w:t>
      </w:r>
      <w:bookmarkEnd w:id="384"/>
    </w:p>
    <w:p w14:paraId="133B9B5B" w14:textId="77777777" w:rsidR="00022EB8" w:rsidRPr="007179F2" w:rsidRDefault="00022EB8" w:rsidP="00022EB8">
      <w:pPr>
        <w:rPr>
          <w:rFonts w:cs="Arial"/>
          <w:sz w:val="22"/>
        </w:rPr>
      </w:pPr>
    </w:p>
    <w:p w14:paraId="70C3BB30" w14:textId="77777777" w:rsidR="00022EB8" w:rsidRPr="007179F2" w:rsidRDefault="00022EB8" w:rsidP="00022EB8">
      <w:pPr>
        <w:rPr>
          <w:rFonts w:cs="Arial"/>
          <w:sz w:val="22"/>
        </w:rPr>
      </w:pPr>
      <w:r w:rsidRPr="007179F2">
        <w:rPr>
          <w:rFonts w:cs="Arial"/>
          <w:sz w:val="22"/>
        </w:rPr>
        <w:t>Au vu de ce qui précède, la gestion environnementale et sociale des activités du PNDA nécessite d’être renforcée par les mesures décrites ci-dessous pour permettre au Projet d’être en phase avec les exigences environnementales et sociales nationales et internationales.</w:t>
      </w:r>
    </w:p>
    <w:p w14:paraId="1FF10512" w14:textId="77777777" w:rsidR="00022EB8" w:rsidRPr="007179F2" w:rsidRDefault="00022EB8" w:rsidP="00022EB8">
      <w:pPr>
        <w:rPr>
          <w:rFonts w:cs="Arial"/>
          <w:sz w:val="22"/>
        </w:rPr>
      </w:pPr>
    </w:p>
    <w:p w14:paraId="7C5C34EA" w14:textId="77777777" w:rsidR="00022EB8" w:rsidRPr="007179F2" w:rsidRDefault="00022EB8" w:rsidP="002378EA">
      <w:pPr>
        <w:pStyle w:val="Paragraphedeliste"/>
        <w:keepNext/>
        <w:numPr>
          <w:ilvl w:val="0"/>
          <w:numId w:val="11"/>
        </w:numPr>
        <w:tabs>
          <w:tab w:val="left" w:pos="720"/>
        </w:tabs>
        <w:contextualSpacing w:val="0"/>
        <w:jc w:val="left"/>
        <w:outlineLvl w:val="2"/>
        <w:rPr>
          <w:rFonts w:cs="Arial"/>
          <w:vanish/>
          <w:sz w:val="22"/>
          <w:u w:val="single"/>
        </w:rPr>
      </w:pPr>
      <w:bookmarkStart w:id="385" w:name="_Toc70326797"/>
      <w:bookmarkStart w:id="386" w:name="_Toc70327030"/>
      <w:bookmarkStart w:id="387" w:name="_Toc70330393"/>
      <w:bookmarkEnd w:id="385"/>
      <w:bookmarkEnd w:id="386"/>
      <w:bookmarkEnd w:id="387"/>
    </w:p>
    <w:p w14:paraId="7866E9BE" w14:textId="77777777" w:rsidR="00022EB8" w:rsidRPr="007179F2" w:rsidRDefault="00022EB8" w:rsidP="002378EA">
      <w:pPr>
        <w:pStyle w:val="Paragraphedeliste"/>
        <w:keepNext/>
        <w:numPr>
          <w:ilvl w:val="0"/>
          <w:numId w:val="11"/>
        </w:numPr>
        <w:tabs>
          <w:tab w:val="left" w:pos="720"/>
        </w:tabs>
        <w:contextualSpacing w:val="0"/>
        <w:jc w:val="left"/>
        <w:outlineLvl w:val="2"/>
        <w:rPr>
          <w:rFonts w:cs="Arial"/>
          <w:vanish/>
          <w:sz w:val="22"/>
          <w:u w:val="single"/>
        </w:rPr>
      </w:pPr>
      <w:bookmarkStart w:id="388" w:name="_Toc70326798"/>
      <w:bookmarkStart w:id="389" w:name="_Toc70327031"/>
      <w:bookmarkStart w:id="390" w:name="_Toc70330394"/>
      <w:bookmarkEnd w:id="388"/>
      <w:bookmarkEnd w:id="389"/>
      <w:bookmarkEnd w:id="390"/>
    </w:p>
    <w:p w14:paraId="1F221E3A" w14:textId="77777777" w:rsidR="00022EB8" w:rsidRPr="007179F2" w:rsidRDefault="00022EB8" w:rsidP="002378EA">
      <w:pPr>
        <w:pStyle w:val="Paragraphedeliste"/>
        <w:keepNext/>
        <w:numPr>
          <w:ilvl w:val="0"/>
          <w:numId w:val="11"/>
        </w:numPr>
        <w:tabs>
          <w:tab w:val="left" w:pos="720"/>
        </w:tabs>
        <w:contextualSpacing w:val="0"/>
        <w:jc w:val="left"/>
        <w:outlineLvl w:val="2"/>
        <w:rPr>
          <w:rFonts w:cs="Arial"/>
          <w:vanish/>
          <w:sz w:val="22"/>
          <w:u w:val="single"/>
        </w:rPr>
      </w:pPr>
      <w:bookmarkStart w:id="391" w:name="_Toc70326799"/>
      <w:bookmarkStart w:id="392" w:name="_Toc70327032"/>
      <w:bookmarkStart w:id="393" w:name="_Toc70330395"/>
      <w:bookmarkEnd w:id="391"/>
      <w:bookmarkEnd w:id="392"/>
      <w:bookmarkEnd w:id="393"/>
    </w:p>
    <w:p w14:paraId="7AEE68D0" w14:textId="77777777" w:rsidR="00022EB8" w:rsidRPr="007179F2" w:rsidRDefault="00022EB8" w:rsidP="002378EA">
      <w:pPr>
        <w:pStyle w:val="Paragraphedeliste"/>
        <w:keepNext/>
        <w:numPr>
          <w:ilvl w:val="0"/>
          <w:numId w:val="11"/>
        </w:numPr>
        <w:tabs>
          <w:tab w:val="left" w:pos="720"/>
        </w:tabs>
        <w:contextualSpacing w:val="0"/>
        <w:jc w:val="left"/>
        <w:outlineLvl w:val="2"/>
        <w:rPr>
          <w:rFonts w:cs="Arial"/>
          <w:vanish/>
          <w:sz w:val="22"/>
          <w:u w:val="single"/>
        </w:rPr>
      </w:pPr>
      <w:bookmarkStart w:id="394" w:name="_Toc70326800"/>
      <w:bookmarkStart w:id="395" w:name="_Toc70327033"/>
      <w:bookmarkStart w:id="396" w:name="_Toc70330396"/>
      <w:bookmarkEnd w:id="394"/>
      <w:bookmarkEnd w:id="395"/>
      <w:bookmarkEnd w:id="396"/>
    </w:p>
    <w:p w14:paraId="2737FA49" w14:textId="77777777" w:rsidR="00022EB8" w:rsidRPr="007179F2" w:rsidRDefault="00022EB8" w:rsidP="002378EA">
      <w:pPr>
        <w:pStyle w:val="Paragraphedeliste"/>
        <w:keepNext/>
        <w:numPr>
          <w:ilvl w:val="0"/>
          <w:numId w:val="11"/>
        </w:numPr>
        <w:tabs>
          <w:tab w:val="left" w:pos="720"/>
        </w:tabs>
        <w:contextualSpacing w:val="0"/>
        <w:jc w:val="left"/>
        <w:outlineLvl w:val="2"/>
        <w:rPr>
          <w:rFonts w:cs="Arial"/>
          <w:vanish/>
          <w:sz w:val="22"/>
          <w:u w:val="single"/>
        </w:rPr>
      </w:pPr>
      <w:bookmarkStart w:id="397" w:name="_Toc70326801"/>
      <w:bookmarkStart w:id="398" w:name="_Toc70327034"/>
      <w:bookmarkStart w:id="399" w:name="_Toc70330397"/>
      <w:bookmarkEnd w:id="397"/>
      <w:bookmarkEnd w:id="398"/>
      <w:bookmarkEnd w:id="399"/>
    </w:p>
    <w:p w14:paraId="29898CC6" w14:textId="77777777" w:rsidR="00022EB8" w:rsidRPr="007179F2" w:rsidRDefault="00022EB8" w:rsidP="002378EA">
      <w:pPr>
        <w:pStyle w:val="Paragraphedeliste"/>
        <w:keepNext/>
        <w:numPr>
          <w:ilvl w:val="0"/>
          <w:numId w:val="11"/>
        </w:numPr>
        <w:tabs>
          <w:tab w:val="left" w:pos="720"/>
        </w:tabs>
        <w:contextualSpacing w:val="0"/>
        <w:jc w:val="left"/>
        <w:outlineLvl w:val="2"/>
        <w:rPr>
          <w:rFonts w:cs="Arial"/>
          <w:vanish/>
          <w:sz w:val="22"/>
          <w:u w:val="single"/>
        </w:rPr>
      </w:pPr>
      <w:bookmarkStart w:id="400" w:name="_Toc70326802"/>
      <w:bookmarkStart w:id="401" w:name="_Toc70327035"/>
      <w:bookmarkStart w:id="402" w:name="_Toc70330398"/>
      <w:bookmarkEnd w:id="400"/>
      <w:bookmarkEnd w:id="401"/>
      <w:bookmarkEnd w:id="402"/>
    </w:p>
    <w:p w14:paraId="1CEA61FF" w14:textId="77777777" w:rsidR="00022EB8" w:rsidRPr="007179F2" w:rsidRDefault="00022EB8" w:rsidP="002378EA">
      <w:pPr>
        <w:pStyle w:val="Paragraphedeliste"/>
        <w:keepNext/>
        <w:numPr>
          <w:ilvl w:val="1"/>
          <w:numId w:val="11"/>
        </w:numPr>
        <w:tabs>
          <w:tab w:val="left" w:pos="720"/>
        </w:tabs>
        <w:contextualSpacing w:val="0"/>
        <w:jc w:val="left"/>
        <w:outlineLvl w:val="2"/>
        <w:rPr>
          <w:rFonts w:cs="Arial"/>
          <w:vanish/>
          <w:sz w:val="22"/>
          <w:u w:val="single"/>
        </w:rPr>
      </w:pPr>
      <w:bookmarkStart w:id="403" w:name="_Toc70326803"/>
      <w:bookmarkStart w:id="404" w:name="_Toc70327036"/>
      <w:bookmarkStart w:id="405" w:name="_Toc70330399"/>
      <w:bookmarkEnd w:id="403"/>
      <w:bookmarkEnd w:id="404"/>
      <w:bookmarkEnd w:id="405"/>
    </w:p>
    <w:p w14:paraId="66BE33D9" w14:textId="77777777" w:rsidR="00022EB8" w:rsidRPr="007179F2" w:rsidRDefault="00022EB8" w:rsidP="002378EA">
      <w:pPr>
        <w:pStyle w:val="Paragraphedeliste"/>
        <w:keepNext/>
        <w:numPr>
          <w:ilvl w:val="1"/>
          <w:numId w:val="11"/>
        </w:numPr>
        <w:tabs>
          <w:tab w:val="left" w:pos="720"/>
        </w:tabs>
        <w:contextualSpacing w:val="0"/>
        <w:jc w:val="left"/>
        <w:outlineLvl w:val="2"/>
        <w:rPr>
          <w:rFonts w:cs="Arial"/>
          <w:vanish/>
          <w:sz w:val="22"/>
          <w:u w:val="single"/>
        </w:rPr>
      </w:pPr>
      <w:bookmarkStart w:id="406" w:name="_Toc70326804"/>
      <w:bookmarkStart w:id="407" w:name="_Toc70327037"/>
      <w:bookmarkStart w:id="408" w:name="_Toc70330400"/>
      <w:bookmarkEnd w:id="406"/>
      <w:bookmarkEnd w:id="407"/>
      <w:bookmarkEnd w:id="408"/>
    </w:p>
    <w:p w14:paraId="29D7FF39" w14:textId="77777777" w:rsidR="00022EB8" w:rsidRPr="007179F2" w:rsidRDefault="00022EB8" w:rsidP="002378EA">
      <w:pPr>
        <w:pStyle w:val="Paragraphedeliste"/>
        <w:keepNext/>
        <w:numPr>
          <w:ilvl w:val="1"/>
          <w:numId w:val="13"/>
        </w:numPr>
        <w:tabs>
          <w:tab w:val="left" w:pos="720"/>
        </w:tabs>
        <w:contextualSpacing w:val="0"/>
        <w:jc w:val="left"/>
        <w:outlineLvl w:val="2"/>
        <w:rPr>
          <w:rFonts w:cs="Arial"/>
          <w:vanish/>
          <w:sz w:val="22"/>
          <w:u w:val="single"/>
        </w:rPr>
      </w:pPr>
      <w:bookmarkStart w:id="409" w:name="_Toc70326805"/>
      <w:bookmarkStart w:id="410" w:name="_Toc70327038"/>
      <w:bookmarkStart w:id="411" w:name="_Toc70330401"/>
      <w:bookmarkEnd w:id="409"/>
      <w:bookmarkEnd w:id="410"/>
      <w:bookmarkEnd w:id="411"/>
    </w:p>
    <w:p w14:paraId="5E66FD0E" w14:textId="77777777" w:rsidR="00022EB8" w:rsidRPr="007179F2" w:rsidRDefault="00022EB8" w:rsidP="002378EA">
      <w:pPr>
        <w:pStyle w:val="Paragraphedeliste"/>
        <w:keepNext/>
        <w:numPr>
          <w:ilvl w:val="1"/>
          <w:numId w:val="13"/>
        </w:numPr>
        <w:tabs>
          <w:tab w:val="left" w:pos="720"/>
        </w:tabs>
        <w:contextualSpacing w:val="0"/>
        <w:jc w:val="left"/>
        <w:outlineLvl w:val="2"/>
        <w:rPr>
          <w:rFonts w:cs="Arial"/>
          <w:vanish/>
          <w:sz w:val="22"/>
          <w:u w:val="single"/>
        </w:rPr>
      </w:pPr>
      <w:bookmarkStart w:id="412" w:name="_Toc70326806"/>
      <w:bookmarkStart w:id="413" w:name="_Toc70327039"/>
      <w:bookmarkStart w:id="414" w:name="_Toc70330402"/>
      <w:bookmarkEnd w:id="412"/>
      <w:bookmarkEnd w:id="413"/>
      <w:bookmarkEnd w:id="414"/>
    </w:p>
    <w:p w14:paraId="3006E9A3" w14:textId="77777777" w:rsidR="00022EB8" w:rsidRPr="007179F2" w:rsidRDefault="00022EB8" w:rsidP="002378EA">
      <w:pPr>
        <w:pStyle w:val="Paragraphedeliste"/>
        <w:keepNext/>
        <w:numPr>
          <w:ilvl w:val="0"/>
          <w:numId w:val="15"/>
        </w:numPr>
        <w:contextualSpacing w:val="0"/>
        <w:jc w:val="left"/>
        <w:outlineLvl w:val="2"/>
        <w:rPr>
          <w:rFonts w:cs="Arial"/>
          <w:vanish/>
          <w:sz w:val="22"/>
          <w:u w:val="single"/>
        </w:rPr>
      </w:pPr>
      <w:bookmarkStart w:id="415" w:name="_Toc70326807"/>
      <w:bookmarkStart w:id="416" w:name="_Toc70327040"/>
      <w:bookmarkStart w:id="417" w:name="_Toc70330403"/>
      <w:bookmarkEnd w:id="415"/>
      <w:bookmarkEnd w:id="416"/>
      <w:bookmarkEnd w:id="417"/>
    </w:p>
    <w:p w14:paraId="143DED1B" w14:textId="77777777" w:rsidR="00022EB8" w:rsidRPr="007179F2" w:rsidRDefault="00022EB8" w:rsidP="002378EA">
      <w:pPr>
        <w:pStyle w:val="Paragraphedeliste"/>
        <w:keepNext/>
        <w:numPr>
          <w:ilvl w:val="0"/>
          <w:numId w:val="15"/>
        </w:numPr>
        <w:contextualSpacing w:val="0"/>
        <w:jc w:val="left"/>
        <w:outlineLvl w:val="2"/>
        <w:rPr>
          <w:rFonts w:cs="Arial"/>
          <w:vanish/>
          <w:sz w:val="22"/>
          <w:u w:val="single"/>
        </w:rPr>
      </w:pPr>
      <w:bookmarkStart w:id="418" w:name="_Toc70326808"/>
      <w:bookmarkStart w:id="419" w:name="_Toc70327041"/>
      <w:bookmarkStart w:id="420" w:name="_Toc70330404"/>
      <w:bookmarkEnd w:id="418"/>
      <w:bookmarkEnd w:id="419"/>
      <w:bookmarkEnd w:id="420"/>
    </w:p>
    <w:p w14:paraId="26BDE4F3" w14:textId="77777777" w:rsidR="00022EB8" w:rsidRPr="007179F2" w:rsidRDefault="00022EB8" w:rsidP="002378EA">
      <w:pPr>
        <w:pStyle w:val="Paragraphedeliste"/>
        <w:keepNext/>
        <w:numPr>
          <w:ilvl w:val="1"/>
          <w:numId w:val="15"/>
        </w:numPr>
        <w:contextualSpacing w:val="0"/>
        <w:jc w:val="left"/>
        <w:outlineLvl w:val="2"/>
        <w:rPr>
          <w:rFonts w:cs="Arial"/>
          <w:vanish/>
          <w:sz w:val="22"/>
          <w:u w:val="single"/>
        </w:rPr>
      </w:pPr>
      <w:bookmarkStart w:id="421" w:name="_Toc70326809"/>
      <w:bookmarkStart w:id="422" w:name="_Toc70327042"/>
      <w:bookmarkStart w:id="423" w:name="_Toc70330405"/>
      <w:bookmarkEnd w:id="421"/>
      <w:bookmarkEnd w:id="422"/>
      <w:bookmarkEnd w:id="423"/>
    </w:p>
    <w:p w14:paraId="5E050455" w14:textId="77777777" w:rsidR="00022EB8" w:rsidRPr="007179F2" w:rsidRDefault="00022EB8" w:rsidP="00022EB8">
      <w:pPr>
        <w:pStyle w:val="Titre2"/>
        <w:numPr>
          <w:ilvl w:val="2"/>
          <w:numId w:val="4"/>
        </w:numPr>
        <w:ind w:left="1560" w:hanging="709"/>
        <w:rPr>
          <w:rFonts w:cs="Arial"/>
          <w:i/>
          <w:sz w:val="22"/>
          <w:szCs w:val="22"/>
        </w:rPr>
      </w:pPr>
      <w:bookmarkStart w:id="424" w:name="_Toc70330406"/>
      <w:r w:rsidRPr="007179F2">
        <w:rPr>
          <w:rFonts w:cs="Arial"/>
          <w:i/>
          <w:sz w:val="22"/>
          <w:szCs w:val="22"/>
        </w:rPr>
        <w:t>Mesures de renforcement institutionnel</w:t>
      </w:r>
      <w:bookmarkEnd w:id="424"/>
    </w:p>
    <w:p w14:paraId="01842AB7" w14:textId="77777777" w:rsidR="00022EB8" w:rsidRPr="007179F2" w:rsidRDefault="00022EB8" w:rsidP="00022EB8">
      <w:pPr>
        <w:rPr>
          <w:sz w:val="22"/>
        </w:rPr>
      </w:pPr>
    </w:p>
    <w:p w14:paraId="46676F4B" w14:textId="77777777" w:rsidR="00022EB8" w:rsidRPr="007179F2" w:rsidRDefault="00022EB8" w:rsidP="002378EA">
      <w:pPr>
        <w:numPr>
          <w:ilvl w:val="0"/>
          <w:numId w:val="31"/>
        </w:numPr>
        <w:tabs>
          <w:tab w:val="clear" w:pos="360"/>
          <w:tab w:val="num" w:pos="540"/>
        </w:tabs>
        <w:ind w:left="540" w:hanging="270"/>
        <w:rPr>
          <w:rFonts w:cs="Arial"/>
          <w:sz w:val="22"/>
        </w:rPr>
      </w:pPr>
      <w:r w:rsidRPr="007179F2">
        <w:rPr>
          <w:rFonts w:cs="Arial"/>
          <w:bCs/>
          <w:i/>
          <w:sz w:val="22"/>
        </w:rPr>
        <w:t xml:space="preserve">Renforcement des capacités du Comité Technique Préparatoire de Suivi </w:t>
      </w:r>
    </w:p>
    <w:p w14:paraId="09256EA9" w14:textId="77777777" w:rsidR="00022EB8" w:rsidRPr="007179F2" w:rsidRDefault="00022EB8" w:rsidP="00022EB8">
      <w:pPr>
        <w:ind w:left="540"/>
        <w:rPr>
          <w:rFonts w:cs="Arial"/>
          <w:sz w:val="22"/>
        </w:rPr>
      </w:pPr>
    </w:p>
    <w:p w14:paraId="7C13033C" w14:textId="77777777" w:rsidR="00022EB8" w:rsidRDefault="00022EB8" w:rsidP="00022EB8">
      <w:pPr>
        <w:ind w:left="540"/>
        <w:rPr>
          <w:rFonts w:cs="Arial"/>
          <w:sz w:val="22"/>
        </w:rPr>
      </w:pPr>
      <w:r w:rsidRPr="007179F2">
        <w:rPr>
          <w:rFonts w:cs="Arial"/>
          <w:sz w:val="22"/>
        </w:rPr>
        <w:t xml:space="preserve">Le CTPS va inclure dans son effectif, </w:t>
      </w:r>
      <w:r w:rsidRPr="007179F2">
        <w:rPr>
          <w:rFonts w:cs="Arial"/>
          <w:bCs/>
          <w:sz w:val="22"/>
        </w:rPr>
        <w:t>l’ACE du MEDD</w:t>
      </w:r>
      <w:r w:rsidRPr="007179F2">
        <w:rPr>
          <w:rFonts w:cs="Arial"/>
          <w:sz w:val="22"/>
        </w:rPr>
        <w:t>, ce qui permettra de mieux prendre en compte les orientations stratégiques d’ordre environnemental et d’assurer le respect des normes environnementales et sociales.</w:t>
      </w:r>
    </w:p>
    <w:p w14:paraId="00701DB2" w14:textId="77777777" w:rsidR="00022EB8" w:rsidRPr="007179F2" w:rsidRDefault="00022EB8" w:rsidP="00022EB8">
      <w:pPr>
        <w:ind w:left="540"/>
        <w:rPr>
          <w:rFonts w:cs="Arial"/>
          <w:sz w:val="22"/>
        </w:rPr>
      </w:pPr>
    </w:p>
    <w:p w14:paraId="682FE3BE" w14:textId="77777777" w:rsidR="00022EB8" w:rsidRPr="007179F2" w:rsidRDefault="00022EB8" w:rsidP="00022EB8">
      <w:pPr>
        <w:ind w:left="540"/>
        <w:rPr>
          <w:rFonts w:cs="Arial"/>
          <w:sz w:val="22"/>
        </w:rPr>
      </w:pPr>
      <w:r w:rsidRPr="007179F2">
        <w:rPr>
          <w:rFonts w:cs="Arial"/>
          <w:sz w:val="22"/>
        </w:rPr>
        <w:t xml:space="preserve">Quant au Comité de Pilotage du PNDA, il sera mis en place pour piloter et surveiller la mise en œuvre du Projet ; </w:t>
      </w:r>
      <w:r>
        <w:rPr>
          <w:rFonts w:cs="Arial"/>
          <w:sz w:val="22"/>
        </w:rPr>
        <w:t xml:space="preserve">on y trouvera à son sein l’Agence Congolaise de l’Environnement (ACE) qui jouera un rôle important de suivi environnemental et social. </w:t>
      </w:r>
      <w:r w:rsidRPr="007179F2">
        <w:rPr>
          <w:rFonts w:cs="Arial"/>
          <w:sz w:val="22"/>
        </w:rPr>
        <w:t>Il</w:t>
      </w:r>
      <w:r>
        <w:rPr>
          <w:rFonts w:cs="Arial"/>
          <w:sz w:val="22"/>
        </w:rPr>
        <w:t xml:space="preserve"> sied de signaler l’UNCP/PNDA a déjà</w:t>
      </w:r>
      <w:r w:rsidRPr="007179F2">
        <w:rPr>
          <w:rFonts w:cs="Arial"/>
          <w:sz w:val="22"/>
        </w:rPr>
        <w:t xml:space="preserve"> recrut</w:t>
      </w:r>
      <w:r>
        <w:rPr>
          <w:rFonts w:cs="Arial"/>
          <w:sz w:val="22"/>
        </w:rPr>
        <w:t xml:space="preserve">é </w:t>
      </w:r>
      <w:r w:rsidRPr="007179F2">
        <w:rPr>
          <w:rFonts w:cs="Arial"/>
          <w:sz w:val="22"/>
        </w:rPr>
        <w:t xml:space="preserve">un SSE et un </w:t>
      </w:r>
      <w:r>
        <w:rPr>
          <w:rFonts w:cs="Arial"/>
          <w:sz w:val="22"/>
        </w:rPr>
        <w:t>SSS</w:t>
      </w:r>
      <w:r w:rsidRPr="007179F2">
        <w:rPr>
          <w:rFonts w:cs="Arial"/>
          <w:sz w:val="22"/>
        </w:rPr>
        <w:t xml:space="preserve"> et d’un Spécialiste en VBG</w:t>
      </w:r>
      <w:r>
        <w:rPr>
          <w:rFonts w:cs="Arial"/>
          <w:sz w:val="22"/>
        </w:rPr>
        <w:t xml:space="preserve"> au sein de l’équipe de la mise en œuvre du Programme.</w:t>
      </w:r>
    </w:p>
    <w:p w14:paraId="1040E511" w14:textId="77777777" w:rsidR="00022EB8" w:rsidRPr="007179F2" w:rsidRDefault="00022EB8" w:rsidP="00022EB8">
      <w:pPr>
        <w:autoSpaceDE w:val="0"/>
        <w:autoSpaceDN w:val="0"/>
        <w:adjustRightInd w:val="0"/>
        <w:rPr>
          <w:rFonts w:cs="Arial"/>
          <w:bCs/>
          <w:sz w:val="22"/>
        </w:rPr>
      </w:pPr>
    </w:p>
    <w:p w14:paraId="24A0717A" w14:textId="77777777" w:rsidR="00022EB8" w:rsidRPr="007179F2" w:rsidRDefault="00022EB8" w:rsidP="002378EA">
      <w:pPr>
        <w:numPr>
          <w:ilvl w:val="0"/>
          <w:numId w:val="31"/>
        </w:numPr>
        <w:tabs>
          <w:tab w:val="clear" w:pos="360"/>
          <w:tab w:val="num" w:pos="540"/>
        </w:tabs>
        <w:ind w:left="540" w:hanging="270"/>
        <w:rPr>
          <w:rFonts w:cs="Arial"/>
          <w:bCs/>
          <w:i/>
          <w:sz w:val="22"/>
        </w:rPr>
      </w:pPr>
      <w:r w:rsidRPr="007179F2">
        <w:rPr>
          <w:rFonts w:cs="Arial"/>
          <w:bCs/>
          <w:i/>
          <w:sz w:val="22"/>
        </w:rPr>
        <w:t>Renforcement de l’expertise environnementale et sociale du PNDA</w:t>
      </w:r>
    </w:p>
    <w:p w14:paraId="3A2E26EB" w14:textId="77777777" w:rsidR="00022EB8" w:rsidRPr="007179F2" w:rsidRDefault="00022EB8" w:rsidP="00022EB8">
      <w:pPr>
        <w:ind w:left="540"/>
        <w:rPr>
          <w:rFonts w:cs="Arial"/>
          <w:sz w:val="22"/>
        </w:rPr>
      </w:pPr>
    </w:p>
    <w:p w14:paraId="1797D7CC" w14:textId="77777777" w:rsidR="00022EB8" w:rsidRPr="007179F2" w:rsidRDefault="00022EB8" w:rsidP="00022EB8">
      <w:pPr>
        <w:ind w:left="540"/>
        <w:rPr>
          <w:rFonts w:cs="Arial"/>
          <w:sz w:val="22"/>
        </w:rPr>
      </w:pPr>
      <w:r w:rsidRPr="007179F2">
        <w:rPr>
          <w:rFonts w:cs="Arial"/>
          <w:sz w:val="22"/>
        </w:rPr>
        <w:t>L’U</w:t>
      </w:r>
      <w:r>
        <w:rPr>
          <w:rFonts w:cs="Arial"/>
          <w:sz w:val="22"/>
        </w:rPr>
        <w:t>NCP</w:t>
      </w:r>
      <w:r w:rsidRPr="007179F2">
        <w:rPr>
          <w:rFonts w:cs="Arial"/>
          <w:sz w:val="22"/>
        </w:rPr>
        <w:t xml:space="preserve"> va recruter un SSE, un SSS et un </w:t>
      </w:r>
      <w:r>
        <w:rPr>
          <w:rFonts w:cs="Arial"/>
          <w:sz w:val="22"/>
        </w:rPr>
        <w:t>S</w:t>
      </w:r>
      <w:r w:rsidRPr="007179F2">
        <w:rPr>
          <w:rFonts w:cs="Arial"/>
          <w:sz w:val="22"/>
        </w:rPr>
        <w:t xml:space="preserve">VBG qui vont assurer la « fonction environnementale et sociale » dans la préparation et le suivi de la mise en œuvre des activités relatives à leur secteur. Ces Spécialistes seront formés en gestion environnementale et sociale ainsi qu’en </w:t>
      </w:r>
      <w:r>
        <w:rPr>
          <w:rFonts w:cs="Arial"/>
          <w:sz w:val="22"/>
        </w:rPr>
        <w:t xml:space="preserve">matière de prévention et réponse aux </w:t>
      </w:r>
      <w:r w:rsidRPr="007179F2">
        <w:rPr>
          <w:rFonts w:cs="Arial"/>
          <w:sz w:val="22"/>
        </w:rPr>
        <w:t xml:space="preserve">VBG et </w:t>
      </w:r>
      <w:r>
        <w:rPr>
          <w:rFonts w:cs="Arial"/>
          <w:sz w:val="22"/>
        </w:rPr>
        <w:t xml:space="preserve">à </w:t>
      </w:r>
      <w:r w:rsidRPr="007179F2">
        <w:rPr>
          <w:rFonts w:cs="Arial"/>
          <w:sz w:val="22"/>
        </w:rPr>
        <w:t>la COVID-19, mais aussi en moyens d’intervention et de suivi par le PNDA, pour leur permettre de remplir les fonctions qui leur sont dévolues dans le Projet.</w:t>
      </w:r>
    </w:p>
    <w:p w14:paraId="373E5918" w14:textId="77777777" w:rsidR="00022EB8" w:rsidRPr="007179F2" w:rsidRDefault="00022EB8" w:rsidP="00022EB8">
      <w:pPr>
        <w:autoSpaceDE w:val="0"/>
        <w:autoSpaceDN w:val="0"/>
        <w:adjustRightInd w:val="0"/>
        <w:rPr>
          <w:rFonts w:cs="Arial"/>
          <w:sz w:val="22"/>
        </w:rPr>
      </w:pPr>
    </w:p>
    <w:p w14:paraId="6DECB918" w14:textId="77777777" w:rsidR="00022EB8" w:rsidRDefault="00022EB8" w:rsidP="002378EA">
      <w:pPr>
        <w:numPr>
          <w:ilvl w:val="0"/>
          <w:numId w:val="31"/>
        </w:numPr>
        <w:tabs>
          <w:tab w:val="clear" w:pos="360"/>
          <w:tab w:val="num" w:pos="540"/>
        </w:tabs>
        <w:ind w:left="540" w:hanging="270"/>
        <w:rPr>
          <w:rFonts w:cs="Arial"/>
          <w:bCs/>
          <w:i/>
          <w:sz w:val="22"/>
        </w:rPr>
      </w:pPr>
      <w:r w:rsidRPr="007179F2">
        <w:rPr>
          <w:rFonts w:cs="Arial"/>
          <w:bCs/>
          <w:i/>
          <w:sz w:val="22"/>
        </w:rPr>
        <w:t>Renforcement de l’expertise environnementale et sociale des</w:t>
      </w:r>
      <w:r>
        <w:rPr>
          <w:rFonts w:cs="Arial"/>
          <w:bCs/>
          <w:i/>
          <w:sz w:val="22"/>
        </w:rPr>
        <w:t xml:space="preserve"> Intermédiaires financiers</w:t>
      </w:r>
    </w:p>
    <w:p w14:paraId="2D85C395" w14:textId="77777777" w:rsidR="00022EB8" w:rsidRDefault="00022EB8" w:rsidP="00022EB8">
      <w:pPr>
        <w:ind w:left="540"/>
        <w:rPr>
          <w:rFonts w:cs="Arial"/>
          <w:sz w:val="22"/>
        </w:rPr>
      </w:pPr>
    </w:p>
    <w:p w14:paraId="7FACFA53" w14:textId="77777777" w:rsidR="00022EB8" w:rsidRDefault="00022EB8" w:rsidP="00022EB8">
      <w:pPr>
        <w:rPr>
          <w:rFonts w:cs="Arial"/>
          <w:sz w:val="22"/>
        </w:rPr>
      </w:pPr>
      <w:r>
        <w:rPr>
          <w:rFonts w:cs="Arial"/>
          <w:sz w:val="22"/>
        </w:rPr>
        <w:t xml:space="preserve">Après la mise en place du </w:t>
      </w:r>
      <w:r w:rsidRPr="0065071D">
        <w:rPr>
          <w:rFonts w:cs="Arial"/>
          <w:sz w:val="22"/>
        </w:rPr>
        <w:t>système de gestion environnementale et sociale (SGES)</w:t>
      </w:r>
      <w:r>
        <w:rPr>
          <w:rFonts w:cs="Arial"/>
          <w:sz w:val="22"/>
        </w:rPr>
        <w:t xml:space="preserve"> des intermédiaires financiers, il sera nécessaire de procéder au renforcement des capacités des experts des IF sur le CES et le suivi environnemental et social des activités financées par les IF aux petits exploitants agricoles et aux coopératives et associations agricoles.</w:t>
      </w:r>
      <w:r w:rsidRPr="00691966">
        <w:rPr>
          <w:rFonts w:cs="Arial"/>
          <w:sz w:val="22"/>
        </w:rPr>
        <w:t xml:space="preserve"> </w:t>
      </w:r>
    </w:p>
    <w:p w14:paraId="2A0C4222" w14:textId="77777777" w:rsidR="00022EB8" w:rsidRPr="0065071D" w:rsidRDefault="00022EB8" w:rsidP="00022EB8">
      <w:pPr>
        <w:rPr>
          <w:rFonts w:cs="Arial"/>
          <w:sz w:val="22"/>
        </w:rPr>
      </w:pPr>
      <w:r>
        <w:rPr>
          <w:rFonts w:cs="Arial"/>
          <w:sz w:val="22"/>
        </w:rPr>
        <w:t xml:space="preserve">A défaut, les </w:t>
      </w:r>
      <w:r w:rsidRPr="00D662DC">
        <w:rPr>
          <w:rFonts w:cs="Arial"/>
          <w:sz w:val="22"/>
        </w:rPr>
        <w:t>Intermédiaires financiers</w:t>
      </w:r>
      <w:r>
        <w:rPr>
          <w:rFonts w:cs="Arial"/>
          <w:sz w:val="22"/>
        </w:rPr>
        <w:t xml:space="preserve"> peuvent s’attacher des services des consultants / bureaux spécialisés en gestion environnementale et sociale pour assurer le suivi environnemental et social, sous la supervision de l’UNCP.</w:t>
      </w:r>
    </w:p>
    <w:p w14:paraId="3351CF1F" w14:textId="77777777" w:rsidR="00022EB8" w:rsidRDefault="00022EB8" w:rsidP="00022EB8">
      <w:pPr>
        <w:rPr>
          <w:rFonts w:cs="Arial"/>
          <w:bCs/>
          <w:i/>
          <w:sz w:val="22"/>
        </w:rPr>
      </w:pPr>
    </w:p>
    <w:p w14:paraId="648397A6" w14:textId="77777777" w:rsidR="00022EB8" w:rsidRPr="007179F2" w:rsidRDefault="00022EB8" w:rsidP="002378EA">
      <w:pPr>
        <w:numPr>
          <w:ilvl w:val="0"/>
          <w:numId w:val="31"/>
        </w:numPr>
        <w:tabs>
          <w:tab w:val="clear" w:pos="360"/>
          <w:tab w:val="num" w:pos="540"/>
        </w:tabs>
        <w:ind w:left="540" w:hanging="270"/>
        <w:rPr>
          <w:rFonts w:cs="Arial"/>
          <w:bCs/>
          <w:i/>
          <w:sz w:val="22"/>
        </w:rPr>
      </w:pPr>
      <w:r w:rsidRPr="007179F2">
        <w:rPr>
          <w:rFonts w:cs="Arial"/>
          <w:bCs/>
          <w:i/>
          <w:sz w:val="22"/>
        </w:rPr>
        <w:t xml:space="preserve">Renforcement de l’expertise environnementale et sociale des </w:t>
      </w:r>
      <w:r>
        <w:rPr>
          <w:rFonts w:cs="Arial"/>
          <w:bCs/>
          <w:i/>
          <w:sz w:val="22"/>
        </w:rPr>
        <w:t xml:space="preserve">provinces, </w:t>
      </w:r>
      <w:r w:rsidRPr="007179F2">
        <w:rPr>
          <w:rFonts w:cs="Arial"/>
          <w:bCs/>
          <w:i/>
          <w:sz w:val="22"/>
        </w:rPr>
        <w:t>communes et services techniques</w:t>
      </w:r>
    </w:p>
    <w:p w14:paraId="275DAEC5" w14:textId="77777777" w:rsidR="00022EB8" w:rsidRPr="007179F2" w:rsidRDefault="00022EB8" w:rsidP="00022EB8">
      <w:pPr>
        <w:ind w:left="540"/>
        <w:rPr>
          <w:rFonts w:cs="Arial"/>
          <w:sz w:val="22"/>
        </w:rPr>
      </w:pPr>
    </w:p>
    <w:p w14:paraId="500691E2" w14:textId="77777777" w:rsidR="00022EB8" w:rsidRPr="007179F2" w:rsidRDefault="00022EB8" w:rsidP="00022EB8">
      <w:pPr>
        <w:rPr>
          <w:rFonts w:cs="Arial"/>
          <w:sz w:val="22"/>
        </w:rPr>
      </w:pPr>
      <w:r w:rsidRPr="007179F2">
        <w:rPr>
          <w:rFonts w:cs="Arial"/>
          <w:sz w:val="22"/>
        </w:rPr>
        <w:t>Il s’agira de renforcer les</w:t>
      </w:r>
      <w:r>
        <w:rPr>
          <w:rFonts w:cs="Arial"/>
          <w:sz w:val="22"/>
        </w:rPr>
        <w:t xml:space="preserve"> capacités des</w:t>
      </w:r>
      <w:r w:rsidRPr="007179F2">
        <w:rPr>
          <w:rFonts w:cs="Arial"/>
          <w:sz w:val="22"/>
        </w:rPr>
        <w:t xml:space="preserve"> services techniques </w:t>
      </w:r>
      <w:r>
        <w:rPr>
          <w:rFonts w:cs="Arial"/>
          <w:sz w:val="22"/>
        </w:rPr>
        <w:t xml:space="preserve">aux niveaux provinciaux, </w:t>
      </w:r>
      <w:r w:rsidRPr="007179F2">
        <w:rPr>
          <w:rFonts w:cs="Arial"/>
          <w:sz w:val="22"/>
        </w:rPr>
        <w:t xml:space="preserve">municipaux et locaux pour qu’ils puissent remplir correctement la « fonction environnementale et sociale » au sein des communes ciblées, territoires et collectivités en termes de gestion/entretien des ouvrages, mais aussi de sensibilisation, de contrôle et de suivi du respect de la réglementation environnementale et sociale nationale. Cette mesure vise à assurer une plus grande implication des communes dans la réalisation des sous-projets. Au sein de chaque </w:t>
      </w:r>
      <w:r>
        <w:rPr>
          <w:rFonts w:cs="Arial"/>
          <w:sz w:val="22"/>
        </w:rPr>
        <w:t>province/</w:t>
      </w:r>
      <w:r w:rsidRPr="007179F2">
        <w:rPr>
          <w:rFonts w:cs="Arial"/>
          <w:sz w:val="22"/>
        </w:rPr>
        <w:t>commune/territoire/collectivité, il sera procédé à la désignation d’un Point Focal Environnement et Social (PFES</w:t>
      </w:r>
      <w:r>
        <w:rPr>
          <w:rFonts w:cs="Arial"/>
          <w:sz w:val="22"/>
        </w:rPr>
        <w:t xml:space="preserve"> province</w:t>
      </w:r>
      <w:r w:rsidRPr="007179F2">
        <w:rPr>
          <w:rFonts w:cs="Arial"/>
          <w:sz w:val="22"/>
        </w:rPr>
        <w:t xml:space="preserve">/Commune/Territoire) au sein des services techniques, pour suivre ces aspects environnementaux et sociaux. </w:t>
      </w:r>
    </w:p>
    <w:p w14:paraId="27176E89" w14:textId="77777777" w:rsidR="00022EB8" w:rsidRDefault="00022EB8" w:rsidP="001C2F95">
      <w:pPr>
        <w:pStyle w:val="WB-Numbered"/>
        <w:numPr>
          <w:ilvl w:val="0"/>
          <w:numId w:val="0"/>
        </w:numPr>
        <w:spacing w:after="0"/>
        <w:rPr>
          <w:rFonts w:ascii="Arial" w:hAnsi="Arial" w:cs="Arial"/>
          <w:sz w:val="21"/>
          <w:szCs w:val="21"/>
          <w:lang w:val="fr-FR"/>
        </w:rPr>
      </w:pPr>
    </w:p>
    <w:p w14:paraId="48F832AB" w14:textId="77777777" w:rsidR="00022EB8" w:rsidRPr="007179F2" w:rsidRDefault="00022EB8" w:rsidP="00022EB8">
      <w:pPr>
        <w:pStyle w:val="Titre2"/>
        <w:numPr>
          <w:ilvl w:val="2"/>
          <w:numId w:val="4"/>
        </w:numPr>
        <w:ind w:left="1560" w:hanging="709"/>
        <w:rPr>
          <w:rFonts w:cs="Arial"/>
          <w:b/>
          <w:sz w:val="22"/>
          <w:szCs w:val="22"/>
          <w:u w:val="single"/>
        </w:rPr>
      </w:pPr>
      <w:bookmarkStart w:id="425" w:name="_Toc70330407"/>
      <w:r w:rsidRPr="007179F2">
        <w:rPr>
          <w:rFonts w:cs="Arial"/>
          <w:i/>
          <w:sz w:val="22"/>
          <w:szCs w:val="22"/>
        </w:rPr>
        <w:t>Formation des acteurs</w:t>
      </w:r>
      <w:r>
        <w:rPr>
          <w:rFonts w:cs="Arial"/>
          <w:i/>
          <w:sz w:val="22"/>
          <w:szCs w:val="22"/>
        </w:rPr>
        <w:t xml:space="preserve"> </w:t>
      </w:r>
      <w:r w:rsidRPr="007179F2">
        <w:rPr>
          <w:rFonts w:cs="Arial"/>
          <w:i/>
          <w:sz w:val="22"/>
          <w:szCs w:val="22"/>
        </w:rPr>
        <w:t>impliqués dans la mise en œuvre du PNDA</w:t>
      </w:r>
      <w:bookmarkEnd w:id="425"/>
    </w:p>
    <w:p w14:paraId="74BCAD19" w14:textId="77777777" w:rsidR="00022EB8" w:rsidRPr="007179F2" w:rsidRDefault="00022EB8" w:rsidP="00022EB8">
      <w:pPr>
        <w:rPr>
          <w:rFonts w:cs="Arial"/>
          <w:bCs/>
          <w:sz w:val="22"/>
        </w:rPr>
      </w:pPr>
    </w:p>
    <w:p w14:paraId="05499644" w14:textId="77777777" w:rsidR="00022EB8" w:rsidRPr="007179F2" w:rsidRDefault="00022EB8" w:rsidP="00022EB8">
      <w:pPr>
        <w:rPr>
          <w:rFonts w:cs="Arial"/>
          <w:sz w:val="22"/>
        </w:rPr>
      </w:pPr>
      <w:r w:rsidRPr="007179F2">
        <w:rPr>
          <w:rFonts w:cs="Arial"/>
          <w:bCs/>
          <w:sz w:val="22"/>
        </w:rPr>
        <w:t xml:space="preserve">Il s’agit des </w:t>
      </w:r>
      <w:r>
        <w:rPr>
          <w:rFonts w:cs="Arial"/>
          <w:bCs/>
          <w:sz w:val="22"/>
        </w:rPr>
        <w:t>Spécialistes</w:t>
      </w:r>
      <w:r w:rsidRPr="007179F2">
        <w:rPr>
          <w:rFonts w:cs="Arial"/>
          <w:bCs/>
          <w:sz w:val="22"/>
        </w:rPr>
        <w:t xml:space="preserve"> de l’</w:t>
      </w:r>
      <w:r>
        <w:rPr>
          <w:rFonts w:cs="Arial"/>
          <w:bCs/>
          <w:sz w:val="22"/>
        </w:rPr>
        <w:t>UNCP</w:t>
      </w:r>
      <w:r w:rsidRPr="007179F2">
        <w:rPr>
          <w:rFonts w:cs="Arial"/>
          <w:bCs/>
          <w:sz w:val="22"/>
        </w:rPr>
        <w:t>/PNDA (</w:t>
      </w:r>
      <w:r w:rsidRPr="007179F2">
        <w:rPr>
          <w:rFonts w:cs="Arial"/>
          <w:sz w:val="22"/>
        </w:rPr>
        <w:t xml:space="preserve">SSE, </w:t>
      </w:r>
      <w:r>
        <w:rPr>
          <w:rFonts w:cs="Arial"/>
          <w:sz w:val="22"/>
        </w:rPr>
        <w:t>SSS</w:t>
      </w:r>
      <w:r w:rsidRPr="007179F2">
        <w:rPr>
          <w:rFonts w:cs="Arial"/>
          <w:sz w:val="22"/>
        </w:rPr>
        <w:t xml:space="preserve"> et </w:t>
      </w:r>
      <w:r>
        <w:rPr>
          <w:rFonts w:cs="Arial"/>
          <w:sz w:val="22"/>
        </w:rPr>
        <w:t>S</w:t>
      </w:r>
      <w:r w:rsidRPr="007179F2">
        <w:rPr>
          <w:rFonts w:cs="Arial"/>
          <w:sz w:val="22"/>
        </w:rPr>
        <w:t xml:space="preserve">VBG, Chefs de Projet, Responsables Techniques, Responsable </w:t>
      </w:r>
      <w:r w:rsidRPr="007179F2">
        <w:rPr>
          <w:rFonts w:cs="Arial"/>
          <w:bCs/>
          <w:sz w:val="22"/>
        </w:rPr>
        <w:t>Suivi-Évaluation ; etc.), des PFES des communes et territoires, des membres</w:t>
      </w:r>
      <w:r w:rsidRPr="007179F2">
        <w:rPr>
          <w:rFonts w:cs="Arial"/>
          <w:sz w:val="22"/>
        </w:rPr>
        <w:t xml:space="preserve"> du Comité de Pilotage, des</w:t>
      </w:r>
      <w:r w:rsidRPr="007179F2">
        <w:rPr>
          <w:rFonts w:cs="Arial"/>
          <w:bCs/>
          <w:sz w:val="22"/>
        </w:rPr>
        <w:t xml:space="preserve"> </w:t>
      </w:r>
      <w:r>
        <w:rPr>
          <w:rFonts w:cs="Arial"/>
          <w:bCs/>
          <w:sz w:val="22"/>
        </w:rPr>
        <w:t>Agences d’Exécution</w:t>
      </w:r>
      <w:r w:rsidRPr="00FF4CBB">
        <w:rPr>
          <w:rFonts w:cs="Arial"/>
          <w:bCs/>
          <w:sz w:val="22"/>
        </w:rPr>
        <w:t>, les IF,</w:t>
      </w:r>
      <w:r w:rsidRPr="007179F2">
        <w:rPr>
          <w:rFonts w:cs="Arial"/>
          <w:bCs/>
          <w:sz w:val="22"/>
        </w:rPr>
        <w:t xml:space="preserve"> et des PME présélectionnées pour la mise en œuvre du Projet. Ces acteurs </w:t>
      </w:r>
      <w:r w:rsidRPr="007179F2">
        <w:rPr>
          <w:rFonts w:cs="Arial"/>
          <w:sz w:val="22"/>
        </w:rPr>
        <w:t xml:space="preserve">ont la responsabilité </w:t>
      </w:r>
      <w:r w:rsidRPr="007179F2">
        <w:rPr>
          <w:rFonts w:cs="Arial"/>
          <w:bCs/>
          <w:sz w:val="22"/>
        </w:rPr>
        <w:t xml:space="preserve">d'assurer l'intégration de </w:t>
      </w:r>
      <w:r w:rsidRPr="007179F2">
        <w:rPr>
          <w:rFonts w:cs="Arial"/>
          <w:sz w:val="22"/>
        </w:rPr>
        <w:t xml:space="preserve">la dimension environnementale et sociale dans les réalisations des sous-projets. Ils assurent chacun </w:t>
      </w:r>
      <w:r w:rsidRPr="007179F2">
        <w:rPr>
          <w:rFonts w:cs="Arial"/>
          <w:bCs/>
          <w:sz w:val="22"/>
        </w:rPr>
        <w:t xml:space="preserve">en </w:t>
      </w:r>
      <w:r w:rsidRPr="007179F2">
        <w:rPr>
          <w:rFonts w:cs="Arial"/>
          <w:sz w:val="22"/>
        </w:rPr>
        <w:t xml:space="preserve">ce qui </w:t>
      </w:r>
      <w:r w:rsidRPr="007179F2">
        <w:rPr>
          <w:rFonts w:cs="Arial"/>
          <w:bCs/>
          <w:sz w:val="22"/>
        </w:rPr>
        <w:t xml:space="preserve">le concerne les </w:t>
      </w:r>
      <w:r w:rsidRPr="007179F2">
        <w:rPr>
          <w:rFonts w:cs="Arial"/>
          <w:sz w:val="22"/>
        </w:rPr>
        <w:t>études, l’exécution, le suivi ou le contrôle environnemental et social</w:t>
      </w:r>
      <w:r>
        <w:rPr>
          <w:rFonts w:cs="Arial"/>
          <w:sz w:val="22"/>
        </w:rPr>
        <w:t>,</w:t>
      </w:r>
      <w:r w:rsidRPr="007179F2">
        <w:rPr>
          <w:rFonts w:cs="Arial"/>
          <w:sz w:val="22"/>
        </w:rPr>
        <w:t xml:space="preserve"> y compris celui d</w:t>
      </w:r>
      <w:r>
        <w:rPr>
          <w:rFonts w:cs="Arial"/>
          <w:sz w:val="22"/>
        </w:rPr>
        <w:t>’</w:t>
      </w:r>
      <w:r w:rsidRPr="007179F2">
        <w:rPr>
          <w:rFonts w:cs="Arial"/>
          <w:sz w:val="22"/>
        </w:rPr>
        <w:t>EAS/HS et COVID-19, la supervision des sous-projets. La formation vise à renforcer leur compétence en matière d'évaluation environnementale et sociale, de contrôle environnemental et social des travaux et de suivi environnemental et social et celui d</w:t>
      </w:r>
      <w:r>
        <w:rPr>
          <w:rFonts w:cs="Arial"/>
          <w:sz w:val="22"/>
        </w:rPr>
        <w:t>’</w:t>
      </w:r>
      <w:r w:rsidRPr="007179F2">
        <w:rPr>
          <w:rFonts w:cs="Arial"/>
          <w:sz w:val="22"/>
        </w:rPr>
        <w:t xml:space="preserve">EAS/HS et </w:t>
      </w:r>
      <w:r>
        <w:rPr>
          <w:rFonts w:cs="Arial"/>
          <w:sz w:val="22"/>
        </w:rPr>
        <w:t xml:space="preserve">de </w:t>
      </w:r>
      <w:r w:rsidRPr="007179F2">
        <w:rPr>
          <w:rFonts w:cs="Arial"/>
          <w:sz w:val="22"/>
        </w:rPr>
        <w:t xml:space="preserve">COVID-19 afin qu'ils puissent jouer leur rôle respectif de manière plus efficace dans la mise en œuvre des sous-projets. </w:t>
      </w:r>
    </w:p>
    <w:p w14:paraId="73165DAE" w14:textId="77777777" w:rsidR="00022EB8" w:rsidRPr="007179F2" w:rsidRDefault="00022EB8" w:rsidP="00022EB8">
      <w:pPr>
        <w:rPr>
          <w:rFonts w:cs="Arial"/>
          <w:sz w:val="22"/>
        </w:rPr>
      </w:pPr>
    </w:p>
    <w:p w14:paraId="3C14D825" w14:textId="77777777" w:rsidR="00022EB8" w:rsidRPr="00126AAA" w:rsidRDefault="00022EB8" w:rsidP="00022EB8">
      <w:pPr>
        <w:pStyle w:val="Commentaire"/>
        <w:spacing w:line="276" w:lineRule="auto"/>
        <w:rPr>
          <w:lang w:val="fr-FR"/>
        </w:rPr>
      </w:pPr>
      <w:r w:rsidRPr="00FF4CBB">
        <w:rPr>
          <w:sz w:val="22"/>
          <w:lang w:val="fr-FR"/>
        </w:rPr>
        <w:t xml:space="preserve">Il s’agira d’organiser </w:t>
      </w:r>
      <w:r w:rsidRPr="00FF4CBB">
        <w:rPr>
          <w:i/>
          <w:sz w:val="22"/>
          <w:lang w:val="fr-FR"/>
        </w:rPr>
        <w:t xml:space="preserve">(i) </w:t>
      </w:r>
      <w:r w:rsidRPr="00FF4CBB">
        <w:rPr>
          <w:sz w:val="22"/>
          <w:lang w:val="fr-FR"/>
        </w:rPr>
        <w:t xml:space="preserve">un atelier national de formation pour les Responsables Environnement (OVDA, SNHR, ICCN, etc.) et </w:t>
      </w:r>
      <w:r w:rsidRPr="00FF4CBB">
        <w:rPr>
          <w:i/>
          <w:sz w:val="22"/>
          <w:lang w:val="fr-FR"/>
        </w:rPr>
        <w:t>(ii)</w:t>
      </w:r>
      <w:r w:rsidRPr="00FF4CBB">
        <w:rPr>
          <w:sz w:val="22"/>
          <w:lang w:val="fr-FR"/>
        </w:rPr>
        <w:t xml:space="preserve"> cinq ateliers provinciaux (un dans chaque province) pour les</w:t>
      </w:r>
      <w:r w:rsidRPr="00FF4CBB">
        <w:rPr>
          <w:spacing w:val="-14"/>
          <w:sz w:val="22"/>
          <w:lang w:val="fr-FR"/>
        </w:rPr>
        <w:t xml:space="preserve"> </w:t>
      </w:r>
      <w:r w:rsidRPr="00FF4CBB">
        <w:rPr>
          <w:sz w:val="22"/>
          <w:lang w:val="fr-FR"/>
        </w:rPr>
        <w:t>membres</w:t>
      </w:r>
      <w:r w:rsidRPr="00FF4CBB">
        <w:rPr>
          <w:spacing w:val="-14"/>
          <w:sz w:val="22"/>
          <w:lang w:val="fr-FR"/>
        </w:rPr>
        <w:t xml:space="preserve"> </w:t>
      </w:r>
      <w:r w:rsidRPr="00FF4CBB">
        <w:rPr>
          <w:sz w:val="22"/>
          <w:lang w:val="fr-FR"/>
        </w:rPr>
        <w:t>des</w:t>
      </w:r>
      <w:r w:rsidRPr="00FF4CBB">
        <w:rPr>
          <w:spacing w:val="-13"/>
          <w:sz w:val="22"/>
          <w:lang w:val="fr-FR"/>
        </w:rPr>
        <w:t xml:space="preserve"> </w:t>
      </w:r>
      <w:r w:rsidRPr="00FF4CBB">
        <w:rPr>
          <w:sz w:val="22"/>
          <w:lang w:val="fr-FR"/>
        </w:rPr>
        <w:t>autres</w:t>
      </w:r>
      <w:r w:rsidRPr="00FF4CBB">
        <w:rPr>
          <w:spacing w:val="-13"/>
          <w:sz w:val="22"/>
          <w:lang w:val="fr-FR"/>
        </w:rPr>
        <w:t xml:space="preserve"> </w:t>
      </w:r>
      <w:r w:rsidRPr="00FF4CBB">
        <w:rPr>
          <w:sz w:val="22"/>
          <w:lang w:val="fr-FR"/>
        </w:rPr>
        <w:t>services</w:t>
      </w:r>
      <w:r w:rsidRPr="00FF4CBB">
        <w:rPr>
          <w:spacing w:val="-13"/>
          <w:sz w:val="22"/>
          <w:lang w:val="fr-FR"/>
        </w:rPr>
        <w:t xml:space="preserve"> </w:t>
      </w:r>
      <w:r w:rsidRPr="00FF4CBB">
        <w:rPr>
          <w:sz w:val="22"/>
          <w:lang w:val="fr-FR"/>
        </w:rPr>
        <w:t>techniques,</w:t>
      </w:r>
      <w:r w:rsidRPr="00FF4CBB">
        <w:rPr>
          <w:spacing w:val="-13"/>
          <w:sz w:val="22"/>
          <w:lang w:val="fr-FR"/>
        </w:rPr>
        <w:t xml:space="preserve"> </w:t>
      </w:r>
      <w:r w:rsidRPr="00FF4CBB">
        <w:rPr>
          <w:sz w:val="22"/>
          <w:lang w:val="fr-FR"/>
        </w:rPr>
        <w:t>pour</w:t>
      </w:r>
      <w:r w:rsidRPr="00FF4CBB">
        <w:rPr>
          <w:spacing w:val="-13"/>
          <w:sz w:val="22"/>
          <w:lang w:val="fr-FR"/>
        </w:rPr>
        <w:t xml:space="preserve"> </w:t>
      </w:r>
      <w:r w:rsidRPr="00FF4CBB">
        <w:rPr>
          <w:sz w:val="22"/>
          <w:lang w:val="fr-FR"/>
        </w:rPr>
        <w:t>leur</w:t>
      </w:r>
      <w:r w:rsidRPr="00FF4CBB">
        <w:rPr>
          <w:spacing w:val="-13"/>
          <w:sz w:val="22"/>
          <w:lang w:val="fr-FR"/>
        </w:rPr>
        <w:t xml:space="preserve"> </w:t>
      </w:r>
      <w:r w:rsidRPr="00FF4CBB">
        <w:rPr>
          <w:sz w:val="22"/>
          <w:lang w:val="fr-FR"/>
        </w:rPr>
        <w:t>permettre</w:t>
      </w:r>
      <w:r w:rsidRPr="00FF4CBB">
        <w:rPr>
          <w:spacing w:val="-12"/>
          <w:sz w:val="22"/>
          <w:lang w:val="fr-FR"/>
        </w:rPr>
        <w:t xml:space="preserve"> </w:t>
      </w:r>
      <w:r w:rsidRPr="00FF4CBB">
        <w:rPr>
          <w:sz w:val="22"/>
          <w:lang w:val="fr-FR"/>
        </w:rPr>
        <w:t>de</w:t>
      </w:r>
      <w:r w:rsidRPr="00FF4CBB">
        <w:rPr>
          <w:spacing w:val="-13"/>
          <w:sz w:val="22"/>
          <w:lang w:val="fr-FR"/>
        </w:rPr>
        <w:t xml:space="preserve"> </w:t>
      </w:r>
      <w:r w:rsidRPr="00FF4CBB">
        <w:rPr>
          <w:sz w:val="22"/>
          <w:lang w:val="fr-FR"/>
        </w:rPr>
        <w:t>s’imprégner</w:t>
      </w:r>
      <w:r w:rsidRPr="00FF4CBB">
        <w:rPr>
          <w:spacing w:val="-13"/>
          <w:sz w:val="22"/>
          <w:lang w:val="fr-FR"/>
        </w:rPr>
        <w:t xml:space="preserve"> </w:t>
      </w:r>
      <w:r w:rsidRPr="00FF4CBB">
        <w:rPr>
          <w:sz w:val="22"/>
          <w:lang w:val="fr-FR"/>
        </w:rPr>
        <w:t>des</w:t>
      </w:r>
      <w:r w:rsidRPr="00FF4CBB">
        <w:rPr>
          <w:spacing w:val="-13"/>
          <w:sz w:val="22"/>
          <w:lang w:val="fr-FR"/>
        </w:rPr>
        <w:t xml:space="preserve"> </w:t>
      </w:r>
      <w:r w:rsidRPr="00FF4CBB">
        <w:rPr>
          <w:sz w:val="22"/>
          <w:lang w:val="fr-FR"/>
        </w:rPr>
        <w:t>dispositions</w:t>
      </w:r>
      <w:r w:rsidRPr="00FF4CBB">
        <w:rPr>
          <w:spacing w:val="-14"/>
          <w:sz w:val="22"/>
          <w:lang w:val="fr-FR"/>
        </w:rPr>
        <w:t xml:space="preserve"> </w:t>
      </w:r>
      <w:r w:rsidRPr="00FF4CBB">
        <w:rPr>
          <w:sz w:val="22"/>
          <w:lang w:val="fr-FR"/>
        </w:rPr>
        <w:t>du CGES,</w:t>
      </w:r>
      <w:r w:rsidRPr="00FF4CBB">
        <w:rPr>
          <w:spacing w:val="-21"/>
          <w:sz w:val="22"/>
          <w:lang w:val="fr-FR"/>
        </w:rPr>
        <w:t xml:space="preserve"> </w:t>
      </w:r>
      <w:r w:rsidRPr="00FF4CBB">
        <w:rPr>
          <w:sz w:val="22"/>
          <w:lang w:val="fr-FR"/>
        </w:rPr>
        <w:t>de</w:t>
      </w:r>
      <w:r w:rsidRPr="00FF4CBB">
        <w:rPr>
          <w:spacing w:val="-21"/>
          <w:sz w:val="22"/>
          <w:lang w:val="fr-FR"/>
        </w:rPr>
        <w:t xml:space="preserve"> </w:t>
      </w:r>
      <w:r w:rsidRPr="00FF4CBB">
        <w:rPr>
          <w:sz w:val="22"/>
          <w:lang w:val="fr-FR"/>
        </w:rPr>
        <w:t>la</w:t>
      </w:r>
      <w:r w:rsidRPr="00FF4CBB">
        <w:rPr>
          <w:spacing w:val="-20"/>
          <w:sz w:val="22"/>
          <w:lang w:val="fr-FR"/>
        </w:rPr>
        <w:t xml:space="preserve"> </w:t>
      </w:r>
      <w:r w:rsidRPr="00FF4CBB">
        <w:rPr>
          <w:sz w:val="22"/>
          <w:lang w:val="fr-FR"/>
        </w:rPr>
        <w:t>procédure</w:t>
      </w:r>
      <w:r w:rsidRPr="00FF4CBB">
        <w:rPr>
          <w:spacing w:val="-21"/>
          <w:sz w:val="22"/>
          <w:lang w:val="fr-FR"/>
        </w:rPr>
        <w:t xml:space="preserve"> </w:t>
      </w:r>
      <w:r w:rsidRPr="00FF4CBB">
        <w:rPr>
          <w:sz w:val="22"/>
          <w:lang w:val="fr-FR"/>
        </w:rPr>
        <w:t>de</w:t>
      </w:r>
      <w:r w:rsidRPr="00FF4CBB">
        <w:rPr>
          <w:spacing w:val="-22"/>
          <w:sz w:val="22"/>
          <w:lang w:val="fr-FR"/>
        </w:rPr>
        <w:t xml:space="preserve"> </w:t>
      </w:r>
      <w:r w:rsidRPr="00FF4CBB">
        <w:rPr>
          <w:sz w:val="22"/>
          <w:lang w:val="fr-FR"/>
        </w:rPr>
        <w:t>sélection</w:t>
      </w:r>
      <w:r w:rsidRPr="00FF4CBB">
        <w:rPr>
          <w:spacing w:val="-20"/>
          <w:sz w:val="22"/>
          <w:lang w:val="fr-FR"/>
        </w:rPr>
        <w:t xml:space="preserve"> </w:t>
      </w:r>
      <w:r w:rsidRPr="00FF4CBB">
        <w:rPr>
          <w:sz w:val="22"/>
          <w:lang w:val="fr-FR"/>
        </w:rPr>
        <w:t>environnementale</w:t>
      </w:r>
      <w:r w:rsidRPr="00FF4CBB">
        <w:rPr>
          <w:spacing w:val="-21"/>
          <w:sz w:val="22"/>
          <w:lang w:val="fr-FR"/>
        </w:rPr>
        <w:t xml:space="preserve"> </w:t>
      </w:r>
      <w:r w:rsidRPr="00FF4CBB">
        <w:rPr>
          <w:sz w:val="22"/>
          <w:lang w:val="fr-FR"/>
        </w:rPr>
        <w:t>et</w:t>
      </w:r>
      <w:r w:rsidRPr="00FF4CBB">
        <w:rPr>
          <w:spacing w:val="-20"/>
          <w:sz w:val="22"/>
          <w:lang w:val="fr-FR"/>
        </w:rPr>
        <w:t xml:space="preserve"> </w:t>
      </w:r>
      <w:r w:rsidRPr="00FF4CBB">
        <w:rPr>
          <w:sz w:val="22"/>
          <w:lang w:val="fr-FR"/>
        </w:rPr>
        <w:t>des</w:t>
      </w:r>
      <w:r w:rsidRPr="00FF4CBB">
        <w:rPr>
          <w:spacing w:val="-21"/>
          <w:sz w:val="22"/>
          <w:lang w:val="fr-FR"/>
        </w:rPr>
        <w:t xml:space="preserve"> </w:t>
      </w:r>
      <w:r w:rsidRPr="00FF4CBB">
        <w:rPr>
          <w:sz w:val="22"/>
          <w:lang w:val="fr-FR"/>
        </w:rPr>
        <w:t>responsabilités</w:t>
      </w:r>
      <w:r w:rsidRPr="00FF4CBB">
        <w:rPr>
          <w:spacing w:val="-22"/>
          <w:sz w:val="22"/>
          <w:lang w:val="fr-FR"/>
        </w:rPr>
        <w:t xml:space="preserve"> </w:t>
      </w:r>
      <w:r w:rsidRPr="00FF4CBB">
        <w:rPr>
          <w:sz w:val="22"/>
          <w:lang w:val="fr-FR"/>
        </w:rPr>
        <w:t>dans</w:t>
      </w:r>
      <w:r w:rsidRPr="00FF4CBB">
        <w:rPr>
          <w:spacing w:val="-21"/>
          <w:sz w:val="22"/>
          <w:lang w:val="fr-FR"/>
        </w:rPr>
        <w:t xml:space="preserve"> </w:t>
      </w:r>
      <w:r w:rsidRPr="00FF4CBB">
        <w:rPr>
          <w:sz w:val="22"/>
          <w:lang w:val="fr-FR"/>
        </w:rPr>
        <w:t>la</w:t>
      </w:r>
      <w:r w:rsidRPr="00FF4CBB">
        <w:rPr>
          <w:spacing w:val="-21"/>
          <w:sz w:val="22"/>
          <w:lang w:val="fr-FR"/>
        </w:rPr>
        <w:t xml:space="preserve"> </w:t>
      </w:r>
      <w:r w:rsidRPr="00FF4CBB">
        <w:rPr>
          <w:sz w:val="22"/>
          <w:lang w:val="fr-FR"/>
        </w:rPr>
        <w:t>mise</w:t>
      </w:r>
      <w:r w:rsidRPr="00FF4CBB">
        <w:rPr>
          <w:spacing w:val="-21"/>
          <w:sz w:val="22"/>
          <w:lang w:val="fr-FR"/>
        </w:rPr>
        <w:t xml:space="preserve"> </w:t>
      </w:r>
      <w:r w:rsidRPr="00FF4CBB">
        <w:rPr>
          <w:sz w:val="22"/>
          <w:lang w:val="fr-FR"/>
        </w:rPr>
        <w:t>en</w:t>
      </w:r>
      <w:r w:rsidRPr="00FF4CBB">
        <w:rPr>
          <w:spacing w:val="-21"/>
          <w:sz w:val="22"/>
          <w:lang w:val="fr-FR"/>
        </w:rPr>
        <w:t xml:space="preserve"> </w:t>
      </w:r>
      <w:r w:rsidRPr="00FF4CBB">
        <w:rPr>
          <w:sz w:val="22"/>
          <w:lang w:val="fr-FR"/>
        </w:rPr>
        <w:t>œuvre. Au cas où la situation de COVID-19 persiste avec des restrictions pour l’organisation des at</w:t>
      </w:r>
      <w:r>
        <w:rPr>
          <w:sz w:val="22"/>
          <w:lang w:val="fr-FR"/>
        </w:rPr>
        <w:t>e</w:t>
      </w:r>
      <w:r w:rsidRPr="00FF4CBB">
        <w:rPr>
          <w:sz w:val="22"/>
          <w:lang w:val="fr-FR"/>
        </w:rPr>
        <w:t>liers ne dépassant pas 10 à 20 personnes, le PNDA sera obligé d’organiser un programme de formation en ligne ou virtuelle. Il sied de signaler que les spécialistes du projet doivent être formé</w:t>
      </w:r>
      <w:r>
        <w:rPr>
          <w:sz w:val="22"/>
          <w:lang w:val="fr-FR"/>
        </w:rPr>
        <w:t>s</w:t>
      </w:r>
      <w:r w:rsidRPr="00FF4CBB">
        <w:rPr>
          <w:sz w:val="22"/>
          <w:lang w:val="fr-FR"/>
        </w:rPr>
        <w:t xml:space="preserve"> en premier lieu, suivi par d’autres acteurs au moment où ils commencent leurs t</w:t>
      </w:r>
      <w:r>
        <w:rPr>
          <w:sz w:val="22"/>
          <w:lang w:val="fr-FR"/>
        </w:rPr>
        <w:t>â</w:t>
      </w:r>
      <w:r w:rsidRPr="00FF4CBB">
        <w:rPr>
          <w:sz w:val="22"/>
          <w:lang w:val="fr-FR"/>
        </w:rPr>
        <w:t>ches.</w:t>
      </w:r>
    </w:p>
    <w:p w14:paraId="06B4C7B4" w14:textId="77777777" w:rsidR="00022EB8" w:rsidRPr="007179F2" w:rsidRDefault="00022EB8" w:rsidP="00022EB8">
      <w:pPr>
        <w:autoSpaceDE w:val="0"/>
        <w:autoSpaceDN w:val="0"/>
        <w:adjustRightInd w:val="0"/>
        <w:rPr>
          <w:rFonts w:cs="Arial"/>
          <w:sz w:val="22"/>
        </w:rPr>
      </w:pPr>
    </w:p>
    <w:p w14:paraId="605E0A13" w14:textId="77777777" w:rsidR="00022EB8" w:rsidRPr="007179F2" w:rsidRDefault="00022EB8" w:rsidP="00022EB8">
      <w:pPr>
        <w:autoSpaceDE w:val="0"/>
        <w:autoSpaceDN w:val="0"/>
        <w:adjustRightInd w:val="0"/>
        <w:rPr>
          <w:rFonts w:cs="Arial"/>
          <w:sz w:val="22"/>
        </w:rPr>
      </w:pPr>
      <w:r w:rsidRPr="007179F2">
        <w:rPr>
          <w:rFonts w:cs="Arial"/>
          <w:sz w:val="22"/>
        </w:rPr>
        <w:t xml:space="preserve">Les sujets seront centrés autour : </w:t>
      </w:r>
      <w:r w:rsidRPr="007179F2">
        <w:rPr>
          <w:rFonts w:cs="Arial"/>
          <w:i/>
          <w:sz w:val="22"/>
        </w:rPr>
        <w:t>(i)</w:t>
      </w:r>
      <w:r w:rsidRPr="007179F2">
        <w:rPr>
          <w:rFonts w:cs="Arial"/>
          <w:sz w:val="22"/>
        </w:rPr>
        <w:t xml:space="preserve"> des enjeux environnementaux et sociaux des travaux d’infrastructures et les procédures d’évaluation environnementale ; </w:t>
      </w:r>
      <w:r w:rsidRPr="007179F2">
        <w:rPr>
          <w:rFonts w:cs="Arial"/>
          <w:i/>
          <w:sz w:val="22"/>
        </w:rPr>
        <w:t>(ii)</w:t>
      </w:r>
      <w:r w:rsidRPr="007179F2">
        <w:rPr>
          <w:rFonts w:cs="Arial"/>
          <w:sz w:val="22"/>
        </w:rPr>
        <w:t xml:space="preserve"> de l’hygiène et la sécurité des travaux de construction/réhabilitation ; </w:t>
      </w:r>
      <w:r w:rsidRPr="007179F2">
        <w:rPr>
          <w:rFonts w:cs="Arial"/>
          <w:i/>
          <w:sz w:val="22"/>
        </w:rPr>
        <w:t>(iii)</w:t>
      </w:r>
      <w:r w:rsidRPr="007179F2">
        <w:rPr>
          <w:rFonts w:cs="Arial"/>
          <w:sz w:val="22"/>
        </w:rPr>
        <w:t xml:space="preserve"> des réglementations environnementales appropriées ; </w:t>
      </w:r>
      <w:r w:rsidRPr="007179F2">
        <w:rPr>
          <w:rFonts w:cs="Arial"/>
          <w:i/>
          <w:sz w:val="22"/>
        </w:rPr>
        <w:t>(iv)</w:t>
      </w:r>
      <w:r w:rsidRPr="007179F2">
        <w:rPr>
          <w:rFonts w:cs="Arial"/>
          <w:sz w:val="22"/>
        </w:rPr>
        <w:t xml:space="preserve"> des risques d</w:t>
      </w:r>
      <w:r>
        <w:rPr>
          <w:rFonts w:cs="Arial"/>
          <w:sz w:val="22"/>
        </w:rPr>
        <w:t>’</w:t>
      </w:r>
      <w:r w:rsidRPr="007179F2">
        <w:rPr>
          <w:rFonts w:cs="Arial"/>
          <w:sz w:val="22"/>
        </w:rPr>
        <w:t xml:space="preserve">EAS/HS et COVID-19. La formation devra permettre aussi de familiariser les acteurs sur la réglementation nationale en matière d'évaluation environnementale et sociale ; les NES du nouveau CES, les directives et les outils de sauvegarde de la Banque Mondiale ; les bonnes pratiques environnementales et sociales, le manuel de bonne pratique dans la prévention et réponse </w:t>
      </w:r>
      <w:r>
        <w:rPr>
          <w:rFonts w:cs="Arial"/>
          <w:sz w:val="22"/>
        </w:rPr>
        <w:t>à l’</w:t>
      </w:r>
      <w:r w:rsidRPr="007179F2">
        <w:rPr>
          <w:rFonts w:cs="Arial"/>
          <w:sz w:val="22"/>
        </w:rPr>
        <w:t>EAS/HS ; le contrôle environnemental des chantiers et le suivi environnemental et social. Des formateurs qualifiés seraient recrutés par l’</w:t>
      </w:r>
      <w:r>
        <w:rPr>
          <w:rFonts w:cs="Arial"/>
          <w:sz w:val="22"/>
        </w:rPr>
        <w:t>UNCP</w:t>
      </w:r>
      <w:r w:rsidRPr="007179F2">
        <w:rPr>
          <w:rFonts w:cs="Arial"/>
          <w:sz w:val="22"/>
        </w:rPr>
        <w:t>/PNDA et cette dernière pourra aussi recourir à l’assistance de l’ACE pour conduire ces formations, si besoin avec l’appui des consultants nationaux ou internationaux en évaluation environnementale et sociale.</w:t>
      </w:r>
    </w:p>
    <w:p w14:paraId="12B551E6" w14:textId="77777777" w:rsidR="00022EB8" w:rsidRPr="007179F2" w:rsidRDefault="00022EB8" w:rsidP="00022EB8">
      <w:pPr>
        <w:autoSpaceDE w:val="0"/>
        <w:autoSpaceDN w:val="0"/>
        <w:adjustRightInd w:val="0"/>
        <w:rPr>
          <w:rFonts w:cs="Arial"/>
          <w:sz w:val="22"/>
        </w:rPr>
      </w:pPr>
    </w:p>
    <w:p w14:paraId="5113939C" w14:textId="77777777" w:rsidR="00022EB8" w:rsidRPr="007179F2" w:rsidRDefault="00022EB8" w:rsidP="00022EB8">
      <w:pPr>
        <w:autoSpaceDE w:val="0"/>
        <w:autoSpaceDN w:val="0"/>
        <w:adjustRightInd w:val="0"/>
        <w:rPr>
          <w:rFonts w:cs="Arial"/>
          <w:sz w:val="22"/>
        </w:rPr>
      </w:pPr>
      <w:r w:rsidRPr="007179F2">
        <w:rPr>
          <w:sz w:val="22"/>
        </w:rPr>
        <w:t>Le</w:t>
      </w:r>
      <w:r w:rsidRPr="007179F2">
        <w:rPr>
          <w:spacing w:val="-21"/>
          <w:sz w:val="22"/>
        </w:rPr>
        <w:t xml:space="preserve"> </w:t>
      </w:r>
      <w:r w:rsidRPr="007179F2">
        <w:rPr>
          <w:sz w:val="22"/>
        </w:rPr>
        <w:t>programme</w:t>
      </w:r>
      <w:r w:rsidRPr="007179F2">
        <w:rPr>
          <w:spacing w:val="-20"/>
          <w:sz w:val="22"/>
        </w:rPr>
        <w:t xml:space="preserve"> </w:t>
      </w:r>
      <w:r w:rsidRPr="007179F2">
        <w:rPr>
          <w:sz w:val="22"/>
        </w:rPr>
        <w:t>de</w:t>
      </w:r>
      <w:r w:rsidRPr="007179F2">
        <w:rPr>
          <w:spacing w:val="-21"/>
          <w:sz w:val="22"/>
        </w:rPr>
        <w:t xml:space="preserve"> </w:t>
      </w:r>
      <w:r w:rsidRPr="007179F2">
        <w:rPr>
          <w:sz w:val="22"/>
        </w:rPr>
        <w:t>renforcement</w:t>
      </w:r>
      <w:r w:rsidRPr="007179F2">
        <w:rPr>
          <w:spacing w:val="-21"/>
          <w:sz w:val="22"/>
        </w:rPr>
        <w:t xml:space="preserve"> </w:t>
      </w:r>
      <w:r w:rsidRPr="007179F2">
        <w:rPr>
          <w:sz w:val="22"/>
        </w:rPr>
        <w:t>des</w:t>
      </w:r>
      <w:r w:rsidRPr="007179F2">
        <w:rPr>
          <w:spacing w:val="-21"/>
          <w:sz w:val="22"/>
        </w:rPr>
        <w:t xml:space="preserve"> </w:t>
      </w:r>
      <w:r w:rsidRPr="007179F2">
        <w:rPr>
          <w:sz w:val="22"/>
        </w:rPr>
        <w:t>capacités</w:t>
      </w:r>
      <w:r w:rsidRPr="007179F2">
        <w:rPr>
          <w:spacing w:val="-20"/>
          <w:sz w:val="22"/>
        </w:rPr>
        <w:t xml:space="preserve"> </w:t>
      </w:r>
      <w:r w:rsidRPr="007179F2">
        <w:rPr>
          <w:sz w:val="22"/>
        </w:rPr>
        <w:t>devra</w:t>
      </w:r>
      <w:r w:rsidRPr="007179F2">
        <w:rPr>
          <w:spacing w:val="-20"/>
          <w:sz w:val="22"/>
        </w:rPr>
        <w:t xml:space="preserve"> </w:t>
      </w:r>
      <w:r w:rsidRPr="007179F2">
        <w:rPr>
          <w:sz w:val="22"/>
        </w:rPr>
        <w:t>être</w:t>
      </w:r>
      <w:r w:rsidRPr="007179F2">
        <w:rPr>
          <w:spacing w:val="-21"/>
          <w:sz w:val="22"/>
        </w:rPr>
        <w:t xml:space="preserve"> </w:t>
      </w:r>
      <w:r w:rsidRPr="007179F2">
        <w:rPr>
          <w:sz w:val="22"/>
        </w:rPr>
        <w:t>conduit</w:t>
      </w:r>
      <w:r w:rsidRPr="007179F2">
        <w:rPr>
          <w:spacing w:val="-21"/>
          <w:sz w:val="22"/>
        </w:rPr>
        <w:t xml:space="preserve"> </w:t>
      </w:r>
      <w:r w:rsidRPr="007179F2">
        <w:rPr>
          <w:sz w:val="22"/>
        </w:rPr>
        <w:t>pour</w:t>
      </w:r>
      <w:r w:rsidRPr="007179F2">
        <w:rPr>
          <w:spacing w:val="-22"/>
          <w:sz w:val="22"/>
        </w:rPr>
        <w:t xml:space="preserve"> </w:t>
      </w:r>
      <w:r w:rsidRPr="007179F2">
        <w:rPr>
          <w:sz w:val="22"/>
        </w:rPr>
        <w:t>assurer</w:t>
      </w:r>
      <w:r w:rsidRPr="007179F2">
        <w:rPr>
          <w:spacing w:val="-19"/>
          <w:sz w:val="22"/>
        </w:rPr>
        <w:t xml:space="preserve"> </w:t>
      </w:r>
      <w:r w:rsidRPr="007179F2">
        <w:rPr>
          <w:sz w:val="22"/>
        </w:rPr>
        <w:t>la</w:t>
      </w:r>
      <w:r w:rsidRPr="007179F2">
        <w:rPr>
          <w:spacing w:val="-21"/>
          <w:sz w:val="22"/>
        </w:rPr>
        <w:t xml:space="preserve"> </w:t>
      </w:r>
      <w:r w:rsidRPr="007179F2">
        <w:rPr>
          <w:sz w:val="22"/>
        </w:rPr>
        <w:t>pérennité</w:t>
      </w:r>
      <w:r w:rsidRPr="007179F2">
        <w:rPr>
          <w:spacing w:val="-21"/>
          <w:sz w:val="22"/>
        </w:rPr>
        <w:t xml:space="preserve"> </w:t>
      </w:r>
      <w:r w:rsidRPr="007179F2">
        <w:rPr>
          <w:sz w:val="22"/>
        </w:rPr>
        <w:t>des</w:t>
      </w:r>
      <w:r w:rsidRPr="007179F2">
        <w:rPr>
          <w:spacing w:val="-21"/>
          <w:sz w:val="22"/>
        </w:rPr>
        <w:t xml:space="preserve"> </w:t>
      </w:r>
      <w:r w:rsidRPr="007179F2">
        <w:rPr>
          <w:sz w:val="22"/>
        </w:rPr>
        <w:t>mesures prises. L’objectif est de poursuivre et de renforcer la dynamique de formation de l’ensemble des acteurs interpelés dans la gestion environnementale et sociale des projets, de manière à avoir une masse critique d’experts en évaluation et gestion environnementale et sociale, compte tenu de la faiblesse actuelle des capacités</w:t>
      </w:r>
      <w:r w:rsidRPr="007179F2">
        <w:rPr>
          <w:spacing w:val="-13"/>
          <w:sz w:val="22"/>
        </w:rPr>
        <w:t xml:space="preserve"> </w:t>
      </w:r>
      <w:r w:rsidRPr="007179F2">
        <w:rPr>
          <w:sz w:val="22"/>
        </w:rPr>
        <w:t>institutionnelles.</w:t>
      </w:r>
    </w:p>
    <w:p w14:paraId="7712A435" w14:textId="77777777" w:rsidR="00022EB8" w:rsidRPr="007179F2" w:rsidRDefault="00022EB8" w:rsidP="00022EB8">
      <w:pPr>
        <w:autoSpaceDE w:val="0"/>
        <w:autoSpaceDN w:val="0"/>
        <w:adjustRightInd w:val="0"/>
        <w:rPr>
          <w:rFonts w:cs="Arial"/>
          <w:sz w:val="22"/>
        </w:rPr>
      </w:pPr>
    </w:p>
    <w:p w14:paraId="21326B9C" w14:textId="77777777" w:rsidR="003B119C" w:rsidRDefault="003B119C">
      <w:pPr>
        <w:spacing w:after="160" w:line="259" w:lineRule="auto"/>
        <w:jc w:val="left"/>
        <w:rPr>
          <w:sz w:val="22"/>
        </w:rPr>
      </w:pPr>
      <w:r>
        <w:rPr>
          <w:sz w:val="22"/>
        </w:rPr>
        <w:br w:type="page"/>
      </w:r>
    </w:p>
    <w:p w14:paraId="2656F7F2" w14:textId="77777777" w:rsidR="00022EB8" w:rsidRPr="007179F2" w:rsidRDefault="00022EB8" w:rsidP="00022EB8">
      <w:pPr>
        <w:autoSpaceDE w:val="0"/>
        <w:autoSpaceDN w:val="0"/>
        <w:adjustRightInd w:val="0"/>
        <w:rPr>
          <w:sz w:val="22"/>
        </w:rPr>
      </w:pPr>
      <w:bookmarkStart w:id="426" w:name="_Toc70451660"/>
      <w:r w:rsidRPr="007179F2">
        <w:rPr>
          <w:sz w:val="22"/>
        </w:rPr>
        <w:t xml:space="preserve">Tableau </w:t>
      </w:r>
      <w:r w:rsidRPr="007179F2">
        <w:rPr>
          <w:sz w:val="22"/>
        </w:rPr>
        <w:fldChar w:fldCharType="begin"/>
      </w:r>
      <w:r w:rsidRPr="007179F2">
        <w:rPr>
          <w:sz w:val="22"/>
        </w:rPr>
        <w:instrText xml:space="preserve"> SEQ Tableau \* ARABIC </w:instrText>
      </w:r>
      <w:r w:rsidRPr="007179F2">
        <w:rPr>
          <w:sz w:val="22"/>
        </w:rPr>
        <w:fldChar w:fldCharType="separate"/>
      </w:r>
      <w:r w:rsidR="001260B3">
        <w:rPr>
          <w:noProof/>
          <w:sz w:val="22"/>
        </w:rPr>
        <w:t>14</w:t>
      </w:r>
      <w:r w:rsidRPr="007179F2">
        <w:rPr>
          <w:sz w:val="22"/>
        </w:rPr>
        <w:fldChar w:fldCharType="end"/>
      </w:r>
      <w:r w:rsidRPr="007179F2">
        <w:rPr>
          <w:sz w:val="22"/>
        </w:rPr>
        <w:t xml:space="preserve">. </w:t>
      </w:r>
      <w:r>
        <w:rPr>
          <w:sz w:val="22"/>
        </w:rPr>
        <w:t>M</w:t>
      </w:r>
      <w:r w:rsidRPr="007179F2">
        <w:rPr>
          <w:sz w:val="22"/>
        </w:rPr>
        <w:t>odules suivants devront être développés lors de ces formations :</w:t>
      </w:r>
      <w:bookmarkEnd w:id="426"/>
    </w:p>
    <w:p w14:paraId="7172C232" w14:textId="77777777" w:rsidR="00022EB8" w:rsidRPr="007179F2" w:rsidRDefault="00022EB8" w:rsidP="00022EB8">
      <w:pPr>
        <w:rPr>
          <w:sz w:val="22"/>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7"/>
      </w:tblGrid>
      <w:tr w:rsidR="00022EB8" w:rsidRPr="007179F2" w14:paraId="073BB866" w14:textId="77777777" w:rsidTr="00B970D0">
        <w:trPr>
          <w:tblHeader/>
        </w:trPr>
        <w:tc>
          <w:tcPr>
            <w:tcW w:w="9067" w:type="dxa"/>
          </w:tcPr>
          <w:p w14:paraId="5A90FCB6" w14:textId="77777777" w:rsidR="00022EB8" w:rsidRPr="007179F2" w:rsidRDefault="00022EB8" w:rsidP="00B970D0">
            <w:pPr>
              <w:pStyle w:val="Pieddepage"/>
              <w:rPr>
                <w:rFonts w:ascii="Arial" w:hAnsi="Arial" w:cs="Arial"/>
                <w:bCs/>
                <w:color w:val="000000"/>
                <w:sz w:val="22"/>
                <w:szCs w:val="22"/>
              </w:rPr>
            </w:pPr>
            <w:r w:rsidRPr="007179F2">
              <w:rPr>
                <w:rFonts w:ascii="Arial" w:hAnsi="Arial" w:cs="Arial"/>
                <w:bCs/>
                <w:color w:val="000000"/>
                <w:sz w:val="22"/>
                <w:szCs w:val="22"/>
              </w:rPr>
              <w:t>Thèmes de formation</w:t>
            </w:r>
          </w:p>
        </w:tc>
      </w:tr>
      <w:tr w:rsidR="00022EB8" w:rsidRPr="007179F2" w14:paraId="7D133717" w14:textId="77777777" w:rsidTr="00B970D0">
        <w:tc>
          <w:tcPr>
            <w:tcW w:w="9067" w:type="dxa"/>
          </w:tcPr>
          <w:p w14:paraId="191DD236" w14:textId="77777777" w:rsidR="00022EB8" w:rsidRPr="007179F2" w:rsidRDefault="00022EB8" w:rsidP="00B970D0">
            <w:pPr>
              <w:pStyle w:val="Pieddepage"/>
              <w:rPr>
                <w:rFonts w:ascii="Arial" w:hAnsi="Arial" w:cs="Arial"/>
                <w:i/>
                <w:sz w:val="22"/>
                <w:szCs w:val="22"/>
              </w:rPr>
            </w:pPr>
            <w:r w:rsidRPr="007179F2">
              <w:rPr>
                <w:rFonts w:ascii="Arial" w:hAnsi="Arial" w:cs="Arial"/>
                <w:i/>
                <w:sz w:val="22"/>
                <w:szCs w:val="22"/>
              </w:rPr>
              <w:t>Processus d’évaluation environnementale et sociale</w:t>
            </w:r>
          </w:p>
          <w:p w14:paraId="28161B17" w14:textId="77777777" w:rsidR="00022EB8" w:rsidRDefault="00022EB8" w:rsidP="002378EA">
            <w:pPr>
              <w:numPr>
                <w:ilvl w:val="0"/>
                <w:numId w:val="30"/>
              </w:numPr>
              <w:tabs>
                <w:tab w:val="clear" w:pos="360"/>
              </w:tabs>
              <w:ind w:hanging="291"/>
              <w:rPr>
                <w:rFonts w:cs="Arial"/>
                <w:sz w:val="22"/>
              </w:rPr>
            </w:pPr>
            <w:r w:rsidRPr="007179F2">
              <w:rPr>
                <w:rFonts w:cs="Arial"/>
                <w:sz w:val="22"/>
              </w:rPr>
              <w:t>Processus de sélection et catégorisation environnementale et sociale des sous-projets</w:t>
            </w:r>
            <w:r>
              <w:rPr>
                <w:rFonts w:cs="Arial"/>
                <w:sz w:val="22"/>
              </w:rPr>
              <w:t> ;</w:t>
            </w:r>
          </w:p>
          <w:p w14:paraId="731A010B" w14:textId="77777777" w:rsidR="00022EB8" w:rsidRPr="007179F2" w:rsidRDefault="00022EB8" w:rsidP="002378EA">
            <w:pPr>
              <w:numPr>
                <w:ilvl w:val="0"/>
                <w:numId w:val="30"/>
              </w:numPr>
              <w:rPr>
                <w:rFonts w:cs="Arial"/>
                <w:sz w:val="22"/>
              </w:rPr>
            </w:pPr>
            <w:r w:rsidRPr="00C7334E">
              <w:rPr>
                <w:rFonts w:cs="Arial"/>
                <w:sz w:val="22"/>
              </w:rPr>
              <w:t xml:space="preserve">Principes et cadre d'analyse et de mise en </w:t>
            </w:r>
            <w:r>
              <w:rPr>
                <w:rFonts w:cs="Arial"/>
                <w:sz w:val="22"/>
              </w:rPr>
              <w:t>œuvre</w:t>
            </w:r>
            <w:r w:rsidRPr="00C7334E">
              <w:rPr>
                <w:rFonts w:cs="Arial"/>
                <w:sz w:val="22"/>
              </w:rPr>
              <w:t xml:space="preserve"> de l'évaluation environnementale</w:t>
            </w:r>
            <w:r>
              <w:rPr>
                <w:rFonts w:cs="Arial"/>
                <w:sz w:val="22"/>
              </w:rPr>
              <w:t> ;</w:t>
            </w:r>
          </w:p>
          <w:p w14:paraId="47A6EBF8"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Bonne connaissance des procédures d’organisation et de conduite des ÉIES ;</w:t>
            </w:r>
          </w:p>
          <w:p w14:paraId="69B7755D"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Appréciation objective du contenu des rapports d’ÉIES ;</w:t>
            </w:r>
          </w:p>
          <w:p w14:paraId="3E1E5CAF"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Connaissance des procédures environnementales et sociales de la Banque Mondiale ;</w:t>
            </w:r>
          </w:p>
          <w:p w14:paraId="2DD66EA1"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Politiques, procédures et législation en matière environnementale en RDC</w:t>
            </w:r>
          </w:p>
          <w:p w14:paraId="165EF427"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Connaissance du processus de suivi de la mise en œuvre des EIES, PAR</w:t>
            </w:r>
            <w:r>
              <w:rPr>
                <w:rFonts w:cs="Arial"/>
                <w:sz w:val="22"/>
              </w:rPr>
              <w:t xml:space="preserve"> </w:t>
            </w:r>
            <w:r w:rsidRPr="007179F2">
              <w:rPr>
                <w:rFonts w:cs="Arial"/>
                <w:sz w:val="22"/>
              </w:rPr>
              <w:t>et PPA</w:t>
            </w:r>
            <w:r>
              <w:rPr>
                <w:rFonts w:cs="Arial"/>
                <w:sz w:val="22"/>
              </w:rPr>
              <w:t> ;</w:t>
            </w:r>
          </w:p>
          <w:p w14:paraId="53C93197"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Rédaction des TDR</w:t>
            </w:r>
            <w:r>
              <w:rPr>
                <w:rFonts w:cs="Arial"/>
                <w:sz w:val="22"/>
              </w:rPr>
              <w:t> ;</w:t>
            </w:r>
          </w:p>
          <w:p w14:paraId="68805B40"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Code de bonne conduite</w:t>
            </w:r>
            <w:r>
              <w:rPr>
                <w:rFonts w:cs="Arial"/>
                <w:sz w:val="22"/>
              </w:rPr>
              <w:t xml:space="preserve"> qui interdit aussi de façon explicite les actes d’EAS/HS et énumère des sanctions applicables ;</w:t>
            </w:r>
          </w:p>
          <w:p w14:paraId="1F398796"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VBG</w:t>
            </w:r>
            <w:r>
              <w:rPr>
                <w:rFonts w:cs="Arial"/>
                <w:sz w:val="22"/>
              </w:rPr>
              <w:t>, y compris l’</w:t>
            </w:r>
            <w:r w:rsidRPr="007179F2">
              <w:rPr>
                <w:rFonts w:cs="Arial"/>
                <w:sz w:val="22"/>
              </w:rPr>
              <w:t xml:space="preserve">EAS/HS : </w:t>
            </w:r>
            <w:r>
              <w:rPr>
                <w:rFonts w:cs="Arial"/>
                <w:sz w:val="22"/>
              </w:rPr>
              <w:t xml:space="preserve">les définitions des actes, les normes de genre, </w:t>
            </w:r>
            <w:r w:rsidRPr="007179F2">
              <w:rPr>
                <w:rFonts w:cs="Arial"/>
                <w:sz w:val="22"/>
              </w:rPr>
              <w:t>les causes</w:t>
            </w:r>
            <w:r>
              <w:rPr>
                <w:rFonts w:cs="Arial"/>
                <w:sz w:val="22"/>
              </w:rPr>
              <w:t xml:space="preserve"> et</w:t>
            </w:r>
            <w:r w:rsidRPr="007179F2">
              <w:rPr>
                <w:rFonts w:cs="Arial"/>
                <w:sz w:val="22"/>
              </w:rPr>
              <w:t xml:space="preserve"> conséquences, les typologies possibles, </w:t>
            </w:r>
            <w:r>
              <w:rPr>
                <w:rFonts w:cs="Arial"/>
                <w:sz w:val="22"/>
              </w:rPr>
              <w:t xml:space="preserve">le référencement aux services de prise en charge, et </w:t>
            </w:r>
            <w:r w:rsidRPr="007179F2">
              <w:rPr>
                <w:rFonts w:cs="Arial"/>
                <w:sz w:val="22"/>
              </w:rPr>
              <w:t xml:space="preserve">les mesures d’atténuation des risques </w:t>
            </w:r>
            <w:r>
              <w:rPr>
                <w:rFonts w:cs="Arial"/>
                <w:sz w:val="22"/>
              </w:rPr>
              <w:t>d’EAS/HS dans le cadre du Projet, parmi d’autres</w:t>
            </w:r>
          </w:p>
        </w:tc>
      </w:tr>
      <w:tr w:rsidR="00022EB8" w:rsidRPr="007179F2" w14:paraId="48324533" w14:textId="77777777" w:rsidTr="00B970D0">
        <w:tc>
          <w:tcPr>
            <w:tcW w:w="9067" w:type="dxa"/>
          </w:tcPr>
          <w:p w14:paraId="653576FF" w14:textId="77777777" w:rsidR="00022EB8" w:rsidRDefault="00022EB8" w:rsidP="00B970D0">
            <w:pPr>
              <w:pStyle w:val="Pieddepage"/>
              <w:rPr>
                <w:rFonts w:ascii="Arial" w:hAnsi="Arial" w:cs="Arial"/>
                <w:i/>
                <w:sz w:val="22"/>
                <w:szCs w:val="22"/>
              </w:rPr>
            </w:pPr>
            <w:r>
              <w:rPr>
                <w:rFonts w:ascii="Arial" w:hAnsi="Arial" w:cs="Arial"/>
                <w:i/>
                <w:sz w:val="22"/>
                <w:szCs w:val="22"/>
              </w:rPr>
              <w:t>Engagement des Parties Prenantes et Communications</w:t>
            </w:r>
          </w:p>
          <w:p w14:paraId="4F230866" w14:textId="77777777" w:rsidR="00022EB8" w:rsidRPr="004815CB" w:rsidRDefault="00022EB8" w:rsidP="002378EA">
            <w:pPr>
              <w:numPr>
                <w:ilvl w:val="0"/>
                <w:numId w:val="30"/>
              </w:numPr>
              <w:tabs>
                <w:tab w:val="clear" w:pos="360"/>
              </w:tabs>
              <w:ind w:hanging="291"/>
              <w:rPr>
                <w:rFonts w:cs="Arial"/>
                <w:sz w:val="22"/>
              </w:rPr>
            </w:pPr>
            <w:r w:rsidRPr="004815CB">
              <w:rPr>
                <w:rFonts w:cs="Arial"/>
                <w:sz w:val="22"/>
              </w:rPr>
              <w:t>Identification des parties prenantes au programme ;</w:t>
            </w:r>
          </w:p>
          <w:p w14:paraId="0E062340" w14:textId="77777777" w:rsidR="00022EB8" w:rsidRDefault="00022EB8" w:rsidP="002378EA">
            <w:pPr>
              <w:numPr>
                <w:ilvl w:val="0"/>
                <w:numId w:val="30"/>
              </w:numPr>
              <w:tabs>
                <w:tab w:val="clear" w:pos="360"/>
              </w:tabs>
              <w:ind w:hanging="291"/>
              <w:rPr>
                <w:rFonts w:cs="Arial"/>
                <w:sz w:val="22"/>
              </w:rPr>
            </w:pPr>
            <w:r w:rsidRPr="00D201BD">
              <w:rPr>
                <w:rFonts w:cs="Arial"/>
                <w:sz w:val="22"/>
              </w:rPr>
              <w:t>Identification des besoins des parties prenantes</w:t>
            </w:r>
            <w:r w:rsidRPr="00001F21">
              <w:rPr>
                <w:rFonts w:cs="Arial"/>
                <w:sz w:val="22"/>
              </w:rPr>
              <w:t> </w:t>
            </w:r>
            <w:r w:rsidRPr="00515107">
              <w:rPr>
                <w:rFonts w:cs="Arial"/>
                <w:sz w:val="22"/>
              </w:rPr>
              <w:t>;</w:t>
            </w:r>
          </w:p>
          <w:p w14:paraId="1C82FAD6" w14:textId="77777777" w:rsidR="00EE14AE" w:rsidRPr="00BB4A68" w:rsidRDefault="003B119C" w:rsidP="002378EA">
            <w:pPr>
              <w:numPr>
                <w:ilvl w:val="0"/>
                <w:numId w:val="30"/>
              </w:numPr>
              <w:tabs>
                <w:tab w:val="clear" w:pos="360"/>
              </w:tabs>
              <w:ind w:hanging="291"/>
              <w:rPr>
                <w:rFonts w:cs="Arial"/>
                <w:sz w:val="22"/>
              </w:rPr>
            </w:pPr>
            <w:r>
              <w:t>F</w:t>
            </w:r>
            <w:r w:rsidR="00EE14AE">
              <w:t xml:space="preserve">ormations pour l’utilisation de technologies intelligentes pour le suivi des </w:t>
            </w:r>
            <w:r w:rsidR="00651DD1">
              <w:t>risques sécuritaires sur le Programme ;</w:t>
            </w:r>
          </w:p>
          <w:p w14:paraId="67DD9A23" w14:textId="77777777" w:rsidR="00022EB8" w:rsidRPr="004815CB" w:rsidRDefault="00022EB8" w:rsidP="002378EA">
            <w:pPr>
              <w:numPr>
                <w:ilvl w:val="0"/>
                <w:numId w:val="30"/>
              </w:numPr>
              <w:tabs>
                <w:tab w:val="clear" w:pos="360"/>
              </w:tabs>
              <w:ind w:hanging="291"/>
              <w:rPr>
                <w:rFonts w:cs="Arial"/>
                <w:sz w:val="22"/>
              </w:rPr>
            </w:pPr>
            <w:r w:rsidRPr="00D9172A">
              <w:rPr>
                <w:rFonts w:cs="Arial"/>
                <w:sz w:val="22"/>
              </w:rPr>
              <w:t>Formation sur l’engagement citoyen</w:t>
            </w:r>
            <w:r>
              <w:rPr>
                <w:rFonts w:cs="Arial"/>
                <w:sz w:val="22"/>
              </w:rPr>
              <w:t> ;</w:t>
            </w:r>
          </w:p>
          <w:p w14:paraId="3B6F2BF9" w14:textId="77777777" w:rsidR="00022EB8" w:rsidRPr="00FF4CBB" w:rsidRDefault="00022EB8" w:rsidP="002378EA">
            <w:pPr>
              <w:numPr>
                <w:ilvl w:val="0"/>
                <w:numId w:val="30"/>
              </w:numPr>
              <w:tabs>
                <w:tab w:val="clear" w:pos="360"/>
              </w:tabs>
              <w:ind w:hanging="291"/>
              <w:rPr>
                <w:rFonts w:cs="Arial"/>
                <w:sz w:val="22"/>
              </w:rPr>
            </w:pPr>
            <w:r w:rsidRPr="004815CB">
              <w:rPr>
                <w:rFonts w:cs="Arial"/>
                <w:sz w:val="22"/>
              </w:rPr>
              <w:t>Elaboration et mise en œuvre des PMPP</w:t>
            </w:r>
            <w:r w:rsidR="00651DD1">
              <w:rPr>
                <w:rFonts w:cs="Arial"/>
                <w:sz w:val="22"/>
              </w:rPr>
              <w:t xml:space="preserve"> et MGP</w:t>
            </w:r>
            <w:r w:rsidRPr="004815CB">
              <w:rPr>
                <w:rFonts w:cs="Arial"/>
                <w:sz w:val="22"/>
              </w:rPr>
              <w:t> ;</w:t>
            </w:r>
            <w:r w:rsidRPr="00FF4CBB">
              <w:rPr>
                <w:rFonts w:cs="Arial"/>
                <w:sz w:val="22"/>
              </w:rPr>
              <w:t xml:space="preserve"> </w:t>
            </w:r>
          </w:p>
          <w:p w14:paraId="32F6C194" w14:textId="77777777" w:rsidR="00022EB8" w:rsidRPr="00FF4CBB" w:rsidRDefault="00022EB8" w:rsidP="002378EA">
            <w:pPr>
              <w:numPr>
                <w:ilvl w:val="0"/>
                <w:numId w:val="30"/>
              </w:numPr>
              <w:tabs>
                <w:tab w:val="clear" w:pos="360"/>
              </w:tabs>
              <w:ind w:hanging="291"/>
              <w:rPr>
                <w:rFonts w:cs="Arial"/>
                <w:sz w:val="22"/>
              </w:rPr>
            </w:pPr>
            <w:r w:rsidRPr="00FF4CBB">
              <w:rPr>
                <w:rFonts w:cs="Arial"/>
                <w:sz w:val="22"/>
              </w:rPr>
              <w:t>Diffusion des informations</w:t>
            </w:r>
            <w:r>
              <w:rPr>
                <w:rFonts w:cs="Arial"/>
                <w:sz w:val="22"/>
              </w:rPr>
              <w:t> </w:t>
            </w:r>
            <w:r w:rsidRPr="004815CB">
              <w:rPr>
                <w:rFonts w:cs="Arial"/>
                <w:sz w:val="22"/>
              </w:rPr>
              <w:t>;</w:t>
            </w:r>
          </w:p>
          <w:p w14:paraId="3F6D279A" w14:textId="77777777" w:rsidR="00022EB8" w:rsidRDefault="00022EB8" w:rsidP="002378EA">
            <w:pPr>
              <w:numPr>
                <w:ilvl w:val="0"/>
                <w:numId w:val="30"/>
              </w:numPr>
              <w:tabs>
                <w:tab w:val="clear" w:pos="360"/>
              </w:tabs>
              <w:ind w:hanging="291"/>
              <w:rPr>
                <w:rFonts w:cs="Arial"/>
                <w:sz w:val="22"/>
              </w:rPr>
            </w:pPr>
            <w:r w:rsidRPr="00FF4CBB">
              <w:rPr>
                <w:rFonts w:cs="Arial"/>
                <w:sz w:val="22"/>
              </w:rPr>
              <w:t>Consultations approfondies</w:t>
            </w:r>
            <w:r>
              <w:rPr>
                <w:rFonts w:cs="Arial"/>
                <w:sz w:val="22"/>
              </w:rPr>
              <w:t> </w:t>
            </w:r>
            <w:r w:rsidRPr="004815CB">
              <w:rPr>
                <w:rFonts w:cs="Arial"/>
                <w:sz w:val="22"/>
              </w:rPr>
              <w:t>;</w:t>
            </w:r>
            <w:r>
              <w:rPr>
                <w:rFonts w:cs="Arial"/>
                <w:sz w:val="22"/>
              </w:rPr>
              <w:t xml:space="preserve"> et</w:t>
            </w:r>
          </w:p>
          <w:p w14:paraId="59951ACE" w14:textId="77777777" w:rsidR="00022EB8" w:rsidRPr="001357AB" w:rsidRDefault="00022EB8" w:rsidP="002378EA">
            <w:pPr>
              <w:numPr>
                <w:ilvl w:val="0"/>
                <w:numId w:val="30"/>
              </w:numPr>
              <w:tabs>
                <w:tab w:val="clear" w:pos="360"/>
              </w:tabs>
              <w:ind w:hanging="291"/>
              <w:rPr>
                <w:rFonts w:cs="Arial"/>
                <w:iCs/>
                <w:sz w:val="22"/>
              </w:rPr>
            </w:pPr>
            <w:r>
              <w:rPr>
                <w:rFonts w:cs="Arial"/>
                <w:sz w:val="22"/>
              </w:rPr>
              <w:t>Messages clés à communiquer aux Parties prenantes.</w:t>
            </w:r>
          </w:p>
        </w:tc>
      </w:tr>
      <w:tr w:rsidR="00022EB8" w:rsidRPr="007179F2" w14:paraId="233457A9" w14:textId="77777777" w:rsidTr="00B970D0">
        <w:tc>
          <w:tcPr>
            <w:tcW w:w="9067" w:type="dxa"/>
          </w:tcPr>
          <w:p w14:paraId="4B9592BD" w14:textId="77777777" w:rsidR="00022EB8" w:rsidRPr="007179F2" w:rsidRDefault="00022EB8" w:rsidP="00B970D0">
            <w:pPr>
              <w:pStyle w:val="Pieddepage"/>
              <w:rPr>
                <w:rFonts w:ascii="Arial" w:hAnsi="Arial" w:cs="Arial"/>
                <w:i/>
                <w:sz w:val="22"/>
                <w:szCs w:val="22"/>
              </w:rPr>
            </w:pPr>
            <w:r w:rsidRPr="007179F2">
              <w:rPr>
                <w:rFonts w:ascii="Arial" w:hAnsi="Arial" w:cs="Arial"/>
                <w:i/>
                <w:sz w:val="22"/>
                <w:szCs w:val="22"/>
              </w:rPr>
              <w:t>Formation sur le suivi environnemental et social</w:t>
            </w:r>
          </w:p>
          <w:p w14:paraId="442B3500"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Méthodologie de suivi environnemental et social</w:t>
            </w:r>
            <w:r>
              <w:rPr>
                <w:rFonts w:cs="Arial"/>
                <w:sz w:val="22"/>
              </w:rPr>
              <w:t> ;</w:t>
            </w:r>
          </w:p>
          <w:p w14:paraId="489D20C2"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Indicateurs de suivi/évaluation environnemental et social ;</w:t>
            </w:r>
          </w:p>
          <w:p w14:paraId="4EFE918F"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Respect et application des lois et règlements sur l’environnement ;</w:t>
            </w:r>
          </w:p>
          <w:p w14:paraId="1723080C"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Sensibilisation des populations sur la protection et la gestion de l’environnement</w:t>
            </w:r>
            <w:r>
              <w:rPr>
                <w:rFonts w:cs="Arial"/>
                <w:sz w:val="22"/>
              </w:rPr>
              <w:t> ;</w:t>
            </w:r>
          </w:p>
          <w:p w14:paraId="35F879D2"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 xml:space="preserve">Les mesures d’atténuation des risques </w:t>
            </w:r>
            <w:r>
              <w:rPr>
                <w:rFonts w:cs="Arial"/>
                <w:sz w:val="22"/>
              </w:rPr>
              <w:t>d’</w:t>
            </w:r>
            <w:r w:rsidRPr="007179F2">
              <w:rPr>
                <w:rFonts w:cs="Arial"/>
                <w:sz w:val="22"/>
              </w:rPr>
              <w:t>EAS/HS ;</w:t>
            </w:r>
          </w:p>
          <w:p w14:paraId="18662F61"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Effectivité de la prise en compte du genre.</w:t>
            </w:r>
          </w:p>
        </w:tc>
      </w:tr>
      <w:tr w:rsidR="00022EB8" w:rsidRPr="007179F2" w14:paraId="20D1CA58" w14:textId="77777777" w:rsidTr="00B970D0">
        <w:tc>
          <w:tcPr>
            <w:tcW w:w="9067" w:type="dxa"/>
          </w:tcPr>
          <w:p w14:paraId="2A13A372" w14:textId="77777777" w:rsidR="00022EB8" w:rsidRPr="00C7334E" w:rsidRDefault="00022EB8" w:rsidP="00B970D0">
            <w:pPr>
              <w:pStyle w:val="Pieddepage"/>
              <w:rPr>
                <w:rFonts w:ascii="Arial" w:hAnsi="Arial" w:cs="Arial"/>
                <w:i/>
                <w:sz w:val="22"/>
                <w:szCs w:val="22"/>
              </w:rPr>
            </w:pPr>
            <w:r w:rsidRPr="00C7334E">
              <w:rPr>
                <w:rFonts w:ascii="Arial" w:hAnsi="Arial" w:cs="Arial"/>
                <w:i/>
                <w:sz w:val="22"/>
                <w:szCs w:val="22"/>
              </w:rPr>
              <w:t xml:space="preserve">Formation sur les impacts et risques </w:t>
            </w:r>
            <w:r>
              <w:rPr>
                <w:rFonts w:ascii="Arial" w:hAnsi="Arial" w:cs="Arial"/>
                <w:i/>
                <w:sz w:val="22"/>
                <w:szCs w:val="22"/>
              </w:rPr>
              <w:t>e</w:t>
            </w:r>
            <w:r w:rsidRPr="00C7334E">
              <w:rPr>
                <w:rFonts w:ascii="Arial" w:hAnsi="Arial" w:cs="Arial"/>
                <w:i/>
                <w:sz w:val="22"/>
                <w:szCs w:val="22"/>
              </w:rPr>
              <w:t>nvironnementaux et sociaux</w:t>
            </w:r>
          </w:p>
          <w:p w14:paraId="4E7216F8" w14:textId="77777777" w:rsidR="00022EB8" w:rsidRPr="002529AB" w:rsidRDefault="00022EB8" w:rsidP="002378EA">
            <w:pPr>
              <w:numPr>
                <w:ilvl w:val="0"/>
                <w:numId w:val="30"/>
              </w:numPr>
              <w:tabs>
                <w:tab w:val="clear" w:pos="360"/>
              </w:tabs>
              <w:ind w:hanging="291"/>
              <w:rPr>
                <w:rFonts w:cs="Arial"/>
                <w:sz w:val="22"/>
              </w:rPr>
            </w:pPr>
            <w:r w:rsidRPr="002529AB">
              <w:rPr>
                <w:rFonts w:cs="Arial"/>
                <w:sz w:val="22"/>
              </w:rPr>
              <w:t xml:space="preserve">Étude d'impact environnemental et social </w:t>
            </w:r>
            <w:r>
              <w:rPr>
                <w:rFonts w:cs="Arial"/>
                <w:sz w:val="22"/>
              </w:rPr>
              <w:t>–</w:t>
            </w:r>
            <w:r w:rsidRPr="002529AB">
              <w:rPr>
                <w:rFonts w:cs="Arial"/>
                <w:sz w:val="22"/>
              </w:rPr>
              <w:t xml:space="preserve"> processus administratif ;</w:t>
            </w:r>
          </w:p>
          <w:p w14:paraId="09E7F7AC" w14:textId="77777777" w:rsidR="00022EB8" w:rsidRPr="002529AB" w:rsidRDefault="00022EB8" w:rsidP="002378EA">
            <w:pPr>
              <w:numPr>
                <w:ilvl w:val="0"/>
                <w:numId w:val="30"/>
              </w:numPr>
              <w:tabs>
                <w:tab w:val="clear" w:pos="360"/>
              </w:tabs>
              <w:ind w:hanging="291"/>
              <w:rPr>
                <w:rFonts w:cs="Arial"/>
                <w:sz w:val="22"/>
              </w:rPr>
            </w:pPr>
            <w:r w:rsidRPr="002529AB">
              <w:rPr>
                <w:rFonts w:cs="Arial"/>
                <w:sz w:val="22"/>
              </w:rPr>
              <w:t xml:space="preserve">Étude d'impact environnemental et social </w:t>
            </w:r>
            <w:r>
              <w:rPr>
                <w:rFonts w:cs="Arial"/>
                <w:sz w:val="22"/>
              </w:rPr>
              <w:t>–</w:t>
            </w:r>
            <w:r w:rsidRPr="002529AB">
              <w:rPr>
                <w:rFonts w:cs="Arial"/>
                <w:sz w:val="22"/>
              </w:rPr>
              <w:t xml:space="preserve"> participation du public ;</w:t>
            </w:r>
          </w:p>
          <w:p w14:paraId="23153137" w14:textId="77777777" w:rsidR="00022EB8" w:rsidRPr="002529AB" w:rsidRDefault="00022EB8" w:rsidP="002378EA">
            <w:pPr>
              <w:numPr>
                <w:ilvl w:val="0"/>
                <w:numId w:val="30"/>
              </w:numPr>
              <w:tabs>
                <w:tab w:val="clear" w:pos="360"/>
              </w:tabs>
              <w:ind w:hanging="291"/>
              <w:rPr>
                <w:rFonts w:cs="Arial"/>
                <w:sz w:val="22"/>
              </w:rPr>
            </w:pPr>
            <w:r w:rsidRPr="002529AB">
              <w:rPr>
                <w:rFonts w:cs="Arial"/>
                <w:sz w:val="22"/>
              </w:rPr>
              <w:t xml:space="preserve">Étude d'impact environnemental et social </w:t>
            </w:r>
            <w:r>
              <w:rPr>
                <w:rFonts w:cs="Arial"/>
                <w:sz w:val="22"/>
              </w:rPr>
              <w:t>–</w:t>
            </w:r>
            <w:r w:rsidRPr="002529AB">
              <w:rPr>
                <w:rFonts w:cs="Arial"/>
                <w:sz w:val="22"/>
              </w:rPr>
              <w:t xml:space="preserve"> processus pratique ;</w:t>
            </w:r>
          </w:p>
          <w:p w14:paraId="7F0DD980" w14:textId="77777777" w:rsidR="00022EB8" w:rsidRPr="002529AB" w:rsidRDefault="00022EB8" w:rsidP="002378EA">
            <w:pPr>
              <w:numPr>
                <w:ilvl w:val="0"/>
                <w:numId w:val="30"/>
              </w:numPr>
              <w:tabs>
                <w:tab w:val="clear" w:pos="360"/>
              </w:tabs>
              <w:ind w:hanging="291"/>
              <w:rPr>
                <w:rFonts w:cs="Arial"/>
                <w:sz w:val="22"/>
              </w:rPr>
            </w:pPr>
            <w:r w:rsidRPr="002529AB">
              <w:rPr>
                <w:rFonts w:cs="Arial"/>
                <w:sz w:val="22"/>
              </w:rPr>
              <w:t>Démarche d’identification des dangers et d’évaluation des risques ;</w:t>
            </w:r>
          </w:p>
          <w:p w14:paraId="515E117D" w14:textId="77777777" w:rsidR="00022EB8" w:rsidRPr="007179F2" w:rsidRDefault="00022EB8" w:rsidP="002378EA">
            <w:pPr>
              <w:numPr>
                <w:ilvl w:val="0"/>
                <w:numId w:val="30"/>
              </w:numPr>
              <w:tabs>
                <w:tab w:val="clear" w:pos="360"/>
              </w:tabs>
              <w:ind w:hanging="291"/>
              <w:rPr>
                <w:rFonts w:cs="Arial"/>
                <w:i/>
                <w:sz w:val="22"/>
              </w:rPr>
            </w:pPr>
            <w:r w:rsidRPr="002529AB">
              <w:rPr>
                <w:rFonts w:cs="Arial"/>
                <w:sz w:val="22"/>
              </w:rPr>
              <w:t>Les principaux outils d’analyse et de maîtrise des risques</w:t>
            </w:r>
            <w:r>
              <w:rPr>
                <w:rFonts w:cs="Arial"/>
                <w:sz w:val="22"/>
              </w:rPr>
              <w:t>.</w:t>
            </w:r>
          </w:p>
        </w:tc>
      </w:tr>
      <w:tr w:rsidR="00022EB8" w:rsidRPr="007179F2" w14:paraId="1CD80427" w14:textId="77777777" w:rsidTr="00B970D0">
        <w:tc>
          <w:tcPr>
            <w:tcW w:w="9067" w:type="dxa"/>
          </w:tcPr>
          <w:p w14:paraId="2B4C54F5" w14:textId="77777777" w:rsidR="00022EB8" w:rsidRPr="007179F2" w:rsidRDefault="00022EB8" w:rsidP="00B970D0">
            <w:pPr>
              <w:pStyle w:val="Pieddepage"/>
              <w:rPr>
                <w:rFonts w:ascii="Arial" w:hAnsi="Arial" w:cs="Arial"/>
                <w:i/>
                <w:sz w:val="22"/>
                <w:szCs w:val="22"/>
              </w:rPr>
            </w:pPr>
            <w:r w:rsidRPr="007179F2">
              <w:rPr>
                <w:rFonts w:ascii="Arial" w:hAnsi="Arial" w:cs="Arial"/>
                <w:i/>
                <w:sz w:val="22"/>
                <w:szCs w:val="22"/>
              </w:rPr>
              <w:t>Module de formation sur le foncier</w:t>
            </w:r>
          </w:p>
          <w:p w14:paraId="2A63FD51"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Les différents statuts des terres (moderne et traditionnel) ;</w:t>
            </w:r>
          </w:p>
          <w:p w14:paraId="58F9DCBF"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Les modes d’accès à la terre ;</w:t>
            </w:r>
          </w:p>
          <w:p w14:paraId="049680CE"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Le règlement des conflits fonciers, notamment entre agriculteurs et éleveurs.</w:t>
            </w:r>
          </w:p>
        </w:tc>
      </w:tr>
      <w:tr w:rsidR="00022EB8" w:rsidRPr="007179F2" w14:paraId="710BF4DD" w14:textId="77777777" w:rsidTr="00B970D0">
        <w:tc>
          <w:tcPr>
            <w:tcW w:w="9067" w:type="dxa"/>
          </w:tcPr>
          <w:p w14:paraId="2624112E" w14:textId="77777777" w:rsidR="00022EB8" w:rsidRPr="007179F2" w:rsidRDefault="00022EB8" w:rsidP="00B970D0">
            <w:pPr>
              <w:pStyle w:val="Pieddepage"/>
              <w:rPr>
                <w:rFonts w:ascii="Arial" w:hAnsi="Arial" w:cs="Arial"/>
                <w:i/>
                <w:sz w:val="22"/>
                <w:szCs w:val="22"/>
              </w:rPr>
            </w:pPr>
            <w:r w:rsidRPr="007179F2">
              <w:rPr>
                <w:rFonts w:ascii="Arial" w:hAnsi="Arial" w:cs="Arial"/>
                <w:i/>
                <w:sz w:val="22"/>
                <w:szCs w:val="22"/>
              </w:rPr>
              <w:t>Audit environnemental et social des projets</w:t>
            </w:r>
          </w:p>
          <w:p w14:paraId="50B3D05A"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Comment préparer une mission d’audit ;</w:t>
            </w:r>
          </w:p>
          <w:p w14:paraId="1D4CE0D8"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Comment effectuer l’audit et le suivi environnemental et social ;</w:t>
            </w:r>
          </w:p>
          <w:p w14:paraId="295A7146"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Bonne connaissance de la conduite de chantier ;</w:t>
            </w:r>
          </w:p>
          <w:p w14:paraId="0DB843C1" w14:textId="77777777" w:rsidR="00022EB8" w:rsidRPr="007179F2" w:rsidRDefault="00022EB8" w:rsidP="002378EA">
            <w:pPr>
              <w:numPr>
                <w:ilvl w:val="0"/>
                <w:numId w:val="30"/>
              </w:numPr>
              <w:tabs>
                <w:tab w:val="clear" w:pos="360"/>
              </w:tabs>
              <w:ind w:hanging="291"/>
              <w:rPr>
                <w:rFonts w:cs="Arial"/>
                <w:i/>
                <w:sz w:val="22"/>
              </w:rPr>
            </w:pPr>
            <w:r w:rsidRPr="007179F2">
              <w:rPr>
                <w:rFonts w:cs="Arial"/>
                <w:sz w:val="22"/>
              </w:rPr>
              <w:t>Contenu d’un rapport d’audit environnemental et social.</w:t>
            </w:r>
          </w:p>
        </w:tc>
      </w:tr>
      <w:tr w:rsidR="00022EB8" w:rsidRPr="007179F2" w14:paraId="0E4C962D" w14:textId="77777777" w:rsidTr="00B970D0">
        <w:tc>
          <w:tcPr>
            <w:tcW w:w="9067" w:type="dxa"/>
          </w:tcPr>
          <w:p w14:paraId="72BDB380" w14:textId="77777777" w:rsidR="00022EB8" w:rsidRDefault="00022EB8" w:rsidP="00B970D0">
            <w:pPr>
              <w:pStyle w:val="Pieddepage"/>
              <w:rPr>
                <w:rFonts w:ascii="Arial" w:hAnsi="Arial" w:cs="Arial"/>
                <w:i/>
                <w:sz w:val="22"/>
                <w:szCs w:val="22"/>
              </w:rPr>
            </w:pPr>
            <w:r w:rsidRPr="007179F2">
              <w:rPr>
                <w:rFonts w:ascii="Arial" w:hAnsi="Arial" w:cs="Arial"/>
                <w:i/>
                <w:sz w:val="22"/>
                <w:szCs w:val="22"/>
              </w:rPr>
              <w:t>Santé, hygiène et sécurité</w:t>
            </w:r>
          </w:p>
          <w:p w14:paraId="729C2105" w14:textId="77777777" w:rsidR="00022EB8" w:rsidRPr="000C654A" w:rsidRDefault="00022EB8" w:rsidP="002378EA">
            <w:pPr>
              <w:numPr>
                <w:ilvl w:val="0"/>
                <w:numId w:val="30"/>
              </w:numPr>
              <w:tabs>
                <w:tab w:val="clear" w:pos="360"/>
              </w:tabs>
              <w:ind w:hanging="291"/>
              <w:rPr>
                <w:rFonts w:cs="Arial"/>
                <w:sz w:val="22"/>
              </w:rPr>
            </w:pPr>
            <w:r>
              <w:rPr>
                <w:rFonts w:cs="Arial"/>
                <w:sz w:val="22"/>
              </w:rPr>
              <w:t>L</w:t>
            </w:r>
            <w:r w:rsidRPr="000C654A">
              <w:rPr>
                <w:rFonts w:cs="Arial"/>
                <w:sz w:val="22"/>
              </w:rPr>
              <w:t>es principes généraux de la sécurité</w:t>
            </w:r>
            <w:r>
              <w:rPr>
                <w:rFonts w:cs="Arial"/>
                <w:sz w:val="22"/>
              </w:rPr>
              <w:t> ;</w:t>
            </w:r>
          </w:p>
          <w:p w14:paraId="6AABAFD4" w14:textId="77777777" w:rsidR="00022EB8" w:rsidRPr="000C654A" w:rsidRDefault="00022EB8" w:rsidP="002378EA">
            <w:pPr>
              <w:numPr>
                <w:ilvl w:val="0"/>
                <w:numId w:val="30"/>
              </w:numPr>
              <w:tabs>
                <w:tab w:val="clear" w:pos="360"/>
              </w:tabs>
              <w:ind w:hanging="291"/>
              <w:rPr>
                <w:rFonts w:cs="Arial"/>
                <w:sz w:val="22"/>
              </w:rPr>
            </w:pPr>
            <w:r w:rsidRPr="000C654A">
              <w:rPr>
                <w:rFonts w:cs="Arial"/>
                <w:sz w:val="22"/>
              </w:rPr>
              <w:t>Mesures de protection</w:t>
            </w:r>
            <w:r>
              <w:rPr>
                <w:rFonts w:cs="Arial"/>
                <w:sz w:val="22"/>
              </w:rPr>
              <w:t> ;</w:t>
            </w:r>
          </w:p>
          <w:p w14:paraId="57855153"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Équipements de protection individuelle ;</w:t>
            </w:r>
          </w:p>
          <w:p w14:paraId="308DB9EA"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Gestion des risques en milieu du travail</w:t>
            </w:r>
            <w:r>
              <w:rPr>
                <w:rFonts w:cs="Arial"/>
                <w:sz w:val="22"/>
              </w:rPr>
              <w:t>, y compris les risques de harcèlement sexuel</w:t>
            </w:r>
            <w:r w:rsidRPr="007179F2">
              <w:rPr>
                <w:rFonts w:cs="Arial"/>
                <w:sz w:val="22"/>
              </w:rPr>
              <w:t> ;</w:t>
            </w:r>
          </w:p>
          <w:p w14:paraId="48221AE7"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Prévention des accidents de travail ;</w:t>
            </w:r>
          </w:p>
          <w:p w14:paraId="5F6EE20A" w14:textId="77777777" w:rsidR="00022EB8" w:rsidRDefault="00022EB8" w:rsidP="002378EA">
            <w:pPr>
              <w:numPr>
                <w:ilvl w:val="0"/>
                <w:numId w:val="30"/>
              </w:numPr>
              <w:tabs>
                <w:tab w:val="clear" w:pos="360"/>
              </w:tabs>
              <w:ind w:hanging="291"/>
              <w:rPr>
                <w:rFonts w:cs="Arial"/>
                <w:sz w:val="22"/>
              </w:rPr>
            </w:pPr>
            <w:r w:rsidRPr="007179F2">
              <w:rPr>
                <w:rFonts w:cs="Arial"/>
                <w:sz w:val="22"/>
              </w:rPr>
              <w:t>Règles d’hygiène</w:t>
            </w:r>
            <w:r>
              <w:rPr>
                <w:rFonts w:cs="Arial"/>
                <w:sz w:val="22"/>
              </w:rPr>
              <w:t>, santé et sécurité</w:t>
            </w:r>
          </w:p>
          <w:p w14:paraId="3BE27678" w14:textId="77777777" w:rsidR="00022EB8" w:rsidRPr="002D0296" w:rsidRDefault="00022EB8" w:rsidP="002378EA">
            <w:pPr>
              <w:numPr>
                <w:ilvl w:val="0"/>
                <w:numId w:val="30"/>
              </w:numPr>
              <w:tabs>
                <w:tab w:val="clear" w:pos="360"/>
              </w:tabs>
              <w:ind w:hanging="291"/>
              <w:rPr>
                <w:rFonts w:cs="Arial"/>
                <w:sz w:val="22"/>
              </w:rPr>
            </w:pPr>
            <w:r w:rsidRPr="002D0296">
              <w:rPr>
                <w:rFonts w:cs="Arial"/>
                <w:sz w:val="22"/>
              </w:rPr>
              <w:t>La formation et éducation sur la prévention d’accidents par restes d’explosifs de guerre pendant les travaux de génie civil ;</w:t>
            </w:r>
          </w:p>
          <w:p w14:paraId="79E7B574"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Gestion des déchets solides et liquides ;</w:t>
            </w:r>
          </w:p>
          <w:p w14:paraId="49291781" w14:textId="77777777" w:rsidR="00022EB8" w:rsidRPr="003B119C" w:rsidRDefault="00022EB8" w:rsidP="002378EA">
            <w:pPr>
              <w:numPr>
                <w:ilvl w:val="0"/>
                <w:numId w:val="30"/>
              </w:numPr>
              <w:tabs>
                <w:tab w:val="clear" w:pos="360"/>
              </w:tabs>
              <w:ind w:hanging="291"/>
              <w:rPr>
                <w:rFonts w:cs="Arial"/>
                <w:sz w:val="22"/>
              </w:rPr>
            </w:pPr>
            <w:r w:rsidRPr="007179F2">
              <w:rPr>
                <w:rFonts w:cs="Arial"/>
                <w:sz w:val="22"/>
              </w:rPr>
              <w:t>Lutte contre la contamination de la COVID-19</w:t>
            </w:r>
            <w:r>
              <w:rPr>
                <w:rFonts w:cs="Arial"/>
                <w:sz w:val="22"/>
              </w:rPr>
              <w:t xml:space="preserve"> (avec un module</w:t>
            </w:r>
            <w:r>
              <w:t xml:space="preserve"> sur comment travailler sous les conditions de pandémie (mesures de protections, prévention et traitement à suivre par les acteurs du projet et à apprendre aux bénéficiaires)</w:t>
            </w:r>
          </w:p>
          <w:p w14:paraId="48778D26" w14:textId="77777777" w:rsidR="00651DD1" w:rsidRPr="00FF4CBB" w:rsidRDefault="00651DD1" w:rsidP="002378EA">
            <w:pPr>
              <w:numPr>
                <w:ilvl w:val="0"/>
                <w:numId w:val="30"/>
              </w:numPr>
              <w:tabs>
                <w:tab w:val="clear" w:pos="360"/>
              </w:tabs>
              <w:ind w:hanging="291"/>
              <w:rPr>
                <w:rFonts w:cs="Arial"/>
                <w:sz w:val="22"/>
              </w:rPr>
            </w:pPr>
            <w:r>
              <w:rPr>
                <w:rFonts w:cs="Arial"/>
                <w:sz w:val="22"/>
              </w:rPr>
              <w:t>Lutte contre la contamination d’Ebola ;</w:t>
            </w:r>
          </w:p>
          <w:p w14:paraId="2D6ECA1D" w14:textId="77777777" w:rsidR="00022EB8" w:rsidRPr="007179F2" w:rsidRDefault="00022EB8" w:rsidP="002378EA">
            <w:pPr>
              <w:numPr>
                <w:ilvl w:val="0"/>
                <w:numId w:val="30"/>
              </w:numPr>
              <w:tabs>
                <w:tab w:val="clear" w:pos="360"/>
              </w:tabs>
              <w:ind w:hanging="291"/>
              <w:rPr>
                <w:rFonts w:cs="Arial"/>
                <w:sz w:val="22"/>
              </w:rPr>
            </w:pPr>
            <w:r>
              <w:t>Lutte contre les IST et VIH/SIDA</w:t>
            </w:r>
            <w:r w:rsidRPr="007179F2">
              <w:rPr>
                <w:rFonts w:cs="Arial"/>
                <w:sz w:val="22"/>
              </w:rPr>
              <w:t>.</w:t>
            </w:r>
          </w:p>
        </w:tc>
      </w:tr>
      <w:tr w:rsidR="00022EB8" w:rsidRPr="007179F2" w14:paraId="0CEF935F" w14:textId="77777777" w:rsidTr="00B970D0">
        <w:tc>
          <w:tcPr>
            <w:tcW w:w="9067" w:type="dxa"/>
          </w:tcPr>
          <w:p w14:paraId="2B29F572" w14:textId="77777777" w:rsidR="00022EB8" w:rsidRPr="007179F2" w:rsidRDefault="00022EB8" w:rsidP="00B970D0">
            <w:pPr>
              <w:pStyle w:val="Pieddepage"/>
              <w:rPr>
                <w:rFonts w:ascii="Arial" w:hAnsi="Arial" w:cs="Arial"/>
                <w:i/>
                <w:sz w:val="22"/>
                <w:szCs w:val="22"/>
              </w:rPr>
            </w:pPr>
            <w:r w:rsidRPr="007179F2">
              <w:rPr>
                <w:rFonts w:ascii="Arial" w:hAnsi="Arial" w:cs="Arial"/>
                <w:i/>
                <w:sz w:val="22"/>
                <w:szCs w:val="22"/>
              </w:rPr>
              <w:t>Modules de formation sur la gestion des pesticides</w:t>
            </w:r>
          </w:p>
          <w:p w14:paraId="03B9D9A1"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Information sur les risques ; conseils de santé et de sécurité ;</w:t>
            </w:r>
          </w:p>
          <w:p w14:paraId="0BDEA658"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Connaissances de base sur les procédures de manipulation et de gestion des risques ;</w:t>
            </w:r>
          </w:p>
          <w:p w14:paraId="77A041ED"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Port des équipements de protection et de sécurité ;</w:t>
            </w:r>
          </w:p>
          <w:p w14:paraId="5A0E17A2"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Risques liés au stockage et au transport des pesticides ;</w:t>
            </w:r>
          </w:p>
          <w:p w14:paraId="69AD897A"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Procédures de manipulation et gestion des emballages et pesticides usagés ;</w:t>
            </w:r>
          </w:p>
          <w:p w14:paraId="417FEF2D"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Mesures d’urgence et de secours en cas d’intoxication ;</w:t>
            </w:r>
          </w:p>
          <w:p w14:paraId="640773BA"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Analyses, contrôle, surveillance et suivi.</w:t>
            </w:r>
          </w:p>
        </w:tc>
      </w:tr>
      <w:tr w:rsidR="00022EB8" w:rsidRPr="007179F2" w14:paraId="0D9AC995" w14:textId="77777777" w:rsidTr="00B970D0">
        <w:tc>
          <w:tcPr>
            <w:tcW w:w="9067" w:type="dxa"/>
          </w:tcPr>
          <w:p w14:paraId="5DF54D18" w14:textId="77777777" w:rsidR="00022EB8" w:rsidRPr="007179F2" w:rsidRDefault="00022EB8" w:rsidP="00B970D0">
            <w:pPr>
              <w:pStyle w:val="Pieddepage"/>
              <w:rPr>
                <w:rFonts w:ascii="Arial" w:hAnsi="Arial" w:cs="Arial"/>
                <w:i/>
                <w:sz w:val="22"/>
                <w:szCs w:val="22"/>
              </w:rPr>
            </w:pPr>
            <w:r w:rsidRPr="007179F2">
              <w:rPr>
                <w:rFonts w:ascii="Arial" w:hAnsi="Arial" w:cs="Arial"/>
                <w:i/>
                <w:sz w:val="22"/>
                <w:szCs w:val="22"/>
              </w:rPr>
              <w:t>Mécanisme de gestion des plaintes</w:t>
            </w:r>
          </w:p>
          <w:p w14:paraId="269B8AA8"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Coordination du mécanisme de gestion des plaintes globales ;</w:t>
            </w:r>
          </w:p>
          <w:p w14:paraId="382308F4" w14:textId="77777777" w:rsidR="00022EB8" w:rsidRPr="007179F2" w:rsidRDefault="00022EB8" w:rsidP="002378EA">
            <w:pPr>
              <w:numPr>
                <w:ilvl w:val="0"/>
                <w:numId w:val="30"/>
              </w:numPr>
              <w:tabs>
                <w:tab w:val="clear" w:pos="360"/>
              </w:tabs>
              <w:ind w:hanging="291"/>
              <w:rPr>
                <w:rFonts w:cs="Arial"/>
                <w:sz w:val="22"/>
              </w:rPr>
            </w:pPr>
            <w:r>
              <w:rPr>
                <w:rFonts w:cs="Arial"/>
                <w:sz w:val="22"/>
              </w:rPr>
              <w:t>Mise en place des procédures spécifiques à la gestion éthique et confidentielle des plaintes liées à l’EAS/HS</w:t>
            </w:r>
            <w:r w:rsidRPr="007179F2">
              <w:rPr>
                <w:rFonts w:cs="Arial"/>
                <w:sz w:val="22"/>
              </w:rPr>
              <w:t> ;</w:t>
            </w:r>
          </w:p>
          <w:p w14:paraId="331B3BC7" w14:textId="77777777" w:rsidR="00022EB8" w:rsidRPr="007179F2" w:rsidRDefault="00022EB8" w:rsidP="002378EA">
            <w:pPr>
              <w:numPr>
                <w:ilvl w:val="0"/>
                <w:numId w:val="30"/>
              </w:numPr>
              <w:tabs>
                <w:tab w:val="clear" w:pos="360"/>
              </w:tabs>
              <w:ind w:hanging="291"/>
              <w:rPr>
                <w:rFonts w:cs="Arial"/>
                <w:sz w:val="22"/>
              </w:rPr>
            </w:pPr>
            <w:r w:rsidRPr="007179F2">
              <w:rPr>
                <w:rFonts w:cs="Arial"/>
                <w:sz w:val="22"/>
              </w:rPr>
              <w:t>Procédure d’enregistrement et de traitement ;</w:t>
            </w:r>
          </w:p>
          <w:p w14:paraId="36D1118B" w14:textId="77777777" w:rsidR="00022EB8" w:rsidRPr="007179F2" w:rsidRDefault="00022EB8" w:rsidP="002378EA">
            <w:pPr>
              <w:numPr>
                <w:ilvl w:val="0"/>
                <w:numId w:val="30"/>
              </w:numPr>
              <w:tabs>
                <w:tab w:val="clear" w:pos="360"/>
              </w:tabs>
              <w:ind w:hanging="291"/>
              <w:rPr>
                <w:rFonts w:cs="Arial"/>
                <w:i/>
                <w:sz w:val="22"/>
              </w:rPr>
            </w:pPr>
            <w:r w:rsidRPr="007179F2">
              <w:rPr>
                <w:rFonts w:cs="Arial"/>
                <w:sz w:val="22"/>
              </w:rPr>
              <w:t>Niveau de traitement, types d’instances et composition.</w:t>
            </w:r>
            <w:r w:rsidRPr="007179F2">
              <w:rPr>
                <w:rFonts w:cs="Arial"/>
                <w:i/>
                <w:sz w:val="22"/>
              </w:rPr>
              <w:t xml:space="preserve"> </w:t>
            </w:r>
          </w:p>
        </w:tc>
      </w:tr>
    </w:tbl>
    <w:p w14:paraId="06340291" w14:textId="77777777" w:rsidR="00022EB8" w:rsidRDefault="00022EB8" w:rsidP="00022EB8"/>
    <w:p w14:paraId="14533950" w14:textId="77777777" w:rsidR="00022EB8" w:rsidRPr="007179F2" w:rsidRDefault="00022EB8" w:rsidP="00022EB8">
      <w:pPr>
        <w:pStyle w:val="Titre2"/>
        <w:numPr>
          <w:ilvl w:val="2"/>
          <w:numId w:val="4"/>
        </w:numPr>
        <w:ind w:left="1560" w:hanging="709"/>
        <w:rPr>
          <w:rFonts w:cs="Arial"/>
          <w:i/>
          <w:sz w:val="22"/>
          <w:szCs w:val="22"/>
        </w:rPr>
      </w:pPr>
      <w:bookmarkStart w:id="427" w:name="_Toc70330408"/>
      <w:r w:rsidRPr="007179F2">
        <w:rPr>
          <w:rFonts w:cs="Arial"/>
          <w:i/>
          <w:sz w:val="22"/>
          <w:szCs w:val="22"/>
        </w:rPr>
        <w:t xml:space="preserve">Programmes de sensibilisation et de mobilisation au niveau </w:t>
      </w:r>
      <w:r w:rsidR="007C78BF">
        <w:rPr>
          <w:rFonts w:cs="Arial"/>
          <w:i/>
          <w:sz w:val="22"/>
          <w:szCs w:val="22"/>
        </w:rPr>
        <w:t>provincial</w:t>
      </w:r>
      <w:r>
        <w:rPr>
          <w:rFonts w:cs="Arial"/>
          <w:i/>
          <w:sz w:val="22"/>
          <w:szCs w:val="22"/>
        </w:rPr>
        <w:t>/</w:t>
      </w:r>
      <w:r w:rsidRPr="007179F2">
        <w:rPr>
          <w:rFonts w:cs="Arial"/>
          <w:i/>
          <w:sz w:val="22"/>
          <w:szCs w:val="22"/>
        </w:rPr>
        <w:t>communal/territorial</w:t>
      </w:r>
      <w:bookmarkEnd w:id="427"/>
    </w:p>
    <w:p w14:paraId="57CA7439" w14:textId="77777777" w:rsidR="00022EB8" w:rsidRPr="007179F2" w:rsidRDefault="00022EB8" w:rsidP="00022EB8">
      <w:pPr>
        <w:rPr>
          <w:rFonts w:cs="Arial"/>
          <w:sz w:val="22"/>
        </w:rPr>
      </w:pPr>
    </w:p>
    <w:p w14:paraId="0CD99776" w14:textId="77777777" w:rsidR="00022EB8" w:rsidRPr="007179F2" w:rsidRDefault="00022EB8" w:rsidP="002378EA">
      <w:pPr>
        <w:pStyle w:val="Paragraphedeliste"/>
        <w:keepNext/>
        <w:numPr>
          <w:ilvl w:val="1"/>
          <w:numId w:val="11"/>
        </w:numPr>
        <w:tabs>
          <w:tab w:val="left" w:pos="720"/>
        </w:tabs>
        <w:spacing w:before="240" w:after="120"/>
        <w:contextualSpacing w:val="0"/>
        <w:jc w:val="left"/>
        <w:outlineLvl w:val="2"/>
        <w:rPr>
          <w:rFonts w:cs="Arial"/>
          <w:vanish/>
          <w:sz w:val="22"/>
          <w:u w:val="single"/>
        </w:rPr>
      </w:pPr>
      <w:bookmarkStart w:id="428" w:name="_Toc70326813"/>
      <w:bookmarkStart w:id="429" w:name="_Toc70327046"/>
      <w:bookmarkStart w:id="430" w:name="_Toc70330409"/>
      <w:bookmarkEnd w:id="428"/>
      <w:bookmarkEnd w:id="429"/>
      <w:bookmarkEnd w:id="430"/>
    </w:p>
    <w:p w14:paraId="12943ACC" w14:textId="77777777" w:rsidR="00022EB8" w:rsidRPr="007179F2" w:rsidRDefault="00022EB8" w:rsidP="002378EA">
      <w:pPr>
        <w:pStyle w:val="Paragraphedeliste"/>
        <w:keepNext/>
        <w:numPr>
          <w:ilvl w:val="1"/>
          <w:numId w:val="11"/>
        </w:numPr>
        <w:tabs>
          <w:tab w:val="left" w:pos="720"/>
        </w:tabs>
        <w:spacing w:before="240" w:after="120"/>
        <w:contextualSpacing w:val="0"/>
        <w:jc w:val="left"/>
        <w:outlineLvl w:val="2"/>
        <w:rPr>
          <w:rFonts w:cs="Arial"/>
          <w:vanish/>
          <w:sz w:val="22"/>
          <w:u w:val="single"/>
        </w:rPr>
      </w:pPr>
      <w:bookmarkStart w:id="431" w:name="_Toc70326814"/>
      <w:bookmarkStart w:id="432" w:name="_Toc70327047"/>
      <w:bookmarkStart w:id="433" w:name="_Toc70330410"/>
      <w:bookmarkEnd w:id="431"/>
      <w:bookmarkEnd w:id="432"/>
      <w:bookmarkEnd w:id="433"/>
    </w:p>
    <w:p w14:paraId="5BA06F09" w14:textId="77777777" w:rsidR="00022EB8" w:rsidRPr="007179F2" w:rsidRDefault="00022EB8" w:rsidP="002378EA">
      <w:pPr>
        <w:pStyle w:val="Paragraphedeliste"/>
        <w:keepNext/>
        <w:numPr>
          <w:ilvl w:val="1"/>
          <w:numId w:val="11"/>
        </w:numPr>
        <w:tabs>
          <w:tab w:val="left" w:pos="720"/>
        </w:tabs>
        <w:spacing w:before="240" w:after="120"/>
        <w:contextualSpacing w:val="0"/>
        <w:jc w:val="left"/>
        <w:outlineLvl w:val="2"/>
        <w:rPr>
          <w:rFonts w:cs="Arial"/>
          <w:vanish/>
          <w:sz w:val="22"/>
          <w:u w:val="single"/>
        </w:rPr>
      </w:pPr>
      <w:bookmarkStart w:id="434" w:name="_Toc70326815"/>
      <w:bookmarkStart w:id="435" w:name="_Toc70327048"/>
      <w:bookmarkStart w:id="436" w:name="_Toc70330411"/>
      <w:bookmarkEnd w:id="434"/>
      <w:bookmarkEnd w:id="435"/>
      <w:bookmarkEnd w:id="436"/>
    </w:p>
    <w:p w14:paraId="34D09EB0" w14:textId="77777777" w:rsidR="00022EB8" w:rsidRPr="007179F2" w:rsidRDefault="00022EB8" w:rsidP="002378EA">
      <w:pPr>
        <w:pStyle w:val="Paragraphedeliste"/>
        <w:keepNext/>
        <w:numPr>
          <w:ilvl w:val="1"/>
          <w:numId w:val="15"/>
        </w:numPr>
        <w:tabs>
          <w:tab w:val="left" w:pos="720"/>
        </w:tabs>
        <w:spacing w:before="240" w:after="120"/>
        <w:contextualSpacing w:val="0"/>
        <w:jc w:val="left"/>
        <w:outlineLvl w:val="2"/>
        <w:rPr>
          <w:rFonts w:cs="Arial"/>
          <w:vanish/>
          <w:sz w:val="22"/>
          <w:u w:val="single"/>
        </w:rPr>
      </w:pPr>
      <w:bookmarkStart w:id="437" w:name="_Toc70326816"/>
      <w:bookmarkStart w:id="438" w:name="_Toc70327049"/>
      <w:bookmarkStart w:id="439" w:name="_Toc70330412"/>
      <w:bookmarkEnd w:id="437"/>
      <w:bookmarkEnd w:id="438"/>
      <w:bookmarkEnd w:id="439"/>
    </w:p>
    <w:p w14:paraId="4264876D" w14:textId="77777777" w:rsidR="00022EB8" w:rsidRPr="007179F2" w:rsidRDefault="00022EB8" w:rsidP="002378EA">
      <w:pPr>
        <w:pStyle w:val="Paragraphedeliste"/>
        <w:keepNext/>
        <w:numPr>
          <w:ilvl w:val="0"/>
          <w:numId w:val="16"/>
        </w:numPr>
        <w:spacing w:before="240" w:after="120"/>
        <w:contextualSpacing w:val="0"/>
        <w:jc w:val="left"/>
        <w:outlineLvl w:val="2"/>
        <w:rPr>
          <w:rFonts w:cs="Arial"/>
          <w:vanish/>
          <w:sz w:val="22"/>
          <w:u w:val="single"/>
        </w:rPr>
      </w:pPr>
      <w:bookmarkStart w:id="440" w:name="_Toc70326817"/>
      <w:bookmarkStart w:id="441" w:name="_Toc70327050"/>
      <w:bookmarkStart w:id="442" w:name="_Toc70330413"/>
      <w:bookmarkEnd w:id="440"/>
      <w:bookmarkEnd w:id="441"/>
      <w:bookmarkEnd w:id="442"/>
    </w:p>
    <w:p w14:paraId="25AC30FF" w14:textId="77777777" w:rsidR="00022EB8" w:rsidRPr="007179F2" w:rsidRDefault="00022EB8" w:rsidP="002378EA">
      <w:pPr>
        <w:pStyle w:val="Paragraphedeliste"/>
        <w:keepNext/>
        <w:numPr>
          <w:ilvl w:val="0"/>
          <w:numId w:val="16"/>
        </w:numPr>
        <w:spacing w:before="240" w:after="120"/>
        <w:contextualSpacing w:val="0"/>
        <w:jc w:val="left"/>
        <w:outlineLvl w:val="2"/>
        <w:rPr>
          <w:rFonts w:cs="Arial"/>
          <w:vanish/>
          <w:sz w:val="22"/>
          <w:u w:val="single"/>
        </w:rPr>
      </w:pPr>
      <w:bookmarkStart w:id="443" w:name="_Toc70326818"/>
      <w:bookmarkStart w:id="444" w:name="_Toc70327051"/>
      <w:bookmarkStart w:id="445" w:name="_Toc70330414"/>
      <w:bookmarkEnd w:id="443"/>
      <w:bookmarkEnd w:id="444"/>
      <w:bookmarkEnd w:id="445"/>
    </w:p>
    <w:p w14:paraId="59E07CA7" w14:textId="77777777" w:rsidR="00022EB8" w:rsidRPr="007179F2" w:rsidRDefault="00022EB8" w:rsidP="002378EA">
      <w:pPr>
        <w:pStyle w:val="Paragraphedeliste"/>
        <w:keepNext/>
        <w:numPr>
          <w:ilvl w:val="1"/>
          <w:numId w:val="16"/>
        </w:numPr>
        <w:spacing w:before="240" w:after="120"/>
        <w:contextualSpacing w:val="0"/>
        <w:jc w:val="left"/>
        <w:outlineLvl w:val="2"/>
        <w:rPr>
          <w:rFonts w:cs="Arial"/>
          <w:vanish/>
          <w:sz w:val="22"/>
          <w:u w:val="single"/>
        </w:rPr>
      </w:pPr>
      <w:bookmarkStart w:id="446" w:name="_Toc70326819"/>
      <w:bookmarkStart w:id="447" w:name="_Toc70327052"/>
      <w:bookmarkStart w:id="448" w:name="_Toc70330415"/>
      <w:bookmarkEnd w:id="446"/>
      <w:bookmarkEnd w:id="447"/>
      <w:bookmarkEnd w:id="448"/>
    </w:p>
    <w:p w14:paraId="141B0097" w14:textId="77777777" w:rsidR="00022EB8" w:rsidRPr="007179F2" w:rsidRDefault="00022EB8" w:rsidP="00022EB8">
      <w:pPr>
        <w:pStyle w:val="Titre2"/>
        <w:rPr>
          <w:rFonts w:cs="Arial"/>
          <w:i/>
          <w:sz w:val="22"/>
          <w:szCs w:val="22"/>
        </w:rPr>
      </w:pPr>
      <w:bookmarkStart w:id="449" w:name="_Toc70327053"/>
      <w:bookmarkStart w:id="450" w:name="_Toc70330416"/>
      <w:r w:rsidRPr="007179F2">
        <w:rPr>
          <w:rFonts w:cs="Arial"/>
          <w:i/>
          <w:sz w:val="22"/>
          <w:szCs w:val="22"/>
        </w:rPr>
        <w:t>Surveillance environnementale et sociale</w:t>
      </w:r>
      <w:bookmarkEnd w:id="449"/>
      <w:bookmarkEnd w:id="450"/>
    </w:p>
    <w:p w14:paraId="6AF2663D" w14:textId="77777777" w:rsidR="00022EB8" w:rsidRPr="007179F2" w:rsidRDefault="00022EB8" w:rsidP="00022EB8">
      <w:pPr>
        <w:autoSpaceDE w:val="0"/>
        <w:autoSpaceDN w:val="0"/>
        <w:adjustRightInd w:val="0"/>
        <w:rPr>
          <w:rFonts w:eastAsia="Calibri" w:cs="Arial"/>
          <w:sz w:val="22"/>
        </w:rPr>
      </w:pPr>
    </w:p>
    <w:p w14:paraId="704913A4" w14:textId="77777777" w:rsidR="00022EB8" w:rsidRPr="007179F2" w:rsidRDefault="00022EB8" w:rsidP="00022EB8">
      <w:pPr>
        <w:rPr>
          <w:sz w:val="22"/>
        </w:rPr>
      </w:pPr>
      <w:r w:rsidRPr="007179F2">
        <w:rPr>
          <w:sz w:val="22"/>
        </w:rPr>
        <w:t xml:space="preserve">Dans un souci d’appropriation et de pérennisation des acquis du Projet par les communautés de base dans les municipalités ciblées, PNDA, en rapport avec les </w:t>
      </w:r>
      <w:r>
        <w:rPr>
          <w:sz w:val="22"/>
        </w:rPr>
        <w:t>provinces/</w:t>
      </w:r>
      <w:r w:rsidRPr="007179F2">
        <w:rPr>
          <w:sz w:val="22"/>
        </w:rPr>
        <w:t xml:space="preserve">communes/territoires, accompagnera le processus de préparation et de mise en œuvre des activités du PNDA par des séances d’information, de sensibilisation et de formation pour un changement de comportement. </w:t>
      </w:r>
    </w:p>
    <w:p w14:paraId="3E83608E" w14:textId="77777777" w:rsidR="00022EB8" w:rsidRPr="007179F2" w:rsidRDefault="00022EB8" w:rsidP="00022EB8">
      <w:pPr>
        <w:rPr>
          <w:sz w:val="22"/>
        </w:rPr>
      </w:pPr>
    </w:p>
    <w:p w14:paraId="511C09AB" w14:textId="77777777" w:rsidR="00022EB8" w:rsidRPr="007179F2" w:rsidRDefault="00022EB8" w:rsidP="00022EB8">
      <w:pPr>
        <w:rPr>
          <w:sz w:val="22"/>
        </w:rPr>
      </w:pPr>
      <w:r w:rsidRPr="007179F2">
        <w:rPr>
          <w:sz w:val="22"/>
        </w:rPr>
        <w:t xml:space="preserve">Le SSE, le SSS et le SVBG coordonneront la mise en œuvre des campagnes d’information et de sensibilisation auprès des communes/territoires/collectivités et villages bénéficiaires, en rapport avec les PFES Territoires, notamment sur la nature des travaux et les enjeux environnementaux et sociaux lors de la mise en œuvre des activités du PNDA. Dans ce processus, les comités locaux, les chefs de quartiers, les chefs des villages, les ONG locales et autres associations de quartiers y compris les associations des femmes devront être impliqués au premier plan. </w:t>
      </w:r>
    </w:p>
    <w:p w14:paraId="3BABB60B" w14:textId="77777777" w:rsidR="00022EB8" w:rsidRPr="007179F2" w:rsidRDefault="00022EB8" w:rsidP="00022EB8">
      <w:pPr>
        <w:rPr>
          <w:sz w:val="22"/>
        </w:rPr>
      </w:pPr>
    </w:p>
    <w:p w14:paraId="4573A46E" w14:textId="77777777" w:rsidR="00022EB8" w:rsidRPr="007179F2" w:rsidRDefault="00022EB8" w:rsidP="00022EB8">
      <w:pPr>
        <w:rPr>
          <w:sz w:val="22"/>
        </w:rPr>
      </w:pPr>
      <w:r w:rsidRPr="007179F2">
        <w:rPr>
          <w:sz w:val="22"/>
        </w:rPr>
        <w:t>Une ONG avec une expertise confirmée dans ce domaine devrait être retenue pour effectuer ces prestations. Les objectifs spécifiques de cette prestation sont de : préparer la population à assurer l'entretien et la gestion des infrastructures; sensibiliser la population sur les aspects d’hygiène – santé</w:t>
      </w:r>
      <w:r>
        <w:rPr>
          <w:sz w:val="22"/>
        </w:rPr>
        <w:t>, y compris</w:t>
      </w:r>
      <w:r w:rsidRPr="007179F2">
        <w:rPr>
          <w:sz w:val="22"/>
        </w:rPr>
        <w:t xml:space="preserve"> COVID-19</w:t>
      </w:r>
      <w:r>
        <w:rPr>
          <w:sz w:val="22"/>
        </w:rPr>
        <w:t> ; les IST et le VIH/SIDA</w:t>
      </w:r>
      <w:r w:rsidRPr="007179F2">
        <w:rPr>
          <w:sz w:val="22"/>
        </w:rPr>
        <w:t> ; sensibiliser les agents communaux/territoriaux concernés par l'entretien des infrastructures ; assurer le suivi et l'accompagnement des solutions mises en place ; assurer l’interface entre les différents acteurs du Projet (élus locaux, population, associations, entreprises) et gérer les conflits ; organiser des séances d'information dans les quartiers des communes/territoires/villages ciblés ; organiser des assemblées populaires dans chaque communes/territoires/villages; sensibiliser les ménages par le biais des animateurs locaux</w:t>
      </w:r>
      <w:r>
        <w:rPr>
          <w:sz w:val="22"/>
        </w:rPr>
        <w:t xml:space="preserve"> </w:t>
      </w:r>
      <w:r w:rsidRPr="007179F2">
        <w:rPr>
          <w:sz w:val="22"/>
        </w:rPr>
        <w:t xml:space="preserve">préalablement formés ; organiser des émissions de stations radios locales; mettre en place des affiches d’information, etc. </w:t>
      </w:r>
    </w:p>
    <w:p w14:paraId="0077E10A" w14:textId="77777777" w:rsidR="00022EB8" w:rsidRPr="007179F2" w:rsidRDefault="00022EB8" w:rsidP="00022EB8">
      <w:pPr>
        <w:rPr>
          <w:sz w:val="22"/>
        </w:rPr>
      </w:pPr>
    </w:p>
    <w:p w14:paraId="1200DE47" w14:textId="77777777" w:rsidR="00022EB8" w:rsidRPr="007179F2" w:rsidRDefault="00022EB8" w:rsidP="00022EB8">
      <w:pPr>
        <w:rPr>
          <w:sz w:val="22"/>
        </w:rPr>
      </w:pPr>
      <w:r w:rsidRPr="007179F2">
        <w:rPr>
          <w:sz w:val="22"/>
        </w:rPr>
        <w:t xml:space="preserve">Il sied de signaler que les ONG spécialisées en VBG réaliseront la sensibilisation sur les aspects </w:t>
      </w:r>
      <w:r>
        <w:rPr>
          <w:sz w:val="22"/>
        </w:rPr>
        <w:t xml:space="preserve">liés aux </w:t>
      </w:r>
      <w:r w:rsidRPr="007179F2">
        <w:rPr>
          <w:sz w:val="22"/>
        </w:rPr>
        <w:t>VBG</w:t>
      </w:r>
      <w:r>
        <w:rPr>
          <w:sz w:val="22"/>
        </w:rPr>
        <w:t>, y compris l’</w:t>
      </w:r>
      <w:r w:rsidRPr="007179F2">
        <w:rPr>
          <w:sz w:val="22"/>
        </w:rPr>
        <w:t>EAS</w:t>
      </w:r>
      <w:r>
        <w:rPr>
          <w:sz w:val="22"/>
        </w:rPr>
        <w:t xml:space="preserve"> et le </w:t>
      </w:r>
      <w:r w:rsidRPr="007179F2">
        <w:rPr>
          <w:sz w:val="22"/>
        </w:rPr>
        <w:t>HS</w:t>
      </w:r>
      <w:r>
        <w:rPr>
          <w:sz w:val="22"/>
        </w:rPr>
        <w:t>,</w:t>
      </w:r>
      <w:r w:rsidRPr="007179F2">
        <w:rPr>
          <w:sz w:val="22"/>
        </w:rPr>
        <w:t xml:space="preserve"> en faveur des hommes et des femmes dans les communautés,</w:t>
      </w:r>
      <w:r>
        <w:rPr>
          <w:sz w:val="22"/>
        </w:rPr>
        <w:t xml:space="preserve"> ainsi que</w:t>
      </w:r>
      <w:r w:rsidRPr="007179F2">
        <w:rPr>
          <w:sz w:val="22"/>
        </w:rPr>
        <w:t xml:space="preserve"> des consultations </w:t>
      </w:r>
      <w:r>
        <w:rPr>
          <w:sz w:val="22"/>
        </w:rPr>
        <w:t xml:space="preserve">indépendantes </w:t>
      </w:r>
      <w:r w:rsidRPr="007179F2">
        <w:rPr>
          <w:sz w:val="22"/>
        </w:rPr>
        <w:t>avec les femmes lors des groupes de discussion réservés aux femmes et animées par des femmes</w:t>
      </w:r>
      <w:r>
        <w:rPr>
          <w:sz w:val="22"/>
        </w:rPr>
        <w:t>,</w:t>
      </w:r>
      <w:r w:rsidRPr="007179F2">
        <w:rPr>
          <w:sz w:val="22"/>
        </w:rPr>
        <w:t xml:space="preserve"> et fourniront des services directs, ainsi que des référencements des survivant</w:t>
      </w:r>
      <w:r>
        <w:rPr>
          <w:sz w:val="22"/>
        </w:rPr>
        <w:t>(</w:t>
      </w:r>
      <w:r w:rsidRPr="007179F2">
        <w:rPr>
          <w:sz w:val="22"/>
        </w:rPr>
        <w:t>e</w:t>
      </w:r>
      <w:r>
        <w:rPr>
          <w:sz w:val="22"/>
        </w:rPr>
        <w:t>)</w:t>
      </w:r>
      <w:r w:rsidRPr="007179F2">
        <w:rPr>
          <w:sz w:val="22"/>
        </w:rPr>
        <w:t>s d</w:t>
      </w:r>
      <w:r>
        <w:rPr>
          <w:sz w:val="22"/>
        </w:rPr>
        <w:t>’</w:t>
      </w:r>
      <w:r w:rsidRPr="007179F2">
        <w:rPr>
          <w:sz w:val="22"/>
        </w:rPr>
        <w:t>EAS/HS auprès des prestataires de services.</w:t>
      </w:r>
    </w:p>
    <w:p w14:paraId="465C12A0" w14:textId="77777777" w:rsidR="00022EB8" w:rsidRPr="007179F2" w:rsidRDefault="00022EB8" w:rsidP="00022EB8">
      <w:pPr>
        <w:rPr>
          <w:sz w:val="22"/>
        </w:rPr>
      </w:pPr>
    </w:p>
    <w:p w14:paraId="55435862" w14:textId="77777777" w:rsidR="00022EB8" w:rsidRPr="007179F2" w:rsidRDefault="00022EB8" w:rsidP="00022EB8">
      <w:pPr>
        <w:rPr>
          <w:sz w:val="22"/>
        </w:rPr>
      </w:pPr>
      <w:r w:rsidRPr="007179F2">
        <w:rPr>
          <w:sz w:val="22"/>
        </w:rPr>
        <w:t xml:space="preserve">Les ONG spécialisées </w:t>
      </w:r>
      <w:r>
        <w:rPr>
          <w:sz w:val="22"/>
        </w:rPr>
        <w:t>en</w:t>
      </w:r>
      <w:r w:rsidRPr="007179F2">
        <w:rPr>
          <w:sz w:val="22"/>
        </w:rPr>
        <w:t xml:space="preserve"> VBG assureront également des campagnes de sensibilisation sur les </w:t>
      </w:r>
      <w:r>
        <w:rPr>
          <w:sz w:val="22"/>
        </w:rPr>
        <w:t xml:space="preserve">concepts de base sur l’EAS/HS, les </w:t>
      </w:r>
      <w:r w:rsidRPr="007179F2">
        <w:rPr>
          <w:sz w:val="22"/>
        </w:rPr>
        <w:t xml:space="preserve">comportements </w:t>
      </w:r>
      <w:r>
        <w:rPr>
          <w:sz w:val="22"/>
        </w:rPr>
        <w:t>interdits dans</w:t>
      </w:r>
      <w:r w:rsidRPr="007179F2">
        <w:rPr>
          <w:sz w:val="22"/>
        </w:rPr>
        <w:t xml:space="preserve"> le contenu du </w:t>
      </w:r>
      <w:r>
        <w:rPr>
          <w:sz w:val="22"/>
        </w:rPr>
        <w:t>c</w:t>
      </w:r>
      <w:r w:rsidRPr="007179F2">
        <w:rPr>
          <w:sz w:val="22"/>
        </w:rPr>
        <w:t xml:space="preserve">ode de bonne conduite des entreprises et de travailleurs engagés au Projet, et aussi </w:t>
      </w:r>
      <w:r>
        <w:rPr>
          <w:sz w:val="22"/>
        </w:rPr>
        <w:t xml:space="preserve">les procédures dans </w:t>
      </w:r>
      <w:r w:rsidRPr="007179F2">
        <w:rPr>
          <w:sz w:val="22"/>
        </w:rPr>
        <w:t xml:space="preserve">le </w:t>
      </w:r>
      <w:r>
        <w:rPr>
          <w:sz w:val="22"/>
        </w:rPr>
        <w:t>MGP pour la gestion éthique et confidentielle des plaintes d’</w:t>
      </w:r>
      <w:r w:rsidRPr="007179F2">
        <w:rPr>
          <w:sz w:val="22"/>
        </w:rPr>
        <w:t>EAS/HS.</w:t>
      </w:r>
    </w:p>
    <w:p w14:paraId="13A27814" w14:textId="77777777" w:rsidR="00022EB8" w:rsidRPr="007179F2" w:rsidRDefault="00022EB8" w:rsidP="00022EB8">
      <w:pPr>
        <w:rPr>
          <w:sz w:val="22"/>
        </w:rPr>
      </w:pPr>
    </w:p>
    <w:p w14:paraId="5AE54DE3" w14:textId="77777777" w:rsidR="00022EB8" w:rsidRPr="007179F2" w:rsidRDefault="00022EB8" w:rsidP="00022EB8">
      <w:pPr>
        <w:rPr>
          <w:sz w:val="22"/>
        </w:rPr>
      </w:pPr>
      <w:r w:rsidRPr="007179F2">
        <w:rPr>
          <w:sz w:val="22"/>
        </w:rPr>
        <w:t>Avant les séances de sensibilisation, les sensibilisateurs</w:t>
      </w:r>
      <w:r>
        <w:rPr>
          <w:sz w:val="22"/>
        </w:rPr>
        <w:t>/-trices</w:t>
      </w:r>
      <w:r w:rsidRPr="007179F2">
        <w:rPr>
          <w:sz w:val="22"/>
        </w:rPr>
        <w:t xml:space="preserve"> devront avoir assez d’information sur la cartographie de différents services susceptibles d’accueillir les survivant</w:t>
      </w:r>
      <w:r>
        <w:rPr>
          <w:sz w:val="22"/>
        </w:rPr>
        <w:t>(e)</w:t>
      </w:r>
      <w:r w:rsidRPr="007179F2">
        <w:rPr>
          <w:sz w:val="22"/>
        </w:rPr>
        <w:t>s pour les référencements en cas d’incidents</w:t>
      </w:r>
      <w:r>
        <w:rPr>
          <w:sz w:val="22"/>
        </w:rPr>
        <w:t xml:space="preserve"> d’EAS/HS</w:t>
      </w:r>
      <w:r w:rsidRPr="007179F2">
        <w:rPr>
          <w:sz w:val="22"/>
        </w:rPr>
        <w:t xml:space="preserve">. L’information, l’éducation et la Communication pour le Changement de Comportement (CCC) doivent être axées principalement sur les problèmes environnementaux et sociaux (dont </w:t>
      </w:r>
      <w:r>
        <w:rPr>
          <w:sz w:val="22"/>
        </w:rPr>
        <w:t>l’EAS/HS</w:t>
      </w:r>
      <w:r w:rsidRPr="007179F2">
        <w:rPr>
          <w:sz w:val="22"/>
        </w:rPr>
        <w:t>) liés aux sous-projets du PNDA ainsi que sur les stratégies à adopter pour y faire face. Ces interventions doivent viser à modifier qualitativement et de façon durable le comportement de la population communale. Leur mise en œuvre réussie suppose une implication dynamique des services communaux et de toutes les composantes de la communauté. Dans cette optique, les élus locaux et leurs équipes techniques doivent être davantage encadrés pour mieux prendre en charge les activités de CCC. La production de matériel pédagogique doit être développée et il importe d’utiliser rationnellement tous les canaux et supports d’information existants pour la transmission de messages appropriés. Les structures fédératives des ONG, les comités locaux, les chefs de quartier</w:t>
      </w:r>
      <w:r>
        <w:rPr>
          <w:sz w:val="22"/>
        </w:rPr>
        <w:t>,</w:t>
      </w:r>
      <w:r w:rsidRPr="007179F2">
        <w:rPr>
          <w:sz w:val="22"/>
        </w:rPr>
        <w:t xml:space="preserve"> et autres OCB seront aussi mises à contribution dans la sensibilisation des populations.</w:t>
      </w:r>
    </w:p>
    <w:p w14:paraId="29E9E744" w14:textId="77777777" w:rsidR="00022EB8" w:rsidRPr="007179F2" w:rsidRDefault="00022EB8" w:rsidP="00022EB8">
      <w:pPr>
        <w:rPr>
          <w:sz w:val="22"/>
        </w:rPr>
      </w:pPr>
    </w:p>
    <w:p w14:paraId="0D59E177" w14:textId="77777777" w:rsidR="00022EB8" w:rsidRDefault="00022EB8" w:rsidP="00022EB8">
      <w:pPr>
        <w:pStyle w:val="Lgende"/>
        <w:rPr>
          <w:sz w:val="22"/>
          <w:szCs w:val="22"/>
        </w:rPr>
      </w:pPr>
      <w:bookmarkStart w:id="451" w:name="_Toc70451661"/>
      <w:r w:rsidRPr="003B119C">
        <w:rPr>
          <w:sz w:val="22"/>
          <w:szCs w:val="22"/>
        </w:rPr>
        <w:t xml:space="preserve">Tableau </w:t>
      </w:r>
      <w:r w:rsidRPr="003B119C">
        <w:rPr>
          <w:sz w:val="22"/>
          <w:szCs w:val="22"/>
        </w:rPr>
        <w:fldChar w:fldCharType="begin"/>
      </w:r>
      <w:r w:rsidRPr="003B119C">
        <w:rPr>
          <w:sz w:val="22"/>
          <w:szCs w:val="22"/>
        </w:rPr>
        <w:instrText xml:space="preserve"> SEQ Tableau \* ARABIC </w:instrText>
      </w:r>
      <w:r w:rsidRPr="003B119C">
        <w:rPr>
          <w:sz w:val="22"/>
          <w:szCs w:val="22"/>
        </w:rPr>
        <w:fldChar w:fldCharType="separate"/>
      </w:r>
      <w:r w:rsidR="001260B3">
        <w:rPr>
          <w:noProof/>
          <w:sz w:val="22"/>
          <w:szCs w:val="22"/>
        </w:rPr>
        <w:t>15</w:t>
      </w:r>
      <w:r w:rsidRPr="003B119C">
        <w:rPr>
          <w:sz w:val="22"/>
          <w:szCs w:val="22"/>
        </w:rPr>
        <w:fldChar w:fldCharType="end"/>
      </w:r>
      <w:r w:rsidRPr="003B119C">
        <w:rPr>
          <w:sz w:val="22"/>
          <w:szCs w:val="22"/>
        </w:rPr>
        <w:t>. Information et Sensibilisation</w:t>
      </w:r>
      <w:bookmarkEnd w:id="451"/>
    </w:p>
    <w:p w14:paraId="4C2B49D4" w14:textId="77777777" w:rsidR="00022EB8" w:rsidRPr="00646CF7" w:rsidRDefault="00022EB8" w:rsidP="00022EB8">
      <w:pPr>
        <w:rPr>
          <w:lang w:eastAsia="en-US"/>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260"/>
        <w:gridCol w:w="2054"/>
      </w:tblGrid>
      <w:tr w:rsidR="00022EB8" w:rsidRPr="0021114A" w14:paraId="2E624FC3" w14:textId="77777777" w:rsidTr="00B970D0">
        <w:trPr>
          <w:trHeight w:val="310"/>
        </w:trPr>
        <w:tc>
          <w:tcPr>
            <w:tcW w:w="3686" w:type="dxa"/>
          </w:tcPr>
          <w:p w14:paraId="33BC1B50" w14:textId="77777777" w:rsidR="00022EB8" w:rsidRPr="00646CF7" w:rsidRDefault="00022EB8" w:rsidP="00B970D0">
            <w:pPr>
              <w:jc w:val="center"/>
              <w:rPr>
                <w:bCs/>
              </w:rPr>
            </w:pPr>
            <w:r w:rsidRPr="00646CF7">
              <w:rPr>
                <w:bCs/>
                <w:sz w:val="22"/>
              </w:rPr>
              <w:t>Acteurs concernés</w:t>
            </w:r>
          </w:p>
        </w:tc>
        <w:tc>
          <w:tcPr>
            <w:tcW w:w="3260" w:type="dxa"/>
          </w:tcPr>
          <w:p w14:paraId="5270A8F9" w14:textId="77777777" w:rsidR="00022EB8" w:rsidRPr="00646CF7" w:rsidRDefault="00022EB8" w:rsidP="00B970D0">
            <w:pPr>
              <w:jc w:val="center"/>
              <w:rPr>
                <w:bCs/>
              </w:rPr>
            </w:pPr>
            <w:r w:rsidRPr="00646CF7">
              <w:rPr>
                <w:bCs/>
                <w:sz w:val="22"/>
              </w:rPr>
              <w:t>Thèmes</w:t>
            </w:r>
          </w:p>
        </w:tc>
        <w:tc>
          <w:tcPr>
            <w:tcW w:w="2054" w:type="dxa"/>
          </w:tcPr>
          <w:p w14:paraId="470F3B4A" w14:textId="77777777" w:rsidR="00022EB8" w:rsidRPr="00646CF7" w:rsidRDefault="00022EB8" w:rsidP="00B970D0">
            <w:pPr>
              <w:jc w:val="center"/>
              <w:rPr>
                <w:bCs/>
              </w:rPr>
            </w:pPr>
            <w:r w:rsidRPr="00646CF7">
              <w:rPr>
                <w:bCs/>
                <w:sz w:val="22"/>
              </w:rPr>
              <w:t>Quantité</w:t>
            </w:r>
          </w:p>
        </w:tc>
      </w:tr>
      <w:tr w:rsidR="00022EB8" w:rsidRPr="0021114A" w14:paraId="4BC4A038" w14:textId="77777777" w:rsidTr="00B970D0">
        <w:trPr>
          <w:trHeight w:val="1341"/>
        </w:trPr>
        <w:tc>
          <w:tcPr>
            <w:tcW w:w="3686" w:type="dxa"/>
          </w:tcPr>
          <w:p w14:paraId="0C9AC96E" w14:textId="77777777" w:rsidR="00022EB8" w:rsidRPr="00646CF7" w:rsidRDefault="00022EB8" w:rsidP="002378EA">
            <w:pPr>
              <w:numPr>
                <w:ilvl w:val="0"/>
                <w:numId w:val="30"/>
              </w:numPr>
              <w:tabs>
                <w:tab w:val="clear" w:pos="360"/>
              </w:tabs>
              <w:ind w:hanging="291"/>
              <w:jc w:val="left"/>
              <w:rPr>
                <w:rFonts w:cs="Arial"/>
                <w:sz w:val="22"/>
              </w:rPr>
            </w:pPr>
            <w:r w:rsidRPr="00646CF7">
              <w:rPr>
                <w:rFonts w:cs="Arial"/>
                <w:sz w:val="22"/>
              </w:rPr>
              <w:t xml:space="preserve">Populations, </w:t>
            </w:r>
          </w:p>
          <w:p w14:paraId="292E2F6B" w14:textId="77777777" w:rsidR="00022EB8" w:rsidRPr="00646CF7" w:rsidRDefault="00022EB8" w:rsidP="002378EA">
            <w:pPr>
              <w:numPr>
                <w:ilvl w:val="0"/>
                <w:numId w:val="30"/>
              </w:numPr>
              <w:tabs>
                <w:tab w:val="clear" w:pos="360"/>
              </w:tabs>
              <w:ind w:hanging="291"/>
              <w:jc w:val="left"/>
              <w:rPr>
                <w:rFonts w:cs="Arial"/>
                <w:sz w:val="22"/>
              </w:rPr>
            </w:pPr>
            <w:r w:rsidRPr="00646CF7">
              <w:rPr>
                <w:rFonts w:cs="Arial"/>
                <w:sz w:val="22"/>
              </w:rPr>
              <w:t>Membres des Conseils municipaux</w:t>
            </w:r>
          </w:p>
          <w:p w14:paraId="6BDDE706" w14:textId="77777777" w:rsidR="00022EB8" w:rsidRPr="0021114A" w:rsidRDefault="00022EB8" w:rsidP="002378EA">
            <w:pPr>
              <w:numPr>
                <w:ilvl w:val="0"/>
                <w:numId w:val="30"/>
              </w:numPr>
              <w:tabs>
                <w:tab w:val="clear" w:pos="360"/>
              </w:tabs>
              <w:ind w:hanging="291"/>
              <w:jc w:val="left"/>
              <w:rPr>
                <w:lang w:val="fr-CA"/>
              </w:rPr>
            </w:pPr>
            <w:r w:rsidRPr="00646CF7">
              <w:rPr>
                <w:rFonts w:cs="Arial"/>
                <w:sz w:val="22"/>
              </w:rPr>
              <w:t>Associations locales y compris celles des femmes (comités locaux ; chefs de quartiers, ONG locales et ONG spécialisées pour la réalisation de la sensibilisation d</w:t>
            </w:r>
            <w:r>
              <w:rPr>
                <w:rFonts w:cs="Arial"/>
                <w:sz w:val="22"/>
              </w:rPr>
              <w:t>e</w:t>
            </w:r>
            <w:r w:rsidRPr="00646CF7">
              <w:rPr>
                <w:rFonts w:cs="Arial"/>
                <w:sz w:val="22"/>
              </w:rPr>
              <w:t xml:space="preserve"> lutte contre le</w:t>
            </w:r>
            <w:r>
              <w:rPr>
                <w:rFonts w:cs="Arial"/>
                <w:sz w:val="22"/>
              </w:rPr>
              <w:t>s</w:t>
            </w:r>
            <w:r w:rsidRPr="00646CF7">
              <w:rPr>
                <w:rFonts w:cs="Arial"/>
                <w:sz w:val="22"/>
              </w:rPr>
              <w:t xml:space="preserve"> VBG, etc.)</w:t>
            </w:r>
          </w:p>
        </w:tc>
        <w:tc>
          <w:tcPr>
            <w:tcW w:w="3260" w:type="dxa"/>
          </w:tcPr>
          <w:p w14:paraId="3AF4B223" w14:textId="77777777" w:rsidR="00022EB8" w:rsidRPr="00646CF7" w:rsidRDefault="00022EB8" w:rsidP="002378EA">
            <w:pPr>
              <w:numPr>
                <w:ilvl w:val="0"/>
                <w:numId w:val="30"/>
              </w:numPr>
              <w:tabs>
                <w:tab w:val="clear" w:pos="360"/>
              </w:tabs>
              <w:ind w:hanging="291"/>
              <w:jc w:val="left"/>
              <w:rPr>
                <w:rFonts w:cs="Arial"/>
                <w:sz w:val="22"/>
              </w:rPr>
            </w:pPr>
            <w:r w:rsidRPr="00646CF7">
              <w:rPr>
                <w:rFonts w:cs="Arial"/>
                <w:sz w:val="22"/>
              </w:rPr>
              <w:t>Campagnes d’information et de sensibilisation</w:t>
            </w:r>
            <w:r>
              <w:rPr>
                <w:rFonts w:cs="Arial"/>
                <w:sz w:val="22"/>
              </w:rPr>
              <w:t xml:space="preserve"> </w:t>
            </w:r>
            <w:r w:rsidRPr="00646CF7">
              <w:rPr>
                <w:rFonts w:cs="Arial"/>
                <w:sz w:val="22"/>
              </w:rPr>
              <w:t>sur la nature des travaux, l’implication des acteurs locaux, les enjeux environnementaux et sociaux ;</w:t>
            </w:r>
          </w:p>
          <w:p w14:paraId="5862C45A" w14:textId="77777777" w:rsidR="00022EB8" w:rsidRDefault="00022EB8" w:rsidP="002378EA">
            <w:pPr>
              <w:numPr>
                <w:ilvl w:val="0"/>
                <w:numId w:val="30"/>
              </w:numPr>
              <w:tabs>
                <w:tab w:val="clear" w:pos="360"/>
              </w:tabs>
              <w:ind w:hanging="291"/>
              <w:jc w:val="left"/>
              <w:rPr>
                <w:rFonts w:cs="Arial"/>
                <w:sz w:val="22"/>
              </w:rPr>
            </w:pPr>
            <w:r w:rsidRPr="00646CF7">
              <w:rPr>
                <w:rFonts w:cs="Arial"/>
                <w:sz w:val="22"/>
              </w:rPr>
              <w:t>Sensibilisation sur la sécurité et l’hygiène et le COVID-19 lors des travaux</w:t>
            </w:r>
            <w:r>
              <w:rPr>
                <w:rFonts w:cs="Arial"/>
                <w:sz w:val="22"/>
              </w:rPr>
              <w:t> ;</w:t>
            </w:r>
          </w:p>
          <w:p w14:paraId="60139027" w14:textId="77777777" w:rsidR="00022EB8" w:rsidRPr="00646CF7" w:rsidRDefault="00022EB8" w:rsidP="002378EA">
            <w:pPr>
              <w:numPr>
                <w:ilvl w:val="0"/>
                <w:numId w:val="30"/>
              </w:numPr>
              <w:tabs>
                <w:tab w:val="clear" w:pos="360"/>
              </w:tabs>
              <w:ind w:hanging="291"/>
              <w:jc w:val="left"/>
              <w:rPr>
                <w:rFonts w:cs="Arial"/>
                <w:sz w:val="22"/>
              </w:rPr>
            </w:pPr>
            <w:r>
              <w:rPr>
                <w:rFonts w:cs="Arial"/>
                <w:sz w:val="22"/>
              </w:rPr>
              <w:t>Sensibilisation sur la lutte contre les IST et VIH/SIDA</w:t>
            </w:r>
          </w:p>
          <w:p w14:paraId="698E11BD" w14:textId="77777777" w:rsidR="00022EB8" w:rsidRPr="00646CF7" w:rsidRDefault="00022EB8" w:rsidP="002378EA">
            <w:pPr>
              <w:numPr>
                <w:ilvl w:val="0"/>
                <w:numId w:val="30"/>
              </w:numPr>
              <w:tabs>
                <w:tab w:val="clear" w:pos="360"/>
              </w:tabs>
              <w:ind w:hanging="291"/>
              <w:jc w:val="left"/>
              <w:rPr>
                <w:rFonts w:cs="Arial"/>
                <w:sz w:val="22"/>
              </w:rPr>
            </w:pPr>
            <w:r w:rsidRPr="00646CF7">
              <w:rPr>
                <w:rFonts w:cs="Arial"/>
                <w:sz w:val="22"/>
              </w:rPr>
              <w:t>Sensibilisation à la gestion des risques et catastrophes</w:t>
            </w:r>
            <w:r>
              <w:rPr>
                <w:rFonts w:cs="Arial"/>
                <w:sz w:val="22"/>
              </w:rPr>
              <w:t> ;</w:t>
            </w:r>
          </w:p>
          <w:p w14:paraId="0A4B7D3E" w14:textId="77777777" w:rsidR="00022EB8" w:rsidRPr="0021114A" w:rsidRDefault="00022EB8" w:rsidP="002378EA">
            <w:pPr>
              <w:numPr>
                <w:ilvl w:val="0"/>
                <w:numId w:val="30"/>
              </w:numPr>
              <w:tabs>
                <w:tab w:val="clear" w:pos="360"/>
              </w:tabs>
              <w:ind w:hanging="291"/>
              <w:jc w:val="left"/>
              <w:rPr>
                <w:lang w:val="fr-CA"/>
              </w:rPr>
            </w:pPr>
            <w:r w:rsidRPr="00646CF7">
              <w:rPr>
                <w:rFonts w:cs="Arial"/>
                <w:sz w:val="22"/>
              </w:rPr>
              <w:t>Sensibilisation sur les causes</w:t>
            </w:r>
            <w:r>
              <w:rPr>
                <w:rFonts w:cs="Arial"/>
                <w:sz w:val="22"/>
              </w:rPr>
              <w:t xml:space="preserve"> et </w:t>
            </w:r>
            <w:r w:rsidRPr="00646CF7">
              <w:rPr>
                <w:rFonts w:cs="Arial"/>
                <w:sz w:val="22"/>
              </w:rPr>
              <w:t xml:space="preserve">conséquences, les </w:t>
            </w:r>
            <w:r>
              <w:rPr>
                <w:rFonts w:cs="Arial"/>
                <w:sz w:val="22"/>
              </w:rPr>
              <w:t xml:space="preserve">définitions et </w:t>
            </w:r>
            <w:r w:rsidRPr="00646CF7">
              <w:rPr>
                <w:rFonts w:cs="Arial"/>
                <w:sz w:val="22"/>
              </w:rPr>
              <w:t xml:space="preserve">typologies possibles, </w:t>
            </w:r>
            <w:r>
              <w:rPr>
                <w:rFonts w:cs="Arial"/>
                <w:sz w:val="22"/>
              </w:rPr>
              <w:t xml:space="preserve">les services disponibles, et </w:t>
            </w:r>
            <w:r w:rsidRPr="00646CF7">
              <w:rPr>
                <w:rFonts w:cs="Arial"/>
                <w:sz w:val="22"/>
              </w:rPr>
              <w:t xml:space="preserve">les mesures d’atténuation des risques </w:t>
            </w:r>
            <w:r>
              <w:rPr>
                <w:rFonts w:cs="Arial"/>
                <w:sz w:val="22"/>
              </w:rPr>
              <w:t>d’EAS/HS, parmi d’autres</w:t>
            </w:r>
            <w:r w:rsidRPr="00646CF7">
              <w:rPr>
                <w:rFonts w:cs="Arial"/>
                <w:sz w:val="22"/>
              </w:rPr>
              <w:t>.</w:t>
            </w:r>
          </w:p>
        </w:tc>
        <w:tc>
          <w:tcPr>
            <w:tcW w:w="2054" w:type="dxa"/>
          </w:tcPr>
          <w:p w14:paraId="0D10777D" w14:textId="77777777" w:rsidR="00022EB8" w:rsidRPr="0021114A" w:rsidRDefault="00022EB8" w:rsidP="00B970D0">
            <w:pPr>
              <w:jc w:val="left"/>
            </w:pPr>
            <w:r>
              <w:rPr>
                <w:sz w:val="22"/>
              </w:rPr>
              <w:t>5</w:t>
            </w:r>
            <w:r w:rsidRPr="0021114A">
              <w:rPr>
                <w:sz w:val="22"/>
              </w:rPr>
              <w:t xml:space="preserve"> campagnes dans chaque </w:t>
            </w:r>
            <w:r>
              <w:rPr>
                <w:sz w:val="22"/>
              </w:rPr>
              <w:t>Commune et Territoire ciblés.</w:t>
            </w:r>
          </w:p>
        </w:tc>
      </w:tr>
    </w:tbl>
    <w:p w14:paraId="51436BD2" w14:textId="77777777" w:rsidR="00022EB8" w:rsidRDefault="00022EB8" w:rsidP="001C2F95">
      <w:pPr>
        <w:pStyle w:val="WB-Numbered"/>
        <w:numPr>
          <w:ilvl w:val="0"/>
          <w:numId w:val="0"/>
        </w:numPr>
        <w:spacing w:after="0"/>
        <w:rPr>
          <w:rFonts w:ascii="Arial" w:hAnsi="Arial" w:cs="Arial"/>
          <w:sz w:val="21"/>
          <w:szCs w:val="21"/>
          <w:lang w:val="fr-FR"/>
        </w:rPr>
      </w:pPr>
    </w:p>
    <w:p w14:paraId="228C2B36" w14:textId="77777777" w:rsidR="003E63CD" w:rsidRPr="003E63CD" w:rsidRDefault="003E63CD" w:rsidP="003E63CD">
      <w:pPr>
        <w:pStyle w:val="Titre2"/>
        <w:numPr>
          <w:ilvl w:val="1"/>
          <w:numId w:val="4"/>
        </w:numPr>
        <w:ind w:left="851" w:hanging="425"/>
        <w:rPr>
          <w:rFonts w:cs="Arial"/>
          <w:b/>
          <w:sz w:val="22"/>
          <w:szCs w:val="22"/>
        </w:rPr>
      </w:pPr>
      <w:bookmarkStart w:id="452" w:name="_Toc70330417"/>
      <w:r w:rsidRPr="003E63CD">
        <w:rPr>
          <w:rFonts w:cs="Arial"/>
          <w:b/>
          <w:sz w:val="22"/>
          <w:szCs w:val="22"/>
        </w:rPr>
        <w:t>Procédure de gestion environnementale et sociale en cas de situation d’urgence</w:t>
      </w:r>
      <w:bookmarkEnd w:id="452"/>
      <w:r w:rsidRPr="003E63CD">
        <w:rPr>
          <w:rFonts w:cs="Arial"/>
          <w:b/>
          <w:sz w:val="22"/>
          <w:szCs w:val="22"/>
        </w:rPr>
        <w:t xml:space="preserve"> </w:t>
      </w:r>
    </w:p>
    <w:p w14:paraId="76627AE0" w14:textId="77777777" w:rsidR="003E63CD" w:rsidRPr="003E63CD" w:rsidRDefault="003E63CD" w:rsidP="003E63CD">
      <w:pPr>
        <w:rPr>
          <w:i/>
          <w:sz w:val="22"/>
          <w:highlight w:val="yellow"/>
        </w:rPr>
      </w:pPr>
    </w:p>
    <w:p w14:paraId="3B10CF6C" w14:textId="77777777" w:rsidR="003E63CD" w:rsidRPr="00EF43F1" w:rsidRDefault="003E63CD" w:rsidP="00EF43F1">
      <w:pPr>
        <w:pStyle w:val="Titre2"/>
        <w:numPr>
          <w:ilvl w:val="2"/>
          <w:numId w:val="4"/>
        </w:numPr>
        <w:ind w:left="1560" w:hanging="709"/>
        <w:rPr>
          <w:rFonts w:cs="Arial"/>
          <w:iCs/>
          <w:sz w:val="22"/>
          <w:szCs w:val="22"/>
        </w:rPr>
      </w:pPr>
      <w:bookmarkStart w:id="453" w:name="_Toc70330418"/>
      <w:r w:rsidRPr="00EF43F1">
        <w:rPr>
          <w:rFonts w:cs="Arial"/>
          <w:iCs/>
          <w:sz w:val="22"/>
          <w:szCs w:val="22"/>
        </w:rPr>
        <w:t>Arrangement institutionnel pour la mise en œuvre de la CERC</w:t>
      </w:r>
      <w:bookmarkEnd w:id="453"/>
    </w:p>
    <w:p w14:paraId="0EF23961" w14:textId="77777777" w:rsidR="003E63CD" w:rsidRPr="003E63CD" w:rsidRDefault="003E63CD" w:rsidP="003E63CD">
      <w:pPr>
        <w:rPr>
          <w:sz w:val="22"/>
          <w:highlight w:val="yellow"/>
        </w:rPr>
      </w:pPr>
    </w:p>
    <w:p w14:paraId="7D8FFB3A" w14:textId="77777777" w:rsidR="003E63CD" w:rsidRPr="00EF43F1" w:rsidRDefault="003E63CD" w:rsidP="003E63CD">
      <w:pPr>
        <w:rPr>
          <w:rFonts w:cs="Arial"/>
          <w:sz w:val="22"/>
        </w:rPr>
      </w:pPr>
      <w:r w:rsidRPr="00EF43F1">
        <w:rPr>
          <w:rFonts w:cs="Arial"/>
          <w:sz w:val="22"/>
        </w:rPr>
        <w:t>Comme mentionné ci-dessus, l’UNCP/PNDA est responsable de la mise en œuvre du sous-projet. Elle va préparer le dossier d'activation de la Composante CERC, y compris la déclaration de la catastrophe, la dernière évaluation d'impacts du rapport de situation et la liste des biens et travaux à inclure dans le Plan d'Actions d'Urgence (PAU/EAP).</w:t>
      </w:r>
    </w:p>
    <w:p w14:paraId="17A5DABB" w14:textId="77777777" w:rsidR="003E63CD" w:rsidRPr="00EF43F1" w:rsidRDefault="003E63CD" w:rsidP="003E63CD">
      <w:pPr>
        <w:rPr>
          <w:rFonts w:cs="Arial"/>
          <w:sz w:val="22"/>
        </w:rPr>
      </w:pPr>
    </w:p>
    <w:p w14:paraId="50C4F8BF" w14:textId="77777777" w:rsidR="003E63CD" w:rsidRPr="00EF43F1" w:rsidRDefault="003E63CD" w:rsidP="003E63CD">
      <w:pPr>
        <w:rPr>
          <w:rFonts w:cs="Arial"/>
          <w:sz w:val="22"/>
        </w:rPr>
      </w:pPr>
      <w:r w:rsidRPr="00EF43F1">
        <w:rPr>
          <w:rFonts w:cs="Arial"/>
          <w:sz w:val="22"/>
        </w:rPr>
        <w:t>Le tableau ci-dessous présente les étapes, actions à mener et la responsabilité institutionnelle de la mise en œuvre de la Composante CERC.</w:t>
      </w:r>
    </w:p>
    <w:p w14:paraId="2F8795CC" w14:textId="77777777" w:rsidR="003E63CD" w:rsidRPr="00EF43F1" w:rsidRDefault="003E63CD" w:rsidP="003E63CD">
      <w:pPr>
        <w:rPr>
          <w:rFonts w:cs="Arial"/>
          <w:sz w:val="22"/>
        </w:rPr>
      </w:pPr>
    </w:p>
    <w:p w14:paraId="7F8A87DA" w14:textId="17329970" w:rsidR="003E63CD" w:rsidRPr="00EF43F1" w:rsidRDefault="003E63CD" w:rsidP="003E63CD">
      <w:pPr>
        <w:rPr>
          <w:rFonts w:cs="Arial"/>
          <w:sz w:val="22"/>
        </w:rPr>
      </w:pPr>
      <w:bookmarkStart w:id="454" w:name="_Toc70451662"/>
      <w:r w:rsidRPr="003B119C">
        <w:rPr>
          <w:rFonts w:cs="Arial"/>
          <w:sz w:val="22"/>
        </w:rPr>
        <w:t xml:space="preserve">Tableau </w:t>
      </w:r>
      <w:r w:rsidRPr="003B119C">
        <w:rPr>
          <w:rFonts w:cs="Arial"/>
          <w:sz w:val="22"/>
        </w:rPr>
        <w:fldChar w:fldCharType="begin"/>
      </w:r>
      <w:r w:rsidRPr="003B119C">
        <w:rPr>
          <w:rFonts w:cs="Arial"/>
          <w:sz w:val="22"/>
        </w:rPr>
        <w:instrText xml:space="preserve"> SEQ Tableau \* ARABIC </w:instrText>
      </w:r>
      <w:r w:rsidRPr="003B119C">
        <w:rPr>
          <w:rFonts w:cs="Arial"/>
          <w:sz w:val="22"/>
        </w:rPr>
        <w:fldChar w:fldCharType="separate"/>
      </w:r>
      <w:r w:rsidR="001260B3">
        <w:rPr>
          <w:rFonts w:cs="Arial"/>
          <w:noProof/>
          <w:sz w:val="22"/>
        </w:rPr>
        <w:t>16</w:t>
      </w:r>
      <w:r w:rsidRPr="003B119C">
        <w:rPr>
          <w:rFonts w:cs="Arial"/>
          <w:sz w:val="22"/>
        </w:rPr>
        <w:fldChar w:fldCharType="end"/>
      </w:r>
      <w:r w:rsidRPr="003B119C">
        <w:rPr>
          <w:rFonts w:cs="Arial"/>
          <w:sz w:val="22"/>
        </w:rPr>
        <w:t>. Étapes</w:t>
      </w:r>
      <w:r w:rsidRPr="00EF43F1">
        <w:rPr>
          <w:rFonts w:cs="Arial"/>
          <w:sz w:val="22"/>
        </w:rPr>
        <w:t xml:space="preserve"> de mise en œuvre de </w:t>
      </w:r>
      <w:bookmarkEnd w:id="454"/>
      <w:r w:rsidR="00072B00">
        <w:rPr>
          <w:rFonts w:cs="Arial"/>
          <w:sz w:val="22"/>
        </w:rPr>
        <w:t>CERC</w:t>
      </w:r>
    </w:p>
    <w:p w14:paraId="008AA0BF" w14:textId="77777777" w:rsidR="003E63CD" w:rsidRPr="00EF43F1" w:rsidRDefault="003E63CD" w:rsidP="003E63CD">
      <w:pPr>
        <w:rPr>
          <w:rFonts w:cs="Arial"/>
          <w:sz w:val="22"/>
        </w:rPr>
      </w:pPr>
    </w:p>
    <w:tbl>
      <w:tblPr>
        <w:tblpPr w:leftFromText="180" w:rightFromText="180" w:vertAnchor="text" w:tblpY="1"/>
        <w:tblOverlap w:val="never"/>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695"/>
        <w:gridCol w:w="2657"/>
      </w:tblGrid>
      <w:tr w:rsidR="003E63CD" w:rsidRPr="00EF43F1" w14:paraId="0F8E205A" w14:textId="77777777" w:rsidTr="00EF43F1">
        <w:trPr>
          <w:trHeight w:val="276"/>
          <w:tblHeader/>
        </w:trPr>
        <w:tc>
          <w:tcPr>
            <w:tcW w:w="1129" w:type="dxa"/>
            <w:shd w:val="clear" w:color="auto" w:fill="auto"/>
            <w:vAlign w:val="center"/>
          </w:tcPr>
          <w:p w14:paraId="61457E40" w14:textId="77777777" w:rsidR="003E63CD" w:rsidRPr="00EF43F1" w:rsidRDefault="00EF43F1" w:rsidP="00EF43F1">
            <w:pPr>
              <w:rPr>
                <w:rFonts w:cs="Arial"/>
                <w:b/>
                <w:bCs/>
                <w:sz w:val="22"/>
              </w:rPr>
            </w:pPr>
            <w:r w:rsidRPr="00EF43F1">
              <w:rPr>
                <w:rFonts w:cs="Arial"/>
                <w:b/>
                <w:bCs/>
                <w:sz w:val="22"/>
              </w:rPr>
              <w:t>ÉTAPE</w:t>
            </w:r>
          </w:p>
          <w:p w14:paraId="4209464D" w14:textId="77777777" w:rsidR="003E63CD" w:rsidRPr="00EF43F1" w:rsidRDefault="003E63CD" w:rsidP="00EF43F1">
            <w:pPr>
              <w:rPr>
                <w:rFonts w:cs="Arial"/>
                <w:b/>
                <w:bCs/>
                <w:sz w:val="22"/>
              </w:rPr>
            </w:pPr>
          </w:p>
        </w:tc>
        <w:tc>
          <w:tcPr>
            <w:tcW w:w="6695" w:type="dxa"/>
            <w:shd w:val="clear" w:color="auto" w:fill="auto"/>
          </w:tcPr>
          <w:p w14:paraId="78DAD03C" w14:textId="77777777" w:rsidR="003E63CD" w:rsidRPr="00EF43F1" w:rsidRDefault="00EF43F1" w:rsidP="00EF43F1">
            <w:pPr>
              <w:rPr>
                <w:rFonts w:cs="Arial"/>
                <w:b/>
                <w:bCs/>
                <w:sz w:val="22"/>
              </w:rPr>
            </w:pPr>
            <w:r w:rsidRPr="00EF43F1">
              <w:rPr>
                <w:rFonts w:cs="Arial"/>
                <w:b/>
                <w:bCs/>
                <w:sz w:val="22"/>
              </w:rPr>
              <w:t>ACTIONS</w:t>
            </w:r>
          </w:p>
          <w:p w14:paraId="7D738CF2" w14:textId="77777777" w:rsidR="003E63CD" w:rsidRPr="00EF43F1" w:rsidRDefault="003E63CD" w:rsidP="00EF43F1">
            <w:pPr>
              <w:rPr>
                <w:rFonts w:cs="Arial"/>
                <w:b/>
                <w:bCs/>
                <w:sz w:val="22"/>
              </w:rPr>
            </w:pPr>
          </w:p>
        </w:tc>
        <w:tc>
          <w:tcPr>
            <w:tcW w:w="2657" w:type="dxa"/>
            <w:shd w:val="clear" w:color="auto" w:fill="auto"/>
          </w:tcPr>
          <w:p w14:paraId="54F3298E" w14:textId="77777777" w:rsidR="003E63CD" w:rsidRPr="00EF43F1" w:rsidRDefault="00EF43F1" w:rsidP="00EF43F1">
            <w:pPr>
              <w:rPr>
                <w:rFonts w:cs="Arial"/>
                <w:b/>
                <w:bCs/>
                <w:sz w:val="22"/>
              </w:rPr>
            </w:pPr>
            <w:r w:rsidRPr="00EF43F1">
              <w:rPr>
                <w:rFonts w:cs="Arial"/>
                <w:b/>
                <w:bCs/>
                <w:sz w:val="22"/>
              </w:rPr>
              <w:t>RESPONSABLE</w:t>
            </w:r>
          </w:p>
        </w:tc>
      </w:tr>
      <w:tr w:rsidR="003E63CD" w:rsidRPr="00EF43F1" w14:paraId="756A63C2" w14:textId="77777777" w:rsidTr="00EF43F1">
        <w:trPr>
          <w:trHeight w:val="1828"/>
        </w:trPr>
        <w:tc>
          <w:tcPr>
            <w:tcW w:w="1129" w:type="dxa"/>
            <w:shd w:val="clear" w:color="auto" w:fill="auto"/>
            <w:vAlign w:val="center"/>
          </w:tcPr>
          <w:p w14:paraId="5A7BE885" w14:textId="77777777" w:rsidR="003E63CD" w:rsidRPr="00EF43F1" w:rsidRDefault="003E63CD" w:rsidP="00EF43F1">
            <w:pPr>
              <w:rPr>
                <w:rFonts w:cs="Arial"/>
                <w:sz w:val="22"/>
              </w:rPr>
            </w:pPr>
          </w:p>
          <w:p w14:paraId="5E942FA0" w14:textId="77777777" w:rsidR="003E63CD" w:rsidRPr="00EF43F1" w:rsidRDefault="003E63CD" w:rsidP="00EF43F1">
            <w:pPr>
              <w:rPr>
                <w:rFonts w:cs="Arial"/>
                <w:sz w:val="22"/>
              </w:rPr>
            </w:pPr>
          </w:p>
          <w:p w14:paraId="75F3E9E2" w14:textId="77777777" w:rsidR="003E63CD" w:rsidRPr="00EF43F1" w:rsidRDefault="003E63CD" w:rsidP="00EF43F1">
            <w:pPr>
              <w:rPr>
                <w:rFonts w:cs="Arial"/>
                <w:sz w:val="22"/>
              </w:rPr>
            </w:pPr>
          </w:p>
          <w:p w14:paraId="29607E5C" w14:textId="77777777" w:rsidR="003E63CD" w:rsidRPr="00EF43F1" w:rsidRDefault="003E63CD" w:rsidP="00EF43F1">
            <w:pPr>
              <w:rPr>
                <w:rFonts w:cs="Arial"/>
                <w:sz w:val="22"/>
              </w:rPr>
            </w:pPr>
          </w:p>
          <w:p w14:paraId="75DC619E" w14:textId="77777777" w:rsidR="003E63CD" w:rsidRPr="00EF43F1" w:rsidRDefault="003E63CD" w:rsidP="00EF43F1">
            <w:pPr>
              <w:rPr>
                <w:rFonts w:cs="Arial"/>
                <w:sz w:val="22"/>
              </w:rPr>
            </w:pPr>
          </w:p>
          <w:p w14:paraId="2299CE34" w14:textId="77777777" w:rsidR="003E63CD" w:rsidRPr="00EF43F1" w:rsidRDefault="003E63CD" w:rsidP="00EF43F1">
            <w:pPr>
              <w:rPr>
                <w:rFonts w:cs="Arial"/>
                <w:sz w:val="22"/>
              </w:rPr>
            </w:pPr>
            <w:r w:rsidRPr="00EF43F1">
              <w:rPr>
                <w:rFonts w:cs="Arial"/>
                <w:sz w:val="22"/>
              </w:rPr>
              <w:t>Étape 1</w:t>
            </w:r>
          </w:p>
        </w:tc>
        <w:tc>
          <w:tcPr>
            <w:tcW w:w="6695" w:type="dxa"/>
            <w:shd w:val="clear" w:color="auto" w:fill="auto"/>
          </w:tcPr>
          <w:p w14:paraId="018878A3" w14:textId="77777777" w:rsidR="003E63CD" w:rsidRPr="00EF43F1" w:rsidRDefault="003E63CD" w:rsidP="00EF43F1">
            <w:pPr>
              <w:rPr>
                <w:rFonts w:cs="Arial"/>
                <w:sz w:val="22"/>
              </w:rPr>
            </w:pPr>
            <w:r w:rsidRPr="00EF43F1">
              <w:rPr>
                <w:rFonts w:cs="Arial"/>
                <w:sz w:val="22"/>
              </w:rPr>
              <w:t>Décision de déclencher la CERC : En cas de déclaration officielle d’urgence sur la base d’une évaluation préliminaire des dommages et des besoins urgents, le Ministère des Finances (Gouverneur-pays), sur demande du Ministère de l’Agriculture et/ou du Ministère de Pêche et Elevage informera la Banque Mondiale de son intérêt à déclencher la CERC.</w:t>
            </w:r>
          </w:p>
        </w:tc>
        <w:tc>
          <w:tcPr>
            <w:tcW w:w="2657" w:type="dxa"/>
            <w:shd w:val="clear" w:color="auto" w:fill="auto"/>
          </w:tcPr>
          <w:p w14:paraId="6B88AD39" w14:textId="77777777" w:rsidR="003E63CD" w:rsidRPr="00EF43F1" w:rsidRDefault="003E63CD" w:rsidP="00EF43F1">
            <w:pPr>
              <w:rPr>
                <w:rFonts w:cs="Arial"/>
                <w:sz w:val="22"/>
              </w:rPr>
            </w:pPr>
            <w:r w:rsidRPr="00EF43F1">
              <w:rPr>
                <w:rFonts w:cs="Arial"/>
                <w:sz w:val="22"/>
              </w:rPr>
              <w:t>Ministère des Finances, Ministère de l’Agriculture et le Ministère de Pêche et Elevage.</w:t>
            </w:r>
          </w:p>
        </w:tc>
      </w:tr>
      <w:tr w:rsidR="003E63CD" w:rsidRPr="00EF43F1" w14:paraId="40A9B46F" w14:textId="77777777" w:rsidTr="00EF43F1">
        <w:trPr>
          <w:trHeight w:val="3399"/>
        </w:trPr>
        <w:tc>
          <w:tcPr>
            <w:tcW w:w="1129" w:type="dxa"/>
            <w:shd w:val="clear" w:color="auto" w:fill="auto"/>
            <w:vAlign w:val="center"/>
          </w:tcPr>
          <w:p w14:paraId="0D81FF31" w14:textId="77777777" w:rsidR="003E63CD" w:rsidRPr="00EF43F1" w:rsidRDefault="003E63CD" w:rsidP="00EF43F1">
            <w:pPr>
              <w:rPr>
                <w:rFonts w:cs="Arial"/>
                <w:sz w:val="22"/>
              </w:rPr>
            </w:pPr>
          </w:p>
          <w:p w14:paraId="4F27BC10" w14:textId="77777777" w:rsidR="003E63CD" w:rsidRPr="00EF43F1" w:rsidRDefault="003E63CD" w:rsidP="00EF43F1">
            <w:pPr>
              <w:rPr>
                <w:rFonts w:cs="Arial"/>
                <w:sz w:val="22"/>
              </w:rPr>
            </w:pPr>
          </w:p>
          <w:p w14:paraId="426693AB" w14:textId="77777777" w:rsidR="003E63CD" w:rsidRPr="00EF43F1" w:rsidRDefault="003E63CD" w:rsidP="00EF43F1">
            <w:pPr>
              <w:rPr>
                <w:rFonts w:cs="Arial"/>
                <w:sz w:val="22"/>
              </w:rPr>
            </w:pPr>
          </w:p>
          <w:p w14:paraId="743BE980" w14:textId="77777777" w:rsidR="003E63CD" w:rsidRPr="00EF43F1" w:rsidRDefault="003E63CD" w:rsidP="00EF43F1">
            <w:pPr>
              <w:rPr>
                <w:rFonts w:cs="Arial"/>
                <w:sz w:val="22"/>
              </w:rPr>
            </w:pPr>
          </w:p>
          <w:p w14:paraId="3979C04C" w14:textId="77777777" w:rsidR="003E63CD" w:rsidRPr="00EF43F1" w:rsidRDefault="003E63CD" w:rsidP="00EF43F1">
            <w:pPr>
              <w:rPr>
                <w:rFonts w:cs="Arial"/>
                <w:sz w:val="22"/>
              </w:rPr>
            </w:pPr>
          </w:p>
          <w:p w14:paraId="0ED2F390" w14:textId="77777777" w:rsidR="003E63CD" w:rsidRPr="00EF43F1" w:rsidRDefault="003E63CD" w:rsidP="00EF43F1">
            <w:pPr>
              <w:rPr>
                <w:rFonts w:cs="Arial"/>
                <w:sz w:val="22"/>
              </w:rPr>
            </w:pPr>
          </w:p>
          <w:p w14:paraId="4DD68785" w14:textId="77777777" w:rsidR="003E63CD" w:rsidRPr="00EF43F1" w:rsidRDefault="003E63CD" w:rsidP="00EF43F1">
            <w:pPr>
              <w:rPr>
                <w:rFonts w:cs="Arial"/>
                <w:sz w:val="22"/>
              </w:rPr>
            </w:pPr>
          </w:p>
          <w:p w14:paraId="3A19D99A" w14:textId="77777777" w:rsidR="003E63CD" w:rsidRPr="00EF43F1" w:rsidRDefault="003E63CD" w:rsidP="00EF43F1">
            <w:pPr>
              <w:rPr>
                <w:rFonts w:cs="Arial"/>
                <w:sz w:val="22"/>
              </w:rPr>
            </w:pPr>
          </w:p>
          <w:p w14:paraId="0CBDAC16" w14:textId="77777777" w:rsidR="003E63CD" w:rsidRPr="00EF43F1" w:rsidRDefault="003E63CD" w:rsidP="00EF43F1">
            <w:pPr>
              <w:rPr>
                <w:rFonts w:cs="Arial"/>
                <w:sz w:val="22"/>
              </w:rPr>
            </w:pPr>
          </w:p>
          <w:p w14:paraId="637F71E0" w14:textId="77777777" w:rsidR="003E63CD" w:rsidRPr="00EF43F1" w:rsidRDefault="003E63CD" w:rsidP="00EF43F1">
            <w:pPr>
              <w:rPr>
                <w:rFonts w:cs="Arial"/>
                <w:sz w:val="22"/>
              </w:rPr>
            </w:pPr>
          </w:p>
          <w:p w14:paraId="2B408CD2" w14:textId="77777777" w:rsidR="003E63CD" w:rsidRPr="00EF43F1" w:rsidRDefault="003E63CD" w:rsidP="00EF43F1">
            <w:pPr>
              <w:rPr>
                <w:rFonts w:cs="Arial"/>
                <w:sz w:val="22"/>
              </w:rPr>
            </w:pPr>
            <w:r w:rsidRPr="00EF43F1">
              <w:rPr>
                <w:rFonts w:cs="Arial"/>
                <w:sz w:val="22"/>
              </w:rPr>
              <w:t>Étape 2.</w:t>
            </w:r>
          </w:p>
        </w:tc>
        <w:tc>
          <w:tcPr>
            <w:tcW w:w="6695" w:type="dxa"/>
            <w:shd w:val="clear" w:color="auto" w:fill="auto"/>
          </w:tcPr>
          <w:p w14:paraId="66672416" w14:textId="77777777" w:rsidR="003E63CD" w:rsidRPr="00EF43F1" w:rsidRDefault="003E63CD" w:rsidP="00EF43F1">
            <w:pPr>
              <w:rPr>
                <w:rFonts w:cs="Arial"/>
                <w:sz w:val="22"/>
              </w:rPr>
            </w:pPr>
            <w:r w:rsidRPr="00EF43F1">
              <w:rPr>
                <w:rFonts w:cs="Arial"/>
                <w:sz w:val="22"/>
              </w:rPr>
              <w:t xml:space="preserve">Identification des activités d’urgence : Suite à la décision du Ministère des Finances de déclencher la CERC, ce dernier sollicitera le soutien de la Banque Mondiale par le biais du Ministère de l’Agriculture et le Ministère de Pêche et Elevage via l’UNCP/PNDA, dans la sélection d’une liste d’activités d’intervention d’urgence issue de la liste positive basée sur les résultats de l’évaluation préliminaire des dommages et des besoins urgents. Des informations récapitulatives seront préparées sur les activités proposées, notamment la nature et le montant des biens, le lieu et le type des services/des travaux d’urgence proposés et leurs spécifications techniques préliminaires ainsi que les coûts estimés. </w:t>
            </w:r>
          </w:p>
        </w:tc>
        <w:tc>
          <w:tcPr>
            <w:tcW w:w="2657" w:type="dxa"/>
            <w:shd w:val="clear" w:color="auto" w:fill="auto"/>
          </w:tcPr>
          <w:p w14:paraId="1DE04AFE" w14:textId="77777777" w:rsidR="003E63CD" w:rsidRPr="00EF43F1" w:rsidRDefault="003E63CD" w:rsidP="00EF43F1">
            <w:pPr>
              <w:rPr>
                <w:rFonts w:cs="Arial"/>
                <w:sz w:val="22"/>
              </w:rPr>
            </w:pPr>
            <w:r w:rsidRPr="00EF43F1">
              <w:rPr>
                <w:rFonts w:cs="Arial"/>
                <w:sz w:val="22"/>
              </w:rPr>
              <w:t>Ministère de l’Agriculture et le Ministère de Pêche et Elevage, UNCP/PNDA et la Banque Mondiale.</w:t>
            </w:r>
          </w:p>
        </w:tc>
      </w:tr>
      <w:tr w:rsidR="003E63CD" w:rsidRPr="00EF43F1" w14:paraId="1EE6D09C" w14:textId="77777777" w:rsidTr="00EF43F1">
        <w:trPr>
          <w:trHeight w:val="1571"/>
        </w:trPr>
        <w:tc>
          <w:tcPr>
            <w:tcW w:w="1129" w:type="dxa"/>
            <w:shd w:val="clear" w:color="auto" w:fill="auto"/>
            <w:vAlign w:val="center"/>
          </w:tcPr>
          <w:p w14:paraId="497BEF13" w14:textId="77777777" w:rsidR="003E63CD" w:rsidRPr="00EF43F1" w:rsidRDefault="003E63CD" w:rsidP="00EF43F1">
            <w:pPr>
              <w:rPr>
                <w:rFonts w:cs="Arial"/>
                <w:sz w:val="22"/>
              </w:rPr>
            </w:pPr>
          </w:p>
          <w:p w14:paraId="328F8332" w14:textId="77777777" w:rsidR="003E63CD" w:rsidRPr="00EF43F1" w:rsidRDefault="003E63CD" w:rsidP="00EF43F1">
            <w:pPr>
              <w:rPr>
                <w:rFonts w:cs="Arial"/>
                <w:sz w:val="22"/>
              </w:rPr>
            </w:pPr>
          </w:p>
          <w:p w14:paraId="46A8E018" w14:textId="77777777" w:rsidR="003E63CD" w:rsidRPr="00EF43F1" w:rsidRDefault="003E63CD" w:rsidP="00EF43F1">
            <w:pPr>
              <w:rPr>
                <w:rFonts w:cs="Arial"/>
                <w:sz w:val="22"/>
              </w:rPr>
            </w:pPr>
          </w:p>
          <w:p w14:paraId="57A9C4C5" w14:textId="77777777" w:rsidR="003E63CD" w:rsidRPr="00EF43F1" w:rsidRDefault="003E63CD" w:rsidP="00EF43F1">
            <w:pPr>
              <w:rPr>
                <w:rFonts w:cs="Arial"/>
                <w:sz w:val="22"/>
              </w:rPr>
            </w:pPr>
          </w:p>
          <w:p w14:paraId="26EEA16B" w14:textId="77777777" w:rsidR="003E63CD" w:rsidRPr="00EF43F1" w:rsidRDefault="003E63CD" w:rsidP="00EF43F1">
            <w:pPr>
              <w:rPr>
                <w:rFonts w:cs="Arial"/>
                <w:sz w:val="22"/>
              </w:rPr>
            </w:pPr>
          </w:p>
          <w:p w14:paraId="2BB35645" w14:textId="77777777" w:rsidR="003E63CD" w:rsidRPr="00EF43F1" w:rsidRDefault="003E63CD" w:rsidP="00EF43F1">
            <w:pPr>
              <w:rPr>
                <w:rFonts w:cs="Arial"/>
                <w:sz w:val="22"/>
              </w:rPr>
            </w:pPr>
            <w:r w:rsidRPr="00EF43F1">
              <w:rPr>
                <w:rFonts w:cs="Arial"/>
                <w:sz w:val="22"/>
              </w:rPr>
              <w:t>Étape 3.</w:t>
            </w:r>
          </w:p>
        </w:tc>
        <w:tc>
          <w:tcPr>
            <w:tcW w:w="6695" w:type="dxa"/>
            <w:shd w:val="clear" w:color="auto" w:fill="auto"/>
          </w:tcPr>
          <w:p w14:paraId="1A016B16" w14:textId="77777777" w:rsidR="003E63CD" w:rsidRPr="00EF43F1" w:rsidRDefault="003E63CD" w:rsidP="00EF43F1">
            <w:pPr>
              <w:rPr>
                <w:rFonts w:cs="Arial"/>
                <w:sz w:val="22"/>
              </w:rPr>
            </w:pPr>
            <w:r w:rsidRPr="00EF43F1">
              <w:rPr>
                <w:rFonts w:cs="Arial"/>
                <w:sz w:val="22"/>
              </w:rPr>
              <w:t>Demande d’activation : le Ministre en charge des finances enverra à la Banque Mondiale une lettre demandant l’activation de la CERC. Cette lettre comprendra la description de l’événement, les besoins, l’indication de la source de financement et le montant à réaffecter ainsi que la liste des activités à réaliser en réponse à l’urgence.</w:t>
            </w:r>
          </w:p>
        </w:tc>
        <w:tc>
          <w:tcPr>
            <w:tcW w:w="2657" w:type="dxa"/>
            <w:shd w:val="clear" w:color="auto" w:fill="auto"/>
          </w:tcPr>
          <w:p w14:paraId="4375F28C" w14:textId="77777777" w:rsidR="003E63CD" w:rsidRPr="00EF43F1" w:rsidRDefault="003E63CD" w:rsidP="00EF43F1">
            <w:pPr>
              <w:rPr>
                <w:rFonts w:cs="Arial"/>
                <w:sz w:val="22"/>
              </w:rPr>
            </w:pPr>
            <w:r w:rsidRPr="00EF43F1">
              <w:rPr>
                <w:rFonts w:cs="Arial"/>
                <w:sz w:val="22"/>
              </w:rPr>
              <w:t>Ministère des Finances et l’UNCP/PNDA</w:t>
            </w:r>
          </w:p>
        </w:tc>
      </w:tr>
      <w:tr w:rsidR="003E63CD" w:rsidRPr="00EF43F1" w14:paraId="4AAB7CA4" w14:textId="77777777" w:rsidTr="00EF43F1">
        <w:trPr>
          <w:trHeight w:val="786"/>
        </w:trPr>
        <w:tc>
          <w:tcPr>
            <w:tcW w:w="1129" w:type="dxa"/>
            <w:shd w:val="clear" w:color="auto" w:fill="auto"/>
          </w:tcPr>
          <w:p w14:paraId="17DDABCB" w14:textId="77777777" w:rsidR="003E63CD" w:rsidRPr="00EF43F1" w:rsidRDefault="003E63CD" w:rsidP="00EF43F1">
            <w:pPr>
              <w:rPr>
                <w:rFonts w:cs="Arial"/>
                <w:sz w:val="22"/>
              </w:rPr>
            </w:pPr>
          </w:p>
          <w:p w14:paraId="2E144A49" w14:textId="77777777" w:rsidR="003E63CD" w:rsidRPr="00EF43F1" w:rsidRDefault="003E63CD" w:rsidP="00EF43F1">
            <w:pPr>
              <w:rPr>
                <w:rFonts w:cs="Arial"/>
                <w:sz w:val="22"/>
              </w:rPr>
            </w:pPr>
          </w:p>
          <w:p w14:paraId="5B72AD8E" w14:textId="77777777" w:rsidR="003E63CD" w:rsidRPr="00EF43F1" w:rsidRDefault="003E63CD" w:rsidP="00EF43F1">
            <w:pPr>
              <w:rPr>
                <w:rFonts w:cs="Arial"/>
                <w:sz w:val="22"/>
              </w:rPr>
            </w:pPr>
            <w:r w:rsidRPr="00EF43F1">
              <w:rPr>
                <w:rFonts w:cs="Arial"/>
                <w:sz w:val="22"/>
              </w:rPr>
              <w:t>Étape 4.</w:t>
            </w:r>
          </w:p>
        </w:tc>
        <w:tc>
          <w:tcPr>
            <w:tcW w:w="6695" w:type="dxa"/>
            <w:shd w:val="clear" w:color="auto" w:fill="auto"/>
          </w:tcPr>
          <w:p w14:paraId="59791506" w14:textId="77777777" w:rsidR="003E63CD" w:rsidRPr="00EF43F1" w:rsidRDefault="003E63CD" w:rsidP="00EF43F1">
            <w:pPr>
              <w:rPr>
                <w:rFonts w:cs="Arial"/>
                <w:sz w:val="22"/>
              </w:rPr>
            </w:pPr>
            <w:r w:rsidRPr="00EF43F1">
              <w:rPr>
                <w:rFonts w:cs="Arial"/>
                <w:sz w:val="22"/>
              </w:rPr>
              <w:t xml:space="preserve">Examen et approbation tacite de la Banque Mondiale : La Banque Mondiale, après examen positif de la demande d’activation, ne formule aucune objection.  </w:t>
            </w:r>
          </w:p>
        </w:tc>
        <w:tc>
          <w:tcPr>
            <w:tcW w:w="2657" w:type="dxa"/>
            <w:shd w:val="clear" w:color="auto" w:fill="auto"/>
          </w:tcPr>
          <w:p w14:paraId="15286B5D" w14:textId="77777777" w:rsidR="003E63CD" w:rsidRPr="00EF43F1" w:rsidRDefault="003E63CD" w:rsidP="00EF43F1">
            <w:pPr>
              <w:rPr>
                <w:rFonts w:cs="Arial"/>
                <w:sz w:val="22"/>
              </w:rPr>
            </w:pPr>
            <w:r w:rsidRPr="00EF43F1">
              <w:rPr>
                <w:rFonts w:cs="Arial"/>
                <w:sz w:val="22"/>
              </w:rPr>
              <w:t>Banque Mondiale</w:t>
            </w:r>
          </w:p>
        </w:tc>
      </w:tr>
      <w:tr w:rsidR="003E63CD" w:rsidRPr="00EF43F1" w14:paraId="4861270C" w14:textId="77777777" w:rsidTr="00EF43F1">
        <w:trPr>
          <w:trHeight w:val="513"/>
        </w:trPr>
        <w:tc>
          <w:tcPr>
            <w:tcW w:w="1129" w:type="dxa"/>
            <w:shd w:val="clear" w:color="auto" w:fill="auto"/>
          </w:tcPr>
          <w:p w14:paraId="2FD97FB6" w14:textId="77777777" w:rsidR="003E63CD" w:rsidRPr="00EF43F1" w:rsidRDefault="003E63CD" w:rsidP="00EF43F1">
            <w:pPr>
              <w:rPr>
                <w:rFonts w:cs="Arial"/>
                <w:sz w:val="22"/>
              </w:rPr>
            </w:pPr>
          </w:p>
          <w:p w14:paraId="460544AE" w14:textId="77777777" w:rsidR="003E63CD" w:rsidRPr="00EF43F1" w:rsidRDefault="003E63CD" w:rsidP="00EF43F1">
            <w:pPr>
              <w:rPr>
                <w:rFonts w:cs="Arial"/>
                <w:sz w:val="22"/>
              </w:rPr>
            </w:pPr>
            <w:r w:rsidRPr="00EF43F1">
              <w:rPr>
                <w:rFonts w:cs="Arial"/>
                <w:sz w:val="22"/>
              </w:rPr>
              <w:t>Étape 5.</w:t>
            </w:r>
          </w:p>
        </w:tc>
        <w:tc>
          <w:tcPr>
            <w:tcW w:w="6695" w:type="dxa"/>
            <w:shd w:val="clear" w:color="auto" w:fill="auto"/>
          </w:tcPr>
          <w:p w14:paraId="53289FB3" w14:textId="77777777" w:rsidR="003E63CD" w:rsidRPr="00EF43F1" w:rsidRDefault="003E63CD" w:rsidP="00EF43F1">
            <w:pPr>
              <w:rPr>
                <w:rFonts w:cs="Arial"/>
                <w:sz w:val="22"/>
              </w:rPr>
            </w:pPr>
            <w:r w:rsidRPr="00EF43F1">
              <w:rPr>
                <w:rFonts w:cs="Arial"/>
                <w:sz w:val="22"/>
              </w:rPr>
              <w:t>Réaffectation : La Banque Mondiale traite la réaffectation des fonds des composantes du Projet à la CERC</w:t>
            </w:r>
          </w:p>
        </w:tc>
        <w:tc>
          <w:tcPr>
            <w:tcW w:w="2657" w:type="dxa"/>
            <w:shd w:val="clear" w:color="auto" w:fill="auto"/>
          </w:tcPr>
          <w:p w14:paraId="588383B9" w14:textId="77777777" w:rsidR="003E63CD" w:rsidRPr="00EF43F1" w:rsidRDefault="003E63CD" w:rsidP="00EF43F1">
            <w:pPr>
              <w:rPr>
                <w:rFonts w:cs="Arial"/>
                <w:sz w:val="22"/>
              </w:rPr>
            </w:pPr>
            <w:r w:rsidRPr="00EF43F1">
              <w:rPr>
                <w:rFonts w:cs="Arial"/>
                <w:sz w:val="22"/>
              </w:rPr>
              <w:t>Banque Mondiale</w:t>
            </w:r>
          </w:p>
        </w:tc>
      </w:tr>
      <w:tr w:rsidR="003E63CD" w:rsidRPr="00EF43F1" w14:paraId="74AEDF0B" w14:textId="77777777" w:rsidTr="00EF43F1">
        <w:trPr>
          <w:trHeight w:val="2100"/>
        </w:trPr>
        <w:tc>
          <w:tcPr>
            <w:tcW w:w="1129" w:type="dxa"/>
            <w:shd w:val="clear" w:color="auto" w:fill="auto"/>
            <w:vAlign w:val="center"/>
          </w:tcPr>
          <w:p w14:paraId="5223E534" w14:textId="77777777" w:rsidR="003E63CD" w:rsidRPr="00EF43F1" w:rsidRDefault="003E63CD" w:rsidP="00EF43F1">
            <w:pPr>
              <w:rPr>
                <w:rFonts w:cs="Arial"/>
                <w:sz w:val="22"/>
              </w:rPr>
            </w:pPr>
          </w:p>
          <w:p w14:paraId="461CE0AB" w14:textId="77777777" w:rsidR="003E63CD" w:rsidRPr="00EF43F1" w:rsidRDefault="003E63CD" w:rsidP="00EF43F1">
            <w:pPr>
              <w:rPr>
                <w:rFonts w:cs="Arial"/>
                <w:sz w:val="22"/>
              </w:rPr>
            </w:pPr>
          </w:p>
          <w:p w14:paraId="5CE3E5B9" w14:textId="77777777" w:rsidR="003E63CD" w:rsidRPr="00EF43F1" w:rsidRDefault="003E63CD" w:rsidP="00EF43F1">
            <w:pPr>
              <w:rPr>
                <w:rFonts w:cs="Arial"/>
                <w:sz w:val="22"/>
              </w:rPr>
            </w:pPr>
          </w:p>
          <w:p w14:paraId="2DF0CFBC" w14:textId="77777777" w:rsidR="003E63CD" w:rsidRPr="00EF43F1" w:rsidRDefault="003E63CD" w:rsidP="00EF43F1">
            <w:pPr>
              <w:rPr>
                <w:rFonts w:cs="Arial"/>
                <w:sz w:val="22"/>
              </w:rPr>
            </w:pPr>
          </w:p>
          <w:p w14:paraId="0A5E3DDC" w14:textId="77777777" w:rsidR="003E63CD" w:rsidRPr="00EF43F1" w:rsidRDefault="003E63CD" w:rsidP="00EF43F1">
            <w:pPr>
              <w:rPr>
                <w:rFonts w:cs="Arial"/>
                <w:sz w:val="22"/>
              </w:rPr>
            </w:pPr>
          </w:p>
          <w:p w14:paraId="5C77DD3D" w14:textId="77777777" w:rsidR="003E63CD" w:rsidRPr="00EF43F1" w:rsidRDefault="003E63CD" w:rsidP="00EF43F1">
            <w:pPr>
              <w:rPr>
                <w:rFonts w:cs="Arial"/>
                <w:sz w:val="22"/>
              </w:rPr>
            </w:pPr>
          </w:p>
          <w:p w14:paraId="7D6F4F76" w14:textId="77777777" w:rsidR="003E63CD" w:rsidRPr="00EF43F1" w:rsidRDefault="003E63CD" w:rsidP="00EF43F1">
            <w:pPr>
              <w:rPr>
                <w:rFonts w:cs="Arial"/>
                <w:sz w:val="22"/>
              </w:rPr>
            </w:pPr>
          </w:p>
          <w:p w14:paraId="32486E0F" w14:textId="77777777" w:rsidR="003E63CD" w:rsidRPr="00EF43F1" w:rsidRDefault="003E63CD" w:rsidP="00EF43F1">
            <w:pPr>
              <w:rPr>
                <w:rFonts w:cs="Arial"/>
                <w:sz w:val="22"/>
              </w:rPr>
            </w:pPr>
          </w:p>
          <w:p w14:paraId="1FB30999" w14:textId="77777777" w:rsidR="003E63CD" w:rsidRPr="00EF43F1" w:rsidRDefault="003E63CD" w:rsidP="00EF43F1">
            <w:pPr>
              <w:rPr>
                <w:rFonts w:cs="Arial"/>
                <w:sz w:val="22"/>
              </w:rPr>
            </w:pPr>
          </w:p>
          <w:p w14:paraId="3283E562" w14:textId="77777777" w:rsidR="003E63CD" w:rsidRPr="00EF43F1" w:rsidRDefault="003E63CD" w:rsidP="00EF43F1">
            <w:pPr>
              <w:rPr>
                <w:rFonts w:cs="Arial"/>
                <w:sz w:val="22"/>
              </w:rPr>
            </w:pPr>
          </w:p>
          <w:p w14:paraId="0903C04A" w14:textId="77777777" w:rsidR="003E63CD" w:rsidRPr="00EF43F1" w:rsidRDefault="003E63CD" w:rsidP="00EF43F1">
            <w:pPr>
              <w:rPr>
                <w:rFonts w:cs="Arial"/>
                <w:sz w:val="22"/>
              </w:rPr>
            </w:pPr>
          </w:p>
          <w:p w14:paraId="6FF488A2" w14:textId="77777777" w:rsidR="003E63CD" w:rsidRPr="00EF43F1" w:rsidRDefault="003E63CD" w:rsidP="00EF43F1">
            <w:pPr>
              <w:rPr>
                <w:rFonts w:cs="Arial"/>
                <w:sz w:val="22"/>
              </w:rPr>
            </w:pPr>
          </w:p>
          <w:p w14:paraId="132AA012" w14:textId="77777777" w:rsidR="003E63CD" w:rsidRPr="00EF43F1" w:rsidRDefault="003E63CD" w:rsidP="00EF43F1">
            <w:pPr>
              <w:rPr>
                <w:rFonts w:cs="Arial"/>
                <w:sz w:val="22"/>
              </w:rPr>
            </w:pPr>
            <w:r w:rsidRPr="00EF43F1">
              <w:rPr>
                <w:rFonts w:cs="Arial"/>
                <w:sz w:val="22"/>
              </w:rPr>
              <w:t>Étape 6</w:t>
            </w:r>
          </w:p>
        </w:tc>
        <w:tc>
          <w:tcPr>
            <w:tcW w:w="6695" w:type="dxa"/>
            <w:shd w:val="clear" w:color="auto" w:fill="auto"/>
          </w:tcPr>
          <w:p w14:paraId="654B97B2" w14:textId="77777777" w:rsidR="003E63CD" w:rsidRPr="00EF43F1" w:rsidRDefault="003E63CD" w:rsidP="00EF43F1">
            <w:pPr>
              <w:rPr>
                <w:rFonts w:cs="Arial"/>
                <w:sz w:val="22"/>
              </w:rPr>
            </w:pPr>
            <w:r w:rsidRPr="00EF43F1">
              <w:rPr>
                <w:rFonts w:cs="Arial"/>
                <w:sz w:val="22"/>
              </w:rPr>
              <w:t xml:space="preserve">Mise en œuvre des activités d’urgence : L’UNCP/PNDA commence la mise en œuvre des activités d’urgence approuvées. </w:t>
            </w:r>
          </w:p>
          <w:p w14:paraId="20077A9B" w14:textId="77777777" w:rsidR="003E63CD" w:rsidRPr="00EF43F1" w:rsidRDefault="003E63CD" w:rsidP="00EF43F1">
            <w:pPr>
              <w:rPr>
                <w:rFonts w:cs="Arial"/>
                <w:sz w:val="22"/>
              </w:rPr>
            </w:pPr>
            <w:r w:rsidRPr="00EF43F1">
              <w:rPr>
                <w:rFonts w:cs="Arial"/>
                <w:sz w:val="22"/>
              </w:rPr>
              <w:t>a. Passation des marchés : Les principales activités de cette étape comprennent, entre autres, (i) l’analyse des capacités et des méthodes de mise en œuvre de la passation des marchés, ii) la préparation des spécifications techniques et des devis quantitatifs pour les biens critiques, les travaux et les services hors conseils, (iii) le recrutement des consultants dans le cadre de la mise en œuvre des sous-projets d’urgence, et (iv) l’achat des biens, travaux et services hors conseils pour la mise en œuvre des activités d’urgence.  b. Gestion financière et rapports d’avancement : L’UNCP/PNDA suivra les procédures de gestion financière et de reporting du Projet telles que définies dans l’Accord de financement et détaillées dans le Manuel opérationnel du Projet.  c. Normes environnementales et sociales (NES) : le spécialiste environnement, le spécialiste social et le spécialiste en VBG de l’UNCP seront responsables de la mise en œuvre des activités financées par le CERC du PNDA en conformité avec les NES</w:t>
            </w:r>
          </w:p>
          <w:p w14:paraId="59F75836" w14:textId="77777777" w:rsidR="003E63CD" w:rsidRPr="00EF43F1" w:rsidRDefault="003E63CD" w:rsidP="00EF43F1">
            <w:pPr>
              <w:rPr>
                <w:rFonts w:cs="Arial"/>
                <w:sz w:val="22"/>
              </w:rPr>
            </w:pPr>
            <w:r w:rsidRPr="00EF43F1">
              <w:rPr>
                <w:rFonts w:cs="Arial"/>
                <w:sz w:val="22"/>
              </w:rPr>
              <w:t xml:space="preserve">d. Suivi et évaluation : Les mécanismes de supervision et de reporting établis pour le Projet seront également appliqués. Les activités de suivi intègreront la mise en application du CGES-CERC. Un cabinet externe d’audit financier contrôlera annuellement les états financiers de l’ensemble du Projet </w:t>
            </w:r>
          </w:p>
        </w:tc>
        <w:tc>
          <w:tcPr>
            <w:tcW w:w="2657" w:type="dxa"/>
            <w:shd w:val="clear" w:color="auto" w:fill="auto"/>
          </w:tcPr>
          <w:p w14:paraId="00FFE989" w14:textId="77777777" w:rsidR="003E63CD" w:rsidRPr="00EF43F1" w:rsidRDefault="003E63CD" w:rsidP="00EF43F1">
            <w:pPr>
              <w:rPr>
                <w:rFonts w:cs="Arial"/>
                <w:sz w:val="22"/>
              </w:rPr>
            </w:pPr>
            <w:r w:rsidRPr="00EF43F1">
              <w:rPr>
                <w:rFonts w:cs="Arial"/>
                <w:sz w:val="22"/>
              </w:rPr>
              <w:t>UNCP/PNDA</w:t>
            </w:r>
          </w:p>
        </w:tc>
      </w:tr>
      <w:tr w:rsidR="003E63CD" w:rsidRPr="00EF43F1" w14:paraId="2A96FAF5" w14:textId="77777777" w:rsidTr="00EF43F1">
        <w:trPr>
          <w:trHeight w:val="770"/>
        </w:trPr>
        <w:tc>
          <w:tcPr>
            <w:tcW w:w="1129" w:type="dxa"/>
            <w:shd w:val="clear" w:color="auto" w:fill="auto"/>
          </w:tcPr>
          <w:p w14:paraId="73AFA4A0" w14:textId="77777777" w:rsidR="003E63CD" w:rsidRPr="00EF43F1" w:rsidRDefault="003E63CD" w:rsidP="00EF43F1">
            <w:pPr>
              <w:rPr>
                <w:rFonts w:cs="Arial"/>
                <w:sz w:val="22"/>
              </w:rPr>
            </w:pPr>
          </w:p>
          <w:p w14:paraId="344B8EA1" w14:textId="77777777" w:rsidR="003E63CD" w:rsidRPr="00EF43F1" w:rsidRDefault="003E63CD" w:rsidP="00EF43F1">
            <w:pPr>
              <w:rPr>
                <w:rFonts w:cs="Arial"/>
                <w:sz w:val="22"/>
              </w:rPr>
            </w:pPr>
          </w:p>
          <w:p w14:paraId="51AB7DBF" w14:textId="77777777" w:rsidR="003E63CD" w:rsidRPr="00EF43F1" w:rsidRDefault="003E63CD" w:rsidP="00EF43F1">
            <w:pPr>
              <w:rPr>
                <w:rFonts w:cs="Arial"/>
                <w:sz w:val="22"/>
              </w:rPr>
            </w:pPr>
            <w:r w:rsidRPr="00EF43F1">
              <w:rPr>
                <w:rFonts w:cs="Arial"/>
                <w:sz w:val="22"/>
              </w:rPr>
              <w:t>Étape 7.</w:t>
            </w:r>
          </w:p>
        </w:tc>
        <w:tc>
          <w:tcPr>
            <w:tcW w:w="6695" w:type="dxa"/>
            <w:shd w:val="clear" w:color="auto" w:fill="auto"/>
          </w:tcPr>
          <w:p w14:paraId="3B03D843" w14:textId="77777777" w:rsidR="003E63CD" w:rsidRPr="00EF43F1" w:rsidRDefault="003E63CD" w:rsidP="00EF43F1">
            <w:pPr>
              <w:rPr>
                <w:rFonts w:cs="Arial"/>
                <w:sz w:val="22"/>
              </w:rPr>
            </w:pPr>
            <w:r w:rsidRPr="00EF43F1">
              <w:rPr>
                <w:rFonts w:cs="Arial"/>
                <w:sz w:val="22"/>
              </w:rPr>
              <w:t>Reporting final : un rapport final sera préparé par l’UNCP/PNDA lorsque toutes les activités d’urgence seront terminées et soumises à la Banque Mondiale</w:t>
            </w:r>
          </w:p>
        </w:tc>
        <w:tc>
          <w:tcPr>
            <w:tcW w:w="2657" w:type="dxa"/>
            <w:shd w:val="clear" w:color="auto" w:fill="auto"/>
          </w:tcPr>
          <w:p w14:paraId="1D8C4DF2" w14:textId="77777777" w:rsidR="003E63CD" w:rsidRPr="00EF43F1" w:rsidRDefault="003E63CD" w:rsidP="00EF43F1">
            <w:pPr>
              <w:rPr>
                <w:rFonts w:cs="Arial"/>
                <w:sz w:val="22"/>
              </w:rPr>
            </w:pPr>
            <w:r w:rsidRPr="00EF43F1">
              <w:rPr>
                <w:rFonts w:cs="Arial"/>
                <w:sz w:val="22"/>
              </w:rPr>
              <w:t>UNCP/PNDA</w:t>
            </w:r>
          </w:p>
        </w:tc>
      </w:tr>
    </w:tbl>
    <w:p w14:paraId="7D264BC3" w14:textId="77777777" w:rsidR="003E63CD" w:rsidRPr="001A549E" w:rsidRDefault="003E63CD" w:rsidP="003E63CD">
      <w:pPr>
        <w:rPr>
          <w:rFonts w:cs="Arial"/>
          <w:sz w:val="22"/>
        </w:rPr>
      </w:pPr>
    </w:p>
    <w:p w14:paraId="413571F9" w14:textId="77777777" w:rsidR="003E63CD" w:rsidRDefault="003E63CD" w:rsidP="001C2F95">
      <w:pPr>
        <w:pStyle w:val="WB-Numbered"/>
        <w:numPr>
          <w:ilvl w:val="0"/>
          <w:numId w:val="0"/>
        </w:numPr>
        <w:spacing w:after="0"/>
        <w:rPr>
          <w:rFonts w:ascii="Arial" w:hAnsi="Arial" w:cs="Arial"/>
          <w:sz w:val="21"/>
          <w:szCs w:val="21"/>
          <w:lang w:val="fr-FR"/>
        </w:rPr>
      </w:pPr>
    </w:p>
    <w:p w14:paraId="3A623A4B" w14:textId="77777777" w:rsidR="001C2F95" w:rsidRPr="00A67A74" w:rsidRDefault="001C2F95" w:rsidP="001C2F95">
      <w:pPr>
        <w:rPr>
          <w:rFonts w:cs="Arial"/>
          <w:szCs w:val="21"/>
        </w:rPr>
      </w:pPr>
    </w:p>
    <w:p w14:paraId="65632B1B" w14:textId="77777777" w:rsidR="001C2F95" w:rsidRPr="00A67A74" w:rsidRDefault="001C2F95" w:rsidP="001C2F95">
      <w:pPr>
        <w:rPr>
          <w:rFonts w:cs="Arial"/>
          <w:szCs w:val="21"/>
        </w:rPr>
      </w:pPr>
    </w:p>
    <w:p w14:paraId="28799F2D" w14:textId="77777777" w:rsidR="004558A5" w:rsidRDefault="001C2F95">
      <w:pPr>
        <w:spacing w:after="160" w:line="259" w:lineRule="auto"/>
        <w:jc w:val="left"/>
        <w:rPr>
          <w:rFonts w:cs="Arial"/>
          <w:b/>
          <w:bCs/>
          <w:sz w:val="22"/>
        </w:rPr>
      </w:pPr>
      <w:r w:rsidRPr="00A67A74">
        <w:rPr>
          <w:rFonts w:cs="Arial"/>
          <w:b/>
          <w:szCs w:val="21"/>
        </w:rPr>
        <w:br w:type="page"/>
      </w:r>
      <w:bookmarkStart w:id="455" w:name="_Toc500754684"/>
      <w:bookmarkStart w:id="456" w:name="_Toc44626834"/>
      <w:r w:rsidR="004558A5">
        <w:rPr>
          <w:rFonts w:cs="Arial"/>
          <w:sz w:val="22"/>
        </w:rPr>
        <w:br w:type="page"/>
      </w:r>
    </w:p>
    <w:p w14:paraId="5CDC3832" w14:textId="77777777" w:rsidR="001C2F95" w:rsidRPr="002541DD" w:rsidRDefault="001C2F95" w:rsidP="001C2F95">
      <w:pPr>
        <w:pStyle w:val="Titre1"/>
        <w:numPr>
          <w:ilvl w:val="0"/>
          <w:numId w:val="4"/>
        </w:numPr>
        <w:ind w:left="567" w:hanging="283"/>
        <w:rPr>
          <w:rFonts w:cs="Arial"/>
          <w:sz w:val="22"/>
          <w:szCs w:val="22"/>
        </w:rPr>
      </w:pPr>
      <w:bookmarkStart w:id="457" w:name="_Toc70330419"/>
      <w:r w:rsidRPr="002541DD">
        <w:rPr>
          <w:rFonts w:cs="Arial"/>
          <w:sz w:val="22"/>
          <w:szCs w:val="22"/>
        </w:rPr>
        <w:t>RISQUES ET IMPACTS ENVIRONNEMENTAUX ET SOCIAUX POTENTIELS DU PR</w:t>
      </w:r>
      <w:r>
        <w:rPr>
          <w:rFonts w:cs="Arial"/>
          <w:sz w:val="22"/>
          <w:szCs w:val="22"/>
        </w:rPr>
        <w:t>OGRAMME</w:t>
      </w:r>
      <w:bookmarkEnd w:id="455"/>
      <w:bookmarkEnd w:id="456"/>
      <w:bookmarkEnd w:id="457"/>
    </w:p>
    <w:p w14:paraId="0764AE82" w14:textId="77777777" w:rsidR="001C2F95" w:rsidRPr="00896113" w:rsidRDefault="001C2F95" w:rsidP="001C2F95">
      <w:pPr>
        <w:adjustRightInd w:val="0"/>
        <w:ind w:right="-1"/>
        <w:rPr>
          <w:rFonts w:eastAsia="Calibri" w:cs="Arial"/>
          <w:sz w:val="22"/>
        </w:rPr>
      </w:pPr>
    </w:p>
    <w:p w14:paraId="3C876A9F" w14:textId="77777777" w:rsidR="001C2F95" w:rsidRPr="002541DD" w:rsidRDefault="001C2F95" w:rsidP="001C2F95">
      <w:pPr>
        <w:pStyle w:val="Titre2"/>
        <w:numPr>
          <w:ilvl w:val="1"/>
          <w:numId w:val="4"/>
        </w:numPr>
        <w:ind w:left="851" w:hanging="425"/>
        <w:rPr>
          <w:rFonts w:cs="Arial"/>
          <w:b/>
          <w:sz w:val="22"/>
          <w:szCs w:val="22"/>
        </w:rPr>
      </w:pPr>
      <w:bookmarkStart w:id="458" w:name="_Toc487204599"/>
      <w:bookmarkStart w:id="459" w:name="_Toc44626835"/>
      <w:bookmarkStart w:id="460" w:name="_Toc70330420"/>
      <w:r w:rsidRPr="002541DD">
        <w:rPr>
          <w:rFonts w:cs="Arial"/>
          <w:b/>
          <w:sz w:val="22"/>
          <w:szCs w:val="22"/>
        </w:rPr>
        <w:t>Impacts environnementaux et sociaux positifs</w:t>
      </w:r>
      <w:bookmarkEnd w:id="458"/>
      <w:r w:rsidRPr="002541DD">
        <w:rPr>
          <w:rFonts w:cs="Arial"/>
          <w:b/>
          <w:sz w:val="22"/>
          <w:szCs w:val="22"/>
        </w:rPr>
        <w:t xml:space="preserve"> potentiels</w:t>
      </w:r>
      <w:bookmarkEnd w:id="459"/>
      <w:bookmarkEnd w:id="460"/>
    </w:p>
    <w:p w14:paraId="321234D9" w14:textId="77777777" w:rsidR="001C2F95" w:rsidRPr="00896113" w:rsidRDefault="001C2F95" w:rsidP="001C2F95">
      <w:pPr>
        <w:rPr>
          <w:rFonts w:cs="Arial"/>
          <w:sz w:val="22"/>
        </w:rPr>
      </w:pPr>
    </w:p>
    <w:p w14:paraId="7F822F90" w14:textId="77777777" w:rsidR="001C2F95" w:rsidRPr="00896113" w:rsidRDefault="001C2F95" w:rsidP="001C2F95">
      <w:pPr>
        <w:pStyle w:val="Titre2"/>
        <w:numPr>
          <w:ilvl w:val="2"/>
          <w:numId w:val="4"/>
        </w:numPr>
        <w:ind w:left="1560" w:hanging="709"/>
        <w:rPr>
          <w:rFonts w:cs="Arial"/>
          <w:i/>
          <w:sz w:val="22"/>
          <w:szCs w:val="22"/>
        </w:rPr>
      </w:pPr>
      <w:bookmarkStart w:id="461" w:name="_Toc343715824"/>
      <w:bookmarkStart w:id="462" w:name="_Toc487204600"/>
      <w:bookmarkStart w:id="463" w:name="_Toc44626836"/>
      <w:bookmarkStart w:id="464" w:name="_Toc70330421"/>
      <w:r w:rsidRPr="00896113">
        <w:rPr>
          <w:rFonts w:cs="Arial"/>
          <w:i/>
          <w:sz w:val="22"/>
          <w:szCs w:val="22"/>
        </w:rPr>
        <w:t>Impacts positifs potentiels globaux</w:t>
      </w:r>
      <w:bookmarkEnd w:id="461"/>
      <w:bookmarkEnd w:id="462"/>
      <w:r w:rsidRPr="00896113">
        <w:rPr>
          <w:rFonts w:cs="Arial"/>
          <w:i/>
          <w:sz w:val="22"/>
          <w:szCs w:val="22"/>
        </w:rPr>
        <w:t xml:space="preserve"> communs à toutes les composantes</w:t>
      </w:r>
      <w:bookmarkEnd w:id="463"/>
      <w:bookmarkEnd w:id="464"/>
    </w:p>
    <w:p w14:paraId="40679322" w14:textId="77777777" w:rsidR="001C2F95" w:rsidRPr="00896113" w:rsidRDefault="001C2F95" w:rsidP="001C2F95">
      <w:pPr>
        <w:rPr>
          <w:rFonts w:cs="Arial"/>
          <w:sz w:val="22"/>
        </w:rPr>
      </w:pPr>
    </w:p>
    <w:p w14:paraId="608467E0" w14:textId="77777777" w:rsidR="001C2F95" w:rsidRPr="00730A4A" w:rsidRDefault="001C2F95" w:rsidP="001C2F95">
      <w:pPr>
        <w:pStyle w:val="Titre4"/>
        <w:spacing w:before="0" w:after="0"/>
        <w:ind w:left="0" w:firstLine="0"/>
        <w:rPr>
          <w:rFonts w:ascii="Arial" w:hAnsi="Arial" w:cs="Arial"/>
          <w:b w:val="0"/>
          <w:i/>
          <w:color w:val="000000"/>
          <w:sz w:val="22"/>
          <w:szCs w:val="22"/>
        </w:rPr>
      </w:pPr>
      <w:r w:rsidRPr="00896113">
        <w:rPr>
          <w:rFonts w:ascii="Arial" w:hAnsi="Arial" w:cs="Arial"/>
          <w:b w:val="0"/>
          <w:i/>
          <w:sz w:val="22"/>
          <w:szCs w:val="22"/>
        </w:rPr>
        <w:t xml:space="preserve">Création d’emplois et </w:t>
      </w:r>
      <w:r w:rsidRPr="00730A4A">
        <w:rPr>
          <w:rFonts w:ascii="Arial" w:hAnsi="Arial" w:cs="Arial"/>
          <w:b w:val="0"/>
          <w:i/>
          <w:color w:val="000000"/>
          <w:sz w:val="22"/>
          <w:szCs w:val="22"/>
        </w:rPr>
        <w:t>contribution à la lutte contre la pauvreté</w:t>
      </w:r>
    </w:p>
    <w:p w14:paraId="5291E520" w14:textId="77777777" w:rsidR="001C2F95" w:rsidRPr="00730A4A" w:rsidRDefault="001C2F95" w:rsidP="001C2F95">
      <w:pPr>
        <w:rPr>
          <w:rFonts w:cs="Arial"/>
          <w:color w:val="000000"/>
          <w:sz w:val="22"/>
          <w:u w:val="single"/>
        </w:rPr>
      </w:pPr>
    </w:p>
    <w:p w14:paraId="420FD3EB" w14:textId="77777777" w:rsidR="001C2F95" w:rsidRPr="00730A4A" w:rsidRDefault="001C2F95" w:rsidP="001C2F95">
      <w:pPr>
        <w:rPr>
          <w:rFonts w:cs="Arial"/>
          <w:color w:val="000000"/>
          <w:sz w:val="22"/>
        </w:rPr>
      </w:pPr>
      <w:r w:rsidRPr="00730A4A">
        <w:rPr>
          <w:rFonts w:cs="Arial"/>
          <w:color w:val="000000"/>
          <w:sz w:val="22"/>
        </w:rPr>
        <w:t>Pour tous les sous-projets, durant les phases d‘exécution et d’exploitation, les activités généreront des impacts positifs ci-dessous :</w:t>
      </w:r>
    </w:p>
    <w:p w14:paraId="7441A94C" w14:textId="77777777" w:rsidR="001C2F95" w:rsidRPr="00730A4A" w:rsidRDefault="001C2F95" w:rsidP="001C2F95">
      <w:pPr>
        <w:rPr>
          <w:rFonts w:cs="Arial"/>
          <w:color w:val="000000"/>
          <w:sz w:val="22"/>
        </w:rPr>
      </w:pPr>
    </w:p>
    <w:p w14:paraId="1608BB07" w14:textId="77777777" w:rsidR="001C2F95" w:rsidRPr="00730A4A" w:rsidRDefault="001C2F95" w:rsidP="002378EA">
      <w:pPr>
        <w:pStyle w:val="Paragraphedeliste"/>
        <w:numPr>
          <w:ilvl w:val="0"/>
          <w:numId w:val="104"/>
        </w:numPr>
        <w:rPr>
          <w:rFonts w:cs="Arial"/>
          <w:color w:val="000000"/>
          <w:sz w:val="22"/>
        </w:rPr>
      </w:pPr>
      <w:r w:rsidRPr="00730A4A">
        <w:rPr>
          <w:rFonts w:cs="Arial"/>
          <w:color w:val="000000"/>
          <w:sz w:val="22"/>
        </w:rPr>
        <w:t xml:space="preserve">Création d'emplois temporaires et permanents dans les zones d’intervention notamment les </w:t>
      </w:r>
      <w:r w:rsidRPr="00730A4A">
        <w:rPr>
          <w:color w:val="000000"/>
          <w:sz w:val="22"/>
        </w:rPr>
        <w:t xml:space="preserve">travaux à Haute Intensité de Main-d’œuvre </w:t>
      </w:r>
      <w:r w:rsidRPr="00730A4A">
        <w:rPr>
          <w:rFonts w:cs="Arial"/>
          <w:color w:val="000000"/>
          <w:sz w:val="22"/>
        </w:rPr>
        <w:t>(</w:t>
      </w:r>
      <w:r w:rsidRPr="00730A4A">
        <w:rPr>
          <w:color w:val="000000"/>
          <w:sz w:val="22"/>
        </w:rPr>
        <w:t>HIMO), avec un quota de 30 % réservé aux femmes et jeunes filles majeures</w:t>
      </w:r>
      <w:r w:rsidRPr="00730A4A">
        <w:rPr>
          <w:color w:val="000000"/>
        </w:rPr>
        <w:t xml:space="preserve"> ;</w:t>
      </w:r>
    </w:p>
    <w:p w14:paraId="67FBBD1A" w14:textId="77777777" w:rsidR="001C2F95" w:rsidRPr="00730A4A" w:rsidRDefault="001C2F95" w:rsidP="002378EA">
      <w:pPr>
        <w:pStyle w:val="Paragraphedeliste"/>
        <w:numPr>
          <w:ilvl w:val="0"/>
          <w:numId w:val="104"/>
        </w:numPr>
        <w:rPr>
          <w:rFonts w:cs="Arial"/>
          <w:color w:val="000000"/>
          <w:sz w:val="22"/>
        </w:rPr>
      </w:pPr>
      <w:r w:rsidRPr="00730A4A">
        <w:rPr>
          <w:rFonts w:cs="Arial"/>
          <w:color w:val="000000"/>
          <w:sz w:val="22"/>
        </w:rPr>
        <w:t xml:space="preserve">Accroissement de la productivité et de la production agricoles ; </w:t>
      </w:r>
    </w:p>
    <w:p w14:paraId="3F928C2D" w14:textId="77777777" w:rsidR="001C2F95" w:rsidRPr="00730A4A" w:rsidRDefault="001C2F95" w:rsidP="002378EA">
      <w:pPr>
        <w:pStyle w:val="Paragraphedeliste"/>
        <w:numPr>
          <w:ilvl w:val="0"/>
          <w:numId w:val="104"/>
        </w:numPr>
        <w:rPr>
          <w:rFonts w:cs="Arial"/>
          <w:color w:val="000000"/>
          <w:sz w:val="22"/>
        </w:rPr>
      </w:pPr>
      <w:r w:rsidRPr="00730A4A">
        <w:rPr>
          <w:rFonts w:cs="Arial"/>
          <w:color w:val="000000"/>
          <w:sz w:val="22"/>
        </w:rPr>
        <w:t xml:space="preserve">Augmentation des revenus des petits exploitants et attirer davantage d’emplois dans le secteur agricole ; </w:t>
      </w:r>
    </w:p>
    <w:p w14:paraId="74186C3E" w14:textId="77777777" w:rsidR="001C2F95" w:rsidRPr="00730A4A" w:rsidRDefault="001C2F95" w:rsidP="002378EA">
      <w:pPr>
        <w:pStyle w:val="Paragraphedeliste"/>
        <w:numPr>
          <w:ilvl w:val="0"/>
          <w:numId w:val="104"/>
        </w:numPr>
        <w:rPr>
          <w:rFonts w:cs="Arial"/>
          <w:color w:val="000000"/>
          <w:sz w:val="22"/>
        </w:rPr>
      </w:pPr>
      <w:r w:rsidRPr="00730A4A">
        <w:rPr>
          <w:rFonts w:cs="Arial"/>
          <w:color w:val="000000"/>
          <w:sz w:val="22"/>
        </w:rPr>
        <w:t>Les aménagements agricoles vont contribuer de façon importante à la préservation des ressources naturelles, avec l’agroforesterie. Aussi, la vulgarisation de techniques agricoles nouvelles contribuera à l’optimisation des rendements sans un accroissement des terres de culture ;</w:t>
      </w:r>
    </w:p>
    <w:p w14:paraId="67FD74D1" w14:textId="77777777" w:rsidR="001C2F95" w:rsidRPr="00730A4A" w:rsidRDefault="005003FC" w:rsidP="002378EA">
      <w:pPr>
        <w:pStyle w:val="Paragraphedeliste"/>
        <w:numPr>
          <w:ilvl w:val="0"/>
          <w:numId w:val="104"/>
        </w:numPr>
        <w:rPr>
          <w:rFonts w:cs="Arial"/>
          <w:color w:val="000000"/>
          <w:sz w:val="22"/>
        </w:rPr>
      </w:pPr>
      <w:r w:rsidRPr="00730A4A">
        <w:rPr>
          <w:rFonts w:cs="Arial"/>
          <w:color w:val="000000"/>
          <w:sz w:val="22"/>
        </w:rPr>
        <w:t xml:space="preserve">L’appui </w:t>
      </w:r>
      <w:r w:rsidR="001C2F95" w:rsidRPr="00730A4A">
        <w:rPr>
          <w:rFonts w:cs="Arial"/>
          <w:color w:val="000000"/>
          <w:sz w:val="22"/>
        </w:rPr>
        <w:t>au système d’élevage : les activités d’embouche (bovine ; porcine ; ovine ; caprine) et de cultures fourragères permettront d’alléger la pression du bétail sur les ressources végétales et réduiront la dégradation des habitats naturels ;</w:t>
      </w:r>
    </w:p>
    <w:p w14:paraId="01775E28" w14:textId="77777777" w:rsidR="001C2F95" w:rsidRPr="00730A4A" w:rsidRDefault="005003FC" w:rsidP="002378EA">
      <w:pPr>
        <w:pStyle w:val="Paragraphedeliste"/>
        <w:numPr>
          <w:ilvl w:val="0"/>
          <w:numId w:val="104"/>
        </w:numPr>
        <w:rPr>
          <w:rFonts w:cs="Arial"/>
          <w:color w:val="000000"/>
          <w:sz w:val="22"/>
        </w:rPr>
      </w:pPr>
      <w:r w:rsidRPr="00730A4A">
        <w:rPr>
          <w:rFonts w:cs="Arial"/>
          <w:color w:val="000000"/>
          <w:sz w:val="22"/>
        </w:rPr>
        <w:t xml:space="preserve">L’appui </w:t>
      </w:r>
      <w:r w:rsidR="001C2F95" w:rsidRPr="00730A4A">
        <w:rPr>
          <w:rFonts w:cs="Arial"/>
          <w:color w:val="000000"/>
          <w:sz w:val="22"/>
        </w:rPr>
        <w:t>au système d’élevage (poulaillers, bergeries, porcheries et étables améliorés) permettra la production de lisier et d’amendement organique pouvant améliorer les sols pauvres ou usagés, et intensifier les activités agricoles en lieu et place des engrais chimiques. Le projet permettra aussi de sécuriser les activités d’élevage et l’accès des animaux aux ressources pastorales et partant les productions agricoles ; de prévenir et d’éradiquer les conflits entre agriculteurs et éleveurs de la zone ;</w:t>
      </w:r>
    </w:p>
    <w:p w14:paraId="5B63CB0B" w14:textId="77777777" w:rsidR="001C2F95" w:rsidRPr="00730A4A" w:rsidRDefault="001C2F95" w:rsidP="002378EA">
      <w:pPr>
        <w:pStyle w:val="Paragraphedeliste"/>
        <w:numPr>
          <w:ilvl w:val="0"/>
          <w:numId w:val="104"/>
        </w:numPr>
        <w:rPr>
          <w:rFonts w:cs="Arial"/>
          <w:color w:val="000000"/>
          <w:sz w:val="22"/>
        </w:rPr>
      </w:pPr>
      <w:r w:rsidRPr="00730A4A">
        <w:rPr>
          <w:rFonts w:cs="Arial"/>
          <w:color w:val="000000"/>
          <w:sz w:val="22"/>
        </w:rPr>
        <w:t>Le développement de la pisciculture permettra de réduire l’impact des activités sur les ressources halieutiques des cours d’eau qui sont difficile de capture tout en générant des revenus aux producteur ;</w:t>
      </w:r>
    </w:p>
    <w:p w14:paraId="1E714CC6" w14:textId="77777777" w:rsidR="001C2F95" w:rsidRPr="00730A4A" w:rsidRDefault="001C2F95" w:rsidP="002378EA">
      <w:pPr>
        <w:pStyle w:val="Paragraphedeliste"/>
        <w:numPr>
          <w:ilvl w:val="0"/>
          <w:numId w:val="104"/>
        </w:numPr>
        <w:rPr>
          <w:rFonts w:cs="Arial"/>
          <w:color w:val="000000"/>
          <w:sz w:val="22"/>
        </w:rPr>
      </w:pPr>
      <w:r w:rsidRPr="00730A4A">
        <w:rPr>
          <w:color w:val="000000"/>
        </w:rPr>
        <w:t>Les marchés qui seront réhabilités constituent des points de convergence de la production locale en vue de sa commercialisation et de sa valorisation ;</w:t>
      </w:r>
    </w:p>
    <w:p w14:paraId="7B9B1CD2" w14:textId="77777777" w:rsidR="001C2F95" w:rsidRPr="00730A4A" w:rsidRDefault="001C2F95" w:rsidP="002378EA">
      <w:pPr>
        <w:pStyle w:val="Paragraphedeliste"/>
        <w:numPr>
          <w:ilvl w:val="0"/>
          <w:numId w:val="104"/>
        </w:numPr>
        <w:rPr>
          <w:rFonts w:cs="Arial"/>
          <w:color w:val="000000"/>
          <w:sz w:val="22"/>
        </w:rPr>
      </w:pPr>
      <w:r w:rsidRPr="00730A4A">
        <w:rPr>
          <w:color w:val="000000"/>
        </w:rPr>
        <w:t xml:space="preserve">La lutte contre la </w:t>
      </w:r>
      <w:r w:rsidR="00906FF9" w:rsidRPr="00730A4A">
        <w:rPr>
          <w:color w:val="000000"/>
        </w:rPr>
        <w:t>pauvreté</w:t>
      </w:r>
      <w:r w:rsidRPr="00730A4A">
        <w:rPr>
          <w:color w:val="000000"/>
        </w:rPr>
        <w:t xml:space="preserve"> à travers l'augmentation du revenu résultant de la création d'emplois. </w:t>
      </w:r>
    </w:p>
    <w:p w14:paraId="08AD9CC7" w14:textId="77777777" w:rsidR="001C2F95" w:rsidRPr="00730A4A" w:rsidRDefault="001C2F95" w:rsidP="001C2F95">
      <w:pPr>
        <w:rPr>
          <w:rFonts w:cs="Arial"/>
          <w:color w:val="000000"/>
          <w:sz w:val="22"/>
        </w:rPr>
      </w:pPr>
    </w:p>
    <w:p w14:paraId="076434C5" w14:textId="77777777" w:rsidR="001C2F95" w:rsidRPr="00730A4A" w:rsidRDefault="001C2F95" w:rsidP="001C2F95">
      <w:pPr>
        <w:pStyle w:val="Titre4"/>
        <w:spacing w:before="0" w:after="0"/>
        <w:ind w:left="0" w:firstLine="0"/>
        <w:rPr>
          <w:rFonts w:ascii="Arial" w:hAnsi="Arial" w:cs="Arial"/>
          <w:b w:val="0"/>
          <w:i/>
          <w:color w:val="000000"/>
          <w:sz w:val="22"/>
          <w:szCs w:val="22"/>
          <w:u w:val="single"/>
        </w:rPr>
      </w:pPr>
      <w:bookmarkStart w:id="465" w:name="_Toc487204601"/>
      <w:r w:rsidRPr="00730A4A">
        <w:rPr>
          <w:rFonts w:ascii="Arial" w:hAnsi="Arial" w:cs="Arial"/>
          <w:b w:val="0"/>
          <w:i/>
          <w:color w:val="000000"/>
          <w:sz w:val="22"/>
          <w:szCs w:val="22"/>
        </w:rPr>
        <w:t>Amélioration du cadre et des conditions de vie</w:t>
      </w:r>
      <w:bookmarkEnd w:id="465"/>
    </w:p>
    <w:p w14:paraId="2A491F11" w14:textId="77777777" w:rsidR="001C2F95" w:rsidRPr="00730A4A" w:rsidRDefault="001C2F95" w:rsidP="001C2F95">
      <w:pPr>
        <w:rPr>
          <w:rFonts w:cs="Arial"/>
          <w:color w:val="000000"/>
          <w:sz w:val="22"/>
        </w:rPr>
      </w:pPr>
    </w:p>
    <w:p w14:paraId="52399D2D" w14:textId="77777777" w:rsidR="001C2F95" w:rsidRPr="00730A4A" w:rsidRDefault="001C2F95" w:rsidP="001C2F95">
      <w:pPr>
        <w:rPr>
          <w:rFonts w:cs="Arial"/>
          <w:color w:val="000000"/>
          <w:sz w:val="22"/>
        </w:rPr>
      </w:pPr>
      <w:r w:rsidRPr="00730A4A">
        <w:rPr>
          <w:rFonts w:cs="Arial"/>
          <w:color w:val="000000"/>
          <w:sz w:val="22"/>
        </w:rPr>
        <w:t>En phases d’exécution et d’exploitation de manière globale, le programme proposé visera à maximiser son impact sur les revenus en milieu rural, la sécurité alimentaire et la nutrition en utilisant une approche de développement territorial et des activités co-localisées avec les opérations en cours et futures financés par la Banque mondiale en RDC. Le programme répondra donc aux besoins du pays et aux priorités du Gouvernement, les interventions complémentaires aux opérations clés en cours de mise en œuvre ou prévues dans les zones du projet. Le PNDA vise à accroître les ressources des ménages à faible revenu, à réduire les coûts de transaction et à améliorer le bien-être des ménages, en particulier dans les zones rurales.</w:t>
      </w:r>
    </w:p>
    <w:p w14:paraId="074FA490" w14:textId="77777777" w:rsidR="001C2F95" w:rsidRPr="00896113" w:rsidRDefault="001C2F95" w:rsidP="001C2F95">
      <w:pPr>
        <w:rPr>
          <w:rFonts w:cs="Arial"/>
          <w:sz w:val="22"/>
        </w:rPr>
      </w:pPr>
    </w:p>
    <w:p w14:paraId="1568DA4B" w14:textId="77777777" w:rsidR="001C2F95" w:rsidRPr="00896113" w:rsidRDefault="001C2F95" w:rsidP="001C2F95">
      <w:pPr>
        <w:rPr>
          <w:rFonts w:cs="Arial"/>
          <w:i/>
          <w:sz w:val="22"/>
        </w:rPr>
      </w:pPr>
      <w:r w:rsidRPr="00896113">
        <w:rPr>
          <w:rFonts w:cs="Arial"/>
          <w:i/>
          <w:sz w:val="22"/>
        </w:rPr>
        <w:t>Sécurisation alimentaire et lutte contre la malnutrition</w:t>
      </w:r>
    </w:p>
    <w:p w14:paraId="728B28A3" w14:textId="77777777" w:rsidR="001C2F95" w:rsidRPr="00896113" w:rsidRDefault="001C2F95" w:rsidP="001C2F95">
      <w:pPr>
        <w:rPr>
          <w:rFonts w:cs="Arial"/>
          <w:sz w:val="22"/>
        </w:rPr>
      </w:pPr>
    </w:p>
    <w:p w14:paraId="5FA2FAA9" w14:textId="77777777" w:rsidR="001C2F95" w:rsidRPr="00896113" w:rsidRDefault="001C2F95" w:rsidP="001C2F95">
      <w:pPr>
        <w:rPr>
          <w:rFonts w:cs="Arial"/>
          <w:sz w:val="22"/>
        </w:rPr>
      </w:pPr>
      <w:r w:rsidRPr="00896113">
        <w:rPr>
          <w:rFonts w:cs="Arial"/>
          <w:sz w:val="22"/>
        </w:rPr>
        <w:t xml:space="preserve">La majorité des ménages ont comme source </w:t>
      </w:r>
      <w:r>
        <w:rPr>
          <w:rFonts w:cs="Arial"/>
          <w:sz w:val="22"/>
        </w:rPr>
        <w:t xml:space="preserve">principale </w:t>
      </w:r>
      <w:r w:rsidRPr="00896113">
        <w:rPr>
          <w:rFonts w:cs="Arial"/>
          <w:sz w:val="22"/>
        </w:rPr>
        <w:t>de revenus</w:t>
      </w:r>
      <w:r>
        <w:rPr>
          <w:rFonts w:cs="Arial"/>
          <w:sz w:val="22"/>
        </w:rPr>
        <w:t>,</w:t>
      </w:r>
      <w:r w:rsidRPr="00896113">
        <w:rPr>
          <w:rFonts w:cs="Arial"/>
          <w:sz w:val="22"/>
        </w:rPr>
        <w:t xml:space="preserve"> l’agriculture. Le Pro</w:t>
      </w:r>
      <w:r>
        <w:rPr>
          <w:rFonts w:cs="Arial"/>
          <w:sz w:val="22"/>
        </w:rPr>
        <w:t>gramme</w:t>
      </w:r>
      <w:r w:rsidRPr="00896113">
        <w:rPr>
          <w:rFonts w:cs="Arial"/>
          <w:sz w:val="22"/>
        </w:rPr>
        <w:t xml:space="preserve"> va contribuer à réduire l’insécurité alimentaire et la malnutrition d’abord au niveau local, ensuite au niveau national. Le programme s’attaquera à la malnutrition, y compris aux carences en micronutriments, dans toutes les zones d’intervention par : </w:t>
      </w:r>
      <w:r w:rsidRPr="00896113">
        <w:rPr>
          <w:rFonts w:cs="Arial"/>
          <w:i/>
          <w:sz w:val="22"/>
        </w:rPr>
        <w:t>(i)</w:t>
      </w:r>
      <w:r w:rsidRPr="00896113">
        <w:rPr>
          <w:rFonts w:cs="Arial"/>
          <w:sz w:val="22"/>
        </w:rPr>
        <w:t xml:space="preserve"> la localisation avec le Projet </w:t>
      </w:r>
      <w:r>
        <w:rPr>
          <w:rFonts w:cs="Arial"/>
          <w:sz w:val="22"/>
        </w:rPr>
        <w:t>M</w:t>
      </w:r>
      <w:r w:rsidRPr="00896113">
        <w:rPr>
          <w:rFonts w:cs="Arial"/>
          <w:sz w:val="22"/>
        </w:rPr>
        <w:t xml:space="preserve">ultisectoriel de </w:t>
      </w:r>
      <w:r>
        <w:rPr>
          <w:rFonts w:cs="Arial"/>
          <w:sz w:val="22"/>
        </w:rPr>
        <w:t>N</w:t>
      </w:r>
      <w:r w:rsidRPr="00896113">
        <w:rPr>
          <w:rFonts w:cs="Arial"/>
          <w:sz w:val="22"/>
        </w:rPr>
        <w:t xml:space="preserve">utrition et de </w:t>
      </w:r>
      <w:r>
        <w:rPr>
          <w:rFonts w:cs="Arial"/>
          <w:sz w:val="22"/>
        </w:rPr>
        <w:t>S</w:t>
      </w:r>
      <w:r w:rsidRPr="00896113">
        <w:rPr>
          <w:rFonts w:cs="Arial"/>
          <w:sz w:val="22"/>
        </w:rPr>
        <w:t>anté </w:t>
      </w:r>
      <w:r>
        <w:rPr>
          <w:rFonts w:cs="Arial"/>
          <w:sz w:val="22"/>
        </w:rPr>
        <w:t xml:space="preserve">(PMNS) </w:t>
      </w:r>
      <w:r w:rsidRPr="00896113">
        <w:rPr>
          <w:rFonts w:cs="Arial"/>
          <w:sz w:val="22"/>
        </w:rPr>
        <w:t xml:space="preserve">; et </w:t>
      </w:r>
      <w:r w:rsidRPr="00896113">
        <w:rPr>
          <w:rFonts w:cs="Arial"/>
          <w:i/>
          <w:sz w:val="22"/>
        </w:rPr>
        <w:t xml:space="preserve">(ii) </w:t>
      </w:r>
      <w:r w:rsidRPr="00896113">
        <w:rPr>
          <w:rFonts w:cs="Arial"/>
          <w:sz w:val="22"/>
        </w:rPr>
        <w:t xml:space="preserve">des interventions en faveur d’une agriculture intelligente face à la nutrition (AIN). Une série de technologies et de pratiques AIN est en cours d’identification dans le cadre de la préparation du Projet. </w:t>
      </w:r>
    </w:p>
    <w:p w14:paraId="0A771292" w14:textId="77777777" w:rsidR="001C2F95" w:rsidRPr="00896113" w:rsidRDefault="001C2F95" w:rsidP="001C2F95">
      <w:pPr>
        <w:rPr>
          <w:rFonts w:cs="Arial"/>
          <w:sz w:val="22"/>
        </w:rPr>
      </w:pPr>
    </w:p>
    <w:p w14:paraId="1510111B" w14:textId="77777777" w:rsidR="001C2F95" w:rsidRPr="00896113" w:rsidRDefault="001C2F95" w:rsidP="001C2F95">
      <w:pPr>
        <w:rPr>
          <w:rFonts w:cs="Arial"/>
          <w:i/>
          <w:sz w:val="22"/>
        </w:rPr>
      </w:pPr>
      <w:r w:rsidRPr="00896113">
        <w:rPr>
          <w:rFonts w:cs="Arial"/>
          <w:i/>
          <w:sz w:val="22"/>
        </w:rPr>
        <w:t xml:space="preserve">Réhabilitation des </w:t>
      </w:r>
      <w:r>
        <w:rPr>
          <w:rFonts w:cs="Arial"/>
          <w:i/>
          <w:sz w:val="22"/>
        </w:rPr>
        <w:t>routes</w:t>
      </w:r>
      <w:r w:rsidRPr="00896113">
        <w:rPr>
          <w:rFonts w:cs="Arial"/>
          <w:i/>
          <w:sz w:val="22"/>
        </w:rPr>
        <w:t xml:space="preserve"> rurales</w:t>
      </w:r>
    </w:p>
    <w:p w14:paraId="246CF6C7" w14:textId="77777777" w:rsidR="001C2F95" w:rsidRPr="00896113" w:rsidRDefault="001C2F95" w:rsidP="001C2F95">
      <w:pPr>
        <w:rPr>
          <w:rFonts w:cs="Arial"/>
          <w:sz w:val="22"/>
        </w:rPr>
      </w:pPr>
    </w:p>
    <w:p w14:paraId="0343EC17" w14:textId="77777777" w:rsidR="001C2F95" w:rsidRPr="00896113" w:rsidRDefault="001C2F95" w:rsidP="001C2F95">
      <w:pPr>
        <w:rPr>
          <w:rFonts w:cs="Arial"/>
          <w:sz w:val="22"/>
        </w:rPr>
      </w:pPr>
      <w:r w:rsidRPr="00896113">
        <w:rPr>
          <w:rFonts w:cs="Arial"/>
          <w:sz w:val="22"/>
        </w:rPr>
        <w:t xml:space="preserve">Le programme visera </w:t>
      </w:r>
      <w:r>
        <w:rPr>
          <w:rFonts w:cs="Arial"/>
          <w:sz w:val="22"/>
        </w:rPr>
        <w:t>l’</w:t>
      </w:r>
      <w:r w:rsidRPr="00896113">
        <w:rPr>
          <w:rFonts w:cs="Arial"/>
          <w:sz w:val="22"/>
        </w:rPr>
        <w:t>amélior</w:t>
      </w:r>
      <w:r>
        <w:rPr>
          <w:rFonts w:cs="Arial"/>
          <w:sz w:val="22"/>
        </w:rPr>
        <w:t>ation</w:t>
      </w:r>
      <w:r w:rsidRPr="00896113">
        <w:rPr>
          <w:rFonts w:cs="Arial"/>
          <w:sz w:val="22"/>
        </w:rPr>
        <w:t xml:space="preserve"> </w:t>
      </w:r>
      <w:r>
        <w:rPr>
          <w:rFonts w:cs="Arial"/>
          <w:sz w:val="22"/>
        </w:rPr>
        <w:t>d</w:t>
      </w:r>
      <w:r w:rsidRPr="00896113">
        <w:rPr>
          <w:rFonts w:cs="Arial"/>
          <w:sz w:val="22"/>
        </w:rPr>
        <w:t xml:space="preserve">es routes rurales et les corridors de transport prioritaires (y compris les mesures de sécurité fluviale et les sites de lancement dans les voies navigables), afin de libérer le potentiel de production et de commerce des petits exploitants agricoles dans la zone du Projet, en fonction des critères suivants : </w:t>
      </w:r>
      <w:r w:rsidRPr="00896113">
        <w:rPr>
          <w:rFonts w:cs="Arial"/>
          <w:i/>
          <w:sz w:val="22"/>
        </w:rPr>
        <w:t>(i)</w:t>
      </w:r>
      <w:r w:rsidRPr="00896113">
        <w:rPr>
          <w:rFonts w:cs="Arial"/>
          <w:sz w:val="22"/>
        </w:rPr>
        <w:t xml:space="preserve"> ces corridors sont connectés aux routes principales, voies ferrées et/ou voies navigables opérationnelles (sûres et utilisables toute l’année) ; </w:t>
      </w:r>
      <w:r w:rsidRPr="00896113">
        <w:rPr>
          <w:rFonts w:cs="Arial"/>
          <w:i/>
          <w:sz w:val="22"/>
        </w:rPr>
        <w:t xml:space="preserve">(ii) </w:t>
      </w:r>
      <w:r w:rsidRPr="00896113">
        <w:rPr>
          <w:rFonts w:cs="Arial"/>
          <w:sz w:val="22"/>
        </w:rPr>
        <w:t xml:space="preserve">ils conduisent à des zones à fort potentiel agricole et à une population relativement dense ; et </w:t>
      </w:r>
      <w:r w:rsidRPr="00896113">
        <w:rPr>
          <w:rFonts w:cs="Arial"/>
          <w:i/>
          <w:sz w:val="22"/>
        </w:rPr>
        <w:t>(iii)</w:t>
      </w:r>
      <w:r w:rsidRPr="00896113">
        <w:rPr>
          <w:rFonts w:cs="Arial"/>
          <w:sz w:val="22"/>
        </w:rPr>
        <w:t xml:space="preserve"> ils recherchent des synergies avec les investissements en cours ou futurs du secteur agricole et d’autres interventions dans les infrastructures de transport et/ou de connectivité</w:t>
      </w:r>
      <w:r>
        <w:rPr>
          <w:rFonts w:cs="Arial"/>
          <w:sz w:val="22"/>
        </w:rPr>
        <w:t>.</w:t>
      </w:r>
    </w:p>
    <w:p w14:paraId="5FC4DFE2" w14:textId="77777777" w:rsidR="001C2F95" w:rsidRPr="00896113" w:rsidRDefault="001C2F95" w:rsidP="001C2F95">
      <w:pPr>
        <w:rPr>
          <w:rFonts w:cs="Arial"/>
          <w:sz w:val="22"/>
        </w:rPr>
      </w:pPr>
    </w:p>
    <w:p w14:paraId="1ECDBD6B" w14:textId="77777777" w:rsidR="001C2F95" w:rsidRPr="00896113" w:rsidRDefault="001C2F95" w:rsidP="001C2F95">
      <w:pPr>
        <w:rPr>
          <w:rFonts w:cs="Arial"/>
          <w:i/>
          <w:sz w:val="22"/>
        </w:rPr>
      </w:pPr>
      <w:r w:rsidRPr="00896113">
        <w:rPr>
          <w:rFonts w:cs="Arial"/>
          <w:i/>
          <w:sz w:val="22"/>
        </w:rPr>
        <w:t xml:space="preserve">Amélioration de la santé et l’hygiène en milieu rural </w:t>
      </w:r>
    </w:p>
    <w:p w14:paraId="55E873F5" w14:textId="77777777" w:rsidR="001C2F95" w:rsidRPr="00896113" w:rsidRDefault="001C2F95" w:rsidP="001C2F95">
      <w:pPr>
        <w:rPr>
          <w:rFonts w:cs="Arial"/>
          <w:sz w:val="22"/>
        </w:rPr>
      </w:pPr>
    </w:p>
    <w:p w14:paraId="51B55FC9" w14:textId="77777777" w:rsidR="001C2F95" w:rsidRPr="00896113" w:rsidRDefault="001C2F95" w:rsidP="001C2F95">
      <w:pPr>
        <w:rPr>
          <w:rFonts w:cs="Arial"/>
          <w:sz w:val="22"/>
        </w:rPr>
      </w:pPr>
      <w:r w:rsidRPr="00896113">
        <w:rPr>
          <w:rFonts w:cs="Arial"/>
          <w:sz w:val="22"/>
        </w:rPr>
        <w:t>L’autosuffisance alimentaire est une des bases de la bonne santé des populations car dans la situation de précarité, la faim constitue un des facteurs de fragilisation et d’exposition aux risques de maladies. Le Pro</w:t>
      </w:r>
      <w:r>
        <w:rPr>
          <w:rFonts w:cs="Arial"/>
          <w:sz w:val="22"/>
        </w:rPr>
        <w:t>gramme</w:t>
      </w:r>
      <w:r w:rsidR="00906FF9">
        <w:rPr>
          <w:rFonts w:cs="Arial"/>
          <w:sz w:val="22"/>
        </w:rPr>
        <w:t xml:space="preserve"> v</w:t>
      </w:r>
      <w:r w:rsidRPr="00896113">
        <w:rPr>
          <w:rFonts w:cs="Arial"/>
          <w:sz w:val="22"/>
        </w:rPr>
        <w:t>isant l’atteinte de la sécurité alimentaire contribue à l’amélioration des conditions de vie des producteurs agricoles dans les zones couvertes par le Projet. À travers le développement des capacités des producteurs agricoles, le Projet garantira des formations sur les règles élémentaires d’hygiène surtout avec la pandémie de COVID-19. L’impact du Projet dans le milieu rural sera positif et bénéfique à cette frange de la population.</w:t>
      </w:r>
    </w:p>
    <w:p w14:paraId="36287D6F" w14:textId="77777777" w:rsidR="001C2F95" w:rsidRPr="00896113" w:rsidRDefault="001C2F95" w:rsidP="001C2F95">
      <w:pPr>
        <w:rPr>
          <w:rFonts w:cs="Arial"/>
          <w:sz w:val="22"/>
          <w:lang w:eastAsia="en-US"/>
        </w:rPr>
      </w:pPr>
      <w:bookmarkStart w:id="466" w:name="_Toc487204605"/>
    </w:p>
    <w:p w14:paraId="4A60D5E1" w14:textId="77777777" w:rsidR="001C2F95" w:rsidRPr="00896113" w:rsidRDefault="001C2F95" w:rsidP="001C2F95">
      <w:pPr>
        <w:pStyle w:val="Titre4"/>
        <w:spacing w:before="0" w:after="0"/>
        <w:ind w:left="0" w:firstLine="0"/>
        <w:rPr>
          <w:rFonts w:ascii="Arial" w:hAnsi="Arial" w:cs="Arial"/>
          <w:b w:val="0"/>
          <w:i/>
          <w:sz w:val="22"/>
          <w:szCs w:val="22"/>
        </w:rPr>
      </w:pPr>
      <w:r w:rsidRPr="00896113">
        <w:rPr>
          <w:rFonts w:ascii="Arial" w:hAnsi="Arial" w:cs="Arial"/>
          <w:b w:val="0"/>
          <w:i/>
          <w:sz w:val="22"/>
          <w:szCs w:val="22"/>
        </w:rPr>
        <w:t>Sécurisation foncière</w:t>
      </w:r>
      <w:bookmarkEnd w:id="466"/>
      <w:r>
        <w:rPr>
          <w:rFonts w:ascii="Arial" w:hAnsi="Arial" w:cs="Arial"/>
          <w:b w:val="0"/>
          <w:i/>
          <w:sz w:val="22"/>
          <w:szCs w:val="22"/>
        </w:rPr>
        <w:t xml:space="preserve"> (impact sur le système foncier)</w:t>
      </w:r>
    </w:p>
    <w:p w14:paraId="7FF9E84F" w14:textId="77777777" w:rsidR="001C2F95" w:rsidRPr="00896113" w:rsidRDefault="001C2F95" w:rsidP="001C2F95">
      <w:pPr>
        <w:rPr>
          <w:rFonts w:cs="Arial"/>
          <w:sz w:val="22"/>
        </w:rPr>
      </w:pPr>
    </w:p>
    <w:p w14:paraId="31521B28" w14:textId="77777777" w:rsidR="001C2F95" w:rsidRPr="00896113" w:rsidRDefault="001C2F95" w:rsidP="001C2F95">
      <w:pPr>
        <w:rPr>
          <w:rFonts w:cs="Arial"/>
          <w:sz w:val="22"/>
        </w:rPr>
      </w:pPr>
      <w:r w:rsidRPr="00896113">
        <w:rPr>
          <w:rFonts w:cs="Arial"/>
          <w:sz w:val="22"/>
        </w:rPr>
        <w:t>Les activités prévues par le Pro</w:t>
      </w:r>
      <w:r>
        <w:rPr>
          <w:rFonts w:cs="Arial"/>
          <w:sz w:val="22"/>
        </w:rPr>
        <w:t>gramme</w:t>
      </w:r>
      <w:r w:rsidRPr="00896113">
        <w:rPr>
          <w:rFonts w:cs="Arial"/>
          <w:sz w:val="22"/>
        </w:rPr>
        <w:t xml:space="preserve"> auront donc des impacts positifs majeurs en termes de sécurisation des espaces affectés aux infrastructures. Cela éviterait l’envahissement ou l’encombrement de ces dernières, et, donc, induira une réduction importante des conflits</w:t>
      </w:r>
      <w:r>
        <w:rPr>
          <w:rFonts w:cs="Arial"/>
          <w:sz w:val="22"/>
        </w:rPr>
        <w:t xml:space="preserve"> et </w:t>
      </w:r>
      <w:r>
        <w:t>contribuera positivement à une gestion rationnelle et durable du terroir</w:t>
      </w:r>
      <w:r w:rsidRPr="00896113">
        <w:rPr>
          <w:rFonts w:cs="Arial"/>
          <w:sz w:val="22"/>
        </w:rPr>
        <w:t>. Le PNDA va financer l’amélioration du Cadre Juridique Foncière de la RDC</w:t>
      </w:r>
      <w:r>
        <w:rPr>
          <w:rFonts w:cs="Arial"/>
          <w:sz w:val="22"/>
        </w:rPr>
        <w:t xml:space="preserve"> </w:t>
      </w:r>
    </w:p>
    <w:p w14:paraId="35E89C22" w14:textId="77777777" w:rsidR="001C2F95" w:rsidRPr="00896113" w:rsidRDefault="001C2F95" w:rsidP="001C2F95">
      <w:pPr>
        <w:rPr>
          <w:rFonts w:cs="Arial"/>
          <w:sz w:val="22"/>
        </w:rPr>
      </w:pPr>
    </w:p>
    <w:p w14:paraId="37BA8C95" w14:textId="77777777" w:rsidR="001C2F95" w:rsidRPr="00896113" w:rsidRDefault="001C2F95" w:rsidP="001C2F95">
      <w:pPr>
        <w:rPr>
          <w:rFonts w:cs="Arial"/>
          <w:i/>
          <w:sz w:val="22"/>
        </w:rPr>
      </w:pPr>
      <w:r w:rsidRPr="002541DD">
        <w:rPr>
          <w:rFonts w:cs="Arial"/>
          <w:bCs/>
          <w:i/>
          <w:sz w:val="22"/>
          <w:lang w:eastAsia="en-US"/>
        </w:rPr>
        <w:t>Création d’emplois et occupation des producteurs</w:t>
      </w:r>
      <w:r w:rsidRPr="00896113">
        <w:rPr>
          <w:rFonts w:cs="Arial"/>
          <w:i/>
          <w:sz w:val="22"/>
        </w:rPr>
        <w:t xml:space="preserve"> </w:t>
      </w:r>
    </w:p>
    <w:p w14:paraId="0AB00DDE" w14:textId="77777777" w:rsidR="001C2F95" w:rsidRPr="00896113" w:rsidRDefault="001C2F95" w:rsidP="001C2F95">
      <w:pPr>
        <w:rPr>
          <w:rFonts w:cs="Arial"/>
          <w:sz w:val="22"/>
        </w:rPr>
      </w:pPr>
    </w:p>
    <w:p w14:paraId="1F10BA0B" w14:textId="77777777" w:rsidR="001C2F95" w:rsidRDefault="001C2F95" w:rsidP="001C2F95">
      <w:pPr>
        <w:rPr>
          <w:rFonts w:cs="Arial"/>
          <w:sz w:val="22"/>
        </w:rPr>
      </w:pPr>
      <w:r w:rsidRPr="00896113">
        <w:rPr>
          <w:rFonts w:cs="Arial"/>
          <w:sz w:val="22"/>
        </w:rPr>
        <w:t>Parmi les impacts sociaux, on note également la réduction, voire l’arrêt de l’exode rural, une augmentation des revenus des couches vulnérables notamment les femmes et les jeunes du fait qu’ils pourraient s’adonner à des activités que le Projet pourrait financer et contribuer ainsi à la lutte contre la délinquance. Le Projet va permettre la création d’emplois directs permanents et temporaires aussi bien en phase d’exécution qu’en phase d’exploitation. L’embauche en priorité de la main-d’œuvre non qualifiée issue des communautés locales</w:t>
      </w:r>
      <w:r>
        <w:rPr>
          <w:rFonts w:cs="Arial"/>
          <w:sz w:val="22"/>
        </w:rPr>
        <w:t xml:space="preserve">, avec un accent mis sur les femmes et les jeunes, </w:t>
      </w:r>
      <w:r w:rsidRPr="00896113">
        <w:rPr>
          <w:rFonts w:cs="Arial"/>
          <w:sz w:val="22"/>
        </w:rPr>
        <w:t>contribuera à la lutte contre le chômage local et contre la pauvreté.  Par ailleurs, le Projet va s’accompagner du développement des métiers suivants : utilisation, entretien et réparation des matériels agricoles ; conducteurs d’engins agricoles ; la mise en valeur des parcelles irriguées, la production, le groupage, le conditionnement, la transformation et la commercialisation des produits agricoles.</w:t>
      </w:r>
    </w:p>
    <w:p w14:paraId="5FBDFAE8" w14:textId="77777777" w:rsidR="001C2F95" w:rsidRDefault="001C2F95" w:rsidP="001C2F95">
      <w:pPr>
        <w:rPr>
          <w:rFonts w:cs="Arial"/>
          <w:sz w:val="22"/>
        </w:rPr>
      </w:pPr>
    </w:p>
    <w:p w14:paraId="164F77FE" w14:textId="77777777" w:rsidR="001C2F95" w:rsidRPr="007C31DB" w:rsidRDefault="001C2F95" w:rsidP="001C2F95">
      <w:pPr>
        <w:rPr>
          <w:rFonts w:cs="Arial"/>
          <w:i/>
          <w:sz w:val="22"/>
        </w:rPr>
      </w:pPr>
      <w:r w:rsidRPr="007C31DB">
        <w:rPr>
          <w:rFonts w:cs="Arial"/>
          <w:i/>
          <w:sz w:val="22"/>
        </w:rPr>
        <w:t>Financement des activit</w:t>
      </w:r>
      <w:r w:rsidR="00906FF9">
        <w:rPr>
          <w:rFonts w:cs="Arial"/>
          <w:i/>
          <w:sz w:val="22"/>
        </w:rPr>
        <w:t>é</w:t>
      </w:r>
      <w:r w:rsidRPr="007C31DB">
        <w:rPr>
          <w:rFonts w:cs="Arial"/>
          <w:i/>
          <w:sz w:val="22"/>
        </w:rPr>
        <w:t xml:space="preserve">s agropastorales </w:t>
      </w:r>
    </w:p>
    <w:p w14:paraId="01BAF95C" w14:textId="77777777" w:rsidR="001C2F95" w:rsidRDefault="001C2F95" w:rsidP="001C2F95">
      <w:pPr>
        <w:rPr>
          <w:rFonts w:cs="Arial"/>
          <w:color w:val="202124"/>
          <w:shd w:val="clear" w:color="auto" w:fill="FFFFFF"/>
        </w:rPr>
      </w:pPr>
    </w:p>
    <w:p w14:paraId="7CFCE6BB" w14:textId="77777777" w:rsidR="001C2F95" w:rsidRDefault="001C2F95" w:rsidP="001C2F95">
      <w:pPr>
        <w:rPr>
          <w:rFonts w:cs="Arial"/>
          <w:sz w:val="22"/>
        </w:rPr>
      </w:pPr>
      <w:r>
        <w:rPr>
          <w:rFonts w:cs="Arial"/>
          <w:sz w:val="22"/>
        </w:rPr>
        <w:t>Le financement des activités agropastor</w:t>
      </w:r>
      <w:r w:rsidR="00906FF9">
        <w:rPr>
          <w:rFonts w:cs="Arial"/>
          <w:sz w:val="22"/>
        </w:rPr>
        <w:t>a</w:t>
      </w:r>
      <w:r>
        <w:rPr>
          <w:rFonts w:cs="Arial"/>
          <w:sz w:val="22"/>
        </w:rPr>
        <w:t>les par les intermédiaires financiers v</w:t>
      </w:r>
      <w:r w:rsidRPr="007C31DB">
        <w:rPr>
          <w:rFonts w:cs="Arial"/>
          <w:sz w:val="22"/>
        </w:rPr>
        <w:t xml:space="preserve">a </w:t>
      </w:r>
      <w:r w:rsidRPr="00555A26">
        <w:rPr>
          <w:rFonts w:cs="Arial"/>
          <w:sz w:val="22"/>
        </w:rPr>
        <w:t>favoriser</w:t>
      </w:r>
      <w:r w:rsidRPr="00F047A6">
        <w:rPr>
          <w:rFonts w:cs="Arial"/>
          <w:sz w:val="22"/>
        </w:rPr>
        <w:t xml:space="preserve"> la croissance incontestable des entreprises agricoles dans les provinces concernées par le PNDA.</w:t>
      </w:r>
      <w:r w:rsidRPr="000274A1">
        <w:rPr>
          <w:rFonts w:cs="Arial"/>
          <w:sz w:val="22"/>
        </w:rPr>
        <w:t xml:space="preserve"> </w:t>
      </w:r>
      <w:r>
        <w:rPr>
          <w:rFonts w:cs="Arial"/>
          <w:sz w:val="22"/>
        </w:rPr>
        <w:t>Ce financement des activités agropastoraux vont</w:t>
      </w:r>
      <w:r w:rsidRPr="00F047A6">
        <w:rPr>
          <w:rFonts w:cs="Arial"/>
          <w:sz w:val="22"/>
        </w:rPr>
        <w:t xml:space="preserve"> supprimer</w:t>
      </w:r>
      <w:r w:rsidRPr="007C31DB">
        <w:rPr>
          <w:rFonts w:cs="Arial"/>
          <w:sz w:val="22"/>
        </w:rPr>
        <w:t xml:space="preserve"> les obstacles à la circulation des capitaux</w:t>
      </w:r>
      <w:r>
        <w:rPr>
          <w:rFonts w:cs="Arial"/>
          <w:sz w:val="22"/>
        </w:rPr>
        <w:t xml:space="preserve"> et </w:t>
      </w:r>
      <w:r w:rsidRPr="00F047A6">
        <w:rPr>
          <w:rFonts w:cs="Arial"/>
          <w:sz w:val="22"/>
        </w:rPr>
        <w:t>donneront</w:t>
      </w:r>
      <w:r w:rsidRPr="007C31DB">
        <w:rPr>
          <w:rFonts w:cs="Arial"/>
          <w:sz w:val="22"/>
        </w:rPr>
        <w:t xml:space="preserve"> une impulsion sans précédent aux marchés financiers</w:t>
      </w:r>
      <w:r>
        <w:rPr>
          <w:rFonts w:cs="Arial"/>
          <w:sz w:val="22"/>
        </w:rPr>
        <w:t xml:space="preserve"> afin d’améliorer les activités agropastorales dans la zone du PNDA</w:t>
      </w:r>
      <w:r w:rsidRPr="007C31DB">
        <w:rPr>
          <w:rFonts w:cs="Arial"/>
          <w:sz w:val="22"/>
        </w:rPr>
        <w:t>.</w:t>
      </w:r>
      <w:r w:rsidRPr="00F047A6">
        <w:rPr>
          <w:rFonts w:cs="Arial"/>
          <w:sz w:val="22"/>
        </w:rPr>
        <w:t xml:space="preserve"> Bref, ce financement par IF apportera </w:t>
      </w:r>
      <w:r w:rsidRPr="007C31DB">
        <w:rPr>
          <w:rFonts w:cs="Arial"/>
          <w:sz w:val="22"/>
        </w:rPr>
        <w:t>une fluidité des investissements en fonction des perspectives économiques</w:t>
      </w:r>
      <w:r>
        <w:rPr>
          <w:rFonts w:cs="Arial"/>
          <w:sz w:val="22"/>
        </w:rPr>
        <w:t xml:space="preserve"> rencontrées dans la zone du PNDA. Il y aura une </w:t>
      </w:r>
      <w:r w:rsidRPr="007C31DB">
        <w:rPr>
          <w:rFonts w:cs="Arial"/>
          <w:sz w:val="22"/>
        </w:rPr>
        <w:t>réduction du risque et la réduction des coûts constituent les principaux avantages de l'intermédiation financière, qui, de ce fait, favorise l'épargne et l'investissement.</w:t>
      </w:r>
    </w:p>
    <w:p w14:paraId="0D2C8980" w14:textId="77777777" w:rsidR="001C2F95" w:rsidRPr="00896113" w:rsidRDefault="001C2F95" w:rsidP="001C2F95">
      <w:pPr>
        <w:rPr>
          <w:rFonts w:cs="Arial"/>
          <w:sz w:val="22"/>
        </w:rPr>
      </w:pPr>
    </w:p>
    <w:p w14:paraId="00A3BDC2" w14:textId="77777777" w:rsidR="001C2F95" w:rsidRPr="00361180" w:rsidRDefault="001C2F95" w:rsidP="001C2F95">
      <w:pPr>
        <w:pStyle w:val="Titre2"/>
        <w:numPr>
          <w:ilvl w:val="2"/>
          <w:numId w:val="4"/>
        </w:numPr>
        <w:ind w:left="1560" w:hanging="709"/>
        <w:rPr>
          <w:rFonts w:cs="Arial"/>
          <w:i/>
          <w:sz w:val="22"/>
          <w:szCs w:val="22"/>
        </w:rPr>
      </w:pPr>
      <w:bookmarkStart w:id="467" w:name="_Toc104566749"/>
      <w:bookmarkStart w:id="468" w:name="_Toc154815285"/>
      <w:bookmarkStart w:id="469" w:name="_Toc261554758"/>
      <w:bookmarkStart w:id="470" w:name="_Toc343715825"/>
      <w:bookmarkStart w:id="471" w:name="_Toc487204607"/>
      <w:bookmarkStart w:id="472" w:name="_Toc44626837"/>
      <w:bookmarkStart w:id="473" w:name="_Toc70330422"/>
      <w:r w:rsidRPr="00361180">
        <w:rPr>
          <w:rFonts w:cs="Arial"/>
          <w:i/>
          <w:sz w:val="22"/>
          <w:szCs w:val="22"/>
        </w:rPr>
        <w:t>Impacts positifs de</w:t>
      </w:r>
      <w:bookmarkEnd w:id="467"/>
      <w:bookmarkEnd w:id="468"/>
      <w:r w:rsidRPr="00361180">
        <w:rPr>
          <w:rFonts w:cs="Arial"/>
          <w:i/>
          <w:sz w:val="22"/>
          <w:szCs w:val="22"/>
        </w:rPr>
        <w:t xml:space="preserve">s </w:t>
      </w:r>
      <w:bookmarkEnd w:id="469"/>
      <w:bookmarkEnd w:id="470"/>
      <w:r w:rsidRPr="00361180">
        <w:rPr>
          <w:rFonts w:cs="Arial"/>
          <w:i/>
          <w:sz w:val="22"/>
          <w:szCs w:val="22"/>
        </w:rPr>
        <w:t>catégories des sous-projets</w:t>
      </w:r>
      <w:bookmarkEnd w:id="471"/>
      <w:bookmarkEnd w:id="472"/>
      <w:bookmarkEnd w:id="473"/>
    </w:p>
    <w:p w14:paraId="24B36F2E" w14:textId="77777777" w:rsidR="001C2F95" w:rsidRDefault="001C2F95" w:rsidP="001C2F95">
      <w:pPr>
        <w:rPr>
          <w:lang w:eastAsia="en-US"/>
        </w:rPr>
      </w:pPr>
      <w:bookmarkStart w:id="474" w:name="_Toc487204608"/>
    </w:p>
    <w:p w14:paraId="12BCF7EE" w14:textId="77777777" w:rsidR="001C2F95" w:rsidRPr="006A63A2" w:rsidRDefault="001C2F95" w:rsidP="001C2F95">
      <w:pPr>
        <w:rPr>
          <w:rFonts w:cs="Arial"/>
          <w:sz w:val="22"/>
        </w:rPr>
      </w:pPr>
      <w:r>
        <w:rPr>
          <w:rFonts w:cs="Arial"/>
          <w:sz w:val="22"/>
        </w:rPr>
        <w:t>C</w:t>
      </w:r>
      <w:r w:rsidRPr="006A63A2">
        <w:rPr>
          <w:rFonts w:cs="Arial"/>
          <w:sz w:val="22"/>
        </w:rPr>
        <w:t>e tableau des impacts positifs par composante, sous composante et activités</w:t>
      </w:r>
      <w:r>
        <w:rPr>
          <w:rFonts w:cs="Arial"/>
          <w:sz w:val="22"/>
        </w:rPr>
        <w:t xml:space="preserve"> est proposé ci-dessous et</w:t>
      </w:r>
      <w:r w:rsidRPr="006A63A2">
        <w:rPr>
          <w:rFonts w:cs="Arial"/>
          <w:sz w:val="22"/>
        </w:rPr>
        <w:t xml:space="preserve"> </w:t>
      </w:r>
      <w:r>
        <w:rPr>
          <w:rFonts w:cs="Arial"/>
          <w:sz w:val="22"/>
        </w:rPr>
        <w:t>pourrait être</w:t>
      </w:r>
      <w:r w:rsidRPr="006A63A2">
        <w:rPr>
          <w:rFonts w:cs="Arial"/>
          <w:sz w:val="22"/>
        </w:rPr>
        <w:t xml:space="preserve"> </w:t>
      </w:r>
      <w:r>
        <w:rPr>
          <w:rFonts w:cs="Arial"/>
          <w:sz w:val="22"/>
        </w:rPr>
        <w:t>amendé</w:t>
      </w:r>
      <w:r w:rsidRPr="006A63A2">
        <w:rPr>
          <w:rFonts w:cs="Arial"/>
          <w:sz w:val="22"/>
        </w:rPr>
        <w:t>.</w:t>
      </w:r>
    </w:p>
    <w:p w14:paraId="7680179F" w14:textId="77777777" w:rsidR="001C2F95" w:rsidRDefault="001C2F95" w:rsidP="001C2F95"/>
    <w:p w14:paraId="2B173320" w14:textId="77777777" w:rsidR="001C2F95" w:rsidRDefault="001C2F95" w:rsidP="001C2F95">
      <w:pPr>
        <w:rPr>
          <w:rFonts w:cs="Arial"/>
          <w:sz w:val="22"/>
        </w:rPr>
      </w:pPr>
    </w:p>
    <w:p w14:paraId="34111457" w14:textId="77777777" w:rsidR="001C2F95" w:rsidRDefault="001C2F95" w:rsidP="001C2F95">
      <w:pPr>
        <w:rPr>
          <w:rFonts w:cs="Arial"/>
          <w:sz w:val="22"/>
        </w:rPr>
      </w:pPr>
    </w:p>
    <w:p w14:paraId="0E460C8C" w14:textId="77777777" w:rsidR="001C2F95" w:rsidRDefault="001C2F95" w:rsidP="001C2F95">
      <w:pPr>
        <w:rPr>
          <w:rFonts w:cs="Arial"/>
          <w:sz w:val="22"/>
        </w:rPr>
      </w:pPr>
    </w:p>
    <w:p w14:paraId="305C2084" w14:textId="77777777" w:rsidR="001C2F95" w:rsidRDefault="001C2F95" w:rsidP="001C2F95">
      <w:pPr>
        <w:rPr>
          <w:rFonts w:cs="Arial"/>
          <w:sz w:val="22"/>
        </w:rPr>
      </w:pPr>
    </w:p>
    <w:p w14:paraId="595830A2" w14:textId="77777777" w:rsidR="001C2F95" w:rsidRDefault="001C2F95" w:rsidP="001C2F95">
      <w:pPr>
        <w:rPr>
          <w:rFonts w:cs="Arial"/>
          <w:sz w:val="22"/>
        </w:rPr>
      </w:pPr>
    </w:p>
    <w:p w14:paraId="274E9809" w14:textId="77777777" w:rsidR="001C2F95" w:rsidRDefault="001C2F95" w:rsidP="001C2F95">
      <w:pPr>
        <w:rPr>
          <w:rFonts w:cs="Arial"/>
          <w:sz w:val="22"/>
        </w:rPr>
      </w:pPr>
    </w:p>
    <w:p w14:paraId="0D2B5B4D" w14:textId="77777777" w:rsidR="001C2F95" w:rsidRDefault="001C2F95" w:rsidP="001C2F95">
      <w:pPr>
        <w:rPr>
          <w:rFonts w:cs="Arial"/>
          <w:sz w:val="22"/>
        </w:rPr>
      </w:pPr>
    </w:p>
    <w:p w14:paraId="535A5E21" w14:textId="77777777" w:rsidR="001C2F95" w:rsidRDefault="001C2F95" w:rsidP="001C2F95">
      <w:pPr>
        <w:rPr>
          <w:rFonts w:cs="Arial"/>
          <w:sz w:val="22"/>
        </w:rPr>
      </w:pPr>
    </w:p>
    <w:p w14:paraId="4CDA0AEE" w14:textId="77777777" w:rsidR="001C2F95" w:rsidRDefault="001C2F95" w:rsidP="001C2F95">
      <w:pPr>
        <w:rPr>
          <w:rFonts w:cs="Arial"/>
          <w:sz w:val="22"/>
        </w:rPr>
      </w:pPr>
    </w:p>
    <w:p w14:paraId="63E2185D" w14:textId="77777777" w:rsidR="001C2F95" w:rsidRDefault="001C2F95" w:rsidP="001C2F95">
      <w:pPr>
        <w:rPr>
          <w:rFonts w:cs="Arial"/>
          <w:sz w:val="22"/>
        </w:rPr>
      </w:pPr>
    </w:p>
    <w:p w14:paraId="73CD81B2" w14:textId="77777777" w:rsidR="001C2F95" w:rsidRDefault="001C2F95" w:rsidP="001C2F95">
      <w:pPr>
        <w:rPr>
          <w:rFonts w:cs="Arial"/>
          <w:sz w:val="22"/>
        </w:rPr>
      </w:pPr>
    </w:p>
    <w:p w14:paraId="2DF588AB" w14:textId="77777777" w:rsidR="001C2F95" w:rsidRDefault="001C2F95" w:rsidP="001C2F95">
      <w:pPr>
        <w:rPr>
          <w:rFonts w:cs="Arial"/>
          <w:sz w:val="22"/>
        </w:rPr>
      </w:pPr>
    </w:p>
    <w:p w14:paraId="3F88DD77" w14:textId="77777777" w:rsidR="001C2F95" w:rsidRDefault="001C2F95" w:rsidP="001C2F95">
      <w:pPr>
        <w:rPr>
          <w:rFonts w:cs="Arial"/>
          <w:sz w:val="22"/>
        </w:rPr>
      </w:pPr>
    </w:p>
    <w:p w14:paraId="00A4F3CE" w14:textId="77777777" w:rsidR="001C2F95" w:rsidRDefault="001C2F95" w:rsidP="001C2F95">
      <w:pPr>
        <w:rPr>
          <w:rFonts w:cs="Arial"/>
          <w:sz w:val="22"/>
        </w:rPr>
      </w:pPr>
    </w:p>
    <w:p w14:paraId="5329C395" w14:textId="77777777" w:rsidR="001C2F95" w:rsidRDefault="001C2F95" w:rsidP="001C2F95">
      <w:pPr>
        <w:rPr>
          <w:rFonts w:cs="Arial"/>
          <w:sz w:val="22"/>
        </w:rPr>
      </w:pPr>
    </w:p>
    <w:p w14:paraId="0441093E" w14:textId="77777777" w:rsidR="001C2F95" w:rsidRDefault="001C2F95" w:rsidP="001C2F95">
      <w:pPr>
        <w:rPr>
          <w:rFonts w:cs="Arial"/>
          <w:sz w:val="22"/>
        </w:rPr>
      </w:pPr>
    </w:p>
    <w:p w14:paraId="4E0C53DC" w14:textId="77777777" w:rsidR="001C2F95" w:rsidRDefault="001C2F95" w:rsidP="001C2F95">
      <w:pPr>
        <w:rPr>
          <w:rFonts w:cs="Arial"/>
          <w:sz w:val="22"/>
        </w:rPr>
      </w:pPr>
    </w:p>
    <w:p w14:paraId="49F9EB93" w14:textId="77777777" w:rsidR="001C2F95" w:rsidRDefault="001C2F95" w:rsidP="001C2F95">
      <w:pPr>
        <w:rPr>
          <w:rFonts w:cs="Arial"/>
          <w:sz w:val="22"/>
        </w:rPr>
      </w:pPr>
    </w:p>
    <w:p w14:paraId="13CF3947" w14:textId="77777777" w:rsidR="001C2F95" w:rsidRDefault="001C2F95" w:rsidP="001C2F95">
      <w:pPr>
        <w:rPr>
          <w:rFonts w:cs="Arial"/>
          <w:sz w:val="22"/>
        </w:rPr>
      </w:pPr>
    </w:p>
    <w:p w14:paraId="0FD5083A" w14:textId="77777777" w:rsidR="001C2F95" w:rsidRDefault="001C2F95" w:rsidP="001C2F95">
      <w:pPr>
        <w:rPr>
          <w:rFonts w:cs="Arial"/>
          <w:sz w:val="22"/>
        </w:rPr>
      </w:pPr>
    </w:p>
    <w:p w14:paraId="7AA94BB8" w14:textId="77777777" w:rsidR="001C2F95" w:rsidRDefault="001C2F95" w:rsidP="001C2F95">
      <w:pPr>
        <w:rPr>
          <w:rFonts w:cs="Arial"/>
          <w:sz w:val="22"/>
        </w:rPr>
      </w:pPr>
    </w:p>
    <w:p w14:paraId="4BCAC9F4" w14:textId="77777777" w:rsidR="001C2F95" w:rsidRDefault="001C2F95" w:rsidP="001C2F95">
      <w:pPr>
        <w:rPr>
          <w:rFonts w:cs="Arial"/>
          <w:sz w:val="22"/>
        </w:rPr>
      </w:pPr>
    </w:p>
    <w:p w14:paraId="3DB27613" w14:textId="77777777" w:rsidR="0042181A" w:rsidRDefault="0042181A" w:rsidP="001C2F95">
      <w:pPr>
        <w:rPr>
          <w:rFonts w:cs="Arial"/>
          <w:sz w:val="22"/>
        </w:rPr>
      </w:pPr>
    </w:p>
    <w:p w14:paraId="026887FB" w14:textId="77777777" w:rsidR="0042181A" w:rsidRDefault="0042181A" w:rsidP="001C2F95">
      <w:pPr>
        <w:rPr>
          <w:rFonts w:cs="Arial"/>
          <w:sz w:val="22"/>
        </w:rPr>
      </w:pPr>
    </w:p>
    <w:p w14:paraId="7F3549D3" w14:textId="77777777" w:rsidR="0042181A" w:rsidRDefault="0042181A" w:rsidP="001C2F95">
      <w:pPr>
        <w:rPr>
          <w:rFonts w:cs="Arial"/>
          <w:sz w:val="22"/>
        </w:rPr>
      </w:pPr>
    </w:p>
    <w:p w14:paraId="3A5E12D9" w14:textId="77777777" w:rsidR="0042181A" w:rsidRDefault="0042181A" w:rsidP="001C2F95">
      <w:pPr>
        <w:rPr>
          <w:rFonts w:cs="Arial"/>
          <w:sz w:val="22"/>
        </w:rPr>
      </w:pPr>
    </w:p>
    <w:p w14:paraId="4605EEAA" w14:textId="77777777" w:rsidR="0042181A" w:rsidRDefault="0042181A" w:rsidP="001C2F95">
      <w:pPr>
        <w:rPr>
          <w:rFonts w:cs="Arial"/>
          <w:sz w:val="22"/>
        </w:rPr>
      </w:pPr>
    </w:p>
    <w:p w14:paraId="6CA1D5CF" w14:textId="77777777" w:rsidR="0042181A" w:rsidRDefault="0042181A" w:rsidP="001C2F95">
      <w:pPr>
        <w:rPr>
          <w:rFonts w:cs="Arial"/>
          <w:sz w:val="22"/>
        </w:rPr>
      </w:pPr>
    </w:p>
    <w:p w14:paraId="17944F2D" w14:textId="77777777" w:rsidR="0042181A" w:rsidRDefault="0042181A" w:rsidP="001C2F95">
      <w:pPr>
        <w:rPr>
          <w:rFonts w:cs="Arial"/>
          <w:sz w:val="22"/>
        </w:rPr>
      </w:pPr>
    </w:p>
    <w:p w14:paraId="2FAE3742" w14:textId="77777777" w:rsidR="0042181A" w:rsidRDefault="0042181A" w:rsidP="001C2F95">
      <w:pPr>
        <w:rPr>
          <w:rFonts w:cs="Arial"/>
          <w:sz w:val="22"/>
        </w:rPr>
      </w:pPr>
    </w:p>
    <w:p w14:paraId="498AA482" w14:textId="77777777" w:rsidR="0042181A" w:rsidRDefault="0042181A" w:rsidP="001C2F95">
      <w:pPr>
        <w:rPr>
          <w:rFonts w:cs="Arial"/>
          <w:sz w:val="22"/>
        </w:rPr>
      </w:pPr>
    </w:p>
    <w:p w14:paraId="66D5FEA5" w14:textId="77777777" w:rsidR="001C2F95" w:rsidRPr="009A7F3A" w:rsidRDefault="001C2F95" w:rsidP="001C2F95">
      <w:pPr>
        <w:rPr>
          <w:rFonts w:cs="Arial"/>
          <w:sz w:val="22"/>
        </w:rPr>
      </w:pPr>
      <w:bookmarkStart w:id="475" w:name="_Toc70451663"/>
      <w:r w:rsidRPr="00C87DC9">
        <w:rPr>
          <w:rFonts w:cs="Arial"/>
          <w:sz w:val="22"/>
        </w:rPr>
        <w:t xml:space="preserve">Tableau </w:t>
      </w:r>
      <w:r w:rsidRPr="00C87DC9">
        <w:rPr>
          <w:rFonts w:cs="Arial"/>
          <w:sz w:val="22"/>
        </w:rPr>
        <w:fldChar w:fldCharType="begin"/>
      </w:r>
      <w:r w:rsidRPr="00C87DC9">
        <w:rPr>
          <w:rFonts w:cs="Arial"/>
          <w:sz w:val="22"/>
        </w:rPr>
        <w:instrText xml:space="preserve"> SEQ Tableau \* ARABIC </w:instrText>
      </w:r>
      <w:r w:rsidRPr="00C87DC9">
        <w:rPr>
          <w:rFonts w:cs="Arial"/>
          <w:sz w:val="22"/>
        </w:rPr>
        <w:fldChar w:fldCharType="separate"/>
      </w:r>
      <w:r w:rsidR="001260B3">
        <w:rPr>
          <w:rFonts w:cs="Arial"/>
          <w:noProof/>
          <w:sz w:val="22"/>
        </w:rPr>
        <w:t>17</w:t>
      </w:r>
      <w:r w:rsidRPr="00C87DC9">
        <w:rPr>
          <w:rFonts w:cs="Arial"/>
          <w:sz w:val="22"/>
        </w:rPr>
        <w:fldChar w:fldCharType="end"/>
      </w:r>
      <w:r w:rsidRPr="00C87DC9">
        <w:rPr>
          <w:rFonts w:cs="Arial"/>
          <w:sz w:val="22"/>
        </w:rPr>
        <w:t>.</w:t>
      </w:r>
      <w:r>
        <w:rPr>
          <w:rFonts w:cs="Arial"/>
          <w:sz w:val="22"/>
        </w:rPr>
        <w:t xml:space="preserve"> Impacts positifs</w:t>
      </w:r>
      <w:bookmarkEnd w:id="475"/>
    </w:p>
    <w:p w14:paraId="3A96DD9A" w14:textId="77777777" w:rsidR="001C2F95" w:rsidRPr="009A7F3A" w:rsidRDefault="001C2F95" w:rsidP="001C2F95">
      <w:pPr>
        <w:rPr>
          <w:rFonts w:cs="Arial"/>
          <w:sz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831"/>
        <w:gridCol w:w="3073"/>
        <w:gridCol w:w="3796"/>
      </w:tblGrid>
      <w:tr w:rsidR="00BB0401" w:rsidRPr="009A7F3A" w14:paraId="15A435E5" w14:textId="77777777" w:rsidTr="00730A4A">
        <w:trPr>
          <w:trHeight w:val="501"/>
          <w:tblHeader/>
        </w:trPr>
        <w:tc>
          <w:tcPr>
            <w:tcW w:w="1790" w:type="dxa"/>
            <w:shd w:val="clear" w:color="auto" w:fill="auto"/>
          </w:tcPr>
          <w:p w14:paraId="48C038BB" w14:textId="77777777" w:rsidR="001C2F95" w:rsidRPr="00730A4A" w:rsidRDefault="001C2F95" w:rsidP="00730A4A">
            <w:pPr>
              <w:spacing w:line="240" w:lineRule="auto"/>
              <w:jc w:val="center"/>
              <w:rPr>
                <w:rFonts w:cs="Arial"/>
                <w:sz w:val="22"/>
                <w:lang w:eastAsia="en-US"/>
              </w:rPr>
            </w:pPr>
            <w:r w:rsidRPr="00730A4A">
              <w:rPr>
                <w:rFonts w:cs="Arial"/>
                <w:b/>
                <w:sz w:val="22"/>
                <w:lang w:eastAsia="en-US"/>
              </w:rPr>
              <w:t>Composante du projet</w:t>
            </w:r>
          </w:p>
        </w:tc>
        <w:tc>
          <w:tcPr>
            <w:tcW w:w="1831" w:type="dxa"/>
            <w:shd w:val="clear" w:color="auto" w:fill="auto"/>
          </w:tcPr>
          <w:p w14:paraId="114D4B55" w14:textId="77777777" w:rsidR="001C2F95" w:rsidRPr="00730A4A" w:rsidRDefault="001C2F95" w:rsidP="00730A4A">
            <w:pPr>
              <w:spacing w:line="240" w:lineRule="auto"/>
              <w:jc w:val="center"/>
              <w:rPr>
                <w:rFonts w:cs="Arial"/>
                <w:sz w:val="22"/>
                <w:lang w:eastAsia="en-US"/>
              </w:rPr>
            </w:pPr>
            <w:r w:rsidRPr="00730A4A">
              <w:rPr>
                <w:rFonts w:cs="Arial"/>
                <w:b/>
                <w:sz w:val="22"/>
                <w:lang w:eastAsia="en-US"/>
              </w:rPr>
              <w:t>Sous composante</w:t>
            </w:r>
          </w:p>
        </w:tc>
        <w:tc>
          <w:tcPr>
            <w:tcW w:w="3073" w:type="dxa"/>
            <w:shd w:val="clear" w:color="auto" w:fill="auto"/>
          </w:tcPr>
          <w:p w14:paraId="5D4FB6D9" w14:textId="77777777" w:rsidR="001C2F95" w:rsidRPr="00730A4A" w:rsidRDefault="001C2F95" w:rsidP="00730A4A">
            <w:pPr>
              <w:spacing w:line="240" w:lineRule="auto"/>
              <w:jc w:val="center"/>
              <w:rPr>
                <w:rFonts w:cs="Arial"/>
                <w:b/>
                <w:sz w:val="10"/>
                <w:szCs w:val="10"/>
                <w:lang w:eastAsia="en-US"/>
              </w:rPr>
            </w:pPr>
          </w:p>
          <w:p w14:paraId="56267ACC" w14:textId="77777777" w:rsidR="001C2F95" w:rsidRPr="00730A4A" w:rsidRDefault="001C2F95" w:rsidP="00730A4A">
            <w:pPr>
              <w:spacing w:line="240" w:lineRule="auto"/>
              <w:jc w:val="center"/>
              <w:rPr>
                <w:rFonts w:cs="Arial"/>
                <w:sz w:val="22"/>
                <w:lang w:eastAsia="en-US"/>
              </w:rPr>
            </w:pPr>
            <w:r w:rsidRPr="00730A4A">
              <w:rPr>
                <w:rFonts w:cs="Arial"/>
                <w:b/>
                <w:sz w:val="22"/>
                <w:lang w:eastAsia="en-US"/>
              </w:rPr>
              <w:t>Activités</w:t>
            </w:r>
          </w:p>
        </w:tc>
        <w:tc>
          <w:tcPr>
            <w:tcW w:w="3796" w:type="dxa"/>
            <w:shd w:val="clear" w:color="auto" w:fill="auto"/>
          </w:tcPr>
          <w:p w14:paraId="1D41C764" w14:textId="77777777" w:rsidR="001C2F95" w:rsidRPr="00730A4A" w:rsidRDefault="001C2F95" w:rsidP="00730A4A">
            <w:pPr>
              <w:spacing w:line="240" w:lineRule="auto"/>
              <w:jc w:val="center"/>
              <w:rPr>
                <w:rFonts w:cs="Arial"/>
                <w:b/>
                <w:sz w:val="10"/>
                <w:szCs w:val="10"/>
                <w:lang w:eastAsia="en-US"/>
              </w:rPr>
            </w:pPr>
          </w:p>
          <w:p w14:paraId="7F8B14A7" w14:textId="77777777" w:rsidR="001C2F95" w:rsidRPr="00730A4A" w:rsidRDefault="001C2F95" w:rsidP="00730A4A">
            <w:pPr>
              <w:spacing w:line="240" w:lineRule="auto"/>
              <w:jc w:val="center"/>
              <w:rPr>
                <w:rFonts w:cs="Arial"/>
                <w:sz w:val="22"/>
                <w:lang w:eastAsia="en-US"/>
              </w:rPr>
            </w:pPr>
            <w:r w:rsidRPr="00730A4A">
              <w:rPr>
                <w:rFonts w:cs="Arial"/>
                <w:b/>
                <w:sz w:val="22"/>
                <w:lang w:eastAsia="en-US"/>
              </w:rPr>
              <w:t>Impacts positifs</w:t>
            </w:r>
          </w:p>
        </w:tc>
      </w:tr>
      <w:tr w:rsidR="00BB0401" w:rsidRPr="009A7F3A" w14:paraId="4D1776A5" w14:textId="77777777" w:rsidTr="00730A4A">
        <w:trPr>
          <w:trHeight w:val="5819"/>
        </w:trPr>
        <w:tc>
          <w:tcPr>
            <w:tcW w:w="1790" w:type="dxa"/>
            <w:vMerge w:val="restart"/>
            <w:shd w:val="clear" w:color="auto" w:fill="auto"/>
            <w:vAlign w:val="center"/>
          </w:tcPr>
          <w:p w14:paraId="57B442F8" w14:textId="77777777" w:rsidR="001C2F95" w:rsidRPr="00730A4A" w:rsidRDefault="001C2F95" w:rsidP="00730A4A">
            <w:pPr>
              <w:numPr>
                <w:ilvl w:val="0"/>
                <w:numId w:val="98"/>
              </w:numPr>
              <w:autoSpaceDN w:val="0"/>
              <w:spacing w:line="240" w:lineRule="auto"/>
              <w:ind w:left="313" w:hanging="284"/>
              <w:rPr>
                <w:rFonts w:cs="Arial"/>
                <w:sz w:val="22"/>
              </w:rPr>
            </w:pPr>
            <w:r w:rsidRPr="00730A4A">
              <w:rPr>
                <w:rFonts w:cs="Arial"/>
                <w:sz w:val="22"/>
              </w:rPr>
              <w:t>Productivité agricole</w:t>
            </w:r>
          </w:p>
          <w:p w14:paraId="397A0773" w14:textId="77777777" w:rsidR="001C2F95" w:rsidRPr="00730A4A" w:rsidRDefault="001C2F95" w:rsidP="00730A4A">
            <w:pPr>
              <w:spacing w:line="240" w:lineRule="auto"/>
              <w:rPr>
                <w:rFonts w:cs="Arial"/>
                <w:sz w:val="22"/>
                <w:lang w:eastAsia="en-US"/>
              </w:rPr>
            </w:pPr>
          </w:p>
        </w:tc>
        <w:tc>
          <w:tcPr>
            <w:tcW w:w="1831" w:type="dxa"/>
            <w:shd w:val="clear" w:color="auto" w:fill="auto"/>
            <w:vAlign w:val="center"/>
          </w:tcPr>
          <w:p w14:paraId="197C9B13" w14:textId="77777777" w:rsidR="001C2F95" w:rsidRPr="00730A4A" w:rsidRDefault="001C2F95" w:rsidP="00730A4A">
            <w:pPr>
              <w:spacing w:line="240" w:lineRule="auto"/>
              <w:rPr>
                <w:rFonts w:cs="Arial"/>
                <w:sz w:val="22"/>
                <w:lang w:eastAsia="en-US"/>
              </w:rPr>
            </w:pPr>
            <w:r w:rsidRPr="00730A4A">
              <w:rPr>
                <w:rFonts w:cs="Arial"/>
                <w:sz w:val="22"/>
                <w:lang w:eastAsia="en-US"/>
              </w:rPr>
              <w:t>Soutien direct aux petits exploitants</w:t>
            </w:r>
          </w:p>
        </w:tc>
        <w:tc>
          <w:tcPr>
            <w:tcW w:w="3073" w:type="dxa"/>
            <w:shd w:val="clear" w:color="auto" w:fill="auto"/>
            <w:vAlign w:val="center"/>
          </w:tcPr>
          <w:p w14:paraId="5C55E8A4" w14:textId="77777777" w:rsidR="001C2F95" w:rsidRPr="00730A4A" w:rsidRDefault="001C2F95" w:rsidP="00730A4A">
            <w:pPr>
              <w:spacing w:line="240" w:lineRule="auto"/>
              <w:rPr>
                <w:rFonts w:cs="Arial"/>
                <w:sz w:val="22"/>
                <w:lang w:eastAsia="en-US"/>
              </w:rPr>
            </w:pPr>
            <w:r w:rsidRPr="00730A4A">
              <w:rPr>
                <w:rFonts w:cs="Arial"/>
                <w:color w:val="222222"/>
                <w:sz w:val="22"/>
              </w:rPr>
              <w:t>Aide directe aux petits exploitants agricoles pour adoption des pratiques, technologies et intrants CSA (agriculture intelligente face au climat) et AIN (agriculture intelligente face à la nutrition) (semences, plants, races animales, services de conseil et de vulgarisation).</w:t>
            </w:r>
          </w:p>
        </w:tc>
        <w:tc>
          <w:tcPr>
            <w:tcW w:w="3796" w:type="dxa"/>
            <w:shd w:val="clear" w:color="auto" w:fill="auto"/>
          </w:tcPr>
          <w:p w14:paraId="66CAB304" w14:textId="77777777" w:rsidR="001C2F95" w:rsidRPr="00730A4A" w:rsidRDefault="004A0620"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Création des bases des données pour</w:t>
            </w:r>
            <w:r w:rsidR="001C2F95" w:rsidRPr="00730A4A">
              <w:rPr>
                <w:rFonts w:cs="Arial"/>
                <w:sz w:val="22"/>
                <w:lang w:eastAsia="en-US"/>
              </w:rPr>
              <w:t xml:space="preserve"> les opérateurs agricoles dans les provinces concernées par le PNDA</w:t>
            </w:r>
            <w:r w:rsidR="00640EB7" w:rsidRPr="00730A4A">
              <w:rPr>
                <w:rFonts w:cs="Arial"/>
                <w:sz w:val="22"/>
                <w:lang w:eastAsia="en-US"/>
              </w:rPr>
              <w:t> ;</w:t>
            </w:r>
          </w:p>
          <w:p w14:paraId="09429FAF" w14:textId="77777777" w:rsidR="00640EB7" w:rsidRPr="00730A4A" w:rsidRDefault="00640EB7"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50 pour cent des bénéficiaires de l’aide directe devront être des femmes, tel qu’indiqué dans le document de programme ;</w:t>
            </w:r>
          </w:p>
          <w:p w14:paraId="5BF4C062"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Conception des instruments de pr</w:t>
            </w:r>
            <w:r w:rsidR="00906FF9" w:rsidRPr="00730A4A">
              <w:rPr>
                <w:rFonts w:cs="Arial"/>
                <w:sz w:val="22"/>
                <w:lang w:eastAsia="en-US"/>
              </w:rPr>
              <w:t>e</w:t>
            </w:r>
            <w:r w:rsidRPr="00730A4A">
              <w:rPr>
                <w:rFonts w:cs="Arial"/>
                <w:sz w:val="22"/>
                <w:lang w:eastAsia="en-US"/>
              </w:rPr>
              <w:t>station du soutien direct aux agriculteurs</w:t>
            </w:r>
          </w:p>
          <w:p w14:paraId="57855833"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color w:val="222222"/>
                <w:sz w:val="22"/>
              </w:rPr>
              <w:t xml:space="preserve">Développement de l’agriculture intelligente face au climat (CSA), telles que l’agroforesterie, les systèmes d’irrigation à la ferme, l’agriculture de conservation et l’application de fumier, </w:t>
            </w:r>
          </w:p>
          <w:p w14:paraId="31958C3F"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color w:val="222222"/>
                <w:sz w:val="22"/>
              </w:rPr>
              <w:t>Renforcement des capacités sur la technique moderne agricole aux petits exploitants sur la résilience face aux risques liés au changement climatique, tels que la sécheresse et les inondations</w:t>
            </w:r>
          </w:p>
          <w:p w14:paraId="5132200E"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color w:val="222222"/>
                <w:sz w:val="22"/>
              </w:rPr>
            </w:pPr>
            <w:r w:rsidRPr="00730A4A">
              <w:rPr>
                <w:rFonts w:cs="Arial"/>
                <w:color w:val="222222"/>
                <w:sz w:val="22"/>
              </w:rPr>
              <w:t>Développement de l’agriculture Intelligente face à la Nutrition</w:t>
            </w:r>
          </w:p>
          <w:p w14:paraId="0B04AAC1" w14:textId="77777777" w:rsidR="004A0620" w:rsidRPr="00730A4A" w:rsidRDefault="004A0620"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color w:val="222222"/>
                <w:sz w:val="22"/>
              </w:rPr>
              <w:t>Fourniture d’intrants agricoles et des services aux petits exploitants</w:t>
            </w:r>
          </w:p>
        </w:tc>
      </w:tr>
      <w:tr w:rsidR="00BB0401" w:rsidRPr="009A7F3A" w14:paraId="05EE8F24" w14:textId="77777777" w:rsidTr="00730A4A">
        <w:trPr>
          <w:trHeight w:val="143"/>
        </w:trPr>
        <w:tc>
          <w:tcPr>
            <w:tcW w:w="1790" w:type="dxa"/>
            <w:vMerge/>
            <w:shd w:val="clear" w:color="auto" w:fill="auto"/>
          </w:tcPr>
          <w:p w14:paraId="182F6B31" w14:textId="77777777" w:rsidR="001C2F95" w:rsidRPr="00730A4A" w:rsidRDefault="001C2F95" w:rsidP="00730A4A">
            <w:pPr>
              <w:spacing w:line="240" w:lineRule="auto"/>
              <w:rPr>
                <w:rFonts w:cs="Arial"/>
                <w:sz w:val="22"/>
                <w:lang w:eastAsia="en-US"/>
              </w:rPr>
            </w:pPr>
          </w:p>
        </w:tc>
        <w:tc>
          <w:tcPr>
            <w:tcW w:w="1831" w:type="dxa"/>
            <w:shd w:val="clear" w:color="auto" w:fill="auto"/>
            <w:vAlign w:val="center"/>
          </w:tcPr>
          <w:p w14:paraId="6E2FE2B5" w14:textId="77777777" w:rsidR="001C2F95" w:rsidRPr="00730A4A" w:rsidRDefault="001C2F95" w:rsidP="00730A4A">
            <w:pPr>
              <w:spacing w:line="240" w:lineRule="auto"/>
              <w:rPr>
                <w:rFonts w:cs="Arial"/>
                <w:sz w:val="22"/>
                <w:lang w:eastAsia="en-US"/>
              </w:rPr>
            </w:pPr>
            <w:r w:rsidRPr="00730A4A">
              <w:rPr>
                <w:rFonts w:cs="Arial"/>
                <w:color w:val="222222"/>
                <w:sz w:val="22"/>
              </w:rPr>
              <w:t>Assistance technique et accès financier aux petits exploitants</w:t>
            </w:r>
          </w:p>
        </w:tc>
        <w:tc>
          <w:tcPr>
            <w:tcW w:w="3073" w:type="dxa"/>
            <w:shd w:val="clear" w:color="auto" w:fill="auto"/>
            <w:vAlign w:val="center"/>
          </w:tcPr>
          <w:p w14:paraId="3E192487" w14:textId="77777777" w:rsidR="001C2F95" w:rsidRPr="00730A4A" w:rsidRDefault="001C2F95" w:rsidP="00730A4A">
            <w:pPr>
              <w:spacing w:line="240" w:lineRule="auto"/>
              <w:rPr>
                <w:rFonts w:cs="Arial"/>
                <w:sz w:val="22"/>
                <w:lang w:eastAsia="en-US"/>
              </w:rPr>
            </w:pPr>
            <w:r w:rsidRPr="00730A4A">
              <w:rPr>
                <w:rFonts w:cs="Arial"/>
                <w:color w:val="222222"/>
                <w:sz w:val="22"/>
              </w:rPr>
              <w:t>Accès à l’assistance technique et aux services financiers, promotion de meilleures pratiques et amélioration de la productivité des petits exploitants</w:t>
            </w:r>
          </w:p>
        </w:tc>
        <w:tc>
          <w:tcPr>
            <w:tcW w:w="3796" w:type="dxa"/>
            <w:shd w:val="clear" w:color="auto" w:fill="auto"/>
          </w:tcPr>
          <w:p w14:paraId="659B22BC"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color w:val="222222"/>
                <w:sz w:val="22"/>
              </w:rPr>
              <w:t xml:space="preserve">Renforcement des capacités des fournisseurs de : </w:t>
            </w:r>
            <w:r w:rsidRPr="00730A4A">
              <w:rPr>
                <w:rFonts w:cs="Arial"/>
                <w:i/>
                <w:color w:val="222222"/>
                <w:sz w:val="22"/>
              </w:rPr>
              <w:t>(i)</w:t>
            </w:r>
            <w:r w:rsidRPr="00730A4A">
              <w:rPr>
                <w:rFonts w:cs="Arial"/>
                <w:color w:val="222222"/>
                <w:sz w:val="22"/>
              </w:rPr>
              <w:t xml:space="preserve"> l’assistance technique aux petits exploitants (publics, privés, ONG), </w:t>
            </w:r>
            <w:r w:rsidRPr="00730A4A">
              <w:rPr>
                <w:rFonts w:cs="Arial"/>
                <w:i/>
                <w:color w:val="222222"/>
                <w:sz w:val="22"/>
              </w:rPr>
              <w:t>(ii)</w:t>
            </w:r>
            <w:r w:rsidRPr="00730A4A">
              <w:rPr>
                <w:rFonts w:cs="Arial"/>
                <w:color w:val="222222"/>
                <w:sz w:val="22"/>
              </w:rPr>
              <w:t xml:space="preserve"> les services l’administration/d’enregistrement foncier et </w:t>
            </w:r>
            <w:r w:rsidRPr="00730A4A">
              <w:rPr>
                <w:rFonts w:cs="Arial"/>
                <w:i/>
                <w:color w:val="222222"/>
                <w:sz w:val="22"/>
              </w:rPr>
              <w:t>(iii)</w:t>
            </w:r>
            <w:r w:rsidRPr="00730A4A">
              <w:rPr>
                <w:rFonts w:cs="Arial"/>
                <w:color w:val="222222"/>
                <w:sz w:val="22"/>
              </w:rPr>
              <w:t xml:space="preserve"> les services financiers, tels que les groupes </w:t>
            </w:r>
            <w:r w:rsidR="000A7CB7" w:rsidRPr="00730A4A">
              <w:rPr>
                <w:rFonts w:cs="Arial"/>
                <w:color w:val="222222"/>
                <w:sz w:val="22"/>
              </w:rPr>
              <w:t>Associations Villageoises</w:t>
            </w:r>
            <w:r w:rsidRPr="00730A4A">
              <w:rPr>
                <w:rFonts w:cs="Arial"/>
                <w:color w:val="222222"/>
                <w:sz w:val="22"/>
              </w:rPr>
              <w:t xml:space="preserve"> d’Epargne et de Crédits (AVEC) - petites caisses villageoises autogérées ;</w:t>
            </w:r>
          </w:p>
          <w:p w14:paraId="0B908262"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color w:val="222222"/>
                <w:sz w:val="22"/>
              </w:rPr>
              <w:t>Soutien d’accès des agriculteurs aux services d’enregistrement des régimes fonciers conventionnels et alternatifs ;</w:t>
            </w:r>
          </w:p>
          <w:p w14:paraId="41E69549"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Meilleure gestion des activités ;</w:t>
            </w:r>
          </w:p>
          <w:p w14:paraId="45F9E763"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 xml:space="preserve">Redynamisation des productions agricoles, pastorales et halieutiques ; </w:t>
            </w:r>
          </w:p>
          <w:p w14:paraId="1F2EA0F3"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Promotion du secteur privé rural ;</w:t>
            </w:r>
          </w:p>
          <w:p w14:paraId="5AE157E7"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 xml:space="preserve">Contribution à la sécurité alimentaire ; </w:t>
            </w:r>
          </w:p>
          <w:p w14:paraId="11F619A7"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 xml:space="preserve">Création de nouveaux débouchés et valorisation des emplois agricoles (réduction du chômage et de l’exode des jeunes ; </w:t>
            </w:r>
          </w:p>
          <w:p w14:paraId="2942E241" w14:textId="77777777" w:rsidR="001C2F95" w:rsidRPr="00730A4A" w:rsidRDefault="009A7F3A" w:rsidP="00730A4A">
            <w:pPr>
              <w:numPr>
                <w:ilvl w:val="0"/>
                <w:numId w:val="97"/>
              </w:numPr>
              <w:suppressAutoHyphens/>
              <w:autoSpaceDN w:val="0"/>
              <w:spacing w:line="240" w:lineRule="auto"/>
              <w:ind w:left="176" w:hanging="142"/>
              <w:textAlignment w:val="baseline"/>
              <w:rPr>
                <w:rFonts w:cs="Arial"/>
                <w:sz w:val="22"/>
              </w:rPr>
            </w:pPr>
            <w:r w:rsidRPr="00730A4A">
              <w:rPr>
                <w:rFonts w:cs="Arial"/>
                <w:sz w:val="22"/>
                <w:lang w:eastAsia="en-US"/>
              </w:rPr>
              <w:t>Opportunités</w:t>
            </w:r>
            <w:r w:rsidR="001C2F95" w:rsidRPr="00730A4A">
              <w:rPr>
                <w:rFonts w:cs="Arial"/>
                <w:sz w:val="22"/>
                <w:lang w:eastAsia="en-US"/>
              </w:rPr>
              <w:t xml:space="preserve"> d’emplois locaux.</w:t>
            </w:r>
          </w:p>
        </w:tc>
      </w:tr>
      <w:tr w:rsidR="00BB0401" w:rsidRPr="009A7F3A" w14:paraId="04FE099C" w14:textId="77777777" w:rsidTr="00730A4A">
        <w:trPr>
          <w:trHeight w:val="143"/>
        </w:trPr>
        <w:tc>
          <w:tcPr>
            <w:tcW w:w="1790" w:type="dxa"/>
            <w:vMerge w:val="restart"/>
            <w:shd w:val="clear" w:color="auto" w:fill="auto"/>
            <w:vAlign w:val="center"/>
          </w:tcPr>
          <w:p w14:paraId="2BF5FC0C" w14:textId="77777777" w:rsidR="005003FC" w:rsidRPr="00730A4A" w:rsidRDefault="005003FC" w:rsidP="00730A4A">
            <w:pPr>
              <w:numPr>
                <w:ilvl w:val="0"/>
                <w:numId w:val="98"/>
              </w:numPr>
              <w:autoSpaceDN w:val="0"/>
              <w:spacing w:line="240" w:lineRule="auto"/>
              <w:ind w:left="313" w:hanging="284"/>
              <w:rPr>
                <w:rFonts w:cs="Arial"/>
                <w:sz w:val="22"/>
              </w:rPr>
            </w:pPr>
            <w:r w:rsidRPr="00730A4A">
              <w:rPr>
                <w:rFonts w:cs="Arial"/>
                <w:sz w:val="22"/>
              </w:rPr>
              <w:t xml:space="preserve">Accès au marché des petits exploitants </w:t>
            </w:r>
          </w:p>
        </w:tc>
        <w:tc>
          <w:tcPr>
            <w:tcW w:w="1831" w:type="dxa"/>
            <w:shd w:val="clear" w:color="auto" w:fill="auto"/>
            <w:vAlign w:val="center"/>
          </w:tcPr>
          <w:p w14:paraId="16D31308" w14:textId="77777777" w:rsidR="005003FC" w:rsidRPr="00730A4A" w:rsidRDefault="009A7F3A" w:rsidP="00730A4A">
            <w:pPr>
              <w:spacing w:line="240" w:lineRule="auto"/>
              <w:rPr>
                <w:rFonts w:cs="Arial"/>
                <w:color w:val="222222"/>
                <w:sz w:val="22"/>
              </w:rPr>
            </w:pPr>
            <w:r w:rsidRPr="00730A4A">
              <w:rPr>
                <w:rFonts w:cs="Arial"/>
                <w:i/>
                <w:sz w:val="22"/>
              </w:rPr>
              <w:t>Institutions Intermédiaires Financiers</w:t>
            </w:r>
          </w:p>
        </w:tc>
        <w:tc>
          <w:tcPr>
            <w:tcW w:w="3073" w:type="dxa"/>
            <w:shd w:val="clear" w:color="auto" w:fill="auto"/>
            <w:vAlign w:val="center"/>
          </w:tcPr>
          <w:p w14:paraId="3A8DD600" w14:textId="77777777" w:rsidR="009A7F3A" w:rsidRPr="00730A4A" w:rsidRDefault="009A7F3A" w:rsidP="000A7CB7">
            <w:pPr>
              <w:rPr>
                <w:rFonts w:cs="Arial"/>
                <w:sz w:val="22"/>
              </w:rPr>
            </w:pPr>
            <w:r w:rsidRPr="00730A4A">
              <w:rPr>
                <w:rFonts w:cs="Arial"/>
                <w:sz w:val="22"/>
              </w:rPr>
              <w:t>Financement des activités des petits exploitants agricoles conformément à la Norme n°9.</w:t>
            </w:r>
          </w:p>
          <w:p w14:paraId="6E578B66" w14:textId="77777777" w:rsidR="005003FC" w:rsidRPr="00730A4A" w:rsidRDefault="005003FC" w:rsidP="00730A4A">
            <w:pPr>
              <w:spacing w:line="240" w:lineRule="auto"/>
              <w:rPr>
                <w:rFonts w:cs="Arial"/>
                <w:sz w:val="22"/>
                <w:lang w:eastAsia="en-US"/>
              </w:rPr>
            </w:pPr>
          </w:p>
        </w:tc>
        <w:tc>
          <w:tcPr>
            <w:tcW w:w="3796" w:type="dxa"/>
            <w:shd w:val="clear" w:color="auto" w:fill="auto"/>
          </w:tcPr>
          <w:p w14:paraId="2F8BBA3F" w14:textId="77777777" w:rsidR="009A7F3A" w:rsidRPr="00730A4A" w:rsidRDefault="009A7F3A"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 xml:space="preserve">Garantir et sécuriser le transfert de fonds destinés </w:t>
            </w:r>
            <w:r w:rsidR="000A7CB7" w:rsidRPr="00730A4A">
              <w:rPr>
                <w:rFonts w:cs="Arial"/>
                <w:sz w:val="22"/>
                <w:lang w:eastAsia="en-US"/>
              </w:rPr>
              <w:t xml:space="preserve">en mettant </w:t>
            </w:r>
            <w:r w:rsidR="000A7CB7" w:rsidRPr="00730A4A">
              <w:rPr>
                <w:rFonts w:cs="Arial"/>
                <w:sz w:val="22"/>
              </w:rPr>
              <w:t xml:space="preserve">à la disposition des exploitants de nombreux autres services, tels que la </w:t>
            </w:r>
            <w:hyperlink r:id="rId96" w:tooltip="Banque électronique" w:history="1">
              <w:r w:rsidR="000A7CB7" w:rsidRPr="00730A4A">
                <w:rPr>
                  <w:rFonts w:cs="Arial"/>
                  <w:sz w:val="22"/>
                </w:rPr>
                <w:t>banque électronique</w:t>
              </w:r>
            </w:hyperlink>
            <w:r w:rsidR="000A7CB7" w:rsidRPr="00730A4A">
              <w:rPr>
                <w:rFonts w:cs="Arial"/>
                <w:sz w:val="22"/>
              </w:rPr>
              <w:t xml:space="preserve">, </w:t>
            </w:r>
            <w:hyperlink r:id="rId97" w:tooltip="Western Union" w:history="1">
              <w:r w:rsidR="000A7CB7" w:rsidRPr="00730A4A">
                <w:rPr>
                  <w:rFonts w:cs="Arial"/>
                  <w:sz w:val="22"/>
                </w:rPr>
                <w:t>Western Union</w:t>
              </w:r>
            </w:hyperlink>
            <w:r w:rsidR="000A7CB7" w:rsidRPr="00730A4A">
              <w:rPr>
                <w:rFonts w:cs="Arial"/>
                <w:sz w:val="22"/>
              </w:rPr>
              <w:t xml:space="preserve">, </w:t>
            </w:r>
            <w:hyperlink r:id="rId98" w:tooltip="MasterCard (carte bancaire)" w:history="1">
              <w:r w:rsidR="000A7CB7" w:rsidRPr="00730A4A">
                <w:rPr>
                  <w:rFonts w:cs="Arial"/>
                  <w:sz w:val="22"/>
                </w:rPr>
                <w:t>MasterCard</w:t>
              </w:r>
            </w:hyperlink>
            <w:r w:rsidR="000A7CB7" w:rsidRPr="00730A4A">
              <w:rPr>
                <w:rFonts w:cs="Arial"/>
                <w:sz w:val="22"/>
                <w:lang w:eastAsia="en-US"/>
              </w:rPr>
              <w:t xml:space="preserve"> </w:t>
            </w:r>
          </w:p>
          <w:p w14:paraId="1E74D5D6" w14:textId="77777777" w:rsidR="000A7CB7" w:rsidRPr="00730A4A" w:rsidRDefault="000A7CB7"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Assurer les opérations de paiement des indemnisations des PAP,</w:t>
            </w:r>
          </w:p>
          <w:p w14:paraId="033C2925" w14:textId="77777777" w:rsidR="000A7CB7" w:rsidRPr="00730A4A" w:rsidRDefault="000A7CB7"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 xml:space="preserve">Faciliter l'accès aux services bancaires à tous, et de financer les petites, moyennes et grandes entreprises </w:t>
            </w:r>
          </w:p>
          <w:p w14:paraId="36031EF9" w14:textId="77777777" w:rsidR="009A7F3A" w:rsidRPr="00730A4A" w:rsidRDefault="009A7F3A"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Faciliter l’octroi des crédits agricoles</w:t>
            </w:r>
            <w:r w:rsidR="000A7CB7" w:rsidRPr="00730A4A">
              <w:rPr>
                <w:rFonts w:cs="Arial"/>
                <w:sz w:val="22"/>
                <w:lang w:eastAsia="en-US"/>
              </w:rPr>
              <w:t xml:space="preserve"> aux exploitants</w:t>
            </w:r>
            <w:r w:rsidRPr="00730A4A">
              <w:rPr>
                <w:rFonts w:cs="Arial"/>
                <w:sz w:val="22"/>
                <w:lang w:eastAsia="en-US"/>
              </w:rPr>
              <w:t xml:space="preserve"> avec des intérêts raisonnables</w:t>
            </w:r>
          </w:p>
          <w:p w14:paraId="30C80895" w14:textId="77777777" w:rsidR="005003FC" w:rsidRPr="00730A4A" w:rsidRDefault="009A7F3A" w:rsidP="00730A4A">
            <w:pPr>
              <w:numPr>
                <w:ilvl w:val="0"/>
                <w:numId w:val="97"/>
              </w:numPr>
              <w:suppressAutoHyphens/>
              <w:autoSpaceDN w:val="0"/>
              <w:spacing w:line="240" w:lineRule="auto"/>
              <w:ind w:left="176" w:hanging="142"/>
              <w:textAlignment w:val="baseline"/>
              <w:rPr>
                <w:rFonts w:cs="Arial"/>
                <w:sz w:val="22"/>
              </w:rPr>
            </w:pPr>
            <w:r w:rsidRPr="00730A4A">
              <w:rPr>
                <w:rFonts w:cs="Arial"/>
                <w:sz w:val="22"/>
                <w:lang w:eastAsia="en-US"/>
              </w:rPr>
              <w:t xml:space="preserve">Prodiguer des conseils et l'assister les bénéficiaires en matière de gestion financière </w:t>
            </w:r>
          </w:p>
        </w:tc>
      </w:tr>
      <w:tr w:rsidR="00BB0401" w:rsidRPr="009A7F3A" w14:paraId="1AA1F888" w14:textId="77777777" w:rsidTr="00730A4A">
        <w:trPr>
          <w:trHeight w:val="143"/>
        </w:trPr>
        <w:tc>
          <w:tcPr>
            <w:tcW w:w="1790" w:type="dxa"/>
            <w:vMerge/>
            <w:shd w:val="clear" w:color="auto" w:fill="auto"/>
            <w:vAlign w:val="center"/>
          </w:tcPr>
          <w:p w14:paraId="20C3521B" w14:textId="77777777" w:rsidR="005003FC" w:rsidRPr="00730A4A" w:rsidRDefault="005003FC" w:rsidP="00730A4A">
            <w:pPr>
              <w:numPr>
                <w:ilvl w:val="0"/>
                <w:numId w:val="98"/>
              </w:numPr>
              <w:autoSpaceDN w:val="0"/>
              <w:spacing w:line="240" w:lineRule="auto"/>
              <w:ind w:left="313" w:hanging="284"/>
              <w:rPr>
                <w:rFonts w:cs="Arial"/>
                <w:sz w:val="22"/>
                <w:lang w:eastAsia="en-US"/>
              </w:rPr>
            </w:pPr>
          </w:p>
        </w:tc>
        <w:tc>
          <w:tcPr>
            <w:tcW w:w="1831" w:type="dxa"/>
            <w:vMerge w:val="restart"/>
            <w:shd w:val="clear" w:color="auto" w:fill="auto"/>
            <w:vAlign w:val="center"/>
          </w:tcPr>
          <w:p w14:paraId="0031A4A3" w14:textId="77777777" w:rsidR="005003FC" w:rsidRPr="00730A4A" w:rsidRDefault="005003FC" w:rsidP="00730A4A">
            <w:pPr>
              <w:spacing w:line="240" w:lineRule="auto"/>
              <w:rPr>
                <w:rFonts w:cs="Arial"/>
                <w:color w:val="222222"/>
                <w:sz w:val="22"/>
              </w:rPr>
            </w:pPr>
            <w:r w:rsidRPr="00730A4A">
              <w:rPr>
                <w:rFonts w:cs="Arial"/>
                <w:color w:val="222222"/>
                <w:sz w:val="22"/>
              </w:rPr>
              <w:t>Infrastructures rurales</w:t>
            </w:r>
          </w:p>
        </w:tc>
        <w:tc>
          <w:tcPr>
            <w:tcW w:w="3073" w:type="dxa"/>
            <w:shd w:val="clear" w:color="auto" w:fill="auto"/>
            <w:vAlign w:val="center"/>
          </w:tcPr>
          <w:p w14:paraId="0B85B7FE" w14:textId="77777777" w:rsidR="005003FC" w:rsidRPr="00730A4A" w:rsidRDefault="005003FC" w:rsidP="00730A4A">
            <w:pPr>
              <w:spacing w:line="240" w:lineRule="auto"/>
              <w:rPr>
                <w:rFonts w:cs="Arial"/>
                <w:sz w:val="22"/>
                <w:lang w:eastAsia="en-US"/>
              </w:rPr>
            </w:pPr>
            <w:r w:rsidRPr="00730A4A">
              <w:rPr>
                <w:rFonts w:cs="Arial"/>
                <w:sz w:val="22"/>
                <w:lang w:eastAsia="en-US"/>
              </w:rPr>
              <w:t>Routes rurales</w:t>
            </w:r>
          </w:p>
        </w:tc>
        <w:tc>
          <w:tcPr>
            <w:tcW w:w="3796" w:type="dxa"/>
            <w:shd w:val="clear" w:color="auto" w:fill="auto"/>
          </w:tcPr>
          <w:p w14:paraId="23F03649"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Amélioration des routes rurales et les corridors de transport prioritaires (y compris les mesures de sécurité fluviale et les sites de lancement dans les voies navigables) afin de libérer le potentiel de production et de commerce des petits exploitants agricoles dans la zone du programme ;</w:t>
            </w:r>
          </w:p>
          <w:p w14:paraId="515F5A69"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Facilitation d’évacuation des produits agricoles suite à la réhabilitation des corridors connectés aux routes principales, voies ferrées et/ou voies navigables opérationnelles dans la zone du Projet ;</w:t>
            </w:r>
          </w:p>
          <w:p w14:paraId="521C5F2C"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Amélioration de la productivité animale par la construction des abattoirs dans la zone du Projet</w:t>
            </w:r>
          </w:p>
          <w:p w14:paraId="257C083B"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Renforcement des capacités des institutions locales afin d’assurer une gestion et une maintenance appropriée et durable des routes rurales dans la zone du Projet ;</w:t>
            </w:r>
          </w:p>
          <w:p w14:paraId="225492D5"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Accès facile aux marchés communautaires et abattoirs</w:t>
            </w:r>
          </w:p>
          <w:p w14:paraId="2191AF3A"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Création d’emploi pour les jeunes du milieu rural à travers le recrutement de la main d’œuvre locale pour les travaux des infrastructures notamment le HIMO</w:t>
            </w:r>
          </w:p>
          <w:p w14:paraId="6CFC003C"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 xml:space="preserve">L’utilisation des intermédiaires financiers </w:t>
            </w:r>
          </w:p>
        </w:tc>
      </w:tr>
      <w:tr w:rsidR="00BB0401" w:rsidRPr="009A7F3A" w14:paraId="3C23BEEC" w14:textId="77777777" w:rsidTr="00730A4A">
        <w:trPr>
          <w:trHeight w:val="143"/>
        </w:trPr>
        <w:tc>
          <w:tcPr>
            <w:tcW w:w="1790" w:type="dxa"/>
            <w:vMerge/>
            <w:shd w:val="clear" w:color="auto" w:fill="auto"/>
          </w:tcPr>
          <w:p w14:paraId="52C84143" w14:textId="77777777" w:rsidR="005003FC" w:rsidRPr="00730A4A" w:rsidRDefault="005003FC" w:rsidP="00730A4A">
            <w:pPr>
              <w:autoSpaceDN w:val="0"/>
              <w:spacing w:line="240" w:lineRule="auto"/>
              <w:rPr>
                <w:rFonts w:cs="Arial"/>
                <w:b/>
                <w:sz w:val="22"/>
              </w:rPr>
            </w:pPr>
          </w:p>
        </w:tc>
        <w:tc>
          <w:tcPr>
            <w:tcW w:w="1831" w:type="dxa"/>
            <w:vMerge/>
            <w:shd w:val="clear" w:color="auto" w:fill="auto"/>
          </w:tcPr>
          <w:p w14:paraId="677C8898" w14:textId="77777777" w:rsidR="005003FC" w:rsidRPr="00730A4A" w:rsidRDefault="005003FC" w:rsidP="00730A4A">
            <w:pPr>
              <w:spacing w:line="240" w:lineRule="auto"/>
              <w:rPr>
                <w:rFonts w:cs="Arial"/>
                <w:color w:val="222222"/>
                <w:sz w:val="22"/>
              </w:rPr>
            </w:pPr>
          </w:p>
        </w:tc>
        <w:tc>
          <w:tcPr>
            <w:tcW w:w="3073" w:type="dxa"/>
            <w:shd w:val="clear" w:color="auto" w:fill="auto"/>
            <w:vAlign w:val="center"/>
          </w:tcPr>
          <w:p w14:paraId="2F912695" w14:textId="77777777" w:rsidR="005003FC" w:rsidRPr="00730A4A" w:rsidRDefault="005003FC" w:rsidP="00730A4A">
            <w:pPr>
              <w:spacing w:line="240" w:lineRule="auto"/>
              <w:rPr>
                <w:rFonts w:cs="Arial"/>
                <w:sz w:val="22"/>
                <w:lang w:eastAsia="en-US"/>
              </w:rPr>
            </w:pPr>
            <w:r w:rsidRPr="00730A4A">
              <w:rPr>
                <w:rFonts w:cs="Arial"/>
                <w:sz w:val="22"/>
                <w:lang w:eastAsia="en-US"/>
              </w:rPr>
              <w:t>Unités de transformation</w:t>
            </w:r>
          </w:p>
        </w:tc>
        <w:tc>
          <w:tcPr>
            <w:tcW w:w="3796" w:type="dxa"/>
            <w:shd w:val="clear" w:color="auto" w:fill="auto"/>
          </w:tcPr>
          <w:p w14:paraId="6E81E32A"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Valorisation des productions agricoles locales ;</w:t>
            </w:r>
          </w:p>
          <w:p w14:paraId="07F4B594"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Limitation des pertes ;</w:t>
            </w:r>
          </w:p>
          <w:p w14:paraId="51E690DB"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Bonne conservation des produits agricoles, halieutiques et animaliers ;</w:t>
            </w:r>
          </w:p>
          <w:p w14:paraId="15501434"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Création d’emplois locaux</w:t>
            </w:r>
          </w:p>
        </w:tc>
      </w:tr>
      <w:tr w:rsidR="00BB0401" w:rsidRPr="009A7F3A" w14:paraId="06E818F4" w14:textId="77777777" w:rsidTr="00730A4A">
        <w:trPr>
          <w:trHeight w:val="143"/>
        </w:trPr>
        <w:tc>
          <w:tcPr>
            <w:tcW w:w="1790" w:type="dxa"/>
            <w:vMerge/>
            <w:shd w:val="clear" w:color="auto" w:fill="auto"/>
          </w:tcPr>
          <w:p w14:paraId="426027C5" w14:textId="77777777" w:rsidR="005003FC" w:rsidRPr="00730A4A" w:rsidRDefault="005003FC" w:rsidP="00730A4A">
            <w:pPr>
              <w:autoSpaceDN w:val="0"/>
              <w:spacing w:line="240" w:lineRule="auto"/>
              <w:rPr>
                <w:rFonts w:cs="Arial"/>
                <w:b/>
                <w:sz w:val="22"/>
              </w:rPr>
            </w:pPr>
          </w:p>
        </w:tc>
        <w:tc>
          <w:tcPr>
            <w:tcW w:w="1831" w:type="dxa"/>
            <w:vMerge/>
            <w:shd w:val="clear" w:color="auto" w:fill="auto"/>
          </w:tcPr>
          <w:p w14:paraId="7DE287B4" w14:textId="77777777" w:rsidR="005003FC" w:rsidRPr="00730A4A" w:rsidRDefault="005003FC" w:rsidP="00730A4A">
            <w:pPr>
              <w:spacing w:line="240" w:lineRule="auto"/>
              <w:rPr>
                <w:rFonts w:cs="Arial"/>
                <w:color w:val="222222"/>
                <w:sz w:val="22"/>
              </w:rPr>
            </w:pPr>
          </w:p>
        </w:tc>
        <w:tc>
          <w:tcPr>
            <w:tcW w:w="3073" w:type="dxa"/>
            <w:shd w:val="clear" w:color="auto" w:fill="auto"/>
            <w:vAlign w:val="center"/>
          </w:tcPr>
          <w:p w14:paraId="767D0E1B" w14:textId="77777777" w:rsidR="005003FC" w:rsidRPr="00730A4A" w:rsidRDefault="005003FC" w:rsidP="00730A4A">
            <w:pPr>
              <w:spacing w:line="240" w:lineRule="auto"/>
              <w:rPr>
                <w:rFonts w:cs="Arial"/>
                <w:sz w:val="22"/>
                <w:lang w:eastAsia="en-US"/>
              </w:rPr>
            </w:pPr>
            <w:r w:rsidRPr="00730A4A">
              <w:rPr>
                <w:rFonts w:cs="Arial"/>
                <w:sz w:val="22"/>
                <w:lang w:eastAsia="en-US"/>
              </w:rPr>
              <w:t>Magasins de stockage</w:t>
            </w:r>
          </w:p>
        </w:tc>
        <w:tc>
          <w:tcPr>
            <w:tcW w:w="3796" w:type="dxa"/>
            <w:shd w:val="clear" w:color="auto" w:fill="auto"/>
          </w:tcPr>
          <w:p w14:paraId="36931C9E"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Construction de magasin induirait à un bon entreposage et conservation des récoltes agricoles ;</w:t>
            </w:r>
          </w:p>
          <w:p w14:paraId="44BDA826"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Construction de magasin de stockage va induire à un bon stockage des semences et des intrants agricoles ;</w:t>
            </w:r>
          </w:p>
          <w:p w14:paraId="3AE88FF9"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Augmentation de la durée de conservation des semences et des intrants agricoles.</w:t>
            </w:r>
          </w:p>
        </w:tc>
      </w:tr>
      <w:tr w:rsidR="00BB0401" w:rsidRPr="009A7F3A" w14:paraId="63107B81" w14:textId="77777777" w:rsidTr="00730A4A">
        <w:trPr>
          <w:trHeight w:val="143"/>
        </w:trPr>
        <w:tc>
          <w:tcPr>
            <w:tcW w:w="1790" w:type="dxa"/>
            <w:vMerge/>
            <w:shd w:val="clear" w:color="auto" w:fill="auto"/>
          </w:tcPr>
          <w:p w14:paraId="111205C9" w14:textId="77777777" w:rsidR="005003FC" w:rsidRPr="00730A4A" w:rsidRDefault="005003FC" w:rsidP="00730A4A">
            <w:pPr>
              <w:autoSpaceDN w:val="0"/>
              <w:spacing w:line="240" w:lineRule="auto"/>
              <w:rPr>
                <w:rFonts w:cs="Arial"/>
                <w:b/>
                <w:sz w:val="22"/>
              </w:rPr>
            </w:pPr>
          </w:p>
        </w:tc>
        <w:tc>
          <w:tcPr>
            <w:tcW w:w="1831" w:type="dxa"/>
            <w:vMerge/>
            <w:shd w:val="clear" w:color="auto" w:fill="auto"/>
          </w:tcPr>
          <w:p w14:paraId="7B74ABE2" w14:textId="77777777" w:rsidR="005003FC" w:rsidRPr="00730A4A" w:rsidRDefault="005003FC" w:rsidP="00730A4A">
            <w:pPr>
              <w:spacing w:line="240" w:lineRule="auto"/>
              <w:rPr>
                <w:rFonts w:cs="Arial"/>
                <w:color w:val="222222"/>
                <w:sz w:val="22"/>
              </w:rPr>
            </w:pPr>
          </w:p>
        </w:tc>
        <w:tc>
          <w:tcPr>
            <w:tcW w:w="3073" w:type="dxa"/>
            <w:shd w:val="clear" w:color="auto" w:fill="auto"/>
            <w:vAlign w:val="center"/>
          </w:tcPr>
          <w:p w14:paraId="45F30253" w14:textId="77777777" w:rsidR="005003FC" w:rsidRPr="00730A4A" w:rsidRDefault="005003FC" w:rsidP="00730A4A">
            <w:pPr>
              <w:spacing w:line="240" w:lineRule="auto"/>
              <w:rPr>
                <w:rFonts w:cs="Arial"/>
                <w:sz w:val="22"/>
                <w:lang w:eastAsia="en-US"/>
              </w:rPr>
            </w:pPr>
            <w:r w:rsidRPr="00730A4A">
              <w:rPr>
                <w:rFonts w:cs="Arial"/>
                <w:sz w:val="22"/>
                <w:lang w:eastAsia="en-US"/>
              </w:rPr>
              <w:t>Marché</w:t>
            </w:r>
          </w:p>
        </w:tc>
        <w:tc>
          <w:tcPr>
            <w:tcW w:w="3796" w:type="dxa"/>
            <w:shd w:val="clear" w:color="auto" w:fill="auto"/>
          </w:tcPr>
          <w:p w14:paraId="16AD027F"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Vente des produits agricoles et halieutiques ;</w:t>
            </w:r>
          </w:p>
          <w:p w14:paraId="06457B89"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Création d’emploi ;</w:t>
            </w:r>
          </w:p>
          <w:p w14:paraId="32A0EF7E"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Augmentation des revenus des producteurs et vendeurs des produits agricoles suite aux crédits accordés par les IF aux petits exploitants agricoles.</w:t>
            </w:r>
          </w:p>
        </w:tc>
      </w:tr>
      <w:tr w:rsidR="00BB0401" w:rsidRPr="009A7F3A" w14:paraId="04113424" w14:textId="77777777" w:rsidTr="00730A4A">
        <w:trPr>
          <w:trHeight w:val="143"/>
        </w:trPr>
        <w:tc>
          <w:tcPr>
            <w:tcW w:w="1790" w:type="dxa"/>
            <w:vMerge/>
            <w:shd w:val="clear" w:color="auto" w:fill="auto"/>
          </w:tcPr>
          <w:p w14:paraId="0A5EEFB0" w14:textId="77777777" w:rsidR="005003FC" w:rsidRPr="00730A4A" w:rsidRDefault="005003FC" w:rsidP="00730A4A">
            <w:pPr>
              <w:spacing w:line="240" w:lineRule="auto"/>
              <w:rPr>
                <w:rFonts w:cs="Arial"/>
                <w:b/>
                <w:sz w:val="22"/>
                <w:lang w:eastAsia="en-US"/>
              </w:rPr>
            </w:pPr>
          </w:p>
        </w:tc>
        <w:tc>
          <w:tcPr>
            <w:tcW w:w="1831" w:type="dxa"/>
            <w:shd w:val="clear" w:color="auto" w:fill="auto"/>
            <w:vAlign w:val="center"/>
          </w:tcPr>
          <w:p w14:paraId="771DF505" w14:textId="77777777" w:rsidR="005003FC" w:rsidRPr="00730A4A" w:rsidRDefault="005003FC" w:rsidP="00730A4A">
            <w:pPr>
              <w:spacing w:line="240" w:lineRule="auto"/>
              <w:rPr>
                <w:rFonts w:cs="Arial"/>
                <w:sz w:val="22"/>
              </w:rPr>
            </w:pPr>
            <w:r w:rsidRPr="00730A4A">
              <w:rPr>
                <w:rFonts w:cs="Arial"/>
                <w:color w:val="222222"/>
                <w:sz w:val="22"/>
              </w:rPr>
              <w:t>Soutien à l’inclusion des petits exploitants dans les chaînes de valeur</w:t>
            </w:r>
          </w:p>
        </w:tc>
        <w:tc>
          <w:tcPr>
            <w:tcW w:w="3073" w:type="dxa"/>
            <w:shd w:val="clear" w:color="auto" w:fill="auto"/>
            <w:vAlign w:val="center"/>
          </w:tcPr>
          <w:p w14:paraId="534DC8F6" w14:textId="77777777" w:rsidR="005003FC" w:rsidRPr="00730A4A" w:rsidDel="00CA5C3A" w:rsidRDefault="005003FC" w:rsidP="00730A4A">
            <w:pPr>
              <w:spacing w:line="240" w:lineRule="auto"/>
              <w:rPr>
                <w:rFonts w:cs="Arial"/>
                <w:sz w:val="22"/>
                <w:lang w:eastAsia="en-US"/>
              </w:rPr>
            </w:pPr>
            <w:r w:rsidRPr="00730A4A">
              <w:rPr>
                <w:rFonts w:cs="Arial"/>
                <w:sz w:val="22"/>
              </w:rPr>
              <w:t>Subventions de contrepartie basées sur une approche axée sur la demande aux groupes de petits exploitants agricoles (coopératives/associations) et aux agro-MPME qui travailleront avec les petits exploitants agricoles bénéficiaires</w:t>
            </w:r>
          </w:p>
        </w:tc>
        <w:tc>
          <w:tcPr>
            <w:tcW w:w="3796" w:type="dxa"/>
            <w:shd w:val="clear" w:color="auto" w:fill="auto"/>
          </w:tcPr>
          <w:p w14:paraId="6A2360DA"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Promotion des groupes de petits exploitants agricoles (coopératives/associations) et des agro-MPME qui travailleront avec les petits exploitants agricoles bénéficiaires</w:t>
            </w:r>
          </w:p>
          <w:p w14:paraId="6A478314"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Appui en intrants et de services agricoles (activités pré-récolte) comme les machines agricoles, semences, engrais, irrigation à la ferme, assistance technique</w:t>
            </w:r>
          </w:p>
          <w:p w14:paraId="547C8815"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Bonne transformation, le transport et/ou la commercialisation de produits agricoles (activités post récolte) ;</w:t>
            </w:r>
          </w:p>
          <w:p w14:paraId="487D6419"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Favoriser l’adhésion et la participation des femmes ainsi que des jeunes agriculteurs (âgés de 18 à 35 ans) aux activités du Programme ;</w:t>
            </w:r>
          </w:p>
          <w:p w14:paraId="0D75DE17"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Aider les petits exploitants à être mieux intégrés dans les chaînes de valeur par la création de marché d’intrants et de produits agricoles locaux durables ;</w:t>
            </w:r>
          </w:p>
          <w:p w14:paraId="7DD5C502"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rPr>
            </w:pPr>
            <w:r w:rsidRPr="00730A4A">
              <w:rPr>
                <w:rFonts w:cs="Arial"/>
                <w:sz w:val="22"/>
              </w:rPr>
              <w:t>Commercialisation de produits agro-alimentaires</w:t>
            </w:r>
          </w:p>
          <w:p w14:paraId="0CF3E7D3" w14:textId="77777777" w:rsidR="005003FC" w:rsidRPr="00730A4A" w:rsidRDefault="005003FC" w:rsidP="00730A4A">
            <w:pPr>
              <w:numPr>
                <w:ilvl w:val="0"/>
                <w:numId w:val="97"/>
              </w:numPr>
              <w:suppressAutoHyphens/>
              <w:autoSpaceDN w:val="0"/>
              <w:spacing w:line="240" w:lineRule="auto"/>
              <w:ind w:left="176" w:hanging="142"/>
              <w:textAlignment w:val="baseline"/>
              <w:rPr>
                <w:rFonts w:cs="Arial"/>
                <w:sz w:val="22"/>
              </w:rPr>
            </w:pPr>
            <w:r w:rsidRPr="00730A4A">
              <w:rPr>
                <w:rFonts w:cs="Arial"/>
                <w:sz w:val="22"/>
              </w:rPr>
              <w:t xml:space="preserve">Octroi des crédits par les IF aux petits exploitants agricoles </w:t>
            </w:r>
          </w:p>
        </w:tc>
      </w:tr>
      <w:tr w:rsidR="00BB0401" w:rsidRPr="009A7F3A" w14:paraId="68C5EE0C" w14:textId="77777777" w:rsidTr="00730A4A">
        <w:trPr>
          <w:trHeight w:val="6838"/>
        </w:trPr>
        <w:tc>
          <w:tcPr>
            <w:tcW w:w="1790" w:type="dxa"/>
            <w:vMerge w:val="restart"/>
            <w:shd w:val="clear" w:color="auto" w:fill="auto"/>
            <w:vAlign w:val="center"/>
          </w:tcPr>
          <w:p w14:paraId="2309FC2E" w14:textId="77777777" w:rsidR="001C2F95" w:rsidRPr="00730A4A" w:rsidRDefault="001C2F95" w:rsidP="00730A4A">
            <w:pPr>
              <w:numPr>
                <w:ilvl w:val="0"/>
                <w:numId w:val="98"/>
              </w:numPr>
              <w:autoSpaceDN w:val="0"/>
              <w:spacing w:line="240" w:lineRule="auto"/>
              <w:ind w:left="313" w:hanging="284"/>
              <w:rPr>
                <w:rFonts w:cs="Arial"/>
                <w:b/>
                <w:sz w:val="22"/>
              </w:rPr>
            </w:pPr>
            <w:r w:rsidRPr="00730A4A">
              <w:rPr>
                <w:rFonts w:cs="Arial"/>
                <w:sz w:val="22"/>
              </w:rPr>
              <w:t>Biens et services publics agricoles</w:t>
            </w:r>
          </w:p>
        </w:tc>
        <w:tc>
          <w:tcPr>
            <w:tcW w:w="1831" w:type="dxa"/>
            <w:shd w:val="clear" w:color="auto" w:fill="auto"/>
            <w:vAlign w:val="center"/>
          </w:tcPr>
          <w:p w14:paraId="511C45E7" w14:textId="77777777" w:rsidR="001C2F95" w:rsidRPr="00730A4A" w:rsidRDefault="001C2F95" w:rsidP="00730A4A">
            <w:pPr>
              <w:spacing w:line="240" w:lineRule="auto"/>
              <w:rPr>
                <w:rFonts w:cs="Arial"/>
                <w:color w:val="222222"/>
                <w:sz w:val="22"/>
              </w:rPr>
            </w:pPr>
            <w:r w:rsidRPr="00730A4A">
              <w:rPr>
                <w:rFonts w:cs="Arial"/>
                <w:sz w:val="22"/>
              </w:rPr>
              <w:t>Renforcement des capacités pour la fourniture de services publics agricoles</w:t>
            </w:r>
          </w:p>
        </w:tc>
        <w:tc>
          <w:tcPr>
            <w:tcW w:w="3073" w:type="dxa"/>
            <w:shd w:val="clear" w:color="auto" w:fill="auto"/>
            <w:vAlign w:val="center"/>
          </w:tcPr>
          <w:p w14:paraId="44B29CEA" w14:textId="77777777" w:rsidR="001C2F95" w:rsidRPr="00730A4A" w:rsidRDefault="001C2F95" w:rsidP="00730A4A">
            <w:pPr>
              <w:spacing w:line="240" w:lineRule="auto"/>
              <w:rPr>
                <w:rFonts w:cs="Arial"/>
                <w:sz w:val="22"/>
                <w:lang w:eastAsia="en-US"/>
              </w:rPr>
            </w:pPr>
            <w:r w:rsidRPr="00730A4A">
              <w:rPr>
                <w:rFonts w:cs="Arial"/>
                <w:color w:val="222222"/>
                <w:sz w:val="22"/>
              </w:rPr>
              <w:t>Renforcement des capacités des Ministères clés</w:t>
            </w:r>
            <w:r w:rsidRPr="00730A4A">
              <w:rPr>
                <w:rFonts w:cs="Arial"/>
                <w:sz w:val="22"/>
              </w:rPr>
              <w:t xml:space="preserve"> (Agriculture, Pêche et Élevage, des Affaires Foncières et du Développement Rural)</w:t>
            </w:r>
            <w:r w:rsidRPr="00730A4A">
              <w:rPr>
                <w:rFonts w:cs="Arial"/>
                <w:color w:val="222222"/>
                <w:sz w:val="22"/>
              </w:rPr>
              <w:t xml:space="preserve"> pour la fourniture de services publics agricoles</w:t>
            </w:r>
          </w:p>
        </w:tc>
        <w:tc>
          <w:tcPr>
            <w:tcW w:w="3796" w:type="dxa"/>
            <w:shd w:val="clear" w:color="auto" w:fill="auto"/>
          </w:tcPr>
          <w:p w14:paraId="133A895D"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 xml:space="preserve">Renforcement des capacités de planification, de coordination, de suivi et d’évaluation aux niveaux national et décentralisé </w:t>
            </w:r>
          </w:p>
          <w:p w14:paraId="47B46BC8"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Renforcement des systèmes de santé animale et végétale afin de soutenir le développement de chaînes d’approvisionnement et de lutter contre les parasites et les maladies ;</w:t>
            </w:r>
          </w:p>
          <w:p w14:paraId="6F97BDEE"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Renforcement des systèmes d’innovation agricole (R &amp; D, vulgarisation et éducation) ;</w:t>
            </w:r>
          </w:p>
          <w:p w14:paraId="2B5E5158"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 xml:space="preserve">Établissement d’un registre des agriculteurs (permettre les investissements </w:t>
            </w:r>
          </w:p>
          <w:p w14:paraId="5C635670"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Renforcement de régime foncier par la modernisation des services d’administration des biens fonciers et la promotion d’approches alternatives ; et</w:t>
            </w:r>
          </w:p>
          <w:p w14:paraId="69F7ECBD"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 xml:space="preserve">Soutien au dialogue entre le secteur public et le secteur privé pour le développement du secteur agricole, </w:t>
            </w:r>
          </w:p>
          <w:p w14:paraId="6741F7A2"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lang w:eastAsia="en-US"/>
              </w:rPr>
              <w:t>Renforcement des capacités des agents services publiques.</w:t>
            </w:r>
          </w:p>
        </w:tc>
      </w:tr>
      <w:tr w:rsidR="00BB0401" w:rsidRPr="009A7F3A" w14:paraId="23763260" w14:textId="77777777" w:rsidTr="00730A4A">
        <w:trPr>
          <w:trHeight w:val="1271"/>
        </w:trPr>
        <w:tc>
          <w:tcPr>
            <w:tcW w:w="1790" w:type="dxa"/>
            <w:vMerge/>
            <w:shd w:val="clear" w:color="auto" w:fill="auto"/>
          </w:tcPr>
          <w:p w14:paraId="0C4A274B" w14:textId="77777777" w:rsidR="001C2F95" w:rsidRPr="00730A4A" w:rsidRDefault="001C2F95" w:rsidP="00730A4A">
            <w:pPr>
              <w:autoSpaceDN w:val="0"/>
              <w:spacing w:line="240" w:lineRule="auto"/>
              <w:rPr>
                <w:rFonts w:cs="Arial"/>
                <w:b/>
                <w:sz w:val="22"/>
              </w:rPr>
            </w:pPr>
          </w:p>
        </w:tc>
        <w:tc>
          <w:tcPr>
            <w:tcW w:w="1831" w:type="dxa"/>
            <w:shd w:val="clear" w:color="auto" w:fill="auto"/>
            <w:vAlign w:val="center"/>
          </w:tcPr>
          <w:p w14:paraId="13D20F10" w14:textId="77777777" w:rsidR="001C2F95" w:rsidRPr="00730A4A" w:rsidRDefault="001C2F95" w:rsidP="00730A4A">
            <w:pPr>
              <w:spacing w:line="240" w:lineRule="auto"/>
              <w:rPr>
                <w:rFonts w:cs="Arial"/>
                <w:color w:val="222222"/>
                <w:sz w:val="22"/>
              </w:rPr>
            </w:pPr>
            <w:r w:rsidRPr="00730A4A">
              <w:rPr>
                <w:rFonts w:cs="Arial"/>
                <w:color w:val="222222"/>
                <w:sz w:val="22"/>
              </w:rPr>
              <w:t>Gestion, suivi et évaluation du programme</w:t>
            </w:r>
          </w:p>
        </w:tc>
        <w:tc>
          <w:tcPr>
            <w:tcW w:w="3073" w:type="dxa"/>
            <w:shd w:val="clear" w:color="auto" w:fill="auto"/>
          </w:tcPr>
          <w:p w14:paraId="7C988FBB" w14:textId="77777777" w:rsidR="001C2F95" w:rsidRPr="00730A4A" w:rsidRDefault="001C2F95" w:rsidP="00730A4A">
            <w:pPr>
              <w:spacing w:line="240" w:lineRule="auto"/>
              <w:rPr>
                <w:rFonts w:cs="Arial"/>
                <w:sz w:val="22"/>
                <w:lang w:eastAsia="en-US"/>
              </w:rPr>
            </w:pPr>
          </w:p>
        </w:tc>
        <w:tc>
          <w:tcPr>
            <w:tcW w:w="3796" w:type="dxa"/>
            <w:shd w:val="clear" w:color="auto" w:fill="auto"/>
          </w:tcPr>
          <w:p w14:paraId="03CEFE9C"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 xml:space="preserve">Bonne gestion de l’Unité de Coordination Nationale du Programme (UCNP) ; </w:t>
            </w:r>
          </w:p>
          <w:p w14:paraId="370A5BF2" w14:textId="77777777" w:rsidR="001C2F95" w:rsidRPr="00730A4A" w:rsidRDefault="001C2F95" w:rsidP="00730A4A">
            <w:pPr>
              <w:numPr>
                <w:ilvl w:val="0"/>
                <w:numId w:val="97"/>
              </w:numPr>
              <w:suppressAutoHyphens/>
              <w:autoSpaceDN w:val="0"/>
              <w:spacing w:line="240" w:lineRule="auto"/>
              <w:ind w:left="176" w:hanging="142"/>
              <w:textAlignment w:val="baseline"/>
              <w:rPr>
                <w:rFonts w:cs="Arial"/>
                <w:sz w:val="22"/>
                <w:lang w:eastAsia="en-US"/>
              </w:rPr>
            </w:pPr>
            <w:r w:rsidRPr="00730A4A">
              <w:rPr>
                <w:rFonts w:cs="Arial"/>
                <w:sz w:val="22"/>
              </w:rPr>
              <w:t>Bon suivi et l’évaluation des activités du programme</w:t>
            </w:r>
          </w:p>
        </w:tc>
      </w:tr>
    </w:tbl>
    <w:p w14:paraId="08775017" w14:textId="77777777" w:rsidR="001C2F95" w:rsidRDefault="001C2F95" w:rsidP="001C2F95">
      <w:pPr>
        <w:rPr>
          <w:rFonts w:cs="Arial"/>
          <w:sz w:val="20"/>
          <w:szCs w:val="20"/>
        </w:rPr>
      </w:pPr>
      <w:bookmarkStart w:id="476" w:name="_Toc487204612"/>
      <w:bookmarkEnd w:id="474"/>
    </w:p>
    <w:p w14:paraId="64483335" w14:textId="77777777" w:rsidR="001C2F95" w:rsidRPr="009552DD" w:rsidRDefault="001C2F95" w:rsidP="001C2F95">
      <w:pPr>
        <w:rPr>
          <w:highlight w:val="yellow"/>
        </w:rPr>
      </w:pPr>
    </w:p>
    <w:p w14:paraId="40E16294" w14:textId="77777777" w:rsidR="001C2F95" w:rsidRPr="00F63752" w:rsidRDefault="001C2F95" w:rsidP="001C2F95">
      <w:pPr>
        <w:pStyle w:val="Titre2"/>
        <w:numPr>
          <w:ilvl w:val="1"/>
          <w:numId w:val="4"/>
        </w:numPr>
        <w:ind w:left="851" w:hanging="425"/>
        <w:rPr>
          <w:rFonts w:cs="Arial"/>
          <w:b/>
          <w:sz w:val="22"/>
          <w:szCs w:val="22"/>
        </w:rPr>
      </w:pPr>
      <w:bookmarkStart w:id="477" w:name="_Toc44626839"/>
      <w:bookmarkStart w:id="478" w:name="_Toc70330423"/>
      <w:r w:rsidRPr="00F63752">
        <w:rPr>
          <w:rFonts w:cs="Arial"/>
          <w:b/>
          <w:sz w:val="22"/>
          <w:szCs w:val="22"/>
        </w:rPr>
        <w:t>Risques et impacts environnementaux et sociaux négatifs</w:t>
      </w:r>
      <w:bookmarkEnd w:id="476"/>
      <w:r w:rsidRPr="00F63752">
        <w:rPr>
          <w:rFonts w:cs="Arial"/>
          <w:b/>
          <w:sz w:val="22"/>
          <w:szCs w:val="22"/>
        </w:rPr>
        <w:t xml:space="preserve"> potentiels</w:t>
      </w:r>
      <w:bookmarkEnd w:id="477"/>
      <w:bookmarkEnd w:id="478"/>
    </w:p>
    <w:p w14:paraId="218F97F1" w14:textId="77777777" w:rsidR="001C2F95" w:rsidRPr="00F63752" w:rsidRDefault="001C2F95" w:rsidP="001C2F95">
      <w:pPr>
        <w:rPr>
          <w:rFonts w:cs="Arial"/>
          <w:bCs/>
          <w:sz w:val="22"/>
        </w:rPr>
      </w:pPr>
    </w:p>
    <w:p w14:paraId="1CC4B9AA" w14:textId="77777777" w:rsidR="001C2F95" w:rsidRDefault="001C2F95" w:rsidP="001C2F95">
      <w:pPr>
        <w:tabs>
          <w:tab w:val="left" w:pos="0"/>
        </w:tabs>
        <w:rPr>
          <w:sz w:val="22"/>
        </w:rPr>
      </w:pPr>
      <w:r w:rsidRPr="00F63752">
        <w:rPr>
          <w:sz w:val="22"/>
        </w:rPr>
        <w:t xml:space="preserve">La nature et l’ampleur des risques et des impacts environnementaux </w:t>
      </w:r>
      <w:r>
        <w:rPr>
          <w:sz w:val="22"/>
        </w:rPr>
        <w:t xml:space="preserve">et sociaux </w:t>
      </w:r>
      <w:r w:rsidRPr="00F63752">
        <w:rPr>
          <w:sz w:val="22"/>
        </w:rPr>
        <w:t>négatifs attendus des activités du projet sont liées aux travaux et aux opérations d</w:t>
      </w:r>
      <w:r>
        <w:rPr>
          <w:sz w:val="22"/>
        </w:rPr>
        <w:t xml:space="preserve">e réhabilitation et </w:t>
      </w:r>
      <w:r w:rsidRPr="00F63752">
        <w:rPr>
          <w:sz w:val="22"/>
        </w:rPr>
        <w:t>entretien des routes</w:t>
      </w:r>
      <w:r>
        <w:rPr>
          <w:sz w:val="22"/>
        </w:rPr>
        <w:t xml:space="preserve"> rurales</w:t>
      </w:r>
      <w:r w:rsidRPr="00F63752">
        <w:rPr>
          <w:sz w:val="22"/>
        </w:rPr>
        <w:t xml:space="preserve">, </w:t>
      </w:r>
      <w:r w:rsidRPr="004D086A">
        <w:rPr>
          <w:rFonts w:cs="Arial"/>
          <w:bCs/>
          <w:sz w:val="22"/>
        </w:rPr>
        <w:t>marchés communautaires, abattoirs</w:t>
      </w:r>
      <w:r>
        <w:rPr>
          <w:rFonts w:cs="Arial"/>
          <w:bCs/>
          <w:sz w:val="22"/>
        </w:rPr>
        <w:t>,</w:t>
      </w:r>
      <w:r w:rsidRPr="004D086A">
        <w:rPr>
          <w:rFonts w:cs="Arial"/>
          <w:bCs/>
          <w:sz w:val="22"/>
        </w:rPr>
        <w:t xml:space="preserve"> activités d’irrigation</w:t>
      </w:r>
      <w:r w:rsidRPr="00F63752">
        <w:rPr>
          <w:sz w:val="22"/>
        </w:rPr>
        <w:t xml:space="preserve"> y compris la santé et la sécurité au travail et la gestion des espèces envahissantes, ainsi qu’aux activités des petits exploitants agricoles ruraux telles que l’utilisation de pesticides, les risques naturels, l’utilisation rationnelle des ressources (eau), l’érosion et la gestion des sols arables.</w:t>
      </w:r>
    </w:p>
    <w:p w14:paraId="421382AD" w14:textId="77777777" w:rsidR="001C2F95" w:rsidRPr="00F63752" w:rsidRDefault="001C2F95" w:rsidP="001C2F95">
      <w:pPr>
        <w:tabs>
          <w:tab w:val="left" w:pos="0"/>
        </w:tabs>
        <w:rPr>
          <w:rFonts w:cs="Arial"/>
          <w:sz w:val="22"/>
        </w:rPr>
      </w:pPr>
    </w:p>
    <w:p w14:paraId="0189117A" w14:textId="77777777" w:rsidR="001C2F95" w:rsidRDefault="001C2F95" w:rsidP="001C2F95">
      <w:pPr>
        <w:pStyle w:val="Titre2"/>
        <w:numPr>
          <w:ilvl w:val="2"/>
          <w:numId w:val="4"/>
        </w:numPr>
        <w:ind w:left="1560" w:hanging="709"/>
        <w:rPr>
          <w:rFonts w:cs="Arial"/>
          <w:i/>
          <w:sz w:val="22"/>
          <w:szCs w:val="22"/>
        </w:rPr>
      </w:pPr>
      <w:bookmarkStart w:id="479" w:name="_Toc261554761"/>
      <w:bookmarkStart w:id="480" w:name="_Toc343715828"/>
      <w:bookmarkStart w:id="481" w:name="_Toc487204613"/>
      <w:bookmarkStart w:id="482" w:name="_Toc44626840"/>
      <w:bookmarkStart w:id="483" w:name="_Toc70330424"/>
      <w:r w:rsidRPr="004D086A">
        <w:rPr>
          <w:rFonts w:cs="Arial"/>
          <w:i/>
          <w:sz w:val="22"/>
          <w:szCs w:val="22"/>
        </w:rPr>
        <w:t>Impacts négatifs globaux communs à tous les sous-projets en phase de travaux</w:t>
      </w:r>
      <w:bookmarkEnd w:id="479"/>
      <w:bookmarkEnd w:id="480"/>
      <w:bookmarkEnd w:id="481"/>
      <w:bookmarkEnd w:id="482"/>
      <w:bookmarkEnd w:id="483"/>
    </w:p>
    <w:p w14:paraId="027014A5" w14:textId="77777777" w:rsidR="001C2F95" w:rsidRDefault="001C2F95" w:rsidP="001C2F95">
      <w:pPr>
        <w:tabs>
          <w:tab w:val="left" w:pos="0"/>
        </w:tabs>
        <w:rPr>
          <w:rFonts w:cs="Arial"/>
          <w:bCs/>
          <w:sz w:val="22"/>
        </w:rPr>
      </w:pPr>
    </w:p>
    <w:p w14:paraId="20D4AE93" w14:textId="77777777" w:rsidR="001C2F95" w:rsidRPr="004D086A" w:rsidRDefault="001C2F95" w:rsidP="001C2F95">
      <w:pPr>
        <w:tabs>
          <w:tab w:val="left" w:pos="0"/>
        </w:tabs>
        <w:rPr>
          <w:rFonts w:cs="Arial"/>
          <w:bCs/>
          <w:sz w:val="22"/>
        </w:rPr>
      </w:pPr>
      <w:r w:rsidRPr="004D086A">
        <w:rPr>
          <w:rFonts w:cs="Arial"/>
          <w:bCs/>
          <w:sz w:val="22"/>
        </w:rPr>
        <w:t>En phases de préparation</w:t>
      </w:r>
      <w:r>
        <w:rPr>
          <w:rFonts w:cs="Arial"/>
          <w:bCs/>
          <w:sz w:val="22"/>
        </w:rPr>
        <w:t>, d’exécution et d’exploitation</w:t>
      </w:r>
      <w:r w:rsidRPr="004D086A">
        <w:rPr>
          <w:rFonts w:cs="Arial"/>
          <w:bCs/>
          <w:sz w:val="22"/>
        </w:rPr>
        <w:t>, les impacts négatifs potentiels globaux présentés ci-dessous sont communs à tous les sous-projets</w:t>
      </w:r>
      <w:r>
        <w:rPr>
          <w:rFonts w:cs="Arial"/>
          <w:bCs/>
          <w:sz w:val="22"/>
        </w:rPr>
        <w:t xml:space="preserve"> des Composantes 1 « Productivité agricole » et 2 « Accès au marché de p</w:t>
      </w:r>
      <w:r w:rsidR="006E5BF4">
        <w:rPr>
          <w:rFonts w:cs="Arial"/>
          <w:bCs/>
          <w:sz w:val="22"/>
        </w:rPr>
        <w:t>e</w:t>
      </w:r>
      <w:r>
        <w:rPr>
          <w:rFonts w:cs="Arial"/>
          <w:bCs/>
          <w:sz w:val="22"/>
        </w:rPr>
        <w:t>tits exploitants »</w:t>
      </w:r>
      <w:r w:rsidR="00EA691F">
        <w:rPr>
          <w:rFonts w:cs="Arial"/>
          <w:bCs/>
          <w:sz w:val="22"/>
        </w:rPr>
        <w:t xml:space="preserve"> ainsi que l</w:t>
      </w:r>
      <w:r w:rsidR="00EA691F" w:rsidRPr="0094318F">
        <w:t>a composante 3 (Biens et services publics agricole/renforcement des capacités des ministères clés)</w:t>
      </w:r>
      <w:r w:rsidR="00EA691F">
        <w:t xml:space="preserve"> </w:t>
      </w:r>
      <w:r w:rsidRPr="004D086A">
        <w:rPr>
          <w:rFonts w:cs="Arial"/>
          <w:bCs/>
          <w:sz w:val="22"/>
        </w:rPr>
        <w:t>suivant les composantes environnementales et sociales :</w:t>
      </w:r>
    </w:p>
    <w:p w14:paraId="1A39F7F6" w14:textId="77777777" w:rsidR="0042181A" w:rsidRDefault="0042181A" w:rsidP="001C2F95">
      <w:pPr>
        <w:autoSpaceDE w:val="0"/>
        <w:autoSpaceDN w:val="0"/>
        <w:adjustRightInd w:val="0"/>
        <w:rPr>
          <w:rFonts w:cs="Arial"/>
          <w:bCs/>
          <w:sz w:val="22"/>
        </w:rPr>
      </w:pPr>
    </w:p>
    <w:p w14:paraId="3CEA4630" w14:textId="77777777" w:rsidR="007C78BF" w:rsidRDefault="007C78BF" w:rsidP="001C2F95">
      <w:pPr>
        <w:autoSpaceDE w:val="0"/>
        <w:autoSpaceDN w:val="0"/>
        <w:adjustRightInd w:val="0"/>
        <w:rPr>
          <w:rFonts w:cs="Arial"/>
          <w:bCs/>
          <w:sz w:val="22"/>
        </w:rPr>
      </w:pPr>
    </w:p>
    <w:p w14:paraId="029368E9" w14:textId="77777777" w:rsidR="007C78BF" w:rsidRDefault="007C78BF" w:rsidP="001C2F95">
      <w:pPr>
        <w:autoSpaceDE w:val="0"/>
        <w:autoSpaceDN w:val="0"/>
        <w:adjustRightInd w:val="0"/>
        <w:rPr>
          <w:rFonts w:cs="Arial"/>
          <w:bCs/>
          <w:sz w:val="22"/>
        </w:rPr>
      </w:pPr>
    </w:p>
    <w:p w14:paraId="6C2C56C2" w14:textId="77777777" w:rsidR="001C2F95" w:rsidRPr="00F63752" w:rsidRDefault="001C2F95" w:rsidP="001C2F95">
      <w:pPr>
        <w:autoSpaceDE w:val="0"/>
        <w:autoSpaceDN w:val="0"/>
        <w:adjustRightInd w:val="0"/>
        <w:rPr>
          <w:rFonts w:cs="Arial"/>
          <w:bCs/>
          <w:i/>
          <w:sz w:val="22"/>
        </w:rPr>
      </w:pPr>
      <w:r w:rsidRPr="00F63752">
        <w:rPr>
          <w:rFonts w:cs="Arial"/>
          <w:bCs/>
          <w:i/>
          <w:sz w:val="22"/>
        </w:rPr>
        <w:t>Sous-composante 1</w:t>
      </w:r>
      <w:r>
        <w:rPr>
          <w:rFonts w:cs="Arial"/>
          <w:bCs/>
          <w:i/>
          <w:sz w:val="22"/>
        </w:rPr>
        <w:t>.1</w:t>
      </w:r>
      <w:r w:rsidRPr="00F63752">
        <w:rPr>
          <w:rFonts w:cs="Arial"/>
          <w:bCs/>
          <w:i/>
          <w:sz w:val="22"/>
        </w:rPr>
        <w:t xml:space="preserve"> : </w:t>
      </w:r>
      <w:r>
        <w:rPr>
          <w:rFonts w:cs="Arial"/>
          <w:bCs/>
          <w:i/>
          <w:sz w:val="22"/>
        </w:rPr>
        <w:t xml:space="preserve">Soutien direct aux petits </w:t>
      </w:r>
      <w:r w:rsidR="006E5BF4">
        <w:rPr>
          <w:rFonts w:cs="Arial"/>
          <w:bCs/>
          <w:i/>
          <w:sz w:val="22"/>
        </w:rPr>
        <w:t>exploitants</w:t>
      </w:r>
      <w:r>
        <w:rPr>
          <w:rFonts w:cs="Arial"/>
          <w:bCs/>
          <w:sz w:val="22"/>
        </w:rPr>
        <w:t> </w:t>
      </w:r>
    </w:p>
    <w:p w14:paraId="7C093F72" w14:textId="77777777" w:rsidR="001C2F95" w:rsidRDefault="001C2F95" w:rsidP="001C2F95">
      <w:pPr>
        <w:autoSpaceDE w:val="0"/>
        <w:autoSpaceDN w:val="0"/>
        <w:adjustRightInd w:val="0"/>
        <w:rPr>
          <w:i/>
        </w:rPr>
      </w:pPr>
    </w:p>
    <w:p w14:paraId="09D3E9A2" w14:textId="77777777" w:rsidR="001C2F95" w:rsidRPr="002541DD" w:rsidDel="00F63752" w:rsidRDefault="001C2F95" w:rsidP="001C2F95">
      <w:pPr>
        <w:pStyle w:val="Titre2"/>
        <w:rPr>
          <w:rFonts w:cs="Arial"/>
          <w:b/>
          <w:i/>
          <w:sz w:val="22"/>
          <w:szCs w:val="22"/>
        </w:rPr>
      </w:pPr>
      <w:bookmarkStart w:id="484" w:name="_Toc64026168"/>
      <w:bookmarkStart w:id="485" w:name="_Toc70327062"/>
      <w:bookmarkStart w:id="486" w:name="_Toc70330425"/>
      <w:r w:rsidRPr="002F3F87" w:rsidDel="00F63752">
        <w:rPr>
          <w:rFonts w:cs="Arial"/>
          <w:i/>
          <w:sz w:val="22"/>
          <w:szCs w:val="22"/>
        </w:rPr>
        <w:t xml:space="preserve">Impacts négatifs de </w:t>
      </w:r>
      <w:r w:rsidRPr="003B61F7" w:rsidDel="00F63752">
        <w:rPr>
          <w:rFonts w:cs="Arial"/>
          <w:i/>
          <w:sz w:val="22"/>
          <w:szCs w:val="22"/>
        </w:rPr>
        <w:t>distribution</w:t>
      </w:r>
      <w:r w:rsidRPr="00107FA7" w:rsidDel="00F63752">
        <w:rPr>
          <w:rFonts w:cs="Arial"/>
          <w:i/>
          <w:sz w:val="22"/>
          <w:szCs w:val="22"/>
        </w:rPr>
        <w:t xml:space="preserve"> des semences </w:t>
      </w:r>
      <w:r w:rsidRPr="00835267" w:rsidDel="00F63752">
        <w:rPr>
          <w:rFonts w:cs="Arial"/>
          <w:i/>
          <w:sz w:val="22"/>
          <w:szCs w:val="22"/>
        </w:rPr>
        <w:t>ou aides directes aux petits exploitants agricoles</w:t>
      </w:r>
      <w:bookmarkEnd w:id="484"/>
      <w:bookmarkEnd w:id="485"/>
      <w:bookmarkEnd w:id="486"/>
    </w:p>
    <w:p w14:paraId="21B6B103" w14:textId="77777777" w:rsidR="001C2F95" w:rsidRDefault="001C2F95" w:rsidP="001C2F95">
      <w:pPr>
        <w:rPr>
          <w:rFonts w:cs="Arial"/>
          <w:bCs/>
          <w:iCs/>
          <w:sz w:val="22"/>
        </w:rPr>
      </w:pPr>
    </w:p>
    <w:p w14:paraId="78B18CAA" w14:textId="77777777" w:rsidR="001C2F95" w:rsidRPr="00010F6E" w:rsidDel="00F63752" w:rsidRDefault="001C2F95" w:rsidP="001C2F95">
      <w:pPr>
        <w:autoSpaceDE w:val="0"/>
        <w:autoSpaceDN w:val="0"/>
        <w:adjustRightInd w:val="0"/>
        <w:rPr>
          <w:rFonts w:cs="Arial"/>
          <w:sz w:val="22"/>
          <w:u w:val="single"/>
        </w:rPr>
      </w:pPr>
      <w:r w:rsidRPr="00010F6E" w:rsidDel="00F63752">
        <w:rPr>
          <w:rFonts w:cs="Arial"/>
          <w:sz w:val="22"/>
          <w:u w:val="single"/>
        </w:rPr>
        <w:t>En phase de sélection des ménages et renforcement des capacités :</w:t>
      </w:r>
    </w:p>
    <w:p w14:paraId="4E6E4806" w14:textId="77777777" w:rsidR="001C2F95" w:rsidRPr="00070CB4" w:rsidDel="00F63752" w:rsidRDefault="001C2F95" w:rsidP="001C2F95">
      <w:pPr>
        <w:rPr>
          <w:rFonts w:cs="Arial"/>
          <w:bCs/>
          <w:iCs/>
          <w:sz w:val="22"/>
        </w:rPr>
      </w:pPr>
    </w:p>
    <w:p w14:paraId="77CDE82A" w14:textId="77777777" w:rsidR="001C2F95" w:rsidRPr="00730A4A" w:rsidDel="00F63752" w:rsidRDefault="001C2F95" w:rsidP="001C2F95">
      <w:pPr>
        <w:rPr>
          <w:rFonts w:cs="Arial"/>
          <w:color w:val="000000"/>
          <w:sz w:val="22"/>
        </w:rPr>
      </w:pPr>
      <w:r w:rsidRPr="00730A4A" w:rsidDel="00F63752">
        <w:rPr>
          <w:rFonts w:cs="Arial"/>
          <w:color w:val="000000"/>
          <w:sz w:val="22"/>
        </w:rPr>
        <w:t xml:space="preserve">Quoique salutaire, la distribution des semences ou aides directes aux petits exploitants agricoles pourraient générer quelques impacts négatifs liés au non-respect des paramètres fixés pour la sélection des ménages bénéficiaires de ladite distribution notamment </w:t>
      </w:r>
      <w:r w:rsidRPr="00730A4A">
        <w:rPr>
          <w:rFonts w:cs="Arial"/>
          <w:color w:val="000000"/>
          <w:sz w:val="22"/>
        </w:rPr>
        <w:t xml:space="preserve">le </w:t>
      </w:r>
      <w:r w:rsidRPr="00730A4A" w:rsidDel="00F63752">
        <w:rPr>
          <w:rFonts w:cs="Arial"/>
          <w:color w:val="000000"/>
          <w:sz w:val="22"/>
        </w:rPr>
        <w:t xml:space="preserve">risque de conflits sociaux entre les ménages sélectionnés et non sélectionnés, les ménages où les femmes sont chef de </w:t>
      </w:r>
      <w:r w:rsidRPr="00730A4A">
        <w:rPr>
          <w:rFonts w:cs="Arial"/>
          <w:color w:val="000000"/>
          <w:sz w:val="22"/>
        </w:rPr>
        <w:t>famille</w:t>
      </w:r>
      <w:r w:rsidRPr="00730A4A" w:rsidDel="00F63752">
        <w:rPr>
          <w:rFonts w:cs="Arial"/>
          <w:color w:val="000000"/>
          <w:sz w:val="22"/>
        </w:rPr>
        <w:t xml:space="preserve"> et où elles ne le sont pas ; le non-respect des critères de sélection des ménages éligibles ; le risque de la discrimination des populations autochtones lors de la sélection des ménages vulnérables ; le risque d’une discrimination liée au sexe. Il en est de même lors de renforcement des capacités, les populations autochtones (y compris les femmes) risquent d’être victimes de n’avoir pas bénéficié de la formation sous prétexte qu’elles n’ont pas étudié.</w:t>
      </w:r>
    </w:p>
    <w:p w14:paraId="3150993B" w14:textId="77777777" w:rsidR="001C2F95" w:rsidRPr="00070CB4" w:rsidDel="00F63752" w:rsidRDefault="001C2F95" w:rsidP="001C2F95">
      <w:pPr>
        <w:rPr>
          <w:rFonts w:cs="Arial"/>
          <w:bCs/>
          <w:iCs/>
          <w:sz w:val="22"/>
        </w:rPr>
      </w:pPr>
    </w:p>
    <w:p w14:paraId="7C133D94" w14:textId="77777777" w:rsidR="001C2F95" w:rsidRPr="00070CB4" w:rsidDel="00F63752" w:rsidRDefault="001C2F95" w:rsidP="001C2F95">
      <w:pPr>
        <w:autoSpaceDE w:val="0"/>
        <w:autoSpaceDN w:val="0"/>
        <w:adjustRightInd w:val="0"/>
        <w:rPr>
          <w:rFonts w:cs="Arial"/>
          <w:sz w:val="22"/>
          <w:u w:val="single"/>
        </w:rPr>
      </w:pPr>
      <w:r w:rsidRPr="00070CB4" w:rsidDel="00F63752">
        <w:rPr>
          <w:rFonts w:cs="Arial"/>
          <w:sz w:val="22"/>
          <w:u w:val="single"/>
        </w:rPr>
        <w:t>En phase d’exploitation :</w:t>
      </w:r>
    </w:p>
    <w:p w14:paraId="092E4C1B" w14:textId="77777777" w:rsidR="001C2F95" w:rsidRPr="00070CB4" w:rsidDel="00F63752" w:rsidRDefault="001C2F95" w:rsidP="001C2F95">
      <w:pPr>
        <w:rPr>
          <w:rFonts w:cs="Arial"/>
          <w:bCs/>
          <w:iCs/>
          <w:sz w:val="22"/>
        </w:rPr>
      </w:pPr>
    </w:p>
    <w:p w14:paraId="502A6CAB" w14:textId="77777777" w:rsidR="001C2F95" w:rsidRPr="00070CB4" w:rsidDel="00F63752" w:rsidRDefault="001C2F95" w:rsidP="001C2F95">
      <w:pPr>
        <w:rPr>
          <w:rFonts w:cs="Arial"/>
          <w:spacing w:val="-2"/>
          <w:sz w:val="22"/>
        </w:rPr>
      </w:pPr>
      <w:r w:rsidRPr="00070CB4" w:rsidDel="00F63752">
        <w:rPr>
          <w:rFonts w:cs="Arial"/>
          <w:spacing w:val="-2"/>
          <w:sz w:val="22"/>
        </w:rPr>
        <w:t>Le risque de non implication des populations autochtones et d’autres groupes vulnérables comme les personnes vivant avec handicap, les vieillards, les jeunes filles/femmes dans les mesures d’accompagnement pour encourager un changement de comportement visant les bonnes pratiques et de la nouvelle technologie agricole avec un impact sur l’état nutritionnel et le développement de la petite enfance, les pratiques familiales essentielles ainsi que le bien-être et la productivité agricoles des ménages bénéficiaires.</w:t>
      </w:r>
    </w:p>
    <w:p w14:paraId="0697B331" w14:textId="77777777" w:rsidR="001C2F95" w:rsidRPr="00730A4A" w:rsidDel="00F63752" w:rsidRDefault="001C2F95" w:rsidP="001C2F95">
      <w:pPr>
        <w:rPr>
          <w:rFonts w:cs="Arial"/>
          <w:color w:val="000000"/>
          <w:spacing w:val="-2"/>
          <w:sz w:val="22"/>
        </w:rPr>
      </w:pPr>
    </w:p>
    <w:p w14:paraId="04C214D4" w14:textId="77777777" w:rsidR="001C2F95" w:rsidRPr="00730A4A" w:rsidDel="00F63752" w:rsidRDefault="001C2F95" w:rsidP="001C2F95">
      <w:pPr>
        <w:pStyle w:val="Titre2"/>
        <w:rPr>
          <w:rFonts w:cs="Arial"/>
          <w:i/>
          <w:color w:val="000000"/>
          <w:sz w:val="22"/>
          <w:szCs w:val="22"/>
        </w:rPr>
      </w:pPr>
      <w:bookmarkStart w:id="487" w:name="_Toc64026169"/>
      <w:bookmarkStart w:id="488" w:name="_Toc70327063"/>
      <w:bookmarkStart w:id="489" w:name="_Toc70330426"/>
      <w:r w:rsidRPr="00730A4A" w:rsidDel="00F63752">
        <w:rPr>
          <w:rFonts w:cs="Arial"/>
          <w:i/>
          <w:color w:val="000000"/>
          <w:sz w:val="22"/>
          <w:szCs w:val="22"/>
        </w:rPr>
        <w:t>Impacts négatifs de travaux de la production agricole (activités culturales)</w:t>
      </w:r>
      <w:bookmarkEnd w:id="487"/>
      <w:bookmarkEnd w:id="488"/>
      <w:bookmarkEnd w:id="489"/>
    </w:p>
    <w:p w14:paraId="24A5BB12" w14:textId="77777777" w:rsidR="001C2F95" w:rsidRPr="00730A4A" w:rsidDel="00F63752" w:rsidRDefault="001C2F95" w:rsidP="001C2F95">
      <w:pPr>
        <w:rPr>
          <w:rFonts w:cs="Arial"/>
          <w:color w:val="000000"/>
          <w:sz w:val="22"/>
        </w:rPr>
      </w:pPr>
    </w:p>
    <w:p w14:paraId="050661E8" w14:textId="77777777" w:rsidR="001C2F95" w:rsidRPr="00730A4A" w:rsidDel="00F63752" w:rsidRDefault="001C2F95" w:rsidP="001C2F95">
      <w:pPr>
        <w:rPr>
          <w:rFonts w:cs="Arial"/>
          <w:i/>
          <w:color w:val="000000"/>
          <w:sz w:val="22"/>
        </w:rPr>
      </w:pPr>
      <w:r w:rsidRPr="00730A4A" w:rsidDel="00F63752">
        <w:rPr>
          <w:rFonts w:cs="Arial"/>
          <w:i/>
          <w:color w:val="000000"/>
          <w:sz w:val="22"/>
        </w:rPr>
        <w:t>Impacts sur la flore</w:t>
      </w:r>
    </w:p>
    <w:p w14:paraId="60E6B5E1" w14:textId="77777777" w:rsidR="001C2F95" w:rsidRPr="00730A4A" w:rsidRDefault="001C2F95" w:rsidP="001C2F95">
      <w:pPr>
        <w:rPr>
          <w:rFonts w:cs="Arial"/>
          <w:color w:val="000000"/>
          <w:sz w:val="22"/>
        </w:rPr>
      </w:pPr>
    </w:p>
    <w:p w14:paraId="0DDC6636" w14:textId="77777777" w:rsidR="001C2F95" w:rsidRPr="00730A4A" w:rsidRDefault="001C2F95" w:rsidP="001C2F95">
      <w:pPr>
        <w:rPr>
          <w:color w:val="000000"/>
          <w:sz w:val="22"/>
        </w:rPr>
      </w:pPr>
      <w:r w:rsidRPr="00730A4A">
        <w:rPr>
          <w:color w:val="000000"/>
          <w:sz w:val="22"/>
        </w:rPr>
        <w:t>Les aménagements agricoles vont nécessairement s’accompagner d’une intensification culturale et entraîner une augmentation de l’utilisation des pesticides et des engrais d’où les impacts probables négatifs sur la végétation suivantes : déboisements lors des défrichements pour la préparation des parcelles agricoles vont entraîner la perte de la végétation par la déforestation, la perturbation et la destruction des habitats naturels et des écosystèmes sensibles pouvant provoquer une baisse de la diversité biologique et des ressources forestières ; destruction de la microfaune et de la matière organique avec émission des gaz à effet de serre en cas de brûlis ; risque de développement de la résistance de la part de certains parasites et de développement de nouvelles formes d’attaques des plantes, la destruction des non cibles par les pesticides.</w:t>
      </w:r>
    </w:p>
    <w:p w14:paraId="5B49E78E" w14:textId="77777777" w:rsidR="001C2F95" w:rsidRPr="00730A4A" w:rsidRDefault="001C2F95" w:rsidP="001C2F95">
      <w:pPr>
        <w:pStyle w:val="Paragraphedeliste"/>
        <w:rPr>
          <w:rFonts w:cs="Arial"/>
          <w:color w:val="000000"/>
          <w:sz w:val="22"/>
        </w:rPr>
      </w:pPr>
    </w:p>
    <w:p w14:paraId="3D45066E" w14:textId="77777777" w:rsidR="001C2F95" w:rsidRPr="00070CB4" w:rsidRDefault="001C2F95" w:rsidP="001C2F95">
      <w:pPr>
        <w:autoSpaceDE w:val="0"/>
        <w:autoSpaceDN w:val="0"/>
        <w:adjustRightInd w:val="0"/>
        <w:rPr>
          <w:i/>
          <w:sz w:val="22"/>
        </w:rPr>
      </w:pPr>
      <w:r w:rsidRPr="00070CB4">
        <w:rPr>
          <w:i/>
          <w:sz w:val="22"/>
        </w:rPr>
        <w:t>Impacts négatifs des pare-feu</w:t>
      </w:r>
    </w:p>
    <w:p w14:paraId="1C148D9E" w14:textId="77777777" w:rsidR="001C2F95" w:rsidRPr="00070CB4" w:rsidRDefault="001C2F95" w:rsidP="001C2F95">
      <w:pPr>
        <w:autoSpaceDE w:val="0"/>
        <w:autoSpaceDN w:val="0"/>
        <w:adjustRightInd w:val="0"/>
        <w:rPr>
          <w:sz w:val="22"/>
        </w:rPr>
      </w:pPr>
      <w:r w:rsidRPr="00070CB4">
        <w:rPr>
          <w:sz w:val="22"/>
        </w:rPr>
        <w:t xml:space="preserve"> </w:t>
      </w:r>
    </w:p>
    <w:p w14:paraId="5B89B034" w14:textId="77777777" w:rsidR="001C2F95" w:rsidRPr="00070CB4" w:rsidRDefault="001C2F95" w:rsidP="001C2F95">
      <w:pPr>
        <w:autoSpaceDE w:val="0"/>
        <w:autoSpaceDN w:val="0"/>
        <w:adjustRightInd w:val="0"/>
        <w:rPr>
          <w:sz w:val="22"/>
        </w:rPr>
      </w:pPr>
      <w:r w:rsidRPr="00070CB4">
        <w:rPr>
          <w:sz w:val="22"/>
        </w:rPr>
        <w:t xml:space="preserve">La réalisation de </w:t>
      </w:r>
      <w:r w:rsidR="00B00942" w:rsidRPr="00070CB4">
        <w:rPr>
          <w:sz w:val="22"/>
        </w:rPr>
        <w:t>pare-feu</w:t>
      </w:r>
      <w:r w:rsidRPr="00070CB4">
        <w:rPr>
          <w:sz w:val="22"/>
        </w:rPr>
        <w:t xml:space="preserve"> pour contenir la propagation des feux de brousse devra nécessiter un débroussaillage consistant de nature à entraîner une perte de végétation et une dégradation des habitats naturels. </w:t>
      </w:r>
    </w:p>
    <w:p w14:paraId="4C399182" w14:textId="77777777" w:rsidR="0042181A" w:rsidRDefault="0042181A" w:rsidP="001C2F95">
      <w:pPr>
        <w:rPr>
          <w:rFonts w:cs="Arial"/>
          <w:color w:val="FF0000"/>
          <w:sz w:val="22"/>
        </w:rPr>
      </w:pPr>
    </w:p>
    <w:p w14:paraId="5790012A" w14:textId="77777777" w:rsidR="007C78BF" w:rsidRDefault="007C78BF" w:rsidP="001C2F95">
      <w:pPr>
        <w:rPr>
          <w:rFonts w:cs="Arial"/>
          <w:color w:val="FF0000"/>
          <w:sz w:val="22"/>
        </w:rPr>
      </w:pPr>
    </w:p>
    <w:p w14:paraId="4A899966" w14:textId="77777777" w:rsidR="007C78BF" w:rsidRDefault="007C78BF" w:rsidP="001C2F95">
      <w:pPr>
        <w:rPr>
          <w:rFonts w:cs="Arial"/>
          <w:color w:val="FF0000"/>
          <w:sz w:val="22"/>
        </w:rPr>
      </w:pPr>
    </w:p>
    <w:p w14:paraId="1BCEC289" w14:textId="77777777" w:rsidR="007C78BF" w:rsidRPr="00070CB4" w:rsidDel="00F63752" w:rsidRDefault="007C78BF" w:rsidP="001C2F95">
      <w:pPr>
        <w:rPr>
          <w:rFonts w:cs="Arial"/>
          <w:color w:val="FF0000"/>
          <w:sz w:val="22"/>
        </w:rPr>
      </w:pPr>
    </w:p>
    <w:p w14:paraId="6609CB7F" w14:textId="77777777" w:rsidR="001C2F95" w:rsidRPr="00070CB4" w:rsidDel="00F63752" w:rsidRDefault="001C2F95" w:rsidP="001C2F95">
      <w:pPr>
        <w:rPr>
          <w:rFonts w:cs="Arial"/>
          <w:i/>
          <w:sz w:val="22"/>
        </w:rPr>
      </w:pPr>
      <w:r w:rsidRPr="00070CB4" w:rsidDel="00F63752">
        <w:rPr>
          <w:rFonts w:cs="Arial"/>
          <w:i/>
          <w:sz w:val="22"/>
        </w:rPr>
        <w:t>Impacts sur la faune</w:t>
      </w:r>
    </w:p>
    <w:p w14:paraId="20D0BD27" w14:textId="77777777" w:rsidR="001C2F95" w:rsidRPr="00730A4A" w:rsidDel="00F63752" w:rsidRDefault="001C2F95" w:rsidP="001C2F95">
      <w:pPr>
        <w:rPr>
          <w:rFonts w:cs="Arial"/>
          <w:color w:val="000000"/>
          <w:sz w:val="22"/>
        </w:rPr>
      </w:pPr>
    </w:p>
    <w:p w14:paraId="02F537DF" w14:textId="77777777" w:rsidR="001C2F95" w:rsidRPr="00730A4A" w:rsidDel="00F63752" w:rsidRDefault="001C2F95" w:rsidP="001C2F95">
      <w:pPr>
        <w:rPr>
          <w:rFonts w:cs="Arial"/>
          <w:color w:val="000000"/>
          <w:sz w:val="22"/>
        </w:rPr>
      </w:pPr>
      <w:r w:rsidRPr="00730A4A" w:rsidDel="00F63752">
        <w:rPr>
          <w:rFonts w:cs="Arial"/>
          <w:color w:val="000000"/>
          <w:sz w:val="22"/>
        </w:rPr>
        <w:t>Les activités d’exploitation des savanes dégradées</w:t>
      </w:r>
      <w:r w:rsidR="00B00942" w:rsidRPr="00730A4A">
        <w:rPr>
          <w:rFonts w:cs="Arial"/>
          <w:color w:val="000000"/>
          <w:sz w:val="22"/>
        </w:rPr>
        <w:t xml:space="preserve"> </w:t>
      </w:r>
      <w:r w:rsidRPr="00730A4A" w:rsidDel="00F63752">
        <w:rPr>
          <w:rFonts w:cs="Arial"/>
          <w:color w:val="000000"/>
          <w:sz w:val="22"/>
        </w:rPr>
        <w:t>au profit de la production</w:t>
      </w:r>
      <w:r w:rsidRPr="00730A4A">
        <w:rPr>
          <w:rFonts w:cs="Arial"/>
          <w:color w:val="000000"/>
          <w:sz w:val="22"/>
        </w:rPr>
        <w:t xml:space="preserve"> agricole auront   contribué à </w:t>
      </w:r>
      <w:r w:rsidRPr="00730A4A" w:rsidDel="00F63752">
        <w:rPr>
          <w:rFonts w:cs="Arial"/>
          <w:color w:val="000000"/>
          <w:sz w:val="22"/>
        </w:rPr>
        <w:t>la destruction de l’habitat des rongeurs  et là la perturbation des réserves alimentaires  des ruminants</w:t>
      </w:r>
      <w:r w:rsidRPr="00730A4A">
        <w:rPr>
          <w:rFonts w:cs="Arial"/>
          <w:color w:val="000000"/>
          <w:sz w:val="22"/>
        </w:rPr>
        <w:t>.</w:t>
      </w:r>
      <w:r w:rsidRPr="00730A4A" w:rsidDel="00F63752">
        <w:rPr>
          <w:rFonts w:cs="Arial"/>
          <w:color w:val="000000"/>
          <w:sz w:val="22"/>
        </w:rPr>
        <w:t xml:space="preserve">  Pa</w:t>
      </w:r>
      <w:r w:rsidRPr="00730A4A">
        <w:rPr>
          <w:rFonts w:cs="Arial"/>
          <w:color w:val="000000"/>
          <w:sz w:val="22"/>
        </w:rPr>
        <w:t>r</w:t>
      </w:r>
      <w:r w:rsidRPr="00730A4A" w:rsidDel="00F63752">
        <w:rPr>
          <w:rFonts w:cs="Arial"/>
          <w:color w:val="000000"/>
          <w:sz w:val="22"/>
        </w:rPr>
        <w:t xml:space="preserve"> contre, l’imp</w:t>
      </w:r>
      <w:r w:rsidRPr="00730A4A">
        <w:rPr>
          <w:rFonts w:cs="Arial"/>
          <w:color w:val="000000"/>
          <w:sz w:val="22"/>
        </w:rPr>
        <w:t xml:space="preserve">act des différentes activités </w:t>
      </w:r>
      <w:r w:rsidRPr="00730A4A" w:rsidDel="00F63752">
        <w:rPr>
          <w:rFonts w:cs="Arial"/>
          <w:color w:val="000000"/>
          <w:sz w:val="22"/>
        </w:rPr>
        <w:t>seront favorables à la conservation de la diversité biologique dans les forêts et à la de restauration des habitats naturels des Provinces concernées.</w:t>
      </w:r>
    </w:p>
    <w:p w14:paraId="146D0A0E" w14:textId="77777777" w:rsidR="001C2F95" w:rsidRPr="00730A4A" w:rsidDel="00F63752" w:rsidRDefault="001C2F95" w:rsidP="001C2F95">
      <w:pPr>
        <w:rPr>
          <w:rFonts w:cs="Arial"/>
          <w:color w:val="000000"/>
          <w:sz w:val="22"/>
        </w:rPr>
      </w:pPr>
    </w:p>
    <w:p w14:paraId="36277CBA" w14:textId="77777777" w:rsidR="001C2F95" w:rsidRPr="00730A4A" w:rsidDel="00F63752" w:rsidRDefault="001C2F95" w:rsidP="001C2F95">
      <w:pPr>
        <w:rPr>
          <w:rFonts w:cs="Arial"/>
          <w:i/>
          <w:color w:val="000000"/>
          <w:sz w:val="22"/>
        </w:rPr>
      </w:pPr>
      <w:r w:rsidRPr="00730A4A" w:rsidDel="00F63752">
        <w:rPr>
          <w:rFonts w:cs="Arial"/>
          <w:i/>
          <w:color w:val="000000"/>
          <w:sz w:val="22"/>
        </w:rPr>
        <w:t>Impacts sur les ressources en eau</w:t>
      </w:r>
    </w:p>
    <w:p w14:paraId="23E8BA8C" w14:textId="77777777" w:rsidR="001C2F95" w:rsidRPr="00730A4A" w:rsidDel="00F63752" w:rsidRDefault="001C2F95" w:rsidP="001C2F95">
      <w:pPr>
        <w:rPr>
          <w:rFonts w:cs="Arial"/>
          <w:color w:val="000000"/>
          <w:sz w:val="22"/>
        </w:rPr>
      </w:pPr>
    </w:p>
    <w:p w14:paraId="32495192" w14:textId="77777777" w:rsidR="001C2F95" w:rsidRPr="00730A4A" w:rsidRDefault="001C2F95" w:rsidP="001C2F95">
      <w:pPr>
        <w:rPr>
          <w:rFonts w:cs="Arial"/>
          <w:color w:val="000000"/>
          <w:sz w:val="22"/>
        </w:rPr>
      </w:pPr>
      <w:r w:rsidRPr="00730A4A" w:rsidDel="00F63752">
        <w:rPr>
          <w:rFonts w:cs="Arial"/>
          <w:color w:val="000000"/>
          <w:sz w:val="22"/>
        </w:rPr>
        <w:t>La mise en œuvre des activités de production agricole par la diminution du couvert végétal dans les zones fragiles comme les lits des cours d’eau et en amont des bassins versants pourraient accentuer l’érosion et modifier le débit de pointe des cours d’eau. La qualité de l’eau serait également affectée dans une moindre mesure par les produits du lessivage des terres destinées aux activités agricoles à savoir les fertilisants, les pesticides, les particules de sols érodés</w:t>
      </w:r>
      <w:r w:rsidRPr="00730A4A">
        <w:rPr>
          <w:rFonts w:cs="Arial"/>
          <w:color w:val="000000"/>
          <w:sz w:val="22"/>
        </w:rPr>
        <w:t>.</w:t>
      </w:r>
    </w:p>
    <w:p w14:paraId="41CB172B" w14:textId="77777777" w:rsidR="001C2F95" w:rsidRPr="00730A4A" w:rsidRDefault="001C2F95" w:rsidP="001C2F95">
      <w:pPr>
        <w:rPr>
          <w:rFonts w:cs="Arial"/>
          <w:color w:val="000000"/>
          <w:sz w:val="22"/>
        </w:rPr>
      </w:pPr>
    </w:p>
    <w:p w14:paraId="2744B140" w14:textId="77777777" w:rsidR="001C2F95" w:rsidRPr="00730A4A" w:rsidDel="00F63752" w:rsidRDefault="001C2F95" w:rsidP="001C2F95">
      <w:pPr>
        <w:rPr>
          <w:rFonts w:cs="Arial"/>
          <w:color w:val="000000"/>
          <w:sz w:val="22"/>
        </w:rPr>
      </w:pPr>
      <w:r w:rsidRPr="00730A4A" w:rsidDel="00F63752">
        <w:rPr>
          <w:rFonts w:cs="Arial"/>
          <w:color w:val="000000"/>
          <w:sz w:val="22"/>
        </w:rPr>
        <w:t xml:space="preserve">Il en résulte une détérioration de la qualité de l’eau et donc la limitation des usages en aval. La sur fertilisation des eaux mènera à une eutrophisation des points d’eau et des retenues. En effet ces activités contribueront à augmenter le couvert végétal et à revitaliser et stabiliser les sols des terroirs. </w:t>
      </w:r>
    </w:p>
    <w:p w14:paraId="1150BBEB" w14:textId="77777777" w:rsidR="001C2F95" w:rsidRPr="00730A4A" w:rsidDel="00F63752" w:rsidRDefault="001C2F95" w:rsidP="001C2F95">
      <w:pPr>
        <w:rPr>
          <w:rFonts w:cs="Arial"/>
          <w:color w:val="000000"/>
          <w:sz w:val="22"/>
        </w:rPr>
      </w:pPr>
    </w:p>
    <w:p w14:paraId="6145EDC7" w14:textId="77777777" w:rsidR="001C2F95" w:rsidRPr="00730A4A" w:rsidDel="00F63752" w:rsidRDefault="001C2F95" w:rsidP="001C2F95">
      <w:pPr>
        <w:rPr>
          <w:rFonts w:cs="Arial"/>
          <w:i/>
          <w:color w:val="000000"/>
          <w:sz w:val="22"/>
        </w:rPr>
      </w:pPr>
      <w:r w:rsidRPr="00730A4A" w:rsidDel="00F63752">
        <w:rPr>
          <w:rFonts w:cs="Arial"/>
          <w:i/>
          <w:color w:val="000000"/>
          <w:sz w:val="22"/>
        </w:rPr>
        <w:t>Impacts sur le sol</w:t>
      </w:r>
    </w:p>
    <w:p w14:paraId="52BFC91A" w14:textId="77777777" w:rsidR="001C2F95" w:rsidRPr="00730A4A" w:rsidDel="00F63752" w:rsidRDefault="001C2F95" w:rsidP="001C2F95">
      <w:pPr>
        <w:rPr>
          <w:rFonts w:cs="Arial"/>
          <w:color w:val="000000"/>
          <w:sz w:val="22"/>
        </w:rPr>
      </w:pPr>
    </w:p>
    <w:p w14:paraId="2292D42C" w14:textId="77777777" w:rsidR="001C2F95" w:rsidRPr="00730A4A" w:rsidDel="00F63752" w:rsidRDefault="001C2F95" w:rsidP="001C2F95">
      <w:pPr>
        <w:rPr>
          <w:rFonts w:cs="Arial"/>
          <w:color w:val="000000"/>
          <w:sz w:val="22"/>
        </w:rPr>
      </w:pPr>
      <w:r w:rsidRPr="00730A4A" w:rsidDel="00F63752">
        <w:rPr>
          <w:rFonts w:cs="Arial"/>
          <w:color w:val="000000"/>
          <w:sz w:val="22"/>
        </w:rPr>
        <w:t>L’impact négatif majeur serait l’appauvrissement graduel des sols résultant des activités de production agricoles. L’agriculture constitue la principale source d’impact car elle cause l'épuisement des sols et accélère l’érosion par le défrichement. Les arbres contribuent à la stabilisation des terrains notamment ceux en pente. Le défrichement pourrait entraîner un glissement ou un éboulement de ces derniers</w:t>
      </w:r>
      <w:r w:rsidRPr="00730A4A">
        <w:rPr>
          <w:rFonts w:cs="Arial"/>
          <w:color w:val="000000"/>
          <w:sz w:val="22"/>
        </w:rPr>
        <w:t>.</w:t>
      </w:r>
    </w:p>
    <w:p w14:paraId="75E25AC5" w14:textId="77777777" w:rsidR="001C2F95" w:rsidRPr="00070CB4" w:rsidRDefault="001C2F95" w:rsidP="001C2F95">
      <w:pPr>
        <w:autoSpaceDE w:val="0"/>
        <w:autoSpaceDN w:val="0"/>
        <w:adjustRightInd w:val="0"/>
        <w:rPr>
          <w:sz w:val="22"/>
        </w:rPr>
      </w:pPr>
    </w:p>
    <w:p w14:paraId="07C14004" w14:textId="77777777" w:rsidR="001C2F95" w:rsidRPr="00070CB4" w:rsidRDefault="001C2F95" w:rsidP="001C2F95">
      <w:pPr>
        <w:suppressAutoHyphens/>
        <w:rPr>
          <w:rFonts w:cs="Arial"/>
          <w:i/>
          <w:sz w:val="22"/>
        </w:rPr>
      </w:pPr>
      <w:r w:rsidRPr="00070CB4">
        <w:rPr>
          <w:rFonts w:cs="Arial"/>
          <w:i/>
          <w:sz w:val="22"/>
        </w:rPr>
        <w:t xml:space="preserve">Fortes pressions et risques de dégradation des ressources en eau </w:t>
      </w:r>
    </w:p>
    <w:p w14:paraId="1BC18417" w14:textId="77777777" w:rsidR="001C2F95" w:rsidRPr="00070CB4" w:rsidRDefault="001C2F95" w:rsidP="001C2F95">
      <w:pPr>
        <w:rPr>
          <w:rFonts w:cs="Arial"/>
          <w:sz w:val="22"/>
        </w:rPr>
      </w:pPr>
    </w:p>
    <w:p w14:paraId="69F52764" w14:textId="77777777" w:rsidR="001C2F95" w:rsidRPr="00070CB4" w:rsidRDefault="001C2F95" w:rsidP="001C2F95">
      <w:pPr>
        <w:rPr>
          <w:rFonts w:cs="Arial"/>
          <w:sz w:val="22"/>
        </w:rPr>
      </w:pPr>
      <w:r w:rsidRPr="00070CB4">
        <w:rPr>
          <w:rFonts w:cs="Arial"/>
          <w:sz w:val="22"/>
        </w:rPr>
        <w:t xml:space="preserve">Les pratiques agricoles, notamment l’irrigation, vont très certainement nécessiter l’utilisation des quantités non négligeables de ces ressources, si des techniques et technologies durables et à faible consommation ne sont pas mises en œuvre. En termes de dégradation des ressources, la principale cause de pollution des eaux pourrait être l’utilisation irrationnelle d’engrais et pesticides. </w:t>
      </w:r>
    </w:p>
    <w:p w14:paraId="7CF51AA4" w14:textId="77777777" w:rsidR="001C2F95" w:rsidRPr="00070CB4" w:rsidRDefault="001C2F95" w:rsidP="001C2F95">
      <w:pPr>
        <w:autoSpaceDE w:val="0"/>
        <w:autoSpaceDN w:val="0"/>
        <w:adjustRightInd w:val="0"/>
        <w:rPr>
          <w:sz w:val="22"/>
        </w:rPr>
      </w:pPr>
    </w:p>
    <w:p w14:paraId="620BF452" w14:textId="77777777" w:rsidR="001C2F95" w:rsidRPr="00070CB4" w:rsidRDefault="001C2F95" w:rsidP="001C2F95">
      <w:pPr>
        <w:autoSpaceDE w:val="0"/>
        <w:autoSpaceDN w:val="0"/>
        <w:adjustRightInd w:val="0"/>
        <w:rPr>
          <w:i/>
          <w:sz w:val="22"/>
        </w:rPr>
      </w:pPr>
      <w:r w:rsidRPr="00070CB4">
        <w:rPr>
          <w:i/>
          <w:sz w:val="22"/>
        </w:rPr>
        <w:t xml:space="preserve">Aménagement de bas-fonds pour la promotion des cultures irriguées </w:t>
      </w:r>
    </w:p>
    <w:p w14:paraId="7FA8D99B" w14:textId="77777777" w:rsidR="001C2F95" w:rsidRPr="00070CB4" w:rsidRDefault="001C2F95" w:rsidP="001C2F95">
      <w:pPr>
        <w:autoSpaceDE w:val="0"/>
        <w:autoSpaceDN w:val="0"/>
        <w:adjustRightInd w:val="0"/>
        <w:rPr>
          <w:sz w:val="22"/>
        </w:rPr>
      </w:pPr>
    </w:p>
    <w:p w14:paraId="0BB11E20" w14:textId="77777777" w:rsidR="001C2F95" w:rsidRPr="00070CB4" w:rsidRDefault="001C2F95" w:rsidP="001C2F95">
      <w:pPr>
        <w:autoSpaceDE w:val="0"/>
        <w:autoSpaceDN w:val="0"/>
        <w:adjustRightInd w:val="0"/>
        <w:rPr>
          <w:i/>
          <w:sz w:val="22"/>
        </w:rPr>
      </w:pPr>
      <w:r w:rsidRPr="00070CB4">
        <w:rPr>
          <w:i/>
          <w:sz w:val="22"/>
        </w:rPr>
        <w:t>Phase de travaux :</w:t>
      </w:r>
    </w:p>
    <w:p w14:paraId="24DD6D32" w14:textId="77777777" w:rsidR="00B00942" w:rsidRDefault="00B00942" w:rsidP="001C2F95">
      <w:pPr>
        <w:autoSpaceDE w:val="0"/>
        <w:autoSpaceDN w:val="0"/>
        <w:adjustRightInd w:val="0"/>
        <w:rPr>
          <w:sz w:val="22"/>
        </w:rPr>
      </w:pPr>
    </w:p>
    <w:p w14:paraId="5DB2DA26" w14:textId="77777777" w:rsidR="001C2F95" w:rsidRPr="00070CB4" w:rsidRDefault="001C2F95" w:rsidP="001C2F95">
      <w:pPr>
        <w:autoSpaceDE w:val="0"/>
        <w:autoSpaceDN w:val="0"/>
        <w:adjustRightInd w:val="0"/>
        <w:rPr>
          <w:sz w:val="22"/>
        </w:rPr>
      </w:pPr>
      <w:r w:rsidRPr="00070CB4">
        <w:rPr>
          <w:sz w:val="22"/>
        </w:rPr>
        <w:t xml:space="preserve">Les activités d’aménagement de bas-fond pourraient induire au risque des défrichements de zones boisées ; perturbation d’écosystèmes fragiles (zones humides) pouvant provoquer une baisse de la diversité biologique ; destruction de nurseries de plusieurs espèces d'intérêt écologique et gîtes de certains reptiles, batraciens et autres lézards et insectes ; et pertes de terres auparavant destinées au pâturage. </w:t>
      </w:r>
    </w:p>
    <w:p w14:paraId="3167CC7B" w14:textId="77777777" w:rsidR="001C2F95" w:rsidRPr="00070CB4" w:rsidRDefault="001C2F95" w:rsidP="001C2F95">
      <w:pPr>
        <w:autoSpaceDE w:val="0"/>
        <w:autoSpaceDN w:val="0"/>
        <w:adjustRightInd w:val="0"/>
        <w:rPr>
          <w:i/>
          <w:sz w:val="22"/>
        </w:rPr>
      </w:pPr>
    </w:p>
    <w:p w14:paraId="761C5B01" w14:textId="77777777" w:rsidR="001C2F95" w:rsidRPr="00070CB4" w:rsidRDefault="001C2F95" w:rsidP="001C2F95">
      <w:pPr>
        <w:autoSpaceDE w:val="0"/>
        <w:autoSpaceDN w:val="0"/>
        <w:adjustRightInd w:val="0"/>
        <w:rPr>
          <w:i/>
          <w:sz w:val="22"/>
        </w:rPr>
      </w:pPr>
      <w:r w:rsidRPr="00070CB4">
        <w:rPr>
          <w:i/>
          <w:sz w:val="22"/>
        </w:rPr>
        <w:t>Phase d’exploitation :</w:t>
      </w:r>
    </w:p>
    <w:p w14:paraId="38DC2AC7" w14:textId="77777777" w:rsidR="001C2F95" w:rsidRDefault="001C2F95" w:rsidP="001C2F95">
      <w:pPr>
        <w:autoSpaceDE w:val="0"/>
        <w:autoSpaceDN w:val="0"/>
        <w:adjustRightInd w:val="0"/>
        <w:rPr>
          <w:sz w:val="22"/>
        </w:rPr>
      </w:pPr>
    </w:p>
    <w:p w14:paraId="7161E00B" w14:textId="77777777" w:rsidR="001C2F95" w:rsidRPr="00070CB4" w:rsidRDefault="001C2F95" w:rsidP="001C2F95">
      <w:pPr>
        <w:autoSpaceDE w:val="0"/>
        <w:autoSpaceDN w:val="0"/>
        <w:adjustRightInd w:val="0"/>
        <w:rPr>
          <w:sz w:val="22"/>
        </w:rPr>
      </w:pPr>
      <w:r w:rsidRPr="00070CB4">
        <w:rPr>
          <w:sz w:val="22"/>
        </w:rPr>
        <w:t xml:space="preserve">Risque de certaines maladies hydriques comme le paludisme et la bilharziose. </w:t>
      </w:r>
    </w:p>
    <w:p w14:paraId="52DCF856" w14:textId="77777777" w:rsidR="001C2F95" w:rsidRPr="00070CB4" w:rsidRDefault="001C2F95" w:rsidP="001C2F95">
      <w:pPr>
        <w:autoSpaceDE w:val="0"/>
        <w:autoSpaceDN w:val="0"/>
        <w:adjustRightInd w:val="0"/>
        <w:rPr>
          <w:i/>
          <w:sz w:val="22"/>
        </w:rPr>
      </w:pPr>
      <w:r w:rsidRPr="00070CB4">
        <w:rPr>
          <w:i/>
          <w:sz w:val="22"/>
        </w:rPr>
        <w:t xml:space="preserve">Impacts négatifs de la fabrication du compost </w:t>
      </w:r>
    </w:p>
    <w:p w14:paraId="022FDC47" w14:textId="77777777" w:rsidR="007C78BF" w:rsidRDefault="007C78BF" w:rsidP="001C2F95">
      <w:pPr>
        <w:autoSpaceDE w:val="0"/>
        <w:autoSpaceDN w:val="0"/>
        <w:adjustRightInd w:val="0"/>
        <w:rPr>
          <w:sz w:val="22"/>
        </w:rPr>
      </w:pPr>
    </w:p>
    <w:p w14:paraId="01224BE4" w14:textId="77777777" w:rsidR="001C2F95" w:rsidRPr="00070CB4" w:rsidRDefault="001C2F95" w:rsidP="001C2F95">
      <w:pPr>
        <w:autoSpaceDE w:val="0"/>
        <w:autoSpaceDN w:val="0"/>
        <w:adjustRightInd w:val="0"/>
        <w:rPr>
          <w:sz w:val="22"/>
        </w:rPr>
      </w:pPr>
      <w:r w:rsidRPr="00070CB4">
        <w:rPr>
          <w:sz w:val="22"/>
        </w:rPr>
        <w:t>L’opération de compostage peut entraîner les impacts négatifs suivants : risque de contamination du sol et des eaux (due à la manipulation des intrants et aux produits qui ne sont pas arrivés à maturation) et nuisances dues aux odeurs.</w:t>
      </w:r>
    </w:p>
    <w:p w14:paraId="1BC610DF" w14:textId="77777777" w:rsidR="001C2F95" w:rsidRPr="00070CB4" w:rsidRDefault="001C2F95" w:rsidP="001C2F95">
      <w:pPr>
        <w:autoSpaceDE w:val="0"/>
        <w:autoSpaceDN w:val="0"/>
        <w:adjustRightInd w:val="0"/>
        <w:rPr>
          <w:sz w:val="22"/>
        </w:rPr>
      </w:pPr>
    </w:p>
    <w:p w14:paraId="1881F77A" w14:textId="77777777" w:rsidR="001C2F95" w:rsidRPr="00070CB4" w:rsidRDefault="001C2F95" w:rsidP="001C2F95">
      <w:pPr>
        <w:autoSpaceDE w:val="0"/>
        <w:autoSpaceDN w:val="0"/>
        <w:adjustRightInd w:val="0"/>
        <w:rPr>
          <w:i/>
          <w:sz w:val="22"/>
        </w:rPr>
      </w:pPr>
      <w:r w:rsidRPr="00070CB4">
        <w:rPr>
          <w:i/>
          <w:sz w:val="22"/>
        </w:rPr>
        <w:t xml:space="preserve">Impacts négatifs potentiels des aménagements de zones pastorales </w:t>
      </w:r>
    </w:p>
    <w:p w14:paraId="4CFFBA0E" w14:textId="77777777" w:rsidR="001C2F95" w:rsidRPr="00070CB4" w:rsidRDefault="001C2F95" w:rsidP="001C2F95">
      <w:pPr>
        <w:autoSpaceDE w:val="0"/>
        <w:autoSpaceDN w:val="0"/>
        <w:adjustRightInd w:val="0"/>
        <w:rPr>
          <w:sz w:val="22"/>
        </w:rPr>
      </w:pPr>
    </w:p>
    <w:p w14:paraId="09918C29" w14:textId="77777777" w:rsidR="001C2F95" w:rsidRDefault="001C2F95" w:rsidP="001C2F95">
      <w:pPr>
        <w:autoSpaceDE w:val="0"/>
        <w:autoSpaceDN w:val="0"/>
        <w:adjustRightInd w:val="0"/>
        <w:rPr>
          <w:sz w:val="22"/>
        </w:rPr>
      </w:pPr>
      <w:r w:rsidRPr="00070CB4">
        <w:rPr>
          <w:sz w:val="22"/>
        </w:rPr>
        <w:t>Avec les aménagements pastoraux, on peut craindre les impacts suivants : érosion due à la mise à nu des terres ; dégradation des points d’eau de surface due à la sédimentation consécutive aux envols de poussières et aux perturbations subies par les sols ; pertes de biodiversité, d’espaces agricoles et d’habitats fauniques ; conflits sociaux en cas de transformation des systèmes fonciers traditionnels.</w:t>
      </w:r>
    </w:p>
    <w:p w14:paraId="2FBAAD41" w14:textId="77777777" w:rsidR="001C2F95" w:rsidRPr="00070CB4" w:rsidRDefault="001C2F95" w:rsidP="001C2F95">
      <w:pPr>
        <w:autoSpaceDE w:val="0"/>
        <w:autoSpaceDN w:val="0"/>
        <w:adjustRightInd w:val="0"/>
        <w:rPr>
          <w:sz w:val="22"/>
        </w:rPr>
      </w:pPr>
    </w:p>
    <w:p w14:paraId="27955E79" w14:textId="77777777" w:rsidR="001C2F95" w:rsidRPr="00070CB4" w:rsidRDefault="001C2F95" w:rsidP="001C2F95">
      <w:pPr>
        <w:autoSpaceDE w:val="0"/>
        <w:autoSpaceDN w:val="0"/>
        <w:adjustRightInd w:val="0"/>
        <w:rPr>
          <w:sz w:val="22"/>
        </w:rPr>
      </w:pPr>
      <w:r w:rsidRPr="00070CB4">
        <w:rPr>
          <w:i/>
          <w:sz w:val="22"/>
        </w:rPr>
        <w:t>Impacts négatifs spécifiques des sous-projets en faveur de l’agriculture intelligente face au Climat</w:t>
      </w:r>
    </w:p>
    <w:p w14:paraId="285602DA" w14:textId="77777777" w:rsidR="001C2F95" w:rsidRPr="00070CB4" w:rsidRDefault="001C2F95" w:rsidP="001C2F95">
      <w:pPr>
        <w:autoSpaceDE w:val="0"/>
        <w:autoSpaceDN w:val="0"/>
        <w:adjustRightInd w:val="0"/>
        <w:rPr>
          <w:sz w:val="22"/>
        </w:rPr>
      </w:pPr>
      <w:r w:rsidRPr="00070CB4">
        <w:rPr>
          <w:sz w:val="22"/>
        </w:rPr>
        <w:t xml:space="preserve"> </w:t>
      </w:r>
    </w:p>
    <w:p w14:paraId="06B83632" w14:textId="77777777" w:rsidR="001C2F95" w:rsidRPr="00070CB4" w:rsidRDefault="001C2F95" w:rsidP="002378EA">
      <w:pPr>
        <w:pStyle w:val="Paragraphedeliste"/>
        <w:numPr>
          <w:ilvl w:val="0"/>
          <w:numId w:val="99"/>
        </w:numPr>
        <w:autoSpaceDE w:val="0"/>
        <w:autoSpaceDN w:val="0"/>
        <w:adjustRightInd w:val="0"/>
        <w:ind w:left="567" w:hanging="283"/>
        <w:rPr>
          <w:i/>
          <w:sz w:val="22"/>
        </w:rPr>
      </w:pPr>
      <w:r w:rsidRPr="00070CB4">
        <w:rPr>
          <w:i/>
          <w:sz w:val="22"/>
        </w:rPr>
        <w:t xml:space="preserve">Impacts négatifs de l’utilisation de produits chimiques dans le secteur de l’élevage </w:t>
      </w:r>
    </w:p>
    <w:p w14:paraId="6403DD33" w14:textId="77777777" w:rsidR="00AF1182" w:rsidRDefault="00AF1182" w:rsidP="001C2F95">
      <w:pPr>
        <w:autoSpaceDE w:val="0"/>
        <w:autoSpaceDN w:val="0"/>
        <w:adjustRightInd w:val="0"/>
        <w:rPr>
          <w:sz w:val="22"/>
        </w:rPr>
      </w:pPr>
    </w:p>
    <w:p w14:paraId="0349E0D9" w14:textId="77777777" w:rsidR="001C2F95" w:rsidRPr="00070CB4" w:rsidRDefault="001C2F95" w:rsidP="001C2F95">
      <w:pPr>
        <w:autoSpaceDE w:val="0"/>
        <w:autoSpaceDN w:val="0"/>
        <w:adjustRightInd w:val="0"/>
        <w:rPr>
          <w:sz w:val="22"/>
        </w:rPr>
      </w:pPr>
      <w:r w:rsidRPr="00070CB4">
        <w:rPr>
          <w:sz w:val="22"/>
        </w:rPr>
        <w:t xml:space="preserve">Le soutien à la santé animale va nécessiter l’utilisation des produits chimiques (acaricides) pour le traitement des tiques sur le bétail. Ces produits sont souvent sources de plusieurs impacts négatifs en cas de mauvaise utilisation ou de mauvaise gestion des emballages des produits chimiques et vétérinaires (pollution, intoxication animale et humaine ; etc.). </w:t>
      </w:r>
    </w:p>
    <w:p w14:paraId="444386D9" w14:textId="77777777" w:rsidR="001C2F95" w:rsidRPr="00070CB4" w:rsidRDefault="001C2F95" w:rsidP="001C2F95">
      <w:pPr>
        <w:autoSpaceDE w:val="0"/>
        <w:autoSpaceDN w:val="0"/>
        <w:adjustRightInd w:val="0"/>
        <w:rPr>
          <w:sz w:val="22"/>
        </w:rPr>
      </w:pPr>
    </w:p>
    <w:p w14:paraId="6D991E81" w14:textId="77777777" w:rsidR="001C2F95" w:rsidRPr="00070CB4" w:rsidRDefault="001C2F95" w:rsidP="002378EA">
      <w:pPr>
        <w:pStyle w:val="Paragraphedeliste"/>
        <w:numPr>
          <w:ilvl w:val="0"/>
          <w:numId w:val="99"/>
        </w:numPr>
        <w:autoSpaceDE w:val="0"/>
        <w:autoSpaceDN w:val="0"/>
        <w:adjustRightInd w:val="0"/>
        <w:ind w:left="567" w:hanging="283"/>
        <w:rPr>
          <w:i/>
          <w:sz w:val="22"/>
        </w:rPr>
      </w:pPr>
      <w:r w:rsidRPr="00070CB4">
        <w:rPr>
          <w:i/>
          <w:sz w:val="22"/>
        </w:rPr>
        <w:t xml:space="preserve">Impacts négatifs des parcs à vaccination </w:t>
      </w:r>
    </w:p>
    <w:p w14:paraId="26342C62" w14:textId="77777777" w:rsidR="00AF1182" w:rsidRDefault="00AF1182" w:rsidP="001C2F95">
      <w:pPr>
        <w:autoSpaceDE w:val="0"/>
        <w:autoSpaceDN w:val="0"/>
        <w:adjustRightInd w:val="0"/>
        <w:rPr>
          <w:sz w:val="22"/>
        </w:rPr>
      </w:pPr>
    </w:p>
    <w:p w14:paraId="3A976645" w14:textId="77777777" w:rsidR="001C2F95" w:rsidRPr="00070CB4" w:rsidRDefault="001C2F95" w:rsidP="001C2F95">
      <w:pPr>
        <w:autoSpaceDE w:val="0"/>
        <w:autoSpaceDN w:val="0"/>
        <w:adjustRightInd w:val="0"/>
        <w:rPr>
          <w:sz w:val="22"/>
        </w:rPr>
      </w:pPr>
      <w:r w:rsidRPr="00070CB4">
        <w:rPr>
          <w:sz w:val="22"/>
        </w:rPr>
        <w:t>En plus, les activités vont nécessiter des services vétérinaires et l’utilisation de vaccins. La vaccination de bétail va entrainer la production de déchets biomédicaux qui peuvent constituer un risque sanitaire pour les populations et une pollution de l’environnement si lesdits déchets ne sont pas gérés de façon écologiques (collecte et élimination).</w:t>
      </w:r>
    </w:p>
    <w:p w14:paraId="5D3B4785" w14:textId="77777777" w:rsidR="001C2F95" w:rsidRPr="00070CB4" w:rsidRDefault="001C2F95" w:rsidP="001C2F95">
      <w:pPr>
        <w:autoSpaceDE w:val="0"/>
        <w:autoSpaceDN w:val="0"/>
        <w:adjustRightInd w:val="0"/>
        <w:rPr>
          <w:rFonts w:cs="Arial"/>
          <w:bCs/>
          <w:sz w:val="22"/>
        </w:rPr>
      </w:pPr>
    </w:p>
    <w:p w14:paraId="4633AD15" w14:textId="77777777" w:rsidR="001C2F95" w:rsidRPr="00070CB4" w:rsidRDefault="001C2F95" w:rsidP="001C2F95">
      <w:pPr>
        <w:rPr>
          <w:i/>
          <w:sz w:val="22"/>
        </w:rPr>
      </w:pPr>
      <w:r w:rsidRPr="00070CB4">
        <w:rPr>
          <w:i/>
          <w:sz w:val="22"/>
        </w:rPr>
        <w:t xml:space="preserve">Impacts des changements climatiques </w:t>
      </w:r>
    </w:p>
    <w:p w14:paraId="4783CA75" w14:textId="77777777" w:rsidR="001C2F95" w:rsidRPr="00070CB4" w:rsidRDefault="001C2F95" w:rsidP="001C2F95">
      <w:pPr>
        <w:rPr>
          <w:sz w:val="22"/>
        </w:rPr>
      </w:pPr>
    </w:p>
    <w:p w14:paraId="25FABD74" w14:textId="77777777" w:rsidR="001C2F95" w:rsidRPr="00070CB4" w:rsidRDefault="001C2F95" w:rsidP="001C2F95">
      <w:pPr>
        <w:rPr>
          <w:sz w:val="22"/>
        </w:rPr>
      </w:pPr>
      <w:r w:rsidRPr="00070CB4">
        <w:rPr>
          <w:sz w:val="22"/>
        </w:rPr>
        <w:t xml:space="preserve">La pluviométrie et la température constituent les deux paramètres climatiques qui ont le plus grand impact climatique sur les ressources et les principaux secteurs d’activités du fait de leur tendance évolutive et surtout de leur variabilité inter annuelle et intra saisonnière. </w:t>
      </w:r>
    </w:p>
    <w:p w14:paraId="1F42C18A" w14:textId="77777777" w:rsidR="001C2F95" w:rsidRPr="00070CB4" w:rsidRDefault="001C2F95" w:rsidP="001C2F95">
      <w:pPr>
        <w:rPr>
          <w:sz w:val="22"/>
        </w:rPr>
      </w:pPr>
    </w:p>
    <w:p w14:paraId="5F07A006" w14:textId="77777777" w:rsidR="001C2F95" w:rsidRPr="00070CB4" w:rsidRDefault="001C2F95" w:rsidP="001C2F95">
      <w:pPr>
        <w:rPr>
          <w:i/>
          <w:sz w:val="22"/>
        </w:rPr>
      </w:pPr>
      <w:r w:rsidRPr="00070CB4">
        <w:rPr>
          <w:i/>
          <w:sz w:val="22"/>
        </w:rPr>
        <w:t xml:space="preserve">Effets néfastes réels et potentiels de la variabilité et des changements climatiques : </w:t>
      </w:r>
    </w:p>
    <w:p w14:paraId="4292FEAA" w14:textId="77777777" w:rsidR="001C2F95" w:rsidRPr="00070CB4" w:rsidRDefault="001C2F95" w:rsidP="001C2F95">
      <w:pPr>
        <w:rPr>
          <w:sz w:val="22"/>
        </w:rPr>
      </w:pPr>
    </w:p>
    <w:p w14:paraId="1C409C99" w14:textId="77777777" w:rsidR="001C2F95" w:rsidRPr="00070CB4" w:rsidRDefault="001C2F95" w:rsidP="001C2F95">
      <w:pPr>
        <w:rPr>
          <w:sz w:val="22"/>
        </w:rPr>
      </w:pPr>
      <w:r w:rsidRPr="00070CB4">
        <w:rPr>
          <w:sz w:val="22"/>
        </w:rPr>
        <w:t xml:space="preserve">Les principaux phénomènes climatiques de la RDC sont notamment les inondations ; les érosions, les tremblements de terre et les éruptions volcaniques (Nord-Kivu). D’autres phénomènes non climatiques non de moindre existent tels que : les attaques de criquets et les feux de brousse. Il ressort de l’analyse des données climatiques que la tendance générale de ces phénomènes est en augmentation (cas des érosions dans les Province du Kasaï, Kasaï Central et Kwilu). </w:t>
      </w:r>
    </w:p>
    <w:p w14:paraId="75C44F14" w14:textId="77777777" w:rsidR="001C2F95" w:rsidRDefault="001C2F95" w:rsidP="001C2F95">
      <w:pPr>
        <w:autoSpaceDE w:val="0"/>
        <w:autoSpaceDN w:val="0"/>
        <w:adjustRightInd w:val="0"/>
        <w:rPr>
          <w:rFonts w:cs="Arial"/>
          <w:bCs/>
          <w:sz w:val="22"/>
        </w:rPr>
      </w:pPr>
    </w:p>
    <w:p w14:paraId="071AA6A2" w14:textId="77777777" w:rsidR="001C2F95" w:rsidRPr="00070CB4" w:rsidRDefault="001C2F95" w:rsidP="001C2F95">
      <w:pPr>
        <w:autoSpaceDE w:val="0"/>
        <w:autoSpaceDN w:val="0"/>
        <w:adjustRightInd w:val="0"/>
        <w:rPr>
          <w:rFonts w:cs="Arial"/>
          <w:bCs/>
          <w:i/>
          <w:sz w:val="22"/>
        </w:rPr>
      </w:pPr>
      <w:r w:rsidRPr="00070CB4">
        <w:rPr>
          <w:rFonts w:cs="Arial"/>
          <w:bCs/>
          <w:i/>
          <w:sz w:val="22"/>
        </w:rPr>
        <w:t>Sous-composante 2.1 : Infrastructures rurales</w:t>
      </w:r>
    </w:p>
    <w:p w14:paraId="24774BC7" w14:textId="77777777" w:rsidR="001C2F95" w:rsidRPr="00070CB4" w:rsidRDefault="001C2F95" w:rsidP="001C2F95">
      <w:pPr>
        <w:autoSpaceDE w:val="0"/>
        <w:autoSpaceDN w:val="0"/>
        <w:adjustRightInd w:val="0"/>
        <w:rPr>
          <w:rFonts w:cs="Arial"/>
          <w:bCs/>
          <w:sz w:val="22"/>
        </w:rPr>
      </w:pPr>
    </w:p>
    <w:p w14:paraId="0FA2CA3E" w14:textId="77777777" w:rsidR="001C2F95" w:rsidRPr="00070CB4" w:rsidRDefault="001C2F95" w:rsidP="001C2F95">
      <w:pPr>
        <w:autoSpaceDE w:val="0"/>
        <w:autoSpaceDN w:val="0"/>
        <w:adjustRightInd w:val="0"/>
        <w:rPr>
          <w:rFonts w:cs="Arial"/>
          <w:i/>
          <w:sz w:val="22"/>
          <w:lang w:val="fr-CA"/>
        </w:rPr>
      </w:pPr>
      <w:r w:rsidRPr="00070CB4">
        <w:rPr>
          <w:rFonts w:cs="Arial"/>
          <w:i/>
          <w:sz w:val="22"/>
          <w:lang w:val="fr-CA"/>
        </w:rPr>
        <w:t>Pollution de l’air</w:t>
      </w:r>
    </w:p>
    <w:p w14:paraId="733561CB" w14:textId="77777777" w:rsidR="001C2F95" w:rsidRPr="004D086A" w:rsidRDefault="001C2F95" w:rsidP="001C2F95">
      <w:pPr>
        <w:pStyle w:val="BodyText22"/>
        <w:spacing w:line="276" w:lineRule="auto"/>
        <w:rPr>
          <w:rFonts w:ascii="Arial" w:hAnsi="Arial" w:cs="Arial"/>
          <w:sz w:val="22"/>
          <w:szCs w:val="22"/>
          <w:lang w:val="fr-FR"/>
        </w:rPr>
      </w:pPr>
    </w:p>
    <w:p w14:paraId="61F5AE91" w14:textId="77777777" w:rsidR="001C2F95" w:rsidRPr="004D086A" w:rsidRDefault="001C2F95" w:rsidP="001C2F95">
      <w:pPr>
        <w:pStyle w:val="BodyText22"/>
        <w:spacing w:line="276" w:lineRule="auto"/>
        <w:rPr>
          <w:rFonts w:ascii="Arial" w:hAnsi="Arial" w:cs="Arial"/>
          <w:sz w:val="22"/>
          <w:szCs w:val="22"/>
          <w:lang w:val="fr-FR"/>
        </w:rPr>
      </w:pPr>
      <w:r w:rsidRPr="004D086A">
        <w:rPr>
          <w:rFonts w:ascii="Arial" w:hAnsi="Arial" w:cs="Arial"/>
          <w:sz w:val="22"/>
          <w:szCs w:val="22"/>
          <w:lang w:val="fr-FR"/>
        </w:rPr>
        <w:t>Les travaux vont entraîner des émissions de poussières du fait des déversements de matériaux (sable, latérite, graviers, mo</w:t>
      </w:r>
      <w:r w:rsidR="00412000">
        <w:rPr>
          <w:rFonts w:ascii="Arial" w:hAnsi="Arial" w:cs="Arial"/>
          <w:sz w:val="22"/>
          <w:szCs w:val="22"/>
          <w:lang w:val="fr-FR"/>
        </w:rPr>
        <w:t>e</w:t>
      </w:r>
      <w:r w:rsidRPr="004D086A">
        <w:rPr>
          <w:rFonts w:ascii="Arial" w:hAnsi="Arial" w:cs="Arial"/>
          <w:sz w:val="22"/>
          <w:szCs w:val="22"/>
          <w:lang w:val="fr-FR"/>
        </w:rPr>
        <w:t>llons) et des terrassements (décapage, creusement de lit de remplissage, caniveaux). Toutes ces activités vont provoquer quelques rejets de particules fines polluantes dans l’atmosphère, mais sans grand effet négatif majeur.</w:t>
      </w:r>
    </w:p>
    <w:p w14:paraId="2936DA67" w14:textId="77777777" w:rsidR="001C2F95" w:rsidRPr="004D086A" w:rsidRDefault="001C2F95" w:rsidP="001C2F95">
      <w:pPr>
        <w:autoSpaceDE w:val="0"/>
        <w:autoSpaceDN w:val="0"/>
        <w:adjustRightInd w:val="0"/>
        <w:rPr>
          <w:rFonts w:cs="Arial"/>
          <w:i/>
          <w:sz w:val="22"/>
          <w:lang w:val="fr-CA"/>
        </w:rPr>
      </w:pPr>
      <w:bookmarkStart w:id="490" w:name="_Toc94535757"/>
      <w:bookmarkStart w:id="491" w:name="_Toc99887543"/>
      <w:bookmarkStart w:id="492" w:name="_Toc254872671"/>
    </w:p>
    <w:p w14:paraId="38656035" w14:textId="77777777" w:rsidR="001C2F95" w:rsidRPr="004D086A" w:rsidRDefault="001C2F95" w:rsidP="001C2F95">
      <w:pPr>
        <w:autoSpaceDE w:val="0"/>
        <w:autoSpaceDN w:val="0"/>
        <w:adjustRightInd w:val="0"/>
        <w:rPr>
          <w:rFonts w:cs="Arial"/>
          <w:i/>
          <w:sz w:val="22"/>
          <w:lang w:val="fr-CA"/>
        </w:rPr>
      </w:pPr>
      <w:r w:rsidRPr="004D086A">
        <w:rPr>
          <w:rFonts w:cs="Arial"/>
          <w:i/>
          <w:sz w:val="22"/>
          <w:lang w:val="fr-CA"/>
        </w:rPr>
        <w:t>Dégradation des sols</w:t>
      </w:r>
      <w:bookmarkEnd w:id="490"/>
      <w:bookmarkEnd w:id="491"/>
      <w:bookmarkEnd w:id="492"/>
    </w:p>
    <w:p w14:paraId="2428B356" w14:textId="77777777" w:rsidR="001C2F95" w:rsidRPr="004D086A" w:rsidRDefault="001C2F95" w:rsidP="001C2F95">
      <w:pPr>
        <w:pStyle w:val="BodyText22"/>
        <w:spacing w:line="276" w:lineRule="auto"/>
        <w:rPr>
          <w:rFonts w:ascii="Arial" w:hAnsi="Arial" w:cs="Arial"/>
          <w:sz w:val="22"/>
          <w:szCs w:val="22"/>
          <w:lang w:val="fr-FR"/>
        </w:rPr>
      </w:pPr>
    </w:p>
    <w:p w14:paraId="4874BB2A" w14:textId="77777777" w:rsidR="001C2F95" w:rsidRPr="004D086A" w:rsidRDefault="001C2F95" w:rsidP="001C2F95">
      <w:pPr>
        <w:pStyle w:val="BodyText22"/>
        <w:spacing w:line="276" w:lineRule="auto"/>
        <w:rPr>
          <w:rFonts w:ascii="Arial" w:hAnsi="Arial" w:cs="Arial"/>
          <w:sz w:val="22"/>
          <w:szCs w:val="22"/>
          <w:lang w:val="fr-FR"/>
        </w:rPr>
      </w:pPr>
      <w:r w:rsidRPr="004D086A">
        <w:rPr>
          <w:rFonts w:ascii="Arial" w:hAnsi="Arial" w:cs="Arial"/>
          <w:sz w:val="22"/>
          <w:szCs w:val="22"/>
          <w:lang w:val="fr-FR"/>
        </w:rPr>
        <w:t>Les installations de chantiers temporaires peuvent entraîner des effets sur le sol, en termes de tassement sur les aires de stockage des matéri</w:t>
      </w:r>
      <w:r w:rsidR="00412000">
        <w:rPr>
          <w:rFonts w:ascii="Arial" w:hAnsi="Arial" w:cs="Arial"/>
          <w:sz w:val="22"/>
          <w:szCs w:val="22"/>
          <w:lang w:val="fr-FR"/>
        </w:rPr>
        <w:t>a</w:t>
      </w:r>
      <w:r w:rsidRPr="004D086A">
        <w:rPr>
          <w:rFonts w:ascii="Arial" w:hAnsi="Arial" w:cs="Arial"/>
          <w:sz w:val="22"/>
          <w:szCs w:val="22"/>
          <w:lang w:val="fr-FR"/>
        </w:rPr>
        <w:t xml:space="preserve">ux, de compactage et destruction de sa structure avec les passages répétés et perte du couvert végétal. Par ailleurs, les travaux de rechargement vont nécessiter d’importantes quantités de latérite qu’il faudra prélever sur place, au niveau de carrières existantes ou à ouvrir. L’exploitation des carrières et des zones d’emprunt aura un certain impact sur les sols en termes d’espaces et pourra créer de zones de rétention d’eau stagnantes, favorables au développement des insectes (moustiques, mouches noires, etc.) vecteurs de maladies (malaria, typhoïde, fièvre jaune, etc.). </w:t>
      </w:r>
    </w:p>
    <w:p w14:paraId="413D1AB1" w14:textId="77777777" w:rsidR="001C2F95" w:rsidRDefault="001C2F95" w:rsidP="001C2F95">
      <w:pPr>
        <w:autoSpaceDE w:val="0"/>
        <w:autoSpaceDN w:val="0"/>
        <w:adjustRightInd w:val="0"/>
        <w:rPr>
          <w:rFonts w:cs="Arial"/>
          <w:i/>
          <w:sz w:val="22"/>
          <w:lang w:val="fr-CA"/>
        </w:rPr>
      </w:pPr>
    </w:p>
    <w:p w14:paraId="6035C95F" w14:textId="77777777" w:rsidR="001C2F95" w:rsidRPr="004D086A" w:rsidRDefault="001C2F95" w:rsidP="001C2F95">
      <w:pPr>
        <w:autoSpaceDE w:val="0"/>
        <w:autoSpaceDN w:val="0"/>
        <w:adjustRightInd w:val="0"/>
        <w:rPr>
          <w:rFonts w:cs="Arial"/>
          <w:i/>
          <w:sz w:val="22"/>
          <w:lang w:val="fr-CA"/>
        </w:rPr>
      </w:pPr>
      <w:r w:rsidRPr="004D086A">
        <w:rPr>
          <w:rFonts w:cs="Arial"/>
          <w:i/>
          <w:sz w:val="22"/>
          <w:lang w:val="fr-CA"/>
        </w:rPr>
        <w:t>Pressions sur les ressources en eau </w:t>
      </w:r>
    </w:p>
    <w:p w14:paraId="0A7B2FE2" w14:textId="77777777" w:rsidR="001C2F95" w:rsidRPr="004D086A" w:rsidRDefault="001C2F95" w:rsidP="001C2F95">
      <w:pPr>
        <w:autoSpaceDE w:val="0"/>
        <w:autoSpaceDN w:val="0"/>
        <w:adjustRightInd w:val="0"/>
        <w:rPr>
          <w:rFonts w:cs="Arial"/>
          <w:sz w:val="22"/>
          <w:lang w:val="fr-CA"/>
        </w:rPr>
      </w:pPr>
    </w:p>
    <w:p w14:paraId="32E8B9EF" w14:textId="77777777" w:rsidR="001C2F95" w:rsidRPr="004D086A" w:rsidRDefault="001C2F95" w:rsidP="001C2F95">
      <w:pPr>
        <w:autoSpaceDE w:val="0"/>
        <w:autoSpaceDN w:val="0"/>
        <w:adjustRightInd w:val="0"/>
        <w:rPr>
          <w:rFonts w:cs="Arial"/>
          <w:sz w:val="22"/>
        </w:rPr>
      </w:pPr>
      <w:r w:rsidRPr="004D086A">
        <w:rPr>
          <w:rFonts w:cs="Arial"/>
          <w:sz w:val="22"/>
        </w:rPr>
        <w:t xml:space="preserve">Les besoins en eau des chantiers vont occasionner des prélèvements soit dans les cours d’eau, soit à partir de la nappe (forages), ou par le biais du réseau de distribution. Toutefois, compte tenu des besoins limités des chantiers, les risques d’épuisement sont relativement faibles. </w:t>
      </w:r>
    </w:p>
    <w:p w14:paraId="2531CE95" w14:textId="77777777" w:rsidR="001C2F95" w:rsidRPr="004D086A" w:rsidRDefault="001C2F95" w:rsidP="001C2F95">
      <w:pPr>
        <w:rPr>
          <w:rFonts w:cs="Arial"/>
          <w:bCs/>
          <w:sz w:val="22"/>
        </w:rPr>
      </w:pPr>
    </w:p>
    <w:p w14:paraId="02CEEBEC" w14:textId="77777777" w:rsidR="001C2F95" w:rsidRPr="004D086A" w:rsidRDefault="001C2F95" w:rsidP="001C2F95">
      <w:pPr>
        <w:tabs>
          <w:tab w:val="left" w:pos="0"/>
        </w:tabs>
        <w:rPr>
          <w:rFonts w:cs="Arial"/>
          <w:bCs/>
          <w:sz w:val="22"/>
        </w:rPr>
      </w:pPr>
      <w:r w:rsidRPr="004D086A">
        <w:rPr>
          <w:rFonts w:cs="Arial"/>
          <w:bCs/>
          <w:i/>
          <w:sz w:val="22"/>
        </w:rPr>
        <w:t xml:space="preserve">Pertes de végétation en cas d’abattage d’arbres sur les emprises </w:t>
      </w:r>
    </w:p>
    <w:p w14:paraId="573D5C47" w14:textId="77777777" w:rsidR="001C2F95" w:rsidRPr="004D086A" w:rsidRDefault="001C2F95" w:rsidP="001C2F95">
      <w:pPr>
        <w:tabs>
          <w:tab w:val="left" w:pos="0"/>
        </w:tabs>
        <w:rPr>
          <w:rFonts w:cs="Arial"/>
          <w:bCs/>
          <w:sz w:val="22"/>
        </w:rPr>
      </w:pPr>
    </w:p>
    <w:p w14:paraId="6809FBB1" w14:textId="77777777" w:rsidR="001C2F95" w:rsidRPr="00070CB4" w:rsidRDefault="001C2F95" w:rsidP="001C2F95">
      <w:pPr>
        <w:tabs>
          <w:tab w:val="left" w:pos="0"/>
        </w:tabs>
        <w:rPr>
          <w:rFonts w:cs="Arial"/>
          <w:sz w:val="22"/>
          <w:u w:val="single"/>
        </w:rPr>
      </w:pPr>
      <w:r w:rsidRPr="004D086A">
        <w:rPr>
          <w:rFonts w:cs="Arial"/>
          <w:bCs/>
          <w:sz w:val="22"/>
        </w:rPr>
        <w:t xml:space="preserve">Les travaux se déroulant tant en zone rurale, urbaine ou péri-urbaine, il y a risque de déboisement de zones forestières. Néanmoins, la libération des zones d’emprise pour la réalisation des infrastructures pourra occasionner l’abattage des arbres et autres végétations sur certains sites mais cet impact sera relativement mineur, et pourra être atténué par une replantation compensatoire. </w:t>
      </w:r>
      <w:r w:rsidRPr="004D086A">
        <w:rPr>
          <w:rFonts w:cs="Arial"/>
          <w:sz w:val="22"/>
        </w:rPr>
        <w:t>L’ouverture et l’exploitation de carrières de matériaux de construction (sable, gravier, latérite, etc.) peuvent participer aussi à la déforestation et à la défiguration du paysage avec les stigmates liés aux trous creusés suite au prélèvement des matériaux. Ces risques se posent avec plus d’acuité dans la ville fortement sensible au phénomène d’érosion (Kananga, Tshikapa et Kikwit).</w:t>
      </w:r>
    </w:p>
    <w:p w14:paraId="6209955B" w14:textId="77777777" w:rsidR="001C2F95" w:rsidRPr="00070CB4" w:rsidRDefault="001C2F95" w:rsidP="001C2F95">
      <w:pPr>
        <w:autoSpaceDE w:val="0"/>
        <w:autoSpaceDN w:val="0"/>
        <w:adjustRightInd w:val="0"/>
        <w:rPr>
          <w:rFonts w:cs="Arial"/>
          <w:i/>
          <w:sz w:val="22"/>
          <w:lang w:val="fr-CA"/>
        </w:rPr>
      </w:pPr>
    </w:p>
    <w:p w14:paraId="24B3BF05" w14:textId="77777777" w:rsidR="001C2F95" w:rsidRPr="00070CB4" w:rsidRDefault="001C2F95" w:rsidP="001C2F95">
      <w:pPr>
        <w:autoSpaceDE w:val="0"/>
        <w:autoSpaceDN w:val="0"/>
        <w:adjustRightInd w:val="0"/>
        <w:rPr>
          <w:rFonts w:cs="Arial"/>
          <w:i/>
          <w:sz w:val="22"/>
          <w:lang w:val="fr-CA"/>
        </w:rPr>
      </w:pPr>
      <w:r w:rsidRPr="00070CB4">
        <w:rPr>
          <w:rFonts w:cs="Arial"/>
          <w:i/>
          <w:sz w:val="22"/>
          <w:lang w:val="fr-CA"/>
        </w:rPr>
        <w:t>Perturbation de la libre circulation</w:t>
      </w:r>
    </w:p>
    <w:p w14:paraId="1EB3D911" w14:textId="77777777" w:rsidR="001C2F95" w:rsidRPr="00070CB4" w:rsidRDefault="001C2F95" w:rsidP="001C2F95">
      <w:pPr>
        <w:autoSpaceDE w:val="0"/>
        <w:autoSpaceDN w:val="0"/>
        <w:adjustRightInd w:val="0"/>
        <w:rPr>
          <w:sz w:val="22"/>
        </w:rPr>
      </w:pPr>
    </w:p>
    <w:p w14:paraId="749B2821" w14:textId="77777777" w:rsidR="001C2F95" w:rsidRDefault="001C2F95" w:rsidP="001C2F95">
      <w:pPr>
        <w:autoSpaceDE w:val="0"/>
        <w:autoSpaceDN w:val="0"/>
        <w:adjustRightInd w:val="0"/>
        <w:rPr>
          <w:rFonts w:cs="Arial"/>
          <w:i/>
          <w:sz w:val="22"/>
          <w:lang w:val="fr-CA"/>
        </w:rPr>
      </w:pPr>
      <w:r w:rsidRPr="00070CB4">
        <w:rPr>
          <w:sz w:val="22"/>
        </w:rPr>
        <w:t xml:space="preserve">Les travaux s'accompagnent d'une restriction de la circulation visant, entre autres, à assurer la sécurité des populations. Très souvent des déviations sont créées à cet effet pour minimiser les conséquences sur la circulation. Toutefois, la restriction sera limitée juste autour des zones de travaux. </w:t>
      </w:r>
    </w:p>
    <w:p w14:paraId="7F5F7AB6" w14:textId="77777777" w:rsidR="0024316A" w:rsidRPr="00070CB4" w:rsidRDefault="0024316A" w:rsidP="001C2F95">
      <w:pPr>
        <w:autoSpaceDE w:val="0"/>
        <w:autoSpaceDN w:val="0"/>
        <w:adjustRightInd w:val="0"/>
        <w:rPr>
          <w:rFonts w:cs="Arial"/>
          <w:i/>
          <w:sz w:val="22"/>
          <w:lang w:val="fr-CA"/>
        </w:rPr>
      </w:pPr>
    </w:p>
    <w:p w14:paraId="0CF39AB8" w14:textId="77777777" w:rsidR="001C2F95" w:rsidRPr="00070CB4" w:rsidRDefault="001C2F95" w:rsidP="001C2F95">
      <w:pPr>
        <w:autoSpaceDE w:val="0"/>
        <w:autoSpaceDN w:val="0"/>
        <w:adjustRightInd w:val="0"/>
        <w:rPr>
          <w:rFonts w:cs="Arial"/>
          <w:i/>
          <w:sz w:val="22"/>
          <w:lang w:val="fr-CA"/>
        </w:rPr>
      </w:pPr>
      <w:r w:rsidRPr="00070CB4">
        <w:rPr>
          <w:rFonts w:cs="Arial"/>
          <w:i/>
          <w:sz w:val="22"/>
          <w:lang w:val="fr-CA"/>
        </w:rPr>
        <w:t>Perte de biens et de sources de revenus</w:t>
      </w:r>
    </w:p>
    <w:p w14:paraId="78834F65" w14:textId="77777777" w:rsidR="001C2F95" w:rsidRPr="004D086A" w:rsidRDefault="001C2F95" w:rsidP="001C2F95">
      <w:pPr>
        <w:autoSpaceDE w:val="0"/>
        <w:autoSpaceDN w:val="0"/>
        <w:adjustRightInd w:val="0"/>
        <w:rPr>
          <w:rFonts w:cs="Arial"/>
          <w:sz w:val="22"/>
          <w:lang w:val="fr-CA"/>
        </w:rPr>
      </w:pPr>
    </w:p>
    <w:p w14:paraId="6089CBA0" w14:textId="77777777" w:rsidR="001C2F95" w:rsidRPr="004D086A" w:rsidRDefault="001C2F95" w:rsidP="001C2F95">
      <w:pPr>
        <w:rPr>
          <w:rFonts w:cs="Arial"/>
          <w:i/>
          <w:sz w:val="22"/>
        </w:rPr>
      </w:pPr>
      <w:r w:rsidRPr="004D086A">
        <w:rPr>
          <w:rFonts w:cs="Arial"/>
          <w:sz w:val="22"/>
        </w:rPr>
        <w:t>Avec les travaux, on pourrait craindre une expropriation foncière, un déplacement/recasement involontaire des populations, mais aussi des pertes de terres, d’habitations et d‘activités socioéconomiques.</w:t>
      </w:r>
    </w:p>
    <w:p w14:paraId="2155B5BC" w14:textId="77777777" w:rsidR="0042181A" w:rsidRDefault="0042181A" w:rsidP="001C2F95">
      <w:pPr>
        <w:rPr>
          <w:rFonts w:cs="Arial"/>
          <w:color w:val="FF0000"/>
          <w:sz w:val="22"/>
        </w:rPr>
      </w:pPr>
    </w:p>
    <w:p w14:paraId="7029A364" w14:textId="77777777" w:rsidR="007C78BF" w:rsidRDefault="007C78BF" w:rsidP="001C2F95">
      <w:pPr>
        <w:rPr>
          <w:rFonts w:cs="Arial"/>
          <w:color w:val="FF0000"/>
          <w:sz w:val="22"/>
        </w:rPr>
      </w:pPr>
    </w:p>
    <w:p w14:paraId="086E3914" w14:textId="77777777" w:rsidR="007C78BF" w:rsidRDefault="007C78BF" w:rsidP="001C2F95">
      <w:pPr>
        <w:rPr>
          <w:rFonts w:cs="Arial"/>
          <w:color w:val="FF0000"/>
          <w:sz w:val="22"/>
        </w:rPr>
      </w:pPr>
    </w:p>
    <w:p w14:paraId="07907096" w14:textId="77777777" w:rsidR="007C78BF" w:rsidRDefault="007C78BF" w:rsidP="001C2F95">
      <w:pPr>
        <w:rPr>
          <w:rFonts w:cs="Arial"/>
          <w:color w:val="FF0000"/>
          <w:sz w:val="22"/>
        </w:rPr>
      </w:pPr>
    </w:p>
    <w:p w14:paraId="4B3BE66F" w14:textId="77777777" w:rsidR="001C2F95" w:rsidRPr="00730A4A" w:rsidRDefault="001C2F95" w:rsidP="001C2F95">
      <w:pPr>
        <w:rPr>
          <w:rFonts w:cs="Arial"/>
          <w:i/>
          <w:color w:val="000000"/>
          <w:sz w:val="22"/>
        </w:rPr>
      </w:pPr>
      <w:r w:rsidRPr="00730A4A">
        <w:rPr>
          <w:rFonts w:cs="Arial"/>
          <w:i/>
          <w:color w:val="000000"/>
          <w:sz w:val="22"/>
        </w:rPr>
        <w:t>Risques de conflit et de sécurité</w:t>
      </w:r>
    </w:p>
    <w:p w14:paraId="54041627" w14:textId="77777777" w:rsidR="001C2F95" w:rsidRPr="00730A4A" w:rsidRDefault="001C2F95" w:rsidP="001C2F95">
      <w:pPr>
        <w:rPr>
          <w:rFonts w:cs="Arial"/>
          <w:color w:val="000000"/>
          <w:sz w:val="22"/>
        </w:rPr>
      </w:pPr>
    </w:p>
    <w:p w14:paraId="3BD2AA3D" w14:textId="77777777" w:rsidR="001C2F95" w:rsidRDefault="001C2F95" w:rsidP="001C2F95">
      <w:pPr>
        <w:rPr>
          <w:rFonts w:cs="Arial"/>
          <w:i/>
          <w:sz w:val="22"/>
        </w:rPr>
      </w:pPr>
      <w:r w:rsidRPr="00730A4A">
        <w:rPr>
          <w:rFonts w:cs="Arial"/>
          <w:color w:val="000000"/>
          <w:sz w:val="22"/>
        </w:rPr>
        <w:t xml:space="preserve">Il existe des risques importants de conflit et de sécurité dans le centre du Kasaï, dus en partie aux récents afflux de rapatriés congolais en provenance de l’Angola et aux mouvements d’autres personnes déplacées à l’intérieur du pays en raison des conflits intercommunautaires et de la présence de groupes armés. Le Nord-Kivu est également exposé à des conflits et à des risques pour la sécurité émanant de groupes armés, ainsi qu’à une épidémie d’Ebola qui n’a cessé de croître depuis sa première identification dans la </w:t>
      </w:r>
      <w:r w:rsidR="00412000" w:rsidRPr="00730A4A">
        <w:rPr>
          <w:rFonts w:cs="Arial"/>
          <w:color w:val="000000"/>
          <w:sz w:val="22"/>
        </w:rPr>
        <w:t>p</w:t>
      </w:r>
      <w:r w:rsidRPr="00730A4A">
        <w:rPr>
          <w:rFonts w:cs="Arial"/>
          <w:color w:val="000000"/>
          <w:sz w:val="22"/>
        </w:rPr>
        <w:t>rovince à la mi-2018.</w:t>
      </w:r>
    </w:p>
    <w:p w14:paraId="1BD9B85C" w14:textId="77777777" w:rsidR="001C2F95" w:rsidRDefault="001C2F95" w:rsidP="001C2F95">
      <w:pPr>
        <w:rPr>
          <w:rFonts w:cs="Arial"/>
          <w:i/>
          <w:sz w:val="22"/>
        </w:rPr>
      </w:pPr>
    </w:p>
    <w:p w14:paraId="0A825EDE" w14:textId="77777777" w:rsidR="001C2F95" w:rsidRPr="004D086A" w:rsidRDefault="001C2F95" w:rsidP="001C2F95">
      <w:pPr>
        <w:rPr>
          <w:rFonts w:cs="Arial"/>
          <w:i/>
          <w:sz w:val="22"/>
        </w:rPr>
      </w:pPr>
      <w:r w:rsidRPr="004D086A">
        <w:rPr>
          <w:rFonts w:cs="Arial"/>
          <w:i/>
          <w:sz w:val="22"/>
        </w:rPr>
        <w:t>Nuisances dues aux activités et aux déchets de chantiers</w:t>
      </w:r>
    </w:p>
    <w:p w14:paraId="467E1C07" w14:textId="77777777" w:rsidR="001C2F95" w:rsidRPr="004D086A" w:rsidRDefault="001C2F95" w:rsidP="001C2F95">
      <w:pPr>
        <w:rPr>
          <w:rFonts w:cs="Arial"/>
          <w:sz w:val="22"/>
        </w:rPr>
      </w:pPr>
    </w:p>
    <w:p w14:paraId="6F0606EA" w14:textId="77777777" w:rsidR="001C2F95" w:rsidRPr="004D086A" w:rsidRDefault="001C2F95" w:rsidP="001C2F95">
      <w:pPr>
        <w:rPr>
          <w:rFonts w:cs="Arial"/>
          <w:sz w:val="22"/>
        </w:rPr>
      </w:pPr>
      <w:r>
        <w:rPr>
          <w:rFonts w:cs="Arial"/>
          <w:sz w:val="22"/>
        </w:rPr>
        <w:t xml:space="preserve">La </w:t>
      </w:r>
      <w:r w:rsidRPr="004D086A">
        <w:rPr>
          <w:rFonts w:cs="Arial"/>
          <w:sz w:val="22"/>
        </w:rPr>
        <w:t xml:space="preserve">réhabilitation des </w:t>
      </w:r>
      <w:r>
        <w:rPr>
          <w:rFonts w:cs="Arial"/>
          <w:sz w:val="22"/>
        </w:rPr>
        <w:t>routes</w:t>
      </w:r>
      <w:r w:rsidRPr="004D086A">
        <w:rPr>
          <w:rFonts w:cs="Arial"/>
          <w:sz w:val="22"/>
        </w:rPr>
        <w:t xml:space="preserve"> rurales, des marchés communautaires et abattoirs, l’aménagement des ouvrages hydroagricoles vont induire des gènes et nuisances (bruit, poussières et production de déchets de chantier) qui vont indisposer surtout les ouvriers chargés des travaux ; les riverains les plus proches des sites seront les plus affectés. Les travaux vont générer des déchets. Les rejets anarchiques des déchets solides et liquides issus des chantiers constituent une menace qui pèse sur l’hygiène et la salubrité publique.</w:t>
      </w:r>
    </w:p>
    <w:p w14:paraId="55443F0F" w14:textId="77777777" w:rsidR="001C2F95" w:rsidRPr="004D086A" w:rsidRDefault="001C2F95" w:rsidP="001C2F95">
      <w:pPr>
        <w:rPr>
          <w:rFonts w:cs="Arial"/>
          <w:sz w:val="22"/>
        </w:rPr>
      </w:pPr>
    </w:p>
    <w:p w14:paraId="36340CA0" w14:textId="77777777" w:rsidR="001C2F95" w:rsidRDefault="001C2F95" w:rsidP="001C2F95">
      <w:pPr>
        <w:rPr>
          <w:rFonts w:cs="Arial"/>
          <w:i/>
          <w:sz w:val="22"/>
        </w:rPr>
      </w:pPr>
      <w:r w:rsidRPr="004D086A">
        <w:rPr>
          <w:rFonts w:cs="Arial"/>
          <w:i/>
          <w:sz w:val="22"/>
        </w:rPr>
        <w:t xml:space="preserve">Risques d’accidents liés aux activités de chantier </w:t>
      </w:r>
    </w:p>
    <w:p w14:paraId="05D5185E" w14:textId="77777777" w:rsidR="001C2F95" w:rsidRDefault="001C2F95" w:rsidP="001C2F95">
      <w:pPr>
        <w:rPr>
          <w:rFonts w:eastAsia="Calibri" w:cs="Arial"/>
          <w:sz w:val="22"/>
        </w:rPr>
      </w:pPr>
    </w:p>
    <w:p w14:paraId="5B147123" w14:textId="77777777" w:rsidR="001C2F95" w:rsidRPr="004D086A" w:rsidRDefault="001C2F95" w:rsidP="001C2F95">
      <w:pPr>
        <w:rPr>
          <w:rFonts w:cs="Arial"/>
          <w:sz w:val="22"/>
        </w:rPr>
      </w:pPr>
      <w:r w:rsidRPr="004D086A">
        <w:rPr>
          <w:rFonts w:cs="Arial"/>
          <w:sz w:val="22"/>
        </w:rPr>
        <w:t xml:space="preserve">Pendant la phase des travaux, il surviendra des risques d’accidents liés aux engins/instruments de chantier et à la présence de matériaux de construction mal protégés ou mal utilisés. Le risque de chute existe pour toutes les personnes autorisées et non autorisées sur le chantier au niveau des zones de circulation étroites et encombrées. </w:t>
      </w:r>
    </w:p>
    <w:p w14:paraId="3A454540" w14:textId="77777777" w:rsidR="001C2F95" w:rsidRPr="004D086A" w:rsidRDefault="001C2F95" w:rsidP="001C2F95">
      <w:pPr>
        <w:tabs>
          <w:tab w:val="left" w:pos="0"/>
        </w:tabs>
        <w:rPr>
          <w:rFonts w:cs="Arial"/>
          <w:bCs/>
          <w:sz w:val="22"/>
          <w:u w:val="single"/>
        </w:rPr>
      </w:pPr>
    </w:p>
    <w:p w14:paraId="0E7E738E" w14:textId="77777777" w:rsidR="001C2F95" w:rsidRPr="004D086A" w:rsidRDefault="001C2F95" w:rsidP="001C2F95">
      <w:pPr>
        <w:autoSpaceDE w:val="0"/>
        <w:autoSpaceDN w:val="0"/>
        <w:adjustRightInd w:val="0"/>
        <w:rPr>
          <w:rFonts w:cs="Arial"/>
          <w:sz w:val="22"/>
        </w:rPr>
      </w:pPr>
      <w:r w:rsidRPr="004D086A">
        <w:rPr>
          <w:rFonts w:cs="Arial"/>
          <w:i/>
          <w:sz w:val="22"/>
        </w:rPr>
        <w:t>Développement de maladies au niveau des populations et des ouvriers liés à l’afflux des travailleurs</w:t>
      </w:r>
    </w:p>
    <w:p w14:paraId="2423D71E" w14:textId="77777777" w:rsidR="001C2F95" w:rsidRPr="004D086A" w:rsidRDefault="001C2F95" w:rsidP="001C2F95">
      <w:pPr>
        <w:autoSpaceDE w:val="0"/>
        <w:autoSpaceDN w:val="0"/>
        <w:adjustRightInd w:val="0"/>
        <w:rPr>
          <w:rFonts w:cs="Arial"/>
          <w:sz w:val="22"/>
        </w:rPr>
      </w:pPr>
    </w:p>
    <w:p w14:paraId="0E006D26" w14:textId="77777777" w:rsidR="001C2F95" w:rsidRPr="004D086A" w:rsidRDefault="001C2F95" w:rsidP="001C2F95">
      <w:pPr>
        <w:autoSpaceDE w:val="0"/>
        <w:autoSpaceDN w:val="0"/>
        <w:adjustRightInd w:val="0"/>
        <w:rPr>
          <w:rFonts w:cs="Arial"/>
          <w:sz w:val="22"/>
        </w:rPr>
      </w:pPr>
      <w:r w:rsidRPr="004D086A">
        <w:rPr>
          <w:rFonts w:cs="Arial"/>
          <w:sz w:val="22"/>
        </w:rPr>
        <w:t>Au plan sanitaire, il y a des risques de transmission des IST/VIH/SIDA liés à la présence d’une main-d’œuvre étrangère temporaire, composée généralement de jeunes hommes isolés, ayant tendance à augmenter les contacts avec les jeunes filles et femmes au sein de la population locale dans les zones des travaux. Les sensibilisations avec les thèmes sur le lien entre le viol</w:t>
      </w:r>
      <w:r>
        <w:rPr>
          <w:rFonts w:cs="Arial"/>
          <w:sz w:val="22"/>
        </w:rPr>
        <w:t>, l’EAS,</w:t>
      </w:r>
      <w:r w:rsidRPr="004D086A">
        <w:rPr>
          <w:rFonts w:cs="Arial"/>
          <w:sz w:val="22"/>
        </w:rPr>
        <w:t xml:space="preserve"> et les IST/VIH/S</w:t>
      </w:r>
      <w:r>
        <w:rPr>
          <w:rFonts w:cs="Arial"/>
          <w:sz w:val="22"/>
        </w:rPr>
        <w:t>IDA, les services disponibles pour les</w:t>
      </w:r>
      <w:r w:rsidR="003F2FA2">
        <w:rPr>
          <w:rFonts w:cs="Arial"/>
          <w:sz w:val="22"/>
        </w:rPr>
        <w:t xml:space="preserve"> </w:t>
      </w:r>
      <w:r>
        <w:rPr>
          <w:rFonts w:cs="Arial"/>
          <w:sz w:val="22"/>
        </w:rPr>
        <w:t>survivant</w:t>
      </w:r>
      <w:r w:rsidR="003F2FA2">
        <w:rPr>
          <w:rFonts w:cs="Arial"/>
          <w:sz w:val="22"/>
        </w:rPr>
        <w:t xml:space="preserve"> </w:t>
      </w:r>
      <w:r>
        <w:rPr>
          <w:rFonts w:cs="Arial"/>
          <w:sz w:val="22"/>
        </w:rPr>
        <w:t>(e)s d’EAS/HS et le fonctionnement du MGP,</w:t>
      </w:r>
      <w:r w:rsidRPr="004D086A">
        <w:rPr>
          <w:rFonts w:cs="Arial"/>
          <w:sz w:val="22"/>
        </w:rPr>
        <w:t xml:space="preserve"> </w:t>
      </w:r>
      <w:r>
        <w:rPr>
          <w:rFonts w:cs="Arial"/>
          <w:sz w:val="22"/>
        </w:rPr>
        <w:t>ainsi que</w:t>
      </w:r>
      <w:r w:rsidRPr="004D086A">
        <w:rPr>
          <w:rFonts w:cs="Arial"/>
          <w:sz w:val="22"/>
        </w:rPr>
        <w:t xml:space="preserve"> l’approvisionnement en préservatif devront être assuré</w:t>
      </w:r>
      <w:r>
        <w:rPr>
          <w:rFonts w:cs="Arial"/>
          <w:sz w:val="22"/>
        </w:rPr>
        <w:t>s</w:t>
      </w:r>
      <w:r w:rsidRPr="004D086A">
        <w:rPr>
          <w:rFonts w:cs="Arial"/>
          <w:sz w:val="22"/>
        </w:rPr>
        <w:t xml:space="preserve"> par les ONG qui interviennent dans </w:t>
      </w:r>
      <w:r>
        <w:rPr>
          <w:rFonts w:cs="Arial"/>
          <w:sz w:val="22"/>
        </w:rPr>
        <w:t>ce domaine</w:t>
      </w:r>
      <w:r w:rsidRPr="004D086A">
        <w:rPr>
          <w:rFonts w:cs="Arial"/>
          <w:sz w:val="22"/>
        </w:rPr>
        <w:t>.</w:t>
      </w:r>
    </w:p>
    <w:p w14:paraId="4167F6B7" w14:textId="77777777" w:rsidR="001C2F95" w:rsidRPr="004D086A" w:rsidRDefault="001C2F95" w:rsidP="001C2F95">
      <w:pPr>
        <w:tabs>
          <w:tab w:val="left" w:pos="0"/>
        </w:tabs>
        <w:rPr>
          <w:rFonts w:cs="Arial"/>
          <w:bCs/>
          <w:sz w:val="22"/>
        </w:rPr>
      </w:pPr>
    </w:p>
    <w:p w14:paraId="4C708EE4" w14:textId="77777777" w:rsidR="001C2F95" w:rsidRPr="004D086A" w:rsidRDefault="001C2F95" w:rsidP="001C2F95">
      <w:pPr>
        <w:rPr>
          <w:rFonts w:cs="Arial"/>
          <w:i/>
          <w:sz w:val="22"/>
        </w:rPr>
      </w:pPr>
      <w:r w:rsidRPr="004D086A">
        <w:rPr>
          <w:rFonts w:cs="Arial"/>
          <w:i/>
          <w:sz w:val="22"/>
        </w:rPr>
        <w:t>Dégradation de vestiges culturels</w:t>
      </w:r>
    </w:p>
    <w:p w14:paraId="15269473" w14:textId="77777777" w:rsidR="001C2F95" w:rsidRPr="004D086A" w:rsidRDefault="001C2F95" w:rsidP="001C2F95">
      <w:pPr>
        <w:rPr>
          <w:rFonts w:cs="Arial"/>
          <w:sz w:val="22"/>
        </w:rPr>
      </w:pPr>
    </w:p>
    <w:p w14:paraId="0419CE88" w14:textId="77777777" w:rsidR="001C2F95" w:rsidRDefault="001C2F95" w:rsidP="001C2F95">
      <w:pPr>
        <w:rPr>
          <w:rFonts w:cs="Arial"/>
          <w:sz w:val="22"/>
        </w:rPr>
      </w:pPr>
      <w:r w:rsidRPr="004D086A">
        <w:rPr>
          <w:rFonts w:cs="Arial"/>
          <w:sz w:val="22"/>
        </w:rPr>
        <w:t xml:space="preserve">Le Projet évitera les sites de patrimoine culturel pouvant être source de conflits sociaux. Toutefois, il est possible, lors des fouilles, que des vestiges culturels soient découverts de façon fortuite sur les sites. Dans ces cas de découverte fortuite, les Entreprises des travaux devront s’engager à avertir immédiatement les services du Ministère chargé de la Culture, et les travaux seront orientés conformément à leurs directives. </w:t>
      </w:r>
    </w:p>
    <w:p w14:paraId="6D14E735" w14:textId="77777777" w:rsidR="001C2F95" w:rsidRPr="004D086A" w:rsidRDefault="001C2F95" w:rsidP="001C2F95">
      <w:pPr>
        <w:rPr>
          <w:rFonts w:cs="Arial"/>
          <w:sz w:val="22"/>
        </w:rPr>
      </w:pPr>
    </w:p>
    <w:p w14:paraId="55F6D81C" w14:textId="77777777" w:rsidR="001C2F95" w:rsidRPr="004D086A" w:rsidRDefault="001C2F95" w:rsidP="001C2F95">
      <w:pPr>
        <w:tabs>
          <w:tab w:val="left" w:pos="0"/>
        </w:tabs>
        <w:rPr>
          <w:rFonts w:cs="Arial"/>
          <w:sz w:val="22"/>
        </w:rPr>
      </w:pPr>
      <w:r w:rsidRPr="004D086A">
        <w:rPr>
          <w:rFonts w:cs="Arial"/>
          <w:bCs/>
          <w:i/>
          <w:sz w:val="22"/>
        </w:rPr>
        <w:t>Conflits sociaux en cas de non emploi des locaux</w:t>
      </w:r>
      <w:r>
        <w:rPr>
          <w:rFonts w:cs="Arial"/>
          <w:bCs/>
          <w:i/>
          <w:sz w:val="22"/>
        </w:rPr>
        <w:t xml:space="preserve"> </w:t>
      </w:r>
      <w:r w:rsidRPr="004D086A">
        <w:rPr>
          <w:rFonts w:cs="Arial"/>
          <w:bCs/>
          <w:i/>
          <w:sz w:val="22"/>
        </w:rPr>
        <w:t xml:space="preserve">ou de non-respect des us et coutumes non </w:t>
      </w:r>
      <w:r w:rsidR="00412000" w:rsidRPr="004D086A">
        <w:rPr>
          <w:rFonts w:cs="Arial"/>
          <w:bCs/>
          <w:i/>
          <w:sz w:val="22"/>
        </w:rPr>
        <w:t>rétrogrades</w:t>
      </w:r>
      <w:r w:rsidRPr="004D086A">
        <w:rPr>
          <w:rFonts w:cs="Arial"/>
          <w:bCs/>
          <w:i/>
          <w:sz w:val="22"/>
        </w:rPr>
        <w:t xml:space="preserve"> </w:t>
      </w:r>
    </w:p>
    <w:p w14:paraId="79CD8DC0" w14:textId="77777777" w:rsidR="001C2F95" w:rsidRPr="004D086A" w:rsidRDefault="001C2F95" w:rsidP="001C2F95">
      <w:pPr>
        <w:tabs>
          <w:tab w:val="left" w:pos="0"/>
        </w:tabs>
        <w:rPr>
          <w:rFonts w:cs="Arial"/>
          <w:iCs/>
          <w:sz w:val="22"/>
        </w:rPr>
      </w:pPr>
    </w:p>
    <w:p w14:paraId="5DC3E7F3" w14:textId="77777777" w:rsidR="001C2F95" w:rsidRDefault="001C2F95" w:rsidP="001C2F95">
      <w:pPr>
        <w:rPr>
          <w:rFonts w:cs="Arial"/>
          <w:i/>
          <w:sz w:val="22"/>
        </w:rPr>
      </w:pPr>
      <w:r w:rsidRPr="004D086A">
        <w:rPr>
          <w:rFonts w:cs="Arial"/>
          <w:iCs/>
          <w:sz w:val="22"/>
        </w:rPr>
        <w:t>L</w:t>
      </w:r>
      <w:r w:rsidRPr="004D086A">
        <w:rPr>
          <w:rFonts w:cs="Arial"/>
          <w:sz w:val="22"/>
        </w:rPr>
        <w:t>es travaux nécessiteront de la main-d’œuvre locale (particulièrement avec la méthode HIMO), ce qui constituera une source potentielle d’augmentation des revenus des populations au niveau local. La non-utilisation de la main-d’œuvre résidente dans les travaux pourrait susciter des frustrations ou des conflits sociaux, ce qui peut nuire à la bonne marche des travaux. L’insuffisance de recrutement de la main-d’œuvre au niveau local est un impact négatif potentiel de l’exécution des travaux, ce qui pourrait constituer un obstacle majeur à l’appropriation de l’infrastructure. Aussi, le non-respect des us et coutumes locales, non su</w:t>
      </w:r>
      <w:r w:rsidR="00412000">
        <w:rPr>
          <w:rFonts w:cs="Arial"/>
          <w:sz w:val="22"/>
        </w:rPr>
        <w:t>s</w:t>
      </w:r>
      <w:r w:rsidRPr="004D086A">
        <w:rPr>
          <w:rFonts w:cs="Arial"/>
          <w:sz w:val="22"/>
        </w:rPr>
        <w:t xml:space="preserve">ceptibles d’engendrer les </w:t>
      </w:r>
      <w:r>
        <w:rPr>
          <w:rFonts w:cs="Arial"/>
          <w:sz w:val="22"/>
        </w:rPr>
        <w:t>VBG, y compris l’EAS et le HS</w:t>
      </w:r>
      <w:r w:rsidRPr="004D086A">
        <w:rPr>
          <w:rFonts w:cs="Arial"/>
          <w:sz w:val="22"/>
        </w:rPr>
        <w:t>, par le personnel peut-il entraîner des conflits avec les populations locales. Cette disposition peut atténuer tant soit peu les actes des VBG</w:t>
      </w:r>
      <w:r>
        <w:rPr>
          <w:rFonts w:cs="Arial"/>
          <w:sz w:val="22"/>
        </w:rPr>
        <w:t>, y compris l’</w:t>
      </w:r>
      <w:r w:rsidRPr="004D086A">
        <w:rPr>
          <w:rFonts w:cs="Arial"/>
          <w:sz w:val="22"/>
        </w:rPr>
        <w:t>EAS</w:t>
      </w:r>
      <w:r>
        <w:rPr>
          <w:rFonts w:cs="Arial"/>
          <w:sz w:val="22"/>
        </w:rPr>
        <w:t xml:space="preserve"> et le </w:t>
      </w:r>
      <w:r w:rsidRPr="004D086A">
        <w:rPr>
          <w:rFonts w:cs="Arial"/>
          <w:sz w:val="22"/>
        </w:rPr>
        <w:t>HS, du fait que les sujets sont bien connus dans leur milieu, ils sont logés dans leur</w:t>
      </w:r>
      <w:r>
        <w:rPr>
          <w:rFonts w:cs="Arial"/>
          <w:sz w:val="22"/>
        </w:rPr>
        <w:t>s</w:t>
      </w:r>
      <w:r w:rsidRPr="004D086A">
        <w:rPr>
          <w:rFonts w:cs="Arial"/>
          <w:sz w:val="22"/>
        </w:rPr>
        <w:t xml:space="preserve"> résidence</w:t>
      </w:r>
      <w:r>
        <w:rPr>
          <w:rFonts w:cs="Arial"/>
          <w:sz w:val="22"/>
        </w:rPr>
        <w:t>s</w:t>
      </w:r>
      <w:r w:rsidRPr="004D086A">
        <w:rPr>
          <w:rFonts w:cs="Arial"/>
          <w:sz w:val="22"/>
        </w:rPr>
        <w:t xml:space="preserve">, </w:t>
      </w:r>
      <w:r>
        <w:rPr>
          <w:rFonts w:cs="Arial"/>
          <w:sz w:val="22"/>
        </w:rPr>
        <w:t xml:space="preserve">et </w:t>
      </w:r>
      <w:r w:rsidRPr="004D086A">
        <w:rPr>
          <w:rFonts w:cs="Arial"/>
          <w:sz w:val="22"/>
        </w:rPr>
        <w:t>ne parcourent pas de longues distances pour se retrouver sur le lieu de travail</w:t>
      </w:r>
      <w:r>
        <w:rPr>
          <w:rFonts w:cs="Arial"/>
          <w:sz w:val="22"/>
        </w:rPr>
        <w:t xml:space="preserve">. Ainsi, les risques d’EAS/HS pour les filles et femmes dans ces communautés seront </w:t>
      </w:r>
      <w:r w:rsidR="00412000">
        <w:rPr>
          <w:rFonts w:cs="Arial"/>
          <w:sz w:val="22"/>
        </w:rPr>
        <w:t>diminués</w:t>
      </w:r>
      <w:r>
        <w:rPr>
          <w:rFonts w:cs="Arial"/>
          <w:sz w:val="22"/>
        </w:rPr>
        <w:t xml:space="preserve"> sans l’afflux de la main d’œuvre de l’</w:t>
      </w:r>
      <w:r w:rsidR="00412000">
        <w:rPr>
          <w:rFonts w:cs="Arial"/>
          <w:sz w:val="22"/>
        </w:rPr>
        <w:t>e</w:t>
      </w:r>
      <w:r>
        <w:rPr>
          <w:rFonts w:cs="Arial"/>
          <w:sz w:val="22"/>
        </w:rPr>
        <w:t>xtérieur</w:t>
      </w:r>
      <w:r w:rsidRPr="004D086A">
        <w:rPr>
          <w:rFonts w:cs="Arial"/>
          <w:sz w:val="22"/>
        </w:rPr>
        <w:t>.</w:t>
      </w:r>
    </w:p>
    <w:p w14:paraId="3FA63004" w14:textId="77777777" w:rsidR="001C2F95" w:rsidRPr="004D086A" w:rsidRDefault="001C2F95" w:rsidP="001C2F95">
      <w:pPr>
        <w:rPr>
          <w:rFonts w:cs="Arial"/>
          <w:i/>
          <w:sz w:val="22"/>
        </w:rPr>
      </w:pPr>
    </w:p>
    <w:p w14:paraId="658CE204" w14:textId="77777777" w:rsidR="001C2F95" w:rsidRPr="004D086A" w:rsidRDefault="001C2F95" w:rsidP="001C2F95">
      <w:pPr>
        <w:rPr>
          <w:rFonts w:cs="Arial"/>
          <w:sz w:val="22"/>
        </w:rPr>
      </w:pPr>
      <w:r w:rsidRPr="004D086A">
        <w:rPr>
          <w:rFonts w:cs="Arial"/>
          <w:i/>
          <w:sz w:val="22"/>
        </w:rPr>
        <w:t>Pertes de biens et de sources de revenus en cas de réinstallation involontaire</w:t>
      </w:r>
    </w:p>
    <w:p w14:paraId="68C7A81D" w14:textId="77777777" w:rsidR="001C2F95" w:rsidRPr="004D086A" w:rsidRDefault="001C2F95" w:rsidP="001C2F95">
      <w:pPr>
        <w:rPr>
          <w:rFonts w:cs="Arial"/>
          <w:sz w:val="22"/>
        </w:rPr>
      </w:pPr>
    </w:p>
    <w:p w14:paraId="4E89599E" w14:textId="77777777" w:rsidR="001C2F95" w:rsidRPr="004D086A" w:rsidRDefault="001C2F95" w:rsidP="001C2F95">
      <w:pPr>
        <w:rPr>
          <w:rFonts w:cs="Arial"/>
          <w:sz w:val="22"/>
        </w:rPr>
      </w:pPr>
      <w:r w:rsidRPr="004D086A">
        <w:rPr>
          <w:rFonts w:cs="Arial"/>
          <w:sz w:val="22"/>
        </w:rPr>
        <w:t xml:space="preserve">Le choix des sites pour les sous-projets va constituer une question très sensible au plan social car la disponibilité des lieux (non occupation ; pas ou peu de déplacements) sera un critère de sélection (il faudra éviter la discrimination liée au sexe). Toutefois, malgré ces dispositions, les choix des sites devant abriter les micro-projets pourra déboucher sur une procédure d'expropriation et de réinstallation en cas d’occupation, même irrégulière, par des installations physiques ou des activités socio-économiques. </w:t>
      </w:r>
    </w:p>
    <w:p w14:paraId="063FF09F" w14:textId="77777777" w:rsidR="001C2F95" w:rsidRPr="004D086A" w:rsidRDefault="001C2F95" w:rsidP="001C2F95">
      <w:pPr>
        <w:rPr>
          <w:rFonts w:cs="Arial"/>
          <w:sz w:val="22"/>
        </w:rPr>
      </w:pPr>
    </w:p>
    <w:p w14:paraId="5DFEBEA7" w14:textId="77777777" w:rsidR="001C2F95" w:rsidRPr="004D086A" w:rsidRDefault="001C2F95" w:rsidP="001C2F95">
      <w:pPr>
        <w:rPr>
          <w:rFonts w:cs="Arial"/>
          <w:i/>
          <w:sz w:val="22"/>
        </w:rPr>
      </w:pPr>
      <w:bookmarkStart w:id="493" w:name="_Toc510553667"/>
      <w:r w:rsidRPr="004D086A">
        <w:rPr>
          <w:rFonts w:cs="Arial"/>
          <w:i/>
          <w:sz w:val="22"/>
        </w:rPr>
        <w:t>Risque de</w:t>
      </w:r>
      <w:r>
        <w:rPr>
          <w:rFonts w:cs="Arial"/>
          <w:i/>
          <w:sz w:val="22"/>
        </w:rPr>
        <w:t>s</w:t>
      </w:r>
      <w:r w:rsidRPr="004D086A">
        <w:rPr>
          <w:rFonts w:cs="Arial"/>
          <w:i/>
          <w:sz w:val="22"/>
        </w:rPr>
        <w:t xml:space="preserve"> </w:t>
      </w:r>
      <w:bookmarkEnd w:id="493"/>
      <w:r w:rsidRPr="004D086A">
        <w:rPr>
          <w:rFonts w:cs="Arial"/>
          <w:i/>
          <w:sz w:val="22"/>
        </w:rPr>
        <w:t>VBG</w:t>
      </w:r>
      <w:r>
        <w:rPr>
          <w:rFonts w:cs="Arial"/>
          <w:i/>
          <w:sz w:val="22"/>
        </w:rPr>
        <w:t>, y compris l’EAS et le HS</w:t>
      </w:r>
    </w:p>
    <w:p w14:paraId="10E50408" w14:textId="77777777" w:rsidR="001C2F95" w:rsidRPr="004D086A" w:rsidRDefault="001C2F95" w:rsidP="001C2F95">
      <w:pPr>
        <w:rPr>
          <w:rFonts w:cs="Arial"/>
          <w:i/>
          <w:sz w:val="22"/>
        </w:rPr>
      </w:pPr>
    </w:p>
    <w:p w14:paraId="3CD867F2" w14:textId="77777777" w:rsidR="001C2F95" w:rsidRPr="00010F6E" w:rsidRDefault="001C2F95" w:rsidP="001C2F95">
      <w:pPr>
        <w:rPr>
          <w:rFonts w:cs="Arial"/>
          <w:sz w:val="22"/>
        </w:rPr>
      </w:pPr>
      <w:r w:rsidRPr="004D086A">
        <w:rPr>
          <w:rFonts w:cs="Arial"/>
          <w:sz w:val="22"/>
        </w:rPr>
        <w:t xml:space="preserve">Le risque social est jugé substantiel, englobant un risque par rapport aux </w:t>
      </w:r>
      <w:r>
        <w:rPr>
          <w:rFonts w:cs="Arial"/>
          <w:sz w:val="22"/>
        </w:rPr>
        <w:t>VBG</w:t>
      </w:r>
      <w:r w:rsidRPr="004D086A">
        <w:rPr>
          <w:rFonts w:cs="Arial"/>
          <w:sz w:val="22"/>
        </w:rPr>
        <w:t xml:space="preserve"> classifié de manière provisoire au niveau </w:t>
      </w:r>
      <w:r>
        <w:rPr>
          <w:rFonts w:cs="Arial"/>
          <w:sz w:val="22"/>
        </w:rPr>
        <w:t>substantiel</w:t>
      </w:r>
      <w:r w:rsidRPr="004D086A">
        <w:rPr>
          <w:rFonts w:cs="Arial"/>
          <w:sz w:val="22"/>
        </w:rPr>
        <w:t>, ce qui pourrait nécessiter l’engagement d’un expert en matière de VBG pendant la mise en œuvre du pro</w:t>
      </w:r>
      <w:r>
        <w:rPr>
          <w:rFonts w:cs="Arial"/>
          <w:sz w:val="22"/>
        </w:rPr>
        <w:t>gramme</w:t>
      </w:r>
      <w:r w:rsidRPr="004D086A">
        <w:rPr>
          <w:rFonts w:cs="Arial"/>
          <w:sz w:val="22"/>
        </w:rPr>
        <w:t xml:space="preserve">. Ce risque classé </w:t>
      </w:r>
      <w:r>
        <w:rPr>
          <w:rFonts w:cs="Arial"/>
          <w:sz w:val="22"/>
        </w:rPr>
        <w:t>substantiel</w:t>
      </w:r>
      <w:r w:rsidRPr="004D086A">
        <w:rPr>
          <w:rFonts w:cs="Arial"/>
          <w:sz w:val="22"/>
        </w:rPr>
        <w:t xml:space="preserve"> est dû aux impacts potentiels du Projet lui-même </w:t>
      </w:r>
      <w:r>
        <w:rPr>
          <w:rFonts w:cs="Arial"/>
          <w:sz w:val="22"/>
        </w:rPr>
        <w:t xml:space="preserve">et </w:t>
      </w:r>
      <w:r w:rsidRPr="004D086A">
        <w:rPr>
          <w:rFonts w:cs="Arial"/>
          <w:sz w:val="22"/>
        </w:rPr>
        <w:t xml:space="preserve">aux conditions générales d’instabilité, de conflit, de fragilité, et de difficulté d’accès </w:t>
      </w:r>
      <w:r>
        <w:rPr>
          <w:rFonts w:cs="Arial"/>
          <w:sz w:val="22"/>
        </w:rPr>
        <w:t xml:space="preserve">des zones d’intervention du projet, ainsi que des zones humanitaires, telles que </w:t>
      </w:r>
      <w:r w:rsidRPr="004D086A">
        <w:rPr>
          <w:rFonts w:cs="Arial"/>
          <w:sz w:val="22"/>
        </w:rPr>
        <w:t xml:space="preserve">dans le </w:t>
      </w:r>
      <w:r>
        <w:rPr>
          <w:rFonts w:cs="Arial"/>
          <w:sz w:val="22"/>
        </w:rPr>
        <w:t>Kasaï Central</w:t>
      </w:r>
      <w:r w:rsidRPr="004D086A">
        <w:rPr>
          <w:rFonts w:cs="Arial"/>
          <w:sz w:val="22"/>
        </w:rPr>
        <w:t xml:space="preserve"> et le Nord-Kivu, susceptibles d’affecter les bénéficiaires du Pro</w:t>
      </w:r>
      <w:r>
        <w:rPr>
          <w:rFonts w:cs="Arial"/>
          <w:sz w:val="22"/>
        </w:rPr>
        <w:t>gramme</w:t>
      </w:r>
      <w:r w:rsidRPr="004D086A">
        <w:rPr>
          <w:rFonts w:cs="Arial"/>
          <w:sz w:val="22"/>
        </w:rPr>
        <w:t xml:space="preserve"> dans les communautés agricoles. </w:t>
      </w:r>
      <w:r>
        <w:rPr>
          <w:rFonts w:cs="Arial"/>
          <w:sz w:val="22"/>
        </w:rPr>
        <w:t>Les conditions de travail et de supervision du personnel sur les sites de travaux de réhabilitation et la possibilité d’afflux de la main d’œuvre peuvent aussi contribuer à un niveau risque d’EAS/HS plus él</w:t>
      </w:r>
      <w:r w:rsidR="00412000">
        <w:rPr>
          <w:rFonts w:cs="Arial"/>
          <w:sz w:val="22"/>
        </w:rPr>
        <w:t>e</w:t>
      </w:r>
      <w:r>
        <w:rPr>
          <w:rFonts w:cs="Arial"/>
          <w:sz w:val="22"/>
        </w:rPr>
        <w:t>vé.</w:t>
      </w:r>
    </w:p>
    <w:p w14:paraId="55187BDD" w14:textId="77777777" w:rsidR="001C2F95" w:rsidRPr="00010F6E" w:rsidRDefault="001C2F95" w:rsidP="001C2F95">
      <w:pPr>
        <w:rPr>
          <w:rFonts w:cs="Arial"/>
          <w:sz w:val="22"/>
        </w:rPr>
      </w:pPr>
    </w:p>
    <w:p w14:paraId="2754BC08" w14:textId="77777777" w:rsidR="001C2F95" w:rsidRDefault="001C2F95" w:rsidP="001C2F95">
      <w:pPr>
        <w:rPr>
          <w:rFonts w:cs="Arial"/>
          <w:sz w:val="22"/>
        </w:rPr>
      </w:pPr>
      <w:r w:rsidRPr="00010F6E">
        <w:rPr>
          <w:rFonts w:cs="Arial"/>
          <w:sz w:val="22"/>
        </w:rPr>
        <w:t>Le Pro</w:t>
      </w:r>
      <w:r>
        <w:rPr>
          <w:rFonts w:cs="Arial"/>
          <w:sz w:val="22"/>
        </w:rPr>
        <w:t>gramme</w:t>
      </w:r>
      <w:r w:rsidRPr="00010F6E">
        <w:rPr>
          <w:rFonts w:cs="Arial"/>
          <w:sz w:val="22"/>
        </w:rPr>
        <w:t xml:space="preserve"> vise à travailler avec les petits exploitants agricoles existants (y compris les femmes) pour améliorer leur production agricole et leur accès aux marchés à travers des activités de réhabilitation importantes, ce qui pourrait poser un risque d</w:t>
      </w:r>
      <w:r>
        <w:rPr>
          <w:rFonts w:cs="Arial"/>
          <w:sz w:val="22"/>
        </w:rPr>
        <w:t>’</w:t>
      </w:r>
      <w:r w:rsidRPr="00010F6E">
        <w:rPr>
          <w:rFonts w:cs="Arial"/>
          <w:sz w:val="22"/>
        </w:rPr>
        <w:t>EAS</w:t>
      </w:r>
      <w:r>
        <w:rPr>
          <w:rFonts w:cs="Arial"/>
          <w:sz w:val="22"/>
        </w:rPr>
        <w:t>/HS. Le Programme vise aussi</w:t>
      </w:r>
      <w:r w:rsidRPr="00010F6E">
        <w:rPr>
          <w:rFonts w:cs="Arial"/>
          <w:sz w:val="22"/>
        </w:rPr>
        <w:t xml:space="preserve"> à encourager une plus grande inclusion des femmes et des jeunes dans le secteur dans la composante 1, bien qu’il soit difficile de déterminer comment atteindre ce dernier objectif dans des conditions où les capacités sont manifestement faibles. Il existe des risques importants de conflit et de sécurité dans le centre du Kasaï, dus en partie aux récents afflux de rapatriés congolais en provenance de l’Angola et aux mouvements d’autres personnes déplacées à l’intérieur du pays en raison des conflits intercommunautaires et de la présence de groupes armés. </w:t>
      </w:r>
    </w:p>
    <w:p w14:paraId="78BE4436" w14:textId="77777777" w:rsidR="00412000" w:rsidRDefault="00412000" w:rsidP="001C2F95">
      <w:pPr>
        <w:rPr>
          <w:rFonts w:cs="Arial"/>
          <w:sz w:val="22"/>
        </w:rPr>
      </w:pPr>
    </w:p>
    <w:p w14:paraId="364BCC7F" w14:textId="77777777" w:rsidR="00412000" w:rsidRPr="00010F6E" w:rsidRDefault="00412000" w:rsidP="00412000">
      <w:pPr>
        <w:rPr>
          <w:rFonts w:cs="Arial"/>
          <w:sz w:val="22"/>
        </w:rPr>
      </w:pPr>
      <w:r w:rsidRPr="00412000">
        <w:t>De telles activités du programme, bien que très nécessaires, pourraient également avoir un impact sur les rôles et les normes de genre au sein du ménage et des communautés et par conséquent augmenter les risques de violence envers les femmes tant de la part du chef de famille que des autres membres de la communauté. Le projet doit identifier ces risques et planifier des mesures d'atténuation comme les sensibilisation et formation, mais aussi si possible des activités de groupe pour les membres de la communauté (femmes et hommes dans des groupes séparés) sur une période avec des séances pour discuter des avantages de la participation active des femmes, des changements les normes de genre, les craintes de la communauté liées à ces changements, etc.</w:t>
      </w:r>
    </w:p>
    <w:p w14:paraId="14F0E7CD" w14:textId="77777777" w:rsidR="00412000" w:rsidRDefault="00412000" w:rsidP="001C2F95">
      <w:pPr>
        <w:rPr>
          <w:rFonts w:cs="Arial"/>
          <w:sz w:val="22"/>
        </w:rPr>
      </w:pPr>
    </w:p>
    <w:p w14:paraId="78F957C5" w14:textId="77777777" w:rsidR="007C78BF" w:rsidRPr="00010F6E" w:rsidRDefault="007C78BF" w:rsidP="001C2F95">
      <w:pPr>
        <w:rPr>
          <w:rFonts w:cs="Arial"/>
          <w:sz w:val="22"/>
        </w:rPr>
      </w:pPr>
    </w:p>
    <w:p w14:paraId="10A91888" w14:textId="77777777" w:rsidR="001C2F95" w:rsidRPr="00010F6E" w:rsidRDefault="001C2F95" w:rsidP="001C2F95">
      <w:pPr>
        <w:rPr>
          <w:rFonts w:cs="Arial"/>
          <w:i/>
          <w:sz w:val="22"/>
        </w:rPr>
      </w:pPr>
      <w:r w:rsidRPr="00010F6E">
        <w:rPr>
          <w:rFonts w:cs="Arial"/>
          <w:i/>
          <w:sz w:val="22"/>
        </w:rPr>
        <w:t xml:space="preserve">Risque lié à la contamination de </w:t>
      </w:r>
      <w:r w:rsidRPr="00F63752">
        <w:rPr>
          <w:rFonts w:cs="Arial"/>
          <w:i/>
          <w:sz w:val="22"/>
        </w:rPr>
        <w:t>COVID-19</w:t>
      </w:r>
    </w:p>
    <w:p w14:paraId="421EC58A" w14:textId="77777777" w:rsidR="001C2F95" w:rsidRPr="00010F6E" w:rsidRDefault="001C2F95" w:rsidP="001C2F95">
      <w:pPr>
        <w:rPr>
          <w:rFonts w:cs="Arial"/>
          <w:i/>
          <w:sz w:val="22"/>
        </w:rPr>
      </w:pPr>
    </w:p>
    <w:p w14:paraId="318D1873" w14:textId="77777777" w:rsidR="001C2F95" w:rsidRPr="00010F6E" w:rsidRDefault="001C2F95" w:rsidP="001C2F95">
      <w:pPr>
        <w:rPr>
          <w:rFonts w:cs="Arial"/>
          <w:sz w:val="22"/>
        </w:rPr>
      </w:pPr>
      <w:r w:rsidRPr="00010F6E">
        <w:rPr>
          <w:rFonts w:cs="Arial"/>
          <w:sz w:val="22"/>
        </w:rPr>
        <w:t xml:space="preserve">Au regard du contexte actuel de la problématique de la santé publique liée à la pandémie de COVID-19 dans le monde et en RDC, la Ville-Province de Kinshasa est considérée comme l’épicentre de la COVID-19 dans le pays suivi de la Province du </w:t>
      </w:r>
      <w:r>
        <w:rPr>
          <w:rFonts w:cs="Arial"/>
          <w:sz w:val="22"/>
        </w:rPr>
        <w:t>Kongo Central</w:t>
      </w:r>
      <w:r w:rsidRPr="00010F6E">
        <w:rPr>
          <w:rFonts w:cs="Arial"/>
          <w:sz w:val="22"/>
        </w:rPr>
        <w:t>. À ce jour, plus de 1250 cas de contamination à la COVID-19 sont confirmés en RDC.</w:t>
      </w:r>
    </w:p>
    <w:p w14:paraId="0CEFBB0A" w14:textId="77777777" w:rsidR="001C2F95" w:rsidRPr="00010F6E" w:rsidRDefault="001C2F95" w:rsidP="001C2F95">
      <w:pPr>
        <w:rPr>
          <w:rFonts w:cs="Arial"/>
          <w:sz w:val="22"/>
        </w:rPr>
      </w:pPr>
    </w:p>
    <w:p w14:paraId="63E71824" w14:textId="77777777" w:rsidR="001C2F95" w:rsidRPr="00010F6E" w:rsidRDefault="001C2F95" w:rsidP="001C2F95">
      <w:pPr>
        <w:rPr>
          <w:rFonts w:cs="Arial"/>
          <w:sz w:val="22"/>
        </w:rPr>
      </w:pPr>
      <w:r w:rsidRPr="00010F6E">
        <w:rPr>
          <w:rFonts w:cs="Arial"/>
          <w:sz w:val="22"/>
        </w:rPr>
        <w:t>En effet, pendant la mise en œuvre du PNDA, les Entreprises, les Missions de Contrôles, les fournisseurs et autres prestataires de service vont recruter la main</w:t>
      </w:r>
      <w:r>
        <w:rPr>
          <w:rFonts w:cs="Arial"/>
          <w:sz w:val="22"/>
        </w:rPr>
        <w:t xml:space="preserve"> </w:t>
      </w:r>
      <w:r w:rsidRPr="00010F6E">
        <w:rPr>
          <w:rFonts w:cs="Arial"/>
          <w:sz w:val="22"/>
        </w:rPr>
        <w:t>d’œuvre locale dans les Provinces concernées par le Projet. Si</w:t>
      </w:r>
      <w:r>
        <w:rPr>
          <w:rFonts w:cs="Arial"/>
          <w:sz w:val="22"/>
        </w:rPr>
        <w:t xml:space="preserve"> les mesures barrières ne s</w:t>
      </w:r>
      <w:r w:rsidRPr="00010F6E">
        <w:rPr>
          <w:rFonts w:cs="Arial"/>
          <w:sz w:val="22"/>
        </w:rPr>
        <w:t>ont pas respectées</w:t>
      </w:r>
      <w:r>
        <w:rPr>
          <w:rFonts w:cs="Arial"/>
          <w:sz w:val="22"/>
        </w:rPr>
        <w:t>,</w:t>
      </w:r>
      <w:r w:rsidRPr="00010F6E">
        <w:rPr>
          <w:rFonts w:cs="Arial"/>
          <w:sz w:val="22"/>
        </w:rPr>
        <w:t xml:space="preserve"> </w:t>
      </w:r>
      <w:r>
        <w:rPr>
          <w:rFonts w:cs="Arial"/>
          <w:sz w:val="22"/>
        </w:rPr>
        <w:t>c</w:t>
      </w:r>
      <w:r w:rsidRPr="00010F6E">
        <w:rPr>
          <w:rFonts w:cs="Arial"/>
          <w:sz w:val="22"/>
        </w:rPr>
        <w:t>ette main-d’œuvre permanente sur les chantiers sera</w:t>
      </w:r>
      <w:r>
        <w:rPr>
          <w:rFonts w:cs="Arial"/>
          <w:sz w:val="22"/>
        </w:rPr>
        <w:t>it</w:t>
      </w:r>
      <w:r w:rsidRPr="00010F6E">
        <w:rPr>
          <w:rFonts w:cs="Arial"/>
          <w:sz w:val="22"/>
        </w:rPr>
        <w:t xml:space="preserve"> exposée à la COVID-19. Le PNDA va exiger à chaque entreprise d’élaborer un plan de prévention contre la COVID-19 pour son chantier.</w:t>
      </w:r>
    </w:p>
    <w:p w14:paraId="33960F0C" w14:textId="77777777" w:rsidR="001C2F95" w:rsidRPr="00010F6E" w:rsidRDefault="001C2F95" w:rsidP="001C2F95">
      <w:pPr>
        <w:rPr>
          <w:rFonts w:cs="Arial"/>
          <w:sz w:val="22"/>
        </w:rPr>
      </w:pPr>
    </w:p>
    <w:p w14:paraId="1ECBFD67" w14:textId="77777777" w:rsidR="001C2F95" w:rsidRPr="00010F6E" w:rsidRDefault="001C2F95" w:rsidP="001C2F95">
      <w:pPr>
        <w:rPr>
          <w:rFonts w:cs="Arial"/>
          <w:sz w:val="22"/>
        </w:rPr>
      </w:pPr>
      <w:r w:rsidRPr="00010F6E">
        <w:rPr>
          <w:rFonts w:cs="Arial"/>
          <w:sz w:val="22"/>
        </w:rPr>
        <w:t>Augmentation des risques d</w:t>
      </w:r>
      <w:r>
        <w:rPr>
          <w:rFonts w:cs="Arial"/>
          <w:sz w:val="22"/>
        </w:rPr>
        <w:t xml:space="preserve">’EAS/HS </w:t>
      </w:r>
      <w:r w:rsidRPr="00010F6E">
        <w:rPr>
          <w:rFonts w:cs="Arial"/>
          <w:sz w:val="22"/>
        </w:rPr>
        <w:t>liés aux travaux et suite à la COVID-19</w:t>
      </w:r>
    </w:p>
    <w:p w14:paraId="12C51B2F" w14:textId="77777777" w:rsidR="001C2F95" w:rsidRPr="00010F6E" w:rsidRDefault="001C2F95" w:rsidP="001C2F95">
      <w:pPr>
        <w:rPr>
          <w:rFonts w:cs="Arial"/>
          <w:sz w:val="22"/>
        </w:rPr>
      </w:pPr>
    </w:p>
    <w:p w14:paraId="2EB0877B" w14:textId="77777777" w:rsidR="001C2F95" w:rsidRPr="00010F6E" w:rsidRDefault="001C2F95" w:rsidP="001C2F95">
      <w:pPr>
        <w:rPr>
          <w:rFonts w:cs="Arial"/>
          <w:sz w:val="22"/>
        </w:rPr>
      </w:pPr>
      <w:r w:rsidRPr="00010F6E">
        <w:rPr>
          <w:rFonts w:cs="Arial"/>
          <w:sz w:val="22"/>
        </w:rPr>
        <w:t xml:space="preserve">Risques d’exacerber les </w:t>
      </w:r>
      <w:r>
        <w:rPr>
          <w:rFonts w:cs="Arial"/>
          <w:sz w:val="22"/>
        </w:rPr>
        <w:t xml:space="preserve">VBG, y compris l’EAS et le HS, </w:t>
      </w:r>
      <w:r w:rsidRPr="00010F6E">
        <w:rPr>
          <w:rFonts w:cs="Arial"/>
          <w:sz w:val="22"/>
        </w:rPr>
        <w:t xml:space="preserve">dans les zones d’intervention du  PNDA suite au brassage des populations et à l’afflux de la main-d’œuvre allochtone.  </w:t>
      </w:r>
    </w:p>
    <w:p w14:paraId="454A565F" w14:textId="77777777" w:rsidR="001C2F95" w:rsidRPr="00010F6E" w:rsidRDefault="001C2F95" w:rsidP="001C2F95">
      <w:pPr>
        <w:rPr>
          <w:rFonts w:cs="Arial"/>
          <w:sz w:val="22"/>
        </w:rPr>
      </w:pPr>
    </w:p>
    <w:p w14:paraId="4FE04870" w14:textId="77777777" w:rsidR="001C2F95" w:rsidRPr="00010F6E" w:rsidRDefault="001C2F95" w:rsidP="001C2F95">
      <w:pPr>
        <w:rPr>
          <w:rFonts w:cs="Arial"/>
          <w:sz w:val="22"/>
        </w:rPr>
      </w:pPr>
      <w:r>
        <w:rPr>
          <w:rFonts w:cs="Arial"/>
          <w:sz w:val="22"/>
        </w:rPr>
        <w:t>Quant aux impacts potentiels négatifs du COVID-19 sur les femmes, l</w:t>
      </w:r>
      <w:r w:rsidRPr="00010F6E">
        <w:rPr>
          <w:rFonts w:cs="Arial"/>
          <w:sz w:val="22"/>
        </w:rPr>
        <w:t xml:space="preserve">es normes sociétales ont confié à la femme des responsabilités dans l'approvisionnement et la cuisson des aliments au sein de la famille, l'augmentation de l'insécurité alimentaire à la suite des crises peut les exposer à un risque accru, par exemple, de la part du partenaire intime, ainsi que d'autres formes de violences </w:t>
      </w:r>
      <w:r>
        <w:rPr>
          <w:rFonts w:cs="Arial"/>
          <w:sz w:val="22"/>
        </w:rPr>
        <w:t>entre partenaires intimes</w:t>
      </w:r>
      <w:r w:rsidRPr="00010F6E">
        <w:rPr>
          <w:rFonts w:cs="Arial"/>
          <w:sz w:val="22"/>
        </w:rPr>
        <w:t xml:space="preserve"> dues à l'intensification des tensions au sein du ménage. D'autres formes de VBG sont également exacerbées dans les contextes de crise en RDC. Par exemple, les impacts économiques de la pandémie de la COVID-19 vont exposer les femmes et les enfants à un risque accru </w:t>
      </w:r>
      <w:r>
        <w:rPr>
          <w:rFonts w:cs="Arial"/>
          <w:sz w:val="22"/>
        </w:rPr>
        <w:t>d’EAS</w:t>
      </w:r>
      <w:r w:rsidRPr="00010F6E">
        <w:rPr>
          <w:rFonts w:cs="Arial"/>
          <w:sz w:val="22"/>
        </w:rPr>
        <w:t>. En outre, les soins vitaux et le soutien aux survivantes de VBG (c'est-à-dire la gestion clinique du viol et de la santé mentale et le soutien psychosocial) peuvent être interrompus dans les centres de crise à guichet unique des hôpitaux de niveau tertiaire lorsque les prestataires de services de santé sont surchargés et préoccupés par le traitement des cas liés à la COVID-19.</w:t>
      </w:r>
    </w:p>
    <w:p w14:paraId="6A47C6ED" w14:textId="77777777" w:rsidR="001C2F95" w:rsidRPr="00010F6E" w:rsidRDefault="001C2F95" w:rsidP="001C2F95">
      <w:pPr>
        <w:rPr>
          <w:rFonts w:cs="Arial"/>
          <w:sz w:val="22"/>
        </w:rPr>
      </w:pPr>
    </w:p>
    <w:p w14:paraId="5EA774EC" w14:textId="77777777" w:rsidR="001C2F95" w:rsidRPr="00010F6E" w:rsidRDefault="001C2F95" w:rsidP="001C2F95">
      <w:pPr>
        <w:rPr>
          <w:rFonts w:cs="Arial"/>
          <w:i/>
          <w:sz w:val="22"/>
        </w:rPr>
      </w:pPr>
      <w:r w:rsidRPr="00010F6E">
        <w:rPr>
          <w:rFonts w:cs="Arial"/>
          <w:i/>
          <w:sz w:val="22"/>
        </w:rPr>
        <w:t xml:space="preserve">Impacts sur l'autonomisation économique des femmes </w:t>
      </w:r>
    </w:p>
    <w:p w14:paraId="593D611E" w14:textId="77777777" w:rsidR="001C2F95" w:rsidRPr="00010F6E" w:rsidRDefault="001C2F95" w:rsidP="001C2F95">
      <w:pPr>
        <w:rPr>
          <w:rFonts w:cs="Arial"/>
          <w:sz w:val="22"/>
        </w:rPr>
      </w:pPr>
    </w:p>
    <w:p w14:paraId="22C39E82" w14:textId="77777777" w:rsidR="001C2F95" w:rsidRDefault="001C2F95" w:rsidP="001C2F95">
      <w:pPr>
        <w:rPr>
          <w:rFonts w:cs="Arial"/>
          <w:sz w:val="22"/>
        </w:rPr>
      </w:pPr>
      <w:r w:rsidRPr="00010F6E">
        <w:rPr>
          <w:rFonts w:cs="Arial"/>
          <w:sz w:val="22"/>
        </w:rPr>
        <w:t>La crise de COVID-19 menace gravement l</w:t>
      </w:r>
      <w:r>
        <w:rPr>
          <w:rFonts w:cs="Arial"/>
          <w:sz w:val="22"/>
        </w:rPr>
        <w:t>’</w:t>
      </w:r>
      <w:r w:rsidRPr="00010F6E">
        <w:rPr>
          <w:rFonts w:cs="Arial"/>
          <w:sz w:val="22"/>
        </w:rPr>
        <w:t>engagement des femmes dans les activités économiques, en particulier dans les secteurs informels, et peuvent accroître les écarts entre les sexes dans les moyens de subsistance. Il sied de signaler qu’avec le confinement annoncé par le Gouvernement de la RDC, les foyers à faibles revenus observés dans les Provinces concernées par le Projet, la femme est obligée de sortir chaque jour pour vendre les biens de première nécessité et se procurer de quoi manger avec tout le risque de contamination qui peut aussi toucher toute la famille. La femme non protégée peut être une porte d’entrée de COVID-19 dans le ménage.</w:t>
      </w:r>
    </w:p>
    <w:p w14:paraId="45A49633" w14:textId="77777777" w:rsidR="001C2F95" w:rsidRPr="00F63752" w:rsidRDefault="001C2F95" w:rsidP="001C2F95">
      <w:pPr>
        <w:rPr>
          <w:rFonts w:cs="Arial"/>
          <w:sz w:val="22"/>
        </w:rPr>
      </w:pPr>
    </w:p>
    <w:p w14:paraId="56230C7A" w14:textId="77777777" w:rsidR="001C2F95" w:rsidRPr="00F63752" w:rsidRDefault="001C2F95" w:rsidP="001C2F95">
      <w:pPr>
        <w:rPr>
          <w:i/>
          <w:sz w:val="22"/>
        </w:rPr>
      </w:pPr>
      <w:r w:rsidRPr="00F63752">
        <w:rPr>
          <w:i/>
          <w:sz w:val="22"/>
        </w:rPr>
        <w:t xml:space="preserve">Risques d’incendie ou explosion de cuves de stockage de carburants </w:t>
      </w:r>
    </w:p>
    <w:p w14:paraId="19A27805" w14:textId="77777777" w:rsidR="001C2F95" w:rsidRPr="00F63752" w:rsidRDefault="001C2F95" w:rsidP="001C2F95">
      <w:pPr>
        <w:rPr>
          <w:sz w:val="22"/>
        </w:rPr>
      </w:pPr>
    </w:p>
    <w:p w14:paraId="08E3072D" w14:textId="77777777" w:rsidR="001C2F95" w:rsidRDefault="001C2F95" w:rsidP="001C2F95">
      <w:pPr>
        <w:rPr>
          <w:sz w:val="22"/>
        </w:rPr>
      </w:pPr>
      <w:r w:rsidRPr="00F63752">
        <w:rPr>
          <w:sz w:val="22"/>
        </w:rPr>
        <w:t xml:space="preserve">En phase des travaux des sous-projets de la Composante 2 « </w:t>
      </w:r>
      <w:r>
        <w:rPr>
          <w:sz w:val="22"/>
        </w:rPr>
        <w:t>Accès au marché des petits exploitants</w:t>
      </w:r>
      <w:r w:rsidRPr="00F63752">
        <w:rPr>
          <w:sz w:val="22"/>
        </w:rPr>
        <w:t xml:space="preserve"> » </w:t>
      </w:r>
      <w:r>
        <w:rPr>
          <w:sz w:val="22"/>
        </w:rPr>
        <w:t>du PNDA</w:t>
      </w:r>
      <w:r w:rsidRPr="00F63752">
        <w:rPr>
          <w:sz w:val="22"/>
        </w:rPr>
        <w:t>, l’on notera le</w:t>
      </w:r>
      <w:r>
        <w:rPr>
          <w:sz w:val="22"/>
        </w:rPr>
        <w:t>s</w:t>
      </w:r>
      <w:r w:rsidRPr="00F63752">
        <w:rPr>
          <w:sz w:val="22"/>
        </w:rPr>
        <w:t xml:space="preserve"> risques d’incendies de produits pétroliers </w:t>
      </w:r>
      <w:r>
        <w:rPr>
          <w:sz w:val="22"/>
        </w:rPr>
        <w:t xml:space="preserve">qui </w:t>
      </w:r>
      <w:r w:rsidRPr="00F63752">
        <w:rPr>
          <w:sz w:val="22"/>
        </w:rPr>
        <w:t>pourraient survenir au parc de stockage des carburants, aux réservoirs d’alimentation quotidienne, lors de leur transport et distribution avec potentiel</w:t>
      </w:r>
      <w:r>
        <w:rPr>
          <w:sz w:val="22"/>
        </w:rPr>
        <w:t>les</w:t>
      </w:r>
      <w:r w:rsidRPr="00F63752">
        <w:rPr>
          <w:sz w:val="22"/>
        </w:rPr>
        <w:t xml:space="preserve"> blessures, pertes de vie, pertes économiques et contamination des eaux de surface et souterraines et du sol. Le risque de confinement d’incendie et d’explosion et du phénomène de </w:t>
      </w:r>
      <w:r w:rsidRPr="00F63752">
        <w:rPr>
          <w:i/>
          <w:sz w:val="22"/>
        </w:rPr>
        <w:t>bol over</w:t>
      </w:r>
      <w:r w:rsidRPr="00F63752">
        <w:rPr>
          <w:sz w:val="22"/>
        </w:rPr>
        <w:t xml:space="preserve"> en surface au niveau des réservoirs est bien présent. Le risque est lié à la caractéristique des produits stockés</w:t>
      </w:r>
      <w:r>
        <w:rPr>
          <w:sz w:val="22"/>
        </w:rPr>
        <w:t>.</w:t>
      </w:r>
    </w:p>
    <w:p w14:paraId="0896F509" w14:textId="77777777" w:rsidR="001C2F95" w:rsidRPr="00010F6E" w:rsidRDefault="001C2F95" w:rsidP="001C2F95">
      <w:pPr>
        <w:pStyle w:val="Titre2"/>
        <w:numPr>
          <w:ilvl w:val="2"/>
          <w:numId w:val="4"/>
        </w:numPr>
        <w:ind w:left="1560" w:hanging="709"/>
        <w:rPr>
          <w:rFonts w:cs="Arial"/>
          <w:i/>
          <w:sz w:val="22"/>
          <w:szCs w:val="22"/>
        </w:rPr>
      </w:pPr>
      <w:bookmarkStart w:id="494" w:name="_Toc261554762"/>
      <w:bookmarkStart w:id="495" w:name="_Toc343715829"/>
      <w:bookmarkStart w:id="496" w:name="_Toc487204623"/>
      <w:bookmarkStart w:id="497" w:name="_Toc44626841"/>
      <w:bookmarkStart w:id="498" w:name="_Toc70330427"/>
      <w:r w:rsidRPr="00010F6E">
        <w:rPr>
          <w:rFonts w:cs="Arial"/>
          <w:i/>
          <w:sz w:val="22"/>
          <w:szCs w:val="22"/>
        </w:rPr>
        <w:t xml:space="preserve">Impacts négatifs spécifiques des </w:t>
      </w:r>
      <w:bookmarkEnd w:id="494"/>
      <w:bookmarkEnd w:id="495"/>
      <w:bookmarkEnd w:id="496"/>
      <w:r w:rsidRPr="00010F6E">
        <w:rPr>
          <w:rFonts w:cs="Arial"/>
          <w:i/>
          <w:sz w:val="22"/>
          <w:szCs w:val="22"/>
        </w:rPr>
        <w:t xml:space="preserve">travaux de réhabilitation des </w:t>
      </w:r>
      <w:r>
        <w:rPr>
          <w:rFonts w:cs="Arial"/>
          <w:i/>
          <w:sz w:val="22"/>
          <w:szCs w:val="22"/>
        </w:rPr>
        <w:t>routes</w:t>
      </w:r>
      <w:r w:rsidRPr="00010F6E">
        <w:rPr>
          <w:rFonts w:cs="Arial"/>
          <w:i/>
          <w:sz w:val="22"/>
          <w:szCs w:val="22"/>
        </w:rPr>
        <w:t xml:space="preserve"> rurales, aménagement des marchés communautaires</w:t>
      </w:r>
      <w:bookmarkEnd w:id="497"/>
      <w:r>
        <w:rPr>
          <w:rFonts w:cs="Arial"/>
          <w:i/>
          <w:sz w:val="22"/>
          <w:szCs w:val="22"/>
        </w:rPr>
        <w:t xml:space="preserve"> et abattoirs</w:t>
      </w:r>
      <w:bookmarkEnd w:id="498"/>
      <w:r w:rsidRPr="00010F6E">
        <w:rPr>
          <w:rFonts w:cs="Arial"/>
          <w:i/>
          <w:sz w:val="22"/>
          <w:szCs w:val="22"/>
        </w:rPr>
        <w:t xml:space="preserve"> </w:t>
      </w:r>
    </w:p>
    <w:p w14:paraId="224309C7" w14:textId="77777777" w:rsidR="001C2F95" w:rsidRPr="00010F6E" w:rsidRDefault="001C2F95" w:rsidP="001C2F95">
      <w:pPr>
        <w:tabs>
          <w:tab w:val="left" w:pos="0"/>
        </w:tabs>
        <w:rPr>
          <w:rFonts w:cs="Arial"/>
          <w:sz w:val="22"/>
        </w:rPr>
      </w:pPr>
    </w:p>
    <w:p w14:paraId="00DAD0EB" w14:textId="77777777" w:rsidR="001C2F95" w:rsidRPr="00010F6E" w:rsidRDefault="001C2F95" w:rsidP="001C2F95">
      <w:pPr>
        <w:tabs>
          <w:tab w:val="left" w:pos="0"/>
        </w:tabs>
        <w:rPr>
          <w:rFonts w:cs="Arial"/>
          <w:sz w:val="22"/>
        </w:rPr>
      </w:pPr>
      <w:r w:rsidRPr="00010F6E">
        <w:rPr>
          <w:rFonts w:cs="Arial"/>
          <w:sz w:val="22"/>
        </w:rPr>
        <w:t xml:space="preserve">Pour la réhabilitation des </w:t>
      </w:r>
      <w:r>
        <w:rPr>
          <w:rFonts w:cs="Arial"/>
          <w:sz w:val="22"/>
        </w:rPr>
        <w:t>routes</w:t>
      </w:r>
      <w:r w:rsidRPr="00010F6E">
        <w:rPr>
          <w:rFonts w:cs="Arial"/>
          <w:sz w:val="22"/>
        </w:rPr>
        <w:t xml:space="preserve"> rurales, les aménagements des marchés communautaires,</w:t>
      </w:r>
      <w:r>
        <w:rPr>
          <w:rFonts w:cs="Arial"/>
          <w:sz w:val="22"/>
        </w:rPr>
        <w:t xml:space="preserve"> abattoirs,</w:t>
      </w:r>
      <w:r w:rsidRPr="00010F6E">
        <w:rPr>
          <w:rFonts w:cs="Arial"/>
          <w:sz w:val="22"/>
        </w:rPr>
        <w:t xml:space="preserve"> les risques portent </w:t>
      </w:r>
      <w:r>
        <w:rPr>
          <w:rFonts w:cs="Arial"/>
          <w:sz w:val="22"/>
        </w:rPr>
        <w:t xml:space="preserve">sur </w:t>
      </w:r>
      <w:r w:rsidRPr="00010F6E">
        <w:rPr>
          <w:rFonts w:cs="Arial"/>
          <w:sz w:val="22"/>
        </w:rPr>
        <w:t xml:space="preserve">la destruction des habitats naturels. </w:t>
      </w:r>
    </w:p>
    <w:p w14:paraId="658D6EA2" w14:textId="77777777" w:rsidR="001C2F95" w:rsidRPr="00010F6E" w:rsidRDefault="001C2F95" w:rsidP="001C2F95">
      <w:pPr>
        <w:autoSpaceDE w:val="0"/>
        <w:autoSpaceDN w:val="0"/>
        <w:adjustRightInd w:val="0"/>
        <w:rPr>
          <w:rFonts w:cs="Arial"/>
          <w:sz w:val="22"/>
          <w:u w:val="single"/>
        </w:rPr>
      </w:pPr>
    </w:p>
    <w:p w14:paraId="7DDA1D95" w14:textId="77777777" w:rsidR="001C2F95" w:rsidRPr="00010F6E" w:rsidRDefault="001C2F95" w:rsidP="001C2F95">
      <w:pPr>
        <w:autoSpaceDE w:val="0"/>
        <w:autoSpaceDN w:val="0"/>
        <w:adjustRightInd w:val="0"/>
        <w:rPr>
          <w:rFonts w:cs="Arial"/>
          <w:sz w:val="22"/>
          <w:u w:val="single"/>
        </w:rPr>
      </w:pPr>
      <w:r w:rsidRPr="00010F6E">
        <w:rPr>
          <w:rFonts w:cs="Arial"/>
          <w:sz w:val="22"/>
          <w:u w:val="single"/>
        </w:rPr>
        <w:t>En phase de travaux :</w:t>
      </w:r>
    </w:p>
    <w:p w14:paraId="33ADD58A" w14:textId="77777777" w:rsidR="001C2F95" w:rsidRPr="00010F6E" w:rsidRDefault="001C2F95" w:rsidP="001C2F95">
      <w:pPr>
        <w:autoSpaceDE w:val="0"/>
        <w:autoSpaceDN w:val="0"/>
        <w:adjustRightInd w:val="0"/>
        <w:rPr>
          <w:rFonts w:cs="Arial"/>
          <w:color w:val="000000"/>
          <w:sz w:val="22"/>
        </w:rPr>
      </w:pPr>
    </w:p>
    <w:p w14:paraId="2EE5E514" w14:textId="77777777" w:rsidR="001C2F95" w:rsidRPr="00010F6E" w:rsidRDefault="001C2F95" w:rsidP="001C2F95">
      <w:pPr>
        <w:autoSpaceDE w:val="0"/>
        <w:autoSpaceDN w:val="0"/>
        <w:adjustRightInd w:val="0"/>
        <w:rPr>
          <w:rFonts w:cs="Arial"/>
          <w:color w:val="000000"/>
          <w:sz w:val="22"/>
        </w:rPr>
      </w:pPr>
      <w:r w:rsidRPr="00010F6E">
        <w:rPr>
          <w:rFonts w:cs="Arial"/>
          <w:color w:val="000000"/>
          <w:sz w:val="22"/>
        </w:rPr>
        <w:t xml:space="preserve">Les travaux de réhabilitation de </w:t>
      </w:r>
      <w:r>
        <w:rPr>
          <w:rFonts w:cs="Arial"/>
          <w:sz w:val="22"/>
        </w:rPr>
        <w:t>rou</w:t>
      </w:r>
      <w:r w:rsidRPr="00010F6E">
        <w:rPr>
          <w:rFonts w:cs="Arial"/>
          <w:sz w:val="22"/>
        </w:rPr>
        <w:t>tes rurales, la construction des marchés communautaires</w:t>
      </w:r>
      <w:r>
        <w:rPr>
          <w:rFonts w:cs="Arial"/>
          <w:sz w:val="22"/>
        </w:rPr>
        <w:t xml:space="preserve"> et abattoirs</w:t>
      </w:r>
      <w:r w:rsidRPr="00010F6E">
        <w:rPr>
          <w:rFonts w:cs="Arial"/>
          <w:sz w:val="22"/>
        </w:rPr>
        <w:t xml:space="preserve"> vont</w:t>
      </w:r>
      <w:r w:rsidRPr="00010F6E">
        <w:rPr>
          <w:rFonts w:cs="Arial"/>
          <w:color w:val="000000"/>
          <w:sz w:val="22"/>
        </w:rPr>
        <w:t xml:space="preserve"> induire certains inconvénients tels que le déracinement d’arbres, destruction de portions de champs de culture de part et d’autre des </w:t>
      </w:r>
      <w:r>
        <w:rPr>
          <w:rFonts w:cs="Arial"/>
          <w:color w:val="000000"/>
          <w:sz w:val="22"/>
        </w:rPr>
        <w:t>routes</w:t>
      </w:r>
      <w:r w:rsidRPr="00010F6E">
        <w:rPr>
          <w:rFonts w:cs="Arial"/>
          <w:color w:val="000000"/>
          <w:sz w:val="22"/>
        </w:rPr>
        <w:t xml:space="preserve">. </w:t>
      </w:r>
      <w:r w:rsidRPr="00010F6E">
        <w:rPr>
          <w:rFonts w:cs="Arial"/>
          <w:sz w:val="22"/>
        </w:rPr>
        <w:t xml:space="preserve">La non-utilisation de la main-d’œuvre locale lors de la construction des infrastructures et la réalisation des aménagements pourrait susciter des frustrations au niveau local si on sait que le chômage est très présent dans les zones d’intervention du Projet. </w:t>
      </w:r>
      <w:r w:rsidRPr="00010F6E">
        <w:rPr>
          <w:rFonts w:cs="Arial"/>
          <w:color w:val="000000"/>
          <w:sz w:val="22"/>
        </w:rPr>
        <w:t xml:space="preserve">Il en résulte aussi la pollution de l’air et du milieu par les poussières latéritiques. Il s’agit aussi le plus souvent de lieu de départ de feu de brousse allumé par des fumeurs. </w:t>
      </w:r>
      <w:r w:rsidRPr="00010F6E">
        <w:rPr>
          <w:rFonts w:cs="Arial"/>
          <w:sz w:val="22"/>
        </w:rPr>
        <w:t>Les sites d’emprunt des matériaux nécessaires à la construction des infrastructures</w:t>
      </w:r>
      <w:r w:rsidR="00A91915">
        <w:rPr>
          <w:rFonts w:cs="Arial"/>
          <w:sz w:val="22"/>
        </w:rPr>
        <w:t xml:space="preserve"> </w:t>
      </w:r>
      <w:r w:rsidRPr="00010F6E">
        <w:rPr>
          <w:rFonts w:cs="Arial"/>
          <w:sz w:val="22"/>
        </w:rPr>
        <w:t xml:space="preserve">non réhabilités, pourraient favoriser la prolifération d’insectes vecteurs (paludisme) et favoriser le développement de la bilharziose. </w:t>
      </w:r>
      <w:r w:rsidRPr="00010F6E">
        <w:rPr>
          <w:rFonts w:cs="Arial"/>
          <w:color w:val="000000"/>
          <w:sz w:val="22"/>
        </w:rPr>
        <w:t>Les impacts négatifs majeurs concernent l’érosion des sols (les Villes de Tshikapa, Kananga et Kikwit), la sédimentation des cours d’eau, des bas-fonds et la pollution de l’air et du milieu par les poussières latéritiques, l’insécurité dans la Province du Nord-Kivu dans les Villes de Beni, Butembo, Rut</w:t>
      </w:r>
      <w:r>
        <w:rPr>
          <w:rFonts w:cs="Arial"/>
          <w:color w:val="000000"/>
          <w:sz w:val="22"/>
        </w:rPr>
        <w:t>s</w:t>
      </w:r>
      <w:r w:rsidRPr="00010F6E">
        <w:rPr>
          <w:rFonts w:cs="Arial"/>
          <w:color w:val="000000"/>
          <w:sz w:val="22"/>
        </w:rPr>
        <w:t xml:space="preserve">huru ; etc. et les risques d’accidents liés au trafic, aux nombreux virages et autres points critiques, les risques d’empiètement des aires protégées dans le Nord-Kivu, </w:t>
      </w:r>
      <w:r>
        <w:rPr>
          <w:rFonts w:cs="Arial"/>
          <w:color w:val="000000"/>
          <w:sz w:val="22"/>
        </w:rPr>
        <w:t>Kongo Central</w:t>
      </w:r>
      <w:r w:rsidRPr="00010F6E">
        <w:rPr>
          <w:rFonts w:cs="Arial"/>
          <w:color w:val="000000"/>
          <w:sz w:val="22"/>
        </w:rPr>
        <w:t xml:space="preserve">, Kwilu, </w:t>
      </w:r>
      <w:r>
        <w:rPr>
          <w:rFonts w:cs="Arial"/>
          <w:color w:val="000000"/>
          <w:sz w:val="22"/>
        </w:rPr>
        <w:t>Kasaï Central</w:t>
      </w:r>
      <w:r w:rsidRPr="00010F6E">
        <w:rPr>
          <w:rFonts w:cs="Arial"/>
          <w:color w:val="000000"/>
          <w:sz w:val="22"/>
        </w:rPr>
        <w:t>, risque de contamination de la pandémie de la COVID-19, la propagation des IST et VHI/SIDA, risque d’empiètement des espaces forestiers des P</w:t>
      </w:r>
      <w:r>
        <w:rPr>
          <w:rFonts w:cs="Arial"/>
          <w:color w:val="000000"/>
          <w:sz w:val="22"/>
        </w:rPr>
        <w:t>euples</w:t>
      </w:r>
      <w:r w:rsidRPr="00010F6E">
        <w:rPr>
          <w:rFonts w:cs="Arial"/>
          <w:color w:val="000000"/>
          <w:sz w:val="22"/>
        </w:rPr>
        <w:t xml:space="preserve"> Autochtones, etc.</w:t>
      </w:r>
    </w:p>
    <w:p w14:paraId="4491F0DB" w14:textId="77777777" w:rsidR="001C2F95" w:rsidRPr="00010F6E" w:rsidRDefault="001C2F95" w:rsidP="001C2F95">
      <w:pPr>
        <w:autoSpaceDE w:val="0"/>
        <w:autoSpaceDN w:val="0"/>
        <w:adjustRightInd w:val="0"/>
        <w:rPr>
          <w:rFonts w:cs="Arial"/>
          <w:color w:val="000000"/>
          <w:sz w:val="22"/>
        </w:rPr>
      </w:pPr>
    </w:p>
    <w:p w14:paraId="2DD1CB11" w14:textId="77777777" w:rsidR="001C2F95" w:rsidRPr="00010F6E" w:rsidRDefault="001C2F95" w:rsidP="001C2F95">
      <w:pPr>
        <w:autoSpaceDE w:val="0"/>
        <w:autoSpaceDN w:val="0"/>
        <w:adjustRightInd w:val="0"/>
        <w:rPr>
          <w:rFonts w:cs="Arial"/>
          <w:color w:val="000000"/>
          <w:sz w:val="22"/>
        </w:rPr>
      </w:pPr>
      <w:r w:rsidRPr="00010F6E">
        <w:rPr>
          <w:rFonts w:cs="Arial"/>
          <w:color w:val="000000"/>
          <w:sz w:val="22"/>
        </w:rPr>
        <w:t xml:space="preserve">Risques d’exacerber les </w:t>
      </w:r>
      <w:r>
        <w:rPr>
          <w:rFonts w:cs="Arial"/>
          <w:color w:val="000000"/>
          <w:sz w:val="22"/>
        </w:rPr>
        <w:t>VBG, y compris l’EAS et le HS,</w:t>
      </w:r>
      <w:r w:rsidRPr="00010F6E">
        <w:rPr>
          <w:rFonts w:cs="Arial"/>
          <w:color w:val="000000"/>
          <w:sz w:val="22"/>
        </w:rPr>
        <w:t xml:space="preserve"> dans la zone d’intervention du Projet suite au brassage des populations et à l’afflux de la main-d’œuvre allochtone.  </w:t>
      </w:r>
    </w:p>
    <w:p w14:paraId="646805EB" w14:textId="77777777" w:rsidR="00A91915" w:rsidRPr="00010F6E" w:rsidRDefault="00A91915" w:rsidP="001C2F95">
      <w:pPr>
        <w:autoSpaceDE w:val="0"/>
        <w:autoSpaceDN w:val="0"/>
        <w:adjustRightInd w:val="0"/>
        <w:ind w:left="360" w:firstLine="348"/>
        <w:rPr>
          <w:rFonts w:cs="Arial"/>
          <w:sz w:val="22"/>
          <w:u w:val="single"/>
        </w:rPr>
      </w:pPr>
    </w:p>
    <w:p w14:paraId="05B7F1CD" w14:textId="77777777" w:rsidR="001C2F95" w:rsidRPr="00010F6E" w:rsidRDefault="001C2F95" w:rsidP="001C2F95">
      <w:pPr>
        <w:autoSpaceDE w:val="0"/>
        <w:autoSpaceDN w:val="0"/>
        <w:adjustRightInd w:val="0"/>
        <w:rPr>
          <w:rFonts w:cs="Arial"/>
          <w:sz w:val="22"/>
          <w:u w:val="single"/>
        </w:rPr>
      </w:pPr>
      <w:r w:rsidRPr="00010F6E">
        <w:rPr>
          <w:rFonts w:cs="Arial"/>
          <w:sz w:val="22"/>
          <w:u w:val="single"/>
        </w:rPr>
        <w:t>En phase d’exploitation :</w:t>
      </w:r>
    </w:p>
    <w:p w14:paraId="7CC3E863" w14:textId="77777777" w:rsidR="001C2F95" w:rsidRPr="00010F6E" w:rsidRDefault="001C2F95" w:rsidP="001C2F95">
      <w:pPr>
        <w:autoSpaceDE w:val="0"/>
        <w:autoSpaceDN w:val="0"/>
        <w:adjustRightInd w:val="0"/>
        <w:rPr>
          <w:rFonts w:cs="Arial"/>
          <w:sz w:val="22"/>
          <w:u w:val="single"/>
        </w:rPr>
      </w:pPr>
    </w:p>
    <w:p w14:paraId="02B71089" w14:textId="77777777" w:rsidR="001C2F95" w:rsidRDefault="001C2F95" w:rsidP="001C2F95">
      <w:pPr>
        <w:rPr>
          <w:rFonts w:cs="Arial"/>
          <w:sz w:val="22"/>
        </w:rPr>
      </w:pPr>
      <w:r w:rsidRPr="00010F6E">
        <w:rPr>
          <w:rFonts w:cs="Arial"/>
          <w:color w:val="000000"/>
          <w:sz w:val="22"/>
        </w:rPr>
        <w:t xml:space="preserve">Durant la phase exploitation des </w:t>
      </w:r>
      <w:r>
        <w:rPr>
          <w:rFonts w:cs="Arial"/>
          <w:color w:val="000000"/>
          <w:sz w:val="22"/>
        </w:rPr>
        <w:t>routes</w:t>
      </w:r>
      <w:r w:rsidRPr="00010F6E">
        <w:rPr>
          <w:rFonts w:cs="Arial"/>
          <w:color w:val="000000"/>
          <w:sz w:val="22"/>
        </w:rPr>
        <w:t xml:space="preserve"> rurales</w:t>
      </w:r>
      <w:r>
        <w:rPr>
          <w:rFonts w:cs="Arial"/>
          <w:color w:val="000000"/>
          <w:sz w:val="22"/>
        </w:rPr>
        <w:t>,</w:t>
      </w:r>
      <w:r w:rsidRPr="00010F6E">
        <w:rPr>
          <w:rFonts w:cs="Arial"/>
          <w:color w:val="000000"/>
          <w:sz w:val="22"/>
        </w:rPr>
        <w:t xml:space="preserve"> marchés communautaires</w:t>
      </w:r>
      <w:r>
        <w:rPr>
          <w:rFonts w:cs="Arial"/>
          <w:color w:val="000000"/>
          <w:sz w:val="22"/>
        </w:rPr>
        <w:t xml:space="preserve"> et abattoirs</w:t>
      </w:r>
      <w:r w:rsidRPr="00010F6E">
        <w:rPr>
          <w:rFonts w:cs="Arial"/>
          <w:color w:val="000000"/>
          <w:sz w:val="22"/>
        </w:rPr>
        <w:t xml:space="preserve">, </w:t>
      </w:r>
      <w:r w:rsidRPr="00010F6E">
        <w:rPr>
          <w:rFonts w:cs="Arial"/>
          <w:sz w:val="22"/>
        </w:rPr>
        <w:t>les difficultés de mobilisation des ressources pourraient entraîner le manque d'entretien desdits ouvrages si des mesures idoines de gestion et de suivi ne seront pas prises en</w:t>
      </w:r>
      <w:r>
        <w:rPr>
          <w:rFonts w:cs="Arial"/>
          <w:sz w:val="22"/>
        </w:rPr>
        <w:t xml:space="preserve"> compte en</w:t>
      </w:r>
      <w:r w:rsidRPr="00010F6E">
        <w:rPr>
          <w:rFonts w:cs="Arial"/>
          <w:sz w:val="22"/>
        </w:rPr>
        <w:t xml:space="preserve"> amont.</w:t>
      </w:r>
    </w:p>
    <w:p w14:paraId="440200E8" w14:textId="77777777" w:rsidR="001C2F95" w:rsidRDefault="001C2F95" w:rsidP="001C2F95">
      <w:pPr>
        <w:rPr>
          <w:rFonts w:cs="Arial"/>
          <w:sz w:val="22"/>
        </w:rPr>
      </w:pPr>
    </w:p>
    <w:p w14:paraId="1BE99369" w14:textId="77777777" w:rsidR="001C2F95" w:rsidRPr="00296E4B" w:rsidRDefault="001C2F95" w:rsidP="002378EA">
      <w:pPr>
        <w:pStyle w:val="Paragraphedeliste"/>
        <w:numPr>
          <w:ilvl w:val="0"/>
          <w:numId w:val="33"/>
        </w:numPr>
        <w:rPr>
          <w:rFonts w:cs="Arial"/>
          <w:i/>
          <w:sz w:val="22"/>
        </w:rPr>
      </w:pPr>
      <w:r w:rsidRPr="00296E4B">
        <w:rPr>
          <w:rFonts w:cs="Arial"/>
          <w:i/>
          <w:sz w:val="22"/>
        </w:rPr>
        <w:t>Sous-composante 2.2</w:t>
      </w:r>
      <w:r>
        <w:rPr>
          <w:rFonts w:cs="Arial"/>
          <w:i/>
          <w:sz w:val="22"/>
        </w:rPr>
        <w:t> </w:t>
      </w:r>
      <w:r w:rsidRPr="00296E4B">
        <w:rPr>
          <w:rFonts w:cs="Arial"/>
          <w:i/>
          <w:sz w:val="22"/>
        </w:rPr>
        <w:t xml:space="preserve">: Soutien à l’inclusion des petits exploitants dans les chaînes de valeur </w:t>
      </w:r>
    </w:p>
    <w:p w14:paraId="6AC8E66E" w14:textId="77777777" w:rsidR="001C2F95" w:rsidRPr="00296E4B" w:rsidRDefault="001C2F95" w:rsidP="001C2F95">
      <w:pPr>
        <w:rPr>
          <w:rFonts w:cs="Arial"/>
          <w:sz w:val="22"/>
        </w:rPr>
      </w:pPr>
    </w:p>
    <w:p w14:paraId="383CE826" w14:textId="77777777" w:rsidR="001C2F95" w:rsidRDefault="001C2F95" w:rsidP="001C2F95">
      <w:pPr>
        <w:rPr>
          <w:rFonts w:cs="Arial"/>
          <w:sz w:val="22"/>
        </w:rPr>
      </w:pPr>
      <w:r>
        <w:rPr>
          <w:rFonts w:cs="Arial"/>
          <w:sz w:val="22"/>
        </w:rPr>
        <w:t>En phase d’exécution</w:t>
      </w:r>
    </w:p>
    <w:p w14:paraId="13A2B9B9" w14:textId="77777777" w:rsidR="001C2F95" w:rsidRDefault="001C2F95" w:rsidP="001C2F95">
      <w:pPr>
        <w:rPr>
          <w:rFonts w:cs="Arial"/>
          <w:sz w:val="22"/>
        </w:rPr>
      </w:pPr>
    </w:p>
    <w:p w14:paraId="64BB9F5C" w14:textId="77777777" w:rsidR="001C2F95" w:rsidRDefault="001C2F95" w:rsidP="002378EA">
      <w:pPr>
        <w:pStyle w:val="Paragraphedeliste"/>
        <w:numPr>
          <w:ilvl w:val="0"/>
          <w:numId w:val="33"/>
        </w:numPr>
        <w:rPr>
          <w:rFonts w:cs="Arial"/>
          <w:sz w:val="22"/>
        </w:rPr>
      </w:pPr>
      <w:r w:rsidRPr="00E646DC">
        <w:rPr>
          <w:rFonts w:cs="Arial"/>
          <w:sz w:val="22"/>
        </w:rPr>
        <w:t>Risque d’absence des</w:t>
      </w:r>
      <w:r>
        <w:rPr>
          <w:rFonts w:cs="Arial"/>
          <w:sz w:val="22"/>
        </w:rPr>
        <w:t xml:space="preserve"> Int</w:t>
      </w:r>
      <w:r w:rsidR="00A91915">
        <w:rPr>
          <w:rFonts w:cs="Arial"/>
          <w:sz w:val="22"/>
        </w:rPr>
        <w:t>e</w:t>
      </w:r>
      <w:r>
        <w:rPr>
          <w:rFonts w:cs="Arial"/>
          <w:sz w:val="22"/>
        </w:rPr>
        <w:t>rmédiaires Financiers</w:t>
      </w:r>
      <w:r w:rsidRPr="00BD65C3">
        <w:rPr>
          <w:rFonts w:cs="Arial"/>
          <w:sz w:val="22"/>
        </w:rPr>
        <w:t xml:space="preserve"> dans certains territoire</w:t>
      </w:r>
      <w:r w:rsidRPr="003E5E1E">
        <w:rPr>
          <w:rFonts w:cs="Arial"/>
          <w:sz w:val="22"/>
        </w:rPr>
        <w:t xml:space="preserve">s </w:t>
      </w:r>
      <w:r w:rsidRPr="00E646DC">
        <w:rPr>
          <w:rFonts w:cs="Arial"/>
          <w:sz w:val="22"/>
        </w:rPr>
        <w:t>des provinces concernées par le PNDA pour soutenir les groupes de petits exploita</w:t>
      </w:r>
      <w:r w:rsidRPr="007300C7">
        <w:rPr>
          <w:rFonts w:cs="Arial"/>
          <w:sz w:val="22"/>
        </w:rPr>
        <w:t>nts agricoles et les agro-MPMEs</w:t>
      </w:r>
      <w:r>
        <w:rPr>
          <w:rFonts w:cs="Arial"/>
          <w:sz w:val="22"/>
        </w:rPr>
        <w:t> </w:t>
      </w:r>
      <w:r w:rsidRPr="007300C7">
        <w:rPr>
          <w:rFonts w:cs="Arial"/>
          <w:sz w:val="22"/>
        </w:rPr>
        <w:t>;</w:t>
      </w:r>
    </w:p>
    <w:p w14:paraId="0CDD6C42" w14:textId="77777777" w:rsidR="001C2F95" w:rsidRDefault="001C2F95" w:rsidP="002378EA">
      <w:pPr>
        <w:pStyle w:val="Paragraphedeliste"/>
        <w:numPr>
          <w:ilvl w:val="0"/>
          <w:numId w:val="33"/>
        </w:numPr>
        <w:rPr>
          <w:rFonts w:cs="Arial"/>
          <w:sz w:val="22"/>
        </w:rPr>
      </w:pPr>
      <w:r>
        <w:rPr>
          <w:rFonts w:cs="Arial"/>
          <w:sz w:val="22"/>
        </w:rPr>
        <w:t>Risque de manque d’objectivité dans la s</w:t>
      </w:r>
      <w:r w:rsidR="00A91915">
        <w:rPr>
          <w:rFonts w:cs="Arial"/>
          <w:sz w:val="22"/>
        </w:rPr>
        <w:t>é</w:t>
      </w:r>
      <w:r>
        <w:rPr>
          <w:rFonts w:cs="Arial"/>
          <w:sz w:val="22"/>
        </w:rPr>
        <w:t xml:space="preserve">lection des agro-MPMEs </w:t>
      </w:r>
      <w:r w:rsidRPr="00296E4B">
        <w:rPr>
          <w:rFonts w:cs="Arial"/>
          <w:sz w:val="22"/>
        </w:rPr>
        <w:t xml:space="preserve">éligibles </w:t>
      </w:r>
      <w:r>
        <w:rPr>
          <w:rFonts w:cs="Arial"/>
          <w:sz w:val="22"/>
        </w:rPr>
        <w:t>dans la distribution</w:t>
      </w:r>
      <w:r w:rsidRPr="00296E4B">
        <w:rPr>
          <w:rFonts w:cs="Arial"/>
          <w:sz w:val="22"/>
        </w:rPr>
        <w:t xml:space="preserve"> de produits agricoles dans les provinces sélectionnées dans</w:t>
      </w:r>
      <w:r w:rsidRPr="00296E4B">
        <w:rPr>
          <w:rFonts w:cs="Arial"/>
          <w:i/>
          <w:sz w:val="22"/>
        </w:rPr>
        <w:t>(i)</w:t>
      </w:r>
      <w:r w:rsidRPr="00296E4B">
        <w:rPr>
          <w:rFonts w:cs="Arial"/>
          <w:sz w:val="22"/>
        </w:rPr>
        <w:t xml:space="preserve"> la transformation, le transport et/ou la commercialisation de produits agricoles (activités post</w:t>
      </w:r>
      <w:r w:rsidR="00A91915">
        <w:rPr>
          <w:rFonts w:cs="Arial"/>
          <w:sz w:val="22"/>
        </w:rPr>
        <w:t xml:space="preserve"> </w:t>
      </w:r>
      <w:r w:rsidRPr="00296E4B">
        <w:rPr>
          <w:rFonts w:cs="Arial"/>
          <w:sz w:val="22"/>
        </w:rPr>
        <w:t>récolte)</w:t>
      </w:r>
      <w:r>
        <w:rPr>
          <w:rFonts w:cs="Arial"/>
          <w:sz w:val="22"/>
        </w:rPr>
        <w:t> </w:t>
      </w:r>
      <w:r w:rsidRPr="00296E4B">
        <w:rPr>
          <w:rFonts w:cs="Arial"/>
          <w:sz w:val="22"/>
        </w:rPr>
        <w:t xml:space="preserve">; </w:t>
      </w:r>
      <w:r w:rsidRPr="00296E4B">
        <w:rPr>
          <w:rFonts w:cs="Arial"/>
          <w:i/>
          <w:sz w:val="22"/>
        </w:rPr>
        <w:t xml:space="preserve">(ii) </w:t>
      </w:r>
      <w:r w:rsidRPr="00296E4B">
        <w:rPr>
          <w:rFonts w:cs="Arial"/>
          <w:sz w:val="22"/>
        </w:rPr>
        <w:t>la fourniture d’intrants et de services agricoles (activités pré-récolte) comme les machines agricoles, semences, engrais, irrigation à la ferme, assistance technique, etc</w:t>
      </w:r>
      <w:r>
        <w:rPr>
          <w:rFonts w:cs="Arial"/>
          <w:sz w:val="22"/>
        </w:rPr>
        <w:t>. ;</w:t>
      </w:r>
    </w:p>
    <w:p w14:paraId="258EDFAB" w14:textId="77777777" w:rsidR="001C2F95" w:rsidRDefault="001C2F95" w:rsidP="002378EA">
      <w:pPr>
        <w:pStyle w:val="Paragraphedeliste"/>
        <w:numPr>
          <w:ilvl w:val="0"/>
          <w:numId w:val="33"/>
        </w:numPr>
        <w:rPr>
          <w:rFonts w:cs="Arial"/>
          <w:sz w:val="22"/>
        </w:rPr>
      </w:pPr>
      <w:r>
        <w:rPr>
          <w:rFonts w:cs="Arial"/>
          <w:sz w:val="22"/>
        </w:rPr>
        <w:t xml:space="preserve">Risque de discrimination envers les femmes et autres personnes vulnérables par rapport aux critères </w:t>
      </w:r>
      <w:r w:rsidRPr="00296E4B">
        <w:rPr>
          <w:rFonts w:cs="Arial"/>
          <w:sz w:val="22"/>
        </w:rPr>
        <w:t xml:space="preserve">de sélection pour recevoir des subventions de contrepartie </w:t>
      </w:r>
      <w:r>
        <w:rPr>
          <w:rFonts w:cs="Arial"/>
          <w:sz w:val="22"/>
        </w:rPr>
        <w:t xml:space="preserve">qui </w:t>
      </w:r>
      <w:r w:rsidRPr="00296E4B">
        <w:rPr>
          <w:rFonts w:cs="Arial"/>
          <w:sz w:val="22"/>
        </w:rPr>
        <w:t xml:space="preserve">donneront la priorité à l’adhésion et à la participation des femmes et des jeunes agriculteurs âgés de </w:t>
      </w:r>
      <w:r w:rsidR="003F2FA2">
        <w:rPr>
          <w:rFonts w:cs="Arial"/>
          <w:sz w:val="22"/>
        </w:rPr>
        <w:t xml:space="preserve">moins de </w:t>
      </w:r>
      <w:r w:rsidRPr="00296E4B">
        <w:rPr>
          <w:rFonts w:cs="Arial"/>
          <w:sz w:val="22"/>
        </w:rPr>
        <w:t>18 ans à ces activités</w:t>
      </w:r>
      <w:r>
        <w:rPr>
          <w:rFonts w:cs="Arial"/>
          <w:sz w:val="22"/>
        </w:rPr>
        <w:t> ;</w:t>
      </w:r>
    </w:p>
    <w:p w14:paraId="752765BB" w14:textId="77777777" w:rsidR="001C2F95" w:rsidRDefault="001C2F95" w:rsidP="002378EA">
      <w:pPr>
        <w:pStyle w:val="Commentaire"/>
        <w:numPr>
          <w:ilvl w:val="0"/>
          <w:numId w:val="33"/>
        </w:numPr>
        <w:rPr>
          <w:sz w:val="22"/>
          <w:szCs w:val="22"/>
          <w:lang w:val="fr-FR"/>
        </w:rPr>
      </w:pPr>
      <w:r>
        <w:rPr>
          <w:sz w:val="22"/>
          <w:szCs w:val="22"/>
          <w:lang w:val="fr-FR"/>
        </w:rPr>
        <w:t>F</w:t>
      </w:r>
      <w:r w:rsidRPr="00E646DC">
        <w:rPr>
          <w:sz w:val="22"/>
          <w:szCs w:val="22"/>
          <w:lang w:val="fr-FR"/>
        </w:rPr>
        <w:t>aible capacité des IF dans la gestion des risques E&amp;S des activités à financer (inexistence probable des SGES en leur sein)</w:t>
      </w:r>
      <w:r>
        <w:rPr>
          <w:sz w:val="22"/>
          <w:szCs w:val="22"/>
          <w:lang w:val="fr-FR"/>
        </w:rPr>
        <w:t>.</w:t>
      </w:r>
    </w:p>
    <w:p w14:paraId="0376A322" w14:textId="77777777" w:rsidR="001C2F95" w:rsidRDefault="001C2F95" w:rsidP="001C2F95">
      <w:pPr>
        <w:ind w:left="426"/>
        <w:rPr>
          <w:rFonts w:cs="Arial"/>
          <w:sz w:val="22"/>
        </w:rPr>
      </w:pPr>
    </w:p>
    <w:p w14:paraId="795D0DEA" w14:textId="77777777" w:rsidR="001C2F95" w:rsidRDefault="001C2F95" w:rsidP="001C2F95">
      <w:pPr>
        <w:ind w:left="426"/>
        <w:rPr>
          <w:rFonts w:cs="Arial"/>
          <w:sz w:val="22"/>
        </w:rPr>
      </w:pPr>
      <w:r>
        <w:rPr>
          <w:rFonts w:cs="Arial"/>
          <w:sz w:val="22"/>
        </w:rPr>
        <w:t>En phase d’exploitation</w:t>
      </w:r>
    </w:p>
    <w:p w14:paraId="01EBBD8D" w14:textId="77777777" w:rsidR="001C2F95" w:rsidRDefault="001C2F95" w:rsidP="001C2F95">
      <w:pPr>
        <w:ind w:left="426"/>
        <w:rPr>
          <w:rFonts w:cs="Arial"/>
          <w:sz w:val="22"/>
        </w:rPr>
      </w:pPr>
    </w:p>
    <w:p w14:paraId="4BD3814B" w14:textId="77777777" w:rsidR="001C2F95" w:rsidRDefault="001C2F95" w:rsidP="002378EA">
      <w:pPr>
        <w:pStyle w:val="Paragraphedeliste"/>
        <w:numPr>
          <w:ilvl w:val="0"/>
          <w:numId w:val="33"/>
        </w:numPr>
        <w:rPr>
          <w:rFonts w:cs="Arial"/>
          <w:sz w:val="22"/>
        </w:rPr>
      </w:pPr>
      <w:r>
        <w:rPr>
          <w:rFonts w:cs="Arial"/>
          <w:sz w:val="22"/>
        </w:rPr>
        <w:t>Risque de détournement des subventions de contrepartie pour autres activités par les petits exploitants et les agro-MPMEs ;</w:t>
      </w:r>
    </w:p>
    <w:p w14:paraId="0C14077F" w14:textId="77777777" w:rsidR="001C2F95" w:rsidRPr="00E646DC" w:rsidRDefault="001C2F95" w:rsidP="002378EA">
      <w:pPr>
        <w:pStyle w:val="Paragraphedeliste"/>
        <w:numPr>
          <w:ilvl w:val="0"/>
          <w:numId w:val="33"/>
        </w:numPr>
        <w:rPr>
          <w:rFonts w:cs="Arial"/>
          <w:sz w:val="22"/>
        </w:rPr>
      </w:pPr>
      <w:r>
        <w:rPr>
          <w:rFonts w:cs="Arial"/>
          <w:sz w:val="22"/>
        </w:rPr>
        <w:t xml:space="preserve">Absence </w:t>
      </w:r>
      <w:r w:rsidRPr="00E646DC">
        <w:rPr>
          <w:rFonts w:cs="Arial"/>
          <w:sz w:val="22"/>
        </w:rPr>
        <w:t>d’un système de gestion environnementale et sociale (SGES), des systèmes, des procédures et des capacités d’évaluation, de gestion et de suivi des risques et effets environnementaux et sociaux des sous-projets, ainsi que de gérer le risque de portefeuille g</w:t>
      </w:r>
      <w:r w:rsidRPr="003E5E1E">
        <w:rPr>
          <w:rFonts w:cs="Arial"/>
          <w:sz w:val="22"/>
        </w:rPr>
        <w:t>lobal d’une manière responsable</w:t>
      </w:r>
      <w:r w:rsidRPr="00E646DC">
        <w:rPr>
          <w:rFonts w:cs="Arial"/>
          <w:sz w:val="22"/>
        </w:rPr>
        <w:t xml:space="preserve">. </w:t>
      </w:r>
    </w:p>
    <w:p w14:paraId="7770572B" w14:textId="77777777" w:rsidR="001C2F95" w:rsidRPr="00010F6E" w:rsidRDefault="001C2F95" w:rsidP="001C2F95">
      <w:pPr>
        <w:rPr>
          <w:rFonts w:cs="Arial"/>
          <w:sz w:val="22"/>
        </w:rPr>
      </w:pPr>
    </w:p>
    <w:p w14:paraId="2BCD0A21" w14:textId="77777777" w:rsidR="001C2F95" w:rsidRPr="002F3F87" w:rsidDel="00F63752" w:rsidRDefault="001C2F95" w:rsidP="001C2F95">
      <w:pPr>
        <w:pStyle w:val="Titre2"/>
        <w:numPr>
          <w:ilvl w:val="2"/>
          <w:numId w:val="4"/>
        </w:numPr>
        <w:ind w:left="1560" w:hanging="709"/>
        <w:rPr>
          <w:rFonts w:cs="Arial"/>
          <w:i/>
          <w:sz w:val="22"/>
        </w:rPr>
      </w:pPr>
      <w:bookmarkStart w:id="499" w:name="_Toc70330428"/>
      <w:r w:rsidRPr="00BE66B0" w:rsidDel="00F63752">
        <w:rPr>
          <w:rFonts w:cs="Arial"/>
          <w:i/>
          <w:sz w:val="22"/>
          <w:szCs w:val="22"/>
        </w:rPr>
        <w:t>Impacts négatifs sur les travaux d’aménagements hydro-agricoles</w:t>
      </w:r>
      <w:bookmarkEnd w:id="499"/>
    </w:p>
    <w:p w14:paraId="740A510D" w14:textId="77777777" w:rsidR="001C2F95" w:rsidRPr="00010F6E" w:rsidDel="00F63752" w:rsidRDefault="001C2F95" w:rsidP="001C2F95">
      <w:pPr>
        <w:rPr>
          <w:rFonts w:cs="Arial"/>
          <w:sz w:val="22"/>
        </w:rPr>
      </w:pPr>
    </w:p>
    <w:p w14:paraId="4AD46159" w14:textId="77777777" w:rsidR="001C2F95" w:rsidRPr="00010F6E" w:rsidDel="00F63752" w:rsidRDefault="001C2F95" w:rsidP="001C2F95">
      <w:pPr>
        <w:rPr>
          <w:rFonts w:cs="Arial"/>
          <w:sz w:val="22"/>
        </w:rPr>
      </w:pPr>
      <w:r w:rsidRPr="00010F6E" w:rsidDel="00F63752">
        <w:rPr>
          <w:rFonts w:cs="Arial"/>
          <w:sz w:val="22"/>
        </w:rPr>
        <w:t>Les impacts négatifs proviendront surtout des aménagements et ouvrages d’irrigation, de</w:t>
      </w:r>
      <w:r>
        <w:rPr>
          <w:rFonts w:cs="Arial"/>
          <w:sz w:val="22"/>
        </w:rPr>
        <w:t>s travaux des champs</w:t>
      </w:r>
      <w:r w:rsidRPr="00010F6E" w:rsidDel="00F63752">
        <w:rPr>
          <w:rFonts w:cs="Arial"/>
          <w:sz w:val="22"/>
        </w:rPr>
        <w:t xml:space="preserve">, de l’usage incontrôlé d’engrais et de pesticides, et autres activités. </w:t>
      </w:r>
    </w:p>
    <w:p w14:paraId="50A77676" w14:textId="77777777" w:rsidR="001C2F95" w:rsidRPr="00010F6E" w:rsidDel="00F63752" w:rsidRDefault="001C2F95" w:rsidP="001C2F95">
      <w:pPr>
        <w:rPr>
          <w:rFonts w:cs="Arial"/>
          <w:sz w:val="22"/>
        </w:rPr>
      </w:pPr>
    </w:p>
    <w:p w14:paraId="4378729F" w14:textId="77777777" w:rsidR="001C2F95" w:rsidRPr="00010F6E" w:rsidDel="00F63752" w:rsidRDefault="001C2F95" w:rsidP="002378EA">
      <w:pPr>
        <w:numPr>
          <w:ilvl w:val="0"/>
          <w:numId w:val="23"/>
        </w:numPr>
        <w:suppressAutoHyphens/>
        <w:rPr>
          <w:rFonts w:cs="Arial"/>
          <w:i/>
          <w:sz w:val="22"/>
        </w:rPr>
      </w:pPr>
      <w:r w:rsidRPr="00010F6E" w:rsidDel="00F63752">
        <w:rPr>
          <w:rFonts w:cs="Arial"/>
          <w:i/>
          <w:sz w:val="22"/>
        </w:rPr>
        <w:t xml:space="preserve">Fortes pressions et risques de dégradation des ressources en eau </w:t>
      </w:r>
    </w:p>
    <w:p w14:paraId="7ED20ADC" w14:textId="77777777" w:rsidR="001C2F95" w:rsidRPr="00010F6E" w:rsidDel="00F63752" w:rsidRDefault="001C2F95" w:rsidP="001C2F95">
      <w:pPr>
        <w:rPr>
          <w:rFonts w:cs="Arial"/>
          <w:sz w:val="22"/>
        </w:rPr>
      </w:pPr>
    </w:p>
    <w:p w14:paraId="5AF7969A" w14:textId="77777777" w:rsidR="001C2F95" w:rsidRPr="00010F6E" w:rsidDel="00F63752" w:rsidRDefault="001C2F95" w:rsidP="001C2F95">
      <w:pPr>
        <w:rPr>
          <w:rFonts w:cs="Arial"/>
          <w:sz w:val="22"/>
        </w:rPr>
      </w:pPr>
      <w:r w:rsidRPr="00010F6E" w:rsidDel="00F63752">
        <w:rPr>
          <w:rFonts w:cs="Arial"/>
          <w:sz w:val="22"/>
        </w:rPr>
        <w:t xml:space="preserve">Les pratiques agricoles, notamment l’irrigation, vont très certainement nécessiter l’utilisation des quantités non négligeables de ces ressources, si des techniques et technologies durables et à faible consommation ne sont pas mises en œuvre. En termes de dégradation des ressources, la principale cause de pollution des eaux pourrait être l’utilisation irrationnelle d’engrais et pesticides. </w:t>
      </w:r>
    </w:p>
    <w:p w14:paraId="67597560" w14:textId="77777777" w:rsidR="001C2F95" w:rsidRPr="00010F6E" w:rsidDel="00F63752" w:rsidRDefault="001C2F95" w:rsidP="001C2F95">
      <w:pPr>
        <w:rPr>
          <w:rFonts w:cs="Arial"/>
          <w:sz w:val="22"/>
        </w:rPr>
      </w:pPr>
    </w:p>
    <w:p w14:paraId="6DF8BF23" w14:textId="77777777" w:rsidR="001C2F95" w:rsidRPr="00010F6E" w:rsidDel="00F63752" w:rsidRDefault="001C2F95" w:rsidP="002378EA">
      <w:pPr>
        <w:numPr>
          <w:ilvl w:val="0"/>
          <w:numId w:val="23"/>
        </w:numPr>
        <w:suppressAutoHyphens/>
        <w:rPr>
          <w:rFonts w:cs="Arial"/>
          <w:i/>
          <w:sz w:val="22"/>
        </w:rPr>
      </w:pPr>
      <w:r w:rsidRPr="00010F6E" w:rsidDel="00F63752">
        <w:rPr>
          <w:rFonts w:cs="Arial"/>
          <w:i/>
          <w:sz w:val="22"/>
        </w:rPr>
        <w:t xml:space="preserve">Risques liés à la dégradation des terres et la fertilité des sols </w:t>
      </w:r>
    </w:p>
    <w:p w14:paraId="7AC984B1" w14:textId="77777777" w:rsidR="001C2F95" w:rsidRPr="00010F6E" w:rsidDel="00F63752" w:rsidRDefault="001C2F95" w:rsidP="001C2F95">
      <w:pPr>
        <w:rPr>
          <w:rFonts w:cs="Arial"/>
          <w:sz w:val="22"/>
        </w:rPr>
      </w:pPr>
    </w:p>
    <w:p w14:paraId="1FF4788F" w14:textId="77777777" w:rsidR="001C2F95" w:rsidRPr="00010F6E" w:rsidDel="00F63752" w:rsidRDefault="001C2F95" w:rsidP="001C2F95">
      <w:pPr>
        <w:rPr>
          <w:rFonts w:cs="Arial"/>
          <w:sz w:val="22"/>
        </w:rPr>
      </w:pPr>
      <w:r w:rsidRPr="00010F6E" w:rsidDel="00F63752">
        <w:rPr>
          <w:rFonts w:cs="Arial"/>
          <w:sz w:val="22"/>
        </w:rPr>
        <w:t xml:space="preserve">La dégradation des terres consécutives à l’utilisation de technologie et de pratiques agricoles y contribuant constituent des facteurs limitant à la fois le développement du secteur rural ainsi que le domaine de la protection des ressources naturelles. </w:t>
      </w:r>
    </w:p>
    <w:p w14:paraId="00C1BBFA" w14:textId="77777777" w:rsidR="001C2F95" w:rsidRPr="00010F6E" w:rsidDel="00F63752" w:rsidRDefault="001C2F95" w:rsidP="001C2F95">
      <w:pPr>
        <w:rPr>
          <w:rFonts w:cs="Arial"/>
          <w:sz w:val="22"/>
        </w:rPr>
      </w:pPr>
    </w:p>
    <w:p w14:paraId="235517E0" w14:textId="77777777" w:rsidR="001C2F95" w:rsidRPr="00010F6E" w:rsidDel="00F63752" w:rsidRDefault="001C2F95" w:rsidP="002378EA">
      <w:pPr>
        <w:numPr>
          <w:ilvl w:val="0"/>
          <w:numId w:val="23"/>
        </w:numPr>
        <w:suppressAutoHyphens/>
        <w:rPr>
          <w:rFonts w:cs="Arial"/>
          <w:i/>
          <w:sz w:val="22"/>
        </w:rPr>
      </w:pPr>
      <w:r w:rsidRPr="00010F6E" w:rsidDel="00F63752">
        <w:rPr>
          <w:rFonts w:cs="Arial"/>
          <w:i/>
          <w:sz w:val="22"/>
        </w:rPr>
        <w:t xml:space="preserve">Risques de conflits sociaux avec le développement des périmètres agricoles </w:t>
      </w:r>
    </w:p>
    <w:p w14:paraId="1281ACBE" w14:textId="77777777" w:rsidR="001C2F95" w:rsidRPr="00010F6E" w:rsidDel="00F63752" w:rsidRDefault="001C2F95" w:rsidP="001C2F95">
      <w:pPr>
        <w:rPr>
          <w:rFonts w:cs="Arial"/>
          <w:sz w:val="22"/>
        </w:rPr>
      </w:pPr>
    </w:p>
    <w:p w14:paraId="13CCB521" w14:textId="77777777" w:rsidR="001C2F95" w:rsidRPr="001C360D" w:rsidDel="00F63752" w:rsidRDefault="001C2F95" w:rsidP="001C2F95">
      <w:pPr>
        <w:rPr>
          <w:rFonts w:cs="Arial"/>
          <w:sz w:val="22"/>
        </w:rPr>
      </w:pPr>
      <w:r w:rsidRPr="00010F6E" w:rsidDel="00F63752">
        <w:rPr>
          <w:rFonts w:cs="Arial"/>
          <w:sz w:val="22"/>
        </w:rPr>
        <w:t xml:space="preserve">L'aménagement des périmètres agricoles pourrait entraîner également la perte des pâturages, et cela peut être à l'origine </w:t>
      </w:r>
      <w:r w:rsidRPr="001C360D" w:rsidDel="00F63752">
        <w:rPr>
          <w:rFonts w:cs="Arial"/>
          <w:sz w:val="22"/>
        </w:rPr>
        <w:t xml:space="preserve">des conflits entre les éleveurs et les agriculteurs. Aussi, les canaux d’irrigation pourraient occasionner des pertes d’activités socioéconomiques (champs, pâturage, etc.), des restrictions de circulation pour le bétail. Un risque de conflit social est lié au déplacement du bétail par le développement de nouveaux périmètres irrigués. </w:t>
      </w:r>
      <w:r w:rsidRPr="001C360D">
        <w:rPr>
          <w:rFonts w:cs="Arial"/>
          <w:sz w:val="22"/>
        </w:rPr>
        <w:t xml:space="preserve">Il sied de signaler que </w:t>
      </w:r>
      <w:r w:rsidRPr="001C360D">
        <w:rPr>
          <w:sz w:val="22"/>
        </w:rPr>
        <w:t>des risques de conflit sociaux pourraient entraîner et/ou amplifier des risques plus él</w:t>
      </w:r>
      <w:r w:rsidR="00A91915">
        <w:rPr>
          <w:sz w:val="22"/>
        </w:rPr>
        <w:t>e</w:t>
      </w:r>
      <w:r w:rsidRPr="001C360D">
        <w:rPr>
          <w:sz w:val="22"/>
        </w:rPr>
        <w:t>vés des VBG /EAS/HS aussi, au sein du ménage ou dans la communauté des provinces concernées par le programme PNDA.</w:t>
      </w:r>
    </w:p>
    <w:p w14:paraId="2F4D6262" w14:textId="77777777" w:rsidR="001C2F95" w:rsidRPr="00010F6E" w:rsidDel="00F63752" w:rsidRDefault="001C2F95" w:rsidP="001C2F95">
      <w:pPr>
        <w:rPr>
          <w:rFonts w:cs="Arial"/>
          <w:sz w:val="22"/>
        </w:rPr>
      </w:pPr>
    </w:p>
    <w:p w14:paraId="46C40BF3" w14:textId="77777777" w:rsidR="001C2F95" w:rsidRPr="00010F6E" w:rsidDel="00F63752" w:rsidRDefault="001C2F95" w:rsidP="002378EA">
      <w:pPr>
        <w:numPr>
          <w:ilvl w:val="0"/>
          <w:numId w:val="23"/>
        </w:numPr>
        <w:suppressAutoHyphens/>
        <w:rPr>
          <w:rFonts w:cs="Arial"/>
          <w:i/>
          <w:sz w:val="22"/>
        </w:rPr>
      </w:pPr>
      <w:r w:rsidRPr="00010F6E" w:rsidDel="00F63752">
        <w:rPr>
          <w:rFonts w:cs="Arial"/>
          <w:i/>
          <w:sz w:val="22"/>
        </w:rPr>
        <w:t xml:space="preserve">Risques de développement des maladies liés à l’eau   </w:t>
      </w:r>
    </w:p>
    <w:p w14:paraId="6A0B5044" w14:textId="77777777" w:rsidR="001C2F95" w:rsidRPr="00010F6E" w:rsidDel="00F63752" w:rsidRDefault="001C2F95" w:rsidP="001C2F95">
      <w:pPr>
        <w:rPr>
          <w:rFonts w:cs="Arial"/>
          <w:sz w:val="22"/>
        </w:rPr>
      </w:pPr>
    </w:p>
    <w:p w14:paraId="4F1320E9" w14:textId="77777777" w:rsidR="001C2F95" w:rsidRPr="00010F6E" w:rsidDel="00F63752" w:rsidRDefault="001C2F95" w:rsidP="001C2F95">
      <w:pPr>
        <w:rPr>
          <w:rFonts w:cs="Arial"/>
          <w:sz w:val="22"/>
        </w:rPr>
      </w:pPr>
      <w:r w:rsidRPr="00010F6E" w:rsidDel="00F63752">
        <w:rPr>
          <w:rFonts w:cs="Arial"/>
          <w:sz w:val="22"/>
        </w:rPr>
        <w:t>Les aménagements des plans d’eau agricoles sont souvent à l’origine de certaines maladies d’origine hydrique comme le paludisme lié à la stagnation des eaux et la bilharziose. Pendant la mise en services des canaux d’irrigation, leur envahissement par les plantes d’eau et la présence de vecteur de maladies d’origine hydrique peut constituer une menace sur la santé des populations riveraines, surtout des enfants, qui les utilisent pour le linge et l’hygiène corporelle.</w:t>
      </w:r>
    </w:p>
    <w:p w14:paraId="2BE26D2D" w14:textId="77777777" w:rsidR="001C2F95" w:rsidRPr="00010F6E" w:rsidDel="00F63752" w:rsidRDefault="001C2F95" w:rsidP="001C2F95">
      <w:pPr>
        <w:rPr>
          <w:rFonts w:cs="Arial"/>
          <w:sz w:val="22"/>
        </w:rPr>
      </w:pPr>
    </w:p>
    <w:p w14:paraId="28832BB8" w14:textId="77777777" w:rsidR="001C2F95" w:rsidRPr="00010F6E" w:rsidDel="00F63752" w:rsidRDefault="001C2F95" w:rsidP="002378EA">
      <w:pPr>
        <w:numPr>
          <w:ilvl w:val="0"/>
          <w:numId w:val="23"/>
        </w:numPr>
        <w:suppressAutoHyphens/>
        <w:rPr>
          <w:rFonts w:cs="Arial"/>
          <w:i/>
          <w:sz w:val="22"/>
        </w:rPr>
      </w:pPr>
      <w:r w:rsidRPr="00010F6E" w:rsidDel="00F63752">
        <w:rPr>
          <w:rFonts w:cs="Arial"/>
          <w:i/>
          <w:sz w:val="22"/>
        </w:rPr>
        <w:t xml:space="preserve">Risques d’intoxication et de pollution </w:t>
      </w:r>
      <w:r w:rsidDel="00F63752">
        <w:rPr>
          <w:rFonts w:cs="Arial"/>
          <w:i/>
          <w:sz w:val="22"/>
        </w:rPr>
        <w:t xml:space="preserve">liés à l’utilisation </w:t>
      </w:r>
      <w:r w:rsidRPr="00010F6E" w:rsidDel="00F63752">
        <w:rPr>
          <w:rFonts w:cs="Arial"/>
          <w:i/>
          <w:sz w:val="22"/>
        </w:rPr>
        <w:t xml:space="preserve">des pesticides </w:t>
      </w:r>
    </w:p>
    <w:p w14:paraId="4B30F98D" w14:textId="77777777" w:rsidR="001C2F95" w:rsidRPr="00010F6E" w:rsidDel="00F63752" w:rsidRDefault="001C2F95" w:rsidP="001C2F95">
      <w:pPr>
        <w:suppressAutoHyphens/>
        <w:ind w:left="720"/>
        <w:rPr>
          <w:rFonts w:cs="Arial"/>
          <w:i/>
          <w:sz w:val="22"/>
        </w:rPr>
      </w:pPr>
    </w:p>
    <w:p w14:paraId="30E2698B" w14:textId="77777777" w:rsidR="001C2F95" w:rsidRDefault="001C2F95" w:rsidP="001C2F95">
      <w:pPr>
        <w:rPr>
          <w:rFonts w:cs="Arial"/>
          <w:sz w:val="22"/>
        </w:rPr>
      </w:pPr>
      <w:r w:rsidRPr="00010F6E" w:rsidDel="00F63752">
        <w:rPr>
          <w:rFonts w:cs="Arial"/>
          <w:sz w:val="22"/>
        </w:rPr>
        <w:t>Les aménagements agricoles vont nécessairement s’accompagner d’une intensification culturale et entraîner une augmentation de l’utilisation des pesticides d’où les impacts probables négatif sur la santé humaine et animale</w:t>
      </w:r>
      <w:r>
        <w:rPr>
          <w:rFonts w:cs="Arial"/>
          <w:sz w:val="22"/>
        </w:rPr>
        <w:t xml:space="preserve"> </w:t>
      </w:r>
      <w:r w:rsidDel="00F63752">
        <w:rPr>
          <w:rFonts w:cs="Arial"/>
          <w:sz w:val="22"/>
        </w:rPr>
        <w:t>l’on peut noter les risques suivants :</w:t>
      </w:r>
    </w:p>
    <w:p w14:paraId="78F7D2BC" w14:textId="77777777" w:rsidR="001C2F95" w:rsidRPr="00CD3A31" w:rsidDel="00F63752" w:rsidRDefault="001C2F95" w:rsidP="001C2F95">
      <w:pPr>
        <w:rPr>
          <w:rFonts w:cs="Arial"/>
          <w:sz w:val="22"/>
        </w:rPr>
      </w:pPr>
    </w:p>
    <w:p w14:paraId="565C5CF3" w14:textId="77777777" w:rsidR="001C2F95" w:rsidRPr="0042181A" w:rsidDel="00F63752" w:rsidRDefault="001C2F95" w:rsidP="002378EA">
      <w:pPr>
        <w:pStyle w:val="Paragraphedeliste"/>
        <w:numPr>
          <w:ilvl w:val="0"/>
          <w:numId w:val="143"/>
        </w:numPr>
        <w:suppressAutoHyphens/>
        <w:rPr>
          <w:rFonts w:cs="Arial"/>
          <w:sz w:val="22"/>
        </w:rPr>
      </w:pPr>
      <w:r w:rsidRPr="0042181A" w:rsidDel="00F63752">
        <w:rPr>
          <w:rFonts w:cs="Arial"/>
          <w:sz w:val="22"/>
        </w:rPr>
        <w:t>La mort de poissons des cours d’eau contaminés par ruissellement après traitement des champs aux pesticides ;</w:t>
      </w:r>
    </w:p>
    <w:p w14:paraId="3066AA6C" w14:textId="77777777" w:rsidR="001C2F95" w:rsidRPr="0042181A" w:rsidDel="00F63752" w:rsidRDefault="001C2F95" w:rsidP="002378EA">
      <w:pPr>
        <w:pStyle w:val="Paragraphedeliste"/>
        <w:numPr>
          <w:ilvl w:val="0"/>
          <w:numId w:val="143"/>
        </w:numPr>
        <w:suppressAutoHyphens/>
        <w:rPr>
          <w:rFonts w:cs="Arial"/>
          <w:sz w:val="22"/>
        </w:rPr>
      </w:pPr>
      <w:r w:rsidRPr="0042181A" w:rsidDel="00F63752">
        <w:rPr>
          <w:rFonts w:cs="Arial"/>
          <w:sz w:val="22"/>
        </w:rPr>
        <w:t>Intoxication de bétail ayant consommé l’eau contenue dans les emballages vides ayant servi aux pesticides ;</w:t>
      </w:r>
    </w:p>
    <w:p w14:paraId="6DA4CA66" w14:textId="77777777" w:rsidR="001C2F95" w:rsidRPr="0042181A" w:rsidDel="00F63752" w:rsidRDefault="001C2F95" w:rsidP="002378EA">
      <w:pPr>
        <w:pStyle w:val="Paragraphedeliste"/>
        <w:numPr>
          <w:ilvl w:val="0"/>
          <w:numId w:val="143"/>
        </w:numPr>
        <w:suppressAutoHyphens/>
        <w:rPr>
          <w:rFonts w:cs="Arial"/>
          <w:sz w:val="22"/>
        </w:rPr>
      </w:pPr>
      <w:r w:rsidRPr="0042181A" w:rsidDel="00F63752">
        <w:rPr>
          <w:rFonts w:cs="Arial"/>
          <w:sz w:val="22"/>
        </w:rPr>
        <w:t>Intoxication des acheteurs des légumes volés ou vendus un ou deux jours après traitement ;</w:t>
      </w:r>
    </w:p>
    <w:p w14:paraId="65F58ABC" w14:textId="77777777" w:rsidR="001C2F95" w:rsidRPr="0042181A" w:rsidDel="00F63752" w:rsidRDefault="001C2F95" w:rsidP="002378EA">
      <w:pPr>
        <w:pStyle w:val="Paragraphedeliste"/>
        <w:numPr>
          <w:ilvl w:val="0"/>
          <w:numId w:val="143"/>
        </w:numPr>
        <w:suppressAutoHyphens/>
        <w:rPr>
          <w:rFonts w:cs="Arial"/>
          <w:sz w:val="22"/>
        </w:rPr>
      </w:pPr>
      <w:r w:rsidRPr="0042181A" w:rsidDel="00F63752">
        <w:rPr>
          <w:rFonts w:cs="Arial"/>
          <w:sz w:val="22"/>
        </w:rPr>
        <w:t>Intoxication des ouvriers mal équipés ou vendeurs des pesticides ;</w:t>
      </w:r>
    </w:p>
    <w:p w14:paraId="17D84CDB" w14:textId="77777777" w:rsidR="001C2F95" w:rsidRPr="0042181A" w:rsidDel="00F63752" w:rsidRDefault="001C2F95" w:rsidP="002378EA">
      <w:pPr>
        <w:pStyle w:val="Paragraphedeliste"/>
        <w:numPr>
          <w:ilvl w:val="0"/>
          <w:numId w:val="143"/>
        </w:numPr>
        <w:suppressAutoHyphens/>
        <w:rPr>
          <w:rFonts w:cs="Arial"/>
          <w:sz w:val="22"/>
        </w:rPr>
      </w:pPr>
      <w:r w:rsidRPr="0042181A" w:rsidDel="00F63752">
        <w:rPr>
          <w:rFonts w:cs="Arial"/>
          <w:sz w:val="22"/>
        </w:rPr>
        <w:t>Intoxication de la population ayant consommés des produits vivriers stockés dans un même entrepôt avec les pesticides ou consommé des produits souillés lors du transport, des animaux morts par intoxication aux pesticides</w:t>
      </w:r>
      <w:r w:rsidRPr="0042181A">
        <w:rPr>
          <w:rFonts w:cs="Arial"/>
          <w:sz w:val="22"/>
        </w:rPr>
        <w:t>.</w:t>
      </w:r>
    </w:p>
    <w:p w14:paraId="60091904" w14:textId="77777777" w:rsidR="001C2F95" w:rsidRDefault="001C2F95" w:rsidP="001C2F95">
      <w:pPr>
        <w:pStyle w:val="Titre4"/>
        <w:spacing w:before="0" w:after="0"/>
        <w:ind w:left="0" w:firstLine="0"/>
        <w:rPr>
          <w:rFonts w:ascii="Arial" w:hAnsi="Arial" w:cs="Arial"/>
          <w:b w:val="0"/>
          <w:sz w:val="22"/>
          <w:szCs w:val="22"/>
          <w:u w:val="single"/>
        </w:rPr>
      </w:pPr>
      <w:bookmarkStart w:id="500" w:name="_Toc244267199"/>
      <w:bookmarkStart w:id="501" w:name="_Toc294809322"/>
      <w:bookmarkStart w:id="502" w:name="_Toc331867837"/>
      <w:bookmarkStart w:id="503" w:name="_Toc487204628"/>
    </w:p>
    <w:p w14:paraId="581195C7" w14:textId="77777777" w:rsidR="00EA691F" w:rsidRDefault="00EA691F" w:rsidP="0042181A">
      <w:pPr>
        <w:rPr>
          <w:i/>
          <w:color w:val="000000"/>
          <w:szCs w:val="24"/>
        </w:rPr>
      </w:pPr>
      <w:r w:rsidRPr="00AE6302">
        <w:rPr>
          <w:rFonts w:cs="Arial"/>
          <w:i/>
          <w:sz w:val="22"/>
        </w:rPr>
        <w:t xml:space="preserve">Sous-composante 3.1 : Renforcement des capacités pour la fourniture de services publics agricoles </w:t>
      </w:r>
    </w:p>
    <w:p w14:paraId="35ABDFA4" w14:textId="77777777" w:rsidR="00B970D0" w:rsidRDefault="00B970D0" w:rsidP="00B970D0">
      <w:pPr>
        <w:rPr>
          <w:rFonts w:cs="Arial"/>
          <w:sz w:val="22"/>
        </w:rPr>
      </w:pPr>
      <w:r>
        <w:rPr>
          <w:rFonts w:cs="Arial"/>
          <w:sz w:val="22"/>
        </w:rPr>
        <w:t>Pendant la mise en œuvre du Programme dans les zones d’intervention, t</w:t>
      </w:r>
      <w:r w:rsidRPr="00B970D0">
        <w:rPr>
          <w:rFonts w:cs="Arial"/>
          <w:sz w:val="22"/>
        </w:rPr>
        <w:t>outes les activités de renforcement des capacités des services publics viseront à intégrer les politiques et interventions du CSA et AIN, de la jeunesse et de l’égalité des genres dans les divers biens et services publics de l’agriculture aux niveaux national et local.</w:t>
      </w:r>
      <w:r>
        <w:rPr>
          <w:rFonts w:cs="Arial"/>
          <w:sz w:val="22"/>
        </w:rPr>
        <w:t xml:space="preserve"> Ainsi, il y a risque de la discrimination des femmes et la non intégration de la jeunesse dans le renforcement des capacités des services publics agricoles au niveau local.</w:t>
      </w:r>
    </w:p>
    <w:p w14:paraId="1DAF6315" w14:textId="77777777" w:rsidR="00A91915" w:rsidRPr="00A91915" w:rsidRDefault="00A91915" w:rsidP="00A91915">
      <w:pPr>
        <w:rPr>
          <w:lang w:eastAsia="en-US"/>
        </w:rPr>
      </w:pPr>
    </w:p>
    <w:p w14:paraId="6C78E190" w14:textId="77777777" w:rsidR="001C2F95" w:rsidRPr="00B301AC" w:rsidRDefault="00B301AC" w:rsidP="001C2F95">
      <w:pPr>
        <w:pStyle w:val="Titre2"/>
        <w:numPr>
          <w:ilvl w:val="2"/>
          <w:numId w:val="4"/>
        </w:numPr>
        <w:ind w:left="1560" w:hanging="709"/>
        <w:rPr>
          <w:rFonts w:cs="Arial"/>
          <w:b/>
          <w:i/>
          <w:sz w:val="22"/>
          <w:szCs w:val="22"/>
        </w:rPr>
      </w:pPr>
      <w:bookmarkStart w:id="504" w:name="_Toc70330429"/>
      <w:r w:rsidRPr="00B301AC">
        <w:rPr>
          <w:rFonts w:cs="Arial"/>
          <w:i/>
          <w:sz w:val="22"/>
          <w:szCs w:val="22"/>
        </w:rPr>
        <w:t xml:space="preserve">Analyse des </w:t>
      </w:r>
      <w:r w:rsidR="001C2F95" w:rsidRPr="00B301AC">
        <w:rPr>
          <w:rFonts w:cs="Arial"/>
          <w:i/>
          <w:sz w:val="22"/>
          <w:szCs w:val="22"/>
        </w:rPr>
        <w:t xml:space="preserve">Impacts </w:t>
      </w:r>
      <w:r w:rsidRPr="00B301AC">
        <w:rPr>
          <w:rFonts w:cs="Arial"/>
          <w:i/>
          <w:sz w:val="22"/>
          <w:szCs w:val="22"/>
        </w:rPr>
        <w:t xml:space="preserve">cumulatifs </w:t>
      </w:r>
      <w:r w:rsidR="001C2F95" w:rsidRPr="00B301AC">
        <w:rPr>
          <w:rFonts w:cs="Arial"/>
          <w:i/>
          <w:sz w:val="22"/>
          <w:szCs w:val="22"/>
        </w:rPr>
        <w:t>négatifs</w:t>
      </w:r>
      <w:r w:rsidRPr="00B301AC">
        <w:rPr>
          <w:rFonts w:cs="Arial"/>
          <w:i/>
          <w:sz w:val="22"/>
          <w:szCs w:val="22"/>
        </w:rPr>
        <w:t xml:space="preserve"> pontentiels et mesures d’atténuation</w:t>
      </w:r>
      <w:r w:rsidR="001C2F95" w:rsidRPr="00B301AC">
        <w:rPr>
          <w:rFonts w:cs="Arial"/>
          <w:i/>
          <w:sz w:val="22"/>
          <w:szCs w:val="22"/>
        </w:rPr>
        <w:t xml:space="preserve"> des </w:t>
      </w:r>
      <w:bookmarkEnd w:id="500"/>
      <w:r w:rsidR="001C2F95" w:rsidRPr="00B301AC">
        <w:rPr>
          <w:rFonts w:cs="Arial"/>
          <w:i/>
          <w:sz w:val="22"/>
          <w:szCs w:val="22"/>
        </w:rPr>
        <w:t>activités du Projet</w:t>
      </w:r>
      <w:bookmarkEnd w:id="501"/>
      <w:bookmarkEnd w:id="502"/>
      <w:bookmarkEnd w:id="503"/>
      <w:bookmarkEnd w:id="504"/>
    </w:p>
    <w:p w14:paraId="74722F58" w14:textId="77777777" w:rsidR="007C78BF" w:rsidRDefault="007C78BF" w:rsidP="00E80989">
      <w:pPr>
        <w:rPr>
          <w:sz w:val="22"/>
        </w:rPr>
      </w:pPr>
    </w:p>
    <w:p w14:paraId="5B8F41AC" w14:textId="77777777" w:rsidR="00E80989" w:rsidRPr="00837741" w:rsidRDefault="00E80989" w:rsidP="00E80989">
      <w:pPr>
        <w:rPr>
          <w:sz w:val="22"/>
        </w:rPr>
      </w:pPr>
      <w:r w:rsidRPr="00B301AC">
        <w:rPr>
          <w:sz w:val="22"/>
        </w:rPr>
        <w:t xml:space="preserve">L’objectif de cette section est de présenter brièvement les projets en cours ou prévus dans ou à proximité de la zone d’étude </w:t>
      </w:r>
      <w:r w:rsidR="00B301AC" w:rsidRPr="00B301AC">
        <w:rPr>
          <w:sz w:val="22"/>
        </w:rPr>
        <w:t xml:space="preserve">restreinte du Programme du PNDA </w:t>
      </w:r>
      <w:r w:rsidRPr="00B301AC">
        <w:rPr>
          <w:sz w:val="22"/>
        </w:rPr>
        <w:t>dans l</w:t>
      </w:r>
      <w:r w:rsidR="00B301AC" w:rsidRPr="00B301AC">
        <w:rPr>
          <w:sz w:val="22"/>
        </w:rPr>
        <w:t xml:space="preserve">es Provinces du </w:t>
      </w:r>
      <w:r w:rsidR="00B301AC" w:rsidRPr="00296E4B">
        <w:rPr>
          <w:rFonts w:cs="Arial"/>
          <w:sz w:val="22"/>
        </w:rPr>
        <w:t>Provinces du Kasaï et Kasaï Central), la région de l’Ouest (Provinces du Kongo Central et du Kwilu), la région de l’Est (Province du Nord</w:t>
      </w:r>
      <w:r w:rsidR="0042181A">
        <w:rPr>
          <w:rFonts w:cs="Arial"/>
          <w:sz w:val="22"/>
        </w:rPr>
        <w:t>-</w:t>
      </w:r>
      <w:r w:rsidR="00B301AC" w:rsidRPr="00296E4B">
        <w:rPr>
          <w:rFonts w:cs="Arial"/>
          <w:sz w:val="22"/>
        </w:rPr>
        <w:t>Kivu</w:t>
      </w:r>
      <w:r w:rsidR="008C33E0">
        <w:rPr>
          <w:rFonts w:cs="Arial"/>
          <w:sz w:val="22"/>
        </w:rPr>
        <w:t>)</w:t>
      </w:r>
      <w:r w:rsidRPr="00B301AC">
        <w:rPr>
          <w:sz w:val="22"/>
        </w:rPr>
        <w:t>, en vue de prendre en compte, le cas échéant, les impacts cumulés des différentes activités dans leurs phases construc</w:t>
      </w:r>
      <w:r w:rsidRPr="008C33E0">
        <w:rPr>
          <w:sz w:val="22"/>
        </w:rPr>
        <w:t>tion et / ou d’exploitation.</w:t>
      </w:r>
    </w:p>
    <w:p w14:paraId="21D74352" w14:textId="77777777" w:rsidR="00E80989" w:rsidRPr="00837741" w:rsidRDefault="00E80989" w:rsidP="00E80989">
      <w:pPr>
        <w:rPr>
          <w:sz w:val="22"/>
        </w:rPr>
      </w:pPr>
    </w:p>
    <w:p w14:paraId="5A3E607A" w14:textId="77777777" w:rsidR="00E80989" w:rsidRPr="00837741" w:rsidRDefault="00E80989" w:rsidP="00E80989">
      <w:pPr>
        <w:rPr>
          <w:sz w:val="22"/>
        </w:rPr>
      </w:pPr>
      <w:r w:rsidRPr="00837741">
        <w:rPr>
          <w:sz w:val="22"/>
        </w:rPr>
        <w:t xml:space="preserve">Les effets cumulatifs font notamment référence aux effets engendrés par la réalisation du projet actuel sur les composantes environnementales et sociales tout en considérant les effets causés par d’autres projets ou évènements passés, actuels et à venir sur ces mêmes composantes dans une perspective spatio-temporelle délimitée. La notion d’effets cumulatifs se rapporte à la possibilité que les effets résiduels négatifs permanents occasionnés par le projet s’ajouteraient à ceux d’autres activités concrètes ou évènements passés, actuels et futurs dans le même secteur ou à proximité, pour produire des effets de plus grande ampleur sur le milieu récepteur. L’évaluation des effets cumulatifs porte sur un certain nombre de composantes qui correspondent aux préoccupations majeures exprimées par les parties prenantes ou établies dans le présent CGES. </w:t>
      </w:r>
    </w:p>
    <w:p w14:paraId="2608114C" w14:textId="77777777" w:rsidR="00E80989" w:rsidRPr="00837741" w:rsidRDefault="00E80989" w:rsidP="00E80989">
      <w:pPr>
        <w:rPr>
          <w:sz w:val="22"/>
        </w:rPr>
      </w:pPr>
    </w:p>
    <w:p w14:paraId="1E8C5672" w14:textId="77777777" w:rsidR="00E80989" w:rsidRPr="00837741" w:rsidRDefault="00E80989" w:rsidP="00E80989">
      <w:pPr>
        <w:rPr>
          <w:sz w:val="22"/>
        </w:rPr>
      </w:pPr>
      <w:r w:rsidRPr="00837741">
        <w:rPr>
          <w:sz w:val="22"/>
        </w:rPr>
        <w:t>L’évaluation des effets cumulatifs constitue un moyen d’étudier les effets d’un projet dans un contexte plus large que celui d’une évaluation environnementale classique</w:t>
      </w:r>
    </w:p>
    <w:p w14:paraId="08DD11FC" w14:textId="77777777" w:rsidR="00E80989" w:rsidRPr="00837741" w:rsidRDefault="00E80989" w:rsidP="00E80989">
      <w:pPr>
        <w:rPr>
          <w:sz w:val="22"/>
        </w:rPr>
      </w:pPr>
    </w:p>
    <w:p w14:paraId="2407975D" w14:textId="77777777" w:rsidR="00E80989" w:rsidRPr="007C78BF" w:rsidRDefault="00E80989" w:rsidP="00E80989">
      <w:pPr>
        <w:rPr>
          <w:b/>
          <w:i/>
          <w:sz w:val="22"/>
          <w:u w:val="single"/>
        </w:rPr>
      </w:pPr>
      <w:r w:rsidRPr="007C78BF">
        <w:rPr>
          <w:b/>
          <w:i/>
          <w:sz w:val="22"/>
          <w:u w:val="single"/>
        </w:rPr>
        <w:t>Approche méthodologique</w:t>
      </w:r>
    </w:p>
    <w:p w14:paraId="524681B5" w14:textId="77777777" w:rsidR="00E80989" w:rsidRPr="00837741" w:rsidRDefault="00E80989" w:rsidP="00E80989">
      <w:pPr>
        <w:rPr>
          <w:sz w:val="22"/>
        </w:rPr>
      </w:pPr>
    </w:p>
    <w:p w14:paraId="75EADC0F" w14:textId="77777777" w:rsidR="00E80989" w:rsidRPr="00837741" w:rsidRDefault="00E80989" w:rsidP="00E80989">
      <w:pPr>
        <w:rPr>
          <w:sz w:val="22"/>
        </w:rPr>
      </w:pPr>
      <w:r w:rsidRPr="00837741">
        <w:rPr>
          <w:sz w:val="22"/>
        </w:rPr>
        <w:t xml:space="preserve">La démarche de l’évaluation des effets cumulatifs s’inscrit à l’intérieur d’un cadre générique qui s’articule autour de cinq étapes : </w:t>
      </w:r>
    </w:p>
    <w:p w14:paraId="4E092D73" w14:textId="77777777" w:rsidR="00E80989" w:rsidRPr="00837741" w:rsidRDefault="00E80989" w:rsidP="00E80989">
      <w:pPr>
        <w:rPr>
          <w:sz w:val="22"/>
        </w:rPr>
      </w:pPr>
    </w:p>
    <w:p w14:paraId="5121744F" w14:textId="77777777" w:rsidR="00E80989" w:rsidRPr="00837741" w:rsidRDefault="00E80989" w:rsidP="002378EA">
      <w:pPr>
        <w:pStyle w:val="Paragraphedeliste"/>
        <w:numPr>
          <w:ilvl w:val="0"/>
          <w:numId w:val="149"/>
        </w:numPr>
        <w:rPr>
          <w:sz w:val="22"/>
        </w:rPr>
      </w:pPr>
      <w:r w:rsidRPr="00837741">
        <w:rPr>
          <w:sz w:val="22"/>
        </w:rPr>
        <w:t xml:space="preserve">Détermination de la portée de l’évaluation, incluant ; </w:t>
      </w:r>
    </w:p>
    <w:p w14:paraId="0B77EB3F" w14:textId="77777777" w:rsidR="00E80989" w:rsidRPr="00837741" w:rsidRDefault="00E80989" w:rsidP="002378EA">
      <w:pPr>
        <w:pStyle w:val="Paragraphedeliste"/>
        <w:numPr>
          <w:ilvl w:val="0"/>
          <w:numId w:val="150"/>
        </w:numPr>
        <w:rPr>
          <w:sz w:val="22"/>
        </w:rPr>
      </w:pPr>
      <w:r w:rsidRPr="00837741">
        <w:rPr>
          <w:sz w:val="22"/>
        </w:rPr>
        <w:t xml:space="preserve">la détermination de limites spatiales et temporelles, </w:t>
      </w:r>
    </w:p>
    <w:p w14:paraId="12887C9F" w14:textId="77777777" w:rsidR="00E80989" w:rsidRPr="00837741" w:rsidRDefault="00E80989" w:rsidP="002378EA">
      <w:pPr>
        <w:pStyle w:val="Paragraphedeliste"/>
        <w:numPr>
          <w:ilvl w:val="0"/>
          <w:numId w:val="150"/>
        </w:numPr>
        <w:rPr>
          <w:sz w:val="22"/>
        </w:rPr>
      </w:pPr>
      <w:r w:rsidRPr="00837741">
        <w:rPr>
          <w:sz w:val="22"/>
        </w:rPr>
        <w:t xml:space="preserve">identification des activités concrètes réalisées dans le passé, </w:t>
      </w:r>
    </w:p>
    <w:p w14:paraId="1921A419" w14:textId="77777777" w:rsidR="00E80989" w:rsidRPr="00837741" w:rsidRDefault="00E80989" w:rsidP="002378EA">
      <w:pPr>
        <w:pStyle w:val="Paragraphedeliste"/>
        <w:numPr>
          <w:ilvl w:val="0"/>
          <w:numId w:val="150"/>
        </w:numPr>
        <w:rPr>
          <w:sz w:val="22"/>
        </w:rPr>
      </w:pPr>
      <w:r w:rsidRPr="00837741">
        <w:rPr>
          <w:sz w:val="22"/>
        </w:rPr>
        <w:t>identification des activités concrètes qui seront réalisées</w:t>
      </w:r>
      <w:r w:rsidR="009B3A40">
        <w:rPr>
          <w:sz w:val="22"/>
        </w:rPr>
        <w:t xml:space="preserve"> </w:t>
      </w:r>
      <w:r w:rsidRPr="00837741">
        <w:rPr>
          <w:sz w:val="22"/>
        </w:rPr>
        <w:t xml:space="preserve">; </w:t>
      </w:r>
    </w:p>
    <w:p w14:paraId="3AA11FBC" w14:textId="77777777" w:rsidR="00E80989" w:rsidRPr="00837741" w:rsidRDefault="00E80989" w:rsidP="002378EA">
      <w:pPr>
        <w:pStyle w:val="Paragraphedeliste"/>
        <w:numPr>
          <w:ilvl w:val="0"/>
          <w:numId w:val="149"/>
        </w:numPr>
        <w:rPr>
          <w:sz w:val="22"/>
        </w:rPr>
      </w:pPr>
      <w:r w:rsidRPr="00837741">
        <w:rPr>
          <w:sz w:val="22"/>
        </w:rPr>
        <w:t>Analyse des effets cumulatifs</w:t>
      </w:r>
      <w:r w:rsidR="009B3A40">
        <w:rPr>
          <w:sz w:val="22"/>
        </w:rPr>
        <w:t xml:space="preserve"> </w:t>
      </w:r>
      <w:r w:rsidRPr="00837741">
        <w:rPr>
          <w:sz w:val="22"/>
        </w:rPr>
        <w:t xml:space="preserve">; </w:t>
      </w:r>
    </w:p>
    <w:p w14:paraId="524B422B" w14:textId="77777777" w:rsidR="00E80989" w:rsidRPr="00837741" w:rsidRDefault="00E80989" w:rsidP="002378EA">
      <w:pPr>
        <w:pStyle w:val="Paragraphedeliste"/>
        <w:numPr>
          <w:ilvl w:val="0"/>
          <w:numId w:val="149"/>
        </w:numPr>
        <w:rPr>
          <w:sz w:val="22"/>
        </w:rPr>
      </w:pPr>
      <w:r w:rsidRPr="00837741">
        <w:rPr>
          <w:sz w:val="22"/>
        </w:rPr>
        <w:t>Évaluation de l’importance des effets</w:t>
      </w:r>
      <w:r w:rsidR="009B3A40">
        <w:rPr>
          <w:sz w:val="22"/>
        </w:rPr>
        <w:t xml:space="preserve"> </w:t>
      </w:r>
      <w:r w:rsidRPr="00837741">
        <w:rPr>
          <w:sz w:val="22"/>
        </w:rPr>
        <w:t xml:space="preserve">; </w:t>
      </w:r>
    </w:p>
    <w:p w14:paraId="2C36416A" w14:textId="77777777" w:rsidR="00E80989" w:rsidRPr="00837741" w:rsidRDefault="00E80989" w:rsidP="002378EA">
      <w:pPr>
        <w:pStyle w:val="Paragraphedeliste"/>
        <w:numPr>
          <w:ilvl w:val="0"/>
          <w:numId w:val="149"/>
        </w:numPr>
        <w:rPr>
          <w:sz w:val="22"/>
        </w:rPr>
      </w:pPr>
      <w:r w:rsidRPr="00837741">
        <w:rPr>
          <w:sz w:val="22"/>
        </w:rPr>
        <w:t>Détermination des mesures d’atténuation</w:t>
      </w:r>
      <w:r w:rsidR="009B3A40">
        <w:rPr>
          <w:sz w:val="22"/>
        </w:rPr>
        <w:t xml:space="preserve"> </w:t>
      </w:r>
      <w:r w:rsidRPr="00837741">
        <w:rPr>
          <w:sz w:val="22"/>
        </w:rPr>
        <w:t xml:space="preserve">; </w:t>
      </w:r>
    </w:p>
    <w:p w14:paraId="38785886" w14:textId="77777777" w:rsidR="00E80989" w:rsidRPr="00837741" w:rsidRDefault="00E80989" w:rsidP="002378EA">
      <w:pPr>
        <w:pStyle w:val="Paragraphedeliste"/>
        <w:numPr>
          <w:ilvl w:val="0"/>
          <w:numId w:val="149"/>
        </w:numPr>
        <w:rPr>
          <w:sz w:val="22"/>
        </w:rPr>
      </w:pPr>
      <w:r w:rsidRPr="00837741">
        <w:rPr>
          <w:sz w:val="22"/>
        </w:rPr>
        <w:t>Suivi des effets cumulatifs.</w:t>
      </w:r>
    </w:p>
    <w:p w14:paraId="7BE8DE6C" w14:textId="77777777" w:rsidR="00E80989" w:rsidRPr="00837741" w:rsidRDefault="00E80989" w:rsidP="00E80989">
      <w:pPr>
        <w:rPr>
          <w:sz w:val="22"/>
        </w:rPr>
      </w:pPr>
    </w:p>
    <w:p w14:paraId="2FA9DBF5" w14:textId="77777777" w:rsidR="00E80989" w:rsidRPr="00837741" w:rsidRDefault="00E80989" w:rsidP="002378EA">
      <w:pPr>
        <w:pStyle w:val="Paragraphedeliste"/>
        <w:numPr>
          <w:ilvl w:val="0"/>
          <w:numId w:val="151"/>
        </w:numPr>
        <w:rPr>
          <w:sz w:val="22"/>
        </w:rPr>
      </w:pPr>
      <w:r w:rsidRPr="00837741">
        <w:rPr>
          <w:sz w:val="22"/>
        </w:rPr>
        <w:t>Détermination de la portée de l’évaluation</w:t>
      </w:r>
    </w:p>
    <w:p w14:paraId="22681043" w14:textId="77777777" w:rsidR="00E80989" w:rsidRPr="00837741" w:rsidRDefault="00E80989" w:rsidP="00E80989">
      <w:pPr>
        <w:pStyle w:val="Paragraphedeliste"/>
        <w:rPr>
          <w:sz w:val="22"/>
        </w:rPr>
      </w:pPr>
    </w:p>
    <w:p w14:paraId="0D448E0B" w14:textId="77777777" w:rsidR="00E80989" w:rsidRPr="00837741" w:rsidRDefault="00E80989" w:rsidP="00E80989">
      <w:pPr>
        <w:rPr>
          <w:i/>
          <w:sz w:val="22"/>
        </w:rPr>
      </w:pPr>
      <w:r w:rsidRPr="00837741">
        <w:rPr>
          <w:i/>
          <w:sz w:val="22"/>
        </w:rPr>
        <w:t xml:space="preserve">Détermination de limites spéciales et temporelles </w:t>
      </w:r>
    </w:p>
    <w:p w14:paraId="1A09FC36" w14:textId="77777777" w:rsidR="00E80989" w:rsidRPr="00837741" w:rsidRDefault="00E80989" w:rsidP="00E80989">
      <w:pPr>
        <w:rPr>
          <w:sz w:val="22"/>
        </w:rPr>
      </w:pPr>
    </w:p>
    <w:p w14:paraId="0C1D70A6" w14:textId="77777777" w:rsidR="00E80989" w:rsidRPr="00837741" w:rsidRDefault="00E80989" w:rsidP="00E80989">
      <w:pPr>
        <w:rPr>
          <w:sz w:val="22"/>
        </w:rPr>
      </w:pPr>
      <w:r w:rsidRPr="00837741">
        <w:rPr>
          <w:sz w:val="22"/>
        </w:rPr>
        <w:t xml:space="preserve">En ce qui a trait aux limites temporelles, deux bornes doivent être définies : </w:t>
      </w:r>
      <w:r w:rsidRPr="00837741">
        <w:rPr>
          <w:b/>
          <w:i/>
          <w:sz w:val="22"/>
        </w:rPr>
        <w:t xml:space="preserve">la borne </w:t>
      </w:r>
      <w:r w:rsidR="009B3A40">
        <w:rPr>
          <w:b/>
          <w:i/>
          <w:sz w:val="22"/>
        </w:rPr>
        <w:t xml:space="preserve">                       </w:t>
      </w:r>
      <w:r w:rsidRPr="00837741">
        <w:rPr>
          <w:b/>
          <w:i/>
          <w:sz w:val="22"/>
        </w:rPr>
        <w:t>« passé » et la borne « futur »</w:t>
      </w:r>
      <w:r w:rsidRPr="00837741">
        <w:rPr>
          <w:sz w:val="22"/>
        </w:rPr>
        <w:t xml:space="preserve">. Pour le présent </w:t>
      </w:r>
      <w:r w:rsidR="00B301AC">
        <w:rPr>
          <w:sz w:val="22"/>
        </w:rPr>
        <w:t>Programme PNDA</w:t>
      </w:r>
      <w:r w:rsidRPr="00837741">
        <w:rPr>
          <w:sz w:val="22"/>
        </w:rPr>
        <w:t>, elles ont été déterminées en se centrant sur les activités. La limite « passé » a ainsi été f</w:t>
      </w:r>
      <w:r w:rsidR="00B301AC">
        <w:rPr>
          <w:sz w:val="22"/>
        </w:rPr>
        <w:t xml:space="preserve">ixée à la fin de les années </w:t>
      </w:r>
      <w:r w:rsidR="009B3A40">
        <w:rPr>
          <w:sz w:val="22"/>
        </w:rPr>
        <w:t xml:space="preserve">    </w:t>
      </w:r>
      <w:r w:rsidR="00B301AC">
        <w:rPr>
          <w:sz w:val="22"/>
        </w:rPr>
        <w:t>2010</w:t>
      </w:r>
      <w:r w:rsidRPr="00837741">
        <w:rPr>
          <w:sz w:val="22"/>
        </w:rPr>
        <w:t xml:space="preserve"> - 2020, soit 10 ans. Ce moment correspond à la </w:t>
      </w:r>
      <w:r w:rsidR="00774416">
        <w:rPr>
          <w:sz w:val="22"/>
        </w:rPr>
        <w:t xml:space="preserve">mise en œuvre du Projet </w:t>
      </w:r>
      <w:r w:rsidR="009343B1" w:rsidRPr="00730A4A">
        <w:rPr>
          <w:rFonts w:cs="Arial"/>
          <w:color w:val="000000"/>
          <w:sz w:val="22"/>
        </w:rPr>
        <w:t>de Développement des Pôles de Croissance (PDPC</w:t>
      </w:r>
      <w:r w:rsidR="009343B1">
        <w:rPr>
          <w:sz w:val="22"/>
        </w:rPr>
        <w:t>)</w:t>
      </w:r>
      <w:r w:rsidR="00774416">
        <w:rPr>
          <w:sz w:val="22"/>
        </w:rPr>
        <w:t xml:space="preserve"> dans </w:t>
      </w:r>
      <w:r w:rsidR="009B3A40">
        <w:rPr>
          <w:sz w:val="22"/>
        </w:rPr>
        <w:t>P</w:t>
      </w:r>
      <w:r w:rsidR="009343B1">
        <w:rPr>
          <w:sz w:val="22"/>
        </w:rPr>
        <w:t>rovince du</w:t>
      </w:r>
      <w:r w:rsidR="00774416">
        <w:rPr>
          <w:sz w:val="22"/>
        </w:rPr>
        <w:t xml:space="preserve"> Kongo Central, le </w:t>
      </w:r>
      <w:r w:rsidR="00774416">
        <w:rPr>
          <w:rFonts w:cs="Arial"/>
          <w:color w:val="4D5156"/>
          <w:szCs w:val="21"/>
          <w:shd w:val="clear" w:color="auto" w:fill="FFFFFF"/>
        </w:rPr>
        <w:t>Projet d'appui à la réhabilitation et la relance du secteur agricole (PICS) dans les Provinces du Kwilu et Kongo Central</w:t>
      </w:r>
      <w:r w:rsidRPr="00837741">
        <w:rPr>
          <w:sz w:val="22"/>
        </w:rPr>
        <w:t xml:space="preserve">, </w:t>
      </w:r>
      <w:r w:rsidR="008C33E0" w:rsidRPr="00010F6E">
        <w:rPr>
          <w:rFonts w:cs="Arial"/>
          <w:sz w:val="22"/>
        </w:rPr>
        <w:t>Projet d’Inclusion Productive (PIP) dans la Province du Kwilu</w:t>
      </w:r>
      <w:r w:rsidR="008C33E0">
        <w:rPr>
          <w:rFonts w:cs="Arial"/>
          <w:sz w:val="22"/>
        </w:rPr>
        <w:t>,</w:t>
      </w:r>
      <w:r w:rsidR="008C33E0" w:rsidRPr="00837741">
        <w:rPr>
          <w:sz w:val="22"/>
        </w:rPr>
        <w:t xml:space="preserve"> </w:t>
      </w:r>
      <w:r w:rsidRPr="00837741">
        <w:rPr>
          <w:sz w:val="22"/>
        </w:rPr>
        <w:t xml:space="preserve">etc. </w:t>
      </w:r>
      <w:r w:rsidRPr="00837741">
        <w:rPr>
          <w:b/>
          <w:i/>
          <w:sz w:val="22"/>
        </w:rPr>
        <w:t xml:space="preserve">La borne </w:t>
      </w:r>
      <w:r w:rsidR="009B3A40">
        <w:rPr>
          <w:b/>
          <w:i/>
          <w:sz w:val="22"/>
        </w:rPr>
        <w:t xml:space="preserve">     </w:t>
      </w:r>
      <w:r w:rsidRPr="00837741">
        <w:rPr>
          <w:b/>
          <w:i/>
          <w:sz w:val="22"/>
        </w:rPr>
        <w:t>« futur »</w:t>
      </w:r>
      <w:r w:rsidR="008C33E0">
        <w:rPr>
          <w:sz w:val="22"/>
        </w:rPr>
        <w:t xml:space="preserve"> a été fixée à quinze (15) ans. Cette période correspond avec la durée du Programme PNDA</w:t>
      </w:r>
      <w:r w:rsidRPr="00837741">
        <w:rPr>
          <w:sz w:val="22"/>
        </w:rPr>
        <w:t>, car au-delà de cette limite, il est difficile de déterminer avec précision quels seront les projets (activités concrètes). Ainsi, les limites temporelles pour l’évaluation des effets cumulatifs de ce projet s’étendent de 2010 à 2035. Il est important de mentionner que cet interval de temps demeure flexible, en fonction des informations disponibles pour chacun des projets retenus. En effet, comme il a été mentionné précédemment, l’évaluation des effets cumulatifs devient de plus en plus incertaine au fur et à mesure que l’intervalle de temps entre les limites « passé » et « futur » grandit.</w:t>
      </w:r>
    </w:p>
    <w:p w14:paraId="6077394A" w14:textId="77777777" w:rsidR="00E80989" w:rsidRPr="00837741" w:rsidRDefault="00E80989" w:rsidP="00E80989">
      <w:pPr>
        <w:rPr>
          <w:sz w:val="22"/>
        </w:rPr>
      </w:pPr>
    </w:p>
    <w:p w14:paraId="58DDB36F" w14:textId="77777777" w:rsidR="00E80989" w:rsidRPr="00837741" w:rsidRDefault="00E80989" w:rsidP="00E80989">
      <w:pPr>
        <w:rPr>
          <w:b/>
          <w:i/>
          <w:sz w:val="22"/>
        </w:rPr>
      </w:pPr>
      <w:r w:rsidRPr="00837741">
        <w:rPr>
          <w:b/>
          <w:i/>
          <w:sz w:val="22"/>
        </w:rPr>
        <w:t>Identification des Projets/activités concrets réalisées dans le passé ou en cours</w:t>
      </w:r>
    </w:p>
    <w:p w14:paraId="4C398436" w14:textId="77777777" w:rsidR="00E80989" w:rsidRPr="00837741" w:rsidRDefault="00E80989" w:rsidP="00E80989">
      <w:pPr>
        <w:rPr>
          <w:sz w:val="22"/>
        </w:rPr>
      </w:pPr>
    </w:p>
    <w:p w14:paraId="5591F21E" w14:textId="77777777" w:rsidR="007F29AC" w:rsidRDefault="00E80989" w:rsidP="009D03CE">
      <w:pPr>
        <w:rPr>
          <w:sz w:val="22"/>
        </w:rPr>
      </w:pPr>
      <w:r w:rsidRPr="00837741">
        <w:rPr>
          <w:sz w:val="22"/>
        </w:rPr>
        <w:t>Quelques projets passés et</w:t>
      </w:r>
      <w:r w:rsidR="007669EC">
        <w:rPr>
          <w:sz w:val="22"/>
        </w:rPr>
        <w:t xml:space="preserve">/ou en cours identifiés dans les </w:t>
      </w:r>
      <w:r w:rsidR="009343B1">
        <w:rPr>
          <w:sz w:val="22"/>
        </w:rPr>
        <w:t xml:space="preserve">cinq </w:t>
      </w:r>
      <w:r w:rsidR="007669EC">
        <w:rPr>
          <w:sz w:val="22"/>
        </w:rPr>
        <w:t xml:space="preserve">provinces concernées </w:t>
      </w:r>
      <w:r w:rsidR="009343B1">
        <w:rPr>
          <w:sz w:val="22"/>
        </w:rPr>
        <w:t>par le Programme PNDA</w:t>
      </w:r>
      <w:r w:rsidR="007F29AC">
        <w:rPr>
          <w:sz w:val="22"/>
        </w:rPr>
        <w:t xml:space="preserve"> sont :</w:t>
      </w:r>
    </w:p>
    <w:p w14:paraId="5B025551" w14:textId="77777777" w:rsidR="007F29AC" w:rsidRPr="009D03CE" w:rsidRDefault="007F29AC" w:rsidP="009D03CE">
      <w:pPr>
        <w:rPr>
          <w:sz w:val="22"/>
        </w:rPr>
      </w:pPr>
    </w:p>
    <w:p w14:paraId="038FFE43" w14:textId="77777777" w:rsidR="007F29AC" w:rsidRPr="009D03CE" w:rsidRDefault="007F29AC" w:rsidP="002378EA">
      <w:pPr>
        <w:pStyle w:val="Paragraphedeliste"/>
        <w:numPr>
          <w:ilvl w:val="0"/>
          <w:numId w:val="148"/>
        </w:numPr>
        <w:rPr>
          <w:sz w:val="22"/>
        </w:rPr>
      </w:pPr>
      <w:r w:rsidRPr="007F29AC">
        <w:rPr>
          <w:sz w:val="22"/>
        </w:rPr>
        <w:t>Projet d’</w:t>
      </w:r>
      <w:r w:rsidR="009B3A40">
        <w:rPr>
          <w:sz w:val="22"/>
        </w:rPr>
        <w:t>A</w:t>
      </w:r>
      <w:r w:rsidRPr="007F29AC">
        <w:rPr>
          <w:sz w:val="22"/>
        </w:rPr>
        <w:t xml:space="preserve">ppui à la </w:t>
      </w:r>
      <w:r w:rsidR="009B3A40">
        <w:rPr>
          <w:sz w:val="22"/>
        </w:rPr>
        <w:t>R</w:t>
      </w:r>
      <w:r w:rsidRPr="007F29AC">
        <w:rPr>
          <w:sz w:val="22"/>
        </w:rPr>
        <w:t xml:space="preserve">éhabilitation et à la </w:t>
      </w:r>
      <w:r w:rsidR="009B3A40">
        <w:rPr>
          <w:sz w:val="22"/>
        </w:rPr>
        <w:t>R</w:t>
      </w:r>
      <w:r w:rsidRPr="007F29AC">
        <w:rPr>
          <w:sz w:val="22"/>
        </w:rPr>
        <w:t xml:space="preserve">elance du </w:t>
      </w:r>
      <w:r w:rsidR="009B3A40">
        <w:rPr>
          <w:sz w:val="22"/>
        </w:rPr>
        <w:t>S</w:t>
      </w:r>
      <w:r w:rsidRPr="007F29AC">
        <w:rPr>
          <w:sz w:val="22"/>
        </w:rPr>
        <w:t xml:space="preserve">ecteur </w:t>
      </w:r>
      <w:r w:rsidR="009B3A40">
        <w:rPr>
          <w:sz w:val="22"/>
        </w:rPr>
        <w:t>A</w:t>
      </w:r>
      <w:r w:rsidRPr="007F29AC">
        <w:rPr>
          <w:sz w:val="22"/>
        </w:rPr>
        <w:t>gricole</w:t>
      </w:r>
      <w:r>
        <w:rPr>
          <w:sz w:val="22"/>
        </w:rPr>
        <w:t xml:space="preserve"> (</w:t>
      </w:r>
      <w:r w:rsidRPr="00730A4A">
        <w:rPr>
          <w:rFonts w:cs="Arial"/>
          <w:color w:val="000000"/>
          <w:sz w:val="22"/>
        </w:rPr>
        <w:t xml:space="preserve">PARRSA) dans la </w:t>
      </w:r>
      <w:r w:rsidR="0044657E" w:rsidRPr="00730A4A">
        <w:rPr>
          <w:rFonts w:cs="Arial"/>
          <w:color w:val="000000"/>
          <w:sz w:val="22"/>
        </w:rPr>
        <w:t>P</w:t>
      </w:r>
      <w:r w:rsidRPr="00730A4A">
        <w:rPr>
          <w:rFonts w:cs="Arial"/>
          <w:color w:val="000000"/>
          <w:sz w:val="22"/>
        </w:rPr>
        <w:t>rovince du Kwilu</w:t>
      </w:r>
      <w:r w:rsidR="00AF31C3" w:rsidRPr="00730A4A">
        <w:rPr>
          <w:rFonts w:cs="Arial"/>
          <w:color w:val="000000"/>
          <w:sz w:val="22"/>
        </w:rPr>
        <w:t xml:space="preserve">, projet passé 2020 </w:t>
      </w:r>
      <w:r w:rsidRPr="00730A4A">
        <w:rPr>
          <w:rFonts w:cs="Arial"/>
          <w:color w:val="000000"/>
          <w:sz w:val="22"/>
        </w:rPr>
        <w:t xml:space="preserve">; </w:t>
      </w:r>
    </w:p>
    <w:p w14:paraId="461A1127" w14:textId="77777777" w:rsidR="009343B1" w:rsidRDefault="009343B1" w:rsidP="002378EA">
      <w:pPr>
        <w:pStyle w:val="Paragraphedeliste"/>
        <w:numPr>
          <w:ilvl w:val="0"/>
          <w:numId w:val="148"/>
        </w:numPr>
        <w:rPr>
          <w:sz w:val="22"/>
        </w:rPr>
      </w:pPr>
      <w:r>
        <w:rPr>
          <w:sz w:val="22"/>
        </w:rPr>
        <w:t xml:space="preserve">Projet </w:t>
      </w:r>
      <w:r w:rsidRPr="00730A4A">
        <w:rPr>
          <w:rFonts w:cs="Arial"/>
          <w:color w:val="000000"/>
          <w:sz w:val="22"/>
        </w:rPr>
        <w:t>de Développement des Pôles de Croissance (PDPC</w:t>
      </w:r>
      <w:r>
        <w:rPr>
          <w:sz w:val="22"/>
        </w:rPr>
        <w:t xml:space="preserve">) dans la </w:t>
      </w:r>
      <w:r w:rsidR="009B3A40">
        <w:rPr>
          <w:sz w:val="22"/>
        </w:rPr>
        <w:t>P</w:t>
      </w:r>
      <w:r>
        <w:rPr>
          <w:sz w:val="22"/>
        </w:rPr>
        <w:t>rovince du Kongo Central</w:t>
      </w:r>
      <w:r w:rsidR="007F29AC">
        <w:rPr>
          <w:sz w:val="22"/>
        </w:rPr>
        <w:t xml:space="preserve">, projet passé depuis 2020 </w:t>
      </w:r>
      <w:r>
        <w:rPr>
          <w:sz w:val="22"/>
        </w:rPr>
        <w:t>;</w:t>
      </w:r>
    </w:p>
    <w:p w14:paraId="7110E393" w14:textId="77777777" w:rsidR="009343B1" w:rsidRDefault="009343B1" w:rsidP="002378EA">
      <w:pPr>
        <w:pStyle w:val="Paragraphedeliste"/>
        <w:numPr>
          <w:ilvl w:val="0"/>
          <w:numId w:val="148"/>
        </w:numPr>
        <w:rPr>
          <w:sz w:val="22"/>
        </w:rPr>
      </w:pPr>
      <w:r w:rsidRPr="00010F6E">
        <w:rPr>
          <w:rFonts w:cs="Arial"/>
          <w:sz w:val="22"/>
        </w:rPr>
        <w:t>Projet d’Inclusion Productive (PIP)</w:t>
      </w:r>
      <w:r>
        <w:rPr>
          <w:rFonts w:cs="Arial"/>
          <w:sz w:val="22"/>
        </w:rPr>
        <w:t> dans la Province du K</w:t>
      </w:r>
      <w:r w:rsidR="007F29AC">
        <w:rPr>
          <w:rFonts w:cs="Arial"/>
          <w:sz w:val="22"/>
        </w:rPr>
        <w:t xml:space="preserve">wilu, projet en cours </w:t>
      </w:r>
      <w:r>
        <w:rPr>
          <w:rFonts w:cs="Arial"/>
          <w:sz w:val="22"/>
        </w:rPr>
        <w:t>;</w:t>
      </w:r>
    </w:p>
    <w:p w14:paraId="2FF77983" w14:textId="77777777" w:rsidR="00FF0D37" w:rsidRDefault="009343B1" w:rsidP="002378EA">
      <w:pPr>
        <w:pStyle w:val="Paragraphedeliste"/>
        <w:numPr>
          <w:ilvl w:val="0"/>
          <w:numId w:val="148"/>
        </w:numPr>
        <w:rPr>
          <w:sz w:val="22"/>
        </w:rPr>
      </w:pPr>
      <w:r w:rsidRPr="009D03CE">
        <w:rPr>
          <w:sz w:val="22"/>
        </w:rPr>
        <w:t>Le Projet de Développement Urbain (PDU) dans les Provinces de Goma et de Kwilu - Projet en cours</w:t>
      </w:r>
      <w:r>
        <w:rPr>
          <w:sz w:val="22"/>
        </w:rPr>
        <w:t> ;</w:t>
      </w:r>
    </w:p>
    <w:p w14:paraId="43FD5AD9" w14:textId="77777777" w:rsidR="00FF0D37" w:rsidRPr="009D03CE" w:rsidRDefault="00FF0D37" w:rsidP="002378EA">
      <w:pPr>
        <w:pStyle w:val="Paragraphedeliste"/>
        <w:numPr>
          <w:ilvl w:val="0"/>
          <w:numId w:val="148"/>
        </w:numPr>
        <w:rPr>
          <w:sz w:val="22"/>
        </w:rPr>
      </w:pPr>
      <w:r w:rsidRPr="00730A4A">
        <w:rPr>
          <w:rFonts w:cs="Arial"/>
          <w:color w:val="000000"/>
          <w:sz w:val="22"/>
        </w:rPr>
        <w:t>Programme Alimentaire Mondiale (PAM), en cours dans les Provinces concernées par le PNDA ;</w:t>
      </w:r>
    </w:p>
    <w:p w14:paraId="699322E0" w14:textId="77777777" w:rsidR="009343B1" w:rsidRPr="009D03CE" w:rsidRDefault="00FF0D37" w:rsidP="002378EA">
      <w:pPr>
        <w:pStyle w:val="Paragraphedeliste"/>
        <w:numPr>
          <w:ilvl w:val="0"/>
          <w:numId w:val="148"/>
        </w:numPr>
        <w:rPr>
          <w:sz w:val="22"/>
        </w:rPr>
      </w:pPr>
      <w:r w:rsidRPr="00010F6E">
        <w:rPr>
          <w:rFonts w:cs="Arial"/>
          <w:sz w:val="22"/>
        </w:rPr>
        <w:t>Food and Agriculture Organisation (FAO)</w:t>
      </w:r>
      <w:r>
        <w:rPr>
          <w:rFonts w:cs="Arial"/>
          <w:sz w:val="22"/>
        </w:rPr>
        <w:t>, en cours dans les Provinces concernées par le PNDA ;</w:t>
      </w:r>
      <w:r w:rsidR="009343B1" w:rsidRPr="009D03CE">
        <w:rPr>
          <w:sz w:val="22"/>
        </w:rPr>
        <w:fldChar w:fldCharType="begin"/>
      </w:r>
      <w:r w:rsidR="009343B1" w:rsidRPr="009D03CE">
        <w:rPr>
          <w:sz w:val="22"/>
        </w:rPr>
        <w:instrText xml:space="preserve"> HYPERLINK "https://www.google.com/url?sa=t&amp;rct=j&amp;q=&amp;esrc=s&amp;source=web&amp;cd=&amp;cad=rja&amp;uact=8&amp;ved=2ahUKEwiL79b1lZTwAhUjQhUIHWCXCbAQFjAAegQIAhAD&amp;url=https%3A%2F%2Fpdss.cd%2Fwp-content%2Fuploads%2F2019%2F03%2FChild-Nutrition-LMP-3-11-19-Cleared-Disclosed.pdf&amp;usg=AOvVaw3BWHWmKyBGOuzzIJvO6gaH" </w:instrText>
      </w:r>
      <w:r w:rsidR="009343B1" w:rsidRPr="009D03CE">
        <w:rPr>
          <w:sz w:val="22"/>
        </w:rPr>
        <w:fldChar w:fldCharType="separate"/>
      </w:r>
    </w:p>
    <w:p w14:paraId="4CADE8BB" w14:textId="77777777" w:rsidR="009343B1" w:rsidRPr="009D03CE" w:rsidRDefault="009343B1" w:rsidP="002378EA">
      <w:pPr>
        <w:pStyle w:val="Paragraphedeliste"/>
        <w:numPr>
          <w:ilvl w:val="0"/>
          <w:numId w:val="148"/>
        </w:numPr>
        <w:rPr>
          <w:sz w:val="22"/>
        </w:rPr>
      </w:pPr>
      <w:r w:rsidRPr="009D03CE">
        <w:rPr>
          <w:sz w:val="22"/>
        </w:rPr>
        <w:t xml:space="preserve">Projet Multisectoriel de Nutrition et Santé de l'Enfant (PMNSE) – Projet futur qui va concerner </w:t>
      </w:r>
      <w:r w:rsidR="00AF31C3">
        <w:rPr>
          <w:sz w:val="22"/>
        </w:rPr>
        <w:t xml:space="preserve">les Provinces du Kasaï-Central, du Kasaï et </w:t>
      </w:r>
      <w:r w:rsidRPr="009D03CE">
        <w:rPr>
          <w:sz w:val="22"/>
        </w:rPr>
        <w:t>du Kwilu</w:t>
      </w:r>
      <w:r w:rsidR="007F29AC">
        <w:rPr>
          <w:sz w:val="22"/>
        </w:rPr>
        <w:t>, Projet en cours</w:t>
      </w:r>
      <w:r w:rsidRPr="009D03CE">
        <w:rPr>
          <w:sz w:val="22"/>
        </w:rPr>
        <w:t> ;</w:t>
      </w:r>
    </w:p>
    <w:p w14:paraId="46C6235A" w14:textId="77777777" w:rsidR="009343B1" w:rsidRDefault="009343B1" w:rsidP="002378EA">
      <w:pPr>
        <w:pStyle w:val="Paragraphedeliste"/>
        <w:numPr>
          <w:ilvl w:val="0"/>
          <w:numId w:val="148"/>
        </w:numPr>
        <w:rPr>
          <w:sz w:val="22"/>
        </w:rPr>
      </w:pPr>
      <w:r w:rsidRPr="009D03CE">
        <w:rPr>
          <w:sz w:val="22"/>
        </w:rPr>
        <w:fldChar w:fldCharType="end"/>
      </w:r>
      <w:r w:rsidRPr="009D03CE">
        <w:rPr>
          <w:sz w:val="22"/>
        </w:rPr>
        <w:t>Projet d’Amélioration de la Desserte en Electricité, Eau et la Gouvernance qui concerne les provinces Kwilu, Nord-Kivu</w:t>
      </w:r>
      <w:r w:rsidRPr="009343B1">
        <w:rPr>
          <w:sz w:val="22"/>
        </w:rPr>
        <w:t>, Kasai Central, Kasaï Oriental</w:t>
      </w:r>
      <w:r w:rsidR="007F29AC">
        <w:rPr>
          <w:sz w:val="22"/>
        </w:rPr>
        <w:t>, Projet futur</w:t>
      </w:r>
      <w:r>
        <w:rPr>
          <w:sz w:val="22"/>
        </w:rPr>
        <w:t> </w:t>
      </w:r>
      <w:r w:rsidRPr="009343B1">
        <w:rPr>
          <w:sz w:val="22"/>
        </w:rPr>
        <w:t>;</w:t>
      </w:r>
    </w:p>
    <w:p w14:paraId="3A47103C" w14:textId="77777777" w:rsidR="009343B1" w:rsidRPr="009D03CE" w:rsidRDefault="009343B1" w:rsidP="002378EA">
      <w:pPr>
        <w:pStyle w:val="Paragraphedeliste"/>
        <w:numPr>
          <w:ilvl w:val="0"/>
          <w:numId w:val="148"/>
        </w:numPr>
        <w:rPr>
          <w:sz w:val="22"/>
        </w:rPr>
      </w:pPr>
      <w:r>
        <w:rPr>
          <w:sz w:val="22"/>
        </w:rPr>
        <w:t xml:space="preserve">le </w:t>
      </w:r>
      <w:r>
        <w:rPr>
          <w:rFonts w:cs="Arial"/>
          <w:color w:val="4D5156"/>
          <w:szCs w:val="21"/>
          <w:shd w:val="clear" w:color="auto" w:fill="FFFFFF"/>
        </w:rPr>
        <w:t>Projet d'appui à la réhabilitation et la relance du secteur agricole (PICS) ;</w:t>
      </w:r>
    </w:p>
    <w:p w14:paraId="53468DC9" w14:textId="77777777" w:rsidR="009343B1" w:rsidRPr="009D03CE" w:rsidRDefault="009343B1" w:rsidP="002378EA">
      <w:pPr>
        <w:pStyle w:val="Paragraphedeliste"/>
        <w:numPr>
          <w:ilvl w:val="0"/>
          <w:numId w:val="148"/>
        </w:numPr>
        <w:rPr>
          <w:sz w:val="22"/>
        </w:rPr>
      </w:pPr>
      <w:r w:rsidRPr="009D03CE">
        <w:rPr>
          <w:sz w:val="22"/>
        </w:rPr>
        <w:t>Projet d'appui au secteur agricole dans la Province du Nord-Kivu (PASA-NK) – Projet futur sur financement de la FIDA</w:t>
      </w:r>
      <w:r w:rsidR="00AF31C3">
        <w:rPr>
          <w:sz w:val="22"/>
        </w:rPr>
        <w:t>, Projet futur</w:t>
      </w:r>
      <w:r w:rsidR="0044657E">
        <w:rPr>
          <w:sz w:val="22"/>
        </w:rPr>
        <w:t>.</w:t>
      </w:r>
    </w:p>
    <w:p w14:paraId="54BA3681" w14:textId="77777777" w:rsidR="00E80989" w:rsidRPr="009D03CE" w:rsidRDefault="00E80989" w:rsidP="009343B1">
      <w:pPr>
        <w:pStyle w:val="Paragraphedeliste"/>
        <w:rPr>
          <w:sz w:val="22"/>
        </w:rPr>
      </w:pPr>
    </w:p>
    <w:p w14:paraId="06C9CE94" w14:textId="77777777" w:rsidR="00E80989" w:rsidRPr="00837741" w:rsidRDefault="009343B1" w:rsidP="00E80989">
      <w:pPr>
        <w:rPr>
          <w:sz w:val="22"/>
        </w:rPr>
      </w:pPr>
      <w:r>
        <w:rPr>
          <w:sz w:val="22"/>
        </w:rPr>
        <w:t>Ainsi, compte tenu du fait que le PNDA</w:t>
      </w:r>
      <w:r w:rsidR="00E80989" w:rsidRPr="00837741">
        <w:rPr>
          <w:sz w:val="22"/>
        </w:rPr>
        <w:t xml:space="preserve"> n’a pas encore commencé</w:t>
      </w:r>
      <w:r>
        <w:rPr>
          <w:sz w:val="22"/>
        </w:rPr>
        <w:t xml:space="preserve"> ses activités</w:t>
      </w:r>
      <w:r w:rsidR="00E80989" w:rsidRPr="00837741">
        <w:rPr>
          <w:sz w:val="22"/>
        </w:rPr>
        <w:t>, les projets passés n’occasionneront pas d’impacts directs cumulat</w:t>
      </w:r>
      <w:r>
        <w:rPr>
          <w:sz w:val="22"/>
        </w:rPr>
        <w:t>ifs. Seuls les projets en cours occasionneront</w:t>
      </w:r>
      <w:r w:rsidR="00E80989" w:rsidRPr="00837741">
        <w:rPr>
          <w:sz w:val="22"/>
        </w:rPr>
        <w:t xml:space="preserve"> les impacts cumulatifs s’ils se terminent pendant la mi</w:t>
      </w:r>
      <w:r>
        <w:rPr>
          <w:sz w:val="22"/>
        </w:rPr>
        <w:t>se en œuvre du PNDA</w:t>
      </w:r>
      <w:r w:rsidR="00E80989" w:rsidRPr="00837741">
        <w:rPr>
          <w:sz w:val="22"/>
        </w:rPr>
        <w:t>.</w:t>
      </w:r>
    </w:p>
    <w:p w14:paraId="0706C3D5" w14:textId="77777777" w:rsidR="00E80989" w:rsidRPr="00837741" w:rsidRDefault="00E80989" w:rsidP="00E80989">
      <w:pPr>
        <w:rPr>
          <w:sz w:val="22"/>
        </w:rPr>
      </w:pPr>
    </w:p>
    <w:p w14:paraId="29938178" w14:textId="77777777" w:rsidR="00E80989" w:rsidRPr="00837741" w:rsidRDefault="00AF31C3" w:rsidP="00E80989">
      <w:pPr>
        <w:rPr>
          <w:sz w:val="22"/>
        </w:rPr>
      </w:pPr>
      <w:r>
        <w:rPr>
          <w:sz w:val="22"/>
        </w:rPr>
        <w:t>Par ailleurs, ces trois</w:t>
      </w:r>
      <w:r w:rsidR="00E80989" w:rsidRPr="00837741">
        <w:rPr>
          <w:sz w:val="22"/>
        </w:rPr>
        <w:t xml:space="preserve"> projets futurs vont induire des effets cumulés tant positifs que négatifs avec le </w:t>
      </w:r>
      <w:r w:rsidR="00FF0D37">
        <w:rPr>
          <w:sz w:val="22"/>
        </w:rPr>
        <w:t>PNDA</w:t>
      </w:r>
      <w:r w:rsidR="00E80989" w:rsidRPr="00837741">
        <w:rPr>
          <w:sz w:val="22"/>
        </w:rPr>
        <w:t xml:space="preserve"> par le fait qu’ils seront réalisés dans la zone restreinte et/ou passent à proximité du périmètre du projet.</w:t>
      </w:r>
    </w:p>
    <w:p w14:paraId="1ADAB030" w14:textId="77777777" w:rsidR="00AF31C3" w:rsidRDefault="00AF31C3" w:rsidP="00AF31C3">
      <w:pPr>
        <w:rPr>
          <w:sz w:val="22"/>
        </w:rPr>
      </w:pPr>
    </w:p>
    <w:p w14:paraId="52A5E1E0" w14:textId="77777777" w:rsidR="00E80989" w:rsidRPr="009D03CE" w:rsidRDefault="00E80989" w:rsidP="00AF31C3">
      <w:pPr>
        <w:rPr>
          <w:i/>
          <w:sz w:val="22"/>
          <w:u w:val="single"/>
        </w:rPr>
      </w:pPr>
      <w:r w:rsidRPr="009D03CE">
        <w:rPr>
          <w:i/>
          <w:sz w:val="22"/>
          <w:u w:val="single"/>
        </w:rPr>
        <w:t>Analyse des effets cumulatifs</w:t>
      </w:r>
      <w:r w:rsidR="00AF31C3" w:rsidRPr="009D03CE">
        <w:rPr>
          <w:i/>
          <w:sz w:val="22"/>
          <w:u w:val="single"/>
        </w:rPr>
        <w:t xml:space="preserve"> et évaluation de l’importance ;</w:t>
      </w:r>
    </w:p>
    <w:p w14:paraId="40D7304E" w14:textId="77777777" w:rsidR="00E80989" w:rsidRPr="00837741" w:rsidRDefault="00E80989" w:rsidP="00E80989">
      <w:pPr>
        <w:rPr>
          <w:sz w:val="22"/>
        </w:rPr>
      </w:pPr>
    </w:p>
    <w:p w14:paraId="1A6509B0" w14:textId="77777777" w:rsidR="00E80989" w:rsidRPr="009D03CE" w:rsidRDefault="00E80989" w:rsidP="00E80989">
      <w:pPr>
        <w:rPr>
          <w:i/>
          <w:sz w:val="22"/>
        </w:rPr>
      </w:pPr>
      <w:r w:rsidRPr="009D03CE">
        <w:rPr>
          <w:i/>
          <w:sz w:val="22"/>
        </w:rPr>
        <w:t xml:space="preserve">Impacts Positifs </w:t>
      </w:r>
    </w:p>
    <w:p w14:paraId="31316740" w14:textId="77777777" w:rsidR="00E80989" w:rsidRPr="005B2E34" w:rsidRDefault="00E80989" w:rsidP="00E80989">
      <w:pPr>
        <w:rPr>
          <w:sz w:val="22"/>
        </w:rPr>
      </w:pPr>
    </w:p>
    <w:p w14:paraId="4F52D293" w14:textId="77777777" w:rsidR="00E80989" w:rsidRPr="0044657E" w:rsidRDefault="00E80989" w:rsidP="00E80989">
      <w:pPr>
        <w:rPr>
          <w:sz w:val="22"/>
        </w:rPr>
      </w:pPr>
      <w:r w:rsidRPr="005B2E34">
        <w:rPr>
          <w:sz w:val="22"/>
        </w:rPr>
        <w:t>Les impacts positifs cumulatifs attendus de la mise en œuvre du P</w:t>
      </w:r>
      <w:r w:rsidR="00983134">
        <w:rPr>
          <w:sz w:val="22"/>
        </w:rPr>
        <w:t>NDA</w:t>
      </w:r>
      <w:r w:rsidRPr="005B2E34">
        <w:rPr>
          <w:sz w:val="22"/>
        </w:rPr>
        <w:t xml:space="preserve"> et des Projets futures  sont résumés dans le </w:t>
      </w:r>
      <w:r w:rsidRPr="0044657E">
        <w:rPr>
          <w:sz w:val="22"/>
        </w:rPr>
        <w:t>Tableau 1</w:t>
      </w:r>
      <w:r w:rsidR="0044657E">
        <w:rPr>
          <w:sz w:val="22"/>
        </w:rPr>
        <w:t>8</w:t>
      </w:r>
      <w:r w:rsidRPr="0044657E">
        <w:rPr>
          <w:sz w:val="22"/>
        </w:rPr>
        <w:t xml:space="preserve"> ci-dessous :</w:t>
      </w:r>
    </w:p>
    <w:p w14:paraId="37652074" w14:textId="77777777" w:rsidR="00E80989" w:rsidRPr="0044657E" w:rsidRDefault="00E80989" w:rsidP="00E80989">
      <w:pPr>
        <w:rPr>
          <w:sz w:val="22"/>
        </w:rPr>
      </w:pPr>
    </w:p>
    <w:p w14:paraId="3D9ACDD2" w14:textId="77777777" w:rsidR="00E80989" w:rsidRDefault="0044657E" w:rsidP="00E80989">
      <w:pPr>
        <w:rPr>
          <w:sz w:val="22"/>
        </w:rPr>
      </w:pPr>
      <w:bookmarkStart w:id="505" w:name="_Toc64029791"/>
      <w:bookmarkStart w:id="506" w:name="_Toc70451664"/>
      <w:r w:rsidRPr="00C87DC9">
        <w:rPr>
          <w:rFonts w:cs="Arial"/>
          <w:sz w:val="22"/>
        </w:rPr>
        <w:t xml:space="preserve">Tableau </w:t>
      </w:r>
      <w:r w:rsidRPr="00C87DC9">
        <w:rPr>
          <w:rFonts w:cs="Arial"/>
          <w:sz w:val="22"/>
        </w:rPr>
        <w:fldChar w:fldCharType="begin"/>
      </w:r>
      <w:r w:rsidRPr="00C87DC9">
        <w:rPr>
          <w:rFonts w:cs="Arial"/>
          <w:sz w:val="22"/>
        </w:rPr>
        <w:instrText xml:space="preserve"> SEQ Tableau \* ARABIC </w:instrText>
      </w:r>
      <w:r w:rsidRPr="00C87DC9">
        <w:rPr>
          <w:rFonts w:cs="Arial"/>
          <w:sz w:val="22"/>
        </w:rPr>
        <w:fldChar w:fldCharType="separate"/>
      </w:r>
      <w:r w:rsidR="001260B3">
        <w:rPr>
          <w:rFonts w:cs="Arial"/>
          <w:noProof/>
          <w:sz w:val="22"/>
        </w:rPr>
        <w:t>18</w:t>
      </w:r>
      <w:r w:rsidRPr="00C87DC9">
        <w:rPr>
          <w:rFonts w:cs="Arial"/>
          <w:sz w:val="22"/>
        </w:rPr>
        <w:fldChar w:fldCharType="end"/>
      </w:r>
      <w:r w:rsidRPr="00C87DC9">
        <w:rPr>
          <w:rFonts w:cs="Arial"/>
          <w:sz w:val="22"/>
        </w:rPr>
        <w:t>.</w:t>
      </w:r>
      <w:r w:rsidR="00E80989" w:rsidRPr="0044657E">
        <w:rPr>
          <w:sz w:val="22"/>
        </w:rPr>
        <w:t xml:space="preserve"> Impacts positifs cumulatifs</w:t>
      </w:r>
      <w:bookmarkEnd w:id="505"/>
      <w:bookmarkEnd w:id="506"/>
    </w:p>
    <w:p w14:paraId="76D6B64C" w14:textId="77777777" w:rsidR="00E80989" w:rsidRPr="005B2E34" w:rsidRDefault="00E80989" w:rsidP="00E80989">
      <w:pPr>
        <w:rPr>
          <w:sz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9"/>
        <w:gridCol w:w="2577"/>
        <w:gridCol w:w="4221"/>
        <w:gridCol w:w="1559"/>
      </w:tblGrid>
      <w:tr w:rsidR="00E80989" w:rsidRPr="00837741" w14:paraId="38B83D91" w14:textId="77777777" w:rsidTr="00730A4A">
        <w:tc>
          <w:tcPr>
            <w:tcW w:w="3996" w:type="dxa"/>
            <w:gridSpan w:val="2"/>
            <w:shd w:val="clear" w:color="auto" w:fill="auto"/>
          </w:tcPr>
          <w:p w14:paraId="261C669D" w14:textId="77777777" w:rsidR="00E80989" w:rsidRPr="00730A4A" w:rsidRDefault="00E80989" w:rsidP="00B970D0">
            <w:pPr>
              <w:rPr>
                <w:sz w:val="22"/>
              </w:rPr>
            </w:pPr>
          </w:p>
          <w:p w14:paraId="2A99692E" w14:textId="77777777" w:rsidR="00E80989" w:rsidRPr="00730A4A" w:rsidRDefault="00E80989" w:rsidP="00B970D0">
            <w:pPr>
              <w:rPr>
                <w:sz w:val="22"/>
              </w:rPr>
            </w:pPr>
            <w:r w:rsidRPr="00730A4A">
              <w:rPr>
                <w:sz w:val="22"/>
              </w:rPr>
              <w:t>Composante de l’environnement</w:t>
            </w:r>
          </w:p>
          <w:p w14:paraId="5A64E2E0" w14:textId="77777777" w:rsidR="00E80989" w:rsidRPr="00730A4A" w:rsidRDefault="00E80989" w:rsidP="00B970D0">
            <w:pPr>
              <w:rPr>
                <w:sz w:val="22"/>
              </w:rPr>
            </w:pPr>
          </w:p>
        </w:tc>
        <w:tc>
          <w:tcPr>
            <w:tcW w:w="4221" w:type="dxa"/>
            <w:shd w:val="clear" w:color="auto" w:fill="auto"/>
          </w:tcPr>
          <w:p w14:paraId="6B608B0E" w14:textId="77777777" w:rsidR="00E80989" w:rsidRPr="00730A4A" w:rsidRDefault="00E80989" w:rsidP="00730A4A">
            <w:pPr>
              <w:jc w:val="center"/>
              <w:rPr>
                <w:sz w:val="22"/>
              </w:rPr>
            </w:pPr>
            <w:r w:rsidRPr="00730A4A">
              <w:rPr>
                <w:sz w:val="22"/>
                <w:szCs w:val="20"/>
              </w:rPr>
              <w:t>Description de l’Impact cumulé positif pendant la phase des travaux et d’exploitation</w:t>
            </w:r>
          </w:p>
        </w:tc>
        <w:tc>
          <w:tcPr>
            <w:tcW w:w="1559" w:type="dxa"/>
            <w:shd w:val="clear" w:color="auto" w:fill="auto"/>
          </w:tcPr>
          <w:p w14:paraId="71C39690" w14:textId="77777777" w:rsidR="00E80989" w:rsidRPr="00730A4A" w:rsidRDefault="00E80989" w:rsidP="00B970D0">
            <w:pPr>
              <w:rPr>
                <w:sz w:val="10"/>
                <w:szCs w:val="10"/>
              </w:rPr>
            </w:pPr>
          </w:p>
          <w:p w14:paraId="77740387" w14:textId="77777777" w:rsidR="00E80989" w:rsidRPr="00730A4A" w:rsidRDefault="00E80989" w:rsidP="00B970D0">
            <w:pPr>
              <w:rPr>
                <w:sz w:val="22"/>
                <w:lang w:val="en-US"/>
              </w:rPr>
            </w:pPr>
            <w:r w:rsidRPr="00730A4A">
              <w:rPr>
                <w:sz w:val="22"/>
              </w:rPr>
              <w:t>Résult</w:t>
            </w:r>
            <w:r w:rsidRPr="00730A4A">
              <w:rPr>
                <w:sz w:val="22"/>
                <w:lang w:val="en-US"/>
              </w:rPr>
              <w:t>at d’évaluation</w:t>
            </w:r>
          </w:p>
        </w:tc>
      </w:tr>
      <w:tr w:rsidR="00BB0401" w:rsidRPr="00837741" w14:paraId="1A991286" w14:textId="77777777" w:rsidTr="00730A4A">
        <w:tc>
          <w:tcPr>
            <w:tcW w:w="1419" w:type="dxa"/>
            <w:vMerge w:val="restart"/>
            <w:shd w:val="clear" w:color="auto" w:fill="auto"/>
          </w:tcPr>
          <w:p w14:paraId="0F1EB055" w14:textId="77777777" w:rsidR="00E80989" w:rsidRPr="00730A4A" w:rsidRDefault="00E80989" w:rsidP="00B970D0">
            <w:pPr>
              <w:rPr>
                <w:sz w:val="22"/>
                <w:lang w:val="en-US"/>
              </w:rPr>
            </w:pPr>
            <w:r w:rsidRPr="00730A4A">
              <w:rPr>
                <w:sz w:val="22"/>
                <w:lang w:val="en-US"/>
              </w:rPr>
              <w:t>Milieu physique</w:t>
            </w:r>
          </w:p>
        </w:tc>
        <w:tc>
          <w:tcPr>
            <w:tcW w:w="2577" w:type="dxa"/>
            <w:shd w:val="clear" w:color="auto" w:fill="auto"/>
          </w:tcPr>
          <w:p w14:paraId="275F5963" w14:textId="77777777" w:rsidR="00E80989" w:rsidRPr="00730A4A" w:rsidRDefault="00E80989" w:rsidP="00B970D0">
            <w:pPr>
              <w:rPr>
                <w:sz w:val="22"/>
                <w:lang w:val="en-US"/>
              </w:rPr>
            </w:pPr>
            <w:r w:rsidRPr="00730A4A">
              <w:rPr>
                <w:sz w:val="22"/>
                <w:lang w:val="en-US"/>
              </w:rPr>
              <w:t>Air</w:t>
            </w:r>
          </w:p>
        </w:tc>
        <w:tc>
          <w:tcPr>
            <w:tcW w:w="4221" w:type="dxa"/>
            <w:shd w:val="clear" w:color="auto" w:fill="auto"/>
          </w:tcPr>
          <w:p w14:paraId="0FF500C3" w14:textId="77777777" w:rsidR="00E80989" w:rsidRPr="00730A4A" w:rsidRDefault="00E80989" w:rsidP="00730A4A">
            <w:pPr>
              <w:jc w:val="left"/>
              <w:rPr>
                <w:sz w:val="22"/>
              </w:rPr>
            </w:pPr>
            <w:r w:rsidRPr="00730A4A">
              <w:rPr>
                <w:sz w:val="22"/>
                <w:szCs w:val="20"/>
              </w:rPr>
              <w:t>L'augmentation de la vitesse de circulation et l'amé</w:t>
            </w:r>
            <w:r w:rsidR="00F30EF7" w:rsidRPr="00730A4A">
              <w:rPr>
                <w:sz w:val="22"/>
                <w:szCs w:val="20"/>
              </w:rPr>
              <w:t xml:space="preserve">lioration des voies de desserte agricole </w:t>
            </w:r>
            <w:r w:rsidRPr="00730A4A">
              <w:rPr>
                <w:sz w:val="22"/>
                <w:szCs w:val="20"/>
              </w:rPr>
              <w:t>réduiront les émissions de GES des véhicules.</w:t>
            </w:r>
          </w:p>
        </w:tc>
        <w:tc>
          <w:tcPr>
            <w:tcW w:w="1559" w:type="dxa"/>
            <w:shd w:val="clear" w:color="auto" w:fill="auto"/>
          </w:tcPr>
          <w:p w14:paraId="452AEB7E" w14:textId="77777777" w:rsidR="00E80989" w:rsidRPr="00730A4A" w:rsidRDefault="00E80989" w:rsidP="00B970D0">
            <w:pPr>
              <w:rPr>
                <w:sz w:val="22"/>
                <w:lang w:val="en-US"/>
              </w:rPr>
            </w:pPr>
            <w:r w:rsidRPr="00730A4A">
              <w:rPr>
                <w:sz w:val="22"/>
                <w:lang w:val="en-US"/>
              </w:rPr>
              <w:t xml:space="preserve">Fort </w:t>
            </w:r>
          </w:p>
        </w:tc>
      </w:tr>
      <w:tr w:rsidR="00BB0401" w:rsidRPr="00837741" w14:paraId="437D1459" w14:textId="77777777" w:rsidTr="00730A4A">
        <w:tc>
          <w:tcPr>
            <w:tcW w:w="1419" w:type="dxa"/>
            <w:vMerge/>
            <w:shd w:val="clear" w:color="auto" w:fill="auto"/>
          </w:tcPr>
          <w:p w14:paraId="7D6858AC" w14:textId="77777777" w:rsidR="00E80989" w:rsidRPr="00730A4A" w:rsidRDefault="00E80989" w:rsidP="00B970D0">
            <w:pPr>
              <w:rPr>
                <w:sz w:val="22"/>
                <w:lang w:val="en-US"/>
              </w:rPr>
            </w:pPr>
          </w:p>
        </w:tc>
        <w:tc>
          <w:tcPr>
            <w:tcW w:w="2577" w:type="dxa"/>
            <w:shd w:val="clear" w:color="auto" w:fill="auto"/>
          </w:tcPr>
          <w:p w14:paraId="271EAEF4" w14:textId="77777777" w:rsidR="00E80989" w:rsidRPr="00730A4A" w:rsidRDefault="00E80989" w:rsidP="00B970D0">
            <w:pPr>
              <w:rPr>
                <w:sz w:val="22"/>
                <w:lang w:val="en-US"/>
              </w:rPr>
            </w:pPr>
            <w:r w:rsidRPr="00730A4A">
              <w:rPr>
                <w:sz w:val="22"/>
                <w:lang w:val="en-US"/>
              </w:rPr>
              <w:t>Changement climatique</w:t>
            </w:r>
          </w:p>
        </w:tc>
        <w:tc>
          <w:tcPr>
            <w:tcW w:w="4221" w:type="dxa"/>
            <w:shd w:val="clear" w:color="auto" w:fill="auto"/>
          </w:tcPr>
          <w:p w14:paraId="5F2A92D7" w14:textId="77777777" w:rsidR="00E80989" w:rsidRPr="00730A4A" w:rsidRDefault="00E80989" w:rsidP="00730A4A">
            <w:pPr>
              <w:jc w:val="left"/>
              <w:rPr>
                <w:sz w:val="22"/>
              </w:rPr>
            </w:pPr>
            <w:r w:rsidRPr="00730A4A">
              <w:rPr>
                <w:sz w:val="22"/>
                <w:szCs w:val="20"/>
              </w:rPr>
              <w:t xml:space="preserve">La mise en œuvre </w:t>
            </w:r>
            <w:r w:rsidR="00F30EF7" w:rsidRPr="00730A4A">
              <w:rPr>
                <w:sz w:val="22"/>
                <w:szCs w:val="20"/>
              </w:rPr>
              <w:t xml:space="preserve">des différents projets </w:t>
            </w:r>
            <w:r w:rsidR="0085651A" w:rsidRPr="00730A4A">
              <w:rPr>
                <w:sz w:val="22"/>
                <w:szCs w:val="20"/>
              </w:rPr>
              <w:t xml:space="preserve">agricoles </w:t>
            </w:r>
            <w:r w:rsidRPr="00730A4A">
              <w:rPr>
                <w:sz w:val="22"/>
                <w:szCs w:val="20"/>
              </w:rPr>
              <w:t>permettra de réduire la consommation de carburant par habitant, ainsi que les émissions de gaz à effet de serre dans le secteur des transports</w:t>
            </w:r>
            <w:r w:rsidR="0085651A" w:rsidRPr="00730A4A">
              <w:rPr>
                <w:sz w:val="22"/>
                <w:szCs w:val="20"/>
              </w:rPr>
              <w:t xml:space="preserve"> en milieux ruraux</w:t>
            </w:r>
            <w:r w:rsidRPr="00730A4A">
              <w:rPr>
                <w:sz w:val="22"/>
                <w:szCs w:val="20"/>
              </w:rPr>
              <w:t>.</w:t>
            </w:r>
          </w:p>
        </w:tc>
        <w:tc>
          <w:tcPr>
            <w:tcW w:w="1559" w:type="dxa"/>
            <w:shd w:val="clear" w:color="auto" w:fill="auto"/>
          </w:tcPr>
          <w:p w14:paraId="7F5037E4" w14:textId="77777777" w:rsidR="00E80989" w:rsidRPr="00730A4A" w:rsidRDefault="00E80989" w:rsidP="00B970D0">
            <w:pPr>
              <w:rPr>
                <w:sz w:val="22"/>
                <w:lang w:val="en-US"/>
              </w:rPr>
            </w:pPr>
            <w:r w:rsidRPr="00730A4A">
              <w:rPr>
                <w:sz w:val="22"/>
                <w:lang w:val="en-US"/>
              </w:rPr>
              <w:t>Modéré</w:t>
            </w:r>
          </w:p>
        </w:tc>
      </w:tr>
      <w:tr w:rsidR="00BB0401" w:rsidRPr="00837741" w14:paraId="69F133DC" w14:textId="77777777" w:rsidTr="00730A4A">
        <w:tc>
          <w:tcPr>
            <w:tcW w:w="1419" w:type="dxa"/>
            <w:vMerge/>
            <w:shd w:val="clear" w:color="auto" w:fill="auto"/>
          </w:tcPr>
          <w:p w14:paraId="3082712D" w14:textId="77777777" w:rsidR="00E80989" w:rsidRPr="00730A4A" w:rsidRDefault="00E80989" w:rsidP="00B970D0">
            <w:pPr>
              <w:rPr>
                <w:sz w:val="22"/>
                <w:lang w:val="en-US"/>
              </w:rPr>
            </w:pPr>
          </w:p>
        </w:tc>
        <w:tc>
          <w:tcPr>
            <w:tcW w:w="2577" w:type="dxa"/>
            <w:shd w:val="clear" w:color="auto" w:fill="auto"/>
          </w:tcPr>
          <w:p w14:paraId="173C92D5" w14:textId="77777777" w:rsidR="00E80989" w:rsidRPr="00730A4A" w:rsidRDefault="00E80989" w:rsidP="00B970D0">
            <w:pPr>
              <w:rPr>
                <w:sz w:val="22"/>
                <w:lang w:val="en-US"/>
              </w:rPr>
            </w:pPr>
            <w:r w:rsidRPr="00730A4A">
              <w:rPr>
                <w:sz w:val="22"/>
                <w:lang w:val="en-US"/>
              </w:rPr>
              <w:t>Sol</w:t>
            </w:r>
          </w:p>
        </w:tc>
        <w:tc>
          <w:tcPr>
            <w:tcW w:w="4221" w:type="dxa"/>
            <w:shd w:val="clear" w:color="auto" w:fill="auto"/>
          </w:tcPr>
          <w:p w14:paraId="09D9B3CC" w14:textId="77777777" w:rsidR="00E80989" w:rsidRPr="00730A4A" w:rsidRDefault="0085651A" w:rsidP="00730A4A">
            <w:pPr>
              <w:jc w:val="left"/>
              <w:rPr>
                <w:sz w:val="22"/>
              </w:rPr>
            </w:pPr>
            <w:r w:rsidRPr="00730A4A">
              <w:rPr>
                <w:sz w:val="22"/>
                <w:szCs w:val="20"/>
              </w:rPr>
              <w:t>La rehabilitation des voies de desserte agricole</w:t>
            </w:r>
            <w:r w:rsidR="00E80989" w:rsidRPr="00730A4A">
              <w:rPr>
                <w:sz w:val="22"/>
                <w:szCs w:val="20"/>
              </w:rPr>
              <w:t xml:space="preserve"> </w:t>
            </w:r>
            <w:r w:rsidRPr="00730A4A">
              <w:rPr>
                <w:sz w:val="22"/>
                <w:szCs w:val="20"/>
              </w:rPr>
              <w:t xml:space="preserve">et leur entretien permanent </w:t>
            </w:r>
            <w:r w:rsidR="00E80989" w:rsidRPr="00730A4A">
              <w:rPr>
                <w:sz w:val="22"/>
                <w:szCs w:val="20"/>
              </w:rPr>
              <w:t>va induire à la disparition des grandes érosions qui dé</w:t>
            </w:r>
            <w:r w:rsidRPr="00730A4A">
              <w:rPr>
                <w:sz w:val="22"/>
                <w:szCs w:val="20"/>
              </w:rPr>
              <w:t>gradent actuellement les pistes rurales dans les provinces concernées par le PNDA</w:t>
            </w:r>
          </w:p>
        </w:tc>
        <w:tc>
          <w:tcPr>
            <w:tcW w:w="1559" w:type="dxa"/>
            <w:shd w:val="clear" w:color="auto" w:fill="auto"/>
          </w:tcPr>
          <w:p w14:paraId="7FD35858" w14:textId="77777777" w:rsidR="00E80989" w:rsidRPr="00730A4A" w:rsidRDefault="0085651A" w:rsidP="00B970D0">
            <w:pPr>
              <w:rPr>
                <w:sz w:val="22"/>
                <w:lang w:val="en-US"/>
              </w:rPr>
            </w:pPr>
            <w:r w:rsidRPr="00730A4A">
              <w:rPr>
                <w:sz w:val="22"/>
                <w:lang w:val="en-US"/>
              </w:rPr>
              <w:t>Fort</w:t>
            </w:r>
          </w:p>
        </w:tc>
      </w:tr>
      <w:tr w:rsidR="00BB0401" w:rsidRPr="00837741" w14:paraId="29F81284" w14:textId="77777777" w:rsidTr="00730A4A">
        <w:tc>
          <w:tcPr>
            <w:tcW w:w="1419" w:type="dxa"/>
            <w:vMerge/>
            <w:shd w:val="clear" w:color="auto" w:fill="auto"/>
          </w:tcPr>
          <w:p w14:paraId="655F5D8E" w14:textId="77777777" w:rsidR="00E80989" w:rsidRPr="00730A4A" w:rsidRDefault="00E80989" w:rsidP="00B970D0">
            <w:pPr>
              <w:rPr>
                <w:sz w:val="22"/>
                <w:lang w:val="en-US"/>
              </w:rPr>
            </w:pPr>
          </w:p>
        </w:tc>
        <w:tc>
          <w:tcPr>
            <w:tcW w:w="2577" w:type="dxa"/>
            <w:shd w:val="clear" w:color="auto" w:fill="auto"/>
          </w:tcPr>
          <w:p w14:paraId="1694FA3D" w14:textId="77777777" w:rsidR="00E80989" w:rsidRPr="00730A4A" w:rsidRDefault="00E80989" w:rsidP="00B970D0">
            <w:pPr>
              <w:rPr>
                <w:sz w:val="22"/>
                <w:lang w:val="en-US"/>
              </w:rPr>
            </w:pPr>
            <w:r w:rsidRPr="00730A4A">
              <w:rPr>
                <w:sz w:val="22"/>
                <w:lang w:val="en-US"/>
              </w:rPr>
              <w:t>Végétation</w:t>
            </w:r>
          </w:p>
        </w:tc>
        <w:tc>
          <w:tcPr>
            <w:tcW w:w="4221" w:type="dxa"/>
            <w:shd w:val="clear" w:color="auto" w:fill="auto"/>
          </w:tcPr>
          <w:p w14:paraId="6C50ADFB" w14:textId="77777777" w:rsidR="00E80989" w:rsidRPr="00730A4A" w:rsidRDefault="00E80989" w:rsidP="00730A4A">
            <w:pPr>
              <w:jc w:val="left"/>
              <w:rPr>
                <w:sz w:val="22"/>
              </w:rPr>
            </w:pPr>
            <w:r w:rsidRPr="00730A4A">
              <w:rPr>
                <w:sz w:val="22"/>
                <w:szCs w:val="20"/>
              </w:rPr>
              <w:t xml:space="preserve">La mise en œuvre du </w:t>
            </w:r>
            <w:r w:rsidR="0085651A" w:rsidRPr="00730A4A">
              <w:rPr>
                <w:sz w:val="22"/>
                <w:szCs w:val="20"/>
              </w:rPr>
              <w:t>PNDA</w:t>
            </w:r>
            <w:r w:rsidRPr="00730A4A">
              <w:rPr>
                <w:sz w:val="22"/>
                <w:szCs w:val="20"/>
              </w:rPr>
              <w:t xml:space="preserve"> et les projets futurs </w:t>
            </w:r>
            <w:r w:rsidR="0085651A" w:rsidRPr="00730A4A">
              <w:rPr>
                <w:sz w:val="22"/>
                <w:szCs w:val="20"/>
              </w:rPr>
              <w:t>du secteur agricole</w:t>
            </w:r>
            <w:r w:rsidRPr="00730A4A">
              <w:rPr>
                <w:sz w:val="22"/>
                <w:szCs w:val="20"/>
              </w:rPr>
              <w:t xml:space="preserve"> va occasionner la plantation des arbres</w:t>
            </w:r>
            <w:r w:rsidR="0085651A" w:rsidRPr="00730A4A">
              <w:rPr>
                <w:sz w:val="22"/>
                <w:szCs w:val="20"/>
              </w:rPr>
              <w:t xml:space="preserve"> à croissance rapide</w:t>
            </w:r>
            <w:r w:rsidRPr="00730A4A">
              <w:rPr>
                <w:sz w:val="22"/>
                <w:szCs w:val="20"/>
              </w:rPr>
              <w:t xml:space="preserve"> à des espaces paysagers (reboisement)</w:t>
            </w:r>
          </w:p>
        </w:tc>
        <w:tc>
          <w:tcPr>
            <w:tcW w:w="1559" w:type="dxa"/>
            <w:shd w:val="clear" w:color="auto" w:fill="auto"/>
          </w:tcPr>
          <w:p w14:paraId="6E2F5C62" w14:textId="77777777" w:rsidR="00E80989" w:rsidRPr="00730A4A" w:rsidRDefault="00E80989" w:rsidP="00B970D0">
            <w:pPr>
              <w:rPr>
                <w:sz w:val="22"/>
                <w:lang w:val="en-US"/>
              </w:rPr>
            </w:pPr>
            <w:r w:rsidRPr="00730A4A">
              <w:rPr>
                <w:sz w:val="22"/>
                <w:lang w:val="en-US"/>
              </w:rPr>
              <w:t>fort</w:t>
            </w:r>
          </w:p>
        </w:tc>
      </w:tr>
      <w:tr w:rsidR="00BB0401" w:rsidRPr="00837741" w14:paraId="159569B0" w14:textId="77777777" w:rsidTr="00730A4A">
        <w:tc>
          <w:tcPr>
            <w:tcW w:w="1419" w:type="dxa"/>
            <w:shd w:val="clear" w:color="auto" w:fill="auto"/>
          </w:tcPr>
          <w:p w14:paraId="2CEB0F9F" w14:textId="77777777" w:rsidR="00E80989" w:rsidRPr="00730A4A" w:rsidRDefault="00E80989" w:rsidP="00B970D0">
            <w:pPr>
              <w:rPr>
                <w:sz w:val="22"/>
                <w:lang w:val="en-US"/>
              </w:rPr>
            </w:pPr>
          </w:p>
        </w:tc>
        <w:tc>
          <w:tcPr>
            <w:tcW w:w="2577" w:type="dxa"/>
            <w:shd w:val="clear" w:color="auto" w:fill="auto"/>
          </w:tcPr>
          <w:p w14:paraId="50C30D0B" w14:textId="77777777" w:rsidR="00E80989" w:rsidRPr="00730A4A" w:rsidRDefault="00E80989" w:rsidP="00B970D0">
            <w:pPr>
              <w:rPr>
                <w:sz w:val="22"/>
                <w:lang w:val="en-US"/>
              </w:rPr>
            </w:pPr>
            <w:r w:rsidRPr="00730A4A">
              <w:rPr>
                <w:sz w:val="22"/>
                <w:lang w:val="en-US"/>
              </w:rPr>
              <w:t>Pauvreté et économie</w:t>
            </w:r>
          </w:p>
        </w:tc>
        <w:tc>
          <w:tcPr>
            <w:tcW w:w="4221" w:type="dxa"/>
            <w:shd w:val="clear" w:color="auto" w:fill="auto"/>
          </w:tcPr>
          <w:p w14:paraId="65D8475F" w14:textId="77777777" w:rsidR="00E80989" w:rsidRPr="00730A4A" w:rsidRDefault="00E80989" w:rsidP="00CB69DE">
            <w:pPr>
              <w:rPr>
                <w:sz w:val="22"/>
              </w:rPr>
            </w:pPr>
            <w:r w:rsidRPr="00730A4A">
              <w:rPr>
                <w:sz w:val="22"/>
                <w:szCs w:val="20"/>
              </w:rPr>
              <w:t xml:space="preserve">En mettant en œuvre le Projet </w:t>
            </w:r>
            <w:r w:rsidR="0085651A" w:rsidRPr="00730A4A">
              <w:rPr>
                <w:sz w:val="22"/>
                <w:szCs w:val="20"/>
              </w:rPr>
              <w:t>PNDA</w:t>
            </w:r>
            <w:r w:rsidRPr="00730A4A">
              <w:rPr>
                <w:sz w:val="22"/>
                <w:szCs w:val="20"/>
              </w:rPr>
              <w:t xml:space="preserve"> et les </w:t>
            </w:r>
            <w:r w:rsidR="0085651A" w:rsidRPr="00730A4A">
              <w:rPr>
                <w:sz w:val="22"/>
                <w:szCs w:val="20"/>
              </w:rPr>
              <w:t xml:space="preserve">autres </w:t>
            </w:r>
            <w:r w:rsidRPr="00730A4A">
              <w:rPr>
                <w:sz w:val="22"/>
                <w:szCs w:val="20"/>
              </w:rPr>
              <w:t xml:space="preserve">projets futurs </w:t>
            </w:r>
            <w:r w:rsidR="0085651A" w:rsidRPr="00730A4A">
              <w:rPr>
                <w:sz w:val="22"/>
                <w:szCs w:val="20"/>
              </w:rPr>
              <w:t>du secteur agricoles</w:t>
            </w:r>
            <w:r w:rsidR="00CB69DE" w:rsidRPr="00730A4A">
              <w:rPr>
                <w:sz w:val="22"/>
                <w:szCs w:val="20"/>
              </w:rPr>
              <w:t xml:space="preserve"> et infrastructures routières et de santé</w:t>
            </w:r>
            <w:r w:rsidRPr="00730A4A">
              <w:rPr>
                <w:sz w:val="22"/>
                <w:szCs w:val="20"/>
              </w:rPr>
              <w:t>, le grand public bénéficiera d'un</w:t>
            </w:r>
            <w:r w:rsidR="00CB69DE" w:rsidRPr="00730A4A">
              <w:rPr>
                <w:sz w:val="22"/>
                <w:szCs w:val="20"/>
              </w:rPr>
              <w:t>e</w:t>
            </w:r>
            <w:r w:rsidRPr="00730A4A">
              <w:rPr>
                <w:sz w:val="22"/>
                <w:szCs w:val="20"/>
              </w:rPr>
              <w:t xml:space="preserve"> meilleur</w:t>
            </w:r>
            <w:r w:rsidR="00CB69DE" w:rsidRPr="00730A4A">
              <w:rPr>
                <w:sz w:val="22"/>
                <w:szCs w:val="20"/>
              </w:rPr>
              <w:t>e</w:t>
            </w:r>
            <w:r w:rsidRPr="00730A4A">
              <w:rPr>
                <w:sz w:val="22"/>
                <w:szCs w:val="20"/>
              </w:rPr>
              <w:t xml:space="preserve"> </w:t>
            </w:r>
            <w:r w:rsidR="00CB69DE" w:rsidRPr="00730A4A">
              <w:rPr>
                <w:sz w:val="22"/>
                <w:szCs w:val="20"/>
              </w:rPr>
              <w:t xml:space="preserve">evacuation des produits agricoles, la commercialisation des produits agricoles, </w:t>
            </w:r>
          </w:p>
        </w:tc>
        <w:tc>
          <w:tcPr>
            <w:tcW w:w="1559" w:type="dxa"/>
            <w:shd w:val="clear" w:color="auto" w:fill="auto"/>
          </w:tcPr>
          <w:p w14:paraId="3536E253" w14:textId="77777777" w:rsidR="00E80989" w:rsidRPr="00730A4A" w:rsidRDefault="00E80989" w:rsidP="00B970D0">
            <w:pPr>
              <w:rPr>
                <w:sz w:val="22"/>
                <w:lang w:val="en-US"/>
              </w:rPr>
            </w:pPr>
            <w:r w:rsidRPr="00730A4A">
              <w:rPr>
                <w:sz w:val="22"/>
                <w:lang w:val="en-US"/>
              </w:rPr>
              <w:t>Fort</w:t>
            </w:r>
          </w:p>
        </w:tc>
      </w:tr>
      <w:tr w:rsidR="00BB0401" w:rsidRPr="00837741" w14:paraId="0117EC0C" w14:textId="77777777" w:rsidTr="00730A4A">
        <w:tc>
          <w:tcPr>
            <w:tcW w:w="1419" w:type="dxa"/>
            <w:vMerge w:val="restart"/>
            <w:shd w:val="clear" w:color="auto" w:fill="auto"/>
          </w:tcPr>
          <w:p w14:paraId="20044F1E" w14:textId="77777777" w:rsidR="00E80989" w:rsidRPr="00730A4A" w:rsidRDefault="00E80989" w:rsidP="00B970D0">
            <w:pPr>
              <w:rPr>
                <w:sz w:val="22"/>
                <w:lang w:val="en-US"/>
              </w:rPr>
            </w:pPr>
            <w:r w:rsidRPr="00730A4A">
              <w:rPr>
                <w:sz w:val="22"/>
                <w:lang w:val="en-US"/>
              </w:rPr>
              <w:t>Humain</w:t>
            </w:r>
          </w:p>
        </w:tc>
        <w:tc>
          <w:tcPr>
            <w:tcW w:w="2577" w:type="dxa"/>
            <w:shd w:val="clear" w:color="auto" w:fill="auto"/>
          </w:tcPr>
          <w:p w14:paraId="605C04FE" w14:textId="77777777" w:rsidR="00E80989" w:rsidRPr="00730A4A" w:rsidRDefault="00E80989" w:rsidP="00B970D0">
            <w:pPr>
              <w:rPr>
                <w:sz w:val="22"/>
              </w:rPr>
            </w:pPr>
            <w:r w:rsidRPr="00730A4A">
              <w:rPr>
                <w:sz w:val="22"/>
                <w:szCs w:val="20"/>
              </w:rPr>
              <w:t>Circulation/équipements publics, infrastructures, services sociaux</w:t>
            </w:r>
          </w:p>
        </w:tc>
        <w:tc>
          <w:tcPr>
            <w:tcW w:w="4221" w:type="dxa"/>
            <w:shd w:val="clear" w:color="auto" w:fill="auto"/>
          </w:tcPr>
          <w:p w14:paraId="45386EF9" w14:textId="77777777" w:rsidR="00E80989" w:rsidRPr="00730A4A" w:rsidRDefault="00E80989" w:rsidP="00730A4A">
            <w:pPr>
              <w:pStyle w:val="Paragraphedeliste"/>
              <w:ind w:left="2"/>
              <w:jc w:val="left"/>
              <w:rPr>
                <w:sz w:val="22"/>
              </w:rPr>
            </w:pPr>
            <w:r w:rsidRPr="00730A4A">
              <w:rPr>
                <w:sz w:val="22"/>
                <w:szCs w:val="20"/>
              </w:rPr>
              <w:t xml:space="preserve">Grâce à la mise en œuvre du </w:t>
            </w:r>
            <w:r w:rsidR="00CB69DE" w:rsidRPr="00730A4A">
              <w:rPr>
                <w:sz w:val="22"/>
                <w:szCs w:val="20"/>
              </w:rPr>
              <w:t xml:space="preserve">PNDA </w:t>
            </w:r>
            <w:r w:rsidRPr="00730A4A">
              <w:rPr>
                <w:sz w:val="22"/>
                <w:szCs w:val="20"/>
              </w:rPr>
              <w:t>et les projets futurs, les entreprises auront un meilleur accès aux biens, aux consommateurs et aux travailleurs.</w:t>
            </w:r>
          </w:p>
        </w:tc>
        <w:tc>
          <w:tcPr>
            <w:tcW w:w="1559" w:type="dxa"/>
            <w:shd w:val="clear" w:color="auto" w:fill="auto"/>
          </w:tcPr>
          <w:p w14:paraId="2106131C" w14:textId="77777777" w:rsidR="00E80989" w:rsidRPr="00730A4A" w:rsidRDefault="00E80989" w:rsidP="00B970D0">
            <w:pPr>
              <w:rPr>
                <w:sz w:val="22"/>
                <w:lang w:val="en-US"/>
              </w:rPr>
            </w:pPr>
            <w:r w:rsidRPr="00730A4A">
              <w:rPr>
                <w:sz w:val="22"/>
                <w:lang w:val="en-US"/>
              </w:rPr>
              <w:t>Modéré</w:t>
            </w:r>
          </w:p>
        </w:tc>
      </w:tr>
      <w:tr w:rsidR="00BB0401" w:rsidRPr="00837741" w14:paraId="381A52AA" w14:textId="77777777" w:rsidTr="00730A4A">
        <w:tc>
          <w:tcPr>
            <w:tcW w:w="1419" w:type="dxa"/>
            <w:vMerge/>
            <w:shd w:val="clear" w:color="auto" w:fill="auto"/>
          </w:tcPr>
          <w:p w14:paraId="0DC737CB" w14:textId="77777777" w:rsidR="00E80989" w:rsidRPr="00730A4A" w:rsidRDefault="00E80989" w:rsidP="00B970D0">
            <w:pPr>
              <w:rPr>
                <w:sz w:val="22"/>
                <w:lang w:val="en-US"/>
              </w:rPr>
            </w:pPr>
          </w:p>
        </w:tc>
        <w:tc>
          <w:tcPr>
            <w:tcW w:w="2577" w:type="dxa"/>
            <w:shd w:val="clear" w:color="auto" w:fill="auto"/>
          </w:tcPr>
          <w:p w14:paraId="2EB41966" w14:textId="77777777" w:rsidR="00E80989" w:rsidRPr="00730A4A" w:rsidRDefault="00E80989" w:rsidP="00B970D0">
            <w:pPr>
              <w:rPr>
                <w:sz w:val="22"/>
              </w:rPr>
            </w:pPr>
            <w:r w:rsidRPr="00730A4A">
              <w:rPr>
                <w:sz w:val="22"/>
                <w:szCs w:val="20"/>
              </w:rPr>
              <w:t>Genre et VBG/EAS/HS</w:t>
            </w:r>
          </w:p>
        </w:tc>
        <w:tc>
          <w:tcPr>
            <w:tcW w:w="4221" w:type="dxa"/>
            <w:shd w:val="clear" w:color="auto" w:fill="auto"/>
          </w:tcPr>
          <w:p w14:paraId="4E3F3B4D" w14:textId="77777777" w:rsidR="00E80989" w:rsidRPr="00730A4A" w:rsidRDefault="00E80989" w:rsidP="00CB69DE">
            <w:pPr>
              <w:rPr>
                <w:sz w:val="22"/>
              </w:rPr>
            </w:pPr>
            <w:r w:rsidRPr="00730A4A">
              <w:rPr>
                <w:sz w:val="22"/>
                <w:szCs w:val="20"/>
              </w:rPr>
              <w:t xml:space="preserve">En réaménageant </w:t>
            </w:r>
            <w:r w:rsidR="00CB69DE" w:rsidRPr="00730A4A">
              <w:rPr>
                <w:sz w:val="22"/>
                <w:szCs w:val="20"/>
              </w:rPr>
              <w:t>les pistes rurales</w:t>
            </w:r>
            <w:r w:rsidRPr="00730A4A">
              <w:rPr>
                <w:sz w:val="22"/>
                <w:szCs w:val="20"/>
              </w:rPr>
              <w:t xml:space="preserve"> autour des marchés,</w:t>
            </w:r>
            <w:r w:rsidR="00CB69DE" w:rsidRPr="00730A4A">
              <w:rPr>
                <w:sz w:val="22"/>
                <w:szCs w:val="20"/>
              </w:rPr>
              <w:t xml:space="preserve"> abattoirs, etc. </w:t>
            </w:r>
            <w:r w:rsidRPr="00730A4A">
              <w:rPr>
                <w:sz w:val="22"/>
                <w:szCs w:val="20"/>
              </w:rPr>
              <w:t xml:space="preserve">la congestion devant les marchés sera réduite. En outre, en mettra en œuvre le </w:t>
            </w:r>
            <w:r w:rsidR="00CB69DE" w:rsidRPr="00730A4A">
              <w:rPr>
                <w:sz w:val="22"/>
                <w:szCs w:val="20"/>
              </w:rPr>
              <w:t>PNDA</w:t>
            </w:r>
            <w:r w:rsidRPr="00730A4A">
              <w:rPr>
                <w:sz w:val="22"/>
                <w:szCs w:val="20"/>
              </w:rPr>
              <w:t xml:space="preserve"> et les Projets futurs, l’on va observer la réduction de VBG/EAS/HS</w:t>
            </w:r>
            <w:r w:rsidR="00CB69DE" w:rsidRPr="00730A4A">
              <w:rPr>
                <w:sz w:val="22"/>
                <w:szCs w:val="20"/>
              </w:rPr>
              <w:t xml:space="preserve"> à travers la sensibilisation de toutes les parties prenantes</w:t>
            </w:r>
          </w:p>
        </w:tc>
        <w:tc>
          <w:tcPr>
            <w:tcW w:w="1559" w:type="dxa"/>
            <w:shd w:val="clear" w:color="auto" w:fill="auto"/>
          </w:tcPr>
          <w:p w14:paraId="6AD2E7FA" w14:textId="77777777" w:rsidR="00E80989" w:rsidRPr="00730A4A" w:rsidRDefault="00E80989" w:rsidP="00B970D0">
            <w:pPr>
              <w:rPr>
                <w:sz w:val="22"/>
                <w:lang w:val="en-US"/>
              </w:rPr>
            </w:pPr>
            <w:r w:rsidRPr="00730A4A">
              <w:rPr>
                <w:sz w:val="22"/>
                <w:lang w:val="en-US"/>
              </w:rPr>
              <w:t>Modéré</w:t>
            </w:r>
          </w:p>
        </w:tc>
      </w:tr>
    </w:tbl>
    <w:p w14:paraId="64E20C83" w14:textId="77777777" w:rsidR="00E80989" w:rsidRPr="002B73C8" w:rsidRDefault="00E80989" w:rsidP="00E80989">
      <w:pPr>
        <w:rPr>
          <w:sz w:val="22"/>
        </w:rPr>
      </w:pPr>
    </w:p>
    <w:p w14:paraId="4F06E5BD" w14:textId="77777777" w:rsidR="00E80989" w:rsidRPr="002B73C8" w:rsidRDefault="00E80989" w:rsidP="00E80989">
      <w:pPr>
        <w:rPr>
          <w:sz w:val="22"/>
        </w:rPr>
      </w:pPr>
    </w:p>
    <w:p w14:paraId="56A86FEE" w14:textId="77777777" w:rsidR="00E80989" w:rsidRPr="00837741" w:rsidRDefault="00E80989" w:rsidP="00E80989">
      <w:pPr>
        <w:rPr>
          <w:i/>
          <w:sz w:val="22"/>
        </w:rPr>
      </w:pPr>
      <w:r w:rsidRPr="00837741">
        <w:rPr>
          <w:i/>
          <w:sz w:val="22"/>
        </w:rPr>
        <w:t xml:space="preserve">Impacts négatifs </w:t>
      </w:r>
    </w:p>
    <w:p w14:paraId="16DAE95C" w14:textId="77777777" w:rsidR="00E80989" w:rsidRPr="00837741" w:rsidRDefault="00E80989" w:rsidP="00E80989">
      <w:pPr>
        <w:rPr>
          <w:sz w:val="22"/>
        </w:rPr>
      </w:pPr>
    </w:p>
    <w:p w14:paraId="6737377A" w14:textId="77777777" w:rsidR="00E80989" w:rsidRPr="00837741" w:rsidRDefault="0044657E" w:rsidP="00E80989">
      <w:pPr>
        <w:rPr>
          <w:sz w:val="22"/>
        </w:rPr>
      </w:pPr>
      <w:bookmarkStart w:id="507" w:name="_Toc64029792"/>
      <w:bookmarkStart w:id="508" w:name="_Toc70451665"/>
      <w:r w:rsidRPr="00C87DC9">
        <w:rPr>
          <w:rFonts w:cs="Arial"/>
          <w:sz w:val="22"/>
        </w:rPr>
        <w:t xml:space="preserve">Tableau </w:t>
      </w:r>
      <w:r w:rsidRPr="00C87DC9">
        <w:rPr>
          <w:rFonts w:cs="Arial"/>
          <w:sz w:val="22"/>
        </w:rPr>
        <w:fldChar w:fldCharType="begin"/>
      </w:r>
      <w:r w:rsidRPr="00C87DC9">
        <w:rPr>
          <w:rFonts w:cs="Arial"/>
          <w:sz w:val="22"/>
        </w:rPr>
        <w:instrText xml:space="preserve"> SEQ Tableau \* ARABIC </w:instrText>
      </w:r>
      <w:r w:rsidRPr="00C87DC9">
        <w:rPr>
          <w:rFonts w:cs="Arial"/>
          <w:sz w:val="22"/>
        </w:rPr>
        <w:fldChar w:fldCharType="separate"/>
      </w:r>
      <w:r w:rsidR="001260B3">
        <w:rPr>
          <w:rFonts w:cs="Arial"/>
          <w:noProof/>
          <w:sz w:val="22"/>
        </w:rPr>
        <w:t>19</w:t>
      </w:r>
      <w:r w:rsidRPr="00C87DC9">
        <w:rPr>
          <w:rFonts w:cs="Arial"/>
          <w:sz w:val="22"/>
        </w:rPr>
        <w:fldChar w:fldCharType="end"/>
      </w:r>
      <w:r w:rsidRPr="00C87DC9">
        <w:rPr>
          <w:rFonts w:cs="Arial"/>
          <w:sz w:val="22"/>
        </w:rPr>
        <w:t>.</w:t>
      </w:r>
      <w:r>
        <w:rPr>
          <w:rFonts w:cs="Arial"/>
          <w:sz w:val="22"/>
        </w:rPr>
        <w:t xml:space="preserve"> </w:t>
      </w:r>
      <w:r w:rsidR="00E80989">
        <w:rPr>
          <w:sz w:val="22"/>
        </w:rPr>
        <w:t>Impacts négatifs</w:t>
      </w:r>
      <w:r w:rsidR="00E80989" w:rsidRPr="00837741">
        <w:rPr>
          <w:sz w:val="22"/>
        </w:rPr>
        <w:t xml:space="preserve"> cumulatifs</w:t>
      </w:r>
      <w:bookmarkEnd w:id="507"/>
      <w:bookmarkEnd w:id="508"/>
    </w:p>
    <w:p w14:paraId="4C5820FB" w14:textId="77777777" w:rsidR="00E80989" w:rsidRPr="00837741" w:rsidRDefault="00E80989" w:rsidP="00E80989">
      <w:pPr>
        <w:rPr>
          <w:i/>
          <w:sz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2379"/>
        <w:gridCol w:w="4477"/>
        <w:gridCol w:w="1559"/>
      </w:tblGrid>
      <w:tr w:rsidR="00E80989" w:rsidRPr="00837741" w14:paraId="67C9ABD8" w14:textId="77777777" w:rsidTr="00730A4A">
        <w:trPr>
          <w:trHeight w:val="451"/>
        </w:trPr>
        <w:tc>
          <w:tcPr>
            <w:tcW w:w="3740" w:type="dxa"/>
            <w:gridSpan w:val="2"/>
            <w:shd w:val="clear" w:color="auto" w:fill="auto"/>
          </w:tcPr>
          <w:p w14:paraId="6BF618F8" w14:textId="77777777" w:rsidR="00E80989" w:rsidRPr="00730A4A" w:rsidRDefault="00E80989" w:rsidP="00B970D0">
            <w:pPr>
              <w:rPr>
                <w:sz w:val="22"/>
                <w:lang w:val="en-US"/>
              </w:rPr>
            </w:pPr>
          </w:p>
          <w:p w14:paraId="5B28CF7D" w14:textId="77777777" w:rsidR="00E80989" w:rsidRPr="00730A4A" w:rsidRDefault="00E80989" w:rsidP="00B970D0">
            <w:pPr>
              <w:rPr>
                <w:sz w:val="22"/>
                <w:lang w:val="en-US"/>
              </w:rPr>
            </w:pPr>
            <w:r w:rsidRPr="00730A4A">
              <w:rPr>
                <w:sz w:val="22"/>
                <w:lang w:val="en-US"/>
              </w:rPr>
              <w:t>Composante de l’environnement</w:t>
            </w:r>
          </w:p>
          <w:p w14:paraId="47ACCFBE" w14:textId="77777777" w:rsidR="00E80989" w:rsidRPr="00730A4A" w:rsidRDefault="00E80989" w:rsidP="00B970D0">
            <w:pPr>
              <w:rPr>
                <w:sz w:val="22"/>
                <w:lang w:val="en-US"/>
              </w:rPr>
            </w:pPr>
          </w:p>
        </w:tc>
        <w:tc>
          <w:tcPr>
            <w:tcW w:w="4477" w:type="dxa"/>
            <w:shd w:val="clear" w:color="auto" w:fill="auto"/>
          </w:tcPr>
          <w:p w14:paraId="4BAA83FD" w14:textId="77777777" w:rsidR="00E80989" w:rsidRPr="00730A4A" w:rsidRDefault="00E80989" w:rsidP="00730A4A">
            <w:pPr>
              <w:jc w:val="center"/>
              <w:rPr>
                <w:sz w:val="22"/>
              </w:rPr>
            </w:pPr>
            <w:r w:rsidRPr="00730A4A">
              <w:rPr>
                <w:sz w:val="22"/>
                <w:szCs w:val="20"/>
              </w:rPr>
              <w:t>Description de l’Impact cumulé positif pendant la phase des travaux et d’exploitation</w:t>
            </w:r>
          </w:p>
        </w:tc>
        <w:tc>
          <w:tcPr>
            <w:tcW w:w="1559" w:type="dxa"/>
            <w:shd w:val="clear" w:color="auto" w:fill="auto"/>
          </w:tcPr>
          <w:p w14:paraId="67966430" w14:textId="77777777" w:rsidR="00E80989" w:rsidRPr="00730A4A" w:rsidRDefault="00E80989" w:rsidP="00B970D0">
            <w:pPr>
              <w:rPr>
                <w:sz w:val="10"/>
                <w:szCs w:val="10"/>
              </w:rPr>
            </w:pPr>
          </w:p>
          <w:p w14:paraId="0F8E7921" w14:textId="77777777" w:rsidR="00E80989" w:rsidRPr="00730A4A" w:rsidRDefault="00E80989" w:rsidP="00B970D0">
            <w:pPr>
              <w:rPr>
                <w:sz w:val="22"/>
                <w:lang w:val="en-US"/>
              </w:rPr>
            </w:pPr>
            <w:r w:rsidRPr="00730A4A">
              <w:rPr>
                <w:sz w:val="22"/>
                <w:lang w:val="en-US"/>
              </w:rPr>
              <w:t>Résultat d’évaluation</w:t>
            </w:r>
          </w:p>
        </w:tc>
      </w:tr>
      <w:tr w:rsidR="00BB0401" w:rsidRPr="00837741" w14:paraId="50FDFB77" w14:textId="77777777" w:rsidTr="00730A4A">
        <w:tc>
          <w:tcPr>
            <w:tcW w:w="1361" w:type="dxa"/>
            <w:shd w:val="clear" w:color="auto" w:fill="auto"/>
          </w:tcPr>
          <w:p w14:paraId="3ED27AE6" w14:textId="77777777" w:rsidR="00E80989" w:rsidRPr="00730A4A" w:rsidRDefault="00E80989" w:rsidP="00B970D0">
            <w:pPr>
              <w:rPr>
                <w:sz w:val="22"/>
                <w:lang w:val="en-US"/>
              </w:rPr>
            </w:pPr>
            <w:r w:rsidRPr="00730A4A">
              <w:rPr>
                <w:sz w:val="22"/>
                <w:lang w:val="en-US"/>
              </w:rPr>
              <w:t>Milieu physique</w:t>
            </w:r>
          </w:p>
        </w:tc>
        <w:tc>
          <w:tcPr>
            <w:tcW w:w="2379" w:type="dxa"/>
            <w:shd w:val="clear" w:color="auto" w:fill="auto"/>
          </w:tcPr>
          <w:p w14:paraId="2BC1A5F1" w14:textId="77777777" w:rsidR="00E80989" w:rsidRPr="00730A4A" w:rsidRDefault="00E80989" w:rsidP="00B970D0">
            <w:pPr>
              <w:rPr>
                <w:sz w:val="22"/>
                <w:lang w:val="en-US"/>
              </w:rPr>
            </w:pPr>
            <w:r w:rsidRPr="00730A4A">
              <w:rPr>
                <w:sz w:val="22"/>
                <w:lang w:val="en-US"/>
              </w:rPr>
              <w:t>Air</w:t>
            </w:r>
          </w:p>
        </w:tc>
        <w:tc>
          <w:tcPr>
            <w:tcW w:w="4477" w:type="dxa"/>
            <w:shd w:val="clear" w:color="auto" w:fill="auto"/>
          </w:tcPr>
          <w:p w14:paraId="3F07E6F7" w14:textId="77777777" w:rsidR="00E80989" w:rsidRPr="00730A4A" w:rsidRDefault="00E80989" w:rsidP="00B970D0">
            <w:pPr>
              <w:rPr>
                <w:sz w:val="22"/>
              </w:rPr>
            </w:pPr>
            <w:r w:rsidRPr="00730A4A">
              <w:rPr>
                <w:sz w:val="22"/>
                <w:szCs w:val="20"/>
              </w:rPr>
              <w:t>Risque de Pollution atmosphérique et sonore suite à la circulation des engins et véhicules</w:t>
            </w:r>
          </w:p>
        </w:tc>
        <w:tc>
          <w:tcPr>
            <w:tcW w:w="1559" w:type="dxa"/>
            <w:shd w:val="clear" w:color="auto" w:fill="auto"/>
          </w:tcPr>
          <w:p w14:paraId="2D347875" w14:textId="77777777" w:rsidR="00E80989" w:rsidRPr="00730A4A" w:rsidRDefault="00E80989" w:rsidP="00B970D0">
            <w:pPr>
              <w:rPr>
                <w:sz w:val="22"/>
                <w:lang w:val="en-US"/>
              </w:rPr>
            </w:pPr>
            <w:r w:rsidRPr="00730A4A">
              <w:rPr>
                <w:sz w:val="22"/>
                <w:lang w:val="en-US"/>
              </w:rPr>
              <w:t>modéré</w:t>
            </w:r>
          </w:p>
        </w:tc>
      </w:tr>
      <w:tr w:rsidR="00BB0401" w:rsidRPr="00837741" w14:paraId="1A234439" w14:textId="77777777" w:rsidTr="00730A4A">
        <w:tc>
          <w:tcPr>
            <w:tcW w:w="1361" w:type="dxa"/>
            <w:shd w:val="clear" w:color="auto" w:fill="auto"/>
          </w:tcPr>
          <w:p w14:paraId="3AA4F1B4" w14:textId="77777777" w:rsidR="00722879" w:rsidRPr="00730A4A" w:rsidRDefault="00722879" w:rsidP="00B970D0">
            <w:pPr>
              <w:rPr>
                <w:sz w:val="22"/>
                <w:szCs w:val="20"/>
                <w:lang w:val="en-US"/>
              </w:rPr>
            </w:pPr>
          </w:p>
        </w:tc>
        <w:tc>
          <w:tcPr>
            <w:tcW w:w="2379" w:type="dxa"/>
            <w:shd w:val="clear" w:color="auto" w:fill="auto"/>
          </w:tcPr>
          <w:p w14:paraId="64D94853" w14:textId="77777777" w:rsidR="00722879" w:rsidRPr="00730A4A" w:rsidRDefault="00722879" w:rsidP="00B970D0">
            <w:pPr>
              <w:rPr>
                <w:sz w:val="22"/>
                <w:szCs w:val="20"/>
                <w:lang w:val="en-US"/>
              </w:rPr>
            </w:pPr>
            <w:r w:rsidRPr="00730A4A">
              <w:rPr>
                <w:sz w:val="22"/>
                <w:szCs w:val="20"/>
                <w:lang w:val="en-US"/>
              </w:rPr>
              <w:t>Sol</w:t>
            </w:r>
          </w:p>
        </w:tc>
        <w:tc>
          <w:tcPr>
            <w:tcW w:w="4477" w:type="dxa"/>
            <w:shd w:val="clear" w:color="auto" w:fill="auto"/>
          </w:tcPr>
          <w:p w14:paraId="7EB8925B" w14:textId="77777777" w:rsidR="00722879" w:rsidRPr="00730A4A" w:rsidRDefault="00722879" w:rsidP="00B970D0">
            <w:pPr>
              <w:rPr>
                <w:sz w:val="22"/>
                <w:szCs w:val="20"/>
              </w:rPr>
            </w:pPr>
            <w:r w:rsidRPr="00730A4A">
              <w:rPr>
                <w:sz w:val="22"/>
                <w:szCs w:val="20"/>
              </w:rPr>
              <w:t>Risqué de la pollution du sol suite à l’utilisation de pesticide</w:t>
            </w:r>
          </w:p>
        </w:tc>
        <w:tc>
          <w:tcPr>
            <w:tcW w:w="1559" w:type="dxa"/>
            <w:shd w:val="clear" w:color="auto" w:fill="auto"/>
          </w:tcPr>
          <w:p w14:paraId="09D3B715" w14:textId="77777777" w:rsidR="00722879" w:rsidRPr="00730A4A" w:rsidRDefault="00722879" w:rsidP="00B970D0">
            <w:pPr>
              <w:rPr>
                <w:sz w:val="22"/>
                <w:szCs w:val="20"/>
                <w:lang w:val="en-US"/>
              </w:rPr>
            </w:pPr>
            <w:r w:rsidRPr="00730A4A">
              <w:rPr>
                <w:sz w:val="22"/>
                <w:szCs w:val="20"/>
                <w:lang w:val="en-US"/>
              </w:rPr>
              <w:t>modéré</w:t>
            </w:r>
          </w:p>
        </w:tc>
      </w:tr>
      <w:tr w:rsidR="00BB0401" w:rsidRPr="00837741" w14:paraId="127F3DD7" w14:textId="77777777" w:rsidTr="00730A4A">
        <w:tc>
          <w:tcPr>
            <w:tcW w:w="1361" w:type="dxa"/>
            <w:shd w:val="clear" w:color="auto" w:fill="auto"/>
          </w:tcPr>
          <w:p w14:paraId="55FCFCE6" w14:textId="77777777" w:rsidR="00722879" w:rsidRPr="00730A4A" w:rsidRDefault="00722879" w:rsidP="00B970D0">
            <w:pPr>
              <w:rPr>
                <w:sz w:val="22"/>
                <w:szCs w:val="20"/>
                <w:lang w:val="en-US"/>
              </w:rPr>
            </w:pPr>
          </w:p>
        </w:tc>
        <w:tc>
          <w:tcPr>
            <w:tcW w:w="2379" w:type="dxa"/>
            <w:shd w:val="clear" w:color="auto" w:fill="auto"/>
          </w:tcPr>
          <w:p w14:paraId="657ED440" w14:textId="77777777" w:rsidR="00722879" w:rsidRPr="00730A4A" w:rsidRDefault="00722879" w:rsidP="00B970D0">
            <w:pPr>
              <w:rPr>
                <w:sz w:val="22"/>
                <w:szCs w:val="20"/>
                <w:lang w:val="en-US"/>
              </w:rPr>
            </w:pPr>
            <w:r w:rsidRPr="00730A4A">
              <w:rPr>
                <w:sz w:val="22"/>
                <w:szCs w:val="20"/>
                <w:lang w:val="en-US"/>
              </w:rPr>
              <w:t>Eau</w:t>
            </w:r>
          </w:p>
        </w:tc>
        <w:tc>
          <w:tcPr>
            <w:tcW w:w="4477" w:type="dxa"/>
            <w:shd w:val="clear" w:color="auto" w:fill="auto"/>
          </w:tcPr>
          <w:p w14:paraId="4DA18D24" w14:textId="77777777" w:rsidR="00722879" w:rsidRPr="00730A4A" w:rsidRDefault="00722879" w:rsidP="00B970D0">
            <w:pPr>
              <w:rPr>
                <w:sz w:val="22"/>
                <w:szCs w:val="20"/>
              </w:rPr>
            </w:pPr>
            <w:r w:rsidRPr="00730A4A">
              <w:rPr>
                <w:sz w:val="22"/>
                <w:szCs w:val="20"/>
              </w:rPr>
              <w:t>Risque de la turbudité de l’eau de surface suite aux travaux d’</w:t>
            </w:r>
            <w:r w:rsidR="00FC6151" w:rsidRPr="00730A4A">
              <w:rPr>
                <w:sz w:val="22"/>
                <w:szCs w:val="20"/>
              </w:rPr>
              <w:t>irri</w:t>
            </w:r>
            <w:r w:rsidRPr="00730A4A">
              <w:rPr>
                <w:sz w:val="22"/>
                <w:szCs w:val="20"/>
              </w:rPr>
              <w:t>gation d’eau pour les activités de la riziculture</w:t>
            </w:r>
          </w:p>
        </w:tc>
        <w:tc>
          <w:tcPr>
            <w:tcW w:w="1559" w:type="dxa"/>
            <w:shd w:val="clear" w:color="auto" w:fill="auto"/>
          </w:tcPr>
          <w:p w14:paraId="49B07B83" w14:textId="77777777" w:rsidR="00722879" w:rsidRPr="00730A4A" w:rsidRDefault="00722879" w:rsidP="00B970D0">
            <w:pPr>
              <w:rPr>
                <w:sz w:val="22"/>
                <w:szCs w:val="20"/>
                <w:lang w:val="en-US"/>
              </w:rPr>
            </w:pPr>
            <w:r w:rsidRPr="00730A4A">
              <w:rPr>
                <w:sz w:val="22"/>
                <w:szCs w:val="20"/>
                <w:lang w:val="en-US"/>
              </w:rPr>
              <w:t>modéré</w:t>
            </w:r>
          </w:p>
        </w:tc>
      </w:tr>
      <w:tr w:rsidR="00BB0401" w:rsidRPr="00837741" w14:paraId="6478B59C" w14:textId="77777777" w:rsidTr="00730A4A">
        <w:tc>
          <w:tcPr>
            <w:tcW w:w="1361" w:type="dxa"/>
            <w:shd w:val="clear" w:color="auto" w:fill="auto"/>
          </w:tcPr>
          <w:p w14:paraId="36740E23" w14:textId="77777777" w:rsidR="00E80989" w:rsidRPr="00730A4A" w:rsidRDefault="00E80989" w:rsidP="00B970D0">
            <w:pPr>
              <w:rPr>
                <w:sz w:val="22"/>
                <w:lang w:val="en-US"/>
              </w:rPr>
            </w:pPr>
            <w:r w:rsidRPr="00730A4A">
              <w:rPr>
                <w:sz w:val="22"/>
                <w:lang w:val="en-US"/>
              </w:rPr>
              <w:t>Milieu humain</w:t>
            </w:r>
          </w:p>
        </w:tc>
        <w:tc>
          <w:tcPr>
            <w:tcW w:w="2379" w:type="dxa"/>
            <w:shd w:val="clear" w:color="auto" w:fill="auto"/>
          </w:tcPr>
          <w:p w14:paraId="1D4F34ED" w14:textId="77777777" w:rsidR="00E80989" w:rsidRPr="00730A4A" w:rsidRDefault="00E80989" w:rsidP="00B970D0">
            <w:pPr>
              <w:rPr>
                <w:sz w:val="22"/>
                <w:lang w:val="en-US"/>
              </w:rPr>
            </w:pPr>
            <w:r w:rsidRPr="00730A4A">
              <w:rPr>
                <w:sz w:val="22"/>
                <w:lang w:val="en-US"/>
              </w:rPr>
              <w:t>Activités socio-économiques</w:t>
            </w:r>
          </w:p>
        </w:tc>
        <w:tc>
          <w:tcPr>
            <w:tcW w:w="4477" w:type="dxa"/>
            <w:shd w:val="clear" w:color="auto" w:fill="auto"/>
          </w:tcPr>
          <w:p w14:paraId="02AE2445" w14:textId="77777777" w:rsidR="00E80989" w:rsidRPr="00730A4A" w:rsidRDefault="00E80989" w:rsidP="00B970D0">
            <w:pPr>
              <w:rPr>
                <w:sz w:val="22"/>
              </w:rPr>
            </w:pPr>
            <w:r w:rsidRPr="00730A4A">
              <w:rPr>
                <w:sz w:val="22"/>
                <w:szCs w:val="20"/>
              </w:rPr>
              <w:t>Réinstallation involontaire et/ou perte de propriété</w:t>
            </w:r>
            <w:r w:rsidR="009E3999" w:rsidRPr="00730A4A">
              <w:rPr>
                <w:sz w:val="22"/>
                <w:szCs w:val="20"/>
              </w:rPr>
              <w:t xml:space="preserve"> </w:t>
            </w:r>
            <w:r w:rsidRPr="00730A4A">
              <w:rPr>
                <w:sz w:val="22"/>
                <w:szCs w:val="20"/>
              </w:rPr>
              <w:t>;</w:t>
            </w:r>
          </w:p>
        </w:tc>
        <w:tc>
          <w:tcPr>
            <w:tcW w:w="1559" w:type="dxa"/>
            <w:shd w:val="clear" w:color="auto" w:fill="auto"/>
          </w:tcPr>
          <w:p w14:paraId="6DB21912" w14:textId="77777777" w:rsidR="00E80989" w:rsidRPr="00730A4A" w:rsidRDefault="00E80989" w:rsidP="00B970D0">
            <w:pPr>
              <w:rPr>
                <w:sz w:val="22"/>
                <w:lang w:val="en-US"/>
              </w:rPr>
            </w:pPr>
            <w:r w:rsidRPr="00730A4A">
              <w:rPr>
                <w:sz w:val="22"/>
                <w:lang w:val="en-US"/>
              </w:rPr>
              <w:t>Fort</w:t>
            </w:r>
          </w:p>
        </w:tc>
      </w:tr>
      <w:tr w:rsidR="00BB0401" w:rsidRPr="00837741" w14:paraId="44A380B3" w14:textId="77777777" w:rsidTr="00730A4A">
        <w:tc>
          <w:tcPr>
            <w:tcW w:w="1361" w:type="dxa"/>
            <w:vMerge w:val="restart"/>
            <w:shd w:val="clear" w:color="auto" w:fill="auto"/>
          </w:tcPr>
          <w:p w14:paraId="05DC0C00" w14:textId="77777777" w:rsidR="009E3999" w:rsidRPr="00730A4A" w:rsidRDefault="009E3999" w:rsidP="00B970D0">
            <w:pPr>
              <w:rPr>
                <w:sz w:val="22"/>
                <w:lang w:val="en-US"/>
              </w:rPr>
            </w:pPr>
            <w:r w:rsidRPr="00730A4A">
              <w:rPr>
                <w:sz w:val="22"/>
                <w:lang w:val="en-US"/>
              </w:rPr>
              <w:t>Humain</w:t>
            </w:r>
          </w:p>
        </w:tc>
        <w:tc>
          <w:tcPr>
            <w:tcW w:w="2379" w:type="dxa"/>
            <w:vMerge w:val="restart"/>
            <w:shd w:val="clear" w:color="auto" w:fill="auto"/>
          </w:tcPr>
          <w:p w14:paraId="65C505CF" w14:textId="77777777" w:rsidR="009E3999" w:rsidRPr="00730A4A" w:rsidRDefault="009E3999" w:rsidP="00B970D0">
            <w:pPr>
              <w:rPr>
                <w:sz w:val="22"/>
                <w:lang w:val="en-US"/>
              </w:rPr>
            </w:pPr>
            <w:r w:rsidRPr="00730A4A">
              <w:rPr>
                <w:sz w:val="22"/>
                <w:lang w:val="en-US"/>
              </w:rPr>
              <w:t>Santé et sécurité</w:t>
            </w:r>
          </w:p>
          <w:p w14:paraId="527CBDAD" w14:textId="77777777" w:rsidR="009E3999" w:rsidRPr="00730A4A" w:rsidRDefault="009E3999" w:rsidP="00B970D0">
            <w:pPr>
              <w:rPr>
                <w:sz w:val="22"/>
                <w:lang w:val="en-US"/>
              </w:rPr>
            </w:pPr>
          </w:p>
        </w:tc>
        <w:tc>
          <w:tcPr>
            <w:tcW w:w="4477" w:type="dxa"/>
            <w:shd w:val="clear" w:color="auto" w:fill="auto"/>
          </w:tcPr>
          <w:p w14:paraId="168569C5" w14:textId="77777777" w:rsidR="009E3999" w:rsidRPr="00730A4A" w:rsidRDefault="009E3999" w:rsidP="00B970D0">
            <w:pPr>
              <w:rPr>
                <w:sz w:val="22"/>
              </w:rPr>
            </w:pPr>
            <w:r w:rsidRPr="00730A4A">
              <w:rPr>
                <w:sz w:val="22"/>
                <w:szCs w:val="20"/>
              </w:rPr>
              <w:t>Accidents pendant les travaux de construction</w:t>
            </w:r>
          </w:p>
        </w:tc>
        <w:tc>
          <w:tcPr>
            <w:tcW w:w="1559" w:type="dxa"/>
            <w:shd w:val="clear" w:color="auto" w:fill="auto"/>
          </w:tcPr>
          <w:p w14:paraId="17376ED4" w14:textId="77777777" w:rsidR="009E3999" w:rsidRPr="00730A4A" w:rsidRDefault="009E3999" w:rsidP="00B970D0">
            <w:pPr>
              <w:rPr>
                <w:sz w:val="22"/>
                <w:lang w:val="en-US"/>
              </w:rPr>
            </w:pPr>
            <w:r w:rsidRPr="00730A4A">
              <w:rPr>
                <w:sz w:val="22"/>
                <w:lang w:val="en-US"/>
              </w:rPr>
              <w:t>Modéré</w:t>
            </w:r>
          </w:p>
        </w:tc>
      </w:tr>
      <w:tr w:rsidR="00BB0401" w:rsidRPr="00837741" w14:paraId="3E8629DD" w14:textId="77777777" w:rsidTr="00730A4A">
        <w:tc>
          <w:tcPr>
            <w:tcW w:w="1361" w:type="dxa"/>
            <w:vMerge/>
            <w:shd w:val="clear" w:color="auto" w:fill="auto"/>
          </w:tcPr>
          <w:p w14:paraId="4F8D2A05" w14:textId="77777777" w:rsidR="009E3999" w:rsidRPr="00730A4A" w:rsidRDefault="009E3999" w:rsidP="00B970D0">
            <w:pPr>
              <w:rPr>
                <w:sz w:val="22"/>
                <w:lang w:val="en-US"/>
              </w:rPr>
            </w:pPr>
          </w:p>
        </w:tc>
        <w:tc>
          <w:tcPr>
            <w:tcW w:w="2379" w:type="dxa"/>
            <w:vMerge/>
            <w:shd w:val="clear" w:color="auto" w:fill="auto"/>
          </w:tcPr>
          <w:p w14:paraId="7591D73B" w14:textId="77777777" w:rsidR="009E3999" w:rsidRPr="00730A4A" w:rsidRDefault="009E3999" w:rsidP="00B970D0">
            <w:pPr>
              <w:rPr>
                <w:sz w:val="22"/>
                <w:lang w:val="en-US"/>
              </w:rPr>
            </w:pPr>
          </w:p>
        </w:tc>
        <w:tc>
          <w:tcPr>
            <w:tcW w:w="4477" w:type="dxa"/>
            <w:shd w:val="clear" w:color="auto" w:fill="auto"/>
          </w:tcPr>
          <w:p w14:paraId="76FAF555" w14:textId="77777777" w:rsidR="009E3999" w:rsidRPr="00730A4A" w:rsidRDefault="009E3999" w:rsidP="00B970D0">
            <w:pPr>
              <w:rPr>
                <w:sz w:val="22"/>
              </w:rPr>
            </w:pPr>
            <w:r w:rsidRPr="00730A4A">
              <w:rPr>
                <w:sz w:val="22"/>
                <w:szCs w:val="20"/>
              </w:rPr>
              <w:t>Accidents pendant les travaux de construction et pendant la phase d’exploitation</w:t>
            </w:r>
          </w:p>
        </w:tc>
        <w:tc>
          <w:tcPr>
            <w:tcW w:w="1559" w:type="dxa"/>
            <w:shd w:val="clear" w:color="auto" w:fill="auto"/>
          </w:tcPr>
          <w:p w14:paraId="14A2A44F" w14:textId="77777777" w:rsidR="009E3999" w:rsidRPr="00730A4A" w:rsidRDefault="009E3999" w:rsidP="00B970D0">
            <w:pPr>
              <w:rPr>
                <w:sz w:val="22"/>
                <w:lang w:val="en-US"/>
              </w:rPr>
            </w:pPr>
            <w:r w:rsidRPr="00730A4A">
              <w:rPr>
                <w:sz w:val="22"/>
                <w:lang w:val="en-US"/>
              </w:rPr>
              <w:t>Modéré</w:t>
            </w:r>
          </w:p>
        </w:tc>
      </w:tr>
      <w:tr w:rsidR="00BB0401" w:rsidRPr="00837741" w14:paraId="4B95B612" w14:textId="77777777" w:rsidTr="00730A4A">
        <w:tc>
          <w:tcPr>
            <w:tcW w:w="1361" w:type="dxa"/>
            <w:vMerge/>
            <w:shd w:val="clear" w:color="auto" w:fill="auto"/>
          </w:tcPr>
          <w:p w14:paraId="3C00E1D8" w14:textId="77777777" w:rsidR="009E3999" w:rsidRPr="00730A4A" w:rsidRDefault="009E3999" w:rsidP="00B970D0">
            <w:pPr>
              <w:rPr>
                <w:sz w:val="22"/>
                <w:szCs w:val="20"/>
                <w:lang w:val="en-US"/>
              </w:rPr>
            </w:pPr>
          </w:p>
        </w:tc>
        <w:tc>
          <w:tcPr>
            <w:tcW w:w="2379" w:type="dxa"/>
            <w:vMerge/>
            <w:shd w:val="clear" w:color="auto" w:fill="auto"/>
          </w:tcPr>
          <w:p w14:paraId="08E4FE27" w14:textId="77777777" w:rsidR="009E3999" w:rsidRPr="00730A4A" w:rsidRDefault="009E3999" w:rsidP="00B970D0">
            <w:pPr>
              <w:rPr>
                <w:sz w:val="22"/>
                <w:szCs w:val="20"/>
                <w:lang w:val="en-US"/>
              </w:rPr>
            </w:pPr>
          </w:p>
        </w:tc>
        <w:tc>
          <w:tcPr>
            <w:tcW w:w="4477" w:type="dxa"/>
            <w:shd w:val="clear" w:color="auto" w:fill="auto"/>
          </w:tcPr>
          <w:p w14:paraId="53F6DA1C" w14:textId="77777777" w:rsidR="009E3999" w:rsidRPr="00730A4A" w:rsidRDefault="009E3999" w:rsidP="00B970D0">
            <w:pPr>
              <w:rPr>
                <w:sz w:val="22"/>
                <w:szCs w:val="20"/>
              </w:rPr>
            </w:pPr>
            <w:r w:rsidRPr="00730A4A">
              <w:rPr>
                <w:sz w:val="22"/>
                <w:szCs w:val="20"/>
              </w:rPr>
              <w:t>Risque de l’insécurité dans la province du Nord-Kivu</w:t>
            </w:r>
          </w:p>
        </w:tc>
        <w:tc>
          <w:tcPr>
            <w:tcW w:w="1559" w:type="dxa"/>
            <w:shd w:val="clear" w:color="auto" w:fill="auto"/>
          </w:tcPr>
          <w:p w14:paraId="401A4A00" w14:textId="77777777" w:rsidR="009E3999" w:rsidRPr="00730A4A" w:rsidRDefault="009E3999" w:rsidP="00B970D0">
            <w:pPr>
              <w:rPr>
                <w:sz w:val="22"/>
                <w:szCs w:val="20"/>
                <w:lang w:val="en-US"/>
              </w:rPr>
            </w:pPr>
            <w:r w:rsidRPr="00730A4A">
              <w:rPr>
                <w:sz w:val="22"/>
                <w:szCs w:val="20"/>
                <w:lang w:val="en-US"/>
              </w:rPr>
              <w:t>Fort</w:t>
            </w:r>
          </w:p>
        </w:tc>
      </w:tr>
      <w:tr w:rsidR="00BB0401" w:rsidRPr="00837741" w14:paraId="494C9F40" w14:textId="77777777" w:rsidTr="00730A4A">
        <w:tc>
          <w:tcPr>
            <w:tcW w:w="1361" w:type="dxa"/>
            <w:vMerge/>
            <w:shd w:val="clear" w:color="auto" w:fill="auto"/>
          </w:tcPr>
          <w:p w14:paraId="4976A2BC" w14:textId="77777777" w:rsidR="009E3999" w:rsidRPr="00730A4A" w:rsidRDefault="009E3999" w:rsidP="00B970D0">
            <w:pPr>
              <w:rPr>
                <w:sz w:val="22"/>
                <w:szCs w:val="20"/>
                <w:lang w:val="en-US"/>
              </w:rPr>
            </w:pPr>
          </w:p>
        </w:tc>
        <w:tc>
          <w:tcPr>
            <w:tcW w:w="2379" w:type="dxa"/>
            <w:vMerge/>
            <w:shd w:val="clear" w:color="auto" w:fill="auto"/>
          </w:tcPr>
          <w:p w14:paraId="674DEA19" w14:textId="77777777" w:rsidR="009E3999" w:rsidRPr="00730A4A" w:rsidRDefault="009E3999" w:rsidP="00B970D0">
            <w:pPr>
              <w:rPr>
                <w:sz w:val="22"/>
                <w:szCs w:val="20"/>
                <w:lang w:val="en-US"/>
              </w:rPr>
            </w:pPr>
          </w:p>
        </w:tc>
        <w:tc>
          <w:tcPr>
            <w:tcW w:w="4477" w:type="dxa"/>
            <w:shd w:val="clear" w:color="auto" w:fill="auto"/>
          </w:tcPr>
          <w:p w14:paraId="331ABF30" w14:textId="77777777" w:rsidR="009E3999" w:rsidRPr="00730A4A" w:rsidRDefault="009E3999" w:rsidP="00B970D0">
            <w:pPr>
              <w:rPr>
                <w:sz w:val="22"/>
                <w:szCs w:val="20"/>
                <w:lang w:val="en-US"/>
              </w:rPr>
            </w:pPr>
            <w:r w:rsidRPr="00730A4A">
              <w:rPr>
                <w:sz w:val="22"/>
                <w:szCs w:val="20"/>
                <w:lang w:val="en-US"/>
              </w:rPr>
              <w:t>Risque d’EAS/HS</w:t>
            </w:r>
          </w:p>
        </w:tc>
        <w:tc>
          <w:tcPr>
            <w:tcW w:w="1559" w:type="dxa"/>
            <w:shd w:val="clear" w:color="auto" w:fill="auto"/>
          </w:tcPr>
          <w:p w14:paraId="242562D1" w14:textId="77777777" w:rsidR="009E3999" w:rsidRPr="00730A4A" w:rsidRDefault="009E3999" w:rsidP="00B970D0">
            <w:pPr>
              <w:rPr>
                <w:sz w:val="22"/>
                <w:szCs w:val="20"/>
                <w:lang w:val="en-US"/>
              </w:rPr>
            </w:pPr>
            <w:r w:rsidRPr="00730A4A">
              <w:rPr>
                <w:sz w:val="22"/>
                <w:szCs w:val="20"/>
                <w:lang w:val="en-US"/>
              </w:rPr>
              <w:t>Modéré</w:t>
            </w:r>
          </w:p>
        </w:tc>
      </w:tr>
      <w:tr w:rsidR="00BB0401" w:rsidRPr="00837741" w14:paraId="6C90A58B" w14:textId="77777777" w:rsidTr="00730A4A">
        <w:tc>
          <w:tcPr>
            <w:tcW w:w="1361" w:type="dxa"/>
            <w:vMerge/>
            <w:shd w:val="clear" w:color="auto" w:fill="auto"/>
          </w:tcPr>
          <w:p w14:paraId="1B86445A" w14:textId="77777777" w:rsidR="00E80989" w:rsidRPr="00730A4A" w:rsidRDefault="00E80989" w:rsidP="00B970D0">
            <w:pPr>
              <w:rPr>
                <w:sz w:val="22"/>
                <w:lang w:val="en-US"/>
              </w:rPr>
            </w:pPr>
          </w:p>
        </w:tc>
        <w:tc>
          <w:tcPr>
            <w:tcW w:w="2379" w:type="dxa"/>
            <w:shd w:val="clear" w:color="auto" w:fill="auto"/>
          </w:tcPr>
          <w:p w14:paraId="08F8EBF8" w14:textId="77777777" w:rsidR="00E80989" w:rsidRPr="00730A4A" w:rsidRDefault="00E80989" w:rsidP="00B970D0">
            <w:pPr>
              <w:rPr>
                <w:sz w:val="22"/>
                <w:lang w:val="en-US"/>
              </w:rPr>
            </w:pPr>
            <w:r w:rsidRPr="00730A4A">
              <w:rPr>
                <w:sz w:val="22"/>
                <w:lang w:val="en-US"/>
              </w:rPr>
              <w:t>Paysage</w:t>
            </w:r>
          </w:p>
        </w:tc>
        <w:tc>
          <w:tcPr>
            <w:tcW w:w="4477" w:type="dxa"/>
            <w:shd w:val="clear" w:color="auto" w:fill="auto"/>
          </w:tcPr>
          <w:p w14:paraId="50813035" w14:textId="77777777" w:rsidR="00E80989" w:rsidRPr="00730A4A" w:rsidRDefault="00E80989" w:rsidP="00B970D0">
            <w:pPr>
              <w:rPr>
                <w:sz w:val="22"/>
              </w:rPr>
            </w:pPr>
            <w:r w:rsidRPr="00730A4A">
              <w:rPr>
                <w:sz w:val="22"/>
                <w:szCs w:val="20"/>
              </w:rPr>
              <w:t>Destruction du paysage naturel (y compris les arbres de rue)</w:t>
            </w:r>
          </w:p>
        </w:tc>
        <w:tc>
          <w:tcPr>
            <w:tcW w:w="1559" w:type="dxa"/>
            <w:shd w:val="clear" w:color="auto" w:fill="auto"/>
          </w:tcPr>
          <w:p w14:paraId="0723340E" w14:textId="77777777" w:rsidR="00E80989" w:rsidRPr="00730A4A" w:rsidRDefault="00E80989" w:rsidP="00B970D0">
            <w:pPr>
              <w:rPr>
                <w:sz w:val="22"/>
                <w:lang w:val="en-US"/>
              </w:rPr>
            </w:pPr>
            <w:r w:rsidRPr="00730A4A">
              <w:rPr>
                <w:sz w:val="22"/>
                <w:lang w:val="en-US"/>
              </w:rPr>
              <w:t>Modéré</w:t>
            </w:r>
          </w:p>
        </w:tc>
      </w:tr>
      <w:tr w:rsidR="00BB0401" w:rsidRPr="00837741" w14:paraId="236D0F46" w14:textId="77777777" w:rsidTr="00730A4A">
        <w:tc>
          <w:tcPr>
            <w:tcW w:w="1361" w:type="dxa"/>
            <w:vMerge/>
            <w:shd w:val="clear" w:color="auto" w:fill="auto"/>
          </w:tcPr>
          <w:p w14:paraId="042BC900" w14:textId="77777777" w:rsidR="00E80989" w:rsidRPr="00730A4A" w:rsidRDefault="00E80989" w:rsidP="00B970D0">
            <w:pPr>
              <w:rPr>
                <w:sz w:val="22"/>
                <w:lang w:val="en-US"/>
              </w:rPr>
            </w:pPr>
          </w:p>
        </w:tc>
        <w:tc>
          <w:tcPr>
            <w:tcW w:w="2379" w:type="dxa"/>
            <w:shd w:val="clear" w:color="auto" w:fill="auto"/>
          </w:tcPr>
          <w:p w14:paraId="1ECAB016" w14:textId="77777777" w:rsidR="00E80989" w:rsidRPr="00730A4A" w:rsidRDefault="00E80989" w:rsidP="00B970D0">
            <w:pPr>
              <w:rPr>
                <w:sz w:val="22"/>
                <w:lang w:val="en-US"/>
              </w:rPr>
            </w:pPr>
            <w:r w:rsidRPr="00730A4A">
              <w:rPr>
                <w:sz w:val="22"/>
                <w:lang w:val="en-US"/>
              </w:rPr>
              <w:t>culturel</w:t>
            </w:r>
          </w:p>
        </w:tc>
        <w:tc>
          <w:tcPr>
            <w:tcW w:w="4477" w:type="dxa"/>
            <w:shd w:val="clear" w:color="auto" w:fill="auto"/>
          </w:tcPr>
          <w:p w14:paraId="60D2007A" w14:textId="77777777" w:rsidR="00E80989" w:rsidRPr="00730A4A" w:rsidRDefault="00E80989" w:rsidP="00B970D0">
            <w:pPr>
              <w:rPr>
                <w:sz w:val="22"/>
              </w:rPr>
            </w:pPr>
            <w:r w:rsidRPr="00730A4A">
              <w:rPr>
                <w:sz w:val="22"/>
                <w:szCs w:val="20"/>
              </w:rPr>
              <w:t>Destruction des ressources historiques et culturelles</w:t>
            </w:r>
          </w:p>
        </w:tc>
        <w:tc>
          <w:tcPr>
            <w:tcW w:w="1559" w:type="dxa"/>
            <w:shd w:val="clear" w:color="auto" w:fill="auto"/>
          </w:tcPr>
          <w:p w14:paraId="736922E8" w14:textId="77777777" w:rsidR="00E80989" w:rsidRPr="00730A4A" w:rsidRDefault="00E80989" w:rsidP="00B970D0">
            <w:pPr>
              <w:rPr>
                <w:sz w:val="22"/>
                <w:lang w:val="en-US"/>
              </w:rPr>
            </w:pPr>
            <w:r w:rsidRPr="00730A4A">
              <w:rPr>
                <w:sz w:val="22"/>
                <w:lang w:val="en-US"/>
              </w:rPr>
              <w:t>faible</w:t>
            </w:r>
          </w:p>
        </w:tc>
      </w:tr>
    </w:tbl>
    <w:p w14:paraId="29EFC6F9" w14:textId="77777777" w:rsidR="00722879" w:rsidRPr="00837741" w:rsidRDefault="00722879" w:rsidP="00E80989">
      <w:pPr>
        <w:rPr>
          <w:i/>
          <w:sz w:val="22"/>
        </w:rPr>
      </w:pPr>
    </w:p>
    <w:p w14:paraId="6EB1106D" w14:textId="77777777" w:rsidR="00E80989" w:rsidRPr="00837741" w:rsidRDefault="00E80989" w:rsidP="00E80989">
      <w:pPr>
        <w:rPr>
          <w:i/>
          <w:sz w:val="22"/>
        </w:rPr>
      </w:pPr>
      <w:r w:rsidRPr="00837741">
        <w:rPr>
          <w:i/>
          <w:sz w:val="22"/>
        </w:rPr>
        <w:t>Détermination des mesures d’atténuation</w:t>
      </w:r>
    </w:p>
    <w:p w14:paraId="19D01ADD" w14:textId="77777777" w:rsidR="00E80989" w:rsidRPr="00837741" w:rsidRDefault="00E80989" w:rsidP="00E80989">
      <w:pPr>
        <w:rPr>
          <w:sz w:val="22"/>
        </w:rPr>
      </w:pPr>
    </w:p>
    <w:p w14:paraId="5FA34E19" w14:textId="77777777" w:rsidR="00E80989" w:rsidRPr="00837741" w:rsidRDefault="00E80989" w:rsidP="00E80989">
      <w:pPr>
        <w:rPr>
          <w:i/>
          <w:sz w:val="22"/>
        </w:rPr>
      </w:pPr>
      <w:r w:rsidRPr="00837741">
        <w:rPr>
          <w:sz w:val="22"/>
        </w:rPr>
        <w:t xml:space="preserve">En somme, les mesures d’atténuation, de réduction et de bonification seront proposées dans chacune des EIES des sous-projets du </w:t>
      </w:r>
      <w:r w:rsidR="009E3999">
        <w:rPr>
          <w:sz w:val="22"/>
        </w:rPr>
        <w:t>PNDA</w:t>
      </w:r>
      <w:r w:rsidRPr="00837741">
        <w:rPr>
          <w:sz w:val="22"/>
        </w:rPr>
        <w:t xml:space="preserve"> et celles des projets futurs </w:t>
      </w:r>
      <w:r w:rsidR="009E3999">
        <w:rPr>
          <w:sz w:val="22"/>
        </w:rPr>
        <w:t>dans les provinces concernées par le Programme</w:t>
      </w:r>
      <w:r w:rsidRPr="00837741">
        <w:rPr>
          <w:sz w:val="22"/>
        </w:rPr>
        <w:t>.</w:t>
      </w:r>
      <w:r w:rsidRPr="00837741">
        <w:rPr>
          <w:i/>
          <w:sz w:val="22"/>
        </w:rPr>
        <w:t xml:space="preserve"> </w:t>
      </w:r>
    </w:p>
    <w:p w14:paraId="16F80FAB" w14:textId="77777777" w:rsidR="00E80989" w:rsidRPr="00837741" w:rsidRDefault="00E80989" w:rsidP="00E80989">
      <w:pPr>
        <w:rPr>
          <w:i/>
          <w:sz w:val="22"/>
        </w:rPr>
      </w:pPr>
    </w:p>
    <w:p w14:paraId="457DCCE4" w14:textId="77777777" w:rsidR="00E80989" w:rsidRPr="00837741" w:rsidRDefault="00E80989" w:rsidP="00E80989">
      <w:pPr>
        <w:rPr>
          <w:i/>
          <w:sz w:val="22"/>
        </w:rPr>
      </w:pPr>
      <w:r w:rsidRPr="00837741">
        <w:rPr>
          <w:i/>
          <w:sz w:val="22"/>
        </w:rPr>
        <w:t xml:space="preserve">Suivi des effets cumulatifs </w:t>
      </w:r>
    </w:p>
    <w:p w14:paraId="062A2265" w14:textId="77777777" w:rsidR="00E80989" w:rsidRPr="00837741" w:rsidRDefault="00E80989" w:rsidP="00E80989">
      <w:pPr>
        <w:rPr>
          <w:sz w:val="22"/>
        </w:rPr>
      </w:pPr>
    </w:p>
    <w:p w14:paraId="19762ED2" w14:textId="77777777" w:rsidR="00E80989" w:rsidRPr="00837741" w:rsidRDefault="00E80989" w:rsidP="00E80989">
      <w:pPr>
        <w:rPr>
          <w:sz w:val="22"/>
        </w:rPr>
      </w:pPr>
      <w:r w:rsidRPr="00837741">
        <w:rPr>
          <w:sz w:val="22"/>
        </w:rPr>
        <w:t xml:space="preserve">Tout comme pour les mesures d’atténuation, les programmes de suivi environnemental et social qui seront proposés dans les EIES des sous-projets du </w:t>
      </w:r>
      <w:r w:rsidR="009E3999">
        <w:rPr>
          <w:sz w:val="22"/>
        </w:rPr>
        <w:t>PNDA</w:t>
      </w:r>
      <w:r w:rsidRPr="00837741">
        <w:rPr>
          <w:sz w:val="22"/>
        </w:rPr>
        <w:t xml:space="preserve"> et celles  des projets futurs sont aussi directement applicables aux effets cumulatifs.</w:t>
      </w:r>
    </w:p>
    <w:p w14:paraId="65EEF59E" w14:textId="77777777" w:rsidR="00E80989" w:rsidRDefault="00E80989" w:rsidP="001C2F95">
      <w:pPr>
        <w:pStyle w:val="NormalWeb"/>
        <w:spacing w:before="0" w:beforeAutospacing="0" w:after="0" w:afterAutospacing="0" w:line="276" w:lineRule="auto"/>
        <w:rPr>
          <w:rFonts w:ascii="Arial" w:hAnsi="Arial" w:cs="Arial"/>
          <w:sz w:val="22"/>
          <w:szCs w:val="22"/>
        </w:rPr>
      </w:pPr>
    </w:p>
    <w:p w14:paraId="1B51AB9B" w14:textId="77777777" w:rsidR="00F91D77" w:rsidRPr="009D03CE" w:rsidRDefault="00F91D77" w:rsidP="001C2F95">
      <w:pPr>
        <w:pStyle w:val="NormalWeb"/>
        <w:spacing w:before="0" w:beforeAutospacing="0" w:after="0" w:afterAutospacing="0" w:line="276" w:lineRule="auto"/>
        <w:rPr>
          <w:rFonts w:ascii="Arial" w:hAnsi="Arial" w:cs="Arial"/>
          <w:b/>
          <w:i/>
          <w:sz w:val="22"/>
          <w:szCs w:val="22"/>
        </w:rPr>
      </w:pPr>
      <w:r w:rsidRPr="009D03CE">
        <w:rPr>
          <w:rFonts w:ascii="Arial" w:hAnsi="Arial" w:cs="Arial"/>
          <w:b/>
          <w:i/>
          <w:sz w:val="22"/>
          <w:szCs w:val="22"/>
        </w:rPr>
        <w:t>Risque et impacts potentiels aux NES pertinentes et aux instruments Environnementaux et sociaux applicables au PNDA</w:t>
      </w:r>
    </w:p>
    <w:p w14:paraId="273120CB" w14:textId="77777777" w:rsidR="00F91D77" w:rsidRDefault="00F91D77" w:rsidP="001C2F95">
      <w:pPr>
        <w:pStyle w:val="NormalWeb"/>
        <w:spacing w:before="0" w:beforeAutospacing="0" w:after="0" w:afterAutospacing="0" w:line="276" w:lineRule="auto"/>
        <w:rPr>
          <w:rFonts w:ascii="Arial" w:hAnsi="Arial" w:cs="Arial"/>
          <w:sz w:val="22"/>
          <w:szCs w:val="22"/>
        </w:rPr>
      </w:pPr>
    </w:p>
    <w:p w14:paraId="22C3CA2A" w14:textId="77777777" w:rsidR="00F91D77" w:rsidRPr="00E430AE" w:rsidRDefault="0044657E" w:rsidP="0044657E">
      <w:pPr>
        <w:ind w:left="1276" w:hanging="1276"/>
      </w:pPr>
      <w:bookmarkStart w:id="509" w:name="_Toc70451666"/>
      <w:r w:rsidRPr="00C87DC9">
        <w:rPr>
          <w:rFonts w:cs="Arial"/>
          <w:sz w:val="22"/>
        </w:rPr>
        <w:t xml:space="preserve">Tableau </w:t>
      </w:r>
      <w:r w:rsidRPr="00C87DC9">
        <w:rPr>
          <w:rFonts w:cs="Arial"/>
          <w:sz w:val="22"/>
        </w:rPr>
        <w:fldChar w:fldCharType="begin"/>
      </w:r>
      <w:r w:rsidRPr="00C87DC9">
        <w:rPr>
          <w:rFonts w:cs="Arial"/>
          <w:sz w:val="22"/>
        </w:rPr>
        <w:instrText xml:space="preserve"> SEQ Tableau \* ARABIC </w:instrText>
      </w:r>
      <w:r w:rsidRPr="00C87DC9">
        <w:rPr>
          <w:rFonts w:cs="Arial"/>
          <w:sz w:val="22"/>
        </w:rPr>
        <w:fldChar w:fldCharType="separate"/>
      </w:r>
      <w:r w:rsidR="001260B3">
        <w:rPr>
          <w:rFonts w:cs="Arial"/>
          <w:noProof/>
          <w:sz w:val="22"/>
        </w:rPr>
        <w:t>20</w:t>
      </w:r>
      <w:r w:rsidRPr="00C87DC9">
        <w:rPr>
          <w:rFonts w:cs="Arial"/>
          <w:sz w:val="22"/>
        </w:rPr>
        <w:fldChar w:fldCharType="end"/>
      </w:r>
      <w:r w:rsidRPr="00C87DC9">
        <w:rPr>
          <w:rFonts w:cs="Arial"/>
          <w:sz w:val="22"/>
        </w:rPr>
        <w:t>.</w:t>
      </w:r>
      <w:r>
        <w:rPr>
          <w:rFonts w:cs="Arial"/>
          <w:sz w:val="22"/>
        </w:rPr>
        <w:t xml:space="preserve"> </w:t>
      </w:r>
      <w:r>
        <w:rPr>
          <w:sz w:val="22"/>
        </w:rPr>
        <w:t>R</w:t>
      </w:r>
      <w:r w:rsidR="00F91D77" w:rsidRPr="009D03CE">
        <w:rPr>
          <w:sz w:val="22"/>
        </w:rPr>
        <w:t>isques et impacts potentiels aux NES pertinentes et aux instruments E&amp;S applicables</w:t>
      </w:r>
      <w:r w:rsidR="00F91D77">
        <w:rPr>
          <w:sz w:val="22"/>
        </w:rPr>
        <w:t xml:space="preserve"> au PNDA</w:t>
      </w:r>
      <w:bookmarkEnd w:id="509"/>
    </w:p>
    <w:p w14:paraId="4C2F6C7F" w14:textId="77777777" w:rsidR="00F91D77" w:rsidRDefault="00F91D77" w:rsidP="0044657E">
      <w:pPr>
        <w:pStyle w:val="NormalWeb"/>
        <w:spacing w:before="0" w:beforeAutospacing="0" w:after="0" w:afterAutospacing="0" w:line="276" w:lineRule="auto"/>
        <w:ind w:left="1276" w:hanging="1276"/>
        <w:rPr>
          <w:rFonts w:ascii="Arial" w:hAnsi="Arial" w:cs="Arial"/>
          <w:sz w:val="22"/>
          <w:szCs w:val="22"/>
        </w:rPr>
      </w:pPr>
    </w:p>
    <w:tbl>
      <w:tblPr>
        <w:tblW w:w="9660" w:type="dxa"/>
        <w:tblInd w:w="-5" w:type="dxa"/>
        <w:tblCellMar>
          <w:left w:w="70" w:type="dxa"/>
          <w:right w:w="70" w:type="dxa"/>
        </w:tblCellMar>
        <w:tblLook w:val="04A0" w:firstRow="1" w:lastRow="0" w:firstColumn="1" w:lastColumn="0" w:noHBand="0" w:noVBand="1"/>
      </w:tblPr>
      <w:tblGrid>
        <w:gridCol w:w="1700"/>
        <w:gridCol w:w="3260"/>
        <w:gridCol w:w="2480"/>
        <w:gridCol w:w="2220"/>
      </w:tblGrid>
      <w:tr w:rsidR="00F91D77" w:rsidRPr="00F91D77" w14:paraId="12C19B5E" w14:textId="77777777" w:rsidTr="009D03CE">
        <w:trPr>
          <w:trHeight w:val="802"/>
        </w:trPr>
        <w:tc>
          <w:tcPr>
            <w:tcW w:w="1700"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526229AA" w14:textId="77777777" w:rsidR="00F91D77" w:rsidRPr="00F91D77" w:rsidRDefault="00F91D77" w:rsidP="00F91D77">
            <w:pPr>
              <w:spacing w:line="240" w:lineRule="auto"/>
              <w:jc w:val="center"/>
              <w:rPr>
                <w:rFonts w:cs="Arial"/>
                <w:b/>
                <w:bCs/>
                <w:color w:val="000000"/>
                <w:sz w:val="22"/>
              </w:rPr>
            </w:pPr>
            <w:r w:rsidRPr="00F91D77">
              <w:rPr>
                <w:rFonts w:cs="Arial"/>
                <w:b/>
                <w:bCs/>
                <w:color w:val="000000"/>
                <w:sz w:val="22"/>
              </w:rPr>
              <w:t>Composante affectée</w:t>
            </w:r>
          </w:p>
        </w:tc>
        <w:tc>
          <w:tcPr>
            <w:tcW w:w="3260" w:type="dxa"/>
            <w:tcBorders>
              <w:top w:val="single" w:sz="4" w:space="0" w:color="auto"/>
              <w:left w:val="nil"/>
              <w:bottom w:val="single" w:sz="4" w:space="0" w:color="auto"/>
              <w:right w:val="single" w:sz="4" w:space="0" w:color="auto"/>
            </w:tcBorders>
            <w:shd w:val="clear" w:color="000000" w:fill="D5DCE4"/>
            <w:vAlign w:val="center"/>
            <w:hideMark/>
          </w:tcPr>
          <w:p w14:paraId="1AE53D52" w14:textId="77777777" w:rsidR="00F91D77" w:rsidRPr="00F91D77" w:rsidRDefault="008903B7" w:rsidP="00F91D77">
            <w:pPr>
              <w:spacing w:line="240" w:lineRule="auto"/>
              <w:jc w:val="center"/>
              <w:rPr>
                <w:rFonts w:cs="Arial"/>
                <w:b/>
                <w:bCs/>
                <w:color w:val="000000"/>
                <w:sz w:val="22"/>
              </w:rPr>
            </w:pPr>
            <w:r w:rsidRPr="009D03CE">
              <w:rPr>
                <w:rFonts w:cs="Arial"/>
                <w:b/>
                <w:bCs/>
                <w:color w:val="000000"/>
                <w:sz w:val="22"/>
              </w:rPr>
              <w:t>Impact</w:t>
            </w:r>
            <w:r w:rsidR="00F91D77" w:rsidRPr="009D03CE">
              <w:rPr>
                <w:rFonts w:cs="Arial"/>
                <w:b/>
                <w:bCs/>
                <w:color w:val="000000"/>
                <w:sz w:val="22"/>
              </w:rPr>
              <w:t xml:space="preserve"> négatif environnemental et social potentiel</w:t>
            </w:r>
          </w:p>
        </w:tc>
        <w:tc>
          <w:tcPr>
            <w:tcW w:w="2480" w:type="dxa"/>
            <w:tcBorders>
              <w:top w:val="single" w:sz="4" w:space="0" w:color="auto"/>
              <w:left w:val="nil"/>
              <w:bottom w:val="single" w:sz="4" w:space="0" w:color="auto"/>
              <w:right w:val="single" w:sz="4" w:space="0" w:color="auto"/>
            </w:tcBorders>
            <w:shd w:val="clear" w:color="000000" w:fill="D5DCE4"/>
            <w:vAlign w:val="center"/>
            <w:hideMark/>
          </w:tcPr>
          <w:p w14:paraId="676E2F1B" w14:textId="77777777" w:rsidR="00F91D77" w:rsidRPr="00F91D77" w:rsidRDefault="008903B7" w:rsidP="00F91D77">
            <w:pPr>
              <w:spacing w:line="240" w:lineRule="auto"/>
              <w:jc w:val="center"/>
              <w:rPr>
                <w:rFonts w:cs="Arial"/>
                <w:b/>
                <w:bCs/>
                <w:color w:val="000000"/>
                <w:sz w:val="22"/>
              </w:rPr>
            </w:pPr>
            <w:r>
              <w:rPr>
                <w:rFonts w:cs="Arial"/>
                <w:b/>
                <w:bCs/>
                <w:color w:val="000000"/>
                <w:sz w:val="22"/>
              </w:rPr>
              <w:t>NES perti</w:t>
            </w:r>
            <w:r w:rsidR="00F91D77" w:rsidRPr="00F91D77">
              <w:rPr>
                <w:rFonts w:cs="Arial"/>
                <w:b/>
                <w:bCs/>
                <w:color w:val="000000"/>
                <w:sz w:val="22"/>
              </w:rPr>
              <w:t>nentes concordantes</w:t>
            </w:r>
          </w:p>
        </w:tc>
        <w:tc>
          <w:tcPr>
            <w:tcW w:w="2220" w:type="dxa"/>
            <w:tcBorders>
              <w:top w:val="single" w:sz="4" w:space="0" w:color="auto"/>
              <w:left w:val="nil"/>
              <w:bottom w:val="single" w:sz="4" w:space="0" w:color="auto"/>
              <w:right w:val="single" w:sz="4" w:space="0" w:color="auto"/>
            </w:tcBorders>
            <w:shd w:val="clear" w:color="000000" w:fill="D5DCE4"/>
            <w:vAlign w:val="center"/>
            <w:hideMark/>
          </w:tcPr>
          <w:p w14:paraId="0912011E" w14:textId="77777777" w:rsidR="00F91D77" w:rsidRPr="00F91D77" w:rsidRDefault="00F91D77" w:rsidP="00F91D77">
            <w:pPr>
              <w:spacing w:line="240" w:lineRule="auto"/>
              <w:jc w:val="center"/>
              <w:rPr>
                <w:rFonts w:cs="Arial"/>
                <w:b/>
                <w:bCs/>
                <w:color w:val="000000"/>
                <w:sz w:val="22"/>
              </w:rPr>
            </w:pPr>
            <w:r w:rsidRPr="00F91D77">
              <w:rPr>
                <w:rFonts w:cs="Arial"/>
                <w:b/>
                <w:bCs/>
                <w:color w:val="000000"/>
                <w:sz w:val="22"/>
              </w:rPr>
              <w:t>Instruments de gestion E&amp;S applicable au PNDA</w:t>
            </w:r>
          </w:p>
        </w:tc>
      </w:tr>
      <w:tr w:rsidR="00F91D77" w:rsidRPr="00F91D77" w14:paraId="730201E8" w14:textId="77777777" w:rsidTr="002139E7">
        <w:trPr>
          <w:trHeight w:val="856"/>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287212DB" w14:textId="77777777" w:rsidR="00F91D77" w:rsidRPr="00F91D77" w:rsidRDefault="00F91D77" w:rsidP="00F91D77">
            <w:pPr>
              <w:spacing w:line="240" w:lineRule="auto"/>
              <w:jc w:val="center"/>
              <w:rPr>
                <w:rFonts w:cs="Arial"/>
                <w:color w:val="000000"/>
                <w:sz w:val="22"/>
              </w:rPr>
            </w:pPr>
            <w:r w:rsidRPr="00F91D77">
              <w:rPr>
                <w:rFonts w:cs="Arial"/>
                <w:color w:val="000000"/>
                <w:sz w:val="22"/>
                <w:lang w:val="en-US"/>
              </w:rPr>
              <w:t>Qualité de l’air</w:t>
            </w:r>
          </w:p>
        </w:tc>
        <w:tc>
          <w:tcPr>
            <w:tcW w:w="3260" w:type="dxa"/>
            <w:tcBorders>
              <w:top w:val="nil"/>
              <w:left w:val="nil"/>
              <w:bottom w:val="single" w:sz="4" w:space="0" w:color="auto"/>
              <w:right w:val="single" w:sz="4" w:space="0" w:color="auto"/>
            </w:tcBorders>
            <w:shd w:val="clear" w:color="auto" w:fill="auto"/>
            <w:vAlign w:val="center"/>
            <w:hideMark/>
          </w:tcPr>
          <w:p w14:paraId="3B4A2DC1" w14:textId="77777777" w:rsidR="00F91D77" w:rsidRPr="00F91D77" w:rsidRDefault="00F91D77" w:rsidP="00F91D77">
            <w:pPr>
              <w:spacing w:line="240" w:lineRule="auto"/>
              <w:jc w:val="left"/>
              <w:rPr>
                <w:rFonts w:cs="Arial"/>
                <w:color w:val="000000"/>
                <w:sz w:val="22"/>
              </w:rPr>
            </w:pPr>
            <w:r w:rsidRPr="009D03CE">
              <w:rPr>
                <w:rFonts w:cs="Arial"/>
                <w:color w:val="000000"/>
                <w:sz w:val="22"/>
              </w:rPr>
              <w:t xml:space="preserve">Altération de la qualité de l’air (fumée, poussière et émanations gazeuses). </w:t>
            </w:r>
          </w:p>
        </w:tc>
        <w:tc>
          <w:tcPr>
            <w:tcW w:w="24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CA28EB"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 et 3</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90971E" w14:textId="77777777" w:rsidR="00F91D77" w:rsidRPr="00F91D77" w:rsidRDefault="00F91D77" w:rsidP="00F91D77">
            <w:pPr>
              <w:spacing w:line="240" w:lineRule="auto"/>
              <w:jc w:val="center"/>
              <w:rPr>
                <w:rFonts w:cs="Arial"/>
                <w:color w:val="000000"/>
                <w:sz w:val="22"/>
              </w:rPr>
            </w:pPr>
            <w:r>
              <w:rPr>
                <w:rFonts w:cs="Arial"/>
                <w:color w:val="000000"/>
                <w:sz w:val="22"/>
              </w:rPr>
              <w:t xml:space="preserve">CGES, </w:t>
            </w:r>
            <w:r w:rsidRPr="00F91D77">
              <w:rPr>
                <w:rFonts w:cs="Arial"/>
                <w:color w:val="000000"/>
                <w:sz w:val="22"/>
              </w:rPr>
              <w:t>EIES/PGES</w:t>
            </w:r>
          </w:p>
        </w:tc>
      </w:tr>
      <w:tr w:rsidR="00F91D77" w:rsidRPr="00F91D77" w14:paraId="0D832A66" w14:textId="77777777" w:rsidTr="002139E7">
        <w:trPr>
          <w:trHeight w:val="828"/>
        </w:trPr>
        <w:tc>
          <w:tcPr>
            <w:tcW w:w="1700" w:type="dxa"/>
            <w:vMerge/>
            <w:tcBorders>
              <w:top w:val="nil"/>
              <w:left w:val="single" w:sz="4" w:space="0" w:color="auto"/>
              <w:bottom w:val="single" w:sz="4" w:space="0" w:color="auto"/>
              <w:right w:val="single" w:sz="4" w:space="0" w:color="auto"/>
            </w:tcBorders>
            <w:vAlign w:val="center"/>
            <w:hideMark/>
          </w:tcPr>
          <w:p w14:paraId="2F102156"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18DBA40E" w14:textId="77777777" w:rsidR="00F91D77" w:rsidRPr="00F91D77" w:rsidRDefault="00F91D77" w:rsidP="00F91D77">
            <w:pPr>
              <w:spacing w:line="240" w:lineRule="auto"/>
              <w:jc w:val="left"/>
              <w:rPr>
                <w:rFonts w:cs="Arial"/>
                <w:color w:val="000000"/>
                <w:sz w:val="22"/>
              </w:rPr>
            </w:pPr>
            <w:r w:rsidRPr="009D03CE">
              <w:rPr>
                <w:rFonts w:cs="Arial"/>
                <w:color w:val="000000"/>
                <w:sz w:val="22"/>
              </w:rPr>
              <w:t>Pollution olfactive due au dégagement des mauvaises odeurs des composts</w:t>
            </w:r>
          </w:p>
        </w:tc>
        <w:tc>
          <w:tcPr>
            <w:tcW w:w="2480" w:type="dxa"/>
            <w:vMerge/>
            <w:tcBorders>
              <w:top w:val="nil"/>
              <w:left w:val="single" w:sz="4" w:space="0" w:color="auto"/>
              <w:bottom w:val="single" w:sz="4" w:space="0" w:color="auto"/>
              <w:right w:val="single" w:sz="4" w:space="0" w:color="auto"/>
            </w:tcBorders>
            <w:vAlign w:val="center"/>
            <w:hideMark/>
          </w:tcPr>
          <w:p w14:paraId="3D316F53" w14:textId="77777777" w:rsidR="00F91D77" w:rsidRPr="00F91D77" w:rsidRDefault="00F91D77" w:rsidP="00F91D77">
            <w:pPr>
              <w:spacing w:line="240" w:lineRule="auto"/>
              <w:jc w:val="left"/>
              <w:rPr>
                <w:rFonts w:cs="Arial"/>
                <w:color w:val="000000"/>
                <w:sz w:val="22"/>
              </w:rPr>
            </w:pPr>
          </w:p>
        </w:tc>
        <w:tc>
          <w:tcPr>
            <w:tcW w:w="2220" w:type="dxa"/>
            <w:vMerge/>
            <w:tcBorders>
              <w:top w:val="nil"/>
              <w:left w:val="single" w:sz="4" w:space="0" w:color="auto"/>
              <w:bottom w:val="single" w:sz="4" w:space="0" w:color="auto"/>
              <w:right w:val="single" w:sz="4" w:space="0" w:color="auto"/>
            </w:tcBorders>
            <w:vAlign w:val="center"/>
            <w:hideMark/>
          </w:tcPr>
          <w:p w14:paraId="2C888C82" w14:textId="77777777" w:rsidR="00F91D77" w:rsidRPr="00F91D77" w:rsidRDefault="00F91D77" w:rsidP="00F91D77">
            <w:pPr>
              <w:spacing w:line="240" w:lineRule="auto"/>
              <w:jc w:val="left"/>
              <w:rPr>
                <w:rFonts w:cs="Arial"/>
                <w:color w:val="000000"/>
                <w:sz w:val="22"/>
              </w:rPr>
            </w:pPr>
          </w:p>
        </w:tc>
      </w:tr>
      <w:tr w:rsidR="00F91D77" w:rsidRPr="00F91D77" w14:paraId="36D99B12" w14:textId="77777777" w:rsidTr="002139E7">
        <w:trPr>
          <w:trHeight w:val="401"/>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7BFE565B" w14:textId="77777777" w:rsidR="00F91D77" w:rsidRPr="00F91D77" w:rsidRDefault="00F91D77" w:rsidP="00F91D77">
            <w:pPr>
              <w:spacing w:line="240" w:lineRule="auto"/>
              <w:jc w:val="center"/>
              <w:rPr>
                <w:rFonts w:cs="Arial"/>
                <w:color w:val="000000"/>
                <w:sz w:val="22"/>
              </w:rPr>
            </w:pPr>
            <w:r w:rsidRPr="00F91D77">
              <w:rPr>
                <w:rFonts w:cs="Arial"/>
                <w:color w:val="000000"/>
                <w:sz w:val="22"/>
                <w:lang w:val="en-US"/>
              </w:rPr>
              <w:t>Qualité de l’eau</w:t>
            </w:r>
          </w:p>
        </w:tc>
        <w:tc>
          <w:tcPr>
            <w:tcW w:w="3260" w:type="dxa"/>
            <w:tcBorders>
              <w:top w:val="nil"/>
              <w:left w:val="nil"/>
              <w:bottom w:val="single" w:sz="4" w:space="0" w:color="auto"/>
              <w:right w:val="single" w:sz="4" w:space="0" w:color="auto"/>
            </w:tcBorders>
            <w:shd w:val="clear" w:color="auto" w:fill="auto"/>
            <w:vAlign w:val="center"/>
            <w:hideMark/>
          </w:tcPr>
          <w:p w14:paraId="6743CFF3" w14:textId="77777777" w:rsidR="00F91D77" w:rsidRPr="00F91D77" w:rsidRDefault="00F91D77" w:rsidP="00F91D77">
            <w:pPr>
              <w:spacing w:line="240" w:lineRule="auto"/>
              <w:jc w:val="left"/>
              <w:rPr>
                <w:rFonts w:cs="Arial"/>
                <w:color w:val="000000"/>
                <w:sz w:val="22"/>
              </w:rPr>
            </w:pPr>
            <w:r w:rsidRPr="009D03CE">
              <w:rPr>
                <w:rFonts w:cs="Arial"/>
                <w:color w:val="000000"/>
                <w:sz w:val="22"/>
              </w:rPr>
              <w:t>Augmentation de la turbidité de l’eau.</w:t>
            </w:r>
          </w:p>
        </w:tc>
        <w:tc>
          <w:tcPr>
            <w:tcW w:w="24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8D96E3"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 3 et 4</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E254BC" w14:textId="77777777" w:rsidR="00F91D77" w:rsidRPr="00F91D77" w:rsidRDefault="00F91D77" w:rsidP="00F91D77">
            <w:pPr>
              <w:spacing w:line="240" w:lineRule="auto"/>
              <w:jc w:val="center"/>
              <w:rPr>
                <w:rFonts w:cs="Arial"/>
                <w:color w:val="000000"/>
                <w:sz w:val="22"/>
              </w:rPr>
            </w:pPr>
            <w:r>
              <w:rPr>
                <w:rFonts w:cs="Arial"/>
                <w:color w:val="000000"/>
                <w:sz w:val="22"/>
              </w:rPr>
              <w:t xml:space="preserve">CGES, </w:t>
            </w:r>
            <w:r w:rsidRPr="00F91D77">
              <w:rPr>
                <w:rFonts w:cs="Arial"/>
                <w:color w:val="000000"/>
                <w:sz w:val="22"/>
              </w:rPr>
              <w:t>EIES/PGES et PGP</w:t>
            </w:r>
          </w:p>
        </w:tc>
      </w:tr>
      <w:tr w:rsidR="00F91D77" w:rsidRPr="00F91D77" w14:paraId="17439C44" w14:textId="77777777" w:rsidTr="00F91D77">
        <w:trPr>
          <w:trHeight w:val="768"/>
        </w:trPr>
        <w:tc>
          <w:tcPr>
            <w:tcW w:w="1700" w:type="dxa"/>
            <w:vMerge/>
            <w:tcBorders>
              <w:top w:val="nil"/>
              <w:left w:val="single" w:sz="4" w:space="0" w:color="auto"/>
              <w:bottom w:val="single" w:sz="4" w:space="0" w:color="auto"/>
              <w:right w:val="single" w:sz="4" w:space="0" w:color="auto"/>
            </w:tcBorders>
            <w:vAlign w:val="center"/>
            <w:hideMark/>
          </w:tcPr>
          <w:p w14:paraId="551ED528" w14:textId="77777777" w:rsidR="00F91D77" w:rsidRPr="00F91D77" w:rsidRDefault="00F91D77" w:rsidP="00F91D77">
            <w:pPr>
              <w:spacing w:line="240" w:lineRule="auto"/>
              <w:jc w:val="left"/>
              <w:rPr>
                <w:rFonts w:cs="Arial"/>
                <w:color w:val="000000"/>
                <w:sz w:val="22"/>
              </w:rPr>
            </w:pPr>
          </w:p>
        </w:tc>
        <w:tc>
          <w:tcPr>
            <w:tcW w:w="3260" w:type="dxa"/>
            <w:vMerge w:val="restart"/>
            <w:tcBorders>
              <w:top w:val="nil"/>
              <w:left w:val="single" w:sz="4" w:space="0" w:color="auto"/>
              <w:bottom w:val="single" w:sz="4" w:space="0" w:color="auto"/>
              <w:right w:val="single" w:sz="4" w:space="0" w:color="auto"/>
            </w:tcBorders>
            <w:shd w:val="clear" w:color="auto" w:fill="auto"/>
            <w:vAlign w:val="center"/>
            <w:hideMark/>
          </w:tcPr>
          <w:p w14:paraId="1AE454A6" w14:textId="77777777" w:rsidR="00F91D77" w:rsidRPr="00F91D77" w:rsidRDefault="00F91D77" w:rsidP="00F91D77">
            <w:pPr>
              <w:spacing w:line="240" w:lineRule="auto"/>
              <w:jc w:val="left"/>
              <w:rPr>
                <w:rFonts w:cs="Arial"/>
                <w:color w:val="000000"/>
                <w:sz w:val="22"/>
              </w:rPr>
            </w:pPr>
            <w:r w:rsidRPr="009D03CE">
              <w:rPr>
                <w:rFonts w:cs="Arial"/>
                <w:color w:val="000000"/>
                <w:sz w:val="22"/>
              </w:rPr>
              <w:t>Risque de contamination d’eau de surface et souterraine suite à l’utilisation non rationnelle des produits chimiques (engrais et pesticides) </w:t>
            </w:r>
          </w:p>
        </w:tc>
        <w:tc>
          <w:tcPr>
            <w:tcW w:w="2480" w:type="dxa"/>
            <w:vMerge/>
            <w:tcBorders>
              <w:top w:val="nil"/>
              <w:left w:val="single" w:sz="4" w:space="0" w:color="auto"/>
              <w:bottom w:val="single" w:sz="4" w:space="0" w:color="auto"/>
              <w:right w:val="single" w:sz="4" w:space="0" w:color="auto"/>
            </w:tcBorders>
            <w:vAlign w:val="center"/>
            <w:hideMark/>
          </w:tcPr>
          <w:p w14:paraId="4490141C" w14:textId="77777777" w:rsidR="00F91D77" w:rsidRPr="00F91D77" w:rsidRDefault="00F91D77" w:rsidP="00F91D77">
            <w:pPr>
              <w:spacing w:line="240" w:lineRule="auto"/>
              <w:jc w:val="left"/>
              <w:rPr>
                <w:rFonts w:cs="Arial"/>
                <w:color w:val="000000"/>
                <w:sz w:val="22"/>
              </w:rPr>
            </w:pPr>
          </w:p>
        </w:tc>
        <w:tc>
          <w:tcPr>
            <w:tcW w:w="2220" w:type="dxa"/>
            <w:vMerge/>
            <w:tcBorders>
              <w:top w:val="nil"/>
              <w:left w:val="single" w:sz="4" w:space="0" w:color="auto"/>
              <w:bottom w:val="single" w:sz="4" w:space="0" w:color="auto"/>
              <w:right w:val="single" w:sz="4" w:space="0" w:color="auto"/>
            </w:tcBorders>
            <w:vAlign w:val="center"/>
            <w:hideMark/>
          </w:tcPr>
          <w:p w14:paraId="66604BAA" w14:textId="77777777" w:rsidR="00F91D77" w:rsidRPr="00F91D77" w:rsidRDefault="00F91D77" w:rsidP="00F91D77">
            <w:pPr>
              <w:spacing w:line="240" w:lineRule="auto"/>
              <w:jc w:val="left"/>
              <w:rPr>
                <w:rFonts w:cs="Arial"/>
                <w:color w:val="000000"/>
                <w:sz w:val="22"/>
              </w:rPr>
            </w:pPr>
          </w:p>
        </w:tc>
      </w:tr>
      <w:tr w:rsidR="00F91D77" w:rsidRPr="00F91D77" w14:paraId="7F1B9F72" w14:textId="77777777" w:rsidTr="002139E7">
        <w:trPr>
          <w:trHeight w:val="403"/>
        </w:trPr>
        <w:tc>
          <w:tcPr>
            <w:tcW w:w="1700" w:type="dxa"/>
            <w:vMerge/>
            <w:tcBorders>
              <w:top w:val="nil"/>
              <w:left w:val="single" w:sz="4" w:space="0" w:color="auto"/>
              <w:bottom w:val="single" w:sz="4" w:space="0" w:color="auto"/>
              <w:right w:val="single" w:sz="4" w:space="0" w:color="auto"/>
            </w:tcBorders>
            <w:vAlign w:val="center"/>
            <w:hideMark/>
          </w:tcPr>
          <w:p w14:paraId="17CE9893" w14:textId="77777777" w:rsidR="00F91D77" w:rsidRPr="00F91D77" w:rsidRDefault="00F91D77" w:rsidP="00F91D77">
            <w:pPr>
              <w:spacing w:line="240" w:lineRule="auto"/>
              <w:jc w:val="left"/>
              <w:rPr>
                <w:rFonts w:cs="Arial"/>
                <w:color w:val="000000"/>
                <w:sz w:val="22"/>
              </w:rPr>
            </w:pPr>
          </w:p>
        </w:tc>
        <w:tc>
          <w:tcPr>
            <w:tcW w:w="3260" w:type="dxa"/>
            <w:vMerge/>
            <w:tcBorders>
              <w:top w:val="nil"/>
              <w:left w:val="single" w:sz="4" w:space="0" w:color="auto"/>
              <w:bottom w:val="single" w:sz="4" w:space="0" w:color="auto"/>
              <w:right w:val="single" w:sz="4" w:space="0" w:color="auto"/>
            </w:tcBorders>
            <w:vAlign w:val="center"/>
            <w:hideMark/>
          </w:tcPr>
          <w:p w14:paraId="6BBFF7E5" w14:textId="77777777" w:rsidR="00F91D77" w:rsidRPr="00F91D77" w:rsidRDefault="00F91D77" w:rsidP="00F91D77">
            <w:pPr>
              <w:spacing w:line="240" w:lineRule="auto"/>
              <w:jc w:val="left"/>
              <w:rPr>
                <w:rFonts w:cs="Arial"/>
                <w:color w:val="000000"/>
                <w:sz w:val="22"/>
              </w:rPr>
            </w:pPr>
          </w:p>
        </w:tc>
        <w:tc>
          <w:tcPr>
            <w:tcW w:w="2480" w:type="dxa"/>
            <w:vMerge/>
            <w:tcBorders>
              <w:top w:val="nil"/>
              <w:left w:val="single" w:sz="4" w:space="0" w:color="auto"/>
              <w:bottom w:val="single" w:sz="4" w:space="0" w:color="auto"/>
              <w:right w:val="single" w:sz="4" w:space="0" w:color="auto"/>
            </w:tcBorders>
            <w:vAlign w:val="center"/>
            <w:hideMark/>
          </w:tcPr>
          <w:p w14:paraId="3E960ABF" w14:textId="77777777" w:rsidR="00F91D77" w:rsidRPr="00F91D77" w:rsidRDefault="00F91D77" w:rsidP="00F91D77">
            <w:pPr>
              <w:spacing w:line="240" w:lineRule="auto"/>
              <w:jc w:val="left"/>
              <w:rPr>
                <w:rFonts w:cs="Arial"/>
                <w:color w:val="000000"/>
                <w:sz w:val="22"/>
              </w:rPr>
            </w:pPr>
          </w:p>
        </w:tc>
        <w:tc>
          <w:tcPr>
            <w:tcW w:w="2220" w:type="dxa"/>
            <w:vMerge/>
            <w:tcBorders>
              <w:top w:val="nil"/>
              <w:left w:val="single" w:sz="4" w:space="0" w:color="auto"/>
              <w:bottom w:val="single" w:sz="4" w:space="0" w:color="auto"/>
              <w:right w:val="single" w:sz="4" w:space="0" w:color="auto"/>
            </w:tcBorders>
            <w:vAlign w:val="center"/>
            <w:hideMark/>
          </w:tcPr>
          <w:p w14:paraId="1D271349" w14:textId="77777777" w:rsidR="00F91D77" w:rsidRPr="00F91D77" w:rsidRDefault="00F91D77" w:rsidP="00F91D77">
            <w:pPr>
              <w:spacing w:line="240" w:lineRule="auto"/>
              <w:jc w:val="left"/>
              <w:rPr>
                <w:rFonts w:cs="Arial"/>
                <w:color w:val="000000"/>
                <w:sz w:val="22"/>
              </w:rPr>
            </w:pPr>
          </w:p>
        </w:tc>
      </w:tr>
      <w:tr w:rsidR="00F91D77" w:rsidRPr="00F91D77" w14:paraId="349A90BE" w14:textId="77777777" w:rsidTr="002139E7">
        <w:trPr>
          <w:trHeight w:val="313"/>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61C0E700" w14:textId="77777777" w:rsidR="00F91D77" w:rsidRPr="00F91D77" w:rsidRDefault="00F91D77" w:rsidP="00F91D77">
            <w:pPr>
              <w:spacing w:line="240" w:lineRule="auto"/>
              <w:jc w:val="center"/>
              <w:rPr>
                <w:rFonts w:cs="Arial"/>
                <w:color w:val="000000"/>
                <w:sz w:val="22"/>
              </w:rPr>
            </w:pPr>
            <w:r w:rsidRPr="00F91D77">
              <w:rPr>
                <w:rFonts w:cs="Arial"/>
                <w:color w:val="000000"/>
                <w:sz w:val="22"/>
                <w:lang w:val="en-US"/>
              </w:rPr>
              <w:t>Régime hydrologique</w:t>
            </w:r>
          </w:p>
        </w:tc>
        <w:tc>
          <w:tcPr>
            <w:tcW w:w="3260" w:type="dxa"/>
            <w:tcBorders>
              <w:top w:val="nil"/>
              <w:left w:val="nil"/>
              <w:bottom w:val="single" w:sz="4" w:space="0" w:color="auto"/>
              <w:right w:val="single" w:sz="4" w:space="0" w:color="auto"/>
            </w:tcBorders>
            <w:shd w:val="clear" w:color="auto" w:fill="auto"/>
            <w:vAlign w:val="center"/>
            <w:hideMark/>
          </w:tcPr>
          <w:p w14:paraId="406ADE51" w14:textId="77777777" w:rsidR="00F91D77" w:rsidRPr="00F91D77" w:rsidRDefault="00F91D77" w:rsidP="00F91D77">
            <w:pPr>
              <w:spacing w:line="240" w:lineRule="auto"/>
              <w:jc w:val="left"/>
              <w:rPr>
                <w:rFonts w:cs="Arial"/>
                <w:color w:val="000000"/>
                <w:sz w:val="22"/>
              </w:rPr>
            </w:pPr>
            <w:r w:rsidRPr="00F91D77">
              <w:rPr>
                <w:rFonts w:cs="Arial"/>
                <w:color w:val="000000"/>
                <w:sz w:val="22"/>
                <w:lang w:val="en-US"/>
              </w:rPr>
              <w:t>Modification du drainage.</w:t>
            </w:r>
          </w:p>
        </w:tc>
        <w:tc>
          <w:tcPr>
            <w:tcW w:w="2480" w:type="dxa"/>
            <w:vMerge/>
            <w:tcBorders>
              <w:top w:val="nil"/>
              <w:left w:val="single" w:sz="4" w:space="0" w:color="auto"/>
              <w:bottom w:val="single" w:sz="4" w:space="0" w:color="auto"/>
              <w:right w:val="single" w:sz="4" w:space="0" w:color="auto"/>
            </w:tcBorders>
            <w:vAlign w:val="center"/>
            <w:hideMark/>
          </w:tcPr>
          <w:p w14:paraId="5EDF91CE" w14:textId="77777777" w:rsidR="00F91D77" w:rsidRPr="00F91D77" w:rsidRDefault="00F91D77" w:rsidP="00F91D77">
            <w:pPr>
              <w:spacing w:line="240" w:lineRule="auto"/>
              <w:jc w:val="left"/>
              <w:rPr>
                <w:rFonts w:cs="Arial"/>
                <w:color w:val="000000"/>
                <w:sz w:val="22"/>
              </w:rPr>
            </w:pPr>
          </w:p>
        </w:tc>
        <w:tc>
          <w:tcPr>
            <w:tcW w:w="2220" w:type="dxa"/>
            <w:vMerge/>
            <w:tcBorders>
              <w:top w:val="nil"/>
              <w:left w:val="single" w:sz="4" w:space="0" w:color="auto"/>
              <w:bottom w:val="single" w:sz="4" w:space="0" w:color="auto"/>
              <w:right w:val="single" w:sz="4" w:space="0" w:color="auto"/>
            </w:tcBorders>
            <w:vAlign w:val="center"/>
            <w:hideMark/>
          </w:tcPr>
          <w:p w14:paraId="41E97782" w14:textId="77777777" w:rsidR="00F91D77" w:rsidRPr="00F91D77" w:rsidRDefault="00F91D77" w:rsidP="00F91D77">
            <w:pPr>
              <w:spacing w:line="240" w:lineRule="auto"/>
              <w:jc w:val="left"/>
              <w:rPr>
                <w:rFonts w:cs="Arial"/>
                <w:color w:val="000000"/>
                <w:sz w:val="22"/>
              </w:rPr>
            </w:pPr>
          </w:p>
        </w:tc>
      </w:tr>
      <w:tr w:rsidR="00F91D77" w:rsidRPr="00F91D77" w14:paraId="5A690AC5" w14:textId="77777777" w:rsidTr="002139E7">
        <w:trPr>
          <w:trHeight w:val="544"/>
        </w:trPr>
        <w:tc>
          <w:tcPr>
            <w:tcW w:w="1700" w:type="dxa"/>
            <w:vMerge/>
            <w:tcBorders>
              <w:top w:val="nil"/>
              <w:left w:val="single" w:sz="4" w:space="0" w:color="auto"/>
              <w:bottom w:val="single" w:sz="4" w:space="0" w:color="auto"/>
              <w:right w:val="single" w:sz="4" w:space="0" w:color="auto"/>
            </w:tcBorders>
            <w:vAlign w:val="center"/>
            <w:hideMark/>
          </w:tcPr>
          <w:p w14:paraId="28AF8CAF"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71B4F03C" w14:textId="77777777" w:rsidR="00F91D77" w:rsidRPr="00F91D77" w:rsidRDefault="00F91D77" w:rsidP="00F91D77">
            <w:pPr>
              <w:spacing w:line="240" w:lineRule="auto"/>
              <w:rPr>
                <w:rFonts w:cs="Arial"/>
                <w:color w:val="000000"/>
                <w:sz w:val="22"/>
              </w:rPr>
            </w:pPr>
            <w:r w:rsidRPr="009D03CE">
              <w:rPr>
                <w:rFonts w:cs="Arial"/>
                <w:color w:val="000000"/>
                <w:sz w:val="22"/>
              </w:rPr>
              <w:t>Modification de l’écoulement des eaux de surface.</w:t>
            </w:r>
          </w:p>
        </w:tc>
        <w:tc>
          <w:tcPr>
            <w:tcW w:w="2480" w:type="dxa"/>
            <w:vMerge/>
            <w:tcBorders>
              <w:top w:val="nil"/>
              <w:left w:val="single" w:sz="4" w:space="0" w:color="auto"/>
              <w:bottom w:val="single" w:sz="4" w:space="0" w:color="auto"/>
              <w:right w:val="single" w:sz="4" w:space="0" w:color="auto"/>
            </w:tcBorders>
            <w:vAlign w:val="center"/>
            <w:hideMark/>
          </w:tcPr>
          <w:p w14:paraId="457125C2" w14:textId="77777777" w:rsidR="00F91D77" w:rsidRPr="00F91D77" w:rsidRDefault="00F91D77" w:rsidP="00F91D77">
            <w:pPr>
              <w:spacing w:line="240" w:lineRule="auto"/>
              <w:jc w:val="left"/>
              <w:rPr>
                <w:rFonts w:cs="Arial"/>
                <w:color w:val="000000"/>
                <w:sz w:val="22"/>
              </w:rPr>
            </w:pPr>
          </w:p>
        </w:tc>
        <w:tc>
          <w:tcPr>
            <w:tcW w:w="2220" w:type="dxa"/>
            <w:vMerge/>
            <w:tcBorders>
              <w:top w:val="nil"/>
              <w:left w:val="single" w:sz="4" w:space="0" w:color="auto"/>
              <w:bottom w:val="single" w:sz="4" w:space="0" w:color="auto"/>
              <w:right w:val="single" w:sz="4" w:space="0" w:color="auto"/>
            </w:tcBorders>
            <w:vAlign w:val="center"/>
            <w:hideMark/>
          </w:tcPr>
          <w:p w14:paraId="20C255FA" w14:textId="77777777" w:rsidR="00F91D77" w:rsidRPr="00F91D77" w:rsidRDefault="00F91D77" w:rsidP="00F91D77">
            <w:pPr>
              <w:spacing w:line="240" w:lineRule="auto"/>
              <w:jc w:val="left"/>
              <w:rPr>
                <w:rFonts w:cs="Arial"/>
                <w:color w:val="000000"/>
                <w:sz w:val="22"/>
              </w:rPr>
            </w:pPr>
          </w:p>
        </w:tc>
      </w:tr>
      <w:tr w:rsidR="00F91D77" w:rsidRPr="00F91D77" w14:paraId="33C36605" w14:textId="77777777" w:rsidTr="00F91D77">
        <w:trPr>
          <w:trHeight w:val="768"/>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0ACF1531" w14:textId="77777777" w:rsidR="00F91D77" w:rsidRPr="00F91D77" w:rsidRDefault="00F91D77" w:rsidP="00F91D77">
            <w:pPr>
              <w:spacing w:line="240" w:lineRule="auto"/>
              <w:jc w:val="center"/>
              <w:rPr>
                <w:rFonts w:cs="Arial"/>
                <w:color w:val="000000"/>
                <w:sz w:val="22"/>
              </w:rPr>
            </w:pPr>
            <w:r w:rsidRPr="00F91D77">
              <w:rPr>
                <w:rFonts w:cs="Arial"/>
                <w:color w:val="000000"/>
                <w:sz w:val="22"/>
                <w:lang w:val="en-US"/>
              </w:rPr>
              <w:t>Qualité des sols</w:t>
            </w:r>
          </w:p>
        </w:tc>
        <w:tc>
          <w:tcPr>
            <w:tcW w:w="3260" w:type="dxa"/>
            <w:tcBorders>
              <w:top w:val="nil"/>
              <w:left w:val="nil"/>
              <w:bottom w:val="single" w:sz="4" w:space="0" w:color="auto"/>
              <w:right w:val="single" w:sz="4" w:space="0" w:color="auto"/>
            </w:tcBorders>
            <w:shd w:val="clear" w:color="auto" w:fill="auto"/>
            <w:vAlign w:val="center"/>
            <w:hideMark/>
          </w:tcPr>
          <w:p w14:paraId="456CA250" w14:textId="77777777" w:rsidR="00F91D77" w:rsidRPr="00F91D77" w:rsidRDefault="00F91D77" w:rsidP="00F91D77">
            <w:pPr>
              <w:spacing w:line="240" w:lineRule="auto"/>
              <w:jc w:val="left"/>
              <w:rPr>
                <w:rFonts w:cs="Arial"/>
                <w:color w:val="000000"/>
                <w:sz w:val="22"/>
              </w:rPr>
            </w:pPr>
            <w:r w:rsidRPr="009D03CE">
              <w:rPr>
                <w:rFonts w:cs="Arial"/>
                <w:color w:val="000000"/>
                <w:sz w:val="22"/>
              </w:rPr>
              <w:t>Pollution du sol et risque d'érosion et déstabilisation des sols.</w:t>
            </w:r>
          </w:p>
        </w:tc>
        <w:tc>
          <w:tcPr>
            <w:tcW w:w="2480" w:type="dxa"/>
            <w:tcBorders>
              <w:top w:val="nil"/>
              <w:left w:val="nil"/>
              <w:bottom w:val="single" w:sz="4" w:space="0" w:color="auto"/>
              <w:right w:val="single" w:sz="4" w:space="0" w:color="auto"/>
            </w:tcBorders>
            <w:shd w:val="clear" w:color="auto" w:fill="auto"/>
            <w:noWrap/>
            <w:vAlign w:val="center"/>
            <w:hideMark/>
          </w:tcPr>
          <w:p w14:paraId="739BA2AA"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 et 3</w:t>
            </w:r>
          </w:p>
        </w:tc>
        <w:tc>
          <w:tcPr>
            <w:tcW w:w="2220" w:type="dxa"/>
            <w:tcBorders>
              <w:top w:val="nil"/>
              <w:left w:val="nil"/>
              <w:bottom w:val="single" w:sz="4" w:space="0" w:color="auto"/>
              <w:right w:val="single" w:sz="4" w:space="0" w:color="auto"/>
            </w:tcBorders>
            <w:shd w:val="clear" w:color="auto" w:fill="auto"/>
            <w:noWrap/>
            <w:vAlign w:val="center"/>
            <w:hideMark/>
          </w:tcPr>
          <w:p w14:paraId="34BC382A"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w:t>
            </w:r>
          </w:p>
        </w:tc>
      </w:tr>
      <w:tr w:rsidR="00F91D77" w:rsidRPr="00F91D77" w14:paraId="1E2AA1F8" w14:textId="77777777" w:rsidTr="002139E7">
        <w:trPr>
          <w:trHeight w:val="1369"/>
        </w:trPr>
        <w:tc>
          <w:tcPr>
            <w:tcW w:w="1700" w:type="dxa"/>
            <w:vMerge/>
            <w:tcBorders>
              <w:top w:val="nil"/>
              <w:left w:val="single" w:sz="4" w:space="0" w:color="auto"/>
              <w:bottom w:val="single" w:sz="4" w:space="0" w:color="auto"/>
              <w:right w:val="single" w:sz="4" w:space="0" w:color="auto"/>
            </w:tcBorders>
            <w:vAlign w:val="center"/>
            <w:hideMark/>
          </w:tcPr>
          <w:p w14:paraId="6A2DA196"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739CD42D" w14:textId="77777777" w:rsidR="00F91D77" w:rsidRPr="00F91D77" w:rsidRDefault="00F91D77" w:rsidP="00F91D77">
            <w:pPr>
              <w:spacing w:line="240" w:lineRule="auto"/>
              <w:jc w:val="left"/>
              <w:rPr>
                <w:rFonts w:cs="Arial"/>
                <w:color w:val="000000"/>
                <w:sz w:val="22"/>
              </w:rPr>
            </w:pPr>
            <w:r w:rsidRPr="009D03CE">
              <w:rPr>
                <w:rFonts w:cs="Arial"/>
                <w:color w:val="000000"/>
                <w:sz w:val="22"/>
              </w:rPr>
              <w:t>Dégradation de la qualité des sols engendrée par le rejet accidentel de contaminants ou les déchets des emballages des pesticides ou autres.</w:t>
            </w:r>
          </w:p>
        </w:tc>
        <w:tc>
          <w:tcPr>
            <w:tcW w:w="2480" w:type="dxa"/>
            <w:tcBorders>
              <w:top w:val="nil"/>
              <w:left w:val="nil"/>
              <w:bottom w:val="single" w:sz="4" w:space="0" w:color="auto"/>
              <w:right w:val="single" w:sz="4" w:space="0" w:color="auto"/>
            </w:tcBorders>
            <w:shd w:val="clear" w:color="auto" w:fill="auto"/>
            <w:noWrap/>
            <w:vAlign w:val="center"/>
            <w:hideMark/>
          </w:tcPr>
          <w:p w14:paraId="6284B6A2"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 et 4</w:t>
            </w:r>
          </w:p>
        </w:tc>
        <w:tc>
          <w:tcPr>
            <w:tcW w:w="2220" w:type="dxa"/>
            <w:tcBorders>
              <w:top w:val="nil"/>
              <w:left w:val="nil"/>
              <w:bottom w:val="single" w:sz="4" w:space="0" w:color="auto"/>
              <w:right w:val="single" w:sz="4" w:space="0" w:color="auto"/>
            </w:tcBorders>
            <w:shd w:val="clear" w:color="auto" w:fill="auto"/>
            <w:noWrap/>
            <w:vAlign w:val="center"/>
            <w:hideMark/>
          </w:tcPr>
          <w:p w14:paraId="185F6176"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 et PGP</w:t>
            </w:r>
          </w:p>
        </w:tc>
      </w:tr>
      <w:tr w:rsidR="00F91D77" w:rsidRPr="00F91D77" w14:paraId="23A13F33" w14:textId="77777777" w:rsidTr="00F91D77">
        <w:trPr>
          <w:trHeight w:val="768"/>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6494601D" w14:textId="77777777" w:rsidR="00F91D77" w:rsidRPr="00F91D77" w:rsidRDefault="00F91D77" w:rsidP="00F91D77">
            <w:pPr>
              <w:spacing w:line="240" w:lineRule="auto"/>
              <w:jc w:val="center"/>
              <w:rPr>
                <w:rFonts w:cs="Arial"/>
                <w:color w:val="000000"/>
                <w:sz w:val="22"/>
              </w:rPr>
            </w:pPr>
            <w:r w:rsidRPr="00F91D77">
              <w:rPr>
                <w:rFonts w:cs="Arial"/>
                <w:color w:val="000000"/>
                <w:sz w:val="22"/>
                <w:lang w:val="en-US"/>
              </w:rPr>
              <w:t>Végétation</w:t>
            </w:r>
          </w:p>
        </w:tc>
        <w:tc>
          <w:tcPr>
            <w:tcW w:w="3260" w:type="dxa"/>
            <w:tcBorders>
              <w:top w:val="nil"/>
              <w:left w:val="nil"/>
              <w:bottom w:val="single" w:sz="4" w:space="0" w:color="auto"/>
              <w:right w:val="single" w:sz="4" w:space="0" w:color="auto"/>
            </w:tcBorders>
            <w:shd w:val="clear" w:color="auto" w:fill="auto"/>
            <w:vAlign w:val="center"/>
            <w:hideMark/>
          </w:tcPr>
          <w:p w14:paraId="2B381B24" w14:textId="77777777" w:rsidR="00F91D77" w:rsidRPr="00F91D77" w:rsidRDefault="00F91D77" w:rsidP="00F91D77">
            <w:pPr>
              <w:spacing w:line="240" w:lineRule="auto"/>
              <w:jc w:val="left"/>
              <w:rPr>
                <w:rFonts w:cs="Arial"/>
                <w:color w:val="000000"/>
                <w:sz w:val="22"/>
              </w:rPr>
            </w:pPr>
            <w:r w:rsidRPr="009D03CE">
              <w:rPr>
                <w:rFonts w:cs="Arial"/>
                <w:color w:val="000000"/>
                <w:sz w:val="22"/>
              </w:rPr>
              <w:t>Dommages aux arbres, arbustes et autres végétaux.</w:t>
            </w:r>
          </w:p>
        </w:tc>
        <w:tc>
          <w:tcPr>
            <w:tcW w:w="24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760F6B"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 et 6</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3A3F75"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w:t>
            </w:r>
          </w:p>
        </w:tc>
      </w:tr>
      <w:tr w:rsidR="00F91D77" w:rsidRPr="00F91D77" w14:paraId="7FEADA09" w14:textId="77777777" w:rsidTr="00F91D77">
        <w:trPr>
          <w:trHeight w:val="828"/>
        </w:trPr>
        <w:tc>
          <w:tcPr>
            <w:tcW w:w="1700" w:type="dxa"/>
            <w:vMerge/>
            <w:tcBorders>
              <w:top w:val="nil"/>
              <w:left w:val="single" w:sz="4" w:space="0" w:color="auto"/>
              <w:bottom w:val="single" w:sz="4" w:space="0" w:color="auto"/>
              <w:right w:val="single" w:sz="4" w:space="0" w:color="auto"/>
            </w:tcBorders>
            <w:vAlign w:val="center"/>
            <w:hideMark/>
          </w:tcPr>
          <w:p w14:paraId="7C025D3E"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01C00BF0" w14:textId="77777777" w:rsidR="00F91D77" w:rsidRPr="00F91D77" w:rsidRDefault="00F91D77" w:rsidP="00F91D77">
            <w:pPr>
              <w:spacing w:line="240" w:lineRule="auto"/>
              <w:jc w:val="left"/>
              <w:rPr>
                <w:rFonts w:cs="Arial"/>
                <w:color w:val="000000"/>
                <w:sz w:val="22"/>
              </w:rPr>
            </w:pPr>
            <w:r w:rsidRPr="009D03CE">
              <w:rPr>
                <w:rFonts w:cs="Arial"/>
                <w:color w:val="000000"/>
                <w:sz w:val="22"/>
              </w:rPr>
              <w:t xml:space="preserve">Risque des pertes de biodiversité, d’espaces agricoles et d’habitats fauniques </w:t>
            </w:r>
          </w:p>
        </w:tc>
        <w:tc>
          <w:tcPr>
            <w:tcW w:w="2480" w:type="dxa"/>
            <w:vMerge/>
            <w:tcBorders>
              <w:top w:val="nil"/>
              <w:left w:val="single" w:sz="4" w:space="0" w:color="auto"/>
              <w:bottom w:val="single" w:sz="4" w:space="0" w:color="auto"/>
              <w:right w:val="single" w:sz="4" w:space="0" w:color="auto"/>
            </w:tcBorders>
            <w:vAlign w:val="center"/>
            <w:hideMark/>
          </w:tcPr>
          <w:p w14:paraId="3F96A5C4" w14:textId="77777777" w:rsidR="00F91D77" w:rsidRPr="00F91D77" w:rsidRDefault="00F91D77" w:rsidP="00F91D77">
            <w:pPr>
              <w:spacing w:line="240" w:lineRule="auto"/>
              <w:jc w:val="left"/>
              <w:rPr>
                <w:rFonts w:cs="Arial"/>
                <w:color w:val="000000"/>
                <w:sz w:val="22"/>
              </w:rPr>
            </w:pPr>
          </w:p>
        </w:tc>
        <w:tc>
          <w:tcPr>
            <w:tcW w:w="2220" w:type="dxa"/>
            <w:vMerge/>
            <w:tcBorders>
              <w:top w:val="nil"/>
              <w:left w:val="single" w:sz="4" w:space="0" w:color="auto"/>
              <w:bottom w:val="single" w:sz="4" w:space="0" w:color="auto"/>
              <w:right w:val="single" w:sz="4" w:space="0" w:color="auto"/>
            </w:tcBorders>
            <w:vAlign w:val="center"/>
            <w:hideMark/>
          </w:tcPr>
          <w:p w14:paraId="11623729" w14:textId="77777777" w:rsidR="00F91D77" w:rsidRPr="00F91D77" w:rsidRDefault="00F91D77" w:rsidP="00F91D77">
            <w:pPr>
              <w:spacing w:line="240" w:lineRule="auto"/>
              <w:jc w:val="left"/>
              <w:rPr>
                <w:rFonts w:cs="Arial"/>
                <w:color w:val="000000"/>
                <w:sz w:val="22"/>
              </w:rPr>
            </w:pPr>
          </w:p>
        </w:tc>
      </w:tr>
      <w:tr w:rsidR="00F91D77" w:rsidRPr="00F91D77" w14:paraId="23AD64B9" w14:textId="77777777" w:rsidTr="002139E7">
        <w:trPr>
          <w:trHeight w:val="1112"/>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FBB89AC" w14:textId="77777777" w:rsidR="00F91D77" w:rsidRPr="00F91D77" w:rsidRDefault="00F91D77" w:rsidP="00F91D77">
            <w:pPr>
              <w:spacing w:line="240" w:lineRule="auto"/>
              <w:jc w:val="center"/>
              <w:rPr>
                <w:rFonts w:cs="Arial"/>
                <w:color w:val="000000"/>
                <w:sz w:val="22"/>
              </w:rPr>
            </w:pPr>
            <w:r w:rsidRPr="00F91D77">
              <w:rPr>
                <w:rFonts w:cs="Arial"/>
                <w:color w:val="000000"/>
                <w:sz w:val="22"/>
                <w:lang w:val="en-US"/>
              </w:rPr>
              <w:t>Faune</w:t>
            </w:r>
          </w:p>
        </w:tc>
        <w:tc>
          <w:tcPr>
            <w:tcW w:w="3260" w:type="dxa"/>
            <w:tcBorders>
              <w:top w:val="nil"/>
              <w:left w:val="nil"/>
              <w:bottom w:val="single" w:sz="4" w:space="0" w:color="auto"/>
              <w:right w:val="single" w:sz="4" w:space="0" w:color="auto"/>
            </w:tcBorders>
            <w:shd w:val="clear" w:color="auto" w:fill="auto"/>
            <w:vAlign w:val="center"/>
            <w:hideMark/>
          </w:tcPr>
          <w:p w14:paraId="089D75D0" w14:textId="77777777" w:rsidR="00F91D77" w:rsidRPr="00F91D77" w:rsidRDefault="00F91D77" w:rsidP="00F91D77">
            <w:pPr>
              <w:spacing w:line="240" w:lineRule="auto"/>
              <w:jc w:val="left"/>
              <w:rPr>
                <w:rFonts w:cs="Arial"/>
                <w:color w:val="000000"/>
                <w:sz w:val="22"/>
              </w:rPr>
            </w:pPr>
            <w:r w:rsidRPr="009D03CE">
              <w:rPr>
                <w:rFonts w:cs="Arial"/>
                <w:color w:val="000000"/>
                <w:sz w:val="22"/>
              </w:rPr>
              <w:t>Perte de la faune suite aux travaux agricoles</w:t>
            </w:r>
          </w:p>
        </w:tc>
        <w:tc>
          <w:tcPr>
            <w:tcW w:w="2480" w:type="dxa"/>
            <w:tcBorders>
              <w:top w:val="nil"/>
              <w:left w:val="nil"/>
              <w:bottom w:val="single" w:sz="4" w:space="0" w:color="auto"/>
              <w:right w:val="single" w:sz="4" w:space="0" w:color="auto"/>
            </w:tcBorders>
            <w:shd w:val="clear" w:color="auto" w:fill="auto"/>
            <w:noWrap/>
            <w:vAlign w:val="center"/>
            <w:hideMark/>
          </w:tcPr>
          <w:p w14:paraId="1BBD5673"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 et 6</w:t>
            </w:r>
          </w:p>
        </w:tc>
        <w:tc>
          <w:tcPr>
            <w:tcW w:w="2220" w:type="dxa"/>
            <w:tcBorders>
              <w:top w:val="nil"/>
              <w:left w:val="nil"/>
              <w:bottom w:val="single" w:sz="4" w:space="0" w:color="auto"/>
              <w:right w:val="single" w:sz="4" w:space="0" w:color="auto"/>
            </w:tcBorders>
            <w:shd w:val="clear" w:color="auto" w:fill="auto"/>
            <w:vAlign w:val="center"/>
            <w:hideMark/>
          </w:tcPr>
          <w:p w14:paraId="49AA41DC" w14:textId="77777777" w:rsidR="00F91D77" w:rsidRPr="00F91D77" w:rsidRDefault="008903B7" w:rsidP="00F91D77">
            <w:pPr>
              <w:spacing w:line="240" w:lineRule="auto"/>
              <w:jc w:val="left"/>
              <w:rPr>
                <w:rFonts w:cs="Arial"/>
                <w:color w:val="000000"/>
                <w:sz w:val="22"/>
              </w:rPr>
            </w:pPr>
            <w:r>
              <w:rPr>
                <w:rFonts w:cs="Arial"/>
                <w:color w:val="000000"/>
                <w:sz w:val="22"/>
              </w:rPr>
              <w:t xml:space="preserve">CGES, </w:t>
            </w:r>
            <w:r w:rsidR="00F91D77" w:rsidRPr="00F91D77">
              <w:rPr>
                <w:rFonts w:cs="Arial"/>
                <w:color w:val="000000"/>
                <w:sz w:val="22"/>
              </w:rPr>
              <w:t>EIES / PGES et Plan de Gestion de la Biodiversité (PGB)</w:t>
            </w:r>
          </w:p>
        </w:tc>
      </w:tr>
      <w:tr w:rsidR="00F91D77" w:rsidRPr="00F91D77" w14:paraId="2845AE12" w14:textId="77777777" w:rsidTr="002139E7">
        <w:trPr>
          <w:trHeight w:val="547"/>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4DFDD1D7" w14:textId="77777777" w:rsidR="00F91D77" w:rsidRPr="00F91D77" w:rsidRDefault="00F91D77" w:rsidP="00F91D77">
            <w:pPr>
              <w:spacing w:line="240" w:lineRule="auto"/>
              <w:jc w:val="center"/>
              <w:rPr>
                <w:rFonts w:cs="Arial"/>
                <w:color w:val="000000"/>
                <w:sz w:val="22"/>
              </w:rPr>
            </w:pPr>
            <w:r w:rsidRPr="00F91D77">
              <w:rPr>
                <w:rFonts w:cs="Arial"/>
                <w:color w:val="000000"/>
                <w:sz w:val="22"/>
              </w:rPr>
              <w:t>Milieu humain</w:t>
            </w:r>
          </w:p>
        </w:tc>
        <w:tc>
          <w:tcPr>
            <w:tcW w:w="3260" w:type="dxa"/>
            <w:tcBorders>
              <w:top w:val="nil"/>
              <w:left w:val="nil"/>
              <w:bottom w:val="single" w:sz="4" w:space="0" w:color="auto"/>
              <w:right w:val="single" w:sz="4" w:space="0" w:color="auto"/>
            </w:tcBorders>
            <w:shd w:val="clear" w:color="auto" w:fill="auto"/>
            <w:vAlign w:val="center"/>
            <w:hideMark/>
          </w:tcPr>
          <w:p w14:paraId="1D680DA2" w14:textId="77777777" w:rsidR="00F91D77" w:rsidRPr="00F91D77" w:rsidRDefault="00F91D77" w:rsidP="00F91D77">
            <w:pPr>
              <w:spacing w:line="240" w:lineRule="auto"/>
              <w:jc w:val="left"/>
              <w:rPr>
                <w:rFonts w:cs="Arial"/>
                <w:color w:val="000000"/>
                <w:sz w:val="22"/>
              </w:rPr>
            </w:pPr>
            <w:r w:rsidRPr="009D03CE">
              <w:rPr>
                <w:rFonts w:cs="Arial"/>
                <w:color w:val="000000"/>
                <w:sz w:val="22"/>
              </w:rPr>
              <w:t>Déplacement de population de façon permanente.</w:t>
            </w:r>
          </w:p>
        </w:tc>
        <w:tc>
          <w:tcPr>
            <w:tcW w:w="2480" w:type="dxa"/>
            <w:tcBorders>
              <w:top w:val="nil"/>
              <w:left w:val="nil"/>
              <w:bottom w:val="single" w:sz="4" w:space="0" w:color="auto"/>
              <w:right w:val="single" w:sz="4" w:space="0" w:color="auto"/>
            </w:tcBorders>
            <w:shd w:val="clear" w:color="auto" w:fill="auto"/>
            <w:noWrap/>
            <w:vAlign w:val="center"/>
            <w:hideMark/>
          </w:tcPr>
          <w:p w14:paraId="3BDFC23D"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 et 5</w:t>
            </w:r>
          </w:p>
        </w:tc>
        <w:tc>
          <w:tcPr>
            <w:tcW w:w="2220" w:type="dxa"/>
            <w:tcBorders>
              <w:top w:val="nil"/>
              <w:left w:val="nil"/>
              <w:bottom w:val="single" w:sz="4" w:space="0" w:color="auto"/>
              <w:right w:val="single" w:sz="4" w:space="0" w:color="auto"/>
            </w:tcBorders>
            <w:shd w:val="clear" w:color="auto" w:fill="auto"/>
            <w:vAlign w:val="center"/>
            <w:hideMark/>
          </w:tcPr>
          <w:p w14:paraId="122B7574" w14:textId="77777777" w:rsidR="00F91D77" w:rsidRPr="00F91D77" w:rsidRDefault="00F91D77" w:rsidP="00F91D77">
            <w:pPr>
              <w:spacing w:line="240" w:lineRule="auto"/>
              <w:jc w:val="center"/>
              <w:rPr>
                <w:rFonts w:cs="Arial"/>
                <w:color w:val="000000"/>
                <w:sz w:val="22"/>
              </w:rPr>
            </w:pPr>
            <w:r w:rsidRPr="00F91D77">
              <w:rPr>
                <w:rFonts w:cs="Arial"/>
                <w:color w:val="000000"/>
                <w:sz w:val="22"/>
              </w:rPr>
              <w:t>CPR et PAR</w:t>
            </w:r>
          </w:p>
        </w:tc>
      </w:tr>
      <w:tr w:rsidR="00F91D77" w:rsidRPr="00F91D77" w14:paraId="42D03AFF" w14:textId="77777777" w:rsidTr="002139E7">
        <w:trPr>
          <w:trHeight w:val="838"/>
        </w:trPr>
        <w:tc>
          <w:tcPr>
            <w:tcW w:w="1700" w:type="dxa"/>
            <w:vMerge/>
            <w:tcBorders>
              <w:top w:val="nil"/>
              <w:left w:val="single" w:sz="4" w:space="0" w:color="auto"/>
              <w:bottom w:val="single" w:sz="4" w:space="0" w:color="auto"/>
              <w:right w:val="single" w:sz="4" w:space="0" w:color="auto"/>
            </w:tcBorders>
            <w:vAlign w:val="center"/>
            <w:hideMark/>
          </w:tcPr>
          <w:p w14:paraId="1433B498"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1EA3ECB5" w14:textId="77777777" w:rsidR="00F91D77" w:rsidRPr="00F91D77" w:rsidRDefault="00F91D77" w:rsidP="00F91D77">
            <w:pPr>
              <w:spacing w:line="240" w:lineRule="auto"/>
              <w:jc w:val="left"/>
              <w:rPr>
                <w:rFonts w:cs="Arial"/>
                <w:color w:val="000000"/>
                <w:sz w:val="22"/>
              </w:rPr>
            </w:pPr>
            <w:r w:rsidRPr="00F91D77">
              <w:rPr>
                <w:rFonts w:cs="Arial"/>
                <w:color w:val="000000"/>
                <w:sz w:val="22"/>
              </w:rPr>
              <w:t>Présence des population</w:t>
            </w:r>
            <w:r w:rsidR="009D03CE">
              <w:rPr>
                <w:rFonts w:cs="Arial"/>
                <w:color w:val="000000"/>
                <w:sz w:val="22"/>
              </w:rPr>
              <w:t>s</w:t>
            </w:r>
            <w:r w:rsidRPr="00F91D77">
              <w:rPr>
                <w:rFonts w:cs="Arial"/>
                <w:color w:val="000000"/>
                <w:sz w:val="22"/>
              </w:rPr>
              <w:t xml:space="preserve"> autochtone</w:t>
            </w:r>
            <w:r w:rsidR="009D03CE">
              <w:rPr>
                <w:rFonts w:cs="Arial"/>
                <w:color w:val="000000"/>
                <w:sz w:val="22"/>
              </w:rPr>
              <w:t>s</w:t>
            </w:r>
            <w:r w:rsidRPr="00F91D77">
              <w:rPr>
                <w:rFonts w:cs="Arial"/>
                <w:color w:val="000000"/>
                <w:sz w:val="22"/>
              </w:rPr>
              <w:t xml:space="preserve"> dans les Province concernée par le PNDA</w:t>
            </w:r>
          </w:p>
        </w:tc>
        <w:tc>
          <w:tcPr>
            <w:tcW w:w="24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BCAC28"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 et 7</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252A30" w14:textId="77777777" w:rsidR="00F91D77" w:rsidRPr="00F91D77" w:rsidRDefault="00F91D77" w:rsidP="00F91D77">
            <w:pPr>
              <w:spacing w:line="240" w:lineRule="auto"/>
              <w:jc w:val="center"/>
              <w:rPr>
                <w:rFonts w:cs="Arial"/>
                <w:color w:val="000000"/>
                <w:sz w:val="22"/>
              </w:rPr>
            </w:pPr>
            <w:r w:rsidRPr="00F91D77">
              <w:rPr>
                <w:rFonts w:cs="Arial"/>
                <w:color w:val="000000"/>
                <w:sz w:val="22"/>
              </w:rPr>
              <w:t>CPPA et PPA</w:t>
            </w:r>
          </w:p>
        </w:tc>
      </w:tr>
      <w:tr w:rsidR="00F91D77" w:rsidRPr="00F91D77" w14:paraId="3CBDDE90" w14:textId="77777777" w:rsidTr="002139E7">
        <w:trPr>
          <w:trHeight w:val="1559"/>
        </w:trPr>
        <w:tc>
          <w:tcPr>
            <w:tcW w:w="1700" w:type="dxa"/>
            <w:vMerge/>
            <w:tcBorders>
              <w:top w:val="nil"/>
              <w:left w:val="single" w:sz="4" w:space="0" w:color="auto"/>
              <w:bottom w:val="single" w:sz="4" w:space="0" w:color="auto"/>
              <w:right w:val="single" w:sz="4" w:space="0" w:color="auto"/>
            </w:tcBorders>
            <w:vAlign w:val="center"/>
            <w:hideMark/>
          </w:tcPr>
          <w:p w14:paraId="49740E05"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044AB74D" w14:textId="77777777" w:rsidR="00F91D77" w:rsidRPr="00F91D77" w:rsidRDefault="00F91D77" w:rsidP="00F91D77">
            <w:pPr>
              <w:spacing w:line="240" w:lineRule="auto"/>
              <w:jc w:val="left"/>
              <w:rPr>
                <w:rFonts w:cs="Arial"/>
                <w:color w:val="000000"/>
                <w:sz w:val="22"/>
              </w:rPr>
            </w:pPr>
            <w:r w:rsidRPr="009D03CE">
              <w:rPr>
                <w:rFonts w:cs="Arial"/>
                <w:color w:val="000000"/>
                <w:sz w:val="22"/>
              </w:rPr>
              <w:t>Risque de non implication des populations autochtones et d’autres groupes vulnérables comme les personnes vivant avec handicap, les vieillards, les jeunes filles/femmes, etc.</w:t>
            </w:r>
          </w:p>
        </w:tc>
        <w:tc>
          <w:tcPr>
            <w:tcW w:w="2480" w:type="dxa"/>
            <w:vMerge/>
            <w:tcBorders>
              <w:top w:val="nil"/>
              <w:left w:val="single" w:sz="4" w:space="0" w:color="auto"/>
              <w:bottom w:val="single" w:sz="4" w:space="0" w:color="auto"/>
              <w:right w:val="single" w:sz="4" w:space="0" w:color="auto"/>
            </w:tcBorders>
            <w:vAlign w:val="center"/>
            <w:hideMark/>
          </w:tcPr>
          <w:p w14:paraId="4166C483" w14:textId="77777777" w:rsidR="00F91D77" w:rsidRPr="00F91D77" w:rsidRDefault="00F91D77" w:rsidP="00F91D77">
            <w:pPr>
              <w:spacing w:line="240" w:lineRule="auto"/>
              <w:jc w:val="left"/>
              <w:rPr>
                <w:rFonts w:cs="Arial"/>
                <w:color w:val="000000"/>
                <w:sz w:val="22"/>
              </w:rPr>
            </w:pPr>
          </w:p>
        </w:tc>
        <w:tc>
          <w:tcPr>
            <w:tcW w:w="2220" w:type="dxa"/>
            <w:vMerge/>
            <w:tcBorders>
              <w:top w:val="nil"/>
              <w:left w:val="single" w:sz="4" w:space="0" w:color="auto"/>
              <w:bottom w:val="single" w:sz="4" w:space="0" w:color="auto"/>
              <w:right w:val="single" w:sz="4" w:space="0" w:color="auto"/>
            </w:tcBorders>
            <w:vAlign w:val="center"/>
            <w:hideMark/>
          </w:tcPr>
          <w:p w14:paraId="1E8DB0A1" w14:textId="77777777" w:rsidR="00F91D77" w:rsidRPr="00F91D77" w:rsidRDefault="00F91D77" w:rsidP="00F91D77">
            <w:pPr>
              <w:spacing w:line="240" w:lineRule="auto"/>
              <w:jc w:val="left"/>
              <w:rPr>
                <w:rFonts w:cs="Arial"/>
                <w:color w:val="000000"/>
                <w:sz w:val="22"/>
              </w:rPr>
            </w:pPr>
          </w:p>
        </w:tc>
      </w:tr>
      <w:tr w:rsidR="00F91D77" w:rsidRPr="00F91D77" w14:paraId="43A48C9C" w14:textId="77777777" w:rsidTr="002139E7">
        <w:trPr>
          <w:trHeight w:val="972"/>
        </w:trPr>
        <w:tc>
          <w:tcPr>
            <w:tcW w:w="1700" w:type="dxa"/>
            <w:vMerge/>
            <w:tcBorders>
              <w:top w:val="nil"/>
              <w:left w:val="single" w:sz="4" w:space="0" w:color="auto"/>
              <w:bottom w:val="single" w:sz="4" w:space="0" w:color="auto"/>
              <w:right w:val="single" w:sz="4" w:space="0" w:color="auto"/>
            </w:tcBorders>
            <w:vAlign w:val="center"/>
            <w:hideMark/>
          </w:tcPr>
          <w:p w14:paraId="5B101E7E"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146E9BFF" w14:textId="77777777" w:rsidR="00F91D77" w:rsidRPr="00F91D77" w:rsidRDefault="00F91D77" w:rsidP="00F91D77">
            <w:pPr>
              <w:spacing w:line="240" w:lineRule="auto"/>
              <w:jc w:val="left"/>
              <w:rPr>
                <w:rFonts w:cs="Arial"/>
                <w:color w:val="000000"/>
                <w:sz w:val="22"/>
              </w:rPr>
            </w:pPr>
            <w:r w:rsidRPr="00F91D77">
              <w:rPr>
                <w:rFonts w:cs="Arial"/>
                <w:color w:val="000000"/>
                <w:sz w:val="22"/>
              </w:rPr>
              <w:t>Risque de découverte des des mines terrestres et restes explosifs de guerre (REG)</w:t>
            </w:r>
          </w:p>
        </w:tc>
        <w:tc>
          <w:tcPr>
            <w:tcW w:w="2480" w:type="dxa"/>
            <w:tcBorders>
              <w:top w:val="nil"/>
              <w:left w:val="nil"/>
              <w:bottom w:val="single" w:sz="4" w:space="0" w:color="auto"/>
              <w:right w:val="single" w:sz="4" w:space="0" w:color="auto"/>
            </w:tcBorders>
            <w:shd w:val="clear" w:color="auto" w:fill="auto"/>
            <w:noWrap/>
            <w:vAlign w:val="center"/>
            <w:hideMark/>
          </w:tcPr>
          <w:p w14:paraId="72633F67"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1, 4 et 8</w:t>
            </w:r>
          </w:p>
        </w:tc>
        <w:tc>
          <w:tcPr>
            <w:tcW w:w="2220" w:type="dxa"/>
            <w:tcBorders>
              <w:top w:val="nil"/>
              <w:left w:val="nil"/>
              <w:bottom w:val="single" w:sz="4" w:space="0" w:color="auto"/>
              <w:right w:val="single" w:sz="4" w:space="0" w:color="auto"/>
            </w:tcBorders>
            <w:shd w:val="clear" w:color="auto" w:fill="auto"/>
            <w:vAlign w:val="center"/>
            <w:hideMark/>
          </w:tcPr>
          <w:p w14:paraId="64845457"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 et Protocole de gestion de risque lié au REG</w:t>
            </w:r>
          </w:p>
        </w:tc>
      </w:tr>
      <w:tr w:rsidR="00F91D77" w:rsidRPr="00F91D77" w14:paraId="40251323" w14:textId="77777777" w:rsidTr="002139E7">
        <w:trPr>
          <w:trHeight w:val="802"/>
        </w:trPr>
        <w:tc>
          <w:tcPr>
            <w:tcW w:w="1700" w:type="dxa"/>
            <w:vMerge/>
            <w:tcBorders>
              <w:top w:val="nil"/>
              <w:left w:val="single" w:sz="4" w:space="0" w:color="auto"/>
              <w:bottom w:val="single" w:sz="4" w:space="0" w:color="auto"/>
              <w:right w:val="single" w:sz="4" w:space="0" w:color="auto"/>
            </w:tcBorders>
            <w:vAlign w:val="center"/>
            <w:hideMark/>
          </w:tcPr>
          <w:p w14:paraId="1AB311F1"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62C41926" w14:textId="77777777" w:rsidR="00F91D77" w:rsidRPr="00F91D77" w:rsidRDefault="00F91D77" w:rsidP="00F91D77">
            <w:pPr>
              <w:spacing w:line="240" w:lineRule="auto"/>
              <w:jc w:val="left"/>
              <w:rPr>
                <w:rFonts w:cs="Arial"/>
                <w:color w:val="000000"/>
                <w:sz w:val="22"/>
              </w:rPr>
            </w:pPr>
            <w:r w:rsidRPr="00F91D77">
              <w:rPr>
                <w:rFonts w:cs="Arial"/>
                <w:color w:val="000000"/>
                <w:sz w:val="22"/>
              </w:rPr>
              <w:t>Risque de la découverte fortuite</w:t>
            </w:r>
          </w:p>
        </w:tc>
        <w:tc>
          <w:tcPr>
            <w:tcW w:w="2480" w:type="dxa"/>
            <w:tcBorders>
              <w:top w:val="nil"/>
              <w:left w:val="nil"/>
              <w:bottom w:val="single" w:sz="4" w:space="0" w:color="auto"/>
              <w:right w:val="single" w:sz="4" w:space="0" w:color="auto"/>
            </w:tcBorders>
            <w:shd w:val="clear" w:color="auto" w:fill="auto"/>
            <w:noWrap/>
            <w:vAlign w:val="center"/>
            <w:hideMark/>
          </w:tcPr>
          <w:p w14:paraId="1805B567"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n°1, 4 et 8</w:t>
            </w:r>
          </w:p>
        </w:tc>
        <w:tc>
          <w:tcPr>
            <w:tcW w:w="2220" w:type="dxa"/>
            <w:tcBorders>
              <w:top w:val="nil"/>
              <w:left w:val="nil"/>
              <w:bottom w:val="single" w:sz="4" w:space="0" w:color="auto"/>
              <w:right w:val="single" w:sz="4" w:space="0" w:color="auto"/>
            </w:tcBorders>
            <w:shd w:val="clear" w:color="auto" w:fill="auto"/>
            <w:vAlign w:val="center"/>
            <w:hideMark/>
          </w:tcPr>
          <w:p w14:paraId="2E0CE7CB"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 et Procédures liés à la découverte fortuite</w:t>
            </w:r>
          </w:p>
        </w:tc>
      </w:tr>
      <w:tr w:rsidR="00F91D77" w:rsidRPr="00F91D77" w14:paraId="066F61A5" w14:textId="77777777" w:rsidTr="002139E7">
        <w:trPr>
          <w:trHeight w:val="831"/>
        </w:trPr>
        <w:tc>
          <w:tcPr>
            <w:tcW w:w="1700" w:type="dxa"/>
            <w:vMerge/>
            <w:tcBorders>
              <w:top w:val="nil"/>
              <w:left w:val="single" w:sz="4" w:space="0" w:color="auto"/>
              <w:bottom w:val="single" w:sz="4" w:space="0" w:color="auto"/>
              <w:right w:val="single" w:sz="4" w:space="0" w:color="auto"/>
            </w:tcBorders>
            <w:vAlign w:val="center"/>
            <w:hideMark/>
          </w:tcPr>
          <w:p w14:paraId="695C0EFD"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0BB7E19F" w14:textId="77777777" w:rsidR="00F91D77" w:rsidRPr="00F91D77" w:rsidRDefault="00F91D77" w:rsidP="00F91D77">
            <w:pPr>
              <w:spacing w:line="240" w:lineRule="auto"/>
              <w:jc w:val="left"/>
              <w:rPr>
                <w:rFonts w:cs="Arial"/>
                <w:color w:val="000000"/>
                <w:sz w:val="22"/>
              </w:rPr>
            </w:pPr>
            <w:r w:rsidRPr="009D03CE">
              <w:rPr>
                <w:rFonts w:cs="Arial"/>
                <w:color w:val="000000"/>
                <w:sz w:val="22"/>
              </w:rPr>
              <w:t>Augmentation de la population suite à la migration de travailleurs non- résidents.</w:t>
            </w:r>
          </w:p>
        </w:tc>
        <w:tc>
          <w:tcPr>
            <w:tcW w:w="2480" w:type="dxa"/>
            <w:tcBorders>
              <w:top w:val="nil"/>
              <w:left w:val="nil"/>
              <w:bottom w:val="single" w:sz="4" w:space="0" w:color="auto"/>
              <w:right w:val="single" w:sz="4" w:space="0" w:color="auto"/>
            </w:tcBorders>
            <w:shd w:val="clear" w:color="auto" w:fill="auto"/>
            <w:noWrap/>
            <w:vAlign w:val="center"/>
            <w:hideMark/>
          </w:tcPr>
          <w:p w14:paraId="28573ED8" w14:textId="77777777" w:rsidR="00F91D77" w:rsidRPr="00F91D77" w:rsidRDefault="00F91D77" w:rsidP="00F91D77">
            <w:pPr>
              <w:spacing w:line="240" w:lineRule="auto"/>
              <w:jc w:val="left"/>
              <w:rPr>
                <w:rFonts w:cs="Arial"/>
                <w:color w:val="000000"/>
                <w:sz w:val="22"/>
              </w:rPr>
            </w:pPr>
            <w:r w:rsidRPr="00F91D77">
              <w:rPr>
                <w:rFonts w:cs="Arial"/>
                <w:color w:val="000000"/>
                <w:sz w:val="22"/>
              </w:rPr>
              <w:t xml:space="preserve">NES n° 1 et 2 </w:t>
            </w:r>
          </w:p>
        </w:tc>
        <w:tc>
          <w:tcPr>
            <w:tcW w:w="2220" w:type="dxa"/>
            <w:tcBorders>
              <w:top w:val="nil"/>
              <w:left w:val="nil"/>
              <w:bottom w:val="single" w:sz="4" w:space="0" w:color="auto"/>
              <w:right w:val="single" w:sz="4" w:space="0" w:color="auto"/>
            </w:tcBorders>
            <w:shd w:val="clear" w:color="auto" w:fill="auto"/>
            <w:vAlign w:val="center"/>
            <w:hideMark/>
          </w:tcPr>
          <w:p w14:paraId="3612B325"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 xml:space="preserve">EIES/PGES, PGMO </w:t>
            </w:r>
          </w:p>
        </w:tc>
      </w:tr>
      <w:tr w:rsidR="00F91D77" w:rsidRPr="00F91D77" w14:paraId="4C8560D6" w14:textId="77777777" w:rsidTr="002139E7">
        <w:trPr>
          <w:trHeight w:val="1846"/>
        </w:trPr>
        <w:tc>
          <w:tcPr>
            <w:tcW w:w="1700" w:type="dxa"/>
            <w:vMerge/>
            <w:tcBorders>
              <w:top w:val="nil"/>
              <w:left w:val="single" w:sz="4" w:space="0" w:color="auto"/>
              <w:bottom w:val="single" w:sz="4" w:space="0" w:color="auto"/>
              <w:right w:val="single" w:sz="4" w:space="0" w:color="auto"/>
            </w:tcBorders>
            <w:vAlign w:val="center"/>
            <w:hideMark/>
          </w:tcPr>
          <w:p w14:paraId="7A01AA30"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2CEAFCEF" w14:textId="77777777" w:rsidR="00F91D77" w:rsidRPr="00F91D77" w:rsidRDefault="00F91D77" w:rsidP="00F91D77">
            <w:pPr>
              <w:spacing w:line="240" w:lineRule="auto"/>
              <w:jc w:val="left"/>
              <w:rPr>
                <w:rFonts w:cs="Arial"/>
                <w:color w:val="000000"/>
                <w:sz w:val="22"/>
              </w:rPr>
            </w:pPr>
            <w:r w:rsidRPr="009D03CE">
              <w:rPr>
                <w:rFonts w:cs="Arial"/>
                <w:color w:val="000000"/>
                <w:sz w:val="22"/>
              </w:rPr>
              <w:t>Risque de conflits sociaux entre les ménages sélectionnés bénéficiaires des intrants et autres subventions (aides) et non sélectionnés, où l’on rencontre les femmes sont cheffes de famille.</w:t>
            </w:r>
          </w:p>
        </w:tc>
        <w:tc>
          <w:tcPr>
            <w:tcW w:w="2480" w:type="dxa"/>
            <w:tcBorders>
              <w:top w:val="nil"/>
              <w:left w:val="nil"/>
              <w:bottom w:val="single" w:sz="4" w:space="0" w:color="auto"/>
              <w:right w:val="single" w:sz="4" w:space="0" w:color="auto"/>
            </w:tcBorders>
            <w:shd w:val="clear" w:color="auto" w:fill="auto"/>
            <w:noWrap/>
            <w:vAlign w:val="center"/>
            <w:hideMark/>
          </w:tcPr>
          <w:p w14:paraId="4DF61C4A"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n°1 et 10</w:t>
            </w:r>
          </w:p>
        </w:tc>
        <w:tc>
          <w:tcPr>
            <w:tcW w:w="2220" w:type="dxa"/>
            <w:tcBorders>
              <w:top w:val="nil"/>
              <w:left w:val="nil"/>
              <w:bottom w:val="single" w:sz="4" w:space="0" w:color="auto"/>
              <w:right w:val="single" w:sz="4" w:space="0" w:color="auto"/>
            </w:tcBorders>
            <w:shd w:val="clear" w:color="auto" w:fill="auto"/>
            <w:vAlign w:val="center"/>
            <w:hideMark/>
          </w:tcPr>
          <w:p w14:paraId="75A816F3"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 PMPP, le Plan d'Action VBG et MGP</w:t>
            </w:r>
          </w:p>
        </w:tc>
      </w:tr>
      <w:tr w:rsidR="00F91D77" w:rsidRPr="00F91D77" w14:paraId="1A1431CA" w14:textId="77777777" w:rsidTr="002139E7">
        <w:trPr>
          <w:trHeight w:val="838"/>
        </w:trPr>
        <w:tc>
          <w:tcPr>
            <w:tcW w:w="1700" w:type="dxa"/>
            <w:vMerge/>
            <w:tcBorders>
              <w:top w:val="nil"/>
              <w:left w:val="single" w:sz="4" w:space="0" w:color="auto"/>
              <w:bottom w:val="single" w:sz="4" w:space="0" w:color="auto"/>
              <w:right w:val="single" w:sz="4" w:space="0" w:color="auto"/>
            </w:tcBorders>
            <w:vAlign w:val="center"/>
            <w:hideMark/>
          </w:tcPr>
          <w:p w14:paraId="33E0D59F"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53701378" w14:textId="77777777" w:rsidR="00F91D77" w:rsidRPr="00F91D77" w:rsidRDefault="00F91D77" w:rsidP="00F91D77">
            <w:pPr>
              <w:spacing w:line="240" w:lineRule="auto"/>
              <w:jc w:val="left"/>
              <w:rPr>
                <w:rFonts w:cs="Arial"/>
                <w:color w:val="000000"/>
                <w:sz w:val="22"/>
              </w:rPr>
            </w:pPr>
            <w:r w:rsidRPr="009D03CE">
              <w:rPr>
                <w:rFonts w:cs="Arial"/>
                <w:color w:val="000000"/>
                <w:sz w:val="22"/>
              </w:rPr>
              <w:t>Risque des conflits sociaux en cas de transformation des systèmes fonciers traditionnels.</w:t>
            </w:r>
          </w:p>
        </w:tc>
        <w:tc>
          <w:tcPr>
            <w:tcW w:w="2480" w:type="dxa"/>
            <w:tcBorders>
              <w:top w:val="nil"/>
              <w:left w:val="nil"/>
              <w:bottom w:val="single" w:sz="4" w:space="0" w:color="auto"/>
              <w:right w:val="single" w:sz="4" w:space="0" w:color="auto"/>
            </w:tcBorders>
            <w:shd w:val="clear" w:color="auto" w:fill="auto"/>
            <w:noWrap/>
            <w:vAlign w:val="center"/>
            <w:hideMark/>
          </w:tcPr>
          <w:p w14:paraId="0DA7D337"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n°1 et 10</w:t>
            </w:r>
          </w:p>
        </w:tc>
        <w:tc>
          <w:tcPr>
            <w:tcW w:w="2220" w:type="dxa"/>
            <w:tcBorders>
              <w:top w:val="nil"/>
              <w:left w:val="nil"/>
              <w:bottom w:val="single" w:sz="4" w:space="0" w:color="auto"/>
              <w:right w:val="single" w:sz="4" w:space="0" w:color="auto"/>
            </w:tcBorders>
            <w:shd w:val="clear" w:color="auto" w:fill="auto"/>
            <w:noWrap/>
            <w:vAlign w:val="center"/>
            <w:hideMark/>
          </w:tcPr>
          <w:p w14:paraId="7A5E98AE"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 et MGP</w:t>
            </w:r>
          </w:p>
        </w:tc>
      </w:tr>
      <w:tr w:rsidR="00F91D77" w:rsidRPr="00F91D77" w14:paraId="63971380" w14:textId="77777777" w:rsidTr="002139E7">
        <w:trPr>
          <w:trHeight w:val="553"/>
        </w:trPr>
        <w:tc>
          <w:tcPr>
            <w:tcW w:w="1700" w:type="dxa"/>
            <w:vMerge/>
            <w:tcBorders>
              <w:top w:val="nil"/>
              <w:left w:val="single" w:sz="4" w:space="0" w:color="auto"/>
              <w:bottom w:val="single" w:sz="4" w:space="0" w:color="auto"/>
              <w:right w:val="single" w:sz="4" w:space="0" w:color="auto"/>
            </w:tcBorders>
            <w:vAlign w:val="center"/>
            <w:hideMark/>
          </w:tcPr>
          <w:p w14:paraId="13C6DF7D"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4F786E5D" w14:textId="77777777" w:rsidR="00F91D77" w:rsidRPr="00F91D77" w:rsidRDefault="00F91D77" w:rsidP="00F91D77">
            <w:pPr>
              <w:spacing w:line="240" w:lineRule="auto"/>
              <w:jc w:val="left"/>
              <w:rPr>
                <w:rFonts w:cs="Arial"/>
                <w:color w:val="000000"/>
                <w:sz w:val="22"/>
              </w:rPr>
            </w:pPr>
            <w:r w:rsidRPr="009D03CE">
              <w:rPr>
                <w:rFonts w:cs="Arial"/>
                <w:color w:val="000000"/>
                <w:sz w:val="22"/>
              </w:rPr>
              <w:t>Non-respect des critères de sélection des ménages éligibles</w:t>
            </w:r>
          </w:p>
        </w:tc>
        <w:tc>
          <w:tcPr>
            <w:tcW w:w="2480" w:type="dxa"/>
            <w:tcBorders>
              <w:top w:val="nil"/>
              <w:left w:val="nil"/>
              <w:bottom w:val="single" w:sz="4" w:space="0" w:color="auto"/>
              <w:right w:val="single" w:sz="4" w:space="0" w:color="auto"/>
            </w:tcBorders>
            <w:shd w:val="clear" w:color="auto" w:fill="auto"/>
            <w:noWrap/>
            <w:vAlign w:val="center"/>
            <w:hideMark/>
          </w:tcPr>
          <w:p w14:paraId="5A2EC937"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n°1</w:t>
            </w:r>
          </w:p>
        </w:tc>
        <w:tc>
          <w:tcPr>
            <w:tcW w:w="2220" w:type="dxa"/>
            <w:tcBorders>
              <w:top w:val="nil"/>
              <w:left w:val="nil"/>
              <w:bottom w:val="single" w:sz="4" w:space="0" w:color="auto"/>
              <w:right w:val="single" w:sz="4" w:space="0" w:color="auto"/>
            </w:tcBorders>
            <w:shd w:val="clear" w:color="auto" w:fill="auto"/>
            <w:noWrap/>
            <w:vAlign w:val="center"/>
            <w:hideMark/>
          </w:tcPr>
          <w:p w14:paraId="4FEA1E3E"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w:t>
            </w:r>
          </w:p>
        </w:tc>
      </w:tr>
      <w:tr w:rsidR="00F91D77" w:rsidRPr="00F91D77" w14:paraId="24BEBBB1" w14:textId="77777777" w:rsidTr="002139E7">
        <w:trPr>
          <w:trHeight w:val="1128"/>
        </w:trPr>
        <w:tc>
          <w:tcPr>
            <w:tcW w:w="1700" w:type="dxa"/>
            <w:vMerge/>
            <w:tcBorders>
              <w:top w:val="nil"/>
              <w:left w:val="single" w:sz="4" w:space="0" w:color="auto"/>
              <w:bottom w:val="single" w:sz="4" w:space="0" w:color="auto"/>
              <w:right w:val="single" w:sz="4" w:space="0" w:color="auto"/>
            </w:tcBorders>
            <w:vAlign w:val="center"/>
            <w:hideMark/>
          </w:tcPr>
          <w:p w14:paraId="35D413AE"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2403CF8E" w14:textId="77777777" w:rsidR="00F91D77" w:rsidRPr="00F91D77" w:rsidRDefault="00F91D77" w:rsidP="00F91D77">
            <w:pPr>
              <w:spacing w:line="240" w:lineRule="auto"/>
              <w:jc w:val="left"/>
              <w:rPr>
                <w:rFonts w:cs="Arial"/>
                <w:color w:val="000000"/>
                <w:sz w:val="22"/>
              </w:rPr>
            </w:pPr>
            <w:r w:rsidRPr="009D03CE">
              <w:rPr>
                <w:rFonts w:cs="Arial"/>
                <w:color w:val="000000"/>
                <w:sz w:val="22"/>
              </w:rPr>
              <w:t>Risque de la discrimination des populations autochtones lors de la sélection des ménages vulnérables </w:t>
            </w:r>
          </w:p>
        </w:tc>
        <w:tc>
          <w:tcPr>
            <w:tcW w:w="2480" w:type="dxa"/>
            <w:tcBorders>
              <w:top w:val="nil"/>
              <w:left w:val="nil"/>
              <w:bottom w:val="single" w:sz="4" w:space="0" w:color="auto"/>
              <w:right w:val="single" w:sz="4" w:space="0" w:color="auto"/>
            </w:tcBorders>
            <w:shd w:val="clear" w:color="auto" w:fill="auto"/>
            <w:noWrap/>
            <w:vAlign w:val="center"/>
            <w:hideMark/>
          </w:tcPr>
          <w:p w14:paraId="413E5028"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n°1 et 7</w:t>
            </w:r>
          </w:p>
        </w:tc>
        <w:tc>
          <w:tcPr>
            <w:tcW w:w="2220" w:type="dxa"/>
            <w:tcBorders>
              <w:top w:val="nil"/>
              <w:left w:val="nil"/>
              <w:bottom w:val="single" w:sz="4" w:space="0" w:color="auto"/>
              <w:right w:val="single" w:sz="4" w:space="0" w:color="auto"/>
            </w:tcBorders>
            <w:shd w:val="clear" w:color="auto" w:fill="auto"/>
            <w:noWrap/>
            <w:vAlign w:val="center"/>
            <w:hideMark/>
          </w:tcPr>
          <w:p w14:paraId="0E95D2A5" w14:textId="77777777" w:rsidR="00F91D77" w:rsidRPr="00F91D77" w:rsidRDefault="00F91D77" w:rsidP="00F91D77">
            <w:pPr>
              <w:spacing w:line="240" w:lineRule="auto"/>
              <w:jc w:val="center"/>
              <w:rPr>
                <w:rFonts w:cs="Arial"/>
                <w:color w:val="000000"/>
                <w:sz w:val="22"/>
              </w:rPr>
            </w:pPr>
            <w:r w:rsidRPr="00F91D77">
              <w:rPr>
                <w:rFonts w:cs="Arial"/>
                <w:color w:val="000000"/>
                <w:sz w:val="22"/>
              </w:rPr>
              <w:t>CPPA et PPA</w:t>
            </w:r>
          </w:p>
        </w:tc>
      </w:tr>
      <w:tr w:rsidR="00F91D77" w:rsidRPr="00F91D77" w14:paraId="65201CAD" w14:textId="77777777" w:rsidTr="00F91D77">
        <w:trPr>
          <w:trHeight w:val="1548"/>
        </w:trPr>
        <w:tc>
          <w:tcPr>
            <w:tcW w:w="1700" w:type="dxa"/>
            <w:vMerge/>
            <w:tcBorders>
              <w:top w:val="nil"/>
              <w:left w:val="single" w:sz="4" w:space="0" w:color="auto"/>
              <w:bottom w:val="single" w:sz="4" w:space="0" w:color="auto"/>
              <w:right w:val="single" w:sz="4" w:space="0" w:color="auto"/>
            </w:tcBorders>
            <w:vAlign w:val="center"/>
            <w:hideMark/>
          </w:tcPr>
          <w:p w14:paraId="44332E2C"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7A7F22A6" w14:textId="77777777" w:rsidR="00F91D77" w:rsidRPr="00F91D77" w:rsidRDefault="00F91D77" w:rsidP="00F91D77">
            <w:pPr>
              <w:spacing w:line="240" w:lineRule="auto"/>
              <w:jc w:val="left"/>
              <w:rPr>
                <w:rFonts w:cs="Arial"/>
                <w:color w:val="000000"/>
                <w:sz w:val="22"/>
              </w:rPr>
            </w:pPr>
            <w:r w:rsidRPr="009D03CE">
              <w:rPr>
                <w:rFonts w:cs="Arial"/>
                <w:color w:val="000000"/>
                <w:sz w:val="22"/>
              </w:rPr>
              <w:t>Risque de la discrimination des femmes et la non integration de la jeunesse dans le renforcement des capacités des services publics agricoles au niveau local.</w:t>
            </w:r>
          </w:p>
        </w:tc>
        <w:tc>
          <w:tcPr>
            <w:tcW w:w="2480" w:type="dxa"/>
            <w:tcBorders>
              <w:top w:val="nil"/>
              <w:left w:val="nil"/>
              <w:bottom w:val="single" w:sz="4" w:space="0" w:color="auto"/>
              <w:right w:val="single" w:sz="4" w:space="0" w:color="auto"/>
            </w:tcBorders>
            <w:shd w:val="clear" w:color="auto" w:fill="auto"/>
            <w:noWrap/>
            <w:vAlign w:val="center"/>
            <w:hideMark/>
          </w:tcPr>
          <w:p w14:paraId="7A61443F"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w:t>
            </w:r>
          </w:p>
        </w:tc>
        <w:tc>
          <w:tcPr>
            <w:tcW w:w="2220" w:type="dxa"/>
            <w:tcBorders>
              <w:top w:val="nil"/>
              <w:left w:val="nil"/>
              <w:bottom w:val="single" w:sz="4" w:space="0" w:color="auto"/>
              <w:right w:val="single" w:sz="4" w:space="0" w:color="auto"/>
            </w:tcBorders>
            <w:shd w:val="clear" w:color="auto" w:fill="auto"/>
            <w:vAlign w:val="center"/>
            <w:hideMark/>
          </w:tcPr>
          <w:p w14:paraId="00840E2A"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 et Plan d'Action de VBG</w:t>
            </w:r>
          </w:p>
        </w:tc>
      </w:tr>
      <w:tr w:rsidR="00F91D77" w:rsidRPr="00F91D77" w14:paraId="5204DA28" w14:textId="77777777" w:rsidTr="00F91D77">
        <w:trPr>
          <w:trHeight w:val="780"/>
        </w:trPr>
        <w:tc>
          <w:tcPr>
            <w:tcW w:w="1700" w:type="dxa"/>
            <w:vMerge/>
            <w:tcBorders>
              <w:top w:val="nil"/>
              <w:left w:val="single" w:sz="4" w:space="0" w:color="auto"/>
              <w:bottom w:val="single" w:sz="4" w:space="0" w:color="auto"/>
              <w:right w:val="single" w:sz="4" w:space="0" w:color="auto"/>
            </w:tcBorders>
            <w:vAlign w:val="center"/>
            <w:hideMark/>
          </w:tcPr>
          <w:p w14:paraId="1BF8F444"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38BF845C" w14:textId="77777777" w:rsidR="00F91D77" w:rsidRPr="00F91D77" w:rsidRDefault="00F91D77" w:rsidP="00F91D77">
            <w:pPr>
              <w:spacing w:line="240" w:lineRule="auto"/>
              <w:jc w:val="left"/>
              <w:rPr>
                <w:rFonts w:cs="Arial"/>
                <w:color w:val="000000"/>
                <w:sz w:val="22"/>
              </w:rPr>
            </w:pPr>
            <w:r w:rsidRPr="009D03CE">
              <w:rPr>
                <w:rFonts w:cs="Arial"/>
                <w:color w:val="000000"/>
                <w:sz w:val="22"/>
              </w:rPr>
              <w:t>Risque de travail de forcé</w:t>
            </w:r>
          </w:p>
        </w:tc>
        <w:tc>
          <w:tcPr>
            <w:tcW w:w="2480" w:type="dxa"/>
            <w:tcBorders>
              <w:top w:val="nil"/>
              <w:left w:val="nil"/>
              <w:bottom w:val="single" w:sz="4" w:space="0" w:color="auto"/>
              <w:right w:val="single" w:sz="4" w:space="0" w:color="auto"/>
            </w:tcBorders>
            <w:shd w:val="clear" w:color="auto" w:fill="auto"/>
            <w:noWrap/>
            <w:vAlign w:val="center"/>
            <w:hideMark/>
          </w:tcPr>
          <w:p w14:paraId="264584FB" w14:textId="77777777" w:rsidR="00F91D77" w:rsidRPr="00F91D77" w:rsidRDefault="00F91D77" w:rsidP="00F91D77">
            <w:pPr>
              <w:spacing w:line="240" w:lineRule="auto"/>
              <w:jc w:val="center"/>
              <w:rPr>
                <w:rFonts w:cs="Arial"/>
                <w:color w:val="000000"/>
                <w:sz w:val="22"/>
              </w:rPr>
            </w:pPr>
            <w:r w:rsidRPr="00F91D77">
              <w:rPr>
                <w:rFonts w:cs="Arial"/>
                <w:color w:val="000000"/>
                <w:sz w:val="22"/>
              </w:rPr>
              <w:t xml:space="preserve">NES n° 1 et 2 </w:t>
            </w:r>
          </w:p>
        </w:tc>
        <w:tc>
          <w:tcPr>
            <w:tcW w:w="2220" w:type="dxa"/>
            <w:tcBorders>
              <w:top w:val="nil"/>
              <w:left w:val="nil"/>
              <w:bottom w:val="single" w:sz="4" w:space="0" w:color="auto"/>
              <w:right w:val="single" w:sz="4" w:space="0" w:color="auto"/>
            </w:tcBorders>
            <w:shd w:val="clear" w:color="auto" w:fill="auto"/>
            <w:noWrap/>
            <w:vAlign w:val="center"/>
            <w:hideMark/>
          </w:tcPr>
          <w:p w14:paraId="540B5691" w14:textId="77777777" w:rsidR="00F91D77" w:rsidRPr="00F91D77" w:rsidRDefault="00F91D77" w:rsidP="00F91D77">
            <w:pPr>
              <w:spacing w:line="240" w:lineRule="auto"/>
              <w:jc w:val="center"/>
              <w:rPr>
                <w:rFonts w:cs="Arial"/>
                <w:color w:val="000000"/>
                <w:sz w:val="22"/>
              </w:rPr>
            </w:pPr>
            <w:r w:rsidRPr="00F91D77">
              <w:rPr>
                <w:rFonts w:cs="Arial"/>
                <w:color w:val="000000"/>
                <w:sz w:val="22"/>
              </w:rPr>
              <w:t>PGMO</w:t>
            </w:r>
          </w:p>
        </w:tc>
      </w:tr>
      <w:tr w:rsidR="00F91D77" w:rsidRPr="00F91D77" w14:paraId="48E271AA" w14:textId="77777777" w:rsidTr="00F91D77">
        <w:trPr>
          <w:trHeight w:val="996"/>
        </w:trPr>
        <w:tc>
          <w:tcPr>
            <w:tcW w:w="1700" w:type="dxa"/>
            <w:vMerge/>
            <w:tcBorders>
              <w:top w:val="nil"/>
              <w:left w:val="single" w:sz="4" w:space="0" w:color="auto"/>
              <w:bottom w:val="single" w:sz="4" w:space="0" w:color="auto"/>
              <w:right w:val="single" w:sz="4" w:space="0" w:color="auto"/>
            </w:tcBorders>
            <w:vAlign w:val="center"/>
            <w:hideMark/>
          </w:tcPr>
          <w:p w14:paraId="1F321670"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5F937B5C" w14:textId="77777777" w:rsidR="00F91D77" w:rsidRPr="00F91D77" w:rsidRDefault="00F91D77" w:rsidP="00F91D77">
            <w:pPr>
              <w:spacing w:line="240" w:lineRule="auto"/>
              <w:jc w:val="left"/>
              <w:rPr>
                <w:rFonts w:cs="Arial"/>
                <w:color w:val="000000"/>
                <w:sz w:val="22"/>
              </w:rPr>
            </w:pPr>
            <w:r w:rsidRPr="009D03CE">
              <w:rPr>
                <w:rFonts w:cs="Arial"/>
                <w:color w:val="000000"/>
                <w:sz w:val="22"/>
              </w:rPr>
              <w:t>Recours à l’utilisation des forces publiques pour la sécurité des chantiers</w:t>
            </w:r>
          </w:p>
        </w:tc>
        <w:tc>
          <w:tcPr>
            <w:tcW w:w="2480" w:type="dxa"/>
            <w:tcBorders>
              <w:top w:val="nil"/>
              <w:left w:val="nil"/>
              <w:bottom w:val="single" w:sz="4" w:space="0" w:color="auto"/>
              <w:right w:val="single" w:sz="4" w:space="0" w:color="auto"/>
            </w:tcBorders>
            <w:shd w:val="clear" w:color="auto" w:fill="auto"/>
            <w:noWrap/>
            <w:vAlign w:val="center"/>
            <w:hideMark/>
          </w:tcPr>
          <w:p w14:paraId="37F06CDC"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 et 4</w:t>
            </w:r>
          </w:p>
        </w:tc>
        <w:tc>
          <w:tcPr>
            <w:tcW w:w="2220" w:type="dxa"/>
            <w:tcBorders>
              <w:top w:val="nil"/>
              <w:left w:val="nil"/>
              <w:bottom w:val="single" w:sz="4" w:space="0" w:color="auto"/>
              <w:right w:val="single" w:sz="4" w:space="0" w:color="auto"/>
            </w:tcBorders>
            <w:shd w:val="clear" w:color="auto" w:fill="auto"/>
            <w:vAlign w:val="center"/>
            <w:hideMark/>
          </w:tcPr>
          <w:p w14:paraId="1D8D181A"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w:t>
            </w:r>
            <w:r>
              <w:rPr>
                <w:rFonts w:cs="Arial"/>
                <w:color w:val="000000"/>
                <w:sz w:val="22"/>
              </w:rPr>
              <w:t xml:space="preserve"> et Plan de Gestion de Sécurité, Note de bonne pratique du PGS de l’IDA </w:t>
            </w:r>
            <w:r w:rsidR="00F91D77" w:rsidRPr="00F91D77">
              <w:rPr>
                <w:rFonts w:cs="Arial"/>
                <w:color w:val="000000"/>
                <w:sz w:val="22"/>
              </w:rPr>
              <w:t>et PGMO</w:t>
            </w:r>
          </w:p>
        </w:tc>
      </w:tr>
      <w:tr w:rsidR="00F91D77" w:rsidRPr="00F91D77" w14:paraId="0D46659B" w14:textId="77777777" w:rsidTr="00F91D77">
        <w:trPr>
          <w:trHeight w:val="708"/>
        </w:trPr>
        <w:tc>
          <w:tcPr>
            <w:tcW w:w="1700" w:type="dxa"/>
            <w:vMerge/>
            <w:tcBorders>
              <w:top w:val="nil"/>
              <w:left w:val="single" w:sz="4" w:space="0" w:color="auto"/>
              <w:bottom w:val="single" w:sz="4" w:space="0" w:color="auto"/>
              <w:right w:val="single" w:sz="4" w:space="0" w:color="auto"/>
            </w:tcBorders>
            <w:vAlign w:val="center"/>
            <w:hideMark/>
          </w:tcPr>
          <w:p w14:paraId="322F66E4"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5F8B1464" w14:textId="77777777" w:rsidR="00F91D77" w:rsidRPr="00F91D77" w:rsidRDefault="00F91D77" w:rsidP="00F91D77">
            <w:pPr>
              <w:spacing w:line="240" w:lineRule="auto"/>
              <w:jc w:val="left"/>
              <w:rPr>
                <w:rFonts w:cs="Arial"/>
                <w:color w:val="000000"/>
                <w:sz w:val="22"/>
              </w:rPr>
            </w:pPr>
            <w:r w:rsidRPr="009D03CE">
              <w:rPr>
                <w:rFonts w:cs="Arial"/>
                <w:color w:val="000000"/>
                <w:sz w:val="22"/>
              </w:rPr>
              <w:t>Risque d’employer les enfants sur les chantiers</w:t>
            </w:r>
          </w:p>
        </w:tc>
        <w:tc>
          <w:tcPr>
            <w:tcW w:w="2480" w:type="dxa"/>
            <w:tcBorders>
              <w:top w:val="nil"/>
              <w:left w:val="nil"/>
              <w:bottom w:val="single" w:sz="4" w:space="0" w:color="auto"/>
              <w:right w:val="single" w:sz="4" w:space="0" w:color="auto"/>
            </w:tcBorders>
            <w:shd w:val="clear" w:color="auto" w:fill="auto"/>
            <w:noWrap/>
            <w:vAlign w:val="center"/>
            <w:hideMark/>
          </w:tcPr>
          <w:p w14:paraId="759A18D1" w14:textId="77777777" w:rsidR="00F91D77" w:rsidRPr="00F91D77" w:rsidRDefault="00F91D77" w:rsidP="00F91D77">
            <w:pPr>
              <w:spacing w:line="240" w:lineRule="auto"/>
              <w:jc w:val="center"/>
              <w:rPr>
                <w:rFonts w:cs="Arial"/>
                <w:color w:val="000000"/>
                <w:sz w:val="22"/>
              </w:rPr>
            </w:pPr>
            <w:r w:rsidRPr="00F91D77">
              <w:rPr>
                <w:rFonts w:cs="Arial"/>
                <w:color w:val="000000"/>
                <w:sz w:val="22"/>
              </w:rPr>
              <w:t xml:space="preserve">NES n° 1 et 2  </w:t>
            </w:r>
          </w:p>
        </w:tc>
        <w:tc>
          <w:tcPr>
            <w:tcW w:w="2220" w:type="dxa"/>
            <w:tcBorders>
              <w:top w:val="nil"/>
              <w:left w:val="nil"/>
              <w:bottom w:val="single" w:sz="4" w:space="0" w:color="auto"/>
              <w:right w:val="single" w:sz="4" w:space="0" w:color="auto"/>
            </w:tcBorders>
            <w:shd w:val="clear" w:color="auto" w:fill="auto"/>
            <w:vAlign w:val="center"/>
            <w:hideMark/>
          </w:tcPr>
          <w:p w14:paraId="33B6F79F"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 xml:space="preserve">EIES/PGES et PGMO </w:t>
            </w:r>
          </w:p>
        </w:tc>
      </w:tr>
      <w:tr w:rsidR="00F91D77" w:rsidRPr="00F91D77" w14:paraId="3F0D6F51" w14:textId="77777777" w:rsidTr="00F91D77">
        <w:trPr>
          <w:trHeight w:val="72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0B4B2CA" w14:textId="77777777" w:rsidR="00F91D77" w:rsidRPr="00F91D77" w:rsidRDefault="00F91D77" w:rsidP="00F91D77">
            <w:pPr>
              <w:spacing w:line="240" w:lineRule="auto"/>
              <w:jc w:val="center"/>
              <w:rPr>
                <w:rFonts w:cs="Arial"/>
                <w:color w:val="000000"/>
                <w:sz w:val="22"/>
              </w:rPr>
            </w:pPr>
            <w:r w:rsidRPr="00F91D77">
              <w:rPr>
                <w:rFonts w:cs="Arial"/>
                <w:color w:val="000000"/>
                <w:sz w:val="22"/>
                <w:lang w:val="en-US"/>
              </w:rPr>
              <w:t>Genre</w:t>
            </w:r>
          </w:p>
        </w:tc>
        <w:tc>
          <w:tcPr>
            <w:tcW w:w="3260" w:type="dxa"/>
            <w:tcBorders>
              <w:top w:val="nil"/>
              <w:left w:val="nil"/>
              <w:bottom w:val="single" w:sz="4" w:space="0" w:color="auto"/>
              <w:right w:val="single" w:sz="4" w:space="0" w:color="auto"/>
            </w:tcBorders>
            <w:shd w:val="clear" w:color="auto" w:fill="auto"/>
            <w:vAlign w:val="center"/>
            <w:hideMark/>
          </w:tcPr>
          <w:p w14:paraId="0F3BD42A" w14:textId="77777777" w:rsidR="00F91D77" w:rsidRPr="00F91D77" w:rsidRDefault="00F91D77" w:rsidP="00F91D77">
            <w:pPr>
              <w:spacing w:line="240" w:lineRule="auto"/>
              <w:jc w:val="left"/>
              <w:rPr>
                <w:rFonts w:cs="Arial"/>
                <w:color w:val="000000"/>
                <w:sz w:val="22"/>
              </w:rPr>
            </w:pPr>
            <w:r w:rsidRPr="009D03CE">
              <w:rPr>
                <w:rFonts w:cs="Arial"/>
                <w:color w:val="000000"/>
                <w:sz w:val="22"/>
              </w:rPr>
              <w:t>Risque de VBG/ EAS/HS</w:t>
            </w:r>
          </w:p>
        </w:tc>
        <w:tc>
          <w:tcPr>
            <w:tcW w:w="2480" w:type="dxa"/>
            <w:tcBorders>
              <w:top w:val="nil"/>
              <w:left w:val="nil"/>
              <w:bottom w:val="single" w:sz="4" w:space="0" w:color="auto"/>
              <w:right w:val="single" w:sz="4" w:space="0" w:color="auto"/>
            </w:tcBorders>
            <w:shd w:val="clear" w:color="auto" w:fill="auto"/>
            <w:noWrap/>
            <w:vAlign w:val="center"/>
            <w:hideMark/>
          </w:tcPr>
          <w:p w14:paraId="05470E80"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 et 2</w:t>
            </w:r>
          </w:p>
        </w:tc>
        <w:tc>
          <w:tcPr>
            <w:tcW w:w="2220" w:type="dxa"/>
            <w:tcBorders>
              <w:top w:val="nil"/>
              <w:left w:val="nil"/>
              <w:bottom w:val="single" w:sz="4" w:space="0" w:color="auto"/>
              <w:right w:val="single" w:sz="4" w:space="0" w:color="auto"/>
            </w:tcBorders>
            <w:shd w:val="clear" w:color="auto" w:fill="auto"/>
            <w:vAlign w:val="center"/>
            <w:hideMark/>
          </w:tcPr>
          <w:p w14:paraId="120403AB"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 et Plan d'Action VBG</w:t>
            </w:r>
            <w:r>
              <w:rPr>
                <w:rFonts w:cs="Arial"/>
                <w:color w:val="000000"/>
                <w:sz w:val="22"/>
              </w:rPr>
              <w:t>, Note de bonne pratique VBG de l’IDA</w:t>
            </w:r>
          </w:p>
        </w:tc>
      </w:tr>
      <w:tr w:rsidR="00F91D77" w:rsidRPr="00F91D77" w14:paraId="36F043F8" w14:textId="77777777" w:rsidTr="00F91D77">
        <w:trPr>
          <w:trHeight w:val="1656"/>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0174591C" w14:textId="77777777" w:rsidR="00F91D77" w:rsidRPr="00F91D77" w:rsidRDefault="00F91D77" w:rsidP="00F91D77">
            <w:pPr>
              <w:spacing w:line="240" w:lineRule="auto"/>
              <w:jc w:val="center"/>
              <w:rPr>
                <w:rFonts w:cs="Arial"/>
                <w:color w:val="000000"/>
                <w:sz w:val="22"/>
              </w:rPr>
            </w:pPr>
            <w:r w:rsidRPr="00F91D77">
              <w:rPr>
                <w:rFonts w:cs="Arial"/>
                <w:color w:val="000000"/>
                <w:sz w:val="22"/>
                <w:lang w:val="en-US"/>
              </w:rPr>
              <w:t>Santé et sécurité</w:t>
            </w:r>
          </w:p>
        </w:tc>
        <w:tc>
          <w:tcPr>
            <w:tcW w:w="3260" w:type="dxa"/>
            <w:tcBorders>
              <w:top w:val="nil"/>
              <w:left w:val="nil"/>
              <w:bottom w:val="single" w:sz="4" w:space="0" w:color="auto"/>
              <w:right w:val="single" w:sz="4" w:space="0" w:color="auto"/>
            </w:tcBorders>
            <w:shd w:val="clear" w:color="auto" w:fill="auto"/>
            <w:vAlign w:val="center"/>
            <w:hideMark/>
          </w:tcPr>
          <w:p w14:paraId="678B431D" w14:textId="77777777" w:rsidR="00F91D77" w:rsidRPr="00F91D77" w:rsidRDefault="00F91D77" w:rsidP="00F91D77">
            <w:pPr>
              <w:spacing w:line="240" w:lineRule="auto"/>
              <w:jc w:val="left"/>
              <w:rPr>
                <w:rFonts w:cs="Arial"/>
                <w:color w:val="000000"/>
                <w:sz w:val="22"/>
              </w:rPr>
            </w:pPr>
            <w:r w:rsidRPr="009D03CE">
              <w:rPr>
                <w:rFonts w:cs="Arial"/>
                <w:color w:val="000000"/>
                <w:sz w:val="22"/>
              </w:rPr>
              <w:t>Nuisances causées par le projet (bruit, poussières, eaux usées, boues, interruptions de services, augmentation de l’achalandage de camions, dommages à la propriété privée, etc.).</w:t>
            </w:r>
          </w:p>
        </w:tc>
        <w:tc>
          <w:tcPr>
            <w:tcW w:w="2480" w:type="dxa"/>
            <w:tcBorders>
              <w:top w:val="nil"/>
              <w:left w:val="nil"/>
              <w:bottom w:val="single" w:sz="4" w:space="0" w:color="auto"/>
              <w:right w:val="single" w:sz="4" w:space="0" w:color="auto"/>
            </w:tcBorders>
            <w:shd w:val="clear" w:color="auto" w:fill="auto"/>
            <w:noWrap/>
            <w:vAlign w:val="center"/>
            <w:hideMark/>
          </w:tcPr>
          <w:p w14:paraId="649A955D"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n°1, 2, 3, 4 et 10</w:t>
            </w:r>
          </w:p>
        </w:tc>
        <w:tc>
          <w:tcPr>
            <w:tcW w:w="2220" w:type="dxa"/>
            <w:tcBorders>
              <w:top w:val="nil"/>
              <w:left w:val="nil"/>
              <w:bottom w:val="single" w:sz="4" w:space="0" w:color="auto"/>
              <w:right w:val="single" w:sz="4" w:space="0" w:color="auto"/>
            </w:tcBorders>
            <w:shd w:val="clear" w:color="auto" w:fill="auto"/>
            <w:noWrap/>
            <w:vAlign w:val="center"/>
            <w:hideMark/>
          </w:tcPr>
          <w:p w14:paraId="1960F052"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 et MGP</w:t>
            </w:r>
          </w:p>
        </w:tc>
      </w:tr>
      <w:tr w:rsidR="00F91D77" w:rsidRPr="00F91D77" w14:paraId="5434FDC2" w14:textId="77777777" w:rsidTr="002139E7">
        <w:trPr>
          <w:trHeight w:val="648"/>
        </w:trPr>
        <w:tc>
          <w:tcPr>
            <w:tcW w:w="1700" w:type="dxa"/>
            <w:vMerge/>
            <w:tcBorders>
              <w:top w:val="nil"/>
              <w:left w:val="single" w:sz="4" w:space="0" w:color="auto"/>
              <w:bottom w:val="single" w:sz="4" w:space="0" w:color="auto"/>
              <w:right w:val="single" w:sz="4" w:space="0" w:color="auto"/>
            </w:tcBorders>
            <w:vAlign w:val="center"/>
            <w:hideMark/>
          </w:tcPr>
          <w:p w14:paraId="3A6C5431"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68E6A022" w14:textId="77777777" w:rsidR="00F91D77" w:rsidRPr="00F91D77" w:rsidRDefault="00F91D77" w:rsidP="00F91D77">
            <w:pPr>
              <w:spacing w:line="240" w:lineRule="auto"/>
              <w:jc w:val="left"/>
              <w:rPr>
                <w:rFonts w:cs="Arial"/>
                <w:color w:val="000000"/>
                <w:sz w:val="22"/>
              </w:rPr>
            </w:pPr>
            <w:r w:rsidRPr="009D03CE">
              <w:rPr>
                <w:rFonts w:cs="Arial"/>
                <w:color w:val="000000"/>
                <w:sz w:val="22"/>
              </w:rPr>
              <w:t>Incidence accrue des maladies sexuellement transmissibles.</w:t>
            </w:r>
          </w:p>
        </w:tc>
        <w:tc>
          <w:tcPr>
            <w:tcW w:w="2480" w:type="dxa"/>
            <w:tcBorders>
              <w:top w:val="nil"/>
              <w:left w:val="nil"/>
              <w:bottom w:val="single" w:sz="4" w:space="0" w:color="auto"/>
              <w:right w:val="single" w:sz="4" w:space="0" w:color="auto"/>
            </w:tcBorders>
            <w:shd w:val="clear" w:color="auto" w:fill="auto"/>
            <w:noWrap/>
            <w:vAlign w:val="center"/>
            <w:hideMark/>
          </w:tcPr>
          <w:p w14:paraId="729A2B5D"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n°1 et 4</w:t>
            </w:r>
          </w:p>
        </w:tc>
        <w:tc>
          <w:tcPr>
            <w:tcW w:w="2220" w:type="dxa"/>
            <w:tcBorders>
              <w:top w:val="nil"/>
              <w:left w:val="nil"/>
              <w:bottom w:val="single" w:sz="4" w:space="0" w:color="auto"/>
              <w:right w:val="single" w:sz="4" w:space="0" w:color="auto"/>
            </w:tcBorders>
            <w:shd w:val="clear" w:color="auto" w:fill="auto"/>
            <w:noWrap/>
            <w:vAlign w:val="center"/>
            <w:hideMark/>
          </w:tcPr>
          <w:p w14:paraId="1F7E8805"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w:t>
            </w:r>
          </w:p>
        </w:tc>
      </w:tr>
      <w:tr w:rsidR="00F91D77" w:rsidRPr="00F91D77" w14:paraId="5310467A" w14:textId="77777777" w:rsidTr="002139E7">
        <w:trPr>
          <w:trHeight w:val="1550"/>
        </w:trPr>
        <w:tc>
          <w:tcPr>
            <w:tcW w:w="1700" w:type="dxa"/>
            <w:vMerge/>
            <w:tcBorders>
              <w:top w:val="nil"/>
              <w:left w:val="single" w:sz="4" w:space="0" w:color="auto"/>
              <w:bottom w:val="single" w:sz="4" w:space="0" w:color="auto"/>
              <w:right w:val="single" w:sz="4" w:space="0" w:color="auto"/>
            </w:tcBorders>
            <w:vAlign w:val="center"/>
            <w:hideMark/>
          </w:tcPr>
          <w:p w14:paraId="0FF7E26E"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33B65F77" w14:textId="77777777" w:rsidR="00F91D77" w:rsidRPr="00F91D77" w:rsidRDefault="00F91D77" w:rsidP="00F91D77">
            <w:pPr>
              <w:spacing w:line="240" w:lineRule="auto"/>
              <w:jc w:val="left"/>
              <w:rPr>
                <w:rFonts w:cs="Arial"/>
                <w:color w:val="000000"/>
                <w:sz w:val="22"/>
              </w:rPr>
            </w:pPr>
            <w:r w:rsidRPr="009D03CE">
              <w:rPr>
                <w:rFonts w:cs="Arial"/>
                <w:color w:val="000000"/>
                <w:sz w:val="22"/>
              </w:rPr>
              <w:t>Risque de recours aux forces de sécurité publique et au service de sécurité privée suite à l’insécurité dans certaines régions concernées par le Programme</w:t>
            </w:r>
          </w:p>
        </w:tc>
        <w:tc>
          <w:tcPr>
            <w:tcW w:w="2480" w:type="dxa"/>
            <w:tcBorders>
              <w:top w:val="nil"/>
              <w:left w:val="nil"/>
              <w:bottom w:val="single" w:sz="4" w:space="0" w:color="auto"/>
              <w:right w:val="single" w:sz="4" w:space="0" w:color="auto"/>
            </w:tcBorders>
            <w:shd w:val="clear" w:color="auto" w:fill="auto"/>
            <w:noWrap/>
            <w:vAlign w:val="center"/>
            <w:hideMark/>
          </w:tcPr>
          <w:p w14:paraId="76793956"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n°1 et 4</w:t>
            </w:r>
          </w:p>
        </w:tc>
        <w:tc>
          <w:tcPr>
            <w:tcW w:w="2220" w:type="dxa"/>
            <w:tcBorders>
              <w:top w:val="nil"/>
              <w:left w:val="nil"/>
              <w:bottom w:val="single" w:sz="4" w:space="0" w:color="auto"/>
              <w:right w:val="single" w:sz="4" w:space="0" w:color="auto"/>
            </w:tcBorders>
            <w:shd w:val="clear" w:color="auto" w:fill="auto"/>
            <w:noWrap/>
            <w:vAlign w:val="center"/>
            <w:hideMark/>
          </w:tcPr>
          <w:p w14:paraId="239981AB"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 et PGS</w:t>
            </w:r>
          </w:p>
        </w:tc>
      </w:tr>
      <w:tr w:rsidR="00F91D77" w:rsidRPr="00F91D77" w14:paraId="1CAB9F55" w14:textId="77777777" w:rsidTr="002139E7">
        <w:trPr>
          <w:trHeight w:val="411"/>
        </w:trPr>
        <w:tc>
          <w:tcPr>
            <w:tcW w:w="1700" w:type="dxa"/>
            <w:vMerge/>
            <w:tcBorders>
              <w:top w:val="nil"/>
              <w:left w:val="single" w:sz="4" w:space="0" w:color="auto"/>
              <w:bottom w:val="single" w:sz="4" w:space="0" w:color="auto"/>
              <w:right w:val="single" w:sz="4" w:space="0" w:color="auto"/>
            </w:tcBorders>
            <w:vAlign w:val="center"/>
            <w:hideMark/>
          </w:tcPr>
          <w:p w14:paraId="326C897E"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08E37214" w14:textId="77777777" w:rsidR="00F91D77" w:rsidRPr="00F91D77" w:rsidRDefault="00F91D77" w:rsidP="00F91D77">
            <w:pPr>
              <w:spacing w:line="240" w:lineRule="auto"/>
              <w:jc w:val="left"/>
              <w:rPr>
                <w:rFonts w:cs="Arial"/>
                <w:color w:val="000000"/>
                <w:sz w:val="22"/>
              </w:rPr>
            </w:pPr>
            <w:r w:rsidRPr="00F91D77">
              <w:rPr>
                <w:rFonts w:cs="Arial"/>
                <w:color w:val="000000"/>
                <w:sz w:val="22"/>
                <w:lang w:val="en-US"/>
              </w:rPr>
              <w:t>Risque d'accident</w:t>
            </w:r>
          </w:p>
        </w:tc>
        <w:tc>
          <w:tcPr>
            <w:tcW w:w="2480" w:type="dxa"/>
            <w:tcBorders>
              <w:top w:val="nil"/>
              <w:left w:val="nil"/>
              <w:bottom w:val="single" w:sz="4" w:space="0" w:color="auto"/>
              <w:right w:val="single" w:sz="4" w:space="0" w:color="auto"/>
            </w:tcBorders>
            <w:shd w:val="clear" w:color="auto" w:fill="auto"/>
            <w:noWrap/>
            <w:vAlign w:val="center"/>
            <w:hideMark/>
          </w:tcPr>
          <w:p w14:paraId="189C31CD"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n°1 et 4</w:t>
            </w:r>
          </w:p>
        </w:tc>
        <w:tc>
          <w:tcPr>
            <w:tcW w:w="2220" w:type="dxa"/>
            <w:tcBorders>
              <w:top w:val="nil"/>
              <w:left w:val="nil"/>
              <w:bottom w:val="single" w:sz="4" w:space="0" w:color="auto"/>
              <w:right w:val="single" w:sz="4" w:space="0" w:color="auto"/>
            </w:tcBorders>
            <w:shd w:val="clear" w:color="auto" w:fill="auto"/>
            <w:noWrap/>
            <w:vAlign w:val="center"/>
            <w:hideMark/>
          </w:tcPr>
          <w:p w14:paraId="3B2F325B"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 xml:space="preserve">EIES/PGES </w:t>
            </w:r>
          </w:p>
        </w:tc>
      </w:tr>
      <w:tr w:rsidR="00F91D77" w:rsidRPr="00F91D77" w14:paraId="3CD1FA62" w14:textId="77777777" w:rsidTr="00F91D77">
        <w:trPr>
          <w:trHeight w:val="852"/>
        </w:trPr>
        <w:tc>
          <w:tcPr>
            <w:tcW w:w="1700" w:type="dxa"/>
            <w:vMerge/>
            <w:tcBorders>
              <w:top w:val="nil"/>
              <w:left w:val="single" w:sz="4" w:space="0" w:color="auto"/>
              <w:bottom w:val="single" w:sz="4" w:space="0" w:color="auto"/>
              <w:right w:val="single" w:sz="4" w:space="0" w:color="auto"/>
            </w:tcBorders>
            <w:vAlign w:val="center"/>
            <w:hideMark/>
          </w:tcPr>
          <w:p w14:paraId="7F0C4449"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14A49E81" w14:textId="77777777" w:rsidR="00F91D77" w:rsidRPr="00F91D77" w:rsidRDefault="00F91D77" w:rsidP="00F91D77">
            <w:pPr>
              <w:spacing w:line="240" w:lineRule="auto"/>
              <w:jc w:val="left"/>
              <w:rPr>
                <w:rFonts w:cs="Arial"/>
                <w:color w:val="000000"/>
                <w:sz w:val="22"/>
              </w:rPr>
            </w:pPr>
            <w:r w:rsidRPr="009D03CE">
              <w:rPr>
                <w:rFonts w:cs="Arial"/>
                <w:color w:val="000000"/>
                <w:sz w:val="22"/>
              </w:rPr>
              <w:t>Risque de contamination du COVID-19</w:t>
            </w:r>
          </w:p>
        </w:tc>
        <w:tc>
          <w:tcPr>
            <w:tcW w:w="2480" w:type="dxa"/>
            <w:tcBorders>
              <w:top w:val="nil"/>
              <w:left w:val="nil"/>
              <w:bottom w:val="single" w:sz="4" w:space="0" w:color="auto"/>
              <w:right w:val="single" w:sz="4" w:space="0" w:color="auto"/>
            </w:tcBorders>
            <w:shd w:val="clear" w:color="auto" w:fill="auto"/>
            <w:noWrap/>
            <w:vAlign w:val="center"/>
            <w:hideMark/>
          </w:tcPr>
          <w:p w14:paraId="0A61899E"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n°1 et 4</w:t>
            </w:r>
          </w:p>
        </w:tc>
        <w:tc>
          <w:tcPr>
            <w:tcW w:w="2220" w:type="dxa"/>
            <w:tcBorders>
              <w:top w:val="nil"/>
              <w:left w:val="nil"/>
              <w:bottom w:val="single" w:sz="4" w:space="0" w:color="auto"/>
              <w:right w:val="single" w:sz="4" w:space="0" w:color="auto"/>
            </w:tcBorders>
            <w:shd w:val="clear" w:color="auto" w:fill="auto"/>
            <w:vAlign w:val="center"/>
            <w:hideMark/>
          </w:tcPr>
          <w:p w14:paraId="5AE92234"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 et la Note de bonne pratique de l'IDA</w:t>
            </w:r>
          </w:p>
        </w:tc>
      </w:tr>
      <w:tr w:rsidR="00F91D77" w:rsidRPr="00F91D77" w14:paraId="19C4F38E" w14:textId="77777777" w:rsidTr="002139E7">
        <w:trPr>
          <w:trHeight w:val="543"/>
        </w:trPr>
        <w:tc>
          <w:tcPr>
            <w:tcW w:w="1700" w:type="dxa"/>
            <w:vMerge/>
            <w:tcBorders>
              <w:top w:val="nil"/>
              <w:left w:val="single" w:sz="4" w:space="0" w:color="auto"/>
              <w:bottom w:val="single" w:sz="4" w:space="0" w:color="auto"/>
              <w:right w:val="single" w:sz="4" w:space="0" w:color="auto"/>
            </w:tcBorders>
            <w:vAlign w:val="center"/>
            <w:hideMark/>
          </w:tcPr>
          <w:p w14:paraId="5E7F651B"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58569F0A" w14:textId="77777777" w:rsidR="00F91D77" w:rsidRPr="00F91D77" w:rsidRDefault="00F91D77" w:rsidP="00F91D77">
            <w:pPr>
              <w:spacing w:line="240" w:lineRule="auto"/>
              <w:jc w:val="left"/>
              <w:rPr>
                <w:rFonts w:cs="Arial"/>
                <w:color w:val="000000"/>
                <w:sz w:val="22"/>
              </w:rPr>
            </w:pPr>
            <w:r w:rsidRPr="009D03CE">
              <w:rPr>
                <w:rFonts w:cs="Arial"/>
                <w:color w:val="000000"/>
                <w:sz w:val="22"/>
              </w:rPr>
              <w:t>Risque de contamination du virus Ebola</w:t>
            </w:r>
          </w:p>
        </w:tc>
        <w:tc>
          <w:tcPr>
            <w:tcW w:w="2480" w:type="dxa"/>
            <w:tcBorders>
              <w:top w:val="nil"/>
              <w:left w:val="nil"/>
              <w:bottom w:val="single" w:sz="4" w:space="0" w:color="auto"/>
              <w:right w:val="single" w:sz="4" w:space="0" w:color="auto"/>
            </w:tcBorders>
            <w:shd w:val="clear" w:color="auto" w:fill="auto"/>
            <w:noWrap/>
            <w:vAlign w:val="center"/>
            <w:hideMark/>
          </w:tcPr>
          <w:p w14:paraId="0E20217F"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 et 4</w:t>
            </w:r>
          </w:p>
        </w:tc>
        <w:tc>
          <w:tcPr>
            <w:tcW w:w="2220" w:type="dxa"/>
            <w:tcBorders>
              <w:top w:val="nil"/>
              <w:left w:val="nil"/>
              <w:bottom w:val="single" w:sz="4" w:space="0" w:color="auto"/>
              <w:right w:val="single" w:sz="4" w:space="0" w:color="auto"/>
            </w:tcBorders>
            <w:shd w:val="clear" w:color="auto" w:fill="auto"/>
            <w:vAlign w:val="center"/>
            <w:hideMark/>
          </w:tcPr>
          <w:p w14:paraId="01B1B6F8"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 et Directive OMS</w:t>
            </w:r>
          </w:p>
        </w:tc>
      </w:tr>
      <w:tr w:rsidR="00F91D77" w:rsidRPr="00F91D77" w14:paraId="227A4A6E" w14:textId="77777777" w:rsidTr="002139E7">
        <w:trPr>
          <w:trHeight w:val="848"/>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33C04F8D" w14:textId="77777777" w:rsidR="00F91D77" w:rsidRPr="00F91D77" w:rsidRDefault="00F91D77" w:rsidP="009D03CE">
            <w:pPr>
              <w:spacing w:line="240" w:lineRule="auto"/>
              <w:jc w:val="left"/>
              <w:rPr>
                <w:rFonts w:cs="Arial"/>
                <w:color w:val="000000"/>
                <w:sz w:val="22"/>
              </w:rPr>
            </w:pPr>
            <w:r w:rsidRPr="00F91D77">
              <w:rPr>
                <w:rFonts w:cs="Arial"/>
                <w:color w:val="000000"/>
                <w:sz w:val="22"/>
                <w:lang w:val="en-US"/>
              </w:rPr>
              <w:t>Utilisation du sol</w:t>
            </w:r>
          </w:p>
        </w:tc>
        <w:tc>
          <w:tcPr>
            <w:tcW w:w="3260" w:type="dxa"/>
            <w:tcBorders>
              <w:top w:val="nil"/>
              <w:left w:val="nil"/>
              <w:bottom w:val="single" w:sz="4" w:space="0" w:color="auto"/>
              <w:right w:val="single" w:sz="4" w:space="0" w:color="auto"/>
            </w:tcBorders>
            <w:shd w:val="clear" w:color="auto" w:fill="auto"/>
            <w:vAlign w:val="center"/>
            <w:hideMark/>
          </w:tcPr>
          <w:p w14:paraId="73B8B135" w14:textId="77777777" w:rsidR="00F91D77" w:rsidRPr="00F91D77" w:rsidRDefault="00F91D77" w:rsidP="00F91D77">
            <w:pPr>
              <w:spacing w:line="240" w:lineRule="auto"/>
              <w:jc w:val="left"/>
              <w:rPr>
                <w:rFonts w:cs="Arial"/>
                <w:color w:val="000000"/>
                <w:sz w:val="22"/>
              </w:rPr>
            </w:pPr>
            <w:r w:rsidRPr="009D03CE">
              <w:rPr>
                <w:rFonts w:cs="Arial"/>
                <w:color w:val="000000"/>
                <w:sz w:val="22"/>
              </w:rPr>
              <w:t>Perte de sols agricoles et de pâturages en zone rurale et périurbaine.</w:t>
            </w:r>
          </w:p>
        </w:tc>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14:paraId="0F73280E"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 et 5</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D466D8" w14:textId="77777777" w:rsidR="00F91D77" w:rsidRPr="00F91D77" w:rsidRDefault="00F91D77" w:rsidP="00F91D77">
            <w:pPr>
              <w:spacing w:line="240" w:lineRule="auto"/>
              <w:jc w:val="center"/>
              <w:rPr>
                <w:rFonts w:cs="Arial"/>
                <w:color w:val="000000"/>
                <w:sz w:val="22"/>
              </w:rPr>
            </w:pPr>
            <w:r w:rsidRPr="00F91D77">
              <w:rPr>
                <w:rFonts w:cs="Arial"/>
                <w:color w:val="000000"/>
                <w:sz w:val="22"/>
              </w:rPr>
              <w:t>CPR et PAR</w:t>
            </w:r>
          </w:p>
        </w:tc>
      </w:tr>
      <w:tr w:rsidR="00F91D77" w:rsidRPr="00F91D77" w14:paraId="7ADB6FFE" w14:textId="77777777" w:rsidTr="002139E7">
        <w:trPr>
          <w:trHeight w:val="563"/>
        </w:trPr>
        <w:tc>
          <w:tcPr>
            <w:tcW w:w="1700" w:type="dxa"/>
            <w:vMerge/>
            <w:tcBorders>
              <w:top w:val="nil"/>
              <w:left w:val="single" w:sz="4" w:space="0" w:color="auto"/>
              <w:bottom w:val="single" w:sz="4" w:space="0" w:color="auto"/>
              <w:right w:val="single" w:sz="4" w:space="0" w:color="auto"/>
            </w:tcBorders>
            <w:vAlign w:val="center"/>
            <w:hideMark/>
          </w:tcPr>
          <w:p w14:paraId="48862F42" w14:textId="77777777" w:rsidR="00F91D77" w:rsidRPr="00F91D77" w:rsidRDefault="00F91D77" w:rsidP="00F91D77">
            <w:pPr>
              <w:spacing w:line="240" w:lineRule="auto"/>
              <w:jc w:val="left"/>
              <w:rPr>
                <w:rFonts w:cs="Arial"/>
                <w:color w:val="000000"/>
                <w:sz w:val="22"/>
              </w:rPr>
            </w:pPr>
          </w:p>
        </w:tc>
        <w:tc>
          <w:tcPr>
            <w:tcW w:w="3260" w:type="dxa"/>
            <w:tcBorders>
              <w:top w:val="nil"/>
              <w:left w:val="nil"/>
              <w:bottom w:val="single" w:sz="4" w:space="0" w:color="auto"/>
              <w:right w:val="single" w:sz="4" w:space="0" w:color="auto"/>
            </w:tcBorders>
            <w:shd w:val="clear" w:color="auto" w:fill="auto"/>
            <w:vAlign w:val="center"/>
            <w:hideMark/>
          </w:tcPr>
          <w:p w14:paraId="5ECFD3E3" w14:textId="77777777" w:rsidR="00F91D77" w:rsidRPr="00F91D77" w:rsidRDefault="00F91D77" w:rsidP="00F91D77">
            <w:pPr>
              <w:spacing w:line="240" w:lineRule="auto"/>
              <w:jc w:val="left"/>
              <w:rPr>
                <w:rFonts w:cs="Arial"/>
                <w:color w:val="000000"/>
                <w:sz w:val="22"/>
              </w:rPr>
            </w:pPr>
            <w:r w:rsidRPr="009D03CE">
              <w:rPr>
                <w:rFonts w:cs="Arial"/>
                <w:color w:val="000000"/>
                <w:sz w:val="22"/>
              </w:rPr>
              <w:t>Perte de revenus pour les activités commerciales.</w:t>
            </w:r>
          </w:p>
        </w:tc>
        <w:tc>
          <w:tcPr>
            <w:tcW w:w="2480" w:type="dxa"/>
            <w:vMerge/>
            <w:tcBorders>
              <w:top w:val="nil"/>
              <w:left w:val="single" w:sz="4" w:space="0" w:color="auto"/>
              <w:bottom w:val="single" w:sz="4" w:space="0" w:color="auto"/>
              <w:right w:val="single" w:sz="4" w:space="0" w:color="auto"/>
            </w:tcBorders>
            <w:vAlign w:val="center"/>
            <w:hideMark/>
          </w:tcPr>
          <w:p w14:paraId="66008E4B" w14:textId="77777777" w:rsidR="00F91D77" w:rsidRPr="00F91D77" w:rsidRDefault="00F91D77" w:rsidP="00F91D77">
            <w:pPr>
              <w:spacing w:line="240" w:lineRule="auto"/>
              <w:jc w:val="left"/>
              <w:rPr>
                <w:rFonts w:cs="Arial"/>
                <w:color w:val="000000"/>
                <w:sz w:val="22"/>
              </w:rPr>
            </w:pPr>
          </w:p>
        </w:tc>
        <w:tc>
          <w:tcPr>
            <w:tcW w:w="2220" w:type="dxa"/>
            <w:vMerge/>
            <w:tcBorders>
              <w:top w:val="nil"/>
              <w:left w:val="single" w:sz="4" w:space="0" w:color="auto"/>
              <w:bottom w:val="single" w:sz="4" w:space="0" w:color="auto"/>
              <w:right w:val="single" w:sz="4" w:space="0" w:color="auto"/>
            </w:tcBorders>
            <w:vAlign w:val="center"/>
            <w:hideMark/>
          </w:tcPr>
          <w:p w14:paraId="3E5FC37D" w14:textId="77777777" w:rsidR="00F91D77" w:rsidRPr="00F91D77" w:rsidRDefault="00F91D77" w:rsidP="00F91D77">
            <w:pPr>
              <w:spacing w:line="240" w:lineRule="auto"/>
              <w:jc w:val="left"/>
              <w:rPr>
                <w:rFonts w:cs="Arial"/>
                <w:color w:val="000000"/>
                <w:sz w:val="22"/>
              </w:rPr>
            </w:pPr>
          </w:p>
        </w:tc>
      </w:tr>
      <w:tr w:rsidR="00F91D77" w:rsidRPr="00F91D77" w14:paraId="35773D94" w14:textId="77777777" w:rsidTr="002139E7">
        <w:trPr>
          <w:trHeight w:val="84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F645E74" w14:textId="77777777" w:rsidR="00F91D77" w:rsidRPr="00F91D77" w:rsidRDefault="00F91D77" w:rsidP="00F91D77">
            <w:pPr>
              <w:spacing w:line="240" w:lineRule="auto"/>
              <w:jc w:val="left"/>
              <w:rPr>
                <w:rFonts w:cs="Arial"/>
                <w:color w:val="000000"/>
                <w:sz w:val="22"/>
              </w:rPr>
            </w:pPr>
            <w:r w:rsidRPr="00F91D77">
              <w:rPr>
                <w:rFonts w:cs="Arial"/>
                <w:color w:val="000000"/>
                <w:sz w:val="22"/>
              </w:rPr>
              <w:t>Aspect financier</w:t>
            </w:r>
          </w:p>
        </w:tc>
        <w:tc>
          <w:tcPr>
            <w:tcW w:w="3260" w:type="dxa"/>
            <w:tcBorders>
              <w:top w:val="nil"/>
              <w:left w:val="nil"/>
              <w:bottom w:val="single" w:sz="4" w:space="0" w:color="auto"/>
              <w:right w:val="single" w:sz="4" w:space="0" w:color="auto"/>
            </w:tcBorders>
            <w:shd w:val="clear" w:color="auto" w:fill="auto"/>
            <w:vAlign w:val="center"/>
            <w:hideMark/>
          </w:tcPr>
          <w:p w14:paraId="588879A8" w14:textId="77777777" w:rsidR="00F91D77" w:rsidRPr="00F91D77" w:rsidRDefault="00F91D77" w:rsidP="00F91D77">
            <w:pPr>
              <w:spacing w:line="240" w:lineRule="auto"/>
              <w:jc w:val="left"/>
              <w:rPr>
                <w:rFonts w:cs="Arial"/>
                <w:color w:val="000000"/>
                <w:sz w:val="22"/>
              </w:rPr>
            </w:pPr>
            <w:r w:rsidRPr="00F91D77">
              <w:rPr>
                <w:rFonts w:cs="Arial"/>
                <w:color w:val="000000"/>
                <w:sz w:val="22"/>
              </w:rPr>
              <w:t>Risque d'absence des IF dans les zones concernées par le Programmes</w:t>
            </w:r>
          </w:p>
        </w:tc>
        <w:tc>
          <w:tcPr>
            <w:tcW w:w="2480" w:type="dxa"/>
            <w:tcBorders>
              <w:top w:val="nil"/>
              <w:left w:val="nil"/>
              <w:bottom w:val="single" w:sz="4" w:space="0" w:color="auto"/>
              <w:right w:val="single" w:sz="4" w:space="0" w:color="auto"/>
            </w:tcBorders>
            <w:shd w:val="clear" w:color="auto" w:fill="auto"/>
            <w:noWrap/>
            <w:vAlign w:val="center"/>
            <w:hideMark/>
          </w:tcPr>
          <w:p w14:paraId="06B002FE" w14:textId="77777777" w:rsidR="00F91D77" w:rsidRPr="00F91D77" w:rsidRDefault="00F91D77" w:rsidP="00F91D77">
            <w:pPr>
              <w:spacing w:line="240" w:lineRule="auto"/>
              <w:jc w:val="center"/>
              <w:rPr>
                <w:rFonts w:cs="Arial"/>
                <w:color w:val="000000"/>
                <w:sz w:val="22"/>
              </w:rPr>
            </w:pPr>
            <w:r w:rsidRPr="00F91D77">
              <w:rPr>
                <w:rFonts w:cs="Arial"/>
                <w:color w:val="000000"/>
                <w:sz w:val="22"/>
              </w:rPr>
              <w:t>NES n° 1 et 9</w:t>
            </w:r>
          </w:p>
        </w:tc>
        <w:tc>
          <w:tcPr>
            <w:tcW w:w="2220" w:type="dxa"/>
            <w:tcBorders>
              <w:top w:val="nil"/>
              <w:left w:val="nil"/>
              <w:bottom w:val="single" w:sz="4" w:space="0" w:color="auto"/>
              <w:right w:val="single" w:sz="4" w:space="0" w:color="auto"/>
            </w:tcBorders>
            <w:shd w:val="clear" w:color="auto" w:fill="auto"/>
            <w:noWrap/>
            <w:vAlign w:val="center"/>
            <w:hideMark/>
          </w:tcPr>
          <w:p w14:paraId="296F7F66" w14:textId="77777777" w:rsidR="00F91D77" w:rsidRPr="00F91D77" w:rsidRDefault="008903B7" w:rsidP="00F91D77">
            <w:pPr>
              <w:spacing w:line="240" w:lineRule="auto"/>
              <w:jc w:val="center"/>
              <w:rPr>
                <w:rFonts w:cs="Arial"/>
                <w:color w:val="000000"/>
                <w:sz w:val="22"/>
              </w:rPr>
            </w:pPr>
            <w:r>
              <w:rPr>
                <w:rFonts w:cs="Arial"/>
                <w:color w:val="000000"/>
                <w:sz w:val="22"/>
              </w:rPr>
              <w:t xml:space="preserve">CGES, </w:t>
            </w:r>
            <w:r w:rsidR="00F91D77" w:rsidRPr="00F91D77">
              <w:rPr>
                <w:rFonts w:cs="Arial"/>
                <w:color w:val="000000"/>
                <w:sz w:val="22"/>
              </w:rPr>
              <w:t>EIES/PGES</w:t>
            </w:r>
          </w:p>
        </w:tc>
      </w:tr>
      <w:tr w:rsidR="002139E7" w:rsidRPr="00F91D77" w14:paraId="366AD365" w14:textId="77777777" w:rsidTr="002139E7">
        <w:trPr>
          <w:trHeight w:val="541"/>
        </w:trPr>
        <w:tc>
          <w:tcPr>
            <w:tcW w:w="1700" w:type="dxa"/>
            <w:tcBorders>
              <w:top w:val="nil"/>
              <w:left w:val="single" w:sz="4" w:space="0" w:color="auto"/>
              <w:bottom w:val="single" w:sz="4" w:space="0" w:color="auto"/>
              <w:right w:val="single" w:sz="4" w:space="0" w:color="auto"/>
            </w:tcBorders>
            <w:shd w:val="clear" w:color="auto" w:fill="auto"/>
            <w:vAlign w:val="center"/>
          </w:tcPr>
          <w:p w14:paraId="3A822238" w14:textId="77777777" w:rsidR="002139E7" w:rsidRPr="00F91D77" w:rsidRDefault="002139E7" w:rsidP="002139E7">
            <w:pPr>
              <w:spacing w:line="240" w:lineRule="auto"/>
              <w:jc w:val="left"/>
              <w:rPr>
                <w:rFonts w:cs="Arial"/>
                <w:color w:val="000000"/>
                <w:sz w:val="22"/>
              </w:rPr>
            </w:pPr>
            <w:r w:rsidRPr="00F91D77">
              <w:rPr>
                <w:rFonts w:cs="Arial"/>
                <w:color w:val="000000"/>
                <w:sz w:val="22"/>
                <w:lang w:val="en-US"/>
              </w:rPr>
              <w:t>Aspect culturel</w:t>
            </w:r>
          </w:p>
        </w:tc>
        <w:tc>
          <w:tcPr>
            <w:tcW w:w="3260" w:type="dxa"/>
            <w:tcBorders>
              <w:top w:val="nil"/>
              <w:left w:val="nil"/>
              <w:bottom w:val="single" w:sz="4" w:space="0" w:color="auto"/>
              <w:right w:val="single" w:sz="4" w:space="0" w:color="auto"/>
            </w:tcBorders>
            <w:shd w:val="clear" w:color="auto" w:fill="auto"/>
            <w:vAlign w:val="center"/>
          </w:tcPr>
          <w:p w14:paraId="2D6794D0" w14:textId="77777777" w:rsidR="002139E7" w:rsidRPr="00F91D77" w:rsidRDefault="002139E7" w:rsidP="002139E7">
            <w:pPr>
              <w:spacing w:line="240" w:lineRule="auto"/>
              <w:jc w:val="left"/>
              <w:rPr>
                <w:rFonts w:cs="Arial"/>
                <w:color w:val="000000"/>
                <w:sz w:val="22"/>
              </w:rPr>
            </w:pPr>
            <w:r w:rsidRPr="009D03CE">
              <w:rPr>
                <w:rFonts w:cs="Arial"/>
                <w:color w:val="000000"/>
                <w:sz w:val="22"/>
              </w:rPr>
              <w:t>Risques de dégradation de vestiges culturels</w:t>
            </w:r>
          </w:p>
        </w:tc>
        <w:tc>
          <w:tcPr>
            <w:tcW w:w="2480" w:type="dxa"/>
            <w:tcBorders>
              <w:top w:val="nil"/>
              <w:left w:val="nil"/>
              <w:bottom w:val="single" w:sz="4" w:space="0" w:color="auto"/>
              <w:right w:val="single" w:sz="4" w:space="0" w:color="auto"/>
            </w:tcBorders>
            <w:shd w:val="clear" w:color="auto" w:fill="auto"/>
            <w:noWrap/>
            <w:vAlign w:val="center"/>
          </w:tcPr>
          <w:p w14:paraId="79C4BA90" w14:textId="77777777" w:rsidR="002139E7" w:rsidRPr="00F91D77" w:rsidRDefault="002139E7" w:rsidP="002139E7">
            <w:pPr>
              <w:spacing w:line="240" w:lineRule="auto"/>
              <w:jc w:val="center"/>
              <w:rPr>
                <w:rFonts w:cs="Arial"/>
                <w:color w:val="000000"/>
                <w:sz w:val="22"/>
              </w:rPr>
            </w:pPr>
            <w:r w:rsidRPr="00F91D77">
              <w:rPr>
                <w:rFonts w:cs="Arial"/>
                <w:color w:val="000000"/>
                <w:sz w:val="22"/>
              </w:rPr>
              <w:t>NES n° 1, 8 et 10</w:t>
            </w:r>
          </w:p>
        </w:tc>
        <w:tc>
          <w:tcPr>
            <w:tcW w:w="2220" w:type="dxa"/>
            <w:tcBorders>
              <w:top w:val="nil"/>
              <w:left w:val="nil"/>
              <w:bottom w:val="single" w:sz="4" w:space="0" w:color="auto"/>
              <w:right w:val="single" w:sz="4" w:space="0" w:color="auto"/>
            </w:tcBorders>
            <w:shd w:val="clear" w:color="auto" w:fill="auto"/>
            <w:noWrap/>
            <w:vAlign w:val="center"/>
          </w:tcPr>
          <w:p w14:paraId="0B361FB3" w14:textId="77777777" w:rsidR="002139E7" w:rsidRDefault="002139E7" w:rsidP="002139E7">
            <w:pPr>
              <w:spacing w:line="240" w:lineRule="auto"/>
              <w:jc w:val="center"/>
              <w:rPr>
                <w:rFonts w:cs="Arial"/>
                <w:color w:val="000000"/>
                <w:sz w:val="22"/>
              </w:rPr>
            </w:pPr>
            <w:r>
              <w:rPr>
                <w:rFonts w:cs="Arial"/>
                <w:color w:val="000000"/>
                <w:sz w:val="22"/>
              </w:rPr>
              <w:t xml:space="preserve">CGES, </w:t>
            </w:r>
            <w:r w:rsidRPr="00F91D77">
              <w:rPr>
                <w:rFonts w:cs="Arial"/>
                <w:color w:val="000000"/>
                <w:sz w:val="22"/>
              </w:rPr>
              <w:t>EIES/PGES</w:t>
            </w:r>
          </w:p>
        </w:tc>
      </w:tr>
    </w:tbl>
    <w:p w14:paraId="3B3C9A77" w14:textId="77777777" w:rsidR="001C2F95" w:rsidRPr="00010F6E" w:rsidRDefault="001C2F95" w:rsidP="001C2F95">
      <w:pPr>
        <w:tabs>
          <w:tab w:val="left" w:pos="0"/>
        </w:tabs>
        <w:rPr>
          <w:rFonts w:cs="Arial"/>
          <w:color w:val="FF0000"/>
          <w:sz w:val="22"/>
        </w:rPr>
      </w:pPr>
    </w:p>
    <w:p w14:paraId="1EFE99BB" w14:textId="77777777" w:rsidR="001C2F95" w:rsidRPr="00730A4A" w:rsidRDefault="001C2F95" w:rsidP="001C2F95">
      <w:pPr>
        <w:pStyle w:val="Titre2"/>
        <w:numPr>
          <w:ilvl w:val="2"/>
          <w:numId w:val="4"/>
        </w:numPr>
        <w:ind w:left="1560" w:hanging="709"/>
        <w:rPr>
          <w:rFonts w:cs="Arial"/>
          <w:i/>
          <w:color w:val="000000"/>
          <w:sz w:val="22"/>
          <w:szCs w:val="22"/>
        </w:rPr>
      </w:pPr>
      <w:bookmarkStart w:id="510" w:name="_Toc44626842"/>
      <w:bookmarkStart w:id="511" w:name="_Toc70330430"/>
      <w:r w:rsidRPr="00730A4A">
        <w:rPr>
          <w:rFonts w:cs="Arial"/>
          <w:i/>
          <w:color w:val="000000"/>
          <w:sz w:val="22"/>
          <w:szCs w:val="22"/>
        </w:rPr>
        <w:t>Synthèse des impacts environnementaux et sociaux négatifs potentiels</w:t>
      </w:r>
      <w:bookmarkEnd w:id="510"/>
      <w:bookmarkEnd w:id="511"/>
    </w:p>
    <w:p w14:paraId="285C4DE3" w14:textId="77777777" w:rsidR="001C2F95" w:rsidRPr="00730A4A" w:rsidRDefault="001C2F95" w:rsidP="001C2F95">
      <w:pPr>
        <w:rPr>
          <w:rFonts w:cs="Arial"/>
          <w:color w:val="000000"/>
          <w:sz w:val="22"/>
        </w:rPr>
      </w:pPr>
    </w:p>
    <w:p w14:paraId="7824C4B8" w14:textId="77777777" w:rsidR="001C2F95" w:rsidRPr="00730A4A" w:rsidRDefault="001C2F95" w:rsidP="001C2F95">
      <w:pPr>
        <w:rPr>
          <w:rFonts w:cs="Arial"/>
          <w:color w:val="000000"/>
          <w:sz w:val="22"/>
        </w:rPr>
      </w:pPr>
      <w:r w:rsidRPr="00730A4A">
        <w:rPr>
          <w:rFonts w:cs="Arial"/>
          <w:color w:val="000000"/>
          <w:sz w:val="22"/>
        </w:rPr>
        <w:t xml:space="preserve">La présente section comprend : </w:t>
      </w:r>
      <w:r w:rsidRPr="00730A4A">
        <w:rPr>
          <w:rFonts w:cs="Arial"/>
          <w:i/>
          <w:color w:val="000000"/>
          <w:sz w:val="22"/>
        </w:rPr>
        <w:t>(i)</w:t>
      </w:r>
      <w:r w:rsidRPr="00730A4A">
        <w:rPr>
          <w:rFonts w:cs="Arial"/>
          <w:color w:val="000000"/>
          <w:sz w:val="22"/>
        </w:rPr>
        <w:t xml:space="preserve"> des listes des impacts négatifs des travaux d’aménagement des routes rurales,</w:t>
      </w:r>
      <w:r w:rsidR="00A91915" w:rsidRPr="00730A4A">
        <w:rPr>
          <w:rFonts w:cs="Arial"/>
          <w:color w:val="000000"/>
          <w:sz w:val="22"/>
        </w:rPr>
        <w:t xml:space="preserve"> </w:t>
      </w:r>
      <w:r w:rsidRPr="00730A4A">
        <w:rPr>
          <w:rFonts w:cs="Arial"/>
          <w:color w:val="000000"/>
          <w:sz w:val="22"/>
        </w:rPr>
        <w:t xml:space="preserve">des marchés communautaires, abattoirs et que des travaux irrigation ; </w:t>
      </w:r>
      <w:r w:rsidRPr="00730A4A">
        <w:rPr>
          <w:rFonts w:cs="Arial"/>
          <w:i/>
          <w:color w:val="000000"/>
          <w:sz w:val="22"/>
        </w:rPr>
        <w:t>(ii)</w:t>
      </w:r>
      <w:r w:rsidRPr="00730A4A">
        <w:rPr>
          <w:rFonts w:cs="Arial"/>
          <w:color w:val="000000"/>
          <w:sz w:val="22"/>
        </w:rPr>
        <w:t xml:space="preserve"> des listes de simples mesures d’atténuation pour éviter ou réduire les impacts négatifs, mais aussi </w:t>
      </w:r>
      <w:r w:rsidRPr="00730A4A">
        <w:rPr>
          <w:rFonts w:cs="Arial"/>
          <w:i/>
          <w:color w:val="000000"/>
          <w:sz w:val="22"/>
        </w:rPr>
        <w:t>(iii)</w:t>
      </w:r>
      <w:r w:rsidRPr="00730A4A">
        <w:rPr>
          <w:rFonts w:cs="Arial"/>
          <w:color w:val="000000"/>
          <w:sz w:val="22"/>
        </w:rPr>
        <w:t xml:space="preserve"> de bonification des impacts positifs potentiels lors de la mise en œuvre des sous-projets du PNDA ; </w:t>
      </w:r>
      <w:r w:rsidRPr="00730A4A">
        <w:rPr>
          <w:rFonts w:cs="Arial"/>
          <w:i/>
          <w:color w:val="000000"/>
          <w:sz w:val="22"/>
        </w:rPr>
        <w:t>(iv)</w:t>
      </w:r>
      <w:r w:rsidRPr="00730A4A">
        <w:rPr>
          <w:rFonts w:cs="Arial"/>
          <w:color w:val="000000"/>
          <w:sz w:val="22"/>
        </w:rPr>
        <w:t xml:space="preserve"> des Clauses environnementales et sociales à intégrer lors des travaux (voir tableaux </w:t>
      </w:r>
      <w:r w:rsidR="00AA7E78" w:rsidRPr="00730A4A">
        <w:rPr>
          <w:rFonts w:cs="Arial"/>
          <w:color w:val="000000"/>
          <w:sz w:val="22"/>
        </w:rPr>
        <w:t>21</w:t>
      </w:r>
      <w:r w:rsidRPr="00730A4A">
        <w:rPr>
          <w:rFonts w:cs="Arial"/>
          <w:color w:val="000000"/>
          <w:sz w:val="22"/>
        </w:rPr>
        <w:t xml:space="preserve"> à </w:t>
      </w:r>
      <w:r w:rsidR="00AA7E78" w:rsidRPr="00730A4A">
        <w:rPr>
          <w:rFonts w:cs="Arial"/>
          <w:color w:val="000000"/>
          <w:sz w:val="22"/>
        </w:rPr>
        <w:t>24</w:t>
      </w:r>
      <w:r w:rsidRPr="00730A4A">
        <w:rPr>
          <w:rFonts w:cs="Arial"/>
          <w:color w:val="000000"/>
          <w:sz w:val="22"/>
        </w:rPr>
        <w:t xml:space="preserve"> ci-dessous).</w:t>
      </w:r>
      <w:bookmarkStart w:id="512" w:name="_Toc405619225"/>
      <w:bookmarkStart w:id="513" w:name="_Toc500070837"/>
    </w:p>
    <w:p w14:paraId="359BBD15" w14:textId="77777777" w:rsidR="001C2F95" w:rsidRPr="00730A4A" w:rsidRDefault="001C2F95" w:rsidP="001C2F95">
      <w:pPr>
        <w:spacing w:line="240" w:lineRule="auto"/>
        <w:jc w:val="left"/>
        <w:rPr>
          <w:rFonts w:cs="Arial"/>
          <w:color w:val="000000"/>
          <w:sz w:val="22"/>
        </w:rPr>
      </w:pPr>
      <w:bookmarkStart w:id="514" w:name="_Toc70451667"/>
      <w:r w:rsidRPr="00C87DC9">
        <w:rPr>
          <w:rFonts w:cs="Arial"/>
          <w:sz w:val="22"/>
        </w:rPr>
        <w:t xml:space="preserve">Tableau </w:t>
      </w:r>
      <w:r w:rsidRPr="00C87DC9">
        <w:rPr>
          <w:rFonts w:cs="Arial"/>
          <w:sz w:val="22"/>
        </w:rPr>
        <w:fldChar w:fldCharType="begin"/>
      </w:r>
      <w:r w:rsidRPr="00C87DC9">
        <w:rPr>
          <w:rFonts w:cs="Arial"/>
          <w:sz w:val="22"/>
        </w:rPr>
        <w:instrText xml:space="preserve"> SEQ Tableau \* ARABIC </w:instrText>
      </w:r>
      <w:r w:rsidRPr="00C87DC9">
        <w:rPr>
          <w:rFonts w:cs="Arial"/>
          <w:sz w:val="22"/>
        </w:rPr>
        <w:fldChar w:fldCharType="separate"/>
      </w:r>
      <w:r w:rsidR="001260B3">
        <w:rPr>
          <w:rFonts w:cs="Arial"/>
          <w:noProof/>
          <w:sz w:val="22"/>
        </w:rPr>
        <w:t>21</w:t>
      </w:r>
      <w:r w:rsidRPr="00C87DC9">
        <w:rPr>
          <w:rFonts w:cs="Arial"/>
          <w:sz w:val="22"/>
        </w:rPr>
        <w:fldChar w:fldCharType="end"/>
      </w:r>
      <w:r w:rsidRPr="00C87DC9">
        <w:rPr>
          <w:rFonts w:cs="Arial"/>
          <w:sz w:val="22"/>
        </w:rPr>
        <w:t>.</w:t>
      </w:r>
      <w:r>
        <w:rPr>
          <w:rFonts w:cs="Arial"/>
          <w:sz w:val="22"/>
        </w:rPr>
        <w:t xml:space="preserve"> </w:t>
      </w:r>
      <w:r w:rsidRPr="00730A4A">
        <w:rPr>
          <w:rFonts w:cs="Arial"/>
          <w:color w:val="000000"/>
          <w:sz w:val="22"/>
        </w:rPr>
        <w:t>Impacts négatifs potentiels des activités de soutien direct aux petits exploitants</w:t>
      </w:r>
      <w:bookmarkEnd w:id="514"/>
      <w:r>
        <w:rPr>
          <w:rFonts w:cs="Arial"/>
          <w:bCs/>
          <w:sz w:val="22"/>
        </w:rPr>
        <w:t> </w:t>
      </w:r>
    </w:p>
    <w:p w14:paraId="32B19A62" w14:textId="77777777" w:rsidR="001C2F95" w:rsidRPr="00730A4A" w:rsidRDefault="001C2F95" w:rsidP="001C2F95">
      <w:pPr>
        <w:rPr>
          <w:rFonts w:cs="Arial"/>
          <w:color w:val="000000"/>
          <w:sz w:val="22"/>
          <w:lang w:eastAsia="en-US"/>
        </w:rPr>
      </w:pPr>
    </w:p>
    <w:tbl>
      <w:tblPr>
        <w:tblW w:w="9214" w:type="dxa"/>
        <w:tblInd w:w="-5" w:type="dxa"/>
        <w:tblLook w:val="01E0" w:firstRow="1" w:lastRow="1" w:firstColumn="1" w:lastColumn="1" w:noHBand="0" w:noVBand="0"/>
      </w:tblPr>
      <w:tblGrid>
        <w:gridCol w:w="1452"/>
        <w:gridCol w:w="7762"/>
      </w:tblGrid>
      <w:tr w:rsidR="001C2F95" w:rsidRPr="00010F6E" w14:paraId="2E205FD3" w14:textId="77777777" w:rsidTr="00971FD2">
        <w:trPr>
          <w:tblHeader/>
        </w:trPr>
        <w:tc>
          <w:tcPr>
            <w:tcW w:w="1452" w:type="dxa"/>
            <w:tcBorders>
              <w:top w:val="single" w:sz="4" w:space="0" w:color="auto"/>
              <w:left w:val="single" w:sz="4" w:space="0" w:color="auto"/>
              <w:bottom w:val="single" w:sz="4" w:space="0" w:color="auto"/>
              <w:right w:val="single" w:sz="4" w:space="0" w:color="auto"/>
            </w:tcBorders>
          </w:tcPr>
          <w:p w14:paraId="627C6D94" w14:textId="77777777" w:rsidR="001C2F95" w:rsidRPr="00730A4A" w:rsidRDefault="001C2F95" w:rsidP="00971FD2">
            <w:pPr>
              <w:jc w:val="center"/>
              <w:rPr>
                <w:rFonts w:cs="Arial"/>
                <w:bCs/>
                <w:color w:val="000000"/>
                <w:sz w:val="22"/>
              </w:rPr>
            </w:pPr>
            <w:r w:rsidRPr="00730A4A">
              <w:rPr>
                <w:rFonts w:cs="Arial"/>
                <w:bCs/>
                <w:color w:val="000000"/>
                <w:sz w:val="22"/>
              </w:rPr>
              <w:t>Phase</w:t>
            </w:r>
          </w:p>
        </w:tc>
        <w:tc>
          <w:tcPr>
            <w:tcW w:w="7762" w:type="dxa"/>
            <w:tcBorders>
              <w:top w:val="single" w:sz="4" w:space="0" w:color="auto"/>
              <w:left w:val="single" w:sz="4" w:space="0" w:color="auto"/>
              <w:bottom w:val="single" w:sz="4" w:space="0" w:color="auto"/>
              <w:right w:val="single" w:sz="4" w:space="0" w:color="auto"/>
            </w:tcBorders>
          </w:tcPr>
          <w:p w14:paraId="5A84A7A6" w14:textId="77777777" w:rsidR="001C2F95" w:rsidRPr="00730A4A" w:rsidRDefault="001C2F95" w:rsidP="00971FD2">
            <w:pPr>
              <w:jc w:val="center"/>
              <w:rPr>
                <w:rFonts w:cs="Arial"/>
                <w:bCs/>
                <w:color w:val="000000"/>
                <w:sz w:val="22"/>
              </w:rPr>
            </w:pPr>
            <w:r w:rsidRPr="00730A4A">
              <w:rPr>
                <w:rFonts w:cs="Arial"/>
                <w:bCs/>
                <w:color w:val="000000"/>
                <w:sz w:val="22"/>
              </w:rPr>
              <w:t>Impacts négatifs</w:t>
            </w:r>
          </w:p>
        </w:tc>
      </w:tr>
      <w:tr w:rsidR="001C2F95" w:rsidRPr="00010F6E" w14:paraId="2D0546C8" w14:textId="77777777" w:rsidTr="00971FD2">
        <w:trPr>
          <w:trHeight w:val="1266"/>
        </w:trPr>
        <w:tc>
          <w:tcPr>
            <w:tcW w:w="1452" w:type="dxa"/>
            <w:tcBorders>
              <w:top w:val="single" w:sz="4" w:space="0" w:color="auto"/>
              <w:left w:val="single" w:sz="4" w:space="0" w:color="auto"/>
              <w:bottom w:val="single" w:sz="4" w:space="0" w:color="auto"/>
              <w:right w:val="single" w:sz="4" w:space="0" w:color="auto"/>
            </w:tcBorders>
          </w:tcPr>
          <w:p w14:paraId="2B08F74C" w14:textId="77777777" w:rsidR="001C2F95" w:rsidRPr="00730A4A" w:rsidRDefault="001C2F95" w:rsidP="00971FD2">
            <w:pPr>
              <w:rPr>
                <w:rFonts w:cs="Arial"/>
                <w:bCs/>
                <w:color w:val="000000"/>
                <w:sz w:val="22"/>
              </w:rPr>
            </w:pPr>
          </w:p>
          <w:p w14:paraId="1203E9B1" w14:textId="77777777" w:rsidR="001C2F95" w:rsidRPr="00730A4A" w:rsidRDefault="001C2F95" w:rsidP="00971FD2">
            <w:pPr>
              <w:rPr>
                <w:rFonts w:cs="Arial"/>
                <w:bCs/>
                <w:color w:val="000000"/>
                <w:sz w:val="22"/>
              </w:rPr>
            </w:pPr>
          </w:p>
          <w:p w14:paraId="3B28DEED" w14:textId="77777777" w:rsidR="001C2F95" w:rsidRPr="00730A4A" w:rsidRDefault="001C2F95" w:rsidP="00971FD2">
            <w:pPr>
              <w:rPr>
                <w:rFonts w:cs="Arial"/>
                <w:bCs/>
                <w:color w:val="000000"/>
                <w:sz w:val="22"/>
              </w:rPr>
            </w:pPr>
          </w:p>
          <w:p w14:paraId="29FD09B5" w14:textId="77777777" w:rsidR="001C2F95" w:rsidRPr="00730A4A" w:rsidRDefault="001C2F95" w:rsidP="00971FD2">
            <w:pPr>
              <w:rPr>
                <w:rFonts w:cs="Arial"/>
                <w:bCs/>
                <w:color w:val="000000"/>
                <w:sz w:val="22"/>
              </w:rPr>
            </w:pPr>
          </w:p>
          <w:p w14:paraId="6B6A35E6" w14:textId="77777777" w:rsidR="001C2F95" w:rsidRPr="00730A4A" w:rsidRDefault="001C2F95" w:rsidP="00971FD2">
            <w:pPr>
              <w:rPr>
                <w:rFonts w:cs="Arial"/>
                <w:bCs/>
                <w:color w:val="000000"/>
                <w:sz w:val="22"/>
              </w:rPr>
            </w:pPr>
          </w:p>
          <w:p w14:paraId="64A2ADE4" w14:textId="77777777" w:rsidR="001C2F95" w:rsidRPr="00730A4A" w:rsidRDefault="001C2F95" w:rsidP="00971FD2">
            <w:pPr>
              <w:rPr>
                <w:rFonts w:cs="Arial"/>
                <w:bCs/>
                <w:color w:val="000000"/>
                <w:sz w:val="22"/>
              </w:rPr>
            </w:pPr>
          </w:p>
          <w:p w14:paraId="4FF5EF0D" w14:textId="77777777" w:rsidR="001C2F95" w:rsidRPr="00730A4A" w:rsidRDefault="001C2F95" w:rsidP="00971FD2">
            <w:pPr>
              <w:rPr>
                <w:rFonts w:cs="Arial"/>
                <w:bCs/>
                <w:color w:val="000000"/>
                <w:sz w:val="22"/>
              </w:rPr>
            </w:pPr>
          </w:p>
          <w:p w14:paraId="28E09CCB" w14:textId="77777777" w:rsidR="001C2F95" w:rsidRPr="00730A4A" w:rsidRDefault="001C2F95" w:rsidP="00971FD2">
            <w:pPr>
              <w:rPr>
                <w:rFonts w:cs="Arial"/>
                <w:bCs/>
                <w:color w:val="000000"/>
                <w:sz w:val="22"/>
              </w:rPr>
            </w:pPr>
          </w:p>
          <w:p w14:paraId="4BEBCDC5" w14:textId="77777777" w:rsidR="001C2F95" w:rsidRPr="00730A4A" w:rsidRDefault="001C2F95" w:rsidP="00971FD2">
            <w:pPr>
              <w:rPr>
                <w:rFonts w:cs="Arial"/>
                <w:bCs/>
                <w:color w:val="000000"/>
                <w:sz w:val="22"/>
              </w:rPr>
            </w:pPr>
          </w:p>
          <w:p w14:paraId="3041D6FC" w14:textId="77777777" w:rsidR="001C2F95" w:rsidRPr="00730A4A" w:rsidRDefault="001C2F95" w:rsidP="00971FD2">
            <w:pPr>
              <w:rPr>
                <w:rFonts w:cs="Arial"/>
                <w:bCs/>
                <w:color w:val="000000"/>
                <w:sz w:val="22"/>
              </w:rPr>
            </w:pPr>
          </w:p>
          <w:p w14:paraId="68E141E8" w14:textId="77777777" w:rsidR="001C2F95" w:rsidRPr="00730A4A" w:rsidRDefault="001C2F95" w:rsidP="00971FD2">
            <w:pPr>
              <w:rPr>
                <w:rFonts w:cs="Arial"/>
                <w:bCs/>
                <w:color w:val="000000"/>
                <w:sz w:val="22"/>
              </w:rPr>
            </w:pPr>
          </w:p>
          <w:p w14:paraId="24AA629C" w14:textId="77777777" w:rsidR="001C2F95" w:rsidRPr="00730A4A" w:rsidRDefault="001C2F95" w:rsidP="00971FD2">
            <w:pPr>
              <w:rPr>
                <w:rFonts w:cs="Arial"/>
                <w:bCs/>
                <w:color w:val="000000"/>
                <w:sz w:val="22"/>
              </w:rPr>
            </w:pPr>
          </w:p>
          <w:p w14:paraId="3795C1C8" w14:textId="77777777" w:rsidR="001C2F95" w:rsidRPr="00730A4A" w:rsidRDefault="001C2F95" w:rsidP="00971FD2">
            <w:pPr>
              <w:rPr>
                <w:rFonts w:cs="Arial"/>
                <w:bCs/>
                <w:color w:val="000000"/>
                <w:sz w:val="22"/>
              </w:rPr>
            </w:pPr>
          </w:p>
          <w:p w14:paraId="0737D799" w14:textId="77777777" w:rsidR="001C2F95" w:rsidRPr="00730A4A" w:rsidRDefault="001C2F95" w:rsidP="00971FD2">
            <w:pPr>
              <w:rPr>
                <w:rFonts w:cs="Arial"/>
                <w:bCs/>
                <w:color w:val="000000"/>
                <w:sz w:val="22"/>
              </w:rPr>
            </w:pPr>
          </w:p>
          <w:p w14:paraId="0456B611" w14:textId="77777777" w:rsidR="001C2F95" w:rsidRPr="00730A4A" w:rsidRDefault="001C2F95" w:rsidP="00971FD2">
            <w:pPr>
              <w:rPr>
                <w:rFonts w:cs="Arial"/>
                <w:bCs/>
                <w:color w:val="000000"/>
                <w:sz w:val="22"/>
              </w:rPr>
            </w:pPr>
          </w:p>
          <w:p w14:paraId="0D936778" w14:textId="77777777" w:rsidR="001C2F95" w:rsidRPr="00730A4A" w:rsidRDefault="001C2F95" w:rsidP="00971FD2">
            <w:pPr>
              <w:rPr>
                <w:rFonts w:cs="Arial"/>
                <w:bCs/>
                <w:color w:val="000000"/>
                <w:sz w:val="22"/>
              </w:rPr>
            </w:pPr>
          </w:p>
          <w:p w14:paraId="6AF53065" w14:textId="77777777" w:rsidR="001C2F95" w:rsidRPr="00730A4A" w:rsidRDefault="001C2F95" w:rsidP="00971FD2">
            <w:pPr>
              <w:rPr>
                <w:rFonts w:cs="Arial"/>
                <w:bCs/>
                <w:color w:val="000000"/>
                <w:sz w:val="22"/>
              </w:rPr>
            </w:pPr>
            <w:r w:rsidRPr="00730A4A">
              <w:rPr>
                <w:rFonts w:cs="Arial"/>
                <w:bCs/>
                <w:color w:val="000000"/>
                <w:sz w:val="22"/>
              </w:rPr>
              <w:t>Construction</w:t>
            </w:r>
          </w:p>
        </w:tc>
        <w:tc>
          <w:tcPr>
            <w:tcW w:w="7762" w:type="dxa"/>
            <w:tcBorders>
              <w:top w:val="single" w:sz="4" w:space="0" w:color="auto"/>
              <w:left w:val="single" w:sz="4" w:space="0" w:color="auto"/>
              <w:bottom w:val="single" w:sz="4" w:space="0" w:color="auto"/>
              <w:right w:val="single" w:sz="4" w:space="0" w:color="auto"/>
            </w:tcBorders>
            <w:shd w:val="clear" w:color="auto" w:fill="auto"/>
          </w:tcPr>
          <w:p w14:paraId="5B4E8FAC"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w:t>
            </w:r>
            <w:r w:rsidRPr="00730A4A" w:rsidDel="00F63752">
              <w:rPr>
                <w:rFonts w:cs="Arial"/>
                <w:color w:val="000000"/>
                <w:sz w:val="22"/>
              </w:rPr>
              <w:t xml:space="preserve">isque de conflits sociaux entre les ménages sélectionnés et non sélectionnés, les ménages où les femmes sont chef de </w:t>
            </w:r>
            <w:r w:rsidRPr="00730A4A">
              <w:rPr>
                <w:rFonts w:cs="Arial"/>
                <w:color w:val="000000"/>
                <w:sz w:val="22"/>
              </w:rPr>
              <w:t>famille</w:t>
            </w:r>
            <w:r w:rsidRPr="00730A4A" w:rsidDel="00F63752">
              <w:rPr>
                <w:rFonts w:cs="Arial"/>
                <w:color w:val="000000"/>
                <w:sz w:val="22"/>
              </w:rPr>
              <w:t xml:space="preserve"> et où elles ne le sont pas ; </w:t>
            </w:r>
          </w:p>
          <w:p w14:paraId="6FEA926C"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N</w:t>
            </w:r>
            <w:r w:rsidRPr="00730A4A" w:rsidDel="00F63752">
              <w:rPr>
                <w:rFonts w:cs="Arial"/>
                <w:color w:val="000000"/>
                <w:sz w:val="22"/>
              </w:rPr>
              <w:t xml:space="preserve">on-respect des critères de sélection des ménages éligibles ; </w:t>
            </w:r>
          </w:p>
          <w:p w14:paraId="15002A61"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w:t>
            </w:r>
            <w:r w:rsidRPr="00730A4A" w:rsidDel="00F63752">
              <w:rPr>
                <w:rFonts w:cs="Arial"/>
                <w:color w:val="000000"/>
                <w:sz w:val="22"/>
              </w:rPr>
              <w:t>isque de la discrimination des populations autochtones lors de la sélection des ménages vulnérables</w:t>
            </w:r>
            <w:r w:rsidRPr="00730A4A">
              <w:rPr>
                <w:rFonts w:cs="Arial"/>
                <w:color w:val="000000"/>
                <w:sz w:val="22"/>
              </w:rPr>
              <w:t xml:space="preserve"> ; </w:t>
            </w:r>
          </w:p>
          <w:p w14:paraId="42668981"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w:t>
            </w:r>
            <w:r w:rsidRPr="00730A4A" w:rsidDel="00F63752">
              <w:rPr>
                <w:rFonts w:cs="Arial"/>
                <w:color w:val="000000"/>
                <w:sz w:val="22"/>
              </w:rPr>
              <w:t>isque d’une discrimination liée au sexe. Il en est de même lors de renforcement des capacités, les populations autochtones (y compris les femmes) risquent d’être victimes de n’avoir pas bénéficié de la formation sous prétexte qu’elles n’ont pas étudié</w:t>
            </w:r>
            <w:r w:rsidRPr="00730A4A">
              <w:rPr>
                <w:rFonts w:cs="Arial"/>
                <w:color w:val="000000"/>
                <w:sz w:val="22"/>
              </w:rPr>
              <w:t> ;</w:t>
            </w:r>
          </w:p>
          <w:p w14:paraId="72B5F187"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perte de végétation et de dégradation des habitats naturels ;</w:t>
            </w:r>
          </w:p>
          <w:p w14:paraId="48FFB5D0"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contamination d’eau de surface et souterraine suite à l’utilisation non rationnelle des produits chimiques (engrais et pesticides) ;</w:t>
            </w:r>
          </w:p>
          <w:p w14:paraId="14EECA73"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contamination du sol due à l’utilisation non rationnelle des produits chimiques (engrais et pesticides) ;</w:t>
            </w:r>
          </w:p>
          <w:p w14:paraId="27D9681C"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des nuisances dues aux odeurs de composts ;</w:t>
            </w:r>
          </w:p>
          <w:p w14:paraId="5A7BB4D7"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Risque d’érosion due à la mise à nu des terres ; </w:t>
            </w:r>
          </w:p>
          <w:p w14:paraId="56D57E8F"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Risque de la dégradation des points d’eau de surface due à la sédimentation consécutive aux envols de poussières et aux perturbations subies par les sols ; </w:t>
            </w:r>
          </w:p>
          <w:p w14:paraId="576527B6" w14:textId="77777777" w:rsidR="00D10E74" w:rsidRPr="00730A4A" w:rsidRDefault="00D10E74"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découverte des des mines terrestres et restes explosifs de guerre (REG)</w:t>
            </w:r>
          </w:p>
          <w:p w14:paraId="5EB1634E"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Risque des pertes de biodiversité, d’espaces agricoles et d’habitats fauniques ; </w:t>
            </w:r>
          </w:p>
          <w:p w14:paraId="563BA0A5"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des conflits sociaux en cas de transformation des systèmes fonciers traditionnels :</w:t>
            </w:r>
          </w:p>
          <w:p w14:paraId="488EB6B4"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Risque de dommage aux autres infrastructures </w:t>
            </w:r>
            <w:r w:rsidR="00A91915" w:rsidRPr="00730A4A">
              <w:rPr>
                <w:rFonts w:cs="Arial"/>
                <w:color w:val="000000"/>
                <w:sz w:val="22"/>
              </w:rPr>
              <w:t>du</w:t>
            </w:r>
            <w:r w:rsidRPr="00730A4A">
              <w:rPr>
                <w:rFonts w:cs="Arial"/>
                <w:color w:val="000000"/>
                <w:sz w:val="22"/>
              </w:rPr>
              <w:t xml:space="preserve"> r</w:t>
            </w:r>
            <w:r w:rsidR="00A91915" w:rsidRPr="00730A4A">
              <w:rPr>
                <w:rFonts w:cs="Arial"/>
                <w:color w:val="000000"/>
                <w:sz w:val="22"/>
              </w:rPr>
              <w:t>é</w:t>
            </w:r>
            <w:r w:rsidRPr="00730A4A">
              <w:rPr>
                <w:rFonts w:cs="Arial"/>
                <w:color w:val="000000"/>
                <w:sz w:val="22"/>
              </w:rPr>
              <w:t xml:space="preserve">seau </w:t>
            </w:r>
          </w:p>
          <w:p w14:paraId="2603EC49"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du détournement de fonds de la caisse villageoise ;</w:t>
            </w:r>
          </w:p>
          <w:p w14:paraId="7F8C7EA3"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détournement des intrants agricoles ;</w:t>
            </w:r>
          </w:p>
          <w:p w14:paraId="4BE3366A"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d</w:t>
            </w:r>
            <w:r w:rsidR="00A91915" w:rsidRPr="00730A4A">
              <w:rPr>
                <w:rFonts w:cs="Arial"/>
                <w:color w:val="000000"/>
                <w:sz w:val="22"/>
              </w:rPr>
              <w:t>i</w:t>
            </w:r>
            <w:r w:rsidRPr="00730A4A">
              <w:rPr>
                <w:rFonts w:cs="Arial"/>
                <w:color w:val="000000"/>
                <w:sz w:val="22"/>
              </w:rPr>
              <w:t>scrimination dans la distribution des intrants agricoles ;</w:t>
            </w:r>
          </w:p>
          <w:p w14:paraId="66AB5C71"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production de déchets biomédicaux liés à la vaccination des bétails ;</w:t>
            </w:r>
          </w:p>
          <w:p w14:paraId="57065662"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production de déchets liés aux produits chimiques et vétérinaires ;</w:t>
            </w:r>
          </w:p>
          <w:p w14:paraId="292CC6B1"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propagation des IST et VIH/SIDA suite à l’augmentation de trafic sur les routes rurales, ainsi que des risques d’EAS/HS ;</w:t>
            </w:r>
          </w:p>
          <w:p w14:paraId="35CF4D04"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propagation de COVID-19 si les mesures barrières ou de préventions ne sont pas respectées.</w:t>
            </w:r>
          </w:p>
          <w:p w14:paraId="6CCA6EB0" w14:textId="77777777" w:rsidR="00862B56" w:rsidRPr="00730A4A" w:rsidRDefault="00862B56"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contamination du virus Ebola ;</w:t>
            </w:r>
          </w:p>
        </w:tc>
      </w:tr>
      <w:tr w:rsidR="001C2F95" w:rsidRPr="00010F6E" w14:paraId="0F9A1040" w14:textId="77777777" w:rsidTr="00971FD2">
        <w:tc>
          <w:tcPr>
            <w:tcW w:w="1452" w:type="dxa"/>
            <w:tcBorders>
              <w:top w:val="single" w:sz="4" w:space="0" w:color="auto"/>
              <w:left w:val="single" w:sz="4" w:space="0" w:color="auto"/>
              <w:bottom w:val="single" w:sz="4" w:space="0" w:color="auto"/>
              <w:right w:val="single" w:sz="4" w:space="0" w:color="auto"/>
            </w:tcBorders>
          </w:tcPr>
          <w:p w14:paraId="3E792F69" w14:textId="77777777" w:rsidR="001C2F95" w:rsidRPr="00730A4A" w:rsidRDefault="001C2F95" w:rsidP="00971FD2">
            <w:pPr>
              <w:rPr>
                <w:rFonts w:cs="Arial"/>
                <w:bCs/>
                <w:color w:val="000000"/>
                <w:sz w:val="22"/>
              </w:rPr>
            </w:pPr>
          </w:p>
          <w:p w14:paraId="4A1CB74B" w14:textId="77777777" w:rsidR="001C2F95" w:rsidRPr="00730A4A" w:rsidRDefault="001C2F95" w:rsidP="00971FD2">
            <w:pPr>
              <w:rPr>
                <w:rFonts w:cs="Arial"/>
                <w:bCs/>
                <w:color w:val="000000"/>
                <w:sz w:val="22"/>
              </w:rPr>
            </w:pPr>
          </w:p>
          <w:p w14:paraId="4AB0A484" w14:textId="77777777" w:rsidR="001C2F95" w:rsidRPr="00730A4A" w:rsidRDefault="001C2F95" w:rsidP="00971FD2">
            <w:pPr>
              <w:rPr>
                <w:rFonts w:cs="Arial"/>
                <w:bCs/>
                <w:color w:val="000000"/>
                <w:sz w:val="22"/>
              </w:rPr>
            </w:pPr>
          </w:p>
          <w:p w14:paraId="75A447D9" w14:textId="77777777" w:rsidR="001C2F95" w:rsidRPr="00730A4A" w:rsidRDefault="001C2F95" w:rsidP="00971FD2">
            <w:pPr>
              <w:rPr>
                <w:rFonts w:cs="Arial"/>
                <w:bCs/>
                <w:color w:val="000000"/>
                <w:sz w:val="22"/>
              </w:rPr>
            </w:pPr>
            <w:r w:rsidRPr="00730A4A">
              <w:rPr>
                <w:rFonts w:cs="Arial"/>
                <w:bCs/>
                <w:color w:val="000000"/>
                <w:sz w:val="22"/>
              </w:rPr>
              <w:t>Exploitation</w:t>
            </w:r>
          </w:p>
        </w:tc>
        <w:tc>
          <w:tcPr>
            <w:tcW w:w="7762" w:type="dxa"/>
            <w:tcBorders>
              <w:top w:val="single" w:sz="4" w:space="0" w:color="auto"/>
              <w:left w:val="single" w:sz="4" w:space="0" w:color="auto"/>
              <w:bottom w:val="single" w:sz="4" w:space="0" w:color="auto"/>
              <w:right w:val="single" w:sz="4" w:space="0" w:color="auto"/>
            </w:tcBorders>
          </w:tcPr>
          <w:p w14:paraId="3A653F40"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F63752">
              <w:rPr>
                <w:rFonts w:cs="Arial"/>
                <w:spacing w:val="-2"/>
                <w:sz w:val="22"/>
              </w:rPr>
              <w:t>R</w:t>
            </w:r>
            <w:r w:rsidRPr="00F63752" w:rsidDel="00F63752">
              <w:rPr>
                <w:rFonts w:cs="Arial"/>
                <w:spacing w:val="-2"/>
                <w:sz w:val="22"/>
              </w:rPr>
              <w:t>isque de non implication des populations autochtones et d’autres groupes vulnérables comme les personnes vivant avec handicap, les vieillards, les jeunes filles/femmes</w:t>
            </w:r>
            <w:r w:rsidRPr="00F63752">
              <w:rPr>
                <w:rFonts w:cs="Arial"/>
                <w:spacing w:val="-2"/>
                <w:sz w:val="22"/>
              </w:rPr>
              <w:t>, etc.</w:t>
            </w:r>
          </w:p>
          <w:p w14:paraId="593857FC"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Augmentation de risques d’EAS/HS du au non</w:t>
            </w:r>
            <w:r w:rsidR="00A91915" w:rsidRPr="00730A4A">
              <w:rPr>
                <w:rFonts w:cs="Arial"/>
                <w:color w:val="000000"/>
                <w:sz w:val="22"/>
              </w:rPr>
              <w:t>-</w:t>
            </w:r>
            <w:r w:rsidRPr="00730A4A">
              <w:rPr>
                <w:rFonts w:cs="Arial"/>
                <w:color w:val="000000"/>
                <w:sz w:val="22"/>
              </w:rPr>
              <w:t>respect de l’égalité des sexes lors de distribution des intrants ;</w:t>
            </w:r>
          </w:p>
          <w:p w14:paraId="6194414D"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propagation de COVID-19 si les mesures barrières ou de préventions ne sont pas respectées.</w:t>
            </w:r>
          </w:p>
        </w:tc>
      </w:tr>
    </w:tbl>
    <w:p w14:paraId="246E2298" w14:textId="77777777" w:rsidR="001C2F95" w:rsidRPr="00730A4A" w:rsidRDefault="001C2F95" w:rsidP="001C2F95">
      <w:pPr>
        <w:pStyle w:val="Lgende"/>
        <w:ind w:left="1170" w:hanging="1170"/>
        <w:rPr>
          <w:rFonts w:cs="Arial"/>
          <w:color w:val="000000"/>
          <w:sz w:val="22"/>
          <w:szCs w:val="22"/>
        </w:rPr>
      </w:pPr>
    </w:p>
    <w:p w14:paraId="3031F5AA" w14:textId="77777777" w:rsidR="001C2F95" w:rsidRPr="00730A4A" w:rsidRDefault="001C2F95" w:rsidP="001C2F95">
      <w:pPr>
        <w:pStyle w:val="Lgende"/>
        <w:rPr>
          <w:rFonts w:cs="Arial"/>
          <w:color w:val="000000"/>
          <w:sz w:val="22"/>
          <w:szCs w:val="22"/>
        </w:rPr>
      </w:pPr>
    </w:p>
    <w:p w14:paraId="07AA4970" w14:textId="77777777" w:rsidR="001C2F95" w:rsidRPr="00730A4A" w:rsidRDefault="001C2F95" w:rsidP="001C2F95">
      <w:pPr>
        <w:pStyle w:val="Lgende"/>
        <w:ind w:left="1170" w:hanging="1170"/>
        <w:rPr>
          <w:rFonts w:cs="Arial"/>
          <w:color w:val="000000"/>
          <w:sz w:val="22"/>
          <w:szCs w:val="22"/>
        </w:rPr>
      </w:pPr>
      <w:bookmarkStart w:id="515" w:name="_Toc70451668"/>
      <w:r w:rsidRPr="00730A4A">
        <w:rPr>
          <w:rFonts w:cs="Arial"/>
          <w:color w:val="000000"/>
          <w:sz w:val="22"/>
          <w:szCs w:val="22"/>
        </w:rPr>
        <w:t xml:space="preserve">Tableau </w:t>
      </w:r>
      <w:r w:rsidRPr="00730A4A">
        <w:rPr>
          <w:rFonts w:cs="Arial"/>
          <w:color w:val="000000"/>
          <w:sz w:val="22"/>
          <w:szCs w:val="22"/>
        </w:rPr>
        <w:fldChar w:fldCharType="begin"/>
      </w:r>
      <w:r w:rsidRPr="00730A4A">
        <w:rPr>
          <w:rFonts w:cs="Arial"/>
          <w:color w:val="000000"/>
          <w:sz w:val="22"/>
          <w:szCs w:val="22"/>
        </w:rPr>
        <w:instrText xml:space="preserve"> SEQ Tableau \* ARABIC </w:instrText>
      </w:r>
      <w:r w:rsidRPr="00730A4A">
        <w:rPr>
          <w:rFonts w:cs="Arial"/>
          <w:color w:val="000000"/>
          <w:sz w:val="22"/>
          <w:szCs w:val="22"/>
        </w:rPr>
        <w:fldChar w:fldCharType="separate"/>
      </w:r>
      <w:r w:rsidR="001260B3">
        <w:rPr>
          <w:rFonts w:cs="Arial"/>
          <w:noProof/>
          <w:color w:val="000000"/>
          <w:sz w:val="22"/>
          <w:szCs w:val="22"/>
        </w:rPr>
        <w:t>22</w:t>
      </w:r>
      <w:r w:rsidRPr="00730A4A">
        <w:rPr>
          <w:rFonts w:cs="Arial"/>
          <w:color w:val="000000"/>
          <w:sz w:val="22"/>
          <w:szCs w:val="22"/>
        </w:rPr>
        <w:fldChar w:fldCharType="end"/>
      </w:r>
      <w:r w:rsidRPr="00730A4A">
        <w:rPr>
          <w:rFonts w:cs="Arial"/>
          <w:color w:val="000000"/>
          <w:sz w:val="22"/>
          <w:szCs w:val="22"/>
        </w:rPr>
        <w:t>.</w:t>
      </w:r>
      <w:r w:rsidRPr="00730A4A">
        <w:rPr>
          <w:rFonts w:cs="Arial"/>
          <w:bCs w:val="0"/>
          <w:color w:val="000000"/>
          <w:sz w:val="22"/>
          <w:szCs w:val="22"/>
        </w:rPr>
        <w:t xml:space="preserve"> </w:t>
      </w:r>
      <w:r w:rsidRPr="00730A4A">
        <w:rPr>
          <w:rFonts w:cs="Arial"/>
          <w:color w:val="000000"/>
          <w:sz w:val="22"/>
          <w:szCs w:val="22"/>
        </w:rPr>
        <w:t xml:space="preserve"> Impacts négatifs potentiels des travaux </w:t>
      </w:r>
      <w:bookmarkEnd w:id="512"/>
      <w:bookmarkEnd w:id="513"/>
      <w:r w:rsidRPr="00010F6E">
        <w:rPr>
          <w:rFonts w:cs="Arial"/>
          <w:sz w:val="22"/>
          <w:szCs w:val="22"/>
        </w:rPr>
        <w:t xml:space="preserve">d’aménagement des </w:t>
      </w:r>
      <w:r>
        <w:rPr>
          <w:rFonts w:cs="Arial"/>
          <w:sz w:val="22"/>
          <w:szCs w:val="22"/>
        </w:rPr>
        <w:t>routes</w:t>
      </w:r>
      <w:r w:rsidRPr="00010F6E">
        <w:rPr>
          <w:rFonts w:cs="Arial"/>
          <w:sz w:val="22"/>
          <w:szCs w:val="22"/>
        </w:rPr>
        <w:t xml:space="preserve"> rurales</w:t>
      </w:r>
      <w:bookmarkEnd w:id="515"/>
    </w:p>
    <w:p w14:paraId="2ACFF686" w14:textId="77777777" w:rsidR="001C2F95" w:rsidRPr="00730A4A" w:rsidRDefault="001C2F95" w:rsidP="001C2F95">
      <w:pPr>
        <w:rPr>
          <w:rFonts w:cs="Arial"/>
          <w:color w:val="000000"/>
          <w:sz w:val="22"/>
          <w:lang w:eastAsia="en-US"/>
        </w:rPr>
      </w:pPr>
    </w:p>
    <w:tbl>
      <w:tblPr>
        <w:tblW w:w="9214" w:type="dxa"/>
        <w:tblInd w:w="-5" w:type="dxa"/>
        <w:tblLook w:val="01E0" w:firstRow="1" w:lastRow="1" w:firstColumn="1" w:lastColumn="1" w:noHBand="0" w:noVBand="0"/>
      </w:tblPr>
      <w:tblGrid>
        <w:gridCol w:w="1452"/>
        <w:gridCol w:w="7762"/>
      </w:tblGrid>
      <w:tr w:rsidR="001C2F95" w:rsidRPr="00010F6E" w14:paraId="466F94A1" w14:textId="77777777" w:rsidTr="00971FD2">
        <w:trPr>
          <w:tblHeader/>
        </w:trPr>
        <w:tc>
          <w:tcPr>
            <w:tcW w:w="1452" w:type="dxa"/>
            <w:tcBorders>
              <w:top w:val="single" w:sz="4" w:space="0" w:color="auto"/>
              <w:left w:val="single" w:sz="4" w:space="0" w:color="auto"/>
              <w:bottom w:val="single" w:sz="4" w:space="0" w:color="auto"/>
              <w:right w:val="single" w:sz="4" w:space="0" w:color="auto"/>
            </w:tcBorders>
          </w:tcPr>
          <w:p w14:paraId="07314C4C" w14:textId="77777777" w:rsidR="001C2F95" w:rsidRPr="00730A4A" w:rsidRDefault="001C2F95" w:rsidP="00971FD2">
            <w:pPr>
              <w:jc w:val="center"/>
              <w:rPr>
                <w:rFonts w:cs="Arial"/>
                <w:bCs/>
                <w:color w:val="000000"/>
                <w:sz w:val="22"/>
              </w:rPr>
            </w:pPr>
            <w:r w:rsidRPr="00730A4A">
              <w:rPr>
                <w:rFonts w:cs="Arial"/>
                <w:bCs/>
                <w:color w:val="000000"/>
                <w:sz w:val="22"/>
              </w:rPr>
              <w:t>Phase</w:t>
            </w:r>
          </w:p>
        </w:tc>
        <w:tc>
          <w:tcPr>
            <w:tcW w:w="7762" w:type="dxa"/>
            <w:tcBorders>
              <w:top w:val="single" w:sz="4" w:space="0" w:color="auto"/>
              <w:left w:val="single" w:sz="4" w:space="0" w:color="auto"/>
              <w:bottom w:val="single" w:sz="4" w:space="0" w:color="auto"/>
              <w:right w:val="single" w:sz="4" w:space="0" w:color="auto"/>
            </w:tcBorders>
          </w:tcPr>
          <w:p w14:paraId="0948BC61" w14:textId="77777777" w:rsidR="001C2F95" w:rsidRPr="00730A4A" w:rsidRDefault="001C2F95" w:rsidP="00971FD2">
            <w:pPr>
              <w:jc w:val="center"/>
              <w:rPr>
                <w:rFonts w:cs="Arial"/>
                <w:bCs/>
                <w:color w:val="000000"/>
                <w:sz w:val="22"/>
              </w:rPr>
            </w:pPr>
            <w:r w:rsidRPr="00730A4A">
              <w:rPr>
                <w:rFonts w:cs="Arial"/>
                <w:bCs/>
                <w:color w:val="000000"/>
                <w:sz w:val="22"/>
              </w:rPr>
              <w:t>Impacts négatifs</w:t>
            </w:r>
          </w:p>
        </w:tc>
      </w:tr>
      <w:tr w:rsidR="001C2F95" w:rsidRPr="00010F6E" w14:paraId="1ED43414" w14:textId="77777777" w:rsidTr="00971FD2">
        <w:trPr>
          <w:trHeight w:val="1266"/>
        </w:trPr>
        <w:tc>
          <w:tcPr>
            <w:tcW w:w="1452" w:type="dxa"/>
            <w:tcBorders>
              <w:top w:val="single" w:sz="4" w:space="0" w:color="auto"/>
              <w:left w:val="single" w:sz="4" w:space="0" w:color="auto"/>
              <w:bottom w:val="single" w:sz="4" w:space="0" w:color="auto"/>
              <w:right w:val="single" w:sz="4" w:space="0" w:color="auto"/>
            </w:tcBorders>
          </w:tcPr>
          <w:p w14:paraId="41A5B197" w14:textId="77777777" w:rsidR="001C2F95" w:rsidRPr="00730A4A" w:rsidRDefault="001C2F95" w:rsidP="00971FD2">
            <w:pPr>
              <w:rPr>
                <w:rFonts w:cs="Arial"/>
                <w:bCs/>
                <w:color w:val="000000"/>
                <w:sz w:val="22"/>
              </w:rPr>
            </w:pPr>
          </w:p>
          <w:p w14:paraId="0C9AC42D" w14:textId="77777777" w:rsidR="001C2F95" w:rsidRPr="00730A4A" w:rsidRDefault="001C2F95" w:rsidP="00971FD2">
            <w:pPr>
              <w:rPr>
                <w:rFonts w:cs="Arial"/>
                <w:bCs/>
                <w:color w:val="000000"/>
                <w:sz w:val="22"/>
              </w:rPr>
            </w:pPr>
          </w:p>
          <w:p w14:paraId="2864AF6A" w14:textId="77777777" w:rsidR="001C2F95" w:rsidRPr="00730A4A" w:rsidRDefault="001C2F95" w:rsidP="00971FD2">
            <w:pPr>
              <w:rPr>
                <w:rFonts w:cs="Arial"/>
                <w:bCs/>
                <w:color w:val="000000"/>
                <w:sz w:val="22"/>
              </w:rPr>
            </w:pPr>
          </w:p>
          <w:p w14:paraId="39AA50C5" w14:textId="77777777" w:rsidR="001C2F95" w:rsidRPr="00730A4A" w:rsidRDefault="001C2F95" w:rsidP="00971FD2">
            <w:pPr>
              <w:rPr>
                <w:rFonts w:cs="Arial"/>
                <w:bCs/>
                <w:color w:val="000000"/>
                <w:sz w:val="22"/>
              </w:rPr>
            </w:pPr>
          </w:p>
          <w:p w14:paraId="55E9788C" w14:textId="77777777" w:rsidR="001C2F95" w:rsidRPr="00730A4A" w:rsidRDefault="001C2F95" w:rsidP="00971FD2">
            <w:pPr>
              <w:rPr>
                <w:rFonts w:cs="Arial"/>
                <w:bCs/>
                <w:color w:val="000000"/>
                <w:sz w:val="22"/>
              </w:rPr>
            </w:pPr>
          </w:p>
          <w:p w14:paraId="78C26AAC" w14:textId="77777777" w:rsidR="001C2F95" w:rsidRPr="00730A4A" w:rsidRDefault="001C2F95" w:rsidP="00971FD2">
            <w:pPr>
              <w:rPr>
                <w:rFonts w:cs="Arial"/>
                <w:bCs/>
                <w:color w:val="000000"/>
                <w:sz w:val="22"/>
              </w:rPr>
            </w:pPr>
          </w:p>
          <w:p w14:paraId="55834431" w14:textId="77777777" w:rsidR="001C2F95" w:rsidRPr="00730A4A" w:rsidRDefault="001C2F95" w:rsidP="00971FD2">
            <w:pPr>
              <w:rPr>
                <w:rFonts w:cs="Arial"/>
                <w:bCs/>
                <w:color w:val="000000"/>
                <w:sz w:val="22"/>
              </w:rPr>
            </w:pPr>
          </w:p>
          <w:p w14:paraId="27DBE172" w14:textId="77777777" w:rsidR="001C2F95" w:rsidRPr="00730A4A" w:rsidRDefault="001C2F95" w:rsidP="00971FD2">
            <w:pPr>
              <w:rPr>
                <w:rFonts w:cs="Arial"/>
                <w:bCs/>
                <w:color w:val="000000"/>
                <w:sz w:val="22"/>
              </w:rPr>
            </w:pPr>
          </w:p>
          <w:p w14:paraId="39649D7E" w14:textId="77777777" w:rsidR="001C2F95" w:rsidRPr="00730A4A" w:rsidRDefault="001C2F95" w:rsidP="00971FD2">
            <w:pPr>
              <w:rPr>
                <w:rFonts w:cs="Arial"/>
                <w:bCs/>
                <w:color w:val="000000"/>
                <w:sz w:val="22"/>
              </w:rPr>
            </w:pPr>
          </w:p>
          <w:p w14:paraId="63FAC4C3" w14:textId="77777777" w:rsidR="001C2F95" w:rsidRPr="00730A4A" w:rsidRDefault="001C2F95" w:rsidP="00971FD2">
            <w:pPr>
              <w:rPr>
                <w:rFonts w:cs="Arial"/>
                <w:bCs/>
                <w:color w:val="000000"/>
                <w:sz w:val="22"/>
              </w:rPr>
            </w:pPr>
          </w:p>
          <w:p w14:paraId="265B4C73" w14:textId="77777777" w:rsidR="001C2F95" w:rsidRPr="00730A4A" w:rsidRDefault="001C2F95" w:rsidP="00971FD2">
            <w:pPr>
              <w:rPr>
                <w:rFonts w:cs="Arial"/>
                <w:bCs/>
                <w:color w:val="000000"/>
                <w:sz w:val="22"/>
              </w:rPr>
            </w:pPr>
          </w:p>
          <w:p w14:paraId="1790A8ED" w14:textId="77777777" w:rsidR="001C2F95" w:rsidRPr="00730A4A" w:rsidRDefault="001C2F95" w:rsidP="00971FD2">
            <w:pPr>
              <w:rPr>
                <w:rFonts w:cs="Arial"/>
                <w:bCs/>
                <w:color w:val="000000"/>
                <w:sz w:val="22"/>
              </w:rPr>
            </w:pPr>
          </w:p>
          <w:p w14:paraId="23AD5B13" w14:textId="77777777" w:rsidR="001C2F95" w:rsidRPr="00730A4A" w:rsidRDefault="001C2F95" w:rsidP="00971FD2">
            <w:pPr>
              <w:rPr>
                <w:rFonts w:cs="Arial"/>
                <w:bCs/>
                <w:color w:val="000000"/>
                <w:sz w:val="22"/>
              </w:rPr>
            </w:pPr>
          </w:p>
          <w:p w14:paraId="4C8BAC9C" w14:textId="77777777" w:rsidR="001C2F95" w:rsidRPr="00730A4A" w:rsidRDefault="001C2F95" w:rsidP="00971FD2">
            <w:pPr>
              <w:rPr>
                <w:rFonts w:cs="Arial"/>
                <w:bCs/>
                <w:color w:val="000000"/>
                <w:sz w:val="22"/>
              </w:rPr>
            </w:pPr>
          </w:p>
          <w:p w14:paraId="2569CC2B" w14:textId="77777777" w:rsidR="001C2F95" w:rsidRPr="00730A4A" w:rsidRDefault="001C2F95" w:rsidP="00971FD2">
            <w:pPr>
              <w:rPr>
                <w:rFonts w:cs="Arial"/>
                <w:bCs/>
                <w:color w:val="000000"/>
                <w:sz w:val="22"/>
              </w:rPr>
            </w:pPr>
          </w:p>
          <w:p w14:paraId="66CA4BE2" w14:textId="77777777" w:rsidR="001C2F95" w:rsidRPr="00730A4A" w:rsidRDefault="001C2F95" w:rsidP="00971FD2">
            <w:pPr>
              <w:rPr>
                <w:rFonts w:cs="Arial"/>
                <w:bCs/>
                <w:color w:val="000000"/>
                <w:sz w:val="22"/>
              </w:rPr>
            </w:pPr>
          </w:p>
          <w:p w14:paraId="79CE1B21" w14:textId="77777777" w:rsidR="001C2F95" w:rsidRPr="00730A4A" w:rsidRDefault="001C2F95" w:rsidP="00971FD2">
            <w:pPr>
              <w:rPr>
                <w:rFonts w:cs="Arial"/>
                <w:bCs/>
                <w:color w:val="000000"/>
                <w:sz w:val="22"/>
              </w:rPr>
            </w:pPr>
          </w:p>
          <w:p w14:paraId="72F3AEC1" w14:textId="77777777" w:rsidR="001C2F95" w:rsidRPr="00730A4A" w:rsidRDefault="001C2F95" w:rsidP="00971FD2">
            <w:pPr>
              <w:rPr>
                <w:rFonts w:cs="Arial"/>
                <w:bCs/>
                <w:color w:val="000000"/>
                <w:sz w:val="22"/>
              </w:rPr>
            </w:pPr>
          </w:p>
          <w:p w14:paraId="0984265E" w14:textId="77777777" w:rsidR="001C2F95" w:rsidRPr="00730A4A" w:rsidRDefault="001C2F95" w:rsidP="00971FD2">
            <w:pPr>
              <w:rPr>
                <w:rFonts w:cs="Arial"/>
                <w:bCs/>
                <w:color w:val="000000"/>
                <w:sz w:val="22"/>
              </w:rPr>
            </w:pPr>
            <w:r w:rsidRPr="00730A4A">
              <w:rPr>
                <w:rFonts w:cs="Arial"/>
                <w:bCs/>
                <w:color w:val="000000"/>
                <w:sz w:val="22"/>
              </w:rPr>
              <w:t>Construction</w:t>
            </w:r>
          </w:p>
        </w:tc>
        <w:tc>
          <w:tcPr>
            <w:tcW w:w="7762" w:type="dxa"/>
            <w:tcBorders>
              <w:top w:val="single" w:sz="4" w:space="0" w:color="auto"/>
              <w:left w:val="single" w:sz="4" w:space="0" w:color="auto"/>
              <w:bottom w:val="single" w:sz="4" w:space="0" w:color="auto"/>
              <w:right w:val="single" w:sz="4" w:space="0" w:color="auto"/>
            </w:tcBorders>
            <w:shd w:val="clear" w:color="auto" w:fill="auto"/>
          </w:tcPr>
          <w:p w14:paraId="2DC08831"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Abattage d’arbres et perte de biodiversité sur l’axe du tracé et sur les sites d’emprunt de latérite ; </w:t>
            </w:r>
          </w:p>
          <w:p w14:paraId="4E358170"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Empiètement sur la terre cultivable (pour les nouveaux tracés) ; </w:t>
            </w:r>
          </w:p>
          <w:p w14:paraId="75B38405"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Obstruction des chemins de ruissellement ;  </w:t>
            </w:r>
          </w:p>
          <w:p w14:paraId="02DCA7F6"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Pollution de l’air et nuisances (poussières, bruit) lors des travaux ;</w:t>
            </w:r>
          </w:p>
          <w:p w14:paraId="66242A75"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Pollution du milieu (eaux et sols) par les déchets solides (déblais, démolition, huiles, de vidange, etc.) ;</w:t>
            </w:r>
          </w:p>
          <w:p w14:paraId="147DBD26"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010F6E">
              <w:rPr>
                <w:rFonts w:cs="Arial"/>
                <w:sz w:val="22"/>
                <w:lang w:eastAsia="en-US"/>
              </w:rPr>
              <w:t>Risques d’accidents pour les ouvriers et les populations ;</w:t>
            </w:r>
          </w:p>
          <w:p w14:paraId="36CE21D6"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Déplacement involontaire des populations ou d’activités économiques ;  </w:t>
            </w:r>
          </w:p>
          <w:p w14:paraId="1CF4F014"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Génération d’ordures lors des travaux de construction ;</w:t>
            </w:r>
          </w:p>
          <w:p w14:paraId="7BAAE0DD"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Dégradation du cadre de vie ;</w:t>
            </w:r>
          </w:p>
          <w:p w14:paraId="658187ED"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Non utilisation de la main-d’œuvre locale ;</w:t>
            </w:r>
          </w:p>
          <w:p w14:paraId="354882DD"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des fortes pressions sur la faune par la présence de la main-d’œuvre locale ;</w:t>
            </w:r>
          </w:p>
          <w:p w14:paraId="39D1241D"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Déboisement dû à l’ouverture et à l’exploitation des carrières ;</w:t>
            </w:r>
          </w:p>
          <w:p w14:paraId="27633F7C"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Risques de feux de brousse par le brûlage incontrôlé ;</w:t>
            </w:r>
          </w:p>
          <w:p w14:paraId="25872E72"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Sédimentation des cours d’eau ;</w:t>
            </w:r>
          </w:p>
          <w:p w14:paraId="4E0DA04F"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Risque d’empiètement des aires protégées (Domaine de chasse de Mangai, Bushimae, Parc Marine de Mangrove et Parc National de Virunga ; </w:t>
            </w:r>
          </w:p>
          <w:p w14:paraId="7BCBC8D1" w14:textId="77777777" w:rsidR="00D10E74" w:rsidRPr="00730A4A" w:rsidRDefault="00D10E74"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découverte des des mines terrestres et restes explosifs de guerre (REG)</w:t>
            </w:r>
          </w:p>
          <w:p w14:paraId="53E3FD20"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d’empiètement des biens des peuples autochtones (PA) ;</w:t>
            </w:r>
          </w:p>
          <w:p w14:paraId="6C72908F"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prolifération du braconnage ;</w:t>
            </w:r>
          </w:p>
          <w:p w14:paraId="0220B949"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Pollution et perturbation de l’écoulement des cours d’eau, des bas-fonds et des rizières ;</w:t>
            </w:r>
          </w:p>
          <w:p w14:paraId="3C70D865"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Pollution des eaux de surface et souterraines suite aux déversements accidentels des huiles usées et des hydrocarbures ;</w:t>
            </w:r>
          </w:p>
          <w:p w14:paraId="502A8158"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l’érosion des sols ;</w:t>
            </w:r>
          </w:p>
          <w:p w14:paraId="09B0F7F8"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Possibilité de propagation du VIH/SIDA et des IST avec les échanges culturels entre la population riveraine et les travailleurs aux chantiers ;</w:t>
            </w:r>
          </w:p>
          <w:p w14:paraId="6525A741"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Risques d’exacerber les VBG, y compris l’EAS et le HS, suite aux travaux ;</w:t>
            </w:r>
          </w:p>
          <w:p w14:paraId="708E515C"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propagation de COVID-19 si les mesures barrières ou de préventions ne sont pas respectées.</w:t>
            </w:r>
          </w:p>
        </w:tc>
      </w:tr>
      <w:tr w:rsidR="001C2F95" w:rsidRPr="00010F6E" w14:paraId="74638139" w14:textId="77777777" w:rsidTr="00971FD2">
        <w:tc>
          <w:tcPr>
            <w:tcW w:w="1452" w:type="dxa"/>
            <w:tcBorders>
              <w:top w:val="single" w:sz="4" w:space="0" w:color="auto"/>
              <w:left w:val="single" w:sz="4" w:space="0" w:color="auto"/>
              <w:bottom w:val="single" w:sz="4" w:space="0" w:color="auto"/>
              <w:right w:val="single" w:sz="4" w:space="0" w:color="auto"/>
            </w:tcBorders>
          </w:tcPr>
          <w:p w14:paraId="4DDEAE45" w14:textId="77777777" w:rsidR="001C2F95" w:rsidRPr="00730A4A" w:rsidRDefault="001C2F95" w:rsidP="00971FD2">
            <w:pPr>
              <w:rPr>
                <w:rFonts w:cs="Arial"/>
                <w:bCs/>
                <w:color w:val="000000"/>
                <w:sz w:val="22"/>
              </w:rPr>
            </w:pPr>
          </w:p>
          <w:p w14:paraId="72D06016" w14:textId="77777777" w:rsidR="001C2F95" w:rsidRPr="00730A4A" w:rsidRDefault="001C2F95" w:rsidP="00971FD2">
            <w:pPr>
              <w:rPr>
                <w:rFonts w:cs="Arial"/>
                <w:bCs/>
                <w:color w:val="000000"/>
                <w:sz w:val="22"/>
              </w:rPr>
            </w:pPr>
          </w:p>
          <w:p w14:paraId="3F030FB9" w14:textId="77777777" w:rsidR="001C2F95" w:rsidRPr="00730A4A" w:rsidRDefault="001C2F95" w:rsidP="00971FD2">
            <w:pPr>
              <w:rPr>
                <w:rFonts w:cs="Arial"/>
                <w:bCs/>
                <w:color w:val="000000"/>
                <w:sz w:val="22"/>
              </w:rPr>
            </w:pPr>
          </w:p>
          <w:p w14:paraId="737EFD0D" w14:textId="77777777" w:rsidR="001C2F95" w:rsidRPr="00730A4A" w:rsidRDefault="001C2F95" w:rsidP="00971FD2">
            <w:pPr>
              <w:rPr>
                <w:rFonts w:cs="Arial"/>
                <w:bCs/>
                <w:color w:val="000000"/>
                <w:sz w:val="22"/>
              </w:rPr>
            </w:pPr>
          </w:p>
          <w:p w14:paraId="69BEDB8C" w14:textId="77777777" w:rsidR="001C2F95" w:rsidRPr="00730A4A" w:rsidRDefault="001C2F95" w:rsidP="00971FD2">
            <w:pPr>
              <w:rPr>
                <w:rFonts w:cs="Arial"/>
                <w:bCs/>
                <w:color w:val="000000"/>
                <w:sz w:val="22"/>
              </w:rPr>
            </w:pPr>
          </w:p>
          <w:p w14:paraId="59F98591" w14:textId="77777777" w:rsidR="001C2F95" w:rsidRPr="00730A4A" w:rsidRDefault="001C2F95" w:rsidP="00971FD2">
            <w:pPr>
              <w:rPr>
                <w:rFonts w:cs="Arial"/>
                <w:bCs/>
                <w:color w:val="000000"/>
                <w:sz w:val="22"/>
              </w:rPr>
            </w:pPr>
          </w:p>
          <w:p w14:paraId="5485E13E" w14:textId="77777777" w:rsidR="001C2F95" w:rsidRPr="00730A4A" w:rsidRDefault="001C2F95" w:rsidP="00971FD2">
            <w:pPr>
              <w:rPr>
                <w:rFonts w:cs="Arial"/>
                <w:bCs/>
                <w:color w:val="000000"/>
                <w:sz w:val="22"/>
              </w:rPr>
            </w:pPr>
            <w:r w:rsidRPr="00730A4A">
              <w:rPr>
                <w:rFonts w:cs="Arial"/>
                <w:bCs/>
                <w:color w:val="000000"/>
                <w:sz w:val="22"/>
              </w:rPr>
              <w:t>Exploitation</w:t>
            </w:r>
          </w:p>
        </w:tc>
        <w:tc>
          <w:tcPr>
            <w:tcW w:w="7762" w:type="dxa"/>
            <w:tcBorders>
              <w:top w:val="single" w:sz="4" w:space="0" w:color="auto"/>
              <w:left w:val="single" w:sz="4" w:space="0" w:color="auto"/>
              <w:bottom w:val="single" w:sz="4" w:space="0" w:color="auto"/>
              <w:right w:val="single" w:sz="4" w:space="0" w:color="auto"/>
            </w:tcBorders>
          </w:tcPr>
          <w:p w14:paraId="2F1EF1FF"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Pollutions et nuisances du site et du milieu environnant dues à la génération des déchets solides et liquides issus des activités marchandes ;</w:t>
            </w:r>
          </w:p>
          <w:p w14:paraId="5136A1BF"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dégradation du sol pendant la période d’entretien des routes d’accès aux carrières d’emprunts des matériaux ;</w:t>
            </w:r>
          </w:p>
          <w:p w14:paraId="37E7FB9F"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Risques d’accidents de circulation (virages, points critiques, etc.) ;</w:t>
            </w:r>
          </w:p>
          <w:p w14:paraId="59ACD76E"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Émission de poussières sur les routes latéritiques à la traversée des villages ;</w:t>
            </w:r>
          </w:p>
          <w:p w14:paraId="56D17A8A"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Perturbation de la photosynthèse suite au dépôt de la poussière sur la végétation ;</w:t>
            </w:r>
          </w:p>
          <w:p w14:paraId="3D56E955"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Facilitation de l’accès aux ressources naturelles protégées (exploitation forestière non autorisée, braconnage ; etc.) ;</w:t>
            </w:r>
          </w:p>
          <w:p w14:paraId="4A423C9E"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Augmentation de l’exploitation des bois d’œuvre due à la réhabilitation de routes rurales ;</w:t>
            </w:r>
          </w:p>
          <w:p w14:paraId="6A1C51F6"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Dégradation rapide des infrastructures due au manque d’entretien ;</w:t>
            </w:r>
          </w:p>
          <w:p w14:paraId="5B813F07"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propagation des IST et VIH/SIDA suite à l’augmentation de trafic sur les routes rurales ;</w:t>
            </w:r>
          </w:p>
          <w:p w14:paraId="085BE8A1"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Risques d’augmentation des VBG, y compris l’EAS et le HS, suite aux travaux ;</w:t>
            </w:r>
          </w:p>
          <w:p w14:paraId="48F83058"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propagation de COVID-19 si les mesures barrières ou de préventions ne sont pas respectées.</w:t>
            </w:r>
          </w:p>
        </w:tc>
      </w:tr>
    </w:tbl>
    <w:p w14:paraId="28615F12" w14:textId="77777777" w:rsidR="001C2F95" w:rsidRPr="00730A4A" w:rsidRDefault="001C2F95" w:rsidP="001C2F95">
      <w:pPr>
        <w:spacing w:line="240" w:lineRule="auto"/>
        <w:jc w:val="left"/>
        <w:rPr>
          <w:rFonts w:cs="Arial"/>
          <w:color w:val="000000"/>
          <w:sz w:val="22"/>
        </w:rPr>
      </w:pPr>
    </w:p>
    <w:p w14:paraId="3A88F6A7" w14:textId="77777777" w:rsidR="001C2F95" w:rsidRPr="00730A4A" w:rsidRDefault="001C2F95" w:rsidP="001C2F95">
      <w:pPr>
        <w:spacing w:line="240" w:lineRule="auto"/>
        <w:jc w:val="left"/>
        <w:rPr>
          <w:rFonts w:cs="Arial"/>
          <w:color w:val="000000"/>
          <w:sz w:val="22"/>
        </w:rPr>
      </w:pPr>
    </w:p>
    <w:p w14:paraId="336B3897" w14:textId="77777777" w:rsidR="001C2F95" w:rsidRPr="00730A4A" w:rsidRDefault="001C2F95" w:rsidP="001C2F95">
      <w:pPr>
        <w:spacing w:line="240" w:lineRule="auto"/>
        <w:ind w:left="1276" w:hanging="1276"/>
        <w:rPr>
          <w:rFonts w:cs="Arial"/>
          <w:bCs/>
          <w:iCs/>
          <w:color w:val="000000"/>
          <w:sz w:val="22"/>
        </w:rPr>
      </w:pPr>
      <w:bookmarkStart w:id="516" w:name="_Toc70451669"/>
      <w:r w:rsidRPr="00730A4A">
        <w:rPr>
          <w:rFonts w:cs="Arial"/>
          <w:color w:val="000000"/>
          <w:sz w:val="22"/>
        </w:rPr>
        <w:t xml:space="preserve">Tableau </w:t>
      </w:r>
      <w:r w:rsidRPr="00730A4A">
        <w:rPr>
          <w:rFonts w:cs="Arial"/>
          <w:color w:val="000000"/>
          <w:sz w:val="22"/>
        </w:rPr>
        <w:fldChar w:fldCharType="begin"/>
      </w:r>
      <w:r w:rsidRPr="00730A4A">
        <w:rPr>
          <w:rFonts w:cs="Arial"/>
          <w:color w:val="000000"/>
          <w:sz w:val="22"/>
        </w:rPr>
        <w:instrText xml:space="preserve"> SEQ Tableau \* ARABIC </w:instrText>
      </w:r>
      <w:r w:rsidRPr="00730A4A">
        <w:rPr>
          <w:rFonts w:cs="Arial"/>
          <w:color w:val="000000"/>
          <w:sz w:val="22"/>
        </w:rPr>
        <w:fldChar w:fldCharType="separate"/>
      </w:r>
      <w:r w:rsidR="001260B3">
        <w:rPr>
          <w:rFonts w:cs="Arial"/>
          <w:noProof/>
          <w:color w:val="000000"/>
          <w:sz w:val="22"/>
        </w:rPr>
        <w:t>23</w:t>
      </w:r>
      <w:r w:rsidRPr="00730A4A">
        <w:rPr>
          <w:rFonts w:cs="Arial"/>
          <w:color w:val="000000"/>
          <w:sz w:val="22"/>
        </w:rPr>
        <w:fldChar w:fldCharType="end"/>
      </w:r>
      <w:r w:rsidRPr="00730A4A">
        <w:rPr>
          <w:rFonts w:cs="Arial"/>
          <w:color w:val="000000"/>
          <w:sz w:val="22"/>
        </w:rPr>
        <w:t>.</w:t>
      </w:r>
      <w:r w:rsidRPr="00730A4A">
        <w:rPr>
          <w:rFonts w:cs="Arial"/>
          <w:bCs/>
          <w:color w:val="000000"/>
          <w:sz w:val="22"/>
        </w:rPr>
        <w:t xml:space="preserve"> </w:t>
      </w:r>
      <w:r w:rsidRPr="00730A4A">
        <w:rPr>
          <w:rFonts w:cs="Arial"/>
          <w:color w:val="000000"/>
          <w:sz w:val="22"/>
        </w:rPr>
        <w:t>Impacts négatifs potentiels des travaux de construction/réhabilitation des marchés communautaires et abattoirs</w:t>
      </w:r>
      <w:bookmarkEnd w:id="516"/>
    </w:p>
    <w:p w14:paraId="3366BD1E" w14:textId="77777777" w:rsidR="001C2F95" w:rsidRPr="00730A4A" w:rsidRDefault="001C2F95" w:rsidP="001C2F95">
      <w:pPr>
        <w:rPr>
          <w:rFonts w:cs="Arial"/>
          <w:color w:val="000000"/>
          <w:sz w:val="22"/>
          <w:lang w:eastAsia="en-US"/>
        </w:rPr>
      </w:pPr>
    </w:p>
    <w:tbl>
      <w:tblPr>
        <w:tblW w:w="9214" w:type="dxa"/>
        <w:tblInd w:w="-5" w:type="dxa"/>
        <w:tblLook w:val="01E0" w:firstRow="1" w:lastRow="1" w:firstColumn="1" w:lastColumn="1" w:noHBand="0" w:noVBand="0"/>
      </w:tblPr>
      <w:tblGrid>
        <w:gridCol w:w="1452"/>
        <w:gridCol w:w="7762"/>
      </w:tblGrid>
      <w:tr w:rsidR="001C2F95" w:rsidRPr="00010F6E" w14:paraId="76A62EAD" w14:textId="77777777" w:rsidTr="00971FD2">
        <w:trPr>
          <w:tblHeader/>
        </w:trPr>
        <w:tc>
          <w:tcPr>
            <w:tcW w:w="1452" w:type="dxa"/>
            <w:tcBorders>
              <w:top w:val="single" w:sz="4" w:space="0" w:color="auto"/>
              <w:left w:val="single" w:sz="4" w:space="0" w:color="auto"/>
              <w:bottom w:val="single" w:sz="4" w:space="0" w:color="auto"/>
              <w:right w:val="single" w:sz="4" w:space="0" w:color="auto"/>
            </w:tcBorders>
          </w:tcPr>
          <w:p w14:paraId="0771ED96" w14:textId="77777777" w:rsidR="001C2F95" w:rsidRPr="00730A4A" w:rsidRDefault="001C2F95" w:rsidP="00971FD2">
            <w:pPr>
              <w:jc w:val="center"/>
              <w:rPr>
                <w:rFonts w:cs="Arial"/>
                <w:bCs/>
                <w:color w:val="000000"/>
                <w:sz w:val="22"/>
              </w:rPr>
            </w:pPr>
            <w:r w:rsidRPr="00730A4A">
              <w:rPr>
                <w:rFonts w:cs="Arial"/>
                <w:bCs/>
                <w:color w:val="000000"/>
                <w:sz w:val="22"/>
              </w:rPr>
              <w:t>Phase</w:t>
            </w:r>
          </w:p>
        </w:tc>
        <w:tc>
          <w:tcPr>
            <w:tcW w:w="7762" w:type="dxa"/>
            <w:tcBorders>
              <w:top w:val="single" w:sz="4" w:space="0" w:color="auto"/>
              <w:left w:val="single" w:sz="4" w:space="0" w:color="auto"/>
              <w:bottom w:val="single" w:sz="4" w:space="0" w:color="auto"/>
              <w:right w:val="single" w:sz="4" w:space="0" w:color="auto"/>
            </w:tcBorders>
          </w:tcPr>
          <w:p w14:paraId="38B4441F" w14:textId="77777777" w:rsidR="001C2F95" w:rsidRPr="00730A4A" w:rsidRDefault="001C2F95" w:rsidP="00971FD2">
            <w:pPr>
              <w:jc w:val="center"/>
              <w:rPr>
                <w:rFonts w:cs="Arial"/>
                <w:bCs/>
                <w:color w:val="000000"/>
                <w:sz w:val="22"/>
              </w:rPr>
            </w:pPr>
            <w:r w:rsidRPr="00730A4A">
              <w:rPr>
                <w:rFonts w:cs="Arial"/>
                <w:bCs/>
                <w:color w:val="000000"/>
                <w:sz w:val="22"/>
              </w:rPr>
              <w:t>Impacts négatifs</w:t>
            </w:r>
          </w:p>
        </w:tc>
      </w:tr>
      <w:tr w:rsidR="001C2F95" w:rsidRPr="00010F6E" w14:paraId="12C8FA20" w14:textId="77777777" w:rsidTr="00971FD2">
        <w:trPr>
          <w:trHeight w:val="301"/>
        </w:trPr>
        <w:tc>
          <w:tcPr>
            <w:tcW w:w="1452" w:type="dxa"/>
            <w:tcBorders>
              <w:top w:val="single" w:sz="4" w:space="0" w:color="auto"/>
              <w:left w:val="single" w:sz="4" w:space="0" w:color="auto"/>
              <w:bottom w:val="single" w:sz="4" w:space="0" w:color="auto"/>
              <w:right w:val="single" w:sz="4" w:space="0" w:color="auto"/>
            </w:tcBorders>
          </w:tcPr>
          <w:p w14:paraId="6059A5BF" w14:textId="77777777" w:rsidR="001C2F95" w:rsidRPr="00730A4A" w:rsidRDefault="001C2F95" w:rsidP="00971FD2">
            <w:pPr>
              <w:rPr>
                <w:rFonts w:cs="Arial"/>
                <w:bCs/>
                <w:color w:val="000000"/>
                <w:sz w:val="22"/>
              </w:rPr>
            </w:pPr>
          </w:p>
          <w:p w14:paraId="6A3876D0" w14:textId="77777777" w:rsidR="001C2F95" w:rsidRPr="00730A4A" w:rsidRDefault="001C2F95" w:rsidP="00971FD2">
            <w:pPr>
              <w:rPr>
                <w:rFonts w:cs="Arial"/>
                <w:bCs/>
                <w:color w:val="000000"/>
                <w:sz w:val="22"/>
              </w:rPr>
            </w:pPr>
          </w:p>
          <w:p w14:paraId="1332EF05" w14:textId="77777777" w:rsidR="001C2F95" w:rsidRPr="00730A4A" w:rsidRDefault="001C2F95" w:rsidP="00971FD2">
            <w:pPr>
              <w:rPr>
                <w:rFonts w:cs="Arial"/>
                <w:bCs/>
                <w:color w:val="000000"/>
                <w:sz w:val="22"/>
              </w:rPr>
            </w:pPr>
          </w:p>
          <w:p w14:paraId="2408440C" w14:textId="77777777" w:rsidR="001C2F95" w:rsidRPr="00730A4A" w:rsidRDefault="001C2F95" w:rsidP="00971FD2">
            <w:pPr>
              <w:rPr>
                <w:rFonts w:cs="Arial"/>
                <w:bCs/>
                <w:color w:val="000000"/>
                <w:sz w:val="22"/>
              </w:rPr>
            </w:pPr>
          </w:p>
          <w:p w14:paraId="6C2740CC" w14:textId="77777777" w:rsidR="001C2F95" w:rsidRPr="00730A4A" w:rsidRDefault="001C2F95" w:rsidP="00971FD2">
            <w:pPr>
              <w:rPr>
                <w:rFonts w:cs="Arial"/>
                <w:bCs/>
                <w:color w:val="000000"/>
                <w:sz w:val="22"/>
              </w:rPr>
            </w:pPr>
          </w:p>
          <w:p w14:paraId="38EDB40B" w14:textId="77777777" w:rsidR="001C2F95" w:rsidRPr="00730A4A" w:rsidRDefault="001C2F95" w:rsidP="00971FD2">
            <w:pPr>
              <w:rPr>
                <w:rFonts w:cs="Arial"/>
                <w:bCs/>
                <w:color w:val="000000"/>
                <w:sz w:val="22"/>
              </w:rPr>
            </w:pPr>
          </w:p>
          <w:p w14:paraId="1220CD0F" w14:textId="77777777" w:rsidR="001C2F95" w:rsidRPr="00730A4A" w:rsidRDefault="001C2F95" w:rsidP="00971FD2">
            <w:pPr>
              <w:rPr>
                <w:rFonts w:cs="Arial"/>
                <w:bCs/>
                <w:color w:val="000000"/>
                <w:sz w:val="22"/>
              </w:rPr>
            </w:pPr>
          </w:p>
          <w:p w14:paraId="0F6781BB" w14:textId="77777777" w:rsidR="001C2F95" w:rsidRPr="00730A4A" w:rsidRDefault="001C2F95" w:rsidP="00971FD2">
            <w:pPr>
              <w:rPr>
                <w:rFonts w:cs="Arial"/>
                <w:bCs/>
                <w:color w:val="000000"/>
                <w:sz w:val="22"/>
              </w:rPr>
            </w:pPr>
          </w:p>
          <w:p w14:paraId="10E8AF24" w14:textId="77777777" w:rsidR="001C2F95" w:rsidRPr="00730A4A" w:rsidRDefault="001C2F95" w:rsidP="00971FD2">
            <w:pPr>
              <w:rPr>
                <w:rFonts w:cs="Arial"/>
                <w:bCs/>
                <w:color w:val="000000"/>
                <w:sz w:val="22"/>
              </w:rPr>
            </w:pPr>
          </w:p>
          <w:p w14:paraId="4993A123" w14:textId="77777777" w:rsidR="001C2F95" w:rsidRPr="00730A4A" w:rsidRDefault="001C2F95" w:rsidP="00971FD2">
            <w:pPr>
              <w:rPr>
                <w:rFonts w:cs="Arial"/>
                <w:bCs/>
                <w:color w:val="000000"/>
                <w:sz w:val="22"/>
              </w:rPr>
            </w:pPr>
          </w:p>
          <w:p w14:paraId="3F99AA3C" w14:textId="77777777" w:rsidR="001C2F95" w:rsidRPr="00730A4A" w:rsidRDefault="001C2F95" w:rsidP="00971FD2">
            <w:pPr>
              <w:rPr>
                <w:rFonts w:cs="Arial"/>
                <w:bCs/>
                <w:color w:val="000000"/>
                <w:sz w:val="22"/>
              </w:rPr>
            </w:pPr>
            <w:r w:rsidRPr="00730A4A">
              <w:rPr>
                <w:rFonts w:cs="Arial"/>
                <w:bCs/>
                <w:color w:val="000000"/>
                <w:sz w:val="22"/>
              </w:rPr>
              <w:t>Construction</w:t>
            </w:r>
          </w:p>
        </w:tc>
        <w:tc>
          <w:tcPr>
            <w:tcW w:w="7762" w:type="dxa"/>
            <w:tcBorders>
              <w:top w:val="single" w:sz="4" w:space="0" w:color="auto"/>
              <w:left w:val="single" w:sz="4" w:space="0" w:color="auto"/>
              <w:bottom w:val="single" w:sz="4" w:space="0" w:color="auto"/>
              <w:right w:val="single" w:sz="4" w:space="0" w:color="auto"/>
            </w:tcBorders>
            <w:shd w:val="clear" w:color="auto" w:fill="auto"/>
          </w:tcPr>
          <w:p w14:paraId="05249691"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Déplacement involontaire des populations ou d’activités économiques ; </w:t>
            </w:r>
          </w:p>
          <w:p w14:paraId="67B0F930"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Génération d’ordures lors des travaux de construction et d’exploitation ;</w:t>
            </w:r>
          </w:p>
          <w:p w14:paraId="0B548F57"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Altération du paysage dans l’emprise des travaux de construction des marchés communautaires ; </w:t>
            </w:r>
          </w:p>
          <w:p w14:paraId="460BBB78"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Pollution de l'air par les particules de poussières due aux travaux de destruction des bâtiments existants ;</w:t>
            </w:r>
          </w:p>
          <w:p w14:paraId="4B23D3A5"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Pollution des eaux de surface et souterraines due aux déversements accidentels des huiles usées et des hydrocarbures ;</w:t>
            </w:r>
          </w:p>
          <w:p w14:paraId="387B2DBE"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Pollutions Nuisance sonore pendant les travaux de destruction des bâtiments existants s’ils sont en ruine</w:t>
            </w:r>
          </w:p>
          <w:p w14:paraId="6896B2D4"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Risque des accidents corporels lors des travaux </w:t>
            </w:r>
          </w:p>
          <w:p w14:paraId="785762ED"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Non utilisation de la main d’œuvre locale ;</w:t>
            </w:r>
          </w:p>
          <w:p w14:paraId="4B7B1E3A"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Possibilité de propagation du VIH/SIDA et des IST avec les échanges culturels entre la population riveraine et les travailleurs aux chantiers ;</w:t>
            </w:r>
          </w:p>
          <w:p w14:paraId="4D4361EC"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Risques d’exacerber les VBG, y compris l’EAS et le HS ;</w:t>
            </w:r>
          </w:p>
          <w:p w14:paraId="2D10862F"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propagation de COVID-19 si les mesures barrières ou de préventions ne sont pas respectées</w:t>
            </w:r>
            <w:r w:rsidR="00D10E74" w:rsidRPr="00730A4A">
              <w:rPr>
                <w:rFonts w:cs="Arial"/>
                <w:color w:val="000000"/>
                <w:sz w:val="22"/>
              </w:rPr>
              <w:t> ;</w:t>
            </w:r>
          </w:p>
          <w:p w14:paraId="6DF87EAE" w14:textId="77777777" w:rsidR="00D10E74" w:rsidRPr="00730A4A" w:rsidRDefault="00D10E74"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la découverte fortuite ;</w:t>
            </w:r>
          </w:p>
          <w:p w14:paraId="7120CF98" w14:textId="77777777" w:rsidR="00D10E74" w:rsidRPr="00730A4A" w:rsidRDefault="00D10E74"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découverte des mines terrestres et restes explosifs de guerre (REG)</w:t>
            </w:r>
          </w:p>
        </w:tc>
      </w:tr>
      <w:tr w:rsidR="001C2F95" w:rsidRPr="00010F6E" w14:paraId="708B002C" w14:textId="77777777" w:rsidTr="00971FD2">
        <w:tc>
          <w:tcPr>
            <w:tcW w:w="1452" w:type="dxa"/>
            <w:tcBorders>
              <w:top w:val="single" w:sz="4" w:space="0" w:color="auto"/>
              <w:left w:val="single" w:sz="4" w:space="0" w:color="auto"/>
              <w:bottom w:val="single" w:sz="4" w:space="0" w:color="auto"/>
              <w:right w:val="single" w:sz="4" w:space="0" w:color="auto"/>
            </w:tcBorders>
          </w:tcPr>
          <w:p w14:paraId="43305380" w14:textId="77777777" w:rsidR="001C2F95" w:rsidRPr="00730A4A" w:rsidRDefault="001C2F95" w:rsidP="00971FD2">
            <w:pPr>
              <w:rPr>
                <w:rFonts w:cs="Arial"/>
                <w:bCs/>
                <w:color w:val="000000"/>
                <w:sz w:val="22"/>
              </w:rPr>
            </w:pPr>
          </w:p>
          <w:p w14:paraId="30001FFB" w14:textId="77777777" w:rsidR="001C2F95" w:rsidRPr="00730A4A" w:rsidRDefault="001C2F95" w:rsidP="00971FD2">
            <w:pPr>
              <w:rPr>
                <w:rFonts w:cs="Arial"/>
                <w:bCs/>
                <w:color w:val="000000"/>
                <w:sz w:val="22"/>
              </w:rPr>
            </w:pPr>
          </w:p>
          <w:p w14:paraId="0FD7A8CB" w14:textId="77777777" w:rsidR="001C2F95" w:rsidRPr="00730A4A" w:rsidRDefault="001C2F95" w:rsidP="00971FD2">
            <w:pPr>
              <w:rPr>
                <w:rFonts w:cs="Arial"/>
                <w:bCs/>
                <w:color w:val="000000"/>
                <w:sz w:val="22"/>
              </w:rPr>
            </w:pPr>
          </w:p>
          <w:p w14:paraId="5F732798" w14:textId="77777777" w:rsidR="001C2F95" w:rsidRPr="00730A4A" w:rsidRDefault="001C2F95" w:rsidP="00971FD2">
            <w:pPr>
              <w:rPr>
                <w:rFonts w:cs="Arial"/>
                <w:bCs/>
                <w:color w:val="000000"/>
                <w:sz w:val="22"/>
              </w:rPr>
            </w:pPr>
          </w:p>
          <w:p w14:paraId="5FC2E6BB" w14:textId="77777777" w:rsidR="001C2F95" w:rsidRPr="00730A4A" w:rsidRDefault="001C2F95" w:rsidP="00971FD2">
            <w:pPr>
              <w:rPr>
                <w:rFonts w:cs="Arial"/>
                <w:bCs/>
                <w:color w:val="000000"/>
                <w:sz w:val="22"/>
              </w:rPr>
            </w:pPr>
          </w:p>
          <w:p w14:paraId="531A7F15" w14:textId="77777777" w:rsidR="001C2F95" w:rsidRPr="00730A4A" w:rsidRDefault="001C2F95" w:rsidP="00971FD2">
            <w:pPr>
              <w:rPr>
                <w:rFonts w:cs="Arial"/>
                <w:bCs/>
                <w:color w:val="000000"/>
                <w:sz w:val="22"/>
              </w:rPr>
            </w:pPr>
          </w:p>
          <w:p w14:paraId="3A8A18BA" w14:textId="77777777" w:rsidR="001C2F95" w:rsidRPr="00730A4A" w:rsidRDefault="001C2F95" w:rsidP="00971FD2">
            <w:pPr>
              <w:rPr>
                <w:rFonts w:cs="Arial"/>
                <w:bCs/>
                <w:color w:val="000000"/>
                <w:sz w:val="22"/>
              </w:rPr>
            </w:pPr>
            <w:r w:rsidRPr="00730A4A">
              <w:rPr>
                <w:rFonts w:cs="Arial"/>
                <w:bCs/>
                <w:color w:val="000000"/>
                <w:sz w:val="22"/>
              </w:rPr>
              <w:t>Exploitation</w:t>
            </w:r>
          </w:p>
        </w:tc>
        <w:tc>
          <w:tcPr>
            <w:tcW w:w="7762" w:type="dxa"/>
            <w:tcBorders>
              <w:top w:val="single" w:sz="4" w:space="0" w:color="auto"/>
              <w:left w:val="single" w:sz="4" w:space="0" w:color="auto"/>
              <w:bottom w:val="single" w:sz="4" w:space="0" w:color="auto"/>
              <w:right w:val="single" w:sz="4" w:space="0" w:color="auto"/>
            </w:tcBorders>
          </w:tcPr>
          <w:p w14:paraId="5EE37814"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Pollution de l’air suite à la mauvaise gestion des déchets ;</w:t>
            </w:r>
          </w:p>
          <w:p w14:paraId="57826F4E"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Production des ordures ménagères et des déchets des marchés (matières biodégradables, sachets plastiques et papiers d’emballage) / pollution de l’environnement ;</w:t>
            </w:r>
          </w:p>
          <w:p w14:paraId="41F4ED96"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Production des déchets solides (batteries usées, filtres usagés, pneus usagés, etc. ;</w:t>
            </w:r>
          </w:p>
          <w:p w14:paraId="6C4B5CB2"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Absence de collecte et traitement des déchets ménagers ;</w:t>
            </w:r>
          </w:p>
          <w:p w14:paraId="22300443"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Risques sanitaires avec la vente de produits et aliments non hygiéniques ;</w:t>
            </w:r>
          </w:p>
          <w:p w14:paraId="272051E3"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Risques d’augmentation des VBG, y compris l’EAS et le HS ;</w:t>
            </w:r>
          </w:p>
          <w:p w14:paraId="1DF23940"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propagation de COVID-19 si les mesures barrières ou de préventions ne sont pas respectées.</w:t>
            </w:r>
          </w:p>
        </w:tc>
      </w:tr>
    </w:tbl>
    <w:p w14:paraId="1F929378" w14:textId="77777777" w:rsidR="001C2F95" w:rsidRPr="00730A4A" w:rsidRDefault="001C2F95" w:rsidP="001C2F95">
      <w:pPr>
        <w:pStyle w:val="Lgende"/>
        <w:ind w:left="1170" w:hanging="1170"/>
        <w:rPr>
          <w:rFonts w:cs="Arial"/>
          <w:color w:val="000000"/>
          <w:sz w:val="22"/>
          <w:szCs w:val="22"/>
        </w:rPr>
      </w:pPr>
    </w:p>
    <w:p w14:paraId="55302342" w14:textId="77777777" w:rsidR="00F42DAB" w:rsidRDefault="00F42DAB" w:rsidP="00F42DAB">
      <w:pPr>
        <w:rPr>
          <w:lang w:eastAsia="en-US"/>
        </w:rPr>
      </w:pPr>
    </w:p>
    <w:p w14:paraId="32C56B73" w14:textId="77777777" w:rsidR="00F42DAB" w:rsidRDefault="00F42DAB" w:rsidP="00F42DAB">
      <w:pPr>
        <w:rPr>
          <w:lang w:eastAsia="en-US"/>
        </w:rPr>
      </w:pPr>
    </w:p>
    <w:p w14:paraId="5AB7F7C3" w14:textId="77777777" w:rsidR="00F42DAB" w:rsidRPr="00F42DAB" w:rsidRDefault="00F42DAB" w:rsidP="00F42DAB">
      <w:pPr>
        <w:rPr>
          <w:lang w:eastAsia="en-US"/>
        </w:rPr>
      </w:pPr>
    </w:p>
    <w:p w14:paraId="5EA8DDA3" w14:textId="77777777" w:rsidR="002139E7" w:rsidRPr="00730A4A" w:rsidRDefault="002139E7" w:rsidP="001C2F95">
      <w:pPr>
        <w:spacing w:line="240" w:lineRule="auto"/>
        <w:ind w:left="1276" w:hanging="1276"/>
        <w:jc w:val="left"/>
        <w:rPr>
          <w:rFonts w:cs="Arial"/>
          <w:color w:val="000000"/>
          <w:sz w:val="22"/>
        </w:rPr>
      </w:pPr>
    </w:p>
    <w:p w14:paraId="0F4BA257" w14:textId="77777777" w:rsidR="001C2F95" w:rsidRPr="00730A4A" w:rsidRDefault="001C2F95" w:rsidP="001C2F95">
      <w:pPr>
        <w:spacing w:line="240" w:lineRule="auto"/>
        <w:ind w:left="1276" w:hanging="1276"/>
        <w:jc w:val="left"/>
        <w:rPr>
          <w:rFonts w:cs="Arial"/>
          <w:color w:val="000000"/>
          <w:sz w:val="22"/>
        </w:rPr>
      </w:pPr>
      <w:bookmarkStart w:id="517" w:name="_Toc70451670"/>
      <w:r w:rsidRPr="00730A4A">
        <w:rPr>
          <w:rFonts w:cs="Arial"/>
          <w:color w:val="000000"/>
          <w:sz w:val="22"/>
        </w:rPr>
        <w:t xml:space="preserve">Tableau </w:t>
      </w:r>
      <w:r w:rsidRPr="00730A4A">
        <w:rPr>
          <w:rFonts w:cs="Arial"/>
          <w:color w:val="000000"/>
          <w:sz w:val="22"/>
        </w:rPr>
        <w:fldChar w:fldCharType="begin"/>
      </w:r>
      <w:r w:rsidRPr="00730A4A">
        <w:rPr>
          <w:rFonts w:cs="Arial"/>
          <w:color w:val="000000"/>
          <w:sz w:val="22"/>
        </w:rPr>
        <w:instrText xml:space="preserve"> SEQ Tableau \* ARABIC </w:instrText>
      </w:r>
      <w:r w:rsidRPr="00730A4A">
        <w:rPr>
          <w:rFonts w:cs="Arial"/>
          <w:color w:val="000000"/>
          <w:sz w:val="22"/>
        </w:rPr>
        <w:fldChar w:fldCharType="separate"/>
      </w:r>
      <w:r w:rsidR="001260B3">
        <w:rPr>
          <w:rFonts w:cs="Arial"/>
          <w:noProof/>
          <w:color w:val="000000"/>
          <w:sz w:val="22"/>
        </w:rPr>
        <w:t>24</w:t>
      </w:r>
      <w:r w:rsidRPr="00730A4A">
        <w:rPr>
          <w:rFonts w:cs="Arial"/>
          <w:color w:val="000000"/>
          <w:sz w:val="22"/>
        </w:rPr>
        <w:fldChar w:fldCharType="end"/>
      </w:r>
      <w:r w:rsidRPr="00730A4A">
        <w:rPr>
          <w:rFonts w:cs="Arial"/>
          <w:color w:val="000000"/>
          <w:sz w:val="22"/>
        </w:rPr>
        <w:t>.</w:t>
      </w:r>
      <w:r w:rsidRPr="00730A4A">
        <w:rPr>
          <w:rFonts w:cs="Arial"/>
          <w:bCs/>
          <w:color w:val="000000"/>
          <w:sz w:val="22"/>
        </w:rPr>
        <w:t xml:space="preserve"> </w:t>
      </w:r>
      <w:r w:rsidRPr="00730A4A">
        <w:rPr>
          <w:rFonts w:cs="Arial"/>
          <w:color w:val="000000"/>
          <w:sz w:val="22"/>
        </w:rPr>
        <w:t>Impacts négatifs potentiels des travaux d’irrigation (aménagement et ouvrages hydrauliques)</w:t>
      </w:r>
      <w:bookmarkEnd w:id="517"/>
    </w:p>
    <w:p w14:paraId="639F9B33" w14:textId="77777777" w:rsidR="001C2F95" w:rsidRPr="00730A4A" w:rsidRDefault="001C2F95" w:rsidP="001C2F95">
      <w:pPr>
        <w:tabs>
          <w:tab w:val="left" w:pos="0"/>
        </w:tabs>
        <w:rPr>
          <w:rFonts w:cs="Arial"/>
          <w:color w:val="000000"/>
          <w:sz w:val="22"/>
        </w:rPr>
      </w:pPr>
    </w:p>
    <w:tbl>
      <w:tblPr>
        <w:tblW w:w="9000" w:type="dxa"/>
        <w:tblInd w:w="-5" w:type="dxa"/>
        <w:tblLook w:val="01E0" w:firstRow="1" w:lastRow="1" w:firstColumn="1" w:lastColumn="1" w:noHBand="0" w:noVBand="0"/>
      </w:tblPr>
      <w:tblGrid>
        <w:gridCol w:w="1452"/>
        <w:gridCol w:w="7548"/>
      </w:tblGrid>
      <w:tr w:rsidR="001C2F95" w:rsidRPr="00010F6E" w14:paraId="2E07D22A" w14:textId="77777777" w:rsidTr="00971FD2">
        <w:tc>
          <w:tcPr>
            <w:tcW w:w="1353" w:type="dxa"/>
            <w:tcBorders>
              <w:top w:val="single" w:sz="4" w:space="0" w:color="auto"/>
              <w:left w:val="single" w:sz="4" w:space="0" w:color="auto"/>
              <w:bottom w:val="single" w:sz="4" w:space="0" w:color="auto"/>
              <w:right w:val="single" w:sz="4" w:space="0" w:color="auto"/>
            </w:tcBorders>
          </w:tcPr>
          <w:p w14:paraId="7D11EB2F" w14:textId="77777777" w:rsidR="001C2F95" w:rsidRPr="00730A4A" w:rsidRDefault="001C2F95" w:rsidP="00971FD2">
            <w:pPr>
              <w:jc w:val="center"/>
              <w:rPr>
                <w:rFonts w:cs="Arial"/>
                <w:bCs/>
                <w:color w:val="000000"/>
                <w:sz w:val="22"/>
              </w:rPr>
            </w:pPr>
            <w:r w:rsidRPr="00730A4A">
              <w:rPr>
                <w:rFonts w:cs="Arial"/>
                <w:bCs/>
                <w:color w:val="000000"/>
                <w:sz w:val="22"/>
              </w:rPr>
              <w:t>Phase</w:t>
            </w:r>
          </w:p>
        </w:tc>
        <w:tc>
          <w:tcPr>
            <w:tcW w:w="7647" w:type="dxa"/>
            <w:tcBorders>
              <w:top w:val="single" w:sz="4" w:space="0" w:color="auto"/>
              <w:left w:val="single" w:sz="4" w:space="0" w:color="auto"/>
              <w:bottom w:val="single" w:sz="4" w:space="0" w:color="auto"/>
              <w:right w:val="single" w:sz="4" w:space="0" w:color="auto"/>
            </w:tcBorders>
          </w:tcPr>
          <w:p w14:paraId="33786D5A" w14:textId="77777777" w:rsidR="001C2F95" w:rsidRPr="00730A4A" w:rsidRDefault="001C2F95" w:rsidP="00971FD2">
            <w:pPr>
              <w:jc w:val="center"/>
              <w:rPr>
                <w:rFonts w:cs="Arial"/>
                <w:bCs/>
                <w:color w:val="000000"/>
                <w:sz w:val="22"/>
              </w:rPr>
            </w:pPr>
            <w:r w:rsidRPr="00730A4A">
              <w:rPr>
                <w:rFonts w:cs="Arial"/>
                <w:bCs/>
                <w:color w:val="000000"/>
                <w:sz w:val="22"/>
              </w:rPr>
              <w:t>Impacts négatifs</w:t>
            </w:r>
          </w:p>
        </w:tc>
      </w:tr>
      <w:tr w:rsidR="001C2F95" w:rsidRPr="00010F6E" w14:paraId="536399FB" w14:textId="77777777" w:rsidTr="00971FD2">
        <w:trPr>
          <w:trHeight w:val="301"/>
        </w:trPr>
        <w:tc>
          <w:tcPr>
            <w:tcW w:w="1353" w:type="dxa"/>
            <w:tcBorders>
              <w:top w:val="single" w:sz="4" w:space="0" w:color="auto"/>
              <w:left w:val="single" w:sz="4" w:space="0" w:color="auto"/>
              <w:bottom w:val="single" w:sz="4" w:space="0" w:color="auto"/>
              <w:right w:val="single" w:sz="4" w:space="0" w:color="auto"/>
            </w:tcBorders>
          </w:tcPr>
          <w:p w14:paraId="7D165F22" w14:textId="77777777" w:rsidR="001C2F95" w:rsidRPr="00730A4A" w:rsidRDefault="001C2F95" w:rsidP="00971FD2">
            <w:pPr>
              <w:rPr>
                <w:rFonts w:cs="Arial"/>
                <w:bCs/>
                <w:color w:val="000000"/>
                <w:sz w:val="22"/>
              </w:rPr>
            </w:pPr>
          </w:p>
          <w:p w14:paraId="5E4C9F4C" w14:textId="77777777" w:rsidR="001C2F95" w:rsidRPr="00730A4A" w:rsidRDefault="001C2F95" w:rsidP="00971FD2">
            <w:pPr>
              <w:rPr>
                <w:rFonts w:cs="Arial"/>
                <w:bCs/>
                <w:color w:val="000000"/>
                <w:sz w:val="22"/>
              </w:rPr>
            </w:pPr>
          </w:p>
          <w:p w14:paraId="3C8821DE" w14:textId="77777777" w:rsidR="001C2F95" w:rsidRPr="00730A4A" w:rsidRDefault="001C2F95" w:rsidP="00971FD2">
            <w:pPr>
              <w:rPr>
                <w:rFonts w:cs="Arial"/>
                <w:bCs/>
                <w:color w:val="000000"/>
                <w:sz w:val="22"/>
              </w:rPr>
            </w:pPr>
          </w:p>
          <w:p w14:paraId="4D8813C5" w14:textId="77777777" w:rsidR="001C2F95" w:rsidRPr="00730A4A" w:rsidRDefault="001C2F95" w:rsidP="00971FD2">
            <w:pPr>
              <w:rPr>
                <w:rFonts w:cs="Arial"/>
                <w:bCs/>
                <w:color w:val="000000"/>
                <w:sz w:val="22"/>
              </w:rPr>
            </w:pPr>
          </w:p>
          <w:p w14:paraId="786B4966" w14:textId="77777777" w:rsidR="001C2F95" w:rsidRPr="00730A4A" w:rsidRDefault="001C2F95" w:rsidP="00971FD2">
            <w:pPr>
              <w:rPr>
                <w:rFonts w:cs="Arial"/>
                <w:bCs/>
                <w:color w:val="000000"/>
                <w:sz w:val="22"/>
              </w:rPr>
            </w:pPr>
          </w:p>
          <w:p w14:paraId="46EBD048" w14:textId="77777777" w:rsidR="001C2F95" w:rsidRPr="00730A4A" w:rsidRDefault="001C2F95" w:rsidP="00971FD2">
            <w:pPr>
              <w:rPr>
                <w:rFonts w:cs="Arial"/>
                <w:bCs/>
                <w:color w:val="000000"/>
                <w:sz w:val="22"/>
              </w:rPr>
            </w:pPr>
            <w:r w:rsidRPr="00730A4A">
              <w:rPr>
                <w:rFonts w:cs="Arial"/>
                <w:bCs/>
                <w:color w:val="000000"/>
                <w:sz w:val="22"/>
              </w:rPr>
              <w:t>Construction</w:t>
            </w:r>
          </w:p>
        </w:tc>
        <w:tc>
          <w:tcPr>
            <w:tcW w:w="7647" w:type="dxa"/>
            <w:tcBorders>
              <w:top w:val="single" w:sz="4" w:space="0" w:color="auto"/>
              <w:left w:val="single" w:sz="4" w:space="0" w:color="auto"/>
              <w:bottom w:val="single" w:sz="4" w:space="0" w:color="auto"/>
              <w:right w:val="single" w:sz="4" w:space="0" w:color="auto"/>
            </w:tcBorders>
            <w:shd w:val="clear" w:color="auto" w:fill="auto"/>
          </w:tcPr>
          <w:p w14:paraId="5FA2284E"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Risque de perturbation des zones de frayères des cours d’eau ; </w:t>
            </w:r>
          </w:p>
          <w:p w14:paraId="6AF1237B"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Déforestation, dégradation des sols par érosion, destruction d’habitats lors des défrichements ; </w:t>
            </w:r>
          </w:p>
          <w:p w14:paraId="3FEB1C25"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Destruction de la microfaune et de la matière organique ;  </w:t>
            </w:r>
          </w:p>
          <w:p w14:paraId="39A39806"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Risques de conflits d’usage (alimentation en eau potable, agriculture, élevage et pêche) ;</w:t>
            </w:r>
          </w:p>
          <w:p w14:paraId="540BFD30"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Risques de conflits fonciers entre autochtones et investisseurs allochtones.</w:t>
            </w:r>
          </w:p>
          <w:p w14:paraId="6AFD0090"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Perte de terre de pâturage (empiétement sur des espaces sylvopastoraux) ;</w:t>
            </w:r>
          </w:p>
          <w:p w14:paraId="070B8442" w14:textId="77777777" w:rsidR="00D10E74" w:rsidRPr="00730A4A" w:rsidRDefault="00D10E74"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la découverte fortuite</w:t>
            </w:r>
          </w:p>
          <w:p w14:paraId="5FDD99D6" w14:textId="77777777" w:rsidR="00D10E74" w:rsidRPr="00730A4A" w:rsidRDefault="00D10E74"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découverte des des mines terrestres et restes explosifs de guerre (REG)</w:t>
            </w:r>
          </w:p>
        </w:tc>
      </w:tr>
      <w:tr w:rsidR="001C2F95" w:rsidRPr="00010F6E" w14:paraId="48ED6A57" w14:textId="77777777" w:rsidTr="00971FD2">
        <w:tc>
          <w:tcPr>
            <w:tcW w:w="1353" w:type="dxa"/>
            <w:tcBorders>
              <w:top w:val="single" w:sz="4" w:space="0" w:color="auto"/>
              <w:left w:val="single" w:sz="4" w:space="0" w:color="auto"/>
              <w:bottom w:val="single" w:sz="4" w:space="0" w:color="auto"/>
              <w:right w:val="single" w:sz="4" w:space="0" w:color="auto"/>
            </w:tcBorders>
          </w:tcPr>
          <w:p w14:paraId="2F1719F6" w14:textId="77777777" w:rsidR="001C2F95" w:rsidRPr="00730A4A" w:rsidRDefault="001C2F95" w:rsidP="00971FD2">
            <w:pPr>
              <w:rPr>
                <w:rFonts w:cs="Arial"/>
                <w:bCs/>
                <w:color w:val="000000"/>
                <w:sz w:val="22"/>
              </w:rPr>
            </w:pPr>
          </w:p>
          <w:p w14:paraId="244BBBCD" w14:textId="77777777" w:rsidR="001C2F95" w:rsidRPr="00730A4A" w:rsidRDefault="001C2F95" w:rsidP="00971FD2">
            <w:pPr>
              <w:rPr>
                <w:rFonts w:cs="Arial"/>
                <w:bCs/>
                <w:color w:val="000000"/>
                <w:sz w:val="22"/>
              </w:rPr>
            </w:pPr>
          </w:p>
          <w:p w14:paraId="08705B40" w14:textId="77777777" w:rsidR="001C2F95" w:rsidRPr="00730A4A" w:rsidRDefault="001C2F95" w:rsidP="00971FD2">
            <w:pPr>
              <w:rPr>
                <w:rFonts w:cs="Arial"/>
                <w:bCs/>
                <w:color w:val="000000"/>
                <w:sz w:val="22"/>
              </w:rPr>
            </w:pPr>
          </w:p>
          <w:p w14:paraId="59696D6E" w14:textId="77777777" w:rsidR="001C2F95" w:rsidRPr="00730A4A" w:rsidRDefault="001C2F95" w:rsidP="00971FD2">
            <w:pPr>
              <w:rPr>
                <w:rFonts w:cs="Arial"/>
                <w:bCs/>
                <w:color w:val="000000"/>
                <w:sz w:val="22"/>
              </w:rPr>
            </w:pPr>
          </w:p>
          <w:p w14:paraId="3C98043B" w14:textId="77777777" w:rsidR="001C2F95" w:rsidRPr="00730A4A" w:rsidRDefault="001C2F95" w:rsidP="00971FD2">
            <w:pPr>
              <w:rPr>
                <w:rFonts w:cs="Arial"/>
                <w:bCs/>
                <w:color w:val="000000"/>
                <w:sz w:val="22"/>
              </w:rPr>
            </w:pPr>
          </w:p>
          <w:p w14:paraId="2EE71B29" w14:textId="77777777" w:rsidR="001C2F95" w:rsidRPr="00730A4A" w:rsidRDefault="001C2F95" w:rsidP="00971FD2">
            <w:pPr>
              <w:rPr>
                <w:rFonts w:cs="Arial"/>
                <w:bCs/>
                <w:color w:val="000000"/>
                <w:sz w:val="22"/>
              </w:rPr>
            </w:pPr>
          </w:p>
          <w:p w14:paraId="7309B18F" w14:textId="77777777" w:rsidR="001C2F95" w:rsidRPr="00730A4A" w:rsidRDefault="001C2F95" w:rsidP="00971FD2">
            <w:pPr>
              <w:rPr>
                <w:rFonts w:cs="Arial"/>
                <w:bCs/>
                <w:color w:val="000000"/>
                <w:sz w:val="22"/>
              </w:rPr>
            </w:pPr>
          </w:p>
          <w:p w14:paraId="55EDA798" w14:textId="77777777" w:rsidR="001C2F95" w:rsidRPr="00730A4A" w:rsidRDefault="001C2F95" w:rsidP="00971FD2">
            <w:pPr>
              <w:rPr>
                <w:rFonts w:cs="Arial"/>
                <w:bCs/>
                <w:color w:val="000000"/>
                <w:sz w:val="22"/>
              </w:rPr>
            </w:pPr>
            <w:r w:rsidRPr="00730A4A">
              <w:rPr>
                <w:rFonts w:cs="Arial"/>
                <w:bCs/>
                <w:color w:val="000000"/>
                <w:sz w:val="22"/>
              </w:rPr>
              <w:t>Exploitation</w:t>
            </w:r>
          </w:p>
        </w:tc>
        <w:tc>
          <w:tcPr>
            <w:tcW w:w="7647" w:type="dxa"/>
            <w:tcBorders>
              <w:top w:val="single" w:sz="4" w:space="0" w:color="auto"/>
              <w:left w:val="single" w:sz="4" w:space="0" w:color="auto"/>
              <w:bottom w:val="single" w:sz="4" w:space="0" w:color="auto"/>
              <w:right w:val="single" w:sz="4" w:space="0" w:color="auto"/>
            </w:tcBorders>
          </w:tcPr>
          <w:p w14:paraId="19435ABF"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Augmentation des maladies liées à l'eau ; </w:t>
            </w:r>
          </w:p>
          <w:p w14:paraId="47FD13C6"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Forte pression sur le foncier et sur l’eau avec l’augmentation des aménagements</w:t>
            </w:r>
          </w:p>
          <w:p w14:paraId="52EC6A38"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Perte de la fertilité des sols ; </w:t>
            </w:r>
          </w:p>
          <w:p w14:paraId="52B3D7A2"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Pollution des eaux et des sols dues aux pesticides et aux engrais ; </w:t>
            </w:r>
          </w:p>
          <w:p w14:paraId="58645444"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Nuisances sanitaires dues aux pesticides ; </w:t>
            </w:r>
          </w:p>
          <w:p w14:paraId="1C019C8E"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Destruction des non cibles par les pesticides ; </w:t>
            </w:r>
          </w:p>
          <w:p w14:paraId="04DFC3FD"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Nuisances en cas d’utilisation de fumure organique non maîtrisée ; </w:t>
            </w:r>
          </w:p>
          <w:p w14:paraId="176E7091"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Augmentation des maladies liées à l'eau ; </w:t>
            </w:r>
          </w:p>
          <w:p w14:paraId="02E1323D"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Accentuation des conflits agriculteurs-éleveurs pour l'accès à l'eau ou aux pâturages ;</w:t>
            </w:r>
          </w:p>
          <w:p w14:paraId="1450ED2F"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 de propagation de COVID-19 si les mesures barrières ou de préventions ne sont pas respectées.</w:t>
            </w:r>
          </w:p>
          <w:p w14:paraId="7FA7DF31"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 xml:space="preserve">Pertes éventuelles de revenus ou de biens durant les travaux ; </w:t>
            </w:r>
          </w:p>
          <w:p w14:paraId="662A57B4"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Risques de maladies comme les IST/VIH/SIDA ;</w:t>
            </w:r>
          </w:p>
          <w:p w14:paraId="01738CCE" w14:textId="77777777" w:rsidR="001C2F95" w:rsidRPr="00730A4A" w:rsidRDefault="001C2F95" w:rsidP="002378EA">
            <w:pPr>
              <w:numPr>
                <w:ilvl w:val="0"/>
                <w:numId w:val="24"/>
              </w:numPr>
              <w:tabs>
                <w:tab w:val="clear" w:pos="360"/>
              </w:tabs>
              <w:ind w:left="249" w:hanging="249"/>
              <w:jc w:val="left"/>
              <w:rPr>
                <w:rFonts w:cs="Arial"/>
                <w:color w:val="000000"/>
                <w:sz w:val="22"/>
              </w:rPr>
            </w:pPr>
            <w:r w:rsidRPr="00730A4A">
              <w:rPr>
                <w:rFonts w:cs="Arial"/>
                <w:color w:val="000000"/>
                <w:sz w:val="22"/>
              </w:rPr>
              <w:t>Risques d’EAS/HS suite aux travaux.</w:t>
            </w:r>
          </w:p>
        </w:tc>
      </w:tr>
    </w:tbl>
    <w:p w14:paraId="57156B97" w14:textId="77777777" w:rsidR="00F125EE" w:rsidRPr="00730A4A" w:rsidRDefault="00F125EE" w:rsidP="001C2F95">
      <w:pPr>
        <w:pStyle w:val="Lgende"/>
        <w:rPr>
          <w:rFonts w:cs="Arial"/>
          <w:color w:val="000000"/>
          <w:sz w:val="22"/>
          <w:szCs w:val="22"/>
        </w:rPr>
      </w:pPr>
      <w:bookmarkStart w:id="518" w:name="_Toc485127599"/>
      <w:bookmarkStart w:id="519" w:name="_Toc127330185"/>
      <w:bookmarkStart w:id="520" w:name="_Toc254872682"/>
    </w:p>
    <w:p w14:paraId="6BCD58F1" w14:textId="77777777" w:rsidR="00F125EE" w:rsidRPr="00730A4A" w:rsidRDefault="00F125EE" w:rsidP="001C2F95">
      <w:pPr>
        <w:pStyle w:val="Lgende"/>
        <w:rPr>
          <w:rFonts w:cs="Arial"/>
          <w:color w:val="000000"/>
          <w:sz w:val="22"/>
          <w:szCs w:val="22"/>
        </w:rPr>
      </w:pPr>
    </w:p>
    <w:p w14:paraId="3FDA14A1" w14:textId="77777777" w:rsidR="001C2F95" w:rsidRPr="00730A4A" w:rsidRDefault="001C2F95" w:rsidP="001C2F95">
      <w:pPr>
        <w:pStyle w:val="Lgende"/>
        <w:rPr>
          <w:rFonts w:cs="Arial"/>
          <w:b/>
          <w:bCs w:val="0"/>
          <w:color w:val="000000"/>
          <w:sz w:val="22"/>
          <w:szCs w:val="22"/>
        </w:rPr>
      </w:pPr>
      <w:bookmarkStart w:id="521" w:name="_Toc70451671"/>
      <w:r w:rsidRPr="00730A4A">
        <w:rPr>
          <w:rFonts w:cs="Arial"/>
          <w:color w:val="000000"/>
          <w:sz w:val="22"/>
          <w:szCs w:val="22"/>
        </w:rPr>
        <w:t xml:space="preserve">Tableau </w:t>
      </w:r>
      <w:r w:rsidRPr="00730A4A">
        <w:rPr>
          <w:rFonts w:cs="Arial"/>
          <w:color w:val="000000"/>
          <w:sz w:val="22"/>
          <w:szCs w:val="22"/>
        </w:rPr>
        <w:fldChar w:fldCharType="begin"/>
      </w:r>
      <w:r w:rsidRPr="00730A4A">
        <w:rPr>
          <w:rFonts w:cs="Arial"/>
          <w:color w:val="000000"/>
          <w:sz w:val="22"/>
          <w:szCs w:val="22"/>
        </w:rPr>
        <w:instrText xml:space="preserve"> SEQ Tableau \* ARABIC </w:instrText>
      </w:r>
      <w:r w:rsidRPr="00730A4A">
        <w:rPr>
          <w:rFonts w:cs="Arial"/>
          <w:color w:val="000000"/>
          <w:sz w:val="22"/>
          <w:szCs w:val="22"/>
        </w:rPr>
        <w:fldChar w:fldCharType="separate"/>
      </w:r>
      <w:r w:rsidR="001260B3">
        <w:rPr>
          <w:rFonts w:cs="Arial"/>
          <w:noProof/>
          <w:color w:val="000000"/>
          <w:sz w:val="22"/>
          <w:szCs w:val="22"/>
        </w:rPr>
        <w:t>25</w:t>
      </w:r>
      <w:r w:rsidRPr="00730A4A">
        <w:rPr>
          <w:rFonts w:cs="Arial"/>
          <w:color w:val="000000"/>
          <w:sz w:val="22"/>
          <w:szCs w:val="22"/>
        </w:rPr>
        <w:fldChar w:fldCharType="end"/>
      </w:r>
      <w:r w:rsidRPr="00730A4A">
        <w:rPr>
          <w:rFonts w:cs="Arial"/>
          <w:color w:val="000000"/>
          <w:sz w:val="22"/>
          <w:szCs w:val="22"/>
        </w:rPr>
        <w:t>.</w:t>
      </w:r>
      <w:r w:rsidRPr="00730A4A">
        <w:rPr>
          <w:rFonts w:cs="Arial"/>
          <w:bCs w:val="0"/>
          <w:color w:val="000000"/>
          <w:sz w:val="22"/>
          <w:szCs w:val="22"/>
        </w:rPr>
        <w:t xml:space="preserve"> </w:t>
      </w:r>
      <w:r w:rsidRPr="00730A4A">
        <w:rPr>
          <w:rFonts w:cs="Arial"/>
          <w:color w:val="000000"/>
          <w:sz w:val="22"/>
          <w:szCs w:val="22"/>
        </w:rPr>
        <w:t xml:space="preserve"> Synthèse de l’appréciation des impacts des </w:t>
      </w:r>
      <w:r w:rsidRPr="00730A4A">
        <w:rPr>
          <w:rFonts w:cs="Arial"/>
          <w:bCs w:val="0"/>
          <w:color w:val="000000"/>
          <w:sz w:val="22"/>
          <w:szCs w:val="22"/>
        </w:rPr>
        <w:t>composantes</w:t>
      </w:r>
      <w:bookmarkEnd w:id="518"/>
      <w:bookmarkEnd w:id="521"/>
    </w:p>
    <w:p w14:paraId="2C5640BA" w14:textId="77777777" w:rsidR="001C2F95" w:rsidRPr="00730A4A" w:rsidRDefault="001C2F95" w:rsidP="001C2F95">
      <w:pPr>
        <w:rPr>
          <w:rFonts w:cs="Arial"/>
          <w:color w:val="000000"/>
          <w:sz w:val="22"/>
          <w:lang w:eastAsia="en-US"/>
        </w:rPr>
      </w:pPr>
    </w:p>
    <w:tbl>
      <w:tblPr>
        <w:tblW w:w="900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5580"/>
        <w:gridCol w:w="1710"/>
        <w:gridCol w:w="1710"/>
      </w:tblGrid>
      <w:tr w:rsidR="001C2F95" w:rsidRPr="00010F6E" w14:paraId="2E6BE916" w14:textId="77777777" w:rsidTr="00A91915">
        <w:trPr>
          <w:cantSplit/>
          <w:trHeight w:val="535"/>
        </w:trPr>
        <w:tc>
          <w:tcPr>
            <w:tcW w:w="5580" w:type="dxa"/>
            <w:vAlign w:val="center"/>
          </w:tcPr>
          <w:p w14:paraId="03FDEA0E" w14:textId="77777777" w:rsidR="001C2F95" w:rsidRPr="00730A4A" w:rsidRDefault="001C2F95" w:rsidP="00971FD2">
            <w:pPr>
              <w:pStyle w:val="TableText"/>
              <w:spacing w:before="0" w:line="276" w:lineRule="auto"/>
              <w:jc w:val="center"/>
              <w:rPr>
                <w:rFonts w:cs="Arial"/>
                <w:bCs/>
                <w:color w:val="000000"/>
                <w:sz w:val="22"/>
                <w:szCs w:val="22"/>
                <w:lang w:eastAsia="fr-FR"/>
              </w:rPr>
            </w:pPr>
            <w:r w:rsidRPr="00730A4A">
              <w:rPr>
                <w:rFonts w:cs="Arial"/>
                <w:bCs/>
                <w:color w:val="000000"/>
                <w:sz w:val="22"/>
                <w:szCs w:val="22"/>
                <w:lang w:eastAsia="fr-FR"/>
              </w:rPr>
              <w:t>Catégories des composantes</w:t>
            </w:r>
          </w:p>
        </w:tc>
        <w:tc>
          <w:tcPr>
            <w:tcW w:w="1710" w:type="dxa"/>
            <w:vAlign w:val="center"/>
          </w:tcPr>
          <w:p w14:paraId="3F08BD54" w14:textId="77777777" w:rsidR="001C2F95" w:rsidRPr="00730A4A" w:rsidRDefault="001C2F95" w:rsidP="00971FD2">
            <w:pPr>
              <w:jc w:val="center"/>
              <w:rPr>
                <w:rFonts w:cs="Arial"/>
                <w:bCs/>
                <w:color w:val="000000"/>
                <w:sz w:val="22"/>
              </w:rPr>
            </w:pPr>
            <w:r w:rsidRPr="00730A4A">
              <w:rPr>
                <w:rFonts w:cs="Arial"/>
                <w:bCs/>
                <w:color w:val="000000"/>
                <w:sz w:val="22"/>
              </w:rPr>
              <w:t>Impacts Positifs</w:t>
            </w:r>
          </w:p>
        </w:tc>
        <w:tc>
          <w:tcPr>
            <w:tcW w:w="1710" w:type="dxa"/>
            <w:vAlign w:val="center"/>
          </w:tcPr>
          <w:p w14:paraId="4D5419BB" w14:textId="77777777" w:rsidR="001C2F95" w:rsidRPr="00730A4A" w:rsidRDefault="001C2F95" w:rsidP="00971FD2">
            <w:pPr>
              <w:jc w:val="center"/>
              <w:rPr>
                <w:rFonts w:cs="Arial"/>
                <w:bCs/>
                <w:color w:val="000000"/>
                <w:sz w:val="22"/>
              </w:rPr>
            </w:pPr>
            <w:r w:rsidRPr="00730A4A">
              <w:rPr>
                <w:rFonts w:cs="Arial"/>
                <w:bCs/>
                <w:color w:val="000000"/>
                <w:sz w:val="22"/>
              </w:rPr>
              <w:t>Impacts Négatifs</w:t>
            </w:r>
          </w:p>
        </w:tc>
      </w:tr>
      <w:tr w:rsidR="001C2F95" w:rsidRPr="00010F6E" w14:paraId="77B270A7" w14:textId="77777777" w:rsidTr="00971FD2">
        <w:trPr>
          <w:trHeight w:val="381"/>
        </w:trPr>
        <w:tc>
          <w:tcPr>
            <w:tcW w:w="5580" w:type="dxa"/>
            <w:vAlign w:val="center"/>
          </w:tcPr>
          <w:p w14:paraId="7CD9B5C6" w14:textId="77777777" w:rsidR="001C2F95" w:rsidRPr="00730A4A" w:rsidRDefault="001C2F95" w:rsidP="00971FD2">
            <w:pPr>
              <w:jc w:val="left"/>
              <w:rPr>
                <w:rFonts w:cs="Arial"/>
                <w:color w:val="000000"/>
                <w:sz w:val="22"/>
              </w:rPr>
            </w:pPr>
            <w:r w:rsidRPr="00730A4A">
              <w:rPr>
                <w:rFonts w:cs="Arial"/>
                <w:color w:val="000000"/>
                <w:sz w:val="22"/>
              </w:rPr>
              <w:t>Productivité agricole</w:t>
            </w:r>
          </w:p>
        </w:tc>
        <w:tc>
          <w:tcPr>
            <w:tcW w:w="1710" w:type="dxa"/>
            <w:vAlign w:val="center"/>
          </w:tcPr>
          <w:p w14:paraId="471F6364" w14:textId="77777777" w:rsidR="001C2F95" w:rsidRPr="00730A4A" w:rsidRDefault="001C2F95" w:rsidP="00971FD2">
            <w:pPr>
              <w:jc w:val="center"/>
              <w:rPr>
                <w:rFonts w:cs="Arial"/>
                <w:color w:val="000000"/>
                <w:sz w:val="22"/>
              </w:rPr>
            </w:pPr>
            <w:r w:rsidRPr="00730A4A">
              <w:rPr>
                <w:rFonts w:cs="Arial"/>
                <w:color w:val="000000"/>
                <w:sz w:val="22"/>
              </w:rPr>
              <w:t>Majeur</w:t>
            </w:r>
          </w:p>
        </w:tc>
        <w:tc>
          <w:tcPr>
            <w:tcW w:w="1710" w:type="dxa"/>
            <w:vAlign w:val="center"/>
          </w:tcPr>
          <w:p w14:paraId="1A34D3EA" w14:textId="77777777" w:rsidR="001C2F95" w:rsidRPr="00730A4A" w:rsidRDefault="001C2F95" w:rsidP="00971FD2">
            <w:pPr>
              <w:jc w:val="center"/>
              <w:rPr>
                <w:rFonts w:cs="Arial"/>
                <w:color w:val="000000"/>
                <w:sz w:val="22"/>
              </w:rPr>
            </w:pPr>
            <w:r w:rsidRPr="00730A4A">
              <w:rPr>
                <w:rFonts w:cs="Arial"/>
                <w:color w:val="000000"/>
                <w:sz w:val="22"/>
              </w:rPr>
              <w:t>Substantiel</w:t>
            </w:r>
          </w:p>
        </w:tc>
      </w:tr>
      <w:tr w:rsidR="001C2F95" w:rsidRPr="00010F6E" w14:paraId="275D6949" w14:textId="77777777" w:rsidTr="00971FD2">
        <w:trPr>
          <w:trHeight w:val="288"/>
        </w:trPr>
        <w:tc>
          <w:tcPr>
            <w:tcW w:w="5580" w:type="dxa"/>
            <w:vAlign w:val="center"/>
          </w:tcPr>
          <w:p w14:paraId="13989CCC" w14:textId="77777777" w:rsidR="001C2F95" w:rsidRPr="00730A4A" w:rsidRDefault="001C2F95" w:rsidP="00971FD2">
            <w:pPr>
              <w:jc w:val="left"/>
              <w:rPr>
                <w:rFonts w:cs="Arial"/>
                <w:color w:val="000000"/>
                <w:sz w:val="22"/>
              </w:rPr>
            </w:pPr>
            <w:r w:rsidRPr="00730A4A">
              <w:rPr>
                <w:rFonts w:cs="Arial"/>
                <w:color w:val="000000"/>
                <w:sz w:val="22"/>
              </w:rPr>
              <w:t>Accès au marché des petits exploitants : Travaux de réhabilitation des routes rurales et marchés communautaires</w:t>
            </w:r>
          </w:p>
        </w:tc>
        <w:tc>
          <w:tcPr>
            <w:tcW w:w="1710" w:type="dxa"/>
            <w:vAlign w:val="center"/>
          </w:tcPr>
          <w:p w14:paraId="60C407C3" w14:textId="77777777" w:rsidR="001C2F95" w:rsidRPr="00730A4A" w:rsidRDefault="001C2F95" w:rsidP="00971FD2">
            <w:pPr>
              <w:jc w:val="center"/>
              <w:rPr>
                <w:rFonts w:cs="Arial"/>
                <w:color w:val="000000"/>
                <w:sz w:val="22"/>
              </w:rPr>
            </w:pPr>
            <w:r w:rsidRPr="00730A4A">
              <w:rPr>
                <w:rFonts w:cs="Arial"/>
                <w:color w:val="000000"/>
                <w:sz w:val="22"/>
              </w:rPr>
              <w:t>Majeur</w:t>
            </w:r>
          </w:p>
        </w:tc>
        <w:tc>
          <w:tcPr>
            <w:tcW w:w="1710" w:type="dxa"/>
            <w:vAlign w:val="center"/>
          </w:tcPr>
          <w:p w14:paraId="5B6AB2E2" w14:textId="77777777" w:rsidR="001C2F95" w:rsidRPr="00730A4A" w:rsidRDefault="001C2F95" w:rsidP="00971FD2">
            <w:pPr>
              <w:jc w:val="center"/>
              <w:rPr>
                <w:rFonts w:cs="Arial"/>
                <w:color w:val="000000"/>
                <w:sz w:val="22"/>
              </w:rPr>
            </w:pPr>
            <w:r w:rsidRPr="00730A4A">
              <w:rPr>
                <w:rFonts w:cs="Arial"/>
                <w:color w:val="000000"/>
                <w:sz w:val="22"/>
              </w:rPr>
              <w:t>Substantiel</w:t>
            </w:r>
          </w:p>
        </w:tc>
      </w:tr>
      <w:tr w:rsidR="001C2F95" w:rsidRPr="00010F6E" w14:paraId="2E2BAD9D" w14:textId="77777777" w:rsidTr="00971FD2">
        <w:trPr>
          <w:cantSplit/>
          <w:trHeight w:val="288"/>
        </w:trPr>
        <w:tc>
          <w:tcPr>
            <w:tcW w:w="5580" w:type="dxa"/>
            <w:vAlign w:val="center"/>
          </w:tcPr>
          <w:p w14:paraId="459CDF8C" w14:textId="77777777" w:rsidR="001C2F95" w:rsidRPr="00730A4A" w:rsidRDefault="001C2F95" w:rsidP="00971FD2">
            <w:pPr>
              <w:jc w:val="left"/>
              <w:rPr>
                <w:rFonts w:cs="Arial"/>
                <w:color w:val="000000"/>
                <w:sz w:val="22"/>
              </w:rPr>
            </w:pPr>
            <w:r w:rsidRPr="00730A4A">
              <w:rPr>
                <w:rFonts w:cs="Arial"/>
                <w:color w:val="000000"/>
                <w:sz w:val="22"/>
              </w:rPr>
              <w:t>Biens et services publics agricole : renforcement des capacités des ministères clés</w:t>
            </w:r>
          </w:p>
        </w:tc>
        <w:tc>
          <w:tcPr>
            <w:tcW w:w="1710" w:type="dxa"/>
            <w:vAlign w:val="center"/>
          </w:tcPr>
          <w:p w14:paraId="2E38E962" w14:textId="77777777" w:rsidR="001C2F95" w:rsidRPr="00730A4A" w:rsidRDefault="001C2F95" w:rsidP="00971FD2">
            <w:pPr>
              <w:jc w:val="center"/>
              <w:rPr>
                <w:rFonts w:cs="Arial"/>
                <w:color w:val="000000"/>
                <w:sz w:val="22"/>
              </w:rPr>
            </w:pPr>
            <w:r w:rsidRPr="00730A4A">
              <w:rPr>
                <w:rFonts w:cs="Arial"/>
                <w:color w:val="000000"/>
                <w:sz w:val="22"/>
              </w:rPr>
              <w:t>Majeur</w:t>
            </w:r>
          </w:p>
        </w:tc>
        <w:tc>
          <w:tcPr>
            <w:tcW w:w="1710" w:type="dxa"/>
            <w:vAlign w:val="center"/>
          </w:tcPr>
          <w:p w14:paraId="585E212D" w14:textId="77777777" w:rsidR="001C2F95" w:rsidRPr="00730A4A" w:rsidRDefault="001C2F95" w:rsidP="00971FD2">
            <w:pPr>
              <w:jc w:val="center"/>
              <w:rPr>
                <w:rFonts w:cs="Arial"/>
                <w:color w:val="000000"/>
                <w:sz w:val="22"/>
              </w:rPr>
            </w:pPr>
            <w:r w:rsidRPr="00730A4A">
              <w:rPr>
                <w:rFonts w:cs="Arial"/>
                <w:color w:val="000000"/>
                <w:sz w:val="22"/>
              </w:rPr>
              <w:t>Substantiel</w:t>
            </w:r>
          </w:p>
        </w:tc>
      </w:tr>
    </w:tbl>
    <w:p w14:paraId="5CB039F3" w14:textId="77777777" w:rsidR="001C2F95" w:rsidRPr="00730A4A" w:rsidRDefault="001C2F95" w:rsidP="001C2F95">
      <w:pPr>
        <w:spacing w:line="240" w:lineRule="auto"/>
        <w:jc w:val="left"/>
        <w:rPr>
          <w:rFonts w:cs="Arial"/>
          <w:bCs/>
          <w:i/>
          <w:color w:val="000000"/>
          <w:sz w:val="22"/>
        </w:rPr>
      </w:pPr>
      <w:bookmarkStart w:id="522" w:name="_Toc343715830"/>
      <w:bookmarkStart w:id="523" w:name="_Toc487204629"/>
    </w:p>
    <w:p w14:paraId="6FABF7EA" w14:textId="77777777" w:rsidR="001C2F95" w:rsidRPr="00730A4A" w:rsidRDefault="001C2F95" w:rsidP="001C2F95">
      <w:pPr>
        <w:pStyle w:val="Titre2"/>
        <w:numPr>
          <w:ilvl w:val="2"/>
          <w:numId w:val="4"/>
        </w:numPr>
        <w:ind w:left="1560" w:hanging="709"/>
        <w:rPr>
          <w:rFonts w:cs="Arial"/>
          <w:i/>
          <w:color w:val="000000"/>
          <w:sz w:val="22"/>
          <w:szCs w:val="22"/>
          <w:highlight w:val="cyan"/>
        </w:rPr>
        <w:sectPr w:rsidR="001C2F95" w:rsidRPr="00730A4A" w:rsidSect="007C78BF">
          <w:footerReference w:type="even" r:id="rId99"/>
          <w:footerReference w:type="default" r:id="rId100"/>
          <w:pgSz w:w="11907" w:h="16839" w:code="9"/>
          <w:pgMar w:top="851" w:right="1417" w:bottom="993" w:left="1418" w:header="567" w:footer="328" w:gutter="0"/>
          <w:cols w:space="708"/>
          <w:docGrid w:linePitch="360"/>
        </w:sectPr>
      </w:pPr>
      <w:bookmarkStart w:id="524" w:name="_Toc44626843"/>
    </w:p>
    <w:p w14:paraId="3352C7A4" w14:textId="77777777" w:rsidR="001C2F95" w:rsidRPr="00730A4A" w:rsidRDefault="001C2F95" w:rsidP="001C2F95">
      <w:pPr>
        <w:pStyle w:val="Titre2"/>
        <w:numPr>
          <w:ilvl w:val="2"/>
          <w:numId w:val="4"/>
        </w:numPr>
        <w:ind w:left="1560" w:hanging="709"/>
        <w:rPr>
          <w:rFonts w:cs="Arial"/>
          <w:i/>
          <w:color w:val="000000"/>
          <w:sz w:val="22"/>
          <w:szCs w:val="22"/>
        </w:rPr>
      </w:pPr>
      <w:bookmarkStart w:id="525" w:name="_Toc70330431"/>
      <w:r w:rsidRPr="00730A4A">
        <w:rPr>
          <w:rFonts w:cs="Arial"/>
          <w:i/>
          <w:color w:val="000000"/>
          <w:sz w:val="22"/>
          <w:szCs w:val="22"/>
        </w:rPr>
        <w:t>Mesures de bonification des impacts positifs et d’atténuation des impacts négatifs</w:t>
      </w:r>
      <w:bookmarkEnd w:id="522"/>
      <w:bookmarkEnd w:id="523"/>
      <w:bookmarkEnd w:id="524"/>
      <w:bookmarkEnd w:id="525"/>
    </w:p>
    <w:p w14:paraId="09C1AD55" w14:textId="77777777" w:rsidR="001C2F95" w:rsidRPr="00730A4A" w:rsidRDefault="001C2F95" w:rsidP="001C2F95">
      <w:pPr>
        <w:pStyle w:val="Titre4"/>
        <w:spacing w:before="0" w:after="0"/>
        <w:ind w:left="0" w:firstLine="0"/>
        <w:rPr>
          <w:rFonts w:ascii="Arial" w:hAnsi="Arial" w:cs="Arial"/>
          <w:i/>
          <w:color w:val="000000"/>
          <w:sz w:val="22"/>
          <w:szCs w:val="22"/>
        </w:rPr>
      </w:pPr>
      <w:bookmarkStart w:id="526" w:name="_Toc487204630"/>
    </w:p>
    <w:p w14:paraId="662345AE" w14:textId="77777777" w:rsidR="001C2F95" w:rsidRPr="00730A4A" w:rsidRDefault="001C2F95" w:rsidP="001C2F95">
      <w:pPr>
        <w:pStyle w:val="Titre4"/>
        <w:spacing w:before="0" w:after="0"/>
        <w:ind w:left="0" w:firstLine="0"/>
        <w:rPr>
          <w:rFonts w:ascii="Arial" w:hAnsi="Arial" w:cs="Arial"/>
          <w:b w:val="0"/>
          <w:i/>
          <w:color w:val="000000"/>
          <w:sz w:val="22"/>
          <w:szCs w:val="22"/>
        </w:rPr>
      </w:pPr>
      <w:r w:rsidRPr="00730A4A">
        <w:rPr>
          <w:rFonts w:ascii="Arial" w:hAnsi="Arial" w:cs="Arial"/>
          <w:b w:val="0"/>
          <w:i/>
          <w:color w:val="000000"/>
          <w:sz w:val="22"/>
          <w:szCs w:val="22"/>
        </w:rPr>
        <w:t>Mesures de bonification</w:t>
      </w:r>
      <w:bookmarkEnd w:id="526"/>
    </w:p>
    <w:bookmarkEnd w:id="519"/>
    <w:bookmarkEnd w:id="520"/>
    <w:p w14:paraId="72352011" w14:textId="77777777" w:rsidR="001C2F95" w:rsidRPr="00730A4A" w:rsidRDefault="001C2F95" w:rsidP="001C2F95">
      <w:pPr>
        <w:rPr>
          <w:rFonts w:eastAsia="Arial Unicode MS" w:cs="Arial"/>
          <w:color w:val="000000"/>
          <w:sz w:val="22"/>
        </w:rPr>
      </w:pPr>
    </w:p>
    <w:p w14:paraId="7B1C0FAD" w14:textId="77777777" w:rsidR="001C2F95" w:rsidRPr="00730A4A" w:rsidRDefault="001C2F95" w:rsidP="001C2F95">
      <w:pPr>
        <w:pStyle w:val="Lgende"/>
        <w:rPr>
          <w:rFonts w:cs="Arial"/>
          <w:bCs w:val="0"/>
          <w:iCs/>
          <w:color w:val="000000"/>
          <w:sz w:val="22"/>
          <w:szCs w:val="22"/>
        </w:rPr>
      </w:pPr>
      <w:bookmarkStart w:id="527" w:name="_Toc485127600"/>
      <w:bookmarkStart w:id="528" w:name="_Toc70451672"/>
      <w:r w:rsidRPr="00730A4A">
        <w:rPr>
          <w:rFonts w:cs="Arial"/>
          <w:color w:val="000000"/>
          <w:sz w:val="22"/>
          <w:szCs w:val="22"/>
        </w:rPr>
        <w:t xml:space="preserve">Tableau </w:t>
      </w:r>
      <w:r w:rsidRPr="00730A4A">
        <w:rPr>
          <w:rFonts w:cs="Arial"/>
          <w:color w:val="000000"/>
          <w:sz w:val="22"/>
          <w:szCs w:val="22"/>
        </w:rPr>
        <w:fldChar w:fldCharType="begin"/>
      </w:r>
      <w:r w:rsidRPr="00730A4A">
        <w:rPr>
          <w:rFonts w:cs="Arial"/>
          <w:color w:val="000000"/>
          <w:sz w:val="22"/>
          <w:szCs w:val="22"/>
        </w:rPr>
        <w:instrText xml:space="preserve"> SEQ Tableau \* ARABIC </w:instrText>
      </w:r>
      <w:r w:rsidRPr="00730A4A">
        <w:rPr>
          <w:rFonts w:cs="Arial"/>
          <w:color w:val="000000"/>
          <w:sz w:val="22"/>
          <w:szCs w:val="22"/>
        </w:rPr>
        <w:fldChar w:fldCharType="separate"/>
      </w:r>
      <w:r w:rsidR="001260B3">
        <w:rPr>
          <w:rFonts w:cs="Arial"/>
          <w:noProof/>
          <w:color w:val="000000"/>
          <w:sz w:val="22"/>
          <w:szCs w:val="22"/>
        </w:rPr>
        <w:t>26</w:t>
      </w:r>
      <w:r w:rsidRPr="00730A4A">
        <w:rPr>
          <w:rFonts w:cs="Arial"/>
          <w:color w:val="000000"/>
          <w:sz w:val="22"/>
          <w:szCs w:val="22"/>
        </w:rPr>
        <w:fldChar w:fldCharType="end"/>
      </w:r>
      <w:r w:rsidRPr="00730A4A">
        <w:rPr>
          <w:rFonts w:cs="Arial"/>
          <w:color w:val="000000"/>
          <w:sz w:val="22"/>
          <w:szCs w:val="22"/>
        </w:rPr>
        <w:t>.</w:t>
      </w:r>
      <w:r w:rsidRPr="00730A4A">
        <w:rPr>
          <w:rFonts w:cs="Arial"/>
          <w:bCs w:val="0"/>
          <w:color w:val="000000"/>
          <w:sz w:val="22"/>
          <w:szCs w:val="22"/>
        </w:rPr>
        <w:t xml:space="preserve"> </w:t>
      </w:r>
      <w:r w:rsidRPr="00730A4A">
        <w:rPr>
          <w:rFonts w:cs="Arial"/>
          <w:color w:val="000000"/>
          <w:sz w:val="22"/>
          <w:szCs w:val="22"/>
        </w:rPr>
        <w:t xml:space="preserve"> </w:t>
      </w:r>
      <w:r w:rsidRPr="00730A4A">
        <w:rPr>
          <w:rFonts w:cs="Arial"/>
          <w:bCs w:val="0"/>
          <w:iCs/>
          <w:color w:val="000000"/>
          <w:sz w:val="22"/>
          <w:szCs w:val="22"/>
        </w:rPr>
        <w:t>Mesures de bonification des impacts positifs de toutes les composantes</w:t>
      </w:r>
      <w:bookmarkEnd w:id="527"/>
      <w:bookmarkEnd w:id="528"/>
    </w:p>
    <w:p w14:paraId="7E926870" w14:textId="77777777" w:rsidR="001C2F95" w:rsidRPr="00141F48" w:rsidRDefault="001C2F95" w:rsidP="001C2F95">
      <w:pPr>
        <w:rPr>
          <w:bCs/>
          <w:highlight w:val="cyan"/>
        </w:rPr>
      </w:pPr>
    </w:p>
    <w:tbl>
      <w:tblPr>
        <w:tblW w:w="14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3"/>
        <w:gridCol w:w="2607"/>
        <w:gridCol w:w="3843"/>
        <w:gridCol w:w="2268"/>
        <w:gridCol w:w="1984"/>
        <w:gridCol w:w="1985"/>
      </w:tblGrid>
      <w:tr w:rsidR="00BB0401" w:rsidRPr="00891F0E" w14:paraId="240B1C12" w14:textId="77777777" w:rsidTr="00730A4A">
        <w:tc>
          <w:tcPr>
            <w:tcW w:w="1783" w:type="dxa"/>
            <w:vMerge w:val="restart"/>
            <w:tcBorders>
              <w:top w:val="single" w:sz="4" w:space="0" w:color="auto"/>
              <w:left w:val="single" w:sz="4" w:space="0" w:color="auto"/>
              <w:right w:val="single" w:sz="4" w:space="0" w:color="auto"/>
            </w:tcBorders>
            <w:shd w:val="clear" w:color="auto" w:fill="auto"/>
            <w:vAlign w:val="center"/>
          </w:tcPr>
          <w:p w14:paraId="51BD95FC" w14:textId="77777777" w:rsidR="001C2F95" w:rsidRPr="00730A4A" w:rsidRDefault="001C2F95" w:rsidP="00730A4A">
            <w:pPr>
              <w:jc w:val="center"/>
              <w:rPr>
                <w:rFonts w:cs="Arial"/>
                <w:b/>
                <w:sz w:val="22"/>
                <w:szCs w:val="20"/>
                <w:lang w:val="en-US"/>
              </w:rPr>
            </w:pPr>
            <w:r w:rsidRPr="00730A4A">
              <w:rPr>
                <w:rFonts w:cs="Arial"/>
                <w:b/>
                <w:color w:val="000000"/>
                <w:sz w:val="22"/>
                <w:szCs w:val="20"/>
                <w:lang w:val="en-US"/>
              </w:rPr>
              <w:t>Composantes</w:t>
            </w:r>
          </w:p>
        </w:tc>
        <w:tc>
          <w:tcPr>
            <w:tcW w:w="2607" w:type="dxa"/>
            <w:vMerge w:val="restart"/>
            <w:tcBorders>
              <w:top w:val="single" w:sz="4" w:space="0" w:color="auto"/>
              <w:left w:val="single" w:sz="4" w:space="0" w:color="auto"/>
              <w:right w:val="single" w:sz="4" w:space="0" w:color="auto"/>
            </w:tcBorders>
            <w:shd w:val="clear" w:color="auto" w:fill="auto"/>
            <w:vAlign w:val="center"/>
          </w:tcPr>
          <w:p w14:paraId="712FC3C7" w14:textId="77777777" w:rsidR="001C2F95" w:rsidRPr="00730A4A" w:rsidRDefault="001C2F95" w:rsidP="00730A4A">
            <w:pPr>
              <w:jc w:val="center"/>
              <w:rPr>
                <w:rFonts w:cs="Arial"/>
                <w:b/>
                <w:sz w:val="22"/>
                <w:szCs w:val="20"/>
                <w:lang w:val="en-US"/>
              </w:rPr>
            </w:pPr>
            <w:r w:rsidRPr="00730A4A">
              <w:rPr>
                <w:rFonts w:cs="Arial"/>
                <w:b/>
                <w:color w:val="000000"/>
                <w:sz w:val="22"/>
                <w:szCs w:val="20"/>
                <w:lang w:val="en-US"/>
              </w:rPr>
              <w:t>Impacts potentiels</w:t>
            </w:r>
          </w:p>
        </w:tc>
        <w:tc>
          <w:tcPr>
            <w:tcW w:w="3843" w:type="dxa"/>
            <w:vMerge w:val="restart"/>
            <w:tcBorders>
              <w:top w:val="single" w:sz="4" w:space="0" w:color="auto"/>
              <w:left w:val="single" w:sz="4" w:space="0" w:color="auto"/>
              <w:right w:val="single" w:sz="4" w:space="0" w:color="auto"/>
            </w:tcBorders>
            <w:shd w:val="clear" w:color="auto" w:fill="auto"/>
          </w:tcPr>
          <w:p w14:paraId="5076A453" w14:textId="77777777" w:rsidR="001C2F95" w:rsidRPr="00730A4A" w:rsidRDefault="001C2F95" w:rsidP="00730A4A">
            <w:pPr>
              <w:jc w:val="center"/>
              <w:rPr>
                <w:rFonts w:cs="Arial"/>
                <w:b/>
                <w:color w:val="000000"/>
                <w:sz w:val="22"/>
                <w:szCs w:val="20"/>
                <w:lang w:val="en-US"/>
              </w:rPr>
            </w:pPr>
          </w:p>
          <w:p w14:paraId="728AE7E1" w14:textId="77777777" w:rsidR="001C2F95" w:rsidRPr="00730A4A" w:rsidRDefault="001C2F95" w:rsidP="00730A4A">
            <w:pPr>
              <w:jc w:val="center"/>
              <w:rPr>
                <w:rFonts w:cs="Arial"/>
                <w:b/>
                <w:color w:val="000000"/>
                <w:sz w:val="22"/>
                <w:szCs w:val="20"/>
                <w:lang w:val="en-US"/>
              </w:rPr>
            </w:pPr>
            <w:r w:rsidRPr="00730A4A">
              <w:rPr>
                <w:rFonts w:cs="Arial"/>
                <w:b/>
                <w:color w:val="000000"/>
                <w:sz w:val="22"/>
                <w:szCs w:val="20"/>
                <w:lang w:val="en-US"/>
              </w:rPr>
              <w:t>Mesures de bonification</w:t>
            </w:r>
          </w:p>
        </w:tc>
        <w:tc>
          <w:tcPr>
            <w:tcW w:w="2268" w:type="dxa"/>
            <w:vMerge w:val="restart"/>
            <w:tcBorders>
              <w:top w:val="single" w:sz="4" w:space="0" w:color="auto"/>
              <w:left w:val="single" w:sz="4" w:space="0" w:color="auto"/>
              <w:right w:val="single" w:sz="4" w:space="0" w:color="auto"/>
            </w:tcBorders>
            <w:shd w:val="clear" w:color="auto" w:fill="auto"/>
            <w:vAlign w:val="center"/>
          </w:tcPr>
          <w:p w14:paraId="55EE99E0" w14:textId="77777777" w:rsidR="001C2F95" w:rsidRPr="00730A4A" w:rsidRDefault="001C2F95" w:rsidP="00730A4A">
            <w:pPr>
              <w:jc w:val="center"/>
              <w:rPr>
                <w:rFonts w:cs="Arial"/>
                <w:b/>
                <w:sz w:val="22"/>
                <w:szCs w:val="20"/>
              </w:rPr>
            </w:pPr>
            <w:r w:rsidRPr="00730A4A">
              <w:rPr>
                <w:rFonts w:cs="Arial"/>
                <w:b/>
                <w:color w:val="000000"/>
                <w:sz w:val="22"/>
                <w:szCs w:val="20"/>
              </w:rPr>
              <w:t>Période de mise en œuvre</w:t>
            </w:r>
          </w:p>
        </w:tc>
        <w:tc>
          <w:tcPr>
            <w:tcW w:w="3969" w:type="dxa"/>
            <w:gridSpan w:val="2"/>
            <w:tcBorders>
              <w:top w:val="single" w:sz="4" w:space="0" w:color="auto"/>
              <w:left w:val="single" w:sz="4" w:space="0" w:color="auto"/>
              <w:bottom w:val="single" w:sz="4" w:space="0" w:color="000000"/>
              <w:right w:val="single" w:sz="4" w:space="0" w:color="auto"/>
            </w:tcBorders>
            <w:shd w:val="clear" w:color="auto" w:fill="auto"/>
          </w:tcPr>
          <w:p w14:paraId="3D91F905" w14:textId="77777777" w:rsidR="001C2F95" w:rsidRPr="00730A4A" w:rsidRDefault="001C2F95" w:rsidP="00730A4A">
            <w:pPr>
              <w:jc w:val="center"/>
              <w:rPr>
                <w:rFonts w:cs="Arial"/>
                <w:b/>
                <w:color w:val="000000"/>
                <w:sz w:val="22"/>
                <w:szCs w:val="20"/>
                <w:lang w:val="en-US"/>
              </w:rPr>
            </w:pPr>
            <w:r w:rsidRPr="00730A4A">
              <w:rPr>
                <w:rFonts w:cs="Arial"/>
                <w:b/>
                <w:color w:val="000000"/>
                <w:sz w:val="22"/>
                <w:szCs w:val="20"/>
                <w:lang w:val="en-US"/>
              </w:rPr>
              <w:t>Responsable</w:t>
            </w:r>
          </w:p>
        </w:tc>
      </w:tr>
      <w:tr w:rsidR="00BB0401" w:rsidRPr="00BB4A68" w14:paraId="4CE0F634" w14:textId="77777777" w:rsidTr="00730A4A">
        <w:tc>
          <w:tcPr>
            <w:tcW w:w="1783" w:type="dxa"/>
            <w:vMerge/>
            <w:tcBorders>
              <w:left w:val="single" w:sz="4" w:space="0" w:color="auto"/>
              <w:bottom w:val="single" w:sz="4" w:space="0" w:color="000000"/>
              <w:right w:val="single" w:sz="4" w:space="0" w:color="auto"/>
            </w:tcBorders>
            <w:shd w:val="clear" w:color="auto" w:fill="auto"/>
            <w:vAlign w:val="center"/>
          </w:tcPr>
          <w:p w14:paraId="59409D8D" w14:textId="77777777" w:rsidR="001C2F95" w:rsidRPr="00730A4A" w:rsidRDefault="001C2F95" w:rsidP="00730A4A">
            <w:pPr>
              <w:jc w:val="center"/>
              <w:rPr>
                <w:rFonts w:cs="Arial"/>
                <w:sz w:val="22"/>
                <w:szCs w:val="20"/>
                <w:lang w:val="en-US"/>
              </w:rPr>
            </w:pPr>
          </w:p>
        </w:tc>
        <w:tc>
          <w:tcPr>
            <w:tcW w:w="2607" w:type="dxa"/>
            <w:vMerge/>
            <w:tcBorders>
              <w:left w:val="single" w:sz="4" w:space="0" w:color="auto"/>
              <w:bottom w:val="single" w:sz="4" w:space="0" w:color="000000"/>
              <w:right w:val="single" w:sz="4" w:space="0" w:color="auto"/>
            </w:tcBorders>
            <w:shd w:val="clear" w:color="auto" w:fill="auto"/>
            <w:vAlign w:val="center"/>
          </w:tcPr>
          <w:p w14:paraId="1EE92136" w14:textId="77777777" w:rsidR="001C2F95" w:rsidRPr="00730A4A" w:rsidRDefault="001C2F95" w:rsidP="00730A4A">
            <w:pPr>
              <w:jc w:val="center"/>
              <w:rPr>
                <w:rFonts w:cs="Arial"/>
                <w:sz w:val="22"/>
                <w:szCs w:val="20"/>
                <w:lang w:val="en-US"/>
              </w:rPr>
            </w:pPr>
          </w:p>
        </w:tc>
        <w:tc>
          <w:tcPr>
            <w:tcW w:w="3843" w:type="dxa"/>
            <w:vMerge/>
            <w:tcBorders>
              <w:left w:val="single" w:sz="4" w:space="0" w:color="auto"/>
              <w:bottom w:val="single" w:sz="4" w:space="0" w:color="000000"/>
              <w:right w:val="single" w:sz="4" w:space="0" w:color="auto"/>
            </w:tcBorders>
            <w:shd w:val="clear" w:color="auto" w:fill="auto"/>
          </w:tcPr>
          <w:p w14:paraId="70ABD92D" w14:textId="77777777" w:rsidR="001C2F95" w:rsidRPr="00730A4A" w:rsidRDefault="001C2F95" w:rsidP="00730A4A">
            <w:pPr>
              <w:jc w:val="center"/>
              <w:rPr>
                <w:rFonts w:cs="Arial"/>
                <w:sz w:val="22"/>
                <w:szCs w:val="20"/>
                <w:lang w:val="en-US"/>
              </w:rPr>
            </w:pPr>
          </w:p>
        </w:tc>
        <w:tc>
          <w:tcPr>
            <w:tcW w:w="2268" w:type="dxa"/>
            <w:vMerge/>
            <w:tcBorders>
              <w:left w:val="single" w:sz="4" w:space="0" w:color="auto"/>
              <w:bottom w:val="single" w:sz="4" w:space="0" w:color="000000"/>
              <w:right w:val="single" w:sz="4" w:space="0" w:color="auto"/>
            </w:tcBorders>
            <w:shd w:val="clear" w:color="auto" w:fill="auto"/>
            <w:vAlign w:val="center"/>
          </w:tcPr>
          <w:p w14:paraId="0BB774E8" w14:textId="77777777" w:rsidR="001C2F95" w:rsidRPr="00730A4A" w:rsidRDefault="001C2F95" w:rsidP="00730A4A">
            <w:pPr>
              <w:jc w:val="center"/>
              <w:rPr>
                <w:rFonts w:cs="Arial"/>
                <w:sz w:val="22"/>
                <w:szCs w:val="20"/>
                <w:lang w:val="en-US"/>
              </w:rPr>
            </w:pPr>
          </w:p>
        </w:tc>
        <w:tc>
          <w:tcPr>
            <w:tcW w:w="1984" w:type="dxa"/>
            <w:tcBorders>
              <w:top w:val="nil"/>
              <w:left w:val="nil"/>
              <w:bottom w:val="single" w:sz="4" w:space="0" w:color="auto"/>
              <w:right w:val="single" w:sz="4" w:space="0" w:color="auto"/>
            </w:tcBorders>
            <w:shd w:val="clear" w:color="auto" w:fill="auto"/>
            <w:vAlign w:val="center"/>
          </w:tcPr>
          <w:p w14:paraId="180CAEF1" w14:textId="77777777" w:rsidR="001C2F95" w:rsidRPr="00730A4A" w:rsidRDefault="001C2F95" w:rsidP="00730A4A">
            <w:pPr>
              <w:jc w:val="center"/>
              <w:rPr>
                <w:rFonts w:cs="Arial"/>
                <w:b/>
                <w:sz w:val="22"/>
                <w:szCs w:val="20"/>
                <w:lang w:val="en-US"/>
              </w:rPr>
            </w:pPr>
            <w:r w:rsidRPr="00730A4A">
              <w:rPr>
                <w:rFonts w:cs="Arial"/>
                <w:b/>
                <w:color w:val="000000"/>
                <w:sz w:val="22"/>
                <w:szCs w:val="20"/>
                <w:lang w:val="en-US"/>
              </w:rPr>
              <w:t>Mise en application</w:t>
            </w:r>
          </w:p>
        </w:tc>
        <w:tc>
          <w:tcPr>
            <w:tcW w:w="1985" w:type="dxa"/>
            <w:tcBorders>
              <w:top w:val="nil"/>
              <w:left w:val="nil"/>
              <w:bottom w:val="single" w:sz="4" w:space="0" w:color="auto"/>
              <w:right w:val="single" w:sz="4" w:space="0" w:color="auto"/>
            </w:tcBorders>
            <w:shd w:val="clear" w:color="auto" w:fill="auto"/>
            <w:vAlign w:val="center"/>
          </w:tcPr>
          <w:p w14:paraId="39A0120B" w14:textId="77777777" w:rsidR="001C2F95" w:rsidRPr="00730A4A" w:rsidRDefault="001C2F95" w:rsidP="00730A4A">
            <w:pPr>
              <w:jc w:val="center"/>
              <w:rPr>
                <w:rFonts w:cs="Arial"/>
                <w:b/>
                <w:sz w:val="22"/>
                <w:szCs w:val="20"/>
                <w:lang w:val="en-US"/>
              </w:rPr>
            </w:pPr>
            <w:r w:rsidRPr="00730A4A">
              <w:rPr>
                <w:rFonts w:cs="Arial"/>
                <w:b/>
                <w:color w:val="000000"/>
                <w:sz w:val="22"/>
                <w:szCs w:val="20"/>
                <w:lang w:val="en-US"/>
              </w:rPr>
              <w:t>Suivi et évaluation</w:t>
            </w:r>
          </w:p>
        </w:tc>
      </w:tr>
      <w:tr w:rsidR="00BB0401" w:rsidRPr="00891F0E" w14:paraId="675A93CD" w14:textId="77777777" w:rsidTr="00730A4A">
        <w:tc>
          <w:tcPr>
            <w:tcW w:w="1783" w:type="dxa"/>
            <w:shd w:val="clear" w:color="auto" w:fill="auto"/>
          </w:tcPr>
          <w:p w14:paraId="6D520A4C" w14:textId="77777777" w:rsidR="001C2F95" w:rsidRPr="00730A4A" w:rsidRDefault="001C2F95" w:rsidP="00730A4A">
            <w:pPr>
              <w:jc w:val="left"/>
              <w:rPr>
                <w:rFonts w:cs="Arial"/>
                <w:color w:val="000000"/>
                <w:sz w:val="22"/>
                <w:szCs w:val="20"/>
                <w:lang w:val="en-US"/>
              </w:rPr>
            </w:pPr>
            <w:r w:rsidRPr="00730A4A">
              <w:rPr>
                <w:rFonts w:cs="Arial"/>
                <w:color w:val="000000"/>
                <w:sz w:val="22"/>
                <w:szCs w:val="20"/>
                <w:lang w:val="en-US"/>
              </w:rPr>
              <w:t>Productivité agricole</w:t>
            </w:r>
          </w:p>
          <w:p w14:paraId="7F61E48A" w14:textId="77777777" w:rsidR="001C2F95" w:rsidRPr="00730A4A" w:rsidRDefault="001C2F95" w:rsidP="00971FD2">
            <w:pPr>
              <w:rPr>
                <w:rFonts w:cs="Arial"/>
                <w:sz w:val="22"/>
                <w:szCs w:val="20"/>
                <w:lang w:val="en-US"/>
              </w:rPr>
            </w:pPr>
          </w:p>
        </w:tc>
        <w:tc>
          <w:tcPr>
            <w:tcW w:w="2607" w:type="dxa"/>
            <w:shd w:val="clear" w:color="auto" w:fill="auto"/>
          </w:tcPr>
          <w:p w14:paraId="698987BA" w14:textId="77777777" w:rsidR="001C2F95" w:rsidRPr="00730A4A" w:rsidRDefault="001C2F95" w:rsidP="00730A4A">
            <w:pPr>
              <w:pStyle w:val="Paragraphedeliste"/>
              <w:numPr>
                <w:ilvl w:val="0"/>
                <w:numId w:val="48"/>
              </w:numPr>
              <w:spacing w:line="240" w:lineRule="auto"/>
              <w:jc w:val="left"/>
              <w:rPr>
                <w:rFonts w:eastAsia="MS Mincho" w:cs="Arial"/>
                <w:sz w:val="22"/>
                <w:szCs w:val="20"/>
              </w:rPr>
            </w:pPr>
            <w:r w:rsidRPr="00730A4A">
              <w:rPr>
                <w:color w:val="000000"/>
                <w:sz w:val="22"/>
                <w:szCs w:val="20"/>
              </w:rPr>
              <w:t>Accroissement</w:t>
            </w:r>
            <w:r w:rsidRPr="00730A4A">
              <w:rPr>
                <w:rFonts w:cs="Arial"/>
                <w:color w:val="000000"/>
                <w:sz w:val="22"/>
                <w:szCs w:val="20"/>
              </w:rPr>
              <w:t xml:space="preserve"> de la productivité et de la production agricoles, </w:t>
            </w:r>
          </w:p>
          <w:p w14:paraId="5C28E5AD" w14:textId="77777777" w:rsidR="001C2F95" w:rsidRPr="00730A4A" w:rsidRDefault="001C2F95" w:rsidP="00730A4A">
            <w:pPr>
              <w:pStyle w:val="Paragraphedeliste"/>
              <w:numPr>
                <w:ilvl w:val="0"/>
                <w:numId w:val="48"/>
              </w:numPr>
              <w:spacing w:line="240" w:lineRule="auto"/>
              <w:jc w:val="left"/>
              <w:rPr>
                <w:rFonts w:cs="Arial"/>
                <w:sz w:val="22"/>
                <w:szCs w:val="20"/>
              </w:rPr>
            </w:pPr>
            <w:r w:rsidRPr="00730A4A">
              <w:rPr>
                <w:rFonts w:cs="Arial"/>
                <w:color w:val="000000"/>
                <w:sz w:val="22"/>
                <w:szCs w:val="20"/>
              </w:rPr>
              <w:t>Création d'emplois temporaires et permanents dans les zones d’intervention notamment les travaux à Haute Intensité de Main-d’œuvre (HIMO) dans la réduction de la pauvreté, avec un quota de 30 % réservé aux femmes et jeunes filles majeures,</w:t>
            </w:r>
          </w:p>
        </w:tc>
        <w:tc>
          <w:tcPr>
            <w:tcW w:w="3843" w:type="dxa"/>
            <w:shd w:val="clear" w:color="auto" w:fill="auto"/>
          </w:tcPr>
          <w:p w14:paraId="28000866" w14:textId="77777777" w:rsidR="001C2F95" w:rsidRPr="00730A4A" w:rsidRDefault="001C2F95" w:rsidP="00730A4A">
            <w:pPr>
              <w:pStyle w:val="Paragraphedeliste"/>
              <w:numPr>
                <w:ilvl w:val="0"/>
                <w:numId w:val="48"/>
              </w:numPr>
              <w:jc w:val="left"/>
              <w:rPr>
                <w:rFonts w:cs="Arial"/>
                <w:bCs/>
                <w:sz w:val="22"/>
                <w:szCs w:val="20"/>
                <w:lang w:val="en-US"/>
              </w:rPr>
            </w:pPr>
            <w:r w:rsidRPr="00730A4A">
              <w:rPr>
                <w:rFonts w:cs="Arial"/>
                <w:bCs/>
                <w:sz w:val="22"/>
                <w:szCs w:val="20"/>
                <w:lang w:val="en-US"/>
              </w:rPr>
              <w:t>Valorisation des productions agricoles ; et</w:t>
            </w:r>
          </w:p>
          <w:p w14:paraId="244EEFC6" w14:textId="77777777" w:rsidR="001C2F95" w:rsidRPr="00730A4A" w:rsidRDefault="001C2F95" w:rsidP="00730A4A">
            <w:pPr>
              <w:pStyle w:val="Paragraphedeliste"/>
              <w:numPr>
                <w:ilvl w:val="0"/>
                <w:numId w:val="48"/>
              </w:numPr>
              <w:jc w:val="left"/>
              <w:rPr>
                <w:rFonts w:cs="Arial"/>
                <w:bCs/>
                <w:sz w:val="22"/>
                <w:szCs w:val="20"/>
                <w:lang w:val="en-US"/>
              </w:rPr>
            </w:pPr>
            <w:r w:rsidRPr="00730A4A">
              <w:rPr>
                <w:rFonts w:cs="Arial"/>
                <w:bCs/>
                <w:sz w:val="22"/>
                <w:szCs w:val="20"/>
                <w:lang w:val="en-US"/>
              </w:rPr>
              <w:t>Consommation des produits agricoles ;</w:t>
            </w:r>
          </w:p>
          <w:p w14:paraId="035133AF" w14:textId="77777777" w:rsidR="001C2F95" w:rsidRPr="00730A4A" w:rsidRDefault="001C2F95" w:rsidP="00730A4A">
            <w:pPr>
              <w:pStyle w:val="Paragraphedeliste"/>
              <w:numPr>
                <w:ilvl w:val="0"/>
                <w:numId w:val="48"/>
              </w:numPr>
              <w:jc w:val="left"/>
              <w:rPr>
                <w:rFonts w:cs="Arial"/>
                <w:bCs/>
                <w:sz w:val="22"/>
                <w:szCs w:val="20"/>
              </w:rPr>
            </w:pPr>
            <w:r w:rsidRPr="00730A4A">
              <w:rPr>
                <w:rFonts w:cs="Arial"/>
                <w:bCs/>
                <w:sz w:val="22"/>
                <w:szCs w:val="20"/>
              </w:rPr>
              <w:t>Amélioration de niveau de vie des petits exploitants agricoles suite à la création d’emploi</w:t>
            </w:r>
          </w:p>
          <w:p w14:paraId="5D386F41" w14:textId="77777777" w:rsidR="001C2F95" w:rsidRPr="00730A4A" w:rsidRDefault="001C2F95" w:rsidP="00730A4A">
            <w:pPr>
              <w:pStyle w:val="Paragraphedeliste"/>
              <w:numPr>
                <w:ilvl w:val="0"/>
                <w:numId w:val="48"/>
              </w:numPr>
              <w:spacing w:line="240" w:lineRule="auto"/>
              <w:jc w:val="left"/>
              <w:rPr>
                <w:rFonts w:eastAsia="MS Mincho" w:cs="Arial"/>
                <w:sz w:val="22"/>
                <w:szCs w:val="20"/>
              </w:rPr>
            </w:pPr>
            <w:r w:rsidRPr="00730A4A">
              <w:rPr>
                <w:rFonts w:cs="Arial"/>
                <w:color w:val="000000"/>
                <w:sz w:val="22"/>
                <w:szCs w:val="20"/>
              </w:rPr>
              <w:t>Amélioration de la sécurité alimentaire ;</w:t>
            </w:r>
          </w:p>
          <w:p w14:paraId="5910F0AC" w14:textId="77777777" w:rsidR="001C2F95" w:rsidRPr="00730A4A" w:rsidRDefault="001C2F95" w:rsidP="00730A4A">
            <w:pPr>
              <w:pStyle w:val="Paragraphedeliste"/>
              <w:numPr>
                <w:ilvl w:val="0"/>
                <w:numId w:val="48"/>
              </w:numPr>
              <w:spacing w:line="240" w:lineRule="auto"/>
              <w:jc w:val="left"/>
              <w:rPr>
                <w:rFonts w:eastAsia="MS Mincho" w:cs="Arial"/>
                <w:sz w:val="22"/>
                <w:szCs w:val="20"/>
              </w:rPr>
            </w:pPr>
            <w:r w:rsidRPr="00730A4A">
              <w:rPr>
                <w:rFonts w:cs="Arial"/>
                <w:color w:val="000000"/>
                <w:sz w:val="22"/>
                <w:szCs w:val="20"/>
              </w:rPr>
              <w:t>Augmentation des revenus des petits exploitants et attirer davantage d’emplois dans le secteur agricole</w:t>
            </w:r>
            <w:r w:rsidR="00AA7E78" w:rsidRPr="00730A4A">
              <w:rPr>
                <w:rFonts w:cs="Arial"/>
                <w:color w:val="000000"/>
                <w:sz w:val="22"/>
                <w:szCs w:val="20"/>
              </w:rPr>
              <w:t> ;</w:t>
            </w:r>
            <w:r w:rsidRPr="00730A4A">
              <w:rPr>
                <w:rFonts w:cs="Arial"/>
                <w:color w:val="000000"/>
                <w:sz w:val="22"/>
                <w:szCs w:val="20"/>
              </w:rPr>
              <w:t xml:space="preserve"> </w:t>
            </w:r>
          </w:p>
          <w:p w14:paraId="79EDE214" w14:textId="77777777" w:rsidR="001C2F95" w:rsidRPr="00730A4A" w:rsidRDefault="001C2F95" w:rsidP="00730A4A">
            <w:pPr>
              <w:pStyle w:val="Paragraphedeliste"/>
              <w:numPr>
                <w:ilvl w:val="0"/>
                <w:numId w:val="48"/>
              </w:numPr>
              <w:spacing w:line="240" w:lineRule="auto"/>
              <w:jc w:val="left"/>
              <w:rPr>
                <w:rFonts w:cs="Arial"/>
                <w:color w:val="000000"/>
                <w:sz w:val="22"/>
                <w:szCs w:val="20"/>
              </w:rPr>
            </w:pPr>
            <w:r w:rsidRPr="00730A4A">
              <w:rPr>
                <w:rFonts w:cs="Arial"/>
                <w:color w:val="000000"/>
                <w:sz w:val="22"/>
                <w:szCs w:val="20"/>
              </w:rPr>
              <w:t>La commercialisation des produits agricoles suite à la construction des marchés, dépôts, abattoirs, développement économique agricole suite au financement des petits exploitants agricoles par des IF, etc.</w:t>
            </w:r>
          </w:p>
        </w:tc>
        <w:tc>
          <w:tcPr>
            <w:tcW w:w="2268" w:type="dxa"/>
            <w:shd w:val="clear" w:color="auto" w:fill="auto"/>
          </w:tcPr>
          <w:p w14:paraId="3607132D" w14:textId="77777777" w:rsidR="001C2F95" w:rsidRPr="00730A4A" w:rsidRDefault="001C2F95" w:rsidP="00971FD2">
            <w:pPr>
              <w:rPr>
                <w:rFonts w:cs="Arial"/>
                <w:sz w:val="22"/>
                <w:szCs w:val="20"/>
              </w:rPr>
            </w:pPr>
            <w:r w:rsidRPr="00730A4A">
              <w:rPr>
                <w:rFonts w:cs="Arial"/>
                <w:sz w:val="22"/>
                <w:szCs w:val="20"/>
              </w:rPr>
              <w:t>Pendant la phase d’exécution du Programme</w:t>
            </w:r>
          </w:p>
        </w:tc>
        <w:tc>
          <w:tcPr>
            <w:tcW w:w="1984" w:type="dxa"/>
            <w:shd w:val="clear" w:color="auto" w:fill="auto"/>
          </w:tcPr>
          <w:p w14:paraId="48776D34" w14:textId="77777777" w:rsidR="001C2F95" w:rsidRPr="00730A4A" w:rsidRDefault="001C2F95" w:rsidP="00971FD2">
            <w:pPr>
              <w:rPr>
                <w:rFonts w:cs="Arial"/>
                <w:sz w:val="22"/>
                <w:szCs w:val="20"/>
              </w:rPr>
            </w:pPr>
            <w:r w:rsidRPr="00730A4A">
              <w:rPr>
                <w:rFonts w:cs="Arial"/>
                <w:sz w:val="22"/>
                <w:szCs w:val="20"/>
              </w:rPr>
              <w:t>Les PME, la Mission de contrôle, les associations et coopératives agricoles, les IF</w:t>
            </w:r>
          </w:p>
        </w:tc>
        <w:tc>
          <w:tcPr>
            <w:tcW w:w="1985" w:type="dxa"/>
            <w:shd w:val="clear" w:color="auto" w:fill="auto"/>
          </w:tcPr>
          <w:p w14:paraId="28A54526" w14:textId="77777777" w:rsidR="001C2F95" w:rsidRPr="00730A4A" w:rsidRDefault="001C2F95" w:rsidP="00971FD2">
            <w:pPr>
              <w:rPr>
                <w:rFonts w:cs="Arial"/>
                <w:sz w:val="22"/>
                <w:szCs w:val="20"/>
                <w:lang w:val="en-US"/>
              </w:rPr>
            </w:pPr>
            <w:r w:rsidRPr="00730A4A">
              <w:rPr>
                <w:rFonts w:cs="Arial"/>
                <w:sz w:val="22"/>
                <w:szCs w:val="20"/>
                <w:lang w:val="en-US"/>
              </w:rPr>
              <w:t>PNDA et l’ACE</w:t>
            </w:r>
          </w:p>
        </w:tc>
      </w:tr>
      <w:tr w:rsidR="00BB0401" w:rsidRPr="00891F0E" w14:paraId="3282E119" w14:textId="77777777" w:rsidTr="00730A4A">
        <w:tc>
          <w:tcPr>
            <w:tcW w:w="1783" w:type="dxa"/>
            <w:shd w:val="clear" w:color="auto" w:fill="auto"/>
          </w:tcPr>
          <w:p w14:paraId="18E506E0" w14:textId="77777777" w:rsidR="001C2F95" w:rsidRPr="00730A4A" w:rsidRDefault="001C2F95" w:rsidP="00971FD2">
            <w:pPr>
              <w:rPr>
                <w:rFonts w:cs="Arial"/>
                <w:sz w:val="22"/>
                <w:szCs w:val="20"/>
              </w:rPr>
            </w:pPr>
            <w:r w:rsidRPr="00730A4A">
              <w:rPr>
                <w:rFonts w:cs="Arial"/>
                <w:color w:val="000000"/>
                <w:sz w:val="22"/>
                <w:szCs w:val="20"/>
              </w:rPr>
              <w:t>Accès au marché des petits exploitants </w:t>
            </w:r>
          </w:p>
        </w:tc>
        <w:tc>
          <w:tcPr>
            <w:tcW w:w="2607" w:type="dxa"/>
            <w:shd w:val="clear" w:color="auto" w:fill="auto"/>
          </w:tcPr>
          <w:p w14:paraId="25458C54" w14:textId="77777777" w:rsidR="001C2F95" w:rsidRPr="00730A4A" w:rsidRDefault="001C2F95" w:rsidP="00730A4A">
            <w:pPr>
              <w:pStyle w:val="Paragraphedeliste"/>
              <w:numPr>
                <w:ilvl w:val="0"/>
                <w:numId w:val="48"/>
              </w:numPr>
              <w:spacing w:line="240" w:lineRule="auto"/>
              <w:jc w:val="left"/>
              <w:rPr>
                <w:rFonts w:eastAsia="MS Mincho" w:cs="Arial"/>
                <w:sz w:val="22"/>
                <w:szCs w:val="20"/>
              </w:rPr>
            </w:pPr>
            <w:r w:rsidRPr="00730A4A">
              <w:rPr>
                <w:rFonts w:cs="Arial"/>
                <w:color w:val="000000"/>
                <w:sz w:val="22"/>
                <w:szCs w:val="20"/>
              </w:rPr>
              <w:t xml:space="preserve">Bonne circulation des navires suite aux travaux de balisage, </w:t>
            </w:r>
          </w:p>
          <w:p w14:paraId="78253AE5" w14:textId="77777777" w:rsidR="001C2F95" w:rsidRPr="00730A4A" w:rsidRDefault="001C2F95" w:rsidP="00730A4A">
            <w:pPr>
              <w:pStyle w:val="Paragraphedeliste"/>
              <w:numPr>
                <w:ilvl w:val="0"/>
                <w:numId w:val="48"/>
              </w:numPr>
              <w:spacing w:line="240" w:lineRule="auto"/>
              <w:jc w:val="left"/>
              <w:rPr>
                <w:rFonts w:eastAsia="MS Mincho" w:cs="Arial"/>
                <w:sz w:val="22"/>
                <w:szCs w:val="20"/>
              </w:rPr>
            </w:pPr>
            <w:r w:rsidRPr="00730A4A">
              <w:rPr>
                <w:rFonts w:cs="Arial"/>
                <w:color w:val="000000"/>
                <w:sz w:val="22"/>
                <w:szCs w:val="20"/>
              </w:rPr>
              <w:t>Évacuation des produits agricoles vers les centres de consommation suite aux travaux de réhabilitation des pistes rurales ;</w:t>
            </w:r>
          </w:p>
          <w:p w14:paraId="47514EDD" w14:textId="77777777" w:rsidR="001C2F95" w:rsidRPr="00730A4A" w:rsidRDefault="001C2F95" w:rsidP="00730A4A">
            <w:pPr>
              <w:pStyle w:val="Paragraphedeliste"/>
              <w:numPr>
                <w:ilvl w:val="0"/>
                <w:numId w:val="48"/>
              </w:numPr>
              <w:spacing w:line="240" w:lineRule="auto"/>
              <w:jc w:val="left"/>
              <w:rPr>
                <w:rFonts w:cs="Arial"/>
                <w:sz w:val="22"/>
                <w:szCs w:val="20"/>
              </w:rPr>
            </w:pPr>
            <w:r w:rsidRPr="00730A4A">
              <w:rPr>
                <w:rFonts w:cs="Arial"/>
                <w:color w:val="000000"/>
                <w:sz w:val="22"/>
                <w:szCs w:val="20"/>
              </w:rPr>
              <w:t>Octroi des crédits aux petits exploitants agricoles et coopératives ainsi que les associations agricoles</w:t>
            </w:r>
          </w:p>
        </w:tc>
        <w:tc>
          <w:tcPr>
            <w:tcW w:w="3843" w:type="dxa"/>
            <w:shd w:val="clear" w:color="auto" w:fill="auto"/>
          </w:tcPr>
          <w:p w14:paraId="154B4EE0" w14:textId="77777777" w:rsidR="001C2F95" w:rsidRPr="00730A4A" w:rsidRDefault="001C2F95" w:rsidP="00730A4A">
            <w:pPr>
              <w:numPr>
                <w:ilvl w:val="0"/>
                <w:numId w:val="48"/>
              </w:numPr>
              <w:jc w:val="left"/>
              <w:rPr>
                <w:rFonts w:cs="Arial"/>
                <w:color w:val="000000"/>
                <w:sz w:val="22"/>
                <w:szCs w:val="20"/>
              </w:rPr>
            </w:pPr>
            <w:r w:rsidRPr="00730A4A">
              <w:rPr>
                <w:rFonts w:cs="Arial"/>
                <w:color w:val="000000"/>
                <w:sz w:val="22"/>
                <w:szCs w:val="20"/>
              </w:rPr>
              <w:t>Création des voies de déviation ;</w:t>
            </w:r>
          </w:p>
          <w:p w14:paraId="051DB202" w14:textId="77777777" w:rsidR="001C2F95" w:rsidRPr="00730A4A" w:rsidRDefault="001C2F95" w:rsidP="00730A4A">
            <w:pPr>
              <w:numPr>
                <w:ilvl w:val="0"/>
                <w:numId w:val="48"/>
              </w:numPr>
              <w:jc w:val="left"/>
              <w:rPr>
                <w:rFonts w:cs="Arial"/>
                <w:color w:val="000000"/>
                <w:sz w:val="22"/>
                <w:szCs w:val="20"/>
              </w:rPr>
            </w:pPr>
            <w:r w:rsidRPr="00730A4A">
              <w:rPr>
                <w:rFonts w:cs="Arial"/>
                <w:color w:val="000000"/>
                <w:sz w:val="22"/>
                <w:szCs w:val="20"/>
              </w:rPr>
              <w:t>Amélioration des voies d’accès (pistes rurales) ;</w:t>
            </w:r>
          </w:p>
          <w:p w14:paraId="5F42A6E7" w14:textId="77777777" w:rsidR="001C2F95" w:rsidRPr="00730A4A" w:rsidRDefault="001C2F95" w:rsidP="00730A4A">
            <w:pPr>
              <w:numPr>
                <w:ilvl w:val="0"/>
                <w:numId w:val="48"/>
              </w:numPr>
              <w:jc w:val="left"/>
              <w:rPr>
                <w:rFonts w:cs="Arial"/>
                <w:color w:val="000000"/>
                <w:sz w:val="22"/>
                <w:szCs w:val="20"/>
              </w:rPr>
            </w:pPr>
            <w:r w:rsidRPr="00730A4A">
              <w:rPr>
                <w:rFonts w:cs="Arial"/>
                <w:color w:val="000000"/>
                <w:sz w:val="22"/>
                <w:szCs w:val="20"/>
              </w:rPr>
              <w:t>Faciliter la navigation des navires sur les rivières pour l’évacuation des produits agricoles ;</w:t>
            </w:r>
          </w:p>
          <w:p w14:paraId="1B09E441" w14:textId="77777777" w:rsidR="001C2F95" w:rsidRPr="00730A4A" w:rsidRDefault="001C2F95" w:rsidP="00730A4A">
            <w:pPr>
              <w:pStyle w:val="Paragraphedeliste"/>
              <w:numPr>
                <w:ilvl w:val="0"/>
                <w:numId w:val="48"/>
              </w:numPr>
              <w:spacing w:line="240" w:lineRule="auto"/>
              <w:jc w:val="left"/>
              <w:rPr>
                <w:rFonts w:eastAsia="MS Mincho" w:cs="Arial"/>
                <w:sz w:val="22"/>
                <w:szCs w:val="20"/>
              </w:rPr>
            </w:pPr>
            <w:r w:rsidRPr="00730A4A">
              <w:rPr>
                <w:rFonts w:cs="Arial"/>
                <w:color w:val="000000"/>
                <w:sz w:val="22"/>
                <w:szCs w:val="20"/>
              </w:rPr>
              <w:t xml:space="preserve">Augmentation des revenus des petits exploitants et attirer davantage d’emplois dans le secteur agricole, </w:t>
            </w:r>
          </w:p>
          <w:p w14:paraId="65866083" w14:textId="77777777" w:rsidR="006D513E" w:rsidRPr="00730A4A" w:rsidRDefault="001C2F95" w:rsidP="00730A4A">
            <w:pPr>
              <w:pStyle w:val="Paragraphedeliste"/>
              <w:numPr>
                <w:ilvl w:val="0"/>
                <w:numId w:val="48"/>
              </w:numPr>
              <w:spacing w:line="240" w:lineRule="auto"/>
              <w:jc w:val="left"/>
              <w:rPr>
                <w:rFonts w:cs="Arial"/>
                <w:sz w:val="22"/>
                <w:szCs w:val="20"/>
              </w:rPr>
            </w:pPr>
            <w:r w:rsidRPr="00730A4A">
              <w:rPr>
                <w:rFonts w:cs="Arial"/>
                <w:color w:val="000000"/>
                <w:sz w:val="22"/>
                <w:szCs w:val="20"/>
              </w:rPr>
              <w:t>Augmentation des revenus des petits exploitants agricoles bénéficiaires des crédits des IF</w:t>
            </w:r>
          </w:p>
          <w:p w14:paraId="6F3165B1" w14:textId="77777777" w:rsidR="001C2F95" w:rsidRPr="00730A4A" w:rsidRDefault="001C2F95" w:rsidP="00730A4A">
            <w:pPr>
              <w:pStyle w:val="Paragraphedeliste"/>
              <w:numPr>
                <w:ilvl w:val="0"/>
                <w:numId w:val="48"/>
              </w:numPr>
              <w:spacing w:line="240" w:lineRule="auto"/>
              <w:jc w:val="left"/>
              <w:rPr>
                <w:rFonts w:cs="Arial"/>
                <w:sz w:val="22"/>
                <w:szCs w:val="20"/>
              </w:rPr>
            </w:pPr>
            <w:r w:rsidRPr="00730A4A">
              <w:rPr>
                <w:rFonts w:cs="Arial"/>
                <w:color w:val="000000"/>
                <w:sz w:val="22"/>
                <w:szCs w:val="20"/>
              </w:rPr>
              <w:t>Encadrement des petits exploitants agricoles par les association et coopératives agricoles</w:t>
            </w:r>
          </w:p>
        </w:tc>
        <w:tc>
          <w:tcPr>
            <w:tcW w:w="2268" w:type="dxa"/>
            <w:shd w:val="clear" w:color="auto" w:fill="auto"/>
          </w:tcPr>
          <w:p w14:paraId="55172AEA" w14:textId="77777777" w:rsidR="001C2F95" w:rsidRPr="00730A4A" w:rsidRDefault="001C2F95" w:rsidP="00971FD2">
            <w:pPr>
              <w:rPr>
                <w:rFonts w:cs="Arial"/>
                <w:sz w:val="22"/>
                <w:szCs w:val="20"/>
              </w:rPr>
            </w:pPr>
            <w:r w:rsidRPr="00730A4A">
              <w:rPr>
                <w:rFonts w:cs="Arial"/>
                <w:sz w:val="22"/>
                <w:szCs w:val="20"/>
              </w:rPr>
              <w:t>Pendant la phase d’exécution du Programme</w:t>
            </w:r>
          </w:p>
        </w:tc>
        <w:tc>
          <w:tcPr>
            <w:tcW w:w="1984" w:type="dxa"/>
            <w:shd w:val="clear" w:color="auto" w:fill="auto"/>
          </w:tcPr>
          <w:p w14:paraId="74D63755" w14:textId="77777777" w:rsidR="001C2F95" w:rsidRPr="00730A4A" w:rsidRDefault="001C2F95" w:rsidP="00971FD2">
            <w:pPr>
              <w:rPr>
                <w:rFonts w:cs="Arial"/>
                <w:sz w:val="22"/>
                <w:szCs w:val="20"/>
              </w:rPr>
            </w:pPr>
            <w:r w:rsidRPr="00730A4A">
              <w:rPr>
                <w:rFonts w:cs="Arial"/>
                <w:sz w:val="22"/>
                <w:szCs w:val="20"/>
              </w:rPr>
              <w:t>Les PME, la Mission de contrôle, les associations et coopératives agricoles, les IF</w:t>
            </w:r>
          </w:p>
        </w:tc>
        <w:tc>
          <w:tcPr>
            <w:tcW w:w="1985" w:type="dxa"/>
            <w:shd w:val="clear" w:color="auto" w:fill="auto"/>
          </w:tcPr>
          <w:p w14:paraId="5915C066" w14:textId="77777777" w:rsidR="001C2F95" w:rsidRPr="00730A4A" w:rsidRDefault="001C2F95" w:rsidP="00971FD2">
            <w:pPr>
              <w:rPr>
                <w:rFonts w:cs="Arial"/>
                <w:sz w:val="22"/>
                <w:szCs w:val="20"/>
                <w:lang w:val="en-US"/>
              </w:rPr>
            </w:pPr>
            <w:r w:rsidRPr="00730A4A">
              <w:rPr>
                <w:rFonts w:cs="Arial"/>
                <w:sz w:val="22"/>
                <w:szCs w:val="20"/>
                <w:lang w:val="en-US"/>
              </w:rPr>
              <w:t>PNDA et l’ACE</w:t>
            </w:r>
          </w:p>
        </w:tc>
      </w:tr>
      <w:tr w:rsidR="00BB0401" w14:paraId="7CCA873A" w14:textId="77777777" w:rsidTr="00730A4A">
        <w:tc>
          <w:tcPr>
            <w:tcW w:w="1783" w:type="dxa"/>
            <w:shd w:val="clear" w:color="auto" w:fill="auto"/>
          </w:tcPr>
          <w:p w14:paraId="62023FF7" w14:textId="77777777" w:rsidR="001C2F95" w:rsidRPr="00730A4A" w:rsidRDefault="001C2F95" w:rsidP="00730A4A">
            <w:pPr>
              <w:jc w:val="left"/>
              <w:rPr>
                <w:rFonts w:cs="Arial"/>
                <w:sz w:val="22"/>
                <w:szCs w:val="20"/>
              </w:rPr>
            </w:pPr>
            <w:r w:rsidRPr="00730A4A">
              <w:rPr>
                <w:rFonts w:cs="Arial"/>
                <w:color w:val="000000"/>
                <w:sz w:val="22"/>
                <w:szCs w:val="20"/>
              </w:rPr>
              <w:t>Biens et services publics agricole </w:t>
            </w:r>
          </w:p>
        </w:tc>
        <w:tc>
          <w:tcPr>
            <w:tcW w:w="2607" w:type="dxa"/>
            <w:shd w:val="clear" w:color="auto" w:fill="auto"/>
          </w:tcPr>
          <w:p w14:paraId="0B5CD64D" w14:textId="77777777" w:rsidR="001C2F95" w:rsidRPr="00730A4A" w:rsidRDefault="001C2F95" w:rsidP="00730A4A">
            <w:pPr>
              <w:pStyle w:val="Paragraphedeliste"/>
              <w:numPr>
                <w:ilvl w:val="0"/>
                <w:numId w:val="48"/>
              </w:numPr>
              <w:rPr>
                <w:rFonts w:cs="Arial"/>
                <w:sz w:val="22"/>
                <w:szCs w:val="20"/>
              </w:rPr>
            </w:pPr>
            <w:r w:rsidRPr="00730A4A">
              <w:rPr>
                <w:rFonts w:cs="Arial"/>
                <w:color w:val="000000"/>
                <w:sz w:val="22"/>
                <w:szCs w:val="20"/>
              </w:rPr>
              <w:t>Construction des marchés, dépôts, abattoirs, développement économique agricole </w:t>
            </w:r>
          </w:p>
          <w:p w14:paraId="03960D36" w14:textId="77777777" w:rsidR="001C2F95" w:rsidRPr="00730A4A" w:rsidRDefault="001C2F95" w:rsidP="00730A4A">
            <w:pPr>
              <w:pStyle w:val="Paragraphedeliste"/>
              <w:ind w:left="360"/>
              <w:rPr>
                <w:rFonts w:cs="Arial"/>
                <w:sz w:val="22"/>
                <w:szCs w:val="20"/>
              </w:rPr>
            </w:pPr>
          </w:p>
        </w:tc>
        <w:tc>
          <w:tcPr>
            <w:tcW w:w="3843" w:type="dxa"/>
            <w:shd w:val="clear" w:color="auto" w:fill="auto"/>
          </w:tcPr>
          <w:p w14:paraId="2E857DCD" w14:textId="77777777" w:rsidR="001C2F95" w:rsidRPr="00730A4A" w:rsidRDefault="001C2F95" w:rsidP="00730A4A">
            <w:pPr>
              <w:pStyle w:val="Paragraphedeliste"/>
              <w:numPr>
                <w:ilvl w:val="0"/>
                <w:numId w:val="48"/>
              </w:numPr>
              <w:jc w:val="left"/>
              <w:rPr>
                <w:rFonts w:cs="Arial"/>
                <w:bCs/>
                <w:sz w:val="22"/>
                <w:szCs w:val="20"/>
              </w:rPr>
            </w:pPr>
            <w:r w:rsidRPr="00730A4A">
              <w:rPr>
                <w:rFonts w:cs="Arial"/>
                <w:bCs/>
                <w:sz w:val="22"/>
                <w:szCs w:val="20"/>
              </w:rPr>
              <w:t>Limitation des pertes des produits agricoles due un bon stockage ;</w:t>
            </w:r>
          </w:p>
          <w:p w14:paraId="5237E941" w14:textId="77777777" w:rsidR="001C2F95" w:rsidRPr="00730A4A" w:rsidRDefault="001C2F95" w:rsidP="00730A4A">
            <w:pPr>
              <w:pStyle w:val="Paragraphedeliste"/>
              <w:numPr>
                <w:ilvl w:val="0"/>
                <w:numId w:val="48"/>
              </w:numPr>
              <w:jc w:val="left"/>
              <w:rPr>
                <w:rFonts w:cs="Arial"/>
                <w:bCs/>
                <w:sz w:val="22"/>
                <w:szCs w:val="20"/>
              </w:rPr>
            </w:pPr>
            <w:r w:rsidRPr="00730A4A">
              <w:rPr>
                <w:rFonts w:cs="Arial"/>
                <w:bCs/>
                <w:sz w:val="22"/>
                <w:szCs w:val="20"/>
              </w:rPr>
              <w:t>Réduction en pourcentage des taux de mortalité animale pour des animaux spécifiques dans les zones du programme ;</w:t>
            </w:r>
          </w:p>
          <w:p w14:paraId="45FC3CE7" w14:textId="77777777" w:rsidR="001C2F95" w:rsidRPr="00730A4A" w:rsidRDefault="001C2F95" w:rsidP="00730A4A">
            <w:pPr>
              <w:pStyle w:val="Paragraphedeliste"/>
              <w:numPr>
                <w:ilvl w:val="0"/>
                <w:numId w:val="48"/>
              </w:numPr>
              <w:jc w:val="left"/>
              <w:rPr>
                <w:rFonts w:cs="Arial"/>
                <w:bCs/>
                <w:sz w:val="22"/>
                <w:szCs w:val="20"/>
              </w:rPr>
            </w:pPr>
            <w:r w:rsidRPr="00730A4A">
              <w:rPr>
                <w:rFonts w:cs="Arial"/>
                <w:bCs/>
                <w:sz w:val="22"/>
                <w:szCs w:val="20"/>
              </w:rPr>
              <w:t>Bonne conservation des récoltes agricoles ;</w:t>
            </w:r>
          </w:p>
          <w:p w14:paraId="78B93F09" w14:textId="77777777" w:rsidR="001C2F95" w:rsidRPr="00730A4A" w:rsidRDefault="001C2F95" w:rsidP="00730A4A">
            <w:pPr>
              <w:pStyle w:val="Paragraphedeliste"/>
              <w:numPr>
                <w:ilvl w:val="0"/>
                <w:numId w:val="48"/>
              </w:numPr>
              <w:jc w:val="left"/>
              <w:rPr>
                <w:rFonts w:cs="Arial"/>
                <w:bCs/>
                <w:sz w:val="22"/>
                <w:szCs w:val="20"/>
              </w:rPr>
            </w:pPr>
            <w:r w:rsidRPr="00730A4A">
              <w:rPr>
                <w:rFonts w:cs="Arial"/>
                <w:bCs/>
                <w:sz w:val="22"/>
                <w:szCs w:val="20"/>
              </w:rPr>
              <w:t>Augmentation du rendement à l’hectare, cultures indicatives sélectionnées ;</w:t>
            </w:r>
          </w:p>
          <w:p w14:paraId="75B4234B" w14:textId="77777777" w:rsidR="001C2F95" w:rsidRPr="00730A4A" w:rsidRDefault="001C2F95" w:rsidP="00730A4A">
            <w:pPr>
              <w:pStyle w:val="Paragraphedeliste"/>
              <w:numPr>
                <w:ilvl w:val="0"/>
                <w:numId w:val="48"/>
              </w:numPr>
              <w:jc w:val="left"/>
              <w:rPr>
                <w:rFonts w:cs="Arial"/>
                <w:bCs/>
                <w:sz w:val="22"/>
                <w:szCs w:val="20"/>
              </w:rPr>
            </w:pPr>
            <w:r w:rsidRPr="00730A4A">
              <w:rPr>
                <w:rFonts w:cs="Arial"/>
                <w:bCs/>
                <w:sz w:val="22"/>
                <w:szCs w:val="20"/>
              </w:rPr>
              <w:t>Augmentation du nombre d’agriculteurs adoptant des technologies ou des pratiques agricoles améliorées ;</w:t>
            </w:r>
          </w:p>
          <w:p w14:paraId="1ABAEB29" w14:textId="77777777" w:rsidR="001C2F95" w:rsidRPr="00730A4A" w:rsidRDefault="001C2F95" w:rsidP="00730A4A">
            <w:pPr>
              <w:numPr>
                <w:ilvl w:val="0"/>
                <w:numId w:val="48"/>
              </w:numPr>
              <w:jc w:val="left"/>
              <w:rPr>
                <w:rFonts w:cs="Arial"/>
                <w:color w:val="000000"/>
                <w:sz w:val="22"/>
                <w:szCs w:val="20"/>
              </w:rPr>
            </w:pPr>
            <w:r w:rsidRPr="00730A4A">
              <w:rPr>
                <w:rFonts w:cs="Arial"/>
                <w:color w:val="000000"/>
                <w:sz w:val="22"/>
                <w:szCs w:val="20"/>
              </w:rPr>
              <w:t>Entretien et gestion des infrastructures après les travaux ;</w:t>
            </w:r>
          </w:p>
          <w:p w14:paraId="0FDC4190" w14:textId="77777777" w:rsidR="001C2F95" w:rsidRPr="00730A4A" w:rsidRDefault="001C2F95" w:rsidP="00730A4A">
            <w:pPr>
              <w:numPr>
                <w:ilvl w:val="0"/>
                <w:numId w:val="48"/>
              </w:numPr>
              <w:jc w:val="left"/>
              <w:rPr>
                <w:rFonts w:cs="Arial"/>
                <w:color w:val="000000"/>
                <w:sz w:val="22"/>
                <w:szCs w:val="20"/>
              </w:rPr>
            </w:pPr>
            <w:r w:rsidRPr="00730A4A">
              <w:rPr>
                <w:rFonts w:cs="Arial"/>
                <w:color w:val="000000"/>
                <w:sz w:val="22"/>
                <w:szCs w:val="20"/>
              </w:rPr>
              <w:t>Sensibilisation des populations avant le démarrage des travaux ;</w:t>
            </w:r>
          </w:p>
          <w:p w14:paraId="0FCBF799" w14:textId="77777777" w:rsidR="001C2F95" w:rsidRPr="00730A4A" w:rsidRDefault="001C2F95" w:rsidP="00730A4A">
            <w:pPr>
              <w:pStyle w:val="Paragraphedeliste"/>
              <w:numPr>
                <w:ilvl w:val="0"/>
                <w:numId w:val="48"/>
              </w:numPr>
              <w:jc w:val="left"/>
              <w:rPr>
                <w:rFonts w:cs="Arial"/>
                <w:bCs/>
                <w:sz w:val="22"/>
                <w:szCs w:val="20"/>
              </w:rPr>
            </w:pPr>
            <w:r w:rsidRPr="00730A4A">
              <w:rPr>
                <w:rFonts w:cs="Arial"/>
                <w:color w:val="000000"/>
                <w:sz w:val="22"/>
                <w:szCs w:val="20"/>
              </w:rPr>
              <w:t>Valorisation de la jeune fille/femme dans la communauté.</w:t>
            </w:r>
          </w:p>
        </w:tc>
        <w:tc>
          <w:tcPr>
            <w:tcW w:w="2268" w:type="dxa"/>
            <w:shd w:val="clear" w:color="auto" w:fill="auto"/>
          </w:tcPr>
          <w:p w14:paraId="1EE66A99" w14:textId="77777777" w:rsidR="001C2F95" w:rsidRPr="00730A4A" w:rsidRDefault="001C2F95" w:rsidP="00971FD2">
            <w:pPr>
              <w:rPr>
                <w:rFonts w:cs="Arial"/>
                <w:sz w:val="22"/>
                <w:szCs w:val="20"/>
              </w:rPr>
            </w:pPr>
            <w:r w:rsidRPr="00730A4A">
              <w:rPr>
                <w:rFonts w:cs="Arial"/>
                <w:sz w:val="22"/>
                <w:szCs w:val="20"/>
              </w:rPr>
              <w:t>Pendant la phase d’exploitation du Programme</w:t>
            </w:r>
          </w:p>
        </w:tc>
        <w:tc>
          <w:tcPr>
            <w:tcW w:w="1984" w:type="dxa"/>
            <w:shd w:val="clear" w:color="auto" w:fill="auto"/>
          </w:tcPr>
          <w:p w14:paraId="08942409" w14:textId="77777777" w:rsidR="001C2F95" w:rsidRPr="00730A4A" w:rsidRDefault="001C2F95" w:rsidP="00730A4A">
            <w:pPr>
              <w:jc w:val="left"/>
              <w:rPr>
                <w:rFonts w:cs="Arial"/>
                <w:sz w:val="22"/>
                <w:szCs w:val="20"/>
              </w:rPr>
            </w:pPr>
            <w:r w:rsidRPr="00730A4A">
              <w:rPr>
                <w:rFonts w:cs="Arial"/>
                <w:sz w:val="22"/>
                <w:szCs w:val="20"/>
              </w:rPr>
              <w:t>Les PME, la Mission de contrôle, les associations et coopératives agricoles, les IF (BCC, Raw</w:t>
            </w:r>
            <w:r w:rsidR="00A01158" w:rsidRPr="00730A4A">
              <w:rPr>
                <w:rFonts w:cs="Arial"/>
                <w:sz w:val="22"/>
                <w:szCs w:val="20"/>
              </w:rPr>
              <w:t>B</w:t>
            </w:r>
            <w:r w:rsidRPr="00730A4A">
              <w:rPr>
                <w:rFonts w:cs="Arial"/>
                <w:sz w:val="22"/>
                <w:szCs w:val="20"/>
              </w:rPr>
              <w:t xml:space="preserve">ank Sarl, Equity </w:t>
            </w:r>
            <w:r w:rsidR="00A01158" w:rsidRPr="00730A4A">
              <w:rPr>
                <w:rFonts w:cs="Arial"/>
                <w:sz w:val="22"/>
                <w:szCs w:val="20"/>
              </w:rPr>
              <w:t xml:space="preserve">Bank </w:t>
            </w:r>
            <w:r w:rsidRPr="00730A4A">
              <w:rPr>
                <w:rFonts w:cs="Arial"/>
                <w:sz w:val="22"/>
                <w:szCs w:val="20"/>
              </w:rPr>
              <w:t>Congo)</w:t>
            </w:r>
          </w:p>
        </w:tc>
        <w:tc>
          <w:tcPr>
            <w:tcW w:w="1985" w:type="dxa"/>
            <w:shd w:val="clear" w:color="auto" w:fill="auto"/>
          </w:tcPr>
          <w:p w14:paraId="36372671" w14:textId="77777777" w:rsidR="001C2F95" w:rsidRPr="00730A4A" w:rsidRDefault="001C2F95" w:rsidP="00971FD2">
            <w:pPr>
              <w:rPr>
                <w:rFonts w:cs="Arial"/>
                <w:sz w:val="22"/>
                <w:szCs w:val="20"/>
                <w:lang w:val="en-US"/>
              </w:rPr>
            </w:pPr>
            <w:r w:rsidRPr="00730A4A">
              <w:rPr>
                <w:rFonts w:cs="Arial"/>
                <w:sz w:val="22"/>
                <w:szCs w:val="20"/>
                <w:lang w:val="en-US"/>
              </w:rPr>
              <w:t>PNDA et l’ACE</w:t>
            </w:r>
          </w:p>
        </w:tc>
      </w:tr>
    </w:tbl>
    <w:p w14:paraId="00B2B589" w14:textId="77777777" w:rsidR="001C2F95" w:rsidRDefault="001C2F95" w:rsidP="001C2F95">
      <w:pPr>
        <w:rPr>
          <w:highlight w:val="cyan"/>
        </w:rPr>
      </w:pPr>
    </w:p>
    <w:p w14:paraId="62EAE6D0" w14:textId="77777777" w:rsidR="001C2F95" w:rsidRPr="00BB4A68" w:rsidRDefault="001C2F95" w:rsidP="001C2F95">
      <w:pPr>
        <w:tabs>
          <w:tab w:val="left" w:pos="810"/>
        </w:tabs>
        <w:rPr>
          <w:highlight w:val="cyan"/>
        </w:rPr>
        <w:sectPr w:rsidR="001C2F95" w:rsidRPr="00BB4A68" w:rsidSect="00AA7E78">
          <w:pgSz w:w="16839" w:h="11907" w:orient="landscape" w:code="9"/>
          <w:pgMar w:top="993" w:right="1276" w:bottom="1418" w:left="1440" w:header="709" w:footer="709" w:gutter="0"/>
          <w:cols w:space="708"/>
          <w:docGrid w:linePitch="360"/>
        </w:sectPr>
      </w:pPr>
    </w:p>
    <w:p w14:paraId="68A5B38B" w14:textId="77777777" w:rsidR="001C2F95" w:rsidRPr="00730A4A" w:rsidRDefault="001C2F95" w:rsidP="001C2F95">
      <w:pPr>
        <w:pStyle w:val="Titre2"/>
        <w:numPr>
          <w:ilvl w:val="2"/>
          <w:numId w:val="4"/>
        </w:numPr>
        <w:ind w:left="1560" w:hanging="709"/>
        <w:rPr>
          <w:rFonts w:cs="Arial"/>
          <w:i/>
          <w:color w:val="000000"/>
          <w:sz w:val="22"/>
          <w:szCs w:val="22"/>
        </w:rPr>
      </w:pPr>
      <w:bookmarkStart w:id="529" w:name="_Toc487204631"/>
      <w:bookmarkStart w:id="530" w:name="_Toc44626844"/>
      <w:bookmarkStart w:id="531" w:name="_Toc70330432"/>
      <w:bookmarkStart w:id="532" w:name="_Toc322715143"/>
      <w:r w:rsidRPr="00730A4A">
        <w:rPr>
          <w:rFonts w:cs="Arial"/>
          <w:i/>
          <w:color w:val="000000"/>
          <w:sz w:val="22"/>
          <w:szCs w:val="22"/>
        </w:rPr>
        <w:t>Mesures d’atténuation</w:t>
      </w:r>
      <w:bookmarkEnd w:id="529"/>
      <w:r w:rsidRPr="00730A4A">
        <w:rPr>
          <w:rFonts w:cs="Arial"/>
          <w:i/>
          <w:color w:val="000000"/>
          <w:sz w:val="22"/>
          <w:szCs w:val="22"/>
        </w:rPr>
        <w:t xml:space="preserve"> des impacts négatifs potentiels</w:t>
      </w:r>
      <w:bookmarkEnd w:id="530"/>
      <w:bookmarkEnd w:id="531"/>
    </w:p>
    <w:p w14:paraId="37E5DC13" w14:textId="77777777" w:rsidR="001C2F95" w:rsidRPr="00730A4A" w:rsidRDefault="001C2F95" w:rsidP="001C2F95">
      <w:pPr>
        <w:pStyle w:val="Lgende"/>
        <w:rPr>
          <w:rFonts w:cs="Arial"/>
          <w:color w:val="000000"/>
          <w:sz w:val="22"/>
          <w:szCs w:val="22"/>
        </w:rPr>
      </w:pPr>
      <w:bookmarkStart w:id="533" w:name="_Toc103955150"/>
      <w:bookmarkStart w:id="534" w:name="_Toc241892383"/>
      <w:bookmarkStart w:id="535" w:name="_Toc343715906"/>
      <w:bookmarkStart w:id="536" w:name="_Toc322715144"/>
      <w:bookmarkEnd w:id="532"/>
    </w:p>
    <w:p w14:paraId="0838930E" w14:textId="77777777" w:rsidR="001C2F95" w:rsidRPr="00730A4A" w:rsidRDefault="001C2F95" w:rsidP="001C2F95">
      <w:pPr>
        <w:autoSpaceDE w:val="0"/>
        <w:autoSpaceDN w:val="0"/>
        <w:adjustRightInd w:val="0"/>
        <w:rPr>
          <w:rFonts w:cs="Arial"/>
          <w:color w:val="000000"/>
          <w:sz w:val="22"/>
        </w:rPr>
      </w:pPr>
      <w:bookmarkStart w:id="537" w:name="_Toc485127601"/>
      <w:r w:rsidRPr="00730A4A">
        <w:rPr>
          <w:rFonts w:cs="Arial"/>
          <w:color w:val="000000"/>
          <w:sz w:val="22"/>
        </w:rPr>
        <w:t xml:space="preserve">Suivant les résultats de la sélection et de la classification, certains sous-projets pourraient faire l’objet d’une Étude d’Impact Environnemental et Social avant tout démarrage des travaux ou d’un Plan d’Action pour la Réinstallation en cas de réinstallation involontaire (déplacement physique de personnes, pertes de biens ou d’activités économiques, etc.) ou encore d’un Plan en faveur des Populations Autochtones en vue de s’assurer que le Projet respecte pleinement la dignité, les droits de la personne, les systèmes économiques et les cultures des populations autochtones. Ces études environnementales et sociales, en y intégrant les analyses des risques de VBG, incluant l’EAS et le HS, détermineront plus précisément pour chaque sous-composante la nature des mesures à appliquer. En cas de non nécessité d’élaborer de telles études, de simples mesures environnementales et sociales, à réaliser aussi bien lors de la phase de construction qu’en période d’exploitation, pourront être appliquées suivant les listes de mesures indicatives proposées ci-dessous. </w:t>
      </w:r>
    </w:p>
    <w:p w14:paraId="7D6E44DE" w14:textId="77777777" w:rsidR="001C2F95" w:rsidRPr="00730A4A" w:rsidRDefault="001C2F95" w:rsidP="001C2F95">
      <w:pPr>
        <w:autoSpaceDE w:val="0"/>
        <w:autoSpaceDN w:val="0"/>
        <w:adjustRightInd w:val="0"/>
        <w:rPr>
          <w:rFonts w:cs="Arial"/>
          <w:color w:val="000000"/>
          <w:sz w:val="22"/>
        </w:rPr>
      </w:pPr>
    </w:p>
    <w:p w14:paraId="0A54EF1D" w14:textId="77777777" w:rsidR="00BB40B9" w:rsidRPr="00730A4A" w:rsidRDefault="00BB40B9">
      <w:pPr>
        <w:spacing w:after="160" w:line="259" w:lineRule="auto"/>
        <w:jc w:val="left"/>
        <w:rPr>
          <w:rFonts w:eastAsia="Calibri" w:cs="Arial"/>
          <w:bCs/>
          <w:color w:val="000000"/>
          <w:sz w:val="22"/>
          <w:lang w:eastAsia="en-US"/>
        </w:rPr>
      </w:pPr>
      <w:r w:rsidRPr="00730A4A">
        <w:rPr>
          <w:rFonts w:cs="Arial"/>
          <w:color w:val="000000"/>
          <w:sz w:val="22"/>
        </w:rPr>
        <w:br w:type="page"/>
      </w:r>
    </w:p>
    <w:p w14:paraId="7765E5C0" w14:textId="77777777" w:rsidR="00BB40B9" w:rsidRPr="00730A4A" w:rsidRDefault="00BB40B9" w:rsidP="001C2F95">
      <w:pPr>
        <w:pStyle w:val="Lgende"/>
        <w:ind w:left="1418" w:hanging="1418"/>
        <w:rPr>
          <w:rFonts w:cs="Arial"/>
          <w:color w:val="000000"/>
          <w:sz w:val="22"/>
          <w:szCs w:val="22"/>
        </w:rPr>
        <w:sectPr w:rsidR="00BB40B9" w:rsidRPr="00730A4A" w:rsidSect="00F42DAB">
          <w:pgSz w:w="11907" w:h="16839" w:code="9"/>
          <w:pgMar w:top="993" w:right="1417" w:bottom="1440" w:left="1418" w:header="708" w:footer="708" w:gutter="0"/>
          <w:cols w:space="708"/>
          <w:docGrid w:linePitch="360"/>
        </w:sectPr>
      </w:pPr>
    </w:p>
    <w:p w14:paraId="1B2BFC20" w14:textId="77777777" w:rsidR="001C2F95" w:rsidRPr="00730A4A" w:rsidRDefault="001C2F95" w:rsidP="001C2F95">
      <w:pPr>
        <w:pStyle w:val="Lgende"/>
        <w:ind w:left="1418" w:hanging="1418"/>
        <w:rPr>
          <w:rFonts w:cs="Arial"/>
          <w:bCs w:val="0"/>
          <w:color w:val="000000"/>
          <w:sz w:val="22"/>
          <w:szCs w:val="22"/>
        </w:rPr>
      </w:pPr>
      <w:bookmarkStart w:id="538" w:name="_Toc70451673"/>
      <w:r w:rsidRPr="00730A4A">
        <w:rPr>
          <w:rFonts w:cs="Arial"/>
          <w:color w:val="000000"/>
          <w:sz w:val="22"/>
          <w:szCs w:val="22"/>
        </w:rPr>
        <w:t xml:space="preserve">Tableau </w:t>
      </w:r>
      <w:r w:rsidRPr="00730A4A">
        <w:rPr>
          <w:rFonts w:cs="Arial"/>
          <w:color w:val="000000"/>
          <w:sz w:val="22"/>
          <w:szCs w:val="22"/>
        </w:rPr>
        <w:fldChar w:fldCharType="begin"/>
      </w:r>
      <w:r w:rsidRPr="00730A4A">
        <w:rPr>
          <w:rFonts w:cs="Arial"/>
          <w:color w:val="000000"/>
          <w:sz w:val="22"/>
          <w:szCs w:val="22"/>
        </w:rPr>
        <w:instrText xml:space="preserve"> SEQ Tableau \* ARABIC </w:instrText>
      </w:r>
      <w:r w:rsidRPr="00730A4A">
        <w:rPr>
          <w:rFonts w:cs="Arial"/>
          <w:color w:val="000000"/>
          <w:sz w:val="22"/>
          <w:szCs w:val="22"/>
        </w:rPr>
        <w:fldChar w:fldCharType="separate"/>
      </w:r>
      <w:r w:rsidR="001260B3">
        <w:rPr>
          <w:rFonts w:cs="Arial"/>
          <w:noProof/>
          <w:color w:val="000000"/>
          <w:sz w:val="22"/>
          <w:szCs w:val="22"/>
        </w:rPr>
        <w:t>27</w:t>
      </w:r>
      <w:r w:rsidRPr="00730A4A">
        <w:rPr>
          <w:rFonts w:cs="Arial"/>
          <w:color w:val="000000"/>
          <w:sz w:val="22"/>
          <w:szCs w:val="22"/>
        </w:rPr>
        <w:fldChar w:fldCharType="end"/>
      </w:r>
      <w:r w:rsidRPr="00730A4A">
        <w:rPr>
          <w:rFonts w:cs="Arial"/>
          <w:color w:val="000000"/>
          <w:sz w:val="22"/>
          <w:szCs w:val="22"/>
        </w:rPr>
        <w:t>.</w:t>
      </w:r>
      <w:r w:rsidRPr="00730A4A">
        <w:rPr>
          <w:rFonts w:cs="Arial"/>
          <w:bCs w:val="0"/>
          <w:color w:val="000000"/>
          <w:sz w:val="22"/>
          <w:szCs w:val="22"/>
        </w:rPr>
        <w:t xml:space="preserve"> </w:t>
      </w:r>
      <w:r w:rsidRPr="00730A4A">
        <w:rPr>
          <w:rFonts w:cs="Arial"/>
          <w:color w:val="000000"/>
          <w:sz w:val="22"/>
          <w:szCs w:val="22"/>
        </w:rPr>
        <w:t xml:space="preserve"> </w:t>
      </w:r>
      <w:r w:rsidRPr="00730A4A">
        <w:rPr>
          <w:rFonts w:cs="Arial"/>
          <w:bCs w:val="0"/>
          <w:color w:val="000000"/>
          <w:sz w:val="22"/>
          <w:szCs w:val="22"/>
        </w:rPr>
        <w:t>Mesures d’atténuation générales pour l’exécution les composantes</w:t>
      </w:r>
      <w:bookmarkEnd w:id="533"/>
      <w:bookmarkEnd w:id="534"/>
      <w:bookmarkEnd w:id="535"/>
      <w:bookmarkEnd w:id="537"/>
      <w:r w:rsidR="00F125EE" w:rsidRPr="00730A4A">
        <w:rPr>
          <w:rFonts w:cs="Arial"/>
          <w:bCs w:val="0"/>
          <w:color w:val="000000"/>
          <w:sz w:val="22"/>
          <w:szCs w:val="22"/>
        </w:rPr>
        <w:t xml:space="preserve"> thématique</w:t>
      </w:r>
      <w:r w:rsidR="00BC729E" w:rsidRPr="00730A4A">
        <w:rPr>
          <w:rFonts w:cs="Arial"/>
          <w:bCs w:val="0"/>
          <w:color w:val="000000"/>
          <w:sz w:val="22"/>
          <w:szCs w:val="22"/>
        </w:rPr>
        <w:t>s</w:t>
      </w:r>
      <w:r w:rsidRPr="00730A4A">
        <w:rPr>
          <w:rFonts w:cs="Arial"/>
          <w:bCs w:val="0"/>
          <w:color w:val="000000"/>
          <w:sz w:val="22"/>
          <w:szCs w:val="22"/>
        </w:rPr>
        <w:t xml:space="preserve"> affectées par le Projet</w:t>
      </w:r>
      <w:bookmarkEnd w:id="538"/>
    </w:p>
    <w:p w14:paraId="01741765" w14:textId="77777777" w:rsidR="001C2F95" w:rsidRPr="00C54132" w:rsidRDefault="001C2F95" w:rsidP="001C2F95">
      <w:pPr>
        <w:rPr>
          <w:rFonts w:cs="Arial"/>
          <w:color w:val="FF0000"/>
          <w:sz w:val="22"/>
          <w:lang w:eastAsia="en-US"/>
        </w:rPr>
      </w:pPr>
    </w:p>
    <w:tbl>
      <w:tblPr>
        <w:tblW w:w="1549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6"/>
        <w:gridCol w:w="2271"/>
        <w:gridCol w:w="4975"/>
        <w:gridCol w:w="2144"/>
        <w:gridCol w:w="2109"/>
        <w:gridCol w:w="2190"/>
      </w:tblGrid>
      <w:tr w:rsidR="00BB0401" w:rsidRPr="00C54132" w14:paraId="52036CA8" w14:textId="77777777" w:rsidTr="00730A4A">
        <w:trPr>
          <w:trHeight w:val="366"/>
          <w:tblHeader/>
        </w:trPr>
        <w:tc>
          <w:tcPr>
            <w:tcW w:w="1806" w:type="dxa"/>
            <w:vMerge w:val="restart"/>
            <w:shd w:val="clear" w:color="auto" w:fill="D5DCE4"/>
          </w:tcPr>
          <w:p w14:paraId="5DB220E8" w14:textId="77777777" w:rsidR="00F42DAB" w:rsidRPr="00730A4A" w:rsidRDefault="00F42DAB" w:rsidP="00730A4A">
            <w:pPr>
              <w:pStyle w:val="TableParagraph"/>
              <w:spacing w:line="276" w:lineRule="auto"/>
              <w:ind w:left="46" w:right="34"/>
              <w:jc w:val="center"/>
              <w:rPr>
                <w:b/>
                <w:szCs w:val="20"/>
                <w:lang w:val="fr-FR"/>
              </w:rPr>
            </w:pPr>
          </w:p>
          <w:p w14:paraId="15A54C5C" w14:textId="77777777" w:rsidR="00F42DAB" w:rsidRPr="00730A4A" w:rsidRDefault="00F42DAB" w:rsidP="00730A4A">
            <w:pPr>
              <w:pStyle w:val="TableParagraph"/>
              <w:spacing w:line="276" w:lineRule="auto"/>
              <w:ind w:left="46" w:right="34"/>
              <w:jc w:val="center"/>
              <w:rPr>
                <w:b/>
                <w:szCs w:val="20"/>
              </w:rPr>
            </w:pPr>
            <w:r w:rsidRPr="00730A4A">
              <w:rPr>
                <w:b/>
                <w:szCs w:val="20"/>
              </w:rPr>
              <w:t>Composantes affectées</w:t>
            </w:r>
          </w:p>
        </w:tc>
        <w:tc>
          <w:tcPr>
            <w:tcW w:w="2271" w:type="dxa"/>
            <w:vMerge w:val="restart"/>
            <w:shd w:val="clear" w:color="auto" w:fill="D5DCE4"/>
          </w:tcPr>
          <w:p w14:paraId="016F2FD4" w14:textId="77777777" w:rsidR="00F42DAB" w:rsidRPr="00730A4A" w:rsidRDefault="00F42DAB" w:rsidP="00730A4A">
            <w:pPr>
              <w:pStyle w:val="TableParagraph"/>
              <w:spacing w:line="276" w:lineRule="auto"/>
              <w:ind w:left="638"/>
              <w:rPr>
                <w:b/>
                <w:sz w:val="10"/>
                <w:szCs w:val="10"/>
              </w:rPr>
            </w:pPr>
          </w:p>
          <w:p w14:paraId="218A99A8" w14:textId="77777777" w:rsidR="00F42DAB" w:rsidRPr="00730A4A" w:rsidRDefault="00F42DAB" w:rsidP="00730A4A">
            <w:pPr>
              <w:pStyle w:val="TableParagraph"/>
              <w:spacing w:line="276" w:lineRule="auto"/>
              <w:ind w:left="638"/>
              <w:rPr>
                <w:b/>
                <w:szCs w:val="20"/>
              </w:rPr>
            </w:pPr>
          </w:p>
          <w:p w14:paraId="5D357A01" w14:textId="77777777" w:rsidR="00F42DAB" w:rsidRPr="00730A4A" w:rsidRDefault="00F42DAB" w:rsidP="00730A4A">
            <w:pPr>
              <w:pStyle w:val="TableParagraph"/>
              <w:spacing w:line="276" w:lineRule="auto"/>
              <w:ind w:left="638"/>
              <w:rPr>
                <w:b/>
                <w:szCs w:val="20"/>
              </w:rPr>
            </w:pPr>
            <w:r w:rsidRPr="00730A4A">
              <w:rPr>
                <w:b/>
                <w:szCs w:val="20"/>
              </w:rPr>
              <w:t>Impacts</w:t>
            </w:r>
          </w:p>
        </w:tc>
        <w:tc>
          <w:tcPr>
            <w:tcW w:w="4975" w:type="dxa"/>
            <w:vMerge w:val="restart"/>
            <w:shd w:val="clear" w:color="auto" w:fill="D5DCE4"/>
          </w:tcPr>
          <w:p w14:paraId="679651A3" w14:textId="77777777" w:rsidR="00F42DAB" w:rsidRPr="00730A4A" w:rsidRDefault="00F42DAB" w:rsidP="00730A4A">
            <w:pPr>
              <w:pStyle w:val="TableParagraph"/>
              <w:spacing w:line="276" w:lineRule="auto"/>
              <w:ind w:left="1973"/>
              <w:rPr>
                <w:b/>
                <w:sz w:val="10"/>
                <w:szCs w:val="10"/>
              </w:rPr>
            </w:pPr>
          </w:p>
          <w:p w14:paraId="0CC6D780" w14:textId="77777777" w:rsidR="00F42DAB" w:rsidRPr="00730A4A" w:rsidRDefault="00F42DAB" w:rsidP="00730A4A">
            <w:pPr>
              <w:pStyle w:val="TableParagraph"/>
              <w:spacing w:line="276" w:lineRule="auto"/>
              <w:ind w:left="1973"/>
              <w:rPr>
                <w:b/>
                <w:szCs w:val="20"/>
              </w:rPr>
            </w:pPr>
          </w:p>
          <w:p w14:paraId="4345F196" w14:textId="77777777" w:rsidR="00F42DAB" w:rsidRPr="00730A4A" w:rsidRDefault="00F42DAB" w:rsidP="00730A4A">
            <w:pPr>
              <w:pStyle w:val="TableParagraph"/>
              <w:spacing w:line="276" w:lineRule="auto"/>
              <w:ind w:left="1973"/>
              <w:rPr>
                <w:b/>
                <w:szCs w:val="20"/>
              </w:rPr>
            </w:pPr>
            <w:r w:rsidRPr="00730A4A">
              <w:rPr>
                <w:b/>
                <w:szCs w:val="20"/>
              </w:rPr>
              <w:t>Mesures d’atténuation</w:t>
            </w:r>
          </w:p>
        </w:tc>
        <w:tc>
          <w:tcPr>
            <w:tcW w:w="2144" w:type="dxa"/>
            <w:vMerge w:val="restart"/>
            <w:shd w:val="clear" w:color="auto" w:fill="D5DCE4"/>
          </w:tcPr>
          <w:p w14:paraId="6D51E826" w14:textId="77777777" w:rsidR="00F42DAB" w:rsidRPr="00730A4A" w:rsidRDefault="00F42DAB" w:rsidP="002139E7">
            <w:pPr>
              <w:rPr>
                <w:szCs w:val="20"/>
              </w:rPr>
            </w:pPr>
          </w:p>
          <w:p w14:paraId="7A43DFC7" w14:textId="77777777" w:rsidR="00F42DAB" w:rsidRPr="00730A4A" w:rsidRDefault="00F42DAB" w:rsidP="002139E7">
            <w:pPr>
              <w:rPr>
                <w:b/>
                <w:szCs w:val="20"/>
              </w:rPr>
            </w:pPr>
            <w:r w:rsidRPr="00730A4A">
              <w:rPr>
                <w:b/>
                <w:szCs w:val="20"/>
                <w:lang w:eastAsia="en-US"/>
              </w:rPr>
              <w:t>Période de mise en oeuvre</w:t>
            </w:r>
          </w:p>
        </w:tc>
        <w:tc>
          <w:tcPr>
            <w:tcW w:w="4299" w:type="dxa"/>
            <w:gridSpan w:val="2"/>
            <w:shd w:val="clear" w:color="auto" w:fill="D5DCE4"/>
          </w:tcPr>
          <w:p w14:paraId="18ECDDBD" w14:textId="77777777" w:rsidR="00F42DAB" w:rsidRPr="00730A4A" w:rsidRDefault="00F42DAB" w:rsidP="00730A4A">
            <w:pPr>
              <w:jc w:val="center"/>
              <w:rPr>
                <w:b/>
                <w:szCs w:val="20"/>
                <w:lang w:val="en-US"/>
              </w:rPr>
            </w:pPr>
            <w:r w:rsidRPr="00730A4A">
              <w:rPr>
                <w:b/>
                <w:lang w:eastAsia="en-US"/>
              </w:rPr>
              <w:t>Responsable</w:t>
            </w:r>
          </w:p>
        </w:tc>
      </w:tr>
      <w:tr w:rsidR="00BB0401" w:rsidRPr="00C54132" w14:paraId="3A8805DF" w14:textId="77777777" w:rsidTr="00730A4A">
        <w:trPr>
          <w:trHeight w:val="366"/>
          <w:tblHeader/>
        </w:trPr>
        <w:tc>
          <w:tcPr>
            <w:tcW w:w="1806" w:type="dxa"/>
            <w:vMerge/>
            <w:shd w:val="clear" w:color="auto" w:fill="D5DCE4"/>
          </w:tcPr>
          <w:p w14:paraId="686C506E" w14:textId="77777777" w:rsidR="00F42DAB" w:rsidRPr="00730A4A" w:rsidRDefault="00F42DAB" w:rsidP="00730A4A">
            <w:pPr>
              <w:pStyle w:val="TableParagraph"/>
              <w:spacing w:line="276" w:lineRule="auto"/>
              <w:ind w:left="46" w:right="34"/>
              <w:jc w:val="center"/>
              <w:rPr>
                <w:b/>
                <w:szCs w:val="20"/>
              </w:rPr>
            </w:pPr>
          </w:p>
        </w:tc>
        <w:tc>
          <w:tcPr>
            <w:tcW w:w="2271" w:type="dxa"/>
            <w:vMerge/>
            <w:shd w:val="clear" w:color="auto" w:fill="D5DCE4"/>
          </w:tcPr>
          <w:p w14:paraId="1E567F47" w14:textId="77777777" w:rsidR="00F42DAB" w:rsidRPr="00730A4A" w:rsidRDefault="00F42DAB" w:rsidP="00730A4A">
            <w:pPr>
              <w:pStyle w:val="TableParagraph"/>
              <w:spacing w:line="276" w:lineRule="auto"/>
              <w:ind w:left="638"/>
              <w:rPr>
                <w:b/>
                <w:sz w:val="10"/>
                <w:szCs w:val="10"/>
              </w:rPr>
            </w:pPr>
          </w:p>
        </w:tc>
        <w:tc>
          <w:tcPr>
            <w:tcW w:w="4975" w:type="dxa"/>
            <w:vMerge/>
            <w:shd w:val="clear" w:color="auto" w:fill="D5DCE4"/>
          </w:tcPr>
          <w:p w14:paraId="775D8F2C" w14:textId="77777777" w:rsidR="00F42DAB" w:rsidRPr="00730A4A" w:rsidRDefault="00F42DAB" w:rsidP="00730A4A">
            <w:pPr>
              <w:pStyle w:val="TableParagraph"/>
              <w:spacing w:line="276" w:lineRule="auto"/>
              <w:ind w:left="1973"/>
              <w:rPr>
                <w:b/>
                <w:sz w:val="10"/>
                <w:szCs w:val="10"/>
              </w:rPr>
            </w:pPr>
          </w:p>
        </w:tc>
        <w:tc>
          <w:tcPr>
            <w:tcW w:w="2144" w:type="dxa"/>
            <w:vMerge/>
            <w:shd w:val="clear" w:color="auto" w:fill="D5DCE4"/>
          </w:tcPr>
          <w:p w14:paraId="5B4A76A8" w14:textId="77777777" w:rsidR="00F42DAB" w:rsidRPr="00730A4A" w:rsidRDefault="00F42DAB" w:rsidP="00730A4A">
            <w:pPr>
              <w:pStyle w:val="TableParagraph"/>
              <w:spacing w:line="276" w:lineRule="auto"/>
              <w:ind w:left="1973"/>
              <w:rPr>
                <w:b/>
                <w:sz w:val="10"/>
                <w:szCs w:val="10"/>
              </w:rPr>
            </w:pPr>
          </w:p>
        </w:tc>
        <w:tc>
          <w:tcPr>
            <w:tcW w:w="2109" w:type="dxa"/>
            <w:shd w:val="clear" w:color="auto" w:fill="D5DCE4"/>
          </w:tcPr>
          <w:p w14:paraId="52B6E59E" w14:textId="77777777" w:rsidR="00F42DAB" w:rsidRPr="00730A4A" w:rsidRDefault="00F42DAB" w:rsidP="00730A4A">
            <w:pPr>
              <w:jc w:val="center"/>
              <w:rPr>
                <w:b/>
                <w:szCs w:val="20"/>
                <w:lang w:val="en-US"/>
              </w:rPr>
            </w:pPr>
            <w:r w:rsidRPr="00730A4A">
              <w:rPr>
                <w:b/>
                <w:szCs w:val="20"/>
                <w:lang w:eastAsia="en-US"/>
              </w:rPr>
              <w:t>Mise en application</w:t>
            </w:r>
          </w:p>
        </w:tc>
        <w:tc>
          <w:tcPr>
            <w:tcW w:w="2190" w:type="dxa"/>
            <w:shd w:val="clear" w:color="auto" w:fill="D5DCE4"/>
          </w:tcPr>
          <w:p w14:paraId="4D93CF64" w14:textId="77777777" w:rsidR="00F42DAB" w:rsidRPr="00730A4A" w:rsidRDefault="00F42DAB" w:rsidP="00730A4A">
            <w:pPr>
              <w:jc w:val="center"/>
              <w:rPr>
                <w:b/>
                <w:szCs w:val="20"/>
                <w:lang w:val="en-US"/>
              </w:rPr>
            </w:pPr>
            <w:r w:rsidRPr="00730A4A">
              <w:rPr>
                <w:b/>
                <w:szCs w:val="20"/>
                <w:lang w:eastAsia="en-US"/>
              </w:rPr>
              <w:t>Suivi - évaluation</w:t>
            </w:r>
          </w:p>
        </w:tc>
      </w:tr>
      <w:tr w:rsidR="00BB0401" w:rsidRPr="00C54132" w14:paraId="1A5C3F72" w14:textId="77777777" w:rsidTr="00730A4A">
        <w:trPr>
          <w:trHeight w:val="2841"/>
        </w:trPr>
        <w:tc>
          <w:tcPr>
            <w:tcW w:w="1806" w:type="dxa"/>
            <w:vMerge w:val="restart"/>
            <w:shd w:val="clear" w:color="auto" w:fill="auto"/>
          </w:tcPr>
          <w:p w14:paraId="0F560DFD" w14:textId="77777777" w:rsidR="00F42DAB" w:rsidRPr="00730A4A" w:rsidRDefault="00F42DAB" w:rsidP="00730A4A">
            <w:pPr>
              <w:pStyle w:val="TableParagraph"/>
              <w:spacing w:line="276" w:lineRule="auto"/>
              <w:ind w:left="46" w:right="54"/>
              <w:jc w:val="center"/>
              <w:rPr>
                <w:szCs w:val="20"/>
              </w:rPr>
            </w:pPr>
          </w:p>
          <w:p w14:paraId="73634B72" w14:textId="77777777" w:rsidR="00F42DAB" w:rsidRPr="00730A4A" w:rsidRDefault="00F42DAB" w:rsidP="00730A4A">
            <w:pPr>
              <w:pStyle w:val="TableParagraph"/>
              <w:spacing w:line="276" w:lineRule="auto"/>
              <w:ind w:left="46" w:right="54"/>
              <w:jc w:val="center"/>
              <w:rPr>
                <w:szCs w:val="20"/>
              </w:rPr>
            </w:pPr>
          </w:p>
          <w:p w14:paraId="43523885" w14:textId="77777777" w:rsidR="00F42DAB" w:rsidRPr="00730A4A" w:rsidRDefault="00F42DAB" w:rsidP="00730A4A">
            <w:pPr>
              <w:pStyle w:val="TableParagraph"/>
              <w:spacing w:line="276" w:lineRule="auto"/>
              <w:ind w:left="46" w:right="54"/>
              <w:jc w:val="center"/>
              <w:rPr>
                <w:szCs w:val="20"/>
              </w:rPr>
            </w:pPr>
          </w:p>
          <w:p w14:paraId="444F1391" w14:textId="77777777" w:rsidR="00F42DAB" w:rsidRPr="00730A4A" w:rsidRDefault="00F42DAB" w:rsidP="00730A4A">
            <w:pPr>
              <w:pStyle w:val="TableParagraph"/>
              <w:spacing w:line="276" w:lineRule="auto"/>
              <w:ind w:left="46" w:right="54"/>
              <w:jc w:val="center"/>
              <w:rPr>
                <w:szCs w:val="20"/>
              </w:rPr>
            </w:pPr>
          </w:p>
          <w:p w14:paraId="28AE85EE" w14:textId="77777777" w:rsidR="00F42DAB" w:rsidRPr="00730A4A" w:rsidRDefault="00F42DAB" w:rsidP="00730A4A">
            <w:pPr>
              <w:pStyle w:val="TableParagraph"/>
              <w:spacing w:line="276" w:lineRule="auto"/>
              <w:ind w:left="46" w:right="54"/>
              <w:jc w:val="center"/>
              <w:rPr>
                <w:szCs w:val="20"/>
              </w:rPr>
            </w:pPr>
          </w:p>
          <w:p w14:paraId="4A54D6A6" w14:textId="77777777" w:rsidR="00F42DAB" w:rsidRPr="00730A4A" w:rsidRDefault="00F42DAB" w:rsidP="00730A4A">
            <w:pPr>
              <w:pStyle w:val="TableParagraph"/>
              <w:spacing w:line="276" w:lineRule="auto"/>
              <w:ind w:left="46" w:right="54"/>
              <w:jc w:val="center"/>
              <w:rPr>
                <w:szCs w:val="20"/>
              </w:rPr>
            </w:pPr>
          </w:p>
          <w:p w14:paraId="33BB7A51" w14:textId="77777777" w:rsidR="00F42DAB" w:rsidRPr="00730A4A" w:rsidRDefault="00F42DAB" w:rsidP="00730A4A">
            <w:pPr>
              <w:pStyle w:val="TableParagraph"/>
              <w:spacing w:line="276" w:lineRule="auto"/>
              <w:ind w:left="46" w:right="54"/>
              <w:jc w:val="center"/>
              <w:rPr>
                <w:szCs w:val="20"/>
              </w:rPr>
            </w:pPr>
          </w:p>
          <w:p w14:paraId="3A50515D" w14:textId="77777777" w:rsidR="00F42DAB" w:rsidRPr="00730A4A" w:rsidRDefault="00F42DAB" w:rsidP="00730A4A">
            <w:pPr>
              <w:pStyle w:val="TableParagraph"/>
              <w:spacing w:line="276" w:lineRule="auto"/>
              <w:ind w:left="46" w:right="54"/>
              <w:jc w:val="center"/>
              <w:rPr>
                <w:szCs w:val="20"/>
              </w:rPr>
            </w:pPr>
          </w:p>
          <w:p w14:paraId="364E31C1" w14:textId="77777777" w:rsidR="00F42DAB" w:rsidRPr="00730A4A" w:rsidRDefault="00F42DAB" w:rsidP="00730A4A">
            <w:pPr>
              <w:pStyle w:val="TableParagraph"/>
              <w:spacing w:line="276" w:lineRule="auto"/>
              <w:ind w:left="46" w:right="54"/>
              <w:jc w:val="center"/>
              <w:rPr>
                <w:szCs w:val="20"/>
              </w:rPr>
            </w:pPr>
          </w:p>
          <w:p w14:paraId="70D79233" w14:textId="77777777" w:rsidR="00F42DAB" w:rsidRPr="00730A4A" w:rsidRDefault="00F42DAB" w:rsidP="00730A4A">
            <w:pPr>
              <w:pStyle w:val="TableParagraph"/>
              <w:spacing w:line="276" w:lineRule="auto"/>
              <w:ind w:left="46" w:right="54"/>
              <w:jc w:val="center"/>
              <w:rPr>
                <w:szCs w:val="20"/>
              </w:rPr>
            </w:pPr>
            <w:r w:rsidRPr="00730A4A">
              <w:rPr>
                <w:szCs w:val="20"/>
              </w:rPr>
              <w:t>Qualité de l’air</w:t>
            </w:r>
          </w:p>
        </w:tc>
        <w:tc>
          <w:tcPr>
            <w:tcW w:w="2271" w:type="dxa"/>
            <w:shd w:val="clear" w:color="auto" w:fill="auto"/>
          </w:tcPr>
          <w:p w14:paraId="1910AD9C" w14:textId="77777777" w:rsidR="00F42DAB" w:rsidRPr="00730A4A" w:rsidRDefault="00F42DAB" w:rsidP="00730A4A">
            <w:pPr>
              <w:pStyle w:val="TableParagraph"/>
              <w:spacing w:line="276" w:lineRule="auto"/>
              <w:ind w:right="-97"/>
              <w:rPr>
                <w:szCs w:val="20"/>
                <w:lang w:val="fr-FR"/>
              </w:rPr>
            </w:pPr>
          </w:p>
          <w:p w14:paraId="2FE0EF8C" w14:textId="77777777" w:rsidR="00F42DAB" w:rsidRPr="00730A4A" w:rsidRDefault="00F42DAB" w:rsidP="00730A4A">
            <w:pPr>
              <w:pStyle w:val="TableParagraph"/>
              <w:spacing w:line="276" w:lineRule="auto"/>
              <w:ind w:right="-97"/>
              <w:rPr>
                <w:szCs w:val="20"/>
                <w:lang w:val="fr-FR"/>
              </w:rPr>
            </w:pPr>
          </w:p>
          <w:p w14:paraId="63529856" w14:textId="77777777" w:rsidR="00F42DAB" w:rsidRPr="00730A4A" w:rsidRDefault="00F42DAB" w:rsidP="00730A4A">
            <w:pPr>
              <w:pStyle w:val="TableParagraph"/>
              <w:spacing w:line="276" w:lineRule="auto"/>
              <w:ind w:right="-97"/>
              <w:rPr>
                <w:szCs w:val="20"/>
                <w:lang w:val="fr-FR"/>
              </w:rPr>
            </w:pPr>
          </w:p>
          <w:p w14:paraId="72AB0A35" w14:textId="77777777" w:rsidR="00F42DAB" w:rsidRPr="00730A4A" w:rsidRDefault="00F42DAB" w:rsidP="00730A4A">
            <w:pPr>
              <w:pStyle w:val="TableParagraph"/>
              <w:spacing w:line="276" w:lineRule="auto"/>
              <w:ind w:right="-97"/>
              <w:rPr>
                <w:szCs w:val="20"/>
                <w:lang w:val="fr-FR"/>
              </w:rPr>
            </w:pPr>
            <w:r w:rsidRPr="00730A4A">
              <w:rPr>
                <w:szCs w:val="20"/>
                <w:lang w:val="fr-FR"/>
              </w:rPr>
              <w:t xml:space="preserve">Altération de la qualité de l’air (fumée, poussière et émanations gazeuses). </w:t>
            </w:r>
          </w:p>
        </w:tc>
        <w:tc>
          <w:tcPr>
            <w:tcW w:w="4975" w:type="dxa"/>
            <w:shd w:val="clear" w:color="auto" w:fill="auto"/>
          </w:tcPr>
          <w:p w14:paraId="26B393D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Limiter</w:t>
            </w:r>
            <w:r w:rsidRPr="00730A4A">
              <w:rPr>
                <w:spacing w:val="-17"/>
                <w:szCs w:val="20"/>
                <w:lang w:val="fr-FR"/>
              </w:rPr>
              <w:t xml:space="preserve"> </w:t>
            </w:r>
            <w:r w:rsidRPr="00730A4A">
              <w:rPr>
                <w:szCs w:val="20"/>
                <w:lang w:val="fr-FR"/>
              </w:rPr>
              <w:t>la</w:t>
            </w:r>
            <w:r w:rsidRPr="00730A4A">
              <w:rPr>
                <w:spacing w:val="-18"/>
                <w:szCs w:val="20"/>
                <w:lang w:val="fr-FR"/>
              </w:rPr>
              <w:t xml:space="preserve"> </w:t>
            </w:r>
            <w:r w:rsidRPr="00730A4A">
              <w:rPr>
                <w:szCs w:val="20"/>
                <w:lang w:val="fr-FR"/>
              </w:rPr>
              <w:t>vitesse</w:t>
            </w:r>
            <w:r w:rsidRPr="00730A4A">
              <w:rPr>
                <w:spacing w:val="-18"/>
                <w:szCs w:val="20"/>
                <w:lang w:val="fr-FR"/>
              </w:rPr>
              <w:t xml:space="preserve"> </w:t>
            </w:r>
            <w:r w:rsidRPr="00730A4A">
              <w:rPr>
                <w:szCs w:val="20"/>
                <w:lang w:val="fr-FR"/>
              </w:rPr>
              <w:t>des</w:t>
            </w:r>
            <w:r w:rsidRPr="00730A4A">
              <w:rPr>
                <w:spacing w:val="-17"/>
                <w:szCs w:val="20"/>
                <w:lang w:val="fr-FR"/>
              </w:rPr>
              <w:t xml:space="preserve"> </w:t>
            </w:r>
            <w:r w:rsidRPr="00730A4A">
              <w:rPr>
                <w:szCs w:val="20"/>
                <w:lang w:val="fr-FR"/>
              </w:rPr>
              <w:t>véhicules</w:t>
            </w:r>
            <w:r w:rsidRPr="00730A4A">
              <w:rPr>
                <w:spacing w:val="-17"/>
                <w:szCs w:val="20"/>
                <w:lang w:val="fr-FR"/>
              </w:rPr>
              <w:t xml:space="preserve"> </w:t>
            </w:r>
            <w:r w:rsidRPr="00730A4A">
              <w:rPr>
                <w:szCs w:val="20"/>
                <w:lang w:val="fr-FR"/>
              </w:rPr>
              <w:t>lourds</w:t>
            </w:r>
            <w:r w:rsidRPr="00730A4A">
              <w:rPr>
                <w:spacing w:val="-17"/>
                <w:szCs w:val="20"/>
                <w:lang w:val="fr-FR"/>
              </w:rPr>
              <w:t xml:space="preserve"> </w:t>
            </w:r>
            <w:r w:rsidRPr="00730A4A">
              <w:rPr>
                <w:szCs w:val="20"/>
                <w:lang w:val="fr-FR"/>
              </w:rPr>
              <w:t>lors</w:t>
            </w:r>
            <w:r w:rsidRPr="00730A4A">
              <w:rPr>
                <w:spacing w:val="-16"/>
                <w:szCs w:val="20"/>
                <w:lang w:val="fr-FR"/>
              </w:rPr>
              <w:t xml:space="preserve"> </w:t>
            </w:r>
            <w:r w:rsidRPr="00730A4A">
              <w:rPr>
                <w:szCs w:val="20"/>
                <w:lang w:val="fr-FR"/>
              </w:rPr>
              <w:t>de</w:t>
            </w:r>
            <w:r w:rsidRPr="00730A4A">
              <w:rPr>
                <w:spacing w:val="-18"/>
                <w:szCs w:val="20"/>
                <w:lang w:val="fr-FR"/>
              </w:rPr>
              <w:t xml:space="preserve"> </w:t>
            </w:r>
            <w:r w:rsidRPr="00730A4A">
              <w:rPr>
                <w:szCs w:val="20"/>
                <w:lang w:val="fr-FR"/>
              </w:rPr>
              <w:t>circulation</w:t>
            </w:r>
            <w:r w:rsidRPr="00730A4A">
              <w:rPr>
                <w:spacing w:val="-19"/>
                <w:szCs w:val="20"/>
                <w:lang w:val="fr-FR"/>
              </w:rPr>
              <w:t xml:space="preserve"> </w:t>
            </w:r>
            <w:r w:rsidRPr="00730A4A">
              <w:rPr>
                <w:szCs w:val="20"/>
                <w:lang w:val="fr-FR"/>
              </w:rPr>
              <w:t>sur</w:t>
            </w:r>
            <w:r w:rsidRPr="00730A4A">
              <w:rPr>
                <w:spacing w:val="-17"/>
                <w:szCs w:val="20"/>
                <w:lang w:val="fr-FR"/>
              </w:rPr>
              <w:t xml:space="preserve"> </w:t>
            </w:r>
            <w:r w:rsidRPr="00730A4A">
              <w:rPr>
                <w:szCs w:val="20"/>
                <w:lang w:val="fr-FR"/>
              </w:rPr>
              <w:t>des chemins en terre battue lorsqu’il est fait recours à la réhabilitation</w:t>
            </w:r>
            <w:r w:rsidRPr="00730A4A">
              <w:rPr>
                <w:spacing w:val="-28"/>
                <w:szCs w:val="20"/>
                <w:lang w:val="fr-FR"/>
              </w:rPr>
              <w:t xml:space="preserve"> </w:t>
            </w:r>
            <w:r w:rsidRPr="00730A4A">
              <w:rPr>
                <w:szCs w:val="20"/>
                <w:lang w:val="fr-FR"/>
              </w:rPr>
              <w:t>mécanique</w:t>
            </w:r>
            <w:r w:rsidRPr="00730A4A">
              <w:rPr>
                <w:spacing w:val="-27"/>
                <w:szCs w:val="20"/>
                <w:lang w:val="fr-FR"/>
              </w:rPr>
              <w:t xml:space="preserve"> </w:t>
            </w:r>
            <w:r w:rsidRPr="00730A4A">
              <w:rPr>
                <w:szCs w:val="20"/>
                <w:lang w:val="fr-FR"/>
              </w:rPr>
              <w:t>des</w:t>
            </w:r>
            <w:r w:rsidRPr="00730A4A">
              <w:rPr>
                <w:spacing w:val="-27"/>
                <w:szCs w:val="20"/>
                <w:lang w:val="fr-FR"/>
              </w:rPr>
              <w:t xml:space="preserve"> </w:t>
            </w:r>
            <w:r w:rsidRPr="00730A4A">
              <w:rPr>
                <w:szCs w:val="20"/>
                <w:lang w:val="fr-FR"/>
              </w:rPr>
              <w:t>routes</w:t>
            </w:r>
            <w:r w:rsidRPr="00730A4A">
              <w:rPr>
                <w:spacing w:val="-25"/>
                <w:szCs w:val="20"/>
                <w:lang w:val="fr-FR"/>
              </w:rPr>
              <w:t xml:space="preserve"> </w:t>
            </w:r>
            <w:r w:rsidRPr="00730A4A">
              <w:rPr>
                <w:szCs w:val="20"/>
                <w:lang w:val="fr-FR"/>
              </w:rPr>
              <w:t>et</w:t>
            </w:r>
            <w:r w:rsidRPr="00730A4A">
              <w:rPr>
                <w:spacing w:val="-26"/>
                <w:szCs w:val="20"/>
                <w:lang w:val="fr-FR"/>
              </w:rPr>
              <w:t xml:space="preserve"> </w:t>
            </w:r>
            <w:r w:rsidRPr="00730A4A">
              <w:rPr>
                <w:szCs w:val="20"/>
                <w:lang w:val="fr-FR"/>
              </w:rPr>
              <w:t>voies</w:t>
            </w:r>
            <w:r w:rsidRPr="00730A4A">
              <w:rPr>
                <w:spacing w:val="-27"/>
                <w:szCs w:val="20"/>
                <w:lang w:val="fr-FR"/>
              </w:rPr>
              <w:t xml:space="preserve"> </w:t>
            </w:r>
            <w:r w:rsidRPr="00730A4A">
              <w:rPr>
                <w:szCs w:val="20"/>
                <w:lang w:val="fr-FR"/>
              </w:rPr>
              <w:t>de</w:t>
            </w:r>
            <w:r w:rsidRPr="00730A4A">
              <w:rPr>
                <w:spacing w:val="-27"/>
                <w:szCs w:val="20"/>
                <w:lang w:val="fr-FR"/>
              </w:rPr>
              <w:t xml:space="preserve"> </w:t>
            </w:r>
            <w:r w:rsidRPr="00730A4A">
              <w:rPr>
                <w:szCs w:val="20"/>
                <w:lang w:val="fr-FR"/>
              </w:rPr>
              <w:t>desserte</w:t>
            </w:r>
            <w:r w:rsidRPr="00730A4A">
              <w:rPr>
                <w:spacing w:val="-26"/>
                <w:szCs w:val="20"/>
                <w:lang w:val="fr-FR"/>
              </w:rPr>
              <w:t xml:space="preserve"> </w:t>
            </w:r>
            <w:r w:rsidRPr="00730A4A">
              <w:rPr>
                <w:szCs w:val="20"/>
                <w:lang w:val="fr-FR"/>
              </w:rPr>
              <w:t>agricole</w:t>
            </w:r>
            <w:r w:rsidRPr="00730A4A">
              <w:rPr>
                <w:spacing w:val="-26"/>
                <w:szCs w:val="20"/>
                <w:lang w:val="fr-FR"/>
              </w:rPr>
              <w:t xml:space="preserve"> </w:t>
            </w:r>
            <w:r w:rsidRPr="00730A4A">
              <w:rPr>
                <w:szCs w:val="20"/>
                <w:lang w:val="fr-FR"/>
              </w:rPr>
              <w:t>;</w:t>
            </w:r>
          </w:p>
          <w:p w14:paraId="523B208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Éviter la circulation de véhicules lourds ou de brûler les produits de débroussaillage à proximité des zones habitées ;</w:t>
            </w:r>
          </w:p>
          <w:p w14:paraId="415BC63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Utiliser les équipements de protection individuelle (abats poussières, gants, bottes, lunettes de protection, etc.) pour minimiser la dispersion des émissions dans l’air.</w:t>
            </w:r>
          </w:p>
        </w:tc>
        <w:tc>
          <w:tcPr>
            <w:tcW w:w="2144" w:type="dxa"/>
            <w:shd w:val="clear" w:color="auto" w:fill="auto"/>
          </w:tcPr>
          <w:p w14:paraId="78CF15E5" w14:textId="77777777" w:rsidR="00F42DAB" w:rsidRPr="00730A4A" w:rsidRDefault="00F42DAB" w:rsidP="00730A4A">
            <w:pPr>
              <w:pStyle w:val="TableParagraph"/>
              <w:numPr>
                <w:ilvl w:val="0"/>
                <w:numId w:val="49"/>
              </w:numPr>
              <w:autoSpaceDE w:val="0"/>
              <w:autoSpaceDN w:val="0"/>
              <w:spacing w:line="276" w:lineRule="auto"/>
              <w:ind w:left="164" w:right="97" w:hanging="164"/>
              <w:rPr>
                <w:szCs w:val="20"/>
                <w:lang w:val="fr-FR"/>
              </w:rPr>
            </w:pPr>
            <w:r w:rsidRPr="00730A4A">
              <w:rPr>
                <w:szCs w:val="20"/>
                <w:lang w:val="fr-FR"/>
              </w:rPr>
              <w:t>Pendant la phase d’exécution du Programme</w:t>
            </w:r>
          </w:p>
        </w:tc>
        <w:tc>
          <w:tcPr>
            <w:tcW w:w="2109" w:type="dxa"/>
            <w:shd w:val="clear" w:color="auto" w:fill="auto"/>
          </w:tcPr>
          <w:p w14:paraId="3B87F910" w14:textId="77777777" w:rsidR="00F42DAB" w:rsidRPr="00730A4A" w:rsidRDefault="00F42DAB" w:rsidP="00730A4A">
            <w:pPr>
              <w:pStyle w:val="TableParagraph"/>
              <w:numPr>
                <w:ilvl w:val="0"/>
                <w:numId w:val="49"/>
              </w:numPr>
              <w:autoSpaceDE w:val="0"/>
              <w:autoSpaceDN w:val="0"/>
              <w:spacing w:line="276" w:lineRule="auto"/>
              <w:ind w:left="164" w:right="97" w:hanging="164"/>
              <w:rPr>
                <w:szCs w:val="20"/>
                <w:lang w:val="fr-FR"/>
              </w:rPr>
            </w:pPr>
            <w:r w:rsidRPr="00730A4A">
              <w:rPr>
                <w:szCs w:val="20"/>
                <w:lang w:val="fr-FR"/>
              </w:rPr>
              <w:t>Les PME, la Mission de contrôle et autres prestataires</w:t>
            </w:r>
          </w:p>
        </w:tc>
        <w:tc>
          <w:tcPr>
            <w:tcW w:w="2190" w:type="dxa"/>
            <w:shd w:val="clear" w:color="auto" w:fill="auto"/>
          </w:tcPr>
          <w:p w14:paraId="6A6AB2DA" w14:textId="77777777" w:rsidR="00F42DAB" w:rsidRPr="00730A4A" w:rsidRDefault="00F42DAB" w:rsidP="00730A4A">
            <w:pPr>
              <w:pStyle w:val="TableParagraph"/>
              <w:numPr>
                <w:ilvl w:val="0"/>
                <w:numId w:val="49"/>
              </w:numPr>
              <w:autoSpaceDE w:val="0"/>
              <w:autoSpaceDN w:val="0"/>
              <w:spacing w:line="276" w:lineRule="auto"/>
              <w:ind w:left="164" w:right="97" w:hanging="164"/>
              <w:rPr>
                <w:szCs w:val="20"/>
                <w:lang w:val="fr-FR"/>
              </w:rPr>
            </w:pPr>
            <w:r w:rsidRPr="00730A4A">
              <w:rPr>
                <w:szCs w:val="20"/>
                <w:lang w:val="fr-FR"/>
              </w:rPr>
              <w:t>PNDA et ACE, CPE, OVDA</w:t>
            </w:r>
          </w:p>
        </w:tc>
      </w:tr>
      <w:tr w:rsidR="00BB0401" w:rsidRPr="00C54132" w14:paraId="124D86D0" w14:textId="77777777" w:rsidTr="00730A4A">
        <w:trPr>
          <w:trHeight w:val="1242"/>
        </w:trPr>
        <w:tc>
          <w:tcPr>
            <w:tcW w:w="1806" w:type="dxa"/>
            <w:vMerge/>
            <w:shd w:val="clear" w:color="auto" w:fill="auto"/>
          </w:tcPr>
          <w:p w14:paraId="5FFAC19E" w14:textId="77777777" w:rsidR="00F42DAB" w:rsidRPr="00730A4A" w:rsidRDefault="00F42DAB" w:rsidP="00730A4A">
            <w:pPr>
              <w:pStyle w:val="TableParagraph"/>
              <w:spacing w:line="276" w:lineRule="auto"/>
              <w:ind w:left="46" w:right="54"/>
              <w:jc w:val="center"/>
              <w:rPr>
                <w:szCs w:val="20"/>
                <w:lang w:val="fr-FR"/>
              </w:rPr>
            </w:pPr>
          </w:p>
        </w:tc>
        <w:tc>
          <w:tcPr>
            <w:tcW w:w="2271" w:type="dxa"/>
            <w:shd w:val="clear" w:color="auto" w:fill="auto"/>
          </w:tcPr>
          <w:p w14:paraId="31E2B5FF" w14:textId="77777777" w:rsidR="00F42DAB" w:rsidRPr="00730A4A" w:rsidRDefault="00F42DAB" w:rsidP="00730A4A">
            <w:pPr>
              <w:pStyle w:val="TableParagraph"/>
              <w:spacing w:line="276" w:lineRule="auto"/>
              <w:ind w:right="539"/>
              <w:rPr>
                <w:szCs w:val="20"/>
                <w:lang w:val="fr-FR"/>
              </w:rPr>
            </w:pPr>
            <w:r w:rsidRPr="00730A4A">
              <w:rPr>
                <w:szCs w:val="20"/>
                <w:lang w:val="fr-FR"/>
              </w:rPr>
              <w:t>Pollution olfactive due au dégagement des mauvaises odeurs des composts</w:t>
            </w:r>
          </w:p>
        </w:tc>
        <w:tc>
          <w:tcPr>
            <w:tcW w:w="4975" w:type="dxa"/>
            <w:shd w:val="clear" w:color="auto" w:fill="auto"/>
          </w:tcPr>
          <w:p w14:paraId="616CCB2E"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Port obligation des EPI (masques et gants) à tous les petits exploitants agricoles ;</w:t>
            </w:r>
          </w:p>
          <w:p w14:paraId="25BB91D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Éloigner les opérations de compostage des habitations (hameaux ou campements)</w:t>
            </w:r>
          </w:p>
        </w:tc>
        <w:tc>
          <w:tcPr>
            <w:tcW w:w="2144" w:type="dxa"/>
            <w:shd w:val="clear" w:color="auto" w:fill="auto"/>
          </w:tcPr>
          <w:p w14:paraId="27D758D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0B7851F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21ECBE4E"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w:t>
            </w:r>
          </w:p>
        </w:tc>
      </w:tr>
      <w:tr w:rsidR="00BB0401" w:rsidRPr="00C54132" w14:paraId="1F542098" w14:textId="77777777" w:rsidTr="00730A4A">
        <w:trPr>
          <w:trHeight w:val="4320"/>
        </w:trPr>
        <w:tc>
          <w:tcPr>
            <w:tcW w:w="1806" w:type="dxa"/>
            <w:vMerge w:val="restart"/>
            <w:shd w:val="clear" w:color="auto" w:fill="auto"/>
          </w:tcPr>
          <w:p w14:paraId="4339902F" w14:textId="77777777" w:rsidR="00F42DAB" w:rsidRPr="00730A4A" w:rsidRDefault="00F42DAB" w:rsidP="00730A4A">
            <w:pPr>
              <w:pStyle w:val="TableParagraph"/>
              <w:spacing w:line="276" w:lineRule="auto"/>
              <w:ind w:right="231"/>
              <w:rPr>
                <w:szCs w:val="20"/>
                <w:lang w:val="fr-FR"/>
              </w:rPr>
            </w:pPr>
          </w:p>
          <w:p w14:paraId="125D44E0" w14:textId="77777777" w:rsidR="00F42DAB" w:rsidRPr="00730A4A" w:rsidRDefault="00F42DAB" w:rsidP="00730A4A">
            <w:pPr>
              <w:pStyle w:val="TableParagraph"/>
              <w:spacing w:line="276" w:lineRule="auto"/>
              <w:ind w:right="231"/>
              <w:rPr>
                <w:szCs w:val="20"/>
                <w:lang w:val="fr-FR"/>
              </w:rPr>
            </w:pPr>
          </w:p>
          <w:p w14:paraId="1F280B23" w14:textId="77777777" w:rsidR="00F42DAB" w:rsidRPr="00730A4A" w:rsidRDefault="00F42DAB" w:rsidP="00730A4A">
            <w:pPr>
              <w:pStyle w:val="TableParagraph"/>
              <w:spacing w:line="276" w:lineRule="auto"/>
              <w:ind w:right="231"/>
              <w:rPr>
                <w:szCs w:val="20"/>
                <w:lang w:val="fr-FR"/>
              </w:rPr>
            </w:pPr>
          </w:p>
          <w:p w14:paraId="5E3FF54F" w14:textId="77777777" w:rsidR="00F42DAB" w:rsidRPr="00730A4A" w:rsidRDefault="00F42DAB" w:rsidP="00730A4A">
            <w:pPr>
              <w:pStyle w:val="TableParagraph"/>
              <w:spacing w:line="276" w:lineRule="auto"/>
              <w:ind w:right="231"/>
              <w:rPr>
                <w:szCs w:val="20"/>
                <w:lang w:val="fr-FR"/>
              </w:rPr>
            </w:pPr>
          </w:p>
          <w:p w14:paraId="56B2CF5C" w14:textId="77777777" w:rsidR="00F42DAB" w:rsidRPr="00730A4A" w:rsidRDefault="00F42DAB" w:rsidP="00730A4A">
            <w:pPr>
              <w:pStyle w:val="TableParagraph"/>
              <w:spacing w:line="276" w:lineRule="auto"/>
              <w:ind w:right="231"/>
              <w:rPr>
                <w:szCs w:val="20"/>
                <w:lang w:val="fr-FR"/>
              </w:rPr>
            </w:pPr>
          </w:p>
          <w:p w14:paraId="24C9D956" w14:textId="77777777" w:rsidR="00F42DAB" w:rsidRPr="00730A4A" w:rsidRDefault="00F42DAB" w:rsidP="00730A4A">
            <w:pPr>
              <w:pStyle w:val="TableParagraph"/>
              <w:spacing w:line="276" w:lineRule="auto"/>
              <w:ind w:right="231"/>
              <w:rPr>
                <w:szCs w:val="20"/>
                <w:lang w:val="fr-FR"/>
              </w:rPr>
            </w:pPr>
          </w:p>
          <w:p w14:paraId="6EA374B5" w14:textId="77777777" w:rsidR="00F42DAB" w:rsidRPr="00730A4A" w:rsidRDefault="00F42DAB" w:rsidP="00730A4A">
            <w:pPr>
              <w:pStyle w:val="TableParagraph"/>
              <w:spacing w:line="276" w:lineRule="auto"/>
              <w:ind w:right="231"/>
              <w:rPr>
                <w:szCs w:val="20"/>
                <w:lang w:val="fr-FR"/>
              </w:rPr>
            </w:pPr>
          </w:p>
          <w:p w14:paraId="0FC13400" w14:textId="77777777" w:rsidR="00F42DAB" w:rsidRPr="00730A4A" w:rsidRDefault="00F42DAB" w:rsidP="00730A4A">
            <w:pPr>
              <w:pStyle w:val="TableParagraph"/>
              <w:spacing w:line="276" w:lineRule="auto"/>
              <w:ind w:right="231"/>
              <w:rPr>
                <w:szCs w:val="20"/>
                <w:lang w:val="fr-FR"/>
              </w:rPr>
            </w:pPr>
          </w:p>
          <w:p w14:paraId="01F49B60" w14:textId="77777777" w:rsidR="00F42DAB" w:rsidRPr="00730A4A" w:rsidRDefault="00F42DAB" w:rsidP="00730A4A">
            <w:pPr>
              <w:pStyle w:val="TableParagraph"/>
              <w:spacing w:line="276" w:lineRule="auto"/>
              <w:ind w:right="231"/>
              <w:rPr>
                <w:szCs w:val="20"/>
                <w:lang w:val="fr-FR"/>
              </w:rPr>
            </w:pPr>
          </w:p>
          <w:p w14:paraId="1FF96E45" w14:textId="77777777" w:rsidR="00F42DAB" w:rsidRPr="00730A4A" w:rsidRDefault="00F42DAB" w:rsidP="00730A4A">
            <w:pPr>
              <w:pStyle w:val="TableParagraph"/>
              <w:spacing w:line="276" w:lineRule="auto"/>
              <w:ind w:right="231"/>
              <w:rPr>
                <w:szCs w:val="20"/>
                <w:lang w:val="fr-FR"/>
              </w:rPr>
            </w:pPr>
          </w:p>
          <w:p w14:paraId="3F080FFB" w14:textId="77777777" w:rsidR="00F42DAB" w:rsidRPr="00730A4A" w:rsidRDefault="00F42DAB" w:rsidP="00730A4A">
            <w:pPr>
              <w:pStyle w:val="TableParagraph"/>
              <w:spacing w:line="276" w:lineRule="auto"/>
              <w:ind w:right="231"/>
              <w:rPr>
                <w:szCs w:val="20"/>
                <w:lang w:val="fr-FR"/>
              </w:rPr>
            </w:pPr>
          </w:p>
          <w:p w14:paraId="3359E288" w14:textId="77777777" w:rsidR="00F42DAB" w:rsidRPr="00730A4A" w:rsidRDefault="00F42DAB" w:rsidP="00730A4A">
            <w:pPr>
              <w:pStyle w:val="TableParagraph"/>
              <w:spacing w:line="276" w:lineRule="auto"/>
              <w:ind w:right="231"/>
              <w:rPr>
                <w:szCs w:val="20"/>
                <w:lang w:val="fr-FR"/>
              </w:rPr>
            </w:pPr>
          </w:p>
          <w:p w14:paraId="1A5446C9" w14:textId="77777777" w:rsidR="00F42DAB" w:rsidRPr="00730A4A" w:rsidRDefault="00F42DAB" w:rsidP="00730A4A">
            <w:pPr>
              <w:pStyle w:val="TableParagraph"/>
              <w:spacing w:line="276" w:lineRule="auto"/>
              <w:ind w:right="231"/>
              <w:rPr>
                <w:szCs w:val="20"/>
                <w:lang w:val="fr-FR"/>
              </w:rPr>
            </w:pPr>
          </w:p>
          <w:p w14:paraId="2E2C5C85" w14:textId="77777777" w:rsidR="00F42DAB" w:rsidRPr="00730A4A" w:rsidRDefault="00F42DAB" w:rsidP="00730A4A">
            <w:pPr>
              <w:pStyle w:val="TableParagraph"/>
              <w:spacing w:line="276" w:lineRule="auto"/>
              <w:ind w:right="231"/>
              <w:rPr>
                <w:szCs w:val="20"/>
                <w:lang w:val="fr-FR"/>
              </w:rPr>
            </w:pPr>
          </w:p>
          <w:p w14:paraId="76E62970" w14:textId="77777777" w:rsidR="00F42DAB" w:rsidRPr="00730A4A" w:rsidRDefault="00F42DAB" w:rsidP="00730A4A">
            <w:pPr>
              <w:pStyle w:val="TableParagraph"/>
              <w:spacing w:line="276" w:lineRule="auto"/>
              <w:ind w:right="231"/>
              <w:rPr>
                <w:szCs w:val="20"/>
                <w:lang w:val="fr-FR"/>
              </w:rPr>
            </w:pPr>
          </w:p>
          <w:p w14:paraId="76D0A6B2" w14:textId="77777777" w:rsidR="00F42DAB" w:rsidRPr="00730A4A" w:rsidRDefault="00F42DAB" w:rsidP="00730A4A">
            <w:pPr>
              <w:pStyle w:val="TableParagraph"/>
              <w:spacing w:line="276" w:lineRule="auto"/>
              <w:ind w:right="231"/>
              <w:rPr>
                <w:szCs w:val="20"/>
                <w:lang w:val="fr-FR"/>
              </w:rPr>
            </w:pPr>
          </w:p>
          <w:p w14:paraId="3D97E1FE" w14:textId="77777777" w:rsidR="00F42DAB" w:rsidRPr="00730A4A" w:rsidRDefault="00F42DAB" w:rsidP="00730A4A">
            <w:pPr>
              <w:pStyle w:val="TableParagraph"/>
              <w:spacing w:line="276" w:lineRule="auto"/>
              <w:ind w:right="231"/>
              <w:rPr>
                <w:szCs w:val="20"/>
                <w:lang w:val="fr-FR"/>
              </w:rPr>
            </w:pPr>
          </w:p>
          <w:p w14:paraId="06C59356" w14:textId="77777777" w:rsidR="00F42DAB" w:rsidRPr="00730A4A" w:rsidRDefault="00F42DAB" w:rsidP="00730A4A">
            <w:pPr>
              <w:pStyle w:val="TableParagraph"/>
              <w:spacing w:line="276" w:lineRule="auto"/>
              <w:ind w:right="231"/>
              <w:rPr>
                <w:szCs w:val="20"/>
              </w:rPr>
            </w:pPr>
            <w:r w:rsidRPr="00730A4A">
              <w:rPr>
                <w:szCs w:val="20"/>
              </w:rPr>
              <w:t>Qualité de l’eau</w:t>
            </w:r>
          </w:p>
        </w:tc>
        <w:tc>
          <w:tcPr>
            <w:tcW w:w="2271" w:type="dxa"/>
            <w:shd w:val="clear" w:color="auto" w:fill="auto"/>
          </w:tcPr>
          <w:p w14:paraId="64B1F759" w14:textId="77777777" w:rsidR="00F42DAB" w:rsidRPr="00730A4A" w:rsidRDefault="00F42DAB" w:rsidP="00730A4A">
            <w:pPr>
              <w:pStyle w:val="TableParagraph"/>
              <w:spacing w:line="276" w:lineRule="auto"/>
              <w:ind w:right="172"/>
              <w:rPr>
                <w:szCs w:val="20"/>
                <w:lang w:val="fr-FR"/>
              </w:rPr>
            </w:pPr>
          </w:p>
          <w:p w14:paraId="1A6AF883" w14:textId="77777777" w:rsidR="00F42DAB" w:rsidRPr="00730A4A" w:rsidRDefault="00F42DAB" w:rsidP="00730A4A">
            <w:pPr>
              <w:pStyle w:val="TableParagraph"/>
              <w:spacing w:line="276" w:lineRule="auto"/>
              <w:ind w:right="172"/>
              <w:rPr>
                <w:szCs w:val="20"/>
                <w:lang w:val="fr-FR"/>
              </w:rPr>
            </w:pPr>
          </w:p>
          <w:p w14:paraId="14CC71A4" w14:textId="77777777" w:rsidR="00F42DAB" w:rsidRPr="00730A4A" w:rsidRDefault="00F42DAB" w:rsidP="00730A4A">
            <w:pPr>
              <w:pStyle w:val="TableParagraph"/>
              <w:spacing w:line="276" w:lineRule="auto"/>
              <w:ind w:right="172"/>
              <w:rPr>
                <w:szCs w:val="20"/>
                <w:lang w:val="fr-FR"/>
              </w:rPr>
            </w:pPr>
          </w:p>
          <w:p w14:paraId="02304EF6" w14:textId="77777777" w:rsidR="00F42DAB" w:rsidRPr="00730A4A" w:rsidRDefault="00F42DAB" w:rsidP="00730A4A">
            <w:pPr>
              <w:pStyle w:val="TableParagraph"/>
              <w:spacing w:line="276" w:lineRule="auto"/>
              <w:ind w:right="172"/>
              <w:rPr>
                <w:szCs w:val="20"/>
                <w:lang w:val="fr-FR"/>
              </w:rPr>
            </w:pPr>
          </w:p>
          <w:p w14:paraId="1251F78E" w14:textId="77777777" w:rsidR="00F42DAB" w:rsidRPr="00730A4A" w:rsidRDefault="00F42DAB" w:rsidP="00730A4A">
            <w:pPr>
              <w:pStyle w:val="TableParagraph"/>
              <w:spacing w:line="276" w:lineRule="auto"/>
              <w:ind w:right="172"/>
              <w:rPr>
                <w:szCs w:val="20"/>
                <w:lang w:val="fr-FR"/>
              </w:rPr>
            </w:pPr>
          </w:p>
          <w:p w14:paraId="6D92C14D" w14:textId="77777777" w:rsidR="00F42DAB" w:rsidRPr="00730A4A" w:rsidRDefault="00F42DAB" w:rsidP="00730A4A">
            <w:pPr>
              <w:pStyle w:val="TableParagraph"/>
              <w:spacing w:line="276" w:lineRule="auto"/>
              <w:ind w:right="172"/>
              <w:rPr>
                <w:szCs w:val="20"/>
                <w:lang w:val="fr-FR"/>
              </w:rPr>
            </w:pPr>
          </w:p>
          <w:p w14:paraId="320E9917" w14:textId="77777777" w:rsidR="00F42DAB" w:rsidRPr="00730A4A" w:rsidRDefault="00F42DAB" w:rsidP="00730A4A">
            <w:pPr>
              <w:pStyle w:val="TableParagraph"/>
              <w:spacing w:line="276" w:lineRule="auto"/>
              <w:ind w:right="172"/>
              <w:rPr>
                <w:szCs w:val="20"/>
                <w:lang w:val="fr-FR"/>
              </w:rPr>
            </w:pPr>
          </w:p>
          <w:p w14:paraId="7513D368" w14:textId="77777777" w:rsidR="00F42DAB" w:rsidRPr="00730A4A" w:rsidRDefault="00F42DAB" w:rsidP="00730A4A">
            <w:pPr>
              <w:pStyle w:val="TableParagraph"/>
              <w:spacing w:line="276" w:lineRule="auto"/>
              <w:ind w:right="172"/>
              <w:rPr>
                <w:szCs w:val="20"/>
                <w:lang w:val="fr-FR"/>
              </w:rPr>
            </w:pPr>
            <w:r w:rsidRPr="00730A4A">
              <w:rPr>
                <w:szCs w:val="20"/>
                <w:lang w:val="fr-FR"/>
              </w:rPr>
              <w:t>Augmentation de la turbidité de l’eau.</w:t>
            </w:r>
          </w:p>
          <w:p w14:paraId="14A224A3" w14:textId="77777777" w:rsidR="00F42DAB" w:rsidRPr="00730A4A" w:rsidRDefault="00F42DAB" w:rsidP="0092469F">
            <w:pPr>
              <w:rPr>
                <w:rFonts w:cs="Arial"/>
                <w:sz w:val="22"/>
                <w:szCs w:val="20"/>
                <w:lang w:eastAsia="en-US"/>
              </w:rPr>
            </w:pPr>
          </w:p>
          <w:p w14:paraId="2B642B67" w14:textId="77777777" w:rsidR="00F42DAB" w:rsidRPr="00730A4A" w:rsidRDefault="00F42DAB" w:rsidP="00730A4A">
            <w:pPr>
              <w:ind w:left="249"/>
              <w:jc w:val="left"/>
              <w:rPr>
                <w:rFonts w:cs="Arial"/>
                <w:sz w:val="22"/>
                <w:szCs w:val="20"/>
                <w:lang w:eastAsia="en-US"/>
              </w:rPr>
            </w:pPr>
          </w:p>
        </w:tc>
        <w:tc>
          <w:tcPr>
            <w:tcW w:w="4975" w:type="dxa"/>
            <w:shd w:val="clear" w:color="auto" w:fill="auto"/>
          </w:tcPr>
          <w:p w14:paraId="3CE1CC0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des mesures appropriées de contrôle de l’érosion et de la charge en sédiments (par exemple branchages, ensemencement, barrières dans les tranchées, sacs de sable, géotextile, bottes de pailles, pierres, barrières recouvertes de tissus filtrants) ;</w:t>
            </w:r>
          </w:p>
          <w:p w14:paraId="3D5C4E6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Limiter au strict nécessaire les superficies qui devront être défrichées ainsi que le décapage, le déblayage, le remblayage et le nivellement des aires de travail ;</w:t>
            </w:r>
          </w:p>
          <w:p w14:paraId="1938B1E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Stabiliser les berges, les rives et les pentes abruptes une fois les travaux terminés ;</w:t>
            </w:r>
          </w:p>
          <w:p w14:paraId="2F0E387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Conserver la végétation à proximité des cours d’eau ;</w:t>
            </w:r>
          </w:p>
          <w:p w14:paraId="4F98507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Éviter tout déversement de terre dans les cours d’eau ;</w:t>
            </w:r>
          </w:p>
          <w:p w14:paraId="2153EA6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Éviter les travaux de terrassement en période de pluie ;</w:t>
            </w:r>
          </w:p>
          <w:p w14:paraId="2B535C76" w14:textId="77777777" w:rsidR="00F42DAB" w:rsidRPr="00730A4A" w:rsidRDefault="00F42DAB" w:rsidP="00730A4A">
            <w:pPr>
              <w:pStyle w:val="TableParagraph"/>
              <w:autoSpaceDE w:val="0"/>
              <w:autoSpaceDN w:val="0"/>
              <w:spacing w:line="276" w:lineRule="auto"/>
              <w:ind w:left="164" w:right="97"/>
              <w:jc w:val="both"/>
              <w:rPr>
                <w:szCs w:val="20"/>
                <w:lang w:val="fr-FR"/>
              </w:rPr>
            </w:pPr>
            <w:r w:rsidRPr="00730A4A">
              <w:rPr>
                <w:szCs w:val="20"/>
                <w:lang w:val="fr-FR"/>
              </w:rPr>
              <w:t>Prévoir une zone tampon entre les dépôts de terre, de matériaux dangereux, de déchets et la berge des cours d’eau</w:t>
            </w:r>
          </w:p>
        </w:tc>
        <w:tc>
          <w:tcPr>
            <w:tcW w:w="2144" w:type="dxa"/>
            <w:shd w:val="clear" w:color="auto" w:fill="auto"/>
          </w:tcPr>
          <w:p w14:paraId="380EF0D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30391C2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19F9CDA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RVF</w:t>
            </w:r>
          </w:p>
        </w:tc>
      </w:tr>
      <w:tr w:rsidR="00BB0401" w:rsidRPr="00C54132" w14:paraId="475F22A6" w14:textId="77777777" w:rsidTr="00730A4A">
        <w:trPr>
          <w:trHeight w:val="699"/>
        </w:trPr>
        <w:tc>
          <w:tcPr>
            <w:tcW w:w="1806" w:type="dxa"/>
            <w:vMerge/>
            <w:shd w:val="clear" w:color="auto" w:fill="auto"/>
          </w:tcPr>
          <w:p w14:paraId="79732A47" w14:textId="77777777" w:rsidR="00F42DAB" w:rsidRPr="00730A4A" w:rsidRDefault="00F42DAB" w:rsidP="0092469F">
            <w:pPr>
              <w:rPr>
                <w:rFonts w:cs="Arial"/>
                <w:sz w:val="22"/>
                <w:szCs w:val="20"/>
              </w:rPr>
            </w:pPr>
          </w:p>
        </w:tc>
        <w:tc>
          <w:tcPr>
            <w:tcW w:w="2271" w:type="dxa"/>
            <w:shd w:val="clear" w:color="auto" w:fill="auto"/>
          </w:tcPr>
          <w:p w14:paraId="5229D56F" w14:textId="77777777" w:rsidR="00F42DAB" w:rsidRPr="00730A4A" w:rsidRDefault="00F42DAB" w:rsidP="00730A4A">
            <w:pPr>
              <w:jc w:val="left"/>
              <w:rPr>
                <w:rFonts w:cs="Arial"/>
                <w:color w:val="000000"/>
                <w:sz w:val="22"/>
                <w:szCs w:val="20"/>
              </w:rPr>
            </w:pPr>
          </w:p>
          <w:p w14:paraId="29EDF60B" w14:textId="77777777" w:rsidR="00F42DAB" w:rsidRPr="00730A4A" w:rsidRDefault="00F42DAB" w:rsidP="00730A4A">
            <w:pPr>
              <w:jc w:val="left"/>
              <w:rPr>
                <w:rFonts w:cs="Arial"/>
                <w:color w:val="000000"/>
                <w:sz w:val="22"/>
                <w:szCs w:val="20"/>
              </w:rPr>
            </w:pPr>
          </w:p>
          <w:p w14:paraId="2904BAFF" w14:textId="77777777" w:rsidR="00F42DAB" w:rsidRPr="00730A4A" w:rsidRDefault="00F42DAB" w:rsidP="00730A4A">
            <w:pPr>
              <w:jc w:val="left"/>
              <w:rPr>
                <w:rFonts w:cs="Arial"/>
                <w:color w:val="000000"/>
                <w:sz w:val="22"/>
                <w:szCs w:val="20"/>
              </w:rPr>
            </w:pPr>
          </w:p>
          <w:p w14:paraId="3586888D" w14:textId="77777777" w:rsidR="00F42DAB" w:rsidRPr="00730A4A" w:rsidRDefault="00F42DAB" w:rsidP="00730A4A">
            <w:pPr>
              <w:jc w:val="left"/>
              <w:rPr>
                <w:rFonts w:cs="Arial"/>
                <w:color w:val="000000"/>
                <w:sz w:val="22"/>
                <w:szCs w:val="20"/>
              </w:rPr>
            </w:pPr>
          </w:p>
          <w:p w14:paraId="053160BE" w14:textId="77777777" w:rsidR="00F42DAB" w:rsidRPr="00730A4A" w:rsidRDefault="00F42DAB" w:rsidP="00730A4A">
            <w:pPr>
              <w:jc w:val="left"/>
              <w:rPr>
                <w:rFonts w:cs="Arial"/>
                <w:color w:val="000000"/>
                <w:sz w:val="22"/>
                <w:szCs w:val="20"/>
              </w:rPr>
            </w:pPr>
          </w:p>
          <w:p w14:paraId="5259127E" w14:textId="77777777" w:rsidR="00F42DAB" w:rsidRPr="00730A4A" w:rsidRDefault="00F42DAB" w:rsidP="00730A4A">
            <w:pPr>
              <w:jc w:val="left"/>
              <w:rPr>
                <w:rFonts w:cs="Arial"/>
                <w:color w:val="000000"/>
                <w:sz w:val="22"/>
                <w:szCs w:val="20"/>
              </w:rPr>
            </w:pPr>
            <w:r w:rsidRPr="00730A4A">
              <w:rPr>
                <w:rFonts w:cs="Arial"/>
                <w:color w:val="000000"/>
                <w:sz w:val="22"/>
                <w:szCs w:val="20"/>
              </w:rPr>
              <w:t>Risque de contamination d’eau de surface et souterraine suite à l’utilisation non rationnelle des produits chimiques (engrais et pesticides) </w:t>
            </w:r>
          </w:p>
          <w:p w14:paraId="3E2751D4" w14:textId="77777777" w:rsidR="00F42DAB" w:rsidRPr="00730A4A" w:rsidRDefault="00F42DAB" w:rsidP="00730A4A">
            <w:pPr>
              <w:pStyle w:val="TableParagraph"/>
              <w:spacing w:line="276" w:lineRule="auto"/>
              <w:ind w:right="228"/>
              <w:rPr>
                <w:szCs w:val="20"/>
                <w:lang w:val="fr-FR"/>
              </w:rPr>
            </w:pPr>
          </w:p>
        </w:tc>
        <w:tc>
          <w:tcPr>
            <w:tcW w:w="4975" w:type="dxa"/>
            <w:shd w:val="clear" w:color="auto" w:fill="auto"/>
          </w:tcPr>
          <w:p w14:paraId="057AF4A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un Plan de Gestion de Pesticides (PGP) ;</w:t>
            </w:r>
          </w:p>
          <w:p w14:paraId="59078A5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Entreposer et utiliser les substances polluantes dans des aires confinées avec dallage imperméable pour éviter ou réduire les risques de migration des contaminants vers les eaux de surface et souterraines ;</w:t>
            </w:r>
          </w:p>
          <w:p w14:paraId="115250B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Prévoir des mesures en cas de contamination accidentelle (élaborer un plan d’urgence, incluant les mesures de confinement et de récupération ainsi que la formation des utilisateurs) ;</w:t>
            </w:r>
          </w:p>
          <w:p w14:paraId="1DEF700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Tester le plan de mesures d’urgence ;</w:t>
            </w:r>
          </w:p>
          <w:p w14:paraId="05A94D1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Vérifier le bon état de la machinerie, des contenants afin d’éviter les fuites et les déversements de matières dangereuses (hydrocarbures, pesticides et autres produits chimiques, etc.) ;</w:t>
            </w:r>
          </w:p>
          <w:p w14:paraId="4AFFBDC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Prendre toutes les précautions possibles lors du ravitaillement des véhicules de transport et de la machinerie sur le site des travaux afin d’éviter les déversements accidentels ;</w:t>
            </w:r>
          </w:p>
          <w:p w14:paraId="501F70C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Interdire le ravitaillement de la machinerie et la manipulation des produits toxiques à moins de 20 m des cours d’eau ;</w:t>
            </w:r>
          </w:p>
          <w:p w14:paraId="6135553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Interdire le lavage des contenants vides des produits toxiques et polluants dans les cours d’eau.</w:t>
            </w:r>
          </w:p>
        </w:tc>
        <w:tc>
          <w:tcPr>
            <w:tcW w:w="2144" w:type="dxa"/>
            <w:shd w:val="clear" w:color="auto" w:fill="auto"/>
          </w:tcPr>
          <w:p w14:paraId="5612BBD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27BC8B3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073640C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RVF</w:t>
            </w:r>
          </w:p>
        </w:tc>
      </w:tr>
      <w:tr w:rsidR="00BB0401" w:rsidRPr="00C54132" w14:paraId="672FA1BF" w14:textId="77777777" w:rsidTr="00730A4A">
        <w:trPr>
          <w:trHeight w:val="2296"/>
        </w:trPr>
        <w:tc>
          <w:tcPr>
            <w:tcW w:w="1806" w:type="dxa"/>
            <w:vMerge w:val="restart"/>
            <w:shd w:val="clear" w:color="auto" w:fill="auto"/>
          </w:tcPr>
          <w:p w14:paraId="27C121C8" w14:textId="77777777" w:rsidR="00F42DAB" w:rsidRPr="00730A4A" w:rsidRDefault="00F42DAB" w:rsidP="00730A4A">
            <w:pPr>
              <w:pStyle w:val="TableParagraph"/>
              <w:spacing w:line="276" w:lineRule="auto"/>
              <w:ind w:right="231"/>
              <w:rPr>
                <w:szCs w:val="20"/>
                <w:lang w:val="fr-FR"/>
              </w:rPr>
            </w:pPr>
          </w:p>
          <w:p w14:paraId="3739C994" w14:textId="77777777" w:rsidR="00F42DAB" w:rsidRPr="00730A4A" w:rsidRDefault="00F42DAB" w:rsidP="00730A4A">
            <w:pPr>
              <w:pStyle w:val="TableParagraph"/>
              <w:spacing w:line="276" w:lineRule="auto"/>
              <w:ind w:right="231"/>
              <w:rPr>
                <w:szCs w:val="20"/>
                <w:lang w:val="fr-FR"/>
              </w:rPr>
            </w:pPr>
          </w:p>
          <w:p w14:paraId="3EF6F707" w14:textId="77777777" w:rsidR="00F42DAB" w:rsidRPr="00730A4A" w:rsidRDefault="00F42DAB" w:rsidP="00730A4A">
            <w:pPr>
              <w:pStyle w:val="TableParagraph"/>
              <w:spacing w:line="276" w:lineRule="auto"/>
              <w:ind w:right="231"/>
              <w:rPr>
                <w:szCs w:val="20"/>
                <w:lang w:val="fr-FR"/>
              </w:rPr>
            </w:pPr>
          </w:p>
          <w:p w14:paraId="236F8D3A" w14:textId="77777777" w:rsidR="00F42DAB" w:rsidRPr="00730A4A" w:rsidRDefault="00F42DAB" w:rsidP="00730A4A">
            <w:pPr>
              <w:pStyle w:val="TableParagraph"/>
              <w:spacing w:line="276" w:lineRule="auto"/>
              <w:ind w:right="231"/>
              <w:rPr>
                <w:szCs w:val="20"/>
                <w:lang w:val="fr-FR"/>
              </w:rPr>
            </w:pPr>
          </w:p>
          <w:p w14:paraId="0989C111" w14:textId="77777777" w:rsidR="00F42DAB" w:rsidRPr="00730A4A" w:rsidRDefault="00F42DAB" w:rsidP="00730A4A">
            <w:pPr>
              <w:pStyle w:val="TableParagraph"/>
              <w:spacing w:line="276" w:lineRule="auto"/>
              <w:ind w:right="231"/>
              <w:rPr>
                <w:szCs w:val="20"/>
                <w:lang w:val="fr-FR"/>
              </w:rPr>
            </w:pPr>
          </w:p>
          <w:p w14:paraId="04C0583C" w14:textId="77777777" w:rsidR="00F42DAB" w:rsidRPr="00730A4A" w:rsidRDefault="00F42DAB" w:rsidP="00730A4A">
            <w:pPr>
              <w:pStyle w:val="TableParagraph"/>
              <w:spacing w:line="276" w:lineRule="auto"/>
              <w:ind w:right="231"/>
              <w:rPr>
                <w:szCs w:val="20"/>
                <w:lang w:val="fr-FR"/>
              </w:rPr>
            </w:pPr>
          </w:p>
          <w:p w14:paraId="6205ABF8" w14:textId="77777777" w:rsidR="00F42DAB" w:rsidRPr="00730A4A" w:rsidRDefault="00F42DAB" w:rsidP="00730A4A">
            <w:pPr>
              <w:pStyle w:val="TableParagraph"/>
              <w:spacing w:line="276" w:lineRule="auto"/>
              <w:ind w:right="231"/>
              <w:rPr>
                <w:szCs w:val="20"/>
                <w:lang w:val="fr-FR"/>
              </w:rPr>
            </w:pPr>
          </w:p>
          <w:p w14:paraId="0EA32F73" w14:textId="77777777" w:rsidR="00F42DAB" w:rsidRPr="00730A4A" w:rsidRDefault="00F42DAB" w:rsidP="00730A4A">
            <w:pPr>
              <w:pStyle w:val="TableParagraph"/>
              <w:spacing w:line="276" w:lineRule="auto"/>
              <w:ind w:right="231"/>
              <w:rPr>
                <w:szCs w:val="20"/>
                <w:lang w:val="fr-FR"/>
              </w:rPr>
            </w:pPr>
          </w:p>
          <w:p w14:paraId="256006E7" w14:textId="77777777" w:rsidR="00F42DAB" w:rsidRPr="00730A4A" w:rsidRDefault="00F42DAB" w:rsidP="00730A4A">
            <w:pPr>
              <w:pStyle w:val="TableParagraph"/>
              <w:spacing w:line="276" w:lineRule="auto"/>
              <w:ind w:right="231"/>
              <w:rPr>
                <w:szCs w:val="20"/>
                <w:lang w:val="fr-FR"/>
              </w:rPr>
            </w:pPr>
          </w:p>
          <w:p w14:paraId="6FF58144" w14:textId="77777777" w:rsidR="00F42DAB" w:rsidRPr="00730A4A" w:rsidRDefault="00F42DAB" w:rsidP="00730A4A">
            <w:pPr>
              <w:pStyle w:val="TableParagraph"/>
              <w:spacing w:line="276" w:lineRule="auto"/>
              <w:ind w:right="231"/>
              <w:rPr>
                <w:szCs w:val="20"/>
              </w:rPr>
            </w:pPr>
            <w:r w:rsidRPr="00730A4A">
              <w:rPr>
                <w:szCs w:val="20"/>
              </w:rPr>
              <w:t>Régime hydrologique</w:t>
            </w:r>
          </w:p>
        </w:tc>
        <w:tc>
          <w:tcPr>
            <w:tcW w:w="2271" w:type="dxa"/>
            <w:shd w:val="clear" w:color="auto" w:fill="auto"/>
          </w:tcPr>
          <w:p w14:paraId="386CF422" w14:textId="77777777" w:rsidR="00F42DAB" w:rsidRPr="00730A4A" w:rsidRDefault="00F42DAB" w:rsidP="00730A4A">
            <w:pPr>
              <w:pStyle w:val="TableParagraph"/>
              <w:spacing w:line="276" w:lineRule="auto"/>
              <w:rPr>
                <w:w w:val="95"/>
                <w:szCs w:val="20"/>
              </w:rPr>
            </w:pPr>
          </w:p>
          <w:p w14:paraId="46DE7B84" w14:textId="77777777" w:rsidR="00F42DAB" w:rsidRPr="00730A4A" w:rsidRDefault="00F42DAB" w:rsidP="00730A4A">
            <w:pPr>
              <w:pStyle w:val="TableParagraph"/>
              <w:spacing w:line="276" w:lineRule="auto"/>
              <w:rPr>
                <w:w w:val="95"/>
                <w:szCs w:val="20"/>
              </w:rPr>
            </w:pPr>
          </w:p>
          <w:p w14:paraId="60355583" w14:textId="77777777" w:rsidR="00F42DAB" w:rsidRPr="00730A4A" w:rsidRDefault="00F42DAB" w:rsidP="00730A4A">
            <w:pPr>
              <w:pStyle w:val="TableParagraph"/>
              <w:spacing w:line="276" w:lineRule="auto"/>
              <w:rPr>
                <w:w w:val="95"/>
                <w:szCs w:val="20"/>
              </w:rPr>
            </w:pPr>
          </w:p>
          <w:p w14:paraId="791E6544" w14:textId="77777777" w:rsidR="00F42DAB" w:rsidRPr="00730A4A" w:rsidRDefault="00F42DAB" w:rsidP="00730A4A">
            <w:pPr>
              <w:pStyle w:val="TableParagraph"/>
              <w:spacing w:line="276" w:lineRule="auto"/>
              <w:rPr>
                <w:szCs w:val="20"/>
              </w:rPr>
            </w:pPr>
            <w:r w:rsidRPr="00730A4A">
              <w:rPr>
                <w:w w:val="95"/>
                <w:szCs w:val="20"/>
              </w:rPr>
              <w:t xml:space="preserve">Modification du </w:t>
            </w:r>
            <w:r w:rsidRPr="00730A4A">
              <w:rPr>
                <w:szCs w:val="20"/>
              </w:rPr>
              <w:t>drainage.</w:t>
            </w:r>
          </w:p>
        </w:tc>
        <w:tc>
          <w:tcPr>
            <w:tcW w:w="4975" w:type="dxa"/>
            <w:shd w:val="clear" w:color="auto" w:fill="auto"/>
          </w:tcPr>
          <w:p w14:paraId="1E1FEA6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Éviter les travaux de terrassement et de creusage en période pluvieuse ;</w:t>
            </w:r>
          </w:p>
          <w:p w14:paraId="496F245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Ne pas entraver le drainage des eaux de surface et prévoir des mesures de rétablissement du drainage naturel des eaux après les travaux ;</w:t>
            </w:r>
          </w:p>
          <w:p w14:paraId="47D1F1A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Respecter le drainage superficiel en tout temps ;</w:t>
            </w:r>
          </w:p>
          <w:p w14:paraId="5C314C0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Orienter les eaux de ruissellement et de drainage de façon à ce qu’elles contournent le site des travaux et ne nuisent pas aux populations.</w:t>
            </w:r>
          </w:p>
        </w:tc>
        <w:tc>
          <w:tcPr>
            <w:tcW w:w="2144" w:type="dxa"/>
            <w:shd w:val="clear" w:color="auto" w:fill="auto"/>
          </w:tcPr>
          <w:p w14:paraId="6A3F25C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139A013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162D695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RVF</w:t>
            </w:r>
          </w:p>
        </w:tc>
      </w:tr>
      <w:tr w:rsidR="00BB0401" w:rsidRPr="00C54132" w14:paraId="1E9EC335" w14:textId="77777777" w:rsidTr="00730A4A">
        <w:trPr>
          <w:trHeight w:val="2805"/>
        </w:trPr>
        <w:tc>
          <w:tcPr>
            <w:tcW w:w="1806" w:type="dxa"/>
            <w:vMerge/>
            <w:shd w:val="clear" w:color="auto" w:fill="auto"/>
          </w:tcPr>
          <w:p w14:paraId="295D067D" w14:textId="77777777" w:rsidR="00F42DAB" w:rsidRPr="00730A4A" w:rsidRDefault="00F42DAB" w:rsidP="0092469F">
            <w:pPr>
              <w:rPr>
                <w:rFonts w:cs="Arial"/>
                <w:sz w:val="22"/>
                <w:szCs w:val="20"/>
              </w:rPr>
            </w:pPr>
          </w:p>
        </w:tc>
        <w:tc>
          <w:tcPr>
            <w:tcW w:w="2271" w:type="dxa"/>
            <w:shd w:val="clear" w:color="auto" w:fill="auto"/>
          </w:tcPr>
          <w:p w14:paraId="70CEA4AD" w14:textId="77777777" w:rsidR="00F42DAB" w:rsidRPr="00730A4A" w:rsidRDefault="00F42DAB" w:rsidP="00730A4A">
            <w:pPr>
              <w:pStyle w:val="TableParagraph"/>
              <w:spacing w:line="276" w:lineRule="auto"/>
              <w:ind w:right="505"/>
              <w:jc w:val="both"/>
              <w:rPr>
                <w:szCs w:val="20"/>
                <w:lang w:val="fr-FR"/>
              </w:rPr>
            </w:pPr>
          </w:p>
          <w:p w14:paraId="429074B0" w14:textId="77777777" w:rsidR="00F42DAB" w:rsidRPr="00730A4A" w:rsidRDefault="00F42DAB" w:rsidP="00730A4A">
            <w:pPr>
              <w:pStyle w:val="TableParagraph"/>
              <w:spacing w:line="276" w:lineRule="auto"/>
              <w:ind w:right="505"/>
              <w:jc w:val="both"/>
              <w:rPr>
                <w:szCs w:val="20"/>
                <w:lang w:val="fr-FR"/>
              </w:rPr>
            </w:pPr>
          </w:p>
          <w:p w14:paraId="3AD956E2" w14:textId="77777777" w:rsidR="00F42DAB" w:rsidRPr="00730A4A" w:rsidRDefault="00F42DAB" w:rsidP="00730A4A">
            <w:pPr>
              <w:pStyle w:val="TableParagraph"/>
              <w:spacing w:line="276" w:lineRule="auto"/>
              <w:ind w:right="505"/>
              <w:jc w:val="both"/>
              <w:rPr>
                <w:szCs w:val="20"/>
                <w:lang w:val="fr-FR"/>
              </w:rPr>
            </w:pPr>
          </w:p>
          <w:p w14:paraId="3EE6F8DD" w14:textId="77777777" w:rsidR="00F42DAB" w:rsidRPr="00730A4A" w:rsidRDefault="00F42DAB" w:rsidP="00730A4A">
            <w:pPr>
              <w:pStyle w:val="TableParagraph"/>
              <w:spacing w:line="276" w:lineRule="auto"/>
              <w:ind w:right="505"/>
              <w:jc w:val="both"/>
              <w:rPr>
                <w:szCs w:val="20"/>
                <w:lang w:val="fr-FR"/>
              </w:rPr>
            </w:pPr>
          </w:p>
          <w:p w14:paraId="3DE60B2E" w14:textId="77777777" w:rsidR="00F42DAB" w:rsidRPr="00730A4A" w:rsidRDefault="00F42DAB" w:rsidP="00730A4A">
            <w:pPr>
              <w:pStyle w:val="TableParagraph"/>
              <w:spacing w:line="276" w:lineRule="auto"/>
              <w:ind w:right="505"/>
              <w:jc w:val="both"/>
              <w:rPr>
                <w:szCs w:val="20"/>
                <w:lang w:val="fr-FR"/>
              </w:rPr>
            </w:pPr>
            <w:r w:rsidRPr="00730A4A">
              <w:rPr>
                <w:szCs w:val="20"/>
                <w:lang w:val="fr-FR"/>
              </w:rPr>
              <w:t xml:space="preserve">Modification de </w:t>
            </w:r>
            <w:r w:rsidRPr="00730A4A">
              <w:rPr>
                <w:w w:val="95"/>
                <w:szCs w:val="20"/>
                <w:lang w:val="fr-FR"/>
              </w:rPr>
              <w:t xml:space="preserve">l’écoulement </w:t>
            </w:r>
            <w:r w:rsidRPr="00730A4A">
              <w:rPr>
                <w:spacing w:val="-4"/>
                <w:w w:val="95"/>
                <w:szCs w:val="20"/>
                <w:lang w:val="fr-FR"/>
              </w:rPr>
              <w:t xml:space="preserve">des </w:t>
            </w:r>
            <w:r w:rsidRPr="00730A4A">
              <w:rPr>
                <w:szCs w:val="20"/>
                <w:lang w:val="fr-FR"/>
              </w:rPr>
              <w:t>eaux de</w:t>
            </w:r>
            <w:r w:rsidRPr="00730A4A">
              <w:rPr>
                <w:spacing w:val="-44"/>
                <w:szCs w:val="20"/>
                <w:lang w:val="fr-FR"/>
              </w:rPr>
              <w:t xml:space="preserve"> </w:t>
            </w:r>
            <w:r w:rsidRPr="00730A4A">
              <w:rPr>
                <w:szCs w:val="20"/>
                <w:lang w:val="fr-FR"/>
              </w:rPr>
              <w:t>surface.</w:t>
            </w:r>
          </w:p>
        </w:tc>
        <w:tc>
          <w:tcPr>
            <w:tcW w:w="4975" w:type="dxa"/>
            <w:shd w:val="clear" w:color="auto" w:fill="auto"/>
          </w:tcPr>
          <w:p w14:paraId="3D47B5D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Utiliser des moyens appropriés (buses par exemple) quand cela est nécessaire, pour maintenir un débit laminaire d’écoulement de l’eau et limiter la perturbation de l’écoulement des eaux aux traversées de cours d’eau ;</w:t>
            </w:r>
          </w:p>
          <w:p w14:paraId="0317893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Éviter de créer des zones d’eau stagnante ;</w:t>
            </w:r>
          </w:p>
          <w:p w14:paraId="38F7DED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Éviter d’obstruer les cours d’eau, les fossés ou tout autre canal ;</w:t>
            </w:r>
          </w:p>
          <w:p w14:paraId="182CD27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Enlever tout débris qui entrave l’écoulement normal des eaux de surface ;</w:t>
            </w:r>
          </w:p>
          <w:p w14:paraId="0A9339D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Rétablir, s’il y a lieu, l’écoulement normal des cours d’eau et remettre le lit et les berges dans son état original.</w:t>
            </w:r>
          </w:p>
        </w:tc>
        <w:tc>
          <w:tcPr>
            <w:tcW w:w="2144" w:type="dxa"/>
            <w:shd w:val="clear" w:color="auto" w:fill="auto"/>
          </w:tcPr>
          <w:p w14:paraId="4D1D897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012FC78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2106D82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RVF</w:t>
            </w:r>
          </w:p>
        </w:tc>
      </w:tr>
      <w:tr w:rsidR="00BB0401" w:rsidRPr="00C54132" w14:paraId="5312F4E4" w14:textId="77777777" w:rsidTr="00730A4A">
        <w:trPr>
          <w:trHeight w:val="699"/>
        </w:trPr>
        <w:tc>
          <w:tcPr>
            <w:tcW w:w="1806" w:type="dxa"/>
            <w:shd w:val="clear" w:color="auto" w:fill="auto"/>
          </w:tcPr>
          <w:p w14:paraId="4BB39D56" w14:textId="77777777" w:rsidR="00F42DAB" w:rsidRPr="00730A4A" w:rsidRDefault="00F42DAB" w:rsidP="00730A4A">
            <w:pPr>
              <w:pStyle w:val="TableParagraph"/>
              <w:spacing w:line="276" w:lineRule="auto"/>
              <w:ind w:right="231"/>
              <w:rPr>
                <w:szCs w:val="20"/>
                <w:lang w:val="fr-FR"/>
              </w:rPr>
            </w:pPr>
          </w:p>
          <w:p w14:paraId="44A7BC9A" w14:textId="77777777" w:rsidR="00F42DAB" w:rsidRPr="00730A4A" w:rsidRDefault="00F42DAB" w:rsidP="00730A4A">
            <w:pPr>
              <w:pStyle w:val="TableParagraph"/>
              <w:spacing w:line="276" w:lineRule="auto"/>
              <w:ind w:right="231"/>
              <w:rPr>
                <w:szCs w:val="20"/>
                <w:lang w:val="fr-FR"/>
              </w:rPr>
            </w:pPr>
          </w:p>
          <w:p w14:paraId="71FB45B2" w14:textId="77777777" w:rsidR="00F42DAB" w:rsidRPr="00730A4A" w:rsidRDefault="00F42DAB" w:rsidP="00730A4A">
            <w:pPr>
              <w:pStyle w:val="TableParagraph"/>
              <w:spacing w:line="276" w:lineRule="auto"/>
              <w:ind w:right="231"/>
              <w:rPr>
                <w:szCs w:val="20"/>
                <w:lang w:val="fr-FR"/>
              </w:rPr>
            </w:pPr>
          </w:p>
          <w:p w14:paraId="4FADB121" w14:textId="77777777" w:rsidR="00F42DAB" w:rsidRPr="00730A4A" w:rsidRDefault="00F42DAB" w:rsidP="00730A4A">
            <w:pPr>
              <w:pStyle w:val="TableParagraph"/>
              <w:spacing w:line="276" w:lineRule="auto"/>
              <w:ind w:right="231"/>
              <w:rPr>
                <w:szCs w:val="20"/>
                <w:lang w:val="fr-FR"/>
              </w:rPr>
            </w:pPr>
          </w:p>
          <w:p w14:paraId="55711561" w14:textId="77777777" w:rsidR="00F42DAB" w:rsidRPr="00730A4A" w:rsidRDefault="00F42DAB" w:rsidP="00730A4A">
            <w:pPr>
              <w:pStyle w:val="TableParagraph"/>
              <w:spacing w:line="276" w:lineRule="auto"/>
              <w:ind w:right="231"/>
              <w:rPr>
                <w:szCs w:val="20"/>
                <w:lang w:val="fr-FR"/>
              </w:rPr>
            </w:pPr>
          </w:p>
          <w:p w14:paraId="6E4E14A2" w14:textId="77777777" w:rsidR="00F42DAB" w:rsidRPr="00730A4A" w:rsidRDefault="00F42DAB" w:rsidP="00730A4A">
            <w:pPr>
              <w:pStyle w:val="TableParagraph"/>
              <w:spacing w:line="276" w:lineRule="auto"/>
              <w:ind w:right="231"/>
              <w:rPr>
                <w:szCs w:val="20"/>
                <w:lang w:val="fr-FR"/>
              </w:rPr>
            </w:pPr>
          </w:p>
          <w:p w14:paraId="447A885B" w14:textId="77777777" w:rsidR="00F42DAB" w:rsidRPr="00730A4A" w:rsidRDefault="00F42DAB" w:rsidP="00730A4A">
            <w:pPr>
              <w:pStyle w:val="TableParagraph"/>
              <w:spacing w:line="276" w:lineRule="auto"/>
              <w:ind w:right="231"/>
              <w:rPr>
                <w:szCs w:val="20"/>
                <w:lang w:val="fr-FR"/>
              </w:rPr>
            </w:pPr>
          </w:p>
          <w:p w14:paraId="2BCDEE7D" w14:textId="77777777" w:rsidR="00F42DAB" w:rsidRPr="00730A4A" w:rsidRDefault="00F42DAB" w:rsidP="00730A4A">
            <w:pPr>
              <w:pStyle w:val="TableParagraph"/>
              <w:spacing w:line="276" w:lineRule="auto"/>
              <w:ind w:right="231"/>
              <w:rPr>
                <w:szCs w:val="20"/>
              </w:rPr>
            </w:pPr>
            <w:r w:rsidRPr="00730A4A">
              <w:rPr>
                <w:szCs w:val="20"/>
              </w:rPr>
              <w:t>Qualité des sols</w:t>
            </w:r>
          </w:p>
        </w:tc>
        <w:tc>
          <w:tcPr>
            <w:tcW w:w="2271" w:type="dxa"/>
            <w:shd w:val="clear" w:color="auto" w:fill="auto"/>
          </w:tcPr>
          <w:p w14:paraId="16430CAD" w14:textId="77777777" w:rsidR="00F42DAB" w:rsidRPr="00730A4A" w:rsidRDefault="00F42DAB" w:rsidP="00730A4A">
            <w:pPr>
              <w:pStyle w:val="TableParagraph"/>
              <w:spacing w:line="276" w:lineRule="auto"/>
              <w:ind w:right="369"/>
              <w:rPr>
                <w:szCs w:val="20"/>
                <w:lang w:val="fr-FR"/>
              </w:rPr>
            </w:pPr>
          </w:p>
          <w:p w14:paraId="254A0577" w14:textId="77777777" w:rsidR="00F42DAB" w:rsidRPr="00730A4A" w:rsidRDefault="00F42DAB" w:rsidP="00730A4A">
            <w:pPr>
              <w:pStyle w:val="TableParagraph"/>
              <w:spacing w:line="276" w:lineRule="auto"/>
              <w:ind w:right="369"/>
              <w:rPr>
                <w:szCs w:val="20"/>
                <w:lang w:val="fr-FR"/>
              </w:rPr>
            </w:pPr>
          </w:p>
          <w:p w14:paraId="23C07E0C" w14:textId="77777777" w:rsidR="00F42DAB" w:rsidRPr="00730A4A" w:rsidRDefault="00F42DAB" w:rsidP="00730A4A">
            <w:pPr>
              <w:pStyle w:val="TableParagraph"/>
              <w:spacing w:line="276" w:lineRule="auto"/>
              <w:ind w:right="369"/>
              <w:rPr>
                <w:szCs w:val="20"/>
                <w:lang w:val="fr-FR"/>
              </w:rPr>
            </w:pPr>
          </w:p>
          <w:p w14:paraId="2AB067B4" w14:textId="77777777" w:rsidR="00F42DAB" w:rsidRPr="00730A4A" w:rsidRDefault="00F42DAB" w:rsidP="00730A4A">
            <w:pPr>
              <w:pStyle w:val="TableParagraph"/>
              <w:spacing w:line="276" w:lineRule="auto"/>
              <w:ind w:right="369"/>
              <w:rPr>
                <w:szCs w:val="20"/>
                <w:lang w:val="fr-FR"/>
              </w:rPr>
            </w:pPr>
          </w:p>
          <w:p w14:paraId="4C8739F5" w14:textId="77777777" w:rsidR="00F42DAB" w:rsidRPr="00730A4A" w:rsidRDefault="00F42DAB" w:rsidP="00730A4A">
            <w:pPr>
              <w:pStyle w:val="TableParagraph"/>
              <w:spacing w:line="276" w:lineRule="auto"/>
              <w:ind w:right="369"/>
              <w:rPr>
                <w:szCs w:val="20"/>
                <w:lang w:val="fr-FR"/>
              </w:rPr>
            </w:pPr>
          </w:p>
          <w:p w14:paraId="7AC75679" w14:textId="77777777" w:rsidR="00F42DAB" w:rsidRPr="00730A4A" w:rsidRDefault="00F42DAB" w:rsidP="00730A4A">
            <w:pPr>
              <w:pStyle w:val="TableParagraph"/>
              <w:spacing w:line="276" w:lineRule="auto"/>
              <w:ind w:right="369"/>
              <w:rPr>
                <w:szCs w:val="20"/>
                <w:lang w:val="fr-FR"/>
              </w:rPr>
            </w:pPr>
          </w:p>
          <w:p w14:paraId="4C4D646E" w14:textId="77777777" w:rsidR="00F42DAB" w:rsidRPr="00730A4A" w:rsidRDefault="00F42DAB" w:rsidP="00730A4A">
            <w:pPr>
              <w:pStyle w:val="TableParagraph"/>
              <w:spacing w:line="276" w:lineRule="auto"/>
              <w:ind w:right="369"/>
              <w:rPr>
                <w:szCs w:val="20"/>
                <w:lang w:val="fr-FR"/>
              </w:rPr>
            </w:pPr>
          </w:p>
          <w:p w14:paraId="5012AF32" w14:textId="77777777" w:rsidR="00F42DAB" w:rsidRPr="00730A4A" w:rsidRDefault="00F42DAB" w:rsidP="00730A4A">
            <w:pPr>
              <w:pStyle w:val="TableParagraph"/>
              <w:spacing w:line="276" w:lineRule="auto"/>
              <w:ind w:right="369"/>
              <w:rPr>
                <w:szCs w:val="20"/>
                <w:lang w:val="fr-FR"/>
              </w:rPr>
            </w:pPr>
            <w:r w:rsidRPr="00730A4A">
              <w:rPr>
                <w:szCs w:val="20"/>
                <w:lang w:val="fr-FR"/>
              </w:rPr>
              <w:t xml:space="preserve">Érosion et </w:t>
            </w:r>
            <w:r w:rsidRPr="00730A4A">
              <w:rPr>
                <w:w w:val="95"/>
                <w:szCs w:val="20"/>
                <w:lang w:val="fr-FR"/>
              </w:rPr>
              <w:t xml:space="preserve">déstabilisation des </w:t>
            </w:r>
            <w:r w:rsidRPr="00730A4A">
              <w:rPr>
                <w:szCs w:val="20"/>
                <w:lang w:val="fr-FR"/>
              </w:rPr>
              <w:t>sols.</w:t>
            </w:r>
          </w:p>
        </w:tc>
        <w:tc>
          <w:tcPr>
            <w:tcW w:w="4975" w:type="dxa"/>
            <w:shd w:val="clear" w:color="auto" w:fill="auto"/>
          </w:tcPr>
          <w:p w14:paraId="77D7E5D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Éviter les travaux de terrassement et de creusage en période pluvieuse ;</w:t>
            </w:r>
          </w:p>
          <w:p w14:paraId="3098FFF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Stabiliser le sol mécaniquement pour réduire le risque d’érosion ;</w:t>
            </w:r>
          </w:p>
          <w:p w14:paraId="78A0434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Prévoir le réaménagement des sites après les travaux ;</w:t>
            </w:r>
          </w:p>
          <w:p w14:paraId="3741DC8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Limiter les interventions sur les sols érodables, choisir des véhicules adaptés à la nature du sol ;</w:t>
            </w:r>
          </w:p>
          <w:p w14:paraId="74B4EEF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Éviter l’aménagement d’accès dans l’axe des longues pentes continues, favoriser plutôt une orientation perpendiculaire ou diagonale ;</w:t>
            </w:r>
          </w:p>
          <w:p w14:paraId="5C3F889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À la fin des travaux, niveler les sols remaniés et y favoriser l’implantation d’une strate herbacée stabilisatrice ;</w:t>
            </w:r>
          </w:p>
          <w:p w14:paraId="0C67D83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Encourager les initiatives locales de lutte antiérosive ;</w:t>
            </w:r>
          </w:p>
          <w:p w14:paraId="06DE2A7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Aménager des petits bassins de rétention dans les lieux propices aux érosions de la zone du projet si nécessaires.</w:t>
            </w:r>
          </w:p>
        </w:tc>
        <w:tc>
          <w:tcPr>
            <w:tcW w:w="2144" w:type="dxa"/>
            <w:shd w:val="clear" w:color="auto" w:fill="auto"/>
          </w:tcPr>
          <w:p w14:paraId="140F0BF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2049DCB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4CA4385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w:t>
            </w:r>
          </w:p>
        </w:tc>
      </w:tr>
      <w:tr w:rsidR="00BB0401" w:rsidRPr="00C54132" w14:paraId="224B2D2A" w14:textId="77777777" w:rsidTr="00730A4A">
        <w:trPr>
          <w:trHeight w:val="2596"/>
        </w:trPr>
        <w:tc>
          <w:tcPr>
            <w:tcW w:w="1806" w:type="dxa"/>
            <w:shd w:val="clear" w:color="auto" w:fill="auto"/>
          </w:tcPr>
          <w:p w14:paraId="1949B602" w14:textId="77777777" w:rsidR="00F42DAB" w:rsidRPr="00730A4A" w:rsidRDefault="00F42DAB" w:rsidP="00730A4A">
            <w:pPr>
              <w:pStyle w:val="TableParagraph"/>
              <w:spacing w:line="276" w:lineRule="auto"/>
              <w:ind w:right="231"/>
              <w:rPr>
                <w:szCs w:val="20"/>
                <w:lang w:val="fr-FR"/>
              </w:rPr>
            </w:pPr>
          </w:p>
          <w:p w14:paraId="3BD822C6" w14:textId="77777777" w:rsidR="00F42DAB" w:rsidRPr="00730A4A" w:rsidRDefault="00F42DAB" w:rsidP="00730A4A">
            <w:pPr>
              <w:pStyle w:val="TableParagraph"/>
              <w:spacing w:line="276" w:lineRule="auto"/>
              <w:ind w:right="231"/>
              <w:rPr>
                <w:szCs w:val="20"/>
                <w:lang w:val="fr-FR"/>
              </w:rPr>
            </w:pPr>
          </w:p>
          <w:p w14:paraId="6DBADAAC" w14:textId="77777777" w:rsidR="00F42DAB" w:rsidRPr="00730A4A" w:rsidRDefault="00F42DAB" w:rsidP="00730A4A">
            <w:pPr>
              <w:pStyle w:val="TableParagraph"/>
              <w:spacing w:line="276" w:lineRule="auto"/>
              <w:ind w:right="231"/>
              <w:rPr>
                <w:szCs w:val="20"/>
                <w:lang w:val="fr-FR"/>
              </w:rPr>
            </w:pPr>
          </w:p>
          <w:p w14:paraId="3463E309" w14:textId="77777777" w:rsidR="00F42DAB" w:rsidRPr="00730A4A" w:rsidRDefault="00F42DAB" w:rsidP="00730A4A">
            <w:pPr>
              <w:pStyle w:val="TableParagraph"/>
              <w:spacing w:line="276" w:lineRule="auto"/>
              <w:ind w:right="231"/>
              <w:rPr>
                <w:szCs w:val="20"/>
                <w:lang w:val="fr-FR"/>
              </w:rPr>
            </w:pPr>
          </w:p>
          <w:p w14:paraId="77098F22" w14:textId="77777777" w:rsidR="00F42DAB" w:rsidRPr="00730A4A" w:rsidRDefault="00F42DAB" w:rsidP="00730A4A">
            <w:pPr>
              <w:pStyle w:val="TableParagraph"/>
              <w:spacing w:line="276" w:lineRule="auto"/>
              <w:ind w:right="231"/>
              <w:rPr>
                <w:szCs w:val="20"/>
                <w:lang w:val="fr-FR"/>
              </w:rPr>
            </w:pPr>
          </w:p>
          <w:p w14:paraId="44C4F467" w14:textId="77777777" w:rsidR="00F42DAB" w:rsidRPr="00730A4A" w:rsidRDefault="00F42DAB" w:rsidP="00730A4A">
            <w:pPr>
              <w:pStyle w:val="TableParagraph"/>
              <w:spacing w:line="276" w:lineRule="auto"/>
              <w:ind w:right="231"/>
              <w:rPr>
                <w:szCs w:val="20"/>
                <w:lang w:val="fr-FR"/>
              </w:rPr>
            </w:pPr>
          </w:p>
          <w:p w14:paraId="52E0E05E" w14:textId="77777777" w:rsidR="00F42DAB" w:rsidRPr="00730A4A" w:rsidRDefault="00F42DAB" w:rsidP="00730A4A">
            <w:pPr>
              <w:pStyle w:val="TableParagraph"/>
              <w:spacing w:line="276" w:lineRule="auto"/>
              <w:ind w:right="231"/>
              <w:rPr>
                <w:szCs w:val="20"/>
                <w:lang w:val="fr-FR"/>
              </w:rPr>
            </w:pPr>
          </w:p>
          <w:p w14:paraId="180C64E5" w14:textId="77777777" w:rsidR="00F42DAB" w:rsidRPr="00730A4A" w:rsidRDefault="00F42DAB" w:rsidP="00730A4A">
            <w:pPr>
              <w:pStyle w:val="TableParagraph"/>
              <w:spacing w:line="276" w:lineRule="auto"/>
              <w:ind w:right="231"/>
              <w:rPr>
                <w:szCs w:val="20"/>
                <w:lang w:val="fr-FR"/>
              </w:rPr>
            </w:pPr>
          </w:p>
          <w:p w14:paraId="2E876A80" w14:textId="77777777" w:rsidR="00F42DAB" w:rsidRPr="00730A4A" w:rsidRDefault="00F42DAB" w:rsidP="00730A4A">
            <w:pPr>
              <w:pStyle w:val="TableParagraph"/>
              <w:spacing w:line="276" w:lineRule="auto"/>
              <w:ind w:right="231"/>
              <w:rPr>
                <w:szCs w:val="20"/>
              </w:rPr>
            </w:pPr>
            <w:r w:rsidRPr="00730A4A">
              <w:rPr>
                <w:szCs w:val="20"/>
              </w:rPr>
              <w:t>Qualité des sols</w:t>
            </w:r>
          </w:p>
        </w:tc>
        <w:tc>
          <w:tcPr>
            <w:tcW w:w="2271" w:type="dxa"/>
            <w:shd w:val="clear" w:color="auto" w:fill="auto"/>
          </w:tcPr>
          <w:p w14:paraId="1C0D8B04" w14:textId="77777777" w:rsidR="00F42DAB" w:rsidRPr="00730A4A" w:rsidRDefault="00F42DAB" w:rsidP="00730A4A">
            <w:pPr>
              <w:pStyle w:val="TableParagraph"/>
              <w:spacing w:line="276" w:lineRule="auto"/>
              <w:ind w:right="8"/>
              <w:rPr>
                <w:szCs w:val="20"/>
                <w:lang w:val="fr-FR"/>
              </w:rPr>
            </w:pPr>
          </w:p>
          <w:p w14:paraId="4E9ADC1D" w14:textId="77777777" w:rsidR="00F42DAB" w:rsidRPr="00730A4A" w:rsidRDefault="00F42DAB" w:rsidP="00730A4A">
            <w:pPr>
              <w:pStyle w:val="TableParagraph"/>
              <w:spacing w:line="276" w:lineRule="auto"/>
              <w:ind w:right="8"/>
              <w:rPr>
                <w:szCs w:val="20"/>
                <w:lang w:val="fr-FR"/>
              </w:rPr>
            </w:pPr>
          </w:p>
          <w:p w14:paraId="25FB1F33" w14:textId="77777777" w:rsidR="00F42DAB" w:rsidRPr="00730A4A" w:rsidRDefault="00F42DAB" w:rsidP="00730A4A">
            <w:pPr>
              <w:pStyle w:val="TableParagraph"/>
              <w:spacing w:line="276" w:lineRule="auto"/>
              <w:ind w:right="8"/>
              <w:rPr>
                <w:szCs w:val="20"/>
                <w:lang w:val="fr-FR"/>
              </w:rPr>
            </w:pPr>
          </w:p>
          <w:p w14:paraId="2DE8B920" w14:textId="77777777" w:rsidR="00F42DAB" w:rsidRPr="00730A4A" w:rsidRDefault="00F42DAB" w:rsidP="00730A4A">
            <w:pPr>
              <w:pStyle w:val="TableParagraph"/>
              <w:spacing w:line="276" w:lineRule="auto"/>
              <w:ind w:right="8"/>
              <w:rPr>
                <w:szCs w:val="20"/>
                <w:lang w:val="fr-FR"/>
              </w:rPr>
            </w:pPr>
          </w:p>
          <w:p w14:paraId="5412D30C" w14:textId="77777777" w:rsidR="00F42DAB" w:rsidRPr="00730A4A" w:rsidRDefault="00F42DAB" w:rsidP="00730A4A">
            <w:pPr>
              <w:pStyle w:val="TableParagraph"/>
              <w:spacing w:line="276" w:lineRule="auto"/>
              <w:ind w:right="8"/>
              <w:rPr>
                <w:szCs w:val="20"/>
                <w:lang w:val="fr-FR"/>
              </w:rPr>
            </w:pPr>
          </w:p>
          <w:p w14:paraId="713745B4" w14:textId="77777777" w:rsidR="00F42DAB" w:rsidRPr="00730A4A" w:rsidRDefault="00F42DAB" w:rsidP="00730A4A">
            <w:pPr>
              <w:pStyle w:val="TableParagraph"/>
              <w:spacing w:line="276" w:lineRule="auto"/>
              <w:ind w:right="8"/>
              <w:rPr>
                <w:szCs w:val="20"/>
                <w:lang w:val="fr-FR"/>
              </w:rPr>
            </w:pPr>
            <w:r w:rsidRPr="00730A4A">
              <w:rPr>
                <w:szCs w:val="20"/>
                <w:lang w:val="fr-FR"/>
              </w:rPr>
              <w:t>Dégradation de la qualité des sols engendrée par le rejet accidentel de contaminants ou les déchets des emballages des pesticides ou autres.</w:t>
            </w:r>
          </w:p>
        </w:tc>
        <w:tc>
          <w:tcPr>
            <w:tcW w:w="4975" w:type="dxa"/>
            <w:shd w:val="clear" w:color="auto" w:fill="auto"/>
          </w:tcPr>
          <w:p w14:paraId="7079FC2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Maintenir les véhicules de transport et la machinerie en bon état de fonctionnement afin d’éviter les fuites d’huile de carburant et de tout autre polluant ;</w:t>
            </w:r>
          </w:p>
          <w:p w14:paraId="12CA740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un Plan de Gestion de Pestes (PGP) ;</w:t>
            </w:r>
          </w:p>
          <w:p w14:paraId="7BD1012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Renforcer les capacités des agriculteurs dans la connaissance des pesticides et le bon usage ;</w:t>
            </w:r>
          </w:p>
          <w:p w14:paraId="1C256D1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Entreposer et utiliser les substances polluantes dans des aires confinées avec dallage imperméable pour éviter ou réduire les risques de migration des contaminants vers les sols ;</w:t>
            </w:r>
          </w:p>
          <w:p w14:paraId="62D6C90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Prévoir des mesures en cas de contamination accidentelle (élaborer un plan d’urgence, incluant les mesures de confinement et de récupération ainsi que la formation des employés, des agriculteurs) ;</w:t>
            </w:r>
          </w:p>
          <w:p w14:paraId="64EAB17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Tester le plan de mesures d’urgence ;</w:t>
            </w:r>
          </w:p>
          <w:p w14:paraId="1AA6E43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En cas de déversement accidentel de contaminants, décaper les sols contaminés et en disposer selon la réglementation congolaise et/ou internationale ;</w:t>
            </w:r>
          </w:p>
          <w:p w14:paraId="0F8EF95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Interdire le ravitaillement de la machinerie à moins de 20 m des cours d’eau.</w:t>
            </w:r>
          </w:p>
        </w:tc>
        <w:tc>
          <w:tcPr>
            <w:tcW w:w="2144" w:type="dxa"/>
            <w:shd w:val="clear" w:color="auto" w:fill="auto"/>
          </w:tcPr>
          <w:p w14:paraId="7B0037C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5268977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1187D03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w:t>
            </w:r>
          </w:p>
        </w:tc>
      </w:tr>
      <w:tr w:rsidR="00BB0401" w:rsidRPr="00C54132" w14:paraId="2CD03F7B" w14:textId="77777777" w:rsidTr="00730A4A">
        <w:trPr>
          <w:trHeight w:val="3830"/>
        </w:trPr>
        <w:tc>
          <w:tcPr>
            <w:tcW w:w="1806" w:type="dxa"/>
            <w:shd w:val="clear" w:color="auto" w:fill="auto"/>
          </w:tcPr>
          <w:p w14:paraId="391068AB" w14:textId="77777777" w:rsidR="00F42DAB" w:rsidRPr="00730A4A" w:rsidRDefault="00F42DAB" w:rsidP="00730A4A">
            <w:pPr>
              <w:pStyle w:val="TableParagraph"/>
              <w:spacing w:line="276" w:lineRule="auto"/>
              <w:rPr>
                <w:szCs w:val="20"/>
                <w:lang w:val="fr-FR"/>
              </w:rPr>
            </w:pPr>
          </w:p>
          <w:p w14:paraId="458C3BBE" w14:textId="77777777" w:rsidR="00F42DAB" w:rsidRPr="00730A4A" w:rsidRDefault="00F42DAB" w:rsidP="00730A4A">
            <w:pPr>
              <w:pStyle w:val="TableParagraph"/>
              <w:spacing w:line="276" w:lineRule="auto"/>
              <w:rPr>
                <w:szCs w:val="20"/>
                <w:lang w:val="fr-FR"/>
              </w:rPr>
            </w:pPr>
          </w:p>
          <w:p w14:paraId="2FDCB6C6" w14:textId="77777777" w:rsidR="00F42DAB" w:rsidRPr="00730A4A" w:rsidRDefault="00F42DAB" w:rsidP="00730A4A">
            <w:pPr>
              <w:pStyle w:val="TableParagraph"/>
              <w:spacing w:line="276" w:lineRule="auto"/>
              <w:rPr>
                <w:szCs w:val="20"/>
                <w:lang w:val="fr-FR"/>
              </w:rPr>
            </w:pPr>
          </w:p>
          <w:p w14:paraId="415CA019" w14:textId="77777777" w:rsidR="00F42DAB" w:rsidRPr="00730A4A" w:rsidRDefault="00F42DAB" w:rsidP="00730A4A">
            <w:pPr>
              <w:pStyle w:val="TableParagraph"/>
              <w:spacing w:line="276" w:lineRule="auto"/>
              <w:rPr>
                <w:szCs w:val="20"/>
                <w:lang w:val="fr-FR"/>
              </w:rPr>
            </w:pPr>
          </w:p>
          <w:p w14:paraId="1976B494" w14:textId="77777777" w:rsidR="00F42DAB" w:rsidRPr="00730A4A" w:rsidRDefault="00F42DAB" w:rsidP="00730A4A">
            <w:pPr>
              <w:pStyle w:val="TableParagraph"/>
              <w:spacing w:line="276" w:lineRule="auto"/>
              <w:rPr>
                <w:szCs w:val="20"/>
                <w:lang w:val="fr-FR"/>
              </w:rPr>
            </w:pPr>
          </w:p>
          <w:p w14:paraId="79FA4EE7" w14:textId="77777777" w:rsidR="00F42DAB" w:rsidRPr="00730A4A" w:rsidRDefault="00F42DAB" w:rsidP="00730A4A">
            <w:pPr>
              <w:pStyle w:val="TableParagraph"/>
              <w:spacing w:line="276" w:lineRule="auto"/>
              <w:rPr>
                <w:szCs w:val="20"/>
                <w:lang w:val="fr-FR"/>
              </w:rPr>
            </w:pPr>
          </w:p>
          <w:p w14:paraId="12B1FC84" w14:textId="77777777" w:rsidR="00F42DAB" w:rsidRPr="00730A4A" w:rsidRDefault="00F42DAB" w:rsidP="00730A4A">
            <w:pPr>
              <w:pStyle w:val="TableParagraph"/>
              <w:spacing w:line="276" w:lineRule="auto"/>
              <w:rPr>
                <w:szCs w:val="20"/>
                <w:lang w:val="fr-FR"/>
              </w:rPr>
            </w:pPr>
          </w:p>
          <w:p w14:paraId="51310C86" w14:textId="77777777" w:rsidR="00F42DAB" w:rsidRPr="00730A4A" w:rsidRDefault="00F42DAB" w:rsidP="00730A4A">
            <w:pPr>
              <w:pStyle w:val="TableParagraph"/>
              <w:spacing w:line="276" w:lineRule="auto"/>
              <w:rPr>
                <w:szCs w:val="20"/>
                <w:lang w:val="fr-FR"/>
              </w:rPr>
            </w:pPr>
          </w:p>
          <w:p w14:paraId="61BA4FD6" w14:textId="77777777" w:rsidR="00F42DAB" w:rsidRPr="00730A4A" w:rsidRDefault="00F42DAB" w:rsidP="00730A4A">
            <w:pPr>
              <w:pStyle w:val="TableParagraph"/>
              <w:spacing w:line="276" w:lineRule="auto"/>
              <w:rPr>
                <w:szCs w:val="20"/>
              </w:rPr>
            </w:pPr>
            <w:r w:rsidRPr="00730A4A">
              <w:rPr>
                <w:szCs w:val="20"/>
              </w:rPr>
              <w:t>Végétation</w:t>
            </w:r>
          </w:p>
        </w:tc>
        <w:tc>
          <w:tcPr>
            <w:tcW w:w="2271" w:type="dxa"/>
            <w:shd w:val="clear" w:color="auto" w:fill="auto"/>
          </w:tcPr>
          <w:p w14:paraId="4395B8CE" w14:textId="77777777" w:rsidR="00F42DAB" w:rsidRPr="00730A4A" w:rsidRDefault="00F42DAB" w:rsidP="00730A4A">
            <w:pPr>
              <w:pStyle w:val="TableParagraph"/>
              <w:spacing w:line="276" w:lineRule="auto"/>
              <w:ind w:right="325"/>
              <w:rPr>
                <w:szCs w:val="20"/>
                <w:lang w:val="fr-FR"/>
              </w:rPr>
            </w:pPr>
          </w:p>
          <w:p w14:paraId="61DF9E89" w14:textId="77777777" w:rsidR="00F42DAB" w:rsidRPr="00730A4A" w:rsidRDefault="00F42DAB" w:rsidP="00730A4A">
            <w:pPr>
              <w:pStyle w:val="TableParagraph"/>
              <w:spacing w:line="276" w:lineRule="auto"/>
              <w:ind w:right="325"/>
              <w:rPr>
                <w:szCs w:val="20"/>
                <w:lang w:val="fr-FR"/>
              </w:rPr>
            </w:pPr>
          </w:p>
          <w:p w14:paraId="5AD1D698" w14:textId="77777777" w:rsidR="00F42DAB" w:rsidRPr="00730A4A" w:rsidRDefault="00F42DAB" w:rsidP="00730A4A">
            <w:pPr>
              <w:pStyle w:val="TableParagraph"/>
              <w:spacing w:line="276" w:lineRule="auto"/>
              <w:ind w:right="325"/>
              <w:rPr>
                <w:szCs w:val="20"/>
                <w:lang w:val="fr-FR"/>
              </w:rPr>
            </w:pPr>
          </w:p>
          <w:p w14:paraId="3F22637B" w14:textId="77777777" w:rsidR="00F42DAB" w:rsidRPr="00730A4A" w:rsidRDefault="00F42DAB" w:rsidP="00730A4A">
            <w:pPr>
              <w:pStyle w:val="TableParagraph"/>
              <w:spacing w:line="276" w:lineRule="auto"/>
              <w:ind w:right="325"/>
              <w:rPr>
                <w:szCs w:val="20"/>
                <w:lang w:val="fr-FR"/>
              </w:rPr>
            </w:pPr>
          </w:p>
          <w:p w14:paraId="254F2C7E" w14:textId="77777777" w:rsidR="00F42DAB" w:rsidRPr="00730A4A" w:rsidRDefault="00F42DAB" w:rsidP="00730A4A">
            <w:pPr>
              <w:pStyle w:val="TableParagraph"/>
              <w:spacing w:line="276" w:lineRule="auto"/>
              <w:ind w:right="325"/>
              <w:rPr>
                <w:szCs w:val="20"/>
                <w:lang w:val="fr-FR"/>
              </w:rPr>
            </w:pPr>
          </w:p>
          <w:p w14:paraId="696AAA33" w14:textId="77777777" w:rsidR="00F42DAB" w:rsidRPr="00730A4A" w:rsidRDefault="00F42DAB" w:rsidP="00730A4A">
            <w:pPr>
              <w:pStyle w:val="TableParagraph"/>
              <w:spacing w:line="276" w:lineRule="auto"/>
              <w:ind w:right="325"/>
              <w:rPr>
                <w:szCs w:val="20"/>
                <w:lang w:val="fr-FR"/>
              </w:rPr>
            </w:pPr>
          </w:p>
          <w:p w14:paraId="3C104ADB" w14:textId="77777777" w:rsidR="00F42DAB" w:rsidRPr="00730A4A" w:rsidRDefault="00F42DAB" w:rsidP="00730A4A">
            <w:pPr>
              <w:pStyle w:val="TableParagraph"/>
              <w:spacing w:line="276" w:lineRule="auto"/>
              <w:ind w:right="325"/>
              <w:rPr>
                <w:szCs w:val="20"/>
                <w:lang w:val="fr-FR"/>
              </w:rPr>
            </w:pPr>
          </w:p>
          <w:p w14:paraId="581495B7" w14:textId="77777777" w:rsidR="00F42DAB" w:rsidRPr="00730A4A" w:rsidRDefault="00F42DAB" w:rsidP="00730A4A">
            <w:pPr>
              <w:pStyle w:val="TableParagraph"/>
              <w:spacing w:line="276" w:lineRule="auto"/>
              <w:ind w:right="325"/>
              <w:rPr>
                <w:szCs w:val="20"/>
                <w:lang w:val="fr-FR"/>
              </w:rPr>
            </w:pPr>
            <w:r w:rsidRPr="00730A4A">
              <w:rPr>
                <w:szCs w:val="20"/>
                <w:lang w:val="fr-FR"/>
              </w:rPr>
              <w:t>Dommages aux arbres, arbustes et autres végétaux.</w:t>
            </w:r>
          </w:p>
        </w:tc>
        <w:tc>
          <w:tcPr>
            <w:tcW w:w="4975" w:type="dxa"/>
            <w:shd w:val="clear" w:color="auto" w:fill="auto"/>
          </w:tcPr>
          <w:p w14:paraId="28C0656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Définir clairement les aires de coupe (jachère, zone de savane, etc.) et de chantier afin de restreindre au minimum le déboisement ;</w:t>
            </w:r>
          </w:p>
          <w:p w14:paraId="77FDC9D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Éloigner les équipements de la végétation ;</w:t>
            </w:r>
          </w:p>
          <w:p w14:paraId="5E34751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Protéger la végétation de la machinerie en bordure des emprises ;</w:t>
            </w:r>
          </w:p>
          <w:p w14:paraId="1D7D2B0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Éviter de creuser des tranchées à moins d’un mètre d’un arbre ;</w:t>
            </w:r>
          </w:p>
          <w:p w14:paraId="65E7A6E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Remettre en état les terrains perturbés par la construction, l’enlèvement, le stockage et la remise en place de la couche arable pour faciliter la pousse d’une végétation adaptée ;</w:t>
            </w:r>
          </w:p>
          <w:p w14:paraId="02FB723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Laisser en place les grands arbres qui peuvent fournir ombrage, graines et racines pour le rétablissement de la végétation naturelle ;</w:t>
            </w:r>
          </w:p>
          <w:p w14:paraId="035A8B7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Stocker le bois abattu sans valeur commerciale pour permettre son utilisation par les habitants de l’aire d’étude.</w:t>
            </w:r>
          </w:p>
        </w:tc>
        <w:tc>
          <w:tcPr>
            <w:tcW w:w="2144" w:type="dxa"/>
            <w:shd w:val="clear" w:color="auto" w:fill="auto"/>
          </w:tcPr>
          <w:p w14:paraId="43A43C8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0EB1F22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5BA38FC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PNDA et ACE, CPE, OVDA, </w:t>
            </w:r>
          </w:p>
        </w:tc>
      </w:tr>
      <w:tr w:rsidR="00BB0401" w:rsidRPr="00C54132" w14:paraId="1835FD04" w14:textId="77777777" w:rsidTr="00730A4A">
        <w:trPr>
          <w:trHeight w:val="699"/>
        </w:trPr>
        <w:tc>
          <w:tcPr>
            <w:tcW w:w="1806" w:type="dxa"/>
            <w:shd w:val="clear" w:color="auto" w:fill="auto"/>
          </w:tcPr>
          <w:p w14:paraId="4C201844" w14:textId="77777777" w:rsidR="00F42DAB" w:rsidRPr="00730A4A" w:rsidRDefault="00F42DAB" w:rsidP="00730A4A">
            <w:pPr>
              <w:pStyle w:val="TableParagraph"/>
              <w:spacing w:line="276" w:lineRule="auto"/>
              <w:rPr>
                <w:szCs w:val="20"/>
                <w:lang w:val="fr-FR"/>
              </w:rPr>
            </w:pPr>
          </w:p>
          <w:p w14:paraId="064FC698" w14:textId="77777777" w:rsidR="00F42DAB" w:rsidRPr="00730A4A" w:rsidRDefault="00F42DAB" w:rsidP="00730A4A">
            <w:pPr>
              <w:pStyle w:val="TableParagraph"/>
              <w:spacing w:line="276" w:lineRule="auto"/>
              <w:rPr>
                <w:szCs w:val="20"/>
                <w:lang w:val="fr-FR"/>
              </w:rPr>
            </w:pPr>
          </w:p>
          <w:p w14:paraId="3D82592F" w14:textId="77777777" w:rsidR="00F42DAB" w:rsidRPr="00730A4A" w:rsidRDefault="00F42DAB" w:rsidP="00730A4A">
            <w:pPr>
              <w:pStyle w:val="TableParagraph"/>
              <w:spacing w:line="276" w:lineRule="auto"/>
              <w:rPr>
                <w:szCs w:val="20"/>
                <w:lang w:val="fr-FR"/>
              </w:rPr>
            </w:pPr>
          </w:p>
          <w:p w14:paraId="4CA4411B" w14:textId="77777777" w:rsidR="00F42DAB" w:rsidRPr="00730A4A" w:rsidRDefault="00F42DAB" w:rsidP="00730A4A">
            <w:pPr>
              <w:pStyle w:val="TableParagraph"/>
              <w:spacing w:line="276" w:lineRule="auto"/>
              <w:rPr>
                <w:szCs w:val="20"/>
                <w:lang w:val="fr-FR"/>
              </w:rPr>
            </w:pPr>
          </w:p>
          <w:p w14:paraId="54628B43" w14:textId="77777777" w:rsidR="00F42DAB" w:rsidRPr="00730A4A" w:rsidRDefault="00F42DAB" w:rsidP="00730A4A">
            <w:pPr>
              <w:pStyle w:val="TableParagraph"/>
              <w:spacing w:line="276" w:lineRule="auto"/>
              <w:rPr>
                <w:szCs w:val="20"/>
              </w:rPr>
            </w:pPr>
            <w:r w:rsidRPr="00730A4A">
              <w:rPr>
                <w:szCs w:val="20"/>
              </w:rPr>
              <w:t>Faune</w:t>
            </w:r>
          </w:p>
        </w:tc>
        <w:tc>
          <w:tcPr>
            <w:tcW w:w="2271" w:type="dxa"/>
            <w:shd w:val="clear" w:color="auto" w:fill="auto"/>
          </w:tcPr>
          <w:p w14:paraId="63857D1A" w14:textId="77777777" w:rsidR="00F42DAB" w:rsidRPr="00730A4A" w:rsidRDefault="00F42DAB" w:rsidP="00730A4A">
            <w:pPr>
              <w:jc w:val="left"/>
              <w:rPr>
                <w:rFonts w:cs="Arial"/>
                <w:color w:val="000000"/>
                <w:sz w:val="22"/>
                <w:szCs w:val="20"/>
              </w:rPr>
            </w:pPr>
          </w:p>
          <w:p w14:paraId="131D40A4" w14:textId="77777777" w:rsidR="00F42DAB" w:rsidRPr="00730A4A" w:rsidRDefault="00F42DAB" w:rsidP="00730A4A">
            <w:pPr>
              <w:jc w:val="left"/>
              <w:rPr>
                <w:rFonts w:cs="Arial"/>
                <w:color w:val="000000"/>
                <w:sz w:val="22"/>
                <w:szCs w:val="20"/>
              </w:rPr>
            </w:pPr>
          </w:p>
          <w:p w14:paraId="64458029" w14:textId="77777777" w:rsidR="00F42DAB" w:rsidRPr="00730A4A" w:rsidRDefault="00F42DAB" w:rsidP="00730A4A">
            <w:pPr>
              <w:jc w:val="left"/>
              <w:rPr>
                <w:rFonts w:cs="Arial"/>
                <w:color w:val="000000"/>
                <w:sz w:val="22"/>
                <w:szCs w:val="20"/>
              </w:rPr>
            </w:pPr>
            <w:r w:rsidRPr="00730A4A">
              <w:rPr>
                <w:rFonts w:cs="Arial"/>
                <w:color w:val="000000"/>
                <w:sz w:val="22"/>
                <w:szCs w:val="20"/>
              </w:rPr>
              <w:t xml:space="preserve">Risque des pertes de biodiversité, d’espaces agricoles et d’habitats fauniques </w:t>
            </w:r>
          </w:p>
          <w:p w14:paraId="595281A8" w14:textId="77777777" w:rsidR="00F42DAB" w:rsidRPr="00730A4A" w:rsidRDefault="00F42DAB" w:rsidP="00730A4A">
            <w:pPr>
              <w:ind w:left="249"/>
              <w:jc w:val="left"/>
              <w:rPr>
                <w:rFonts w:cs="Arial"/>
                <w:sz w:val="22"/>
                <w:szCs w:val="20"/>
              </w:rPr>
            </w:pPr>
          </w:p>
        </w:tc>
        <w:tc>
          <w:tcPr>
            <w:tcW w:w="4975" w:type="dxa"/>
            <w:shd w:val="clear" w:color="auto" w:fill="auto"/>
          </w:tcPr>
          <w:p w14:paraId="4D44DEE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Réduire au minimum le déboisement et la destruction de la végétation riveraine ;</w:t>
            </w:r>
          </w:p>
          <w:p w14:paraId="6628FC3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Établir et entretenir des zones tampons autour des zones reconnues comme habitats fauniques, afin de minimiser l’impact des activités du projet sur ces zones et sur les animaux sauvages qu’elles abritent ;</w:t>
            </w:r>
          </w:p>
          <w:p w14:paraId="4D60CD2E"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Impliquer l’ICCN avant d’entreprendre toute activité du Projet dans les zones tampons ou à l’intérieur des aires protégées ;</w:t>
            </w:r>
          </w:p>
          <w:p w14:paraId="15AC399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Interdire la réalisation des activités dans les parcs et aires protégées ;</w:t>
            </w:r>
          </w:p>
          <w:p w14:paraId="0B298A6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Remettre en état les terrains perturbés par la construction, par l’enlèvement, le stockage et la remise en place de la couche arable pour faciliter la reconstitution des habitats fauniques.</w:t>
            </w:r>
          </w:p>
        </w:tc>
        <w:tc>
          <w:tcPr>
            <w:tcW w:w="2144" w:type="dxa"/>
            <w:shd w:val="clear" w:color="auto" w:fill="auto"/>
          </w:tcPr>
          <w:p w14:paraId="53AF6EA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0C33EED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3F5E1AC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et ICCN</w:t>
            </w:r>
          </w:p>
        </w:tc>
      </w:tr>
      <w:tr w:rsidR="00BB0401" w:rsidRPr="00C54132" w14:paraId="56EAB188" w14:textId="77777777" w:rsidTr="00730A4A">
        <w:trPr>
          <w:trHeight w:val="1746"/>
        </w:trPr>
        <w:tc>
          <w:tcPr>
            <w:tcW w:w="1806" w:type="dxa"/>
            <w:vMerge w:val="restart"/>
            <w:shd w:val="clear" w:color="auto" w:fill="auto"/>
          </w:tcPr>
          <w:p w14:paraId="6A38492F" w14:textId="77777777" w:rsidR="00F42DAB" w:rsidRPr="00730A4A" w:rsidRDefault="00F42DAB" w:rsidP="00730A4A">
            <w:pPr>
              <w:pStyle w:val="TableParagraph"/>
              <w:spacing w:line="276" w:lineRule="auto"/>
              <w:rPr>
                <w:szCs w:val="20"/>
                <w:lang w:val="fr-FR"/>
              </w:rPr>
            </w:pPr>
          </w:p>
          <w:p w14:paraId="0C5C7BE6" w14:textId="77777777" w:rsidR="00F42DAB" w:rsidRPr="00730A4A" w:rsidRDefault="00F42DAB" w:rsidP="00730A4A">
            <w:pPr>
              <w:pStyle w:val="TableParagraph"/>
              <w:spacing w:line="276" w:lineRule="auto"/>
              <w:rPr>
                <w:szCs w:val="20"/>
                <w:lang w:val="fr-FR"/>
              </w:rPr>
            </w:pPr>
          </w:p>
          <w:p w14:paraId="5309E8A4" w14:textId="77777777" w:rsidR="00F42DAB" w:rsidRPr="00730A4A" w:rsidRDefault="00F42DAB" w:rsidP="00730A4A">
            <w:pPr>
              <w:pStyle w:val="TableParagraph"/>
              <w:spacing w:line="276" w:lineRule="auto"/>
              <w:rPr>
                <w:szCs w:val="20"/>
                <w:lang w:val="fr-FR"/>
              </w:rPr>
            </w:pPr>
          </w:p>
          <w:p w14:paraId="3E2EBD5C" w14:textId="77777777" w:rsidR="00F42DAB" w:rsidRPr="00730A4A" w:rsidRDefault="00F42DAB" w:rsidP="00730A4A">
            <w:pPr>
              <w:pStyle w:val="TableParagraph"/>
              <w:spacing w:line="276" w:lineRule="auto"/>
              <w:rPr>
                <w:szCs w:val="20"/>
                <w:lang w:val="fr-FR"/>
              </w:rPr>
            </w:pPr>
          </w:p>
          <w:p w14:paraId="22234DD6" w14:textId="77777777" w:rsidR="00F42DAB" w:rsidRPr="00730A4A" w:rsidRDefault="00F42DAB" w:rsidP="00730A4A">
            <w:pPr>
              <w:pStyle w:val="TableParagraph"/>
              <w:spacing w:line="276" w:lineRule="auto"/>
              <w:rPr>
                <w:szCs w:val="20"/>
                <w:lang w:val="fr-FR"/>
              </w:rPr>
            </w:pPr>
          </w:p>
          <w:p w14:paraId="3F6DD54C" w14:textId="77777777" w:rsidR="00F42DAB" w:rsidRPr="00730A4A" w:rsidRDefault="00F42DAB" w:rsidP="00730A4A">
            <w:pPr>
              <w:pStyle w:val="TableParagraph"/>
              <w:spacing w:line="276" w:lineRule="auto"/>
              <w:rPr>
                <w:szCs w:val="20"/>
                <w:lang w:val="fr-FR"/>
              </w:rPr>
            </w:pPr>
          </w:p>
          <w:p w14:paraId="739C942E" w14:textId="77777777" w:rsidR="00F42DAB" w:rsidRPr="00730A4A" w:rsidRDefault="00F42DAB" w:rsidP="00730A4A">
            <w:pPr>
              <w:pStyle w:val="TableParagraph"/>
              <w:spacing w:line="276" w:lineRule="auto"/>
              <w:rPr>
                <w:szCs w:val="20"/>
                <w:lang w:val="fr-FR"/>
              </w:rPr>
            </w:pPr>
          </w:p>
          <w:p w14:paraId="58EDA52A" w14:textId="77777777" w:rsidR="00F42DAB" w:rsidRPr="00730A4A" w:rsidRDefault="00F42DAB" w:rsidP="00730A4A">
            <w:pPr>
              <w:pStyle w:val="TableParagraph"/>
              <w:spacing w:line="276" w:lineRule="auto"/>
              <w:rPr>
                <w:szCs w:val="20"/>
                <w:lang w:val="fr-FR"/>
              </w:rPr>
            </w:pPr>
          </w:p>
          <w:p w14:paraId="2FE63139" w14:textId="77777777" w:rsidR="00F42DAB" w:rsidRPr="00730A4A" w:rsidRDefault="00F42DAB" w:rsidP="00730A4A">
            <w:pPr>
              <w:pStyle w:val="TableParagraph"/>
              <w:spacing w:line="276" w:lineRule="auto"/>
              <w:rPr>
                <w:szCs w:val="20"/>
                <w:lang w:val="fr-FR"/>
              </w:rPr>
            </w:pPr>
          </w:p>
          <w:p w14:paraId="2CFB1FF0" w14:textId="77777777" w:rsidR="00F42DAB" w:rsidRPr="00730A4A" w:rsidRDefault="00F42DAB" w:rsidP="00730A4A">
            <w:pPr>
              <w:pStyle w:val="TableParagraph"/>
              <w:spacing w:line="276" w:lineRule="auto"/>
              <w:rPr>
                <w:szCs w:val="20"/>
                <w:lang w:val="fr-FR"/>
              </w:rPr>
            </w:pPr>
          </w:p>
          <w:p w14:paraId="390517EC" w14:textId="77777777" w:rsidR="00F42DAB" w:rsidRPr="00730A4A" w:rsidRDefault="00F42DAB" w:rsidP="00730A4A">
            <w:pPr>
              <w:pStyle w:val="TableParagraph"/>
              <w:spacing w:line="276" w:lineRule="auto"/>
              <w:rPr>
                <w:szCs w:val="20"/>
                <w:lang w:val="fr-FR"/>
              </w:rPr>
            </w:pPr>
          </w:p>
          <w:p w14:paraId="13739B7E" w14:textId="77777777" w:rsidR="00F42DAB" w:rsidRPr="00730A4A" w:rsidRDefault="00F42DAB" w:rsidP="00730A4A">
            <w:pPr>
              <w:pStyle w:val="TableParagraph"/>
              <w:spacing w:line="276" w:lineRule="auto"/>
              <w:rPr>
                <w:szCs w:val="20"/>
                <w:lang w:val="fr-FR"/>
              </w:rPr>
            </w:pPr>
          </w:p>
          <w:p w14:paraId="5520F3AF" w14:textId="77777777" w:rsidR="00F42DAB" w:rsidRPr="00730A4A" w:rsidRDefault="00F42DAB" w:rsidP="00730A4A">
            <w:pPr>
              <w:pStyle w:val="TableParagraph"/>
              <w:spacing w:line="276" w:lineRule="auto"/>
              <w:rPr>
                <w:szCs w:val="20"/>
                <w:lang w:val="fr-FR"/>
              </w:rPr>
            </w:pPr>
          </w:p>
          <w:p w14:paraId="6C316247" w14:textId="77777777" w:rsidR="00F42DAB" w:rsidRPr="00730A4A" w:rsidRDefault="00F42DAB" w:rsidP="00730A4A">
            <w:pPr>
              <w:pStyle w:val="TableParagraph"/>
              <w:spacing w:line="276" w:lineRule="auto"/>
              <w:rPr>
                <w:szCs w:val="20"/>
                <w:lang w:val="fr-FR"/>
              </w:rPr>
            </w:pPr>
          </w:p>
          <w:p w14:paraId="3D94389A" w14:textId="77777777" w:rsidR="00F42DAB" w:rsidRPr="00730A4A" w:rsidRDefault="00F42DAB" w:rsidP="00730A4A">
            <w:pPr>
              <w:pStyle w:val="TableParagraph"/>
              <w:spacing w:line="276" w:lineRule="auto"/>
              <w:rPr>
                <w:szCs w:val="20"/>
                <w:lang w:val="fr-FR"/>
              </w:rPr>
            </w:pPr>
          </w:p>
          <w:p w14:paraId="7A4C3AB1" w14:textId="77777777" w:rsidR="00F42DAB" w:rsidRPr="00730A4A" w:rsidRDefault="00F42DAB" w:rsidP="00730A4A">
            <w:pPr>
              <w:pStyle w:val="TableParagraph"/>
              <w:spacing w:line="276" w:lineRule="auto"/>
              <w:rPr>
                <w:szCs w:val="20"/>
                <w:lang w:val="fr-FR"/>
              </w:rPr>
            </w:pPr>
          </w:p>
          <w:p w14:paraId="597494D5" w14:textId="77777777" w:rsidR="00F42DAB" w:rsidRPr="00730A4A" w:rsidRDefault="00F42DAB" w:rsidP="00730A4A">
            <w:pPr>
              <w:pStyle w:val="TableParagraph"/>
              <w:spacing w:line="276" w:lineRule="auto"/>
              <w:rPr>
                <w:szCs w:val="20"/>
                <w:lang w:val="fr-FR"/>
              </w:rPr>
            </w:pPr>
          </w:p>
          <w:p w14:paraId="687E8505" w14:textId="77777777" w:rsidR="00F42DAB" w:rsidRPr="00730A4A" w:rsidRDefault="00F42DAB" w:rsidP="00730A4A">
            <w:pPr>
              <w:pStyle w:val="TableParagraph"/>
              <w:spacing w:line="276" w:lineRule="auto"/>
              <w:rPr>
                <w:szCs w:val="20"/>
                <w:lang w:val="fr-FR"/>
              </w:rPr>
            </w:pPr>
          </w:p>
          <w:p w14:paraId="58C20242" w14:textId="77777777" w:rsidR="00F42DAB" w:rsidRPr="00730A4A" w:rsidRDefault="00F42DAB" w:rsidP="00730A4A">
            <w:pPr>
              <w:pStyle w:val="TableParagraph"/>
              <w:spacing w:line="276" w:lineRule="auto"/>
              <w:rPr>
                <w:szCs w:val="20"/>
                <w:lang w:val="fr-FR"/>
              </w:rPr>
            </w:pPr>
          </w:p>
          <w:p w14:paraId="25DD77F8" w14:textId="77777777" w:rsidR="00F42DAB" w:rsidRPr="00730A4A" w:rsidRDefault="00F42DAB" w:rsidP="00730A4A">
            <w:pPr>
              <w:pStyle w:val="TableParagraph"/>
              <w:spacing w:line="276" w:lineRule="auto"/>
              <w:rPr>
                <w:szCs w:val="20"/>
              </w:rPr>
            </w:pPr>
            <w:r w:rsidRPr="00730A4A">
              <w:rPr>
                <w:szCs w:val="20"/>
              </w:rPr>
              <w:t>Population</w:t>
            </w:r>
          </w:p>
        </w:tc>
        <w:tc>
          <w:tcPr>
            <w:tcW w:w="2271" w:type="dxa"/>
            <w:shd w:val="clear" w:color="auto" w:fill="auto"/>
          </w:tcPr>
          <w:p w14:paraId="3C501E57" w14:textId="77777777" w:rsidR="00F42DAB" w:rsidRPr="00730A4A" w:rsidRDefault="00F42DAB" w:rsidP="00730A4A">
            <w:pPr>
              <w:pStyle w:val="TableParagraph"/>
              <w:spacing w:line="276" w:lineRule="auto"/>
              <w:rPr>
                <w:szCs w:val="20"/>
                <w:lang w:val="fr-FR"/>
              </w:rPr>
            </w:pPr>
          </w:p>
          <w:p w14:paraId="68A8C0C0" w14:textId="77777777" w:rsidR="00F42DAB" w:rsidRPr="00730A4A" w:rsidRDefault="00F42DAB" w:rsidP="00730A4A">
            <w:pPr>
              <w:pStyle w:val="TableParagraph"/>
              <w:spacing w:line="276" w:lineRule="auto"/>
              <w:rPr>
                <w:szCs w:val="20"/>
                <w:lang w:val="fr-FR"/>
              </w:rPr>
            </w:pPr>
          </w:p>
          <w:p w14:paraId="2CF77B17" w14:textId="77777777" w:rsidR="00F42DAB" w:rsidRPr="00730A4A" w:rsidRDefault="00F42DAB" w:rsidP="00730A4A">
            <w:pPr>
              <w:pStyle w:val="TableParagraph"/>
              <w:spacing w:line="276" w:lineRule="auto"/>
              <w:rPr>
                <w:szCs w:val="20"/>
                <w:lang w:val="fr-FR"/>
              </w:rPr>
            </w:pPr>
          </w:p>
          <w:p w14:paraId="2D39E611" w14:textId="77777777" w:rsidR="00F42DAB" w:rsidRPr="00730A4A" w:rsidRDefault="00F42DAB" w:rsidP="00730A4A">
            <w:pPr>
              <w:pStyle w:val="TableParagraph"/>
              <w:spacing w:line="276" w:lineRule="auto"/>
              <w:rPr>
                <w:szCs w:val="20"/>
                <w:lang w:val="fr-FR"/>
              </w:rPr>
            </w:pPr>
          </w:p>
          <w:p w14:paraId="213BE34F" w14:textId="77777777" w:rsidR="00F42DAB" w:rsidRPr="00730A4A" w:rsidRDefault="00F42DAB" w:rsidP="00730A4A">
            <w:pPr>
              <w:pStyle w:val="TableParagraph"/>
              <w:spacing w:line="276" w:lineRule="auto"/>
              <w:rPr>
                <w:szCs w:val="20"/>
                <w:lang w:val="fr-FR"/>
              </w:rPr>
            </w:pPr>
          </w:p>
          <w:p w14:paraId="118C0BF8" w14:textId="77777777" w:rsidR="00F42DAB" w:rsidRPr="00730A4A" w:rsidRDefault="00F42DAB" w:rsidP="00730A4A">
            <w:pPr>
              <w:pStyle w:val="TableParagraph"/>
              <w:spacing w:line="276" w:lineRule="auto"/>
              <w:rPr>
                <w:szCs w:val="20"/>
                <w:lang w:val="fr-FR"/>
              </w:rPr>
            </w:pPr>
          </w:p>
          <w:p w14:paraId="44B3DA66" w14:textId="77777777" w:rsidR="00F42DAB" w:rsidRPr="00730A4A" w:rsidRDefault="00F42DAB" w:rsidP="00730A4A">
            <w:pPr>
              <w:pStyle w:val="TableParagraph"/>
              <w:spacing w:line="276" w:lineRule="auto"/>
              <w:rPr>
                <w:szCs w:val="20"/>
                <w:lang w:val="fr-FR"/>
              </w:rPr>
            </w:pPr>
            <w:r w:rsidRPr="00730A4A">
              <w:rPr>
                <w:szCs w:val="20"/>
                <w:lang w:val="fr-FR"/>
              </w:rPr>
              <w:t>Déplacement involontaire des populations</w:t>
            </w:r>
          </w:p>
        </w:tc>
        <w:tc>
          <w:tcPr>
            <w:tcW w:w="4975" w:type="dxa"/>
            <w:shd w:val="clear" w:color="auto" w:fill="auto"/>
          </w:tcPr>
          <w:p w14:paraId="42CE427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S’entendre avec la population sur les modalités relatives à la réinstallation et respecter les engagements de cette entente ;</w:t>
            </w:r>
          </w:p>
          <w:p w14:paraId="7DD886A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Développer et mettre en œuvre un plan d’action de réinstallation et s’assurer que l’indemnisation s’effectue équitablement et dans la transparence au profit des hommes et des femmes ayant perdu des terrains, des maisons, des cultures ou autres actifs et usages ;</w:t>
            </w:r>
          </w:p>
          <w:p w14:paraId="76B3849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S’assurer que les personnes déplacées sont réinstallées dans des conditions équivalentes ou meilleures ;</w:t>
            </w:r>
          </w:p>
          <w:p w14:paraId="5FF1BA4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S’assurer que les indemnisations soient payées avant le début des travaux ;</w:t>
            </w:r>
          </w:p>
          <w:p w14:paraId="5783ABD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Impliquer les PA (hommes et femmes) dans les activités du Projet ;</w:t>
            </w:r>
          </w:p>
          <w:p w14:paraId="7163B7C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un UNCP spécifique au PA ;</w:t>
            </w:r>
          </w:p>
          <w:p w14:paraId="198E76B5" w14:textId="0EFA1443"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w:t>
            </w:r>
          </w:p>
        </w:tc>
        <w:tc>
          <w:tcPr>
            <w:tcW w:w="2144" w:type="dxa"/>
            <w:shd w:val="clear" w:color="auto" w:fill="auto"/>
          </w:tcPr>
          <w:p w14:paraId="096CCBC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2DD1885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5A67B07E"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RVF, ICCN</w:t>
            </w:r>
          </w:p>
        </w:tc>
      </w:tr>
      <w:tr w:rsidR="00BB0401" w:rsidRPr="00C54132" w14:paraId="504DEB90" w14:textId="77777777" w:rsidTr="00730A4A">
        <w:trPr>
          <w:trHeight w:val="2541"/>
        </w:trPr>
        <w:tc>
          <w:tcPr>
            <w:tcW w:w="1806" w:type="dxa"/>
            <w:vMerge/>
            <w:shd w:val="clear" w:color="auto" w:fill="auto"/>
          </w:tcPr>
          <w:p w14:paraId="04A98D7F" w14:textId="77777777" w:rsidR="00F42DAB" w:rsidRPr="00730A4A" w:rsidRDefault="00F42DAB" w:rsidP="00730A4A">
            <w:pPr>
              <w:pStyle w:val="TableParagraph"/>
              <w:spacing w:line="276" w:lineRule="auto"/>
              <w:rPr>
                <w:szCs w:val="20"/>
                <w:lang w:val="fr-FR"/>
              </w:rPr>
            </w:pPr>
          </w:p>
        </w:tc>
        <w:tc>
          <w:tcPr>
            <w:tcW w:w="2271" w:type="dxa"/>
            <w:shd w:val="clear" w:color="auto" w:fill="auto"/>
          </w:tcPr>
          <w:p w14:paraId="77A5E181" w14:textId="77777777" w:rsidR="00F42DAB" w:rsidRPr="00730A4A" w:rsidRDefault="00F42DAB" w:rsidP="00730A4A">
            <w:pPr>
              <w:pStyle w:val="TableParagraph"/>
              <w:spacing w:line="276" w:lineRule="auto"/>
              <w:rPr>
                <w:szCs w:val="20"/>
                <w:lang w:val="fr-FR"/>
              </w:rPr>
            </w:pPr>
            <w:r w:rsidRPr="00730A4A">
              <w:rPr>
                <w:spacing w:val="-2"/>
                <w:szCs w:val="20"/>
                <w:lang w:val="fr-FR"/>
              </w:rPr>
              <w:t>R</w:t>
            </w:r>
            <w:r w:rsidRPr="00730A4A" w:rsidDel="00F63752">
              <w:rPr>
                <w:spacing w:val="-2"/>
                <w:szCs w:val="20"/>
                <w:lang w:val="fr-FR"/>
              </w:rPr>
              <w:t>isque de non implication des populations autochtones et d’autres groupes vulnérables comme les personnes vivant avec handicap, les vieillards, les jeunes filles/femmes</w:t>
            </w:r>
            <w:r w:rsidRPr="00730A4A">
              <w:rPr>
                <w:spacing w:val="-2"/>
                <w:szCs w:val="20"/>
                <w:lang w:val="fr-FR"/>
              </w:rPr>
              <w:t>, etc.</w:t>
            </w:r>
          </w:p>
        </w:tc>
        <w:tc>
          <w:tcPr>
            <w:tcW w:w="4975" w:type="dxa"/>
            <w:shd w:val="clear" w:color="auto" w:fill="auto"/>
          </w:tcPr>
          <w:p w14:paraId="31C8FDB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Impliquer les populations autochtones et autres groupes vulnérables à la prise de décision avant d’entreprendre toute activité les concernant.</w:t>
            </w:r>
          </w:p>
          <w:p w14:paraId="06B90B1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Assurer des consultations indépendantes avec les populations vulnérables, y compris les femmes dans des conditions sûres et confidentielles.</w:t>
            </w:r>
          </w:p>
        </w:tc>
        <w:tc>
          <w:tcPr>
            <w:tcW w:w="2144" w:type="dxa"/>
            <w:shd w:val="clear" w:color="auto" w:fill="auto"/>
          </w:tcPr>
          <w:p w14:paraId="03EBA6D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026C10A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06C8616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w:t>
            </w:r>
          </w:p>
        </w:tc>
      </w:tr>
      <w:tr w:rsidR="00BB0401" w:rsidRPr="00C54132" w14:paraId="783ADE63" w14:textId="77777777" w:rsidTr="00730A4A">
        <w:trPr>
          <w:trHeight w:val="1350"/>
        </w:trPr>
        <w:tc>
          <w:tcPr>
            <w:tcW w:w="1806" w:type="dxa"/>
            <w:vMerge/>
            <w:shd w:val="clear" w:color="auto" w:fill="auto"/>
          </w:tcPr>
          <w:p w14:paraId="5852CBCB" w14:textId="77777777" w:rsidR="00F42DAB" w:rsidRPr="00730A4A" w:rsidRDefault="00F42DAB" w:rsidP="0092469F">
            <w:pPr>
              <w:rPr>
                <w:rFonts w:cs="Arial"/>
                <w:sz w:val="22"/>
                <w:szCs w:val="20"/>
              </w:rPr>
            </w:pPr>
          </w:p>
        </w:tc>
        <w:tc>
          <w:tcPr>
            <w:tcW w:w="2271" w:type="dxa"/>
            <w:shd w:val="clear" w:color="auto" w:fill="auto"/>
          </w:tcPr>
          <w:p w14:paraId="7B610927" w14:textId="77777777" w:rsidR="00F42DAB" w:rsidRPr="00730A4A" w:rsidRDefault="00F42DAB" w:rsidP="00730A4A">
            <w:pPr>
              <w:pStyle w:val="TableParagraph"/>
              <w:spacing w:line="276" w:lineRule="auto"/>
              <w:ind w:right="130"/>
              <w:rPr>
                <w:szCs w:val="20"/>
                <w:lang w:val="fr-FR"/>
              </w:rPr>
            </w:pPr>
            <w:r w:rsidRPr="00730A4A">
              <w:rPr>
                <w:szCs w:val="20"/>
                <w:lang w:val="fr-FR"/>
              </w:rPr>
              <w:t>Augmentation de la population suite à la migration de travailleurs non- résidents.</w:t>
            </w:r>
          </w:p>
        </w:tc>
        <w:tc>
          <w:tcPr>
            <w:tcW w:w="4975" w:type="dxa"/>
            <w:shd w:val="clear" w:color="auto" w:fill="auto"/>
          </w:tcPr>
          <w:p w14:paraId="54A9184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Elaborer et mettre en œuvre un PGMO ;</w:t>
            </w:r>
          </w:p>
          <w:p w14:paraId="7615200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Prévoir des logements adéquats pour les travailleurs non- résidents ;</w:t>
            </w:r>
          </w:p>
          <w:p w14:paraId="237B7EC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Fournir à ces travailleurs les infrastructures (logements, toilettes ou latrines et douche pour l’hygiène corporelle) et services dont ils ont besoin.</w:t>
            </w:r>
          </w:p>
          <w:p w14:paraId="53BB22B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employer la main-d’œuvre locale dans la mesure du possible ; </w:t>
            </w:r>
          </w:p>
          <w:p w14:paraId="4D2F5D1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assurer l’accès aux services de santé et sociaux ; </w:t>
            </w:r>
          </w:p>
          <w:p w14:paraId="2D13CF7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mener des campagnes de sensibilisation ; </w:t>
            </w:r>
          </w:p>
          <w:p w14:paraId="6C0AEF5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Elaborer un code de bonne conduite, qui doit être connu de tous les travailleurs;</w:t>
            </w:r>
          </w:p>
          <w:p w14:paraId="7A8C675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Traduire le code de bonne conduite en langue locale (Lingala, Swahili, Tshiluba et Kikongo) et l’afficher sur le chantier</w:t>
            </w:r>
          </w:p>
          <w:p w14:paraId="77648DB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Sensibiliser les travailleurs au respect du code de bonne conduite sur le chantier et à la base vie ;</w:t>
            </w:r>
          </w:p>
          <w:p w14:paraId="679E09C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Fournir un contrat de travail aux ouvriers</w:t>
            </w:r>
          </w:p>
          <w:p w14:paraId="34EA4F8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Mesures liées à l’afflux de main d’œuvre;</w:t>
            </w:r>
          </w:p>
        </w:tc>
        <w:tc>
          <w:tcPr>
            <w:tcW w:w="2144" w:type="dxa"/>
            <w:shd w:val="clear" w:color="auto" w:fill="auto"/>
          </w:tcPr>
          <w:p w14:paraId="1BFA541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6D7828C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35C240C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w:t>
            </w:r>
          </w:p>
        </w:tc>
      </w:tr>
      <w:tr w:rsidR="00BB0401" w:rsidRPr="00C54132" w14:paraId="1BBEBBA6" w14:textId="77777777" w:rsidTr="00730A4A">
        <w:trPr>
          <w:trHeight w:val="817"/>
        </w:trPr>
        <w:tc>
          <w:tcPr>
            <w:tcW w:w="1806" w:type="dxa"/>
            <w:vMerge/>
            <w:shd w:val="clear" w:color="auto" w:fill="auto"/>
          </w:tcPr>
          <w:p w14:paraId="0572779A" w14:textId="77777777" w:rsidR="00F42DAB" w:rsidRPr="00730A4A" w:rsidRDefault="00F42DAB" w:rsidP="0092469F">
            <w:pPr>
              <w:rPr>
                <w:rFonts w:cs="Arial"/>
                <w:sz w:val="22"/>
                <w:szCs w:val="20"/>
              </w:rPr>
            </w:pPr>
          </w:p>
        </w:tc>
        <w:tc>
          <w:tcPr>
            <w:tcW w:w="2271" w:type="dxa"/>
            <w:shd w:val="clear" w:color="auto" w:fill="auto"/>
          </w:tcPr>
          <w:p w14:paraId="1362F756" w14:textId="77777777" w:rsidR="00F42DAB" w:rsidRPr="00730A4A" w:rsidRDefault="00F42DAB" w:rsidP="00730A4A">
            <w:pPr>
              <w:jc w:val="left"/>
              <w:rPr>
                <w:rFonts w:cs="Arial"/>
                <w:sz w:val="22"/>
                <w:szCs w:val="20"/>
              </w:rPr>
            </w:pPr>
            <w:r w:rsidRPr="00730A4A">
              <w:rPr>
                <w:rFonts w:cs="Arial"/>
                <w:color w:val="000000"/>
                <w:sz w:val="22"/>
                <w:szCs w:val="20"/>
              </w:rPr>
              <w:t>R</w:t>
            </w:r>
            <w:r w:rsidRPr="00730A4A" w:rsidDel="00F63752">
              <w:rPr>
                <w:rFonts w:cs="Arial"/>
                <w:color w:val="000000"/>
                <w:sz w:val="22"/>
                <w:szCs w:val="20"/>
              </w:rPr>
              <w:t>isque de conflits sociaux entre les ménages sélectionnés</w:t>
            </w:r>
            <w:r w:rsidRPr="00730A4A">
              <w:rPr>
                <w:rFonts w:cs="Arial"/>
                <w:color w:val="000000"/>
                <w:sz w:val="22"/>
                <w:szCs w:val="20"/>
              </w:rPr>
              <w:t xml:space="preserve"> bénéficiaires</w:t>
            </w:r>
            <w:r w:rsidRPr="00730A4A" w:rsidDel="00F63752">
              <w:rPr>
                <w:rFonts w:cs="Arial"/>
                <w:color w:val="000000"/>
                <w:sz w:val="22"/>
                <w:szCs w:val="20"/>
              </w:rPr>
              <w:t xml:space="preserve"> </w:t>
            </w:r>
            <w:r w:rsidRPr="00730A4A">
              <w:rPr>
                <w:rFonts w:cs="Arial"/>
                <w:color w:val="000000"/>
                <w:sz w:val="22"/>
                <w:szCs w:val="20"/>
              </w:rPr>
              <w:t xml:space="preserve">des intrants et autres subventions (aides) </w:t>
            </w:r>
            <w:r w:rsidRPr="00730A4A" w:rsidDel="00F63752">
              <w:rPr>
                <w:rFonts w:cs="Arial"/>
                <w:color w:val="000000"/>
                <w:sz w:val="22"/>
                <w:szCs w:val="20"/>
              </w:rPr>
              <w:t>et non sélectionnés, où</w:t>
            </w:r>
            <w:r w:rsidRPr="00730A4A">
              <w:rPr>
                <w:rFonts w:cs="Arial"/>
                <w:color w:val="000000"/>
                <w:sz w:val="22"/>
                <w:szCs w:val="20"/>
              </w:rPr>
              <w:t xml:space="preserve"> l’on rencontre</w:t>
            </w:r>
            <w:r w:rsidRPr="00730A4A" w:rsidDel="00F63752">
              <w:rPr>
                <w:rFonts w:cs="Arial"/>
                <w:color w:val="000000"/>
                <w:sz w:val="22"/>
                <w:szCs w:val="20"/>
              </w:rPr>
              <w:t xml:space="preserve"> les femmes sont chef</w:t>
            </w:r>
            <w:r w:rsidRPr="00730A4A">
              <w:rPr>
                <w:rFonts w:cs="Arial"/>
                <w:color w:val="000000"/>
                <w:sz w:val="22"/>
                <w:szCs w:val="20"/>
              </w:rPr>
              <w:t>fes</w:t>
            </w:r>
            <w:r w:rsidRPr="00730A4A" w:rsidDel="00F63752">
              <w:rPr>
                <w:rFonts w:cs="Arial"/>
                <w:color w:val="000000"/>
                <w:sz w:val="22"/>
                <w:szCs w:val="20"/>
              </w:rPr>
              <w:t xml:space="preserve"> de </w:t>
            </w:r>
            <w:r w:rsidRPr="00730A4A">
              <w:rPr>
                <w:rFonts w:cs="Arial"/>
                <w:color w:val="000000"/>
                <w:sz w:val="22"/>
                <w:szCs w:val="20"/>
              </w:rPr>
              <w:t>famille.</w:t>
            </w:r>
          </w:p>
        </w:tc>
        <w:tc>
          <w:tcPr>
            <w:tcW w:w="4975" w:type="dxa"/>
            <w:shd w:val="clear" w:color="auto" w:fill="auto"/>
          </w:tcPr>
          <w:p w14:paraId="56B74E0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Sélectionner équitablement les ménages éligibles bénéficiaires des intrants agricoles et autres aides aux petits exploitants agricoles en tenant compte de la vulnérabilité des femmes cheffes de famille ;</w:t>
            </w:r>
          </w:p>
          <w:p w14:paraId="5139F7D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le MGP du PNDA, en tenant compte des procédures spécifiques à la gestion éthique et confidentielle des plaintes liées à l’EAS/HS</w:t>
            </w:r>
          </w:p>
          <w:p w14:paraId="37E649B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créer un plan visant à assurer une sélection équitable des bénéficiaires (y compris des critères de sélection) et établir un nombre cible de bénéficiaires qui sont des femmes chef de famille.</w:t>
            </w:r>
          </w:p>
        </w:tc>
        <w:tc>
          <w:tcPr>
            <w:tcW w:w="2144" w:type="dxa"/>
            <w:shd w:val="clear" w:color="auto" w:fill="auto"/>
          </w:tcPr>
          <w:p w14:paraId="18A63A4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3C15D4D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2C92EDE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et administration locale</w:t>
            </w:r>
          </w:p>
        </w:tc>
      </w:tr>
      <w:tr w:rsidR="00BB0401" w:rsidRPr="00C54132" w14:paraId="7CD62853" w14:textId="77777777" w:rsidTr="00730A4A">
        <w:trPr>
          <w:trHeight w:val="1350"/>
        </w:trPr>
        <w:tc>
          <w:tcPr>
            <w:tcW w:w="1806" w:type="dxa"/>
            <w:vMerge/>
            <w:shd w:val="clear" w:color="auto" w:fill="auto"/>
          </w:tcPr>
          <w:p w14:paraId="7F319044" w14:textId="77777777" w:rsidR="00F42DAB" w:rsidRPr="00730A4A" w:rsidRDefault="00F42DAB" w:rsidP="0092469F">
            <w:pPr>
              <w:rPr>
                <w:rFonts w:cs="Arial"/>
                <w:sz w:val="22"/>
                <w:szCs w:val="20"/>
              </w:rPr>
            </w:pPr>
          </w:p>
        </w:tc>
        <w:tc>
          <w:tcPr>
            <w:tcW w:w="2271" w:type="dxa"/>
            <w:shd w:val="clear" w:color="auto" w:fill="auto"/>
          </w:tcPr>
          <w:p w14:paraId="2B786D0D" w14:textId="77777777" w:rsidR="00F42DAB" w:rsidRPr="00730A4A" w:rsidRDefault="00F42DAB" w:rsidP="00730A4A">
            <w:pPr>
              <w:jc w:val="left"/>
              <w:rPr>
                <w:rFonts w:cs="Arial"/>
                <w:color w:val="000000"/>
                <w:sz w:val="22"/>
                <w:szCs w:val="20"/>
              </w:rPr>
            </w:pPr>
            <w:r w:rsidRPr="00730A4A">
              <w:rPr>
                <w:rFonts w:cs="Arial"/>
                <w:color w:val="000000"/>
                <w:sz w:val="22"/>
                <w:szCs w:val="20"/>
              </w:rPr>
              <w:t>Risque des conflits sociaux en cas de transformation des systèmes fonciers traditionnels.</w:t>
            </w:r>
          </w:p>
        </w:tc>
        <w:tc>
          <w:tcPr>
            <w:tcW w:w="4975" w:type="dxa"/>
            <w:shd w:val="clear" w:color="auto" w:fill="auto"/>
          </w:tcPr>
          <w:p w14:paraId="45FC586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Veuillez au respect des us et coutumes moins rétrogrades et en faveur de la femme et la jeune fille en organisant des plaidoyers avec les leaders coutumiers et religieux ; </w:t>
            </w:r>
          </w:p>
          <w:p w14:paraId="7CD72DBE"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Privilégier le dialogue et la résolution à l’amiable en cas des différends pour les plaintes globales (toujours en dehors des cas de VBG, EAS, et HS) ;</w:t>
            </w:r>
          </w:p>
          <w:p w14:paraId="6602CE2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le MGP du PNDA pour les plaintes globales et une sous-commission VBG/EAS/HS du MGP qui tiendra compte, des procédures spécifiques à la gestion éthique et confidentielle des plaintes liées à l’EAS/HS</w:t>
            </w:r>
          </w:p>
        </w:tc>
        <w:tc>
          <w:tcPr>
            <w:tcW w:w="2144" w:type="dxa"/>
            <w:shd w:val="clear" w:color="auto" w:fill="auto"/>
          </w:tcPr>
          <w:p w14:paraId="14AC93CE"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3BAEF83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427425A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et administration locale</w:t>
            </w:r>
          </w:p>
        </w:tc>
      </w:tr>
      <w:tr w:rsidR="00BB0401" w:rsidRPr="00C54132" w14:paraId="678AD883" w14:textId="77777777" w:rsidTr="00730A4A">
        <w:trPr>
          <w:trHeight w:val="736"/>
        </w:trPr>
        <w:tc>
          <w:tcPr>
            <w:tcW w:w="1806" w:type="dxa"/>
            <w:vMerge/>
            <w:shd w:val="clear" w:color="auto" w:fill="auto"/>
          </w:tcPr>
          <w:p w14:paraId="3ED5E71F" w14:textId="77777777" w:rsidR="00F42DAB" w:rsidRPr="00730A4A" w:rsidRDefault="00F42DAB" w:rsidP="0092469F">
            <w:pPr>
              <w:rPr>
                <w:rFonts w:cs="Arial"/>
                <w:sz w:val="22"/>
                <w:szCs w:val="20"/>
              </w:rPr>
            </w:pPr>
          </w:p>
        </w:tc>
        <w:tc>
          <w:tcPr>
            <w:tcW w:w="2271" w:type="dxa"/>
            <w:shd w:val="clear" w:color="auto" w:fill="auto"/>
          </w:tcPr>
          <w:p w14:paraId="2F106A8D" w14:textId="77777777" w:rsidR="00F42DAB" w:rsidRPr="00730A4A" w:rsidRDefault="00F42DAB" w:rsidP="00730A4A">
            <w:pPr>
              <w:jc w:val="left"/>
              <w:rPr>
                <w:rFonts w:cs="Arial"/>
                <w:color w:val="000000"/>
                <w:sz w:val="22"/>
                <w:szCs w:val="20"/>
              </w:rPr>
            </w:pPr>
            <w:r w:rsidRPr="00730A4A">
              <w:rPr>
                <w:rFonts w:cs="Arial"/>
                <w:color w:val="000000"/>
                <w:sz w:val="22"/>
                <w:szCs w:val="20"/>
              </w:rPr>
              <w:t>N</w:t>
            </w:r>
            <w:r w:rsidRPr="00730A4A" w:rsidDel="00F63752">
              <w:rPr>
                <w:rFonts w:cs="Arial"/>
                <w:color w:val="000000"/>
                <w:sz w:val="22"/>
                <w:szCs w:val="20"/>
              </w:rPr>
              <w:t>on-respect des critères de sélection des ménages éligibles</w:t>
            </w:r>
          </w:p>
        </w:tc>
        <w:tc>
          <w:tcPr>
            <w:tcW w:w="4975" w:type="dxa"/>
            <w:shd w:val="clear" w:color="auto" w:fill="auto"/>
          </w:tcPr>
          <w:p w14:paraId="23D4785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Respecter des critères établis pour la sélection des ménages éligibles bénéficiaires des intrants agricoles et autres subventions (aides) </w:t>
            </w:r>
          </w:p>
        </w:tc>
        <w:tc>
          <w:tcPr>
            <w:tcW w:w="2144" w:type="dxa"/>
            <w:shd w:val="clear" w:color="auto" w:fill="auto"/>
          </w:tcPr>
          <w:p w14:paraId="291988A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539B7F5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0F70702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et administration locale</w:t>
            </w:r>
          </w:p>
        </w:tc>
      </w:tr>
      <w:tr w:rsidR="00BB0401" w:rsidRPr="00C54132" w14:paraId="2071B347" w14:textId="77777777" w:rsidTr="00730A4A">
        <w:trPr>
          <w:trHeight w:val="1350"/>
        </w:trPr>
        <w:tc>
          <w:tcPr>
            <w:tcW w:w="1806" w:type="dxa"/>
            <w:vMerge/>
            <w:shd w:val="clear" w:color="auto" w:fill="auto"/>
          </w:tcPr>
          <w:p w14:paraId="54A105B6" w14:textId="77777777" w:rsidR="00F42DAB" w:rsidRPr="00730A4A" w:rsidRDefault="00F42DAB" w:rsidP="0092469F">
            <w:pPr>
              <w:rPr>
                <w:rFonts w:cs="Arial"/>
                <w:sz w:val="22"/>
                <w:szCs w:val="20"/>
              </w:rPr>
            </w:pPr>
          </w:p>
        </w:tc>
        <w:tc>
          <w:tcPr>
            <w:tcW w:w="2271" w:type="dxa"/>
            <w:shd w:val="clear" w:color="auto" w:fill="auto"/>
          </w:tcPr>
          <w:p w14:paraId="4064F514" w14:textId="77777777" w:rsidR="00F42DAB" w:rsidRPr="00730A4A" w:rsidRDefault="00F42DAB" w:rsidP="00730A4A">
            <w:pPr>
              <w:jc w:val="left"/>
              <w:rPr>
                <w:rFonts w:cs="Arial"/>
                <w:color w:val="000000"/>
                <w:sz w:val="22"/>
                <w:szCs w:val="20"/>
              </w:rPr>
            </w:pPr>
            <w:r w:rsidRPr="00730A4A">
              <w:rPr>
                <w:rFonts w:cs="Arial"/>
                <w:color w:val="000000"/>
                <w:sz w:val="22"/>
                <w:szCs w:val="20"/>
              </w:rPr>
              <w:t>R</w:t>
            </w:r>
            <w:r w:rsidRPr="00730A4A" w:rsidDel="00F63752">
              <w:rPr>
                <w:rFonts w:cs="Arial"/>
                <w:color w:val="000000"/>
                <w:sz w:val="22"/>
                <w:szCs w:val="20"/>
              </w:rPr>
              <w:t>isque de la discrimination des populations autochtones lors de la sélection des ménages vulnérables</w:t>
            </w:r>
            <w:r w:rsidRPr="00730A4A">
              <w:rPr>
                <w:rFonts w:cs="Arial"/>
                <w:color w:val="000000"/>
                <w:sz w:val="22"/>
                <w:szCs w:val="20"/>
              </w:rPr>
              <w:t> </w:t>
            </w:r>
          </w:p>
        </w:tc>
        <w:tc>
          <w:tcPr>
            <w:tcW w:w="4975" w:type="dxa"/>
            <w:shd w:val="clear" w:color="auto" w:fill="auto"/>
          </w:tcPr>
          <w:p w14:paraId="7C1AD18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Impliquer régulièrement et sans discrimination les PA dans toutes activités du PNDA les concernant ;</w:t>
            </w:r>
          </w:p>
          <w:p w14:paraId="2BE65E3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Sélectionner équitablement les ménages PA éligibles bénéficiaires des intrants agricoles et autres aides en tenant compte de leur vulnérabilité ;</w:t>
            </w:r>
          </w:p>
          <w:p w14:paraId="3FB9938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le MGP spécifique aux PA ;</w:t>
            </w:r>
          </w:p>
        </w:tc>
        <w:tc>
          <w:tcPr>
            <w:tcW w:w="2144" w:type="dxa"/>
            <w:shd w:val="clear" w:color="auto" w:fill="auto"/>
          </w:tcPr>
          <w:p w14:paraId="4D5DDF0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254153A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5633E8A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et administration locale</w:t>
            </w:r>
          </w:p>
        </w:tc>
      </w:tr>
      <w:tr w:rsidR="00BB0401" w:rsidRPr="00C54132" w14:paraId="071F9BA9" w14:textId="77777777" w:rsidTr="00730A4A">
        <w:trPr>
          <w:trHeight w:val="880"/>
        </w:trPr>
        <w:tc>
          <w:tcPr>
            <w:tcW w:w="1806" w:type="dxa"/>
            <w:vMerge/>
            <w:shd w:val="clear" w:color="auto" w:fill="auto"/>
          </w:tcPr>
          <w:p w14:paraId="44F76563" w14:textId="77777777" w:rsidR="00F42DAB" w:rsidRPr="00730A4A" w:rsidRDefault="00F42DAB" w:rsidP="0092469F">
            <w:pPr>
              <w:rPr>
                <w:rFonts w:cs="Arial"/>
                <w:sz w:val="22"/>
                <w:szCs w:val="20"/>
              </w:rPr>
            </w:pPr>
          </w:p>
        </w:tc>
        <w:tc>
          <w:tcPr>
            <w:tcW w:w="2271" w:type="dxa"/>
            <w:shd w:val="clear" w:color="auto" w:fill="auto"/>
          </w:tcPr>
          <w:p w14:paraId="61F96273" w14:textId="77777777" w:rsidR="00F42DAB" w:rsidRPr="00730A4A" w:rsidRDefault="00F42DAB" w:rsidP="00730A4A">
            <w:pPr>
              <w:jc w:val="left"/>
              <w:rPr>
                <w:rFonts w:cs="Arial"/>
                <w:sz w:val="22"/>
                <w:szCs w:val="20"/>
              </w:rPr>
            </w:pPr>
            <w:r w:rsidRPr="00730A4A">
              <w:rPr>
                <w:rFonts w:cs="Arial"/>
                <w:color w:val="000000"/>
                <w:sz w:val="22"/>
                <w:szCs w:val="20"/>
              </w:rPr>
              <w:t>R</w:t>
            </w:r>
            <w:r w:rsidRPr="00730A4A" w:rsidDel="00F63752">
              <w:rPr>
                <w:rFonts w:cs="Arial"/>
                <w:color w:val="000000"/>
                <w:sz w:val="22"/>
                <w:szCs w:val="20"/>
              </w:rPr>
              <w:t>isque d’une discrimination liée au sexe</w:t>
            </w:r>
          </w:p>
        </w:tc>
        <w:tc>
          <w:tcPr>
            <w:tcW w:w="4975" w:type="dxa"/>
            <w:shd w:val="clear" w:color="auto" w:fill="auto"/>
          </w:tcPr>
          <w:p w14:paraId="3742CDA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Tenir compte des 30 % du quota des femmes dans la réalisation de toutes les activités du PNDA </w:t>
            </w:r>
          </w:p>
        </w:tc>
        <w:tc>
          <w:tcPr>
            <w:tcW w:w="2144" w:type="dxa"/>
            <w:shd w:val="clear" w:color="auto" w:fill="auto"/>
          </w:tcPr>
          <w:p w14:paraId="18D8BE3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4E05F41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5571BAF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et administration locale</w:t>
            </w:r>
          </w:p>
        </w:tc>
      </w:tr>
      <w:tr w:rsidR="00BB0401" w:rsidRPr="00C54132" w14:paraId="336B33A0" w14:textId="77777777" w:rsidTr="00730A4A">
        <w:trPr>
          <w:trHeight w:val="880"/>
        </w:trPr>
        <w:tc>
          <w:tcPr>
            <w:tcW w:w="1806" w:type="dxa"/>
            <w:vMerge/>
            <w:shd w:val="clear" w:color="auto" w:fill="auto"/>
          </w:tcPr>
          <w:p w14:paraId="62A35FC2" w14:textId="77777777" w:rsidR="00F42DAB" w:rsidRPr="00730A4A" w:rsidRDefault="00F42DAB" w:rsidP="0092469F">
            <w:pPr>
              <w:rPr>
                <w:rFonts w:cs="Arial"/>
                <w:sz w:val="22"/>
                <w:szCs w:val="20"/>
              </w:rPr>
            </w:pPr>
          </w:p>
        </w:tc>
        <w:tc>
          <w:tcPr>
            <w:tcW w:w="2271" w:type="dxa"/>
            <w:shd w:val="clear" w:color="auto" w:fill="auto"/>
          </w:tcPr>
          <w:p w14:paraId="309D8C9D" w14:textId="77777777" w:rsidR="00F42DAB" w:rsidRPr="00730A4A" w:rsidRDefault="00F42DAB" w:rsidP="00730A4A">
            <w:pPr>
              <w:jc w:val="left"/>
              <w:rPr>
                <w:rFonts w:cs="Arial"/>
                <w:color w:val="000000"/>
                <w:sz w:val="22"/>
                <w:szCs w:val="20"/>
              </w:rPr>
            </w:pPr>
            <w:r w:rsidRPr="00730A4A">
              <w:rPr>
                <w:rFonts w:cs="Arial"/>
                <w:sz w:val="22"/>
                <w:szCs w:val="20"/>
              </w:rPr>
              <w:t>Risque de la discrimination des femmes et la non integration de la jeunesse dans le renforcement des capacités des services publics agricoles au niveau local.</w:t>
            </w:r>
          </w:p>
        </w:tc>
        <w:tc>
          <w:tcPr>
            <w:tcW w:w="4975" w:type="dxa"/>
            <w:shd w:val="clear" w:color="auto" w:fill="auto"/>
          </w:tcPr>
          <w:p w14:paraId="2728358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Intégrer les femmes et la jeunesse dans le programme de renforcement des capacités des services publics agricoles au niveau local</w:t>
            </w:r>
          </w:p>
          <w:p w14:paraId="4C9A7BB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Sensibiliser les fonctionnaires de services publics du secteur sur la lute contre le conflit de generation dans le milieu professionnel</w:t>
            </w:r>
          </w:p>
        </w:tc>
        <w:tc>
          <w:tcPr>
            <w:tcW w:w="2144" w:type="dxa"/>
            <w:shd w:val="clear" w:color="auto" w:fill="auto"/>
          </w:tcPr>
          <w:p w14:paraId="5D892F7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72EEB81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4B19AF6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et administration locale</w:t>
            </w:r>
          </w:p>
        </w:tc>
      </w:tr>
      <w:tr w:rsidR="00BB0401" w:rsidRPr="00C54132" w14:paraId="00F6A04A" w14:textId="77777777" w:rsidTr="00730A4A">
        <w:trPr>
          <w:trHeight w:val="880"/>
        </w:trPr>
        <w:tc>
          <w:tcPr>
            <w:tcW w:w="1806" w:type="dxa"/>
            <w:vMerge/>
            <w:shd w:val="clear" w:color="auto" w:fill="auto"/>
          </w:tcPr>
          <w:p w14:paraId="32A84ADB" w14:textId="77777777" w:rsidR="00F42DAB" w:rsidRPr="00730A4A" w:rsidRDefault="00F42DAB" w:rsidP="0092469F">
            <w:pPr>
              <w:rPr>
                <w:rFonts w:cs="Arial"/>
                <w:sz w:val="22"/>
                <w:szCs w:val="20"/>
              </w:rPr>
            </w:pPr>
          </w:p>
        </w:tc>
        <w:tc>
          <w:tcPr>
            <w:tcW w:w="2271" w:type="dxa"/>
            <w:shd w:val="clear" w:color="auto" w:fill="auto"/>
          </w:tcPr>
          <w:p w14:paraId="7D4C8334" w14:textId="77777777" w:rsidR="00F42DAB" w:rsidRPr="00730A4A" w:rsidRDefault="00F42DAB" w:rsidP="00730A4A">
            <w:pPr>
              <w:jc w:val="left"/>
              <w:rPr>
                <w:rFonts w:cs="Arial"/>
                <w:sz w:val="22"/>
                <w:szCs w:val="20"/>
              </w:rPr>
            </w:pPr>
            <w:r w:rsidRPr="00730A4A">
              <w:rPr>
                <w:rFonts w:cs="Arial"/>
                <w:sz w:val="22"/>
                <w:szCs w:val="20"/>
              </w:rPr>
              <w:t>Risqué de la découverte fortuite et de la découverte de REG</w:t>
            </w:r>
          </w:p>
        </w:tc>
        <w:tc>
          <w:tcPr>
            <w:tcW w:w="4975" w:type="dxa"/>
            <w:shd w:val="clear" w:color="auto" w:fill="auto"/>
          </w:tcPr>
          <w:p w14:paraId="7B52655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Appliquer les procédures de la découverte fortuite conformément à la NES n°8</w:t>
            </w:r>
          </w:p>
          <w:p w14:paraId="23059EF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Appliquer les procédures de la découverte de REG</w:t>
            </w:r>
          </w:p>
          <w:p w14:paraId="29B0D2D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Sensibiliser la population sur le danger des mines antipersonnels dans les perimètres des travaux se trouvant dans la zone du conflit</w:t>
            </w:r>
          </w:p>
        </w:tc>
        <w:tc>
          <w:tcPr>
            <w:tcW w:w="2144" w:type="dxa"/>
            <w:shd w:val="clear" w:color="auto" w:fill="auto"/>
          </w:tcPr>
          <w:p w14:paraId="7F95127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14F1437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06B5A13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FARDC, Police Nationale et administration locale</w:t>
            </w:r>
          </w:p>
        </w:tc>
      </w:tr>
      <w:tr w:rsidR="00BB0401" w:rsidRPr="00C54132" w14:paraId="4173EF6A" w14:textId="77777777" w:rsidTr="00730A4A">
        <w:trPr>
          <w:trHeight w:val="1350"/>
        </w:trPr>
        <w:tc>
          <w:tcPr>
            <w:tcW w:w="1806" w:type="dxa"/>
            <w:vMerge/>
            <w:shd w:val="clear" w:color="auto" w:fill="auto"/>
          </w:tcPr>
          <w:p w14:paraId="106FDA2D" w14:textId="77777777" w:rsidR="00F42DAB" w:rsidRPr="00730A4A" w:rsidRDefault="00F42DAB" w:rsidP="0092469F">
            <w:pPr>
              <w:rPr>
                <w:rFonts w:cs="Arial"/>
                <w:sz w:val="22"/>
                <w:szCs w:val="20"/>
              </w:rPr>
            </w:pPr>
          </w:p>
        </w:tc>
        <w:tc>
          <w:tcPr>
            <w:tcW w:w="2271" w:type="dxa"/>
            <w:shd w:val="clear" w:color="auto" w:fill="auto"/>
          </w:tcPr>
          <w:p w14:paraId="2E11B908" w14:textId="77777777" w:rsidR="00F42DAB" w:rsidRPr="00730A4A" w:rsidRDefault="00F42DAB" w:rsidP="00730A4A">
            <w:pPr>
              <w:jc w:val="left"/>
              <w:rPr>
                <w:rFonts w:cs="Arial"/>
                <w:color w:val="000000"/>
                <w:sz w:val="22"/>
                <w:szCs w:val="20"/>
              </w:rPr>
            </w:pPr>
          </w:p>
          <w:p w14:paraId="78F42E39" w14:textId="77777777" w:rsidR="00F42DAB" w:rsidRPr="00730A4A" w:rsidRDefault="00F42DAB" w:rsidP="00730A4A">
            <w:pPr>
              <w:jc w:val="left"/>
              <w:rPr>
                <w:rFonts w:cs="Arial"/>
                <w:color w:val="000000"/>
                <w:sz w:val="22"/>
                <w:szCs w:val="20"/>
              </w:rPr>
            </w:pPr>
          </w:p>
          <w:p w14:paraId="4A9E3FBF" w14:textId="77777777" w:rsidR="00F42DAB" w:rsidRPr="00730A4A" w:rsidRDefault="00F42DAB" w:rsidP="00730A4A">
            <w:pPr>
              <w:jc w:val="left"/>
              <w:rPr>
                <w:rFonts w:cs="Arial"/>
                <w:color w:val="000000"/>
                <w:sz w:val="22"/>
                <w:szCs w:val="20"/>
              </w:rPr>
            </w:pPr>
            <w:r w:rsidRPr="00730A4A">
              <w:rPr>
                <w:rFonts w:cs="Arial"/>
                <w:color w:val="000000"/>
                <w:sz w:val="22"/>
                <w:szCs w:val="20"/>
              </w:rPr>
              <w:t>Risque du détournement de fonds de la caisse villageoise</w:t>
            </w:r>
          </w:p>
          <w:p w14:paraId="34006E5C" w14:textId="77777777" w:rsidR="00F42DAB" w:rsidRPr="00730A4A" w:rsidRDefault="00F42DAB" w:rsidP="00730A4A">
            <w:pPr>
              <w:jc w:val="left"/>
              <w:rPr>
                <w:rFonts w:cs="Arial"/>
                <w:color w:val="000000"/>
                <w:sz w:val="22"/>
                <w:szCs w:val="20"/>
              </w:rPr>
            </w:pPr>
          </w:p>
        </w:tc>
        <w:tc>
          <w:tcPr>
            <w:tcW w:w="4975" w:type="dxa"/>
            <w:shd w:val="clear" w:color="auto" w:fill="auto"/>
          </w:tcPr>
          <w:p w14:paraId="0F968F7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le système de gestion transparent ;</w:t>
            </w:r>
          </w:p>
          <w:p w14:paraId="1E09E1F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un mécanisme de suivi et contrôle réguliers des activités ;</w:t>
            </w:r>
          </w:p>
          <w:p w14:paraId="7C2E29C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un système de rédévabilité ;</w:t>
            </w:r>
          </w:p>
          <w:p w14:paraId="1206875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Former les parties prenantes dans la bonne gouvernance agricole ;</w:t>
            </w:r>
          </w:p>
          <w:p w14:paraId="1F832E2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Former les parties prenantes dans la lutte contre la corruption</w:t>
            </w:r>
          </w:p>
        </w:tc>
        <w:tc>
          <w:tcPr>
            <w:tcW w:w="2144" w:type="dxa"/>
            <w:shd w:val="clear" w:color="auto" w:fill="auto"/>
          </w:tcPr>
          <w:p w14:paraId="068DAF2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0485857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 les associations et coopératives agricoles, les IF</w:t>
            </w:r>
          </w:p>
        </w:tc>
        <w:tc>
          <w:tcPr>
            <w:tcW w:w="2190" w:type="dxa"/>
            <w:shd w:val="clear" w:color="auto" w:fill="auto"/>
          </w:tcPr>
          <w:p w14:paraId="115D402E"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et administration locale</w:t>
            </w:r>
          </w:p>
        </w:tc>
      </w:tr>
      <w:tr w:rsidR="00BB0401" w:rsidRPr="00C54132" w14:paraId="25231F82" w14:textId="77777777" w:rsidTr="00730A4A">
        <w:trPr>
          <w:trHeight w:val="1350"/>
        </w:trPr>
        <w:tc>
          <w:tcPr>
            <w:tcW w:w="1806" w:type="dxa"/>
            <w:vMerge/>
            <w:shd w:val="clear" w:color="auto" w:fill="auto"/>
          </w:tcPr>
          <w:p w14:paraId="17B49305" w14:textId="77777777" w:rsidR="00F42DAB" w:rsidRPr="00730A4A" w:rsidRDefault="00F42DAB" w:rsidP="0092469F">
            <w:pPr>
              <w:rPr>
                <w:rFonts w:cs="Arial"/>
                <w:sz w:val="22"/>
                <w:szCs w:val="20"/>
              </w:rPr>
            </w:pPr>
          </w:p>
        </w:tc>
        <w:tc>
          <w:tcPr>
            <w:tcW w:w="2271" w:type="dxa"/>
            <w:shd w:val="clear" w:color="auto" w:fill="auto"/>
          </w:tcPr>
          <w:p w14:paraId="0578F4AC" w14:textId="77777777" w:rsidR="00F42DAB" w:rsidRPr="00730A4A" w:rsidRDefault="00F42DAB" w:rsidP="00730A4A">
            <w:pPr>
              <w:jc w:val="left"/>
              <w:rPr>
                <w:rFonts w:cs="Arial"/>
                <w:color w:val="000000"/>
                <w:sz w:val="22"/>
                <w:szCs w:val="20"/>
              </w:rPr>
            </w:pPr>
            <w:r w:rsidRPr="00730A4A">
              <w:rPr>
                <w:rFonts w:cs="Arial"/>
                <w:color w:val="000000"/>
                <w:sz w:val="22"/>
                <w:szCs w:val="20"/>
              </w:rPr>
              <w:t>Risque de production de déchets biomédicaux liés à la vaccination des bétails</w:t>
            </w:r>
          </w:p>
        </w:tc>
        <w:tc>
          <w:tcPr>
            <w:tcW w:w="4975" w:type="dxa"/>
            <w:shd w:val="clear" w:color="auto" w:fill="auto"/>
          </w:tcPr>
          <w:p w14:paraId="0C4F136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un Plan de Gestion des Déchets biomédicaux</w:t>
            </w:r>
          </w:p>
        </w:tc>
        <w:tc>
          <w:tcPr>
            <w:tcW w:w="2144" w:type="dxa"/>
            <w:shd w:val="clear" w:color="auto" w:fill="auto"/>
          </w:tcPr>
          <w:p w14:paraId="50A7EA4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54D35E7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 les associations et coopératives agricoles, les IF</w:t>
            </w:r>
          </w:p>
        </w:tc>
        <w:tc>
          <w:tcPr>
            <w:tcW w:w="2190" w:type="dxa"/>
            <w:shd w:val="clear" w:color="auto" w:fill="auto"/>
          </w:tcPr>
          <w:p w14:paraId="4BDAD4D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et administration locale</w:t>
            </w:r>
          </w:p>
        </w:tc>
      </w:tr>
      <w:tr w:rsidR="00BB0401" w:rsidRPr="00C54132" w14:paraId="70ACAD18" w14:textId="77777777" w:rsidTr="00730A4A">
        <w:trPr>
          <w:trHeight w:val="1350"/>
        </w:trPr>
        <w:tc>
          <w:tcPr>
            <w:tcW w:w="1806" w:type="dxa"/>
            <w:vMerge/>
            <w:shd w:val="clear" w:color="auto" w:fill="auto"/>
          </w:tcPr>
          <w:p w14:paraId="4F7C7FF0" w14:textId="77777777" w:rsidR="00F42DAB" w:rsidRPr="00730A4A" w:rsidRDefault="00F42DAB" w:rsidP="009F6906">
            <w:pPr>
              <w:rPr>
                <w:rFonts w:cs="Arial"/>
                <w:sz w:val="22"/>
                <w:szCs w:val="20"/>
              </w:rPr>
            </w:pPr>
          </w:p>
        </w:tc>
        <w:tc>
          <w:tcPr>
            <w:tcW w:w="2271" w:type="dxa"/>
            <w:shd w:val="clear" w:color="auto" w:fill="auto"/>
          </w:tcPr>
          <w:p w14:paraId="7644FF7D" w14:textId="77777777" w:rsidR="00F42DAB" w:rsidRPr="00730A4A" w:rsidRDefault="00F42DAB" w:rsidP="00730A4A">
            <w:pPr>
              <w:pStyle w:val="TableParagraph"/>
              <w:spacing w:line="276" w:lineRule="auto"/>
              <w:ind w:right="130"/>
              <w:rPr>
                <w:szCs w:val="20"/>
                <w:lang w:val="fr-FR"/>
              </w:rPr>
            </w:pPr>
          </w:p>
          <w:p w14:paraId="500A4E6D" w14:textId="77777777" w:rsidR="00F42DAB" w:rsidRPr="00730A4A" w:rsidRDefault="00F42DAB" w:rsidP="00730A4A">
            <w:pPr>
              <w:pStyle w:val="TableParagraph"/>
              <w:spacing w:line="276" w:lineRule="auto"/>
              <w:ind w:right="130"/>
              <w:rPr>
                <w:szCs w:val="20"/>
                <w:lang w:val="fr-FR"/>
              </w:rPr>
            </w:pPr>
          </w:p>
          <w:p w14:paraId="366F9AB8" w14:textId="77777777" w:rsidR="00F42DAB" w:rsidRPr="00730A4A" w:rsidRDefault="00F42DAB" w:rsidP="00730A4A">
            <w:pPr>
              <w:pStyle w:val="TableParagraph"/>
              <w:spacing w:line="276" w:lineRule="auto"/>
              <w:ind w:right="130"/>
              <w:rPr>
                <w:szCs w:val="20"/>
                <w:lang w:val="fr-FR"/>
              </w:rPr>
            </w:pPr>
            <w:r w:rsidRPr="00730A4A">
              <w:rPr>
                <w:szCs w:val="20"/>
                <w:lang w:val="fr-FR"/>
              </w:rPr>
              <w:t>Mauvaises conditions des travailleurs et des entreprises sous-traitantes sur les chantiers</w:t>
            </w:r>
          </w:p>
        </w:tc>
        <w:tc>
          <w:tcPr>
            <w:tcW w:w="4975" w:type="dxa"/>
            <w:shd w:val="clear" w:color="auto" w:fill="auto"/>
          </w:tcPr>
          <w:p w14:paraId="728F46A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Pour tous les sous-projets, durant la phase de construction, pour se conformer à la NES n°2, le PNDA élaborera et mettra en œuvre un Plan de Gestion de la Main-d’œuvre qui s’appliquera à l’ensemble des activités du Projet. Ce Plan et procédures décriront la manière dont les travailleurs de tous les sous-projets du PNDA seront gérés, conformément aux prescriptions de la législation nationale de la RDC. La NES n°2 s’appliquera aux différentes catégories de travailleurs du Projet, y compris les travailleurs directs, et les obligations que le Gouvernement de la RDC imposera aux tiers concernant la gestion de leurs employés :</w:t>
            </w:r>
          </w:p>
          <w:p w14:paraId="7D957AC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Pour se conformer à la NES n°2, le droit des travailleurs à se constituer en association, à adhérer à une organisation de leur choix et à négocier collectivement sans ingérence aucune, le projet sera mis en œuvre conformément au droit national ;</w:t>
            </w:r>
          </w:p>
          <w:p w14:paraId="6A93507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œuvre le Plan de Mobilisation des Parties Prenantes conformément à la NES n°10 ;</w:t>
            </w:r>
          </w:p>
          <w:p w14:paraId="30821BE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Rendre opérationnel le MGP du PNDA, en tenant compte des procédures spécifiques à la gestion éthique et confidentielle des plaintes liées à l’EAS/HS ;</w:t>
            </w:r>
          </w:p>
          <w:p w14:paraId="0A7440E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Se conformer aux dispositions du Plan d’engagement environnemental et social (PEES) du projet ;</w:t>
            </w:r>
          </w:p>
          <w:p w14:paraId="28E9F62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Recenser et indemniser les PAP conformément à la NES n°5 : acquisition des terres, restrictions à l’utilisation des terres et réinstallation forcée ;</w:t>
            </w:r>
          </w:p>
          <w:p w14:paraId="3294AD5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Faire signer des contrats clairs aux ouvriers et les respecter ;</w:t>
            </w:r>
          </w:p>
          <w:p w14:paraId="0CCA38B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Préparation d’un Plan d’action EAS/HS pour le projet en tenant compte des dispositifs </w:t>
            </w:r>
            <w:r w:rsidRPr="00730A4A">
              <w:rPr>
                <w:rFonts w:eastAsia="MS Mincho"/>
                <w:szCs w:val="20"/>
                <w:lang w:val="fr-FR"/>
              </w:rPr>
              <w:t>d’atténuation (mise en place du code de bonne conduite, des sensibilisations et consultations communautaires, ainsi que des formations des travailleurs) et de réponse (cartographie des services de prise en charge des survivant(e)s et référencement aux services, ainsi qu’élaboration du MGP sensible à l’EAS/HS)</w:t>
            </w:r>
            <w:r w:rsidRPr="00730A4A">
              <w:rPr>
                <w:szCs w:val="20"/>
                <w:lang w:val="fr-FR"/>
              </w:rPr>
              <w:t> ;</w:t>
            </w:r>
          </w:p>
          <w:p w14:paraId="44EED67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Préparation d’un code de bonne conduite : individuelle, du gestionnaire et de l’entreprise intégrant un langage explicite sur les comportements interdits et les notions clés sur l’EAS et le HS, y compris les définitions et la notion de consentement.</w:t>
            </w:r>
          </w:p>
        </w:tc>
        <w:tc>
          <w:tcPr>
            <w:tcW w:w="2144" w:type="dxa"/>
            <w:shd w:val="clear" w:color="auto" w:fill="auto"/>
          </w:tcPr>
          <w:p w14:paraId="19A5809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7D43355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16630B1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et administration locale</w:t>
            </w:r>
          </w:p>
        </w:tc>
      </w:tr>
      <w:tr w:rsidR="00BB0401" w:rsidRPr="00C54132" w14:paraId="022882C3" w14:textId="77777777" w:rsidTr="00730A4A">
        <w:trPr>
          <w:trHeight w:val="533"/>
        </w:trPr>
        <w:tc>
          <w:tcPr>
            <w:tcW w:w="1806" w:type="dxa"/>
            <w:vMerge/>
            <w:shd w:val="clear" w:color="auto" w:fill="auto"/>
          </w:tcPr>
          <w:p w14:paraId="2B795FB7" w14:textId="77777777" w:rsidR="00F42DAB" w:rsidRPr="00730A4A" w:rsidRDefault="00F42DAB" w:rsidP="009F6906">
            <w:pPr>
              <w:rPr>
                <w:rFonts w:cs="Arial"/>
                <w:sz w:val="22"/>
                <w:szCs w:val="20"/>
              </w:rPr>
            </w:pPr>
          </w:p>
        </w:tc>
        <w:tc>
          <w:tcPr>
            <w:tcW w:w="2271" w:type="dxa"/>
            <w:shd w:val="clear" w:color="auto" w:fill="auto"/>
          </w:tcPr>
          <w:p w14:paraId="6A59BBD5" w14:textId="77777777" w:rsidR="00F42DAB" w:rsidRPr="00730A4A" w:rsidRDefault="00F42DAB" w:rsidP="00730A4A">
            <w:pPr>
              <w:pStyle w:val="TableParagraph"/>
              <w:spacing w:line="276" w:lineRule="auto"/>
              <w:ind w:right="130"/>
              <w:rPr>
                <w:szCs w:val="20"/>
                <w:lang w:val="fr-FR"/>
              </w:rPr>
            </w:pPr>
            <w:r w:rsidRPr="00730A4A">
              <w:rPr>
                <w:szCs w:val="20"/>
                <w:lang w:val="fr-FR"/>
              </w:rPr>
              <w:t>Risque de travail de forcé</w:t>
            </w:r>
          </w:p>
        </w:tc>
        <w:tc>
          <w:tcPr>
            <w:tcW w:w="4975" w:type="dxa"/>
            <w:shd w:val="clear" w:color="auto" w:fill="auto"/>
          </w:tcPr>
          <w:p w14:paraId="0F87B7BE" w14:textId="77777777" w:rsidR="00F42DAB" w:rsidRPr="00730A4A" w:rsidDel="00817A31" w:rsidRDefault="00F42DAB" w:rsidP="00730A4A">
            <w:pPr>
              <w:pStyle w:val="Paragraphedeliste"/>
              <w:numPr>
                <w:ilvl w:val="0"/>
                <w:numId w:val="49"/>
              </w:numPr>
              <w:rPr>
                <w:szCs w:val="20"/>
              </w:rPr>
            </w:pPr>
            <w:r w:rsidRPr="00730A4A">
              <w:rPr>
                <w:sz w:val="22"/>
                <w:szCs w:val="20"/>
              </w:rPr>
              <w:t>Le travail forcé est également interdit dans la mise en œuvre du PNDA. Le programme n’aura pas recours au travail forcé, que l’on peut définir comme tout travail ou service exigé d’un individu sous la menace d’une peine quelconque et pour lequel ledit individu ne s’est pas offert de plein gré. Cette interdiction s’applique à toute sorte de travail forcé ou obligation, tel que le travail sous contrat, la servitude pour dettes ou des types d’emploi analogues. Aucune victime de trafic humain ne sera employée sur le Projet. Cette disposition de la NES n°2 est un impact positif majeur sur l’ensemble des sous-projets du PNDA.</w:t>
            </w:r>
          </w:p>
        </w:tc>
        <w:tc>
          <w:tcPr>
            <w:tcW w:w="2144" w:type="dxa"/>
            <w:shd w:val="clear" w:color="auto" w:fill="auto"/>
          </w:tcPr>
          <w:p w14:paraId="64A0B3EF" w14:textId="77777777" w:rsidR="00F42DAB" w:rsidRPr="00730A4A" w:rsidRDefault="00F42DAB" w:rsidP="00730A4A">
            <w:pPr>
              <w:pStyle w:val="Paragraphedeliste"/>
              <w:numPr>
                <w:ilvl w:val="0"/>
                <w:numId w:val="49"/>
              </w:numPr>
              <w:rPr>
                <w:sz w:val="22"/>
                <w:szCs w:val="20"/>
              </w:rPr>
            </w:pPr>
            <w:r w:rsidRPr="00730A4A">
              <w:rPr>
                <w:szCs w:val="20"/>
              </w:rPr>
              <w:t>Pendant la phase d’exécution du Programme</w:t>
            </w:r>
          </w:p>
        </w:tc>
        <w:tc>
          <w:tcPr>
            <w:tcW w:w="2109" w:type="dxa"/>
            <w:shd w:val="clear" w:color="auto" w:fill="auto"/>
          </w:tcPr>
          <w:p w14:paraId="0423D5B5" w14:textId="77777777" w:rsidR="00F42DAB" w:rsidRPr="00730A4A" w:rsidRDefault="00F42DAB" w:rsidP="00730A4A">
            <w:pPr>
              <w:pStyle w:val="Paragraphedeliste"/>
              <w:numPr>
                <w:ilvl w:val="0"/>
                <w:numId w:val="49"/>
              </w:numPr>
              <w:rPr>
                <w:sz w:val="22"/>
                <w:szCs w:val="20"/>
              </w:rPr>
            </w:pPr>
            <w:r w:rsidRPr="00730A4A">
              <w:rPr>
                <w:szCs w:val="20"/>
              </w:rPr>
              <w:t>Les PME, la Mission de contrôle</w:t>
            </w:r>
          </w:p>
        </w:tc>
        <w:tc>
          <w:tcPr>
            <w:tcW w:w="2190" w:type="dxa"/>
            <w:shd w:val="clear" w:color="auto" w:fill="auto"/>
          </w:tcPr>
          <w:p w14:paraId="6DCA3A39" w14:textId="77777777" w:rsidR="00F42DAB" w:rsidRPr="00730A4A" w:rsidRDefault="00F42DAB" w:rsidP="00730A4A">
            <w:pPr>
              <w:pStyle w:val="Paragraphedeliste"/>
              <w:numPr>
                <w:ilvl w:val="0"/>
                <w:numId w:val="49"/>
              </w:numPr>
              <w:rPr>
                <w:sz w:val="22"/>
                <w:szCs w:val="20"/>
              </w:rPr>
            </w:pPr>
            <w:r w:rsidRPr="00730A4A">
              <w:rPr>
                <w:szCs w:val="20"/>
              </w:rPr>
              <w:t>PNDA et l’ ACE, CPE, OVDA et administration locale</w:t>
            </w:r>
          </w:p>
        </w:tc>
      </w:tr>
      <w:tr w:rsidR="00BB0401" w:rsidRPr="00C54132" w14:paraId="57B7364D" w14:textId="77777777" w:rsidTr="00730A4A">
        <w:trPr>
          <w:trHeight w:val="895"/>
        </w:trPr>
        <w:tc>
          <w:tcPr>
            <w:tcW w:w="1806" w:type="dxa"/>
            <w:vMerge/>
            <w:shd w:val="clear" w:color="auto" w:fill="auto"/>
          </w:tcPr>
          <w:p w14:paraId="672D3599" w14:textId="77777777" w:rsidR="00F42DAB" w:rsidRPr="00730A4A" w:rsidRDefault="00F42DAB" w:rsidP="009F6906">
            <w:pPr>
              <w:rPr>
                <w:rFonts w:cs="Arial"/>
                <w:sz w:val="22"/>
                <w:szCs w:val="20"/>
              </w:rPr>
            </w:pPr>
          </w:p>
        </w:tc>
        <w:tc>
          <w:tcPr>
            <w:tcW w:w="2271" w:type="dxa"/>
            <w:shd w:val="clear" w:color="auto" w:fill="auto"/>
          </w:tcPr>
          <w:p w14:paraId="4C6E28B8" w14:textId="77777777" w:rsidR="00F42DAB" w:rsidRPr="00730A4A" w:rsidRDefault="00F42DAB" w:rsidP="00730A4A">
            <w:pPr>
              <w:pStyle w:val="TableParagraph"/>
              <w:spacing w:line="276" w:lineRule="auto"/>
              <w:ind w:right="130"/>
              <w:rPr>
                <w:szCs w:val="20"/>
                <w:lang w:val="fr-FR"/>
              </w:rPr>
            </w:pPr>
          </w:p>
          <w:p w14:paraId="391CE82C" w14:textId="77777777" w:rsidR="00F42DAB" w:rsidRPr="00730A4A" w:rsidRDefault="00F42DAB" w:rsidP="00730A4A">
            <w:pPr>
              <w:pStyle w:val="TableParagraph"/>
              <w:spacing w:line="276" w:lineRule="auto"/>
              <w:ind w:right="130"/>
              <w:rPr>
                <w:szCs w:val="20"/>
                <w:lang w:val="fr-FR"/>
              </w:rPr>
            </w:pPr>
          </w:p>
          <w:p w14:paraId="2503A4D8" w14:textId="77777777" w:rsidR="00F42DAB" w:rsidRPr="00730A4A" w:rsidRDefault="00F42DAB" w:rsidP="00730A4A">
            <w:pPr>
              <w:pStyle w:val="TableParagraph"/>
              <w:spacing w:line="276" w:lineRule="auto"/>
              <w:ind w:right="130"/>
              <w:rPr>
                <w:szCs w:val="20"/>
                <w:lang w:val="fr-FR"/>
              </w:rPr>
            </w:pPr>
          </w:p>
          <w:p w14:paraId="17D7C98A" w14:textId="77777777" w:rsidR="00F42DAB" w:rsidRPr="00730A4A" w:rsidRDefault="00F42DAB" w:rsidP="00730A4A">
            <w:pPr>
              <w:pStyle w:val="TableParagraph"/>
              <w:spacing w:line="276" w:lineRule="auto"/>
              <w:ind w:right="130"/>
              <w:rPr>
                <w:szCs w:val="20"/>
                <w:lang w:val="fr-FR"/>
              </w:rPr>
            </w:pPr>
          </w:p>
          <w:p w14:paraId="4C5B6928" w14:textId="77777777" w:rsidR="00F42DAB" w:rsidRPr="00730A4A" w:rsidRDefault="00F42DAB" w:rsidP="00730A4A">
            <w:pPr>
              <w:pStyle w:val="TableParagraph"/>
              <w:spacing w:line="276" w:lineRule="auto"/>
              <w:ind w:right="130"/>
              <w:rPr>
                <w:szCs w:val="20"/>
                <w:lang w:val="fr-FR"/>
              </w:rPr>
            </w:pPr>
          </w:p>
          <w:p w14:paraId="69DDFBF2" w14:textId="77777777" w:rsidR="00F42DAB" w:rsidRPr="00730A4A" w:rsidRDefault="00F42DAB" w:rsidP="00730A4A">
            <w:pPr>
              <w:pStyle w:val="TableParagraph"/>
              <w:spacing w:line="276" w:lineRule="auto"/>
              <w:ind w:right="130"/>
              <w:rPr>
                <w:szCs w:val="20"/>
                <w:lang w:val="fr-FR"/>
              </w:rPr>
            </w:pPr>
          </w:p>
          <w:p w14:paraId="041759A5" w14:textId="77777777" w:rsidR="00F42DAB" w:rsidRPr="00730A4A" w:rsidRDefault="00F42DAB" w:rsidP="00730A4A">
            <w:pPr>
              <w:pStyle w:val="TableParagraph"/>
              <w:spacing w:line="276" w:lineRule="auto"/>
              <w:ind w:right="130"/>
              <w:rPr>
                <w:szCs w:val="20"/>
                <w:lang w:val="fr-FR"/>
              </w:rPr>
            </w:pPr>
          </w:p>
          <w:p w14:paraId="0ED6C38B" w14:textId="77777777" w:rsidR="00F42DAB" w:rsidRPr="00730A4A" w:rsidRDefault="00F42DAB" w:rsidP="00730A4A">
            <w:pPr>
              <w:pStyle w:val="TableParagraph"/>
              <w:spacing w:line="276" w:lineRule="auto"/>
              <w:ind w:right="130"/>
              <w:rPr>
                <w:szCs w:val="20"/>
                <w:lang w:val="fr-FR"/>
              </w:rPr>
            </w:pPr>
          </w:p>
          <w:p w14:paraId="6018729A" w14:textId="77777777" w:rsidR="00F42DAB" w:rsidRPr="00730A4A" w:rsidRDefault="00F42DAB" w:rsidP="00730A4A">
            <w:pPr>
              <w:pStyle w:val="TableParagraph"/>
              <w:spacing w:line="276" w:lineRule="auto"/>
              <w:ind w:right="130"/>
              <w:rPr>
                <w:szCs w:val="20"/>
                <w:lang w:val="fr-FR"/>
              </w:rPr>
            </w:pPr>
          </w:p>
          <w:p w14:paraId="24F1663F" w14:textId="77777777" w:rsidR="00F42DAB" w:rsidRPr="00730A4A" w:rsidRDefault="00F42DAB" w:rsidP="00730A4A">
            <w:pPr>
              <w:pStyle w:val="TableParagraph"/>
              <w:spacing w:line="276" w:lineRule="auto"/>
              <w:ind w:right="130"/>
              <w:rPr>
                <w:szCs w:val="20"/>
                <w:lang w:val="fr-FR"/>
              </w:rPr>
            </w:pPr>
          </w:p>
          <w:p w14:paraId="5BEC52BB" w14:textId="77777777" w:rsidR="00F42DAB" w:rsidRPr="00730A4A" w:rsidRDefault="00F42DAB" w:rsidP="00730A4A">
            <w:pPr>
              <w:pStyle w:val="TableParagraph"/>
              <w:spacing w:line="276" w:lineRule="auto"/>
              <w:ind w:right="130"/>
              <w:rPr>
                <w:szCs w:val="20"/>
                <w:lang w:val="fr-FR"/>
              </w:rPr>
            </w:pPr>
          </w:p>
          <w:p w14:paraId="142EB397" w14:textId="77777777" w:rsidR="00F42DAB" w:rsidRPr="00730A4A" w:rsidRDefault="00F42DAB" w:rsidP="00730A4A">
            <w:pPr>
              <w:pStyle w:val="TableParagraph"/>
              <w:spacing w:line="276" w:lineRule="auto"/>
              <w:ind w:right="130"/>
              <w:rPr>
                <w:szCs w:val="20"/>
                <w:lang w:val="fr-FR"/>
              </w:rPr>
            </w:pPr>
          </w:p>
          <w:p w14:paraId="5EAC71A9" w14:textId="77777777" w:rsidR="00F42DAB" w:rsidRPr="00730A4A" w:rsidRDefault="00F42DAB" w:rsidP="00730A4A">
            <w:pPr>
              <w:pStyle w:val="TableParagraph"/>
              <w:spacing w:line="276" w:lineRule="auto"/>
              <w:ind w:right="130"/>
              <w:rPr>
                <w:szCs w:val="20"/>
                <w:lang w:val="fr-FR"/>
              </w:rPr>
            </w:pPr>
            <w:r w:rsidRPr="00730A4A">
              <w:rPr>
                <w:szCs w:val="20"/>
                <w:lang w:val="fr-FR"/>
              </w:rPr>
              <w:t>Recours à l’utilisation des forces publiques pour la sécurité des chantiers</w:t>
            </w:r>
          </w:p>
        </w:tc>
        <w:tc>
          <w:tcPr>
            <w:tcW w:w="4975" w:type="dxa"/>
            <w:shd w:val="clear" w:color="auto" w:fill="auto"/>
          </w:tcPr>
          <w:p w14:paraId="1891370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Élaborer un Plan de Gestion de Sécurité (PGS) distinct présente l’ensemble des procédures et protocoles liés à cet aspect dans le cadre du PNDA (le PGS fera une Evaluation des Risques liés à la Sécurité et proposer des mesures d’atténuation) </w:t>
            </w:r>
          </w:p>
          <w:p w14:paraId="15F8470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Collaborer avec les parties prenantes, dont les populations touchées par le projet, les ONG locales et les autres groupes susceptibles d’être particulièrement au fait des problèmes de sécurité ;</w:t>
            </w:r>
          </w:p>
          <w:p w14:paraId="70C9C8A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Un protocole d’accord contraignant ou un autre accord officiel devrait être établi, engageant les forces de sécurité publique à respecter le code de conduite du projet, à faire un usage proportionné de la force et à observer d’autres règles semblables à celles qui figureraient dans un contrat avec une société de sécurité privée, y compris l’interdiction des actes d’EAS/HS, notamment en ce qui concerne les mesures disciplinaires, la formation, y compris sur le code de conduite, le suivi des incidents et la nécessité de mettre régulièrement à jour la documentation ;</w:t>
            </w:r>
          </w:p>
          <w:p w14:paraId="0824C60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Mobiliser les communautés dans le programme de sécurité, et créer de bonnes relations entre le personnel de sécurité, les travailleurs du projet et les populations locales peuvent contribuer grandement à la sécurité au sens large dans la zone du projet ;</w:t>
            </w:r>
          </w:p>
          <w:p w14:paraId="05CED0E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L’emploi de femmes dans les équipes de sécurité peut aider à réduire les tensions ou les incidents impliquant les communautés locales, et devrait être encouragé ;</w:t>
            </w:r>
          </w:p>
          <w:p w14:paraId="6A30917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Dialoguer avec la population sur les questions liées à la sécurité peut aider à mettre en lumière les risques potentiels et les préoccupations locales, et servir de mécanisme de préalerte ;</w:t>
            </w:r>
          </w:p>
          <w:p w14:paraId="64489B5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Informer régulièrement les membres de la communauté de leur droit de porter plainte sans crainte d’intimidation ou de représailles ;</w:t>
            </w:r>
          </w:p>
          <w:p w14:paraId="507CBCD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Faire en sorte que les gardes constituant souvent le premier point de contact des membres des communautés à l’entrée du site d’un projet, ils devraient aussi être sensibilisés au rôle qu’ils jouent dans les relations avec la population et être informés du MGP, y compris les procédures spécifiques aux plaintes d’EAS/HS et les notions clés sur ces types d’abus, et des principaux sujets de préoccupation des communautés locales.</w:t>
            </w:r>
          </w:p>
        </w:tc>
        <w:tc>
          <w:tcPr>
            <w:tcW w:w="2144" w:type="dxa"/>
            <w:shd w:val="clear" w:color="auto" w:fill="auto"/>
          </w:tcPr>
          <w:p w14:paraId="5C65423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33AA4E7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 et autres prestataires</w:t>
            </w:r>
          </w:p>
        </w:tc>
        <w:tc>
          <w:tcPr>
            <w:tcW w:w="2190" w:type="dxa"/>
            <w:shd w:val="clear" w:color="auto" w:fill="auto"/>
          </w:tcPr>
          <w:p w14:paraId="278FEE5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l’ ACE, CPE, OVDA, administration locale, la Police et les FARDC</w:t>
            </w:r>
          </w:p>
        </w:tc>
      </w:tr>
      <w:tr w:rsidR="00BB0401" w:rsidRPr="00C54132" w14:paraId="24888557" w14:textId="77777777" w:rsidTr="00730A4A">
        <w:trPr>
          <w:trHeight w:val="1396"/>
        </w:trPr>
        <w:tc>
          <w:tcPr>
            <w:tcW w:w="1806" w:type="dxa"/>
            <w:vMerge w:val="restart"/>
            <w:shd w:val="clear" w:color="auto" w:fill="auto"/>
          </w:tcPr>
          <w:p w14:paraId="2AAB18BE" w14:textId="77777777" w:rsidR="00F42DAB" w:rsidRPr="00730A4A" w:rsidRDefault="00F42DAB" w:rsidP="00730A4A">
            <w:pPr>
              <w:pStyle w:val="TableParagraph"/>
              <w:spacing w:line="276" w:lineRule="auto"/>
              <w:rPr>
                <w:szCs w:val="20"/>
                <w:lang w:val="fr-FR"/>
              </w:rPr>
            </w:pPr>
          </w:p>
          <w:p w14:paraId="00E0F2AA" w14:textId="77777777" w:rsidR="00F42DAB" w:rsidRPr="00730A4A" w:rsidRDefault="00F42DAB" w:rsidP="00730A4A">
            <w:pPr>
              <w:pStyle w:val="TableParagraph"/>
              <w:spacing w:line="276" w:lineRule="auto"/>
              <w:rPr>
                <w:szCs w:val="20"/>
                <w:lang w:val="fr-FR"/>
              </w:rPr>
            </w:pPr>
          </w:p>
          <w:p w14:paraId="50CA1BBB" w14:textId="77777777" w:rsidR="00F42DAB" w:rsidRPr="00730A4A" w:rsidRDefault="00F42DAB" w:rsidP="00730A4A">
            <w:pPr>
              <w:pStyle w:val="TableParagraph"/>
              <w:spacing w:line="276" w:lineRule="auto"/>
              <w:rPr>
                <w:szCs w:val="20"/>
                <w:lang w:val="fr-FR"/>
              </w:rPr>
            </w:pPr>
          </w:p>
          <w:p w14:paraId="7496A2B5" w14:textId="77777777" w:rsidR="00F42DAB" w:rsidRPr="00730A4A" w:rsidRDefault="00F42DAB" w:rsidP="00730A4A">
            <w:pPr>
              <w:pStyle w:val="TableParagraph"/>
              <w:spacing w:line="276" w:lineRule="auto"/>
              <w:rPr>
                <w:szCs w:val="20"/>
                <w:lang w:val="fr-FR"/>
              </w:rPr>
            </w:pPr>
          </w:p>
          <w:p w14:paraId="51ECF3E3" w14:textId="77777777" w:rsidR="00F42DAB" w:rsidRPr="00730A4A" w:rsidRDefault="00F42DAB" w:rsidP="00730A4A">
            <w:pPr>
              <w:pStyle w:val="TableParagraph"/>
              <w:spacing w:line="276" w:lineRule="auto"/>
              <w:rPr>
                <w:szCs w:val="20"/>
                <w:lang w:val="fr-FR"/>
              </w:rPr>
            </w:pPr>
          </w:p>
          <w:p w14:paraId="0A55284E" w14:textId="77777777" w:rsidR="00F42DAB" w:rsidRPr="00730A4A" w:rsidRDefault="00F42DAB" w:rsidP="00730A4A">
            <w:pPr>
              <w:pStyle w:val="TableParagraph"/>
              <w:spacing w:line="276" w:lineRule="auto"/>
              <w:rPr>
                <w:szCs w:val="20"/>
                <w:lang w:val="fr-FR"/>
              </w:rPr>
            </w:pPr>
          </w:p>
          <w:p w14:paraId="7FF7EDD5" w14:textId="77777777" w:rsidR="00F42DAB" w:rsidRPr="00730A4A" w:rsidRDefault="00F42DAB" w:rsidP="00730A4A">
            <w:pPr>
              <w:pStyle w:val="TableParagraph"/>
              <w:spacing w:line="276" w:lineRule="auto"/>
              <w:rPr>
                <w:szCs w:val="20"/>
                <w:lang w:val="fr-FR"/>
              </w:rPr>
            </w:pPr>
          </w:p>
          <w:p w14:paraId="656BF8BE" w14:textId="77777777" w:rsidR="00F42DAB" w:rsidRPr="00730A4A" w:rsidRDefault="00F42DAB" w:rsidP="00730A4A">
            <w:pPr>
              <w:pStyle w:val="TableParagraph"/>
              <w:spacing w:line="276" w:lineRule="auto"/>
              <w:rPr>
                <w:szCs w:val="20"/>
                <w:lang w:val="fr-FR"/>
              </w:rPr>
            </w:pPr>
          </w:p>
          <w:p w14:paraId="7A326E4E" w14:textId="77777777" w:rsidR="00F42DAB" w:rsidRPr="00730A4A" w:rsidRDefault="00F42DAB" w:rsidP="00730A4A">
            <w:pPr>
              <w:pStyle w:val="TableParagraph"/>
              <w:spacing w:line="276" w:lineRule="auto"/>
              <w:rPr>
                <w:szCs w:val="20"/>
                <w:lang w:val="fr-FR"/>
              </w:rPr>
            </w:pPr>
          </w:p>
          <w:p w14:paraId="7BBEAC01" w14:textId="77777777" w:rsidR="00F42DAB" w:rsidRPr="00730A4A" w:rsidRDefault="00F42DAB" w:rsidP="00730A4A">
            <w:pPr>
              <w:pStyle w:val="TableParagraph"/>
              <w:spacing w:line="276" w:lineRule="auto"/>
              <w:rPr>
                <w:szCs w:val="20"/>
                <w:lang w:val="fr-FR"/>
              </w:rPr>
            </w:pPr>
          </w:p>
          <w:p w14:paraId="5CD9A45D" w14:textId="77777777" w:rsidR="00F42DAB" w:rsidRPr="00730A4A" w:rsidRDefault="00F42DAB" w:rsidP="00730A4A">
            <w:pPr>
              <w:pStyle w:val="TableParagraph"/>
              <w:spacing w:line="276" w:lineRule="auto"/>
              <w:rPr>
                <w:szCs w:val="20"/>
                <w:lang w:val="fr-FR"/>
              </w:rPr>
            </w:pPr>
          </w:p>
          <w:p w14:paraId="24836352" w14:textId="77777777" w:rsidR="00F42DAB" w:rsidRPr="00730A4A" w:rsidRDefault="00F42DAB" w:rsidP="00730A4A">
            <w:pPr>
              <w:pStyle w:val="TableParagraph"/>
              <w:spacing w:line="276" w:lineRule="auto"/>
              <w:rPr>
                <w:szCs w:val="20"/>
                <w:lang w:val="fr-FR"/>
              </w:rPr>
            </w:pPr>
          </w:p>
          <w:p w14:paraId="5F860AF7" w14:textId="77777777" w:rsidR="00F42DAB" w:rsidRPr="00730A4A" w:rsidRDefault="00F42DAB" w:rsidP="00730A4A">
            <w:pPr>
              <w:pStyle w:val="TableParagraph"/>
              <w:spacing w:line="276" w:lineRule="auto"/>
              <w:rPr>
                <w:szCs w:val="20"/>
                <w:lang w:val="fr-FR"/>
              </w:rPr>
            </w:pPr>
          </w:p>
          <w:p w14:paraId="345F9F31" w14:textId="77777777" w:rsidR="00F42DAB" w:rsidRPr="00730A4A" w:rsidRDefault="00F42DAB" w:rsidP="00730A4A">
            <w:pPr>
              <w:pStyle w:val="TableParagraph"/>
              <w:spacing w:line="276" w:lineRule="auto"/>
              <w:rPr>
                <w:szCs w:val="20"/>
                <w:lang w:val="fr-FR"/>
              </w:rPr>
            </w:pPr>
          </w:p>
          <w:p w14:paraId="536ADF22" w14:textId="77777777" w:rsidR="00F42DAB" w:rsidRPr="00730A4A" w:rsidRDefault="00F42DAB" w:rsidP="00730A4A">
            <w:pPr>
              <w:pStyle w:val="TableParagraph"/>
              <w:spacing w:line="276" w:lineRule="auto"/>
              <w:rPr>
                <w:szCs w:val="20"/>
              </w:rPr>
            </w:pPr>
            <w:r w:rsidRPr="00730A4A">
              <w:rPr>
                <w:szCs w:val="20"/>
              </w:rPr>
              <w:t>Genre</w:t>
            </w:r>
          </w:p>
        </w:tc>
        <w:tc>
          <w:tcPr>
            <w:tcW w:w="2271" w:type="dxa"/>
            <w:shd w:val="clear" w:color="auto" w:fill="auto"/>
          </w:tcPr>
          <w:p w14:paraId="45FF0E5E" w14:textId="77777777" w:rsidR="00F42DAB" w:rsidRPr="00730A4A" w:rsidRDefault="00F42DAB" w:rsidP="00730A4A">
            <w:pPr>
              <w:pStyle w:val="TableParagraph"/>
              <w:spacing w:line="276" w:lineRule="auto"/>
              <w:ind w:right="268"/>
              <w:jc w:val="both"/>
              <w:rPr>
                <w:szCs w:val="20"/>
                <w:lang w:val="fr-FR"/>
              </w:rPr>
            </w:pPr>
          </w:p>
          <w:p w14:paraId="64D6FF04" w14:textId="77777777" w:rsidR="00F42DAB" w:rsidRPr="00730A4A" w:rsidRDefault="00F42DAB" w:rsidP="00730A4A">
            <w:pPr>
              <w:pStyle w:val="TableParagraph"/>
              <w:spacing w:line="276" w:lineRule="auto"/>
              <w:ind w:right="268"/>
              <w:jc w:val="both"/>
              <w:rPr>
                <w:szCs w:val="20"/>
                <w:lang w:val="fr-FR"/>
              </w:rPr>
            </w:pPr>
          </w:p>
          <w:p w14:paraId="2702389C" w14:textId="77777777" w:rsidR="00F42DAB" w:rsidRPr="00730A4A" w:rsidRDefault="00F42DAB" w:rsidP="00730A4A">
            <w:pPr>
              <w:pStyle w:val="TableParagraph"/>
              <w:spacing w:line="276" w:lineRule="auto"/>
              <w:ind w:right="268"/>
              <w:jc w:val="both"/>
              <w:rPr>
                <w:szCs w:val="20"/>
                <w:lang w:val="fr-FR"/>
              </w:rPr>
            </w:pPr>
            <w:r w:rsidRPr="00730A4A">
              <w:rPr>
                <w:szCs w:val="20"/>
                <w:lang w:val="fr-FR"/>
              </w:rPr>
              <w:t>Perte</w:t>
            </w:r>
            <w:r w:rsidRPr="00730A4A">
              <w:rPr>
                <w:spacing w:val="-24"/>
                <w:szCs w:val="20"/>
                <w:lang w:val="fr-FR"/>
              </w:rPr>
              <w:t xml:space="preserve"> </w:t>
            </w:r>
            <w:r w:rsidRPr="00730A4A">
              <w:rPr>
                <w:szCs w:val="20"/>
                <w:lang w:val="fr-FR"/>
              </w:rPr>
              <w:t>potentielle</w:t>
            </w:r>
            <w:r w:rsidRPr="00730A4A">
              <w:rPr>
                <w:spacing w:val="-23"/>
                <w:szCs w:val="20"/>
                <w:lang w:val="fr-FR"/>
              </w:rPr>
              <w:t xml:space="preserve"> </w:t>
            </w:r>
            <w:r w:rsidRPr="00730A4A">
              <w:rPr>
                <w:szCs w:val="20"/>
                <w:lang w:val="fr-FR"/>
              </w:rPr>
              <w:t>de terres et de</w:t>
            </w:r>
            <w:r w:rsidRPr="00730A4A">
              <w:rPr>
                <w:spacing w:val="-33"/>
                <w:szCs w:val="20"/>
                <w:lang w:val="fr-FR"/>
              </w:rPr>
              <w:t xml:space="preserve"> </w:t>
            </w:r>
            <w:r w:rsidRPr="00730A4A">
              <w:rPr>
                <w:spacing w:val="-4"/>
                <w:szCs w:val="20"/>
                <w:lang w:val="fr-FR"/>
              </w:rPr>
              <w:t xml:space="preserve">revenus </w:t>
            </w:r>
            <w:r w:rsidRPr="00730A4A">
              <w:rPr>
                <w:szCs w:val="20"/>
                <w:lang w:val="fr-FR"/>
              </w:rPr>
              <w:t>pour les</w:t>
            </w:r>
            <w:r w:rsidRPr="00730A4A">
              <w:rPr>
                <w:spacing w:val="-20"/>
                <w:szCs w:val="20"/>
                <w:lang w:val="fr-FR"/>
              </w:rPr>
              <w:t xml:space="preserve"> </w:t>
            </w:r>
            <w:r w:rsidRPr="00730A4A">
              <w:rPr>
                <w:szCs w:val="20"/>
                <w:lang w:val="fr-FR"/>
              </w:rPr>
              <w:t>femmes.</w:t>
            </w:r>
          </w:p>
        </w:tc>
        <w:tc>
          <w:tcPr>
            <w:tcW w:w="4975" w:type="dxa"/>
            <w:shd w:val="clear" w:color="auto" w:fill="auto"/>
          </w:tcPr>
          <w:p w14:paraId="1B4291B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Prévoir des mécanismes permettant de consulter les femmes et les hommes (mécanismes différents si nécessaire).</w:t>
            </w:r>
          </w:p>
          <w:p w14:paraId="63DBDEA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Indemniser les ménages en présence des deux conjoints.</w:t>
            </w:r>
          </w:p>
          <w:p w14:paraId="04FABFF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Remettre les compensations aux femmes lorsque celles-ci sont directement affectées par le projet,</w:t>
            </w:r>
          </w:p>
        </w:tc>
        <w:tc>
          <w:tcPr>
            <w:tcW w:w="2144" w:type="dxa"/>
            <w:shd w:val="clear" w:color="auto" w:fill="auto"/>
          </w:tcPr>
          <w:p w14:paraId="22A1FDEE"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3B975F9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393AEC5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l’ ACE, CPE, OVDA et administration locale, ONG locales y compris celle de VBG</w:t>
            </w:r>
          </w:p>
        </w:tc>
      </w:tr>
      <w:tr w:rsidR="00BB0401" w:rsidRPr="00C54132" w14:paraId="1D7A1B00" w14:textId="77777777" w:rsidTr="00730A4A">
        <w:trPr>
          <w:trHeight w:val="3730"/>
        </w:trPr>
        <w:tc>
          <w:tcPr>
            <w:tcW w:w="1806" w:type="dxa"/>
            <w:vMerge/>
            <w:shd w:val="clear" w:color="auto" w:fill="auto"/>
          </w:tcPr>
          <w:p w14:paraId="24703100" w14:textId="77777777" w:rsidR="00F42DAB" w:rsidRPr="00730A4A" w:rsidRDefault="00F42DAB" w:rsidP="00730A4A">
            <w:pPr>
              <w:pStyle w:val="TableParagraph"/>
              <w:spacing w:line="276" w:lineRule="auto"/>
              <w:rPr>
                <w:szCs w:val="20"/>
                <w:lang w:val="fr-FR"/>
              </w:rPr>
            </w:pPr>
          </w:p>
        </w:tc>
        <w:tc>
          <w:tcPr>
            <w:tcW w:w="2271" w:type="dxa"/>
            <w:shd w:val="clear" w:color="auto" w:fill="auto"/>
          </w:tcPr>
          <w:p w14:paraId="7F149108" w14:textId="77777777" w:rsidR="00F42DAB" w:rsidRPr="00730A4A" w:rsidRDefault="00F42DAB" w:rsidP="00730A4A">
            <w:pPr>
              <w:pStyle w:val="TableParagraph"/>
              <w:spacing w:line="276" w:lineRule="auto"/>
              <w:ind w:right="268"/>
              <w:rPr>
                <w:szCs w:val="20"/>
                <w:lang w:val="fr-FR"/>
              </w:rPr>
            </w:pPr>
            <w:r w:rsidRPr="00730A4A">
              <w:rPr>
                <w:szCs w:val="20"/>
                <w:lang w:val="fr-FR"/>
              </w:rPr>
              <w:t>Risque de discrimination sur l’égalité des sexes et des chances lors de recrutement de la main d’œuvre  locale</w:t>
            </w:r>
          </w:p>
        </w:tc>
        <w:tc>
          <w:tcPr>
            <w:tcW w:w="4975" w:type="dxa"/>
            <w:shd w:val="clear" w:color="auto" w:fill="auto"/>
          </w:tcPr>
          <w:p w14:paraId="530CDD69" w14:textId="77777777" w:rsidR="00F42DAB" w:rsidRPr="00730A4A" w:rsidRDefault="00F42DAB" w:rsidP="00730A4A">
            <w:pPr>
              <w:pStyle w:val="TableParagraph"/>
              <w:numPr>
                <w:ilvl w:val="0"/>
                <w:numId w:val="49"/>
              </w:numPr>
              <w:autoSpaceDE w:val="0"/>
              <w:autoSpaceDN w:val="0"/>
              <w:spacing w:line="276" w:lineRule="auto"/>
              <w:ind w:right="97"/>
              <w:jc w:val="both"/>
              <w:rPr>
                <w:szCs w:val="20"/>
                <w:lang w:val="fr-FR"/>
              </w:rPr>
            </w:pPr>
            <w:r w:rsidRPr="00730A4A">
              <w:rPr>
                <w:szCs w:val="20"/>
                <w:lang w:val="fr-FR"/>
              </w:rPr>
              <w:t>Mettre en place un processus de recrutement clair sans discrimination aucune ;</w:t>
            </w:r>
          </w:p>
          <w:p w14:paraId="2F96E893" w14:textId="77777777" w:rsidR="00F42DAB" w:rsidRPr="00730A4A" w:rsidRDefault="00F42DAB" w:rsidP="00730A4A">
            <w:pPr>
              <w:pStyle w:val="TableParagraph"/>
              <w:numPr>
                <w:ilvl w:val="0"/>
                <w:numId w:val="49"/>
              </w:numPr>
              <w:autoSpaceDE w:val="0"/>
              <w:autoSpaceDN w:val="0"/>
              <w:spacing w:line="276" w:lineRule="auto"/>
              <w:ind w:right="97"/>
              <w:jc w:val="both"/>
              <w:rPr>
                <w:szCs w:val="20"/>
                <w:lang w:val="fr-FR"/>
              </w:rPr>
            </w:pPr>
            <w:r w:rsidRPr="00730A4A">
              <w:rPr>
                <w:szCs w:val="20"/>
                <w:lang w:val="fr-FR"/>
              </w:rPr>
              <w:t>Encourager le recrutement des femmes sur les chantiers et assurer la dissémination effective et ciblée aux femmes des informations sur les postes à pourvoir et le processus de recrutement</w:t>
            </w:r>
          </w:p>
          <w:p w14:paraId="4B652AAA" w14:textId="77777777" w:rsidR="00F42DAB" w:rsidRPr="00730A4A" w:rsidRDefault="00F42DAB" w:rsidP="00730A4A">
            <w:pPr>
              <w:pStyle w:val="TableParagraph"/>
              <w:numPr>
                <w:ilvl w:val="0"/>
                <w:numId w:val="49"/>
              </w:numPr>
              <w:autoSpaceDE w:val="0"/>
              <w:autoSpaceDN w:val="0"/>
              <w:spacing w:line="276" w:lineRule="auto"/>
              <w:ind w:right="97"/>
              <w:jc w:val="both"/>
              <w:rPr>
                <w:szCs w:val="20"/>
                <w:lang w:val="fr-FR"/>
              </w:rPr>
            </w:pPr>
            <w:r w:rsidRPr="00730A4A">
              <w:rPr>
                <w:szCs w:val="20"/>
                <w:lang w:val="fr-FR"/>
              </w:rPr>
              <w:t>Les décisions en matière de recrutement ou de traitement des travailleurs du Projet ne seront pas prises sur la base de caractéristiques personnelles sans rapport avec les besoins inhérents au poste concerné. Les travailleurs du Projet seront employés selon le principe de l’égalité des sexes et des chances et du traitement équitable et il n’y aura aucune discrimination dans le cadre d’un aspect quelconque de la relation de travail, que ce soit le recrutement et l’embauche, la rémunération (notamment les salaires et les avantages sociaux), les conditions de travail et les modalités d’emploi, incluant l’interdiction du harcèlement sexuel dans le milieu de travail, l’accès à la formation, les missions du poste, la promotion, le licenciement ou le départ à la retraite, ou encore les mesures disciplinaires</w:t>
            </w:r>
          </w:p>
          <w:p w14:paraId="03229EBE" w14:textId="77777777" w:rsidR="00F42DAB" w:rsidRPr="00730A4A" w:rsidRDefault="00F42DAB" w:rsidP="00730A4A">
            <w:pPr>
              <w:pStyle w:val="TableParagraph"/>
              <w:numPr>
                <w:ilvl w:val="0"/>
                <w:numId w:val="49"/>
              </w:numPr>
              <w:autoSpaceDE w:val="0"/>
              <w:autoSpaceDN w:val="0"/>
              <w:spacing w:line="276" w:lineRule="auto"/>
              <w:ind w:right="97"/>
              <w:jc w:val="both"/>
              <w:rPr>
                <w:szCs w:val="20"/>
                <w:lang w:val="fr-FR"/>
              </w:rPr>
            </w:pPr>
            <w:r w:rsidRPr="00730A4A">
              <w:rPr>
                <w:szCs w:val="20"/>
                <w:lang w:val="fr-FR"/>
              </w:rPr>
              <w:t xml:space="preserve">Mettre en place le MGP spécifique aux PA et aux autres groupes vulnérables telles que les femmes et les jeunes. </w:t>
            </w:r>
          </w:p>
        </w:tc>
        <w:tc>
          <w:tcPr>
            <w:tcW w:w="2144" w:type="dxa"/>
            <w:shd w:val="clear" w:color="auto" w:fill="auto"/>
          </w:tcPr>
          <w:p w14:paraId="6230907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7C236DA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7632FF5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l’ ACE, CPE, OVDA et administration locale, ONG locales y compris celle de VBG</w:t>
            </w:r>
          </w:p>
        </w:tc>
      </w:tr>
      <w:tr w:rsidR="00BB0401" w:rsidRPr="00C54132" w14:paraId="37DBF4F5" w14:textId="77777777" w:rsidTr="00730A4A">
        <w:trPr>
          <w:trHeight w:val="1110"/>
        </w:trPr>
        <w:tc>
          <w:tcPr>
            <w:tcW w:w="1806" w:type="dxa"/>
            <w:vMerge/>
            <w:shd w:val="clear" w:color="auto" w:fill="auto"/>
          </w:tcPr>
          <w:p w14:paraId="706A8E9D" w14:textId="77777777" w:rsidR="00F42DAB" w:rsidRPr="00730A4A" w:rsidRDefault="00F42DAB" w:rsidP="003C4C23">
            <w:pPr>
              <w:rPr>
                <w:rFonts w:cs="Arial"/>
                <w:sz w:val="22"/>
                <w:szCs w:val="20"/>
              </w:rPr>
            </w:pPr>
          </w:p>
        </w:tc>
        <w:tc>
          <w:tcPr>
            <w:tcW w:w="2271" w:type="dxa"/>
            <w:shd w:val="clear" w:color="auto" w:fill="auto"/>
          </w:tcPr>
          <w:p w14:paraId="42EDFF0B" w14:textId="77777777" w:rsidR="00F42DAB" w:rsidRPr="00730A4A" w:rsidRDefault="00F42DAB" w:rsidP="00730A4A">
            <w:pPr>
              <w:pStyle w:val="TableParagraph"/>
              <w:spacing w:line="276" w:lineRule="auto"/>
              <w:ind w:right="108"/>
              <w:rPr>
                <w:szCs w:val="20"/>
                <w:lang w:val="fr-FR"/>
              </w:rPr>
            </w:pPr>
            <w:r w:rsidRPr="00730A4A">
              <w:rPr>
                <w:szCs w:val="20"/>
                <w:lang w:val="fr-FR"/>
              </w:rPr>
              <w:t xml:space="preserve">Augmentation de la charge de travail </w:t>
            </w:r>
            <w:r w:rsidRPr="00730A4A">
              <w:rPr>
                <w:spacing w:val="-5"/>
                <w:szCs w:val="20"/>
                <w:lang w:val="fr-FR"/>
              </w:rPr>
              <w:t xml:space="preserve">des </w:t>
            </w:r>
            <w:r w:rsidRPr="00730A4A">
              <w:rPr>
                <w:szCs w:val="20"/>
                <w:lang w:val="fr-FR"/>
              </w:rPr>
              <w:t xml:space="preserve">femmes </w:t>
            </w:r>
          </w:p>
        </w:tc>
        <w:tc>
          <w:tcPr>
            <w:tcW w:w="4975" w:type="dxa"/>
            <w:shd w:val="clear" w:color="auto" w:fill="auto"/>
          </w:tcPr>
          <w:p w14:paraId="3F5E12F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Minimiser la durée des perturbations aux champs causées par les travaux de construction de routes agricoles.</w:t>
            </w:r>
          </w:p>
          <w:p w14:paraId="1709D8D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Consulter les femmes pour déterminer les meilleures méthodes de travail pour minimiser les perturbations.</w:t>
            </w:r>
          </w:p>
        </w:tc>
        <w:tc>
          <w:tcPr>
            <w:tcW w:w="2144" w:type="dxa"/>
            <w:shd w:val="clear" w:color="auto" w:fill="auto"/>
          </w:tcPr>
          <w:p w14:paraId="6FD0341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216AAEC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14C07F2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l’ ACE, CPE, OVDA et administration locale, ONG locales y compris celle de VBG</w:t>
            </w:r>
          </w:p>
        </w:tc>
      </w:tr>
      <w:tr w:rsidR="00BB0401" w:rsidRPr="00C54132" w14:paraId="38A413BD" w14:textId="77777777" w:rsidTr="00730A4A">
        <w:trPr>
          <w:trHeight w:val="832"/>
        </w:trPr>
        <w:tc>
          <w:tcPr>
            <w:tcW w:w="1806" w:type="dxa"/>
            <w:vMerge/>
            <w:shd w:val="clear" w:color="auto" w:fill="auto"/>
          </w:tcPr>
          <w:p w14:paraId="0C512E67" w14:textId="77777777" w:rsidR="00F42DAB" w:rsidRPr="00730A4A" w:rsidRDefault="00F42DAB" w:rsidP="003C4C23">
            <w:pPr>
              <w:rPr>
                <w:rFonts w:cs="Arial"/>
                <w:sz w:val="22"/>
                <w:szCs w:val="20"/>
              </w:rPr>
            </w:pPr>
          </w:p>
        </w:tc>
        <w:tc>
          <w:tcPr>
            <w:tcW w:w="2271" w:type="dxa"/>
            <w:shd w:val="clear" w:color="auto" w:fill="auto"/>
          </w:tcPr>
          <w:p w14:paraId="216DDF44" w14:textId="77777777" w:rsidR="00F42DAB" w:rsidRPr="00730A4A" w:rsidRDefault="00F42DAB" w:rsidP="00730A4A">
            <w:pPr>
              <w:pStyle w:val="TableParagraph"/>
              <w:spacing w:line="276" w:lineRule="auto"/>
              <w:ind w:right="108"/>
              <w:rPr>
                <w:szCs w:val="20"/>
                <w:lang w:val="fr-FR"/>
              </w:rPr>
            </w:pPr>
            <w:r w:rsidRPr="00730A4A">
              <w:rPr>
                <w:szCs w:val="20"/>
                <w:lang w:val="fr-FR"/>
              </w:rPr>
              <w:t>Risque d’employer les enfants sur les chantiers</w:t>
            </w:r>
          </w:p>
        </w:tc>
        <w:tc>
          <w:tcPr>
            <w:tcW w:w="4975" w:type="dxa"/>
            <w:shd w:val="clear" w:color="auto" w:fill="auto"/>
          </w:tcPr>
          <w:p w14:paraId="0F1AEFE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Interdire l’emploi des enfants, et des mineurs n’ayant pas atteint l’âge requis par la loi pour travailler (tout mineur de moins de 18 ans) ;</w:t>
            </w:r>
          </w:p>
          <w:p w14:paraId="1771126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Dans le cadre de la mise en œuvre du PNDA, le CGES met l’accès sur le travail des enfants et l’âge minimum conformément à NES n°2. Ainsi, un enfant n’ayant pas atteint l’âge minimum prescrit ne sera pas employé ou engagé sur le programme. Les procédures de gestion de la main-d’œuvre fixe 18 ans l’âge minimum d’admission à l’emploi et au recrutement dans le cadre du Programme PNDA en tenant compte du droit de travail national. Cette disposition de la NES n°2 constitue un impact positif dans la mise en œuvre du PNDA.</w:t>
            </w:r>
            <w:r w:rsidRPr="00730A4A" w:rsidDel="006538CA">
              <w:rPr>
                <w:szCs w:val="20"/>
                <w:lang w:val="fr-FR"/>
              </w:rPr>
              <w:t xml:space="preserve"> </w:t>
            </w:r>
          </w:p>
        </w:tc>
        <w:tc>
          <w:tcPr>
            <w:tcW w:w="2144" w:type="dxa"/>
            <w:shd w:val="clear" w:color="auto" w:fill="auto"/>
          </w:tcPr>
          <w:p w14:paraId="67DB014E"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57CE070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15F0240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l’ ACE, CPE, OVDA et administration locale, ONG locales y compris celles des enfants</w:t>
            </w:r>
          </w:p>
        </w:tc>
      </w:tr>
      <w:tr w:rsidR="00BB0401" w:rsidRPr="00C54132" w14:paraId="733C11E6" w14:textId="77777777" w:rsidTr="00730A4A">
        <w:trPr>
          <w:trHeight w:val="699"/>
        </w:trPr>
        <w:tc>
          <w:tcPr>
            <w:tcW w:w="1806" w:type="dxa"/>
            <w:vMerge/>
            <w:shd w:val="clear" w:color="auto" w:fill="auto"/>
          </w:tcPr>
          <w:p w14:paraId="09960DA9" w14:textId="77777777" w:rsidR="00F42DAB" w:rsidRPr="00730A4A" w:rsidRDefault="00F42DAB" w:rsidP="003C4C23">
            <w:pPr>
              <w:rPr>
                <w:rFonts w:cs="Arial"/>
                <w:sz w:val="22"/>
                <w:szCs w:val="20"/>
              </w:rPr>
            </w:pPr>
          </w:p>
        </w:tc>
        <w:tc>
          <w:tcPr>
            <w:tcW w:w="2271" w:type="dxa"/>
            <w:shd w:val="clear" w:color="auto" w:fill="auto"/>
          </w:tcPr>
          <w:p w14:paraId="5C96B142" w14:textId="77777777" w:rsidR="00F42DAB" w:rsidRPr="00730A4A" w:rsidRDefault="00F42DAB" w:rsidP="00730A4A">
            <w:pPr>
              <w:pStyle w:val="TableParagraph"/>
              <w:spacing w:line="276" w:lineRule="auto"/>
              <w:ind w:right="108"/>
              <w:rPr>
                <w:szCs w:val="20"/>
                <w:lang w:val="fr-FR"/>
              </w:rPr>
            </w:pPr>
          </w:p>
          <w:p w14:paraId="1C1B18E8" w14:textId="77777777" w:rsidR="00F42DAB" w:rsidRPr="00730A4A" w:rsidRDefault="00F42DAB" w:rsidP="00730A4A">
            <w:pPr>
              <w:pStyle w:val="TableParagraph"/>
              <w:spacing w:line="276" w:lineRule="auto"/>
              <w:ind w:right="108"/>
              <w:rPr>
                <w:szCs w:val="20"/>
                <w:lang w:val="fr-FR"/>
              </w:rPr>
            </w:pPr>
          </w:p>
          <w:p w14:paraId="56972D49" w14:textId="77777777" w:rsidR="00F42DAB" w:rsidRPr="00730A4A" w:rsidRDefault="00F42DAB" w:rsidP="00730A4A">
            <w:pPr>
              <w:pStyle w:val="TableParagraph"/>
              <w:spacing w:line="276" w:lineRule="auto"/>
              <w:ind w:right="108"/>
              <w:rPr>
                <w:szCs w:val="20"/>
                <w:lang w:val="fr-FR"/>
              </w:rPr>
            </w:pPr>
          </w:p>
          <w:p w14:paraId="00B11B6C" w14:textId="77777777" w:rsidR="00F42DAB" w:rsidRPr="00730A4A" w:rsidRDefault="00F42DAB" w:rsidP="00730A4A">
            <w:pPr>
              <w:pStyle w:val="TableParagraph"/>
              <w:spacing w:line="276" w:lineRule="auto"/>
              <w:ind w:right="108"/>
              <w:rPr>
                <w:szCs w:val="20"/>
                <w:lang w:val="fr-FR"/>
              </w:rPr>
            </w:pPr>
          </w:p>
          <w:p w14:paraId="25759FCE" w14:textId="77777777" w:rsidR="00F42DAB" w:rsidRPr="00730A4A" w:rsidRDefault="00F42DAB" w:rsidP="00730A4A">
            <w:pPr>
              <w:pStyle w:val="TableParagraph"/>
              <w:spacing w:line="276" w:lineRule="auto"/>
              <w:ind w:right="108"/>
              <w:rPr>
                <w:szCs w:val="20"/>
                <w:lang w:val="fr-FR"/>
              </w:rPr>
            </w:pPr>
          </w:p>
          <w:p w14:paraId="2C8063B3" w14:textId="77777777" w:rsidR="00F42DAB" w:rsidRPr="00730A4A" w:rsidRDefault="00F42DAB" w:rsidP="00730A4A">
            <w:pPr>
              <w:pStyle w:val="TableParagraph"/>
              <w:spacing w:line="276" w:lineRule="auto"/>
              <w:ind w:right="108"/>
              <w:rPr>
                <w:szCs w:val="20"/>
              </w:rPr>
            </w:pPr>
            <w:r w:rsidRPr="00730A4A">
              <w:rPr>
                <w:szCs w:val="20"/>
              </w:rPr>
              <w:t>Risque de VBG</w:t>
            </w:r>
          </w:p>
          <w:p w14:paraId="547DA268" w14:textId="77777777" w:rsidR="00F42DAB" w:rsidRPr="00730A4A" w:rsidRDefault="00F42DAB"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Présence de la main-d’œuvre destinée au projet venue d’ailleurs (d’autres pays ou d’autres régions d’un pays), ce qui peut accroître les risques d’EAS/HS ;</w:t>
            </w:r>
          </w:p>
          <w:p w14:paraId="72CC3FD7" w14:textId="77777777" w:rsidR="00F42DAB" w:rsidRPr="00730A4A" w:rsidRDefault="00F42DAB"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Augmentation des revenus des travailleurs favorise le sexe transactionnel et les relations d’exploitation ;</w:t>
            </w:r>
          </w:p>
          <w:p w14:paraId="20BA0B5A" w14:textId="77777777" w:rsidR="00F42DAB" w:rsidRPr="00730A4A" w:rsidRDefault="00F42DAB"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Augmentation des revenus des travailleurs renforce le déséquilibre de pouvoir.</w:t>
            </w:r>
          </w:p>
        </w:tc>
        <w:tc>
          <w:tcPr>
            <w:tcW w:w="4975" w:type="dxa"/>
            <w:shd w:val="clear" w:color="auto" w:fill="auto"/>
          </w:tcPr>
          <w:p w14:paraId="1C52331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Prendre en compte les aspects liés à l’EAS/HS lors de l’élaboration des clauses contractuelles environnementales et sociales dans les contrats des entreprises ou prestataires ; </w:t>
            </w:r>
          </w:p>
          <w:p w14:paraId="187DF5E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Organiser des formations des travailleurs, en pool sur les concepts clés d’EAS/HS (y compris le code de bonne conduite, le règlement intérieur, la gestion des cas, le MGP, etc.)</w:t>
            </w:r>
          </w:p>
          <w:p w14:paraId="335094B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Faire signer le code de bonne conduite (individuelle, du gestionnaire et de l’entreprise) aux agents et travailleurs avant de les engager sur le chantier, intégrant un langage explicite sur les comportements interdits, les notions clés sur l’EAS et le HS, y compris les définitions et la notion de consentement, et les sanctions applicables ;</w:t>
            </w:r>
          </w:p>
          <w:p w14:paraId="3566D20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Promouvoir l’égalité de genre pendant la mise en œuvre du Projet ;</w:t>
            </w:r>
          </w:p>
          <w:p w14:paraId="449344C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Identifier et former les sensibilisateurs communautaires pour informer la communauté sur les risques d’EAS/HS</w:t>
            </w:r>
          </w:p>
          <w:p w14:paraId="60C387D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Sensibiliser la communauté sur les risques d’EAS/HS ainsi que le VIH/SIDA</w:t>
            </w:r>
          </w:p>
          <w:p w14:paraId="48406B9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Assurer une large diffusion des offres d’emplois afin d’assurer une égalité de chance à tous les demandeurs/-euses ;</w:t>
            </w:r>
          </w:p>
          <w:p w14:paraId="6A6BC00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Aménager des toilettes et vestiaires séparés, sécurisés, et bien allumés pour les hommes et les femmes et vérrouillables de l’intérieur ;</w:t>
            </w:r>
          </w:p>
          <w:p w14:paraId="42B23C9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Sensibiliser le personnel des entreprises, mission de contrôle et la communauté sur la discrimination et les notions clés d’EAS/HS, y compris sur le code de bonne conduite, le MGP, et la réponse aux incidents</w:t>
            </w:r>
          </w:p>
          <w:p w14:paraId="4ACB05E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Former tous les nouveaux travailleurs sur les VBG/EAS/HS avant d’être affecté sur chantier et recyclage des anciens travailleurs afin de rafraichir les notions sur les VBG/EAS/HS</w:t>
            </w:r>
          </w:p>
          <w:p w14:paraId="69AD7C3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Sensibiliser travailleurs et les communautés sur la lutte contre la VBG/EAS/HS ainsi que les IST et le VIH dans communes concernées par le Projet ;</w:t>
            </w:r>
          </w:p>
          <w:p w14:paraId="3F82AD3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Prise en charge des survivantes des VBG/EAS/HS liées au projet à travers le MGP ainsi que les structures de prise en charge médicale, psychosociale, juridique et judiciaire ainsi que l’accompagnement pour une autonomisation des femmes.</w:t>
            </w:r>
          </w:p>
          <w:p w14:paraId="133BADB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Développer et mettre en œuvre un plan d’atténuation des risques VBG/EAS/HS</w:t>
            </w:r>
          </w:p>
          <w:p w14:paraId="7382EDD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Renforcer la prise d'identité complète avec la photo des travailleurs et sensibiliser sur les lois de lutte contre les VBG et  l'impunité en cas d'EAS lors de l'embauche des travailleurs.</w:t>
            </w:r>
          </w:p>
          <w:p w14:paraId="00EB0DB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Appropriation et signature des entreprises du code de bonne conduite pour les travailleurs et les gestionnaires intégrant la dimension VBG/EAS/HS</w:t>
            </w:r>
          </w:p>
          <w:p w14:paraId="547A4A1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Intégrer les aspects EAS/HS dans le règlement d’ordre intérieur de l’entreprise.</w:t>
            </w:r>
          </w:p>
          <w:p w14:paraId="72797D6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Afficher le code de conduite dans lieux visibles et accessibles pour tous les travailleurs, et ce dans différentes langues par l’entreprise</w:t>
            </w:r>
          </w:p>
          <w:p w14:paraId="39CC689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Loger dans un campement (base vie mobile) du personnel congolais qui est déplacé sur les chantiers A la rigueur de donner la chance aux autochtones pour effectuer les travaux sur chantiers</w:t>
            </w:r>
          </w:p>
          <w:p w14:paraId="71D5BEC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Sanctionner par l'entreprise tous les présumés auteurs</w:t>
            </w:r>
          </w:p>
          <w:p w14:paraId="3004A22C" w14:textId="77777777" w:rsidR="00F42DAB" w:rsidRPr="00730A4A" w:rsidRDefault="00F42DAB"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Equipe de conformité VBG : s’assurer que l’équipe d’appui aux actions d’EAS/HS en supervision puisse surveiller et rendre compte de l’efficacité de la mise en œuvre du Plan d’action EAS/HS ;</w:t>
            </w:r>
          </w:p>
          <w:p w14:paraId="3CCE4FB8" w14:textId="77777777" w:rsidR="00F42DAB" w:rsidRPr="00730A4A" w:rsidRDefault="00F42DAB"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Respect des principes de confidentialité, la sécurité et bien-être, l’approche axée sur la survivante, accessibilité et transparence inclus dans les plans de gestion du client et de l’entrepreneur et dans le CGES ;</w:t>
            </w:r>
          </w:p>
          <w:p w14:paraId="51D52899" w14:textId="77777777" w:rsidR="00F42DAB" w:rsidRPr="00730A4A" w:rsidRDefault="00F42DAB"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Inclure les clauses relatives à l’atténuation et la réponse à l’EAS/HS dans les DAO et les contrats de fournisseurs externes ;</w:t>
            </w:r>
          </w:p>
          <w:p w14:paraId="79835EDA" w14:textId="77777777" w:rsidR="00F42DAB" w:rsidRPr="00730A4A" w:rsidRDefault="00F42DAB"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Cadre de réponse et rédévabilité :</w:t>
            </w:r>
          </w:p>
          <w:p w14:paraId="3FDAD944" w14:textId="77777777" w:rsidR="00F42DAB" w:rsidRPr="00730A4A" w:rsidRDefault="00F42DAB" w:rsidP="00730A4A">
            <w:pPr>
              <w:pStyle w:val="TableParagraph"/>
              <w:numPr>
                <w:ilvl w:val="0"/>
                <w:numId w:val="105"/>
              </w:numPr>
              <w:autoSpaceDE w:val="0"/>
              <w:autoSpaceDN w:val="0"/>
              <w:spacing w:before="42" w:line="276" w:lineRule="auto"/>
              <w:ind w:left="448" w:right="97" w:hanging="142"/>
              <w:rPr>
                <w:szCs w:val="20"/>
                <w:lang w:val="fr-FR"/>
              </w:rPr>
            </w:pPr>
            <w:r w:rsidRPr="00730A4A">
              <w:rPr>
                <w:szCs w:val="20"/>
                <w:lang w:val="fr-FR"/>
              </w:rPr>
              <w:t>Former le personnel et les travailleurs sur l’EAS/HS, le code de conduite à signer, et les procédures spécifiques aux plaintes d’EAS/HS dans le MGP ;</w:t>
            </w:r>
          </w:p>
          <w:p w14:paraId="49CDDA26" w14:textId="77777777" w:rsidR="00F42DAB" w:rsidRPr="00730A4A" w:rsidRDefault="00F42DAB" w:rsidP="00730A4A">
            <w:pPr>
              <w:pStyle w:val="TableParagraph"/>
              <w:numPr>
                <w:ilvl w:val="0"/>
                <w:numId w:val="105"/>
              </w:numPr>
              <w:autoSpaceDE w:val="0"/>
              <w:autoSpaceDN w:val="0"/>
              <w:spacing w:before="42" w:line="276" w:lineRule="auto"/>
              <w:ind w:left="448" w:right="97" w:hanging="142"/>
              <w:rPr>
                <w:szCs w:val="20"/>
                <w:lang w:val="fr-FR"/>
              </w:rPr>
            </w:pPr>
            <w:r w:rsidRPr="00730A4A">
              <w:rPr>
                <w:szCs w:val="20"/>
                <w:lang w:val="fr-FR"/>
              </w:rPr>
              <w:t>Sensibiliser le personnel, les travailleurs et les communautés quant aux risques d’EAS/HS, aux comportements interdits, et au MGP ;</w:t>
            </w:r>
          </w:p>
          <w:p w14:paraId="7936B27A" w14:textId="77777777" w:rsidR="00F42DAB" w:rsidRPr="00730A4A" w:rsidRDefault="00F42DAB" w:rsidP="00730A4A">
            <w:pPr>
              <w:pStyle w:val="TableParagraph"/>
              <w:numPr>
                <w:ilvl w:val="0"/>
                <w:numId w:val="105"/>
              </w:numPr>
              <w:autoSpaceDE w:val="0"/>
              <w:autoSpaceDN w:val="0"/>
              <w:spacing w:before="42" w:line="276" w:lineRule="auto"/>
              <w:ind w:left="448" w:right="97" w:hanging="142"/>
              <w:rPr>
                <w:szCs w:val="20"/>
                <w:lang w:val="fr-FR"/>
              </w:rPr>
            </w:pPr>
            <w:r w:rsidRPr="00730A4A">
              <w:rPr>
                <w:szCs w:val="20"/>
                <w:lang w:val="fr-FR"/>
              </w:rPr>
              <w:t>Organiser des consultations communautaires indépendantes avec les femmes dans des conditions sûres et confidentielles (avec des facilitatrices de groupe) pour récolter les informations sur les risques et impacts du projet ; et</w:t>
            </w:r>
          </w:p>
          <w:p w14:paraId="4269E7E2" w14:textId="77777777" w:rsidR="00F42DAB" w:rsidRPr="00730A4A" w:rsidRDefault="00F42DAB" w:rsidP="00730A4A">
            <w:pPr>
              <w:pStyle w:val="TableParagraph"/>
              <w:numPr>
                <w:ilvl w:val="0"/>
                <w:numId w:val="105"/>
              </w:numPr>
              <w:autoSpaceDE w:val="0"/>
              <w:autoSpaceDN w:val="0"/>
              <w:spacing w:before="42" w:line="276" w:lineRule="auto"/>
              <w:ind w:left="448" w:right="97" w:hanging="142"/>
              <w:rPr>
                <w:szCs w:val="20"/>
                <w:lang w:val="fr-FR"/>
              </w:rPr>
            </w:pPr>
            <w:r w:rsidRPr="00730A4A">
              <w:rPr>
                <w:szCs w:val="20"/>
                <w:lang w:val="fr-FR"/>
              </w:rPr>
              <w:t>Inclure les activités de prévention d’EAS/HS dans les contrats des prestataires ou fournisseurs de services.</w:t>
            </w:r>
          </w:p>
        </w:tc>
        <w:tc>
          <w:tcPr>
            <w:tcW w:w="2144" w:type="dxa"/>
            <w:shd w:val="clear" w:color="auto" w:fill="auto"/>
          </w:tcPr>
          <w:p w14:paraId="73F1A2C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17FF097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2E1B9551" w14:textId="77777777" w:rsidR="00F42DAB" w:rsidRPr="00730A4A" w:rsidRDefault="00F42DAB" w:rsidP="00730A4A">
            <w:pPr>
              <w:pStyle w:val="TableParagraph"/>
              <w:numPr>
                <w:ilvl w:val="0"/>
                <w:numId w:val="49"/>
              </w:numPr>
              <w:autoSpaceDE w:val="0"/>
              <w:autoSpaceDN w:val="0"/>
              <w:spacing w:line="276" w:lineRule="auto"/>
              <w:ind w:left="164" w:right="97" w:hanging="164"/>
              <w:rPr>
                <w:szCs w:val="20"/>
                <w:lang w:val="fr-FR"/>
              </w:rPr>
            </w:pPr>
            <w:r w:rsidRPr="00730A4A">
              <w:rPr>
                <w:szCs w:val="20"/>
                <w:lang w:val="fr-FR"/>
              </w:rPr>
              <w:t>PNDA et l’ ACE, CPE, OVDA et administration locale, ONG locales y compris celle de VBG</w:t>
            </w:r>
          </w:p>
        </w:tc>
      </w:tr>
      <w:tr w:rsidR="00BB0401" w:rsidRPr="00C54132" w14:paraId="1743C9C6" w14:textId="77777777" w:rsidTr="00730A4A">
        <w:trPr>
          <w:trHeight w:val="392"/>
        </w:trPr>
        <w:tc>
          <w:tcPr>
            <w:tcW w:w="1806" w:type="dxa"/>
            <w:vMerge/>
            <w:shd w:val="clear" w:color="auto" w:fill="auto"/>
          </w:tcPr>
          <w:p w14:paraId="62879DB6" w14:textId="77777777" w:rsidR="00F42DAB" w:rsidRPr="00730A4A" w:rsidRDefault="00F42DAB" w:rsidP="003C4C23">
            <w:pPr>
              <w:rPr>
                <w:rFonts w:cs="Arial"/>
                <w:sz w:val="22"/>
                <w:szCs w:val="20"/>
              </w:rPr>
            </w:pPr>
          </w:p>
        </w:tc>
        <w:tc>
          <w:tcPr>
            <w:tcW w:w="2271" w:type="dxa"/>
            <w:shd w:val="clear" w:color="auto" w:fill="auto"/>
          </w:tcPr>
          <w:p w14:paraId="07BA4462" w14:textId="77777777" w:rsidR="00F42DAB" w:rsidRPr="00730A4A" w:rsidRDefault="00F42DAB" w:rsidP="00730A4A">
            <w:pPr>
              <w:pStyle w:val="TableParagraph"/>
              <w:spacing w:line="276" w:lineRule="auto"/>
              <w:ind w:right="87"/>
              <w:rPr>
                <w:szCs w:val="20"/>
                <w:lang w:val="fr-FR"/>
              </w:rPr>
            </w:pPr>
          </w:p>
          <w:p w14:paraId="0FDE2159" w14:textId="77777777" w:rsidR="00F42DAB" w:rsidRPr="00730A4A" w:rsidRDefault="00F42DAB" w:rsidP="00730A4A">
            <w:pPr>
              <w:pStyle w:val="TableParagraph"/>
              <w:spacing w:line="276" w:lineRule="auto"/>
              <w:ind w:right="87"/>
              <w:rPr>
                <w:szCs w:val="20"/>
                <w:lang w:val="fr-FR"/>
              </w:rPr>
            </w:pPr>
          </w:p>
          <w:p w14:paraId="57B1FA38" w14:textId="77777777" w:rsidR="00F42DAB" w:rsidRPr="00730A4A" w:rsidRDefault="00F42DAB" w:rsidP="00730A4A">
            <w:pPr>
              <w:pStyle w:val="TableParagraph"/>
              <w:spacing w:line="276" w:lineRule="auto"/>
              <w:ind w:right="87"/>
              <w:rPr>
                <w:szCs w:val="20"/>
                <w:lang w:val="fr-FR"/>
              </w:rPr>
            </w:pPr>
          </w:p>
          <w:p w14:paraId="61D91A99" w14:textId="77777777" w:rsidR="00F42DAB" w:rsidRPr="00730A4A" w:rsidRDefault="00F42DAB" w:rsidP="00730A4A">
            <w:pPr>
              <w:pStyle w:val="TableParagraph"/>
              <w:spacing w:line="276" w:lineRule="auto"/>
              <w:ind w:right="87"/>
              <w:rPr>
                <w:szCs w:val="20"/>
                <w:lang w:val="fr-FR"/>
              </w:rPr>
            </w:pPr>
            <w:r w:rsidRPr="00730A4A">
              <w:rPr>
                <w:szCs w:val="20"/>
                <w:lang w:val="fr-FR"/>
              </w:rPr>
              <w:t>Accès limité des femmes aux emplois et autres retombées économiques du projet.</w:t>
            </w:r>
          </w:p>
        </w:tc>
        <w:tc>
          <w:tcPr>
            <w:tcW w:w="4975" w:type="dxa"/>
            <w:shd w:val="clear" w:color="auto" w:fill="auto"/>
          </w:tcPr>
          <w:p w14:paraId="60DE3AC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Transmettre aux femmes et aux hommes les informations concernant les possibilités d’emplois et les besoins en biens et services (petits outils, restauration, etc.) ;</w:t>
            </w:r>
          </w:p>
          <w:p w14:paraId="4881739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Assister les femmes à présenter une demande d’emploi et évaluer les candidatures en fonction des compétences et de l’expérience similaire ;</w:t>
            </w:r>
          </w:p>
          <w:p w14:paraId="293BD0B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Offrir une formation en emploi pour promouvoir l’emploi des femmes et des hommes pour lesquels il leur manque quelques qualifications pour l’emploi ;</w:t>
            </w:r>
          </w:p>
          <w:p w14:paraId="76C25E5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Promouvoir l’emploi des femmes dans des rôles typiquement accordés aux hommes et des postes de supervision.</w:t>
            </w:r>
          </w:p>
        </w:tc>
        <w:tc>
          <w:tcPr>
            <w:tcW w:w="2144" w:type="dxa"/>
            <w:shd w:val="clear" w:color="auto" w:fill="auto"/>
          </w:tcPr>
          <w:p w14:paraId="19AAC88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47DB226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3CC2C67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PNDA et ACE, CPE, OVDA et administration locale, ONG locales </w:t>
            </w:r>
          </w:p>
        </w:tc>
      </w:tr>
      <w:tr w:rsidR="00BB0401" w:rsidRPr="00C54132" w14:paraId="0FE83D90" w14:textId="77777777" w:rsidTr="00730A4A">
        <w:trPr>
          <w:trHeight w:val="1108"/>
        </w:trPr>
        <w:tc>
          <w:tcPr>
            <w:tcW w:w="1806" w:type="dxa"/>
            <w:vMerge w:val="restart"/>
            <w:shd w:val="clear" w:color="auto" w:fill="auto"/>
          </w:tcPr>
          <w:p w14:paraId="1EA079EA" w14:textId="77777777" w:rsidR="00F42DAB" w:rsidRPr="00730A4A" w:rsidRDefault="00F42DAB" w:rsidP="00730A4A">
            <w:pPr>
              <w:pStyle w:val="TableParagraph"/>
              <w:spacing w:line="276" w:lineRule="auto"/>
              <w:rPr>
                <w:szCs w:val="20"/>
                <w:lang w:val="fr-FR"/>
              </w:rPr>
            </w:pPr>
          </w:p>
          <w:p w14:paraId="0D71B657" w14:textId="77777777" w:rsidR="00F42DAB" w:rsidRPr="00730A4A" w:rsidRDefault="00F42DAB" w:rsidP="00730A4A">
            <w:pPr>
              <w:pStyle w:val="TableParagraph"/>
              <w:spacing w:line="276" w:lineRule="auto"/>
              <w:rPr>
                <w:szCs w:val="20"/>
                <w:lang w:val="fr-FR"/>
              </w:rPr>
            </w:pPr>
          </w:p>
          <w:p w14:paraId="5E6CE126" w14:textId="77777777" w:rsidR="00F42DAB" w:rsidRPr="00730A4A" w:rsidRDefault="00F42DAB" w:rsidP="00730A4A">
            <w:pPr>
              <w:pStyle w:val="TableParagraph"/>
              <w:spacing w:line="276" w:lineRule="auto"/>
              <w:rPr>
                <w:szCs w:val="20"/>
                <w:lang w:val="fr-FR"/>
              </w:rPr>
            </w:pPr>
          </w:p>
          <w:p w14:paraId="12065BD4" w14:textId="77777777" w:rsidR="00F42DAB" w:rsidRPr="00730A4A" w:rsidRDefault="00F42DAB" w:rsidP="00730A4A">
            <w:pPr>
              <w:pStyle w:val="TableParagraph"/>
              <w:spacing w:line="276" w:lineRule="auto"/>
              <w:rPr>
                <w:szCs w:val="20"/>
                <w:lang w:val="fr-FR"/>
              </w:rPr>
            </w:pPr>
          </w:p>
          <w:p w14:paraId="18FD9282" w14:textId="77777777" w:rsidR="00F42DAB" w:rsidRPr="00730A4A" w:rsidRDefault="00F42DAB" w:rsidP="00730A4A">
            <w:pPr>
              <w:pStyle w:val="TableParagraph"/>
              <w:spacing w:line="276" w:lineRule="auto"/>
              <w:rPr>
                <w:szCs w:val="20"/>
                <w:lang w:val="fr-FR"/>
              </w:rPr>
            </w:pPr>
          </w:p>
          <w:p w14:paraId="52EA4B6F" w14:textId="77777777" w:rsidR="00F42DAB" w:rsidRPr="00730A4A" w:rsidRDefault="00F42DAB" w:rsidP="00730A4A">
            <w:pPr>
              <w:pStyle w:val="TableParagraph"/>
              <w:spacing w:line="276" w:lineRule="auto"/>
              <w:rPr>
                <w:szCs w:val="20"/>
                <w:lang w:val="fr-FR"/>
              </w:rPr>
            </w:pPr>
          </w:p>
          <w:p w14:paraId="015CC2BC" w14:textId="77777777" w:rsidR="00F42DAB" w:rsidRPr="00730A4A" w:rsidRDefault="00F42DAB" w:rsidP="00730A4A">
            <w:pPr>
              <w:pStyle w:val="TableParagraph"/>
              <w:spacing w:line="276" w:lineRule="auto"/>
              <w:rPr>
                <w:szCs w:val="20"/>
                <w:lang w:val="fr-FR"/>
              </w:rPr>
            </w:pPr>
          </w:p>
          <w:p w14:paraId="5EA75EDE" w14:textId="77777777" w:rsidR="00F42DAB" w:rsidRPr="00730A4A" w:rsidRDefault="00F42DAB" w:rsidP="00730A4A">
            <w:pPr>
              <w:pStyle w:val="TableParagraph"/>
              <w:spacing w:line="276" w:lineRule="auto"/>
              <w:rPr>
                <w:szCs w:val="20"/>
                <w:lang w:val="fr-FR"/>
              </w:rPr>
            </w:pPr>
          </w:p>
          <w:p w14:paraId="55EF49CF" w14:textId="77777777" w:rsidR="00F42DAB" w:rsidRPr="00730A4A" w:rsidRDefault="00F42DAB" w:rsidP="00730A4A">
            <w:pPr>
              <w:pStyle w:val="TableParagraph"/>
              <w:spacing w:line="276" w:lineRule="auto"/>
              <w:rPr>
                <w:szCs w:val="20"/>
                <w:lang w:val="fr-FR"/>
              </w:rPr>
            </w:pPr>
          </w:p>
          <w:p w14:paraId="57EF635D" w14:textId="77777777" w:rsidR="00F42DAB" w:rsidRPr="00730A4A" w:rsidRDefault="00F42DAB" w:rsidP="00730A4A">
            <w:pPr>
              <w:pStyle w:val="TableParagraph"/>
              <w:spacing w:line="276" w:lineRule="auto"/>
              <w:rPr>
                <w:szCs w:val="20"/>
                <w:lang w:val="fr-FR"/>
              </w:rPr>
            </w:pPr>
          </w:p>
          <w:p w14:paraId="15C3C679" w14:textId="77777777" w:rsidR="00F42DAB" w:rsidRPr="00730A4A" w:rsidRDefault="00F42DAB" w:rsidP="00730A4A">
            <w:pPr>
              <w:pStyle w:val="TableParagraph"/>
              <w:spacing w:line="276" w:lineRule="auto"/>
              <w:rPr>
                <w:szCs w:val="20"/>
                <w:lang w:val="fr-FR"/>
              </w:rPr>
            </w:pPr>
          </w:p>
          <w:p w14:paraId="12A1C1B6" w14:textId="77777777" w:rsidR="00F42DAB" w:rsidRPr="00730A4A" w:rsidRDefault="00F42DAB" w:rsidP="00730A4A">
            <w:pPr>
              <w:pStyle w:val="TableParagraph"/>
              <w:spacing w:line="276" w:lineRule="auto"/>
              <w:rPr>
                <w:szCs w:val="20"/>
                <w:lang w:val="fr-FR"/>
              </w:rPr>
            </w:pPr>
          </w:p>
          <w:p w14:paraId="62912DF8" w14:textId="77777777" w:rsidR="00F42DAB" w:rsidRPr="00730A4A" w:rsidRDefault="00F42DAB" w:rsidP="00730A4A">
            <w:pPr>
              <w:pStyle w:val="TableParagraph"/>
              <w:spacing w:line="276" w:lineRule="auto"/>
              <w:rPr>
                <w:szCs w:val="20"/>
              </w:rPr>
            </w:pPr>
            <w:r w:rsidRPr="00730A4A">
              <w:rPr>
                <w:szCs w:val="20"/>
              </w:rPr>
              <w:t>Qualité de vie</w:t>
            </w:r>
          </w:p>
        </w:tc>
        <w:tc>
          <w:tcPr>
            <w:tcW w:w="2271" w:type="dxa"/>
            <w:shd w:val="clear" w:color="auto" w:fill="auto"/>
          </w:tcPr>
          <w:p w14:paraId="769D6E8A" w14:textId="77777777" w:rsidR="00F42DAB" w:rsidRPr="00730A4A" w:rsidRDefault="00F42DAB" w:rsidP="00730A4A">
            <w:pPr>
              <w:pStyle w:val="TableParagraph"/>
              <w:spacing w:line="276" w:lineRule="auto"/>
              <w:ind w:right="107"/>
              <w:rPr>
                <w:szCs w:val="20"/>
                <w:lang w:val="fr-FR"/>
              </w:rPr>
            </w:pPr>
            <w:r w:rsidRPr="00730A4A">
              <w:rPr>
                <w:szCs w:val="20"/>
                <w:lang w:val="fr-FR"/>
              </w:rPr>
              <w:t>Mauvaises conditions de</w:t>
            </w:r>
            <w:r w:rsidRPr="00730A4A">
              <w:rPr>
                <w:spacing w:val="-27"/>
                <w:szCs w:val="20"/>
                <w:lang w:val="fr-FR"/>
              </w:rPr>
              <w:t xml:space="preserve"> </w:t>
            </w:r>
            <w:r w:rsidRPr="00730A4A">
              <w:rPr>
                <w:szCs w:val="20"/>
                <w:lang w:val="fr-FR"/>
              </w:rPr>
              <w:t>vie</w:t>
            </w:r>
            <w:r w:rsidRPr="00730A4A">
              <w:rPr>
                <w:spacing w:val="-26"/>
                <w:szCs w:val="20"/>
                <w:lang w:val="fr-FR"/>
              </w:rPr>
              <w:t xml:space="preserve"> </w:t>
            </w:r>
            <w:r w:rsidRPr="00730A4A">
              <w:rPr>
                <w:szCs w:val="20"/>
                <w:lang w:val="fr-FR"/>
              </w:rPr>
              <w:t>des</w:t>
            </w:r>
            <w:r w:rsidRPr="00730A4A">
              <w:rPr>
                <w:spacing w:val="-25"/>
                <w:szCs w:val="20"/>
                <w:lang w:val="fr-FR"/>
              </w:rPr>
              <w:t xml:space="preserve"> </w:t>
            </w:r>
            <w:r w:rsidRPr="00730A4A">
              <w:rPr>
                <w:spacing w:val="-3"/>
                <w:szCs w:val="20"/>
                <w:lang w:val="fr-FR"/>
              </w:rPr>
              <w:t xml:space="preserve">travailleurs </w:t>
            </w:r>
            <w:r w:rsidRPr="00730A4A">
              <w:rPr>
                <w:szCs w:val="20"/>
                <w:lang w:val="fr-FR"/>
              </w:rPr>
              <w:t>non-résidents et des personnes</w:t>
            </w:r>
            <w:r w:rsidRPr="00730A4A">
              <w:rPr>
                <w:spacing w:val="-24"/>
                <w:szCs w:val="20"/>
                <w:lang w:val="fr-FR"/>
              </w:rPr>
              <w:t xml:space="preserve"> </w:t>
            </w:r>
            <w:r w:rsidRPr="00730A4A">
              <w:rPr>
                <w:szCs w:val="20"/>
                <w:lang w:val="fr-FR"/>
              </w:rPr>
              <w:t>déplacées</w:t>
            </w:r>
          </w:p>
        </w:tc>
        <w:tc>
          <w:tcPr>
            <w:tcW w:w="4975" w:type="dxa"/>
            <w:shd w:val="clear" w:color="auto" w:fill="auto"/>
          </w:tcPr>
          <w:p w14:paraId="10A6901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Conduire des inspections réglementaires des lieux de travail et des campements (s’il y a lieu) pour évaluer les conditions de travail et de vie des populations non-résidentes ;</w:t>
            </w:r>
          </w:p>
        </w:tc>
        <w:tc>
          <w:tcPr>
            <w:tcW w:w="2144" w:type="dxa"/>
            <w:shd w:val="clear" w:color="auto" w:fill="auto"/>
          </w:tcPr>
          <w:p w14:paraId="60F32BE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6BE843C9" w14:textId="77777777" w:rsidR="00F42DAB" w:rsidRPr="00730A4A" w:rsidRDefault="00F42DAB" w:rsidP="00730A4A">
            <w:pPr>
              <w:pStyle w:val="TableParagraph"/>
              <w:numPr>
                <w:ilvl w:val="0"/>
                <w:numId w:val="49"/>
              </w:numPr>
              <w:autoSpaceDE w:val="0"/>
              <w:autoSpaceDN w:val="0"/>
              <w:spacing w:line="276" w:lineRule="auto"/>
              <w:ind w:left="164" w:right="97" w:hanging="164"/>
              <w:rPr>
                <w:szCs w:val="20"/>
                <w:lang w:val="fr-FR"/>
              </w:rPr>
            </w:pPr>
            <w:r w:rsidRPr="00730A4A">
              <w:rPr>
                <w:szCs w:val="20"/>
                <w:lang w:val="fr-FR"/>
              </w:rPr>
              <w:t>Les PME, la Mission de contrôle</w:t>
            </w:r>
          </w:p>
        </w:tc>
        <w:tc>
          <w:tcPr>
            <w:tcW w:w="2190" w:type="dxa"/>
            <w:shd w:val="clear" w:color="auto" w:fill="auto"/>
          </w:tcPr>
          <w:p w14:paraId="487D746C" w14:textId="77777777" w:rsidR="00F42DAB" w:rsidRPr="00730A4A" w:rsidRDefault="00F42DAB" w:rsidP="00730A4A">
            <w:pPr>
              <w:pStyle w:val="TableParagraph"/>
              <w:numPr>
                <w:ilvl w:val="0"/>
                <w:numId w:val="49"/>
              </w:numPr>
              <w:autoSpaceDE w:val="0"/>
              <w:autoSpaceDN w:val="0"/>
              <w:spacing w:line="276" w:lineRule="auto"/>
              <w:ind w:left="164" w:right="97" w:hanging="164"/>
              <w:rPr>
                <w:szCs w:val="20"/>
                <w:lang w:val="fr-FR"/>
              </w:rPr>
            </w:pPr>
            <w:r w:rsidRPr="00730A4A">
              <w:rPr>
                <w:szCs w:val="20"/>
                <w:lang w:val="fr-FR"/>
              </w:rPr>
              <w:t xml:space="preserve">PNDA et ACE, CPE, OVDA et administration locale, ONG locales </w:t>
            </w:r>
          </w:p>
        </w:tc>
      </w:tr>
      <w:tr w:rsidR="00BB0401" w:rsidRPr="00C54132" w14:paraId="20F46710" w14:textId="77777777" w:rsidTr="00730A4A">
        <w:trPr>
          <w:trHeight w:val="1667"/>
        </w:trPr>
        <w:tc>
          <w:tcPr>
            <w:tcW w:w="1806" w:type="dxa"/>
            <w:vMerge/>
            <w:shd w:val="clear" w:color="auto" w:fill="auto"/>
          </w:tcPr>
          <w:p w14:paraId="5B8E671F" w14:textId="77777777" w:rsidR="00F42DAB" w:rsidRPr="00730A4A" w:rsidRDefault="00F42DAB" w:rsidP="003C4C23">
            <w:pPr>
              <w:rPr>
                <w:rFonts w:cs="Arial"/>
                <w:sz w:val="22"/>
                <w:szCs w:val="20"/>
              </w:rPr>
            </w:pPr>
          </w:p>
        </w:tc>
        <w:tc>
          <w:tcPr>
            <w:tcW w:w="2271" w:type="dxa"/>
            <w:shd w:val="clear" w:color="auto" w:fill="auto"/>
          </w:tcPr>
          <w:p w14:paraId="0116F7BE" w14:textId="77777777" w:rsidR="00F42DAB" w:rsidRPr="00730A4A" w:rsidRDefault="00F42DAB" w:rsidP="00730A4A">
            <w:pPr>
              <w:pStyle w:val="TableParagraph"/>
              <w:spacing w:line="276" w:lineRule="auto"/>
              <w:ind w:right="163"/>
              <w:rPr>
                <w:szCs w:val="20"/>
                <w:lang w:val="fr-FR"/>
              </w:rPr>
            </w:pPr>
          </w:p>
          <w:p w14:paraId="692AE194" w14:textId="77777777" w:rsidR="00F42DAB" w:rsidRPr="00730A4A" w:rsidRDefault="00F42DAB" w:rsidP="00730A4A">
            <w:pPr>
              <w:pStyle w:val="TableParagraph"/>
              <w:spacing w:line="276" w:lineRule="auto"/>
              <w:ind w:right="163"/>
              <w:rPr>
                <w:szCs w:val="20"/>
                <w:lang w:val="fr-FR"/>
              </w:rPr>
            </w:pPr>
          </w:p>
          <w:p w14:paraId="2D1CD564" w14:textId="77777777" w:rsidR="00F42DAB" w:rsidRPr="00730A4A" w:rsidRDefault="00F42DAB" w:rsidP="00730A4A">
            <w:pPr>
              <w:pStyle w:val="TableParagraph"/>
              <w:spacing w:line="276" w:lineRule="auto"/>
              <w:ind w:right="163"/>
              <w:rPr>
                <w:szCs w:val="20"/>
                <w:lang w:val="fr-FR"/>
              </w:rPr>
            </w:pPr>
          </w:p>
          <w:p w14:paraId="46332E7A" w14:textId="77777777" w:rsidR="00F42DAB" w:rsidRPr="00730A4A" w:rsidRDefault="00F42DAB" w:rsidP="00730A4A">
            <w:pPr>
              <w:pStyle w:val="TableParagraph"/>
              <w:spacing w:line="276" w:lineRule="auto"/>
              <w:ind w:right="163"/>
              <w:rPr>
                <w:szCs w:val="20"/>
                <w:lang w:val="fr-FR"/>
              </w:rPr>
            </w:pPr>
          </w:p>
          <w:p w14:paraId="348ACD4C" w14:textId="77777777" w:rsidR="00F42DAB" w:rsidRPr="00730A4A" w:rsidRDefault="00F42DAB" w:rsidP="00730A4A">
            <w:pPr>
              <w:pStyle w:val="TableParagraph"/>
              <w:spacing w:line="276" w:lineRule="auto"/>
              <w:ind w:right="163"/>
              <w:rPr>
                <w:szCs w:val="20"/>
                <w:lang w:val="fr-FR"/>
              </w:rPr>
            </w:pPr>
            <w:r w:rsidRPr="00730A4A">
              <w:rPr>
                <w:szCs w:val="20"/>
                <w:lang w:val="fr-FR"/>
              </w:rPr>
              <w:t>Nuisances causées par le projet (bruit, poussières, eaux usées, boues, interruptions de services, augmentation de l’achalandage de camions, dommages à</w:t>
            </w:r>
            <w:r w:rsidRPr="00730A4A">
              <w:rPr>
                <w:spacing w:val="-26"/>
                <w:szCs w:val="20"/>
                <w:lang w:val="fr-FR"/>
              </w:rPr>
              <w:t xml:space="preserve"> </w:t>
            </w:r>
            <w:r w:rsidRPr="00730A4A">
              <w:rPr>
                <w:szCs w:val="20"/>
                <w:lang w:val="fr-FR"/>
              </w:rPr>
              <w:t>la</w:t>
            </w:r>
            <w:r w:rsidRPr="00730A4A">
              <w:rPr>
                <w:spacing w:val="-25"/>
                <w:szCs w:val="20"/>
                <w:lang w:val="fr-FR"/>
              </w:rPr>
              <w:t xml:space="preserve"> </w:t>
            </w:r>
            <w:r w:rsidRPr="00730A4A">
              <w:rPr>
                <w:szCs w:val="20"/>
                <w:lang w:val="fr-FR"/>
              </w:rPr>
              <w:t>propriété</w:t>
            </w:r>
            <w:r w:rsidRPr="00730A4A">
              <w:rPr>
                <w:spacing w:val="-25"/>
                <w:szCs w:val="20"/>
                <w:lang w:val="fr-FR"/>
              </w:rPr>
              <w:t xml:space="preserve"> </w:t>
            </w:r>
            <w:r w:rsidRPr="00730A4A">
              <w:rPr>
                <w:szCs w:val="20"/>
                <w:lang w:val="fr-FR"/>
              </w:rPr>
              <w:t>privée, etc.).</w:t>
            </w:r>
          </w:p>
        </w:tc>
        <w:tc>
          <w:tcPr>
            <w:tcW w:w="4975" w:type="dxa"/>
            <w:shd w:val="clear" w:color="auto" w:fill="auto"/>
          </w:tcPr>
          <w:p w14:paraId="4BF2A15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À proximité des zones habitées, éviter la circulation de véhicules lourds et la réalisation de travaux bruyants en dehors des heures normales de travail pour minimiser le trafic et la dispersion de poussière ;</w:t>
            </w:r>
          </w:p>
          <w:p w14:paraId="36238FE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Équiper les engins à moteur de dispositifs de réduction du bruit (silencieux) et maintenir ces dispositifs en bon état ;</w:t>
            </w:r>
          </w:p>
          <w:p w14:paraId="0D550F0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Fixer une limite de vitesse maximale en zones habitées ;</w:t>
            </w:r>
          </w:p>
          <w:p w14:paraId="132D4AA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Préparer et mettre en œuvre un plan de gestion des déchets solides et liquides, si possible ;</w:t>
            </w:r>
          </w:p>
          <w:p w14:paraId="4B96498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Éviter d’obstruer les accès publics ;</w:t>
            </w:r>
          </w:p>
          <w:p w14:paraId="5F8F9DD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Utiliser une signalisation routière avertissant le déroulement des travaux ;</w:t>
            </w:r>
          </w:p>
          <w:p w14:paraId="23A79DE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Contourner les lieux de rassemblement ;</w:t>
            </w:r>
          </w:p>
          <w:p w14:paraId="7062258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L’emploi de femmes dans les équipes de sécurité peut aider à réduire les tensions ou les incidents impliquant les communautés locales et aussi à promouvoir l’emploi égal des hommes et femmes, et devrait être encouragé ;</w:t>
            </w:r>
          </w:p>
          <w:p w14:paraId="004667C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Dialoguer avec la population sur les questions liées à la sécurité peut aider à mettre en lumière les risques potentiels et les préoccupations locales, et servir de mécanisme de préalerte ;</w:t>
            </w:r>
          </w:p>
          <w:p w14:paraId="280774D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Informer régulièrement les membres de la communauté de leur droit de porter plainte sans crainte d’intimidation ou de représailles ;</w:t>
            </w:r>
          </w:p>
          <w:p w14:paraId="411A1D2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rFonts w:eastAsia="Calibri"/>
                <w:szCs w:val="20"/>
                <w:lang w:val="fr-FR"/>
              </w:rPr>
            </w:pPr>
            <w:r w:rsidRPr="00730A4A">
              <w:rPr>
                <w:szCs w:val="20"/>
                <w:lang w:val="fr-FR"/>
              </w:rPr>
              <w:t>Faire en sorte que les gardes constituant souvent le premier point de contact des membres des communautés à l’entrée du site d’un projet, ils devraient aussi être sensibilisés au rôle qu’ils jouent dans les relations avec la population, y compris par rapport aux risques d’EAS/HS, signer un code de bonne conduite, et être informés du MGP et des principaux sujets de préoccupation des communautés locales.</w:t>
            </w:r>
          </w:p>
        </w:tc>
        <w:tc>
          <w:tcPr>
            <w:tcW w:w="2144" w:type="dxa"/>
            <w:shd w:val="clear" w:color="auto" w:fill="auto"/>
          </w:tcPr>
          <w:p w14:paraId="21DCEFC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33E78F3E" w14:textId="77777777" w:rsidR="00F42DAB" w:rsidRPr="00730A4A" w:rsidRDefault="00F42DAB" w:rsidP="00730A4A">
            <w:pPr>
              <w:pStyle w:val="TableParagraph"/>
              <w:numPr>
                <w:ilvl w:val="0"/>
                <w:numId w:val="49"/>
              </w:numPr>
              <w:autoSpaceDE w:val="0"/>
              <w:autoSpaceDN w:val="0"/>
              <w:spacing w:line="276" w:lineRule="auto"/>
              <w:ind w:left="164" w:right="97" w:hanging="164"/>
              <w:rPr>
                <w:szCs w:val="20"/>
                <w:lang w:val="fr-FR"/>
              </w:rPr>
            </w:pPr>
            <w:r w:rsidRPr="00730A4A">
              <w:rPr>
                <w:szCs w:val="20"/>
                <w:lang w:val="fr-FR"/>
              </w:rPr>
              <w:t>Les PME, la Mission de contrôle</w:t>
            </w:r>
          </w:p>
        </w:tc>
        <w:tc>
          <w:tcPr>
            <w:tcW w:w="2190" w:type="dxa"/>
            <w:shd w:val="clear" w:color="auto" w:fill="auto"/>
          </w:tcPr>
          <w:p w14:paraId="556F1138" w14:textId="77777777" w:rsidR="00F42DAB" w:rsidRPr="00730A4A" w:rsidRDefault="00F42DAB" w:rsidP="00730A4A">
            <w:pPr>
              <w:pStyle w:val="TableParagraph"/>
              <w:numPr>
                <w:ilvl w:val="0"/>
                <w:numId w:val="49"/>
              </w:numPr>
              <w:autoSpaceDE w:val="0"/>
              <w:autoSpaceDN w:val="0"/>
              <w:spacing w:line="276" w:lineRule="auto"/>
              <w:ind w:left="164" w:right="97" w:hanging="164"/>
              <w:rPr>
                <w:szCs w:val="20"/>
                <w:lang w:val="fr-FR"/>
              </w:rPr>
            </w:pPr>
            <w:r w:rsidRPr="00730A4A">
              <w:rPr>
                <w:szCs w:val="20"/>
                <w:lang w:val="fr-FR"/>
              </w:rPr>
              <w:t xml:space="preserve">PNDA et ACE, CPE, OVDA et administration locale, ONG locales </w:t>
            </w:r>
          </w:p>
        </w:tc>
      </w:tr>
      <w:tr w:rsidR="00BB0401" w:rsidRPr="00C54132" w14:paraId="3380BEC7" w14:textId="77777777" w:rsidTr="00730A4A">
        <w:tc>
          <w:tcPr>
            <w:tcW w:w="1806" w:type="dxa"/>
            <w:vMerge w:val="restart"/>
            <w:shd w:val="clear" w:color="auto" w:fill="auto"/>
          </w:tcPr>
          <w:p w14:paraId="5B22A2DC" w14:textId="77777777" w:rsidR="00F42DAB" w:rsidRPr="00730A4A" w:rsidRDefault="00F42DAB" w:rsidP="00730A4A">
            <w:pPr>
              <w:pStyle w:val="TableParagraph"/>
              <w:spacing w:line="276" w:lineRule="auto"/>
              <w:ind w:right="231"/>
              <w:rPr>
                <w:szCs w:val="20"/>
              </w:rPr>
            </w:pPr>
            <w:r w:rsidRPr="00730A4A">
              <w:rPr>
                <w:szCs w:val="20"/>
              </w:rPr>
              <w:t>Santé et sécurité</w:t>
            </w:r>
          </w:p>
        </w:tc>
        <w:tc>
          <w:tcPr>
            <w:tcW w:w="2271" w:type="dxa"/>
            <w:shd w:val="clear" w:color="auto" w:fill="auto"/>
          </w:tcPr>
          <w:p w14:paraId="5ACEA7CA" w14:textId="77777777" w:rsidR="00F42DAB" w:rsidRPr="00730A4A" w:rsidRDefault="00F42DAB" w:rsidP="00730A4A">
            <w:pPr>
              <w:pStyle w:val="TableParagraph"/>
              <w:spacing w:line="276" w:lineRule="auto"/>
              <w:ind w:right="75"/>
              <w:rPr>
                <w:szCs w:val="20"/>
                <w:lang w:val="fr-FR"/>
              </w:rPr>
            </w:pPr>
            <w:r w:rsidRPr="00730A4A">
              <w:rPr>
                <w:szCs w:val="20"/>
                <w:lang w:val="fr-FR"/>
              </w:rPr>
              <w:t>Incidence accrue des maladies sexuellement transmissibles.</w:t>
            </w:r>
          </w:p>
        </w:tc>
        <w:tc>
          <w:tcPr>
            <w:tcW w:w="4975" w:type="dxa"/>
            <w:shd w:val="clear" w:color="auto" w:fill="auto"/>
          </w:tcPr>
          <w:p w14:paraId="4507D05E"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Préparer et mettre en œuvre un programme d’information des populations sur les dates, heures et durée des interruptions des services publics, si possible ;</w:t>
            </w:r>
          </w:p>
          <w:p w14:paraId="57D173C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Protéger les propriétés privées tout en préservant l’accès pour les usagers, en appliquant des mesures appropriées (clôture, surveillant, etc.) ;</w:t>
            </w:r>
          </w:p>
          <w:p w14:paraId="195353A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Préparer et mettre en œuvre un programme de santé destiné aux travailleurs qui intègre les stratégies de prévention contre les IST/VIH-SIDA et leurs modes de transmission ;</w:t>
            </w:r>
          </w:p>
          <w:p w14:paraId="2CBD675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Intégrer dans les campagnes d’information concernant les travaux un volet santé pour toute la population comprenant un module sur les IST/VIH-SIDA, leurs dangers et les méthodes de prévention.</w:t>
            </w:r>
          </w:p>
        </w:tc>
        <w:tc>
          <w:tcPr>
            <w:tcW w:w="2144" w:type="dxa"/>
            <w:shd w:val="clear" w:color="auto" w:fill="auto"/>
          </w:tcPr>
          <w:p w14:paraId="7932527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1A93761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 ONG locales spécialisées,</w:t>
            </w:r>
          </w:p>
        </w:tc>
        <w:tc>
          <w:tcPr>
            <w:tcW w:w="2190" w:type="dxa"/>
            <w:shd w:val="clear" w:color="auto" w:fill="auto"/>
          </w:tcPr>
          <w:p w14:paraId="2626A47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et administration locale et PNMLS</w:t>
            </w:r>
          </w:p>
        </w:tc>
      </w:tr>
      <w:tr w:rsidR="00BB0401" w:rsidRPr="00C54132" w14:paraId="7CA1281A" w14:textId="77777777" w:rsidTr="00730A4A">
        <w:tc>
          <w:tcPr>
            <w:tcW w:w="1806" w:type="dxa"/>
            <w:vMerge/>
            <w:shd w:val="clear" w:color="auto" w:fill="auto"/>
          </w:tcPr>
          <w:p w14:paraId="6D23A5B1" w14:textId="77777777" w:rsidR="00F42DAB" w:rsidRPr="00730A4A" w:rsidRDefault="00F42DAB" w:rsidP="00730A4A">
            <w:pPr>
              <w:pStyle w:val="TableParagraph"/>
              <w:spacing w:line="276" w:lineRule="auto"/>
              <w:ind w:right="231"/>
              <w:rPr>
                <w:szCs w:val="20"/>
                <w:lang w:val="fr-FR"/>
              </w:rPr>
            </w:pPr>
          </w:p>
        </w:tc>
        <w:tc>
          <w:tcPr>
            <w:tcW w:w="2271" w:type="dxa"/>
            <w:shd w:val="clear" w:color="auto" w:fill="auto"/>
          </w:tcPr>
          <w:p w14:paraId="0B98697F" w14:textId="77777777" w:rsidR="00F42DAB" w:rsidRPr="00730A4A" w:rsidRDefault="00F42DAB" w:rsidP="00730A4A">
            <w:pPr>
              <w:spacing w:line="240" w:lineRule="auto"/>
              <w:jc w:val="left"/>
              <w:rPr>
                <w:rFonts w:cs="Arial"/>
                <w:sz w:val="22"/>
                <w:szCs w:val="20"/>
              </w:rPr>
            </w:pPr>
            <w:r w:rsidRPr="00730A4A">
              <w:rPr>
                <w:rFonts w:cs="Arial"/>
                <w:sz w:val="22"/>
                <w:szCs w:val="20"/>
              </w:rPr>
              <w:t>Risques d’exploitation des enfants sur les chantiers</w:t>
            </w:r>
          </w:p>
        </w:tc>
        <w:tc>
          <w:tcPr>
            <w:tcW w:w="4975" w:type="dxa"/>
            <w:shd w:val="clear" w:color="auto" w:fill="auto"/>
          </w:tcPr>
          <w:p w14:paraId="7113D9B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des dispositifs empêchant le recrutement d’enfants ;</w:t>
            </w:r>
          </w:p>
          <w:p w14:paraId="2194449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Développer des dépliants, des affiches sur l’interdiction des enfants dans les chantiers qui seront utilisés et vulgarisés lors des sensibilisations ;</w:t>
            </w:r>
          </w:p>
          <w:p w14:paraId="5018C35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Solliciter les identités complètes des candidats lors du recrutement.</w:t>
            </w:r>
          </w:p>
        </w:tc>
        <w:tc>
          <w:tcPr>
            <w:tcW w:w="2144" w:type="dxa"/>
            <w:shd w:val="clear" w:color="auto" w:fill="auto"/>
          </w:tcPr>
          <w:p w14:paraId="610B33C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05CD47B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2F44C75E"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et administration locale, ONG locales y compris celles des enfants</w:t>
            </w:r>
          </w:p>
        </w:tc>
      </w:tr>
      <w:tr w:rsidR="00BB0401" w:rsidRPr="00C54132" w14:paraId="02AA380A" w14:textId="77777777" w:rsidTr="00730A4A">
        <w:tc>
          <w:tcPr>
            <w:tcW w:w="1806" w:type="dxa"/>
            <w:vMerge/>
            <w:shd w:val="clear" w:color="auto" w:fill="auto"/>
          </w:tcPr>
          <w:p w14:paraId="4D8C6E2C" w14:textId="77777777" w:rsidR="00F42DAB" w:rsidRPr="00730A4A" w:rsidRDefault="00F42DAB" w:rsidP="00730A4A">
            <w:pPr>
              <w:pStyle w:val="TableParagraph"/>
              <w:spacing w:line="276" w:lineRule="auto"/>
              <w:ind w:right="231"/>
              <w:rPr>
                <w:szCs w:val="20"/>
                <w:lang w:val="fr-FR"/>
              </w:rPr>
            </w:pPr>
          </w:p>
        </w:tc>
        <w:tc>
          <w:tcPr>
            <w:tcW w:w="2271" w:type="dxa"/>
            <w:shd w:val="clear" w:color="auto" w:fill="auto"/>
          </w:tcPr>
          <w:p w14:paraId="1F6B6A39" w14:textId="77777777" w:rsidR="00F42DAB" w:rsidRPr="00730A4A" w:rsidRDefault="00F42DAB" w:rsidP="00730A4A">
            <w:pPr>
              <w:spacing w:line="240" w:lineRule="auto"/>
              <w:jc w:val="left"/>
              <w:rPr>
                <w:rFonts w:eastAsia="Calibri" w:cs="Arial"/>
                <w:sz w:val="22"/>
                <w:szCs w:val="20"/>
              </w:rPr>
            </w:pPr>
            <w:r w:rsidRPr="00730A4A">
              <w:rPr>
                <w:rFonts w:eastAsia="Calibri" w:cs="Arial"/>
                <w:sz w:val="22"/>
                <w:szCs w:val="20"/>
              </w:rPr>
              <w:t>Risque de recours aux forces de sécurité publique et au service de sécurité privée suite à l’insécurité dans certaines régions concernées par le Programme</w:t>
            </w:r>
          </w:p>
        </w:tc>
        <w:tc>
          <w:tcPr>
            <w:tcW w:w="4975" w:type="dxa"/>
            <w:shd w:val="clear" w:color="auto" w:fill="auto"/>
          </w:tcPr>
          <w:p w14:paraId="76D6D72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des mesures de gestion de la sécurité en fonction du niveau de risque présente dans la zone d’intervention</w:t>
            </w:r>
          </w:p>
          <w:p w14:paraId="2B0A150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Élaborer un Plan de Gestion de Sécurité (PGS) distinct présente l’ensemble des procédures et protocoles liés à cet aspect dans le cadre du programme (le PGS fera une Évaluation des Risques liés à la Sécurité (ERS) et proposer des mesures d’atténuation) </w:t>
            </w:r>
          </w:p>
          <w:p w14:paraId="3CD6214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Collaborer avec les parties prenantes, dont les populations touchées par le projet, les ONG locales et les autres groupes susceptibles d’être particulièrement au fait des problèmes de sécurité ;</w:t>
            </w:r>
          </w:p>
          <w:p w14:paraId="7DC7C2A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un protocole d’accord contraignant ou un autre accord officiel devrait être établi, engageant les forces de sécurité publique à respecter le code de bonne conduite du projet, intégrant un langage explicite sur les interdictions des actes d’EAS/HS et les sanctions applicables, à faire un usage proportionné de la force et à observer d’autres règles semblables à celles qui figureraient dans un contrat avec une société de sécurité privée, notamment en ce qui concerne les mesures disciplinaires, la formation, le suivi des incidents et la nécessité de mettre régulièrement à jour la documentation.</w:t>
            </w:r>
          </w:p>
          <w:p w14:paraId="7382CE3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Mobiliser les communautés dans le programme de sécurité, et créer de bonnes relations entre le personnel de sécurité, les travailleurs du projet et les populations locales peuvent contribuer grandement à la sécurité au sens large dans la zone du projet. </w:t>
            </w:r>
          </w:p>
        </w:tc>
        <w:tc>
          <w:tcPr>
            <w:tcW w:w="2144" w:type="dxa"/>
            <w:shd w:val="clear" w:color="auto" w:fill="auto"/>
          </w:tcPr>
          <w:p w14:paraId="7C2EF11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2FE3239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w:t>
            </w:r>
          </w:p>
        </w:tc>
        <w:tc>
          <w:tcPr>
            <w:tcW w:w="2190" w:type="dxa"/>
            <w:shd w:val="clear" w:color="auto" w:fill="auto"/>
          </w:tcPr>
          <w:p w14:paraId="37D85E6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CPE, OVDA et administration locale, ONG locales, les FARDC, la police Nationale Congolaise (PNC)</w:t>
            </w:r>
          </w:p>
        </w:tc>
      </w:tr>
      <w:tr w:rsidR="00BB0401" w:rsidRPr="00C54132" w14:paraId="3F6A53BD" w14:textId="77777777" w:rsidTr="00730A4A">
        <w:tc>
          <w:tcPr>
            <w:tcW w:w="1806" w:type="dxa"/>
            <w:vMerge/>
            <w:shd w:val="clear" w:color="auto" w:fill="auto"/>
          </w:tcPr>
          <w:p w14:paraId="573487F6" w14:textId="77777777" w:rsidR="00F42DAB" w:rsidRPr="00730A4A" w:rsidRDefault="00F42DAB" w:rsidP="00730A4A">
            <w:pPr>
              <w:pStyle w:val="TableParagraph"/>
              <w:spacing w:line="276" w:lineRule="auto"/>
              <w:rPr>
                <w:szCs w:val="20"/>
                <w:lang w:val="fr-FR"/>
              </w:rPr>
            </w:pPr>
          </w:p>
        </w:tc>
        <w:tc>
          <w:tcPr>
            <w:tcW w:w="2271" w:type="dxa"/>
            <w:shd w:val="clear" w:color="auto" w:fill="auto"/>
          </w:tcPr>
          <w:p w14:paraId="1550C848" w14:textId="77777777" w:rsidR="00F42DAB" w:rsidRPr="00730A4A" w:rsidRDefault="00F42DAB" w:rsidP="00730A4A">
            <w:pPr>
              <w:pStyle w:val="TableParagraph"/>
              <w:spacing w:line="276" w:lineRule="auto"/>
              <w:ind w:left="80" w:right="196"/>
              <w:jc w:val="center"/>
              <w:rPr>
                <w:w w:val="95"/>
                <w:szCs w:val="20"/>
                <w:lang w:val="fr-FR"/>
              </w:rPr>
            </w:pPr>
          </w:p>
          <w:p w14:paraId="57202974" w14:textId="77777777" w:rsidR="00F42DAB" w:rsidRPr="00730A4A" w:rsidRDefault="00F42DAB" w:rsidP="00730A4A">
            <w:pPr>
              <w:pStyle w:val="TableParagraph"/>
              <w:spacing w:line="276" w:lineRule="auto"/>
              <w:ind w:left="80" w:right="196"/>
              <w:jc w:val="center"/>
              <w:rPr>
                <w:w w:val="95"/>
                <w:szCs w:val="20"/>
                <w:lang w:val="fr-FR"/>
              </w:rPr>
            </w:pPr>
          </w:p>
          <w:p w14:paraId="07E322EE" w14:textId="77777777" w:rsidR="00F42DAB" w:rsidRPr="00730A4A" w:rsidRDefault="00F42DAB" w:rsidP="00730A4A">
            <w:pPr>
              <w:pStyle w:val="TableParagraph"/>
              <w:spacing w:line="276" w:lineRule="auto"/>
              <w:ind w:left="80" w:right="196"/>
              <w:jc w:val="center"/>
              <w:rPr>
                <w:w w:val="95"/>
                <w:szCs w:val="20"/>
                <w:lang w:val="fr-FR"/>
              </w:rPr>
            </w:pPr>
          </w:p>
          <w:p w14:paraId="2FBFCB7F" w14:textId="77777777" w:rsidR="00F42DAB" w:rsidRPr="00730A4A" w:rsidRDefault="00F42DAB" w:rsidP="00730A4A">
            <w:pPr>
              <w:pStyle w:val="TableParagraph"/>
              <w:spacing w:line="276" w:lineRule="auto"/>
              <w:ind w:left="80" w:right="196"/>
              <w:jc w:val="center"/>
              <w:rPr>
                <w:w w:val="95"/>
                <w:szCs w:val="20"/>
                <w:lang w:val="fr-FR"/>
              </w:rPr>
            </w:pPr>
          </w:p>
          <w:p w14:paraId="6BEE821A" w14:textId="77777777" w:rsidR="00F42DAB" w:rsidRPr="00730A4A" w:rsidRDefault="00F42DAB" w:rsidP="00730A4A">
            <w:pPr>
              <w:pStyle w:val="TableParagraph"/>
              <w:spacing w:line="276" w:lineRule="auto"/>
              <w:ind w:left="80" w:right="196"/>
              <w:jc w:val="center"/>
              <w:rPr>
                <w:w w:val="95"/>
                <w:szCs w:val="20"/>
                <w:lang w:val="fr-FR"/>
              </w:rPr>
            </w:pPr>
          </w:p>
          <w:p w14:paraId="38021DC6" w14:textId="77777777" w:rsidR="00F42DAB" w:rsidRPr="00730A4A" w:rsidRDefault="00F42DAB" w:rsidP="00730A4A">
            <w:pPr>
              <w:pStyle w:val="TableParagraph"/>
              <w:spacing w:line="276" w:lineRule="auto"/>
              <w:ind w:left="80" w:right="196"/>
              <w:jc w:val="center"/>
              <w:rPr>
                <w:w w:val="95"/>
                <w:szCs w:val="20"/>
                <w:lang w:val="fr-FR"/>
              </w:rPr>
            </w:pPr>
          </w:p>
          <w:p w14:paraId="443D185C" w14:textId="77777777" w:rsidR="00F42DAB" w:rsidRPr="00730A4A" w:rsidRDefault="00F42DAB" w:rsidP="00730A4A">
            <w:pPr>
              <w:pStyle w:val="TableParagraph"/>
              <w:spacing w:line="276" w:lineRule="auto"/>
              <w:ind w:left="80" w:right="196"/>
              <w:jc w:val="center"/>
              <w:rPr>
                <w:w w:val="95"/>
                <w:szCs w:val="20"/>
                <w:lang w:val="fr-FR"/>
              </w:rPr>
            </w:pPr>
          </w:p>
          <w:p w14:paraId="76DC5CAE" w14:textId="77777777" w:rsidR="00F42DAB" w:rsidRPr="00730A4A" w:rsidRDefault="00F42DAB" w:rsidP="00730A4A">
            <w:pPr>
              <w:pStyle w:val="TableParagraph"/>
              <w:spacing w:line="276" w:lineRule="auto"/>
              <w:ind w:left="80" w:right="196"/>
              <w:rPr>
                <w:szCs w:val="20"/>
              </w:rPr>
            </w:pPr>
            <w:r w:rsidRPr="00730A4A">
              <w:rPr>
                <w:szCs w:val="20"/>
              </w:rPr>
              <w:t>Risques d’accidents</w:t>
            </w:r>
          </w:p>
        </w:tc>
        <w:tc>
          <w:tcPr>
            <w:tcW w:w="4975" w:type="dxa"/>
            <w:shd w:val="clear" w:color="auto" w:fill="auto"/>
          </w:tcPr>
          <w:p w14:paraId="7EDC888D"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rFonts w:eastAsia="Symbol"/>
                <w:color w:val="000000"/>
                <w:szCs w:val="20"/>
                <w:lang w:val="fr-FR"/>
              </w:rPr>
              <w:t>Inclure les clauses environnementales et sociales dans les DAO et les contrats des entreprises et port obligatoire des EPI appropriés ;</w:t>
            </w:r>
          </w:p>
          <w:p w14:paraId="6D6F877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rFonts w:eastAsia="Symbol"/>
                <w:color w:val="000000"/>
                <w:szCs w:val="20"/>
                <w:lang w:val="fr-FR"/>
              </w:rPr>
              <w:t>la formation E3S (environnemental, social, santé sécurité) de tous les ouvriers;</w:t>
            </w:r>
          </w:p>
          <w:p w14:paraId="6AAD2FB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color w:val="000000"/>
                <w:szCs w:val="20"/>
                <w:lang w:val="fr-FR"/>
              </w:rPr>
              <w:t>Bonne gestion  des accidents et incidents;</w:t>
            </w:r>
          </w:p>
          <w:p w14:paraId="110C0B3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rFonts w:eastAsia="Symbol"/>
                <w:color w:val="000000"/>
                <w:szCs w:val="20"/>
                <w:lang w:val="fr-FR"/>
              </w:rPr>
              <w:t>Etiquetage des produits dangereux, la sécurité routière;</w:t>
            </w:r>
          </w:p>
          <w:p w14:paraId="1618373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rFonts w:eastAsia="Symbol"/>
                <w:color w:val="000000"/>
                <w:szCs w:val="20"/>
                <w:lang w:val="fr-FR"/>
              </w:rPr>
              <w:t>Mener une campagne de communication et de sensibilisation avant et pendant les travaux ;</w:t>
            </w:r>
          </w:p>
          <w:p w14:paraId="3A0B363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Contrôler l’accès aux sites des travaux ;</w:t>
            </w:r>
          </w:p>
          <w:p w14:paraId="5B2A96E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Préparer et mettre en œuvre un plan de santé et sécurité au travail qui intègre les stratégies de prévention des accidents telles que l’éducation et l’information des travailleurs sur les questions de sécurité ;</w:t>
            </w:r>
          </w:p>
          <w:p w14:paraId="0BEC9A27"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S’assurer de l’adhésion de tout le personnel au plan de santé et sécurité ;</w:t>
            </w:r>
          </w:p>
          <w:p w14:paraId="0EE2896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Exiger l’analyse préalable des risques pour les postes de travail à haut risque et les Équipements de Protection Individuelle (EPI) adaptés aux exigences spécifiques des emplois (casques, lunettes, chaussures et gants de sécurité) ;</w:t>
            </w:r>
          </w:p>
          <w:p w14:paraId="23BE405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Installer de la signalisation indiquant les zones à risque d’accident ;</w:t>
            </w:r>
          </w:p>
          <w:p w14:paraId="54B5F54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Rapporter avec des détails précis, la procédure suivie pour régler les cas d’accidents et les mesures prises pour les indemnisations des victimes.</w:t>
            </w:r>
          </w:p>
          <w:p w14:paraId="638EC7A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 trafic routier pour les différents sous-projets pourrait être assez élevé et l’augmentation des risques routiers via l’utilisation de certaines routes pourrait alors mener à un impact moyen.</w:t>
            </w:r>
          </w:p>
        </w:tc>
        <w:tc>
          <w:tcPr>
            <w:tcW w:w="2144" w:type="dxa"/>
            <w:shd w:val="clear" w:color="auto" w:fill="auto"/>
          </w:tcPr>
          <w:p w14:paraId="778E5A5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Avant et pendant la phase d’exécution du Programme</w:t>
            </w:r>
          </w:p>
        </w:tc>
        <w:tc>
          <w:tcPr>
            <w:tcW w:w="2109" w:type="dxa"/>
            <w:shd w:val="clear" w:color="auto" w:fill="auto"/>
          </w:tcPr>
          <w:p w14:paraId="2B2C7B1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 et autres prestataires</w:t>
            </w:r>
          </w:p>
        </w:tc>
        <w:tc>
          <w:tcPr>
            <w:tcW w:w="2190" w:type="dxa"/>
            <w:shd w:val="clear" w:color="auto" w:fill="auto"/>
          </w:tcPr>
          <w:p w14:paraId="647A35AE"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OVDA, PNCR, Administration locale, ONG locale</w:t>
            </w:r>
          </w:p>
        </w:tc>
      </w:tr>
      <w:tr w:rsidR="00BB0401" w:rsidRPr="00C54132" w14:paraId="203FE2F3" w14:textId="77777777" w:rsidTr="00730A4A">
        <w:tc>
          <w:tcPr>
            <w:tcW w:w="1806" w:type="dxa"/>
            <w:vMerge/>
            <w:shd w:val="clear" w:color="auto" w:fill="auto"/>
          </w:tcPr>
          <w:p w14:paraId="6D1B5957" w14:textId="77777777" w:rsidR="00F42DAB" w:rsidRPr="00730A4A" w:rsidRDefault="00F42DAB" w:rsidP="00730A4A">
            <w:pPr>
              <w:pStyle w:val="TableParagraph"/>
              <w:spacing w:line="276" w:lineRule="auto"/>
              <w:rPr>
                <w:szCs w:val="20"/>
                <w:lang w:val="fr-FR"/>
              </w:rPr>
            </w:pPr>
          </w:p>
        </w:tc>
        <w:tc>
          <w:tcPr>
            <w:tcW w:w="2271" w:type="dxa"/>
            <w:shd w:val="clear" w:color="auto" w:fill="auto"/>
          </w:tcPr>
          <w:p w14:paraId="4D3F5D15" w14:textId="77777777" w:rsidR="00F42DAB" w:rsidRPr="00730A4A" w:rsidRDefault="00F42DAB" w:rsidP="00730A4A">
            <w:pPr>
              <w:pStyle w:val="TableParagraph"/>
              <w:spacing w:line="276" w:lineRule="auto"/>
              <w:ind w:left="80" w:right="196"/>
              <w:rPr>
                <w:w w:val="95"/>
                <w:szCs w:val="20"/>
                <w:lang w:val="fr-FR"/>
              </w:rPr>
            </w:pPr>
          </w:p>
          <w:p w14:paraId="12E2DFD9" w14:textId="77777777" w:rsidR="00F42DAB" w:rsidRPr="00730A4A" w:rsidRDefault="00F42DAB" w:rsidP="00730A4A">
            <w:pPr>
              <w:pStyle w:val="TableParagraph"/>
              <w:spacing w:line="276" w:lineRule="auto"/>
              <w:ind w:left="80" w:right="196"/>
              <w:rPr>
                <w:w w:val="95"/>
                <w:szCs w:val="20"/>
                <w:lang w:val="fr-FR"/>
              </w:rPr>
            </w:pPr>
          </w:p>
          <w:p w14:paraId="24B24CEB" w14:textId="77777777" w:rsidR="00F42DAB" w:rsidRPr="00730A4A" w:rsidRDefault="00F42DAB" w:rsidP="00730A4A">
            <w:pPr>
              <w:pStyle w:val="TableParagraph"/>
              <w:spacing w:line="276" w:lineRule="auto"/>
              <w:ind w:left="80" w:right="196"/>
              <w:rPr>
                <w:w w:val="95"/>
                <w:szCs w:val="20"/>
                <w:lang w:val="fr-FR"/>
              </w:rPr>
            </w:pPr>
          </w:p>
          <w:p w14:paraId="673D98FA" w14:textId="77777777" w:rsidR="00F42DAB" w:rsidRPr="00730A4A" w:rsidRDefault="00F42DAB" w:rsidP="00730A4A">
            <w:pPr>
              <w:pStyle w:val="TableParagraph"/>
              <w:spacing w:line="276" w:lineRule="auto"/>
              <w:ind w:left="80" w:right="196"/>
              <w:rPr>
                <w:w w:val="95"/>
                <w:szCs w:val="20"/>
                <w:lang w:val="fr-FR"/>
              </w:rPr>
            </w:pPr>
          </w:p>
          <w:p w14:paraId="4122A535" w14:textId="77777777" w:rsidR="00F42DAB" w:rsidRPr="00730A4A" w:rsidRDefault="00F42DAB" w:rsidP="00730A4A">
            <w:pPr>
              <w:pStyle w:val="TableParagraph"/>
              <w:spacing w:line="276" w:lineRule="auto"/>
              <w:ind w:left="80" w:right="196"/>
              <w:rPr>
                <w:w w:val="95"/>
                <w:szCs w:val="20"/>
                <w:lang w:val="fr-FR"/>
              </w:rPr>
            </w:pPr>
          </w:p>
          <w:p w14:paraId="6928BBCB" w14:textId="77777777" w:rsidR="00F42DAB" w:rsidRPr="00730A4A" w:rsidRDefault="00F42DAB" w:rsidP="00730A4A">
            <w:pPr>
              <w:pStyle w:val="TableParagraph"/>
              <w:spacing w:line="276" w:lineRule="auto"/>
              <w:ind w:left="80" w:right="196"/>
              <w:rPr>
                <w:w w:val="95"/>
                <w:szCs w:val="20"/>
                <w:lang w:val="fr-FR"/>
              </w:rPr>
            </w:pPr>
          </w:p>
          <w:p w14:paraId="5AB936E8" w14:textId="77777777" w:rsidR="00F42DAB" w:rsidRPr="00730A4A" w:rsidRDefault="00F42DAB" w:rsidP="00730A4A">
            <w:pPr>
              <w:pStyle w:val="TableParagraph"/>
              <w:spacing w:line="276" w:lineRule="auto"/>
              <w:ind w:left="80" w:right="196"/>
              <w:rPr>
                <w:szCs w:val="20"/>
                <w:lang w:val="fr-FR"/>
              </w:rPr>
            </w:pPr>
            <w:r w:rsidRPr="00730A4A">
              <w:rPr>
                <w:szCs w:val="20"/>
                <w:lang w:val="fr-FR"/>
              </w:rPr>
              <w:t>Risque de contamination du COVID-19</w:t>
            </w:r>
          </w:p>
        </w:tc>
        <w:tc>
          <w:tcPr>
            <w:tcW w:w="4975" w:type="dxa"/>
            <w:shd w:val="clear" w:color="auto" w:fill="auto"/>
          </w:tcPr>
          <w:p w14:paraId="0E7C4C2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un plan de prévention contre la COVID-19 ;</w:t>
            </w:r>
          </w:p>
          <w:p w14:paraId="5182674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Sensibiliser les travailleurs et les populations riveraines sur la lutte contre la COVID19 ;</w:t>
            </w:r>
          </w:p>
          <w:p w14:paraId="12C028D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 xml:space="preserve">Port obligatoire des masques médicalisés ou tous les autres masques fabriqués localement; </w:t>
            </w:r>
          </w:p>
          <w:p w14:paraId="70EAAB9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Confinement des personnes contaminées par la COVID-19 ;</w:t>
            </w:r>
          </w:p>
          <w:p w14:paraId="75C5E5F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Observer les mesures barrières dont :</w:t>
            </w:r>
          </w:p>
          <w:p w14:paraId="44144FC2" w14:textId="77777777" w:rsidR="00F42DAB" w:rsidRPr="00730A4A" w:rsidRDefault="00F42DAB" w:rsidP="00730A4A">
            <w:pPr>
              <w:pStyle w:val="Paragraphedeliste"/>
              <w:numPr>
                <w:ilvl w:val="0"/>
                <w:numId w:val="50"/>
              </w:numPr>
              <w:rPr>
                <w:rFonts w:cs="Arial"/>
                <w:sz w:val="22"/>
                <w:szCs w:val="20"/>
              </w:rPr>
            </w:pPr>
            <w:r w:rsidRPr="00730A4A">
              <w:rPr>
                <w:rFonts w:cs="Arial"/>
                <w:sz w:val="22"/>
                <w:szCs w:val="20"/>
              </w:rPr>
              <w:t>Lavage des mains plusieurs fois/jours, fréquemment et correctement avec du savon ou mettre du gel hydro alcoolique pour éviter les microbes ;</w:t>
            </w:r>
          </w:p>
          <w:p w14:paraId="5A449845" w14:textId="77777777" w:rsidR="00F42DAB" w:rsidRPr="00730A4A" w:rsidRDefault="00F42DAB" w:rsidP="00730A4A">
            <w:pPr>
              <w:pStyle w:val="Paragraphedeliste"/>
              <w:numPr>
                <w:ilvl w:val="0"/>
                <w:numId w:val="50"/>
              </w:numPr>
              <w:rPr>
                <w:rFonts w:cs="Arial"/>
                <w:sz w:val="22"/>
                <w:szCs w:val="20"/>
              </w:rPr>
            </w:pPr>
            <w:r w:rsidRPr="00730A4A">
              <w:rPr>
                <w:rFonts w:cs="Arial"/>
                <w:sz w:val="22"/>
                <w:szCs w:val="20"/>
              </w:rPr>
              <w:t>Maintenir une distanciation sociale (±1 mètre) ;</w:t>
            </w:r>
          </w:p>
          <w:p w14:paraId="1492844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Observer les règles d’hygiène respiratoire :</w:t>
            </w:r>
          </w:p>
          <w:p w14:paraId="53E88EC0" w14:textId="77777777" w:rsidR="00F42DAB" w:rsidRPr="00730A4A" w:rsidRDefault="00F42DAB" w:rsidP="00730A4A">
            <w:pPr>
              <w:pStyle w:val="Paragraphedeliste"/>
              <w:numPr>
                <w:ilvl w:val="0"/>
                <w:numId w:val="50"/>
              </w:numPr>
              <w:rPr>
                <w:rFonts w:cs="Arial"/>
                <w:sz w:val="22"/>
                <w:szCs w:val="20"/>
              </w:rPr>
            </w:pPr>
            <w:r w:rsidRPr="00730A4A">
              <w:rPr>
                <w:rFonts w:cs="Arial"/>
                <w:sz w:val="22"/>
                <w:szCs w:val="20"/>
              </w:rPr>
              <w:t>Eviter de se serrer la main ou de se faire la bise pour se saluer ;</w:t>
            </w:r>
          </w:p>
          <w:p w14:paraId="1BB92D20" w14:textId="77777777" w:rsidR="00F42DAB" w:rsidRPr="00730A4A" w:rsidRDefault="00F42DAB" w:rsidP="00730A4A">
            <w:pPr>
              <w:pStyle w:val="Paragraphedeliste"/>
              <w:numPr>
                <w:ilvl w:val="0"/>
                <w:numId w:val="50"/>
              </w:numPr>
              <w:rPr>
                <w:rFonts w:cs="Arial"/>
                <w:sz w:val="22"/>
                <w:szCs w:val="20"/>
              </w:rPr>
            </w:pPr>
            <w:r w:rsidRPr="00730A4A">
              <w:rPr>
                <w:rFonts w:cs="Arial"/>
                <w:sz w:val="22"/>
                <w:szCs w:val="20"/>
              </w:rPr>
              <w:t>Éviter de se toucher la bouche, le nez et les yeux : nez, yeux et bouches sont autant de "portes d'entrées" possibles au virus. En période de la pandémie, il est préférable d’éviter au maximum de se toucher le visage avec les mains, potentiellement contaminées ;</w:t>
            </w:r>
          </w:p>
          <w:p w14:paraId="2A04E225" w14:textId="77777777" w:rsidR="00F42DAB" w:rsidRPr="00730A4A" w:rsidRDefault="00F42DAB" w:rsidP="00730A4A">
            <w:pPr>
              <w:pStyle w:val="Paragraphedeliste"/>
              <w:numPr>
                <w:ilvl w:val="0"/>
                <w:numId w:val="50"/>
              </w:numPr>
              <w:rPr>
                <w:rFonts w:cs="Arial"/>
                <w:sz w:val="22"/>
                <w:szCs w:val="20"/>
              </w:rPr>
            </w:pPr>
            <w:r w:rsidRPr="00730A4A">
              <w:rPr>
                <w:rFonts w:cs="Arial"/>
                <w:sz w:val="22"/>
                <w:szCs w:val="20"/>
              </w:rPr>
              <w:t>Mettre en place un numéro vert ;</w:t>
            </w:r>
          </w:p>
          <w:p w14:paraId="18645DCA" w14:textId="77777777" w:rsidR="00F42DAB" w:rsidRPr="00730A4A" w:rsidRDefault="00F42DAB" w:rsidP="00730A4A">
            <w:pPr>
              <w:pStyle w:val="Paragraphedeliste"/>
              <w:numPr>
                <w:ilvl w:val="0"/>
                <w:numId w:val="50"/>
              </w:numPr>
              <w:rPr>
                <w:rFonts w:cs="Arial"/>
                <w:sz w:val="22"/>
                <w:szCs w:val="20"/>
              </w:rPr>
            </w:pPr>
            <w:r w:rsidRPr="00730A4A">
              <w:rPr>
                <w:rFonts w:cs="Arial"/>
                <w:sz w:val="22"/>
                <w:szCs w:val="20"/>
              </w:rPr>
              <w:t>Se couvrir la bouche et le nez avec le pli du coude ou avec un mouchoir en cas de toux ou d'éternuement – jeter le mouchoir immédiatement après dans une poubelle fermée et se laver les mains avec une solution hydro alcoolique ou à l'eau et au savon. Se couvrir la bouche et le nez en cas de toux ou d'éternuement permet d'éviter la propagation des virus et autres agents pathogènes ;</w:t>
            </w:r>
          </w:p>
          <w:p w14:paraId="5D6ED8A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Tenir compte de la situation de la femme face au   COVID-19 ;</w:t>
            </w:r>
          </w:p>
        </w:tc>
        <w:tc>
          <w:tcPr>
            <w:tcW w:w="2144" w:type="dxa"/>
            <w:shd w:val="clear" w:color="auto" w:fill="auto"/>
          </w:tcPr>
          <w:p w14:paraId="0079BF4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59ABED5E"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 et autres prestataires de service</w:t>
            </w:r>
          </w:p>
        </w:tc>
        <w:tc>
          <w:tcPr>
            <w:tcW w:w="2190" w:type="dxa"/>
            <w:shd w:val="clear" w:color="auto" w:fill="auto"/>
          </w:tcPr>
          <w:p w14:paraId="33BE228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INRB, Administration locale, ONG locale</w:t>
            </w:r>
          </w:p>
        </w:tc>
      </w:tr>
      <w:tr w:rsidR="00BB0401" w:rsidRPr="00C54132" w14:paraId="633555D5" w14:textId="77777777" w:rsidTr="00730A4A">
        <w:tc>
          <w:tcPr>
            <w:tcW w:w="1806" w:type="dxa"/>
            <w:shd w:val="clear" w:color="auto" w:fill="auto"/>
          </w:tcPr>
          <w:p w14:paraId="4DF23D72" w14:textId="77777777" w:rsidR="00F42DAB" w:rsidRPr="00730A4A" w:rsidRDefault="00F42DAB" w:rsidP="00730A4A">
            <w:pPr>
              <w:pStyle w:val="TableParagraph"/>
              <w:spacing w:line="276" w:lineRule="auto"/>
              <w:rPr>
                <w:szCs w:val="20"/>
                <w:lang w:val="fr-FR"/>
              </w:rPr>
            </w:pPr>
          </w:p>
        </w:tc>
        <w:tc>
          <w:tcPr>
            <w:tcW w:w="2271" w:type="dxa"/>
            <w:shd w:val="clear" w:color="auto" w:fill="auto"/>
          </w:tcPr>
          <w:p w14:paraId="612C2EF4" w14:textId="77777777" w:rsidR="00F42DAB" w:rsidRPr="00730A4A" w:rsidRDefault="00F42DAB" w:rsidP="00730A4A">
            <w:pPr>
              <w:pStyle w:val="TableParagraph"/>
              <w:spacing w:line="276" w:lineRule="auto"/>
              <w:ind w:left="80" w:right="196"/>
              <w:rPr>
                <w:w w:val="95"/>
                <w:szCs w:val="20"/>
                <w:lang w:val="fr-FR"/>
              </w:rPr>
            </w:pPr>
            <w:r w:rsidRPr="00730A4A">
              <w:rPr>
                <w:szCs w:val="20"/>
                <w:lang w:val="fr-FR"/>
              </w:rPr>
              <w:t>Risque de contamination du virus Ebola</w:t>
            </w:r>
          </w:p>
        </w:tc>
        <w:tc>
          <w:tcPr>
            <w:tcW w:w="4975" w:type="dxa"/>
            <w:shd w:val="clear" w:color="auto" w:fill="auto"/>
          </w:tcPr>
          <w:p w14:paraId="77124019" w14:textId="77777777" w:rsidR="00F42DAB" w:rsidRPr="00730A4A" w:rsidRDefault="00F42DAB" w:rsidP="00730A4A">
            <w:pPr>
              <w:pStyle w:val="Paragraphedeliste"/>
              <w:numPr>
                <w:ilvl w:val="0"/>
                <w:numId w:val="50"/>
              </w:numPr>
              <w:rPr>
                <w:szCs w:val="20"/>
              </w:rPr>
            </w:pPr>
            <w:r w:rsidRPr="00730A4A">
              <w:rPr>
                <w:rFonts w:cs="Arial"/>
                <w:sz w:val="22"/>
                <w:szCs w:val="20"/>
              </w:rPr>
              <w:t>application des mesures spécifiques de prévention et de lutte telles que : (i) se laver les mains,  (ii) éviter tout contact avec les liquides biologiques de cas suspects ou confirmés d'Ebola ; (iii) s'abstenir de manipuler ou de préparer les corps des défunts à virus Ebola, etc</w:t>
            </w:r>
          </w:p>
        </w:tc>
        <w:tc>
          <w:tcPr>
            <w:tcW w:w="2144" w:type="dxa"/>
            <w:shd w:val="clear" w:color="auto" w:fill="auto"/>
          </w:tcPr>
          <w:p w14:paraId="1231E9C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1FE26A4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 et autres prestataires de service</w:t>
            </w:r>
          </w:p>
        </w:tc>
        <w:tc>
          <w:tcPr>
            <w:tcW w:w="2190" w:type="dxa"/>
            <w:shd w:val="clear" w:color="auto" w:fill="auto"/>
          </w:tcPr>
          <w:p w14:paraId="4C152B9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INRB, Administration locale, ONG locale</w:t>
            </w:r>
          </w:p>
        </w:tc>
      </w:tr>
      <w:tr w:rsidR="00BB0401" w:rsidRPr="00C54132" w14:paraId="5A05AFA0" w14:textId="77777777" w:rsidTr="00730A4A">
        <w:tc>
          <w:tcPr>
            <w:tcW w:w="1806" w:type="dxa"/>
            <w:shd w:val="clear" w:color="auto" w:fill="auto"/>
          </w:tcPr>
          <w:p w14:paraId="102AA566" w14:textId="77777777" w:rsidR="00F42DAB" w:rsidRPr="00730A4A" w:rsidRDefault="00F42DAB" w:rsidP="00730A4A">
            <w:pPr>
              <w:pStyle w:val="TableParagraph"/>
              <w:spacing w:line="276" w:lineRule="auto"/>
              <w:ind w:left="176" w:right="146" w:hanging="13"/>
              <w:jc w:val="both"/>
              <w:rPr>
                <w:w w:val="95"/>
                <w:szCs w:val="20"/>
                <w:lang w:val="fr-FR"/>
              </w:rPr>
            </w:pPr>
          </w:p>
          <w:p w14:paraId="4F17E570" w14:textId="77777777" w:rsidR="00F42DAB" w:rsidRPr="00730A4A" w:rsidRDefault="00F42DAB" w:rsidP="00730A4A">
            <w:pPr>
              <w:pStyle w:val="TableParagraph"/>
              <w:spacing w:line="276" w:lineRule="auto"/>
              <w:ind w:left="176" w:right="146" w:hanging="13"/>
              <w:jc w:val="both"/>
              <w:rPr>
                <w:w w:val="95"/>
                <w:szCs w:val="20"/>
                <w:lang w:val="fr-FR"/>
              </w:rPr>
            </w:pPr>
          </w:p>
          <w:p w14:paraId="62C9DA0B" w14:textId="77777777" w:rsidR="00F42DAB" w:rsidRPr="00730A4A" w:rsidRDefault="00F42DAB" w:rsidP="00730A4A">
            <w:pPr>
              <w:pStyle w:val="TableParagraph"/>
              <w:spacing w:line="276" w:lineRule="auto"/>
              <w:ind w:left="176" w:right="146" w:hanging="13"/>
              <w:jc w:val="both"/>
              <w:rPr>
                <w:w w:val="95"/>
                <w:szCs w:val="20"/>
                <w:lang w:val="fr-FR"/>
              </w:rPr>
            </w:pPr>
          </w:p>
          <w:p w14:paraId="74BEC876" w14:textId="77777777" w:rsidR="00F42DAB" w:rsidRPr="00730A4A" w:rsidRDefault="00F42DAB" w:rsidP="00730A4A">
            <w:pPr>
              <w:pStyle w:val="TableParagraph"/>
              <w:spacing w:line="276" w:lineRule="auto"/>
              <w:ind w:left="176" w:right="146" w:hanging="13"/>
              <w:jc w:val="both"/>
              <w:rPr>
                <w:w w:val="95"/>
                <w:szCs w:val="20"/>
                <w:lang w:val="fr-FR"/>
              </w:rPr>
            </w:pPr>
          </w:p>
          <w:p w14:paraId="561D495B" w14:textId="77777777" w:rsidR="00F42DAB" w:rsidRPr="00730A4A" w:rsidRDefault="00F42DAB" w:rsidP="00730A4A">
            <w:pPr>
              <w:pStyle w:val="TableParagraph"/>
              <w:spacing w:line="276" w:lineRule="auto"/>
              <w:ind w:left="176" w:right="146" w:hanging="13"/>
              <w:jc w:val="both"/>
              <w:rPr>
                <w:w w:val="95"/>
                <w:szCs w:val="20"/>
                <w:lang w:val="fr-FR"/>
              </w:rPr>
            </w:pPr>
          </w:p>
          <w:p w14:paraId="3C9416E1" w14:textId="77777777" w:rsidR="00F42DAB" w:rsidRPr="00730A4A" w:rsidRDefault="00F42DAB" w:rsidP="00730A4A">
            <w:pPr>
              <w:pStyle w:val="TableParagraph"/>
              <w:spacing w:line="276" w:lineRule="auto"/>
              <w:ind w:left="176" w:right="146" w:hanging="13"/>
              <w:jc w:val="both"/>
              <w:rPr>
                <w:w w:val="95"/>
                <w:szCs w:val="20"/>
                <w:lang w:val="fr-FR"/>
              </w:rPr>
            </w:pPr>
          </w:p>
          <w:p w14:paraId="183E8205" w14:textId="77777777" w:rsidR="00F42DAB" w:rsidRPr="00730A4A" w:rsidRDefault="00F42DAB" w:rsidP="00730A4A">
            <w:pPr>
              <w:pStyle w:val="TableParagraph"/>
              <w:spacing w:line="276" w:lineRule="auto"/>
              <w:ind w:left="176" w:right="146" w:hanging="13"/>
              <w:jc w:val="both"/>
              <w:rPr>
                <w:w w:val="95"/>
                <w:szCs w:val="20"/>
                <w:lang w:val="fr-FR"/>
              </w:rPr>
            </w:pPr>
          </w:p>
          <w:p w14:paraId="310EA9D9" w14:textId="77777777" w:rsidR="00F42DAB" w:rsidRPr="00730A4A" w:rsidRDefault="00F42DAB" w:rsidP="00730A4A">
            <w:pPr>
              <w:pStyle w:val="TableParagraph"/>
              <w:spacing w:line="276" w:lineRule="auto"/>
              <w:ind w:left="176" w:right="146" w:hanging="13"/>
              <w:jc w:val="both"/>
              <w:rPr>
                <w:szCs w:val="20"/>
              </w:rPr>
            </w:pPr>
            <w:r w:rsidRPr="00730A4A">
              <w:rPr>
                <w:szCs w:val="20"/>
              </w:rPr>
              <w:t>Utilisation du sol</w:t>
            </w:r>
          </w:p>
        </w:tc>
        <w:tc>
          <w:tcPr>
            <w:tcW w:w="2271" w:type="dxa"/>
            <w:shd w:val="clear" w:color="auto" w:fill="auto"/>
          </w:tcPr>
          <w:p w14:paraId="1A96ADDF" w14:textId="77777777" w:rsidR="00F42DAB" w:rsidRPr="00730A4A" w:rsidRDefault="00F42DAB" w:rsidP="00730A4A">
            <w:pPr>
              <w:pStyle w:val="TableParagraph"/>
              <w:spacing w:line="276" w:lineRule="auto"/>
              <w:ind w:right="130"/>
              <w:rPr>
                <w:szCs w:val="20"/>
                <w:lang w:val="fr-FR"/>
              </w:rPr>
            </w:pPr>
          </w:p>
          <w:p w14:paraId="2198F4CB" w14:textId="77777777" w:rsidR="00F42DAB" w:rsidRPr="00730A4A" w:rsidRDefault="00F42DAB" w:rsidP="00730A4A">
            <w:pPr>
              <w:pStyle w:val="TableParagraph"/>
              <w:spacing w:line="276" w:lineRule="auto"/>
              <w:ind w:right="130"/>
              <w:rPr>
                <w:szCs w:val="20"/>
                <w:lang w:val="fr-FR"/>
              </w:rPr>
            </w:pPr>
          </w:p>
          <w:p w14:paraId="03F3CCBE" w14:textId="77777777" w:rsidR="00F42DAB" w:rsidRPr="00730A4A" w:rsidRDefault="00F42DAB" w:rsidP="00730A4A">
            <w:pPr>
              <w:pStyle w:val="TableParagraph"/>
              <w:spacing w:line="276" w:lineRule="auto"/>
              <w:ind w:right="130"/>
              <w:rPr>
                <w:szCs w:val="20"/>
                <w:lang w:val="fr-FR"/>
              </w:rPr>
            </w:pPr>
          </w:p>
          <w:p w14:paraId="3B0242F5" w14:textId="77777777" w:rsidR="00F42DAB" w:rsidRPr="00730A4A" w:rsidRDefault="00F42DAB" w:rsidP="00730A4A">
            <w:pPr>
              <w:pStyle w:val="TableParagraph"/>
              <w:spacing w:line="276" w:lineRule="auto"/>
              <w:ind w:right="130"/>
              <w:rPr>
                <w:szCs w:val="20"/>
                <w:lang w:val="fr-FR"/>
              </w:rPr>
            </w:pPr>
          </w:p>
          <w:p w14:paraId="60CF71BE" w14:textId="77777777" w:rsidR="00F42DAB" w:rsidRPr="00730A4A" w:rsidRDefault="00F42DAB" w:rsidP="00730A4A">
            <w:pPr>
              <w:pStyle w:val="TableParagraph"/>
              <w:spacing w:line="276" w:lineRule="auto"/>
              <w:ind w:right="130"/>
              <w:rPr>
                <w:szCs w:val="20"/>
                <w:lang w:val="fr-FR"/>
              </w:rPr>
            </w:pPr>
          </w:p>
          <w:p w14:paraId="114B5D78" w14:textId="77777777" w:rsidR="00F42DAB" w:rsidRPr="00730A4A" w:rsidRDefault="00F42DAB" w:rsidP="00730A4A">
            <w:pPr>
              <w:pStyle w:val="TableParagraph"/>
              <w:spacing w:line="276" w:lineRule="auto"/>
              <w:ind w:right="130"/>
              <w:rPr>
                <w:szCs w:val="20"/>
                <w:lang w:val="fr-FR"/>
              </w:rPr>
            </w:pPr>
          </w:p>
          <w:p w14:paraId="134D7719" w14:textId="77777777" w:rsidR="00F42DAB" w:rsidRPr="00730A4A" w:rsidRDefault="00F42DAB" w:rsidP="00730A4A">
            <w:pPr>
              <w:pStyle w:val="TableParagraph"/>
              <w:spacing w:line="276" w:lineRule="auto"/>
              <w:ind w:right="130"/>
              <w:rPr>
                <w:szCs w:val="20"/>
                <w:lang w:val="fr-FR"/>
              </w:rPr>
            </w:pPr>
          </w:p>
          <w:p w14:paraId="1DDEBDE5" w14:textId="77777777" w:rsidR="00F42DAB" w:rsidRPr="00730A4A" w:rsidRDefault="00F42DAB" w:rsidP="00730A4A">
            <w:pPr>
              <w:pStyle w:val="TableParagraph"/>
              <w:spacing w:line="276" w:lineRule="auto"/>
              <w:ind w:right="130"/>
              <w:rPr>
                <w:szCs w:val="20"/>
                <w:lang w:val="fr-FR"/>
              </w:rPr>
            </w:pPr>
            <w:r w:rsidRPr="00730A4A">
              <w:rPr>
                <w:szCs w:val="20"/>
                <w:lang w:val="fr-FR"/>
              </w:rPr>
              <w:t>Perte de sols agricoles et de pâturages en zone rurale et périurbaine.</w:t>
            </w:r>
          </w:p>
        </w:tc>
        <w:tc>
          <w:tcPr>
            <w:tcW w:w="4975" w:type="dxa"/>
            <w:shd w:val="clear" w:color="auto" w:fill="auto"/>
          </w:tcPr>
          <w:p w14:paraId="0527BC6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Compenser les producteurs agricoles pour leur perte de terre et de revenus ;</w:t>
            </w:r>
          </w:p>
          <w:p w14:paraId="6074915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Localiser les équipements autant que possible sur les limites des espaces cultivés, ou les répartir de façon à en réduire le nombre au minimum ;</w:t>
            </w:r>
          </w:p>
          <w:p w14:paraId="72F7A398"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Vérifier avec les propriétaires ou les producteurs l’utilisation prévue des lots avant les travaux ; effectuer les travaux de façon à nuire le moins possible aux cultures et aux pratiques culturales existantes ;</w:t>
            </w:r>
          </w:p>
          <w:p w14:paraId="214BEFE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Indemniser les propriétaires avant le début des travaux si des terres et des cultures sont touchées à temps partiel ou en permanence ;</w:t>
            </w:r>
          </w:p>
          <w:p w14:paraId="793EA01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Minimiser les superficies où il ne sera pas possible de cultiver ou de pratiquer l’élevage pendant et après les travaux ;</w:t>
            </w:r>
          </w:p>
          <w:p w14:paraId="728FACC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Garantir en tout temps l’accès aux superficies isolées.</w:t>
            </w:r>
          </w:p>
        </w:tc>
        <w:tc>
          <w:tcPr>
            <w:tcW w:w="2144" w:type="dxa"/>
            <w:shd w:val="clear" w:color="auto" w:fill="auto"/>
          </w:tcPr>
          <w:p w14:paraId="0CE3364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03A5939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 et autres prestataires de service</w:t>
            </w:r>
          </w:p>
        </w:tc>
        <w:tc>
          <w:tcPr>
            <w:tcW w:w="2190" w:type="dxa"/>
            <w:shd w:val="clear" w:color="auto" w:fill="auto"/>
          </w:tcPr>
          <w:p w14:paraId="021AD262"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OVDA, Administration locale, ONG locale</w:t>
            </w:r>
          </w:p>
        </w:tc>
      </w:tr>
      <w:tr w:rsidR="00BB0401" w:rsidRPr="00C54132" w14:paraId="09273AAB" w14:textId="77777777" w:rsidTr="00730A4A">
        <w:tc>
          <w:tcPr>
            <w:tcW w:w="1806" w:type="dxa"/>
            <w:shd w:val="clear" w:color="auto" w:fill="auto"/>
          </w:tcPr>
          <w:p w14:paraId="272F658B" w14:textId="77777777" w:rsidR="00F42DAB" w:rsidRPr="00730A4A" w:rsidRDefault="00F42DAB" w:rsidP="00730A4A">
            <w:pPr>
              <w:pStyle w:val="TableParagraph"/>
              <w:spacing w:line="276" w:lineRule="auto"/>
              <w:ind w:right="231"/>
              <w:rPr>
                <w:szCs w:val="20"/>
                <w:lang w:val="fr-FR"/>
              </w:rPr>
            </w:pPr>
          </w:p>
          <w:p w14:paraId="60575CDC" w14:textId="77777777" w:rsidR="00F42DAB" w:rsidRPr="00730A4A" w:rsidRDefault="00F42DAB" w:rsidP="00730A4A">
            <w:pPr>
              <w:pStyle w:val="TableParagraph"/>
              <w:spacing w:line="276" w:lineRule="auto"/>
              <w:ind w:right="231"/>
              <w:rPr>
                <w:szCs w:val="20"/>
                <w:lang w:val="fr-FR"/>
              </w:rPr>
            </w:pPr>
          </w:p>
          <w:p w14:paraId="12925C2F" w14:textId="77777777" w:rsidR="00F42DAB" w:rsidRPr="00730A4A" w:rsidRDefault="00F42DAB" w:rsidP="00730A4A">
            <w:pPr>
              <w:pStyle w:val="TableParagraph"/>
              <w:spacing w:line="276" w:lineRule="auto"/>
              <w:ind w:right="231"/>
              <w:rPr>
                <w:szCs w:val="20"/>
                <w:lang w:val="fr-FR"/>
              </w:rPr>
            </w:pPr>
          </w:p>
          <w:p w14:paraId="13E73F02" w14:textId="77777777" w:rsidR="00F42DAB" w:rsidRPr="00730A4A" w:rsidRDefault="00F42DAB" w:rsidP="00730A4A">
            <w:pPr>
              <w:pStyle w:val="TableParagraph"/>
              <w:spacing w:line="276" w:lineRule="auto"/>
              <w:ind w:right="231"/>
              <w:rPr>
                <w:szCs w:val="20"/>
                <w:lang w:val="fr-FR"/>
              </w:rPr>
            </w:pPr>
          </w:p>
          <w:p w14:paraId="2968F197" w14:textId="77777777" w:rsidR="00F42DAB" w:rsidRPr="00730A4A" w:rsidRDefault="00F42DAB" w:rsidP="00730A4A">
            <w:pPr>
              <w:pStyle w:val="TableParagraph"/>
              <w:spacing w:line="276" w:lineRule="auto"/>
              <w:ind w:right="231"/>
              <w:rPr>
                <w:szCs w:val="20"/>
                <w:lang w:val="fr-FR"/>
              </w:rPr>
            </w:pPr>
          </w:p>
          <w:p w14:paraId="3A08FABC" w14:textId="77777777" w:rsidR="00F42DAB" w:rsidRPr="00730A4A" w:rsidRDefault="00F42DAB" w:rsidP="00730A4A">
            <w:pPr>
              <w:pStyle w:val="TableParagraph"/>
              <w:spacing w:line="276" w:lineRule="auto"/>
              <w:ind w:right="231"/>
              <w:rPr>
                <w:szCs w:val="20"/>
                <w:lang w:val="fr-FR"/>
              </w:rPr>
            </w:pPr>
          </w:p>
          <w:p w14:paraId="0587BFB7" w14:textId="77777777" w:rsidR="00F42DAB" w:rsidRPr="00730A4A" w:rsidRDefault="00F42DAB" w:rsidP="00730A4A">
            <w:pPr>
              <w:pStyle w:val="TableParagraph"/>
              <w:spacing w:line="276" w:lineRule="auto"/>
              <w:ind w:right="231"/>
              <w:rPr>
                <w:szCs w:val="20"/>
              </w:rPr>
            </w:pPr>
            <w:r w:rsidRPr="00730A4A">
              <w:rPr>
                <w:szCs w:val="20"/>
              </w:rPr>
              <w:t>Aspects économiques</w:t>
            </w:r>
          </w:p>
        </w:tc>
        <w:tc>
          <w:tcPr>
            <w:tcW w:w="2271" w:type="dxa"/>
            <w:shd w:val="clear" w:color="auto" w:fill="auto"/>
          </w:tcPr>
          <w:p w14:paraId="43D2728C" w14:textId="77777777" w:rsidR="00F42DAB" w:rsidRPr="00730A4A" w:rsidRDefault="00F42DAB" w:rsidP="00730A4A">
            <w:pPr>
              <w:pStyle w:val="TableParagraph"/>
              <w:spacing w:line="276" w:lineRule="auto"/>
              <w:ind w:right="417"/>
              <w:rPr>
                <w:szCs w:val="20"/>
                <w:lang w:val="fr-FR"/>
              </w:rPr>
            </w:pPr>
          </w:p>
          <w:p w14:paraId="7B813EFF" w14:textId="77777777" w:rsidR="00F42DAB" w:rsidRPr="00730A4A" w:rsidRDefault="00F42DAB" w:rsidP="00730A4A">
            <w:pPr>
              <w:pStyle w:val="TableParagraph"/>
              <w:spacing w:line="276" w:lineRule="auto"/>
              <w:ind w:right="417"/>
              <w:rPr>
                <w:szCs w:val="20"/>
                <w:lang w:val="fr-FR"/>
              </w:rPr>
            </w:pPr>
          </w:p>
          <w:p w14:paraId="285AAA2F" w14:textId="77777777" w:rsidR="00F42DAB" w:rsidRPr="00730A4A" w:rsidRDefault="00F42DAB" w:rsidP="00730A4A">
            <w:pPr>
              <w:pStyle w:val="TableParagraph"/>
              <w:spacing w:line="276" w:lineRule="auto"/>
              <w:ind w:right="417"/>
              <w:rPr>
                <w:szCs w:val="20"/>
                <w:lang w:val="fr-FR"/>
              </w:rPr>
            </w:pPr>
          </w:p>
          <w:p w14:paraId="393F9621" w14:textId="77777777" w:rsidR="00F42DAB" w:rsidRPr="00730A4A" w:rsidRDefault="00F42DAB" w:rsidP="00730A4A">
            <w:pPr>
              <w:pStyle w:val="TableParagraph"/>
              <w:spacing w:line="276" w:lineRule="auto"/>
              <w:ind w:right="417"/>
              <w:rPr>
                <w:szCs w:val="20"/>
                <w:lang w:val="fr-FR"/>
              </w:rPr>
            </w:pPr>
          </w:p>
          <w:p w14:paraId="576F4DA6" w14:textId="77777777" w:rsidR="00F42DAB" w:rsidRPr="00730A4A" w:rsidRDefault="00F42DAB" w:rsidP="00730A4A">
            <w:pPr>
              <w:pStyle w:val="TableParagraph"/>
              <w:spacing w:line="276" w:lineRule="auto"/>
              <w:ind w:right="417"/>
              <w:rPr>
                <w:szCs w:val="20"/>
                <w:lang w:val="fr-FR"/>
              </w:rPr>
            </w:pPr>
          </w:p>
          <w:p w14:paraId="6402B517" w14:textId="77777777" w:rsidR="00F42DAB" w:rsidRPr="00730A4A" w:rsidRDefault="00F42DAB" w:rsidP="00730A4A">
            <w:pPr>
              <w:pStyle w:val="TableParagraph"/>
              <w:spacing w:line="276" w:lineRule="auto"/>
              <w:ind w:right="417"/>
              <w:rPr>
                <w:szCs w:val="20"/>
                <w:lang w:val="fr-FR"/>
              </w:rPr>
            </w:pPr>
            <w:r w:rsidRPr="00730A4A">
              <w:rPr>
                <w:szCs w:val="20"/>
                <w:lang w:val="fr-FR"/>
              </w:rPr>
              <w:t>Perte de revenus pour les activités commerciales.</w:t>
            </w:r>
          </w:p>
        </w:tc>
        <w:tc>
          <w:tcPr>
            <w:tcW w:w="4975" w:type="dxa"/>
            <w:shd w:val="clear" w:color="auto" w:fill="auto"/>
          </w:tcPr>
          <w:p w14:paraId="56EA20C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Éviter d’obstruer les zones commerciales ou prendre les dispositions nécessaires pour en assurer un accès et une utilisation sécuritaire pendant et après les travaux, surtout lorsqu’il s’agit des travaux de réhabilitation des marchés villageois ;</w:t>
            </w:r>
          </w:p>
          <w:p w14:paraId="6EF74714"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Compenser (réinstaller) prioritairement tous les commerçants (y compris les femmes) pour les pertes d’actifs et de revenus qu’ils subiront pendant leur déménagement qui sera appuyé par le projet, avant le démarrage des travaux ;</w:t>
            </w:r>
          </w:p>
          <w:p w14:paraId="1F6EC89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Mettre en place un MGP, qui tient compte des aspects genre et gère les plaintes liées à l’EAS/HS de façon éthique et confidentielle.</w:t>
            </w:r>
          </w:p>
        </w:tc>
        <w:tc>
          <w:tcPr>
            <w:tcW w:w="2144" w:type="dxa"/>
            <w:shd w:val="clear" w:color="auto" w:fill="auto"/>
          </w:tcPr>
          <w:p w14:paraId="781252A5"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71F98591"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 et autres prestataires de service</w:t>
            </w:r>
          </w:p>
        </w:tc>
        <w:tc>
          <w:tcPr>
            <w:tcW w:w="2190" w:type="dxa"/>
            <w:shd w:val="clear" w:color="auto" w:fill="auto"/>
          </w:tcPr>
          <w:p w14:paraId="0C85EECF"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OVDA, Administration locale, ONG locale</w:t>
            </w:r>
          </w:p>
        </w:tc>
      </w:tr>
      <w:tr w:rsidR="00BB0401" w:rsidRPr="00C54132" w14:paraId="26DA784C" w14:textId="77777777" w:rsidTr="00730A4A">
        <w:tc>
          <w:tcPr>
            <w:tcW w:w="1806" w:type="dxa"/>
            <w:shd w:val="clear" w:color="auto" w:fill="auto"/>
          </w:tcPr>
          <w:p w14:paraId="41025FD4" w14:textId="77777777" w:rsidR="00F42DAB" w:rsidRPr="00730A4A" w:rsidRDefault="00F42DAB" w:rsidP="00730A4A">
            <w:pPr>
              <w:pStyle w:val="TableParagraph"/>
              <w:spacing w:line="276" w:lineRule="auto"/>
              <w:ind w:right="231"/>
              <w:rPr>
                <w:szCs w:val="20"/>
                <w:lang w:val="fr-FR"/>
              </w:rPr>
            </w:pPr>
          </w:p>
        </w:tc>
        <w:tc>
          <w:tcPr>
            <w:tcW w:w="2271" w:type="dxa"/>
            <w:shd w:val="clear" w:color="auto" w:fill="auto"/>
          </w:tcPr>
          <w:p w14:paraId="13231A37" w14:textId="77777777" w:rsidR="00F42DAB" w:rsidRPr="00730A4A" w:rsidRDefault="00F42DAB" w:rsidP="00730A4A">
            <w:pPr>
              <w:pStyle w:val="TableParagraph"/>
              <w:spacing w:line="276" w:lineRule="auto"/>
              <w:ind w:right="417"/>
              <w:rPr>
                <w:szCs w:val="20"/>
                <w:lang w:val="fr-FR"/>
              </w:rPr>
            </w:pPr>
            <w:r w:rsidRPr="00730A4A">
              <w:rPr>
                <w:szCs w:val="20"/>
                <w:lang w:val="fr-FR"/>
              </w:rPr>
              <w:t>Risque d’absence des IF et les coopératives agricoles dans la zone concernée par le PNDA</w:t>
            </w:r>
          </w:p>
        </w:tc>
        <w:tc>
          <w:tcPr>
            <w:tcW w:w="4975" w:type="dxa"/>
            <w:shd w:val="clear" w:color="auto" w:fill="auto"/>
          </w:tcPr>
          <w:p w14:paraId="44B16D6C"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color w:val="000000"/>
                <w:szCs w:val="20"/>
                <w:lang w:val="fr-FR"/>
              </w:rPr>
              <w:t>Installer les antennes des IF et les coopératives dans les zones concernées par le PNDA</w:t>
            </w:r>
          </w:p>
        </w:tc>
        <w:tc>
          <w:tcPr>
            <w:tcW w:w="2144" w:type="dxa"/>
            <w:shd w:val="clear" w:color="auto" w:fill="auto"/>
          </w:tcPr>
          <w:p w14:paraId="65BF9FF9"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Avant le démarrage du Programme</w:t>
            </w:r>
          </w:p>
        </w:tc>
        <w:tc>
          <w:tcPr>
            <w:tcW w:w="2109" w:type="dxa"/>
            <w:shd w:val="clear" w:color="auto" w:fill="auto"/>
          </w:tcPr>
          <w:p w14:paraId="0369083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 les associations et coopératives agricoles, les IF</w:t>
            </w:r>
          </w:p>
        </w:tc>
        <w:tc>
          <w:tcPr>
            <w:tcW w:w="2190" w:type="dxa"/>
            <w:shd w:val="clear" w:color="auto" w:fill="auto"/>
          </w:tcPr>
          <w:p w14:paraId="6F6C3FD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ACE, BCC et administration locale, ONG locale</w:t>
            </w:r>
          </w:p>
        </w:tc>
      </w:tr>
      <w:tr w:rsidR="00BB0401" w:rsidRPr="00C54132" w14:paraId="1A8A440C" w14:textId="77777777" w:rsidTr="00730A4A">
        <w:tc>
          <w:tcPr>
            <w:tcW w:w="1806" w:type="dxa"/>
            <w:vMerge w:val="restart"/>
            <w:shd w:val="clear" w:color="auto" w:fill="auto"/>
          </w:tcPr>
          <w:p w14:paraId="2645B6E1" w14:textId="77777777" w:rsidR="00F42DAB" w:rsidRPr="00730A4A" w:rsidRDefault="00F42DAB" w:rsidP="00730A4A">
            <w:pPr>
              <w:pStyle w:val="TableParagraph"/>
              <w:spacing w:line="276" w:lineRule="auto"/>
              <w:ind w:right="109"/>
              <w:rPr>
                <w:szCs w:val="20"/>
                <w:lang w:val="fr-FR"/>
              </w:rPr>
            </w:pPr>
          </w:p>
          <w:p w14:paraId="5B85A336" w14:textId="77777777" w:rsidR="00F42DAB" w:rsidRPr="00730A4A" w:rsidRDefault="00F42DAB" w:rsidP="00730A4A">
            <w:pPr>
              <w:pStyle w:val="TableParagraph"/>
              <w:spacing w:line="276" w:lineRule="auto"/>
              <w:ind w:right="109"/>
              <w:rPr>
                <w:szCs w:val="20"/>
                <w:lang w:val="fr-FR"/>
              </w:rPr>
            </w:pPr>
          </w:p>
          <w:p w14:paraId="30D347C7" w14:textId="77777777" w:rsidR="00F42DAB" w:rsidRPr="00730A4A" w:rsidRDefault="00F42DAB" w:rsidP="00730A4A">
            <w:pPr>
              <w:pStyle w:val="TableParagraph"/>
              <w:spacing w:line="276" w:lineRule="auto"/>
              <w:ind w:right="109"/>
              <w:rPr>
                <w:szCs w:val="20"/>
                <w:lang w:val="fr-FR"/>
              </w:rPr>
            </w:pPr>
          </w:p>
          <w:p w14:paraId="34756C1E" w14:textId="77777777" w:rsidR="00F42DAB" w:rsidRPr="00730A4A" w:rsidRDefault="00F42DAB" w:rsidP="00730A4A">
            <w:pPr>
              <w:pStyle w:val="TableParagraph"/>
              <w:spacing w:line="276" w:lineRule="auto"/>
              <w:ind w:right="109"/>
              <w:rPr>
                <w:szCs w:val="20"/>
                <w:lang w:val="fr-FR"/>
              </w:rPr>
            </w:pPr>
          </w:p>
          <w:p w14:paraId="17C19809" w14:textId="77777777" w:rsidR="00F42DAB" w:rsidRPr="00730A4A" w:rsidRDefault="00F42DAB" w:rsidP="00730A4A">
            <w:pPr>
              <w:pStyle w:val="TableParagraph"/>
              <w:spacing w:line="276" w:lineRule="auto"/>
              <w:ind w:right="109"/>
              <w:rPr>
                <w:szCs w:val="20"/>
              </w:rPr>
            </w:pPr>
            <w:r w:rsidRPr="00730A4A">
              <w:rPr>
                <w:szCs w:val="20"/>
              </w:rPr>
              <w:t>Archéologie et patrimoine</w:t>
            </w:r>
          </w:p>
        </w:tc>
        <w:tc>
          <w:tcPr>
            <w:tcW w:w="2271" w:type="dxa"/>
            <w:shd w:val="clear" w:color="auto" w:fill="auto"/>
          </w:tcPr>
          <w:p w14:paraId="78F262A3" w14:textId="77777777" w:rsidR="00F42DAB" w:rsidRPr="00730A4A" w:rsidRDefault="00F42DAB" w:rsidP="00730A4A">
            <w:pPr>
              <w:pStyle w:val="TableParagraph"/>
              <w:spacing w:line="276" w:lineRule="auto"/>
              <w:ind w:right="38"/>
              <w:rPr>
                <w:szCs w:val="20"/>
                <w:lang w:val="fr-FR"/>
              </w:rPr>
            </w:pPr>
            <w:r w:rsidRPr="00730A4A">
              <w:rPr>
                <w:szCs w:val="20"/>
                <w:lang w:val="fr-FR"/>
              </w:rPr>
              <w:t>Modification et impacts visuels à un site ou un bâtiment historique reconnu et perturbation des sites archéologiques reconnus ou potentiels.</w:t>
            </w:r>
          </w:p>
        </w:tc>
        <w:tc>
          <w:tcPr>
            <w:tcW w:w="4975" w:type="dxa"/>
            <w:shd w:val="clear" w:color="auto" w:fill="auto"/>
          </w:tcPr>
          <w:p w14:paraId="05BF117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Identifier et éviter si possible tous les sites archéologiques (bâtiment, tombe, arbre sacré, etc.) reconnus se trouvant dans la zone des travaux ;</w:t>
            </w:r>
          </w:p>
          <w:p w14:paraId="0E0D944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Si, lors des travaux, un site archéologique est découvert, aviser les autorités responsables et obtenir les autorisations nécessaires avant de poursuivre les travaux.</w:t>
            </w:r>
          </w:p>
        </w:tc>
        <w:tc>
          <w:tcPr>
            <w:tcW w:w="2144" w:type="dxa"/>
            <w:shd w:val="clear" w:color="auto" w:fill="auto"/>
          </w:tcPr>
          <w:p w14:paraId="39FEAC1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7A1D5DC0"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Les PME, la Mission de contrôle et autres prestataires de service</w:t>
            </w:r>
          </w:p>
        </w:tc>
        <w:tc>
          <w:tcPr>
            <w:tcW w:w="2190" w:type="dxa"/>
            <w:shd w:val="clear" w:color="auto" w:fill="auto"/>
          </w:tcPr>
          <w:p w14:paraId="53A275B3"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OVDA, Administration locale, ONG locale</w:t>
            </w:r>
          </w:p>
        </w:tc>
      </w:tr>
      <w:tr w:rsidR="00BB0401" w:rsidRPr="00C54132" w14:paraId="353CA133" w14:textId="77777777" w:rsidTr="00730A4A">
        <w:tc>
          <w:tcPr>
            <w:tcW w:w="1806" w:type="dxa"/>
            <w:vMerge/>
            <w:shd w:val="clear" w:color="auto" w:fill="auto"/>
          </w:tcPr>
          <w:p w14:paraId="4561490A" w14:textId="77777777" w:rsidR="00F42DAB" w:rsidRPr="00730A4A" w:rsidRDefault="00F42DAB" w:rsidP="00730A4A">
            <w:pPr>
              <w:pStyle w:val="TableParagraph"/>
              <w:spacing w:line="276" w:lineRule="auto"/>
              <w:ind w:right="109"/>
              <w:rPr>
                <w:w w:val="95"/>
                <w:szCs w:val="20"/>
                <w:lang w:val="fr-FR"/>
              </w:rPr>
            </w:pPr>
          </w:p>
        </w:tc>
        <w:tc>
          <w:tcPr>
            <w:tcW w:w="2271" w:type="dxa"/>
            <w:shd w:val="clear" w:color="auto" w:fill="auto"/>
          </w:tcPr>
          <w:p w14:paraId="403BE5D1" w14:textId="77777777" w:rsidR="00F42DAB" w:rsidRPr="00730A4A" w:rsidRDefault="00F42DAB" w:rsidP="00730A4A">
            <w:pPr>
              <w:tabs>
                <w:tab w:val="left" w:pos="0"/>
              </w:tabs>
              <w:spacing w:line="240" w:lineRule="auto"/>
              <w:rPr>
                <w:rFonts w:eastAsia="Calibri" w:cs="Arial"/>
                <w:sz w:val="22"/>
                <w:szCs w:val="20"/>
              </w:rPr>
            </w:pPr>
            <w:r w:rsidRPr="00730A4A">
              <w:rPr>
                <w:rFonts w:eastAsia="Calibri" w:cs="Arial"/>
                <w:sz w:val="22"/>
                <w:szCs w:val="20"/>
              </w:rPr>
              <w:t>Risques de dégradation de vestiges culturels</w:t>
            </w:r>
          </w:p>
          <w:p w14:paraId="54EC4CF4" w14:textId="77777777" w:rsidR="00F42DAB" w:rsidRPr="00730A4A" w:rsidRDefault="00F42DAB" w:rsidP="00730A4A">
            <w:pPr>
              <w:pStyle w:val="TableParagraph"/>
              <w:spacing w:line="276" w:lineRule="auto"/>
              <w:ind w:right="38"/>
              <w:rPr>
                <w:szCs w:val="20"/>
                <w:lang w:val="fr-FR"/>
              </w:rPr>
            </w:pPr>
          </w:p>
        </w:tc>
        <w:tc>
          <w:tcPr>
            <w:tcW w:w="4975" w:type="dxa"/>
            <w:shd w:val="clear" w:color="auto" w:fill="auto"/>
          </w:tcPr>
          <w:p w14:paraId="0851182B"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Inclure dans le DAO et le contrat des prestataires des mesures à respecter en cas de trouvaille fortuite, conformément à la loi nationale et aux habitudes du milieu.</w:t>
            </w:r>
          </w:p>
        </w:tc>
        <w:tc>
          <w:tcPr>
            <w:tcW w:w="2144" w:type="dxa"/>
            <w:shd w:val="clear" w:color="auto" w:fill="auto"/>
          </w:tcPr>
          <w:p w14:paraId="2A18CFD6"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Pendant la phase d’exécution du Programme</w:t>
            </w:r>
          </w:p>
        </w:tc>
        <w:tc>
          <w:tcPr>
            <w:tcW w:w="2109" w:type="dxa"/>
            <w:shd w:val="clear" w:color="auto" w:fill="auto"/>
          </w:tcPr>
          <w:p w14:paraId="14EA10A6" w14:textId="77777777" w:rsidR="00F42DAB" w:rsidRPr="00730A4A" w:rsidRDefault="00F42DAB" w:rsidP="00730A4A">
            <w:pPr>
              <w:pStyle w:val="TableParagraph"/>
              <w:numPr>
                <w:ilvl w:val="0"/>
                <w:numId w:val="49"/>
              </w:numPr>
              <w:autoSpaceDE w:val="0"/>
              <w:autoSpaceDN w:val="0"/>
              <w:spacing w:line="276" w:lineRule="auto"/>
              <w:ind w:left="164" w:right="97" w:hanging="164"/>
              <w:rPr>
                <w:szCs w:val="20"/>
                <w:lang w:val="fr-FR"/>
              </w:rPr>
            </w:pPr>
            <w:r w:rsidRPr="00730A4A">
              <w:rPr>
                <w:szCs w:val="20"/>
                <w:lang w:val="fr-FR"/>
              </w:rPr>
              <w:t>Les PME, la Mission de contrôle et autres prestataires de service</w:t>
            </w:r>
          </w:p>
        </w:tc>
        <w:tc>
          <w:tcPr>
            <w:tcW w:w="2190" w:type="dxa"/>
            <w:shd w:val="clear" w:color="auto" w:fill="auto"/>
          </w:tcPr>
          <w:p w14:paraId="728D63DA" w14:textId="77777777" w:rsidR="00F42DAB" w:rsidRPr="00730A4A" w:rsidRDefault="00F42DAB" w:rsidP="00730A4A">
            <w:pPr>
              <w:pStyle w:val="TableParagraph"/>
              <w:numPr>
                <w:ilvl w:val="0"/>
                <w:numId w:val="49"/>
              </w:numPr>
              <w:autoSpaceDE w:val="0"/>
              <w:autoSpaceDN w:val="0"/>
              <w:spacing w:line="276" w:lineRule="auto"/>
              <w:ind w:left="164" w:right="97" w:hanging="164"/>
              <w:jc w:val="both"/>
              <w:rPr>
                <w:szCs w:val="20"/>
                <w:lang w:val="fr-FR"/>
              </w:rPr>
            </w:pPr>
            <w:r w:rsidRPr="00730A4A">
              <w:rPr>
                <w:szCs w:val="20"/>
                <w:lang w:val="fr-FR"/>
              </w:rPr>
              <w:t>PNDA et ACE, OVDA, Administration locale, ONG locale</w:t>
            </w:r>
          </w:p>
        </w:tc>
      </w:tr>
    </w:tbl>
    <w:p w14:paraId="7200F6DE" w14:textId="77777777" w:rsidR="00BB40B9" w:rsidRPr="00730A4A" w:rsidRDefault="00BB40B9" w:rsidP="001C2F95">
      <w:pPr>
        <w:rPr>
          <w:rFonts w:cs="Arial"/>
          <w:color w:val="000000"/>
          <w:sz w:val="22"/>
        </w:rPr>
      </w:pPr>
    </w:p>
    <w:p w14:paraId="2A0B9E95" w14:textId="77777777" w:rsidR="007B22A3" w:rsidRPr="002139E7" w:rsidRDefault="007B22A3" w:rsidP="002139E7">
      <w:pPr>
        <w:pStyle w:val="Titre2"/>
        <w:numPr>
          <w:ilvl w:val="2"/>
          <w:numId w:val="4"/>
        </w:numPr>
        <w:ind w:left="1560" w:hanging="709"/>
        <w:rPr>
          <w:rFonts w:cs="Arial"/>
          <w:sz w:val="22"/>
          <w:szCs w:val="22"/>
        </w:rPr>
      </w:pPr>
      <w:bookmarkStart w:id="539" w:name="_Toc378313001"/>
      <w:bookmarkStart w:id="540" w:name="_Toc510553673"/>
      <w:bookmarkStart w:id="541" w:name="_Toc2490067"/>
      <w:bookmarkStart w:id="542" w:name="_Toc45017139"/>
      <w:bookmarkStart w:id="543" w:name="_Toc45267526"/>
      <w:bookmarkStart w:id="544" w:name="_Toc64029669"/>
      <w:bookmarkStart w:id="545" w:name="_Toc70330433"/>
      <w:r w:rsidRPr="002139E7">
        <w:rPr>
          <w:rFonts w:cs="Arial"/>
          <w:i/>
          <w:sz w:val="22"/>
          <w:szCs w:val="22"/>
        </w:rPr>
        <w:t>Clauses environnementales et sociales pour les travaux</w:t>
      </w:r>
      <w:bookmarkEnd w:id="539"/>
      <w:bookmarkEnd w:id="540"/>
      <w:bookmarkEnd w:id="541"/>
      <w:bookmarkEnd w:id="542"/>
      <w:bookmarkEnd w:id="543"/>
      <w:bookmarkEnd w:id="544"/>
      <w:bookmarkEnd w:id="545"/>
    </w:p>
    <w:p w14:paraId="1ACF7E64" w14:textId="77777777" w:rsidR="007B22A3" w:rsidRPr="00BE6EE2" w:rsidRDefault="007B22A3" w:rsidP="007B22A3">
      <w:pPr>
        <w:rPr>
          <w:rFonts w:cs="Arial"/>
          <w:b/>
          <w:bCs/>
          <w:sz w:val="22"/>
          <w:lang w:val="x-none" w:eastAsia="x-none"/>
        </w:rPr>
      </w:pPr>
    </w:p>
    <w:p w14:paraId="25308803" w14:textId="22E511BA" w:rsidR="007B22A3" w:rsidRPr="009D47FC" w:rsidRDefault="007B22A3" w:rsidP="007B22A3">
      <w:pPr>
        <w:rPr>
          <w:sz w:val="22"/>
        </w:rPr>
      </w:pPr>
      <w:r w:rsidRPr="000C236E">
        <w:rPr>
          <w:sz w:val="22"/>
        </w:rPr>
        <w:t xml:space="preserve">Les clauses environnementales et sociales sont destinées à aider les personnes en charge de la rédaction de dossiers d’appels d’offres (DAO)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insérées dans les dossiers d’appels d’offres et dans les marchés d’exécution des travaux dont elles constituent une partie intégrante. Ces clauses </w:t>
      </w:r>
      <w:r>
        <w:rPr>
          <w:sz w:val="22"/>
        </w:rPr>
        <w:t>incluant la p</w:t>
      </w:r>
      <w:r w:rsidRPr="00B82949">
        <w:rPr>
          <w:sz w:val="22"/>
        </w:rPr>
        <w:t xml:space="preserve">rocédure </w:t>
      </w:r>
      <w:r>
        <w:rPr>
          <w:sz w:val="22"/>
        </w:rPr>
        <w:t xml:space="preserve">de gestion en cas de </w:t>
      </w:r>
      <w:r w:rsidR="001D6316">
        <w:rPr>
          <w:sz w:val="22"/>
        </w:rPr>
        <w:t>découverte</w:t>
      </w:r>
      <w:r>
        <w:rPr>
          <w:sz w:val="22"/>
        </w:rPr>
        <w:t xml:space="preserve"> fortuite, la p</w:t>
      </w:r>
      <w:r w:rsidRPr="00B67B44">
        <w:rPr>
          <w:sz w:val="22"/>
        </w:rPr>
        <w:t>révention, atténuation er réponse contre les VBG/EAS/HS</w:t>
      </w:r>
      <w:r>
        <w:rPr>
          <w:sz w:val="22"/>
        </w:rPr>
        <w:t xml:space="preserve">, le </w:t>
      </w:r>
      <w:r w:rsidRPr="00B67B44">
        <w:rPr>
          <w:sz w:val="22"/>
        </w:rPr>
        <w:t>recours au personnel de sécurité pour la protection du chantier</w:t>
      </w:r>
      <w:r>
        <w:rPr>
          <w:sz w:val="22"/>
        </w:rPr>
        <w:t xml:space="preserve">, l’interdiction du travail des enfants, la securite routiere, etc. </w:t>
      </w:r>
      <w:r w:rsidRPr="000C236E">
        <w:rPr>
          <w:sz w:val="22"/>
        </w:rPr>
        <w:t>sont développées en détail da</w:t>
      </w:r>
      <w:r w:rsidRPr="000D6918">
        <w:rPr>
          <w:sz w:val="22"/>
        </w:rPr>
        <w:t xml:space="preserve">ns l’Annexe </w:t>
      </w:r>
      <w:r w:rsidR="004006DB" w:rsidRPr="000D6918">
        <w:rPr>
          <w:sz w:val="22"/>
        </w:rPr>
        <w:t>3 (</w:t>
      </w:r>
      <w:r w:rsidR="00782683">
        <w:rPr>
          <w:sz w:val="22"/>
        </w:rPr>
        <w:t>c</w:t>
      </w:r>
      <w:r w:rsidR="004006DB" w:rsidRPr="000D6918">
        <w:rPr>
          <w:sz w:val="22"/>
        </w:rPr>
        <w:t xml:space="preserve">lauses) et en Annexe </w:t>
      </w:r>
      <w:r w:rsidR="00823027" w:rsidRPr="000D6918">
        <w:rPr>
          <w:sz w:val="22"/>
        </w:rPr>
        <w:t>15</w:t>
      </w:r>
      <w:r w:rsidR="004006DB" w:rsidRPr="000D6918">
        <w:rPr>
          <w:sz w:val="22"/>
        </w:rPr>
        <w:t xml:space="preserve"> (pour le plan d’action de </w:t>
      </w:r>
      <w:r w:rsidR="0001474B" w:rsidRPr="000D6918">
        <w:rPr>
          <w:sz w:val="22"/>
        </w:rPr>
        <w:t>prevention et reponse aux risques d’EAHS)</w:t>
      </w:r>
      <w:r w:rsidR="00823027" w:rsidRPr="000D6918">
        <w:rPr>
          <w:sz w:val="22"/>
        </w:rPr>
        <w:t xml:space="preserve"> </w:t>
      </w:r>
      <w:r w:rsidRPr="000D6918">
        <w:rPr>
          <w:sz w:val="22"/>
        </w:rPr>
        <w:t>de ce CGES</w:t>
      </w:r>
      <w:r w:rsidRPr="000C236E">
        <w:rPr>
          <w:sz w:val="22"/>
        </w:rPr>
        <w:t>.</w:t>
      </w:r>
    </w:p>
    <w:p w14:paraId="51DEB215" w14:textId="77777777" w:rsidR="007B22A3" w:rsidRPr="00730A4A" w:rsidRDefault="007B22A3" w:rsidP="001C2F95">
      <w:pPr>
        <w:rPr>
          <w:rFonts w:cs="Arial"/>
          <w:color w:val="000000"/>
          <w:sz w:val="22"/>
        </w:rPr>
        <w:sectPr w:rsidR="007B22A3" w:rsidRPr="00730A4A" w:rsidSect="00AA7E78">
          <w:pgSz w:w="16839" w:h="11907" w:orient="landscape" w:code="9"/>
          <w:pgMar w:top="1134" w:right="1276" w:bottom="1134" w:left="1440" w:header="709" w:footer="639" w:gutter="0"/>
          <w:cols w:space="708"/>
          <w:docGrid w:linePitch="360"/>
        </w:sectPr>
      </w:pPr>
    </w:p>
    <w:p w14:paraId="6762A50C" w14:textId="77777777" w:rsidR="001C2F95" w:rsidRPr="00F65274" w:rsidRDefault="001C2F95" w:rsidP="001C2F95">
      <w:pPr>
        <w:rPr>
          <w:b/>
          <w:i/>
          <w:sz w:val="22"/>
        </w:rPr>
      </w:pPr>
      <w:r w:rsidRPr="00F65274">
        <w:rPr>
          <w:i/>
          <w:sz w:val="22"/>
        </w:rPr>
        <w:t>Quelques mesures de mitigation</w:t>
      </w:r>
      <w:r w:rsidRPr="00F65274">
        <w:rPr>
          <w:sz w:val="22"/>
        </w:rPr>
        <w:t xml:space="preserve"> </w:t>
      </w:r>
      <w:r w:rsidRPr="00F65274">
        <w:rPr>
          <w:i/>
          <w:sz w:val="22"/>
        </w:rPr>
        <w:t>des risques de conflits sociaux en cas de non utilisation de la main-d’œuvre locale, d’un processus non transparent de recrutement et de non-respect des conditions de travail</w:t>
      </w:r>
      <w:r w:rsidRPr="00F65274">
        <w:rPr>
          <w:b/>
          <w:i/>
          <w:sz w:val="22"/>
        </w:rPr>
        <w:t xml:space="preserve"> </w:t>
      </w:r>
    </w:p>
    <w:p w14:paraId="4E6299E5" w14:textId="77777777" w:rsidR="001C2F95" w:rsidRPr="00F65274" w:rsidRDefault="002139E7" w:rsidP="002139E7">
      <w:pPr>
        <w:tabs>
          <w:tab w:val="left" w:pos="2736"/>
        </w:tabs>
        <w:rPr>
          <w:b/>
          <w:i/>
          <w:sz w:val="22"/>
        </w:rPr>
      </w:pPr>
      <w:r>
        <w:rPr>
          <w:b/>
          <w:i/>
          <w:sz w:val="22"/>
        </w:rPr>
        <w:tab/>
      </w:r>
    </w:p>
    <w:p w14:paraId="37B6CC8B" w14:textId="77777777" w:rsidR="001C2F95" w:rsidRPr="00F65274" w:rsidRDefault="001C2F95" w:rsidP="002139E7">
      <w:pPr>
        <w:pStyle w:val="Corpsdetexte"/>
        <w:ind w:left="260"/>
        <w:rPr>
          <w:rFonts w:cs="Arial"/>
          <w:sz w:val="22"/>
          <w:szCs w:val="22"/>
        </w:rPr>
      </w:pPr>
      <w:bookmarkStart w:id="546" w:name="_Toc70451674"/>
      <w:r w:rsidRPr="00F65274">
        <w:rPr>
          <w:rFonts w:cs="Arial"/>
          <w:sz w:val="22"/>
          <w:szCs w:val="22"/>
        </w:rPr>
        <w:t xml:space="preserve">Tableau </w:t>
      </w:r>
      <w:r w:rsidRPr="00F65274">
        <w:rPr>
          <w:rFonts w:cs="Arial"/>
          <w:sz w:val="22"/>
          <w:szCs w:val="22"/>
        </w:rPr>
        <w:fldChar w:fldCharType="begin"/>
      </w:r>
      <w:r w:rsidRPr="00F65274">
        <w:rPr>
          <w:rFonts w:cs="Arial"/>
          <w:sz w:val="22"/>
          <w:szCs w:val="22"/>
        </w:rPr>
        <w:instrText xml:space="preserve"> SEQ Tableau \* ARABIC </w:instrText>
      </w:r>
      <w:r w:rsidRPr="00F65274">
        <w:rPr>
          <w:rFonts w:cs="Arial"/>
          <w:sz w:val="22"/>
          <w:szCs w:val="22"/>
        </w:rPr>
        <w:fldChar w:fldCharType="separate"/>
      </w:r>
      <w:r w:rsidR="001260B3">
        <w:rPr>
          <w:rFonts w:cs="Arial"/>
          <w:noProof/>
          <w:sz w:val="22"/>
          <w:szCs w:val="22"/>
        </w:rPr>
        <w:t>28</w:t>
      </w:r>
      <w:r w:rsidRPr="00F65274">
        <w:rPr>
          <w:rFonts w:cs="Arial"/>
          <w:sz w:val="22"/>
          <w:szCs w:val="22"/>
        </w:rPr>
        <w:fldChar w:fldCharType="end"/>
      </w:r>
      <w:r w:rsidRPr="00F65274">
        <w:rPr>
          <w:rFonts w:cs="Arial"/>
          <w:sz w:val="22"/>
          <w:szCs w:val="22"/>
        </w:rPr>
        <w:t>.</w:t>
      </w:r>
      <w:r w:rsidRPr="00F65274">
        <w:rPr>
          <w:rFonts w:cs="Arial"/>
          <w:sz w:val="22"/>
          <w:szCs w:val="22"/>
          <w:lang w:val="fr-CD"/>
        </w:rPr>
        <w:t xml:space="preserve"> </w:t>
      </w:r>
      <w:r w:rsidRPr="00F65274">
        <w:rPr>
          <w:rFonts w:cs="Arial"/>
          <w:sz w:val="22"/>
          <w:szCs w:val="22"/>
        </w:rPr>
        <w:t>Synthèse des mesures d’atténuation en phase d’exploitation</w:t>
      </w:r>
      <w:bookmarkEnd w:id="546"/>
    </w:p>
    <w:p w14:paraId="7AD1CEFA" w14:textId="77777777" w:rsidR="001C2F95" w:rsidRPr="00F65274" w:rsidRDefault="001C2F95" w:rsidP="001C2F95">
      <w:pPr>
        <w:rPr>
          <w:rFonts w:cs="Arial"/>
          <w:sz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1985"/>
        <w:gridCol w:w="5499"/>
      </w:tblGrid>
      <w:tr w:rsidR="00BB0401" w:rsidRPr="00F65274" w14:paraId="6EB741C9" w14:textId="77777777" w:rsidTr="00730A4A">
        <w:trPr>
          <w:trHeight w:val="366"/>
          <w:tblHeader/>
        </w:trPr>
        <w:tc>
          <w:tcPr>
            <w:tcW w:w="1838" w:type="dxa"/>
            <w:shd w:val="clear" w:color="auto" w:fill="D5DCE4"/>
          </w:tcPr>
          <w:p w14:paraId="5DFE4EE5" w14:textId="77777777" w:rsidR="001C2F95" w:rsidRPr="00730A4A" w:rsidRDefault="001C2F95" w:rsidP="00730A4A">
            <w:pPr>
              <w:pStyle w:val="TableParagraph"/>
              <w:spacing w:before="44"/>
              <w:ind w:left="46" w:right="37"/>
              <w:jc w:val="center"/>
              <w:rPr>
                <w:b/>
                <w:szCs w:val="20"/>
              </w:rPr>
            </w:pPr>
            <w:r w:rsidRPr="00730A4A">
              <w:rPr>
                <w:b/>
                <w:szCs w:val="20"/>
              </w:rPr>
              <w:t>Composantes</w:t>
            </w:r>
          </w:p>
        </w:tc>
        <w:tc>
          <w:tcPr>
            <w:tcW w:w="1985" w:type="dxa"/>
            <w:shd w:val="clear" w:color="auto" w:fill="D5DCE4"/>
          </w:tcPr>
          <w:p w14:paraId="00258D9F" w14:textId="77777777" w:rsidR="001C2F95" w:rsidRPr="00730A4A" w:rsidRDefault="001C2F95" w:rsidP="00730A4A">
            <w:pPr>
              <w:pStyle w:val="TableParagraph"/>
              <w:spacing w:before="44"/>
              <w:ind w:left="637"/>
              <w:rPr>
                <w:b/>
                <w:szCs w:val="20"/>
              </w:rPr>
            </w:pPr>
            <w:r w:rsidRPr="00730A4A">
              <w:rPr>
                <w:b/>
                <w:szCs w:val="20"/>
              </w:rPr>
              <w:t>Impacts</w:t>
            </w:r>
          </w:p>
        </w:tc>
        <w:tc>
          <w:tcPr>
            <w:tcW w:w="5499" w:type="dxa"/>
            <w:shd w:val="clear" w:color="auto" w:fill="D5DCE4"/>
          </w:tcPr>
          <w:p w14:paraId="3BB6CBDA" w14:textId="77777777" w:rsidR="001C2F95" w:rsidRPr="00730A4A" w:rsidRDefault="001C2F95" w:rsidP="00730A4A">
            <w:pPr>
              <w:pStyle w:val="TableParagraph"/>
              <w:spacing w:before="44"/>
              <w:ind w:left="1974"/>
              <w:rPr>
                <w:b/>
                <w:szCs w:val="20"/>
              </w:rPr>
            </w:pPr>
            <w:r w:rsidRPr="00730A4A">
              <w:rPr>
                <w:b/>
                <w:szCs w:val="20"/>
              </w:rPr>
              <w:t>Mesures d’atténuation</w:t>
            </w:r>
          </w:p>
        </w:tc>
      </w:tr>
      <w:tr w:rsidR="001C2F95" w:rsidRPr="00F65274" w14:paraId="47F38666" w14:textId="77777777" w:rsidTr="00730A4A">
        <w:trPr>
          <w:trHeight w:val="1696"/>
        </w:trPr>
        <w:tc>
          <w:tcPr>
            <w:tcW w:w="1838" w:type="dxa"/>
            <w:shd w:val="clear" w:color="auto" w:fill="auto"/>
          </w:tcPr>
          <w:p w14:paraId="0763B136" w14:textId="77777777" w:rsidR="001C2F95" w:rsidRPr="00730A4A" w:rsidRDefault="001C2F95" w:rsidP="00730A4A">
            <w:pPr>
              <w:pStyle w:val="TableParagraph"/>
              <w:spacing w:before="44"/>
              <w:ind w:left="46" w:right="57"/>
              <w:jc w:val="center"/>
              <w:rPr>
                <w:szCs w:val="20"/>
              </w:rPr>
            </w:pPr>
            <w:r w:rsidRPr="00730A4A">
              <w:rPr>
                <w:szCs w:val="20"/>
              </w:rPr>
              <w:t>Qualité de l’air</w:t>
            </w:r>
          </w:p>
        </w:tc>
        <w:tc>
          <w:tcPr>
            <w:tcW w:w="1985" w:type="dxa"/>
            <w:shd w:val="clear" w:color="auto" w:fill="auto"/>
          </w:tcPr>
          <w:p w14:paraId="16921B65" w14:textId="77777777" w:rsidR="001C2F95" w:rsidRPr="00730A4A" w:rsidRDefault="001C2F95" w:rsidP="00730A4A">
            <w:pPr>
              <w:pStyle w:val="TableParagraph"/>
              <w:spacing w:before="48" w:line="235" w:lineRule="auto"/>
              <w:ind w:right="212"/>
              <w:rPr>
                <w:szCs w:val="20"/>
                <w:lang w:val="fr-FR"/>
              </w:rPr>
            </w:pPr>
            <w:r w:rsidRPr="00730A4A">
              <w:rPr>
                <w:szCs w:val="20"/>
                <w:lang w:val="fr-FR"/>
              </w:rPr>
              <w:t>Émanations provenant des produits chimiques et des rejets de traitements.</w:t>
            </w:r>
          </w:p>
        </w:tc>
        <w:tc>
          <w:tcPr>
            <w:tcW w:w="5499" w:type="dxa"/>
            <w:shd w:val="clear" w:color="auto" w:fill="auto"/>
          </w:tcPr>
          <w:p w14:paraId="7E319CB2"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S’assurer d’une gestion adéquate des produits chimiques (manipulation, entreposage, élimination, etc.) ;</w:t>
            </w:r>
          </w:p>
          <w:p w14:paraId="505562E8"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Limiter la vitesse des véhicules lors de la traversée des agglomérations habitées ;</w:t>
            </w:r>
          </w:p>
          <w:p w14:paraId="76C03D10"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Prévoir des ralentisseurs surtout sur des tronçons des routes à la traversée des agglomérations habitées.</w:t>
            </w:r>
          </w:p>
        </w:tc>
      </w:tr>
      <w:tr w:rsidR="001C2F95" w:rsidRPr="00F65274" w14:paraId="718BDB30" w14:textId="77777777" w:rsidTr="00730A4A">
        <w:trPr>
          <w:trHeight w:val="1324"/>
        </w:trPr>
        <w:tc>
          <w:tcPr>
            <w:tcW w:w="1838" w:type="dxa"/>
            <w:shd w:val="clear" w:color="auto" w:fill="auto"/>
          </w:tcPr>
          <w:p w14:paraId="6477CCFF" w14:textId="77777777" w:rsidR="001C2F95" w:rsidRPr="00730A4A" w:rsidRDefault="001C2F95" w:rsidP="00730A4A">
            <w:pPr>
              <w:pStyle w:val="TableParagraph"/>
              <w:spacing w:before="48" w:line="235" w:lineRule="auto"/>
              <w:ind w:right="50"/>
              <w:rPr>
                <w:szCs w:val="20"/>
              </w:rPr>
            </w:pPr>
            <w:r w:rsidRPr="00730A4A">
              <w:rPr>
                <w:szCs w:val="20"/>
              </w:rPr>
              <w:t>Qualité de l’eau</w:t>
            </w:r>
          </w:p>
        </w:tc>
        <w:tc>
          <w:tcPr>
            <w:tcW w:w="1985" w:type="dxa"/>
            <w:shd w:val="clear" w:color="auto" w:fill="auto"/>
          </w:tcPr>
          <w:p w14:paraId="63003996" w14:textId="77777777" w:rsidR="001C2F95" w:rsidRPr="00730A4A" w:rsidRDefault="001C2F95" w:rsidP="00730A4A">
            <w:pPr>
              <w:pStyle w:val="TableParagraph"/>
              <w:spacing w:before="48" w:line="235" w:lineRule="auto"/>
              <w:ind w:right="98"/>
              <w:rPr>
                <w:szCs w:val="20"/>
                <w:lang w:val="fr-FR"/>
              </w:rPr>
            </w:pPr>
            <w:r w:rsidRPr="00730A4A">
              <w:rPr>
                <w:szCs w:val="20"/>
                <w:lang w:val="fr-FR"/>
              </w:rPr>
              <w:t xml:space="preserve">Risque de contamination de l’eau par déversements accidentels de produits chimiques entreposés ou manipulés, de rejets </w:t>
            </w:r>
            <w:r w:rsidRPr="00730A4A">
              <w:rPr>
                <w:w w:val="95"/>
                <w:szCs w:val="20"/>
                <w:lang w:val="fr-FR"/>
              </w:rPr>
              <w:t>de résidus chimiques, d’hydrocarbures, etc.</w:t>
            </w:r>
          </w:p>
        </w:tc>
        <w:tc>
          <w:tcPr>
            <w:tcW w:w="5499" w:type="dxa"/>
            <w:shd w:val="clear" w:color="auto" w:fill="auto"/>
          </w:tcPr>
          <w:p w14:paraId="1AAE1F5D"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Assurer une formation adéquate aux agriculteurs permettant l’acquisition du niveau de connaissance requise pour l’exécution des procédés, le dosage des produits chimiques, la manipulation, l’entreposage, l’élimination, etc.) ;</w:t>
            </w:r>
          </w:p>
          <w:p w14:paraId="24F5ED88"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Prendre toutes les précautions possibles lors du ravitaillement et de l’entretien des véhicules et lors de la manipulation de produits chimiques avant leur utilisation afin d’éviter les déversements accidentels ;</w:t>
            </w:r>
          </w:p>
          <w:p w14:paraId="09A63D79"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Inspecter régulièrement les équipements pour éviter la fuite de contaminants ;</w:t>
            </w:r>
          </w:p>
          <w:p w14:paraId="4990EDE0"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Prévoir des mesures en cas de contamination accidentelle : élaborer un plan d’urgence incluant les mesures de confinement et de récupération ainsi que la formation des personnes chargées de manipuler ces produits ;</w:t>
            </w:r>
          </w:p>
          <w:p w14:paraId="58027693"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Tester le plan de mesures d’urgence.</w:t>
            </w:r>
          </w:p>
        </w:tc>
      </w:tr>
      <w:tr w:rsidR="001C2F95" w:rsidRPr="00F65274" w14:paraId="1767E005" w14:textId="77777777" w:rsidTr="00730A4A">
        <w:trPr>
          <w:trHeight w:val="274"/>
        </w:trPr>
        <w:tc>
          <w:tcPr>
            <w:tcW w:w="1838" w:type="dxa"/>
            <w:shd w:val="clear" w:color="auto" w:fill="auto"/>
          </w:tcPr>
          <w:p w14:paraId="1D64AEF6" w14:textId="77777777" w:rsidR="001C2F95" w:rsidRPr="00730A4A" w:rsidRDefault="001C2F95" w:rsidP="00730A4A">
            <w:pPr>
              <w:pStyle w:val="TableParagraph"/>
              <w:spacing w:before="48" w:line="235" w:lineRule="auto"/>
              <w:ind w:right="50"/>
              <w:rPr>
                <w:szCs w:val="20"/>
              </w:rPr>
            </w:pPr>
            <w:r w:rsidRPr="00730A4A">
              <w:rPr>
                <w:szCs w:val="20"/>
              </w:rPr>
              <w:t>Qualité des sols</w:t>
            </w:r>
          </w:p>
        </w:tc>
        <w:tc>
          <w:tcPr>
            <w:tcW w:w="1985" w:type="dxa"/>
            <w:shd w:val="clear" w:color="auto" w:fill="auto"/>
          </w:tcPr>
          <w:p w14:paraId="3A98C3D9" w14:textId="77777777" w:rsidR="001C2F95" w:rsidRPr="00730A4A" w:rsidRDefault="001C2F95" w:rsidP="00730A4A">
            <w:pPr>
              <w:pStyle w:val="TableParagraph"/>
              <w:spacing w:before="48" w:line="235" w:lineRule="auto"/>
              <w:ind w:right="59"/>
              <w:rPr>
                <w:szCs w:val="20"/>
                <w:lang w:val="fr-FR"/>
              </w:rPr>
            </w:pPr>
            <w:r w:rsidRPr="00730A4A">
              <w:rPr>
                <w:szCs w:val="20"/>
                <w:lang w:val="fr-FR"/>
              </w:rPr>
              <w:t xml:space="preserve">Risque de contamination des sols par déversement </w:t>
            </w:r>
            <w:r w:rsidRPr="00730A4A">
              <w:rPr>
                <w:w w:val="95"/>
                <w:szCs w:val="20"/>
                <w:lang w:val="fr-FR"/>
              </w:rPr>
              <w:t xml:space="preserve">accidentel, mauvaise </w:t>
            </w:r>
            <w:r w:rsidRPr="00730A4A">
              <w:rPr>
                <w:szCs w:val="20"/>
                <w:lang w:val="fr-FR"/>
              </w:rPr>
              <w:t>gestion des résidus de traitement.</w:t>
            </w:r>
          </w:p>
        </w:tc>
        <w:tc>
          <w:tcPr>
            <w:tcW w:w="5499" w:type="dxa"/>
            <w:shd w:val="clear" w:color="auto" w:fill="auto"/>
          </w:tcPr>
          <w:p w14:paraId="119E2351"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Offrir une formation aux utilisateurs sur l’utilisation correcte des produits chimiques ;</w:t>
            </w:r>
          </w:p>
          <w:p w14:paraId="7ABD98D6"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S’assurer d’une gestion adéquate des produits chimiques (manipulation, entreposage, élimination, etc.) ;</w:t>
            </w:r>
          </w:p>
          <w:p w14:paraId="569D55B5"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Prendre toutes les précautions possibles lors du ravitaillement et de l’entretien des véhicules et lors de la manipulation de produits chimiques dans les champs afin d’éviter les déversements accidentels ;</w:t>
            </w:r>
          </w:p>
          <w:p w14:paraId="6CEDE648"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Décaper les sols ou les endroits touchés et les mettre dans une fosse ;</w:t>
            </w:r>
          </w:p>
          <w:p w14:paraId="7DA836B6"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Prévoir des mesures en cas de contamination accidentelle (élaborer un plan d’urgence incluant les mesures de confinement et de récupération ainsi que la formation des usagés) ;</w:t>
            </w:r>
          </w:p>
          <w:p w14:paraId="3947ED50"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Tester le plan de mesures d’urgence.</w:t>
            </w:r>
          </w:p>
        </w:tc>
      </w:tr>
      <w:tr w:rsidR="001C2F95" w:rsidRPr="00F65274" w14:paraId="28E2C110" w14:textId="77777777" w:rsidTr="00730A4A">
        <w:tc>
          <w:tcPr>
            <w:tcW w:w="1838" w:type="dxa"/>
            <w:shd w:val="clear" w:color="auto" w:fill="auto"/>
          </w:tcPr>
          <w:p w14:paraId="0709DE03" w14:textId="77777777" w:rsidR="001C2F95" w:rsidRPr="00730A4A" w:rsidRDefault="001C2F95" w:rsidP="00730A4A">
            <w:pPr>
              <w:pStyle w:val="TableParagraph"/>
              <w:spacing w:before="44"/>
              <w:rPr>
                <w:szCs w:val="20"/>
              </w:rPr>
            </w:pPr>
            <w:r w:rsidRPr="00730A4A">
              <w:rPr>
                <w:szCs w:val="20"/>
              </w:rPr>
              <w:t>Végétation</w:t>
            </w:r>
          </w:p>
        </w:tc>
        <w:tc>
          <w:tcPr>
            <w:tcW w:w="1985" w:type="dxa"/>
            <w:shd w:val="clear" w:color="auto" w:fill="auto"/>
          </w:tcPr>
          <w:p w14:paraId="2096C36D" w14:textId="77777777" w:rsidR="001C2F95" w:rsidRPr="00730A4A" w:rsidRDefault="001C2F95" w:rsidP="00730A4A">
            <w:pPr>
              <w:pStyle w:val="TableParagraph"/>
              <w:spacing w:before="48" w:line="235" w:lineRule="auto"/>
              <w:ind w:right="9"/>
              <w:rPr>
                <w:szCs w:val="20"/>
                <w:lang w:val="fr-FR"/>
              </w:rPr>
            </w:pPr>
            <w:r w:rsidRPr="00730A4A">
              <w:rPr>
                <w:szCs w:val="20"/>
                <w:lang w:val="fr-FR"/>
              </w:rPr>
              <w:t xml:space="preserve">Impact des activités d’exploitation et d’entretien des exploitations agricoles et des </w:t>
            </w:r>
            <w:r w:rsidRPr="00730A4A">
              <w:rPr>
                <w:spacing w:val="-3"/>
                <w:szCs w:val="20"/>
                <w:lang w:val="fr-FR"/>
              </w:rPr>
              <w:t xml:space="preserve">routes </w:t>
            </w:r>
            <w:r w:rsidRPr="00730A4A">
              <w:rPr>
                <w:szCs w:val="20"/>
                <w:lang w:val="fr-FR"/>
              </w:rPr>
              <w:t>de desserte agricole sur la végétation terrestre.</w:t>
            </w:r>
          </w:p>
        </w:tc>
        <w:tc>
          <w:tcPr>
            <w:tcW w:w="5499" w:type="dxa"/>
            <w:shd w:val="clear" w:color="auto" w:fill="auto"/>
          </w:tcPr>
          <w:p w14:paraId="52D3F820"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Sensibiliser les usagers de ne pas détruire inutilement la végétation naturelle environnante.</w:t>
            </w:r>
          </w:p>
        </w:tc>
      </w:tr>
      <w:tr w:rsidR="001C2F95" w:rsidRPr="00F65274" w14:paraId="0C343F91" w14:textId="77777777" w:rsidTr="00730A4A">
        <w:tc>
          <w:tcPr>
            <w:tcW w:w="1838" w:type="dxa"/>
            <w:shd w:val="clear" w:color="auto" w:fill="auto"/>
          </w:tcPr>
          <w:p w14:paraId="1E1549B2" w14:textId="77777777" w:rsidR="001C2F95" w:rsidRPr="00730A4A" w:rsidRDefault="001C2F95" w:rsidP="00730A4A">
            <w:pPr>
              <w:pStyle w:val="TableParagraph"/>
              <w:spacing w:before="44"/>
              <w:rPr>
                <w:szCs w:val="20"/>
              </w:rPr>
            </w:pPr>
            <w:r w:rsidRPr="00730A4A">
              <w:rPr>
                <w:szCs w:val="20"/>
              </w:rPr>
              <w:t>Faune</w:t>
            </w:r>
          </w:p>
        </w:tc>
        <w:tc>
          <w:tcPr>
            <w:tcW w:w="1985" w:type="dxa"/>
            <w:shd w:val="clear" w:color="auto" w:fill="auto"/>
          </w:tcPr>
          <w:p w14:paraId="31B9050F" w14:textId="77777777" w:rsidR="001C2F95" w:rsidRPr="00730A4A" w:rsidRDefault="001C2F95" w:rsidP="00730A4A">
            <w:pPr>
              <w:pStyle w:val="TableParagraph"/>
              <w:spacing w:before="46" w:line="237" w:lineRule="auto"/>
              <w:ind w:right="212"/>
              <w:rPr>
                <w:szCs w:val="20"/>
                <w:lang w:val="fr-FR"/>
              </w:rPr>
            </w:pPr>
            <w:r w:rsidRPr="00730A4A">
              <w:rPr>
                <w:szCs w:val="20"/>
                <w:lang w:val="fr-FR"/>
              </w:rPr>
              <w:t>Impact sur la faune terrestre.</w:t>
            </w:r>
          </w:p>
        </w:tc>
        <w:tc>
          <w:tcPr>
            <w:tcW w:w="5499" w:type="dxa"/>
            <w:shd w:val="clear" w:color="auto" w:fill="auto"/>
          </w:tcPr>
          <w:p w14:paraId="2203F0A9" w14:textId="77777777" w:rsidR="001C2F95" w:rsidRPr="00730A4A" w:rsidRDefault="001C2F95"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Sensibiliser les usagers de ne pas détruire inutilement la végétation naturelle environnante.</w:t>
            </w:r>
          </w:p>
        </w:tc>
      </w:tr>
      <w:tr w:rsidR="002F70A8" w:rsidRPr="00F65274" w14:paraId="3AE6D69A" w14:textId="77777777" w:rsidTr="00730A4A">
        <w:tc>
          <w:tcPr>
            <w:tcW w:w="1838" w:type="dxa"/>
            <w:vMerge w:val="restart"/>
            <w:shd w:val="clear" w:color="auto" w:fill="auto"/>
          </w:tcPr>
          <w:p w14:paraId="4B774BAE" w14:textId="77777777" w:rsidR="002F70A8" w:rsidRPr="00730A4A" w:rsidRDefault="002F70A8" w:rsidP="00730A4A">
            <w:pPr>
              <w:pStyle w:val="TableParagraph"/>
              <w:spacing w:before="44"/>
              <w:rPr>
                <w:szCs w:val="20"/>
              </w:rPr>
            </w:pPr>
            <w:r w:rsidRPr="00730A4A">
              <w:rPr>
                <w:szCs w:val="20"/>
              </w:rPr>
              <w:t>Population</w:t>
            </w:r>
          </w:p>
          <w:p w14:paraId="3A9F4048" w14:textId="77777777" w:rsidR="002F70A8" w:rsidRPr="00730A4A" w:rsidRDefault="002F70A8" w:rsidP="00730A4A">
            <w:pPr>
              <w:pStyle w:val="TableParagraph"/>
              <w:spacing w:before="48" w:line="235" w:lineRule="auto"/>
              <w:ind w:right="50"/>
              <w:rPr>
                <w:szCs w:val="20"/>
              </w:rPr>
            </w:pPr>
          </w:p>
        </w:tc>
        <w:tc>
          <w:tcPr>
            <w:tcW w:w="1985" w:type="dxa"/>
            <w:shd w:val="clear" w:color="auto" w:fill="auto"/>
          </w:tcPr>
          <w:p w14:paraId="0A71DD7B" w14:textId="77777777" w:rsidR="002F70A8" w:rsidRPr="00730A4A" w:rsidRDefault="002F70A8" w:rsidP="00730A4A">
            <w:pPr>
              <w:pStyle w:val="TableParagraph"/>
              <w:spacing w:before="48" w:line="235" w:lineRule="auto"/>
              <w:rPr>
                <w:szCs w:val="20"/>
                <w:lang w:val="fr-FR"/>
              </w:rPr>
            </w:pPr>
            <w:r w:rsidRPr="00730A4A">
              <w:rPr>
                <w:szCs w:val="20"/>
                <w:lang w:val="fr-FR"/>
              </w:rPr>
              <w:t xml:space="preserve">Augmentation de la population suite à la </w:t>
            </w:r>
            <w:r w:rsidRPr="00730A4A">
              <w:rPr>
                <w:w w:val="95"/>
                <w:szCs w:val="20"/>
                <w:lang w:val="fr-FR"/>
              </w:rPr>
              <w:t xml:space="preserve">migration d’individus </w:t>
            </w:r>
            <w:r w:rsidRPr="00730A4A">
              <w:rPr>
                <w:szCs w:val="20"/>
                <w:lang w:val="fr-FR"/>
              </w:rPr>
              <w:t>attirés par la disponibilité des produits agricoles et routes réhabilitées.</w:t>
            </w:r>
          </w:p>
        </w:tc>
        <w:tc>
          <w:tcPr>
            <w:tcW w:w="5499" w:type="dxa"/>
            <w:shd w:val="clear" w:color="auto" w:fill="auto"/>
          </w:tcPr>
          <w:p w14:paraId="4D4A6A8F"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Sensibiliser la population hôte sur les risques de contamination aux maladies sexuellement transmissibles et à avoir des relations sexuelles protégées.</w:t>
            </w:r>
          </w:p>
        </w:tc>
      </w:tr>
      <w:tr w:rsidR="002F70A8" w:rsidRPr="00F65274" w14:paraId="751F3762" w14:textId="77777777" w:rsidTr="00730A4A">
        <w:tc>
          <w:tcPr>
            <w:tcW w:w="1838" w:type="dxa"/>
            <w:vMerge/>
            <w:shd w:val="clear" w:color="auto" w:fill="auto"/>
          </w:tcPr>
          <w:p w14:paraId="44C3A5F1" w14:textId="77777777" w:rsidR="002F70A8" w:rsidRPr="00730A4A" w:rsidRDefault="002F70A8" w:rsidP="00730A4A">
            <w:pPr>
              <w:pStyle w:val="TableParagraph"/>
              <w:spacing w:before="48" w:line="235" w:lineRule="auto"/>
              <w:ind w:right="50"/>
              <w:rPr>
                <w:szCs w:val="20"/>
                <w:lang w:val="fr-FR"/>
              </w:rPr>
            </w:pPr>
          </w:p>
        </w:tc>
        <w:tc>
          <w:tcPr>
            <w:tcW w:w="1985" w:type="dxa"/>
            <w:shd w:val="clear" w:color="auto" w:fill="auto"/>
          </w:tcPr>
          <w:p w14:paraId="20C1D9C8" w14:textId="77777777" w:rsidR="002F70A8" w:rsidRPr="00730A4A" w:rsidRDefault="002F70A8" w:rsidP="00730A4A">
            <w:pPr>
              <w:pStyle w:val="TableParagraph"/>
              <w:spacing w:before="44"/>
              <w:rPr>
                <w:szCs w:val="20"/>
              </w:rPr>
            </w:pPr>
            <w:r w:rsidRPr="00730A4A">
              <w:rPr>
                <w:szCs w:val="20"/>
              </w:rPr>
              <w:t>Risques d’accidents</w:t>
            </w:r>
          </w:p>
        </w:tc>
        <w:tc>
          <w:tcPr>
            <w:tcW w:w="5499" w:type="dxa"/>
            <w:shd w:val="clear" w:color="auto" w:fill="auto"/>
          </w:tcPr>
          <w:p w14:paraId="47CC8F38"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Assurer une formation adéquate aux usagers permettant l’acquisition du niveau de connaissance requis pour l’exécution des procédés, le dosage des produits chimiques, la manipulation, l’entreposage l’élimination, etc.) ;</w:t>
            </w:r>
          </w:p>
          <w:p w14:paraId="0D9F2EB7"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Appuyer les partenaires (agri-multiplicateurs) dans l’acquisition des équipements de protection individuelle adaptés aux exigences spécifiques des emplois (casques, masques, lunettes, chaussures et gants de sécurité) ;</w:t>
            </w:r>
          </w:p>
          <w:p w14:paraId="2ECFCE04"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Prévoir des mesures en cas de contamination accidentelle (élaborer un plan d’urgence incluant les mesures de confinement et de récupération ainsi que la formation des employés).</w:t>
            </w:r>
          </w:p>
        </w:tc>
      </w:tr>
      <w:tr w:rsidR="002F70A8" w:rsidRPr="00F65274" w14:paraId="48FC5B37" w14:textId="77777777" w:rsidTr="00730A4A">
        <w:tc>
          <w:tcPr>
            <w:tcW w:w="1838" w:type="dxa"/>
            <w:vMerge/>
            <w:shd w:val="clear" w:color="auto" w:fill="auto"/>
          </w:tcPr>
          <w:p w14:paraId="499C92D4" w14:textId="77777777" w:rsidR="002F70A8" w:rsidRPr="00730A4A" w:rsidRDefault="002F70A8" w:rsidP="00730A4A">
            <w:pPr>
              <w:pStyle w:val="TableParagraph"/>
              <w:spacing w:before="48" w:line="235" w:lineRule="auto"/>
              <w:ind w:right="50"/>
              <w:rPr>
                <w:szCs w:val="20"/>
                <w:lang w:val="fr-FR"/>
              </w:rPr>
            </w:pPr>
          </w:p>
        </w:tc>
        <w:tc>
          <w:tcPr>
            <w:tcW w:w="1985" w:type="dxa"/>
            <w:shd w:val="clear" w:color="auto" w:fill="auto"/>
          </w:tcPr>
          <w:p w14:paraId="16B99BF8" w14:textId="77777777" w:rsidR="002F70A8" w:rsidRPr="00730A4A" w:rsidRDefault="002F70A8" w:rsidP="00730A4A">
            <w:pPr>
              <w:pStyle w:val="TableParagraph"/>
              <w:spacing w:before="44"/>
              <w:rPr>
                <w:szCs w:val="20"/>
                <w:lang w:val="fr-FR"/>
              </w:rPr>
            </w:pPr>
            <w:r w:rsidRPr="00730A4A">
              <w:rPr>
                <w:szCs w:val="20"/>
                <w:lang w:val="fr-FR"/>
              </w:rPr>
              <w:t>Risques d’EAS/HS, violences contre les enfants, IST/VIH-SIDA</w:t>
            </w:r>
          </w:p>
        </w:tc>
        <w:tc>
          <w:tcPr>
            <w:tcW w:w="5499" w:type="dxa"/>
            <w:shd w:val="clear" w:color="auto" w:fill="auto"/>
          </w:tcPr>
          <w:p w14:paraId="69A14179"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Assurer la formation sur les risques liés à l’EAS/HS, violences contre les enfants, IST/VIH-SIDA à l’endroit de la population riveraine, femmes/filles, travailleurs et agents du programme</w:t>
            </w:r>
          </w:p>
          <w:p w14:paraId="6A59AAA0"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Organiser des séances de dépistage volontaire des travailleurs et agents du programme</w:t>
            </w:r>
          </w:p>
          <w:p w14:paraId="0CF3BD01"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Distribuer gratuitement des préservatifs aux travailleurs et agents du programme</w:t>
            </w:r>
          </w:p>
          <w:p w14:paraId="7DA69305"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Mettre en place un dispositif de dénonciation et d’enregistrement des cas de d’EAS/HS, violences contre les enfants</w:t>
            </w:r>
          </w:p>
          <w:p w14:paraId="7A6327D7"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Mettre en place des comités d’éthique</w:t>
            </w:r>
          </w:p>
        </w:tc>
      </w:tr>
      <w:tr w:rsidR="002F70A8" w:rsidRPr="00F65274" w14:paraId="4D52E02A" w14:textId="77777777" w:rsidTr="00730A4A">
        <w:tc>
          <w:tcPr>
            <w:tcW w:w="1838" w:type="dxa"/>
            <w:vMerge/>
            <w:shd w:val="clear" w:color="auto" w:fill="auto"/>
          </w:tcPr>
          <w:p w14:paraId="14442D6B" w14:textId="77777777" w:rsidR="002F70A8" w:rsidRPr="00730A4A" w:rsidRDefault="002F70A8" w:rsidP="00730A4A">
            <w:pPr>
              <w:pStyle w:val="TableParagraph"/>
              <w:spacing w:before="48" w:line="235" w:lineRule="auto"/>
              <w:ind w:right="50"/>
              <w:rPr>
                <w:szCs w:val="20"/>
                <w:lang w:val="fr-FR"/>
              </w:rPr>
            </w:pPr>
          </w:p>
        </w:tc>
        <w:tc>
          <w:tcPr>
            <w:tcW w:w="1985" w:type="dxa"/>
            <w:shd w:val="clear" w:color="auto" w:fill="auto"/>
          </w:tcPr>
          <w:p w14:paraId="168F0C95" w14:textId="77777777" w:rsidR="002F70A8" w:rsidRPr="00730A4A" w:rsidRDefault="002F70A8" w:rsidP="00730A4A">
            <w:pPr>
              <w:pStyle w:val="TableParagraph"/>
              <w:spacing w:before="44"/>
              <w:rPr>
                <w:szCs w:val="20"/>
                <w:lang w:val="fr-FR"/>
              </w:rPr>
            </w:pPr>
            <w:r w:rsidRPr="00730A4A">
              <w:rPr>
                <w:szCs w:val="20"/>
                <w:lang w:val="fr-FR"/>
              </w:rPr>
              <w:t>Risque de contamination de COVID-19</w:t>
            </w:r>
          </w:p>
        </w:tc>
        <w:tc>
          <w:tcPr>
            <w:tcW w:w="5499" w:type="dxa"/>
            <w:shd w:val="clear" w:color="auto" w:fill="auto"/>
          </w:tcPr>
          <w:p w14:paraId="08E27824"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Mettre en place un plan de prévention contre la COVID-19 ;</w:t>
            </w:r>
          </w:p>
          <w:p w14:paraId="73279F8B"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Sensibiliser les travailleurs et les populations riveraines sur la lutte contre la COVID19 ;</w:t>
            </w:r>
          </w:p>
          <w:p w14:paraId="5220869D"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 xml:space="preserve">Port obligatoire des masques médicalisés ou tous les autres masques fabriqués localement ; </w:t>
            </w:r>
          </w:p>
          <w:p w14:paraId="44D91D43"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Confinement des personnes contaminées par la COVID-19 ;</w:t>
            </w:r>
          </w:p>
          <w:p w14:paraId="58446037"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Observer les mesures barrières dont :</w:t>
            </w:r>
          </w:p>
          <w:p w14:paraId="522C05C1" w14:textId="77777777" w:rsidR="002F70A8" w:rsidRPr="00730A4A" w:rsidRDefault="002F70A8" w:rsidP="00730A4A">
            <w:pPr>
              <w:pStyle w:val="Paragraphedeliste"/>
              <w:numPr>
                <w:ilvl w:val="0"/>
                <w:numId w:val="50"/>
              </w:numPr>
              <w:rPr>
                <w:rFonts w:cs="Arial"/>
                <w:sz w:val="22"/>
                <w:szCs w:val="20"/>
              </w:rPr>
            </w:pPr>
            <w:r w:rsidRPr="00730A4A">
              <w:rPr>
                <w:rFonts w:cs="Arial"/>
                <w:sz w:val="22"/>
                <w:szCs w:val="20"/>
              </w:rPr>
              <w:t>Lavage des mains plusieurs fois/jours, fréquemment et correctement avec du savon ou mettre du gel hydro alcoolique pour éviter les microbes ;</w:t>
            </w:r>
          </w:p>
          <w:p w14:paraId="7DE5ACE7" w14:textId="77777777" w:rsidR="002F70A8" w:rsidRPr="00730A4A" w:rsidRDefault="002F70A8" w:rsidP="00730A4A">
            <w:pPr>
              <w:pStyle w:val="Paragraphedeliste"/>
              <w:numPr>
                <w:ilvl w:val="0"/>
                <w:numId w:val="50"/>
              </w:numPr>
              <w:rPr>
                <w:rFonts w:cs="Arial"/>
                <w:sz w:val="22"/>
                <w:szCs w:val="20"/>
              </w:rPr>
            </w:pPr>
            <w:r w:rsidRPr="00730A4A">
              <w:rPr>
                <w:rFonts w:cs="Arial"/>
                <w:sz w:val="22"/>
                <w:szCs w:val="20"/>
              </w:rPr>
              <w:t>Maintenir une distanciation sociale (±1 mètre) ;</w:t>
            </w:r>
          </w:p>
          <w:p w14:paraId="6F271A6B"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Observer les règles d’hygiène respiratoire :</w:t>
            </w:r>
          </w:p>
          <w:p w14:paraId="4A2D687E" w14:textId="77777777" w:rsidR="002F70A8" w:rsidRPr="00730A4A" w:rsidRDefault="002F70A8" w:rsidP="00730A4A">
            <w:pPr>
              <w:pStyle w:val="Paragraphedeliste"/>
              <w:numPr>
                <w:ilvl w:val="0"/>
                <w:numId w:val="50"/>
              </w:numPr>
              <w:rPr>
                <w:rFonts w:cs="Arial"/>
                <w:sz w:val="22"/>
                <w:szCs w:val="20"/>
              </w:rPr>
            </w:pPr>
            <w:r w:rsidRPr="00730A4A">
              <w:rPr>
                <w:rFonts w:cs="Arial"/>
                <w:sz w:val="22"/>
                <w:szCs w:val="20"/>
              </w:rPr>
              <w:t>Eviter de se saluer en se serrant la main ou se donner la bise.</w:t>
            </w:r>
          </w:p>
          <w:p w14:paraId="4B0E79B9" w14:textId="77777777" w:rsidR="002F70A8" w:rsidRPr="00730A4A" w:rsidRDefault="002F70A8" w:rsidP="00730A4A">
            <w:pPr>
              <w:pStyle w:val="Paragraphedeliste"/>
              <w:numPr>
                <w:ilvl w:val="0"/>
                <w:numId w:val="50"/>
              </w:numPr>
              <w:rPr>
                <w:rFonts w:cs="Arial"/>
                <w:sz w:val="22"/>
                <w:szCs w:val="20"/>
              </w:rPr>
            </w:pPr>
            <w:r w:rsidRPr="00730A4A">
              <w:rPr>
                <w:rFonts w:cs="Arial"/>
                <w:sz w:val="22"/>
                <w:szCs w:val="20"/>
              </w:rPr>
              <w:t>Éviter de se toucher la bouche, le nez et les yeux : nez, yeux et bouches sont autant de "portes d'entrée" possibles au virus. En période de la pandémie, il est préférable d'éviter au maximum de se toucher le visage avec les mains, potentiellement contaminées.</w:t>
            </w:r>
          </w:p>
          <w:p w14:paraId="056080C8" w14:textId="77777777" w:rsidR="002F70A8" w:rsidRPr="00730A4A" w:rsidRDefault="002F70A8" w:rsidP="00730A4A">
            <w:pPr>
              <w:pStyle w:val="Paragraphedeliste"/>
              <w:numPr>
                <w:ilvl w:val="0"/>
                <w:numId w:val="50"/>
              </w:numPr>
              <w:rPr>
                <w:rFonts w:cs="Arial"/>
                <w:sz w:val="22"/>
                <w:szCs w:val="20"/>
              </w:rPr>
            </w:pPr>
            <w:r w:rsidRPr="00730A4A">
              <w:rPr>
                <w:rFonts w:cs="Arial"/>
                <w:sz w:val="22"/>
                <w:szCs w:val="20"/>
              </w:rPr>
              <w:t>Mettre en place un numéro vert ;</w:t>
            </w:r>
          </w:p>
          <w:p w14:paraId="62393293" w14:textId="77777777" w:rsidR="002F70A8" w:rsidRPr="00730A4A" w:rsidRDefault="002F70A8" w:rsidP="00730A4A">
            <w:pPr>
              <w:pStyle w:val="Paragraphedeliste"/>
              <w:numPr>
                <w:ilvl w:val="0"/>
                <w:numId w:val="50"/>
              </w:numPr>
              <w:rPr>
                <w:rFonts w:cs="Arial"/>
                <w:sz w:val="22"/>
                <w:szCs w:val="20"/>
              </w:rPr>
            </w:pPr>
            <w:r w:rsidRPr="00730A4A">
              <w:rPr>
                <w:rFonts w:cs="Arial"/>
                <w:sz w:val="22"/>
                <w:szCs w:val="20"/>
              </w:rPr>
              <w:t>Se couvrir la bouche et le nez avec le pli du coude ou avec un mouchoir en cas de toux ou d'éternuement – jeter le mouchoir immédiatement après dans une poubelle fermée et se laver les mains avec une solution hydro alcoolique ou à l'eau et au savon. Se couvrir la bouche et le nez en cas de toux ou d'éternuement permet d'éviter la propagation des virus et autres agents pathogènes ;</w:t>
            </w:r>
          </w:p>
          <w:p w14:paraId="47561AE7" w14:textId="77777777" w:rsidR="002F70A8" w:rsidRPr="00730A4A" w:rsidRDefault="002F70A8" w:rsidP="00730A4A">
            <w:pPr>
              <w:pStyle w:val="TableParagraph"/>
              <w:numPr>
                <w:ilvl w:val="0"/>
                <w:numId w:val="49"/>
              </w:numPr>
              <w:autoSpaceDE w:val="0"/>
              <w:autoSpaceDN w:val="0"/>
              <w:spacing w:before="42" w:line="276" w:lineRule="auto"/>
              <w:ind w:left="164" w:right="97" w:hanging="164"/>
              <w:rPr>
                <w:szCs w:val="20"/>
                <w:lang w:val="fr-FR"/>
              </w:rPr>
            </w:pPr>
            <w:r w:rsidRPr="00730A4A">
              <w:rPr>
                <w:szCs w:val="20"/>
                <w:lang w:val="fr-FR"/>
              </w:rPr>
              <w:t xml:space="preserve">Tenir compte de la situation de la femme face à la COVID-19. </w:t>
            </w:r>
          </w:p>
        </w:tc>
      </w:tr>
    </w:tbl>
    <w:p w14:paraId="7F6E99B3" w14:textId="77777777" w:rsidR="00531015" w:rsidRDefault="00531015" w:rsidP="00531015">
      <w:pPr>
        <w:pStyle w:val="Titre2"/>
        <w:ind w:left="1560"/>
        <w:rPr>
          <w:rFonts w:cs="Arial"/>
          <w:i/>
          <w:sz w:val="22"/>
          <w:szCs w:val="22"/>
        </w:rPr>
      </w:pPr>
      <w:bookmarkStart w:id="547" w:name="_Toc533610472"/>
      <w:bookmarkStart w:id="548" w:name="_Toc44626846"/>
      <w:bookmarkEnd w:id="536"/>
    </w:p>
    <w:p w14:paraId="510B5E30" w14:textId="77777777" w:rsidR="001C2F95" w:rsidRPr="00F65274" w:rsidRDefault="001C2F95" w:rsidP="001C2F95">
      <w:pPr>
        <w:pStyle w:val="Titre2"/>
        <w:numPr>
          <w:ilvl w:val="2"/>
          <w:numId w:val="4"/>
        </w:numPr>
        <w:ind w:left="1560" w:hanging="709"/>
        <w:rPr>
          <w:rFonts w:cs="Arial"/>
          <w:i/>
          <w:sz w:val="22"/>
          <w:szCs w:val="22"/>
        </w:rPr>
      </w:pPr>
      <w:bookmarkStart w:id="549" w:name="_Toc70330434"/>
      <w:r w:rsidRPr="00F65274">
        <w:rPr>
          <w:rFonts w:cs="Arial"/>
          <w:i/>
          <w:sz w:val="22"/>
          <w:szCs w:val="22"/>
        </w:rPr>
        <w:t>Procédure en cas de découverte fortuite</w:t>
      </w:r>
      <w:bookmarkEnd w:id="547"/>
      <w:bookmarkEnd w:id="548"/>
      <w:bookmarkEnd w:id="549"/>
    </w:p>
    <w:p w14:paraId="3C294283" w14:textId="77777777" w:rsidR="001C2F95" w:rsidRPr="004A7D48" w:rsidRDefault="001C2F95" w:rsidP="001C2F95">
      <w:pPr>
        <w:rPr>
          <w:rFonts w:cs="Arial"/>
          <w:sz w:val="22"/>
        </w:rPr>
      </w:pPr>
    </w:p>
    <w:p w14:paraId="15E964B9" w14:textId="77777777" w:rsidR="001C2F95" w:rsidRPr="004A7D48" w:rsidRDefault="001C2F95" w:rsidP="001C2F95">
      <w:pPr>
        <w:rPr>
          <w:rFonts w:cs="Arial"/>
          <w:sz w:val="22"/>
        </w:rPr>
      </w:pPr>
      <w:r w:rsidRPr="004A7D48">
        <w:rPr>
          <w:rFonts w:cs="Arial"/>
          <w:sz w:val="22"/>
        </w:rPr>
        <w:t>Pour les projets de génie civil comportant des travaux d’excavation, des procédures sont normalement prévues en cas de « découverte fortuite</w:t>
      </w:r>
      <w:r>
        <w:rPr>
          <w:rStyle w:val="Appelnotedebasdep"/>
          <w:rFonts w:cs="Arial"/>
          <w:sz w:val="22"/>
        </w:rPr>
        <w:footnoteReference w:id="18"/>
      </w:r>
      <w:r w:rsidRPr="004A7D48">
        <w:rPr>
          <w:rFonts w:cs="Arial"/>
          <w:sz w:val="22"/>
        </w:rPr>
        <w:t xml:space="preserve"> » de biens culturels physiques enfouis. </w:t>
      </w:r>
    </w:p>
    <w:p w14:paraId="35C9CB79" w14:textId="77777777" w:rsidR="001C2F95" w:rsidRPr="004A7D48" w:rsidRDefault="001C2F95" w:rsidP="001C2F95">
      <w:pPr>
        <w:rPr>
          <w:rFonts w:cs="Arial"/>
          <w:sz w:val="22"/>
        </w:rPr>
      </w:pPr>
    </w:p>
    <w:p w14:paraId="198FB8A0" w14:textId="77777777" w:rsidR="001C2F95" w:rsidRPr="004A7D48" w:rsidRDefault="001C2F95" w:rsidP="001C2F95">
      <w:pPr>
        <w:rPr>
          <w:rFonts w:cs="Arial"/>
          <w:sz w:val="22"/>
        </w:rPr>
      </w:pPr>
      <w:r w:rsidRPr="004A7D48">
        <w:rPr>
          <w:rFonts w:cs="Arial"/>
          <w:sz w:val="22"/>
        </w:rPr>
        <w:t>Les procédures arrêtées dépendent du cadre réglementaire locale qui tient compte notamment des dispositions législatives applicables à la découverte fortuite d’antiquité sous de biens archéologiques.</w:t>
      </w:r>
    </w:p>
    <w:p w14:paraId="39AA9988" w14:textId="77777777" w:rsidR="001C2F95" w:rsidRPr="004A7D48" w:rsidRDefault="001C2F95" w:rsidP="001C2F95">
      <w:pPr>
        <w:rPr>
          <w:rFonts w:cs="Arial"/>
          <w:sz w:val="22"/>
        </w:rPr>
      </w:pPr>
    </w:p>
    <w:p w14:paraId="60D0D437" w14:textId="77777777" w:rsidR="001C2F95" w:rsidRPr="004A7D48" w:rsidRDefault="001C2F95" w:rsidP="001C2F95">
      <w:pPr>
        <w:rPr>
          <w:rFonts w:cs="Arial"/>
          <w:sz w:val="22"/>
        </w:rPr>
      </w:pPr>
      <w:r w:rsidRPr="004A7D48">
        <w:rPr>
          <w:rFonts w:cs="Arial"/>
          <w:sz w:val="22"/>
        </w:rPr>
        <w:t>Note : Les recommandations générales ci-après s’appliquent aux situations dans lesquelles il sera fait appel à un archéologue. Dans les situations exceptionnelles où les travaux d’excavation sont effectués dans des régions riches en biens culturels physiques, comme un site du patrimoine mondial de l’UNESCO, un archéologue est généralement présent sur place pour surveiller les fouilles et prendre les décisions qui s’imposent. Dans ce cas, les procédures doivent être modifiées en conséquence, avec l’accord des autorités chargées des questions culturelles.</w:t>
      </w:r>
    </w:p>
    <w:p w14:paraId="466A2BB4" w14:textId="77777777" w:rsidR="001C2F95" w:rsidRPr="004A7D48" w:rsidRDefault="001C2F95" w:rsidP="001C2F95">
      <w:pPr>
        <w:rPr>
          <w:rFonts w:cs="Arial"/>
          <w:sz w:val="22"/>
        </w:rPr>
      </w:pPr>
    </w:p>
    <w:p w14:paraId="721B7D8B" w14:textId="77777777" w:rsidR="001C2F95" w:rsidRPr="004A7D48" w:rsidRDefault="001C2F95" w:rsidP="001C2F95">
      <w:pPr>
        <w:rPr>
          <w:rFonts w:cs="Arial"/>
          <w:sz w:val="22"/>
        </w:rPr>
      </w:pPr>
      <w:r w:rsidRPr="004A7D48">
        <w:rPr>
          <w:rFonts w:cs="Arial"/>
          <w:sz w:val="22"/>
        </w:rPr>
        <w:t>Les procédures applicables aux découvertes fortuites comprennent généralement les éléments ci-après :</w:t>
      </w:r>
    </w:p>
    <w:p w14:paraId="23AC1F94" w14:textId="77777777" w:rsidR="001C2F95" w:rsidRPr="004A7D48" w:rsidRDefault="001C2F95" w:rsidP="001C2F95">
      <w:pPr>
        <w:rPr>
          <w:rFonts w:cs="Arial"/>
          <w:sz w:val="22"/>
        </w:rPr>
      </w:pPr>
    </w:p>
    <w:p w14:paraId="1D4441C4" w14:textId="77777777" w:rsidR="001C2F95" w:rsidRPr="004A7D48" w:rsidRDefault="001C2F95" w:rsidP="002378EA">
      <w:pPr>
        <w:pStyle w:val="Paragraphedeliste"/>
        <w:numPr>
          <w:ilvl w:val="0"/>
          <w:numId w:val="53"/>
        </w:numPr>
        <w:rPr>
          <w:rFonts w:cs="Arial"/>
          <w:sz w:val="22"/>
        </w:rPr>
      </w:pPr>
      <w:r w:rsidRPr="004A7D48">
        <w:rPr>
          <w:rFonts w:cs="Arial"/>
          <w:sz w:val="22"/>
        </w:rPr>
        <w:t>Définition des biens culturels physiques</w:t>
      </w:r>
    </w:p>
    <w:p w14:paraId="5E9BBD3D" w14:textId="77777777" w:rsidR="001C2F95" w:rsidRPr="004A7D48" w:rsidRDefault="001C2F95" w:rsidP="001C2F95">
      <w:pPr>
        <w:rPr>
          <w:rFonts w:cs="Arial"/>
          <w:sz w:val="22"/>
        </w:rPr>
      </w:pPr>
    </w:p>
    <w:p w14:paraId="17B7C07A" w14:textId="77777777" w:rsidR="001C2F95" w:rsidRPr="004A7D48" w:rsidRDefault="001C2F95" w:rsidP="001C2F95">
      <w:pPr>
        <w:rPr>
          <w:rFonts w:cs="Arial"/>
          <w:sz w:val="22"/>
        </w:rPr>
      </w:pPr>
      <w:r w:rsidRPr="004A7D48">
        <w:rPr>
          <w:rFonts w:cs="Arial"/>
          <w:sz w:val="22"/>
        </w:rPr>
        <w:t>Les biens culturels physiques sont définis comme : « objets mobiliers ou immobiliers, sites, ouvrages ou groupes d’ouvrages ayant une valeur archéologique, paléontologique, historique, architecturale, religieuse, esthétique ou autre ».</w:t>
      </w:r>
    </w:p>
    <w:p w14:paraId="7F5FD0B3" w14:textId="77777777" w:rsidR="001C2F95" w:rsidRPr="004A7D48" w:rsidRDefault="001C2F95" w:rsidP="001C2F95">
      <w:pPr>
        <w:rPr>
          <w:rFonts w:cs="Arial"/>
          <w:sz w:val="22"/>
        </w:rPr>
      </w:pPr>
    </w:p>
    <w:p w14:paraId="19D64EB4" w14:textId="77777777" w:rsidR="001C2F95" w:rsidRPr="004A7D48" w:rsidRDefault="001C2F95" w:rsidP="002378EA">
      <w:pPr>
        <w:pStyle w:val="Paragraphedeliste"/>
        <w:numPr>
          <w:ilvl w:val="0"/>
          <w:numId w:val="53"/>
        </w:numPr>
        <w:rPr>
          <w:rFonts w:cs="Arial"/>
          <w:sz w:val="22"/>
        </w:rPr>
      </w:pPr>
      <w:r w:rsidRPr="004A7D48">
        <w:rPr>
          <w:rFonts w:cs="Arial"/>
          <w:sz w:val="22"/>
        </w:rPr>
        <w:t>Propriété</w:t>
      </w:r>
    </w:p>
    <w:p w14:paraId="4D96039D" w14:textId="77777777" w:rsidR="001C2F95" w:rsidRPr="004A7D48" w:rsidRDefault="001C2F95" w:rsidP="001C2F95">
      <w:pPr>
        <w:rPr>
          <w:rFonts w:cs="Arial"/>
          <w:sz w:val="22"/>
        </w:rPr>
      </w:pPr>
    </w:p>
    <w:p w14:paraId="0F158F08" w14:textId="77777777" w:rsidR="001C2F95" w:rsidRPr="004A7D48" w:rsidRDefault="001C2F95" w:rsidP="001C2F95">
      <w:pPr>
        <w:rPr>
          <w:rFonts w:cs="Arial"/>
          <w:sz w:val="22"/>
        </w:rPr>
      </w:pPr>
      <w:r w:rsidRPr="004A7D48">
        <w:rPr>
          <w:rFonts w:cs="Arial"/>
          <w:sz w:val="22"/>
        </w:rPr>
        <w:t>Selon les circonstances, une propriété peut être l’</w:t>
      </w:r>
      <w:r>
        <w:rPr>
          <w:rFonts w:cs="Arial"/>
          <w:sz w:val="22"/>
        </w:rPr>
        <w:t>A</w:t>
      </w:r>
      <w:r w:rsidRPr="004A7D48">
        <w:rPr>
          <w:rFonts w:cs="Arial"/>
          <w:sz w:val="22"/>
        </w:rPr>
        <w:t xml:space="preserve">dministration locale, l’État, une </w:t>
      </w:r>
      <w:r>
        <w:rPr>
          <w:rFonts w:cs="Arial"/>
          <w:sz w:val="22"/>
        </w:rPr>
        <w:t>I</w:t>
      </w:r>
      <w:r w:rsidRPr="004A7D48">
        <w:rPr>
          <w:rFonts w:cs="Arial"/>
          <w:sz w:val="22"/>
        </w:rPr>
        <w:t>nstitution religieuse ou le propriétaire du site. Il arrive également que l’identité du propriétaire soit déterminée ultérieurement par les autorités compétentes.</w:t>
      </w:r>
    </w:p>
    <w:p w14:paraId="491CD616" w14:textId="77777777" w:rsidR="001C2F95" w:rsidRPr="004A7D48" w:rsidRDefault="001C2F95" w:rsidP="001C2F95">
      <w:pPr>
        <w:rPr>
          <w:rFonts w:cs="Arial"/>
          <w:sz w:val="22"/>
        </w:rPr>
      </w:pPr>
    </w:p>
    <w:p w14:paraId="724DDBF6" w14:textId="77777777" w:rsidR="001C2F95" w:rsidRPr="004A7D48" w:rsidRDefault="001C2F95" w:rsidP="002378EA">
      <w:pPr>
        <w:pStyle w:val="Paragraphedeliste"/>
        <w:numPr>
          <w:ilvl w:val="0"/>
          <w:numId w:val="53"/>
        </w:numPr>
        <w:rPr>
          <w:rFonts w:cs="Arial"/>
          <w:sz w:val="22"/>
        </w:rPr>
      </w:pPr>
      <w:r w:rsidRPr="004A7D48">
        <w:rPr>
          <w:rFonts w:cs="Arial"/>
          <w:sz w:val="22"/>
        </w:rPr>
        <w:t>Reconnaissance</w:t>
      </w:r>
    </w:p>
    <w:p w14:paraId="2FFC61A2" w14:textId="77777777" w:rsidR="001C2F95" w:rsidRPr="004A7D48" w:rsidRDefault="001C2F95" w:rsidP="001C2F95">
      <w:pPr>
        <w:rPr>
          <w:rFonts w:cs="Arial"/>
          <w:sz w:val="22"/>
        </w:rPr>
      </w:pPr>
    </w:p>
    <w:p w14:paraId="003A41AC" w14:textId="77777777" w:rsidR="001C2F95" w:rsidRPr="004A7D48" w:rsidRDefault="001C2F95" w:rsidP="001C2F95">
      <w:pPr>
        <w:rPr>
          <w:rFonts w:cs="Arial"/>
          <w:sz w:val="22"/>
        </w:rPr>
      </w:pPr>
      <w:r>
        <w:rPr>
          <w:rFonts w:cs="Arial"/>
          <w:sz w:val="22"/>
        </w:rPr>
        <w:t>Si</w:t>
      </w:r>
      <w:r w:rsidRPr="004A7D48">
        <w:rPr>
          <w:rFonts w:cs="Arial"/>
          <w:sz w:val="22"/>
        </w:rPr>
        <w:t xml:space="preserve"> la manière </w:t>
      </w:r>
      <w:r>
        <w:rPr>
          <w:rFonts w:cs="Arial"/>
          <w:sz w:val="22"/>
        </w:rPr>
        <w:t xml:space="preserve">par </w:t>
      </w:r>
      <w:r w:rsidRPr="004A7D48">
        <w:rPr>
          <w:rFonts w:cs="Arial"/>
          <w:sz w:val="22"/>
        </w:rPr>
        <w:t>laquelle l’entreprise reconnaîtra un bien culturel physique n’est pas spécifiée</w:t>
      </w:r>
      <w:r>
        <w:rPr>
          <w:rFonts w:cs="Arial"/>
          <w:sz w:val="22"/>
        </w:rPr>
        <w:t>,</w:t>
      </w:r>
      <w:r w:rsidRPr="004A7D48">
        <w:rPr>
          <w:rFonts w:cs="Arial"/>
          <w:sz w:val="22"/>
        </w:rPr>
        <w:t xml:space="preserve"> l’entreprise peut exiger une clause limitative de responsabilité.</w:t>
      </w:r>
    </w:p>
    <w:p w14:paraId="55F61157" w14:textId="77777777" w:rsidR="001C2F95" w:rsidRPr="004A7D48" w:rsidRDefault="001C2F95" w:rsidP="001C2F95">
      <w:pPr>
        <w:rPr>
          <w:rFonts w:cs="Arial"/>
          <w:sz w:val="22"/>
        </w:rPr>
      </w:pPr>
    </w:p>
    <w:p w14:paraId="5C0416BD" w14:textId="77777777" w:rsidR="001C2F95" w:rsidRPr="004A7D48" w:rsidRDefault="001C2F95" w:rsidP="002378EA">
      <w:pPr>
        <w:pStyle w:val="Paragraphedeliste"/>
        <w:numPr>
          <w:ilvl w:val="0"/>
          <w:numId w:val="53"/>
        </w:numPr>
        <w:rPr>
          <w:rFonts w:cs="Arial"/>
          <w:sz w:val="22"/>
        </w:rPr>
      </w:pPr>
      <w:r w:rsidRPr="004A7D48">
        <w:rPr>
          <w:rFonts w:cs="Arial"/>
          <w:sz w:val="22"/>
        </w:rPr>
        <w:t>Procédure applicable en cas de découverte</w:t>
      </w:r>
    </w:p>
    <w:p w14:paraId="23E93A9C" w14:textId="77777777" w:rsidR="001C2F95" w:rsidRPr="004A7D48" w:rsidRDefault="001C2F95" w:rsidP="001C2F95">
      <w:pPr>
        <w:pStyle w:val="Paragraphedeliste"/>
        <w:rPr>
          <w:rFonts w:cs="Arial"/>
          <w:sz w:val="22"/>
        </w:rPr>
      </w:pPr>
    </w:p>
    <w:p w14:paraId="457A465E" w14:textId="77777777" w:rsidR="001C2F95" w:rsidRPr="004A7D48" w:rsidRDefault="001C2F95" w:rsidP="002378EA">
      <w:pPr>
        <w:pStyle w:val="Paragraphedeliste"/>
        <w:numPr>
          <w:ilvl w:val="0"/>
          <w:numId w:val="54"/>
        </w:numPr>
        <w:rPr>
          <w:rFonts w:cs="Arial"/>
          <w:sz w:val="22"/>
        </w:rPr>
      </w:pPr>
      <w:r w:rsidRPr="004A7D48">
        <w:rPr>
          <w:rFonts w:cs="Arial"/>
          <w:sz w:val="22"/>
        </w:rPr>
        <w:t xml:space="preserve">Suspension des travaux : </w:t>
      </w:r>
    </w:p>
    <w:p w14:paraId="7EEA59DD" w14:textId="77777777" w:rsidR="001C2F95" w:rsidRPr="004A7D48" w:rsidRDefault="001C2F95" w:rsidP="001C2F95">
      <w:pPr>
        <w:rPr>
          <w:rFonts w:cs="Arial"/>
          <w:sz w:val="22"/>
        </w:rPr>
      </w:pPr>
    </w:p>
    <w:p w14:paraId="7F866BB1" w14:textId="77777777" w:rsidR="001C2F95" w:rsidRPr="004A7D48" w:rsidRDefault="001C2F95" w:rsidP="001C2F95">
      <w:pPr>
        <w:rPr>
          <w:rFonts w:cs="Arial"/>
          <w:sz w:val="22"/>
        </w:rPr>
      </w:pPr>
      <w:r w:rsidRPr="004A7D48">
        <w:rPr>
          <w:rFonts w:cs="Arial"/>
          <w:sz w:val="22"/>
        </w:rPr>
        <w:t>Après la suspension des travaux, l’entreprise doit immédiatement signaler la découverte à l’ingénieur résident. Il se peut que l’entreprise ne soit pas en droit de réclamer une indemnisation pour la période de suspension des travaux.</w:t>
      </w:r>
    </w:p>
    <w:p w14:paraId="62DE619B" w14:textId="77777777" w:rsidR="001C2F95" w:rsidRPr="004A7D48" w:rsidRDefault="001C2F95" w:rsidP="001C2F95">
      <w:pPr>
        <w:rPr>
          <w:rFonts w:cs="Arial"/>
          <w:sz w:val="22"/>
        </w:rPr>
      </w:pPr>
    </w:p>
    <w:p w14:paraId="08535E57" w14:textId="77777777" w:rsidR="001C2F95" w:rsidRPr="004A7D48" w:rsidRDefault="001C2F95" w:rsidP="001C2F95">
      <w:pPr>
        <w:rPr>
          <w:rFonts w:cs="Arial"/>
          <w:sz w:val="22"/>
        </w:rPr>
      </w:pPr>
      <w:r w:rsidRPr="004A7D48">
        <w:rPr>
          <w:rFonts w:cs="Arial"/>
          <w:sz w:val="22"/>
        </w:rPr>
        <w:t>L’ingénieur résident peut être habilité à suspendre les travaux et à demander à l’entreprise de procéder à des fouilles à ses propres frais s’il estime qu’une découverte qui vient d’être faite n’a pas été signalée.</w:t>
      </w:r>
    </w:p>
    <w:p w14:paraId="0156D9B8" w14:textId="77777777" w:rsidR="001C2F95" w:rsidRPr="004A7D48" w:rsidRDefault="001C2F95" w:rsidP="001C2F95">
      <w:pPr>
        <w:rPr>
          <w:rFonts w:cs="Arial"/>
          <w:sz w:val="22"/>
        </w:rPr>
      </w:pPr>
    </w:p>
    <w:p w14:paraId="7BEB1E77" w14:textId="77777777" w:rsidR="001C2F95" w:rsidRPr="004A7D48" w:rsidRDefault="001C2F95" w:rsidP="002378EA">
      <w:pPr>
        <w:pStyle w:val="Paragraphedeliste"/>
        <w:numPr>
          <w:ilvl w:val="0"/>
          <w:numId w:val="54"/>
        </w:numPr>
        <w:rPr>
          <w:rFonts w:cs="Arial"/>
          <w:sz w:val="22"/>
        </w:rPr>
      </w:pPr>
      <w:r w:rsidRPr="004A7D48">
        <w:rPr>
          <w:rFonts w:cs="Arial"/>
          <w:sz w:val="22"/>
        </w:rPr>
        <w:t>Délimitation du site de la découverte</w:t>
      </w:r>
    </w:p>
    <w:p w14:paraId="05FCA509" w14:textId="77777777" w:rsidR="001C2F95" w:rsidRPr="004A7D48" w:rsidRDefault="001C2F95" w:rsidP="001C2F95">
      <w:pPr>
        <w:rPr>
          <w:rFonts w:cs="Arial"/>
          <w:sz w:val="22"/>
        </w:rPr>
      </w:pPr>
    </w:p>
    <w:p w14:paraId="4853F534" w14:textId="77777777" w:rsidR="001C2F95" w:rsidRPr="004A7D48" w:rsidRDefault="001C2F95" w:rsidP="001C2F95">
      <w:pPr>
        <w:rPr>
          <w:rFonts w:cs="Arial"/>
          <w:sz w:val="22"/>
        </w:rPr>
      </w:pPr>
      <w:r w:rsidRPr="004A7D48">
        <w:rPr>
          <w:rFonts w:cs="Arial"/>
          <w:sz w:val="22"/>
        </w:rPr>
        <w:t>Avec l’approbation de l’ingénieur résident, il est ensuite demandé à l’entreprise de délimiter temporairement le site et d’</w:t>
      </w:r>
      <w:r>
        <w:rPr>
          <w:rFonts w:cs="Arial"/>
          <w:sz w:val="22"/>
        </w:rPr>
        <w:t>y</w:t>
      </w:r>
      <w:r w:rsidRPr="004A7D48">
        <w:rPr>
          <w:rFonts w:cs="Arial"/>
          <w:sz w:val="22"/>
        </w:rPr>
        <w:t xml:space="preserve"> restreindre l’accès.</w:t>
      </w:r>
    </w:p>
    <w:p w14:paraId="57F2A8CD" w14:textId="77777777" w:rsidR="001C2F95" w:rsidRPr="004A7D48" w:rsidRDefault="001C2F95" w:rsidP="001C2F95">
      <w:pPr>
        <w:rPr>
          <w:rFonts w:cs="Arial"/>
          <w:sz w:val="22"/>
        </w:rPr>
      </w:pPr>
    </w:p>
    <w:p w14:paraId="1342A34E" w14:textId="77777777" w:rsidR="001C2F95" w:rsidRPr="004A7D48" w:rsidRDefault="001C2F95" w:rsidP="002378EA">
      <w:pPr>
        <w:pStyle w:val="Paragraphedeliste"/>
        <w:numPr>
          <w:ilvl w:val="0"/>
          <w:numId w:val="54"/>
        </w:numPr>
        <w:rPr>
          <w:rFonts w:cs="Arial"/>
          <w:sz w:val="22"/>
        </w:rPr>
      </w:pPr>
      <w:r w:rsidRPr="004A7D48">
        <w:rPr>
          <w:rFonts w:cs="Arial"/>
          <w:sz w:val="22"/>
        </w:rPr>
        <w:t xml:space="preserve"> Non suspension des travaux</w:t>
      </w:r>
    </w:p>
    <w:p w14:paraId="7E7FB136" w14:textId="77777777" w:rsidR="001C2F95" w:rsidRPr="004A7D48" w:rsidRDefault="001C2F95" w:rsidP="001C2F95">
      <w:pPr>
        <w:rPr>
          <w:rFonts w:cs="Arial"/>
          <w:sz w:val="22"/>
        </w:rPr>
      </w:pPr>
      <w:r w:rsidRPr="004A7D48">
        <w:rPr>
          <w:rFonts w:cs="Arial"/>
          <w:sz w:val="22"/>
        </w:rPr>
        <w:t xml:space="preserve">La procédure peut autoriser </w:t>
      </w:r>
      <w:r>
        <w:rPr>
          <w:rFonts w:cs="Arial"/>
          <w:sz w:val="22"/>
        </w:rPr>
        <w:t>l</w:t>
      </w:r>
      <w:r w:rsidRPr="004A7D48">
        <w:rPr>
          <w:rFonts w:cs="Arial"/>
          <w:sz w:val="22"/>
        </w:rPr>
        <w:t>’ingénieur résident à déterminer si le bien culturel physique peut être transporté ailleurs avant de poursuivre les travaux, par exemple si l’objet découvert est une pièce de monnaie.</w:t>
      </w:r>
    </w:p>
    <w:p w14:paraId="03BE6892" w14:textId="77777777" w:rsidR="001C2F95" w:rsidRPr="004A7D48" w:rsidRDefault="001C2F95" w:rsidP="001C2F95">
      <w:pPr>
        <w:rPr>
          <w:rFonts w:cs="Arial"/>
          <w:sz w:val="22"/>
        </w:rPr>
      </w:pPr>
    </w:p>
    <w:p w14:paraId="3ABE5792" w14:textId="77777777" w:rsidR="001C2F95" w:rsidRPr="004A7D48" w:rsidRDefault="001C2F95" w:rsidP="002378EA">
      <w:pPr>
        <w:pStyle w:val="Paragraphedeliste"/>
        <w:numPr>
          <w:ilvl w:val="0"/>
          <w:numId w:val="54"/>
        </w:numPr>
        <w:rPr>
          <w:rFonts w:cs="Arial"/>
          <w:sz w:val="22"/>
        </w:rPr>
      </w:pPr>
      <w:r w:rsidRPr="004A7D48">
        <w:rPr>
          <w:rFonts w:cs="Arial"/>
          <w:sz w:val="22"/>
        </w:rPr>
        <w:t>Rapport de découverte fortuite</w:t>
      </w:r>
    </w:p>
    <w:p w14:paraId="33324E29" w14:textId="77777777" w:rsidR="001C2F95" w:rsidRPr="004A7D48" w:rsidRDefault="001C2F95" w:rsidP="001C2F95">
      <w:pPr>
        <w:rPr>
          <w:rFonts w:cs="Arial"/>
          <w:sz w:val="22"/>
        </w:rPr>
      </w:pPr>
    </w:p>
    <w:p w14:paraId="2BED57BB" w14:textId="77777777" w:rsidR="001C2F95" w:rsidRDefault="001C2F95" w:rsidP="001C2F95">
      <w:pPr>
        <w:rPr>
          <w:rFonts w:cs="Arial"/>
          <w:sz w:val="22"/>
        </w:rPr>
      </w:pPr>
      <w:r w:rsidRPr="004A7D48">
        <w:rPr>
          <w:rFonts w:cs="Arial"/>
          <w:sz w:val="22"/>
        </w:rPr>
        <w:t>L’entreprise doit ensuite, sur la demande de l’ingénieur résident et dans les délais spécifiés, établir un Rapport de découverte fortuite fournissant les informations suivantes :</w:t>
      </w:r>
    </w:p>
    <w:p w14:paraId="4B4B7CCC" w14:textId="77777777" w:rsidR="001C2F95" w:rsidRPr="004A7D48" w:rsidRDefault="001C2F95" w:rsidP="001C2F95">
      <w:pPr>
        <w:rPr>
          <w:rFonts w:cs="Arial"/>
          <w:sz w:val="22"/>
        </w:rPr>
      </w:pPr>
    </w:p>
    <w:p w14:paraId="29FF6C1D" w14:textId="77777777" w:rsidR="001C2F95" w:rsidRPr="004A7D48" w:rsidRDefault="001C2F95" w:rsidP="002378EA">
      <w:pPr>
        <w:pStyle w:val="Paragraphedeliste"/>
        <w:numPr>
          <w:ilvl w:val="0"/>
          <w:numId w:val="55"/>
        </w:numPr>
        <w:rPr>
          <w:rFonts w:cs="Arial"/>
          <w:sz w:val="22"/>
        </w:rPr>
      </w:pPr>
      <w:r w:rsidRPr="004A7D48">
        <w:rPr>
          <w:rFonts w:cs="Arial"/>
          <w:sz w:val="22"/>
        </w:rPr>
        <w:t>Date et heure de la découverte ;</w:t>
      </w:r>
    </w:p>
    <w:p w14:paraId="46E34B62" w14:textId="77777777" w:rsidR="001C2F95" w:rsidRPr="004A7D48" w:rsidRDefault="001C2F95" w:rsidP="002378EA">
      <w:pPr>
        <w:pStyle w:val="Paragraphedeliste"/>
        <w:numPr>
          <w:ilvl w:val="0"/>
          <w:numId w:val="55"/>
        </w:numPr>
        <w:rPr>
          <w:rFonts w:cs="Arial"/>
          <w:sz w:val="22"/>
        </w:rPr>
      </w:pPr>
      <w:r w:rsidRPr="004A7D48">
        <w:rPr>
          <w:rFonts w:cs="Arial"/>
          <w:sz w:val="22"/>
        </w:rPr>
        <w:t>Emplacement de la découverte ;</w:t>
      </w:r>
    </w:p>
    <w:p w14:paraId="18CFC6F2" w14:textId="77777777" w:rsidR="001C2F95" w:rsidRPr="004A7D48" w:rsidRDefault="001C2F95" w:rsidP="002378EA">
      <w:pPr>
        <w:pStyle w:val="Paragraphedeliste"/>
        <w:numPr>
          <w:ilvl w:val="0"/>
          <w:numId w:val="55"/>
        </w:numPr>
        <w:rPr>
          <w:rFonts w:cs="Arial"/>
          <w:sz w:val="22"/>
        </w:rPr>
      </w:pPr>
      <w:r w:rsidRPr="004A7D48">
        <w:rPr>
          <w:rFonts w:cs="Arial"/>
          <w:sz w:val="22"/>
        </w:rPr>
        <w:t>Description du bien culturel physique ;</w:t>
      </w:r>
    </w:p>
    <w:p w14:paraId="760FEB4E" w14:textId="77777777" w:rsidR="001C2F95" w:rsidRPr="004A7D48" w:rsidRDefault="001C2F95" w:rsidP="002378EA">
      <w:pPr>
        <w:pStyle w:val="Paragraphedeliste"/>
        <w:numPr>
          <w:ilvl w:val="0"/>
          <w:numId w:val="55"/>
        </w:numPr>
        <w:rPr>
          <w:rFonts w:cs="Arial"/>
          <w:sz w:val="22"/>
        </w:rPr>
      </w:pPr>
      <w:r w:rsidRPr="004A7D48">
        <w:rPr>
          <w:rFonts w:cs="Arial"/>
          <w:sz w:val="22"/>
        </w:rPr>
        <w:t>Estimation du poids et des dimensions du bien ;</w:t>
      </w:r>
    </w:p>
    <w:p w14:paraId="5BC314C8" w14:textId="77777777" w:rsidR="001C2F95" w:rsidRPr="004A7D48" w:rsidRDefault="001C2F95" w:rsidP="002378EA">
      <w:pPr>
        <w:pStyle w:val="Paragraphedeliste"/>
        <w:numPr>
          <w:ilvl w:val="0"/>
          <w:numId w:val="55"/>
        </w:numPr>
        <w:rPr>
          <w:rFonts w:cs="Arial"/>
          <w:sz w:val="22"/>
        </w:rPr>
      </w:pPr>
      <w:r w:rsidRPr="004A7D48">
        <w:rPr>
          <w:rFonts w:cs="Arial"/>
          <w:sz w:val="22"/>
        </w:rPr>
        <w:t>Mesures de protection temporaire mises en place.</w:t>
      </w:r>
    </w:p>
    <w:p w14:paraId="660129D3" w14:textId="77777777" w:rsidR="001C2F95" w:rsidRPr="004A7D48" w:rsidRDefault="001C2F95" w:rsidP="001C2F95">
      <w:pPr>
        <w:rPr>
          <w:rFonts w:cs="Arial"/>
          <w:sz w:val="22"/>
        </w:rPr>
      </w:pPr>
    </w:p>
    <w:p w14:paraId="55AE7671" w14:textId="77777777" w:rsidR="001C2F95" w:rsidRDefault="001C2F95" w:rsidP="001C2F95">
      <w:pPr>
        <w:rPr>
          <w:rFonts w:cs="Arial"/>
          <w:sz w:val="22"/>
        </w:rPr>
      </w:pPr>
      <w:r w:rsidRPr="004A7D48">
        <w:rPr>
          <w:rFonts w:cs="Arial"/>
          <w:sz w:val="22"/>
        </w:rPr>
        <w:t xml:space="preserve">Le Rapport de découverte fortuite doit être présenté à l’ingénieur résident et aux autres parties désignées d’un commun accord avec les services culturels, et conformément à la législation nationale. </w:t>
      </w:r>
    </w:p>
    <w:p w14:paraId="2102B162" w14:textId="77777777" w:rsidR="001C2F95" w:rsidRPr="004A7D48" w:rsidRDefault="001C2F95" w:rsidP="001C2F95">
      <w:pPr>
        <w:rPr>
          <w:rFonts w:cs="Arial"/>
          <w:sz w:val="22"/>
        </w:rPr>
      </w:pPr>
    </w:p>
    <w:p w14:paraId="7F5BB864" w14:textId="77777777" w:rsidR="001C2F95" w:rsidRPr="004A7D48" w:rsidRDefault="001C2F95" w:rsidP="001C2F95">
      <w:pPr>
        <w:rPr>
          <w:rFonts w:cs="Arial"/>
          <w:sz w:val="22"/>
        </w:rPr>
      </w:pPr>
      <w:r w:rsidRPr="004A7D48">
        <w:rPr>
          <w:rFonts w:cs="Arial"/>
          <w:sz w:val="22"/>
        </w:rPr>
        <w:t>L’ingénieur résid</w:t>
      </w:r>
      <w:r>
        <w:rPr>
          <w:rFonts w:cs="Arial"/>
          <w:sz w:val="22"/>
        </w:rPr>
        <w:t>a</w:t>
      </w:r>
      <w:r w:rsidRPr="004A7D48">
        <w:rPr>
          <w:rFonts w:cs="Arial"/>
          <w:sz w:val="22"/>
        </w:rPr>
        <w:t>nt, ou toute autre partie désignée d’un commun accord, doit informer les services culturels de la découverte.</w:t>
      </w:r>
    </w:p>
    <w:p w14:paraId="7CBDD294" w14:textId="77777777" w:rsidR="001C2F95" w:rsidRPr="004A7D48" w:rsidRDefault="001C2F95" w:rsidP="001C2F95">
      <w:pPr>
        <w:rPr>
          <w:rFonts w:cs="Arial"/>
          <w:sz w:val="22"/>
        </w:rPr>
      </w:pPr>
    </w:p>
    <w:p w14:paraId="19447A85" w14:textId="77777777" w:rsidR="001C2F95" w:rsidRPr="004A7D48" w:rsidRDefault="001C2F95" w:rsidP="002378EA">
      <w:pPr>
        <w:pStyle w:val="Paragraphedeliste"/>
        <w:numPr>
          <w:ilvl w:val="0"/>
          <w:numId w:val="54"/>
        </w:numPr>
        <w:rPr>
          <w:rFonts w:cs="Arial"/>
          <w:sz w:val="22"/>
        </w:rPr>
      </w:pPr>
      <w:r w:rsidRPr="004A7D48">
        <w:rPr>
          <w:rFonts w:cs="Arial"/>
          <w:sz w:val="22"/>
        </w:rPr>
        <w:t>Arrivée des services culturels et mesures prises</w:t>
      </w:r>
    </w:p>
    <w:p w14:paraId="731CF271" w14:textId="77777777" w:rsidR="001C2F95" w:rsidRPr="004A7D48" w:rsidRDefault="001C2F95" w:rsidP="001C2F95">
      <w:pPr>
        <w:pStyle w:val="Paragraphedeliste"/>
        <w:rPr>
          <w:rFonts w:cs="Arial"/>
          <w:sz w:val="22"/>
        </w:rPr>
      </w:pPr>
    </w:p>
    <w:p w14:paraId="388DC6BF" w14:textId="77777777" w:rsidR="001C2F95" w:rsidRPr="004A7D48" w:rsidRDefault="001C2F95" w:rsidP="001C2F95">
      <w:pPr>
        <w:rPr>
          <w:rFonts w:cs="Arial"/>
          <w:sz w:val="22"/>
        </w:rPr>
      </w:pPr>
      <w:r w:rsidRPr="004A7D48">
        <w:rPr>
          <w:rFonts w:cs="Arial"/>
          <w:sz w:val="22"/>
        </w:rPr>
        <w:t>Les services responsables du patrimoine culturel font le nécessaire pour envoyer un représentant sur le lieu de la découverte dans des délais convenus (dans les 24 heures, par exemple) et déterminer les mesures à prendre, notamment :</w:t>
      </w:r>
    </w:p>
    <w:p w14:paraId="320E643B" w14:textId="77777777" w:rsidR="001C2F95" w:rsidRPr="004A7D48" w:rsidRDefault="001C2F95" w:rsidP="001C2F95">
      <w:pPr>
        <w:rPr>
          <w:rFonts w:cs="Arial"/>
          <w:sz w:val="22"/>
        </w:rPr>
      </w:pPr>
    </w:p>
    <w:p w14:paraId="6D27F2EA" w14:textId="77777777" w:rsidR="001C2F95" w:rsidRPr="004A7D48" w:rsidRDefault="001C2F95" w:rsidP="002378EA">
      <w:pPr>
        <w:pStyle w:val="Paragraphedeliste"/>
        <w:numPr>
          <w:ilvl w:val="0"/>
          <w:numId w:val="55"/>
        </w:numPr>
        <w:rPr>
          <w:rFonts w:cs="Arial"/>
          <w:sz w:val="22"/>
        </w:rPr>
      </w:pPr>
      <w:r w:rsidRPr="004A7D48">
        <w:rPr>
          <w:rFonts w:cs="Arial"/>
          <w:sz w:val="22"/>
        </w:rPr>
        <w:t>Retrait des biens culturels physiques jugés importants ;</w:t>
      </w:r>
    </w:p>
    <w:p w14:paraId="309EDFCA" w14:textId="77777777" w:rsidR="001C2F95" w:rsidRPr="004A7D48" w:rsidRDefault="001C2F95" w:rsidP="002378EA">
      <w:pPr>
        <w:pStyle w:val="Paragraphedeliste"/>
        <w:numPr>
          <w:ilvl w:val="0"/>
          <w:numId w:val="55"/>
        </w:numPr>
        <w:rPr>
          <w:rFonts w:cs="Arial"/>
          <w:sz w:val="22"/>
        </w:rPr>
      </w:pPr>
      <w:r w:rsidRPr="004A7D48">
        <w:rPr>
          <w:rFonts w:cs="Arial"/>
          <w:sz w:val="22"/>
        </w:rPr>
        <w:t>Poursuite des travaux d’excavation dans un rayon spécifié autour du site de la découverte ;</w:t>
      </w:r>
    </w:p>
    <w:p w14:paraId="59FC07B2" w14:textId="77777777" w:rsidR="001C2F95" w:rsidRPr="004A7D48" w:rsidRDefault="001C2F95" w:rsidP="002378EA">
      <w:pPr>
        <w:pStyle w:val="Paragraphedeliste"/>
        <w:numPr>
          <w:ilvl w:val="0"/>
          <w:numId w:val="55"/>
        </w:numPr>
        <w:rPr>
          <w:rFonts w:cs="Arial"/>
          <w:sz w:val="22"/>
        </w:rPr>
      </w:pPr>
      <w:r w:rsidRPr="004A7D48">
        <w:rPr>
          <w:rFonts w:cs="Arial"/>
          <w:sz w:val="22"/>
        </w:rPr>
        <w:t>Élargissement ou réduction de la zone délimitée par l’entreprise.</w:t>
      </w:r>
    </w:p>
    <w:p w14:paraId="34C02429" w14:textId="77777777" w:rsidR="001C2F95" w:rsidRPr="004A7D48" w:rsidRDefault="001C2F95" w:rsidP="001C2F95">
      <w:pPr>
        <w:rPr>
          <w:rFonts w:cs="Arial"/>
          <w:sz w:val="22"/>
        </w:rPr>
      </w:pPr>
    </w:p>
    <w:p w14:paraId="4A381355" w14:textId="77777777" w:rsidR="001C2F95" w:rsidRPr="004A7D48" w:rsidRDefault="001C2F95" w:rsidP="001C2F95">
      <w:pPr>
        <w:rPr>
          <w:rFonts w:cs="Arial"/>
          <w:sz w:val="22"/>
        </w:rPr>
      </w:pPr>
      <w:r w:rsidRPr="004A7D48">
        <w:rPr>
          <w:rFonts w:cs="Arial"/>
          <w:sz w:val="22"/>
        </w:rPr>
        <w:t>Ces mesures doivent être prises dans un délai donné (dans les 7 jours, par exemple).</w:t>
      </w:r>
    </w:p>
    <w:p w14:paraId="644A86EF" w14:textId="77777777" w:rsidR="001C2F95" w:rsidRPr="004A7D48" w:rsidRDefault="001C2F95" w:rsidP="001C2F95">
      <w:pPr>
        <w:rPr>
          <w:rFonts w:cs="Arial"/>
          <w:sz w:val="22"/>
        </w:rPr>
      </w:pPr>
    </w:p>
    <w:p w14:paraId="1A275D9C" w14:textId="77777777" w:rsidR="001C2F95" w:rsidRPr="004A7D48" w:rsidRDefault="001C2F95" w:rsidP="001C2F95">
      <w:pPr>
        <w:rPr>
          <w:rFonts w:cs="Arial"/>
          <w:sz w:val="22"/>
        </w:rPr>
      </w:pPr>
      <w:r w:rsidRPr="004A7D48">
        <w:rPr>
          <w:rFonts w:cs="Arial"/>
          <w:sz w:val="22"/>
        </w:rPr>
        <w:t>L’entreprise peut, mais pas nécessairement, prétendre à une indemnisation pour la période de suspension des travaux.</w:t>
      </w:r>
    </w:p>
    <w:p w14:paraId="733EFAE4" w14:textId="77777777" w:rsidR="001C2F95" w:rsidRPr="004A7D48" w:rsidRDefault="001C2F95" w:rsidP="001C2F95">
      <w:pPr>
        <w:rPr>
          <w:rFonts w:cs="Arial"/>
          <w:sz w:val="22"/>
        </w:rPr>
      </w:pPr>
      <w:r w:rsidRPr="004A7D48">
        <w:rPr>
          <w:rFonts w:cs="Arial"/>
          <w:sz w:val="22"/>
        </w:rPr>
        <w:t>Si les services culturels n’envoient pas un représentant dans les délais spécifiés (dans les 24 heures, par exemple), l’ingénieur résid</w:t>
      </w:r>
      <w:r>
        <w:rPr>
          <w:rFonts w:cs="Arial"/>
          <w:sz w:val="22"/>
        </w:rPr>
        <w:t>a</w:t>
      </w:r>
      <w:r w:rsidRPr="004A7D48">
        <w:rPr>
          <w:rFonts w:cs="Arial"/>
          <w:sz w:val="22"/>
        </w:rPr>
        <w:t>nt pe</w:t>
      </w:r>
      <w:r>
        <w:rPr>
          <w:rFonts w:cs="Arial"/>
          <w:sz w:val="22"/>
        </w:rPr>
        <w:t>ut-être</w:t>
      </w:r>
      <w:r w:rsidRPr="004A7D48">
        <w:rPr>
          <w:rFonts w:cs="Arial"/>
          <w:sz w:val="22"/>
        </w:rPr>
        <w:t xml:space="preserve"> </w:t>
      </w:r>
      <w:r>
        <w:rPr>
          <w:rFonts w:cs="Arial"/>
          <w:sz w:val="22"/>
        </w:rPr>
        <w:t>autorisé</w:t>
      </w:r>
      <w:r w:rsidRPr="004A7D48">
        <w:rPr>
          <w:rFonts w:cs="Arial"/>
          <w:sz w:val="22"/>
        </w:rPr>
        <w:t xml:space="preserve"> à proroger ces délais pour une période spécifiée.</w:t>
      </w:r>
    </w:p>
    <w:p w14:paraId="522BF922" w14:textId="77777777" w:rsidR="001C2F95" w:rsidRPr="004A7D48" w:rsidRDefault="001C2F95" w:rsidP="001C2F95">
      <w:pPr>
        <w:rPr>
          <w:rFonts w:cs="Arial"/>
          <w:sz w:val="22"/>
        </w:rPr>
      </w:pPr>
    </w:p>
    <w:p w14:paraId="7C017460" w14:textId="77777777" w:rsidR="001C2F95" w:rsidRPr="004A7D48" w:rsidRDefault="001C2F95" w:rsidP="001C2F95">
      <w:pPr>
        <w:rPr>
          <w:rFonts w:cs="Arial"/>
          <w:sz w:val="22"/>
        </w:rPr>
      </w:pPr>
      <w:r w:rsidRPr="004A7D48">
        <w:rPr>
          <w:rFonts w:cs="Arial"/>
          <w:sz w:val="22"/>
        </w:rPr>
        <w:t>Si les services culturels n’envoient pas un représentant dans la période de prorogation, l’ingénieur résid</w:t>
      </w:r>
      <w:r>
        <w:rPr>
          <w:rFonts w:cs="Arial"/>
          <w:sz w:val="22"/>
        </w:rPr>
        <w:t>a</w:t>
      </w:r>
      <w:r w:rsidRPr="004A7D48">
        <w:rPr>
          <w:rFonts w:cs="Arial"/>
          <w:sz w:val="22"/>
        </w:rPr>
        <w:t>nt peut</w:t>
      </w:r>
      <w:r>
        <w:rPr>
          <w:rFonts w:cs="Arial"/>
          <w:sz w:val="22"/>
        </w:rPr>
        <w:t>-être</w:t>
      </w:r>
      <w:r w:rsidRPr="004A7D48">
        <w:rPr>
          <w:rFonts w:cs="Arial"/>
          <w:sz w:val="22"/>
        </w:rPr>
        <w:t xml:space="preserve"> autorisé à demander à l’entreprise de déplacer le bien culturel physique ou de prendre d’autres mesures d’atténuation et de reprendre les travaux. Les travaux supplémentaires seront imputés sur le marché, mais l’entreprise ne pourra pas réclamer une indemnisation pour la période de suspension des travaux.</w:t>
      </w:r>
    </w:p>
    <w:p w14:paraId="5EDA7DB6" w14:textId="77777777" w:rsidR="001C2F95" w:rsidRPr="004A7D48" w:rsidRDefault="001C2F95" w:rsidP="001C2F95">
      <w:pPr>
        <w:rPr>
          <w:rFonts w:cs="Arial"/>
          <w:sz w:val="22"/>
        </w:rPr>
      </w:pPr>
    </w:p>
    <w:p w14:paraId="7F158C40" w14:textId="77777777" w:rsidR="001C2F95" w:rsidRPr="004A7D48" w:rsidRDefault="001C2F95" w:rsidP="002378EA">
      <w:pPr>
        <w:pStyle w:val="Paragraphedeliste"/>
        <w:numPr>
          <w:ilvl w:val="0"/>
          <w:numId w:val="54"/>
        </w:numPr>
        <w:rPr>
          <w:rFonts w:cs="Arial"/>
          <w:sz w:val="22"/>
        </w:rPr>
      </w:pPr>
      <w:r w:rsidRPr="004A7D48">
        <w:rPr>
          <w:rFonts w:cs="Arial"/>
          <w:sz w:val="22"/>
        </w:rPr>
        <w:t>Suspension supplémentaire des travaux</w:t>
      </w:r>
    </w:p>
    <w:p w14:paraId="78B26AFB" w14:textId="77777777" w:rsidR="001C2F95" w:rsidRPr="004A7D48" w:rsidRDefault="001C2F95" w:rsidP="001C2F95">
      <w:pPr>
        <w:rPr>
          <w:rFonts w:cs="Arial"/>
          <w:sz w:val="22"/>
        </w:rPr>
      </w:pPr>
    </w:p>
    <w:p w14:paraId="6FBF2993" w14:textId="77777777" w:rsidR="001C2F95" w:rsidRPr="004A7D48" w:rsidRDefault="001C2F95" w:rsidP="001C2F95">
      <w:pPr>
        <w:rPr>
          <w:rFonts w:cs="Arial"/>
          <w:sz w:val="22"/>
        </w:rPr>
      </w:pPr>
      <w:r w:rsidRPr="004A7D48">
        <w:rPr>
          <w:rFonts w:cs="Arial"/>
          <w:sz w:val="22"/>
        </w:rPr>
        <w:t>Durant la période de 7 jours, les services culturels peuvent être en droit de demander la suspension temporaire des travaux sur le site de la découverte ou à proximité pendant une période supplémentaire de 30 jours, par exemple.</w:t>
      </w:r>
    </w:p>
    <w:p w14:paraId="13AAD920" w14:textId="77777777" w:rsidR="001C2F95" w:rsidRPr="004A7D48" w:rsidRDefault="001C2F95" w:rsidP="001C2F95">
      <w:pPr>
        <w:rPr>
          <w:rFonts w:cs="Arial"/>
          <w:sz w:val="22"/>
        </w:rPr>
      </w:pPr>
      <w:r w:rsidRPr="004A7D48">
        <w:rPr>
          <w:rFonts w:cs="Arial"/>
          <w:sz w:val="22"/>
        </w:rPr>
        <w:t>L’entreprise peut, mais pas nécessairement, prétendre à une indemnisation pour cette période supplémentaire de suspension des travaux.</w:t>
      </w:r>
    </w:p>
    <w:p w14:paraId="1C5869AF" w14:textId="77777777" w:rsidR="001C2F95" w:rsidRPr="004A7D48" w:rsidRDefault="001C2F95" w:rsidP="001C2F95">
      <w:pPr>
        <w:rPr>
          <w:rFonts w:cs="Arial"/>
          <w:sz w:val="22"/>
        </w:rPr>
      </w:pPr>
    </w:p>
    <w:p w14:paraId="06DB15E0" w14:textId="77777777" w:rsidR="001C2F95" w:rsidRPr="00D14CAF" w:rsidRDefault="001C2F95" w:rsidP="001C2F95">
      <w:pPr>
        <w:rPr>
          <w:rFonts w:cs="Arial"/>
          <w:sz w:val="22"/>
        </w:rPr>
      </w:pPr>
      <w:r w:rsidRPr="00D14CAF">
        <w:rPr>
          <w:rFonts w:cs="Arial"/>
          <w:sz w:val="22"/>
        </w:rPr>
        <w:t>L’entreprise peut cependant être autorisée à signer avec les services responsables du patrimoine culturel un nouvel accord portant sur la fourniture de services ou de ressources supplémentaires durant cette période.</w:t>
      </w:r>
    </w:p>
    <w:p w14:paraId="1DE2E7CD" w14:textId="77777777" w:rsidR="00D10E74" w:rsidRDefault="00D10E74" w:rsidP="001C2F95"/>
    <w:p w14:paraId="24E36A82" w14:textId="77777777" w:rsidR="00D10E74" w:rsidRPr="00BE6EE2" w:rsidRDefault="00D10E74" w:rsidP="00BE6EE2">
      <w:pPr>
        <w:pStyle w:val="Titre2"/>
        <w:numPr>
          <w:ilvl w:val="2"/>
          <w:numId w:val="4"/>
        </w:numPr>
        <w:ind w:left="1560" w:hanging="709"/>
        <w:rPr>
          <w:rFonts w:cs="Arial"/>
          <w:i/>
          <w:sz w:val="22"/>
        </w:rPr>
      </w:pPr>
      <w:bookmarkStart w:id="550" w:name="_Toc70330435"/>
      <w:r w:rsidRPr="00BE6EE2">
        <w:rPr>
          <w:rFonts w:cs="Arial"/>
          <w:i/>
          <w:sz w:val="22"/>
          <w:szCs w:val="22"/>
        </w:rPr>
        <w:t>Procédure découverte des mines terrestres et restes explosifs de guerre (REG)</w:t>
      </w:r>
      <w:bookmarkEnd w:id="550"/>
    </w:p>
    <w:p w14:paraId="4379B832" w14:textId="77777777" w:rsidR="00D10E74" w:rsidRPr="00D10E74" w:rsidRDefault="00D10E74" w:rsidP="00D10E74">
      <w:pPr>
        <w:tabs>
          <w:tab w:val="left" w:pos="2115"/>
        </w:tabs>
        <w:rPr>
          <w:rFonts w:cs="Arial"/>
          <w:sz w:val="22"/>
          <w:highlight w:val="yellow"/>
        </w:rPr>
      </w:pPr>
    </w:p>
    <w:p w14:paraId="2F9C2E22" w14:textId="77777777" w:rsidR="00D10E74" w:rsidRPr="00D10E74" w:rsidRDefault="00D10E74" w:rsidP="002378EA">
      <w:pPr>
        <w:numPr>
          <w:ilvl w:val="0"/>
          <w:numId w:val="50"/>
        </w:numPr>
        <w:rPr>
          <w:rFonts w:cs="Arial"/>
          <w:b/>
          <w:i/>
          <w:sz w:val="22"/>
        </w:rPr>
      </w:pPr>
      <w:r w:rsidRPr="00D10E74">
        <w:rPr>
          <w:rFonts w:cs="Arial"/>
          <w:b/>
          <w:i/>
          <w:sz w:val="22"/>
        </w:rPr>
        <w:t>Notification interne et externe</w:t>
      </w:r>
    </w:p>
    <w:p w14:paraId="15A28B45" w14:textId="77777777" w:rsidR="00D10E74" w:rsidRPr="00D10E74" w:rsidRDefault="00D10E74" w:rsidP="00D10E74">
      <w:pPr>
        <w:shd w:val="clear" w:color="auto" w:fill="FFFFFF"/>
        <w:rPr>
          <w:rFonts w:cs="Arial"/>
          <w:color w:val="222222"/>
          <w:sz w:val="22"/>
        </w:rPr>
      </w:pPr>
    </w:p>
    <w:p w14:paraId="17C5A365" w14:textId="77777777" w:rsidR="00D10E74" w:rsidRPr="00D10E74" w:rsidRDefault="00D10E74" w:rsidP="00D10E74">
      <w:pPr>
        <w:shd w:val="clear" w:color="auto" w:fill="FFFFFF"/>
        <w:rPr>
          <w:rFonts w:cs="Arial"/>
          <w:color w:val="222222"/>
          <w:sz w:val="22"/>
        </w:rPr>
      </w:pPr>
      <w:r w:rsidRPr="00D10E74">
        <w:rPr>
          <w:rFonts w:cs="Arial"/>
          <w:color w:val="222222"/>
          <w:sz w:val="22"/>
        </w:rPr>
        <w:t xml:space="preserve">L’entrepreneur  en charge des travaux doit informer le projet par un rapport circonstancié sur la découverte fortuite des REG au niveau interne. </w:t>
      </w:r>
    </w:p>
    <w:p w14:paraId="141A1E8E" w14:textId="77777777" w:rsidR="00D10E74" w:rsidRPr="00D10E74" w:rsidRDefault="00D10E74" w:rsidP="00F91D77">
      <w:pPr>
        <w:shd w:val="clear" w:color="auto" w:fill="FFFFFF"/>
        <w:rPr>
          <w:rFonts w:cs="Arial"/>
          <w:color w:val="222222"/>
          <w:sz w:val="22"/>
        </w:rPr>
      </w:pPr>
    </w:p>
    <w:p w14:paraId="4912DE4A" w14:textId="77777777" w:rsidR="00D10E74" w:rsidRPr="00D10E74" w:rsidRDefault="00D10E74" w:rsidP="00F91D77">
      <w:pPr>
        <w:shd w:val="clear" w:color="auto" w:fill="FFFFFF"/>
        <w:rPr>
          <w:rFonts w:cs="Arial"/>
          <w:color w:val="222222"/>
          <w:sz w:val="22"/>
        </w:rPr>
      </w:pPr>
      <w:r w:rsidRPr="00D10E74">
        <w:rPr>
          <w:rFonts w:cs="Arial"/>
          <w:color w:val="222222"/>
          <w:sz w:val="22"/>
        </w:rPr>
        <w:t>Au niveau externe, le projet doit informer l’agence choisie en charge d’enlever les REG et informer les autorités locales tant nationales pour les constater. L’entrepreneur doit informer les ouvriers sur les risques liés aux REG et la procédure à suivre.</w:t>
      </w:r>
    </w:p>
    <w:p w14:paraId="73E69944" w14:textId="77777777" w:rsidR="00D10E74" w:rsidRPr="00D10E74" w:rsidRDefault="00D10E74" w:rsidP="00BB40B9">
      <w:pPr>
        <w:shd w:val="clear" w:color="auto" w:fill="FFFFFF"/>
        <w:rPr>
          <w:rFonts w:cs="Arial"/>
          <w:color w:val="222222"/>
          <w:sz w:val="22"/>
        </w:rPr>
      </w:pPr>
    </w:p>
    <w:p w14:paraId="7092C47B" w14:textId="77777777" w:rsidR="00D10E74" w:rsidRPr="00D10E74" w:rsidRDefault="00D10E74" w:rsidP="002378EA">
      <w:pPr>
        <w:numPr>
          <w:ilvl w:val="0"/>
          <w:numId w:val="50"/>
        </w:numPr>
        <w:rPr>
          <w:rFonts w:cs="Arial"/>
          <w:b/>
          <w:i/>
          <w:sz w:val="22"/>
        </w:rPr>
      </w:pPr>
      <w:r w:rsidRPr="00D10E74">
        <w:rPr>
          <w:rFonts w:cs="Arial"/>
          <w:b/>
          <w:i/>
          <w:sz w:val="22"/>
        </w:rPr>
        <w:t>Obligation d’arrêt des travaux en attendant l’ordre de reprise</w:t>
      </w:r>
    </w:p>
    <w:p w14:paraId="49888969" w14:textId="77777777" w:rsidR="00D10E74" w:rsidRPr="00D10E74" w:rsidRDefault="00D10E74" w:rsidP="00D10E74">
      <w:pPr>
        <w:rPr>
          <w:rFonts w:eastAsia="Calibri" w:cs="Arial"/>
          <w:sz w:val="22"/>
          <w:lang w:val="fr-CA" w:eastAsia="en-US"/>
        </w:rPr>
      </w:pPr>
    </w:p>
    <w:p w14:paraId="160C5C2F" w14:textId="77777777" w:rsidR="00D10E74" w:rsidRPr="00D10E74" w:rsidRDefault="00D10E74" w:rsidP="00D10E74">
      <w:pPr>
        <w:rPr>
          <w:rFonts w:eastAsia="Calibri" w:cs="Arial"/>
          <w:sz w:val="22"/>
          <w:lang w:val="fr-CA" w:eastAsia="en-US"/>
        </w:rPr>
      </w:pPr>
      <w:r w:rsidRPr="00D10E74">
        <w:rPr>
          <w:rFonts w:eastAsia="Calibri" w:cs="Arial"/>
          <w:sz w:val="22"/>
          <w:lang w:val="fr-CA" w:eastAsia="en-US"/>
        </w:rPr>
        <w:t>L’entrepreneur doit arrêter immédiatement les travaux entrainant des risques d’explosifs après la découverte des REG, et ne reprendre les travaux que sur autorisation du projet.</w:t>
      </w:r>
    </w:p>
    <w:p w14:paraId="73394526" w14:textId="77777777" w:rsidR="00D10E74" w:rsidRPr="00D10E74" w:rsidRDefault="00D10E74" w:rsidP="00F91D77">
      <w:pPr>
        <w:rPr>
          <w:rFonts w:eastAsia="Calibri" w:cs="Arial"/>
          <w:sz w:val="22"/>
          <w:lang w:val="fr-CA" w:eastAsia="en-US"/>
        </w:rPr>
      </w:pPr>
    </w:p>
    <w:p w14:paraId="771EA6FB" w14:textId="77777777" w:rsidR="00D10E74" w:rsidRPr="00D10E74" w:rsidRDefault="00D10E74" w:rsidP="002378EA">
      <w:pPr>
        <w:numPr>
          <w:ilvl w:val="0"/>
          <w:numId w:val="50"/>
        </w:numPr>
        <w:rPr>
          <w:rFonts w:cs="Arial"/>
          <w:b/>
          <w:i/>
          <w:sz w:val="22"/>
        </w:rPr>
      </w:pPr>
      <w:r w:rsidRPr="00D10E74">
        <w:rPr>
          <w:rFonts w:cs="Arial"/>
          <w:b/>
          <w:i/>
          <w:sz w:val="22"/>
        </w:rPr>
        <w:t>Mise en place du périmètre de protection, matérialisation et surveillance</w:t>
      </w:r>
    </w:p>
    <w:p w14:paraId="6DF8E5D7" w14:textId="77777777" w:rsidR="00D10E74" w:rsidRPr="00D10E74" w:rsidRDefault="00D10E74" w:rsidP="00D10E74">
      <w:pPr>
        <w:rPr>
          <w:rFonts w:eastAsia="Calibri" w:cs="Arial"/>
          <w:sz w:val="22"/>
          <w:lang w:val="fr-CA" w:eastAsia="en-US"/>
        </w:rPr>
      </w:pPr>
    </w:p>
    <w:p w14:paraId="00965049" w14:textId="77777777" w:rsidR="00D10E74" w:rsidRPr="00D10E74" w:rsidRDefault="00D10E74" w:rsidP="00D10E74">
      <w:pPr>
        <w:rPr>
          <w:rFonts w:eastAsia="Calibri" w:cs="Arial"/>
          <w:sz w:val="22"/>
          <w:lang w:val="fr-CA" w:eastAsia="en-US"/>
        </w:rPr>
      </w:pPr>
      <w:r w:rsidRPr="00D10E74">
        <w:rPr>
          <w:rFonts w:eastAsia="Calibri" w:cs="Arial"/>
          <w:sz w:val="22"/>
          <w:lang w:val="fr-CA" w:eastAsia="en-US"/>
        </w:rPr>
        <w:t>La Zone de découverte des REG doit être circonscrite, signaler accès interdit « </w:t>
      </w:r>
      <w:r w:rsidRPr="00D10E74">
        <w:rPr>
          <w:rFonts w:eastAsia="Calibri" w:cs="Arial"/>
          <w:b/>
          <w:sz w:val="22"/>
          <w:lang w:val="fr-CA" w:eastAsia="en-US"/>
        </w:rPr>
        <w:t>danger stop</w:t>
      </w:r>
      <w:r w:rsidRPr="00D10E74">
        <w:rPr>
          <w:rFonts w:eastAsia="Calibri" w:cs="Arial"/>
          <w:sz w:val="22"/>
          <w:lang w:val="fr-CA" w:eastAsia="en-US"/>
        </w:rPr>
        <w:t> » en sanctionnant tout accès non autorisé.</w:t>
      </w:r>
    </w:p>
    <w:p w14:paraId="2192B8A5" w14:textId="77777777" w:rsidR="00D10E74" w:rsidRPr="00D10E74" w:rsidRDefault="00D10E74" w:rsidP="00F91D77">
      <w:pPr>
        <w:rPr>
          <w:rFonts w:eastAsia="Calibri" w:cs="Arial"/>
          <w:sz w:val="22"/>
          <w:lang w:val="fr-CA" w:eastAsia="en-US"/>
        </w:rPr>
      </w:pPr>
    </w:p>
    <w:p w14:paraId="14C2474B" w14:textId="77777777" w:rsidR="00D10E74" w:rsidRPr="00D10E74" w:rsidRDefault="00D10E74" w:rsidP="002378EA">
      <w:pPr>
        <w:numPr>
          <w:ilvl w:val="0"/>
          <w:numId w:val="50"/>
        </w:numPr>
        <w:rPr>
          <w:rFonts w:cs="Arial"/>
          <w:b/>
          <w:i/>
          <w:sz w:val="22"/>
        </w:rPr>
      </w:pPr>
      <w:r w:rsidRPr="00D10E74">
        <w:rPr>
          <w:rFonts w:cs="Arial"/>
          <w:b/>
          <w:i/>
          <w:sz w:val="22"/>
        </w:rPr>
        <w:t>Communication et consultation avec les autorités nationales compétentes et choix de l’agence chargée d’enlever les REG</w:t>
      </w:r>
    </w:p>
    <w:p w14:paraId="7C35D3CF" w14:textId="77777777" w:rsidR="00D10E74" w:rsidRPr="00D10E74" w:rsidRDefault="00D10E74" w:rsidP="00D10E74">
      <w:pPr>
        <w:shd w:val="clear" w:color="auto" w:fill="FFFFFF"/>
        <w:ind w:left="720"/>
        <w:contextualSpacing/>
        <w:rPr>
          <w:rFonts w:eastAsia="Calibri" w:cs="Arial"/>
          <w:b/>
          <w:sz w:val="22"/>
          <w:lang w:val="fr-CD" w:eastAsia="en-US"/>
        </w:rPr>
      </w:pPr>
    </w:p>
    <w:p w14:paraId="380BA04D" w14:textId="77777777" w:rsidR="00D10E74" w:rsidRPr="00D10E74" w:rsidRDefault="00D10E74" w:rsidP="00D10E74">
      <w:pPr>
        <w:rPr>
          <w:rFonts w:cs="Arial"/>
          <w:color w:val="222222"/>
          <w:sz w:val="22"/>
        </w:rPr>
      </w:pPr>
      <w:r w:rsidRPr="00D10E74">
        <w:rPr>
          <w:rFonts w:cs="Arial"/>
          <w:color w:val="222222"/>
          <w:sz w:val="22"/>
        </w:rPr>
        <w:t xml:space="preserve">Les séances de communication et consultation avec les autorités locales et nationales seront faites régulièrement dans le cadre de la mise en œuvre du Plan de mobilisation des parties prenantes. Le choix de l’agence chargée d’enlever les REG sera fait ensemble avec les autorités compétentes suivant les principes susmentionnés. </w:t>
      </w:r>
    </w:p>
    <w:p w14:paraId="31118204" w14:textId="77777777" w:rsidR="00D10E74" w:rsidRPr="00D10E74" w:rsidRDefault="00D10E74" w:rsidP="00F91D77">
      <w:pPr>
        <w:rPr>
          <w:rFonts w:cs="Arial"/>
          <w:color w:val="222222"/>
          <w:sz w:val="22"/>
        </w:rPr>
      </w:pPr>
    </w:p>
    <w:p w14:paraId="07B59758" w14:textId="77777777" w:rsidR="00D10E74" w:rsidRPr="00D10E74" w:rsidRDefault="00D10E74" w:rsidP="002378EA">
      <w:pPr>
        <w:numPr>
          <w:ilvl w:val="0"/>
          <w:numId w:val="50"/>
        </w:numPr>
        <w:rPr>
          <w:rFonts w:cs="Arial"/>
          <w:b/>
          <w:i/>
          <w:sz w:val="22"/>
        </w:rPr>
      </w:pPr>
      <w:r w:rsidRPr="00D10E74">
        <w:rPr>
          <w:rFonts w:cs="Arial"/>
          <w:b/>
          <w:i/>
          <w:sz w:val="22"/>
        </w:rPr>
        <w:t>Destruction des REG</w:t>
      </w:r>
    </w:p>
    <w:p w14:paraId="5C7BADCF" w14:textId="77777777" w:rsidR="00D10E74" w:rsidRPr="00D10E74" w:rsidRDefault="00D10E74" w:rsidP="00D10E74">
      <w:pPr>
        <w:shd w:val="clear" w:color="auto" w:fill="FFFFFF"/>
        <w:ind w:left="720"/>
        <w:contextualSpacing/>
        <w:rPr>
          <w:rFonts w:eastAsia="Calibri" w:cs="Arial"/>
          <w:b/>
          <w:sz w:val="22"/>
          <w:lang w:val="fr-CD" w:eastAsia="en-US"/>
        </w:rPr>
      </w:pPr>
    </w:p>
    <w:p w14:paraId="0FC7C9CD" w14:textId="77777777" w:rsidR="00D10E74" w:rsidRPr="00D10E74" w:rsidRDefault="00D10E74" w:rsidP="00D10E74">
      <w:pPr>
        <w:rPr>
          <w:rFonts w:cs="Arial"/>
          <w:color w:val="222222"/>
          <w:sz w:val="22"/>
        </w:rPr>
      </w:pPr>
      <w:r w:rsidRPr="00D10E74">
        <w:rPr>
          <w:rFonts w:cs="Arial"/>
          <w:color w:val="222222"/>
          <w:sz w:val="22"/>
        </w:rPr>
        <w:t>La destruction des REG est faite par l’agence chargée d’enlever les REG. En outre, cette dernière doit produire un rapport de dépollution du site incluant la destruction des REG découverts.</w:t>
      </w:r>
    </w:p>
    <w:p w14:paraId="7E956AA7" w14:textId="77777777" w:rsidR="00D10E74" w:rsidRPr="00D10E74" w:rsidRDefault="00D10E74" w:rsidP="00D10E74">
      <w:pPr>
        <w:rPr>
          <w:rFonts w:cs="Arial"/>
          <w:color w:val="222222"/>
          <w:sz w:val="22"/>
        </w:rPr>
      </w:pPr>
    </w:p>
    <w:p w14:paraId="452976D0" w14:textId="77777777" w:rsidR="00D10E74" w:rsidRPr="00D10E74" w:rsidRDefault="00D10E74" w:rsidP="002378EA">
      <w:pPr>
        <w:numPr>
          <w:ilvl w:val="0"/>
          <w:numId w:val="50"/>
        </w:numPr>
        <w:rPr>
          <w:rFonts w:cs="Arial"/>
          <w:b/>
          <w:i/>
          <w:sz w:val="22"/>
        </w:rPr>
      </w:pPr>
      <w:r w:rsidRPr="00D10E74">
        <w:rPr>
          <w:rFonts w:cs="Arial"/>
          <w:b/>
          <w:i/>
          <w:sz w:val="22"/>
        </w:rPr>
        <w:t>Rapport de clôture de découverte</w:t>
      </w:r>
    </w:p>
    <w:p w14:paraId="62BFE400" w14:textId="77777777" w:rsidR="00D10E74" w:rsidRPr="00D10E74" w:rsidRDefault="00D10E74" w:rsidP="00D10E74">
      <w:pPr>
        <w:shd w:val="clear" w:color="auto" w:fill="FFFFFF"/>
        <w:rPr>
          <w:rFonts w:cs="Arial"/>
          <w:color w:val="222222"/>
          <w:sz w:val="22"/>
        </w:rPr>
      </w:pPr>
    </w:p>
    <w:p w14:paraId="769AB70D" w14:textId="77777777" w:rsidR="00D10E74" w:rsidRPr="00D10E74" w:rsidRDefault="00D10E74" w:rsidP="00D10E74">
      <w:pPr>
        <w:shd w:val="clear" w:color="auto" w:fill="FFFFFF"/>
        <w:rPr>
          <w:rFonts w:cs="Arial"/>
          <w:color w:val="222222"/>
          <w:sz w:val="22"/>
        </w:rPr>
      </w:pPr>
      <w:r w:rsidRPr="00D10E74">
        <w:rPr>
          <w:rFonts w:cs="Arial"/>
          <w:color w:val="222222"/>
          <w:sz w:val="22"/>
        </w:rPr>
        <w:t>Le rapport de clôture de découverte de REG est élaboré après la dépollution du site par l’agence en charge d’enlever les REG et l’autorisation sur la reprise des travaux. Ce rapport est rédigé par la mission de contrôle et transmis au projet.</w:t>
      </w:r>
    </w:p>
    <w:p w14:paraId="286D72DF" w14:textId="77777777" w:rsidR="00D10E74" w:rsidRPr="00D10E74" w:rsidRDefault="00D10E74" w:rsidP="00F91D77">
      <w:pPr>
        <w:tabs>
          <w:tab w:val="left" w:pos="2115"/>
        </w:tabs>
        <w:rPr>
          <w:rFonts w:cs="Arial"/>
          <w:b/>
          <w:i/>
          <w:sz w:val="22"/>
          <w:u w:val="single"/>
        </w:rPr>
      </w:pPr>
    </w:p>
    <w:p w14:paraId="09DCA650" w14:textId="77777777" w:rsidR="00D10E74" w:rsidRPr="00D10E74" w:rsidRDefault="00D10E74" w:rsidP="00F91D77">
      <w:pPr>
        <w:tabs>
          <w:tab w:val="left" w:pos="2115"/>
        </w:tabs>
        <w:rPr>
          <w:rFonts w:cs="Arial"/>
          <w:b/>
          <w:i/>
          <w:sz w:val="22"/>
          <w:u w:val="single"/>
        </w:rPr>
      </w:pPr>
      <w:r w:rsidRPr="00D10E74">
        <w:rPr>
          <w:rFonts w:cs="Arial"/>
          <w:b/>
          <w:i/>
          <w:sz w:val="22"/>
          <w:u w:val="single"/>
        </w:rPr>
        <w:t>L’Education aux Risques des Mines (ERM)</w:t>
      </w:r>
    </w:p>
    <w:p w14:paraId="70E5019C" w14:textId="77777777" w:rsidR="00D10E74" w:rsidRPr="00D10E74" w:rsidRDefault="00D10E74" w:rsidP="00BB40B9">
      <w:pPr>
        <w:tabs>
          <w:tab w:val="left" w:pos="2115"/>
        </w:tabs>
        <w:rPr>
          <w:rFonts w:cs="Arial"/>
          <w:sz w:val="22"/>
          <w:highlight w:val="yellow"/>
        </w:rPr>
      </w:pPr>
    </w:p>
    <w:p w14:paraId="1C7BA081" w14:textId="77777777" w:rsidR="00D10E74" w:rsidRPr="00D10E74" w:rsidRDefault="00D10E74" w:rsidP="0092469F">
      <w:pPr>
        <w:tabs>
          <w:tab w:val="left" w:pos="2115"/>
        </w:tabs>
        <w:rPr>
          <w:rFonts w:eastAsia="Calibri" w:cs="Arial"/>
          <w:sz w:val="22"/>
          <w:lang w:eastAsia="en-US"/>
        </w:rPr>
      </w:pPr>
      <w:r w:rsidRPr="00D10E74">
        <w:rPr>
          <w:rFonts w:eastAsia="Calibri" w:cs="Arial"/>
          <w:sz w:val="22"/>
          <w:lang w:eastAsia="en-US"/>
        </w:rPr>
        <w:t>La section suivante est consacrée au rôle que joue l’ERM dans l’action contre les mines en général, plus particulièrement par la liaison avec les communautés locales.</w:t>
      </w:r>
    </w:p>
    <w:p w14:paraId="4DC93ED1" w14:textId="77777777" w:rsidR="00D10E74" w:rsidRPr="00D10E74" w:rsidRDefault="00D10E74" w:rsidP="00F25782">
      <w:pPr>
        <w:tabs>
          <w:tab w:val="left" w:pos="2115"/>
        </w:tabs>
        <w:rPr>
          <w:rFonts w:ascii="Calibri" w:eastAsia="Calibri" w:hAnsi="Calibri" w:cs="Arial"/>
          <w:sz w:val="22"/>
          <w:lang w:eastAsia="en-US"/>
        </w:rPr>
      </w:pPr>
    </w:p>
    <w:p w14:paraId="3C7BBC7B" w14:textId="77777777" w:rsidR="00D10E74" w:rsidRPr="00D10E74" w:rsidRDefault="00D10E74" w:rsidP="00D0563C">
      <w:pPr>
        <w:rPr>
          <w:rFonts w:cs="Arial"/>
          <w:sz w:val="22"/>
        </w:rPr>
      </w:pPr>
      <w:r w:rsidRPr="00D10E74">
        <w:rPr>
          <w:rFonts w:cs="Arial"/>
          <w:sz w:val="22"/>
        </w:rPr>
        <w:t>Une ERM de qualité peut jouer un rôle considérable dans l’action contre les mines de par les informations qu’elle recueille dans les communautés touchées et de par les liens qu’elle tisse avec elles. Voici quelques contributions pratiques que l’ERM peut apporter aux autres activités de la lutte anti-mines.</w:t>
      </w:r>
    </w:p>
    <w:p w14:paraId="71FA8B61" w14:textId="77777777" w:rsidR="00D10E74" w:rsidRPr="00D10E74" w:rsidRDefault="00D10E74" w:rsidP="007B22A3">
      <w:pPr>
        <w:tabs>
          <w:tab w:val="left" w:pos="2115"/>
        </w:tabs>
        <w:rPr>
          <w:rFonts w:ascii="Calibri" w:eastAsia="Calibri" w:hAnsi="Calibri" w:cs="Arial"/>
          <w:sz w:val="22"/>
          <w:lang w:eastAsia="en-US"/>
        </w:rPr>
      </w:pPr>
    </w:p>
    <w:p w14:paraId="33C1FA21" w14:textId="77777777" w:rsidR="00D10E74" w:rsidRPr="00D10E74" w:rsidRDefault="00D10E74" w:rsidP="007B22A3">
      <w:pPr>
        <w:rPr>
          <w:rFonts w:cs="Arial"/>
          <w:sz w:val="22"/>
        </w:rPr>
      </w:pPr>
      <w:r w:rsidRPr="00D10E74">
        <w:rPr>
          <w:rFonts w:cs="Arial"/>
          <w:sz w:val="22"/>
        </w:rPr>
        <w:t>Les opérations de déminage comprennent les enquêtes, le marquage et l’enlèvement des mines terrestres et des REG. L’éducation au risque des mines, surtout par le biais de la liaison avec les communautés, peut contribuer à chacune de ces activités, et peut également aider à renforcer les capacités locales de gestion des risques.</w:t>
      </w:r>
    </w:p>
    <w:p w14:paraId="33A5A16D" w14:textId="77777777" w:rsidR="00D10E74" w:rsidRPr="00D10E74" w:rsidRDefault="00D10E74" w:rsidP="007B22A3">
      <w:pPr>
        <w:rPr>
          <w:rFonts w:cs="Arial"/>
          <w:sz w:val="22"/>
        </w:rPr>
      </w:pPr>
    </w:p>
    <w:p w14:paraId="742E997A" w14:textId="77777777" w:rsidR="00D10E74" w:rsidRPr="00D10E74" w:rsidRDefault="00D10E74" w:rsidP="001D6316">
      <w:pPr>
        <w:rPr>
          <w:rFonts w:cs="Arial"/>
          <w:sz w:val="22"/>
        </w:rPr>
      </w:pPr>
      <w:r w:rsidRPr="00D10E74">
        <w:rPr>
          <w:rFonts w:cs="Arial"/>
          <w:sz w:val="22"/>
        </w:rPr>
        <w:t xml:space="preserve">Pour ce qui est des enquêtes, les équipes d’ERM peuvent, sur la base des informations fournies par la communauté : </w:t>
      </w:r>
    </w:p>
    <w:p w14:paraId="3AC2D714" w14:textId="77777777" w:rsidR="00D10E74" w:rsidRPr="00D10E74" w:rsidRDefault="00D10E74" w:rsidP="001D6316">
      <w:pPr>
        <w:rPr>
          <w:rFonts w:cs="Arial"/>
          <w:sz w:val="22"/>
        </w:rPr>
      </w:pPr>
    </w:p>
    <w:p w14:paraId="5FC1FA8C" w14:textId="77777777" w:rsidR="00D10E74" w:rsidRPr="00D10E74" w:rsidRDefault="00D10E74" w:rsidP="002378EA">
      <w:pPr>
        <w:numPr>
          <w:ilvl w:val="0"/>
          <w:numId w:val="152"/>
        </w:numPr>
        <w:rPr>
          <w:rFonts w:cs="Arial"/>
          <w:sz w:val="22"/>
        </w:rPr>
      </w:pPr>
      <w:r w:rsidRPr="00D10E74">
        <w:rPr>
          <w:rFonts w:cs="Arial"/>
          <w:sz w:val="22"/>
        </w:rPr>
        <w:t xml:space="preserve">localiser les zones contaminées ; </w:t>
      </w:r>
    </w:p>
    <w:p w14:paraId="2FB5B65C" w14:textId="77777777" w:rsidR="00D10E74" w:rsidRPr="00D10E74" w:rsidRDefault="00D10E74" w:rsidP="002378EA">
      <w:pPr>
        <w:numPr>
          <w:ilvl w:val="0"/>
          <w:numId w:val="152"/>
        </w:numPr>
        <w:rPr>
          <w:rFonts w:cs="Arial"/>
          <w:sz w:val="22"/>
        </w:rPr>
      </w:pPr>
      <w:r w:rsidRPr="00D10E74">
        <w:rPr>
          <w:rFonts w:cs="Arial"/>
          <w:sz w:val="22"/>
        </w:rPr>
        <w:t xml:space="preserve">identifier les types d’engins mis en place ; </w:t>
      </w:r>
    </w:p>
    <w:p w14:paraId="6921B7AB" w14:textId="77777777" w:rsidR="00D10E74" w:rsidRPr="00D10E74" w:rsidRDefault="00D10E74" w:rsidP="002378EA">
      <w:pPr>
        <w:numPr>
          <w:ilvl w:val="0"/>
          <w:numId w:val="152"/>
        </w:numPr>
        <w:rPr>
          <w:rFonts w:cs="Arial"/>
          <w:sz w:val="22"/>
        </w:rPr>
      </w:pPr>
      <w:r w:rsidRPr="00D10E74">
        <w:rPr>
          <w:rFonts w:cs="Arial"/>
          <w:sz w:val="22"/>
        </w:rPr>
        <w:t>comprendre comment les mines et autres REG affectent la vie quotidienne et le bien-être des civils ;  et</w:t>
      </w:r>
    </w:p>
    <w:p w14:paraId="4D900991" w14:textId="77777777" w:rsidR="00D10E74" w:rsidRPr="00D10E74" w:rsidRDefault="00D10E74" w:rsidP="002378EA">
      <w:pPr>
        <w:numPr>
          <w:ilvl w:val="0"/>
          <w:numId w:val="152"/>
        </w:numPr>
        <w:rPr>
          <w:rFonts w:cs="Arial"/>
          <w:sz w:val="22"/>
        </w:rPr>
      </w:pPr>
      <w:r w:rsidRPr="00D10E74">
        <w:rPr>
          <w:rFonts w:cs="Arial"/>
          <w:sz w:val="22"/>
        </w:rPr>
        <w:t xml:space="preserve">aider les communautés à établir des listes de priorités pour le déminage ou pour le marquage. </w:t>
      </w:r>
    </w:p>
    <w:p w14:paraId="29CBCF7A" w14:textId="77777777" w:rsidR="00D10E74" w:rsidRPr="00D10E74" w:rsidRDefault="00D10E74" w:rsidP="00D10E74">
      <w:pPr>
        <w:rPr>
          <w:rFonts w:cs="Arial"/>
          <w:sz w:val="22"/>
        </w:rPr>
      </w:pPr>
    </w:p>
    <w:p w14:paraId="0AE33FF5" w14:textId="77777777" w:rsidR="00D10E74" w:rsidRPr="00D10E74" w:rsidRDefault="00D10E74" w:rsidP="00D10E74">
      <w:pPr>
        <w:rPr>
          <w:rFonts w:cs="Arial"/>
          <w:sz w:val="22"/>
        </w:rPr>
      </w:pPr>
      <w:r w:rsidRPr="00D10E74">
        <w:rPr>
          <w:rFonts w:cs="Arial"/>
          <w:sz w:val="22"/>
        </w:rPr>
        <w:t xml:space="preserve">En ce qui concerne le marquage, les équipes d’ERM peuvent : </w:t>
      </w:r>
    </w:p>
    <w:p w14:paraId="4B195C2A" w14:textId="77777777" w:rsidR="00D10E74" w:rsidRPr="00D10E74" w:rsidRDefault="00D10E74" w:rsidP="00F91D77">
      <w:pPr>
        <w:rPr>
          <w:rFonts w:cs="Arial"/>
          <w:sz w:val="22"/>
        </w:rPr>
      </w:pPr>
    </w:p>
    <w:p w14:paraId="26F1A002" w14:textId="77777777" w:rsidR="00D10E74" w:rsidRPr="00D10E74" w:rsidRDefault="00D10E74" w:rsidP="002378EA">
      <w:pPr>
        <w:numPr>
          <w:ilvl w:val="0"/>
          <w:numId w:val="152"/>
        </w:numPr>
        <w:rPr>
          <w:rFonts w:cs="Arial"/>
          <w:sz w:val="22"/>
        </w:rPr>
      </w:pPr>
      <w:r w:rsidRPr="00D10E74">
        <w:rPr>
          <w:rFonts w:cs="Arial"/>
          <w:sz w:val="22"/>
        </w:rPr>
        <w:t xml:space="preserve">s’informer sur les signes d’avertissement utilisés dans la région; </w:t>
      </w:r>
    </w:p>
    <w:p w14:paraId="1E944405" w14:textId="77777777" w:rsidR="00D10E74" w:rsidRPr="00D10E74" w:rsidRDefault="00D10E74" w:rsidP="002378EA">
      <w:pPr>
        <w:numPr>
          <w:ilvl w:val="0"/>
          <w:numId w:val="152"/>
        </w:numPr>
        <w:rPr>
          <w:rFonts w:cs="Arial"/>
          <w:sz w:val="22"/>
        </w:rPr>
      </w:pPr>
      <w:r w:rsidRPr="00D10E74">
        <w:rPr>
          <w:rFonts w:cs="Arial"/>
          <w:sz w:val="22"/>
        </w:rPr>
        <w:t xml:space="preserve">encourager le respect des marquages et des clôtures ; </w:t>
      </w:r>
    </w:p>
    <w:p w14:paraId="39023EBF" w14:textId="77777777" w:rsidR="00D10E74" w:rsidRPr="00D10E74" w:rsidRDefault="00D10E74" w:rsidP="002378EA">
      <w:pPr>
        <w:numPr>
          <w:ilvl w:val="0"/>
          <w:numId w:val="152"/>
        </w:numPr>
        <w:rPr>
          <w:rFonts w:cs="Arial"/>
          <w:sz w:val="22"/>
        </w:rPr>
      </w:pPr>
      <w:r w:rsidRPr="00D10E74">
        <w:rPr>
          <w:rFonts w:cs="Arial"/>
          <w:sz w:val="22"/>
        </w:rPr>
        <w:t xml:space="preserve">aider la communauté à établir des listes de priorités pour le marquage (et choisir des matériaux appropriés qui réduiront le risque de voir ces signes retirés, volés ou détruits). </w:t>
      </w:r>
    </w:p>
    <w:p w14:paraId="262DF171" w14:textId="77777777" w:rsidR="00D10E74" w:rsidRPr="00D10E74" w:rsidRDefault="00D10E74" w:rsidP="00D10E74">
      <w:pPr>
        <w:rPr>
          <w:rFonts w:cs="Arial"/>
          <w:sz w:val="22"/>
        </w:rPr>
      </w:pPr>
    </w:p>
    <w:p w14:paraId="4B943D8A" w14:textId="77777777" w:rsidR="00D10E74" w:rsidRPr="00D10E74" w:rsidRDefault="00D10E74" w:rsidP="00D10E74">
      <w:pPr>
        <w:rPr>
          <w:rFonts w:cs="Arial"/>
          <w:sz w:val="22"/>
        </w:rPr>
      </w:pPr>
      <w:r w:rsidRPr="00D10E74">
        <w:rPr>
          <w:rFonts w:cs="Arial"/>
          <w:sz w:val="22"/>
        </w:rPr>
        <w:t xml:space="preserve">En ce qui concerne les opérations de déminage, elles pourront se faire les services spécialisés (FARDC, la Police Nationale) ou par le service spécialisé des Nations Unies : </w:t>
      </w:r>
    </w:p>
    <w:p w14:paraId="1109A789" w14:textId="77777777" w:rsidR="00D10E74" w:rsidRPr="00D10E74" w:rsidRDefault="00D10E74" w:rsidP="00F91D77">
      <w:pPr>
        <w:rPr>
          <w:rFonts w:cs="Arial"/>
          <w:sz w:val="22"/>
        </w:rPr>
      </w:pPr>
    </w:p>
    <w:p w14:paraId="3A6CE26D" w14:textId="77777777" w:rsidR="00D10E74" w:rsidRPr="00D10E74" w:rsidRDefault="00D10E74" w:rsidP="002378EA">
      <w:pPr>
        <w:numPr>
          <w:ilvl w:val="0"/>
          <w:numId w:val="152"/>
        </w:numPr>
        <w:rPr>
          <w:rFonts w:cs="Arial"/>
          <w:sz w:val="22"/>
        </w:rPr>
      </w:pPr>
      <w:r w:rsidRPr="00D10E74">
        <w:rPr>
          <w:rFonts w:cs="Arial"/>
          <w:sz w:val="22"/>
        </w:rPr>
        <w:t xml:space="preserve">avertir la communauté de l’arrivée des équipes de déminage; </w:t>
      </w:r>
    </w:p>
    <w:p w14:paraId="7E373727" w14:textId="77777777" w:rsidR="00D10E74" w:rsidRPr="00D10E74" w:rsidRDefault="00D10E74" w:rsidP="002378EA">
      <w:pPr>
        <w:numPr>
          <w:ilvl w:val="0"/>
          <w:numId w:val="152"/>
        </w:numPr>
        <w:rPr>
          <w:rFonts w:cs="Arial"/>
          <w:sz w:val="22"/>
        </w:rPr>
      </w:pPr>
      <w:r w:rsidRPr="00D10E74">
        <w:rPr>
          <w:rFonts w:cs="Arial"/>
          <w:sz w:val="22"/>
        </w:rPr>
        <w:t xml:space="preserve">informer la communauté des procédures de sécurité à respecter durant les opérations de déminage ; </w:t>
      </w:r>
    </w:p>
    <w:p w14:paraId="274BBEEB" w14:textId="77777777" w:rsidR="00D10E74" w:rsidRPr="00D10E74" w:rsidRDefault="00D10E74" w:rsidP="002378EA">
      <w:pPr>
        <w:numPr>
          <w:ilvl w:val="0"/>
          <w:numId w:val="152"/>
        </w:numPr>
        <w:rPr>
          <w:rFonts w:cs="Arial"/>
          <w:sz w:val="22"/>
        </w:rPr>
      </w:pPr>
      <w:r w:rsidRPr="00D10E74">
        <w:rPr>
          <w:rFonts w:cs="Arial"/>
          <w:sz w:val="22"/>
        </w:rPr>
        <w:t>indiquer aux membres de la communauté les zones dépolluées et celles qui restent dangereuses, leur montrer les différents marquages ;</w:t>
      </w:r>
    </w:p>
    <w:p w14:paraId="1FE7F8A4" w14:textId="77777777" w:rsidR="00D10E74" w:rsidRPr="00D10E74" w:rsidRDefault="00D10E74" w:rsidP="002378EA">
      <w:pPr>
        <w:numPr>
          <w:ilvl w:val="0"/>
          <w:numId w:val="152"/>
        </w:numPr>
        <w:rPr>
          <w:rFonts w:cs="Arial"/>
          <w:sz w:val="22"/>
        </w:rPr>
      </w:pPr>
      <w:r w:rsidRPr="00D10E74">
        <w:rPr>
          <w:rFonts w:cs="Arial"/>
          <w:sz w:val="22"/>
        </w:rPr>
        <w:t xml:space="preserve">faciliter la restitution des terres, y compris des mesures destinées à renforcer les liens de confiance avec la communauté en démontrant que les terrains déminés ne contiennent vraiment plus de mines ; </w:t>
      </w:r>
    </w:p>
    <w:p w14:paraId="213A790E" w14:textId="77777777" w:rsidR="00D10E74" w:rsidRPr="00D10E74" w:rsidRDefault="00D10E74" w:rsidP="002378EA">
      <w:pPr>
        <w:numPr>
          <w:ilvl w:val="0"/>
          <w:numId w:val="152"/>
        </w:numPr>
        <w:rPr>
          <w:rFonts w:cs="Arial"/>
          <w:sz w:val="22"/>
        </w:rPr>
      </w:pPr>
      <w:r w:rsidRPr="00D10E74">
        <w:rPr>
          <w:rFonts w:cs="Arial"/>
          <w:sz w:val="22"/>
        </w:rPr>
        <w:t>mettre en place un suivi en revenant dans les communautés plusieurs semaines ou plusieurs mois après le déminage pour vérifier que les terrains sont effectivement utilisés par les personnes prévues et pour l’usage prévu.</w:t>
      </w:r>
    </w:p>
    <w:p w14:paraId="5B42E0E1" w14:textId="77777777" w:rsidR="00D10E74" w:rsidRPr="00D10E74" w:rsidRDefault="00D10E74" w:rsidP="00D10E74">
      <w:pPr>
        <w:rPr>
          <w:rFonts w:cs="Arial"/>
          <w:b/>
          <w:i/>
          <w:sz w:val="22"/>
          <w:u w:val="single"/>
        </w:rPr>
      </w:pPr>
    </w:p>
    <w:p w14:paraId="2FBA0CED" w14:textId="77777777" w:rsidR="00D10E74" w:rsidRPr="00D10E74" w:rsidRDefault="00D10E74" w:rsidP="00D10E74">
      <w:pPr>
        <w:rPr>
          <w:rFonts w:cs="Arial"/>
          <w:b/>
          <w:i/>
          <w:sz w:val="22"/>
          <w:u w:val="single"/>
        </w:rPr>
      </w:pPr>
      <w:r w:rsidRPr="00D10E74">
        <w:rPr>
          <w:rFonts w:cs="Arial"/>
          <w:b/>
          <w:i/>
          <w:sz w:val="22"/>
          <w:u w:val="single"/>
        </w:rPr>
        <w:t xml:space="preserve">Assistance aux victimes </w:t>
      </w:r>
    </w:p>
    <w:p w14:paraId="0F8EBD3D" w14:textId="77777777" w:rsidR="00D10E74" w:rsidRPr="00D10E74" w:rsidRDefault="00D10E74" w:rsidP="00F91D77">
      <w:pPr>
        <w:rPr>
          <w:rFonts w:cs="Arial"/>
          <w:sz w:val="22"/>
        </w:rPr>
      </w:pPr>
    </w:p>
    <w:p w14:paraId="71FE782B" w14:textId="77777777" w:rsidR="00D10E74" w:rsidRPr="00D10E74" w:rsidRDefault="00D10E74" w:rsidP="00F91D77">
      <w:pPr>
        <w:rPr>
          <w:rFonts w:cs="Arial"/>
          <w:sz w:val="22"/>
        </w:rPr>
      </w:pPr>
      <w:r w:rsidRPr="00D10E74">
        <w:rPr>
          <w:rFonts w:cs="Arial"/>
          <w:sz w:val="22"/>
        </w:rPr>
        <w:t xml:space="preserve">On entend par “assistance aux victimes” l’intervention sur les champs de mines, les premiers soins, les opérations chirurgicales, la rééducation (physiothérapie et prothèses pour les amputés), la réadaptation psychosociale et la réinsertion des survivants d’accidents dus aux mines terrestres et aux REG. </w:t>
      </w:r>
    </w:p>
    <w:p w14:paraId="4A54ED80" w14:textId="77777777" w:rsidR="00D10E74" w:rsidRPr="00D10E74" w:rsidRDefault="00D10E74" w:rsidP="00BB40B9">
      <w:pPr>
        <w:rPr>
          <w:rFonts w:cs="Arial"/>
          <w:sz w:val="22"/>
        </w:rPr>
      </w:pPr>
    </w:p>
    <w:p w14:paraId="37282649" w14:textId="77777777" w:rsidR="00D10E74" w:rsidRPr="00D10E74" w:rsidRDefault="00D10E74" w:rsidP="0092469F">
      <w:pPr>
        <w:rPr>
          <w:rFonts w:cs="Arial"/>
          <w:sz w:val="22"/>
        </w:rPr>
      </w:pPr>
      <w:r w:rsidRPr="00D10E74">
        <w:rPr>
          <w:rFonts w:cs="Arial"/>
          <w:sz w:val="22"/>
        </w:rPr>
        <w:t xml:space="preserve">L’ERM a un rôle particulier à jouer dans l’assistance aux amputés, souvent victimes de mines antipersonnel. Le devoir d’assistance ne se limite cependant pas aux seuls amputés des mines et des REG, il s’applique à tous les amputés en général, quelle que soit la cause de leur lésion (balle, morsure de serpent, accident de voiture, diabète etc.). </w:t>
      </w:r>
    </w:p>
    <w:p w14:paraId="1A518FBF" w14:textId="77777777" w:rsidR="00D10E74" w:rsidRPr="00D10E74" w:rsidRDefault="00D10E74" w:rsidP="00F25782">
      <w:pPr>
        <w:rPr>
          <w:rFonts w:cs="Arial"/>
          <w:sz w:val="22"/>
        </w:rPr>
      </w:pPr>
    </w:p>
    <w:p w14:paraId="460441F7" w14:textId="77777777" w:rsidR="00D10E74" w:rsidRPr="00D10E74" w:rsidRDefault="00D10E74" w:rsidP="00D0563C">
      <w:pPr>
        <w:rPr>
          <w:rFonts w:cs="Arial"/>
          <w:sz w:val="22"/>
        </w:rPr>
      </w:pPr>
      <w:r w:rsidRPr="00D10E74">
        <w:rPr>
          <w:rFonts w:cs="Arial"/>
          <w:sz w:val="22"/>
        </w:rPr>
        <w:t xml:space="preserve">Agir autrement créerait une discrimination entre les victimes, moralement inacceptable. Les équipes d’éducation au risque des mines peuvent notamment: </w:t>
      </w:r>
    </w:p>
    <w:p w14:paraId="2C6387AF" w14:textId="77777777" w:rsidR="00D10E74" w:rsidRPr="00D10E74" w:rsidRDefault="00D10E74" w:rsidP="007B22A3">
      <w:pPr>
        <w:rPr>
          <w:rFonts w:cs="Arial"/>
          <w:sz w:val="22"/>
        </w:rPr>
      </w:pPr>
    </w:p>
    <w:p w14:paraId="01590E15" w14:textId="77777777" w:rsidR="00D10E74" w:rsidRPr="00D10E74" w:rsidRDefault="00D10E74" w:rsidP="002378EA">
      <w:pPr>
        <w:numPr>
          <w:ilvl w:val="0"/>
          <w:numId w:val="152"/>
        </w:numPr>
        <w:jc w:val="left"/>
        <w:rPr>
          <w:rFonts w:cs="Arial"/>
          <w:sz w:val="22"/>
        </w:rPr>
      </w:pPr>
      <w:r w:rsidRPr="00D10E74">
        <w:rPr>
          <w:rFonts w:cs="Arial"/>
          <w:sz w:val="22"/>
        </w:rPr>
        <w:t xml:space="preserve">identifier les ressources dont les victimes pourraient bénéficier au niveau national ou local et définir sous quelles conditions l’assistance peut être obtenue; </w:t>
      </w:r>
    </w:p>
    <w:p w14:paraId="507DF65F" w14:textId="77777777" w:rsidR="00D10E74" w:rsidRPr="00D10E74" w:rsidRDefault="00D10E74" w:rsidP="002378EA">
      <w:pPr>
        <w:numPr>
          <w:ilvl w:val="0"/>
          <w:numId w:val="152"/>
        </w:numPr>
        <w:jc w:val="left"/>
        <w:rPr>
          <w:rFonts w:cs="Arial"/>
          <w:sz w:val="22"/>
        </w:rPr>
      </w:pPr>
      <w:r w:rsidRPr="00D10E74">
        <w:rPr>
          <w:rFonts w:cs="Arial"/>
          <w:sz w:val="22"/>
        </w:rPr>
        <w:t xml:space="preserve">au cours de leur travail dans les communautés, identifier les amputés qui nécessitent de l’assistance; </w:t>
      </w:r>
    </w:p>
    <w:p w14:paraId="0B6183F1" w14:textId="77777777" w:rsidR="00D10E74" w:rsidRPr="00D10E74" w:rsidRDefault="00D10E74" w:rsidP="002378EA">
      <w:pPr>
        <w:numPr>
          <w:ilvl w:val="0"/>
          <w:numId w:val="152"/>
        </w:numPr>
        <w:jc w:val="left"/>
        <w:rPr>
          <w:rFonts w:cs="Arial"/>
          <w:sz w:val="22"/>
        </w:rPr>
      </w:pPr>
      <w:r w:rsidRPr="00D10E74">
        <w:rPr>
          <w:rFonts w:cs="Arial"/>
          <w:sz w:val="22"/>
        </w:rPr>
        <w:t xml:space="preserve">rester en contact avec les centres de rééducation pour s’assurer que la victime reçoive toute l’assistance nécessaire; </w:t>
      </w:r>
    </w:p>
    <w:p w14:paraId="370F62EF" w14:textId="77777777" w:rsidR="00D10E74" w:rsidRPr="00D10E74" w:rsidRDefault="00D10E74" w:rsidP="002378EA">
      <w:pPr>
        <w:numPr>
          <w:ilvl w:val="0"/>
          <w:numId w:val="152"/>
        </w:numPr>
        <w:jc w:val="left"/>
        <w:rPr>
          <w:rFonts w:cs="Arial"/>
          <w:sz w:val="22"/>
        </w:rPr>
      </w:pPr>
      <w:r w:rsidRPr="00D10E74">
        <w:rPr>
          <w:rFonts w:cs="Arial"/>
          <w:sz w:val="22"/>
        </w:rPr>
        <w:t xml:space="preserve">si nécessaire, faciliter le transport de l’amputé et d’un membre de sa famille vers le centre de traitement et au retour; </w:t>
      </w:r>
    </w:p>
    <w:p w14:paraId="64532F02" w14:textId="77777777" w:rsidR="00D10E74" w:rsidRPr="00D10E74" w:rsidRDefault="00D10E74" w:rsidP="002378EA">
      <w:pPr>
        <w:numPr>
          <w:ilvl w:val="0"/>
          <w:numId w:val="152"/>
        </w:numPr>
        <w:jc w:val="left"/>
        <w:rPr>
          <w:rFonts w:cs="Arial"/>
          <w:sz w:val="22"/>
        </w:rPr>
      </w:pPr>
      <w:r w:rsidRPr="00D10E74">
        <w:rPr>
          <w:rFonts w:cs="Arial"/>
          <w:sz w:val="22"/>
        </w:rPr>
        <w:t>envisager d’employer des survivants dans le projet d’ERM.</w:t>
      </w:r>
    </w:p>
    <w:p w14:paraId="663F44CE" w14:textId="77777777" w:rsidR="00D10E74" w:rsidRPr="00D14CAF" w:rsidRDefault="00D10E74" w:rsidP="001C2F95"/>
    <w:p w14:paraId="243F6DF3" w14:textId="77777777" w:rsidR="001C2F95" w:rsidRPr="00D14CAF" w:rsidRDefault="001C2F95" w:rsidP="001C2F95">
      <w:pPr>
        <w:pStyle w:val="Titre2"/>
        <w:numPr>
          <w:ilvl w:val="2"/>
          <w:numId w:val="4"/>
        </w:numPr>
        <w:ind w:left="1560" w:hanging="709"/>
        <w:rPr>
          <w:rFonts w:cs="Arial"/>
          <w:i/>
          <w:sz w:val="22"/>
          <w:szCs w:val="22"/>
        </w:rPr>
      </w:pPr>
      <w:bookmarkStart w:id="551" w:name="_Toc314095921"/>
      <w:bookmarkStart w:id="552" w:name="_Toc353382399"/>
      <w:bookmarkStart w:id="553" w:name="_Toc510553675"/>
      <w:bookmarkStart w:id="554" w:name="_Toc2490068"/>
      <w:bookmarkStart w:id="555" w:name="_Toc37426766"/>
      <w:bookmarkStart w:id="556" w:name="_Toc44626847"/>
      <w:bookmarkStart w:id="557" w:name="_Toc70330436"/>
      <w:bookmarkStart w:id="558" w:name="_Toc510553674"/>
      <w:r w:rsidRPr="00D14CAF">
        <w:rPr>
          <w:rFonts w:cs="Arial"/>
          <w:i/>
          <w:sz w:val="22"/>
          <w:szCs w:val="22"/>
        </w:rPr>
        <w:t>Directives applicables sur Hygiène, Environnement et Sécurité</w:t>
      </w:r>
      <w:bookmarkEnd w:id="551"/>
      <w:bookmarkEnd w:id="552"/>
      <w:bookmarkEnd w:id="553"/>
      <w:bookmarkEnd w:id="554"/>
      <w:bookmarkEnd w:id="555"/>
      <w:bookmarkEnd w:id="556"/>
      <w:bookmarkEnd w:id="557"/>
    </w:p>
    <w:p w14:paraId="3069D852" w14:textId="77777777" w:rsidR="001C2F95" w:rsidRPr="00D14CAF" w:rsidRDefault="001C2F95" w:rsidP="001C2F95">
      <w:pPr>
        <w:rPr>
          <w:sz w:val="22"/>
        </w:rPr>
      </w:pPr>
    </w:p>
    <w:p w14:paraId="679CA1D8" w14:textId="77777777" w:rsidR="001C2F95" w:rsidRDefault="001C2F95" w:rsidP="001C2F95">
      <w:pPr>
        <w:rPr>
          <w:sz w:val="22"/>
        </w:rPr>
      </w:pPr>
      <w:r w:rsidRPr="00D14CAF">
        <w:rPr>
          <w:sz w:val="22"/>
        </w:rPr>
        <w:t xml:space="preserve">Les entreprises contractantes devront se conformer aux exigences des directives de la Banque </w:t>
      </w:r>
      <w:r>
        <w:rPr>
          <w:sz w:val="22"/>
        </w:rPr>
        <w:t>M</w:t>
      </w:r>
      <w:r w:rsidRPr="00D14CAF">
        <w:rPr>
          <w:sz w:val="22"/>
        </w:rPr>
        <w:t xml:space="preserve">ondiale, concernant l’Hygiène, l’Environnement et la Sécurité, </w:t>
      </w:r>
      <w:r w:rsidR="00531015">
        <w:rPr>
          <w:sz w:val="22"/>
        </w:rPr>
        <w:t xml:space="preserve">risques </w:t>
      </w:r>
      <w:r w:rsidR="00531015" w:rsidRPr="00531015">
        <w:rPr>
          <w:sz w:val="22"/>
        </w:rPr>
        <w:t>d’EAS/HS</w:t>
      </w:r>
      <w:r w:rsidR="00531015" w:rsidRPr="00D14CAF">
        <w:rPr>
          <w:sz w:val="22"/>
        </w:rPr>
        <w:t xml:space="preserve"> </w:t>
      </w:r>
      <w:r w:rsidRPr="00D14CAF">
        <w:rPr>
          <w:sz w:val="22"/>
        </w:rPr>
        <w:t xml:space="preserve">ainsi qu’aux bonnes pratiques internationales dans le domaine. </w:t>
      </w:r>
      <w:r>
        <w:rPr>
          <w:sz w:val="22"/>
        </w:rPr>
        <w:t>Des directives de gestion de déchets, d</w:t>
      </w:r>
      <w:r w:rsidRPr="00D14CAF">
        <w:rPr>
          <w:sz w:val="22"/>
        </w:rPr>
        <w:t xml:space="preserve">es directives complémentaires sur la protection anti-incendie et la sécurité figurent dans les Directives sur l'environnement, la </w:t>
      </w:r>
      <w:r>
        <w:rPr>
          <w:sz w:val="22"/>
        </w:rPr>
        <w:t>S</w:t>
      </w:r>
      <w:r w:rsidRPr="00D14CAF">
        <w:rPr>
          <w:sz w:val="22"/>
        </w:rPr>
        <w:t xml:space="preserve">anté et la </w:t>
      </w:r>
      <w:r>
        <w:rPr>
          <w:sz w:val="22"/>
        </w:rPr>
        <w:t>S</w:t>
      </w:r>
      <w:r w:rsidRPr="00D14CAF">
        <w:rPr>
          <w:sz w:val="22"/>
        </w:rPr>
        <w:t>écurité</w:t>
      </w:r>
      <w:r>
        <w:rPr>
          <w:rStyle w:val="Appelnotedebasdep"/>
          <w:sz w:val="22"/>
        </w:rPr>
        <w:footnoteReference w:id="19"/>
      </w:r>
      <w:r w:rsidRPr="00D14CAF">
        <w:rPr>
          <w:sz w:val="22"/>
        </w:rPr>
        <w:t xml:space="preserve"> (Environmental Health and Safety), notamment les recommandations suivantes : Main-d’œuvre et Conditions de Travail et Prévention et Réduction de la Pollution.</w:t>
      </w:r>
    </w:p>
    <w:p w14:paraId="7EF9D66C" w14:textId="77777777" w:rsidR="001C2F95" w:rsidRDefault="001C2F95" w:rsidP="001C2F95">
      <w:pPr>
        <w:rPr>
          <w:sz w:val="22"/>
        </w:rPr>
      </w:pPr>
    </w:p>
    <w:p w14:paraId="51A3F035" w14:textId="77777777" w:rsidR="001C2F95" w:rsidRPr="00914A08" w:rsidRDefault="001C2F95" w:rsidP="001C2F95">
      <w:pPr>
        <w:rPr>
          <w:i/>
          <w:sz w:val="22"/>
        </w:rPr>
      </w:pPr>
      <w:r w:rsidRPr="00914A08">
        <w:rPr>
          <w:i/>
          <w:sz w:val="22"/>
        </w:rPr>
        <w:t>Gestion des déchets</w:t>
      </w:r>
    </w:p>
    <w:p w14:paraId="19430E94" w14:textId="77777777" w:rsidR="001C2F95" w:rsidRDefault="001C2F95" w:rsidP="001C2F95">
      <w:pPr>
        <w:rPr>
          <w:sz w:val="22"/>
        </w:rPr>
      </w:pPr>
    </w:p>
    <w:p w14:paraId="3C92F7C4" w14:textId="77777777" w:rsidR="001C2F95" w:rsidRDefault="001C2F95" w:rsidP="001C2F95">
      <w:pPr>
        <w:rPr>
          <w:sz w:val="22"/>
        </w:rPr>
      </w:pPr>
      <w:r w:rsidRPr="00914A08">
        <w:rPr>
          <w:sz w:val="22"/>
        </w:rPr>
        <w:t>Ces princi</w:t>
      </w:r>
      <w:r>
        <w:rPr>
          <w:sz w:val="22"/>
        </w:rPr>
        <w:t xml:space="preserve">pes s’appliquent à des projets </w:t>
      </w:r>
      <w:r w:rsidRPr="00914A08">
        <w:rPr>
          <w:sz w:val="22"/>
        </w:rPr>
        <w:t>comportant la production, le stockage ou la manutention de</w:t>
      </w:r>
      <w:r>
        <w:rPr>
          <w:sz w:val="22"/>
        </w:rPr>
        <w:t>s</w:t>
      </w:r>
      <w:r w:rsidRPr="00914A08">
        <w:rPr>
          <w:sz w:val="22"/>
        </w:rPr>
        <w:t xml:space="preserve"> quantités de déchets dans toute une série de secteurs industriels. Ils ne sont pas censés s’appliquer à des projets ou des installations dont l’activité principale est la collecte, le transport, le traitement ou l’élimination de déchets. Des lignes directrices spécifiques à ces types d’installation</w:t>
      </w:r>
      <w:r>
        <w:rPr>
          <w:sz w:val="22"/>
        </w:rPr>
        <w:t>s</w:t>
      </w:r>
      <w:r w:rsidRPr="00914A08">
        <w:rPr>
          <w:sz w:val="22"/>
        </w:rPr>
        <w:t xml:space="preserve"> sont présentées dans les directives sur la Santé et la Sécurité de l’Environnement pour les Installations de Gestion des Déchets.</w:t>
      </w:r>
    </w:p>
    <w:p w14:paraId="6D37F64A" w14:textId="77777777" w:rsidR="001C2F95" w:rsidRPr="00914A08" w:rsidRDefault="001C2F95" w:rsidP="001C2F95">
      <w:pPr>
        <w:rPr>
          <w:sz w:val="22"/>
        </w:rPr>
      </w:pPr>
      <w:r w:rsidRPr="00914A08">
        <w:rPr>
          <w:sz w:val="22"/>
        </w:rPr>
        <w:t xml:space="preserve"> </w:t>
      </w:r>
    </w:p>
    <w:p w14:paraId="16F057CA" w14:textId="77777777" w:rsidR="001C2F95" w:rsidRDefault="001C2F95" w:rsidP="001C2F95">
      <w:pPr>
        <w:rPr>
          <w:sz w:val="22"/>
        </w:rPr>
      </w:pPr>
      <w:r w:rsidRPr="00914A08">
        <w:rPr>
          <w:sz w:val="22"/>
        </w:rPr>
        <w:t xml:space="preserve">Un déchet est une matière solide, liquide ou gazeuse confinée, dont on doit se débarrasser par élimination, recyclage ou incinération. Il peut s’agir d’un sous-produit de procédés de fabrication ou encore d’un produit commercial obsolète qui ne répond plus à l’application prévue et doit être éliminé. </w:t>
      </w:r>
    </w:p>
    <w:p w14:paraId="1D64B13C" w14:textId="77777777" w:rsidR="001C2F95" w:rsidRPr="00914A08" w:rsidRDefault="001C2F95" w:rsidP="001C2F95">
      <w:pPr>
        <w:rPr>
          <w:sz w:val="22"/>
        </w:rPr>
      </w:pPr>
    </w:p>
    <w:p w14:paraId="3AEFFDE6" w14:textId="77777777" w:rsidR="001C2F95" w:rsidRDefault="001C2F95" w:rsidP="001C2F95">
      <w:pPr>
        <w:rPr>
          <w:sz w:val="22"/>
        </w:rPr>
      </w:pPr>
      <w:r w:rsidRPr="00914A08">
        <w:rPr>
          <w:sz w:val="22"/>
        </w:rPr>
        <w:t>Les déchets solides (non dangereux) comprennent généralement des détritus et déchets urbains de toutes sortes. On indiquera, à titre d’exemple, des ordures</w:t>
      </w:r>
      <w:r w:rsidRPr="00914A08">
        <w:t xml:space="preserve"> </w:t>
      </w:r>
      <w:r w:rsidRPr="00914A08">
        <w:rPr>
          <w:sz w:val="22"/>
        </w:rPr>
        <w:t xml:space="preserve">ménagères ; des inertes de construction / démolition ; des déchets métalliques et conteneurs vides (excepté ceux qui contenaient précédemment des matières dangereuses et qui devraient, en principe, être traités comme déchets dangereux) ; et des déchets résiduels d’activités industrielles, par exemple des scories de chaudière, du mâchefer et des cendres volantes.  </w:t>
      </w:r>
    </w:p>
    <w:p w14:paraId="23EC35C0" w14:textId="77777777" w:rsidR="00AA7E78" w:rsidRDefault="00AA7E78" w:rsidP="001C2F95">
      <w:pPr>
        <w:rPr>
          <w:sz w:val="22"/>
        </w:rPr>
      </w:pPr>
    </w:p>
    <w:p w14:paraId="37D6CE62" w14:textId="77777777" w:rsidR="001C2F95" w:rsidRDefault="001C2F95" w:rsidP="001C2F95">
      <w:pPr>
        <w:rPr>
          <w:sz w:val="22"/>
        </w:rPr>
      </w:pPr>
      <w:r w:rsidRPr="00914A08">
        <w:rPr>
          <w:sz w:val="22"/>
        </w:rPr>
        <w:t xml:space="preserve">Les déchets dangereux présentent les mêmes propriétés que les matières dangereuses (inflammabilité, corrosivité, réactivité ou toxicité), ou d’autres caractéristiques physiques, chimiques ou biologiques qui risquent de poser un risque pour la santé de l’homme ou l’environnement s’ils ne sont pas gérés convenablement. En outre, des déchets peuvent être définis comme étant « dangereux » par des règlements locaux ou des conventions internationales, sur la base soit de l’origine du déchet et de son inclusion dans des listes de déchets dangereux, soit sur la base de ses caractéristiques. </w:t>
      </w:r>
    </w:p>
    <w:p w14:paraId="46B851F4" w14:textId="77777777" w:rsidR="001C2F95" w:rsidRPr="00914A08" w:rsidRDefault="001C2F95" w:rsidP="001C2F95">
      <w:pPr>
        <w:rPr>
          <w:sz w:val="22"/>
        </w:rPr>
      </w:pPr>
      <w:r w:rsidRPr="00914A08">
        <w:rPr>
          <w:sz w:val="22"/>
        </w:rPr>
        <w:t xml:space="preserve"> </w:t>
      </w:r>
    </w:p>
    <w:p w14:paraId="282CDB01" w14:textId="77777777" w:rsidR="001C2F95" w:rsidRDefault="001C2F95" w:rsidP="001C2F95">
      <w:pPr>
        <w:rPr>
          <w:sz w:val="22"/>
        </w:rPr>
      </w:pPr>
      <w:r w:rsidRPr="00914A08">
        <w:rPr>
          <w:sz w:val="22"/>
        </w:rPr>
        <w:t>Les boues provenant d’installations de traitement des déchets, de centrales de traitement de l’eau, ou d’installations de contrôle de la pollution de l’air, ainsi que des matières mises au rebut, y compris des matières solides, liquides, semi-solides ou gazeuses confinées résultant d’activités industrielles, doivent être évaluées au cas par cas afin d’établir s’il s’agit de déchets dangereux ou non dangereux.</w:t>
      </w:r>
    </w:p>
    <w:p w14:paraId="5BDA7547" w14:textId="77777777" w:rsidR="001C2F95" w:rsidRDefault="001C2F95" w:rsidP="001C2F95">
      <w:pPr>
        <w:rPr>
          <w:sz w:val="22"/>
        </w:rPr>
      </w:pPr>
    </w:p>
    <w:p w14:paraId="66D1FC4F" w14:textId="77777777" w:rsidR="001C2F95" w:rsidRPr="0045145F" w:rsidRDefault="001C2F95" w:rsidP="001C2F95">
      <w:pPr>
        <w:jc w:val="left"/>
        <w:rPr>
          <w:i/>
          <w:sz w:val="22"/>
          <w:szCs w:val="24"/>
        </w:rPr>
      </w:pPr>
      <w:r w:rsidRPr="0045145F">
        <w:rPr>
          <w:i/>
          <w:sz w:val="22"/>
          <w:szCs w:val="24"/>
        </w:rPr>
        <w:t xml:space="preserve">Eaux usées sanitaires  </w:t>
      </w:r>
    </w:p>
    <w:p w14:paraId="20C94289" w14:textId="77777777" w:rsidR="001C2F95" w:rsidRDefault="001C2F95" w:rsidP="001C2F95">
      <w:pPr>
        <w:rPr>
          <w:sz w:val="22"/>
        </w:rPr>
      </w:pPr>
    </w:p>
    <w:p w14:paraId="640A4175" w14:textId="77777777" w:rsidR="001C2F95" w:rsidRDefault="001C2F95" w:rsidP="001C2F95">
      <w:pPr>
        <w:rPr>
          <w:sz w:val="22"/>
        </w:rPr>
      </w:pPr>
      <w:r w:rsidRPr="0045145F">
        <w:rPr>
          <w:sz w:val="22"/>
        </w:rPr>
        <w:t xml:space="preserve">Les eaux usées sanitaires des installations industrielles peuvent contenir des eaux d’égout domestiques et des eaux issues des services de restauration ou de blanchissage destinés aux employés du site. Les eaux usées provenant des laboratoires, des infirmeries, des installations d’adoucissement d’eau, etc. peuvent également être rejetées dans le système de traitement des eaux usées sanitaires. Les pratiques recommandées pour gérer les eaux usées sanitaires consistent, notamment, à : </w:t>
      </w:r>
    </w:p>
    <w:p w14:paraId="787E0E7A" w14:textId="77777777" w:rsidR="001C2F95" w:rsidRPr="0045145F" w:rsidRDefault="001C2F95" w:rsidP="001C2F95">
      <w:pPr>
        <w:rPr>
          <w:sz w:val="22"/>
        </w:rPr>
      </w:pPr>
    </w:p>
    <w:p w14:paraId="16FE4A85" w14:textId="77777777" w:rsidR="001C2F95" w:rsidRDefault="001C2F95" w:rsidP="002378EA">
      <w:pPr>
        <w:numPr>
          <w:ilvl w:val="0"/>
          <w:numId w:val="54"/>
        </w:numPr>
        <w:rPr>
          <w:sz w:val="22"/>
        </w:rPr>
      </w:pPr>
      <w:r w:rsidRPr="0045145F">
        <w:rPr>
          <w:sz w:val="22"/>
        </w:rPr>
        <w:t>Maintenir les eaux usées dans des réseaux distincts pour s’assurer de leur compatibilité avec le système de traitement choisi (par ex. une fosse septique qui ne peut recevoir que</w:t>
      </w:r>
      <w:r>
        <w:rPr>
          <w:sz w:val="22"/>
        </w:rPr>
        <w:t xml:space="preserve"> des eaux usées domestiques). </w:t>
      </w:r>
    </w:p>
    <w:p w14:paraId="347D8EE2" w14:textId="77777777" w:rsidR="001C2F95" w:rsidRDefault="001C2F95" w:rsidP="002378EA">
      <w:pPr>
        <w:numPr>
          <w:ilvl w:val="0"/>
          <w:numId w:val="54"/>
        </w:numPr>
        <w:rPr>
          <w:sz w:val="22"/>
        </w:rPr>
      </w:pPr>
      <w:r w:rsidRPr="0045145F">
        <w:rPr>
          <w:sz w:val="22"/>
        </w:rPr>
        <w:t>Séparer et prétraiter les effluents contenant des huiles et des graisses (notamment au moyen de bacs à graisse) avant d</w:t>
      </w:r>
      <w:r>
        <w:rPr>
          <w:sz w:val="22"/>
        </w:rPr>
        <w:t xml:space="preserve">e les rejeter dans les égouts. </w:t>
      </w:r>
    </w:p>
    <w:p w14:paraId="4FDF4147" w14:textId="77777777" w:rsidR="001C2F95" w:rsidRDefault="001C2F95" w:rsidP="002378EA">
      <w:pPr>
        <w:numPr>
          <w:ilvl w:val="0"/>
          <w:numId w:val="54"/>
        </w:numPr>
        <w:rPr>
          <w:sz w:val="22"/>
        </w:rPr>
      </w:pPr>
      <w:r w:rsidRPr="0045145F">
        <w:rPr>
          <w:sz w:val="22"/>
        </w:rPr>
        <w:t>Si les eaux usées provenant des installations industrielles doivent être rejetées dans les eaux de surface, leur traitement doit assurer le respect des normes nationales ou locales pour le rejet des eaux usées sanitaires.</w:t>
      </w:r>
    </w:p>
    <w:p w14:paraId="42D81E14" w14:textId="77777777" w:rsidR="001C2F95" w:rsidRDefault="001C2F95" w:rsidP="001C2F95">
      <w:pPr>
        <w:rPr>
          <w:sz w:val="22"/>
        </w:rPr>
      </w:pPr>
    </w:p>
    <w:p w14:paraId="7806C492" w14:textId="77777777" w:rsidR="00AA7E78" w:rsidRDefault="00AA7E78" w:rsidP="001C2F95">
      <w:pPr>
        <w:rPr>
          <w:sz w:val="22"/>
        </w:rPr>
      </w:pPr>
    </w:p>
    <w:p w14:paraId="36B0170A" w14:textId="77777777" w:rsidR="00AA7E78" w:rsidRPr="00D14CAF" w:rsidRDefault="00AA7E78" w:rsidP="001C2F95">
      <w:pPr>
        <w:rPr>
          <w:sz w:val="22"/>
        </w:rPr>
      </w:pPr>
    </w:p>
    <w:p w14:paraId="1C70BA2B" w14:textId="77777777" w:rsidR="001C2F95" w:rsidRPr="00D14CAF" w:rsidRDefault="001C2F95" w:rsidP="001C2F95">
      <w:pPr>
        <w:pStyle w:val="Titre2"/>
        <w:numPr>
          <w:ilvl w:val="2"/>
          <w:numId w:val="4"/>
        </w:numPr>
        <w:ind w:left="1560" w:hanging="709"/>
        <w:rPr>
          <w:rFonts w:cs="Arial"/>
          <w:i/>
          <w:sz w:val="22"/>
          <w:szCs w:val="22"/>
        </w:rPr>
      </w:pPr>
      <w:bookmarkStart w:id="559" w:name="_Toc2490069"/>
      <w:bookmarkStart w:id="560" w:name="_Toc37426767"/>
      <w:bookmarkStart w:id="561" w:name="_Toc44626848"/>
      <w:bookmarkStart w:id="562" w:name="_Toc70330437"/>
      <w:r w:rsidRPr="00D14CAF">
        <w:rPr>
          <w:rFonts w:cs="Arial"/>
          <w:i/>
          <w:sz w:val="22"/>
          <w:szCs w:val="22"/>
        </w:rPr>
        <w:t>Code de bonne conduite pour les ouvriers</w:t>
      </w:r>
      <w:bookmarkEnd w:id="559"/>
      <w:bookmarkEnd w:id="560"/>
      <w:bookmarkEnd w:id="561"/>
      <w:bookmarkEnd w:id="562"/>
    </w:p>
    <w:p w14:paraId="2BA2CDCD" w14:textId="77777777" w:rsidR="001C2F95" w:rsidRPr="00D14CAF" w:rsidRDefault="001C2F95" w:rsidP="001C2F95">
      <w:pPr>
        <w:rPr>
          <w:sz w:val="22"/>
        </w:rPr>
      </w:pPr>
    </w:p>
    <w:p w14:paraId="1FBE0492" w14:textId="77777777" w:rsidR="001C2F95" w:rsidRPr="00D14CAF" w:rsidRDefault="001C2F95" w:rsidP="001C2F95">
      <w:pPr>
        <w:rPr>
          <w:sz w:val="22"/>
        </w:rPr>
      </w:pPr>
      <w:r w:rsidRPr="00D14CAF">
        <w:rPr>
          <w:sz w:val="22"/>
        </w:rPr>
        <w:t xml:space="preserve">Une charte de bonne conduite guidera les relations entre les intervenants des chantiers et des installations associées dans le cadre du </w:t>
      </w:r>
      <w:r>
        <w:rPr>
          <w:sz w:val="22"/>
        </w:rPr>
        <w:t>Programme PNDA</w:t>
      </w:r>
      <w:r w:rsidRPr="00D14CAF">
        <w:rPr>
          <w:sz w:val="22"/>
        </w:rPr>
        <w:t xml:space="preserve">. Cette charte contribuera au bon déroulement des chantiers, dans un climat de confiance et de respect mutuel, avec, au final, l’ambition de satisfaire le client et d’améliorer la qualité des ouvrages. Le </w:t>
      </w:r>
      <w:r>
        <w:rPr>
          <w:sz w:val="22"/>
        </w:rPr>
        <w:t>C</w:t>
      </w:r>
      <w:r w:rsidRPr="00D14CAF">
        <w:rPr>
          <w:sz w:val="22"/>
        </w:rPr>
        <w:t xml:space="preserve">ode de bonne conduite sera affiché sur les chantiers. Cette charte est </w:t>
      </w:r>
      <w:r w:rsidRPr="00154F5E">
        <w:rPr>
          <w:sz w:val="22"/>
        </w:rPr>
        <w:t>développée en Annexe 8.</w:t>
      </w:r>
    </w:p>
    <w:p w14:paraId="57C2195F" w14:textId="77777777" w:rsidR="001C2F95" w:rsidRPr="00D14CAF" w:rsidRDefault="001C2F95" w:rsidP="001C2F95">
      <w:pPr>
        <w:rPr>
          <w:sz w:val="22"/>
        </w:rPr>
      </w:pPr>
    </w:p>
    <w:p w14:paraId="4C544487" w14:textId="77777777" w:rsidR="001C2F95" w:rsidRPr="00D14CAF" w:rsidRDefault="001C2F95" w:rsidP="001C2F95">
      <w:pPr>
        <w:pStyle w:val="Titre2"/>
        <w:numPr>
          <w:ilvl w:val="2"/>
          <w:numId w:val="4"/>
        </w:numPr>
        <w:ind w:left="1560" w:hanging="709"/>
        <w:rPr>
          <w:rFonts w:cs="Arial"/>
          <w:i/>
          <w:sz w:val="22"/>
          <w:szCs w:val="22"/>
        </w:rPr>
      </w:pPr>
      <w:bookmarkStart w:id="563" w:name="_Toc2490070"/>
      <w:bookmarkStart w:id="564" w:name="_Toc37426768"/>
      <w:bookmarkStart w:id="565" w:name="_Toc44626849"/>
      <w:bookmarkStart w:id="566" w:name="_Toc70330438"/>
      <w:r w:rsidRPr="00D14CAF">
        <w:rPr>
          <w:rFonts w:cs="Arial"/>
          <w:i/>
          <w:sz w:val="22"/>
          <w:szCs w:val="22"/>
        </w:rPr>
        <w:t xml:space="preserve">Clauses sociales sur les </w:t>
      </w:r>
      <w:bookmarkEnd w:id="558"/>
      <w:bookmarkEnd w:id="563"/>
      <w:bookmarkEnd w:id="564"/>
      <w:bookmarkEnd w:id="565"/>
      <w:r>
        <w:rPr>
          <w:rFonts w:cs="Arial"/>
          <w:i/>
          <w:sz w:val="22"/>
          <w:szCs w:val="22"/>
        </w:rPr>
        <w:t>VBG, y compris l’EAS et le HS, et les VCE.</w:t>
      </w:r>
      <w:bookmarkEnd w:id="566"/>
    </w:p>
    <w:p w14:paraId="57D5C1EA" w14:textId="77777777" w:rsidR="001C2F95" w:rsidRPr="00D14CAF" w:rsidRDefault="001C2F95" w:rsidP="001C2F95">
      <w:pPr>
        <w:rPr>
          <w:sz w:val="22"/>
        </w:rPr>
      </w:pPr>
    </w:p>
    <w:p w14:paraId="3E7D03CD" w14:textId="77777777" w:rsidR="001C2F95" w:rsidRPr="00D14CAF" w:rsidRDefault="001C2F95" w:rsidP="001C2F95">
      <w:pPr>
        <w:rPr>
          <w:sz w:val="22"/>
        </w:rPr>
      </w:pPr>
      <w:r w:rsidRPr="00D14CAF">
        <w:rPr>
          <w:sz w:val="22"/>
        </w:rPr>
        <w:t xml:space="preserve">Les clauses sociales relatives aux </w:t>
      </w:r>
      <w:r>
        <w:rPr>
          <w:sz w:val="22"/>
        </w:rPr>
        <w:t>VBG, y compris l’EAS et le HS,</w:t>
      </w:r>
      <w:r w:rsidR="00531015">
        <w:rPr>
          <w:sz w:val="22"/>
        </w:rPr>
        <w:t xml:space="preserve"> </w:t>
      </w:r>
      <w:r>
        <w:rPr>
          <w:sz w:val="22"/>
        </w:rPr>
        <w:t>aux VCE</w:t>
      </w:r>
      <w:r w:rsidR="00531015">
        <w:rPr>
          <w:sz w:val="22"/>
        </w:rPr>
        <w:t xml:space="preserve"> ainsi que le code de bonne conduite du programme</w:t>
      </w:r>
      <w:r w:rsidRPr="00D14CAF">
        <w:rPr>
          <w:sz w:val="22"/>
        </w:rPr>
        <w:t xml:space="preserve"> seront à intégrer dans les DAO de tous les prestataires. Ces clauses sont développées ci-dessous. </w:t>
      </w:r>
    </w:p>
    <w:p w14:paraId="5D07A87C" w14:textId="77777777" w:rsidR="001C2F95" w:rsidRPr="00D14CAF" w:rsidRDefault="001C2F95" w:rsidP="001C2F95">
      <w:pPr>
        <w:rPr>
          <w:sz w:val="22"/>
        </w:rPr>
      </w:pPr>
    </w:p>
    <w:p w14:paraId="09D79529" w14:textId="77777777" w:rsidR="001C2F95" w:rsidRPr="00D14CAF" w:rsidRDefault="001C2F95" w:rsidP="001C2F95">
      <w:pPr>
        <w:rPr>
          <w:sz w:val="22"/>
        </w:rPr>
      </w:pPr>
      <w:r w:rsidRPr="00D14CAF">
        <w:rPr>
          <w:sz w:val="22"/>
        </w:rPr>
        <w:t>La personne humaine est sacrée dans sa dignité et ne peut faire l’objet d’un traitement inhumain, cruel et dégradant sous aucune forme. Par conséquent, les actes de barbarie suivants sont sévèrement réprimés :</w:t>
      </w:r>
    </w:p>
    <w:p w14:paraId="2E81FFE4" w14:textId="77777777" w:rsidR="001C2F95" w:rsidRPr="00D14CAF" w:rsidRDefault="001C2F95" w:rsidP="001C2F95">
      <w:pPr>
        <w:rPr>
          <w:sz w:val="22"/>
        </w:rPr>
      </w:pPr>
    </w:p>
    <w:p w14:paraId="4C4297EF" w14:textId="77777777" w:rsidR="001C2F95" w:rsidRPr="00D14CAF" w:rsidRDefault="001C2F95" w:rsidP="001C2F95">
      <w:pPr>
        <w:pStyle w:val="Titre2"/>
        <w:numPr>
          <w:ilvl w:val="2"/>
          <w:numId w:val="4"/>
        </w:numPr>
        <w:ind w:left="1560" w:hanging="709"/>
        <w:rPr>
          <w:rFonts w:cs="Arial"/>
          <w:i/>
          <w:sz w:val="22"/>
          <w:szCs w:val="22"/>
        </w:rPr>
      </w:pPr>
      <w:bookmarkStart w:id="567" w:name="_Toc44626850"/>
      <w:bookmarkStart w:id="568" w:name="_Toc70330439"/>
      <w:r>
        <w:rPr>
          <w:rFonts w:cs="Arial"/>
          <w:i/>
          <w:sz w:val="22"/>
          <w:szCs w:val="22"/>
        </w:rPr>
        <w:t>H</w:t>
      </w:r>
      <w:r w:rsidRPr="00D14CAF">
        <w:rPr>
          <w:rFonts w:cs="Arial"/>
          <w:i/>
          <w:sz w:val="22"/>
          <w:szCs w:val="22"/>
        </w:rPr>
        <w:t>arcèlement moral</w:t>
      </w:r>
      <w:bookmarkEnd w:id="567"/>
      <w:bookmarkEnd w:id="568"/>
    </w:p>
    <w:p w14:paraId="31CB77F4" w14:textId="77777777" w:rsidR="001C2F95" w:rsidRPr="00D14CAF" w:rsidRDefault="001C2F95" w:rsidP="001C2F95">
      <w:pPr>
        <w:rPr>
          <w:sz w:val="22"/>
        </w:rPr>
      </w:pPr>
    </w:p>
    <w:p w14:paraId="65C59418" w14:textId="77777777" w:rsidR="001C2F95" w:rsidRPr="00D14CAF" w:rsidRDefault="001C2F95" w:rsidP="001C2F95">
      <w:pPr>
        <w:rPr>
          <w:sz w:val="22"/>
        </w:rPr>
      </w:pPr>
      <w:r w:rsidRPr="00D14CAF">
        <w:rPr>
          <w:sz w:val="22"/>
        </w:rPr>
        <w:t>Aucun Employé et apprenant de l’Entreprise, ses sous-traitants ainsi que ses partenaires sécuritaires et autres ne doivent subir ou faire subir des agissements répétés de harcèlement moral ayant pour objet ou effet une dégradation des conditions de travail susceptibles de porter atteinte aux droits et à la dignité, d’altérer sa santé physique ou compromettre son avenir professionnel.</w:t>
      </w:r>
    </w:p>
    <w:p w14:paraId="67CF4F5B" w14:textId="77777777" w:rsidR="001C2F95" w:rsidRPr="00D14CAF" w:rsidRDefault="001C2F95" w:rsidP="001C2F95">
      <w:pPr>
        <w:rPr>
          <w:sz w:val="22"/>
        </w:rPr>
      </w:pPr>
      <w:r w:rsidRPr="00D14CAF">
        <w:rPr>
          <w:sz w:val="22"/>
        </w:rPr>
        <w:t>Aucun salarié ne peut être sanctionné, licencié ou faire l’objet d’une mesure discriminatoire pour avoir subi ou refusé de subir les agissements définis ci-dessus ou pour avoir témoigné de tels agissements ou les avoir relatés.</w:t>
      </w:r>
    </w:p>
    <w:p w14:paraId="172452D1" w14:textId="77777777" w:rsidR="001C2F95" w:rsidRPr="00D14CAF" w:rsidRDefault="001C2F95" w:rsidP="001C2F95">
      <w:pPr>
        <w:rPr>
          <w:sz w:val="22"/>
        </w:rPr>
      </w:pPr>
    </w:p>
    <w:p w14:paraId="6789DFF5" w14:textId="77777777" w:rsidR="001C2F95" w:rsidRPr="00D14CAF" w:rsidRDefault="001C2F95" w:rsidP="001C2F95">
      <w:pPr>
        <w:rPr>
          <w:sz w:val="22"/>
        </w:rPr>
      </w:pPr>
      <w:r w:rsidRPr="00D14CAF">
        <w:rPr>
          <w:sz w:val="22"/>
        </w:rPr>
        <w:t>Est donc passible d’une sanction disciplinaire tout Employé et apprenant de l’Entreprise, ses sous-traitants ainsi que ses partenaires sécuritaires qui aura commis de tels actes répréhensibles.</w:t>
      </w:r>
    </w:p>
    <w:p w14:paraId="2F61B783" w14:textId="77777777" w:rsidR="001C2F95" w:rsidRPr="00D14CAF" w:rsidRDefault="001C2F95" w:rsidP="001C2F95">
      <w:pPr>
        <w:rPr>
          <w:sz w:val="22"/>
        </w:rPr>
      </w:pPr>
    </w:p>
    <w:p w14:paraId="52C9D995" w14:textId="77777777" w:rsidR="001C2F95" w:rsidRPr="00D14CAF" w:rsidRDefault="001C2F95" w:rsidP="001C2F95">
      <w:pPr>
        <w:pStyle w:val="Titre2"/>
        <w:numPr>
          <w:ilvl w:val="2"/>
          <w:numId w:val="4"/>
        </w:numPr>
        <w:ind w:left="1560" w:hanging="709"/>
        <w:rPr>
          <w:rFonts w:cs="Arial"/>
          <w:i/>
          <w:sz w:val="22"/>
          <w:szCs w:val="22"/>
        </w:rPr>
      </w:pPr>
      <w:bookmarkStart w:id="569" w:name="_Toc44626851"/>
      <w:bookmarkStart w:id="570" w:name="_Toc70330440"/>
      <w:r>
        <w:rPr>
          <w:rFonts w:cs="Arial"/>
          <w:i/>
          <w:sz w:val="22"/>
          <w:szCs w:val="22"/>
        </w:rPr>
        <w:t>V</w:t>
      </w:r>
      <w:r w:rsidRPr="00D14CAF">
        <w:rPr>
          <w:rFonts w:cs="Arial"/>
          <w:i/>
          <w:sz w:val="22"/>
          <w:szCs w:val="22"/>
        </w:rPr>
        <w:t>iolences physiques</w:t>
      </w:r>
      <w:bookmarkEnd w:id="569"/>
      <w:bookmarkEnd w:id="570"/>
    </w:p>
    <w:p w14:paraId="24ACFD6D" w14:textId="77777777" w:rsidR="001C2F95" w:rsidRPr="00D14CAF" w:rsidRDefault="001C2F95" w:rsidP="001C2F95">
      <w:pPr>
        <w:rPr>
          <w:sz w:val="22"/>
        </w:rPr>
      </w:pPr>
    </w:p>
    <w:p w14:paraId="1B82FF57" w14:textId="77777777" w:rsidR="001C2F95" w:rsidRPr="00D14CAF" w:rsidRDefault="001C2F95" w:rsidP="001C2F95">
      <w:pPr>
        <w:rPr>
          <w:sz w:val="22"/>
        </w:rPr>
      </w:pPr>
      <w:r w:rsidRPr="00D14CAF">
        <w:rPr>
          <w:sz w:val="22"/>
        </w:rPr>
        <w:t xml:space="preserve">Aucun Employé et apprenant de l’Entreprise, ses sous-traitants ainsi que ses partenaires sécuritaires et autres ne doivent subir ou faire subir des violences physiques, sous toutes ses formes, des voies de faits, des coups et blessures volontaires, des mutilations physiques à l’endroit de tout être humain ou ses biens personnels. </w:t>
      </w:r>
    </w:p>
    <w:p w14:paraId="0B8A5DB0" w14:textId="77777777" w:rsidR="001C2F95" w:rsidRPr="00D14CAF" w:rsidRDefault="001C2F95" w:rsidP="001C2F95"/>
    <w:p w14:paraId="5638DB70" w14:textId="77777777" w:rsidR="001C2F95" w:rsidRPr="00D14CAF" w:rsidRDefault="001C2F95" w:rsidP="001C2F95">
      <w:pPr>
        <w:pStyle w:val="Titre2"/>
        <w:numPr>
          <w:ilvl w:val="2"/>
          <w:numId w:val="4"/>
        </w:numPr>
        <w:ind w:left="1560" w:hanging="709"/>
        <w:rPr>
          <w:rFonts w:cs="Arial"/>
          <w:i/>
          <w:sz w:val="22"/>
          <w:szCs w:val="22"/>
        </w:rPr>
      </w:pPr>
      <w:bookmarkStart w:id="571" w:name="_Toc44626852"/>
      <w:bookmarkStart w:id="572" w:name="_Toc70330441"/>
      <w:r>
        <w:rPr>
          <w:rFonts w:cs="Arial"/>
          <w:i/>
          <w:sz w:val="22"/>
          <w:szCs w:val="22"/>
        </w:rPr>
        <w:t>P</w:t>
      </w:r>
      <w:r w:rsidRPr="00D14CAF">
        <w:rPr>
          <w:rFonts w:cs="Arial"/>
          <w:i/>
          <w:sz w:val="22"/>
          <w:szCs w:val="22"/>
        </w:rPr>
        <w:t>roxénétisme, harcèlement et violences sexuels et pédophilie</w:t>
      </w:r>
      <w:bookmarkEnd w:id="571"/>
      <w:bookmarkEnd w:id="572"/>
    </w:p>
    <w:p w14:paraId="5E4741DC" w14:textId="77777777" w:rsidR="001C2F95" w:rsidRPr="00D14CAF" w:rsidRDefault="001C2F95" w:rsidP="001C2F95">
      <w:pPr>
        <w:rPr>
          <w:sz w:val="22"/>
        </w:rPr>
      </w:pPr>
    </w:p>
    <w:p w14:paraId="6EB67D85" w14:textId="77777777" w:rsidR="001C2F95" w:rsidRPr="00D14CAF" w:rsidRDefault="001C2F95" w:rsidP="001C2F95">
      <w:pPr>
        <w:rPr>
          <w:sz w:val="22"/>
        </w:rPr>
      </w:pPr>
      <w:r w:rsidRPr="00D14CAF">
        <w:rPr>
          <w:sz w:val="22"/>
        </w:rPr>
        <w:t>Conformément aux textes nationaux, régionaux et internationaux sur le proxénétisme, le harcèlement et les violences sexuelles contre les femmes, la pédophilie et le respect des us et coutumes des populations et des relations humaines d’une manière générale, tout acte de proxénétisme, harcèlement, abus, violences sexuelles (violences basées sur le genre</w:t>
      </w:r>
      <w:r>
        <w:rPr>
          <w:sz w:val="22"/>
        </w:rPr>
        <w:t xml:space="preserve"> </w:t>
      </w:r>
      <w:r w:rsidRPr="00D14CAF">
        <w:rPr>
          <w:sz w:val="22"/>
        </w:rPr>
        <w:t>/</w:t>
      </w:r>
      <w:r>
        <w:rPr>
          <w:sz w:val="22"/>
        </w:rPr>
        <w:t xml:space="preserve"> </w:t>
      </w:r>
      <w:r w:rsidRPr="00D14CAF">
        <w:rPr>
          <w:sz w:val="22"/>
        </w:rPr>
        <w:t xml:space="preserve">VBG), pédophilie (cfr : </w:t>
      </w:r>
      <w:r w:rsidRPr="00421CBB">
        <w:rPr>
          <w:i/>
          <w:sz w:val="22"/>
        </w:rPr>
        <w:t>(i)</w:t>
      </w:r>
      <w:r w:rsidRPr="00D14CAF">
        <w:rPr>
          <w:sz w:val="22"/>
        </w:rPr>
        <w:t xml:space="preserve"> Résolution 48/104 des Nations Unies relative à la déclaration sur l’élimination des violences contre les femmes et (</w:t>
      </w:r>
      <w:r w:rsidRPr="00421CBB">
        <w:rPr>
          <w:i/>
          <w:sz w:val="22"/>
        </w:rPr>
        <w:t>ii)</w:t>
      </w:r>
      <w:r w:rsidRPr="00D14CAF">
        <w:rPr>
          <w:sz w:val="22"/>
        </w:rPr>
        <w:t xml:space="preserve"> Résolution 2011/33 sur la prévention, la protection et la coopération internationale contre l’utilisation des nouvelles technologies d’information pour abuser et/ou exploiter les enfants) sera immédiatement sanctionné par un licenciement dès la première constatation de la faute, avec transmission des éléments caractéristiques de la faute pour les poursuites judiciaires par l’autorité publique compétente s’il y a échec.</w:t>
      </w:r>
    </w:p>
    <w:p w14:paraId="69FA4708" w14:textId="77777777" w:rsidR="0095172D" w:rsidRPr="00D14CAF" w:rsidRDefault="0095172D" w:rsidP="001C2F95">
      <w:pPr>
        <w:rPr>
          <w:sz w:val="22"/>
        </w:rPr>
      </w:pPr>
    </w:p>
    <w:p w14:paraId="4183F784" w14:textId="77777777" w:rsidR="001C2F95" w:rsidRPr="00D14CAF" w:rsidRDefault="001C2F95" w:rsidP="001C2F95">
      <w:pPr>
        <w:pStyle w:val="Titre2"/>
        <w:numPr>
          <w:ilvl w:val="2"/>
          <w:numId w:val="4"/>
        </w:numPr>
        <w:ind w:left="1560" w:hanging="709"/>
        <w:rPr>
          <w:rFonts w:cs="Arial"/>
          <w:i/>
          <w:sz w:val="22"/>
          <w:szCs w:val="22"/>
        </w:rPr>
      </w:pPr>
      <w:bookmarkStart w:id="573" w:name="_Toc44626853"/>
      <w:bookmarkStart w:id="574" w:name="_Toc70330442"/>
      <w:r>
        <w:rPr>
          <w:rFonts w:cs="Arial"/>
          <w:i/>
          <w:sz w:val="22"/>
          <w:szCs w:val="22"/>
        </w:rPr>
        <w:t>E</w:t>
      </w:r>
      <w:r w:rsidRPr="00D14CAF">
        <w:rPr>
          <w:rFonts w:cs="Arial"/>
          <w:i/>
          <w:sz w:val="22"/>
          <w:szCs w:val="22"/>
        </w:rPr>
        <w:t>xploitation des enfants</w:t>
      </w:r>
      <w:bookmarkEnd w:id="573"/>
      <w:bookmarkEnd w:id="574"/>
    </w:p>
    <w:p w14:paraId="7EBB5539" w14:textId="77777777" w:rsidR="001C2F95" w:rsidRPr="00D14CAF" w:rsidRDefault="001C2F95" w:rsidP="001C2F95">
      <w:pPr>
        <w:rPr>
          <w:sz w:val="22"/>
        </w:rPr>
      </w:pPr>
    </w:p>
    <w:p w14:paraId="73C1567A" w14:textId="77777777" w:rsidR="001C2F95" w:rsidRDefault="001C2F95" w:rsidP="001C2F95">
      <w:pPr>
        <w:rPr>
          <w:sz w:val="22"/>
        </w:rPr>
      </w:pPr>
      <w:r w:rsidRPr="00D14CAF">
        <w:rPr>
          <w:sz w:val="22"/>
        </w:rPr>
        <w:t xml:space="preserve">Conformément aux textes nationaux, régionaux, et internationaux : </w:t>
      </w:r>
      <w:r w:rsidRPr="00421CBB">
        <w:rPr>
          <w:i/>
          <w:sz w:val="22"/>
        </w:rPr>
        <w:t>(i)</w:t>
      </w:r>
      <w:r w:rsidRPr="00D14CAF">
        <w:rPr>
          <w:sz w:val="22"/>
        </w:rPr>
        <w:t xml:space="preserve"> Résolution 2011/33 sur la prévention, la protection et la coopération internationale contre l’utilisation des nouvelles technologies d’information pour abuser et/ou exploiter les enfants et </w:t>
      </w:r>
      <w:r w:rsidRPr="00421CBB">
        <w:rPr>
          <w:i/>
          <w:sz w:val="22"/>
        </w:rPr>
        <w:t>(ii)</w:t>
      </w:r>
      <w:r w:rsidRPr="00D14CAF">
        <w:rPr>
          <w:sz w:val="22"/>
        </w:rPr>
        <w:t xml:space="preserve"> Résolution 44/25 du 20 novembre 1989 sur les droits des enfants), l’emploi et l’exploitation des enfants sont strictement interdits au sein de l’entreprise.</w:t>
      </w:r>
      <w:r>
        <w:rPr>
          <w:sz w:val="22"/>
        </w:rPr>
        <w:t xml:space="preserve"> Il sied de noter que le PNDA n’emploiera que les enfants ou jeunes ayant atteint l’âge de 18 ans révolus conformément à la législation sociale nationale de la RDC qui établit l’âge de la majorité à 18 ans. En outre, le PNDA ne fera pas</w:t>
      </w:r>
      <w:r w:rsidRPr="00822EE9">
        <w:rPr>
          <w:sz w:val="22"/>
        </w:rPr>
        <w:t xml:space="preserve"> recours à toute forme de travail </w:t>
      </w:r>
      <w:r>
        <w:rPr>
          <w:sz w:val="22"/>
        </w:rPr>
        <w:t>forcé.</w:t>
      </w:r>
    </w:p>
    <w:p w14:paraId="5B1F8061" w14:textId="77777777" w:rsidR="001C2F95" w:rsidRDefault="001C2F95" w:rsidP="001C2F95">
      <w:pPr>
        <w:rPr>
          <w:sz w:val="22"/>
        </w:rPr>
      </w:pPr>
    </w:p>
    <w:p w14:paraId="628CDF08" w14:textId="77777777" w:rsidR="001C2F95" w:rsidRPr="006B51C8" w:rsidRDefault="001C2F95" w:rsidP="001C2F95">
      <w:pPr>
        <w:pStyle w:val="Titre2"/>
        <w:numPr>
          <w:ilvl w:val="2"/>
          <w:numId w:val="4"/>
        </w:numPr>
        <w:ind w:left="1560" w:hanging="709"/>
        <w:rPr>
          <w:rFonts w:cs="Arial"/>
          <w:i/>
          <w:sz w:val="22"/>
          <w:szCs w:val="22"/>
        </w:rPr>
      </w:pPr>
      <w:bookmarkStart w:id="575" w:name="_Toc44626854"/>
      <w:bookmarkStart w:id="576" w:name="_Toc70330443"/>
      <w:r>
        <w:rPr>
          <w:rFonts w:cs="Arial"/>
          <w:i/>
          <w:sz w:val="22"/>
          <w:szCs w:val="22"/>
        </w:rPr>
        <w:t>R</w:t>
      </w:r>
      <w:r w:rsidRPr="006B51C8">
        <w:rPr>
          <w:rFonts w:cs="Arial"/>
          <w:i/>
          <w:sz w:val="22"/>
          <w:szCs w:val="22"/>
        </w:rPr>
        <w:t xml:space="preserve">ecours au personnel de sécurité </w:t>
      </w:r>
      <w:r>
        <w:rPr>
          <w:rFonts w:cs="Arial"/>
          <w:i/>
          <w:sz w:val="22"/>
          <w:szCs w:val="22"/>
        </w:rPr>
        <w:t xml:space="preserve">pour la protection du </w:t>
      </w:r>
      <w:r w:rsidRPr="006B51C8">
        <w:rPr>
          <w:rFonts w:cs="Arial"/>
          <w:i/>
          <w:sz w:val="22"/>
          <w:szCs w:val="22"/>
        </w:rPr>
        <w:t>chantier</w:t>
      </w:r>
      <w:bookmarkEnd w:id="575"/>
      <w:bookmarkEnd w:id="576"/>
    </w:p>
    <w:p w14:paraId="51550EEC" w14:textId="77777777" w:rsidR="001C2F95" w:rsidRDefault="001C2F95" w:rsidP="001C2F95">
      <w:pPr>
        <w:rPr>
          <w:sz w:val="22"/>
        </w:rPr>
      </w:pPr>
    </w:p>
    <w:p w14:paraId="472A457B" w14:textId="77777777" w:rsidR="001C2F95" w:rsidRPr="00D077CC" w:rsidRDefault="001C2F95" w:rsidP="001C2F95">
      <w:pPr>
        <w:rPr>
          <w:sz w:val="22"/>
        </w:rPr>
      </w:pPr>
      <w:r w:rsidRPr="00464195">
        <w:rPr>
          <w:sz w:val="22"/>
        </w:rPr>
        <w:t xml:space="preserve">Pendant tout </w:t>
      </w:r>
      <w:r>
        <w:rPr>
          <w:sz w:val="22"/>
        </w:rPr>
        <w:t>le cycle du Projet, le PNDA va</w:t>
      </w:r>
      <w:r w:rsidRPr="00464195">
        <w:rPr>
          <w:sz w:val="22"/>
        </w:rPr>
        <w:t xml:space="preserve"> évalue</w:t>
      </w:r>
      <w:r>
        <w:rPr>
          <w:sz w:val="22"/>
        </w:rPr>
        <w:t>r</w:t>
      </w:r>
      <w:r w:rsidRPr="00464195">
        <w:rPr>
          <w:sz w:val="22"/>
        </w:rPr>
        <w:t xml:space="preserve"> et atténue</w:t>
      </w:r>
      <w:r>
        <w:rPr>
          <w:sz w:val="22"/>
        </w:rPr>
        <w:t>r</w:t>
      </w:r>
      <w:r w:rsidRPr="00464195">
        <w:rPr>
          <w:sz w:val="22"/>
        </w:rPr>
        <w:t xml:space="preserve"> les menaces qui peuvent peser sur les travailleurs, les sites, les </w:t>
      </w:r>
      <w:r>
        <w:rPr>
          <w:sz w:val="22"/>
        </w:rPr>
        <w:t>biens et les activités du programme</w:t>
      </w:r>
      <w:r w:rsidRPr="00464195">
        <w:rPr>
          <w:sz w:val="22"/>
        </w:rPr>
        <w:t xml:space="preserve"> ainsi que sur les populations touchées. S’il est décidé d’engager du personnel de sécurité, les risques et effets pouvant résulter de cet engagement doivent alors être évalués et des mesures de gestion adoptées conformément à la hiérarchie d’atténuation.  Les agents de sécurité peuvent être privés (employés d’une société de sécurité privée) ou publics (police ou armée). Ils peuvent être engagés par le fournisseur ou le prestatai</w:t>
      </w:r>
      <w:r>
        <w:rPr>
          <w:sz w:val="22"/>
        </w:rPr>
        <w:t>re du Programme ou par le PNDA</w:t>
      </w:r>
      <w:r w:rsidRPr="00464195">
        <w:rPr>
          <w:sz w:val="22"/>
        </w:rPr>
        <w:t xml:space="preserve">. Leur présence peut présenter des risques et avoir des effets involontaires sur les travailleurs du </w:t>
      </w:r>
      <w:r>
        <w:rPr>
          <w:sz w:val="22"/>
        </w:rPr>
        <w:t>P</w:t>
      </w:r>
      <w:r w:rsidRPr="00464195">
        <w:rPr>
          <w:sz w:val="22"/>
        </w:rPr>
        <w:t>ro</w:t>
      </w:r>
      <w:r>
        <w:rPr>
          <w:sz w:val="22"/>
        </w:rPr>
        <w:t>gramme</w:t>
      </w:r>
      <w:r w:rsidRPr="00464195">
        <w:rPr>
          <w:sz w:val="22"/>
        </w:rPr>
        <w:t xml:space="preserve"> et les populations locales. Par exemple, les rapports que le personnel de sécurité entretient avec les populations et les travailleurs du </w:t>
      </w:r>
      <w:r>
        <w:rPr>
          <w:sz w:val="22"/>
        </w:rPr>
        <w:t>P</w:t>
      </w:r>
      <w:r w:rsidRPr="00464195">
        <w:rPr>
          <w:sz w:val="22"/>
        </w:rPr>
        <w:t>rojet peuvent être perçus comme menaçants par ces derniers et peuvent être source de confl</w:t>
      </w:r>
      <w:r>
        <w:rPr>
          <w:sz w:val="22"/>
        </w:rPr>
        <w:t>its. Un c</w:t>
      </w:r>
      <w:r w:rsidRPr="00464195">
        <w:rPr>
          <w:sz w:val="22"/>
        </w:rPr>
        <w:t xml:space="preserve">ode de conduite clair pour les travailleurs du </w:t>
      </w:r>
      <w:r>
        <w:rPr>
          <w:sz w:val="22"/>
        </w:rPr>
        <w:t>P</w:t>
      </w:r>
      <w:r w:rsidRPr="00464195">
        <w:rPr>
          <w:sz w:val="22"/>
        </w:rPr>
        <w:t xml:space="preserve">rojet, dont le personnel de sécurité, peut aider à réduire ce risque en précisant ce qui constitue un comportement inacceptable. </w:t>
      </w:r>
      <w:r>
        <w:rPr>
          <w:sz w:val="22"/>
        </w:rPr>
        <w:t xml:space="preserve">Ce code </w:t>
      </w:r>
      <w:r>
        <w:rPr>
          <w:rFonts w:cs="Arial"/>
          <w:sz w:val="22"/>
        </w:rPr>
        <w:t>pour le personnel de sécurité devrait aussi interdire précisément toute forme d’abus ou de violences, y compris l’EAS/HS, et établir des sanctions applicables pour les infractions.</w:t>
      </w:r>
      <w:r w:rsidRPr="00464195">
        <w:rPr>
          <w:sz w:val="22"/>
        </w:rPr>
        <w:t xml:space="preserve"> Par ailleurs, un accord contraignant avec le personnel de sécurité devra notamment prévoir que l’usage de la force est toujours proportionnel à la nature de l’incident</w:t>
      </w:r>
      <w:r>
        <w:rPr>
          <w:sz w:val="22"/>
        </w:rPr>
        <w:t xml:space="preserve"> et devra aussi interdire toute forme d’abus ou de violences, y compris l’EAS, le HS, et les VCE</w:t>
      </w:r>
      <w:r w:rsidRPr="00464195">
        <w:rPr>
          <w:sz w:val="22"/>
        </w:rPr>
        <w:t>.</w:t>
      </w:r>
    </w:p>
    <w:p w14:paraId="3BB8600B" w14:textId="77777777" w:rsidR="001C2F95" w:rsidRDefault="001C2F95" w:rsidP="001C2F95">
      <w:pPr>
        <w:rPr>
          <w:rFonts w:cs="Arial"/>
          <w:sz w:val="22"/>
        </w:rPr>
      </w:pPr>
    </w:p>
    <w:p w14:paraId="2B49501A" w14:textId="77777777" w:rsidR="001C2F95" w:rsidRDefault="001C2F95" w:rsidP="001C2F95">
      <w:pPr>
        <w:rPr>
          <w:rFonts w:cs="Arial"/>
          <w:sz w:val="22"/>
        </w:rPr>
      </w:pPr>
      <w:r w:rsidRPr="00972705">
        <w:rPr>
          <w:rFonts w:cs="Arial"/>
          <w:sz w:val="22"/>
        </w:rPr>
        <w:t xml:space="preserve">L’Emprunteur est responsable de l’évaluation des risques pour la sécurité du </w:t>
      </w:r>
      <w:r>
        <w:rPr>
          <w:rFonts w:cs="Arial"/>
          <w:sz w:val="22"/>
        </w:rPr>
        <w:t>P</w:t>
      </w:r>
      <w:r w:rsidRPr="00972705">
        <w:rPr>
          <w:rFonts w:cs="Arial"/>
          <w:sz w:val="22"/>
        </w:rPr>
        <w:t>ro</w:t>
      </w:r>
      <w:r>
        <w:rPr>
          <w:rFonts w:cs="Arial"/>
          <w:sz w:val="22"/>
        </w:rPr>
        <w:t>gramme</w:t>
      </w:r>
      <w:r w:rsidRPr="00972705">
        <w:rPr>
          <w:rFonts w:cs="Arial"/>
          <w:sz w:val="22"/>
        </w:rPr>
        <w:t xml:space="preserve">, y compris des travailleurs, des biens et des activités qui y sont liés. Cette évaluation des risques liés à la sécurité fait traditionnellement partie de l’Étude d’impact environnemental et social et permet de déterminer le niveau de sécurité nécessaire au </w:t>
      </w:r>
      <w:r>
        <w:rPr>
          <w:rFonts w:cs="Arial"/>
          <w:sz w:val="22"/>
        </w:rPr>
        <w:t>P</w:t>
      </w:r>
      <w:r w:rsidRPr="00972705">
        <w:rPr>
          <w:rFonts w:cs="Arial"/>
          <w:sz w:val="22"/>
        </w:rPr>
        <w:t>ro</w:t>
      </w:r>
      <w:r>
        <w:rPr>
          <w:rFonts w:cs="Arial"/>
          <w:sz w:val="22"/>
        </w:rPr>
        <w:t>gramme</w:t>
      </w:r>
      <w:r w:rsidRPr="00972705">
        <w:rPr>
          <w:rFonts w:cs="Arial"/>
          <w:sz w:val="22"/>
        </w:rPr>
        <w:t xml:space="preserve">. </w:t>
      </w:r>
    </w:p>
    <w:p w14:paraId="3692C193" w14:textId="77777777" w:rsidR="001C2F95" w:rsidRDefault="001C2F95" w:rsidP="001C2F95">
      <w:pPr>
        <w:rPr>
          <w:rFonts w:cs="Arial"/>
          <w:sz w:val="22"/>
        </w:rPr>
      </w:pPr>
    </w:p>
    <w:p w14:paraId="3718ECDC" w14:textId="77777777" w:rsidR="001C2F95" w:rsidRDefault="001C2F95" w:rsidP="001C2F95">
      <w:pPr>
        <w:rPr>
          <w:rFonts w:cs="Arial"/>
          <w:sz w:val="22"/>
        </w:rPr>
      </w:pPr>
      <w:r w:rsidRPr="00972705">
        <w:rPr>
          <w:rFonts w:cs="Arial"/>
          <w:sz w:val="22"/>
        </w:rPr>
        <w:t>Lorsque ces risques sont jugés faibles, les dispositifs de sécurité pourraient comporter des mesures simples telles que des clôtures ou des panneaux de</w:t>
      </w:r>
      <w:r>
        <w:rPr>
          <w:rFonts w:cs="Arial"/>
          <w:sz w:val="22"/>
        </w:rPr>
        <w:t xml:space="preserve"> </w:t>
      </w:r>
      <w:r w:rsidRPr="00972705">
        <w:rPr>
          <w:rFonts w:cs="Arial"/>
          <w:sz w:val="22"/>
        </w:rPr>
        <w:t xml:space="preserve">signalisation et des gardiens de nuit. Lorsque ces risques sont jugés plus importants, l’Emprunteur et/ou les fournisseurs et prestataires peuvent décider de faire appel à des services de sécurité privés ou de travailler avec du personnel de sécurité public pour assurer la protection nécessaire. Là où le risque est très élevé, notamment dans les contextes de fragilité, de conflit et de violence (FCV), l’Emprunteur aura plutôt tendance à se tourner vers la force publique.  </w:t>
      </w:r>
    </w:p>
    <w:p w14:paraId="52438033" w14:textId="77777777" w:rsidR="001C2F95" w:rsidRDefault="001C2F95" w:rsidP="001C2F95">
      <w:pPr>
        <w:rPr>
          <w:rFonts w:cs="Arial"/>
          <w:sz w:val="22"/>
        </w:rPr>
      </w:pPr>
    </w:p>
    <w:p w14:paraId="0299FAEC" w14:textId="77777777" w:rsidR="001C2F95" w:rsidRPr="00972705" w:rsidRDefault="001C2F95" w:rsidP="001C2F95">
      <w:pPr>
        <w:rPr>
          <w:rFonts w:cs="Arial"/>
          <w:sz w:val="22"/>
        </w:rPr>
      </w:pPr>
      <w:r>
        <w:rPr>
          <w:rFonts w:cs="Arial"/>
          <w:sz w:val="22"/>
        </w:rPr>
        <w:t>Une fois que le PNDA</w:t>
      </w:r>
      <w:r w:rsidRPr="00972705">
        <w:rPr>
          <w:rFonts w:cs="Arial"/>
          <w:sz w:val="22"/>
        </w:rPr>
        <w:t xml:space="preserve"> et/ou le fournisseur ou prestataire a/ont décidé qu’il fa</w:t>
      </w:r>
      <w:r>
        <w:rPr>
          <w:rFonts w:cs="Arial"/>
          <w:sz w:val="22"/>
        </w:rPr>
        <w:t>i</w:t>
      </w:r>
      <w:r w:rsidRPr="00972705">
        <w:rPr>
          <w:rFonts w:cs="Arial"/>
          <w:sz w:val="22"/>
        </w:rPr>
        <w:t>ll</w:t>
      </w:r>
      <w:r>
        <w:rPr>
          <w:rFonts w:cs="Arial"/>
          <w:sz w:val="22"/>
        </w:rPr>
        <w:t>e</w:t>
      </w:r>
      <w:r w:rsidRPr="00972705">
        <w:rPr>
          <w:rFonts w:cs="Arial"/>
          <w:sz w:val="22"/>
        </w:rPr>
        <w:t xml:space="preserve"> engager du personnel de sécurité pour protéger les travailleurs, les sites, les biens ou les activités du </w:t>
      </w:r>
      <w:r>
        <w:rPr>
          <w:rFonts w:cs="Arial"/>
          <w:sz w:val="22"/>
        </w:rPr>
        <w:t>P</w:t>
      </w:r>
      <w:r w:rsidRPr="00972705">
        <w:rPr>
          <w:rFonts w:cs="Arial"/>
          <w:sz w:val="22"/>
        </w:rPr>
        <w:t xml:space="preserve">rojet, l’Emprunteur évalue les risques et les effets que cet engagement pourrait présenter pour la sécurité humaine. L’envergure et le champ de l’ERS seront largement fonction du contexte du </w:t>
      </w:r>
      <w:r>
        <w:rPr>
          <w:rFonts w:cs="Arial"/>
          <w:sz w:val="22"/>
        </w:rPr>
        <w:t>P</w:t>
      </w:r>
      <w:r w:rsidRPr="00972705">
        <w:rPr>
          <w:rFonts w:cs="Arial"/>
          <w:sz w:val="22"/>
        </w:rPr>
        <w:t xml:space="preserve">rojet.  Selon la gravité et la complexité des risques pour la sécurité, l’Emprunteur devrait préparer un Plan de </w:t>
      </w:r>
      <w:r>
        <w:rPr>
          <w:rFonts w:cs="Arial"/>
          <w:sz w:val="22"/>
        </w:rPr>
        <w:t>G</w:t>
      </w:r>
      <w:r w:rsidRPr="00972705">
        <w:rPr>
          <w:rFonts w:cs="Arial"/>
          <w:sz w:val="22"/>
        </w:rPr>
        <w:t xml:space="preserve">estion de la </w:t>
      </w:r>
      <w:r>
        <w:rPr>
          <w:rFonts w:cs="Arial"/>
          <w:sz w:val="22"/>
        </w:rPr>
        <w:t>S</w:t>
      </w:r>
      <w:r w:rsidRPr="00972705">
        <w:rPr>
          <w:rFonts w:cs="Arial"/>
          <w:sz w:val="22"/>
        </w:rPr>
        <w:t>écurité distinct et/ou s’assurer que les éléments clés de l’évaluation et du dispositif sécuritaires sont repris dans le Plan d’</w:t>
      </w:r>
      <w:r>
        <w:rPr>
          <w:rFonts w:cs="Arial"/>
          <w:sz w:val="22"/>
        </w:rPr>
        <w:t>E</w:t>
      </w:r>
      <w:r w:rsidRPr="00972705">
        <w:rPr>
          <w:rFonts w:cs="Arial"/>
          <w:sz w:val="22"/>
        </w:rPr>
        <w:t xml:space="preserve">ngagement </w:t>
      </w:r>
      <w:r>
        <w:rPr>
          <w:rFonts w:cs="Arial"/>
          <w:sz w:val="22"/>
        </w:rPr>
        <w:t>E</w:t>
      </w:r>
      <w:r w:rsidRPr="00972705">
        <w:rPr>
          <w:rFonts w:cs="Arial"/>
          <w:sz w:val="22"/>
        </w:rPr>
        <w:t xml:space="preserve">nvironnemental et </w:t>
      </w:r>
      <w:r>
        <w:rPr>
          <w:rFonts w:cs="Arial"/>
          <w:sz w:val="22"/>
        </w:rPr>
        <w:t>S</w:t>
      </w:r>
      <w:r w:rsidRPr="00972705">
        <w:rPr>
          <w:rFonts w:cs="Arial"/>
          <w:sz w:val="22"/>
        </w:rPr>
        <w:t xml:space="preserve">ocial pour le </w:t>
      </w:r>
      <w:r>
        <w:rPr>
          <w:rFonts w:cs="Arial"/>
          <w:sz w:val="22"/>
        </w:rPr>
        <w:t>P</w:t>
      </w:r>
      <w:r w:rsidRPr="00972705">
        <w:rPr>
          <w:rFonts w:cs="Arial"/>
          <w:sz w:val="22"/>
        </w:rPr>
        <w:t xml:space="preserve">rojet. Il s’agit notamment des mesures d’atténuation qui visent à gérer les risques que le recours à du personnel de sécurité pourrait faire peser sur la sécurité des travailleurs du </w:t>
      </w:r>
      <w:r>
        <w:rPr>
          <w:rFonts w:cs="Arial"/>
          <w:sz w:val="22"/>
        </w:rPr>
        <w:t>P</w:t>
      </w:r>
      <w:r w:rsidRPr="00972705">
        <w:rPr>
          <w:rFonts w:cs="Arial"/>
          <w:sz w:val="22"/>
        </w:rPr>
        <w:t>rojet et des populations touchées par ses activités. Les mesures de sécurité qui ont des effets positifs sur la sécurité ou réduisent les effets négatifs peuvent être étroitement liées à des investissements sociaux ou à d’autres mesures sociales d’atténuation</w:t>
      </w:r>
      <w:r>
        <w:rPr>
          <w:rStyle w:val="Appelnotedebasdep"/>
          <w:rFonts w:cs="Arial"/>
          <w:sz w:val="22"/>
        </w:rPr>
        <w:footnoteReference w:id="20"/>
      </w:r>
      <w:r w:rsidRPr="00972705">
        <w:rPr>
          <w:rFonts w:cs="Arial"/>
          <w:sz w:val="22"/>
        </w:rPr>
        <w:t>.</w:t>
      </w:r>
    </w:p>
    <w:p w14:paraId="683BF3C4" w14:textId="77777777" w:rsidR="001C2F95" w:rsidRDefault="001C2F95" w:rsidP="001C2F95">
      <w:pPr>
        <w:rPr>
          <w:rFonts w:cs="Arial"/>
          <w:sz w:val="22"/>
        </w:rPr>
      </w:pPr>
    </w:p>
    <w:p w14:paraId="5F03A3B5" w14:textId="77777777" w:rsidR="001C2F95" w:rsidRPr="008F3FEB" w:rsidRDefault="001C2F95" w:rsidP="001C2F95">
      <w:pPr>
        <w:pStyle w:val="Titre2"/>
        <w:numPr>
          <w:ilvl w:val="2"/>
          <w:numId w:val="4"/>
        </w:numPr>
        <w:ind w:left="1560" w:hanging="709"/>
        <w:rPr>
          <w:rFonts w:cs="Arial"/>
          <w:i/>
          <w:sz w:val="22"/>
          <w:szCs w:val="22"/>
        </w:rPr>
      </w:pPr>
      <w:bookmarkStart w:id="577" w:name="_Toc44626855"/>
      <w:bookmarkStart w:id="578" w:name="_Toc70330444"/>
      <w:r w:rsidRPr="008F3FEB">
        <w:rPr>
          <w:rFonts w:cs="Arial"/>
          <w:i/>
          <w:sz w:val="22"/>
          <w:szCs w:val="22"/>
        </w:rPr>
        <w:t>Clauses environnementales et sociales pour les travaux</w:t>
      </w:r>
      <w:bookmarkEnd w:id="577"/>
      <w:bookmarkEnd w:id="578"/>
    </w:p>
    <w:p w14:paraId="29AC511D" w14:textId="77777777" w:rsidR="001C2F95" w:rsidRPr="008F3FEB" w:rsidRDefault="001C2F95" w:rsidP="001C2F95">
      <w:pPr>
        <w:rPr>
          <w:rFonts w:cs="Arial"/>
          <w:sz w:val="22"/>
        </w:rPr>
      </w:pPr>
    </w:p>
    <w:p w14:paraId="52B090C3" w14:textId="77777777" w:rsidR="001C2F95" w:rsidRPr="00421CBB" w:rsidRDefault="001C2F95" w:rsidP="001C2F95">
      <w:pPr>
        <w:rPr>
          <w:rFonts w:cs="Arial"/>
          <w:sz w:val="22"/>
        </w:rPr>
      </w:pPr>
      <w:r w:rsidRPr="008F3FEB">
        <w:rPr>
          <w:rFonts w:cs="Arial"/>
          <w:sz w:val="22"/>
        </w:rPr>
        <w:t>Les clauses environnementales et sociales sont destinées à aider dans la rédaction de</w:t>
      </w:r>
      <w:r>
        <w:rPr>
          <w:rFonts w:cs="Arial"/>
          <w:sz w:val="22"/>
        </w:rPr>
        <w:t>s</w:t>
      </w:r>
      <w:r w:rsidRPr="008F3FEB">
        <w:rPr>
          <w:rFonts w:cs="Arial"/>
          <w:sz w:val="22"/>
        </w:rPr>
        <w:t xml:space="preserve"> dossiers d’appels d’offres et des marchés d’exécution des travaux, afin qu’elles puissent intégrer dans ces documents des </w:t>
      </w:r>
      <w:r w:rsidRPr="00421CBB">
        <w:rPr>
          <w:rFonts w:cs="Arial"/>
          <w:sz w:val="22"/>
        </w:rPr>
        <w:t xml:space="preserve">prescriptions permettant d’optimiser la protection de l’environnement et du milieu socio-économique.  Les clauses sont développées en détail dans </w:t>
      </w:r>
      <w:r w:rsidRPr="00154F5E">
        <w:rPr>
          <w:rFonts w:cs="Arial"/>
          <w:sz w:val="22"/>
        </w:rPr>
        <w:t>l’Annexe 3 du</w:t>
      </w:r>
      <w:r w:rsidRPr="00421CBB">
        <w:rPr>
          <w:rFonts w:cs="Arial"/>
          <w:sz w:val="22"/>
        </w:rPr>
        <w:t xml:space="preserve"> présent CGES.</w:t>
      </w:r>
    </w:p>
    <w:p w14:paraId="5AAE70C4" w14:textId="77777777" w:rsidR="001C2F95" w:rsidRPr="00421CBB" w:rsidRDefault="001C2F95" w:rsidP="001C2F95">
      <w:pPr>
        <w:rPr>
          <w:rFonts w:cs="Arial"/>
          <w:sz w:val="22"/>
        </w:rPr>
      </w:pPr>
    </w:p>
    <w:p w14:paraId="7128E691" w14:textId="77777777" w:rsidR="001C2F95" w:rsidRDefault="001C2F95" w:rsidP="001C2F95">
      <w:pPr>
        <w:rPr>
          <w:rFonts w:cs="Arial"/>
          <w:sz w:val="22"/>
        </w:rPr>
      </w:pPr>
      <w:r>
        <w:rPr>
          <w:rFonts w:cs="Arial"/>
          <w:sz w:val="22"/>
        </w:rPr>
        <w:br w:type="page"/>
      </w:r>
    </w:p>
    <w:p w14:paraId="492240EF" w14:textId="77777777" w:rsidR="003C339D" w:rsidRPr="003C339D" w:rsidRDefault="003C339D" w:rsidP="00237F3D">
      <w:pPr>
        <w:pStyle w:val="Titre1"/>
        <w:numPr>
          <w:ilvl w:val="0"/>
          <w:numId w:val="4"/>
        </w:numPr>
        <w:ind w:left="567" w:hanging="283"/>
        <w:rPr>
          <w:rStyle w:val="Titre1CarCarCarCarCarCarCarCarCarCarCarCarCarCarCarCarCarCarCar"/>
          <w:b/>
          <w:bCs/>
          <w:sz w:val="22"/>
          <w:szCs w:val="22"/>
        </w:rPr>
      </w:pPr>
      <w:bookmarkStart w:id="579" w:name="_Toc64029670"/>
      <w:bookmarkStart w:id="580" w:name="_Toc70330445"/>
      <w:r w:rsidRPr="003C339D">
        <w:rPr>
          <w:rStyle w:val="Titre1CarCarCarCarCarCarCarCarCarCarCarCarCarCarCarCarCarCarCar"/>
          <w:b/>
          <w:sz w:val="22"/>
          <w:szCs w:val="22"/>
        </w:rPr>
        <w:t>PROCEDURES DE GESTION DES RISQUES ET IMPACTS ENVIRONNEMENTAUX ET SOCIAUX (PGRIES)</w:t>
      </w:r>
      <w:bookmarkEnd w:id="579"/>
      <w:bookmarkEnd w:id="580"/>
    </w:p>
    <w:p w14:paraId="4221FF32" w14:textId="77777777" w:rsidR="001C2F95" w:rsidRPr="00775E56" w:rsidRDefault="001C2F95" w:rsidP="001C2F95">
      <w:pPr>
        <w:rPr>
          <w:rFonts w:cs="Arial"/>
          <w:sz w:val="22"/>
        </w:rPr>
      </w:pPr>
    </w:p>
    <w:p w14:paraId="2D47E9FF" w14:textId="77777777" w:rsidR="003C339D" w:rsidRPr="009D47FC" w:rsidRDefault="003C339D" w:rsidP="003C339D">
      <w:pPr>
        <w:rPr>
          <w:sz w:val="22"/>
        </w:rPr>
      </w:pPr>
      <w:r w:rsidRPr="009D47FC">
        <w:rPr>
          <w:sz w:val="22"/>
        </w:rPr>
        <w:t>L’objectif du PGRIES est de (i) fournir des lignes directrices pour la préparation du PGES/EIES pour les sous-projets avec des risques plus élevés, (ii) des plans d’amélioration des impacts positifs, (iii) de décrire les modalités institutionnelles de chaque sous-projets, : (iv) l’opération et l’entretien des sous-projets, (v) la Méthodologie pour la préparation, l’approbation, et l’exécution et de suivi des sous-projets ; (vi) les procédures d'établissement de rapports, (vi)  le processus de préparation d’un CPR et un plan d’action VBG/EAS/HS (ii) le suivi et la mise en œuvre des mesures d’atténuation ; (Le PGRIES sera inclus dans le Manuel d’exécution du projet. Le PGRIES met l’accent sur les mesures d’atténuation des impacts qui résulteront de la mise en œuvre des activités du projet.</w:t>
      </w:r>
    </w:p>
    <w:p w14:paraId="3AE8A465" w14:textId="77777777" w:rsidR="001C2F95" w:rsidRPr="00775E56" w:rsidRDefault="001C2F95" w:rsidP="001C2F95">
      <w:pPr>
        <w:rPr>
          <w:rFonts w:cs="Arial"/>
          <w:sz w:val="22"/>
        </w:rPr>
      </w:pPr>
    </w:p>
    <w:p w14:paraId="09F7787B" w14:textId="77777777" w:rsidR="001C2F95" w:rsidRPr="00775E56" w:rsidRDefault="001C2F95" w:rsidP="001C2F95">
      <w:pPr>
        <w:pStyle w:val="Commentaire"/>
        <w:spacing w:line="276" w:lineRule="auto"/>
        <w:rPr>
          <w:rFonts w:cs="Arial"/>
          <w:sz w:val="22"/>
          <w:szCs w:val="22"/>
          <w:lang w:val="fr-FR"/>
        </w:rPr>
      </w:pPr>
      <w:r w:rsidRPr="00775E56">
        <w:rPr>
          <w:rFonts w:cs="Arial"/>
          <w:sz w:val="22"/>
          <w:szCs w:val="22"/>
          <w:lang w:val="fr-FR"/>
        </w:rPr>
        <w:t xml:space="preserve">En complément, </w:t>
      </w:r>
      <w:r>
        <w:rPr>
          <w:rFonts w:cs="Arial"/>
          <w:sz w:val="22"/>
          <w:szCs w:val="22"/>
          <w:lang w:val="fr-FR"/>
        </w:rPr>
        <w:t xml:space="preserve">un Plan d’action de prévention et réponse à l’EAS et au HS (Plan d’action EAS/HS) ainsi qu’un Plan d’action de réponse au </w:t>
      </w:r>
      <w:r w:rsidRPr="00775E56">
        <w:rPr>
          <w:rFonts w:cs="Arial"/>
          <w:sz w:val="22"/>
          <w:szCs w:val="22"/>
          <w:lang w:val="fr-FR"/>
        </w:rPr>
        <w:t xml:space="preserve">COVID-19 </w:t>
      </w:r>
      <w:r>
        <w:rPr>
          <w:rFonts w:cs="Arial"/>
          <w:sz w:val="22"/>
          <w:szCs w:val="22"/>
          <w:lang w:val="fr-FR"/>
        </w:rPr>
        <w:t>ont</w:t>
      </w:r>
      <w:r w:rsidRPr="00775E56">
        <w:rPr>
          <w:rFonts w:cs="Arial"/>
          <w:sz w:val="22"/>
          <w:szCs w:val="22"/>
          <w:lang w:val="fr-FR"/>
        </w:rPr>
        <w:t xml:space="preserve"> été développé</w:t>
      </w:r>
      <w:r>
        <w:rPr>
          <w:rFonts w:cs="Arial"/>
          <w:sz w:val="22"/>
          <w:szCs w:val="22"/>
          <w:lang w:val="fr-FR"/>
        </w:rPr>
        <w:t>s</w:t>
      </w:r>
      <w:r w:rsidRPr="00775E56">
        <w:rPr>
          <w:rFonts w:cs="Arial"/>
          <w:sz w:val="22"/>
          <w:szCs w:val="22"/>
          <w:lang w:val="fr-FR"/>
        </w:rPr>
        <w:t xml:space="preserve"> et inclus dans le PGES. </w:t>
      </w:r>
    </w:p>
    <w:p w14:paraId="75D5CC97" w14:textId="77777777" w:rsidR="001C2F95" w:rsidRPr="00775E56" w:rsidRDefault="001C2F95" w:rsidP="001C2F95">
      <w:pPr>
        <w:pStyle w:val="Commentaire"/>
        <w:spacing w:line="276" w:lineRule="auto"/>
        <w:rPr>
          <w:rFonts w:cs="Arial"/>
          <w:sz w:val="22"/>
          <w:szCs w:val="22"/>
          <w:lang w:val="fr-FR"/>
        </w:rPr>
      </w:pPr>
    </w:p>
    <w:p w14:paraId="2616A8C1" w14:textId="77777777" w:rsidR="001C2F95" w:rsidRDefault="001C2F95" w:rsidP="001C2F95">
      <w:pPr>
        <w:rPr>
          <w:rFonts w:cs="Arial"/>
          <w:bCs/>
          <w:sz w:val="22"/>
        </w:rPr>
      </w:pPr>
      <w:r w:rsidRPr="00775E56">
        <w:rPr>
          <w:rFonts w:cs="Arial"/>
          <w:bCs/>
          <w:sz w:val="22"/>
        </w:rPr>
        <w:t>Éléments clés :</w:t>
      </w:r>
    </w:p>
    <w:p w14:paraId="4E54BD2B" w14:textId="77777777" w:rsidR="00E31B78" w:rsidRPr="00775E56" w:rsidRDefault="00E31B78" w:rsidP="001C2F95">
      <w:pPr>
        <w:rPr>
          <w:rFonts w:cs="Arial"/>
          <w:bCs/>
          <w:sz w:val="22"/>
        </w:rPr>
      </w:pPr>
    </w:p>
    <w:p w14:paraId="23E9F849" w14:textId="77777777" w:rsidR="003C339D" w:rsidRPr="00E31B78" w:rsidRDefault="003C339D" w:rsidP="002378EA">
      <w:pPr>
        <w:pStyle w:val="Commentaire"/>
        <w:numPr>
          <w:ilvl w:val="0"/>
          <w:numId w:val="147"/>
        </w:numPr>
        <w:spacing w:line="276" w:lineRule="auto"/>
        <w:ind w:left="1134" w:hanging="425"/>
        <w:jc w:val="left"/>
        <w:rPr>
          <w:sz w:val="22"/>
          <w:szCs w:val="22"/>
          <w:lang w:val="fr-FR"/>
        </w:rPr>
      </w:pPr>
      <w:r w:rsidRPr="00E31B78">
        <w:rPr>
          <w:bCs/>
          <w:sz w:val="22"/>
          <w:szCs w:val="22"/>
          <w:lang w:val="fr-FR"/>
        </w:rPr>
        <w:t xml:space="preserve">Un </w:t>
      </w:r>
      <w:r w:rsidRPr="00E31B78">
        <w:rPr>
          <w:sz w:val="22"/>
          <w:szCs w:val="22"/>
          <w:lang w:val="fr-FR"/>
        </w:rPr>
        <w:t xml:space="preserve"> plan d’action VBG/EAS/HSdont les lignes plus importantes sont :</w:t>
      </w:r>
    </w:p>
    <w:p w14:paraId="61E6BDF1" w14:textId="77777777" w:rsidR="003C339D" w:rsidRPr="00E31B78" w:rsidRDefault="003C339D" w:rsidP="003C339D">
      <w:pPr>
        <w:pStyle w:val="Commentaire"/>
        <w:spacing w:line="276" w:lineRule="auto"/>
        <w:rPr>
          <w:sz w:val="22"/>
          <w:szCs w:val="22"/>
          <w:lang w:val="fr-FR"/>
        </w:rPr>
      </w:pPr>
    </w:p>
    <w:p w14:paraId="6C11B3F2" w14:textId="77777777" w:rsidR="003C339D" w:rsidRPr="009D47FC" w:rsidRDefault="003C339D" w:rsidP="002378EA">
      <w:pPr>
        <w:numPr>
          <w:ilvl w:val="0"/>
          <w:numId w:val="146"/>
        </w:numPr>
        <w:ind w:left="984"/>
        <w:rPr>
          <w:sz w:val="22"/>
        </w:rPr>
      </w:pPr>
      <w:r w:rsidRPr="009D47FC">
        <w:rPr>
          <w:b/>
          <w:bCs/>
          <w:sz w:val="22"/>
        </w:rPr>
        <w:t>Un outil clé pour la gestion des risques de violence basée sur le genre qui explique :</w:t>
      </w:r>
    </w:p>
    <w:p w14:paraId="7E312C3E" w14:textId="77777777" w:rsidR="003C339D" w:rsidRPr="009D47FC" w:rsidRDefault="003C339D" w:rsidP="002378EA">
      <w:pPr>
        <w:numPr>
          <w:ilvl w:val="0"/>
          <w:numId w:val="144"/>
        </w:numPr>
        <w:ind w:left="1247"/>
        <w:rPr>
          <w:sz w:val="22"/>
        </w:rPr>
      </w:pPr>
      <w:r w:rsidRPr="009D47FC">
        <w:rPr>
          <w:sz w:val="22"/>
        </w:rPr>
        <w:t>La manière dont le projet mettra en place les protocoles et mécanismes de lutte contre les risques de VBG/EAS/HS, et</w:t>
      </w:r>
    </w:p>
    <w:p w14:paraId="3F7B44EE" w14:textId="77777777" w:rsidR="003C339D" w:rsidRPr="009D47FC" w:rsidRDefault="003C339D" w:rsidP="002378EA">
      <w:pPr>
        <w:numPr>
          <w:ilvl w:val="0"/>
          <w:numId w:val="144"/>
        </w:numPr>
        <w:ind w:left="1247"/>
        <w:rPr>
          <w:sz w:val="22"/>
        </w:rPr>
      </w:pPr>
      <w:r w:rsidRPr="009D47FC">
        <w:rPr>
          <w:sz w:val="22"/>
        </w:rPr>
        <w:t>Le mode de résolution des cas de VBG/EAS/HS éventuels.</w:t>
      </w:r>
    </w:p>
    <w:p w14:paraId="7710226B" w14:textId="77777777" w:rsidR="003C339D" w:rsidRPr="009D47FC" w:rsidRDefault="003C339D" w:rsidP="003C339D">
      <w:pPr>
        <w:ind w:left="1247"/>
        <w:rPr>
          <w:sz w:val="22"/>
        </w:rPr>
      </w:pPr>
    </w:p>
    <w:p w14:paraId="41055968" w14:textId="77777777" w:rsidR="003C339D" w:rsidRPr="009D47FC" w:rsidRDefault="003C339D" w:rsidP="002378EA">
      <w:pPr>
        <w:numPr>
          <w:ilvl w:val="0"/>
          <w:numId w:val="146"/>
        </w:numPr>
        <w:ind w:left="984"/>
        <w:rPr>
          <w:sz w:val="22"/>
        </w:rPr>
      </w:pPr>
      <w:r w:rsidRPr="009D47FC">
        <w:rPr>
          <w:b/>
          <w:bCs/>
          <w:sz w:val="22"/>
        </w:rPr>
        <w:t>Des éléments clés :</w:t>
      </w:r>
    </w:p>
    <w:p w14:paraId="0543D269" w14:textId="77777777" w:rsidR="003C339D" w:rsidRPr="009D47FC" w:rsidRDefault="003C339D" w:rsidP="002378EA">
      <w:pPr>
        <w:numPr>
          <w:ilvl w:val="0"/>
          <w:numId w:val="145"/>
        </w:numPr>
        <w:ind w:left="1247"/>
        <w:rPr>
          <w:sz w:val="22"/>
        </w:rPr>
      </w:pPr>
      <w:r w:rsidRPr="009D47FC">
        <w:rPr>
          <w:sz w:val="22"/>
        </w:rPr>
        <w:t xml:space="preserve">Une </w:t>
      </w:r>
      <w:r w:rsidRPr="009D47FC">
        <w:rPr>
          <w:b/>
          <w:bCs/>
          <w:sz w:val="22"/>
        </w:rPr>
        <w:t xml:space="preserve">stratégie de sensibilisation </w:t>
      </w:r>
      <w:r w:rsidRPr="009D47FC">
        <w:rPr>
          <w:sz w:val="22"/>
        </w:rPr>
        <w:t>qui décrit la façon dont les communautés locales seront sensibilisées aux risques de violence sexiste ;</w:t>
      </w:r>
    </w:p>
    <w:p w14:paraId="15EBC1A4" w14:textId="77777777" w:rsidR="003C339D" w:rsidRPr="009D47FC" w:rsidRDefault="003C339D" w:rsidP="002378EA">
      <w:pPr>
        <w:numPr>
          <w:ilvl w:val="0"/>
          <w:numId w:val="145"/>
        </w:numPr>
        <w:ind w:left="1247"/>
        <w:rPr>
          <w:sz w:val="22"/>
        </w:rPr>
      </w:pPr>
      <w:r w:rsidRPr="009D47FC">
        <w:rPr>
          <w:sz w:val="22"/>
        </w:rPr>
        <w:t xml:space="preserve">Une </w:t>
      </w:r>
      <w:r w:rsidRPr="009D47FC">
        <w:rPr>
          <w:b/>
          <w:bCs/>
          <w:sz w:val="22"/>
        </w:rPr>
        <w:t xml:space="preserve">stratégie de formation </w:t>
      </w:r>
      <w:r w:rsidRPr="009D47FC">
        <w:rPr>
          <w:sz w:val="22"/>
        </w:rPr>
        <w:t>qui décrit les responsabilités des travailleurs visées par le code de conduite ;</w:t>
      </w:r>
    </w:p>
    <w:p w14:paraId="10706C99" w14:textId="77777777" w:rsidR="003C339D" w:rsidRPr="009D47FC" w:rsidRDefault="003C339D" w:rsidP="002378EA">
      <w:pPr>
        <w:numPr>
          <w:ilvl w:val="0"/>
          <w:numId w:val="145"/>
        </w:numPr>
        <w:ind w:left="1247"/>
        <w:rPr>
          <w:sz w:val="22"/>
        </w:rPr>
      </w:pPr>
      <w:r w:rsidRPr="009D47FC">
        <w:rPr>
          <w:b/>
          <w:bCs/>
          <w:sz w:val="22"/>
        </w:rPr>
        <w:t xml:space="preserve">Les prestataires de services de lutte contre la VBG </w:t>
      </w:r>
      <w:r w:rsidRPr="009D47FC">
        <w:rPr>
          <w:sz w:val="22"/>
        </w:rPr>
        <w:t xml:space="preserve">vers lesquels les survivantes de cette violence seront orientées, et les services qu’ils offriront ; et </w:t>
      </w:r>
    </w:p>
    <w:p w14:paraId="4402F004" w14:textId="77777777" w:rsidR="003C339D" w:rsidRPr="009D47FC" w:rsidRDefault="003C339D" w:rsidP="002378EA">
      <w:pPr>
        <w:numPr>
          <w:ilvl w:val="0"/>
          <w:numId w:val="145"/>
        </w:numPr>
        <w:ind w:left="1247"/>
        <w:rPr>
          <w:sz w:val="22"/>
        </w:rPr>
      </w:pPr>
      <w:r w:rsidRPr="009D47FC">
        <w:rPr>
          <w:b/>
          <w:bCs/>
          <w:sz w:val="22"/>
        </w:rPr>
        <w:t>Les procédures pour traiter d’allégations de VBG</w:t>
      </w:r>
      <w:r w:rsidRPr="009D47FC">
        <w:rPr>
          <w:sz w:val="22"/>
        </w:rPr>
        <w:t>/EAS/HS</w:t>
      </w:r>
      <w:r w:rsidRPr="009D47FC">
        <w:rPr>
          <w:b/>
          <w:bCs/>
          <w:sz w:val="22"/>
        </w:rPr>
        <w:t xml:space="preserve"> </w:t>
      </w:r>
      <w:r w:rsidRPr="009D47FC">
        <w:rPr>
          <w:sz w:val="22"/>
        </w:rPr>
        <w:t>: comment le projet fournira aux employés et à la population locale les renseignements sur la façon de signaler au mécanisme de gestion des plaintes les cas de VBG/EAS/HS et les violations du Code de bonne conduite</w:t>
      </w:r>
    </w:p>
    <w:p w14:paraId="3FBE9967" w14:textId="77777777" w:rsidR="003C339D" w:rsidRPr="009D47FC" w:rsidRDefault="003C339D" w:rsidP="003C339D">
      <w:pPr>
        <w:rPr>
          <w:sz w:val="22"/>
        </w:rPr>
      </w:pPr>
    </w:p>
    <w:p w14:paraId="0E0FD6FE" w14:textId="77777777" w:rsidR="003C339D" w:rsidRPr="00E31B78" w:rsidRDefault="003C339D" w:rsidP="002378EA">
      <w:pPr>
        <w:pStyle w:val="Commentaire"/>
        <w:numPr>
          <w:ilvl w:val="0"/>
          <w:numId w:val="147"/>
        </w:numPr>
        <w:spacing w:line="276" w:lineRule="auto"/>
        <w:jc w:val="left"/>
        <w:rPr>
          <w:sz w:val="22"/>
          <w:szCs w:val="22"/>
          <w:lang w:val="fr-FR"/>
        </w:rPr>
      </w:pPr>
      <w:r w:rsidRPr="00E31B78">
        <w:rPr>
          <w:sz w:val="22"/>
          <w:szCs w:val="22"/>
          <w:lang w:val="fr-FR"/>
        </w:rPr>
        <w:t>D</w:t>
      </w:r>
      <w:r w:rsidRPr="00E31B78">
        <w:rPr>
          <w:bCs/>
          <w:sz w:val="22"/>
          <w:szCs w:val="22"/>
          <w:lang w:val="fr-FR"/>
        </w:rPr>
        <w:t>es</w:t>
      </w:r>
      <w:r w:rsidRPr="00E31B78">
        <w:rPr>
          <w:sz w:val="22"/>
          <w:szCs w:val="22"/>
          <w:lang w:val="fr-FR"/>
        </w:rPr>
        <w:t xml:space="preserve"> plans d’amélioration des impacts positifs (mesures de bonification) ;</w:t>
      </w:r>
    </w:p>
    <w:p w14:paraId="10B78832" w14:textId="77777777" w:rsidR="003C339D" w:rsidRPr="00E31B78" w:rsidRDefault="003C339D" w:rsidP="002378EA">
      <w:pPr>
        <w:pStyle w:val="Commentaire"/>
        <w:numPr>
          <w:ilvl w:val="0"/>
          <w:numId w:val="147"/>
        </w:numPr>
        <w:spacing w:line="276" w:lineRule="auto"/>
        <w:jc w:val="left"/>
        <w:rPr>
          <w:sz w:val="22"/>
          <w:lang w:val="fr-FR"/>
        </w:rPr>
      </w:pPr>
      <w:r w:rsidRPr="00E31B78">
        <w:rPr>
          <w:sz w:val="22"/>
          <w:szCs w:val="22"/>
          <w:lang w:val="fr-FR"/>
        </w:rPr>
        <w:t>Des modalités institutionnelles de chaque activité ; et</w:t>
      </w:r>
    </w:p>
    <w:p w14:paraId="6BF0A94C" w14:textId="77777777" w:rsidR="001C2F95" w:rsidRDefault="003C339D" w:rsidP="002378EA">
      <w:pPr>
        <w:pStyle w:val="Commentaire"/>
        <w:numPr>
          <w:ilvl w:val="0"/>
          <w:numId w:val="147"/>
        </w:numPr>
        <w:spacing w:line="276" w:lineRule="auto"/>
        <w:jc w:val="left"/>
        <w:rPr>
          <w:sz w:val="22"/>
        </w:rPr>
      </w:pPr>
      <w:r w:rsidRPr="00E31B78">
        <w:rPr>
          <w:sz w:val="22"/>
          <w:szCs w:val="22"/>
        </w:rPr>
        <w:t>les procédures d'établissement de rapports</w:t>
      </w:r>
    </w:p>
    <w:p w14:paraId="0A9BBF39" w14:textId="77777777" w:rsidR="001C2F95" w:rsidRPr="00775E56" w:rsidRDefault="001C2F95" w:rsidP="001C2F95">
      <w:pPr>
        <w:rPr>
          <w:rFonts w:cs="Arial"/>
          <w:sz w:val="22"/>
        </w:rPr>
      </w:pPr>
    </w:p>
    <w:p w14:paraId="1403B5DE" w14:textId="77777777" w:rsidR="001C2F95" w:rsidRPr="00775E56" w:rsidRDefault="001C2F95" w:rsidP="002378EA">
      <w:pPr>
        <w:pStyle w:val="Paragraphedeliste"/>
        <w:keepNext/>
        <w:numPr>
          <w:ilvl w:val="0"/>
          <w:numId w:val="14"/>
        </w:numPr>
        <w:autoSpaceDE w:val="0"/>
        <w:autoSpaceDN w:val="0"/>
        <w:adjustRightInd w:val="0"/>
        <w:contextualSpacing w:val="0"/>
        <w:outlineLvl w:val="1"/>
        <w:rPr>
          <w:rFonts w:cs="Arial"/>
          <w:b/>
          <w:bCs/>
          <w:vanish/>
          <w:sz w:val="22"/>
        </w:rPr>
      </w:pPr>
      <w:bookmarkStart w:id="581" w:name="_Toc64026187"/>
      <w:bookmarkStart w:id="582" w:name="_Toc64386708"/>
      <w:bookmarkStart w:id="583" w:name="_Toc70326850"/>
      <w:bookmarkStart w:id="584" w:name="_Toc70327083"/>
      <w:bookmarkStart w:id="585" w:name="_Toc70330446"/>
      <w:bookmarkEnd w:id="581"/>
      <w:bookmarkEnd w:id="582"/>
      <w:bookmarkEnd w:id="583"/>
      <w:bookmarkEnd w:id="584"/>
      <w:bookmarkEnd w:id="585"/>
    </w:p>
    <w:p w14:paraId="6D64B60D" w14:textId="77777777" w:rsidR="001C2F95" w:rsidRPr="00775E56" w:rsidRDefault="001C2F95" w:rsidP="002378EA">
      <w:pPr>
        <w:pStyle w:val="Paragraphedeliste"/>
        <w:keepNext/>
        <w:numPr>
          <w:ilvl w:val="0"/>
          <w:numId w:val="14"/>
        </w:numPr>
        <w:autoSpaceDE w:val="0"/>
        <w:autoSpaceDN w:val="0"/>
        <w:adjustRightInd w:val="0"/>
        <w:contextualSpacing w:val="0"/>
        <w:outlineLvl w:val="1"/>
        <w:rPr>
          <w:rFonts w:cs="Arial"/>
          <w:b/>
          <w:bCs/>
          <w:vanish/>
          <w:sz w:val="22"/>
        </w:rPr>
      </w:pPr>
      <w:bookmarkStart w:id="586" w:name="_Toc64386709"/>
      <w:bookmarkStart w:id="587" w:name="_Toc70326851"/>
      <w:bookmarkStart w:id="588" w:name="_Toc70327084"/>
      <w:bookmarkStart w:id="589" w:name="_Toc70330447"/>
      <w:bookmarkEnd w:id="586"/>
      <w:bookmarkEnd w:id="587"/>
      <w:bookmarkEnd w:id="588"/>
      <w:bookmarkEnd w:id="589"/>
    </w:p>
    <w:p w14:paraId="4BA8F799" w14:textId="77777777" w:rsidR="001C2F95" w:rsidRPr="00C02CAB" w:rsidRDefault="001C2F95" w:rsidP="001C2F95">
      <w:pPr>
        <w:pStyle w:val="Titre2"/>
        <w:numPr>
          <w:ilvl w:val="1"/>
          <w:numId w:val="4"/>
        </w:numPr>
        <w:ind w:left="851" w:hanging="425"/>
        <w:rPr>
          <w:rFonts w:cs="Arial"/>
          <w:b/>
          <w:sz w:val="22"/>
          <w:szCs w:val="22"/>
        </w:rPr>
      </w:pPr>
      <w:bookmarkStart w:id="590" w:name="_Toc70330448"/>
      <w:r w:rsidRPr="00C02CAB">
        <w:rPr>
          <w:rFonts w:cs="Arial"/>
          <w:b/>
          <w:sz w:val="22"/>
          <w:szCs w:val="22"/>
        </w:rPr>
        <w:t>Procédure de gestion environnementale et sociale des sous-projets</w:t>
      </w:r>
      <w:bookmarkEnd w:id="590"/>
      <w:r w:rsidRPr="00C02CAB">
        <w:rPr>
          <w:rFonts w:cs="Arial"/>
          <w:b/>
          <w:sz w:val="22"/>
          <w:szCs w:val="22"/>
        </w:rPr>
        <w:t xml:space="preserve"> </w:t>
      </w:r>
    </w:p>
    <w:p w14:paraId="2C2F918F" w14:textId="77777777" w:rsidR="001C2F95" w:rsidRPr="00775E56" w:rsidRDefault="001C2F95" w:rsidP="001C2F95">
      <w:pPr>
        <w:rPr>
          <w:rFonts w:cs="Arial"/>
          <w:sz w:val="22"/>
        </w:rPr>
      </w:pPr>
    </w:p>
    <w:p w14:paraId="37EFE0C9" w14:textId="77777777" w:rsidR="001C2F95" w:rsidRPr="00775E56" w:rsidRDefault="001C2F95" w:rsidP="002378EA">
      <w:pPr>
        <w:pStyle w:val="Paragraphedeliste"/>
        <w:keepNext/>
        <w:numPr>
          <w:ilvl w:val="0"/>
          <w:numId w:val="14"/>
        </w:numPr>
        <w:tabs>
          <w:tab w:val="left" w:pos="720"/>
        </w:tabs>
        <w:contextualSpacing w:val="0"/>
        <w:jc w:val="left"/>
        <w:outlineLvl w:val="2"/>
        <w:rPr>
          <w:rFonts w:cs="Arial"/>
          <w:vanish/>
          <w:sz w:val="22"/>
          <w:u w:val="single"/>
        </w:rPr>
      </w:pPr>
      <w:bookmarkStart w:id="591" w:name="_Toc64026190"/>
      <w:bookmarkStart w:id="592" w:name="_Toc64386711"/>
      <w:bookmarkStart w:id="593" w:name="_Toc70326853"/>
      <w:bookmarkStart w:id="594" w:name="_Toc70327086"/>
      <w:bookmarkStart w:id="595" w:name="_Toc70330449"/>
      <w:bookmarkEnd w:id="591"/>
      <w:bookmarkEnd w:id="592"/>
      <w:bookmarkEnd w:id="593"/>
      <w:bookmarkEnd w:id="594"/>
      <w:bookmarkEnd w:id="595"/>
    </w:p>
    <w:p w14:paraId="088F3D97" w14:textId="77777777" w:rsidR="001C2F95" w:rsidRPr="00775E56" w:rsidRDefault="001C2F95" w:rsidP="002378EA">
      <w:pPr>
        <w:pStyle w:val="Paragraphedeliste"/>
        <w:keepNext/>
        <w:numPr>
          <w:ilvl w:val="1"/>
          <w:numId w:val="14"/>
        </w:numPr>
        <w:tabs>
          <w:tab w:val="left" w:pos="720"/>
        </w:tabs>
        <w:contextualSpacing w:val="0"/>
        <w:jc w:val="left"/>
        <w:outlineLvl w:val="2"/>
        <w:rPr>
          <w:rFonts w:cs="Arial"/>
          <w:vanish/>
          <w:sz w:val="22"/>
          <w:u w:val="single"/>
        </w:rPr>
      </w:pPr>
      <w:bookmarkStart w:id="596" w:name="_Toc64386712"/>
      <w:bookmarkStart w:id="597" w:name="_Toc70326854"/>
      <w:bookmarkStart w:id="598" w:name="_Toc70327087"/>
      <w:bookmarkStart w:id="599" w:name="_Toc70330450"/>
      <w:bookmarkEnd w:id="596"/>
      <w:bookmarkEnd w:id="597"/>
      <w:bookmarkEnd w:id="598"/>
      <w:bookmarkEnd w:id="599"/>
    </w:p>
    <w:p w14:paraId="7A3A70AA" w14:textId="77777777" w:rsidR="001C2F95" w:rsidRPr="00775E56" w:rsidRDefault="001C2F95" w:rsidP="001C2F95">
      <w:pPr>
        <w:pStyle w:val="Titre2"/>
        <w:numPr>
          <w:ilvl w:val="2"/>
          <w:numId w:val="4"/>
        </w:numPr>
        <w:ind w:left="1560" w:hanging="709"/>
        <w:rPr>
          <w:rFonts w:cs="Arial"/>
          <w:i/>
          <w:sz w:val="22"/>
          <w:szCs w:val="22"/>
        </w:rPr>
      </w:pPr>
      <w:bookmarkStart w:id="600" w:name="_Toc70330451"/>
      <w:r w:rsidRPr="00775E56">
        <w:rPr>
          <w:rFonts w:cs="Arial"/>
          <w:i/>
          <w:sz w:val="22"/>
          <w:szCs w:val="22"/>
        </w:rPr>
        <w:t>Critères environnementaux et sociaux d’éligibilité des sous-projets</w:t>
      </w:r>
      <w:bookmarkEnd w:id="600"/>
    </w:p>
    <w:p w14:paraId="2F012D68" w14:textId="77777777" w:rsidR="001C2F95" w:rsidRPr="00775E56" w:rsidRDefault="001C2F95" w:rsidP="001C2F95">
      <w:pPr>
        <w:rPr>
          <w:rFonts w:cs="Arial"/>
          <w:sz w:val="22"/>
        </w:rPr>
      </w:pPr>
    </w:p>
    <w:p w14:paraId="5B37CE2A" w14:textId="77777777" w:rsidR="001C2F95" w:rsidRPr="00775E56" w:rsidRDefault="001C2F95" w:rsidP="001C2F95">
      <w:pPr>
        <w:rPr>
          <w:rFonts w:cs="Arial"/>
          <w:sz w:val="22"/>
        </w:rPr>
      </w:pPr>
      <w:r w:rsidRPr="00775E56">
        <w:rPr>
          <w:rFonts w:cs="Arial"/>
          <w:sz w:val="22"/>
        </w:rPr>
        <w:t xml:space="preserve">La mise en œuvre de l’évaluation environnementale et sociale devra commencer par un tri préliminaire des activités des sous-projets. Le tri ou la sélection des sous-projets se fera sur la base de l’analyse préalable du formulaire de sélection environnementale et sociale et du formulaire d’identification des risques environnementaux et sociaux. Ces deux outils permettront de classer les activités du Projet dans l’une des </w:t>
      </w:r>
      <w:r>
        <w:rPr>
          <w:rFonts w:cs="Arial"/>
          <w:sz w:val="22"/>
        </w:rPr>
        <w:t>quatre</w:t>
      </w:r>
      <w:r w:rsidRPr="00775E56">
        <w:rPr>
          <w:rFonts w:cs="Arial"/>
          <w:sz w:val="22"/>
        </w:rPr>
        <w:t xml:space="preserve"> catégories selon le nouveau Cadre Environnemental et Social de la Banque Mondiale (risque élevé, substantiel, modéré et faible). Il est proposé dans le formulaire de sélection environnementale et sociale une procédure élargie incluant des critères environnementaux et sociaux (Génération d’emplois ; Prise en compte du genre/meilleur accès </w:t>
      </w:r>
      <w:r>
        <w:rPr>
          <w:rFonts w:cs="Arial"/>
          <w:sz w:val="22"/>
        </w:rPr>
        <w:t>des</w:t>
      </w:r>
      <w:r w:rsidRPr="00775E56">
        <w:rPr>
          <w:rFonts w:cs="Arial"/>
          <w:sz w:val="22"/>
        </w:rPr>
        <w:t xml:space="preserve"> femmes</w:t>
      </w:r>
      <w:r>
        <w:rPr>
          <w:rFonts w:cs="Arial"/>
          <w:sz w:val="22"/>
        </w:rPr>
        <w:t xml:space="preserve"> aux ressources et avantages du Projet</w:t>
      </w:r>
      <w:r w:rsidRPr="00775E56">
        <w:rPr>
          <w:rFonts w:cs="Arial"/>
          <w:sz w:val="22"/>
        </w:rPr>
        <w:t>, prise en compte de la situation de la COVID-19</w:t>
      </w:r>
      <w:r>
        <w:rPr>
          <w:rFonts w:cs="Arial"/>
          <w:sz w:val="22"/>
        </w:rPr>
        <w:t xml:space="preserve"> ainsi que des risques </w:t>
      </w:r>
      <w:r w:rsidRPr="00775E56">
        <w:rPr>
          <w:rFonts w:cs="Arial"/>
          <w:sz w:val="22"/>
        </w:rPr>
        <w:t>de VBG</w:t>
      </w:r>
      <w:r>
        <w:rPr>
          <w:rFonts w:cs="Arial"/>
          <w:sz w:val="22"/>
        </w:rPr>
        <w:t>, y compris l’EAS et le HS</w:t>
      </w:r>
      <w:r w:rsidRPr="00775E56">
        <w:rPr>
          <w:rFonts w:cs="Arial"/>
          <w:sz w:val="22"/>
        </w:rPr>
        <w:t xml:space="preserve"> ; des conflits fonciers dans la zone ; d’intervention dans les aires protégées et zones de haute biodiversité ; intervention dans les zones humides d’intérêt écologique et les zones de frayères, prise en compte des populations autochtones).</w:t>
      </w:r>
    </w:p>
    <w:p w14:paraId="06ED03DE" w14:textId="77777777" w:rsidR="001C2F95" w:rsidRPr="00775E56" w:rsidRDefault="001C2F95" w:rsidP="001C2F95">
      <w:pPr>
        <w:pStyle w:val="Paragraphedeliste"/>
        <w:tabs>
          <w:tab w:val="left" w:pos="426"/>
        </w:tabs>
        <w:ind w:left="0"/>
        <w:rPr>
          <w:rFonts w:cs="Arial"/>
          <w:sz w:val="22"/>
        </w:rPr>
      </w:pPr>
    </w:p>
    <w:p w14:paraId="4DBA109F" w14:textId="77777777" w:rsidR="001C2F95" w:rsidRPr="00775E56" w:rsidRDefault="001C2F95" w:rsidP="001C2F95">
      <w:pPr>
        <w:pStyle w:val="Titre2"/>
        <w:numPr>
          <w:ilvl w:val="2"/>
          <w:numId w:val="4"/>
        </w:numPr>
        <w:ind w:left="1560" w:hanging="709"/>
        <w:rPr>
          <w:rFonts w:cs="Arial"/>
          <w:i/>
          <w:sz w:val="22"/>
          <w:szCs w:val="22"/>
        </w:rPr>
      </w:pPr>
      <w:bookmarkStart w:id="601" w:name="_Toc70330452"/>
      <w:r w:rsidRPr="00775E56">
        <w:rPr>
          <w:rFonts w:cs="Arial"/>
          <w:i/>
          <w:sz w:val="22"/>
          <w:szCs w:val="22"/>
        </w:rPr>
        <w:t xml:space="preserve">Procédures de </w:t>
      </w:r>
      <w:r w:rsidR="004E6721">
        <w:rPr>
          <w:rFonts w:cs="Arial"/>
          <w:i/>
          <w:sz w:val="22"/>
          <w:szCs w:val="22"/>
        </w:rPr>
        <w:t>gestion</w:t>
      </w:r>
      <w:r w:rsidRPr="00775E56">
        <w:rPr>
          <w:rFonts w:cs="Arial"/>
          <w:i/>
          <w:sz w:val="22"/>
          <w:szCs w:val="22"/>
        </w:rPr>
        <w:t xml:space="preserve"> environnemental</w:t>
      </w:r>
      <w:r w:rsidR="004E6721">
        <w:rPr>
          <w:rFonts w:cs="Arial"/>
          <w:i/>
          <w:sz w:val="22"/>
          <w:szCs w:val="22"/>
        </w:rPr>
        <w:t>e</w:t>
      </w:r>
      <w:r w:rsidRPr="00775E56">
        <w:rPr>
          <w:rFonts w:cs="Arial"/>
          <w:i/>
          <w:sz w:val="22"/>
          <w:szCs w:val="22"/>
        </w:rPr>
        <w:t xml:space="preserve"> </w:t>
      </w:r>
      <w:r>
        <w:rPr>
          <w:rFonts w:cs="Arial"/>
          <w:i/>
          <w:sz w:val="22"/>
          <w:szCs w:val="22"/>
        </w:rPr>
        <w:t>et social</w:t>
      </w:r>
      <w:r w:rsidR="004E6721">
        <w:rPr>
          <w:rFonts w:cs="Arial"/>
          <w:i/>
          <w:sz w:val="22"/>
          <w:szCs w:val="22"/>
        </w:rPr>
        <w:t>e</w:t>
      </w:r>
      <w:r>
        <w:rPr>
          <w:rFonts w:cs="Arial"/>
          <w:i/>
          <w:sz w:val="22"/>
          <w:szCs w:val="22"/>
        </w:rPr>
        <w:t xml:space="preserve"> </w:t>
      </w:r>
      <w:r w:rsidRPr="00775E56">
        <w:rPr>
          <w:rFonts w:cs="Arial"/>
          <w:i/>
          <w:sz w:val="22"/>
          <w:szCs w:val="22"/>
        </w:rPr>
        <w:t>des sous-projets</w:t>
      </w:r>
      <w:bookmarkEnd w:id="601"/>
      <w:r w:rsidRPr="00775E56">
        <w:rPr>
          <w:rFonts w:cs="Arial"/>
          <w:i/>
          <w:sz w:val="22"/>
          <w:szCs w:val="22"/>
        </w:rPr>
        <w:t xml:space="preserve"> </w:t>
      </w:r>
    </w:p>
    <w:p w14:paraId="761C8DB5" w14:textId="77777777" w:rsidR="001C2F95" w:rsidRPr="00775E56" w:rsidRDefault="001C2F95" w:rsidP="001C2F95">
      <w:pPr>
        <w:rPr>
          <w:rFonts w:cs="Arial"/>
          <w:sz w:val="22"/>
        </w:rPr>
      </w:pPr>
    </w:p>
    <w:p w14:paraId="407552D0" w14:textId="77777777" w:rsidR="001C2F95" w:rsidRDefault="001C2F95" w:rsidP="001C2F95">
      <w:pPr>
        <w:rPr>
          <w:rFonts w:cs="Arial"/>
          <w:sz w:val="22"/>
        </w:rPr>
      </w:pPr>
      <w:r w:rsidRPr="001C360D">
        <w:rPr>
          <w:rFonts w:cs="Arial"/>
          <w:sz w:val="22"/>
        </w:rPr>
        <w:t xml:space="preserve">Le processus de tri des sous- projets sera effectué par </w:t>
      </w:r>
      <w:r>
        <w:rPr>
          <w:rFonts w:cs="Arial"/>
          <w:sz w:val="22"/>
        </w:rPr>
        <w:t>les SSE, SSS et SVBG du projet</w:t>
      </w:r>
      <w:r w:rsidRPr="001C360D">
        <w:rPr>
          <w:rFonts w:cs="Arial"/>
          <w:sz w:val="22"/>
        </w:rPr>
        <w:t xml:space="preserve"> (selon que le sous-projet implique ou pas les IF) sur la base </w:t>
      </w:r>
      <w:r w:rsidRPr="00775E56">
        <w:rPr>
          <w:rFonts w:cs="Arial"/>
          <w:sz w:val="22"/>
        </w:rPr>
        <w:t>sur la base de l’analyse préalable du formulaire de sélection environnementale et sociale et du formulaire d’identification des risques environnementaux et sociaux.</w:t>
      </w:r>
      <w:r w:rsidRPr="001C360D">
        <w:rPr>
          <w:rFonts w:cs="Arial"/>
          <w:sz w:val="22"/>
        </w:rPr>
        <w:t xml:space="preserve">  En plus des impacts environnementaux et sociaux potentiels, les résultats de la sélection indiqueront également</w:t>
      </w:r>
      <w:r>
        <w:rPr>
          <w:rFonts w:cs="Arial"/>
          <w:sz w:val="22"/>
        </w:rPr>
        <w:t xml:space="preserve"> </w:t>
      </w:r>
      <w:r w:rsidRPr="001C360D">
        <w:rPr>
          <w:rFonts w:cs="Arial"/>
          <w:sz w:val="22"/>
        </w:rPr>
        <w:t>: (i)</w:t>
      </w:r>
      <w:r>
        <w:rPr>
          <w:rFonts w:cs="Arial"/>
          <w:sz w:val="22"/>
        </w:rPr>
        <w:t xml:space="preserve"> le type d’étude environnementale et sociale à mener ; (ii)</w:t>
      </w:r>
      <w:r w:rsidRPr="001C360D">
        <w:rPr>
          <w:rFonts w:cs="Arial"/>
          <w:sz w:val="22"/>
        </w:rPr>
        <w:t xml:space="preserve"> le besoin de l’acquisition des terres</w:t>
      </w:r>
      <w:r>
        <w:rPr>
          <w:rFonts w:cs="Arial"/>
          <w:sz w:val="22"/>
        </w:rPr>
        <w:t xml:space="preserve"> </w:t>
      </w:r>
      <w:r w:rsidRPr="001C360D">
        <w:rPr>
          <w:rFonts w:cs="Arial"/>
          <w:sz w:val="22"/>
        </w:rPr>
        <w:t>; et (ii) les types de consultations du public qui ont été menés pendant l’exercice de sélection.</w:t>
      </w:r>
    </w:p>
    <w:p w14:paraId="6FF6CB5A" w14:textId="77777777" w:rsidR="001C2F95" w:rsidRDefault="001C2F95" w:rsidP="001C2F95">
      <w:pPr>
        <w:rPr>
          <w:rFonts w:cs="Arial"/>
          <w:sz w:val="22"/>
        </w:rPr>
      </w:pPr>
    </w:p>
    <w:p w14:paraId="69E43B12" w14:textId="77777777" w:rsidR="001C2F95" w:rsidRPr="00775E56" w:rsidRDefault="001C2F95" w:rsidP="001C2F95">
      <w:pPr>
        <w:rPr>
          <w:rFonts w:cs="Arial"/>
          <w:sz w:val="22"/>
        </w:rPr>
      </w:pPr>
      <w:r w:rsidRPr="00775E56">
        <w:rPr>
          <w:rFonts w:cs="Arial"/>
          <w:sz w:val="22"/>
        </w:rPr>
        <w:t xml:space="preserve">Le processus décrit ci-dessous vise à garantir l’effectivité de la prise en compte des exigences environnementales et sociales dans tout le processus de planification, de préparation, de mise en œuvre et de suivi des activités du </w:t>
      </w:r>
      <w:r>
        <w:rPr>
          <w:rFonts w:cs="Arial"/>
          <w:sz w:val="22"/>
        </w:rPr>
        <w:t>programme</w:t>
      </w:r>
      <w:r w:rsidRPr="00775E56">
        <w:rPr>
          <w:rFonts w:cs="Arial"/>
          <w:sz w:val="22"/>
        </w:rPr>
        <w:t xml:space="preserve">. </w:t>
      </w:r>
    </w:p>
    <w:p w14:paraId="73BB19A5" w14:textId="77777777" w:rsidR="001C2F95" w:rsidRPr="00775E56" w:rsidRDefault="001C2F95" w:rsidP="001C2F95">
      <w:pPr>
        <w:rPr>
          <w:rFonts w:cs="Arial"/>
          <w:sz w:val="22"/>
        </w:rPr>
      </w:pPr>
    </w:p>
    <w:p w14:paraId="6BD3D5A9" w14:textId="77777777" w:rsidR="001C2F95" w:rsidRPr="00775E56" w:rsidRDefault="001C2F95" w:rsidP="001C2F95">
      <w:pPr>
        <w:rPr>
          <w:rFonts w:cs="Arial"/>
          <w:sz w:val="22"/>
        </w:rPr>
      </w:pPr>
      <w:r w:rsidRPr="00775E56">
        <w:rPr>
          <w:rFonts w:cs="Arial"/>
          <w:sz w:val="22"/>
        </w:rPr>
        <w:t xml:space="preserve">Pour être en conformité avec les exigences environnementales et sociales de la Banque </w:t>
      </w:r>
      <w:r>
        <w:rPr>
          <w:rFonts w:cs="Arial"/>
          <w:sz w:val="22"/>
        </w:rPr>
        <w:t>m</w:t>
      </w:r>
      <w:r w:rsidRPr="00775E56">
        <w:rPr>
          <w:rFonts w:cs="Arial"/>
          <w:sz w:val="22"/>
        </w:rPr>
        <w:t>ondiale et de la législation congolaise, le screening des sous-projets doit comprendre les étapes suivantes :</w:t>
      </w:r>
    </w:p>
    <w:p w14:paraId="38B8A503" w14:textId="77777777" w:rsidR="001C2F95" w:rsidRPr="00775E56" w:rsidRDefault="001C2F95" w:rsidP="001C2F95">
      <w:pPr>
        <w:rPr>
          <w:rFonts w:cs="Arial"/>
          <w:b/>
          <w:i/>
          <w:sz w:val="22"/>
        </w:rPr>
      </w:pPr>
    </w:p>
    <w:p w14:paraId="1E9F3E3B" w14:textId="77777777" w:rsidR="001C2F95" w:rsidRPr="00775E56" w:rsidRDefault="001C2F95" w:rsidP="001C2F95">
      <w:pPr>
        <w:rPr>
          <w:rFonts w:cs="Arial"/>
          <w:bCs/>
          <w:i/>
          <w:sz w:val="22"/>
        </w:rPr>
      </w:pPr>
      <w:r w:rsidRPr="00775E56">
        <w:rPr>
          <w:rFonts w:cs="Arial"/>
          <w:bCs/>
          <w:i/>
          <w:sz w:val="22"/>
        </w:rPr>
        <w:t xml:space="preserve">Étape 1 : </w:t>
      </w:r>
      <w:r w:rsidR="00320F17" w:rsidRPr="00775E56">
        <w:rPr>
          <w:rFonts w:cs="Arial"/>
          <w:bCs/>
          <w:i/>
          <w:sz w:val="22"/>
        </w:rPr>
        <w:t xml:space="preserve">Classification </w:t>
      </w:r>
      <w:r w:rsidRPr="00775E56">
        <w:rPr>
          <w:rFonts w:cs="Arial"/>
          <w:bCs/>
          <w:i/>
          <w:sz w:val="22"/>
        </w:rPr>
        <w:t xml:space="preserve">environnementale et sociale des sous-projets </w:t>
      </w:r>
    </w:p>
    <w:p w14:paraId="5E23249D" w14:textId="77777777" w:rsidR="001C2F95" w:rsidRPr="00775E56" w:rsidRDefault="001C2F95" w:rsidP="001C2F95">
      <w:pPr>
        <w:rPr>
          <w:rFonts w:cs="Arial"/>
          <w:sz w:val="22"/>
        </w:rPr>
      </w:pPr>
    </w:p>
    <w:p w14:paraId="05408A4F" w14:textId="77777777" w:rsidR="001C2F95" w:rsidRPr="00775E56" w:rsidRDefault="001C2F95" w:rsidP="001C2F95">
      <w:pPr>
        <w:rPr>
          <w:rFonts w:cs="Arial"/>
          <w:sz w:val="22"/>
        </w:rPr>
      </w:pPr>
      <w:r w:rsidRPr="00775E56">
        <w:rPr>
          <w:rFonts w:cs="Arial"/>
          <w:sz w:val="22"/>
        </w:rPr>
        <w:t>Cette étape consiste surtout à identifier la localisation des sites et les principales activités du sous-projet en vue du remplissage du formulaire de sélection et classification environnementales et sociales du sous-projet.</w:t>
      </w:r>
    </w:p>
    <w:p w14:paraId="1806A210" w14:textId="77777777" w:rsidR="001C2F95" w:rsidRPr="00775E56" w:rsidRDefault="001C2F95" w:rsidP="001C2F95">
      <w:pPr>
        <w:rPr>
          <w:rFonts w:cs="Arial"/>
          <w:sz w:val="22"/>
        </w:rPr>
      </w:pPr>
    </w:p>
    <w:p w14:paraId="5183FD7A" w14:textId="77777777" w:rsidR="001C2F95" w:rsidRPr="00775E56" w:rsidRDefault="001C2F95" w:rsidP="001C2F95">
      <w:pPr>
        <w:rPr>
          <w:rFonts w:cs="Arial"/>
          <w:sz w:val="22"/>
        </w:rPr>
      </w:pPr>
      <w:r w:rsidRPr="00775E56">
        <w:rPr>
          <w:rFonts w:cs="Arial"/>
          <w:sz w:val="22"/>
        </w:rPr>
        <w:t xml:space="preserve">Les exigences de la Banque Mondiale (notamment la NES n°1 : Évaluation et gestion des risques et effets environnementaux et sociaux), ont établi quatre niveaux de risque de la manière suivante : </w:t>
      </w:r>
    </w:p>
    <w:p w14:paraId="4FA01DF7" w14:textId="77777777" w:rsidR="001C2F95" w:rsidRPr="00775E56" w:rsidRDefault="001C2F95" w:rsidP="001C2F95">
      <w:pPr>
        <w:rPr>
          <w:rFonts w:cs="Arial"/>
          <w:sz w:val="22"/>
        </w:rPr>
      </w:pPr>
    </w:p>
    <w:p w14:paraId="4CAA751B" w14:textId="77777777" w:rsidR="001C2F95" w:rsidRPr="00775E56" w:rsidRDefault="001C2F95" w:rsidP="002378EA">
      <w:pPr>
        <w:numPr>
          <w:ilvl w:val="0"/>
          <w:numId w:val="51"/>
        </w:numPr>
        <w:rPr>
          <w:rFonts w:cs="Arial"/>
          <w:sz w:val="22"/>
        </w:rPr>
      </w:pPr>
      <w:r w:rsidRPr="00775E56">
        <w:rPr>
          <w:rFonts w:cs="Arial"/>
          <w:sz w:val="22"/>
        </w:rPr>
        <w:t>Risque élevé ;</w:t>
      </w:r>
    </w:p>
    <w:p w14:paraId="425B679F" w14:textId="77777777" w:rsidR="001C2F95" w:rsidRPr="00775E56" w:rsidRDefault="001C2F95" w:rsidP="002378EA">
      <w:pPr>
        <w:numPr>
          <w:ilvl w:val="0"/>
          <w:numId w:val="51"/>
        </w:numPr>
        <w:rPr>
          <w:rFonts w:cs="Arial"/>
          <w:sz w:val="22"/>
        </w:rPr>
      </w:pPr>
      <w:r w:rsidRPr="00775E56">
        <w:rPr>
          <w:rFonts w:cs="Arial"/>
          <w:sz w:val="22"/>
        </w:rPr>
        <w:t>Risque substantiel ;</w:t>
      </w:r>
    </w:p>
    <w:p w14:paraId="47A31E4C" w14:textId="77777777" w:rsidR="001C2F95" w:rsidRPr="00775E56" w:rsidRDefault="001C2F95" w:rsidP="002378EA">
      <w:pPr>
        <w:numPr>
          <w:ilvl w:val="0"/>
          <w:numId w:val="51"/>
        </w:numPr>
        <w:rPr>
          <w:rFonts w:cs="Arial"/>
          <w:sz w:val="22"/>
        </w:rPr>
      </w:pPr>
      <w:r w:rsidRPr="00775E56">
        <w:rPr>
          <w:rFonts w:cs="Arial"/>
          <w:sz w:val="22"/>
        </w:rPr>
        <w:t>Risque modéré ; et</w:t>
      </w:r>
    </w:p>
    <w:p w14:paraId="57CE13CA" w14:textId="77777777" w:rsidR="001C2F95" w:rsidRPr="00775E56" w:rsidRDefault="001C2F95" w:rsidP="002378EA">
      <w:pPr>
        <w:numPr>
          <w:ilvl w:val="0"/>
          <w:numId w:val="51"/>
        </w:numPr>
        <w:rPr>
          <w:rFonts w:cs="Arial"/>
          <w:sz w:val="22"/>
        </w:rPr>
      </w:pPr>
      <w:r w:rsidRPr="00775E56">
        <w:rPr>
          <w:rFonts w:cs="Arial"/>
          <w:sz w:val="22"/>
        </w:rPr>
        <w:t>Risque faible.</w:t>
      </w:r>
    </w:p>
    <w:p w14:paraId="17D9FF7B" w14:textId="77777777" w:rsidR="001C2F95" w:rsidRPr="00775E56" w:rsidRDefault="001C2F95" w:rsidP="001C2F95">
      <w:pPr>
        <w:pStyle w:val="Commentaire"/>
        <w:spacing w:line="276" w:lineRule="auto"/>
        <w:rPr>
          <w:rFonts w:cs="Arial"/>
          <w:sz w:val="22"/>
          <w:szCs w:val="22"/>
        </w:rPr>
      </w:pPr>
    </w:p>
    <w:p w14:paraId="212AD605" w14:textId="77777777" w:rsidR="001C2F95" w:rsidRPr="00775E56" w:rsidRDefault="001C2F95" w:rsidP="001C2F95">
      <w:pPr>
        <w:rPr>
          <w:rFonts w:cs="Arial"/>
          <w:sz w:val="22"/>
        </w:rPr>
      </w:pPr>
      <w:r w:rsidRPr="00775E56">
        <w:rPr>
          <w:rFonts w:cs="Arial"/>
          <w:sz w:val="22"/>
        </w:rPr>
        <w:t xml:space="preserve">Pour déterminer la classification appropriée des risques, la Banque </w:t>
      </w:r>
      <w:r>
        <w:rPr>
          <w:rFonts w:cs="Arial"/>
          <w:sz w:val="22"/>
        </w:rPr>
        <w:t>m</w:t>
      </w:r>
      <w:r w:rsidRPr="00775E56">
        <w:rPr>
          <w:rFonts w:cs="Arial"/>
          <w:sz w:val="22"/>
        </w:rPr>
        <w:t>ondiale tient compte des questions pertinentes telles que la nature, la localisation, la sensibilité et l’envergure du Projet</w:t>
      </w:r>
      <w:r>
        <w:rPr>
          <w:rFonts w:cs="Arial"/>
          <w:sz w:val="22"/>
        </w:rPr>
        <w:t> ;</w:t>
      </w:r>
      <w:r w:rsidRPr="00775E56">
        <w:rPr>
          <w:rFonts w:cs="Arial"/>
          <w:sz w:val="22"/>
        </w:rPr>
        <w:t xml:space="preserve"> la nature et l’ampleur des risques et effets environnementaux et sociaux potentiels ; et la capacité et la disposition de l’Emprunteur (et de toute entité chargée de la mise en œuvre du Projet) à gérer les risques et effets environnementaux et sociaux d’une manière conforme aux NES. La détermination des risques d</w:t>
      </w:r>
      <w:r>
        <w:rPr>
          <w:rFonts w:cs="Arial"/>
          <w:sz w:val="22"/>
        </w:rPr>
        <w:t>’</w:t>
      </w:r>
      <w:r w:rsidRPr="00775E56">
        <w:rPr>
          <w:rFonts w:cs="Arial"/>
          <w:sz w:val="22"/>
        </w:rPr>
        <w:t>EAS/HS et COVID-19 fait partie de l'évaluation des risques sociaux mais utilise un outil différent. Les risques d</w:t>
      </w:r>
      <w:r>
        <w:rPr>
          <w:rFonts w:cs="Arial"/>
          <w:sz w:val="22"/>
        </w:rPr>
        <w:t>’</w:t>
      </w:r>
      <w:r w:rsidRPr="00775E56">
        <w:rPr>
          <w:rFonts w:cs="Arial"/>
          <w:sz w:val="22"/>
        </w:rPr>
        <w:t>EAS/HS et COVID-19 sont identifiés à l'aide de l'outil de dépistage des risques d</w:t>
      </w:r>
      <w:r>
        <w:rPr>
          <w:rFonts w:cs="Arial"/>
          <w:sz w:val="22"/>
        </w:rPr>
        <w:t>’EAS/HS</w:t>
      </w:r>
      <w:r w:rsidRPr="00775E56">
        <w:rPr>
          <w:rFonts w:cs="Arial"/>
          <w:sz w:val="22"/>
        </w:rPr>
        <w:t xml:space="preserve"> avec des indicateurs liés au contexte du pays</w:t>
      </w:r>
      <w:r>
        <w:rPr>
          <w:rFonts w:cs="Arial"/>
          <w:sz w:val="22"/>
        </w:rPr>
        <w:t>, en tenant que des aspects genre, la prévalence des VBG, la législation en faveur des droits des femmes et en lutte contre les VBG, etc.,</w:t>
      </w:r>
      <w:r w:rsidRPr="00775E56">
        <w:rPr>
          <w:rFonts w:cs="Arial"/>
          <w:sz w:val="22"/>
        </w:rPr>
        <w:t xml:space="preserve"> </w:t>
      </w:r>
      <w:r>
        <w:rPr>
          <w:rFonts w:cs="Arial"/>
          <w:sz w:val="22"/>
        </w:rPr>
        <w:t>ainsi qu’au</w:t>
      </w:r>
      <w:r w:rsidRPr="00775E56">
        <w:rPr>
          <w:rFonts w:cs="Arial"/>
          <w:sz w:val="22"/>
        </w:rPr>
        <w:t xml:space="preserve"> Projet</w:t>
      </w:r>
      <w:r>
        <w:rPr>
          <w:rFonts w:cs="Arial"/>
          <w:sz w:val="22"/>
        </w:rPr>
        <w:t xml:space="preserve"> compte tenu des activités prévues, les zones d’intervention du projet, la présence militaire, etc</w:t>
      </w:r>
      <w:r w:rsidRPr="00775E56">
        <w:rPr>
          <w:rFonts w:cs="Arial"/>
          <w:sz w:val="22"/>
        </w:rPr>
        <w:t>.</w:t>
      </w:r>
    </w:p>
    <w:p w14:paraId="03614A79" w14:textId="77777777" w:rsidR="001C2F95" w:rsidRPr="00775E56" w:rsidRDefault="001C2F95" w:rsidP="001C2F95">
      <w:pPr>
        <w:rPr>
          <w:rFonts w:cs="Arial"/>
          <w:sz w:val="22"/>
        </w:rPr>
      </w:pPr>
      <w:r w:rsidRPr="00775E56">
        <w:rPr>
          <w:rFonts w:cs="Arial"/>
          <w:sz w:val="22"/>
        </w:rPr>
        <w:t xml:space="preserve">Cette étape va porter sur la classification environnementale et sociale des projets retenus dans le cadre du PNDA, pour pouvoir apprécier ses effets sur l’environnement. Pour cela, il a été conçu un formulaire initial de sélection qui </w:t>
      </w:r>
      <w:r w:rsidRPr="00154F5E">
        <w:rPr>
          <w:rFonts w:cs="Arial"/>
          <w:sz w:val="22"/>
        </w:rPr>
        <w:t>figure en Annexe 1</w:t>
      </w:r>
      <w:r w:rsidRPr="00775E56">
        <w:rPr>
          <w:rFonts w:cs="Arial"/>
          <w:sz w:val="22"/>
        </w:rPr>
        <w:t xml:space="preserve"> du présent rapport. </w:t>
      </w:r>
    </w:p>
    <w:p w14:paraId="4672B077" w14:textId="77777777" w:rsidR="001C2F95" w:rsidRPr="001C360D" w:rsidRDefault="001C2F95" w:rsidP="001C2F95"/>
    <w:p w14:paraId="38E89B06" w14:textId="77777777" w:rsidR="001C2F95" w:rsidRPr="00775E56" w:rsidRDefault="001C2F95" w:rsidP="001C2F95">
      <w:pPr>
        <w:rPr>
          <w:rFonts w:cs="Arial"/>
          <w:sz w:val="22"/>
          <w:u w:val="single"/>
        </w:rPr>
      </w:pPr>
      <w:r w:rsidRPr="00775E56">
        <w:rPr>
          <w:rFonts w:cs="Arial"/>
          <w:sz w:val="22"/>
          <w:u w:val="single"/>
        </w:rPr>
        <w:t>En phase de préparation du PNDA</w:t>
      </w:r>
    </w:p>
    <w:p w14:paraId="4E900E32" w14:textId="77777777" w:rsidR="001C2F95" w:rsidRPr="00775E56" w:rsidRDefault="001C2F95" w:rsidP="001C2F95">
      <w:pPr>
        <w:rPr>
          <w:rFonts w:cs="Arial"/>
          <w:sz w:val="22"/>
        </w:rPr>
      </w:pPr>
    </w:p>
    <w:p w14:paraId="077D65EA" w14:textId="77777777" w:rsidR="001C2F95" w:rsidRPr="00775E56" w:rsidRDefault="001C2F95" w:rsidP="001C2F95">
      <w:pPr>
        <w:rPr>
          <w:rFonts w:cs="Arial"/>
          <w:sz w:val="22"/>
        </w:rPr>
      </w:pPr>
      <w:r w:rsidRPr="00775E56">
        <w:rPr>
          <w:rFonts w:cs="Arial"/>
          <w:sz w:val="22"/>
        </w:rPr>
        <w:t>La phase de préparation du Projet est assurée par l’UNCP du PARRSA avec l’appui du Comité Technique Préparatoire et de Suivi du PNDA mis en place le 11 juin 2019 par le Ministère de l’Agriculture. Durant cette phase, en cas de réalisation d’un sous-projet, le remplissage du formulaire initial de sélection sera effectué par le Spécialiste en Sauvegarde Environnementale (SSE)</w:t>
      </w:r>
      <w:r>
        <w:rPr>
          <w:rFonts w:cs="Arial"/>
          <w:sz w:val="22"/>
        </w:rPr>
        <w:t xml:space="preserve">, </w:t>
      </w:r>
      <w:r w:rsidRPr="00775E56">
        <w:rPr>
          <w:rFonts w:cs="Arial"/>
          <w:sz w:val="22"/>
        </w:rPr>
        <w:t>le Spécialiste en Sauvegarde</w:t>
      </w:r>
      <w:r w:rsidRPr="00775E56" w:rsidDel="001F01F3">
        <w:rPr>
          <w:rFonts w:cs="Arial"/>
          <w:sz w:val="22"/>
        </w:rPr>
        <w:t xml:space="preserve"> </w:t>
      </w:r>
      <w:r w:rsidRPr="00775E56">
        <w:rPr>
          <w:rFonts w:cs="Arial"/>
          <w:sz w:val="22"/>
        </w:rPr>
        <w:t>Social (</w:t>
      </w:r>
      <w:r>
        <w:rPr>
          <w:rFonts w:cs="Arial"/>
          <w:sz w:val="22"/>
        </w:rPr>
        <w:t>SSS</w:t>
      </w:r>
      <w:r w:rsidRPr="00775E56">
        <w:rPr>
          <w:rFonts w:cs="Arial"/>
          <w:sz w:val="22"/>
        </w:rPr>
        <w:t xml:space="preserve">) et le </w:t>
      </w:r>
      <w:r>
        <w:rPr>
          <w:rFonts w:cs="Arial"/>
          <w:sz w:val="22"/>
        </w:rPr>
        <w:t>S</w:t>
      </w:r>
      <w:r w:rsidRPr="00775E56">
        <w:rPr>
          <w:rFonts w:cs="Arial"/>
          <w:sz w:val="22"/>
        </w:rPr>
        <w:t>pécialiste en VBG</w:t>
      </w:r>
      <w:r>
        <w:rPr>
          <w:rFonts w:cs="Arial"/>
          <w:sz w:val="22"/>
        </w:rPr>
        <w:t xml:space="preserve"> (SVBG)</w:t>
      </w:r>
      <w:r w:rsidRPr="00775E56">
        <w:rPr>
          <w:rFonts w:cs="Arial"/>
          <w:sz w:val="22"/>
        </w:rPr>
        <w:t xml:space="preserve"> qui sont déjà en fonction à l’UNCP/PARRSA</w:t>
      </w:r>
      <w:r>
        <w:rPr>
          <w:rFonts w:cs="Arial"/>
          <w:sz w:val="22"/>
        </w:rPr>
        <w:t>.</w:t>
      </w:r>
      <w:r w:rsidRPr="00775E56">
        <w:rPr>
          <w:rFonts w:cs="Arial"/>
          <w:sz w:val="22"/>
        </w:rPr>
        <w:t xml:space="preserve"> Ces </w:t>
      </w:r>
      <w:r>
        <w:rPr>
          <w:rFonts w:cs="Arial"/>
          <w:sz w:val="22"/>
        </w:rPr>
        <w:t xml:space="preserve">derniers </w:t>
      </w:r>
      <w:r w:rsidRPr="00775E56">
        <w:rPr>
          <w:rFonts w:cs="Arial"/>
          <w:sz w:val="22"/>
        </w:rPr>
        <w:t>procéderont également à la classification du projet.</w:t>
      </w:r>
      <w:r>
        <w:rPr>
          <w:rFonts w:cs="Arial"/>
          <w:sz w:val="22"/>
        </w:rPr>
        <w:t> </w:t>
      </w:r>
    </w:p>
    <w:p w14:paraId="70BB7C00" w14:textId="77777777" w:rsidR="001C2F95" w:rsidRPr="00775E56" w:rsidRDefault="001C2F95" w:rsidP="001C2F95">
      <w:pPr>
        <w:rPr>
          <w:rFonts w:cs="Arial"/>
          <w:sz w:val="22"/>
        </w:rPr>
      </w:pPr>
    </w:p>
    <w:p w14:paraId="6390FC77" w14:textId="77777777" w:rsidR="001C2F95" w:rsidRPr="00775E56" w:rsidRDefault="001C2F95" w:rsidP="001C2F95">
      <w:pPr>
        <w:tabs>
          <w:tab w:val="left" w:pos="6180"/>
        </w:tabs>
        <w:rPr>
          <w:rFonts w:cs="Arial"/>
          <w:sz w:val="22"/>
          <w:u w:val="single"/>
        </w:rPr>
      </w:pPr>
      <w:r w:rsidRPr="00775E56">
        <w:rPr>
          <w:rFonts w:cs="Arial"/>
          <w:sz w:val="22"/>
          <w:u w:val="single"/>
        </w:rPr>
        <w:t>En phase de mise en œuvre du Pro</w:t>
      </w:r>
      <w:r>
        <w:rPr>
          <w:rFonts w:cs="Arial"/>
          <w:sz w:val="22"/>
          <w:u w:val="single"/>
        </w:rPr>
        <w:t xml:space="preserve">gramme </w:t>
      </w:r>
      <w:r w:rsidRPr="00775E56">
        <w:rPr>
          <w:rFonts w:cs="Arial"/>
          <w:sz w:val="22"/>
          <w:u w:val="single"/>
        </w:rPr>
        <w:t>PNDA</w:t>
      </w:r>
    </w:p>
    <w:p w14:paraId="4C3253CC" w14:textId="77777777" w:rsidR="001C2F95" w:rsidRPr="00775E56" w:rsidRDefault="001C2F95" w:rsidP="001C2F95">
      <w:pPr>
        <w:rPr>
          <w:rFonts w:cs="Arial"/>
          <w:sz w:val="22"/>
        </w:rPr>
      </w:pPr>
    </w:p>
    <w:p w14:paraId="41C58889" w14:textId="77777777" w:rsidR="001C2F95" w:rsidRPr="00775E56" w:rsidRDefault="001C2F95" w:rsidP="001C2F95">
      <w:pPr>
        <w:rPr>
          <w:rFonts w:cs="Arial"/>
          <w:sz w:val="22"/>
        </w:rPr>
      </w:pPr>
      <w:r w:rsidRPr="00775E56">
        <w:rPr>
          <w:rFonts w:cs="Arial"/>
          <w:sz w:val="22"/>
        </w:rPr>
        <w:t>En phase de mise en œuvre, le remplissage du formulaire initial de sélection sera effectué par le SSE</w:t>
      </w:r>
      <w:r>
        <w:rPr>
          <w:rFonts w:cs="Arial"/>
          <w:sz w:val="22"/>
        </w:rPr>
        <w:t>,</w:t>
      </w:r>
      <w:r w:rsidRPr="00775E56">
        <w:rPr>
          <w:rFonts w:cs="Arial"/>
          <w:sz w:val="22"/>
        </w:rPr>
        <w:t xml:space="preserve"> le S</w:t>
      </w:r>
      <w:r>
        <w:rPr>
          <w:rFonts w:cs="Arial"/>
          <w:sz w:val="22"/>
        </w:rPr>
        <w:t>SS,</w:t>
      </w:r>
      <w:r w:rsidRPr="00775E56">
        <w:rPr>
          <w:rFonts w:cs="Arial"/>
          <w:sz w:val="22"/>
        </w:rPr>
        <w:t xml:space="preserve"> et le </w:t>
      </w:r>
      <w:r>
        <w:rPr>
          <w:rFonts w:cs="Arial"/>
          <w:sz w:val="22"/>
        </w:rPr>
        <w:t>S</w:t>
      </w:r>
      <w:r w:rsidRPr="00775E56">
        <w:rPr>
          <w:rFonts w:cs="Arial"/>
          <w:sz w:val="22"/>
        </w:rPr>
        <w:t xml:space="preserve">VBG </w:t>
      </w:r>
      <w:r>
        <w:rPr>
          <w:rFonts w:cs="Arial"/>
          <w:sz w:val="22"/>
        </w:rPr>
        <w:t>de</w:t>
      </w:r>
      <w:r w:rsidRPr="00775E56">
        <w:rPr>
          <w:rFonts w:cs="Arial"/>
          <w:sz w:val="22"/>
        </w:rPr>
        <w:t xml:space="preserve"> l’</w:t>
      </w:r>
      <w:r>
        <w:rPr>
          <w:rFonts w:cs="Arial"/>
          <w:sz w:val="22"/>
        </w:rPr>
        <w:t>UNCP.</w:t>
      </w:r>
    </w:p>
    <w:p w14:paraId="5213B7ED" w14:textId="77777777" w:rsidR="001C2F95" w:rsidRPr="00775E56" w:rsidRDefault="001C2F95" w:rsidP="001C2F95">
      <w:pPr>
        <w:rPr>
          <w:rFonts w:cs="Arial"/>
          <w:sz w:val="22"/>
        </w:rPr>
      </w:pPr>
    </w:p>
    <w:p w14:paraId="5983D5DD" w14:textId="77777777" w:rsidR="001C2F95" w:rsidRDefault="001C2F95" w:rsidP="001C2F95">
      <w:pPr>
        <w:rPr>
          <w:rFonts w:cs="Arial"/>
          <w:sz w:val="22"/>
        </w:rPr>
      </w:pPr>
      <w:r w:rsidRPr="00775E56">
        <w:rPr>
          <w:rFonts w:cs="Arial"/>
          <w:sz w:val="22"/>
        </w:rPr>
        <w:t>Ces spécialistes (SSE</w:t>
      </w:r>
      <w:r>
        <w:rPr>
          <w:rFonts w:cs="Arial"/>
          <w:sz w:val="22"/>
        </w:rPr>
        <w:t>,</w:t>
      </w:r>
      <w:r w:rsidRPr="00775E56">
        <w:rPr>
          <w:rFonts w:cs="Arial"/>
          <w:sz w:val="22"/>
        </w:rPr>
        <w:t xml:space="preserve"> </w:t>
      </w:r>
      <w:r>
        <w:rPr>
          <w:rFonts w:cs="Arial"/>
          <w:sz w:val="22"/>
        </w:rPr>
        <w:t>SSS, SVBG</w:t>
      </w:r>
      <w:r w:rsidRPr="00775E56">
        <w:rPr>
          <w:rFonts w:cs="Arial"/>
          <w:sz w:val="22"/>
        </w:rPr>
        <w:t xml:space="preserve">) procéderont également à la classification du projet. </w:t>
      </w:r>
    </w:p>
    <w:p w14:paraId="31B0662A" w14:textId="77777777" w:rsidR="00320F17" w:rsidRDefault="00320F17" w:rsidP="001C2F95">
      <w:pPr>
        <w:rPr>
          <w:rFonts w:cs="Arial"/>
          <w:sz w:val="22"/>
        </w:rPr>
      </w:pPr>
    </w:p>
    <w:p w14:paraId="574C1BCB" w14:textId="77777777" w:rsidR="00320F17" w:rsidRPr="00775E56" w:rsidRDefault="00320F17" w:rsidP="00320F17">
      <w:pPr>
        <w:rPr>
          <w:rFonts w:cs="Arial"/>
          <w:bCs/>
          <w:i/>
          <w:sz w:val="22"/>
        </w:rPr>
      </w:pPr>
      <w:r w:rsidRPr="00775E56">
        <w:rPr>
          <w:rFonts w:cs="Arial"/>
          <w:bCs/>
          <w:i/>
          <w:sz w:val="22"/>
        </w:rPr>
        <w:t xml:space="preserve">Étape </w:t>
      </w:r>
      <w:r>
        <w:rPr>
          <w:rFonts w:cs="Arial"/>
          <w:bCs/>
          <w:i/>
          <w:sz w:val="22"/>
        </w:rPr>
        <w:t>2</w:t>
      </w:r>
      <w:r w:rsidRPr="00775E56">
        <w:rPr>
          <w:rFonts w:cs="Arial"/>
          <w:bCs/>
          <w:i/>
          <w:sz w:val="22"/>
        </w:rPr>
        <w:t xml:space="preserve"> : Sélection environnementale et sociale des sous-projets </w:t>
      </w:r>
    </w:p>
    <w:p w14:paraId="1DD31FFA" w14:textId="77777777" w:rsidR="00320F17" w:rsidRPr="00775E56" w:rsidRDefault="00320F17" w:rsidP="00320F17">
      <w:pPr>
        <w:rPr>
          <w:rFonts w:cs="Arial"/>
          <w:sz w:val="22"/>
        </w:rPr>
      </w:pPr>
    </w:p>
    <w:p w14:paraId="477E7C82" w14:textId="77777777" w:rsidR="00320F17" w:rsidRDefault="00180F43" w:rsidP="001C2F95">
      <w:pPr>
        <w:rPr>
          <w:rFonts w:cs="Arial"/>
          <w:sz w:val="22"/>
        </w:rPr>
      </w:pPr>
      <w:r w:rsidRPr="00180F43">
        <w:rPr>
          <w:rFonts w:cs="Arial"/>
          <w:sz w:val="22"/>
        </w:rPr>
        <w:t>Le programme concevra un formulaire de sélection pour aider dans la sélection initiale des activités du PNDA. Le formulaire sera conçu pour mettre les informations entre les mains des exécutants et des analystes afin que les impacts environnementaux et sociaux et les mesures d’atténuation y relatives, s’il y en a, soient identifiés et/ou que les exigences en vue d’une analyse environnementale plus poussée soient déterminées. Le formulaire de sélection contient des informations qui permettront aux analystes de déterminer les aspects caractéristiques de l’environnement biophysique local et social aux fins d’évaluer les impacts environnementaux et socio-économiques potentiels de l’activité. Si le formulaire de sélection contient des réponses affirmatives quelques « Oui », ou celles négatives apparemment injustifiées  « Non », la demande du projet devrait expliquer de manière adéquate et démontrer que le sujet a été appréhendé pour éviter les effets/impacts négatifs inacceptables</w:t>
      </w:r>
      <w:r>
        <w:rPr>
          <w:rFonts w:cs="Arial"/>
          <w:sz w:val="22"/>
        </w:rPr>
        <w:t>.</w:t>
      </w:r>
    </w:p>
    <w:p w14:paraId="5A7B5407" w14:textId="77777777" w:rsidR="001C2F95" w:rsidRPr="00775E56" w:rsidRDefault="001C2F95" w:rsidP="001C2F95">
      <w:pPr>
        <w:rPr>
          <w:rFonts w:cs="Arial"/>
          <w:sz w:val="22"/>
        </w:rPr>
      </w:pPr>
    </w:p>
    <w:p w14:paraId="4853715A" w14:textId="77777777" w:rsidR="001C2F95" w:rsidRPr="00775E56" w:rsidRDefault="001C2F95" w:rsidP="001C2F95">
      <w:pPr>
        <w:rPr>
          <w:rFonts w:cs="Arial"/>
          <w:bCs/>
          <w:i/>
          <w:sz w:val="22"/>
        </w:rPr>
      </w:pPr>
      <w:r w:rsidRPr="00775E56">
        <w:rPr>
          <w:rFonts w:cs="Arial"/>
          <w:bCs/>
          <w:i/>
          <w:sz w:val="22"/>
        </w:rPr>
        <w:t xml:space="preserve">Étape </w:t>
      </w:r>
      <w:r w:rsidR="00320F17">
        <w:rPr>
          <w:rFonts w:cs="Arial"/>
          <w:bCs/>
          <w:i/>
          <w:sz w:val="22"/>
        </w:rPr>
        <w:t>3</w:t>
      </w:r>
      <w:r w:rsidRPr="00775E56">
        <w:rPr>
          <w:rFonts w:cs="Arial"/>
          <w:bCs/>
          <w:i/>
          <w:sz w:val="22"/>
        </w:rPr>
        <w:t xml:space="preserve"> : Approbation de la classification environnementale</w:t>
      </w:r>
      <w:r>
        <w:rPr>
          <w:rFonts w:cs="Arial"/>
          <w:bCs/>
          <w:i/>
          <w:sz w:val="22"/>
        </w:rPr>
        <w:t xml:space="preserve"> et sociale</w:t>
      </w:r>
      <w:r w:rsidRPr="00775E56">
        <w:rPr>
          <w:rFonts w:cs="Arial"/>
          <w:bCs/>
          <w:i/>
          <w:sz w:val="22"/>
        </w:rPr>
        <w:t xml:space="preserve"> du sous-projet </w:t>
      </w:r>
    </w:p>
    <w:p w14:paraId="4430573F" w14:textId="77777777" w:rsidR="001C2F95" w:rsidRPr="00775E56" w:rsidRDefault="001C2F95" w:rsidP="001C2F95">
      <w:pPr>
        <w:rPr>
          <w:rFonts w:cs="Arial"/>
          <w:sz w:val="22"/>
        </w:rPr>
      </w:pPr>
    </w:p>
    <w:p w14:paraId="0D8FE5A7" w14:textId="77777777" w:rsidR="001C2F95" w:rsidRPr="00775E56" w:rsidRDefault="001C2F95" w:rsidP="001C2F95">
      <w:pPr>
        <w:rPr>
          <w:rFonts w:cs="Arial"/>
          <w:sz w:val="22"/>
        </w:rPr>
      </w:pPr>
      <w:r w:rsidRPr="00775E56">
        <w:rPr>
          <w:rFonts w:cs="Arial"/>
          <w:sz w:val="22"/>
        </w:rPr>
        <w:t xml:space="preserve">La validation de la classification environnementale et sociale des sous-projets sera effectuée par la Banque Mondiale, après transmission de la fiche de </w:t>
      </w:r>
      <w:r>
        <w:rPr>
          <w:rFonts w:cs="Arial"/>
          <w:sz w:val="22"/>
        </w:rPr>
        <w:t>dépistage</w:t>
      </w:r>
      <w:r w:rsidR="00682DF2">
        <w:rPr>
          <w:rFonts w:cs="Arial"/>
          <w:sz w:val="22"/>
        </w:rPr>
        <w:t xml:space="preserve"> (screening)</w:t>
      </w:r>
      <w:r w:rsidRPr="00775E56">
        <w:rPr>
          <w:rFonts w:cs="Arial"/>
          <w:sz w:val="22"/>
        </w:rPr>
        <w:t xml:space="preserve"> de sous-projet par le PNDA (en phase de préparation du Projet). La législation nationale n’ayant pas établi une classification environnementale des sous-projets, c’est donc la catégorisation environnementale de la Banque Mondiale qui va s’appliquer. </w:t>
      </w:r>
    </w:p>
    <w:p w14:paraId="646A025F" w14:textId="77777777" w:rsidR="001C2F95" w:rsidRDefault="001C2F95" w:rsidP="001C2F95">
      <w:pPr>
        <w:rPr>
          <w:rFonts w:cs="Arial"/>
          <w:bCs/>
          <w:i/>
          <w:sz w:val="22"/>
        </w:rPr>
      </w:pPr>
    </w:p>
    <w:p w14:paraId="51E9D405" w14:textId="77777777" w:rsidR="00E31B78" w:rsidRPr="00775E56" w:rsidRDefault="00E31B78" w:rsidP="001C2F95">
      <w:pPr>
        <w:rPr>
          <w:rFonts w:cs="Arial"/>
          <w:bCs/>
          <w:i/>
          <w:sz w:val="22"/>
        </w:rPr>
      </w:pPr>
    </w:p>
    <w:p w14:paraId="1277B809" w14:textId="77777777" w:rsidR="001C2F95" w:rsidRPr="00775E56" w:rsidRDefault="001C2F95" w:rsidP="001C2F95">
      <w:pPr>
        <w:rPr>
          <w:rFonts w:cs="Arial"/>
          <w:bCs/>
          <w:i/>
          <w:sz w:val="22"/>
        </w:rPr>
      </w:pPr>
      <w:r w:rsidRPr="00775E56">
        <w:rPr>
          <w:rFonts w:cs="Arial"/>
          <w:bCs/>
          <w:i/>
          <w:sz w:val="22"/>
        </w:rPr>
        <w:t xml:space="preserve">Étape </w:t>
      </w:r>
      <w:r w:rsidR="00320F17">
        <w:rPr>
          <w:rFonts w:cs="Arial"/>
          <w:bCs/>
          <w:i/>
          <w:sz w:val="22"/>
        </w:rPr>
        <w:t>4</w:t>
      </w:r>
      <w:r w:rsidRPr="00775E56">
        <w:rPr>
          <w:rFonts w:cs="Arial"/>
          <w:bCs/>
          <w:i/>
          <w:sz w:val="22"/>
        </w:rPr>
        <w:t xml:space="preserve"> : Préparation et approbation des </w:t>
      </w:r>
      <w:r w:rsidR="00180F43" w:rsidRPr="00775E56">
        <w:rPr>
          <w:rFonts w:cs="Arial"/>
          <w:bCs/>
          <w:i/>
          <w:sz w:val="22"/>
        </w:rPr>
        <w:t>TDR</w:t>
      </w:r>
      <w:r w:rsidR="00180F43" w:rsidRPr="00596D04">
        <w:rPr>
          <w:rFonts w:cs="Arial"/>
          <w:i/>
          <w:sz w:val="22"/>
        </w:rPr>
        <w:t xml:space="preserve"> </w:t>
      </w:r>
      <w:r w:rsidR="00180F43">
        <w:rPr>
          <w:rFonts w:cs="Arial"/>
          <w:i/>
          <w:sz w:val="22"/>
        </w:rPr>
        <w:t>de</w:t>
      </w:r>
      <w:r w:rsidRPr="00775E56">
        <w:rPr>
          <w:rFonts w:cs="Arial"/>
          <w:i/>
          <w:sz w:val="22"/>
        </w:rPr>
        <w:t xml:space="preserve"> l’instrument spécifique de sauvegarde E&amp;S de sous-projet</w:t>
      </w:r>
    </w:p>
    <w:p w14:paraId="15DBDA2F" w14:textId="77777777" w:rsidR="001C2F95" w:rsidRPr="00775E56" w:rsidRDefault="001C2F95" w:rsidP="001C2F95">
      <w:pPr>
        <w:rPr>
          <w:rFonts w:cs="Arial"/>
          <w:sz w:val="22"/>
        </w:rPr>
      </w:pPr>
    </w:p>
    <w:p w14:paraId="2E4DF74B" w14:textId="77777777" w:rsidR="001C2F95" w:rsidRPr="00775E56" w:rsidRDefault="001C2F95" w:rsidP="001C2F95">
      <w:pPr>
        <w:rPr>
          <w:rFonts w:cs="Arial"/>
          <w:sz w:val="22"/>
        </w:rPr>
      </w:pPr>
      <w:r w:rsidRPr="00775E56">
        <w:rPr>
          <w:rFonts w:cs="Arial"/>
          <w:sz w:val="22"/>
        </w:rPr>
        <w:t>La préparation des TDR sera effectuée par</w:t>
      </w:r>
      <w:r>
        <w:rPr>
          <w:rFonts w:cs="Arial"/>
          <w:sz w:val="22"/>
        </w:rPr>
        <w:t xml:space="preserve"> </w:t>
      </w:r>
      <w:r w:rsidRPr="00775E56">
        <w:rPr>
          <w:rFonts w:cs="Arial"/>
          <w:sz w:val="22"/>
        </w:rPr>
        <w:t xml:space="preserve">le </w:t>
      </w:r>
      <w:r>
        <w:rPr>
          <w:rFonts w:cs="Arial"/>
          <w:sz w:val="22"/>
        </w:rPr>
        <w:t>SSE, le SSS, et le SVBG</w:t>
      </w:r>
      <w:r w:rsidRPr="00775E56">
        <w:rPr>
          <w:rFonts w:cs="Arial"/>
          <w:sz w:val="22"/>
        </w:rPr>
        <w:t xml:space="preserve"> pour la phase de préparation et de la mise en œuvre du projet. </w:t>
      </w:r>
    </w:p>
    <w:p w14:paraId="0014D742" w14:textId="77777777" w:rsidR="001C2F95" w:rsidRPr="00775E56" w:rsidRDefault="001C2F95" w:rsidP="001C2F95">
      <w:pPr>
        <w:rPr>
          <w:rFonts w:cs="Arial"/>
          <w:sz w:val="22"/>
        </w:rPr>
      </w:pPr>
    </w:p>
    <w:p w14:paraId="3A92BEBE" w14:textId="77777777" w:rsidR="001C2F95" w:rsidRPr="00775E56" w:rsidRDefault="001C2F95" w:rsidP="001C2F95">
      <w:pPr>
        <w:rPr>
          <w:rFonts w:cs="Arial"/>
          <w:sz w:val="22"/>
        </w:rPr>
      </w:pPr>
      <w:r w:rsidRPr="00775E56">
        <w:rPr>
          <w:rFonts w:cs="Arial"/>
          <w:sz w:val="22"/>
        </w:rPr>
        <w:t>Ces TDR seront soumis à l’ACE et à la Banque Mondiale pour approbation.</w:t>
      </w:r>
    </w:p>
    <w:p w14:paraId="2AAC489B" w14:textId="77777777" w:rsidR="00D3237F" w:rsidRDefault="00D3237F" w:rsidP="001C2F95">
      <w:pPr>
        <w:rPr>
          <w:rFonts w:cs="Arial"/>
          <w:bCs/>
          <w:i/>
          <w:sz w:val="22"/>
        </w:rPr>
      </w:pPr>
    </w:p>
    <w:p w14:paraId="2E6A31A9" w14:textId="77777777" w:rsidR="001C2F95" w:rsidRPr="00775E56" w:rsidRDefault="001C2F95" w:rsidP="001C2F95">
      <w:pPr>
        <w:rPr>
          <w:rFonts w:cs="Arial"/>
          <w:sz w:val="22"/>
          <w:highlight w:val="yellow"/>
        </w:rPr>
      </w:pPr>
      <w:r w:rsidRPr="00775E56">
        <w:rPr>
          <w:rFonts w:cs="Arial"/>
          <w:bCs/>
          <w:i/>
          <w:sz w:val="22"/>
        </w:rPr>
        <w:t xml:space="preserve">Étape </w:t>
      </w:r>
      <w:r w:rsidR="00320F17">
        <w:rPr>
          <w:rFonts w:cs="Arial"/>
          <w:bCs/>
          <w:i/>
          <w:sz w:val="22"/>
        </w:rPr>
        <w:t>5</w:t>
      </w:r>
      <w:r w:rsidRPr="00775E56">
        <w:rPr>
          <w:rFonts w:cs="Arial"/>
          <w:bCs/>
          <w:i/>
          <w:sz w:val="22"/>
        </w:rPr>
        <w:t> : Réalisation de l’étude y compris consultation du public</w:t>
      </w:r>
    </w:p>
    <w:p w14:paraId="3AFFE195" w14:textId="77777777" w:rsidR="001C2F95" w:rsidRPr="00775E56" w:rsidRDefault="001C2F95" w:rsidP="001C2F95">
      <w:pPr>
        <w:rPr>
          <w:rFonts w:cs="Arial"/>
          <w:sz w:val="22"/>
        </w:rPr>
      </w:pPr>
    </w:p>
    <w:p w14:paraId="057DEC05" w14:textId="77777777" w:rsidR="001C2F95" w:rsidRPr="00775E56" w:rsidRDefault="001C2F95" w:rsidP="001C2F95">
      <w:pPr>
        <w:rPr>
          <w:rFonts w:cs="Arial"/>
          <w:sz w:val="22"/>
        </w:rPr>
      </w:pPr>
      <w:r w:rsidRPr="00775E56">
        <w:rPr>
          <w:rFonts w:cs="Arial"/>
          <w:sz w:val="22"/>
        </w:rPr>
        <w:t xml:space="preserve">Pour les sous-projets ne nécessitant donc pas une étude environnementale et sociale supplémentaire importante mais uniquement de simples mesures d’atténuation, le SSE et le SSS ainsi que le SVBG vont puiser dans la liste des mesures environnementales et sociales, y compris celles liées à </w:t>
      </w:r>
      <w:r>
        <w:rPr>
          <w:rFonts w:cs="Arial"/>
          <w:sz w:val="22"/>
        </w:rPr>
        <w:t>l’</w:t>
      </w:r>
      <w:r w:rsidRPr="00775E56">
        <w:rPr>
          <w:rFonts w:cs="Arial"/>
          <w:sz w:val="22"/>
        </w:rPr>
        <w:t>EAS/HS et COVID-19, proposées dans le CGES, les mesures jugées appropriées pour les inclure dans les dossiers d’appel d’offre et d’exécution.</w:t>
      </w:r>
    </w:p>
    <w:p w14:paraId="4AD43BF4" w14:textId="77777777" w:rsidR="001C2F95" w:rsidRPr="00775E56" w:rsidRDefault="001C2F95" w:rsidP="001C2F95">
      <w:pPr>
        <w:rPr>
          <w:rFonts w:cs="Arial"/>
          <w:sz w:val="22"/>
        </w:rPr>
      </w:pPr>
    </w:p>
    <w:p w14:paraId="4B0CEC10" w14:textId="77777777" w:rsidR="001C2F95" w:rsidRPr="00775E56" w:rsidRDefault="001C2F95" w:rsidP="001C2F95">
      <w:pPr>
        <w:rPr>
          <w:rFonts w:cs="Arial"/>
          <w:sz w:val="22"/>
        </w:rPr>
      </w:pPr>
      <w:r w:rsidRPr="00775E56">
        <w:rPr>
          <w:rFonts w:cs="Arial"/>
          <w:sz w:val="22"/>
        </w:rPr>
        <w:t xml:space="preserve">Pour les sous-projets nécessitant donc une étude environnementale et sociale supplémentaire importante, le SSE et le SSS (pour la phase de préparation du projet) y compris </w:t>
      </w:r>
      <w:r>
        <w:rPr>
          <w:rFonts w:cs="Arial"/>
          <w:sz w:val="22"/>
        </w:rPr>
        <w:t>le S</w:t>
      </w:r>
      <w:r w:rsidRPr="00775E56">
        <w:rPr>
          <w:rFonts w:cs="Arial"/>
          <w:sz w:val="22"/>
        </w:rPr>
        <w:t>VBG effectuent les activités suivantes : préparation des termes de référence pour l’ÉIES</w:t>
      </w:r>
      <w:r w:rsidR="00682DF2">
        <w:rPr>
          <w:rFonts w:cs="Arial"/>
          <w:sz w:val="22"/>
        </w:rPr>
        <w:t>, NIES/</w:t>
      </w:r>
      <w:r>
        <w:rPr>
          <w:rFonts w:cs="Arial"/>
          <w:sz w:val="22"/>
        </w:rPr>
        <w:t>PGES</w:t>
      </w:r>
      <w:r w:rsidR="00682DF2">
        <w:rPr>
          <w:rFonts w:cs="Arial"/>
          <w:sz w:val="22"/>
        </w:rPr>
        <w:t>, PAR ou PSR</w:t>
      </w:r>
      <w:r w:rsidRPr="00775E56">
        <w:rPr>
          <w:rFonts w:cs="Arial"/>
          <w:sz w:val="22"/>
        </w:rPr>
        <w:t xml:space="preserve"> ; participation au recrutement du consultant (firme ou bureau d’études spécialisés) pour élaborer l’ÉIES, révision des études produites par les consultants avant de les envoyer à la Banque </w:t>
      </w:r>
      <w:r>
        <w:rPr>
          <w:rFonts w:cs="Arial"/>
          <w:sz w:val="22"/>
        </w:rPr>
        <w:t>m</w:t>
      </w:r>
      <w:r w:rsidRPr="00775E56">
        <w:rPr>
          <w:rFonts w:cs="Arial"/>
          <w:sz w:val="22"/>
        </w:rPr>
        <w:t xml:space="preserve">ondiale </w:t>
      </w:r>
      <w:r>
        <w:rPr>
          <w:rFonts w:cs="Arial"/>
          <w:sz w:val="22"/>
        </w:rPr>
        <w:t xml:space="preserve">et à l’ACE </w:t>
      </w:r>
      <w:r w:rsidRPr="00775E56">
        <w:rPr>
          <w:rFonts w:cs="Arial"/>
          <w:sz w:val="22"/>
        </w:rPr>
        <w:t>pour approbation.</w:t>
      </w:r>
    </w:p>
    <w:p w14:paraId="49C8F548" w14:textId="77777777" w:rsidR="001C2F95" w:rsidRPr="00775E56" w:rsidRDefault="001C2F95" w:rsidP="001C2F95">
      <w:pPr>
        <w:rPr>
          <w:rFonts w:cs="Arial"/>
          <w:sz w:val="22"/>
        </w:rPr>
      </w:pPr>
    </w:p>
    <w:p w14:paraId="3D76B255" w14:textId="77777777" w:rsidR="001C2F95" w:rsidRDefault="001C2F95" w:rsidP="001C2F95">
      <w:pPr>
        <w:rPr>
          <w:rFonts w:cs="Arial"/>
          <w:sz w:val="22"/>
        </w:rPr>
      </w:pPr>
      <w:r w:rsidRPr="00775E56">
        <w:rPr>
          <w:rFonts w:cs="Arial"/>
          <w:sz w:val="22"/>
        </w:rPr>
        <w:t>Les études environnementales et sociales seront préparées de manière indépendante, mais en étroite collaboration avec les études techniques.</w:t>
      </w:r>
    </w:p>
    <w:p w14:paraId="0DA4454B" w14:textId="77777777" w:rsidR="001C2F95" w:rsidRPr="00775E56" w:rsidRDefault="001C2F95" w:rsidP="001C2F95">
      <w:pPr>
        <w:rPr>
          <w:rFonts w:cs="Arial"/>
          <w:sz w:val="22"/>
        </w:rPr>
      </w:pPr>
    </w:p>
    <w:p w14:paraId="7202FCA0" w14:textId="77777777" w:rsidR="001C2F95" w:rsidRPr="00775E56" w:rsidRDefault="001C2F95" w:rsidP="001C2F95">
      <w:pPr>
        <w:rPr>
          <w:rFonts w:cs="Arial"/>
          <w:bCs/>
          <w:i/>
          <w:iCs/>
          <w:sz w:val="22"/>
        </w:rPr>
      </w:pPr>
      <w:r w:rsidRPr="00775E56">
        <w:rPr>
          <w:rFonts w:cs="Arial"/>
          <w:bCs/>
          <w:i/>
          <w:sz w:val="22"/>
        </w:rPr>
        <w:t xml:space="preserve">Étape </w:t>
      </w:r>
      <w:r w:rsidR="00320F17">
        <w:rPr>
          <w:rFonts w:cs="Arial"/>
          <w:bCs/>
          <w:i/>
          <w:sz w:val="22"/>
        </w:rPr>
        <w:t>6</w:t>
      </w:r>
      <w:r w:rsidRPr="00775E56">
        <w:rPr>
          <w:rFonts w:cs="Arial"/>
          <w:bCs/>
          <w:i/>
          <w:sz w:val="22"/>
        </w:rPr>
        <w:t xml:space="preserve"> : </w:t>
      </w:r>
      <w:r w:rsidRPr="00775E56">
        <w:rPr>
          <w:rFonts w:cs="Arial"/>
          <w:bCs/>
          <w:i/>
          <w:iCs/>
          <w:sz w:val="22"/>
        </w:rPr>
        <w:t>Validation du document et obtention du certificat environnemental</w:t>
      </w:r>
    </w:p>
    <w:p w14:paraId="77A270AC" w14:textId="77777777" w:rsidR="001C2F95" w:rsidRPr="00775E56" w:rsidRDefault="001C2F95" w:rsidP="001C2F95">
      <w:pPr>
        <w:rPr>
          <w:rFonts w:cs="Arial"/>
          <w:sz w:val="22"/>
        </w:rPr>
      </w:pPr>
    </w:p>
    <w:p w14:paraId="2DC95BB7" w14:textId="77777777" w:rsidR="001C2F95" w:rsidRPr="00775E56" w:rsidRDefault="001C2F95" w:rsidP="001C2F95">
      <w:pPr>
        <w:rPr>
          <w:rFonts w:cs="Arial"/>
          <w:sz w:val="22"/>
        </w:rPr>
      </w:pPr>
      <w:r w:rsidRPr="00775E56">
        <w:rPr>
          <w:rFonts w:cs="Arial"/>
          <w:sz w:val="22"/>
        </w:rPr>
        <w:t xml:space="preserve">Les éventuels rapports d’études d’impact environnemental et social sont examinés et validés par l’ACE et la Banque </w:t>
      </w:r>
      <w:r>
        <w:rPr>
          <w:rFonts w:cs="Arial"/>
          <w:sz w:val="22"/>
        </w:rPr>
        <w:t>m</w:t>
      </w:r>
      <w:r w:rsidRPr="00775E56">
        <w:rPr>
          <w:rFonts w:cs="Arial"/>
          <w:sz w:val="22"/>
        </w:rPr>
        <w:t>ondiale qui s’assureront que, pour chaque projet, tous les risques et impacts environnementaux et sociaux ont été identifiés et que des mesures de mitigation effectives ont été proposées dans le cadre de la mise en œuvre du projet. Une fois les documents validés, l’ACE délivre un Certificat Environnemental au projet.</w:t>
      </w:r>
    </w:p>
    <w:p w14:paraId="20D03E3E" w14:textId="77777777" w:rsidR="001C2F95" w:rsidRPr="00775E56" w:rsidRDefault="001C2F95" w:rsidP="001C2F95">
      <w:pPr>
        <w:rPr>
          <w:rFonts w:cs="Arial"/>
          <w:sz w:val="22"/>
        </w:rPr>
      </w:pPr>
    </w:p>
    <w:p w14:paraId="6FF0A44A" w14:textId="77777777" w:rsidR="001C2F95" w:rsidRPr="00775E56" w:rsidRDefault="001C2F95" w:rsidP="001C2F95">
      <w:pPr>
        <w:rPr>
          <w:rFonts w:cs="Arial"/>
          <w:bCs/>
          <w:i/>
          <w:iCs/>
          <w:sz w:val="22"/>
        </w:rPr>
      </w:pPr>
      <w:r w:rsidRPr="00775E56">
        <w:rPr>
          <w:rFonts w:cs="Arial"/>
          <w:bCs/>
          <w:i/>
          <w:sz w:val="22"/>
        </w:rPr>
        <w:t xml:space="preserve">Étape </w:t>
      </w:r>
      <w:r w:rsidR="00320F17">
        <w:rPr>
          <w:rFonts w:cs="Arial"/>
          <w:bCs/>
          <w:i/>
          <w:sz w:val="22"/>
        </w:rPr>
        <w:t>7</w:t>
      </w:r>
      <w:r w:rsidRPr="00775E56">
        <w:rPr>
          <w:rFonts w:cs="Arial"/>
          <w:bCs/>
          <w:i/>
          <w:sz w:val="22"/>
        </w:rPr>
        <w:t xml:space="preserve"> : </w:t>
      </w:r>
      <w:r w:rsidRPr="00775E56">
        <w:rPr>
          <w:rFonts w:cs="Arial"/>
          <w:bCs/>
          <w:i/>
          <w:iCs/>
          <w:sz w:val="22"/>
        </w:rPr>
        <w:t>Publication du document</w:t>
      </w:r>
    </w:p>
    <w:p w14:paraId="7DDBADEE" w14:textId="77777777" w:rsidR="001C2F95" w:rsidRPr="00775E56" w:rsidRDefault="001C2F95" w:rsidP="001C2F95">
      <w:pPr>
        <w:rPr>
          <w:rFonts w:cs="Arial"/>
          <w:sz w:val="22"/>
        </w:rPr>
      </w:pPr>
    </w:p>
    <w:p w14:paraId="6FAC77D2" w14:textId="77777777" w:rsidR="001C2F95" w:rsidRPr="00775E56" w:rsidRDefault="001C2F95" w:rsidP="001C2F95">
      <w:pPr>
        <w:rPr>
          <w:rFonts w:cs="Arial"/>
          <w:sz w:val="22"/>
        </w:rPr>
      </w:pPr>
      <w:r w:rsidRPr="00775E56">
        <w:rPr>
          <w:rFonts w:cs="Arial"/>
          <w:sz w:val="22"/>
        </w:rPr>
        <w:t>La législation nationale en matière d’ÉIES dispose que l’information et la participation du public doivent être assurées pendant l’exécution de l'étude d'impact sur l'environnement</w:t>
      </w:r>
      <w:r>
        <w:rPr>
          <w:rFonts w:cs="Arial"/>
          <w:sz w:val="22"/>
        </w:rPr>
        <w:t xml:space="preserve"> et le social</w:t>
      </w:r>
      <w:r w:rsidRPr="00775E56">
        <w:rPr>
          <w:rFonts w:cs="Arial"/>
          <w:sz w:val="22"/>
        </w:rPr>
        <w:t>, en collaboration avec les organes compétents de la circonscription administrative et d</w:t>
      </w:r>
      <w:r>
        <w:rPr>
          <w:rFonts w:cs="Arial"/>
          <w:sz w:val="22"/>
        </w:rPr>
        <w:t xml:space="preserve">u territoire </w:t>
      </w:r>
      <w:r w:rsidRPr="00775E56">
        <w:rPr>
          <w:rFonts w:cs="Arial"/>
          <w:sz w:val="22"/>
        </w:rPr>
        <w:t xml:space="preserve">concerné. Les consultations devront aussi être conduites durant le processus de sélection environnemental et social des projets. L’information du public comporte notamment une ou plusieurs réunions de présentation du projet regroupant les autorités locales, les populations, les Organisations Communautaires de Base (OCB), </w:t>
      </w:r>
      <w:r>
        <w:rPr>
          <w:rFonts w:cs="Arial"/>
          <w:sz w:val="22"/>
        </w:rPr>
        <w:t xml:space="preserve">les groupes vulnérables, incluant des consultations indépendantes avec les femmes, </w:t>
      </w:r>
      <w:r w:rsidRPr="00775E56">
        <w:rPr>
          <w:rFonts w:cs="Arial"/>
          <w:sz w:val="22"/>
        </w:rPr>
        <w:t xml:space="preserve">etc. Ces consultations permettront d’identifier les principaux problèmes et de déterminer les modalités de prises en compte de différentes préoccupations dans les Termes de Référence de l’ÉIES à réaliser. Les résultats des consultations seront incorporés dans le rapport de l’ÉIES et seront rendus accessibles au public. Pour satisfaire aux exigences de consultation et de diffusion de la Banque Mondiale, le PNDA, en phase de préparation et de mise en œuvre, produira une lettre de diffusion par laquelle elle informera la Banque </w:t>
      </w:r>
      <w:r>
        <w:rPr>
          <w:rFonts w:cs="Arial"/>
          <w:sz w:val="22"/>
        </w:rPr>
        <w:t>m</w:t>
      </w:r>
      <w:r w:rsidRPr="00775E56">
        <w:rPr>
          <w:rFonts w:cs="Arial"/>
          <w:sz w:val="22"/>
        </w:rPr>
        <w:t>ondiale de</w:t>
      </w:r>
      <w:r>
        <w:rPr>
          <w:rFonts w:cs="Arial"/>
          <w:sz w:val="22"/>
        </w:rPr>
        <w:t xml:space="preserve"> </w:t>
      </w:r>
      <w:r w:rsidRPr="00775E56">
        <w:rPr>
          <w:rFonts w:cs="Arial"/>
          <w:sz w:val="22"/>
        </w:rPr>
        <w:t>l’approbation du CGES. Les ÉIES</w:t>
      </w:r>
      <w:r>
        <w:rPr>
          <w:rFonts w:cs="Arial"/>
          <w:sz w:val="22"/>
        </w:rPr>
        <w:t xml:space="preserve"> et/ou PGES</w:t>
      </w:r>
      <w:r w:rsidRPr="00775E56">
        <w:rPr>
          <w:rFonts w:cs="Arial"/>
          <w:sz w:val="22"/>
        </w:rPr>
        <w:t xml:space="preserve"> doivent aussi être approuvées par la Banque </w:t>
      </w:r>
      <w:r>
        <w:rPr>
          <w:rFonts w:cs="Arial"/>
          <w:sz w:val="22"/>
        </w:rPr>
        <w:t>m</w:t>
      </w:r>
      <w:r w:rsidRPr="00775E56">
        <w:rPr>
          <w:rFonts w:cs="Arial"/>
          <w:sz w:val="22"/>
        </w:rPr>
        <w:t xml:space="preserve">ondiale et publiées sur le site web externe de la Banque </w:t>
      </w:r>
      <w:r>
        <w:rPr>
          <w:rFonts w:cs="Arial"/>
          <w:sz w:val="22"/>
        </w:rPr>
        <w:t>m</w:t>
      </w:r>
      <w:r w:rsidRPr="00775E56">
        <w:rPr>
          <w:rFonts w:cs="Arial"/>
          <w:sz w:val="22"/>
        </w:rPr>
        <w:t>ondiale</w:t>
      </w:r>
      <w:r>
        <w:rPr>
          <w:rFonts w:cs="Arial"/>
          <w:sz w:val="22"/>
        </w:rPr>
        <w:t xml:space="preserve"> sur requête du Gouvernement de la RDC</w:t>
      </w:r>
      <w:r w:rsidRPr="00775E56">
        <w:rPr>
          <w:rFonts w:cs="Arial"/>
          <w:sz w:val="22"/>
        </w:rPr>
        <w:t>.</w:t>
      </w:r>
    </w:p>
    <w:p w14:paraId="467DB6F0" w14:textId="77777777" w:rsidR="001C2F95" w:rsidRPr="00775E56" w:rsidRDefault="001C2F95" w:rsidP="001C2F95">
      <w:pPr>
        <w:rPr>
          <w:rFonts w:cs="Arial"/>
          <w:bCs/>
          <w:i/>
          <w:sz w:val="22"/>
        </w:rPr>
      </w:pPr>
    </w:p>
    <w:p w14:paraId="5FDFF492" w14:textId="77777777" w:rsidR="001C2F95" w:rsidRPr="00775E56" w:rsidRDefault="001C2F95" w:rsidP="001C2F95">
      <w:pPr>
        <w:rPr>
          <w:rFonts w:cs="Arial"/>
          <w:i/>
          <w:sz w:val="22"/>
        </w:rPr>
      </w:pPr>
      <w:r w:rsidRPr="00775E56">
        <w:rPr>
          <w:rFonts w:cs="Arial"/>
          <w:bCs/>
          <w:i/>
          <w:sz w:val="22"/>
        </w:rPr>
        <w:t xml:space="preserve">Étape </w:t>
      </w:r>
      <w:r w:rsidR="00320F17">
        <w:rPr>
          <w:rFonts w:cs="Arial"/>
          <w:bCs/>
          <w:i/>
          <w:sz w:val="22"/>
        </w:rPr>
        <w:t>8</w:t>
      </w:r>
      <w:r w:rsidRPr="00775E56">
        <w:rPr>
          <w:rFonts w:cs="Arial"/>
          <w:bCs/>
          <w:i/>
          <w:sz w:val="22"/>
        </w:rPr>
        <w:t xml:space="preserve"> : </w:t>
      </w:r>
      <w:r w:rsidRPr="00775E56">
        <w:rPr>
          <w:rFonts w:cs="Arial"/>
          <w:i/>
          <w:sz w:val="22"/>
        </w:rPr>
        <w:t xml:space="preserve">Intégration des mesures dans les DAO du sous-projet et les plans d’exécution des activités </w:t>
      </w:r>
    </w:p>
    <w:p w14:paraId="2DB667A5" w14:textId="77777777" w:rsidR="001C2F95" w:rsidRPr="00775E56" w:rsidRDefault="001C2F95" w:rsidP="001C2F95">
      <w:pPr>
        <w:rPr>
          <w:rFonts w:cs="Arial"/>
          <w:sz w:val="22"/>
        </w:rPr>
      </w:pPr>
    </w:p>
    <w:p w14:paraId="49B30047" w14:textId="77777777" w:rsidR="00D3237F" w:rsidRDefault="001C2F95" w:rsidP="001C2F95">
      <w:pPr>
        <w:rPr>
          <w:rFonts w:cs="Arial"/>
          <w:sz w:val="22"/>
        </w:rPr>
      </w:pPr>
      <w:r w:rsidRPr="00775E56">
        <w:rPr>
          <w:rFonts w:cs="Arial"/>
          <w:sz w:val="22"/>
        </w:rPr>
        <w:t>En cas de travail environnemental et social, le Responsable Technique (RT) de l’activité, avec l’appui du SSE, le S</w:t>
      </w:r>
      <w:r>
        <w:rPr>
          <w:rFonts w:cs="Arial"/>
          <w:sz w:val="22"/>
        </w:rPr>
        <w:t>SS</w:t>
      </w:r>
      <w:r w:rsidRPr="00775E56">
        <w:rPr>
          <w:rFonts w:cs="Arial"/>
          <w:sz w:val="22"/>
        </w:rPr>
        <w:t xml:space="preserve"> et le SVBG (pour la phase de préparation et de mise en œuvre du projet), va intégrer les recommandations et autres mesures de gestion environnementale et sociale</w:t>
      </w:r>
      <w:r>
        <w:rPr>
          <w:rFonts w:cs="Arial"/>
          <w:sz w:val="22"/>
        </w:rPr>
        <w:t>,</w:t>
      </w:r>
      <w:r w:rsidRPr="00775E56">
        <w:rPr>
          <w:rFonts w:cs="Arial"/>
          <w:sz w:val="22"/>
        </w:rPr>
        <w:t xml:space="preserve"> y compris celles </w:t>
      </w:r>
      <w:r>
        <w:rPr>
          <w:rFonts w:cs="Arial"/>
          <w:sz w:val="22"/>
        </w:rPr>
        <w:t>liées aux risques d’EAS/HS</w:t>
      </w:r>
      <w:r w:rsidRPr="00775E56">
        <w:rPr>
          <w:rFonts w:cs="Arial"/>
          <w:sz w:val="22"/>
        </w:rPr>
        <w:t xml:space="preserve"> et d</w:t>
      </w:r>
      <w:r>
        <w:rPr>
          <w:rFonts w:cs="Arial"/>
          <w:sz w:val="22"/>
        </w:rPr>
        <w:t>e</w:t>
      </w:r>
      <w:r w:rsidRPr="00775E56">
        <w:rPr>
          <w:rFonts w:cs="Arial"/>
          <w:sz w:val="22"/>
        </w:rPr>
        <w:t xml:space="preserve"> COVID-19</w:t>
      </w:r>
      <w:r>
        <w:rPr>
          <w:rFonts w:cs="Arial"/>
          <w:sz w:val="22"/>
        </w:rPr>
        <w:t>,</w:t>
      </w:r>
      <w:r w:rsidRPr="00775E56">
        <w:rPr>
          <w:rFonts w:cs="Arial"/>
          <w:sz w:val="22"/>
        </w:rPr>
        <w:t xml:space="preserve"> dans les dossiers d’appel d’offre et d’exécution des projets. Le </w:t>
      </w:r>
      <w:r>
        <w:rPr>
          <w:rFonts w:cs="Arial"/>
          <w:sz w:val="22"/>
        </w:rPr>
        <w:t>Responsable</w:t>
      </w:r>
      <w:r w:rsidRPr="00775E56">
        <w:rPr>
          <w:rFonts w:cs="Arial"/>
          <w:sz w:val="22"/>
        </w:rPr>
        <w:t xml:space="preserve"> en Passation des Marchés (SPM) apportera un appui. Le SSS, le S</w:t>
      </w:r>
      <w:r>
        <w:rPr>
          <w:rFonts w:cs="Arial"/>
          <w:sz w:val="22"/>
        </w:rPr>
        <w:t>SS</w:t>
      </w:r>
      <w:r w:rsidRPr="00775E56">
        <w:rPr>
          <w:rFonts w:cs="Arial"/>
          <w:sz w:val="22"/>
        </w:rPr>
        <w:t xml:space="preserve"> et le </w:t>
      </w:r>
      <w:r>
        <w:rPr>
          <w:rFonts w:cs="Arial"/>
          <w:sz w:val="22"/>
        </w:rPr>
        <w:t>S</w:t>
      </w:r>
      <w:r w:rsidRPr="00775E56">
        <w:rPr>
          <w:rFonts w:cs="Arial"/>
          <w:sz w:val="22"/>
        </w:rPr>
        <w:t>VBG (pour l</w:t>
      </w:r>
      <w:r>
        <w:rPr>
          <w:rFonts w:cs="Arial"/>
          <w:sz w:val="22"/>
        </w:rPr>
        <w:t xml:space="preserve">es </w:t>
      </w:r>
      <w:r w:rsidRPr="00775E56">
        <w:rPr>
          <w:rFonts w:cs="Arial"/>
          <w:sz w:val="22"/>
        </w:rPr>
        <w:t>phase</w:t>
      </w:r>
      <w:r>
        <w:rPr>
          <w:rFonts w:cs="Arial"/>
          <w:sz w:val="22"/>
        </w:rPr>
        <w:t>s</w:t>
      </w:r>
      <w:r w:rsidRPr="00775E56">
        <w:rPr>
          <w:rFonts w:cs="Arial"/>
          <w:sz w:val="22"/>
        </w:rPr>
        <w:t xml:space="preserve"> de préparation du projet</w:t>
      </w:r>
      <w:r>
        <w:rPr>
          <w:rFonts w:cs="Arial"/>
          <w:sz w:val="22"/>
        </w:rPr>
        <w:t xml:space="preserve"> et </w:t>
      </w:r>
      <w:r w:rsidRPr="00775E56">
        <w:rPr>
          <w:rFonts w:cs="Arial"/>
          <w:sz w:val="22"/>
        </w:rPr>
        <w:t>de mise en œuvre du projet) ne pourront instruire l’exécution des activités que lorsque toutes les diligences environnementales et sociales</w:t>
      </w:r>
      <w:r>
        <w:rPr>
          <w:rFonts w:cs="Arial"/>
          <w:sz w:val="22"/>
        </w:rPr>
        <w:t>,</w:t>
      </w:r>
      <w:r w:rsidRPr="00775E56">
        <w:rPr>
          <w:rFonts w:cs="Arial"/>
          <w:sz w:val="22"/>
        </w:rPr>
        <w:t xml:space="preserve"> y compris celles </w:t>
      </w:r>
      <w:r>
        <w:rPr>
          <w:rFonts w:cs="Arial"/>
          <w:sz w:val="22"/>
        </w:rPr>
        <w:t>liées aux risques d’EAS/HS</w:t>
      </w:r>
      <w:r w:rsidRPr="00775E56">
        <w:rPr>
          <w:rFonts w:cs="Arial"/>
          <w:sz w:val="22"/>
        </w:rPr>
        <w:t xml:space="preserve"> et </w:t>
      </w:r>
      <w:r>
        <w:rPr>
          <w:rFonts w:cs="Arial"/>
          <w:sz w:val="22"/>
        </w:rPr>
        <w:t xml:space="preserve">de </w:t>
      </w:r>
      <w:r w:rsidRPr="00775E56">
        <w:rPr>
          <w:rFonts w:cs="Arial"/>
          <w:sz w:val="22"/>
        </w:rPr>
        <w:t>COVID-19</w:t>
      </w:r>
      <w:r>
        <w:rPr>
          <w:rFonts w:cs="Arial"/>
          <w:sz w:val="22"/>
        </w:rPr>
        <w:t>,</w:t>
      </w:r>
      <w:r w:rsidRPr="00775E56">
        <w:rPr>
          <w:rFonts w:cs="Arial"/>
          <w:sz w:val="22"/>
        </w:rPr>
        <w:t xml:space="preserve"> sont effectivement prises en compte et intégrées dans le </w:t>
      </w:r>
      <w:r>
        <w:rPr>
          <w:rFonts w:cs="Arial"/>
          <w:sz w:val="22"/>
        </w:rPr>
        <w:t>sous-</w:t>
      </w:r>
      <w:r w:rsidRPr="00775E56">
        <w:rPr>
          <w:rFonts w:cs="Arial"/>
          <w:sz w:val="22"/>
        </w:rPr>
        <w:t>projet.</w:t>
      </w:r>
    </w:p>
    <w:p w14:paraId="731E8DBD" w14:textId="77777777" w:rsidR="00D3237F" w:rsidRDefault="00D3237F" w:rsidP="001C2F95">
      <w:pPr>
        <w:rPr>
          <w:rFonts w:cs="Arial"/>
          <w:sz w:val="22"/>
        </w:rPr>
      </w:pPr>
    </w:p>
    <w:p w14:paraId="763085B7" w14:textId="77777777" w:rsidR="001C2F95" w:rsidRDefault="00D3237F" w:rsidP="001C2F95">
      <w:pPr>
        <w:rPr>
          <w:rFonts w:cs="Arial"/>
          <w:sz w:val="22"/>
        </w:rPr>
      </w:pPr>
      <w:r>
        <w:rPr>
          <w:rFonts w:cs="Arial"/>
          <w:sz w:val="22"/>
        </w:rPr>
        <w:t>Intégration</w:t>
      </w:r>
      <w:r w:rsidR="001C2F95">
        <w:rPr>
          <w:rFonts w:cs="Arial"/>
          <w:sz w:val="22"/>
        </w:rPr>
        <w:t xml:space="preserve"> des mesures </w:t>
      </w:r>
      <w:r>
        <w:rPr>
          <w:rFonts w:cs="Arial"/>
          <w:sz w:val="22"/>
        </w:rPr>
        <w:t>environnementales</w:t>
      </w:r>
      <w:r w:rsidR="001C2F95">
        <w:rPr>
          <w:rFonts w:cs="Arial"/>
          <w:sz w:val="22"/>
        </w:rPr>
        <w:t xml:space="preserve"> et sociales dans les plans d’affaires des sous-projets </w:t>
      </w:r>
    </w:p>
    <w:p w14:paraId="3E86B9A3" w14:textId="77777777" w:rsidR="001C2F95" w:rsidRPr="00775E56" w:rsidRDefault="001C2F95" w:rsidP="001C2F95">
      <w:pPr>
        <w:rPr>
          <w:rFonts w:cs="Arial"/>
          <w:sz w:val="22"/>
        </w:rPr>
      </w:pPr>
    </w:p>
    <w:p w14:paraId="518C7B4E" w14:textId="77777777" w:rsidR="001C2F95" w:rsidRPr="00775E56" w:rsidRDefault="001C2F95" w:rsidP="001C2F95">
      <w:pPr>
        <w:rPr>
          <w:rFonts w:cs="Arial"/>
          <w:i/>
          <w:sz w:val="22"/>
        </w:rPr>
      </w:pPr>
      <w:r w:rsidRPr="00775E56">
        <w:rPr>
          <w:rFonts w:cs="Arial"/>
          <w:bCs/>
          <w:i/>
          <w:sz w:val="22"/>
        </w:rPr>
        <w:t xml:space="preserve">Étape </w:t>
      </w:r>
      <w:r w:rsidR="00320F17">
        <w:rPr>
          <w:rFonts w:cs="Arial"/>
          <w:bCs/>
          <w:i/>
          <w:sz w:val="22"/>
        </w:rPr>
        <w:t>9</w:t>
      </w:r>
      <w:r w:rsidRPr="00775E56">
        <w:rPr>
          <w:rFonts w:cs="Arial"/>
          <w:bCs/>
          <w:i/>
          <w:sz w:val="22"/>
        </w:rPr>
        <w:t xml:space="preserve"> : </w:t>
      </w:r>
      <w:r w:rsidRPr="00775E56">
        <w:rPr>
          <w:rFonts w:cs="Arial"/>
          <w:i/>
          <w:sz w:val="22"/>
        </w:rPr>
        <w:t>Approbation du PGES entreprise (PGES-Chantier)</w:t>
      </w:r>
    </w:p>
    <w:p w14:paraId="1563380E" w14:textId="77777777" w:rsidR="001C2F95" w:rsidRPr="00775E56" w:rsidRDefault="001C2F95" w:rsidP="001C2F95">
      <w:pPr>
        <w:rPr>
          <w:rFonts w:cs="Arial"/>
          <w:sz w:val="22"/>
        </w:rPr>
      </w:pPr>
    </w:p>
    <w:p w14:paraId="1A6A26F6" w14:textId="77777777" w:rsidR="001C2F95" w:rsidRDefault="001C2F95" w:rsidP="001C2F95">
      <w:pPr>
        <w:rPr>
          <w:rFonts w:cs="Arial"/>
          <w:sz w:val="22"/>
        </w:rPr>
      </w:pPr>
      <w:r w:rsidRPr="00775E56">
        <w:rPr>
          <w:rFonts w:cs="Arial"/>
          <w:sz w:val="22"/>
        </w:rPr>
        <w:t xml:space="preserve">Les PGES chantier seront </w:t>
      </w:r>
      <w:r>
        <w:rPr>
          <w:rFonts w:cs="Arial"/>
          <w:sz w:val="22"/>
        </w:rPr>
        <w:t xml:space="preserve">élaborés par les entreprises chargées d’exécuter les travaux </w:t>
      </w:r>
      <w:r w:rsidRPr="00775E56">
        <w:rPr>
          <w:rFonts w:cs="Arial"/>
          <w:sz w:val="22"/>
        </w:rPr>
        <w:t xml:space="preserve">approuvés par </w:t>
      </w:r>
      <w:r>
        <w:rPr>
          <w:rFonts w:cs="Arial"/>
          <w:sz w:val="22"/>
        </w:rPr>
        <w:t xml:space="preserve">la Mission de </w:t>
      </w:r>
      <w:r w:rsidR="00D3237F">
        <w:rPr>
          <w:rFonts w:cs="Arial"/>
          <w:sz w:val="22"/>
        </w:rPr>
        <w:t xml:space="preserve">contrôle </w:t>
      </w:r>
      <w:r>
        <w:rPr>
          <w:rFonts w:cs="Arial"/>
          <w:sz w:val="22"/>
        </w:rPr>
        <w:t xml:space="preserve">et soumis pour avis aux </w:t>
      </w:r>
      <w:r w:rsidRPr="00775E56">
        <w:rPr>
          <w:rFonts w:cs="Arial"/>
          <w:sz w:val="22"/>
        </w:rPr>
        <w:t>SSE, S</w:t>
      </w:r>
      <w:r>
        <w:rPr>
          <w:rFonts w:cs="Arial"/>
          <w:sz w:val="22"/>
        </w:rPr>
        <w:t>SS</w:t>
      </w:r>
      <w:r w:rsidRPr="00775E56">
        <w:rPr>
          <w:rFonts w:cs="Arial"/>
          <w:sz w:val="22"/>
        </w:rPr>
        <w:t xml:space="preserve"> et </w:t>
      </w:r>
      <w:r>
        <w:rPr>
          <w:rFonts w:cs="Arial"/>
          <w:sz w:val="22"/>
        </w:rPr>
        <w:t>S</w:t>
      </w:r>
      <w:r w:rsidRPr="00775E56">
        <w:rPr>
          <w:rFonts w:cs="Arial"/>
          <w:sz w:val="22"/>
        </w:rPr>
        <w:t>VBG</w:t>
      </w:r>
      <w:r>
        <w:rPr>
          <w:rFonts w:cs="Arial"/>
          <w:sz w:val="22"/>
        </w:rPr>
        <w:t>.</w:t>
      </w:r>
      <w:r w:rsidRPr="00775E56">
        <w:rPr>
          <w:rFonts w:cs="Arial"/>
          <w:sz w:val="22"/>
        </w:rPr>
        <w:t xml:space="preserve"> </w:t>
      </w:r>
      <w:r>
        <w:rPr>
          <w:rFonts w:cs="Arial"/>
          <w:sz w:val="22"/>
        </w:rPr>
        <w:t xml:space="preserve"> </w:t>
      </w:r>
    </w:p>
    <w:p w14:paraId="756575D8" w14:textId="77777777" w:rsidR="001C2F95" w:rsidRDefault="001C2F95" w:rsidP="001C2F95">
      <w:pPr>
        <w:rPr>
          <w:rFonts w:cs="Arial"/>
          <w:sz w:val="22"/>
        </w:rPr>
      </w:pPr>
    </w:p>
    <w:p w14:paraId="5066CE70" w14:textId="77777777" w:rsidR="001C2F95" w:rsidRPr="001C360D" w:rsidRDefault="001C2F95" w:rsidP="001C2F95">
      <w:pPr>
        <w:rPr>
          <w:rFonts w:cs="Arial"/>
          <w:sz w:val="22"/>
        </w:rPr>
      </w:pPr>
      <w:r w:rsidRPr="003D208D">
        <w:rPr>
          <w:rFonts w:cs="Arial"/>
          <w:sz w:val="22"/>
        </w:rPr>
        <w:t xml:space="preserve">Le processus </w:t>
      </w:r>
      <w:r w:rsidR="00D3237F" w:rsidRPr="001C360D">
        <w:rPr>
          <w:rFonts w:cs="Arial"/>
          <w:sz w:val="22"/>
        </w:rPr>
        <w:t>décrit</w:t>
      </w:r>
      <w:r w:rsidRPr="001C360D">
        <w:rPr>
          <w:rFonts w:cs="Arial"/>
          <w:sz w:val="22"/>
        </w:rPr>
        <w:t xml:space="preserve"> ci-après devra aussi être repris dans le Processus de Gestion de la Main-d’œuvre.</w:t>
      </w:r>
    </w:p>
    <w:p w14:paraId="130A78FB" w14:textId="77777777" w:rsidR="001C2F95" w:rsidRPr="001C360D" w:rsidRDefault="001C2F95" w:rsidP="001C2F95">
      <w:pPr>
        <w:rPr>
          <w:rFonts w:cs="Arial"/>
          <w:sz w:val="22"/>
        </w:rPr>
      </w:pPr>
    </w:p>
    <w:p w14:paraId="13CFE3F1" w14:textId="77777777" w:rsidR="001C2F95" w:rsidRPr="001C360D" w:rsidRDefault="001C2F95" w:rsidP="001C2F95">
      <w:pPr>
        <w:rPr>
          <w:rFonts w:cs="Arial"/>
          <w:sz w:val="22"/>
        </w:rPr>
      </w:pPr>
      <w:r w:rsidRPr="001C360D">
        <w:rPr>
          <w:rFonts w:cs="Arial"/>
          <w:sz w:val="22"/>
        </w:rPr>
        <w:t xml:space="preserve">Lors de la </w:t>
      </w:r>
      <w:r w:rsidR="00D3237F" w:rsidRPr="001C360D">
        <w:rPr>
          <w:rFonts w:cs="Arial"/>
          <w:sz w:val="22"/>
        </w:rPr>
        <w:t>soumission</w:t>
      </w:r>
      <w:r w:rsidRPr="001C360D">
        <w:rPr>
          <w:rFonts w:cs="Arial"/>
          <w:sz w:val="22"/>
        </w:rPr>
        <w:t xml:space="preserve"> de leurs Offres, </w:t>
      </w:r>
    </w:p>
    <w:p w14:paraId="29685537" w14:textId="77777777" w:rsidR="001C2F95" w:rsidRPr="001C360D" w:rsidRDefault="001C2F95" w:rsidP="001C2F95">
      <w:pPr>
        <w:rPr>
          <w:rFonts w:cs="Arial"/>
          <w:sz w:val="22"/>
        </w:rPr>
      </w:pPr>
    </w:p>
    <w:p w14:paraId="2299EF75" w14:textId="77777777" w:rsidR="001C2F95" w:rsidRPr="00AF2270" w:rsidRDefault="001C2F95" w:rsidP="001C2F95">
      <w:pPr>
        <w:pStyle w:val="Listepuces2"/>
        <w:spacing w:line="276" w:lineRule="auto"/>
        <w:jc w:val="both"/>
        <w:rPr>
          <w:rFonts w:ascii="Arial" w:hAnsi="Arial" w:cs="Arial"/>
          <w:sz w:val="22"/>
          <w:szCs w:val="22"/>
        </w:rPr>
      </w:pPr>
      <w:r w:rsidRPr="001C360D">
        <w:rPr>
          <w:rFonts w:ascii="Arial" w:hAnsi="Arial" w:cs="Arial"/>
          <w:sz w:val="22"/>
          <w:szCs w:val="22"/>
        </w:rPr>
        <w:t xml:space="preserve">Les </w:t>
      </w:r>
      <w:r w:rsidR="00D3237F" w:rsidRPr="001C360D">
        <w:rPr>
          <w:rFonts w:ascii="Arial" w:hAnsi="Arial" w:cs="Arial"/>
          <w:sz w:val="22"/>
          <w:szCs w:val="22"/>
        </w:rPr>
        <w:t>entreprises</w:t>
      </w:r>
      <w:r w:rsidRPr="001C360D">
        <w:rPr>
          <w:rFonts w:ascii="Arial" w:hAnsi="Arial" w:cs="Arial"/>
          <w:sz w:val="22"/>
          <w:szCs w:val="22"/>
        </w:rPr>
        <w:t xml:space="preserve">, sur base du DAO/travaux qui </w:t>
      </w:r>
      <w:r w:rsidR="00D3237F" w:rsidRPr="001C360D">
        <w:rPr>
          <w:rFonts w:ascii="Arial" w:hAnsi="Arial" w:cs="Arial"/>
          <w:sz w:val="22"/>
          <w:szCs w:val="22"/>
        </w:rPr>
        <w:t>renferme</w:t>
      </w:r>
      <w:r w:rsidRPr="001C360D">
        <w:rPr>
          <w:rFonts w:ascii="Arial" w:hAnsi="Arial" w:cs="Arial"/>
          <w:sz w:val="22"/>
          <w:szCs w:val="22"/>
        </w:rPr>
        <w:t xml:space="preserve"> les clauses Environnementale et sociales </w:t>
      </w:r>
      <w:r w:rsidRPr="00AF2270">
        <w:rPr>
          <w:rFonts w:ascii="Arial" w:hAnsi="Arial" w:cs="Arial"/>
          <w:sz w:val="22"/>
          <w:szCs w:val="22"/>
        </w:rPr>
        <w:t>figurant dans l’Annexe 3 ci-jointe, soumettront un plan environnemental et social préliminaire dans le cadre de leurs offres. Ce plan doit décrire les principes et la méthodologie qu'elles utiliseront pour traiter les questions environnementales, sociales, de santé et de sécurité dans le cadre du contrat, et comprendra tous les coûts associés à la gestion des questions environnementales et sociales associés à leurs offres ;</w:t>
      </w:r>
    </w:p>
    <w:p w14:paraId="06841221" w14:textId="77777777" w:rsidR="001C2F95" w:rsidRPr="00AF2270" w:rsidRDefault="001C2F95" w:rsidP="001C2F95">
      <w:pPr>
        <w:pStyle w:val="Listepuces2"/>
        <w:spacing w:line="276" w:lineRule="auto"/>
        <w:jc w:val="both"/>
        <w:rPr>
          <w:rFonts w:ascii="Arial" w:hAnsi="Arial" w:cs="Arial"/>
          <w:iCs/>
          <w:sz w:val="22"/>
          <w:szCs w:val="22"/>
        </w:rPr>
      </w:pPr>
      <w:r w:rsidRPr="00AF2270">
        <w:rPr>
          <w:rFonts w:ascii="Arial" w:hAnsi="Arial" w:cs="Arial"/>
          <w:sz w:val="22"/>
          <w:szCs w:val="22"/>
        </w:rPr>
        <w:t>La qualité du plan environnemental et social préliminaire, les performances environnementales et sociales passées des soumissionnaires, ainsi que leur capacité à gérer les questions environnementales et sociales, seront pris en compte lors de la sélection des entreprises</w:t>
      </w:r>
      <w:r w:rsidR="00AF2270" w:rsidRPr="00AF2270">
        <w:rPr>
          <w:rFonts w:ascii="Arial" w:hAnsi="Arial" w:cs="Arial"/>
          <w:sz w:val="22"/>
          <w:szCs w:val="22"/>
        </w:rPr>
        <w:t> </w:t>
      </w:r>
      <w:r w:rsidR="00AF2270" w:rsidRPr="00AF2270">
        <w:rPr>
          <w:rFonts w:ascii="Arial" w:hAnsi="Arial" w:cs="Arial"/>
          <w:iCs/>
          <w:sz w:val="22"/>
          <w:szCs w:val="22"/>
        </w:rPr>
        <w:t>;</w:t>
      </w:r>
    </w:p>
    <w:p w14:paraId="13B83F6D" w14:textId="77777777" w:rsidR="001C2F95" w:rsidRPr="00AF2270" w:rsidRDefault="001C2F95" w:rsidP="001C2F95">
      <w:pPr>
        <w:pStyle w:val="Listepuces2"/>
        <w:spacing w:line="276" w:lineRule="auto"/>
        <w:jc w:val="both"/>
        <w:rPr>
          <w:rFonts w:ascii="Arial" w:hAnsi="Arial" w:cs="Arial"/>
          <w:sz w:val="22"/>
          <w:szCs w:val="22"/>
        </w:rPr>
      </w:pPr>
      <w:r w:rsidRPr="00AF2270">
        <w:rPr>
          <w:rFonts w:ascii="Arial" w:hAnsi="Arial" w:cs="Arial"/>
          <w:sz w:val="22"/>
          <w:szCs w:val="22"/>
        </w:rPr>
        <w:t xml:space="preserve">Les entreprises sélectionnées prépareront alors un Plan de Gestion Environnementale et Sociale </w:t>
      </w:r>
      <w:r w:rsidR="00180F43">
        <w:rPr>
          <w:rFonts w:ascii="Arial" w:hAnsi="Arial" w:cs="Arial"/>
          <w:sz w:val="22"/>
          <w:szCs w:val="22"/>
        </w:rPr>
        <w:t>de chantier (PGES-C)</w:t>
      </w:r>
      <w:r w:rsidRPr="00AF2270">
        <w:rPr>
          <w:rFonts w:ascii="Arial" w:hAnsi="Arial" w:cs="Arial"/>
          <w:sz w:val="22"/>
          <w:szCs w:val="22"/>
        </w:rPr>
        <w:t xml:space="preserve">, détaillant la manière dont les mesures environnementales et sociales seront mises en œuvre, y compris les procédures de mise </w:t>
      </w:r>
      <w:r w:rsidR="00AF2270">
        <w:rPr>
          <w:rFonts w:ascii="Arial" w:hAnsi="Arial" w:cs="Arial"/>
          <w:sz w:val="22"/>
          <w:szCs w:val="22"/>
        </w:rPr>
        <w:t>en œuvre et le personnel requis ;</w:t>
      </w:r>
    </w:p>
    <w:p w14:paraId="1E65FE5C" w14:textId="77777777" w:rsidR="001C2F95" w:rsidRPr="00AF2270" w:rsidRDefault="001C2F95" w:rsidP="001C2F95">
      <w:pPr>
        <w:pStyle w:val="Listepuces2"/>
        <w:spacing w:line="276" w:lineRule="auto"/>
        <w:jc w:val="both"/>
        <w:rPr>
          <w:rFonts w:ascii="Arial" w:hAnsi="Arial" w:cs="Arial"/>
          <w:sz w:val="22"/>
          <w:szCs w:val="22"/>
        </w:rPr>
      </w:pPr>
      <w:r w:rsidRPr="00AF2270">
        <w:rPr>
          <w:rFonts w:ascii="Arial" w:hAnsi="Arial" w:cs="Arial"/>
          <w:sz w:val="22"/>
          <w:szCs w:val="22"/>
        </w:rPr>
        <w:t>Le PGES-</w:t>
      </w:r>
      <w:r w:rsidR="00180F43">
        <w:rPr>
          <w:rFonts w:ascii="Arial" w:hAnsi="Arial" w:cs="Arial"/>
          <w:sz w:val="22"/>
          <w:szCs w:val="22"/>
        </w:rPr>
        <w:t>C</w:t>
      </w:r>
      <w:r w:rsidRPr="00AF2270">
        <w:rPr>
          <w:rFonts w:ascii="Arial" w:hAnsi="Arial" w:cs="Arial"/>
          <w:sz w:val="22"/>
          <w:szCs w:val="22"/>
        </w:rPr>
        <w:t xml:space="preserve"> devra </w:t>
      </w:r>
      <w:r w:rsidR="00D3237F" w:rsidRPr="00AF2270">
        <w:rPr>
          <w:rFonts w:ascii="Arial" w:hAnsi="Arial" w:cs="Arial"/>
          <w:sz w:val="22"/>
          <w:szCs w:val="22"/>
        </w:rPr>
        <w:t>être</w:t>
      </w:r>
      <w:r w:rsidRPr="00AF2270">
        <w:rPr>
          <w:rFonts w:ascii="Arial" w:hAnsi="Arial" w:cs="Arial"/>
          <w:sz w:val="22"/>
          <w:szCs w:val="22"/>
        </w:rPr>
        <w:t xml:space="preserve"> approuvé avant le </w:t>
      </w:r>
      <w:r w:rsidR="00D3237F" w:rsidRPr="00AF2270">
        <w:rPr>
          <w:rFonts w:ascii="Arial" w:hAnsi="Arial" w:cs="Arial"/>
          <w:sz w:val="22"/>
          <w:szCs w:val="22"/>
        </w:rPr>
        <w:t>démarrage</w:t>
      </w:r>
      <w:r w:rsidRPr="00AF2270">
        <w:rPr>
          <w:rFonts w:ascii="Arial" w:hAnsi="Arial" w:cs="Arial"/>
          <w:sz w:val="22"/>
          <w:szCs w:val="22"/>
        </w:rPr>
        <w:t xml:space="preserve"> des travaux ;</w:t>
      </w:r>
    </w:p>
    <w:p w14:paraId="49DBC705" w14:textId="77777777" w:rsidR="001C2F95" w:rsidRPr="00AF2270" w:rsidRDefault="001C2F95" w:rsidP="001C2F95">
      <w:pPr>
        <w:pStyle w:val="Listepuces2"/>
        <w:spacing w:line="276" w:lineRule="auto"/>
        <w:jc w:val="both"/>
        <w:rPr>
          <w:rFonts w:ascii="Arial" w:hAnsi="Arial" w:cs="Arial"/>
          <w:sz w:val="22"/>
          <w:szCs w:val="22"/>
        </w:rPr>
      </w:pPr>
      <w:r w:rsidRPr="00AF2270">
        <w:rPr>
          <w:rFonts w:ascii="Arial" w:hAnsi="Arial" w:cs="Arial"/>
          <w:sz w:val="22"/>
          <w:szCs w:val="22"/>
        </w:rPr>
        <w:t>A cet effet, il est approuvé d’abord par la Mission de contrôle, et ensuite par les spécialistes E&amp;S re</w:t>
      </w:r>
      <w:r w:rsidR="00AF2270">
        <w:rPr>
          <w:rFonts w:ascii="Arial" w:hAnsi="Arial" w:cs="Arial"/>
          <w:sz w:val="22"/>
          <w:szCs w:val="22"/>
        </w:rPr>
        <w:t>sponsables du sous-projet PNDA ;</w:t>
      </w:r>
    </w:p>
    <w:p w14:paraId="0F6EDC1E" w14:textId="77777777" w:rsidR="001C2F95" w:rsidRPr="00AF2270" w:rsidRDefault="001C2F95" w:rsidP="001C2F95">
      <w:pPr>
        <w:pStyle w:val="Listepuces2"/>
        <w:spacing w:line="276" w:lineRule="auto"/>
        <w:jc w:val="both"/>
        <w:rPr>
          <w:rFonts w:ascii="Arial" w:hAnsi="Arial" w:cs="Arial"/>
          <w:sz w:val="22"/>
          <w:szCs w:val="22"/>
        </w:rPr>
      </w:pPr>
      <w:r w:rsidRPr="00AF2270">
        <w:rPr>
          <w:rFonts w:ascii="Arial" w:hAnsi="Arial" w:cs="Arial"/>
          <w:sz w:val="22"/>
          <w:szCs w:val="22"/>
        </w:rPr>
        <w:t xml:space="preserve">La Banque mondiale sera saisie à </w:t>
      </w:r>
      <w:r w:rsidR="00AF2270">
        <w:rPr>
          <w:rFonts w:ascii="Arial" w:hAnsi="Arial" w:cs="Arial"/>
          <w:sz w:val="22"/>
          <w:szCs w:val="22"/>
        </w:rPr>
        <w:t>son tour pour valider le PGES-</w:t>
      </w:r>
      <w:r w:rsidR="00180F43">
        <w:rPr>
          <w:rFonts w:ascii="Arial" w:hAnsi="Arial" w:cs="Arial"/>
          <w:sz w:val="22"/>
          <w:szCs w:val="22"/>
        </w:rPr>
        <w:t>C</w:t>
      </w:r>
      <w:r w:rsidR="00AF2270">
        <w:rPr>
          <w:rFonts w:ascii="Arial" w:hAnsi="Arial" w:cs="Arial"/>
          <w:sz w:val="22"/>
          <w:szCs w:val="22"/>
        </w:rPr>
        <w:t> ;</w:t>
      </w:r>
    </w:p>
    <w:p w14:paraId="2AFF2173" w14:textId="77777777" w:rsidR="001C2F95" w:rsidRPr="00AF2270" w:rsidRDefault="001C2F95" w:rsidP="001C2F95">
      <w:pPr>
        <w:pStyle w:val="Listepuces2"/>
        <w:spacing w:line="276" w:lineRule="auto"/>
        <w:jc w:val="both"/>
        <w:rPr>
          <w:rFonts w:ascii="Arial" w:hAnsi="Arial" w:cs="Arial"/>
          <w:sz w:val="22"/>
          <w:szCs w:val="22"/>
        </w:rPr>
      </w:pPr>
      <w:r w:rsidRPr="00AF2270">
        <w:rPr>
          <w:rFonts w:ascii="Arial" w:hAnsi="Arial" w:cs="Arial"/>
          <w:sz w:val="22"/>
          <w:szCs w:val="22"/>
        </w:rPr>
        <w:t xml:space="preserve">Après cette validation, un Ordre de service sera signé conjointement par le PNDA et l’Entreprise pour acter l’approbation </w:t>
      </w:r>
      <w:r w:rsidR="00D3237F" w:rsidRPr="00AF2270">
        <w:rPr>
          <w:rFonts w:ascii="Arial" w:hAnsi="Arial" w:cs="Arial"/>
          <w:sz w:val="22"/>
          <w:szCs w:val="22"/>
        </w:rPr>
        <w:t>définitive</w:t>
      </w:r>
      <w:r w:rsidR="00AF2270">
        <w:rPr>
          <w:rFonts w:ascii="Arial" w:hAnsi="Arial" w:cs="Arial"/>
          <w:sz w:val="22"/>
          <w:szCs w:val="22"/>
        </w:rPr>
        <w:t xml:space="preserve"> du PGES-</w:t>
      </w:r>
      <w:r w:rsidR="00180F43">
        <w:rPr>
          <w:rFonts w:ascii="Arial" w:hAnsi="Arial" w:cs="Arial"/>
          <w:sz w:val="22"/>
          <w:szCs w:val="22"/>
        </w:rPr>
        <w:t>C</w:t>
      </w:r>
      <w:r w:rsidR="00AF2270">
        <w:rPr>
          <w:rFonts w:ascii="Arial" w:hAnsi="Arial" w:cs="Arial"/>
          <w:sz w:val="22"/>
          <w:szCs w:val="22"/>
        </w:rPr>
        <w:t> ;</w:t>
      </w:r>
    </w:p>
    <w:p w14:paraId="18B2F53F" w14:textId="77777777" w:rsidR="00D3237F" w:rsidRPr="00180F43" w:rsidRDefault="001C2F95" w:rsidP="00E31B78">
      <w:pPr>
        <w:pStyle w:val="Listepuces2"/>
        <w:spacing w:line="276" w:lineRule="auto"/>
        <w:jc w:val="both"/>
        <w:rPr>
          <w:sz w:val="22"/>
        </w:rPr>
      </w:pPr>
      <w:r w:rsidRPr="00180F43">
        <w:rPr>
          <w:rFonts w:ascii="Arial" w:hAnsi="Arial" w:cs="Arial"/>
          <w:sz w:val="22"/>
          <w:szCs w:val="22"/>
        </w:rPr>
        <w:t>Le PGES-</w:t>
      </w:r>
      <w:r w:rsidR="00180F43" w:rsidRPr="00180F43">
        <w:rPr>
          <w:rFonts w:ascii="Arial" w:hAnsi="Arial" w:cs="Arial"/>
          <w:sz w:val="22"/>
          <w:szCs w:val="22"/>
        </w:rPr>
        <w:t>C</w:t>
      </w:r>
      <w:r w:rsidRPr="00180F43">
        <w:rPr>
          <w:rFonts w:ascii="Arial" w:hAnsi="Arial" w:cs="Arial"/>
          <w:sz w:val="22"/>
          <w:szCs w:val="22"/>
        </w:rPr>
        <w:t xml:space="preserve"> ainsi </w:t>
      </w:r>
      <w:r w:rsidR="00D3237F" w:rsidRPr="00180F43">
        <w:rPr>
          <w:rFonts w:ascii="Arial" w:hAnsi="Arial" w:cs="Arial"/>
          <w:sz w:val="22"/>
          <w:szCs w:val="22"/>
        </w:rPr>
        <w:t>préparé</w:t>
      </w:r>
      <w:r w:rsidRPr="00180F43">
        <w:rPr>
          <w:rFonts w:ascii="Arial" w:hAnsi="Arial" w:cs="Arial"/>
          <w:sz w:val="22"/>
          <w:szCs w:val="22"/>
        </w:rPr>
        <w:t xml:space="preserve"> servira de base pour le suivi et le contrôle environneme</w:t>
      </w:r>
      <w:r w:rsidR="00D3237F" w:rsidRPr="00180F43">
        <w:rPr>
          <w:rFonts w:ascii="Arial" w:hAnsi="Arial" w:cs="Arial"/>
          <w:sz w:val="22"/>
          <w:szCs w:val="22"/>
        </w:rPr>
        <w:t>nt</w:t>
      </w:r>
      <w:r w:rsidRPr="00180F43">
        <w:rPr>
          <w:rFonts w:ascii="Arial" w:hAnsi="Arial" w:cs="Arial"/>
          <w:sz w:val="22"/>
          <w:szCs w:val="22"/>
        </w:rPr>
        <w:t>al du chantier ainsi que pour l’évaluation de sa performance environnementale et sociale.</w:t>
      </w:r>
    </w:p>
    <w:p w14:paraId="24773BC5" w14:textId="77777777" w:rsidR="00E31B78" w:rsidRDefault="00E31B78" w:rsidP="00E31B78">
      <w:pPr>
        <w:spacing w:line="259" w:lineRule="auto"/>
        <w:ind w:firstLine="643"/>
        <w:jc w:val="left"/>
        <w:rPr>
          <w:sz w:val="22"/>
        </w:rPr>
      </w:pPr>
    </w:p>
    <w:p w14:paraId="0D3CABCB" w14:textId="77777777" w:rsidR="001C2F95" w:rsidRPr="001C360D" w:rsidRDefault="001C2F95" w:rsidP="00E31B78">
      <w:pPr>
        <w:spacing w:line="259" w:lineRule="auto"/>
        <w:ind w:firstLine="643"/>
        <w:jc w:val="left"/>
        <w:rPr>
          <w:sz w:val="22"/>
        </w:rPr>
      </w:pPr>
      <w:r w:rsidRPr="00AF2270">
        <w:rPr>
          <w:sz w:val="22"/>
        </w:rPr>
        <w:t>Les étapes de préparation du PGES-</w:t>
      </w:r>
      <w:r w:rsidR="00180F43">
        <w:rPr>
          <w:sz w:val="22"/>
        </w:rPr>
        <w:t>C</w:t>
      </w:r>
      <w:r w:rsidRPr="00AF2270">
        <w:rPr>
          <w:sz w:val="22"/>
        </w:rPr>
        <w:t xml:space="preserve"> se présentent comme suit</w:t>
      </w:r>
      <w:r w:rsidRPr="001C360D">
        <w:rPr>
          <w:sz w:val="22"/>
        </w:rPr>
        <w:t> :</w:t>
      </w:r>
    </w:p>
    <w:p w14:paraId="6B973933" w14:textId="612EBBE9" w:rsidR="001C2F95" w:rsidRDefault="0078696E" w:rsidP="001C2F95">
      <w:pPr>
        <w:rPr>
          <w:sz w:val="22"/>
        </w:rPr>
      </w:pPr>
      <w:r>
        <w:rPr>
          <w:noProof/>
        </w:rPr>
        <mc:AlternateContent>
          <mc:Choice Requires="wps">
            <w:drawing>
              <wp:anchor distT="0" distB="0" distL="114300" distR="114300" simplePos="0" relativeHeight="251658242" behindDoc="0" locked="0" layoutInCell="1" allowOverlap="1" wp14:anchorId="541574CD" wp14:editId="76C43B95">
                <wp:simplePos x="0" y="0"/>
                <wp:positionH relativeFrom="column">
                  <wp:posOffset>1360170</wp:posOffset>
                </wp:positionH>
                <wp:positionV relativeFrom="paragraph">
                  <wp:posOffset>113665</wp:posOffset>
                </wp:positionV>
                <wp:extent cx="2025015" cy="629920"/>
                <wp:effectExtent l="0" t="0" r="0" b="0"/>
                <wp:wrapNone/>
                <wp:docPr id="3974" name="Rectangle à coins arrondis 3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015" cy="629920"/>
                        </a:xfrm>
                        <a:prstGeom prst="roundRect">
                          <a:avLst>
                            <a:gd name="adj" fmla="val 16667"/>
                          </a:avLst>
                        </a:prstGeom>
                        <a:solidFill>
                          <a:srgbClr val="FFFFFF"/>
                        </a:solidFill>
                        <a:ln w="9525">
                          <a:solidFill>
                            <a:srgbClr val="000000"/>
                          </a:solidFill>
                          <a:round/>
                          <a:headEnd/>
                          <a:tailEnd/>
                        </a:ln>
                      </wps:spPr>
                      <wps:txbx>
                        <w:txbxContent>
                          <w:p w14:paraId="2114AC2E" w14:textId="77777777" w:rsidR="00510ABB" w:rsidRPr="00CC17EA" w:rsidRDefault="00510ABB" w:rsidP="001C2F95">
                            <w:pPr>
                              <w:jc w:val="center"/>
                              <w:rPr>
                                <w:b/>
                                <w:sz w:val="18"/>
                                <w:szCs w:val="18"/>
                              </w:rPr>
                            </w:pPr>
                            <w:r w:rsidRPr="00CC17EA">
                              <w:rPr>
                                <w:b/>
                                <w:sz w:val="18"/>
                                <w:szCs w:val="18"/>
                              </w:rPr>
                              <w:t>Demande de proposition de DAO/ travaux (clauses E&amp;S)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1574CD" id="Rectangle à coins arrondis 3974" o:spid="_x0000_s1026" style="position:absolute;left:0;text-align:left;margin-left:107.1pt;margin-top:8.95pt;width:159.45pt;height:4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">
                <v:textbox>
                  <w:txbxContent>
                    <w:p w14:paraId="2114AC2E" w14:textId="77777777" w:rsidR="00510ABB" w:rsidRPr="00CC17EA" w:rsidRDefault="00510ABB" w:rsidP="001C2F95">
                      <w:pPr>
                        <w:jc w:val="center"/>
                        <w:rPr>
                          <w:b/>
                          <w:sz w:val="18"/>
                          <w:szCs w:val="18"/>
                        </w:rPr>
                      </w:pPr>
                      <w:r w:rsidRPr="00CC17EA">
                        <w:rPr>
                          <w:b/>
                          <w:sz w:val="18"/>
                          <w:szCs w:val="18"/>
                        </w:rPr>
                        <w:t>Demande de proposition de DAO/ travaux (clauses E&amp;S)</w:t>
                      </w:r>
                    </w:p>
                  </w:txbxContent>
                </v:textbox>
              </v:roundrect>
            </w:pict>
          </mc:Fallback>
        </mc:AlternateContent>
      </w:r>
    </w:p>
    <w:p w14:paraId="237A4B0C" w14:textId="77777777" w:rsidR="001C2F95" w:rsidRDefault="001C2F95" w:rsidP="001C2F95">
      <w:pPr>
        <w:rPr>
          <w:sz w:val="22"/>
        </w:rPr>
      </w:pPr>
    </w:p>
    <w:p w14:paraId="259DC608" w14:textId="77777777" w:rsidR="001C2F95" w:rsidRDefault="001C2F95" w:rsidP="001C2F95">
      <w:pPr>
        <w:rPr>
          <w:sz w:val="22"/>
        </w:rPr>
      </w:pPr>
    </w:p>
    <w:p w14:paraId="30C2DD00" w14:textId="6F0AC826" w:rsidR="001C2F95" w:rsidRDefault="0078696E" w:rsidP="001C2F95">
      <w:pPr>
        <w:rPr>
          <w:sz w:val="22"/>
        </w:rPr>
      </w:pPr>
      <w:r>
        <w:rPr>
          <w:noProof/>
        </w:rPr>
        <mc:AlternateContent>
          <mc:Choice Requires="wps">
            <w:drawing>
              <wp:anchor distT="0" distB="0" distL="114300" distR="114300" simplePos="0" relativeHeight="251658249" behindDoc="0" locked="0" layoutInCell="1" allowOverlap="1" wp14:anchorId="562EB436" wp14:editId="6EDEA91E">
                <wp:simplePos x="0" y="0"/>
                <wp:positionH relativeFrom="column">
                  <wp:posOffset>2287270</wp:posOffset>
                </wp:positionH>
                <wp:positionV relativeFrom="paragraph">
                  <wp:posOffset>12700</wp:posOffset>
                </wp:positionV>
                <wp:extent cx="59055" cy="247650"/>
                <wp:effectExtent l="19050" t="0" r="17145" b="19050"/>
                <wp:wrapNone/>
                <wp:docPr id="3973" name="Flèche vers le bas 3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247650"/>
                        </a:xfrm>
                        <a:prstGeom prst="downArrow">
                          <a:avLst>
                            <a:gd name="adj1" fmla="val 50000"/>
                            <a:gd name="adj2" fmla="val 454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AFBDD94">
              <v:shapetype id="_x0000_t67" coordsize="21600,21600" o:spt="67" adj="16200,5400" path="m0@0l@1@0@1,0@2,0@2@0,21600@0,10800,21600xe" w14:anchorId="0E614C0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3973" style="position:absolute;margin-left:180.1pt;margin-top:1pt;width:4.65pt;height:1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7" adj="1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">
                <v:textbox style="layout-flow:vertical-ideographic"/>
              </v:shape>
            </w:pict>
          </mc:Fallback>
        </mc:AlternateContent>
      </w:r>
    </w:p>
    <w:p w14:paraId="3EA51667" w14:textId="7CF61027" w:rsidR="001C2F95" w:rsidRDefault="0078696E" w:rsidP="001C2F95">
      <w:pPr>
        <w:rPr>
          <w:sz w:val="22"/>
        </w:rPr>
      </w:pPr>
      <w:r>
        <w:rPr>
          <w:noProof/>
        </w:rPr>
        <mc:AlternateContent>
          <mc:Choice Requires="wps">
            <w:drawing>
              <wp:anchor distT="0" distB="0" distL="114300" distR="114300" simplePos="0" relativeHeight="251658243" behindDoc="0" locked="0" layoutInCell="1" allowOverlap="1" wp14:anchorId="58C4705B" wp14:editId="774714CE">
                <wp:simplePos x="0" y="0"/>
                <wp:positionH relativeFrom="column">
                  <wp:posOffset>1328420</wp:posOffset>
                </wp:positionH>
                <wp:positionV relativeFrom="paragraph">
                  <wp:posOffset>118745</wp:posOffset>
                </wp:positionV>
                <wp:extent cx="2024380" cy="534035"/>
                <wp:effectExtent l="0" t="0" r="0" b="0"/>
                <wp:wrapNone/>
                <wp:docPr id="3972" name="Rectangle à coins arrondis 3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4380" cy="534035"/>
                        </a:xfrm>
                        <a:prstGeom prst="roundRect">
                          <a:avLst>
                            <a:gd name="adj" fmla="val 16667"/>
                          </a:avLst>
                        </a:prstGeom>
                        <a:solidFill>
                          <a:srgbClr val="FFFFFF"/>
                        </a:solidFill>
                        <a:ln w="9525">
                          <a:solidFill>
                            <a:srgbClr val="000000"/>
                          </a:solidFill>
                          <a:round/>
                          <a:headEnd/>
                          <a:tailEnd/>
                        </a:ln>
                      </wps:spPr>
                      <wps:txbx>
                        <w:txbxContent>
                          <w:p w14:paraId="6A60C274" w14:textId="77777777" w:rsidR="00510ABB" w:rsidRPr="00CC17EA" w:rsidRDefault="00510ABB" w:rsidP="001C2F95">
                            <w:pPr>
                              <w:jc w:val="center"/>
                              <w:rPr>
                                <w:b/>
                                <w:sz w:val="18"/>
                                <w:szCs w:val="18"/>
                              </w:rPr>
                            </w:pPr>
                            <w:r w:rsidRPr="00CC17EA">
                              <w:rPr>
                                <w:b/>
                                <w:sz w:val="18"/>
                                <w:szCs w:val="18"/>
                              </w:rPr>
                              <w:t>Recrutement de l’entreprise / préparation du PGES-</w:t>
                            </w:r>
                            <w:r>
                              <w:rPr>
                                <w:b/>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C4705B" id="Rectangle à coins arrondis 3972" o:spid="_x0000_s1027" style="position:absolute;left:0;text-align:left;margin-left:104.6pt;margin-top:9.35pt;width:159.4pt;height:4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">
                <v:textbox>
                  <w:txbxContent>
                    <w:p w14:paraId="6A60C274" w14:textId="77777777" w:rsidR="00510ABB" w:rsidRPr="00CC17EA" w:rsidRDefault="00510ABB" w:rsidP="001C2F95">
                      <w:pPr>
                        <w:jc w:val="center"/>
                        <w:rPr>
                          <w:b/>
                          <w:sz w:val="18"/>
                          <w:szCs w:val="18"/>
                        </w:rPr>
                      </w:pPr>
                      <w:r w:rsidRPr="00CC17EA">
                        <w:rPr>
                          <w:b/>
                          <w:sz w:val="18"/>
                          <w:szCs w:val="18"/>
                        </w:rPr>
                        <w:t>Recrutement de l’entreprise / préparation du PGES-</w:t>
                      </w:r>
                      <w:r>
                        <w:rPr>
                          <w:b/>
                          <w:sz w:val="18"/>
                          <w:szCs w:val="18"/>
                        </w:rPr>
                        <w:t>C</w:t>
                      </w:r>
                    </w:p>
                  </w:txbxContent>
                </v:textbox>
              </v:roundrect>
            </w:pict>
          </mc:Fallback>
        </mc:AlternateContent>
      </w:r>
    </w:p>
    <w:p w14:paraId="5E59393E" w14:textId="77777777" w:rsidR="001C2F95" w:rsidRPr="00D91CA2" w:rsidRDefault="001C2F95" w:rsidP="001C2F95">
      <w:pPr>
        <w:rPr>
          <w:sz w:val="22"/>
        </w:rPr>
      </w:pPr>
    </w:p>
    <w:p w14:paraId="1FF5F8D6" w14:textId="77777777" w:rsidR="001C2F95" w:rsidRDefault="001C2F95" w:rsidP="001C2F95">
      <w:pPr>
        <w:rPr>
          <w:b/>
          <w:sz w:val="22"/>
          <w:u w:val="single"/>
        </w:rPr>
      </w:pPr>
    </w:p>
    <w:p w14:paraId="3A57E024" w14:textId="488DDA57" w:rsidR="001C2F95" w:rsidRDefault="0078696E" w:rsidP="001C2F95">
      <w:pPr>
        <w:rPr>
          <w:b/>
          <w:sz w:val="22"/>
          <w:u w:val="single"/>
        </w:rPr>
      </w:pPr>
      <w:r>
        <w:rPr>
          <w:noProof/>
        </w:rPr>
        <mc:AlternateContent>
          <mc:Choice Requires="wps">
            <w:drawing>
              <wp:anchor distT="0" distB="0" distL="114300" distR="114300" simplePos="0" relativeHeight="251658250" behindDoc="0" locked="0" layoutInCell="1" allowOverlap="1" wp14:anchorId="03172CC0" wp14:editId="16AEBCCE">
                <wp:simplePos x="0" y="0"/>
                <wp:positionH relativeFrom="column">
                  <wp:posOffset>2273300</wp:posOffset>
                </wp:positionH>
                <wp:positionV relativeFrom="paragraph">
                  <wp:posOffset>60960</wp:posOffset>
                </wp:positionV>
                <wp:extent cx="90805" cy="152400"/>
                <wp:effectExtent l="19050" t="0" r="23495" b="19050"/>
                <wp:wrapNone/>
                <wp:docPr id="199" name="Flèche vers le ba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downArrow">
                          <a:avLst>
                            <a:gd name="adj1" fmla="val 50000"/>
                            <a:gd name="adj2" fmla="val 419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B0FA086">
              <v:shape id="Flèche vers le bas 43" style="position:absolute;margin-left:179pt;margin-top:4.8pt;width:7.15pt;height:1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" w14:anchorId="262535F4">
                <v:textbox style="layout-flow:vertical-ideographic"/>
              </v:shape>
            </w:pict>
          </mc:Fallback>
        </mc:AlternateContent>
      </w:r>
    </w:p>
    <w:p w14:paraId="583E99F9" w14:textId="1CC80707" w:rsidR="001C2F95" w:rsidRDefault="0078696E" w:rsidP="001C2F95">
      <w:pPr>
        <w:rPr>
          <w:b/>
          <w:sz w:val="22"/>
          <w:u w:val="single"/>
        </w:rPr>
      </w:pPr>
      <w:r>
        <w:rPr>
          <w:noProof/>
        </w:rPr>
        <mc:AlternateContent>
          <mc:Choice Requires="wps">
            <w:drawing>
              <wp:anchor distT="0" distB="0" distL="114300" distR="114300" simplePos="0" relativeHeight="251658244" behindDoc="0" locked="0" layoutInCell="1" allowOverlap="1" wp14:anchorId="2B1C857D" wp14:editId="09F1D012">
                <wp:simplePos x="0" y="0"/>
                <wp:positionH relativeFrom="column">
                  <wp:posOffset>1364615</wp:posOffset>
                </wp:positionH>
                <wp:positionV relativeFrom="paragraph">
                  <wp:posOffset>31750</wp:posOffset>
                </wp:positionV>
                <wp:extent cx="2020570" cy="616585"/>
                <wp:effectExtent l="0" t="0" r="0" b="0"/>
                <wp:wrapNone/>
                <wp:docPr id="198" name="Rectangle à coins arrondi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616585"/>
                        </a:xfrm>
                        <a:prstGeom prst="roundRect">
                          <a:avLst>
                            <a:gd name="adj" fmla="val 16667"/>
                          </a:avLst>
                        </a:prstGeom>
                        <a:solidFill>
                          <a:srgbClr val="FFFFFF"/>
                        </a:solidFill>
                        <a:ln w="9525">
                          <a:solidFill>
                            <a:srgbClr val="000000"/>
                          </a:solidFill>
                          <a:round/>
                          <a:headEnd/>
                          <a:tailEnd/>
                        </a:ln>
                      </wps:spPr>
                      <wps:txbx>
                        <w:txbxContent>
                          <w:p w14:paraId="25D467D7" w14:textId="77777777" w:rsidR="00510ABB" w:rsidRPr="00CC17EA" w:rsidRDefault="00510ABB" w:rsidP="001C2F95">
                            <w:pPr>
                              <w:jc w:val="center"/>
                              <w:rPr>
                                <w:b/>
                                <w:sz w:val="18"/>
                                <w:szCs w:val="18"/>
                              </w:rPr>
                            </w:pPr>
                            <w:r w:rsidRPr="00CC17EA">
                              <w:rPr>
                                <w:b/>
                                <w:sz w:val="18"/>
                                <w:szCs w:val="18"/>
                              </w:rPr>
                              <w:t>Approbation du PGES-E avant démarrage des travaux par la Mission de Controle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C857D" id="Rectangle à coins arrondis 42" o:spid="_x0000_s1028" style="position:absolute;left:0;text-align:left;margin-left:107.45pt;margin-top:2.5pt;width:159.1pt;height:48.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">
                <v:textbox>
                  <w:txbxContent>
                    <w:p w14:paraId="25D467D7" w14:textId="77777777" w:rsidR="00510ABB" w:rsidRPr="00CC17EA" w:rsidRDefault="00510ABB" w:rsidP="001C2F95">
                      <w:pPr>
                        <w:jc w:val="center"/>
                        <w:rPr>
                          <w:b/>
                          <w:sz w:val="18"/>
                          <w:szCs w:val="18"/>
                        </w:rPr>
                      </w:pPr>
                      <w:r w:rsidRPr="00CC17EA">
                        <w:rPr>
                          <w:b/>
                          <w:sz w:val="18"/>
                          <w:szCs w:val="18"/>
                        </w:rPr>
                        <w:t xml:space="preserve">Approbation du PGES-E avant démarrage des travaux par la Mission de </w:t>
                      </w:r>
                      <w:proofErr w:type="spellStart"/>
                      <w:r w:rsidRPr="00CC17EA">
                        <w:rPr>
                          <w:b/>
                          <w:sz w:val="18"/>
                          <w:szCs w:val="18"/>
                        </w:rPr>
                        <w:t>Controle</w:t>
                      </w:r>
                      <w:proofErr w:type="spellEnd"/>
                    </w:p>
                  </w:txbxContent>
                </v:textbox>
              </v:roundrect>
            </w:pict>
          </mc:Fallback>
        </mc:AlternateContent>
      </w:r>
    </w:p>
    <w:p w14:paraId="74A5B793" w14:textId="77777777" w:rsidR="001C2F95" w:rsidRDefault="001C2F95" w:rsidP="001C2F95">
      <w:pPr>
        <w:rPr>
          <w:b/>
          <w:sz w:val="22"/>
          <w:u w:val="single"/>
        </w:rPr>
      </w:pPr>
    </w:p>
    <w:p w14:paraId="1480859B" w14:textId="77777777" w:rsidR="001C2F95" w:rsidRDefault="001C2F95" w:rsidP="001C2F95">
      <w:pPr>
        <w:rPr>
          <w:b/>
          <w:sz w:val="22"/>
          <w:u w:val="single"/>
        </w:rPr>
      </w:pPr>
    </w:p>
    <w:p w14:paraId="219240E2" w14:textId="0DFF2C54" w:rsidR="001C2F95" w:rsidRDefault="0078696E" w:rsidP="001C2F95">
      <w:pPr>
        <w:rPr>
          <w:b/>
          <w:sz w:val="22"/>
          <w:u w:val="single"/>
        </w:rPr>
      </w:pPr>
      <w:r>
        <w:rPr>
          <w:noProof/>
        </w:rPr>
        <mc:AlternateContent>
          <mc:Choice Requires="wps">
            <w:drawing>
              <wp:anchor distT="0" distB="0" distL="114300" distR="114300" simplePos="0" relativeHeight="251658251" behindDoc="0" locked="0" layoutInCell="1" allowOverlap="1" wp14:anchorId="0039C7AF" wp14:editId="1E250A0C">
                <wp:simplePos x="0" y="0"/>
                <wp:positionH relativeFrom="column">
                  <wp:posOffset>2284095</wp:posOffset>
                </wp:positionH>
                <wp:positionV relativeFrom="paragraph">
                  <wp:posOffset>40640</wp:posOffset>
                </wp:positionV>
                <wp:extent cx="90805" cy="165100"/>
                <wp:effectExtent l="19050" t="0" r="23495" b="25400"/>
                <wp:wrapNone/>
                <wp:docPr id="197" name="Flèche vers le ba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5100"/>
                        </a:xfrm>
                        <a:prstGeom prst="downArrow">
                          <a:avLst>
                            <a:gd name="adj1" fmla="val 50000"/>
                            <a:gd name="adj2" fmla="val 454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CC8486">
              <v:shape id="Flèche vers le bas 37" style="position:absolute;margin-left:179.85pt;margin-top:3.2pt;width:7.15pt;height:1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" w14:anchorId="3F3FDFA1">
                <v:textbox style="layout-flow:vertical-ideographic"/>
              </v:shape>
            </w:pict>
          </mc:Fallback>
        </mc:AlternateContent>
      </w:r>
    </w:p>
    <w:p w14:paraId="02CFF313" w14:textId="69674EE1" w:rsidR="001C2F95" w:rsidRDefault="0078696E" w:rsidP="001C2F95">
      <w:pPr>
        <w:rPr>
          <w:rFonts w:cs="Arial"/>
          <w:bCs/>
          <w:i/>
          <w:sz w:val="22"/>
        </w:rPr>
      </w:pPr>
      <w:r>
        <w:rPr>
          <w:noProof/>
        </w:rPr>
        <mc:AlternateContent>
          <mc:Choice Requires="wps">
            <w:drawing>
              <wp:anchor distT="0" distB="0" distL="114300" distR="114300" simplePos="0" relativeHeight="251658245" behindDoc="0" locked="0" layoutInCell="1" allowOverlap="1" wp14:anchorId="43AE42B1" wp14:editId="21057507">
                <wp:simplePos x="0" y="0"/>
                <wp:positionH relativeFrom="column">
                  <wp:posOffset>1364615</wp:posOffset>
                </wp:positionH>
                <wp:positionV relativeFrom="paragraph">
                  <wp:posOffset>57785</wp:posOffset>
                </wp:positionV>
                <wp:extent cx="2052320" cy="638175"/>
                <wp:effectExtent l="0" t="0" r="5080" b="9525"/>
                <wp:wrapNone/>
                <wp:docPr id="196"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638175"/>
                        </a:xfrm>
                        <a:prstGeom prst="roundRect">
                          <a:avLst>
                            <a:gd name="adj" fmla="val 16667"/>
                          </a:avLst>
                        </a:prstGeom>
                        <a:solidFill>
                          <a:srgbClr val="FFFFFF"/>
                        </a:solidFill>
                        <a:ln w="9525">
                          <a:solidFill>
                            <a:srgbClr val="000000"/>
                          </a:solidFill>
                          <a:round/>
                          <a:headEnd/>
                          <a:tailEnd/>
                        </a:ln>
                      </wps:spPr>
                      <wps:txbx>
                        <w:txbxContent>
                          <w:p w14:paraId="04094E14" w14:textId="77777777" w:rsidR="00510ABB" w:rsidRPr="00CC17EA" w:rsidRDefault="00510ABB" w:rsidP="001C2F95">
                            <w:pPr>
                              <w:jc w:val="center"/>
                              <w:rPr>
                                <w:b/>
                              </w:rPr>
                            </w:pPr>
                            <w:r w:rsidRPr="00CC17EA">
                              <w:rPr>
                                <w:b/>
                                <w:sz w:val="18"/>
                                <w:szCs w:val="18"/>
                              </w:rPr>
                              <w:t>Approbation du PGES-E par l</w:t>
                            </w:r>
                            <w:r>
                              <w:rPr>
                                <w:b/>
                                <w:sz w:val="18"/>
                                <w:szCs w:val="18"/>
                              </w:rPr>
                              <w:t xml:space="preserve">es </w:t>
                            </w:r>
                            <w:r w:rsidRPr="00CC17EA">
                              <w:rPr>
                                <w:b/>
                                <w:sz w:val="18"/>
                                <w:szCs w:val="18"/>
                              </w:rPr>
                              <w:t>spécialistes responsables du sous-projet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E42B1" id="Rectangle à coins arrondis 21" o:spid="_x0000_s1029" style="position:absolute;left:0;text-align:left;margin-left:107.45pt;margin-top:4.55pt;width:161.6pt;height:50.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">
                <v:textbox>
                  <w:txbxContent>
                    <w:p w14:paraId="04094E14" w14:textId="77777777" w:rsidR="00510ABB" w:rsidRPr="00CC17EA" w:rsidRDefault="00510ABB" w:rsidP="001C2F95">
                      <w:pPr>
                        <w:jc w:val="center"/>
                        <w:rPr>
                          <w:b/>
                        </w:rPr>
                      </w:pPr>
                      <w:r w:rsidRPr="00CC17EA">
                        <w:rPr>
                          <w:b/>
                          <w:sz w:val="18"/>
                          <w:szCs w:val="18"/>
                        </w:rPr>
                        <w:t>Approbation du PGES-E par l</w:t>
                      </w:r>
                      <w:r>
                        <w:rPr>
                          <w:b/>
                          <w:sz w:val="18"/>
                          <w:szCs w:val="18"/>
                        </w:rPr>
                        <w:t xml:space="preserve">es </w:t>
                      </w:r>
                      <w:r w:rsidRPr="00CC17EA">
                        <w:rPr>
                          <w:b/>
                          <w:sz w:val="18"/>
                          <w:szCs w:val="18"/>
                        </w:rPr>
                        <w:t>spécialistes responsables du sous-projet</w:t>
                      </w:r>
                    </w:p>
                  </w:txbxContent>
                </v:textbox>
              </v:roundrect>
            </w:pict>
          </mc:Fallback>
        </mc:AlternateContent>
      </w:r>
      <w:r>
        <w:rPr>
          <w:noProof/>
        </w:rPr>
        <mc:AlternateContent>
          <mc:Choice Requires="wps">
            <w:drawing>
              <wp:anchor distT="0" distB="0" distL="114300" distR="114300" simplePos="0" relativeHeight="251658253" behindDoc="0" locked="0" layoutInCell="1" allowOverlap="1" wp14:anchorId="0F414A09" wp14:editId="2565A022">
                <wp:simplePos x="0" y="0"/>
                <wp:positionH relativeFrom="column">
                  <wp:posOffset>2245995</wp:posOffset>
                </wp:positionH>
                <wp:positionV relativeFrom="paragraph">
                  <wp:posOffset>1302385</wp:posOffset>
                </wp:positionV>
                <wp:extent cx="90805" cy="165100"/>
                <wp:effectExtent l="19050" t="0" r="23495" b="25400"/>
                <wp:wrapNone/>
                <wp:docPr id="195" name="Flèche vers le b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5100"/>
                        </a:xfrm>
                        <a:prstGeom prst="downArrow">
                          <a:avLst>
                            <a:gd name="adj1" fmla="val 50000"/>
                            <a:gd name="adj2" fmla="val 454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0D5C1C">
              <v:shape id="Flèche vers le bas 33" style="position:absolute;margin-left:176.85pt;margin-top:102.55pt;width:7.15pt;height:1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" w14:anchorId="219C6DF9">
                <v:textbox style="layout-flow:vertical-ideographic"/>
              </v:shape>
            </w:pict>
          </mc:Fallback>
        </mc:AlternateContent>
      </w:r>
      <w:r>
        <w:rPr>
          <w:noProof/>
        </w:rPr>
        <mc:AlternateContent>
          <mc:Choice Requires="wps">
            <w:drawing>
              <wp:anchor distT="0" distB="0" distL="114300" distR="114300" simplePos="0" relativeHeight="251658252" behindDoc="0" locked="0" layoutInCell="1" allowOverlap="1" wp14:anchorId="56C1F2F1" wp14:editId="20264B8E">
                <wp:simplePos x="0" y="0"/>
                <wp:positionH relativeFrom="column">
                  <wp:posOffset>2273300</wp:posOffset>
                </wp:positionH>
                <wp:positionV relativeFrom="paragraph">
                  <wp:posOffset>667385</wp:posOffset>
                </wp:positionV>
                <wp:extent cx="90805" cy="120650"/>
                <wp:effectExtent l="19050" t="0" r="23495" b="12700"/>
                <wp:wrapNone/>
                <wp:docPr id="194" name="Flèche vers le ba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0650"/>
                        </a:xfrm>
                        <a:prstGeom prst="downArrow">
                          <a:avLst>
                            <a:gd name="adj1" fmla="val 50000"/>
                            <a:gd name="adj2" fmla="val 332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08457A8">
              <v:shape id="Flèche vers le bas 31" style="position:absolute;margin-left:179pt;margin-top:52.55pt;width:7.15pt;height: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" w14:anchorId="7A5A943F">
                <v:textbox style="layout-flow:vertical-ideographic"/>
              </v:shape>
            </w:pict>
          </mc:Fallback>
        </mc:AlternateContent>
      </w:r>
    </w:p>
    <w:p w14:paraId="7EACD2A0" w14:textId="77777777" w:rsidR="001C2F95" w:rsidRDefault="001C2F95" w:rsidP="001C2F95">
      <w:pPr>
        <w:rPr>
          <w:rFonts w:cs="Arial"/>
          <w:bCs/>
          <w:i/>
          <w:sz w:val="22"/>
        </w:rPr>
      </w:pPr>
    </w:p>
    <w:p w14:paraId="47194335" w14:textId="77777777" w:rsidR="001C2F95" w:rsidRDefault="001C2F95" w:rsidP="001C2F95">
      <w:pPr>
        <w:rPr>
          <w:rFonts w:cs="Arial"/>
          <w:bCs/>
          <w:i/>
          <w:sz w:val="22"/>
        </w:rPr>
      </w:pPr>
    </w:p>
    <w:p w14:paraId="2F341535" w14:textId="77777777" w:rsidR="001C2F95" w:rsidRDefault="001C2F95" w:rsidP="001C2F95">
      <w:pPr>
        <w:rPr>
          <w:rFonts w:cs="Arial"/>
          <w:bCs/>
          <w:i/>
          <w:sz w:val="22"/>
        </w:rPr>
      </w:pPr>
    </w:p>
    <w:p w14:paraId="7C1E5AA2" w14:textId="76E060F1" w:rsidR="001C2F95" w:rsidRDefault="0078696E" w:rsidP="001C2F95">
      <w:pPr>
        <w:rPr>
          <w:rFonts w:cs="Arial"/>
          <w:bCs/>
          <w:i/>
          <w:sz w:val="22"/>
        </w:rPr>
      </w:pPr>
      <w:r>
        <w:rPr>
          <w:noProof/>
        </w:rPr>
        <mc:AlternateContent>
          <mc:Choice Requires="wps">
            <w:drawing>
              <wp:anchor distT="0" distB="0" distL="114300" distR="114300" simplePos="0" relativeHeight="251658247" behindDoc="0" locked="0" layoutInCell="1" allowOverlap="1" wp14:anchorId="6991DFD0" wp14:editId="7025D81A">
                <wp:simplePos x="0" y="0"/>
                <wp:positionH relativeFrom="column">
                  <wp:posOffset>1374140</wp:posOffset>
                </wp:positionH>
                <wp:positionV relativeFrom="paragraph">
                  <wp:posOffset>64135</wp:posOffset>
                </wp:positionV>
                <wp:extent cx="2074545" cy="499745"/>
                <wp:effectExtent l="0" t="0" r="1905" b="0"/>
                <wp:wrapNone/>
                <wp:docPr id="193" name="Rectangle à coins arrondi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499745"/>
                        </a:xfrm>
                        <a:prstGeom prst="roundRect">
                          <a:avLst>
                            <a:gd name="adj" fmla="val 16667"/>
                          </a:avLst>
                        </a:prstGeom>
                        <a:solidFill>
                          <a:srgbClr val="FFFFFF"/>
                        </a:solidFill>
                        <a:ln w="9525">
                          <a:solidFill>
                            <a:srgbClr val="000000"/>
                          </a:solidFill>
                          <a:round/>
                          <a:headEnd/>
                          <a:tailEnd/>
                        </a:ln>
                      </wps:spPr>
                      <wps:txbx>
                        <w:txbxContent>
                          <w:p w14:paraId="7FD6F692" w14:textId="77777777" w:rsidR="00510ABB" w:rsidRPr="00CC17EA" w:rsidRDefault="00510ABB" w:rsidP="001C2F95">
                            <w:pPr>
                              <w:jc w:val="center"/>
                              <w:rPr>
                                <w:b/>
                                <w:sz w:val="18"/>
                                <w:szCs w:val="18"/>
                              </w:rPr>
                            </w:pPr>
                            <w:r w:rsidRPr="00CC17EA">
                              <w:rPr>
                                <w:b/>
                                <w:sz w:val="18"/>
                                <w:szCs w:val="18"/>
                              </w:rPr>
                              <w:t>Validation (ANO) du PGES-E par la Banque mondiale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1DFD0" id="Rectangle à coins arrondis 34" o:spid="_x0000_s1030" style="position:absolute;left:0;text-align:left;margin-left:108.2pt;margin-top:5.05pt;width:163.35pt;height:39.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">
                <v:textbox>
                  <w:txbxContent>
                    <w:p w14:paraId="7FD6F692" w14:textId="77777777" w:rsidR="00510ABB" w:rsidRPr="00CC17EA" w:rsidRDefault="00510ABB" w:rsidP="001C2F95">
                      <w:pPr>
                        <w:jc w:val="center"/>
                        <w:rPr>
                          <w:b/>
                          <w:sz w:val="18"/>
                          <w:szCs w:val="18"/>
                        </w:rPr>
                      </w:pPr>
                      <w:r w:rsidRPr="00CC17EA">
                        <w:rPr>
                          <w:b/>
                          <w:sz w:val="18"/>
                          <w:szCs w:val="18"/>
                        </w:rPr>
                        <w:t>Validation (ANO) du PGES-E par la Banque mondiale</w:t>
                      </w:r>
                    </w:p>
                  </w:txbxContent>
                </v:textbox>
              </v:roundrect>
            </w:pict>
          </mc:Fallback>
        </mc:AlternateContent>
      </w:r>
    </w:p>
    <w:p w14:paraId="3387E486" w14:textId="77777777" w:rsidR="001C2F95" w:rsidRDefault="001C2F95" w:rsidP="001C2F95">
      <w:pPr>
        <w:rPr>
          <w:rFonts w:cs="Arial"/>
          <w:bCs/>
          <w:i/>
          <w:sz w:val="22"/>
        </w:rPr>
      </w:pPr>
    </w:p>
    <w:p w14:paraId="7F56C344" w14:textId="77777777" w:rsidR="001C2F95" w:rsidRDefault="001C2F95" w:rsidP="001C2F95">
      <w:pPr>
        <w:rPr>
          <w:rFonts w:cs="Arial"/>
          <w:bCs/>
          <w:i/>
          <w:sz w:val="22"/>
        </w:rPr>
      </w:pPr>
    </w:p>
    <w:p w14:paraId="3E8DF8B2" w14:textId="78108B6C" w:rsidR="001C2F95" w:rsidRDefault="0078696E" w:rsidP="001C2F95">
      <w:pPr>
        <w:rPr>
          <w:rFonts w:cs="Arial"/>
          <w:bCs/>
          <w:i/>
          <w:sz w:val="22"/>
        </w:rPr>
      </w:pPr>
      <w:r>
        <w:rPr>
          <w:noProof/>
        </w:rPr>
        <mc:AlternateContent>
          <mc:Choice Requires="wps">
            <w:drawing>
              <wp:anchor distT="0" distB="0" distL="114300" distR="114300" simplePos="0" relativeHeight="251658246" behindDoc="0" locked="0" layoutInCell="1" allowOverlap="1" wp14:anchorId="1C442DB8" wp14:editId="50EB906D">
                <wp:simplePos x="0" y="0"/>
                <wp:positionH relativeFrom="column">
                  <wp:posOffset>1338580</wp:posOffset>
                </wp:positionH>
                <wp:positionV relativeFrom="paragraph">
                  <wp:posOffset>165735</wp:posOffset>
                </wp:positionV>
                <wp:extent cx="2110105" cy="608330"/>
                <wp:effectExtent l="0" t="0" r="4445" b="1270"/>
                <wp:wrapNone/>
                <wp:docPr id="192"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08330"/>
                        </a:xfrm>
                        <a:prstGeom prst="roundRect">
                          <a:avLst>
                            <a:gd name="adj" fmla="val 16667"/>
                          </a:avLst>
                        </a:prstGeom>
                        <a:solidFill>
                          <a:srgbClr val="FFFFFF"/>
                        </a:solidFill>
                        <a:ln w="9525">
                          <a:solidFill>
                            <a:srgbClr val="000000"/>
                          </a:solidFill>
                          <a:round/>
                          <a:headEnd/>
                          <a:tailEnd/>
                        </a:ln>
                      </wps:spPr>
                      <wps:txbx>
                        <w:txbxContent>
                          <w:p w14:paraId="42C3714E" w14:textId="77777777" w:rsidR="00510ABB" w:rsidRPr="00CC17EA" w:rsidRDefault="00510ABB" w:rsidP="001C2F95">
                            <w:pPr>
                              <w:jc w:val="center"/>
                              <w:rPr>
                                <w:b/>
                                <w:sz w:val="18"/>
                                <w:szCs w:val="18"/>
                              </w:rPr>
                            </w:pPr>
                            <w:r w:rsidRPr="00CC17EA">
                              <w:rPr>
                                <w:b/>
                                <w:sz w:val="18"/>
                                <w:szCs w:val="18"/>
                              </w:rPr>
                              <w:t>Ordre de service pour le démarrage des travaux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42DB8" id="Rectangle à coins arrondis 29" o:spid="_x0000_s1031" style="position:absolute;left:0;text-align:left;margin-left:105.4pt;margin-top:13.05pt;width:166.15pt;height:47.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">
                <v:textbox>
                  <w:txbxContent>
                    <w:p w14:paraId="42C3714E" w14:textId="77777777" w:rsidR="00510ABB" w:rsidRPr="00CC17EA" w:rsidRDefault="00510ABB" w:rsidP="001C2F95">
                      <w:pPr>
                        <w:jc w:val="center"/>
                        <w:rPr>
                          <w:b/>
                          <w:sz w:val="18"/>
                          <w:szCs w:val="18"/>
                        </w:rPr>
                      </w:pPr>
                      <w:r w:rsidRPr="00CC17EA">
                        <w:rPr>
                          <w:b/>
                          <w:sz w:val="18"/>
                          <w:szCs w:val="18"/>
                        </w:rPr>
                        <w:t>Ordre de service pour le démarrage des travaux</w:t>
                      </w:r>
                    </w:p>
                  </w:txbxContent>
                </v:textbox>
              </v:roundrect>
            </w:pict>
          </mc:Fallback>
        </mc:AlternateContent>
      </w:r>
    </w:p>
    <w:p w14:paraId="678A9B34" w14:textId="77777777" w:rsidR="001C2F95" w:rsidRDefault="001C2F95" w:rsidP="001C2F95">
      <w:pPr>
        <w:rPr>
          <w:rFonts w:cs="Arial"/>
          <w:bCs/>
          <w:i/>
          <w:sz w:val="22"/>
        </w:rPr>
      </w:pPr>
    </w:p>
    <w:p w14:paraId="4B71123A" w14:textId="77777777" w:rsidR="001C2F95" w:rsidRDefault="001C2F95" w:rsidP="001C2F95">
      <w:pPr>
        <w:rPr>
          <w:rFonts w:cs="Arial"/>
          <w:bCs/>
          <w:i/>
          <w:sz w:val="22"/>
        </w:rPr>
      </w:pPr>
    </w:p>
    <w:p w14:paraId="4BD509F8" w14:textId="77777777" w:rsidR="001C2F95" w:rsidRDefault="001C2F95" w:rsidP="001C2F95">
      <w:pPr>
        <w:rPr>
          <w:rFonts w:cs="Arial"/>
          <w:bCs/>
          <w:i/>
          <w:sz w:val="22"/>
        </w:rPr>
      </w:pPr>
    </w:p>
    <w:p w14:paraId="46EC5333" w14:textId="611C2ACF" w:rsidR="001C2F95" w:rsidRDefault="0078696E" w:rsidP="001C2F95">
      <w:pPr>
        <w:rPr>
          <w:rFonts w:cs="Arial"/>
          <w:bCs/>
          <w:i/>
          <w:sz w:val="22"/>
        </w:rPr>
      </w:pPr>
      <w:r>
        <w:rPr>
          <w:noProof/>
        </w:rPr>
        <mc:AlternateContent>
          <mc:Choice Requires="wps">
            <w:drawing>
              <wp:anchor distT="0" distB="0" distL="114300" distR="114300" simplePos="0" relativeHeight="251658254" behindDoc="0" locked="0" layoutInCell="1" allowOverlap="1" wp14:anchorId="7E9AA8AF" wp14:editId="779D1ADB">
                <wp:simplePos x="0" y="0"/>
                <wp:positionH relativeFrom="column">
                  <wp:posOffset>2313940</wp:posOffset>
                </wp:positionH>
                <wp:positionV relativeFrom="paragraph">
                  <wp:posOffset>34925</wp:posOffset>
                </wp:positionV>
                <wp:extent cx="90805" cy="164465"/>
                <wp:effectExtent l="19050" t="0" r="23495" b="26035"/>
                <wp:wrapNone/>
                <wp:docPr id="191" name="Flèche vers le ba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4465"/>
                        </a:xfrm>
                        <a:prstGeom prst="downArrow">
                          <a:avLst>
                            <a:gd name="adj1" fmla="val 50000"/>
                            <a:gd name="adj2" fmla="val 4528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6823C81">
              <v:shape id="Flèche vers le bas 32" style="position:absolute;margin-left:182.2pt;margin-top:2.75pt;width:7.15pt;height:12.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" w14:anchorId="3520BBEB">
                <v:textbox style="layout-flow:vertical-ideographic"/>
              </v:shape>
            </w:pict>
          </mc:Fallback>
        </mc:AlternateContent>
      </w:r>
      <w:r>
        <w:rPr>
          <w:noProof/>
        </w:rPr>
        <mc:AlternateContent>
          <mc:Choice Requires="wps">
            <w:drawing>
              <wp:anchor distT="0" distB="0" distL="114300" distR="114300" simplePos="0" relativeHeight="251658248" behindDoc="0" locked="0" layoutInCell="1" allowOverlap="1" wp14:anchorId="0E462E4C" wp14:editId="6287F556">
                <wp:simplePos x="0" y="0"/>
                <wp:positionH relativeFrom="column">
                  <wp:posOffset>1384300</wp:posOffset>
                </wp:positionH>
                <wp:positionV relativeFrom="paragraph">
                  <wp:posOffset>163195</wp:posOffset>
                </wp:positionV>
                <wp:extent cx="2000250" cy="563245"/>
                <wp:effectExtent l="0" t="0" r="0" b="8255"/>
                <wp:wrapNone/>
                <wp:docPr id="19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563245"/>
                        </a:xfrm>
                        <a:prstGeom prst="roundRect">
                          <a:avLst>
                            <a:gd name="adj" fmla="val 16667"/>
                          </a:avLst>
                        </a:prstGeom>
                        <a:solidFill>
                          <a:srgbClr val="FFFFFF"/>
                        </a:solidFill>
                        <a:ln w="9525">
                          <a:solidFill>
                            <a:srgbClr val="000000"/>
                          </a:solidFill>
                          <a:round/>
                          <a:headEnd/>
                          <a:tailEnd/>
                        </a:ln>
                      </wps:spPr>
                      <wps:txbx>
                        <w:txbxContent>
                          <w:p w14:paraId="19E20779" w14:textId="77777777" w:rsidR="00510ABB" w:rsidRPr="00CC17EA" w:rsidRDefault="00510ABB" w:rsidP="001C2F95">
                            <w:pPr>
                              <w:jc w:val="center"/>
                              <w:rPr>
                                <w:b/>
                                <w:sz w:val="18"/>
                                <w:szCs w:val="18"/>
                              </w:rPr>
                            </w:pPr>
                            <w:r w:rsidRPr="00CC17EA">
                              <w:rPr>
                                <w:b/>
                                <w:sz w:val="18"/>
                                <w:szCs w:val="18"/>
                              </w:rPr>
                              <w:t>Suivi environnemental et social mise en œuvre du PGES-</w:t>
                            </w:r>
                            <w:r>
                              <w:rPr>
                                <w:b/>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62E4C" id="Rectangle à coins arrondis 30" o:spid="_x0000_s1032" style="position:absolute;left:0;text-align:left;margin-left:109pt;margin-top:12.85pt;width:157.5pt;height:44.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">
                <v:textbox>
                  <w:txbxContent>
                    <w:p w14:paraId="19E20779" w14:textId="77777777" w:rsidR="00510ABB" w:rsidRPr="00CC17EA" w:rsidRDefault="00510ABB" w:rsidP="001C2F95">
                      <w:pPr>
                        <w:jc w:val="center"/>
                        <w:rPr>
                          <w:b/>
                          <w:sz w:val="18"/>
                          <w:szCs w:val="18"/>
                        </w:rPr>
                      </w:pPr>
                      <w:r w:rsidRPr="00CC17EA">
                        <w:rPr>
                          <w:b/>
                          <w:sz w:val="18"/>
                          <w:szCs w:val="18"/>
                        </w:rPr>
                        <w:t>Suivi environnemental et social mise en œuvre du PGES-</w:t>
                      </w:r>
                      <w:r>
                        <w:rPr>
                          <w:b/>
                          <w:sz w:val="18"/>
                          <w:szCs w:val="18"/>
                        </w:rPr>
                        <w:t>C</w:t>
                      </w:r>
                    </w:p>
                  </w:txbxContent>
                </v:textbox>
              </v:roundrect>
            </w:pict>
          </mc:Fallback>
        </mc:AlternateContent>
      </w:r>
    </w:p>
    <w:p w14:paraId="734098C7" w14:textId="77777777" w:rsidR="001C2F95" w:rsidRDefault="001C2F95" w:rsidP="001C2F95">
      <w:pPr>
        <w:rPr>
          <w:rFonts w:cs="Arial"/>
          <w:bCs/>
          <w:i/>
          <w:sz w:val="22"/>
        </w:rPr>
      </w:pPr>
    </w:p>
    <w:p w14:paraId="1031EE8D" w14:textId="77777777" w:rsidR="001C2F95" w:rsidRDefault="001C2F95" w:rsidP="001C2F95">
      <w:pPr>
        <w:rPr>
          <w:rFonts w:cs="Arial"/>
          <w:bCs/>
          <w:i/>
          <w:sz w:val="22"/>
        </w:rPr>
      </w:pPr>
    </w:p>
    <w:p w14:paraId="66994C32" w14:textId="77777777" w:rsidR="001C2F95" w:rsidRDefault="001C2F95" w:rsidP="001C2F95">
      <w:pPr>
        <w:rPr>
          <w:rFonts w:cs="Arial"/>
          <w:bCs/>
          <w:i/>
          <w:sz w:val="22"/>
        </w:rPr>
      </w:pPr>
    </w:p>
    <w:p w14:paraId="220D041D" w14:textId="77777777" w:rsidR="00CE52C3" w:rsidRDefault="00CE52C3" w:rsidP="001C2F95">
      <w:pPr>
        <w:rPr>
          <w:rFonts w:cs="Arial"/>
          <w:bCs/>
          <w:i/>
          <w:sz w:val="22"/>
        </w:rPr>
      </w:pPr>
    </w:p>
    <w:p w14:paraId="6863A03A" w14:textId="77777777" w:rsidR="001C2F95" w:rsidRPr="00775E56" w:rsidRDefault="001C2F95" w:rsidP="001C2F95">
      <w:pPr>
        <w:rPr>
          <w:rFonts w:cs="Arial"/>
          <w:bCs/>
          <w:i/>
          <w:sz w:val="22"/>
        </w:rPr>
      </w:pPr>
      <w:r w:rsidRPr="00775E56">
        <w:rPr>
          <w:rFonts w:cs="Arial"/>
          <w:bCs/>
          <w:i/>
          <w:sz w:val="22"/>
        </w:rPr>
        <w:t xml:space="preserve">Étape </w:t>
      </w:r>
      <w:r w:rsidR="00320F17">
        <w:rPr>
          <w:rFonts w:cs="Arial"/>
          <w:bCs/>
          <w:i/>
          <w:sz w:val="22"/>
        </w:rPr>
        <w:t>10</w:t>
      </w:r>
      <w:r w:rsidRPr="00775E56">
        <w:rPr>
          <w:rFonts w:cs="Arial"/>
          <w:bCs/>
          <w:i/>
          <w:sz w:val="22"/>
        </w:rPr>
        <w:t xml:space="preserve"> : </w:t>
      </w:r>
      <w:r w:rsidRPr="00775E56">
        <w:rPr>
          <w:rFonts w:cs="Arial"/>
          <w:i/>
          <w:sz w:val="22"/>
        </w:rPr>
        <w:t>Exécution/</w:t>
      </w:r>
      <w:r w:rsidRPr="00775E56">
        <w:rPr>
          <w:rFonts w:cs="Arial"/>
          <w:bCs/>
          <w:i/>
          <w:sz w:val="22"/>
        </w:rPr>
        <w:t>Mise en œuvre des mesures non contractées avec l’entreprise de construction</w:t>
      </w:r>
    </w:p>
    <w:p w14:paraId="5106CD27" w14:textId="77777777" w:rsidR="001C2F95" w:rsidRPr="00775E56" w:rsidRDefault="001C2F95" w:rsidP="001C2F95">
      <w:pPr>
        <w:rPr>
          <w:rFonts w:cs="Arial"/>
          <w:sz w:val="22"/>
        </w:rPr>
      </w:pPr>
    </w:p>
    <w:p w14:paraId="0CF92338" w14:textId="77777777" w:rsidR="001C2F95" w:rsidRPr="00775E56" w:rsidRDefault="001C2F95" w:rsidP="001C2F95">
      <w:pPr>
        <w:rPr>
          <w:rFonts w:cs="Arial"/>
          <w:sz w:val="22"/>
        </w:rPr>
      </w:pPr>
      <w:r w:rsidRPr="00775E56">
        <w:rPr>
          <w:rFonts w:cs="Arial"/>
          <w:sz w:val="22"/>
        </w:rPr>
        <w:t>Le SSE, le S</w:t>
      </w:r>
      <w:r>
        <w:rPr>
          <w:rFonts w:cs="Arial"/>
          <w:sz w:val="22"/>
        </w:rPr>
        <w:t>SS</w:t>
      </w:r>
      <w:r w:rsidRPr="00775E56">
        <w:rPr>
          <w:rFonts w:cs="Arial"/>
          <w:sz w:val="22"/>
        </w:rPr>
        <w:t xml:space="preserve"> et le SVBG (pour la phase de préparation et de mise en œuvre du projet) sont responsables de la mise en œuvre des mesures environnementales et sociales</w:t>
      </w:r>
      <w:r>
        <w:rPr>
          <w:rFonts w:cs="Arial"/>
          <w:sz w:val="22"/>
        </w:rPr>
        <w:t>,</w:t>
      </w:r>
      <w:r w:rsidRPr="00775E56">
        <w:rPr>
          <w:rFonts w:cs="Arial"/>
          <w:sz w:val="22"/>
        </w:rPr>
        <w:t xml:space="preserve"> y compris celles </w:t>
      </w:r>
      <w:r>
        <w:rPr>
          <w:rFonts w:cs="Arial"/>
          <w:sz w:val="22"/>
        </w:rPr>
        <w:t>liées aux risques d’EAS/HS</w:t>
      </w:r>
      <w:r w:rsidRPr="00775E56">
        <w:rPr>
          <w:rFonts w:cs="Arial"/>
          <w:sz w:val="22"/>
        </w:rPr>
        <w:t xml:space="preserve"> et </w:t>
      </w:r>
      <w:r>
        <w:rPr>
          <w:rFonts w:cs="Arial"/>
          <w:sz w:val="22"/>
        </w:rPr>
        <w:t xml:space="preserve">de </w:t>
      </w:r>
      <w:r w:rsidRPr="00775E56">
        <w:rPr>
          <w:rFonts w:cs="Arial"/>
          <w:sz w:val="22"/>
        </w:rPr>
        <w:t>COVID-19. Pour chaque sous-projet, les prestataires privés et entreprises sont chargés de la mise en œuvre des mesures environnementales et sociales. Toutefois, au préalable, ils devront préparer et mettre en œuvre un Plan de Gestion Environnementale et Sociale-Chantier (PGES-Chantier).</w:t>
      </w:r>
    </w:p>
    <w:p w14:paraId="4CC8CAD9" w14:textId="77777777" w:rsidR="001C2F95" w:rsidRPr="00775E56" w:rsidRDefault="001C2F95" w:rsidP="001C2F95">
      <w:pPr>
        <w:rPr>
          <w:rFonts w:cs="Arial"/>
          <w:sz w:val="22"/>
        </w:rPr>
      </w:pPr>
    </w:p>
    <w:p w14:paraId="4E1AC6D1" w14:textId="77777777" w:rsidR="001C2F95" w:rsidRPr="00775E56" w:rsidRDefault="001C2F95" w:rsidP="001C2F95">
      <w:pPr>
        <w:autoSpaceDE w:val="0"/>
        <w:autoSpaceDN w:val="0"/>
        <w:adjustRightInd w:val="0"/>
        <w:rPr>
          <w:rFonts w:cs="Arial"/>
          <w:i/>
          <w:sz w:val="22"/>
        </w:rPr>
      </w:pPr>
      <w:r w:rsidRPr="00775E56">
        <w:rPr>
          <w:rFonts w:cs="Arial"/>
          <w:i/>
          <w:sz w:val="22"/>
        </w:rPr>
        <w:t xml:space="preserve">Gestion des fournisseurs et prestataires </w:t>
      </w:r>
    </w:p>
    <w:p w14:paraId="744A0D8C" w14:textId="77777777" w:rsidR="001C2F95" w:rsidRPr="00775E56" w:rsidRDefault="001C2F95" w:rsidP="001C2F95">
      <w:pPr>
        <w:autoSpaceDE w:val="0"/>
        <w:autoSpaceDN w:val="0"/>
        <w:adjustRightInd w:val="0"/>
        <w:rPr>
          <w:rFonts w:cs="Arial"/>
          <w:b/>
          <w:i/>
          <w:sz w:val="22"/>
        </w:rPr>
      </w:pPr>
    </w:p>
    <w:p w14:paraId="57F6BAF4" w14:textId="77777777" w:rsidR="001C2F95" w:rsidRPr="00775E56" w:rsidRDefault="001C2F95" w:rsidP="001C2F95">
      <w:pPr>
        <w:autoSpaceDE w:val="0"/>
        <w:autoSpaceDN w:val="0"/>
        <w:adjustRightInd w:val="0"/>
        <w:rPr>
          <w:rFonts w:cs="Arial"/>
          <w:sz w:val="22"/>
        </w:rPr>
      </w:pPr>
      <w:r w:rsidRPr="00775E56">
        <w:rPr>
          <w:rFonts w:cs="Arial"/>
          <w:sz w:val="22"/>
        </w:rPr>
        <w:t>Le PNDA exigera que tous les fournisseurs et prestataires intervenant dans le projet se conforment aux dispositions des NES de la Banque Mondiale, en particulier la NES n°2 sur les conditions des travailleurs, y compris celles énoncées expressément dans le Plan d’Engagement Environnemental et Social. Ainsi, le PNDA gérera tous les fournisseurs et prestataires de manière efficace, notamment</w:t>
      </w:r>
      <w:r>
        <w:rPr>
          <w:rFonts w:cs="Arial"/>
          <w:sz w:val="22"/>
        </w:rPr>
        <w:t xml:space="preserve"> </w:t>
      </w:r>
      <w:r w:rsidRPr="00775E56">
        <w:rPr>
          <w:rFonts w:cs="Arial"/>
          <w:sz w:val="22"/>
        </w:rPr>
        <w:t>en : a) évaluant les risques et effets environnementaux et</w:t>
      </w:r>
      <w:r>
        <w:rPr>
          <w:rFonts w:cs="Arial"/>
          <w:sz w:val="22"/>
        </w:rPr>
        <w:t xml:space="preserve"> </w:t>
      </w:r>
      <w:r w:rsidRPr="00775E56">
        <w:rPr>
          <w:rFonts w:cs="Arial"/>
          <w:sz w:val="22"/>
        </w:rPr>
        <w:t>sociaux</w:t>
      </w:r>
      <w:r>
        <w:rPr>
          <w:rFonts w:cs="Arial"/>
          <w:sz w:val="22"/>
        </w:rPr>
        <w:t xml:space="preserve"> </w:t>
      </w:r>
      <w:r w:rsidRPr="00775E56">
        <w:rPr>
          <w:rFonts w:cs="Arial"/>
          <w:sz w:val="22"/>
        </w:rPr>
        <w:t>associés</w:t>
      </w:r>
      <w:r>
        <w:rPr>
          <w:rFonts w:cs="Arial"/>
          <w:sz w:val="22"/>
        </w:rPr>
        <w:t xml:space="preserve"> </w:t>
      </w:r>
      <w:r w:rsidRPr="00775E56">
        <w:rPr>
          <w:rFonts w:cs="Arial"/>
          <w:sz w:val="22"/>
        </w:rPr>
        <w:t>à</w:t>
      </w:r>
      <w:r>
        <w:rPr>
          <w:rFonts w:cs="Arial"/>
          <w:sz w:val="22"/>
        </w:rPr>
        <w:t xml:space="preserve"> </w:t>
      </w:r>
      <w:r w:rsidRPr="00775E56">
        <w:rPr>
          <w:rFonts w:cs="Arial"/>
          <w:sz w:val="22"/>
        </w:rPr>
        <w:t>leurs</w:t>
      </w:r>
      <w:r>
        <w:rPr>
          <w:rFonts w:cs="Arial"/>
          <w:sz w:val="22"/>
        </w:rPr>
        <w:t xml:space="preserve"> </w:t>
      </w:r>
      <w:r w:rsidRPr="00775E56">
        <w:rPr>
          <w:rFonts w:cs="Arial"/>
          <w:sz w:val="22"/>
        </w:rPr>
        <w:t>contrats ;</w:t>
      </w:r>
      <w:r>
        <w:rPr>
          <w:rFonts w:cs="Arial"/>
          <w:sz w:val="22"/>
        </w:rPr>
        <w:t xml:space="preserve"> </w:t>
      </w:r>
      <w:r w:rsidRPr="00775E56">
        <w:rPr>
          <w:rFonts w:cs="Arial"/>
          <w:sz w:val="22"/>
        </w:rPr>
        <w:t>b) s’assurant que les fournisseurs et prestataires intervenant dans le projet sont des entreprises légitimes et fiables, et ont les connaissances et les compétences nécessaires pour s’acquitter des tâches du projet conformément à leurs engagements</w:t>
      </w:r>
      <w:r>
        <w:rPr>
          <w:rFonts w:cs="Arial"/>
          <w:sz w:val="22"/>
        </w:rPr>
        <w:t xml:space="preserve"> </w:t>
      </w:r>
      <w:r w:rsidRPr="00775E56">
        <w:rPr>
          <w:rFonts w:cs="Arial"/>
          <w:sz w:val="22"/>
        </w:rPr>
        <w:t>contractuels ; c) intégrant tous les aspects pertinents du PEES dans</w:t>
      </w:r>
      <w:r>
        <w:rPr>
          <w:rFonts w:cs="Arial"/>
          <w:sz w:val="22"/>
        </w:rPr>
        <w:t xml:space="preserve"> </w:t>
      </w:r>
      <w:r w:rsidRPr="00775E56">
        <w:rPr>
          <w:rFonts w:cs="Arial"/>
          <w:sz w:val="22"/>
        </w:rPr>
        <w:t>les</w:t>
      </w:r>
      <w:r>
        <w:rPr>
          <w:rFonts w:cs="Arial"/>
          <w:sz w:val="22"/>
        </w:rPr>
        <w:t xml:space="preserve"> </w:t>
      </w:r>
      <w:r w:rsidRPr="00775E56">
        <w:rPr>
          <w:rFonts w:cs="Arial"/>
          <w:sz w:val="22"/>
        </w:rPr>
        <w:t>dossiers</w:t>
      </w:r>
      <w:r>
        <w:rPr>
          <w:rFonts w:cs="Arial"/>
          <w:sz w:val="22"/>
        </w:rPr>
        <w:t xml:space="preserve"> </w:t>
      </w:r>
      <w:r w:rsidRPr="00775E56">
        <w:rPr>
          <w:rFonts w:cs="Arial"/>
          <w:sz w:val="22"/>
        </w:rPr>
        <w:t>d’appel</w:t>
      </w:r>
      <w:r>
        <w:rPr>
          <w:rFonts w:cs="Arial"/>
          <w:sz w:val="22"/>
        </w:rPr>
        <w:t xml:space="preserve"> </w:t>
      </w:r>
      <w:r w:rsidRPr="00775E56">
        <w:rPr>
          <w:rFonts w:cs="Arial"/>
          <w:sz w:val="22"/>
        </w:rPr>
        <w:t>d’offres ;</w:t>
      </w:r>
      <w:r>
        <w:rPr>
          <w:rFonts w:cs="Arial"/>
          <w:sz w:val="22"/>
        </w:rPr>
        <w:t xml:space="preserve"> </w:t>
      </w:r>
      <w:r w:rsidRPr="00775E56">
        <w:rPr>
          <w:rFonts w:cs="Arial"/>
          <w:sz w:val="22"/>
        </w:rPr>
        <w:t>d) exigeant contractuellement des fournisseurs et prestataires qu’ils appliquent les aspects pertinents du PEES et utilisent des outils de gestion adéquats, et en exerçant des recours appropriés et</w:t>
      </w:r>
      <w:r>
        <w:rPr>
          <w:rFonts w:cs="Arial"/>
          <w:sz w:val="22"/>
        </w:rPr>
        <w:t xml:space="preserve"> </w:t>
      </w:r>
      <w:r w:rsidRPr="00775E56">
        <w:rPr>
          <w:rFonts w:cs="Arial"/>
          <w:sz w:val="22"/>
        </w:rPr>
        <w:t>efficaces</w:t>
      </w:r>
      <w:r>
        <w:rPr>
          <w:rFonts w:cs="Arial"/>
          <w:sz w:val="22"/>
        </w:rPr>
        <w:t xml:space="preserve"> </w:t>
      </w:r>
      <w:r w:rsidRPr="00775E56">
        <w:rPr>
          <w:rFonts w:cs="Arial"/>
          <w:sz w:val="22"/>
        </w:rPr>
        <w:t>en</w:t>
      </w:r>
      <w:r>
        <w:rPr>
          <w:rFonts w:cs="Arial"/>
          <w:sz w:val="22"/>
        </w:rPr>
        <w:t xml:space="preserve"> </w:t>
      </w:r>
      <w:r w:rsidRPr="00775E56">
        <w:rPr>
          <w:rFonts w:cs="Arial"/>
          <w:sz w:val="22"/>
        </w:rPr>
        <w:t>cas</w:t>
      </w:r>
      <w:r>
        <w:rPr>
          <w:rFonts w:cs="Arial"/>
          <w:sz w:val="22"/>
        </w:rPr>
        <w:t xml:space="preserve"> </w:t>
      </w:r>
      <w:r w:rsidRPr="00775E56">
        <w:rPr>
          <w:rFonts w:cs="Arial"/>
          <w:sz w:val="22"/>
        </w:rPr>
        <w:t>de</w:t>
      </w:r>
      <w:r>
        <w:rPr>
          <w:rFonts w:cs="Arial"/>
          <w:sz w:val="22"/>
        </w:rPr>
        <w:t xml:space="preserve"> </w:t>
      </w:r>
      <w:r w:rsidRPr="00775E56">
        <w:rPr>
          <w:rFonts w:cs="Arial"/>
          <w:sz w:val="22"/>
        </w:rPr>
        <w:t>non-conformité ;</w:t>
      </w:r>
      <w:r>
        <w:rPr>
          <w:rFonts w:cs="Arial"/>
          <w:sz w:val="22"/>
        </w:rPr>
        <w:t xml:space="preserve"> </w:t>
      </w:r>
      <w:r w:rsidRPr="00775E56">
        <w:rPr>
          <w:rFonts w:cs="Arial"/>
          <w:sz w:val="22"/>
        </w:rPr>
        <w:t>e) assurant le suivi du respect par les fournisseurs et prestataires de leurs engagements contractuels ;</w:t>
      </w:r>
      <w:r>
        <w:rPr>
          <w:rFonts w:cs="Arial"/>
          <w:sz w:val="22"/>
        </w:rPr>
        <w:t xml:space="preserve"> </w:t>
      </w:r>
      <w:r w:rsidRPr="00775E56">
        <w:rPr>
          <w:rFonts w:cs="Arial"/>
          <w:sz w:val="22"/>
        </w:rPr>
        <w:t>et f) exigeant, en cas de sous-traitance, que les fournisseurs et prestataires souscrivent des contrats équivalents avec leurs sous-traitants.</w:t>
      </w:r>
    </w:p>
    <w:p w14:paraId="2F6F0FAA" w14:textId="77777777" w:rsidR="001C2F95" w:rsidRPr="00775E56" w:rsidRDefault="001C2F95" w:rsidP="001C2F95">
      <w:pPr>
        <w:autoSpaceDE w:val="0"/>
        <w:autoSpaceDN w:val="0"/>
        <w:adjustRightInd w:val="0"/>
        <w:rPr>
          <w:rFonts w:cs="Arial"/>
          <w:sz w:val="22"/>
        </w:rPr>
      </w:pPr>
    </w:p>
    <w:p w14:paraId="52B8AB3F" w14:textId="77777777" w:rsidR="001C2F95" w:rsidRDefault="001C2F95" w:rsidP="001C2F95">
      <w:pPr>
        <w:tabs>
          <w:tab w:val="left" w:pos="6131"/>
        </w:tabs>
        <w:spacing w:line="240" w:lineRule="auto"/>
        <w:jc w:val="left"/>
        <w:rPr>
          <w:rFonts w:cs="Arial"/>
          <w:sz w:val="22"/>
        </w:rPr>
      </w:pPr>
      <w:r w:rsidRPr="00775E56">
        <w:rPr>
          <w:rFonts w:cs="Arial"/>
          <w:sz w:val="22"/>
        </w:rPr>
        <w:t>Chaque fournisseur et prestataire est dans l’obligation d’avoir une procédure de gestion de la main-d’œuvre basée sur les PGMO préparées par le PNDA.</w:t>
      </w:r>
    </w:p>
    <w:p w14:paraId="118E7C76" w14:textId="77777777" w:rsidR="001C2F95" w:rsidRDefault="001C2F95" w:rsidP="001C2F95">
      <w:pPr>
        <w:rPr>
          <w:rFonts w:cs="Arial"/>
          <w:sz w:val="22"/>
        </w:rPr>
      </w:pPr>
    </w:p>
    <w:p w14:paraId="224975EA" w14:textId="77777777" w:rsidR="001C2F95" w:rsidRPr="001C360D" w:rsidRDefault="001C2F95" w:rsidP="001C2F95">
      <w:pPr>
        <w:rPr>
          <w:rFonts w:cs="Arial"/>
          <w:i/>
          <w:sz w:val="22"/>
        </w:rPr>
      </w:pPr>
      <w:r w:rsidRPr="001C360D">
        <w:rPr>
          <w:rFonts w:cs="Arial"/>
          <w:i/>
          <w:sz w:val="22"/>
        </w:rPr>
        <w:t xml:space="preserve">Les </w:t>
      </w:r>
      <w:r w:rsidR="00D3237F" w:rsidRPr="001C360D">
        <w:rPr>
          <w:rFonts w:cs="Arial"/>
          <w:i/>
          <w:sz w:val="22"/>
        </w:rPr>
        <w:t>intermédiaires</w:t>
      </w:r>
      <w:r w:rsidRPr="001C360D">
        <w:rPr>
          <w:rFonts w:cs="Arial"/>
          <w:i/>
          <w:sz w:val="22"/>
        </w:rPr>
        <w:t xml:space="preserve"> financiers</w:t>
      </w:r>
    </w:p>
    <w:p w14:paraId="773D4A93" w14:textId="77777777" w:rsidR="001C2F95" w:rsidRPr="001C360D" w:rsidRDefault="001C2F95" w:rsidP="001C2F95">
      <w:pPr>
        <w:rPr>
          <w:rFonts w:cs="Arial"/>
          <w:sz w:val="22"/>
        </w:rPr>
      </w:pPr>
      <w:r>
        <w:rPr>
          <w:rFonts w:cs="Arial"/>
          <w:sz w:val="22"/>
        </w:rPr>
        <w:t xml:space="preserve"> </w:t>
      </w:r>
    </w:p>
    <w:p w14:paraId="0562EEEE" w14:textId="77777777" w:rsidR="001C2F95" w:rsidRPr="001C360D" w:rsidRDefault="001C2F95" w:rsidP="00CE52C3">
      <w:pPr>
        <w:tabs>
          <w:tab w:val="left" w:pos="6131"/>
        </w:tabs>
        <w:rPr>
          <w:rFonts w:cs="Arial"/>
          <w:sz w:val="22"/>
        </w:rPr>
      </w:pPr>
      <w:r w:rsidRPr="001C360D">
        <w:rPr>
          <w:rFonts w:cs="Arial"/>
          <w:sz w:val="22"/>
        </w:rPr>
        <w:t>Les IF auront l’obligation d’adopter et de maintenir, sous la forme d’un système de gestion environnementale et sociale (SGES), des systèmes, des procédures et des capacités d’évaluation, de gestion et de suivi des risques et effets environnementaux et sociaux des sous-projets, ainsi que de gérer le risque de portefeuille global d’une manière responsable.</w:t>
      </w:r>
    </w:p>
    <w:p w14:paraId="3F74C7F3" w14:textId="77777777" w:rsidR="001C2F95" w:rsidRPr="001C360D" w:rsidRDefault="001C2F95" w:rsidP="00CE52C3">
      <w:pPr>
        <w:tabs>
          <w:tab w:val="left" w:pos="6131"/>
        </w:tabs>
        <w:rPr>
          <w:rFonts w:cs="Arial"/>
          <w:sz w:val="22"/>
        </w:rPr>
      </w:pPr>
      <w:r w:rsidRPr="001C360D">
        <w:rPr>
          <w:rFonts w:cs="Arial"/>
          <w:sz w:val="22"/>
        </w:rPr>
        <w:t>En effet, PNDA financera une ligne de crédit (LoC) via une institution financière intermédiaire (IFI) qui dans ce cas est la Banque centrale du Congo (BCC) - en utilisant le guichet de refinancement («Guichet de refinancement») mis en place avec le assistance technique et financière de la Banque mondiale (via le projet Infrastructure et marchés financiers (PDIFM))  L'IFI / BCC prêtera les fonds disponibles aux institutions financières éligibles (banques, institutions de micro</w:t>
      </w:r>
      <w:r w:rsidR="00D3237F">
        <w:rPr>
          <w:rFonts w:cs="Arial"/>
          <w:sz w:val="22"/>
        </w:rPr>
        <w:t>-</w:t>
      </w:r>
      <w:r w:rsidRPr="001C360D">
        <w:rPr>
          <w:rFonts w:cs="Arial"/>
          <w:sz w:val="22"/>
        </w:rPr>
        <w:t>finance, coopératives d'épargne et de crédit; - et je suggère que nous ajoutions des sociétés de crédit-bail agréées - collectivement appelées institutions financières participantes (IFP). En conséquence, les IFP mettront en place un Système de Gestion Environnemental et Social (ESMS).</w:t>
      </w:r>
    </w:p>
    <w:p w14:paraId="7E27848C" w14:textId="77777777" w:rsidR="001C2F95" w:rsidRPr="001C360D" w:rsidRDefault="001C2F95" w:rsidP="001C2F95">
      <w:pPr>
        <w:autoSpaceDE w:val="0"/>
        <w:autoSpaceDN w:val="0"/>
        <w:adjustRightInd w:val="0"/>
        <w:spacing w:line="240" w:lineRule="auto"/>
        <w:rPr>
          <w:rFonts w:cs="Arial"/>
          <w:sz w:val="22"/>
          <w:lang w:eastAsia="en-US"/>
        </w:rPr>
      </w:pPr>
    </w:p>
    <w:p w14:paraId="4D14F5CE" w14:textId="77777777" w:rsidR="001C2F95" w:rsidRPr="001C360D" w:rsidRDefault="001C2F95" w:rsidP="002378EA">
      <w:pPr>
        <w:pStyle w:val="Paragraphedeliste"/>
        <w:numPr>
          <w:ilvl w:val="0"/>
          <w:numId w:val="51"/>
        </w:numPr>
        <w:rPr>
          <w:rFonts w:cs="Arial"/>
          <w:sz w:val="22"/>
          <w:lang w:eastAsia="en-US"/>
        </w:rPr>
      </w:pPr>
      <w:r w:rsidRPr="001C360D">
        <w:rPr>
          <w:rFonts w:cs="Arial"/>
          <w:sz w:val="22"/>
          <w:lang w:eastAsia="en-US"/>
        </w:rPr>
        <w:t xml:space="preserve">Classification du risqué pour les IFP </w:t>
      </w:r>
    </w:p>
    <w:p w14:paraId="3826BEEC" w14:textId="77777777" w:rsidR="001C2F95" w:rsidRPr="001C360D" w:rsidRDefault="001C2F95" w:rsidP="001C2F95">
      <w:pPr>
        <w:rPr>
          <w:rFonts w:cs="Arial"/>
          <w:bCs/>
          <w:i/>
          <w:sz w:val="22"/>
        </w:rPr>
      </w:pPr>
    </w:p>
    <w:p w14:paraId="41772A78" w14:textId="77777777" w:rsidR="001C2F95" w:rsidRPr="001C360D" w:rsidRDefault="001C2F95" w:rsidP="001C2F95">
      <w:pPr>
        <w:rPr>
          <w:rFonts w:cs="Arial"/>
          <w:bCs/>
          <w:i/>
          <w:sz w:val="22"/>
        </w:rPr>
      </w:pPr>
      <w:r w:rsidRPr="001C360D">
        <w:rPr>
          <w:rFonts w:cs="Arial"/>
          <w:bCs/>
          <w:i/>
          <w:sz w:val="22"/>
        </w:rPr>
        <w:t>Étape 1</w:t>
      </w:r>
      <w:r w:rsidR="00320F17">
        <w:rPr>
          <w:rFonts w:cs="Arial"/>
          <w:bCs/>
          <w:i/>
          <w:sz w:val="22"/>
        </w:rPr>
        <w:t>1</w:t>
      </w:r>
      <w:r w:rsidRPr="001C360D">
        <w:rPr>
          <w:rFonts w:cs="Arial"/>
          <w:bCs/>
          <w:i/>
          <w:sz w:val="22"/>
        </w:rPr>
        <w:t xml:space="preserve"> : Surveillance </w:t>
      </w:r>
      <w:r>
        <w:rPr>
          <w:rFonts w:cs="Arial"/>
          <w:bCs/>
          <w:i/>
          <w:sz w:val="22"/>
        </w:rPr>
        <w:t>et suivi</w:t>
      </w:r>
      <w:r w:rsidRPr="001C360D">
        <w:rPr>
          <w:rFonts w:cs="Arial"/>
          <w:i/>
          <w:sz w:val="22"/>
        </w:rPr>
        <w:t xml:space="preserve"> </w:t>
      </w:r>
      <w:r w:rsidRPr="001C360D">
        <w:rPr>
          <w:rFonts w:cs="Arial"/>
          <w:bCs/>
          <w:i/>
          <w:sz w:val="22"/>
        </w:rPr>
        <w:t>environnemental et social</w:t>
      </w:r>
    </w:p>
    <w:p w14:paraId="13A5030E" w14:textId="77777777" w:rsidR="001C2F95" w:rsidRDefault="001C2F95" w:rsidP="001C2F95">
      <w:pPr>
        <w:rPr>
          <w:rFonts w:cs="Arial"/>
          <w:bCs/>
          <w:i/>
          <w:sz w:val="22"/>
        </w:rPr>
      </w:pPr>
    </w:p>
    <w:p w14:paraId="3C72F22C" w14:textId="77777777" w:rsidR="001C2F95" w:rsidRPr="00FF4CBB" w:rsidRDefault="001C2F95" w:rsidP="002378EA">
      <w:pPr>
        <w:pStyle w:val="Paragraphedeliste"/>
        <w:numPr>
          <w:ilvl w:val="0"/>
          <w:numId w:val="109"/>
        </w:numPr>
        <w:rPr>
          <w:rFonts w:cs="Arial"/>
          <w:bCs/>
          <w:i/>
          <w:sz w:val="22"/>
        </w:rPr>
      </w:pPr>
      <w:r w:rsidRPr="00FF4CBB">
        <w:rPr>
          <w:rFonts w:cs="Arial"/>
          <w:bCs/>
          <w:i/>
          <w:sz w:val="22"/>
        </w:rPr>
        <w:t xml:space="preserve">Surveillance interne </w:t>
      </w:r>
      <w:r w:rsidRPr="00FF4CBB">
        <w:rPr>
          <w:rFonts w:cs="Arial"/>
          <w:i/>
          <w:sz w:val="22"/>
        </w:rPr>
        <w:t xml:space="preserve">de la mise en œuvre des mesures </w:t>
      </w:r>
      <w:r w:rsidRPr="00FF4CBB">
        <w:rPr>
          <w:rFonts w:cs="Arial"/>
          <w:bCs/>
          <w:i/>
          <w:sz w:val="22"/>
        </w:rPr>
        <w:t>environnementales et sociales</w:t>
      </w:r>
    </w:p>
    <w:p w14:paraId="20C163C5" w14:textId="77777777" w:rsidR="001C2F95" w:rsidRPr="00775E56" w:rsidRDefault="001C2F95" w:rsidP="001C2F95">
      <w:pPr>
        <w:rPr>
          <w:rFonts w:cs="Arial"/>
          <w:sz w:val="22"/>
        </w:rPr>
      </w:pPr>
    </w:p>
    <w:p w14:paraId="361D319E" w14:textId="77777777" w:rsidR="001C2F95" w:rsidRPr="00775E56" w:rsidRDefault="001C2F95" w:rsidP="001C2F95">
      <w:pPr>
        <w:rPr>
          <w:rFonts w:cs="Arial"/>
          <w:sz w:val="22"/>
        </w:rPr>
      </w:pPr>
      <w:r w:rsidRPr="00775E56">
        <w:rPr>
          <w:rFonts w:cs="Arial"/>
          <w:sz w:val="22"/>
        </w:rPr>
        <w:t>Cette phase finale correspond au suivi de la mise en œuvre</w:t>
      </w:r>
      <w:r>
        <w:rPr>
          <w:rFonts w:cs="Arial"/>
          <w:sz w:val="22"/>
        </w:rPr>
        <w:t xml:space="preserve"> qui consiste à</w:t>
      </w:r>
      <w:r w:rsidRPr="00775E56">
        <w:rPr>
          <w:rFonts w:cs="Arial"/>
          <w:sz w:val="22"/>
        </w:rPr>
        <w:t xml:space="preserve"> :</w:t>
      </w:r>
    </w:p>
    <w:p w14:paraId="190544F4" w14:textId="77777777" w:rsidR="001C2F95" w:rsidRPr="00775E56" w:rsidRDefault="001C2F95" w:rsidP="001C2F95">
      <w:pPr>
        <w:rPr>
          <w:rFonts w:cs="Arial"/>
          <w:sz w:val="22"/>
        </w:rPr>
      </w:pPr>
    </w:p>
    <w:p w14:paraId="7A331436" w14:textId="77777777" w:rsidR="001C2F95" w:rsidRPr="00775E56" w:rsidRDefault="001C2F95" w:rsidP="002378EA">
      <w:pPr>
        <w:numPr>
          <w:ilvl w:val="0"/>
          <w:numId w:val="51"/>
        </w:numPr>
        <w:rPr>
          <w:rFonts w:cs="Arial"/>
          <w:sz w:val="22"/>
        </w:rPr>
      </w:pPr>
      <w:r>
        <w:rPr>
          <w:rFonts w:cs="Arial"/>
          <w:sz w:val="22"/>
        </w:rPr>
        <w:t>La supervision des</w:t>
      </w:r>
      <w:r w:rsidRPr="00775E56">
        <w:rPr>
          <w:rFonts w:cs="Arial"/>
          <w:sz w:val="22"/>
        </w:rPr>
        <w:t xml:space="preserve"> activités sera assurée par le SSES, le </w:t>
      </w:r>
      <w:r>
        <w:rPr>
          <w:rFonts w:cs="Arial"/>
          <w:sz w:val="22"/>
        </w:rPr>
        <w:t>SSS</w:t>
      </w:r>
      <w:r w:rsidRPr="00775E56">
        <w:rPr>
          <w:rFonts w:cs="Arial"/>
          <w:sz w:val="22"/>
        </w:rPr>
        <w:t xml:space="preserve"> et le </w:t>
      </w:r>
      <w:r>
        <w:rPr>
          <w:rFonts w:cs="Arial"/>
          <w:sz w:val="22"/>
        </w:rPr>
        <w:t>S</w:t>
      </w:r>
      <w:r w:rsidRPr="00775E56">
        <w:rPr>
          <w:rFonts w:cs="Arial"/>
          <w:sz w:val="22"/>
        </w:rPr>
        <w:t>VBG (pour l</w:t>
      </w:r>
      <w:r>
        <w:rPr>
          <w:rFonts w:cs="Arial"/>
          <w:sz w:val="22"/>
        </w:rPr>
        <w:t>es</w:t>
      </w:r>
      <w:r w:rsidRPr="00775E56">
        <w:rPr>
          <w:rFonts w:cs="Arial"/>
          <w:sz w:val="22"/>
        </w:rPr>
        <w:t xml:space="preserve"> phase</w:t>
      </w:r>
      <w:r>
        <w:rPr>
          <w:rFonts w:cs="Arial"/>
          <w:sz w:val="22"/>
        </w:rPr>
        <w:t>s</w:t>
      </w:r>
      <w:r w:rsidRPr="00775E56">
        <w:rPr>
          <w:rFonts w:cs="Arial"/>
          <w:sz w:val="22"/>
        </w:rPr>
        <w:t xml:space="preserve"> de préparation et de mise en œuvre du projet) ;</w:t>
      </w:r>
    </w:p>
    <w:p w14:paraId="149B5813" w14:textId="77777777" w:rsidR="001C2F95" w:rsidRPr="00775E56" w:rsidRDefault="001C2F95" w:rsidP="002378EA">
      <w:pPr>
        <w:numPr>
          <w:ilvl w:val="0"/>
          <w:numId w:val="51"/>
        </w:numPr>
        <w:rPr>
          <w:rFonts w:cs="Arial"/>
          <w:sz w:val="22"/>
        </w:rPr>
      </w:pPr>
      <w:r>
        <w:rPr>
          <w:rFonts w:cs="Arial"/>
          <w:sz w:val="22"/>
        </w:rPr>
        <w:t xml:space="preserve">La surveillance </w:t>
      </w:r>
      <w:r w:rsidRPr="00775E56">
        <w:rPr>
          <w:rFonts w:cs="Arial"/>
          <w:sz w:val="22"/>
        </w:rPr>
        <w:t>régulière</w:t>
      </w:r>
      <w:r>
        <w:rPr>
          <w:rFonts w:cs="Arial"/>
          <w:sz w:val="22"/>
        </w:rPr>
        <w:t xml:space="preserve"> de</w:t>
      </w:r>
      <w:r w:rsidRPr="00775E56">
        <w:rPr>
          <w:rFonts w:cs="Arial"/>
          <w:sz w:val="22"/>
        </w:rPr>
        <w:t xml:space="preserve"> l’exécution des mesures environnementales et sociales sera assurée par les Bureaux de Contrôle qui seront commis à cette fin, mais aussi par les services techniques membres du Comité Technique Préparatoire et du Suivi du PNDA et des Provinces/Villes/Territoires concerné(e)s ;</w:t>
      </w:r>
    </w:p>
    <w:p w14:paraId="268E9F81" w14:textId="77777777" w:rsidR="001C2F95" w:rsidRDefault="001C2F95" w:rsidP="002378EA">
      <w:pPr>
        <w:numPr>
          <w:ilvl w:val="0"/>
          <w:numId w:val="51"/>
        </w:numPr>
        <w:rPr>
          <w:rFonts w:cs="Arial"/>
          <w:sz w:val="22"/>
        </w:rPr>
      </w:pPr>
      <w:r>
        <w:rPr>
          <w:rFonts w:cs="Arial"/>
          <w:sz w:val="22"/>
        </w:rPr>
        <w:t>La surveillance</w:t>
      </w:r>
      <w:r w:rsidRPr="00775E56">
        <w:rPr>
          <w:rFonts w:cs="Arial"/>
          <w:sz w:val="22"/>
        </w:rPr>
        <w:t xml:space="preserve"> </w:t>
      </w:r>
      <w:r>
        <w:rPr>
          <w:rFonts w:cs="Arial"/>
          <w:sz w:val="22"/>
        </w:rPr>
        <w:t>des</w:t>
      </w:r>
      <w:r w:rsidRPr="00775E56">
        <w:rPr>
          <w:rFonts w:cs="Arial"/>
          <w:sz w:val="22"/>
        </w:rPr>
        <w:t xml:space="preserve"> activités de prévention et réponse à l</w:t>
      </w:r>
      <w:r>
        <w:rPr>
          <w:rFonts w:cs="Arial"/>
          <w:sz w:val="22"/>
        </w:rPr>
        <w:t>’</w:t>
      </w:r>
      <w:r w:rsidRPr="00775E56">
        <w:rPr>
          <w:rFonts w:cs="Arial"/>
          <w:sz w:val="22"/>
        </w:rPr>
        <w:t xml:space="preserve">EAS/HS et </w:t>
      </w:r>
      <w:r>
        <w:rPr>
          <w:rFonts w:cs="Arial"/>
          <w:sz w:val="22"/>
        </w:rPr>
        <w:t xml:space="preserve">au </w:t>
      </w:r>
      <w:r w:rsidRPr="00775E56">
        <w:rPr>
          <w:rFonts w:cs="Arial"/>
          <w:sz w:val="22"/>
        </w:rPr>
        <w:t xml:space="preserve">COVID-19 seront assurées par </w:t>
      </w:r>
      <w:r>
        <w:rPr>
          <w:rFonts w:cs="Arial"/>
          <w:sz w:val="22"/>
        </w:rPr>
        <w:t>le S</w:t>
      </w:r>
      <w:r w:rsidRPr="00775E56">
        <w:rPr>
          <w:rFonts w:cs="Arial"/>
          <w:sz w:val="22"/>
        </w:rPr>
        <w:t>VBG au sein de l’</w:t>
      </w:r>
      <w:r>
        <w:rPr>
          <w:rFonts w:cs="Arial"/>
          <w:sz w:val="22"/>
        </w:rPr>
        <w:t>UNCP</w:t>
      </w:r>
      <w:r w:rsidRPr="00775E56">
        <w:rPr>
          <w:rFonts w:cs="Arial"/>
          <w:sz w:val="22"/>
        </w:rPr>
        <w:t xml:space="preserve"> qui aura pour charge le suivi des activités contenues dans le</w:t>
      </w:r>
      <w:r>
        <w:rPr>
          <w:rFonts w:cs="Arial"/>
          <w:sz w:val="22"/>
        </w:rPr>
        <w:t>s</w:t>
      </w:r>
      <w:r w:rsidRPr="00775E56">
        <w:rPr>
          <w:rFonts w:cs="Arial"/>
          <w:sz w:val="22"/>
        </w:rPr>
        <w:t xml:space="preserve"> plan</w:t>
      </w:r>
      <w:r>
        <w:rPr>
          <w:rFonts w:cs="Arial"/>
          <w:sz w:val="22"/>
        </w:rPr>
        <w:t>s</w:t>
      </w:r>
      <w:r w:rsidRPr="00775E56">
        <w:rPr>
          <w:rFonts w:cs="Arial"/>
          <w:sz w:val="22"/>
        </w:rPr>
        <w:t xml:space="preserve"> d</w:t>
      </w:r>
      <w:r>
        <w:rPr>
          <w:rFonts w:cs="Arial"/>
          <w:sz w:val="22"/>
        </w:rPr>
        <w:t>’</w:t>
      </w:r>
      <w:r w:rsidRPr="00775E56">
        <w:rPr>
          <w:rFonts w:cs="Arial"/>
          <w:sz w:val="22"/>
        </w:rPr>
        <w:t>actions</w:t>
      </w:r>
      <w:r>
        <w:rPr>
          <w:rFonts w:cs="Arial"/>
          <w:sz w:val="22"/>
        </w:rPr>
        <w:t xml:space="preserve"> y afférents</w:t>
      </w:r>
      <w:r w:rsidRPr="00775E56">
        <w:rPr>
          <w:rFonts w:cs="Arial"/>
          <w:sz w:val="22"/>
        </w:rPr>
        <w:t>, dont entre autres :</w:t>
      </w:r>
    </w:p>
    <w:p w14:paraId="4889E018" w14:textId="77777777" w:rsidR="001C2F95" w:rsidRPr="00775E56" w:rsidRDefault="001C2F95" w:rsidP="002378EA">
      <w:pPr>
        <w:pStyle w:val="Paragraphedeliste"/>
        <w:numPr>
          <w:ilvl w:val="0"/>
          <w:numId w:val="92"/>
        </w:numPr>
        <w:ind w:left="1276" w:hanging="283"/>
        <w:rPr>
          <w:rFonts w:cs="Arial"/>
          <w:sz w:val="22"/>
        </w:rPr>
      </w:pPr>
      <w:r w:rsidRPr="00775E56">
        <w:rPr>
          <w:rFonts w:cs="Arial"/>
          <w:sz w:val="22"/>
        </w:rPr>
        <w:t>Superviser l</w:t>
      </w:r>
      <w:r>
        <w:rPr>
          <w:rFonts w:cs="Arial"/>
          <w:sz w:val="22"/>
        </w:rPr>
        <w:t>’</w:t>
      </w:r>
      <w:r w:rsidRPr="00775E56">
        <w:rPr>
          <w:rFonts w:cs="Arial"/>
          <w:sz w:val="22"/>
        </w:rPr>
        <w:t xml:space="preserve">ensemble des prestations de différents fournisseurs de services recrutés pour mettre en œuvre les activités </w:t>
      </w:r>
      <w:r>
        <w:rPr>
          <w:rFonts w:cs="Arial"/>
          <w:sz w:val="22"/>
        </w:rPr>
        <w:t>d’atténuation et de réponse à l’EAS/HS</w:t>
      </w:r>
      <w:r w:rsidRPr="00775E56">
        <w:rPr>
          <w:rFonts w:cs="Arial"/>
          <w:sz w:val="22"/>
        </w:rPr>
        <w:t xml:space="preserve"> à l’attention des communautés riveraines et du personnel de différentes zones d´interventions ; </w:t>
      </w:r>
    </w:p>
    <w:p w14:paraId="6C66D674" w14:textId="77777777" w:rsidR="001C2F95" w:rsidRPr="00775E56" w:rsidRDefault="001C2F95" w:rsidP="002378EA">
      <w:pPr>
        <w:pStyle w:val="Paragraphedeliste"/>
        <w:numPr>
          <w:ilvl w:val="0"/>
          <w:numId w:val="92"/>
        </w:numPr>
        <w:ind w:left="1276" w:hanging="283"/>
        <w:rPr>
          <w:rFonts w:cs="Arial"/>
          <w:sz w:val="22"/>
        </w:rPr>
      </w:pPr>
      <w:r w:rsidRPr="00775E56">
        <w:rPr>
          <w:rFonts w:cs="Arial"/>
          <w:sz w:val="22"/>
        </w:rPr>
        <w:t xml:space="preserve">Assurer la coordination du </w:t>
      </w:r>
      <w:r>
        <w:rPr>
          <w:rFonts w:cs="Arial"/>
          <w:sz w:val="22"/>
        </w:rPr>
        <w:t>UNCP</w:t>
      </w:r>
      <w:r w:rsidRPr="00775E56">
        <w:rPr>
          <w:rFonts w:cs="Arial"/>
          <w:sz w:val="22"/>
        </w:rPr>
        <w:t xml:space="preserve"> sensible aux plaintes </w:t>
      </w:r>
      <w:r>
        <w:rPr>
          <w:rFonts w:cs="Arial"/>
          <w:sz w:val="22"/>
        </w:rPr>
        <w:t>d’EAS/HS</w:t>
      </w:r>
      <w:r w:rsidRPr="00775E56">
        <w:rPr>
          <w:rFonts w:cs="Arial"/>
          <w:sz w:val="22"/>
        </w:rPr>
        <w:t> ; et</w:t>
      </w:r>
    </w:p>
    <w:p w14:paraId="403E02E5" w14:textId="77777777" w:rsidR="001C2F95" w:rsidRPr="00775E56" w:rsidRDefault="001C2F95" w:rsidP="002378EA">
      <w:pPr>
        <w:pStyle w:val="Paragraphedeliste"/>
        <w:numPr>
          <w:ilvl w:val="0"/>
          <w:numId w:val="92"/>
        </w:numPr>
        <w:ind w:left="1276" w:hanging="283"/>
        <w:rPr>
          <w:rFonts w:cs="Arial"/>
          <w:sz w:val="22"/>
        </w:rPr>
      </w:pPr>
      <w:r w:rsidRPr="00775E56">
        <w:rPr>
          <w:rFonts w:cs="Arial"/>
          <w:sz w:val="22"/>
        </w:rPr>
        <w:t xml:space="preserve">Réviser le </w:t>
      </w:r>
      <w:r>
        <w:rPr>
          <w:rFonts w:cs="Arial"/>
          <w:sz w:val="22"/>
        </w:rPr>
        <w:t>c</w:t>
      </w:r>
      <w:r w:rsidRPr="00775E56">
        <w:rPr>
          <w:rFonts w:cs="Arial"/>
          <w:sz w:val="22"/>
        </w:rPr>
        <w:t xml:space="preserve">ode de bonne conduite de tout prestataire, et assurer que les aspects </w:t>
      </w:r>
      <w:r>
        <w:rPr>
          <w:rFonts w:cs="Arial"/>
          <w:sz w:val="22"/>
        </w:rPr>
        <w:t>et les comportements liés à l’</w:t>
      </w:r>
      <w:r w:rsidRPr="00775E56">
        <w:rPr>
          <w:rFonts w:cs="Arial"/>
          <w:sz w:val="22"/>
        </w:rPr>
        <w:t xml:space="preserve">EAS/HS et </w:t>
      </w:r>
      <w:r>
        <w:rPr>
          <w:rFonts w:cs="Arial"/>
          <w:sz w:val="22"/>
        </w:rPr>
        <w:t xml:space="preserve">au </w:t>
      </w:r>
      <w:r w:rsidRPr="00775E56">
        <w:rPr>
          <w:rFonts w:cs="Arial"/>
          <w:sz w:val="22"/>
        </w:rPr>
        <w:t>COVID-19 sont inclus ;</w:t>
      </w:r>
    </w:p>
    <w:p w14:paraId="2601F49E" w14:textId="77777777" w:rsidR="001C2F95" w:rsidRPr="00775E56" w:rsidRDefault="001C2F95" w:rsidP="002378EA">
      <w:pPr>
        <w:pStyle w:val="Paragraphedeliste"/>
        <w:numPr>
          <w:ilvl w:val="0"/>
          <w:numId w:val="92"/>
        </w:numPr>
        <w:ind w:left="1276" w:hanging="283"/>
        <w:rPr>
          <w:rFonts w:cs="Arial"/>
          <w:sz w:val="22"/>
        </w:rPr>
      </w:pPr>
      <w:r>
        <w:rPr>
          <w:rFonts w:cs="Arial"/>
          <w:sz w:val="22"/>
        </w:rPr>
        <w:t>S’a</w:t>
      </w:r>
      <w:r w:rsidRPr="00775E56">
        <w:rPr>
          <w:rFonts w:cs="Arial"/>
          <w:sz w:val="22"/>
        </w:rPr>
        <w:t xml:space="preserve">ssurer que l’entrepreneur fournit un cours initial et périodiquement des cours de recyclage sur </w:t>
      </w:r>
      <w:r>
        <w:rPr>
          <w:rFonts w:cs="Arial"/>
          <w:sz w:val="22"/>
        </w:rPr>
        <w:t xml:space="preserve">l’EAS/HS </w:t>
      </w:r>
      <w:r w:rsidRPr="00775E56">
        <w:rPr>
          <w:rFonts w:cs="Arial"/>
          <w:sz w:val="22"/>
        </w:rPr>
        <w:t>et COVID-19</w:t>
      </w:r>
      <w:r>
        <w:rPr>
          <w:rFonts w:cs="Arial"/>
          <w:sz w:val="22"/>
        </w:rPr>
        <w:t xml:space="preserve"> </w:t>
      </w:r>
      <w:r w:rsidRPr="00775E56">
        <w:rPr>
          <w:rFonts w:cs="Arial"/>
          <w:sz w:val="22"/>
        </w:rPr>
        <w:t xml:space="preserve">et assurer aussi la signature du </w:t>
      </w:r>
      <w:r>
        <w:rPr>
          <w:rFonts w:cs="Arial"/>
          <w:sz w:val="22"/>
        </w:rPr>
        <w:t>c</w:t>
      </w:r>
      <w:r w:rsidRPr="00775E56">
        <w:rPr>
          <w:rFonts w:cs="Arial"/>
          <w:sz w:val="22"/>
        </w:rPr>
        <w:t>ode de bonne conduite par tous les travailleurs ;</w:t>
      </w:r>
    </w:p>
    <w:p w14:paraId="34121AAE" w14:textId="77777777" w:rsidR="001C2F95" w:rsidRPr="00775E56" w:rsidRDefault="001C2F95" w:rsidP="002378EA">
      <w:pPr>
        <w:pStyle w:val="Paragraphedeliste"/>
        <w:numPr>
          <w:ilvl w:val="0"/>
          <w:numId w:val="92"/>
        </w:numPr>
        <w:ind w:left="1276" w:hanging="283"/>
        <w:rPr>
          <w:rFonts w:cs="Arial"/>
          <w:sz w:val="22"/>
        </w:rPr>
      </w:pPr>
      <w:r>
        <w:rPr>
          <w:rFonts w:cs="Arial"/>
          <w:sz w:val="22"/>
        </w:rPr>
        <w:t>Assurer la c</w:t>
      </w:r>
      <w:r w:rsidRPr="00775E56">
        <w:rPr>
          <w:rFonts w:cs="Arial"/>
          <w:sz w:val="22"/>
        </w:rPr>
        <w:t xml:space="preserve">artographie </w:t>
      </w:r>
      <w:r>
        <w:rPr>
          <w:rFonts w:cs="Arial"/>
          <w:sz w:val="22"/>
        </w:rPr>
        <w:t>d</w:t>
      </w:r>
      <w:r w:rsidRPr="00775E56">
        <w:rPr>
          <w:rFonts w:cs="Arial"/>
          <w:sz w:val="22"/>
        </w:rPr>
        <w:t xml:space="preserve">es services de </w:t>
      </w:r>
      <w:r>
        <w:rPr>
          <w:rFonts w:cs="Arial"/>
          <w:sz w:val="22"/>
        </w:rPr>
        <w:t xml:space="preserve">prise en charge </w:t>
      </w:r>
      <w:r w:rsidRPr="00775E56">
        <w:rPr>
          <w:rFonts w:cs="Arial"/>
          <w:sz w:val="22"/>
        </w:rPr>
        <w:t>VBG et COVID-19, y compris d</w:t>
      </w:r>
      <w:r>
        <w:rPr>
          <w:rFonts w:cs="Arial"/>
          <w:sz w:val="22"/>
        </w:rPr>
        <w:t>e</w:t>
      </w:r>
      <w:r w:rsidRPr="00775E56">
        <w:rPr>
          <w:rFonts w:cs="Arial"/>
          <w:sz w:val="22"/>
        </w:rPr>
        <w:t xml:space="preserve"> counseling et de traitement du VIH ;</w:t>
      </w:r>
    </w:p>
    <w:p w14:paraId="3596516A" w14:textId="77777777" w:rsidR="001C2F95" w:rsidRPr="00775E56" w:rsidRDefault="001C2F95" w:rsidP="002378EA">
      <w:pPr>
        <w:pStyle w:val="Paragraphedeliste"/>
        <w:numPr>
          <w:ilvl w:val="0"/>
          <w:numId w:val="92"/>
        </w:numPr>
        <w:ind w:left="1276" w:hanging="283"/>
        <w:rPr>
          <w:rFonts w:cs="Arial"/>
          <w:sz w:val="22"/>
        </w:rPr>
      </w:pPr>
      <w:r w:rsidRPr="00775E56">
        <w:rPr>
          <w:rFonts w:cs="Arial"/>
          <w:sz w:val="22"/>
        </w:rPr>
        <w:t xml:space="preserve">Veiller à ce que l’entrepreneur réaffirme son attachement au </w:t>
      </w:r>
      <w:r>
        <w:rPr>
          <w:rFonts w:cs="Arial"/>
          <w:sz w:val="22"/>
        </w:rPr>
        <w:t>c</w:t>
      </w:r>
      <w:r w:rsidRPr="00775E56">
        <w:rPr>
          <w:rFonts w:cs="Arial"/>
          <w:sz w:val="22"/>
        </w:rPr>
        <w:t>ode de bonne conduite dans ses offres d’emploi ;</w:t>
      </w:r>
    </w:p>
    <w:p w14:paraId="62BE1EEE" w14:textId="77777777" w:rsidR="001C2F95" w:rsidRPr="00775E56" w:rsidRDefault="001C2F95" w:rsidP="002378EA">
      <w:pPr>
        <w:pStyle w:val="Paragraphedeliste"/>
        <w:numPr>
          <w:ilvl w:val="0"/>
          <w:numId w:val="92"/>
        </w:numPr>
        <w:ind w:left="1276" w:hanging="283"/>
        <w:rPr>
          <w:rFonts w:cs="Arial"/>
          <w:sz w:val="22"/>
        </w:rPr>
      </w:pPr>
      <w:r w:rsidRPr="00775E56">
        <w:rPr>
          <w:rFonts w:cs="Arial"/>
          <w:sz w:val="22"/>
        </w:rPr>
        <w:t xml:space="preserve">Aider l’entrepreneur à élaborer une base de données interne des mesures disciplinaires sur le personnel, y compris les licenciements, afin d’éviter de réembaucher des transgresseurs à un moment ultérieur ; </w:t>
      </w:r>
    </w:p>
    <w:p w14:paraId="32B57EFB" w14:textId="77777777" w:rsidR="001C2F95" w:rsidRPr="001C360D" w:rsidRDefault="001C2F95" w:rsidP="002378EA">
      <w:pPr>
        <w:pStyle w:val="Paragraphedeliste"/>
        <w:numPr>
          <w:ilvl w:val="0"/>
          <w:numId w:val="92"/>
        </w:numPr>
        <w:ind w:left="1276" w:hanging="283"/>
        <w:rPr>
          <w:rFonts w:cs="Arial"/>
          <w:sz w:val="22"/>
        </w:rPr>
      </w:pPr>
      <w:r w:rsidRPr="00775E56">
        <w:rPr>
          <w:rFonts w:cs="Arial"/>
          <w:sz w:val="22"/>
        </w:rPr>
        <w:t>Participer aux réunions de coordination (en déterminer la périodicité) entre les différents partenaires qui travaillent en collaboration pour la prise en charge des survivant</w:t>
      </w:r>
      <w:r>
        <w:rPr>
          <w:rFonts w:cs="Arial"/>
          <w:sz w:val="22"/>
        </w:rPr>
        <w:t>(</w:t>
      </w:r>
      <w:r w:rsidRPr="00775E56">
        <w:rPr>
          <w:rFonts w:cs="Arial"/>
          <w:sz w:val="22"/>
        </w:rPr>
        <w:t>e</w:t>
      </w:r>
      <w:r>
        <w:rPr>
          <w:rFonts w:cs="Arial"/>
          <w:sz w:val="22"/>
        </w:rPr>
        <w:t>)</w:t>
      </w:r>
      <w:r w:rsidRPr="00775E56">
        <w:rPr>
          <w:rFonts w:cs="Arial"/>
          <w:sz w:val="22"/>
        </w:rPr>
        <w:t>s</w:t>
      </w:r>
      <w:r>
        <w:rPr>
          <w:rFonts w:cs="Arial"/>
          <w:sz w:val="22"/>
        </w:rPr>
        <w:t xml:space="preserve"> d’EAS/HS</w:t>
      </w:r>
      <w:r w:rsidRPr="001C360D">
        <w:rPr>
          <w:rFonts w:cs="Arial"/>
          <w:sz w:val="22"/>
        </w:rPr>
        <w:t>, et dans la mise en œuvre du Plan d’action</w:t>
      </w:r>
      <w:r>
        <w:rPr>
          <w:rFonts w:cs="Arial"/>
          <w:sz w:val="22"/>
        </w:rPr>
        <w:t xml:space="preserve"> EAS/HS</w:t>
      </w:r>
      <w:r w:rsidRPr="001C360D">
        <w:rPr>
          <w:rFonts w:cs="Arial"/>
          <w:sz w:val="22"/>
        </w:rPr>
        <w:t xml:space="preserve"> ; </w:t>
      </w:r>
    </w:p>
    <w:p w14:paraId="77D539F3" w14:textId="77777777" w:rsidR="001C2F95" w:rsidRPr="00775E56" w:rsidRDefault="001C2F95" w:rsidP="002378EA">
      <w:pPr>
        <w:pStyle w:val="Paragraphedeliste"/>
        <w:numPr>
          <w:ilvl w:val="0"/>
          <w:numId w:val="92"/>
        </w:numPr>
        <w:ind w:left="1276" w:hanging="283"/>
        <w:rPr>
          <w:rFonts w:cs="Arial"/>
          <w:sz w:val="22"/>
        </w:rPr>
      </w:pPr>
      <w:r w:rsidRPr="00775E56">
        <w:rPr>
          <w:rFonts w:cs="Arial"/>
          <w:sz w:val="22"/>
        </w:rPr>
        <w:t>Évaluer des effets des mesures mises en place, et proposer des ajustements si nécessaire ;</w:t>
      </w:r>
    </w:p>
    <w:p w14:paraId="4A1D0627" w14:textId="77777777" w:rsidR="001C2F95" w:rsidRPr="00775E56" w:rsidRDefault="001C2F95" w:rsidP="002378EA">
      <w:pPr>
        <w:pStyle w:val="Paragraphedeliste"/>
        <w:numPr>
          <w:ilvl w:val="0"/>
          <w:numId w:val="92"/>
        </w:numPr>
        <w:ind w:left="1276" w:hanging="283"/>
        <w:rPr>
          <w:rFonts w:cs="Arial"/>
          <w:sz w:val="22"/>
        </w:rPr>
      </w:pPr>
      <w:r w:rsidRPr="00775E56">
        <w:rPr>
          <w:rFonts w:cs="Arial"/>
          <w:sz w:val="22"/>
        </w:rPr>
        <w:t>Assurer la réalisation des consultations avec les communautés de manière sûre et dans des groupes spécifiques au sexe</w:t>
      </w:r>
      <w:r>
        <w:rPr>
          <w:rFonts w:cs="Arial"/>
          <w:sz w:val="22"/>
        </w:rPr>
        <w:t xml:space="preserve"> avec des facilitateurs du même sexe</w:t>
      </w:r>
      <w:r w:rsidRPr="00775E56">
        <w:rPr>
          <w:rFonts w:cs="Arial"/>
          <w:sz w:val="22"/>
        </w:rPr>
        <w:t>, en ciblant en particulier</w:t>
      </w:r>
      <w:r w:rsidRPr="00775E56" w:rsidDel="00E135FF">
        <w:rPr>
          <w:rFonts w:cs="Arial"/>
          <w:sz w:val="22"/>
        </w:rPr>
        <w:t xml:space="preserve"> </w:t>
      </w:r>
      <w:r w:rsidRPr="00775E56">
        <w:rPr>
          <w:rFonts w:cs="Arial"/>
          <w:sz w:val="22"/>
        </w:rPr>
        <w:t>les couches plus vulnérables, groupes de femmes, déplacées, peuples autochtones dans le but de renforcer l</w:t>
      </w:r>
      <w:r>
        <w:rPr>
          <w:rFonts w:cs="Arial"/>
          <w:sz w:val="22"/>
        </w:rPr>
        <w:t>’</w:t>
      </w:r>
      <w:r w:rsidRPr="00775E56">
        <w:rPr>
          <w:rFonts w:cs="Arial"/>
          <w:sz w:val="22"/>
        </w:rPr>
        <w:t>inclusivité, l’accessibilité, la connaissance et la confiance du M</w:t>
      </w:r>
      <w:r>
        <w:rPr>
          <w:rFonts w:cs="Arial"/>
          <w:sz w:val="22"/>
        </w:rPr>
        <w:t>GP</w:t>
      </w:r>
      <w:r w:rsidRPr="00775E56">
        <w:rPr>
          <w:rFonts w:cs="Arial"/>
          <w:sz w:val="22"/>
        </w:rPr>
        <w:t xml:space="preserve"> ;</w:t>
      </w:r>
    </w:p>
    <w:p w14:paraId="5681EF24" w14:textId="77777777" w:rsidR="001C2F95" w:rsidRPr="00775E56" w:rsidRDefault="001C2F95" w:rsidP="002378EA">
      <w:pPr>
        <w:pStyle w:val="Paragraphedeliste"/>
        <w:numPr>
          <w:ilvl w:val="0"/>
          <w:numId w:val="92"/>
        </w:numPr>
        <w:ind w:left="1276" w:hanging="283"/>
        <w:rPr>
          <w:rFonts w:cs="Arial"/>
          <w:sz w:val="22"/>
        </w:rPr>
      </w:pPr>
      <w:r w:rsidRPr="00775E56">
        <w:rPr>
          <w:rFonts w:cs="Arial"/>
          <w:sz w:val="22"/>
        </w:rPr>
        <w:t>Élaborer un plan de suivi-évaluation des activités et pour la récolte et l’analyse des commentaires et préoccupations des communautés sur le M</w:t>
      </w:r>
      <w:r>
        <w:rPr>
          <w:rFonts w:cs="Arial"/>
          <w:sz w:val="22"/>
        </w:rPr>
        <w:t>GP</w:t>
      </w:r>
      <w:r w:rsidRPr="00775E56">
        <w:rPr>
          <w:rFonts w:cs="Arial"/>
          <w:sz w:val="22"/>
        </w:rPr>
        <w:t>, y compris les services de prise en charge pour les survivant</w:t>
      </w:r>
      <w:r>
        <w:rPr>
          <w:rFonts w:cs="Arial"/>
          <w:sz w:val="22"/>
        </w:rPr>
        <w:t>(</w:t>
      </w:r>
      <w:r w:rsidRPr="00775E56">
        <w:rPr>
          <w:rFonts w:cs="Arial"/>
          <w:sz w:val="22"/>
        </w:rPr>
        <w:t>e</w:t>
      </w:r>
      <w:r>
        <w:rPr>
          <w:rFonts w:cs="Arial"/>
          <w:sz w:val="22"/>
        </w:rPr>
        <w:t>)</w:t>
      </w:r>
      <w:r w:rsidRPr="00775E56">
        <w:rPr>
          <w:rFonts w:cs="Arial"/>
          <w:sz w:val="22"/>
        </w:rPr>
        <w:t>s d</w:t>
      </w:r>
      <w:r>
        <w:rPr>
          <w:rFonts w:cs="Arial"/>
          <w:sz w:val="22"/>
        </w:rPr>
        <w:t>’</w:t>
      </w:r>
      <w:r w:rsidRPr="00775E56">
        <w:rPr>
          <w:rFonts w:cs="Arial"/>
          <w:sz w:val="22"/>
        </w:rPr>
        <w:t xml:space="preserve">EAS/HS et </w:t>
      </w:r>
      <w:r>
        <w:rPr>
          <w:rFonts w:cs="Arial"/>
          <w:sz w:val="22"/>
        </w:rPr>
        <w:t xml:space="preserve">de </w:t>
      </w:r>
      <w:r w:rsidRPr="00775E56">
        <w:rPr>
          <w:rFonts w:cs="Arial"/>
          <w:sz w:val="22"/>
        </w:rPr>
        <w:t>COVID-19</w:t>
      </w:r>
      <w:r>
        <w:rPr>
          <w:rFonts w:cs="Arial"/>
          <w:sz w:val="22"/>
        </w:rPr>
        <w:t> ;</w:t>
      </w:r>
    </w:p>
    <w:p w14:paraId="51C02446" w14:textId="77777777" w:rsidR="001C2F95" w:rsidRPr="00775E56" w:rsidRDefault="001C2F95" w:rsidP="002378EA">
      <w:pPr>
        <w:pStyle w:val="Paragraphedeliste"/>
        <w:numPr>
          <w:ilvl w:val="0"/>
          <w:numId w:val="92"/>
        </w:numPr>
        <w:ind w:left="1276" w:hanging="283"/>
        <w:rPr>
          <w:rFonts w:cs="Arial"/>
          <w:sz w:val="22"/>
        </w:rPr>
      </w:pPr>
      <w:r w:rsidRPr="00775E56">
        <w:rPr>
          <w:rFonts w:cs="Arial"/>
          <w:sz w:val="22"/>
        </w:rPr>
        <w:t xml:space="preserve">Analyser les écarts entre les réalisations et les prévisions et formuler toutes recommandations appropriées pour améliorer les performances en matière de prévention et gestion des </w:t>
      </w:r>
      <w:r>
        <w:rPr>
          <w:rFonts w:cs="Arial"/>
          <w:sz w:val="22"/>
        </w:rPr>
        <w:t>cas d’EAS/HS</w:t>
      </w:r>
      <w:r w:rsidRPr="00775E56">
        <w:rPr>
          <w:rFonts w:cs="Arial"/>
          <w:sz w:val="22"/>
        </w:rPr>
        <w:t xml:space="preserve"> et </w:t>
      </w:r>
      <w:r>
        <w:rPr>
          <w:rFonts w:cs="Arial"/>
          <w:sz w:val="22"/>
        </w:rPr>
        <w:t xml:space="preserve">de </w:t>
      </w:r>
      <w:r w:rsidRPr="00775E56">
        <w:rPr>
          <w:rFonts w:cs="Arial"/>
          <w:sz w:val="22"/>
        </w:rPr>
        <w:t>COVID-19 ;</w:t>
      </w:r>
    </w:p>
    <w:p w14:paraId="533C765B" w14:textId="77777777" w:rsidR="001C2F95" w:rsidRPr="00775E56" w:rsidRDefault="001C2F95" w:rsidP="002378EA">
      <w:pPr>
        <w:pStyle w:val="Paragraphedeliste"/>
        <w:numPr>
          <w:ilvl w:val="0"/>
          <w:numId w:val="92"/>
        </w:numPr>
        <w:ind w:left="1276" w:hanging="283"/>
        <w:rPr>
          <w:rFonts w:cs="Arial"/>
          <w:sz w:val="22"/>
        </w:rPr>
      </w:pPr>
      <w:r w:rsidRPr="00775E56">
        <w:rPr>
          <w:rFonts w:cs="Arial"/>
          <w:sz w:val="22"/>
        </w:rPr>
        <w:t>Proposer des ajustements du programme des activités de prévention et gestion d</w:t>
      </w:r>
      <w:r>
        <w:rPr>
          <w:rFonts w:cs="Arial"/>
          <w:sz w:val="22"/>
        </w:rPr>
        <w:t>es incidents d’EAS/HS</w:t>
      </w:r>
      <w:r w:rsidRPr="00775E56">
        <w:rPr>
          <w:rFonts w:cs="Arial"/>
          <w:sz w:val="22"/>
        </w:rPr>
        <w:t xml:space="preserve"> et les mesures appropriées pour assurer leurs bonnes exécutions.</w:t>
      </w:r>
    </w:p>
    <w:p w14:paraId="51957499" w14:textId="77777777" w:rsidR="001C2F95" w:rsidRDefault="001C2F95" w:rsidP="001C2F95">
      <w:pPr>
        <w:rPr>
          <w:rFonts w:cs="Arial"/>
          <w:bCs/>
          <w:i/>
          <w:sz w:val="22"/>
        </w:rPr>
      </w:pPr>
    </w:p>
    <w:p w14:paraId="6DA6EEDE" w14:textId="77777777" w:rsidR="001C2F95" w:rsidRDefault="001C2F95" w:rsidP="001C2F95">
      <w:pPr>
        <w:rPr>
          <w:rFonts w:cs="Arial"/>
          <w:bCs/>
          <w:i/>
          <w:sz w:val="22"/>
        </w:rPr>
      </w:pPr>
      <w:r>
        <w:rPr>
          <w:rFonts w:cs="Arial"/>
          <w:bCs/>
          <w:i/>
          <w:sz w:val="22"/>
        </w:rPr>
        <w:t>b)</w:t>
      </w:r>
      <w:r w:rsidRPr="00775E56">
        <w:rPr>
          <w:rFonts w:cs="Arial"/>
          <w:bCs/>
          <w:i/>
          <w:sz w:val="22"/>
        </w:rPr>
        <w:t xml:space="preserve"> Suivi environnemental et social</w:t>
      </w:r>
      <w:r w:rsidRPr="00775E56">
        <w:rPr>
          <w:rFonts w:cs="Arial"/>
          <w:i/>
          <w:sz w:val="22"/>
        </w:rPr>
        <w:t>- Evaluation</w:t>
      </w:r>
    </w:p>
    <w:p w14:paraId="382699F5" w14:textId="77777777" w:rsidR="001C2F95" w:rsidRPr="00775E56" w:rsidRDefault="001C2F95" w:rsidP="001C2F95">
      <w:pPr>
        <w:rPr>
          <w:rFonts w:cs="Arial"/>
          <w:bCs/>
          <w:i/>
          <w:sz w:val="22"/>
        </w:rPr>
      </w:pPr>
    </w:p>
    <w:p w14:paraId="3BED27A4" w14:textId="77777777" w:rsidR="001C2F95" w:rsidRPr="002541DD" w:rsidRDefault="001C2F95" w:rsidP="002378EA">
      <w:pPr>
        <w:pStyle w:val="Paragraphedeliste"/>
        <w:numPr>
          <w:ilvl w:val="0"/>
          <w:numId w:val="100"/>
        </w:numPr>
        <w:rPr>
          <w:rFonts w:cs="Arial"/>
          <w:sz w:val="22"/>
        </w:rPr>
      </w:pPr>
      <w:r w:rsidRPr="002541DD">
        <w:rPr>
          <w:rFonts w:cs="Arial"/>
          <w:sz w:val="22"/>
        </w:rPr>
        <w:t>La supervision des activités sera assurée par le</w:t>
      </w:r>
      <w:r>
        <w:rPr>
          <w:rFonts w:cs="Arial"/>
          <w:sz w:val="22"/>
        </w:rPr>
        <w:t xml:space="preserve"> SSE et le SSS</w:t>
      </w:r>
      <w:r w:rsidRPr="002541DD">
        <w:rPr>
          <w:rFonts w:cs="Arial"/>
          <w:sz w:val="22"/>
        </w:rPr>
        <w:t xml:space="preserve"> du PNDA.</w:t>
      </w:r>
    </w:p>
    <w:p w14:paraId="14169E0A" w14:textId="77777777" w:rsidR="001C2F95" w:rsidRPr="002541DD" w:rsidRDefault="001C2F95" w:rsidP="002378EA">
      <w:pPr>
        <w:pStyle w:val="Paragraphedeliste"/>
        <w:numPr>
          <w:ilvl w:val="0"/>
          <w:numId w:val="100"/>
        </w:numPr>
        <w:rPr>
          <w:rFonts w:cs="Arial"/>
          <w:sz w:val="22"/>
        </w:rPr>
      </w:pPr>
      <w:r w:rsidRPr="002541DD">
        <w:rPr>
          <w:rFonts w:cs="Arial"/>
          <w:sz w:val="22"/>
        </w:rPr>
        <w:t>La surveillance interne de proximité de l’exécution des mesures environnementales et sociales sera assurée par les bureaux de contrôle (ou prestataires privés).</w:t>
      </w:r>
    </w:p>
    <w:p w14:paraId="42B9A8D8" w14:textId="77777777" w:rsidR="001C2F95" w:rsidRPr="002541DD" w:rsidRDefault="001C2F95" w:rsidP="002378EA">
      <w:pPr>
        <w:pStyle w:val="Paragraphedeliste"/>
        <w:numPr>
          <w:ilvl w:val="0"/>
          <w:numId w:val="100"/>
        </w:numPr>
        <w:rPr>
          <w:rFonts w:cs="Arial"/>
          <w:sz w:val="22"/>
        </w:rPr>
      </w:pPr>
      <w:r w:rsidRPr="002541DD">
        <w:rPr>
          <w:rFonts w:cs="Arial"/>
          <w:sz w:val="22"/>
        </w:rPr>
        <w:t xml:space="preserve">Le suivi (inspection ou contrôle réglementaire) sera effectué par l’ACE, les Coordinations Provinciales de l’Environnement, l’Institut Congolais pour la Conservation de la Nature et le Réseau des Populations Autochtones pour la gestion durable des Écosystèmes Forestiers de la RDC. </w:t>
      </w:r>
    </w:p>
    <w:p w14:paraId="678F3DAF" w14:textId="77777777" w:rsidR="001C2F95" w:rsidRPr="002541DD" w:rsidRDefault="001C2F95" w:rsidP="002378EA">
      <w:pPr>
        <w:pStyle w:val="Paragraphedeliste"/>
        <w:numPr>
          <w:ilvl w:val="0"/>
          <w:numId w:val="100"/>
        </w:numPr>
        <w:rPr>
          <w:rFonts w:cs="Arial"/>
          <w:sz w:val="22"/>
        </w:rPr>
      </w:pPr>
      <w:r w:rsidRPr="002541DD">
        <w:rPr>
          <w:rFonts w:cs="Arial"/>
          <w:sz w:val="22"/>
        </w:rPr>
        <w:t xml:space="preserve">L’évaluation sera effectuée par des Consultants indépendants, à mi-parcours et à la fin du Projet PNDA. </w:t>
      </w:r>
    </w:p>
    <w:p w14:paraId="7D3E4CE5" w14:textId="77777777" w:rsidR="00AF2270" w:rsidRDefault="00AF2270" w:rsidP="001C2F95">
      <w:pPr>
        <w:rPr>
          <w:rFonts w:cs="Arial"/>
          <w:sz w:val="22"/>
        </w:rPr>
      </w:pPr>
    </w:p>
    <w:p w14:paraId="5A18E3BA" w14:textId="77777777" w:rsidR="00E31B78" w:rsidRDefault="00E31B78" w:rsidP="001C2F95">
      <w:pPr>
        <w:rPr>
          <w:rFonts w:cs="Arial"/>
          <w:sz w:val="22"/>
        </w:rPr>
      </w:pPr>
    </w:p>
    <w:p w14:paraId="07E53E33" w14:textId="77777777" w:rsidR="00E31B78" w:rsidRDefault="00E31B78" w:rsidP="001C2F95">
      <w:pPr>
        <w:rPr>
          <w:rFonts w:cs="Arial"/>
          <w:sz w:val="22"/>
        </w:rPr>
      </w:pPr>
    </w:p>
    <w:p w14:paraId="008FE606" w14:textId="77777777" w:rsidR="00E31B78" w:rsidRPr="001C360D" w:rsidRDefault="00E31B78" w:rsidP="001C2F95">
      <w:pPr>
        <w:rPr>
          <w:rFonts w:cs="Arial"/>
          <w:sz w:val="22"/>
        </w:rPr>
      </w:pPr>
    </w:p>
    <w:p w14:paraId="2B783033" w14:textId="77777777" w:rsidR="001C2F95" w:rsidRPr="00730A4A" w:rsidRDefault="001C2F95" w:rsidP="001C2F95">
      <w:pPr>
        <w:rPr>
          <w:rFonts w:cs="Arial"/>
          <w:bCs/>
          <w:i/>
          <w:color w:val="000000"/>
          <w:sz w:val="22"/>
        </w:rPr>
      </w:pPr>
      <w:r w:rsidRPr="00730A4A">
        <w:rPr>
          <w:rFonts w:cs="Arial"/>
          <w:bCs/>
          <w:i/>
          <w:color w:val="000000"/>
          <w:sz w:val="22"/>
        </w:rPr>
        <w:t>Étape 1</w:t>
      </w:r>
      <w:r w:rsidR="00320F17" w:rsidRPr="00730A4A">
        <w:rPr>
          <w:rFonts w:cs="Arial"/>
          <w:bCs/>
          <w:i/>
          <w:color w:val="000000"/>
          <w:sz w:val="22"/>
        </w:rPr>
        <w:t>2</w:t>
      </w:r>
      <w:r w:rsidRPr="00730A4A">
        <w:rPr>
          <w:rFonts w:cs="Arial"/>
          <w:bCs/>
          <w:i/>
          <w:color w:val="000000"/>
          <w:sz w:val="22"/>
        </w:rPr>
        <w:t xml:space="preserve"> : Diffusion du rapport de surveillance </w:t>
      </w:r>
    </w:p>
    <w:p w14:paraId="3CDDDAF6" w14:textId="77777777" w:rsidR="001C2F95" w:rsidRDefault="001C2F95" w:rsidP="001C2F95">
      <w:pPr>
        <w:rPr>
          <w:rFonts w:cs="Arial"/>
          <w:bCs/>
          <w:sz w:val="22"/>
        </w:rPr>
      </w:pPr>
    </w:p>
    <w:p w14:paraId="2625EAD2" w14:textId="77777777" w:rsidR="001C2F95" w:rsidRPr="00775E56" w:rsidRDefault="001C2F95" w:rsidP="001C2F95">
      <w:pPr>
        <w:rPr>
          <w:rFonts w:cs="Arial"/>
          <w:sz w:val="22"/>
        </w:rPr>
      </w:pPr>
      <w:r w:rsidRPr="00775E56">
        <w:rPr>
          <w:rFonts w:cs="Arial"/>
          <w:bCs/>
          <w:sz w:val="22"/>
        </w:rPr>
        <w:t>En phase de préparation du Projet, le PNDA en collaboration avec le Comité préparatoire et du suivi mis en place</w:t>
      </w:r>
      <w:r w:rsidRPr="00775E56">
        <w:rPr>
          <w:rFonts w:cs="Arial"/>
          <w:bCs/>
          <w:i/>
          <w:sz w:val="22"/>
        </w:rPr>
        <w:t xml:space="preserve"> </w:t>
      </w:r>
      <w:r w:rsidRPr="00775E56">
        <w:rPr>
          <w:rFonts w:cs="Arial"/>
          <w:sz w:val="22"/>
        </w:rPr>
        <w:t xml:space="preserve">sont responsables de la diffusion du rapport de surveillance, avec la collaboration des Spécialistes en Sauvegarde Environnementale et Sociale </w:t>
      </w:r>
      <w:r w:rsidR="00CE52C3">
        <w:rPr>
          <w:rFonts w:cs="Arial"/>
          <w:sz w:val="22"/>
        </w:rPr>
        <w:t xml:space="preserve">et VBG </w:t>
      </w:r>
      <w:r w:rsidRPr="00775E56">
        <w:rPr>
          <w:rFonts w:cs="Arial"/>
          <w:sz w:val="22"/>
        </w:rPr>
        <w:t>du PNDA.</w:t>
      </w:r>
    </w:p>
    <w:p w14:paraId="17AE352F" w14:textId="77777777" w:rsidR="001C2F95" w:rsidRPr="00775E56" w:rsidRDefault="001C2F95" w:rsidP="001C2F95">
      <w:pPr>
        <w:rPr>
          <w:rFonts w:cs="Arial"/>
          <w:bCs/>
          <w:i/>
          <w:sz w:val="22"/>
        </w:rPr>
      </w:pPr>
    </w:p>
    <w:p w14:paraId="113B1D13" w14:textId="77777777" w:rsidR="001C2F95" w:rsidRPr="00775E56" w:rsidRDefault="001C2F95" w:rsidP="001C2F95">
      <w:pPr>
        <w:rPr>
          <w:rFonts w:cs="Arial"/>
          <w:sz w:val="22"/>
        </w:rPr>
      </w:pPr>
      <w:r w:rsidRPr="00775E56">
        <w:rPr>
          <w:rFonts w:cs="Arial"/>
          <w:sz w:val="22"/>
        </w:rPr>
        <w:t>En phase de mise en œuvre du projet, l’</w:t>
      </w:r>
      <w:r>
        <w:rPr>
          <w:rFonts w:cs="Arial"/>
          <w:sz w:val="22"/>
        </w:rPr>
        <w:t>UNCP</w:t>
      </w:r>
      <w:r w:rsidRPr="00775E56">
        <w:rPr>
          <w:rFonts w:cs="Arial"/>
          <w:sz w:val="22"/>
        </w:rPr>
        <w:t xml:space="preserve"> sera responsable de la diffusion du rapport de surveillance, avec la collaboration des Spécialistes en Sauvegardes Environnementales et Sociales du PNDA.</w:t>
      </w:r>
    </w:p>
    <w:p w14:paraId="23D722F1" w14:textId="77777777" w:rsidR="001C2F95" w:rsidRPr="00775E56" w:rsidRDefault="001C2F95" w:rsidP="001C2F95">
      <w:pPr>
        <w:tabs>
          <w:tab w:val="left" w:pos="7650"/>
        </w:tabs>
        <w:ind w:left="720"/>
        <w:rPr>
          <w:rFonts w:cs="Arial"/>
          <w:sz w:val="22"/>
        </w:rPr>
      </w:pPr>
      <w:r w:rsidRPr="00775E56">
        <w:rPr>
          <w:rFonts w:cs="Arial"/>
          <w:sz w:val="22"/>
        </w:rPr>
        <w:tab/>
      </w:r>
    </w:p>
    <w:p w14:paraId="0F644481" w14:textId="77777777" w:rsidR="001C2F95" w:rsidRPr="00775E56" w:rsidRDefault="001C2F95" w:rsidP="001C2F95">
      <w:pPr>
        <w:rPr>
          <w:rFonts w:cs="Arial"/>
          <w:bCs/>
          <w:i/>
          <w:sz w:val="22"/>
        </w:rPr>
      </w:pPr>
      <w:r w:rsidRPr="00775E56">
        <w:rPr>
          <w:rFonts w:cs="Arial"/>
          <w:bCs/>
          <w:i/>
          <w:sz w:val="22"/>
        </w:rPr>
        <w:t>Étape 1</w:t>
      </w:r>
      <w:r w:rsidR="00320F17">
        <w:rPr>
          <w:rFonts w:cs="Arial"/>
          <w:bCs/>
          <w:i/>
          <w:sz w:val="22"/>
        </w:rPr>
        <w:t>3</w:t>
      </w:r>
      <w:r w:rsidRPr="00775E56">
        <w:rPr>
          <w:rFonts w:cs="Arial"/>
          <w:bCs/>
          <w:i/>
          <w:sz w:val="22"/>
        </w:rPr>
        <w:t> : Renforcement des capacités des acteurs en mise en œuvre environnementale et sociale</w:t>
      </w:r>
    </w:p>
    <w:p w14:paraId="14A4D13F" w14:textId="77777777" w:rsidR="001C2F95" w:rsidRPr="00775E56" w:rsidRDefault="001C2F95" w:rsidP="001C2F95">
      <w:pPr>
        <w:pStyle w:val="Paragraphedeliste"/>
        <w:tabs>
          <w:tab w:val="left" w:pos="0"/>
        </w:tabs>
        <w:ind w:left="0"/>
        <w:contextualSpacing w:val="0"/>
        <w:rPr>
          <w:rFonts w:cs="Arial"/>
          <w:sz w:val="22"/>
        </w:rPr>
      </w:pPr>
    </w:p>
    <w:p w14:paraId="11FC2333" w14:textId="77777777" w:rsidR="001C2F95" w:rsidRPr="00775E56" w:rsidRDefault="001C2F95" w:rsidP="001C2F95">
      <w:pPr>
        <w:pStyle w:val="Paragraphedeliste"/>
        <w:tabs>
          <w:tab w:val="left" w:pos="0"/>
        </w:tabs>
        <w:ind w:left="0"/>
        <w:contextualSpacing w:val="0"/>
        <w:rPr>
          <w:rFonts w:cs="Arial"/>
          <w:sz w:val="22"/>
        </w:rPr>
      </w:pPr>
      <w:r w:rsidRPr="00775E56">
        <w:rPr>
          <w:rFonts w:cs="Arial"/>
          <w:sz w:val="22"/>
        </w:rPr>
        <w:t>Le SSE, le S</w:t>
      </w:r>
      <w:r>
        <w:rPr>
          <w:rFonts w:cs="Arial"/>
          <w:sz w:val="22"/>
        </w:rPr>
        <w:t>SS,</w:t>
      </w:r>
      <w:r w:rsidRPr="00775E56">
        <w:rPr>
          <w:rFonts w:cs="Arial"/>
          <w:sz w:val="22"/>
        </w:rPr>
        <w:t xml:space="preserve"> et le SVBG sont responsables du </w:t>
      </w:r>
      <w:r>
        <w:rPr>
          <w:rFonts w:cs="Arial"/>
          <w:sz w:val="22"/>
        </w:rPr>
        <w:t>r</w:t>
      </w:r>
      <w:r w:rsidRPr="00775E56">
        <w:rPr>
          <w:rFonts w:cs="Arial"/>
          <w:sz w:val="22"/>
        </w:rPr>
        <w:t xml:space="preserve">enforcement des capacités des acteurs en mise en œuvre environnementale et sociale, avec l’appui des </w:t>
      </w:r>
      <w:r>
        <w:rPr>
          <w:rFonts w:cs="Arial"/>
          <w:sz w:val="22"/>
        </w:rPr>
        <w:t>c</w:t>
      </w:r>
      <w:r w:rsidRPr="00775E56">
        <w:rPr>
          <w:rFonts w:cs="Arial"/>
          <w:sz w:val="22"/>
        </w:rPr>
        <w:t xml:space="preserve">onsultants et des </w:t>
      </w:r>
      <w:r>
        <w:rPr>
          <w:rFonts w:cs="Arial"/>
          <w:sz w:val="22"/>
        </w:rPr>
        <w:t>s</w:t>
      </w:r>
      <w:r w:rsidRPr="00775E56">
        <w:rPr>
          <w:rFonts w:cs="Arial"/>
          <w:sz w:val="22"/>
        </w:rPr>
        <w:t>tructures publiques compétentes.</w:t>
      </w:r>
    </w:p>
    <w:p w14:paraId="10DF0FAE" w14:textId="77777777" w:rsidR="001C2F95" w:rsidRPr="00775E56" w:rsidRDefault="001C2F95" w:rsidP="001C2F95">
      <w:pPr>
        <w:rPr>
          <w:rFonts w:cs="Arial"/>
          <w:bCs/>
          <w:i/>
          <w:sz w:val="22"/>
        </w:rPr>
      </w:pPr>
    </w:p>
    <w:p w14:paraId="586949DF" w14:textId="77777777" w:rsidR="001C2F95" w:rsidRPr="00775E56" w:rsidRDefault="001C2F95" w:rsidP="001C2F95">
      <w:pPr>
        <w:rPr>
          <w:rFonts w:cs="Arial"/>
          <w:bCs/>
          <w:i/>
          <w:sz w:val="22"/>
        </w:rPr>
      </w:pPr>
      <w:r w:rsidRPr="00775E56">
        <w:rPr>
          <w:rFonts w:cs="Arial"/>
          <w:bCs/>
          <w:i/>
          <w:sz w:val="22"/>
        </w:rPr>
        <w:t>Étape 1</w:t>
      </w:r>
      <w:r w:rsidR="00320F17">
        <w:rPr>
          <w:rFonts w:cs="Arial"/>
          <w:bCs/>
          <w:i/>
          <w:sz w:val="22"/>
        </w:rPr>
        <w:t>4</w:t>
      </w:r>
      <w:r w:rsidRPr="00775E56">
        <w:rPr>
          <w:rFonts w:cs="Arial"/>
          <w:bCs/>
          <w:i/>
          <w:sz w:val="22"/>
        </w:rPr>
        <w:t> : Audit de mise en œuvre des mesures environnementales et sociales</w:t>
      </w:r>
    </w:p>
    <w:p w14:paraId="5A43CAAC" w14:textId="77777777" w:rsidR="001C2F95" w:rsidRPr="00775E56" w:rsidRDefault="001C2F95" w:rsidP="001C2F95">
      <w:pPr>
        <w:pStyle w:val="Commentaire"/>
        <w:spacing w:line="276" w:lineRule="auto"/>
        <w:rPr>
          <w:rFonts w:cs="Arial"/>
          <w:sz w:val="22"/>
          <w:szCs w:val="22"/>
          <w:lang w:val="fr-FR"/>
        </w:rPr>
      </w:pPr>
    </w:p>
    <w:p w14:paraId="75C32071" w14:textId="77777777" w:rsidR="001C2F95" w:rsidRPr="00775E56" w:rsidRDefault="001C2F95" w:rsidP="001C2F95">
      <w:pPr>
        <w:pStyle w:val="Commentaire"/>
        <w:spacing w:line="276" w:lineRule="auto"/>
        <w:rPr>
          <w:rFonts w:cs="Arial"/>
          <w:sz w:val="22"/>
          <w:szCs w:val="22"/>
          <w:lang w:val="fr-FR"/>
        </w:rPr>
      </w:pPr>
      <w:r w:rsidRPr="00775E56">
        <w:rPr>
          <w:rFonts w:cs="Arial"/>
          <w:sz w:val="22"/>
          <w:szCs w:val="22"/>
          <w:lang w:val="fr-FR"/>
        </w:rPr>
        <w:t>Le SSE et le S</w:t>
      </w:r>
      <w:r>
        <w:rPr>
          <w:rFonts w:cs="Arial"/>
          <w:sz w:val="22"/>
          <w:szCs w:val="22"/>
          <w:lang w:val="fr-FR"/>
        </w:rPr>
        <w:t>SS</w:t>
      </w:r>
      <w:r w:rsidRPr="00775E56">
        <w:rPr>
          <w:rFonts w:cs="Arial"/>
          <w:sz w:val="22"/>
          <w:szCs w:val="22"/>
          <w:lang w:val="fr-FR"/>
        </w:rPr>
        <w:t xml:space="preserve"> (pour la phase de mise en œuvre du projet)</w:t>
      </w:r>
      <w:r>
        <w:rPr>
          <w:rFonts w:cs="Arial"/>
          <w:sz w:val="22"/>
          <w:szCs w:val="22"/>
          <w:lang w:val="fr-FR"/>
        </w:rPr>
        <w:t xml:space="preserve"> </w:t>
      </w:r>
      <w:r w:rsidRPr="002541DD">
        <w:rPr>
          <w:rFonts w:cs="Arial"/>
          <w:sz w:val="22"/>
          <w:lang w:val="fr-FR"/>
        </w:rPr>
        <w:t>et le SVBG</w:t>
      </w:r>
      <w:r w:rsidRPr="00775E56">
        <w:rPr>
          <w:rFonts w:cs="Arial"/>
          <w:sz w:val="22"/>
          <w:szCs w:val="22"/>
          <w:lang w:val="fr-FR"/>
        </w:rPr>
        <w:t xml:space="preserve"> sont responsables du suivi de l’audit de mise en œuvre des mesures environnementales et sociales</w:t>
      </w:r>
      <w:r>
        <w:rPr>
          <w:rFonts w:cs="Arial"/>
          <w:sz w:val="22"/>
          <w:szCs w:val="22"/>
          <w:lang w:val="fr-FR"/>
        </w:rPr>
        <w:t>,</w:t>
      </w:r>
      <w:r w:rsidRPr="00775E56">
        <w:rPr>
          <w:rFonts w:cs="Arial"/>
          <w:sz w:val="22"/>
          <w:szCs w:val="22"/>
          <w:lang w:val="fr-FR"/>
        </w:rPr>
        <w:t xml:space="preserve"> y compris des mesures </w:t>
      </w:r>
      <w:r>
        <w:rPr>
          <w:rFonts w:cs="Arial"/>
          <w:sz w:val="22"/>
          <w:szCs w:val="22"/>
          <w:lang w:val="fr-FR"/>
        </w:rPr>
        <w:t>liées à l’</w:t>
      </w:r>
      <w:r w:rsidRPr="00775E56">
        <w:rPr>
          <w:rFonts w:cs="Arial"/>
          <w:sz w:val="22"/>
          <w:szCs w:val="22"/>
          <w:lang w:val="fr-FR"/>
        </w:rPr>
        <w:t>EAS/HS</w:t>
      </w:r>
      <w:r>
        <w:rPr>
          <w:rFonts w:cs="Arial"/>
          <w:sz w:val="22"/>
          <w:szCs w:val="22"/>
          <w:lang w:val="fr-FR"/>
        </w:rPr>
        <w:t xml:space="preserve"> et au </w:t>
      </w:r>
      <w:r w:rsidRPr="00775E56">
        <w:rPr>
          <w:rFonts w:cs="Arial"/>
          <w:sz w:val="22"/>
          <w:szCs w:val="22"/>
          <w:lang w:val="fr-FR"/>
        </w:rPr>
        <w:t>COVID-19</w:t>
      </w:r>
      <w:r>
        <w:rPr>
          <w:rFonts w:cs="Arial"/>
          <w:sz w:val="22"/>
          <w:szCs w:val="22"/>
          <w:lang w:val="fr-FR"/>
        </w:rPr>
        <w:t>,</w:t>
      </w:r>
      <w:r w:rsidRPr="00775E56">
        <w:rPr>
          <w:rFonts w:cs="Arial"/>
          <w:sz w:val="22"/>
          <w:szCs w:val="22"/>
          <w:lang w:val="fr-FR"/>
        </w:rPr>
        <w:t xml:space="preserve"> avec l’appui de </w:t>
      </w:r>
      <w:r>
        <w:rPr>
          <w:rFonts w:cs="Arial"/>
          <w:sz w:val="22"/>
          <w:szCs w:val="22"/>
          <w:lang w:val="fr-FR"/>
        </w:rPr>
        <w:t>c</w:t>
      </w:r>
      <w:r w:rsidRPr="00775E56">
        <w:rPr>
          <w:rFonts w:cs="Arial"/>
          <w:sz w:val="22"/>
          <w:szCs w:val="22"/>
          <w:lang w:val="fr-FR"/>
        </w:rPr>
        <w:t xml:space="preserve">onsultants expérimentés. Les spécialistes en </w:t>
      </w:r>
      <w:r>
        <w:rPr>
          <w:rFonts w:cs="Arial"/>
          <w:sz w:val="22"/>
          <w:szCs w:val="22"/>
          <w:lang w:val="fr-FR"/>
        </w:rPr>
        <w:t>s</w:t>
      </w:r>
      <w:r w:rsidRPr="00775E56">
        <w:rPr>
          <w:rFonts w:cs="Arial"/>
          <w:sz w:val="22"/>
          <w:szCs w:val="22"/>
          <w:lang w:val="fr-FR"/>
        </w:rPr>
        <w:t xml:space="preserve">auvegardes du </w:t>
      </w:r>
      <w:r>
        <w:rPr>
          <w:rFonts w:cs="Arial"/>
          <w:sz w:val="22"/>
          <w:szCs w:val="22"/>
          <w:lang w:val="fr-FR"/>
        </w:rPr>
        <w:t>P</w:t>
      </w:r>
      <w:r w:rsidRPr="00775E56">
        <w:rPr>
          <w:rFonts w:cs="Arial"/>
          <w:sz w:val="22"/>
          <w:szCs w:val="22"/>
          <w:lang w:val="fr-FR"/>
        </w:rPr>
        <w:t>rojet sont responsables de la rédaction des TDR et de l’appui au consultant pour la bonne marche de l’audit.</w:t>
      </w:r>
    </w:p>
    <w:p w14:paraId="59C087D5" w14:textId="77777777" w:rsidR="001C2F95" w:rsidRDefault="001C2F95" w:rsidP="001C2F95">
      <w:pPr>
        <w:spacing w:line="240" w:lineRule="auto"/>
        <w:jc w:val="left"/>
        <w:rPr>
          <w:rFonts w:cs="Arial"/>
          <w:bCs/>
          <w:i/>
          <w:sz w:val="22"/>
        </w:rPr>
      </w:pPr>
    </w:p>
    <w:p w14:paraId="4A27EF17" w14:textId="77777777" w:rsidR="003C339D" w:rsidRPr="000326DA" w:rsidRDefault="000326DA" w:rsidP="000326DA">
      <w:pPr>
        <w:pStyle w:val="Titre2"/>
        <w:numPr>
          <w:ilvl w:val="1"/>
          <w:numId w:val="4"/>
        </w:numPr>
        <w:ind w:left="851" w:hanging="425"/>
        <w:rPr>
          <w:rFonts w:cs="Arial"/>
          <w:b/>
        </w:rPr>
      </w:pPr>
      <w:bookmarkStart w:id="602" w:name="_Toc45017161"/>
      <w:bookmarkStart w:id="603" w:name="_Toc45267548"/>
      <w:bookmarkStart w:id="604" w:name="_Toc64029680"/>
      <w:bookmarkStart w:id="605" w:name="_Toc70330453"/>
      <w:r w:rsidRPr="000326DA">
        <w:rPr>
          <w:rFonts w:cs="Arial"/>
          <w:b/>
          <w:bCs w:val="0"/>
        </w:rPr>
        <w:t>Arrangement</w:t>
      </w:r>
      <w:r>
        <w:rPr>
          <w:rFonts w:cs="Arial"/>
          <w:b/>
          <w:bCs w:val="0"/>
        </w:rPr>
        <w:t>s</w:t>
      </w:r>
      <w:r w:rsidRPr="000326DA">
        <w:rPr>
          <w:rFonts w:cs="Arial"/>
          <w:b/>
          <w:bCs w:val="0"/>
        </w:rPr>
        <w:t xml:space="preserve"> institutionnel</w:t>
      </w:r>
      <w:r>
        <w:rPr>
          <w:rFonts w:cs="Arial"/>
          <w:b/>
          <w:bCs w:val="0"/>
        </w:rPr>
        <w:t>s</w:t>
      </w:r>
      <w:r w:rsidRPr="000326DA">
        <w:rPr>
          <w:rFonts w:cs="Arial"/>
          <w:b/>
          <w:bCs w:val="0"/>
        </w:rPr>
        <w:t xml:space="preserve"> pour la mise en œuvre et le suivi du </w:t>
      </w:r>
      <w:r w:rsidR="003C339D" w:rsidRPr="000326DA">
        <w:rPr>
          <w:rFonts w:cs="Arial"/>
          <w:b/>
          <w:bCs w:val="0"/>
        </w:rPr>
        <w:t>PGRIES</w:t>
      </w:r>
      <w:bookmarkEnd w:id="602"/>
      <w:bookmarkEnd w:id="603"/>
      <w:bookmarkEnd w:id="604"/>
      <w:bookmarkEnd w:id="605"/>
      <w:r w:rsidR="003C339D" w:rsidRPr="000326DA">
        <w:rPr>
          <w:rFonts w:cs="Arial"/>
          <w:b/>
          <w:bCs w:val="0"/>
        </w:rPr>
        <w:t xml:space="preserve">  </w:t>
      </w:r>
    </w:p>
    <w:p w14:paraId="790C10BB" w14:textId="77777777" w:rsidR="001C2F95" w:rsidRPr="003C339D" w:rsidRDefault="001C2F95" w:rsidP="00E30F53">
      <w:pPr>
        <w:pStyle w:val="Titre2"/>
        <w:ind w:left="851"/>
        <w:rPr>
          <w:rFonts w:cs="Arial"/>
          <w:sz w:val="22"/>
        </w:rPr>
      </w:pPr>
    </w:p>
    <w:p w14:paraId="5EEACBCB" w14:textId="77777777" w:rsidR="001C2F95" w:rsidRPr="00E86F55" w:rsidRDefault="001C2F95" w:rsidP="002378EA">
      <w:pPr>
        <w:pStyle w:val="Paragraphedeliste"/>
        <w:keepNext/>
        <w:numPr>
          <w:ilvl w:val="1"/>
          <w:numId w:val="11"/>
        </w:numPr>
        <w:tabs>
          <w:tab w:val="left" w:pos="720"/>
        </w:tabs>
        <w:spacing w:before="240" w:after="120"/>
        <w:contextualSpacing w:val="0"/>
        <w:jc w:val="left"/>
        <w:outlineLvl w:val="2"/>
        <w:rPr>
          <w:rFonts w:cs="Arial"/>
          <w:vanish/>
          <w:sz w:val="22"/>
          <w:u w:val="single"/>
        </w:rPr>
      </w:pPr>
      <w:bookmarkStart w:id="606" w:name="_Toc64026196"/>
      <w:bookmarkStart w:id="607" w:name="_Toc64386717"/>
      <w:bookmarkStart w:id="608" w:name="_Toc70326858"/>
      <w:bookmarkStart w:id="609" w:name="_Toc70327091"/>
      <w:bookmarkStart w:id="610" w:name="_Toc70330454"/>
      <w:bookmarkEnd w:id="606"/>
      <w:bookmarkEnd w:id="607"/>
      <w:bookmarkEnd w:id="608"/>
      <w:bookmarkEnd w:id="609"/>
      <w:bookmarkEnd w:id="610"/>
    </w:p>
    <w:p w14:paraId="7099204E" w14:textId="77777777" w:rsidR="001C2F95" w:rsidRPr="00E86F55" w:rsidRDefault="001C2F95" w:rsidP="002378EA">
      <w:pPr>
        <w:pStyle w:val="Paragraphedeliste"/>
        <w:keepNext/>
        <w:numPr>
          <w:ilvl w:val="1"/>
          <w:numId w:val="11"/>
        </w:numPr>
        <w:tabs>
          <w:tab w:val="clear" w:pos="1211"/>
          <w:tab w:val="left" w:pos="0"/>
        </w:tabs>
        <w:spacing w:before="240" w:after="120"/>
        <w:ind w:left="0" w:firstLine="0"/>
        <w:contextualSpacing w:val="0"/>
        <w:jc w:val="left"/>
        <w:outlineLvl w:val="2"/>
        <w:rPr>
          <w:rFonts w:cs="Arial"/>
          <w:vanish/>
          <w:sz w:val="22"/>
          <w:u w:val="single"/>
        </w:rPr>
      </w:pPr>
      <w:bookmarkStart w:id="611" w:name="_Toc64386718"/>
      <w:bookmarkStart w:id="612" w:name="_Toc70326859"/>
      <w:bookmarkStart w:id="613" w:name="_Toc70327092"/>
      <w:bookmarkStart w:id="614" w:name="_Toc70330455"/>
      <w:bookmarkEnd w:id="611"/>
      <w:bookmarkEnd w:id="612"/>
      <w:bookmarkEnd w:id="613"/>
      <w:bookmarkEnd w:id="614"/>
    </w:p>
    <w:p w14:paraId="3D795050" w14:textId="77777777" w:rsidR="001C2F95" w:rsidRDefault="001C2F95" w:rsidP="001C2F95">
      <w:pPr>
        <w:jc w:val="left"/>
        <w:rPr>
          <w:rFonts w:cs="Arial"/>
          <w:sz w:val="22"/>
        </w:rPr>
      </w:pPr>
      <w:r w:rsidRPr="00E86F55">
        <w:rPr>
          <w:rFonts w:cs="Arial"/>
          <w:sz w:val="22"/>
        </w:rPr>
        <w:t xml:space="preserve">Ce paragraphe décrit les rôles et responsabilités concernant la mise en œuvre des mesures environnementales </w:t>
      </w:r>
      <w:r>
        <w:rPr>
          <w:rFonts w:cs="Arial"/>
          <w:sz w:val="22"/>
        </w:rPr>
        <w:t xml:space="preserve">et sociales </w:t>
      </w:r>
      <w:r w:rsidRPr="00E86F55">
        <w:rPr>
          <w:rFonts w:cs="Arial"/>
          <w:sz w:val="22"/>
        </w:rPr>
        <w:t>prévues pour le PNDA :</w:t>
      </w:r>
      <w:r>
        <w:rPr>
          <w:rFonts w:cs="Arial"/>
          <w:sz w:val="22"/>
        </w:rPr>
        <w:t xml:space="preserve"> </w:t>
      </w:r>
    </w:p>
    <w:p w14:paraId="720AF031" w14:textId="77777777" w:rsidR="001C2F95" w:rsidRDefault="001C2F95" w:rsidP="001C2F95">
      <w:pPr>
        <w:spacing w:line="240" w:lineRule="auto"/>
        <w:jc w:val="left"/>
        <w:rPr>
          <w:rFonts w:cs="Arial"/>
          <w:sz w:val="22"/>
        </w:rPr>
      </w:pPr>
    </w:p>
    <w:p w14:paraId="28AD6D8E" w14:textId="77777777" w:rsidR="001C2F95" w:rsidRDefault="001C2F95" w:rsidP="001C2F95">
      <w:pPr>
        <w:spacing w:line="240" w:lineRule="auto"/>
        <w:jc w:val="left"/>
        <w:rPr>
          <w:rFonts w:cs="Arial"/>
          <w:i/>
          <w:color w:val="000000"/>
          <w:sz w:val="22"/>
        </w:rPr>
      </w:pPr>
      <w:r w:rsidRPr="00E86F55">
        <w:rPr>
          <w:rFonts w:cs="Arial"/>
          <w:i/>
          <w:color w:val="000000"/>
          <w:sz w:val="22"/>
        </w:rPr>
        <w:t>Comité Technique Préparatoire et de Suivi du PNDA </w:t>
      </w:r>
    </w:p>
    <w:p w14:paraId="2050ADD7" w14:textId="77777777" w:rsidR="001357AB" w:rsidRPr="00E86F55" w:rsidRDefault="001357AB" w:rsidP="001C2F95">
      <w:pPr>
        <w:spacing w:line="240" w:lineRule="auto"/>
        <w:jc w:val="left"/>
        <w:rPr>
          <w:rFonts w:cs="Arial"/>
          <w:i/>
          <w:color w:val="000000"/>
          <w:sz w:val="22"/>
        </w:rPr>
      </w:pPr>
    </w:p>
    <w:p w14:paraId="5229CEFF" w14:textId="77777777" w:rsidR="001C2F95" w:rsidRPr="00E86F55" w:rsidRDefault="001C2F95" w:rsidP="001C2F95">
      <w:pPr>
        <w:rPr>
          <w:rFonts w:cs="Arial"/>
          <w:sz w:val="22"/>
        </w:rPr>
      </w:pPr>
      <w:r w:rsidRPr="00E86F55">
        <w:rPr>
          <w:rFonts w:cs="Arial"/>
          <w:sz w:val="22"/>
        </w:rPr>
        <w:t>Le Comité Technique Préparatoire et de Suivi du PNDA, va assurer en collaboration avec l’UNCP/PARRSA</w:t>
      </w:r>
      <w:r>
        <w:rPr>
          <w:rFonts w:cs="Arial"/>
          <w:sz w:val="22"/>
        </w:rPr>
        <w:t>,</w:t>
      </w:r>
      <w:r w:rsidR="00EF43F1">
        <w:rPr>
          <w:rFonts w:cs="Arial"/>
          <w:sz w:val="22"/>
        </w:rPr>
        <w:t xml:space="preserve"> </w:t>
      </w:r>
      <w:r w:rsidRPr="00E86F55">
        <w:rPr>
          <w:rFonts w:cs="Arial"/>
          <w:sz w:val="22"/>
        </w:rPr>
        <w:t>veillera à l’inscription et à la budgétisation des diligences environnementales et sociales dans les Plans de Travail et Budget Annuels (PTBA). Il effectuera également des missions de supervision sur le terrain afin de vérifier la prise en compte des aspects environnementaux et sociaux</w:t>
      </w:r>
      <w:r>
        <w:rPr>
          <w:rFonts w:cs="Arial"/>
          <w:sz w:val="22"/>
        </w:rPr>
        <w:t>.</w:t>
      </w:r>
      <w:r w:rsidRPr="00E86F55">
        <w:rPr>
          <w:rFonts w:cs="Arial"/>
          <w:sz w:val="22"/>
        </w:rPr>
        <w:t xml:space="preserve"> </w:t>
      </w:r>
    </w:p>
    <w:p w14:paraId="28F6E7D4" w14:textId="77777777" w:rsidR="001C2F95" w:rsidRPr="00E86F55" w:rsidRDefault="001C2F95" w:rsidP="001C2F95">
      <w:pPr>
        <w:ind w:left="708"/>
        <w:rPr>
          <w:rFonts w:cs="Arial"/>
          <w:sz w:val="22"/>
        </w:rPr>
      </w:pPr>
    </w:p>
    <w:p w14:paraId="232865AB" w14:textId="77777777" w:rsidR="001C2F95" w:rsidRPr="00E86F55" w:rsidRDefault="001C2F95" w:rsidP="001C2F95">
      <w:pPr>
        <w:rPr>
          <w:rFonts w:cs="Arial"/>
          <w:i/>
          <w:color w:val="000000"/>
          <w:sz w:val="22"/>
        </w:rPr>
      </w:pPr>
      <w:r w:rsidRPr="00E86F55">
        <w:rPr>
          <w:rFonts w:cs="Arial"/>
          <w:i/>
          <w:color w:val="000000"/>
          <w:sz w:val="22"/>
        </w:rPr>
        <w:t xml:space="preserve">UNCP/PARRSA, </w:t>
      </w:r>
      <w:r>
        <w:rPr>
          <w:rFonts w:cs="Arial"/>
          <w:i/>
          <w:color w:val="000000"/>
          <w:sz w:val="22"/>
        </w:rPr>
        <w:t>UNCP</w:t>
      </w:r>
      <w:r w:rsidRPr="00E86F55">
        <w:rPr>
          <w:rFonts w:cs="Arial"/>
          <w:i/>
          <w:color w:val="000000"/>
          <w:sz w:val="22"/>
        </w:rPr>
        <w:t xml:space="preserve"> et la Cellule de Gestion des Projets et des Marchés Publics (C</w:t>
      </w:r>
      <w:r>
        <w:rPr>
          <w:rFonts w:cs="Arial"/>
          <w:i/>
          <w:color w:val="000000"/>
          <w:sz w:val="22"/>
        </w:rPr>
        <w:t>GP</w:t>
      </w:r>
      <w:r w:rsidRPr="00E86F55">
        <w:rPr>
          <w:rFonts w:cs="Arial"/>
          <w:i/>
          <w:color w:val="000000"/>
          <w:sz w:val="22"/>
        </w:rPr>
        <w:t>MP)</w:t>
      </w:r>
    </w:p>
    <w:p w14:paraId="5FD106B1" w14:textId="77777777" w:rsidR="001C2F95" w:rsidRPr="00E86F55" w:rsidRDefault="001C2F95" w:rsidP="001C2F95">
      <w:pPr>
        <w:tabs>
          <w:tab w:val="left" w:pos="2022"/>
        </w:tabs>
        <w:ind w:left="360"/>
        <w:rPr>
          <w:rFonts w:cs="Arial"/>
          <w:sz w:val="22"/>
        </w:rPr>
      </w:pPr>
      <w:r>
        <w:rPr>
          <w:rFonts w:cs="Arial"/>
          <w:sz w:val="22"/>
        </w:rPr>
        <w:tab/>
      </w:r>
    </w:p>
    <w:p w14:paraId="70FAAFA1" w14:textId="77777777" w:rsidR="001C2F95" w:rsidRPr="00E86F55" w:rsidRDefault="001C2F95" w:rsidP="001C2F95">
      <w:pPr>
        <w:rPr>
          <w:rFonts w:cs="Arial"/>
          <w:sz w:val="22"/>
        </w:rPr>
      </w:pPr>
      <w:r w:rsidRPr="00E86F55">
        <w:rPr>
          <w:rFonts w:cs="Arial"/>
          <w:sz w:val="22"/>
        </w:rPr>
        <w:t>Dans la phase de préparation et en attendant la mise en place des Coordinations de l’UNCP/PARRSA et l’</w:t>
      </w:r>
      <w:r>
        <w:rPr>
          <w:rFonts w:cs="Arial"/>
          <w:sz w:val="22"/>
        </w:rPr>
        <w:t>UNCP</w:t>
      </w:r>
      <w:r w:rsidRPr="00E86F55">
        <w:rPr>
          <w:rFonts w:cs="Arial"/>
          <w:sz w:val="22"/>
        </w:rPr>
        <w:t xml:space="preserve">, les </w:t>
      </w:r>
      <w:r>
        <w:rPr>
          <w:rFonts w:cs="Arial"/>
          <w:sz w:val="22"/>
        </w:rPr>
        <w:t xml:space="preserve">Coordinations </w:t>
      </w:r>
      <w:r w:rsidRPr="00E86F55">
        <w:rPr>
          <w:rFonts w:cs="Arial"/>
          <w:sz w:val="22"/>
        </w:rPr>
        <w:t>Provinc</w:t>
      </w:r>
      <w:r>
        <w:rPr>
          <w:rFonts w:cs="Arial"/>
          <w:sz w:val="22"/>
        </w:rPr>
        <w:t>ial</w:t>
      </w:r>
      <w:r w:rsidRPr="00E86F55">
        <w:rPr>
          <w:rFonts w:cs="Arial"/>
          <w:sz w:val="22"/>
        </w:rPr>
        <w:t>es</w:t>
      </w:r>
      <w:r>
        <w:rPr>
          <w:rFonts w:cs="Arial"/>
          <w:sz w:val="22"/>
        </w:rPr>
        <w:t xml:space="preserve"> du PNDA</w:t>
      </w:r>
      <w:r w:rsidRPr="00E86F55">
        <w:rPr>
          <w:rFonts w:cs="Arial"/>
          <w:sz w:val="22"/>
        </w:rPr>
        <w:t>, avec l’appui du CTPS va assurer la coordination du projet.</w:t>
      </w:r>
    </w:p>
    <w:p w14:paraId="5C30B2F1" w14:textId="77777777" w:rsidR="001C2F95" w:rsidRPr="00E86F55" w:rsidRDefault="001C2F95" w:rsidP="001C2F95">
      <w:pPr>
        <w:rPr>
          <w:rFonts w:cs="Arial"/>
          <w:sz w:val="22"/>
        </w:rPr>
      </w:pPr>
    </w:p>
    <w:p w14:paraId="534DA057" w14:textId="77777777" w:rsidR="001C2F95" w:rsidRPr="00E86F55" w:rsidRDefault="001C2F95" w:rsidP="001C2F95">
      <w:pPr>
        <w:rPr>
          <w:rFonts w:cs="Arial"/>
          <w:sz w:val="22"/>
        </w:rPr>
      </w:pPr>
      <w:r w:rsidRPr="00E86F55">
        <w:rPr>
          <w:rFonts w:cs="Arial"/>
          <w:sz w:val="22"/>
        </w:rPr>
        <w:t>L’</w:t>
      </w:r>
      <w:r>
        <w:rPr>
          <w:rFonts w:cs="Arial"/>
          <w:sz w:val="22"/>
        </w:rPr>
        <w:t>UNCP</w:t>
      </w:r>
      <w:r w:rsidRPr="00E86F55">
        <w:rPr>
          <w:rFonts w:cs="Arial"/>
          <w:sz w:val="22"/>
        </w:rPr>
        <w:t xml:space="preserve"> du PNDA garantira l’effectivité de la prise en compte des aspects et des enjeux environnementaux et sociaux dans l’exécution des activités du projet sur l’ensemble de l’aire géographique du projet. Elle aura la responsabilité globale de la mise en œuvre du présent CGES et des instruments et autres mesures de sauvegarde environnementale et sociale relatives au projet. Elle assure, la préparation desdits documents, l’obtention des certificats et permis requis par les réglementations nationales pertinentes avant toute action, etc. Elle rend compte au CTPS de toutes les diligences, et s’assure que la Banque Mondiale et les autres parties prenantes au projet reçoivent tous les rapports de suivi et surveillance E &amp; S. À cette fin, elle dispose d’</w:t>
      </w:r>
      <w:r>
        <w:rPr>
          <w:rFonts w:cs="Arial"/>
          <w:sz w:val="22"/>
        </w:rPr>
        <w:t xml:space="preserve">une </w:t>
      </w:r>
      <w:r w:rsidRPr="00E86F55">
        <w:rPr>
          <w:rFonts w:cs="Arial"/>
          <w:sz w:val="22"/>
        </w:rPr>
        <w:t xml:space="preserve">unité environnementale et sociale composée de </w:t>
      </w:r>
      <w:r>
        <w:rPr>
          <w:rFonts w:cs="Arial"/>
          <w:sz w:val="22"/>
        </w:rPr>
        <w:t>trois</w:t>
      </w:r>
      <w:r w:rsidRPr="00E86F55">
        <w:rPr>
          <w:rFonts w:cs="Arial"/>
          <w:sz w:val="22"/>
        </w:rPr>
        <w:t xml:space="preserve"> spécialistes qualifiés (</w:t>
      </w:r>
      <w:r>
        <w:rPr>
          <w:rFonts w:cs="Arial"/>
          <w:sz w:val="22"/>
        </w:rPr>
        <w:t>un</w:t>
      </w:r>
      <w:r w:rsidRPr="00E86F55">
        <w:rPr>
          <w:rFonts w:cs="Arial"/>
          <w:sz w:val="22"/>
        </w:rPr>
        <w:t xml:space="preserve"> Spécialiste en Sauvegarde Environnementale</w:t>
      </w:r>
      <w:r>
        <w:rPr>
          <w:rFonts w:cs="Arial"/>
          <w:sz w:val="22"/>
        </w:rPr>
        <w:t>,</w:t>
      </w:r>
      <w:r w:rsidRPr="00E86F55">
        <w:rPr>
          <w:rFonts w:cs="Arial"/>
          <w:sz w:val="22"/>
        </w:rPr>
        <w:t xml:space="preserve"> </w:t>
      </w:r>
      <w:r>
        <w:rPr>
          <w:rFonts w:cs="Arial"/>
          <w:sz w:val="22"/>
        </w:rPr>
        <w:t>un</w:t>
      </w:r>
      <w:r w:rsidRPr="00E86F55">
        <w:rPr>
          <w:rFonts w:cs="Arial"/>
          <w:sz w:val="22"/>
        </w:rPr>
        <w:t xml:space="preserve"> Spécialiste en Développement Social et un Spécialiste en VBG), dont les missions spécifiques sont résumées dans le tableau ci-dessus.</w:t>
      </w:r>
    </w:p>
    <w:p w14:paraId="640D0CCF" w14:textId="77777777" w:rsidR="001C2F95" w:rsidRPr="00E86F55" w:rsidRDefault="001C2F95" w:rsidP="001C2F95">
      <w:pPr>
        <w:rPr>
          <w:rFonts w:cs="Arial"/>
          <w:sz w:val="22"/>
        </w:rPr>
      </w:pPr>
    </w:p>
    <w:p w14:paraId="63B14DEB" w14:textId="77777777" w:rsidR="001C2F95" w:rsidRPr="00E86F55" w:rsidRDefault="001C2F95" w:rsidP="001C2F95">
      <w:pPr>
        <w:rPr>
          <w:rFonts w:cs="Arial"/>
          <w:sz w:val="22"/>
        </w:rPr>
      </w:pPr>
      <w:r w:rsidRPr="00E86F55">
        <w:rPr>
          <w:rFonts w:cs="Arial"/>
          <w:sz w:val="22"/>
        </w:rPr>
        <w:t>De même le projet recrutera</w:t>
      </w:r>
      <w:r>
        <w:rPr>
          <w:rFonts w:cs="Arial"/>
          <w:sz w:val="22"/>
        </w:rPr>
        <w:t xml:space="preserve"> </w:t>
      </w:r>
      <w:r w:rsidRPr="00E86F55">
        <w:rPr>
          <w:rFonts w:cs="Arial"/>
          <w:sz w:val="22"/>
        </w:rPr>
        <w:t>des consultants/bureaux d’études pour la réalisation d’ÉIES</w:t>
      </w:r>
      <w:r>
        <w:rPr>
          <w:rFonts w:cs="Arial"/>
          <w:sz w:val="22"/>
        </w:rPr>
        <w:t xml:space="preserve"> et/ou de PGES</w:t>
      </w:r>
      <w:r w:rsidRPr="00E86F55">
        <w:rPr>
          <w:rFonts w:cs="Arial"/>
          <w:sz w:val="22"/>
        </w:rPr>
        <w:t xml:space="preserve"> pour certains sous-projets du PNDA</w:t>
      </w:r>
      <w:r>
        <w:rPr>
          <w:rFonts w:cs="Arial"/>
          <w:sz w:val="22"/>
        </w:rPr>
        <w:t> :</w:t>
      </w:r>
      <w:r w:rsidRPr="00E86F55">
        <w:rPr>
          <w:rFonts w:cs="Arial"/>
          <w:sz w:val="22"/>
        </w:rPr>
        <w:t xml:space="preserve"> la sensibilisation, mobilisation et l’accompagnement social des populations ; la formation des acteurs en gestion environnementale et sociale ; le suivi/Évaluation de la mise en œuvre</w:t>
      </w:r>
      <w:r>
        <w:rPr>
          <w:rFonts w:cs="Arial"/>
          <w:sz w:val="22"/>
        </w:rPr>
        <w:t>, tout en tenant compte des aspects liés à l’EAS/HS</w:t>
      </w:r>
      <w:r w:rsidRPr="00E86F55">
        <w:rPr>
          <w:rFonts w:cs="Arial"/>
          <w:sz w:val="22"/>
        </w:rPr>
        <w:t xml:space="preserve">. </w:t>
      </w:r>
    </w:p>
    <w:p w14:paraId="24071FB7" w14:textId="77777777" w:rsidR="001C2F95" w:rsidRPr="00E86F55" w:rsidRDefault="001C2F95" w:rsidP="001C2F95">
      <w:pPr>
        <w:ind w:left="360"/>
        <w:rPr>
          <w:rFonts w:cs="Arial"/>
          <w:sz w:val="22"/>
        </w:rPr>
      </w:pPr>
    </w:p>
    <w:p w14:paraId="4058862C" w14:textId="77777777" w:rsidR="001C2F95" w:rsidRPr="00E86F55" w:rsidRDefault="001C2F95" w:rsidP="001C2F95">
      <w:pPr>
        <w:rPr>
          <w:rFonts w:cs="Arial"/>
          <w:sz w:val="22"/>
        </w:rPr>
      </w:pPr>
      <w:r w:rsidRPr="00E86F55">
        <w:rPr>
          <w:rFonts w:cs="Arial"/>
          <w:sz w:val="22"/>
        </w:rPr>
        <w:t>Dans la phase de préparation et en attendant la mise en place de l’U</w:t>
      </w:r>
      <w:r>
        <w:rPr>
          <w:rFonts w:cs="Arial"/>
          <w:sz w:val="22"/>
        </w:rPr>
        <w:t>NCP</w:t>
      </w:r>
      <w:r w:rsidRPr="00E86F55">
        <w:rPr>
          <w:rFonts w:cs="Arial"/>
          <w:sz w:val="22"/>
        </w:rPr>
        <w:t xml:space="preserve">, le CTPS du PNDA en collaboration avec l’UNCP/PARRSA assurera la diffusion du CGES et des éventuelles ÉIES. </w:t>
      </w:r>
    </w:p>
    <w:p w14:paraId="1F2025E5" w14:textId="77777777" w:rsidR="001C2F95" w:rsidRPr="00E86F55" w:rsidRDefault="001C2F95" w:rsidP="001C2F95">
      <w:pPr>
        <w:rPr>
          <w:rFonts w:cs="Arial"/>
          <w:sz w:val="22"/>
        </w:rPr>
      </w:pPr>
    </w:p>
    <w:p w14:paraId="2F5A88DA" w14:textId="77777777" w:rsidR="001C2F95" w:rsidRPr="00E86F55" w:rsidRDefault="001C2F95" w:rsidP="001C2F95">
      <w:pPr>
        <w:rPr>
          <w:rFonts w:cs="Arial"/>
          <w:color w:val="000000"/>
          <w:sz w:val="22"/>
        </w:rPr>
      </w:pPr>
      <w:r w:rsidRPr="00E86F55">
        <w:rPr>
          <w:rFonts w:cs="Arial"/>
          <w:i/>
          <w:color w:val="000000"/>
          <w:sz w:val="22"/>
        </w:rPr>
        <w:t>Agence Congolaise de l’Environnement  </w:t>
      </w:r>
    </w:p>
    <w:p w14:paraId="3F40D1B0" w14:textId="77777777" w:rsidR="001C2F95" w:rsidRPr="00E86F55" w:rsidRDefault="001C2F95" w:rsidP="001C2F95">
      <w:pPr>
        <w:ind w:left="360"/>
        <w:rPr>
          <w:rFonts w:cs="Arial"/>
          <w:i/>
          <w:color w:val="000000"/>
          <w:sz w:val="22"/>
        </w:rPr>
      </w:pPr>
    </w:p>
    <w:p w14:paraId="34B91325" w14:textId="77777777" w:rsidR="00EC539D" w:rsidRDefault="00EC539D" w:rsidP="00EC539D">
      <w:pPr>
        <w:spacing w:line="360" w:lineRule="auto"/>
      </w:pPr>
      <w:r>
        <w:rPr>
          <w:rFonts w:cs="Arial"/>
          <w:color w:val="000000"/>
          <w:sz w:val="22"/>
        </w:rPr>
        <w:t>Au cours de cette phase de préparation, l’Agence Congolaise de l’Environnement et le PNDA ont signé un protocole dont l</w:t>
      </w:r>
      <w:bookmarkStart w:id="615" w:name="_Hlk57971115"/>
      <w:r>
        <w:rPr>
          <w:rFonts w:cs="Arial"/>
          <w:color w:val="000000"/>
        </w:rPr>
        <w:t xml:space="preserve">'objectif principal est de veiller à la prise en compte des normes environnementales et sociales lors des ateliers de restitution des données collectées lors des ateliers de consultation du public sur les CGES, PGP, PEES CPR, CPPA, PMPP et PGMO. </w:t>
      </w:r>
    </w:p>
    <w:p w14:paraId="3B2053D9" w14:textId="77777777" w:rsidR="00EC539D" w:rsidRDefault="00EC539D" w:rsidP="00EC539D">
      <w:pPr>
        <w:spacing w:line="360" w:lineRule="auto"/>
        <w:rPr>
          <w:rFonts w:cs="Arial"/>
          <w:color w:val="000000"/>
          <w:sz w:val="22"/>
        </w:rPr>
      </w:pPr>
      <w:r>
        <w:rPr>
          <w:rFonts w:cs="Arial"/>
          <w:color w:val="000000"/>
        </w:rPr>
        <w:t xml:space="preserve">De manière spécifique, avait a pour objectifs de s’assurer de: (i) l’organisation des ateliers de restitution des rapports provisoires des documents de sauvegardes environnementale et sociale (CGES, PGP, PEES, CPR, CPPA, PMPP et PGMO) du PNDA par les firmes; (ii) la prise en compte des normes environnementales et sociales dans les documents de sauvegardes environnementale et sociale (CGES, PGP, PEES, CPR, CPPA, PMPP et PGMO) du PNDA  lors des ateliers de restitution des données collectées lors des ateliers de consultation du public ; et (iii) la participation des parties prenantes aux ateliers de restitution des rapports provisoires des documents de sauvegardes environnementale et sociale (CGES, PGP, PEES, CPR, CPPA, PMPP et PGMO). </w:t>
      </w:r>
      <w:bookmarkEnd w:id="615"/>
    </w:p>
    <w:p w14:paraId="623D8AC4" w14:textId="77777777" w:rsidR="001C2F95" w:rsidRDefault="00EC539D" w:rsidP="00EC539D">
      <w:pPr>
        <w:rPr>
          <w:rFonts w:cs="Arial"/>
          <w:sz w:val="22"/>
        </w:rPr>
      </w:pPr>
      <w:r>
        <w:rPr>
          <w:rFonts w:cs="Arial"/>
          <w:color w:val="000000"/>
          <w:sz w:val="22"/>
        </w:rPr>
        <w:t>Un second protocole sera signé pour la phase de mise en œuvre du programme ayant pour objet de valider les TDR et les études réalisées (EIES, NIES, PGES, PAR, PSR</w:t>
      </w:r>
      <w:r w:rsidR="00D662DC">
        <w:rPr>
          <w:rFonts w:cs="Arial"/>
          <w:color w:val="000000"/>
          <w:sz w:val="22"/>
        </w:rPr>
        <w:t>, etc.)</w:t>
      </w:r>
      <w:r>
        <w:rPr>
          <w:rFonts w:cs="Arial"/>
          <w:color w:val="000000"/>
          <w:sz w:val="22"/>
        </w:rPr>
        <w:t xml:space="preserve">, assurer </w:t>
      </w:r>
      <w:r w:rsidRPr="00E86F55">
        <w:rPr>
          <w:rFonts w:cs="Arial"/>
          <w:sz w:val="22"/>
        </w:rPr>
        <w:t>pour le compte</w:t>
      </w:r>
      <w:r>
        <w:rPr>
          <w:rFonts w:cs="Arial"/>
          <w:sz w:val="22"/>
        </w:rPr>
        <w:t xml:space="preserve"> du PNDA</w:t>
      </w:r>
      <w:r w:rsidR="00D662DC">
        <w:rPr>
          <w:rFonts w:cs="Arial"/>
          <w:sz w:val="22"/>
        </w:rPr>
        <w:t>,</w:t>
      </w:r>
      <w:r w:rsidRPr="00E86F55">
        <w:rPr>
          <w:rFonts w:cs="Arial"/>
          <w:sz w:val="22"/>
        </w:rPr>
        <w:t xml:space="preserve"> </w:t>
      </w:r>
      <w:r>
        <w:rPr>
          <w:rFonts w:cs="Arial"/>
          <w:color w:val="000000"/>
          <w:sz w:val="22"/>
        </w:rPr>
        <w:t xml:space="preserve">le suivi environnemental et social, organiser des missions d’audit environnemental et social le cas échéant, </w:t>
      </w:r>
      <w:r w:rsidR="001C2F95" w:rsidRPr="00E86F55">
        <w:rPr>
          <w:rFonts w:cs="Arial"/>
          <w:sz w:val="22"/>
        </w:rPr>
        <w:t>valider les documents de sauvegardes environnementale et sociale produits par les consultants</w:t>
      </w:r>
      <w:r w:rsidR="00D662DC">
        <w:rPr>
          <w:rFonts w:cs="Arial"/>
          <w:sz w:val="22"/>
        </w:rPr>
        <w:t>.</w:t>
      </w:r>
    </w:p>
    <w:p w14:paraId="6E01605C" w14:textId="77777777" w:rsidR="00EC539D" w:rsidRPr="00E86F55" w:rsidRDefault="00EC539D" w:rsidP="001C2F95">
      <w:pPr>
        <w:rPr>
          <w:rFonts w:cs="Arial"/>
          <w:color w:val="000000"/>
          <w:sz w:val="22"/>
        </w:rPr>
      </w:pPr>
    </w:p>
    <w:p w14:paraId="45DA9D7C" w14:textId="77777777" w:rsidR="001C2F95" w:rsidRPr="00E86F55" w:rsidRDefault="001C2F95" w:rsidP="001C2F95">
      <w:pPr>
        <w:spacing w:line="240" w:lineRule="auto"/>
        <w:jc w:val="left"/>
        <w:rPr>
          <w:rFonts w:cs="Arial"/>
          <w:i/>
          <w:color w:val="000000"/>
          <w:sz w:val="22"/>
        </w:rPr>
      </w:pPr>
      <w:r w:rsidRPr="00E86F55">
        <w:rPr>
          <w:rFonts w:cs="Arial"/>
          <w:i/>
          <w:color w:val="000000"/>
          <w:sz w:val="22"/>
        </w:rPr>
        <w:t xml:space="preserve">Coordinations Provinciales </w:t>
      </w:r>
      <w:r>
        <w:rPr>
          <w:rFonts w:cs="Arial"/>
          <w:i/>
          <w:color w:val="000000"/>
          <w:sz w:val="22"/>
        </w:rPr>
        <w:t>de</w:t>
      </w:r>
      <w:r w:rsidRPr="00E86F55">
        <w:rPr>
          <w:rFonts w:cs="Arial"/>
          <w:i/>
          <w:color w:val="000000"/>
          <w:sz w:val="22"/>
        </w:rPr>
        <w:t xml:space="preserve"> l’Environnement  </w:t>
      </w:r>
    </w:p>
    <w:p w14:paraId="6ED885D2" w14:textId="77777777" w:rsidR="001C2F95" w:rsidRPr="00E86F55" w:rsidRDefault="001C2F95" w:rsidP="001C2F95">
      <w:pPr>
        <w:rPr>
          <w:rFonts w:cs="Arial"/>
          <w:i/>
          <w:color w:val="000000"/>
          <w:sz w:val="22"/>
        </w:rPr>
      </w:pPr>
    </w:p>
    <w:p w14:paraId="0392B916" w14:textId="77777777" w:rsidR="001C2F95" w:rsidRPr="00E86F55" w:rsidRDefault="001C2F95" w:rsidP="001C2F95">
      <w:pPr>
        <w:rPr>
          <w:rFonts w:cs="Arial"/>
          <w:i/>
          <w:color w:val="000000"/>
          <w:sz w:val="22"/>
        </w:rPr>
      </w:pPr>
      <w:r w:rsidRPr="00E86F55">
        <w:rPr>
          <w:rFonts w:cs="Arial"/>
          <w:color w:val="000000"/>
          <w:sz w:val="22"/>
        </w:rPr>
        <w:t>Elles vont appuyer les Provinces où l’ACE n’est pas encore implanté</w:t>
      </w:r>
      <w:r w:rsidRPr="00E86F55">
        <w:rPr>
          <w:rFonts w:cs="Arial"/>
          <w:sz w:val="22"/>
        </w:rPr>
        <w:t>, avec l’appui du PNDA (phase de préparation) puis de l’U</w:t>
      </w:r>
      <w:r>
        <w:rPr>
          <w:rFonts w:cs="Arial"/>
          <w:sz w:val="22"/>
        </w:rPr>
        <w:t>NCP</w:t>
      </w:r>
      <w:r w:rsidRPr="00E86F55">
        <w:rPr>
          <w:rFonts w:cs="Arial"/>
          <w:sz w:val="22"/>
        </w:rPr>
        <w:t xml:space="preserve"> (phase de mise en œuvre), </w:t>
      </w:r>
      <w:r w:rsidRPr="00E86F55">
        <w:rPr>
          <w:rFonts w:cs="Arial"/>
          <w:color w:val="000000"/>
          <w:sz w:val="22"/>
        </w:rPr>
        <w:t>dans la classification des sous-projets et vont intervenir dans le suivi de la mise en œuvre des sous-projets.</w:t>
      </w:r>
    </w:p>
    <w:p w14:paraId="2ED334C5" w14:textId="77777777" w:rsidR="001357AB" w:rsidRDefault="001357AB" w:rsidP="001C2F95">
      <w:pPr>
        <w:rPr>
          <w:rFonts w:cs="Arial"/>
          <w:color w:val="000000"/>
          <w:sz w:val="22"/>
        </w:rPr>
      </w:pPr>
    </w:p>
    <w:p w14:paraId="779C30BF" w14:textId="77777777" w:rsidR="001C2F95" w:rsidRPr="00E86F55" w:rsidRDefault="001C2F95" w:rsidP="001C2F95">
      <w:pPr>
        <w:rPr>
          <w:rFonts w:cs="Arial"/>
          <w:color w:val="000000"/>
          <w:sz w:val="22"/>
        </w:rPr>
      </w:pPr>
      <w:r w:rsidRPr="00E86F55">
        <w:rPr>
          <w:rFonts w:cs="Arial"/>
          <w:color w:val="000000"/>
          <w:sz w:val="22"/>
        </w:rPr>
        <w:t>Les autres institutions impliquées dans la mise en œuvre du PNDA :</w:t>
      </w:r>
    </w:p>
    <w:p w14:paraId="3E06FEA8" w14:textId="77777777" w:rsidR="001C2F95" w:rsidRPr="00E86F55" w:rsidRDefault="001C2F95" w:rsidP="001C2F95">
      <w:pPr>
        <w:rPr>
          <w:rFonts w:cs="Arial"/>
          <w:color w:val="000000"/>
          <w:sz w:val="22"/>
        </w:rPr>
      </w:pPr>
    </w:p>
    <w:p w14:paraId="2D6442D5" w14:textId="77777777" w:rsidR="001C2F95" w:rsidRPr="00E86F55" w:rsidRDefault="001C2F95" w:rsidP="002378EA">
      <w:pPr>
        <w:numPr>
          <w:ilvl w:val="0"/>
          <w:numId w:val="51"/>
        </w:numPr>
        <w:rPr>
          <w:rFonts w:cs="Arial"/>
          <w:sz w:val="22"/>
        </w:rPr>
      </w:pPr>
      <w:r w:rsidRPr="00E86F55">
        <w:rPr>
          <w:rFonts w:cs="Arial"/>
          <w:sz w:val="22"/>
        </w:rPr>
        <w:t>l’Institut Congolais pour la Conservation de la Nature : Il assurera le suivi externe de la faune et des aires protégées</w:t>
      </w:r>
      <w:r>
        <w:rPr>
          <w:rFonts w:cs="Arial"/>
          <w:sz w:val="22"/>
        </w:rPr>
        <w:t xml:space="preserve"> </w:t>
      </w:r>
      <w:r w:rsidRPr="00E86F55">
        <w:rPr>
          <w:rFonts w:cs="Arial"/>
          <w:sz w:val="22"/>
        </w:rPr>
        <w:t xml:space="preserve">; </w:t>
      </w:r>
    </w:p>
    <w:p w14:paraId="7A64AA03" w14:textId="77777777" w:rsidR="001C2F95" w:rsidRPr="002529AB" w:rsidRDefault="001C2F95" w:rsidP="002378EA">
      <w:pPr>
        <w:numPr>
          <w:ilvl w:val="0"/>
          <w:numId w:val="51"/>
        </w:numPr>
        <w:rPr>
          <w:rFonts w:cs="Arial"/>
          <w:sz w:val="22"/>
        </w:rPr>
      </w:pPr>
      <w:r w:rsidRPr="00E86F55">
        <w:rPr>
          <w:rFonts w:cs="Arial"/>
          <w:sz w:val="22"/>
        </w:rPr>
        <w:t>la Direction de la Conservation de la Nature :</w:t>
      </w:r>
      <w:r w:rsidRPr="002529AB">
        <w:rPr>
          <w:rFonts w:cs="Arial"/>
          <w:sz w:val="22"/>
        </w:rPr>
        <w:t xml:space="preserve"> </w:t>
      </w:r>
      <w:r>
        <w:rPr>
          <w:rFonts w:cs="Arial"/>
          <w:sz w:val="22"/>
        </w:rPr>
        <w:t>elle effectuera le suivi de la pérennisation des</w:t>
      </w:r>
      <w:r w:rsidRPr="002529AB">
        <w:rPr>
          <w:rFonts w:cs="Arial"/>
          <w:sz w:val="22"/>
        </w:rPr>
        <w:t xml:space="preserve"> ressources fauniques dans les zones libres, les domaines et réserves de chasse. Assurer une bonne gestion durable des ressources fauniques</w:t>
      </w:r>
      <w:r>
        <w:rPr>
          <w:rFonts w:cs="Arial"/>
          <w:sz w:val="22"/>
        </w:rPr>
        <w:t> ;</w:t>
      </w:r>
    </w:p>
    <w:p w14:paraId="02DB1D9E" w14:textId="77777777" w:rsidR="001C2F95" w:rsidRPr="00E86F55" w:rsidRDefault="001C2F95" w:rsidP="002378EA">
      <w:pPr>
        <w:numPr>
          <w:ilvl w:val="0"/>
          <w:numId w:val="51"/>
        </w:numPr>
        <w:rPr>
          <w:rFonts w:cs="Arial"/>
          <w:sz w:val="22"/>
        </w:rPr>
      </w:pPr>
      <w:r>
        <w:rPr>
          <w:rFonts w:cs="Arial"/>
          <w:sz w:val="22"/>
        </w:rPr>
        <w:t>l’Office</w:t>
      </w:r>
      <w:r w:rsidRPr="00E86F55">
        <w:rPr>
          <w:rFonts w:cs="Arial"/>
          <w:sz w:val="22"/>
        </w:rPr>
        <w:t xml:space="preserve"> des Voies de Desserte Agricole </w:t>
      </w:r>
      <w:r>
        <w:rPr>
          <w:rFonts w:cs="Arial"/>
          <w:sz w:val="22"/>
        </w:rPr>
        <w:t xml:space="preserve">(OVDA) </w:t>
      </w:r>
      <w:r w:rsidRPr="00E86F55">
        <w:rPr>
          <w:rFonts w:cs="Arial"/>
          <w:sz w:val="22"/>
        </w:rPr>
        <w:t xml:space="preserve">: Elle s’occupera du suivi des </w:t>
      </w:r>
      <w:r>
        <w:rPr>
          <w:rFonts w:cs="Arial"/>
          <w:sz w:val="22"/>
        </w:rPr>
        <w:t>routes</w:t>
      </w:r>
      <w:r w:rsidRPr="00E86F55">
        <w:rPr>
          <w:rFonts w:cs="Arial"/>
          <w:sz w:val="22"/>
        </w:rPr>
        <w:t xml:space="preserve"> rurales</w:t>
      </w:r>
      <w:r>
        <w:rPr>
          <w:rFonts w:cs="Arial"/>
          <w:sz w:val="22"/>
        </w:rPr>
        <w:t> ;</w:t>
      </w:r>
    </w:p>
    <w:p w14:paraId="2B0BF8DD" w14:textId="77777777" w:rsidR="001C2F95" w:rsidRDefault="001C2F95" w:rsidP="002378EA">
      <w:pPr>
        <w:numPr>
          <w:ilvl w:val="0"/>
          <w:numId w:val="51"/>
        </w:numPr>
        <w:rPr>
          <w:rFonts w:cs="Arial"/>
          <w:sz w:val="22"/>
        </w:rPr>
      </w:pPr>
      <w:r w:rsidRPr="00E86F55">
        <w:rPr>
          <w:rFonts w:cs="Arial"/>
          <w:sz w:val="22"/>
        </w:rPr>
        <w:t>le Service National de l’Hydraulique Rurale : Il suivra la qualité des ressources en eau</w:t>
      </w:r>
      <w:r>
        <w:rPr>
          <w:rFonts w:cs="Arial"/>
          <w:sz w:val="22"/>
        </w:rPr>
        <w:t> ;</w:t>
      </w:r>
    </w:p>
    <w:p w14:paraId="0556EE30" w14:textId="77777777" w:rsidR="001C2F95" w:rsidRPr="00E86F55" w:rsidRDefault="001C2F95" w:rsidP="002378EA">
      <w:pPr>
        <w:numPr>
          <w:ilvl w:val="0"/>
          <w:numId w:val="51"/>
        </w:numPr>
        <w:rPr>
          <w:rFonts w:cs="Arial"/>
          <w:sz w:val="22"/>
        </w:rPr>
      </w:pPr>
      <w:r w:rsidRPr="007F6CCA">
        <w:rPr>
          <w:rFonts w:cs="Arial"/>
          <w:sz w:val="22"/>
        </w:rPr>
        <w:t>la Régie de Voie Fluviales (RVF) : suivi des infrastructures portuaires</w:t>
      </w:r>
      <w:r>
        <w:rPr>
          <w:rFonts w:cs="Arial"/>
          <w:sz w:val="22"/>
        </w:rPr>
        <w:t> ;</w:t>
      </w:r>
    </w:p>
    <w:p w14:paraId="72FC5EE2" w14:textId="77777777" w:rsidR="001C2F95" w:rsidRPr="00E86F55" w:rsidRDefault="001C2F95" w:rsidP="002378EA">
      <w:pPr>
        <w:numPr>
          <w:ilvl w:val="0"/>
          <w:numId w:val="51"/>
        </w:numPr>
        <w:rPr>
          <w:rFonts w:cs="Arial"/>
          <w:sz w:val="22"/>
        </w:rPr>
      </w:pPr>
      <w:r w:rsidRPr="00E86F55">
        <w:rPr>
          <w:rFonts w:cs="Arial"/>
          <w:sz w:val="22"/>
        </w:rPr>
        <w:t xml:space="preserve">les Collectivités locales : elles participeront au suivi environnemental et </w:t>
      </w:r>
      <w:r w:rsidR="00D662DC" w:rsidRPr="00E86F55">
        <w:rPr>
          <w:rFonts w:cs="Arial"/>
          <w:sz w:val="22"/>
        </w:rPr>
        <w:t>social</w:t>
      </w:r>
      <w:r w:rsidRPr="00E86F55">
        <w:rPr>
          <w:rFonts w:cs="Arial"/>
          <w:sz w:val="22"/>
        </w:rPr>
        <w:t xml:space="preserve"> à travers leurs services techniques municipaux ;  </w:t>
      </w:r>
    </w:p>
    <w:p w14:paraId="56D0EDD3" w14:textId="77777777" w:rsidR="001C2F95" w:rsidRPr="00E86F55" w:rsidRDefault="001C2F95" w:rsidP="002378EA">
      <w:pPr>
        <w:numPr>
          <w:ilvl w:val="0"/>
          <w:numId w:val="51"/>
        </w:numPr>
        <w:rPr>
          <w:rFonts w:cs="Arial"/>
          <w:sz w:val="22"/>
        </w:rPr>
      </w:pPr>
      <w:r w:rsidRPr="00E86F55">
        <w:rPr>
          <w:rFonts w:cs="Arial"/>
          <w:sz w:val="22"/>
        </w:rPr>
        <w:t xml:space="preserve">les Entreprises des travaux : elles ont pour responsabilité à travers leurs Experts en Environnement, la mise en œuvre des PGES et la rédaction des rapports de mise en œuvre desdits PGES ; </w:t>
      </w:r>
    </w:p>
    <w:p w14:paraId="28409CE2" w14:textId="77777777" w:rsidR="001C2F95" w:rsidRPr="00E86F55" w:rsidRDefault="001C2F95" w:rsidP="002378EA">
      <w:pPr>
        <w:numPr>
          <w:ilvl w:val="0"/>
          <w:numId w:val="51"/>
        </w:numPr>
        <w:rPr>
          <w:rFonts w:cs="Arial"/>
          <w:sz w:val="22"/>
        </w:rPr>
      </w:pPr>
      <w:r w:rsidRPr="00E86F55">
        <w:rPr>
          <w:rFonts w:cs="Arial"/>
          <w:sz w:val="22"/>
        </w:rPr>
        <w:t>les Bureaux de Contrôle : ayant en leur sein un Expert en Environnement, celui-ci est chargé du suivi au quotidien de la mise en œuvre du PGES et l’élaboration du rapport de suivi environnemental et social à transmettre à l’</w:t>
      </w:r>
      <w:r>
        <w:rPr>
          <w:rFonts w:cs="Arial"/>
          <w:sz w:val="22"/>
        </w:rPr>
        <w:t>UNCP</w:t>
      </w:r>
      <w:r w:rsidRPr="00E86F55">
        <w:rPr>
          <w:rFonts w:cs="Arial"/>
          <w:sz w:val="22"/>
        </w:rPr>
        <w:t>/PNDA ;</w:t>
      </w:r>
    </w:p>
    <w:p w14:paraId="51CF4CC9" w14:textId="77777777" w:rsidR="001C2F95" w:rsidRPr="00E86F55" w:rsidRDefault="001C2F95" w:rsidP="002378EA">
      <w:pPr>
        <w:numPr>
          <w:ilvl w:val="0"/>
          <w:numId w:val="51"/>
        </w:numPr>
        <w:rPr>
          <w:rFonts w:cs="Arial"/>
          <w:sz w:val="22"/>
        </w:rPr>
      </w:pPr>
      <w:r w:rsidRPr="00E86F55">
        <w:rPr>
          <w:rFonts w:cs="Arial"/>
          <w:sz w:val="22"/>
        </w:rPr>
        <w:t>les ONG de la Société Civile du secteur agricole</w:t>
      </w:r>
      <w:r>
        <w:rPr>
          <w:rFonts w:cs="Arial"/>
          <w:sz w:val="22"/>
        </w:rPr>
        <w:t xml:space="preserve">, </w:t>
      </w:r>
      <w:r w:rsidRPr="00E86F55">
        <w:rPr>
          <w:rFonts w:cs="Arial"/>
          <w:sz w:val="22"/>
        </w:rPr>
        <w:t xml:space="preserve">y compris celles de </w:t>
      </w:r>
      <w:r>
        <w:rPr>
          <w:rFonts w:cs="Arial"/>
          <w:sz w:val="22"/>
        </w:rPr>
        <w:t>prévention et réponse aux</w:t>
      </w:r>
      <w:r w:rsidRPr="00E86F55">
        <w:rPr>
          <w:rFonts w:cs="Arial"/>
          <w:sz w:val="22"/>
        </w:rPr>
        <w:t xml:space="preserve"> VBG et COVID-19 : en plus de la mobilisation sociale, elles participeront à la sensibilisation des populations et au suivi de la mise en œuvre des PGES à travers l’interpellation des principaux acteurs du PNDA.</w:t>
      </w:r>
    </w:p>
    <w:p w14:paraId="18C1AE30" w14:textId="77777777" w:rsidR="001C2F95" w:rsidRPr="00E86F55" w:rsidRDefault="001C2F95" w:rsidP="001C2F95">
      <w:pPr>
        <w:rPr>
          <w:rFonts w:cs="Arial"/>
          <w:sz w:val="22"/>
        </w:rPr>
      </w:pPr>
    </w:p>
    <w:p w14:paraId="594421E1" w14:textId="77777777" w:rsidR="001C2F95" w:rsidRPr="00E86F55" w:rsidRDefault="001C2F95" w:rsidP="001C2F95">
      <w:pPr>
        <w:tabs>
          <w:tab w:val="left" w:pos="426"/>
        </w:tabs>
        <w:contextualSpacing/>
        <w:rPr>
          <w:rFonts w:cs="Arial"/>
          <w:i/>
          <w:sz w:val="22"/>
        </w:rPr>
      </w:pPr>
      <w:r w:rsidRPr="00E86F55">
        <w:rPr>
          <w:rFonts w:cs="Arial"/>
          <w:i/>
          <w:sz w:val="22"/>
        </w:rPr>
        <w:t>Rôles et responsabilités pour la mise en œuvre des mesures de gestion environnementales et sociales</w:t>
      </w:r>
    </w:p>
    <w:p w14:paraId="25D4A8A7" w14:textId="77777777" w:rsidR="001C2F95" w:rsidRPr="00E86F55" w:rsidRDefault="001C2F95" w:rsidP="001C2F95">
      <w:pPr>
        <w:pStyle w:val="Paragraphedeliste"/>
        <w:rPr>
          <w:rFonts w:cs="Arial"/>
          <w:sz w:val="22"/>
        </w:rPr>
      </w:pPr>
    </w:p>
    <w:p w14:paraId="6A56E86E" w14:textId="77777777" w:rsidR="001C2F95" w:rsidRPr="00E86F55" w:rsidRDefault="001C2F95" w:rsidP="002378EA">
      <w:pPr>
        <w:pStyle w:val="Paragraphedeliste"/>
        <w:numPr>
          <w:ilvl w:val="0"/>
          <w:numId w:val="26"/>
        </w:numPr>
        <w:rPr>
          <w:rFonts w:cs="Arial"/>
          <w:sz w:val="22"/>
        </w:rPr>
      </w:pPr>
      <w:r w:rsidRPr="00E86F55">
        <w:rPr>
          <w:rFonts w:cs="Arial"/>
          <w:i/>
          <w:sz w:val="22"/>
        </w:rPr>
        <w:t>Le Comité technique préparatoire et de suivi</w:t>
      </w:r>
      <w:r>
        <w:rPr>
          <w:rFonts w:cs="Arial"/>
          <w:sz w:val="22"/>
        </w:rPr>
        <w:t xml:space="preserve"> </w:t>
      </w:r>
      <w:r w:rsidRPr="00E86F55">
        <w:rPr>
          <w:rFonts w:cs="Arial"/>
          <w:sz w:val="22"/>
        </w:rPr>
        <w:t>est responsable</w:t>
      </w:r>
      <w:r>
        <w:rPr>
          <w:rFonts w:cs="Arial"/>
          <w:sz w:val="22"/>
        </w:rPr>
        <w:t xml:space="preserve"> </w:t>
      </w:r>
      <w:r w:rsidRPr="00E86F55">
        <w:rPr>
          <w:rFonts w:cs="Arial"/>
          <w:sz w:val="22"/>
        </w:rPr>
        <w:t>de la procédure d’approbation de la catégorisation pendant la phase de préparation du Projet sous financement PPA. Il coordonne la diffusion des rapports avec l’UNCP/PARRSA. En phase de mise en œuvre du Projet, cette fonction d’approbation de la catégorisation sera assurée par le Coordonnateur de l’</w:t>
      </w:r>
      <w:r>
        <w:rPr>
          <w:rFonts w:cs="Arial"/>
          <w:sz w:val="22"/>
        </w:rPr>
        <w:t>UNCP</w:t>
      </w:r>
      <w:r w:rsidRPr="00E86F55">
        <w:rPr>
          <w:rFonts w:cs="Arial"/>
          <w:sz w:val="22"/>
        </w:rPr>
        <w:t>/PNDA.</w:t>
      </w:r>
    </w:p>
    <w:p w14:paraId="231FB508" w14:textId="77777777" w:rsidR="001C2F95" w:rsidRPr="00E86F55" w:rsidRDefault="001C2F95" w:rsidP="001C2F95">
      <w:pPr>
        <w:ind w:left="720"/>
        <w:rPr>
          <w:rFonts w:cs="Arial"/>
          <w:color w:val="000000"/>
          <w:sz w:val="22"/>
        </w:rPr>
      </w:pPr>
    </w:p>
    <w:p w14:paraId="1270AB0E" w14:textId="77777777" w:rsidR="001C2F95" w:rsidRPr="00E86F55" w:rsidRDefault="001C2F95" w:rsidP="002378EA">
      <w:pPr>
        <w:numPr>
          <w:ilvl w:val="0"/>
          <w:numId w:val="26"/>
        </w:numPr>
        <w:rPr>
          <w:rFonts w:cs="Arial"/>
          <w:color w:val="000000"/>
          <w:sz w:val="22"/>
        </w:rPr>
      </w:pPr>
      <w:r w:rsidRPr="00E86F55">
        <w:rPr>
          <w:rFonts w:cs="Arial"/>
          <w:i/>
          <w:color w:val="000000"/>
          <w:sz w:val="22"/>
        </w:rPr>
        <w:t xml:space="preserve">Le Spécialiste </w:t>
      </w:r>
      <w:r>
        <w:rPr>
          <w:rFonts w:cs="Arial"/>
          <w:i/>
          <w:color w:val="000000"/>
          <w:sz w:val="22"/>
        </w:rPr>
        <w:t xml:space="preserve">en </w:t>
      </w:r>
      <w:r w:rsidRPr="00E86F55">
        <w:rPr>
          <w:rFonts w:cs="Arial"/>
          <w:i/>
          <w:color w:val="000000"/>
          <w:sz w:val="22"/>
        </w:rPr>
        <w:t xml:space="preserve">Sauvegarde Environnementale et le Spécialiste en </w:t>
      </w:r>
      <w:r>
        <w:rPr>
          <w:rFonts w:cs="Arial"/>
          <w:i/>
          <w:color w:val="000000"/>
          <w:sz w:val="22"/>
        </w:rPr>
        <w:t>Sauvegarde</w:t>
      </w:r>
      <w:r w:rsidRPr="00E86F55">
        <w:rPr>
          <w:rFonts w:cs="Arial"/>
          <w:i/>
          <w:color w:val="000000"/>
          <w:sz w:val="22"/>
        </w:rPr>
        <w:t xml:space="preserve"> Social</w:t>
      </w:r>
      <w:r>
        <w:rPr>
          <w:rFonts w:cs="Arial"/>
          <w:i/>
          <w:color w:val="000000"/>
          <w:sz w:val="22"/>
        </w:rPr>
        <w:t>e</w:t>
      </w:r>
      <w:r w:rsidRPr="00E86F55">
        <w:rPr>
          <w:rFonts w:cs="Arial"/>
          <w:i/>
          <w:color w:val="000000"/>
          <w:sz w:val="22"/>
        </w:rPr>
        <w:t xml:space="preserve"> ainsi que le </w:t>
      </w:r>
      <w:r>
        <w:rPr>
          <w:rFonts w:cs="Arial"/>
          <w:i/>
          <w:color w:val="000000"/>
          <w:sz w:val="22"/>
        </w:rPr>
        <w:t>S</w:t>
      </w:r>
      <w:r w:rsidRPr="00E86F55">
        <w:rPr>
          <w:rFonts w:cs="Arial"/>
          <w:i/>
          <w:color w:val="000000"/>
          <w:sz w:val="22"/>
        </w:rPr>
        <w:t>pécialiste en VBG</w:t>
      </w:r>
      <w:r w:rsidRPr="00E86F55">
        <w:rPr>
          <w:rFonts w:cs="Arial"/>
          <w:color w:val="000000"/>
          <w:sz w:val="22"/>
        </w:rPr>
        <w:t> </w:t>
      </w:r>
      <w:r w:rsidRPr="00E86F55">
        <w:rPr>
          <w:rFonts w:cs="Arial"/>
          <w:i/>
          <w:color w:val="000000"/>
          <w:sz w:val="22"/>
        </w:rPr>
        <w:t xml:space="preserve"> en phase de préparation</w:t>
      </w:r>
      <w:r>
        <w:rPr>
          <w:rFonts w:cs="Arial"/>
          <w:i/>
          <w:color w:val="000000"/>
          <w:sz w:val="22"/>
        </w:rPr>
        <w:t xml:space="preserve"> </w:t>
      </w:r>
      <w:r w:rsidRPr="00E86F55">
        <w:rPr>
          <w:rFonts w:cs="Arial"/>
          <w:i/>
          <w:color w:val="000000"/>
          <w:sz w:val="22"/>
        </w:rPr>
        <w:t>vont</w:t>
      </w:r>
      <w:r w:rsidRPr="00E86F55">
        <w:rPr>
          <w:rFonts w:cs="Arial"/>
          <w:sz w:val="22"/>
        </w:rPr>
        <w:t xml:space="preserve"> s’assurer de la mise en œuvre de toutes les mesures de sauvegardes environnementale et sociale pendant la durée du Projet : </w:t>
      </w:r>
      <w:r w:rsidRPr="00E86F55">
        <w:rPr>
          <w:rFonts w:cs="Arial"/>
          <w:i/>
          <w:sz w:val="22"/>
        </w:rPr>
        <w:t>(i)</w:t>
      </w:r>
      <w:r w:rsidRPr="00E86F55">
        <w:rPr>
          <w:rFonts w:cs="Arial"/>
          <w:sz w:val="22"/>
        </w:rPr>
        <w:t xml:space="preserve"> ils rempliront les fiches de sélection environnementale et procéderont à la détermination des catégories environnementales appropriées, avec l’appui de la Banque Mondiale ; </w:t>
      </w:r>
      <w:r w:rsidRPr="00E86F55">
        <w:rPr>
          <w:rFonts w:cs="Arial"/>
          <w:i/>
          <w:sz w:val="22"/>
        </w:rPr>
        <w:t>(ii)</w:t>
      </w:r>
      <w:r w:rsidRPr="00E86F55">
        <w:rPr>
          <w:rFonts w:cs="Arial"/>
          <w:sz w:val="22"/>
        </w:rPr>
        <w:t xml:space="preserve"> Ils effectueront également le choix des mesures d’atténuation appropriées en cas de non-nécessité d’élaborer des PGES pour les sous-projets ; </w:t>
      </w:r>
      <w:r w:rsidRPr="00E86F55">
        <w:rPr>
          <w:rFonts w:cs="Arial"/>
          <w:i/>
          <w:sz w:val="22"/>
        </w:rPr>
        <w:t>(iii)</w:t>
      </w:r>
      <w:r w:rsidRPr="00E86F55">
        <w:rPr>
          <w:rFonts w:cs="Arial"/>
          <w:sz w:val="22"/>
        </w:rPr>
        <w:t xml:space="preserve"> ils assureront aussi la coordination du suivi des aspects environnementaux et sociaux</w:t>
      </w:r>
      <w:r>
        <w:rPr>
          <w:rFonts w:cs="Arial"/>
          <w:sz w:val="22"/>
        </w:rPr>
        <w:t>,</w:t>
      </w:r>
      <w:r w:rsidRPr="00E86F55">
        <w:rPr>
          <w:rFonts w:cs="Arial"/>
          <w:sz w:val="22"/>
        </w:rPr>
        <w:t xml:space="preserve"> y compris des risques d</w:t>
      </w:r>
      <w:r>
        <w:rPr>
          <w:rFonts w:cs="Arial"/>
          <w:sz w:val="22"/>
        </w:rPr>
        <w:t>’</w:t>
      </w:r>
      <w:r w:rsidRPr="00E86F55">
        <w:rPr>
          <w:rFonts w:cs="Arial"/>
          <w:sz w:val="22"/>
        </w:rPr>
        <w:t>EAS/HS et de COVID-19, ainsi que de l’audit de conformité du Projet avec les mesures environnementales et sociales proposées.</w:t>
      </w:r>
    </w:p>
    <w:p w14:paraId="075F05F1" w14:textId="77777777" w:rsidR="001C2F95" w:rsidRPr="00E86F55" w:rsidRDefault="001C2F95" w:rsidP="001C2F95">
      <w:pPr>
        <w:ind w:left="720"/>
        <w:rPr>
          <w:rFonts w:cs="Arial"/>
          <w:color w:val="000000"/>
          <w:sz w:val="22"/>
        </w:rPr>
      </w:pPr>
    </w:p>
    <w:p w14:paraId="63739776" w14:textId="77777777" w:rsidR="001C2F95" w:rsidRPr="00E86F55" w:rsidRDefault="001C2F95" w:rsidP="002378EA">
      <w:pPr>
        <w:numPr>
          <w:ilvl w:val="0"/>
          <w:numId w:val="26"/>
        </w:numPr>
        <w:rPr>
          <w:rFonts w:cs="Arial"/>
          <w:color w:val="000000"/>
          <w:sz w:val="22"/>
        </w:rPr>
      </w:pPr>
      <w:r>
        <w:rPr>
          <w:rFonts w:cs="Arial"/>
          <w:i/>
          <w:color w:val="000000"/>
          <w:sz w:val="22"/>
        </w:rPr>
        <w:t xml:space="preserve">Le </w:t>
      </w:r>
      <w:r w:rsidRPr="00E86F55">
        <w:rPr>
          <w:rFonts w:cs="Arial"/>
          <w:i/>
          <w:color w:val="000000"/>
          <w:sz w:val="22"/>
        </w:rPr>
        <w:t>Responsable technique de l’activité éligible au PNDA</w:t>
      </w:r>
      <w:r>
        <w:rPr>
          <w:rFonts w:cs="Arial"/>
          <w:color w:val="000000"/>
          <w:sz w:val="22"/>
        </w:rPr>
        <w:t xml:space="preserve"> </w:t>
      </w:r>
      <w:r w:rsidRPr="00E86F55">
        <w:rPr>
          <w:rFonts w:cs="Arial"/>
          <w:color w:val="000000"/>
          <w:sz w:val="22"/>
        </w:rPr>
        <w:t>(</w:t>
      </w:r>
      <w:r w:rsidRPr="00E86F55">
        <w:rPr>
          <w:rFonts w:cs="Arial"/>
          <w:i/>
          <w:color w:val="000000"/>
          <w:sz w:val="22"/>
        </w:rPr>
        <w:t>Chargé de Projet</w:t>
      </w:r>
      <w:r w:rsidRPr="00E86F55">
        <w:rPr>
          <w:rFonts w:cs="Arial"/>
          <w:color w:val="000000"/>
          <w:sz w:val="22"/>
        </w:rPr>
        <w:t>) est responsable de : l’identification de la localisation/site et principales caractéristiques techniques du sous-projet et de l’intégration dans le dossier d’appel d’offres (DAO) du sous-projet, de toutes les mesures de la phase des travaux pouvant être contractualisées avec l’entreprise. </w:t>
      </w:r>
    </w:p>
    <w:p w14:paraId="64866A73" w14:textId="77777777" w:rsidR="001C2F95" w:rsidRPr="00E86F55" w:rsidRDefault="001C2F95" w:rsidP="001C2F95">
      <w:pPr>
        <w:pStyle w:val="Paragraphedeliste"/>
        <w:rPr>
          <w:rFonts w:cs="Arial"/>
          <w:color w:val="000000"/>
          <w:sz w:val="22"/>
        </w:rPr>
      </w:pPr>
    </w:p>
    <w:p w14:paraId="13AE9CCA" w14:textId="77777777" w:rsidR="001C2F95" w:rsidRPr="00E86F55" w:rsidRDefault="001C2F95" w:rsidP="002378EA">
      <w:pPr>
        <w:numPr>
          <w:ilvl w:val="0"/>
          <w:numId w:val="26"/>
        </w:numPr>
        <w:rPr>
          <w:rFonts w:cs="Arial"/>
          <w:color w:val="000000"/>
          <w:sz w:val="22"/>
        </w:rPr>
      </w:pPr>
      <w:r w:rsidRPr="00E86F55">
        <w:rPr>
          <w:rFonts w:cs="Arial"/>
          <w:i/>
          <w:color w:val="000000"/>
          <w:sz w:val="22"/>
        </w:rPr>
        <w:t xml:space="preserve">Le </w:t>
      </w:r>
      <w:r>
        <w:rPr>
          <w:rFonts w:cs="Arial"/>
          <w:i/>
          <w:color w:val="000000"/>
          <w:sz w:val="22"/>
        </w:rPr>
        <w:t xml:space="preserve">Responsable </w:t>
      </w:r>
      <w:r w:rsidRPr="00E86F55">
        <w:rPr>
          <w:rFonts w:cs="Arial"/>
          <w:i/>
          <w:color w:val="000000"/>
          <w:sz w:val="22"/>
        </w:rPr>
        <w:t xml:space="preserve">en passation de marchés </w:t>
      </w:r>
      <w:r w:rsidRPr="00E86F55">
        <w:rPr>
          <w:rFonts w:cs="Arial"/>
          <w:i/>
          <w:sz w:val="22"/>
        </w:rPr>
        <w:t xml:space="preserve">du PNDA (en phase de préparation et de mise en œuvre, en concertation avec les spécialistes environnemental et social) </w:t>
      </w:r>
      <w:r w:rsidRPr="00E86F55">
        <w:rPr>
          <w:rFonts w:cs="Arial"/>
          <w:i/>
          <w:color w:val="000000"/>
          <w:sz w:val="22"/>
        </w:rPr>
        <w:t>:</w:t>
      </w:r>
      <w:r w:rsidRPr="00E86F55">
        <w:rPr>
          <w:rFonts w:cs="Arial"/>
          <w:color w:val="000000"/>
          <w:sz w:val="22"/>
        </w:rPr>
        <w:t xml:space="preserve"> veille à l’inclusion des activités suivantes dans les plans de passation des marchés via le STEP et prépare les documents contractuels y relatifs (études, intégration des mesures dans le dossier d’appel d’offres ; PGES entreprise, exécution/Mise en œuvre des mesures ; renforcement des capacités ; surveillance et audit).</w:t>
      </w:r>
    </w:p>
    <w:p w14:paraId="2CC1B126" w14:textId="77777777" w:rsidR="001C2F95" w:rsidRPr="00E86F55" w:rsidRDefault="001C2F95" w:rsidP="001C2F95">
      <w:pPr>
        <w:pStyle w:val="Paragraphedeliste"/>
        <w:spacing w:after="200"/>
        <w:rPr>
          <w:rFonts w:cs="Arial"/>
          <w:sz w:val="22"/>
        </w:rPr>
      </w:pPr>
    </w:p>
    <w:p w14:paraId="1DB5C863" w14:textId="77777777" w:rsidR="001C2F95" w:rsidRPr="00E86F55" w:rsidRDefault="001C2F95" w:rsidP="002378EA">
      <w:pPr>
        <w:pStyle w:val="Paragraphedeliste"/>
        <w:numPr>
          <w:ilvl w:val="0"/>
          <w:numId w:val="26"/>
        </w:numPr>
        <w:spacing w:after="200"/>
        <w:rPr>
          <w:rFonts w:cs="Arial"/>
          <w:sz w:val="22"/>
        </w:rPr>
      </w:pPr>
      <w:r w:rsidRPr="00E86F55">
        <w:rPr>
          <w:rFonts w:cs="Arial"/>
          <w:i/>
          <w:sz w:val="22"/>
        </w:rPr>
        <w:t>Le Responsable des finances</w:t>
      </w:r>
      <w:r>
        <w:rPr>
          <w:rFonts w:cs="Arial"/>
          <w:i/>
          <w:sz w:val="22"/>
        </w:rPr>
        <w:t xml:space="preserve"> </w:t>
      </w:r>
      <w:r w:rsidRPr="00E86F55">
        <w:rPr>
          <w:rFonts w:cs="Arial"/>
          <w:i/>
          <w:color w:val="000000"/>
          <w:sz w:val="22"/>
        </w:rPr>
        <w:t>d</w:t>
      </w:r>
      <w:r w:rsidRPr="00E86F55">
        <w:rPr>
          <w:rFonts w:cs="Arial"/>
          <w:i/>
          <w:sz w:val="22"/>
        </w:rPr>
        <w:t xml:space="preserve">u PNDA </w:t>
      </w:r>
      <w:r>
        <w:rPr>
          <w:rFonts w:cs="Arial"/>
          <w:i/>
          <w:sz w:val="22"/>
        </w:rPr>
        <w:t>(</w:t>
      </w:r>
      <w:r w:rsidRPr="00E86F55">
        <w:rPr>
          <w:rFonts w:cs="Arial"/>
          <w:i/>
          <w:sz w:val="22"/>
        </w:rPr>
        <w:t>en phase de préparation et de mise en œuvre)</w:t>
      </w:r>
      <w:r>
        <w:rPr>
          <w:rFonts w:cs="Arial"/>
          <w:i/>
          <w:sz w:val="22"/>
        </w:rPr>
        <w:t> :</w:t>
      </w:r>
      <w:r w:rsidRPr="00E86F55">
        <w:rPr>
          <w:rFonts w:cs="Arial"/>
          <w:sz w:val="22"/>
        </w:rPr>
        <w:t xml:space="preserve"> inclut dans les états financiers les provisions budgétaires relatives à l’Exécution/Mise en œuvre des mesures d’appui à la Surveillance de la mise en œuvre des mesures environnementales et sociales</w:t>
      </w:r>
      <w:r>
        <w:rPr>
          <w:rFonts w:cs="Arial"/>
          <w:sz w:val="22"/>
        </w:rPr>
        <w:t>,</w:t>
      </w:r>
      <w:r w:rsidRPr="00E86F55">
        <w:rPr>
          <w:rFonts w:cs="Arial"/>
          <w:sz w:val="22"/>
        </w:rPr>
        <w:t xml:space="preserve"> y compris </w:t>
      </w:r>
      <w:r>
        <w:rPr>
          <w:rFonts w:cs="Arial"/>
          <w:sz w:val="22"/>
        </w:rPr>
        <w:t>celles liées à l’EAS/HS</w:t>
      </w:r>
      <w:r w:rsidRPr="00E86F55">
        <w:rPr>
          <w:rFonts w:cs="Arial"/>
          <w:sz w:val="22"/>
        </w:rPr>
        <w:t xml:space="preserve"> et </w:t>
      </w:r>
      <w:r>
        <w:rPr>
          <w:rFonts w:cs="Arial"/>
          <w:sz w:val="22"/>
        </w:rPr>
        <w:t>au</w:t>
      </w:r>
      <w:r w:rsidRPr="00E86F55">
        <w:rPr>
          <w:rFonts w:cs="Arial"/>
          <w:sz w:val="22"/>
        </w:rPr>
        <w:t xml:space="preserve"> COVID-19.</w:t>
      </w:r>
    </w:p>
    <w:p w14:paraId="61D53FAD" w14:textId="77777777" w:rsidR="001C2F95" w:rsidRPr="00E86F55" w:rsidRDefault="001C2F95" w:rsidP="001C2F95">
      <w:pPr>
        <w:pStyle w:val="Paragraphedeliste"/>
        <w:spacing w:after="200"/>
        <w:rPr>
          <w:rFonts w:cs="Arial"/>
          <w:sz w:val="22"/>
        </w:rPr>
      </w:pPr>
    </w:p>
    <w:p w14:paraId="4CF8B526" w14:textId="77777777" w:rsidR="001C2F95" w:rsidRPr="00E86F55" w:rsidRDefault="001C2F95" w:rsidP="002378EA">
      <w:pPr>
        <w:pStyle w:val="Paragraphedeliste"/>
        <w:numPr>
          <w:ilvl w:val="0"/>
          <w:numId w:val="26"/>
        </w:numPr>
        <w:spacing w:after="200"/>
        <w:rPr>
          <w:rFonts w:cs="Arial"/>
          <w:sz w:val="22"/>
        </w:rPr>
      </w:pPr>
      <w:r w:rsidRPr="00E86F55">
        <w:rPr>
          <w:rFonts w:cs="Arial"/>
          <w:i/>
          <w:sz w:val="22"/>
        </w:rPr>
        <w:t>Le Spécialiste en suivi-évaluation</w:t>
      </w:r>
      <w:r>
        <w:rPr>
          <w:rFonts w:cs="Arial"/>
          <w:i/>
          <w:sz w:val="22"/>
        </w:rPr>
        <w:t xml:space="preserve"> </w:t>
      </w:r>
      <w:r w:rsidRPr="00E86F55">
        <w:rPr>
          <w:rFonts w:cs="Arial"/>
          <w:i/>
          <w:sz w:val="22"/>
        </w:rPr>
        <w:t>du PNDA (en phase de préparation et de mise en œuvre) :</w:t>
      </w:r>
      <w:r w:rsidRPr="00E86F55">
        <w:rPr>
          <w:rFonts w:cs="Arial"/>
          <w:sz w:val="22"/>
        </w:rPr>
        <w:t xml:space="preserve"> il participe à la Surveillance interne de la mise en œuvre des mesures environnementales et sociales</w:t>
      </w:r>
      <w:r>
        <w:rPr>
          <w:rFonts w:cs="Arial"/>
          <w:sz w:val="22"/>
        </w:rPr>
        <w:t>,</w:t>
      </w:r>
      <w:r w:rsidRPr="00E86F55">
        <w:rPr>
          <w:rFonts w:cs="Arial"/>
          <w:sz w:val="22"/>
        </w:rPr>
        <w:t xml:space="preserve"> y compris celles </w:t>
      </w:r>
      <w:r>
        <w:rPr>
          <w:rFonts w:cs="Arial"/>
          <w:sz w:val="22"/>
        </w:rPr>
        <w:t>liées à l’EAS/HS</w:t>
      </w:r>
      <w:r w:rsidRPr="00E86F55">
        <w:rPr>
          <w:rFonts w:cs="Arial"/>
          <w:sz w:val="22"/>
        </w:rPr>
        <w:t xml:space="preserve"> et </w:t>
      </w:r>
      <w:r>
        <w:rPr>
          <w:rFonts w:cs="Arial"/>
          <w:sz w:val="22"/>
        </w:rPr>
        <w:t>au</w:t>
      </w:r>
      <w:r w:rsidRPr="00E86F55">
        <w:rPr>
          <w:rFonts w:cs="Arial"/>
          <w:sz w:val="22"/>
        </w:rPr>
        <w:t xml:space="preserve"> COVID-19, au Suivi environnemental et social ainsi que celui d</w:t>
      </w:r>
      <w:r>
        <w:rPr>
          <w:rFonts w:cs="Arial"/>
          <w:sz w:val="22"/>
        </w:rPr>
        <w:t>’EAS/HS</w:t>
      </w:r>
      <w:r w:rsidRPr="00E86F55">
        <w:rPr>
          <w:rFonts w:cs="Arial"/>
          <w:sz w:val="22"/>
        </w:rPr>
        <w:t xml:space="preserve"> et COVID-19 et à l’Audit de mise en œuvre des mesures environnementales et sociales.</w:t>
      </w:r>
    </w:p>
    <w:p w14:paraId="7C4A62D2" w14:textId="77777777" w:rsidR="001C2F95" w:rsidRPr="00FF4CBB" w:rsidRDefault="001C2F95" w:rsidP="002378EA">
      <w:pPr>
        <w:numPr>
          <w:ilvl w:val="0"/>
          <w:numId w:val="26"/>
        </w:numPr>
        <w:rPr>
          <w:rFonts w:cs="Arial"/>
          <w:sz w:val="22"/>
        </w:rPr>
      </w:pPr>
      <w:r w:rsidRPr="00E86F55">
        <w:rPr>
          <w:rFonts w:cs="Arial"/>
          <w:i/>
          <w:sz w:val="22"/>
        </w:rPr>
        <w:t>Les Ministères Provinciaux en charge de l’Environnement et Genre</w:t>
      </w:r>
      <w:r>
        <w:rPr>
          <w:rFonts w:cs="Arial"/>
          <w:i/>
          <w:sz w:val="22"/>
        </w:rPr>
        <w:t> :</w:t>
      </w:r>
      <w:r>
        <w:rPr>
          <w:rFonts w:cs="Arial"/>
          <w:sz w:val="22"/>
        </w:rPr>
        <w:t xml:space="preserve"> </w:t>
      </w:r>
      <w:r w:rsidRPr="00FF4CBB">
        <w:rPr>
          <w:rFonts w:cs="Arial"/>
          <w:sz w:val="22"/>
        </w:rPr>
        <w:t>Ce ministère instruira les Coordinations Provinciales de l’Environnement du Kwilu, Kongo</w:t>
      </w:r>
      <w:r>
        <w:rPr>
          <w:rFonts w:cs="Arial"/>
          <w:sz w:val="22"/>
        </w:rPr>
        <w:t xml:space="preserve"> </w:t>
      </w:r>
      <w:r w:rsidRPr="00FF4CBB">
        <w:rPr>
          <w:rFonts w:cs="Arial"/>
          <w:sz w:val="22"/>
        </w:rPr>
        <w:t>Central, Kasaï, Kasaï Central et Nord-Kivu dans le suivi des activités du Projet.</w:t>
      </w:r>
    </w:p>
    <w:p w14:paraId="4CBE0155" w14:textId="77777777" w:rsidR="001C2F95" w:rsidRPr="00E86F55" w:rsidRDefault="001C2F95" w:rsidP="001C2F95">
      <w:pPr>
        <w:pStyle w:val="Paragraphedeliste"/>
        <w:rPr>
          <w:rFonts w:cs="Arial"/>
          <w:sz w:val="22"/>
        </w:rPr>
      </w:pPr>
    </w:p>
    <w:p w14:paraId="3045FB36" w14:textId="77777777" w:rsidR="001C2F95" w:rsidRPr="00720721" w:rsidRDefault="001C2F95" w:rsidP="002378EA">
      <w:pPr>
        <w:numPr>
          <w:ilvl w:val="0"/>
          <w:numId w:val="26"/>
        </w:numPr>
        <w:rPr>
          <w:rFonts w:cs="Arial"/>
          <w:i/>
          <w:sz w:val="22"/>
        </w:rPr>
      </w:pPr>
      <w:r w:rsidRPr="00720721">
        <w:rPr>
          <w:rFonts w:cs="Arial"/>
          <w:i/>
          <w:sz w:val="22"/>
        </w:rPr>
        <w:t>L’Agence Congolaise de l’Environnement</w:t>
      </w:r>
    </w:p>
    <w:p w14:paraId="07C31E96" w14:textId="77777777" w:rsidR="001C2F95" w:rsidRPr="00E86F55" w:rsidRDefault="001C2F95" w:rsidP="001C2F95">
      <w:pPr>
        <w:pStyle w:val="Paragraphedeliste"/>
        <w:rPr>
          <w:rFonts w:cs="Arial"/>
          <w:sz w:val="22"/>
        </w:rPr>
      </w:pPr>
    </w:p>
    <w:p w14:paraId="63791D68" w14:textId="77777777" w:rsidR="001C2F95" w:rsidRPr="00E86F55" w:rsidRDefault="001C2F95" w:rsidP="001C2F95">
      <w:pPr>
        <w:pStyle w:val="Paragraphedeliste"/>
        <w:rPr>
          <w:rFonts w:cs="Arial"/>
          <w:sz w:val="22"/>
        </w:rPr>
      </w:pPr>
      <w:r w:rsidRPr="00E86F55">
        <w:rPr>
          <w:rFonts w:cs="Arial"/>
          <w:sz w:val="22"/>
        </w:rPr>
        <w:t>L’ACE procédera à l’examen et à l’approbation de la classification environnementale des sous-projets ainsi qu’à l’approbation des Études d’impact environnemental et social et des PGES. Elle participera aussi au suivi externe</w:t>
      </w:r>
      <w:r>
        <w:rPr>
          <w:rFonts w:cs="Arial"/>
          <w:sz w:val="22"/>
        </w:rPr>
        <w:t>.</w:t>
      </w:r>
    </w:p>
    <w:p w14:paraId="386A1279" w14:textId="77777777" w:rsidR="001C2F95" w:rsidRPr="00E86F55" w:rsidRDefault="001C2F95" w:rsidP="001C2F95">
      <w:pPr>
        <w:rPr>
          <w:rFonts w:cs="Arial"/>
          <w:i/>
          <w:sz w:val="22"/>
        </w:rPr>
      </w:pPr>
    </w:p>
    <w:p w14:paraId="585370D1" w14:textId="77777777" w:rsidR="001C2F95" w:rsidRPr="00E86F55" w:rsidRDefault="001C2F95" w:rsidP="002378EA">
      <w:pPr>
        <w:numPr>
          <w:ilvl w:val="0"/>
          <w:numId w:val="26"/>
        </w:numPr>
        <w:rPr>
          <w:rFonts w:cs="Arial"/>
          <w:i/>
          <w:sz w:val="22"/>
        </w:rPr>
      </w:pPr>
      <w:r w:rsidRPr="00E86F55">
        <w:rPr>
          <w:rFonts w:cs="Arial"/>
          <w:i/>
          <w:sz w:val="22"/>
        </w:rPr>
        <w:t>Les Coordinations Provinciales de l’Environnement du Kwilu, Kasaï, Kasaï Central</w:t>
      </w:r>
      <w:r>
        <w:rPr>
          <w:rFonts w:cs="Arial"/>
          <w:i/>
          <w:sz w:val="22"/>
        </w:rPr>
        <w:t>, Kongo Central</w:t>
      </w:r>
      <w:r w:rsidRPr="00E86F55">
        <w:rPr>
          <w:rFonts w:cs="Arial"/>
          <w:i/>
          <w:sz w:val="22"/>
        </w:rPr>
        <w:t xml:space="preserve"> et Nord-Kivu</w:t>
      </w:r>
    </w:p>
    <w:p w14:paraId="141BD8FF" w14:textId="77777777" w:rsidR="001C2F95" w:rsidRPr="00E86F55" w:rsidRDefault="001C2F95" w:rsidP="001C2F95">
      <w:pPr>
        <w:ind w:left="720"/>
        <w:rPr>
          <w:rFonts w:cs="Arial"/>
          <w:i/>
          <w:sz w:val="22"/>
        </w:rPr>
      </w:pPr>
    </w:p>
    <w:p w14:paraId="0B6064AA" w14:textId="77777777" w:rsidR="001C2F95" w:rsidRPr="00E86F55" w:rsidRDefault="001C2F95" w:rsidP="001C2F95">
      <w:pPr>
        <w:ind w:left="720"/>
        <w:rPr>
          <w:rFonts w:cs="Arial"/>
          <w:sz w:val="22"/>
        </w:rPr>
      </w:pPr>
      <w:r>
        <w:rPr>
          <w:rFonts w:cs="Arial"/>
          <w:sz w:val="22"/>
        </w:rPr>
        <w:t>À</w:t>
      </w:r>
      <w:r w:rsidRPr="00E86F55">
        <w:rPr>
          <w:rFonts w:cs="Arial"/>
          <w:sz w:val="22"/>
        </w:rPr>
        <w:t xml:space="preserve"> l’absence des </w:t>
      </w:r>
      <w:r>
        <w:rPr>
          <w:rFonts w:cs="Arial"/>
          <w:sz w:val="22"/>
        </w:rPr>
        <w:t>D</w:t>
      </w:r>
      <w:r w:rsidRPr="00E86F55">
        <w:rPr>
          <w:rFonts w:cs="Arial"/>
          <w:sz w:val="22"/>
        </w:rPr>
        <w:t xml:space="preserve">irections </w:t>
      </w:r>
      <w:r>
        <w:rPr>
          <w:rFonts w:cs="Arial"/>
          <w:sz w:val="22"/>
        </w:rPr>
        <w:t>P</w:t>
      </w:r>
      <w:r w:rsidRPr="00E86F55">
        <w:rPr>
          <w:rFonts w:cs="Arial"/>
          <w:sz w:val="22"/>
        </w:rPr>
        <w:t>rovinciales de l’ACE, ces trois Coordinations Provinciales de l’Environnement participeront au suivi de la mise en œuvre des mesures environnementales et sociales du Projet PNDA. En outre, la CPE de chaque Province et ses dépendances (sous-unités) sont concernées et seront associées à toutes les activités liées au screening et su suivi externe de la mise en œuvre des PGES.</w:t>
      </w:r>
    </w:p>
    <w:p w14:paraId="0C027FD0" w14:textId="77777777" w:rsidR="001357AB" w:rsidRPr="00E86F55" w:rsidRDefault="001357AB" w:rsidP="001C2F95">
      <w:pPr>
        <w:rPr>
          <w:rFonts w:cs="Arial"/>
          <w:sz w:val="22"/>
        </w:rPr>
      </w:pPr>
    </w:p>
    <w:p w14:paraId="56EE0EED" w14:textId="77777777" w:rsidR="001C2F95" w:rsidRPr="00646EF1" w:rsidRDefault="001C2F95" w:rsidP="002378EA">
      <w:pPr>
        <w:numPr>
          <w:ilvl w:val="0"/>
          <w:numId w:val="26"/>
        </w:numPr>
        <w:ind w:right="-154"/>
        <w:rPr>
          <w:rFonts w:cs="Arial"/>
          <w:sz w:val="22"/>
        </w:rPr>
      </w:pPr>
      <w:r w:rsidRPr="00646EF1">
        <w:rPr>
          <w:rFonts w:cs="Arial"/>
          <w:i/>
          <w:sz w:val="22"/>
        </w:rPr>
        <w:t>Les Entreprises contractantes</w:t>
      </w:r>
      <w:r w:rsidRPr="00646EF1">
        <w:rPr>
          <w:rFonts w:cs="Arial"/>
          <w:sz w:val="22"/>
        </w:rPr>
        <w:t xml:space="preserve"> </w:t>
      </w:r>
      <w:r w:rsidRPr="00646EF1">
        <w:rPr>
          <w:rFonts w:cs="Arial"/>
          <w:i/>
          <w:sz w:val="22"/>
        </w:rPr>
        <w:t>(PME)</w:t>
      </w:r>
    </w:p>
    <w:p w14:paraId="05BF7511" w14:textId="77777777" w:rsidR="001C2F95" w:rsidRPr="00646EF1" w:rsidRDefault="001C2F95" w:rsidP="001C2F95">
      <w:pPr>
        <w:pStyle w:val="Paragraphedeliste"/>
        <w:rPr>
          <w:rFonts w:cs="Arial"/>
          <w:sz w:val="22"/>
        </w:rPr>
      </w:pPr>
    </w:p>
    <w:p w14:paraId="1CFAADEC" w14:textId="77777777" w:rsidR="001C2F95" w:rsidRDefault="001C2F95" w:rsidP="001C2F95">
      <w:pPr>
        <w:pStyle w:val="Paragraphedeliste"/>
        <w:rPr>
          <w:rFonts w:cs="Arial"/>
          <w:sz w:val="22"/>
        </w:rPr>
      </w:pPr>
      <w:r w:rsidRPr="00646EF1">
        <w:rPr>
          <w:rFonts w:cs="Arial"/>
          <w:sz w:val="22"/>
        </w:rPr>
        <w:t>Elles doivent exécuter les mesures environnementales et sociales et respecter les directives et autres prescriptions environnementales et sociales contenues dans les marchés de travaux et les DAO.</w:t>
      </w:r>
    </w:p>
    <w:p w14:paraId="57EEF8AC" w14:textId="77777777" w:rsidR="001C2F95" w:rsidRPr="00646EF1" w:rsidRDefault="001C2F95" w:rsidP="001C2F95">
      <w:pPr>
        <w:pStyle w:val="Paragraphedeliste"/>
        <w:rPr>
          <w:rFonts w:cs="Arial"/>
          <w:sz w:val="22"/>
        </w:rPr>
      </w:pPr>
    </w:p>
    <w:p w14:paraId="05C6B255" w14:textId="77777777" w:rsidR="001C2F95" w:rsidRPr="00646EF1" w:rsidRDefault="001C2F95" w:rsidP="002378EA">
      <w:pPr>
        <w:numPr>
          <w:ilvl w:val="0"/>
          <w:numId w:val="26"/>
        </w:numPr>
        <w:ind w:right="-154"/>
        <w:rPr>
          <w:rFonts w:cs="Arial"/>
          <w:i/>
          <w:sz w:val="22"/>
        </w:rPr>
      </w:pPr>
      <w:r w:rsidRPr="00646EF1">
        <w:rPr>
          <w:rFonts w:cs="Arial"/>
          <w:i/>
          <w:sz w:val="22"/>
        </w:rPr>
        <w:t>Les Agences d’Exécution Locales (ALE)</w:t>
      </w:r>
    </w:p>
    <w:p w14:paraId="32B4242C" w14:textId="77777777" w:rsidR="001C2F95" w:rsidRPr="00646EF1" w:rsidRDefault="001C2F95" w:rsidP="001C2F95">
      <w:pPr>
        <w:pStyle w:val="Paragraphedeliste"/>
        <w:rPr>
          <w:rFonts w:cs="Arial"/>
          <w:sz w:val="22"/>
        </w:rPr>
      </w:pPr>
    </w:p>
    <w:p w14:paraId="43DC75CA" w14:textId="77777777" w:rsidR="001C2F95" w:rsidRPr="00646EF1" w:rsidRDefault="001C2F95" w:rsidP="001C2F95">
      <w:pPr>
        <w:pStyle w:val="Paragraphedeliste"/>
        <w:rPr>
          <w:rFonts w:cs="Arial"/>
          <w:sz w:val="22"/>
        </w:rPr>
      </w:pPr>
      <w:r w:rsidRPr="00646EF1">
        <w:rPr>
          <w:rFonts w:cs="Arial"/>
          <w:sz w:val="22"/>
        </w:rPr>
        <w:t>Comme les entreprises, les ALE doivent exécuter les mesures environnementales et sociales et respecter les directives et autres prescriptions environnementales et sociales contenues dans les marchés de travaux et les DAO.</w:t>
      </w:r>
    </w:p>
    <w:p w14:paraId="7B9F9CFF" w14:textId="77777777" w:rsidR="001C2F95" w:rsidRPr="00646EF1" w:rsidRDefault="001C2F95" w:rsidP="001C2F95">
      <w:pPr>
        <w:pStyle w:val="Paragraphedeliste"/>
        <w:rPr>
          <w:rFonts w:cs="Arial"/>
          <w:sz w:val="22"/>
        </w:rPr>
      </w:pPr>
    </w:p>
    <w:p w14:paraId="3556E1F1" w14:textId="77777777" w:rsidR="001C2F95" w:rsidRPr="00720721" w:rsidRDefault="001C2F95" w:rsidP="002378EA">
      <w:pPr>
        <w:numPr>
          <w:ilvl w:val="0"/>
          <w:numId w:val="26"/>
        </w:numPr>
        <w:ind w:right="-154"/>
        <w:rPr>
          <w:rFonts w:cs="Arial"/>
          <w:i/>
          <w:sz w:val="22"/>
        </w:rPr>
      </w:pPr>
      <w:r w:rsidRPr="00720721">
        <w:rPr>
          <w:rFonts w:cs="Arial"/>
          <w:i/>
          <w:sz w:val="22"/>
        </w:rPr>
        <w:t>Les Divisions Urbaines et Provinciales du Genre, de l’Enfant et de la Famille.</w:t>
      </w:r>
    </w:p>
    <w:p w14:paraId="6126A567" w14:textId="77777777" w:rsidR="001C2F95" w:rsidRPr="00646EF1" w:rsidRDefault="001C2F95" w:rsidP="001C2F95">
      <w:pPr>
        <w:pStyle w:val="Paragraphedeliste"/>
        <w:rPr>
          <w:rFonts w:cs="Arial"/>
          <w:sz w:val="22"/>
        </w:rPr>
      </w:pPr>
    </w:p>
    <w:p w14:paraId="22A44BDE" w14:textId="77777777" w:rsidR="001C2F95" w:rsidRPr="00646EF1" w:rsidRDefault="001C2F95" w:rsidP="001C2F95">
      <w:pPr>
        <w:pStyle w:val="Paragraphedeliste"/>
        <w:rPr>
          <w:rFonts w:cs="Arial"/>
          <w:sz w:val="22"/>
        </w:rPr>
      </w:pPr>
      <w:r w:rsidRPr="00646EF1">
        <w:rPr>
          <w:rFonts w:cs="Arial"/>
          <w:sz w:val="22"/>
        </w:rPr>
        <w:t xml:space="preserve">Elles vont appuyer la mise en œuvre </w:t>
      </w:r>
      <w:r>
        <w:rPr>
          <w:rFonts w:cs="Arial"/>
          <w:sz w:val="22"/>
        </w:rPr>
        <w:t>des activités et mesures élaborées dans le</w:t>
      </w:r>
      <w:r w:rsidRPr="00646EF1">
        <w:rPr>
          <w:rFonts w:cs="Arial"/>
          <w:sz w:val="22"/>
        </w:rPr>
        <w:t xml:space="preserve"> </w:t>
      </w:r>
      <w:r>
        <w:rPr>
          <w:rFonts w:cs="Arial"/>
          <w:sz w:val="22"/>
        </w:rPr>
        <w:t xml:space="preserve">Plan d’action </w:t>
      </w:r>
      <w:r w:rsidRPr="00646EF1">
        <w:rPr>
          <w:rFonts w:cs="Arial"/>
          <w:sz w:val="22"/>
        </w:rPr>
        <w:t>EAS/HS</w:t>
      </w:r>
      <w:r>
        <w:rPr>
          <w:rFonts w:cs="Arial"/>
          <w:sz w:val="22"/>
        </w:rPr>
        <w:t>.</w:t>
      </w:r>
    </w:p>
    <w:p w14:paraId="13FF4943" w14:textId="77777777" w:rsidR="001C2F95" w:rsidRPr="00FC2014" w:rsidRDefault="001C2F95" w:rsidP="002378EA">
      <w:pPr>
        <w:numPr>
          <w:ilvl w:val="0"/>
          <w:numId w:val="26"/>
        </w:numPr>
        <w:ind w:right="-154"/>
        <w:rPr>
          <w:rFonts w:cs="Arial"/>
          <w:i/>
          <w:sz w:val="22"/>
        </w:rPr>
      </w:pPr>
      <w:r w:rsidRPr="00FF4CBB">
        <w:rPr>
          <w:rFonts w:cs="Arial"/>
          <w:i/>
          <w:sz w:val="22"/>
        </w:rPr>
        <w:t xml:space="preserve">Mission de </w:t>
      </w:r>
      <w:r w:rsidR="001357AB" w:rsidRPr="00FF4CBB">
        <w:rPr>
          <w:rFonts w:cs="Arial"/>
          <w:i/>
          <w:sz w:val="22"/>
        </w:rPr>
        <w:t>contrôle</w:t>
      </w:r>
    </w:p>
    <w:p w14:paraId="43AA3900" w14:textId="77777777" w:rsidR="001C2F95" w:rsidRDefault="001C2F95" w:rsidP="001C2F95">
      <w:pPr>
        <w:pStyle w:val="Paragraphedeliste"/>
        <w:rPr>
          <w:rFonts w:cs="Arial"/>
          <w:sz w:val="22"/>
        </w:rPr>
      </w:pPr>
    </w:p>
    <w:p w14:paraId="74598E89" w14:textId="77777777" w:rsidR="001C2F95" w:rsidRPr="00646EF1" w:rsidRDefault="001C2F95" w:rsidP="001C2F95">
      <w:pPr>
        <w:pStyle w:val="Paragraphedeliste"/>
        <w:rPr>
          <w:rFonts w:cs="Arial"/>
          <w:sz w:val="22"/>
        </w:rPr>
      </w:pPr>
      <w:r>
        <w:rPr>
          <w:rFonts w:cs="Arial"/>
          <w:sz w:val="22"/>
        </w:rPr>
        <w:t>Elle</w:t>
      </w:r>
      <w:r w:rsidRPr="00646EF1">
        <w:rPr>
          <w:rFonts w:cs="Arial"/>
          <w:sz w:val="22"/>
        </w:rPr>
        <w:t xml:space="preserve"> doi</w:t>
      </w:r>
      <w:r>
        <w:rPr>
          <w:rFonts w:cs="Arial"/>
          <w:sz w:val="22"/>
        </w:rPr>
        <w:t>t</w:t>
      </w:r>
      <w:r w:rsidRPr="00646EF1">
        <w:rPr>
          <w:rFonts w:cs="Arial"/>
          <w:sz w:val="22"/>
        </w:rPr>
        <w:t xml:space="preserve"> assurer le contrôle de l’effectivité et de l’efficience de l’exécution des mesures environnementales et sociales et du respect des directives et autres prescriptions environnementales contenues dans les marchés de travaux.</w:t>
      </w:r>
    </w:p>
    <w:p w14:paraId="2ABE204C" w14:textId="77777777" w:rsidR="001C2F95" w:rsidRPr="00646EF1" w:rsidRDefault="001C2F95" w:rsidP="001C2F95">
      <w:pPr>
        <w:ind w:right="-154"/>
        <w:rPr>
          <w:rFonts w:cs="Arial"/>
          <w:sz w:val="22"/>
        </w:rPr>
      </w:pPr>
    </w:p>
    <w:p w14:paraId="5AE9C745" w14:textId="77777777" w:rsidR="001C2F95" w:rsidRPr="00646EF1" w:rsidRDefault="001C2F95" w:rsidP="002378EA">
      <w:pPr>
        <w:numPr>
          <w:ilvl w:val="0"/>
          <w:numId w:val="26"/>
        </w:numPr>
        <w:ind w:right="-154"/>
        <w:rPr>
          <w:rFonts w:cs="Arial"/>
          <w:i/>
          <w:sz w:val="22"/>
        </w:rPr>
      </w:pPr>
      <w:r w:rsidRPr="00646EF1">
        <w:rPr>
          <w:rFonts w:cs="Arial"/>
          <w:i/>
          <w:sz w:val="22"/>
        </w:rPr>
        <w:t>La population des provinces ciblées par le Projet</w:t>
      </w:r>
    </w:p>
    <w:p w14:paraId="558E7CBB" w14:textId="77777777" w:rsidR="001C2F95" w:rsidRDefault="001C2F95" w:rsidP="001C2F95">
      <w:pPr>
        <w:pStyle w:val="Paragraphedeliste"/>
        <w:rPr>
          <w:rFonts w:cs="Arial"/>
          <w:sz w:val="22"/>
        </w:rPr>
      </w:pPr>
    </w:p>
    <w:p w14:paraId="5653E388" w14:textId="77777777" w:rsidR="001C2F95" w:rsidRPr="00FF4CBB" w:rsidRDefault="001C2F95" w:rsidP="001C2F95">
      <w:pPr>
        <w:pStyle w:val="Paragraphedeliste"/>
        <w:rPr>
          <w:rFonts w:cs="Arial"/>
          <w:i/>
          <w:sz w:val="22"/>
        </w:rPr>
      </w:pPr>
      <w:r w:rsidRPr="00FF4CBB">
        <w:rPr>
          <w:rFonts w:cs="Arial"/>
          <w:i/>
          <w:sz w:val="22"/>
        </w:rPr>
        <w:t xml:space="preserve">Association des producteurs/productrices et </w:t>
      </w:r>
      <w:r w:rsidR="001357AB" w:rsidRPr="00FF4CBB">
        <w:rPr>
          <w:rFonts w:cs="Arial"/>
          <w:i/>
          <w:sz w:val="22"/>
        </w:rPr>
        <w:t>coopératives</w:t>
      </w:r>
      <w:r w:rsidRPr="00FF4CBB">
        <w:rPr>
          <w:rFonts w:cs="Arial"/>
          <w:i/>
          <w:sz w:val="22"/>
        </w:rPr>
        <w:t xml:space="preserve"> </w:t>
      </w:r>
    </w:p>
    <w:p w14:paraId="6B4CAAD3" w14:textId="77777777" w:rsidR="001C2F95" w:rsidRDefault="001C2F95" w:rsidP="001C2F95">
      <w:pPr>
        <w:pStyle w:val="Paragraphedeliste"/>
        <w:rPr>
          <w:rFonts w:cs="Arial"/>
          <w:sz w:val="22"/>
        </w:rPr>
      </w:pPr>
    </w:p>
    <w:p w14:paraId="7742595C" w14:textId="77777777" w:rsidR="001C2F95" w:rsidRDefault="001C2F95" w:rsidP="001C2F95">
      <w:pPr>
        <w:pStyle w:val="Paragraphedeliste"/>
        <w:rPr>
          <w:rFonts w:cs="Arial"/>
          <w:sz w:val="22"/>
        </w:rPr>
      </w:pPr>
      <w:r>
        <w:rPr>
          <w:rFonts w:cs="Arial"/>
          <w:sz w:val="22"/>
        </w:rPr>
        <w:t xml:space="preserve">Etant des </w:t>
      </w:r>
      <w:r w:rsidRPr="00D66645">
        <w:rPr>
          <w:rFonts w:cs="Arial"/>
          <w:sz w:val="22"/>
        </w:rPr>
        <w:t>association</w:t>
      </w:r>
      <w:r>
        <w:rPr>
          <w:rFonts w:cs="Arial"/>
          <w:sz w:val="22"/>
        </w:rPr>
        <w:t>s</w:t>
      </w:r>
      <w:r w:rsidRPr="00D66645">
        <w:rPr>
          <w:rFonts w:cs="Arial"/>
          <w:sz w:val="22"/>
        </w:rPr>
        <w:t xml:space="preserve"> autonome</w:t>
      </w:r>
      <w:r>
        <w:rPr>
          <w:rFonts w:cs="Arial"/>
          <w:sz w:val="22"/>
        </w:rPr>
        <w:t>s</w:t>
      </w:r>
      <w:r w:rsidRPr="00D66645">
        <w:rPr>
          <w:rFonts w:cs="Arial"/>
          <w:sz w:val="22"/>
        </w:rPr>
        <w:t xml:space="preserve"> de personnes volontairement réunies pour satisfaire leurs aspirations et besoins économiques, sociaux et culturels communs au moyen d’une entreprise dont la propriété est collective et où le pouvoir est exercé démocratiquemen</w:t>
      </w:r>
      <w:r>
        <w:rPr>
          <w:rFonts w:cs="Arial"/>
          <w:sz w:val="22"/>
        </w:rPr>
        <w:t>t, elles vont</w:t>
      </w:r>
      <w:r w:rsidRPr="00D66645">
        <w:rPr>
          <w:rFonts w:cs="Arial"/>
          <w:sz w:val="22"/>
        </w:rPr>
        <w:t xml:space="preserve"> </w:t>
      </w:r>
      <w:r>
        <w:rPr>
          <w:rFonts w:cs="Arial"/>
          <w:sz w:val="22"/>
        </w:rPr>
        <w:t xml:space="preserve">procéder à l’encadrement des petits exploitants agricoles et </w:t>
      </w:r>
      <w:r w:rsidRPr="00D66645">
        <w:rPr>
          <w:rFonts w:cs="Arial"/>
          <w:sz w:val="22"/>
        </w:rPr>
        <w:t xml:space="preserve">promouvoir les intérêts de ses membres </w:t>
      </w:r>
      <w:r>
        <w:rPr>
          <w:rFonts w:cs="Arial"/>
          <w:sz w:val="22"/>
        </w:rPr>
        <w:t>pendant la mise en œuvre du PNDA.</w:t>
      </w:r>
    </w:p>
    <w:p w14:paraId="476B103D" w14:textId="77777777" w:rsidR="001C2F95" w:rsidRDefault="001C2F95" w:rsidP="001C2F95">
      <w:pPr>
        <w:pStyle w:val="Paragraphedeliste"/>
        <w:rPr>
          <w:rFonts w:cs="Arial"/>
          <w:sz w:val="22"/>
        </w:rPr>
      </w:pPr>
    </w:p>
    <w:p w14:paraId="715ACAB3" w14:textId="77777777" w:rsidR="001C2F95" w:rsidRPr="00646EF1" w:rsidRDefault="001C2F95" w:rsidP="001C2F95">
      <w:pPr>
        <w:pStyle w:val="Paragraphedeliste"/>
        <w:rPr>
          <w:rFonts w:cs="Arial"/>
          <w:sz w:val="22"/>
        </w:rPr>
      </w:pPr>
      <w:r w:rsidRPr="00646EF1">
        <w:rPr>
          <w:rFonts w:cs="Arial"/>
          <w:sz w:val="22"/>
        </w:rPr>
        <w:t>Elle</w:t>
      </w:r>
      <w:r>
        <w:rPr>
          <w:rFonts w:cs="Arial"/>
          <w:sz w:val="22"/>
        </w:rPr>
        <w:t>s</w:t>
      </w:r>
      <w:r w:rsidRPr="00646EF1">
        <w:rPr>
          <w:rFonts w:cs="Arial"/>
          <w:sz w:val="22"/>
        </w:rPr>
        <w:t xml:space="preserve"> v</w:t>
      </w:r>
      <w:r>
        <w:rPr>
          <w:rFonts w:cs="Arial"/>
          <w:sz w:val="22"/>
        </w:rPr>
        <w:t>ont</w:t>
      </w:r>
      <w:r w:rsidRPr="00646EF1">
        <w:rPr>
          <w:rFonts w:cs="Arial"/>
          <w:sz w:val="22"/>
        </w:rPr>
        <w:t xml:space="preserve"> participer </w:t>
      </w:r>
      <w:r>
        <w:rPr>
          <w:rFonts w:cs="Arial"/>
          <w:sz w:val="22"/>
        </w:rPr>
        <w:t xml:space="preserve">également </w:t>
      </w:r>
      <w:r w:rsidRPr="00646EF1">
        <w:rPr>
          <w:rFonts w:cs="Arial"/>
          <w:sz w:val="22"/>
        </w:rPr>
        <w:t>aux séances d’information, de sensibilisation et de mobilisation sociale pour une adhésion et un changement de comportement autour des activités du Projet</w:t>
      </w:r>
      <w:r>
        <w:rPr>
          <w:rFonts w:cs="Arial"/>
          <w:sz w:val="22"/>
        </w:rPr>
        <w:t>.</w:t>
      </w:r>
    </w:p>
    <w:p w14:paraId="431F2D5D" w14:textId="77777777" w:rsidR="001C2F95" w:rsidRPr="00646EF1" w:rsidRDefault="001C2F95" w:rsidP="001C2F95">
      <w:pPr>
        <w:pStyle w:val="Paragraphedeliste"/>
        <w:rPr>
          <w:rFonts w:cs="Arial"/>
          <w:sz w:val="22"/>
        </w:rPr>
      </w:pPr>
    </w:p>
    <w:p w14:paraId="1E1C17D6" w14:textId="77777777" w:rsidR="001C2F95" w:rsidRPr="00646EF1" w:rsidRDefault="001C2F95" w:rsidP="002378EA">
      <w:pPr>
        <w:numPr>
          <w:ilvl w:val="0"/>
          <w:numId w:val="26"/>
        </w:numPr>
        <w:rPr>
          <w:rFonts w:cs="Arial"/>
          <w:sz w:val="22"/>
        </w:rPr>
      </w:pPr>
      <w:r w:rsidRPr="00646EF1">
        <w:rPr>
          <w:rFonts w:cs="Arial"/>
          <w:i/>
          <w:sz w:val="22"/>
        </w:rPr>
        <w:t xml:space="preserve">Les ONG et la Société Civile : </w:t>
      </w:r>
      <w:r w:rsidRPr="00646EF1">
        <w:rPr>
          <w:rFonts w:cs="Arial"/>
          <w:sz w:val="22"/>
        </w:rPr>
        <w:t xml:space="preserve">Les ONG locales de </w:t>
      </w:r>
      <w:r>
        <w:rPr>
          <w:rFonts w:cs="Arial"/>
          <w:sz w:val="22"/>
        </w:rPr>
        <w:t>prévention et réponse aux</w:t>
      </w:r>
      <w:r w:rsidRPr="00646EF1">
        <w:rPr>
          <w:rFonts w:cs="Arial"/>
          <w:sz w:val="22"/>
        </w:rPr>
        <w:t xml:space="preserve"> VBG et de lutte contre la COVID-19, les associations paysannes et autres organisations environnementales de la Société Civile pourront aussi participer à informer, éduquer et conscientiser la population sur les aspects environnementaux et sociaux ainsi que ceux liés </w:t>
      </w:r>
      <w:r>
        <w:rPr>
          <w:rFonts w:cs="Arial"/>
          <w:sz w:val="22"/>
        </w:rPr>
        <w:t>à l’EAS/HS</w:t>
      </w:r>
      <w:r w:rsidRPr="00646EF1">
        <w:rPr>
          <w:rFonts w:cs="Arial"/>
          <w:sz w:val="22"/>
        </w:rPr>
        <w:t xml:space="preserve"> et </w:t>
      </w:r>
      <w:r>
        <w:rPr>
          <w:rFonts w:cs="Arial"/>
          <w:sz w:val="22"/>
        </w:rPr>
        <w:t xml:space="preserve">au </w:t>
      </w:r>
      <w:r w:rsidRPr="00646EF1">
        <w:rPr>
          <w:rFonts w:cs="Arial"/>
          <w:sz w:val="22"/>
        </w:rPr>
        <w:t xml:space="preserve">COVID-19 pendant la mise en œuvre du Projet, mais aussi au suivi de la mise en œuvre des mesures du CGES. </w:t>
      </w:r>
    </w:p>
    <w:p w14:paraId="36CB386C" w14:textId="77777777" w:rsidR="001C2F95" w:rsidRPr="00646EF1" w:rsidRDefault="001C2F95" w:rsidP="001C2F95">
      <w:pPr>
        <w:spacing w:line="240" w:lineRule="auto"/>
        <w:jc w:val="left"/>
        <w:rPr>
          <w:rFonts w:cs="Arial"/>
          <w:sz w:val="22"/>
        </w:rPr>
      </w:pPr>
      <w:r>
        <w:rPr>
          <w:rFonts w:eastAsia="Calibri" w:cs="Arial"/>
          <w:bCs/>
          <w:sz w:val="22"/>
          <w:lang w:eastAsia="en-US"/>
        </w:rPr>
        <w:br w:type="page"/>
      </w:r>
      <w:bookmarkStart w:id="616" w:name="_Toc70451675"/>
      <w:r w:rsidRPr="00646EF1">
        <w:rPr>
          <w:rFonts w:cs="Arial"/>
          <w:sz w:val="22"/>
        </w:rPr>
        <w:t xml:space="preserve">Tableau </w:t>
      </w:r>
      <w:r w:rsidRPr="00646EF1">
        <w:rPr>
          <w:rFonts w:cs="Arial"/>
          <w:sz w:val="22"/>
        </w:rPr>
        <w:fldChar w:fldCharType="begin"/>
      </w:r>
      <w:r w:rsidRPr="00646EF1">
        <w:rPr>
          <w:rFonts w:cs="Arial"/>
          <w:sz w:val="22"/>
        </w:rPr>
        <w:instrText xml:space="preserve"> SEQ Tableau \* ARABIC </w:instrText>
      </w:r>
      <w:r w:rsidRPr="00646EF1">
        <w:rPr>
          <w:rFonts w:cs="Arial"/>
          <w:sz w:val="22"/>
        </w:rPr>
        <w:fldChar w:fldCharType="separate"/>
      </w:r>
      <w:r w:rsidR="001260B3">
        <w:rPr>
          <w:rFonts w:cs="Arial"/>
          <w:noProof/>
          <w:sz w:val="22"/>
        </w:rPr>
        <w:t>29</w:t>
      </w:r>
      <w:r w:rsidRPr="00646EF1">
        <w:rPr>
          <w:rFonts w:cs="Arial"/>
          <w:sz w:val="22"/>
        </w:rPr>
        <w:fldChar w:fldCharType="end"/>
      </w:r>
      <w:r w:rsidRPr="00646EF1">
        <w:rPr>
          <w:rFonts w:cs="Arial"/>
          <w:sz w:val="22"/>
        </w:rPr>
        <w:t>. Institutions responsables de la mise en œuvre</w:t>
      </w:r>
      <w:bookmarkEnd w:id="616"/>
    </w:p>
    <w:p w14:paraId="2D404C3F" w14:textId="77777777" w:rsidR="001C2F95" w:rsidRPr="00646EF1" w:rsidRDefault="001C2F95" w:rsidP="001C2F95">
      <w:pPr>
        <w:pStyle w:val="Lgende"/>
        <w:rPr>
          <w:rFonts w:cs="Arial"/>
          <w:sz w:val="22"/>
          <w:szCs w:val="22"/>
        </w:rPr>
      </w:pPr>
      <w:r w:rsidRPr="00646EF1">
        <w:rPr>
          <w:rFonts w:cs="Arial"/>
          <w:sz w:val="22"/>
          <w:szCs w:val="22"/>
        </w:rPr>
        <w:t xml:space="preserve"> </w:t>
      </w: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2917"/>
        <w:gridCol w:w="1805"/>
        <w:gridCol w:w="1805"/>
        <w:gridCol w:w="2186"/>
      </w:tblGrid>
      <w:tr w:rsidR="001C2F95" w:rsidRPr="00646EF1" w14:paraId="3A2853C7" w14:textId="77777777" w:rsidTr="00971FD2">
        <w:trPr>
          <w:trHeight w:val="552"/>
          <w:tblHeader/>
        </w:trPr>
        <w:tc>
          <w:tcPr>
            <w:tcW w:w="1817" w:type="dxa"/>
            <w:vMerge w:val="restart"/>
            <w:vAlign w:val="center"/>
          </w:tcPr>
          <w:p w14:paraId="16B9CB88" w14:textId="77777777" w:rsidR="001C2F95" w:rsidRPr="00646EF1" w:rsidRDefault="001C2F95" w:rsidP="00971FD2">
            <w:pPr>
              <w:jc w:val="left"/>
              <w:rPr>
                <w:rFonts w:cs="Arial"/>
                <w:bCs/>
                <w:sz w:val="22"/>
              </w:rPr>
            </w:pPr>
            <w:r w:rsidRPr="00646EF1">
              <w:rPr>
                <w:rFonts w:cs="Arial"/>
                <w:sz w:val="22"/>
              </w:rPr>
              <w:t>Mesures</w:t>
            </w:r>
          </w:p>
        </w:tc>
        <w:tc>
          <w:tcPr>
            <w:tcW w:w="3118" w:type="dxa"/>
            <w:vMerge w:val="restart"/>
            <w:vAlign w:val="center"/>
          </w:tcPr>
          <w:p w14:paraId="70C1CE2F" w14:textId="77777777" w:rsidR="001C2F95" w:rsidRPr="00646EF1" w:rsidRDefault="001C2F95" w:rsidP="00971FD2">
            <w:pPr>
              <w:jc w:val="center"/>
              <w:rPr>
                <w:rFonts w:cs="Arial"/>
                <w:bCs/>
                <w:sz w:val="22"/>
              </w:rPr>
            </w:pPr>
            <w:r w:rsidRPr="00646EF1">
              <w:rPr>
                <w:rFonts w:cs="Arial"/>
                <w:bCs/>
                <w:sz w:val="22"/>
              </w:rPr>
              <w:t>Domaines d’intervention</w:t>
            </w:r>
          </w:p>
        </w:tc>
        <w:tc>
          <w:tcPr>
            <w:tcW w:w="5670" w:type="dxa"/>
            <w:gridSpan w:val="3"/>
          </w:tcPr>
          <w:p w14:paraId="560FE09A" w14:textId="77777777" w:rsidR="001C2F95" w:rsidRPr="00646EF1" w:rsidRDefault="001C2F95" w:rsidP="00971FD2">
            <w:pPr>
              <w:jc w:val="center"/>
              <w:rPr>
                <w:rFonts w:cs="Arial"/>
                <w:bCs/>
                <w:sz w:val="22"/>
              </w:rPr>
            </w:pPr>
            <w:r w:rsidRPr="00646EF1">
              <w:rPr>
                <w:rFonts w:cs="Arial"/>
                <w:bCs/>
                <w:sz w:val="22"/>
              </w:rPr>
              <w:t>Responsable</w:t>
            </w:r>
          </w:p>
        </w:tc>
      </w:tr>
      <w:tr w:rsidR="001C2F95" w:rsidRPr="00646EF1" w14:paraId="24DEFD3C" w14:textId="77777777" w:rsidTr="00971FD2">
        <w:trPr>
          <w:trHeight w:val="404"/>
          <w:tblHeader/>
        </w:trPr>
        <w:tc>
          <w:tcPr>
            <w:tcW w:w="1817" w:type="dxa"/>
            <w:vMerge/>
          </w:tcPr>
          <w:p w14:paraId="3822DF59" w14:textId="77777777" w:rsidR="001C2F95" w:rsidRPr="00646EF1" w:rsidRDefault="001C2F95" w:rsidP="00971FD2">
            <w:pPr>
              <w:rPr>
                <w:rFonts w:cs="Arial"/>
                <w:bCs/>
                <w:sz w:val="22"/>
              </w:rPr>
            </w:pPr>
          </w:p>
        </w:tc>
        <w:tc>
          <w:tcPr>
            <w:tcW w:w="3118" w:type="dxa"/>
            <w:vMerge/>
          </w:tcPr>
          <w:p w14:paraId="2CDF1BF2" w14:textId="77777777" w:rsidR="001C2F95" w:rsidRPr="00646EF1" w:rsidRDefault="001C2F95" w:rsidP="00971FD2">
            <w:pPr>
              <w:rPr>
                <w:rFonts w:cs="Arial"/>
                <w:sz w:val="22"/>
              </w:rPr>
            </w:pPr>
          </w:p>
        </w:tc>
        <w:tc>
          <w:tcPr>
            <w:tcW w:w="1752" w:type="dxa"/>
          </w:tcPr>
          <w:p w14:paraId="063FD8C0" w14:textId="77777777" w:rsidR="001C2F95" w:rsidRPr="00646EF1" w:rsidRDefault="001C2F95" w:rsidP="00971FD2">
            <w:pPr>
              <w:rPr>
                <w:rFonts w:cs="Arial"/>
                <w:sz w:val="22"/>
              </w:rPr>
            </w:pPr>
            <w:r w:rsidRPr="00646EF1">
              <w:rPr>
                <w:rFonts w:cs="Arial"/>
                <w:sz w:val="22"/>
              </w:rPr>
              <w:t>Exécution</w:t>
            </w:r>
          </w:p>
        </w:tc>
        <w:tc>
          <w:tcPr>
            <w:tcW w:w="1699" w:type="dxa"/>
          </w:tcPr>
          <w:p w14:paraId="5A6AFC50" w14:textId="77777777" w:rsidR="001C2F95" w:rsidRPr="00646EF1" w:rsidRDefault="001C2F95" w:rsidP="00971FD2">
            <w:pPr>
              <w:rPr>
                <w:rFonts w:cs="Arial"/>
                <w:bCs/>
                <w:sz w:val="22"/>
              </w:rPr>
            </w:pPr>
            <w:r w:rsidRPr="00646EF1">
              <w:rPr>
                <w:rFonts w:cs="Arial"/>
                <w:bCs/>
                <w:sz w:val="22"/>
              </w:rPr>
              <w:t>Surveillance</w:t>
            </w:r>
          </w:p>
        </w:tc>
        <w:tc>
          <w:tcPr>
            <w:tcW w:w="2219" w:type="dxa"/>
          </w:tcPr>
          <w:p w14:paraId="555E7C9A" w14:textId="77777777" w:rsidR="001C2F95" w:rsidRPr="00646EF1" w:rsidRDefault="001C2F95" w:rsidP="00971FD2">
            <w:pPr>
              <w:rPr>
                <w:rFonts w:cs="Arial"/>
                <w:bCs/>
                <w:sz w:val="22"/>
              </w:rPr>
            </w:pPr>
            <w:r w:rsidRPr="00646EF1">
              <w:rPr>
                <w:rFonts w:cs="Arial"/>
                <w:bCs/>
                <w:sz w:val="22"/>
              </w:rPr>
              <w:t>Supervision et suivi</w:t>
            </w:r>
          </w:p>
        </w:tc>
      </w:tr>
      <w:tr w:rsidR="001C2F95" w:rsidRPr="00646EF1" w14:paraId="3CCCD706" w14:textId="77777777" w:rsidTr="00971FD2">
        <w:trPr>
          <w:trHeight w:val="1253"/>
        </w:trPr>
        <w:tc>
          <w:tcPr>
            <w:tcW w:w="1817" w:type="dxa"/>
          </w:tcPr>
          <w:p w14:paraId="19A59FBF" w14:textId="77777777" w:rsidR="001C2F95" w:rsidRPr="00646EF1" w:rsidRDefault="001C2F95" w:rsidP="00971FD2">
            <w:pPr>
              <w:rPr>
                <w:rFonts w:cs="Arial"/>
                <w:sz w:val="22"/>
              </w:rPr>
            </w:pPr>
            <w:r w:rsidRPr="00646EF1">
              <w:rPr>
                <w:rFonts w:cs="Arial"/>
                <w:bCs/>
                <w:sz w:val="22"/>
              </w:rPr>
              <w:t>Mesures d’atténuation</w:t>
            </w:r>
          </w:p>
        </w:tc>
        <w:tc>
          <w:tcPr>
            <w:tcW w:w="3118" w:type="dxa"/>
          </w:tcPr>
          <w:p w14:paraId="01EE17AA" w14:textId="77777777" w:rsidR="001C2F95" w:rsidRPr="00646EF1" w:rsidRDefault="001C2F95" w:rsidP="00971FD2">
            <w:pPr>
              <w:jc w:val="left"/>
              <w:rPr>
                <w:rFonts w:cs="Arial"/>
                <w:bCs/>
                <w:sz w:val="22"/>
              </w:rPr>
            </w:pPr>
            <w:r w:rsidRPr="00646EF1">
              <w:rPr>
                <w:rFonts w:cs="Arial"/>
                <w:bCs/>
                <w:sz w:val="22"/>
              </w:rPr>
              <w:t xml:space="preserve">Mesures d’atténuation générales et spécifiques des impacts négatifs des travaux d’aménagement des </w:t>
            </w:r>
            <w:r>
              <w:rPr>
                <w:rFonts w:cs="Arial"/>
                <w:bCs/>
                <w:sz w:val="22"/>
              </w:rPr>
              <w:t>routes</w:t>
            </w:r>
            <w:r w:rsidRPr="00646EF1">
              <w:rPr>
                <w:rFonts w:cs="Arial"/>
                <w:bCs/>
                <w:sz w:val="22"/>
              </w:rPr>
              <w:t xml:space="preserve"> rurales, de construction des marchés communautaires, des abattoirs, les travaux d’irrigation ;</w:t>
            </w:r>
          </w:p>
          <w:p w14:paraId="260E8DDB" w14:textId="77777777" w:rsidR="001C2F95" w:rsidRPr="00646EF1" w:rsidRDefault="001C2F95" w:rsidP="00971FD2">
            <w:pPr>
              <w:jc w:val="left"/>
              <w:rPr>
                <w:rFonts w:cs="Arial"/>
                <w:bCs/>
                <w:sz w:val="22"/>
              </w:rPr>
            </w:pPr>
            <w:r w:rsidRPr="00646EF1">
              <w:rPr>
                <w:rFonts w:cs="Arial"/>
                <w:bCs/>
                <w:sz w:val="22"/>
              </w:rPr>
              <w:t>Mesures de remise en état des carrières ;</w:t>
            </w:r>
          </w:p>
          <w:p w14:paraId="1764CDC6" w14:textId="77777777" w:rsidR="001C2F95" w:rsidRPr="00646EF1" w:rsidRDefault="001C2F95" w:rsidP="00971FD2">
            <w:pPr>
              <w:jc w:val="left"/>
              <w:rPr>
                <w:rFonts w:cs="Arial"/>
                <w:bCs/>
                <w:sz w:val="22"/>
              </w:rPr>
            </w:pPr>
            <w:r w:rsidRPr="00646EF1">
              <w:rPr>
                <w:rFonts w:cs="Arial"/>
                <w:bCs/>
                <w:sz w:val="22"/>
              </w:rPr>
              <w:t>Mesures de gestion des pesticides et des déchets des chantiers</w:t>
            </w:r>
            <w:r>
              <w:rPr>
                <w:rFonts w:cs="Arial"/>
                <w:bCs/>
                <w:sz w:val="22"/>
              </w:rPr>
              <w:t> ; M</w:t>
            </w:r>
            <w:r w:rsidRPr="00646EF1">
              <w:rPr>
                <w:rFonts w:cs="Arial"/>
                <w:bCs/>
                <w:sz w:val="22"/>
              </w:rPr>
              <w:t>esures de santé et sécurité</w:t>
            </w:r>
            <w:r>
              <w:rPr>
                <w:rFonts w:cs="Arial"/>
                <w:bCs/>
                <w:sz w:val="22"/>
              </w:rPr>
              <w:t> ;</w:t>
            </w:r>
            <w:r w:rsidRPr="00646EF1">
              <w:rPr>
                <w:rFonts w:cs="Arial"/>
                <w:bCs/>
                <w:sz w:val="22"/>
              </w:rPr>
              <w:t xml:space="preserve"> </w:t>
            </w:r>
            <w:r>
              <w:rPr>
                <w:rFonts w:cs="Arial"/>
                <w:bCs/>
                <w:sz w:val="22"/>
              </w:rPr>
              <w:t>M</w:t>
            </w:r>
            <w:r w:rsidRPr="00646EF1">
              <w:rPr>
                <w:rFonts w:cs="Arial"/>
                <w:bCs/>
                <w:sz w:val="22"/>
              </w:rPr>
              <w:t>esures d’atténuation des risques d</w:t>
            </w:r>
            <w:r>
              <w:rPr>
                <w:rFonts w:cs="Arial"/>
                <w:bCs/>
                <w:sz w:val="22"/>
              </w:rPr>
              <w:t>’</w:t>
            </w:r>
            <w:r w:rsidRPr="00646EF1">
              <w:rPr>
                <w:rFonts w:cs="Arial"/>
                <w:bCs/>
                <w:sz w:val="22"/>
              </w:rPr>
              <w:t>EAS/HS et de COVID-19, etc. ;</w:t>
            </w:r>
            <w:r>
              <w:rPr>
                <w:rFonts w:cs="Arial"/>
                <w:bCs/>
                <w:sz w:val="22"/>
              </w:rPr>
              <w:t xml:space="preserve"> </w:t>
            </w:r>
            <w:r w:rsidRPr="00646EF1">
              <w:rPr>
                <w:rFonts w:cs="Arial"/>
                <w:bCs/>
                <w:sz w:val="22"/>
              </w:rPr>
              <w:t>Mesures de repli/nettoyage des chantiers.</w:t>
            </w:r>
          </w:p>
        </w:tc>
        <w:tc>
          <w:tcPr>
            <w:tcW w:w="1752" w:type="dxa"/>
          </w:tcPr>
          <w:p w14:paraId="1136ECCA"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Entreprises </w:t>
            </w:r>
          </w:p>
          <w:p w14:paraId="0326BC48"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ALE</w:t>
            </w:r>
          </w:p>
        </w:tc>
        <w:tc>
          <w:tcPr>
            <w:tcW w:w="1699" w:type="dxa"/>
          </w:tcPr>
          <w:p w14:paraId="0011C0CB"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Bureaux de Contrôle</w:t>
            </w:r>
          </w:p>
        </w:tc>
        <w:tc>
          <w:tcPr>
            <w:tcW w:w="2219" w:type="dxa"/>
          </w:tcPr>
          <w:p w14:paraId="441DECC9"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SSE et </w:t>
            </w:r>
            <w:r>
              <w:rPr>
                <w:rFonts w:cs="Arial"/>
                <w:bCs/>
                <w:sz w:val="22"/>
              </w:rPr>
              <w:t>SSS</w:t>
            </w:r>
            <w:r w:rsidRPr="00646EF1">
              <w:rPr>
                <w:rFonts w:cs="Arial"/>
                <w:bCs/>
                <w:sz w:val="22"/>
              </w:rPr>
              <w:t xml:space="preserve"> et </w:t>
            </w:r>
            <w:r>
              <w:rPr>
                <w:rFonts w:cs="Arial"/>
                <w:bCs/>
                <w:sz w:val="22"/>
              </w:rPr>
              <w:t>S</w:t>
            </w:r>
            <w:r w:rsidRPr="00646EF1">
              <w:rPr>
                <w:rFonts w:cs="Arial"/>
                <w:bCs/>
                <w:sz w:val="22"/>
              </w:rPr>
              <w:t>VBG du PNDA (phase préparation et de mise en œuvre)</w:t>
            </w:r>
          </w:p>
          <w:p w14:paraId="4B11BEF8"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ACE</w:t>
            </w:r>
          </w:p>
          <w:p w14:paraId="02D804D7"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CPE</w:t>
            </w:r>
          </w:p>
          <w:p w14:paraId="343E704B" w14:textId="77777777" w:rsidR="001C2F95" w:rsidRPr="00646EF1" w:rsidRDefault="001C2F95" w:rsidP="00971FD2">
            <w:pPr>
              <w:pStyle w:val="Paragraphedeliste"/>
              <w:ind w:left="195"/>
              <w:jc w:val="left"/>
              <w:rPr>
                <w:rFonts w:cs="Arial"/>
                <w:bCs/>
                <w:sz w:val="22"/>
              </w:rPr>
            </w:pPr>
          </w:p>
          <w:p w14:paraId="5A66ABF6" w14:textId="77777777" w:rsidR="001C2F95" w:rsidRPr="00646EF1" w:rsidRDefault="001C2F95" w:rsidP="00971FD2">
            <w:pPr>
              <w:pStyle w:val="Paragraphedeliste"/>
              <w:ind w:left="195"/>
              <w:jc w:val="left"/>
              <w:rPr>
                <w:rFonts w:cs="Arial"/>
                <w:bCs/>
                <w:sz w:val="22"/>
              </w:rPr>
            </w:pPr>
          </w:p>
          <w:p w14:paraId="2FDFEE7C" w14:textId="77777777" w:rsidR="001C2F95" w:rsidRPr="00646EF1" w:rsidRDefault="001C2F95" w:rsidP="00971FD2">
            <w:pPr>
              <w:pStyle w:val="Paragraphedeliste"/>
              <w:ind w:left="195"/>
              <w:jc w:val="left"/>
              <w:rPr>
                <w:rFonts w:cs="Arial"/>
                <w:bCs/>
                <w:sz w:val="22"/>
              </w:rPr>
            </w:pPr>
          </w:p>
        </w:tc>
      </w:tr>
      <w:tr w:rsidR="001C2F95" w:rsidRPr="00646EF1" w14:paraId="1F34A1FC" w14:textId="77777777" w:rsidTr="00971FD2">
        <w:trPr>
          <w:trHeight w:val="305"/>
        </w:trPr>
        <w:tc>
          <w:tcPr>
            <w:tcW w:w="1817" w:type="dxa"/>
            <w:vMerge w:val="restart"/>
          </w:tcPr>
          <w:p w14:paraId="1961E211" w14:textId="77777777" w:rsidR="001C2F95" w:rsidRPr="00646EF1" w:rsidRDefault="001C2F95" w:rsidP="00971FD2">
            <w:pPr>
              <w:rPr>
                <w:rFonts w:cs="Arial"/>
                <w:bCs/>
                <w:sz w:val="22"/>
              </w:rPr>
            </w:pPr>
            <w:r w:rsidRPr="00646EF1">
              <w:rPr>
                <w:rFonts w:cs="Arial"/>
                <w:sz w:val="22"/>
              </w:rPr>
              <w:t>Études, mesures complémentaires</w:t>
            </w:r>
          </w:p>
          <w:p w14:paraId="5B2A5455" w14:textId="77777777" w:rsidR="001C2F95" w:rsidRPr="00646EF1" w:rsidRDefault="001C2F95" w:rsidP="00971FD2">
            <w:pPr>
              <w:rPr>
                <w:rFonts w:cs="Arial"/>
                <w:bCs/>
                <w:sz w:val="22"/>
              </w:rPr>
            </w:pPr>
            <w:r w:rsidRPr="00646EF1">
              <w:rPr>
                <w:rFonts w:cs="Arial"/>
                <w:sz w:val="22"/>
              </w:rPr>
              <w:t xml:space="preserve"> </w:t>
            </w:r>
          </w:p>
        </w:tc>
        <w:tc>
          <w:tcPr>
            <w:tcW w:w="3118" w:type="dxa"/>
          </w:tcPr>
          <w:p w14:paraId="01F21687" w14:textId="77777777" w:rsidR="001C2F95" w:rsidRPr="00646EF1" w:rsidRDefault="001C2F95" w:rsidP="00971FD2">
            <w:pPr>
              <w:rPr>
                <w:rFonts w:cs="Arial"/>
                <w:bCs/>
                <w:sz w:val="22"/>
              </w:rPr>
            </w:pPr>
            <w:r w:rsidRPr="00646EF1">
              <w:rPr>
                <w:rFonts w:cs="Arial"/>
                <w:sz w:val="22"/>
              </w:rPr>
              <w:t xml:space="preserve">Réalisation des </w:t>
            </w:r>
            <w:r w:rsidRPr="00E86F55">
              <w:rPr>
                <w:rFonts w:cs="Arial"/>
                <w:sz w:val="22"/>
              </w:rPr>
              <w:t>É</w:t>
            </w:r>
            <w:r w:rsidRPr="00646EF1">
              <w:rPr>
                <w:rFonts w:cs="Arial"/>
                <w:sz w:val="22"/>
              </w:rPr>
              <w:t>IES</w:t>
            </w:r>
          </w:p>
        </w:tc>
        <w:tc>
          <w:tcPr>
            <w:tcW w:w="1752" w:type="dxa"/>
          </w:tcPr>
          <w:p w14:paraId="3F56DDC2"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Consultants</w:t>
            </w:r>
          </w:p>
        </w:tc>
        <w:tc>
          <w:tcPr>
            <w:tcW w:w="1699" w:type="dxa"/>
          </w:tcPr>
          <w:p w14:paraId="02863579" w14:textId="77777777" w:rsidR="001C2F95" w:rsidRPr="00372F9C" w:rsidRDefault="001C2F95" w:rsidP="002378EA">
            <w:pPr>
              <w:pStyle w:val="Paragraphedeliste"/>
              <w:numPr>
                <w:ilvl w:val="0"/>
                <w:numId w:val="27"/>
              </w:numPr>
              <w:ind w:left="195" w:hanging="195"/>
              <w:jc w:val="left"/>
              <w:rPr>
                <w:rFonts w:cs="Arial"/>
                <w:bCs/>
                <w:sz w:val="22"/>
                <w:lang w:val="nb-NO"/>
              </w:rPr>
            </w:pPr>
            <w:r w:rsidRPr="00372F9C">
              <w:rPr>
                <w:rFonts w:cs="Arial"/>
                <w:bCs/>
                <w:sz w:val="22"/>
                <w:lang w:val="nb-NO"/>
              </w:rPr>
              <w:t xml:space="preserve">SSE, SSS et SVBG de l’UNCP/PNDA </w:t>
            </w:r>
          </w:p>
        </w:tc>
        <w:tc>
          <w:tcPr>
            <w:tcW w:w="2219" w:type="dxa"/>
          </w:tcPr>
          <w:p w14:paraId="71BE0CD7"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UNCP/PARRSA, CTPS et U</w:t>
            </w:r>
            <w:r>
              <w:rPr>
                <w:rFonts w:cs="Arial"/>
                <w:bCs/>
                <w:sz w:val="22"/>
              </w:rPr>
              <w:t>NCP</w:t>
            </w:r>
            <w:r w:rsidRPr="00646EF1">
              <w:rPr>
                <w:rFonts w:cs="Arial"/>
                <w:bCs/>
                <w:sz w:val="22"/>
              </w:rPr>
              <w:t xml:space="preserve"> / PNDA (phase préparation et de mise en œuvre)</w:t>
            </w:r>
          </w:p>
          <w:p w14:paraId="22FF828E"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ACE</w:t>
            </w:r>
          </w:p>
          <w:p w14:paraId="3F404219"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CPE</w:t>
            </w:r>
          </w:p>
        </w:tc>
      </w:tr>
      <w:tr w:rsidR="001C2F95" w:rsidRPr="00646EF1" w14:paraId="0D6A6A45" w14:textId="77777777" w:rsidTr="00971FD2">
        <w:trPr>
          <w:trHeight w:val="316"/>
        </w:trPr>
        <w:tc>
          <w:tcPr>
            <w:tcW w:w="1817" w:type="dxa"/>
            <w:vMerge/>
          </w:tcPr>
          <w:p w14:paraId="4136FF69" w14:textId="77777777" w:rsidR="001C2F95" w:rsidRPr="00646EF1" w:rsidRDefault="001C2F95" w:rsidP="00971FD2">
            <w:pPr>
              <w:rPr>
                <w:rFonts w:cs="Arial"/>
                <w:bCs/>
                <w:sz w:val="22"/>
              </w:rPr>
            </w:pPr>
          </w:p>
        </w:tc>
        <w:tc>
          <w:tcPr>
            <w:tcW w:w="3118" w:type="dxa"/>
          </w:tcPr>
          <w:p w14:paraId="75F14831" w14:textId="77777777" w:rsidR="001C2F95" w:rsidRPr="00646EF1" w:rsidRDefault="001C2F95" w:rsidP="00971FD2">
            <w:pPr>
              <w:jc w:val="left"/>
              <w:rPr>
                <w:rFonts w:cs="Arial"/>
                <w:sz w:val="22"/>
              </w:rPr>
            </w:pPr>
            <w:r w:rsidRPr="00646EF1">
              <w:rPr>
                <w:rFonts w:cs="Arial"/>
                <w:sz w:val="22"/>
              </w:rPr>
              <w:t xml:space="preserve">Provision pour la mise en œuvre des mesures issues des </w:t>
            </w:r>
            <w:r w:rsidRPr="00E86F55">
              <w:rPr>
                <w:rFonts w:cs="Arial"/>
                <w:sz w:val="22"/>
              </w:rPr>
              <w:t>É</w:t>
            </w:r>
            <w:r w:rsidRPr="00646EF1">
              <w:rPr>
                <w:rFonts w:cs="Arial"/>
                <w:sz w:val="22"/>
              </w:rPr>
              <w:t>IES.</w:t>
            </w:r>
          </w:p>
        </w:tc>
        <w:tc>
          <w:tcPr>
            <w:tcW w:w="1752" w:type="dxa"/>
          </w:tcPr>
          <w:p w14:paraId="446B72F7"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SSE et </w:t>
            </w:r>
            <w:r>
              <w:rPr>
                <w:rFonts w:cs="Arial"/>
                <w:bCs/>
                <w:sz w:val="22"/>
              </w:rPr>
              <w:t>SSS</w:t>
            </w:r>
            <w:r w:rsidRPr="00646EF1">
              <w:rPr>
                <w:rFonts w:cs="Arial"/>
                <w:bCs/>
                <w:sz w:val="22"/>
              </w:rPr>
              <w:t xml:space="preserve"> et </w:t>
            </w:r>
            <w:r>
              <w:rPr>
                <w:rFonts w:cs="Arial"/>
                <w:bCs/>
                <w:sz w:val="22"/>
              </w:rPr>
              <w:t>S</w:t>
            </w:r>
            <w:r w:rsidRPr="00646EF1">
              <w:rPr>
                <w:rFonts w:cs="Arial"/>
                <w:bCs/>
                <w:sz w:val="22"/>
              </w:rPr>
              <w:t xml:space="preserve">VBG du PNDA (phase </w:t>
            </w:r>
            <w:r>
              <w:rPr>
                <w:rFonts w:cs="Arial"/>
                <w:bCs/>
                <w:sz w:val="22"/>
              </w:rPr>
              <w:t xml:space="preserve">de </w:t>
            </w:r>
            <w:r w:rsidRPr="00646EF1">
              <w:rPr>
                <w:rFonts w:cs="Arial"/>
                <w:bCs/>
                <w:sz w:val="22"/>
              </w:rPr>
              <w:t>préparation et de mise en œuvre)</w:t>
            </w:r>
          </w:p>
        </w:tc>
        <w:tc>
          <w:tcPr>
            <w:tcW w:w="1699" w:type="dxa"/>
          </w:tcPr>
          <w:p w14:paraId="69264E9C"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CTPS PNDA (phase </w:t>
            </w:r>
            <w:r>
              <w:rPr>
                <w:rFonts w:cs="Arial"/>
                <w:bCs/>
                <w:sz w:val="22"/>
              </w:rPr>
              <w:t xml:space="preserve">de </w:t>
            </w:r>
            <w:r w:rsidRPr="00646EF1">
              <w:rPr>
                <w:rFonts w:cs="Arial"/>
                <w:bCs/>
                <w:sz w:val="22"/>
              </w:rPr>
              <w:t xml:space="preserve">préparation et phase </w:t>
            </w:r>
            <w:r>
              <w:rPr>
                <w:rFonts w:cs="Arial"/>
                <w:bCs/>
                <w:sz w:val="22"/>
              </w:rPr>
              <w:t xml:space="preserve">de </w:t>
            </w:r>
            <w:r w:rsidRPr="00646EF1">
              <w:rPr>
                <w:rFonts w:cs="Arial"/>
                <w:bCs/>
                <w:sz w:val="22"/>
              </w:rPr>
              <w:t>mise en œuvre)</w:t>
            </w:r>
          </w:p>
        </w:tc>
        <w:tc>
          <w:tcPr>
            <w:tcW w:w="2219" w:type="dxa"/>
          </w:tcPr>
          <w:p w14:paraId="7DA2B18D"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CTPS</w:t>
            </w:r>
          </w:p>
          <w:p w14:paraId="65826A3A"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ACE</w:t>
            </w:r>
          </w:p>
          <w:p w14:paraId="57322496"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CPE</w:t>
            </w:r>
          </w:p>
          <w:p w14:paraId="39B26F73" w14:textId="77777777" w:rsidR="001C2F95" w:rsidRPr="00646EF1" w:rsidRDefault="001C2F95" w:rsidP="00971FD2">
            <w:pPr>
              <w:pStyle w:val="Paragraphedeliste"/>
              <w:ind w:left="195"/>
              <w:jc w:val="left"/>
              <w:rPr>
                <w:rFonts w:cs="Arial"/>
                <w:bCs/>
                <w:sz w:val="22"/>
              </w:rPr>
            </w:pPr>
          </w:p>
        </w:tc>
      </w:tr>
      <w:tr w:rsidR="001C2F95" w:rsidRPr="00646EF1" w14:paraId="4CCFD3C7" w14:textId="77777777" w:rsidTr="00971FD2">
        <w:trPr>
          <w:trHeight w:val="105"/>
        </w:trPr>
        <w:tc>
          <w:tcPr>
            <w:tcW w:w="1817" w:type="dxa"/>
            <w:vMerge/>
          </w:tcPr>
          <w:p w14:paraId="467B843A" w14:textId="77777777" w:rsidR="001C2F95" w:rsidRPr="00646EF1" w:rsidRDefault="001C2F95" w:rsidP="00971FD2">
            <w:pPr>
              <w:rPr>
                <w:rFonts w:cs="Arial"/>
                <w:bCs/>
                <w:sz w:val="22"/>
              </w:rPr>
            </w:pPr>
          </w:p>
        </w:tc>
        <w:tc>
          <w:tcPr>
            <w:tcW w:w="3118" w:type="dxa"/>
          </w:tcPr>
          <w:p w14:paraId="0B8C7087" w14:textId="77777777" w:rsidR="001C2F95" w:rsidRPr="00646EF1" w:rsidRDefault="001C2F95" w:rsidP="00971FD2">
            <w:pPr>
              <w:jc w:val="left"/>
              <w:rPr>
                <w:rFonts w:cs="Arial"/>
                <w:sz w:val="22"/>
              </w:rPr>
            </w:pPr>
            <w:r w:rsidRPr="00646EF1">
              <w:rPr>
                <w:rFonts w:cs="Arial"/>
                <w:sz w:val="22"/>
              </w:rPr>
              <w:t>Plantation d’arbres et aménagement paysagers.</w:t>
            </w:r>
          </w:p>
        </w:tc>
        <w:tc>
          <w:tcPr>
            <w:tcW w:w="1752" w:type="dxa"/>
          </w:tcPr>
          <w:p w14:paraId="25C59B26"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Entreprises</w:t>
            </w:r>
          </w:p>
          <w:p w14:paraId="28DDCBCF"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ALE </w:t>
            </w:r>
          </w:p>
        </w:tc>
        <w:tc>
          <w:tcPr>
            <w:tcW w:w="1699" w:type="dxa"/>
          </w:tcPr>
          <w:p w14:paraId="5FE09738"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Bureaux de Contrôle </w:t>
            </w:r>
          </w:p>
          <w:p w14:paraId="46162313" w14:textId="77777777" w:rsidR="001C2F95" w:rsidRPr="00646EF1" w:rsidRDefault="001C2F95" w:rsidP="00971FD2">
            <w:pPr>
              <w:pStyle w:val="Paragraphedeliste"/>
              <w:ind w:left="195"/>
              <w:jc w:val="left"/>
              <w:rPr>
                <w:rFonts w:cs="Arial"/>
                <w:bCs/>
                <w:sz w:val="22"/>
              </w:rPr>
            </w:pPr>
          </w:p>
        </w:tc>
        <w:tc>
          <w:tcPr>
            <w:tcW w:w="2219" w:type="dxa"/>
          </w:tcPr>
          <w:p w14:paraId="5A4C60AC"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SSE, </w:t>
            </w:r>
            <w:r>
              <w:rPr>
                <w:rFonts w:cs="Arial"/>
                <w:bCs/>
                <w:sz w:val="22"/>
              </w:rPr>
              <w:t>SSS</w:t>
            </w:r>
            <w:r w:rsidRPr="00646EF1">
              <w:rPr>
                <w:rFonts w:cs="Arial"/>
                <w:bCs/>
                <w:sz w:val="22"/>
              </w:rPr>
              <w:t xml:space="preserve"> et </w:t>
            </w:r>
            <w:r>
              <w:rPr>
                <w:rFonts w:cs="Arial"/>
                <w:bCs/>
                <w:sz w:val="22"/>
              </w:rPr>
              <w:t>S</w:t>
            </w:r>
            <w:r w:rsidRPr="00646EF1">
              <w:rPr>
                <w:rFonts w:cs="Arial"/>
                <w:bCs/>
                <w:sz w:val="22"/>
              </w:rPr>
              <w:t xml:space="preserve">VBG du PNDA (phase </w:t>
            </w:r>
            <w:r>
              <w:rPr>
                <w:rFonts w:cs="Arial"/>
                <w:bCs/>
                <w:sz w:val="22"/>
              </w:rPr>
              <w:t xml:space="preserve">de </w:t>
            </w:r>
            <w:r w:rsidRPr="00646EF1">
              <w:rPr>
                <w:rFonts w:cs="Arial"/>
                <w:bCs/>
                <w:sz w:val="22"/>
              </w:rPr>
              <w:t>préparation et de mise en œuvre</w:t>
            </w:r>
          </w:p>
          <w:p w14:paraId="3F259F58"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Communes</w:t>
            </w:r>
          </w:p>
          <w:p w14:paraId="215ECC49"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ACE</w:t>
            </w:r>
          </w:p>
        </w:tc>
      </w:tr>
      <w:tr w:rsidR="001C2F95" w:rsidRPr="00646EF1" w14:paraId="614DDD47" w14:textId="77777777" w:rsidTr="00971FD2">
        <w:trPr>
          <w:trHeight w:val="459"/>
        </w:trPr>
        <w:tc>
          <w:tcPr>
            <w:tcW w:w="1817" w:type="dxa"/>
            <w:vMerge/>
          </w:tcPr>
          <w:p w14:paraId="5BFC492A" w14:textId="77777777" w:rsidR="001C2F95" w:rsidRPr="00646EF1" w:rsidRDefault="001C2F95" w:rsidP="00971FD2">
            <w:pPr>
              <w:rPr>
                <w:rFonts w:cs="Arial"/>
                <w:bCs/>
                <w:sz w:val="22"/>
              </w:rPr>
            </w:pPr>
          </w:p>
        </w:tc>
        <w:tc>
          <w:tcPr>
            <w:tcW w:w="3118" w:type="dxa"/>
          </w:tcPr>
          <w:p w14:paraId="788FC238" w14:textId="77777777" w:rsidR="001C2F95" w:rsidRPr="00646EF1" w:rsidRDefault="001C2F95" w:rsidP="00971FD2">
            <w:pPr>
              <w:rPr>
                <w:rFonts w:cs="Arial"/>
                <w:sz w:val="22"/>
              </w:rPr>
            </w:pPr>
            <w:r w:rsidRPr="00646EF1">
              <w:rPr>
                <w:rFonts w:cs="Arial"/>
                <w:sz w:val="22"/>
              </w:rPr>
              <w:t>Distribution des intrants agricoles et semences aux petits exploitants agricoles ainsi qu</w:t>
            </w:r>
            <w:r>
              <w:rPr>
                <w:rFonts w:cs="Arial"/>
                <w:sz w:val="22"/>
              </w:rPr>
              <w:t>’</w:t>
            </w:r>
            <w:r w:rsidRPr="00646EF1">
              <w:rPr>
                <w:rFonts w:cs="Arial"/>
                <w:sz w:val="22"/>
              </w:rPr>
              <w:t>appui à la pêche et élevage.</w:t>
            </w:r>
          </w:p>
        </w:tc>
        <w:tc>
          <w:tcPr>
            <w:tcW w:w="1752" w:type="dxa"/>
            <w:vAlign w:val="center"/>
          </w:tcPr>
          <w:p w14:paraId="3E1AE91D" w14:textId="77777777" w:rsidR="001C2F95" w:rsidRPr="00646EF1" w:rsidRDefault="001C2F95" w:rsidP="00971FD2">
            <w:pPr>
              <w:pStyle w:val="Paragraphedeliste"/>
              <w:ind w:left="195"/>
              <w:jc w:val="left"/>
              <w:rPr>
                <w:rFonts w:cs="Arial"/>
                <w:bCs/>
                <w:sz w:val="22"/>
              </w:rPr>
            </w:pPr>
          </w:p>
          <w:p w14:paraId="296DC04C"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Fournisseurs</w:t>
            </w:r>
          </w:p>
          <w:p w14:paraId="7276F760" w14:textId="77777777" w:rsidR="001C2F95" w:rsidRPr="00646EF1" w:rsidRDefault="001C2F95" w:rsidP="00971FD2">
            <w:pPr>
              <w:pStyle w:val="Paragraphedeliste"/>
              <w:ind w:left="195"/>
              <w:jc w:val="left"/>
              <w:rPr>
                <w:rFonts w:cs="Arial"/>
                <w:bCs/>
                <w:sz w:val="22"/>
              </w:rPr>
            </w:pPr>
          </w:p>
        </w:tc>
        <w:tc>
          <w:tcPr>
            <w:tcW w:w="1699" w:type="dxa"/>
          </w:tcPr>
          <w:p w14:paraId="58FD20EC"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SSE, </w:t>
            </w:r>
            <w:r>
              <w:rPr>
                <w:rFonts w:cs="Arial"/>
                <w:bCs/>
                <w:sz w:val="22"/>
              </w:rPr>
              <w:t>SSS</w:t>
            </w:r>
            <w:r w:rsidRPr="00646EF1">
              <w:rPr>
                <w:rFonts w:cs="Arial"/>
                <w:bCs/>
                <w:sz w:val="22"/>
              </w:rPr>
              <w:t xml:space="preserve"> et </w:t>
            </w:r>
            <w:r>
              <w:rPr>
                <w:rFonts w:cs="Arial"/>
                <w:bCs/>
                <w:sz w:val="22"/>
              </w:rPr>
              <w:t>S</w:t>
            </w:r>
            <w:r w:rsidRPr="00646EF1">
              <w:rPr>
                <w:rFonts w:cs="Arial"/>
                <w:bCs/>
                <w:sz w:val="22"/>
              </w:rPr>
              <w:t xml:space="preserve">VBG du PNDA (phase </w:t>
            </w:r>
            <w:r>
              <w:rPr>
                <w:rFonts w:cs="Arial"/>
                <w:bCs/>
                <w:sz w:val="22"/>
              </w:rPr>
              <w:t xml:space="preserve">de </w:t>
            </w:r>
            <w:r w:rsidRPr="00646EF1">
              <w:rPr>
                <w:rFonts w:cs="Arial"/>
                <w:bCs/>
                <w:sz w:val="22"/>
              </w:rPr>
              <w:t>préparation et de mise en œuvre).</w:t>
            </w:r>
          </w:p>
        </w:tc>
        <w:tc>
          <w:tcPr>
            <w:tcW w:w="2219" w:type="dxa"/>
          </w:tcPr>
          <w:p w14:paraId="01E4F21A"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CTPS (phase préparation)</w:t>
            </w:r>
          </w:p>
          <w:p w14:paraId="4728864B" w14:textId="77777777" w:rsidR="001C2F95" w:rsidRPr="00646EF1" w:rsidRDefault="001C2F95" w:rsidP="00971FD2">
            <w:pPr>
              <w:pStyle w:val="Paragraphedeliste"/>
              <w:ind w:left="195"/>
              <w:jc w:val="left"/>
              <w:rPr>
                <w:rFonts w:cs="Arial"/>
                <w:bCs/>
                <w:sz w:val="22"/>
              </w:rPr>
            </w:pPr>
            <w:r w:rsidRPr="00646EF1">
              <w:rPr>
                <w:rFonts w:cs="Arial"/>
                <w:bCs/>
                <w:sz w:val="22"/>
              </w:rPr>
              <w:t>U</w:t>
            </w:r>
            <w:r>
              <w:rPr>
                <w:rFonts w:cs="Arial"/>
                <w:bCs/>
                <w:sz w:val="22"/>
              </w:rPr>
              <w:t>NCP</w:t>
            </w:r>
            <w:r w:rsidRPr="00646EF1">
              <w:rPr>
                <w:rFonts w:cs="Arial"/>
                <w:bCs/>
                <w:sz w:val="22"/>
              </w:rPr>
              <w:t>/PNDA (phase de mise en œuvre)</w:t>
            </w:r>
          </w:p>
          <w:p w14:paraId="78B4C396"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Provinces</w:t>
            </w:r>
          </w:p>
          <w:p w14:paraId="49C04841"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ACE</w:t>
            </w:r>
          </w:p>
          <w:p w14:paraId="70A0BBB4"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CPE</w:t>
            </w:r>
          </w:p>
        </w:tc>
      </w:tr>
      <w:tr w:rsidR="001C2F95" w:rsidRPr="00646EF1" w14:paraId="08F08848" w14:textId="77777777" w:rsidTr="00971FD2">
        <w:trPr>
          <w:trHeight w:val="459"/>
        </w:trPr>
        <w:tc>
          <w:tcPr>
            <w:tcW w:w="1817" w:type="dxa"/>
          </w:tcPr>
          <w:p w14:paraId="032ED46C" w14:textId="77777777" w:rsidR="001C2F95" w:rsidRPr="00646EF1" w:rsidRDefault="001C2F95" w:rsidP="00971FD2">
            <w:pPr>
              <w:rPr>
                <w:rFonts w:cs="Arial"/>
                <w:bCs/>
                <w:sz w:val="22"/>
              </w:rPr>
            </w:pPr>
            <w:r>
              <w:rPr>
                <w:rFonts w:cs="Arial"/>
                <w:bCs/>
                <w:sz w:val="22"/>
              </w:rPr>
              <w:t>Mesures</w:t>
            </w:r>
          </w:p>
        </w:tc>
        <w:tc>
          <w:tcPr>
            <w:tcW w:w="3118" w:type="dxa"/>
          </w:tcPr>
          <w:p w14:paraId="3697EEBA" w14:textId="77777777" w:rsidR="001C2F95" w:rsidRDefault="001C2F95" w:rsidP="00971FD2">
            <w:pPr>
              <w:rPr>
                <w:rFonts w:cs="Arial"/>
                <w:sz w:val="22"/>
              </w:rPr>
            </w:pPr>
          </w:p>
          <w:p w14:paraId="7DAE37F3" w14:textId="77777777" w:rsidR="001C2F95" w:rsidRDefault="001C2F95" w:rsidP="002378EA">
            <w:pPr>
              <w:pStyle w:val="Paragraphedeliste"/>
              <w:numPr>
                <w:ilvl w:val="0"/>
                <w:numId w:val="27"/>
              </w:numPr>
              <w:ind w:left="195" w:hanging="195"/>
              <w:jc w:val="left"/>
              <w:rPr>
                <w:rFonts w:cs="Arial"/>
                <w:bCs/>
                <w:sz w:val="22"/>
              </w:rPr>
            </w:pPr>
            <w:r w:rsidRPr="0065071D">
              <w:rPr>
                <w:rFonts w:cs="Arial"/>
                <w:bCs/>
                <w:sz w:val="22"/>
              </w:rPr>
              <w:t>Mise en place d’un système de gestion environnementale et sociale (SGES)</w:t>
            </w:r>
          </w:p>
          <w:p w14:paraId="1FA56914" w14:textId="77777777" w:rsidR="001C2F95" w:rsidRPr="0065071D" w:rsidRDefault="001C2F95" w:rsidP="002378EA">
            <w:pPr>
              <w:pStyle w:val="Paragraphedeliste"/>
              <w:numPr>
                <w:ilvl w:val="0"/>
                <w:numId w:val="27"/>
              </w:numPr>
              <w:ind w:left="195" w:hanging="195"/>
              <w:jc w:val="left"/>
              <w:rPr>
                <w:rFonts w:cs="Arial"/>
                <w:bCs/>
                <w:sz w:val="22"/>
              </w:rPr>
            </w:pPr>
            <w:r>
              <w:rPr>
                <w:rFonts w:cs="Arial"/>
                <w:bCs/>
                <w:sz w:val="22"/>
              </w:rPr>
              <w:t>S</w:t>
            </w:r>
            <w:r w:rsidR="001357AB">
              <w:rPr>
                <w:rFonts w:cs="Arial"/>
                <w:bCs/>
                <w:sz w:val="22"/>
              </w:rPr>
              <w:t>é</w:t>
            </w:r>
            <w:r>
              <w:rPr>
                <w:rFonts w:cs="Arial"/>
                <w:bCs/>
                <w:sz w:val="22"/>
              </w:rPr>
              <w:t>lection des petits exploitants éligibles aux financements des IF</w:t>
            </w:r>
          </w:p>
          <w:p w14:paraId="27BCEB39" w14:textId="77777777" w:rsidR="001C2F95" w:rsidRPr="00646EF1" w:rsidRDefault="001C2F95" w:rsidP="00971FD2">
            <w:pPr>
              <w:rPr>
                <w:rFonts w:cs="Arial"/>
                <w:sz w:val="22"/>
              </w:rPr>
            </w:pPr>
          </w:p>
        </w:tc>
        <w:tc>
          <w:tcPr>
            <w:tcW w:w="1752" w:type="dxa"/>
            <w:vAlign w:val="center"/>
          </w:tcPr>
          <w:p w14:paraId="1598C413" w14:textId="77777777" w:rsidR="001C2F95" w:rsidRPr="00FF4CBB" w:rsidRDefault="001C2F95" w:rsidP="002378EA">
            <w:pPr>
              <w:pStyle w:val="Paragraphedeliste"/>
              <w:numPr>
                <w:ilvl w:val="0"/>
                <w:numId w:val="27"/>
              </w:numPr>
              <w:ind w:left="195" w:hanging="195"/>
              <w:jc w:val="left"/>
              <w:rPr>
                <w:rFonts w:cs="Arial"/>
                <w:bCs/>
                <w:sz w:val="22"/>
                <w:lang w:val="en-US"/>
              </w:rPr>
            </w:pPr>
            <w:r w:rsidRPr="00FF4CBB">
              <w:rPr>
                <w:rFonts w:cs="Arial"/>
                <w:bCs/>
                <w:sz w:val="22"/>
                <w:lang w:val="en-US"/>
              </w:rPr>
              <w:t>Interm</w:t>
            </w:r>
            <w:r w:rsidR="001357AB">
              <w:rPr>
                <w:rFonts w:cs="Arial"/>
                <w:bCs/>
                <w:sz w:val="22"/>
                <w:lang w:val="en-US"/>
              </w:rPr>
              <w:t>é</w:t>
            </w:r>
            <w:r w:rsidRPr="00FF4CBB">
              <w:rPr>
                <w:rFonts w:cs="Arial"/>
                <w:bCs/>
                <w:sz w:val="22"/>
                <w:lang w:val="en-US"/>
              </w:rPr>
              <w:t>diaires financiers (BCC, Equity Bank Congo et Raw Bank sarl)</w:t>
            </w:r>
          </w:p>
          <w:p w14:paraId="20A6C2A1" w14:textId="77777777" w:rsidR="001C2F95" w:rsidRPr="00646EF1" w:rsidRDefault="001C2F95" w:rsidP="002378EA">
            <w:pPr>
              <w:pStyle w:val="Paragraphedeliste"/>
              <w:numPr>
                <w:ilvl w:val="0"/>
                <w:numId w:val="27"/>
              </w:numPr>
              <w:ind w:left="195" w:hanging="195"/>
              <w:jc w:val="left"/>
              <w:rPr>
                <w:rFonts w:cs="Arial"/>
                <w:bCs/>
                <w:sz w:val="22"/>
              </w:rPr>
            </w:pPr>
            <w:r>
              <w:rPr>
                <w:rFonts w:cs="Arial"/>
                <w:bCs/>
                <w:sz w:val="22"/>
              </w:rPr>
              <w:t>Les Associations et coopératives agricoles</w:t>
            </w:r>
          </w:p>
        </w:tc>
        <w:tc>
          <w:tcPr>
            <w:tcW w:w="1699" w:type="dxa"/>
          </w:tcPr>
          <w:p w14:paraId="38855708"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SSE, </w:t>
            </w:r>
            <w:r>
              <w:rPr>
                <w:rFonts w:cs="Arial"/>
                <w:bCs/>
                <w:sz w:val="22"/>
              </w:rPr>
              <w:t xml:space="preserve">SSS </w:t>
            </w:r>
            <w:r w:rsidRPr="00646EF1">
              <w:rPr>
                <w:rFonts w:cs="Arial"/>
                <w:bCs/>
                <w:sz w:val="22"/>
              </w:rPr>
              <w:t xml:space="preserve">du PNDA (phase </w:t>
            </w:r>
            <w:r>
              <w:rPr>
                <w:rFonts w:cs="Arial"/>
                <w:bCs/>
                <w:sz w:val="22"/>
              </w:rPr>
              <w:t xml:space="preserve">de </w:t>
            </w:r>
            <w:r w:rsidRPr="00646EF1">
              <w:rPr>
                <w:rFonts w:cs="Arial"/>
                <w:bCs/>
                <w:sz w:val="22"/>
              </w:rPr>
              <w:t>préparation et de mise en œuvre).</w:t>
            </w:r>
          </w:p>
        </w:tc>
        <w:tc>
          <w:tcPr>
            <w:tcW w:w="2219" w:type="dxa"/>
          </w:tcPr>
          <w:p w14:paraId="6E689EC0"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CTPS (phase préparation)</w:t>
            </w:r>
          </w:p>
          <w:p w14:paraId="3E9F2B94" w14:textId="77777777" w:rsidR="001C2F95" w:rsidRPr="00646EF1" w:rsidRDefault="001C2F95" w:rsidP="00971FD2">
            <w:pPr>
              <w:pStyle w:val="Paragraphedeliste"/>
              <w:ind w:left="195"/>
              <w:jc w:val="left"/>
              <w:rPr>
                <w:rFonts w:cs="Arial"/>
                <w:bCs/>
                <w:sz w:val="22"/>
              </w:rPr>
            </w:pPr>
            <w:r w:rsidRPr="00646EF1">
              <w:rPr>
                <w:rFonts w:cs="Arial"/>
                <w:bCs/>
                <w:sz w:val="22"/>
              </w:rPr>
              <w:t>U</w:t>
            </w:r>
            <w:r>
              <w:rPr>
                <w:rFonts w:cs="Arial"/>
                <w:bCs/>
                <w:sz w:val="22"/>
              </w:rPr>
              <w:t>NCP</w:t>
            </w:r>
            <w:r w:rsidRPr="00646EF1">
              <w:rPr>
                <w:rFonts w:cs="Arial"/>
                <w:bCs/>
                <w:sz w:val="22"/>
              </w:rPr>
              <w:t>/PNDA (phase de mise en œuvre)</w:t>
            </w:r>
          </w:p>
          <w:p w14:paraId="7B57A21B"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Provinces</w:t>
            </w:r>
          </w:p>
          <w:p w14:paraId="6BF2E1BD"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ACE</w:t>
            </w:r>
          </w:p>
          <w:p w14:paraId="5FCAFA48"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CPE</w:t>
            </w:r>
          </w:p>
        </w:tc>
      </w:tr>
      <w:tr w:rsidR="001C2F95" w:rsidRPr="00646EF1" w14:paraId="4D6BF5A5" w14:textId="77777777" w:rsidTr="00971FD2">
        <w:trPr>
          <w:trHeight w:val="330"/>
        </w:trPr>
        <w:tc>
          <w:tcPr>
            <w:tcW w:w="1817" w:type="dxa"/>
            <w:vMerge w:val="restart"/>
          </w:tcPr>
          <w:p w14:paraId="0EA8E9C2" w14:textId="77777777" w:rsidR="001C2F95" w:rsidRPr="00646EF1" w:rsidRDefault="001C2F95" w:rsidP="00971FD2">
            <w:pPr>
              <w:rPr>
                <w:rFonts w:cs="Arial"/>
                <w:sz w:val="22"/>
              </w:rPr>
            </w:pPr>
            <w:r w:rsidRPr="00646EF1">
              <w:rPr>
                <w:rFonts w:cs="Arial"/>
                <w:bCs/>
                <w:sz w:val="22"/>
              </w:rPr>
              <w:t>Mesures de suivi</w:t>
            </w:r>
          </w:p>
        </w:tc>
        <w:tc>
          <w:tcPr>
            <w:tcW w:w="3118" w:type="dxa"/>
            <w:vAlign w:val="center"/>
          </w:tcPr>
          <w:p w14:paraId="011C626A" w14:textId="77777777" w:rsidR="001C2F95" w:rsidRPr="00646EF1" w:rsidRDefault="001C2F95" w:rsidP="00971FD2">
            <w:pPr>
              <w:jc w:val="left"/>
              <w:rPr>
                <w:rFonts w:cs="Arial"/>
                <w:sz w:val="22"/>
              </w:rPr>
            </w:pPr>
            <w:r w:rsidRPr="00646EF1">
              <w:rPr>
                <w:rFonts w:cs="Arial"/>
                <w:sz w:val="22"/>
              </w:rPr>
              <w:t>Suivi environnemental et social permanent</w:t>
            </w:r>
          </w:p>
        </w:tc>
        <w:tc>
          <w:tcPr>
            <w:tcW w:w="1752" w:type="dxa"/>
            <w:vAlign w:val="center"/>
          </w:tcPr>
          <w:p w14:paraId="38F8330E"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Bureaux de Contrôle </w:t>
            </w:r>
          </w:p>
        </w:tc>
        <w:tc>
          <w:tcPr>
            <w:tcW w:w="1699" w:type="dxa"/>
          </w:tcPr>
          <w:p w14:paraId="24CB82EB"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SSE, </w:t>
            </w:r>
            <w:r>
              <w:rPr>
                <w:rFonts w:cs="Arial"/>
                <w:bCs/>
                <w:sz w:val="22"/>
              </w:rPr>
              <w:t>SSS</w:t>
            </w:r>
            <w:r w:rsidRPr="00646EF1">
              <w:rPr>
                <w:rFonts w:cs="Arial"/>
                <w:bCs/>
                <w:sz w:val="22"/>
              </w:rPr>
              <w:t xml:space="preserve"> et </w:t>
            </w:r>
            <w:r>
              <w:rPr>
                <w:rFonts w:cs="Arial"/>
                <w:bCs/>
                <w:sz w:val="22"/>
              </w:rPr>
              <w:t>S</w:t>
            </w:r>
            <w:r w:rsidRPr="00646EF1">
              <w:rPr>
                <w:rFonts w:cs="Arial"/>
                <w:bCs/>
                <w:sz w:val="22"/>
              </w:rPr>
              <w:t>VBG du PNDA (phase</w:t>
            </w:r>
            <w:r>
              <w:rPr>
                <w:rFonts w:cs="Arial"/>
                <w:bCs/>
                <w:sz w:val="22"/>
              </w:rPr>
              <w:t xml:space="preserve"> de</w:t>
            </w:r>
            <w:r w:rsidRPr="00646EF1">
              <w:rPr>
                <w:rFonts w:cs="Arial"/>
                <w:bCs/>
                <w:sz w:val="22"/>
              </w:rPr>
              <w:t xml:space="preserve"> préparation et de mise en œuvre)</w:t>
            </w:r>
          </w:p>
        </w:tc>
        <w:tc>
          <w:tcPr>
            <w:tcW w:w="2219" w:type="dxa"/>
          </w:tcPr>
          <w:p w14:paraId="2E6A46B7"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CTPS, UNCP/PARRSA et U</w:t>
            </w:r>
            <w:r>
              <w:rPr>
                <w:rFonts w:cs="Arial"/>
                <w:bCs/>
                <w:sz w:val="22"/>
              </w:rPr>
              <w:t>NCP</w:t>
            </w:r>
            <w:r w:rsidRPr="00646EF1">
              <w:rPr>
                <w:rFonts w:cs="Arial"/>
                <w:bCs/>
                <w:sz w:val="22"/>
              </w:rPr>
              <w:t xml:space="preserve">/PNDA (phase </w:t>
            </w:r>
            <w:r>
              <w:rPr>
                <w:rFonts w:cs="Arial"/>
                <w:bCs/>
                <w:sz w:val="22"/>
              </w:rPr>
              <w:t xml:space="preserve">de </w:t>
            </w:r>
            <w:r w:rsidRPr="00646EF1">
              <w:rPr>
                <w:rFonts w:cs="Arial"/>
                <w:bCs/>
                <w:sz w:val="22"/>
              </w:rPr>
              <w:t>mise en œuvre)</w:t>
            </w:r>
          </w:p>
          <w:p w14:paraId="3E27B00D"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Provinces</w:t>
            </w:r>
          </w:p>
          <w:p w14:paraId="1399A6D6"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ACE</w:t>
            </w:r>
          </w:p>
          <w:p w14:paraId="08A2177E"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CPE</w:t>
            </w:r>
          </w:p>
        </w:tc>
      </w:tr>
      <w:tr w:rsidR="001C2F95" w:rsidRPr="00646EF1" w14:paraId="5DA7899D" w14:textId="77777777" w:rsidTr="00971FD2">
        <w:trPr>
          <w:trHeight w:val="330"/>
        </w:trPr>
        <w:tc>
          <w:tcPr>
            <w:tcW w:w="1817" w:type="dxa"/>
            <w:vMerge/>
          </w:tcPr>
          <w:p w14:paraId="41BB8F9C" w14:textId="77777777" w:rsidR="001C2F95" w:rsidRPr="00646EF1" w:rsidRDefault="001C2F95" w:rsidP="00971FD2">
            <w:pPr>
              <w:rPr>
                <w:rFonts w:cs="Arial"/>
                <w:sz w:val="22"/>
              </w:rPr>
            </w:pPr>
          </w:p>
        </w:tc>
        <w:tc>
          <w:tcPr>
            <w:tcW w:w="3118" w:type="dxa"/>
            <w:vAlign w:val="center"/>
          </w:tcPr>
          <w:p w14:paraId="53813740" w14:textId="77777777" w:rsidR="001C2F95" w:rsidRPr="00646EF1" w:rsidRDefault="001C2F95" w:rsidP="00971FD2">
            <w:pPr>
              <w:jc w:val="left"/>
              <w:rPr>
                <w:rFonts w:cs="Arial"/>
                <w:sz w:val="22"/>
              </w:rPr>
            </w:pPr>
            <w:r w:rsidRPr="00646EF1">
              <w:rPr>
                <w:rFonts w:cs="Arial"/>
                <w:sz w:val="22"/>
              </w:rPr>
              <w:t>Évaluation CGES (permanent et finale)</w:t>
            </w:r>
          </w:p>
        </w:tc>
        <w:tc>
          <w:tcPr>
            <w:tcW w:w="1752" w:type="dxa"/>
            <w:vAlign w:val="center"/>
          </w:tcPr>
          <w:p w14:paraId="1F317B74"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Consultants</w:t>
            </w:r>
          </w:p>
        </w:tc>
        <w:tc>
          <w:tcPr>
            <w:tcW w:w="1699" w:type="dxa"/>
          </w:tcPr>
          <w:p w14:paraId="4859C584"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SSE, </w:t>
            </w:r>
            <w:r>
              <w:rPr>
                <w:rFonts w:cs="Arial"/>
                <w:bCs/>
                <w:sz w:val="22"/>
              </w:rPr>
              <w:t>SSS</w:t>
            </w:r>
            <w:r w:rsidRPr="00646EF1">
              <w:rPr>
                <w:rFonts w:cs="Arial"/>
                <w:bCs/>
                <w:sz w:val="22"/>
              </w:rPr>
              <w:t xml:space="preserve"> et </w:t>
            </w:r>
            <w:r>
              <w:rPr>
                <w:rFonts w:cs="Arial"/>
                <w:bCs/>
                <w:sz w:val="22"/>
              </w:rPr>
              <w:t>S</w:t>
            </w:r>
            <w:r w:rsidRPr="00646EF1">
              <w:rPr>
                <w:rFonts w:cs="Arial"/>
                <w:bCs/>
                <w:sz w:val="22"/>
              </w:rPr>
              <w:t xml:space="preserve">VBG (phase </w:t>
            </w:r>
            <w:r>
              <w:rPr>
                <w:rFonts w:cs="Arial"/>
                <w:bCs/>
                <w:sz w:val="22"/>
              </w:rPr>
              <w:t xml:space="preserve">de </w:t>
            </w:r>
            <w:r w:rsidRPr="00646EF1">
              <w:rPr>
                <w:rFonts w:cs="Arial"/>
                <w:bCs/>
                <w:sz w:val="22"/>
              </w:rPr>
              <w:t>préparation et de mise en œuvre</w:t>
            </w:r>
          </w:p>
        </w:tc>
        <w:tc>
          <w:tcPr>
            <w:tcW w:w="2219" w:type="dxa"/>
          </w:tcPr>
          <w:p w14:paraId="36FB3185"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CTPS, UNCP/PARRSA et U</w:t>
            </w:r>
            <w:r>
              <w:rPr>
                <w:rFonts w:cs="Arial"/>
                <w:bCs/>
                <w:sz w:val="22"/>
              </w:rPr>
              <w:t>NCP</w:t>
            </w:r>
            <w:r w:rsidRPr="00646EF1">
              <w:rPr>
                <w:rFonts w:cs="Arial"/>
                <w:bCs/>
                <w:sz w:val="22"/>
              </w:rPr>
              <w:t xml:space="preserve">/PNDA (phase </w:t>
            </w:r>
            <w:r>
              <w:rPr>
                <w:rFonts w:cs="Arial"/>
                <w:bCs/>
                <w:sz w:val="22"/>
              </w:rPr>
              <w:t xml:space="preserve">de </w:t>
            </w:r>
            <w:r w:rsidRPr="00646EF1">
              <w:rPr>
                <w:rFonts w:cs="Arial"/>
                <w:bCs/>
                <w:sz w:val="22"/>
              </w:rPr>
              <w:t>préparation)</w:t>
            </w:r>
          </w:p>
        </w:tc>
      </w:tr>
      <w:tr w:rsidR="001C2F95" w:rsidRPr="00646EF1" w14:paraId="029462EC" w14:textId="77777777" w:rsidTr="00971FD2">
        <w:trPr>
          <w:trHeight w:val="330"/>
        </w:trPr>
        <w:tc>
          <w:tcPr>
            <w:tcW w:w="1817" w:type="dxa"/>
          </w:tcPr>
          <w:p w14:paraId="7F57451E" w14:textId="77777777" w:rsidR="001C2F95" w:rsidRPr="00646EF1" w:rsidRDefault="001C2F95" w:rsidP="00971FD2">
            <w:pPr>
              <w:rPr>
                <w:rFonts w:cs="Arial"/>
                <w:sz w:val="22"/>
              </w:rPr>
            </w:pPr>
            <w:r w:rsidRPr="00646EF1">
              <w:rPr>
                <w:rFonts w:cs="Arial"/>
                <w:sz w:val="22"/>
              </w:rPr>
              <w:t>Formation</w:t>
            </w:r>
          </w:p>
        </w:tc>
        <w:tc>
          <w:tcPr>
            <w:tcW w:w="3118" w:type="dxa"/>
          </w:tcPr>
          <w:p w14:paraId="52037E1E" w14:textId="77777777" w:rsidR="001C2F95" w:rsidRPr="00646EF1" w:rsidRDefault="001C2F95" w:rsidP="00971FD2">
            <w:pPr>
              <w:jc w:val="left"/>
              <w:rPr>
                <w:rFonts w:cs="Arial"/>
                <w:sz w:val="22"/>
              </w:rPr>
            </w:pPr>
            <w:r w:rsidRPr="00646EF1">
              <w:rPr>
                <w:rFonts w:cs="Arial"/>
                <w:sz w:val="22"/>
              </w:rPr>
              <w:t>Évaluation environnementale et sociale des projets</w:t>
            </w:r>
            <w:r>
              <w:rPr>
                <w:rFonts w:cs="Arial"/>
                <w:sz w:val="22"/>
              </w:rPr>
              <w:t>,</w:t>
            </w:r>
            <w:r w:rsidRPr="00646EF1">
              <w:rPr>
                <w:rFonts w:cs="Arial"/>
                <w:sz w:val="22"/>
              </w:rPr>
              <w:t xml:space="preserve"> y compris de</w:t>
            </w:r>
            <w:r>
              <w:rPr>
                <w:rFonts w:cs="Arial"/>
                <w:sz w:val="22"/>
              </w:rPr>
              <w:t>s risques d’</w:t>
            </w:r>
            <w:r w:rsidRPr="00646EF1">
              <w:rPr>
                <w:rFonts w:cs="Arial"/>
                <w:sz w:val="22"/>
              </w:rPr>
              <w:t xml:space="preserve">EAS/HS et de COVID-19 ; Suivi et Exécution des mesures environnementales et sociales ainsi que celles </w:t>
            </w:r>
            <w:r>
              <w:rPr>
                <w:rFonts w:cs="Arial"/>
                <w:sz w:val="22"/>
              </w:rPr>
              <w:t>liées à l’EASE</w:t>
            </w:r>
            <w:r w:rsidRPr="00646EF1">
              <w:rPr>
                <w:rFonts w:cs="Arial"/>
                <w:sz w:val="22"/>
              </w:rPr>
              <w:t xml:space="preserve"> et </w:t>
            </w:r>
            <w:r>
              <w:rPr>
                <w:rFonts w:cs="Arial"/>
                <w:sz w:val="22"/>
              </w:rPr>
              <w:t>au</w:t>
            </w:r>
            <w:r w:rsidRPr="00646EF1">
              <w:rPr>
                <w:rFonts w:cs="Arial"/>
                <w:sz w:val="22"/>
              </w:rPr>
              <w:t xml:space="preserve"> COVID-19.</w:t>
            </w:r>
          </w:p>
        </w:tc>
        <w:tc>
          <w:tcPr>
            <w:tcW w:w="1752" w:type="dxa"/>
            <w:vAlign w:val="center"/>
          </w:tcPr>
          <w:p w14:paraId="6B0A263A"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Consultants</w:t>
            </w:r>
          </w:p>
          <w:p w14:paraId="7F697D65" w14:textId="77777777" w:rsidR="001C2F95" w:rsidRPr="00646EF1" w:rsidRDefault="001C2F95" w:rsidP="00971FD2">
            <w:pPr>
              <w:pStyle w:val="Paragraphedeliste"/>
              <w:ind w:left="195"/>
              <w:jc w:val="left"/>
              <w:rPr>
                <w:rFonts w:cs="Arial"/>
                <w:bCs/>
                <w:sz w:val="22"/>
              </w:rPr>
            </w:pPr>
          </w:p>
          <w:p w14:paraId="0CFC957D" w14:textId="77777777" w:rsidR="001C2F95" w:rsidRPr="00646EF1" w:rsidRDefault="001C2F95" w:rsidP="00971FD2">
            <w:pPr>
              <w:pStyle w:val="Paragraphedeliste"/>
              <w:ind w:left="195"/>
              <w:jc w:val="left"/>
              <w:rPr>
                <w:rFonts w:cs="Arial"/>
                <w:bCs/>
                <w:sz w:val="22"/>
              </w:rPr>
            </w:pPr>
          </w:p>
        </w:tc>
        <w:tc>
          <w:tcPr>
            <w:tcW w:w="1699" w:type="dxa"/>
          </w:tcPr>
          <w:p w14:paraId="50FF9162"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SSE, </w:t>
            </w:r>
            <w:r>
              <w:rPr>
                <w:rFonts w:cs="Arial"/>
                <w:bCs/>
                <w:sz w:val="22"/>
              </w:rPr>
              <w:t>SSS</w:t>
            </w:r>
            <w:r w:rsidRPr="00646EF1">
              <w:rPr>
                <w:rFonts w:cs="Arial"/>
                <w:bCs/>
                <w:sz w:val="22"/>
              </w:rPr>
              <w:t xml:space="preserve"> et </w:t>
            </w:r>
            <w:r>
              <w:rPr>
                <w:rFonts w:cs="Arial"/>
                <w:bCs/>
                <w:sz w:val="22"/>
              </w:rPr>
              <w:t>S</w:t>
            </w:r>
            <w:r w:rsidRPr="00646EF1">
              <w:rPr>
                <w:rFonts w:cs="Arial"/>
                <w:bCs/>
                <w:sz w:val="22"/>
              </w:rPr>
              <w:t>VBG du PNDA (phase préparation et de mise en œuvre)</w:t>
            </w:r>
          </w:p>
        </w:tc>
        <w:tc>
          <w:tcPr>
            <w:tcW w:w="2219" w:type="dxa"/>
          </w:tcPr>
          <w:p w14:paraId="7779468C"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CTPS,  et U</w:t>
            </w:r>
            <w:r>
              <w:rPr>
                <w:rFonts w:cs="Arial"/>
                <w:bCs/>
                <w:sz w:val="22"/>
              </w:rPr>
              <w:t>NCP</w:t>
            </w:r>
            <w:r w:rsidRPr="00646EF1">
              <w:rPr>
                <w:rFonts w:cs="Arial"/>
                <w:bCs/>
                <w:sz w:val="22"/>
              </w:rPr>
              <w:t>/PNDA (phase</w:t>
            </w:r>
            <w:r>
              <w:rPr>
                <w:rFonts w:cs="Arial"/>
                <w:bCs/>
                <w:sz w:val="22"/>
              </w:rPr>
              <w:t xml:space="preserve"> de</w:t>
            </w:r>
            <w:r w:rsidRPr="00646EF1">
              <w:rPr>
                <w:rFonts w:cs="Arial"/>
                <w:bCs/>
                <w:sz w:val="22"/>
              </w:rPr>
              <w:t xml:space="preserve"> mise en œuvre)</w:t>
            </w:r>
          </w:p>
        </w:tc>
      </w:tr>
      <w:tr w:rsidR="001C2F95" w:rsidRPr="00646EF1" w14:paraId="1CF177AF" w14:textId="77777777" w:rsidTr="00971FD2">
        <w:trPr>
          <w:trHeight w:val="1251"/>
        </w:trPr>
        <w:tc>
          <w:tcPr>
            <w:tcW w:w="1817" w:type="dxa"/>
          </w:tcPr>
          <w:p w14:paraId="11A3A72B" w14:textId="77777777" w:rsidR="001C2F95" w:rsidRPr="00646EF1" w:rsidRDefault="001C2F95" w:rsidP="00971FD2">
            <w:pPr>
              <w:rPr>
                <w:rFonts w:cs="Arial"/>
                <w:sz w:val="22"/>
              </w:rPr>
            </w:pPr>
            <w:r w:rsidRPr="00646EF1">
              <w:rPr>
                <w:rFonts w:cs="Arial"/>
                <w:sz w:val="22"/>
              </w:rPr>
              <w:t>IEC</w:t>
            </w:r>
          </w:p>
          <w:p w14:paraId="4E50CF46" w14:textId="77777777" w:rsidR="001C2F95" w:rsidRPr="00646EF1" w:rsidRDefault="001C2F95" w:rsidP="00971FD2">
            <w:pPr>
              <w:rPr>
                <w:rFonts w:cs="Arial"/>
                <w:sz w:val="22"/>
              </w:rPr>
            </w:pPr>
            <w:r w:rsidRPr="00646EF1">
              <w:rPr>
                <w:rFonts w:cs="Arial"/>
                <w:sz w:val="22"/>
              </w:rPr>
              <w:t>Sensibilisation</w:t>
            </w:r>
          </w:p>
          <w:p w14:paraId="0D2C992F" w14:textId="77777777" w:rsidR="001C2F95" w:rsidRPr="00646EF1" w:rsidRDefault="001C2F95" w:rsidP="00971FD2">
            <w:pPr>
              <w:rPr>
                <w:rFonts w:cs="Arial"/>
                <w:sz w:val="22"/>
              </w:rPr>
            </w:pPr>
            <w:r w:rsidRPr="00646EF1">
              <w:rPr>
                <w:rFonts w:cs="Arial"/>
                <w:sz w:val="22"/>
              </w:rPr>
              <w:t>Mobilisation</w:t>
            </w:r>
          </w:p>
          <w:p w14:paraId="02FD5102" w14:textId="77777777" w:rsidR="001C2F95" w:rsidRPr="00646EF1" w:rsidRDefault="001C2F95" w:rsidP="00971FD2">
            <w:pPr>
              <w:rPr>
                <w:rFonts w:cs="Arial"/>
                <w:sz w:val="22"/>
              </w:rPr>
            </w:pPr>
            <w:r w:rsidRPr="00646EF1">
              <w:rPr>
                <w:rFonts w:cs="Arial"/>
                <w:sz w:val="22"/>
              </w:rPr>
              <w:t>Plaidoyer</w:t>
            </w:r>
          </w:p>
        </w:tc>
        <w:tc>
          <w:tcPr>
            <w:tcW w:w="3118" w:type="dxa"/>
          </w:tcPr>
          <w:p w14:paraId="4B195E4B" w14:textId="77777777" w:rsidR="001C2F95" w:rsidRPr="00646EF1" w:rsidRDefault="001C2F95" w:rsidP="00971FD2">
            <w:pPr>
              <w:jc w:val="left"/>
              <w:rPr>
                <w:rFonts w:cs="Arial"/>
                <w:sz w:val="22"/>
              </w:rPr>
            </w:pPr>
            <w:r w:rsidRPr="00646EF1">
              <w:rPr>
                <w:rFonts w:cs="Arial"/>
                <w:sz w:val="22"/>
              </w:rPr>
              <w:t>Campagne de communication et de sensibilisation avant, pendant et après les travaux</w:t>
            </w:r>
          </w:p>
          <w:p w14:paraId="27432F4D" w14:textId="77777777" w:rsidR="001C2F95" w:rsidRPr="00646EF1" w:rsidRDefault="001C2F95" w:rsidP="00971FD2">
            <w:pPr>
              <w:rPr>
                <w:rFonts w:cs="Arial"/>
                <w:sz w:val="22"/>
              </w:rPr>
            </w:pPr>
            <w:r w:rsidRPr="00646EF1">
              <w:rPr>
                <w:rFonts w:cs="Arial"/>
                <w:sz w:val="22"/>
              </w:rPr>
              <w:t>Sensibilisation et plaidoyer sur les enjeux environnementaux et sociaux</w:t>
            </w:r>
            <w:r>
              <w:rPr>
                <w:rFonts w:cs="Arial"/>
                <w:sz w:val="22"/>
              </w:rPr>
              <w:t>,</w:t>
            </w:r>
            <w:r w:rsidRPr="00646EF1">
              <w:rPr>
                <w:rFonts w:cs="Arial"/>
                <w:sz w:val="22"/>
              </w:rPr>
              <w:t xml:space="preserve"> y compris </w:t>
            </w:r>
            <w:r>
              <w:rPr>
                <w:rFonts w:cs="Arial"/>
                <w:sz w:val="22"/>
              </w:rPr>
              <w:t>sur la prévention et réponse à l’EAS/HS</w:t>
            </w:r>
            <w:r w:rsidRPr="00646EF1">
              <w:rPr>
                <w:rFonts w:cs="Arial"/>
                <w:sz w:val="22"/>
              </w:rPr>
              <w:t xml:space="preserve"> et </w:t>
            </w:r>
            <w:r>
              <w:rPr>
                <w:rFonts w:cs="Arial"/>
                <w:sz w:val="22"/>
              </w:rPr>
              <w:t xml:space="preserve">à </w:t>
            </w:r>
            <w:r w:rsidRPr="00646EF1">
              <w:rPr>
                <w:rFonts w:cs="Arial"/>
                <w:sz w:val="22"/>
              </w:rPr>
              <w:t>la COVID-19 des sous-projets </w:t>
            </w:r>
          </w:p>
        </w:tc>
        <w:tc>
          <w:tcPr>
            <w:tcW w:w="1752" w:type="dxa"/>
            <w:vAlign w:val="center"/>
          </w:tcPr>
          <w:p w14:paraId="577A7576"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Chefs de quartiers / villages </w:t>
            </w:r>
          </w:p>
          <w:p w14:paraId="0FF91D91"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ONG</w:t>
            </w:r>
          </w:p>
          <w:p w14:paraId="62EFF427"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Associations locales</w:t>
            </w:r>
          </w:p>
        </w:tc>
        <w:tc>
          <w:tcPr>
            <w:tcW w:w="1699" w:type="dxa"/>
          </w:tcPr>
          <w:p w14:paraId="2A766A04"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SSE, </w:t>
            </w:r>
            <w:r>
              <w:rPr>
                <w:rFonts w:cs="Arial"/>
                <w:bCs/>
                <w:sz w:val="22"/>
              </w:rPr>
              <w:t>SSS</w:t>
            </w:r>
            <w:r w:rsidRPr="00646EF1">
              <w:rPr>
                <w:rFonts w:cs="Arial"/>
                <w:bCs/>
                <w:sz w:val="22"/>
              </w:rPr>
              <w:t xml:space="preserve"> et </w:t>
            </w:r>
            <w:r>
              <w:rPr>
                <w:rFonts w:cs="Arial"/>
                <w:bCs/>
                <w:sz w:val="22"/>
              </w:rPr>
              <w:t>S</w:t>
            </w:r>
            <w:r w:rsidRPr="00646EF1">
              <w:rPr>
                <w:rFonts w:cs="Arial"/>
                <w:bCs/>
                <w:sz w:val="22"/>
              </w:rPr>
              <w:t>VBG du PNDA (phase préparation et de mise en œuvre)</w:t>
            </w:r>
          </w:p>
        </w:tc>
        <w:tc>
          <w:tcPr>
            <w:tcW w:w="2219" w:type="dxa"/>
          </w:tcPr>
          <w:p w14:paraId="1BCDD9DF"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Provinces</w:t>
            </w:r>
          </w:p>
          <w:p w14:paraId="432BFF40"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Territoires</w:t>
            </w:r>
          </w:p>
          <w:p w14:paraId="09EC1FC8"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Communes </w:t>
            </w:r>
          </w:p>
          <w:p w14:paraId="428BF3DA"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Collectivités </w:t>
            </w:r>
          </w:p>
          <w:p w14:paraId="0E16D4E1" w14:textId="77777777" w:rsidR="001C2F95" w:rsidRPr="00646EF1" w:rsidRDefault="001C2F95" w:rsidP="002378EA">
            <w:pPr>
              <w:pStyle w:val="Paragraphedeliste"/>
              <w:numPr>
                <w:ilvl w:val="0"/>
                <w:numId w:val="27"/>
              </w:numPr>
              <w:ind w:left="195" w:hanging="195"/>
              <w:jc w:val="left"/>
              <w:rPr>
                <w:rFonts w:cs="Arial"/>
                <w:bCs/>
                <w:sz w:val="22"/>
              </w:rPr>
            </w:pPr>
            <w:r w:rsidRPr="00646EF1">
              <w:rPr>
                <w:rFonts w:cs="Arial"/>
                <w:bCs/>
                <w:sz w:val="22"/>
              </w:rPr>
              <w:t xml:space="preserve">Villages </w:t>
            </w:r>
          </w:p>
        </w:tc>
      </w:tr>
    </w:tbl>
    <w:p w14:paraId="76893409" w14:textId="77777777" w:rsidR="001C2F95" w:rsidRPr="007179F2" w:rsidRDefault="001C2F95" w:rsidP="001C2F95">
      <w:pPr>
        <w:autoSpaceDE w:val="0"/>
        <w:autoSpaceDN w:val="0"/>
        <w:adjustRightInd w:val="0"/>
        <w:ind w:left="360"/>
        <w:rPr>
          <w:rFonts w:cs="Arial"/>
          <w:bCs/>
          <w:sz w:val="22"/>
        </w:rPr>
      </w:pPr>
    </w:p>
    <w:p w14:paraId="089E37B5" w14:textId="77777777" w:rsidR="001C2F95" w:rsidRPr="007179F2" w:rsidRDefault="001C2F95" w:rsidP="001C2F95">
      <w:pPr>
        <w:pStyle w:val="Titre2"/>
        <w:numPr>
          <w:ilvl w:val="2"/>
          <w:numId w:val="4"/>
        </w:numPr>
        <w:ind w:left="1560" w:hanging="709"/>
        <w:rPr>
          <w:rFonts w:cs="Arial"/>
          <w:i/>
          <w:sz w:val="22"/>
          <w:szCs w:val="22"/>
        </w:rPr>
      </w:pPr>
      <w:bookmarkStart w:id="617" w:name="_Toc70330456"/>
      <w:r w:rsidRPr="007179F2">
        <w:rPr>
          <w:rFonts w:cs="Arial"/>
          <w:i/>
          <w:sz w:val="22"/>
          <w:szCs w:val="22"/>
        </w:rPr>
        <w:t>Études, mesures d’accompagnement et suivi-évaluation</w:t>
      </w:r>
      <w:bookmarkEnd w:id="617"/>
      <w:r w:rsidRPr="007179F2">
        <w:rPr>
          <w:rFonts w:cs="Arial"/>
          <w:i/>
          <w:sz w:val="22"/>
          <w:szCs w:val="22"/>
        </w:rPr>
        <w:t xml:space="preserve">  </w:t>
      </w:r>
    </w:p>
    <w:p w14:paraId="38CBC6BD" w14:textId="77777777" w:rsidR="001C2F95" w:rsidRPr="007179F2" w:rsidRDefault="001C2F95" w:rsidP="001C2F95">
      <w:pPr>
        <w:rPr>
          <w:rFonts w:cs="Arial"/>
          <w:sz w:val="22"/>
        </w:rPr>
      </w:pPr>
    </w:p>
    <w:p w14:paraId="7C940C09" w14:textId="77777777" w:rsidR="001C2F95" w:rsidRDefault="001C2F95" w:rsidP="001C2F95">
      <w:pPr>
        <w:rPr>
          <w:rFonts w:cs="Arial"/>
          <w:sz w:val="22"/>
        </w:rPr>
      </w:pPr>
      <w:r w:rsidRPr="007179F2">
        <w:rPr>
          <w:rFonts w:cs="Arial"/>
          <w:sz w:val="22"/>
        </w:rPr>
        <w:t xml:space="preserve">Les mesures de renforcement technique concernent : </w:t>
      </w:r>
      <w:r w:rsidRPr="007179F2">
        <w:rPr>
          <w:rFonts w:cs="Arial"/>
          <w:i/>
          <w:sz w:val="22"/>
        </w:rPr>
        <w:t>(i)</w:t>
      </w:r>
      <w:r w:rsidRPr="007179F2">
        <w:rPr>
          <w:rFonts w:cs="Arial"/>
          <w:sz w:val="22"/>
        </w:rPr>
        <w:t xml:space="preserve"> une provision pour la réalisation et la mise en œuvre d’éventuelles ÉIES, si nécessaire ; </w:t>
      </w:r>
      <w:r w:rsidRPr="007179F2">
        <w:rPr>
          <w:rFonts w:cs="Arial"/>
          <w:i/>
          <w:sz w:val="22"/>
        </w:rPr>
        <w:t xml:space="preserve">(ii) </w:t>
      </w:r>
      <w:r w:rsidRPr="007179F2">
        <w:rPr>
          <w:rFonts w:cs="Arial"/>
          <w:sz w:val="22"/>
        </w:rPr>
        <w:t xml:space="preserve">travaux d’aménagement des </w:t>
      </w:r>
      <w:r>
        <w:rPr>
          <w:rFonts w:cs="Arial"/>
          <w:sz w:val="22"/>
        </w:rPr>
        <w:t>routes</w:t>
      </w:r>
      <w:r w:rsidRPr="007179F2">
        <w:rPr>
          <w:rFonts w:cs="Arial"/>
          <w:sz w:val="22"/>
        </w:rPr>
        <w:t xml:space="preserve"> rurales, de construction des marchés communautaires, des abattoirs, les travaux d’irrigation ; </w:t>
      </w:r>
      <w:r w:rsidRPr="007179F2">
        <w:rPr>
          <w:rFonts w:cs="Arial"/>
          <w:i/>
          <w:sz w:val="22"/>
        </w:rPr>
        <w:t>(iii)</w:t>
      </w:r>
      <w:r w:rsidRPr="007179F2">
        <w:rPr>
          <w:rFonts w:cs="Arial"/>
          <w:sz w:val="22"/>
        </w:rPr>
        <w:t xml:space="preserve"> la distribution des intrants et semences agricoles ainsi que des intrants de pêche et appui à l’élevage ; </w:t>
      </w:r>
      <w:r w:rsidRPr="007179F2">
        <w:rPr>
          <w:rFonts w:cs="Arial"/>
          <w:i/>
          <w:sz w:val="22"/>
        </w:rPr>
        <w:t>(iv)</w:t>
      </w:r>
      <w:r w:rsidRPr="007179F2">
        <w:rPr>
          <w:rFonts w:cs="Arial"/>
          <w:sz w:val="22"/>
        </w:rPr>
        <w:t xml:space="preserve"> le suivi et l’évaluation des activités du PNDA.</w:t>
      </w:r>
    </w:p>
    <w:p w14:paraId="569EAB21" w14:textId="77777777" w:rsidR="001C2F95" w:rsidRPr="007179F2" w:rsidRDefault="001C2F95" w:rsidP="001C2F95">
      <w:pPr>
        <w:rPr>
          <w:rFonts w:cs="Arial"/>
          <w:sz w:val="22"/>
        </w:rPr>
      </w:pPr>
    </w:p>
    <w:p w14:paraId="2018068E" w14:textId="77777777" w:rsidR="001C2F95" w:rsidRPr="007179F2" w:rsidRDefault="001C2F95" w:rsidP="002378EA">
      <w:pPr>
        <w:numPr>
          <w:ilvl w:val="0"/>
          <w:numId w:val="31"/>
        </w:numPr>
        <w:tabs>
          <w:tab w:val="clear" w:pos="360"/>
          <w:tab w:val="num" w:pos="540"/>
        </w:tabs>
        <w:ind w:left="540" w:hanging="270"/>
        <w:rPr>
          <w:rFonts w:cs="Arial"/>
          <w:i/>
          <w:sz w:val="22"/>
        </w:rPr>
      </w:pPr>
      <w:r w:rsidRPr="007179F2">
        <w:rPr>
          <w:rFonts w:cs="Arial"/>
          <w:bCs/>
          <w:i/>
          <w:sz w:val="22"/>
        </w:rPr>
        <w:t xml:space="preserve">Provision pour la réalisation et la mise en œuvre des </w:t>
      </w:r>
      <w:r w:rsidRPr="007179F2">
        <w:rPr>
          <w:rFonts w:cs="Arial"/>
          <w:i/>
          <w:sz w:val="22"/>
        </w:rPr>
        <w:t>É</w:t>
      </w:r>
      <w:r w:rsidRPr="007179F2">
        <w:rPr>
          <w:rFonts w:cs="Arial"/>
          <w:bCs/>
          <w:i/>
          <w:sz w:val="22"/>
        </w:rPr>
        <w:t>IES</w:t>
      </w:r>
    </w:p>
    <w:p w14:paraId="54C028D6" w14:textId="77777777" w:rsidR="001C2F95" w:rsidRPr="007179F2" w:rsidRDefault="001C2F95" w:rsidP="001C2F95">
      <w:pPr>
        <w:ind w:left="540"/>
        <w:rPr>
          <w:rFonts w:cs="Arial"/>
          <w:sz w:val="22"/>
        </w:rPr>
      </w:pPr>
    </w:p>
    <w:p w14:paraId="6AEB7CDF" w14:textId="77777777" w:rsidR="001C2F95" w:rsidRPr="007179F2" w:rsidRDefault="001C2F95" w:rsidP="001C2F95">
      <w:pPr>
        <w:ind w:left="540"/>
        <w:rPr>
          <w:rFonts w:cs="Arial"/>
          <w:sz w:val="22"/>
        </w:rPr>
      </w:pPr>
      <w:r w:rsidRPr="007179F2">
        <w:rPr>
          <w:rFonts w:cs="Arial"/>
          <w:sz w:val="22"/>
        </w:rPr>
        <w:t>Des ÉIES pourraient être requises pour les activités du PNDA relatives aux sous-projets classés aux risques « </w:t>
      </w:r>
      <w:r>
        <w:rPr>
          <w:rFonts w:cs="Arial"/>
          <w:sz w:val="22"/>
        </w:rPr>
        <w:t>substantiels</w:t>
      </w:r>
      <w:r w:rsidRPr="007179F2">
        <w:rPr>
          <w:rFonts w:cs="Arial"/>
          <w:sz w:val="22"/>
        </w:rPr>
        <w:t xml:space="preserve"> », pour s’assurer qu’elles sont durables au point de vue environnemental et social. Si la classification environnementale des activités indique qu’il faut réaliser des ÉIES, le Projet devra prévoir une provision qui servira à payer des consultants pour réaliser ces études. </w:t>
      </w:r>
    </w:p>
    <w:p w14:paraId="67225CC3" w14:textId="77777777" w:rsidR="001C2F95" w:rsidRPr="007179F2" w:rsidRDefault="001C2F95" w:rsidP="001C2F95">
      <w:pPr>
        <w:ind w:left="540"/>
        <w:rPr>
          <w:rFonts w:cs="Arial"/>
          <w:sz w:val="22"/>
        </w:rPr>
      </w:pPr>
    </w:p>
    <w:p w14:paraId="2C4D9875" w14:textId="77777777" w:rsidR="001C2F95" w:rsidRPr="007179F2" w:rsidRDefault="001C2F95" w:rsidP="001C2F95">
      <w:pPr>
        <w:ind w:left="540"/>
        <w:rPr>
          <w:rFonts w:cs="Arial"/>
          <w:sz w:val="22"/>
        </w:rPr>
      </w:pPr>
      <w:r w:rsidRPr="007179F2">
        <w:rPr>
          <w:rFonts w:cs="Arial"/>
          <w:sz w:val="22"/>
        </w:rPr>
        <w:t xml:space="preserve">La réalisation d’éventuelles ÉIES pourrait occasionner des mesures comportant des coûts et qui devront être budgétisés dès à présent par le PNDA pour pouvoir être exécutées le moment venu. Pour cela, il est nécessaire de faire une dotation provisionnelle qui permettra de prendre en charge de telles mesures. </w:t>
      </w:r>
    </w:p>
    <w:p w14:paraId="37DE7E65" w14:textId="77777777" w:rsidR="001C2F95" w:rsidRPr="007179F2" w:rsidRDefault="001C2F95" w:rsidP="001C2F95">
      <w:pPr>
        <w:ind w:left="360"/>
        <w:rPr>
          <w:rFonts w:cs="Arial"/>
          <w:bCs/>
          <w:sz w:val="22"/>
        </w:rPr>
      </w:pPr>
    </w:p>
    <w:p w14:paraId="6DA3C3E0" w14:textId="77777777" w:rsidR="001C2F95" w:rsidRPr="007179F2" w:rsidRDefault="001C2F95" w:rsidP="002378EA">
      <w:pPr>
        <w:numPr>
          <w:ilvl w:val="0"/>
          <w:numId w:val="31"/>
        </w:numPr>
        <w:tabs>
          <w:tab w:val="clear" w:pos="360"/>
          <w:tab w:val="num" w:pos="540"/>
        </w:tabs>
        <w:ind w:left="540" w:hanging="270"/>
        <w:rPr>
          <w:rFonts w:cs="Arial"/>
          <w:bCs/>
          <w:i/>
          <w:sz w:val="22"/>
        </w:rPr>
      </w:pPr>
      <w:r w:rsidRPr="007179F2">
        <w:rPr>
          <w:rFonts w:cs="Arial"/>
          <w:bCs/>
          <w:i/>
          <w:sz w:val="22"/>
        </w:rPr>
        <w:t>Appui aux petits exploitants agricoles en intrants et semences agricoles ainsi qu’en intrants de pêche et élevage</w:t>
      </w:r>
    </w:p>
    <w:p w14:paraId="3E9E6AC0" w14:textId="77777777" w:rsidR="001C2F95" w:rsidRPr="007179F2" w:rsidRDefault="001C2F95" w:rsidP="001C2F95">
      <w:pPr>
        <w:ind w:left="540"/>
        <w:rPr>
          <w:rFonts w:cs="Arial"/>
          <w:sz w:val="22"/>
        </w:rPr>
      </w:pPr>
    </w:p>
    <w:p w14:paraId="5E7223AF" w14:textId="77777777" w:rsidR="001C2F95" w:rsidRPr="007179F2" w:rsidRDefault="001C2F95" w:rsidP="001C2F95">
      <w:pPr>
        <w:ind w:left="540"/>
        <w:rPr>
          <w:rFonts w:cs="Arial"/>
          <w:sz w:val="22"/>
        </w:rPr>
      </w:pPr>
      <w:r w:rsidRPr="007179F2">
        <w:rPr>
          <w:rFonts w:cs="Arial"/>
          <w:sz w:val="22"/>
        </w:rPr>
        <w:t>Le PNDA impliquera les petits exploitants agricoles, les pêcheurs et éleveurs dans le suivi de proximité et surtout les doter en intrants agricoles, semences, intrants de pêches et en dotant les éleveurs des têtes des bêtes d’une race améliorée pour qu’ils puissent assurer, avec l’appui des associations locales des Provinces/Communes/Territoires/Collectivités, améliorer la production agricole, la pêche et l’élevage. Ces structures devront aussi bénéficier de programmes d’information</w:t>
      </w:r>
      <w:r>
        <w:rPr>
          <w:rFonts w:cs="Arial"/>
          <w:sz w:val="22"/>
        </w:rPr>
        <w:t xml:space="preserve">, </w:t>
      </w:r>
      <w:r w:rsidRPr="007179F2">
        <w:rPr>
          <w:rFonts w:cs="Arial"/>
          <w:sz w:val="22"/>
        </w:rPr>
        <w:t>de sensibilisation</w:t>
      </w:r>
      <w:r>
        <w:rPr>
          <w:rFonts w:cs="Arial"/>
          <w:sz w:val="22"/>
        </w:rPr>
        <w:t xml:space="preserve"> et formation </w:t>
      </w:r>
      <w:r w:rsidRPr="007179F2">
        <w:rPr>
          <w:rFonts w:cs="Arial"/>
          <w:sz w:val="22"/>
        </w:rPr>
        <w:t>sur les enjeux environnementaux et sociaux liés aux activités du PNDA.</w:t>
      </w:r>
    </w:p>
    <w:p w14:paraId="5BCFEBE8" w14:textId="77777777" w:rsidR="001C2F95" w:rsidRPr="007179F2" w:rsidRDefault="001C2F95" w:rsidP="001C2F95">
      <w:pPr>
        <w:rPr>
          <w:rFonts w:cs="Arial"/>
          <w:sz w:val="22"/>
        </w:rPr>
      </w:pPr>
    </w:p>
    <w:p w14:paraId="5299FC5F" w14:textId="77777777" w:rsidR="001C2F95" w:rsidRPr="007179F2" w:rsidRDefault="001C2F95" w:rsidP="002378EA">
      <w:pPr>
        <w:numPr>
          <w:ilvl w:val="0"/>
          <w:numId w:val="31"/>
        </w:numPr>
        <w:tabs>
          <w:tab w:val="clear" w:pos="360"/>
          <w:tab w:val="num" w:pos="540"/>
        </w:tabs>
        <w:ind w:left="540" w:hanging="270"/>
        <w:rPr>
          <w:rFonts w:cs="Arial"/>
          <w:bCs/>
          <w:i/>
          <w:sz w:val="22"/>
        </w:rPr>
      </w:pPr>
      <w:r w:rsidRPr="007179F2">
        <w:rPr>
          <w:rFonts w:cs="Arial"/>
          <w:bCs/>
          <w:i/>
          <w:sz w:val="22"/>
        </w:rPr>
        <w:t>Suivi et Évaluation des activités du PNDA</w:t>
      </w:r>
    </w:p>
    <w:p w14:paraId="7873A139" w14:textId="77777777" w:rsidR="001C2F95" w:rsidRPr="007179F2" w:rsidRDefault="001C2F95" w:rsidP="001C2F95">
      <w:pPr>
        <w:ind w:left="540"/>
        <w:rPr>
          <w:rFonts w:cs="Arial"/>
          <w:sz w:val="22"/>
        </w:rPr>
      </w:pPr>
    </w:p>
    <w:p w14:paraId="06FD0A50" w14:textId="77777777" w:rsidR="001C2F95" w:rsidRPr="007179F2" w:rsidRDefault="001C2F95" w:rsidP="001C2F95">
      <w:pPr>
        <w:ind w:left="540"/>
        <w:rPr>
          <w:rFonts w:cs="Arial"/>
          <w:sz w:val="22"/>
        </w:rPr>
      </w:pPr>
      <w:r w:rsidRPr="007179F2">
        <w:rPr>
          <w:rFonts w:cs="Arial"/>
          <w:sz w:val="22"/>
        </w:rPr>
        <w:t>Le Programme de suivi portera sur le suivi permanent, la supervision, l’évaluation à mi-parcours et l’évaluation annuelle. La surveillance de proximité est assurée par des Bureaux de Contrôle (</w:t>
      </w:r>
      <w:r>
        <w:rPr>
          <w:rFonts w:cs="Arial"/>
          <w:sz w:val="22"/>
        </w:rPr>
        <w:t>UNOPS</w:t>
      </w:r>
      <w:r w:rsidRPr="007179F2">
        <w:rPr>
          <w:rFonts w:cs="Arial"/>
          <w:sz w:val="22"/>
        </w:rPr>
        <w:t xml:space="preserve">), sous la supervision des SSE, </w:t>
      </w:r>
      <w:r>
        <w:rPr>
          <w:rFonts w:cs="Arial"/>
          <w:sz w:val="22"/>
        </w:rPr>
        <w:t>SSS</w:t>
      </w:r>
      <w:r w:rsidRPr="007179F2">
        <w:rPr>
          <w:rFonts w:cs="Arial"/>
          <w:sz w:val="22"/>
        </w:rPr>
        <w:t xml:space="preserve"> et </w:t>
      </w:r>
      <w:r>
        <w:rPr>
          <w:rFonts w:cs="Arial"/>
          <w:sz w:val="22"/>
        </w:rPr>
        <w:t>S</w:t>
      </w:r>
      <w:r w:rsidRPr="007179F2">
        <w:rPr>
          <w:rFonts w:cs="Arial"/>
          <w:sz w:val="22"/>
        </w:rPr>
        <w:t xml:space="preserve">VBG du PNDA, avec l’implication des communes/territoires/collectivités, mais aussi des membres du Comité de Pilotage. Le suivi externe devra être assuré par l’ACE et les CPE des Provinces concernées par le Projet, dont les capacités seront renforcées à cet effet (formation, logistique). </w:t>
      </w:r>
    </w:p>
    <w:p w14:paraId="34814341" w14:textId="77777777" w:rsidR="001C2F95" w:rsidRPr="007179F2" w:rsidRDefault="001C2F95" w:rsidP="001C2F95">
      <w:pPr>
        <w:ind w:left="540"/>
        <w:rPr>
          <w:rFonts w:cs="Arial"/>
          <w:sz w:val="22"/>
        </w:rPr>
      </w:pPr>
      <w:r w:rsidRPr="007179F2">
        <w:rPr>
          <w:rFonts w:cs="Arial"/>
          <w:sz w:val="22"/>
        </w:rPr>
        <w:t xml:space="preserve">En plus, le Projet devra prévoir une évaluation à mi-parcours et une évaluation à la fin du Projet. </w:t>
      </w:r>
    </w:p>
    <w:p w14:paraId="5DFDE430" w14:textId="77777777" w:rsidR="001C2F95" w:rsidRPr="007179F2" w:rsidRDefault="001C2F95" w:rsidP="001C2F95">
      <w:pPr>
        <w:jc w:val="left"/>
        <w:rPr>
          <w:rFonts w:cs="Arial"/>
          <w:bCs/>
          <w:i/>
          <w:sz w:val="22"/>
        </w:rPr>
      </w:pPr>
    </w:p>
    <w:p w14:paraId="7027DB87" w14:textId="77777777" w:rsidR="001C2F95" w:rsidRDefault="001C2F95" w:rsidP="001357AB">
      <w:pPr>
        <w:autoSpaceDE w:val="0"/>
        <w:autoSpaceDN w:val="0"/>
        <w:adjustRightInd w:val="0"/>
        <w:rPr>
          <w:rFonts w:cs="Arial"/>
          <w:bCs/>
          <w:i/>
          <w:sz w:val="22"/>
        </w:rPr>
      </w:pPr>
    </w:p>
    <w:p w14:paraId="441DBEEE" w14:textId="77777777" w:rsidR="001357AB" w:rsidRPr="00646CF7" w:rsidRDefault="001357AB" w:rsidP="001357AB">
      <w:pPr>
        <w:autoSpaceDE w:val="0"/>
        <w:autoSpaceDN w:val="0"/>
        <w:adjustRightInd w:val="0"/>
        <w:rPr>
          <w:rFonts w:cs="Arial"/>
          <w:bCs/>
          <w:i/>
          <w:sz w:val="22"/>
        </w:rPr>
      </w:pPr>
    </w:p>
    <w:p w14:paraId="44329816" w14:textId="77777777" w:rsidR="001C2F95" w:rsidRPr="00112E12" w:rsidRDefault="001C2F95" w:rsidP="001357AB">
      <w:pPr>
        <w:pStyle w:val="Titre2"/>
        <w:numPr>
          <w:ilvl w:val="2"/>
          <w:numId w:val="4"/>
        </w:numPr>
        <w:ind w:left="1560" w:hanging="709"/>
        <w:rPr>
          <w:rFonts w:cs="Arial"/>
          <w:i/>
          <w:iCs/>
          <w:sz w:val="22"/>
          <w:szCs w:val="22"/>
        </w:rPr>
      </w:pPr>
      <w:bookmarkStart w:id="618" w:name="_Toc70330457"/>
      <w:r w:rsidRPr="00FF4CBB">
        <w:rPr>
          <w:i/>
          <w:iCs/>
          <w:sz w:val="22"/>
          <w:szCs w:val="22"/>
        </w:rPr>
        <w:t>Mécanismes de surveillance environnementale et sociale</w:t>
      </w:r>
      <w:bookmarkEnd w:id="618"/>
      <w:r w:rsidRPr="00FF4CBB">
        <w:rPr>
          <w:i/>
          <w:iCs/>
          <w:sz w:val="22"/>
          <w:szCs w:val="22"/>
        </w:rPr>
        <w:t xml:space="preserve"> </w:t>
      </w:r>
    </w:p>
    <w:p w14:paraId="640165D9" w14:textId="77777777" w:rsidR="001C2F95" w:rsidRPr="00646CF7" w:rsidRDefault="001C2F95" w:rsidP="002378EA">
      <w:pPr>
        <w:pStyle w:val="Paragraphedeliste"/>
        <w:keepNext/>
        <w:numPr>
          <w:ilvl w:val="1"/>
          <w:numId w:val="11"/>
        </w:numPr>
        <w:tabs>
          <w:tab w:val="left" w:pos="720"/>
        </w:tabs>
        <w:spacing w:line="240" w:lineRule="auto"/>
        <w:contextualSpacing w:val="0"/>
        <w:jc w:val="left"/>
        <w:outlineLvl w:val="2"/>
        <w:rPr>
          <w:vanish/>
          <w:sz w:val="22"/>
          <w:u w:val="single"/>
        </w:rPr>
      </w:pPr>
      <w:bookmarkStart w:id="619" w:name="_Toc64026225"/>
      <w:bookmarkStart w:id="620" w:name="_Toc64386746"/>
      <w:bookmarkStart w:id="621" w:name="_Toc70326862"/>
      <w:bookmarkStart w:id="622" w:name="_Toc70327095"/>
      <w:bookmarkStart w:id="623" w:name="_Toc70330458"/>
      <w:bookmarkEnd w:id="619"/>
      <w:bookmarkEnd w:id="620"/>
      <w:bookmarkEnd w:id="621"/>
      <w:bookmarkEnd w:id="622"/>
      <w:bookmarkEnd w:id="623"/>
    </w:p>
    <w:p w14:paraId="24AD1837" w14:textId="77777777" w:rsidR="001C2F95" w:rsidRPr="00646CF7" w:rsidRDefault="001C2F95" w:rsidP="002378EA">
      <w:pPr>
        <w:pStyle w:val="Paragraphedeliste"/>
        <w:keepNext/>
        <w:numPr>
          <w:ilvl w:val="1"/>
          <w:numId w:val="11"/>
        </w:numPr>
        <w:tabs>
          <w:tab w:val="left" w:pos="720"/>
        </w:tabs>
        <w:spacing w:line="240" w:lineRule="auto"/>
        <w:contextualSpacing w:val="0"/>
        <w:jc w:val="left"/>
        <w:outlineLvl w:val="2"/>
        <w:rPr>
          <w:vanish/>
          <w:sz w:val="22"/>
          <w:u w:val="single"/>
        </w:rPr>
      </w:pPr>
      <w:bookmarkStart w:id="624" w:name="_Toc64026226"/>
      <w:bookmarkStart w:id="625" w:name="_Toc64386747"/>
      <w:bookmarkStart w:id="626" w:name="_Toc70326863"/>
      <w:bookmarkStart w:id="627" w:name="_Toc70327096"/>
      <w:bookmarkStart w:id="628" w:name="_Toc70330459"/>
      <w:bookmarkEnd w:id="624"/>
      <w:bookmarkEnd w:id="625"/>
      <w:bookmarkEnd w:id="626"/>
      <w:bookmarkEnd w:id="627"/>
      <w:bookmarkEnd w:id="628"/>
    </w:p>
    <w:p w14:paraId="1F86BC6A" w14:textId="77777777" w:rsidR="001C2F95" w:rsidRPr="00646CF7" w:rsidRDefault="001C2F95" w:rsidP="002378EA">
      <w:pPr>
        <w:pStyle w:val="Paragraphedeliste"/>
        <w:keepNext/>
        <w:numPr>
          <w:ilvl w:val="1"/>
          <w:numId w:val="11"/>
        </w:numPr>
        <w:tabs>
          <w:tab w:val="left" w:pos="720"/>
        </w:tabs>
        <w:spacing w:line="240" w:lineRule="auto"/>
        <w:contextualSpacing w:val="0"/>
        <w:jc w:val="left"/>
        <w:outlineLvl w:val="2"/>
        <w:rPr>
          <w:vanish/>
          <w:sz w:val="22"/>
          <w:u w:val="single"/>
        </w:rPr>
      </w:pPr>
      <w:bookmarkStart w:id="629" w:name="_Toc64026227"/>
      <w:bookmarkStart w:id="630" w:name="_Toc64386748"/>
      <w:bookmarkStart w:id="631" w:name="_Toc70326864"/>
      <w:bookmarkStart w:id="632" w:name="_Toc70327097"/>
      <w:bookmarkStart w:id="633" w:name="_Toc70330460"/>
      <w:bookmarkEnd w:id="629"/>
      <w:bookmarkEnd w:id="630"/>
      <w:bookmarkEnd w:id="631"/>
      <w:bookmarkEnd w:id="632"/>
      <w:bookmarkEnd w:id="633"/>
    </w:p>
    <w:p w14:paraId="0EF6FE76" w14:textId="77777777" w:rsidR="001C2F95" w:rsidRPr="00646CF7" w:rsidRDefault="001C2F95" w:rsidP="002378EA">
      <w:pPr>
        <w:pStyle w:val="Paragraphedeliste"/>
        <w:keepNext/>
        <w:numPr>
          <w:ilvl w:val="1"/>
          <w:numId w:val="15"/>
        </w:numPr>
        <w:tabs>
          <w:tab w:val="left" w:pos="720"/>
        </w:tabs>
        <w:spacing w:line="240" w:lineRule="auto"/>
        <w:contextualSpacing w:val="0"/>
        <w:jc w:val="left"/>
        <w:outlineLvl w:val="2"/>
        <w:rPr>
          <w:vanish/>
          <w:sz w:val="22"/>
          <w:u w:val="single"/>
        </w:rPr>
      </w:pPr>
      <w:bookmarkStart w:id="634" w:name="_Toc64026228"/>
      <w:bookmarkStart w:id="635" w:name="_Toc64386749"/>
      <w:bookmarkStart w:id="636" w:name="_Toc70326865"/>
      <w:bookmarkStart w:id="637" w:name="_Toc70327098"/>
      <w:bookmarkStart w:id="638" w:name="_Toc70330461"/>
      <w:bookmarkEnd w:id="634"/>
      <w:bookmarkEnd w:id="635"/>
      <w:bookmarkEnd w:id="636"/>
      <w:bookmarkEnd w:id="637"/>
      <w:bookmarkEnd w:id="638"/>
    </w:p>
    <w:p w14:paraId="348CA113" w14:textId="77777777" w:rsidR="001C2F95" w:rsidRPr="00646CF7" w:rsidRDefault="001C2F95" w:rsidP="002378EA">
      <w:pPr>
        <w:pStyle w:val="Paragraphedeliste"/>
        <w:keepNext/>
        <w:numPr>
          <w:ilvl w:val="0"/>
          <w:numId w:val="16"/>
        </w:numPr>
        <w:spacing w:line="240" w:lineRule="auto"/>
        <w:contextualSpacing w:val="0"/>
        <w:jc w:val="left"/>
        <w:outlineLvl w:val="2"/>
        <w:rPr>
          <w:vanish/>
          <w:sz w:val="22"/>
          <w:u w:val="single"/>
        </w:rPr>
      </w:pPr>
      <w:bookmarkStart w:id="639" w:name="_Toc64026229"/>
      <w:bookmarkStart w:id="640" w:name="_Toc64386750"/>
      <w:bookmarkStart w:id="641" w:name="_Toc70326866"/>
      <w:bookmarkStart w:id="642" w:name="_Toc70327099"/>
      <w:bookmarkStart w:id="643" w:name="_Toc70330462"/>
      <w:bookmarkEnd w:id="639"/>
      <w:bookmarkEnd w:id="640"/>
      <w:bookmarkEnd w:id="641"/>
      <w:bookmarkEnd w:id="642"/>
      <w:bookmarkEnd w:id="643"/>
    </w:p>
    <w:p w14:paraId="120C3630" w14:textId="77777777" w:rsidR="001C2F95" w:rsidRPr="00646CF7" w:rsidRDefault="001C2F95" w:rsidP="002378EA">
      <w:pPr>
        <w:pStyle w:val="Paragraphedeliste"/>
        <w:keepNext/>
        <w:numPr>
          <w:ilvl w:val="0"/>
          <w:numId w:val="16"/>
        </w:numPr>
        <w:spacing w:line="240" w:lineRule="auto"/>
        <w:contextualSpacing w:val="0"/>
        <w:jc w:val="left"/>
        <w:outlineLvl w:val="2"/>
        <w:rPr>
          <w:vanish/>
          <w:sz w:val="22"/>
          <w:u w:val="single"/>
        </w:rPr>
      </w:pPr>
      <w:bookmarkStart w:id="644" w:name="_Toc64026230"/>
      <w:bookmarkStart w:id="645" w:name="_Toc64386751"/>
      <w:bookmarkStart w:id="646" w:name="_Toc70326867"/>
      <w:bookmarkStart w:id="647" w:name="_Toc70327100"/>
      <w:bookmarkStart w:id="648" w:name="_Toc70330463"/>
      <w:bookmarkEnd w:id="644"/>
      <w:bookmarkEnd w:id="645"/>
      <w:bookmarkEnd w:id="646"/>
      <w:bookmarkEnd w:id="647"/>
      <w:bookmarkEnd w:id="648"/>
    </w:p>
    <w:p w14:paraId="79879292" w14:textId="77777777" w:rsidR="001C2F95" w:rsidRPr="00646CF7" w:rsidRDefault="001C2F95" w:rsidP="001357AB">
      <w:pPr>
        <w:rPr>
          <w:sz w:val="22"/>
        </w:rPr>
      </w:pPr>
    </w:p>
    <w:p w14:paraId="610EE1A6" w14:textId="77777777" w:rsidR="001C2F95" w:rsidRPr="00646CF7" w:rsidRDefault="001C2F95" w:rsidP="001357AB">
      <w:pPr>
        <w:autoSpaceDE w:val="0"/>
        <w:autoSpaceDN w:val="0"/>
        <w:adjustRightInd w:val="0"/>
        <w:rPr>
          <w:rFonts w:eastAsia="Calibri"/>
          <w:sz w:val="22"/>
        </w:rPr>
      </w:pPr>
      <w:r w:rsidRPr="00646CF7">
        <w:rPr>
          <w:rFonts w:eastAsia="Calibri"/>
          <w:sz w:val="22"/>
        </w:rPr>
        <w:t xml:space="preserve">La surveillance environnementale et sociale sera effectuée par les Bureaux de Contrôle que la </w:t>
      </w:r>
      <w:r w:rsidRPr="00646CF7">
        <w:rPr>
          <w:sz w:val="22"/>
        </w:rPr>
        <w:t>Coordination du Projet</w:t>
      </w:r>
      <w:r w:rsidRPr="00646CF7">
        <w:rPr>
          <w:rFonts w:eastAsia="Calibri"/>
          <w:sz w:val="22"/>
        </w:rPr>
        <w:t xml:space="preserve"> va recruter, avec l’obligation de disposer d’un Expert Environnement et Social (ESES) qui aura comme principales missions</w:t>
      </w:r>
      <w:r>
        <w:rPr>
          <w:rFonts w:eastAsia="Calibri"/>
          <w:sz w:val="22"/>
        </w:rPr>
        <w:t xml:space="preserve"> </w:t>
      </w:r>
      <w:r w:rsidRPr="00646CF7">
        <w:rPr>
          <w:rFonts w:eastAsia="Calibri"/>
          <w:sz w:val="22"/>
        </w:rPr>
        <w:t xml:space="preserve">de : </w:t>
      </w:r>
    </w:p>
    <w:p w14:paraId="12F38BD4" w14:textId="77777777" w:rsidR="001C2F95" w:rsidRPr="00646CF7" w:rsidRDefault="001C2F95" w:rsidP="001C2F95">
      <w:pPr>
        <w:autoSpaceDE w:val="0"/>
        <w:autoSpaceDN w:val="0"/>
        <w:adjustRightInd w:val="0"/>
        <w:rPr>
          <w:rFonts w:eastAsia="Calibri"/>
          <w:sz w:val="22"/>
        </w:rPr>
      </w:pPr>
    </w:p>
    <w:p w14:paraId="2447F46C" w14:textId="77777777" w:rsidR="001C2F95" w:rsidRPr="00646CF7" w:rsidRDefault="001C2F95" w:rsidP="002378EA">
      <w:pPr>
        <w:numPr>
          <w:ilvl w:val="0"/>
          <w:numId w:val="52"/>
        </w:numPr>
        <w:autoSpaceDE w:val="0"/>
        <w:autoSpaceDN w:val="0"/>
        <w:adjustRightInd w:val="0"/>
        <w:rPr>
          <w:rFonts w:eastAsia="Calibri"/>
          <w:sz w:val="22"/>
        </w:rPr>
      </w:pPr>
      <w:r w:rsidRPr="00646CF7">
        <w:rPr>
          <w:rFonts w:eastAsia="Calibri"/>
          <w:sz w:val="22"/>
        </w:rPr>
        <w:t>Faire respecter toutes les mesures d’atténuation courantes et particulières du Projet ;</w:t>
      </w:r>
    </w:p>
    <w:p w14:paraId="777893BF" w14:textId="77777777" w:rsidR="001C2F95" w:rsidRPr="00646CF7" w:rsidRDefault="001C2F95" w:rsidP="002378EA">
      <w:pPr>
        <w:numPr>
          <w:ilvl w:val="0"/>
          <w:numId w:val="52"/>
        </w:numPr>
        <w:autoSpaceDE w:val="0"/>
        <w:autoSpaceDN w:val="0"/>
        <w:adjustRightInd w:val="0"/>
        <w:rPr>
          <w:rFonts w:eastAsia="Calibri"/>
          <w:sz w:val="22"/>
        </w:rPr>
      </w:pPr>
      <w:r w:rsidRPr="00646CF7">
        <w:rPr>
          <w:rFonts w:eastAsia="Calibri"/>
          <w:sz w:val="22"/>
        </w:rPr>
        <w:t>Rappeler aux entrepreneurs leurs obligations en matière environnementale et de bonne conduite et s’assurer que celles-ci sont respectées lors de la période de construction ;</w:t>
      </w:r>
    </w:p>
    <w:p w14:paraId="67C8EF49" w14:textId="77777777" w:rsidR="001C2F95" w:rsidRPr="000A34E0" w:rsidRDefault="001C2F95" w:rsidP="002378EA">
      <w:pPr>
        <w:numPr>
          <w:ilvl w:val="0"/>
          <w:numId w:val="52"/>
        </w:numPr>
        <w:autoSpaceDE w:val="0"/>
        <w:autoSpaceDN w:val="0"/>
        <w:adjustRightInd w:val="0"/>
        <w:rPr>
          <w:rFonts w:eastAsia="Calibri"/>
          <w:sz w:val="22"/>
        </w:rPr>
      </w:pPr>
      <w:r w:rsidRPr="000A34E0">
        <w:rPr>
          <w:rFonts w:eastAsia="Calibri"/>
          <w:sz w:val="22"/>
        </w:rPr>
        <w:t>Rédiger des rapports de surveillance environnementale tout au long des travaux ;</w:t>
      </w:r>
    </w:p>
    <w:p w14:paraId="2290A8C0" w14:textId="77777777" w:rsidR="001C2F95" w:rsidRPr="000A34E0" w:rsidRDefault="001C2F95" w:rsidP="002378EA">
      <w:pPr>
        <w:numPr>
          <w:ilvl w:val="0"/>
          <w:numId w:val="52"/>
        </w:numPr>
        <w:autoSpaceDE w:val="0"/>
        <w:autoSpaceDN w:val="0"/>
        <w:adjustRightInd w:val="0"/>
        <w:rPr>
          <w:rFonts w:eastAsia="Calibri"/>
          <w:sz w:val="22"/>
        </w:rPr>
      </w:pPr>
      <w:r w:rsidRPr="000A34E0">
        <w:rPr>
          <w:rFonts w:eastAsia="Calibri"/>
          <w:sz w:val="22"/>
        </w:rPr>
        <w:t>Inspecter les travaux et demander les correctifs appropriés</w:t>
      </w:r>
      <w:r>
        <w:rPr>
          <w:rFonts w:eastAsia="Calibri"/>
          <w:sz w:val="22"/>
        </w:rPr>
        <w:t>,</w:t>
      </w:r>
      <w:r w:rsidRPr="000A34E0">
        <w:rPr>
          <w:rFonts w:eastAsia="Calibri"/>
          <w:sz w:val="22"/>
        </w:rPr>
        <w:t xml:space="preserve"> le cas échéant ;</w:t>
      </w:r>
    </w:p>
    <w:p w14:paraId="22A69070" w14:textId="77777777" w:rsidR="001C2F95" w:rsidRPr="000A34E0" w:rsidRDefault="001C2F95" w:rsidP="002378EA">
      <w:pPr>
        <w:numPr>
          <w:ilvl w:val="0"/>
          <w:numId w:val="52"/>
        </w:numPr>
        <w:autoSpaceDE w:val="0"/>
        <w:autoSpaceDN w:val="0"/>
        <w:adjustRightInd w:val="0"/>
        <w:rPr>
          <w:rFonts w:eastAsia="Calibri"/>
          <w:sz w:val="22"/>
        </w:rPr>
      </w:pPr>
      <w:r w:rsidRPr="000A34E0">
        <w:rPr>
          <w:rFonts w:eastAsia="Calibri"/>
          <w:sz w:val="22"/>
        </w:rPr>
        <w:t>Rédiger le compte-rendu final du programme de surveillance environnementale en période.</w:t>
      </w:r>
    </w:p>
    <w:p w14:paraId="6AFFE57D" w14:textId="77777777" w:rsidR="001C2F95" w:rsidRDefault="001C2F95" w:rsidP="001C2F95">
      <w:pPr>
        <w:autoSpaceDE w:val="0"/>
        <w:autoSpaceDN w:val="0"/>
        <w:adjustRightInd w:val="0"/>
        <w:rPr>
          <w:rFonts w:eastAsia="Calibri"/>
          <w:sz w:val="22"/>
        </w:rPr>
      </w:pPr>
    </w:p>
    <w:p w14:paraId="7613CD37" w14:textId="77777777" w:rsidR="001C2F95" w:rsidRPr="000A34E0" w:rsidRDefault="001C2F95" w:rsidP="001C2F95">
      <w:pPr>
        <w:autoSpaceDE w:val="0"/>
        <w:autoSpaceDN w:val="0"/>
        <w:adjustRightInd w:val="0"/>
        <w:rPr>
          <w:rFonts w:eastAsia="Calibri"/>
          <w:sz w:val="22"/>
        </w:rPr>
      </w:pPr>
      <w:r w:rsidRPr="000A34E0">
        <w:rPr>
          <w:rFonts w:eastAsia="Calibri"/>
          <w:sz w:val="22"/>
        </w:rPr>
        <w:t>De plus, il pourra jouer le rôle d’interface entre les populations riveraines et les entrepreneurs en cas de plaintes.</w:t>
      </w:r>
    </w:p>
    <w:p w14:paraId="70B4AAE4" w14:textId="77777777" w:rsidR="001C2F95" w:rsidRPr="000A34E0" w:rsidRDefault="001C2F95" w:rsidP="001C2F95">
      <w:pPr>
        <w:autoSpaceDE w:val="0"/>
        <w:autoSpaceDN w:val="0"/>
        <w:adjustRightInd w:val="0"/>
        <w:rPr>
          <w:rFonts w:eastAsia="Calibri"/>
          <w:sz w:val="22"/>
        </w:rPr>
      </w:pPr>
    </w:p>
    <w:p w14:paraId="5E0CED07" w14:textId="77777777" w:rsidR="00E30F53" w:rsidRDefault="001C2F95" w:rsidP="00237F3D">
      <w:pPr>
        <w:autoSpaceDE w:val="0"/>
        <w:autoSpaceDN w:val="0"/>
        <w:adjustRightInd w:val="0"/>
        <w:rPr>
          <w:rFonts w:cs="Arial"/>
          <w:sz w:val="22"/>
        </w:rPr>
      </w:pPr>
      <w:r w:rsidRPr="008A5BC4">
        <w:rPr>
          <w:rFonts w:eastAsia="Calibri"/>
          <w:sz w:val="22"/>
        </w:rPr>
        <w:t>La supervision du travail des Bureaux de Contrôle sera effectuée par le SSE</w:t>
      </w:r>
      <w:r>
        <w:rPr>
          <w:rFonts w:eastAsia="Calibri"/>
          <w:sz w:val="22"/>
        </w:rPr>
        <w:t>,</w:t>
      </w:r>
      <w:r w:rsidRPr="008A5BC4">
        <w:rPr>
          <w:rFonts w:eastAsia="Calibri"/>
          <w:sz w:val="22"/>
        </w:rPr>
        <w:t xml:space="preserve"> le SSS</w:t>
      </w:r>
      <w:r>
        <w:rPr>
          <w:rFonts w:eastAsia="Calibri"/>
          <w:sz w:val="22"/>
        </w:rPr>
        <w:t>, et le SVBG</w:t>
      </w:r>
      <w:r w:rsidRPr="008A5BC4">
        <w:rPr>
          <w:rFonts w:eastAsia="Calibri"/>
          <w:sz w:val="22"/>
        </w:rPr>
        <w:t>.</w:t>
      </w:r>
    </w:p>
    <w:p w14:paraId="30EE1DA7" w14:textId="77777777" w:rsidR="00E30F53" w:rsidRDefault="00E30F53" w:rsidP="001C2F95">
      <w:pPr>
        <w:autoSpaceDE w:val="0"/>
        <w:autoSpaceDN w:val="0"/>
        <w:adjustRightInd w:val="0"/>
        <w:rPr>
          <w:rFonts w:eastAsia="Calibri"/>
          <w:sz w:val="22"/>
        </w:rPr>
      </w:pPr>
    </w:p>
    <w:p w14:paraId="39F47007" w14:textId="77777777" w:rsidR="001C2F95" w:rsidRPr="008A5BC4" w:rsidRDefault="001C2F95" w:rsidP="001C2F95">
      <w:pPr>
        <w:pStyle w:val="Titre2"/>
        <w:numPr>
          <w:ilvl w:val="2"/>
          <w:numId w:val="4"/>
        </w:numPr>
        <w:ind w:left="1560" w:hanging="709"/>
        <w:rPr>
          <w:rFonts w:cs="Arial"/>
          <w:i/>
          <w:sz w:val="22"/>
          <w:szCs w:val="22"/>
        </w:rPr>
      </w:pPr>
      <w:bookmarkStart w:id="649" w:name="_Toc70330464"/>
      <w:r w:rsidRPr="008A5BC4">
        <w:rPr>
          <w:rFonts w:cs="Arial"/>
          <w:i/>
          <w:sz w:val="22"/>
          <w:szCs w:val="22"/>
        </w:rPr>
        <w:t>Suivi environnemental et social</w:t>
      </w:r>
      <w:bookmarkEnd w:id="649"/>
      <w:r w:rsidRPr="008A5BC4">
        <w:rPr>
          <w:rFonts w:cs="Arial"/>
          <w:i/>
          <w:sz w:val="22"/>
          <w:szCs w:val="22"/>
        </w:rPr>
        <w:t xml:space="preserve"> </w:t>
      </w:r>
    </w:p>
    <w:p w14:paraId="717A86A5" w14:textId="77777777" w:rsidR="001C2F95" w:rsidRPr="008A5BC4" w:rsidRDefault="001C2F95" w:rsidP="001C2F95">
      <w:pPr>
        <w:rPr>
          <w:sz w:val="22"/>
        </w:rPr>
      </w:pPr>
    </w:p>
    <w:p w14:paraId="048C5A70" w14:textId="77777777" w:rsidR="001C2F95" w:rsidRDefault="001C2F95" w:rsidP="001C2F95">
      <w:pPr>
        <w:rPr>
          <w:sz w:val="22"/>
        </w:rPr>
      </w:pPr>
      <w:r w:rsidRPr="008A5BC4">
        <w:rPr>
          <w:sz w:val="22"/>
        </w:rPr>
        <w:t xml:space="preserve">Le suivi sera réalisé à </w:t>
      </w:r>
      <w:r w:rsidRPr="00FF4CBB">
        <w:rPr>
          <w:iCs/>
          <w:sz w:val="22"/>
        </w:rPr>
        <w:t>« l’externe »</w:t>
      </w:r>
      <w:r w:rsidRPr="00C44FBD">
        <w:rPr>
          <w:iCs/>
          <w:sz w:val="22"/>
        </w:rPr>
        <w:t xml:space="preserve"> </w:t>
      </w:r>
      <w:r w:rsidRPr="008A5BC4">
        <w:rPr>
          <w:sz w:val="22"/>
        </w:rPr>
        <w:t xml:space="preserve">par l’ACE et les CPE, sur la base d’un protocole d’accord qui définira les modalités, les fréquences et l’échéance d’intervention de l’ACE et des CPE, de même que la source de financement de cette activité. </w:t>
      </w:r>
    </w:p>
    <w:p w14:paraId="17761CC8" w14:textId="77777777" w:rsidR="00145F0C" w:rsidRDefault="00145F0C" w:rsidP="001C2F95">
      <w:pPr>
        <w:rPr>
          <w:sz w:val="22"/>
        </w:rPr>
      </w:pPr>
    </w:p>
    <w:p w14:paraId="293AF0EF" w14:textId="77777777" w:rsidR="00145F0C" w:rsidRPr="00775E56" w:rsidRDefault="00145F0C" w:rsidP="00145F0C">
      <w:pPr>
        <w:pStyle w:val="Titre2"/>
        <w:numPr>
          <w:ilvl w:val="2"/>
          <w:numId w:val="4"/>
        </w:numPr>
        <w:ind w:left="1560" w:hanging="709"/>
        <w:rPr>
          <w:rFonts w:cs="Arial"/>
          <w:i/>
          <w:sz w:val="22"/>
          <w:szCs w:val="22"/>
        </w:rPr>
      </w:pPr>
      <w:bookmarkStart w:id="650" w:name="_Toc70330465"/>
      <w:r w:rsidRPr="00775E56">
        <w:rPr>
          <w:rFonts w:cs="Arial"/>
          <w:i/>
          <w:sz w:val="22"/>
          <w:szCs w:val="22"/>
        </w:rPr>
        <w:t>Rôles et responsabilités pour le suivi-évaluation et rapportage environnemental et social du sous-projet/microprojet/activité</w:t>
      </w:r>
      <w:bookmarkEnd w:id="650"/>
      <w:r w:rsidRPr="00775E56">
        <w:rPr>
          <w:rFonts w:cs="Arial"/>
          <w:i/>
          <w:sz w:val="22"/>
          <w:szCs w:val="22"/>
        </w:rPr>
        <w:t xml:space="preserve"> </w:t>
      </w:r>
    </w:p>
    <w:p w14:paraId="5539D737" w14:textId="77777777" w:rsidR="00145F0C" w:rsidRPr="001E310E" w:rsidRDefault="00145F0C" w:rsidP="00145F0C">
      <w:pPr>
        <w:rPr>
          <w:rFonts w:cs="Arial"/>
          <w:sz w:val="22"/>
        </w:rPr>
      </w:pPr>
    </w:p>
    <w:p w14:paraId="27024361" w14:textId="77777777" w:rsidR="00145F0C" w:rsidRPr="001E310E" w:rsidRDefault="00145F0C" w:rsidP="00145F0C">
      <w:pPr>
        <w:rPr>
          <w:rFonts w:cs="Arial"/>
          <w:sz w:val="22"/>
        </w:rPr>
      </w:pPr>
      <w:r w:rsidRPr="001E310E">
        <w:rPr>
          <w:rFonts w:cs="Arial"/>
          <w:sz w:val="22"/>
        </w:rPr>
        <w:t>Le tableau ci-dessous présente le récapitulatif des étapes et des responsabilités institutionnelles pour la sélection et la préparation de l’évaluation, de l’approbation et de la mise en œuvre des sous-projets.</w:t>
      </w:r>
    </w:p>
    <w:p w14:paraId="1CDFB762" w14:textId="77777777" w:rsidR="00145F0C" w:rsidRPr="001E310E" w:rsidRDefault="00145F0C" w:rsidP="00145F0C">
      <w:pPr>
        <w:rPr>
          <w:rFonts w:cs="Arial"/>
          <w:sz w:val="22"/>
        </w:rPr>
      </w:pPr>
    </w:p>
    <w:p w14:paraId="4D8AE798" w14:textId="77777777" w:rsidR="00145F0C" w:rsidRPr="001E310E" w:rsidRDefault="00145F0C" w:rsidP="00145F0C">
      <w:pPr>
        <w:ind w:left="1260" w:hanging="1260"/>
        <w:rPr>
          <w:rFonts w:cs="Arial"/>
          <w:sz w:val="22"/>
        </w:rPr>
      </w:pPr>
      <w:bookmarkStart w:id="651" w:name="_Toc70451676"/>
      <w:r w:rsidRPr="00237F3D">
        <w:rPr>
          <w:rFonts w:cs="Arial"/>
          <w:sz w:val="22"/>
        </w:rPr>
        <w:t xml:space="preserve">Tableau </w:t>
      </w:r>
      <w:r w:rsidRPr="00237F3D">
        <w:rPr>
          <w:rFonts w:cs="Arial"/>
          <w:sz w:val="22"/>
        </w:rPr>
        <w:fldChar w:fldCharType="begin"/>
      </w:r>
      <w:r w:rsidRPr="00237F3D">
        <w:rPr>
          <w:rFonts w:cs="Arial"/>
          <w:sz w:val="22"/>
        </w:rPr>
        <w:instrText xml:space="preserve"> SEQ Tableau \* ARABIC </w:instrText>
      </w:r>
      <w:r w:rsidRPr="00237F3D">
        <w:rPr>
          <w:rFonts w:cs="Arial"/>
          <w:sz w:val="22"/>
        </w:rPr>
        <w:fldChar w:fldCharType="separate"/>
      </w:r>
      <w:r w:rsidR="001260B3">
        <w:rPr>
          <w:rFonts w:cs="Arial"/>
          <w:noProof/>
          <w:sz w:val="22"/>
        </w:rPr>
        <w:t>30</w:t>
      </w:r>
      <w:r w:rsidRPr="00237F3D">
        <w:rPr>
          <w:rFonts w:cs="Arial"/>
          <w:sz w:val="22"/>
        </w:rPr>
        <w:fldChar w:fldCharType="end"/>
      </w:r>
      <w:r w:rsidRPr="00237F3D">
        <w:rPr>
          <w:rFonts w:cs="Arial"/>
          <w:sz w:val="22"/>
        </w:rPr>
        <w:t>. Récapitulation des étapes et des responsabilités institutionnelles pour la sélection et la préparation de l’évaluation, de l’approbation et de la mise en œuvre des sous-projets</w:t>
      </w:r>
      <w:bookmarkEnd w:id="651"/>
    </w:p>
    <w:p w14:paraId="64E38683" w14:textId="77777777" w:rsidR="00145F0C" w:rsidRPr="001E310E" w:rsidRDefault="00145F0C" w:rsidP="00145F0C">
      <w:pPr>
        <w:rPr>
          <w:rFonts w:cs="Arial"/>
          <w:sz w:val="22"/>
        </w:rPr>
      </w:pP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835"/>
        <w:gridCol w:w="1984"/>
        <w:gridCol w:w="2977"/>
        <w:gridCol w:w="1984"/>
      </w:tblGrid>
      <w:tr w:rsidR="00145F0C" w:rsidRPr="001E310E" w14:paraId="68302E0F" w14:textId="77777777" w:rsidTr="00730A4A">
        <w:trPr>
          <w:tblHeader/>
        </w:trPr>
        <w:tc>
          <w:tcPr>
            <w:tcW w:w="568" w:type="dxa"/>
            <w:shd w:val="clear" w:color="auto" w:fill="D5DCE4"/>
          </w:tcPr>
          <w:p w14:paraId="07AC36B2" w14:textId="77777777" w:rsidR="00145F0C" w:rsidRPr="002541DD" w:rsidRDefault="00145F0C" w:rsidP="00DC5A00">
            <w:pPr>
              <w:jc w:val="center"/>
              <w:rPr>
                <w:rFonts w:cs="Arial"/>
                <w:b/>
                <w:sz w:val="22"/>
              </w:rPr>
            </w:pPr>
            <w:r w:rsidRPr="002541DD">
              <w:rPr>
                <w:rFonts w:cs="Arial"/>
                <w:b/>
                <w:sz w:val="22"/>
              </w:rPr>
              <w:t>N</w:t>
            </w:r>
            <w:r>
              <w:rPr>
                <w:rFonts w:cs="Arial"/>
                <w:b/>
                <w:sz w:val="22"/>
              </w:rPr>
              <w:t>°</w:t>
            </w:r>
          </w:p>
        </w:tc>
        <w:tc>
          <w:tcPr>
            <w:tcW w:w="2835" w:type="dxa"/>
            <w:shd w:val="clear" w:color="auto" w:fill="D5DCE4"/>
          </w:tcPr>
          <w:p w14:paraId="74BAFBBD" w14:textId="77777777" w:rsidR="00145F0C" w:rsidRPr="002541DD" w:rsidRDefault="00145F0C" w:rsidP="00DC5A00">
            <w:pPr>
              <w:jc w:val="center"/>
              <w:rPr>
                <w:rFonts w:cs="Arial"/>
                <w:b/>
                <w:sz w:val="22"/>
              </w:rPr>
            </w:pPr>
            <w:r w:rsidRPr="002541DD">
              <w:rPr>
                <w:rFonts w:cs="Arial"/>
                <w:b/>
                <w:sz w:val="22"/>
              </w:rPr>
              <w:t>Étapes/Activités</w:t>
            </w:r>
          </w:p>
        </w:tc>
        <w:tc>
          <w:tcPr>
            <w:tcW w:w="1984" w:type="dxa"/>
            <w:shd w:val="clear" w:color="auto" w:fill="D5DCE4"/>
          </w:tcPr>
          <w:p w14:paraId="445880E3" w14:textId="77777777" w:rsidR="00145F0C" w:rsidRPr="002541DD" w:rsidRDefault="00145F0C" w:rsidP="00DC5A00">
            <w:pPr>
              <w:jc w:val="center"/>
              <w:rPr>
                <w:rFonts w:cs="Arial"/>
                <w:b/>
                <w:sz w:val="22"/>
              </w:rPr>
            </w:pPr>
            <w:r w:rsidRPr="002541DD">
              <w:rPr>
                <w:rFonts w:cs="Arial"/>
                <w:b/>
                <w:sz w:val="22"/>
              </w:rPr>
              <w:t>Responsable</w:t>
            </w:r>
          </w:p>
        </w:tc>
        <w:tc>
          <w:tcPr>
            <w:tcW w:w="2977" w:type="dxa"/>
            <w:shd w:val="clear" w:color="auto" w:fill="D5DCE4"/>
          </w:tcPr>
          <w:p w14:paraId="12556ECB" w14:textId="77777777" w:rsidR="00145F0C" w:rsidRPr="002541DD" w:rsidRDefault="00145F0C" w:rsidP="00DC5A00">
            <w:pPr>
              <w:jc w:val="center"/>
              <w:rPr>
                <w:rFonts w:cs="Arial"/>
                <w:b/>
                <w:sz w:val="22"/>
              </w:rPr>
            </w:pPr>
            <w:r w:rsidRPr="002541DD">
              <w:rPr>
                <w:rFonts w:cs="Arial"/>
                <w:b/>
                <w:sz w:val="22"/>
              </w:rPr>
              <w:t>Appui/ Collaboration</w:t>
            </w:r>
          </w:p>
        </w:tc>
        <w:tc>
          <w:tcPr>
            <w:tcW w:w="1984" w:type="dxa"/>
            <w:shd w:val="clear" w:color="auto" w:fill="D5DCE4"/>
          </w:tcPr>
          <w:p w14:paraId="72880B8E" w14:textId="77777777" w:rsidR="00145F0C" w:rsidRPr="002541DD" w:rsidRDefault="00145F0C" w:rsidP="00DC5A00">
            <w:pPr>
              <w:jc w:val="center"/>
              <w:rPr>
                <w:rFonts w:cs="Arial"/>
                <w:b/>
                <w:sz w:val="22"/>
              </w:rPr>
            </w:pPr>
            <w:r w:rsidRPr="002541DD">
              <w:rPr>
                <w:rFonts w:cs="Arial"/>
                <w:b/>
                <w:sz w:val="22"/>
              </w:rPr>
              <w:t>Prestataire</w:t>
            </w:r>
          </w:p>
        </w:tc>
      </w:tr>
      <w:tr w:rsidR="00145F0C" w:rsidRPr="001E310E" w14:paraId="489FC30E" w14:textId="77777777" w:rsidTr="00DC5A00">
        <w:tc>
          <w:tcPr>
            <w:tcW w:w="568" w:type="dxa"/>
            <w:shd w:val="clear" w:color="auto" w:fill="auto"/>
          </w:tcPr>
          <w:p w14:paraId="1B63EFCF" w14:textId="77777777" w:rsidR="00145F0C" w:rsidRPr="001E310E" w:rsidRDefault="00145F0C" w:rsidP="00DC5A00">
            <w:pPr>
              <w:rPr>
                <w:rFonts w:cs="Arial"/>
                <w:sz w:val="22"/>
              </w:rPr>
            </w:pPr>
            <w:r w:rsidRPr="001E310E">
              <w:rPr>
                <w:rFonts w:cs="Arial"/>
                <w:sz w:val="22"/>
              </w:rPr>
              <w:t>1.</w:t>
            </w:r>
          </w:p>
        </w:tc>
        <w:tc>
          <w:tcPr>
            <w:tcW w:w="2835" w:type="dxa"/>
            <w:shd w:val="clear" w:color="auto" w:fill="auto"/>
          </w:tcPr>
          <w:p w14:paraId="63F3A36D" w14:textId="77777777" w:rsidR="00145F0C" w:rsidRPr="001E310E" w:rsidRDefault="00145F0C" w:rsidP="00DC5A00">
            <w:pPr>
              <w:rPr>
                <w:rFonts w:cs="Arial"/>
                <w:sz w:val="22"/>
              </w:rPr>
            </w:pPr>
            <w:r w:rsidRPr="001E310E">
              <w:rPr>
                <w:rFonts w:cs="Arial"/>
                <w:sz w:val="22"/>
              </w:rPr>
              <w:t xml:space="preserve">Identification de la localisation/site et principales caractéristiques techniques du sous-projet  </w:t>
            </w:r>
          </w:p>
        </w:tc>
        <w:tc>
          <w:tcPr>
            <w:tcW w:w="1984" w:type="dxa"/>
            <w:shd w:val="clear" w:color="auto" w:fill="auto"/>
          </w:tcPr>
          <w:p w14:paraId="14D17487"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Responsable Technique de l’activité </w:t>
            </w:r>
            <w:r w:rsidRPr="001E310E">
              <w:rPr>
                <w:rFonts w:cs="Arial"/>
                <w:i/>
                <w:sz w:val="22"/>
              </w:rPr>
              <w:t>(i)</w:t>
            </w:r>
            <w:r w:rsidRPr="001E310E">
              <w:rPr>
                <w:rFonts w:cs="Arial"/>
                <w:sz w:val="22"/>
              </w:rPr>
              <w:t xml:space="preserve"> au Comité technique préparatoire et du suivi pour la phase de préparation du PNDA et </w:t>
            </w:r>
            <w:r w:rsidRPr="001E310E">
              <w:rPr>
                <w:rFonts w:cs="Arial"/>
                <w:i/>
                <w:sz w:val="22"/>
              </w:rPr>
              <w:t>(ii)</w:t>
            </w:r>
            <w:r w:rsidRPr="001E310E">
              <w:rPr>
                <w:rFonts w:cs="Arial"/>
                <w:sz w:val="22"/>
              </w:rPr>
              <w:t xml:space="preserve"> au PARRSA et à l’U</w:t>
            </w:r>
            <w:r>
              <w:rPr>
                <w:rFonts w:cs="Arial"/>
                <w:sz w:val="22"/>
              </w:rPr>
              <w:t>UNCP</w:t>
            </w:r>
            <w:r w:rsidRPr="001E310E">
              <w:rPr>
                <w:rFonts w:cs="Arial"/>
                <w:sz w:val="22"/>
              </w:rPr>
              <w:t xml:space="preserve"> pour la phase de mise en œuvre. </w:t>
            </w:r>
          </w:p>
        </w:tc>
        <w:tc>
          <w:tcPr>
            <w:tcW w:w="2977" w:type="dxa"/>
            <w:shd w:val="clear" w:color="auto" w:fill="auto"/>
          </w:tcPr>
          <w:p w14:paraId="4270100C"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Provinces concernées par le PNDA ;</w:t>
            </w:r>
          </w:p>
          <w:p w14:paraId="60246E41"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Divisions provinciales de MINAGRIPE ;</w:t>
            </w:r>
          </w:p>
          <w:p w14:paraId="70A6A1E8"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CPE ;</w:t>
            </w:r>
          </w:p>
          <w:p w14:paraId="439E2982"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ICCN ;</w:t>
            </w:r>
          </w:p>
          <w:p w14:paraId="25AB2D2E"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Pr>
                <w:rFonts w:cs="Arial"/>
                <w:sz w:val="22"/>
              </w:rPr>
              <w:t>O</w:t>
            </w:r>
            <w:r w:rsidRPr="001E310E">
              <w:rPr>
                <w:rFonts w:cs="Arial"/>
                <w:sz w:val="22"/>
              </w:rPr>
              <w:t>VDA ;</w:t>
            </w:r>
          </w:p>
          <w:p w14:paraId="32F10618"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Cellule des TP.</w:t>
            </w:r>
          </w:p>
        </w:tc>
        <w:tc>
          <w:tcPr>
            <w:tcW w:w="1984" w:type="dxa"/>
            <w:shd w:val="clear" w:color="auto" w:fill="auto"/>
          </w:tcPr>
          <w:p w14:paraId="63838C07" w14:textId="77777777" w:rsidR="00145F0C" w:rsidRPr="001E310E" w:rsidRDefault="00145F0C" w:rsidP="00DC5A00">
            <w:pPr>
              <w:rPr>
                <w:rFonts w:cs="Arial"/>
                <w:sz w:val="22"/>
              </w:rPr>
            </w:pPr>
            <w:r w:rsidRPr="001E310E">
              <w:rPr>
                <w:rFonts w:cs="Arial"/>
                <w:sz w:val="22"/>
              </w:rPr>
              <w:t>Bureau d’études (</w:t>
            </w:r>
            <w:r>
              <w:rPr>
                <w:rFonts w:cs="Arial"/>
                <w:sz w:val="22"/>
              </w:rPr>
              <w:t>AGENCE D’EXÉCUTION</w:t>
            </w:r>
            <w:r w:rsidRPr="001E310E">
              <w:rPr>
                <w:rFonts w:cs="Arial"/>
                <w:sz w:val="22"/>
              </w:rPr>
              <w:t>) et entreprises</w:t>
            </w:r>
          </w:p>
        </w:tc>
      </w:tr>
      <w:tr w:rsidR="00145F0C" w:rsidRPr="001E310E" w14:paraId="5C3467AD" w14:textId="77777777" w:rsidTr="00DC5A00">
        <w:trPr>
          <w:trHeight w:val="1610"/>
        </w:trPr>
        <w:tc>
          <w:tcPr>
            <w:tcW w:w="568" w:type="dxa"/>
            <w:shd w:val="clear" w:color="auto" w:fill="auto"/>
          </w:tcPr>
          <w:p w14:paraId="340ADA1C" w14:textId="77777777" w:rsidR="00145F0C" w:rsidRDefault="00145F0C" w:rsidP="00DC5A00">
            <w:pPr>
              <w:rPr>
                <w:rFonts w:cs="Arial"/>
                <w:sz w:val="22"/>
              </w:rPr>
            </w:pPr>
          </w:p>
          <w:p w14:paraId="1F5E3ED6" w14:textId="77777777" w:rsidR="00145F0C" w:rsidRDefault="00145F0C" w:rsidP="00DC5A00">
            <w:pPr>
              <w:rPr>
                <w:rFonts w:cs="Arial"/>
                <w:sz w:val="22"/>
              </w:rPr>
            </w:pPr>
          </w:p>
          <w:p w14:paraId="7D9D6956" w14:textId="77777777" w:rsidR="00145F0C" w:rsidRDefault="00145F0C" w:rsidP="00DC5A00">
            <w:pPr>
              <w:rPr>
                <w:rFonts w:cs="Arial"/>
                <w:sz w:val="22"/>
              </w:rPr>
            </w:pPr>
          </w:p>
          <w:p w14:paraId="1ADF0107" w14:textId="77777777" w:rsidR="00145F0C" w:rsidRPr="001E310E" w:rsidRDefault="00145F0C" w:rsidP="00DC5A00">
            <w:pPr>
              <w:rPr>
                <w:rFonts w:cs="Arial"/>
                <w:sz w:val="22"/>
              </w:rPr>
            </w:pPr>
          </w:p>
          <w:p w14:paraId="78373BE3" w14:textId="77777777" w:rsidR="00145F0C" w:rsidRPr="001E310E" w:rsidRDefault="00145F0C" w:rsidP="00DC5A00">
            <w:pPr>
              <w:rPr>
                <w:rFonts w:cs="Arial"/>
                <w:sz w:val="22"/>
              </w:rPr>
            </w:pPr>
            <w:r w:rsidRPr="001E310E">
              <w:rPr>
                <w:rFonts w:cs="Arial"/>
                <w:sz w:val="22"/>
              </w:rPr>
              <w:t>2.</w:t>
            </w:r>
          </w:p>
        </w:tc>
        <w:tc>
          <w:tcPr>
            <w:tcW w:w="2835" w:type="dxa"/>
            <w:shd w:val="clear" w:color="auto" w:fill="auto"/>
          </w:tcPr>
          <w:p w14:paraId="7A016534" w14:textId="77777777" w:rsidR="00145F0C" w:rsidRPr="001E310E" w:rsidRDefault="00145F0C" w:rsidP="00DC5A00">
            <w:pPr>
              <w:jc w:val="left"/>
              <w:rPr>
                <w:rFonts w:cs="Arial"/>
                <w:sz w:val="22"/>
              </w:rPr>
            </w:pPr>
            <w:r w:rsidRPr="001E310E">
              <w:rPr>
                <w:rFonts w:cs="Arial"/>
                <w:sz w:val="22"/>
              </w:rPr>
              <w:t xml:space="preserve">Sélection environnementale et sociale (Screening-remplissage des formulaires) y compris les risques </w:t>
            </w:r>
            <w:r>
              <w:rPr>
                <w:rFonts w:cs="Arial"/>
                <w:sz w:val="22"/>
              </w:rPr>
              <w:t>liés à l’</w:t>
            </w:r>
            <w:r w:rsidRPr="001E310E">
              <w:rPr>
                <w:rFonts w:cs="Arial"/>
                <w:sz w:val="22"/>
              </w:rPr>
              <w:t>EAS/HS</w:t>
            </w:r>
            <w:r>
              <w:rPr>
                <w:rFonts w:cs="Arial"/>
                <w:sz w:val="22"/>
              </w:rPr>
              <w:t xml:space="preserve"> et au </w:t>
            </w:r>
            <w:r w:rsidRPr="001E310E">
              <w:rPr>
                <w:rFonts w:cs="Arial"/>
                <w:sz w:val="22"/>
              </w:rPr>
              <w:t xml:space="preserve">COVID-19, et détermination du type d’instrument spécifique de sauvegarde. </w:t>
            </w:r>
          </w:p>
        </w:tc>
        <w:tc>
          <w:tcPr>
            <w:tcW w:w="1984" w:type="dxa"/>
            <w:shd w:val="clear" w:color="auto" w:fill="auto"/>
          </w:tcPr>
          <w:p w14:paraId="229471E8"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SSE, S</w:t>
            </w:r>
            <w:r>
              <w:rPr>
                <w:rFonts w:cs="Arial"/>
                <w:sz w:val="22"/>
              </w:rPr>
              <w:t>SSS</w:t>
            </w:r>
            <w:r w:rsidRPr="001E310E">
              <w:rPr>
                <w:rFonts w:cs="Arial"/>
                <w:sz w:val="22"/>
              </w:rPr>
              <w:t xml:space="preserve"> et </w:t>
            </w:r>
            <w:r>
              <w:rPr>
                <w:rFonts w:cs="Arial"/>
                <w:sz w:val="22"/>
              </w:rPr>
              <w:t>S</w:t>
            </w:r>
            <w:r w:rsidRPr="001E310E">
              <w:rPr>
                <w:rFonts w:cs="Arial"/>
                <w:sz w:val="22"/>
              </w:rPr>
              <w:t>VBG (phase</w:t>
            </w:r>
            <w:r>
              <w:rPr>
                <w:rFonts w:cs="Arial"/>
                <w:sz w:val="22"/>
              </w:rPr>
              <w:t>s</w:t>
            </w:r>
            <w:r w:rsidRPr="001E310E">
              <w:rPr>
                <w:rFonts w:cs="Arial"/>
                <w:sz w:val="22"/>
              </w:rPr>
              <w:t xml:space="preserve"> de </w:t>
            </w:r>
          </w:p>
          <w:p w14:paraId="33E2880E" w14:textId="77777777" w:rsidR="00145F0C" w:rsidRPr="001E310E" w:rsidRDefault="00145F0C" w:rsidP="00DC5A00">
            <w:pPr>
              <w:pStyle w:val="Paragraphedeliste"/>
              <w:tabs>
                <w:tab w:val="left" w:pos="0"/>
              </w:tabs>
              <w:ind w:left="156"/>
              <w:contextualSpacing w:val="0"/>
              <w:jc w:val="left"/>
              <w:rPr>
                <w:rFonts w:cs="Arial"/>
                <w:sz w:val="22"/>
              </w:rPr>
            </w:pPr>
            <w:r>
              <w:rPr>
                <w:rFonts w:cs="Arial"/>
                <w:sz w:val="22"/>
              </w:rPr>
              <w:t>p</w:t>
            </w:r>
            <w:r w:rsidRPr="001E310E">
              <w:rPr>
                <w:rFonts w:cs="Arial"/>
                <w:sz w:val="22"/>
              </w:rPr>
              <w:t xml:space="preserve">réparation et </w:t>
            </w:r>
            <w:r>
              <w:rPr>
                <w:rFonts w:cs="Arial"/>
                <w:sz w:val="22"/>
              </w:rPr>
              <w:t xml:space="preserve">de </w:t>
            </w:r>
            <w:r w:rsidRPr="001E310E">
              <w:rPr>
                <w:rFonts w:cs="Arial"/>
                <w:sz w:val="22"/>
              </w:rPr>
              <w:t>mise en œuvre).</w:t>
            </w:r>
          </w:p>
        </w:tc>
        <w:tc>
          <w:tcPr>
            <w:tcW w:w="2977" w:type="dxa"/>
            <w:shd w:val="clear" w:color="auto" w:fill="auto"/>
          </w:tcPr>
          <w:p w14:paraId="148A5276" w14:textId="77777777" w:rsidR="00145F0C"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Provinces ciblées par le PNDA ;</w:t>
            </w:r>
          </w:p>
          <w:p w14:paraId="198A3663"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Division provinciales MINAGRI</w:t>
            </w:r>
            <w:r>
              <w:rPr>
                <w:rFonts w:cs="Arial"/>
                <w:sz w:val="22"/>
              </w:rPr>
              <w:t>,</w:t>
            </w:r>
            <w:r w:rsidRPr="001E310E" w:rsidDel="009A2163">
              <w:rPr>
                <w:rFonts w:cs="Arial"/>
                <w:sz w:val="22"/>
              </w:rPr>
              <w:t xml:space="preserve"> </w:t>
            </w:r>
            <w:r w:rsidRPr="001E310E">
              <w:rPr>
                <w:rFonts w:cs="Arial"/>
                <w:sz w:val="22"/>
              </w:rPr>
              <w:t>DVDA ;</w:t>
            </w:r>
          </w:p>
          <w:p w14:paraId="66552C4F"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ACE ;</w:t>
            </w:r>
          </w:p>
          <w:p w14:paraId="6C91C350"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CPE.</w:t>
            </w:r>
          </w:p>
          <w:p w14:paraId="2EFED47E" w14:textId="77777777" w:rsidR="00145F0C" w:rsidRPr="001E310E" w:rsidRDefault="00145F0C" w:rsidP="00DC5A00">
            <w:pPr>
              <w:pStyle w:val="Paragraphedeliste"/>
              <w:tabs>
                <w:tab w:val="left" w:pos="0"/>
              </w:tabs>
              <w:ind w:left="156"/>
              <w:contextualSpacing w:val="0"/>
              <w:jc w:val="left"/>
              <w:rPr>
                <w:rFonts w:cs="Arial"/>
                <w:sz w:val="22"/>
              </w:rPr>
            </w:pPr>
          </w:p>
        </w:tc>
        <w:tc>
          <w:tcPr>
            <w:tcW w:w="1984" w:type="dxa"/>
            <w:shd w:val="clear" w:color="auto" w:fill="auto"/>
          </w:tcPr>
          <w:p w14:paraId="012AA624" w14:textId="77777777" w:rsidR="00145F0C" w:rsidRPr="001C360D"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SSE, </w:t>
            </w:r>
            <w:r>
              <w:rPr>
                <w:rFonts w:cs="Arial"/>
                <w:sz w:val="22"/>
              </w:rPr>
              <w:t>SSS</w:t>
            </w:r>
            <w:r w:rsidRPr="001E310E">
              <w:rPr>
                <w:rFonts w:cs="Arial"/>
                <w:sz w:val="22"/>
              </w:rPr>
              <w:t xml:space="preserve"> et</w:t>
            </w:r>
            <w:r>
              <w:rPr>
                <w:rFonts w:cs="Arial"/>
                <w:sz w:val="22"/>
              </w:rPr>
              <w:t xml:space="preserve"> S</w:t>
            </w:r>
            <w:r w:rsidRPr="001E310E">
              <w:rPr>
                <w:rFonts w:cs="Arial"/>
                <w:sz w:val="22"/>
              </w:rPr>
              <w:t>VBG (phase</w:t>
            </w:r>
            <w:r>
              <w:rPr>
                <w:rFonts w:cs="Arial"/>
                <w:sz w:val="22"/>
              </w:rPr>
              <w:t>s</w:t>
            </w:r>
            <w:r w:rsidRPr="001E310E">
              <w:rPr>
                <w:rFonts w:cs="Arial"/>
                <w:sz w:val="22"/>
              </w:rPr>
              <w:t xml:space="preserve"> de préparation</w:t>
            </w:r>
            <w:r>
              <w:rPr>
                <w:rFonts w:cs="Arial"/>
                <w:sz w:val="22"/>
              </w:rPr>
              <w:t xml:space="preserve"> et </w:t>
            </w:r>
            <w:r w:rsidRPr="001C360D">
              <w:rPr>
                <w:rFonts w:cs="Arial"/>
                <w:sz w:val="22"/>
              </w:rPr>
              <w:t>de mise en œuvre</w:t>
            </w:r>
            <w:r>
              <w:rPr>
                <w:rFonts w:cs="Arial"/>
                <w:sz w:val="22"/>
              </w:rPr>
              <w:t>)</w:t>
            </w:r>
            <w:r w:rsidRPr="001C360D" w:rsidDel="002C52D9">
              <w:rPr>
                <w:rFonts w:cs="Arial"/>
                <w:sz w:val="22"/>
              </w:rPr>
              <w:t xml:space="preserve"> </w:t>
            </w:r>
          </w:p>
        </w:tc>
      </w:tr>
      <w:tr w:rsidR="00145F0C" w:rsidRPr="001E310E" w14:paraId="47517CB6" w14:textId="77777777" w:rsidTr="00DC5A00">
        <w:tc>
          <w:tcPr>
            <w:tcW w:w="568" w:type="dxa"/>
            <w:vMerge w:val="restart"/>
            <w:shd w:val="clear" w:color="auto" w:fill="auto"/>
          </w:tcPr>
          <w:p w14:paraId="617A4551" w14:textId="77777777" w:rsidR="00145F0C" w:rsidRDefault="00145F0C" w:rsidP="00DC5A00">
            <w:pPr>
              <w:rPr>
                <w:rFonts w:cs="Arial"/>
                <w:sz w:val="22"/>
              </w:rPr>
            </w:pPr>
          </w:p>
          <w:p w14:paraId="2AC22831" w14:textId="77777777" w:rsidR="00145F0C" w:rsidRDefault="00145F0C" w:rsidP="00DC5A00">
            <w:pPr>
              <w:rPr>
                <w:rFonts w:cs="Arial"/>
                <w:sz w:val="22"/>
              </w:rPr>
            </w:pPr>
          </w:p>
          <w:p w14:paraId="758CABA0" w14:textId="77777777" w:rsidR="00145F0C" w:rsidRDefault="00145F0C" w:rsidP="00DC5A00">
            <w:pPr>
              <w:rPr>
                <w:rFonts w:cs="Arial"/>
                <w:sz w:val="22"/>
              </w:rPr>
            </w:pPr>
          </w:p>
          <w:p w14:paraId="30A1126F" w14:textId="77777777" w:rsidR="00145F0C" w:rsidRDefault="00145F0C" w:rsidP="00DC5A00">
            <w:pPr>
              <w:rPr>
                <w:rFonts w:cs="Arial"/>
                <w:sz w:val="22"/>
              </w:rPr>
            </w:pPr>
          </w:p>
          <w:p w14:paraId="2E4D0929" w14:textId="77777777" w:rsidR="00145F0C" w:rsidRPr="001E310E" w:rsidRDefault="00145F0C" w:rsidP="00DC5A00">
            <w:pPr>
              <w:rPr>
                <w:rFonts w:cs="Arial"/>
                <w:sz w:val="22"/>
              </w:rPr>
            </w:pPr>
            <w:r w:rsidRPr="001E310E">
              <w:rPr>
                <w:rFonts w:cs="Arial"/>
                <w:sz w:val="22"/>
              </w:rPr>
              <w:t>3.</w:t>
            </w:r>
          </w:p>
        </w:tc>
        <w:tc>
          <w:tcPr>
            <w:tcW w:w="2835" w:type="dxa"/>
            <w:shd w:val="clear" w:color="auto" w:fill="auto"/>
          </w:tcPr>
          <w:p w14:paraId="5C6545C1" w14:textId="77777777" w:rsidR="00145F0C" w:rsidRDefault="00145F0C" w:rsidP="00DC5A00">
            <w:pPr>
              <w:rPr>
                <w:rFonts w:cs="Arial"/>
                <w:sz w:val="22"/>
              </w:rPr>
            </w:pPr>
          </w:p>
          <w:p w14:paraId="3431F17A" w14:textId="77777777" w:rsidR="00145F0C" w:rsidRDefault="00145F0C" w:rsidP="00DC5A00">
            <w:pPr>
              <w:rPr>
                <w:rFonts w:cs="Arial"/>
                <w:sz w:val="22"/>
              </w:rPr>
            </w:pPr>
          </w:p>
          <w:p w14:paraId="7B09B287" w14:textId="77777777" w:rsidR="00145F0C" w:rsidRDefault="00145F0C" w:rsidP="00DC5A00">
            <w:pPr>
              <w:rPr>
                <w:rFonts w:cs="Arial"/>
                <w:sz w:val="22"/>
              </w:rPr>
            </w:pPr>
          </w:p>
          <w:p w14:paraId="3E12E3BF" w14:textId="77777777" w:rsidR="00145F0C" w:rsidRPr="001E310E" w:rsidRDefault="00145F0C" w:rsidP="00DC5A00">
            <w:pPr>
              <w:rPr>
                <w:rFonts w:cs="Arial"/>
                <w:sz w:val="22"/>
              </w:rPr>
            </w:pPr>
            <w:r w:rsidRPr="001E310E">
              <w:rPr>
                <w:rFonts w:cs="Arial"/>
                <w:sz w:val="22"/>
              </w:rPr>
              <w:t xml:space="preserve">Approbation de la catégorisation </w:t>
            </w:r>
          </w:p>
        </w:tc>
        <w:tc>
          <w:tcPr>
            <w:tcW w:w="1984" w:type="dxa"/>
            <w:shd w:val="clear" w:color="auto" w:fill="auto"/>
          </w:tcPr>
          <w:p w14:paraId="75B7F638"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Comité Technique préparatoire et de suivi du PNDA</w:t>
            </w:r>
          </w:p>
          <w:p w14:paraId="2D6DA866"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UNCP/PARRSA ;</w:t>
            </w:r>
          </w:p>
          <w:p w14:paraId="62E213D0"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U</w:t>
            </w:r>
            <w:r>
              <w:rPr>
                <w:rFonts w:cs="Arial"/>
                <w:sz w:val="22"/>
              </w:rPr>
              <w:t>NCP</w:t>
            </w:r>
            <w:r w:rsidRPr="001E310E">
              <w:rPr>
                <w:rFonts w:cs="Arial"/>
                <w:sz w:val="22"/>
              </w:rPr>
              <w:t>.</w:t>
            </w:r>
          </w:p>
        </w:tc>
        <w:tc>
          <w:tcPr>
            <w:tcW w:w="2977" w:type="dxa"/>
            <w:shd w:val="clear" w:color="auto" w:fill="auto"/>
          </w:tcPr>
          <w:p w14:paraId="161F0CB3"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SSE, </w:t>
            </w:r>
            <w:r>
              <w:rPr>
                <w:rFonts w:cs="Arial"/>
                <w:sz w:val="22"/>
              </w:rPr>
              <w:t>SSS</w:t>
            </w:r>
            <w:r w:rsidRPr="001E310E">
              <w:rPr>
                <w:rFonts w:cs="Arial"/>
                <w:sz w:val="22"/>
              </w:rPr>
              <w:t xml:space="preserve"> et le </w:t>
            </w:r>
            <w:r>
              <w:rPr>
                <w:rFonts w:cs="Arial"/>
                <w:sz w:val="22"/>
              </w:rPr>
              <w:t>S</w:t>
            </w:r>
            <w:r w:rsidRPr="001E310E">
              <w:rPr>
                <w:rFonts w:cs="Arial"/>
                <w:sz w:val="22"/>
              </w:rPr>
              <w:t>VBG (phase</w:t>
            </w:r>
            <w:r>
              <w:rPr>
                <w:rFonts w:cs="Arial"/>
                <w:sz w:val="22"/>
              </w:rPr>
              <w:t>s</w:t>
            </w:r>
            <w:r w:rsidRPr="001E310E">
              <w:rPr>
                <w:rFonts w:cs="Arial"/>
                <w:sz w:val="22"/>
              </w:rPr>
              <w:t xml:space="preserve"> de préparation et de mise en œuvre) ;</w:t>
            </w:r>
          </w:p>
          <w:p w14:paraId="4036E55A"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ACE ;</w:t>
            </w:r>
          </w:p>
          <w:p w14:paraId="15097BA0"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CPE ;</w:t>
            </w:r>
          </w:p>
          <w:p w14:paraId="27D85902"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ICCN ;</w:t>
            </w:r>
          </w:p>
          <w:p w14:paraId="31DB57D3" w14:textId="77777777" w:rsidR="00145F0C" w:rsidRPr="001E310E" w:rsidRDefault="00145F0C" w:rsidP="00DC5A00">
            <w:pPr>
              <w:pStyle w:val="Paragraphedeliste"/>
              <w:tabs>
                <w:tab w:val="left" w:pos="0"/>
              </w:tabs>
              <w:ind w:left="156"/>
              <w:contextualSpacing w:val="0"/>
              <w:jc w:val="left"/>
              <w:rPr>
                <w:rFonts w:cs="Arial"/>
                <w:sz w:val="22"/>
              </w:rPr>
            </w:pPr>
            <w:r>
              <w:rPr>
                <w:rFonts w:cs="Arial"/>
                <w:sz w:val="22"/>
              </w:rPr>
              <w:t>AGENCE D’EXÉCUTION</w:t>
            </w:r>
            <w:r w:rsidRPr="001E310E">
              <w:rPr>
                <w:rFonts w:cs="Arial"/>
                <w:sz w:val="22"/>
              </w:rPr>
              <w:t>.</w:t>
            </w:r>
          </w:p>
        </w:tc>
        <w:tc>
          <w:tcPr>
            <w:tcW w:w="1984" w:type="dxa"/>
            <w:shd w:val="clear" w:color="auto" w:fill="auto"/>
          </w:tcPr>
          <w:p w14:paraId="46C51909"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ACE</w:t>
            </w:r>
          </w:p>
          <w:p w14:paraId="125E50E1"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Banque Mondiale</w:t>
            </w:r>
          </w:p>
        </w:tc>
      </w:tr>
      <w:tr w:rsidR="00145F0C" w:rsidRPr="001E310E" w14:paraId="205EC462" w14:textId="77777777" w:rsidTr="00DC5A00">
        <w:tc>
          <w:tcPr>
            <w:tcW w:w="568" w:type="dxa"/>
            <w:vMerge/>
            <w:shd w:val="clear" w:color="auto" w:fill="auto"/>
          </w:tcPr>
          <w:p w14:paraId="1C2A3C11" w14:textId="77777777" w:rsidR="00145F0C" w:rsidRDefault="00145F0C" w:rsidP="00DC5A00">
            <w:pPr>
              <w:rPr>
                <w:rFonts w:cs="Arial"/>
                <w:sz w:val="22"/>
              </w:rPr>
            </w:pPr>
          </w:p>
        </w:tc>
        <w:tc>
          <w:tcPr>
            <w:tcW w:w="2835" w:type="dxa"/>
            <w:shd w:val="clear" w:color="auto" w:fill="auto"/>
          </w:tcPr>
          <w:p w14:paraId="1B4F2BE0" w14:textId="77777777" w:rsidR="00145F0C" w:rsidRDefault="00145F0C" w:rsidP="00DC5A00">
            <w:pPr>
              <w:rPr>
                <w:rFonts w:cs="Arial"/>
                <w:sz w:val="22"/>
              </w:rPr>
            </w:pPr>
            <w:r>
              <w:rPr>
                <w:rFonts w:cs="Arial"/>
                <w:sz w:val="22"/>
              </w:rPr>
              <w:t>Screening environnemental et social</w:t>
            </w:r>
          </w:p>
        </w:tc>
        <w:tc>
          <w:tcPr>
            <w:tcW w:w="1984" w:type="dxa"/>
            <w:shd w:val="clear" w:color="auto" w:fill="auto"/>
          </w:tcPr>
          <w:p w14:paraId="4752DFBB"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SSE</w:t>
            </w:r>
            <w:r>
              <w:rPr>
                <w:rFonts w:cs="Arial"/>
                <w:sz w:val="22"/>
              </w:rPr>
              <w:t xml:space="preserve"> et</w:t>
            </w:r>
            <w:r w:rsidRPr="001E310E">
              <w:rPr>
                <w:rFonts w:cs="Arial"/>
                <w:sz w:val="22"/>
              </w:rPr>
              <w:t xml:space="preserve"> </w:t>
            </w:r>
            <w:r>
              <w:rPr>
                <w:rFonts w:cs="Arial"/>
                <w:sz w:val="22"/>
              </w:rPr>
              <w:t>SSS</w:t>
            </w:r>
            <w:r w:rsidRPr="001E310E">
              <w:rPr>
                <w:rFonts w:cs="Arial"/>
                <w:sz w:val="22"/>
              </w:rPr>
              <w:t xml:space="preserve"> (phase</w:t>
            </w:r>
            <w:r>
              <w:rPr>
                <w:rFonts w:cs="Arial"/>
                <w:sz w:val="22"/>
              </w:rPr>
              <w:t>s</w:t>
            </w:r>
            <w:r w:rsidRPr="001E310E">
              <w:rPr>
                <w:rFonts w:cs="Arial"/>
                <w:sz w:val="22"/>
              </w:rPr>
              <w:t xml:space="preserve"> de préparation</w:t>
            </w:r>
            <w:r>
              <w:rPr>
                <w:rFonts w:cs="Arial"/>
                <w:sz w:val="22"/>
              </w:rPr>
              <w:t>)</w:t>
            </w:r>
          </w:p>
        </w:tc>
        <w:tc>
          <w:tcPr>
            <w:tcW w:w="2977" w:type="dxa"/>
            <w:shd w:val="clear" w:color="auto" w:fill="auto"/>
          </w:tcPr>
          <w:p w14:paraId="515DDAFB"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SSE</w:t>
            </w:r>
            <w:r>
              <w:rPr>
                <w:rFonts w:cs="Arial"/>
                <w:sz w:val="22"/>
              </w:rPr>
              <w:t xml:space="preserve"> et</w:t>
            </w:r>
            <w:r w:rsidRPr="001E310E">
              <w:rPr>
                <w:rFonts w:cs="Arial"/>
                <w:sz w:val="22"/>
              </w:rPr>
              <w:t xml:space="preserve"> </w:t>
            </w:r>
            <w:r>
              <w:rPr>
                <w:rFonts w:cs="Arial"/>
                <w:sz w:val="22"/>
              </w:rPr>
              <w:t>SSS</w:t>
            </w:r>
            <w:r w:rsidRPr="001E310E">
              <w:rPr>
                <w:rFonts w:cs="Arial"/>
                <w:sz w:val="22"/>
              </w:rPr>
              <w:t xml:space="preserve"> (phase</w:t>
            </w:r>
            <w:r>
              <w:rPr>
                <w:rFonts w:cs="Arial"/>
                <w:sz w:val="22"/>
              </w:rPr>
              <w:t>s</w:t>
            </w:r>
            <w:r w:rsidRPr="001E310E">
              <w:rPr>
                <w:rFonts w:cs="Arial"/>
                <w:sz w:val="22"/>
              </w:rPr>
              <w:t xml:space="preserve"> de préparation</w:t>
            </w:r>
            <w:r>
              <w:rPr>
                <w:rFonts w:cs="Arial"/>
                <w:sz w:val="22"/>
              </w:rPr>
              <w:t>)</w:t>
            </w:r>
          </w:p>
        </w:tc>
        <w:tc>
          <w:tcPr>
            <w:tcW w:w="1984" w:type="dxa"/>
            <w:shd w:val="clear" w:color="auto" w:fill="auto"/>
          </w:tcPr>
          <w:p w14:paraId="18A6A50E"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ACE</w:t>
            </w:r>
          </w:p>
          <w:p w14:paraId="4C16C3B5"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Banque Mondiale</w:t>
            </w:r>
          </w:p>
        </w:tc>
      </w:tr>
      <w:tr w:rsidR="00145F0C" w:rsidRPr="001E310E" w14:paraId="4AC30931" w14:textId="77777777" w:rsidTr="00DC5A00">
        <w:tc>
          <w:tcPr>
            <w:tcW w:w="568" w:type="dxa"/>
            <w:vMerge w:val="restart"/>
            <w:shd w:val="clear" w:color="auto" w:fill="auto"/>
          </w:tcPr>
          <w:p w14:paraId="6EA09DF8" w14:textId="77777777" w:rsidR="00145F0C" w:rsidRDefault="00145F0C" w:rsidP="00DC5A00">
            <w:pPr>
              <w:rPr>
                <w:rFonts w:cs="Arial"/>
                <w:sz w:val="22"/>
              </w:rPr>
            </w:pPr>
          </w:p>
          <w:p w14:paraId="22D9200B" w14:textId="77777777" w:rsidR="00145F0C" w:rsidRDefault="00145F0C" w:rsidP="00DC5A00">
            <w:pPr>
              <w:rPr>
                <w:rFonts w:cs="Arial"/>
                <w:sz w:val="22"/>
              </w:rPr>
            </w:pPr>
          </w:p>
          <w:p w14:paraId="7EAEFDAA" w14:textId="77777777" w:rsidR="00145F0C" w:rsidRDefault="00145F0C" w:rsidP="00DC5A00">
            <w:pPr>
              <w:rPr>
                <w:rFonts w:cs="Arial"/>
                <w:sz w:val="22"/>
              </w:rPr>
            </w:pPr>
          </w:p>
          <w:p w14:paraId="1A466164" w14:textId="77777777" w:rsidR="00145F0C" w:rsidRDefault="00145F0C" w:rsidP="00DC5A00">
            <w:pPr>
              <w:rPr>
                <w:rFonts w:cs="Arial"/>
                <w:sz w:val="22"/>
              </w:rPr>
            </w:pPr>
          </w:p>
          <w:p w14:paraId="1912EBE8" w14:textId="77777777" w:rsidR="00145F0C" w:rsidRDefault="00145F0C" w:rsidP="00DC5A00">
            <w:pPr>
              <w:rPr>
                <w:rFonts w:cs="Arial"/>
                <w:sz w:val="22"/>
              </w:rPr>
            </w:pPr>
          </w:p>
          <w:p w14:paraId="05F0EE10" w14:textId="77777777" w:rsidR="00145F0C" w:rsidRPr="001E310E" w:rsidRDefault="00145F0C" w:rsidP="00DC5A00">
            <w:pPr>
              <w:rPr>
                <w:rFonts w:cs="Arial"/>
                <w:sz w:val="22"/>
              </w:rPr>
            </w:pPr>
            <w:r w:rsidRPr="001E310E">
              <w:rPr>
                <w:rFonts w:cs="Arial"/>
                <w:sz w:val="22"/>
              </w:rPr>
              <w:t>4.</w:t>
            </w:r>
          </w:p>
        </w:tc>
        <w:tc>
          <w:tcPr>
            <w:tcW w:w="9780" w:type="dxa"/>
            <w:gridSpan w:val="4"/>
            <w:shd w:val="clear" w:color="auto" w:fill="auto"/>
          </w:tcPr>
          <w:p w14:paraId="06E999EF" w14:textId="77777777" w:rsidR="00145F0C" w:rsidRPr="001E310E" w:rsidRDefault="00145F0C" w:rsidP="00DC5A00">
            <w:pPr>
              <w:rPr>
                <w:rFonts w:cs="Arial"/>
                <w:sz w:val="22"/>
              </w:rPr>
            </w:pPr>
            <w:r w:rsidRPr="001E310E">
              <w:rPr>
                <w:rFonts w:cs="Arial"/>
                <w:sz w:val="22"/>
              </w:rPr>
              <w:t>Préparation de l’instrument spécifique de sauvegarde E&amp;S de sous-projet de risque modéré ou faible</w:t>
            </w:r>
          </w:p>
        </w:tc>
      </w:tr>
      <w:tr w:rsidR="00145F0C" w:rsidRPr="001E310E" w14:paraId="2002AF8F" w14:textId="77777777" w:rsidTr="00DC5A00">
        <w:trPr>
          <w:trHeight w:val="85"/>
        </w:trPr>
        <w:tc>
          <w:tcPr>
            <w:tcW w:w="568" w:type="dxa"/>
            <w:vMerge/>
            <w:shd w:val="clear" w:color="auto" w:fill="auto"/>
          </w:tcPr>
          <w:p w14:paraId="37446C73" w14:textId="77777777" w:rsidR="00145F0C" w:rsidRPr="001E310E" w:rsidRDefault="00145F0C" w:rsidP="00DC5A00">
            <w:pPr>
              <w:rPr>
                <w:rFonts w:cs="Arial"/>
                <w:sz w:val="22"/>
              </w:rPr>
            </w:pPr>
          </w:p>
        </w:tc>
        <w:tc>
          <w:tcPr>
            <w:tcW w:w="2835" w:type="dxa"/>
            <w:shd w:val="clear" w:color="auto" w:fill="auto"/>
          </w:tcPr>
          <w:p w14:paraId="570154D6" w14:textId="77777777" w:rsidR="00145F0C" w:rsidRPr="001E310E" w:rsidRDefault="00145F0C" w:rsidP="00DC5A00">
            <w:pPr>
              <w:tabs>
                <w:tab w:val="left" w:pos="0"/>
              </w:tabs>
              <w:rPr>
                <w:rFonts w:cs="Arial"/>
                <w:sz w:val="22"/>
              </w:rPr>
            </w:pPr>
            <w:r w:rsidRPr="001E310E">
              <w:rPr>
                <w:rFonts w:cs="Arial"/>
                <w:sz w:val="22"/>
              </w:rPr>
              <w:t>Préparation et approbation des TDR</w:t>
            </w:r>
          </w:p>
        </w:tc>
        <w:tc>
          <w:tcPr>
            <w:tcW w:w="1984" w:type="dxa"/>
            <w:vMerge w:val="restart"/>
            <w:shd w:val="clear" w:color="auto" w:fill="auto"/>
          </w:tcPr>
          <w:p w14:paraId="69208682"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SSE, </w:t>
            </w:r>
            <w:r>
              <w:rPr>
                <w:rFonts w:cs="Arial"/>
                <w:sz w:val="22"/>
              </w:rPr>
              <w:t>SSS</w:t>
            </w:r>
            <w:r w:rsidRPr="001E310E">
              <w:rPr>
                <w:rFonts w:cs="Arial"/>
                <w:sz w:val="22"/>
              </w:rPr>
              <w:t xml:space="preserve"> et </w:t>
            </w:r>
            <w:r>
              <w:rPr>
                <w:rFonts w:cs="Arial"/>
                <w:sz w:val="22"/>
              </w:rPr>
              <w:t>S</w:t>
            </w:r>
            <w:r w:rsidRPr="001E310E">
              <w:rPr>
                <w:rFonts w:cs="Arial"/>
                <w:sz w:val="22"/>
              </w:rPr>
              <w:t>VBG (phase</w:t>
            </w:r>
            <w:r>
              <w:rPr>
                <w:rFonts w:cs="Arial"/>
                <w:sz w:val="22"/>
              </w:rPr>
              <w:t>s</w:t>
            </w:r>
            <w:r w:rsidRPr="001E310E">
              <w:rPr>
                <w:rFonts w:cs="Arial"/>
                <w:sz w:val="22"/>
              </w:rPr>
              <w:t xml:space="preserve"> de préparation et de mise en œuvre).</w:t>
            </w:r>
          </w:p>
        </w:tc>
        <w:tc>
          <w:tcPr>
            <w:tcW w:w="2977" w:type="dxa"/>
            <w:shd w:val="clear" w:color="auto" w:fill="auto"/>
          </w:tcPr>
          <w:p w14:paraId="1FD5113B"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ACE</w:t>
            </w:r>
          </w:p>
        </w:tc>
        <w:tc>
          <w:tcPr>
            <w:tcW w:w="1984" w:type="dxa"/>
            <w:shd w:val="clear" w:color="auto" w:fill="auto"/>
          </w:tcPr>
          <w:p w14:paraId="4C02BC68"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Banque Mondiale</w:t>
            </w:r>
          </w:p>
        </w:tc>
      </w:tr>
      <w:tr w:rsidR="00145F0C" w:rsidRPr="001E310E" w14:paraId="4A16B1E8" w14:textId="77777777" w:rsidTr="00DC5A00">
        <w:trPr>
          <w:trHeight w:val="85"/>
        </w:trPr>
        <w:tc>
          <w:tcPr>
            <w:tcW w:w="568" w:type="dxa"/>
            <w:vMerge/>
            <w:shd w:val="clear" w:color="auto" w:fill="auto"/>
          </w:tcPr>
          <w:p w14:paraId="2215C942" w14:textId="77777777" w:rsidR="00145F0C" w:rsidRPr="001E310E" w:rsidRDefault="00145F0C" w:rsidP="00DC5A00">
            <w:pPr>
              <w:rPr>
                <w:rFonts w:cs="Arial"/>
                <w:sz w:val="22"/>
              </w:rPr>
            </w:pPr>
          </w:p>
        </w:tc>
        <w:tc>
          <w:tcPr>
            <w:tcW w:w="2835" w:type="dxa"/>
            <w:shd w:val="clear" w:color="auto" w:fill="auto"/>
          </w:tcPr>
          <w:p w14:paraId="38D6A751" w14:textId="77777777" w:rsidR="00145F0C" w:rsidRPr="001E310E" w:rsidRDefault="00145F0C" w:rsidP="00DC5A00">
            <w:pPr>
              <w:tabs>
                <w:tab w:val="left" w:pos="0"/>
              </w:tabs>
              <w:rPr>
                <w:rFonts w:cs="Arial"/>
                <w:sz w:val="22"/>
              </w:rPr>
            </w:pPr>
          </w:p>
        </w:tc>
        <w:tc>
          <w:tcPr>
            <w:tcW w:w="1984" w:type="dxa"/>
            <w:vMerge/>
            <w:shd w:val="clear" w:color="auto" w:fill="auto"/>
          </w:tcPr>
          <w:p w14:paraId="1DDDAD10"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p>
        </w:tc>
        <w:tc>
          <w:tcPr>
            <w:tcW w:w="2977" w:type="dxa"/>
            <w:shd w:val="clear" w:color="auto" w:fill="auto"/>
          </w:tcPr>
          <w:p w14:paraId="5C450219"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p>
        </w:tc>
        <w:tc>
          <w:tcPr>
            <w:tcW w:w="1984" w:type="dxa"/>
            <w:shd w:val="clear" w:color="auto" w:fill="auto"/>
          </w:tcPr>
          <w:p w14:paraId="5E6E5744"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p>
        </w:tc>
      </w:tr>
      <w:tr w:rsidR="00145F0C" w:rsidRPr="001E310E" w14:paraId="25BFF9C2" w14:textId="77777777" w:rsidTr="00DC5A00">
        <w:trPr>
          <w:trHeight w:val="566"/>
        </w:trPr>
        <w:tc>
          <w:tcPr>
            <w:tcW w:w="568" w:type="dxa"/>
            <w:vMerge/>
            <w:shd w:val="clear" w:color="auto" w:fill="auto"/>
          </w:tcPr>
          <w:p w14:paraId="63B3E1D4" w14:textId="77777777" w:rsidR="00145F0C" w:rsidRPr="001E310E" w:rsidRDefault="00145F0C" w:rsidP="00DC5A00">
            <w:pPr>
              <w:rPr>
                <w:rFonts w:cs="Arial"/>
                <w:sz w:val="22"/>
              </w:rPr>
            </w:pPr>
          </w:p>
        </w:tc>
        <w:tc>
          <w:tcPr>
            <w:tcW w:w="2835" w:type="dxa"/>
            <w:shd w:val="clear" w:color="auto" w:fill="auto"/>
          </w:tcPr>
          <w:p w14:paraId="06EB65F9" w14:textId="77777777" w:rsidR="00145F0C" w:rsidRPr="001E310E" w:rsidRDefault="00145F0C" w:rsidP="00DC5A00">
            <w:pPr>
              <w:tabs>
                <w:tab w:val="left" w:pos="0"/>
              </w:tabs>
              <w:rPr>
                <w:rFonts w:cs="Arial"/>
                <w:sz w:val="22"/>
              </w:rPr>
            </w:pPr>
            <w:r w:rsidRPr="001E310E">
              <w:rPr>
                <w:rFonts w:cs="Arial"/>
                <w:sz w:val="22"/>
              </w:rPr>
              <w:t>Réalisation de l’étude y compris consultation du public</w:t>
            </w:r>
            <w:r>
              <w:rPr>
                <w:rFonts w:cs="Arial"/>
                <w:sz w:val="22"/>
              </w:rPr>
              <w:t>, en tenant compte des risques d’EAS/HS</w:t>
            </w:r>
            <w:r w:rsidRPr="001E310E">
              <w:rPr>
                <w:rFonts w:cs="Arial"/>
                <w:sz w:val="22"/>
              </w:rPr>
              <w:t>.</w:t>
            </w:r>
          </w:p>
          <w:p w14:paraId="0FB3C0C6" w14:textId="77777777" w:rsidR="00145F0C" w:rsidRPr="001E310E" w:rsidRDefault="00145F0C" w:rsidP="00DC5A00">
            <w:pPr>
              <w:rPr>
                <w:rFonts w:cs="Arial"/>
                <w:sz w:val="22"/>
              </w:rPr>
            </w:pPr>
          </w:p>
        </w:tc>
        <w:tc>
          <w:tcPr>
            <w:tcW w:w="1984" w:type="dxa"/>
            <w:vMerge/>
            <w:shd w:val="clear" w:color="auto" w:fill="auto"/>
          </w:tcPr>
          <w:p w14:paraId="7DF7320F"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p>
        </w:tc>
        <w:tc>
          <w:tcPr>
            <w:tcW w:w="2977" w:type="dxa"/>
            <w:shd w:val="clear" w:color="auto" w:fill="auto"/>
          </w:tcPr>
          <w:p w14:paraId="0F486A41"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Spécialiste Passation de Marché ;</w:t>
            </w:r>
          </w:p>
          <w:p w14:paraId="6820FC61"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ACE ;</w:t>
            </w:r>
          </w:p>
          <w:p w14:paraId="547EFAFD"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Pr>
                <w:rFonts w:cs="Arial"/>
                <w:sz w:val="22"/>
              </w:rPr>
              <w:t>AGENCE D’EXÉCUTION</w:t>
            </w:r>
            <w:r w:rsidRPr="001E310E">
              <w:rPr>
                <w:rFonts w:cs="Arial"/>
                <w:sz w:val="22"/>
              </w:rPr>
              <w:t> ;</w:t>
            </w:r>
          </w:p>
          <w:p w14:paraId="266FAF60"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Provinces/ Villes/Communes/Territoires ciblé(e)s (PFES) ;</w:t>
            </w:r>
          </w:p>
          <w:p w14:paraId="25A7CC32"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CPE.</w:t>
            </w:r>
          </w:p>
        </w:tc>
        <w:tc>
          <w:tcPr>
            <w:tcW w:w="1984" w:type="dxa"/>
            <w:shd w:val="clear" w:color="auto" w:fill="auto"/>
          </w:tcPr>
          <w:p w14:paraId="3151573B" w14:textId="77777777" w:rsidR="00145F0C" w:rsidRPr="001E310E" w:rsidRDefault="00145F0C" w:rsidP="00DC5A00">
            <w:pPr>
              <w:pStyle w:val="Paragraphedeliste"/>
              <w:tabs>
                <w:tab w:val="left" w:pos="0"/>
              </w:tabs>
              <w:ind w:left="156"/>
              <w:rPr>
                <w:rFonts w:cs="Arial"/>
                <w:sz w:val="22"/>
              </w:rPr>
            </w:pPr>
          </w:p>
          <w:p w14:paraId="188C4DB3"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Consultant</w:t>
            </w:r>
          </w:p>
          <w:p w14:paraId="598D88A5" w14:textId="77777777" w:rsidR="00145F0C" w:rsidRPr="001E310E" w:rsidRDefault="00145F0C" w:rsidP="00DC5A00">
            <w:pPr>
              <w:tabs>
                <w:tab w:val="left" w:pos="162"/>
              </w:tabs>
              <w:ind w:left="156"/>
              <w:rPr>
                <w:rFonts w:cs="Arial"/>
                <w:sz w:val="22"/>
              </w:rPr>
            </w:pPr>
          </w:p>
        </w:tc>
      </w:tr>
      <w:tr w:rsidR="00145F0C" w:rsidRPr="001E310E" w14:paraId="56F4A0AA" w14:textId="77777777" w:rsidTr="00DC5A00">
        <w:tc>
          <w:tcPr>
            <w:tcW w:w="568" w:type="dxa"/>
            <w:vMerge/>
            <w:shd w:val="clear" w:color="auto" w:fill="auto"/>
          </w:tcPr>
          <w:p w14:paraId="50DD5CD2" w14:textId="77777777" w:rsidR="00145F0C" w:rsidRPr="001E310E" w:rsidRDefault="00145F0C" w:rsidP="00DC5A00">
            <w:pPr>
              <w:rPr>
                <w:rFonts w:cs="Arial"/>
                <w:sz w:val="22"/>
              </w:rPr>
            </w:pPr>
          </w:p>
        </w:tc>
        <w:tc>
          <w:tcPr>
            <w:tcW w:w="2835" w:type="dxa"/>
            <w:shd w:val="clear" w:color="auto" w:fill="auto"/>
          </w:tcPr>
          <w:p w14:paraId="573EB9DB" w14:textId="77777777" w:rsidR="00145F0C" w:rsidRPr="001E310E" w:rsidRDefault="00145F0C" w:rsidP="00DC5A00">
            <w:pPr>
              <w:jc w:val="left"/>
              <w:rPr>
                <w:rFonts w:cs="Arial"/>
                <w:sz w:val="22"/>
              </w:rPr>
            </w:pPr>
            <w:r w:rsidRPr="001E310E">
              <w:rPr>
                <w:rFonts w:cs="Arial"/>
                <w:sz w:val="22"/>
              </w:rPr>
              <w:t>Validation du document et obtention du Certificat environnemental.</w:t>
            </w:r>
          </w:p>
        </w:tc>
        <w:tc>
          <w:tcPr>
            <w:tcW w:w="1984" w:type="dxa"/>
            <w:vMerge/>
            <w:shd w:val="clear" w:color="auto" w:fill="auto"/>
          </w:tcPr>
          <w:p w14:paraId="1C6CF109"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p>
        </w:tc>
        <w:tc>
          <w:tcPr>
            <w:tcW w:w="2977" w:type="dxa"/>
            <w:shd w:val="clear" w:color="auto" w:fill="auto"/>
          </w:tcPr>
          <w:p w14:paraId="1A679E05"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SPM</w:t>
            </w:r>
          </w:p>
          <w:p w14:paraId="1425DEB1" w14:textId="77777777" w:rsidR="00145F0C" w:rsidRPr="001E310E" w:rsidRDefault="00145F0C" w:rsidP="00DC5A00">
            <w:pPr>
              <w:pStyle w:val="Paragraphedeliste"/>
              <w:tabs>
                <w:tab w:val="left" w:pos="0"/>
              </w:tabs>
              <w:ind w:left="156"/>
              <w:contextualSpacing w:val="0"/>
              <w:rPr>
                <w:rFonts w:cs="Arial"/>
                <w:sz w:val="22"/>
              </w:rPr>
            </w:pPr>
          </w:p>
        </w:tc>
        <w:tc>
          <w:tcPr>
            <w:tcW w:w="1984" w:type="dxa"/>
            <w:shd w:val="clear" w:color="auto" w:fill="auto"/>
          </w:tcPr>
          <w:p w14:paraId="0BDCDA9C"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ACE</w:t>
            </w:r>
          </w:p>
          <w:p w14:paraId="32BB4FE4"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Banque Mondiale</w:t>
            </w:r>
          </w:p>
        </w:tc>
      </w:tr>
      <w:tr w:rsidR="00145F0C" w:rsidRPr="001E310E" w14:paraId="4072523F" w14:textId="77777777" w:rsidTr="00DC5A00">
        <w:tc>
          <w:tcPr>
            <w:tcW w:w="568" w:type="dxa"/>
            <w:vMerge/>
            <w:shd w:val="clear" w:color="auto" w:fill="auto"/>
          </w:tcPr>
          <w:p w14:paraId="01C47480" w14:textId="77777777" w:rsidR="00145F0C" w:rsidRPr="001E310E" w:rsidRDefault="00145F0C" w:rsidP="00DC5A00">
            <w:pPr>
              <w:rPr>
                <w:rFonts w:cs="Arial"/>
                <w:sz w:val="22"/>
              </w:rPr>
            </w:pPr>
          </w:p>
        </w:tc>
        <w:tc>
          <w:tcPr>
            <w:tcW w:w="2835" w:type="dxa"/>
            <w:shd w:val="clear" w:color="auto" w:fill="auto"/>
          </w:tcPr>
          <w:p w14:paraId="68B604B3" w14:textId="77777777" w:rsidR="00145F0C" w:rsidRPr="001E310E" w:rsidRDefault="00145F0C" w:rsidP="00DC5A00">
            <w:pPr>
              <w:rPr>
                <w:rFonts w:cs="Arial"/>
                <w:sz w:val="22"/>
              </w:rPr>
            </w:pPr>
            <w:r w:rsidRPr="001E310E">
              <w:rPr>
                <w:rFonts w:cs="Arial"/>
                <w:sz w:val="22"/>
              </w:rPr>
              <w:t>Publication du document.</w:t>
            </w:r>
          </w:p>
        </w:tc>
        <w:tc>
          <w:tcPr>
            <w:tcW w:w="1984" w:type="dxa"/>
            <w:vMerge/>
            <w:shd w:val="clear" w:color="auto" w:fill="auto"/>
          </w:tcPr>
          <w:p w14:paraId="29DF3BB2"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p>
        </w:tc>
        <w:tc>
          <w:tcPr>
            <w:tcW w:w="2977" w:type="dxa"/>
            <w:shd w:val="clear" w:color="auto" w:fill="auto"/>
          </w:tcPr>
          <w:p w14:paraId="7401DF06"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Comité Technique préparatoire et de suivi (phase de préparation) ;</w:t>
            </w:r>
          </w:p>
          <w:p w14:paraId="06D5CE56"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UNCP/PARRSA ;</w:t>
            </w:r>
          </w:p>
          <w:p w14:paraId="5359751C"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Coordonnateur de l’</w:t>
            </w:r>
            <w:r>
              <w:rPr>
                <w:rFonts w:cs="Arial"/>
                <w:sz w:val="22"/>
              </w:rPr>
              <w:t>UNCP</w:t>
            </w:r>
            <w:r w:rsidRPr="001E310E">
              <w:rPr>
                <w:rFonts w:cs="Arial"/>
                <w:sz w:val="22"/>
              </w:rPr>
              <w:t xml:space="preserve"> (phase de mise en œuvre).</w:t>
            </w:r>
          </w:p>
        </w:tc>
        <w:tc>
          <w:tcPr>
            <w:tcW w:w="1984" w:type="dxa"/>
            <w:shd w:val="clear" w:color="auto" w:fill="auto"/>
          </w:tcPr>
          <w:p w14:paraId="29EE9208"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Médias (radio, journal télévisé, site web, etc.)</w:t>
            </w:r>
          </w:p>
          <w:p w14:paraId="40651519"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ACE et CPE ;</w:t>
            </w:r>
          </w:p>
          <w:p w14:paraId="00E731E8"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Banque Mondiale</w:t>
            </w:r>
          </w:p>
        </w:tc>
      </w:tr>
      <w:tr w:rsidR="00145F0C" w:rsidRPr="001E310E" w14:paraId="40BC0481" w14:textId="77777777" w:rsidTr="00DC5A00">
        <w:trPr>
          <w:trHeight w:val="274"/>
        </w:trPr>
        <w:tc>
          <w:tcPr>
            <w:tcW w:w="568" w:type="dxa"/>
            <w:vMerge w:val="restart"/>
            <w:shd w:val="clear" w:color="auto" w:fill="auto"/>
          </w:tcPr>
          <w:p w14:paraId="7CCA00DE" w14:textId="77777777" w:rsidR="00145F0C" w:rsidRPr="001E310E" w:rsidRDefault="00145F0C" w:rsidP="00DC5A00">
            <w:pPr>
              <w:rPr>
                <w:rFonts w:cs="Arial"/>
                <w:sz w:val="22"/>
              </w:rPr>
            </w:pPr>
          </w:p>
          <w:p w14:paraId="6C9042FA" w14:textId="77777777" w:rsidR="00145F0C" w:rsidRDefault="00145F0C" w:rsidP="00DC5A00">
            <w:pPr>
              <w:rPr>
                <w:rFonts w:cs="Arial"/>
                <w:sz w:val="22"/>
              </w:rPr>
            </w:pPr>
          </w:p>
          <w:p w14:paraId="7566543F" w14:textId="77777777" w:rsidR="00145F0C" w:rsidRDefault="00145F0C" w:rsidP="00DC5A00">
            <w:pPr>
              <w:rPr>
                <w:rFonts w:cs="Arial"/>
                <w:sz w:val="22"/>
              </w:rPr>
            </w:pPr>
          </w:p>
          <w:p w14:paraId="71BAF696" w14:textId="77777777" w:rsidR="00145F0C" w:rsidRDefault="00145F0C" w:rsidP="00DC5A00">
            <w:pPr>
              <w:rPr>
                <w:rFonts w:cs="Arial"/>
                <w:sz w:val="22"/>
              </w:rPr>
            </w:pPr>
          </w:p>
          <w:p w14:paraId="2C92C284" w14:textId="77777777" w:rsidR="00145F0C" w:rsidRDefault="00145F0C" w:rsidP="00DC5A00">
            <w:pPr>
              <w:rPr>
                <w:rFonts w:cs="Arial"/>
                <w:sz w:val="22"/>
              </w:rPr>
            </w:pPr>
          </w:p>
          <w:p w14:paraId="153D1CB2" w14:textId="77777777" w:rsidR="00145F0C" w:rsidRDefault="00145F0C" w:rsidP="00DC5A00">
            <w:pPr>
              <w:rPr>
                <w:rFonts w:cs="Arial"/>
                <w:sz w:val="22"/>
              </w:rPr>
            </w:pPr>
          </w:p>
          <w:p w14:paraId="64828ADD" w14:textId="77777777" w:rsidR="00145F0C" w:rsidRDefault="00145F0C" w:rsidP="00DC5A00">
            <w:pPr>
              <w:rPr>
                <w:rFonts w:cs="Arial"/>
                <w:sz w:val="22"/>
              </w:rPr>
            </w:pPr>
          </w:p>
          <w:p w14:paraId="7F1634F2" w14:textId="77777777" w:rsidR="00145F0C" w:rsidRPr="001E310E" w:rsidRDefault="00145F0C" w:rsidP="00DC5A00">
            <w:pPr>
              <w:rPr>
                <w:rFonts w:cs="Arial"/>
                <w:sz w:val="22"/>
              </w:rPr>
            </w:pPr>
            <w:r w:rsidRPr="001E310E">
              <w:rPr>
                <w:rFonts w:cs="Arial"/>
                <w:sz w:val="22"/>
              </w:rPr>
              <w:t>5.</w:t>
            </w:r>
          </w:p>
        </w:tc>
        <w:tc>
          <w:tcPr>
            <w:tcW w:w="2835" w:type="dxa"/>
            <w:tcBorders>
              <w:bottom w:val="single" w:sz="4" w:space="0" w:color="auto"/>
            </w:tcBorders>
            <w:shd w:val="clear" w:color="auto" w:fill="auto"/>
          </w:tcPr>
          <w:p w14:paraId="11FA2100" w14:textId="77777777" w:rsidR="00145F0C" w:rsidRPr="001E310E" w:rsidRDefault="00145F0C" w:rsidP="00DC5A00">
            <w:pPr>
              <w:rPr>
                <w:rFonts w:cs="Arial"/>
                <w:sz w:val="22"/>
              </w:rPr>
            </w:pPr>
            <w:r w:rsidRPr="001E310E">
              <w:rPr>
                <w:rFonts w:cs="Arial"/>
                <w:sz w:val="22"/>
              </w:rPr>
              <w:t>Intégration dans le dossier d’appel d’offres (DAO) du sous-projet, de toutes les mesures de la phase des travaux pouvant être contractées avec l’entreprise</w:t>
            </w:r>
            <w:r>
              <w:rPr>
                <w:rFonts w:cs="Arial"/>
                <w:sz w:val="22"/>
              </w:rPr>
              <w:t>, y compris celles liées à l’EAS/HS</w:t>
            </w:r>
            <w:r w:rsidRPr="001E310E">
              <w:rPr>
                <w:rFonts w:cs="Arial"/>
                <w:sz w:val="22"/>
              </w:rPr>
              <w:t>.</w:t>
            </w:r>
          </w:p>
        </w:tc>
        <w:tc>
          <w:tcPr>
            <w:tcW w:w="1984" w:type="dxa"/>
            <w:tcBorders>
              <w:bottom w:val="single" w:sz="4" w:space="0" w:color="auto"/>
            </w:tcBorders>
            <w:shd w:val="clear" w:color="auto" w:fill="auto"/>
          </w:tcPr>
          <w:p w14:paraId="43D0C4DB" w14:textId="77777777" w:rsidR="00145F0C" w:rsidRPr="001E310E" w:rsidRDefault="00145F0C" w:rsidP="00DC5A00">
            <w:pPr>
              <w:pStyle w:val="Paragraphedeliste"/>
              <w:tabs>
                <w:tab w:val="left" w:pos="0"/>
              </w:tabs>
              <w:ind w:left="156"/>
              <w:contextualSpacing w:val="0"/>
              <w:jc w:val="left"/>
              <w:rPr>
                <w:rFonts w:cs="Arial"/>
                <w:sz w:val="22"/>
              </w:rPr>
            </w:pPr>
          </w:p>
          <w:p w14:paraId="3B1CE6D1"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Responsable Technique de l’activité.</w:t>
            </w:r>
          </w:p>
        </w:tc>
        <w:tc>
          <w:tcPr>
            <w:tcW w:w="2977" w:type="dxa"/>
            <w:tcBorders>
              <w:bottom w:val="single" w:sz="4" w:space="0" w:color="auto"/>
            </w:tcBorders>
            <w:shd w:val="clear" w:color="auto" w:fill="auto"/>
          </w:tcPr>
          <w:p w14:paraId="5ECFB0EC" w14:textId="77777777" w:rsidR="00145F0C" w:rsidRPr="001E310E" w:rsidRDefault="00145F0C" w:rsidP="00DC5A00">
            <w:pPr>
              <w:pStyle w:val="Paragraphedeliste"/>
              <w:tabs>
                <w:tab w:val="left" w:pos="0"/>
              </w:tabs>
              <w:ind w:left="156"/>
              <w:contextualSpacing w:val="0"/>
              <w:jc w:val="left"/>
              <w:rPr>
                <w:rFonts w:cs="Arial"/>
                <w:sz w:val="22"/>
              </w:rPr>
            </w:pPr>
          </w:p>
          <w:p w14:paraId="60C33522" w14:textId="77777777" w:rsidR="00145F0C" w:rsidRPr="001E310E" w:rsidRDefault="00145F0C" w:rsidP="002378EA">
            <w:pPr>
              <w:numPr>
                <w:ilvl w:val="0"/>
                <w:numId w:val="25"/>
              </w:numPr>
              <w:ind w:left="156" w:hanging="156"/>
              <w:jc w:val="left"/>
              <w:rPr>
                <w:rFonts w:cs="Arial"/>
                <w:sz w:val="22"/>
              </w:rPr>
            </w:pPr>
            <w:r w:rsidRPr="001E310E">
              <w:rPr>
                <w:rFonts w:cs="Arial"/>
                <w:sz w:val="22"/>
              </w:rPr>
              <w:t xml:space="preserve">SSE, </w:t>
            </w:r>
            <w:r>
              <w:rPr>
                <w:rFonts w:cs="Arial"/>
                <w:sz w:val="22"/>
              </w:rPr>
              <w:t>SSS</w:t>
            </w:r>
            <w:r w:rsidRPr="001E310E">
              <w:rPr>
                <w:rFonts w:cs="Arial"/>
                <w:sz w:val="22"/>
              </w:rPr>
              <w:t xml:space="preserve"> et </w:t>
            </w:r>
            <w:r>
              <w:rPr>
                <w:rFonts w:cs="Arial"/>
                <w:sz w:val="22"/>
              </w:rPr>
              <w:t>S</w:t>
            </w:r>
            <w:r w:rsidRPr="001E310E">
              <w:rPr>
                <w:rFonts w:cs="Arial"/>
                <w:sz w:val="22"/>
              </w:rPr>
              <w:t>VBG (phase</w:t>
            </w:r>
            <w:r>
              <w:rPr>
                <w:rFonts w:cs="Arial"/>
                <w:sz w:val="22"/>
              </w:rPr>
              <w:t>s</w:t>
            </w:r>
            <w:r w:rsidRPr="001E310E">
              <w:rPr>
                <w:rFonts w:cs="Arial"/>
                <w:sz w:val="22"/>
              </w:rPr>
              <w:t xml:space="preserve"> de préparation </w:t>
            </w:r>
            <w:r>
              <w:rPr>
                <w:rFonts w:cs="Arial"/>
                <w:sz w:val="22"/>
              </w:rPr>
              <w:t xml:space="preserve">et </w:t>
            </w:r>
            <w:r w:rsidRPr="001E310E">
              <w:rPr>
                <w:rFonts w:cs="Arial"/>
                <w:sz w:val="22"/>
              </w:rPr>
              <w:t>de mise en œuvre) SPM.</w:t>
            </w:r>
          </w:p>
        </w:tc>
        <w:tc>
          <w:tcPr>
            <w:tcW w:w="1984" w:type="dxa"/>
            <w:tcBorders>
              <w:bottom w:val="single" w:sz="4" w:space="0" w:color="auto"/>
            </w:tcBorders>
            <w:shd w:val="clear" w:color="auto" w:fill="auto"/>
          </w:tcPr>
          <w:p w14:paraId="3BDA4CAB" w14:textId="77777777" w:rsidR="00145F0C" w:rsidRPr="001E310E" w:rsidRDefault="00145F0C" w:rsidP="002378EA">
            <w:pPr>
              <w:numPr>
                <w:ilvl w:val="0"/>
                <w:numId w:val="25"/>
              </w:numPr>
              <w:ind w:left="156" w:hanging="156"/>
              <w:jc w:val="left"/>
              <w:rPr>
                <w:rFonts w:cs="Arial"/>
                <w:sz w:val="22"/>
              </w:rPr>
            </w:pPr>
            <w:r w:rsidRPr="001E310E">
              <w:rPr>
                <w:rFonts w:cs="Arial"/>
                <w:sz w:val="22"/>
              </w:rPr>
              <w:t>Bureau d’études chargé de la préparation des DAO.</w:t>
            </w:r>
          </w:p>
        </w:tc>
      </w:tr>
      <w:tr w:rsidR="00145F0C" w:rsidRPr="001E310E" w14:paraId="28F4CC4E" w14:textId="77777777" w:rsidTr="00DC5A00">
        <w:trPr>
          <w:trHeight w:val="169"/>
        </w:trPr>
        <w:tc>
          <w:tcPr>
            <w:tcW w:w="568" w:type="dxa"/>
            <w:vMerge/>
            <w:shd w:val="clear" w:color="auto" w:fill="auto"/>
          </w:tcPr>
          <w:p w14:paraId="08058E2D" w14:textId="77777777" w:rsidR="00145F0C" w:rsidRPr="001E310E" w:rsidRDefault="00145F0C" w:rsidP="00DC5A00">
            <w:pPr>
              <w:rPr>
                <w:rFonts w:cs="Arial"/>
                <w:sz w:val="22"/>
              </w:rPr>
            </w:pPr>
          </w:p>
        </w:tc>
        <w:tc>
          <w:tcPr>
            <w:tcW w:w="2835" w:type="dxa"/>
            <w:tcBorders>
              <w:top w:val="single" w:sz="4" w:space="0" w:color="auto"/>
            </w:tcBorders>
            <w:shd w:val="clear" w:color="auto" w:fill="auto"/>
          </w:tcPr>
          <w:p w14:paraId="582C087F" w14:textId="77777777" w:rsidR="00145F0C" w:rsidRPr="001E310E" w:rsidRDefault="00145F0C" w:rsidP="00DC5A00">
            <w:pPr>
              <w:rPr>
                <w:rFonts w:cs="Arial"/>
                <w:sz w:val="22"/>
              </w:rPr>
            </w:pPr>
            <w:r w:rsidRPr="001E310E">
              <w:rPr>
                <w:rFonts w:cs="Arial"/>
                <w:sz w:val="22"/>
              </w:rPr>
              <w:t>Approbation du PGES entreprise.</w:t>
            </w:r>
          </w:p>
        </w:tc>
        <w:tc>
          <w:tcPr>
            <w:tcW w:w="1984" w:type="dxa"/>
            <w:tcBorders>
              <w:top w:val="single" w:sz="4" w:space="0" w:color="auto"/>
            </w:tcBorders>
            <w:shd w:val="clear" w:color="auto" w:fill="auto"/>
          </w:tcPr>
          <w:p w14:paraId="2C4EDA29"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SSE, </w:t>
            </w:r>
            <w:r>
              <w:rPr>
                <w:rFonts w:cs="Arial"/>
                <w:sz w:val="22"/>
              </w:rPr>
              <w:t>SSS</w:t>
            </w:r>
            <w:r w:rsidRPr="001E310E">
              <w:rPr>
                <w:rFonts w:cs="Arial"/>
                <w:sz w:val="22"/>
              </w:rPr>
              <w:t xml:space="preserve"> et </w:t>
            </w:r>
            <w:r>
              <w:rPr>
                <w:rFonts w:cs="Arial"/>
                <w:sz w:val="22"/>
              </w:rPr>
              <w:t>S</w:t>
            </w:r>
            <w:r w:rsidRPr="001E310E">
              <w:rPr>
                <w:rFonts w:cs="Arial"/>
                <w:sz w:val="22"/>
              </w:rPr>
              <w:t>VBG (phase</w:t>
            </w:r>
            <w:r>
              <w:rPr>
                <w:rFonts w:cs="Arial"/>
                <w:sz w:val="22"/>
              </w:rPr>
              <w:t>s</w:t>
            </w:r>
            <w:r w:rsidRPr="001E310E">
              <w:rPr>
                <w:rFonts w:cs="Arial"/>
                <w:sz w:val="22"/>
              </w:rPr>
              <w:t xml:space="preserve"> de préparation et de mise en œuvre).</w:t>
            </w:r>
          </w:p>
        </w:tc>
        <w:tc>
          <w:tcPr>
            <w:tcW w:w="2977" w:type="dxa"/>
            <w:tcBorders>
              <w:top w:val="single" w:sz="4" w:space="0" w:color="auto"/>
            </w:tcBorders>
            <w:shd w:val="clear" w:color="auto" w:fill="auto"/>
          </w:tcPr>
          <w:p w14:paraId="6814318E"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SPM ;</w:t>
            </w:r>
          </w:p>
          <w:p w14:paraId="69BE0C8B"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Division provinciales MINAGRI ;</w:t>
            </w:r>
          </w:p>
          <w:p w14:paraId="3AF42948"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Division du Ministère de Pêche et Élevage ;</w:t>
            </w:r>
          </w:p>
          <w:p w14:paraId="43E08181"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Division du Ministère de Développement Rural ;</w:t>
            </w:r>
          </w:p>
          <w:p w14:paraId="16D4FD3E"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Banque Mondiale.</w:t>
            </w:r>
          </w:p>
        </w:tc>
        <w:tc>
          <w:tcPr>
            <w:tcW w:w="1984" w:type="dxa"/>
            <w:tcBorders>
              <w:top w:val="single" w:sz="4" w:space="0" w:color="auto"/>
            </w:tcBorders>
            <w:shd w:val="clear" w:color="auto" w:fill="auto"/>
          </w:tcPr>
          <w:p w14:paraId="04040307" w14:textId="77777777" w:rsidR="00145F0C" w:rsidRPr="001E310E" w:rsidRDefault="00145F0C" w:rsidP="002378EA">
            <w:pPr>
              <w:numPr>
                <w:ilvl w:val="0"/>
                <w:numId w:val="25"/>
              </w:numPr>
              <w:ind w:left="156" w:hanging="156"/>
              <w:rPr>
                <w:rFonts w:cs="Arial"/>
                <w:sz w:val="22"/>
              </w:rPr>
            </w:pPr>
            <w:r w:rsidRPr="001E310E">
              <w:rPr>
                <w:rFonts w:cs="Arial"/>
                <w:sz w:val="22"/>
              </w:rPr>
              <w:t>Bureau de Contrôle chargé du suivi de la mise en œuvre.</w:t>
            </w:r>
          </w:p>
        </w:tc>
      </w:tr>
      <w:tr w:rsidR="00145F0C" w:rsidRPr="001E310E" w14:paraId="588FF85B" w14:textId="77777777" w:rsidTr="00DC5A00">
        <w:tc>
          <w:tcPr>
            <w:tcW w:w="568" w:type="dxa"/>
            <w:shd w:val="clear" w:color="auto" w:fill="auto"/>
          </w:tcPr>
          <w:p w14:paraId="524E9EFB" w14:textId="77777777" w:rsidR="00145F0C" w:rsidRPr="001E310E" w:rsidRDefault="00145F0C" w:rsidP="00DC5A00">
            <w:pPr>
              <w:rPr>
                <w:rFonts w:cs="Arial"/>
                <w:sz w:val="22"/>
              </w:rPr>
            </w:pPr>
          </w:p>
          <w:p w14:paraId="2D35EA70" w14:textId="77777777" w:rsidR="00145F0C" w:rsidRDefault="00145F0C" w:rsidP="00DC5A00">
            <w:pPr>
              <w:rPr>
                <w:rFonts w:cs="Arial"/>
                <w:sz w:val="22"/>
              </w:rPr>
            </w:pPr>
          </w:p>
          <w:p w14:paraId="086F89B5" w14:textId="77777777" w:rsidR="00145F0C" w:rsidRDefault="00145F0C" w:rsidP="00DC5A00">
            <w:pPr>
              <w:rPr>
                <w:rFonts w:cs="Arial"/>
                <w:sz w:val="22"/>
              </w:rPr>
            </w:pPr>
          </w:p>
          <w:p w14:paraId="3A028F04" w14:textId="77777777" w:rsidR="00145F0C" w:rsidRPr="001E310E" w:rsidRDefault="00145F0C" w:rsidP="00DC5A00">
            <w:pPr>
              <w:rPr>
                <w:rFonts w:cs="Arial"/>
                <w:sz w:val="22"/>
              </w:rPr>
            </w:pPr>
            <w:r w:rsidRPr="001E310E">
              <w:rPr>
                <w:rFonts w:cs="Arial"/>
                <w:sz w:val="22"/>
              </w:rPr>
              <w:t>6.</w:t>
            </w:r>
          </w:p>
        </w:tc>
        <w:tc>
          <w:tcPr>
            <w:tcW w:w="2835" w:type="dxa"/>
            <w:shd w:val="clear" w:color="auto" w:fill="auto"/>
          </w:tcPr>
          <w:p w14:paraId="0F355104" w14:textId="77777777" w:rsidR="00145F0C" w:rsidRPr="001E310E" w:rsidRDefault="00145F0C" w:rsidP="00DC5A00">
            <w:pPr>
              <w:jc w:val="left"/>
              <w:rPr>
                <w:rFonts w:cs="Arial"/>
                <w:sz w:val="22"/>
              </w:rPr>
            </w:pPr>
            <w:r w:rsidRPr="001E310E">
              <w:rPr>
                <w:rFonts w:cs="Arial"/>
                <w:sz w:val="22"/>
              </w:rPr>
              <w:t>Exécution/Mise en œuvre des mesures non contractualisées avec l’entreprise de construction.</w:t>
            </w:r>
          </w:p>
        </w:tc>
        <w:tc>
          <w:tcPr>
            <w:tcW w:w="1984" w:type="dxa"/>
            <w:shd w:val="clear" w:color="auto" w:fill="auto"/>
          </w:tcPr>
          <w:p w14:paraId="0B71C1A6" w14:textId="77777777" w:rsidR="00145F0C" w:rsidRPr="001E310E" w:rsidRDefault="00145F0C" w:rsidP="00DC5A00">
            <w:pPr>
              <w:pStyle w:val="Paragraphedeliste"/>
              <w:tabs>
                <w:tab w:val="left" w:pos="0"/>
              </w:tabs>
              <w:ind w:left="156"/>
              <w:contextualSpacing w:val="0"/>
              <w:jc w:val="left"/>
              <w:rPr>
                <w:rFonts w:cs="Arial"/>
                <w:sz w:val="22"/>
              </w:rPr>
            </w:pPr>
            <w:r w:rsidRPr="001E310E">
              <w:rPr>
                <w:rFonts w:cs="Arial"/>
                <w:sz w:val="22"/>
              </w:rPr>
              <w:t xml:space="preserve">SSE, </w:t>
            </w:r>
            <w:r>
              <w:rPr>
                <w:rFonts w:cs="Arial"/>
                <w:sz w:val="22"/>
              </w:rPr>
              <w:t>SSS</w:t>
            </w:r>
            <w:r w:rsidRPr="001E310E">
              <w:rPr>
                <w:rFonts w:cs="Arial"/>
                <w:sz w:val="22"/>
              </w:rPr>
              <w:t xml:space="preserve"> et </w:t>
            </w:r>
            <w:r>
              <w:rPr>
                <w:rFonts w:cs="Arial"/>
                <w:sz w:val="22"/>
              </w:rPr>
              <w:t>S</w:t>
            </w:r>
            <w:r w:rsidRPr="001E310E">
              <w:rPr>
                <w:rFonts w:cs="Arial"/>
                <w:sz w:val="22"/>
              </w:rPr>
              <w:t>VBG du PNDA (phase</w:t>
            </w:r>
            <w:r>
              <w:rPr>
                <w:rFonts w:cs="Arial"/>
                <w:sz w:val="22"/>
              </w:rPr>
              <w:t>s</w:t>
            </w:r>
            <w:r w:rsidRPr="001E310E">
              <w:rPr>
                <w:rFonts w:cs="Arial"/>
                <w:sz w:val="22"/>
              </w:rPr>
              <w:t xml:space="preserve"> de préparation et de mise en œuvre). </w:t>
            </w:r>
          </w:p>
        </w:tc>
        <w:tc>
          <w:tcPr>
            <w:tcW w:w="2977" w:type="dxa"/>
            <w:shd w:val="clear" w:color="auto" w:fill="auto"/>
          </w:tcPr>
          <w:p w14:paraId="261EC3D0"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SPM</w:t>
            </w:r>
          </w:p>
          <w:p w14:paraId="054AD97C"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RT</w:t>
            </w:r>
          </w:p>
          <w:p w14:paraId="23861223"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Responsable Financier (RF)</w:t>
            </w:r>
          </w:p>
          <w:p w14:paraId="69728302"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Provinces ciblées (PFES)</w:t>
            </w:r>
          </w:p>
        </w:tc>
        <w:tc>
          <w:tcPr>
            <w:tcW w:w="1984" w:type="dxa"/>
            <w:shd w:val="clear" w:color="auto" w:fill="auto"/>
          </w:tcPr>
          <w:p w14:paraId="6918C9B4"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Entreprises </w:t>
            </w:r>
          </w:p>
          <w:p w14:paraId="76FEE065"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ONG</w:t>
            </w:r>
          </w:p>
          <w:p w14:paraId="2AF37303" w14:textId="77777777" w:rsidR="00145F0C" w:rsidRPr="001E310E" w:rsidRDefault="00145F0C" w:rsidP="00DC5A00">
            <w:pPr>
              <w:pStyle w:val="Paragraphedeliste"/>
              <w:tabs>
                <w:tab w:val="left" w:pos="0"/>
              </w:tabs>
              <w:ind w:left="156"/>
              <w:rPr>
                <w:rFonts w:cs="Arial"/>
                <w:sz w:val="22"/>
              </w:rPr>
            </w:pPr>
          </w:p>
        </w:tc>
      </w:tr>
      <w:tr w:rsidR="00145F0C" w:rsidRPr="001E310E" w14:paraId="2A0D962F" w14:textId="77777777" w:rsidTr="00DC5A00">
        <w:tc>
          <w:tcPr>
            <w:tcW w:w="568" w:type="dxa"/>
            <w:vMerge w:val="restart"/>
            <w:shd w:val="clear" w:color="auto" w:fill="auto"/>
          </w:tcPr>
          <w:p w14:paraId="263792BA" w14:textId="77777777" w:rsidR="00145F0C" w:rsidRPr="001E310E" w:rsidRDefault="00145F0C" w:rsidP="00DC5A00">
            <w:pPr>
              <w:rPr>
                <w:rFonts w:cs="Arial"/>
                <w:sz w:val="22"/>
              </w:rPr>
            </w:pPr>
          </w:p>
          <w:p w14:paraId="3D04B0FA" w14:textId="77777777" w:rsidR="00145F0C" w:rsidRPr="001E310E" w:rsidRDefault="00145F0C" w:rsidP="00DC5A00">
            <w:pPr>
              <w:rPr>
                <w:rFonts w:cs="Arial"/>
                <w:sz w:val="22"/>
              </w:rPr>
            </w:pPr>
          </w:p>
          <w:p w14:paraId="780644A1" w14:textId="77777777" w:rsidR="00145F0C" w:rsidRPr="001E310E" w:rsidRDefault="00145F0C" w:rsidP="00DC5A00">
            <w:pPr>
              <w:rPr>
                <w:rFonts w:cs="Arial"/>
                <w:sz w:val="22"/>
              </w:rPr>
            </w:pPr>
            <w:r w:rsidRPr="001E310E">
              <w:rPr>
                <w:rFonts w:cs="Arial"/>
                <w:sz w:val="22"/>
              </w:rPr>
              <w:t>7.</w:t>
            </w:r>
          </w:p>
        </w:tc>
        <w:tc>
          <w:tcPr>
            <w:tcW w:w="2835" w:type="dxa"/>
            <w:shd w:val="clear" w:color="auto" w:fill="auto"/>
          </w:tcPr>
          <w:p w14:paraId="2383BE37" w14:textId="77777777" w:rsidR="00145F0C" w:rsidRPr="001E310E" w:rsidRDefault="00145F0C" w:rsidP="00DC5A00">
            <w:pPr>
              <w:rPr>
                <w:rFonts w:cs="Arial"/>
                <w:sz w:val="22"/>
              </w:rPr>
            </w:pPr>
            <w:r w:rsidRPr="001E310E">
              <w:rPr>
                <w:rFonts w:cs="Arial"/>
                <w:sz w:val="22"/>
              </w:rPr>
              <w:t>Surveillance interne de la mise en œuvre des mesures environnementales et sociales</w:t>
            </w:r>
            <w:r>
              <w:rPr>
                <w:rFonts w:cs="Arial"/>
                <w:sz w:val="22"/>
              </w:rPr>
              <w:t>,</w:t>
            </w:r>
            <w:r w:rsidRPr="001E310E">
              <w:rPr>
                <w:rFonts w:cs="Arial"/>
                <w:sz w:val="22"/>
              </w:rPr>
              <w:t xml:space="preserve"> y compris celles </w:t>
            </w:r>
            <w:r>
              <w:rPr>
                <w:rFonts w:cs="Arial"/>
                <w:sz w:val="22"/>
              </w:rPr>
              <w:t>liées à l’EAS/HS</w:t>
            </w:r>
            <w:r w:rsidRPr="001E310E">
              <w:rPr>
                <w:rFonts w:cs="Arial"/>
                <w:sz w:val="22"/>
              </w:rPr>
              <w:t xml:space="preserve"> et</w:t>
            </w:r>
            <w:r>
              <w:rPr>
                <w:rFonts w:cs="Arial"/>
                <w:sz w:val="22"/>
              </w:rPr>
              <w:t xml:space="preserve"> au</w:t>
            </w:r>
            <w:r w:rsidRPr="001E310E">
              <w:rPr>
                <w:rFonts w:cs="Arial"/>
                <w:sz w:val="22"/>
              </w:rPr>
              <w:t xml:space="preserve"> COVID-19.</w:t>
            </w:r>
          </w:p>
        </w:tc>
        <w:tc>
          <w:tcPr>
            <w:tcW w:w="1984" w:type="dxa"/>
            <w:shd w:val="clear" w:color="auto" w:fill="auto"/>
          </w:tcPr>
          <w:p w14:paraId="102502D9"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SSE, </w:t>
            </w:r>
            <w:r>
              <w:rPr>
                <w:rFonts w:cs="Arial"/>
                <w:sz w:val="22"/>
              </w:rPr>
              <w:t>SSS</w:t>
            </w:r>
            <w:r w:rsidRPr="001E310E">
              <w:rPr>
                <w:rFonts w:cs="Arial"/>
                <w:sz w:val="22"/>
              </w:rPr>
              <w:t xml:space="preserve"> et </w:t>
            </w:r>
            <w:r>
              <w:rPr>
                <w:rFonts w:cs="Arial"/>
                <w:sz w:val="22"/>
              </w:rPr>
              <w:t>S</w:t>
            </w:r>
            <w:r w:rsidRPr="001E310E">
              <w:rPr>
                <w:rFonts w:cs="Arial"/>
                <w:sz w:val="22"/>
              </w:rPr>
              <w:t>VBG (phase</w:t>
            </w:r>
            <w:r>
              <w:rPr>
                <w:rFonts w:cs="Arial"/>
                <w:sz w:val="22"/>
              </w:rPr>
              <w:t>s</w:t>
            </w:r>
            <w:r w:rsidRPr="001E310E">
              <w:rPr>
                <w:rFonts w:cs="Arial"/>
                <w:sz w:val="22"/>
              </w:rPr>
              <w:t xml:space="preserve"> de préparation et de mise en œuvre).</w:t>
            </w:r>
          </w:p>
        </w:tc>
        <w:tc>
          <w:tcPr>
            <w:tcW w:w="2977" w:type="dxa"/>
            <w:shd w:val="clear" w:color="auto" w:fill="auto"/>
          </w:tcPr>
          <w:p w14:paraId="76EB0184"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Spécialiste en Suivi-Évaluation (S-SE)</w:t>
            </w:r>
          </w:p>
          <w:p w14:paraId="30A6181F" w14:textId="77777777" w:rsidR="00145F0C"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RF</w:t>
            </w:r>
          </w:p>
          <w:p w14:paraId="6EF817C7" w14:textId="77777777" w:rsidR="00145F0C" w:rsidRPr="001E310E" w:rsidRDefault="00145F0C" w:rsidP="00DC5A00">
            <w:pPr>
              <w:pStyle w:val="Paragraphedeliste"/>
              <w:tabs>
                <w:tab w:val="left" w:pos="0"/>
              </w:tabs>
              <w:ind w:left="360"/>
              <w:contextualSpacing w:val="0"/>
              <w:jc w:val="left"/>
              <w:rPr>
                <w:rFonts w:cs="Arial"/>
                <w:sz w:val="22"/>
              </w:rPr>
            </w:pPr>
          </w:p>
          <w:p w14:paraId="3EB5282D" w14:textId="77777777" w:rsidR="00145F0C" w:rsidRPr="001E310E" w:rsidRDefault="00145F0C" w:rsidP="00DC5A00">
            <w:pPr>
              <w:pStyle w:val="Paragraphedeliste"/>
              <w:tabs>
                <w:tab w:val="left" w:pos="0"/>
              </w:tabs>
              <w:ind w:left="360"/>
              <w:contextualSpacing w:val="0"/>
              <w:jc w:val="left"/>
              <w:rPr>
                <w:rFonts w:cs="Arial"/>
                <w:sz w:val="22"/>
              </w:rPr>
            </w:pPr>
          </w:p>
        </w:tc>
        <w:tc>
          <w:tcPr>
            <w:tcW w:w="1984" w:type="dxa"/>
            <w:shd w:val="clear" w:color="auto" w:fill="auto"/>
          </w:tcPr>
          <w:p w14:paraId="46D31BFE" w14:textId="77777777" w:rsidR="00145F0C" w:rsidRDefault="00145F0C" w:rsidP="002378EA">
            <w:pPr>
              <w:pStyle w:val="Paragraphedeliste"/>
              <w:numPr>
                <w:ilvl w:val="0"/>
                <w:numId w:val="25"/>
              </w:numPr>
              <w:tabs>
                <w:tab w:val="left" w:pos="0"/>
              </w:tabs>
              <w:ind w:left="156" w:hanging="156"/>
              <w:contextualSpacing w:val="0"/>
              <w:jc w:val="left"/>
              <w:rPr>
                <w:rFonts w:cs="Arial"/>
                <w:sz w:val="22"/>
              </w:rPr>
            </w:pPr>
            <w:r w:rsidRPr="009C3A42">
              <w:rPr>
                <w:rFonts w:cs="Arial"/>
                <w:sz w:val="22"/>
              </w:rPr>
              <w:t xml:space="preserve">RSES </w:t>
            </w:r>
          </w:p>
          <w:p w14:paraId="2BE5AA5A" w14:textId="77777777" w:rsidR="00145F0C" w:rsidRPr="00F003DE" w:rsidRDefault="00145F0C" w:rsidP="002378EA">
            <w:pPr>
              <w:pStyle w:val="Paragraphedeliste"/>
              <w:numPr>
                <w:ilvl w:val="0"/>
                <w:numId w:val="25"/>
              </w:numPr>
              <w:tabs>
                <w:tab w:val="left" w:pos="0"/>
              </w:tabs>
              <w:ind w:left="156" w:hanging="156"/>
              <w:contextualSpacing w:val="0"/>
              <w:jc w:val="left"/>
              <w:rPr>
                <w:rFonts w:cs="Arial"/>
                <w:sz w:val="22"/>
              </w:rPr>
            </w:pPr>
            <w:r>
              <w:rPr>
                <w:rFonts w:cs="Arial"/>
                <w:sz w:val="22"/>
              </w:rPr>
              <w:t xml:space="preserve">Bureau de </w:t>
            </w:r>
            <w:r w:rsidRPr="001E310E">
              <w:rPr>
                <w:rFonts w:cs="Arial"/>
                <w:sz w:val="22"/>
              </w:rPr>
              <w:t>Contrôle (</w:t>
            </w:r>
            <w:r>
              <w:rPr>
                <w:rFonts w:cs="Arial"/>
                <w:sz w:val="22"/>
              </w:rPr>
              <w:t>UNOPS)</w:t>
            </w:r>
          </w:p>
          <w:p w14:paraId="24C518B0"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Provinces ciblées</w:t>
            </w:r>
          </w:p>
          <w:p w14:paraId="3850D12F"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CPE</w:t>
            </w:r>
          </w:p>
          <w:p w14:paraId="0F75C93A"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ACE </w:t>
            </w:r>
          </w:p>
          <w:p w14:paraId="34B55EAF"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ICCN</w:t>
            </w:r>
          </w:p>
          <w:p w14:paraId="2CFE2449"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REPALEF</w:t>
            </w:r>
          </w:p>
          <w:p w14:paraId="2CC2CDA7"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DCN</w:t>
            </w:r>
          </w:p>
          <w:p w14:paraId="48583DEF"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Pr>
                <w:rFonts w:cs="Arial"/>
                <w:sz w:val="22"/>
              </w:rPr>
              <w:t>O</w:t>
            </w:r>
            <w:r w:rsidRPr="001E310E">
              <w:rPr>
                <w:rFonts w:cs="Arial"/>
                <w:sz w:val="22"/>
              </w:rPr>
              <w:t>VDA</w:t>
            </w:r>
          </w:p>
          <w:p w14:paraId="7C4CD17D"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SNHR</w:t>
            </w:r>
          </w:p>
        </w:tc>
      </w:tr>
      <w:tr w:rsidR="00145F0C" w:rsidRPr="001E310E" w14:paraId="74D34515" w14:textId="77777777" w:rsidTr="00DC5A00">
        <w:tc>
          <w:tcPr>
            <w:tcW w:w="568" w:type="dxa"/>
            <w:vMerge/>
            <w:shd w:val="clear" w:color="auto" w:fill="auto"/>
          </w:tcPr>
          <w:p w14:paraId="66474098" w14:textId="77777777" w:rsidR="00145F0C" w:rsidRPr="001E310E" w:rsidRDefault="00145F0C" w:rsidP="00DC5A00">
            <w:pPr>
              <w:rPr>
                <w:rFonts w:cs="Arial"/>
                <w:sz w:val="22"/>
              </w:rPr>
            </w:pPr>
          </w:p>
        </w:tc>
        <w:tc>
          <w:tcPr>
            <w:tcW w:w="2835" w:type="dxa"/>
            <w:shd w:val="clear" w:color="auto" w:fill="auto"/>
          </w:tcPr>
          <w:p w14:paraId="5685F7E9" w14:textId="77777777" w:rsidR="00145F0C" w:rsidRPr="001E310E" w:rsidRDefault="00145F0C" w:rsidP="00DC5A00">
            <w:pPr>
              <w:rPr>
                <w:rFonts w:cs="Arial"/>
                <w:sz w:val="22"/>
              </w:rPr>
            </w:pPr>
            <w:r w:rsidRPr="009C4C74">
              <w:rPr>
                <w:rFonts w:cs="Arial"/>
                <w:sz w:val="22"/>
              </w:rPr>
              <w:t>Diffusion du rapport de surveillance</w:t>
            </w:r>
            <w:r w:rsidRPr="001E310E">
              <w:rPr>
                <w:rFonts w:cs="Arial"/>
                <w:sz w:val="22"/>
              </w:rPr>
              <w:t xml:space="preserve"> </w:t>
            </w:r>
          </w:p>
        </w:tc>
        <w:tc>
          <w:tcPr>
            <w:tcW w:w="1984" w:type="dxa"/>
            <w:shd w:val="clear" w:color="auto" w:fill="auto"/>
          </w:tcPr>
          <w:p w14:paraId="6C8486AD"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CTPS (phase de préparation)</w:t>
            </w:r>
          </w:p>
          <w:p w14:paraId="332F7D4E"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UNCP/PARRSA et Coordination de l’</w:t>
            </w:r>
            <w:r>
              <w:rPr>
                <w:rFonts w:cs="Arial"/>
                <w:sz w:val="22"/>
              </w:rPr>
              <w:t>UNCP</w:t>
            </w:r>
            <w:r w:rsidRPr="001E310E">
              <w:rPr>
                <w:rFonts w:cs="Arial"/>
                <w:sz w:val="22"/>
              </w:rPr>
              <w:t xml:space="preserve"> (phase de mise en œuvre).</w:t>
            </w:r>
          </w:p>
        </w:tc>
        <w:tc>
          <w:tcPr>
            <w:tcW w:w="2977" w:type="dxa"/>
            <w:shd w:val="clear" w:color="auto" w:fill="auto"/>
          </w:tcPr>
          <w:p w14:paraId="3FE6E6E3"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SSE, </w:t>
            </w:r>
            <w:r>
              <w:rPr>
                <w:rFonts w:cs="Arial"/>
                <w:sz w:val="22"/>
              </w:rPr>
              <w:t>SSS</w:t>
            </w:r>
            <w:r w:rsidRPr="001E310E">
              <w:rPr>
                <w:rFonts w:cs="Arial"/>
                <w:sz w:val="22"/>
              </w:rPr>
              <w:t xml:space="preserve"> et</w:t>
            </w:r>
            <w:r>
              <w:rPr>
                <w:rFonts w:cs="Arial"/>
                <w:sz w:val="22"/>
              </w:rPr>
              <w:t xml:space="preserve"> S</w:t>
            </w:r>
            <w:r w:rsidRPr="001E310E">
              <w:rPr>
                <w:rFonts w:cs="Arial"/>
                <w:sz w:val="22"/>
              </w:rPr>
              <w:t>VBG (phase</w:t>
            </w:r>
            <w:r>
              <w:rPr>
                <w:rFonts w:cs="Arial"/>
                <w:sz w:val="22"/>
              </w:rPr>
              <w:t>s</w:t>
            </w:r>
            <w:r w:rsidRPr="001E310E">
              <w:rPr>
                <w:rFonts w:cs="Arial"/>
                <w:sz w:val="22"/>
              </w:rPr>
              <w:t xml:space="preserve"> de préparation et de mise en œuvre)</w:t>
            </w:r>
          </w:p>
          <w:p w14:paraId="18346C3B"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9C3A42">
              <w:rPr>
                <w:rFonts w:cs="Arial"/>
                <w:sz w:val="22"/>
              </w:rPr>
              <w:t xml:space="preserve">RSES </w:t>
            </w:r>
            <w:r>
              <w:rPr>
                <w:rFonts w:cs="Arial"/>
                <w:sz w:val="22"/>
              </w:rPr>
              <w:t xml:space="preserve"> </w:t>
            </w:r>
          </w:p>
        </w:tc>
        <w:tc>
          <w:tcPr>
            <w:tcW w:w="1984" w:type="dxa"/>
            <w:shd w:val="clear" w:color="auto" w:fill="auto"/>
          </w:tcPr>
          <w:p w14:paraId="2E28DE23"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ACE et CPE</w:t>
            </w:r>
          </w:p>
          <w:p w14:paraId="70DEC239"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Banque mondiale</w:t>
            </w:r>
          </w:p>
          <w:p w14:paraId="2CCDF8EC"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Consultant</w:t>
            </w:r>
          </w:p>
        </w:tc>
      </w:tr>
      <w:tr w:rsidR="00145F0C" w:rsidRPr="001E310E" w14:paraId="7FD235B8" w14:textId="77777777" w:rsidTr="00DC5A00">
        <w:tc>
          <w:tcPr>
            <w:tcW w:w="568" w:type="dxa"/>
            <w:shd w:val="clear" w:color="auto" w:fill="auto"/>
          </w:tcPr>
          <w:p w14:paraId="680E1E2D" w14:textId="77777777" w:rsidR="00145F0C" w:rsidRPr="001E310E" w:rsidRDefault="00145F0C" w:rsidP="00DC5A00">
            <w:pPr>
              <w:rPr>
                <w:rFonts w:cs="Arial"/>
                <w:sz w:val="22"/>
              </w:rPr>
            </w:pPr>
            <w:r w:rsidRPr="001E310E">
              <w:rPr>
                <w:rFonts w:cs="Arial"/>
                <w:sz w:val="22"/>
              </w:rPr>
              <w:t>8.</w:t>
            </w:r>
          </w:p>
        </w:tc>
        <w:tc>
          <w:tcPr>
            <w:tcW w:w="2835" w:type="dxa"/>
            <w:shd w:val="clear" w:color="auto" w:fill="auto"/>
          </w:tcPr>
          <w:p w14:paraId="00A8A5C1" w14:textId="77777777" w:rsidR="00145F0C" w:rsidRPr="001E310E" w:rsidRDefault="00145F0C" w:rsidP="00DC5A00">
            <w:pPr>
              <w:rPr>
                <w:rFonts w:cs="Arial"/>
                <w:sz w:val="22"/>
              </w:rPr>
            </w:pPr>
            <w:r w:rsidRPr="001E310E">
              <w:rPr>
                <w:rFonts w:cs="Arial"/>
                <w:sz w:val="22"/>
              </w:rPr>
              <w:t>Suivi environnemental et social</w:t>
            </w:r>
            <w:r>
              <w:rPr>
                <w:rFonts w:cs="Arial"/>
                <w:sz w:val="22"/>
              </w:rPr>
              <w:t xml:space="preserve"> externe</w:t>
            </w:r>
          </w:p>
        </w:tc>
        <w:tc>
          <w:tcPr>
            <w:tcW w:w="1984" w:type="dxa"/>
            <w:shd w:val="clear" w:color="auto" w:fill="auto"/>
          </w:tcPr>
          <w:p w14:paraId="60EB84D3"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ACE</w:t>
            </w:r>
          </w:p>
          <w:p w14:paraId="465376D5"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CPE</w:t>
            </w:r>
          </w:p>
          <w:p w14:paraId="0B02A911"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Banque Mondiale (supervision)</w:t>
            </w:r>
          </w:p>
        </w:tc>
        <w:tc>
          <w:tcPr>
            <w:tcW w:w="2977" w:type="dxa"/>
            <w:shd w:val="clear" w:color="auto" w:fill="auto"/>
          </w:tcPr>
          <w:p w14:paraId="001CA2EF"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SSE, </w:t>
            </w:r>
            <w:r>
              <w:rPr>
                <w:rFonts w:cs="Arial"/>
                <w:sz w:val="22"/>
              </w:rPr>
              <w:t>SSS</w:t>
            </w:r>
            <w:r w:rsidRPr="001E310E">
              <w:rPr>
                <w:rFonts w:cs="Arial"/>
                <w:sz w:val="22"/>
              </w:rPr>
              <w:t xml:space="preserve"> et </w:t>
            </w:r>
            <w:r>
              <w:rPr>
                <w:rFonts w:cs="Arial"/>
                <w:sz w:val="22"/>
              </w:rPr>
              <w:t>S</w:t>
            </w:r>
            <w:r w:rsidRPr="001E310E">
              <w:rPr>
                <w:rFonts w:cs="Arial"/>
                <w:sz w:val="22"/>
              </w:rPr>
              <w:t>VBG (phase</w:t>
            </w:r>
            <w:r>
              <w:rPr>
                <w:rFonts w:cs="Arial"/>
                <w:sz w:val="22"/>
              </w:rPr>
              <w:t>s</w:t>
            </w:r>
            <w:r w:rsidRPr="001E310E">
              <w:rPr>
                <w:rFonts w:cs="Arial"/>
                <w:sz w:val="22"/>
              </w:rPr>
              <w:t xml:space="preserve"> de préparation et de mise en œuvre)</w:t>
            </w:r>
          </w:p>
          <w:p w14:paraId="65A34F50" w14:textId="77777777" w:rsidR="00145F0C" w:rsidRPr="002541DD" w:rsidRDefault="00145F0C" w:rsidP="002378EA">
            <w:pPr>
              <w:pStyle w:val="Paragraphedeliste"/>
              <w:numPr>
                <w:ilvl w:val="0"/>
                <w:numId w:val="25"/>
              </w:numPr>
              <w:tabs>
                <w:tab w:val="left" w:pos="0"/>
              </w:tabs>
              <w:ind w:left="156" w:hanging="156"/>
              <w:contextualSpacing w:val="0"/>
              <w:jc w:val="left"/>
              <w:rPr>
                <w:rFonts w:cs="Arial"/>
                <w:sz w:val="22"/>
              </w:rPr>
            </w:pPr>
            <w:r w:rsidRPr="002541DD">
              <w:rPr>
                <w:rFonts w:cs="Arial"/>
                <w:sz w:val="22"/>
              </w:rPr>
              <w:t xml:space="preserve">RSES </w:t>
            </w:r>
            <w:r>
              <w:rPr>
                <w:rFonts w:cs="Arial"/>
                <w:sz w:val="22"/>
              </w:rPr>
              <w:t xml:space="preserve"> </w:t>
            </w:r>
          </w:p>
        </w:tc>
        <w:tc>
          <w:tcPr>
            <w:tcW w:w="1984" w:type="dxa"/>
            <w:shd w:val="clear" w:color="auto" w:fill="auto"/>
          </w:tcPr>
          <w:p w14:paraId="45269B83" w14:textId="77777777" w:rsidR="00145F0C" w:rsidRDefault="00145F0C" w:rsidP="002378EA">
            <w:pPr>
              <w:pStyle w:val="Paragraphedeliste"/>
              <w:numPr>
                <w:ilvl w:val="0"/>
                <w:numId w:val="25"/>
              </w:numPr>
              <w:tabs>
                <w:tab w:val="left" w:pos="0"/>
              </w:tabs>
              <w:contextualSpacing w:val="0"/>
              <w:jc w:val="left"/>
              <w:rPr>
                <w:rFonts w:cs="Arial"/>
                <w:sz w:val="22"/>
              </w:rPr>
            </w:pPr>
            <w:r w:rsidRPr="001E310E">
              <w:rPr>
                <w:rFonts w:cs="Arial"/>
                <w:sz w:val="22"/>
              </w:rPr>
              <w:t>Bureau de Contrôle (</w:t>
            </w:r>
          </w:p>
          <w:p w14:paraId="7528C495" w14:textId="77777777" w:rsidR="00145F0C" w:rsidRPr="001E310E" w:rsidRDefault="00145F0C" w:rsidP="002378EA">
            <w:pPr>
              <w:pStyle w:val="Paragraphedeliste"/>
              <w:numPr>
                <w:ilvl w:val="0"/>
                <w:numId w:val="25"/>
              </w:numPr>
              <w:tabs>
                <w:tab w:val="left" w:pos="0"/>
              </w:tabs>
              <w:contextualSpacing w:val="0"/>
              <w:jc w:val="left"/>
              <w:rPr>
                <w:rFonts w:cs="Arial"/>
                <w:sz w:val="22"/>
              </w:rPr>
            </w:pPr>
            <w:r>
              <w:rPr>
                <w:rFonts w:cs="Arial"/>
                <w:sz w:val="22"/>
              </w:rPr>
              <w:t>AGENCE D’EXÉCUTION</w:t>
            </w:r>
            <w:r w:rsidRPr="001E310E">
              <w:rPr>
                <w:rFonts w:cs="Arial"/>
                <w:sz w:val="22"/>
              </w:rPr>
              <w:t>)</w:t>
            </w:r>
          </w:p>
          <w:p w14:paraId="380A79B9" w14:textId="77777777" w:rsidR="00145F0C" w:rsidRPr="001E310E" w:rsidRDefault="00145F0C" w:rsidP="002378EA">
            <w:pPr>
              <w:pStyle w:val="Paragraphedeliste"/>
              <w:numPr>
                <w:ilvl w:val="0"/>
                <w:numId w:val="25"/>
              </w:numPr>
              <w:tabs>
                <w:tab w:val="left" w:pos="0"/>
              </w:tabs>
              <w:contextualSpacing w:val="0"/>
              <w:jc w:val="left"/>
              <w:rPr>
                <w:rFonts w:cs="Arial"/>
                <w:sz w:val="22"/>
              </w:rPr>
            </w:pPr>
            <w:r w:rsidRPr="001E310E">
              <w:rPr>
                <w:rFonts w:cs="Arial"/>
                <w:sz w:val="22"/>
              </w:rPr>
              <w:t>Laboratoires</w:t>
            </w:r>
          </w:p>
          <w:p w14:paraId="04EC6FC6" w14:textId="77777777" w:rsidR="00145F0C" w:rsidRPr="001E310E" w:rsidRDefault="00145F0C" w:rsidP="00DC5A00">
            <w:pPr>
              <w:pStyle w:val="Paragraphedeliste"/>
              <w:tabs>
                <w:tab w:val="left" w:pos="0"/>
              </w:tabs>
              <w:ind w:left="360"/>
              <w:contextualSpacing w:val="0"/>
              <w:jc w:val="left"/>
              <w:rPr>
                <w:rFonts w:cs="Arial"/>
                <w:sz w:val="22"/>
              </w:rPr>
            </w:pPr>
            <w:r w:rsidRPr="001E310E">
              <w:rPr>
                <w:rFonts w:cs="Arial"/>
                <w:sz w:val="22"/>
              </w:rPr>
              <w:t>/centres spécialisés</w:t>
            </w:r>
          </w:p>
          <w:p w14:paraId="7D88AFEE" w14:textId="77777777" w:rsidR="00145F0C" w:rsidRPr="001E310E" w:rsidRDefault="00145F0C" w:rsidP="002378EA">
            <w:pPr>
              <w:pStyle w:val="Paragraphedeliste"/>
              <w:numPr>
                <w:ilvl w:val="0"/>
                <w:numId w:val="25"/>
              </w:numPr>
              <w:tabs>
                <w:tab w:val="left" w:pos="0"/>
              </w:tabs>
              <w:contextualSpacing w:val="0"/>
              <w:jc w:val="left"/>
              <w:rPr>
                <w:rFonts w:cs="Arial"/>
                <w:sz w:val="22"/>
              </w:rPr>
            </w:pPr>
            <w:r w:rsidRPr="001E310E">
              <w:rPr>
                <w:rFonts w:cs="Arial"/>
                <w:sz w:val="22"/>
              </w:rPr>
              <w:t>ONG</w:t>
            </w:r>
          </w:p>
        </w:tc>
      </w:tr>
      <w:tr w:rsidR="00145F0C" w:rsidRPr="001E310E" w14:paraId="637A8574" w14:textId="77777777" w:rsidTr="00DC5A00">
        <w:tc>
          <w:tcPr>
            <w:tcW w:w="568" w:type="dxa"/>
            <w:shd w:val="clear" w:color="auto" w:fill="auto"/>
          </w:tcPr>
          <w:p w14:paraId="3E63C237" w14:textId="77777777" w:rsidR="00145F0C" w:rsidRPr="001E310E" w:rsidRDefault="00145F0C" w:rsidP="00DC5A00">
            <w:pPr>
              <w:rPr>
                <w:rFonts w:cs="Arial"/>
                <w:sz w:val="22"/>
              </w:rPr>
            </w:pPr>
            <w:r w:rsidRPr="001E310E">
              <w:rPr>
                <w:rFonts w:cs="Arial"/>
                <w:sz w:val="22"/>
              </w:rPr>
              <w:t>9.</w:t>
            </w:r>
          </w:p>
        </w:tc>
        <w:tc>
          <w:tcPr>
            <w:tcW w:w="2835" w:type="dxa"/>
            <w:shd w:val="clear" w:color="auto" w:fill="auto"/>
          </w:tcPr>
          <w:p w14:paraId="141E80E4" w14:textId="77777777" w:rsidR="00145F0C" w:rsidRPr="001E310E" w:rsidRDefault="00145F0C" w:rsidP="00DC5A00">
            <w:pPr>
              <w:rPr>
                <w:rFonts w:cs="Arial"/>
                <w:sz w:val="22"/>
              </w:rPr>
            </w:pPr>
            <w:r w:rsidRPr="001E310E">
              <w:rPr>
                <w:rFonts w:cs="Arial"/>
                <w:sz w:val="22"/>
              </w:rPr>
              <w:t>Renforcement des capacités des acteurs en mise en œuvre environnementales et sociales.</w:t>
            </w:r>
          </w:p>
        </w:tc>
        <w:tc>
          <w:tcPr>
            <w:tcW w:w="1984" w:type="dxa"/>
            <w:shd w:val="clear" w:color="auto" w:fill="auto"/>
          </w:tcPr>
          <w:p w14:paraId="71435430"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SSE, </w:t>
            </w:r>
            <w:r>
              <w:rPr>
                <w:rFonts w:cs="Arial"/>
                <w:sz w:val="22"/>
              </w:rPr>
              <w:t>SSS</w:t>
            </w:r>
            <w:r w:rsidRPr="001E310E">
              <w:rPr>
                <w:rFonts w:cs="Arial"/>
                <w:sz w:val="22"/>
              </w:rPr>
              <w:t xml:space="preserve"> et SVBG (phase</w:t>
            </w:r>
            <w:r>
              <w:rPr>
                <w:rFonts w:cs="Arial"/>
                <w:sz w:val="22"/>
              </w:rPr>
              <w:t>s</w:t>
            </w:r>
            <w:r w:rsidRPr="001E310E">
              <w:rPr>
                <w:rFonts w:cs="Arial"/>
                <w:sz w:val="22"/>
              </w:rPr>
              <w:t xml:space="preserve"> de préparation et de mise en œuvre).</w:t>
            </w:r>
          </w:p>
        </w:tc>
        <w:tc>
          <w:tcPr>
            <w:tcW w:w="2977" w:type="dxa"/>
            <w:shd w:val="clear" w:color="auto" w:fill="auto"/>
          </w:tcPr>
          <w:p w14:paraId="3F019978"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SPM</w:t>
            </w:r>
          </w:p>
        </w:tc>
        <w:tc>
          <w:tcPr>
            <w:tcW w:w="1984" w:type="dxa"/>
            <w:shd w:val="clear" w:color="auto" w:fill="auto"/>
          </w:tcPr>
          <w:p w14:paraId="3B6956F4"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 Consultants</w:t>
            </w:r>
          </w:p>
          <w:p w14:paraId="5339979F"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 Structures publiques compétentes</w:t>
            </w:r>
          </w:p>
        </w:tc>
      </w:tr>
      <w:tr w:rsidR="00145F0C" w:rsidRPr="001E310E" w14:paraId="1019CB34" w14:textId="77777777" w:rsidTr="00DC5A00">
        <w:tc>
          <w:tcPr>
            <w:tcW w:w="568" w:type="dxa"/>
            <w:shd w:val="clear" w:color="auto" w:fill="auto"/>
          </w:tcPr>
          <w:p w14:paraId="6E5E930C" w14:textId="77777777" w:rsidR="00145F0C" w:rsidRPr="001E310E" w:rsidRDefault="00145F0C" w:rsidP="00DC5A00">
            <w:pPr>
              <w:rPr>
                <w:rFonts w:cs="Arial"/>
                <w:sz w:val="22"/>
              </w:rPr>
            </w:pPr>
          </w:p>
          <w:p w14:paraId="3D3C2061" w14:textId="77777777" w:rsidR="00145F0C" w:rsidRPr="001E310E" w:rsidRDefault="00145F0C" w:rsidP="00DC5A00">
            <w:pPr>
              <w:rPr>
                <w:rFonts w:cs="Arial"/>
                <w:sz w:val="22"/>
              </w:rPr>
            </w:pPr>
            <w:r w:rsidRPr="001E310E">
              <w:rPr>
                <w:rFonts w:cs="Arial"/>
                <w:sz w:val="22"/>
              </w:rPr>
              <w:t>10.</w:t>
            </w:r>
          </w:p>
        </w:tc>
        <w:tc>
          <w:tcPr>
            <w:tcW w:w="2835" w:type="dxa"/>
            <w:shd w:val="clear" w:color="auto" w:fill="auto"/>
          </w:tcPr>
          <w:p w14:paraId="46B30E2B" w14:textId="77777777" w:rsidR="00145F0C" w:rsidRPr="001E310E" w:rsidRDefault="00145F0C" w:rsidP="00DC5A00">
            <w:pPr>
              <w:rPr>
                <w:rFonts w:cs="Arial"/>
                <w:sz w:val="22"/>
              </w:rPr>
            </w:pPr>
            <w:r w:rsidRPr="001E310E">
              <w:rPr>
                <w:rFonts w:cs="Arial"/>
                <w:sz w:val="22"/>
              </w:rPr>
              <w:t>Audit de mise en œuvre des mesures environnementales et sociales.</w:t>
            </w:r>
          </w:p>
        </w:tc>
        <w:tc>
          <w:tcPr>
            <w:tcW w:w="1984" w:type="dxa"/>
            <w:shd w:val="clear" w:color="auto" w:fill="auto"/>
          </w:tcPr>
          <w:p w14:paraId="5E3354CC"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SSE, </w:t>
            </w:r>
            <w:r>
              <w:rPr>
                <w:rFonts w:cs="Arial"/>
                <w:sz w:val="22"/>
              </w:rPr>
              <w:t>SSS</w:t>
            </w:r>
            <w:r w:rsidRPr="001E310E">
              <w:rPr>
                <w:rFonts w:cs="Arial"/>
                <w:sz w:val="22"/>
              </w:rPr>
              <w:t xml:space="preserve"> et SVBG (phase</w:t>
            </w:r>
            <w:r>
              <w:rPr>
                <w:rFonts w:cs="Arial"/>
                <w:sz w:val="22"/>
              </w:rPr>
              <w:t>s</w:t>
            </w:r>
            <w:r w:rsidRPr="001E310E">
              <w:rPr>
                <w:rFonts w:cs="Arial"/>
                <w:sz w:val="22"/>
              </w:rPr>
              <w:t xml:space="preserve"> de préparation et</w:t>
            </w:r>
            <w:r>
              <w:rPr>
                <w:rFonts w:cs="Arial"/>
                <w:sz w:val="22"/>
              </w:rPr>
              <w:t xml:space="preserve"> </w:t>
            </w:r>
            <w:r w:rsidRPr="001E310E">
              <w:rPr>
                <w:rFonts w:cs="Arial"/>
                <w:sz w:val="22"/>
              </w:rPr>
              <w:t>de mise en œuvre).</w:t>
            </w:r>
          </w:p>
        </w:tc>
        <w:tc>
          <w:tcPr>
            <w:tcW w:w="2977" w:type="dxa"/>
            <w:shd w:val="clear" w:color="auto" w:fill="auto"/>
          </w:tcPr>
          <w:p w14:paraId="7248F364"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SPM</w:t>
            </w:r>
          </w:p>
          <w:p w14:paraId="73AE48FF"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SSE</w:t>
            </w:r>
          </w:p>
          <w:p w14:paraId="003360A4"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ACE</w:t>
            </w:r>
          </w:p>
          <w:p w14:paraId="4E0F2CBF"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CPE</w:t>
            </w:r>
          </w:p>
          <w:p w14:paraId="37348BEE" w14:textId="77777777" w:rsidR="00145F0C"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Provinces concernées par le PNDA</w:t>
            </w:r>
          </w:p>
          <w:p w14:paraId="75E90AF1"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9C3A42">
              <w:rPr>
                <w:rFonts w:cs="Arial"/>
                <w:sz w:val="22"/>
              </w:rPr>
              <w:t xml:space="preserve">RSES </w:t>
            </w:r>
            <w:r>
              <w:rPr>
                <w:rFonts w:cs="Arial"/>
                <w:sz w:val="22"/>
              </w:rPr>
              <w:t xml:space="preserve"> </w:t>
            </w:r>
          </w:p>
        </w:tc>
        <w:tc>
          <w:tcPr>
            <w:tcW w:w="1984" w:type="dxa"/>
            <w:shd w:val="clear" w:color="auto" w:fill="auto"/>
          </w:tcPr>
          <w:p w14:paraId="0855A575" w14:textId="77777777" w:rsidR="00145F0C" w:rsidRPr="001E310E" w:rsidRDefault="00145F0C" w:rsidP="002378EA">
            <w:pPr>
              <w:pStyle w:val="Paragraphedeliste"/>
              <w:numPr>
                <w:ilvl w:val="0"/>
                <w:numId w:val="25"/>
              </w:numPr>
              <w:tabs>
                <w:tab w:val="left" w:pos="0"/>
              </w:tabs>
              <w:ind w:left="156" w:hanging="156"/>
              <w:contextualSpacing w:val="0"/>
              <w:jc w:val="left"/>
              <w:rPr>
                <w:rFonts w:cs="Arial"/>
                <w:sz w:val="22"/>
              </w:rPr>
            </w:pPr>
            <w:r w:rsidRPr="001E310E">
              <w:rPr>
                <w:rFonts w:cs="Arial"/>
                <w:sz w:val="22"/>
              </w:rPr>
              <w:t xml:space="preserve"> Consultants</w:t>
            </w:r>
          </w:p>
          <w:p w14:paraId="58B92E2D" w14:textId="77777777" w:rsidR="00145F0C" w:rsidRPr="001E310E" w:rsidRDefault="00145F0C" w:rsidP="00DC5A00">
            <w:pPr>
              <w:tabs>
                <w:tab w:val="left" w:pos="0"/>
              </w:tabs>
              <w:ind w:left="156"/>
              <w:rPr>
                <w:rFonts w:cs="Arial"/>
                <w:sz w:val="22"/>
              </w:rPr>
            </w:pPr>
          </w:p>
          <w:p w14:paraId="532D68C9" w14:textId="77777777" w:rsidR="00145F0C" w:rsidRPr="001E310E" w:rsidRDefault="00145F0C" w:rsidP="00DC5A00">
            <w:pPr>
              <w:pStyle w:val="Paragraphedeliste"/>
              <w:tabs>
                <w:tab w:val="left" w:pos="0"/>
              </w:tabs>
              <w:ind w:left="156"/>
              <w:rPr>
                <w:rFonts w:cs="Arial"/>
                <w:sz w:val="22"/>
              </w:rPr>
            </w:pPr>
          </w:p>
        </w:tc>
      </w:tr>
    </w:tbl>
    <w:p w14:paraId="489537BF" w14:textId="77777777" w:rsidR="00145F0C" w:rsidRPr="008A5BC4" w:rsidRDefault="00145F0C" w:rsidP="001C2F95">
      <w:pPr>
        <w:rPr>
          <w:sz w:val="22"/>
        </w:rPr>
      </w:pPr>
    </w:p>
    <w:p w14:paraId="1F887A86" w14:textId="77777777" w:rsidR="001C2F95" w:rsidRPr="008A5BC4" w:rsidRDefault="001C2F95" w:rsidP="001C2F95">
      <w:pPr>
        <w:pStyle w:val="Titre3"/>
        <w:keepLines w:val="0"/>
        <w:spacing w:line="240" w:lineRule="auto"/>
        <w:jc w:val="left"/>
        <w:rPr>
          <w:b/>
          <w:sz w:val="22"/>
          <w:szCs w:val="22"/>
        </w:rPr>
      </w:pPr>
    </w:p>
    <w:p w14:paraId="51D11BE1" w14:textId="77777777" w:rsidR="001C2F95" w:rsidRPr="008A5BC4" w:rsidRDefault="001C2F95" w:rsidP="001C2F95">
      <w:pPr>
        <w:pStyle w:val="Titre2"/>
        <w:numPr>
          <w:ilvl w:val="2"/>
          <w:numId w:val="4"/>
        </w:numPr>
        <w:ind w:left="1560" w:hanging="709"/>
        <w:rPr>
          <w:rFonts w:cs="Arial"/>
          <w:i/>
          <w:sz w:val="22"/>
          <w:szCs w:val="22"/>
        </w:rPr>
      </w:pPr>
      <w:bookmarkStart w:id="652" w:name="_Toc70330466"/>
      <w:r w:rsidRPr="008A5BC4">
        <w:rPr>
          <w:rFonts w:cs="Arial"/>
          <w:i/>
          <w:sz w:val="22"/>
          <w:szCs w:val="22"/>
        </w:rPr>
        <w:t>Evaluation (audit)</w:t>
      </w:r>
      <w:bookmarkEnd w:id="652"/>
    </w:p>
    <w:p w14:paraId="5E275F3A" w14:textId="77777777" w:rsidR="001C2F95" w:rsidRPr="008A5BC4" w:rsidRDefault="001C2F95" w:rsidP="001C2F95">
      <w:pPr>
        <w:rPr>
          <w:sz w:val="22"/>
        </w:rPr>
      </w:pPr>
    </w:p>
    <w:p w14:paraId="277D21C4" w14:textId="77777777" w:rsidR="001C2F95" w:rsidRPr="008A5BC4" w:rsidRDefault="001C2F95" w:rsidP="001C2F95">
      <w:pPr>
        <w:rPr>
          <w:sz w:val="22"/>
        </w:rPr>
      </w:pPr>
      <w:r w:rsidRPr="008A5BC4">
        <w:rPr>
          <w:sz w:val="22"/>
        </w:rPr>
        <w:t xml:space="preserve">L'évaluation vise </w:t>
      </w:r>
      <w:r w:rsidRPr="008A5BC4">
        <w:rPr>
          <w:i/>
          <w:sz w:val="22"/>
        </w:rPr>
        <w:t xml:space="preserve">(i) </w:t>
      </w:r>
      <w:r w:rsidRPr="008A5BC4">
        <w:rPr>
          <w:sz w:val="22"/>
        </w:rPr>
        <w:t xml:space="preserve">à vérifier si les objectifs ont été respectés/atteints et </w:t>
      </w:r>
      <w:r w:rsidRPr="008A5BC4">
        <w:rPr>
          <w:i/>
          <w:sz w:val="22"/>
        </w:rPr>
        <w:t>(ii)</w:t>
      </w:r>
      <w:r w:rsidRPr="008A5BC4">
        <w:rPr>
          <w:sz w:val="22"/>
        </w:rPr>
        <w:t xml:space="preserve"> à tirer les enseignements d’exploitation pour modifier les stratégies futures d’intervention. L’évaluation (ou audit) sera faite à mi-parcours et à la fin du Projet par des consultants indépendants. </w:t>
      </w:r>
    </w:p>
    <w:p w14:paraId="0685330D" w14:textId="77777777" w:rsidR="001C2F95" w:rsidRPr="008A5BC4" w:rsidRDefault="001C2F95" w:rsidP="001C2F95">
      <w:pPr>
        <w:rPr>
          <w:sz w:val="22"/>
        </w:rPr>
      </w:pPr>
    </w:p>
    <w:p w14:paraId="3F041AD7" w14:textId="77777777" w:rsidR="001C2F95" w:rsidRPr="008A5BC4" w:rsidRDefault="001C2F95" w:rsidP="001C2F95">
      <w:pPr>
        <w:pStyle w:val="Titre2"/>
        <w:numPr>
          <w:ilvl w:val="2"/>
          <w:numId w:val="4"/>
        </w:numPr>
        <w:ind w:left="1560" w:hanging="709"/>
        <w:rPr>
          <w:rFonts w:cs="Arial"/>
          <w:i/>
          <w:sz w:val="22"/>
          <w:szCs w:val="22"/>
        </w:rPr>
      </w:pPr>
      <w:bookmarkStart w:id="653" w:name="_Toc70330467"/>
      <w:r w:rsidRPr="008A5BC4">
        <w:rPr>
          <w:rFonts w:cs="Arial"/>
          <w:i/>
          <w:sz w:val="22"/>
          <w:szCs w:val="22"/>
        </w:rPr>
        <w:t>Composantes environnementales et sociales à suivre</w:t>
      </w:r>
      <w:bookmarkEnd w:id="653"/>
    </w:p>
    <w:p w14:paraId="1B868EE3" w14:textId="77777777" w:rsidR="001C2F95" w:rsidRPr="008A5BC4" w:rsidRDefault="001C2F95" w:rsidP="001C2F95">
      <w:pPr>
        <w:rPr>
          <w:sz w:val="22"/>
        </w:rPr>
      </w:pPr>
    </w:p>
    <w:p w14:paraId="142459B5" w14:textId="77777777" w:rsidR="001C2F95" w:rsidRPr="008A5BC4" w:rsidRDefault="001C2F95" w:rsidP="001C2F95">
      <w:pPr>
        <w:jc w:val="lowKashida"/>
        <w:rPr>
          <w:sz w:val="22"/>
        </w:rPr>
      </w:pPr>
      <w:r w:rsidRPr="008A5BC4">
        <w:rPr>
          <w:sz w:val="22"/>
        </w:rPr>
        <w:t xml:space="preserve">Lors des travaux, le suivi portera sur tous les impacts potentiels identifiés et sur toutes les mesures d’atténuation y afférentes. </w:t>
      </w:r>
    </w:p>
    <w:p w14:paraId="519233EB" w14:textId="77777777" w:rsidR="001C2F95" w:rsidRPr="008A5BC4" w:rsidRDefault="001C2F95" w:rsidP="001C2F95">
      <w:pPr>
        <w:jc w:val="lowKashida"/>
        <w:rPr>
          <w:b/>
          <w:i/>
          <w:sz w:val="22"/>
        </w:rPr>
      </w:pPr>
    </w:p>
    <w:p w14:paraId="70DE9CEE" w14:textId="77777777" w:rsidR="001C2F95" w:rsidRPr="008A5BC4" w:rsidRDefault="001C2F95" w:rsidP="001C2F95">
      <w:pPr>
        <w:pStyle w:val="Titre2"/>
        <w:numPr>
          <w:ilvl w:val="2"/>
          <w:numId w:val="4"/>
        </w:numPr>
        <w:ind w:left="1560" w:hanging="709"/>
        <w:rPr>
          <w:rFonts w:cs="Arial"/>
          <w:i/>
          <w:sz w:val="22"/>
          <w:szCs w:val="22"/>
        </w:rPr>
      </w:pPr>
      <w:bookmarkStart w:id="654" w:name="_Toc70330468"/>
      <w:r w:rsidRPr="008A5BC4">
        <w:rPr>
          <w:rFonts w:cs="Arial"/>
          <w:i/>
          <w:sz w:val="22"/>
          <w:szCs w:val="22"/>
        </w:rPr>
        <w:t>Suivi en phase de préparation et de travaux</w:t>
      </w:r>
      <w:bookmarkEnd w:id="654"/>
    </w:p>
    <w:p w14:paraId="27373925" w14:textId="77777777" w:rsidR="001C2F95" w:rsidRPr="008A5BC4" w:rsidRDefault="001C2F95" w:rsidP="001C2F95">
      <w:pPr>
        <w:jc w:val="lowKashida"/>
        <w:rPr>
          <w:sz w:val="22"/>
        </w:rPr>
      </w:pPr>
    </w:p>
    <w:p w14:paraId="0C97FC76" w14:textId="77777777" w:rsidR="001C2F95" w:rsidRPr="008A5BC4" w:rsidRDefault="001C2F95" w:rsidP="001C2F95">
      <w:pPr>
        <w:autoSpaceDE w:val="0"/>
        <w:autoSpaceDN w:val="0"/>
        <w:adjustRightInd w:val="0"/>
        <w:rPr>
          <w:rFonts w:eastAsia="Calibri"/>
          <w:sz w:val="22"/>
        </w:rPr>
      </w:pPr>
      <w:r w:rsidRPr="008A5BC4">
        <w:rPr>
          <w:rFonts w:eastAsia="Calibri"/>
          <w:sz w:val="22"/>
        </w:rPr>
        <w:t>Lors des travaux, les règlements en vigueur dans le pays, et en particulier ceux concernant l’environnement</w:t>
      </w:r>
      <w:r>
        <w:rPr>
          <w:rFonts w:eastAsia="Calibri"/>
          <w:sz w:val="22"/>
        </w:rPr>
        <w:t xml:space="preserve"> et les aspects sociaux</w:t>
      </w:r>
      <w:r w:rsidRPr="008A5BC4">
        <w:rPr>
          <w:rFonts w:eastAsia="Calibri"/>
          <w:sz w:val="22"/>
        </w:rPr>
        <w:t xml:space="preserve">, devront être respectés. La mise en œuvre du Projet devra se faire dans le cadre d’un plan de gestion de la qualité comprenant le respect des contraintes environnementales </w:t>
      </w:r>
      <w:r>
        <w:rPr>
          <w:rFonts w:eastAsia="Calibri"/>
          <w:sz w:val="22"/>
        </w:rPr>
        <w:t xml:space="preserve">et sociales </w:t>
      </w:r>
      <w:r w:rsidRPr="008A5BC4">
        <w:rPr>
          <w:rFonts w:eastAsia="Calibri"/>
          <w:sz w:val="22"/>
        </w:rPr>
        <w:t>correspondant aux mesures présentées dans le CGES. Les contractants en charge de la réalisation du Projet (ou de certaines activités du Projet) devront fournir et appliquer le règlement qui fixera :</w:t>
      </w:r>
    </w:p>
    <w:p w14:paraId="3DBD014D" w14:textId="77777777" w:rsidR="001C2F95" w:rsidRPr="008A5BC4" w:rsidRDefault="001C2F95" w:rsidP="001C2F95">
      <w:pPr>
        <w:autoSpaceDE w:val="0"/>
        <w:autoSpaceDN w:val="0"/>
        <w:adjustRightInd w:val="0"/>
        <w:rPr>
          <w:rFonts w:eastAsia="Calibri"/>
          <w:sz w:val="22"/>
        </w:rPr>
      </w:pPr>
    </w:p>
    <w:p w14:paraId="16E7B6ED"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les mesures de protection de l’environnement et de réduction des impacts sociaux</w:t>
      </w:r>
      <w:r>
        <w:rPr>
          <w:rFonts w:eastAsia="Calibri" w:cs="Arial"/>
          <w:sz w:val="22"/>
        </w:rPr>
        <w:t> ;</w:t>
      </w:r>
    </w:p>
    <w:p w14:paraId="52614E4E"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les règles de sécurité concernant les ouvriers ;</w:t>
      </w:r>
    </w:p>
    <w:p w14:paraId="7A05E69E"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les modalités de gestion des déchets solides et liquides ;</w:t>
      </w:r>
    </w:p>
    <w:p w14:paraId="4F6D24E6"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les mesures de sensibilisation et de prévention (santé, hygiène, sécurité, les IST et VIH/SIDA</w:t>
      </w:r>
      <w:r>
        <w:rPr>
          <w:rFonts w:eastAsia="Calibri" w:cs="Arial"/>
          <w:sz w:val="22"/>
        </w:rPr>
        <w:t>, COVID-19, ainsi que les VBG, incluant l’EAS/HS</w:t>
      </w:r>
      <w:r w:rsidRPr="008A5BC4">
        <w:rPr>
          <w:rFonts w:eastAsia="Calibri" w:cs="Arial"/>
          <w:sz w:val="22"/>
        </w:rPr>
        <w:t>) ;</w:t>
      </w:r>
    </w:p>
    <w:p w14:paraId="292D5BCE"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les mesures de réinstallation.</w:t>
      </w:r>
    </w:p>
    <w:p w14:paraId="4C27B5EB" w14:textId="77777777" w:rsidR="001C2F95" w:rsidRPr="008A5BC4" w:rsidRDefault="001C2F95" w:rsidP="001C2F95">
      <w:pPr>
        <w:rPr>
          <w:rFonts w:cs="Arial"/>
          <w:sz w:val="22"/>
        </w:rPr>
      </w:pPr>
    </w:p>
    <w:p w14:paraId="2A7AC82C" w14:textId="77777777" w:rsidR="001C2F95" w:rsidRPr="008A5BC4" w:rsidRDefault="001C2F95" w:rsidP="001C2F95">
      <w:pPr>
        <w:pStyle w:val="Titre2"/>
        <w:numPr>
          <w:ilvl w:val="2"/>
          <w:numId w:val="4"/>
        </w:numPr>
        <w:ind w:left="1560" w:hanging="709"/>
        <w:rPr>
          <w:rFonts w:cs="Arial"/>
          <w:i/>
          <w:sz w:val="22"/>
          <w:szCs w:val="22"/>
        </w:rPr>
      </w:pPr>
      <w:bookmarkStart w:id="655" w:name="_Toc70330469"/>
      <w:r w:rsidRPr="008A5BC4">
        <w:rPr>
          <w:rFonts w:cs="Arial"/>
          <w:i/>
          <w:sz w:val="22"/>
          <w:szCs w:val="22"/>
        </w:rPr>
        <w:t>Indicateurs de suivi environnemental et social</w:t>
      </w:r>
      <w:bookmarkEnd w:id="655"/>
    </w:p>
    <w:p w14:paraId="435E049E" w14:textId="77777777" w:rsidR="001C2F95" w:rsidRPr="008A5BC4" w:rsidRDefault="001C2F95" w:rsidP="001C2F95">
      <w:pPr>
        <w:rPr>
          <w:rFonts w:cs="Arial"/>
          <w:sz w:val="22"/>
        </w:rPr>
      </w:pPr>
    </w:p>
    <w:p w14:paraId="08E409ED" w14:textId="77777777" w:rsidR="001C2F95" w:rsidRPr="008A5BC4" w:rsidRDefault="001C2F95" w:rsidP="001C2F95">
      <w:pPr>
        <w:rPr>
          <w:rFonts w:cs="Arial"/>
          <w:sz w:val="22"/>
        </w:rPr>
      </w:pPr>
      <w:r w:rsidRPr="008A5BC4">
        <w:rPr>
          <w:rFonts w:cs="Arial"/>
          <w:sz w:val="22"/>
        </w:rPr>
        <w:t>De façon générale, les indicateurs pour lesquels il sera nécessaire d’assurer le suivi sont</w:t>
      </w:r>
      <w:r>
        <w:rPr>
          <w:rFonts w:cs="Arial"/>
          <w:sz w:val="22"/>
        </w:rPr>
        <w:t xml:space="preserve"> les suivants :</w:t>
      </w:r>
    </w:p>
    <w:p w14:paraId="2F5D8B7C" w14:textId="77777777" w:rsidR="001C2F95" w:rsidRPr="008A5BC4" w:rsidRDefault="001C2F95" w:rsidP="001C2F95">
      <w:pPr>
        <w:rPr>
          <w:rFonts w:cs="Arial"/>
          <w:sz w:val="22"/>
        </w:rPr>
      </w:pPr>
    </w:p>
    <w:p w14:paraId="32BCEB57" w14:textId="77777777" w:rsidR="001C2F95" w:rsidRPr="008A5BC4" w:rsidRDefault="001C2F95" w:rsidP="001C2F95">
      <w:pPr>
        <w:autoSpaceDE w:val="0"/>
        <w:autoSpaceDN w:val="0"/>
        <w:adjustRightInd w:val="0"/>
        <w:rPr>
          <w:rFonts w:eastAsia="Calibri" w:cs="Arial"/>
          <w:sz w:val="22"/>
        </w:rPr>
      </w:pPr>
      <w:r w:rsidRPr="008A5BC4">
        <w:rPr>
          <w:rFonts w:eastAsia="Calibri" w:cs="Arial"/>
          <w:sz w:val="22"/>
        </w:rPr>
        <w:t>Au niveau d’ordre stratégique à suivre par le Comité de Pilotage du PNDA :</w:t>
      </w:r>
    </w:p>
    <w:p w14:paraId="149D3389"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Effectivité de la sélection environnementale et sociale (Screening) des activités du programme ;</w:t>
      </w:r>
    </w:p>
    <w:p w14:paraId="6DCEDAD2"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Effectivité du suivi environnemental et du « reporting » ;</w:t>
      </w:r>
    </w:p>
    <w:p w14:paraId="33AD9224"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Mise en œuvre des programmes de formation/sensibilisation sur le CGES</w:t>
      </w:r>
      <w:r>
        <w:rPr>
          <w:rFonts w:eastAsia="Calibri" w:cs="Arial"/>
          <w:sz w:val="22"/>
        </w:rPr>
        <w:t> ;</w:t>
      </w:r>
    </w:p>
    <w:p w14:paraId="24CC3FA1"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Indicateurs à suivre par le SSE</w:t>
      </w:r>
      <w:r>
        <w:rPr>
          <w:rFonts w:eastAsia="Calibri" w:cs="Arial"/>
          <w:sz w:val="22"/>
        </w:rPr>
        <w:t>,</w:t>
      </w:r>
      <w:r w:rsidRPr="008A5BC4">
        <w:rPr>
          <w:rFonts w:eastAsia="Calibri" w:cs="Arial"/>
          <w:sz w:val="22"/>
        </w:rPr>
        <w:t xml:space="preserve"> le SSS</w:t>
      </w:r>
      <w:r>
        <w:rPr>
          <w:rFonts w:eastAsia="Calibri" w:cs="Arial"/>
          <w:sz w:val="22"/>
        </w:rPr>
        <w:t xml:space="preserve">, et le SVBG du </w:t>
      </w:r>
      <w:r w:rsidRPr="008A5BC4">
        <w:rPr>
          <w:rFonts w:eastAsia="Calibri" w:cs="Arial"/>
          <w:sz w:val="22"/>
        </w:rPr>
        <w:t>PNDA ;</w:t>
      </w:r>
    </w:p>
    <w:p w14:paraId="4AB1C114"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 xml:space="preserve">Effectivité de l’insertion des clauses environnementales </w:t>
      </w:r>
      <w:r>
        <w:rPr>
          <w:rFonts w:eastAsia="Calibri" w:cs="Arial"/>
          <w:sz w:val="22"/>
        </w:rPr>
        <w:t xml:space="preserve">et sociales </w:t>
      </w:r>
      <w:r w:rsidRPr="008A5BC4">
        <w:rPr>
          <w:rFonts w:eastAsia="Calibri" w:cs="Arial"/>
          <w:sz w:val="22"/>
        </w:rPr>
        <w:t>dans les dossiers d’exécution.</w:t>
      </w:r>
    </w:p>
    <w:p w14:paraId="204901F2" w14:textId="77777777" w:rsidR="001C2F95" w:rsidRPr="008A5BC4" w:rsidRDefault="001C2F95" w:rsidP="001C2F95">
      <w:pPr>
        <w:autoSpaceDE w:val="0"/>
        <w:autoSpaceDN w:val="0"/>
        <w:adjustRightInd w:val="0"/>
        <w:ind w:left="720"/>
        <w:rPr>
          <w:rFonts w:eastAsia="Calibri" w:cs="Arial"/>
          <w:sz w:val="22"/>
        </w:rPr>
      </w:pPr>
    </w:p>
    <w:p w14:paraId="2BDC670C" w14:textId="77777777" w:rsidR="001C2F95" w:rsidRPr="008A5BC4" w:rsidRDefault="001C2F95" w:rsidP="001C2F95">
      <w:pPr>
        <w:autoSpaceDE w:val="0"/>
        <w:autoSpaceDN w:val="0"/>
        <w:adjustRightInd w:val="0"/>
        <w:rPr>
          <w:rFonts w:eastAsia="Calibri" w:cs="Arial"/>
          <w:sz w:val="22"/>
        </w:rPr>
      </w:pPr>
      <w:r w:rsidRPr="008A5BC4">
        <w:rPr>
          <w:rFonts w:eastAsia="Calibri" w:cs="Arial"/>
          <w:sz w:val="22"/>
        </w:rPr>
        <w:t xml:space="preserve">Au niveau des </w:t>
      </w:r>
      <w:r>
        <w:rPr>
          <w:rFonts w:eastAsia="Calibri" w:cs="Arial"/>
          <w:sz w:val="22"/>
        </w:rPr>
        <w:t>SSE et SSS</w:t>
      </w:r>
      <w:r w:rsidRPr="008A5BC4">
        <w:rPr>
          <w:rFonts w:eastAsia="Calibri" w:cs="Arial"/>
          <w:sz w:val="22"/>
        </w:rPr>
        <w:t xml:space="preserve"> du PNDA :</w:t>
      </w:r>
    </w:p>
    <w:p w14:paraId="416A11CC"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Nombre de projets ayant fait l’objet d’une sélection environnementale</w:t>
      </w:r>
      <w:r>
        <w:rPr>
          <w:rFonts w:eastAsia="Calibri" w:cs="Arial"/>
          <w:sz w:val="22"/>
        </w:rPr>
        <w:t xml:space="preserve"> et sociale</w:t>
      </w:r>
      <w:r w:rsidR="00434DB7">
        <w:rPr>
          <w:rFonts w:eastAsia="Calibri" w:cs="Arial"/>
          <w:sz w:val="22"/>
        </w:rPr>
        <w:t> ;</w:t>
      </w:r>
    </w:p>
    <w:p w14:paraId="1D39A22B"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Pourcentage</w:t>
      </w:r>
      <w:r>
        <w:rPr>
          <w:rFonts w:eastAsia="Calibri" w:cs="Arial"/>
          <w:sz w:val="22"/>
        </w:rPr>
        <w:t xml:space="preserve"> </w:t>
      </w:r>
      <w:r w:rsidRPr="008A5BC4">
        <w:rPr>
          <w:rFonts w:eastAsia="Calibri" w:cs="Arial"/>
          <w:sz w:val="22"/>
        </w:rPr>
        <w:t xml:space="preserve">des entreprises respectant les dispositions environnementales </w:t>
      </w:r>
      <w:r>
        <w:rPr>
          <w:rFonts w:eastAsia="Calibri" w:cs="Arial"/>
          <w:sz w:val="22"/>
        </w:rPr>
        <w:t xml:space="preserve">et sociales </w:t>
      </w:r>
      <w:r w:rsidRPr="008A5BC4">
        <w:rPr>
          <w:rFonts w:eastAsia="Calibri" w:cs="Arial"/>
          <w:sz w:val="22"/>
        </w:rPr>
        <w:t>dans leurs chantiers ;</w:t>
      </w:r>
    </w:p>
    <w:p w14:paraId="470F040B"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Niveau d’application des mesures d’atténuation environnementale et sociale ;</w:t>
      </w:r>
    </w:p>
    <w:p w14:paraId="261AEB38"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Nombre d’acteurs formés/sensibilisés en gestion environnementale et sociale ;</w:t>
      </w:r>
    </w:p>
    <w:p w14:paraId="71BE9949" w14:textId="77777777" w:rsidR="001C2F95" w:rsidRPr="006418AE"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 xml:space="preserve">Niveau d’implication des CPE dans le suivi de la mise en œuvre des activités </w:t>
      </w:r>
      <w:r w:rsidRPr="006418AE">
        <w:rPr>
          <w:rFonts w:eastAsia="Calibri" w:cs="Arial"/>
          <w:sz w:val="22"/>
        </w:rPr>
        <w:t>;</w:t>
      </w:r>
    </w:p>
    <w:p w14:paraId="380B6C79" w14:textId="77777777" w:rsidR="001C2F95" w:rsidRPr="008A5BC4" w:rsidRDefault="001C2F95" w:rsidP="002378EA">
      <w:pPr>
        <w:numPr>
          <w:ilvl w:val="0"/>
          <w:numId w:val="28"/>
        </w:numPr>
        <w:autoSpaceDE w:val="0"/>
        <w:autoSpaceDN w:val="0"/>
        <w:adjustRightInd w:val="0"/>
        <w:rPr>
          <w:rFonts w:eastAsia="Calibri" w:cs="Arial"/>
          <w:sz w:val="22"/>
        </w:rPr>
      </w:pPr>
      <w:r w:rsidRPr="008A5BC4">
        <w:rPr>
          <w:rFonts w:eastAsia="Calibri" w:cs="Arial"/>
          <w:sz w:val="22"/>
        </w:rPr>
        <w:t>Régularité et effectivité du suivi de proximité</w:t>
      </w:r>
      <w:r w:rsidR="00434DB7">
        <w:rPr>
          <w:rFonts w:eastAsia="Calibri" w:cs="Arial"/>
          <w:sz w:val="22"/>
        </w:rPr>
        <w:t> ;</w:t>
      </w:r>
    </w:p>
    <w:p w14:paraId="294D279D" w14:textId="77777777" w:rsidR="001C2F95" w:rsidRPr="008A5BC4" w:rsidRDefault="001C2F95" w:rsidP="002378EA">
      <w:pPr>
        <w:numPr>
          <w:ilvl w:val="0"/>
          <w:numId w:val="29"/>
        </w:numPr>
        <w:autoSpaceDE w:val="0"/>
        <w:autoSpaceDN w:val="0"/>
        <w:adjustRightInd w:val="0"/>
        <w:rPr>
          <w:rFonts w:cs="Arial"/>
          <w:sz w:val="22"/>
        </w:rPr>
      </w:pPr>
      <w:r w:rsidRPr="008A5BC4">
        <w:rPr>
          <w:rFonts w:cs="Arial"/>
          <w:sz w:val="22"/>
        </w:rPr>
        <w:t>Nombre de sous-projets ayant fait l’objet d’une ÉIES avec PGES mis en œuvre ;</w:t>
      </w:r>
    </w:p>
    <w:p w14:paraId="0FF57AB8" w14:textId="77777777" w:rsidR="001C2F95" w:rsidRPr="008A5BC4" w:rsidRDefault="001C2F95" w:rsidP="002378EA">
      <w:pPr>
        <w:numPr>
          <w:ilvl w:val="0"/>
          <w:numId w:val="29"/>
        </w:numPr>
        <w:autoSpaceDE w:val="0"/>
        <w:autoSpaceDN w:val="0"/>
        <w:adjustRightInd w:val="0"/>
        <w:rPr>
          <w:rFonts w:cs="Arial"/>
          <w:sz w:val="22"/>
        </w:rPr>
      </w:pPr>
      <w:r w:rsidRPr="008A5BC4">
        <w:rPr>
          <w:rFonts w:cs="Arial"/>
          <w:sz w:val="22"/>
        </w:rPr>
        <w:t>Nombre de séances de formation/sensibilisation organisées ;</w:t>
      </w:r>
    </w:p>
    <w:p w14:paraId="57719FA9" w14:textId="77777777" w:rsidR="001C2F95" w:rsidRPr="008A5BC4" w:rsidRDefault="001C2F95" w:rsidP="002378EA">
      <w:pPr>
        <w:numPr>
          <w:ilvl w:val="0"/>
          <w:numId w:val="29"/>
        </w:numPr>
        <w:rPr>
          <w:rFonts w:cs="Arial"/>
          <w:sz w:val="22"/>
        </w:rPr>
      </w:pPr>
      <w:r w:rsidRPr="008A5BC4">
        <w:rPr>
          <w:rFonts w:cs="Arial"/>
          <w:sz w:val="22"/>
        </w:rPr>
        <w:t>Nombre de missions de suivi/évaluation environnemental</w:t>
      </w:r>
      <w:r w:rsidR="00434DB7">
        <w:rPr>
          <w:rFonts w:cs="Arial"/>
          <w:sz w:val="22"/>
        </w:rPr>
        <w:t> ;</w:t>
      </w:r>
    </w:p>
    <w:p w14:paraId="3D0706CA" w14:textId="77777777" w:rsidR="001C2F95" w:rsidRPr="008A5BC4" w:rsidRDefault="001C2F95" w:rsidP="002378EA">
      <w:pPr>
        <w:numPr>
          <w:ilvl w:val="0"/>
          <w:numId w:val="29"/>
        </w:numPr>
        <w:rPr>
          <w:rFonts w:cs="Arial"/>
          <w:sz w:val="22"/>
        </w:rPr>
      </w:pPr>
      <w:r w:rsidRPr="008A5BC4">
        <w:rPr>
          <w:rFonts w:cs="Arial"/>
          <w:sz w:val="22"/>
        </w:rPr>
        <w:t>Niveau d’implication des collectivités et d’acteurs locaux dans le suivi des travaux</w:t>
      </w:r>
    </w:p>
    <w:p w14:paraId="519C388A" w14:textId="77777777" w:rsidR="001C2F95" w:rsidRPr="008A5BC4" w:rsidRDefault="001C2F95" w:rsidP="002378EA">
      <w:pPr>
        <w:numPr>
          <w:ilvl w:val="0"/>
          <w:numId w:val="29"/>
        </w:numPr>
        <w:rPr>
          <w:rFonts w:cs="Arial"/>
          <w:sz w:val="22"/>
        </w:rPr>
      </w:pPr>
      <w:r w:rsidRPr="008A5BC4">
        <w:rPr>
          <w:rFonts w:cs="Arial"/>
          <w:sz w:val="22"/>
        </w:rPr>
        <w:t>Nombre d’emplois créés localement (main-d’œuvre locale utilisée pour les travaux) ;</w:t>
      </w:r>
    </w:p>
    <w:p w14:paraId="7131F912" w14:textId="77777777" w:rsidR="001C2F95" w:rsidRPr="008A5BC4" w:rsidRDefault="001C2F95" w:rsidP="002378EA">
      <w:pPr>
        <w:numPr>
          <w:ilvl w:val="0"/>
          <w:numId w:val="29"/>
        </w:numPr>
        <w:rPr>
          <w:rFonts w:cs="Arial"/>
          <w:sz w:val="22"/>
        </w:rPr>
      </w:pPr>
      <w:r w:rsidRPr="008A5BC4">
        <w:rPr>
          <w:rFonts w:cs="Arial"/>
          <w:sz w:val="22"/>
        </w:rPr>
        <w:t>Nombre de populations autochtones et campements localisés dans la zone du Projet ;</w:t>
      </w:r>
    </w:p>
    <w:p w14:paraId="252D19CF" w14:textId="77777777" w:rsidR="001C2F95" w:rsidRPr="008A5BC4" w:rsidRDefault="001C2F95" w:rsidP="002378EA">
      <w:pPr>
        <w:numPr>
          <w:ilvl w:val="0"/>
          <w:numId w:val="29"/>
        </w:numPr>
        <w:autoSpaceDE w:val="0"/>
        <w:autoSpaceDN w:val="0"/>
        <w:adjustRightInd w:val="0"/>
        <w:jc w:val="left"/>
        <w:rPr>
          <w:rFonts w:cs="Arial"/>
          <w:sz w:val="22"/>
        </w:rPr>
      </w:pPr>
      <w:r w:rsidRPr="008A5BC4">
        <w:rPr>
          <w:rFonts w:cs="Arial"/>
          <w:sz w:val="22"/>
        </w:rPr>
        <w:t>Nombre de personnes affectées et compensées par le Projet ;</w:t>
      </w:r>
    </w:p>
    <w:p w14:paraId="4E43CDD3" w14:textId="77777777" w:rsidR="001C2F95" w:rsidRPr="008A5BC4" w:rsidRDefault="001C2F95" w:rsidP="002378EA">
      <w:pPr>
        <w:numPr>
          <w:ilvl w:val="0"/>
          <w:numId w:val="29"/>
        </w:numPr>
        <w:autoSpaceDE w:val="0"/>
        <w:autoSpaceDN w:val="0"/>
        <w:adjustRightInd w:val="0"/>
        <w:jc w:val="left"/>
        <w:rPr>
          <w:rFonts w:cs="Arial"/>
          <w:sz w:val="22"/>
        </w:rPr>
      </w:pPr>
      <w:r w:rsidRPr="008A5BC4">
        <w:rPr>
          <w:rFonts w:cs="Arial"/>
          <w:sz w:val="22"/>
        </w:rPr>
        <w:t>Nombre et type de réclamation</w:t>
      </w:r>
      <w:r w:rsidR="00434DB7">
        <w:rPr>
          <w:rFonts w:cs="Arial"/>
          <w:sz w:val="22"/>
        </w:rPr>
        <w:t>.</w:t>
      </w:r>
    </w:p>
    <w:p w14:paraId="1A3BF743" w14:textId="77777777" w:rsidR="001C2F95" w:rsidRPr="008A5BC4" w:rsidRDefault="001C2F95" w:rsidP="001C2F95">
      <w:pPr>
        <w:autoSpaceDE w:val="0"/>
        <w:autoSpaceDN w:val="0"/>
        <w:adjustRightInd w:val="0"/>
        <w:ind w:left="720"/>
        <w:jc w:val="left"/>
        <w:rPr>
          <w:rFonts w:cs="Arial"/>
          <w:sz w:val="22"/>
        </w:rPr>
      </w:pPr>
    </w:p>
    <w:p w14:paraId="0989967E" w14:textId="77777777" w:rsidR="001C2F95" w:rsidRPr="008A5BC4" w:rsidRDefault="001C2F95" w:rsidP="001C2F95">
      <w:pPr>
        <w:autoSpaceDE w:val="0"/>
        <w:autoSpaceDN w:val="0"/>
        <w:adjustRightInd w:val="0"/>
        <w:jc w:val="left"/>
        <w:rPr>
          <w:rFonts w:cs="Arial"/>
          <w:sz w:val="22"/>
        </w:rPr>
      </w:pPr>
      <w:r w:rsidRPr="008A5BC4">
        <w:rPr>
          <w:rFonts w:cs="Arial"/>
          <w:sz w:val="22"/>
        </w:rPr>
        <w:t xml:space="preserve">Au niveau du </w:t>
      </w:r>
      <w:r>
        <w:rPr>
          <w:rFonts w:cs="Arial"/>
          <w:sz w:val="22"/>
        </w:rPr>
        <w:t>S</w:t>
      </w:r>
      <w:r w:rsidRPr="008A5BC4">
        <w:rPr>
          <w:rFonts w:cs="Arial"/>
          <w:sz w:val="22"/>
        </w:rPr>
        <w:t>VBG :</w:t>
      </w:r>
    </w:p>
    <w:p w14:paraId="7E5F0862" w14:textId="77777777" w:rsidR="001C2F95" w:rsidRPr="008A5BC4" w:rsidRDefault="001C2F95" w:rsidP="002378EA">
      <w:pPr>
        <w:numPr>
          <w:ilvl w:val="0"/>
          <w:numId w:val="29"/>
        </w:numPr>
        <w:autoSpaceDE w:val="0"/>
        <w:autoSpaceDN w:val="0"/>
        <w:adjustRightInd w:val="0"/>
        <w:spacing w:line="240" w:lineRule="auto"/>
        <w:jc w:val="left"/>
        <w:rPr>
          <w:sz w:val="22"/>
        </w:rPr>
      </w:pPr>
      <w:r w:rsidRPr="008A5BC4">
        <w:rPr>
          <w:sz w:val="22"/>
        </w:rPr>
        <w:t xml:space="preserve">Nombre de séances de formation de travailleurs </w:t>
      </w:r>
      <w:r>
        <w:rPr>
          <w:sz w:val="22"/>
        </w:rPr>
        <w:t xml:space="preserve">et personnel du Projet </w:t>
      </w:r>
      <w:r w:rsidRPr="008A5BC4">
        <w:rPr>
          <w:sz w:val="22"/>
        </w:rPr>
        <w:t>en VBG ventilées par sexe ;</w:t>
      </w:r>
    </w:p>
    <w:p w14:paraId="1ED182AD" w14:textId="77777777" w:rsidR="001C2F95" w:rsidRDefault="001C2F95" w:rsidP="002378EA">
      <w:pPr>
        <w:numPr>
          <w:ilvl w:val="0"/>
          <w:numId w:val="29"/>
        </w:numPr>
        <w:autoSpaceDE w:val="0"/>
        <w:autoSpaceDN w:val="0"/>
        <w:adjustRightInd w:val="0"/>
        <w:spacing w:line="240" w:lineRule="auto"/>
        <w:jc w:val="left"/>
        <w:rPr>
          <w:sz w:val="22"/>
        </w:rPr>
      </w:pPr>
      <w:r w:rsidRPr="008A5BC4">
        <w:rPr>
          <w:sz w:val="22"/>
        </w:rPr>
        <w:t xml:space="preserve">Nombre de séances de recyclage de travailleurs </w:t>
      </w:r>
      <w:r>
        <w:rPr>
          <w:sz w:val="22"/>
        </w:rPr>
        <w:t xml:space="preserve">et personnel du Projet </w:t>
      </w:r>
      <w:r w:rsidRPr="008A5BC4">
        <w:rPr>
          <w:sz w:val="22"/>
        </w:rPr>
        <w:t>en VBG ;</w:t>
      </w:r>
    </w:p>
    <w:p w14:paraId="668EF00D" w14:textId="77777777" w:rsidR="001C2F95" w:rsidRPr="008A5BC4" w:rsidRDefault="001C2F95" w:rsidP="002378EA">
      <w:pPr>
        <w:numPr>
          <w:ilvl w:val="0"/>
          <w:numId w:val="29"/>
        </w:numPr>
        <w:autoSpaceDE w:val="0"/>
        <w:autoSpaceDN w:val="0"/>
        <w:adjustRightInd w:val="0"/>
        <w:spacing w:line="240" w:lineRule="auto"/>
        <w:jc w:val="left"/>
        <w:rPr>
          <w:sz w:val="22"/>
        </w:rPr>
      </w:pPr>
      <w:r>
        <w:rPr>
          <w:sz w:val="22"/>
        </w:rPr>
        <w:t>% des participant(e)s aux formations en VBG qui</w:t>
      </w:r>
      <w:r w:rsidR="00AF2270">
        <w:rPr>
          <w:sz w:val="22"/>
        </w:rPr>
        <w:t xml:space="preserve"> reçoivent une note sur le post </w:t>
      </w:r>
      <w:r>
        <w:rPr>
          <w:sz w:val="22"/>
        </w:rPr>
        <w:t>test au-delà de 70% ;</w:t>
      </w:r>
    </w:p>
    <w:p w14:paraId="149C0E53" w14:textId="77777777" w:rsidR="001C2F95" w:rsidRPr="008A5BC4" w:rsidRDefault="001C2F95" w:rsidP="002378EA">
      <w:pPr>
        <w:numPr>
          <w:ilvl w:val="0"/>
          <w:numId w:val="29"/>
        </w:numPr>
        <w:autoSpaceDE w:val="0"/>
        <w:autoSpaceDN w:val="0"/>
        <w:adjustRightInd w:val="0"/>
        <w:spacing w:line="240" w:lineRule="auto"/>
        <w:jc w:val="left"/>
        <w:rPr>
          <w:sz w:val="22"/>
        </w:rPr>
      </w:pPr>
      <w:r>
        <w:rPr>
          <w:sz w:val="22"/>
        </w:rPr>
        <w:t>%</w:t>
      </w:r>
      <w:r w:rsidRPr="008A5BC4">
        <w:rPr>
          <w:sz w:val="22"/>
        </w:rPr>
        <w:t xml:space="preserve"> de survivant</w:t>
      </w:r>
      <w:r>
        <w:rPr>
          <w:sz w:val="22"/>
        </w:rPr>
        <w:t>(</w:t>
      </w:r>
      <w:r w:rsidRPr="008A5BC4">
        <w:rPr>
          <w:sz w:val="22"/>
        </w:rPr>
        <w:t>e</w:t>
      </w:r>
      <w:r>
        <w:rPr>
          <w:sz w:val="22"/>
        </w:rPr>
        <w:t>)</w:t>
      </w:r>
      <w:r w:rsidRPr="008A5BC4">
        <w:rPr>
          <w:sz w:val="22"/>
        </w:rPr>
        <w:t xml:space="preserve">s </w:t>
      </w:r>
      <w:r>
        <w:rPr>
          <w:sz w:val="22"/>
        </w:rPr>
        <w:t xml:space="preserve">qui se présentent dans les 72 heures suivant un incident de viol sont référées </w:t>
      </w:r>
      <w:r w:rsidRPr="008A5BC4">
        <w:rPr>
          <w:sz w:val="22"/>
        </w:rPr>
        <w:t>pour la PEC médicale ;</w:t>
      </w:r>
    </w:p>
    <w:p w14:paraId="41DE3356" w14:textId="77777777" w:rsidR="001C2F95" w:rsidRPr="008A5BC4" w:rsidRDefault="001C2F95" w:rsidP="002378EA">
      <w:pPr>
        <w:numPr>
          <w:ilvl w:val="0"/>
          <w:numId w:val="29"/>
        </w:numPr>
        <w:autoSpaceDE w:val="0"/>
        <w:autoSpaceDN w:val="0"/>
        <w:adjustRightInd w:val="0"/>
        <w:spacing w:line="240" w:lineRule="auto"/>
        <w:jc w:val="left"/>
        <w:rPr>
          <w:sz w:val="22"/>
        </w:rPr>
      </w:pPr>
      <w:r>
        <w:rPr>
          <w:sz w:val="22"/>
        </w:rPr>
        <w:t>%</w:t>
      </w:r>
      <w:r w:rsidRPr="008A5BC4">
        <w:rPr>
          <w:sz w:val="22"/>
        </w:rPr>
        <w:t xml:space="preserve"> de survivant</w:t>
      </w:r>
      <w:r>
        <w:rPr>
          <w:sz w:val="22"/>
        </w:rPr>
        <w:t>(</w:t>
      </w:r>
      <w:r w:rsidRPr="008A5BC4">
        <w:rPr>
          <w:sz w:val="22"/>
        </w:rPr>
        <w:t>e</w:t>
      </w:r>
      <w:r>
        <w:rPr>
          <w:sz w:val="22"/>
        </w:rPr>
        <w:t>)</w:t>
      </w:r>
      <w:r w:rsidRPr="008A5BC4">
        <w:rPr>
          <w:sz w:val="22"/>
        </w:rPr>
        <w:t xml:space="preserve">s référées pour la </w:t>
      </w:r>
      <w:r>
        <w:rPr>
          <w:sz w:val="22"/>
        </w:rPr>
        <w:t>prise en charge</w:t>
      </w:r>
      <w:r w:rsidRPr="008A5BC4">
        <w:rPr>
          <w:sz w:val="22"/>
        </w:rPr>
        <w:t xml:space="preserve"> psychosociale ;</w:t>
      </w:r>
    </w:p>
    <w:p w14:paraId="04643207" w14:textId="77777777" w:rsidR="001C2F95" w:rsidRDefault="001C2F95" w:rsidP="002378EA">
      <w:pPr>
        <w:numPr>
          <w:ilvl w:val="0"/>
          <w:numId w:val="29"/>
        </w:numPr>
        <w:autoSpaceDE w:val="0"/>
        <w:autoSpaceDN w:val="0"/>
        <w:adjustRightInd w:val="0"/>
        <w:spacing w:line="240" w:lineRule="auto"/>
        <w:jc w:val="left"/>
        <w:rPr>
          <w:sz w:val="22"/>
        </w:rPr>
      </w:pPr>
      <w:r>
        <w:rPr>
          <w:sz w:val="22"/>
        </w:rPr>
        <w:t xml:space="preserve">% </w:t>
      </w:r>
      <w:r w:rsidRPr="008A5BC4">
        <w:rPr>
          <w:sz w:val="22"/>
        </w:rPr>
        <w:t>de survivant</w:t>
      </w:r>
      <w:r>
        <w:rPr>
          <w:sz w:val="22"/>
        </w:rPr>
        <w:t>(e)</w:t>
      </w:r>
      <w:r w:rsidRPr="008A5BC4">
        <w:rPr>
          <w:sz w:val="22"/>
        </w:rPr>
        <w:t xml:space="preserve">s </w:t>
      </w:r>
      <w:r>
        <w:rPr>
          <w:sz w:val="22"/>
        </w:rPr>
        <w:t xml:space="preserve">qui sollicitent un appui juridique sont </w:t>
      </w:r>
      <w:r w:rsidRPr="008A5BC4">
        <w:rPr>
          <w:sz w:val="22"/>
        </w:rPr>
        <w:t xml:space="preserve">référées </w:t>
      </w:r>
      <w:r>
        <w:rPr>
          <w:sz w:val="22"/>
        </w:rPr>
        <w:t>à ces services</w:t>
      </w:r>
      <w:r w:rsidRPr="008A5BC4">
        <w:rPr>
          <w:sz w:val="22"/>
        </w:rPr>
        <w:t> ;</w:t>
      </w:r>
    </w:p>
    <w:p w14:paraId="12DFEA79" w14:textId="77777777" w:rsidR="001C2F95" w:rsidRDefault="001C2F95" w:rsidP="002378EA">
      <w:pPr>
        <w:numPr>
          <w:ilvl w:val="0"/>
          <w:numId w:val="29"/>
        </w:numPr>
        <w:autoSpaceDE w:val="0"/>
        <w:autoSpaceDN w:val="0"/>
        <w:adjustRightInd w:val="0"/>
        <w:spacing w:line="240" w:lineRule="auto"/>
        <w:jc w:val="left"/>
        <w:rPr>
          <w:sz w:val="22"/>
        </w:rPr>
      </w:pPr>
      <w:r>
        <w:rPr>
          <w:sz w:val="22"/>
        </w:rPr>
        <w:t>Nombre de plaintes d’EAS/HS (sans cible) qui sont reçues par le MGP ;</w:t>
      </w:r>
    </w:p>
    <w:p w14:paraId="3332D2B7" w14:textId="77777777" w:rsidR="001C2F95" w:rsidRDefault="001C2F95" w:rsidP="002378EA">
      <w:pPr>
        <w:numPr>
          <w:ilvl w:val="0"/>
          <w:numId w:val="29"/>
        </w:numPr>
        <w:autoSpaceDE w:val="0"/>
        <w:autoSpaceDN w:val="0"/>
        <w:adjustRightInd w:val="0"/>
        <w:spacing w:line="240" w:lineRule="auto"/>
        <w:jc w:val="left"/>
        <w:rPr>
          <w:sz w:val="22"/>
        </w:rPr>
      </w:pPr>
      <w:r>
        <w:rPr>
          <w:sz w:val="22"/>
        </w:rPr>
        <w:t>% de plaintes d’EAS/HS au MGP qui sont résolues dans le délai prévu ;</w:t>
      </w:r>
    </w:p>
    <w:p w14:paraId="3FCA7725" w14:textId="77777777" w:rsidR="001C2F95" w:rsidRDefault="001C2F95" w:rsidP="002378EA">
      <w:pPr>
        <w:numPr>
          <w:ilvl w:val="0"/>
          <w:numId w:val="29"/>
        </w:numPr>
        <w:autoSpaceDE w:val="0"/>
        <w:autoSpaceDN w:val="0"/>
        <w:adjustRightInd w:val="0"/>
        <w:spacing w:line="240" w:lineRule="auto"/>
        <w:jc w:val="left"/>
        <w:rPr>
          <w:sz w:val="22"/>
        </w:rPr>
      </w:pPr>
      <w:r>
        <w:rPr>
          <w:sz w:val="22"/>
        </w:rPr>
        <w:t>% de plaintes d’EAS/HS au MGP qui ne sont pas résolues dans le délai prévu ;</w:t>
      </w:r>
    </w:p>
    <w:p w14:paraId="554996EA" w14:textId="77777777" w:rsidR="001C2F95" w:rsidRPr="008A5BC4" w:rsidRDefault="001C2F95" w:rsidP="002378EA">
      <w:pPr>
        <w:numPr>
          <w:ilvl w:val="0"/>
          <w:numId w:val="29"/>
        </w:numPr>
        <w:autoSpaceDE w:val="0"/>
        <w:autoSpaceDN w:val="0"/>
        <w:adjustRightInd w:val="0"/>
        <w:spacing w:line="240" w:lineRule="auto"/>
        <w:jc w:val="left"/>
        <w:rPr>
          <w:sz w:val="22"/>
        </w:rPr>
      </w:pPr>
      <w:r>
        <w:rPr>
          <w:sz w:val="22"/>
        </w:rPr>
        <w:t>Le délai moyen pour résoudre une plainte d’EAS/HS à travers le MGP ;</w:t>
      </w:r>
    </w:p>
    <w:p w14:paraId="032F6BFF" w14:textId="77777777" w:rsidR="001C2F95" w:rsidRPr="008A5BC4" w:rsidRDefault="001C2F95" w:rsidP="002378EA">
      <w:pPr>
        <w:numPr>
          <w:ilvl w:val="0"/>
          <w:numId w:val="29"/>
        </w:numPr>
        <w:autoSpaceDE w:val="0"/>
        <w:autoSpaceDN w:val="0"/>
        <w:adjustRightInd w:val="0"/>
        <w:spacing w:line="240" w:lineRule="auto"/>
        <w:jc w:val="left"/>
        <w:rPr>
          <w:sz w:val="22"/>
        </w:rPr>
      </w:pPr>
      <w:r w:rsidRPr="008A5BC4">
        <w:rPr>
          <w:sz w:val="22"/>
        </w:rPr>
        <w:t xml:space="preserve">Nombre de </w:t>
      </w:r>
      <w:r w:rsidR="002D0296">
        <w:rPr>
          <w:sz w:val="22"/>
        </w:rPr>
        <w:t xml:space="preserve">campagnes de </w:t>
      </w:r>
      <w:r w:rsidRPr="008A5BC4">
        <w:rPr>
          <w:sz w:val="22"/>
        </w:rPr>
        <w:t>sensibilisation</w:t>
      </w:r>
      <w:r>
        <w:rPr>
          <w:sz w:val="22"/>
        </w:rPr>
        <w:t>s sur les</w:t>
      </w:r>
      <w:r w:rsidRPr="008A5BC4">
        <w:rPr>
          <w:sz w:val="22"/>
        </w:rPr>
        <w:t xml:space="preserve"> VBG</w:t>
      </w:r>
      <w:r>
        <w:rPr>
          <w:sz w:val="22"/>
        </w:rPr>
        <w:t>, les comportements interdits,</w:t>
      </w:r>
      <w:r w:rsidRPr="008A5BC4">
        <w:rPr>
          <w:sz w:val="22"/>
        </w:rPr>
        <w:t xml:space="preserve"> et</w:t>
      </w:r>
      <w:r>
        <w:rPr>
          <w:sz w:val="22"/>
        </w:rPr>
        <w:t xml:space="preserve"> le</w:t>
      </w:r>
      <w:r w:rsidRPr="008A5BC4">
        <w:rPr>
          <w:sz w:val="22"/>
        </w:rPr>
        <w:t xml:space="preserve"> MGP ;</w:t>
      </w:r>
    </w:p>
    <w:p w14:paraId="4D4ED912" w14:textId="77777777" w:rsidR="001C2F95" w:rsidRPr="008A5BC4" w:rsidRDefault="001C2F95" w:rsidP="002378EA">
      <w:pPr>
        <w:numPr>
          <w:ilvl w:val="0"/>
          <w:numId w:val="29"/>
        </w:numPr>
        <w:autoSpaceDE w:val="0"/>
        <w:autoSpaceDN w:val="0"/>
        <w:adjustRightInd w:val="0"/>
        <w:spacing w:line="240" w:lineRule="auto"/>
        <w:jc w:val="left"/>
        <w:rPr>
          <w:sz w:val="22"/>
        </w:rPr>
      </w:pPr>
      <w:r w:rsidRPr="008A5BC4">
        <w:rPr>
          <w:sz w:val="22"/>
        </w:rPr>
        <w:t xml:space="preserve">Nombre de populations ciblées </w:t>
      </w:r>
      <w:r>
        <w:rPr>
          <w:sz w:val="22"/>
        </w:rPr>
        <w:t xml:space="preserve">/ sensibilisées </w:t>
      </w:r>
      <w:r w:rsidRPr="008A5BC4">
        <w:rPr>
          <w:sz w:val="22"/>
        </w:rPr>
        <w:t>ventilées par sexe et par âge.</w:t>
      </w:r>
    </w:p>
    <w:p w14:paraId="64EA73A9" w14:textId="77777777" w:rsidR="001C2F95" w:rsidRPr="008A5BC4" w:rsidRDefault="001C2F95" w:rsidP="001C2F95">
      <w:pPr>
        <w:autoSpaceDE w:val="0"/>
        <w:autoSpaceDN w:val="0"/>
        <w:adjustRightInd w:val="0"/>
        <w:ind w:left="720"/>
        <w:jc w:val="left"/>
        <w:rPr>
          <w:rFonts w:cs="Arial"/>
          <w:sz w:val="22"/>
        </w:rPr>
      </w:pPr>
    </w:p>
    <w:p w14:paraId="11640F5C" w14:textId="77777777" w:rsidR="001C2F95" w:rsidRDefault="001C2F95" w:rsidP="001C2F95">
      <w:pPr>
        <w:spacing w:line="240" w:lineRule="auto"/>
        <w:rPr>
          <w:rFonts w:cs="Arial"/>
          <w:sz w:val="22"/>
        </w:rPr>
      </w:pPr>
      <w:r w:rsidRPr="008A5BC4">
        <w:rPr>
          <w:rFonts w:cs="Arial"/>
          <w:sz w:val="22"/>
        </w:rPr>
        <w:t xml:space="preserve">Outre les aspects ci-dessus évoqués, le tableau ci-dessous énonce les indicateurs spécifiques à suivre. Pour rappel, les mesures environnementales et sociales seront mises en œuvre par les entreprises en charge des travaux qui comprendront des </w:t>
      </w:r>
      <w:r>
        <w:rPr>
          <w:rFonts w:cs="Arial"/>
          <w:sz w:val="22"/>
        </w:rPr>
        <w:t>spécialist</w:t>
      </w:r>
      <w:r w:rsidR="001357AB">
        <w:rPr>
          <w:rFonts w:cs="Arial"/>
          <w:sz w:val="22"/>
        </w:rPr>
        <w:t>e</w:t>
      </w:r>
      <w:r>
        <w:rPr>
          <w:rFonts w:cs="Arial"/>
          <w:sz w:val="22"/>
        </w:rPr>
        <w:t xml:space="preserve">s </w:t>
      </w:r>
      <w:r w:rsidRPr="008A5BC4">
        <w:rPr>
          <w:rFonts w:cs="Arial"/>
          <w:sz w:val="22"/>
        </w:rPr>
        <w:t>environnementa</w:t>
      </w:r>
      <w:r>
        <w:rPr>
          <w:rFonts w:cs="Arial"/>
          <w:sz w:val="22"/>
        </w:rPr>
        <w:t>ux et sociaux</w:t>
      </w:r>
      <w:r w:rsidRPr="008A5BC4">
        <w:rPr>
          <w:rFonts w:cs="Arial"/>
          <w:sz w:val="22"/>
        </w:rPr>
        <w:t xml:space="preserve"> en leur sein</w:t>
      </w:r>
      <w:r>
        <w:rPr>
          <w:rFonts w:cs="Arial"/>
          <w:sz w:val="22"/>
        </w:rPr>
        <w:t>, dont le spécialiste social devrait avoir une expérience dans la programmation de genre et/ou de prévention et réponse aux VBG</w:t>
      </w:r>
      <w:r w:rsidRPr="008A5BC4">
        <w:rPr>
          <w:rFonts w:cs="Arial"/>
          <w:sz w:val="22"/>
        </w:rPr>
        <w:t>.</w:t>
      </w:r>
    </w:p>
    <w:p w14:paraId="46AE04A7" w14:textId="77777777" w:rsidR="001C2F95" w:rsidRDefault="001C2F95" w:rsidP="001C2F95">
      <w:pPr>
        <w:spacing w:line="240" w:lineRule="auto"/>
        <w:rPr>
          <w:rFonts w:cs="Arial"/>
          <w:sz w:val="22"/>
        </w:rPr>
      </w:pPr>
    </w:p>
    <w:p w14:paraId="1CF55868" w14:textId="77777777" w:rsidR="001C2F95" w:rsidRPr="00BE2822" w:rsidRDefault="001C2F95" w:rsidP="001C2F95">
      <w:pPr>
        <w:spacing w:line="240" w:lineRule="auto"/>
        <w:rPr>
          <w:rFonts w:cs="Arial"/>
          <w:sz w:val="22"/>
        </w:rPr>
      </w:pPr>
      <w:bookmarkStart w:id="656" w:name="_Toc70451677"/>
      <w:r w:rsidRPr="00BE2822">
        <w:rPr>
          <w:sz w:val="22"/>
        </w:rPr>
        <w:t>Ta</w:t>
      </w:r>
      <w:r>
        <w:rPr>
          <w:sz w:val="22"/>
        </w:rPr>
        <w:t>b</w:t>
      </w:r>
      <w:r w:rsidRPr="00BE2822">
        <w:rPr>
          <w:sz w:val="22"/>
        </w:rPr>
        <w:t xml:space="preserve">leau </w:t>
      </w:r>
      <w:r w:rsidRPr="00BE2822">
        <w:rPr>
          <w:sz w:val="22"/>
        </w:rPr>
        <w:fldChar w:fldCharType="begin"/>
      </w:r>
      <w:r w:rsidRPr="00BE2822">
        <w:rPr>
          <w:sz w:val="22"/>
        </w:rPr>
        <w:instrText xml:space="preserve"> SEQ Tableau \* ARABIC </w:instrText>
      </w:r>
      <w:r w:rsidRPr="00BE2822">
        <w:rPr>
          <w:sz w:val="22"/>
        </w:rPr>
        <w:fldChar w:fldCharType="separate"/>
      </w:r>
      <w:r w:rsidR="001260B3">
        <w:rPr>
          <w:noProof/>
          <w:sz w:val="22"/>
        </w:rPr>
        <w:t>31</w:t>
      </w:r>
      <w:r w:rsidRPr="00BE2822">
        <w:rPr>
          <w:sz w:val="22"/>
        </w:rPr>
        <w:fldChar w:fldCharType="end"/>
      </w:r>
      <w:r w:rsidRPr="00BE2822">
        <w:rPr>
          <w:rFonts w:cs="Arial"/>
          <w:sz w:val="22"/>
        </w:rPr>
        <w:t>. Indicateurs de suivi</w:t>
      </w:r>
      <w:bookmarkEnd w:id="656"/>
    </w:p>
    <w:p w14:paraId="0B4D4A2D" w14:textId="77777777" w:rsidR="001C2F95" w:rsidRPr="00BE2822" w:rsidRDefault="001C2F95" w:rsidP="00237F3D">
      <w:pPr>
        <w:jc w:val="center"/>
        <w:rPr>
          <w:rFonts w:cs="Arial"/>
          <w:sz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5"/>
        <w:gridCol w:w="3512"/>
        <w:gridCol w:w="3469"/>
      </w:tblGrid>
      <w:tr w:rsidR="001C2F95" w:rsidRPr="00BE2822" w14:paraId="02A98389" w14:textId="77777777" w:rsidTr="00730A4A">
        <w:trPr>
          <w:tblHeader/>
        </w:trPr>
        <w:tc>
          <w:tcPr>
            <w:tcW w:w="2795" w:type="dxa"/>
            <w:shd w:val="clear" w:color="auto" w:fill="auto"/>
          </w:tcPr>
          <w:p w14:paraId="2F236343" w14:textId="77777777" w:rsidR="001C2F95" w:rsidRPr="00730A4A" w:rsidRDefault="001C2F95" w:rsidP="00730A4A">
            <w:pPr>
              <w:pStyle w:val="TableParagraph"/>
              <w:spacing w:line="205" w:lineRule="exact"/>
              <w:ind w:left="407"/>
              <w:rPr>
                <w:sz w:val="10"/>
                <w:szCs w:val="10"/>
                <w:lang w:val="fr-FR"/>
              </w:rPr>
            </w:pPr>
          </w:p>
          <w:p w14:paraId="7BA3BCAE" w14:textId="77777777" w:rsidR="001C2F95" w:rsidRPr="00730A4A" w:rsidRDefault="001C2F95" w:rsidP="00730A4A">
            <w:pPr>
              <w:pStyle w:val="TableParagraph"/>
              <w:spacing w:line="205" w:lineRule="exact"/>
              <w:ind w:left="407"/>
              <w:rPr>
                <w:szCs w:val="20"/>
                <w:lang w:val="fr-FR"/>
              </w:rPr>
            </w:pPr>
            <w:r w:rsidRPr="00730A4A">
              <w:rPr>
                <w:szCs w:val="20"/>
                <w:lang w:val="fr-FR"/>
              </w:rPr>
              <w:t>Composantes</w:t>
            </w:r>
          </w:p>
          <w:p w14:paraId="538A5A04" w14:textId="77777777" w:rsidR="001C2F95" w:rsidRPr="00730A4A" w:rsidRDefault="001C2F95" w:rsidP="00730A4A">
            <w:pPr>
              <w:pStyle w:val="TableParagraph"/>
              <w:spacing w:line="205" w:lineRule="exact"/>
              <w:ind w:left="407"/>
              <w:rPr>
                <w:sz w:val="10"/>
                <w:szCs w:val="10"/>
                <w:lang w:val="fr-FR"/>
              </w:rPr>
            </w:pPr>
          </w:p>
        </w:tc>
        <w:tc>
          <w:tcPr>
            <w:tcW w:w="3512" w:type="dxa"/>
            <w:shd w:val="clear" w:color="auto" w:fill="auto"/>
          </w:tcPr>
          <w:p w14:paraId="7DAC4090" w14:textId="77777777" w:rsidR="001C2F95" w:rsidRPr="00730A4A" w:rsidRDefault="001C2F95" w:rsidP="00730A4A">
            <w:pPr>
              <w:pStyle w:val="TableParagraph"/>
              <w:spacing w:line="205" w:lineRule="exact"/>
              <w:ind w:left="1224" w:right="1216"/>
              <w:jc w:val="center"/>
              <w:rPr>
                <w:sz w:val="10"/>
                <w:szCs w:val="10"/>
                <w:lang w:val="fr-FR"/>
              </w:rPr>
            </w:pPr>
          </w:p>
          <w:p w14:paraId="5435D0D8" w14:textId="77777777" w:rsidR="001C2F95" w:rsidRPr="00730A4A" w:rsidRDefault="001C2F95" w:rsidP="00730A4A">
            <w:pPr>
              <w:pStyle w:val="TableParagraph"/>
              <w:spacing w:line="205" w:lineRule="exact"/>
              <w:ind w:left="1224" w:right="1216"/>
              <w:jc w:val="center"/>
              <w:rPr>
                <w:szCs w:val="20"/>
                <w:lang w:val="fr-FR"/>
              </w:rPr>
            </w:pPr>
            <w:r w:rsidRPr="00730A4A">
              <w:rPr>
                <w:szCs w:val="20"/>
                <w:lang w:val="fr-FR"/>
              </w:rPr>
              <w:t>Objectifs</w:t>
            </w:r>
          </w:p>
          <w:p w14:paraId="2F99C41D" w14:textId="77777777" w:rsidR="001C2F95" w:rsidRPr="00730A4A" w:rsidRDefault="001C2F95" w:rsidP="00730A4A">
            <w:pPr>
              <w:pStyle w:val="TableParagraph"/>
              <w:spacing w:line="205" w:lineRule="exact"/>
              <w:ind w:left="1224" w:right="1216"/>
              <w:jc w:val="center"/>
              <w:rPr>
                <w:sz w:val="10"/>
                <w:szCs w:val="10"/>
                <w:lang w:val="fr-FR"/>
              </w:rPr>
            </w:pPr>
          </w:p>
        </w:tc>
        <w:tc>
          <w:tcPr>
            <w:tcW w:w="3469" w:type="dxa"/>
            <w:shd w:val="clear" w:color="auto" w:fill="auto"/>
          </w:tcPr>
          <w:p w14:paraId="3905579D" w14:textId="77777777" w:rsidR="001C2F95" w:rsidRPr="00730A4A" w:rsidRDefault="001C2F95" w:rsidP="00730A4A">
            <w:pPr>
              <w:pStyle w:val="TableParagraph"/>
              <w:spacing w:line="205" w:lineRule="exact"/>
              <w:ind w:left="1167" w:hanging="1167"/>
              <w:rPr>
                <w:sz w:val="10"/>
                <w:szCs w:val="10"/>
                <w:lang w:val="fr-FR"/>
              </w:rPr>
            </w:pPr>
          </w:p>
          <w:p w14:paraId="1CFEFC07" w14:textId="77777777" w:rsidR="001C2F95" w:rsidRPr="00730A4A" w:rsidRDefault="001C2F95" w:rsidP="00730A4A">
            <w:pPr>
              <w:pStyle w:val="TableParagraph"/>
              <w:spacing w:line="205" w:lineRule="exact"/>
              <w:ind w:left="1167" w:hanging="1167"/>
              <w:jc w:val="center"/>
              <w:rPr>
                <w:szCs w:val="20"/>
                <w:lang w:val="fr-FR"/>
              </w:rPr>
            </w:pPr>
            <w:r w:rsidRPr="00730A4A">
              <w:rPr>
                <w:szCs w:val="20"/>
                <w:lang w:val="fr-FR"/>
              </w:rPr>
              <w:t>Indicateurs de suivi</w:t>
            </w:r>
          </w:p>
          <w:p w14:paraId="7D1751C9" w14:textId="77777777" w:rsidR="001C2F95" w:rsidRPr="00730A4A" w:rsidRDefault="001C2F95" w:rsidP="00730A4A">
            <w:pPr>
              <w:pStyle w:val="TableParagraph"/>
              <w:spacing w:line="205" w:lineRule="exact"/>
              <w:ind w:left="1167" w:hanging="1167"/>
              <w:rPr>
                <w:sz w:val="10"/>
                <w:szCs w:val="10"/>
                <w:lang w:val="fr-FR"/>
              </w:rPr>
            </w:pPr>
          </w:p>
        </w:tc>
      </w:tr>
      <w:tr w:rsidR="001C2F95" w:rsidRPr="00BE2822" w14:paraId="15C6246F" w14:textId="77777777" w:rsidTr="00730A4A">
        <w:tc>
          <w:tcPr>
            <w:tcW w:w="2795" w:type="dxa"/>
            <w:shd w:val="clear" w:color="auto" w:fill="auto"/>
          </w:tcPr>
          <w:p w14:paraId="3C27C775" w14:textId="77777777" w:rsidR="001C2F95" w:rsidRPr="00730A4A" w:rsidRDefault="001C2F95" w:rsidP="00730A4A">
            <w:pPr>
              <w:pStyle w:val="TableParagraph"/>
              <w:spacing w:line="216" w:lineRule="exact"/>
              <w:rPr>
                <w:szCs w:val="20"/>
                <w:lang w:val="fr-FR"/>
              </w:rPr>
            </w:pPr>
            <w:r w:rsidRPr="00730A4A">
              <w:rPr>
                <w:szCs w:val="20"/>
                <w:lang w:val="fr-FR"/>
              </w:rPr>
              <w:t>Qualité de l’air</w:t>
            </w:r>
          </w:p>
        </w:tc>
        <w:tc>
          <w:tcPr>
            <w:tcW w:w="3512" w:type="dxa"/>
            <w:shd w:val="clear" w:color="auto" w:fill="auto"/>
          </w:tcPr>
          <w:p w14:paraId="5D1B9F2F" w14:textId="77777777" w:rsidR="001C2F95" w:rsidRPr="00730A4A" w:rsidRDefault="001C2F95" w:rsidP="00730A4A">
            <w:pPr>
              <w:pStyle w:val="TableParagraph"/>
              <w:spacing w:line="232" w:lineRule="auto"/>
              <w:ind w:left="108"/>
              <w:rPr>
                <w:szCs w:val="20"/>
                <w:lang w:val="fr-FR"/>
              </w:rPr>
            </w:pPr>
            <w:r w:rsidRPr="00730A4A">
              <w:rPr>
                <w:szCs w:val="20"/>
                <w:lang w:val="fr-FR"/>
              </w:rPr>
              <w:t>Minimiser</w:t>
            </w:r>
            <w:r w:rsidRPr="00730A4A">
              <w:rPr>
                <w:spacing w:val="-33"/>
                <w:szCs w:val="20"/>
                <w:lang w:val="fr-FR"/>
              </w:rPr>
              <w:t xml:space="preserve"> </w:t>
            </w:r>
            <w:r w:rsidRPr="00730A4A">
              <w:rPr>
                <w:szCs w:val="20"/>
                <w:lang w:val="fr-FR"/>
              </w:rPr>
              <w:t>les</w:t>
            </w:r>
            <w:r w:rsidRPr="00730A4A">
              <w:rPr>
                <w:spacing w:val="-32"/>
                <w:szCs w:val="20"/>
                <w:lang w:val="fr-FR"/>
              </w:rPr>
              <w:t xml:space="preserve"> </w:t>
            </w:r>
            <w:r w:rsidRPr="00730A4A">
              <w:rPr>
                <w:szCs w:val="20"/>
                <w:lang w:val="fr-FR"/>
              </w:rPr>
              <w:t>sources</w:t>
            </w:r>
            <w:r w:rsidRPr="00730A4A">
              <w:rPr>
                <w:spacing w:val="-33"/>
                <w:szCs w:val="20"/>
                <w:lang w:val="fr-FR"/>
              </w:rPr>
              <w:t xml:space="preserve"> </w:t>
            </w:r>
            <w:r w:rsidRPr="00730A4A">
              <w:rPr>
                <w:szCs w:val="20"/>
                <w:lang w:val="fr-FR"/>
              </w:rPr>
              <w:t>de</w:t>
            </w:r>
            <w:r w:rsidRPr="00730A4A">
              <w:rPr>
                <w:spacing w:val="-32"/>
                <w:szCs w:val="20"/>
                <w:lang w:val="fr-FR"/>
              </w:rPr>
              <w:t xml:space="preserve"> </w:t>
            </w:r>
            <w:r w:rsidRPr="00730A4A">
              <w:rPr>
                <w:szCs w:val="20"/>
                <w:lang w:val="fr-FR"/>
              </w:rPr>
              <w:t>détérioration de la qualité de</w:t>
            </w:r>
            <w:r w:rsidRPr="00730A4A">
              <w:rPr>
                <w:spacing w:val="-13"/>
                <w:szCs w:val="20"/>
                <w:lang w:val="fr-FR"/>
              </w:rPr>
              <w:t xml:space="preserve"> </w:t>
            </w:r>
            <w:r w:rsidRPr="00730A4A">
              <w:rPr>
                <w:szCs w:val="20"/>
                <w:lang w:val="fr-FR"/>
              </w:rPr>
              <w:t>l’air.</w:t>
            </w:r>
          </w:p>
        </w:tc>
        <w:tc>
          <w:tcPr>
            <w:tcW w:w="3469" w:type="dxa"/>
            <w:shd w:val="clear" w:color="auto" w:fill="auto"/>
          </w:tcPr>
          <w:p w14:paraId="07B6AA17" w14:textId="77777777" w:rsidR="001C2F95" w:rsidRPr="00730A4A" w:rsidRDefault="001C2F95" w:rsidP="00730A4A">
            <w:pPr>
              <w:pStyle w:val="TableParagraph"/>
              <w:numPr>
                <w:ilvl w:val="0"/>
                <w:numId w:val="93"/>
              </w:numPr>
              <w:tabs>
                <w:tab w:val="left" w:pos="668"/>
              </w:tabs>
              <w:autoSpaceDE w:val="0"/>
              <w:autoSpaceDN w:val="0"/>
              <w:spacing w:line="232" w:lineRule="auto"/>
              <w:ind w:left="243" w:right="34"/>
              <w:rPr>
                <w:szCs w:val="20"/>
                <w:lang w:val="fr-FR"/>
              </w:rPr>
            </w:pPr>
            <w:r w:rsidRPr="00730A4A">
              <w:rPr>
                <w:szCs w:val="20"/>
                <w:lang w:val="fr-FR"/>
              </w:rPr>
              <w:t>Les sources de pollution sont munies de dispositifs anti-pollution ;</w:t>
            </w:r>
          </w:p>
          <w:p w14:paraId="05A7E9EF" w14:textId="77777777" w:rsidR="001C2F95" w:rsidRPr="00730A4A" w:rsidRDefault="001C2F95" w:rsidP="00730A4A">
            <w:pPr>
              <w:pStyle w:val="TableParagraph"/>
              <w:numPr>
                <w:ilvl w:val="0"/>
                <w:numId w:val="93"/>
              </w:numPr>
              <w:tabs>
                <w:tab w:val="left" w:pos="668"/>
              </w:tabs>
              <w:autoSpaceDE w:val="0"/>
              <w:autoSpaceDN w:val="0"/>
              <w:spacing w:line="232" w:lineRule="auto"/>
              <w:ind w:left="243" w:right="34"/>
              <w:rPr>
                <w:szCs w:val="20"/>
                <w:lang w:val="fr-FR"/>
              </w:rPr>
            </w:pPr>
            <w:r w:rsidRPr="00730A4A">
              <w:rPr>
                <w:szCs w:val="20"/>
                <w:lang w:val="fr-FR"/>
              </w:rPr>
              <w:t>Le brûlage des produits de débroussaillage est soumis à autorisation du maître d’œuvre du chantier.</w:t>
            </w:r>
          </w:p>
        </w:tc>
      </w:tr>
      <w:tr w:rsidR="001C2F95" w:rsidRPr="00BE2822" w14:paraId="4983C05F" w14:textId="77777777" w:rsidTr="00730A4A">
        <w:tc>
          <w:tcPr>
            <w:tcW w:w="2795" w:type="dxa"/>
            <w:vMerge w:val="restart"/>
            <w:shd w:val="clear" w:color="auto" w:fill="auto"/>
          </w:tcPr>
          <w:p w14:paraId="6D70690C" w14:textId="77777777" w:rsidR="001C2F95" w:rsidRPr="00730A4A" w:rsidRDefault="001C2F95" w:rsidP="00730A4A">
            <w:pPr>
              <w:pStyle w:val="TableParagraph"/>
              <w:spacing w:line="216" w:lineRule="exact"/>
              <w:rPr>
                <w:szCs w:val="20"/>
              </w:rPr>
            </w:pPr>
            <w:r w:rsidRPr="00730A4A">
              <w:rPr>
                <w:szCs w:val="20"/>
              </w:rPr>
              <w:t>Qualité de l’eau</w:t>
            </w:r>
          </w:p>
        </w:tc>
        <w:tc>
          <w:tcPr>
            <w:tcW w:w="3512" w:type="dxa"/>
            <w:shd w:val="clear" w:color="auto" w:fill="auto"/>
          </w:tcPr>
          <w:p w14:paraId="0C7AF071" w14:textId="77777777" w:rsidR="001C2F95" w:rsidRPr="00730A4A" w:rsidRDefault="001C2F95" w:rsidP="00730A4A">
            <w:pPr>
              <w:pStyle w:val="TableParagraph"/>
              <w:spacing w:before="32" w:line="232" w:lineRule="auto"/>
              <w:ind w:left="108"/>
              <w:rPr>
                <w:szCs w:val="20"/>
                <w:lang w:val="fr-FR"/>
              </w:rPr>
            </w:pPr>
            <w:r w:rsidRPr="00730A4A">
              <w:rPr>
                <w:szCs w:val="20"/>
                <w:lang w:val="fr-FR"/>
              </w:rPr>
              <w:t>Minimiser les risques d’augmenter la turbidité des eaux.</w:t>
            </w:r>
          </w:p>
        </w:tc>
        <w:tc>
          <w:tcPr>
            <w:tcW w:w="3469" w:type="dxa"/>
            <w:shd w:val="clear" w:color="auto" w:fill="auto"/>
          </w:tcPr>
          <w:p w14:paraId="6366D4EC"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mesures de contrôle de l’érosion sont appliquées ;</w:t>
            </w:r>
          </w:p>
          <w:p w14:paraId="7B035293" w14:textId="77777777" w:rsidR="001C2F95" w:rsidRPr="00730A4A" w:rsidRDefault="001C2F95" w:rsidP="00730A4A">
            <w:pPr>
              <w:pStyle w:val="TableParagraph"/>
              <w:numPr>
                <w:ilvl w:val="0"/>
                <w:numId w:val="93"/>
              </w:numPr>
              <w:tabs>
                <w:tab w:val="left" w:pos="668"/>
              </w:tabs>
              <w:autoSpaceDE w:val="0"/>
              <w:autoSpaceDN w:val="0"/>
              <w:spacing w:before="39" w:line="235" w:lineRule="auto"/>
              <w:ind w:left="243" w:right="34"/>
              <w:rPr>
                <w:szCs w:val="20"/>
                <w:lang w:val="fr-FR"/>
              </w:rPr>
            </w:pPr>
            <w:r w:rsidRPr="00730A4A">
              <w:rPr>
                <w:szCs w:val="20"/>
                <w:lang w:val="fr-FR"/>
              </w:rPr>
              <w:t>Les limites de sécurité pour la protection des plans d’eau sont respectées.</w:t>
            </w:r>
          </w:p>
        </w:tc>
      </w:tr>
      <w:tr w:rsidR="001C2F95" w:rsidRPr="00BE2822" w14:paraId="71BBE5CF" w14:textId="77777777" w:rsidTr="00730A4A">
        <w:tc>
          <w:tcPr>
            <w:tcW w:w="2795" w:type="dxa"/>
            <w:vMerge/>
            <w:shd w:val="clear" w:color="auto" w:fill="auto"/>
          </w:tcPr>
          <w:p w14:paraId="5E77D6CC" w14:textId="77777777" w:rsidR="001C2F95" w:rsidRPr="00730A4A" w:rsidRDefault="001C2F95" w:rsidP="00971FD2">
            <w:pPr>
              <w:rPr>
                <w:sz w:val="22"/>
                <w:szCs w:val="20"/>
              </w:rPr>
            </w:pPr>
          </w:p>
        </w:tc>
        <w:tc>
          <w:tcPr>
            <w:tcW w:w="3512" w:type="dxa"/>
            <w:shd w:val="clear" w:color="auto" w:fill="auto"/>
          </w:tcPr>
          <w:p w14:paraId="36784B98" w14:textId="77777777" w:rsidR="001C2F95" w:rsidRPr="00730A4A" w:rsidRDefault="001C2F95" w:rsidP="00730A4A">
            <w:pPr>
              <w:pStyle w:val="TableParagraph"/>
              <w:spacing w:line="232" w:lineRule="auto"/>
              <w:ind w:left="108"/>
              <w:rPr>
                <w:szCs w:val="20"/>
                <w:lang w:val="fr-FR"/>
              </w:rPr>
            </w:pPr>
            <w:r w:rsidRPr="00730A4A">
              <w:rPr>
                <w:szCs w:val="20"/>
                <w:lang w:val="fr-FR"/>
              </w:rPr>
              <w:t>Réduire</w:t>
            </w:r>
            <w:r w:rsidRPr="00730A4A">
              <w:rPr>
                <w:spacing w:val="-29"/>
                <w:szCs w:val="20"/>
                <w:lang w:val="fr-FR"/>
              </w:rPr>
              <w:t xml:space="preserve"> </w:t>
            </w:r>
            <w:r w:rsidRPr="00730A4A">
              <w:rPr>
                <w:szCs w:val="20"/>
                <w:lang w:val="fr-FR"/>
              </w:rPr>
              <w:t>les</w:t>
            </w:r>
            <w:r w:rsidRPr="00730A4A">
              <w:rPr>
                <w:spacing w:val="-30"/>
                <w:szCs w:val="20"/>
                <w:lang w:val="fr-FR"/>
              </w:rPr>
              <w:t xml:space="preserve"> </w:t>
            </w:r>
            <w:r w:rsidRPr="00730A4A">
              <w:rPr>
                <w:szCs w:val="20"/>
                <w:lang w:val="fr-FR"/>
              </w:rPr>
              <w:t>risques</w:t>
            </w:r>
            <w:r w:rsidRPr="00730A4A">
              <w:rPr>
                <w:spacing w:val="-30"/>
                <w:szCs w:val="20"/>
                <w:lang w:val="fr-FR"/>
              </w:rPr>
              <w:t xml:space="preserve"> </w:t>
            </w:r>
            <w:r w:rsidRPr="00730A4A">
              <w:rPr>
                <w:szCs w:val="20"/>
                <w:lang w:val="fr-FR"/>
              </w:rPr>
              <w:t>de</w:t>
            </w:r>
            <w:r w:rsidRPr="00730A4A">
              <w:rPr>
                <w:spacing w:val="-30"/>
                <w:szCs w:val="20"/>
                <w:lang w:val="fr-FR"/>
              </w:rPr>
              <w:t xml:space="preserve"> </w:t>
            </w:r>
            <w:r w:rsidRPr="00730A4A">
              <w:rPr>
                <w:szCs w:val="20"/>
                <w:lang w:val="fr-FR"/>
              </w:rPr>
              <w:t>déversements accidentels</w:t>
            </w:r>
            <w:r w:rsidRPr="00730A4A">
              <w:rPr>
                <w:spacing w:val="-26"/>
                <w:szCs w:val="20"/>
                <w:lang w:val="fr-FR"/>
              </w:rPr>
              <w:t xml:space="preserve"> </w:t>
            </w:r>
            <w:r w:rsidRPr="00730A4A">
              <w:rPr>
                <w:szCs w:val="20"/>
                <w:lang w:val="fr-FR"/>
              </w:rPr>
              <w:t>des</w:t>
            </w:r>
            <w:r w:rsidRPr="00730A4A">
              <w:rPr>
                <w:spacing w:val="-26"/>
                <w:szCs w:val="20"/>
                <w:lang w:val="fr-FR"/>
              </w:rPr>
              <w:t xml:space="preserve"> </w:t>
            </w:r>
            <w:r w:rsidRPr="00730A4A">
              <w:rPr>
                <w:szCs w:val="20"/>
                <w:lang w:val="fr-FR"/>
              </w:rPr>
              <w:t>produits</w:t>
            </w:r>
            <w:r w:rsidRPr="00730A4A">
              <w:rPr>
                <w:spacing w:val="-26"/>
                <w:szCs w:val="20"/>
                <w:lang w:val="fr-FR"/>
              </w:rPr>
              <w:t xml:space="preserve"> </w:t>
            </w:r>
            <w:r w:rsidRPr="00730A4A">
              <w:rPr>
                <w:szCs w:val="20"/>
                <w:lang w:val="fr-FR"/>
              </w:rPr>
              <w:t>polluants</w:t>
            </w:r>
            <w:r w:rsidRPr="00730A4A">
              <w:rPr>
                <w:spacing w:val="-25"/>
                <w:szCs w:val="20"/>
                <w:lang w:val="fr-FR"/>
              </w:rPr>
              <w:t xml:space="preserve"> </w:t>
            </w:r>
            <w:r w:rsidRPr="00730A4A">
              <w:rPr>
                <w:szCs w:val="20"/>
                <w:lang w:val="fr-FR"/>
              </w:rPr>
              <w:t>et</w:t>
            </w:r>
          </w:p>
          <w:p w14:paraId="3FF8C6E2" w14:textId="77777777" w:rsidR="001C2F95" w:rsidRPr="00730A4A" w:rsidRDefault="001C2F95" w:rsidP="00730A4A">
            <w:pPr>
              <w:pStyle w:val="TableParagraph"/>
              <w:spacing w:line="227" w:lineRule="exact"/>
              <w:ind w:left="108"/>
              <w:rPr>
                <w:szCs w:val="20"/>
                <w:lang w:val="fr-FR"/>
              </w:rPr>
            </w:pPr>
            <w:r w:rsidRPr="00730A4A">
              <w:rPr>
                <w:szCs w:val="20"/>
                <w:lang w:val="fr-FR"/>
              </w:rPr>
              <w:t>réagir efficacement le cas échéant.</w:t>
            </w:r>
          </w:p>
        </w:tc>
        <w:tc>
          <w:tcPr>
            <w:tcW w:w="3469" w:type="dxa"/>
            <w:shd w:val="clear" w:color="auto" w:fill="auto"/>
          </w:tcPr>
          <w:p w14:paraId="45F29C93"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substances polluantes sont entreposées et utilisées dans les aires prévues à cet effet ;</w:t>
            </w:r>
          </w:p>
          <w:p w14:paraId="076D9064"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 plan de mise en œuvre du plan d’urgence a été élaboré ;</w:t>
            </w:r>
          </w:p>
          <w:p w14:paraId="11490FC4"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véhicules, les emballages des produits polluants sont exempts de fuites ;</w:t>
            </w:r>
          </w:p>
          <w:p w14:paraId="3AEE97F6"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employés ont reçu une formation efficace sur la récupération des contaminants ;</w:t>
            </w:r>
          </w:p>
          <w:p w14:paraId="6E489653"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employés ont réagi avec efficacité lors de la simulation du plan d’urgence.</w:t>
            </w:r>
          </w:p>
        </w:tc>
      </w:tr>
      <w:tr w:rsidR="001C2F95" w:rsidRPr="00BE2822" w14:paraId="43E8D1B3" w14:textId="77777777" w:rsidTr="00730A4A">
        <w:tc>
          <w:tcPr>
            <w:tcW w:w="2795" w:type="dxa"/>
            <w:shd w:val="clear" w:color="auto" w:fill="auto"/>
          </w:tcPr>
          <w:p w14:paraId="506C398C" w14:textId="77777777" w:rsidR="001C2F95" w:rsidRPr="00730A4A" w:rsidRDefault="001C2F95" w:rsidP="00730A4A">
            <w:pPr>
              <w:pStyle w:val="TableParagraph"/>
              <w:spacing w:line="213" w:lineRule="exact"/>
              <w:rPr>
                <w:szCs w:val="20"/>
              </w:rPr>
            </w:pPr>
            <w:r w:rsidRPr="00730A4A">
              <w:rPr>
                <w:szCs w:val="20"/>
              </w:rPr>
              <w:t>Régime hydrologique</w:t>
            </w:r>
          </w:p>
        </w:tc>
        <w:tc>
          <w:tcPr>
            <w:tcW w:w="3512" w:type="dxa"/>
            <w:shd w:val="clear" w:color="auto" w:fill="auto"/>
          </w:tcPr>
          <w:p w14:paraId="62E899BB" w14:textId="77777777" w:rsidR="001C2F95" w:rsidRPr="00730A4A" w:rsidRDefault="001C2F95" w:rsidP="00730A4A">
            <w:pPr>
              <w:pStyle w:val="TableParagraph"/>
              <w:spacing w:before="28" w:line="235" w:lineRule="auto"/>
              <w:ind w:left="108"/>
              <w:jc w:val="both"/>
              <w:rPr>
                <w:szCs w:val="20"/>
                <w:lang w:val="fr-FR"/>
              </w:rPr>
            </w:pPr>
            <w:r w:rsidRPr="00730A4A">
              <w:rPr>
                <w:szCs w:val="20"/>
                <w:lang w:val="fr-FR"/>
              </w:rPr>
              <w:t>Éviter</w:t>
            </w:r>
            <w:r w:rsidRPr="00730A4A">
              <w:rPr>
                <w:spacing w:val="-18"/>
                <w:szCs w:val="20"/>
                <w:lang w:val="fr-FR"/>
              </w:rPr>
              <w:t xml:space="preserve"> </w:t>
            </w:r>
            <w:r w:rsidRPr="00730A4A">
              <w:rPr>
                <w:szCs w:val="20"/>
                <w:lang w:val="fr-FR"/>
              </w:rPr>
              <w:t>de</w:t>
            </w:r>
            <w:r w:rsidRPr="00730A4A">
              <w:rPr>
                <w:spacing w:val="-18"/>
                <w:szCs w:val="20"/>
                <w:lang w:val="fr-FR"/>
              </w:rPr>
              <w:t xml:space="preserve"> </w:t>
            </w:r>
            <w:r w:rsidRPr="00730A4A">
              <w:rPr>
                <w:szCs w:val="20"/>
                <w:lang w:val="fr-FR"/>
              </w:rPr>
              <w:t>perturber</w:t>
            </w:r>
            <w:r w:rsidRPr="00730A4A">
              <w:rPr>
                <w:spacing w:val="-18"/>
                <w:szCs w:val="20"/>
                <w:lang w:val="fr-FR"/>
              </w:rPr>
              <w:t xml:space="preserve"> </w:t>
            </w:r>
            <w:r w:rsidRPr="00730A4A">
              <w:rPr>
                <w:szCs w:val="20"/>
                <w:lang w:val="fr-FR"/>
              </w:rPr>
              <w:t>le</w:t>
            </w:r>
            <w:r w:rsidRPr="00730A4A">
              <w:rPr>
                <w:spacing w:val="-17"/>
                <w:szCs w:val="20"/>
                <w:lang w:val="fr-FR"/>
              </w:rPr>
              <w:t xml:space="preserve"> </w:t>
            </w:r>
            <w:r w:rsidRPr="00730A4A">
              <w:rPr>
                <w:szCs w:val="20"/>
                <w:lang w:val="fr-FR"/>
              </w:rPr>
              <w:t>ruissellement</w:t>
            </w:r>
            <w:r w:rsidRPr="00730A4A">
              <w:rPr>
                <w:spacing w:val="-19"/>
                <w:szCs w:val="20"/>
                <w:lang w:val="fr-FR"/>
              </w:rPr>
              <w:t xml:space="preserve"> </w:t>
            </w:r>
            <w:r w:rsidRPr="00730A4A">
              <w:rPr>
                <w:szCs w:val="20"/>
                <w:lang w:val="fr-FR"/>
              </w:rPr>
              <w:t>et le</w:t>
            </w:r>
            <w:r w:rsidRPr="00730A4A">
              <w:rPr>
                <w:spacing w:val="-24"/>
                <w:szCs w:val="20"/>
                <w:lang w:val="fr-FR"/>
              </w:rPr>
              <w:t xml:space="preserve"> </w:t>
            </w:r>
            <w:r w:rsidRPr="00730A4A">
              <w:rPr>
                <w:szCs w:val="20"/>
                <w:lang w:val="fr-FR"/>
              </w:rPr>
              <w:t>drainage</w:t>
            </w:r>
            <w:r w:rsidRPr="00730A4A">
              <w:rPr>
                <w:spacing w:val="-23"/>
                <w:szCs w:val="20"/>
                <w:lang w:val="fr-FR"/>
              </w:rPr>
              <w:t xml:space="preserve"> </w:t>
            </w:r>
            <w:r w:rsidRPr="00730A4A">
              <w:rPr>
                <w:szCs w:val="20"/>
                <w:lang w:val="fr-FR"/>
              </w:rPr>
              <w:t>naturel</w:t>
            </w:r>
            <w:r w:rsidRPr="00730A4A">
              <w:rPr>
                <w:spacing w:val="-25"/>
                <w:szCs w:val="20"/>
                <w:lang w:val="fr-FR"/>
              </w:rPr>
              <w:t xml:space="preserve"> </w:t>
            </w:r>
            <w:r w:rsidRPr="00730A4A">
              <w:rPr>
                <w:szCs w:val="20"/>
                <w:lang w:val="fr-FR"/>
              </w:rPr>
              <w:t>des</w:t>
            </w:r>
            <w:r w:rsidRPr="00730A4A">
              <w:rPr>
                <w:spacing w:val="-24"/>
                <w:szCs w:val="20"/>
                <w:lang w:val="fr-FR"/>
              </w:rPr>
              <w:t xml:space="preserve"> </w:t>
            </w:r>
            <w:r w:rsidRPr="00730A4A">
              <w:rPr>
                <w:szCs w:val="20"/>
                <w:lang w:val="fr-FR"/>
              </w:rPr>
              <w:t>eaux</w:t>
            </w:r>
            <w:r w:rsidRPr="00730A4A">
              <w:rPr>
                <w:spacing w:val="-25"/>
                <w:szCs w:val="20"/>
                <w:lang w:val="fr-FR"/>
              </w:rPr>
              <w:t xml:space="preserve"> </w:t>
            </w:r>
            <w:r w:rsidRPr="00730A4A">
              <w:rPr>
                <w:szCs w:val="20"/>
                <w:lang w:val="fr-FR"/>
              </w:rPr>
              <w:t>de</w:t>
            </w:r>
            <w:r w:rsidRPr="00730A4A">
              <w:rPr>
                <w:spacing w:val="-26"/>
                <w:szCs w:val="20"/>
                <w:lang w:val="fr-FR"/>
              </w:rPr>
              <w:t xml:space="preserve"> </w:t>
            </w:r>
            <w:r w:rsidRPr="00730A4A">
              <w:rPr>
                <w:szCs w:val="20"/>
                <w:lang w:val="fr-FR"/>
              </w:rPr>
              <w:t>surface sur les sites des</w:t>
            </w:r>
            <w:r w:rsidRPr="00730A4A">
              <w:rPr>
                <w:spacing w:val="-16"/>
                <w:szCs w:val="20"/>
                <w:lang w:val="fr-FR"/>
              </w:rPr>
              <w:t xml:space="preserve"> </w:t>
            </w:r>
            <w:r w:rsidRPr="00730A4A">
              <w:rPr>
                <w:szCs w:val="20"/>
                <w:lang w:val="fr-FR"/>
              </w:rPr>
              <w:t>travaux.</w:t>
            </w:r>
          </w:p>
        </w:tc>
        <w:tc>
          <w:tcPr>
            <w:tcW w:w="3469" w:type="dxa"/>
            <w:shd w:val="clear" w:color="auto" w:fill="auto"/>
          </w:tcPr>
          <w:p w14:paraId="105E8E07"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En période des pluies, les travaux effectués ne visent pas le remaniement des sols ;</w:t>
            </w:r>
          </w:p>
          <w:p w14:paraId="167B5606"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mesures de protection du drainage naturel et de captage des eaux de ruissellement appliquées sont efficaces ;</w:t>
            </w:r>
          </w:p>
          <w:p w14:paraId="149FCF7E"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cours d’eau sont exempts de débris et ne sont pas obstrués ;</w:t>
            </w:r>
          </w:p>
          <w:p w14:paraId="51E7C7CD"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L’écoulement normal des cours d’eau a été rétabli à la fin des travaux.</w:t>
            </w:r>
          </w:p>
        </w:tc>
      </w:tr>
      <w:tr w:rsidR="001C2F95" w:rsidRPr="00BE2822" w14:paraId="24EFF571" w14:textId="77777777" w:rsidTr="00730A4A">
        <w:tc>
          <w:tcPr>
            <w:tcW w:w="2795" w:type="dxa"/>
            <w:vMerge w:val="restart"/>
            <w:shd w:val="clear" w:color="auto" w:fill="auto"/>
          </w:tcPr>
          <w:p w14:paraId="55C18BC7" w14:textId="77777777" w:rsidR="001C2F95" w:rsidRPr="00730A4A" w:rsidRDefault="001C2F95" w:rsidP="00730A4A">
            <w:pPr>
              <w:pStyle w:val="TableParagraph"/>
              <w:spacing w:line="213" w:lineRule="exact"/>
              <w:rPr>
                <w:szCs w:val="20"/>
              </w:rPr>
            </w:pPr>
            <w:r w:rsidRPr="00730A4A">
              <w:rPr>
                <w:szCs w:val="20"/>
              </w:rPr>
              <w:t>Qualité des sols</w:t>
            </w:r>
          </w:p>
        </w:tc>
        <w:tc>
          <w:tcPr>
            <w:tcW w:w="3512" w:type="dxa"/>
            <w:shd w:val="clear" w:color="auto" w:fill="auto"/>
          </w:tcPr>
          <w:p w14:paraId="7D1C43A1" w14:textId="77777777" w:rsidR="001C2F95" w:rsidRPr="00730A4A" w:rsidRDefault="001C2F95" w:rsidP="00730A4A">
            <w:pPr>
              <w:pStyle w:val="TableParagraph"/>
              <w:spacing w:before="30" w:line="232" w:lineRule="auto"/>
              <w:ind w:left="108"/>
              <w:rPr>
                <w:szCs w:val="20"/>
                <w:lang w:val="fr-FR"/>
              </w:rPr>
            </w:pPr>
            <w:r w:rsidRPr="00730A4A">
              <w:rPr>
                <w:szCs w:val="20"/>
                <w:lang w:val="fr-FR"/>
              </w:rPr>
              <w:t>Minimiser</w:t>
            </w:r>
            <w:r w:rsidRPr="00730A4A">
              <w:rPr>
                <w:spacing w:val="-32"/>
                <w:szCs w:val="20"/>
                <w:lang w:val="fr-FR"/>
              </w:rPr>
              <w:t xml:space="preserve"> </w:t>
            </w:r>
            <w:r w:rsidRPr="00730A4A">
              <w:rPr>
                <w:szCs w:val="20"/>
                <w:lang w:val="fr-FR"/>
              </w:rPr>
              <w:t>l’impact</w:t>
            </w:r>
            <w:r w:rsidRPr="00730A4A">
              <w:rPr>
                <w:spacing w:val="-32"/>
                <w:szCs w:val="20"/>
                <w:lang w:val="fr-FR"/>
              </w:rPr>
              <w:t xml:space="preserve"> </w:t>
            </w:r>
            <w:r w:rsidRPr="00730A4A">
              <w:rPr>
                <w:szCs w:val="20"/>
                <w:lang w:val="fr-FR"/>
              </w:rPr>
              <w:t>du</w:t>
            </w:r>
            <w:r w:rsidRPr="00730A4A">
              <w:rPr>
                <w:spacing w:val="-31"/>
                <w:szCs w:val="20"/>
                <w:lang w:val="fr-FR"/>
              </w:rPr>
              <w:t xml:space="preserve"> </w:t>
            </w:r>
            <w:r w:rsidRPr="00730A4A">
              <w:rPr>
                <w:szCs w:val="20"/>
                <w:lang w:val="fr-FR"/>
              </w:rPr>
              <w:t>Projet</w:t>
            </w:r>
            <w:r w:rsidRPr="00730A4A">
              <w:rPr>
                <w:spacing w:val="-31"/>
                <w:szCs w:val="20"/>
                <w:lang w:val="fr-FR"/>
              </w:rPr>
              <w:t xml:space="preserve"> </w:t>
            </w:r>
            <w:r w:rsidRPr="00730A4A">
              <w:rPr>
                <w:szCs w:val="20"/>
                <w:lang w:val="fr-FR"/>
              </w:rPr>
              <w:t>sur l’érosion des</w:t>
            </w:r>
            <w:r w:rsidRPr="00730A4A">
              <w:rPr>
                <w:spacing w:val="-9"/>
                <w:szCs w:val="20"/>
                <w:lang w:val="fr-FR"/>
              </w:rPr>
              <w:t xml:space="preserve"> </w:t>
            </w:r>
            <w:r w:rsidRPr="00730A4A">
              <w:rPr>
                <w:szCs w:val="20"/>
                <w:lang w:val="fr-FR"/>
              </w:rPr>
              <w:t>sols.</w:t>
            </w:r>
          </w:p>
        </w:tc>
        <w:tc>
          <w:tcPr>
            <w:tcW w:w="3469" w:type="dxa"/>
            <w:shd w:val="clear" w:color="auto" w:fill="auto"/>
          </w:tcPr>
          <w:p w14:paraId="405B7EBC"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 Projet encourage les initiatives locales de lutte anti-érosive ;</w:t>
            </w:r>
          </w:p>
          <w:p w14:paraId="1119C6E5"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À la fin des travaux, les sols remaniés ont été nivelés et des mesures de protection telles que l’implantation d’une strate herbacée ont été appliquées.</w:t>
            </w:r>
          </w:p>
        </w:tc>
      </w:tr>
      <w:tr w:rsidR="001C2F95" w:rsidRPr="00BE2822" w14:paraId="23D94A61" w14:textId="77777777" w:rsidTr="00730A4A">
        <w:tc>
          <w:tcPr>
            <w:tcW w:w="2795" w:type="dxa"/>
            <w:vMerge/>
            <w:shd w:val="clear" w:color="auto" w:fill="auto"/>
          </w:tcPr>
          <w:p w14:paraId="24A7B703" w14:textId="77777777" w:rsidR="001C2F95" w:rsidRPr="00730A4A" w:rsidRDefault="001C2F95" w:rsidP="00971FD2">
            <w:pPr>
              <w:rPr>
                <w:sz w:val="22"/>
                <w:szCs w:val="20"/>
              </w:rPr>
            </w:pPr>
          </w:p>
        </w:tc>
        <w:tc>
          <w:tcPr>
            <w:tcW w:w="3512" w:type="dxa"/>
            <w:shd w:val="clear" w:color="auto" w:fill="auto"/>
          </w:tcPr>
          <w:p w14:paraId="5124A217" w14:textId="77777777" w:rsidR="001C2F95" w:rsidRPr="00730A4A" w:rsidRDefault="001C2F95" w:rsidP="00730A4A">
            <w:pPr>
              <w:pStyle w:val="TableParagraph"/>
              <w:spacing w:before="28" w:line="235" w:lineRule="auto"/>
              <w:ind w:left="108"/>
              <w:rPr>
                <w:szCs w:val="20"/>
                <w:lang w:val="fr-FR"/>
              </w:rPr>
            </w:pPr>
            <w:r w:rsidRPr="00730A4A">
              <w:rPr>
                <w:szCs w:val="20"/>
                <w:lang w:val="fr-FR"/>
              </w:rPr>
              <w:t>Minimiser</w:t>
            </w:r>
            <w:r w:rsidRPr="00730A4A">
              <w:rPr>
                <w:spacing w:val="-29"/>
                <w:szCs w:val="20"/>
                <w:lang w:val="fr-FR"/>
              </w:rPr>
              <w:t xml:space="preserve"> </w:t>
            </w:r>
            <w:r w:rsidRPr="00730A4A">
              <w:rPr>
                <w:szCs w:val="20"/>
                <w:lang w:val="fr-FR"/>
              </w:rPr>
              <w:t>l’impact</w:t>
            </w:r>
            <w:r w:rsidRPr="00730A4A">
              <w:rPr>
                <w:spacing w:val="-29"/>
                <w:szCs w:val="20"/>
                <w:lang w:val="fr-FR"/>
              </w:rPr>
              <w:t xml:space="preserve"> </w:t>
            </w:r>
            <w:r w:rsidRPr="00730A4A">
              <w:rPr>
                <w:szCs w:val="20"/>
                <w:lang w:val="fr-FR"/>
              </w:rPr>
              <w:t>du</w:t>
            </w:r>
            <w:r w:rsidRPr="00730A4A">
              <w:rPr>
                <w:spacing w:val="-29"/>
                <w:szCs w:val="20"/>
                <w:lang w:val="fr-FR"/>
              </w:rPr>
              <w:t xml:space="preserve"> </w:t>
            </w:r>
            <w:r w:rsidRPr="00730A4A">
              <w:rPr>
                <w:szCs w:val="20"/>
                <w:lang w:val="fr-FR"/>
              </w:rPr>
              <w:t>Projet</w:t>
            </w:r>
            <w:r w:rsidRPr="00730A4A">
              <w:rPr>
                <w:spacing w:val="-28"/>
                <w:szCs w:val="20"/>
                <w:lang w:val="fr-FR"/>
              </w:rPr>
              <w:t xml:space="preserve"> </w:t>
            </w:r>
            <w:r w:rsidRPr="00730A4A">
              <w:rPr>
                <w:szCs w:val="20"/>
                <w:lang w:val="fr-FR"/>
              </w:rPr>
              <w:t>sur</w:t>
            </w:r>
            <w:r w:rsidRPr="00730A4A">
              <w:rPr>
                <w:spacing w:val="-28"/>
                <w:szCs w:val="20"/>
                <w:lang w:val="fr-FR"/>
              </w:rPr>
              <w:t xml:space="preserve"> </w:t>
            </w:r>
            <w:r w:rsidRPr="00730A4A">
              <w:rPr>
                <w:szCs w:val="20"/>
                <w:lang w:val="fr-FR"/>
              </w:rPr>
              <w:t>la qualité des</w:t>
            </w:r>
            <w:r w:rsidRPr="00730A4A">
              <w:rPr>
                <w:spacing w:val="-5"/>
                <w:szCs w:val="20"/>
                <w:lang w:val="fr-FR"/>
              </w:rPr>
              <w:t xml:space="preserve"> </w:t>
            </w:r>
            <w:r w:rsidRPr="00730A4A">
              <w:rPr>
                <w:szCs w:val="20"/>
                <w:lang w:val="fr-FR"/>
              </w:rPr>
              <w:t>sols.</w:t>
            </w:r>
          </w:p>
        </w:tc>
        <w:tc>
          <w:tcPr>
            <w:tcW w:w="3469" w:type="dxa"/>
            <w:shd w:val="clear" w:color="auto" w:fill="auto"/>
          </w:tcPr>
          <w:p w14:paraId="056B2872"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substances polluantes sont entreposées dans des conditions appropriées et utilisées dans les aires prévues à cet effet ;</w:t>
            </w:r>
          </w:p>
          <w:p w14:paraId="7AFB59F4"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 plan de mise en œuvre du plan d’urgence a été élaboré ;</w:t>
            </w:r>
          </w:p>
          <w:p w14:paraId="17B6DCDB"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véhicules, les emballages des produits polluants sont exempts de fuites ;</w:t>
            </w:r>
          </w:p>
          <w:p w14:paraId="5D4370BC"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employés ont reçu une formation efficace sur la récupération de contaminants ;</w:t>
            </w:r>
          </w:p>
          <w:p w14:paraId="7F48B875"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employés ont réagi avec efficacité lors de la simulation du plan d’urgence.</w:t>
            </w:r>
          </w:p>
        </w:tc>
      </w:tr>
      <w:tr w:rsidR="001C2F95" w:rsidRPr="00BE2822" w14:paraId="51F26C53" w14:textId="77777777" w:rsidTr="00730A4A">
        <w:tc>
          <w:tcPr>
            <w:tcW w:w="2795" w:type="dxa"/>
            <w:shd w:val="clear" w:color="auto" w:fill="auto"/>
          </w:tcPr>
          <w:p w14:paraId="6207380A" w14:textId="77777777" w:rsidR="001C2F95" w:rsidRPr="00730A4A" w:rsidRDefault="001C2F95" w:rsidP="00730A4A">
            <w:pPr>
              <w:pStyle w:val="TableParagraph"/>
              <w:spacing w:line="213" w:lineRule="exact"/>
              <w:rPr>
                <w:szCs w:val="20"/>
              </w:rPr>
            </w:pPr>
            <w:r w:rsidRPr="00730A4A">
              <w:rPr>
                <w:szCs w:val="20"/>
              </w:rPr>
              <w:t>Végétation</w:t>
            </w:r>
          </w:p>
        </w:tc>
        <w:tc>
          <w:tcPr>
            <w:tcW w:w="3512" w:type="dxa"/>
            <w:shd w:val="clear" w:color="auto" w:fill="auto"/>
          </w:tcPr>
          <w:p w14:paraId="49FDB871" w14:textId="77777777" w:rsidR="001C2F95" w:rsidRPr="00730A4A" w:rsidRDefault="001C2F95" w:rsidP="00730A4A">
            <w:pPr>
              <w:pStyle w:val="TableParagraph"/>
              <w:spacing w:before="30" w:line="232" w:lineRule="auto"/>
              <w:ind w:left="108"/>
              <w:rPr>
                <w:szCs w:val="20"/>
                <w:lang w:val="fr-FR"/>
              </w:rPr>
            </w:pPr>
            <w:r w:rsidRPr="00730A4A">
              <w:rPr>
                <w:szCs w:val="20"/>
                <w:lang w:val="fr-FR"/>
              </w:rPr>
              <w:t>Minimiser</w:t>
            </w:r>
            <w:r w:rsidRPr="00730A4A">
              <w:rPr>
                <w:spacing w:val="-33"/>
                <w:szCs w:val="20"/>
                <w:lang w:val="fr-FR"/>
              </w:rPr>
              <w:t xml:space="preserve"> </w:t>
            </w:r>
            <w:r w:rsidRPr="00730A4A">
              <w:rPr>
                <w:szCs w:val="20"/>
                <w:lang w:val="fr-FR"/>
              </w:rPr>
              <w:t>l’impact</w:t>
            </w:r>
            <w:r w:rsidRPr="00730A4A">
              <w:rPr>
                <w:spacing w:val="-33"/>
                <w:szCs w:val="20"/>
                <w:lang w:val="fr-FR"/>
              </w:rPr>
              <w:t xml:space="preserve"> </w:t>
            </w:r>
            <w:r w:rsidRPr="00730A4A">
              <w:rPr>
                <w:szCs w:val="20"/>
                <w:lang w:val="fr-FR"/>
              </w:rPr>
              <w:t>de</w:t>
            </w:r>
            <w:r w:rsidRPr="00730A4A">
              <w:rPr>
                <w:spacing w:val="-32"/>
                <w:szCs w:val="20"/>
                <w:lang w:val="fr-FR"/>
              </w:rPr>
              <w:t xml:space="preserve"> </w:t>
            </w:r>
            <w:r w:rsidRPr="00730A4A">
              <w:rPr>
                <w:szCs w:val="20"/>
                <w:lang w:val="fr-FR"/>
              </w:rPr>
              <w:t>la</w:t>
            </w:r>
            <w:r w:rsidRPr="00730A4A">
              <w:rPr>
                <w:spacing w:val="-33"/>
                <w:szCs w:val="20"/>
                <w:lang w:val="fr-FR"/>
              </w:rPr>
              <w:t xml:space="preserve"> </w:t>
            </w:r>
            <w:r w:rsidRPr="00730A4A">
              <w:rPr>
                <w:spacing w:val="-4"/>
                <w:szCs w:val="20"/>
                <w:lang w:val="fr-FR"/>
              </w:rPr>
              <w:t xml:space="preserve">phase </w:t>
            </w:r>
            <w:r w:rsidRPr="00730A4A">
              <w:rPr>
                <w:szCs w:val="20"/>
                <w:lang w:val="fr-FR"/>
              </w:rPr>
              <w:t>construction</w:t>
            </w:r>
            <w:r w:rsidRPr="00730A4A">
              <w:rPr>
                <w:spacing w:val="-20"/>
                <w:szCs w:val="20"/>
                <w:lang w:val="fr-FR"/>
              </w:rPr>
              <w:t xml:space="preserve"> </w:t>
            </w:r>
            <w:r w:rsidRPr="00730A4A">
              <w:rPr>
                <w:szCs w:val="20"/>
                <w:lang w:val="fr-FR"/>
              </w:rPr>
              <w:t>sur</w:t>
            </w:r>
            <w:r w:rsidRPr="00730A4A">
              <w:rPr>
                <w:spacing w:val="-20"/>
                <w:szCs w:val="20"/>
                <w:lang w:val="fr-FR"/>
              </w:rPr>
              <w:t xml:space="preserve"> </w:t>
            </w:r>
            <w:r w:rsidRPr="00730A4A">
              <w:rPr>
                <w:szCs w:val="20"/>
                <w:lang w:val="fr-FR"/>
              </w:rPr>
              <w:t>la</w:t>
            </w:r>
            <w:r w:rsidRPr="00730A4A">
              <w:rPr>
                <w:spacing w:val="-19"/>
                <w:szCs w:val="20"/>
                <w:lang w:val="fr-FR"/>
              </w:rPr>
              <w:t xml:space="preserve"> </w:t>
            </w:r>
            <w:r w:rsidRPr="00730A4A">
              <w:rPr>
                <w:szCs w:val="20"/>
                <w:lang w:val="fr-FR"/>
              </w:rPr>
              <w:t>végétation</w:t>
            </w:r>
          </w:p>
        </w:tc>
        <w:tc>
          <w:tcPr>
            <w:tcW w:w="3469" w:type="dxa"/>
            <w:shd w:val="clear" w:color="auto" w:fill="auto"/>
          </w:tcPr>
          <w:p w14:paraId="2599949A"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limites des aires de coupe et de chantier sont bien identifiées ;</w:t>
            </w:r>
          </w:p>
          <w:p w14:paraId="0FE6B1B6"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Seules les jachères et les plantations abandonnées ont été réutilisées ;</w:t>
            </w:r>
          </w:p>
          <w:p w14:paraId="203C5DD3"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lieux des travaux ont été remis en état une fois les travaux terminés ;</w:t>
            </w:r>
          </w:p>
          <w:p w14:paraId="46E81ECD"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travaux de coupe de la végétation se sont limités aux superficies requises par les travaux.</w:t>
            </w:r>
          </w:p>
        </w:tc>
      </w:tr>
      <w:tr w:rsidR="001C2F95" w:rsidRPr="00BE2822" w14:paraId="7428A845" w14:textId="77777777" w:rsidTr="00730A4A">
        <w:tc>
          <w:tcPr>
            <w:tcW w:w="2795" w:type="dxa"/>
            <w:shd w:val="clear" w:color="auto" w:fill="auto"/>
          </w:tcPr>
          <w:p w14:paraId="5C327B6D" w14:textId="77777777" w:rsidR="001C2F95" w:rsidRPr="00730A4A" w:rsidRDefault="001C2F95" w:rsidP="00730A4A">
            <w:pPr>
              <w:pStyle w:val="TableParagraph"/>
              <w:spacing w:line="213" w:lineRule="exact"/>
              <w:rPr>
                <w:szCs w:val="20"/>
              </w:rPr>
            </w:pPr>
            <w:r w:rsidRPr="00730A4A">
              <w:rPr>
                <w:szCs w:val="20"/>
              </w:rPr>
              <w:t>Faune</w:t>
            </w:r>
          </w:p>
        </w:tc>
        <w:tc>
          <w:tcPr>
            <w:tcW w:w="3512" w:type="dxa"/>
            <w:shd w:val="clear" w:color="auto" w:fill="auto"/>
          </w:tcPr>
          <w:p w14:paraId="17B5E52F" w14:textId="77777777" w:rsidR="001C2F95" w:rsidRPr="00730A4A" w:rsidRDefault="001C2F95" w:rsidP="00730A4A">
            <w:pPr>
              <w:pStyle w:val="TableParagraph"/>
              <w:spacing w:before="30" w:line="232" w:lineRule="auto"/>
              <w:ind w:left="108"/>
              <w:rPr>
                <w:szCs w:val="20"/>
                <w:lang w:val="fr-FR"/>
              </w:rPr>
            </w:pPr>
            <w:r w:rsidRPr="00730A4A">
              <w:rPr>
                <w:szCs w:val="20"/>
                <w:lang w:val="fr-FR"/>
              </w:rPr>
              <w:t>Minimiser</w:t>
            </w:r>
            <w:r w:rsidRPr="00730A4A">
              <w:rPr>
                <w:spacing w:val="-28"/>
                <w:szCs w:val="20"/>
                <w:lang w:val="fr-FR"/>
              </w:rPr>
              <w:t xml:space="preserve"> </w:t>
            </w:r>
            <w:r w:rsidRPr="00730A4A">
              <w:rPr>
                <w:szCs w:val="20"/>
                <w:lang w:val="fr-FR"/>
              </w:rPr>
              <w:t>les</w:t>
            </w:r>
            <w:r w:rsidRPr="00730A4A">
              <w:rPr>
                <w:spacing w:val="-28"/>
                <w:szCs w:val="20"/>
                <w:lang w:val="fr-FR"/>
              </w:rPr>
              <w:t xml:space="preserve"> </w:t>
            </w:r>
            <w:r w:rsidRPr="00730A4A">
              <w:rPr>
                <w:szCs w:val="20"/>
                <w:lang w:val="fr-FR"/>
              </w:rPr>
              <w:t>impacts</w:t>
            </w:r>
            <w:r w:rsidRPr="00730A4A">
              <w:rPr>
                <w:spacing w:val="-28"/>
                <w:szCs w:val="20"/>
                <w:lang w:val="fr-FR"/>
              </w:rPr>
              <w:t xml:space="preserve"> </w:t>
            </w:r>
            <w:r w:rsidRPr="00730A4A">
              <w:rPr>
                <w:szCs w:val="20"/>
                <w:lang w:val="fr-FR"/>
              </w:rPr>
              <w:t>de</w:t>
            </w:r>
            <w:r w:rsidRPr="00730A4A">
              <w:rPr>
                <w:spacing w:val="-27"/>
                <w:szCs w:val="20"/>
                <w:lang w:val="fr-FR"/>
              </w:rPr>
              <w:t xml:space="preserve"> </w:t>
            </w:r>
            <w:r w:rsidRPr="00730A4A">
              <w:rPr>
                <w:szCs w:val="20"/>
                <w:lang w:val="fr-FR"/>
              </w:rPr>
              <w:t>la</w:t>
            </w:r>
            <w:r w:rsidRPr="00730A4A">
              <w:rPr>
                <w:spacing w:val="-28"/>
                <w:szCs w:val="20"/>
                <w:lang w:val="fr-FR"/>
              </w:rPr>
              <w:t xml:space="preserve"> </w:t>
            </w:r>
            <w:r w:rsidRPr="00730A4A">
              <w:rPr>
                <w:szCs w:val="20"/>
                <w:lang w:val="fr-FR"/>
              </w:rPr>
              <w:t>phase construction sur la</w:t>
            </w:r>
            <w:r w:rsidRPr="00730A4A">
              <w:rPr>
                <w:spacing w:val="-15"/>
                <w:szCs w:val="20"/>
                <w:lang w:val="fr-FR"/>
              </w:rPr>
              <w:t xml:space="preserve"> </w:t>
            </w:r>
            <w:r w:rsidRPr="00730A4A">
              <w:rPr>
                <w:szCs w:val="20"/>
                <w:lang w:val="fr-FR"/>
              </w:rPr>
              <w:t>faune.</w:t>
            </w:r>
          </w:p>
        </w:tc>
        <w:tc>
          <w:tcPr>
            <w:tcW w:w="3469" w:type="dxa"/>
            <w:shd w:val="clear" w:color="auto" w:fill="auto"/>
          </w:tcPr>
          <w:p w14:paraId="3825F4B9"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limites des aires de coupe et de chantier sont bien identifiées ;</w:t>
            </w:r>
          </w:p>
          <w:p w14:paraId="232A1CF9"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cas de braconnage ont été signalés ;</w:t>
            </w:r>
          </w:p>
          <w:p w14:paraId="21A6460A"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tentatives d’empiètement dans les aires protégées ;</w:t>
            </w:r>
          </w:p>
          <w:p w14:paraId="02D9AF59"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lieux des travaux sont remis en état une fois les travaux terminés ;</w:t>
            </w:r>
          </w:p>
        </w:tc>
      </w:tr>
      <w:tr w:rsidR="001C2F95" w:rsidRPr="00BE2822" w14:paraId="4625B981" w14:textId="77777777" w:rsidTr="00730A4A">
        <w:tc>
          <w:tcPr>
            <w:tcW w:w="2795" w:type="dxa"/>
            <w:vMerge w:val="restart"/>
            <w:shd w:val="clear" w:color="auto" w:fill="auto"/>
          </w:tcPr>
          <w:p w14:paraId="56CC4F16" w14:textId="77777777" w:rsidR="001C2F95" w:rsidRPr="00730A4A" w:rsidRDefault="001C2F95" w:rsidP="00730A4A">
            <w:pPr>
              <w:pStyle w:val="TableParagraph"/>
              <w:spacing w:line="213" w:lineRule="exact"/>
              <w:rPr>
                <w:szCs w:val="20"/>
              </w:rPr>
            </w:pPr>
            <w:r w:rsidRPr="00730A4A">
              <w:rPr>
                <w:szCs w:val="20"/>
              </w:rPr>
              <w:t>Population</w:t>
            </w:r>
          </w:p>
        </w:tc>
        <w:tc>
          <w:tcPr>
            <w:tcW w:w="3512" w:type="dxa"/>
            <w:shd w:val="clear" w:color="auto" w:fill="auto"/>
          </w:tcPr>
          <w:p w14:paraId="7702DEAC" w14:textId="77777777" w:rsidR="001C2F95" w:rsidRPr="00730A4A" w:rsidRDefault="001C2F95" w:rsidP="00730A4A">
            <w:pPr>
              <w:pStyle w:val="TableParagraph"/>
              <w:spacing w:line="211" w:lineRule="exact"/>
              <w:ind w:left="108"/>
              <w:rPr>
                <w:szCs w:val="20"/>
                <w:lang w:val="fr-FR"/>
              </w:rPr>
            </w:pPr>
            <w:r w:rsidRPr="00730A4A">
              <w:rPr>
                <w:szCs w:val="20"/>
                <w:lang w:val="fr-FR"/>
              </w:rPr>
              <w:t>S’assurer de la mise en place d’un plan adéquat</w:t>
            </w:r>
          </w:p>
          <w:p w14:paraId="44256AF7" w14:textId="77777777" w:rsidR="001C2F95" w:rsidRPr="00730A4A" w:rsidRDefault="001C2F95" w:rsidP="00730A4A">
            <w:pPr>
              <w:pStyle w:val="TableParagraph"/>
              <w:spacing w:before="1" w:line="235" w:lineRule="auto"/>
              <w:ind w:left="108"/>
              <w:rPr>
                <w:szCs w:val="20"/>
                <w:lang w:val="fr-FR"/>
              </w:rPr>
            </w:pPr>
            <w:r w:rsidRPr="00730A4A">
              <w:rPr>
                <w:szCs w:val="20"/>
                <w:lang w:val="fr-FR"/>
              </w:rPr>
              <w:t>de</w:t>
            </w:r>
            <w:r w:rsidRPr="00730A4A">
              <w:rPr>
                <w:spacing w:val="-24"/>
                <w:szCs w:val="20"/>
                <w:lang w:val="fr-FR"/>
              </w:rPr>
              <w:t xml:space="preserve"> </w:t>
            </w:r>
            <w:r w:rsidRPr="00730A4A">
              <w:rPr>
                <w:szCs w:val="20"/>
                <w:lang w:val="fr-FR"/>
              </w:rPr>
              <w:t>réinstallation</w:t>
            </w:r>
            <w:r w:rsidRPr="00730A4A">
              <w:rPr>
                <w:spacing w:val="-24"/>
                <w:szCs w:val="20"/>
                <w:lang w:val="fr-FR"/>
              </w:rPr>
              <w:t xml:space="preserve"> </w:t>
            </w:r>
            <w:r w:rsidRPr="00730A4A">
              <w:rPr>
                <w:szCs w:val="20"/>
                <w:lang w:val="fr-FR"/>
              </w:rPr>
              <w:t>et</w:t>
            </w:r>
            <w:r w:rsidRPr="00730A4A">
              <w:rPr>
                <w:spacing w:val="-24"/>
                <w:szCs w:val="20"/>
                <w:lang w:val="fr-FR"/>
              </w:rPr>
              <w:t xml:space="preserve"> </w:t>
            </w:r>
            <w:r w:rsidRPr="00730A4A">
              <w:rPr>
                <w:szCs w:val="20"/>
                <w:lang w:val="fr-FR"/>
              </w:rPr>
              <w:t>de</w:t>
            </w:r>
            <w:r w:rsidRPr="00730A4A">
              <w:rPr>
                <w:spacing w:val="-24"/>
                <w:szCs w:val="20"/>
                <w:lang w:val="fr-FR"/>
              </w:rPr>
              <w:t xml:space="preserve"> </w:t>
            </w:r>
            <w:r w:rsidRPr="00730A4A">
              <w:rPr>
                <w:szCs w:val="20"/>
                <w:lang w:val="fr-FR"/>
              </w:rPr>
              <w:t>compensation.</w:t>
            </w:r>
          </w:p>
        </w:tc>
        <w:tc>
          <w:tcPr>
            <w:tcW w:w="3469" w:type="dxa"/>
            <w:shd w:val="clear" w:color="auto" w:fill="auto"/>
          </w:tcPr>
          <w:p w14:paraId="6A855095"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right="34"/>
              <w:rPr>
                <w:szCs w:val="20"/>
                <w:lang w:val="fr-FR"/>
              </w:rPr>
            </w:pPr>
            <w:r w:rsidRPr="00730A4A">
              <w:rPr>
                <w:szCs w:val="20"/>
                <w:lang w:val="fr-FR"/>
              </w:rPr>
              <w:t>Estimation du nombre de personnes à déplacer et de leurs niveaux de compensations respectifs ;</w:t>
            </w:r>
          </w:p>
          <w:p w14:paraId="17714F94"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right="34"/>
              <w:rPr>
                <w:szCs w:val="20"/>
                <w:lang w:val="fr-FR"/>
              </w:rPr>
            </w:pPr>
            <w:r w:rsidRPr="00730A4A">
              <w:rPr>
                <w:szCs w:val="20"/>
                <w:lang w:val="fr-FR"/>
              </w:rPr>
              <w:t>Montants de compensation effectivement versés.</w:t>
            </w:r>
          </w:p>
          <w:p w14:paraId="7106A65F" w14:textId="77777777" w:rsidR="00394413" w:rsidRPr="00730A4A" w:rsidRDefault="00394413" w:rsidP="00730A4A">
            <w:pPr>
              <w:pStyle w:val="TableParagraph"/>
              <w:numPr>
                <w:ilvl w:val="0"/>
                <w:numId w:val="93"/>
              </w:numPr>
              <w:tabs>
                <w:tab w:val="left" w:pos="668"/>
              </w:tabs>
              <w:autoSpaceDE w:val="0"/>
              <w:autoSpaceDN w:val="0"/>
              <w:spacing w:before="32" w:line="232" w:lineRule="auto"/>
              <w:ind w:right="34"/>
              <w:rPr>
                <w:szCs w:val="20"/>
                <w:lang w:val="fr-FR"/>
              </w:rPr>
            </w:pPr>
            <w:r w:rsidRPr="00730A4A">
              <w:rPr>
                <w:szCs w:val="20"/>
                <w:lang w:val="fr-FR"/>
              </w:rPr>
              <w:t>Niveau d’implication des collectivités et d’acteurs locaux dans le suivi des travaux</w:t>
            </w:r>
          </w:p>
          <w:p w14:paraId="272980E6" w14:textId="77777777" w:rsidR="00394413" w:rsidRPr="00730A4A" w:rsidRDefault="00394413" w:rsidP="00730A4A">
            <w:pPr>
              <w:pStyle w:val="TableParagraph"/>
              <w:numPr>
                <w:ilvl w:val="0"/>
                <w:numId w:val="93"/>
              </w:numPr>
              <w:tabs>
                <w:tab w:val="left" w:pos="668"/>
              </w:tabs>
              <w:autoSpaceDE w:val="0"/>
              <w:autoSpaceDN w:val="0"/>
              <w:spacing w:before="32" w:line="232" w:lineRule="auto"/>
              <w:ind w:right="34"/>
              <w:rPr>
                <w:szCs w:val="20"/>
                <w:lang w:val="fr-FR"/>
              </w:rPr>
            </w:pPr>
            <w:r w:rsidRPr="00730A4A">
              <w:rPr>
                <w:szCs w:val="20"/>
                <w:lang w:val="fr-FR"/>
              </w:rPr>
              <w:t>Nombre d’emplois créés localement (main-d’œuvre locale utilisée pour les travaux) ;</w:t>
            </w:r>
          </w:p>
          <w:p w14:paraId="7E42D117" w14:textId="77777777" w:rsidR="00394413" w:rsidRPr="00730A4A" w:rsidRDefault="00394413" w:rsidP="00730A4A">
            <w:pPr>
              <w:pStyle w:val="TableParagraph"/>
              <w:numPr>
                <w:ilvl w:val="0"/>
                <w:numId w:val="93"/>
              </w:numPr>
              <w:tabs>
                <w:tab w:val="left" w:pos="668"/>
              </w:tabs>
              <w:autoSpaceDE w:val="0"/>
              <w:autoSpaceDN w:val="0"/>
              <w:spacing w:before="32" w:line="232" w:lineRule="auto"/>
              <w:ind w:right="34"/>
              <w:rPr>
                <w:szCs w:val="20"/>
                <w:lang w:val="fr-FR"/>
              </w:rPr>
            </w:pPr>
            <w:r w:rsidRPr="00730A4A">
              <w:rPr>
                <w:szCs w:val="20"/>
                <w:lang w:val="fr-FR"/>
              </w:rPr>
              <w:t>Nombre de populations autochtones et campements localisés dans la zone du Projet ;</w:t>
            </w:r>
          </w:p>
          <w:p w14:paraId="645C61E1" w14:textId="77777777" w:rsidR="00394413" w:rsidRPr="00730A4A" w:rsidRDefault="00394413" w:rsidP="00730A4A">
            <w:pPr>
              <w:pStyle w:val="TableParagraph"/>
              <w:numPr>
                <w:ilvl w:val="0"/>
                <w:numId w:val="93"/>
              </w:numPr>
              <w:tabs>
                <w:tab w:val="left" w:pos="668"/>
              </w:tabs>
              <w:autoSpaceDE w:val="0"/>
              <w:autoSpaceDN w:val="0"/>
              <w:spacing w:before="32" w:line="232" w:lineRule="auto"/>
              <w:ind w:right="34"/>
              <w:rPr>
                <w:szCs w:val="20"/>
                <w:lang w:val="fr-FR"/>
              </w:rPr>
            </w:pPr>
            <w:r w:rsidRPr="00730A4A">
              <w:rPr>
                <w:szCs w:val="20"/>
                <w:lang w:val="fr-FR"/>
              </w:rPr>
              <w:t>Nombre de personnes affectées et compensées par le Projet ;</w:t>
            </w:r>
          </w:p>
          <w:p w14:paraId="4723DEC3" w14:textId="77777777" w:rsidR="00394413" w:rsidRPr="00730A4A" w:rsidRDefault="00394413" w:rsidP="00730A4A">
            <w:pPr>
              <w:pStyle w:val="TableParagraph"/>
              <w:numPr>
                <w:ilvl w:val="0"/>
                <w:numId w:val="93"/>
              </w:numPr>
              <w:tabs>
                <w:tab w:val="left" w:pos="668"/>
              </w:tabs>
              <w:autoSpaceDE w:val="0"/>
              <w:autoSpaceDN w:val="0"/>
              <w:spacing w:before="32" w:line="232" w:lineRule="auto"/>
              <w:ind w:right="34"/>
              <w:rPr>
                <w:szCs w:val="20"/>
                <w:lang w:val="fr-FR"/>
              </w:rPr>
            </w:pPr>
            <w:r w:rsidRPr="00730A4A">
              <w:rPr>
                <w:szCs w:val="20"/>
                <w:lang w:val="fr-FR"/>
              </w:rPr>
              <w:t>Nombre et type de réclamation</w:t>
            </w:r>
          </w:p>
        </w:tc>
      </w:tr>
      <w:tr w:rsidR="001C2F95" w:rsidRPr="00BE2822" w14:paraId="2DB273D6" w14:textId="77777777" w:rsidTr="00730A4A">
        <w:tc>
          <w:tcPr>
            <w:tcW w:w="2795" w:type="dxa"/>
            <w:vMerge/>
            <w:shd w:val="clear" w:color="auto" w:fill="auto"/>
          </w:tcPr>
          <w:p w14:paraId="304A5B76" w14:textId="77777777" w:rsidR="001C2F95" w:rsidRPr="00730A4A" w:rsidRDefault="001C2F95" w:rsidP="00971FD2">
            <w:pPr>
              <w:rPr>
                <w:sz w:val="22"/>
                <w:szCs w:val="20"/>
              </w:rPr>
            </w:pPr>
          </w:p>
        </w:tc>
        <w:tc>
          <w:tcPr>
            <w:tcW w:w="3512" w:type="dxa"/>
            <w:shd w:val="clear" w:color="auto" w:fill="auto"/>
          </w:tcPr>
          <w:p w14:paraId="2FA3904A"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Pr>
                <w:szCs w:val="20"/>
                <w:lang w:val="fr-FR"/>
              </w:rPr>
            </w:pPr>
            <w:r w:rsidRPr="00730A4A">
              <w:rPr>
                <w:szCs w:val="20"/>
                <w:lang w:val="fr-FR"/>
              </w:rPr>
              <w:t>S’assurer que l’arrivée de travailleurs en phase de construction ne constituera pas une pression</w:t>
            </w:r>
          </w:p>
          <w:p w14:paraId="30E3393B"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Pr>
                <w:szCs w:val="20"/>
                <w:lang w:val="fr-FR"/>
              </w:rPr>
            </w:pPr>
            <w:r w:rsidRPr="00730A4A">
              <w:rPr>
                <w:szCs w:val="20"/>
                <w:lang w:val="fr-FR"/>
              </w:rPr>
              <w:t>démographique néfaste dans l’aire d’étude.</w:t>
            </w:r>
          </w:p>
          <w:p w14:paraId="181757D0"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Pr>
                <w:szCs w:val="20"/>
                <w:lang w:val="fr-FR"/>
              </w:rPr>
            </w:pPr>
            <w:r w:rsidRPr="00730A4A">
              <w:rPr>
                <w:szCs w:val="20"/>
                <w:lang w:val="fr-FR"/>
              </w:rPr>
              <w:t>Mise en place d’un mécanisme de gestion des plaintes.</w:t>
            </w:r>
          </w:p>
        </w:tc>
        <w:tc>
          <w:tcPr>
            <w:tcW w:w="3469" w:type="dxa"/>
            <w:shd w:val="clear" w:color="auto" w:fill="auto"/>
          </w:tcPr>
          <w:p w14:paraId="52909610"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plaintes provenant de la part des travailleurs non-résidents ;</w:t>
            </w:r>
          </w:p>
          <w:p w14:paraId="0FD9B2F1"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plaintes résolues.</w:t>
            </w:r>
          </w:p>
        </w:tc>
      </w:tr>
      <w:tr w:rsidR="001C2F95" w:rsidRPr="00BE2822" w14:paraId="2A2A9570" w14:textId="77777777" w:rsidTr="00730A4A">
        <w:tc>
          <w:tcPr>
            <w:tcW w:w="2795" w:type="dxa"/>
            <w:vMerge/>
            <w:shd w:val="clear" w:color="auto" w:fill="auto"/>
          </w:tcPr>
          <w:p w14:paraId="321299A2" w14:textId="77777777" w:rsidR="001C2F95" w:rsidRPr="00730A4A" w:rsidRDefault="001C2F95" w:rsidP="00971FD2">
            <w:pPr>
              <w:rPr>
                <w:sz w:val="22"/>
                <w:szCs w:val="20"/>
                <w:lang w:val="en-US"/>
              </w:rPr>
            </w:pPr>
          </w:p>
        </w:tc>
        <w:tc>
          <w:tcPr>
            <w:tcW w:w="3512" w:type="dxa"/>
            <w:shd w:val="clear" w:color="auto" w:fill="auto"/>
          </w:tcPr>
          <w:p w14:paraId="0E9C9ADF" w14:textId="77777777" w:rsidR="001C2F95" w:rsidRPr="00730A4A" w:rsidRDefault="001C2F95" w:rsidP="00730A4A">
            <w:pPr>
              <w:pStyle w:val="TableParagraph"/>
              <w:spacing w:line="211" w:lineRule="exact"/>
              <w:ind w:left="108"/>
              <w:rPr>
                <w:szCs w:val="20"/>
              </w:rPr>
            </w:pPr>
            <w:r w:rsidRPr="00730A4A">
              <w:rPr>
                <w:szCs w:val="20"/>
              </w:rPr>
              <w:t xml:space="preserve">S’assurer de </w:t>
            </w:r>
            <w:r w:rsidR="00AF2270" w:rsidRPr="00730A4A">
              <w:rPr>
                <w:szCs w:val="20"/>
              </w:rPr>
              <w:t>implication</w:t>
            </w:r>
            <w:r w:rsidRPr="00730A4A">
              <w:rPr>
                <w:szCs w:val="20"/>
              </w:rPr>
              <w:t xml:space="preserve"> de la</w:t>
            </w:r>
          </w:p>
          <w:p w14:paraId="28EE0746" w14:textId="77777777" w:rsidR="001C2F95" w:rsidRPr="00730A4A" w:rsidRDefault="001C2F95" w:rsidP="00730A4A">
            <w:pPr>
              <w:pStyle w:val="TableParagraph"/>
              <w:spacing w:before="1" w:line="235" w:lineRule="auto"/>
              <w:ind w:left="108"/>
              <w:rPr>
                <w:szCs w:val="20"/>
                <w:lang w:val="fr-FR"/>
              </w:rPr>
            </w:pPr>
            <w:r w:rsidRPr="00730A4A">
              <w:rPr>
                <w:szCs w:val="20"/>
                <w:lang w:val="fr-FR"/>
              </w:rPr>
              <w:t>population dans le Projet afin que celle-ci</w:t>
            </w:r>
            <w:r w:rsidRPr="00730A4A">
              <w:rPr>
                <w:spacing w:val="-19"/>
                <w:szCs w:val="20"/>
                <w:lang w:val="fr-FR"/>
              </w:rPr>
              <w:t xml:space="preserve"> </w:t>
            </w:r>
            <w:r w:rsidRPr="00730A4A">
              <w:rPr>
                <w:szCs w:val="20"/>
                <w:lang w:val="fr-FR"/>
              </w:rPr>
              <w:t>s’approprie</w:t>
            </w:r>
            <w:r w:rsidRPr="00730A4A">
              <w:rPr>
                <w:spacing w:val="-17"/>
                <w:szCs w:val="20"/>
                <w:lang w:val="fr-FR"/>
              </w:rPr>
              <w:t xml:space="preserve"> </w:t>
            </w:r>
            <w:r w:rsidRPr="00730A4A">
              <w:rPr>
                <w:szCs w:val="20"/>
                <w:lang w:val="fr-FR"/>
              </w:rPr>
              <w:t>du</w:t>
            </w:r>
            <w:r w:rsidRPr="00730A4A">
              <w:rPr>
                <w:spacing w:val="-18"/>
                <w:szCs w:val="20"/>
                <w:lang w:val="fr-FR"/>
              </w:rPr>
              <w:t xml:space="preserve"> </w:t>
            </w:r>
            <w:r w:rsidRPr="00730A4A">
              <w:rPr>
                <w:szCs w:val="20"/>
                <w:lang w:val="fr-FR"/>
              </w:rPr>
              <w:t>Projet</w:t>
            </w:r>
            <w:r w:rsidRPr="00730A4A">
              <w:rPr>
                <w:spacing w:val="-18"/>
                <w:szCs w:val="20"/>
                <w:lang w:val="fr-FR"/>
              </w:rPr>
              <w:t xml:space="preserve"> </w:t>
            </w:r>
            <w:r w:rsidRPr="00730A4A">
              <w:rPr>
                <w:szCs w:val="20"/>
                <w:lang w:val="fr-FR"/>
              </w:rPr>
              <w:t>et</w:t>
            </w:r>
            <w:r w:rsidRPr="00730A4A">
              <w:rPr>
                <w:spacing w:val="-17"/>
                <w:szCs w:val="20"/>
                <w:lang w:val="fr-FR"/>
              </w:rPr>
              <w:t xml:space="preserve"> </w:t>
            </w:r>
            <w:r w:rsidRPr="00730A4A">
              <w:rPr>
                <w:szCs w:val="20"/>
                <w:lang w:val="fr-FR"/>
              </w:rPr>
              <w:t>ait</w:t>
            </w:r>
            <w:r w:rsidRPr="00730A4A">
              <w:rPr>
                <w:spacing w:val="-19"/>
                <w:szCs w:val="20"/>
                <w:lang w:val="fr-FR"/>
              </w:rPr>
              <w:t xml:space="preserve"> </w:t>
            </w:r>
            <w:r w:rsidRPr="00730A4A">
              <w:rPr>
                <w:szCs w:val="20"/>
                <w:lang w:val="fr-FR"/>
              </w:rPr>
              <w:t>la réussite</w:t>
            </w:r>
            <w:r w:rsidRPr="00730A4A">
              <w:rPr>
                <w:spacing w:val="-18"/>
                <w:szCs w:val="20"/>
                <w:lang w:val="fr-FR"/>
              </w:rPr>
              <w:t xml:space="preserve"> </w:t>
            </w:r>
            <w:r w:rsidRPr="00730A4A">
              <w:rPr>
                <w:szCs w:val="20"/>
                <w:lang w:val="fr-FR"/>
              </w:rPr>
              <w:t>et</w:t>
            </w:r>
            <w:r w:rsidRPr="00730A4A">
              <w:rPr>
                <w:spacing w:val="-18"/>
                <w:szCs w:val="20"/>
                <w:lang w:val="fr-FR"/>
              </w:rPr>
              <w:t xml:space="preserve"> </w:t>
            </w:r>
            <w:r w:rsidRPr="00730A4A">
              <w:rPr>
                <w:szCs w:val="20"/>
                <w:lang w:val="fr-FR"/>
              </w:rPr>
              <w:t>la</w:t>
            </w:r>
            <w:r w:rsidRPr="00730A4A">
              <w:rPr>
                <w:spacing w:val="-18"/>
                <w:szCs w:val="20"/>
                <w:lang w:val="fr-FR"/>
              </w:rPr>
              <w:t xml:space="preserve"> </w:t>
            </w:r>
            <w:r w:rsidRPr="00730A4A">
              <w:rPr>
                <w:szCs w:val="20"/>
                <w:lang w:val="fr-FR"/>
              </w:rPr>
              <w:t>pérennisation</w:t>
            </w:r>
            <w:r w:rsidRPr="00730A4A">
              <w:rPr>
                <w:spacing w:val="-19"/>
                <w:szCs w:val="20"/>
                <w:lang w:val="fr-FR"/>
              </w:rPr>
              <w:t xml:space="preserve"> </w:t>
            </w:r>
            <w:r w:rsidRPr="00730A4A">
              <w:rPr>
                <w:szCs w:val="20"/>
                <w:lang w:val="fr-FR"/>
              </w:rPr>
              <w:t>du</w:t>
            </w:r>
            <w:r w:rsidRPr="00730A4A">
              <w:rPr>
                <w:spacing w:val="-18"/>
                <w:szCs w:val="20"/>
                <w:lang w:val="fr-FR"/>
              </w:rPr>
              <w:t xml:space="preserve"> </w:t>
            </w:r>
            <w:r w:rsidRPr="00730A4A">
              <w:rPr>
                <w:szCs w:val="20"/>
                <w:lang w:val="fr-FR"/>
              </w:rPr>
              <w:t>Projet</w:t>
            </w:r>
            <w:r w:rsidRPr="00730A4A">
              <w:rPr>
                <w:spacing w:val="-18"/>
                <w:szCs w:val="20"/>
                <w:lang w:val="fr-FR"/>
              </w:rPr>
              <w:t xml:space="preserve"> </w:t>
            </w:r>
            <w:r w:rsidRPr="00730A4A">
              <w:rPr>
                <w:szCs w:val="20"/>
                <w:lang w:val="fr-FR"/>
              </w:rPr>
              <w:t>à cœur.</w:t>
            </w:r>
          </w:p>
        </w:tc>
        <w:tc>
          <w:tcPr>
            <w:tcW w:w="3469" w:type="dxa"/>
            <w:shd w:val="clear" w:color="auto" w:fill="auto"/>
          </w:tcPr>
          <w:p w14:paraId="4E99CCFD"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séances d’information tenues auprès de la population ;</w:t>
            </w:r>
          </w:p>
          <w:p w14:paraId="7D59E777" w14:textId="77777777" w:rsidR="001C2F95" w:rsidRPr="00730A4A" w:rsidRDefault="001C2F95" w:rsidP="00730A4A">
            <w:pPr>
              <w:pStyle w:val="TableParagraph"/>
              <w:numPr>
                <w:ilvl w:val="0"/>
                <w:numId w:val="93"/>
              </w:numPr>
              <w:tabs>
                <w:tab w:val="left" w:pos="668"/>
              </w:tabs>
              <w:autoSpaceDE w:val="0"/>
              <w:autoSpaceDN w:val="0"/>
              <w:spacing w:before="32"/>
              <w:ind w:left="243" w:right="34"/>
              <w:rPr>
                <w:szCs w:val="20"/>
                <w:lang w:val="fr-FR"/>
              </w:rPr>
            </w:pPr>
            <w:r w:rsidRPr="00730A4A">
              <w:rPr>
                <w:szCs w:val="20"/>
                <w:lang w:val="fr-FR"/>
              </w:rPr>
              <w:t>Nombre d’emplois créés par le Projet ;</w:t>
            </w:r>
          </w:p>
          <w:p w14:paraId="7D11AD19" w14:textId="77777777" w:rsidR="001C2F95" w:rsidRPr="00730A4A" w:rsidRDefault="001C2F95" w:rsidP="00730A4A">
            <w:pPr>
              <w:pStyle w:val="TableParagraph"/>
              <w:numPr>
                <w:ilvl w:val="0"/>
                <w:numId w:val="93"/>
              </w:numPr>
              <w:tabs>
                <w:tab w:val="left" w:pos="668"/>
              </w:tabs>
              <w:autoSpaceDE w:val="0"/>
              <w:autoSpaceDN w:val="0"/>
              <w:spacing w:before="32" w:line="235" w:lineRule="auto"/>
              <w:ind w:left="243" w:right="34"/>
              <w:rPr>
                <w:szCs w:val="20"/>
                <w:lang w:val="fr-FR"/>
              </w:rPr>
            </w:pPr>
            <w:r w:rsidRPr="00730A4A">
              <w:rPr>
                <w:szCs w:val="20"/>
                <w:lang w:val="fr-FR"/>
              </w:rPr>
              <w:t>Nombre d’emplois comblés par de la main-d’œuvre locale.</w:t>
            </w:r>
          </w:p>
        </w:tc>
      </w:tr>
      <w:tr w:rsidR="001C2F95" w:rsidRPr="00BE2822" w14:paraId="20AE4779" w14:textId="77777777" w:rsidTr="00730A4A">
        <w:tc>
          <w:tcPr>
            <w:tcW w:w="2795" w:type="dxa"/>
            <w:shd w:val="clear" w:color="auto" w:fill="auto"/>
          </w:tcPr>
          <w:p w14:paraId="3EB3BF2E" w14:textId="77777777" w:rsidR="001C2F95" w:rsidRPr="00730A4A" w:rsidRDefault="001C2F95" w:rsidP="00730A4A">
            <w:pPr>
              <w:pStyle w:val="TableParagraph"/>
              <w:spacing w:line="213" w:lineRule="exact"/>
              <w:rPr>
                <w:szCs w:val="20"/>
              </w:rPr>
            </w:pPr>
            <w:r w:rsidRPr="00730A4A">
              <w:rPr>
                <w:szCs w:val="20"/>
              </w:rPr>
              <w:t>Genre</w:t>
            </w:r>
          </w:p>
        </w:tc>
        <w:tc>
          <w:tcPr>
            <w:tcW w:w="3512" w:type="dxa"/>
            <w:shd w:val="clear" w:color="auto" w:fill="auto"/>
          </w:tcPr>
          <w:p w14:paraId="10BA2B38" w14:textId="77777777" w:rsidR="001C2F95" w:rsidRPr="00730A4A" w:rsidRDefault="001C2F95" w:rsidP="00730A4A">
            <w:pPr>
              <w:pStyle w:val="TableParagraph"/>
              <w:spacing w:before="28" w:line="235" w:lineRule="auto"/>
              <w:ind w:left="108"/>
              <w:rPr>
                <w:szCs w:val="20"/>
                <w:lang w:val="fr-FR"/>
              </w:rPr>
            </w:pPr>
            <w:r w:rsidRPr="00730A4A">
              <w:rPr>
                <w:szCs w:val="20"/>
                <w:lang w:val="fr-FR"/>
              </w:rPr>
              <w:t>S’assurer</w:t>
            </w:r>
            <w:r w:rsidRPr="00730A4A">
              <w:rPr>
                <w:spacing w:val="-24"/>
                <w:szCs w:val="20"/>
                <w:lang w:val="fr-FR"/>
              </w:rPr>
              <w:t xml:space="preserve"> </w:t>
            </w:r>
            <w:r w:rsidRPr="00730A4A">
              <w:rPr>
                <w:szCs w:val="20"/>
                <w:lang w:val="fr-FR"/>
              </w:rPr>
              <w:t>que</w:t>
            </w:r>
            <w:r w:rsidRPr="00730A4A">
              <w:rPr>
                <w:spacing w:val="-23"/>
                <w:szCs w:val="20"/>
                <w:lang w:val="fr-FR"/>
              </w:rPr>
              <w:t xml:space="preserve"> </w:t>
            </w:r>
            <w:r w:rsidRPr="00730A4A">
              <w:rPr>
                <w:szCs w:val="20"/>
                <w:lang w:val="fr-FR"/>
              </w:rPr>
              <w:t>les</w:t>
            </w:r>
            <w:r w:rsidRPr="00730A4A">
              <w:rPr>
                <w:spacing w:val="-24"/>
                <w:szCs w:val="20"/>
                <w:lang w:val="fr-FR"/>
              </w:rPr>
              <w:t xml:space="preserve"> </w:t>
            </w:r>
            <w:r w:rsidRPr="00730A4A">
              <w:rPr>
                <w:szCs w:val="20"/>
                <w:lang w:val="fr-FR"/>
              </w:rPr>
              <w:t>femmes</w:t>
            </w:r>
            <w:r w:rsidRPr="00730A4A">
              <w:rPr>
                <w:spacing w:val="-25"/>
                <w:szCs w:val="20"/>
                <w:lang w:val="fr-FR"/>
              </w:rPr>
              <w:t xml:space="preserve"> </w:t>
            </w:r>
            <w:r w:rsidRPr="00730A4A">
              <w:rPr>
                <w:szCs w:val="20"/>
                <w:lang w:val="fr-FR"/>
              </w:rPr>
              <w:t>ne</w:t>
            </w:r>
            <w:r w:rsidRPr="00730A4A">
              <w:rPr>
                <w:spacing w:val="-23"/>
                <w:szCs w:val="20"/>
                <w:lang w:val="fr-FR"/>
              </w:rPr>
              <w:t xml:space="preserve"> </w:t>
            </w:r>
            <w:r w:rsidRPr="00730A4A">
              <w:rPr>
                <w:szCs w:val="20"/>
                <w:lang w:val="fr-FR"/>
              </w:rPr>
              <w:t>seront</w:t>
            </w:r>
            <w:r w:rsidRPr="00730A4A">
              <w:rPr>
                <w:spacing w:val="-22"/>
                <w:szCs w:val="20"/>
                <w:lang w:val="fr-FR"/>
              </w:rPr>
              <w:t xml:space="preserve"> </w:t>
            </w:r>
            <w:r w:rsidRPr="00730A4A">
              <w:rPr>
                <w:szCs w:val="20"/>
                <w:lang w:val="fr-FR"/>
              </w:rPr>
              <w:t>pas pénalisées lors de l’établissement des niveaux</w:t>
            </w:r>
            <w:r w:rsidRPr="00730A4A">
              <w:rPr>
                <w:spacing w:val="-21"/>
                <w:szCs w:val="20"/>
                <w:lang w:val="fr-FR"/>
              </w:rPr>
              <w:t xml:space="preserve"> </w:t>
            </w:r>
            <w:r w:rsidRPr="00730A4A">
              <w:rPr>
                <w:szCs w:val="20"/>
                <w:lang w:val="fr-FR"/>
              </w:rPr>
              <w:t>et</w:t>
            </w:r>
            <w:r w:rsidRPr="00730A4A">
              <w:rPr>
                <w:spacing w:val="-20"/>
                <w:szCs w:val="20"/>
                <w:lang w:val="fr-FR"/>
              </w:rPr>
              <w:t xml:space="preserve"> </w:t>
            </w:r>
            <w:r w:rsidRPr="00730A4A">
              <w:rPr>
                <w:szCs w:val="20"/>
                <w:lang w:val="fr-FR"/>
              </w:rPr>
              <w:t>montants</w:t>
            </w:r>
            <w:r w:rsidRPr="00730A4A">
              <w:rPr>
                <w:spacing w:val="-20"/>
                <w:szCs w:val="20"/>
                <w:lang w:val="fr-FR"/>
              </w:rPr>
              <w:t xml:space="preserve"> </w:t>
            </w:r>
            <w:r w:rsidRPr="00730A4A">
              <w:rPr>
                <w:szCs w:val="20"/>
                <w:lang w:val="fr-FR"/>
              </w:rPr>
              <w:t>de</w:t>
            </w:r>
            <w:r w:rsidRPr="00730A4A">
              <w:rPr>
                <w:spacing w:val="-19"/>
                <w:szCs w:val="20"/>
                <w:lang w:val="fr-FR"/>
              </w:rPr>
              <w:t xml:space="preserve"> </w:t>
            </w:r>
            <w:r w:rsidRPr="00730A4A">
              <w:rPr>
                <w:szCs w:val="20"/>
                <w:lang w:val="fr-FR"/>
              </w:rPr>
              <w:t>compensation lors de la réinstallation des ménages.</w:t>
            </w:r>
          </w:p>
        </w:tc>
        <w:tc>
          <w:tcPr>
            <w:tcW w:w="3469" w:type="dxa"/>
            <w:shd w:val="clear" w:color="auto" w:fill="auto"/>
          </w:tcPr>
          <w:p w14:paraId="5118BF36"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total de ménage à déplacer ;</w:t>
            </w:r>
          </w:p>
          <w:p w14:paraId="3D6C597A"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ménages à déplacer dont le chef de ménage est une femme seule ;</w:t>
            </w:r>
          </w:p>
          <w:p w14:paraId="00B17584"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ménages à déplacer dont le chef de ménage est un homme seul ;</w:t>
            </w:r>
          </w:p>
          <w:p w14:paraId="32F5F46A"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Montant des indemnisations versées en présence des deux conjoints.</w:t>
            </w:r>
          </w:p>
        </w:tc>
      </w:tr>
      <w:tr w:rsidR="001C2F95" w:rsidRPr="00BE2822" w14:paraId="260F3CBF" w14:textId="77777777" w:rsidTr="00730A4A">
        <w:tc>
          <w:tcPr>
            <w:tcW w:w="2795" w:type="dxa"/>
            <w:shd w:val="clear" w:color="auto" w:fill="auto"/>
          </w:tcPr>
          <w:p w14:paraId="58F8BE71" w14:textId="77777777" w:rsidR="001C2F95" w:rsidRPr="00730A4A" w:rsidRDefault="001C2F95" w:rsidP="00730A4A">
            <w:pPr>
              <w:pStyle w:val="TableParagraph"/>
              <w:spacing w:line="213" w:lineRule="exact"/>
              <w:rPr>
                <w:szCs w:val="20"/>
                <w:lang w:val="fr-FR"/>
              </w:rPr>
            </w:pPr>
            <w:r w:rsidRPr="00730A4A">
              <w:rPr>
                <w:bCs/>
                <w:szCs w:val="20"/>
                <w:lang w:val="fr-FR"/>
              </w:rPr>
              <w:t>VBG, y compris l’EAS/HS</w:t>
            </w:r>
          </w:p>
        </w:tc>
        <w:tc>
          <w:tcPr>
            <w:tcW w:w="3512" w:type="dxa"/>
            <w:shd w:val="clear" w:color="auto" w:fill="auto"/>
          </w:tcPr>
          <w:p w14:paraId="59AED033" w14:textId="77777777" w:rsidR="001C2F95" w:rsidRPr="00730A4A" w:rsidRDefault="001C2F95" w:rsidP="001F7D03">
            <w:pPr>
              <w:rPr>
                <w:bCs/>
                <w:sz w:val="22"/>
                <w:szCs w:val="20"/>
                <w:u w:val="single"/>
                <w:lang w:val="en-US"/>
              </w:rPr>
            </w:pPr>
            <w:r w:rsidRPr="00730A4A">
              <w:rPr>
                <w:bCs/>
                <w:sz w:val="22"/>
                <w:szCs w:val="20"/>
                <w:u w:val="single"/>
                <w:lang w:val="en-US"/>
              </w:rPr>
              <w:t>Risques d’EAS/HS</w:t>
            </w:r>
          </w:p>
          <w:p w14:paraId="22762047"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Pr>
                <w:szCs w:val="20"/>
                <w:lang w:val="fr-FR"/>
              </w:rPr>
            </w:pPr>
            <w:r w:rsidRPr="00730A4A">
              <w:rPr>
                <w:szCs w:val="20"/>
                <w:lang w:val="fr-FR"/>
              </w:rPr>
              <w:t>Contrôle de l’efficience des mesures de gestion des risques liés à l’EAS/HS préconisées par le Projet ;</w:t>
            </w:r>
          </w:p>
          <w:p w14:paraId="28C0FEEA"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Pr>
                <w:szCs w:val="20"/>
                <w:lang w:val="fr-FR"/>
              </w:rPr>
            </w:pPr>
            <w:r w:rsidRPr="00730A4A">
              <w:rPr>
                <w:szCs w:val="20"/>
                <w:lang w:val="fr-FR"/>
              </w:rPr>
              <w:t>Application des mesures d’incident lié à l’EAS/HS ;</w:t>
            </w:r>
          </w:p>
          <w:p w14:paraId="0F00168D"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Pr>
                <w:szCs w:val="20"/>
                <w:lang w:val="fr-FR"/>
              </w:rPr>
            </w:pPr>
            <w:r w:rsidRPr="00730A4A">
              <w:rPr>
                <w:szCs w:val="20"/>
                <w:lang w:val="fr-FR"/>
              </w:rPr>
              <w:t>Contrôler les activités de sensibilisation de lutte contre les VBG, y compris l’EAS/HS ;</w:t>
            </w:r>
          </w:p>
          <w:p w14:paraId="116DD3E7" w14:textId="77777777" w:rsidR="001357AB" w:rsidRPr="00730A4A" w:rsidRDefault="001C2F95" w:rsidP="00730A4A">
            <w:pPr>
              <w:pStyle w:val="TableParagraph"/>
              <w:numPr>
                <w:ilvl w:val="0"/>
                <w:numId w:val="93"/>
              </w:numPr>
              <w:tabs>
                <w:tab w:val="left" w:pos="668"/>
              </w:tabs>
              <w:autoSpaceDE w:val="0"/>
              <w:autoSpaceDN w:val="0"/>
              <w:spacing w:before="32" w:line="232" w:lineRule="auto"/>
              <w:ind w:left="243"/>
              <w:rPr>
                <w:szCs w:val="20"/>
                <w:lang w:val="fr-FR"/>
              </w:rPr>
            </w:pPr>
            <w:r w:rsidRPr="00730A4A">
              <w:rPr>
                <w:szCs w:val="20"/>
                <w:lang w:val="fr-FR"/>
              </w:rPr>
              <w:t>Contrôler le référencement des survivant(e)s aux services de prise en charge ;</w:t>
            </w:r>
          </w:p>
          <w:p w14:paraId="3D66ECA1"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Pr>
                <w:szCs w:val="20"/>
                <w:lang w:val="fr-FR"/>
              </w:rPr>
            </w:pPr>
            <w:r w:rsidRPr="00730A4A">
              <w:rPr>
                <w:szCs w:val="20"/>
                <w:lang w:val="fr-FR"/>
              </w:rPr>
              <w:t>Contrôler le fonctionnement du MGP quant aux plaintes liées à l’EAS/HS.</w:t>
            </w:r>
          </w:p>
        </w:tc>
        <w:tc>
          <w:tcPr>
            <w:tcW w:w="3469" w:type="dxa"/>
            <w:shd w:val="clear" w:color="auto" w:fill="auto"/>
          </w:tcPr>
          <w:p w14:paraId="3090C0AB"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right="34"/>
              <w:rPr>
                <w:szCs w:val="20"/>
                <w:lang w:val="fr-FR"/>
              </w:rPr>
            </w:pPr>
            <w:r w:rsidRPr="00730A4A">
              <w:rPr>
                <w:szCs w:val="20"/>
                <w:lang w:val="fr-FR"/>
              </w:rPr>
              <w:t>Prise en compte des mesures de gestion des risques et leur application ;</w:t>
            </w:r>
          </w:p>
          <w:p w14:paraId="3C3C3457"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right="34"/>
              <w:rPr>
                <w:szCs w:val="20"/>
                <w:lang w:val="fr-FR"/>
              </w:rPr>
            </w:pPr>
            <w:r w:rsidRPr="00730A4A">
              <w:rPr>
                <w:szCs w:val="20"/>
                <w:lang w:val="fr-FR"/>
              </w:rPr>
              <w:t>Nombre de séances de sensibilisation ;</w:t>
            </w:r>
          </w:p>
          <w:p w14:paraId="6CB0CDBC"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right="34"/>
              <w:rPr>
                <w:szCs w:val="20"/>
                <w:lang w:val="fr-FR"/>
              </w:rPr>
            </w:pPr>
            <w:r w:rsidRPr="00730A4A">
              <w:rPr>
                <w:szCs w:val="20"/>
                <w:lang w:val="fr-FR"/>
              </w:rPr>
              <w:t>Nombre de personnes touchées au cours des séances de sensibilisation ;</w:t>
            </w:r>
          </w:p>
          <w:p w14:paraId="55D1A739"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right="34"/>
              <w:rPr>
                <w:szCs w:val="20"/>
                <w:lang w:val="fr-FR"/>
              </w:rPr>
            </w:pPr>
            <w:r w:rsidRPr="00730A4A">
              <w:rPr>
                <w:szCs w:val="20"/>
                <w:lang w:val="fr-FR"/>
              </w:rPr>
              <w:t>Nombre de structures d’offre des services de prise en charge ;</w:t>
            </w:r>
          </w:p>
          <w:p w14:paraId="67090E58"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right="34"/>
              <w:rPr>
                <w:szCs w:val="20"/>
                <w:lang w:val="fr-FR"/>
              </w:rPr>
            </w:pPr>
            <w:r w:rsidRPr="00730A4A">
              <w:rPr>
                <w:szCs w:val="20"/>
                <w:lang w:val="fr-FR"/>
              </w:rPr>
              <w:t>Le respect des principes directeurs de prise en charge des survivantes des violences basées sur le genre/EAS/HS ;</w:t>
            </w:r>
          </w:p>
          <w:p w14:paraId="61784199"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right="34"/>
              <w:rPr>
                <w:szCs w:val="20"/>
                <w:lang w:val="fr-FR"/>
              </w:rPr>
            </w:pPr>
            <w:r w:rsidRPr="00730A4A">
              <w:rPr>
                <w:szCs w:val="20"/>
                <w:lang w:val="fr-FR"/>
              </w:rPr>
              <w:t>Nombre de cas traités au MGP.</w:t>
            </w:r>
          </w:p>
          <w:p w14:paraId="5D797F8B" w14:textId="77777777" w:rsidR="00434DB7" w:rsidRPr="00730A4A" w:rsidRDefault="00434DB7" w:rsidP="00730A4A">
            <w:pPr>
              <w:numPr>
                <w:ilvl w:val="0"/>
                <w:numId w:val="93"/>
              </w:numPr>
              <w:autoSpaceDE w:val="0"/>
              <w:autoSpaceDN w:val="0"/>
              <w:adjustRightInd w:val="0"/>
              <w:spacing w:line="240" w:lineRule="auto"/>
              <w:ind w:right="34"/>
              <w:jc w:val="left"/>
              <w:rPr>
                <w:sz w:val="22"/>
                <w:szCs w:val="20"/>
              </w:rPr>
            </w:pPr>
            <w:r w:rsidRPr="00730A4A">
              <w:rPr>
                <w:sz w:val="22"/>
                <w:szCs w:val="20"/>
              </w:rPr>
              <w:t>Nombre de séances de formation de travailleurs et personnel du Projet en VBG ventilées par sexe ;</w:t>
            </w:r>
          </w:p>
          <w:p w14:paraId="191EE618" w14:textId="77777777" w:rsidR="00434DB7" w:rsidRPr="00730A4A" w:rsidRDefault="00434DB7" w:rsidP="00730A4A">
            <w:pPr>
              <w:numPr>
                <w:ilvl w:val="0"/>
                <w:numId w:val="93"/>
              </w:numPr>
              <w:autoSpaceDE w:val="0"/>
              <w:autoSpaceDN w:val="0"/>
              <w:adjustRightInd w:val="0"/>
              <w:spacing w:line="240" w:lineRule="auto"/>
              <w:ind w:right="34"/>
              <w:jc w:val="left"/>
              <w:rPr>
                <w:sz w:val="22"/>
                <w:szCs w:val="20"/>
              </w:rPr>
            </w:pPr>
            <w:r w:rsidRPr="00730A4A">
              <w:rPr>
                <w:sz w:val="22"/>
                <w:szCs w:val="20"/>
              </w:rPr>
              <w:t>Nombre de séances de recyclage de travailleurs et personnel du Projet en VBG ;</w:t>
            </w:r>
          </w:p>
          <w:p w14:paraId="516DDE17" w14:textId="77777777" w:rsidR="00434DB7" w:rsidRPr="00730A4A" w:rsidRDefault="00434DB7" w:rsidP="00730A4A">
            <w:pPr>
              <w:numPr>
                <w:ilvl w:val="0"/>
                <w:numId w:val="93"/>
              </w:numPr>
              <w:autoSpaceDE w:val="0"/>
              <w:autoSpaceDN w:val="0"/>
              <w:adjustRightInd w:val="0"/>
              <w:spacing w:line="240" w:lineRule="auto"/>
              <w:ind w:right="34"/>
              <w:jc w:val="left"/>
              <w:rPr>
                <w:sz w:val="22"/>
                <w:szCs w:val="20"/>
              </w:rPr>
            </w:pPr>
            <w:r w:rsidRPr="00730A4A">
              <w:rPr>
                <w:sz w:val="22"/>
                <w:szCs w:val="20"/>
              </w:rPr>
              <w:t>% des participant(e)s aux formations en VBG qui reçoivent une note sur le post test au-delà de 70% ;</w:t>
            </w:r>
          </w:p>
          <w:p w14:paraId="7EEDFB1C" w14:textId="77777777" w:rsidR="00434DB7" w:rsidRPr="00730A4A" w:rsidRDefault="00434DB7" w:rsidP="00730A4A">
            <w:pPr>
              <w:numPr>
                <w:ilvl w:val="0"/>
                <w:numId w:val="93"/>
              </w:numPr>
              <w:autoSpaceDE w:val="0"/>
              <w:autoSpaceDN w:val="0"/>
              <w:adjustRightInd w:val="0"/>
              <w:spacing w:line="240" w:lineRule="auto"/>
              <w:ind w:right="34"/>
              <w:jc w:val="left"/>
              <w:rPr>
                <w:sz w:val="22"/>
                <w:szCs w:val="20"/>
              </w:rPr>
            </w:pPr>
            <w:r w:rsidRPr="00730A4A">
              <w:rPr>
                <w:sz w:val="22"/>
                <w:szCs w:val="20"/>
              </w:rPr>
              <w:t>% de survivant(e)s qui se présentent dans les 72 heures suivant un incident de viol sont référées pour la PEC médicale ;</w:t>
            </w:r>
          </w:p>
          <w:p w14:paraId="0AC74A73" w14:textId="77777777" w:rsidR="00434DB7" w:rsidRPr="00730A4A" w:rsidRDefault="00434DB7" w:rsidP="00730A4A">
            <w:pPr>
              <w:numPr>
                <w:ilvl w:val="0"/>
                <w:numId w:val="93"/>
              </w:numPr>
              <w:autoSpaceDE w:val="0"/>
              <w:autoSpaceDN w:val="0"/>
              <w:adjustRightInd w:val="0"/>
              <w:spacing w:line="240" w:lineRule="auto"/>
              <w:ind w:right="34"/>
              <w:jc w:val="left"/>
              <w:rPr>
                <w:sz w:val="22"/>
                <w:szCs w:val="20"/>
              </w:rPr>
            </w:pPr>
            <w:r w:rsidRPr="00730A4A">
              <w:rPr>
                <w:sz w:val="22"/>
                <w:szCs w:val="20"/>
              </w:rPr>
              <w:t>% de survivant(e)s référées pour la prise en charge psychosociale ;</w:t>
            </w:r>
          </w:p>
          <w:p w14:paraId="1A7FD933" w14:textId="77777777" w:rsidR="00434DB7" w:rsidRPr="00730A4A" w:rsidRDefault="00434DB7" w:rsidP="00730A4A">
            <w:pPr>
              <w:numPr>
                <w:ilvl w:val="0"/>
                <w:numId w:val="93"/>
              </w:numPr>
              <w:autoSpaceDE w:val="0"/>
              <w:autoSpaceDN w:val="0"/>
              <w:adjustRightInd w:val="0"/>
              <w:spacing w:line="240" w:lineRule="auto"/>
              <w:ind w:right="34"/>
              <w:jc w:val="left"/>
              <w:rPr>
                <w:sz w:val="22"/>
                <w:szCs w:val="20"/>
              </w:rPr>
            </w:pPr>
            <w:r w:rsidRPr="00730A4A">
              <w:rPr>
                <w:sz w:val="22"/>
                <w:szCs w:val="20"/>
              </w:rPr>
              <w:t>% de survivant(e)s qui sollicitent un appui juridique sont référées à ces services ;</w:t>
            </w:r>
          </w:p>
          <w:p w14:paraId="35BC2E94" w14:textId="77777777" w:rsidR="00434DB7" w:rsidRPr="00730A4A" w:rsidRDefault="00434DB7" w:rsidP="00730A4A">
            <w:pPr>
              <w:numPr>
                <w:ilvl w:val="0"/>
                <w:numId w:val="93"/>
              </w:numPr>
              <w:autoSpaceDE w:val="0"/>
              <w:autoSpaceDN w:val="0"/>
              <w:adjustRightInd w:val="0"/>
              <w:spacing w:line="240" w:lineRule="auto"/>
              <w:ind w:right="34"/>
              <w:jc w:val="left"/>
              <w:rPr>
                <w:sz w:val="22"/>
                <w:szCs w:val="20"/>
              </w:rPr>
            </w:pPr>
            <w:r w:rsidRPr="00730A4A">
              <w:rPr>
                <w:sz w:val="22"/>
                <w:szCs w:val="20"/>
              </w:rPr>
              <w:t>Nombre de plaintes d’EAS/HS (sans cible) qui sont reçues par le MGP ;</w:t>
            </w:r>
          </w:p>
          <w:p w14:paraId="0F53AE53" w14:textId="77777777" w:rsidR="00434DB7" w:rsidRPr="00730A4A" w:rsidRDefault="00434DB7" w:rsidP="00730A4A">
            <w:pPr>
              <w:numPr>
                <w:ilvl w:val="0"/>
                <w:numId w:val="93"/>
              </w:numPr>
              <w:autoSpaceDE w:val="0"/>
              <w:autoSpaceDN w:val="0"/>
              <w:adjustRightInd w:val="0"/>
              <w:spacing w:line="240" w:lineRule="auto"/>
              <w:ind w:right="34"/>
              <w:jc w:val="left"/>
              <w:rPr>
                <w:sz w:val="22"/>
                <w:szCs w:val="20"/>
              </w:rPr>
            </w:pPr>
            <w:r w:rsidRPr="00730A4A">
              <w:rPr>
                <w:sz w:val="22"/>
                <w:szCs w:val="20"/>
              </w:rPr>
              <w:t>% de plaintes d’EAS/HS au MGP qui sont résolues dans le délai prévu ;</w:t>
            </w:r>
          </w:p>
          <w:p w14:paraId="18534F5E" w14:textId="77777777" w:rsidR="00434DB7" w:rsidRPr="00730A4A" w:rsidRDefault="00434DB7" w:rsidP="00730A4A">
            <w:pPr>
              <w:numPr>
                <w:ilvl w:val="0"/>
                <w:numId w:val="93"/>
              </w:numPr>
              <w:autoSpaceDE w:val="0"/>
              <w:autoSpaceDN w:val="0"/>
              <w:adjustRightInd w:val="0"/>
              <w:spacing w:line="240" w:lineRule="auto"/>
              <w:ind w:right="34"/>
              <w:jc w:val="left"/>
              <w:rPr>
                <w:sz w:val="22"/>
                <w:szCs w:val="20"/>
              </w:rPr>
            </w:pPr>
            <w:r w:rsidRPr="00730A4A">
              <w:rPr>
                <w:sz w:val="22"/>
                <w:szCs w:val="20"/>
              </w:rPr>
              <w:t>% de plaintes d’EAS/HS au MGP qui ne sont pas résolues dans le délai prévu ;</w:t>
            </w:r>
          </w:p>
          <w:p w14:paraId="4F1878E1" w14:textId="77777777" w:rsidR="00434DB7" w:rsidRPr="00730A4A" w:rsidRDefault="00434DB7" w:rsidP="00730A4A">
            <w:pPr>
              <w:numPr>
                <w:ilvl w:val="0"/>
                <w:numId w:val="93"/>
              </w:numPr>
              <w:autoSpaceDE w:val="0"/>
              <w:autoSpaceDN w:val="0"/>
              <w:adjustRightInd w:val="0"/>
              <w:spacing w:line="240" w:lineRule="auto"/>
              <w:ind w:right="34"/>
              <w:jc w:val="left"/>
              <w:rPr>
                <w:sz w:val="22"/>
                <w:szCs w:val="20"/>
              </w:rPr>
            </w:pPr>
            <w:r w:rsidRPr="00730A4A">
              <w:rPr>
                <w:sz w:val="22"/>
                <w:szCs w:val="20"/>
              </w:rPr>
              <w:t>Le délai moyen pour résoudre une plainte d’EAS/HS à travers le MGP ;</w:t>
            </w:r>
          </w:p>
          <w:p w14:paraId="78E21E43" w14:textId="77777777" w:rsidR="00434DB7" w:rsidRPr="00730A4A" w:rsidRDefault="00434DB7" w:rsidP="00730A4A">
            <w:pPr>
              <w:numPr>
                <w:ilvl w:val="0"/>
                <w:numId w:val="93"/>
              </w:numPr>
              <w:autoSpaceDE w:val="0"/>
              <w:autoSpaceDN w:val="0"/>
              <w:adjustRightInd w:val="0"/>
              <w:spacing w:line="240" w:lineRule="auto"/>
              <w:ind w:right="34"/>
              <w:jc w:val="left"/>
              <w:rPr>
                <w:sz w:val="22"/>
                <w:szCs w:val="20"/>
              </w:rPr>
            </w:pPr>
            <w:r w:rsidRPr="00730A4A">
              <w:rPr>
                <w:sz w:val="22"/>
                <w:szCs w:val="20"/>
              </w:rPr>
              <w:t>Nombre de campagnes de sensibilisations sur les VBG, les comportements interdits, et le MGP ;</w:t>
            </w:r>
          </w:p>
          <w:p w14:paraId="15AFD7F8" w14:textId="77777777" w:rsidR="00434DB7" w:rsidRPr="00730A4A" w:rsidRDefault="00434DB7" w:rsidP="00730A4A">
            <w:pPr>
              <w:numPr>
                <w:ilvl w:val="0"/>
                <w:numId w:val="93"/>
              </w:numPr>
              <w:autoSpaceDE w:val="0"/>
              <w:autoSpaceDN w:val="0"/>
              <w:adjustRightInd w:val="0"/>
              <w:spacing w:line="240" w:lineRule="auto"/>
              <w:ind w:right="34"/>
              <w:jc w:val="left"/>
              <w:rPr>
                <w:sz w:val="22"/>
                <w:szCs w:val="20"/>
              </w:rPr>
            </w:pPr>
            <w:r w:rsidRPr="00730A4A">
              <w:rPr>
                <w:sz w:val="22"/>
                <w:szCs w:val="20"/>
              </w:rPr>
              <w:t>Nombre de populations ciblées / sensibilisées ventilées par sexe et par âge.</w:t>
            </w:r>
          </w:p>
          <w:p w14:paraId="15FD00AA" w14:textId="77777777" w:rsidR="00434DB7" w:rsidRPr="00730A4A" w:rsidRDefault="00434DB7" w:rsidP="00730A4A">
            <w:pPr>
              <w:pStyle w:val="TableParagraph"/>
              <w:numPr>
                <w:ilvl w:val="0"/>
                <w:numId w:val="93"/>
              </w:numPr>
              <w:tabs>
                <w:tab w:val="left" w:pos="668"/>
              </w:tabs>
              <w:autoSpaceDE w:val="0"/>
              <w:autoSpaceDN w:val="0"/>
              <w:spacing w:before="32" w:line="232" w:lineRule="auto"/>
              <w:ind w:right="34"/>
              <w:rPr>
                <w:szCs w:val="20"/>
                <w:lang w:val="fr-FR"/>
              </w:rPr>
            </w:pPr>
          </w:p>
        </w:tc>
      </w:tr>
      <w:tr w:rsidR="001C2F95" w:rsidRPr="00BE2822" w14:paraId="0F798612" w14:textId="77777777" w:rsidTr="00730A4A">
        <w:tc>
          <w:tcPr>
            <w:tcW w:w="2795" w:type="dxa"/>
            <w:shd w:val="clear" w:color="auto" w:fill="auto"/>
          </w:tcPr>
          <w:p w14:paraId="319A2DB3" w14:textId="77777777" w:rsidR="001C2F95" w:rsidRPr="00730A4A" w:rsidRDefault="001C2F95" w:rsidP="00730A4A">
            <w:pPr>
              <w:pStyle w:val="TableParagraph"/>
              <w:spacing w:line="214" w:lineRule="exact"/>
              <w:rPr>
                <w:szCs w:val="20"/>
              </w:rPr>
            </w:pPr>
            <w:r w:rsidRPr="00730A4A">
              <w:rPr>
                <w:szCs w:val="20"/>
              </w:rPr>
              <w:t>Qualité de vie</w:t>
            </w:r>
          </w:p>
        </w:tc>
        <w:tc>
          <w:tcPr>
            <w:tcW w:w="3512" w:type="dxa"/>
            <w:shd w:val="clear" w:color="auto" w:fill="auto"/>
          </w:tcPr>
          <w:p w14:paraId="02D7FC5B" w14:textId="77777777" w:rsidR="001C2F95" w:rsidRPr="00730A4A" w:rsidRDefault="001C2F95" w:rsidP="00730A4A">
            <w:pPr>
              <w:pStyle w:val="TableParagraph"/>
              <w:spacing w:line="216" w:lineRule="exact"/>
              <w:ind w:left="108"/>
              <w:rPr>
                <w:szCs w:val="20"/>
                <w:lang w:val="fr-FR"/>
              </w:rPr>
            </w:pPr>
            <w:r w:rsidRPr="00730A4A">
              <w:rPr>
                <w:szCs w:val="20"/>
                <w:lang w:val="fr-FR"/>
              </w:rPr>
              <w:t>S’assurer</w:t>
            </w:r>
            <w:r w:rsidRPr="00730A4A">
              <w:rPr>
                <w:spacing w:val="-27"/>
                <w:szCs w:val="20"/>
                <w:lang w:val="fr-FR"/>
              </w:rPr>
              <w:t xml:space="preserve"> </w:t>
            </w:r>
            <w:r w:rsidRPr="00730A4A">
              <w:rPr>
                <w:szCs w:val="20"/>
                <w:lang w:val="fr-FR"/>
              </w:rPr>
              <w:t>que</w:t>
            </w:r>
            <w:r w:rsidRPr="00730A4A">
              <w:rPr>
                <w:spacing w:val="-25"/>
                <w:szCs w:val="20"/>
                <w:lang w:val="fr-FR"/>
              </w:rPr>
              <w:t xml:space="preserve"> </w:t>
            </w:r>
            <w:r w:rsidRPr="00730A4A">
              <w:rPr>
                <w:szCs w:val="20"/>
                <w:lang w:val="fr-FR"/>
              </w:rPr>
              <w:t>les</w:t>
            </w:r>
            <w:r w:rsidRPr="00730A4A">
              <w:rPr>
                <w:spacing w:val="-27"/>
                <w:szCs w:val="20"/>
                <w:lang w:val="fr-FR"/>
              </w:rPr>
              <w:t xml:space="preserve"> </w:t>
            </w:r>
            <w:r w:rsidRPr="00730A4A">
              <w:rPr>
                <w:szCs w:val="20"/>
                <w:lang w:val="fr-FR"/>
              </w:rPr>
              <w:t>conditions</w:t>
            </w:r>
            <w:r w:rsidRPr="00730A4A">
              <w:rPr>
                <w:spacing w:val="-26"/>
                <w:szCs w:val="20"/>
                <w:lang w:val="fr-FR"/>
              </w:rPr>
              <w:t xml:space="preserve"> </w:t>
            </w:r>
            <w:r w:rsidRPr="00730A4A">
              <w:rPr>
                <w:szCs w:val="20"/>
                <w:lang w:val="fr-FR"/>
              </w:rPr>
              <w:t>de</w:t>
            </w:r>
            <w:r w:rsidRPr="00730A4A">
              <w:rPr>
                <w:spacing w:val="-26"/>
                <w:szCs w:val="20"/>
                <w:lang w:val="fr-FR"/>
              </w:rPr>
              <w:t xml:space="preserve"> </w:t>
            </w:r>
            <w:r w:rsidRPr="00730A4A">
              <w:rPr>
                <w:szCs w:val="20"/>
                <w:lang w:val="fr-FR"/>
              </w:rPr>
              <w:t>vie</w:t>
            </w:r>
            <w:r w:rsidRPr="00730A4A">
              <w:rPr>
                <w:spacing w:val="-26"/>
                <w:szCs w:val="20"/>
                <w:lang w:val="fr-FR"/>
              </w:rPr>
              <w:t xml:space="preserve"> </w:t>
            </w:r>
            <w:r w:rsidRPr="00730A4A">
              <w:rPr>
                <w:szCs w:val="20"/>
                <w:lang w:val="fr-FR"/>
              </w:rPr>
              <w:t>des travailleurs non-résidents et des personnes déplacées ne soient</w:t>
            </w:r>
            <w:r w:rsidRPr="00730A4A">
              <w:rPr>
                <w:spacing w:val="-34"/>
                <w:szCs w:val="20"/>
                <w:lang w:val="fr-FR"/>
              </w:rPr>
              <w:t xml:space="preserve"> </w:t>
            </w:r>
            <w:r w:rsidRPr="00730A4A">
              <w:rPr>
                <w:szCs w:val="20"/>
                <w:lang w:val="fr-FR"/>
              </w:rPr>
              <w:t>pas réduites par le Projet.</w:t>
            </w:r>
          </w:p>
        </w:tc>
        <w:tc>
          <w:tcPr>
            <w:tcW w:w="3469" w:type="dxa"/>
            <w:shd w:val="clear" w:color="auto" w:fill="auto"/>
          </w:tcPr>
          <w:p w14:paraId="32F8D7BF"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d’inspections des lieux de travail et des campements (s’il y a lieu) effectuées selon les règles établies par le Projet, y compris les conditions et la sécurité des logements et/ou installations sanitaires.</w:t>
            </w:r>
          </w:p>
        </w:tc>
      </w:tr>
      <w:tr w:rsidR="001C2F95" w:rsidRPr="00BE2822" w14:paraId="7293A7A9" w14:textId="77777777" w:rsidTr="00730A4A">
        <w:tc>
          <w:tcPr>
            <w:tcW w:w="2795" w:type="dxa"/>
            <w:shd w:val="clear" w:color="auto" w:fill="auto"/>
          </w:tcPr>
          <w:p w14:paraId="44191630" w14:textId="77777777" w:rsidR="001C2F95" w:rsidRPr="00730A4A" w:rsidRDefault="001C2F95" w:rsidP="00730A4A">
            <w:pPr>
              <w:pStyle w:val="TableParagraph"/>
              <w:spacing w:line="213" w:lineRule="exact"/>
              <w:rPr>
                <w:szCs w:val="20"/>
              </w:rPr>
            </w:pPr>
            <w:r w:rsidRPr="00730A4A">
              <w:rPr>
                <w:szCs w:val="20"/>
              </w:rPr>
              <w:t>Qualité de vie (suite)</w:t>
            </w:r>
          </w:p>
        </w:tc>
        <w:tc>
          <w:tcPr>
            <w:tcW w:w="3512" w:type="dxa"/>
            <w:shd w:val="clear" w:color="auto" w:fill="auto"/>
          </w:tcPr>
          <w:p w14:paraId="11750B61" w14:textId="77777777" w:rsidR="001C2F95" w:rsidRPr="00730A4A" w:rsidRDefault="001C2F95" w:rsidP="00730A4A">
            <w:pPr>
              <w:pStyle w:val="TableParagraph"/>
              <w:spacing w:line="228" w:lineRule="exact"/>
              <w:ind w:left="108"/>
              <w:rPr>
                <w:szCs w:val="20"/>
                <w:lang w:val="fr-FR"/>
              </w:rPr>
            </w:pPr>
            <w:r w:rsidRPr="00730A4A">
              <w:rPr>
                <w:szCs w:val="20"/>
                <w:lang w:val="fr-FR"/>
              </w:rPr>
              <w:t>S’assurer de minimiser les nuisances inévitables du Projet.</w:t>
            </w:r>
          </w:p>
        </w:tc>
        <w:tc>
          <w:tcPr>
            <w:tcW w:w="3469" w:type="dxa"/>
            <w:shd w:val="clear" w:color="auto" w:fill="auto"/>
          </w:tcPr>
          <w:p w14:paraId="524236D8"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et types de nuisances n’ayant pu être évités ;</w:t>
            </w:r>
          </w:p>
          <w:p w14:paraId="513ED58F" w14:textId="77777777" w:rsidR="001C2F95" w:rsidRPr="00730A4A" w:rsidRDefault="001C2F95" w:rsidP="00730A4A">
            <w:pPr>
              <w:pStyle w:val="TableParagraph"/>
              <w:numPr>
                <w:ilvl w:val="0"/>
                <w:numId w:val="93"/>
              </w:numPr>
              <w:tabs>
                <w:tab w:val="left" w:pos="668"/>
              </w:tabs>
              <w:autoSpaceDE w:val="0"/>
              <w:autoSpaceDN w:val="0"/>
              <w:spacing w:before="32" w:line="235" w:lineRule="auto"/>
              <w:ind w:left="243" w:right="34"/>
              <w:rPr>
                <w:szCs w:val="20"/>
                <w:lang w:val="fr-FR"/>
              </w:rPr>
            </w:pPr>
            <w:r w:rsidRPr="00730A4A">
              <w:rPr>
                <w:szCs w:val="20"/>
                <w:lang w:val="fr-FR"/>
              </w:rPr>
              <w:t>Nombre d’engins à moteur utilisés par le Projet comparé au nombre d’engins munis d’équipements silencieux.</w:t>
            </w:r>
          </w:p>
        </w:tc>
      </w:tr>
      <w:tr w:rsidR="001C2F95" w:rsidRPr="00BE2822" w14:paraId="452FA4A7" w14:textId="77777777" w:rsidTr="00730A4A">
        <w:tc>
          <w:tcPr>
            <w:tcW w:w="2795" w:type="dxa"/>
            <w:vMerge w:val="restart"/>
            <w:shd w:val="clear" w:color="auto" w:fill="auto"/>
          </w:tcPr>
          <w:p w14:paraId="259400FF" w14:textId="77777777" w:rsidR="001C2F95" w:rsidRPr="00730A4A" w:rsidRDefault="001C2F95" w:rsidP="00730A4A">
            <w:pPr>
              <w:pStyle w:val="TableParagraph"/>
              <w:spacing w:line="213" w:lineRule="exact"/>
              <w:rPr>
                <w:szCs w:val="20"/>
              </w:rPr>
            </w:pPr>
            <w:r w:rsidRPr="00730A4A">
              <w:rPr>
                <w:szCs w:val="20"/>
              </w:rPr>
              <w:t>Santé et sécurité</w:t>
            </w:r>
          </w:p>
        </w:tc>
        <w:tc>
          <w:tcPr>
            <w:tcW w:w="3512" w:type="dxa"/>
            <w:shd w:val="clear" w:color="auto" w:fill="auto"/>
          </w:tcPr>
          <w:p w14:paraId="39F70131" w14:textId="77777777" w:rsidR="001C2F95" w:rsidRPr="00730A4A" w:rsidRDefault="001C2F95" w:rsidP="00730A4A">
            <w:pPr>
              <w:pStyle w:val="TableParagraph"/>
              <w:spacing w:before="30" w:line="232" w:lineRule="auto"/>
              <w:ind w:left="108"/>
              <w:rPr>
                <w:szCs w:val="20"/>
                <w:lang w:val="fr-FR"/>
              </w:rPr>
            </w:pPr>
            <w:r w:rsidRPr="00730A4A">
              <w:rPr>
                <w:szCs w:val="20"/>
                <w:lang w:val="fr-FR"/>
              </w:rPr>
              <w:t>S’assurer que le Projet n’augmentera pas les incidences de maladies sexuellement transmissibles</w:t>
            </w:r>
            <w:r w:rsidR="00434DB7" w:rsidRPr="00730A4A">
              <w:rPr>
                <w:szCs w:val="20"/>
                <w:lang w:val="fr-FR"/>
              </w:rPr>
              <w:t xml:space="preserve"> et et de maladies contagieuses comme la COVID-19 et le virus Ébola</w:t>
            </w:r>
          </w:p>
        </w:tc>
        <w:tc>
          <w:tcPr>
            <w:tcW w:w="3469" w:type="dxa"/>
            <w:shd w:val="clear" w:color="auto" w:fill="auto"/>
          </w:tcPr>
          <w:p w14:paraId="53F58460"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 xml:space="preserve">Nombre de cas de campagnes sur les IST/VIH-SIDA et COVID-19 </w:t>
            </w:r>
            <w:r w:rsidR="00434DB7" w:rsidRPr="00730A4A">
              <w:rPr>
                <w:szCs w:val="20"/>
                <w:lang w:val="fr-FR"/>
              </w:rPr>
              <w:t xml:space="preserve">et Ebola </w:t>
            </w:r>
            <w:r w:rsidRPr="00730A4A">
              <w:rPr>
                <w:szCs w:val="20"/>
                <w:lang w:val="fr-FR"/>
              </w:rPr>
              <w:t>organisées ;</w:t>
            </w:r>
          </w:p>
          <w:p w14:paraId="0CE42CF9" w14:textId="77777777" w:rsidR="00434DB7" w:rsidRPr="00730A4A" w:rsidRDefault="00434DB7"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des cas d’infection</w:t>
            </w:r>
          </w:p>
          <w:p w14:paraId="289DF49F"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Modules développés lors des campagnes de</w:t>
            </w:r>
          </w:p>
          <w:p w14:paraId="4EBE3906"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sensibilisation ;</w:t>
            </w:r>
          </w:p>
          <w:p w14:paraId="729E7D09"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préservatifs distribués aux travailleurs.</w:t>
            </w:r>
          </w:p>
        </w:tc>
      </w:tr>
      <w:tr w:rsidR="001C2F95" w:rsidRPr="00BE2822" w14:paraId="0CC6458A" w14:textId="77777777" w:rsidTr="00730A4A">
        <w:tc>
          <w:tcPr>
            <w:tcW w:w="2795" w:type="dxa"/>
            <w:vMerge/>
            <w:shd w:val="clear" w:color="auto" w:fill="auto"/>
          </w:tcPr>
          <w:p w14:paraId="4FCC612D" w14:textId="77777777" w:rsidR="001C2F95" w:rsidRPr="00730A4A" w:rsidRDefault="001C2F95" w:rsidP="00971FD2">
            <w:pPr>
              <w:rPr>
                <w:sz w:val="22"/>
                <w:szCs w:val="20"/>
              </w:rPr>
            </w:pPr>
          </w:p>
        </w:tc>
        <w:tc>
          <w:tcPr>
            <w:tcW w:w="3512" w:type="dxa"/>
            <w:shd w:val="clear" w:color="auto" w:fill="auto"/>
          </w:tcPr>
          <w:p w14:paraId="6EB8D243" w14:textId="77777777" w:rsidR="001C2F95" w:rsidRPr="00730A4A" w:rsidRDefault="001C2F95" w:rsidP="00730A4A">
            <w:pPr>
              <w:pStyle w:val="TableParagraph"/>
              <w:spacing w:line="235" w:lineRule="auto"/>
              <w:ind w:left="108"/>
              <w:rPr>
                <w:szCs w:val="20"/>
                <w:lang w:val="fr-FR"/>
              </w:rPr>
            </w:pPr>
            <w:r w:rsidRPr="00730A4A">
              <w:rPr>
                <w:szCs w:val="20"/>
                <w:lang w:val="fr-FR"/>
              </w:rPr>
              <w:t>Minimiser les risques d’accidents tant pour les travailleurs que pour la population environnante.</w:t>
            </w:r>
          </w:p>
        </w:tc>
        <w:tc>
          <w:tcPr>
            <w:tcW w:w="3469" w:type="dxa"/>
            <w:shd w:val="clear" w:color="auto" w:fill="auto"/>
          </w:tcPr>
          <w:p w14:paraId="43674927"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 nombre d’accidents de travail ;</w:t>
            </w:r>
          </w:p>
          <w:p w14:paraId="6C6E3DE6"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Les types d’accidents de travail ;</w:t>
            </w:r>
          </w:p>
          <w:p w14:paraId="5C498D80"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Le nombre d’employés ayant reçu l’équipement de protection individuelle comparé au nombre total d’employés.</w:t>
            </w:r>
          </w:p>
        </w:tc>
      </w:tr>
      <w:tr w:rsidR="001C2F95" w:rsidRPr="00BE2822" w14:paraId="1F62F950" w14:textId="77777777" w:rsidTr="00730A4A">
        <w:tc>
          <w:tcPr>
            <w:tcW w:w="2795" w:type="dxa"/>
            <w:vMerge w:val="restart"/>
            <w:shd w:val="clear" w:color="auto" w:fill="auto"/>
          </w:tcPr>
          <w:p w14:paraId="2D667109" w14:textId="77777777" w:rsidR="001C2F95" w:rsidRPr="00730A4A" w:rsidRDefault="001C2F95" w:rsidP="00730A4A">
            <w:pPr>
              <w:pStyle w:val="TableParagraph"/>
              <w:spacing w:line="213" w:lineRule="exact"/>
              <w:rPr>
                <w:szCs w:val="20"/>
              </w:rPr>
            </w:pPr>
            <w:r w:rsidRPr="00730A4A">
              <w:rPr>
                <w:szCs w:val="20"/>
              </w:rPr>
              <w:t>Utilisation du sol</w:t>
            </w:r>
          </w:p>
        </w:tc>
        <w:tc>
          <w:tcPr>
            <w:tcW w:w="3512" w:type="dxa"/>
            <w:shd w:val="clear" w:color="auto" w:fill="auto"/>
          </w:tcPr>
          <w:p w14:paraId="4E0B3F0F" w14:textId="77777777" w:rsidR="001C2F95" w:rsidRPr="00730A4A" w:rsidRDefault="001C2F95" w:rsidP="00730A4A">
            <w:pPr>
              <w:pStyle w:val="TableParagraph"/>
              <w:spacing w:line="211" w:lineRule="exact"/>
              <w:ind w:left="108"/>
              <w:rPr>
                <w:szCs w:val="20"/>
                <w:lang w:val="fr-FR"/>
              </w:rPr>
            </w:pPr>
            <w:r w:rsidRPr="00730A4A">
              <w:rPr>
                <w:szCs w:val="20"/>
                <w:lang w:val="fr-FR"/>
              </w:rPr>
              <w:t>S’assurer de minimiser les entraves</w:t>
            </w:r>
            <w:r w:rsidRPr="00730A4A">
              <w:rPr>
                <w:spacing w:val="-28"/>
                <w:szCs w:val="20"/>
                <w:lang w:val="fr-FR"/>
              </w:rPr>
              <w:t xml:space="preserve"> </w:t>
            </w:r>
            <w:r w:rsidRPr="00730A4A">
              <w:rPr>
                <w:szCs w:val="20"/>
                <w:lang w:val="fr-FR"/>
              </w:rPr>
              <w:t>aux</w:t>
            </w:r>
            <w:r w:rsidR="001F7D03" w:rsidRPr="00730A4A">
              <w:rPr>
                <w:szCs w:val="20"/>
                <w:lang w:val="fr-FR"/>
              </w:rPr>
              <w:t xml:space="preserve"> accès de lieux </w:t>
            </w:r>
            <w:r w:rsidRPr="00730A4A">
              <w:rPr>
                <w:szCs w:val="20"/>
                <w:lang w:val="fr-FR"/>
              </w:rPr>
              <w:t>publics</w:t>
            </w:r>
            <w:r w:rsidRPr="00730A4A">
              <w:rPr>
                <w:spacing w:val="-27"/>
                <w:szCs w:val="20"/>
                <w:lang w:val="fr-FR"/>
              </w:rPr>
              <w:t xml:space="preserve"> </w:t>
            </w:r>
            <w:r w:rsidRPr="00730A4A">
              <w:rPr>
                <w:szCs w:val="20"/>
                <w:lang w:val="fr-FR"/>
              </w:rPr>
              <w:t>et</w:t>
            </w:r>
            <w:r w:rsidRPr="00730A4A">
              <w:rPr>
                <w:spacing w:val="-27"/>
                <w:szCs w:val="20"/>
                <w:lang w:val="fr-FR"/>
              </w:rPr>
              <w:t xml:space="preserve"> </w:t>
            </w:r>
            <w:r w:rsidRPr="00730A4A">
              <w:rPr>
                <w:szCs w:val="20"/>
                <w:lang w:val="fr-FR"/>
              </w:rPr>
              <w:t>à</w:t>
            </w:r>
            <w:r w:rsidRPr="00730A4A">
              <w:rPr>
                <w:spacing w:val="-27"/>
                <w:szCs w:val="20"/>
                <w:lang w:val="fr-FR"/>
              </w:rPr>
              <w:t xml:space="preserve"> </w:t>
            </w:r>
            <w:r w:rsidRPr="00730A4A">
              <w:rPr>
                <w:szCs w:val="20"/>
                <w:lang w:val="fr-FR"/>
              </w:rPr>
              <w:t>la</w:t>
            </w:r>
            <w:r w:rsidRPr="00730A4A">
              <w:rPr>
                <w:spacing w:val="-27"/>
                <w:szCs w:val="20"/>
                <w:lang w:val="fr-FR"/>
              </w:rPr>
              <w:t xml:space="preserve"> </w:t>
            </w:r>
            <w:r w:rsidRPr="00730A4A">
              <w:rPr>
                <w:szCs w:val="20"/>
                <w:lang w:val="fr-FR"/>
              </w:rPr>
              <w:t>circulation</w:t>
            </w:r>
          </w:p>
          <w:p w14:paraId="207F05A8" w14:textId="77777777" w:rsidR="001C2F95" w:rsidRPr="00730A4A" w:rsidRDefault="001C2F95" w:rsidP="00730A4A">
            <w:pPr>
              <w:pStyle w:val="TableParagraph"/>
              <w:spacing w:before="5" w:line="224" w:lineRule="exact"/>
              <w:ind w:left="108"/>
              <w:rPr>
                <w:szCs w:val="20"/>
                <w:lang w:val="fr-FR"/>
              </w:rPr>
            </w:pPr>
            <w:r w:rsidRPr="00730A4A">
              <w:rPr>
                <w:szCs w:val="20"/>
                <w:lang w:val="fr-FR"/>
              </w:rPr>
              <w:t>que</w:t>
            </w:r>
            <w:r w:rsidRPr="00730A4A">
              <w:rPr>
                <w:spacing w:val="-32"/>
                <w:szCs w:val="20"/>
                <w:lang w:val="fr-FR"/>
              </w:rPr>
              <w:t xml:space="preserve"> </w:t>
            </w:r>
            <w:r w:rsidRPr="00730A4A">
              <w:rPr>
                <w:szCs w:val="20"/>
                <w:lang w:val="fr-FR"/>
              </w:rPr>
              <w:t>pourraient</w:t>
            </w:r>
            <w:r w:rsidRPr="00730A4A">
              <w:rPr>
                <w:spacing w:val="-32"/>
                <w:szCs w:val="20"/>
                <w:lang w:val="fr-FR"/>
              </w:rPr>
              <w:t xml:space="preserve"> </w:t>
            </w:r>
            <w:r w:rsidRPr="00730A4A">
              <w:rPr>
                <w:szCs w:val="20"/>
                <w:lang w:val="fr-FR"/>
              </w:rPr>
              <w:t>occasionner</w:t>
            </w:r>
            <w:r w:rsidRPr="00730A4A">
              <w:rPr>
                <w:spacing w:val="-32"/>
                <w:szCs w:val="20"/>
                <w:lang w:val="fr-FR"/>
              </w:rPr>
              <w:t xml:space="preserve"> </w:t>
            </w:r>
            <w:r w:rsidRPr="00730A4A">
              <w:rPr>
                <w:szCs w:val="20"/>
                <w:lang w:val="fr-FR"/>
              </w:rPr>
              <w:t>les</w:t>
            </w:r>
            <w:r w:rsidRPr="00730A4A">
              <w:rPr>
                <w:spacing w:val="-32"/>
                <w:szCs w:val="20"/>
                <w:lang w:val="fr-FR"/>
              </w:rPr>
              <w:t xml:space="preserve"> </w:t>
            </w:r>
            <w:r w:rsidRPr="00730A4A">
              <w:rPr>
                <w:szCs w:val="20"/>
                <w:lang w:val="fr-FR"/>
              </w:rPr>
              <w:t>activités de construction du</w:t>
            </w:r>
            <w:r w:rsidRPr="00730A4A">
              <w:rPr>
                <w:spacing w:val="-6"/>
                <w:szCs w:val="20"/>
                <w:lang w:val="fr-FR"/>
              </w:rPr>
              <w:t xml:space="preserve"> </w:t>
            </w:r>
            <w:r w:rsidRPr="00730A4A">
              <w:rPr>
                <w:szCs w:val="20"/>
                <w:lang w:val="fr-FR"/>
              </w:rPr>
              <w:t>Projet.</w:t>
            </w:r>
          </w:p>
        </w:tc>
        <w:tc>
          <w:tcPr>
            <w:tcW w:w="3469" w:type="dxa"/>
            <w:shd w:val="clear" w:color="auto" w:fill="auto"/>
          </w:tcPr>
          <w:p w14:paraId="4408C464"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plaintes reliées à l’entrave aux lieux publics.</w:t>
            </w:r>
          </w:p>
        </w:tc>
      </w:tr>
      <w:tr w:rsidR="001C2F95" w:rsidRPr="00BE2822" w14:paraId="59DD24DD" w14:textId="77777777" w:rsidTr="00730A4A">
        <w:tc>
          <w:tcPr>
            <w:tcW w:w="2795" w:type="dxa"/>
            <w:vMerge/>
            <w:shd w:val="clear" w:color="auto" w:fill="auto"/>
          </w:tcPr>
          <w:p w14:paraId="33032264" w14:textId="77777777" w:rsidR="001C2F95" w:rsidRPr="00730A4A" w:rsidRDefault="001C2F95" w:rsidP="00971FD2">
            <w:pPr>
              <w:rPr>
                <w:sz w:val="22"/>
                <w:szCs w:val="20"/>
              </w:rPr>
            </w:pPr>
          </w:p>
        </w:tc>
        <w:tc>
          <w:tcPr>
            <w:tcW w:w="3512" w:type="dxa"/>
            <w:shd w:val="clear" w:color="auto" w:fill="auto"/>
          </w:tcPr>
          <w:p w14:paraId="1A4B363D" w14:textId="77777777" w:rsidR="001C2F95" w:rsidRPr="00730A4A" w:rsidRDefault="001C2F95" w:rsidP="00730A4A">
            <w:pPr>
              <w:pStyle w:val="TableParagraph"/>
              <w:spacing w:before="28" w:line="235" w:lineRule="auto"/>
              <w:ind w:left="108"/>
              <w:rPr>
                <w:szCs w:val="20"/>
                <w:lang w:val="fr-FR"/>
              </w:rPr>
            </w:pPr>
            <w:r w:rsidRPr="00730A4A">
              <w:rPr>
                <w:szCs w:val="20"/>
                <w:lang w:val="fr-FR"/>
              </w:rPr>
              <w:t>Minimiser</w:t>
            </w:r>
            <w:r w:rsidRPr="00730A4A">
              <w:rPr>
                <w:spacing w:val="-25"/>
                <w:szCs w:val="20"/>
                <w:lang w:val="fr-FR"/>
              </w:rPr>
              <w:t xml:space="preserve"> </w:t>
            </w:r>
            <w:r w:rsidRPr="00730A4A">
              <w:rPr>
                <w:szCs w:val="20"/>
                <w:lang w:val="fr-FR"/>
              </w:rPr>
              <w:t>les</w:t>
            </w:r>
            <w:r w:rsidRPr="00730A4A">
              <w:rPr>
                <w:spacing w:val="-24"/>
                <w:szCs w:val="20"/>
                <w:lang w:val="fr-FR"/>
              </w:rPr>
              <w:t xml:space="preserve"> </w:t>
            </w:r>
            <w:r w:rsidRPr="00730A4A">
              <w:rPr>
                <w:szCs w:val="20"/>
                <w:lang w:val="fr-FR"/>
              </w:rPr>
              <w:t>impacts</w:t>
            </w:r>
            <w:r w:rsidRPr="00730A4A">
              <w:rPr>
                <w:spacing w:val="-24"/>
                <w:szCs w:val="20"/>
                <w:lang w:val="fr-FR"/>
              </w:rPr>
              <w:t xml:space="preserve"> </w:t>
            </w:r>
            <w:r w:rsidRPr="00730A4A">
              <w:rPr>
                <w:szCs w:val="20"/>
                <w:lang w:val="fr-FR"/>
              </w:rPr>
              <w:t>sur</w:t>
            </w:r>
            <w:r w:rsidRPr="00730A4A">
              <w:rPr>
                <w:spacing w:val="-24"/>
                <w:szCs w:val="20"/>
                <w:lang w:val="fr-FR"/>
              </w:rPr>
              <w:t xml:space="preserve"> </w:t>
            </w:r>
            <w:r w:rsidRPr="00730A4A">
              <w:rPr>
                <w:szCs w:val="20"/>
                <w:lang w:val="fr-FR"/>
              </w:rPr>
              <w:t>les</w:t>
            </w:r>
            <w:r w:rsidRPr="00730A4A">
              <w:rPr>
                <w:spacing w:val="-24"/>
                <w:szCs w:val="20"/>
                <w:lang w:val="fr-FR"/>
              </w:rPr>
              <w:t xml:space="preserve"> </w:t>
            </w:r>
            <w:r w:rsidRPr="00730A4A">
              <w:rPr>
                <w:szCs w:val="20"/>
                <w:lang w:val="fr-FR"/>
              </w:rPr>
              <w:t>pertes</w:t>
            </w:r>
            <w:r w:rsidRPr="00730A4A">
              <w:rPr>
                <w:spacing w:val="-24"/>
                <w:szCs w:val="20"/>
                <w:lang w:val="fr-FR"/>
              </w:rPr>
              <w:t xml:space="preserve"> </w:t>
            </w:r>
            <w:r w:rsidRPr="00730A4A">
              <w:rPr>
                <w:szCs w:val="20"/>
                <w:lang w:val="fr-FR"/>
              </w:rPr>
              <w:t>de sols agricoles productifs en compensant adéquatement pour les pertes.</w:t>
            </w:r>
          </w:p>
        </w:tc>
        <w:tc>
          <w:tcPr>
            <w:tcW w:w="3469" w:type="dxa"/>
            <w:shd w:val="clear" w:color="auto" w:fill="auto"/>
          </w:tcPr>
          <w:p w14:paraId="526C88D1"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Superficies et vocation (agricole, pâturage, espace vert, etc.) des terres utilisées par le Projet ;</w:t>
            </w:r>
          </w:p>
          <w:p w14:paraId="28C99EC8"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Compensations versées aux producteurs dont les terres auront été réquisitionnées pour le Projet.</w:t>
            </w:r>
          </w:p>
        </w:tc>
      </w:tr>
      <w:tr w:rsidR="001C2F95" w:rsidRPr="00BE2822" w14:paraId="4898671E" w14:textId="77777777" w:rsidTr="00730A4A">
        <w:tc>
          <w:tcPr>
            <w:tcW w:w="2795" w:type="dxa"/>
            <w:vMerge w:val="restart"/>
            <w:shd w:val="clear" w:color="auto" w:fill="auto"/>
          </w:tcPr>
          <w:p w14:paraId="13DC13B2" w14:textId="77777777" w:rsidR="001C2F95" w:rsidRPr="00730A4A" w:rsidRDefault="001C2F95" w:rsidP="00730A4A">
            <w:pPr>
              <w:pStyle w:val="TableParagraph"/>
              <w:spacing w:line="213" w:lineRule="exact"/>
              <w:rPr>
                <w:szCs w:val="20"/>
              </w:rPr>
            </w:pPr>
            <w:r w:rsidRPr="00730A4A">
              <w:rPr>
                <w:szCs w:val="20"/>
              </w:rPr>
              <w:t>Aspects socio-économiques</w:t>
            </w:r>
          </w:p>
        </w:tc>
        <w:tc>
          <w:tcPr>
            <w:tcW w:w="3512" w:type="dxa"/>
            <w:shd w:val="clear" w:color="auto" w:fill="auto"/>
          </w:tcPr>
          <w:p w14:paraId="7CEC4C3B" w14:textId="77777777" w:rsidR="001C2F95" w:rsidRPr="00730A4A" w:rsidRDefault="001C2F95" w:rsidP="00730A4A">
            <w:pPr>
              <w:pStyle w:val="TableParagraph"/>
              <w:spacing w:before="30" w:line="232" w:lineRule="auto"/>
              <w:ind w:left="108"/>
              <w:rPr>
                <w:szCs w:val="20"/>
                <w:lang w:val="fr-FR"/>
              </w:rPr>
            </w:pPr>
            <w:r w:rsidRPr="00730A4A">
              <w:rPr>
                <w:szCs w:val="20"/>
                <w:lang w:val="fr-FR"/>
              </w:rPr>
              <w:t>Maximiser la création d’emploi</w:t>
            </w:r>
            <w:r w:rsidRPr="00730A4A">
              <w:rPr>
                <w:spacing w:val="-29"/>
                <w:szCs w:val="20"/>
                <w:lang w:val="fr-FR"/>
              </w:rPr>
              <w:t xml:space="preserve"> </w:t>
            </w:r>
            <w:r w:rsidRPr="00730A4A">
              <w:rPr>
                <w:szCs w:val="20"/>
                <w:lang w:val="fr-FR"/>
              </w:rPr>
              <w:t>locaux et</w:t>
            </w:r>
            <w:r w:rsidRPr="00730A4A">
              <w:rPr>
                <w:spacing w:val="-27"/>
                <w:szCs w:val="20"/>
                <w:lang w:val="fr-FR"/>
              </w:rPr>
              <w:t xml:space="preserve"> </w:t>
            </w:r>
            <w:r w:rsidRPr="00730A4A">
              <w:rPr>
                <w:szCs w:val="20"/>
                <w:lang w:val="fr-FR"/>
              </w:rPr>
              <w:t>d’achats</w:t>
            </w:r>
            <w:r w:rsidRPr="00730A4A">
              <w:rPr>
                <w:spacing w:val="-26"/>
                <w:szCs w:val="20"/>
                <w:lang w:val="fr-FR"/>
              </w:rPr>
              <w:t xml:space="preserve"> </w:t>
            </w:r>
            <w:r w:rsidRPr="00730A4A">
              <w:rPr>
                <w:szCs w:val="20"/>
                <w:lang w:val="fr-FR"/>
              </w:rPr>
              <w:t>de</w:t>
            </w:r>
            <w:r w:rsidRPr="00730A4A">
              <w:rPr>
                <w:spacing w:val="-26"/>
                <w:szCs w:val="20"/>
                <w:lang w:val="fr-FR"/>
              </w:rPr>
              <w:t xml:space="preserve"> </w:t>
            </w:r>
            <w:r w:rsidRPr="00730A4A">
              <w:rPr>
                <w:szCs w:val="20"/>
                <w:lang w:val="fr-FR"/>
              </w:rPr>
              <w:t>biens</w:t>
            </w:r>
            <w:r w:rsidRPr="00730A4A">
              <w:rPr>
                <w:spacing w:val="-27"/>
                <w:szCs w:val="20"/>
                <w:lang w:val="fr-FR"/>
              </w:rPr>
              <w:t xml:space="preserve"> </w:t>
            </w:r>
            <w:r w:rsidRPr="00730A4A">
              <w:rPr>
                <w:szCs w:val="20"/>
                <w:lang w:val="fr-FR"/>
              </w:rPr>
              <w:t>et</w:t>
            </w:r>
            <w:r w:rsidRPr="00730A4A">
              <w:rPr>
                <w:spacing w:val="-26"/>
                <w:szCs w:val="20"/>
                <w:lang w:val="fr-FR"/>
              </w:rPr>
              <w:t xml:space="preserve"> </w:t>
            </w:r>
            <w:r w:rsidRPr="00730A4A">
              <w:rPr>
                <w:szCs w:val="20"/>
                <w:lang w:val="fr-FR"/>
              </w:rPr>
              <w:t>services</w:t>
            </w:r>
            <w:r w:rsidRPr="00730A4A">
              <w:rPr>
                <w:spacing w:val="-27"/>
                <w:szCs w:val="20"/>
                <w:lang w:val="fr-FR"/>
              </w:rPr>
              <w:t xml:space="preserve"> </w:t>
            </w:r>
            <w:r w:rsidRPr="00730A4A">
              <w:rPr>
                <w:szCs w:val="20"/>
                <w:lang w:val="fr-FR"/>
              </w:rPr>
              <w:t>locaux.</w:t>
            </w:r>
          </w:p>
        </w:tc>
        <w:tc>
          <w:tcPr>
            <w:tcW w:w="3469" w:type="dxa"/>
            <w:shd w:val="clear" w:color="auto" w:fill="auto"/>
          </w:tcPr>
          <w:p w14:paraId="103578F6"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total de fournisseurs du Projet ;</w:t>
            </w:r>
          </w:p>
          <w:p w14:paraId="6E6E1CDA"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fournisseurs locaux ;</w:t>
            </w:r>
          </w:p>
          <w:p w14:paraId="1155CCD6"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d’emplois créés par le Projet ;</w:t>
            </w:r>
          </w:p>
          <w:p w14:paraId="239FE81D"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d’emplois occupés par de la main-d’œuvre locale.</w:t>
            </w:r>
          </w:p>
        </w:tc>
      </w:tr>
      <w:tr w:rsidR="001C2F95" w:rsidRPr="00BE2822" w14:paraId="2A35D3AB" w14:textId="77777777" w:rsidTr="00730A4A">
        <w:tc>
          <w:tcPr>
            <w:tcW w:w="2795" w:type="dxa"/>
            <w:vMerge/>
            <w:shd w:val="clear" w:color="auto" w:fill="auto"/>
          </w:tcPr>
          <w:p w14:paraId="19B8C7C9" w14:textId="77777777" w:rsidR="001C2F95" w:rsidRPr="00730A4A" w:rsidRDefault="001C2F95" w:rsidP="00971FD2">
            <w:pPr>
              <w:rPr>
                <w:sz w:val="22"/>
                <w:szCs w:val="20"/>
              </w:rPr>
            </w:pPr>
          </w:p>
        </w:tc>
        <w:tc>
          <w:tcPr>
            <w:tcW w:w="3512" w:type="dxa"/>
            <w:shd w:val="clear" w:color="auto" w:fill="auto"/>
          </w:tcPr>
          <w:p w14:paraId="60D53459" w14:textId="77777777" w:rsidR="001C2F95" w:rsidRPr="00730A4A" w:rsidRDefault="001C2F95" w:rsidP="00730A4A">
            <w:pPr>
              <w:pStyle w:val="TableParagraph"/>
              <w:spacing w:before="28" w:line="235" w:lineRule="auto"/>
              <w:ind w:left="108"/>
              <w:rPr>
                <w:szCs w:val="20"/>
                <w:lang w:val="fr-FR"/>
              </w:rPr>
            </w:pPr>
            <w:r w:rsidRPr="00730A4A">
              <w:rPr>
                <w:szCs w:val="20"/>
                <w:lang w:val="fr-FR"/>
              </w:rPr>
              <w:t>S’assurer de minimiser les pertes de revenus commerciaux et touristiques causées</w:t>
            </w:r>
            <w:r w:rsidRPr="00730A4A">
              <w:rPr>
                <w:spacing w:val="-26"/>
                <w:szCs w:val="20"/>
                <w:lang w:val="fr-FR"/>
              </w:rPr>
              <w:t xml:space="preserve"> </w:t>
            </w:r>
            <w:r w:rsidRPr="00730A4A">
              <w:rPr>
                <w:szCs w:val="20"/>
                <w:lang w:val="fr-FR"/>
              </w:rPr>
              <w:t>par</w:t>
            </w:r>
            <w:r w:rsidRPr="00730A4A">
              <w:rPr>
                <w:spacing w:val="-25"/>
                <w:szCs w:val="20"/>
                <w:lang w:val="fr-FR"/>
              </w:rPr>
              <w:t xml:space="preserve"> </w:t>
            </w:r>
            <w:r w:rsidRPr="00730A4A">
              <w:rPr>
                <w:szCs w:val="20"/>
                <w:lang w:val="fr-FR"/>
              </w:rPr>
              <w:t>les</w:t>
            </w:r>
            <w:r w:rsidRPr="00730A4A">
              <w:rPr>
                <w:spacing w:val="-26"/>
                <w:szCs w:val="20"/>
                <w:lang w:val="fr-FR"/>
              </w:rPr>
              <w:t xml:space="preserve"> </w:t>
            </w:r>
            <w:r w:rsidRPr="00730A4A">
              <w:rPr>
                <w:szCs w:val="20"/>
                <w:lang w:val="fr-FR"/>
              </w:rPr>
              <w:t>travaux</w:t>
            </w:r>
            <w:r w:rsidRPr="00730A4A">
              <w:rPr>
                <w:spacing w:val="-25"/>
                <w:szCs w:val="20"/>
                <w:lang w:val="fr-FR"/>
              </w:rPr>
              <w:t xml:space="preserve"> </w:t>
            </w:r>
            <w:r w:rsidRPr="00730A4A">
              <w:rPr>
                <w:szCs w:val="20"/>
                <w:lang w:val="fr-FR"/>
              </w:rPr>
              <w:t>de</w:t>
            </w:r>
            <w:r w:rsidRPr="00730A4A">
              <w:rPr>
                <w:spacing w:val="-27"/>
                <w:szCs w:val="20"/>
                <w:lang w:val="fr-FR"/>
              </w:rPr>
              <w:t xml:space="preserve"> </w:t>
            </w:r>
            <w:r w:rsidRPr="00730A4A">
              <w:rPr>
                <w:szCs w:val="20"/>
                <w:lang w:val="fr-FR"/>
              </w:rPr>
              <w:t>construction.</w:t>
            </w:r>
          </w:p>
        </w:tc>
        <w:tc>
          <w:tcPr>
            <w:tcW w:w="3469" w:type="dxa"/>
            <w:shd w:val="clear" w:color="auto" w:fill="auto"/>
          </w:tcPr>
          <w:p w14:paraId="6E461B5D"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plaintes reliées à l’accès, provenant des commerçants et des entreprises touristiques ;</w:t>
            </w:r>
          </w:p>
          <w:p w14:paraId="1294A13E" w14:textId="77777777" w:rsidR="001C2F95" w:rsidRPr="00730A4A" w:rsidRDefault="001C2F95" w:rsidP="00730A4A">
            <w:pPr>
              <w:pStyle w:val="TableParagraph"/>
              <w:numPr>
                <w:ilvl w:val="0"/>
                <w:numId w:val="93"/>
              </w:numPr>
              <w:tabs>
                <w:tab w:val="left" w:pos="668"/>
              </w:tabs>
              <w:autoSpaceDE w:val="0"/>
              <w:autoSpaceDN w:val="0"/>
              <w:spacing w:before="32" w:line="235" w:lineRule="auto"/>
              <w:ind w:left="243" w:right="34"/>
              <w:rPr>
                <w:szCs w:val="20"/>
                <w:lang w:val="fr-FR"/>
              </w:rPr>
            </w:pPr>
            <w:r w:rsidRPr="00730A4A">
              <w:rPr>
                <w:szCs w:val="20"/>
                <w:lang w:val="fr-FR"/>
              </w:rPr>
              <w:t>Niveaux de compensation prévus pour les commerces ;</w:t>
            </w:r>
          </w:p>
          <w:p w14:paraId="6AFA9512" w14:textId="77777777" w:rsidR="001C2F95" w:rsidRPr="00730A4A" w:rsidRDefault="001C2F95" w:rsidP="00730A4A">
            <w:pPr>
              <w:pStyle w:val="TableParagraph"/>
              <w:numPr>
                <w:ilvl w:val="0"/>
                <w:numId w:val="93"/>
              </w:numPr>
              <w:tabs>
                <w:tab w:val="left" w:pos="668"/>
              </w:tabs>
              <w:autoSpaceDE w:val="0"/>
              <w:autoSpaceDN w:val="0"/>
              <w:spacing w:before="32"/>
              <w:ind w:left="243" w:right="34"/>
              <w:rPr>
                <w:szCs w:val="20"/>
                <w:lang w:val="fr-FR"/>
              </w:rPr>
            </w:pPr>
            <w:r w:rsidRPr="00730A4A">
              <w:rPr>
                <w:szCs w:val="20"/>
                <w:lang w:val="fr-FR"/>
              </w:rPr>
              <w:t>Compensations effectivement versées.</w:t>
            </w:r>
          </w:p>
        </w:tc>
      </w:tr>
      <w:tr w:rsidR="001C2F95" w:rsidRPr="00BE2822" w14:paraId="63A06A35" w14:textId="77777777" w:rsidTr="00730A4A">
        <w:tc>
          <w:tcPr>
            <w:tcW w:w="2795" w:type="dxa"/>
            <w:shd w:val="clear" w:color="auto" w:fill="auto"/>
          </w:tcPr>
          <w:p w14:paraId="6E0611F9" w14:textId="77777777" w:rsidR="001C2F95" w:rsidRPr="00730A4A" w:rsidRDefault="001C2F95" w:rsidP="00971FD2">
            <w:pPr>
              <w:rPr>
                <w:sz w:val="22"/>
                <w:szCs w:val="20"/>
                <w:lang w:val="en-US"/>
              </w:rPr>
            </w:pPr>
          </w:p>
        </w:tc>
        <w:tc>
          <w:tcPr>
            <w:tcW w:w="3512" w:type="dxa"/>
            <w:shd w:val="clear" w:color="auto" w:fill="auto"/>
          </w:tcPr>
          <w:p w14:paraId="79EC68E7" w14:textId="77777777" w:rsidR="001C2F95" w:rsidRPr="00730A4A" w:rsidRDefault="001C2F95" w:rsidP="00730A4A">
            <w:pPr>
              <w:pStyle w:val="TableParagraph"/>
              <w:spacing w:before="28" w:line="235" w:lineRule="auto"/>
              <w:ind w:left="108"/>
              <w:rPr>
                <w:szCs w:val="20"/>
                <w:lang w:val="fr-FR"/>
              </w:rPr>
            </w:pPr>
            <w:r w:rsidRPr="00730A4A">
              <w:rPr>
                <w:szCs w:val="20"/>
                <w:lang w:val="fr-FR"/>
              </w:rPr>
              <w:t>S’assurer que le Projet offrira les mêmes chances aux hommes et aux femmes de profiter des opportunités économiques qu’il créera.</w:t>
            </w:r>
          </w:p>
        </w:tc>
        <w:tc>
          <w:tcPr>
            <w:tcW w:w="3469" w:type="dxa"/>
            <w:shd w:val="clear" w:color="auto" w:fill="auto"/>
          </w:tcPr>
          <w:p w14:paraId="7D815209"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d’hommes et de femmes ayant reçu des informations concernant les possibilités d’emploi et les besoins en biens et services découlant du Projet ;</w:t>
            </w:r>
          </w:p>
          <w:p w14:paraId="653527AA"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femmes et d’hommes ayant reçu de l’aide à la préparation d’une demande d’emplois ;</w:t>
            </w:r>
          </w:p>
          <w:p w14:paraId="433FA376"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femmes et hommes embauchés localement, ventilés par poste, y compris poste de supervision ;</w:t>
            </w:r>
          </w:p>
          <w:p w14:paraId="7B6EC59F"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formations en emploi offertes (hommes et femmes).</w:t>
            </w:r>
          </w:p>
        </w:tc>
      </w:tr>
      <w:tr w:rsidR="001C2F95" w:rsidRPr="00BE2822" w14:paraId="0C77F47F" w14:textId="77777777" w:rsidTr="00730A4A">
        <w:tc>
          <w:tcPr>
            <w:tcW w:w="2795" w:type="dxa"/>
            <w:shd w:val="clear" w:color="auto" w:fill="auto"/>
          </w:tcPr>
          <w:p w14:paraId="1C17606D" w14:textId="77777777" w:rsidR="001C2F95" w:rsidRPr="00730A4A" w:rsidRDefault="001C2F95" w:rsidP="00730A4A">
            <w:pPr>
              <w:pStyle w:val="TableParagraph"/>
              <w:spacing w:line="213" w:lineRule="exact"/>
              <w:rPr>
                <w:szCs w:val="20"/>
              </w:rPr>
            </w:pPr>
            <w:r w:rsidRPr="00730A4A">
              <w:rPr>
                <w:szCs w:val="20"/>
              </w:rPr>
              <w:t>Infrastructures</w:t>
            </w:r>
          </w:p>
        </w:tc>
        <w:tc>
          <w:tcPr>
            <w:tcW w:w="3512" w:type="dxa"/>
            <w:shd w:val="clear" w:color="auto" w:fill="auto"/>
          </w:tcPr>
          <w:p w14:paraId="47DB0206" w14:textId="77777777" w:rsidR="001C2F95" w:rsidRPr="00730A4A" w:rsidRDefault="001C2F95" w:rsidP="00730A4A">
            <w:pPr>
              <w:pStyle w:val="TableParagraph"/>
              <w:spacing w:line="228" w:lineRule="exact"/>
              <w:ind w:left="108"/>
              <w:rPr>
                <w:szCs w:val="20"/>
                <w:lang w:val="fr-FR"/>
              </w:rPr>
            </w:pPr>
            <w:r w:rsidRPr="00730A4A">
              <w:rPr>
                <w:szCs w:val="20"/>
                <w:lang w:val="fr-FR"/>
              </w:rPr>
              <w:t>Minimiser les risques de dommages causés aux infrastructures.</w:t>
            </w:r>
          </w:p>
        </w:tc>
        <w:tc>
          <w:tcPr>
            <w:tcW w:w="3469" w:type="dxa"/>
            <w:shd w:val="clear" w:color="auto" w:fill="auto"/>
          </w:tcPr>
          <w:p w14:paraId="37E98482"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cas de dommages causés aux infrastructures (et types de dommages) ;</w:t>
            </w:r>
          </w:p>
          <w:p w14:paraId="148D5163" w14:textId="77777777" w:rsidR="001C2F95" w:rsidRPr="00730A4A" w:rsidRDefault="001C2F95" w:rsidP="00730A4A">
            <w:pPr>
              <w:pStyle w:val="TableParagraph"/>
              <w:numPr>
                <w:ilvl w:val="0"/>
                <w:numId w:val="93"/>
              </w:numPr>
              <w:tabs>
                <w:tab w:val="left" w:pos="668"/>
              </w:tabs>
              <w:autoSpaceDE w:val="0"/>
              <w:autoSpaceDN w:val="0"/>
              <w:spacing w:before="32" w:line="235" w:lineRule="auto"/>
              <w:ind w:left="243" w:right="34"/>
              <w:rPr>
                <w:szCs w:val="20"/>
                <w:lang w:val="fr-FR"/>
              </w:rPr>
            </w:pPr>
            <w:r w:rsidRPr="00730A4A">
              <w:rPr>
                <w:szCs w:val="20"/>
                <w:lang w:val="fr-FR"/>
              </w:rPr>
              <w:t>Nombre de conducteurs des</w:t>
            </w:r>
            <w:r w:rsidR="006249F4" w:rsidRPr="00730A4A">
              <w:rPr>
                <w:szCs w:val="20"/>
                <w:lang w:val="fr-FR"/>
              </w:rPr>
              <w:t xml:space="preserve"> </w:t>
            </w:r>
            <w:r w:rsidRPr="00730A4A">
              <w:rPr>
                <w:szCs w:val="20"/>
                <w:lang w:val="fr-FR"/>
              </w:rPr>
              <w:t>engins ayant reçu une formation sur la sécurité des infrastructures comparé au nombre total de conducteurs employés au Projet.</w:t>
            </w:r>
          </w:p>
        </w:tc>
      </w:tr>
      <w:tr w:rsidR="001C2F95" w:rsidRPr="00BE2822" w14:paraId="1D5D8B0C" w14:textId="77777777" w:rsidTr="00730A4A">
        <w:tc>
          <w:tcPr>
            <w:tcW w:w="2795" w:type="dxa"/>
            <w:shd w:val="clear" w:color="auto" w:fill="auto"/>
          </w:tcPr>
          <w:p w14:paraId="70EB6215" w14:textId="77777777" w:rsidR="001C2F95" w:rsidRPr="00730A4A" w:rsidRDefault="001C2F95" w:rsidP="00730A4A">
            <w:pPr>
              <w:pStyle w:val="TableParagraph"/>
              <w:spacing w:line="232" w:lineRule="auto"/>
              <w:ind w:right="709"/>
              <w:rPr>
                <w:szCs w:val="20"/>
              </w:rPr>
            </w:pPr>
            <w:r w:rsidRPr="00730A4A">
              <w:rPr>
                <w:szCs w:val="20"/>
              </w:rPr>
              <w:t>Archéologie et patrimoine</w:t>
            </w:r>
          </w:p>
        </w:tc>
        <w:tc>
          <w:tcPr>
            <w:tcW w:w="3512" w:type="dxa"/>
            <w:shd w:val="clear" w:color="auto" w:fill="auto"/>
          </w:tcPr>
          <w:p w14:paraId="111EB771" w14:textId="77777777" w:rsidR="001C2F95" w:rsidRPr="00730A4A" w:rsidRDefault="001C2F95" w:rsidP="00730A4A">
            <w:pPr>
              <w:pStyle w:val="TableParagraph"/>
              <w:spacing w:before="30" w:line="232" w:lineRule="auto"/>
              <w:ind w:left="108"/>
              <w:rPr>
                <w:szCs w:val="20"/>
                <w:lang w:val="fr-FR"/>
              </w:rPr>
            </w:pPr>
            <w:r w:rsidRPr="00730A4A">
              <w:rPr>
                <w:szCs w:val="20"/>
                <w:lang w:val="fr-FR"/>
              </w:rPr>
              <w:t>Minimiser la perturbation du patrimoine</w:t>
            </w:r>
            <w:r w:rsidRPr="00730A4A">
              <w:rPr>
                <w:spacing w:val="-31"/>
                <w:szCs w:val="20"/>
                <w:lang w:val="fr-FR"/>
              </w:rPr>
              <w:t xml:space="preserve"> </w:t>
            </w:r>
            <w:r w:rsidRPr="00730A4A">
              <w:rPr>
                <w:szCs w:val="20"/>
                <w:lang w:val="fr-FR"/>
              </w:rPr>
              <w:t>et</w:t>
            </w:r>
            <w:r w:rsidRPr="00730A4A">
              <w:rPr>
                <w:spacing w:val="-31"/>
                <w:szCs w:val="20"/>
                <w:lang w:val="fr-FR"/>
              </w:rPr>
              <w:t xml:space="preserve"> </w:t>
            </w:r>
            <w:r w:rsidRPr="00730A4A">
              <w:rPr>
                <w:szCs w:val="20"/>
                <w:lang w:val="fr-FR"/>
              </w:rPr>
              <w:t>de</w:t>
            </w:r>
            <w:r w:rsidRPr="00730A4A">
              <w:rPr>
                <w:spacing w:val="-31"/>
                <w:szCs w:val="20"/>
                <w:lang w:val="fr-FR"/>
              </w:rPr>
              <w:t xml:space="preserve"> </w:t>
            </w:r>
            <w:r w:rsidRPr="00730A4A">
              <w:rPr>
                <w:szCs w:val="20"/>
                <w:lang w:val="fr-FR"/>
              </w:rPr>
              <w:t>sites</w:t>
            </w:r>
            <w:r w:rsidRPr="00730A4A">
              <w:rPr>
                <w:spacing w:val="-31"/>
                <w:szCs w:val="20"/>
                <w:lang w:val="fr-FR"/>
              </w:rPr>
              <w:t xml:space="preserve"> </w:t>
            </w:r>
            <w:r w:rsidRPr="00730A4A">
              <w:rPr>
                <w:szCs w:val="20"/>
                <w:lang w:val="fr-FR"/>
              </w:rPr>
              <w:t>archéologiques.</w:t>
            </w:r>
          </w:p>
        </w:tc>
        <w:tc>
          <w:tcPr>
            <w:tcW w:w="3469" w:type="dxa"/>
            <w:shd w:val="clear" w:color="auto" w:fill="auto"/>
          </w:tcPr>
          <w:p w14:paraId="62702E9C"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sites archéologiques découverts lors des travaux ;</w:t>
            </w:r>
          </w:p>
          <w:p w14:paraId="04B8F83C"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sites et biens historiques reconnus se trouvant dans la zone des travaux ;</w:t>
            </w:r>
          </w:p>
          <w:p w14:paraId="4717B5F1"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de sites et biens historiques affectés par le Projet (type d’impact).</w:t>
            </w:r>
          </w:p>
          <w:p w14:paraId="73ABB577" w14:textId="77777777" w:rsidR="001C2F95" w:rsidRPr="00730A4A" w:rsidRDefault="001C2F95" w:rsidP="00730A4A">
            <w:pPr>
              <w:pStyle w:val="TableParagraph"/>
              <w:numPr>
                <w:ilvl w:val="0"/>
                <w:numId w:val="93"/>
              </w:numPr>
              <w:tabs>
                <w:tab w:val="left" w:pos="668"/>
              </w:tabs>
              <w:autoSpaceDE w:val="0"/>
              <w:autoSpaceDN w:val="0"/>
              <w:spacing w:before="32" w:line="232" w:lineRule="auto"/>
              <w:ind w:left="243" w:right="34"/>
              <w:rPr>
                <w:szCs w:val="20"/>
                <w:lang w:val="fr-FR"/>
              </w:rPr>
            </w:pPr>
            <w:r w:rsidRPr="00730A4A">
              <w:rPr>
                <w:szCs w:val="20"/>
                <w:lang w:val="fr-FR"/>
              </w:rPr>
              <w:t>Nombre d’autorisations demandées auprès des autorités responsables.</w:t>
            </w:r>
          </w:p>
        </w:tc>
      </w:tr>
    </w:tbl>
    <w:p w14:paraId="28AC05BB" w14:textId="77777777" w:rsidR="001C2F95" w:rsidRPr="00B4009C" w:rsidRDefault="001C2F95" w:rsidP="001C2F95">
      <w:pPr>
        <w:pStyle w:val="Titre2"/>
        <w:numPr>
          <w:ilvl w:val="1"/>
          <w:numId w:val="4"/>
        </w:numPr>
        <w:ind w:left="851" w:hanging="425"/>
        <w:rPr>
          <w:rFonts w:cs="Arial"/>
          <w:b/>
          <w:sz w:val="22"/>
          <w:szCs w:val="22"/>
        </w:rPr>
      </w:pPr>
      <w:bookmarkStart w:id="657" w:name="_Toc70330470"/>
      <w:r w:rsidRPr="00B4009C">
        <w:rPr>
          <w:rFonts w:cs="Arial"/>
          <w:b/>
          <w:sz w:val="22"/>
          <w:szCs w:val="22"/>
        </w:rPr>
        <w:t>Calendrier de mise en œuvre des mesures</w:t>
      </w:r>
      <w:bookmarkEnd w:id="657"/>
    </w:p>
    <w:p w14:paraId="6A649D84" w14:textId="77777777" w:rsidR="001C2F95" w:rsidRPr="005B21CA" w:rsidRDefault="001C2F95" w:rsidP="001C2F95">
      <w:pPr>
        <w:rPr>
          <w:rFonts w:cs="Arial"/>
          <w:sz w:val="22"/>
        </w:rPr>
      </w:pPr>
    </w:p>
    <w:p w14:paraId="30FBAED7" w14:textId="77777777" w:rsidR="001C2F95" w:rsidRDefault="001C2F95" w:rsidP="001C2F95">
      <w:pPr>
        <w:rPr>
          <w:rFonts w:cs="Arial"/>
          <w:sz w:val="22"/>
        </w:rPr>
      </w:pPr>
      <w:r w:rsidRPr="005B21CA">
        <w:rPr>
          <w:rFonts w:cs="Arial"/>
          <w:sz w:val="22"/>
        </w:rPr>
        <w:t xml:space="preserve">Le calendrier de mise en œuvre des activités environnementales </w:t>
      </w:r>
      <w:r>
        <w:rPr>
          <w:rFonts w:cs="Arial"/>
          <w:sz w:val="22"/>
        </w:rPr>
        <w:t xml:space="preserve">et sociales </w:t>
      </w:r>
      <w:r w:rsidRPr="005B21CA">
        <w:rPr>
          <w:rFonts w:cs="Arial"/>
          <w:sz w:val="22"/>
        </w:rPr>
        <w:t>du PNDA s’établira comme suit :</w:t>
      </w:r>
    </w:p>
    <w:p w14:paraId="426F386F" w14:textId="77777777" w:rsidR="001C2F95" w:rsidRDefault="001C2F95" w:rsidP="001C2F95">
      <w:pPr>
        <w:spacing w:line="240" w:lineRule="auto"/>
        <w:jc w:val="left"/>
        <w:rPr>
          <w:sz w:val="22"/>
        </w:rPr>
      </w:pPr>
    </w:p>
    <w:p w14:paraId="3FD4DB5B" w14:textId="77777777" w:rsidR="001C2F95" w:rsidRDefault="001C2F95" w:rsidP="001C2F95">
      <w:pPr>
        <w:spacing w:line="240" w:lineRule="auto"/>
        <w:jc w:val="left"/>
        <w:rPr>
          <w:sz w:val="22"/>
        </w:rPr>
      </w:pPr>
      <w:r>
        <w:rPr>
          <w:sz w:val="22"/>
        </w:rPr>
        <w:br w:type="page"/>
      </w:r>
    </w:p>
    <w:p w14:paraId="63F01483" w14:textId="77777777" w:rsidR="001C2F95" w:rsidRDefault="001C2F95" w:rsidP="001C2F95">
      <w:pPr>
        <w:ind w:left="1276" w:hanging="1276"/>
        <w:rPr>
          <w:rFonts w:cs="Arial"/>
          <w:sz w:val="22"/>
        </w:rPr>
      </w:pPr>
      <w:bookmarkStart w:id="658" w:name="_Toc70451678"/>
      <w:r w:rsidRPr="00BE2822">
        <w:rPr>
          <w:sz w:val="22"/>
        </w:rPr>
        <w:t>Ta</w:t>
      </w:r>
      <w:r>
        <w:rPr>
          <w:sz w:val="22"/>
        </w:rPr>
        <w:t>b</w:t>
      </w:r>
      <w:r w:rsidRPr="00BE2822">
        <w:rPr>
          <w:sz w:val="22"/>
        </w:rPr>
        <w:t xml:space="preserve">leau </w:t>
      </w:r>
      <w:r w:rsidRPr="00BE2822">
        <w:rPr>
          <w:sz w:val="22"/>
        </w:rPr>
        <w:fldChar w:fldCharType="begin"/>
      </w:r>
      <w:r w:rsidRPr="00BE2822">
        <w:rPr>
          <w:sz w:val="22"/>
        </w:rPr>
        <w:instrText xml:space="preserve"> SEQ Tableau \* ARABIC </w:instrText>
      </w:r>
      <w:r w:rsidRPr="00BE2822">
        <w:rPr>
          <w:sz w:val="22"/>
        </w:rPr>
        <w:fldChar w:fldCharType="separate"/>
      </w:r>
      <w:r w:rsidR="001260B3">
        <w:rPr>
          <w:noProof/>
          <w:sz w:val="22"/>
        </w:rPr>
        <w:t>32</w:t>
      </w:r>
      <w:r w:rsidRPr="00BE2822">
        <w:rPr>
          <w:sz w:val="22"/>
        </w:rPr>
        <w:fldChar w:fldCharType="end"/>
      </w:r>
      <w:r w:rsidRPr="00BE2822">
        <w:rPr>
          <w:rFonts w:cs="Arial"/>
          <w:sz w:val="22"/>
        </w:rPr>
        <w:t xml:space="preserve">. </w:t>
      </w:r>
      <w:r>
        <w:rPr>
          <w:rFonts w:cs="Arial"/>
          <w:sz w:val="22"/>
        </w:rPr>
        <w:t>C</w:t>
      </w:r>
      <w:r w:rsidRPr="005B21CA">
        <w:rPr>
          <w:rFonts w:cs="Arial"/>
          <w:sz w:val="22"/>
        </w:rPr>
        <w:t xml:space="preserve">alendrier de mise en œuvre des activités environnementales </w:t>
      </w:r>
      <w:r>
        <w:rPr>
          <w:rFonts w:cs="Arial"/>
          <w:sz w:val="22"/>
        </w:rPr>
        <w:t xml:space="preserve">et sociales </w:t>
      </w:r>
      <w:r w:rsidRPr="005B21CA">
        <w:rPr>
          <w:rFonts w:cs="Arial"/>
          <w:sz w:val="22"/>
        </w:rPr>
        <w:t>du PNDA</w:t>
      </w:r>
      <w:bookmarkEnd w:id="658"/>
    </w:p>
    <w:p w14:paraId="0C4FD95C" w14:textId="77777777" w:rsidR="001C2F95" w:rsidRPr="005B21CA" w:rsidRDefault="001C2F95" w:rsidP="001C2F95">
      <w:pPr>
        <w:rPr>
          <w:rFonts w:cs="Arial"/>
          <w:sz w:val="22"/>
        </w:rPr>
      </w:pPr>
    </w:p>
    <w:tbl>
      <w:tblPr>
        <w:tblW w:w="1059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9"/>
        <w:gridCol w:w="1842"/>
        <w:gridCol w:w="1404"/>
        <w:gridCol w:w="1558"/>
        <w:gridCol w:w="992"/>
        <w:gridCol w:w="963"/>
        <w:gridCol w:w="992"/>
        <w:gridCol w:w="992"/>
      </w:tblGrid>
      <w:tr w:rsidR="001C2F95" w:rsidRPr="005B21CA" w14:paraId="2D9ACF0C" w14:textId="77777777" w:rsidTr="00971FD2">
        <w:trPr>
          <w:cantSplit/>
          <w:trHeight w:val="258"/>
          <w:tblHeader/>
          <w:jc w:val="center"/>
        </w:trPr>
        <w:tc>
          <w:tcPr>
            <w:tcW w:w="1849" w:type="dxa"/>
            <w:vMerge w:val="restart"/>
            <w:tcBorders>
              <w:right w:val="single" w:sz="4" w:space="0" w:color="auto"/>
            </w:tcBorders>
            <w:vAlign w:val="center"/>
          </w:tcPr>
          <w:p w14:paraId="6E5243E2" w14:textId="77777777" w:rsidR="001C2F95" w:rsidRPr="005B21CA" w:rsidRDefault="001C2F95" w:rsidP="00971FD2">
            <w:pPr>
              <w:jc w:val="center"/>
              <w:rPr>
                <w:bCs/>
                <w:sz w:val="22"/>
              </w:rPr>
            </w:pPr>
            <w:r w:rsidRPr="005B21CA">
              <w:rPr>
                <w:sz w:val="22"/>
              </w:rPr>
              <w:t>Mesures</w:t>
            </w:r>
          </w:p>
        </w:tc>
        <w:tc>
          <w:tcPr>
            <w:tcW w:w="3246" w:type="dxa"/>
            <w:gridSpan w:val="2"/>
            <w:vMerge w:val="restart"/>
            <w:tcBorders>
              <w:left w:val="single" w:sz="4" w:space="0" w:color="auto"/>
              <w:right w:val="single" w:sz="4" w:space="0" w:color="auto"/>
            </w:tcBorders>
            <w:vAlign w:val="center"/>
          </w:tcPr>
          <w:p w14:paraId="65032E69" w14:textId="77777777" w:rsidR="001C2F95" w:rsidRPr="005B21CA" w:rsidRDefault="001C2F95" w:rsidP="00971FD2">
            <w:pPr>
              <w:jc w:val="center"/>
              <w:rPr>
                <w:sz w:val="22"/>
              </w:rPr>
            </w:pPr>
            <w:r w:rsidRPr="005B21CA">
              <w:rPr>
                <w:sz w:val="22"/>
              </w:rPr>
              <w:t>Actions proposées</w:t>
            </w:r>
          </w:p>
        </w:tc>
        <w:tc>
          <w:tcPr>
            <w:tcW w:w="5497" w:type="dxa"/>
            <w:gridSpan w:val="5"/>
            <w:tcBorders>
              <w:left w:val="single" w:sz="4" w:space="0" w:color="auto"/>
              <w:right w:val="single" w:sz="4" w:space="0" w:color="auto"/>
            </w:tcBorders>
          </w:tcPr>
          <w:p w14:paraId="46184EFB" w14:textId="77777777" w:rsidR="001C2F95" w:rsidRPr="005B21CA" w:rsidRDefault="001C2F95" w:rsidP="00971FD2">
            <w:pPr>
              <w:jc w:val="center"/>
              <w:rPr>
                <w:sz w:val="22"/>
              </w:rPr>
            </w:pPr>
            <w:r w:rsidRPr="005B21CA">
              <w:rPr>
                <w:sz w:val="22"/>
              </w:rPr>
              <w:t>Période</w:t>
            </w:r>
          </w:p>
        </w:tc>
      </w:tr>
      <w:tr w:rsidR="001C2F95" w:rsidRPr="005B21CA" w14:paraId="4C4501BD" w14:textId="77777777" w:rsidTr="00971FD2">
        <w:trPr>
          <w:cantSplit/>
          <w:trHeight w:val="258"/>
          <w:tblHeader/>
          <w:jc w:val="center"/>
        </w:trPr>
        <w:tc>
          <w:tcPr>
            <w:tcW w:w="1849" w:type="dxa"/>
            <w:vMerge/>
            <w:tcBorders>
              <w:right w:val="single" w:sz="4" w:space="0" w:color="auto"/>
            </w:tcBorders>
          </w:tcPr>
          <w:p w14:paraId="2705CD5D" w14:textId="77777777" w:rsidR="001C2F95" w:rsidRPr="005B21CA" w:rsidRDefault="001C2F95" w:rsidP="00971FD2">
            <w:pPr>
              <w:jc w:val="center"/>
              <w:rPr>
                <w:bCs/>
                <w:sz w:val="22"/>
              </w:rPr>
            </w:pPr>
          </w:p>
        </w:tc>
        <w:tc>
          <w:tcPr>
            <w:tcW w:w="3246" w:type="dxa"/>
            <w:gridSpan w:val="2"/>
            <w:vMerge/>
            <w:tcBorders>
              <w:left w:val="single" w:sz="4" w:space="0" w:color="auto"/>
              <w:right w:val="single" w:sz="4" w:space="0" w:color="auto"/>
            </w:tcBorders>
          </w:tcPr>
          <w:p w14:paraId="24A41FA2" w14:textId="77777777" w:rsidR="001C2F95" w:rsidRPr="005B21CA" w:rsidRDefault="001C2F95" w:rsidP="00971FD2">
            <w:pPr>
              <w:jc w:val="center"/>
              <w:rPr>
                <w:sz w:val="22"/>
              </w:rPr>
            </w:pPr>
          </w:p>
        </w:tc>
        <w:tc>
          <w:tcPr>
            <w:tcW w:w="1558" w:type="dxa"/>
            <w:tcBorders>
              <w:left w:val="single" w:sz="4" w:space="0" w:color="auto"/>
            </w:tcBorders>
          </w:tcPr>
          <w:p w14:paraId="475E6231" w14:textId="77777777" w:rsidR="001C2F95" w:rsidRPr="005B21CA" w:rsidRDefault="001C2F95" w:rsidP="00971FD2">
            <w:pPr>
              <w:jc w:val="center"/>
              <w:rPr>
                <w:sz w:val="22"/>
              </w:rPr>
            </w:pPr>
            <w:r w:rsidRPr="005B21CA">
              <w:rPr>
                <w:sz w:val="22"/>
              </w:rPr>
              <w:t>An 1</w:t>
            </w:r>
          </w:p>
        </w:tc>
        <w:tc>
          <w:tcPr>
            <w:tcW w:w="992" w:type="dxa"/>
            <w:tcBorders>
              <w:left w:val="single" w:sz="4" w:space="0" w:color="auto"/>
            </w:tcBorders>
          </w:tcPr>
          <w:p w14:paraId="0AE9D190" w14:textId="77777777" w:rsidR="001C2F95" w:rsidRPr="005B21CA" w:rsidRDefault="001C2F95" w:rsidP="00971FD2">
            <w:pPr>
              <w:jc w:val="center"/>
              <w:rPr>
                <w:sz w:val="22"/>
              </w:rPr>
            </w:pPr>
            <w:r w:rsidRPr="005B21CA">
              <w:rPr>
                <w:sz w:val="22"/>
              </w:rPr>
              <w:t>An 2</w:t>
            </w:r>
          </w:p>
        </w:tc>
        <w:tc>
          <w:tcPr>
            <w:tcW w:w="963" w:type="dxa"/>
            <w:tcBorders>
              <w:left w:val="single" w:sz="4" w:space="0" w:color="auto"/>
              <w:right w:val="single" w:sz="4" w:space="0" w:color="auto"/>
            </w:tcBorders>
          </w:tcPr>
          <w:p w14:paraId="47193A08" w14:textId="77777777" w:rsidR="001C2F95" w:rsidRPr="005B21CA" w:rsidRDefault="001C2F95" w:rsidP="00971FD2">
            <w:pPr>
              <w:jc w:val="center"/>
              <w:rPr>
                <w:sz w:val="22"/>
              </w:rPr>
            </w:pPr>
            <w:r w:rsidRPr="005B21CA">
              <w:rPr>
                <w:sz w:val="22"/>
              </w:rPr>
              <w:t>An 3</w:t>
            </w:r>
          </w:p>
        </w:tc>
        <w:tc>
          <w:tcPr>
            <w:tcW w:w="992" w:type="dxa"/>
            <w:tcBorders>
              <w:left w:val="single" w:sz="4" w:space="0" w:color="auto"/>
              <w:right w:val="single" w:sz="4" w:space="0" w:color="auto"/>
            </w:tcBorders>
          </w:tcPr>
          <w:p w14:paraId="2DD43201" w14:textId="77777777" w:rsidR="001C2F95" w:rsidRPr="005B21CA" w:rsidRDefault="001C2F95" w:rsidP="00971FD2">
            <w:pPr>
              <w:jc w:val="center"/>
              <w:rPr>
                <w:sz w:val="22"/>
              </w:rPr>
            </w:pPr>
            <w:r w:rsidRPr="005B21CA">
              <w:rPr>
                <w:sz w:val="22"/>
              </w:rPr>
              <w:t>An 4</w:t>
            </w:r>
          </w:p>
        </w:tc>
        <w:tc>
          <w:tcPr>
            <w:tcW w:w="992" w:type="dxa"/>
            <w:tcBorders>
              <w:left w:val="single" w:sz="4" w:space="0" w:color="auto"/>
              <w:right w:val="single" w:sz="4" w:space="0" w:color="auto"/>
            </w:tcBorders>
          </w:tcPr>
          <w:p w14:paraId="408F15D2" w14:textId="77777777" w:rsidR="001C2F95" w:rsidRPr="005B21CA" w:rsidRDefault="001C2F95" w:rsidP="00971FD2">
            <w:pPr>
              <w:jc w:val="center"/>
              <w:rPr>
                <w:sz w:val="22"/>
              </w:rPr>
            </w:pPr>
            <w:r w:rsidRPr="005B21CA">
              <w:rPr>
                <w:sz w:val="22"/>
              </w:rPr>
              <w:t>An 5</w:t>
            </w:r>
          </w:p>
        </w:tc>
      </w:tr>
      <w:tr w:rsidR="001C2F95" w:rsidRPr="005B21CA" w14:paraId="26C78EC2" w14:textId="77777777" w:rsidTr="00971FD2">
        <w:trPr>
          <w:cantSplit/>
          <w:trHeight w:val="75"/>
          <w:jc w:val="center"/>
        </w:trPr>
        <w:tc>
          <w:tcPr>
            <w:tcW w:w="1849" w:type="dxa"/>
            <w:vMerge w:val="restart"/>
            <w:tcBorders>
              <w:top w:val="single" w:sz="4" w:space="0" w:color="auto"/>
              <w:right w:val="single" w:sz="4" w:space="0" w:color="auto"/>
            </w:tcBorders>
          </w:tcPr>
          <w:p w14:paraId="0E609172" w14:textId="77777777" w:rsidR="001C2F95" w:rsidRPr="005B21CA" w:rsidRDefault="001C2F95" w:rsidP="00971FD2">
            <w:pPr>
              <w:jc w:val="left"/>
              <w:rPr>
                <w:bCs/>
                <w:sz w:val="22"/>
              </w:rPr>
            </w:pPr>
            <w:r w:rsidRPr="005B21CA">
              <w:rPr>
                <w:bCs/>
                <w:sz w:val="22"/>
              </w:rPr>
              <w:t>Mesures d’atténuation</w:t>
            </w:r>
          </w:p>
        </w:tc>
        <w:tc>
          <w:tcPr>
            <w:tcW w:w="3246" w:type="dxa"/>
            <w:gridSpan w:val="2"/>
            <w:vMerge w:val="restart"/>
            <w:tcBorders>
              <w:left w:val="single" w:sz="4" w:space="0" w:color="auto"/>
              <w:right w:val="single" w:sz="4" w:space="0" w:color="auto"/>
            </w:tcBorders>
          </w:tcPr>
          <w:p w14:paraId="29B87777" w14:textId="77777777" w:rsidR="001C2F95" w:rsidRPr="005B21CA" w:rsidRDefault="001C2F95" w:rsidP="00971FD2">
            <w:pPr>
              <w:jc w:val="left"/>
              <w:rPr>
                <w:sz w:val="22"/>
              </w:rPr>
            </w:pPr>
            <w:r w:rsidRPr="005B21CA">
              <w:rPr>
                <w:sz w:val="22"/>
              </w:rPr>
              <w:t>Voir liste des mesures d’atténuation par sous-projet.</w:t>
            </w:r>
          </w:p>
        </w:tc>
        <w:tc>
          <w:tcPr>
            <w:tcW w:w="1558" w:type="dxa"/>
            <w:tcBorders>
              <w:left w:val="single" w:sz="4" w:space="0" w:color="auto"/>
              <w:bottom w:val="single" w:sz="36" w:space="0" w:color="auto"/>
            </w:tcBorders>
          </w:tcPr>
          <w:p w14:paraId="24CBDAC9" w14:textId="77777777" w:rsidR="001C2F95" w:rsidRPr="005B21CA" w:rsidRDefault="001C2F95" w:rsidP="00971FD2">
            <w:pPr>
              <w:jc w:val="left"/>
              <w:rPr>
                <w:sz w:val="22"/>
              </w:rPr>
            </w:pPr>
            <w:r w:rsidRPr="005B21CA">
              <w:rPr>
                <w:sz w:val="22"/>
              </w:rPr>
              <w:t xml:space="preserve">Durant la mise en </w:t>
            </w:r>
            <w:r>
              <w:rPr>
                <w:sz w:val="22"/>
              </w:rPr>
              <w:t>œuvre</w:t>
            </w:r>
          </w:p>
        </w:tc>
        <w:tc>
          <w:tcPr>
            <w:tcW w:w="992" w:type="dxa"/>
            <w:tcBorders>
              <w:left w:val="single" w:sz="4" w:space="0" w:color="auto"/>
              <w:bottom w:val="single" w:sz="36" w:space="0" w:color="auto"/>
            </w:tcBorders>
          </w:tcPr>
          <w:p w14:paraId="3B952098" w14:textId="77777777" w:rsidR="001C2F95" w:rsidRPr="005B21CA" w:rsidRDefault="001C2F95" w:rsidP="00971FD2">
            <w:pPr>
              <w:rPr>
                <w:sz w:val="22"/>
              </w:rPr>
            </w:pPr>
          </w:p>
        </w:tc>
        <w:tc>
          <w:tcPr>
            <w:tcW w:w="963" w:type="dxa"/>
            <w:tcBorders>
              <w:left w:val="single" w:sz="4" w:space="0" w:color="auto"/>
              <w:bottom w:val="single" w:sz="36" w:space="0" w:color="auto"/>
              <w:right w:val="single" w:sz="4" w:space="0" w:color="auto"/>
            </w:tcBorders>
          </w:tcPr>
          <w:p w14:paraId="63103D4F" w14:textId="77777777" w:rsidR="001C2F95" w:rsidRPr="005B21CA" w:rsidRDefault="001C2F95" w:rsidP="00971FD2">
            <w:pPr>
              <w:rPr>
                <w:sz w:val="22"/>
              </w:rPr>
            </w:pPr>
          </w:p>
        </w:tc>
        <w:tc>
          <w:tcPr>
            <w:tcW w:w="992" w:type="dxa"/>
            <w:tcBorders>
              <w:left w:val="single" w:sz="4" w:space="0" w:color="auto"/>
              <w:bottom w:val="single" w:sz="36" w:space="0" w:color="auto"/>
              <w:right w:val="single" w:sz="4" w:space="0" w:color="auto"/>
            </w:tcBorders>
          </w:tcPr>
          <w:p w14:paraId="010CF497" w14:textId="77777777" w:rsidR="001C2F95" w:rsidRPr="005B21CA" w:rsidRDefault="001C2F95" w:rsidP="00971FD2">
            <w:pPr>
              <w:rPr>
                <w:sz w:val="22"/>
              </w:rPr>
            </w:pPr>
          </w:p>
        </w:tc>
        <w:tc>
          <w:tcPr>
            <w:tcW w:w="992" w:type="dxa"/>
            <w:tcBorders>
              <w:left w:val="single" w:sz="4" w:space="0" w:color="auto"/>
              <w:bottom w:val="single" w:sz="36" w:space="0" w:color="auto"/>
              <w:right w:val="single" w:sz="4" w:space="0" w:color="auto"/>
            </w:tcBorders>
          </w:tcPr>
          <w:p w14:paraId="6910061E" w14:textId="77777777" w:rsidR="001C2F95" w:rsidRPr="005B21CA" w:rsidRDefault="001C2F95" w:rsidP="00971FD2">
            <w:pPr>
              <w:rPr>
                <w:sz w:val="22"/>
              </w:rPr>
            </w:pPr>
          </w:p>
        </w:tc>
      </w:tr>
      <w:tr w:rsidR="001C2F95" w:rsidRPr="005B21CA" w14:paraId="711D5EE3" w14:textId="77777777" w:rsidTr="00971FD2">
        <w:trPr>
          <w:cantSplit/>
          <w:trHeight w:val="20"/>
          <w:jc w:val="center"/>
        </w:trPr>
        <w:tc>
          <w:tcPr>
            <w:tcW w:w="1849" w:type="dxa"/>
            <w:vMerge/>
            <w:tcBorders>
              <w:right w:val="single" w:sz="4" w:space="0" w:color="auto"/>
            </w:tcBorders>
          </w:tcPr>
          <w:p w14:paraId="50BC6FF5" w14:textId="77777777" w:rsidR="001C2F95" w:rsidRPr="005B21CA" w:rsidRDefault="001C2F95" w:rsidP="00971FD2">
            <w:pPr>
              <w:jc w:val="left"/>
              <w:rPr>
                <w:bCs/>
                <w:sz w:val="22"/>
              </w:rPr>
            </w:pPr>
          </w:p>
        </w:tc>
        <w:tc>
          <w:tcPr>
            <w:tcW w:w="3246" w:type="dxa"/>
            <w:gridSpan w:val="2"/>
            <w:vMerge/>
            <w:tcBorders>
              <w:left w:val="single" w:sz="4" w:space="0" w:color="auto"/>
              <w:right w:val="single" w:sz="4" w:space="0" w:color="auto"/>
            </w:tcBorders>
          </w:tcPr>
          <w:p w14:paraId="681FEEC8" w14:textId="77777777" w:rsidR="001C2F95" w:rsidRPr="005B21CA" w:rsidRDefault="001C2F95" w:rsidP="00971FD2">
            <w:pPr>
              <w:jc w:val="left"/>
              <w:rPr>
                <w:sz w:val="22"/>
              </w:rPr>
            </w:pPr>
          </w:p>
        </w:tc>
        <w:tc>
          <w:tcPr>
            <w:tcW w:w="1558" w:type="dxa"/>
            <w:tcBorders>
              <w:top w:val="single" w:sz="36" w:space="0" w:color="auto"/>
              <w:left w:val="single" w:sz="4" w:space="0" w:color="auto"/>
            </w:tcBorders>
          </w:tcPr>
          <w:p w14:paraId="2C185443" w14:textId="77777777" w:rsidR="001C2F95" w:rsidRPr="005B21CA" w:rsidRDefault="001C2F95" w:rsidP="00971FD2">
            <w:pPr>
              <w:rPr>
                <w:sz w:val="22"/>
              </w:rPr>
            </w:pPr>
          </w:p>
        </w:tc>
        <w:tc>
          <w:tcPr>
            <w:tcW w:w="992" w:type="dxa"/>
            <w:tcBorders>
              <w:top w:val="single" w:sz="36" w:space="0" w:color="auto"/>
              <w:left w:val="single" w:sz="4" w:space="0" w:color="auto"/>
            </w:tcBorders>
          </w:tcPr>
          <w:p w14:paraId="3C654D81" w14:textId="77777777" w:rsidR="001C2F95" w:rsidRPr="005B21CA" w:rsidRDefault="001C2F95" w:rsidP="00971FD2">
            <w:pPr>
              <w:rPr>
                <w:sz w:val="22"/>
              </w:rPr>
            </w:pPr>
          </w:p>
        </w:tc>
        <w:tc>
          <w:tcPr>
            <w:tcW w:w="963" w:type="dxa"/>
            <w:tcBorders>
              <w:top w:val="single" w:sz="36" w:space="0" w:color="auto"/>
              <w:left w:val="single" w:sz="4" w:space="0" w:color="auto"/>
              <w:right w:val="single" w:sz="4" w:space="0" w:color="auto"/>
            </w:tcBorders>
          </w:tcPr>
          <w:p w14:paraId="155B2C6D" w14:textId="77777777" w:rsidR="001C2F95" w:rsidRPr="005B21CA" w:rsidRDefault="001C2F95" w:rsidP="00971FD2">
            <w:pPr>
              <w:rPr>
                <w:sz w:val="22"/>
              </w:rPr>
            </w:pPr>
          </w:p>
        </w:tc>
        <w:tc>
          <w:tcPr>
            <w:tcW w:w="992" w:type="dxa"/>
            <w:tcBorders>
              <w:top w:val="single" w:sz="36" w:space="0" w:color="auto"/>
              <w:left w:val="single" w:sz="4" w:space="0" w:color="auto"/>
              <w:right w:val="single" w:sz="4" w:space="0" w:color="auto"/>
            </w:tcBorders>
          </w:tcPr>
          <w:p w14:paraId="65C40DEA" w14:textId="77777777" w:rsidR="001C2F95" w:rsidRPr="005B21CA" w:rsidRDefault="001C2F95" w:rsidP="00971FD2">
            <w:pPr>
              <w:rPr>
                <w:sz w:val="22"/>
              </w:rPr>
            </w:pPr>
          </w:p>
        </w:tc>
        <w:tc>
          <w:tcPr>
            <w:tcW w:w="992" w:type="dxa"/>
            <w:tcBorders>
              <w:top w:val="single" w:sz="36" w:space="0" w:color="auto"/>
              <w:left w:val="single" w:sz="4" w:space="0" w:color="auto"/>
              <w:right w:val="single" w:sz="4" w:space="0" w:color="auto"/>
            </w:tcBorders>
          </w:tcPr>
          <w:p w14:paraId="2D56AC51" w14:textId="77777777" w:rsidR="001C2F95" w:rsidRPr="005B21CA" w:rsidRDefault="001C2F95" w:rsidP="00971FD2">
            <w:pPr>
              <w:rPr>
                <w:sz w:val="22"/>
              </w:rPr>
            </w:pPr>
          </w:p>
        </w:tc>
      </w:tr>
      <w:tr w:rsidR="001C2F95" w:rsidRPr="005B21CA" w14:paraId="4AF6EFAA" w14:textId="77777777" w:rsidTr="00971FD2">
        <w:trPr>
          <w:cantSplit/>
          <w:trHeight w:val="285"/>
          <w:jc w:val="center"/>
        </w:trPr>
        <w:tc>
          <w:tcPr>
            <w:tcW w:w="1849" w:type="dxa"/>
            <w:vMerge w:val="restart"/>
            <w:tcBorders>
              <w:top w:val="single" w:sz="4" w:space="0" w:color="auto"/>
              <w:right w:val="single" w:sz="4" w:space="0" w:color="auto"/>
            </w:tcBorders>
          </w:tcPr>
          <w:p w14:paraId="0ECE24E7" w14:textId="77777777" w:rsidR="001C2F95" w:rsidRPr="005B21CA" w:rsidRDefault="001C2F95" w:rsidP="00971FD2">
            <w:pPr>
              <w:jc w:val="left"/>
              <w:rPr>
                <w:bCs/>
                <w:sz w:val="22"/>
              </w:rPr>
            </w:pPr>
            <w:r w:rsidRPr="005B21CA">
              <w:rPr>
                <w:bCs/>
                <w:sz w:val="22"/>
              </w:rPr>
              <w:t>Mesures institutionnelles</w:t>
            </w:r>
          </w:p>
        </w:tc>
        <w:tc>
          <w:tcPr>
            <w:tcW w:w="3246" w:type="dxa"/>
            <w:gridSpan w:val="2"/>
            <w:vMerge w:val="restart"/>
            <w:tcBorders>
              <w:left w:val="single" w:sz="4" w:space="0" w:color="auto"/>
              <w:right w:val="single" w:sz="4" w:space="0" w:color="auto"/>
            </w:tcBorders>
          </w:tcPr>
          <w:p w14:paraId="156A5DE7" w14:textId="77777777" w:rsidR="001C2F95" w:rsidRPr="005B21CA" w:rsidRDefault="001C2F95" w:rsidP="00971FD2">
            <w:pPr>
              <w:jc w:val="left"/>
              <w:rPr>
                <w:sz w:val="22"/>
              </w:rPr>
            </w:pPr>
            <w:r w:rsidRPr="005B21CA">
              <w:rPr>
                <w:sz w:val="22"/>
              </w:rPr>
              <w:t>Recrutement SSE</w:t>
            </w:r>
            <w:r>
              <w:rPr>
                <w:sz w:val="22"/>
              </w:rPr>
              <w:t>,</w:t>
            </w:r>
            <w:r w:rsidRPr="005B21CA">
              <w:rPr>
                <w:sz w:val="22"/>
              </w:rPr>
              <w:t xml:space="preserve"> SSS, </w:t>
            </w:r>
            <w:r>
              <w:rPr>
                <w:sz w:val="22"/>
              </w:rPr>
              <w:t>SVBG</w:t>
            </w:r>
            <w:r w:rsidRPr="005B21CA">
              <w:rPr>
                <w:sz w:val="22"/>
              </w:rPr>
              <w:t xml:space="preserve"> et désignation des Points Focaux Environnement et Social/Province/Ville.</w:t>
            </w:r>
          </w:p>
        </w:tc>
        <w:tc>
          <w:tcPr>
            <w:tcW w:w="1558" w:type="dxa"/>
            <w:tcBorders>
              <w:left w:val="single" w:sz="4" w:space="0" w:color="auto"/>
              <w:bottom w:val="single" w:sz="36" w:space="0" w:color="auto"/>
            </w:tcBorders>
          </w:tcPr>
          <w:p w14:paraId="2CA1324C" w14:textId="77777777" w:rsidR="001C2F95" w:rsidRPr="005B21CA" w:rsidRDefault="001C2F95" w:rsidP="00971FD2">
            <w:pPr>
              <w:jc w:val="left"/>
              <w:rPr>
                <w:sz w:val="22"/>
              </w:rPr>
            </w:pPr>
            <w:r w:rsidRPr="005B21CA">
              <w:rPr>
                <w:sz w:val="22"/>
              </w:rPr>
              <w:t>1</w:t>
            </w:r>
            <w:r w:rsidRPr="005B21CA">
              <w:rPr>
                <w:sz w:val="22"/>
                <w:vertAlign w:val="superscript"/>
              </w:rPr>
              <w:t>ère</w:t>
            </w:r>
            <w:r w:rsidRPr="005B21CA">
              <w:rPr>
                <w:sz w:val="22"/>
              </w:rPr>
              <w:t xml:space="preserve"> année, avant le début de la </w:t>
            </w:r>
          </w:p>
        </w:tc>
        <w:tc>
          <w:tcPr>
            <w:tcW w:w="992" w:type="dxa"/>
            <w:vMerge w:val="restart"/>
            <w:tcBorders>
              <w:left w:val="single" w:sz="4" w:space="0" w:color="auto"/>
            </w:tcBorders>
          </w:tcPr>
          <w:p w14:paraId="3F135D1C" w14:textId="77777777" w:rsidR="001C2F95" w:rsidRPr="005B21CA" w:rsidRDefault="001C2F95" w:rsidP="00971FD2">
            <w:pPr>
              <w:rPr>
                <w:sz w:val="22"/>
              </w:rPr>
            </w:pPr>
          </w:p>
        </w:tc>
        <w:tc>
          <w:tcPr>
            <w:tcW w:w="963" w:type="dxa"/>
            <w:vMerge w:val="restart"/>
            <w:tcBorders>
              <w:left w:val="single" w:sz="4" w:space="0" w:color="auto"/>
              <w:right w:val="single" w:sz="4" w:space="0" w:color="auto"/>
            </w:tcBorders>
          </w:tcPr>
          <w:p w14:paraId="64E7CA4B" w14:textId="77777777" w:rsidR="001C2F95" w:rsidRPr="005B21CA" w:rsidRDefault="001C2F95" w:rsidP="00971FD2">
            <w:pPr>
              <w:rPr>
                <w:sz w:val="22"/>
              </w:rPr>
            </w:pPr>
          </w:p>
        </w:tc>
        <w:tc>
          <w:tcPr>
            <w:tcW w:w="992" w:type="dxa"/>
            <w:vMerge w:val="restart"/>
            <w:tcBorders>
              <w:left w:val="single" w:sz="4" w:space="0" w:color="auto"/>
              <w:right w:val="single" w:sz="4" w:space="0" w:color="auto"/>
            </w:tcBorders>
          </w:tcPr>
          <w:p w14:paraId="2B489842" w14:textId="77777777" w:rsidR="001C2F95" w:rsidRPr="005B21CA" w:rsidRDefault="001C2F95" w:rsidP="00971FD2">
            <w:pPr>
              <w:rPr>
                <w:sz w:val="22"/>
              </w:rPr>
            </w:pPr>
          </w:p>
        </w:tc>
        <w:tc>
          <w:tcPr>
            <w:tcW w:w="992" w:type="dxa"/>
            <w:vMerge w:val="restart"/>
            <w:tcBorders>
              <w:left w:val="single" w:sz="4" w:space="0" w:color="auto"/>
              <w:right w:val="single" w:sz="4" w:space="0" w:color="auto"/>
            </w:tcBorders>
          </w:tcPr>
          <w:p w14:paraId="1B05DCDE" w14:textId="77777777" w:rsidR="001C2F95" w:rsidRPr="005B21CA" w:rsidRDefault="001C2F95" w:rsidP="00971FD2">
            <w:pPr>
              <w:rPr>
                <w:sz w:val="22"/>
              </w:rPr>
            </w:pPr>
          </w:p>
        </w:tc>
      </w:tr>
      <w:tr w:rsidR="001C2F95" w:rsidRPr="005B21CA" w14:paraId="0333BC53" w14:textId="77777777" w:rsidTr="00971FD2">
        <w:trPr>
          <w:cantSplit/>
          <w:trHeight w:val="20"/>
          <w:jc w:val="center"/>
        </w:trPr>
        <w:tc>
          <w:tcPr>
            <w:tcW w:w="1849" w:type="dxa"/>
            <w:vMerge/>
            <w:tcBorders>
              <w:bottom w:val="single" w:sz="4" w:space="0" w:color="auto"/>
              <w:right w:val="single" w:sz="4" w:space="0" w:color="auto"/>
            </w:tcBorders>
          </w:tcPr>
          <w:p w14:paraId="7E551D61" w14:textId="77777777" w:rsidR="001C2F95" w:rsidRPr="005B21CA" w:rsidRDefault="001C2F95" w:rsidP="00971FD2">
            <w:pPr>
              <w:jc w:val="left"/>
              <w:rPr>
                <w:bCs/>
                <w:sz w:val="22"/>
              </w:rPr>
            </w:pPr>
          </w:p>
        </w:tc>
        <w:tc>
          <w:tcPr>
            <w:tcW w:w="3246" w:type="dxa"/>
            <w:gridSpan w:val="2"/>
            <w:vMerge/>
            <w:tcBorders>
              <w:left w:val="single" w:sz="4" w:space="0" w:color="auto"/>
              <w:right w:val="single" w:sz="4" w:space="0" w:color="auto"/>
            </w:tcBorders>
          </w:tcPr>
          <w:p w14:paraId="2254FD2A" w14:textId="77777777" w:rsidR="001C2F95" w:rsidRPr="005B21CA" w:rsidRDefault="001C2F95" w:rsidP="00971FD2">
            <w:pPr>
              <w:jc w:val="left"/>
              <w:rPr>
                <w:sz w:val="22"/>
              </w:rPr>
            </w:pPr>
          </w:p>
        </w:tc>
        <w:tc>
          <w:tcPr>
            <w:tcW w:w="1558" w:type="dxa"/>
            <w:tcBorders>
              <w:top w:val="single" w:sz="36" w:space="0" w:color="auto"/>
              <w:left w:val="single" w:sz="4" w:space="0" w:color="auto"/>
            </w:tcBorders>
          </w:tcPr>
          <w:p w14:paraId="3180EF87" w14:textId="77777777" w:rsidR="001C2F95" w:rsidRPr="005B21CA" w:rsidRDefault="001C2F95" w:rsidP="00971FD2">
            <w:pPr>
              <w:rPr>
                <w:sz w:val="22"/>
              </w:rPr>
            </w:pPr>
            <w:r w:rsidRPr="005B21CA">
              <w:rPr>
                <w:sz w:val="22"/>
              </w:rPr>
              <w:t>mise en œuvre</w:t>
            </w:r>
          </w:p>
        </w:tc>
        <w:tc>
          <w:tcPr>
            <w:tcW w:w="992" w:type="dxa"/>
            <w:vMerge/>
            <w:tcBorders>
              <w:left w:val="single" w:sz="4" w:space="0" w:color="auto"/>
            </w:tcBorders>
          </w:tcPr>
          <w:p w14:paraId="3A71DB85" w14:textId="77777777" w:rsidR="001C2F95" w:rsidRPr="005B21CA" w:rsidRDefault="001C2F95" w:rsidP="00971FD2">
            <w:pPr>
              <w:rPr>
                <w:sz w:val="22"/>
              </w:rPr>
            </w:pPr>
          </w:p>
        </w:tc>
        <w:tc>
          <w:tcPr>
            <w:tcW w:w="963" w:type="dxa"/>
            <w:vMerge/>
            <w:tcBorders>
              <w:left w:val="single" w:sz="4" w:space="0" w:color="auto"/>
              <w:right w:val="single" w:sz="4" w:space="0" w:color="auto"/>
            </w:tcBorders>
          </w:tcPr>
          <w:p w14:paraId="3CFF501D" w14:textId="77777777" w:rsidR="001C2F95" w:rsidRPr="005B21CA" w:rsidRDefault="001C2F95" w:rsidP="00971FD2">
            <w:pPr>
              <w:rPr>
                <w:sz w:val="22"/>
              </w:rPr>
            </w:pPr>
          </w:p>
        </w:tc>
        <w:tc>
          <w:tcPr>
            <w:tcW w:w="992" w:type="dxa"/>
            <w:vMerge/>
            <w:tcBorders>
              <w:left w:val="single" w:sz="4" w:space="0" w:color="auto"/>
              <w:right w:val="single" w:sz="4" w:space="0" w:color="auto"/>
            </w:tcBorders>
          </w:tcPr>
          <w:p w14:paraId="29B1375D" w14:textId="77777777" w:rsidR="001C2F95" w:rsidRPr="005B21CA" w:rsidRDefault="001C2F95" w:rsidP="00971FD2">
            <w:pPr>
              <w:rPr>
                <w:sz w:val="22"/>
              </w:rPr>
            </w:pPr>
          </w:p>
        </w:tc>
        <w:tc>
          <w:tcPr>
            <w:tcW w:w="992" w:type="dxa"/>
            <w:vMerge/>
            <w:tcBorders>
              <w:left w:val="single" w:sz="4" w:space="0" w:color="auto"/>
              <w:right w:val="single" w:sz="4" w:space="0" w:color="auto"/>
            </w:tcBorders>
          </w:tcPr>
          <w:p w14:paraId="0EA5A190" w14:textId="77777777" w:rsidR="001C2F95" w:rsidRPr="005B21CA" w:rsidRDefault="001C2F95" w:rsidP="00971FD2">
            <w:pPr>
              <w:rPr>
                <w:sz w:val="22"/>
              </w:rPr>
            </w:pPr>
          </w:p>
        </w:tc>
      </w:tr>
      <w:tr w:rsidR="001C2F95" w:rsidRPr="005B21CA" w14:paraId="425D4929" w14:textId="77777777" w:rsidTr="00971FD2">
        <w:trPr>
          <w:cantSplit/>
          <w:trHeight w:val="420"/>
          <w:jc w:val="center"/>
        </w:trPr>
        <w:tc>
          <w:tcPr>
            <w:tcW w:w="1849" w:type="dxa"/>
            <w:vMerge w:val="restart"/>
            <w:tcBorders>
              <w:top w:val="single" w:sz="4" w:space="0" w:color="auto"/>
              <w:right w:val="single" w:sz="4" w:space="0" w:color="auto"/>
            </w:tcBorders>
          </w:tcPr>
          <w:p w14:paraId="72CC79AA" w14:textId="77777777" w:rsidR="001C2F95" w:rsidRPr="00944D69" w:rsidRDefault="001C2F95" w:rsidP="00971FD2">
            <w:pPr>
              <w:pStyle w:val="Commentaire"/>
              <w:rPr>
                <w:lang w:val="fr-FR"/>
              </w:rPr>
            </w:pPr>
            <w:r w:rsidRPr="00FF4CBB">
              <w:rPr>
                <w:bCs/>
                <w:sz w:val="22"/>
                <w:lang w:val="fr-FR"/>
              </w:rPr>
              <w:t>Études et mesures d’accompagnement ainsi que Mesures environnementales dans les plans d’affaires</w:t>
            </w:r>
            <w:r w:rsidRPr="00944D69">
              <w:rPr>
                <w:lang w:val="fr-FR"/>
              </w:rPr>
              <w:t xml:space="preserve"> </w:t>
            </w:r>
          </w:p>
          <w:p w14:paraId="296473D6" w14:textId="77777777" w:rsidR="001C2F95" w:rsidRPr="005B21CA" w:rsidRDefault="001C2F95" w:rsidP="00971FD2">
            <w:pPr>
              <w:jc w:val="left"/>
              <w:rPr>
                <w:sz w:val="22"/>
              </w:rPr>
            </w:pPr>
            <w:r w:rsidRPr="005B21CA">
              <w:rPr>
                <w:bCs/>
                <w:sz w:val="22"/>
              </w:rPr>
              <w:t xml:space="preserve"> </w:t>
            </w:r>
          </w:p>
        </w:tc>
        <w:tc>
          <w:tcPr>
            <w:tcW w:w="3246" w:type="dxa"/>
            <w:gridSpan w:val="2"/>
            <w:vMerge w:val="restart"/>
            <w:tcBorders>
              <w:left w:val="single" w:sz="4" w:space="0" w:color="auto"/>
              <w:right w:val="single" w:sz="4" w:space="0" w:color="auto"/>
            </w:tcBorders>
          </w:tcPr>
          <w:p w14:paraId="0DBC93B7" w14:textId="77777777" w:rsidR="001C2F95" w:rsidRPr="005B21CA" w:rsidRDefault="001C2F95" w:rsidP="00971FD2">
            <w:pPr>
              <w:jc w:val="left"/>
              <w:rPr>
                <w:bCs/>
                <w:sz w:val="22"/>
              </w:rPr>
            </w:pPr>
            <w:r w:rsidRPr="005B21CA">
              <w:rPr>
                <w:sz w:val="22"/>
              </w:rPr>
              <w:t>Réalisation des EIES pour certaines activités du PNDA.</w:t>
            </w:r>
          </w:p>
        </w:tc>
        <w:tc>
          <w:tcPr>
            <w:tcW w:w="1558" w:type="dxa"/>
            <w:tcBorders>
              <w:left w:val="single" w:sz="4" w:space="0" w:color="auto"/>
              <w:bottom w:val="single" w:sz="36" w:space="0" w:color="auto"/>
            </w:tcBorders>
          </w:tcPr>
          <w:p w14:paraId="167B8516" w14:textId="77777777" w:rsidR="001C2F95" w:rsidRPr="005B21CA" w:rsidRDefault="001C2F95" w:rsidP="00971FD2">
            <w:pPr>
              <w:rPr>
                <w:bCs/>
                <w:sz w:val="22"/>
              </w:rPr>
            </w:pPr>
            <w:r w:rsidRPr="005B21CA">
              <w:rPr>
                <w:sz w:val="22"/>
              </w:rPr>
              <w:t>1</w:t>
            </w:r>
            <w:r w:rsidRPr="005B21CA">
              <w:rPr>
                <w:sz w:val="22"/>
                <w:vertAlign w:val="superscript"/>
              </w:rPr>
              <w:t>ère</w:t>
            </w:r>
            <w:r w:rsidRPr="005B21CA">
              <w:rPr>
                <w:sz w:val="22"/>
              </w:rPr>
              <w:t xml:space="preserve"> année, ou avant la mise en</w:t>
            </w:r>
            <w:r>
              <w:rPr>
                <w:sz w:val="22"/>
              </w:rPr>
              <w:t xml:space="preserve"> </w:t>
            </w:r>
            <w:r w:rsidR="004D13EF">
              <w:rPr>
                <w:sz w:val="22"/>
              </w:rPr>
              <w:t xml:space="preserve">œuvre </w:t>
            </w:r>
          </w:p>
        </w:tc>
        <w:tc>
          <w:tcPr>
            <w:tcW w:w="992" w:type="dxa"/>
            <w:vMerge w:val="restart"/>
            <w:tcBorders>
              <w:left w:val="single" w:sz="4" w:space="0" w:color="auto"/>
            </w:tcBorders>
          </w:tcPr>
          <w:p w14:paraId="1BAD59E9" w14:textId="77777777" w:rsidR="001C2F95" w:rsidRPr="005B21CA" w:rsidRDefault="001C2F95" w:rsidP="00971FD2">
            <w:pPr>
              <w:rPr>
                <w:sz w:val="22"/>
              </w:rPr>
            </w:pPr>
          </w:p>
        </w:tc>
        <w:tc>
          <w:tcPr>
            <w:tcW w:w="963" w:type="dxa"/>
            <w:vMerge w:val="restart"/>
            <w:tcBorders>
              <w:left w:val="single" w:sz="4" w:space="0" w:color="auto"/>
              <w:right w:val="single" w:sz="4" w:space="0" w:color="auto"/>
            </w:tcBorders>
          </w:tcPr>
          <w:p w14:paraId="645F0CF8" w14:textId="77777777" w:rsidR="001C2F95" w:rsidRPr="005B21CA" w:rsidRDefault="001C2F95" w:rsidP="00971FD2">
            <w:pPr>
              <w:rPr>
                <w:sz w:val="22"/>
              </w:rPr>
            </w:pPr>
          </w:p>
        </w:tc>
        <w:tc>
          <w:tcPr>
            <w:tcW w:w="992" w:type="dxa"/>
            <w:vMerge w:val="restart"/>
            <w:tcBorders>
              <w:left w:val="single" w:sz="4" w:space="0" w:color="auto"/>
              <w:right w:val="single" w:sz="4" w:space="0" w:color="auto"/>
            </w:tcBorders>
          </w:tcPr>
          <w:p w14:paraId="2D817151" w14:textId="77777777" w:rsidR="001C2F95" w:rsidRPr="005B21CA" w:rsidRDefault="001C2F95" w:rsidP="00971FD2">
            <w:pPr>
              <w:rPr>
                <w:sz w:val="22"/>
              </w:rPr>
            </w:pPr>
          </w:p>
        </w:tc>
        <w:tc>
          <w:tcPr>
            <w:tcW w:w="992" w:type="dxa"/>
            <w:vMerge w:val="restart"/>
            <w:tcBorders>
              <w:left w:val="single" w:sz="4" w:space="0" w:color="auto"/>
              <w:right w:val="single" w:sz="4" w:space="0" w:color="auto"/>
            </w:tcBorders>
          </w:tcPr>
          <w:p w14:paraId="59E5077E" w14:textId="77777777" w:rsidR="001C2F95" w:rsidRPr="005B21CA" w:rsidRDefault="001C2F95" w:rsidP="00971FD2">
            <w:pPr>
              <w:rPr>
                <w:sz w:val="22"/>
              </w:rPr>
            </w:pPr>
          </w:p>
        </w:tc>
      </w:tr>
      <w:tr w:rsidR="001C2F95" w:rsidRPr="005B21CA" w14:paraId="496E1871" w14:textId="77777777" w:rsidTr="00971FD2">
        <w:trPr>
          <w:cantSplit/>
          <w:trHeight w:val="20"/>
          <w:jc w:val="center"/>
        </w:trPr>
        <w:tc>
          <w:tcPr>
            <w:tcW w:w="1849" w:type="dxa"/>
            <w:vMerge/>
            <w:tcBorders>
              <w:right w:val="single" w:sz="4" w:space="0" w:color="auto"/>
            </w:tcBorders>
          </w:tcPr>
          <w:p w14:paraId="0FCC8250" w14:textId="77777777" w:rsidR="001C2F95" w:rsidRPr="005B21CA" w:rsidRDefault="001C2F95" w:rsidP="00971FD2">
            <w:pPr>
              <w:jc w:val="left"/>
              <w:rPr>
                <w:bCs/>
                <w:sz w:val="22"/>
              </w:rPr>
            </w:pPr>
          </w:p>
        </w:tc>
        <w:tc>
          <w:tcPr>
            <w:tcW w:w="3246" w:type="dxa"/>
            <w:gridSpan w:val="2"/>
            <w:vMerge/>
            <w:tcBorders>
              <w:left w:val="single" w:sz="4" w:space="0" w:color="auto"/>
              <w:bottom w:val="single" w:sz="4" w:space="0" w:color="auto"/>
              <w:right w:val="single" w:sz="4" w:space="0" w:color="auto"/>
            </w:tcBorders>
          </w:tcPr>
          <w:p w14:paraId="33AFF76D" w14:textId="77777777" w:rsidR="001C2F95" w:rsidRPr="005B21CA" w:rsidRDefault="001C2F95" w:rsidP="00971FD2">
            <w:pPr>
              <w:jc w:val="left"/>
              <w:rPr>
                <w:sz w:val="22"/>
              </w:rPr>
            </w:pPr>
          </w:p>
        </w:tc>
        <w:tc>
          <w:tcPr>
            <w:tcW w:w="1558" w:type="dxa"/>
            <w:tcBorders>
              <w:top w:val="single" w:sz="36" w:space="0" w:color="auto"/>
              <w:left w:val="single" w:sz="4" w:space="0" w:color="auto"/>
              <w:bottom w:val="single" w:sz="4" w:space="0" w:color="auto"/>
            </w:tcBorders>
          </w:tcPr>
          <w:p w14:paraId="00B3EB91" w14:textId="77777777" w:rsidR="001C2F95" w:rsidRPr="005B21CA" w:rsidRDefault="001C2F95" w:rsidP="00971FD2">
            <w:pPr>
              <w:rPr>
                <w:sz w:val="22"/>
              </w:rPr>
            </w:pPr>
            <w:r w:rsidRPr="005B21CA">
              <w:rPr>
                <w:sz w:val="22"/>
              </w:rPr>
              <w:t xml:space="preserve"> </w:t>
            </w:r>
          </w:p>
        </w:tc>
        <w:tc>
          <w:tcPr>
            <w:tcW w:w="992" w:type="dxa"/>
            <w:vMerge/>
            <w:tcBorders>
              <w:left w:val="single" w:sz="4" w:space="0" w:color="auto"/>
              <w:bottom w:val="single" w:sz="4" w:space="0" w:color="auto"/>
            </w:tcBorders>
          </w:tcPr>
          <w:p w14:paraId="1160BA6C" w14:textId="77777777" w:rsidR="001C2F95" w:rsidRPr="005B21CA" w:rsidRDefault="001C2F95" w:rsidP="00971FD2">
            <w:pPr>
              <w:rPr>
                <w:sz w:val="22"/>
              </w:rPr>
            </w:pPr>
          </w:p>
        </w:tc>
        <w:tc>
          <w:tcPr>
            <w:tcW w:w="963" w:type="dxa"/>
            <w:vMerge/>
            <w:tcBorders>
              <w:left w:val="single" w:sz="4" w:space="0" w:color="auto"/>
              <w:bottom w:val="single" w:sz="4" w:space="0" w:color="auto"/>
              <w:right w:val="single" w:sz="4" w:space="0" w:color="auto"/>
            </w:tcBorders>
          </w:tcPr>
          <w:p w14:paraId="46DC832C" w14:textId="77777777" w:rsidR="001C2F95" w:rsidRPr="005B21CA" w:rsidRDefault="001C2F95" w:rsidP="00971FD2">
            <w:pPr>
              <w:rPr>
                <w:sz w:val="22"/>
              </w:rPr>
            </w:pPr>
          </w:p>
        </w:tc>
        <w:tc>
          <w:tcPr>
            <w:tcW w:w="992" w:type="dxa"/>
            <w:vMerge/>
            <w:tcBorders>
              <w:left w:val="single" w:sz="4" w:space="0" w:color="auto"/>
              <w:bottom w:val="single" w:sz="4" w:space="0" w:color="auto"/>
              <w:right w:val="single" w:sz="4" w:space="0" w:color="auto"/>
            </w:tcBorders>
          </w:tcPr>
          <w:p w14:paraId="14A10E55" w14:textId="77777777" w:rsidR="001C2F95" w:rsidRPr="005B21CA" w:rsidRDefault="001C2F95" w:rsidP="00971FD2">
            <w:pPr>
              <w:rPr>
                <w:sz w:val="22"/>
              </w:rPr>
            </w:pPr>
          </w:p>
        </w:tc>
        <w:tc>
          <w:tcPr>
            <w:tcW w:w="992" w:type="dxa"/>
            <w:vMerge/>
            <w:tcBorders>
              <w:left w:val="single" w:sz="4" w:space="0" w:color="auto"/>
              <w:right w:val="single" w:sz="4" w:space="0" w:color="auto"/>
            </w:tcBorders>
          </w:tcPr>
          <w:p w14:paraId="01AF9EDC" w14:textId="77777777" w:rsidR="001C2F95" w:rsidRPr="005B21CA" w:rsidRDefault="001C2F95" w:rsidP="00971FD2">
            <w:pPr>
              <w:rPr>
                <w:sz w:val="22"/>
              </w:rPr>
            </w:pPr>
          </w:p>
        </w:tc>
      </w:tr>
      <w:tr w:rsidR="001C2F95" w:rsidRPr="005B21CA" w14:paraId="5BAFDFBF" w14:textId="77777777" w:rsidTr="00971FD2">
        <w:trPr>
          <w:cantSplit/>
          <w:trHeight w:val="180"/>
          <w:jc w:val="center"/>
        </w:trPr>
        <w:tc>
          <w:tcPr>
            <w:tcW w:w="1849" w:type="dxa"/>
            <w:vMerge/>
            <w:tcBorders>
              <w:right w:val="single" w:sz="4" w:space="0" w:color="auto"/>
            </w:tcBorders>
          </w:tcPr>
          <w:p w14:paraId="1FAC7B93" w14:textId="77777777" w:rsidR="001C2F95" w:rsidRPr="005B21CA" w:rsidRDefault="001C2F95" w:rsidP="00971FD2">
            <w:pPr>
              <w:jc w:val="left"/>
              <w:rPr>
                <w:bCs/>
                <w:sz w:val="22"/>
              </w:rPr>
            </w:pPr>
          </w:p>
        </w:tc>
        <w:tc>
          <w:tcPr>
            <w:tcW w:w="3246" w:type="dxa"/>
            <w:gridSpan w:val="2"/>
            <w:vMerge w:val="restart"/>
            <w:tcBorders>
              <w:top w:val="single" w:sz="4" w:space="0" w:color="auto"/>
              <w:left w:val="single" w:sz="4" w:space="0" w:color="auto"/>
              <w:right w:val="single" w:sz="4" w:space="0" w:color="auto"/>
            </w:tcBorders>
          </w:tcPr>
          <w:p w14:paraId="370D7CB0" w14:textId="77777777" w:rsidR="001C2F95" w:rsidRPr="005B21CA" w:rsidRDefault="001C2F95" w:rsidP="00971FD2">
            <w:pPr>
              <w:jc w:val="left"/>
              <w:rPr>
                <w:sz w:val="22"/>
              </w:rPr>
            </w:pPr>
            <w:r w:rsidRPr="005B21CA">
              <w:rPr>
                <w:sz w:val="22"/>
              </w:rPr>
              <w:t>Dotation de petits matériels d’entretien et de gestion.</w:t>
            </w:r>
          </w:p>
        </w:tc>
        <w:tc>
          <w:tcPr>
            <w:tcW w:w="1558" w:type="dxa"/>
            <w:vMerge w:val="restart"/>
            <w:tcBorders>
              <w:top w:val="single" w:sz="4" w:space="0" w:color="auto"/>
              <w:left w:val="single" w:sz="4" w:space="0" w:color="auto"/>
            </w:tcBorders>
          </w:tcPr>
          <w:p w14:paraId="1B752DF4" w14:textId="77777777" w:rsidR="001C2F95" w:rsidRPr="005B21CA" w:rsidRDefault="001C2F95" w:rsidP="00971FD2">
            <w:pPr>
              <w:rPr>
                <w:sz w:val="22"/>
              </w:rPr>
            </w:pPr>
          </w:p>
        </w:tc>
        <w:tc>
          <w:tcPr>
            <w:tcW w:w="992" w:type="dxa"/>
            <w:tcBorders>
              <w:top w:val="single" w:sz="4" w:space="0" w:color="auto"/>
              <w:left w:val="single" w:sz="4" w:space="0" w:color="auto"/>
              <w:bottom w:val="single" w:sz="36" w:space="0" w:color="auto"/>
            </w:tcBorders>
          </w:tcPr>
          <w:p w14:paraId="79709E16" w14:textId="77777777" w:rsidR="001C2F95" w:rsidRPr="005B21CA" w:rsidRDefault="001C2F95" w:rsidP="00971FD2">
            <w:pPr>
              <w:rPr>
                <w:sz w:val="22"/>
              </w:rPr>
            </w:pPr>
          </w:p>
        </w:tc>
        <w:tc>
          <w:tcPr>
            <w:tcW w:w="963" w:type="dxa"/>
            <w:tcBorders>
              <w:top w:val="single" w:sz="4" w:space="0" w:color="auto"/>
              <w:left w:val="single" w:sz="4" w:space="0" w:color="auto"/>
              <w:bottom w:val="single" w:sz="36" w:space="0" w:color="auto"/>
              <w:right w:val="single" w:sz="4" w:space="0" w:color="auto"/>
            </w:tcBorders>
          </w:tcPr>
          <w:p w14:paraId="706DB7E3" w14:textId="77777777" w:rsidR="001C2F95" w:rsidRPr="005B21CA" w:rsidRDefault="001C2F95" w:rsidP="00971FD2">
            <w:pPr>
              <w:rPr>
                <w:sz w:val="22"/>
              </w:rPr>
            </w:pPr>
          </w:p>
        </w:tc>
        <w:tc>
          <w:tcPr>
            <w:tcW w:w="992" w:type="dxa"/>
            <w:tcBorders>
              <w:top w:val="single" w:sz="4" w:space="0" w:color="auto"/>
              <w:left w:val="single" w:sz="4" w:space="0" w:color="auto"/>
              <w:bottom w:val="single" w:sz="36" w:space="0" w:color="auto"/>
              <w:right w:val="single" w:sz="4" w:space="0" w:color="auto"/>
            </w:tcBorders>
          </w:tcPr>
          <w:p w14:paraId="3C347015" w14:textId="77777777" w:rsidR="001C2F95" w:rsidRPr="005B21CA" w:rsidRDefault="001C2F95" w:rsidP="00971FD2">
            <w:pPr>
              <w:rPr>
                <w:sz w:val="22"/>
              </w:rPr>
            </w:pPr>
          </w:p>
        </w:tc>
        <w:tc>
          <w:tcPr>
            <w:tcW w:w="992" w:type="dxa"/>
            <w:vMerge/>
            <w:tcBorders>
              <w:left w:val="single" w:sz="4" w:space="0" w:color="auto"/>
              <w:bottom w:val="single" w:sz="36" w:space="0" w:color="auto"/>
              <w:right w:val="single" w:sz="4" w:space="0" w:color="auto"/>
            </w:tcBorders>
          </w:tcPr>
          <w:p w14:paraId="42BCAFC5" w14:textId="77777777" w:rsidR="001C2F95" w:rsidRPr="005B21CA" w:rsidRDefault="001C2F95" w:rsidP="00971FD2">
            <w:pPr>
              <w:rPr>
                <w:sz w:val="22"/>
              </w:rPr>
            </w:pPr>
          </w:p>
        </w:tc>
      </w:tr>
      <w:tr w:rsidR="001C2F95" w:rsidRPr="005B21CA" w14:paraId="3806742C" w14:textId="77777777" w:rsidTr="00971FD2">
        <w:trPr>
          <w:cantSplit/>
          <w:trHeight w:val="119"/>
          <w:jc w:val="center"/>
        </w:trPr>
        <w:tc>
          <w:tcPr>
            <w:tcW w:w="1849" w:type="dxa"/>
            <w:vMerge/>
            <w:tcBorders>
              <w:right w:val="single" w:sz="4" w:space="0" w:color="auto"/>
            </w:tcBorders>
          </w:tcPr>
          <w:p w14:paraId="052791A9" w14:textId="77777777" w:rsidR="001C2F95" w:rsidRPr="005B21CA" w:rsidRDefault="001C2F95" w:rsidP="00971FD2">
            <w:pPr>
              <w:jc w:val="left"/>
              <w:rPr>
                <w:bCs/>
                <w:sz w:val="22"/>
              </w:rPr>
            </w:pPr>
          </w:p>
        </w:tc>
        <w:tc>
          <w:tcPr>
            <w:tcW w:w="3246" w:type="dxa"/>
            <w:gridSpan w:val="2"/>
            <w:vMerge/>
            <w:tcBorders>
              <w:top w:val="single" w:sz="4" w:space="0" w:color="auto"/>
              <w:left w:val="single" w:sz="4" w:space="0" w:color="auto"/>
              <w:bottom w:val="single" w:sz="4" w:space="0" w:color="auto"/>
              <w:right w:val="single" w:sz="4" w:space="0" w:color="auto"/>
            </w:tcBorders>
          </w:tcPr>
          <w:p w14:paraId="5A0BA9C1" w14:textId="77777777" w:rsidR="001C2F95" w:rsidRPr="005B21CA" w:rsidRDefault="001C2F95" w:rsidP="00971FD2">
            <w:pPr>
              <w:jc w:val="left"/>
              <w:rPr>
                <w:sz w:val="22"/>
              </w:rPr>
            </w:pPr>
          </w:p>
        </w:tc>
        <w:tc>
          <w:tcPr>
            <w:tcW w:w="1558" w:type="dxa"/>
            <w:vMerge/>
            <w:tcBorders>
              <w:top w:val="single" w:sz="4" w:space="0" w:color="auto"/>
              <w:left w:val="single" w:sz="4" w:space="0" w:color="auto"/>
              <w:bottom w:val="single" w:sz="4" w:space="0" w:color="auto"/>
            </w:tcBorders>
          </w:tcPr>
          <w:p w14:paraId="0C7C3525" w14:textId="77777777" w:rsidR="001C2F95" w:rsidRPr="005B21CA" w:rsidRDefault="001C2F95" w:rsidP="00971FD2">
            <w:pPr>
              <w:rPr>
                <w:sz w:val="22"/>
              </w:rPr>
            </w:pPr>
          </w:p>
        </w:tc>
        <w:tc>
          <w:tcPr>
            <w:tcW w:w="992" w:type="dxa"/>
            <w:tcBorders>
              <w:top w:val="single" w:sz="4" w:space="0" w:color="auto"/>
              <w:left w:val="single" w:sz="4" w:space="0" w:color="auto"/>
              <w:bottom w:val="single" w:sz="4" w:space="0" w:color="auto"/>
            </w:tcBorders>
          </w:tcPr>
          <w:p w14:paraId="140F92BA" w14:textId="77777777" w:rsidR="001C2F95" w:rsidRPr="005B21CA" w:rsidRDefault="001C2F95" w:rsidP="00971FD2">
            <w:pPr>
              <w:rPr>
                <w:sz w:val="22"/>
              </w:rPr>
            </w:pPr>
          </w:p>
        </w:tc>
        <w:tc>
          <w:tcPr>
            <w:tcW w:w="963" w:type="dxa"/>
            <w:tcBorders>
              <w:top w:val="single" w:sz="4" w:space="0" w:color="auto"/>
              <w:left w:val="single" w:sz="4" w:space="0" w:color="auto"/>
              <w:bottom w:val="single" w:sz="4" w:space="0" w:color="auto"/>
            </w:tcBorders>
          </w:tcPr>
          <w:p w14:paraId="347CAB95" w14:textId="77777777" w:rsidR="001C2F95" w:rsidRPr="005B21CA" w:rsidRDefault="001C2F95" w:rsidP="00971FD2">
            <w:pPr>
              <w:rPr>
                <w:sz w:val="22"/>
              </w:rPr>
            </w:pPr>
          </w:p>
        </w:tc>
        <w:tc>
          <w:tcPr>
            <w:tcW w:w="992" w:type="dxa"/>
            <w:tcBorders>
              <w:top w:val="single" w:sz="4" w:space="0" w:color="auto"/>
              <w:left w:val="single" w:sz="4" w:space="0" w:color="auto"/>
              <w:bottom w:val="single" w:sz="4" w:space="0" w:color="auto"/>
            </w:tcBorders>
          </w:tcPr>
          <w:p w14:paraId="2DCF4DF2" w14:textId="77777777" w:rsidR="001C2F95" w:rsidRPr="005B21CA" w:rsidRDefault="001C2F95" w:rsidP="00971FD2">
            <w:pPr>
              <w:rPr>
                <w:sz w:val="22"/>
              </w:rPr>
            </w:pPr>
          </w:p>
        </w:tc>
        <w:tc>
          <w:tcPr>
            <w:tcW w:w="992" w:type="dxa"/>
            <w:tcBorders>
              <w:top w:val="single" w:sz="4" w:space="0" w:color="auto"/>
              <w:left w:val="single" w:sz="4" w:space="0" w:color="auto"/>
              <w:bottom w:val="single" w:sz="4" w:space="0" w:color="auto"/>
            </w:tcBorders>
          </w:tcPr>
          <w:p w14:paraId="04EDF617" w14:textId="77777777" w:rsidR="001C2F95" w:rsidRPr="005B21CA" w:rsidRDefault="001C2F95" w:rsidP="00971FD2">
            <w:pPr>
              <w:rPr>
                <w:sz w:val="22"/>
              </w:rPr>
            </w:pPr>
          </w:p>
        </w:tc>
      </w:tr>
      <w:tr w:rsidR="001C2F95" w:rsidRPr="005B21CA" w14:paraId="5A73D3EE" w14:textId="77777777" w:rsidTr="00971FD2">
        <w:trPr>
          <w:cantSplit/>
          <w:trHeight w:val="135"/>
          <w:jc w:val="center"/>
        </w:trPr>
        <w:tc>
          <w:tcPr>
            <w:tcW w:w="1849" w:type="dxa"/>
            <w:vMerge/>
            <w:tcBorders>
              <w:bottom w:val="single" w:sz="4" w:space="0" w:color="auto"/>
              <w:right w:val="single" w:sz="4" w:space="0" w:color="auto"/>
            </w:tcBorders>
          </w:tcPr>
          <w:p w14:paraId="6AA38F14" w14:textId="77777777" w:rsidR="001C2F95" w:rsidRPr="005B21CA" w:rsidRDefault="001C2F95" w:rsidP="00971FD2">
            <w:pPr>
              <w:jc w:val="left"/>
              <w:rPr>
                <w:bCs/>
                <w:sz w:val="22"/>
              </w:rPr>
            </w:pPr>
          </w:p>
        </w:tc>
        <w:tc>
          <w:tcPr>
            <w:tcW w:w="3246" w:type="dxa"/>
            <w:gridSpan w:val="2"/>
            <w:tcBorders>
              <w:left w:val="single" w:sz="4" w:space="0" w:color="auto"/>
              <w:bottom w:val="single" w:sz="4" w:space="0" w:color="auto"/>
              <w:right w:val="single" w:sz="4" w:space="0" w:color="auto"/>
            </w:tcBorders>
          </w:tcPr>
          <w:p w14:paraId="1FB4DCF7" w14:textId="77777777" w:rsidR="001C2F95" w:rsidRPr="005B21CA" w:rsidRDefault="001C2F95" w:rsidP="00971FD2">
            <w:pPr>
              <w:jc w:val="left"/>
              <w:rPr>
                <w:sz w:val="22"/>
              </w:rPr>
            </w:pPr>
            <w:r w:rsidRPr="005B21CA">
              <w:rPr>
                <w:sz w:val="22"/>
              </w:rPr>
              <w:t>Reboisement compensatoire et aménagement paysagers.</w:t>
            </w:r>
          </w:p>
        </w:tc>
        <w:tc>
          <w:tcPr>
            <w:tcW w:w="1558" w:type="dxa"/>
            <w:tcBorders>
              <w:left w:val="single" w:sz="4" w:space="0" w:color="auto"/>
              <w:bottom w:val="single" w:sz="4" w:space="0" w:color="auto"/>
            </w:tcBorders>
          </w:tcPr>
          <w:p w14:paraId="788DBC61" w14:textId="77777777" w:rsidR="001C2F95" w:rsidRPr="005B21CA" w:rsidRDefault="001C2F95" w:rsidP="00971FD2">
            <w:pPr>
              <w:jc w:val="left"/>
              <w:rPr>
                <w:sz w:val="22"/>
              </w:rPr>
            </w:pPr>
            <w:r w:rsidRPr="005B21CA">
              <w:rPr>
                <w:sz w:val="22"/>
              </w:rPr>
              <w:t>Après les travaux</w:t>
            </w:r>
          </w:p>
        </w:tc>
        <w:tc>
          <w:tcPr>
            <w:tcW w:w="992" w:type="dxa"/>
            <w:tcBorders>
              <w:top w:val="single" w:sz="36" w:space="0" w:color="auto"/>
              <w:left w:val="single" w:sz="4" w:space="0" w:color="auto"/>
              <w:bottom w:val="single" w:sz="4" w:space="0" w:color="auto"/>
            </w:tcBorders>
          </w:tcPr>
          <w:p w14:paraId="7080CE78" w14:textId="77777777" w:rsidR="001C2F95" w:rsidRPr="005B21CA" w:rsidRDefault="001C2F95" w:rsidP="00971FD2">
            <w:pPr>
              <w:rPr>
                <w:sz w:val="22"/>
              </w:rPr>
            </w:pPr>
          </w:p>
        </w:tc>
        <w:tc>
          <w:tcPr>
            <w:tcW w:w="963" w:type="dxa"/>
            <w:tcBorders>
              <w:left w:val="single" w:sz="4" w:space="0" w:color="auto"/>
              <w:bottom w:val="single" w:sz="4" w:space="0" w:color="auto"/>
            </w:tcBorders>
          </w:tcPr>
          <w:p w14:paraId="187DCDE7" w14:textId="77777777" w:rsidR="001C2F95" w:rsidRPr="005B21CA" w:rsidRDefault="001C2F95" w:rsidP="00971FD2">
            <w:pPr>
              <w:rPr>
                <w:sz w:val="22"/>
              </w:rPr>
            </w:pPr>
          </w:p>
        </w:tc>
        <w:tc>
          <w:tcPr>
            <w:tcW w:w="992" w:type="dxa"/>
            <w:tcBorders>
              <w:left w:val="single" w:sz="4" w:space="0" w:color="auto"/>
              <w:bottom w:val="single" w:sz="4" w:space="0" w:color="auto"/>
            </w:tcBorders>
          </w:tcPr>
          <w:p w14:paraId="2D50D795" w14:textId="77777777" w:rsidR="001C2F95" w:rsidRPr="005B21CA" w:rsidRDefault="001C2F95" w:rsidP="00971FD2">
            <w:pPr>
              <w:rPr>
                <w:sz w:val="22"/>
              </w:rPr>
            </w:pPr>
          </w:p>
        </w:tc>
        <w:tc>
          <w:tcPr>
            <w:tcW w:w="992" w:type="dxa"/>
            <w:tcBorders>
              <w:left w:val="single" w:sz="4" w:space="0" w:color="auto"/>
              <w:bottom w:val="single" w:sz="4" w:space="0" w:color="auto"/>
            </w:tcBorders>
          </w:tcPr>
          <w:p w14:paraId="116B3F9B" w14:textId="77777777" w:rsidR="001C2F95" w:rsidRPr="005B21CA" w:rsidRDefault="001C2F95" w:rsidP="00971FD2">
            <w:pPr>
              <w:rPr>
                <w:sz w:val="22"/>
              </w:rPr>
            </w:pPr>
          </w:p>
        </w:tc>
      </w:tr>
      <w:tr w:rsidR="001C2F95" w:rsidRPr="005B21CA" w14:paraId="752C3E49" w14:textId="77777777" w:rsidTr="00971FD2">
        <w:trPr>
          <w:cantSplit/>
          <w:trHeight w:val="210"/>
          <w:jc w:val="center"/>
        </w:trPr>
        <w:tc>
          <w:tcPr>
            <w:tcW w:w="1849" w:type="dxa"/>
            <w:vMerge w:val="restart"/>
            <w:tcBorders>
              <w:top w:val="single" w:sz="4" w:space="0" w:color="auto"/>
              <w:left w:val="single" w:sz="6" w:space="0" w:color="000000"/>
              <w:right w:val="single" w:sz="4" w:space="0" w:color="auto"/>
            </w:tcBorders>
          </w:tcPr>
          <w:p w14:paraId="28963B43" w14:textId="77777777" w:rsidR="001C2F95" w:rsidRPr="005B21CA" w:rsidRDefault="001C2F95" w:rsidP="00971FD2">
            <w:pPr>
              <w:jc w:val="left"/>
              <w:rPr>
                <w:bCs/>
                <w:sz w:val="22"/>
              </w:rPr>
            </w:pPr>
            <w:r w:rsidRPr="005B21CA">
              <w:rPr>
                <w:bCs/>
                <w:sz w:val="22"/>
              </w:rPr>
              <w:t>Formation</w:t>
            </w:r>
          </w:p>
        </w:tc>
        <w:tc>
          <w:tcPr>
            <w:tcW w:w="3246" w:type="dxa"/>
            <w:gridSpan w:val="2"/>
            <w:vMerge w:val="restart"/>
            <w:tcBorders>
              <w:top w:val="single" w:sz="6" w:space="0" w:color="000000"/>
              <w:left w:val="single" w:sz="4" w:space="0" w:color="auto"/>
              <w:right w:val="single" w:sz="4" w:space="0" w:color="auto"/>
            </w:tcBorders>
          </w:tcPr>
          <w:p w14:paraId="266C3F1A" w14:textId="77777777" w:rsidR="001C2F95" w:rsidRPr="005B21CA" w:rsidRDefault="001C2F95" w:rsidP="00971FD2">
            <w:pPr>
              <w:jc w:val="left"/>
              <w:rPr>
                <w:sz w:val="22"/>
              </w:rPr>
            </w:pPr>
            <w:r w:rsidRPr="005B21CA">
              <w:rPr>
                <w:sz w:val="22"/>
              </w:rPr>
              <w:t xml:space="preserve">Formation des responsables en environnement </w:t>
            </w:r>
            <w:r>
              <w:rPr>
                <w:sz w:val="22"/>
              </w:rPr>
              <w:t xml:space="preserve">et social </w:t>
            </w:r>
            <w:r w:rsidRPr="005B21CA">
              <w:rPr>
                <w:sz w:val="22"/>
              </w:rPr>
              <w:t xml:space="preserve">du PNDA et PFES en gestion environnementale </w:t>
            </w:r>
            <w:r>
              <w:rPr>
                <w:sz w:val="22"/>
              </w:rPr>
              <w:t xml:space="preserve">et sociale </w:t>
            </w:r>
            <w:r w:rsidRPr="005B21CA">
              <w:rPr>
                <w:sz w:val="22"/>
              </w:rPr>
              <w:t>des projets.</w:t>
            </w:r>
          </w:p>
        </w:tc>
        <w:tc>
          <w:tcPr>
            <w:tcW w:w="1558" w:type="dxa"/>
            <w:tcBorders>
              <w:top w:val="single" w:sz="6" w:space="0" w:color="000000"/>
              <w:left w:val="single" w:sz="4" w:space="0" w:color="auto"/>
              <w:bottom w:val="single" w:sz="36" w:space="0" w:color="auto"/>
              <w:right w:val="single" w:sz="6" w:space="0" w:color="000000"/>
            </w:tcBorders>
          </w:tcPr>
          <w:p w14:paraId="21BD800B" w14:textId="77777777" w:rsidR="001C2F95" w:rsidRPr="005B21CA" w:rsidRDefault="001C2F95" w:rsidP="00971FD2">
            <w:pPr>
              <w:tabs>
                <w:tab w:val="num" w:pos="360"/>
              </w:tabs>
              <w:ind w:left="360" w:hanging="360"/>
              <w:rPr>
                <w:sz w:val="22"/>
              </w:rPr>
            </w:pPr>
            <w:r w:rsidRPr="005B21CA">
              <w:rPr>
                <w:sz w:val="22"/>
              </w:rPr>
              <w:t>1</w:t>
            </w:r>
            <w:r w:rsidRPr="005B21CA">
              <w:rPr>
                <w:sz w:val="22"/>
                <w:vertAlign w:val="superscript"/>
              </w:rPr>
              <w:t>ère</w:t>
            </w:r>
            <w:r w:rsidRPr="005B21CA">
              <w:rPr>
                <w:sz w:val="22"/>
              </w:rPr>
              <w:t xml:space="preserve"> année</w:t>
            </w:r>
          </w:p>
        </w:tc>
        <w:tc>
          <w:tcPr>
            <w:tcW w:w="992" w:type="dxa"/>
            <w:vMerge w:val="restart"/>
            <w:tcBorders>
              <w:top w:val="single" w:sz="6" w:space="0" w:color="000000"/>
              <w:left w:val="single" w:sz="4" w:space="0" w:color="auto"/>
              <w:right w:val="single" w:sz="6" w:space="0" w:color="000000"/>
            </w:tcBorders>
          </w:tcPr>
          <w:p w14:paraId="7DE5F74A" w14:textId="77777777" w:rsidR="001C2F95" w:rsidRPr="005B21CA" w:rsidRDefault="001C2F95" w:rsidP="00971FD2">
            <w:pPr>
              <w:tabs>
                <w:tab w:val="num" w:pos="360"/>
              </w:tabs>
              <w:ind w:left="360" w:hanging="360"/>
              <w:rPr>
                <w:sz w:val="22"/>
              </w:rPr>
            </w:pPr>
          </w:p>
        </w:tc>
        <w:tc>
          <w:tcPr>
            <w:tcW w:w="963" w:type="dxa"/>
            <w:vMerge w:val="restart"/>
            <w:tcBorders>
              <w:top w:val="single" w:sz="6" w:space="0" w:color="000000"/>
              <w:left w:val="single" w:sz="4" w:space="0" w:color="auto"/>
              <w:right w:val="single" w:sz="6" w:space="0" w:color="000000"/>
            </w:tcBorders>
          </w:tcPr>
          <w:p w14:paraId="7A4CD527" w14:textId="77777777" w:rsidR="001C2F95" w:rsidRPr="005B21CA" w:rsidRDefault="001C2F95" w:rsidP="00971FD2">
            <w:pPr>
              <w:tabs>
                <w:tab w:val="num" w:pos="360"/>
              </w:tabs>
              <w:ind w:left="360" w:hanging="360"/>
              <w:rPr>
                <w:sz w:val="22"/>
              </w:rPr>
            </w:pPr>
          </w:p>
        </w:tc>
        <w:tc>
          <w:tcPr>
            <w:tcW w:w="992" w:type="dxa"/>
            <w:vMerge w:val="restart"/>
            <w:tcBorders>
              <w:top w:val="single" w:sz="6" w:space="0" w:color="000000"/>
              <w:left w:val="single" w:sz="4" w:space="0" w:color="auto"/>
              <w:right w:val="single" w:sz="6" w:space="0" w:color="000000"/>
            </w:tcBorders>
          </w:tcPr>
          <w:p w14:paraId="709A425C" w14:textId="77777777" w:rsidR="001C2F95" w:rsidRPr="005B21CA" w:rsidRDefault="001C2F95" w:rsidP="00971FD2">
            <w:pPr>
              <w:tabs>
                <w:tab w:val="num" w:pos="360"/>
              </w:tabs>
              <w:ind w:left="360" w:hanging="360"/>
              <w:rPr>
                <w:sz w:val="22"/>
              </w:rPr>
            </w:pPr>
          </w:p>
        </w:tc>
        <w:tc>
          <w:tcPr>
            <w:tcW w:w="992" w:type="dxa"/>
            <w:vMerge w:val="restart"/>
            <w:tcBorders>
              <w:top w:val="single" w:sz="6" w:space="0" w:color="000000"/>
              <w:left w:val="single" w:sz="4" w:space="0" w:color="auto"/>
              <w:right w:val="single" w:sz="6" w:space="0" w:color="000000"/>
            </w:tcBorders>
          </w:tcPr>
          <w:p w14:paraId="68F0B3BD" w14:textId="77777777" w:rsidR="001C2F95" w:rsidRPr="005B21CA" w:rsidRDefault="001C2F95" w:rsidP="00971FD2">
            <w:pPr>
              <w:tabs>
                <w:tab w:val="num" w:pos="360"/>
              </w:tabs>
              <w:ind w:left="360" w:hanging="360"/>
              <w:rPr>
                <w:sz w:val="22"/>
              </w:rPr>
            </w:pPr>
          </w:p>
        </w:tc>
      </w:tr>
      <w:tr w:rsidR="001C2F95" w:rsidRPr="005B21CA" w14:paraId="0CC3EA24" w14:textId="77777777" w:rsidTr="00971FD2">
        <w:trPr>
          <w:cantSplit/>
          <w:trHeight w:val="210"/>
          <w:jc w:val="center"/>
        </w:trPr>
        <w:tc>
          <w:tcPr>
            <w:tcW w:w="1849" w:type="dxa"/>
            <w:vMerge/>
            <w:tcBorders>
              <w:left w:val="single" w:sz="6" w:space="0" w:color="000000"/>
              <w:right w:val="single" w:sz="4" w:space="0" w:color="auto"/>
            </w:tcBorders>
          </w:tcPr>
          <w:p w14:paraId="3D5E748D" w14:textId="77777777" w:rsidR="001C2F95" w:rsidRPr="005B21CA" w:rsidRDefault="001C2F95" w:rsidP="00971FD2">
            <w:pPr>
              <w:jc w:val="left"/>
              <w:rPr>
                <w:bCs/>
                <w:sz w:val="22"/>
              </w:rPr>
            </w:pPr>
          </w:p>
        </w:tc>
        <w:tc>
          <w:tcPr>
            <w:tcW w:w="3246" w:type="dxa"/>
            <w:gridSpan w:val="2"/>
            <w:vMerge/>
            <w:tcBorders>
              <w:left w:val="single" w:sz="4" w:space="0" w:color="auto"/>
              <w:bottom w:val="single" w:sz="6" w:space="0" w:color="000000"/>
              <w:right w:val="single" w:sz="4" w:space="0" w:color="auto"/>
            </w:tcBorders>
          </w:tcPr>
          <w:p w14:paraId="6BAA0CC7" w14:textId="77777777" w:rsidR="001C2F95" w:rsidRPr="005B21CA" w:rsidRDefault="001C2F95" w:rsidP="00971FD2">
            <w:pPr>
              <w:jc w:val="left"/>
              <w:rPr>
                <w:sz w:val="22"/>
              </w:rPr>
            </w:pPr>
          </w:p>
        </w:tc>
        <w:tc>
          <w:tcPr>
            <w:tcW w:w="1558" w:type="dxa"/>
            <w:tcBorders>
              <w:top w:val="single" w:sz="36" w:space="0" w:color="auto"/>
              <w:left w:val="single" w:sz="4" w:space="0" w:color="auto"/>
              <w:bottom w:val="single" w:sz="6" w:space="0" w:color="000000"/>
              <w:right w:val="single" w:sz="6" w:space="0" w:color="000000"/>
            </w:tcBorders>
          </w:tcPr>
          <w:p w14:paraId="75B91A09" w14:textId="77777777" w:rsidR="001C2F95" w:rsidRPr="005B21CA" w:rsidRDefault="001C2F95" w:rsidP="00971FD2">
            <w:pPr>
              <w:tabs>
                <w:tab w:val="num" w:pos="360"/>
              </w:tabs>
              <w:ind w:left="360" w:hanging="360"/>
              <w:rPr>
                <w:sz w:val="22"/>
              </w:rPr>
            </w:pPr>
          </w:p>
        </w:tc>
        <w:tc>
          <w:tcPr>
            <w:tcW w:w="992" w:type="dxa"/>
            <w:vMerge/>
            <w:tcBorders>
              <w:left w:val="single" w:sz="4" w:space="0" w:color="auto"/>
              <w:bottom w:val="single" w:sz="6" w:space="0" w:color="000000"/>
              <w:right w:val="single" w:sz="6" w:space="0" w:color="000000"/>
            </w:tcBorders>
          </w:tcPr>
          <w:p w14:paraId="5928D343" w14:textId="77777777" w:rsidR="001C2F95" w:rsidRPr="005B21CA" w:rsidRDefault="001C2F95" w:rsidP="00971FD2">
            <w:pPr>
              <w:tabs>
                <w:tab w:val="num" w:pos="360"/>
              </w:tabs>
              <w:ind w:left="360" w:hanging="360"/>
              <w:rPr>
                <w:sz w:val="22"/>
              </w:rPr>
            </w:pPr>
          </w:p>
        </w:tc>
        <w:tc>
          <w:tcPr>
            <w:tcW w:w="963" w:type="dxa"/>
            <w:vMerge/>
            <w:tcBorders>
              <w:left w:val="single" w:sz="4" w:space="0" w:color="auto"/>
              <w:bottom w:val="single" w:sz="6" w:space="0" w:color="000000"/>
              <w:right w:val="single" w:sz="6" w:space="0" w:color="000000"/>
            </w:tcBorders>
          </w:tcPr>
          <w:p w14:paraId="0E3DA542" w14:textId="77777777" w:rsidR="001C2F95" w:rsidRPr="005B21CA" w:rsidRDefault="001C2F95" w:rsidP="00971FD2">
            <w:pPr>
              <w:tabs>
                <w:tab w:val="num" w:pos="360"/>
              </w:tabs>
              <w:ind w:left="360" w:hanging="360"/>
              <w:rPr>
                <w:sz w:val="22"/>
              </w:rPr>
            </w:pPr>
          </w:p>
        </w:tc>
        <w:tc>
          <w:tcPr>
            <w:tcW w:w="992" w:type="dxa"/>
            <w:vMerge/>
            <w:tcBorders>
              <w:left w:val="single" w:sz="4" w:space="0" w:color="auto"/>
              <w:bottom w:val="single" w:sz="6" w:space="0" w:color="000000"/>
              <w:right w:val="single" w:sz="6" w:space="0" w:color="000000"/>
            </w:tcBorders>
          </w:tcPr>
          <w:p w14:paraId="6DF98860" w14:textId="77777777" w:rsidR="001C2F95" w:rsidRPr="005B21CA" w:rsidRDefault="001C2F95" w:rsidP="00971FD2">
            <w:pPr>
              <w:tabs>
                <w:tab w:val="num" w:pos="360"/>
              </w:tabs>
              <w:ind w:left="360" w:hanging="360"/>
              <w:rPr>
                <w:sz w:val="22"/>
              </w:rPr>
            </w:pPr>
          </w:p>
        </w:tc>
        <w:tc>
          <w:tcPr>
            <w:tcW w:w="992" w:type="dxa"/>
            <w:vMerge/>
            <w:tcBorders>
              <w:left w:val="single" w:sz="4" w:space="0" w:color="auto"/>
              <w:bottom w:val="single" w:sz="6" w:space="0" w:color="000000"/>
              <w:right w:val="single" w:sz="6" w:space="0" w:color="000000"/>
            </w:tcBorders>
          </w:tcPr>
          <w:p w14:paraId="18F1BBF2" w14:textId="77777777" w:rsidR="001C2F95" w:rsidRPr="005B21CA" w:rsidRDefault="001C2F95" w:rsidP="00971FD2">
            <w:pPr>
              <w:tabs>
                <w:tab w:val="num" w:pos="360"/>
              </w:tabs>
              <w:ind w:left="360" w:hanging="360"/>
              <w:rPr>
                <w:sz w:val="22"/>
              </w:rPr>
            </w:pPr>
          </w:p>
        </w:tc>
      </w:tr>
      <w:tr w:rsidR="001C2F95" w:rsidRPr="005B21CA" w14:paraId="368BEB36" w14:textId="77777777" w:rsidTr="00971FD2">
        <w:trPr>
          <w:cantSplit/>
          <w:trHeight w:val="375"/>
          <w:jc w:val="center"/>
        </w:trPr>
        <w:tc>
          <w:tcPr>
            <w:tcW w:w="1849" w:type="dxa"/>
            <w:vMerge w:val="restart"/>
            <w:tcBorders>
              <w:top w:val="single" w:sz="4" w:space="0" w:color="auto"/>
              <w:left w:val="single" w:sz="6" w:space="0" w:color="000000"/>
              <w:right w:val="single" w:sz="4" w:space="0" w:color="auto"/>
            </w:tcBorders>
          </w:tcPr>
          <w:p w14:paraId="52FA1588" w14:textId="77777777" w:rsidR="001C2F95" w:rsidRPr="005B21CA" w:rsidRDefault="001C2F95" w:rsidP="00971FD2">
            <w:pPr>
              <w:jc w:val="left"/>
              <w:rPr>
                <w:bCs/>
                <w:sz w:val="22"/>
              </w:rPr>
            </w:pPr>
            <w:r w:rsidRPr="005B21CA">
              <w:rPr>
                <w:bCs/>
                <w:sz w:val="22"/>
              </w:rPr>
              <w:t>Sensibilisation</w:t>
            </w:r>
          </w:p>
        </w:tc>
        <w:tc>
          <w:tcPr>
            <w:tcW w:w="3246" w:type="dxa"/>
            <w:gridSpan w:val="2"/>
            <w:vMerge w:val="restart"/>
            <w:tcBorders>
              <w:top w:val="single" w:sz="6" w:space="0" w:color="000000"/>
              <w:left w:val="single" w:sz="4" w:space="0" w:color="auto"/>
              <w:right w:val="single" w:sz="4" w:space="0" w:color="auto"/>
            </w:tcBorders>
          </w:tcPr>
          <w:p w14:paraId="5F18F3EC" w14:textId="77777777" w:rsidR="001C2F95" w:rsidRPr="005B21CA" w:rsidRDefault="001C2F95" w:rsidP="00971FD2">
            <w:pPr>
              <w:jc w:val="left"/>
              <w:rPr>
                <w:sz w:val="22"/>
              </w:rPr>
            </w:pPr>
            <w:r w:rsidRPr="005B21CA">
              <w:rPr>
                <w:sz w:val="22"/>
              </w:rPr>
              <w:t>Sensibilisation et mobilisation des parties prenantes au Pro</w:t>
            </w:r>
            <w:r>
              <w:rPr>
                <w:sz w:val="22"/>
              </w:rPr>
              <w:t>jet</w:t>
            </w:r>
          </w:p>
        </w:tc>
        <w:tc>
          <w:tcPr>
            <w:tcW w:w="1558" w:type="dxa"/>
            <w:tcBorders>
              <w:top w:val="single" w:sz="6" w:space="0" w:color="000000"/>
              <w:left w:val="single" w:sz="4" w:space="0" w:color="auto"/>
              <w:bottom w:val="single" w:sz="36" w:space="0" w:color="auto"/>
              <w:right w:val="single" w:sz="6" w:space="0" w:color="000000"/>
            </w:tcBorders>
          </w:tcPr>
          <w:p w14:paraId="5B5285B1" w14:textId="77777777" w:rsidR="001C2F95" w:rsidRPr="005B21CA" w:rsidRDefault="001C2F95" w:rsidP="00971FD2">
            <w:pPr>
              <w:tabs>
                <w:tab w:val="num" w:pos="360"/>
              </w:tabs>
              <w:jc w:val="left"/>
              <w:rPr>
                <w:sz w:val="22"/>
              </w:rPr>
            </w:pPr>
            <w:r w:rsidRPr="005B21CA">
              <w:rPr>
                <w:sz w:val="22"/>
              </w:rPr>
              <w:t>1</w:t>
            </w:r>
            <w:r w:rsidRPr="005B21CA">
              <w:rPr>
                <w:sz w:val="22"/>
                <w:vertAlign w:val="superscript"/>
              </w:rPr>
              <w:t>ère</w:t>
            </w:r>
            <w:r w:rsidRPr="005B21CA">
              <w:rPr>
                <w:sz w:val="22"/>
              </w:rPr>
              <w:t xml:space="preserve"> année et durant la mise </w:t>
            </w:r>
          </w:p>
        </w:tc>
        <w:tc>
          <w:tcPr>
            <w:tcW w:w="992" w:type="dxa"/>
            <w:tcBorders>
              <w:top w:val="single" w:sz="6" w:space="0" w:color="000000"/>
              <w:left w:val="single" w:sz="4" w:space="0" w:color="auto"/>
              <w:bottom w:val="single" w:sz="36" w:space="0" w:color="auto"/>
              <w:right w:val="single" w:sz="6" w:space="0" w:color="000000"/>
            </w:tcBorders>
          </w:tcPr>
          <w:p w14:paraId="07DFB2CB" w14:textId="77777777" w:rsidR="001C2F95" w:rsidRPr="005B21CA" w:rsidRDefault="001C2F95" w:rsidP="00971FD2">
            <w:pPr>
              <w:tabs>
                <w:tab w:val="num" w:pos="360"/>
              </w:tabs>
              <w:rPr>
                <w:sz w:val="22"/>
              </w:rPr>
            </w:pPr>
          </w:p>
        </w:tc>
        <w:tc>
          <w:tcPr>
            <w:tcW w:w="963" w:type="dxa"/>
            <w:tcBorders>
              <w:top w:val="single" w:sz="6" w:space="0" w:color="000000"/>
              <w:left w:val="single" w:sz="4" w:space="0" w:color="auto"/>
              <w:bottom w:val="single" w:sz="36" w:space="0" w:color="auto"/>
              <w:right w:val="single" w:sz="6" w:space="0" w:color="000000"/>
            </w:tcBorders>
          </w:tcPr>
          <w:p w14:paraId="2BDAC0E8" w14:textId="77777777" w:rsidR="001C2F95" w:rsidRPr="005B21CA" w:rsidRDefault="001C2F95" w:rsidP="00971FD2">
            <w:pPr>
              <w:tabs>
                <w:tab w:val="num" w:pos="360"/>
              </w:tabs>
              <w:rPr>
                <w:sz w:val="22"/>
              </w:rPr>
            </w:pPr>
          </w:p>
        </w:tc>
        <w:tc>
          <w:tcPr>
            <w:tcW w:w="992" w:type="dxa"/>
            <w:tcBorders>
              <w:top w:val="single" w:sz="6" w:space="0" w:color="000000"/>
              <w:left w:val="single" w:sz="4" w:space="0" w:color="auto"/>
              <w:bottom w:val="single" w:sz="36" w:space="0" w:color="auto"/>
              <w:right w:val="single" w:sz="6" w:space="0" w:color="000000"/>
            </w:tcBorders>
          </w:tcPr>
          <w:p w14:paraId="02274FBD" w14:textId="77777777" w:rsidR="001C2F95" w:rsidRPr="005B21CA" w:rsidRDefault="001C2F95" w:rsidP="00971FD2">
            <w:pPr>
              <w:tabs>
                <w:tab w:val="num" w:pos="360"/>
              </w:tabs>
              <w:rPr>
                <w:sz w:val="22"/>
              </w:rPr>
            </w:pPr>
          </w:p>
        </w:tc>
        <w:tc>
          <w:tcPr>
            <w:tcW w:w="992" w:type="dxa"/>
            <w:tcBorders>
              <w:top w:val="single" w:sz="6" w:space="0" w:color="000000"/>
              <w:left w:val="single" w:sz="4" w:space="0" w:color="auto"/>
              <w:bottom w:val="single" w:sz="36" w:space="0" w:color="auto"/>
              <w:right w:val="single" w:sz="6" w:space="0" w:color="000000"/>
            </w:tcBorders>
          </w:tcPr>
          <w:p w14:paraId="392AB5C4" w14:textId="77777777" w:rsidR="001C2F95" w:rsidRPr="005B21CA" w:rsidRDefault="001C2F95" w:rsidP="00971FD2">
            <w:pPr>
              <w:tabs>
                <w:tab w:val="num" w:pos="360"/>
              </w:tabs>
              <w:rPr>
                <w:sz w:val="22"/>
              </w:rPr>
            </w:pPr>
          </w:p>
        </w:tc>
      </w:tr>
      <w:tr w:rsidR="001C2F95" w:rsidRPr="005B21CA" w14:paraId="4C72C849" w14:textId="77777777" w:rsidTr="00971FD2">
        <w:trPr>
          <w:cantSplit/>
          <w:trHeight w:val="20"/>
          <w:jc w:val="center"/>
        </w:trPr>
        <w:tc>
          <w:tcPr>
            <w:tcW w:w="1849" w:type="dxa"/>
            <w:vMerge/>
            <w:tcBorders>
              <w:left w:val="single" w:sz="6" w:space="0" w:color="000000"/>
              <w:right w:val="single" w:sz="4" w:space="0" w:color="auto"/>
            </w:tcBorders>
          </w:tcPr>
          <w:p w14:paraId="30CB3A47" w14:textId="77777777" w:rsidR="001C2F95" w:rsidRPr="005B21CA" w:rsidRDefault="001C2F95" w:rsidP="00971FD2">
            <w:pPr>
              <w:rPr>
                <w:bCs/>
                <w:sz w:val="22"/>
              </w:rPr>
            </w:pPr>
          </w:p>
        </w:tc>
        <w:tc>
          <w:tcPr>
            <w:tcW w:w="3246" w:type="dxa"/>
            <w:gridSpan w:val="2"/>
            <w:vMerge/>
            <w:tcBorders>
              <w:left w:val="single" w:sz="4" w:space="0" w:color="auto"/>
              <w:bottom w:val="single" w:sz="6" w:space="0" w:color="000000"/>
              <w:right w:val="single" w:sz="4" w:space="0" w:color="auto"/>
            </w:tcBorders>
          </w:tcPr>
          <w:p w14:paraId="7F879074" w14:textId="77777777" w:rsidR="001C2F95" w:rsidRPr="005B21CA" w:rsidRDefault="001C2F95" w:rsidP="00971FD2">
            <w:pPr>
              <w:jc w:val="left"/>
              <w:rPr>
                <w:sz w:val="22"/>
              </w:rPr>
            </w:pPr>
          </w:p>
        </w:tc>
        <w:tc>
          <w:tcPr>
            <w:tcW w:w="1558" w:type="dxa"/>
            <w:tcBorders>
              <w:top w:val="single" w:sz="36" w:space="0" w:color="auto"/>
              <w:left w:val="single" w:sz="4" w:space="0" w:color="auto"/>
              <w:bottom w:val="single" w:sz="6" w:space="0" w:color="000000"/>
              <w:right w:val="single" w:sz="6" w:space="0" w:color="000000"/>
            </w:tcBorders>
          </w:tcPr>
          <w:p w14:paraId="0EBDAA1B" w14:textId="77777777" w:rsidR="001C2F95" w:rsidRPr="005B21CA" w:rsidRDefault="001C2F95" w:rsidP="00971FD2">
            <w:pPr>
              <w:tabs>
                <w:tab w:val="num" w:pos="360"/>
              </w:tabs>
              <w:rPr>
                <w:sz w:val="22"/>
              </w:rPr>
            </w:pPr>
            <w:r w:rsidRPr="005B21CA">
              <w:rPr>
                <w:sz w:val="22"/>
              </w:rPr>
              <w:t xml:space="preserve">en œuvre </w:t>
            </w:r>
          </w:p>
        </w:tc>
        <w:tc>
          <w:tcPr>
            <w:tcW w:w="992" w:type="dxa"/>
            <w:tcBorders>
              <w:top w:val="single" w:sz="36" w:space="0" w:color="auto"/>
              <w:left w:val="single" w:sz="4" w:space="0" w:color="auto"/>
              <w:bottom w:val="single" w:sz="6" w:space="0" w:color="000000"/>
              <w:right w:val="single" w:sz="6" w:space="0" w:color="000000"/>
            </w:tcBorders>
          </w:tcPr>
          <w:p w14:paraId="1D3379F2" w14:textId="77777777" w:rsidR="001C2F95" w:rsidRPr="005B21CA" w:rsidRDefault="001C2F95" w:rsidP="00971FD2">
            <w:pPr>
              <w:tabs>
                <w:tab w:val="num" w:pos="360"/>
              </w:tabs>
              <w:rPr>
                <w:sz w:val="22"/>
              </w:rPr>
            </w:pPr>
          </w:p>
        </w:tc>
        <w:tc>
          <w:tcPr>
            <w:tcW w:w="963" w:type="dxa"/>
            <w:tcBorders>
              <w:top w:val="single" w:sz="36" w:space="0" w:color="auto"/>
              <w:left w:val="single" w:sz="4" w:space="0" w:color="auto"/>
              <w:bottom w:val="single" w:sz="6" w:space="0" w:color="000000"/>
              <w:right w:val="single" w:sz="6" w:space="0" w:color="000000"/>
            </w:tcBorders>
          </w:tcPr>
          <w:p w14:paraId="5AD9EBDD" w14:textId="77777777" w:rsidR="001C2F95" w:rsidRPr="005B21CA" w:rsidRDefault="001C2F95" w:rsidP="00971FD2">
            <w:pPr>
              <w:tabs>
                <w:tab w:val="num" w:pos="360"/>
              </w:tabs>
              <w:rPr>
                <w:sz w:val="22"/>
              </w:rPr>
            </w:pPr>
          </w:p>
        </w:tc>
        <w:tc>
          <w:tcPr>
            <w:tcW w:w="992" w:type="dxa"/>
            <w:tcBorders>
              <w:top w:val="single" w:sz="36" w:space="0" w:color="auto"/>
              <w:left w:val="single" w:sz="4" w:space="0" w:color="auto"/>
              <w:bottom w:val="single" w:sz="6" w:space="0" w:color="000000"/>
              <w:right w:val="single" w:sz="6" w:space="0" w:color="000000"/>
            </w:tcBorders>
          </w:tcPr>
          <w:p w14:paraId="753A6AE7" w14:textId="77777777" w:rsidR="001C2F95" w:rsidRPr="005B21CA" w:rsidRDefault="001C2F95" w:rsidP="00971FD2">
            <w:pPr>
              <w:tabs>
                <w:tab w:val="num" w:pos="360"/>
              </w:tabs>
              <w:rPr>
                <w:sz w:val="22"/>
              </w:rPr>
            </w:pPr>
          </w:p>
        </w:tc>
        <w:tc>
          <w:tcPr>
            <w:tcW w:w="992" w:type="dxa"/>
            <w:vMerge w:val="restart"/>
            <w:tcBorders>
              <w:top w:val="single" w:sz="36" w:space="0" w:color="auto"/>
              <w:left w:val="single" w:sz="4" w:space="0" w:color="auto"/>
              <w:right w:val="single" w:sz="6" w:space="0" w:color="000000"/>
            </w:tcBorders>
          </w:tcPr>
          <w:p w14:paraId="5D241627" w14:textId="77777777" w:rsidR="001C2F95" w:rsidRPr="005B21CA" w:rsidRDefault="001C2F95" w:rsidP="00971FD2">
            <w:pPr>
              <w:tabs>
                <w:tab w:val="num" w:pos="360"/>
              </w:tabs>
              <w:rPr>
                <w:sz w:val="22"/>
              </w:rPr>
            </w:pPr>
          </w:p>
        </w:tc>
      </w:tr>
      <w:tr w:rsidR="001C2F95" w:rsidRPr="005B21CA" w14:paraId="00643FB1" w14:textId="77777777" w:rsidTr="00971FD2">
        <w:trPr>
          <w:cantSplit/>
          <w:trHeight w:val="20"/>
          <w:jc w:val="center"/>
        </w:trPr>
        <w:tc>
          <w:tcPr>
            <w:tcW w:w="1849" w:type="dxa"/>
            <w:tcBorders>
              <w:left w:val="single" w:sz="6" w:space="0" w:color="000000"/>
              <w:right w:val="single" w:sz="4" w:space="0" w:color="auto"/>
            </w:tcBorders>
          </w:tcPr>
          <w:p w14:paraId="6A7A647F" w14:textId="77777777" w:rsidR="001C2F95" w:rsidRPr="005B21CA" w:rsidRDefault="004D13EF" w:rsidP="00971FD2">
            <w:pPr>
              <w:rPr>
                <w:bCs/>
                <w:sz w:val="22"/>
              </w:rPr>
            </w:pPr>
            <w:r>
              <w:rPr>
                <w:bCs/>
                <w:sz w:val="22"/>
              </w:rPr>
              <w:t>Sélection</w:t>
            </w:r>
            <w:r w:rsidR="001C2F95">
              <w:rPr>
                <w:bCs/>
                <w:sz w:val="22"/>
              </w:rPr>
              <w:t xml:space="preserve"> des IF et mise en place des SGES</w:t>
            </w:r>
          </w:p>
        </w:tc>
        <w:tc>
          <w:tcPr>
            <w:tcW w:w="3246" w:type="dxa"/>
            <w:gridSpan w:val="2"/>
            <w:tcBorders>
              <w:left w:val="single" w:sz="4" w:space="0" w:color="auto"/>
              <w:bottom w:val="single" w:sz="6" w:space="0" w:color="000000"/>
              <w:right w:val="single" w:sz="4" w:space="0" w:color="auto"/>
            </w:tcBorders>
          </w:tcPr>
          <w:p w14:paraId="746E3D04" w14:textId="77777777" w:rsidR="001C2F95" w:rsidRPr="00FF4CBB" w:rsidRDefault="001C2F95" w:rsidP="00971FD2">
            <w:pPr>
              <w:jc w:val="left"/>
              <w:rPr>
                <w:sz w:val="22"/>
              </w:rPr>
            </w:pPr>
            <w:r>
              <w:rPr>
                <w:sz w:val="22"/>
              </w:rPr>
              <w:t>F</w:t>
            </w:r>
            <w:r w:rsidRPr="00FF4CBB">
              <w:rPr>
                <w:sz w:val="22"/>
              </w:rPr>
              <w:t xml:space="preserve">ormation en </w:t>
            </w:r>
            <w:r w:rsidR="004D13EF" w:rsidRPr="00FF4CBB">
              <w:rPr>
                <w:sz w:val="22"/>
              </w:rPr>
              <w:t>élaboration</w:t>
            </w:r>
            <w:r w:rsidRPr="00FF4CBB">
              <w:rPr>
                <w:sz w:val="22"/>
              </w:rPr>
              <w:t xml:space="preserve"> et mise en œuvre des SGES.</w:t>
            </w:r>
          </w:p>
          <w:p w14:paraId="4427BD56" w14:textId="77777777" w:rsidR="001C2F95" w:rsidRPr="005B21CA" w:rsidRDefault="001C2F95" w:rsidP="00971FD2">
            <w:pPr>
              <w:jc w:val="left"/>
              <w:rPr>
                <w:sz w:val="22"/>
              </w:rPr>
            </w:pPr>
          </w:p>
        </w:tc>
        <w:tc>
          <w:tcPr>
            <w:tcW w:w="1558" w:type="dxa"/>
            <w:tcBorders>
              <w:top w:val="single" w:sz="36" w:space="0" w:color="auto"/>
              <w:left w:val="single" w:sz="4" w:space="0" w:color="auto"/>
              <w:bottom w:val="single" w:sz="6" w:space="0" w:color="000000"/>
              <w:right w:val="single" w:sz="6" w:space="0" w:color="000000"/>
            </w:tcBorders>
          </w:tcPr>
          <w:p w14:paraId="439761E3" w14:textId="77777777" w:rsidR="001C2F95" w:rsidRPr="005B21CA" w:rsidRDefault="001C2F95" w:rsidP="00971FD2">
            <w:pPr>
              <w:tabs>
                <w:tab w:val="num" w:pos="360"/>
              </w:tabs>
              <w:rPr>
                <w:sz w:val="22"/>
              </w:rPr>
            </w:pPr>
            <w:r w:rsidRPr="005B21CA">
              <w:rPr>
                <w:sz w:val="22"/>
              </w:rPr>
              <w:t>1</w:t>
            </w:r>
            <w:r w:rsidRPr="005B21CA">
              <w:rPr>
                <w:sz w:val="22"/>
                <w:vertAlign w:val="superscript"/>
              </w:rPr>
              <w:t>ère</w:t>
            </w:r>
            <w:r w:rsidRPr="005B21CA">
              <w:rPr>
                <w:sz w:val="22"/>
              </w:rPr>
              <w:t xml:space="preserve"> année et durant la mise</w:t>
            </w:r>
          </w:p>
        </w:tc>
        <w:tc>
          <w:tcPr>
            <w:tcW w:w="992" w:type="dxa"/>
            <w:tcBorders>
              <w:top w:val="single" w:sz="36" w:space="0" w:color="auto"/>
              <w:left w:val="single" w:sz="4" w:space="0" w:color="auto"/>
              <w:bottom w:val="single" w:sz="6" w:space="0" w:color="000000"/>
              <w:right w:val="single" w:sz="6" w:space="0" w:color="000000"/>
            </w:tcBorders>
          </w:tcPr>
          <w:p w14:paraId="21930C8C" w14:textId="77777777" w:rsidR="001C2F95" w:rsidRPr="005B21CA" w:rsidRDefault="001C2F95" w:rsidP="00971FD2">
            <w:pPr>
              <w:tabs>
                <w:tab w:val="num" w:pos="360"/>
              </w:tabs>
              <w:rPr>
                <w:sz w:val="22"/>
              </w:rPr>
            </w:pPr>
          </w:p>
        </w:tc>
        <w:tc>
          <w:tcPr>
            <w:tcW w:w="963" w:type="dxa"/>
            <w:tcBorders>
              <w:top w:val="single" w:sz="36" w:space="0" w:color="auto"/>
              <w:left w:val="single" w:sz="4" w:space="0" w:color="auto"/>
              <w:bottom w:val="single" w:sz="6" w:space="0" w:color="000000"/>
              <w:right w:val="single" w:sz="6" w:space="0" w:color="000000"/>
            </w:tcBorders>
          </w:tcPr>
          <w:p w14:paraId="21550A7D" w14:textId="77777777" w:rsidR="001C2F95" w:rsidRPr="005B21CA" w:rsidRDefault="001C2F95" w:rsidP="00971FD2">
            <w:pPr>
              <w:tabs>
                <w:tab w:val="num" w:pos="360"/>
              </w:tabs>
              <w:rPr>
                <w:sz w:val="22"/>
              </w:rPr>
            </w:pPr>
          </w:p>
        </w:tc>
        <w:tc>
          <w:tcPr>
            <w:tcW w:w="992" w:type="dxa"/>
            <w:tcBorders>
              <w:top w:val="single" w:sz="36" w:space="0" w:color="auto"/>
              <w:left w:val="single" w:sz="4" w:space="0" w:color="auto"/>
              <w:bottom w:val="single" w:sz="6" w:space="0" w:color="000000"/>
              <w:right w:val="single" w:sz="6" w:space="0" w:color="000000"/>
            </w:tcBorders>
          </w:tcPr>
          <w:p w14:paraId="568016A8" w14:textId="77777777" w:rsidR="001C2F95" w:rsidRPr="005B21CA" w:rsidRDefault="001C2F95" w:rsidP="00971FD2">
            <w:pPr>
              <w:tabs>
                <w:tab w:val="num" w:pos="360"/>
              </w:tabs>
              <w:rPr>
                <w:sz w:val="22"/>
              </w:rPr>
            </w:pPr>
          </w:p>
        </w:tc>
        <w:tc>
          <w:tcPr>
            <w:tcW w:w="992" w:type="dxa"/>
            <w:vMerge/>
            <w:tcBorders>
              <w:top w:val="single" w:sz="36" w:space="0" w:color="auto"/>
              <w:left w:val="single" w:sz="4" w:space="0" w:color="auto"/>
              <w:right w:val="single" w:sz="6" w:space="0" w:color="000000"/>
            </w:tcBorders>
          </w:tcPr>
          <w:p w14:paraId="0AF1FC2F" w14:textId="77777777" w:rsidR="001C2F95" w:rsidRPr="005B21CA" w:rsidRDefault="001C2F95" w:rsidP="00971FD2">
            <w:pPr>
              <w:tabs>
                <w:tab w:val="num" w:pos="360"/>
              </w:tabs>
              <w:rPr>
                <w:sz w:val="22"/>
              </w:rPr>
            </w:pPr>
          </w:p>
        </w:tc>
      </w:tr>
      <w:tr w:rsidR="001C2F95" w:rsidRPr="005B21CA" w14:paraId="5EEDFD03" w14:textId="77777777" w:rsidTr="00971FD2">
        <w:trPr>
          <w:cantSplit/>
          <w:trHeight w:val="195"/>
          <w:jc w:val="center"/>
        </w:trPr>
        <w:tc>
          <w:tcPr>
            <w:tcW w:w="1849" w:type="dxa"/>
            <w:vMerge w:val="restart"/>
            <w:tcBorders>
              <w:top w:val="single" w:sz="4" w:space="0" w:color="auto"/>
              <w:left w:val="single" w:sz="6" w:space="0" w:color="000000"/>
              <w:right w:val="single" w:sz="4" w:space="0" w:color="auto"/>
            </w:tcBorders>
          </w:tcPr>
          <w:p w14:paraId="20EC07A6" w14:textId="77777777" w:rsidR="001C2F95" w:rsidRPr="005B21CA" w:rsidRDefault="001C2F95" w:rsidP="00971FD2">
            <w:pPr>
              <w:jc w:val="left"/>
              <w:rPr>
                <w:bCs/>
                <w:sz w:val="22"/>
              </w:rPr>
            </w:pPr>
            <w:r w:rsidRPr="005B21CA">
              <w:rPr>
                <w:bCs/>
                <w:sz w:val="22"/>
              </w:rPr>
              <w:t>Mesures de suivi</w:t>
            </w:r>
          </w:p>
        </w:tc>
        <w:tc>
          <w:tcPr>
            <w:tcW w:w="1842" w:type="dxa"/>
            <w:vMerge w:val="restart"/>
            <w:tcBorders>
              <w:top w:val="single" w:sz="6" w:space="0" w:color="000000"/>
              <w:left w:val="single" w:sz="4" w:space="0" w:color="auto"/>
              <w:right w:val="single" w:sz="4" w:space="0" w:color="auto"/>
            </w:tcBorders>
          </w:tcPr>
          <w:p w14:paraId="19EE3470" w14:textId="77777777" w:rsidR="001C2F95" w:rsidRPr="005B21CA" w:rsidRDefault="001C2F95" w:rsidP="00971FD2">
            <w:pPr>
              <w:jc w:val="left"/>
              <w:rPr>
                <w:sz w:val="22"/>
              </w:rPr>
            </w:pPr>
            <w:r w:rsidRPr="005B21CA">
              <w:rPr>
                <w:sz w:val="22"/>
              </w:rPr>
              <w:t xml:space="preserve">Suivi et surveillance environnementale </w:t>
            </w:r>
            <w:r>
              <w:rPr>
                <w:sz w:val="22"/>
              </w:rPr>
              <w:t xml:space="preserve">et sociale </w:t>
            </w:r>
            <w:r w:rsidRPr="005B21CA">
              <w:rPr>
                <w:sz w:val="22"/>
              </w:rPr>
              <w:t>du PNDA</w:t>
            </w:r>
          </w:p>
        </w:tc>
        <w:tc>
          <w:tcPr>
            <w:tcW w:w="1404" w:type="dxa"/>
            <w:vMerge w:val="restart"/>
            <w:tcBorders>
              <w:top w:val="single" w:sz="6" w:space="0" w:color="000000"/>
              <w:left w:val="single" w:sz="4" w:space="0" w:color="auto"/>
              <w:right w:val="single" w:sz="4" w:space="0" w:color="auto"/>
            </w:tcBorders>
          </w:tcPr>
          <w:p w14:paraId="625E7956" w14:textId="77777777" w:rsidR="001C2F95" w:rsidRPr="005B21CA" w:rsidRDefault="001C2F95" w:rsidP="00971FD2">
            <w:pPr>
              <w:tabs>
                <w:tab w:val="num" w:pos="360"/>
              </w:tabs>
              <w:ind w:left="360" w:hanging="360"/>
              <w:jc w:val="left"/>
              <w:rPr>
                <w:sz w:val="22"/>
              </w:rPr>
            </w:pPr>
            <w:r w:rsidRPr="005B21CA">
              <w:rPr>
                <w:sz w:val="22"/>
              </w:rPr>
              <w:t xml:space="preserve">Suivi </w:t>
            </w:r>
          </w:p>
          <w:p w14:paraId="5D61D17A" w14:textId="77777777" w:rsidR="001C2F95" w:rsidRPr="005B21CA" w:rsidRDefault="001C2F95" w:rsidP="00971FD2">
            <w:pPr>
              <w:tabs>
                <w:tab w:val="num" w:pos="18"/>
              </w:tabs>
              <w:ind w:left="18" w:hanging="18"/>
              <w:jc w:val="left"/>
              <w:rPr>
                <w:sz w:val="22"/>
              </w:rPr>
            </w:pPr>
            <w:r w:rsidRPr="005B21CA">
              <w:rPr>
                <w:sz w:val="22"/>
              </w:rPr>
              <w:t>de proximité</w:t>
            </w:r>
          </w:p>
        </w:tc>
        <w:tc>
          <w:tcPr>
            <w:tcW w:w="1558" w:type="dxa"/>
            <w:tcBorders>
              <w:top w:val="single" w:sz="6" w:space="0" w:color="000000"/>
              <w:left w:val="single" w:sz="4" w:space="0" w:color="auto"/>
              <w:bottom w:val="single" w:sz="36" w:space="0" w:color="auto"/>
              <w:right w:val="single" w:sz="6" w:space="0" w:color="000000"/>
            </w:tcBorders>
          </w:tcPr>
          <w:p w14:paraId="0CAE0B1E" w14:textId="77777777" w:rsidR="001C2F95" w:rsidRPr="005B21CA" w:rsidRDefault="001C2F95" w:rsidP="00971FD2">
            <w:pPr>
              <w:tabs>
                <w:tab w:val="num" w:pos="360"/>
              </w:tabs>
              <w:jc w:val="left"/>
              <w:rPr>
                <w:sz w:val="22"/>
              </w:rPr>
            </w:pPr>
            <w:r w:rsidRPr="005B21CA">
              <w:rPr>
                <w:sz w:val="22"/>
              </w:rPr>
              <w:t xml:space="preserve">Durant la mise </w:t>
            </w:r>
          </w:p>
        </w:tc>
        <w:tc>
          <w:tcPr>
            <w:tcW w:w="992" w:type="dxa"/>
            <w:tcBorders>
              <w:top w:val="single" w:sz="6" w:space="0" w:color="000000"/>
              <w:left w:val="single" w:sz="4" w:space="0" w:color="auto"/>
              <w:bottom w:val="single" w:sz="36" w:space="0" w:color="auto"/>
              <w:right w:val="single" w:sz="6" w:space="0" w:color="000000"/>
            </w:tcBorders>
          </w:tcPr>
          <w:p w14:paraId="0BED308E" w14:textId="77777777" w:rsidR="001C2F95" w:rsidRPr="005B21CA" w:rsidRDefault="001C2F95" w:rsidP="00971FD2">
            <w:pPr>
              <w:tabs>
                <w:tab w:val="num" w:pos="360"/>
              </w:tabs>
              <w:rPr>
                <w:sz w:val="22"/>
              </w:rPr>
            </w:pPr>
          </w:p>
        </w:tc>
        <w:tc>
          <w:tcPr>
            <w:tcW w:w="963" w:type="dxa"/>
            <w:tcBorders>
              <w:top w:val="single" w:sz="6" w:space="0" w:color="000000"/>
              <w:left w:val="single" w:sz="4" w:space="0" w:color="auto"/>
              <w:bottom w:val="single" w:sz="36" w:space="0" w:color="auto"/>
              <w:right w:val="single" w:sz="6" w:space="0" w:color="000000"/>
            </w:tcBorders>
          </w:tcPr>
          <w:p w14:paraId="256C62F9" w14:textId="77777777" w:rsidR="001C2F95" w:rsidRPr="005B21CA" w:rsidRDefault="001C2F95" w:rsidP="00971FD2">
            <w:pPr>
              <w:tabs>
                <w:tab w:val="num" w:pos="360"/>
              </w:tabs>
              <w:rPr>
                <w:sz w:val="22"/>
              </w:rPr>
            </w:pPr>
          </w:p>
        </w:tc>
        <w:tc>
          <w:tcPr>
            <w:tcW w:w="992" w:type="dxa"/>
            <w:tcBorders>
              <w:top w:val="single" w:sz="6" w:space="0" w:color="000000"/>
              <w:left w:val="single" w:sz="4" w:space="0" w:color="auto"/>
              <w:bottom w:val="single" w:sz="36" w:space="0" w:color="auto"/>
              <w:right w:val="single" w:sz="6" w:space="0" w:color="000000"/>
            </w:tcBorders>
          </w:tcPr>
          <w:p w14:paraId="4A1DA474" w14:textId="77777777" w:rsidR="001C2F95" w:rsidRPr="005B21CA" w:rsidRDefault="001C2F95" w:rsidP="00971FD2">
            <w:pPr>
              <w:tabs>
                <w:tab w:val="num" w:pos="360"/>
              </w:tabs>
              <w:rPr>
                <w:sz w:val="22"/>
              </w:rPr>
            </w:pPr>
          </w:p>
        </w:tc>
        <w:tc>
          <w:tcPr>
            <w:tcW w:w="992" w:type="dxa"/>
            <w:vMerge/>
            <w:tcBorders>
              <w:left w:val="single" w:sz="4" w:space="0" w:color="auto"/>
              <w:bottom w:val="single" w:sz="36" w:space="0" w:color="auto"/>
              <w:right w:val="single" w:sz="6" w:space="0" w:color="000000"/>
            </w:tcBorders>
          </w:tcPr>
          <w:p w14:paraId="6E3AC03E" w14:textId="77777777" w:rsidR="001C2F95" w:rsidRPr="005B21CA" w:rsidRDefault="001C2F95" w:rsidP="00971FD2">
            <w:pPr>
              <w:tabs>
                <w:tab w:val="num" w:pos="360"/>
              </w:tabs>
              <w:rPr>
                <w:sz w:val="22"/>
              </w:rPr>
            </w:pPr>
          </w:p>
        </w:tc>
      </w:tr>
      <w:tr w:rsidR="001C2F95" w:rsidRPr="005B21CA" w14:paraId="66A699B6" w14:textId="77777777" w:rsidTr="00971FD2">
        <w:trPr>
          <w:cantSplit/>
          <w:trHeight w:val="51"/>
          <w:jc w:val="center"/>
        </w:trPr>
        <w:tc>
          <w:tcPr>
            <w:tcW w:w="1849" w:type="dxa"/>
            <w:vMerge/>
            <w:tcBorders>
              <w:left w:val="single" w:sz="6" w:space="0" w:color="000000"/>
              <w:right w:val="single" w:sz="4" w:space="0" w:color="auto"/>
            </w:tcBorders>
          </w:tcPr>
          <w:p w14:paraId="6B104AE8" w14:textId="77777777" w:rsidR="001C2F95" w:rsidRPr="005B21CA" w:rsidRDefault="001C2F95" w:rsidP="00971FD2">
            <w:pPr>
              <w:rPr>
                <w:bCs/>
                <w:sz w:val="22"/>
              </w:rPr>
            </w:pPr>
          </w:p>
        </w:tc>
        <w:tc>
          <w:tcPr>
            <w:tcW w:w="1842" w:type="dxa"/>
            <w:vMerge/>
            <w:tcBorders>
              <w:left w:val="single" w:sz="4" w:space="0" w:color="auto"/>
              <w:right w:val="single" w:sz="4" w:space="0" w:color="auto"/>
            </w:tcBorders>
          </w:tcPr>
          <w:p w14:paraId="6B1698EB" w14:textId="77777777" w:rsidR="001C2F95" w:rsidRPr="005B21CA" w:rsidRDefault="001C2F95" w:rsidP="00971FD2">
            <w:pPr>
              <w:tabs>
                <w:tab w:val="num" w:pos="360"/>
              </w:tabs>
              <w:ind w:left="360" w:hanging="360"/>
              <w:jc w:val="left"/>
              <w:rPr>
                <w:sz w:val="22"/>
              </w:rPr>
            </w:pPr>
          </w:p>
        </w:tc>
        <w:tc>
          <w:tcPr>
            <w:tcW w:w="1404" w:type="dxa"/>
            <w:vMerge/>
            <w:tcBorders>
              <w:left w:val="single" w:sz="4" w:space="0" w:color="auto"/>
              <w:bottom w:val="single" w:sz="4" w:space="0" w:color="auto"/>
              <w:right w:val="single" w:sz="4" w:space="0" w:color="auto"/>
            </w:tcBorders>
          </w:tcPr>
          <w:p w14:paraId="5CF56C46" w14:textId="77777777" w:rsidR="001C2F95" w:rsidRPr="005B21CA" w:rsidRDefault="001C2F95" w:rsidP="00971FD2">
            <w:pPr>
              <w:tabs>
                <w:tab w:val="num" w:pos="360"/>
              </w:tabs>
              <w:ind w:left="360" w:hanging="360"/>
              <w:jc w:val="left"/>
              <w:rPr>
                <w:sz w:val="22"/>
              </w:rPr>
            </w:pPr>
          </w:p>
        </w:tc>
        <w:tc>
          <w:tcPr>
            <w:tcW w:w="1558" w:type="dxa"/>
            <w:tcBorders>
              <w:top w:val="single" w:sz="36" w:space="0" w:color="auto"/>
              <w:left w:val="single" w:sz="4" w:space="0" w:color="auto"/>
              <w:bottom w:val="single" w:sz="4" w:space="0" w:color="auto"/>
              <w:right w:val="single" w:sz="6" w:space="0" w:color="000000"/>
            </w:tcBorders>
          </w:tcPr>
          <w:p w14:paraId="4E47B1D7" w14:textId="77777777" w:rsidR="001C2F95" w:rsidRPr="005B21CA" w:rsidRDefault="001C2F95" w:rsidP="00971FD2">
            <w:pPr>
              <w:tabs>
                <w:tab w:val="num" w:pos="360"/>
              </w:tabs>
              <w:rPr>
                <w:sz w:val="22"/>
              </w:rPr>
            </w:pPr>
            <w:r w:rsidRPr="005B21CA">
              <w:rPr>
                <w:sz w:val="22"/>
              </w:rPr>
              <w:t xml:space="preserve">en œuvre </w:t>
            </w:r>
          </w:p>
        </w:tc>
        <w:tc>
          <w:tcPr>
            <w:tcW w:w="992" w:type="dxa"/>
            <w:tcBorders>
              <w:top w:val="single" w:sz="36" w:space="0" w:color="auto"/>
              <w:left w:val="single" w:sz="4" w:space="0" w:color="auto"/>
              <w:bottom w:val="single" w:sz="4" w:space="0" w:color="auto"/>
              <w:right w:val="single" w:sz="6" w:space="0" w:color="000000"/>
            </w:tcBorders>
          </w:tcPr>
          <w:p w14:paraId="2F7E5AFA" w14:textId="77777777" w:rsidR="001C2F95" w:rsidRPr="005B21CA" w:rsidRDefault="001C2F95" w:rsidP="00971FD2">
            <w:pPr>
              <w:tabs>
                <w:tab w:val="num" w:pos="360"/>
              </w:tabs>
              <w:rPr>
                <w:sz w:val="22"/>
              </w:rPr>
            </w:pPr>
          </w:p>
        </w:tc>
        <w:tc>
          <w:tcPr>
            <w:tcW w:w="963" w:type="dxa"/>
            <w:tcBorders>
              <w:top w:val="single" w:sz="36" w:space="0" w:color="auto"/>
              <w:left w:val="single" w:sz="4" w:space="0" w:color="auto"/>
              <w:bottom w:val="single" w:sz="4" w:space="0" w:color="auto"/>
              <w:right w:val="single" w:sz="6" w:space="0" w:color="000000"/>
            </w:tcBorders>
          </w:tcPr>
          <w:p w14:paraId="1D74E271" w14:textId="77777777" w:rsidR="001C2F95" w:rsidRPr="005B21CA" w:rsidRDefault="001C2F95" w:rsidP="00971FD2">
            <w:pPr>
              <w:tabs>
                <w:tab w:val="num" w:pos="360"/>
              </w:tabs>
              <w:rPr>
                <w:sz w:val="22"/>
              </w:rPr>
            </w:pPr>
          </w:p>
        </w:tc>
        <w:tc>
          <w:tcPr>
            <w:tcW w:w="992" w:type="dxa"/>
            <w:tcBorders>
              <w:top w:val="single" w:sz="36" w:space="0" w:color="auto"/>
              <w:left w:val="single" w:sz="4" w:space="0" w:color="auto"/>
              <w:bottom w:val="single" w:sz="4" w:space="0" w:color="auto"/>
              <w:right w:val="single" w:sz="6" w:space="0" w:color="000000"/>
            </w:tcBorders>
          </w:tcPr>
          <w:p w14:paraId="281FD6AE" w14:textId="77777777" w:rsidR="001C2F95" w:rsidRPr="005B21CA" w:rsidRDefault="001C2F95" w:rsidP="00971FD2">
            <w:pPr>
              <w:tabs>
                <w:tab w:val="num" w:pos="360"/>
              </w:tabs>
              <w:rPr>
                <w:sz w:val="22"/>
              </w:rPr>
            </w:pPr>
          </w:p>
        </w:tc>
        <w:tc>
          <w:tcPr>
            <w:tcW w:w="992" w:type="dxa"/>
            <w:vMerge w:val="restart"/>
            <w:tcBorders>
              <w:top w:val="single" w:sz="36" w:space="0" w:color="auto"/>
              <w:left w:val="single" w:sz="4" w:space="0" w:color="auto"/>
              <w:right w:val="single" w:sz="6" w:space="0" w:color="000000"/>
            </w:tcBorders>
          </w:tcPr>
          <w:p w14:paraId="687B8B94" w14:textId="77777777" w:rsidR="001C2F95" w:rsidRPr="005B21CA" w:rsidRDefault="001C2F95" w:rsidP="00971FD2">
            <w:pPr>
              <w:tabs>
                <w:tab w:val="num" w:pos="360"/>
              </w:tabs>
              <w:rPr>
                <w:sz w:val="22"/>
              </w:rPr>
            </w:pPr>
          </w:p>
        </w:tc>
      </w:tr>
      <w:tr w:rsidR="001C2F95" w:rsidRPr="005B21CA" w14:paraId="32757254" w14:textId="77777777" w:rsidTr="00971FD2">
        <w:trPr>
          <w:cantSplit/>
          <w:trHeight w:val="210"/>
          <w:jc w:val="center"/>
        </w:trPr>
        <w:tc>
          <w:tcPr>
            <w:tcW w:w="1849" w:type="dxa"/>
            <w:vMerge/>
            <w:tcBorders>
              <w:left w:val="single" w:sz="6" w:space="0" w:color="000000"/>
              <w:right w:val="single" w:sz="4" w:space="0" w:color="auto"/>
            </w:tcBorders>
          </w:tcPr>
          <w:p w14:paraId="2063B901" w14:textId="77777777" w:rsidR="001C2F95" w:rsidRPr="005B21CA" w:rsidRDefault="001C2F95" w:rsidP="00971FD2">
            <w:pPr>
              <w:rPr>
                <w:bCs/>
                <w:sz w:val="22"/>
              </w:rPr>
            </w:pPr>
          </w:p>
        </w:tc>
        <w:tc>
          <w:tcPr>
            <w:tcW w:w="1842" w:type="dxa"/>
            <w:vMerge/>
            <w:tcBorders>
              <w:left w:val="single" w:sz="4" w:space="0" w:color="auto"/>
              <w:right w:val="single" w:sz="4" w:space="0" w:color="auto"/>
            </w:tcBorders>
          </w:tcPr>
          <w:p w14:paraId="2CBD25B2" w14:textId="77777777" w:rsidR="001C2F95" w:rsidRPr="005B21CA" w:rsidRDefault="001C2F95" w:rsidP="00971FD2">
            <w:pPr>
              <w:tabs>
                <w:tab w:val="num" w:pos="360"/>
              </w:tabs>
              <w:ind w:left="360" w:hanging="360"/>
              <w:jc w:val="left"/>
              <w:rPr>
                <w:sz w:val="22"/>
              </w:rPr>
            </w:pPr>
          </w:p>
        </w:tc>
        <w:tc>
          <w:tcPr>
            <w:tcW w:w="1404" w:type="dxa"/>
            <w:vMerge w:val="restart"/>
            <w:tcBorders>
              <w:top w:val="single" w:sz="4" w:space="0" w:color="auto"/>
              <w:left w:val="single" w:sz="4" w:space="0" w:color="auto"/>
              <w:right w:val="single" w:sz="4" w:space="0" w:color="auto"/>
            </w:tcBorders>
          </w:tcPr>
          <w:p w14:paraId="6F5BD855" w14:textId="77777777" w:rsidR="001C2F95" w:rsidRPr="005B21CA" w:rsidRDefault="001C2F95" w:rsidP="00971FD2">
            <w:pPr>
              <w:tabs>
                <w:tab w:val="num" w:pos="360"/>
              </w:tabs>
              <w:ind w:left="360" w:hanging="360"/>
              <w:jc w:val="left"/>
              <w:rPr>
                <w:sz w:val="22"/>
              </w:rPr>
            </w:pPr>
            <w:r w:rsidRPr="005B21CA">
              <w:rPr>
                <w:sz w:val="22"/>
              </w:rPr>
              <w:t>Supervision</w:t>
            </w:r>
          </w:p>
        </w:tc>
        <w:tc>
          <w:tcPr>
            <w:tcW w:w="1558" w:type="dxa"/>
            <w:tcBorders>
              <w:top w:val="single" w:sz="4" w:space="0" w:color="auto"/>
              <w:left w:val="single" w:sz="4" w:space="0" w:color="auto"/>
              <w:bottom w:val="single" w:sz="36" w:space="0" w:color="auto"/>
              <w:right w:val="single" w:sz="6" w:space="0" w:color="000000"/>
            </w:tcBorders>
          </w:tcPr>
          <w:p w14:paraId="31871756" w14:textId="77777777" w:rsidR="001C2F95" w:rsidRPr="005B21CA" w:rsidRDefault="001C2F95" w:rsidP="00971FD2">
            <w:pPr>
              <w:tabs>
                <w:tab w:val="num" w:pos="360"/>
              </w:tabs>
              <w:rPr>
                <w:sz w:val="22"/>
              </w:rPr>
            </w:pPr>
            <w:r w:rsidRPr="005B21CA">
              <w:rPr>
                <w:sz w:val="22"/>
              </w:rPr>
              <w:t>Tous les mois</w:t>
            </w:r>
          </w:p>
        </w:tc>
        <w:tc>
          <w:tcPr>
            <w:tcW w:w="992" w:type="dxa"/>
            <w:tcBorders>
              <w:top w:val="single" w:sz="4" w:space="0" w:color="auto"/>
              <w:left w:val="single" w:sz="4" w:space="0" w:color="auto"/>
              <w:bottom w:val="single" w:sz="36" w:space="0" w:color="auto"/>
              <w:right w:val="single" w:sz="6" w:space="0" w:color="000000"/>
            </w:tcBorders>
          </w:tcPr>
          <w:p w14:paraId="26970BCB" w14:textId="77777777" w:rsidR="001C2F95" w:rsidRPr="005B21CA" w:rsidRDefault="001C2F95" w:rsidP="00971FD2">
            <w:pPr>
              <w:tabs>
                <w:tab w:val="num" w:pos="360"/>
              </w:tabs>
              <w:rPr>
                <w:sz w:val="22"/>
              </w:rPr>
            </w:pPr>
          </w:p>
        </w:tc>
        <w:tc>
          <w:tcPr>
            <w:tcW w:w="963" w:type="dxa"/>
            <w:tcBorders>
              <w:top w:val="single" w:sz="4" w:space="0" w:color="auto"/>
              <w:left w:val="single" w:sz="4" w:space="0" w:color="auto"/>
              <w:bottom w:val="single" w:sz="36" w:space="0" w:color="auto"/>
              <w:right w:val="single" w:sz="6" w:space="0" w:color="000000"/>
            </w:tcBorders>
          </w:tcPr>
          <w:p w14:paraId="0BAC4484" w14:textId="77777777" w:rsidR="001C2F95" w:rsidRPr="005B21CA" w:rsidRDefault="001C2F95" w:rsidP="00971FD2">
            <w:pPr>
              <w:tabs>
                <w:tab w:val="num" w:pos="360"/>
              </w:tabs>
              <w:rPr>
                <w:sz w:val="22"/>
              </w:rPr>
            </w:pPr>
          </w:p>
        </w:tc>
        <w:tc>
          <w:tcPr>
            <w:tcW w:w="992" w:type="dxa"/>
            <w:tcBorders>
              <w:top w:val="single" w:sz="4" w:space="0" w:color="auto"/>
              <w:left w:val="single" w:sz="4" w:space="0" w:color="auto"/>
              <w:bottom w:val="single" w:sz="36" w:space="0" w:color="auto"/>
              <w:right w:val="single" w:sz="6" w:space="0" w:color="000000"/>
            </w:tcBorders>
          </w:tcPr>
          <w:p w14:paraId="6ACD204B" w14:textId="77777777" w:rsidR="001C2F95" w:rsidRPr="005B21CA" w:rsidRDefault="001C2F95" w:rsidP="00971FD2">
            <w:pPr>
              <w:tabs>
                <w:tab w:val="num" w:pos="360"/>
              </w:tabs>
              <w:rPr>
                <w:sz w:val="22"/>
              </w:rPr>
            </w:pPr>
          </w:p>
        </w:tc>
        <w:tc>
          <w:tcPr>
            <w:tcW w:w="992" w:type="dxa"/>
            <w:vMerge/>
            <w:tcBorders>
              <w:left w:val="single" w:sz="4" w:space="0" w:color="auto"/>
              <w:bottom w:val="single" w:sz="36" w:space="0" w:color="auto"/>
              <w:right w:val="single" w:sz="6" w:space="0" w:color="000000"/>
            </w:tcBorders>
          </w:tcPr>
          <w:p w14:paraId="5A5CBAC1" w14:textId="77777777" w:rsidR="001C2F95" w:rsidRPr="005B21CA" w:rsidRDefault="001C2F95" w:rsidP="00971FD2">
            <w:pPr>
              <w:tabs>
                <w:tab w:val="num" w:pos="360"/>
              </w:tabs>
              <w:rPr>
                <w:sz w:val="22"/>
              </w:rPr>
            </w:pPr>
          </w:p>
        </w:tc>
      </w:tr>
      <w:tr w:rsidR="001C2F95" w:rsidRPr="005B21CA" w14:paraId="684575BB" w14:textId="77777777" w:rsidTr="00971FD2">
        <w:trPr>
          <w:cantSplit/>
          <w:trHeight w:val="20"/>
          <w:jc w:val="center"/>
        </w:trPr>
        <w:tc>
          <w:tcPr>
            <w:tcW w:w="1849" w:type="dxa"/>
            <w:vMerge/>
            <w:tcBorders>
              <w:left w:val="single" w:sz="6" w:space="0" w:color="000000"/>
              <w:right w:val="single" w:sz="4" w:space="0" w:color="auto"/>
            </w:tcBorders>
          </w:tcPr>
          <w:p w14:paraId="5EAFCFCA" w14:textId="77777777" w:rsidR="001C2F95" w:rsidRPr="005B21CA" w:rsidRDefault="001C2F95" w:rsidP="00971FD2">
            <w:pPr>
              <w:rPr>
                <w:bCs/>
                <w:sz w:val="22"/>
              </w:rPr>
            </w:pPr>
          </w:p>
        </w:tc>
        <w:tc>
          <w:tcPr>
            <w:tcW w:w="1842" w:type="dxa"/>
            <w:vMerge/>
            <w:tcBorders>
              <w:left w:val="single" w:sz="4" w:space="0" w:color="auto"/>
              <w:bottom w:val="single" w:sz="6" w:space="0" w:color="000000"/>
              <w:right w:val="single" w:sz="4" w:space="0" w:color="auto"/>
            </w:tcBorders>
          </w:tcPr>
          <w:p w14:paraId="19C358F8" w14:textId="77777777" w:rsidR="001C2F95" w:rsidRPr="005B21CA" w:rsidRDefault="001C2F95" w:rsidP="00971FD2">
            <w:pPr>
              <w:tabs>
                <w:tab w:val="num" w:pos="360"/>
              </w:tabs>
              <w:ind w:left="360" w:hanging="360"/>
              <w:jc w:val="left"/>
              <w:rPr>
                <w:sz w:val="22"/>
              </w:rPr>
            </w:pPr>
          </w:p>
        </w:tc>
        <w:tc>
          <w:tcPr>
            <w:tcW w:w="1404" w:type="dxa"/>
            <w:vMerge/>
            <w:tcBorders>
              <w:left w:val="single" w:sz="4" w:space="0" w:color="auto"/>
              <w:bottom w:val="single" w:sz="6" w:space="0" w:color="000000"/>
              <w:right w:val="single" w:sz="4" w:space="0" w:color="auto"/>
            </w:tcBorders>
          </w:tcPr>
          <w:p w14:paraId="7638DABD" w14:textId="77777777" w:rsidR="001C2F95" w:rsidRPr="005B21CA" w:rsidRDefault="001C2F95" w:rsidP="00971FD2">
            <w:pPr>
              <w:tabs>
                <w:tab w:val="num" w:pos="360"/>
              </w:tabs>
              <w:ind w:left="360" w:hanging="360"/>
              <w:jc w:val="left"/>
              <w:rPr>
                <w:sz w:val="22"/>
              </w:rPr>
            </w:pPr>
          </w:p>
        </w:tc>
        <w:tc>
          <w:tcPr>
            <w:tcW w:w="1558" w:type="dxa"/>
            <w:tcBorders>
              <w:top w:val="single" w:sz="36" w:space="0" w:color="auto"/>
              <w:left w:val="single" w:sz="4" w:space="0" w:color="auto"/>
              <w:bottom w:val="single" w:sz="6" w:space="0" w:color="000000"/>
              <w:right w:val="single" w:sz="6" w:space="0" w:color="000000"/>
            </w:tcBorders>
          </w:tcPr>
          <w:p w14:paraId="7E2C6AC9" w14:textId="77777777" w:rsidR="001C2F95" w:rsidRPr="005B21CA" w:rsidDel="008F0B57" w:rsidRDefault="001C2F95" w:rsidP="00971FD2">
            <w:pPr>
              <w:tabs>
                <w:tab w:val="num" w:pos="360"/>
              </w:tabs>
              <w:rPr>
                <w:sz w:val="22"/>
              </w:rPr>
            </w:pPr>
          </w:p>
        </w:tc>
        <w:tc>
          <w:tcPr>
            <w:tcW w:w="992" w:type="dxa"/>
            <w:tcBorders>
              <w:top w:val="single" w:sz="36" w:space="0" w:color="auto"/>
              <w:left w:val="single" w:sz="4" w:space="0" w:color="auto"/>
              <w:bottom w:val="single" w:sz="6" w:space="0" w:color="000000"/>
              <w:right w:val="single" w:sz="6" w:space="0" w:color="000000"/>
            </w:tcBorders>
          </w:tcPr>
          <w:p w14:paraId="0909910A" w14:textId="77777777" w:rsidR="001C2F95" w:rsidRPr="005B21CA" w:rsidRDefault="001C2F95" w:rsidP="00971FD2">
            <w:pPr>
              <w:tabs>
                <w:tab w:val="num" w:pos="360"/>
              </w:tabs>
              <w:rPr>
                <w:sz w:val="22"/>
              </w:rPr>
            </w:pPr>
          </w:p>
        </w:tc>
        <w:tc>
          <w:tcPr>
            <w:tcW w:w="963" w:type="dxa"/>
            <w:tcBorders>
              <w:top w:val="single" w:sz="36" w:space="0" w:color="auto"/>
              <w:left w:val="single" w:sz="4" w:space="0" w:color="auto"/>
              <w:bottom w:val="single" w:sz="6" w:space="0" w:color="000000"/>
              <w:right w:val="single" w:sz="6" w:space="0" w:color="000000"/>
            </w:tcBorders>
          </w:tcPr>
          <w:p w14:paraId="4F0DF563" w14:textId="77777777" w:rsidR="001C2F95" w:rsidRPr="005B21CA" w:rsidRDefault="001C2F95" w:rsidP="00971FD2">
            <w:pPr>
              <w:tabs>
                <w:tab w:val="num" w:pos="360"/>
              </w:tabs>
              <w:rPr>
                <w:sz w:val="22"/>
              </w:rPr>
            </w:pPr>
          </w:p>
        </w:tc>
        <w:tc>
          <w:tcPr>
            <w:tcW w:w="992" w:type="dxa"/>
            <w:tcBorders>
              <w:top w:val="single" w:sz="36" w:space="0" w:color="auto"/>
              <w:left w:val="single" w:sz="4" w:space="0" w:color="auto"/>
              <w:bottom w:val="single" w:sz="6" w:space="0" w:color="000000"/>
              <w:right w:val="single" w:sz="6" w:space="0" w:color="000000"/>
            </w:tcBorders>
          </w:tcPr>
          <w:p w14:paraId="658BBF1D" w14:textId="77777777" w:rsidR="001C2F95" w:rsidRPr="005B21CA" w:rsidRDefault="001C2F95" w:rsidP="00971FD2">
            <w:pPr>
              <w:tabs>
                <w:tab w:val="num" w:pos="360"/>
              </w:tabs>
              <w:rPr>
                <w:sz w:val="22"/>
              </w:rPr>
            </w:pPr>
          </w:p>
        </w:tc>
        <w:tc>
          <w:tcPr>
            <w:tcW w:w="992" w:type="dxa"/>
            <w:tcBorders>
              <w:top w:val="single" w:sz="36" w:space="0" w:color="auto"/>
              <w:left w:val="single" w:sz="4" w:space="0" w:color="auto"/>
              <w:bottom w:val="single" w:sz="6" w:space="0" w:color="000000"/>
              <w:right w:val="single" w:sz="6" w:space="0" w:color="000000"/>
            </w:tcBorders>
          </w:tcPr>
          <w:p w14:paraId="3D2FA7CF" w14:textId="77777777" w:rsidR="001C2F95" w:rsidRPr="005B21CA" w:rsidRDefault="001C2F95" w:rsidP="00971FD2">
            <w:pPr>
              <w:tabs>
                <w:tab w:val="num" w:pos="360"/>
              </w:tabs>
              <w:rPr>
                <w:sz w:val="22"/>
              </w:rPr>
            </w:pPr>
          </w:p>
        </w:tc>
      </w:tr>
      <w:tr w:rsidR="001C2F95" w:rsidRPr="005B21CA" w14:paraId="0F9552F8" w14:textId="77777777" w:rsidTr="00971FD2">
        <w:trPr>
          <w:cantSplit/>
          <w:trHeight w:val="20"/>
          <w:jc w:val="center"/>
        </w:trPr>
        <w:tc>
          <w:tcPr>
            <w:tcW w:w="1849" w:type="dxa"/>
            <w:vMerge/>
            <w:tcBorders>
              <w:left w:val="single" w:sz="6" w:space="0" w:color="000000"/>
              <w:right w:val="single" w:sz="4" w:space="0" w:color="auto"/>
            </w:tcBorders>
          </w:tcPr>
          <w:p w14:paraId="4BC2765A" w14:textId="77777777" w:rsidR="001C2F95" w:rsidRPr="005B21CA" w:rsidRDefault="001C2F95" w:rsidP="00971FD2">
            <w:pPr>
              <w:rPr>
                <w:bCs/>
                <w:sz w:val="22"/>
              </w:rPr>
            </w:pPr>
          </w:p>
        </w:tc>
        <w:tc>
          <w:tcPr>
            <w:tcW w:w="3246" w:type="dxa"/>
            <w:gridSpan w:val="2"/>
            <w:tcBorders>
              <w:left w:val="single" w:sz="4" w:space="0" w:color="auto"/>
              <w:bottom w:val="single" w:sz="6" w:space="0" w:color="000000"/>
              <w:right w:val="single" w:sz="4" w:space="0" w:color="auto"/>
            </w:tcBorders>
          </w:tcPr>
          <w:p w14:paraId="7E43385A" w14:textId="77777777" w:rsidR="001C2F95" w:rsidRPr="005B21CA" w:rsidRDefault="001C2F95" w:rsidP="00971FD2">
            <w:pPr>
              <w:jc w:val="left"/>
              <w:rPr>
                <w:sz w:val="22"/>
              </w:rPr>
            </w:pPr>
            <w:r w:rsidRPr="005B21CA">
              <w:rPr>
                <w:sz w:val="22"/>
              </w:rPr>
              <w:t>Évaluation à mi-parcours et finale</w:t>
            </w:r>
          </w:p>
        </w:tc>
        <w:tc>
          <w:tcPr>
            <w:tcW w:w="1558" w:type="dxa"/>
            <w:tcBorders>
              <w:top w:val="single" w:sz="36" w:space="0" w:color="auto"/>
              <w:left w:val="single" w:sz="4" w:space="0" w:color="auto"/>
              <w:bottom w:val="single" w:sz="6" w:space="0" w:color="000000"/>
              <w:right w:val="single" w:sz="6" w:space="0" w:color="000000"/>
            </w:tcBorders>
          </w:tcPr>
          <w:p w14:paraId="73D5D6D8" w14:textId="77777777" w:rsidR="001C2F95" w:rsidRPr="005B21CA" w:rsidDel="008F0B57" w:rsidRDefault="001C2F95" w:rsidP="00971FD2">
            <w:pPr>
              <w:tabs>
                <w:tab w:val="num" w:pos="360"/>
              </w:tabs>
              <w:rPr>
                <w:sz w:val="22"/>
              </w:rPr>
            </w:pPr>
          </w:p>
        </w:tc>
        <w:tc>
          <w:tcPr>
            <w:tcW w:w="992" w:type="dxa"/>
            <w:tcBorders>
              <w:top w:val="single" w:sz="36" w:space="0" w:color="auto"/>
              <w:left w:val="single" w:sz="4" w:space="0" w:color="auto"/>
              <w:bottom w:val="single" w:sz="6" w:space="0" w:color="000000"/>
              <w:right w:val="single" w:sz="6" w:space="0" w:color="000000"/>
            </w:tcBorders>
          </w:tcPr>
          <w:p w14:paraId="6DA009F0" w14:textId="77777777" w:rsidR="001C2F95" w:rsidRPr="005B21CA" w:rsidRDefault="001C2F95" w:rsidP="00971FD2">
            <w:pPr>
              <w:tabs>
                <w:tab w:val="num" w:pos="360"/>
              </w:tabs>
              <w:jc w:val="left"/>
              <w:rPr>
                <w:sz w:val="22"/>
              </w:rPr>
            </w:pPr>
            <w:r w:rsidRPr="005B21CA">
              <w:rPr>
                <w:sz w:val="22"/>
              </w:rPr>
              <w:t>Fin 2</w:t>
            </w:r>
            <w:r w:rsidRPr="005B21CA">
              <w:rPr>
                <w:sz w:val="22"/>
                <w:vertAlign w:val="superscript"/>
              </w:rPr>
              <w:t>ème</w:t>
            </w:r>
            <w:r w:rsidRPr="005B21CA">
              <w:rPr>
                <w:sz w:val="22"/>
              </w:rPr>
              <w:t xml:space="preserve"> année</w:t>
            </w:r>
          </w:p>
        </w:tc>
        <w:tc>
          <w:tcPr>
            <w:tcW w:w="963" w:type="dxa"/>
            <w:tcBorders>
              <w:top w:val="single" w:sz="36" w:space="0" w:color="auto"/>
              <w:left w:val="single" w:sz="4" w:space="0" w:color="auto"/>
              <w:bottom w:val="single" w:sz="6" w:space="0" w:color="000000"/>
              <w:right w:val="single" w:sz="6" w:space="0" w:color="000000"/>
            </w:tcBorders>
          </w:tcPr>
          <w:p w14:paraId="2FAA2490" w14:textId="77777777" w:rsidR="001C2F95" w:rsidRPr="005B21CA" w:rsidRDefault="001C2F95" w:rsidP="00971FD2">
            <w:pPr>
              <w:tabs>
                <w:tab w:val="num" w:pos="360"/>
              </w:tabs>
              <w:rPr>
                <w:sz w:val="22"/>
              </w:rPr>
            </w:pPr>
          </w:p>
        </w:tc>
        <w:tc>
          <w:tcPr>
            <w:tcW w:w="992" w:type="dxa"/>
            <w:tcBorders>
              <w:top w:val="single" w:sz="36" w:space="0" w:color="auto"/>
              <w:left w:val="single" w:sz="4" w:space="0" w:color="auto"/>
              <w:bottom w:val="single" w:sz="6" w:space="0" w:color="000000"/>
              <w:right w:val="single" w:sz="6" w:space="0" w:color="000000"/>
            </w:tcBorders>
          </w:tcPr>
          <w:p w14:paraId="2D498334" w14:textId="77777777" w:rsidR="001C2F95" w:rsidRPr="005B21CA" w:rsidRDefault="001C2F95" w:rsidP="00971FD2">
            <w:pPr>
              <w:tabs>
                <w:tab w:val="num" w:pos="360"/>
              </w:tabs>
              <w:rPr>
                <w:sz w:val="22"/>
              </w:rPr>
            </w:pPr>
          </w:p>
        </w:tc>
        <w:tc>
          <w:tcPr>
            <w:tcW w:w="992" w:type="dxa"/>
            <w:tcBorders>
              <w:top w:val="single" w:sz="36" w:space="0" w:color="auto"/>
              <w:left w:val="single" w:sz="4" w:space="0" w:color="auto"/>
              <w:bottom w:val="single" w:sz="6" w:space="0" w:color="000000"/>
              <w:right w:val="single" w:sz="6" w:space="0" w:color="000000"/>
            </w:tcBorders>
          </w:tcPr>
          <w:p w14:paraId="783B2207" w14:textId="77777777" w:rsidR="001C2F95" w:rsidRPr="005B21CA" w:rsidRDefault="001C2F95" w:rsidP="00971FD2">
            <w:pPr>
              <w:tabs>
                <w:tab w:val="num" w:pos="360"/>
              </w:tabs>
              <w:jc w:val="left"/>
              <w:rPr>
                <w:sz w:val="22"/>
              </w:rPr>
            </w:pPr>
            <w:r w:rsidRPr="005B21CA">
              <w:rPr>
                <w:sz w:val="22"/>
              </w:rPr>
              <w:t>Fin 5</w:t>
            </w:r>
            <w:r w:rsidRPr="005B21CA">
              <w:rPr>
                <w:sz w:val="22"/>
                <w:vertAlign w:val="superscript"/>
              </w:rPr>
              <w:t>ème</w:t>
            </w:r>
            <w:r w:rsidRPr="005B21CA">
              <w:rPr>
                <w:sz w:val="22"/>
              </w:rPr>
              <w:t xml:space="preserve"> année</w:t>
            </w:r>
          </w:p>
        </w:tc>
      </w:tr>
    </w:tbl>
    <w:p w14:paraId="6E9CA146" w14:textId="77777777" w:rsidR="001C2F95" w:rsidRPr="005B21CA" w:rsidRDefault="001C2F95" w:rsidP="001C2F95">
      <w:pPr>
        <w:jc w:val="left"/>
        <w:rPr>
          <w:rFonts w:cs="Arial"/>
          <w:sz w:val="22"/>
        </w:rPr>
      </w:pPr>
    </w:p>
    <w:p w14:paraId="09E3E894" w14:textId="77777777" w:rsidR="001C2F95" w:rsidRPr="005B21CA" w:rsidRDefault="001C2F95" w:rsidP="001C2F95">
      <w:pPr>
        <w:jc w:val="left"/>
        <w:rPr>
          <w:rFonts w:cs="Arial"/>
          <w:sz w:val="22"/>
        </w:rPr>
      </w:pPr>
    </w:p>
    <w:p w14:paraId="075E29D8" w14:textId="77777777" w:rsidR="001C2F95" w:rsidRDefault="001C2F95" w:rsidP="001C2F95">
      <w:pPr>
        <w:spacing w:line="240" w:lineRule="auto"/>
        <w:jc w:val="left"/>
        <w:rPr>
          <w:sz w:val="22"/>
        </w:rPr>
      </w:pPr>
      <w:r>
        <w:rPr>
          <w:b/>
          <w:bCs/>
          <w:sz w:val="22"/>
        </w:rPr>
        <w:br w:type="page"/>
      </w:r>
    </w:p>
    <w:p w14:paraId="42780029" w14:textId="77777777" w:rsidR="001C2F95" w:rsidRPr="00B4009C" w:rsidRDefault="001C2F95" w:rsidP="001C2F95">
      <w:pPr>
        <w:pStyle w:val="Titre1"/>
        <w:numPr>
          <w:ilvl w:val="0"/>
          <w:numId w:val="4"/>
        </w:numPr>
        <w:ind w:left="567" w:hanging="283"/>
        <w:rPr>
          <w:rFonts w:cs="Arial"/>
          <w:sz w:val="22"/>
          <w:szCs w:val="22"/>
        </w:rPr>
      </w:pPr>
      <w:bookmarkStart w:id="659" w:name="_Toc70330471"/>
      <w:r w:rsidRPr="00B4009C">
        <w:rPr>
          <w:rFonts w:cs="Arial"/>
          <w:sz w:val="22"/>
          <w:szCs w:val="22"/>
        </w:rPr>
        <w:t>CONSULTATIONS DU PUBLIC</w:t>
      </w:r>
      <w:r w:rsidR="00264E98">
        <w:rPr>
          <w:rFonts w:cs="Arial"/>
          <w:sz w:val="22"/>
          <w:szCs w:val="22"/>
        </w:rPr>
        <w:t xml:space="preserve"> ET DIVULGATION</w:t>
      </w:r>
      <w:bookmarkEnd w:id="659"/>
    </w:p>
    <w:p w14:paraId="10AB03AF" w14:textId="77777777" w:rsidR="001C2F95" w:rsidRPr="005B21CA" w:rsidRDefault="001C2F95" w:rsidP="001C2F95">
      <w:pPr>
        <w:rPr>
          <w:rFonts w:cs="Arial"/>
          <w:sz w:val="22"/>
        </w:rPr>
      </w:pPr>
    </w:p>
    <w:p w14:paraId="0BB8FB70" w14:textId="77777777" w:rsidR="001C2F95" w:rsidRPr="005B21CA" w:rsidRDefault="001C2F95" w:rsidP="001C2F95">
      <w:pPr>
        <w:rPr>
          <w:sz w:val="22"/>
        </w:rPr>
      </w:pPr>
      <w:r w:rsidRPr="005B21CA">
        <w:rPr>
          <w:sz w:val="22"/>
        </w:rPr>
        <w:t>La consultation permet aux parties affectées et à leurs communautés (cfr la NES n°10) d’être effectivement impliquées dans le processus de développement du Projet. Elle permet aux parties prenantes d’émettre leurs avis et faire connaitre leurs besoins et préférences, de manière à assurer les meilleures chances de succès au processus. Il est nécessaire de prendre suffisamment de temps pour consulter tous les acteurs concernés.</w:t>
      </w:r>
    </w:p>
    <w:p w14:paraId="5292A744" w14:textId="77777777" w:rsidR="001C2F95" w:rsidRPr="005B21CA" w:rsidRDefault="001C2F95" w:rsidP="001C2F95">
      <w:pPr>
        <w:rPr>
          <w:sz w:val="22"/>
        </w:rPr>
      </w:pPr>
    </w:p>
    <w:p w14:paraId="5F27C2A7" w14:textId="77777777" w:rsidR="001C2F95" w:rsidRPr="005B21CA" w:rsidRDefault="001C2F95" w:rsidP="001C2F95">
      <w:pPr>
        <w:rPr>
          <w:sz w:val="22"/>
        </w:rPr>
      </w:pPr>
      <w:r w:rsidRPr="005B21CA">
        <w:rPr>
          <w:sz w:val="22"/>
        </w:rPr>
        <w:t>En outre, le processus de consultation doit permettre aux femmes</w:t>
      </w:r>
      <w:r>
        <w:rPr>
          <w:sz w:val="22"/>
        </w:rPr>
        <w:t>, dans des conditions sûres et confidentielles et de façon séparée,</w:t>
      </w:r>
      <w:r w:rsidRPr="005B21CA">
        <w:rPr>
          <w:sz w:val="22"/>
        </w:rPr>
        <w:t xml:space="preserve"> de faire valoir leurs points de vue et faire en sorte que leurs intérêts soient pris en compte dans tous les aspects de la planification et la mise en œuvre du Projet. </w:t>
      </w:r>
      <w:r w:rsidR="00154DC7">
        <w:rPr>
          <w:sz w:val="22"/>
        </w:rPr>
        <w:t>Ainsi, le projet va organiser de c</w:t>
      </w:r>
      <w:r w:rsidR="00154DC7" w:rsidRPr="00616D0F">
        <w:rPr>
          <w:rFonts w:cs="Arial"/>
          <w:sz w:val="22"/>
        </w:rPr>
        <w:t xml:space="preserve">onsultations </w:t>
      </w:r>
      <w:r w:rsidR="00154DC7">
        <w:rPr>
          <w:rFonts w:cs="Arial"/>
          <w:sz w:val="22"/>
        </w:rPr>
        <w:t xml:space="preserve">du public </w:t>
      </w:r>
      <w:r w:rsidR="00154DC7" w:rsidRPr="00616D0F">
        <w:rPr>
          <w:rFonts w:cs="Arial"/>
          <w:sz w:val="22"/>
        </w:rPr>
        <w:t>spécifiques animées par une femme seront faites avec femmes des communautés riveraines dans le but de connaitre leurs préoccupations sécuritaires et sanitaires et les impacts potentiels positifs et négatifs du projet sur les femmes</w:t>
      </w:r>
      <w:r w:rsidR="00154DC7">
        <w:rPr>
          <w:rFonts w:cs="Arial"/>
          <w:sz w:val="22"/>
        </w:rPr>
        <w:t xml:space="preserve">. </w:t>
      </w:r>
      <w:r w:rsidRPr="005B21CA">
        <w:rPr>
          <w:sz w:val="22"/>
        </w:rPr>
        <w:t>Pour déterminer les répercussions du Projet sur les moyens de subsistance, il peut s’avérer nécessaire d’analyser la situation au sein des ménages lorsque ces répercussions ne sont pas les mêmes pour les femmes et les hommes.</w:t>
      </w:r>
    </w:p>
    <w:p w14:paraId="1363708A" w14:textId="77777777" w:rsidR="001C2F95" w:rsidRPr="005B21CA" w:rsidRDefault="001C2F95" w:rsidP="001C2F95">
      <w:pPr>
        <w:rPr>
          <w:rFonts w:cs="Arial"/>
          <w:sz w:val="22"/>
        </w:rPr>
      </w:pPr>
    </w:p>
    <w:p w14:paraId="68E118E0" w14:textId="77777777" w:rsidR="001C2F95" w:rsidRPr="005B21CA" w:rsidRDefault="001C2F95" w:rsidP="001C2F95">
      <w:pPr>
        <w:pStyle w:val="Commentaire"/>
        <w:spacing w:line="276" w:lineRule="auto"/>
        <w:rPr>
          <w:rFonts w:cs="Arial"/>
          <w:sz w:val="22"/>
          <w:szCs w:val="22"/>
          <w:lang w:val="fr-FR"/>
        </w:rPr>
      </w:pPr>
      <w:r w:rsidRPr="005B21CA">
        <w:rPr>
          <w:rFonts w:cs="Arial"/>
          <w:sz w:val="22"/>
          <w:szCs w:val="22"/>
          <w:lang w:val="fr-FR"/>
        </w:rPr>
        <w:t>Les consultations du public visent à : (</w:t>
      </w:r>
      <w:r w:rsidRPr="005B21CA">
        <w:rPr>
          <w:rFonts w:cs="Arial"/>
          <w:i/>
          <w:sz w:val="22"/>
          <w:szCs w:val="22"/>
          <w:lang w:val="fr-FR"/>
        </w:rPr>
        <w:t>i</w:t>
      </w:r>
      <w:r w:rsidRPr="005B21CA">
        <w:rPr>
          <w:rFonts w:cs="Arial"/>
          <w:sz w:val="22"/>
          <w:szCs w:val="22"/>
          <w:lang w:val="fr-FR"/>
        </w:rPr>
        <w:t>) informer les populations riveraines sur le programme et les impacts qu’il est susceptible de générer, (</w:t>
      </w:r>
      <w:r w:rsidRPr="005B21CA">
        <w:rPr>
          <w:rFonts w:cs="Arial"/>
          <w:i/>
          <w:sz w:val="22"/>
          <w:szCs w:val="22"/>
          <w:lang w:val="fr-FR"/>
        </w:rPr>
        <w:t>ii</w:t>
      </w:r>
      <w:r w:rsidRPr="005B21CA">
        <w:rPr>
          <w:rFonts w:cs="Arial"/>
          <w:sz w:val="22"/>
          <w:szCs w:val="22"/>
          <w:lang w:val="fr-FR"/>
        </w:rPr>
        <w:t>) recueillir leurs avis et considérations sur le Projet ainsi que leurs suggestions afin de les intégrer et de les soumettre au décideur.</w:t>
      </w:r>
    </w:p>
    <w:p w14:paraId="1E8432CD" w14:textId="77777777" w:rsidR="001C2F95" w:rsidRPr="005B21CA" w:rsidRDefault="001C2F95" w:rsidP="001C2F95">
      <w:pPr>
        <w:autoSpaceDE w:val="0"/>
        <w:autoSpaceDN w:val="0"/>
        <w:adjustRightInd w:val="0"/>
        <w:rPr>
          <w:rFonts w:cs="Arial"/>
          <w:sz w:val="22"/>
        </w:rPr>
      </w:pPr>
    </w:p>
    <w:p w14:paraId="509DABC0" w14:textId="77777777" w:rsidR="001C2F95" w:rsidRPr="005B21CA" w:rsidRDefault="001C2F95" w:rsidP="001C2F95">
      <w:pPr>
        <w:autoSpaceDE w:val="0"/>
        <w:autoSpaceDN w:val="0"/>
        <w:adjustRightInd w:val="0"/>
        <w:rPr>
          <w:rFonts w:cs="Arial"/>
          <w:sz w:val="22"/>
        </w:rPr>
      </w:pPr>
      <w:r w:rsidRPr="005B21CA">
        <w:rPr>
          <w:rFonts w:cs="Arial"/>
          <w:sz w:val="22"/>
        </w:rPr>
        <w:t xml:space="preserve">Dans le contexte actuel de la pandémie de la COVID-19, il s’impose une contrainte de la distanciation sociale et d’observance stricte des mesures barrières lors du processus de la consultation du public et la mobilisation des parties prenantes contrairement à la NES n°10 relative à la </w:t>
      </w:r>
      <w:r w:rsidRPr="005B21CA">
        <w:rPr>
          <w:sz w:val="22"/>
        </w:rPr>
        <w:t>Diffusion de l’information et mobilisation des parties prenantes.</w:t>
      </w:r>
    </w:p>
    <w:p w14:paraId="4BD2D751" w14:textId="77777777" w:rsidR="001C2F95" w:rsidRPr="005B21CA" w:rsidRDefault="001C2F95" w:rsidP="001C2F95">
      <w:pPr>
        <w:rPr>
          <w:sz w:val="22"/>
        </w:rPr>
      </w:pPr>
    </w:p>
    <w:p w14:paraId="729B0DD9" w14:textId="77777777" w:rsidR="001C2F95" w:rsidRPr="005B21CA" w:rsidRDefault="001C2F95" w:rsidP="001C2F95">
      <w:pPr>
        <w:rPr>
          <w:sz w:val="22"/>
        </w:rPr>
      </w:pPr>
      <w:r w:rsidRPr="005B21CA">
        <w:rPr>
          <w:sz w:val="22"/>
        </w:rPr>
        <w:t>Ainsi, le PNDA s'appuiera sur le document de l'OMS intitulé « Lignes directrices en matière de planification opérationnelle visant à soutenir la préparation et la riposte des pays » (2020) du Plan stratégique de préparation et de riposte de l’OMS pour lutter contre la COVID-19. En outre, il se référera à la note technique du 20 mars 2020 de la Banque Mondiale</w:t>
      </w:r>
      <w:r w:rsidRPr="005B21CA">
        <w:rPr>
          <w:rStyle w:val="Appelnotedebasdep"/>
          <w:sz w:val="22"/>
        </w:rPr>
        <w:footnoteReference w:id="21"/>
      </w:r>
      <w:r w:rsidRPr="005B21CA">
        <w:rPr>
          <w:sz w:val="22"/>
        </w:rPr>
        <w:t xml:space="preserve"> « Consultations publiques et mobilisation des parties prenantes dans les opérations soutenues par la Banque Mondiale où il existe des contraintes pour la conduite des réunions publiques ». Ces documents serviront de principale source d'orientation sur les communications et la mobilisation des parties prenantes. Ces lignes directrices décrivent l'approche contenue dans le Pilier 2 relatif à la communication sur les risques et la mobilisation communautaire. </w:t>
      </w:r>
    </w:p>
    <w:p w14:paraId="416F2C5A" w14:textId="77777777" w:rsidR="001C2F95" w:rsidRPr="005B21CA" w:rsidRDefault="001C2F95" w:rsidP="001C2F95">
      <w:pPr>
        <w:rPr>
          <w:sz w:val="22"/>
        </w:rPr>
      </w:pPr>
    </w:p>
    <w:p w14:paraId="61054F89" w14:textId="77777777" w:rsidR="001C2F95" w:rsidRPr="005B21CA" w:rsidRDefault="001C2F95" w:rsidP="001C2F95">
      <w:pPr>
        <w:rPr>
          <w:sz w:val="22"/>
        </w:rPr>
      </w:pPr>
      <w:r w:rsidRPr="005B21CA">
        <w:rPr>
          <w:sz w:val="22"/>
        </w:rPr>
        <w:t xml:space="preserve">Ces lignes directrices notent que : </w:t>
      </w:r>
    </w:p>
    <w:p w14:paraId="23C9289E" w14:textId="77777777" w:rsidR="001C2F95" w:rsidRPr="005B21CA" w:rsidRDefault="001C2F95" w:rsidP="001C2F95">
      <w:pPr>
        <w:rPr>
          <w:sz w:val="22"/>
        </w:rPr>
      </w:pPr>
    </w:p>
    <w:p w14:paraId="7727F3D0" w14:textId="77777777" w:rsidR="001C2F95" w:rsidRPr="005B21CA" w:rsidRDefault="001C2F95" w:rsidP="001C2F95">
      <w:pPr>
        <w:rPr>
          <w:sz w:val="22"/>
        </w:rPr>
      </w:pPr>
      <w:r w:rsidRPr="005B21CA">
        <w:rPr>
          <w:sz w:val="22"/>
        </w:rPr>
        <w:t>Il est essentiel de communiquer régulièrement au public les informations relatives à la COVID 19, et sur les mesures à prendre. Les activités de préparation et de riposte doivent être menées de manière participative, à l'échelle de la communauté et être informées et optimisées en permanence en fonction des observations de la communauté afin d’identifier et de répondre aux préoccupations, aux rumeurs et aux fausses informations. Les changements dans les interventions de préparation et de riposte doivent être annoncés et expliqués à l'avance et être élaborés en tenant compte des points de vue de la communauté. Pour asseoir l'autorité et établir la confiance, il est essentiel de communiquer des messages sensibles et réceptifs aux besoins des populations, transparents et cohérents, dans les langues locales par le biais de canaux de communication fiables, en utilisant des réseaux communautaires voire de plus petite échelle et de s’appuyer sur des personnes d'influence clés et en renforçant les capacités des entités locales.</w:t>
      </w:r>
    </w:p>
    <w:p w14:paraId="52C1582A" w14:textId="77777777" w:rsidR="001C2F95" w:rsidRPr="005B21CA" w:rsidRDefault="001C2F95" w:rsidP="001C2F95">
      <w:pPr>
        <w:rPr>
          <w:rFonts w:cs="Arial"/>
          <w:sz w:val="22"/>
        </w:rPr>
      </w:pPr>
    </w:p>
    <w:p w14:paraId="5E6028C9" w14:textId="77777777" w:rsidR="001C2F95" w:rsidRPr="005B21CA" w:rsidRDefault="001C2F95" w:rsidP="002378EA">
      <w:pPr>
        <w:pStyle w:val="Paragraphedeliste"/>
        <w:keepNext/>
        <w:numPr>
          <w:ilvl w:val="0"/>
          <w:numId w:val="12"/>
        </w:numPr>
        <w:autoSpaceDE w:val="0"/>
        <w:autoSpaceDN w:val="0"/>
        <w:adjustRightInd w:val="0"/>
        <w:contextualSpacing w:val="0"/>
        <w:outlineLvl w:val="1"/>
        <w:rPr>
          <w:rFonts w:cs="Arial"/>
          <w:bCs/>
          <w:vanish/>
          <w:sz w:val="22"/>
        </w:rPr>
      </w:pPr>
      <w:bookmarkStart w:id="660" w:name="_Toc64026240"/>
      <w:bookmarkStart w:id="661" w:name="_Toc64386759"/>
      <w:bookmarkStart w:id="662" w:name="_Toc70326876"/>
      <w:bookmarkStart w:id="663" w:name="_Toc70327109"/>
      <w:bookmarkStart w:id="664" w:name="_Toc70330472"/>
      <w:bookmarkEnd w:id="660"/>
      <w:bookmarkEnd w:id="661"/>
      <w:bookmarkEnd w:id="662"/>
      <w:bookmarkEnd w:id="663"/>
      <w:bookmarkEnd w:id="664"/>
    </w:p>
    <w:p w14:paraId="2A098595" w14:textId="77777777" w:rsidR="001C2F95" w:rsidRPr="005B21CA" w:rsidRDefault="001C2F95" w:rsidP="002378EA">
      <w:pPr>
        <w:pStyle w:val="Paragraphedeliste"/>
        <w:keepNext/>
        <w:numPr>
          <w:ilvl w:val="0"/>
          <w:numId w:val="12"/>
        </w:numPr>
        <w:autoSpaceDE w:val="0"/>
        <w:autoSpaceDN w:val="0"/>
        <w:adjustRightInd w:val="0"/>
        <w:contextualSpacing w:val="0"/>
        <w:outlineLvl w:val="1"/>
        <w:rPr>
          <w:rFonts w:cs="Arial"/>
          <w:bCs/>
          <w:vanish/>
          <w:sz w:val="22"/>
        </w:rPr>
      </w:pPr>
      <w:bookmarkStart w:id="665" w:name="_Toc64026241"/>
      <w:bookmarkStart w:id="666" w:name="_Toc64386760"/>
      <w:bookmarkStart w:id="667" w:name="_Toc70326877"/>
      <w:bookmarkStart w:id="668" w:name="_Toc70327110"/>
      <w:bookmarkStart w:id="669" w:name="_Toc70330473"/>
      <w:bookmarkEnd w:id="665"/>
      <w:bookmarkEnd w:id="666"/>
      <w:bookmarkEnd w:id="667"/>
      <w:bookmarkEnd w:id="668"/>
      <w:bookmarkEnd w:id="669"/>
    </w:p>
    <w:p w14:paraId="4A566172" w14:textId="77777777" w:rsidR="001C2F95" w:rsidRPr="005B21CA" w:rsidRDefault="001C2F95" w:rsidP="002378EA">
      <w:pPr>
        <w:pStyle w:val="Paragraphedeliste"/>
        <w:keepNext/>
        <w:numPr>
          <w:ilvl w:val="0"/>
          <w:numId w:val="12"/>
        </w:numPr>
        <w:autoSpaceDE w:val="0"/>
        <w:autoSpaceDN w:val="0"/>
        <w:adjustRightInd w:val="0"/>
        <w:contextualSpacing w:val="0"/>
        <w:outlineLvl w:val="1"/>
        <w:rPr>
          <w:rFonts w:cs="Arial"/>
          <w:bCs/>
          <w:vanish/>
          <w:sz w:val="22"/>
        </w:rPr>
      </w:pPr>
      <w:bookmarkStart w:id="670" w:name="_Toc64026242"/>
      <w:bookmarkStart w:id="671" w:name="_Toc64386761"/>
      <w:bookmarkStart w:id="672" w:name="_Toc70326878"/>
      <w:bookmarkStart w:id="673" w:name="_Toc70327111"/>
      <w:bookmarkStart w:id="674" w:name="_Toc70330474"/>
      <w:bookmarkEnd w:id="670"/>
      <w:bookmarkEnd w:id="671"/>
      <w:bookmarkEnd w:id="672"/>
      <w:bookmarkEnd w:id="673"/>
      <w:bookmarkEnd w:id="674"/>
    </w:p>
    <w:p w14:paraId="6EE534B8" w14:textId="77777777" w:rsidR="001C2F95" w:rsidRPr="005B21CA" w:rsidRDefault="001C2F95" w:rsidP="002378EA">
      <w:pPr>
        <w:pStyle w:val="Paragraphedeliste"/>
        <w:keepNext/>
        <w:numPr>
          <w:ilvl w:val="0"/>
          <w:numId w:val="12"/>
        </w:numPr>
        <w:autoSpaceDE w:val="0"/>
        <w:autoSpaceDN w:val="0"/>
        <w:adjustRightInd w:val="0"/>
        <w:contextualSpacing w:val="0"/>
        <w:outlineLvl w:val="1"/>
        <w:rPr>
          <w:rFonts w:cs="Arial"/>
          <w:bCs/>
          <w:vanish/>
          <w:sz w:val="22"/>
        </w:rPr>
      </w:pPr>
      <w:bookmarkStart w:id="675" w:name="_Toc64026243"/>
      <w:bookmarkStart w:id="676" w:name="_Toc64386762"/>
      <w:bookmarkStart w:id="677" w:name="_Toc70326879"/>
      <w:bookmarkStart w:id="678" w:name="_Toc70327112"/>
      <w:bookmarkStart w:id="679" w:name="_Toc70330475"/>
      <w:bookmarkEnd w:id="675"/>
      <w:bookmarkEnd w:id="676"/>
      <w:bookmarkEnd w:id="677"/>
      <w:bookmarkEnd w:id="678"/>
      <w:bookmarkEnd w:id="679"/>
    </w:p>
    <w:p w14:paraId="6A245CAB" w14:textId="77777777" w:rsidR="001C2F95" w:rsidRPr="005B21CA" w:rsidRDefault="001C2F95" w:rsidP="002378EA">
      <w:pPr>
        <w:pStyle w:val="Paragraphedeliste"/>
        <w:keepNext/>
        <w:numPr>
          <w:ilvl w:val="0"/>
          <w:numId w:val="12"/>
        </w:numPr>
        <w:autoSpaceDE w:val="0"/>
        <w:autoSpaceDN w:val="0"/>
        <w:adjustRightInd w:val="0"/>
        <w:contextualSpacing w:val="0"/>
        <w:outlineLvl w:val="1"/>
        <w:rPr>
          <w:rFonts w:cs="Arial"/>
          <w:bCs/>
          <w:vanish/>
          <w:sz w:val="22"/>
        </w:rPr>
      </w:pPr>
      <w:bookmarkStart w:id="680" w:name="_Toc64026244"/>
      <w:bookmarkStart w:id="681" w:name="_Toc64386763"/>
      <w:bookmarkStart w:id="682" w:name="_Toc70326880"/>
      <w:bookmarkStart w:id="683" w:name="_Toc70327113"/>
      <w:bookmarkStart w:id="684" w:name="_Toc70330476"/>
      <w:bookmarkEnd w:id="680"/>
      <w:bookmarkEnd w:id="681"/>
      <w:bookmarkEnd w:id="682"/>
      <w:bookmarkEnd w:id="683"/>
      <w:bookmarkEnd w:id="684"/>
    </w:p>
    <w:p w14:paraId="100406A2" w14:textId="77777777" w:rsidR="001C2F95" w:rsidRPr="005B21CA" w:rsidRDefault="001C2F95" w:rsidP="002378EA">
      <w:pPr>
        <w:pStyle w:val="Paragraphedeliste"/>
        <w:keepNext/>
        <w:numPr>
          <w:ilvl w:val="0"/>
          <w:numId w:val="12"/>
        </w:numPr>
        <w:autoSpaceDE w:val="0"/>
        <w:autoSpaceDN w:val="0"/>
        <w:adjustRightInd w:val="0"/>
        <w:contextualSpacing w:val="0"/>
        <w:outlineLvl w:val="1"/>
        <w:rPr>
          <w:rFonts w:cs="Arial"/>
          <w:bCs/>
          <w:vanish/>
          <w:sz w:val="22"/>
        </w:rPr>
      </w:pPr>
      <w:bookmarkStart w:id="685" w:name="_Toc64026245"/>
      <w:bookmarkStart w:id="686" w:name="_Toc64386764"/>
      <w:bookmarkStart w:id="687" w:name="_Toc70326881"/>
      <w:bookmarkStart w:id="688" w:name="_Toc70327114"/>
      <w:bookmarkStart w:id="689" w:name="_Toc70330477"/>
      <w:bookmarkEnd w:id="685"/>
      <w:bookmarkEnd w:id="686"/>
      <w:bookmarkEnd w:id="687"/>
      <w:bookmarkEnd w:id="688"/>
      <w:bookmarkEnd w:id="689"/>
    </w:p>
    <w:p w14:paraId="057F27A8" w14:textId="77777777" w:rsidR="001C2F95" w:rsidRPr="005B21CA" w:rsidRDefault="001C2F95" w:rsidP="002378EA">
      <w:pPr>
        <w:pStyle w:val="Paragraphedeliste"/>
        <w:keepNext/>
        <w:numPr>
          <w:ilvl w:val="0"/>
          <w:numId w:val="12"/>
        </w:numPr>
        <w:autoSpaceDE w:val="0"/>
        <w:autoSpaceDN w:val="0"/>
        <w:adjustRightInd w:val="0"/>
        <w:contextualSpacing w:val="0"/>
        <w:outlineLvl w:val="1"/>
        <w:rPr>
          <w:rFonts w:cs="Arial"/>
          <w:bCs/>
          <w:vanish/>
          <w:sz w:val="22"/>
        </w:rPr>
      </w:pPr>
      <w:bookmarkStart w:id="690" w:name="_Toc64026246"/>
      <w:bookmarkStart w:id="691" w:name="_Toc64386765"/>
      <w:bookmarkStart w:id="692" w:name="_Toc70326882"/>
      <w:bookmarkStart w:id="693" w:name="_Toc70327115"/>
      <w:bookmarkStart w:id="694" w:name="_Toc70330478"/>
      <w:bookmarkEnd w:id="690"/>
      <w:bookmarkEnd w:id="691"/>
      <w:bookmarkEnd w:id="692"/>
      <w:bookmarkEnd w:id="693"/>
      <w:bookmarkEnd w:id="694"/>
    </w:p>
    <w:p w14:paraId="7A211159" w14:textId="77777777" w:rsidR="001C2F95" w:rsidRPr="005B21CA" w:rsidRDefault="001C2F95" w:rsidP="002378EA">
      <w:pPr>
        <w:pStyle w:val="Paragraphedeliste"/>
        <w:keepNext/>
        <w:numPr>
          <w:ilvl w:val="0"/>
          <w:numId w:val="12"/>
        </w:numPr>
        <w:autoSpaceDE w:val="0"/>
        <w:autoSpaceDN w:val="0"/>
        <w:adjustRightInd w:val="0"/>
        <w:contextualSpacing w:val="0"/>
        <w:outlineLvl w:val="1"/>
        <w:rPr>
          <w:rFonts w:cs="Arial"/>
          <w:bCs/>
          <w:vanish/>
          <w:sz w:val="22"/>
        </w:rPr>
      </w:pPr>
      <w:bookmarkStart w:id="695" w:name="_Toc64386766"/>
      <w:bookmarkStart w:id="696" w:name="_Toc70326883"/>
      <w:bookmarkStart w:id="697" w:name="_Toc70327116"/>
      <w:bookmarkStart w:id="698" w:name="_Toc70330479"/>
      <w:bookmarkEnd w:id="695"/>
      <w:bookmarkEnd w:id="696"/>
      <w:bookmarkEnd w:id="697"/>
      <w:bookmarkEnd w:id="698"/>
    </w:p>
    <w:p w14:paraId="61A381CF" w14:textId="77777777" w:rsidR="001C2F95" w:rsidRPr="00B4009C" w:rsidRDefault="001C2F95" w:rsidP="001C2F95">
      <w:pPr>
        <w:pStyle w:val="Titre2"/>
        <w:numPr>
          <w:ilvl w:val="1"/>
          <w:numId w:val="4"/>
        </w:numPr>
        <w:ind w:left="851" w:hanging="425"/>
        <w:rPr>
          <w:rFonts w:cs="Arial"/>
          <w:b/>
          <w:sz w:val="22"/>
          <w:szCs w:val="22"/>
        </w:rPr>
      </w:pPr>
      <w:bookmarkStart w:id="699" w:name="_Toc70330480"/>
      <w:r w:rsidRPr="00B4009C">
        <w:rPr>
          <w:rFonts w:cs="Arial"/>
          <w:b/>
          <w:sz w:val="22"/>
          <w:szCs w:val="22"/>
        </w:rPr>
        <w:t>Consultations du public lors de l’élaboration du CGES</w:t>
      </w:r>
      <w:bookmarkEnd w:id="699"/>
    </w:p>
    <w:p w14:paraId="58B7D36A" w14:textId="77777777" w:rsidR="001C2F95" w:rsidRPr="005B21CA" w:rsidRDefault="001C2F95" w:rsidP="001C2F95">
      <w:pPr>
        <w:rPr>
          <w:sz w:val="22"/>
        </w:rPr>
      </w:pPr>
    </w:p>
    <w:p w14:paraId="1F3674F5" w14:textId="77777777" w:rsidR="001C2F95" w:rsidRPr="005B21CA" w:rsidRDefault="001C2F95" w:rsidP="002378EA">
      <w:pPr>
        <w:pStyle w:val="Paragraphedeliste"/>
        <w:keepNext/>
        <w:numPr>
          <w:ilvl w:val="0"/>
          <w:numId w:val="18"/>
        </w:numPr>
        <w:tabs>
          <w:tab w:val="left" w:pos="720"/>
        </w:tabs>
        <w:contextualSpacing w:val="0"/>
        <w:jc w:val="left"/>
        <w:outlineLvl w:val="2"/>
        <w:rPr>
          <w:rFonts w:cs="Arial"/>
          <w:vanish/>
          <w:sz w:val="22"/>
          <w:u w:val="single"/>
        </w:rPr>
      </w:pPr>
      <w:bookmarkStart w:id="700" w:name="_Toc64026249"/>
      <w:bookmarkStart w:id="701" w:name="_Toc64386768"/>
      <w:bookmarkStart w:id="702" w:name="_Toc70326885"/>
      <w:bookmarkStart w:id="703" w:name="_Toc70327118"/>
      <w:bookmarkStart w:id="704" w:name="_Toc70330481"/>
      <w:bookmarkEnd w:id="700"/>
      <w:bookmarkEnd w:id="701"/>
      <w:bookmarkEnd w:id="702"/>
      <w:bookmarkEnd w:id="703"/>
      <w:bookmarkEnd w:id="704"/>
    </w:p>
    <w:p w14:paraId="0731A09E" w14:textId="77777777" w:rsidR="001C2F95" w:rsidRPr="005B21CA" w:rsidRDefault="001C2F95" w:rsidP="002378EA">
      <w:pPr>
        <w:pStyle w:val="Paragraphedeliste"/>
        <w:keepNext/>
        <w:numPr>
          <w:ilvl w:val="1"/>
          <w:numId w:val="18"/>
        </w:numPr>
        <w:tabs>
          <w:tab w:val="left" w:pos="720"/>
        </w:tabs>
        <w:contextualSpacing w:val="0"/>
        <w:jc w:val="left"/>
        <w:outlineLvl w:val="2"/>
        <w:rPr>
          <w:rFonts w:cs="Arial"/>
          <w:vanish/>
          <w:sz w:val="22"/>
          <w:u w:val="single"/>
        </w:rPr>
      </w:pPr>
      <w:bookmarkStart w:id="705" w:name="_Toc64026250"/>
      <w:bookmarkStart w:id="706" w:name="_Toc64386769"/>
      <w:bookmarkStart w:id="707" w:name="_Toc70326886"/>
      <w:bookmarkStart w:id="708" w:name="_Toc70327119"/>
      <w:bookmarkStart w:id="709" w:name="_Toc70330482"/>
      <w:bookmarkEnd w:id="705"/>
      <w:bookmarkEnd w:id="706"/>
      <w:bookmarkEnd w:id="707"/>
      <w:bookmarkEnd w:id="708"/>
      <w:bookmarkEnd w:id="709"/>
    </w:p>
    <w:p w14:paraId="15EB7710" w14:textId="77777777" w:rsidR="001C2F95" w:rsidRPr="005B21CA" w:rsidRDefault="001C2F95" w:rsidP="001C2F95">
      <w:pPr>
        <w:pStyle w:val="Paragraphedeliste"/>
        <w:keepNext/>
        <w:numPr>
          <w:ilvl w:val="0"/>
          <w:numId w:val="6"/>
        </w:numPr>
        <w:contextualSpacing w:val="0"/>
        <w:jc w:val="left"/>
        <w:outlineLvl w:val="2"/>
        <w:rPr>
          <w:rFonts w:cs="Arial"/>
          <w:vanish/>
          <w:sz w:val="22"/>
          <w:u w:val="single"/>
        </w:rPr>
      </w:pPr>
      <w:bookmarkStart w:id="710" w:name="_Toc64026251"/>
      <w:bookmarkStart w:id="711" w:name="_Toc64386770"/>
      <w:bookmarkStart w:id="712" w:name="_Toc70326887"/>
      <w:bookmarkStart w:id="713" w:name="_Toc70327120"/>
      <w:bookmarkStart w:id="714" w:name="_Toc70330483"/>
      <w:bookmarkEnd w:id="710"/>
      <w:bookmarkEnd w:id="711"/>
      <w:bookmarkEnd w:id="712"/>
      <w:bookmarkEnd w:id="713"/>
      <w:bookmarkEnd w:id="714"/>
    </w:p>
    <w:p w14:paraId="054353FE" w14:textId="77777777" w:rsidR="001C2F95" w:rsidRPr="005B21CA" w:rsidRDefault="001C2F95" w:rsidP="001C2F95">
      <w:pPr>
        <w:pStyle w:val="Paragraphedeliste"/>
        <w:keepNext/>
        <w:numPr>
          <w:ilvl w:val="0"/>
          <w:numId w:val="6"/>
        </w:numPr>
        <w:contextualSpacing w:val="0"/>
        <w:jc w:val="left"/>
        <w:outlineLvl w:val="2"/>
        <w:rPr>
          <w:rFonts w:cs="Arial"/>
          <w:vanish/>
          <w:sz w:val="22"/>
          <w:u w:val="single"/>
        </w:rPr>
      </w:pPr>
      <w:bookmarkStart w:id="715" w:name="_Toc64026252"/>
      <w:bookmarkStart w:id="716" w:name="_Toc64386771"/>
      <w:bookmarkStart w:id="717" w:name="_Toc70326888"/>
      <w:bookmarkStart w:id="718" w:name="_Toc70327121"/>
      <w:bookmarkStart w:id="719" w:name="_Toc70330484"/>
      <w:bookmarkEnd w:id="715"/>
      <w:bookmarkEnd w:id="716"/>
      <w:bookmarkEnd w:id="717"/>
      <w:bookmarkEnd w:id="718"/>
      <w:bookmarkEnd w:id="719"/>
    </w:p>
    <w:p w14:paraId="02F9ED13" w14:textId="77777777" w:rsidR="001C2F95" w:rsidRPr="005B21CA" w:rsidRDefault="001C2F95" w:rsidP="001C2F95">
      <w:pPr>
        <w:pStyle w:val="Paragraphedeliste"/>
        <w:keepNext/>
        <w:numPr>
          <w:ilvl w:val="1"/>
          <w:numId w:val="6"/>
        </w:numPr>
        <w:contextualSpacing w:val="0"/>
        <w:jc w:val="left"/>
        <w:outlineLvl w:val="2"/>
        <w:rPr>
          <w:rFonts w:cs="Arial"/>
          <w:vanish/>
          <w:sz w:val="22"/>
          <w:u w:val="single"/>
        </w:rPr>
      </w:pPr>
      <w:bookmarkStart w:id="720" w:name="_Toc64026253"/>
      <w:bookmarkStart w:id="721" w:name="_Toc64386772"/>
      <w:bookmarkStart w:id="722" w:name="_Toc70326889"/>
      <w:bookmarkStart w:id="723" w:name="_Toc70327122"/>
      <w:bookmarkStart w:id="724" w:name="_Toc70330485"/>
      <w:bookmarkEnd w:id="720"/>
      <w:bookmarkEnd w:id="721"/>
      <w:bookmarkEnd w:id="722"/>
      <w:bookmarkEnd w:id="723"/>
      <w:bookmarkEnd w:id="724"/>
    </w:p>
    <w:p w14:paraId="4908B56A" w14:textId="77777777" w:rsidR="001C2F95" w:rsidRPr="005B21CA" w:rsidRDefault="001C2F95" w:rsidP="001C2F95">
      <w:pPr>
        <w:pStyle w:val="Titre2"/>
        <w:numPr>
          <w:ilvl w:val="2"/>
          <w:numId w:val="4"/>
        </w:numPr>
        <w:ind w:left="1560" w:hanging="709"/>
        <w:rPr>
          <w:rFonts w:cs="Arial"/>
          <w:i/>
          <w:sz w:val="22"/>
          <w:szCs w:val="22"/>
        </w:rPr>
      </w:pPr>
      <w:bookmarkStart w:id="725" w:name="_Toc70330486"/>
      <w:r w:rsidRPr="005B21CA">
        <w:rPr>
          <w:rFonts w:cs="Arial"/>
          <w:i/>
          <w:sz w:val="22"/>
          <w:szCs w:val="22"/>
        </w:rPr>
        <w:t>Objectifs des consultations du public</w:t>
      </w:r>
      <w:bookmarkEnd w:id="725"/>
    </w:p>
    <w:p w14:paraId="6E24703C" w14:textId="77777777" w:rsidR="001C2F95" w:rsidRPr="005B21CA" w:rsidRDefault="001C2F95" w:rsidP="001C2F95">
      <w:pPr>
        <w:rPr>
          <w:sz w:val="22"/>
        </w:rPr>
      </w:pPr>
    </w:p>
    <w:p w14:paraId="06F29EA5" w14:textId="77777777" w:rsidR="001C2F95" w:rsidRPr="005B21CA" w:rsidRDefault="001C2F95" w:rsidP="001C2F95">
      <w:pPr>
        <w:rPr>
          <w:sz w:val="22"/>
        </w:rPr>
      </w:pPr>
      <w:r w:rsidRPr="005B21CA">
        <w:rPr>
          <w:sz w:val="22"/>
        </w:rPr>
        <w:t xml:space="preserve">La NES n° 10 exige à l’Emprunteur d’établir le dialogue avec les parties prenantes, y compris les communautés, les groupes ou les individus touchés par les projets proposés, et avec d’autres parties concernées, en diffusant les informations, en menant des consultations et en favorisant une participation éclairée, d’une manière proportionnée aux risques et effets potentiels du projet sur les populations touchées. </w:t>
      </w:r>
    </w:p>
    <w:p w14:paraId="24BCC256" w14:textId="77777777" w:rsidR="001C2F95" w:rsidRPr="005B21CA" w:rsidRDefault="001C2F95" w:rsidP="001C2F95">
      <w:pPr>
        <w:rPr>
          <w:sz w:val="22"/>
        </w:rPr>
      </w:pPr>
    </w:p>
    <w:p w14:paraId="78781F07" w14:textId="77777777" w:rsidR="001C2F95" w:rsidRPr="00C05D6C" w:rsidRDefault="001C2F95" w:rsidP="001C2F95">
      <w:pPr>
        <w:rPr>
          <w:sz w:val="22"/>
        </w:rPr>
      </w:pPr>
      <w:r w:rsidRPr="00C05D6C">
        <w:rPr>
          <w:sz w:val="22"/>
        </w:rPr>
        <w:t xml:space="preserve">Les objectifs poursuivis sont </w:t>
      </w:r>
      <w:r>
        <w:rPr>
          <w:sz w:val="22"/>
        </w:rPr>
        <w:t>les suivantes :</w:t>
      </w:r>
      <w:r w:rsidRPr="00C05D6C">
        <w:rPr>
          <w:sz w:val="22"/>
        </w:rPr>
        <w:t xml:space="preserve"> de fournir aux acteurs intéressés, une information juste et pertinente sur le projet, notamment, sa description et ses composantes ; d’inviter les acteurs à donner leurs avis sur les propositions ; d’instaurer un dialogue et d’asseoir les bases d’une mise en œuvre concertée et durable en prévision des activités que le projet va réaliser. </w:t>
      </w:r>
    </w:p>
    <w:p w14:paraId="334B3BD1" w14:textId="77777777" w:rsidR="001C2F95" w:rsidRPr="00C05D6C" w:rsidRDefault="001C2F95" w:rsidP="001C2F95">
      <w:pPr>
        <w:rPr>
          <w:sz w:val="22"/>
        </w:rPr>
      </w:pPr>
    </w:p>
    <w:p w14:paraId="68428688" w14:textId="77777777" w:rsidR="001C2F95" w:rsidRPr="00C05D6C" w:rsidRDefault="001C2F95" w:rsidP="001C2F95">
      <w:pPr>
        <w:rPr>
          <w:sz w:val="22"/>
        </w:rPr>
      </w:pPr>
      <w:r w:rsidRPr="00C05D6C">
        <w:rPr>
          <w:sz w:val="22"/>
        </w:rPr>
        <w:t>En outre, les objectifs de consultation du public sur les VBG</w:t>
      </w:r>
      <w:r>
        <w:rPr>
          <w:sz w:val="22"/>
        </w:rPr>
        <w:t>, y compris l’EAS/HS,</w:t>
      </w:r>
      <w:r w:rsidRPr="00C05D6C">
        <w:rPr>
          <w:sz w:val="22"/>
        </w:rPr>
        <w:t xml:space="preserve"> sont :</w:t>
      </w:r>
    </w:p>
    <w:p w14:paraId="5B3005CB" w14:textId="77777777" w:rsidR="001C2F95" w:rsidRPr="00C05D6C" w:rsidRDefault="001C2F95" w:rsidP="001C2F95">
      <w:pPr>
        <w:rPr>
          <w:sz w:val="22"/>
        </w:rPr>
      </w:pPr>
    </w:p>
    <w:p w14:paraId="5C5B1649" w14:textId="77777777" w:rsidR="001C2F95" w:rsidRPr="00C05D6C" w:rsidRDefault="001C2F95" w:rsidP="002378EA">
      <w:pPr>
        <w:numPr>
          <w:ilvl w:val="0"/>
          <w:numId w:val="56"/>
        </w:numPr>
        <w:rPr>
          <w:sz w:val="22"/>
        </w:rPr>
      </w:pPr>
      <w:r w:rsidRPr="00C05D6C">
        <w:rPr>
          <w:sz w:val="22"/>
        </w:rPr>
        <w:t>Identifi</w:t>
      </w:r>
      <w:r>
        <w:rPr>
          <w:sz w:val="22"/>
        </w:rPr>
        <w:t>er</w:t>
      </w:r>
      <w:r w:rsidRPr="00C05D6C">
        <w:rPr>
          <w:sz w:val="22"/>
        </w:rPr>
        <w:t xml:space="preserve"> des risques d</w:t>
      </w:r>
      <w:r>
        <w:rPr>
          <w:sz w:val="22"/>
        </w:rPr>
        <w:t>’</w:t>
      </w:r>
      <w:r w:rsidRPr="00C05D6C">
        <w:rPr>
          <w:sz w:val="22"/>
        </w:rPr>
        <w:t>EAS/HS dans les communautés affectées par le projet ;</w:t>
      </w:r>
    </w:p>
    <w:p w14:paraId="2D72CAAF" w14:textId="77777777" w:rsidR="001C2F95" w:rsidRPr="00C05D6C" w:rsidRDefault="001C2F95" w:rsidP="002378EA">
      <w:pPr>
        <w:numPr>
          <w:ilvl w:val="0"/>
          <w:numId w:val="56"/>
        </w:numPr>
        <w:rPr>
          <w:sz w:val="22"/>
        </w:rPr>
      </w:pPr>
      <w:r w:rsidRPr="00C05D6C">
        <w:rPr>
          <w:sz w:val="22"/>
        </w:rPr>
        <w:t>Evaluer les risques potentiels d</w:t>
      </w:r>
      <w:r>
        <w:rPr>
          <w:sz w:val="22"/>
        </w:rPr>
        <w:t>’EAS/HS</w:t>
      </w:r>
      <w:r w:rsidRPr="00C05D6C">
        <w:rPr>
          <w:sz w:val="22"/>
        </w:rPr>
        <w:t xml:space="preserve"> dans l</w:t>
      </w:r>
      <w:r>
        <w:rPr>
          <w:sz w:val="22"/>
        </w:rPr>
        <w:t>es</w:t>
      </w:r>
      <w:r w:rsidRPr="00C05D6C">
        <w:rPr>
          <w:sz w:val="22"/>
        </w:rPr>
        <w:t xml:space="preserve"> zone</w:t>
      </w:r>
      <w:r>
        <w:rPr>
          <w:sz w:val="22"/>
        </w:rPr>
        <w:t>s</w:t>
      </w:r>
      <w:r w:rsidRPr="00C05D6C">
        <w:rPr>
          <w:sz w:val="22"/>
        </w:rPr>
        <w:t xml:space="preserve"> d’intervention ciblées que le </w:t>
      </w:r>
      <w:r>
        <w:rPr>
          <w:sz w:val="22"/>
        </w:rPr>
        <w:t>P</w:t>
      </w:r>
      <w:r w:rsidRPr="00C05D6C">
        <w:rPr>
          <w:sz w:val="22"/>
        </w:rPr>
        <w:t>rojet peut exacerber ;</w:t>
      </w:r>
    </w:p>
    <w:p w14:paraId="27D65F16" w14:textId="77777777" w:rsidR="001C2F95" w:rsidRPr="00C05D6C" w:rsidRDefault="001C2F95" w:rsidP="002378EA">
      <w:pPr>
        <w:numPr>
          <w:ilvl w:val="0"/>
          <w:numId w:val="56"/>
        </w:numPr>
        <w:rPr>
          <w:sz w:val="22"/>
        </w:rPr>
      </w:pPr>
      <w:r w:rsidRPr="00C05D6C">
        <w:rPr>
          <w:sz w:val="22"/>
        </w:rPr>
        <w:t xml:space="preserve">Réaliser des consultations </w:t>
      </w:r>
      <w:r>
        <w:rPr>
          <w:sz w:val="22"/>
        </w:rPr>
        <w:t>indépendantes</w:t>
      </w:r>
      <w:r w:rsidRPr="00C05D6C">
        <w:rPr>
          <w:sz w:val="22"/>
        </w:rPr>
        <w:t xml:space="preserve"> pour les femmes </w:t>
      </w:r>
      <w:r>
        <w:rPr>
          <w:sz w:val="22"/>
        </w:rPr>
        <w:t xml:space="preserve">dans des conditions sûres et confidentielles (avec des facilitatrices de groupe) </w:t>
      </w:r>
      <w:r w:rsidRPr="00C05D6C">
        <w:rPr>
          <w:sz w:val="22"/>
        </w:rPr>
        <w:t>en évaluant les risques de sécurité</w:t>
      </w:r>
      <w:r>
        <w:rPr>
          <w:sz w:val="22"/>
        </w:rPr>
        <w:t xml:space="preserve"> et</w:t>
      </w:r>
      <w:r w:rsidRPr="00C05D6C">
        <w:rPr>
          <w:sz w:val="22"/>
        </w:rPr>
        <w:t xml:space="preserve"> les risques </w:t>
      </w:r>
      <w:r>
        <w:rPr>
          <w:sz w:val="22"/>
        </w:rPr>
        <w:t>d’EAS/HS</w:t>
      </w:r>
      <w:r w:rsidRPr="00C05D6C">
        <w:rPr>
          <w:sz w:val="22"/>
        </w:rPr>
        <w:t xml:space="preserve"> auxquelles les communautés font face</w:t>
      </w:r>
      <w:r>
        <w:rPr>
          <w:sz w:val="22"/>
        </w:rPr>
        <w:t xml:space="preserve"> et les impacts potentiels positifs et négatifs du Projet sur les bénéficiaires féminins</w:t>
      </w:r>
      <w:r w:rsidRPr="00C05D6C">
        <w:rPr>
          <w:sz w:val="22"/>
        </w:rPr>
        <w:t> ;</w:t>
      </w:r>
    </w:p>
    <w:p w14:paraId="660A9BB7" w14:textId="77777777" w:rsidR="001C2F95" w:rsidRPr="00C05D6C" w:rsidRDefault="001C2F95" w:rsidP="002378EA">
      <w:pPr>
        <w:numPr>
          <w:ilvl w:val="0"/>
          <w:numId w:val="56"/>
        </w:numPr>
        <w:rPr>
          <w:sz w:val="22"/>
        </w:rPr>
      </w:pPr>
      <w:r w:rsidRPr="00C05D6C">
        <w:rPr>
          <w:sz w:val="22"/>
        </w:rPr>
        <w:t xml:space="preserve">Identifier les meilleures portes d’entrée pour les potentielles plaintes en cas d’incidents </w:t>
      </w:r>
      <w:r>
        <w:rPr>
          <w:sz w:val="22"/>
        </w:rPr>
        <w:t>EAS/HS</w:t>
      </w:r>
      <w:r w:rsidRPr="00C05D6C">
        <w:rPr>
          <w:sz w:val="22"/>
        </w:rPr>
        <w:t xml:space="preserve"> au cours de la durée du projet ;</w:t>
      </w:r>
    </w:p>
    <w:p w14:paraId="4004BBAF" w14:textId="77777777" w:rsidR="001C2F95" w:rsidRPr="00C05D6C" w:rsidRDefault="001C2F95" w:rsidP="002378EA">
      <w:pPr>
        <w:numPr>
          <w:ilvl w:val="0"/>
          <w:numId w:val="56"/>
        </w:numPr>
        <w:rPr>
          <w:sz w:val="22"/>
        </w:rPr>
      </w:pPr>
      <w:r w:rsidRPr="00C05D6C">
        <w:rPr>
          <w:sz w:val="22"/>
        </w:rPr>
        <w:t xml:space="preserve">S’assurer que les consultations sont conformes aux Directives de sécurité et d’éthique relatives à la collecte des données </w:t>
      </w:r>
      <w:r>
        <w:rPr>
          <w:sz w:val="22"/>
        </w:rPr>
        <w:t xml:space="preserve">sensibles concernant les </w:t>
      </w:r>
      <w:r w:rsidRPr="00C05D6C">
        <w:rPr>
          <w:sz w:val="22"/>
        </w:rPr>
        <w:t>VBG ;</w:t>
      </w:r>
    </w:p>
    <w:p w14:paraId="10A0FA40" w14:textId="77777777" w:rsidR="001C2F95" w:rsidRPr="00C05D6C" w:rsidRDefault="001C2F95" w:rsidP="002378EA">
      <w:pPr>
        <w:numPr>
          <w:ilvl w:val="0"/>
          <w:numId w:val="56"/>
        </w:numPr>
        <w:rPr>
          <w:sz w:val="22"/>
        </w:rPr>
      </w:pPr>
      <w:r w:rsidRPr="00C05D6C">
        <w:rPr>
          <w:sz w:val="22"/>
        </w:rPr>
        <w:t>Ve</w:t>
      </w:r>
      <w:r>
        <w:rPr>
          <w:sz w:val="22"/>
        </w:rPr>
        <w:t>iller</w:t>
      </w:r>
      <w:r w:rsidRPr="00C05D6C">
        <w:rPr>
          <w:sz w:val="22"/>
        </w:rPr>
        <w:t xml:space="preserve"> à ce que les membres de différents groupes ethniques et privés sont consultés ;</w:t>
      </w:r>
    </w:p>
    <w:p w14:paraId="0AAD1C48" w14:textId="77777777" w:rsidR="001C2F95" w:rsidRPr="00C05D6C" w:rsidRDefault="001C2F95" w:rsidP="002378EA">
      <w:pPr>
        <w:numPr>
          <w:ilvl w:val="0"/>
          <w:numId w:val="56"/>
        </w:numPr>
        <w:rPr>
          <w:sz w:val="22"/>
        </w:rPr>
      </w:pPr>
      <w:r w:rsidRPr="00C05D6C">
        <w:rPr>
          <w:sz w:val="22"/>
        </w:rPr>
        <w:t>Mettre en place des animatrices et vérifier le meilleur jour / heure / lieu pour tenir ces consultations afin de s’assurer que les femmes sont disponibles et se sentent en sécurité pour participer ;</w:t>
      </w:r>
    </w:p>
    <w:p w14:paraId="2E229E05" w14:textId="77777777" w:rsidR="001C2F95" w:rsidRPr="00C05D6C" w:rsidRDefault="001C2F95" w:rsidP="002378EA">
      <w:pPr>
        <w:numPr>
          <w:ilvl w:val="0"/>
          <w:numId w:val="56"/>
        </w:numPr>
        <w:rPr>
          <w:sz w:val="22"/>
        </w:rPr>
      </w:pPr>
      <w:r w:rsidRPr="00C05D6C">
        <w:rPr>
          <w:sz w:val="22"/>
        </w:rPr>
        <w:t xml:space="preserve">Les femmes </w:t>
      </w:r>
      <w:r>
        <w:rPr>
          <w:sz w:val="22"/>
        </w:rPr>
        <w:t>survivant(e)s</w:t>
      </w:r>
      <w:r w:rsidRPr="00C05D6C">
        <w:rPr>
          <w:sz w:val="22"/>
        </w:rPr>
        <w:t xml:space="preserve"> </w:t>
      </w:r>
      <w:r>
        <w:rPr>
          <w:sz w:val="22"/>
        </w:rPr>
        <w:t>de VBG</w:t>
      </w:r>
      <w:r w:rsidRPr="00C05D6C">
        <w:rPr>
          <w:sz w:val="22"/>
        </w:rPr>
        <w:t xml:space="preserve"> ne seront pas consultées dans le cadre du projet car cela ne fait pas partie des objectifs.</w:t>
      </w:r>
    </w:p>
    <w:p w14:paraId="0114F193" w14:textId="77777777" w:rsidR="001C2F95" w:rsidRPr="00C05D6C" w:rsidRDefault="001C2F95" w:rsidP="001C2F95">
      <w:pPr>
        <w:rPr>
          <w:rFonts w:cs="Arial"/>
          <w:sz w:val="22"/>
        </w:rPr>
      </w:pPr>
    </w:p>
    <w:p w14:paraId="1B843A05" w14:textId="77777777" w:rsidR="001C2F95" w:rsidRPr="00C05D6C" w:rsidRDefault="001C2F95" w:rsidP="001C2F95">
      <w:pPr>
        <w:pStyle w:val="Titre2"/>
        <w:numPr>
          <w:ilvl w:val="2"/>
          <w:numId w:val="4"/>
        </w:numPr>
        <w:ind w:left="1560" w:hanging="709"/>
        <w:rPr>
          <w:rFonts w:cs="Arial"/>
          <w:i/>
          <w:sz w:val="22"/>
          <w:szCs w:val="22"/>
        </w:rPr>
      </w:pPr>
      <w:bookmarkStart w:id="726" w:name="_Toc70330487"/>
      <w:r w:rsidRPr="00C05D6C">
        <w:rPr>
          <w:rFonts w:cs="Arial"/>
          <w:i/>
          <w:sz w:val="22"/>
          <w:szCs w:val="22"/>
        </w:rPr>
        <w:t>Acteurs consultés</w:t>
      </w:r>
      <w:bookmarkEnd w:id="726"/>
    </w:p>
    <w:p w14:paraId="3AB28C56" w14:textId="77777777" w:rsidR="001C2F95" w:rsidRPr="00C05D6C" w:rsidRDefault="001C2F95" w:rsidP="001C2F95">
      <w:pPr>
        <w:pStyle w:val="Paragraphedeliste"/>
        <w:tabs>
          <w:tab w:val="left" w:pos="426"/>
        </w:tabs>
        <w:ind w:left="0"/>
        <w:rPr>
          <w:rFonts w:cs="Arial"/>
          <w:sz w:val="22"/>
        </w:rPr>
      </w:pPr>
    </w:p>
    <w:p w14:paraId="6EBE9F43" w14:textId="77777777" w:rsidR="00154DC7" w:rsidRPr="00C05D6C" w:rsidRDefault="001C2F95" w:rsidP="00154DC7">
      <w:pPr>
        <w:pStyle w:val="Paragraphedeliste"/>
        <w:tabs>
          <w:tab w:val="left" w:pos="426"/>
        </w:tabs>
        <w:ind w:left="0"/>
        <w:rPr>
          <w:rFonts w:cs="Arial"/>
          <w:sz w:val="22"/>
          <w:highlight w:val="cyan"/>
        </w:rPr>
      </w:pPr>
      <w:r w:rsidRPr="00C05D6C">
        <w:rPr>
          <w:rFonts w:cs="Arial"/>
          <w:sz w:val="22"/>
        </w:rPr>
        <w:t>Les consultations ont concerné</w:t>
      </w:r>
      <w:r w:rsidR="00154DC7" w:rsidRPr="00154DC7">
        <w:rPr>
          <w:rFonts w:cs="Arial"/>
          <w:sz w:val="22"/>
        </w:rPr>
        <w:t xml:space="preserve"> </w:t>
      </w:r>
      <w:r w:rsidR="00154DC7">
        <w:rPr>
          <w:rFonts w:cs="Arial"/>
          <w:sz w:val="22"/>
        </w:rPr>
        <w:t xml:space="preserve">d’un côté </w:t>
      </w:r>
      <w:r w:rsidR="00154DC7" w:rsidRPr="00296E4B">
        <w:rPr>
          <w:rFonts w:cs="Arial"/>
          <w:sz w:val="22"/>
        </w:rPr>
        <w:t xml:space="preserve">les acteurs institutionnels principalement concernés par le Projet PNDA au niveau des </w:t>
      </w:r>
      <w:r w:rsidR="00154DC7">
        <w:rPr>
          <w:rFonts w:cs="Arial"/>
          <w:sz w:val="22"/>
        </w:rPr>
        <w:t>p</w:t>
      </w:r>
      <w:r w:rsidR="00154DC7" w:rsidRPr="00296E4B">
        <w:rPr>
          <w:rFonts w:cs="Arial"/>
          <w:sz w:val="22"/>
        </w:rPr>
        <w:t>rovinces concernées</w:t>
      </w:r>
      <w:r w:rsidR="00154DC7">
        <w:rPr>
          <w:rFonts w:cs="Arial"/>
          <w:sz w:val="22"/>
        </w:rPr>
        <w:t> </w:t>
      </w:r>
      <w:r w:rsidR="00154DC7" w:rsidRPr="00296E4B">
        <w:rPr>
          <w:rFonts w:cs="Arial"/>
          <w:sz w:val="22"/>
        </w:rPr>
        <w:t>: les Ministères Provinciaux</w:t>
      </w:r>
      <w:r w:rsidR="00154DC7">
        <w:rPr>
          <w:rFonts w:cs="Arial"/>
          <w:sz w:val="22"/>
        </w:rPr>
        <w:t xml:space="preserve"> et Inspections et/ou Divisions en charge de l’Agriculture ; Pêche et Élevage ; Environnement et Développement Durable ; Infrastructures et Travaux Publics ; Affaires Sociales, Genre, famille et Enfant ; Santé , Travail et Prévoyance sociales ; Affaires Foncières ; les Mairies ; Administrateurs de Territoires ; Agence Congolaise de l’Environnement ; Coordinations Provinciales de l’Environnement ; </w:t>
      </w:r>
      <w:r w:rsidR="00154DC7" w:rsidRPr="00C05D6C">
        <w:rPr>
          <w:rFonts w:cs="Arial"/>
          <w:sz w:val="22"/>
        </w:rPr>
        <w:t>Coordination Provinciale et Com</w:t>
      </w:r>
      <w:r w:rsidR="00154DC7">
        <w:rPr>
          <w:rFonts w:cs="Arial"/>
          <w:sz w:val="22"/>
        </w:rPr>
        <w:t>munauté Protectrice de l’Enfant ; Office des Voies de Desserte Agricole ; et de l’autre côté, les O</w:t>
      </w:r>
      <w:r w:rsidR="00154DC7" w:rsidRPr="00C05D6C">
        <w:rPr>
          <w:rFonts w:cs="Arial"/>
          <w:sz w:val="22"/>
        </w:rPr>
        <w:t xml:space="preserve">rganisations </w:t>
      </w:r>
      <w:r w:rsidR="00154DC7">
        <w:rPr>
          <w:rFonts w:cs="Arial"/>
          <w:sz w:val="22"/>
        </w:rPr>
        <w:t xml:space="preserve">et Associations locales, les ONG </w:t>
      </w:r>
      <w:r w:rsidR="00154DC7" w:rsidRPr="00C05D6C">
        <w:rPr>
          <w:rFonts w:cs="Arial"/>
          <w:sz w:val="22"/>
        </w:rPr>
        <w:t>de la Société Civile</w:t>
      </w:r>
      <w:r w:rsidR="00154DC7">
        <w:rPr>
          <w:rFonts w:cs="Arial"/>
          <w:sz w:val="22"/>
        </w:rPr>
        <w:t xml:space="preserve"> Force Vive, les personnes ressources ; etc. </w:t>
      </w:r>
      <w:r w:rsidR="00154DC7" w:rsidRPr="00C05D6C">
        <w:rPr>
          <w:rFonts w:cs="Arial"/>
          <w:sz w:val="22"/>
        </w:rPr>
        <w:t>Voir quelques exemplaires des procès-verbaux joints en annexe du présent rapport.</w:t>
      </w:r>
    </w:p>
    <w:p w14:paraId="21F0B199" w14:textId="77777777" w:rsidR="00154DC7" w:rsidRDefault="00154DC7" w:rsidP="00154DC7">
      <w:pPr>
        <w:pStyle w:val="Paragraphedeliste"/>
        <w:tabs>
          <w:tab w:val="left" w:pos="426"/>
        </w:tabs>
        <w:ind w:left="0"/>
        <w:rPr>
          <w:rFonts w:cs="Arial"/>
          <w:sz w:val="22"/>
          <w:highlight w:val="cyan"/>
        </w:rPr>
      </w:pPr>
    </w:p>
    <w:p w14:paraId="29D9EF8F" w14:textId="77777777" w:rsidR="001C2F95" w:rsidRPr="00C05D6C" w:rsidRDefault="00154DC7" w:rsidP="00154DC7">
      <w:pPr>
        <w:pStyle w:val="Paragraphedeliste"/>
        <w:tabs>
          <w:tab w:val="left" w:pos="426"/>
        </w:tabs>
        <w:ind w:left="0"/>
        <w:rPr>
          <w:rFonts w:cs="Arial"/>
          <w:sz w:val="22"/>
          <w:highlight w:val="cyan"/>
        </w:rPr>
      </w:pPr>
      <w:r>
        <w:rPr>
          <w:rFonts w:cs="Arial"/>
          <w:sz w:val="22"/>
        </w:rPr>
        <w:t xml:space="preserve">Par ailleurs, le Consultant a également tenu également des consultations du public / </w:t>
      </w:r>
      <w:r w:rsidRPr="00B12E41">
        <w:rPr>
          <w:rFonts w:cs="Arial"/>
          <w:i/>
          <w:sz w:val="22"/>
        </w:rPr>
        <w:t>focus group</w:t>
      </w:r>
      <w:r>
        <w:rPr>
          <w:rFonts w:cs="Arial"/>
          <w:sz w:val="22"/>
        </w:rPr>
        <w:t xml:space="preserve"> et entrevues avec</w:t>
      </w:r>
      <w:r w:rsidRPr="00F37B16">
        <w:rPr>
          <w:rFonts w:cs="Arial"/>
          <w:sz w:val="22"/>
        </w:rPr>
        <w:t xml:space="preserve"> les femmes </w:t>
      </w:r>
      <w:r w:rsidRPr="00616D0F">
        <w:rPr>
          <w:rFonts w:cs="Arial"/>
          <w:sz w:val="22"/>
        </w:rPr>
        <w:t xml:space="preserve">des </w:t>
      </w:r>
      <w:r>
        <w:rPr>
          <w:rFonts w:cs="Arial"/>
          <w:sz w:val="22"/>
        </w:rPr>
        <w:t xml:space="preserve">associations paysannes et </w:t>
      </w:r>
      <w:r w:rsidRPr="00616D0F">
        <w:rPr>
          <w:rFonts w:cs="Arial"/>
          <w:sz w:val="22"/>
        </w:rPr>
        <w:t xml:space="preserve">communautés riveraines dans le but de connaitre leurs préoccupations </w:t>
      </w:r>
      <w:r>
        <w:rPr>
          <w:rFonts w:cs="Arial"/>
          <w:sz w:val="22"/>
        </w:rPr>
        <w:t xml:space="preserve">agricoles, pêche et élevage, </w:t>
      </w:r>
      <w:r w:rsidRPr="00616D0F">
        <w:rPr>
          <w:rFonts w:cs="Arial"/>
          <w:sz w:val="22"/>
        </w:rPr>
        <w:t xml:space="preserve">sécuritaires et sanitaires </w:t>
      </w:r>
      <w:r>
        <w:rPr>
          <w:rFonts w:cs="Arial"/>
          <w:sz w:val="22"/>
        </w:rPr>
        <w:t xml:space="preserve">avec les aspects liés aux VBG y compris EAS et le HS </w:t>
      </w:r>
      <w:r w:rsidRPr="00616D0F">
        <w:rPr>
          <w:rFonts w:cs="Arial"/>
          <w:sz w:val="22"/>
        </w:rPr>
        <w:t>et les impacts potentiels positifs et négatifs du projet sur les femmes</w:t>
      </w:r>
      <w:r w:rsidRPr="00F37B16">
        <w:rPr>
          <w:rFonts w:cs="Arial"/>
          <w:sz w:val="22"/>
        </w:rPr>
        <w:t xml:space="preserve">. </w:t>
      </w:r>
      <w:r w:rsidR="001C2F95" w:rsidRPr="00C05D6C">
        <w:rPr>
          <w:rFonts w:cs="Arial"/>
          <w:sz w:val="22"/>
        </w:rPr>
        <w:t xml:space="preserve"> </w:t>
      </w:r>
    </w:p>
    <w:p w14:paraId="28C80489" w14:textId="77777777" w:rsidR="001C2F95" w:rsidRPr="00C05D6C" w:rsidRDefault="001C2F95" w:rsidP="001C2F95">
      <w:pPr>
        <w:pStyle w:val="Paragraphedeliste"/>
        <w:tabs>
          <w:tab w:val="left" w:pos="426"/>
        </w:tabs>
        <w:ind w:left="0"/>
        <w:rPr>
          <w:rFonts w:cs="Arial"/>
          <w:sz w:val="22"/>
          <w:highlight w:val="cyan"/>
        </w:rPr>
      </w:pPr>
    </w:p>
    <w:p w14:paraId="1C62CF78" w14:textId="77777777" w:rsidR="001C2F95" w:rsidRPr="00C05D6C" w:rsidRDefault="001C2F95" w:rsidP="001C2F95">
      <w:pPr>
        <w:pStyle w:val="Titre2"/>
        <w:numPr>
          <w:ilvl w:val="2"/>
          <w:numId w:val="4"/>
        </w:numPr>
        <w:ind w:left="1560" w:hanging="709"/>
        <w:rPr>
          <w:rFonts w:cs="Arial"/>
          <w:i/>
          <w:sz w:val="22"/>
          <w:szCs w:val="22"/>
        </w:rPr>
      </w:pPr>
      <w:bookmarkStart w:id="727" w:name="_Toc70330488"/>
      <w:r w:rsidRPr="00C05D6C">
        <w:rPr>
          <w:rFonts w:cs="Arial"/>
          <w:i/>
          <w:sz w:val="22"/>
          <w:szCs w:val="22"/>
        </w:rPr>
        <w:t>Consultations réalisées</w:t>
      </w:r>
      <w:bookmarkEnd w:id="727"/>
      <w:r w:rsidRPr="00C05D6C">
        <w:rPr>
          <w:rFonts w:cs="Arial"/>
          <w:i/>
          <w:sz w:val="22"/>
          <w:szCs w:val="22"/>
        </w:rPr>
        <w:t xml:space="preserve"> </w:t>
      </w:r>
    </w:p>
    <w:p w14:paraId="15BDDDF4" w14:textId="77777777" w:rsidR="001C2F95" w:rsidRPr="00C05D6C" w:rsidRDefault="001C2F95" w:rsidP="001C2F95">
      <w:pPr>
        <w:rPr>
          <w:sz w:val="22"/>
          <w:highlight w:val="cyan"/>
        </w:rPr>
      </w:pPr>
    </w:p>
    <w:p w14:paraId="2FF88553" w14:textId="77777777" w:rsidR="001C2F95" w:rsidRPr="00C05D6C" w:rsidRDefault="001C2F95" w:rsidP="001C2F95">
      <w:pPr>
        <w:rPr>
          <w:rFonts w:cs="Arial"/>
          <w:sz w:val="22"/>
        </w:rPr>
      </w:pPr>
      <w:r>
        <w:rPr>
          <w:rFonts w:cs="Arial"/>
          <w:sz w:val="22"/>
        </w:rPr>
        <w:t>L</w:t>
      </w:r>
      <w:r w:rsidRPr="00C05D6C">
        <w:rPr>
          <w:rFonts w:cs="Arial"/>
          <w:sz w:val="22"/>
        </w:rPr>
        <w:t>e</w:t>
      </w:r>
      <w:r>
        <w:rPr>
          <w:rFonts w:cs="Arial"/>
          <w:sz w:val="22"/>
        </w:rPr>
        <w:t xml:space="preserve"> calendrier de</w:t>
      </w:r>
      <w:r w:rsidRPr="00C05D6C">
        <w:rPr>
          <w:rFonts w:cs="Arial"/>
          <w:sz w:val="22"/>
        </w:rPr>
        <w:t>s consultations du public tenu dans les Chefs-lieux des Provinces</w:t>
      </w:r>
      <w:r>
        <w:rPr>
          <w:rFonts w:cs="Arial"/>
          <w:sz w:val="22"/>
        </w:rPr>
        <w:t xml:space="preserve"> concernées par le PNDA est repris dans le tableau ci-dessous.</w:t>
      </w:r>
    </w:p>
    <w:p w14:paraId="6C1F9705" w14:textId="77777777" w:rsidR="001C2F95" w:rsidRDefault="001C2F95" w:rsidP="001C2F95">
      <w:pPr>
        <w:rPr>
          <w:sz w:val="22"/>
        </w:rPr>
      </w:pPr>
    </w:p>
    <w:p w14:paraId="12F17ACD" w14:textId="77777777" w:rsidR="001C2F95" w:rsidRDefault="001C2F95" w:rsidP="001C2F95">
      <w:pPr>
        <w:rPr>
          <w:rFonts w:cs="Arial"/>
          <w:sz w:val="22"/>
        </w:rPr>
      </w:pPr>
      <w:bookmarkStart w:id="728" w:name="_Toc70451679"/>
      <w:r w:rsidRPr="00BE2822">
        <w:rPr>
          <w:sz w:val="22"/>
        </w:rPr>
        <w:t>Ta</w:t>
      </w:r>
      <w:r>
        <w:rPr>
          <w:sz w:val="22"/>
        </w:rPr>
        <w:t>b</w:t>
      </w:r>
      <w:r w:rsidRPr="00BE2822">
        <w:rPr>
          <w:sz w:val="22"/>
        </w:rPr>
        <w:t xml:space="preserve">leau </w:t>
      </w:r>
      <w:r w:rsidRPr="00BE2822">
        <w:rPr>
          <w:sz w:val="22"/>
        </w:rPr>
        <w:fldChar w:fldCharType="begin"/>
      </w:r>
      <w:r w:rsidRPr="00BE2822">
        <w:rPr>
          <w:sz w:val="22"/>
        </w:rPr>
        <w:instrText xml:space="preserve"> SEQ Tableau \* ARABIC </w:instrText>
      </w:r>
      <w:r w:rsidRPr="00BE2822">
        <w:rPr>
          <w:sz w:val="22"/>
        </w:rPr>
        <w:fldChar w:fldCharType="separate"/>
      </w:r>
      <w:r w:rsidR="001260B3">
        <w:rPr>
          <w:noProof/>
          <w:sz w:val="22"/>
        </w:rPr>
        <w:t>33</w:t>
      </w:r>
      <w:r w:rsidRPr="00BE2822">
        <w:rPr>
          <w:sz w:val="22"/>
        </w:rPr>
        <w:fldChar w:fldCharType="end"/>
      </w:r>
      <w:r w:rsidRPr="00BE2822">
        <w:rPr>
          <w:rFonts w:cs="Arial"/>
          <w:sz w:val="22"/>
        </w:rPr>
        <w:t xml:space="preserve">. </w:t>
      </w:r>
      <w:r>
        <w:rPr>
          <w:rFonts w:cs="Arial"/>
          <w:sz w:val="22"/>
        </w:rPr>
        <w:t>C</w:t>
      </w:r>
      <w:r w:rsidRPr="005B21CA">
        <w:rPr>
          <w:rFonts w:cs="Arial"/>
          <w:sz w:val="22"/>
        </w:rPr>
        <w:t>alendrier</w:t>
      </w:r>
      <w:r>
        <w:rPr>
          <w:rFonts w:cs="Arial"/>
          <w:sz w:val="22"/>
        </w:rPr>
        <w:t xml:space="preserve"> des consultations du public</w:t>
      </w:r>
      <w:bookmarkEnd w:id="728"/>
    </w:p>
    <w:p w14:paraId="5500D82C" w14:textId="77777777" w:rsidR="001C2F95" w:rsidRPr="00C05D6C" w:rsidRDefault="001C2F95" w:rsidP="001C2F95">
      <w:pPr>
        <w:rPr>
          <w:rFonts w:cs="Arial"/>
          <w:sz w:val="22"/>
          <w:highlight w:val="cy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1515"/>
        <w:gridCol w:w="2757"/>
        <w:gridCol w:w="2703"/>
      </w:tblGrid>
      <w:tr w:rsidR="00BB0401" w:rsidRPr="00C05D6C" w14:paraId="6483BC39" w14:textId="77777777" w:rsidTr="00730A4A">
        <w:tc>
          <w:tcPr>
            <w:tcW w:w="1800" w:type="dxa"/>
            <w:shd w:val="clear" w:color="auto" w:fill="auto"/>
          </w:tcPr>
          <w:p w14:paraId="1C71F7B0" w14:textId="77777777" w:rsidR="001C2F95" w:rsidRPr="00730A4A" w:rsidRDefault="001C2F95" w:rsidP="00730A4A">
            <w:pPr>
              <w:jc w:val="center"/>
              <w:rPr>
                <w:rFonts w:cs="Arial"/>
                <w:sz w:val="22"/>
                <w:szCs w:val="20"/>
                <w:lang w:val="en-US"/>
              </w:rPr>
            </w:pPr>
            <w:r w:rsidRPr="00730A4A">
              <w:rPr>
                <w:rFonts w:cs="Arial"/>
                <w:sz w:val="22"/>
                <w:szCs w:val="20"/>
                <w:lang w:val="en-US"/>
              </w:rPr>
              <w:t>Ville</w:t>
            </w:r>
          </w:p>
        </w:tc>
        <w:tc>
          <w:tcPr>
            <w:tcW w:w="1515" w:type="dxa"/>
            <w:shd w:val="clear" w:color="auto" w:fill="auto"/>
          </w:tcPr>
          <w:p w14:paraId="5B37DD66" w14:textId="77777777" w:rsidR="001C2F95" w:rsidRPr="00730A4A" w:rsidRDefault="001C2F95" w:rsidP="00730A4A">
            <w:pPr>
              <w:jc w:val="center"/>
              <w:rPr>
                <w:rFonts w:cs="Arial"/>
                <w:sz w:val="22"/>
                <w:szCs w:val="20"/>
                <w:lang w:val="en-US"/>
              </w:rPr>
            </w:pPr>
            <w:r w:rsidRPr="00730A4A">
              <w:rPr>
                <w:rFonts w:cs="Arial"/>
                <w:sz w:val="22"/>
                <w:szCs w:val="20"/>
                <w:lang w:val="en-US"/>
              </w:rPr>
              <w:t>Date</w:t>
            </w:r>
          </w:p>
        </w:tc>
        <w:tc>
          <w:tcPr>
            <w:tcW w:w="2757" w:type="dxa"/>
            <w:shd w:val="clear" w:color="auto" w:fill="auto"/>
          </w:tcPr>
          <w:p w14:paraId="09357051" w14:textId="77777777" w:rsidR="001C2F95" w:rsidRPr="00730A4A" w:rsidRDefault="001C2F95" w:rsidP="00730A4A">
            <w:pPr>
              <w:jc w:val="center"/>
              <w:rPr>
                <w:rFonts w:cs="Arial"/>
                <w:sz w:val="22"/>
                <w:szCs w:val="20"/>
                <w:lang w:val="en-US"/>
              </w:rPr>
            </w:pPr>
            <w:r w:rsidRPr="00730A4A">
              <w:rPr>
                <w:rFonts w:cs="Arial"/>
                <w:sz w:val="22"/>
                <w:szCs w:val="20"/>
                <w:lang w:val="en-US"/>
              </w:rPr>
              <w:t>Nombre de participants</w:t>
            </w:r>
          </w:p>
        </w:tc>
        <w:tc>
          <w:tcPr>
            <w:tcW w:w="2703" w:type="dxa"/>
            <w:shd w:val="clear" w:color="auto" w:fill="auto"/>
          </w:tcPr>
          <w:p w14:paraId="62229A3B" w14:textId="77777777" w:rsidR="001C2F95" w:rsidRPr="00730A4A" w:rsidRDefault="001C2F95" w:rsidP="00730A4A">
            <w:pPr>
              <w:jc w:val="center"/>
              <w:rPr>
                <w:rFonts w:cs="Arial"/>
                <w:sz w:val="22"/>
                <w:szCs w:val="20"/>
                <w:lang w:val="en-US"/>
              </w:rPr>
            </w:pPr>
            <w:r w:rsidRPr="00730A4A">
              <w:rPr>
                <w:rFonts w:cs="Arial"/>
                <w:sz w:val="22"/>
                <w:szCs w:val="20"/>
                <w:lang w:val="en-US"/>
              </w:rPr>
              <w:t>Communiqué radiophonique diffusé</w:t>
            </w:r>
          </w:p>
        </w:tc>
      </w:tr>
      <w:tr w:rsidR="00BB0401" w:rsidRPr="00C05D6C" w14:paraId="03BA8CA8" w14:textId="77777777" w:rsidTr="00730A4A">
        <w:tc>
          <w:tcPr>
            <w:tcW w:w="1800" w:type="dxa"/>
            <w:shd w:val="clear" w:color="auto" w:fill="auto"/>
          </w:tcPr>
          <w:p w14:paraId="2CD8BB0A" w14:textId="77777777" w:rsidR="001C2F95" w:rsidRPr="00730A4A" w:rsidRDefault="001C2F95" w:rsidP="00971FD2">
            <w:pPr>
              <w:rPr>
                <w:rFonts w:cs="Arial"/>
                <w:sz w:val="22"/>
                <w:szCs w:val="20"/>
                <w:lang w:val="en-US"/>
              </w:rPr>
            </w:pPr>
            <w:r w:rsidRPr="00730A4A">
              <w:rPr>
                <w:rFonts w:cs="Arial"/>
                <w:sz w:val="22"/>
                <w:szCs w:val="20"/>
                <w:lang w:val="en-US"/>
              </w:rPr>
              <w:t xml:space="preserve">Matadi </w:t>
            </w:r>
          </w:p>
        </w:tc>
        <w:tc>
          <w:tcPr>
            <w:tcW w:w="1515" w:type="dxa"/>
            <w:shd w:val="clear" w:color="auto" w:fill="auto"/>
          </w:tcPr>
          <w:p w14:paraId="118C2A6E" w14:textId="77777777" w:rsidR="001C2F95" w:rsidRPr="00730A4A" w:rsidRDefault="001C2F95" w:rsidP="00971FD2">
            <w:pPr>
              <w:rPr>
                <w:rFonts w:cs="Arial"/>
                <w:sz w:val="22"/>
                <w:szCs w:val="20"/>
                <w:lang w:val="en-US"/>
              </w:rPr>
            </w:pPr>
            <w:r w:rsidRPr="00730A4A">
              <w:rPr>
                <w:rFonts w:cs="Arial"/>
                <w:sz w:val="22"/>
                <w:szCs w:val="20"/>
                <w:lang w:val="en-US"/>
              </w:rPr>
              <w:t>02 juin 2020</w:t>
            </w:r>
          </w:p>
        </w:tc>
        <w:tc>
          <w:tcPr>
            <w:tcW w:w="2757" w:type="dxa"/>
            <w:shd w:val="clear" w:color="auto" w:fill="auto"/>
          </w:tcPr>
          <w:p w14:paraId="49446F7D" w14:textId="77777777" w:rsidR="001C2F95" w:rsidRPr="00730A4A" w:rsidRDefault="001C2F95" w:rsidP="00971FD2">
            <w:pPr>
              <w:rPr>
                <w:rFonts w:cs="Arial"/>
                <w:sz w:val="22"/>
                <w:szCs w:val="20"/>
                <w:lang w:val="en-US"/>
              </w:rPr>
            </w:pPr>
            <w:r w:rsidRPr="00730A4A">
              <w:rPr>
                <w:rFonts w:cs="Arial"/>
                <w:sz w:val="22"/>
                <w:szCs w:val="20"/>
                <w:lang w:val="en-US"/>
              </w:rPr>
              <w:t>20 personnes</w:t>
            </w:r>
          </w:p>
        </w:tc>
        <w:tc>
          <w:tcPr>
            <w:tcW w:w="2703" w:type="dxa"/>
            <w:shd w:val="clear" w:color="auto" w:fill="auto"/>
          </w:tcPr>
          <w:p w14:paraId="6175EAB8" w14:textId="77777777" w:rsidR="001C2F95" w:rsidRPr="00730A4A" w:rsidRDefault="001C2F95" w:rsidP="00971FD2">
            <w:pPr>
              <w:rPr>
                <w:rFonts w:cs="Arial"/>
                <w:sz w:val="22"/>
                <w:szCs w:val="20"/>
              </w:rPr>
            </w:pPr>
            <w:r w:rsidRPr="00730A4A">
              <w:rPr>
                <w:rFonts w:cs="Arial"/>
                <w:sz w:val="22"/>
                <w:szCs w:val="20"/>
              </w:rPr>
              <w:t>Radio Télé Matadi (RTM), Agence Congolaise de Presse (ACP)</w:t>
            </w:r>
          </w:p>
        </w:tc>
      </w:tr>
      <w:tr w:rsidR="00BB0401" w:rsidRPr="00C05D6C" w14:paraId="03F77B99" w14:textId="77777777" w:rsidTr="00730A4A">
        <w:tc>
          <w:tcPr>
            <w:tcW w:w="1800" w:type="dxa"/>
            <w:shd w:val="clear" w:color="auto" w:fill="auto"/>
          </w:tcPr>
          <w:p w14:paraId="26B2CD85" w14:textId="77777777" w:rsidR="001C2F95" w:rsidRPr="00730A4A" w:rsidRDefault="001C2F95" w:rsidP="00971FD2">
            <w:pPr>
              <w:rPr>
                <w:rFonts w:cs="Arial"/>
                <w:sz w:val="22"/>
                <w:szCs w:val="20"/>
                <w:lang w:val="en-US"/>
              </w:rPr>
            </w:pPr>
            <w:r w:rsidRPr="00730A4A">
              <w:rPr>
                <w:rFonts w:cs="Arial"/>
                <w:sz w:val="22"/>
                <w:szCs w:val="20"/>
                <w:lang w:val="en-US"/>
              </w:rPr>
              <w:t>Kananga</w:t>
            </w:r>
          </w:p>
        </w:tc>
        <w:tc>
          <w:tcPr>
            <w:tcW w:w="1515" w:type="dxa"/>
            <w:shd w:val="clear" w:color="auto" w:fill="auto"/>
          </w:tcPr>
          <w:p w14:paraId="34831B8B" w14:textId="77777777" w:rsidR="001C2F95" w:rsidRPr="00730A4A" w:rsidRDefault="001C2F95" w:rsidP="00971FD2">
            <w:pPr>
              <w:rPr>
                <w:rFonts w:cs="Arial"/>
                <w:sz w:val="22"/>
                <w:szCs w:val="20"/>
                <w:lang w:val="en-US"/>
              </w:rPr>
            </w:pPr>
            <w:r w:rsidRPr="00730A4A">
              <w:rPr>
                <w:rFonts w:cs="Arial"/>
                <w:sz w:val="22"/>
                <w:szCs w:val="20"/>
                <w:lang w:val="en-US"/>
              </w:rPr>
              <w:t>03 juin 2020</w:t>
            </w:r>
          </w:p>
        </w:tc>
        <w:tc>
          <w:tcPr>
            <w:tcW w:w="2757" w:type="dxa"/>
            <w:shd w:val="clear" w:color="auto" w:fill="auto"/>
          </w:tcPr>
          <w:p w14:paraId="24C46E20" w14:textId="77777777" w:rsidR="001C2F95" w:rsidRPr="00730A4A" w:rsidRDefault="001C2F95" w:rsidP="00971FD2">
            <w:pPr>
              <w:rPr>
                <w:rFonts w:cs="Arial"/>
                <w:sz w:val="22"/>
                <w:szCs w:val="20"/>
                <w:lang w:val="en-US"/>
              </w:rPr>
            </w:pPr>
            <w:r w:rsidRPr="00730A4A">
              <w:rPr>
                <w:rFonts w:cs="Arial"/>
                <w:sz w:val="22"/>
                <w:szCs w:val="20"/>
                <w:lang w:val="en-US"/>
              </w:rPr>
              <w:t>18 personnes</w:t>
            </w:r>
          </w:p>
        </w:tc>
        <w:tc>
          <w:tcPr>
            <w:tcW w:w="2703" w:type="dxa"/>
            <w:shd w:val="clear" w:color="auto" w:fill="auto"/>
          </w:tcPr>
          <w:p w14:paraId="1EC1982B" w14:textId="77777777" w:rsidR="001C2F95" w:rsidRPr="00730A4A" w:rsidRDefault="001C2F95" w:rsidP="00971FD2">
            <w:pPr>
              <w:rPr>
                <w:rFonts w:cs="Arial"/>
                <w:sz w:val="22"/>
                <w:szCs w:val="20"/>
                <w:lang w:val="en-US"/>
              </w:rPr>
            </w:pPr>
            <w:r w:rsidRPr="00730A4A">
              <w:rPr>
                <w:rFonts w:cs="Arial"/>
                <w:sz w:val="22"/>
                <w:szCs w:val="20"/>
                <w:lang w:val="en-US"/>
              </w:rPr>
              <w:t>Radio Kananga 24</w:t>
            </w:r>
          </w:p>
        </w:tc>
      </w:tr>
      <w:tr w:rsidR="00BB0401" w:rsidRPr="00C05D6C" w14:paraId="6C4DE011" w14:textId="77777777" w:rsidTr="00730A4A">
        <w:tc>
          <w:tcPr>
            <w:tcW w:w="1800" w:type="dxa"/>
            <w:shd w:val="clear" w:color="auto" w:fill="auto"/>
          </w:tcPr>
          <w:p w14:paraId="484D451E" w14:textId="77777777" w:rsidR="001C2F95" w:rsidRPr="00730A4A" w:rsidRDefault="001C2F95" w:rsidP="00971FD2">
            <w:pPr>
              <w:rPr>
                <w:rFonts w:cs="Arial"/>
                <w:sz w:val="22"/>
                <w:szCs w:val="20"/>
                <w:lang w:val="en-US"/>
              </w:rPr>
            </w:pPr>
            <w:r w:rsidRPr="00730A4A">
              <w:rPr>
                <w:rFonts w:cs="Arial"/>
                <w:sz w:val="22"/>
                <w:szCs w:val="20"/>
                <w:lang w:val="en-US"/>
              </w:rPr>
              <w:t>Tshikapa</w:t>
            </w:r>
          </w:p>
        </w:tc>
        <w:tc>
          <w:tcPr>
            <w:tcW w:w="1515" w:type="dxa"/>
            <w:shd w:val="clear" w:color="auto" w:fill="auto"/>
          </w:tcPr>
          <w:p w14:paraId="57617400" w14:textId="77777777" w:rsidR="001C2F95" w:rsidRPr="00730A4A" w:rsidRDefault="001C2F95" w:rsidP="00971FD2">
            <w:pPr>
              <w:rPr>
                <w:rFonts w:cs="Arial"/>
                <w:sz w:val="22"/>
                <w:szCs w:val="20"/>
                <w:lang w:val="en-US"/>
              </w:rPr>
            </w:pPr>
            <w:r w:rsidRPr="00730A4A">
              <w:rPr>
                <w:rFonts w:cs="Arial"/>
                <w:sz w:val="22"/>
                <w:szCs w:val="20"/>
                <w:lang w:val="en-US"/>
              </w:rPr>
              <w:t>10 juin 2020</w:t>
            </w:r>
          </w:p>
        </w:tc>
        <w:tc>
          <w:tcPr>
            <w:tcW w:w="2757" w:type="dxa"/>
            <w:shd w:val="clear" w:color="auto" w:fill="auto"/>
          </w:tcPr>
          <w:p w14:paraId="50AC179D" w14:textId="77777777" w:rsidR="001C2F95" w:rsidRPr="00730A4A" w:rsidRDefault="001C2F95" w:rsidP="00971FD2">
            <w:pPr>
              <w:rPr>
                <w:rFonts w:cs="Arial"/>
                <w:sz w:val="22"/>
                <w:szCs w:val="20"/>
                <w:lang w:val="en-US"/>
              </w:rPr>
            </w:pPr>
            <w:r w:rsidRPr="00730A4A">
              <w:rPr>
                <w:rFonts w:cs="Arial"/>
                <w:sz w:val="22"/>
                <w:szCs w:val="20"/>
                <w:lang w:val="en-US"/>
              </w:rPr>
              <w:t>19 personnes</w:t>
            </w:r>
          </w:p>
        </w:tc>
        <w:tc>
          <w:tcPr>
            <w:tcW w:w="2703" w:type="dxa"/>
            <w:shd w:val="clear" w:color="auto" w:fill="auto"/>
          </w:tcPr>
          <w:p w14:paraId="7512C649" w14:textId="77777777" w:rsidR="001C2F95" w:rsidRPr="00730A4A" w:rsidRDefault="001C2F95" w:rsidP="00971FD2">
            <w:pPr>
              <w:rPr>
                <w:rFonts w:cs="Arial"/>
                <w:sz w:val="22"/>
                <w:szCs w:val="20"/>
                <w:lang w:val="en-US"/>
              </w:rPr>
            </w:pPr>
            <w:r w:rsidRPr="00730A4A">
              <w:rPr>
                <w:rFonts w:cs="Arial"/>
                <w:sz w:val="22"/>
                <w:szCs w:val="20"/>
                <w:lang w:val="en-US"/>
              </w:rPr>
              <w:t>RTNC / Tshikapa</w:t>
            </w:r>
          </w:p>
        </w:tc>
      </w:tr>
      <w:tr w:rsidR="00BB0401" w:rsidRPr="00C05D6C" w14:paraId="50515675" w14:textId="77777777" w:rsidTr="00730A4A">
        <w:tc>
          <w:tcPr>
            <w:tcW w:w="1800" w:type="dxa"/>
            <w:shd w:val="clear" w:color="auto" w:fill="auto"/>
          </w:tcPr>
          <w:p w14:paraId="0299EEA1" w14:textId="77777777" w:rsidR="001C2F95" w:rsidRPr="00730A4A" w:rsidRDefault="001C2F95" w:rsidP="00971FD2">
            <w:pPr>
              <w:rPr>
                <w:rFonts w:cs="Arial"/>
                <w:sz w:val="22"/>
                <w:szCs w:val="20"/>
                <w:lang w:val="en-US"/>
              </w:rPr>
            </w:pPr>
            <w:r w:rsidRPr="00730A4A">
              <w:rPr>
                <w:rFonts w:cs="Arial"/>
                <w:sz w:val="22"/>
                <w:szCs w:val="20"/>
                <w:lang w:val="en-US"/>
              </w:rPr>
              <w:t>Bandundu - Ville</w:t>
            </w:r>
          </w:p>
        </w:tc>
        <w:tc>
          <w:tcPr>
            <w:tcW w:w="1515" w:type="dxa"/>
            <w:shd w:val="clear" w:color="auto" w:fill="auto"/>
          </w:tcPr>
          <w:p w14:paraId="6664531A" w14:textId="77777777" w:rsidR="001C2F95" w:rsidRPr="00730A4A" w:rsidRDefault="001C2F95" w:rsidP="00971FD2">
            <w:pPr>
              <w:rPr>
                <w:rFonts w:cs="Arial"/>
                <w:sz w:val="22"/>
                <w:szCs w:val="20"/>
                <w:lang w:val="en-US"/>
              </w:rPr>
            </w:pPr>
            <w:r w:rsidRPr="00730A4A">
              <w:rPr>
                <w:rFonts w:cs="Arial"/>
                <w:sz w:val="22"/>
                <w:szCs w:val="20"/>
                <w:lang w:val="en-US"/>
              </w:rPr>
              <w:t>10 juin 2020</w:t>
            </w:r>
          </w:p>
        </w:tc>
        <w:tc>
          <w:tcPr>
            <w:tcW w:w="2757" w:type="dxa"/>
            <w:shd w:val="clear" w:color="auto" w:fill="auto"/>
          </w:tcPr>
          <w:p w14:paraId="31D50AA1" w14:textId="77777777" w:rsidR="001C2F95" w:rsidRPr="00730A4A" w:rsidRDefault="001C2F95" w:rsidP="00971FD2">
            <w:pPr>
              <w:rPr>
                <w:rFonts w:cs="Arial"/>
                <w:sz w:val="22"/>
                <w:szCs w:val="20"/>
                <w:lang w:val="en-US"/>
              </w:rPr>
            </w:pPr>
            <w:r w:rsidRPr="00730A4A">
              <w:rPr>
                <w:rFonts w:cs="Arial"/>
                <w:sz w:val="22"/>
                <w:szCs w:val="20"/>
                <w:lang w:val="en-US"/>
              </w:rPr>
              <w:t>19 personnes</w:t>
            </w:r>
          </w:p>
        </w:tc>
        <w:tc>
          <w:tcPr>
            <w:tcW w:w="2703" w:type="dxa"/>
            <w:shd w:val="clear" w:color="auto" w:fill="auto"/>
          </w:tcPr>
          <w:p w14:paraId="55058878" w14:textId="77777777" w:rsidR="001C2F95" w:rsidRPr="00730A4A" w:rsidRDefault="001C2F95" w:rsidP="00971FD2">
            <w:pPr>
              <w:rPr>
                <w:rFonts w:cs="Arial"/>
                <w:sz w:val="22"/>
                <w:szCs w:val="20"/>
                <w:lang w:val="en-US"/>
              </w:rPr>
            </w:pPr>
            <w:r w:rsidRPr="00730A4A">
              <w:rPr>
                <w:rFonts w:cs="Arial"/>
                <w:sz w:val="22"/>
                <w:szCs w:val="20"/>
                <w:lang w:val="en-US"/>
              </w:rPr>
              <w:t>RTNC / Bandundu-Ville</w:t>
            </w:r>
          </w:p>
        </w:tc>
      </w:tr>
      <w:tr w:rsidR="00BB0401" w:rsidRPr="00C05D6C" w14:paraId="478CA384" w14:textId="77777777" w:rsidTr="00730A4A">
        <w:tc>
          <w:tcPr>
            <w:tcW w:w="1800" w:type="dxa"/>
            <w:shd w:val="clear" w:color="auto" w:fill="auto"/>
          </w:tcPr>
          <w:p w14:paraId="5B6EB1CD" w14:textId="77777777" w:rsidR="001C2F95" w:rsidRPr="00730A4A" w:rsidRDefault="001C2F95" w:rsidP="00971FD2">
            <w:pPr>
              <w:rPr>
                <w:rFonts w:cs="Arial"/>
                <w:sz w:val="22"/>
                <w:szCs w:val="20"/>
                <w:lang w:val="en-US"/>
              </w:rPr>
            </w:pPr>
            <w:r w:rsidRPr="00730A4A">
              <w:rPr>
                <w:rFonts w:cs="Arial"/>
                <w:sz w:val="22"/>
                <w:szCs w:val="20"/>
                <w:lang w:val="en-US"/>
              </w:rPr>
              <w:t>Goma</w:t>
            </w:r>
          </w:p>
        </w:tc>
        <w:tc>
          <w:tcPr>
            <w:tcW w:w="1515" w:type="dxa"/>
            <w:shd w:val="clear" w:color="auto" w:fill="auto"/>
          </w:tcPr>
          <w:p w14:paraId="40A7E382" w14:textId="77777777" w:rsidR="001C2F95" w:rsidRPr="00730A4A" w:rsidRDefault="001C2F95" w:rsidP="00971FD2">
            <w:pPr>
              <w:rPr>
                <w:rFonts w:cs="Arial"/>
                <w:sz w:val="22"/>
                <w:szCs w:val="20"/>
                <w:lang w:val="en-US"/>
              </w:rPr>
            </w:pPr>
            <w:r w:rsidRPr="00730A4A">
              <w:rPr>
                <w:rFonts w:cs="Arial"/>
                <w:sz w:val="22"/>
                <w:szCs w:val="20"/>
                <w:lang w:val="en-US"/>
              </w:rPr>
              <w:t>17 juin 2020</w:t>
            </w:r>
          </w:p>
        </w:tc>
        <w:tc>
          <w:tcPr>
            <w:tcW w:w="2757" w:type="dxa"/>
            <w:shd w:val="clear" w:color="auto" w:fill="auto"/>
          </w:tcPr>
          <w:p w14:paraId="03CFCA7F" w14:textId="77777777" w:rsidR="001C2F95" w:rsidRPr="00730A4A" w:rsidRDefault="001C2F95" w:rsidP="00971FD2">
            <w:pPr>
              <w:rPr>
                <w:rFonts w:cs="Arial"/>
                <w:sz w:val="22"/>
                <w:szCs w:val="20"/>
                <w:lang w:val="en-US"/>
              </w:rPr>
            </w:pPr>
            <w:r w:rsidRPr="00730A4A">
              <w:rPr>
                <w:rFonts w:cs="Arial"/>
                <w:sz w:val="22"/>
                <w:szCs w:val="20"/>
                <w:lang w:val="en-US"/>
              </w:rPr>
              <w:t>22 participants</w:t>
            </w:r>
          </w:p>
        </w:tc>
        <w:tc>
          <w:tcPr>
            <w:tcW w:w="2703" w:type="dxa"/>
            <w:shd w:val="clear" w:color="auto" w:fill="auto"/>
          </w:tcPr>
          <w:p w14:paraId="55981C90" w14:textId="77777777" w:rsidR="001C2F95" w:rsidRPr="00730A4A" w:rsidRDefault="001C2F95" w:rsidP="00971FD2">
            <w:pPr>
              <w:rPr>
                <w:rFonts w:cs="Arial"/>
                <w:sz w:val="22"/>
                <w:szCs w:val="20"/>
                <w:lang w:val="en-US"/>
              </w:rPr>
            </w:pPr>
            <w:r w:rsidRPr="00730A4A">
              <w:rPr>
                <w:rFonts w:cs="Arial"/>
                <w:sz w:val="22"/>
                <w:szCs w:val="20"/>
                <w:lang w:val="en-US"/>
              </w:rPr>
              <w:t>RTNC / Goma et RTEM</w:t>
            </w:r>
          </w:p>
        </w:tc>
      </w:tr>
      <w:tr w:rsidR="001C2F95" w:rsidRPr="00C05D6C" w14:paraId="5912C27A" w14:textId="77777777" w:rsidTr="00730A4A">
        <w:tc>
          <w:tcPr>
            <w:tcW w:w="3315" w:type="dxa"/>
            <w:gridSpan w:val="2"/>
            <w:shd w:val="clear" w:color="auto" w:fill="auto"/>
          </w:tcPr>
          <w:p w14:paraId="7969EBAC" w14:textId="77777777" w:rsidR="001C2F95" w:rsidRPr="00730A4A" w:rsidRDefault="001C2F95" w:rsidP="00730A4A">
            <w:pPr>
              <w:jc w:val="center"/>
              <w:rPr>
                <w:rFonts w:cs="Arial"/>
                <w:sz w:val="22"/>
                <w:szCs w:val="20"/>
                <w:lang w:val="en-US"/>
              </w:rPr>
            </w:pPr>
            <w:r w:rsidRPr="00730A4A">
              <w:rPr>
                <w:rFonts w:cs="Arial"/>
                <w:sz w:val="22"/>
                <w:szCs w:val="20"/>
                <w:lang w:val="en-US"/>
              </w:rPr>
              <w:t>Total</w:t>
            </w:r>
          </w:p>
        </w:tc>
        <w:tc>
          <w:tcPr>
            <w:tcW w:w="2757" w:type="dxa"/>
            <w:shd w:val="clear" w:color="auto" w:fill="auto"/>
          </w:tcPr>
          <w:p w14:paraId="6F8314D3" w14:textId="77777777" w:rsidR="001C2F95" w:rsidRPr="00730A4A" w:rsidRDefault="001C2F95" w:rsidP="00971FD2">
            <w:pPr>
              <w:rPr>
                <w:rFonts w:cs="Arial"/>
                <w:sz w:val="22"/>
                <w:szCs w:val="20"/>
                <w:lang w:val="en-US"/>
              </w:rPr>
            </w:pPr>
            <w:r w:rsidRPr="00730A4A">
              <w:rPr>
                <w:rFonts w:cs="Arial"/>
                <w:sz w:val="22"/>
                <w:szCs w:val="20"/>
                <w:lang w:val="en-US"/>
              </w:rPr>
              <w:t>98 participants</w:t>
            </w:r>
          </w:p>
        </w:tc>
        <w:tc>
          <w:tcPr>
            <w:tcW w:w="2703" w:type="dxa"/>
            <w:shd w:val="clear" w:color="auto" w:fill="auto"/>
          </w:tcPr>
          <w:p w14:paraId="12C2DFDC" w14:textId="77777777" w:rsidR="001C2F95" w:rsidRPr="00730A4A" w:rsidRDefault="001C2F95" w:rsidP="00971FD2">
            <w:pPr>
              <w:rPr>
                <w:rFonts w:cs="Arial"/>
                <w:sz w:val="22"/>
                <w:szCs w:val="20"/>
                <w:lang w:val="en-US"/>
              </w:rPr>
            </w:pPr>
          </w:p>
        </w:tc>
      </w:tr>
    </w:tbl>
    <w:p w14:paraId="3FBBAE11" w14:textId="77777777" w:rsidR="001C2F95" w:rsidRDefault="001C2F95" w:rsidP="001C2F95">
      <w:pPr>
        <w:rPr>
          <w:rFonts w:cs="Arial"/>
          <w:sz w:val="22"/>
          <w:highlight w:val="cyan"/>
        </w:rPr>
      </w:pPr>
    </w:p>
    <w:p w14:paraId="1E11A3A9" w14:textId="77777777" w:rsidR="00E75C44" w:rsidRPr="00E451D3" w:rsidRDefault="00E75C44" w:rsidP="00E451D3">
      <w:pPr>
        <w:ind w:left="567" w:hanging="567"/>
        <w:rPr>
          <w:rFonts w:cs="Arial"/>
          <w:sz w:val="22"/>
        </w:rPr>
      </w:pPr>
      <w:r w:rsidRPr="00E451D3">
        <w:rPr>
          <w:rFonts w:cs="Arial"/>
          <w:sz w:val="22"/>
        </w:rPr>
        <w:t>N.B :</w:t>
      </w:r>
      <w:r w:rsidR="00E451D3">
        <w:rPr>
          <w:rFonts w:cs="Arial"/>
          <w:sz w:val="22"/>
        </w:rPr>
        <w:t xml:space="preserve"> L</w:t>
      </w:r>
      <w:r w:rsidRPr="00E451D3">
        <w:rPr>
          <w:rFonts w:cs="Arial"/>
          <w:sz w:val="22"/>
        </w:rPr>
        <w:t>es consultations du public ont été menées pendant la période</w:t>
      </w:r>
      <w:r>
        <w:rPr>
          <w:rFonts w:cs="Arial"/>
          <w:sz w:val="22"/>
        </w:rPr>
        <w:t xml:space="preserve"> de confinement </w:t>
      </w:r>
      <w:r w:rsidR="00E451D3">
        <w:rPr>
          <w:rFonts w:cs="Arial"/>
          <w:sz w:val="22"/>
        </w:rPr>
        <w:t>due à</w:t>
      </w:r>
      <w:r>
        <w:rPr>
          <w:rFonts w:cs="Arial"/>
          <w:sz w:val="22"/>
        </w:rPr>
        <w:t xml:space="preserve"> la situation de COVID-19 </w:t>
      </w:r>
      <w:r w:rsidR="00E451D3">
        <w:rPr>
          <w:rFonts w:cs="Arial"/>
          <w:sz w:val="22"/>
        </w:rPr>
        <w:t xml:space="preserve">et ce, </w:t>
      </w:r>
      <w:r>
        <w:rPr>
          <w:rFonts w:cs="Arial"/>
          <w:sz w:val="22"/>
        </w:rPr>
        <w:t xml:space="preserve">sur toute l’étendue de la République </w:t>
      </w:r>
      <w:r w:rsidR="00E451D3">
        <w:rPr>
          <w:rFonts w:cs="Arial"/>
          <w:sz w:val="22"/>
        </w:rPr>
        <w:t>Démocratique du Congo</w:t>
      </w:r>
      <w:r>
        <w:rPr>
          <w:rFonts w:cs="Arial"/>
          <w:sz w:val="22"/>
        </w:rPr>
        <w:t>. Le</w:t>
      </w:r>
      <w:r w:rsidR="00E451D3">
        <w:rPr>
          <w:rFonts w:cs="Arial"/>
          <w:sz w:val="22"/>
        </w:rPr>
        <w:t>s</w:t>
      </w:r>
      <w:r>
        <w:rPr>
          <w:rFonts w:cs="Arial"/>
          <w:sz w:val="22"/>
        </w:rPr>
        <w:t xml:space="preserve"> déplacement</w:t>
      </w:r>
      <w:r w:rsidR="00E451D3">
        <w:rPr>
          <w:rFonts w:cs="Arial"/>
          <w:sz w:val="22"/>
        </w:rPr>
        <w:t>s</w:t>
      </w:r>
      <w:r>
        <w:rPr>
          <w:rFonts w:cs="Arial"/>
          <w:sz w:val="22"/>
        </w:rPr>
        <w:t xml:space="preserve"> des personnes </w:t>
      </w:r>
      <w:r w:rsidR="00E451D3">
        <w:rPr>
          <w:rFonts w:cs="Arial"/>
          <w:sz w:val="22"/>
        </w:rPr>
        <w:t xml:space="preserve">à l’intérieur du pays </w:t>
      </w:r>
      <w:r>
        <w:rPr>
          <w:rFonts w:cs="Arial"/>
          <w:sz w:val="22"/>
        </w:rPr>
        <w:t>étai</w:t>
      </w:r>
      <w:r w:rsidR="00E451D3">
        <w:rPr>
          <w:rFonts w:cs="Arial"/>
          <w:sz w:val="22"/>
        </w:rPr>
        <w:t>en</w:t>
      </w:r>
      <w:r>
        <w:rPr>
          <w:rFonts w:cs="Arial"/>
          <w:sz w:val="22"/>
        </w:rPr>
        <w:t>t interdit</w:t>
      </w:r>
      <w:r w:rsidR="00E451D3">
        <w:rPr>
          <w:rFonts w:cs="Arial"/>
          <w:sz w:val="22"/>
        </w:rPr>
        <w:t>s</w:t>
      </w:r>
      <w:r>
        <w:rPr>
          <w:rFonts w:cs="Arial"/>
          <w:sz w:val="22"/>
        </w:rPr>
        <w:t xml:space="preserve"> et le nombre des participants dans </w:t>
      </w:r>
      <w:r w:rsidR="00E451D3">
        <w:rPr>
          <w:rFonts w:cs="Arial"/>
          <w:sz w:val="22"/>
        </w:rPr>
        <w:t>c</w:t>
      </w:r>
      <w:r>
        <w:rPr>
          <w:rFonts w:cs="Arial"/>
          <w:sz w:val="22"/>
        </w:rPr>
        <w:t>es réunions était très limité et réduit à 20 personnes</w:t>
      </w:r>
      <w:r w:rsidR="00E451D3">
        <w:rPr>
          <w:rFonts w:cs="Arial"/>
          <w:sz w:val="22"/>
        </w:rPr>
        <w:t xml:space="preserve"> suivant les instructions du Gouvernement</w:t>
      </w:r>
      <w:r>
        <w:rPr>
          <w:rFonts w:cs="Arial"/>
          <w:sz w:val="22"/>
        </w:rPr>
        <w:t xml:space="preserve">. Il </w:t>
      </w:r>
      <w:r w:rsidR="002F3114">
        <w:rPr>
          <w:rFonts w:cs="Arial"/>
          <w:sz w:val="22"/>
        </w:rPr>
        <w:t>n’</w:t>
      </w:r>
      <w:r>
        <w:rPr>
          <w:rFonts w:cs="Arial"/>
          <w:sz w:val="22"/>
        </w:rPr>
        <w:t xml:space="preserve">était </w:t>
      </w:r>
      <w:r w:rsidR="002F3114">
        <w:rPr>
          <w:rFonts w:cs="Arial"/>
          <w:sz w:val="22"/>
        </w:rPr>
        <w:t xml:space="preserve">pas possible </w:t>
      </w:r>
      <w:r>
        <w:rPr>
          <w:rFonts w:cs="Arial"/>
          <w:sz w:val="22"/>
        </w:rPr>
        <w:t xml:space="preserve">d’organiser des réunions spécifiques avec les femmes. Toutefois, quelques femmes représentantes des organisations féminines paysannes ont participé </w:t>
      </w:r>
      <w:r w:rsidR="002F3114">
        <w:rPr>
          <w:rFonts w:cs="Arial"/>
          <w:sz w:val="22"/>
        </w:rPr>
        <w:t xml:space="preserve">aux consultations du public restreintes tenues dans les chefs-lieux des cinq (5) Provinces concernées par le PNDA et ce, </w:t>
      </w:r>
      <w:r>
        <w:rPr>
          <w:rFonts w:cs="Arial"/>
          <w:sz w:val="22"/>
        </w:rPr>
        <w:t xml:space="preserve"> avec</w:t>
      </w:r>
      <w:r w:rsidR="004668D0">
        <w:rPr>
          <w:rFonts w:cs="Arial"/>
          <w:sz w:val="22"/>
        </w:rPr>
        <w:t xml:space="preserve"> les </w:t>
      </w:r>
      <w:r w:rsidR="002F3114">
        <w:rPr>
          <w:rFonts w:cs="Arial"/>
          <w:sz w:val="22"/>
        </w:rPr>
        <w:t>différentes parties prenantes au Projet</w:t>
      </w:r>
      <w:r w:rsidR="004668D0">
        <w:rPr>
          <w:rFonts w:cs="Arial"/>
          <w:sz w:val="22"/>
        </w:rPr>
        <w:t>.</w:t>
      </w:r>
    </w:p>
    <w:p w14:paraId="25C049F0" w14:textId="77777777" w:rsidR="00E75C44" w:rsidRPr="00C05D6C" w:rsidRDefault="00E75C44" w:rsidP="001C2F95">
      <w:pPr>
        <w:rPr>
          <w:rFonts w:cs="Arial"/>
          <w:sz w:val="22"/>
          <w:highlight w:val="cyan"/>
        </w:rPr>
      </w:pPr>
    </w:p>
    <w:p w14:paraId="5CE130DC" w14:textId="77777777" w:rsidR="001C2F95" w:rsidRPr="00C05D6C" w:rsidRDefault="001C2F95" w:rsidP="001C2F95">
      <w:pPr>
        <w:pStyle w:val="Titre2"/>
        <w:numPr>
          <w:ilvl w:val="2"/>
          <w:numId w:val="4"/>
        </w:numPr>
        <w:ind w:left="1560" w:hanging="709"/>
        <w:rPr>
          <w:rFonts w:cs="Arial"/>
          <w:i/>
          <w:sz w:val="22"/>
          <w:szCs w:val="22"/>
        </w:rPr>
      </w:pPr>
      <w:bookmarkStart w:id="729" w:name="_Toc70330489"/>
      <w:r w:rsidRPr="00C05D6C">
        <w:rPr>
          <w:rFonts w:cs="Arial"/>
          <w:i/>
          <w:sz w:val="22"/>
          <w:szCs w:val="22"/>
        </w:rPr>
        <w:t>Thématique</w:t>
      </w:r>
      <w:r>
        <w:rPr>
          <w:rFonts w:cs="Arial"/>
          <w:i/>
          <w:sz w:val="22"/>
          <w:szCs w:val="22"/>
        </w:rPr>
        <w:t>s</w:t>
      </w:r>
      <w:r w:rsidRPr="00C05D6C">
        <w:rPr>
          <w:rFonts w:cs="Arial"/>
          <w:i/>
          <w:sz w:val="22"/>
          <w:szCs w:val="22"/>
        </w:rPr>
        <w:t xml:space="preserve"> ou points discutés</w:t>
      </w:r>
      <w:bookmarkEnd w:id="729"/>
      <w:r w:rsidRPr="00C05D6C">
        <w:rPr>
          <w:rFonts w:cs="Arial"/>
          <w:i/>
          <w:sz w:val="22"/>
          <w:szCs w:val="22"/>
        </w:rPr>
        <w:t xml:space="preserve"> </w:t>
      </w:r>
    </w:p>
    <w:p w14:paraId="461C5C5C" w14:textId="77777777" w:rsidR="001C2F95" w:rsidRPr="00C05D6C" w:rsidRDefault="001C2F95" w:rsidP="001C2F95">
      <w:pPr>
        <w:rPr>
          <w:rFonts w:cs="Arial"/>
          <w:sz w:val="22"/>
        </w:rPr>
      </w:pPr>
    </w:p>
    <w:p w14:paraId="4910199A" w14:textId="77777777" w:rsidR="001C2F95" w:rsidRPr="00C05D6C" w:rsidRDefault="001C2F95" w:rsidP="001C2F95">
      <w:pPr>
        <w:rPr>
          <w:rFonts w:cs="Arial"/>
          <w:sz w:val="22"/>
        </w:rPr>
      </w:pPr>
      <w:r w:rsidRPr="00C05D6C">
        <w:rPr>
          <w:rFonts w:cs="Arial"/>
          <w:sz w:val="22"/>
        </w:rPr>
        <w:t>Pour recueillir les avis du public vis-à-vis du Projet, l</w:t>
      </w:r>
      <w:r>
        <w:rPr>
          <w:rFonts w:cs="Arial"/>
          <w:sz w:val="22"/>
        </w:rPr>
        <w:t>es</w:t>
      </w:r>
      <w:r w:rsidRPr="00C05D6C">
        <w:rPr>
          <w:rFonts w:cs="Arial"/>
          <w:sz w:val="22"/>
        </w:rPr>
        <w:t xml:space="preserve"> thématique</w:t>
      </w:r>
      <w:r>
        <w:rPr>
          <w:rFonts w:cs="Arial"/>
          <w:sz w:val="22"/>
        </w:rPr>
        <w:t>s</w:t>
      </w:r>
      <w:r w:rsidRPr="00C05D6C">
        <w:rPr>
          <w:rFonts w:cs="Arial"/>
          <w:sz w:val="22"/>
        </w:rPr>
        <w:t xml:space="preserve"> ou points ci-après ont été abordés et discutés avec les acteurs après présentation du Projet par le Consultant :</w:t>
      </w:r>
    </w:p>
    <w:p w14:paraId="09B2FD2B" w14:textId="77777777" w:rsidR="001C2F95" w:rsidRPr="00C05D6C" w:rsidRDefault="001C2F95" w:rsidP="001C2F95">
      <w:pPr>
        <w:rPr>
          <w:rFonts w:cs="Arial"/>
          <w:sz w:val="22"/>
        </w:rPr>
      </w:pPr>
    </w:p>
    <w:p w14:paraId="32A71464" w14:textId="77777777" w:rsidR="001C2F95" w:rsidRPr="00C05D6C" w:rsidRDefault="001C2F95" w:rsidP="002378EA">
      <w:pPr>
        <w:numPr>
          <w:ilvl w:val="0"/>
          <w:numId w:val="56"/>
        </w:numPr>
        <w:rPr>
          <w:sz w:val="22"/>
        </w:rPr>
      </w:pPr>
      <w:r w:rsidRPr="00C05D6C">
        <w:rPr>
          <w:sz w:val="22"/>
        </w:rPr>
        <w:t>La perception du PNDA ;</w:t>
      </w:r>
    </w:p>
    <w:p w14:paraId="4EC61BE4" w14:textId="77777777" w:rsidR="001C2F95" w:rsidRPr="00C05D6C" w:rsidRDefault="001C2F95" w:rsidP="002378EA">
      <w:pPr>
        <w:numPr>
          <w:ilvl w:val="0"/>
          <w:numId w:val="56"/>
        </w:numPr>
        <w:rPr>
          <w:sz w:val="22"/>
        </w:rPr>
      </w:pPr>
      <w:r w:rsidRPr="00C05D6C">
        <w:rPr>
          <w:sz w:val="22"/>
        </w:rPr>
        <w:t>Les contraintes environnementales et sociales majeures dans les Provinces ciblées du programme ;</w:t>
      </w:r>
    </w:p>
    <w:p w14:paraId="2128D252" w14:textId="77777777" w:rsidR="001C2F95" w:rsidRPr="00C05D6C" w:rsidRDefault="001C2F95" w:rsidP="002378EA">
      <w:pPr>
        <w:numPr>
          <w:ilvl w:val="0"/>
          <w:numId w:val="56"/>
        </w:numPr>
        <w:rPr>
          <w:sz w:val="22"/>
        </w:rPr>
      </w:pPr>
      <w:r w:rsidRPr="00C05D6C">
        <w:rPr>
          <w:sz w:val="22"/>
        </w:rPr>
        <w:t>La date de démarrage du Programme ;</w:t>
      </w:r>
    </w:p>
    <w:p w14:paraId="36195B1F" w14:textId="77777777" w:rsidR="001C2F95" w:rsidRPr="00C05D6C" w:rsidRDefault="001C2F95" w:rsidP="002378EA">
      <w:pPr>
        <w:numPr>
          <w:ilvl w:val="0"/>
          <w:numId w:val="56"/>
        </w:numPr>
        <w:rPr>
          <w:sz w:val="22"/>
        </w:rPr>
      </w:pPr>
      <w:r w:rsidRPr="00C05D6C">
        <w:rPr>
          <w:sz w:val="22"/>
        </w:rPr>
        <w:t>La durée du Programme ;</w:t>
      </w:r>
    </w:p>
    <w:p w14:paraId="05C98B1C" w14:textId="77777777" w:rsidR="001C2F95" w:rsidRPr="00C05D6C" w:rsidRDefault="001C2F95" w:rsidP="002378EA">
      <w:pPr>
        <w:numPr>
          <w:ilvl w:val="0"/>
          <w:numId w:val="56"/>
        </w:numPr>
        <w:rPr>
          <w:sz w:val="22"/>
        </w:rPr>
      </w:pPr>
      <w:r w:rsidRPr="00C05D6C">
        <w:rPr>
          <w:sz w:val="22"/>
        </w:rPr>
        <w:t>Les conditions du travail ;</w:t>
      </w:r>
    </w:p>
    <w:p w14:paraId="1FEA524B" w14:textId="77777777" w:rsidR="001C2F95" w:rsidRPr="00C05D6C" w:rsidRDefault="001C2F95" w:rsidP="002378EA">
      <w:pPr>
        <w:numPr>
          <w:ilvl w:val="0"/>
          <w:numId w:val="56"/>
        </w:numPr>
        <w:rPr>
          <w:sz w:val="22"/>
        </w:rPr>
      </w:pPr>
      <w:r w:rsidRPr="00C05D6C">
        <w:rPr>
          <w:sz w:val="22"/>
        </w:rPr>
        <w:t>La mobilisation des parties prenantes au Programme ;</w:t>
      </w:r>
    </w:p>
    <w:p w14:paraId="7B63C5A8" w14:textId="77777777" w:rsidR="001C2F95" w:rsidRPr="00C05D6C" w:rsidRDefault="001C2F95" w:rsidP="002378EA">
      <w:pPr>
        <w:numPr>
          <w:ilvl w:val="0"/>
          <w:numId w:val="56"/>
        </w:numPr>
        <w:rPr>
          <w:sz w:val="22"/>
        </w:rPr>
      </w:pPr>
      <w:r w:rsidRPr="00C05D6C">
        <w:rPr>
          <w:sz w:val="22"/>
        </w:rPr>
        <w:t>Le recrutement de la main-d’œuvre locale ;</w:t>
      </w:r>
    </w:p>
    <w:p w14:paraId="3DA2C9FF" w14:textId="77777777" w:rsidR="001C2F95" w:rsidRPr="00C05D6C" w:rsidRDefault="001C2F95" w:rsidP="002378EA">
      <w:pPr>
        <w:numPr>
          <w:ilvl w:val="0"/>
          <w:numId w:val="56"/>
        </w:numPr>
        <w:rPr>
          <w:sz w:val="22"/>
        </w:rPr>
      </w:pPr>
      <w:r w:rsidRPr="00C05D6C">
        <w:rPr>
          <w:sz w:val="22"/>
        </w:rPr>
        <w:t>Les impacts positifs et négatifs du Projet sur l’environnement et le social ;</w:t>
      </w:r>
    </w:p>
    <w:p w14:paraId="292C212B" w14:textId="77777777" w:rsidR="001C2F95" w:rsidRPr="00C05D6C" w:rsidRDefault="001C2F95" w:rsidP="002378EA">
      <w:pPr>
        <w:numPr>
          <w:ilvl w:val="0"/>
          <w:numId w:val="56"/>
        </w:numPr>
        <w:rPr>
          <w:sz w:val="22"/>
        </w:rPr>
      </w:pPr>
      <w:r w:rsidRPr="00C05D6C">
        <w:rPr>
          <w:sz w:val="22"/>
        </w:rPr>
        <w:t>Les expériences antérieures de mise en œuvre et de suivi des projets similaires ;</w:t>
      </w:r>
    </w:p>
    <w:p w14:paraId="1D0126D2" w14:textId="77777777" w:rsidR="001C2F95" w:rsidRPr="00C05D6C" w:rsidRDefault="001C2F95" w:rsidP="002378EA">
      <w:pPr>
        <w:numPr>
          <w:ilvl w:val="0"/>
          <w:numId w:val="56"/>
        </w:numPr>
        <w:rPr>
          <w:sz w:val="22"/>
        </w:rPr>
      </w:pPr>
      <w:r w:rsidRPr="00C05D6C">
        <w:rPr>
          <w:sz w:val="22"/>
        </w:rPr>
        <w:t>La production animale (fermier) ;</w:t>
      </w:r>
    </w:p>
    <w:p w14:paraId="503B029B" w14:textId="77777777" w:rsidR="001C2F95" w:rsidRPr="00C05D6C" w:rsidRDefault="001C2F95" w:rsidP="002378EA">
      <w:pPr>
        <w:numPr>
          <w:ilvl w:val="0"/>
          <w:numId w:val="56"/>
        </w:numPr>
        <w:rPr>
          <w:sz w:val="22"/>
        </w:rPr>
      </w:pPr>
      <w:r>
        <w:rPr>
          <w:sz w:val="22"/>
        </w:rPr>
        <w:t>La d</w:t>
      </w:r>
      <w:r w:rsidRPr="00C05D6C">
        <w:rPr>
          <w:sz w:val="22"/>
        </w:rPr>
        <w:t>istribution des semences agricoles aux petits exploitants ;</w:t>
      </w:r>
    </w:p>
    <w:p w14:paraId="02DFD69E" w14:textId="77777777" w:rsidR="001C2F95" w:rsidRPr="00C05D6C" w:rsidRDefault="001C2F95" w:rsidP="002378EA">
      <w:pPr>
        <w:numPr>
          <w:ilvl w:val="0"/>
          <w:numId w:val="56"/>
        </w:numPr>
        <w:rPr>
          <w:sz w:val="22"/>
        </w:rPr>
      </w:pPr>
      <w:r>
        <w:rPr>
          <w:sz w:val="22"/>
        </w:rPr>
        <w:t>La d</w:t>
      </w:r>
      <w:r w:rsidRPr="00C05D6C">
        <w:rPr>
          <w:sz w:val="22"/>
        </w:rPr>
        <w:t>istribution des intrants agricoles aux petits exploitants ;</w:t>
      </w:r>
    </w:p>
    <w:p w14:paraId="60392ADC" w14:textId="77777777" w:rsidR="001C2F95" w:rsidRPr="00C05D6C" w:rsidRDefault="001C2F95" w:rsidP="002378EA">
      <w:pPr>
        <w:numPr>
          <w:ilvl w:val="0"/>
          <w:numId w:val="56"/>
        </w:numPr>
        <w:rPr>
          <w:sz w:val="22"/>
        </w:rPr>
      </w:pPr>
      <w:r w:rsidRPr="00C05D6C">
        <w:rPr>
          <w:sz w:val="22"/>
        </w:rPr>
        <w:t xml:space="preserve">La réhabilitation des </w:t>
      </w:r>
      <w:r>
        <w:rPr>
          <w:sz w:val="22"/>
        </w:rPr>
        <w:t>routes</w:t>
      </w:r>
      <w:r w:rsidRPr="00C05D6C">
        <w:rPr>
          <w:sz w:val="22"/>
        </w:rPr>
        <w:t xml:space="preserve"> rurales ;</w:t>
      </w:r>
    </w:p>
    <w:p w14:paraId="0C2E345C" w14:textId="77777777" w:rsidR="001C2F95" w:rsidRPr="00C05D6C" w:rsidRDefault="001C2F95" w:rsidP="002378EA">
      <w:pPr>
        <w:numPr>
          <w:ilvl w:val="0"/>
          <w:numId w:val="56"/>
        </w:numPr>
        <w:rPr>
          <w:sz w:val="22"/>
        </w:rPr>
      </w:pPr>
      <w:r w:rsidRPr="00C05D6C">
        <w:rPr>
          <w:sz w:val="22"/>
        </w:rPr>
        <w:t>La question foncière ;</w:t>
      </w:r>
    </w:p>
    <w:p w14:paraId="639B7042" w14:textId="77777777" w:rsidR="001C2F95" w:rsidRPr="00C05D6C" w:rsidRDefault="001C2F95" w:rsidP="002378EA">
      <w:pPr>
        <w:numPr>
          <w:ilvl w:val="0"/>
          <w:numId w:val="56"/>
        </w:numPr>
        <w:rPr>
          <w:sz w:val="22"/>
        </w:rPr>
      </w:pPr>
      <w:r w:rsidRPr="00C05D6C">
        <w:rPr>
          <w:sz w:val="22"/>
        </w:rPr>
        <w:t>La question liée aux populations autochtones ;</w:t>
      </w:r>
    </w:p>
    <w:p w14:paraId="5D2E6EB7" w14:textId="77777777" w:rsidR="001C2F95" w:rsidRPr="00C05D6C" w:rsidRDefault="001C2F95" w:rsidP="002378EA">
      <w:pPr>
        <w:numPr>
          <w:ilvl w:val="0"/>
          <w:numId w:val="56"/>
        </w:numPr>
        <w:rPr>
          <w:sz w:val="22"/>
        </w:rPr>
      </w:pPr>
      <w:r w:rsidRPr="00C05D6C">
        <w:rPr>
          <w:sz w:val="22"/>
        </w:rPr>
        <w:t>Les mécanismes locaux de résolution des conflits ;</w:t>
      </w:r>
    </w:p>
    <w:p w14:paraId="595A3B0B" w14:textId="77777777" w:rsidR="001C2F95" w:rsidRPr="00C05D6C" w:rsidRDefault="001C2F95" w:rsidP="002378EA">
      <w:pPr>
        <w:numPr>
          <w:ilvl w:val="0"/>
          <w:numId w:val="56"/>
        </w:numPr>
        <w:rPr>
          <w:sz w:val="22"/>
        </w:rPr>
      </w:pPr>
      <w:r w:rsidRPr="00C05D6C">
        <w:rPr>
          <w:sz w:val="22"/>
        </w:rPr>
        <w:t>La participation et l’implication des ONG locales y compris les femmes et des populations ;</w:t>
      </w:r>
    </w:p>
    <w:p w14:paraId="759809A8" w14:textId="77777777" w:rsidR="001C2F95" w:rsidRPr="00C05D6C" w:rsidRDefault="001C2F95" w:rsidP="002378EA">
      <w:pPr>
        <w:numPr>
          <w:ilvl w:val="0"/>
          <w:numId w:val="56"/>
        </w:numPr>
        <w:rPr>
          <w:sz w:val="22"/>
        </w:rPr>
      </w:pPr>
      <w:r w:rsidRPr="00C05D6C">
        <w:rPr>
          <w:sz w:val="22"/>
        </w:rPr>
        <w:t>Les personnes vulnérables ;</w:t>
      </w:r>
    </w:p>
    <w:p w14:paraId="64B76B1D" w14:textId="77777777" w:rsidR="001C2F95" w:rsidRPr="00C05D6C" w:rsidRDefault="001C2F95" w:rsidP="002378EA">
      <w:pPr>
        <w:numPr>
          <w:ilvl w:val="0"/>
          <w:numId w:val="56"/>
        </w:numPr>
        <w:rPr>
          <w:sz w:val="22"/>
        </w:rPr>
      </w:pPr>
      <w:r w:rsidRPr="00C05D6C">
        <w:rPr>
          <w:sz w:val="22"/>
        </w:rPr>
        <w:t xml:space="preserve">Les risques </w:t>
      </w:r>
      <w:r>
        <w:rPr>
          <w:sz w:val="22"/>
        </w:rPr>
        <w:t xml:space="preserve">de </w:t>
      </w:r>
      <w:r w:rsidRPr="00C05D6C">
        <w:rPr>
          <w:sz w:val="22"/>
        </w:rPr>
        <w:t>VBG/EAS/HS ;</w:t>
      </w:r>
    </w:p>
    <w:p w14:paraId="6B9525C1" w14:textId="77777777" w:rsidR="001C2F95" w:rsidRPr="00C05D6C" w:rsidRDefault="001C2F95" w:rsidP="002378EA">
      <w:pPr>
        <w:numPr>
          <w:ilvl w:val="0"/>
          <w:numId w:val="56"/>
        </w:numPr>
        <w:rPr>
          <w:sz w:val="22"/>
        </w:rPr>
      </w:pPr>
      <w:r w:rsidRPr="00C05D6C">
        <w:rPr>
          <w:sz w:val="22"/>
        </w:rPr>
        <w:t>Les préoccupations et craintes vis-à-vis du Projet ;</w:t>
      </w:r>
    </w:p>
    <w:p w14:paraId="53D63E5F" w14:textId="77777777" w:rsidR="001C2F95" w:rsidRPr="00C05D6C" w:rsidRDefault="001C2F95" w:rsidP="002378EA">
      <w:pPr>
        <w:numPr>
          <w:ilvl w:val="0"/>
          <w:numId w:val="56"/>
        </w:numPr>
        <w:rPr>
          <w:rFonts w:cs="Arial"/>
          <w:sz w:val="22"/>
          <w:lang w:val="fr-CA"/>
        </w:rPr>
      </w:pPr>
      <w:r w:rsidRPr="00C05D6C">
        <w:rPr>
          <w:sz w:val="22"/>
        </w:rPr>
        <w:t>Les suggestions et recommandations à l’endroit du Projet</w:t>
      </w:r>
      <w:r w:rsidRPr="00C05D6C">
        <w:rPr>
          <w:rFonts w:cs="Arial"/>
          <w:sz w:val="22"/>
          <w:lang w:val="fr-CA"/>
        </w:rPr>
        <w:t>.</w:t>
      </w:r>
    </w:p>
    <w:p w14:paraId="5D2393A8" w14:textId="77777777" w:rsidR="001C2F95" w:rsidRPr="00C05D6C" w:rsidRDefault="001C2F95" w:rsidP="001C2F95">
      <w:pPr>
        <w:ind w:left="360"/>
        <w:rPr>
          <w:rFonts w:cs="Arial"/>
          <w:sz w:val="22"/>
          <w:lang w:val="fr-CA"/>
        </w:rPr>
      </w:pPr>
    </w:p>
    <w:p w14:paraId="38E4895F" w14:textId="77777777" w:rsidR="001C2F95" w:rsidRPr="00C05D6C" w:rsidRDefault="001C2F95" w:rsidP="001C2F95">
      <w:pPr>
        <w:pStyle w:val="Titre2"/>
        <w:numPr>
          <w:ilvl w:val="2"/>
          <w:numId w:val="4"/>
        </w:numPr>
        <w:ind w:left="1560" w:hanging="709"/>
        <w:rPr>
          <w:rFonts w:cs="Arial"/>
          <w:i/>
          <w:sz w:val="22"/>
          <w:szCs w:val="22"/>
        </w:rPr>
      </w:pPr>
      <w:bookmarkStart w:id="730" w:name="_Toc70330490"/>
      <w:r w:rsidRPr="00C05D6C">
        <w:rPr>
          <w:rFonts w:cs="Arial"/>
          <w:i/>
          <w:sz w:val="22"/>
          <w:szCs w:val="22"/>
        </w:rPr>
        <w:t>Résultats des consultations avec les services techniques de l’État</w:t>
      </w:r>
      <w:bookmarkEnd w:id="730"/>
    </w:p>
    <w:p w14:paraId="3276C639" w14:textId="77777777" w:rsidR="001C2F95" w:rsidRPr="00C05D6C" w:rsidRDefault="001C2F95" w:rsidP="001C2F95">
      <w:pPr>
        <w:rPr>
          <w:sz w:val="22"/>
        </w:rPr>
      </w:pPr>
    </w:p>
    <w:p w14:paraId="119F41D7" w14:textId="77777777" w:rsidR="001C2F95" w:rsidRPr="004E0B51" w:rsidRDefault="001C2F95" w:rsidP="002378EA">
      <w:pPr>
        <w:numPr>
          <w:ilvl w:val="0"/>
          <w:numId w:val="56"/>
        </w:numPr>
        <w:rPr>
          <w:sz w:val="22"/>
        </w:rPr>
      </w:pPr>
      <w:r w:rsidRPr="00C05D6C">
        <w:rPr>
          <w:sz w:val="22"/>
          <w:u w:val="single"/>
        </w:rPr>
        <w:t>Appréciation du Projet</w:t>
      </w:r>
      <w:r w:rsidRPr="00C05D6C">
        <w:rPr>
          <w:sz w:val="22"/>
        </w:rPr>
        <w:t xml:space="preserve"> : Le Projet vient à son heure et contribuera à l’amélioration des produits agricoles, amélioration des conditions économiques des petits </w:t>
      </w:r>
      <w:r w:rsidRPr="004E0B51">
        <w:rPr>
          <w:sz w:val="22"/>
        </w:rPr>
        <w:t xml:space="preserve">exploitants agricoles, à la réhabilitation des </w:t>
      </w:r>
      <w:r>
        <w:rPr>
          <w:sz w:val="22"/>
        </w:rPr>
        <w:t>routes</w:t>
      </w:r>
      <w:r w:rsidRPr="004E0B51">
        <w:rPr>
          <w:sz w:val="22"/>
        </w:rPr>
        <w:t xml:space="preserve"> rurales et autres infrastructures telles que les marchés et abattoirs, etc. </w:t>
      </w:r>
    </w:p>
    <w:p w14:paraId="25AD935F" w14:textId="77777777" w:rsidR="001C2F95" w:rsidRPr="004E0B51" w:rsidRDefault="001C2F95" w:rsidP="002378EA">
      <w:pPr>
        <w:numPr>
          <w:ilvl w:val="0"/>
          <w:numId w:val="56"/>
        </w:numPr>
        <w:rPr>
          <w:sz w:val="22"/>
        </w:rPr>
      </w:pPr>
      <w:r w:rsidRPr="004E0B51">
        <w:rPr>
          <w:sz w:val="22"/>
          <w:u w:val="single"/>
        </w:rPr>
        <w:t>Contraintes identifiées</w:t>
      </w:r>
      <w:r w:rsidRPr="004E0B51">
        <w:rPr>
          <w:sz w:val="22"/>
        </w:rPr>
        <w:t xml:space="preserve"> : Érosion dans les Villes de Kananga, Tshikapa, Kikwit, affectation des populations autochtones et bantoues, et de leurs biens par les activités du PNDA. La situation de l’insécurité qui prévaut dans la Province du Nord-Kivu, les </w:t>
      </w:r>
      <w:r>
        <w:rPr>
          <w:sz w:val="22"/>
        </w:rPr>
        <w:t>VBG</w:t>
      </w:r>
      <w:r w:rsidRPr="004E0B51">
        <w:rPr>
          <w:sz w:val="22"/>
        </w:rPr>
        <w:t xml:space="preserve"> occasionnées par les conflits armés, la situation de la pandémie de COVID-19 et celle du Virus Ebola ;</w:t>
      </w:r>
    </w:p>
    <w:p w14:paraId="0EFB7B2E" w14:textId="77777777" w:rsidR="001C2F95" w:rsidRPr="004E0B51" w:rsidRDefault="001C2F95" w:rsidP="002378EA">
      <w:pPr>
        <w:numPr>
          <w:ilvl w:val="0"/>
          <w:numId w:val="56"/>
        </w:numPr>
        <w:rPr>
          <w:sz w:val="22"/>
        </w:rPr>
      </w:pPr>
      <w:r w:rsidRPr="004E0B51">
        <w:rPr>
          <w:sz w:val="22"/>
          <w:u w:val="single"/>
        </w:rPr>
        <w:t>Recommandations </w:t>
      </w:r>
      <w:r w:rsidRPr="004E0B51">
        <w:rPr>
          <w:sz w:val="22"/>
        </w:rPr>
        <w:t>: Mettre à profits les différents plans et stratégies de gestion ; Implication de différents services techniques de l’État concernés dans la préparation, la mise en œuvre et le suivi, Sensibilisation des populations.</w:t>
      </w:r>
    </w:p>
    <w:p w14:paraId="60B15B1E" w14:textId="77777777" w:rsidR="001C2F95" w:rsidRPr="004E0B51" w:rsidRDefault="001C2F95" w:rsidP="001C2F95">
      <w:pPr>
        <w:ind w:left="360"/>
        <w:rPr>
          <w:rFonts w:cs="Arial"/>
          <w:sz w:val="22"/>
        </w:rPr>
      </w:pPr>
    </w:p>
    <w:p w14:paraId="0F016BB6" w14:textId="77777777" w:rsidR="001C2F95" w:rsidRPr="004E0B51" w:rsidRDefault="001C2F95" w:rsidP="001C2F95">
      <w:pPr>
        <w:pStyle w:val="Titre2"/>
        <w:numPr>
          <w:ilvl w:val="2"/>
          <w:numId w:val="4"/>
        </w:numPr>
        <w:ind w:left="1560" w:hanging="709"/>
        <w:rPr>
          <w:rFonts w:cs="Arial"/>
          <w:i/>
          <w:sz w:val="22"/>
          <w:szCs w:val="22"/>
        </w:rPr>
      </w:pPr>
      <w:bookmarkStart w:id="731" w:name="_Toc70330491"/>
      <w:r w:rsidRPr="004E0B51">
        <w:rPr>
          <w:rFonts w:cs="Arial"/>
          <w:i/>
          <w:sz w:val="22"/>
          <w:szCs w:val="22"/>
        </w:rPr>
        <w:t>Résultats des consultations avec les Provinces</w:t>
      </w:r>
      <w:bookmarkEnd w:id="731"/>
    </w:p>
    <w:p w14:paraId="448DE87A" w14:textId="77777777" w:rsidR="001C2F95" w:rsidRPr="004E0B51" w:rsidRDefault="001C2F95" w:rsidP="001C2F95">
      <w:pPr>
        <w:rPr>
          <w:sz w:val="22"/>
        </w:rPr>
      </w:pPr>
    </w:p>
    <w:p w14:paraId="131C757A" w14:textId="77777777" w:rsidR="001C2F95" w:rsidRPr="004E0B51" w:rsidRDefault="001C2F95" w:rsidP="001C2F95">
      <w:pPr>
        <w:rPr>
          <w:rFonts w:cs="Arial"/>
          <w:i/>
          <w:sz w:val="22"/>
        </w:rPr>
      </w:pPr>
      <w:r w:rsidRPr="004E0B51">
        <w:rPr>
          <w:rFonts w:cs="Arial"/>
          <w:i/>
          <w:sz w:val="22"/>
        </w:rPr>
        <w:t>Perception du Projet</w:t>
      </w:r>
    </w:p>
    <w:p w14:paraId="45D3850A" w14:textId="77777777" w:rsidR="001C2F95" w:rsidRPr="004E0B51" w:rsidRDefault="001C2F95" w:rsidP="001C2F95">
      <w:pPr>
        <w:rPr>
          <w:rFonts w:cs="Arial"/>
          <w:i/>
          <w:sz w:val="22"/>
        </w:rPr>
      </w:pPr>
    </w:p>
    <w:p w14:paraId="5EA3A18E" w14:textId="77777777" w:rsidR="001C2F95" w:rsidRPr="004E0B51" w:rsidRDefault="001C2F95" w:rsidP="001C2F95">
      <w:pPr>
        <w:rPr>
          <w:rFonts w:cs="Arial"/>
          <w:sz w:val="22"/>
        </w:rPr>
      </w:pPr>
      <w:r w:rsidRPr="004E0B51">
        <w:rPr>
          <w:rFonts w:cs="Arial"/>
          <w:sz w:val="22"/>
        </w:rPr>
        <w:t xml:space="preserve">Les différentes parties prenantes rencontrées (acteurs institutionnels, les autorités politico-administratives locales (les Gouverneurs et Maires des Villes des Provinces ciblées) Associations de la Société Civile, Associations des femmes, leaders d’opinions représentants des populations locales, les populations autochtones, les personnes vulnérables, les déplacés des guerres, etc.) ont unanimement apprécié le programme et l'approche participative qui est mise en œuvre. Le programme est le bienvenu car il va impulser la production agricole dans les cinq Provinces ciblées par le PNDA. </w:t>
      </w:r>
    </w:p>
    <w:p w14:paraId="4679A505" w14:textId="77777777" w:rsidR="001C2F95" w:rsidRPr="004E0B51" w:rsidRDefault="001C2F95" w:rsidP="001C2F95">
      <w:pPr>
        <w:rPr>
          <w:rFonts w:cs="Arial"/>
          <w:sz w:val="22"/>
        </w:rPr>
      </w:pPr>
    </w:p>
    <w:p w14:paraId="43BC81E4" w14:textId="77777777" w:rsidR="001C2F95" w:rsidRPr="004E0B51" w:rsidRDefault="001C2F95" w:rsidP="001C2F95">
      <w:pPr>
        <w:rPr>
          <w:rFonts w:cs="Arial"/>
          <w:i/>
          <w:sz w:val="22"/>
        </w:rPr>
      </w:pPr>
      <w:r w:rsidRPr="004E0B51">
        <w:rPr>
          <w:rFonts w:cs="Arial"/>
          <w:i/>
          <w:sz w:val="22"/>
        </w:rPr>
        <w:t>Préoccupations et craintes par rapport au programme</w:t>
      </w:r>
    </w:p>
    <w:p w14:paraId="31CFCFD6" w14:textId="77777777" w:rsidR="001C2F95" w:rsidRPr="004E0B51" w:rsidRDefault="001C2F95" w:rsidP="001C2F95">
      <w:pPr>
        <w:rPr>
          <w:rFonts w:cs="Arial"/>
          <w:sz w:val="22"/>
        </w:rPr>
      </w:pPr>
    </w:p>
    <w:p w14:paraId="0C650D93" w14:textId="77777777" w:rsidR="001C2F95" w:rsidRPr="004E0B51" w:rsidRDefault="001C2F95" w:rsidP="001C2F95">
      <w:pPr>
        <w:rPr>
          <w:rFonts w:cs="Arial"/>
          <w:sz w:val="22"/>
        </w:rPr>
      </w:pPr>
      <w:r w:rsidRPr="004E0B51">
        <w:rPr>
          <w:rFonts w:cs="Arial"/>
          <w:sz w:val="22"/>
        </w:rPr>
        <w:t>Toutefois, des craintes, inquiétudes et préoccupations ont été formulées comme indiqué ci-dessous :</w:t>
      </w:r>
    </w:p>
    <w:p w14:paraId="1BC68929" w14:textId="77777777" w:rsidR="001C2F95" w:rsidRPr="004E0B51" w:rsidRDefault="001C2F95" w:rsidP="001C2F95">
      <w:pPr>
        <w:rPr>
          <w:rFonts w:cs="Arial"/>
          <w:sz w:val="22"/>
        </w:rPr>
      </w:pPr>
    </w:p>
    <w:p w14:paraId="2A88ABAF" w14:textId="77777777" w:rsidR="001C2F95" w:rsidRPr="004E0B51" w:rsidRDefault="001C2F95" w:rsidP="002378EA">
      <w:pPr>
        <w:numPr>
          <w:ilvl w:val="0"/>
          <w:numId w:val="56"/>
        </w:numPr>
        <w:rPr>
          <w:sz w:val="22"/>
        </w:rPr>
      </w:pPr>
      <w:r w:rsidRPr="004E0B51">
        <w:rPr>
          <w:sz w:val="22"/>
        </w:rPr>
        <w:t>Les populations ayant leurs actifs agricoles et autres dans les emprises du Projet ;</w:t>
      </w:r>
    </w:p>
    <w:p w14:paraId="582F1E7B" w14:textId="77777777" w:rsidR="001C2F95" w:rsidRPr="004E0B51" w:rsidRDefault="001C2F95" w:rsidP="002378EA">
      <w:pPr>
        <w:numPr>
          <w:ilvl w:val="0"/>
          <w:numId w:val="56"/>
        </w:numPr>
        <w:rPr>
          <w:sz w:val="22"/>
        </w:rPr>
      </w:pPr>
      <w:r w:rsidRPr="004E0B51">
        <w:rPr>
          <w:sz w:val="22"/>
        </w:rPr>
        <w:t xml:space="preserve">Le non recrutement de la population locale pendant l’exécution des </w:t>
      </w:r>
      <w:r>
        <w:rPr>
          <w:sz w:val="22"/>
        </w:rPr>
        <w:t>routes</w:t>
      </w:r>
      <w:r w:rsidRPr="004E0B51">
        <w:rPr>
          <w:sz w:val="22"/>
        </w:rPr>
        <w:t xml:space="preserve"> rurales, travaux d’irrigation et de construction des infrastructures communautaires ;</w:t>
      </w:r>
    </w:p>
    <w:p w14:paraId="22B14095" w14:textId="77777777" w:rsidR="001C2F95" w:rsidRPr="004E0B51" w:rsidRDefault="001C2F95" w:rsidP="002378EA">
      <w:pPr>
        <w:numPr>
          <w:ilvl w:val="0"/>
          <w:numId w:val="56"/>
        </w:numPr>
        <w:rPr>
          <w:sz w:val="22"/>
        </w:rPr>
      </w:pPr>
      <w:r w:rsidRPr="004E0B51">
        <w:rPr>
          <w:sz w:val="22"/>
        </w:rPr>
        <w:t>L’absence de la sous-traitance des petites et moyennes entreprises locales dans les travaux de réhabilitation des infrastructures rurales ;</w:t>
      </w:r>
    </w:p>
    <w:p w14:paraId="05075D30" w14:textId="77777777" w:rsidR="001C2F95" w:rsidRPr="00FB3261" w:rsidRDefault="001C2F95" w:rsidP="002378EA">
      <w:pPr>
        <w:numPr>
          <w:ilvl w:val="0"/>
          <w:numId w:val="56"/>
        </w:numPr>
        <w:rPr>
          <w:sz w:val="22"/>
        </w:rPr>
      </w:pPr>
      <w:r w:rsidRPr="004E0B51">
        <w:rPr>
          <w:sz w:val="22"/>
        </w:rPr>
        <w:t>La discrimination de</w:t>
      </w:r>
      <w:r w:rsidRPr="00FB3261">
        <w:rPr>
          <w:sz w:val="22"/>
        </w:rPr>
        <w:t>s ménages vulnérables éligibles à la distribution des intrants et des semences agricoles ;</w:t>
      </w:r>
    </w:p>
    <w:p w14:paraId="068EB1BD" w14:textId="77777777" w:rsidR="001C2F95" w:rsidRPr="00FB3261" w:rsidRDefault="001C2F95" w:rsidP="002378EA">
      <w:pPr>
        <w:numPr>
          <w:ilvl w:val="0"/>
          <w:numId w:val="56"/>
        </w:numPr>
        <w:rPr>
          <w:sz w:val="22"/>
        </w:rPr>
      </w:pPr>
      <w:r w:rsidRPr="00FB3261">
        <w:rPr>
          <w:sz w:val="22"/>
        </w:rPr>
        <w:t>La non-éligibilité des ménages des populations autochtones vulnérables aux transferts monétaires ;</w:t>
      </w:r>
    </w:p>
    <w:p w14:paraId="2B455516" w14:textId="77777777" w:rsidR="001C2F95" w:rsidRPr="00FB3261" w:rsidRDefault="001C2F95" w:rsidP="002378EA">
      <w:pPr>
        <w:numPr>
          <w:ilvl w:val="0"/>
          <w:numId w:val="56"/>
        </w:numPr>
        <w:rPr>
          <w:sz w:val="22"/>
        </w:rPr>
      </w:pPr>
      <w:r w:rsidRPr="00FB3261">
        <w:rPr>
          <w:sz w:val="22"/>
        </w:rPr>
        <w:t>Les chantiers inachevés</w:t>
      </w:r>
      <w:r>
        <w:rPr>
          <w:sz w:val="22"/>
        </w:rPr>
        <w:t> ;</w:t>
      </w:r>
    </w:p>
    <w:p w14:paraId="1DDDF407" w14:textId="77777777" w:rsidR="001C2F95" w:rsidRPr="00FB3261" w:rsidRDefault="001C2F95" w:rsidP="002378EA">
      <w:pPr>
        <w:numPr>
          <w:ilvl w:val="0"/>
          <w:numId w:val="56"/>
        </w:numPr>
        <w:rPr>
          <w:sz w:val="22"/>
        </w:rPr>
      </w:pPr>
      <w:r w:rsidRPr="00FB3261">
        <w:rPr>
          <w:sz w:val="22"/>
        </w:rPr>
        <w:t>Existence des inégalités sociales par le renforcement de pouvoir des travailleurs ;</w:t>
      </w:r>
    </w:p>
    <w:p w14:paraId="66E76B82" w14:textId="77777777" w:rsidR="001C2F95" w:rsidRPr="00FB3261" w:rsidRDefault="001C2F95" w:rsidP="002378EA">
      <w:pPr>
        <w:numPr>
          <w:ilvl w:val="0"/>
          <w:numId w:val="56"/>
        </w:numPr>
        <w:rPr>
          <w:sz w:val="22"/>
        </w:rPr>
      </w:pPr>
      <w:r w:rsidRPr="00FB3261">
        <w:rPr>
          <w:sz w:val="22"/>
        </w:rPr>
        <w:t xml:space="preserve">Les risques </w:t>
      </w:r>
      <w:r>
        <w:rPr>
          <w:sz w:val="22"/>
        </w:rPr>
        <w:t xml:space="preserve">de </w:t>
      </w:r>
      <w:r w:rsidRPr="00FB3261">
        <w:rPr>
          <w:sz w:val="22"/>
        </w:rPr>
        <w:t>VBG commises auprès des mineures et femmes vulnérables ;</w:t>
      </w:r>
    </w:p>
    <w:p w14:paraId="5714588E" w14:textId="77777777" w:rsidR="001C2F95" w:rsidRPr="00FB3261" w:rsidRDefault="001C2F95" w:rsidP="002378EA">
      <w:pPr>
        <w:numPr>
          <w:ilvl w:val="0"/>
          <w:numId w:val="56"/>
        </w:numPr>
        <w:rPr>
          <w:sz w:val="22"/>
        </w:rPr>
      </w:pPr>
      <w:r w:rsidRPr="00FB3261">
        <w:rPr>
          <w:sz w:val="22"/>
        </w:rPr>
        <w:t>Les mariages précoces et les rapports sexuels transactionnels ;</w:t>
      </w:r>
    </w:p>
    <w:p w14:paraId="429622DE" w14:textId="77777777" w:rsidR="001C2F95" w:rsidRPr="009F169E" w:rsidRDefault="001C2F95" w:rsidP="001C2F95">
      <w:pPr>
        <w:rPr>
          <w:noProof/>
          <w:sz w:val="22"/>
          <w:lang w:eastAsia="en-US"/>
        </w:rPr>
      </w:pPr>
    </w:p>
    <w:p w14:paraId="14C46BFA" w14:textId="77777777" w:rsidR="001C2F95" w:rsidRPr="00AF2270" w:rsidRDefault="001C2F95" w:rsidP="001C2F95">
      <w:pPr>
        <w:pStyle w:val="Titre2"/>
        <w:numPr>
          <w:ilvl w:val="1"/>
          <w:numId w:val="4"/>
        </w:numPr>
        <w:ind w:left="851" w:hanging="425"/>
        <w:rPr>
          <w:rFonts w:cs="Arial"/>
          <w:b/>
          <w:sz w:val="22"/>
          <w:szCs w:val="22"/>
        </w:rPr>
      </w:pPr>
      <w:bookmarkStart w:id="732" w:name="_Toc70330492"/>
      <w:r w:rsidRPr="00AF2270">
        <w:rPr>
          <w:rFonts w:cs="Arial"/>
          <w:b/>
          <w:sz w:val="22"/>
          <w:szCs w:val="22"/>
        </w:rPr>
        <w:t xml:space="preserve">Plan de </w:t>
      </w:r>
      <w:r w:rsidR="008368D3">
        <w:rPr>
          <w:rFonts w:cs="Arial"/>
          <w:b/>
          <w:sz w:val="22"/>
          <w:szCs w:val="22"/>
        </w:rPr>
        <w:t>Mobilisation des Parties Prenantes</w:t>
      </w:r>
      <w:bookmarkEnd w:id="732"/>
      <w:r w:rsidR="008368D3">
        <w:rPr>
          <w:rFonts w:cs="Arial"/>
          <w:b/>
          <w:sz w:val="22"/>
          <w:szCs w:val="22"/>
        </w:rPr>
        <w:t xml:space="preserve"> </w:t>
      </w:r>
    </w:p>
    <w:p w14:paraId="4E6F1AAE" w14:textId="77777777" w:rsidR="008368D3" w:rsidRDefault="008368D3" w:rsidP="008368D3"/>
    <w:p w14:paraId="175F5C48" w14:textId="77777777" w:rsidR="008368D3" w:rsidRPr="002F3114" w:rsidRDefault="008368D3" w:rsidP="008368D3">
      <w:pPr>
        <w:rPr>
          <w:rFonts w:cs="Arial"/>
          <w:sz w:val="22"/>
        </w:rPr>
      </w:pPr>
      <w:r w:rsidRPr="008368D3">
        <w:rPr>
          <w:rFonts w:cs="Arial"/>
          <w:sz w:val="22"/>
        </w:rPr>
        <w:t xml:space="preserve">L’Objectif du </w:t>
      </w:r>
      <w:r>
        <w:rPr>
          <w:rFonts w:cs="Arial"/>
          <w:sz w:val="22"/>
        </w:rPr>
        <w:t>P</w:t>
      </w:r>
      <w:r w:rsidRPr="002F3114">
        <w:rPr>
          <w:rFonts w:cs="Arial"/>
          <w:sz w:val="22"/>
        </w:rPr>
        <w:t xml:space="preserve">lan de </w:t>
      </w:r>
      <w:r w:rsidR="002F3114">
        <w:rPr>
          <w:rFonts w:cs="Arial"/>
          <w:sz w:val="22"/>
        </w:rPr>
        <w:t>M</w:t>
      </w:r>
      <w:r w:rsidRPr="002F3114">
        <w:rPr>
          <w:rFonts w:cs="Arial"/>
          <w:sz w:val="22"/>
        </w:rPr>
        <w:t xml:space="preserve">obilisation des </w:t>
      </w:r>
      <w:r w:rsidR="002F3114">
        <w:rPr>
          <w:rFonts w:cs="Arial"/>
          <w:sz w:val="22"/>
        </w:rPr>
        <w:t>P</w:t>
      </w:r>
      <w:r w:rsidRPr="002F3114">
        <w:rPr>
          <w:rFonts w:cs="Arial"/>
          <w:sz w:val="22"/>
        </w:rPr>
        <w:t xml:space="preserve">arties </w:t>
      </w:r>
      <w:r w:rsidR="002F3114">
        <w:rPr>
          <w:rFonts w:cs="Arial"/>
          <w:sz w:val="22"/>
        </w:rPr>
        <w:t>P</w:t>
      </w:r>
      <w:r w:rsidRPr="002F3114">
        <w:rPr>
          <w:rFonts w:cs="Arial"/>
          <w:sz w:val="22"/>
        </w:rPr>
        <w:t>renantes (PMPP) est d’identifier les parties prenantes du projet, d’analyser leurs craintes et attentes et d’estimer leur volonté à coopérer pour la mise en œuvre du projet. Le PMPP doit décrire les efforts à réaliser en matière de communication et de consultation qui doivent être réalisés pour assurer l’engagement de toutes les parties prenantes. L'engagement des parties prenantes est un processus inclusif mené tout au long du cycle de vie du projet. Il vise à favoriser le développement de relations solides, constructives et réactives avec les personnes affectées par le PNDA, mais aussi les autres parties intéressées et qui sont importantes pour une gestion réussie des risques environnementaux et sociaux du programme.</w:t>
      </w:r>
    </w:p>
    <w:p w14:paraId="4063EC2E" w14:textId="77777777" w:rsidR="008368D3" w:rsidRPr="002F3114" w:rsidRDefault="008368D3" w:rsidP="008368D3">
      <w:pPr>
        <w:rPr>
          <w:rFonts w:cs="Arial"/>
          <w:sz w:val="22"/>
        </w:rPr>
      </w:pPr>
    </w:p>
    <w:p w14:paraId="54687920" w14:textId="77777777" w:rsidR="008368D3" w:rsidRPr="002F3114" w:rsidRDefault="008368D3" w:rsidP="008368D3">
      <w:pPr>
        <w:rPr>
          <w:rFonts w:cs="Arial"/>
          <w:sz w:val="22"/>
        </w:rPr>
      </w:pPr>
      <w:r w:rsidRPr="002F3114">
        <w:rPr>
          <w:rFonts w:cs="Arial"/>
          <w:sz w:val="22"/>
        </w:rPr>
        <w:t>Les principaux objectifs du programme de mobilisation des parties prenantes sont les suivants :</w:t>
      </w:r>
    </w:p>
    <w:p w14:paraId="46FBA75A" w14:textId="77777777" w:rsidR="008368D3" w:rsidRDefault="008368D3" w:rsidP="008368D3"/>
    <w:p w14:paraId="3F5002A9" w14:textId="77777777" w:rsidR="008368D3" w:rsidRPr="002F3114" w:rsidRDefault="008368D3" w:rsidP="002378EA">
      <w:pPr>
        <w:numPr>
          <w:ilvl w:val="0"/>
          <w:numId w:val="56"/>
        </w:numPr>
        <w:rPr>
          <w:sz w:val="22"/>
        </w:rPr>
      </w:pPr>
      <w:r w:rsidRPr="002F3114">
        <w:rPr>
          <w:sz w:val="22"/>
        </w:rPr>
        <w:t xml:space="preserve">Identifier toutes les parties prenantes ; </w:t>
      </w:r>
    </w:p>
    <w:p w14:paraId="7B82D480" w14:textId="77777777" w:rsidR="008368D3" w:rsidRPr="002F3114" w:rsidRDefault="008368D3" w:rsidP="002378EA">
      <w:pPr>
        <w:numPr>
          <w:ilvl w:val="0"/>
          <w:numId w:val="56"/>
        </w:numPr>
        <w:rPr>
          <w:sz w:val="22"/>
        </w:rPr>
      </w:pPr>
      <w:r w:rsidRPr="002F3114">
        <w:rPr>
          <w:sz w:val="22"/>
        </w:rPr>
        <w:t xml:space="preserve">Obtenir la participation et la collaboration des parties prenantes ; </w:t>
      </w:r>
    </w:p>
    <w:p w14:paraId="651F1ACC" w14:textId="77777777" w:rsidR="008368D3" w:rsidRPr="002F3114" w:rsidRDefault="008368D3" w:rsidP="002378EA">
      <w:pPr>
        <w:numPr>
          <w:ilvl w:val="0"/>
          <w:numId w:val="56"/>
        </w:numPr>
        <w:rPr>
          <w:sz w:val="22"/>
        </w:rPr>
      </w:pPr>
      <w:r w:rsidRPr="002F3114">
        <w:rPr>
          <w:sz w:val="22"/>
        </w:rPr>
        <w:t xml:space="preserve">Partager l’information et dialoguer sur le programme, ses impacts et ses bénéfices pour créer et maintenir un climat de confiance entre les parties prenantes et le programme; </w:t>
      </w:r>
    </w:p>
    <w:p w14:paraId="7553FE51" w14:textId="77777777" w:rsidR="008368D3" w:rsidRPr="002F3114" w:rsidRDefault="008368D3" w:rsidP="002378EA">
      <w:pPr>
        <w:numPr>
          <w:ilvl w:val="0"/>
          <w:numId w:val="56"/>
        </w:numPr>
        <w:rPr>
          <w:sz w:val="22"/>
        </w:rPr>
      </w:pPr>
      <w:r w:rsidRPr="002F3114">
        <w:rPr>
          <w:sz w:val="22"/>
        </w:rPr>
        <w:t xml:space="preserve">Bien guider la conception et la mise en œuvre du PNDA et diminuer les risques techniques, sociaux et budgétaires ; </w:t>
      </w:r>
    </w:p>
    <w:p w14:paraId="32504D15" w14:textId="77777777" w:rsidR="008368D3" w:rsidRPr="002F3114" w:rsidRDefault="008368D3" w:rsidP="002378EA">
      <w:pPr>
        <w:numPr>
          <w:ilvl w:val="0"/>
          <w:numId w:val="56"/>
        </w:numPr>
        <w:rPr>
          <w:sz w:val="22"/>
        </w:rPr>
      </w:pPr>
      <w:r w:rsidRPr="002F3114">
        <w:rPr>
          <w:sz w:val="22"/>
        </w:rPr>
        <w:t>Répondre aux besoins, préoccupations et attentes des parties prenantes ;</w:t>
      </w:r>
    </w:p>
    <w:p w14:paraId="4DA9E895" w14:textId="77777777" w:rsidR="008368D3" w:rsidRPr="002F3114" w:rsidRDefault="008368D3" w:rsidP="002378EA">
      <w:pPr>
        <w:numPr>
          <w:ilvl w:val="0"/>
          <w:numId w:val="56"/>
        </w:numPr>
        <w:rPr>
          <w:sz w:val="22"/>
        </w:rPr>
      </w:pPr>
      <w:r w:rsidRPr="002F3114">
        <w:rPr>
          <w:sz w:val="22"/>
        </w:rPr>
        <w:t>Documenter les communications et les ententes avec les parties prenantes ;</w:t>
      </w:r>
    </w:p>
    <w:p w14:paraId="0A4C80B0" w14:textId="77777777" w:rsidR="008368D3" w:rsidRPr="002F3114" w:rsidRDefault="008368D3" w:rsidP="002378EA">
      <w:pPr>
        <w:numPr>
          <w:ilvl w:val="0"/>
          <w:numId w:val="56"/>
        </w:numPr>
        <w:rPr>
          <w:sz w:val="22"/>
        </w:rPr>
      </w:pPr>
      <w:r w:rsidRPr="002F3114">
        <w:rPr>
          <w:sz w:val="22"/>
        </w:rPr>
        <w:t>Assurer un processus transparent, ouvert, accessible, inclusif et juste, dans un esprit de confiance et de respect, sans manipulation, ingérence, coercition et intimidation et sans frais de participation ;</w:t>
      </w:r>
    </w:p>
    <w:p w14:paraId="33F18A46" w14:textId="77777777" w:rsidR="008368D3" w:rsidRPr="002F3114" w:rsidRDefault="008368D3" w:rsidP="002378EA">
      <w:pPr>
        <w:numPr>
          <w:ilvl w:val="0"/>
          <w:numId w:val="56"/>
        </w:numPr>
        <w:rPr>
          <w:sz w:val="22"/>
        </w:rPr>
      </w:pPr>
      <w:r w:rsidRPr="002F3114">
        <w:rPr>
          <w:sz w:val="22"/>
        </w:rPr>
        <w:t>Assurer un processus dans le respect des conventions et des protocoles locaux, y compris les considérations liées à l’inclusion sociale, l’équité et l’égalité entre les hommes et les femmes, et que des processus supplémentaires soient ajoutés au besoin pour les groupes vulnérables ou marginalisés.</w:t>
      </w:r>
    </w:p>
    <w:p w14:paraId="54526AF5" w14:textId="77777777" w:rsidR="001C2F95" w:rsidRPr="009F169E" w:rsidRDefault="001C2F95" w:rsidP="001C2F95">
      <w:pPr>
        <w:rPr>
          <w:sz w:val="22"/>
        </w:rPr>
      </w:pPr>
    </w:p>
    <w:p w14:paraId="78DE1670" w14:textId="77777777" w:rsidR="001C2F95" w:rsidRPr="009F169E" w:rsidRDefault="001C2F95" w:rsidP="001C2F95">
      <w:pPr>
        <w:keepNext/>
        <w:numPr>
          <w:ilvl w:val="0"/>
          <w:numId w:val="10"/>
        </w:numPr>
        <w:jc w:val="left"/>
        <w:outlineLvl w:val="2"/>
        <w:rPr>
          <w:rFonts w:cs="Arial"/>
          <w:vanish/>
          <w:sz w:val="22"/>
          <w:u w:val="single"/>
        </w:rPr>
      </w:pPr>
      <w:bookmarkStart w:id="733" w:name="_Toc64026261"/>
      <w:bookmarkStart w:id="734" w:name="_Toc64386780"/>
      <w:bookmarkStart w:id="735" w:name="_Toc70326897"/>
      <w:bookmarkStart w:id="736" w:name="_Toc70327130"/>
      <w:bookmarkStart w:id="737" w:name="_Toc70330493"/>
      <w:bookmarkEnd w:id="733"/>
      <w:bookmarkEnd w:id="734"/>
      <w:bookmarkEnd w:id="735"/>
      <w:bookmarkEnd w:id="736"/>
      <w:bookmarkEnd w:id="737"/>
    </w:p>
    <w:p w14:paraId="7B0FB3EE" w14:textId="77777777" w:rsidR="001C2F95" w:rsidRPr="009F169E" w:rsidRDefault="001C2F95" w:rsidP="001C2F95">
      <w:pPr>
        <w:keepNext/>
        <w:numPr>
          <w:ilvl w:val="0"/>
          <w:numId w:val="10"/>
        </w:numPr>
        <w:jc w:val="left"/>
        <w:outlineLvl w:val="2"/>
        <w:rPr>
          <w:rFonts w:cs="Arial"/>
          <w:vanish/>
          <w:sz w:val="22"/>
          <w:u w:val="single"/>
        </w:rPr>
      </w:pPr>
      <w:bookmarkStart w:id="738" w:name="_Toc64026262"/>
      <w:bookmarkStart w:id="739" w:name="_Toc64386781"/>
      <w:bookmarkStart w:id="740" w:name="_Toc70326898"/>
      <w:bookmarkStart w:id="741" w:name="_Toc70327131"/>
      <w:bookmarkStart w:id="742" w:name="_Toc70330494"/>
      <w:bookmarkEnd w:id="738"/>
      <w:bookmarkEnd w:id="739"/>
      <w:bookmarkEnd w:id="740"/>
      <w:bookmarkEnd w:id="741"/>
      <w:bookmarkEnd w:id="742"/>
    </w:p>
    <w:p w14:paraId="2476AB5F" w14:textId="77777777" w:rsidR="001C2F95" w:rsidRPr="009F169E" w:rsidRDefault="001C2F95" w:rsidP="001C2F95">
      <w:pPr>
        <w:keepNext/>
        <w:numPr>
          <w:ilvl w:val="1"/>
          <w:numId w:val="10"/>
        </w:numPr>
        <w:jc w:val="left"/>
        <w:outlineLvl w:val="2"/>
        <w:rPr>
          <w:rFonts w:cs="Arial"/>
          <w:vanish/>
          <w:sz w:val="22"/>
          <w:u w:val="single"/>
        </w:rPr>
      </w:pPr>
      <w:bookmarkStart w:id="743" w:name="_Toc64026263"/>
      <w:bookmarkStart w:id="744" w:name="_Toc64386782"/>
      <w:bookmarkStart w:id="745" w:name="_Toc70326899"/>
      <w:bookmarkStart w:id="746" w:name="_Toc70327132"/>
      <w:bookmarkStart w:id="747" w:name="_Toc70330495"/>
      <w:bookmarkEnd w:id="743"/>
      <w:bookmarkEnd w:id="744"/>
      <w:bookmarkEnd w:id="745"/>
      <w:bookmarkEnd w:id="746"/>
      <w:bookmarkEnd w:id="747"/>
    </w:p>
    <w:p w14:paraId="7799235D" w14:textId="77777777" w:rsidR="001C2F95" w:rsidRPr="009F169E" w:rsidRDefault="001C2F95" w:rsidP="001C2F95">
      <w:pPr>
        <w:keepNext/>
        <w:numPr>
          <w:ilvl w:val="1"/>
          <w:numId w:val="10"/>
        </w:numPr>
        <w:jc w:val="left"/>
        <w:outlineLvl w:val="2"/>
        <w:rPr>
          <w:rFonts w:cs="Arial"/>
          <w:vanish/>
          <w:sz w:val="22"/>
          <w:u w:val="single"/>
        </w:rPr>
      </w:pPr>
      <w:bookmarkStart w:id="748" w:name="_Toc64026264"/>
      <w:bookmarkStart w:id="749" w:name="_Toc64386783"/>
      <w:bookmarkStart w:id="750" w:name="_Toc70326900"/>
      <w:bookmarkStart w:id="751" w:name="_Toc70327133"/>
      <w:bookmarkStart w:id="752" w:name="_Toc70330496"/>
      <w:bookmarkEnd w:id="748"/>
      <w:bookmarkEnd w:id="749"/>
      <w:bookmarkEnd w:id="750"/>
      <w:bookmarkEnd w:id="751"/>
      <w:bookmarkEnd w:id="752"/>
    </w:p>
    <w:p w14:paraId="48EEAE68" w14:textId="77777777" w:rsidR="001C2F95" w:rsidRPr="009F169E" w:rsidRDefault="001C2F95" w:rsidP="001C2F95">
      <w:pPr>
        <w:keepNext/>
        <w:numPr>
          <w:ilvl w:val="1"/>
          <w:numId w:val="10"/>
        </w:numPr>
        <w:jc w:val="left"/>
        <w:outlineLvl w:val="2"/>
        <w:rPr>
          <w:rFonts w:cs="Arial"/>
          <w:vanish/>
          <w:sz w:val="22"/>
          <w:u w:val="single"/>
        </w:rPr>
      </w:pPr>
      <w:bookmarkStart w:id="753" w:name="_Toc64026265"/>
      <w:bookmarkStart w:id="754" w:name="_Toc64386784"/>
      <w:bookmarkStart w:id="755" w:name="_Toc70326901"/>
      <w:bookmarkStart w:id="756" w:name="_Toc70327134"/>
      <w:bookmarkStart w:id="757" w:name="_Toc70330497"/>
      <w:bookmarkEnd w:id="753"/>
      <w:bookmarkEnd w:id="754"/>
      <w:bookmarkEnd w:id="755"/>
      <w:bookmarkEnd w:id="756"/>
      <w:bookmarkEnd w:id="757"/>
    </w:p>
    <w:p w14:paraId="07A59CEF" w14:textId="77777777" w:rsidR="001C2F95" w:rsidRPr="009F169E" w:rsidRDefault="001C2F95" w:rsidP="001C2F95">
      <w:pPr>
        <w:keepNext/>
        <w:numPr>
          <w:ilvl w:val="1"/>
          <w:numId w:val="10"/>
        </w:numPr>
        <w:jc w:val="left"/>
        <w:outlineLvl w:val="2"/>
        <w:rPr>
          <w:rFonts w:cs="Arial"/>
          <w:vanish/>
          <w:sz w:val="22"/>
          <w:u w:val="single"/>
        </w:rPr>
      </w:pPr>
      <w:bookmarkStart w:id="758" w:name="_Toc64026266"/>
      <w:bookmarkStart w:id="759" w:name="_Toc64386785"/>
      <w:bookmarkStart w:id="760" w:name="_Toc70326902"/>
      <w:bookmarkStart w:id="761" w:name="_Toc70327135"/>
      <w:bookmarkStart w:id="762" w:name="_Toc70330498"/>
      <w:bookmarkEnd w:id="758"/>
      <w:bookmarkEnd w:id="759"/>
      <w:bookmarkEnd w:id="760"/>
      <w:bookmarkEnd w:id="761"/>
      <w:bookmarkEnd w:id="762"/>
    </w:p>
    <w:p w14:paraId="7782256F" w14:textId="77777777" w:rsidR="001C2F95" w:rsidRPr="009F169E" w:rsidRDefault="001C2F95" w:rsidP="001C2F95">
      <w:pPr>
        <w:keepNext/>
        <w:numPr>
          <w:ilvl w:val="1"/>
          <w:numId w:val="10"/>
        </w:numPr>
        <w:jc w:val="left"/>
        <w:outlineLvl w:val="2"/>
        <w:rPr>
          <w:rFonts w:cs="Arial"/>
          <w:vanish/>
          <w:sz w:val="22"/>
          <w:u w:val="single"/>
        </w:rPr>
      </w:pPr>
      <w:bookmarkStart w:id="763" w:name="_Toc64026267"/>
      <w:bookmarkStart w:id="764" w:name="_Toc64386786"/>
      <w:bookmarkStart w:id="765" w:name="_Toc70326903"/>
      <w:bookmarkStart w:id="766" w:name="_Toc70327136"/>
      <w:bookmarkStart w:id="767" w:name="_Toc70330499"/>
      <w:bookmarkEnd w:id="763"/>
      <w:bookmarkEnd w:id="764"/>
      <w:bookmarkEnd w:id="765"/>
      <w:bookmarkEnd w:id="766"/>
      <w:bookmarkEnd w:id="767"/>
    </w:p>
    <w:p w14:paraId="56E2FE65" w14:textId="77777777" w:rsidR="001C2F95" w:rsidRPr="009F169E" w:rsidRDefault="001C2F95" w:rsidP="001C2F95">
      <w:pPr>
        <w:keepNext/>
        <w:numPr>
          <w:ilvl w:val="1"/>
          <w:numId w:val="10"/>
        </w:numPr>
        <w:jc w:val="left"/>
        <w:outlineLvl w:val="2"/>
        <w:rPr>
          <w:rFonts w:cs="Arial"/>
          <w:vanish/>
          <w:sz w:val="22"/>
          <w:u w:val="single"/>
        </w:rPr>
      </w:pPr>
      <w:bookmarkStart w:id="768" w:name="_Toc64026268"/>
      <w:bookmarkStart w:id="769" w:name="_Toc64386787"/>
      <w:bookmarkStart w:id="770" w:name="_Toc70326904"/>
      <w:bookmarkStart w:id="771" w:name="_Toc70327137"/>
      <w:bookmarkStart w:id="772" w:name="_Toc70330500"/>
      <w:bookmarkEnd w:id="768"/>
      <w:bookmarkEnd w:id="769"/>
      <w:bookmarkEnd w:id="770"/>
      <w:bookmarkEnd w:id="771"/>
      <w:bookmarkEnd w:id="772"/>
    </w:p>
    <w:p w14:paraId="5D465842" w14:textId="77777777" w:rsidR="001C2F95" w:rsidRPr="009F169E" w:rsidRDefault="001C2F95" w:rsidP="002378EA">
      <w:pPr>
        <w:pStyle w:val="Paragraphedeliste"/>
        <w:keepNext/>
        <w:numPr>
          <w:ilvl w:val="1"/>
          <w:numId w:val="11"/>
        </w:numPr>
        <w:tabs>
          <w:tab w:val="left" w:pos="720"/>
        </w:tabs>
        <w:contextualSpacing w:val="0"/>
        <w:jc w:val="left"/>
        <w:outlineLvl w:val="2"/>
        <w:rPr>
          <w:rFonts w:cs="Arial"/>
          <w:vanish/>
          <w:sz w:val="22"/>
          <w:u w:val="single"/>
        </w:rPr>
      </w:pPr>
      <w:bookmarkStart w:id="773" w:name="_Toc64026269"/>
      <w:bookmarkStart w:id="774" w:name="_Toc64386788"/>
      <w:bookmarkStart w:id="775" w:name="_Toc70326905"/>
      <w:bookmarkStart w:id="776" w:name="_Toc70327138"/>
      <w:bookmarkStart w:id="777" w:name="_Toc70330501"/>
      <w:bookmarkEnd w:id="773"/>
      <w:bookmarkEnd w:id="774"/>
      <w:bookmarkEnd w:id="775"/>
      <w:bookmarkEnd w:id="776"/>
      <w:bookmarkEnd w:id="777"/>
    </w:p>
    <w:p w14:paraId="6EB4C792" w14:textId="77777777" w:rsidR="001C2F95" w:rsidRPr="009F169E" w:rsidRDefault="001C2F95" w:rsidP="002378EA">
      <w:pPr>
        <w:pStyle w:val="Paragraphedeliste"/>
        <w:keepNext/>
        <w:numPr>
          <w:ilvl w:val="1"/>
          <w:numId w:val="18"/>
        </w:numPr>
        <w:tabs>
          <w:tab w:val="left" w:pos="720"/>
        </w:tabs>
        <w:contextualSpacing w:val="0"/>
        <w:jc w:val="left"/>
        <w:outlineLvl w:val="2"/>
        <w:rPr>
          <w:rFonts w:cs="Arial"/>
          <w:vanish/>
          <w:sz w:val="22"/>
          <w:u w:val="single"/>
        </w:rPr>
      </w:pPr>
      <w:bookmarkStart w:id="778" w:name="_Toc64026270"/>
      <w:bookmarkStart w:id="779" w:name="_Toc64386789"/>
      <w:bookmarkStart w:id="780" w:name="_Toc70326906"/>
      <w:bookmarkStart w:id="781" w:name="_Toc70327139"/>
      <w:bookmarkStart w:id="782" w:name="_Toc70330502"/>
      <w:bookmarkEnd w:id="778"/>
      <w:bookmarkEnd w:id="779"/>
      <w:bookmarkEnd w:id="780"/>
      <w:bookmarkEnd w:id="781"/>
      <w:bookmarkEnd w:id="782"/>
    </w:p>
    <w:p w14:paraId="285925F3" w14:textId="77777777" w:rsidR="001C2F95" w:rsidRPr="009F169E" w:rsidRDefault="001C2F95" w:rsidP="001C2F95">
      <w:pPr>
        <w:pStyle w:val="Paragraphedeliste"/>
        <w:keepNext/>
        <w:numPr>
          <w:ilvl w:val="1"/>
          <w:numId w:val="6"/>
        </w:numPr>
        <w:contextualSpacing w:val="0"/>
        <w:jc w:val="left"/>
        <w:outlineLvl w:val="2"/>
        <w:rPr>
          <w:rFonts w:cs="Arial"/>
          <w:vanish/>
          <w:sz w:val="22"/>
          <w:u w:val="single"/>
        </w:rPr>
      </w:pPr>
      <w:bookmarkStart w:id="783" w:name="_Toc64386790"/>
      <w:bookmarkStart w:id="784" w:name="_Toc70326907"/>
      <w:bookmarkStart w:id="785" w:name="_Toc70327140"/>
      <w:bookmarkStart w:id="786" w:name="_Toc70330503"/>
      <w:bookmarkEnd w:id="783"/>
      <w:bookmarkEnd w:id="784"/>
      <w:bookmarkEnd w:id="785"/>
      <w:bookmarkEnd w:id="786"/>
    </w:p>
    <w:p w14:paraId="7F11A321" w14:textId="77777777" w:rsidR="001C2F95" w:rsidRPr="009F169E" w:rsidRDefault="001C2F95" w:rsidP="001C2F95">
      <w:pPr>
        <w:pStyle w:val="Titre2"/>
        <w:numPr>
          <w:ilvl w:val="2"/>
          <w:numId w:val="4"/>
        </w:numPr>
        <w:ind w:left="1560" w:hanging="709"/>
        <w:rPr>
          <w:rFonts w:cs="Arial"/>
          <w:i/>
          <w:sz w:val="22"/>
          <w:szCs w:val="22"/>
        </w:rPr>
      </w:pPr>
      <w:bookmarkStart w:id="787" w:name="_Toc70330504"/>
      <w:r w:rsidRPr="009F169E">
        <w:rPr>
          <w:rFonts w:cs="Arial"/>
          <w:i/>
          <w:sz w:val="22"/>
          <w:szCs w:val="22"/>
        </w:rPr>
        <w:t>Mécanismes et procédures de consultation</w:t>
      </w:r>
      <w:bookmarkEnd w:id="787"/>
    </w:p>
    <w:p w14:paraId="62AC309B" w14:textId="77777777" w:rsidR="001C2F95" w:rsidRPr="009F169E" w:rsidRDefault="001C2F95" w:rsidP="001C2F95">
      <w:pPr>
        <w:rPr>
          <w:rFonts w:eastAsia="Calibri" w:cs="Arial"/>
          <w:sz w:val="22"/>
        </w:rPr>
      </w:pPr>
    </w:p>
    <w:p w14:paraId="02D1A1D3" w14:textId="77777777" w:rsidR="001C2F95" w:rsidRPr="009F169E" w:rsidRDefault="001C2F95" w:rsidP="001C2F95">
      <w:pPr>
        <w:rPr>
          <w:rFonts w:eastAsia="Calibri" w:cs="Arial"/>
          <w:i/>
          <w:iCs/>
          <w:sz w:val="22"/>
        </w:rPr>
      </w:pPr>
      <w:r w:rsidRPr="009F169E">
        <w:rPr>
          <w:rFonts w:eastAsia="Calibri" w:cs="Arial"/>
          <w:sz w:val="22"/>
        </w:rPr>
        <w:t>Les mécanismes et procédures pour l'information, la concertation et la négociation à mettre en place devront reposer sur les points suivants : les connaissances sur l’environnement des zones d’intervention du Projet ; l’acceptabilité sociale du Projet. Les outils et techniques de consultations devront se conformer à une logique de communication éducative et de communication sociale</w:t>
      </w:r>
      <w:r w:rsidRPr="009F169E">
        <w:rPr>
          <w:rFonts w:eastAsia="Calibri" w:cs="Arial"/>
          <w:i/>
          <w:iCs/>
          <w:sz w:val="22"/>
        </w:rPr>
        <w:t>.</w:t>
      </w:r>
    </w:p>
    <w:p w14:paraId="3F39C444" w14:textId="77777777" w:rsidR="001C2F95" w:rsidRDefault="001C2F95" w:rsidP="001C2F95">
      <w:pPr>
        <w:rPr>
          <w:rFonts w:eastAsia="Calibri" w:cs="Arial"/>
          <w:i/>
          <w:iCs/>
          <w:sz w:val="22"/>
        </w:rPr>
      </w:pPr>
    </w:p>
    <w:p w14:paraId="262B296B" w14:textId="77777777" w:rsidR="00154DC7" w:rsidRPr="00616D0F" w:rsidRDefault="00154DC7" w:rsidP="00154DC7">
      <w:pPr>
        <w:autoSpaceDE w:val="0"/>
        <w:autoSpaceDN w:val="0"/>
        <w:adjustRightInd w:val="0"/>
        <w:rPr>
          <w:sz w:val="22"/>
        </w:rPr>
      </w:pPr>
      <w:r w:rsidRPr="00616D0F">
        <w:rPr>
          <w:sz w:val="22"/>
        </w:rPr>
        <w:t>Dans le contexte actuel de la pandémie du COVID-19, il s’impose une restriction de la distanciation sociale et des mesures barrières lors du processus de la consultation du public et la mobilisation des parties prenantes contrairement à la NES n°10 relative à la Diffusion de l’information et mobilisation des parties prenantes.</w:t>
      </w:r>
    </w:p>
    <w:p w14:paraId="60E0A7A4" w14:textId="77777777" w:rsidR="00154DC7" w:rsidRPr="00616D0F" w:rsidRDefault="00154DC7" w:rsidP="00154DC7">
      <w:pPr>
        <w:rPr>
          <w:sz w:val="22"/>
        </w:rPr>
      </w:pPr>
    </w:p>
    <w:p w14:paraId="258C1A24" w14:textId="77777777" w:rsidR="00154DC7" w:rsidRPr="00616D0F" w:rsidRDefault="00154DC7" w:rsidP="00154DC7">
      <w:pPr>
        <w:autoSpaceDE w:val="0"/>
        <w:autoSpaceDN w:val="0"/>
        <w:adjustRightInd w:val="0"/>
        <w:rPr>
          <w:sz w:val="22"/>
        </w:rPr>
      </w:pPr>
      <w:r w:rsidRPr="00035E90">
        <w:rPr>
          <w:sz w:val="22"/>
        </w:rPr>
        <w:t xml:space="preserve">Ainsi, le projet </w:t>
      </w:r>
      <w:r>
        <w:rPr>
          <w:sz w:val="22"/>
        </w:rPr>
        <w:t>PNDA</w:t>
      </w:r>
      <w:r w:rsidRPr="00035E90">
        <w:rPr>
          <w:sz w:val="22"/>
        </w:rPr>
        <w:t xml:space="preserve"> s'appuiera sur le document de l'OMS intitulé « Lignes directrices en matières de planification opérationnelle visant à</w:t>
      </w:r>
      <w:r w:rsidRPr="00616D0F">
        <w:rPr>
          <w:sz w:val="22"/>
        </w:rPr>
        <w:t xml:space="preserve"> soutenir la préparation et la riposte des pays » (2020) du Plan stratégique de préparation et de riposte de l’OMS pour lutter contre le COVID-19. En outre, il se référera à la note technique du 20 mars 2020 de la Banque mondiale « Consultations publiques et mobilisation des parties prenantes dans les opérations soutenues par la Banque Mondiale ou il existe des contraintes pour la conduite de réunions publiques ». Ces documents serviront de principale source d'orientation sur les communications et la mobilisation des parties prenantes. Ces lignes directrices décrivent l'approche contenue dans le Pilier 2 relatif à la communication sur les risques et la mobilisation communautaire. </w:t>
      </w:r>
    </w:p>
    <w:p w14:paraId="0AD3AF92" w14:textId="77777777" w:rsidR="00154DC7" w:rsidRPr="00616D0F" w:rsidRDefault="00154DC7" w:rsidP="00154DC7">
      <w:pPr>
        <w:autoSpaceDE w:val="0"/>
        <w:autoSpaceDN w:val="0"/>
        <w:adjustRightInd w:val="0"/>
        <w:rPr>
          <w:sz w:val="22"/>
        </w:rPr>
      </w:pPr>
    </w:p>
    <w:p w14:paraId="76033B5E" w14:textId="77777777" w:rsidR="00154DC7" w:rsidRPr="00616D0F" w:rsidRDefault="00154DC7" w:rsidP="00154DC7">
      <w:pPr>
        <w:autoSpaceDE w:val="0"/>
        <w:autoSpaceDN w:val="0"/>
        <w:adjustRightInd w:val="0"/>
        <w:rPr>
          <w:sz w:val="22"/>
        </w:rPr>
      </w:pPr>
      <w:r w:rsidRPr="00616D0F">
        <w:rPr>
          <w:sz w:val="22"/>
        </w:rPr>
        <w:t xml:space="preserve">Ces lignes directrices notent que : </w:t>
      </w:r>
    </w:p>
    <w:p w14:paraId="7509825A" w14:textId="77777777" w:rsidR="00154DC7" w:rsidRPr="00616D0F" w:rsidRDefault="00154DC7" w:rsidP="00154DC7">
      <w:pPr>
        <w:autoSpaceDE w:val="0"/>
        <w:autoSpaceDN w:val="0"/>
        <w:adjustRightInd w:val="0"/>
        <w:rPr>
          <w:sz w:val="22"/>
        </w:rPr>
      </w:pPr>
    </w:p>
    <w:p w14:paraId="08DAA49E" w14:textId="77777777" w:rsidR="00154DC7" w:rsidRPr="00616D0F" w:rsidRDefault="00154DC7" w:rsidP="00154DC7">
      <w:pPr>
        <w:autoSpaceDE w:val="0"/>
        <w:autoSpaceDN w:val="0"/>
        <w:adjustRightInd w:val="0"/>
        <w:rPr>
          <w:sz w:val="22"/>
        </w:rPr>
      </w:pPr>
      <w:r w:rsidRPr="00616D0F">
        <w:rPr>
          <w:sz w:val="22"/>
        </w:rPr>
        <w:t xml:space="preserve">Il est essentiel de communiquer régulièrement au public les informations relatives au </w:t>
      </w:r>
      <w:r w:rsidR="002F3114">
        <w:rPr>
          <w:sz w:val="22"/>
        </w:rPr>
        <w:t xml:space="preserve">       </w:t>
      </w:r>
      <w:r w:rsidRPr="00616D0F">
        <w:rPr>
          <w:sz w:val="22"/>
        </w:rPr>
        <w:t>COVID</w:t>
      </w:r>
      <w:r w:rsidR="002F3114">
        <w:rPr>
          <w:sz w:val="22"/>
        </w:rPr>
        <w:t>-</w:t>
      </w:r>
      <w:r w:rsidRPr="00616D0F">
        <w:rPr>
          <w:sz w:val="22"/>
        </w:rPr>
        <w:t>19, et sur les mesures à prendre. Les activités de préparation et de riposte doivent être menées de manière participative, à l'échelle de la communauté et être informées et optimisées en permanence en fonction des observations de la communauté afin d’identifier et de répondre aux préoccupations, aux rumeurs et aux fausses informations. Les changements dans les interventions de préparation et de riposte doivent être annoncés et expliqués à l'avance et être élaborés en tenant compte des points de vue de la communauté. Pour asseoir l'autorité et établir la confiance, il est essentiel de communiquer des messages sensibles et réceptifs aux besoins des populations, transparents et cohérents, dans les langues locales par le biais de canaux de communication fiables, en utilisant des réseaux communautaires voire de plus petite échelle et de s’appuyer sur des personnes d'influence clés et en renforçant les capacités des entités locales.</w:t>
      </w:r>
    </w:p>
    <w:p w14:paraId="46EA06DB" w14:textId="77777777" w:rsidR="00154DC7" w:rsidRDefault="00154DC7" w:rsidP="001C2F95">
      <w:pPr>
        <w:rPr>
          <w:rFonts w:eastAsia="Calibri" w:cs="Arial"/>
          <w:i/>
          <w:iCs/>
          <w:sz w:val="22"/>
        </w:rPr>
      </w:pPr>
    </w:p>
    <w:p w14:paraId="1B15E803" w14:textId="77777777" w:rsidR="00DD3424" w:rsidRDefault="00DD3424" w:rsidP="001C2F95">
      <w:pPr>
        <w:rPr>
          <w:rFonts w:eastAsia="Calibri" w:cs="Arial"/>
          <w:i/>
          <w:iCs/>
          <w:sz w:val="22"/>
        </w:rPr>
      </w:pPr>
    </w:p>
    <w:p w14:paraId="46968DC9" w14:textId="77777777" w:rsidR="00386DDF" w:rsidRDefault="00386DDF" w:rsidP="001260B3">
      <w:pPr>
        <w:pStyle w:val="Titre2"/>
        <w:numPr>
          <w:ilvl w:val="2"/>
          <w:numId w:val="4"/>
        </w:numPr>
        <w:ind w:left="1560" w:hanging="709"/>
        <w:rPr>
          <w:rFonts w:cs="Arial"/>
          <w:i/>
          <w:sz w:val="22"/>
          <w:szCs w:val="22"/>
        </w:rPr>
        <w:sectPr w:rsidR="00386DDF" w:rsidSect="002139E7">
          <w:pgSz w:w="11907" w:h="16839" w:code="9"/>
          <w:pgMar w:top="1135" w:right="1417" w:bottom="1134" w:left="1418" w:header="567" w:footer="397" w:gutter="0"/>
          <w:cols w:space="708"/>
          <w:docGrid w:linePitch="360"/>
        </w:sectPr>
      </w:pPr>
    </w:p>
    <w:p w14:paraId="6C3934A3" w14:textId="2CFB7A7B" w:rsidR="00DD3424" w:rsidRPr="001260B3" w:rsidRDefault="001260B3" w:rsidP="001260B3">
      <w:pPr>
        <w:pStyle w:val="Titre2"/>
        <w:numPr>
          <w:ilvl w:val="2"/>
          <w:numId w:val="4"/>
        </w:numPr>
        <w:ind w:left="1560" w:hanging="709"/>
        <w:rPr>
          <w:rFonts w:cs="Arial"/>
          <w:i/>
          <w:sz w:val="22"/>
          <w:szCs w:val="22"/>
        </w:rPr>
      </w:pPr>
      <w:r w:rsidRPr="001260B3">
        <w:rPr>
          <w:rFonts w:cs="Arial"/>
          <w:i/>
          <w:sz w:val="22"/>
          <w:szCs w:val="22"/>
        </w:rPr>
        <w:t>Strategie proposée pour la gestion de la COVID-19</w:t>
      </w:r>
    </w:p>
    <w:p w14:paraId="69A54221" w14:textId="77777777" w:rsidR="001260B3" w:rsidRDefault="001260B3">
      <w:pPr>
        <w:spacing w:after="160" w:line="259" w:lineRule="auto"/>
        <w:jc w:val="left"/>
        <w:rPr>
          <w:rFonts w:cs="Arial"/>
          <w:i/>
          <w:sz w:val="22"/>
        </w:rPr>
      </w:pPr>
    </w:p>
    <w:p w14:paraId="03E6E201" w14:textId="77777777" w:rsidR="001260B3" w:rsidRDefault="001260B3" w:rsidP="001260B3">
      <w:pPr>
        <w:spacing w:after="160" w:line="259" w:lineRule="auto"/>
        <w:rPr>
          <w:rFonts w:cs="Arial"/>
          <w:iCs/>
          <w:sz w:val="22"/>
        </w:rPr>
      </w:pPr>
      <w:r w:rsidRPr="001260B3">
        <w:rPr>
          <w:rFonts w:cs="Arial"/>
          <w:iCs/>
          <w:sz w:val="22"/>
        </w:rPr>
        <w:t xml:space="preserve">Le tableau </w:t>
      </w:r>
      <w:r>
        <w:rPr>
          <w:rFonts w:cs="Arial"/>
          <w:iCs/>
          <w:sz w:val="22"/>
        </w:rPr>
        <w:t xml:space="preserve">34 reprend la strategie pour la gestion de la COVID – 19 dans le cadre du programme, reprenant l’objectif général, les objectifs spécifiques, les activités à réaliser, les responsabilités et le calendrier. Le coüt de mise en œuvre sera estimé lors des études spécifiques, en fonction de chaque territoire et province. </w:t>
      </w:r>
    </w:p>
    <w:p w14:paraId="4B78F710" w14:textId="77777777" w:rsidR="001260B3" w:rsidRPr="001260B3" w:rsidRDefault="001260B3" w:rsidP="001260B3">
      <w:pPr>
        <w:pStyle w:val="Lgende"/>
        <w:rPr>
          <w:rFonts w:cs="Arial"/>
          <w:iCs/>
          <w:sz w:val="22"/>
        </w:rPr>
      </w:pPr>
      <w:bookmarkStart w:id="788" w:name="_Toc70451680"/>
      <w:r>
        <w:t xml:space="preserve">Tableau </w:t>
      </w:r>
      <w:r>
        <w:fldChar w:fldCharType="begin"/>
      </w:r>
      <w:r>
        <w:instrText xml:space="preserve"> SEQ Tableau \* ARABIC </w:instrText>
      </w:r>
      <w:r>
        <w:fldChar w:fldCharType="separate"/>
      </w:r>
      <w:r>
        <w:rPr>
          <w:noProof/>
        </w:rPr>
        <w:t>34</w:t>
      </w:r>
      <w:r>
        <w:fldChar w:fldCharType="end"/>
      </w:r>
      <w:r>
        <w:t xml:space="preserve">. </w:t>
      </w:r>
      <w:r>
        <w:rPr>
          <w:rFonts w:cs="Arial"/>
          <w:iCs/>
          <w:sz w:val="22"/>
        </w:rPr>
        <w:t>Strategie pour la gestion de la COVID – 19</w:t>
      </w:r>
      <w:bookmarkEnd w:id="78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985"/>
        <w:gridCol w:w="5446"/>
        <w:gridCol w:w="1996"/>
        <w:gridCol w:w="1665"/>
        <w:gridCol w:w="823"/>
      </w:tblGrid>
      <w:tr w:rsidR="001260B3" w:rsidRPr="00B027C8" w14:paraId="543D92BC" w14:textId="77777777" w:rsidTr="002241BF">
        <w:trPr>
          <w:trHeight w:val="568"/>
        </w:trPr>
        <w:tc>
          <w:tcPr>
            <w:tcW w:w="1984" w:type="dxa"/>
            <w:shd w:val="clear" w:color="auto" w:fill="auto"/>
          </w:tcPr>
          <w:p w14:paraId="7AAAEB37" w14:textId="77777777" w:rsidR="001260B3" w:rsidRPr="008E468D" w:rsidRDefault="001260B3" w:rsidP="008E468D">
            <w:pPr>
              <w:rPr>
                <w:b/>
                <w:bCs/>
              </w:rPr>
            </w:pPr>
            <w:r w:rsidRPr="008E468D">
              <w:rPr>
                <w:b/>
                <w:bCs/>
              </w:rPr>
              <w:t>Objectif général</w:t>
            </w:r>
          </w:p>
        </w:tc>
        <w:tc>
          <w:tcPr>
            <w:tcW w:w="1985" w:type="dxa"/>
            <w:shd w:val="clear" w:color="auto" w:fill="auto"/>
          </w:tcPr>
          <w:p w14:paraId="0A0E84FC" w14:textId="77777777" w:rsidR="001260B3" w:rsidRPr="008E468D" w:rsidRDefault="001260B3" w:rsidP="008E468D">
            <w:pPr>
              <w:rPr>
                <w:b/>
                <w:bCs/>
              </w:rPr>
            </w:pPr>
            <w:r w:rsidRPr="008E468D">
              <w:rPr>
                <w:b/>
                <w:bCs/>
              </w:rPr>
              <w:t>Objectifs spécifiques</w:t>
            </w:r>
          </w:p>
        </w:tc>
        <w:tc>
          <w:tcPr>
            <w:tcW w:w="5446" w:type="dxa"/>
            <w:shd w:val="clear" w:color="auto" w:fill="auto"/>
          </w:tcPr>
          <w:p w14:paraId="6A106F84" w14:textId="77777777" w:rsidR="001260B3" w:rsidRPr="008E468D" w:rsidRDefault="001260B3" w:rsidP="008E468D">
            <w:pPr>
              <w:rPr>
                <w:b/>
                <w:bCs/>
              </w:rPr>
            </w:pPr>
            <w:r w:rsidRPr="008E468D">
              <w:rPr>
                <w:b/>
                <w:bCs/>
              </w:rPr>
              <w:t xml:space="preserve">Activités </w:t>
            </w:r>
          </w:p>
        </w:tc>
        <w:tc>
          <w:tcPr>
            <w:tcW w:w="1996" w:type="dxa"/>
            <w:shd w:val="clear" w:color="auto" w:fill="auto"/>
          </w:tcPr>
          <w:p w14:paraId="13930F18" w14:textId="77777777" w:rsidR="001260B3" w:rsidRPr="008E468D" w:rsidRDefault="001260B3" w:rsidP="008E468D">
            <w:pPr>
              <w:rPr>
                <w:b/>
                <w:bCs/>
              </w:rPr>
            </w:pPr>
            <w:r w:rsidRPr="008E468D">
              <w:rPr>
                <w:b/>
                <w:bCs/>
              </w:rPr>
              <w:t xml:space="preserve">Responsabilités </w:t>
            </w:r>
          </w:p>
        </w:tc>
        <w:tc>
          <w:tcPr>
            <w:tcW w:w="1665" w:type="dxa"/>
            <w:shd w:val="clear" w:color="auto" w:fill="auto"/>
          </w:tcPr>
          <w:p w14:paraId="0BB6D407" w14:textId="77777777" w:rsidR="001260B3" w:rsidRPr="008E468D" w:rsidRDefault="001260B3" w:rsidP="008E468D">
            <w:pPr>
              <w:rPr>
                <w:b/>
                <w:bCs/>
              </w:rPr>
            </w:pPr>
            <w:r w:rsidRPr="008E468D">
              <w:rPr>
                <w:b/>
                <w:bCs/>
              </w:rPr>
              <w:t xml:space="preserve">Calendrier </w:t>
            </w:r>
          </w:p>
        </w:tc>
        <w:tc>
          <w:tcPr>
            <w:tcW w:w="821" w:type="dxa"/>
            <w:shd w:val="clear" w:color="auto" w:fill="auto"/>
          </w:tcPr>
          <w:p w14:paraId="7FF0CEE1" w14:textId="77777777" w:rsidR="001260B3" w:rsidRPr="008E468D" w:rsidRDefault="001260B3" w:rsidP="008E468D">
            <w:pPr>
              <w:rPr>
                <w:b/>
                <w:bCs/>
              </w:rPr>
            </w:pPr>
            <w:r w:rsidRPr="008E468D">
              <w:rPr>
                <w:b/>
                <w:bCs/>
              </w:rPr>
              <w:t xml:space="preserve">Coût </w:t>
            </w:r>
          </w:p>
        </w:tc>
      </w:tr>
      <w:tr w:rsidR="001260B3" w:rsidRPr="00B027C8" w14:paraId="5C4D8A70" w14:textId="77777777" w:rsidTr="002241BF">
        <w:trPr>
          <w:trHeight w:val="294"/>
        </w:trPr>
        <w:tc>
          <w:tcPr>
            <w:tcW w:w="1984" w:type="dxa"/>
            <w:vMerge w:val="restart"/>
            <w:shd w:val="clear" w:color="auto" w:fill="auto"/>
          </w:tcPr>
          <w:p w14:paraId="59332005" w14:textId="77777777" w:rsidR="001260B3" w:rsidRDefault="001260B3" w:rsidP="008E468D"/>
          <w:p w14:paraId="196044F9" w14:textId="77777777" w:rsidR="001260B3" w:rsidRDefault="001260B3" w:rsidP="008E468D"/>
          <w:p w14:paraId="1D42C02D" w14:textId="77777777" w:rsidR="001260B3" w:rsidRDefault="001260B3" w:rsidP="008E468D"/>
          <w:p w14:paraId="24D34F46" w14:textId="77777777" w:rsidR="001260B3" w:rsidRDefault="001260B3" w:rsidP="008E468D"/>
          <w:p w14:paraId="5994EA7F" w14:textId="77777777" w:rsidR="001260B3" w:rsidRDefault="001260B3" w:rsidP="008E468D"/>
          <w:p w14:paraId="40F50193" w14:textId="77777777" w:rsidR="001260B3" w:rsidRDefault="001260B3" w:rsidP="008E468D"/>
          <w:p w14:paraId="124A2C69" w14:textId="77777777" w:rsidR="001260B3" w:rsidRDefault="001260B3" w:rsidP="008E468D"/>
          <w:p w14:paraId="429680FA" w14:textId="77777777" w:rsidR="001260B3" w:rsidRDefault="001260B3" w:rsidP="008E468D"/>
          <w:p w14:paraId="22DEBF94" w14:textId="77777777" w:rsidR="001260B3" w:rsidRDefault="001260B3" w:rsidP="008E468D"/>
          <w:p w14:paraId="5668528D" w14:textId="77777777" w:rsidR="001260B3" w:rsidRDefault="001260B3" w:rsidP="008E468D"/>
          <w:p w14:paraId="7B33D77E" w14:textId="77777777" w:rsidR="001260B3" w:rsidRDefault="001260B3" w:rsidP="008E468D"/>
          <w:p w14:paraId="0EDEE8AC" w14:textId="77777777" w:rsidR="001260B3" w:rsidRDefault="001260B3" w:rsidP="008E468D"/>
          <w:p w14:paraId="1890D78B" w14:textId="77777777" w:rsidR="001260B3" w:rsidRDefault="001260B3" w:rsidP="008E468D"/>
          <w:p w14:paraId="07A9A6CC" w14:textId="77777777" w:rsidR="001260B3" w:rsidRDefault="001260B3" w:rsidP="008E468D"/>
          <w:p w14:paraId="12709589" w14:textId="77777777" w:rsidR="001260B3" w:rsidRDefault="001260B3" w:rsidP="008E468D"/>
          <w:p w14:paraId="04256FCE" w14:textId="77777777" w:rsidR="001260B3" w:rsidRDefault="001260B3" w:rsidP="008E468D"/>
          <w:p w14:paraId="2B3EECCE" w14:textId="77777777" w:rsidR="001260B3" w:rsidRDefault="001260B3" w:rsidP="008E468D"/>
          <w:p w14:paraId="280F72CE" w14:textId="77777777" w:rsidR="001260B3" w:rsidRPr="008E468D" w:rsidRDefault="001260B3" w:rsidP="008E468D">
            <w:pPr>
              <w:spacing w:line="240" w:lineRule="auto"/>
              <w:rPr>
                <w:b/>
                <w:bCs/>
              </w:rPr>
            </w:pPr>
            <w:r w:rsidRPr="008E468D">
              <w:rPr>
                <w:b/>
                <w:bCs/>
              </w:rPr>
              <w:t>Prévenir la survenue de la pandémie de la COVID -19 dans la zone d’intervention du programme</w:t>
            </w:r>
          </w:p>
        </w:tc>
        <w:tc>
          <w:tcPr>
            <w:tcW w:w="11915" w:type="dxa"/>
            <w:gridSpan w:val="5"/>
            <w:shd w:val="clear" w:color="auto" w:fill="auto"/>
          </w:tcPr>
          <w:p w14:paraId="73B405C0" w14:textId="77777777" w:rsidR="001260B3" w:rsidRPr="008E468D" w:rsidRDefault="001260B3" w:rsidP="008E468D">
            <w:pPr>
              <w:rPr>
                <w:b/>
                <w:bCs/>
              </w:rPr>
            </w:pPr>
            <w:r w:rsidRPr="008E468D">
              <w:rPr>
                <w:b/>
                <w:bCs/>
              </w:rPr>
              <w:t>Mise en place comité de coordination</w:t>
            </w:r>
          </w:p>
        </w:tc>
      </w:tr>
      <w:tr w:rsidR="001260B3" w:rsidRPr="00B027C8" w14:paraId="5894B4C8" w14:textId="77777777" w:rsidTr="002241BF">
        <w:trPr>
          <w:trHeight w:val="294"/>
        </w:trPr>
        <w:tc>
          <w:tcPr>
            <w:tcW w:w="1984" w:type="dxa"/>
            <w:vMerge/>
            <w:shd w:val="clear" w:color="auto" w:fill="auto"/>
          </w:tcPr>
          <w:p w14:paraId="25C4D5E9" w14:textId="77777777" w:rsidR="001260B3" w:rsidRPr="00B027C8" w:rsidRDefault="001260B3" w:rsidP="008E468D"/>
        </w:tc>
        <w:tc>
          <w:tcPr>
            <w:tcW w:w="1985" w:type="dxa"/>
            <w:shd w:val="clear" w:color="auto" w:fill="auto"/>
          </w:tcPr>
          <w:p w14:paraId="0B4F22B7" w14:textId="77777777" w:rsidR="001260B3" w:rsidRPr="00B027C8" w:rsidRDefault="001260B3" w:rsidP="008E468D">
            <w:r>
              <w:t>Renforcer la coordination avec les acteurs et les communautés locales</w:t>
            </w:r>
          </w:p>
        </w:tc>
        <w:tc>
          <w:tcPr>
            <w:tcW w:w="5446" w:type="dxa"/>
            <w:shd w:val="clear" w:color="auto" w:fill="auto"/>
          </w:tcPr>
          <w:p w14:paraId="75F37C80" w14:textId="77777777" w:rsidR="001260B3" w:rsidRPr="00CE2385" w:rsidRDefault="001260B3" w:rsidP="008E468D">
            <w:pPr>
              <w:pStyle w:val="Paragraphedeliste"/>
              <w:numPr>
                <w:ilvl w:val="0"/>
                <w:numId w:val="171"/>
              </w:numPr>
              <w:spacing w:line="240" w:lineRule="auto"/>
              <w:ind w:left="226" w:hanging="226"/>
              <w:jc w:val="left"/>
            </w:pPr>
            <w:r w:rsidRPr="00CE2385">
              <w:t xml:space="preserve">Assurer la tenue des réunions mensuelles avec les comités provinciaux et territoriaux des épidémies élargie aux parties prenantes </w:t>
            </w:r>
          </w:p>
          <w:p w14:paraId="18FC3948" w14:textId="77777777" w:rsidR="001260B3" w:rsidRDefault="001260B3" w:rsidP="008E468D">
            <w:pPr>
              <w:pStyle w:val="Paragraphedeliste"/>
              <w:numPr>
                <w:ilvl w:val="0"/>
                <w:numId w:val="171"/>
              </w:numPr>
              <w:spacing w:line="240" w:lineRule="auto"/>
              <w:ind w:left="226" w:hanging="226"/>
              <w:jc w:val="left"/>
            </w:pPr>
            <w:r>
              <w:t>Assurer la tenue des réunions mensuelles avec les communautés locales, ONG de santé, centres de santé et PA</w:t>
            </w:r>
          </w:p>
          <w:p w14:paraId="1F2E3F86" w14:textId="77777777" w:rsidR="001260B3" w:rsidRDefault="001260B3" w:rsidP="008E468D">
            <w:pPr>
              <w:pStyle w:val="Paragraphedeliste"/>
              <w:numPr>
                <w:ilvl w:val="0"/>
                <w:numId w:val="171"/>
              </w:numPr>
              <w:spacing w:line="240" w:lineRule="auto"/>
              <w:ind w:left="226" w:hanging="226"/>
              <w:jc w:val="left"/>
            </w:pPr>
            <w:r>
              <w:t xml:space="preserve">Mettre en place des comités provinciaux, territoriaux et locaux de gestion de la pandémie </w:t>
            </w:r>
          </w:p>
          <w:p w14:paraId="4C47AC47" w14:textId="77777777" w:rsidR="001260B3" w:rsidRDefault="001260B3" w:rsidP="008E468D">
            <w:pPr>
              <w:pStyle w:val="Paragraphedeliste"/>
              <w:numPr>
                <w:ilvl w:val="0"/>
                <w:numId w:val="171"/>
              </w:numPr>
              <w:spacing w:line="240" w:lineRule="auto"/>
              <w:ind w:left="226" w:hanging="226"/>
              <w:jc w:val="left"/>
            </w:pPr>
            <w:r>
              <w:t>Assurer le fonctionnement des comités provinciaux, territoriaux et locaux de gestion de la pandémie</w:t>
            </w:r>
          </w:p>
          <w:p w14:paraId="74A90D43" w14:textId="77777777" w:rsidR="001260B3" w:rsidRPr="00B027C8" w:rsidRDefault="001260B3" w:rsidP="008E468D">
            <w:pPr>
              <w:pStyle w:val="Paragraphedeliste"/>
              <w:numPr>
                <w:ilvl w:val="0"/>
                <w:numId w:val="171"/>
              </w:numPr>
              <w:spacing w:line="240" w:lineRule="auto"/>
              <w:ind w:left="226" w:hanging="226"/>
              <w:jc w:val="left"/>
            </w:pPr>
            <w:r>
              <w:t>Veiller à la tenue régulière des réunions des comités provinciaux, territoriaux et locaux</w:t>
            </w:r>
          </w:p>
        </w:tc>
        <w:tc>
          <w:tcPr>
            <w:tcW w:w="1996" w:type="dxa"/>
            <w:shd w:val="clear" w:color="auto" w:fill="auto"/>
          </w:tcPr>
          <w:p w14:paraId="146EABA5" w14:textId="77777777" w:rsidR="001260B3" w:rsidRPr="00B027C8" w:rsidRDefault="001260B3" w:rsidP="008E468D">
            <w:r>
              <w:t>UNCP (SSS, SSE, Expert en communication), ONG et ministère de la santé</w:t>
            </w:r>
          </w:p>
        </w:tc>
        <w:tc>
          <w:tcPr>
            <w:tcW w:w="1665" w:type="dxa"/>
            <w:shd w:val="clear" w:color="auto" w:fill="auto"/>
          </w:tcPr>
          <w:p w14:paraId="74BB866C" w14:textId="77777777" w:rsidR="001260B3" w:rsidRPr="00B027C8" w:rsidRDefault="001260B3" w:rsidP="008E468D">
            <w:r>
              <w:t>Au démarrage des travaux</w:t>
            </w:r>
          </w:p>
        </w:tc>
        <w:tc>
          <w:tcPr>
            <w:tcW w:w="821" w:type="dxa"/>
            <w:shd w:val="clear" w:color="auto" w:fill="auto"/>
          </w:tcPr>
          <w:p w14:paraId="5920C0E3" w14:textId="77777777" w:rsidR="001260B3" w:rsidRPr="00B027C8" w:rsidRDefault="001260B3" w:rsidP="008E468D">
            <w:r>
              <w:t>PM</w:t>
            </w:r>
          </w:p>
        </w:tc>
      </w:tr>
      <w:tr w:rsidR="001260B3" w:rsidRPr="00B027C8" w14:paraId="2C793FF4" w14:textId="77777777" w:rsidTr="002241BF">
        <w:trPr>
          <w:trHeight w:val="294"/>
        </w:trPr>
        <w:tc>
          <w:tcPr>
            <w:tcW w:w="1984" w:type="dxa"/>
            <w:vMerge/>
            <w:shd w:val="clear" w:color="auto" w:fill="auto"/>
          </w:tcPr>
          <w:p w14:paraId="5BE84135" w14:textId="77777777" w:rsidR="001260B3" w:rsidRPr="00B027C8" w:rsidRDefault="001260B3" w:rsidP="008E468D"/>
        </w:tc>
        <w:tc>
          <w:tcPr>
            <w:tcW w:w="11915" w:type="dxa"/>
            <w:gridSpan w:val="5"/>
            <w:shd w:val="clear" w:color="auto" w:fill="auto"/>
          </w:tcPr>
          <w:p w14:paraId="781A8550" w14:textId="77777777" w:rsidR="001260B3" w:rsidRPr="00B027C8" w:rsidRDefault="001260B3" w:rsidP="008E468D">
            <w:r w:rsidRPr="008E468D">
              <w:rPr>
                <w:b/>
                <w:bCs/>
              </w:rPr>
              <w:t>Suivi</w:t>
            </w:r>
          </w:p>
        </w:tc>
      </w:tr>
      <w:tr w:rsidR="001260B3" w:rsidRPr="00B027C8" w14:paraId="3052B65C" w14:textId="77777777" w:rsidTr="002241BF">
        <w:trPr>
          <w:trHeight w:val="294"/>
        </w:trPr>
        <w:tc>
          <w:tcPr>
            <w:tcW w:w="1984" w:type="dxa"/>
            <w:vMerge/>
            <w:shd w:val="clear" w:color="auto" w:fill="auto"/>
          </w:tcPr>
          <w:p w14:paraId="42975114" w14:textId="77777777" w:rsidR="001260B3" w:rsidRPr="00B027C8" w:rsidRDefault="001260B3" w:rsidP="008E468D"/>
        </w:tc>
        <w:tc>
          <w:tcPr>
            <w:tcW w:w="1985" w:type="dxa"/>
            <w:shd w:val="clear" w:color="auto" w:fill="auto"/>
          </w:tcPr>
          <w:p w14:paraId="420E3326" w14:textId="77777777" w:rsidR="001260B3" w:rsidRPr="00B027C8" w:rsidRDefault="001260B3" w:rsidP="008E468D">
            <w:r>
              <w:t>Renforcer la surveillance épidémiologique dans la zone du programme</w:t>
            </w:r>
          </w:p>
        </w:tc>
        <w:tc>
          <w:tcPr>
            <w:tcW w:w="5446" w:type="dxa"/>
            <w:shd w:val="clear" w:color="auto" w:fill="auto"/>
          </w:tcPr>
          <w:p w14:paraId="35CD0C33" w14:textId="77777777" w:rsidR="001260B3" w:rsidRDefault="001260B3" w:rsidP="008E468D">
            <w:pPr>
              <w:pStyle w:val="Paragraphedeliste"/>
              <w:numPr>
                <w:ilvl w:val="0"/>
                <w:numId w:val="171"/>
              </w:numPr>
              <w:spacing w:line="240" w:lineRule="auto"/>
              <w:ind w:left="226" w:hanging="226"/>
              <w:jc w:val="left"/>
            </w:pPr>
            <w:r w:rsidRPr="00772FF5">
              <w:t xml:space="preserve">Mise en place </w:t>
            </w:r>
            <w:r>
              <w:t xml:space="preserve">et doter toutes les </w:t>
            </w:r>
            <w:r w:rsidRPr="00772FF5">
              <w:t>équipes de contrôle au niveau de la zone du programme (entreprises, exploitations, marchés</w:t>
            </w:r>
            <w:r>
              <w:t xml:space="preserve"> et autres en EPI, thermoflashs, désinfectants, etc.</w:t>
            </w:r>
          </w:p>
          <w:p w14:paraId="1659E0BD" w14:textId="77777777" w:rsidR="001260B3" w:rsidRDefault="001260B3" w:rsidP="008E468D">
            <w:pPr>
              <w:pStyle w:val="Paragraphedeliste"/>
              <w:numPr>
                <w:ilvl w:val="0"/>
                <w:numId w:val="171"/>
              </w:numPr>
              <w:spacing w:line="240" w:lineRule="auto"/>
              <w:ind w:left="226" w:hanging="226"/>
              <w:jc w:val="left"/>
            </w:pPr>
            <w:r>
              <w:t>Obliger les entreprises à doter tous les travailleurs en EPI, thermoflashs, désinfectants, etc.</w:t>
            </w:r>
          </w:p>
          <w:p w14:paraId="110F6ED5" w14:textId="77777777" w:rsidR="001260B3" w:rsidRDefault="001260B3" w:rsidP="008E468D">
            <w:pPr>
              <w:pStyle w:val="Paragraphedeliste"/>
              <w:numPr>
                <w:ilvl w:val="0"/>
                <w:numId w:val="171"/>
              </w:numPr>
              <w:spacing w:line="240" w:lineRule="auto"/>
              <w:ind w:left="226" w:hanging="226"/>
              <w:jc w:val="left"/>
            </w:pPr>
            <w:r>
              <w:t>Notifier et investiguer tous les cas suspects de COVID -19</w:t>
            </w:r>
          </w:p>
          <w:p w14:paraId="181B8F63" w14:textId="77777777" w:rsidR="001260B3" w:rsidRDefault="001260B3" w:rsidP="008E468D">
            <w:pPr>
              <w:pStyle w:val="Paragraphedeliste"/>
              <w:numPr>
                <w:ilvl w:val="0"/>
                <w:numId w:val="171"/>
              </w:numPr>
              <w:spacing w:line="240" w:lineRule="auto"/>
              <w:ind w:left="226" w:hanging="226"/>
              <w:jc w:val="left"/>
            </w:pPr>
            <w:r>
              <w:t>Transférer tous les cas suspects aux centres de santés</w:t>
            </w:r>
          </w:p>
          <w:p w14:paraId="745890AB" w14:textId="77777777" w:rsidR="001260B3" w:rsidRPr="00772FF5" w:rsidRDefault="001260B3" w:rsidP="008E468D">
            <w:pPr>
              <w:pStyle w:val="Paragraphedeliste"/>
              <w:numPr>
                <w:ilvl w:val="0"/>
                <w:numId w:val="171"/>
              </w:numPr>
              <w:spacing w:line="240" w:lineRule="auto"/>
              <w:ind w:left="226" w:hanging="226"/>
              <w:jc w:val="left"/>
            </w:pPr>
            <w:r>
              <w:t xml:space="preserve">Etablir et transmettre mensuellement les rapports  </w:t>
            </w:r>
          </w:p>
          <w:p w14:paraId="04B2E9CF" w14:textId="77777777" w:rsidR="001260B3" w:rsidRPr="00B027C8" w:rsidRDefault="001260B3" w:rsidP="008E468D">
            <w:pPr>
              <w:numPr>
                <w:ilvl w:val="0"/>
                <w:numId w:val="171"/>
              </w:numPr>
              <w:spacing w:line="240" w:lineRule="auto"/>
              <w:ind w:left="226" w:hanging="226"/>
              <w:jc w:val="left"/>
            </w:pPr>
          </w:p>
        </w:tc>
        <w:tc>
          <w:tcPr>
            <w:tcW w:w="1996" w:type="dxa"/>
            <w:shd w:val="clear" w:color="auto" w:fill="auto"/>
          </w:tcPr>
          <w:p w14:paraId="5EC05D13" w14:textId="77777777" w:rsidR="001260B3" w:rsidRPr="00B027C8" w:rsidRDefault="001260B3" w:rsidP="008E468D">
            <w:r>
              <w:t>UNCP (SSS, SSE, Expert en communication), ONG et ministère de la santé</w:t>
            </w:r>
          </w:p>
        </w:tc>
        <w:tc>
          <w:tcPr>
            <w:tcW w:w="1665" w:type="dxa"/>
            <w:shd w:val="clear" w:color="auto" w:fill="auto"/>
          </w:tcPr>
          <w:p w14:paraId="14BF888F" w14:textId="77777777" w:rsidR="001260B3" w:rsidRPr="00B027C8" w:rsidRDefault="001260B3" w:rsidP="008E468D">
            <w:r>
              <w:t>Au démarrage des travaux</w:t>
            </w:r>
          </w:p>
        </w:tc>
        <w:tc>
          <w:tcPr>
            <w:tcW w:w="821" w:type="dxa"/>
            <w:shd w:val="clear" w:color="auto" w:fill="auto"/>
          </w:tcPr>
          <w:p w14:paraId="12E68395" w14:textId="77777777" w:rsidR="001260B3" w:rsidRPr="00B027C8" w:rsidRDefault="001260B3" w:rsidP="008E468D">
            <w:r>
              <w:t>PM</w:t>
            </w:r>
          </w:p>
        </w:tc>
      </w:tr>
      <w:tr w:rsidR="001260B3" w:rsidRPr="00B027C8" w14:paraId="66F3BD0D" w14:textId="77777777" w:rsidTr="002241BF">
        <w:trPr>
          <w:trHeight w:val="294"/>
        </w:trPr>
        <w:tc>
          <w:tcPr>
            <w:tcW w:w="1984" w:type="dxa"/>
            <w:vMerge/>
            <w:shd w:val="clear" w:color="auto" w:fill="auto"/>
          </w:tcPr>
          <w:p w14:paraId="702AA8FB" w14:textId="77777777" w:rsidR="001260B3" w:rsidRPr="00B027C8" w:rsidRDefault="001260B3" w:rsidP="008E468D"/>
        </w:tc>
        <w:tc>
          <w:tcPr>
            <w:tcW w:w="11915" w:type="dxa"/>
            <w:gridSpan w:val="5"/>
            <w:shd w:val="clear" w:color="auto" w:fill="auto"/>
          </w:tcPr>
          <w:p w14:paraId="2FA1A2EA" w14:textId="77777777" w:rsidR="001260B3" w:rsidRPr="00B027C8" w:rsidRDefault="001260B3" w:rsidP="008E468D">
            <w:r w:rsidRPr="008E468D">
              <w:rPr>
                <w:b/>
                <w:bCs/>
              </w:rPr>
              <w:t>Communication</w:t>
            </w:r>
          </w:p>
        </w:tc>
      </w:tr>
      <w:tr w:rsidR="001260B3" w:rsidRPr="00B027C8" w14:paraId="0E6C9957" w14:textId="77777777" w:rsidTr="002241BF">
        <w:trPr>
          <w:trHeight w:val="294"/>
        </w:trPr>
        <w:tc>
          <w:tcPr>
            <w:tcW w:w="1984" w:type="dxa"/>
            <w:vMerge/>
            <w:shd w:val="clear" w:color="auto" w:fill="auto"/>
          </w:tcPr>
          <w:p w14:paraId="2FA897F5" w14:textId="77777777" w:rsidR="001260B3" w:rsidRPr="00B027C8" w:rsidRDefault="001260B3" w:rsidP="008E468D"/>
        </w:tc>
        <w:tc>
          <w:tcPr>
            <w:tcW w:w="1985" w:type="dxa"/>
            <w:shd w:val="clear" w:color="auto" w:fill="auto"/>
          </w:tcPr>
          <w:p w14:paraId="71DA4B9F" w14:textId="77777777" w:rsidR="001260B3" w:rsidRPr="00B027C8" w:rsidRDefault="001260B3" w:rsidP="008E468D">
            <w:r>
              <w:t>Renforcer la communication et la mobilisation sociale pour le changement de comportement</w:t>
            </w:r>
          </w:p>
        </w:tc>
        <w:tc>
          <w:tcPr>
            <w:tcW w:w="5446" w:type="dxa"/>
            <w:shd w:val="clear" w:color="auto" w:fill="auto"/>
          </w:tcPr>
          <w:p w14:paraId="5E9406C0" w14:textId="77777777" w:rsidR="001260B3" w:rsidRDefault="001260B3" w:rsidP="008E468D">
            <w:pPr>
              <w:pStyle w:val="Paragraphedeliste"/>
              <w:numPr>
                <w:ilvl w:val="0"/>
                <w:numId w:val="171"/>
              </w:numPr>
              <w:spacing w:line="240" w:lineRule="auto"/>
              <w:ind w:left="226" w:hanging="226"/>
              <w:jc w:val="left"/>
            </w:pPr>
            <w:r w:rsidRPr="00900A3A">
              <w:t>Organiser des ateliers sur la COVID - 19 dans la zone du pro</w:t>
            </w:r>
            <w:r>
              <w:t>gramme</w:t>
            </w:r>
          </w:p>
          <w:p w14:paraId="6FD3D47B" w14:textId="77777777" w:rsidR="001260B3" w:rsidRDefault="001260B3" w:rsidP="008E468D">
            <w:pPr>
              <w:pStyle w:val="Paragraphedeliste"/>
              <w:numPr>
                <w:ilvl w:val="0"/>
                <w:numId w:val="171"/>
              </w:numPr>
              <w:spacing w:line="240" w:lineRule="auto"/>
              <w:ind w:left="226" w:hanging="226"/>
              <w:jc w:val="left"/>
            </w:pPr>
            <w:r>
              <w:t>Diffuser les messages (spots, etc.) sur les radios et télévisions rurales</w:t>
            </w:r>
          </w:p>
          <w:p w14:paraId="2C8B5FA1" w14:textId="77777777" w:rsidR="001260B3" w:rsidRPr="00900A3A" w:rsidRDefault="001260B3" w:rsidP="008E468D">
            <w:pPr>
              <w:pStyle w:val="Paragraphedeliste"/>
              <w:numPr>
                <w:ilvl w:val="0"/>
                <w:numId w:val="171"/>
              </w:numPr>
              <w:spacing w:line="240" w:lineRule="auto"/>
              <w:ind w:left="226" w:hanging="226"/>
              <w:jc w:val="left"/>
            </w:pPr>
            <w:r>
              <w:t>Organiser des journées d’information et d’orientation par province sur la COVID-19 à l’endroit des leaders et communautés locales, syndicats des transporteurs, entreprises, etc.</w:t>
            </w:r>
          </w:p>
        </w:tc>
        <w:tc>
          <w:tcPr>
            <w:tcW w:w="1996" w:type="dxa"/>
            <w:shd w:val="clear" w:color="auto" w:fill="auto"/>
          </w:tcPr>
          <w:p w14:paraId="79E08185" w14:textId="77777777" w:rsidR="001260B3" w:rsidRPr="00B027C8" w:rsidRDefault="001260B3" w:rsidP="008E468D">
            <w:r>
              <w:t>UNCP (SSS, SSE, Expert en communication), ONG et ministère de la santé</w:t>
            </w:r>
          </w:p>
        </w:tc>
        <w:tc>
          <w:tcPr>
            <w:tcW w:w="1665" w:type="dxa"/>
            <w:shd w:val="clear" w:color="auto" w:fill="auto"/>
          </w:tcPr>
          <w:p w14:paraId="34D5C9F2" w14:textId="77777777" w:rsidR="001260B3" w:rsidRPr="00B027C8" w:rsidRDefault="001260B3" w:rsidP="008E468D">
            <w:r>
              <w:t>Pendant la mise en œuvre des travaux</w:t>
            </w:r>
          </w:p>
        </w:tc>
        <w:tc>
          <w:tcPr>
            <w:tcW w:w="821" w:type="dxa"/>
            <w:shd w:val="clear" w:color="auto" w:fill="auto"/>
          </w:tcPr>
          <w:p w14:paraId="08B121DC" w14:textId="77777777" w:rsidR="001260B3" w:rsidRPr="00B027C8" w:rsidRDefault="001260B3" w:rsidP="008E468D">
            <w:r>
              <w:t>PM</w:t>
            </w:r>
          </w:p>
        </w:tc>
      </w:tr>
      <w:tr w:rsidR="001260B3" w:rsidRPr="00B027C8" w14:paraId="7F033CD5" w14:textId="77777777" w:rsidTr="002241BF">
        <w:trPr>
          <w:trHeight w:val="294"/>
        </w:trPr>
        <w:tc>
          <w:tcPr>
            <w:tcW w:w="1984" w:type="dxa"/>
            <w:vMerge w:val="restart"/>
            <w:shd w:val="clear" w:color="auto" w:fill="auto"/>
          </w:tcPr>
          <w:p w14:paraId="77435CB8" w14:textId="77777777" w:rsidR="001260B3" w:rsidRPr="00B027C8" w:rsidRDefault="001260B3" w:rsidP="008E468D"/>
        </w:tc>
        <w:tc>
          <w:tcPr>
            <w:tcW w:w="11915" w:type="dxa"/>
            <w:gridSpan w:val="5"/>
            <w:shd w:val="clear" w:color="auto" w:fill="auto"/>
          </w:tcPr>
          <w:p w14:paraId="6E48EEEF" w14:textId="77777777" w:rsidR="001260B3" w:rsidRPr="008E468D" w:rsidRDefault="001260B3" w:rsidP="008E468D">
            <w:pPr>
              <w:rPr>
                <w:b/>
                <w:bCs/>
              </w:rPr>
            </w:pPr>
            <w:r w:rsidRPr="008E468D">
              <w:rPr>
                <w:b/>
                <w:bCs/>
              </w:rPr>
              <w:t>Prevention et prise en charge des cas de COVID-19</w:t>
            </w:r>
          </w:p>
        </w:tc>
      </w:tr>
      <w:tr w:rsidR="001260B3" w:rsidRPr="00B027C8" w14:paraId="0218BEBA" w14:textId="77777777" w:rsidTr="002241BF">
        <w:trPr>
          <w:trHeight w:val="2787"/>
        </w:trPr>
        <w:tc>
          <w:tcPr>
            <w:tcW w:w="1984" w:type="dxa"/>
            <w:vMerge/>
            <w:shd w:val="clear" w:color="auto" w:fill="auto"/>
          </w:tcPr>
          <w:p w14:paraId="3A41BAE1" w14:textId="77777777" w:rsidR="001260B3" w:rsidRPr="00B027C8" w:rsidRDefault="001260B3" w:rsidP="008E468D"/>
        </w:tc>
        <w:tc>
          <w:tcPr>
            <w:tcW w:w="1985" w:type="dxa"/>
            <w:shd w:val="clear" w:color="auto" w:fill="auto"/>
          </w:tcPr>
          <w:p w14:paraId="06AB1B30" w14:textId="77777777" w:rsidR="001260B3" w:rsidRPr="00B027C8" w:rsidRDefault="001260B3" w:rsidP="008E468D">
            <w:r>
              <w:t>Renforcer les mesures de prévention et de prise en charge des cas</w:t>
            </w:r>
          </w:p>
        </w:tc>
        <w:tc>
          <w:tcPr>
            <w:tcW w:w="5446" w:type="dxa"/>
            <w:shd w:val="clear" w:color="auto" w:fill="auto"/>
          </w:tcPr>
          <w:p w14:paraId="6D3EC4EB" w14:textId="77777777" w:rsidR="001260B3" w:rsidRPr="00650F2F" w:rsidRDefault="001260B3" w:rsidP="008E468D">
            <w:pPr>
              <w:pStyle w:val="Paragraphedeliste"/>
              <w:numPr>
                <w:ilvl w:val="0"/>
                <w:numId w:val="171"/>
              </w:numPr>
              <w:spacing w:line="240" w:lineRule="auto"/>
              <w:ind w:left="226" w:hanging="226"/>
              <w:jc w:val="left"/>
            </w:pPr>
            <w:r w:rsidRPr="00650F2F">
              <w:t>Rendre disponible des dispositifs des lavages des mains au savon et les gels hydroalcooliques aux lieux publics</w:t>
            </w:r>
          </w:p>
          <w:p w14:paraId="1C156C53" w14:textId="77777777" w:rsidR="001260B3" w:rsidRDefault="001260B3" w:rsidP="008E468D">
            <w:pPr>
              <w:pStyle w:val="Paragraphedeliste"/>
              <w:numPr>
                <w:ilvl w:val="0"/>
                <w:numId w:val="171"/>
              </w:numPr>
              <w:spacing w:line="240" w:lineRule="auto"/>
              <w:ind w:left="226" w:hanging="226"/>
              <w:jc w:val="left"/>
            </w:pPr>
            <w:r>
              <w:t>Doter les cas suspects en masque</w:t>
            </w:r>
          </w:p>
          <w:p w14:paraId="7CE976DA" w14:textId="77777777" w:rsidR="001260B3" w:rsidRDefault="001260B3" w:rsidP="008E468D">
            <w:pPr>
              <w:pStyle w:val="Paragraphedeliste"/>
              <w:numPr>
                <w:ilvl w:val="0"/>
                <w:numId w:val="171"/>
              </w:numPr>
              <w:spacing w:line="240" w:lineRule="auto"/>
              <w:ind w:left="226" w:hanging="226"/>
              <w:jc w:val="left"/>
            </w:pPr>
            <w:r>
              <w:t>Doter les travailleurs en cache nez</w:t>
            </w:r>
          </w:p>
          <w:p w14:paraId="23818D12" w14:textId="77777777" w:rsidR="001260B3" w:rsidRDefault="001260B3" w:rsidP="008E468D">
            <w:pPr>
              <w:pStyle w:val="Paragraphedeliste"/>
              <w:numPr>
                <w:ilvl w:val="0"/>
                <w:numId w:val="171"/>
              </w:numPr>
              <w:spacing w:line="240" w:lineRule="auto"/>
              <w:ind w:left="226" w:hanging="226"/>
              <w:jc w:val="left"/>
            </w:pPr>
            <w:r>
              <w:t xml:space="preserve">Doter les </w:t>
            </w:r>
            <w:r w:rsidRPr="00CE2385">
              <w:t>comités provinciaux et territoriaux des épidémies</w:t>
            </w:r>
            <w:r>
              <w:t xml:space="preserve"> en EPI (cache nez, bonnet, combinaison, lunettes, gants)</w:t>
            </w:r>
          </w:p>
          <w:p w14:paraId="3C0DB964" w14:textId="77777777" w:rsidR="001260B3" w:rsidRPr="00B027C8" w:rsidRDefault="001260B3" w:rsidP="008E468D">
            <w:pPr>
              <w:pStyle w:val="Paragraphedeliste"/>
              <w:numPr>
                <w:ilvl w:val="0"/>
                <w:numId w:val="171"/>
              </w:numPr>
              <w:spacing w:line="240" w:lineRule="auto"/>
              <w:ind w:left="226" w:hanging="226"/>
              <w:jc w:val="left"/>
            </w:pPr>
            <w:r>
              <w:t>Signer un protocole d’accord avec les centres de santé pour la prise en charge des malades et cas suspects</w:t>
            </w:r>
          </w:p>
        </w:tc>
        <w:tc>
          <w:tcPr>
            <w:tcW w:w="1996" w:type="dxa"/>
            <w:shd w:val="clear" w:color="auto" w:fill="auto"/>
          </w:tcPr>
          <w:p w14:paraId="758E0099" w14:textId="77777777" w:rsidR="001260B3" w:rsidRPr="00B027C8" w:rsidRDefault="001260B3" w:rsidP="008E468D">
            <w:r>
              <w:t>UNCP (SSS, SSE, Expert en communication), ONG et ministère de la santé</w:t>
            </w:r>
          </w:p>
        </w:tc>
        <w:tc>
          <w:tcPr>
            <w:tcW w:w="1665" w:type="dxa"/>
            <w:shd w:val="clear" w:color="auto" w:fill="auto"/>
          </w:tcPr>
          <w:p w14:paraId="63B9F487" w14:textId="77777777" w:rsidR="001260B3" w:rsidRPr="00B027C8" w:rsidRDefault="001260B3" w:rsidP="008E468D">
            <w:r>
              <w:t>Pendant la mise en œuvre des travaux</w:t>
            </w:r>
          </w:p>
        </w:tc>
        <w:tc>
          <w:tcPr>
            <w:tcW w:w="821" w:type="dxa"/>
            <w:shd w:val="clear" w:color="auto" w:fill="auto"/>
          </w:tcPr>
          <w:p w14:paraId="6FE6BE20" w14:textId="77777777" w:rsidR="001260B3" w:rsidRPr="00B027C8" w:rsidRDefault="001260B3" w:rsidP="008E468D">
            <w:r>
              <w:t>PM</w:t>
            </w:r>
          </w:p>
        </w:tc>
      </w:tr>
      <w:tr w:rsidR="001260B3" w:rsidRPr="00B027C8" w14:paraId="737110D8" w14:textId="77777777" w:rsidTr="002241BF">
        <w:trPr>
          <w:trHeight w:val="313"/>
        </w:trPr>
        <w:tc>
          <w:tcPr>
            <w:tcW w:w="1984" w:type="dxa"/>
            <w:vMerge/>
            <w:shd w:val="clear" w:color="auto" w:fill="auto"/>
          </w:tcPr>
          <w:p w14:paraId="0A5984AB" w14:textId="77777777" w:rsidR="001260B3" w:rsidRPr="00B027C8" w:rsidRDefault="001260B3" w:rsidP="008E468D"/>
        </w:tc>
        <w:tc>
          <w:tcPr>
            <w:tcW w:w="1985" w:type="dxa"/>
            <w:shd w:val="clear" w:color="auto" w:fill="auto"/>
          </w:tcPr>
          <w:p w14:paraId="27435636" w14:textId="77777777" w:rsidR="001260B3" w:rsidRPr="00B027C8" w:rsidRDefault="001260B3" w:rsidP="008E468D"/>
        </w:tc>
        <w:tc>
          <w:tcPr>
            <w:tcW w:w="5446" w:type="dxa"/>
            <w:shd w:val="clear" w:color="auto" w:fill="auto"/>
          </w:tcPr>
          <w:p w14:paraId="5D4F2807" w14:textId="77777777" w:rsidR="001260B3" w:rsidRPr="00B027C8" w:rsidRDefault="001260B3" w:rsidP="008E468D"/>
        </w:tc>
        <w:tc>
          <w:tcPr>
            <w:tcW w:w="1996" w:type="dxa"/>
            <w:shd w:val="clear" w:color="auto" w:fill="auto"/>
          </w:tcPr>
          <w:p w14:paraId="40BF7E01" w14:textId="77777777" w:rsidR="001260B3" w:rsidRPr="00B027C8" w:rsidRDefault="001260B3" w:rsidP="008E468D"/>
        </w:tc>
        <w:tc>
          <w:tcPr>
            <w:tcW w:w="1665" w:type="dxa"/>
            <w:shd w:val="clear" w:color="auto" w:fill="auto"/>
          </w:tcPr>
          <w:p w14:paraId="0D51CC46" w14:textId="77777777" w:rsidR="001260B3" w:rsidRPr="00B027C8" w:rsidRDefault="001260B3" w:rsidP="008E468D"/>
        </w:tc>
        <w:tc>
          <w:tcPr>
            <w:tcW w:w="821" w:type="dxa"/>
            <w:shd w:val="clear" w:color="auto" w:fill="auto"/>
          </w:tcPr>
          <w:p w14:paraId="16166017" w14:textId="77777777" w:rsidR="001260B3" w:rsidRPr="00B027C8" w:rsidRDefault="001260B3" w:rsidP="008E468D"/>
        </w:tc>
      </w:tr>
      <w:tr w:rsidR="001260B3" w:rsidRPr="00B027C8" w14:paraId="1CE8F17C" w14:textId="77777777" w:rsidTr="002241BF">
        <w:trPr>
          <w:trHeight w:val="294"/>
        </w:trPr>
        <w:tc>
          <w:tcPr>
            <w:tcW w:w="1984" w:type="dxa"/>
            <w:vMerge/>
            <w:shd w:val="clear" w:color="auto" w:fill="auto"/>
          </w:tcPr>
          <w:p w14:paraId="53A01B0A" w14:textId="77777777" w:rsidR="001260B3" w:rsidRPr="00B027C8" w:rsidRDefault="001260B3" w:rsidP="008E468D"/>
        </w:tc>
        <w:tc>
          <w:tcPr>
            <w:tcW w:w="1985" w:type="dxa"/>
            <w:shd w:val="clear" w:color="auto" w:fill="auto"/>
          </w:tcPr>
          <w:p w14:paraId="403A301D" w14:textId="77777777" w:rsidR="001260B3" w:rsidRPr="00B027C8" w:rsidRDefault="001260B3" w:rsidP="008E468D"/>
        </w:tc>
        <w:tc>
          <w:tcPr>
            <w:tcW w:w="5446" w:type="dxa"/>
            <w:shd w:val="clear" w:color="auto" w:fill="auto"/>
          </w:tcPr>
          <w:p w14:paraId="1354AE71" w14:textId="77777777" w:rsidR="001260B3" w:rsidRPr="00B027C8" w:rsidRDefault="001260B3" w:rsidP="008E468D"/>
        </w:tc>
        <w:tc>
          <w:tcPr>
            <w:tcW w:w="1996" w:type="dxa"/>
            <w:shd w:val="clear" w:color="auto" w:fill="auto"/>
          </w:tcPr>
          <w:p w14:paraId="32B4D9BA" w14:textId="77777777" w:rsidR="001260B3" w:rsidRPr="00B027C8" w:rsidRDefault="001260B3" w:rsidP="008E468D"/>
        </w:tc>
        <w:tc>
          <w:tcPr>
            <w:tcW w:w="1665" w:type="dxa"/>
            <w:shd w:val="clear" w:color="auto" w:fill="auto"/>
          </w:tcPr>
          <w:p w14:paraId="5F1182A5" w14:textId="77777777" w:rsidR="001260B3" w:rsidRPr="00B027C8" w:rsidRDefault="001260B3" w:rsidP="008E468D"/>
        </w:tc>
        <w:tc>
          <w:tcPr>
            <w:tcW w:w="821" w:type="dxa"/>
            <w:shd w:val="clear" w:color="auto" w:fill="auto"/>
          </w:tcPr>
          <w:p w14:paraId="3DCDD81F" w14:textId="77777777" w:rsidR="001260B3" w:rsidRPr="00B027C8" w:rsidRDefault="001260B3" w:rsidP="008E468D"/>
        </w:tc>
      </w:tr>
    </w:tbl>
    <w:p w14:paraId="2F84DBD1" w14:textId="77777777" w:rsidR="001260B3" w:rsidRDefault="001260B3">
      <w:pPr>
        <w:spacing w:after="160" w:line="259" w:lineRule="auto"/>
        <w:jc w:val="left"/>
        <w:rPr>
          <w:rFonts w:cs="Arial"/>
          <w:bCs/>
          <w:i/>
          <w:sz w:val="22"/>
        </w:rPr>
      </w:pPr>
    </w:p>
    <w:p w14:paraId="16F1BC7E" w14:textId="77777777" w:rsidR="00DD3424" w:rsidRDefault="00DD3424" w:rsidP="00DD3424">
      <w:pPr>
        <w:pStyle w:val="Titre20"/>
        <w:sectPr w:rsidR="00DD3424" w:rsidSect="002241BF">
          <w:pgSz w:w="16839" w:h="11907" w:orient="landscape" w:code="9"/>
          <w:pgMar w:top="1418" w:right="1135" w:bottom="1417" w:left="1134" w:header="567" w:footer="397" w:gutter="0"/>
          <w:cols w:space="708"/>
          <w:docGrid w:linePitch="360"/>
        </w:sectPr>
      </w:pPr>
      <w:bookmarkStart w:id="789" w:name="_Toc63633342"/>
    </w:p>
    <w:p w14:paraId="52D8DFE6" w14:textId="77777777" w:rsidR="00DD3424" w:rsidRPr="002F3114" w:rsidRDefault="00DD3424" w:rsidP="002F3114">
      <w:pPr>
        <w:pStyle w:val="Titre2"/>
        <w:numPr>
          <w:ilvl w:val="2"/>
          <w:numId w:val="4"/>
        </w:numPr>
        <w:ind w:left="1560" w:hanging="709"/>
        <w:rPr>
          <w:rFonts w:cs="Arial"/>
          <w:i/>
          <w:sz w:val="22"/>
          <w:szCs w:val="22"/>
        </w:rPr>
      </w:pPr>
      <w:bookmarkStart w:id="790" w:name="_Toc70330505"/>
      <w:r w:rsidRPr="002F3114">
        <w:rPr>
          <w:rFonts w:cs="Arial"/>
          <w:i/>
          <w:sz w:val="22"/>
          <w:szCs w:val="22"/>
        </w:rPr>
        <w:t>Synthèse des besoins des parties prenantes au programme</w:t>
      </w:r>
      <w:bookmarkEnd w:id="789"/>
      <w:bookmarkEnd w:id="790"/>
      <w:r w:rsidRPr="002F3114">
        <w:rPr>
          <w:rFonts w:cs="Arial"/>
          <w:i/>
          <w:sz w:val="22"/>
          <w:szCs w:val="22"/>
        </w:rPr>
        <w:t xml:space="preserve"> </w:t>
      </w:r>
    </w:p>
    <w:p w14:paraId="6512683F" w14:textId="77777777" w:rsidR="00DD3424" w:rsidRDefault="00DD3424" w:rsidP="00DD3424">
      <w:pPr>
        <w:pStyle w:val="Lgende"/>
        <w:rPr>
          <w:rFonts w:cs="Arial"/>
          <w:sz w:val="20"/>
        </w:rPr>
      </w:pPr>
      <w:bookmarkStart w:id="791" w:name="_Toc63632643"/>
    </w:p>
    <w:p w14:paraId="0E363618" w14:textId="77777777" w:rsidR="00DD3424" w:rsidRDefault="00DD3424" w:rsidP="00DD3424">
      <w:pPr>
        <w:pStyle w:val="Lgende"/>
        <w:rPr>
          <w:rFonts w:cs="Arial"/>
          <w:sz w:val="20"/>
        </w:rPr>
      </w:pPr>
      <w:bookmarkStart w:id="792" w:name="_Toc70451681"/>
      <w:r w:rsidRPr="002F3114">
        <w:rPr>
          <w:rFonts w:cs="Arial"/>
          <w:sz w:val="20"/>
        </w:rPr>
        <w:t xml:space="preserve">Tableau </w:t>
      </w:r>
      <w:r w:rsidRPr="002F3114">
        <w:rPr>
          <w:rFonts w:cs="Arial"/>
          <w:sz w:val="20"/>
        </w:rPr>
        <w:fldChar w:fldCharType="begin"/>
      </w:r>
      <w:r w:rsidRPr="002F3114">
        <w:rPr>
          <w:rFonts w:cs="Arial"/>
          <w:sz w:val="20"/>
        </w:rPr>
        <w:instrText xml:space="preserve"> SEQ Tableau \* ARABIC </w:instrText>
      </w:r>
      <w:r w:rsidRPr="002F3114">
        <w:rPr>
          <w:rFonts w:cs="Arial"/>
          <w:sz w:val="20"/>
        </w:rPr>
        <w:fldChar w:fldCharType="separate"/>
      </w:r>
      <w:r w:rsidR="001260B3">
        <w:rPr>
          <w:rFonts w:cs="Arial"/>
          <w:noProof/>
          <w:sz w:val="20"/>
        </w:rPr>
        <w:t>35</w:t>
      </w:r>
      <w:r w:rsidRPr="002F3114">
        <w:rPr>
          <w:rFonts w:cs="Arial"/>
          <w:noProof/>
          <w:sz w:val="20"/>
        </w:rPr>
        <w:fldChar w:fldCharType="end"/>
      </w:r>
      <w:r w:rsidRPr="002F3114">
        <w:rPr>
          <w:rFonts w:cs="Arial"/>
          <w:sz w:val="20"/>
        </w:rPr>
        <w:t> : Synthèse des besoins des parties prenantes au programme</w:t>
      </w:r>
      <w:bookmarkEnd w:id="791"/>
      <w:bookmarkEnd w:id="792"/>
    </w:p>
    <w:p w14:paraId="50C5FE33" w14:textId="77777777" w:rsidR="00DD3424" w:rsidRPr="00B471E3" w:rsidRDefault="00DD3424" w:rsidP="002F3114"/>
    <w:tbl>
      <w:tblPr>
        <w:tblW w:w="15195" w:type="dxa"/>
        <w:tblInd w:w="5" w:type="dxa"/>
        <w:tblCellMar>
          <w:top w:w="15" w:type="dxa"/>
          <w:right w:w="61" w:type="dxa"/>
        </w:tblCellMar>
        <w:tblLook w:val="04A0" w:firstRow="1" w:lastRow="0" w:firstColumn="1" w:lastColumn="0" w:noHBand="0" w:noVBand="1"/>
      </w:tblPr>
      <w:tblGrid>
        <w:gridCol w:w="1862"/>
        <w:gridCol w:w="2239"/>
        <w:gridCol w:w="2325"/>
        <w:gridCol w:w="2818"/>
        <w:gridCol w:w="2461"/>
        <w:gridCol w:w="3490"/>
      </w:tblGrid>
      <w:tr w:rsidR="00BB0401" w:rsidRPr="00DD3424" w14:paraId="1A62E9E4" w14:textId="77777777" w:rsidTr="00730A4A">
        <w:trPr>
          <w:trHeight w:val="616"/>
        </w:trPr>
        <w:tc>
          <w:tcPr>
            <w:tcW w:w="1862" w:type="dxa"/>
            <w:tcBorders>
              <w:top w:val="single" w:sz="4" w:space="0" w:color="000000"/>
              <w:left w:val="single" w:sz="4" w:space="0" w:color="000000"/>
              <w:bottom w:val="single" w:sz="4" w:space="0" w:color="000000"/>
              <w:right w:val="single" w:sz="4" w:space="0" w:color="000000"/>
            </w:tcBorders>
            <w:shd w:val="clear" w:color="auto" w:fill="5B9BD5"/>
          </w:tcPr>
          <w:p w14:paraId="56B5CF4E" w14:textId="77777777" w:rsidR="00DD3424" w:rsidRPr="00730A4A" w:rsidRDefault="00DD3424" w:rsidP="00AE3A4F">
            <w:pPr>
              <w:rPr>
                <w:rFonts w:cs="Arial"/>
                <w:sz w:val="20"/>
                <w:szCs w:val="20"/>
              </w:rPr>
            </w:pPr>
            <w:r w:rsidRPr="00730A4A">
              <w:rPr>
                <w:rFonts w:cs="Arial"/>
                <w:b/>
                <w:sz w:val="20"/>
                <w:szCs w:val="20"/>
              </w:rPr>
              <w:t xml:space="preserve">Zone </w:t>
            </w:r>
          </w:p>
          <w:p w14:paraId="17DEC8F1" w14:textId="77777777" w:rsidR="00DD3424" w:rsidRPr="00730A4A" w:rsidRDefault="00DD3424" w:rsidP="00AE3A4F">
            <w:pPr>
              <w:rPr>
                <w:rFonts w:cs="Arial"/>
                <w:sz w:val="20"/>
                <w:szCs w:val="20"/>
              </w:rPr>
            </w:pPr>
            <w:r w:rsidRPr="00730A4A">
              <w:rPr>
                <w:rFonts w:cs="Arial"/>
                <w:b/>
                <w:sz w:val="20"/>
                <w:szCs w:val="20"/>
              </w:rPr>
              <w:t>d’intervention du programme</w:t>
            </w:r>
          </w:p>
        </w:tc>
        <w:tc>
          <w:tcPr>
            <w:tcW w:w="2239" w:type="dxa"/>
            <w:tcBorders>
              <w:top w:val="single" w:sz="4" w:space="0" w:color="000000"/>
              <w:left w:val="single" w:sz="4" w:space="0" w:color="000000"/>
              <w:bottom w:val="single" w:sz="4" w:space="0" w:color="000000"/>
              <w:right w:val="single" w:sz="4" w:space="0" w:color="000000"/>
            </w:tcBorders>
            <w:shd w:val="clear" w:color="auto" w:fill="5B9BD5"/>
          </w:tcPr>
          <w:p w14:paraId="58CF84B7" w14:textId="77777777" w:rsidR="00DD3424" w:rsidRPr="00730A4A" w:rsidRDefault="00DD3424" w:rsidP="00AE3A4F">
            <w:pPr>
              <w:rPr>
                <w:rFonts w:cs="Arial"/>
                <w:sz w:val="20"/>
                <w:szCs w:val="20"/>
              </w:rPr>
            </w:pPr>
            <w:r w:rsidRPr="00730A4A">
              <w:rPr>
                <w:rFonts w:cs="Arial"/>
                <w:b/>
                <w:sz w:val="20"/>
                <w:szCs w:val="20"/>
              </w:rPr>
              <w:t xml:space="preserve">Parties prenantes </w:t>
            </w:r>
          </w:p>
        </w:tc>
        <w:tc>
          <w:tcPr>
            <w:tcW w:w="2325" w:type="dxa"/>
            <w:tcBorders>
              <w:top w:val="single" w:sz="4" w:space="0" w:color="000000"/>
              <w:left w:val="single" w:sz="4" w:space="0" w:color="000000"/>
              <w:bottom w:val="single" w:sz="4" w:space="0" w:color="000000"/>
              <w:right w:val="single" w:sz="4" w:space="0" w:color="000000"/>
            </w:tcBorders>
            <w:shd w:val="clear" w:color="auto" w:fill="5B9BD5"/>
          </w:tcPr>
          <w:p w14:paraId="2C233F0B" w14:textId="77777777" w:rsidR="00DD3424" w:rsidRPr="00730A4A" w:rsidRDefault="00DD3424" w:rsidP="00AE3A4F">
            <w:pPr>
              <w:rPr>
                <w:rFonts w:cs="Arial"/>
                <w:sz w:val="20"/>
                <w:szCs w:val="20"/>
              </w:rPr>
            </w:pPr>
            <w:r w:rsidRPr="00730A4A">
              <w:rPr>
                <w:rFonts w:cs="Arial"/>
                <w:b/>
                <w:sz w:val="20"/>
                <w:szCs w:val="20"/>
              </w:rPr>
              <w:t xml:space="preserve">Principales caractéristiques </w:t>
            </w:r>
          </w:p>
        </w:tc>
        <w:tc>
          <w:tcPr>
            <w:tcW w:w="2818" w:type="dxa"/>
            <w:tcBorders>
              <w:top w:val="single" w:sz="4" w:space="0" w:color="000000"/>
              <w:left w:val="single" w:sz="4" w:space="0" w:color="000000"/>
              <w:bottom w:val="single" w:sz="4" w:space="0" w:color="000000"/>
              <w:right w:val="single" w:sz="4" w:space="0" w:color="000000"/>
            </w:tcBorders>
            <w:shd w:val="clear" w:color="auto" w:fill="5B9BD5"/>
          </w:tcPr>
          <w:p w14:paraId="5F364550" w14:textId="77777777" w:rsidR="00DD3424" w:rsidRPr="00730A4A" w:rsidRDefault="00DD3424" w:rsidP="00AE3A4F">
            <w:pPr>
              <w:rPr>
                <w:rFonts w:cs="Arial"/>
                <w:sz w:val="20"/>
                <w:szCs w:val="20"/>
              </w:rPr>
            </w:pPr>
            <w:r w:rsidRPr="00730A4A">
              <w:rPr>
                <w:rFonts w:cs="Arial"/>
                <w:b/>
                <w:sz w:val="20"/>
                <w:szCs w:val="20"/>
              </w:rPr>
              <w:t xml:space="preserve">Besoins linguistiques </w:t>
            </w:r>
          </w:p>
        </w:tc>
        <w:tc>
          <w:tcPr>
            <w:tcW w:w="2461" w:type="dxa"/>
            <w:tcBorders>
              <w:top w:val="single" w:sz="4" w:space="0" w:color="000000"/>
              <w:left w:val="single" w:sz="4" w:space="0" w:color="000000"/>
              <w:bottom w:val="single" w:sz="4" w:space="0" w:color="000000"/>
              <w:right w:val="single" w:sz="4" w:space="0" w:color="000000"/>
            </w:tcBorders>
            <w:shd w:val="clear" w:color="auto" w:fill="5B9BD5"/>
          </w:tcPr>
          <w:p w14:paraId="400DF05E" w14:textId="77777777" w:rsidR="00DD3424" w:rsidRPr="00730A4A" w:rsidRDefault="00DD3424" w:rsidP="00AE3A4F">
            <w:pPr>
              <w:rPr>
                <w:rFonts w:cs="Arial"/>
                <w:sz w:val="20"/>
                <w:szCs w:val="20"/>
              </w:rPr>
            </w:pPr>
            <w:r w:rsidRPr="00730A4A">
              <w:rPr>
                <w:rFonts w:cs="Arial"/>
                <w:b/>
                <w:sz w:val="20"/>
                <w:szCs w:val="20"/>
              </w:rPr>
              <w:t xml:space="preserve">Moyens de communications privilégiés  </w:t>
            </w:r>
          </w:p>
        </w:tc>
        <w:tc>
          <w:tcPr>
            <w:tcW w:w="3490" w:type="dxa"/>
            <w:tcBorders>
              <w:top w:val="single" w:sz="4" w:space="0" w:color="000000"/>
              <w:left w:val="single" w:sz="4" w:space="0" w:color="000000"/>
              <w:bottom w:val="single" w:sz="4" w:space="0" w:color="000000"/>
              <w:right w:val="single" w:sz="4" w:space="0" w:color="000000"/>
            </w:tcBorders>
            <w:shd w:val="clear" w:color="auto" w:fill="5B9BD5"/>
          </w:tcPr>
          <w:p w14:paraId="71CB2BF9" w14:textId="77777777" w:rsidR="00DD3424" w:rsidRPr="00730A4A" w:rsidRDefault="00DD3424" w:rsidP="00AE3A4F">
            <w:pPr>
              <w:rPr>
                <w:rFonts w:cs="Arial"/>
                <w:sz w:val="20"/>
                <w:szCs w:val="20"/>
              </w:rPr>
            </w:pPr>
            <w:r w:rsidRPr="00730A4A">
              <w:rPr>
                <w:rFonts w:cs="Arial"/>
                <w:b/>
                <w:sz w:val="20"/>
                <w:szCs w:val="20"/>
              </w:rPr>
              <w:t xml:space="preserve">Besoins spécifiques </w:t>
            </w:r>
          </w:p>
        </w:tc>
      </w:tr>
      <w:tr w:rsidR="00BB0401" w:rsidRPr="00DD3424" w14:paraId="0D26536F" w14:textId="77777777" w:rsidTr="00730A4A">
        <w:trPr>
          <w:trHeight w:val="818"/>
        </w:trPr>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5FB3A22C" w14:textId="77777777" w:rsidR="00DD3424" w:rsidRPr="00730A4A" w:rsidRDefault="00DD3424" w:rsidP="00AE3A4F">
            <w:pPr>
              <w:rPr>
                <w:rFonts w:cs="Arial"/>
                <w:sz w:val="20"/>
                <w:szCs w:val="20"/>
              </w:rPr>
            </w:pPr>
            <w:r w:rsidRPr="00730A4A">
              <w:rPr>
                <w:rFonts w:cs="Arial"/>
                <w:b/>
                <w:sz w:val="20"/>
                <w:szCs w:val="20"/>
              </w:rPr>
              <w:t xml:space="preserve">A ce stade les sites ne sont pas encore </w:t>
            </w:r>
          </w:p>
          <w:p w14:paraId="096163BB" w14:textId="77777777" w:rsidR="00DD3424" w:rsidRPr="00730A4A" w:rsidRDefault="00DD3424" w:rsidP="00AE3A4F">
            <w:pPr>
              <w:rPr>
                <w:rFonts w:cs="Arial"/>
                <w:b/>
                <w:sz w:val="20"/>
                <w:szCs w:val="20"/>
              </w:rPr>
            </w:pPr>
            <w:r w:rsidRPr="00730A4A">
              <w:rPr>
                <w:rFonts w:cs="Arial"/>
                <w:b/>
                <w:sz w:val="20"/>
                <w:szCs w:val="20"/>
              </w:rPr>
              <w:t xml:space="preserve">identifiés avec précision </w:t>
            </w: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783BA611" w14:textId="77777777" w:rsidR="00DD3424" w:rsidRPr="00730A4A" w:rsidRDefault="00DD3424" w:rsidP="00AE3A4F">
            <w:pPr>
              <w:rPr>
                <w:rFonts w:cs="Arial"/>
                <w:sz w:val="20"/>
                <w:szCs w:val="20"/>
              </w:rPr>
            </w:pPr>
            <w:r w:rsidRPr="00730A4A">
              <w:rPr>
                <w:rFonts w:cs="Arial"/>
                <w:sz w:val="20"/>
                <w:szCs w:val="20"/>
              </w:rPr>
              <w:t>Populations locales</w:t>
            </w:r>
          </w:p>
          <w:p w14:paraId="235ECFAA" w14:textId="77777777" w:rsidR="00DD3424" w:rsidRPr="00730A4A" w:rsidRDefault="00DD3424" w:rsidP="00AE3A4F">
            <w:pPr>
              <w:rPr>
                <w:rFonts w:cs="Arial"/>
                <w:sz w:val="20"/>
                <w:szCs w:val="20"/>
              </w:rPr>
            </w:pPr>
            <w:r w:rsidRPr="00730A4A">
              <w:rPr>
                <w:rFonts w:cs="Arial"/>
                <w:sz w:val="20"/>
                <w:szCs w:val="20"/>
              </w:rPr>
              <w:t xml:space="preserve"> (bantu)</w:t>
            </w:r>
          </w:p>
          <w:p w14:paraId="07517F68" w14:textId="77777777" w:rsidR="00DD3424" w:rsidRPr="00730A4A" w:rsidRDefault="00DD3424" w:rsidP="00AE3A4F">
            <w:pPr>
              <w:rPr>
                <w:rFonts w:cs="Arial"/>
                <w:b/>
                <w:sz w:val="20"/>
                <w:szCs w:val="20"/>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5C9179AB" w14:textId="77777777" w:rsidR="00DD3424" w:rsidRPr="00730A4A" w:rsidRDefault="00DD3424" w:rsidP="00AE3A4F">
            <w:pPr>
              <w:rPr>
                <w:rFonts w:cs="Arial"/>
                <w:b/>
                <w:sz w:val="20"/>
                <w:szCs w:val="20"/>
              </w:rPr>
            </w:pPr>
            <w:r w:rsidRPr="00730A4A">
              <w:rPr>
                <w:rFonts w:cs="Arial"/>
                <w:sz w:val="20"/>
                <w:szCs w:val="20"/>
              </w:rPr>
              <w:t xml:space="preserve">Niveau d’instruction (de faible à nul) </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14:paraId="53F57A80" w14:textId="77777777" w:rsidR="00DD3424" w:rsidRPr="00730A4A" w:rsidRDefault="00DD3424" w:rsidP="00AE3A4F">
            <w:pPr>
              <w:rPr>
                <w:rFonts w:cs="Arial"/>
                <w:sz w:val="20"/>
                <w:szCs w:val="20"/>
              </w:rPr>
            </w:pPr>
            <w:r w:rsidRPr="00730A4A">
              <w:rPr>
                <w:rFonts w:cs="Arial"/>
                <w:sz w:val="20"/>
                <w:szCs w:val="20"/>
              </w:rPr>
              <w:t xml:space="preserve">Traduction des informations dans les  </w:t>
            </w:r>
          </w:p>
          <w:p w14:paraId="0B695120" w14:textId="77777777" w:rsidR="00DD3424" w:rsidRPr="00730A4A" w:rsidRDefault="00DD3424" w:rsidP="00AE3A4F">
            <w:pPr>
              <w:rPr>
                <w:rFonts w:cs="Arial"/>
                <w:sz w:val="20"/>
                <w:szCs w:val="20"/>
              </w:rPr>
            </w:pPr>
            <w:r w:rsidRPr="00730A4A">
              <w:rPr>
                <w:rFonts w:cs="Arial"/>
                <w:sz w:val="20"/>
                <w:szCs w:val="20"/>
              </w:rPr>
              <w:t>Langues locales parlées :</w:t>
            </w:r>
          </w:p>
          <w:p w14:paraId="6259FD2F" w14:textId="77777777" w:rsidR="00DD3424" w:rsidRPr="00730A4A" w:rsidRDefault="00DD3424" w:rsidP="00AE3A4F">
            <w:pPr>
              <w:rPr>
                <w:rFonts w:cs="Arial"/>
                <w:sz w:val="20"/>
                <w:szCs w:val="20"/>
              </w:rPr>
            </w:pPr>
            <w:r w:rsidRPr="00730A4A">
              <w:rPr>
                <w:rFonts w:cs="Arial"/>
                <w:sz w:val="20"/>
                <w:szCs w:val="20"/>
              </w:rPr>
              <w:t>Swahili,</w:t>
            </w:r>
            <w:r w:rsidR="009430EB" w:rsidRPr="00730A4A">
              <w:rPr>
                <w:rFonts w:cs="Arial"/>
                <w:sz w:val="20"/>
                <w:szCs w:val="20"/>
              </w:rPr>
              <w:t xml:space="preserve"> </w:t>
            </w:r>
            <w:r w:rsidRPr="00730A4A">
              <w:rPr>
                <w:rFonts w:cs="Arial"/>
                <w:sz w:val="20"/>
                <w:szCs w:val="20"/>
              </w:rPr>
              <w:t>Kikongo, tshiluba</w:t>
            </w:r>
          </w:p>
          <w:p w14:paraId="3152D5A2" w14:textId="77777777" w:rsidR="00DD3424" w:rsidRPr="00730A4A" w:rsidRDefault="00DD3424" w:rsidP="00AE3A4F">
            <w:pPr>
              <w:rPr>
                <w:rFonts w:cs="Arial"/>
                <w:sz w:val="20"/>
                <w:szCs w:val="20"/>
              </w:rPr>
            </w:pPr>
            <w:r w:rsidRPr="00730A4A">
              <w:rPr>
                <w:rFonts w:cs="Arial"/>
                <w:sz w:val="20"/>
                <w:szCs w:val="20"/>
              </w:rPr>
              <w:t>Aussi tenir compte des autres langues locales (dialecte ex </w:t>
            </w:r>
            <w:r w:rsidR="009430EB" w:rsidRPr="00730A4A">
              <w:rPr>
                <w:rFonts w:cs="Arial"/>
                <w:sz w:val="20"/>
                <w:szCs w:val="20"/>
              </w:rPr>
              <w:t>: au</w:t>
            </w:r>
            <w:r w:rsidRPr="00730A4A">
              <w:rPr>
                <w:rFonts w:cs="Arial"/>
                <w:sz w:val="20"/>
                <w:szCs w:val="20"/>
              </w:rPr>
              <w:t xml:space="preserve"> Kwilu :</w:t>
            </w:r>
            <w:r w:rsidR="002F3114" w:rsidRPr="00730A4A">
              <w:rPr>
                <w:rFonts w:cs="Arial"/>
                <w:sz w:val="20"/>
                <w:szCs w:val="20"/>
              </w:rPr>
              <w:t xml:space="preserve"> </w:t>
            </w:r>
            <w:r w:rsidRPr="00730A4A">
              <w:rPr>
                <w:rFonts w:cs="Arial"/>
                <w:sz w:val="20"/>
                <w:szCs w:val="20"/>
              </w:rPr>
              <w:t>Kimbala, Kibunda, Kiyansi, Kipende, au nord kivuKinyabwisha, le Kinande et le Kihunde) selon les réalités de chaque province d’intervention du Programme</w:t>
            </w:r>
          </w:p>
          <w:p w14:paraId="51DA6E5C" w14:textId="77777777" w:rsidR="00DD3424" w:rsidRPr="00730A4A" w:rsidRDefault="00DD3424" w:rsidP="00AE3A4F">
            <w:pPr>
              <w:rPr>
                <w:rFonts w:cs="Arial"/>
                <w:b/>
                <w:sz w:val="20"/>
                <w:szCs w:val="20"/>
              </w:rPr>
            </w:pP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14:paraId="43C89657" w14:textId="77777777" w:rsidR="00DD3424" w:rsidRPr="00730A4A" w:rsidRDefault="00DD3424" w:rsidP="00AE3A4F">
            <w:pPr>
              <w:rPr>
                <w:rFonts w:cs="Arial"/>
                <w:sz w:val="20"/>
                <w:szCs w:val="20"/>
              </w:rPr>
            </w:pPr>
            <w:r w:rsidRPr="00730A4A">
              <w:rPr>
                <w:rFonts w:cs="Arial"/>
                <w:sz w:val="20"/>
                <w:szCs w:val="20"/>
              </w:rPr>
              <w:t>-Réunions, assemblées générales</w:t>
            </w:r>
          </w:p>
          <w:p w14:paraId="013C560F" w14:textId="77777777" w:rsidR="00DD3424" w:rsidRPr="00730A4A" w:rsidRDefault="00DD3424" w:rsidP="00AE3A4F">
            <w:pPr>
              <w:rPr>
                <w:rFonts w:cs="Arial"/>
                <w:sz w:val="20"/>
                <w:szCs w:val="20"/>
              </w:rPr>
            </w:pPr>
            <w:r w:rsidRPr="00730A4A">
              <w:rPr>
                <w:rFonts w:cs="Arial"/>
                <w:sz w:val="20"/>
                <w:szCs w:val="20"/>
              </w:rPr>
              <w:t xml:space="preserve">-Vidéo </w:t>
            </w:r>
          </w:p>
          <w:p w14:paraId="02BE37BF" w14:textId="77777777" w:rsidR="00DD3424" w:rsidRPr="00730A4A" w:rsidRDefault="00DD3424" w:rsidP="00AE3A4F">
            <w:pPr>
              <w:rPr>
                <w:rFonts w:cs="Arial"/>
                <w:sz w:val="20"/>
                <w:szCs w:val="20"/>
              </w:rPr>
            </w:pPr>
            <w:r w:rsidRPr="00730A4A">
              <w:rPr>
                <w:rFonts w:cs="Arial"/>
                <w:sz w:val="20"/>
                <w:szCs w:val="20"/>
              </w:rPr>
              <w:t xml:space="preserve">(projection) </w:t>
            </w:r>
          </w:p>
          <w:p w14:paraId="566D5A00" w14:textId="77777777" w:rsidR="00DD3424" w:rsidRPr="00730A4A" w:rsidRDefault="00DD3424" w:rsidP="00AE3A4F">
            <w:pPr>
              <w:rPr>
                <w:rFonts w:cs="Arial"/>
                <w:sz w:val="20"/>
                <w:szCs w:val="20"/>
              </w:rPr>
            </w:pPr>
            <w:r w:rsidRPr="00730A4A">
              <w:rPr>
                <w:rFonts w:cs="Arial"/>
                <w:sz w:val="20"/>
                <w:szCs w:val="20"/>
              </w:rPr>
              <w:t>Organe de presse :</w:t>
            </w:r>
          </w:p>
          <w:p w14:paraId="3C229F82" w14:textId="77777777" w:rsidR="00DD3424" w:rsidRPr="00730A4A" w:rsidRDefault="00DD3424" w:rsidP="00730A4A">
            <w:pPr>
              <w:numPr>
                <w:ilvl w:val="0"/>
                <w:numId w:val="135"/>
              </w:numPr>
              <w:tabs>
                <w:tab w:val="left" w:pos="280"/>
              </w:tabs>
              <w:spacing w:line="240" w:lineRule="auto"/>
              <w:ind w:left="0"/>
              <w:rPr>
                <w:rFonts w:cs="Arial"/>
                <w:sz w:val="20"/>
                <w:szCs w:val="20"/>
              </w:rPr>
            </w:pPr>
            <w:r w:rsidRPr="00730A4A">
              <w:rPr>
                <w:rFonts w:cs="Arial"/>
                <w:sz w:val="20"/>
                <w:szCs w:val="20"/>
              </w:rPr>
              <w:t xml:space="preserve">Radio ; </w:t>
            </w:r>
          </w:p>
          <w:p w14:paraId="174DFFDE" w14:textId="77777777" w:rsidR="00DD3424" w:rsidRPr="00730A4A" w:rsidRDefault="00DD3424" w:rsidP="00730A4A">
            <w:pPr>
              <w:numPr>
                <w:ilvl w:val="0"/>
                <w:numId w:val="135"/>
              </w:numPr>
              <w:tabs>
                <w:tab w:val="left" w:pos="280"/>
              </w:tabs>
              <w:spacing w:line="240" w:lineRule="auto"/>
              <w:ind w:left="0"/>
              <w:rPr>
                <w:rFonts w:cs="Arial"/>
                <w:sz w:val="20"/>
                <w:szCs w:val="20"/>
              </w:rPr>
            </w:pPr>
            <w:r w:rsidRPr="00730A4A">
              <w:rPr>
                <w:rFonts w:cs="Arial"/>
                <w:sz w:val="20"/>
                <w:szCs w:val="20"/>
              </w:rPr>
              <w:t xml:space="preserve">Presse écrite </w:t>
            </w:r>
          </w:p>
          <w:p w14:paraId="265D9F9F" w14:textId="77777777" w:rsidR="00DD3424" w:rsidRPr="00730A4A" w:rsidRDefault="00DD3424" w:rsidP="00730A4A">
            <w:pPr>
              <w:numPr>
                <w:ilvl w:val="0"/>
                <w:numId w:val="135"/>
              </w:numPr>
              <w:tabs>
                <w:tab w:val="left" w:pos="280"/>
              </w:tabs>
              <w:spacing w:line="240" w:lineRule="auto"/>
              <w:ind w:left="0"/>
              <w:rPr>
                <w:rFonts w:cs="Arial"/>
                <w:sz w:val="20"/>
                <w:szCs w:val="20"/>
              </w:rPr>
            </w:pPr>
            <w:r w:rsidRPr="00730A4A">
              <w:rPr>
                <w:rFonts w:cs="Arial"/>
                <w:sz w:val="20"/>
                <w:szCs w:val="20"/>
              </w:rPr>
              <w:t xml:space="preserve">téléphone ; </w:t>
            </w:r>
          </w:p>
          <w:p w14:paraId="70C16489" w14:textId="77777777" w:rsidR="00DD3424" w:rsidRPr="00730A4A" w:rsidRDefault="00DD3424" w:rsidP="00730A4A">
            <w:pPr>
              <w:numPr>
                <w:ilvl w:val="0"/>
                <w:numId w:val="135"/>
              </w:numPr>
              <w:tabs>
                <w:tab w:val="left" w:pos="280"/>
              </w:tabs>
              <w:spacing w:line="240" w:lineRule="auto"/>
              <w:ind w:left="0"/>
              <w:rPr>
                <w:rFonts w:cs="Arial"/>
                <w:sz w:val="20"/>
                <w:szCs w:val="20"/>
              </w:rPr>
            </w:pPr>
            <w:r w:rsidRPr="00730A4A">
              <w:rPr>
                <w:rFonts w:cs="Arial"/>
                <w:sz w:val="20"/>
                <w:szCs w:val="20"/>
              </w:rPr>
              <w:t xml:space="preserve">internet </w:t>
            </w:r>
          </w:p>
          <w:p w14:paraId="463ACA70" w14:textId="77777777" w:rsidR="00DD3424" w:rsidRPr="00730A4A" w:rsidRDefault="00DD3424" w:rsidP="00AE3A4F">
            <w:pPr>
              <w:rPr>
                <w:rFonts w:cs="Arial"/>
                <w:sz w:val="20"/>
                <w:szCs w:val="20"/>
              </w:rPr>
            </w:pPr>
            <w:r w:rsidRPr="00730A4A">
              <w:rPr>
                <w:rFonts w:cs="Arial"/>
                <w:sz w:val="20"/>
                <w:szCs w:val="20"/>
              </w:rPr>
              <w:t xml:space="preserve">-Whatsapp facebook twiter; entretiens directs ou semi directs ; focus groups ;  Crieur public </w:t>
            </w:r>
          </w:p>
          <w:p w14:paraId="58750F77" w14:textId="77777777" w:rsidR="00DD3424" w:rsidRPr="00730A4A" w:rsidRDefault="00DD3424" w:rsidP="00AE3A4F">
            <w:pPr>
              <w:rPr>
                <w:rFonts w:cs="Arial"/>
                <w:b/>
                <w:sz w:val="20"/>
                <w:szCs w:val="20"/>
              </w:rPr>
            </w:pPr>
            <w:r w:rsidRPr="00730A4A">
              <w:rPr>
                <w:rFonts w:cs="Arial"/>
                <w:sz w:val="20"/>
                <w:szCs w:val="20"/>
              </w:rPr>
              <w:t xml:space="preserve">Affiches </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1DDF2DD6" w14:textId="77777777" w:rsidR="00DD3424" w:rsidRPr="00730A4A" w:rsidRDefault="00DD3424" w:rsidP="00AE3A4F">
            <w:pPr>
              <w:rPr>
                <w:rFonts w:cs="Arial"/>
                <w:sz w:val="20"/>
                <w:szCs w:val="20"/>
              </w:rPr>
            </w:pPr>
            <w:r w:rsidRPr="00730A4A">
              <w:rPr>
                <w:rFonts w:cs="Arial"/>
                <w:sz w:val="20"/>
                <w:szCs w:val="20"/>
              </w:rPr>
              <w:t>Création des radio</w:t>
            </w:r>
            <w:r w:rsidR="009430EB" w:rsidRPr="00730A4A">
              <w:rPr>
                <w:rFonts w:cs="Arial"/>
                <w:sz w:val="20"/>
                <w:szCs w:val="20"/>
              </w:rPr>
              <w:t>s</w:t>
            </w:r>
            <w:r w:rsidRPr="00730A4A">
              <w:rPr>
                <w:rFonts w:cs="Arial"/>
                <w:sz w:val="20"/>
                <w:szCs w:val="20"/>
              </w:rPr>
              <w:t xml:space="preserve"> clubs</w:t>
            </w:r>
          </w:p>
          <w:p w14:paraId="15EE29E9" w14:textId="77777777" w:rsidR="00DD3424" w:rsidRPr="00730A4A" w:rsidRDefault="00DD3424" w:rsidP="00AE3A4F">
            <w:pPr>
              <w:rPr>
                <w:rFonts w:cs="Arial"/>
                <w:b/>
                <w:sz w:val="20"/>
                <w:szCs w:val="20"/>
              </w:rPr>
            </w:pPr>
            <w:r w:rsidRPr="00730A4A">
              <w:rPr>
                <w:rFonts w:cs="Arial"/>
                <w:sz w:val="20"/>
                <w:szCs w:val="20"/>
              </w:rPr>
              <w:t xml:space="preserve">Organisation des tribunes d’expression populaire, des théâtres participatifs, des boites </w:t>
            </w:r>
            <w:r w:rsidR="009430EB" w:rsidRPr="00730A4A">
              <w:rPr>
                <w:rFonts w:cs="Arial"/>
                <w:sz w:val="20"/>
                <w:szCs w:val="20"/>
              </w:rPr>
              <w:t>à</w:t>
            </w:r>
            <w:r w:rsidRPr="00730A4A">
              <w:rPr>
                <w:rFonts w:cs="Arial"/>
                <w:sz w:val="20"/>
                <w:szCs w:val="20"/>
              </w:rPr>
              <w:t xml:space="preserve"> images en y ajoutant des jeux de rôle </w:t>
            </w:r>
          </w:p>
          <w:p w14:paraId="6CCA87D7" w14:textId="77777777" w:rsidR="00DD3424" w:rsidRPr="00730A4A" w:rsidRDefault="00DD3424" w:rsidP="00AE3A4F">
            <w:pPr>
              <w:rPr>
                <w:rFonts w:cs="Arial"/>
                <w:b/>
                <w:sz w:val="20"/>
                <w:szCs w:val="20"/>
              </w:rPr>
            </w:pPr>
            <w:r w:rsidRPr="00730A4A">
              <w:rPr>
                <w:rFonts w:cs="Arial"/>
                <w:sz w:val="20"/>
                <w:szCs w:val="20"/>
              </w:rPr>
              <w:t>privilégier les émissions existantes dans les chaines locales et qui parlent de l’agriculture, pêche et élevage au lieu d’en créer d’autres ;</w:t>
            </w:r>
          </w:p>
          <w:p w14:paraId="30CA25CA" w14:textId="77777777" w:rsidR="00DD3424" w:rsidRPr="00730A4A" w:rsidRDefault="00DD3424" w:rsidP="00AE3A4F">
            <w:pPr>
              <w:rPr>
                <w:rFonts w:cs="Arial"/>
                <w:sz w:val="20"/>
                <w:szCs w:val="20"/>
              </w:rPr>
            </w:pPr>
            <w:r w:rsidRPr="00730A4A">
              <w:rPr>
                <w:rFonts w:cs="Arial"/>
                <w:sz w:val="20"/>
                <w:szCs w:val="20"/>
              </w:rPr>
              <w:t>création de cadres d’écoutes avec les clubs d’auditeurs, surtout en milieu rural.</w:t>
            </w:r>
          </w:p>
          <w:p w14:paraId="56187266" w14:textId="77777777" w:rsidR="00DD3424" w:rsidRPr="00730A4A" w:rsidRDefault="00DD3424" w:rsidP="00AE3A4F">
            <w:pPr>
              <w:rPr>
                <w:rFonts w:cs="Arial"/>
                <w:sz w:val="20"/>
                <w:szCs w:val="20"/>
              </w:rPr>
            </w:pPr>
            <w:r w:rsidRPr="00730A4A">
              <w:rPr>
                <w:rFonts w:cs="Arial"/>
                <w:sz w:val="20"/>
                <w:szCs w:val="20"/>
              </w:rPr>
              <w:t xml:space="preserve">diffusion de message sur les opportunités et les risques du programme y compris la période de démarrage  </w:t>
            </w:r>
          </w:p>
          <w:p w14:paraId="02E99FDB" w14:textId="77777777" w:rsidR="00DD3424" w:rsidRPr="00730A4A" w:rsidRDefault="00DD3424" w:rsidP="00AE3A4F">
            <w:pPr>
              <w:rPr>
                <w:rFonts w:cs="Arial"/>
                <w:sz w:val="20"/>
                <w:szCs w:val="20"/>
              </w:rPr>
            </w:pPr>
            <w:r w:rsidRPr="00730A4A">
              <w:rPr>
                <w:rFonts w:cs="Arial"/>
                <w:sz w:val="20"/>
                <w:szCs w:val="20"/>
              </w:rPr>
              <w:t xml:space="preserve"> </w:t>
            </w:r>
          </w:p>
          <w:p w14:paraId="57A63E25" w14:textId="77777777" w:rsidR="00DD3424" w:rsidRPr="00730A4A" w:rsidRDefault="00DD3424" w:rsidP="00AE3A4F">
            <w:pPr>
              <w:rPr>
                <w:rFonts w:cs="Arial"/>
                <w:sz w:val="20"/>
                <w:szCs w:val="20"/>
              </w:rPr>
            </w:pPr>
            <w:r w:rsidRPr="00730A4A">
              <w:rPr>
                <w:rFonts w:cs="Arial"/>
                <w:sz w:val="20"/>
                <w:szCs w:val="20"/>
              </w:rPr>
              <w:t xml:space="preserve">Implication au processus d’évaluation et de gestion des risques/impacts et mesures d’atténuation des </w:t>
            </w:r>
          </w:p>
          <w:p w14:paraId="1FAAE404" w14:textId="77777777" w:rsidR="00DD3424" w:rsidRPr="00730A4A" w:rsidRDefault="00DD3424" w:rsidP="00AE3A4F">
            <w:pPr>
              <w:rPr>
                <w:rFonts w:cs="Arial"/>
                <w:sz w:val="20"/>
                <w:szCs w:val="20"/>
              </w:rPr>
            </w:pPr>
            <w:r w:rsidRPr="00730A4A">
              <w:rPr>
                <w:rFonts w:cs="Arial"/>
                <w:sz w:val="20"/>
                <w:szCs w:val="20"/>
              </w:rPr>
              <w:t xml:space="preserve">impacts (VIH/Sida, </w:t>
            </w:r>
          </w:p>
          <w:p w14:paraId="79FA3E5F" w14:textId="77777777" w:rsidR="00DD3424" w:rsidRPr="00730A4A" w:rsidRDefault="00DD3424" w:rsidP="00AE3A4F">
            <w:pPr>
              <w:rPr>
                <w:rFonts w:cs="Arial"/>
                <w:sz w:val="20"/>
                <w:szCs w:val="20"/>
              </w:rPr>
            </w:pPr>
            <w:r w:rsidRPr="00730A4A">
              <w:rPr>
                <w:rFonts w:cs="Arial"/>
                <w:sz w:val="20"/>
                <w:szCs w:val="20"/>
              </w:rPr>
              <w:t>VBG/AES/HS ; VCE Covid 19, feux de brousse,</w:t>
            </w:r>
          </w:p>
          <w:p w14:paraId="1037C950" w14:textId="77777777" w:rsidR="00DD3424" w:rsidRPr="00730A4A" w:rsidRDefault="00DD3424" w:rsidP="00AE3A4F">
            <w:pPr>
              <w:rPr>
                <w:rFonts w:cs="Arial"/>
                <w:sz w:val="20"/>
                <w:szCs w:val="20"/>
              </w:rPr>
            </w:pPr>
            <w:r w:rsidRPr="00730A4A">
              <w:rPr>
                <w:rFonts w:cs="Arial"/>
                <w:sz w:val="20"/>
                <w:szCs w:val="20"/>
              </w:rPr>
              <w:t xml:space="preserve">Consultation des PP pour </w:t>
            </w:r>
          </w:p>
          <w:p w14:paraId="4732ACD9" w14:textId="77777777" w:rsidR="00DD3424" w:rsidRPr="00730A4A" w:rsidRDefault="00DD3424" w:rsidP="00AE3A4F">
            <w:pPr>
              <w:rPr>
                <w:rFonts w:cs="Arial"/>
                <w:sz w:val="20"/>
                <w:szCs w:val="20"/>
              </w:rPr>
            </w:pPr>
            <w:r w:rsidRPr="00730A4A">
              <w:rPr>
                <w:rFonts w:cs="Arial"/>
                <w:sz w:val="20"/>
                <w:szCs w:val="20"/>
              </w:rPr>
              <w:t xml:space="preserve">l’élaboration du MGP (les systèmes traditionnels de gestion des plaintes à capitaliser,  </w:t>
            </w:r>
          </w:p>
          <w:p w14:paraId="7E1DCFCE" w14:textId="77777777" w:rsidR="00DD3424" w:rsidRPr="00730A4A" w:rsidRDefault="00DD3424" w:rsidP="00AE3A4F">
            <w:pPr>
              <w:rPr>
                <w:rFonts w:cs="Arial"/>
                <w:sz w:val="20"/>
                <w:szCs w:val="20"/>
              </w:rPr>
            </w:pPr>
            <w:r w:rsidRPr="00730A4A">
              <w:rPr>
                <w:rFonts w:cs="Arial"/>
                <w:sz w:val="20"/>
                <w:szCs w:val="20"/>
              </w:rPr>
              <w:t xml:space="preserve">Consultation et prise en compte des avis, préoccupations et recommandation des parties prenantes </w:t>
            </w:r>
          </w:p>
          <w:p w14:paraId="58B9FCE8" w14:textId="77777777" w:rsidR="00DD3424" w:rsidRPr="00730A4A" w:rsidRDefault="00DD3424" w:rsidP="00AE3A4F">
            <w:pPr>
              <w:rPr>
                <w:rFonts w:cs="Arial"/>
                <w:sz w:val="20"/>
                <w:szCs w:val="20"/>
              </w:rPr>
            </w:pPr>
            <w:r w:rsidRPr="00730A4A">
              <w:rPr>
                <w:rFonts w:cs="Arial"/>
                <w:sz w:val="20"/>
                <w:szCs w:val="20"/>
              </w:rPr>
              <w:t xml:space="preserve">Principalement les PAP </w:t>
            </w:r>
          </w:p>
          <w:p w14:paraId="72283FD9" w14:textId="77777777" w:rsidR="00DD3424" w:rsidRPr="00730A4A" w:rsidRDefault="00DD3424" w:rsidP="00AE3A4F">
            <w:pPr>
              <w:rPr>
                <w:rFonts w:cs="Arial"/>
                <w:b/>
                <w:sz w:val="20"/>
                <w:szCs w:val="20"/>
              </w:rPr>
            </w:pPr>
            <w:r w:rsidRPr="00730A4A">
              <w:rPr>
                <w:rFonts w:cs="Arial"/>
                <w:sz w:val="20"/>
                <w:szCs w:val="20"/>
              </w:rPr>
              <w:t xml:space="preserve">Appuis de l’équipe du projet  </w:t>
            </w:r>
          </w:p>
        </w:tc>
      </w:tr>
      <w:tr w:rsidR="00BB0401" w:rsidRPr="00DD3424" w14:paraId="07E66C10" w14:textId="77777777" w:rsidTr="00730A4A">
        <w:trPr>
          <w:trHeight w:val="818"/>
        </w:trPr>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125B7682" w14:textId="77777777" w:rsidR="00DD3424" w:rsidRPr="00730A4A" w:rsidRDefault="00DD3424" w:rsidP="00AE3A4F">
            <w:pPr>
              <w:rPr>
                <w:rFonts w:cs="Arial"/>
                <w:b/>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59DE2102" w14:textId="77777777" w:rsidR="00DD3424" w:rsidRPr="00730A4A" w:rsidRDefault="00DD3424" w:rsidP="00AE3A4F">
            <w:pPr>
              <w:rPr>
                <w:rFonts w:cs="Arial"/>
                <w:sz w:val="20"/>
                <w:szCs w:val="20"/>
              </w:rPr>
            </w:pPr>
            <w:r w:rsidRPr="00730A4A">
              <w:rPr>
                <w:rFonts w:cs="Arial"/>
                <w:sz w:val="20"/>
                <w:szCs w:val="20"/>
              </w:rPr>
              <w:t xml:space="preserve">Peuples autochtones </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39A52404" w14:textId="77777777" w:rsidR="00DD3424" w:rsidRPr="00730A4A" w:rsidRDefault="00DD3424" w:rsidP="00AE3A4F">
            <w:pPr>
              <w:rPr>
                <w:rFonts w:cs="Arial"/>
                <w:sz w:val="20"/>
                <w:szCs w:val="20"/>
              </w:rPr>
            </w:pPr>
            <w:r w:rsidRPr="00730A4A">
              <w:rPr>
                <w:rFonts w:cs="Arial"/>
                <w:sz w:val="20"/>
                <w:szCs w:val="20"/>
              </w:rPr>
              <w:t>Niveau d’instruction (de faible à nul)</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14:paraId="0F638293" w14:textId="77777777" w:rsidR="00DD3424" w:rsidRPr="00730A4A" w:rsidRDefault="00DD3424" w:rsidP="00AE3A4F">
            <w:pPr>
              <w:rPr>
                <w:rFonts w:cs="Arial"/>
                <w:sz w:val="20"/>
                <w:szCs w:val="20"/>
              </w:rPr>
            </w:pPr>
            <w:r w:rsidRPr="00730A4A">
              <w:rPr>
                <w:rFonts w:cs="Arial"/>
                <w:sz w:val="20"/>
                <w:szCs w:val="20"/>
              </w:rPr>
              <w:t xml:space="preserve">Traduction des informations dans les  </w:t>
            </w:r>
          </w:p>
          <w:p w14:paraId="77950210" w14:textId="77777777" w:rsidR="00DD3424" w:rsidRPr="00730A4A" w:rsidRDefault="00DD3424" w:rsidP="00AE3A4F">
            <w:pPr>
              <w:rPr>
                <w:rFonts w:cs="Arial"/>
                <w:sz w:val="20"/>
                <w:szCs w:val="20"/>
              </w:rPr>
            </w:pPr>
            <w:r w:rsidRPr="00730A4A">
              <w:rPr>
                <w:rFonts w:cs="Arial"/>
                <w:sz w:val="20"/>
                <w:szCs w:val="20"/>
              </w:rPr>
              <w:t>Langues locales parlées Aussi tenir compte des autres langues locales</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14:paraId="2A7D16A7" w14:textId="77777777" w:rsidR="00DD3424" w:rsidRPr="00730A4A" w:rsidRDefault="00DD3424" w:rsidP="00AE3A4F">
            <w:pPr>
              <w:rPr>
                <w:rFonts w:cs="Arial"/>
                <w:sz w:val="20"/>
                <w:szCs w:val="20"/>
              </w:rPr>
            </w:pPr>
            <w:r w:rsidRPr="00730A4A">
              <w:rPr>
                <w:rFonts w:cs="Arial"/>
                <w:sz w:val="20"/>
                <w:szCs w:val="20"/>
              </w:rPr>
              <w:t>Crieur public</w:t>
            </w:r>
            <w:r w:rsidRPr="00730A4A">
              <w:rPr>
                <w:rFonts w:cs="Arial"/>
                <w:sz w:val="20"/>
                <w:szCs w:val="20"/>
                <w:lang w:eastAsia="zh-CN"/>
              </w:rPr>
              <w:t xml:space="preserve"> ou des focus groups pour passer l’information</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1BDABB71" w14:textId="77777777" w:rsidR="00DD3424" w:rsidRPr="00730A4A" w:rsidRDefault="00DD3424" w:rsidP="00AE3A4F">
            <w:pPr>
              <w:rPr>
                <w:rFonts w:cs="Arial"/>
                <w:sz w:val="20"/>
                <w:szCs w:val="20"/>
              </w:rPr>
            </w:pPr>
            <w:r w:rsidRPr="00730A4A">
              <w:rPr>
                <w:rFonts w:cs="Arial"/>
                <w:sz w:val="20"/>
                <w:szCs w:val="20"/>
              </w:rPr>
              <w:t xml:space="preserve">Renforcement des capacités des PA Plan de formation techniques agro-pastorale transformations des produits, AGR </w:t>
            </w:r>
          </w:p>
          <w:p w14:paraId="3155AF6D" w14:textId="77777777" w:rsidR="00DD3424" w:rsidRPr="00730A4A" w:rsidRDefault="00DD3424" w:rsidP="00AE3A4F">
            <w:pPr>
              <w:rPr>
                <w:rFonts w:cs="Arial"/>
                <w:sz w:val="20"/>
                <w:szCs w:val="20"/>
              </w:rPr>
            </w:pPr>
            <w:r w:rsidRPr="00730A4A">
              <w:rPr>
                <w:rFonts w:cs="Arial"/>
                <w:sz w:val="20"/>
                <w:szCs w:val="20"/>
              </w:rPr>
              <w:t xml:space="preserve">Sécurisation des terres </w:t>
            </w:r>
          </w:p>
          <w:p w14:paraId="3F37A61D" w14:textId="77777777" w:rsidR="00DD3424" w:rsidRPr="00730A4A" w:rsidRDefault="00DD3424" w:rsidP="00AE3A4F">
            <w:pPr>
              <w:rPr>
                <w:rFonts w:cs="Arial"/>
                <w:sz w:val="20"/>
                <w:szCs w:val="20"/>
              </w:rPr>
            </w:pPr>
            <w:r w:rsidRPr="00730A4A">
              <w:rPr>
                <w:rFonts w:cs="Arial"/>
                <w:sz w:val="20"/>
                <w:szCs w:val="20"/>
              </w:rPr>
              <w:t>Renforcement des mesures sécuritaires pour les aires des PA</w:t>
            </w:r>
          </w:p>
          <w:p w14:paraId="54EC853E" w14:textId="77777777" w:rsidR="00DD3424" w:rsidRPr="00730A4A" w:rsidRDefault="00DD3424" w:rsidP="00AE3A4F">
            <w:pPr>
              <w:rPr>
                <w:rFonts w:cs="Arial"/>
                <w:sz w:val="20"/>
                <w:szCs w:val="20"/>
              </w:rPr>
            </w:pPr>
            <w:r w:rsidRPr="00730A4A">
              <w:rPr>
                <w:rFonts w:cs="Arial"/>
                <w:sz w:val="20"/>
                <w:szCs w:val="20"/>
              </w:rPr>
              <w:t>Réalisation d’infrastructures sociaux de base dans les campements des PA(école eau potable monture , maternité)</w:t>
            </w:r>
          </w:p>
          <w:p w14:paraId="10C08C25" w14:textId="77777777" w:rsidR="00DD3424" w:rsidRPr="00730A4A" w:rsidRDefault="00DD3424" w:rsidP="00AE3A4F">
            <w:pPr>
              <w:rPr>
                <w:rFonts w:cs="Arial"/>
                <w:sz w:val="20"/>
                <w:szCs w:val="20"/>
              </w:rPr>
            </w:pPr>
            <w:r w:rsidRPr="00730A4A">
              <w:rPr>
                <w:rFonts w:cs="Arial"/>
                <w:sz w:val="20"/>
                <w:szCs w:val="20"/>
              </w:rPr>
              <w:t xml:space="preserve">Mise en place d’un comité de gestion des conflits inclusifs (regroupant les représentants des PA, les représentants des Bantus, les services techniques et administratifs Sanctuariser les territoires des populations autochtones </w:t>
            </w:r>
          </w:p>
          <w:p w14:paraId="45CD1B24" w14:textId="77777777" w:rsidR="00DD3424" w:rsidRPr="00730A4A" w:rsidRDefault="00DD3424" w:rsidP="00AE3A4F">
            <w:pPr>
              <w:rPr>
                <w:rFonts w:cs="Arial"/>
                <w:sz w:val="20"/>
                <w:szCs w:val="20"/>
              </w:rPr>
            </w:pPr>
            <w:r w:rsidRPr="00730A4A">
              <w:rPr>
                <w:rFonts w:cs="Arial"/>
                <w:sz w:val="20"/>
                <w:szCs w:val="20"/>
              </w:rPr>
              <w:t>Sensibilisation au profit des populations sur les VBG/AES/HS</w:t>
            </w:r>
          </w:p>
          <w:p w14:paraId="68971AA7" w14:textId="77777777" w:rsidR="00DD3424" w:rsidRPr="00730A4A" w:rsidRDefault="00DD3424" w:rsidP="00AE3A4F">
            <w:pPr>
              <w:rPr>
                <w:rFonts w:cs="Arial"/>
                <w:sz w:val="20"/>
                <w:szCs w:val="20"/>
              </w:rPr>
            </w:pPr>
            <w:r w:rsidRPr="00730A4A">
              <w:rPr>
                <w:rFonts w:cs="Arial"/>
                <w:sz w:val="20"/>
                <w:szCs w:val="20"/>
              </w:rPr>
              <w:t>Plaidoyer auprès des entreprises pour le recrutement des PA</w:t>
            </w:r>
          </w:p>
        </w:tc>
      </w:tr>
      <w:tr w:rsidR="00BB0401" w:rsidRPr="00DD3424" w14:paraId="23BF28D5" w14:textId="77777777" w:rsidTr="00730A4A">
        <w:trPr>
          <w:trHeight w:val="818"/>
        </w:trPr>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2DCC4ACD" w14:textId="77777777" w:rsidR="00DD3424" w:rsidRPr="00730A4A" w:rsidRDefault="00DD3424" w:rsidP="00AE3A4F">
            <w:pPr>
              <w:rPr>
                <w:rFonts w:cs="Arial"/>
                <w:b/>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115E5BAA" w14:textId="77777777" w:rsidR="00DD3424" w:rsidRPr="00730A4A" w:rsidRDefault="00DD3424" w:rsidP="00AE3A4F">
            <w:pPr>
              <w:rPr>
                <w:rFonts w:cs="Arial"/>
                <w:b/>
                <w:sz w:val="20"/>
                <w:szCs w:val="20"/>
              </w:rPr>
            </w:pPr>
            <w:r w:rsidRPr="00730A4A">
              <w:rPr>
                <w:rFonts w:cs="Arial"/>
                <w:sz w:val="20"/>
                <w:szCs w:val="20"/>
              </w:rPr>
              <w:t xml:space="preserve">Travailleurs sur les chantiers </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6BEF3D48" w14:textId="77777777" w:rsidR="00DD3424" w:rsidRPr="00730A4A" w:rsidRDefault="00DD3424" w:rsidP="00AE3A4F">
            <w:pPr>
              <w:rPr>
                <w:rFonts w:cs="Arial"/>
                <w:sz w:val="20"/>
                <w:szCs w:val="20"/>
              </w:rPr>
            </w:pPr>
            <w:r w:rsidRPr="00730A4A">
              <w:rPr>
                <w:rFonts w:cs="Arial"/>
                <w:sz w:val="20"/>
                <w:szCs w:val="20"/>
              </w:rPr>
              <w:t xml:space="preserve">Quelques responsables sont instruits </w:t>
            </w:r>
          </w:p>
          <w:p w14:paraId="540ED9A8" w14:textId="77777777" w:rsidR="00DD3424" w:rsidRPr="00730A4A" w:rsidRDefault="00DD3424" w:rsidP="00AE3A4F">
            <w:pPr>
              <w:rPr>
                <w:rFonts w:cs="Arial"/>
                <w:sz w:val="20"/>
                <w:szCs w:val="20"/>
              </w:rPr>
            </w:pPr>
            <w:r w:rsidRPr="00730A4A">
              <w:rPr>
                <w:rFonts w:cs="Arial"/>
                <w:sz w:val="20"/>
                <w:szCs w:val="20"/>
              </w:rPr>
              <w:t xml:space="preserve">-Faible propension à lire des </w:t>
            </w:r>
          </w:p>
          <w:p w14:paraId="58C0EE74" w14:textId="77777777" w:rsidR="00DD3424" w:rsidRPr="00730A4A" w:rsidRDefault="00DD3424" w:rsidP="00AE3A4F">
            <w:pPr>
              <w:rPr>
                <w:rFonts w:cs="Arial"/>
                <w:b/>
                <w:sz w:val="20"/>
                <w:szCs w:val="20"/>
              </w:rPr>
            </w:pPr>
            <w:r w:rsidRPr="00730A4A">
              <w:rPr>
                <w:rFonts w:cs="Arial"/>
                <w:sz w:val="20"/>
                <w:szCs w:val="20"/>
              </w:rPr>
              <w:t>documents</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14:paraId="7C88AB9B" w14:textId="77777777" w:rsidR="00DD3424" w:rsidRPr="00730A4A" w:rsidRDefault="00DD3424" w:rsidP="00AE3A4F">
            <w:pPr>
              <w:rPr>
                <w:rFonts w:cs="Arial"/>
                <w:b/>
                <w:sz w:val="20"/>
                <w:szCs w:val="20"/>
              </w:rPr>
            </w:pPr>
            <w:r w:rsidRPr="00730A4A">
              <w:rPr>
                <w:rFonts w:cs="Arial"/>
                <w:sz w:val="20"/>
                <w:szCs w:val="20"/>
              </w:rPr>
              <w:t>Traduction du Français dans une langue locale Aussi tenir compte des autres langues locales</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14:paraId="222C66DA" w14:textId="77777777" w:rsidR="00DD3424" w:rsidRPr="00730A4A" w:rsidRDefault="00DD3424" w:rsidP="00AE3A4F">
            <w:pPr>
              <w:rPr>
                <w:rFonts w:cs="Arial"/>
                <w:sz w:val="20"/>
                <w:szCs w:val="20"/>
              </w:rPr>
            </w:pPr>
            <w:r w:rsidRPr="00730A4A">
              <w:rPr>
                <w:rFonts w:cs="Arial"/>
                <w:sz w:val="20"/>
                <w:szCs w:val="20"/>
              </w:rPr>
              <w:t xml:space="preserve">-Réunion sur site  </w:t>
            </w:r>
          </w:p>
          <w:p w14:paraId="1C727152" w14:textId="77777777" w:rsidR="00DD3424" w:rsidRPr="00730A4A" w:rsidRDefault="00DD3424" w:rsidP="00AE3A4F">
            <w:pPr>
              <w:rPr>
                <w:rFonts w:cs="Arial"/>
                <w:sz w:val="20"/>
                <w:szCs w:val="20"/>
              </w:rPr>
            </w:pPr>
            <w:r w:rsidRPr="00730A4A">
              <w:rPr>
                <w:rFonts w:cs="Arial"/>
                <w:sz w:val="20"/>
                <w:szCs w:val="20"/>
              </w:rPr>
              <w:t xml:space="preserve">-Vidéo </w:t>
            </w:r>
          </w:p>
          <w:p w14:paraId="6D720C23" w14:textId="77777777" w:rsidR="00DD3424" w:rsidRPr="00730A4A" w:rsidRDefault="00DD3424" w:rsidP="00AE3A4F">
            <w:pPr>
              <w:rPr>
                <w:rFonts w:cs="Arial"/>
                <w:sz w:val="20"/>
                <w:szCs w:val="20"/>
              </w:rPr>
            </w:pPr>
            <w:r w:rsidRPr="00730A4A">
              <w:rPr>
                <w:rFonts w:cs="Arial"/>
                <w:sz w:val="20"/>
                <w:szCs w:val="20"/>
              </w:rPr>
              <w:t xml:space="preserve">(projection) Radio </w:t>
            </w:r>
          </w:p>
          <w:p w14:paraId="4B488124" w14:textId="77777777" w:rsidR="00DD3424" w:rsidRPr="00730A4A" w:rsidRDefault="00DD3424" w:rsidP="00AE3A4F">
            <w:pPr>
              <w:rPr>
                <w:rFonts w:cs="Arial"/>
                <w:sz w:val="20"/>
                <w:szCs w:val="20"/>
              </w:rPr>
            </w:pPr>
            <w:r w:rsidRPr="00730A4A">
              <w:rPr>
                <w:rFonts w:cs="Arial"/>
                <w:sz w:val="20"/>
                <w:szCs w:val="20"/>
              </w:rPr>
              <w:t xml:space="preserve">-Whatsapp </w:t>
            </w:r>
          </w:p>
          <w:p w14:paraId="378F279B" w14:textId="77777777" w:rsidR="00DD3424" w:rsidRPr="00730A4A" w:rsidRDefault="00DD3424" w:rsidP="00AE3A4F">
            <w:pPr>
              <w:rPr>
                <w:rFonts w:cs="Arial"/>
                <w:sz w:val="20"/>
                <w:szCs w:val="20"/>
              </w:rPr>
            </w:pPr>
            <w:r w:rsidRPr="00730A4A">
              <w:rPr>
                <w:rFonts w:cs="Arial"/>
                <w:sz w:val="20"/>
                <w:szCs w:val="20"/>
              </w:rPr>
              <w:t xml:space="preserve">-Affiches </w:t>
            </w:r>
          </w:p>
          <w:p w14:paraId="09EF43DF" w14:textId="77777777" w:rsidR="00DD3424" w:rsidRPr="00730A4A" w:rsidRDefault="00DD3424" w:rsidP="00730A4A">
            <w:pPr>
              <w:numPr>
                <w:ilvl w:val="0"/>
                <w:numId w:val="136"/>
              </w:numPr>
              <w:tabs>
                <w:tab w:val="left" w:pos="307"/>
              </w:tabs>
              <w:spacing w:line="240" w:lineRule="auto"/>
              <w:ind w:left="0"/>
              <w:rPr>
                <w:rFonts w:cs="Arial"/>
                <w:sz w:val="20"/>
                <w:szCs w:val="20"/>
              </w:rPr>
            </w:pPr>
            <w:r w:rsidRPr="00730A4A">
              <w:rPr>
                <w:rFonts w:cs="Arial"/>
                <w:sz w:val="20"/>
                <w:szCs w:val="20"/>
              </w:rPr>
              <w:t xml:space="preserve">Crieur public </w:t>
            </w:r>
          </w:p>
          <w:p w14:paraId="3B0B7E54" w14:textId="77777777" w:rsidR="00DD3424" w:rsidRPr="00730A4A" w:rsidRDefault="00DD3424" w:rsidP="00AE3A4F">
            <w:pPr>
              <w:rPr>
                <w:rFonts w:cs="Arial"/>
                <w:b/>
                <w:sz w:val="20"/>
                <w:szCs w:val="20"/>
              </w:rPr>
            </w:pPr>
            <w:r w:rsidRPr="00730A4A">
              <w:rPr>
                <w:rFonts w:cs="Arial"/>
                <w:sz w:val="20"/>
                <w:szCs w:val="20"/>
              </w:rPr>
              <w:t xml:space="preserve">Mégaphone  </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42FA3ED2" w14:textId="77777777" w:rsidR="00DD3424" w:rsidRPr="00730A4A" w:rsidRDefault="00DD3424" w:rsidP="00AE3A4F">
            <w:pPr>
              <w:rPr>
                <w:rFonts w:cs="Arial"/>
                <w:sz w:val="20"/>
                <w:szCs w:val="20"/>
              </w:rPr>
            </w:pPr>
            <w:r w:rsidRPr="00730A4A">
              <w:rPr>
                <w:rFonts w:cs="Arial"/>
                <w:sz w:val="20"/>
                <w:szCs w:val="20"/>
              </w:rPr>
              <w:t xml:space="preserve">Classeurs de plaintes ; </w:t>
            </w:r>
          </w:p>
          <w:p w14:paraId="1548E41F" w14:textId="77777777" w:rsidR="00DD3424" w:rsidRPr="00730A4A" w:rsidRDefault="00DD3424" w:rsidP="00AE3A4F">
            <w:pPr>
              <w:rPr>
                <w:rFonts w:cs="Arial"/>
                <w:sz w:val="20"/>
                <w:szCs w:val="20"/>
              </w:rPr>
            </w:pPr>
            <w:r w:rsidRPr="00730A4A">
              <w:rPr>
                <w:rFonts w:cs="Arial"/>
                <w:sz w:val="20"/>
                <w:szCs w:val="20"/>
              </w:rPr>
              <w:t xml:space="preserve">Mise à disposition des fiches de plainte </w:t>
            </w:r>
          </w:p>
          <w:p w14:paraId="286426F8" w14:textId="77777777" w:rsidR="00DD3424" w:rsidRPr="00730A4A" w:rsidRDefault="00DD3424" w:rsidP="00AE3A4F">
            <w:pPr>
              <w:rPr>
                <w:rFonts w:cs="Arial"/>
                <w:sz w:val="20"/>
                <w:szCs w:val="20"/>
              </w:rPr>
            </w:pPr>
            <w:r w:rsidRPr="00730A4A">
              <w:rPr>
                <w:rFonts w:cs="Arial"/>
                <w:sz w:val="20"/>
                <w:szCs w:val="20"/>
              </w:rPr>
              <w:t xml:space="preserve">Mesures </w:t>
            </w:r>
          </w:p>
          <w:p w14:paraId="2537CA4B" w14:textId="77777777" w:rsidR="00DD3424" w:rsidRPr="00730A4A" w:rsidRDefault="00DD3424" w:rsidP="00AE3A4F">
            <w:pPr>
              <w:rPr>
                <w:rFonts w:cs="Arial"/>
                <w:sz w:val="20"/>
                <w:szCs w:val="20"/>
              </w:rPr>
            </w:pPr>
            <w:r w:rsidRPr="00730A4A">
              <w:rPr>
                <w:rFonts w:cs="Arial"/>
                <w:sz w:val="20"/>
                <w:szCs w:val="20"/>
              </w:rPr>
              <w:t xml:space="preserve">Santé/sécurité </w:t>
            </w:r>
          </w:p>
          <w:p w14:paraId="68585CAF" w14:textId="77777777" w:rsidR="00DD3424" w:rsidRPr="00730A4A" w:rsidRDefault="00DD3424" w:rsidP="00AE3A4F">
            <w:pPr>
              <w:rPr>
                <w:rFonts w:cs="Arial"/>
                <w:sz w:val="20"/>
                <w:szCs w:val="20"/>
              </w:rPr>
            </w:pPr>
            <w:r w:rsidRPr="00730A4A">
              <w:rPr>
                <w:rFonts w:cs="Arial"/>
                <w:sz w:val="20"/>
                <w:szCs w:val="20"/>
              </w:rPr>
              <w:t>Respect du code dutravail</w:t>
            </w:r>
          </w:p>
          <w:p w14:paraId="20E8A3AE" w14:textId="77777777" w:rsidR="00DD3424" w:rsidRPr="00730A4A" w:rsidRDefault="00DD3424" w:rsidP="00AE3A4F">
            <w:pPr>
              <w:rPr>
                <w:rFonts w:cs="Arial"/>
                <w:sz w:val="20"/>
                <w:szCs w:val="20"/>
              </w:rPr>
            </w:pPr>
            <w:r w:rsidRPr="00730A4A">
              <w:rPr>
                <w:rFonts w:cs="Arial"/>
                <w:sz w:val="20"/>
                <w:szCs w:val="20"/>
              </w:rPr>
              <w:t xml:space="preserve">Prise en compte du genre </w:t>
            </w:r>
          </w:p>
          <w:p w14:paraId="17DC1897" w14:textId="77777777" w:rsidR="00DD3424" w:rsidRPr="00730A4A" w:rsidRDefault="00DD3424" w:rsidP="00AE3A4F">
            <w:pPr>
              <w:rPr>
                <w:rFonts w:cs="Arial"/>
                <w:sz w:val="20"/>
                <w:szCs w:val="20"/>
              </w:rPr>
            </w:pPr>
            <w:r w:rsidRPr="00730A4A">
              <w:rPr>
                <w:rFonts w:cs="Arial"/>
                <w:sz w:val="20"/>
                <w:szCs w:val="20"/>
              </w:rPr>
              <w:t xml:space="preserve">Code de bonnes conduites et mesures de gestion des risques de </w:t>
            </w:r>
          </w:p>
          <w:p w14:paraId="71A80C2E" w14:textId="77777777" w:rsidR="00DD3424" w:rsidRPr="00730A4A" w:rsidRDefault="00DD3424" w:rsidP="00AE3A4F">
            <w:pPr>
              <w:rPr>
                <w:rFonts w:cs="Arial"/>
                <w:sz w:val="20"/>
                <w:szCs w:val="20"/>
              </w:rPr>
            </w:pPr>
            <w:r w:rsidRPr="00730A4A">
              <w:rPr>
                <w:rFonts w:cs="Arial"/>
                <w:sz w:val="20"/>
                <w:szCs w:val="20"/>
              </w:rPr>
              <w:t xml:space="preserve">VBG/AES/HS/VCE, travail des enfants, etc. </w:t>
            </w:r>
          </w:p>
          <w:p w14:paraId="56E82ACF" w14:textId="77777777" w:rsidR="00DD3424" w:rsidRPr="00730A4A" w:rsidRDefault="00DD3424" w:rsidP="00AE3A4F">
            <w:pPr>
              <w:rPr>
                <w:rFonts w:cs="Arial"/>
                <w:b/>
                <w:sz w:val="20"/>
                <w:szCs w:val="20"/>
              </w:rPr>
            </w:pPr>
            <w:r w:rsidRPr="00730A4A">
              <w:rPr>
                <w:rFonts w:cs="Arial"/>
                <w:sz w:val="20"/>
                <w:szCs w:val="20"/>
              </w:rPr>
              <w:t>Respect du code de travail</w:t>
            </w:r>
          </w:p>
        </w:tc>
      </w:tr>
      <w:tr w:rsidR="00BB0401" w:rsidRPr="00DD3424" w14:paraId="54C1C9F7" w14:textId="77777777" w:rsidTr="00730A4A">
        <w:trPr>
          <w:trHeight w:val="1251"/>
        </w:trPr>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778E40DA" w14:textId="77777777" w:rsidR="00DD3424" w:rsidRPr="00730A4A" w:rsidRDefault="00DD3424" w:rsidP="00AE3A4F">
            <w:pPr>
              <w:rPr>
                <w:rFonts w:cs="Arial"/>
                <w:b/>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275AE45B" w14:textId="77777777" w:rsidR="00DD3424" w:rsidRPr="00730A4A" w:rsidRDefault="00DD3424" w:rsidP="00AE3A4F">
            <w:pPr>
              <w:rPr>
                <w:rFonts w:cs="Arial"/>
                <w:b/>
                <w:sz w:val="20"/>
                <w:szCs w:val="20"/>
              </w:rPr>
            </w:pPr>
            <w:r w:rsidRPr="00730A4A">
              <w:rPr>
                <w:rFonts w:cs="Arial"/>
                <w:sz w:val="20"/>
                <w:szCs w:val="20"/>
              </w:rPr>
              <w:t>Acteurs étatiques : services techniques et administratifs, provinciaux</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64F745F5" w14:textId="77777777" w:rsidR="00DD3424" w:rsidRPr="00730A4A" w:rsidRDefault="00DD3424" w:rsidP="00AE3A4F">
            <w:pPr>
              <w:rPr>
                <w:rFonts w:cs="Arial"/>
                <w:b/>
                <w:sz w:val="20"/>
                <w:szCs w:val="20"/>
              </w:rPr>
            </w:pPr>
            <w:r w:rsidRPr="00730A4A">
              <w:rPr>
                <w:rFonts w:cs="Arial"/>
                <w:sz w:val="20"/>
                <w:szCs w:val="20"/>
              </w:rPr>
              <w:t xml:space="preserve">Niveau d’instruction moyen à élevé </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14:paraId="7D43AC1B" w14:textId="77777777" w:rsidR="00DD3424" w:rsidRPr="00730A4A" w:rsidRDefault="00DD3424" w:rsidP="00AE3A4F">
            <w:pPr>
              <w:rPr>
                <w:rFonts w:cs="Arial"/>
                <w:bCs/>
                <w:sz w:val="20"/>
                <w:szCs w:val="20"/>
              </w:rPr>
            </w:pPr>
            <w:r w:rsidRPr="00730A4A">
              <w:rPr>
                <w:rFonts w:cs="Arial"/>
                <w:bCs/>
                <w:sz w:val="20"/>
                <w:szCs w:val="20"/>
              </w:rPr>
              <w:t>Français et langues locales</w:t>
            </w:r>
            <w:r w:rsidRPr="00730A4A">
              <w:rPr>
                <w:rFonts w:cs="Arial"/>
                <w:sz w:val="20"/>
                <w:szCs w:val="20"/>
              </w:rPr>
              <w:t xml:space="preserve"> Aussi tenir compte des autres langues locales</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14:paraId="282E7B6D" w14:textId="77777777" w:rsidR="00DD3424" w:rsidRPr="00730A4A" w:rsidRDefault="00DD3424" w:rsidP="00AE3A4F">
            <w:pPr>
              <w:rPr>
                <w:rFonts w:cs="Arial"/>
                <w:sz w:val="20"/>
                <w:szCs w:val="20"/>
              </w:rPr>
            </w:pPr>
            <w:r w:rsidRPr="00730A4A">
              <w:rPr>
                <w:rFonts w:cs="Arial"/>
                <w:sz w:val="20"/>
                <w:szCs w:val="20"/>
              </w:rPr>
              <w:t xml:space="preserve">Documents </w:t>
            </w:r>
          </w:p>
          <w:p w14:paraId="1A41C291" w14:textId="77777777" w:rsidR="00DD3424" w:rsidRPr="00730A4A" w:rsidRDefault="00DD3424" w:rsidP="00AE3A4F">
            <w:pPr>
              <w:rPr>
                <w:rFonts w:cs="Arial"/>
                <w:sz w:val="20"/>
                <w:szCs w:val="20"/>
              </w:rPr>
            </w:pPr>
            <w:r w:rsidRPr="00730A4A">
              <w:rPr>
                <w:rFonts w:cs="Arial"/>
                <w:sz w:val="20"/>
                <w:szCs w:val="20"/>
              </w:rPr>
              <w:t xml:space="preserve">écrits -Réunions </w:t>
            </w:r>
          </w:p>
          <w:p w14:paraId="67D1F077" w14:textId="77777777" w:rsidR="00DD3424" w:rsidRPr="00730A4A" w:rsidRDefault="00DD3424" w:rsidP="00AE3A4F">
            <w:pPr>
              <w:rPr>
                <w:rFonts w:cs="Arial"/>
                <w:sz w:val="20"/>
                <w:szCs w:val="20"/>
              </w:rPr>
            </w:pPr>
            <w:r w:rsidRPr="00730A4A">
              <w:rPr>
                <w:rFonts w:cs="Arial"/>
                <w:sz w:val="20"/>
                <w:szCs w:val="20"/>
              </w:rPr>
              <w:t xml:space="preserve">-Vidéo </w:t>
            </w:r>
          </w:p>
          <w:p w14:paraId="7C03037B" w14:textId="77777777" w:rsidR="00DD3424" w:rsidRPr="00730A4A" w:rsidRDefault="00DD3424" w:rsidP="00AE3A4F">
            <w:pPr>
              <w:rPr>
                <w:rFonts w:cs="Arial"/>
                <w:sz w:val="20"/>
                <w:szCs w:val="20"/>
              </w:rPr>
            </w:pPr>
            <w:r w:rsidRPr="00730A4A">
              <w:rPr>
                <w:rFonts w:cs="Arial"/>
                <w:sz w:val="20"/>
                <w:szCs w:val="20"/>
              </w:rPr>
              <w:t xml:space="preserve">(projection) </w:t>
            </w:r>
          </w:p>
          <w:p w14:paraId="1AA9885C" w14:textId="77777777" w:rsidR="00DD3424" w:rsidRPr="00730A4A" w:rsidRDefault="00DD3424" w:rsidP="00AE3A4F">
            <w:pPr>
              <w:rPr>
                <w:rFonts w:cs="Arial"/>
                <w:sz w:val="20"/>
                <w:szCs w:val="20"/>
              </w:rPr>
            </w:pPr>
            <w:r w:rsidRPr="00730A4A">
              <w:rPr>
                <w:rFonts w:cs="Arial"/>
                <w:sz w:val="20"/>
                <w:szCs w:val="20"/>
              </w:rPr>
              <w:t xml:space="preserve">-Radio </w:t>
            </w:r>
          </w:p>
          <w:p w14:paraId="74E102DE" w14:textId="77777777" w:rsidR="00DD3424" w:rsidRPr="00730A4A" w:rsidRDefault="00DD3424" w:rsidP="00AE3A4F">
            <w:pPr>
              <w:rPr>
                <w:rFonts w:cs="Arial"/>
                <w:sz w:val="20"/>
                <w:szCs w:val="20"/>
              </w:rPr>
            </w:pPr>
            <w:r w:rsidRPr="00730A4A">
              <w:rPr>
                <w:rFonts w:cs="Arial"/>
                <w:sz w:val="20"/>
                <w:szCs w:val="20"/>
              </w:rPr>
              <w:t xml:space="preserve">-Whatsapp ; entretiens directs ou semi directs ; focus groups </w:t>
            </w:r>
          </w:p>
          <w:p w14:paraId="7737E97E" w14:textId="77777777" w:rsidR="00DD3424" w:rsidRPr="00730A4A" w:rsidRDefault="00DD3424" w:rsidP="00AE3A4F">
            <w:pPr>
              <w:rPr>
                <w:rFonts w:cs="Arial"/>
                <w:sz w:val="20"/>
                <w:szCs w:val="20"/>
              </w:rPr>
            </w:pPr>
            <w:r w:rsidRPr="00730A4A">
              <w:rPr>
                <w:rFonts w:cs="Arial"/>
                <w:sz w:val="20"/>
                <w:szCs w:val="20"/>
              </w:rPr>
              <w:t>Rencontre virtuelle compte tenue de la pandémie du Covid 19</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370587E0" w14:textId="77777777" w:rsidR="00DD3424" w:rsidRPr="00730A4A" w:rsidRDefault="00DD3424" w:rsidP="00AE3A4F">
            <w:pPr>
              <w:rPr>
                <w:rFonts w:cs="Arial"/>
                <w:sz w:val="20"/>
                <w:szCs w:val="20"/>
              </w:rPr>
            </w:pPr>
            <w:r w:rsidRPr="00730A4A">
              <w:rPr>
                <w:rFonts w:cs="Arial"/>
                <w:sz w:val="20"/>
                <w:szCs w:val="20"/>
              </w:rPr>
              <w:t xml:space="preserve">Renforcement de capacités et d’appui  </w:t>
            </w:r>
          </w:p>
          <w:p w14:paraId="6A3A7503" w14:textId="77777777" w:rsidR="00DD3424" w:rsidRPr="00730A4A" w:rsidRDefault="00DD3424" w:rsidP="00AE3A4F">
            <w:pPr>
              <w:rPr>
                <w:rFonts w:cs="Arial"/>
                <w:sz w:val="20"/>
                <w:szCs w:val="20"/>
              </w:rPr>
            </w:pPr>
            <w:r w:rsidRPr="00730A4A">
              <w:rPr>
                <w:rFonts w:cs="Arial"/>
                <w:sz w:val="20"/>
                <w:szCs w:val="20"/>
              </w:rPr>
              <w:t xml:space="preserve">Diffusion de message sur les opportunités et les risques du projet y compris la période de démarrage </w:t>
            </w:r>
          </w:p>
          <w:p w14:paraId="5FA7EFB8" w14:textId="77777777" w:rsidR="00DD3424" w:rsidRPr="00730A4A" w:rsidRDefault="00DD3424" w:rsidP="00AE3A4F">
            <w:pPr>
              <w:rPr>
                <w:rFonts w:cs="Arial"/>
                <w:sz w:val="20"/>
                <w:szCs w:val="20"/>
              </w:rPr>
            </w:pPr>
            <w:r w:rsidRPr="00730A4A">
              <w:rPr>
                <w:rFonts w:cs="Arial"/>
                <w:sz w:val="20"/>
                <w:szCs w:val="20"/>
              </w:rPr>
              <w:t xml:space="preserve">Implication au processus d’évaluation et de gestion des risques/impacts et mesures d’atténuation des impacts (Covid-19, </w:t>
            </w:r>
          </w:p>
          <w:p w14:paraId="48A45ACE" w14:textId="77777777" w:rsidR="00DD3424" w:rsidRPr="00730A4A" w:rsidRDefault="00DD3424" w:rsidP="00AE3A4F">
            <w:pPr>
              <w:rPr>
                <w:rFonts w:cs="Arial"/>
                <w:sz w:val="20"/>
                <w:szCs w:val="20"/>
              </w:rPr>
            </w:pPr>
            <w:r w:rsidRPr="00730A4A">
              <w:rPr>
                <w:rFonts w:cs="Arial"/>
                <w:sz w:val="20"/>
                <w:szCs w:val="20"/>
              </w:rPr>
              <w:t xml:space="preserve">VIH/Sida, </w:t>
            </w:r>
          </w:p>
          <w:p w14:paraId="643C7F6E" w14:textId="77777777" w:rsidR="00DD3424" w:rsidRPr="00730A4A" w:rsidRDefault="00DD3424" w:rsidP="00AE3A4F">
            <w:pPr>
              <w:rPr>
                <w:rFonts w:cs="Arial"/>
                <w:sz w:val="20"/>
                <w:szCs w:val="20"/>
              </w:rPr>
            </w:pPr>
            <w:r w:rsidRPr="00730A4A">
              <w:rPr>
                <w:rFonts w:cs="Arial"/>
                <w:sz w:val="20"/>
                <w:szCs w:val="20"/>
              </w:rPr>
              <w:t xml:space="preserve">VBG/AES/HS VCE) </w:t>
            </w:r>
          </w:p>
          <w:p w14:paraId="7FF17CB1" w14:textId="77777777" w:rsidR="00DD3424" w:rsidRPr="00730A4A" w:rsidRDefault="00DD3424" w:rsidP="00AE3A4F">
            <w:pPr>
              <w:rPr>
                <w:rFonts w:cs="Arial"/>
                <w:sz w:val="20"/>
                <w:szCs w:val="20"/>
              </w:rPr>
            </w:pPr>
            <w:r w:rsidRPr="00730A4A">
              <w:rPr>
                <w:rFonts w:cs="Arial"/>
                <w:sz w:val="20"/>
                <w:szCs w:val="20"/>
              </w:rPr>
              <w:t xml:space="preserve">Consultation et prise en compte des avis, préoccupations et </w:t>
            </w:r>
          </w:p>
          <w:p w14:paraId="6E499B6B" w14:textId="77777777" w:rsidR="00DD3424" w:rsidRPr="00730A4A" w:rsidRDefault="00DD3424" w:rsidP="00AE3A4F">
            <w:pPr>
              <w:rPr>
                <w:rFonts w:cs="Arial"/>
                <w:sz w:val="20"/>
                <w:szCs w:val="20"/>
              </w:rPr>
            </w:pPr>
            <w:r w:rsidRPr="00730A4A">
              <w:rPr>
                <w:rFonts w:cs="Arial"/>
                <w:sz w:val="20"/>
                <w:szCs w:val="20"/>
              </w:rPr>
              <w:t>Recommandation des parties prenantes principalement les PAP  et les PA</w:t>
            </w:r>
          </w:p>
          <w:p w14:paraId="18DC414C" w14:textId="77777777" w:rsidR="00DD3424" w:rsidRPr="00730A4A" w:rsidRDefault="00DD3424" w:rsidP="00AE3A4F">
            <w:pPr>
              <w:rPr>
                <w:rFonts w:cs="Arial"/>
                <w:b/>
                <w:sz w:val="20"/>
                <w:szCs w:val="20"/>
              </w:rPr>
            </w:pPr>
            <w:r w:rsidRPr="00730A4A">
              <w:rPr>
                <w:rFonts w:cs="Arial"/>
                <w:sz w:val="20"/>
                <w:szCs w:val="20"/>
              </w:rPr>
              <w:t>Appuis de l’équipe du programme</w:t>
            </w:r>
          </w:p>
        </w:tc>
      </w:tr>
      <w:tr w:rsidR="00BB0401" w:rsidRPr="00DD3424" w14:paraId="6A88F593" w14:textId="77777777" w:rsidTr="00730A4A">
        <w:trPr>
          <w:trHeight w:val="818"/>
        </w:trPr>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296DDBE7" w14:textId="77777777" w:rsidR="00DD3424" w:rsidRPr="00730A4A" w:rsidRDefault="00DD3424" w:rsidP="00AE3A4F">
            <w:pPr>
              <w:rPr>
                <w:rFonts w:cs="Arial"/>
                <w:b/>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7699F838" w14:textId="77777777" w:rsidR="00DD3424" w:rsidRPr="00730A4A" w:rsidRDefault="00DD3424" w:rsidP="00AE3A4F">
            <w:pPr>
              <w:rPr>
                <w:rFonts w:cs="Arial"/>
                <w:sz w:val="20"/>
                <w:szCs w:val="20"/>
              </w:rPr>
            </w:pPr>
            <w:r w:rsidRPr="00730A4A">
              <w:rPr>
                <w:rFonts w:cs="Arial"/>
                <w:sz w:val="20"/>
                <w:szCs w:val="20"/>
              </w:rPr>
              <w:t>ONG /OSC</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0BD46B3E" w14:textId="77777777" w:rsidR="00DD3424" w:rsidRPr="00730A4A" w:rsidRDefault="00DD3424" w:rsidP="00AE3A4F">
            <w:pPr>
              <w:rPr>
                <w:rFonts w:cs="Arial"/>
                <w:sz w:val="20"/>
                <w:szCs w:val="20"/>
              </w:rPr>
            </w:pPr>
            <w:r w:rsidRPr="00730A4A">
              <w:rPr>
                <w:rFonts w:cs="Arial"/>
                <w:sz w:val="20"/>
                <w:szCs w:val="20"/>
              </w:rPr>
              <w:t xml:space="preserve">Quelques responsables sont instruits </w:t>
            </w:r>
          </w:p>
          <w:p w14:paraId="6F22D667" w14:textId="77777777" w:rsidR="00DD3424" w:rsidRPr="00730A4A" w:rsidRDefault="00DD3424" w:rsidP="00AE3A4F">
            <w:pPr>
              <w:rPr>
                <w:rFonts w:cs="Arial"/>
                <w:sz w:val="20"/>
                <w:szCs w:val="20"/>
              </w:rPr>
            </w:pPr>
            <w:r w:rsidRPr="00730A4A">
              <w:rPr>
                <w:rFonts w:cs="Arial"/>
                <w:sz w:val="20"/>
                <w:szCs w:val="20"/>
              </w:rPr>
              <w:t xml:space="preserve">-  propension moyenne à lire des documents </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14:paraId="2688260E" w14:textId="77777777" w:rsidR="00DD3424" w:rsidRPr="00730A4A" w:rsidRDefault="00DD3424" w:rsidP="00AE3A4F">
            <w:pPr>
              <w:rPr>
                <w:rFonts w:cs="Arial"/>
                <w:sz w:val="20"/>
                <w:szCs w:val="20"/>
              </w:rPr>
            </w:pPr>
            <w:r w:rsidRPr="00730A4A">
              <w:rPr>
                <w:rFonts w:cs="Arial"/>
                <w:sz w:val="20"/>
                <w:szCs w:val="20"/>
              </w:rPr>
              <w:t xml:space="preserve">Traduction du Français dans une langue locale </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14:paraId="5028ABA5" w14:textId="77777777" w:rsidR="00DD3424" w:rsidRPr="00730A4A" w:rsidRDefault="00DD3424" w:rsidP="00AE3A4F">
            <w:pPr>
              <w:rPr>
                <w:rFonts w:cs="Arial"/>
                <w:sz w:val="20"/>
                <w:szCs w:val="20"/>
              </w:rPr>
            </w:pPr>
            <w:r w:rsidRPr="00730A4A">
              <w:rPr>
                <w:rFonts w:cs="Arial"/>
                <w:sz w:val="20"/>
                <w:szCs w:val="20"/>
              </w:rPr>
              <w:t xml:space="preserve">-Réunion sur site  </w:t>
            </w:r>
          </w:p>
          <w:p w14:paraId="434DBA80" w14:textId="77777777" w:rsidR="00DD3424" w:rsidRPr="00730A4A" w:rsidRDefault="00DD3424" w:rsidP="00AE3A4F">
            <w:pPr>
              <w:rPr>
                <w:rFonts w:cs="Arial"/>
                <w:sz w:val="20"/>
                <w:szCs w:val="20"/>
              </w:rPr>
            </w:pPr>
            <w:r w:rsidRPr="00730A4A">
              <w:rPr>
                <w:rFonts w:cs="Arial"/>
                <w:sz w:val="20"/>
                <w:szCs w:val="20"/>
              </w:rPr>
              <w:t xml:space="preserve">-Vidéo </w:t>
            </w:r>
          </w:p>
          <w:p w14:paraId="17F88703" w14:textId="77777777" w:rsidR="00DD3424" w:rsidRPr="00730A4A" w:rsidRDefault="00DD3424" w:rsidP="00AE3A4F">
            <w:pPr>
              <w:rPr>
                <w:rFonts w:cs="Arial"/>
                <w:sz w:val="20"/>
                <w:szCs w:val="20"/>
              </w:rPr>
            </w:pPr>
            <w:r w:rsidRPr="00730A4A">
              <w:rPr>
                <w:rFonts w:cs="Arial"/>
                <w:sz w:val="20"/>
                <w:szCs w:val="20"/>
              </w:rPr>
              <w:t xml:space="preserve">(projection) </w:t>
            </w:r>
          </w:p>
          <w:p w14:paraId="34602EA5" w14:textId="77777777" w:rsidR="00DD3424" w:rsidRPr="00730A4A" w:rsidRDefault="00DD3424" w:rsidP="00AE3A4F">
            <w:pPr>
              <w:rPr>
                <w:rFonts w:cs="Arial"/>
                <w:sz w:val="20"/>
                <w:szCs w:val="20"/>
              </w:rPr>
            </w:pPr>
            <w:r w:rsidRPr="00730A4A">
              <w:rPr>
                <w:rFonts w:cs="Arial"/>
                <w:sz w:val="20"/>
                <w:szCs w:val="20"/>
              </w:rPr>
              <w:t xml:space="preserve">-Radio </w:t>
            </w:r>
          </w:p>
          <w:p w14:paraId="68EA3E64" w14:textId="77777777" w:rsidR="00DD3424" w:rsidRPr="00730A4A" w:rsidRDefault="00DD3424" w:rsidP="00AE3A4F">
            <w:pPr>
              <w:rPr>
                <w:rFonts w:cs="Arial"/>
                <w:sz w:val="20"/>
                <w:szCs w:val="20"/>
              </w:rPr>
            </w:pPr>
            <w:r w:rsidRPr="00730A4A">
              <w:rPr>
                <w:rFonts w:cs="Arial"/>
                <w:sz w:val="20"/>
                <w:szCs w:val="20"/>
              </w:rPr>
              <w:t>-Whatsapp (et autre réseaux sociaux)</w:t>
            </w:r>
          </w:p>
          <w:p w14:paraId="7D6862FB" w14:textId="77777777" w:rsidR="00DD3424" w:rsidRPr="00730A4A" w:rsidRDefault="00DD3424" w:rsidP="00AE3A4F">
            <w:pPr>
              <w:rPr>
                <w:rFonts w:cs="Arial"/>
                <w:sz w:val="20"/>
                <w:szCs w:val="20"/>
              </w:rPr>
            </w:pPr>
            <w:r w:rsidRPr="00730A4A">
              <w:rPr>
                <w:rFonts w:cs="Arial"/>
                <w:sz w:val="20"/>
                <w:szCs w:val="20"/>
              </w:rPr>
              <w:t>-</w:t>
            </w:r>
            <w:r w:rsidR="002F3114" w:rsidRPr="00730A4A">
              <w:rPr>
                <w:rFonts w:cs="Arial"/>
                <w:sz w:val="20"/>
                <w:szCs w:val="20"/>
              </w:rPr>
              <w:t xml:space="preserve"> </w:t>
            </w:r>
            <w:r w:rsidRPr="00730A4A">
              <w:rPr>
                <w:rFonts w:cs="Arial"/>
                <w:sz w:val="20"/>
                <w:szCs w:val="20"/>
              </w:rPr>
              <w:t xml:space="preserve">Affiches </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28AA4387" w14:textId="77777777" w:rsidR="00DD3424" w:rsidRPr="00730A4A" w:rsidRDefault="00DD3424" w:rsidP="00AE3A4F">
            <w:pPr>
              <w:rPr>
                <w:rFonts w:cs="Arial"/>
                <w:sz w:val="20"/>
                <w:szCs w:val="20"/>
              </w:rPr>
            </w:pPr>
            <w:r w:rsidRPr="00730A4A">
              <w:rPr>
                <w:rFonts w:cs="Arial"/>
                <w:sz w:val="20"/>
                <w:szCs w:val="20"/>
              </w:rPr>
              <w:t xml:space="preserve">Mesures de protection </w:t>
            </w:r>
          </w:p>
          <w:p w14:paraId="26ED4DC3" w14:textId="77777777" w:rsidR="00DD3424" w:rsidRPr="00730A4A" w:rsidRDefault="00DD3424" w:rsidP="00AE3A4F">
            <w:pPr>
              <w:rPr>
                <w:rFonts w:cs="Arial"/>
                <w:sz w:val="20"/>
                <w:szCs w:val="20"/>
              </w:rPr>
            </w:pPr>
            <w:r w:rsidRPr="00730A4A">
              <w:rPr>
                <w:rFonts w:cs="Arial"/>
                <w:sz w:val="20"/>
                <w:szCs w:val="20"/>
              </w:rPr>
              <w:t xml:space="preserve">Disponibilité/ accessibilité de registres et classeurs de plaintes ; </w:t>
            </w:r>
          </w:p>
          <w:p w14:paraId="78CD02C2" w14:textId="77777777" w:rsidR="00DD3424" w:rsidRPr="00730A4A" w:rsidRDefault="00DD3424" w:rsidP="00AE3A4F">
            <w:pPr>
              <w:rPr>
                <w:rFonts w:cs="Arial"/>
                <w:sz w:val="20"/>
                <w:szCs w:val="20"/>
              </w:rPr>
            </w:pPr>
            <w:r w:rsidRPr="00730A4A">
              <w:rPr>
                <w:rFonts w:cs="Arial"/>
                <w:sz w:val="20"/>
                <w:szCs w:val="20"/>
              </w:rPr>
              <w:t xml:space="preserve">Disponibilité des fiches de plaintes ; </w:t>
            </w:r>
          </w:p>
          <w:p w14:paraId="6BEFD345" w14:textId="77777777" w:rsidR="00DD3424" w:rsidRPr="00730A4A" w:rsidRDefault="00DD3424" w:rsidP="00AE3A4F">
            <w:pPr>
              <w:rPr>
                <w:rFonts w:cs="Arial"/>
                <w:sz w:val="20"/>
                <w:szCs w:val="20"/>
              </w:rPr>
            </w:pPr>
            <w:r w:rsidRPr="00730A4A">
              <w:rPr>
                <w:rFonts w:cs="Arial"/>
                <w:sz w:val="20"/>
                <w:szCs w:val="20"/>
              </w:rPr>
              <w:t xml:space="preserve">Les canaux de </w:t>
            </w:r>
          </w:p>
        </w:tc>
      </w:tr>
      <w:tr w:rsidR="00BB0401" w:rsidRPr="00DD3424" w14:paraId="02A1DCA0" w14:textId="77777777" w:rsidTr="00730A4A">
        <w:trPr>
          <w:trHeight w:val="818"/>
        </w:trPr>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2341FDD1" w14:textId="77777777" w:rsidR="00DD3424" w:rsidRPr="00730A4A" w:rsidRDefault="00DD3424" w:rsidP="00AE3A4F">
            <w:pPr>
              <w:rPr>
                <w:rFonts w:cs="Arial"/>
                <w:b/>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35B3069B" w14:textId="77777777" w:rsidR="00DD3424" w:rsidRPr="00730A4A" w:rsidRDefault="00DD3424" w:rsidP="00AE3A4F">
            <w:pPr>
              <w:rPr>
                <w:rFonts w:cs="Arial"/>
                <w:sz w:val="20"/>
                <w:szCs w:val="20"/>
              </w:rPr>
            </w:pPr>
            <w:r w:rsidRPr="00730A4A">
              <w:rPr>
                <w:rFonts w:cs="Arial"/>
                <w:sz w:val="20"/>
                <w:szCs w:val="20"/>
              </w:rPr>
              <w:t>Media</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30112D52" w14:textId="77777777" w:rsidR="00DD3424" w:rsidRPr="00730A4A" w:rsidRDefault="00DD3424" w:rsidP="00AE3A4F">
            <w:pPr>
              <w:rPr>
                <w:rFonts w:cs="Arial"/>
                <w:sz w:val="20"/>
                <w:szCs w:val="20"/>
              </w:rPr>
            </w:pPr>
            <w:r w:rsidRPr="00730A4A">
              <w:rPr>
                <w:rFonts w:cs="Arial"/>
                <w:sz w:val="20"/>
                <w:szCs w:val="20"/>
              </w:rPr>
              <w:t xml:space="preserve">Quelques responsables sont instruits </w:t>
            </w:r>
          </w:p>
          <w:p w14:paraId="1E04616E" w14:textId="77777777" w:rsidR="00DD3424" w:rsidRPr="00730A4A" w:rsidRDefault="00DD3424" w:rsidP="00AE3A4F">
            <w:pPr>
              <w:rPr>
                <w:rFonts w:cs="Arial"/>
                <w:sz w:val="20"/>
                <w:szCs w:val="20"/>
              </w:rP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14:paraId="291A8D1B" w14:textId="77777777" w:rsidR="00DD3424" w:rsidRPr="00730A4A" w:rsidRDefault="00DD3424" w:rsidP="00AE3A4F">
            <w:pPr>
              <w:rPr>
                <w:rFonts w:cs="Arial"/>
                <w:sz w:val="20"/>
                <w:szCs w:val="20"/>
              </w:rPr>
            </w:pPr>
            <w:r w:rsidRPr="00730A4A">
              <w:rPr>
                <w:rFonts w:cs="Arial"/>
                <w:sz w:val="20"/>
                <w:szCs w:val="20"/>
              </w:rPr>
              <w:t>Traduction du Français dans une langue locale</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14:paraId="7AA41DF8" w14:textId="77777777" w:rsidR="00DD3424" w:rsidRPr="00730A4A" w:rsidRDefault="00DD3424" w:rsidP="00730A4A">
            <w:pPr>
              <w:numPr>
                <w:ilvl w:val="0"/>
                <w:numId w:val="134"/>
              </w:numPr>
              <w:spacing w:line="240" w:lineRule="auto"/>
              <w:ind w:left="0" w:firstLine="0"/>
              <w:rPr>
                <w:rFonts w:cs="Arial"/>
                <w:sz w:val="20"/>
                <w:szCs w:val="20"/>
              </w:rPr>
            </w:pPr>
            <w:r w:rsidRPr="00730A4A">
              <w:rPr>
                <w:rFonts w:cs="Arial"/>
                <w:sz w:val="20"/>
                <w:szCs w:val="20"/>
              </w:rPr>
              <w:t>radios club,</w:t>
            </w:r>
          </w:p>
          <w:p w14:paraId="051EB925" w14:textId="77777777" w:rsidR="00DD3424" w:rsidRPr="00730A4A" w:rsidRDefault="00DD3424" w:rsidP="00AE3A4F">
            <w:pPr>
              <w:rPr>
                <w:rFonts w:cs="Arial"/>
                <w:sz w:val="20"/>
                <w:szCs w:val="20"/>
              </w:rPr>
            </w:pPr>
            <w:r w:rsidRPr="00730A4A">
              <w:rPr>
                <w:rFonts w:cs="Arial"/>
                <w:sz w:val="20"/>
                <w:szCs w:val="20"/>
              </w:rPr>
              <w:t>tribunes d’expression populaire</w:t>
            </w:r>
          </w:p>
          <w:p w14:paraId="06B17246" w14:textId="77777777" w:rsidR="00DD3424" w:rsidRPr="00730A4A" w:rsidRDefault="00DD3424" w:rsidP="00AE3A4F">
            <w:pPr>
              <w:rPr>
                <w:rFonts w:cs="Arial"/>
                <w:sz w:val="20"/>
                <w:szCs w:val="20"/>
              </w:rPr>
            </w:pPr>
            <w:r w:rsidRPr="00730A4A">
              <w:rPr>
                <w:rFonts w:cs="Arial"/>
                <w:sz w:val="20"/>
                <w:szCs w:val="20"/>
              </w:rPr>
              <w:t>cadres d’écoutes</w:t>
            </w:r>
          </w:p>
          <w:p w14:paraId="607992E3" w14:textId="77777777" w:rsidR="00DD3424" w:rsidRPr="00730A4A" w:rsidRDefault="00DD3424" w:rsidP="00730A4A">
            <w:pPr>
              <w:numPr>
                <w:ilvl w:val="0"/>
                <w:numId w:val="134"/>
              </w:numPr>
              <w:tabs>
                <w:tab w:val="left" w:pos="280"/>
              </w:tabs>
              <w:spacing w:line="240" w:lineRule="auto"/>
              <w:ind w:left="0" w:firstLine="0"/>
              <w:rPr>
                <w:rFonts w:cs="Arial"/>
                <w:sz w:val="20"/>
                <w:szCs w:val="20"/>
              </w:rPr>
            </w:pPr>
            <w:r w:rsidRPr="00730A4A">
              <w:rPr>
                <w:rFonts w:cs="Arial"/>
                <w:sz w:val="20"/>
                <w:szCs w:val="20"/>
              </w:rPr>
              <w:t>crieur public</w:t>
            </w:r>
          </w:p>
          <w:p w14:paraId="3304F5CB" w14:textId="77777777" w:rsidR="00DD3424" w:rsidRPr="00730A4A" w:rsidRDefault="00DD3424" w:rsidP="00730A4A">
            <w:pPr>
              <w:numPr>
                <w:ilvl w:val="0"/>
                <w:numId w:val="134"/>
              </w:numPr>
              <w:spacing w:line="240" w:lineRule="auto"/>
              <w:ind w:left="0" w:firstLine="0"/>
              <w:rPr>
                <w:rFonts w:cs="Arial"/>
                <w:sz w:val="20"/>
                <w:szCs w:val="20"/>
              </w:rPr>
            </w:pPr>
            <w:r w:rsidRPr="00730A4A">
              <w:rPr>
                <w:rFonts w:cs="Arial"/>
                <w:sz w:val="20"/>
                <w:szCs w:val="20"/>
              </w:rPr>
              <w:t>leaders communautaires, les artistes-musiciens et comédiens dans la mobilisation communautaire.</w:t>
            </w:r>
          </w:p>
          <w:p w14:paraId="605632BA" w14:textId="77777777" w:rsidR="00DD3424" w:rsidRPr="00730A4A" w:rsidRDefault="00DD3424" w:rsidP="00AE3A4F">
            <w:pPr>
              <w:rPr>
                <w:rFonts w:cs="Arial"/>
                <w:sz w:val="20"/>
                <w:szCs w:val="20"/>
              </w:rPr>
            </w:pP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65E4FC6F" w14:textId="77777777" w:rsidR="00DD3424" w:rsidRPr="00730A4A" w:rsidRDefault="00DD3424" w:rsidP="00AE3A4F">
            <w:pPr>
              <w:rPr>
                <w:rFonts w:cs="Arial"/>
                <w:sz w:val="20"/>
                <w:szCs w:val="20"/>
              </w:rPr>
            </w:pPr>
            <w:r w:rsidRPr="00730A4A">
              <w:rPr>
                <w:rFonts w:cs="Arial"/>
                <w:sz w:val="20"/>
                <w:szCs w:val="20"/>
              </w:rPr>
              <w:t xml:space="preserve">Création </w:t>
            </w:r>
            <w:r w:rsidR="002F3114" w:rsidRPr="00730A4A">
              <w:rPr>
                <w:rFonts w:cs="Arial"/>
                <w:sz w:val="20"/>
                <w:szCs w:val="20"/>
              </w:rPr>
              <w:t>des radios</w:t>
            </w:r>
            <w:r w:rsidRPr="00730A4A">
              <w:rPr>
                <w:rFonts w:cs="Arial"/>
                <w:sz w:val="20"/>
                <w:szCs w:val="20"/>
              </w:rPr>
              <w:t xml:space="preserve"> clubs</w:t>
            </w:r>
          </w:p>
          <w:p w14:paraId="1CB519A0" w14:textId="77777777" w:rsidR="00DD3424" w:rsidRPr="00730A4A" w:rsidRDefault="00DD3424" w:rsidP="00AE3A4F">
            <w:pPr>
              <w:rPr>
                <w:rFonts w:cs="Arial"/>
                <w:sz w:val="20"/>
                <w:szCs w:val="20"/>
              </w:rPr>
            </w:pPr>
            <w:r w:rsidRPr="00730A4A">
              <w:rPr>
                <w:rFonts w:cs="Arial"/>
                <w:sz w:val="20"/>
                <w:szCs w:val="20"/>
              </w:rPr>
              <w:t xml:space="preserve">Organisation des tribunes d’expression populaire, des théâtres participatifs, des boites a images en y ajoutant des jeux de rôle </w:t>
            </w:r>
          </w:p>
          <w:p w14:paraId="6AA4C6CB" w14:textId="77777777" w:rsidR="00DD3424" w:rsidRPr="00730A4A" w:rsidRDefault="00DD3424" w:rsidP="00AE3A4F">
            <w:pPr>
              <w:rPr>
                <w:rFonts w:cs="Arial"/>
                <w:sz w:val="20"/>
                <w:szCs w:val="20"/>
              </w:rPr>
            </w:pPr>
            <w:r w:rsidRPr="00730A4A">
              <w:rPr>
                <w:rFonts w:cs="Arial"/>
                <w:sz w:val="20"/>
                <w:szCs w:val="20"/>
              </w:rPr>
              <w:t>privilégier les émissions existantes dans les chaines locales et qui parlent de l’agriculture, pêche et élevage au lieu d’en créer d’autres ;</w:t>
            </w:r>
          </w:p>
          <w:p w14:paraId="4E6B5860" w14:textId="77777777" w:rsidR="00DD3424" w:rsidRPr="00730A4A" w:rsidRDefault="00DD3424" w:rsidP="00AE3A4F">
            <w:pPr>
              <w:rPr>
                <w:rFonts w:cs="Arial"/>
                <w:sz w:val="20"/>
                <w:szCs w:val="20"/>
              </w:rPr>
            </w:pPr>
            <w:r w:rsidRPr="00730A4A">
              <w:rPr>
                <w:rFonts w:cs="Arial"/>
                <w:sz w:val="20"/>
                <w:szCs w:val="20"/>
              </w:rPr>
              <w:t>création cadres d’écoutes avec les clubs d’auditeurs, surtout en milieu rural.</w:t>
            </w:r>
          </w:p>
          <w:p w14:paraId="072A33AB" w14:textId="77777777" w:rsidR="00DD3424" w:rsidRPr="00730A4A" w:rsidRDefault="00DD3424" w:rsidP="00AE3A4F">
            <w:pPr>
              <w:rPr>
                <w:rFonts w:cs="Arial"/>
                <w:sz w:val="20"/>
                <w:szCs w:val="20"/>
              </w:rPr>
            </w:pPr>
            <w:r w:rsidRPr="00730A4A">
              <w:rPr>
                <w:rFonts w:cs="Arial"/>
                <w:sz w:val="20"/>
                <w:szCs w:val="20"/>
              </w:rPr>
              <w:t xml:space="preserve">diffusion de message sur les opportunités et les risques du programme y compris la période de démarrage  </w:t>
            </w:r>
          </w:p>
          <w:p w14:paraId="790CE3F6" w14:textId="77777777" w:rsidR="00DD3424" w:rsidRPr="00730A4A" w:rsidRDefault="00DD3424" w:rsidP="00AE3A4F">
            <w:pPr>
              <w:rPr>
                <w:rFonts w:cs="Arial"/>
                <w:sz w:val="20"/>
                <w:szCs w:val="20"/>
              </w:rPr>
            </w:pPr>
            <w:r w:rsidRPr="00730A4A">
              <w:rPr>
                <w:rFonts w:cs="Arial"/>
                <w:sz w:val="20"/>
                <w:szCs w:val="20"/>
              </w:rPr>
              <w:t>Implication des leaders communautaires, les artistes-musiciens et comédiens dans la mobilisation communautaire.</w:t>
            </w:r>
          </w:p>
          <w:p w14:paraId="7E924116" w14:textId="77777777" w:rsidR="00DD3424" w:rsidRPr="00730A4A" w:rsidRDefault="00DD3424" w:rsidP="00AE3A4F">
            <w:pPr>
              <w:rPr>
                <w:rFonts w:cs="Arial"/>
                <w:sz w:val="20"/>
                <w:szCs w:val="20"/>
              </w:rPr>
            </w:pPr>
          </w:p>
          <w:p w14:paraId="4BD7D869" w14:textId="77777777" w:rsidR="00DD3424" w:rsidRPr="00730A4A" w:rsidRDefault="00DD3424" w:rsidP="00AE3A4F">
            <w:pPr>
              <w:rPr>
                <w:rFonts w:cs="Arial"/>
                <w:sz w:val="20"/>
                <w:szCs w:val="20"/>
              </w:rPr>
            </w:pPr>
            <w:r w:rsidRPr="00730A4A">
              <w:rPr>
                <w:rFonts w:cs="Arial"/>
                <w:sz w:val="20"/>
                <w:szCs w:val="20"/>
              </w:rPr>
              <w:t xml:space="preserve">Implication au processus d’évaluation et de gestion des risques/impacts et mesures d’atténuation des </w:t>
            </w:r>
          </w:p>
          <w:p w14:paraId="329611E2" w14:textId="77777777" w:rsidR="00DD3424" w:rsidRPr="009B0FEC" w:rsidRDefault="00DD3424" w:rsidP="00AE3A4F">
            <w:pPr>
              <w:rPr>
                <w:rFonts w:cs="Arial"/>
                <w:sz w:val="20"/>
                <w:szCs w:val="20"/>
              </w:rPr>
            </w:pPr>
            <w:r w:rsidRPr="00087018">
              <w:rPr>
                <w:rFonts w:cs="Arial"/>
                <w:sz w:val="20"/>
                <w:szCs w:val="20"/>
              </w:rPr>
              <w:t xml:space="preserve">impacts (VIH/Sida, </w:t>
            </w:r>
          </w:p>
          <w:p w14:paraId="4238C77E" w14:textId="77777777" w:rsidR="00DD3424" w:rsidRPr="00775E24" w:rsidRDefault="00DD3424" w:rsidP="00AE3A4F">
            <w:pPr>
              <w:rPr>
                <w:rFonts w:cs="Arial"/>
                <w:sz w:val="20"/>
                <w:szCs w:val="20"/>
              </w:rPr>
            </w:pPr>
            <w:r w:rsidRPr="000979A8">
              <w:rPr>
                <w:rFonts w:cs="Arial"/>
                <w:sz w:val="20"/>
                <w:szCs w:val="20"/>
              </w:rPr>
              <w:t xml:space="preserve">VBG/AES/HS ; VCE Covid 19, </w:t>
            </w:r>
          </w:p>
          <w:p w14:paraId="174A160D" w14:textId="77777777" w:rsidR="00DD3424" w:rsidRPr="00730A4A" w:rsidRDefault="00DD3424" w:rsidP="00AE3A4F">
            <w:pPr>
              <w:rPr>
                <w:rFonts w:cs="Arial"/>
                <w:sz w:val="20"/>
                <w:szCs w:val="20"/>
              </w:rPr>
            </w:pPr>
            <w:r w:rsidRPr="00730A4A">
              <w:rPr>
                <w:rFonts w:cs="Arial"/>
                <w:sz w:val="20"/>
                <w:szCs w:val="20"/>
              </w:rPr>
              <w:t>Renforcement des capacité</w:t>
            </w:r>
            <w:r w:rsidR="002F3114" w:rsidRPr="00730A4A">
              <w:rPr>
                <w:rFonts w:cs="Arial"/>
                <w:sz w:val="20"/>
                <w:szCs w:val="20"/>
              </w:rPr>
              <w:t>s</w:t>
            </w:r>
            <w:r w:rsidRPr="00730A4A">
              <w:rPr>
                <w:rFonts w:cs="Arial"/>
                <w:sz w:val="20"/>
                <w:szCs w:val="20"/>
              </w:rPr>
              <w:t xml:space="preserve"> sur l’environnement,  </w:t>
            </w:r>
          </w:p>
          <w:p w14:paraId="103CAC12" w14:textId="77777777" w:rsidR="00DD3424" w:rsidRPr="00730A4A" w:rsidRDefault="00DD3424" w:rsidP="00AE3A4F">
            <w:pPr>
              <w:rPr>
                <w:rFonts w:cs="Arial"/>
                <w:sz w:val="20"/>
                <w:szCs w:val="20"/>
              </w:rPr>
            </w:pPr>
            <w:r w:rsidRPr="00730A4A">
              <w:rPr>
                <w:rFonts w:cs="Arial"/>
                <w:sz w:val="20"/>
                <w:szCs w:val="20"/>
              </w:rPr>
              <w:t xml:space="preserve">Appuis de l’équipe du projet  </w:t>
            </w:r>
          </w:p>
        </w:tc>
      </w:tr>
      <w:tr w:rsidR="00BB0401" w:rsidRPr="00DD3424" w14:paraId="6B1130EA" w14:textId="77777777" w:rsidTr="00730A4A">
        <w:trPr>
          <w:trHeight w:val="3953"/>
        </w:trPr>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16998E70" w14:textId="77777777" w:rsidR="00DD3424" w:rsidRPr="00730A4A" w:rsidRDefault="00DD3424" w:rsidP="00AE3A4F">
            <w:pPr>
              <w:rPr>
                <w:rFonts w:cs="Arial"/>
                <w:sz w:val="20"/>
                <w:szCs w:val="20"/>
              </w:rPr>
            </w:pPr>
            <w:r w:rsidRPr="00730A4A">
              <w:rPr>
                <w:rFonts w:cs="Arial"/>
                <w:sz w:val="20"/>
                <w:szCs w:val="20"/>
              </w:rPr>
              <w:t xml:space="preserve">A ce stade les sites ne sont pas encore </w:t>
            </w:r>
          </w:p>
          <w:p w14:paraId="1BFA2DE4" w14:textId="77777777" w:rsidR="00DD3424" w:rsidRPr="00730A4A" w:rsidRDefault="00DD3424" w:rsidP="00AE3A4F">
            <w:pPr>
              <w:rPr>
                <w:rFonts w:cs="Arial"/>
                <w:sz w:val="20"/>
                <w:szCs w:val="20"/>
              </w:rPr>
            </w:pPr>
            <w:r w:rsidRPr="00730A4A">
              <w:rPr>
                <w:rFonts w:cs="Arial"/>
                <w:sz w:val="20"/>
                <w:szCs w:val="20"/>
              </w:rPr>
              <w:t xml:space="preserve">identifiés avec précision </w:t>
            </w: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67BF4E14" w14:textId="77777777" w:rsidR="00DD3424" w:rsidRPr="00730A4A" w:rsidRDefault="00DD3424" w:rsidP="00AE3A4F">
            <w:pPr>
              <w:rPr>
                <w:rFonts w:cs="Arial"/>
                <w:sz w:val="20"/>
                <w:szCs w:val="20"/>
              </w:rPr>
            </w:pPr>
            <w:r w:rsidRPr="00730A4A">
              <w:rPr>
                <w:rFonts w:cs="Arial"/>
                <w:sz w:val="20"/>
                <w:szCs w:val="20"/>
              </w:rPr>
              <w:t>Populations locales bantu et autotchtones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Pr>
          <w:p w14:paraId="312355B2" w14:textId="77777777" w:rsidR="00DD3424" w:rsidRPr="00730A4A" w:rsidRDefault="00DD3424" w:rsidP="00AE3A4F">
            <w:pPr>
              <w:rPr>
                <w:rFonts w:cs="Arial"/>
                <w:sz w:val="20"/>
                <w:szCs w:val="20"/>
              </w:rPr>
            </w:pPr>
            <w:r w:rsidRPr="00730A4A">
              <w:rPr>
                <w:rFonts w:cs="Arial"/>
                <w:sz w:val="20"/>
                <w:szCs w:val="20"/>
              </w:rPr>
              <w:t xml:space="preserve">Niveau d’instruction (de faible à nul) </w:t>
            </w:r>
          </w:p>
        </w:tc>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B4DE1" w14:textId="77777777" w:rsidR="00DD3424" w:rsidRPr="00730A4A" w:rsidRDefault="00DD3424" w:rsidP="00AE3A4F">
            <w:pPr>
              <w:rPr>
                <w:rFonts w:cs="Arial"/>
                <w:sz w:val="20"/>
                <w:szCs w:val="20"/>
              </w:rPr>
            </w:pPr>
            <w:r w:rsidRPr="00730A4A">
              <w:rPr>
                <w:rFonts w:cs="Arial"/>
                <w:sz w:val="20"/>
                <w:szCs w:val="20"/>
              </w:rPr>
              <w:t xml:space="preserve">Traduction des informations dans les  </w:t>
            </w:r>
          </w:p>
          <w:p w14:paraId="68077DC3" w14:textId="77777777" w:rsidR="00DD3424" w:rsidRPr="00730A4A" w:rsidRDefault="00DD3424" w:rsidP="00AE3A4F">
            <w:pPr>
              <w:rPr>
                <w:rFonts w:cs="Arial"/>
                <w:sz w:val="20"/>
                <w:szCs w:val="20"/>
              </w:rPr>
            </w:pPr>
            <w:r w:rsidRPr="00730A4A">
              <w:rPr>
                <w:rFonts w:cs="Arial"/>
                <w:sz w:val="20"/>
                <w:szCs w:val="20"/>
              </w:rPr>
              <w:t xml:space="preserve">Langues locales parlées par site (l’Ewé, le Mina, le Kabyè, le , </w:t>
            </w:r>
          </w:p>
          <w:p w14:paraId="0270978E" w14:textId="77777777" w:rsidR="00DD3424" w:rsidRPr="00730A4A" w:rsidRDefault="00DD3424" w:rsidP="00AE3A4F">
            <w:pPr>
              <w:rPr>
                <w:rFonts w:cs="Arial"/>
                <w:sz w:val="20"/>
                <w:szCs w:val="20"/>
              </w:rPr>
            </w:pPr>
            <w:r w:rsidRPr="00730A4A">
              <w:rPr>
                <w:rFonts w:cs="Arial"/>
                <w:sz w:val="20"/>
                <w:szCs w:val="20"/>
              </w:rPr>
              <w:t xml:space="preserve">Tem, etc.) </w:t>
            </w:r>
          </w:p>
        </w:tc>
        <w:tc>
          <w:tcPr>
            <w:tcW w:w="2461" w:type="dxa"/>
            <w:tcBorders>
              <w:top w:val="single" w:sz="4" w:space="0" w:color="000000"/>
              <w:left w:val="single" w:sz="4" w:space="0" w:color="000000"/>
              <w:bottom w:val="single" w:sz="4" w:space="0" w:color="000000"/>
              <w:right w:val="single" w:sz="4" w:space="0" w:color="000000"/>
            </w:tcBorders>
            <w:shd w:val="clear" w:color="auto" w:fill="auto"/>
          </w:tcPr>
          <w:p w14:paraId="3472E3C6" w14:textId="77777777" w:rsidR="00DD3424" w:rsidRPr="00730A4A" w:rsidRDefault="00DD3424" w:rsidP="00AE3A4F">
            <w:pPr>
              <w:rPr>
                <w:rFonts w:cs="Arial"/>
                <w:sz w:val="20"/>
                <w:szCs w:val="20"/>
              </w:rPr>
            </w:pPr>
            <w:r w:rsidRPr="00730A4A">
              <w:rPr>
                <w:rFonts w:cs="Arial"/>
                <w:sz w:val="20"/>
                <w:szCs w:val="20"/>
              </w:rPr>
              <w:t xml:space="preserve">-Réunions </w:t>
            </w:r>
          </w:p>
          <w:p w14:paraId="3698FDD2" w14:textId="77777777" w:rsidR="00DD3424" w:rsidRPr="00730A4A" w:rsidRDefault="00DD3424" w:rsidP="00AE3A4F">
            <w:pPr>
              <w:rPr>
                <w:rFonts w:cs="Arial"/>
                <w:sz w:val="20"/>
                <w:szCs w:val="20"/>
              </w:rPr>
            </w:pPr>
            <w:r w:rsidRPr="00730A4A">
              <w:rPr>
                <w:rFonts w:cs="Arial"/>
                <w:sz w:val="20"/>
                <w:szCs w:val="20"/>
              </w:rPr>
              <w:t xml:space="preserve">-Vidéo </w:t>
            </w:r>
          </w:p>
          <w:p w14:paraId="264E386F" w14:textId="77777777" w:rsidR="00DD3424" w:rsidRPr="00730A4A" w:rsidRDefault="00DD3424" w:rsidP="00AE3A4F">
            <w:pPr>
              <w:rPr>
                <w:rFonts w:cs="Arial"/>
                <w:sz w:val="20"/>
                <w:szCs w:val="20"/>
              </w:rPr>
            </w:pPr>
            <w:r w:rsidRPr="00730A4A">
              <w:rPr>
                <w:rFonts w:cs="Arial"/>
                <w:sz w:val="20"/>
                <w:szCs w:val="20"/>
              </w:rPr>
              <w:t xml:space="preserve">(projection) </w:t>
            </w:r>
          </w:p>
          <w:p w14:paraId="21D7B751" w14:textId="77777777" w:rsidR="00DD3424" w:rsidRPr="00730A4A" w:rsidRDefault="00DD3424" w:rsidP="00730A4A">
            <w:pPr>
              <w:numPr>
                <w:ilvl w:val="0"/>
                <w:numId w:val="135"/>
              </w:numPr>
              <w:spacing w:line="240" w:lineRule="auto"/>
              <w:ind w:left="0"/>
              <w:rPr>
                <w:rFonts w:cs="Arial"/>
                <w:sz w:val="20"/>
                <w:szCs w:val="20"/>
              </w:rPr>
            </w:pPr>
            <w:r w:rsidRPr="00730A4A">
              <w:rPr>
                <w:rFonts w:cs="Arial"/>
                <w:sz w:val="20"/>
                <w:szCs w:val="20"/>
              </w:rPr>
              <w:t xml:space="preserve">Radio ; </w:t>
            </w:r>
          </w:p>
          <w:p w14:paraId="6BA072B8" w14:textId="77777777" w:rsidR="00DD3424" w:rsidRPr="00730A4A" w:rsidRDefault="00DD3424" w:rsidP="00730A4A">
            <w:pPr>
              <w:numPr>
                <w:ilvl w:val="0"/>
                <w:numId w:val="135"/>
              </w:numPr>
              <w:spacing w:line="240" w:lineRule="auto"/>
              <w:ind w:left="0"/>
              <w:rPr>
                <w:rFonts w:cs="Arial"/>
                <w:sz w:val="20"/>
                <w:szCs w:val="20"/>
              </w:rPr>
            </w:pPr>
            <w:r w:rsidRPr="00730A4A">
              <w:rPr>
                <w:rFonts w:cs="Arial"/>
                <w:sz w:val="20"/>
                <w:szCs w:val="20"/>
              </w:rPr>
              <w:t xml:space="preserve">téléphone ; </w:t>
            </w:r>
          </w:p>
          <w:p w14:paraId="055DE3F3" w14:textId="77777777" w:rsidR="00DD3424" w:rsidRPr="00730A4A" w:rsidRDefault="00DD3424" w:rsidP="00730A4A">
            <w:pPr>
              <w:numPr>
                <w:ilvl w:val="0"/>
                <w:numId w:val="135"/>
              </w:numPr>
              <w:spacing w:line="240" w:lineRule="auto"/>
              <w:ind w:left="0"/>
              <w:rPr>
                <w:rFonts w:cs="Arial"/>
                <w:sz w:val="20"/>
                <w:szCs w:val="20"/>
              </w:rPr>
            </w:pPr>
            <w:r w:rsidRPr="00730A4A">
              <w:rPr>
                <w:rFonts w:cs="Arial"/>
                <w:sz w:val="20"/>
                <w:szCs w:val="20"/>
              </w:rPr>
              <w:t xml:space="preserve">internet </w:t>
            </w:r>
          </w:p>
          <w:p w14:paraId="7DFE925A" w14:textId="77777777" w:rsidR="00DD3424" w:rsidRPr="00730A4A" w:rsidRDefault="00DD3424" w:rsidP="00AE3A4F">
            <w:pPr>
              <w:rPr>
                <w:rFonts w:cs="Arial"/>
                <w:sz w:val="20"/>
                <w:szCs w:val="20"/>
              </w:rPr>
            </w:pPr>
            <w:r w:rsidRPr="00730A4A">
              <w:rPr>
                <w:rFonts w:cs="Arial"/>
                <w:sz w:val="20"/>
                <w:szCs w:val="20"/>
              </w:rPr>
              <w:t xml:space="preserve">-Whatsapp ; entretiens directs ou semi directs ; focus groups ;  Crieur public </w:t>
            </w:r>
          </w:p>
          <w:p w14:paraId="2A4185ED" w14:textId="77777777" w:rsidR="00DD3424" w:rsidRPr="00730A4A" w:rsidRDefault="00DD3424" w:rsidP="00730A4A">
            <w:pPr>
              <w:numPr>
                <w:ilvl w:val="0"/>
                <w:numId w:val="135"/>
              </w:numPr>
              <w:spacing w:line="240" w:lineRule="auto"/>
              <w:ind w:left="0"/>
              <w:rPr>
                <w:rFonts w:cs="Arial"/>
                <w:sz w:val="20"/>
                <w:szCs w:val="20"/>
              </w:rPr>
            </w:pPr>
            <w:r w:rsidRPr="00730A4A">
              <w:rPr>
                <w:rFonts w:cs="Arial"/>
                <w:sz w:val="20"/>
                <w:szCs w:val="20"/>
              </w:rPr>
              <w:t xml:space="preserve">Affiches </w:t>
            </w:r>
          </w:p>
        </w:tc>
        <w:tc>
          <w:tcPr>
            <w:tcW w:w="3490" w:type="dxa"/>
            <w:tcBorders>
              <w:top w:val="single" w:sz="4" w:space="0" w:color="000000"/>
              <w:left w:val="single" w:sz="4" w:space="0" w:color="000000"/>
              <w:bottom w:val="single" w:sz="4" w:space="0" w:color="000000"/>
              <w:right w:val="single" w:sz="4" w:space="0" w:color="000000"/>
            </w:tcBorders>
            <w:shd w:val="clear" w:color="auto" w:fill="auto"/>
          </w:tcPr>
          <w:p w14:paraId="2EBB990F" w14:textId="77777777" w:rsidR="00DD3424" w:rsidRPr="00730A4A" w:rsidRDefault="00DD3424" w:rsidP="00AE3A4F">
            <w:pPr>
              <w:rPr>
                <w:rFonts w:cs="Arial"/>
                <w:sz w:val="20"/>
                <w:szCs w:val="20"/>
              </w:rPr>
            </w:pPr>
            <w:r w:rsidRPr="00730A4A">
              <w:rPr>
                <w:rFonts w:cs="Arial"/>
                <w:sz w:val="20"/>
                <w:szCs w:val="20"/>
              </w:rPr>
              <w:t xml:space="preserve">Diffusion de message sur les opportunités et les risques du projet y compris la période de démarrage  </w:t>
            </w:r>
          </w:p>
          <w:p w14:paraId="6DEBA49F" w14:textId="77777777" w:rsidR="00DD3424" w:rsidRPr="00730A4A" w:rsidRDefault="00DD3424" w:rsidP="00AE3A4F">
            <w:pPr>
              <w:rPr>
                <w:rFonts w:cs="Arial"/>
                <w:sz w:val="20"/>
                <w:szCs w:val="20"/>
              </w:rPr>
            </w:pPr>
            <w:r w:rsidRPr="00730A4A">
              <w:rPr>
                <w:rFonts w:cs="Arial"/>
                <w:sz w:val="20"/>
                <w:szCs w:val="20"/>
              </w:rPr>
              <w:t xml:space="preserve"> </w:t>
            </w:r>
          </w:p>
          <w:p w14:paraId="04174F3E" w14:textId="77777777" w:rsidR="00DD3424" w:rsidRPr="00730A4A" w:rsidRDefault="00DD3424" w:rsidP="00AE3A4F">
            <w:pPr>
              <w:rPr>
                <w:rFonts w:cs="Arial"/>
                <w:sz w:val="20"/>
                <w:szCs w:val="20"/>
              </w:rPr>
            </w:pPr>
            <w:r w:rsidRPr="00730A4A">
              <w:rPr>
                <w:rFonts w:cs="Arial"/>
                <w:sz w:val="20"/>
                <w:szCs w:val="20"/>
              </w:rPr>
              <w:t xml:space="preserve">Implication au processus d’évaluation et de gestion des risques/impacts et mesures d’atténuation des impacts (VIH/Sida, </w:t>
            </w:r>
          </w:p>
          <w:p w14:paraId="0D47AB28" w14:textId="77777777" w:rsidR="00DD3424" w:rsidRPr="00730A4A" w:rsidRDefault="00DD3424" w:rsidP="00AE3A4F">
            <w:pPr>
              <w:rPr>
                <w:rFonts w:cs="Arial"/>
                <w:sz w:val="20"/>
                <w:szCs w:val="20"/>
              </w:rPr>
            </w:pPr>
            <w:r w:rsidRPr="00730A4A">
              <w:rPr>
                <w:rFonts w:cs="Arial"/>
                <w:sz w:val="20"/>
                <w:szCs w:val="20"/>
              </w:rPr>
              <w:t xml:space="preserve">VBG/VCCE) </w:t>
            </w:r>
          </w:p>
          <w:p w14:paraId="117DE8C3" w14:textId="77777777" w:rsidR="00DD3424" w:rsidRPr="00730A4A" w:rsidRDefault="00DD3424" w:rsidP="00AE3A4F">
            <w:pPr>
              <w:rPr>
                <w:rFonts w:cs="Arial"/>
                <w:sz w:val="20"/>
                <w:szCs w:val="20"/>
              </w:rPr>
            </w:pPr>
            <w:r w:rsidRPr="00730A4A">
              <w:rPr>
                <w:rFonts w:cs="Arial"/>
                <w:sz w:val="20"/>
                <w:szCs w:val="20"/>
              </w:rPr>
              <w:t xml:space="preserve">Consultation des PP pour l’élaboration du MGP (les systèmes traditionnels de gestion des plaintes à capitaliser,  </w:t>
            </w:r>
          </w:p>
          <w:p w14:paraId="26574267" w14:textId="77777777" w:rsidR="00DD3424" w:rsidRPr="00730A4A" w:rsidRDefault="00DD3424" w:rsidP="00AE3A4F">
            <w:pPr>
              <w:rPr>
                <w:rFonts w:cs="Arial"/>
                <w:sz w:val="20"/>
                <w:szCs w:val="20"/>
              </w:rPr>
            </w:pPr>
            <w:r w:rsidRPr="00730A4A">
              <w:rPr>
                <w:rFonts w:cs="Arial"/>
                <w:sz w:val="20"/>
                <w:szCs w:val="20"/>
              </w:rPr>
              <w:t xml:space="preserve">Consultation et prise en compte des avis, préoccupations et recommandation des parties prenantes principalement les PAP </w:t>
            </w:r>
          </w:p>
          <w:p w14:paraId="7C9B40C8" w14:textId="77777777" w:rsidR="00DD3424" w:rsidRPr="00730A4A" w:rsidRDefault="00DD3424" w:rsidP="00AE3A4F">
            <w:pPr>
              <w:rPr>
                <w:rFonts w:cs="Arial"/>
                <w:sz w:val="20"/>
                <w:szCs w:val="20"/>
              </w:rPr>
            </w:pPr>
            <w:r w:rsidRPr="00730A4A">
              <w:rPr>
                <w:rFonts w:cs="Arial"/>
                <w:sz w:val="20"/>
                <w:szCs w:val="20"/>
              </w:rPr>
              <w:t xml:space="preserve">Appui de l’équipe du projet  </w:t>
            </w:r>
          </w:p>
        </w:tc>
      </w:tr>
    </w:tbl>
    <w:p w14:paraId="0D8E6F61" w14:textId="77777777" w:rsidR="009430EB" w:rsidRDefault="009430EB">
      <w:pPr>
        <w:spacing w:after="160" w:line="259" w:lineRule="auto"/>
        <w:jc w:val="left"/>
        <w:rPr>
          <w:rFonts w:cs="Arial"/>
          <w:i/>
          <w:sz w:val="22"/>
        </w:rPr>
        <w:sectPr w:rsidR="009430EB" w:rsidSect="002F3114">
          <w:pgSz w:w="16839" w:h="11907" w:orient="landscape" w:code="9"/>
          <w:pgMar w:top="1418" w:right="1276" w:bottom="1418" w:left="1440" w:header="709" w:footer="709" w:gutter="0"/>
          <w:cols w:space="708"/>
          <w:docGrid w:linePitch="360"/>
        </w:sectPr>
      </w:pPr>
    </w:p>
    <w:p w14:paraId="2C53A525" w14:textId="77777777" w:rsidR="001C2F95" w:rsidRPr="00F44B51" w:rsidRDefault="001C2F95" w:rsidP="00F44B51">
      <w:pPr>
        <w:pStyle w:val="Titre2"/>
        <w:numPr>
          <w:ilvl w:val="2"/>
          <w:numId w:val="4"/>
        </w:numPr>
        <w:ind w:left="1560" w:hanging="709"/>
        <w:rPr>
          <w:rFonts w:cs="Arial"/>
          <w:i/>
          <w:sz w:val="22"/>
          <w:szCs w:val="22"/>
        </w:rPr>
      </w:pPr>
      <w:bookmarkStart w:id="793" w:name="_Toc70330506"/>
      <w:r w:rsidRPr="00F44B51">
        <w:rPr>
          <w:rFonts w:cs="Arial"/>
          <w:i/>
          <w:sz w:val="22"/>
          <w:szCs w:val="22"/>
        </w:rPr>
        <w:t>Stratégie</w:t>
      </w:r>
      <w:r w:rsidR="005223A2" w:rsidRPr="00F44B51">
        <w:rPr>
          <w:rFonts w:cs="Arial"/>
          <w:i/>
          <w:sz w:val="22"/>
          <w:szCs w:val="22"/>
        </w:rPr>
        <w:t xml:space="preserve"> proposée pour les consultations</w:t>
      </w:r>
      <w:bookmarkEnd w:id="793"/>
    </w:p>
    <w:p w14:paraId="1FF34C2B" w14:textId="77777777" w:rsidR="001C2F95" w:rsidRPr="00F44B51" w:rsidRDefault="001C2F95" w:rsidP="00F44B51">
      <w:pPr>
        <w:rPr>
          <w:rFonts w:eastAsia="Calibri" w:cs="Arial"/>
          <w:sz w:val="22"/>
        </w:rPr>
      </w:pPr>
    </w:p>
    <w:p w14:paraId="53BDCB49" w14:textId="77777777" w:rsidR="005223A2" w:rsidRPr="00F44B51" w:rsidRDefault="005223A2" w:rsidP="00F44B51">
      <w:pPr>
        <w:widowControl w:val="0"/>
        <w:autoSpaceDE w:val="0"/>
        <w:autoSpaceDN w:val="0"/>
        <w:adjustRightInd w:val="0"/>
        <w:rPr>
          <w:rFonts w:cs="Arial"/>
          <w:sz w:val="22"/>
        </w:rPr>
      </w:pPr>
      <w:r w:rsidRPr="00F44B51">
        <w:rPr>
          <w:rFonts w:cs="Arial"/>
          <w:sz w:val="22"/>
        </w:rPr>
        <w:t xml:space="preserve">Diverses techniques d'engagement sont utilisées pour établir des relations avec les parties prenantes, rassembler des informations auprès des parties prenantes, consulter les parties prenantes et diffuser les informations relatives au programme aux parties prenantes. </w:t>
      </w:r>
    </w:p>
    <w:p w14:paraId="332C9C2B" w14:textId="77777777" w:rsidR="005223A2" w:rsidRPr="00F44B51" w:rsidRDefault="005223A2" w:rsidP="00F44B51">
      <w:pPr>
        <w:widowControl w:val="0"/>
        <w:autoSpaceDE w:val="0"/>
        <w:autoSpaceDN w:val="0"/>
        <w:adjustRightInd w:val="0"/>
        <w:rPr>
          <w:rFonts w:cs="Arial"/>
          <w:sz w:val="22"/>
        </w:rPr>
      </w:pPr>
      <w:r w:rsidRPr="00F44B51">
        <w:rPr>
          <w:rFonts w:cs="Arial"/>
          <w:sz w:val="22"/>
        </w:rPr>
        <w:t xml:space="preserve">En fonction du public visé, de la culture et de l'objectif de la participation à un groupe de parties prenantes, les méthodes suivantes pourront être utilisées, par exemple : </w:t>
      </w:r>
    </w:p>
    <w:p w14:paraId="516FDFA2" w14:textId="77777777" w:rsidR="005223A2" w:rsidRPr="00F44B51" w:rsidRDefault="005223A2" w:rsidP="002378EA">
      <w:pPr>
        <w:pStyle w:val="Paragraphedeliste"/>
        <w:numPr>
          <w:ilvl w:val="0"/>
          <w:numId w:val="132"/>
        </w:numPr>
        <w:shd w:val="clear" w:color="auto" w:fill="FFFFFF"/>
        <w:tabs>
          <w:tab w:val="left" w:pos="171"/>
        </w:tabs>
        <w:contextualSpacing w:val="0"/>
        <w:rPr>
          <w:rFonts w:cs="Arial"/>
          <w:sz w:val="22"/>
        </w:rPr>
      </w:pPr>
      <w:r w:rsidRPr="00F44B51">
        <w:rPr>
          <w:rFonts w:cs="Arial"/>
          <w:sz w:val="22"/>
        </w:rPr>
        <w:t xml:space="preserve">Entretiens avec les différents acteurs et organisations concernés ; </w:t>
      </w:r>
    </w:p>
    <w:p w14:paraId="4BE324AA" w14:textId="77777777" w:rsidR="005223A2" w:rsidRPr="00F44B51" w:rsidRDefault="005223A2" w:rsidP="002378EA">
      <w:pPr>
        <w:pStyle w:val="Paragraphedeliste"/>
        <w:numPr>
          <w:ilvl w:val="0"/>
          <w:numId w:val="132"/>
        </w:numPr>
        <w:shd w:val="clear" w:color="auto" w:fill="FFFFFF"/>
        <w:tabs>
          <w:tab w:val="left" w:pos="171"/>
        </w:tabs>
        <w:contextualSpacing w:val="0"/>
        <w:rPr>
          <w:rFonts w:cs="Arial"/>
          <w:sz w:val="22"/>
        </w:rPr>
      </w:pPr>
      <w:r w:rsidRPr="00F44B51">
        <w:rPr>
          <w:rFonts w:cs="Arial"/>
          <w:sz w:val="22"/>
        </w:rPr>
        <w:t xml:space="preserve">Enquêtes, sondages et questionnaires seront utilisés pour prendre les avis des personnes susceptibles d’être affectées par le programme ; </w:t>
      </w:r>
    </w:p>
    <w:p w14:paraId="64026D4A" w14:textId="77777777" w:rsidR="005223A2" w:rsidRPr="00F44B51" w:rsidRDefault="005223A2" w:rsidP="002378EA">
      <w:pPr>
        <w:pStyle w:val="Paragraphedeliste"/>
        <w:numPr>
          <w:ilvl w:val="0"/>
          <w:numId w:val="132"/>
        </w:numPr>
        <w:shd w:val="clear" w:color="auto" w:fill="FFFFFF"/>
        <w:tabs>
          <w:tab w:val="left" w:pos="171"/>
        </w:tabs>
        <w:contextualSpacing w:val="0"/>
        <w:rPr>
          <w:rFonts w:cs="Arial"/>
          <w:sz w:val="22"/>
        </w:rPr>
      </w:pPr>
      <w:r w:rsidRPr="00F44B51">
        <w:rPr>
          <w:rFonts w:cs="Arial"/>
          <w:sz w:val="22"/>
        </w:rPr>
        <w:t xml:space="preserve">Réunions publiques ou communautaires, ateliers ou groupes de discussion sur des sujets précis  seront régulièrement organisées à l’intention des acteurs les plus éloignés; </w:t>
      </w:r>
    </w:p>
    <w:p w14:paraId="4C27A06D" w14:textId="77777777" w:rsidR="005223A2" w:rsidRPr="00F44B51" w:rsidRDefault="005223A2" w:rsidP="002378EA">
      <w:pPr>
        <w:pStyle w:val="Paragraphedeliste"/>
        <w:numPr>
          <w:ilvl w:val="0"/>
          <w:numId w:val="132"/>
        </w:numPr>
        <w:shd w:val="clear" w:color="auto" w:fill="FFFFFF"/>
        <w:tabs>
          <w:tab w:val="left" w:pos="171"/>
        </w:tabs>
        <w:contextualSpacing w:val="0"/>
        <w:rPr>
          <w:rFonts w:cs="Arial"/>
          <w:sz w:val="22"/>
        </w:rPr>
      </w:pPr>
      <w:r w:rsidRPr="00F44B51">
        <w:rPr>
          <w:rFonts w:cs="Arial"/>
          <w:sz w:val="22"/>
        </w:rPr>
        <w:t xml:space="preserve">Méthodes participatives ; </w:t>
      </w:r>
    </w:p>
    <w:p w14:paraId="274248B2" w14:textId="77777777" w:rsidR="005223A2" w:rsidRPr="00F44B51" w:rsidRDefault="005223A2" w:rsidP="002378EA">
      <w:pPr>
        <w:pStyle w:val="Paragraphedeliste"/>
        <w:numPr>
          <w:ilvl w:val="0"/>
          <w:numId w:val="132"/>
        </w:numPr>
        <w:shd w:val="clear" w:color="auto" w:fill="FFFFFF"/>
        <w:tabs>
          <w:tab w:val="left" w:pos="171"/>
        </w:tabs>
        <w:contextualSpacing w:val="0"/>
        <w:rPr>
          <w:rFonts w:cs="Arial"/>
          <w:sz w:val="22"/>
        </w:rPr>
      </w:pPr>
      <w:r w:rsidRPr="00F44B51">
        <w:rPr>
          <w:rFonts w:cs="Arial"/>
          <w:sz w:val="22"/>
        </w:rPr>
        <w:t>Autres mécanismes traditionnels de consultation et de prise de décision.</w:t>
      </w:r>
    </w:p>
    <w:p w14:paraId="34EB9900" w14:textId="77777777" w:rsidR="00F44B51" w:rsidRDefault="00F44B51" w:rsidP="00F44B51">
      <w:pPr>
        <w:widowControl w:val="0"/>
        <w:autoSpaceDE w:val="0"/>
        <w:autoSpaceDN w:val="0"/>
        <w:adjustRightInd w:val="0"/>
        <w:rPr>
          <w:rFonts w:cs="Arial"/>
          <w:sz w:val="22"/>
        </w:rPr>
      </w:pPr>
    </w:p>
    <w:p w14:paraId="4D5961A7" w14:textId="77777777" w:rsidR="005223A2" w:rsidRPr="00F44B51" w:rsidRDefault="005223A2" w:rsidP="00F44B51">
      <w:pPr>
        <w:widowControl w:val="0"/>
        <w:autoSpaceDE w:val="0"/>
        <w:autoSpaceDN w:val="0"/>
        <w:adjustRightInd w:val="0"/>
        <w:rPr>
          <w:rFonts w:cs="Arial"/>
          <w:sz w:val="22"/>
        </w:rPr>
      </w:pPr>
      <w:r w:rsidRPr="00F44B51">
        <w:rPr>
          <w:rFonts w:cs="Arial"/>
          <w:sz w:val="22"/>
        </w:rPr>
        <w:t xml:space="preserve">Lors du choix d'une technique de consultation appropriée, il convient de prendre en compte des méthodes de consultation. Les techniques les plus utilisées sont présentées au tableau </w:t>
      </w:r>
      <w:r w:rsidR="00F44B51" w:rsidRPr="00F44B51">
        <w:rPr>
          <w:rFonts w:cs="Arial"/>
          <w:sz w:val="22"/>
        </w:rPr>
        <w:t>3</w:t>
      </w:r>
      <w:r w:rsidRPr="00F44B51">
        <w:rPr>
          <w:rFonts w:cs="Arial"/>
          <w:sz w:val="22"/>
        </w:rPr>
        <w:t>5 ci-après :</w:t>
      </w:r>
    </w:p>
    <w:p w14:paraId="79041689" w14:textId="77777777" w:rsidR="00F44B51" w:rsidRDefault="00F44B51" w:rsidP="00F44B51">
      <w:pPr>
        <w:pStyle w:val="Lgende"/>
        <w:rPr>
          <w:rFonts w:cs="Arial"/>
          <w:sz w:val="22"/>
          <w:szCs w:val="22"/>
        </w:rPr>
      </w:pPr>
      <w:bookmarkStart w:id="794" w:name="_Toc63632645"/>
    </w:p>
    <w:p w14:paraId="2CE181ED" w14:textId="77777777" w:rsidR="005223A2" w:rsidRPr="00F44B51" w:rsidRDefault="005223A2" w:rsidP="00F44B51">
      <w:pPr>
        <w:pStyle w:val="Lgende"/>
        <w:rPr>
          <w:rFonts w:cs="Arial"/>
          <w:sz w:val="22"/>
          <w:szCs w:val="22"/>
        </w:rPr>
      </w:pPr>
      <w:bookmarkStart w:id="795" w:name="_Toc70451682"/>
      <w:r w:rsidRPr="00F44B51">
        <w:rPr>
          <w:rFonts w:cs="Arial"/>
          <w:sz w:val="22"/>
          <w:szCs w:val="22"/>
        </w:rPr>
        <w:t xml:space="preserve">Tableau </w:t>
      </w:r>
      <w:r w:rsidRPr="00F44B51">
        <w:rPr>
          <w:rFonts w:cs="Arial"/>
          <w:sz w:val="22"/>
          <w:szCs w:val="22"/>
        </w:rPr>
        <w:fldChar w:fldCharType="begin"/>
      </w:r>
      <w:r w:rsidRPr="00F44B51">
        <w:rPr>
          <w:rFonts w:cs="Arial"/>
          <w:sz w:val="22"/>
          <w:szCs w:val="22"/>
        </w:rPr>
        <w:instrText xml:space="preserve"> SEQ Tableau \* ARABIC </w:instrText>
      </w:r>
      <w:r w:rsidRPr="00F44B51">
        <w:rPr>
          <w:rFonts w:cs="Arial"/>
          <w:sz w:val="22"/>
          <w:szCs w:val="22"/>
        </w:rPr>
        <w:fldChar w:fldCharType="separate"/>
      </w:r>
      <w:r w:rsidR="001260B3">
        <w:rPr>
          <w:rFonts w:cs="Arial"/>
          <w:noProof/>
          <w:sz w:val="22"/>
          <w:szCs w:val="22"/>
        </w:rPr>
        <w:t>36</w:t>
      </w:r>
      <w:r w:rsidRPr="00F44B51">
        <w:rPr>
          <w:rFonts w:cs="Arial"/>
          <w:noProof/>
          <w:sz w:val="22"/>
          <w:szCs w:val="22"/>
        </w:rPr>
        <w:fldChar w:fldCharType="end"/>
      </w:r>
      <w:r w:rsidR="00F44B51">
        <w:rPr>
          <w:rFonts w:cs="Arial"/>
          <w:noProof/>
          <w:sz w:val="22"/>
          <w:szCs w:val="22"/>
        </w:rPr>
        <w:t>.</w:t>
      </w:r>
      <w:r w:rsidRPr="00F44B51">
        <w:rPr>
          <w:rFonts w:cs="Arial"/>
          <w:sz w:val="22"/>
          <w:szCs w:val="22"/>
        </w:rPr>
        <w:t xml:space="preserve"> Techniques d’engagement des Parties Prenantes</w:t>
      </w:r>
      <w:bookmarkEnd w:id="794"/>
      <w:bookmarkEnd w:id="795"/>
      <w:r w:rsidRPr="00F44B51">
        <w:rPr>
          <w:rFonts w:cs="Arial"/>
          <w:sz w:val="22"/>
          <w:szCs w:val="22"/>
        </w:rPr>
        <w:t xml:space="preserve"> </w:t>
      </w:r>
    </w:p>
    <w:p w14:paraId="62423A30" w14:textId="77777777" w:rsidR="005223A2" w:rsidRPr="00F44B51" w:rsidRDefault="005223A2" w:rsidP="00F44B51">
      <w:pPr>
        <w:rPr>
          <w:rFonts w:cs="Arial"/>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230"/>
      </w:tblGrid>
      <w:tr w:rsidR="005223A2" w:rsidRPr="00F44B51" w14:paraId="3258C043" w14:textId="77777777" w:rsidTr="00730A4A">
        <w:tc>
          <w:tcPr>
            <w:tcW w:w="2830" w:type="dxa"/>
            <w:shd w:val="clear" w:color="auto" w:fill="DEEAF6"/>
          </w:tcPr>
          <w:p w14:paraId="21BF1C28" w14:textId="77777777" w:rsidR="005223A2" w:rsidRPr="00730A4A" w:rsidRDefault="005223A2" w:rsidP="00F44B51">
            <w:pPr>
              <w:rPr>
                <w:rFonts w:cs="Arial"/>
                <w:b/>
                <w:sz w:val="22"/>
                <w:lang w:val="fr"/>
              </w:rPr>
            </w:pPr>
            <w:r w:rsidRPr="00730A4A">
              <w:rPr>
                <w:rFonts w:cs="Arial"/>
                <w:b/>
                <w:sz w:val="22"/>
                <w:lang w:val="en-US"/>
              </w:rPr>
              <w:t>Technique d'engagement</w:t>
            </w:r>
          </w:p>
        </w:tc>
        <w:tc>
          <w:tcPr>
            <w:tcW w:w="6230" w:type="dxa"/>
            <w:shd w:val="clear" w:color="auto" w:fill="DEEAF6"/>
          </w:tcPr>
          <w:p w14:paraId="3BA7E068" w14:textId="77777777" w:rsidR="005223A2" w:rsidRPr="00730A4A" w:rsidRDefault="005223A2" w:rsidP="00F44B51">
            <w:pPr>
              <w:rPr>
                <w:rFonts w:cs="Arial"/>
                <w:b/>
                <w:sz w:val="22"/>
                <w:lang w:val="fr"/>
              </w:rPr>
            </w:pPr>
            <w:r w:rsidRPr="00730A4A">
              <w:rPr>
                <w:rFonts w:cs="Arial"/>
                <w:b/>
                <w:sz w:val="22"/>
              </w:rPr>
              <w:t>Application appropriée de la technique</w:t>
            </w:r>
          </w:p>
        </w:tc>
      </w:tr>
      <w:tr w:rsidR="005223A2" w:rsidRPr="00F44B51" w14:paraId="52F251DD" w14:textId="77777777" w:rsidTr="00730A4A">
        <w:tc>
          <w:tcPr>
            <w:tcW w:w="2830" w:type="dxa"/>
            <w:shd w:val="clear" w:color="auto" w:fill="auto"/>
          </w:tcPr>
          <w:p w14:paraId="11D492F3" w14:textId="77777777" w:rsidR="005223A2" w:rsidRPr="00730A4A" w:rsidRDefault="005223A2" w:rsidP="00F44B51">
            <w:pPr>
              <w:rPr>
                <w:rFonts w:cs="Arial"/>
                <w:sz w:val="22"/>
                <w:lang w:val="fr"/>
              </w:rPr>
            </w:pPr>
            <w:r w:rsidRPr="00730A4A">
              <w:rPr>
                <w:rFonts w:cs="Arial"/>
                <w:sz w:val="22"/>
                <w:lang w:val="en-US"/>
              </w:rPr>
              <w:t>Correspondances (téléphone, Emails)</w:t>
            </w:r>
          </w:p>
        </w:tc>
        <w:tc>
          <w:tcPr>
            <w:tcW w:w="6230" w:type="dxa"/>
            <w:shd w:val="clear" w:color="auto" w:fill="auto"/>
          </w:tcPr>
          <w:p w14:paraId="23162821" w14:textId="77777777" w:rsidR="005223A2" w:rsidRPr="00730A4A" w:rsidRDefault="005223A2" w:rsidP="00F44B51">
            <w:pPr>
              <w:rPr>
                <w:rFonts w:cs="Arial"/>
                <w:sz w:val="22"/>
              </w:rPr>
            </w:pPr>
            <w:r w:rsidRPr="00730A4A">
              <w:rPr>
                <w:rFonts w:cs="Arial"/>
                <w:sz w:val="22"/>
              </w:rPr>
              <w:t xml:space="preserve">Distribuer des informations aux fonctionnaires, aux ONG, aux administrations locales et aux organisations / agences </w:t>
            </w:r>
          </w:p>
          <w:p w14:paraId="240E4824" w14:textId="77777777" w:rsidR="005223A2" w:rsidRPr="00730A4A" w:rsidRDefault="005223A2" w:rsidP="00F44B51">
            <w:pPr>
              <w:rPr>
                <w:rFonts w:cs="Arial"/>
                <w:sz w:val="22"/>
                <w:lang w:val="fr"/>
              </w:rPr>
            </w:pPr>
            <w:r w:rsidRPr="00730A4A">
              <w:rPr>
                <w:rFonts w:cs="Arial"/>
                <w:sz w:val="22"/>
              </w:rPr>
              <w:t>Inviter les parties prenantes aux réunions et au suivi</w:t>
            </w:r>
          </w:p>
        </w:tc>
      </w:tr>
      <w:tr w:rsidR="005223A2" w:rsidRPr="00F44B51" w14:paraId="0E3DCD37" w14:textId="77777777" w:rsidTr="00730A4A">
        <w:tc>
          <w:tcPr>
            <w:tcW w:w="2830" w:type="dxa"/>
            <w:shd w:val="clear" w:color="auto" w:fill="auto"/>
          </w:tcPr>
          <w:p w14:paraId="353B5B62" w14:textId="77777777" w:rsidR="005223A2" w:rsidRPr="00730A4A" w:rsidRDefault="005223A2" w:rsidP="00F44B51">
            <w:pPr>
              <w:rPr>
                <w:rFonts w:cs="Arial"/>
                <w:sz w:val="22"/>
                <w:lang w:val="fr"/>
              </w:rPr>
            </w:pPr>
            <w:r w:rsidRPr="00730A4A">
              <w:rPr>
                <w:rFonts w:cs="Arial"/>
                <w:sz w:val="22"/>
                <w:lang w:val="en-US"/>
              </w:rPr>
              <w:t>Réunions individuelles</w:t>
            </w:r>
          </w:p>
        </w:tc>
        <w:tc>
          <w:tcPr>
            <w:tcW w:w="6230" w:type="dxa"/>
            <w:shd w:val="clear" w:color="auto" w:fill="auto"/>
          </w:tcPr>
          <w:p w14:paraId="412D9F1C" w14:textId="77777777" w:rsidR="005223A2" w:rsidRPr="00730A4A" w:rsidRDefault="005223A2" w:rsidP="00F44B51">
            <w:pPr>
              <w:rPr>
                <w:rFonts w:cs="Arial"/>
                <w:sz w:val="22"/>
                <w:lang w:val="fr"/>
              </w:rPr>
            </w:pPr>
            <w:r w:rsidRPr="00730A4A">
              <w:rPr>
                <w:rFonts w:cs="Arial"/>
                <w:sz w:val="22"/>
              </w:rPr>
              <w:t>Recherche d'opinions ; Permettre aux parties prenantes de parler librement de questions sensibles ; Construire des relations personnelles ; Enregistrer/noter le contenu des réunions</w:t>
            </w:r>
          </w:p>
        </w:tc>
      </w:tr>
      <w:tr w:rsidR="005223A2" w:rsidRPr="00F44B51" w14:paraId="5B6E19DE" w14:textId="77777777" w:rsidTr="00730A4A">
        <w:tc>
          <w:tcPr>
            <w:tcW w:w="2830" w:type="dxa"/>
            <w:shd w:val="clear" w:color="auto" w:fill="auto"/>
          </w:tcPr>
          <w:p w14:paraId="73F67ADD" w14:textId="77777777" w:rsidR="005223A2" w:rsidRPr="00730A4A" w:rsidRDefault="005223A2" w:rsidP="00F44B51">
            <w:pPr>
              <w:rPr>
                <w:rFonts w:cs="Arial"/>
                <w:sz w:val="22"/>
                <w:lang w:val="fr"/>
              </w:rPr>
            </w:pPr>
            <w:r w:rsidRPr="00730A4A">
              <w:rPr>
                <w:rFonts w:cs="Arial"/>
                <w:sz w:val="22"/>
                <w:lang w:val="en-US"/>
              </w:rPr>
              <w:t>Réunions formelles</w:t>
            </w:r>
          </w:p>
        </w:tc>
        <w:tc>
          <w:tcPr>
            <w:tcW w:w="6230" w:type="dxa"/>
            <w:shd w:val="clear" w:color="auto" w:fill="auto"/>
          </w:tcPr>
          <w:p w14:paraId="51D45FDA" w14:textId="77777777" w:rsidR="005223A2" w:rsidRPr="00730A4A" w:rsidRDefault="005223A2" w:rsidP="00F44B51">
            <w:pPr>
              <w:rPr>
                <w:rFonts w:cs="Arial"/>
                <w:sz w:val="22"/>
                <w:lang w:val="fr"/>
              </w:rPr>
            </w:pPr>
            <w:r w:rsidRPr="00730A4A">
              <w:rPr>
                <w:rFonts w:cs="Arial"/>
                <w:sz w:val="22"/>
              </w:rPr>
              <w:t>Présenter les informations du programme à un groupe de parties prenantes ; Autoriser le groupe à commenter opinions et points de vue ; Construire une relation impersonnelle avec les parties prenantes de haut niveau ; Diffuser des informations techniques Enregistrer/noter le contenu des réunions</w:t>
            </w:r>
          </w:p>
        </w:tc>
      </w:tr>
      <w:tr w:rsidR="005223A2" w:rsidRPr="00F44B51" w14:paraId="31F7FC09" w14:textId="77777777" w:rsidTr="00730A4A">
        <w:trPr>
          <w:trHeight w:val="1698"/>
        </w:trPr>
        <w:tc>
          <w:tcPr>
            <w:tcW w:w="2830" w:type="dxa"/>
            <w:shd w:val="clear" w:color="auto" w:fill="auto"/>
          </w:tcPr>
          <w:p w14:paraId="29E3342A" w14:textId="77777777" w:rsidR="005223A2" w:rsidRPr="00730A4A" w:rsidRDefault="005223A2" w:rsidP="00F44B51">
            <w:pPr>
              <w:rPr>
                <w:rFonts w:cs="Arial"/>
                <w:sz w:val="22"/>
                <w:lang w:val="en-US"/>
              </w:rPr>
            </w:pPr>
            <w:r w:rsidRPr="00730A4A">
              <w:rPr>
                <w:rFonts w:cs="Arial"/>
                <w:sz w:val="22"/>
                <w:lang w:val="en-US"/>
              </w:rPr>
              <w:t>Réunions publiques</w:t>
            </w:r>
          </w:p>
        </w:tc>
        <w:tc>
          <w:tcPr>
            <w:tcW w:w="6230" w:type="dxa"/>
            <w:shd w:val="clear" w:color="auto" w:fill="auto"/>
          </w:tcPr>
          <w:p w14:paraId="0C54F2EC" w14:textId="77777777" w:rsidR="005223A2" w:rsidRPr="00730A4A" w:rsidRDefault="005223A2" w:rsidP="00F44B51">
            <w:pPr>
              <w:rPr>
                <w:rFonts w:cs="Arial"/>
                <w:sz w:val="22"/>
              </w:rPr>
            </w:pPr>
            <w:r w:rsidRPr="00730A4A">
              <w:rPr>
                <w:rFonts w:cs="Arial"/>
                <w:sz w:val="22"/>
              </w:rPr>
              <w:t>Présenter les informations du programme à un grand groupe de parties prenantes,</w:t>
            </w:r>
            <w:r w:rsidR="009C1107" w:rsidRPr="00730A4A">
              <w:rPr>
                <w:rFonts w:cs="Arial"/>
                <w:sz w:val="22"/>
              </w:rPr>
              <w:t xml:space="preserve"> en particulier les communautés </w:t>
            </w:r>
            <w:r w:rsidRPr="00730A4A">
              <w:rPr>
                <w:rFonts w:cs="Arial"/>
                <w:sz w:val="22"/>
              </w:rPr>
              <w:t>; Permettre au groupe de donner son point de vue et ses opinions ; Construire des relations avec les communautés, en particulier celles touchées ; Distribuer des informations non techniques ; Faciliter les réunions avec des présentations verbales, des présentations PowerPoint, des affiches, etc. ; Enregistrer/noter des discussions, des commentaires et des questions.</w:t>
            </w:r>
          </w:p>
        </w:tc>
      </w:tr>
      <w:tr w:rsidR="005223A2" w:rsidRPr="00F44B51" w14:paraId="4610C5E3" w14:textId="77777777" w:rsidTr="00730A4A">
        <w:tc>
          <w:tcPr>
            <w:tcW w:w="2830" w:type="dxa"/>
            <w:shd w:val="clear" w:color="auto" w:fill="auto"/>
          </w:tcPr>
          <w:p w14:paraId="118CB6DF" w14:textId="77777777" w:rsidR="005223A2" w:rsidRPr="00730A4A" w:rsidRDefault="005223A2" w:rsidP="00F44B51">
            <w:pPr>
              <w:rPr>
                <w:rFonts w:cs="Arial"/>
                <w:sz w:val="22"/>
              </w:rPr>
            </w:pPr>
            <w:r w:rsidRPr="00730A4A">
              <w:rPr>
                <w:rFonts w:cs="Arial"/>
                <w:sz w:val="22"/>
              </w:rPr>
              <w:t>Réunions du groupe de discussion (focus group)</w:t>
            </w:r>
          </w:p>
        </w:tc>
        <w:tc>
          <w:tcPr>
            <w:tcW w:w="6230" w:type="dxa"/>
            <w:shd w:val="clear" w:color="auto" w:fill="auto"/>
          </w:tcPr>
          <w:p w14:paraId="5E503511" w14:textId="77777777" w:rsidR="005223A2" w:rsidRPr="00730A4A" w:rsidRDefault="005223A2" w:rsidP="00F44B51">
            <w:pPr>
              <w:rPr>
                <w:rFonts w:cs="Arial"/>
                <w:sz w:val="22"/>
              </w:rPr>
            </w:pPr>
            <w:r w:rsidRPr="00730A4A">
              <w:rPr>
                <w:rFonts w:cs="Arial"/>
                <w:sz w:val="22"/>
              </w:rPr>
              <w:t>Présenter les informations du programme à un groupe de parties prenantes ; Permettre aux parties prenantes de donner leur avis sur des informations de base ciblées ; Construire des relations avec les communautés Enregistrer/noter les réponses</w:t>
            </w:r>
          </w:p>
        </w:tc>
      </w:tr>
      <w:tr w:rsidR="005223A2" w:rsidRPr="00F44B51" w14:paraId="7479E0FD" w14:textId="77777777" w:rsidTr="00730A4A">
        <w:tc>
          <w:tcPr>
            <w:tcW w:w="2830" w:type="dxa"/>
            <w:shd w:val="clear" w:color="auto" w:fill="auto"/>
          </w:tcPr>
          <w:p w14:paraId="0C8460D9" w14:textId="77777777" w:rsidR="005223A2" w:rsidRPr="00730A4A" w:rsidRDefault="005223A2" w:rsidP="00F44B51">
            <w:pPr>
              <w:rPr>
                <w:rFonts w:cs="Arial"/>
                <w:sz w:val="22"/>
                <w:lang w:val="en-US"/>
              </w:rPr>
            </w:pPr>
            <w:r w:rsidRPr="00730A4A">
              <w:rPr>
                <w:rFonts w:cs="Arial"/>
                <w:sz w:val="22"/>
                <w:lang w:val="en-US"/>
              </w:rPr>
              <w:t>Site Web du programme</w:t>
            </w:r>
          </w:p>
        </w:tc>
        <w:tc>
          <w:tcPr>
            <w:tcW w:w="6230" w:type="dxa"/>
            <w:shd w:val="clear" w:color="auto" w:fill="auto"/>
          </w:tcPr>
          <w:p w14:paraId="4D840DF8" w14:textId="77777777" w:rsidR="005223A2" w:rsidRPr="00730A4A" w:rsidRDefault="005223A2" w:rsidP="00F44B51">
            <w:pPr>
              <w:rPr>
                <w:rFonts w:cs="Arial"/>
                <w:sz w:val="22"/>
              </w:rPr>
            </w:pPr>
            <w:r w:rsidRPr="00730A4A">
              <w:rPr>
                <w:rFonts w:cs="Arial"/>
                <w:sz w:val="22"/>
              </w:rPr>
              <w:t>Présenter des informations sur le programme et les mises à jour de l'avancement ;</w:t>
            </w:r>
          </w:p>
          <w:p w14:paraId="5E18B237" w14:textId="77777777" w:rsidR="005223A2" w:rsidRPr="00730A4A" w:rsidRDefault="005223A2" w:rsidP="00F44B51">
            <w:pPr>
              <w:rPr>
                <w:rFonts w:cs="Arial"/>
                <w:sz w:val="22"/>
              </w:rPr>
            </w:pPr>
            <w:r w:rsidRPr="00730A4A">
              <w:rPr>
                <w:rFonts w:cs="Arial"/>
                <w:sz w:val="22"/>
              </w:rPr>
              <w:t>Divulguer les documents des évaluations environnementales et sociales (PGES,…) et autres documents de projet pertinents</w:t>
            </w:r>
          </w:p>
        </w:tc>
      </w:tr>
      <w:tr w:rsidR="005223A2" w:rsidRPr="00F44B51" w14:paraId="29E1ED6E" w14:textId="77777777" w:rsidTr="00730A4A">
        <w:tc>
          <w:tcPr>
            <w:tcW w:w="2830" w:type="dxa"/>
            <w:shd w:val="clear" w:color="auto" w:fill="auto"/>
          </w:tcPr>
          <w:p w14:paraId="02B9312A" w14:textId="77777777" w:rsidR="005223A2" w:rsidRPr="00730A4A" w:rsidRDefault="005223A2" w:rsidP="00F44B51">
            <w:pPr>
              <w:rPr>
                <w:rFonts w:cs="Arial"/>
                <w:sz w:val="22"/>
                <w:lang w:val="en-US"/>
              </w:rPr>
            </w:pPr>
            <w:r w:rsidRPr="00730A4A">
              <w:rPr>
                <w:rFonts w:cs="Arial"/>
                <w:sz w:val="22"/>
                <w:lang w:val="en-US"/>
              </w:rPr>
              <w:t>Dépliant du programme</w:t>
            </w:r>
          </w:p>
        </w:tc>
        <w:tc>
          <w:tcPr>
            <w:tcW w:w="6230" w:type="dxa"/>
            <w:shd w:val="clear" w:color="auto" w:fill="auto"/>
          </w:tcPr>
          <w:p w14:paraId="159FD76D" w14:textId="77777777" w:rsidR="005223A2" w:rsidRPr="00730A4A" w:rsidRDefault="005223A2" w:rsidP="00F44B51">
            <w:pPr>
              <w:rPr>
                <w:rFonts w:cs="Arial"/>
                <w:sz w:val="22"/>
              </w:rPr>
            </w:pPr>
            <w:r w:rsidRPr="00730A4A">
              <w:rPr>
                <w:rFonts w:cs="Arial"/>
                <w:sz w:val="22"/>
              </w:rPr>
              <w:t xml:space="preserve">Brève information sur le programme pour fournir une mise à jour régulière ; </w:t>
            </w:r>
          </w:p>
          <w:p w14:paraId="301828CC" w14:textId="77777777" w:rsidR="005223A2" w:rsidRPr="00730A4A" w:rsidRDefault="005223A2" w:rsidP="00F44B51">
            <w:pPr>
              <w:rPr>
                <w:rFonts w:cs="Arial"/>
                <w:sz w:val="22"/>
              </w:rPr>
            </w:pPr>
            <w:r w:rsidRPr="00730A4A">
              <w:rPr>
                <w:rFonts w:cs="Arial"/>
                <w:sz w:val="22"/>
              </w:rPr>
              <w:t>Informations de programme spécifiques au site.</w:t>
            </w:r>
          </w:p>
        </w:tc>
      </w:tr>
    </w:tbl>
    <w:p w14:paraId="5B5E6E33" w14:textId="77777777" w:rsidR="005223A2" w:rsidRPr="00F44B51" w:rsidRDefault="005223A2" w:rsidP="00F44B51">
      <w:pPr>
        <w:rPr>
          <w:rFonts w:eastAsia="Calibri" w:cs="Arial"/>
          <w:sz w:val="22"/>
        </w:rPr>
      </w:pPr>
    </w:p>
    <w:p w14:paraId="50B6812E" w14:textId="77777777" w:rsidR="005223A2" w:rsidRPr="00F44B51" w:rsidRDefault="005223A2" w:rsidP="00F44B51">
      <w:pPr>
        <w:pStyle w:val="Titre2"/>
        <w:rPr>
          <w:rFonts w:cs="Arial"/>
          <w:i/>
          <w:sz w:val="22"/>
          <w:szCs w:val="22"/>
          <w:u w:val="single"/>
        </w:rPr>
      </w:pPr>
      <w:bookmarkStart w:id="796" w:name="_Toc63633347"/>
      <w:bookmarkStart w:id="797" w:name="_Toc70327144"/>
      <w:bookmarkStart w:id="798" w:name="_Toc70330507"/>
      <w:r w:rsidRPr="00F44B51">
        <w:rPr>
          <w:rFonts w:cs="Arial"/>
          <w:b/>
          <w:i/>
          <w:sz w:val="22"/>
          <w:szCs w:val="22"/>
          <w:u w:val="single"/>
        </w:rPr>
        <w:t>Stratégie proposée pour la prise en compte des points de vue des groupes vulnérables</w:t>
      </w:r>
      <w:bookmarkEnd w:id="796"/>
      <w:bookmarkEnd w:id="797"/>
      <w:bookmarkEnd w:id="798"/>
      <w:r w:rsidRPr="00F44B51">
        <w:rPr>
          <w:rFonts w:cs="Arial"/>
          <w:b/>
          <w:i/>
          <w:sz w:val="22"/>
          <w:szCs w:val="22"/>
          <w:u w:val="single"/>
        </w:rPr>
        <w:t xml:space="preserve"> </w:t>
      </w:r>
    </w:p>
    <w:p w14:paraId="048695B6" w14:textId="77777777" w:rsidR="005223A2" w:rsidRPr="00F44B51" w:rsidRDefault="005223A2" w:rsidP="00F44B51">
      <w:pPr>
        <w:pStyle w:val="Titre20"/>
        <w:tabs>
          <w:tab w:val="clear" w:pos="5352"/>
        </w:tabs>
        <w:ind w:left="780" w:firstLine="0"/>
        <w:rPr>
          <w:rFonts w:ascii="Arial" w:hAnsi="Arial" w:cs="Arial"/>
          <w:sz w:val="22"/>
          <w:szCs w:val="22"/>
        </w:rPr>
      </w:pPr>
    </w:p>
    <w:p w14:paraId="3A2A0BFC" w14:textId="77777777" w:rsidR="005223A2" w:rsidRPr="00F44B51" w:rsidRDefault="005223A2" w:rsidP="00F44B51">
      <w:pPr>
        <w:widowControl w:val="0"/>
        <w:autoSpaceDE w:val="0"/>
        <w:autoSpaceDN w:val="0"/>
        <w:adjustRightInd w:val="0"/>
        <w:rPr>
          <w:rFonts w:cs="Arial"/>
          <w:sz w:val="22"/>
        </w:rPr>
      </w:pPr>
      <w:r w:rsidRPr="00F44B51">
        <w:rPr>
          <w:rFonts w:cs="Arial"/>
          <w:sz w:val="22"/>
        </w:rPr>
        <w:t>L’engagement des parties prenantes sera un processus continu qui se déroulera suite à la diffusion du présent PMPP et pendant toutes les phases du Programme. Cette section vise à décrire les influences que les parties prenantes ont sur le programme selon leurs niveaux d’engagement ainsi que la stratégie de communication proposée et les différentes méthodes qui serviront à communiquer avec chacun des groupes identifiés y compris les groupes vulnérables pour la prise en compte des différents points de vue. La mise en œuvre de la stratégie proposée consiste à organiser, piloter et gérer la communication. Cela revient à élaborer, à gérer, à budgétiser et à prévoir un suivi et une évaluation des actions menées pour l’engagement des parties prenantes.</w:t>
      </w:r>
    </w:p>
    <w:p w14:paraId="7A1A841B" w14:textId="77777777" w:rsidR="005223A2" w:rsidRPr="00F44B51" w:rsidRDefault="005223A2" w:rsidP="00F44B51">
      <w:pPr>
        <w:widowControl w:val="0"/>
        <w:autoSpaceDE w:val="0"/>
        <w:autoSpaceDN w:val="0"/>
        <w:adjustRightInd w:val="0"/>
        <w:rPr>
          <w:rFonts w:cs="Arial"/>
          <w:sz w:val="22"/>
        </w:rPr>
      </w:pPr>
      <w:r w:rsidRPr="00F44B51">
        <w:rPr>
          <w:rFonts w:cs="Arial"/>
          <w:sz w:val="22"/>
        </w:rPr>
        <w:t xml:space="preserve">Pour atteindre les objectifs de communication, la démarche suivante est suggérée : </w:t>
      </w:r>
    </w:p>
    <w:p w14:paraId="664AFD89" w14:textId="77777777" w:rsidR="005223A2" w:rsidRPr="00F44B51" w:rsidRDefault="005223A2" w:rsidP="002378EA">
      <w:pPr>
        <w:pStyle w:val="Paragraphedeliste"/>
        <w:numPr>
          <w:ilvl w:val="0"/>
          <w:numId w:val="133"/>
        </w:numPr>
        <w:shd w:val="clear" w:color="auto" w:fill="FFFFFF"/>
        <w:tabs>
          <w:tab w:val="left" w:pos="171"/>
        </w:tabs>
        <w:contextualSpacing w:val="0"/>
        <w:rPr>
          <w:rFonts w:cs="Arial"/>
          <w:sz w:val="22"/>
        </w:rPr>
      </w:pPr>
      <w:r w:rsidRPr="00F44B51">
        <w:rPr>
          <w:rFonts w:cs="Arial"/>
          <w:sz w:val="22"/>
        </w:rPr>
        <w:t xml:space="preserve">Des forums sur les résultats des consultations relatives à l’engagement des parties prenantes ; </w:t>
      </w:r>
    </w:p>
    <w:p w14:paraId="65ED692D" w14:textId="77777777" w:rsidR="005223A2" w:rsidRPr="00F44B51" w:rsidRDefault="005223A2" w:rsidP="002378EA">
      <w:pPr>
        <w:pStyle w:val="Paragraphedeliste"/>
        <w:numPr>
          <w:ilvl w:val="0"/>
          <w:numId w:val="133"/>
        </w:numPr>
        <w:shd w:val="clear" w:color="auto" w:fill="FFFFFF"/>
        <w:tabs>
          <w:tab w:val="left" w:pos="171"/>
        </w:tabs>
        <w:contextualSpacing w:val="0"/>
        <w:rPr>
          <w:rFonts w:cs="Arial"/>
          <w:sz w:val="22"/>
        </w:rPr>
      </w:pPr>
      <w:r w:rsidRPr="00F44B51">
        <w:rPr>
          <w:rFonts w:cs="Arial"/>
          <w:sz w:val="22"/>
        </w:rPr>
        <w:t xml:space="preserve">Des réunions avec les leaders d’opinion (notables, responsables syndicaux, collectif des personnes affectées, etc.) ; </w:t>
      </w:r>
    </w:p>
    <w:p w14:paraId="5FE8DF94" w14:textId="77777777" w:rsidR="005223A2" w:rsidRPr="00F44B51" w:rsidRDefault="005223A2" w:rsidP="002378EA">
      <w:pPr>
        <w:pStyle w:val="Paragraphedeliste"/>
        <w:numPr>
          <w:ilvl w:val="0"/>
          <w:numId w:val="133"/>
        </w:numPr>
        <w:shd w:val="clear" w:color="auto" w:fill="FFFFFF"/>
        <w:tabs>
          <w:tab w:val="left" w:pos="171"/>
        </w:tabs>
        <w:contextualSpacing w:val="0"/>
        <w:rPr>
          <w:rFonts w:cs="Arial"/>
          <w:sz w:val="22"/>
        </w:rPr>
      </w:pPr>
      <w:r w:rsidRPr="00F44B51">
        <w:rPr>
          <w:rFonts w:cs="Arial"/>
          <w:sz w:val="22"/>
        </w:rPr>
        <w:t xml:space="preserve">Des rencontres avec les groupements de jeunes (filles et garçons), les personnes ayant un handicap et les autres groupes vulnérables ; </w:t>
      </w:r>
    </w:p>
    <w:p w14:paraId="03D610C1" w14:textId="77777777" w:rsidR="005223A2" w:rsidRPr="00F44B51" w:rsidRDefault="005223A2" w:rsidP="002378EA">
      <w:pPr>
        <w:pStyle w:val="Paragraphedeliste"/>
        <w:numPr>
          <w:ilvl w:val="0"/>
          <w:numId w:val="133"/>
        </w:numPr>
        <w:shd w:val="clear" w:color="auto" w:fill="FFFFFF"/>
        <w:tabs>
          <w:tab w:val="left" w:pos="171"/>
        </w:tabs>
        <w:contextualSpacing w:val="0"/>
        <w:rPr>
          <w:rFonts w:cs="Arial"/>
          <w:sz w:val="22"/>
        </w:rPr>
      </w:pPr>
      <w:r w:rsidRPr="00F44B51">
        <w:rPr>
          <w:rFonts w:cs="Arial"/>
          <w:sz w:val="22"/>
        </w:rPr>
        <w:t xml:space="preserve">Des concertations sur les mesures d’accompagnement et la sensibilisation des populations ; </w:t>
      </w:r>
    </w:p>
    <w:p w14:paraId="464D6360" w14:textId="77777777" w:rsidR="005223A2" w:rsidRPr="00F44B51" w:rsidRDefault="005223A2" w:rsidP="002378EA">
      <w:pPr>
        <w:pStyle w:val="Paragraphedeliste"/>
        <w:numPr>
          <w:ilvl w:val="0"/>
          <w:numId w:val="133"/>
        </w:numPr>
        <w:shd w:val="clear" w:color="auto" w:fill="FFFFFF"/>
        <w:tabs>
          <w:tab w:val="left" w:pos="171"/>
        </w:tabs>
        <w:contextualSpacing w:val="0"/>
        <w:rPr>
          <w:rFonts w:cs="Arial"/>
          <w:sz w:val="22"/>
        </w:rPr>
      </w:pPr>
      <w:r w:rsidRPr="00F44B51">
        <w:rPr>
          <w:rFonts w:cs="Arial"/>
          <w:sz w:val="22"/>
        </w:rPr>
        <w:t xml:space="preserve">Des entretiens individuels pour conseiller et accompagner les parties prenantes ; </w:t>
      </w:r>
    </w:p>
    <w:p w14:paraId="21EA3A9C" w14:textId="77777777" w:rsidR="005223A2" w:rsidRPr="00F44B51" w:rsidRDefault="005223A2" w:rsidP="002378EA">
      <w:pPr>
        <w:pStyle w:val="Paragraphedeliste"/>
        <w:numPr>
          <w:ilvl w:val="0"/>
          <w:numId w:val="133"/>
        </w:numPr>
        <w:shd w:val="clear" w:color="auto" w:fill="FFFFFF"/>
        <w:tabs>
          <w:tab w:val="left" w:pos="171"/>
        </w:tabs>
        <w:contextualSpacing w:val="0"/>
        <w:rPr>
          <w:rFonts w:cs="Arial"/>
          <w:sz w:val="22"/>
        </w:rPr>
      </w:pPr>
      <w:r w:rsidRPr="00F44B51">
        <w:rPr>
          <w:rFonts w:cs="Arial"/>
          <w:sz w:val="22"/>
        </w:rPr>
        <w:t>Un système d’affichage au niveau des lieux publics ;</w:t>
      </w:r>
    </w:p>
    <w:p w14:paraId="31D73941" w14:textId="77777777" w:rsidR="005223A2" w:rsidRPr="00F44B51" w:rsidRDefault="005223A2" w:rsidP="002378EA">
      <w:pPr>
        <w:pStyle w:val="Paragraphedeliste"/>
        <w:numPr>
          <w:ilvl w:val="0"/>
          <w:numId w:val="133"/>
        </w:numPr>
        <w:shd w:val="clear" w:color="auto" w:fill="FFFFFF"/>
        <w:tabs>
          <w:tab w:val="left" w:pos="171"/>
        </w:tabs>
        <w:contextualSpacing w:val="0"/>
        <w:rPr>
          <w:rFonts w:cs="Arial"/>
          <w:sz w:val="22"/>
        </w:rPr>
      </w:pPr>
      <w:r w:rsidRPr="00F44B51">
        <w:rPr>
          <w:rFonts w:cs="Arial"/>
          <w:sz w:val="22"/>
        </w:rPr>
        <w:t>Des communiqués de presse (radios et journaux) tout au long du processus du projet pour bien informer sur les activités du programme.</w:t>
      </w:r>
    </w:p>
    <w:p w14:paraId="28BC5080" w14:textId="77777777" w:rsidR="005223A2" w:rsidRPr="00F44B51" w:rsidRDefault="005223A2" w:rsidP="002378EA">
      <w:pPr>
        <w:pStyle w:val="Paragraphedeliste"/>
        <w:numPr>
          <w:ilvl w:val="0"/>
          <w:numId w:val="133"/>
        </w:numPr>
        <w:shd w:val="clear" w:color="auto" w:fill="FFFFFF"/>
        <w:tabs>
          <w:tab w:val="left" w:pos="171"/>
        </w:tabs>
        <w:contextualSpacing w:val="0"/>
        <w:rPr>
          <w:rFonts w:cs="Arial"/>
          <w:sz w:val="22"/>
        </w:rPr>
      </w:pPr>
      <w:r w:rsidRPr="00F44B51">
        <w:rPr>
          <w:rFonts w:cs="Arial"/>
          <w:sz w:val="22"/>
        </w:rPr>
        <w:t>Des sessions de formation (renforcement des capacités) en communication des différentes parties prenantes sur les réclamations et la gestion des plaintes et d’autres thèmes...</w:t>
      </w:r>
    </w:p>
    <w:p w14:paraId="5B6908D4" w14:textId="77777777" w:rsidR="00F9169A" w:rsidRPr="00F44B51" w:rsidRDefault="00F9169A" w:rsidP="00F44B51">
      <w:pPr>
        <w:rPr>
          <w:rFonts w:eastAsia="Calibri" w:cs="Arial"/>
          <w:sz w:val="22"/>
        </w:rPr>
      </w:pPr>
    </w:p>
    <w:p w14:paraId="67848E0C" w14:textId="77777777" w:rsidR="00F9169A" w:rsidRPr="00F44B51" w:rsidRDefault="00F9169A" w:rsidP="00F44B51">
      <w:pPr>
        <w:rPr>
          <w:rFonts w:eastAsia="Calibri" w:cs="Arial"/>
          <w:sz w:val="22"/>
        </w:rPr>
      </w:pPr>
      <w:r w:rsidRPr="00F44B51">
        <w:rPr>
          <w:rFonts w:eastAsia="Calibri" w:cs="Arial"/>
          <w:sz w:val="22"/>
        </w:rPr>
        <w:t xml:space="preserve">Le Tableau </w:t>
      </w:r>
      <w:r w:rsidR="00F44B51" w:rsidRPr="00F44B51">
        <w:rPr>
          <w:rFonts w:eastAsia="Calibri" w:cs="Arial"/>
          <w:sz w:val="22"/>
        </w:rPr>
        <w:t xml:space="preserve">36 </w:t>
      </w:r>
      <w:r w:rsidRPr="00F44B51">
        <w:rPr>
          <w:rFonts w:eastAsia="Calibri" w:cs="Arial"/>
          <w:sz w:val="22"/>
        </w:rPr>
        <w:t xml:space="preserve">ci-dessous présente la synthèse </w:t>
      </w:r>
      <w:r w:rsidRPr="00F44B51">
        <w:rPr>
          <w:rFonts w:cs="Arial"/>
          <w:sz w:val="22"/>
        </w:rPr>
        <w:t>de la stratégie de diffusion des informations</w:t>
      </w:r>
    </w:p>
    <w:p w14:paraId="634A44D0" w14:textId="77777777" w:rsidR="00F9169A" w:rsidRPr="00F44B51" w:rsidRDefault="00F9169A" w:rsidP="00F44B51">
      <w:pPr>
        <w:pStyle w:val="Lgende"/>
        <w:rPr>
          <w:rFonts w:cs="Arial"/>
          <w:sz w:val="22"/>
          <w:szCs w:val="22"/>
        </w:rPr>
        <w:sectPr w:rsidR="00F9169A" w:rsidRPr="00F44B51" w:rsidSect="004B1A19">
          <w:pgSz w:w="11907" w:h="16839" w:code="9"/>
          <w:pgMar w:top="1276" w:right="1417" w:bottom="1440" w:left="1418" w:header="708" w:footer="708" w:gutter="0"/>
          <w:cols w:space="708"/>
          <w:docGrid w:linePitch="360"/>
        </w:sectPr>
      </w:pPr>
      <w:r w:rsidRPr="00F44B51">
        <w:rPr>
          <w:rFonts w:cs="Arial"/>
          <w:sz w:val="22"/>
          <w:szCs w:val="22"/>
        </w:rPr>
        <w:br w:type="page"/>
      </w:r>
      <w:bookmarkStart w:id="799" w:name="_Toc63632646"/>
    </w:p>
    <w:p w14:paraId="333ED354" w14:textId="77777777" w:rsidR="00F9169A" w:rsidRPr="00F44B51" w:rsidRDefault="00F9169A" w:rsidP="00F9169A">
      <w:pPr>
        <w:pStyle w:val="Lgende"/>
        <w:rPr>
          <w:sz w:val="22"/>
          <w:szCs w:val="22"/>
        </w:rPr>
      </w:pPr>
      <w:bookmarkStart w:id="800" w:name="_Toc30533287"/>
      <w:bookmarkStart w:id="801" w:name="_Toc63632647"/>
      <w:bookmarkStart w:id="802" w:name="_Toc70451683"/>
      <w:r w:rsidRPr="00F44B51">
        <w:rPr>
          <w:sz w:val="22"/>
          <w:szCs w:val="22"/>
        </w:rPr>
        <w:t xml:space="preserve">Tableau </w:t>
      </w:r>
      <w:r w:rsidRPr="00F44B51">
        <w:rPr>
          <w:noProof/>
          <w:sz w:val="22"/>
          <w:szCs w:val="22"/>
        </w:rPr>
        <w:fldChar w:fldCharType="begin"/>
      </w:r>
      <w:r w:rsidRPr="00F44B51">
        <w:rPr>
          <w:noProof/>
          <w:sz w:val="22"/>
          <w:szCs w:val="22"/>
        </w:rPr>
        <w:instrText xml:space="preserve"> SEQ Tableau \* ARABIC </w:instrText>
      </w:r>
      <w:r w:rsidRPr="00F44B51">
        <w:rPr>
          <w:noProof/>
          <w:sz w:val="22"/>
          <w:szCs w:val="22"/>
        </w:rPr>
        <w:fldChar w:fldCharType="separate"/>
      </w:r>
      <w:r w:rsidR="001260B3">
        <w:rPr>
          <w:noProof/>
          <w:sz w:val="22"/>
          <w:szCs w:val="22"/>
        </w:rPr>
        <w:t>37</w:t>
      </w:r>
      <w:r w:rsidRPr="00F44B51">
        <w:rPr>
          <w:noProof/>
          <w:sz w:val="22"/>
          <w:szCs w:val="22"/>
        </w:rPr>
        <w:fldChar w:fldCharType="end"/>
      </w:r>
      <w:r w:rsidRPr="00F44B51">
        <w:rPr>
          <w:sz w:val="22"/>
          <w:szCs w:val="22"/>
        </w:rPr>
        <w:t xml:space="preserve">: Stratégie pour les consultations dans le cadre du </w:t>
      </w:r>
      <w:bookmarkEnd w:id="800"/>
      <w:r w:rsidRPr="00F44B51">
        <w:rPr>
          <w:sz w:val="22"/>
          <w:szCs w:val="22"/>
        </w:rPr>
        <w:t>PNDA</w:t>
      </w:r>
      <w:bookmarkEnd w:id="801"/>
      <w:bookmarkEnd w:id="802"/>
    </w:p>
    <w:p w14:paraId="0C3E0959" w14:textId="77777777" w:rsidR="00F9169A" w:rsidRPr="00F44B51" w:rsidRDefault="00F9169A" w:rsidP="00F9169A">
      <w:pPr>
        <w:rPr>
          <w:sz w:val="22"/>
          <w:lang w:eastAsia="en-US"/>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693"/>
        <w:gridCol w:w="2551"/>
        <w:gridCol w:w="35"/>
        <w:gridCol w:w="1808"/>
        <w:gridCol w:w="3119"/>
        <w:gridCol w:w="2976"/>
      </w:tblGrid>
      <w:tr w:rsidR="00F9169A" w:rsidRPr="00567CC2" w14:paraId="73962C73" w14:textId="77777777" w:rsidTr="00F9169A">
        <w:trPr>
          <w:tblHeader/>
        </w:trPr>
        <w:tc>
          <w:tcPr>
            <w:tcW w:w="1560" w:type="dxa"/>
            <w:shd w:val="clear" w:color="auto" w:fill="auto"/>
            <w:vAlign w:val="center"/>
          </w:tcPr>
          <w:p w14:paraId="42F947EA" w14:textId="77777777" w:rsidR="00F9169A" w:rsidRPr="00526A77" w:rsidRDefault="00F9169A" w:rsidP="00F9169A">
            <w:pPr>
              <w:autoSpaceDE w:val="0"/>
              <w:autoSpaceDN w:val="0"/>
              <w:adjustRightInd w:val="0"/>
              <w:rPr>
                <w:b/>
                <w:bCs/>
                <w:sz w:val="20"/>
                <w:szCs w:val="20"/>
                <w:lang w:val="fr-BE"/>
              </w:rPr>
            </w:pPr>
            <w:r w:rsidRPr="00526A77">
              <w:rPr>
                <w:b/>
                <w:bCs/>
                <w:sz w:val="20"/>
                <w:szCs w:val="20"/>
                <w:lang w:val="fr-BE"/>
              </w:rPr>
              <w:t>Activités</w:t>
            </w:r>
          </w:p>
        </w:tc>
        <w:tc>
          <w:tcPr>
            <w:tcW w:w="2693" w:type="dxa"/>
            <w:shd w:val="clear" w:color="auto" w:fill="auto"/>
            <w:vAlign w:val="center"/>
          </w:tcPr>
          <w:p w14:paraId="7048B8C4" w14:textId="77777777" w:rsidR="00F9169A" w:rsidRPr="00526A77" w:rsidRDefault="00F9169A" w:rsidP="00F9169A">
            <w:pPr>
              <w:autoSpaceDE w:val="0"/>
              <w:autoSpaceDN w:val="0"/>
              <w:adjustRightInd w:val="0"/>
              <w:rPr>
                <w:b/>
                <w:bCs/>
                <w:sz w:val="20"/>
                <w:szCs w:val="20"/>
                <w:lang w:val="fr-BE"/>
              </w:rPr>
            </w:pPr>
            <w:r w:rsidRPr="00526A77">
              <w:rPr>
                <w:b/>
                <w:bCs/>
                <w:sz w:val="20"/>
                <w:szCs w:val="20"/>
                <w:lang w:val="fr-BE"/>
              </w:rPr>
              <w:t>Sujet de la consultation</w:t>
            </w:r>
          </w:p>
        </w:tc>
        <w:tc>
          <w:tcPr>
            <w:tcW w:w="2551" w:type="dxa"/>
            <w:shd w:val="clear" w:color="auto" w:fill="auto"/>
            <w:vAlign w:val="center"/>
          </w:tcPr>
          <w:p w14:paraId="30E53276" w14:textId="77777777" w:rsidR="00F9169A" w:rsidRPr="00526A77" w:rsidRDefault="00F9169A" w:rsidP="00F9169A">
            <w:pPr>
              <w:autoSpaceDE w:val="0"/>
              <w:autoSpaceDN w:val="0"/>
              <w:adjustRightInd w:val="0"/>
              <w:rPr>
                <w:b/>
                <w:bCs/>
                <w:sz w:val="20"/>
                <w:szCs w:val="20"/>
                <w:lang w:val="fr-BE"/>
              </w:rPr>
            </w:pPr>
            <w:r w:rsidRPr="00526A77">
              <w:rPr>
                <w:b/>
                <w:bCs/>
                <w:sz w:val="20"/>
                <w:szCs w:val="20"/>
                <w:lang w:val="fr-BE"/>
              </w:rPr>
              <w:t>Méthode utilisée</w:t>
            </w:r>
          </w:p>
        </w:tc>
        <w:tc>
          <w:tcPr>
            <w:tcW w:w="1843" w:type="dxa"/>
            <w:gridSpan w:val="2"/>
            <w:shd w:val="clear" w:color="auto" w:fill="auto"/>
            <w:vAlign w:val="center"/>
          </w:tcPr>
          <w:p w14:paraId="63CDAB10" w14:textId="77777777" w:rsidR="00F9169A" w:rsidRPr="00526A77" w:rsidRDefault="00F9169A" w:rsidP="00F9169A">
            <w:pPr>
              <w:autoSpaceDE w:val="0"/>
              <w:autoSpaceDN w:val="0"/>
              <w:adjustRightInd w:val="0"/>
              <w:rPr>
                <w:b/>
                <w:bCs/>
                <w:sz w:val="20"/>
                <w:szCs w:val="20"/>
                <w:lang w:val="fr-BE"/>
              </w:rPr>
            </w:pPr>
            <w:r w:rsidRPr="00526A77">
              <w:rPr>
                <w:b/>
                <w:bCs/>
                <w:sz w:val="20"/>
                <w:szCs w:val="20"/>
                <w:lang w:val="fr-BE"/>
              </w:rPr>
              <w:t>Dates et lieux</w:t>
            </w:r>
          </w:p>
        </w:tc>
        <w:tc>
          <w:tcPr>
            <w:tcW w:w="3119" w:type="dxa"/>
            <w:shd w:val="clear" w:color="auto" w:fill="auto"/>
            <w:vAlign w:val="center"/>
          </w:tcPr>
          <w:p w14:paraId="6428689D" w14:textId="77777777" w:rsidR="00F9169A" w:rsidRPr="00526A77" w:rsidRDefault="00F9169A" w:rsidP="00F9169A">
            <w:pPr>
              <w:autoSpaceDE w:val="0"/>
              <w:autoSpaceDN w:val="0"/>
              <w:adjustRightInd w:val="0"/>
              <w:rPr>
                <w:b/>
                <w:bCs/>
                <w:sz w:val="20"/>
                <w:szCs w:val="20"/>
                <w:lang w:val="fr-BE"/>
              </w:rPr>
            </w:pPr>
            <w:r w:rsidRPr="00526A77">
              <w:rPr>
                <w:b/>
                <w:bCs/>
                <w:sz w:val="20"/>
                <w:szCs w:val="20"/>
                <w:lang w:val="fr-BE"/>
              </w:rPr>
              <w:t>Groupe cibles</w:t>
            </w:r>
          </w:p>
        </w:tc>
        <w:tc>
          <w:tcPr>
            <w:tcW w:w="2976" w:type="dxa"/>
            <w:shd w:val="clear" w:color="auto" w:fill="auto"/>
            <w:vAlign w:val="center"/>
          </w:tcPr>
          <w:p w14:paraId="7D424D23" w14:textId="77777777" w:rsidR="00F9169A" w:rsidRPr="00526A77" w:rsidRDefault="00F9169A" w:rsidP="00F9169A">
            <w:pPr>
              <w:autoSpaceDE w:val="0"/>
              <w:autoSpaceDN w:val="0"/>
              <w:adjustRightInd w:val="0"/>
              <w:rPr>
                <w:b/>
                <w:bCs/>
                <w:sz w:val="20"/>
                <w:szCs w:val="20"/>
                <w:lang w:val="fr-BE"/>
              </w:rPr>
            </w:pPr>
            <w:r w:rsidRPr="00526A77">
              <w:rPr>
                <w:b/>
                <w:bCs/>
                <w:sz w:val="20"/>
                <w:szCs w:val="20"/>
                <w:lang w:val="fr-BE"/>
              </w:rPr>
              <w:t>Responsabilité</w:t>
            </w:r>
          </w:p>
        </w:tc>
      </w:tr>
      <w:tr w:rsidR="00F9169A" w:rsidRPr="00567CC2" w14:paraId="655469EE" w14:textId="77777777" w:rsidTr="00F9169A">
        <w:tc>
          <w:tcPr>
            <w:tcW w:w="14742" w:type="dxa"/>
            <w:gridSpan w:val="7"/>
            <w:shd w:val="clear" w:color="auto" w:fill="FFF2CC"/>
          </w:tcPr>
          <w:p w14:paraId="633437FA" w14:textId="77777777" w:rsidR="00F9169A" w:rsidRPr="00526A77" w:rsidRDefault="00F9169A" w:rsidP="00F44B51">
            <w:pPr>
              <w:jc w:val="center"/>
              <w:rPr>
                <w:sz w:val="20"/>
                <w:szCs w:val="20"/>
              </w:rPr>
            </w:pPr>
            <w:r w:rsidRPr="00526A77">
              <w:rPr>
                <w:sz w:val="20"/>
                <w:szCs w:val="20"/>
                <w:lang w:val="fr-BE"/>
              </w:rPr>
              <w:t>PHASE DE PREPARATION DU PROJET</w:t>
            </w:r>
          </w:p>
        </w:tc>
      </w:tr>
      <w:tr w:rsidR="00F9169A" w:rsidRPr="00567CC2" w14:paraId="3CB87880" w14:textId="77777777" w:rsidTr="00F9169A">
        <w:trPr>
          <w:trHeight w:val="1005"/>
        </w:trPr>
        <w:tc>
          <w:tcPr>
            <w:tcW w:w="1560" w:type="dxa"/>
            <w:vMerge w:val="restart"/>
            <w:shd w:val="clear" w:color="auto" w:fill="auto"/>
          </w:tcPr>
          <w:p w14:paraId="7270AFD1" w14:textId="77777777" w:rsidR="00F9169A" w:rsidRPr="00567CC2" w:rsidRDefault="00F9169A" w:rsidP="00F44B51">
            <w:pPr>
              <w:widowControl w:val="0"/>
              <w:autoSpaceDE w:val="0"/>
              <w:autoSpaceDN w:val="0"/>
              <w:adjustRightInd w:val="0"/>
              <w:jc w:val="center"/>
              <w:rPr>
                <w:bCs/>
                <w:sz w:val="20"/>
                <w:szCs w:val="20"/>
              </w:rPr>
            </w:pPr>
            <w:r w:rsidRPr="00567CC2">
              <w:rPr>
                <w:sz w:val="20"/>
                <w:szCs w:val="20"/>
              </w:rPr>
              <w:t>Préparation des conditions préalables à l’évaluation du pr</w:t>
            </w:r>
            <w:r>
              <w:rPr>
                <w:sz w:val="20"/>
                <w:szCs w:val="20"/>
              </w:rPr>
              <w:t>ogramme</w:t>
            </w:r>
          </w:p>
        </w:tc>
        <w:tc>
          <w:tcPr>
            <w:tcW w:w="2693" w:type="dxa"/>
            <w:shd w:val="clear" w:color="auto" w:fill="auto"/>
          </w:tcPr>
          <w:p w14:paraId="6815D564" w14:textId="77777777" w:rsidR="00F9169A" w:rsidRPr="00567CC2" w:rsidRDefault="00F9169A" w:rsidP="00F9169A">
            <w:pPr>
              <w:widowControl w:val="0"/>
              <w:autoSpaceDE w:val="0"/>
              <w:autoSpaceDN w:val="0"/>
              <w:adjustRightInd w:val="0"/>
              <w:rPr>
                <w:bCs/>
                <w:sz w:val="20"/>
                <w:szCs w:val="20"/>
              </w:rPr>
            </w:pPr>
            <w:r w:rsidRPr="00567CC2">
              <w:rPr>
                <w:sz w:val="20"/>
                <w:szCs w:val="20"/>
              </w:rPr>
              <w:t>Elaboration des documents du Projet (Plan d’Engagement Environnemental et Social (PEES), Plan de Mobilisation des Parties Prenantes (PMPP)</w:t>
            </w:r>
          </w:p>
        </w:tc>
        <w:tc>
          <w:tcPr>
            <w:tcW w:w="2551" w:type="dxa"/>
            <w:shd w:val="clear" w:color="auto" w:fill="auto"/>
          </w:tcPr>
          <w:p w14:paraId="28A84FE5" w14:textId="77777777" w:rsidR="00F9169A" w:rsidRPr="00567CC2" w:rsidRDefault="00F9169A" w:rsidP="00F9169A">
            <w:pPr>
              <w:widowControl w:val="0"/>
              <w:autoSpaceDE w:val="0"/>
              <w:autoSpaceDN w:val="0"/>
              <w:adjustRightInd w:val="0"/>
              <w:rPr>
                <w:bCs/>
                <w:sz w:val="20"/>
                <w:szCs w:val="20"/>
              </w:rPr>
            </w:pPr>
            <w:r w:rsidRPr="00567CC2">
              <w:rPr>
                <w:sz w:val="20"/>
                <w:szCs w:val="20"/>
              </w:rPr>
              <w:t>Réunions d’échanges et de travail entre la partie nationale et la Banque mondiale</w:t>
            </w:r>
          </w:p>
        </w:tc>
        <w:tc>
          <w:tcPr>
            <w:tcW w:w="1843" w:type="dxa"/>
            <w:gridSpan w:val="2"/>
            <w:vMerge w:val="restart"/>
            <w:shd w:val="clear" w:color="auto" w:fill="auto"/>
          </w:tcPr>
          <w:p w14:paraId="5C0DD39D" w14:textId="77777777" w:rsidR="00F9169A" w:rsidRPr="00567CC2" w:rsidRDefault="00F9169A" w:rsidP="00F9169A">
            <w:pPr>
              <w:widowControl w:val="0"/>
              <w:autoSpaceDE w:val="0"/>
              <w:autoSpaceDN w:val="0"/>
              <w:adjustRightInd w:val="0"/>
              <w:rPr>
                <w:sz w:val="20"/>
                <w:szCs w:val="20"/>
              </w:rPr>
            </w:pPr>
            <w:r w:rsidRPr="00567CC2">
              <w:rPr>
                <w:sz w:val="20"/>
                <w:szCs w:val="20"/>
              </w:rPr>
              <w:t>Tout le long de la phase de préparation et avant l’évaluation finale du pro</w:t>
            </w:r>
            <w:r>
              <w:rPr>
                <w:sz w:val="20"/>
                <w:szCs w:val="20"/>
              </w:rPr>
              <w:t>gramme</w:t>
            </w:r>
          </w:p>
          <w:p w14:paraId="197C1C8F" w14:textId="77777777" w:rsidR="00F9169A" w:rsidRPr="00567CC2" w:rsidRDefault="00F9169A" w:rsidP="00F9169A">
            <w:pPr>
              <w:widowControl w:val="0"/>
              <w:autoSpaceDE w:val="0"/>
              <w:autoSpaceDN w:val="0"/>
              <w:adjustRightInd w:val="0"/>
              <w:rPr>
                <w:bCs/>
                <w:sz w:val="20"/>
                <w:szCs w:val="20"/>
              </w:rPr>
            </w:pPr>
          </w:p>
          <w:p w14:paraId="49604A5A" w14:textId="77777777" w:rsidR="00F9169A" w:rsidRPr="00567CC2" w:rsidRDefault="00F9169A" w:rsidP="00F9169A">
            <w:pPr>
              <w:ind w:left="97"/>
              <w:rPr>
                <w:bCs/>
                <w:sz w:val="20"/>
                <w:szCs w:val="20"/>
              </w:rPr>
            </w:pPr>
            <w:r w:rsidRPr="00567CC2">
              <w:rPr>
                <w:bCs/>
                <w:sz w:val="20"/>
                <w:szCs w:val="20"/>
              </w:rPr>
              <w:t>juillet 202</w:t>
            </w:r>
            <w:r>
              <w:rPr>
                <w:bCs/>
                <w:sz w:val="20"/>
                <w:szCs w:val="20"/>
              </w:rPr>
              <w:t>1</w:t>
            </w:r>
          </w:p>
        </w:tc>
        <w:tc>
          <w:tcPr>
            <w:tcW w:w="3119" w:type="dxa"/>
            <w:shd w:val="clear" w:color="auto" w:fill="auto"/>
          </w:tcPr>
          <w:p w14:paraId="0E114593" w14:textId="77777777" w:rsidR="00F9169A" w:rsidRPr="00567CC2" w:rsidRDefault="00F9169A" w:rsidP="00F9169A">
            <w:pPr>
              <w:widowControl w:val="0"/>
              <w:autoSpaceDE w:val="0"/>
              <w:autoSpaceDN w:val="0"/>
              <w:adjustRightInd w:val="0"/>
              <w:rPr>
                <w:sz w:val="20"/>
                <w:szCs w:val="20"/>
              </w:rPr>
            </w:pPr>
            <w:r w:rsidRPr="00567CC2">
              <w:rPr>
                <w:sz w:val="20"/>
                <w:szCs w:val="20"/>
              </w:rPr>
              <w:t>TTL Projet</w:t>
            </w:r>
          </w:p>
          <w:p w14:paraId="47A6DAF0" w14:textId="77777777" w:rsidR="00F9169A" w:rsidRPr="00567CC2" w:rsidRDefault="00F9169A" w:rsidP="00F9169A">
            <w:pPr>
              <w:widowControl w:val="0"/>
              <w:autoSpaceDE w:val="0"/>
              <w:autoSpaceDN w:val="0"/>
              <w:adjustRightInd w:val="0"/>
              <w:rPr>
                <w:sz w:val="20"/>
                <w:szCs w:val="20"/>
              </w:rPr>
            </w:pPr>
            <w:r w:rsidRPr="00567CC2">
              <w:rPr>
                <w:sz w:val="20"/>
                <w:szCs w:val="20"/>
              </w:rPr>
              <w:t xml:space="preserve">Ministère de l’Agriculture </w:t>
            </w:r>
          </w:p>
          <w:p w14:paraId="672A0E6A" w14:textId="77777777" w:rsidR="00F9169A" w:rsidRPr="00567CC2" w:rsidRDefault="00F9169A" w:rsidP="00F9169A">
            <w:pPr>
              <w:widowControl w:val="0"/>
              <w:autoSpaceDE w:val="0"/>
              <w:autoSpaceDN w:val="0"/>
              <w:adjustRightInd w:val="0"/>
              <w:rPr>
                <w:sz w:val="20"/>
                <w:szCs w:val="20"/>
              </w:rPr>
            </w:pPr>
            <w:r w:rsidRPr="00567CC2">
              <w:rPr>
                <w:sz w:val="20"/>
                <w:szCs w:val="20"/>
              </w:rPr>
              <w:t>Consultant</w:t>
            </w:r>
          </w:p>
          <w:p w14:paraId="5377E18E" w14:textId="77777777" w:rsidR="00F9169A" w:rsidRPr="00567CC2" w:rsidRDefault="00F9169A" w:rsidP="00F9169A">
            <w:pPr>
              <w:widowControl w:val="0"/>
              <w:autoSpaceDE w:val="0"/>
              <w:autoSpaceDN w:val="0"/>
              <w:adjustRightInd w:val="0"/>
              <w:rPr>
                <w:sz w:val="20"/>
                <w:szCs w:val="20"/>
              </w:rPr>
            </w:pPr>
            <w:r w:rsidRPr="00567CC2">
              <w:rPr>
                <w:sz w:val="20"/>
                <w:szCs w:val="20"/>
              </w:rPr>
              <w:t>Cabinet des Ministères concernés ;</w:t>
            </w:r>
          </w:p>
          <w:p w14:paraId="3914F7C0" w14:textId="77777777" w:rsidR="00F9169A" w:rsidRPr="00567CC2" w:rsidRDefault="00F9169A" w:rsidP="00F9169A">
            <w:pPr>
              <w:widowControl w:val="0"/>
              <w:autoSpaceDE w:val="0"/>
              <w:autoSpaceDN w:val="0"/>
              <w:adjustRightInd w:val="0"/>
              <w:rPr>
                <w:sz w:val="20"/>
                <w:szCs w:val="20"/>
              </w:rPr>
            </w:pPr>
            <w:r w:rsidRPr="00567CC2">
              <w:rPr>
                <w:sz w:val="20"/>
                <w:szCs w:val="20"/>
              </w:rPr>
              <w:t>Bureau de la Banque mondiale ;</w:t>
            </w:r>
          </w:p>
        </w:tc>
        <w:tc>
          <w:tcPr>
            <w:tcW w:w="2976" w:type="dxa"/>
            <w:shd w:val="clear" w:color="auto" w:fill="auto"/>
            <w:vAlign w:val="center"/>
          </w:tcPr>
          <w:p w14:paraId="7471618E" w14:textId="77777777" w:rsidR="00F9169A" w:rsidRPr="00567CC2" w:rsidRDefault="00F9169A" w:rsidP="00F9169A">
            <w:pPr>
              <w:widowControl w:val="0"/>
              <w:autoSpaceDE w:val="0"/>
              <w:autoSpaceDN w:val="0"/>
              <w:adjustRightInd w:val="0"/>
              <w:rPr>
                <w:bCs/>
                <w:sz w:val="20"/>
                <w:szCs w:val="20"/>
              </w:rPr>
            </w:pPr>
            <w:r w:rsidRPr="00567CC2">
              <w:rPr>
                <w:bCs/>
                <w:sz w:val="20"/>
                <w:szCs w:val="20"/>
              </w:rPr>
              <w:t>Equipe de la Banque mondiale, les responsables des Ministères concernés, Equipe de préparation du pro</w:t>
            </w:r>
            <w:r>
              <w:rPr>
                <w:bCs/>
                <w:sz w:val="20"/>
                <w:szCs w:val="20"/>
              </w:rPr>
              <w:t>gramme</w:t>
            </w:r>
          </w:p>
        </w:tc>
      </w:tr>
      <w:tr w:rsidR="00F9169A" w:rsidRPr="00567CC2" w14:paraId="2F444728" w14:textId="77777777" w:rsidTr="00F9169A">
        <w:tc>
          <w:tcPr>
            <w:tcW w:w="1560" w:type="dxa"/>
            <w:vMerge/>
            <w:shd w:val="clear" w:color="auto" w:fill="auto"/>
          </w:tcPr>
          <w:p w14:paraId="0BF3A058" w14:textId="77777777" w:rsidR="00F9169A" w:rsidRPr="00567CC2" w:rsidRDefault="00F9169A" w:rsidP="00F44B51">
            <w:pPr>
              <w:jc w:val="center"/>
              <w:rPr>
                <w:sz w:val="20"/>
                <w:szCs w:val="20"/>
                <w:lang w:val="fr-BE"/>
              </w:rPr>
            </w:pPr>
          </w:p>
        </w:tc>
        <w:tc>
          <w:tcPr>
            <w:tcW w:w="2693" w:type="dxa"/>
            <w:shd w:val="clear" w:color="auto" w:fill="auto"/>
          </w:tcPr>
          <w:p w14:paraId="1C5AFB48" w14:textId="77777777" w:rsidR="00F9169A" w:rsidRPr="00567CC2" w:rsidRDefault="00F9169A" w:rsidP="00F9169A">
            <w:pPr>
              <w:ind w:left="1" w:right="58"/>
              <w:jc w:val="left"/>
              <w:rPr>
                <w:sz w:val="20"/>
                <w:szCs w:val="20"/>
              </w:rPr>
            </w:pPr>
            <w:r w:rsidRPr="00567CC2">
              <w:rPr>
                <w:sz w:val="20"/>
                <w:szCs w:val="20"/>
              </w:rPr>
              <w:t xml:space="preserve">Elaboration des documents de sauvegarde : Cadre de Gestion Environnemental et Social (CGES), du Cadre Politique de Réinstallation (CPR) et du Plan de Gestion de la main d’œuvre (PGMO), </w:t>
            </w:r>
            <w:r w:rsidRPr="00567CC2">
              <w:rPr>
                <w:bCs/>
                <w:spacing w:val="-3"/>
                <w:sz w:val="20"/>
                <w:szCs w:val="20"/>
              </w:rPr>
              <w:t>Cadre de Planification en Faveur des Peuples Autochtones (CPPA),</w:t>
            </w:r>
            <w:r>
              <w:rPr>
                <w:bCs/>
                <w:spacing w:val="-3"/>
                <w:sz w:val="20"/>
                <w:szCs w:val="20"/>
              </w:rPr>
              <w:t xml:space="preserve"> le Plan de Gestion de Pesticide (PGP)</w:t>
            </w:r>
          </w:p>
        </w:tc>
        <w:tc>
          <w:tcPr>
            <w:tcW w:w="2551" w:type="dxa"/>
            <w:shd w:val="clear" w:color="auto" w:fill="auto"/>
          </w:tcPr>
          <w:p w14:paraId="6966AC2E" w14:textId="77777777" w:rsidR="00F9169A" w:rsidRPr="00567CC2" w:rsidRDefault="00F9169A" w:rsidP="00F9169A">
            <w:pPr>
              <w:autoSpaceDE w:val="0"/>
              <w:autoSpaceDN w:val="0"/>
              <w:adjustRightInd w:val="0"/>
              <w:jc w:val="left"/>
              <w:rPr>
                <w:sz w:val="20"/>
                <w:szCs w:val="20"/>
                <w:lang w:val="fr-BE"/>
              </w:rPr>
            </w:pPr>
            <w:r w:rsidRPr="00567CC2">
              <w:rPr>
                <w:sz w:val="20"/>
                <w:szCs w:val="20"/>
              </w:rPr>
              <w:t>Evaluations des risques environnementaux et sociaux et détermination des mesures d’atténuation (réunions publiques, entretiens, focus group, etc.)</w:t>
            </w:r>
          </w:p>
        </w:tc>
        <w:tc>
          <w:tcPr>
            <w:tcW w:w="1843" w:type="dxa"/>
            <w:gridSpan w:val="2"/>
            <w:vMerge/>
            <w:shd w:val="clear" w:color="auto" w:fill="auto"/>
          </w:tcPr>
          <w:p w14:paraId="22E8554D" w14:textId="77777777" w:rsidR="00F9169A" w:rsidRPr="00567CC2" w:rsidRDefault="00F9169A" w:rsidP="00F9169A">
            <w:pPr>
              <w:jc w:val="left"/>
              <w:rPr>
                <w:sz w:val="20"/>
                <w:szCs w:val="20"/>
                <w:lang w:val="fr-BE"/>
              </w:rPr>
            </w:pPr>
          </w:p>
        </w:tc>
        <w:tc>
          <w:tcPr>
            <w:tcW w:w="3119" w:type="dxa"/>
            <w:shd w:val="clear" w:color="auto" w:fill="auto"/>
          </w:tcPr>
          <w:p w14:paraId="461D36BA" w14:textId="77777777" w:rsidR="00F9169A" w:rsidRPr="00567CC2" w:rsidRDefault="00F9169A" w:rsidP="00F9169A">
            <w:pPr>
              <w:autoSpaceDE w:val="0"/>
              <w:autoSpaceDN w:val="0"/>
              <w:adjustRightInd w:val="0"/>
              <w:jc w:val="left"/>
              <w:rPr>
                <w:sz w:val="20"/>
                <w:szCs w:val="20"/>
              </w:rPr>
            </w:pPr>
            <w:r w:rsidRPr="00567CC2">
              <w:rPr>
                <w:sz w:val="20"/>
                <w:szCs w:val="20"/>
              </w:rPr>
              <w:t>Personnes potentiellement affectées, Autorités locales, Services techniques,</w:t>
            </w:r>
          </w:p>
          <w:p w14:paraId="69C9498C" w14:textId="77777777" w:rsidR="00F9169A" w:rsidRPr="00567CC2" w:rsidRDefault="00F9169A" w:rsidP="00F9169A">
            <w:pPr>
              <w:autoSpaceDE w:val="0"/>
              <w:autoSpaceDN w:val="0"/>
              <w:adjustRightInd w:val="0"/>
              <w:jc w:val="left"/>
              <w:rPr>
                <w:sz w:val="20"/>
                <w:szCs w:val="20"/>
                <w:lang w:val="fr-BE"/>
              </w:rPr>
            </w:pPr>
            <w:r w:rsidRPr="00567CC2">
              <w:rPr>
                <w:sz w:val="20"/>
                <w:szCs w:val="20"/>
              </w:rPr>
              <w:t>Populations Bénéficiaires du pro</w:t>
            </w:r>
            <w:r>
              <w:rPr>
                <w:sz w:val="20"/>
                <w:szCs w:val="20"/>
              </w:rPr>
              <w:t>gramme</w:t>
            </w:r>
          </w:p>
        </w:tc>
        <w:tc>
          <w:tcPr>
            <w:tcW w:w="2976" w:type="dxa"/>
            <w:shd w:val="clear" w:color="auto" w:fill="auto"/>
          </w:tcPr>
          <w:p w14:paraId="6A1760BD" w14:textId="77777777" w:rsidR="00F9169A" w:rsidRPr="00567CC2" w:rsidRDefault="00F9169A" w:rsidP="00F9169A">
            <w:pPr>
              <w:autoSpaceDE w:val="0"/>
              <w:autoSpaceDN w:val="0"/>
              <w:adjustRightInd w:val="0"/>
              <w:jc w:val="left"/>
              <w:rPr>
                <w:bCs/>
                <w:sz w:val="20"/>
                <w:szCs w:val="20"/>
              </w:rPr>
            </w:pPr>
            <w:r w:rsidRPr="00567CC2">
              <w:rPr>
                <w:bCs/>
                <w:sz w:val="20"/>
                <w:szCs w:val="20"/>
              </w:rPr>
              <w:t>Consultant</w:t>
            </w:r>
            <w:r w:rsidRPr="00567CC2">
              <w:rPr>
                <w:sz w:val="20"/>
                <w:szCs w:val="20"/>
              </w:rPr>
              <w:t xml:space="preserve"> Spécialistes </w:t>
            </w:r>
            <w:r>
              <w:rPr>
                <w:sz w:val="20"/>
                <w:szCs w:val="20"/>
              </w:rPr>
              <w:t>Sauvegarde</w:t>
            </w:r>
            <w:r w:rsidRPr="00567CC2">
              <w:rPr>
                <w:sz w:val="20"/>
                <w:szCs w:val="20"/>
              </w:rPr>
              <w:t xml:space="preserve"> environnementale et  social</w:t>
            </w:r>
            <w:r>
              <w:rPr>
                <w:sz w:val="20"/>
                <w:szCs w:val="20"/>
              </w:rPr>
              <w:t xml:space="preserve">e et spécialiste VGB/AES/HS </w:t>
            </w:r>
            <w:r w:rsidRPr="00567CC2">
              <w:rPr>
                <w:bCs/>
                <w:sz w:val="20"/>
                <w:szCs w:val="20"/>
              </w:rPr>
              <w:t> ; Equipe de préparation du pro</w:t>
            </w:r>
            <w:r>
              <w:rPr>
                <w:bCs/>
                <w:sz w:val="20"/>
                <w:szCs w:val="20"/>
              </w:rPr>
              <w:t>gramme</w:t>
            </w:r>
          </w:p>
          <w:p w14:paraId="1DE72D8C" w14:textId="77777777" w:rsidR="00F9169A" w:rsidRPr="00567CC2" w:rsidRDefault="00F9169A" w:rsidP="00F9169A">
            <w:pPr>
              <w:autoSpaceDE w:val="0"/>
              <w:autoSpaceDN w:val="0"/>
              <w:adjustRightInd w:val="0"/>
              <w:jc w:val="left"/>
              <w:rPr>
                <w:bCs/>
                <w:sz w:val="20"/>
                <w:szCs w:val="20"/>
              </w:rPr>
            </w:pPr>
          </w:p>
          <w:p w14:paraId="48CB0324" w14:textId="77777777" w:rsidR="00F9169A" w:rsidRPr="00567CC2" w:rsidRDefault="00F9169A" w:rsidP="00F9169A">
            <w:pPr>
              <w:autoSpaceDE w:val="0"/>
              <w:autoSpaceDN w:val="0"/>
              <w:adjustRightInd w:val="0"/>
              <w:jc w:val="left"/>
              <w:rPr>
                <w:bCs/>
                <w:sz w:val="20"/>
                <w:szCs w:val="20"/>
              </w:rPr>
            </w:pPr>
          </w:p>
        </w:tc>
      </w:tr>
      <w:tr w:rsidR="00F9169A" w:rsidRPr="00567CC2" w14:paraId="3B1004ED" w14:textId="77777777" w:rsidTr="00F9169A">
        <w:tc>
          <w:tcPr>
            <w:tcW w:w="14742" w:type="dxa"/>
            <w:gridSpan w:val="7"/>
            <w:tcBorders>
              <w:bottom w:val="single" w:sz="4" w:space="0" w:color="auto"/>
            </w:tcBorders>
            <w:shd w:val="clear" w:color="auto" w:fill="FFF2CC"/>
          </w:tcPr>
          <w:p w14:paraId="696AA385" w14:textId="77777777" w:rsidR="00F9169A" w:rsidRPr="00567CC2" w:rsidRDefault="00F9169A" w:rsidP="00F44B51">
            <w:pPr>
              <w:jc w:val="center"/>
              <w:rPr>
                <w:sz w:val="20"/>
                <w:szCs w:val="20"/>
              </w:rPr>
            </w:pPr>
            <w:r w:rsidRPr="00567CC2">
              <w:rPr>
                <w:sz w:val="20"/>
                <w:szCs w:val="20"/>
                <w:lang w:val="fr-BE"/>
              </w:rPr>
              <w:t>PHASE DE MISE EN OEUVRE DU PROJET</w:t>
            </w:r>
          </w:p>
        </w:tc>
      </w:tr>
      <w:tr w:rsidR="00F9169A" w:rsidRPr="00567CC2" w14:paraId="16997693" w14:textId="77777777" w:rsidTr="00F9169A">
        <w:tc>
          <w:tcPr>
            <w:tcW w:w="1560" w:type="dxa"/>
            <w:vMerge w:val="restart"/>
            <w:shd w:val="clear" w:color="auto" w:fill="auto"/>
          </w:tcPr>
          <w:p w14:paraId="7099C93E" w14:textId="77777777" w:rsidR="00F9169A" w:rsidRPr="00526A77" w:rsidRDefault="00F9169A" w:rsidP="00F9169A">
            <w:pPr>
              <w:tabs>
                <w:tab w:val="center" w:pos="210"/>
                <w:tab w:val="center" w:pos="966"/>
              </w:tabs>
              <w:jc w:val="left"/>
              <w:rPr>
                <w:sz w:val="20"/>
                <w:szCs w:val="20"/>
              </w:rPr>
            </w:pPr>
            <w:r w:rsidRPr="00526A77">
              <w:rPr>
                <w:rFonts w:ascii="Calibri" w:hAnsi="Calibri"/>
                <w:sz w:val="20"/>
                <w:szCs w:val="20"/>
              </w:rPr>
              <w:tab/>
            </w:r>
            <w:r w:rsidRPr="00D67F65">
              <w:rPr>
                <w:sz w:val="20"/>
                <w:szCs w:val="20"/>
              </w:rPr>
              <w:t xml:space="preserve">Mise  en </w:t>
            </w:r>
            <w:r w:rsidRPr="00526A77">
              <w:rPr>
                <w:sz w:val="20"/>
                <w:szCs w:val="20"/>
              </w:rPr>
              <w:t xml:space="preserve"> </w:t>
            </w:r>
            <w:r w:rsidRPr="00D67F65">
              <w:rPr>
                <w:sz w:val="20"/>
                <w:szCs w:val="20"/>
              </w:rPr>
              <w:t xml:space="preserve">œuvre PEES, PMPP, </w:t>
            </w:r>
          </w:p>
          <w:p w14:paraId="56CA44DC" w14:textId="77777777" w:rsidR="00F9169A" w:rsidRPr="00526A77" w:rsidRDefault="00F9169A" w:rsidP="00F9169A">
            <w:pPr>
              <w:tabs>
                <w:tab w:val="center" w:pos="304"/>
                <w:tab w:val="center" w:pos="994"/>
              </w:tabs>
              <w:jc w:val="left"/>
              <w:rPr>
                <w:sz w:val="20"/>
                <w:szCs w:val="20"/>
              </w:rPr>
            </w:pPr>
            <w:r w:rsidRPr="00526A77">
              <w:rPr>
                <w:rFonts w:ascii="Calibri" w:hAnsi="Calibri"/>
                <w:sz w:val="20"/>
                <w:szCs w:val="20"/>
              </w:rPr>
              <w:tab/>
            </w:r>
            <w:r w:rsidRPr="00D67F65">
              <w:rPr>
                <w:sz w:val="20"/>
                <w:szCs w:val="20"/>
              </w:rPr>
              <w:t xml:space="preserve">PGMO et CPPA et </w:t>
            </w:r>
          </w:p>
          <w:p w14:paraId="28C09725" w14:textId="77777777" w:rsidR="00F9169A" w:rsidRPr="00567CC2" w:rsidRDefault="00F9169A" w:rsidP="00F9169A">
            <w:pPr>
              <w:rPr>
                <w:sz w:val="20"/>
                <w:szCs w:val="20"/>
                <w:lang w:val="fr-BE"/>
              </w:rPr>
            </w:pPr>
            <w:r w:rsidRPr="00D67F65">
              <w:rPr>
                <w:sz w:val="20"/>
                <w:szCs w:val="20"/>
              </w:rPr>
              <w:t xml:space="preserve">des mesures préconisées </w:t>
            </w:r>
          </w:p>
          <w:p w14:paraId="7F733D81" w14:textId="77777777" w:rsidR="00F9169A" w:rsidRPr="00567CC2" w:rsidRDefault="00F9169A" w:rsidP="00F9169A">
            <w:pPr>
              <w:jc w:val="left"/>
              <w:rPr>
                <w:sz w:val="20"/>
                <w:szCs w:val="20"/>
                <w:lang w:val="fr-BE"/>
              </w:rPr>
            </w:pPr>
            <w:r w:rsidRPr="00D67F65">
              <w:rPr>
                <w:sz w:val="20"/>
                <w:szCs w:val="20"/>
              </w:rPr>
              <w:t xml:space="preserve"> </w:t>
            </w:r>
          </w:p>
        </w:tc>
        <w:tc>
          <w:tcPr>
            <w:tcW w:w="2693" w:type="dxa"/>
            <w:tcBorders>
              <w:bottom w:val="single" w:sz="4" w:space="0" w:color="auto"/>
            </w:tcBorders>
            <w:shd w:val="clear" w:color="auto" w:fill="auto"/>
            <w:vAlign w:val="center"/>
          </w:tcPr>
          <w:p w14:paraId="030B809E" w14:textId="77777777" w:rsidR="00F9169A" w:rsidRPr="00567CC2" w:rsidRDefault="00F9169A" w:rsidP="00F9169A">
            <w:pPr>
              <w:rPr>
                <w:sz w:val="20"/>
                <w:szCs w:val="20"/>
                <w:lang w:val="fr-BE"/>
              </w:rPr>
            </w:pPr>
            <w:r w:rsidRPr="00567CC2">
              <w:rPr>
                <w:sz w:val="20"/>
                <w:szCs w:val="20"/>
                <w:lang w:val="fr-BE"/>
              </w:rPr>
              <w:t>Information et consultation sur les risques et les impacts sociaux potentiels du projet et détermination des mesures de gestion ainsi que la prise en compte du genre et des personnes vulnérables</w:t>
            </w:r>
          </w:p>
        </w:tc>
        <w:tc>
          <w:tcPr>
            <w:tcW w:w="2586" w:type="dxa"/>
            <w:gridSpan w:val="2"/>
            <w:tcBorders>
              <w:bottom w:val="single" w:sz="4" w:space="0" w:color="auto"/>
            </w:tcBorders>
            <w:shd w:val="clear" w:color="auto" w:fill="auto"/>
            <w:vAlign w:val="center"/>
          </w:tcPr>
          <w:p w14:paraId="6B51DF86" w14:textId="77777777" w:rsidR="00F9169A" w:rsidRPr="00567CC2" w:rsidRDefault="00F9169A" w:rsidP="00F9169A">
            <w:pPr>
              <w:widowControl w:val="0"/>
              <w:autoSpaceDE w:val="0"/>
              <w:autoSpaceDN w:val="0"/>
              <w:adjustRightInd w:val="0"/>
              <w:rPr>
                <w:bCs/>
                <w:sz w:val="20"/>
                <w:szCs w:val="20"/>
              </w:rPr>
            </w:pPr>
            <w:r w:rsidRPr="00567CC2">
              <w:rPr>
                <w:bCs/>
                <w:sz w:val="20"/>
                <w:szCs w:val="20"/>
              </w:rPr>
              <w:t>Réalisation d’enquêtes, de réunions, entretiens, focus group, consultations publiques, ateliers de restitution et de validation, etc.</w:t>
            </w:r>
          </w:p>
        </w:tc>
        <w:tc>
          <w:tcPr>
            <w:tcW w:w="1808" w:type="dxa"/>
            <w:tcBorders>
              <w:bottom w:val="single" w:sz="4" w:space="0" w:color="auto"/>
            </w:tcBorders>
            <w:shd w:val="clear" w:color="auto" w:fill="auto"/>
            <w:vAlign w:val="center"/>
          </w:tcPr>
          <w:p w14:paraId="3EF90561" w14:textId="77777777" w:rsidR="00F9169A" w:rsidRPr="00567CC2" w:rsidRDefault="00F9169A" w:rsidP="00F9169A">
            <w:pPr>
              <w:rPr>
                <w:bCs/>
                <w:sz w:val="20"/>
                <w:szCs w:val="20"/>
              </w:rPr>
            </w:pPr>
            <w:r w:rsidRPr="00567CC2">
              <w:rPr>
                <w:bCs/>
                <w:sz w:val="20"/>
                <w:szCs w:val="20"/>
              </w:rPr>
              <w:t>Tout le long de la mise en œuvre du Pro</w:t>
            </w:r>
            <w:r>
              <w:rPr>
                <w:bCs/>
                <w:sz w:val="20"/>
                <w:szCs w:val="20"/>
              </w:rPr>
              <w:t>gramme</w:t>
            </w:r>
            <w:r w:rsidRPr="00567CC2">
              <w:rPr>
                <w:bCs/>
                <w:sz w:val="20"/>
                <w:szCs w:val="20"/>
              </w:rPr>
              <w:t xml:space="preserve">, </w:t>
            </w:r>
          </w:p>
          <w:p w14:paraId="725021CB" w14:textId="77777777" w:rsidR="00F9169A" w:rsidRPr="00567CC2" w:rsidRDefault="00F9169A" w:rsidP="00F9169A">
            <w:pPr>
              <w:rPr>
                <w:sz w:val="20"/>
                <w:szCs w:val="20"/>
                <w:lang w:val="fr-BE"/>
              </w:rPr>
            </w:pPr>
          </w:p>
        </w:tc>
        <w:tc>
          <w:tcPr>
            <w:tcW w:w="3119" w:type="dxa"/>
            <w:tcBorders>
              <w:bottom w:val="single" w:sz="4" w:space="0" w:color="auto"/>
            </w:tcBorders>
            <w:shd w:val="clear" w:color="auto" w:fill="auto"/>
            <w:vAlign w:val="center"/>
          </w:tcPr>
          <w:p w14:paraId="072D547F" w14:textId="77777777" w:rsidR="00F9169A" w:rsidRPr="00567CC2" w:rsidRDefault="00F9169A" w:rsidP="00F9169A">
            <w:pPr>
              <w:widowControl w:val="0"/>
              <w:autoSpaceDE w:val="0"/>
              <w:autoSpaceDN w:val="0"/>
              <w:adjustRightInd w:val="0"/>
              <w:rPr>
                <w:sz w:val="20"/>
                <w:szCs w:val="20"/>
              </w:rPr>
            </w:pPr>
            <w:r w:rsidRPr="00567CC2">
              <w:rPr>
                <w:sz w:val="20"/>
                <w:szCs w:val="20"/>
              </w:rPr>
              <w:t>Groupes vulnérables</w:t>
            </w:r>
          </w:p>
          <w:p w14:paraId="710F4767" w14:textId="77777777" w:rsidR="00F9169A" w:rsidRPr="00567CC2" w:rsidRDefault="00F9169A" w:rsidP="00F9169A">
            <w:pPr>
              <w:widowControl w:val="0"/>
              <w:autoSpaceDE w:val="0"/>
              <w:autoSpaceDN w:val="0"/>
              <w:adjustRightInd w:val="0"/>
              <w:rPr>
                <w:sz w:val="20"/>
                <w:szCs w:val="20"/>
              </w:rPr>
            </w:pPr>
            <w:r w:rsidRPr="00567CC2">
              <w:rPr>
                <w:sz w:val="20"/>
                <w:szCs w:val="20"/>
              </w:rPr>
              <w:t>Autorités locales</w:t>
            </w:r>
          </w:p>
          <w:p w14:paraId="72332E41" w14:textId="77777777" w:rsidR="00F9169A" w:rsidRPr="00567CC2" w:rsidRDefault="00F9169A" w:rsidP="00F9169A">
            <w:pPr>
              <w:rPr>
                <w:sz w:val="20"/>
                <w:szCs w:val="20"/>
              </w:rPr>
            </w:pPr>
            <w:r w:rsidRPr="00567CC2">
              <w:rPr>
                <w:sz w:val="20"/>
                <w:szCs w:val="20"/>
              </w:rPr>
              <w:t>Communautés &amp; ONG locales</w:t>
            </w:r>
          </w:p>
        </w:tc>
        <w:tc>
          <w:tcPr>
            <w:tcW w:w="2976" w:type="dxa"/>
            <w:tcBorders>
              <w:bottom w:val="single" w:sz="4" w:space="0" w:color="auto"/>
            </w:tcBorders>
            <w:shd w:val="clear" w:color="auto" w:fill="auto"/>
            <w:vAlign w:val="center"/>
          </w:tcPr>
          <w:p w14:paraId="30826CEC" w14:textId="77777777" w:rsidR="00F9169A" w:rsidRPr="00567CC2" w:rsidRDefault="00F9169A" w:rsidP="00F9169A">
            <w:pPr>
              <w:rPr>
                <w:sz w:val="20"/>
                <w:szCs w:val="20"/>
                <w:lang w:val="fr-BE"/>
              </w:rPr>
            </w:pPr>
            <w:r w:rsidRPr="00567CC2">
              <w:rPr>
                <w:bCs/>
                <w:sz w:val="20"/>
                <w:szCs w:val="20"/>
              </w:rPr>
              <w:t>Coordonnateur, Spécialiste</w:t>
            </w:r>
            <w:r>
              <w:rPr>
                <w:bCs/>
                <w:sz w:val="20"/>
                <w:szCs w:val="20"/>
              </w:rPr>
              <w:t xml:space="preserve"> Sauvegarde</w:t>
            </w:r>
            <w:r w:rsidRPr="00567CC2">
              <w:rPr>
                <w:bCs/>
                <w:sz w:val="20"/>
                <w:szCs w:val="20"/>
              </w:rPr>
              <w:t xml:space="preserve">  environnementale, et sociale et Spécialistes</w:t>
            </w:r>
            <w:r>
              <w:rPr>
                <w:bCs/>
                <w:sz w:val="20"/>
                <w:szCs w:val="20"/>
              </w:rPr>
              <w:t xml:space="preserve"> VBG/AES/HS,</w:t>
            </w:r>
            <w:r w:rsidRPr="00567CC2">
              <w:rPr>
                <w:bCs/>
                <w:sz w:val="20"/>
                <w:szCs w:val="20"/>
              </w:rPr>
              <w:t xml:space="preserve"> Passation de marché et Suivi-évaluation de l’unité de coordination du pro</w:t>
            </w:r>
            <w:r>
              <w:rPr>
                <w:bCs/>
                <w:sz w:val="20"/>
                <w:szCs w:val="20"/>
              </w:rPr>
              <w:t>gramme</w:t>
            </w:r>
          </w:p>
        </w:tc>
      </w:tr>
      <w:tr w:rsidR="00F9169A" w:rsidRPr="00567CC2" w14:paraId="1E240A64" w14:textId="77777777" w:rsidTr="00F9169A">
        <w:tc>
          <w:tcPr>
            <w:tcW w:w="1560" w:type="dxa"/>
            <w:vMerge/>
            <w:tcBorders>
              <w:bottom w:val="single" w:sz="4" w:space="0" w:color="auto"/>
            </w:tcBorders>
            <w:shd w:val="clear" w:color="auto" w:fill="auto"/>
          </w:tcPr>
          <w:p w14:paraId="18669AE7" w14:textId="77777777" w:rsidR="00F9169A" w:rsidRPr="00567CC2" w:rsidRDefault="00F9169A" w:rsidP="00F9169A">
            <w:pPr>
              <w:jc w:val="left"/>
              <w:rPr>
                <w:sz w:val="20"/>
                <w:szCs w:val="20"/>
              </w:rPr>
            </w:pPr>
          </w:p>
        </w:tc>
        <w:tc>
          <w:tcPr>
            <w:tcW w:w="2693" w:type="dxa"/>
            <w:tcBorders>
              <w:bottom w:val="single" w:sz="4" w:space="0" w:color="auto"/>
            </w:tcBorders>
            <w:shd w:val="clear" w:color="auto" w:fill="auto"/>
          </w:tcPr>
          <w:p w14:paraId="33515DEB" w14:textId="77777777" w:rsidR="00F9169A" w:rsidRPr="00567CC2" w:rsidRDefault="00F9169A" w:rsidP="00F9169A">
            <w:pPr>
              <w:jc w:val="left"/>
              <w:rPr>
                <w:sz w:val="20"/>
                <w:szCs w:val="20"/>
                <w:lang w:val="fr-BE"/>
              </w:rPr>
            </w:pPr>
          </w:p>
        </w:tc>
        <w:tc>
          <w:tcPr>
            <w:tcW w:w="2586" w:type="dxa"/>
            <w:gridSpan w:val="2"/>
            <w:tcBorders>
              <w:bottom w:val="single" w:sz="4" w:space="0" w:color="auto"/>
            </w:tcBorders>
            <w:shd w:val="clear" w:color="auto" w:fill="auto"/>
          </w:tcPr>
          <w:p w14:paraId="538CDD95" w14:textId="77777777" w:rsidR="00F9169A" w:rsidRPr="00567CC2" w:rsidRDefault="00F9169A" w:rsidP="00F9169A">
            <w:pPr>
              <w:widowControl w:val="0"/>
              <w:autoSpaceDE w:val="0"/>
              <w:autoSpaceDN w:val="0"/>
              <w:adjustRightInd w:val="0"/>
              <w:jc w:val="left"/>
              <w:rPr>
                <w:bCs/>
                <w:sz w:val="20"/>
                <w:szCs w:val="20"/>
              </w:rPr>
            </w:pPr>
            <w:r w:rsidRPr="00D67F65">
              <w:rPr>
                <w:sz w:val="20"/>
                <w:szCs w:val="20"/>
              </w:rPr>
              <w:t>Validation nationale et publication des rapports</w:t>
            </w:r>
          </w:p>
        </w:tc>
        <w:tc>
          <w:tcPr>
            <w:tcW w:w="1808" w:type="dxa"/>
            <w:tcBorders>
              <w:bottom w:val="single" w:sz="4" w:space="0" w:color="auto"/>
            </w:tcBorders>
            <w:shd w:val="clear" w:color="auto" w:fill="auto"/>
          </w:tcPr>
          <w:p w14:paraId="5E1D7578" w14:textId="77777777" w:rsidR="00F9169A" w:rsidRPr="00567CC2" w:rsidRDefault="00F9169A" w:rsidP="00F9169A">
            <w:pPr>
              <w:jc w:val="left"/>
              <w:rPr>
                <w:bCs/>
                <w:sz w:val="20"/>
                <w:szCs w:val="20"/>
              </w:rPr>
            </w:pPr>
          </w:p>
        </w:tc>
        <w:tc>
          <w:tcPr>
            <w:tcW w:w="3119" w:type="dxa"/>
            <w:tcBorders>
              <w:bottom w:val="single" w:sz="4" w:space="0" w:color="auto"/>
            </w:tcBorders>
            <w:shd w:val="clear" w:color="auto" w:fill="auto"/>
          </w:tcPr>
          <w:p w14:paraId="2B305C5B" w14:textId="77777777" w:rsidR="00F9169A" w:rsidRPr="00526A77" w:rsidRDefault="00F9169A" w:rsidP="00F9169A">
            <w:pPr>
              <w:ind w:right="15"/>
              <w:jc w:val="left"/>
              <w:rPr>
                <w:sz w:val="20"/>
                <w:szCs w:val="20"/>
              </w:rPr>
            </w:pPr>
            <w:r w:rsidRPr="00D67F65">
              <w:rPr>
                <w:sz w:val="20"/>
                <w:szCs w:val="20"/>
              </w:rPr>
              <w:t xml:space="preserve">PAP et groupes vulnérables Autorités locales </w:t>
            </w:r>
            <w:r w:rsidRPr="00526A77">
              <w:rPr>
                <w:sz w:val="20"/>
                <w:szCs w:val="20"/>
              </w:rPr>
              <w:t xml:space="preserve"> </w:t>
            </w:r>
            <w:r w:rsidRPr="00D67F65">
              <w:rPr>
                <w:sz w:val="20"/>
                <w:szCs w:val="20"/>
              </w:rPr>
              <w:t xml:space="preserve">Communautés &amp; ONG </w:t>
            </w:r>
            <w:r w:rsidRPr="00526A77">
              <w:rPr>
                <w:sz w:val="20"/>
                <w:szCs w:val="20"/>
              </w:rPr>
              <w:t xml:space="preserve"> </w:t>
            </w:r>
            <w:r w:rsidRPr="00D67F65">
              <w:rPr>
                <w:sz w:val="20"/>
                <w:szCs w:val="20"/>
              </w:rPr>
              <w:t xml:space="preserve">locales, ACE </w:t>
            </w:r>
          </w:p>
        </w:tc>
        <w:tc>
          <w:tcPr>
            <w:tcW w:w="2976" w:type="dxa"/>
            <w:tcBorders>
              <w:bottom w:val="single" w:sz="4" w:space="0" w:color="auto"/>
            </w:tcBorders>
            <w:shd w:val="clear" w:color="auto" w:fill="auto"/>
          </w:tcPr>
          <w:p w14:paraId="7953C7C7" w14:textId="77777777" w:rsidR="00F9169A" w:rsidRPr="00567CC2" w:rsidRDefault="00F9169A" w:rsidP="00F9169A">
            <w:pPr>
              <w:jc w:val="left"/>
              <w:rPr>
                <w:bCs/>
                <w:sz w:val="20"/>
                <w:szCs w:val="20"/>
              </w:rPr>
            </w:pPr>
            <w:r w:rsidRPr="00D67F65">
              <w:rPr>
                <w:sz w:val="20"/>
                <w:szCs w:val="20"/>
              </w:rPr>
              <w:t xml:space="preserve">Coordonnateur, Spécialiste </w:t>
            </w:r>
            <w:r>
              <w:rPr>
                <w:sz w:val="20"/>
                <w:szCs w:val="20"/>
              </w:rPr>
              <w:t>Sauvegarde</w:t>
            </w:r>
            <w:r w:rsidRPr="00D67F65">
              <w:rPr>
                <w:sz w:val="20"/>
                <w:szCs w:val="20"/>
              </w:rPr>
              <w:t xml:space="preserve"> environnementale, </w:t>
            </w:r>
            <w:r>
              <w:rPr>
                <w:sz w:val="20"/>
                <w:szCs w:val="20"/>
              </w:rPr>
              <w:t xml:space="preserve">Sociale </w:t>
            </w:r>
            <w:r w:rsidRPr="00D67F65">
              <w:rPr>
                <w:sz w:val="20"/>
                <w:szCs w:val="20"/>
              </w:rPr>
              <w:t>Spécialiste</w:t>
            </w:r>
            <w:r>
              <w:rPr>
                <w:sz w:val="20"/>
                <w:szCs w:val="20"/>
              </w:rPr>
              <w:t xml:space="preserve"> VBGAES/HS</w:t>
            </w:r>
            <w:r w:rsidRPr="00D67F65">
              <w:rPr>
                <w:sz w:val="20"/>
                <w:szCs w:val="20"/>
              </w:rPr>
              <w:t xml:space="preserve">  et Spécialistes Passation de marché et Suivi évaluation de l’unité de mise en œuvre du pro</w:t>
            </w:r>
            <w:r>
              <w:rPr>
                <w:sz w:val="20"/>
                <w:szCs w:val="20"/>
              </w:rPr>
              <w:t xml:space="preserve">gramme/*+ </w:t>
            </w:r>
            <w:r w:rsidRPr="00D67F65">
              <w:rPr>
                <w:sz w:val="20"/>
                <w:szCs w:val="20"/>
              </w:rPr>
              <w:t xml:space="preserve"> </w:t>
            </w:r>
          </w:p>
        </w:tc>
      </w:tr>
      <w:tr w:rsidR="00F9169A" w:rsidRPr="00567CC2" w14:paraId="4E93FE78" w14:textId="77777777" w:rsidTr="00730A4A">
        <w:tc>
          <w:tcPr>
            <w:tcW w:w="14742" w:type="dxa"/>
            <w:gridSpan w:val="7"/>
            <w:shd w:val="clear" w:color="auto" w:fill="F7CAAC"/>
          </w:tcPr>
          <w:p w14:paraId="67AF63C9" w14:textId="77777777" w:rsidR="00F9169A" w:rsidRPr="00567CC2" w:rsidRDefault="00F9169A" w:rsidP="00F44B51">
            <w:pPr>
              <w:jc w:val="center"/>
              <w:rPr>
                <w:bCs/>
                <w:sz w:val="20"/>
                <w:szCs w:val="20"/>
              </w:rPr>
            </w:pPr>
            <w:r w:rsidRPr="00567CC2">
              <w:rPr>
                <w:sz w:val="20"/>
                <w:szCs w:val="20"/>
                <w:lang w:val="fr-BE"/>
              </w:rPr>
              <w:t>PHASE DE SUIVI -EVALUATION MISE EN ŒUVRE DU PMPP</w:t>
            </w:r>
          </w:p>
        </w:tc>
      </w:tr>
      <w:tr w:rsidR="00F9169A" w:rsidRPr="00567CC2" w14:paraId="2064299F" w14:textId="77777777" w:rsidTr="00F9169A">
        <w:tc>
          <w:tcPr>
            <w:tcW w:w="1560" w:type="dxa"/>
            <w:shd w:val="clear" w:color="auto" w:fill="auto"/>
          </w:tcPr>
          <w:p w14:paraId="1E962361" w14:textId="77777777" w:rsidR="00F9169A" w:rsidRPr="00567CC2" w:rsidRDefault="00F9169A" w:rsidP="00F9169A">
            <w:pPr>
              <w:rPr>
                <w:sz w:val="20"/>
                <w:szCs w:val="20"/>
                <w:lang w:val="fr-BE"/>
              </w:rPr>
            </w:pPr>
            <w:r w:rsidRPr="00567CC2">
              <w:rPr>
                <w:sz w:val="20"/>
                <w:szCs w:val="20"/>
              </w:rPr>
              <w:t>Suivi d’exécution du PMPP</w:t>
            </w:r>
          </w:p>
        </w:tc>
        <w:tc>
          <w:tcPr>
            <w:tcW w:w="2693" w:type="dxa"/>
            <w:shd w:val="clear" w:color="auto" w:fill="auto"/>
            <w:vAlign w:val="center"/>
          </w:tcPr>
          <w:p w14:paraId="00D7F54B" w14:textId="77777777" w:rsidR="00F9169A" w:rsidRPr="00567CC2" w:rsidRDefault="00F9169A" w:rsidP="00F9169A">
            <w:pPr>
              <w:rPr>
                <w:sz w:val="20"/>
                <w:szCs w:val="20"/>
                <w:lang w:val="fr-BE"/>
              </w:rPr>
            </w:pPr>
            <w:r w:rsidRPr="00567CC2">
              <w:rPr>
                <w:sz w:val="20"/>
                <w:szCs w:val="20"/>
              </w:rPr>
              <w:t>Elaboration des Rapports de suivi de la mise en œuvre</w:t>
            </w:r>
          </w:p>
        </w:tc>
        <w:tc>
          <w:tcPr>
            <w:tcW w:w="2586" w:type="dxa"/>
            <w:gridSpan w:val="2"/>
            <w:shd w:val="clear" w:color="auto" w:fill="auto"/>
            <w:vAlign w:val="center"/>
          </w:tcPr>
          <w:p w14:paraId="77E9E26F" w14:textId="77777777" w:rsidR="00F9169A" w:rsidRPr="00567CC2" w:rsidRDefault="00F9169A" w:rsidP="00F9169A">
            <w:pPr>
              <w:rPr>
                <w:sz w:val="20"/>
                <w:szCs w:val="20"/>
                <w:lang w:val="fr-BE"/>
              </w:rPr>
            </w:pPr>
            <w:r w:rsidRPr="00567CC2">
              <w:rPr>
                <w:sz w:val="20"/>
                <w:szCs w:val="20"/>
                <w:lang w:val="fr-BE"/>
              </w:rPr>
              <w:t>Visite de terrain</w:t>
            </w:r>
          </w:p>
        </w:tc>
        <w:tc>
          <w:tcPr>
            <w:tcW w:w="1808" w:type="dxa"/>
            <w:shd w:val="clear" w:color="auto" w:fill="auto"/>
            <w:vAlign w:val="center"/>
          </w:tcPr>
          <w:p w14:paraId="62A0B243" w14:textId="77777777" w:rsidR="00F9169A" w:rsidRPr="00567CC2" w:rsidRDefault="00F9169A" w:rsidP="00F9169A">
            <w:pPr>
              <w:rPr>
                <w:sz w:val="20"/>
                <w:szCs w:val="20"/>
                <w:lang w:val="fr-BE"/>
              </w:rPr>
            </w:pPr>
            <w:r w:rsidRPr="00567CC2">
              <w:rPr>
                <w:sz w:val="20"/>
                <w:szCs w:val="20"/>
              </w:rPr>
              <w:t>Tout le long du cycle du Projet</w:t>
            </w:r>
          </w:p>
        </w:tc>
        <w:tc>
          <w:tcPr>
            <w:tcW w:w="3119" w:type="dxa"/>
            <w:shd w:val="clear" w:color="auto" w:fill="auto"/>
            <w:vAlign w:val="center"/>
          </w:tcPr>
          <w:p w14:paraId="49E395F9" w14:textId="77777777" w:rsidR="00F9169A" w:rsidRPr="00567CC2" w:rsidRDefault="00F9169A" w:rsidP="00F9169A">
            <w:pPr>
              <w:rPr>
                <w:sz w:val="20"/>
                <w:szCs w:val="20"/>
                <w:lang w:val="fr-BE"/>
              </w:rPr>
            </w:pPr>
            <w:r w:rsidRPr="00567CC2">
              <w:rPr>
                <w:sz w:val="20"/>
                <w:szCs w:val="20"/>
              </w:rPr>
              <w:t>Spécialiste social du projet</w:t>
            </w:r>
          </w:p>
        </w:tc>
        <w:tc>
          <w:tcPr>
            <w:tcW w:w="2976" w:type="dxa"/>
            <w:shd w:val="clear" w:color="auto" w:fill="auto"/>
            <w:vAlign w:val="center"/>
          </w:tcPr>
          <w:p w14:paraId="3AFD3EEF" w14:textId="77777777" w:rsidR="00F9169A" w:rsidRPr="00567CC2" w:rsidRDefault="00F9169A" w:rsidP="00F9169A">
            <w:pPr>
              <w:rPr>
                <w:sz w:val="20"/>
                <w:szCs w:val="20"/>
                <w:lang w:val="fr-BE"/>
              </w:rPr>
            </w:pPr>
            <w:r w:rsidRPr="00567CC2">
              <w:rPr>
                <w:sz w:val="20"/>
                <w:szCs w:val="20"/>
              </w:rPr>
              <w:t xml:space="preserve">Spécialiste </w:t>
            </w:r>
            <w:r>
              <w:rPr>
                <w:sz w:val="20"/>
                <w:szCs w:val="20"/>
              </w:rPr>
              <w:t xml:space="preserve">Sauvegarde </w:t>
            </w:r>
            <w:r w:rsidRPr="00567CC2">
              <w:rPr>
                <w:sz w:val="20"/>
                <w:szCs w:val="20"/>
              </w:rPr>
              <w:t xml:space="preserve"> environnementale,  sociale</w:t>
            </w:r>
          </w:p>
        </w:tc>
      </w:tr>
      <w:tr w:rsidR="00F9169A" w:rsidRPr="00567CC2" w14:paraId="6C6B2294" w14:textId="77777777" w:rsidTr="00F9169A">
        <w:tc>
          <w:tcPr>
            <w:tcW w:w="1560" w:type="dxa"/>
            <w:shd w:val="clear" w:color="auto" w:fill="auto"/>
            <w:vAlign w:val="center"/>
          </w:tcPr>
          <w:p w14:paraId="3D9D8796" w14:textId="77777777" w:rsidR="00F9169A" w:rsidRPr="00567CC2" w:rsidRDefault="00F9169A" w:rsidP="00F9169A">
            <w:pPr>
              <w:rPr>
                <w:sz w:val="20"/>
                <w:szCs w:val="20"/>
                <w:lang w:val="fr-BE"/>
              </w:rPr>
            </w:pPr>
            <w:r w:rsidRPr="00567CC2">
              <w:rPr>
                <w:bCs/>
                <w:sz w:val="20"/>
                <w:szCs w:val="20"/>
                <w:lang w:val="fr-BE"/>
              </w:rPr>
              <w:t>Evaluation de mise en œuvre du PMPP</w:t>
            </w:r>
          </w:p>
        </w:tc>
        <w:tc>
          <w:tcPr>
            <w:tcW w:w="2693" w:type="dxa"/>
            <w:shd w:val="clear" w:color="auto" w:fill="auto"/>
            <w:vAlign w:val="center"/>
          </w:tcPr>
          <w:p w14:paraId="5F6762A0" w14:textId="77777777" w:rsidR="00F9169A" w:rsidRPr="00567CC2" w:rsidRDefault="00F9169A" w:rsidP="00F9169A">
            <w:pPr>
              <w:rPr>
                <w:sz w:val="20"/>
                <w:szCs w:val="20"/>
                <w:lang w:val="fr-BE"/>
              </w:rPr>
            </w:pPr>
            <w:r w:rsidRPr="00567CC2">
              <w:rPr>
                <w:bCs/>
                <w:sz w:val="20"/>
                <w:szCs w:val="20"/>
              </w:rPr>
              <w:t>Elaboration de rapport d’évaluation</w:t>
            </w:r>
          </w:p>
        </w:tc>
        <w:tc>
          <w:tcPr>
            <w:tcW w:w="2586" w:type="dxa"/>
            <w:gridSpan w:val="2"/>
            <w:shd w:val="clear" w:color="auto" w:fill="auto"/>
            <w:vAlign w:val="center"/>
          </w:tcPr>
          <w:p w14:paraId="1C3F8BDD" w14:textId="77777777" w:rsidR="00F9169A" w:rsidRPr="00567CC2" w:rsidRDefault="00F9169A" w:rsidP="00F9169A">
            <w:pPr>
              <w:rPr>
                <w:sz w:val="20"/>
                <w:szCs w:val="20"/>
                <w:lang w:val="fr-BE"/>
              </w:rPr>
            </w:pPr>
            <w:r w:rsidRPr="00567CC2">
              <w:rPr>
                <w:sz w:val="20"/>
                <w:szCs w:val="20"/>
                <w:lang w:val="fr-BE"/>
              </w:rPr>
              <w:t>Visite de terrain</w:t>
            </w:r>
          </w:p>
        </w:tc>
        <w:tc>
          <w:tcPr>
            <w:tcW w:w="1808" w:type="dxa"/>
            <w:shd w:val="clear" w:color="auto" w:fill="auto"/>
            <w:vAlign w:val="center"/>
          </w:tcPr>
          <w:p w14:paraId="4CE55ACD" w14:textId="77777777" w:rsidR="00F9169A" w:rsidRPr="00567CC2" w:rsidRDefault="00F9169A" w:rsidP="00F9169A">
            <w:pPr>
              <w:rPr>
                <w:sz w:val="20"/>
                <w:szCs w:val="20"/>
                <w:lang w:val="fr-BE"/>
              </w:rPr>
            </w:pPr>
            <w:r w:rsidRPr="00567CC2">
              <w:rPr>
                <w:bCs/>
                <w:sz w:val="20"/>
                <w:szCs w:val="20"/>
              </w:rPr>
              <w:t>Mi-parcours ou à la clôture du Projet</w:t>
            </w:r>
          </w:p>
        </w:tc>
        <w:tc>
          <w:tcPr>
            <w:tcW w:w="3119" w:type="dxa"/>
            <w:shd w:val="clear" w:color="auto" w:fill="auto"/>
            <w:vAlign w:val="center"/>
          </w:tcPr>
          <w:p w14:paraId="15D9492F" w14:textId="77777777" w:rsidR="00F9169A" w:rsidRPr="00567CC2" w:rsidRDefault="00F9169A" w:rsidP="00F9169A">
            <w:pPr>
              <w:rPr>
                <w:sz w:val="20"/>
                <w:szCs w:val="20"/>
                <w:lang w:val="fr-BE"/>
              </w:rPr>
            </w:pPr>
            <w:r w:rsidRPr="00567CC2">
              <w:rPr>
                <w:bCs/>
                <w:sz w:val="20"/>
                <w:szCs w:val="20"/>
              </w:rPr>
              <w:t>Consultants</w:t>
            </w:r>
          </w:p>
        </w:tc>
        <w:tc>
          <w:tcPr>
            <w:tcW w:w="2976" w:type="dxa"/>
            <w:shd w:val="clear" w:color="auto" w:fill="auto"/>
            <w:vAlign w:val="center"/>
          </w:tcPr>
          <w:p w14:paraId="4BD95A54" w14:textId="77777777" w:rsidR="00F9169A" w:rsidRPr="00567CC2" w:rsidRDefault="00F9169A" w:rsidP="00F9169A">
            <w:pPr>
              <w:rPr>
                <w:sz w:val="20"/>
                <w:szCs w:val="20"/>
                <w:lang w:val="fr-BE"/>
              </w:rPr>
            </w:pPr>
            <w:r w:rsidRPr="00567CC2">
              <w:rPr>
                <w:bCs/>
                <w:sz w:val="20"/>
                <w:szCs w:val="20"/>
              </w:rPr>
              <w:t xml:space="preserve">Toute l’équipe de mise en œuvre du Projet </w:t>
            </w:r>
          </w:p>
        </w:tc>
      </w:tr>
    </w:tbl>
    <w:p w14:paraId="651A6E57" w14:textId="77777777" w:rsidR="005223A2" w:rsidRDefault="005223A2" w:rsidP="00F9169A"/>
    <w:p w14:paraId="4207F312" w14:textId="77777777" w:rsidR="005223A2" w:rsidRPr="005223A2" w:rsidRDefault="005223A2" w:rsidP="005223A2"/>
    <w:p w14:paraId="4604CFDB" w14:textId="77777777" w:rsidR="005223A2" w:rsidRDefault="005223A2" w:rsidP="005223A2"/>
    <w:bookmarkEnd w:id="799"/>
    <w:p w14:paraId="41A6E7FD" w14:textId="77777777" w:rsidR="00F9169A" w:rsidRDefault="00F9169A" w:rsidP="001C2F95">
      <w:pPr>
        <w:rPr>
          <w:rFonts w:eastAsia="Calibri" w:cs="Arial"/>
          <w:sz w:val="22"/>
        </w:rPr>
        <w:sectPr w:rsidR="00F9169A" w:rsidSect="00F44B51">
          <w:footerReference w:type="default" r:id="rId101"/>
          <w:pgSz w:w="16839" w:h="11907" w:orient="landscape" w:code="9"/>
          <w:pgMar w:top="993" w:right="1276" w:bottom="1135" w:left="1440" w:header="710" w:footer="142" w:gutter="0"/>
          <w:cols w:space="708"/>
          <w:docGrid w:linePitch="360"/>
        </w:sectPr>
      </w:pPr>
    </w:p>
    <w:p w14:paraId="3B1EB02C" w14:textId="77777777" w:rsidR="001C2F95" w:rsidRPr="00F44B51" w:rsidRDefault="005843B0" w:rsidP="00F44B51">
      <w:pPr>
        <w:pStyle w:val="Titre2"/>
        <w:numPr>
          <w:ilvl w:val="2"/>
          <w:numId w:val="4"/>
        </w:numPr>
        <w:ind w:left="1560" w:hanging="709"/>
        <w:rPr>
          <w:rFonts w:cs="Arial"/>
          <w:sz w:val="22"/>
          <w:szCs w:val="22"/>
        </w:rPr>
      </w:pPr>
      <w:bookmarkStart w:id="803" w:name="_Toc70330508"/>
      <w:r>
        <w:rPr>
          <w:rFonts w:cs="Arial"/>
          <w:i/>
          <w:sz w:val="22"/>
          <w:szCs w:val="22"/>
        </w:rPr>
        <w:t>Stratégie proposée pour la diffusion des informations</w:t>
      </w:r>
      <w:bookmarkEnd w:id="803"/>
    </w:p>
    <w:p w14:paraId="23596AF7" w14:textId="77777777" w:rsidR="005843B0" w:rsidRDefault="005843B0" w:rsidP="005843B0">
      <w:pPr>
        <w:pStyle w:val="Titre20"/>
        <w:ind w:left="0"/>
      </w:pPr>
      <w:bookmarkStart w:id="804" w:name="_Toc30089073"/>
      <w:bookmarkStart w:id="805" w:name="_Toc30624629"/>
      <w:bookmarkStart w:id="806" w:name="_Toc63633345"/>
    </w:p>
    <w:bookmarkEnd w:id="804"/>
    <w:bookmarkEnd w:id="805"/>
    <w:bookmarkEnd w:id="806"/>
    <w:p w14:paraId="38695D8C" w14:textId="77777777" w:rsidR="005843B0" w:rsidRDefault="005843B0" w:rsidP="005843B0">
      <w:pPr>
        <w:widowControl w:val="0"/>
        <w:autoSpaceDE w:val="0"/>
        <w:autoSpaceDN w:val="0"/>
        <w:adjustRightInd w:val="0"/>
        <w:rPr>
          <w:sz w:val="22"/>
        </w:rPr>
      </w:pPr>
      <w:r w:rsidRPr="00F44B51">
        <w:rPr>
          <w:sz w:val="22"/>
        </w:rPr>
        <w:t xml:space="preserve">Le plan de communication vise à : </w:t>
      </w:r>
    </w:p>
    <w:p w14:paraId="3D369934" w14:textId="77777777" w:rsidR="005843B0" w:rsidRPr="00F44B51" w:rsidRDefault="005843B0" w:rsidP="005843B0">
      <w:pPr>
        <w:widowControl w:val="0"/>
        <w:autoSpaceDE w:val="0"/>
        <w:autoSpaceDN w:val="0"/>
        <w:adjustRightInd w:val="0"/>
        <w:rPr>
          <w:sz w:val="22"/>
        </w:rPr>
      </w:pPr>
    </w:p>
    <w:p w14:paraId="72A03575" w14:textId="77777777" w:rsidR="005843B0" w:rsidRPr="00F44B51" w:rsidRDefault="005843B0" w:rsidP="002378EA">
      <w:pPr>
        <w:pStyle w:val="Paragraphedeliste"/>
        <w:numPr>
          <w:ilvl w:val="0"/>
          <w:numId w:val="138"/>
        </w:numPr>
        <w:shd w:val="clear" w:color="auto" w:fill="FFFFFF"/>
        <w:tabs>
          <w:tab w:val="left" w:pos="171"/>
        </w:tabs>
        <w:contextualSpacing w:val="0"/>
        <w:rPr>
          <w:sz w:val="22"/>
        </w:rPr>
      </w:pPr>
      <w:r w:rsidRPr="00F44B51">
        <w:rPr>
          <w:sz w:val="22"/>
        </w:rPr>
        <w:t>Informer les parties prenantes sur le processus et les critè</w:t>
      </w:r>
      <w:r w:rsidRPr="005843B0">
        <w:rPr>
          <w:sz w:val="22"/>
        </w:rPr>
        <w:t xml:space="preserve">res méthodologiques du projet </w:t>
      </w:r>
    </w:p>
    <w:p w14:paraId="072FB3FB" w14:textId="77777777" w:rsidR="005843B0" w:rsidRPr="00F44B51" w:rsidRDefault="005843B0" w:rsidP="002378EA">
      <w:pPr>
        <w:pStyle w:val="Paragraphedeliste"/>
        <w:numPr>
          <w:ilvl w:val="0"/>
          <w:numId w:val="138"/>
        </w:numPr>
        <w:shd w:val="clear" w:color="auto" w:fill="FFFFFF"/>
        <w:tabs>
          <w:tab w:val="left" w:pos="171"/>
        </w:tabs>
        <w:contextualSpacing w:val="0"/>
        <w:rPr>
          <w:sz w:val="22"/>
        </w:rPr>
      </w:pPr>
      <w:r w:rsidRPr="00F44B51">
        <w:rPr>
          <w:sz w:val="22"/>
        </w:rPr>
        <w:t xml:space="preserve">Favoriser et maintenir l'adhésion des parties prenantes intéressées et engagées ; </w:t>
      </w:r>
    </w:p>
    <w:p w14:paraId="4C185C01" w14:textId="77777777" w:rsidR="005843B0" w:rsidRPr="00F44B51" w:rsidRDefault="005843B0" w:rsidP="002378EA">
      <w:pPr>
        <w:pStyle w:val="Paragraphedeliste"/>
        <w:numPr>
          <w:ilvl w:val="0"/>
          <w:numId w:val="138"/>
        </w:numPr>
        <w:shd w:val="clear" w:color="auto" w:fill="FFFFFF"/>
        <w:tabs>
          <w:tab w:val="left" w:pos="171"/>
        </w:tabs>
        <w:contextualSpacing w:val="0"/>
        <w:rPr>
          <w:sz w:val="22"/>
        </w:rPr>
      </w:pPr>
      <w:r w:rsidRPr="00F44B51">
        <w:rPr>
          <w:sz w:val="22"/>
        </w:rPr>
        <w:t>Obtenir la participation et la collaboration des parties prenantes anta</w:t>
      </w:r>
      <w:r w:rsidRPr="005843B0">
        <w:rPr>
          <w:sz w:val="22"/>
        </w:rPr>
        <w:t xml:space="preserve">gonistes et passives </w:t>
      </w:r>
    </w:p>
    <w:p w14:paraId="5D8E7890" w14:textId="77777777" w:rsidR="005843B0" w:rsidRPr="00F44B51" w:rsidRDefault="005843B0" w:rsidP="002378EA">
      <w:pPr>
        <w:pStyle w:val="Paragraphedeliste"/>
        <w:numPr>
          <w:ilvl w:val="0"/>
          <w:numId w:val="138"/>
        </w:numPr>
        <w:shd w:val="clear" w:color="auto" w:fill="FFFFFF"/>
        <w:tabs>
          <w:tab w:val="left" w:pos="171"/>
        </w:tabs>
        <w:contextualSpacing w:val="0"/>
        <w:rPr>
          <w:sz w:val="22"/>
        </w:rPr>
      </w:pPr>
      <w:r w:rsidRPr="00F44B51">
        <w:rPr>
          <w:sz w:val="22"/>
        </w:rPr>
        <w:t>Adopter une démarche inclusive et participative dans le processus d’identification et résolution des problèmes sociaux et environnementaux découlant de la mise en œuvre du Projet</w:t>
      </w:r>
    </w:p>
    <w:p w14:paraId="3DB42339" w14:textId="77777777" w:rsidR="005843B0" w:rsidRPr="00F44B51" w:rsidRDefault="005843B0" w:rsidP="002378EA">
      <w:pPr>
        <w:pStyle w:val="Paragraphedeliste"/>
        <w:numPr>
          <w:ilvl w:val="0"/>
          <w:numId w:val="138"/>
        </w:numPr>
        <w:shd w:val="clear" w:color="auto" w:fill="FFFFFF"/>
        <w:tabs>
          <w:tab w:val="left" w:pos="171"/>
        </w:tabs>
        <w:contextualSpacing w:val="0"/>
        <w:rPr>
          <w:sz w:val="22"/>
        </w:rPr>
      </w:pPr>
      <w:r w:rsidRPr="00F44B51">
        <w:rPr>
          <w:sz w:val="22"/>
        </w:rPr>
        <w:t>Impliquer les groupes vulnérables (en particulier les filles/femmes, les personnes à mobilité réduite et autres groupes vulnérables) à travers une approche ciblée,</w:t>
      </w:r>
    </w:p>
    <w:p w14:paraId="42B825A9" w14:textId="77777777" w:rsidR="005843B0" w:rsidRPr="00F44B51" w:rsidRDefault="005843B0" w:rsidP="002378EA">
      <w:pPr>
        <w:pStyle w:val="Paragraphedeliste"/>
        <w:numPr>
          <w:ilvl w:val="0"/>
          <w:numId w:val="138"/>
        </w:numPr>
        <w:shd w:val="clear" w:color="auto" w:fill="FFFFFF"/>
        <w:tabs>
          <w:tab w:val="left" w:pos="171"/>
        </w:tabs>
        <w:contextualSpacing w:val="0"/>
        <w:rPr>
          <w:sz w:val="22"/>
        </w:rPr>
      </w:pPr>
      <w:r w:rsidRPr="00F44B51">
        <w:rPr>
          <w:sz w:val="22"/>
        </w:rPr>
        <w:t xml:space="preserve">Promouvoir la transparence du processus et son appropriation par toutes les parties prenantes. </w:t>
      </w:r>
    </w:p>
    <w:p w14:paraId="2D89AA13" w14:textId="77777777" w:rsidR="005843B0" w:rsidRDefault="005843B0" w:rsidP="005843B0">
      <w:pPr>
        <w:rPr>
          <w:sz w:val="22"/>
        </w:rPr>
      </w:pPr>
    </w:p>
    <w:p w14:paraId="154E610A" w14:textId="77777777" w:rsidR="005843B0" w:rsidRDefault="005843B0" w:rsidP="005843B0">
      <w:pPr>
        <w:rPr>
          <w:sz w:val="22"/>
        </w:rPr>
      </w:pPr>
      <w:r w:rsidRPr="00F44B51">
        <w:rPr>
          <w:sz w:val="22"/>
        </w:rPr>
        <w:t xml:space="preserve">A cet égard, le plan de communication veillera à identifier les meilleurs messages à faire passer et les vecteurs pertinents dont : </w:t>
      </w:r>
    </w:p>
    <w:p w14:paraId="7AED70B4" w14:textId="77777777" w:rsidR="005843B0" w:rsidRPr="00F44B51" w:rsidRDefault="005843B0" w:rsidP="005843B0">
      <w:pPr>
        <w:rPr>
          <w:sz w:val="22"/>
        </w:rPr>
      </w:pPr>
    </w:p>
    <w:p w14:paraId="0209B2D0" w14:textId="77777777" w:rsidR="005843B0" w:rsidRPr="00F44B51" w:rsidRDefault="005843B0" w:rsidP="002378EA">
      <w:pPr>
        <w:pStyle w:val="Paragraphedeliste"/>
        <w:numPr>
          <w:ilvl w:val="0"/>
          <w:numId w:val="137"/>
        </w:numPr>
        <w:shd w:val="clear" w:color="auto" w:fill="FFFFFF"/>
        <w:tabs>
          <w:tab w:val="left" w:pos="171"/>
        </w:tabs>
        <w:contextualSpacing w:val="0"/>
        <w:rPr>
          <w:sz w:val="22"/>
        </w:rPr>
      </w:pPr>
      <w:r w:rsidRPr="00F44B51">
        <w:rPr>
          <w:sz w:val="22"/>
        </w:rPr>
        <w:t>Des consultations publiques qui seront prévues avec les bénéficiaires du projet ;</w:t>
      </w:r>
    </w:p>
    <w:p w14:paraId="491D8E22" w14:textId="77777777" w:rsidR="005843B0" w:rsidRPr="00F44B51" w:rsidRDefault="005843B0" w:rsidP="002378EA">
      <w:pPr>
        <w:pStyle w:val="Paragraphedeliste"/>
        <w:numPr>
          <w:ilvl w:val="0"/>
          <w:numId w:val="137"/>
        </w:numPr>
        <w:shd w:val="clear" w:color="auto" w:fill="FFFFFF"/>
        <w:tabs>
          <w:tab w:val="left" w:pos="171"/>
        </w:tabs>
        <w:contextualSpacing w:val="0"/>
        <w:rPr>
          <w:sz w:val="22"/>
        </w:rPr>
      </w:pPr>
      <w:r w:rsidRPr="00F44B51">
        <w:rPr>
          <w:sz w:val="22"/>
        </w:rPr>
        <w:t xml:space="preserve">Des focus group pour envisager les personnes affectées et les représentants des organisations communautaires de base comprenant les associations communautaires, les groupements de jeunes (garçons et filles) y compris ceux/celles vivant avec handicap, etc... </w:t>
      </w:r>
    </w:p>
    <w:p w14:paraId="0DE28D84" w14:textId="77777777" w:rsidR="005843B0" w:rsidRPr="00F44B51" w:rsidRDefault="005843B0" w:rsidP="002378EA">
      <w:pPr>
        <w:pStyle w:val="Paragraphedeliste"/>
        <w:numPr>
          <w:ilvl w:val="0"/>
          <w:numId w:val="137"/>
        </w:numPr>
        <w:shd w:val="clear" w:color="auto" w:fill="FFFFFF"/>
        <w:tabs>
          <w:tab w:val="left" w:pos="171"/>
        </w:tabs>
        <w:contextualSpacing w:val="0"/>
        <w:rPr>
          <w:sz w:val="22"/>
        </w:rPr>
      </w:pPr>
      <w:r w:rsidRPr="00F44B51">
        <w:rPr>
          <w:sz w:val="22"/>
        </w:rPr>
        <w:t>Des entretiens directs avec les structures telles qu’ONG, Services techniques, autorités administratives, collectivités locales, structures publiques et privées de formation et d’emploi ;</w:t>
      </w:r>
    </w:p>
    <w:p w14:paraId="475BBF4B" w14:textId="77777777" w:rsidR="005843B0" w:rsidRPr="00F44B51" w:rsidRDefault="005843B0" w:rsidP="002378EA">
      <w:pPr>
        <w:pStyle w:val="Paragraphedeliste"/>
        <w:numPr>
          <w:ilvl w:val="0"/>
          <w:numId w:val="137"/>
        </w:numPr>
        <w:shd w:val="clear" w:color="auto" w:fill="FFFFFF"/>
        <w:tabs>
          <w:tab w:val="left" w:pos="171"/>
        </w:tabs>
        <w:contextualSpacing w:val="0"/>
        <w:rPr>
          <w:sz w:val="22"/>
        </w:rPr>
      </w:pPr>
      <w:r w:rsidRPr="00F44B51">
        <w:rPr>
          <w:sz w:val="22"/>
        </w:rPr>
        <w:t xml:space="preserve">L’organisation périodique des ateliers avec les parties prenantes. </w:t>
      </w:r>
    </w:p>
    <w:p w14:paraId="25C67EE2" w14:textId="77777777" w:rsidR="005843B0" w:rsidRDefault="005843B0" w:rsidP="00F44B51">
      <w:pPr>
        <w:autoSpaceDE w:val="0"/>
        <w:autoSpaceDN w:val="0"/>
        <w:adjustRightInd w:val="0"/>
        <w:rPr>
          <w:rFonts w:cs="Arial"/>
          <w:sz w:val="22"/>
        </w:rPr>
      </w:pPr>
    </w:p>
    <w:p w14:paraId="4AFE6763" w14:textId="77777777" w:rsidR="005843B0" w:rsidRPr="00F44B51" w:rsidRDefault="005843B0" w:rsidP="00F44B51">
      <w:pPr>
        <w:autoSpaceDE w:val="0"/>
        <w:autoSpaceDN w:val="0"/>
        <w:adjustRightInd w:val="0"/>
        <w:rPr>
          <w:rFonts w:cs="Arial"/>
          <w:sz w:val="22"/>
        </w:rPr>
      </w:pPr>
      <w:r w:rsidRPr="00F44B51">
        <w:rPr>
          <w:rFonts w:cs="Arial"/>
          <w:sz w:val="22"/>
        </w:rPr>
        <w:t xml:space="preserve">La notification et la diffusion des informations seront réalisées à travers les mass-médias notamment les radios et télévisions, les journaux etc. Des affiches seront apposées sur des sites bien identifiés et accessibles à tous. Pour atteindre le maximum de personnes susceptibles d’être impactées les informations seront largement diffusées avant la tenue des réunions. </w:t>
      </w:r>
    </w:p>
    <w:p w14:paraId="1CD11F27" w14:textId="77777777" w:rsidR="001C2F95" w:rsidRPr="009F169E" w:rsidRDefault="001C2F95" w:rsidP="001C2F95">
      <w:pPr>
        <w:autoSpaceDE w:val="0"/>
        <w:autoSpaceDN w:val="0"/>
        <w:adjustRightInd w:val="0"/>
        <w:rPr>
          <w:rFonts w:cs="Arial"/>
          <w:sz w:val="22"/>
        </w:rPr>
      </w:pPr>
    </w:p>
    <w:p w14:paraId="1DA4DB02" w14:textId="77777777" w:rsidR="005843B0" w:rsidRDefault="005843B0" w:rsidP="001C2F95">
      <w:pPr>
        <w:autoSpaceDE w:val="0"/>
        <w:autoSpaceDN w:val="0"/>
        <w:adjustRightInd w:val="0"/>
        <w:rPr>
          <w:rFonts w:cs="Arial"/>
          <w:sz w:val="22"/>
        </w:rPr>
      </w:pPr>
    </w:p>
    <w:p w14:paraId="5872AC46" w14:textId="77777777" w:rsidR="00154DC7" w:rsidRDefault="00154DC7" w:rsidP="00154DC7">
      <w:pPr>
        <w:rPr>
          <w:sz w:val="22"/>
        </w:rPr>
      </w:pPr>
    </w:p>
    <w:p w14:paraId="4247DD62" w14:textId="77777777" w:rsidR="008821B8" w:rsidRDefault="008821B8" w:rsidP="00154DC7">
      <w:pPr>
        <w:rPr>
          <w:sz w:val="22"/>
        </w:rPr>
      </w:pPr>
    </w:p>
    <w:p w14:paraId="5A04DE47" w14:textId="77777777" w:rsidR="008821B8" w:rsidRDefault="008821B8" w:rsidP="00154DC7">
      <w:pPr>
        <w:rPr>
          <w:sz w:val="22"/>
        </w:rPr>
      </w:pPr>
    </w:p>
    <w:p w14:paraId="07D0364B" w14:textId="77777777" w:rsidR="008821B8" w:rsidRDefault="008821B8" w:rsidP="00154DC7">
      <w:pPr>
        <w:rPr>
          <w:sz w:val="22"/>
        </w:rPr>
      </w:pPr>
    </w:p>
    <w:p w14:paraId="59BF8F52" w14:textId="77777777" w:rsidR="008821B8" w:rsidRPr="00F9169A" w:rsidRDefault="008821B8">
      <w:pPr>
        <w:spacing w:after="160" w:line="259" w:lineRule="auto"/>
        <w:jc w:val="left"/>
        <w:rPr>
          <w:rFonts w:cs="Arial"/>
          <w:b/>
          <w:bCs/>
          <w:sz w:val="22"/>
        </w:rPr>
      </w:pPr>
      <w:r>
        <w:rPr>
          <w:rFonts w:cs="Arial"/>
          <w:b/>
          <w:sz w:val="22"/>
        </w:rPr>
        <w:br w:type="page"/>
      </w:r>
    </w:p>
    <w:p w14:paraId="24EA1FD9" w14:textId="77777777" w:rsidR="008821B8" w:rsidRDefault="008821B8">
      <w:pPr>
        <w:spacing w:after="160" w:line="259" w:lineRule="auto"/>
        <w:jc w:val="left"/>
        <w:rPr>
          <w:rFonts w:cs="Arial"/>
          <w:b/>
          <w:sz w:val="22"/>
        </w:rPr>
        <w:sectPr w:rsidR="008821B8" w:rsidSect="00F44B51">
          <w:pgSz w:w="11907" w:h="16839" w:code="9"/>
          <w:pgMar w:top="1134" w:right="1417" w:bottom="993" w:left="1418" w:header="708" w:footer="188" w:gutter="0"/>
          <w:cols w:space="708"/>
          <w:docGrid w:linePitch="360"/>
        </w:sectPr>
      </w:pPr>
    </w:p>
    <w:p w14:paraId="44D48041" w14:textId="77777777" w:rsidR="00F9169A" w:rsidRPr="00F44B51" w:rsidRDefault="00F9169A" w:rsidP="00F9169A">
      <w:pPr>
        <w:pStyle w:val="Lgende"/>
        <w:rPr>
          <w:sz w:val="22"/>
          <w:szCs w:val="22"/>
        </w:rPr>
      </w:pPr>
      <w:bookmarkStart w:id="807" w:name="_Toc70451684"/>
      <w:r w:rsidRPr="00F44B51">
        <w:rPr>
          <w:sz w:val="22"/>
          <w:szCs w:val="22"/>
        </w:rPr>
        <w:t xml:space="preserve">Tableau </w:t>
      </w:r>
      <w:r w:rsidRPr="00F44B51">
        <w:rPr>
          <w:sz w:val="22"/>
          <w:szCs w:val="22"/>
        </w:rPr>
        <w:fldChar w:fldCharType="begin"/>
      </w:r>
      <w:r w:rsidRPr="00F44B51">
        <w:rPr>
          <w:sz w:val="22"/>
          <w:szCs w:val="22"/>
        </w:rPr>
        <w:instrText xml:space="preserve"> SEQ Tableau \* ARABIC </w:instrText>
      </w:r>
      <w:r w:rsidRPr="00F44B51">
        <w:rPr>
          <w:sz w:val="22"/>
          <w:szCs w:val="22"/>
        </w:rPr>
        <w:fldChar w:fldCharType="separate"/>
      </w:r>
      <w:r w:rsidR="001260B3">
        <w:rPr>
          <w:noProof/>
          <w:sz w:val="22"/>
          <w:szCs w:val="22"/>
        </w:rPr>
        <w:t>38</w:t>
      </w:r>
      <w:r w:rsidRPr="00F44B51">
        <w:rPr>
          <w:noProof/>
          <w:sz w:val="22"/>
          <w:szCs w:val="22"/>
        </w:rPr>
        <w:fldChar w:fldCharType="end"/>
      </w:r>
      <w:r w:rsidR="00F44B51">
        <w:rPr>
          <w:noProof/>
          <w:sz w:val="22"/>
          <w:szCs w:val="22"/>
        </w:rPr>
        <w:t>.</w:t>
      </w:r>
      <w:r w:rsidRPr="00F44B51">
        <w:rPr>
          <w:sz w:val="22"/>
          <w:szCs w:val="22"/>
        </w:rPr>
        <w:t xml:space="preserve"> Synthèse de la stratégie de diffusion des informations</w:t>
      </w:r>
      <w:bookmarkEnd w:id="807"/>
    </w:p>
    <w:tbl>
      <w:tblPr>
        <w:tblpPr w:leftFromText="141" w:rightFromText="141" w:vertAnchor="text" w:horzAnchor="margin" w:tblpXSpec="center" w:tblpY="386"/>
        <w:tblW w:w="15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2430"/>
        <w:gridCol w:w="2520"/>
        <w:gridCol w:w="2160"/>
        <w:gridCol w:w="2075"/>
        <w:gridCol w:w="3313"/>
        <w:gridCol w:w="1984"/>
      </w:tblGrid>
      <w:tr w:rsidR="00F9169A" w:rsidRPr="00DF4321" w14:paraId="106529A1" w14:textId="77777777" w:rsidTr="00F9169A">
        <w:trPr>
          <w:trHeight w:val="210"/>
        </w:trPr>
        <w:tc>
          <w:tcPr>
            <w:tcW w:w="1350" w:type="dxa"/>
            <w:shd w:val="clear" w:color="auto" w:fill="auto"/>
            <w:vAlign w:val="center"/>
          </w:tcPr>
          <w:p w14:paraId="27490ED6" w14:textId="77777777" w:rsidR="00F9169A" w:rsidRPr="00F9169A" w:rsidRDefault="00F9169A" w:rsidP="00F44B51">
            <w:pPr>
              <w:widowControl w:val="0"/>
              <w:autoSpaceDE w:val="0"/>
              <w:autoSpaceDN w:val="0"/>
              <w:adjustRightInd w:val="0"/>
              <w:jc w:val="center"/>
              <w:rPr>
                <w:rFonts w:cs="Arial"/>
                <w:b/>
                <w:sz w:val="20"/>
                <w:szCs w:val="20"/>
              </w:rPr>
            </w:pPr>
            <w:bookmarkStart w:id="808" w:name="_Toc30533286"/>
            <w:r w:rsidRPr="00F9169A">
              <w:rPr>
                <w:rFonts w:cs="Arial"/>
                <w:b/>
                <w:sz w:val="20"/>
                <w:szCs w:val="20"/>
              </w:rPr>
              <w:t>Phase du projet/sous-projet</w:t>
            </w:r>
          </w:p>
        </w:tc>
        <w:tc>
          <w:tcPr>
            <w:tcW w:w="2430" w:type="dxa"/>
            <w:shd w:val="clear" w:color="auto" w:fill="auto"/>
            <w:vAlign w:val="center"/>
          </w:tcPr>
          <w:p w14:paraId="38CAFDB0" w14:textId="77777777" w:rsidR="00F9169A" w:rsidRPr="00DF4321" w:rsidRDefault="00F9169A" w:rsidP="00F44B51">
            <w:pPr>
              <w:widowControl w:val="0"/>
              <w:autoSpaceDE w:val="0"/>
              <w:autoSpaceDN w:val="0"/>
              <w:adjustRightInd w:val="0"/>
              <w:jc w:val="center"/>
              <w:rPr>
                <w:rFonts w:cs="Arial"/>
                <w:b/>
                <w:sz w:val="20"/>
                <w:szCs w:val="20"/>
              </w:rPr>
            </w:pPr>
            <w:r w:rsidRPr="00DF4321">
              <w:rPr>
                <w:rFonts w:cs="Arial"/>
                <w:b/>
                <w:sz w:val="20"/>
                <w:szCs w:val="20"/>
              </w:rPr>
              <w:t>Liste des informations à communiquer</w:t>
            </w:r>
          </w:p>
        </w:tc>
        <w:tc>
          <w:tcPr>
            <w:tcW w:w="2520" w:type="dxa"/>
            <w:shd w:val="clear" w:color="auto" w:fill="auto"/>
            <w:vAlign w:val="center"/>
          </w:tcPr>
          <w:p w14:paraId="5E730986" w14:textId="77777777" w:rsidR="00F9169A" w:rsidRPr="00DF4321" w:rsidRDefault="00F9169A" w:rsidP="00F44B51">
            <w:pPr>
              <w:widowControl w:val="0"/>
              <w:autoSpaceDE w:val="0"/>
              <w:autoSpaceDN w:val="0"/>
              <w:adjustRightInd w:val="0"/>
              <w:jc w:val="center"/>
              <w:rPr>
                <w:rFonts w:cs="Arial"/>
                <w:b/>
                <w:sz w:val="20"/>
                <w:szCs w:val="20"/>
              </w:rPr>
            </w:pPr>
            <w:r w:rsidRPr="00DF4321">
              <w:rPr>
                <w:rFonts w:cs="Arial"/>
                <w:b/>
                <w:sz w:val="20"/>
                <w:szCs w:val="20"/>
              </w:rPr>
              <w:t>Méthodes proposées</w:t>
            </w:r>
          </w:p>
        </w:tc>
        <w:tc>
          <w:tcPr>
            <w:tcW w:w="2160" w:type="dxa"/>
            <w:shd w:val="clear" w:color="auto" w:fill="auto"/>
            <w:vAlign w:val="center"/>
          </w:tcPr>
          <w:p w14:paraId="7E41498B" w14:textId="77777777" w:rsidR="00F9169A" w:rsidRPr="00DF4321" w:rsidRDefault="00F9169A" w:rsidP="00F44B51">
            <w:pPr>
              <w:widowControl w:val="0"/>
              <w:autoSpaceDE w:val="0"/>
              <w:autoSpaceDN w:val="0"/>
              <w:adjustRightInd w:val="0"/>
              <w:jc w:val="center"/>
              <w:rPr>
                <w:rFonts w:cs="Arial"/>
                <w:b/>
                <w:sz w:val="20"/>
                <w:szCs w:val="20"/>
              </w:rPr>
            </w:pPr>
            <w:r w:rsidRPr="00DF4321">
              <w:rPr>
                <w:rFonts w:cs="Arial"/>
                <w:b/>
                <w:sz w:val="20"/>
                <w:szCs w:val="20"/>
              </w:rPr>
              <w:t>: lieux/dates</w:t>
            </w:r>
          </w:p>
        </w:tc>
        <w:tc>
          <w:tcPr>
            <w:tcW w:w="2075" w:type="dxa"/>
            <w:shd w:val="clear" w:color="auto" w:fill="auto"/>
          </w:tcPr>
          <w:p w14:paraId="29AF60F8" w14:textId="77777777" w:rsidR="00F9169A" w:rsidRDefault="00F9169A" w:rsidP="00F44B51">
            <w:pPr>
              <w:widowControl w:val="0"/>
              <w:autoSpaceDE w:val="0"/>
              <w:autoSpaceDN w:val="0"/>
              <w:adjustRightInd w:val="0"/>
              <w:jc w:val="center"/>
              <w:rPr>
                <w:rFonts w:cs="Arial"/>
                <w:b/>
                <w:sz w:val="20"/>
                <w:szCs w:val="20"/>
              </w:rPr>
            </w:pPr>
          </w:p>
          <w:p w14:paraId="4827CD28" w14:textId="77777777" w:rsidR="00F9169A" w:rsidRPr="00F9169A" w:rsidRDefault="00F9169A" w:rsidP="00F44B51">
            <w:pPr>
              <w:widowControl w:val="0"/>
              <w:autoSpaceDE w:val="0"/>
              <w:autoSpaceDN w:val="0"/>
              <w:adjustRightInd w:val="0"/>
              <w:jc w:val="center"/>
              <w:rPr>
                <w:rFonts w:cs="Arial"/>
                <w:b/>
                <w:sz w:val="20"/>
                <w:szCs w:val="20"/>
              </w:rPr>
            </w:pPr>
            <w:r>
              <w:rPr>
                <w:rFonts w:cs="Arial"/>
                <w:b/>
                <w:sz w:val="20"/>
                <w:szCs w:val="20"/>
              </w:rPr>
              <w:t>C</w:t>
            </w:r>
            <w:r w:rsidRPr="00F9169A">
              <w:rPr>
                <w:rFonts w:cs="Arial"/>
                <w:b/>
                <w:sz w:val="20"/>
                <w:szCs w:val="20"/>
              </w:rPr>
              <w:t>alendrier</w:t>
            </w:r>
          </w:p>
        </w:tc>
        <w:tc>
          <w:tcPr>
            <w:tcW w:w="3313" w:type="dxa"/>
            <w:shd w:val="clear" w:color="auto" w:fill="auto"/>
            <w:vAlign w:val="center"/>
          </w:tcPr>
          <w:p w14:paraId="39F640D0" w14:textId="77777777" w:rsidR="00F9169A" w:rsidRPr="00DF4321" w:rsidRDefault="00F9169A" w:rsidP="00F44B51">
            <w:pPr>
              <w:widowControl w:val="0"/>
              <w:autoSpaceDE w:val="0"/>
              <w:autoSpaceDN w:val="0"/>
              <w:adjustRightInd w:val="0"/>
              <w:jc w:val="center"/>
              <w:rPr>
                <w:rFonts w:cs="Arial"/>
                <w:b/>
                <w:sz w:val="20"/>
                <w:szCs w:val="20"/>
              </w:rPr>
            </w:pPr>
            <w:r w:rsidRPr="00DF4321">
              <w:rPr>
                <w:rFonts w:cs="Arial"/>
                <w:b/>
                <w:sz w:val="20"/>
                <w:szCs w:val="20"/>
              </w:rPr>
              <w:t>Parties prenantes ciblées</w:t>
            </w:r>
          </w:p>
        </w:tc>
        <w:tc>
          <w:tcPr>
            <w:tcW w:w="1984" w:type="dxa"/>
            <w:shd w:val="clear" w:color="auto" w:fill="auto"/>
            <w:vAlign w:val="center"/>
          </w:tcPr>
          <w:p w14:paraId="372137C4" w14:textId="77777777" w:rsidR="00F9169A" w:rsidRPr="00DF4321" w:rsidRDefault="00F9169A" w:rsidP="00F44B51">
            <w:pPr>
              <w:widowControl w:val="0"/>
              <w:autoSpaceDE w:val="0"/>
              <w:autoSpaceDN w:val="0"/>
              <w:adjustRightInd w:val="0"/>
              <w:jc w:val="center"/>
              <w:rPr>
                <w:rFonts w:cs="Arial"/>
                <w:b/>
                <w:sz w:val="20"/>
                <w:szCs w:val="20"/>
              </w:rPr>
            </w:pPr>
            <w:r w:rsidRPr="00DF4321">
              <w:rPr>
                <w:rFonts w:cs="Arial"/>
                <w:b/>
                <w:sz w:val="20"/>
                <w:szCs w:val="20"/>
              </w:rPr>
              <w:t>Responsabilités</w:t>
            </w:r>
          </w:p>
        </w:tc>
      </w:tr>
      <w:tr w:rsidR="00F9169A" w:rsidRPr="00DF4321" w14:paraId="742AF53A" w14:textId="77777777" w:rsidTr="00F9169A">
        <w:trPr>
          <w:trHeight w:val="210"/>
        </w:trPr>
        <w:tc>
          <w:tcPr>
            <w:tcW w:w="1350" w:type="dxa"/>
            <w:vMerge w:val="restart"/>
            <w:shd w:val="clear" w:color="auto" w:fill="auto"/>
            <w:vAlign w:val="center"/>
          </w:tcPr>
          <w:p w14:paraId="13FACDA6" w14:textId="77777777" w:rsidR="00F9169A" w:rsidRPr="00F9169A" w:rsidRDefault="00F9169A" w:rsidP="00F9169A">
            <w:pPr>
              <w:widowControl w:val="0"/>
              <w:autoSpaceDE w:val="0"/>
              <w:autoSpaceDN w:val="0"/>
              <w:adjustRightInd w:val="0"/>
              <w:rPr>
                <w:rFonts w:cs="Arial"/>
                <w:bCs/>
                <w:sz w:val="20"/>
                <w:szCs w:val="20"/>
              </w:rPr>
            </w:pPr>
            <w:r w:rsidRPr="00F9169A">
              <w:rPr>
                <w:rFonts w:cs="Arial"/>
                <w:bCs/>
                <w:sz w:val="20"/>
                <w:szCs w:val="20"/>
              </w:rPr>
              <w:t>Préparation</w:t>
            </w:r>
          </w:p>
        </w:tc>
        <w:tc>
          <w:tcPr>
            <w:tcW w:w="2430" w:type="dxa"/>
            <w:shd w:val="clear" w:color="auto" w:fill="auto"/>
          </w:tcPr>
          <w:p w14:paraId="17B009B6"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Contenu du Programme ;</w:t>
            </w:r>
          </w:p>
          <w:p w14:paraId="57714BA1"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Participation à la formulation sur les instruments de sauvegarde</w:t>
            </w:r>
          </w:p>
          <w:p w14:paraId="306F4864"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 xml:space="preserve">Facilitation des consultations </w:t>
            </w:r>
          </w:p>
        </w:tc>
        <w:tc>
          <w:tcPr>
            <w:tcW w:w="2520" w:type="dxa"/>
            <w:shd w:val="clear" w:color="auto" w:fill="auto"/>
          </w:tcPr>
          <w:p w14:paraId="3838E332"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Mail</w:t>
            </w:r>
          </w:p>
          <w:p w14:paraId="7970B7D9"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Téléphone</w:t>
            </w:r>
          </w:p>
          <w:p w14:paraId="7449F2FE"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Réunion sur site</w:t>
            </w:r>
          </w:p>
          <w:p w14:paraId="53FC0185"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Diffusion documents projet</w:t>
            </w:r>
          </w:p>
        </w:tc>
        <w:tc>
          <w:tcPr>
            <w:tcW w:w="2160" w:type="dxa"/>
            <w:shd w:val="clear" w:color="auto" w:fill="auto"/>
          </w:tcPr>
          <w:p w14:paraId="05D31FEA"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Salle de réunion des acteurs institutionnels</w:t>
            </w:r>
          </w:p>
          <w:p w14:paraId="0F7C0A42"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Salle de réunion Banque mondiale</w:t>
            </w:r>
          </w:p>
        </w:tc>
        <w:tc>
          <w:tcPr>
            <w:tcW w:w="2075" w:type="dxa"/>
            <w:shd w:val="clear" w:color="auto" w:fill="auto"/>
          </w:tcPr>
          <w:p w14:paraId="24A24CF0"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Premier semestre du lancement du projet</w:t>
            </w:r>
          </w:p>
          <w:p w14:paraId="016E4731" w14:textId="77777777" w:rsidR="00F9169A" w:rsidRPr="00DF4321" w:rsidRDefault="00F9169A" w:rsidP="00F9169A">
            <w:pPr>
              <w:widowControl w:val="0"/>
              <w:autoSpaceDE w:val="0"/>
              <w:autoSpaceDN w:val="0"/>
              <w:adjustRightInd w:val="0"/>
              <w:jc w:val="left"/>
              <w:rPr>
                <w:rFonts w:cs="Arial"/>
                <w:bCs/>
                <w:sz w:val="20"/>
                <w:szCs w:val="20"/>
              </w:rPr>
            </w:pPr>
          </w:p>
        </w:tc>
        <w:tc>
          <w:tcPr>
            <w:tcW w:w="3313" w:type="dxa"/>
            <w:shd w:val="clear" w:color="auto" w:fill="auto"/>
          </w:tcPr>
          <w:p w14:paraId="7EADD885"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TTL Programme, Spécialiste Sauvegarde environnementale et sociale et Spécialiste en VBG/AES/HS du Programme Personne-Ressource</w:t>
            </w:r>
          </w:p>
          <w:p w14:paraId="6E586F95"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 xml:space="preserve">Cabinet des Ministres concernés ; Bureau de la Banque mondiale; UNCP </w:t>
            </w:r>
          </w:p>
        </w:tc>
        <w:tc>
          <w:tcPr>
            <w:tcW w:w="1984" w:type="dxa"/>
            <w:shd w:val="clear" w:color="auto" w:fill="auto"/>
          </w:tcPr>
          <w:p w14:paraId="51BDA9E1"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 xml:space="preserve">Equipe de la Banque mondiale, les responsables des Ministères concernés, UNCP </w:t>
            </w:r>
          </w:p>
        </w:tc>
      </w:tr>
      <w:tr w:rsidR="00F9169A" w:rsidRPr="00DF4321" w14:paraId="1859AD41" w14:textId="77777777" w:rsidTr="00F9169A">
        <w:trPr>
          <w:trHeight w:val="210"/>
        </w:trPr>
        <w:tc>
          <w:tcPr>
            <w:tcW w:w="1350" w:type="dxa"/>
            <w:vMerge/>
            <w:shd w:val="clear" w:color="auto" w:fill="auto"/>
          </w:tcPr>
          <w:p w14:paraId="2F0E9FC4" w14:textId="77777777" w:rsidR="00F9169A" w:rsidRPr="00DF4321" w:rsidRDefault="00F9169A" w:rsidP="00F9169A">
            <w:pPr>
              <w:widowControl w:val="0"/>
              <w:autoSpaceDE w:val="0"/>
              <w:autoSpaceDN w:val="0"/>
              <w:adjustRightInd w:val="0"/>
              <w:rPr>
                <w:rFonts w:cs="Arial"/>
                <w:bCs/>
                <w:sz w:val="20"/>
                <w:szCs w:val="20"/>
              </w:rPr>
            </w:pPr>
          </w:p>
        </w:tc>
        <w:tc>
          <w:tcPr>
            <w:tcW w:w="2430" w:type="dxa"/>
            <w:shd w:val="clear" w:color="auto" w:fill="auto"/>
          </w:tcPr>
          <w:p w14:paraId="5F13F90B"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Objectifs, Impacts et mesures d’atténuation du programme, opportunités, moyens de participation</w:t>
            </w:r>
          </w:p>
        </w:tc>
        <w:tc>
          <w:tcPr>
            <w:tcW w:w="2520" w:type="dxa"/>
            <w:shd w:val="clear" w:color="auto" w:fill="auto"/>
          </w:tcPr>
          <w:p w14:paraId="1C4608D8" w14:textId="77777777" w:rsidR="00F9169A" w:rsidRPr="00DF4321" w:rsidRDefault="00F9169A" w:rsidP="00F9169A">
            <w:pPr>
              <w:widowControl w:val="0"/>
              <w:tabs>
                <w:tab w:val="left" w:pos="222"/>
              </w:tabs>
              <w:autoSpaceDE w:val="0"/>
              <w:autoSpaceDN w:val="0"/>
              <w:adjustRightInd w:val="0"/>
              <w:jc w:val="left"/>
              <w:rPr>
                <w:rFonts w:cs="Arial"/>
                <w:bCs/>
                <w:sz w:val="20"/>
                <w:szCs w:val="20"/>
              </w:rPr>
            </w:pPr>
            <w:r w:rsidRPr="00DF4321">
              <w:rPr>
                <w:rFonts w:cs="Arial"/>
                <w:bCs/>
                <w:sz w:val="20"/>
                <w:szCs w:val="20"/>
              </w:rPr>
              <w:t>Mail, Téléphone</w:t>
            </w:r>
          </w:p>
          <w:p w14:paraId="45CE04E2" w14:textId="77777777" w:rsidR="00F9169A" w:rsidRPr="00DF4321" w:rsidRDefault="00F9169A" w:rsidP="00F9169A">
            <w:pPr>
              <w:widowControl w:val="0"/>
              <w:tabs>
                <w:tab w:val="left" w:pos="222"/>
              </w:tabs>
              <w:autoSpaceDE w:val="0"/>
              <w:autoSpaceDN w:val="0"/>
              <w:adjustRightInd w:val="0"/>
              <w:jc w:val="left"/>
              <w:rPr>
                <w:rFonts w:cs="Arial"/>
                <w:bCs/>
                <w:sz w:val="20"/>
                <w:szCs w:val="20"/>
              </w:rPr>
            </w:pPr>
            <w:r w:rsidRPr="00DF4321">
              <w:rPr>
                <w:rFonts w:cs="Arial"/>
                <w:bCs/>
                <w:sz w:val="20"/>
                <w:szCs w:val="20"/>
              </w:rPr>
              <w:t>Réunion sur site, Consultation parties prenantes, Diffusion du résumé du projet</w:t>
            </w:r>
          </w:p>
          <w:p w14:paraId="0B9E37B5" w14:textId="77777777" w:rsidR="00F9169A" w:rsidRPr="00DF4321" w:rsidRDefault="00F9169A" w:rsidP="00F9169A">
            <w:pPr>
              <w:widowControl w:val="0"/>
              <w:tabs>
                <w:tab w:val="left" w:pos="222"/>
              </w:tabs>
              <w:autoSpaceDE w:val="0"/>
              <w:autoSpaceDN w:val="0"/>
              <w:adjustRightInd w:val="0"/>
              <w:jc w:val="left"/>
              <w:rPr>
                <w:rFonts w:cs="Arial"/>
                <w:bCs/>
                <w:sz w:val="20"/>
                <w:szCs w:val="20"/>
              </w:rPr>
            </w:pPr>
            <w:r w:rsidRPr="00DF4321">
              <w:rPr>
                <w:rFonts w:cs="Arial"/>
                <w:bCs/>
                <w:sz w:val="20"/>
                <w:szCs w:val="20"/>
              </w:rPr>
              <w:t>Vidéo-conférence</w:t>
            </w:r>
          </w:p>
        </w:tc>
        <w:tc>
          <w:tcPr>
            <w:tcW w:w="2160" w:type="dxa"/>
            <w:shd w:val="clear" w:color="auto" w:fill="auto"/>
          </w:tcPr>
          <w:p w14:paraId="4FCBD9EB"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Salle de réunion des acteurs institutionnels</w:t>
            </w:r>
          </w:p>
          <w:p w14:paraId="5A73EAEE"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Salle de réunion Banque mondiale</w:t>
            </w:r>
          </w:p>
        </w:tc>
        <w:tc>
          <w:tcPr>
            <w:tcW w:w="2075" w:type="dxa"/>
            <w:shd w:val="clear" w:color="auto" w:fill="auto"/>
          </w:tcPr>
          <w:p w14:paraId="2C088F25"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Premier semestre du lancement du projet</w:t>
            </w:r>
          </w:p>
          <w:p w14:paraId="5F683A62" w14:textId="77777777" w:rsidR="00F9169A" w:rsidRPr="00DF4321" w:rsidRDefault="00F9169A" w:rsidP="00F9169A">
            <w:pPr>
              <w:widowControl w:val="0"/>
              <w:autoSpaceDE w:val="0"/>
              <w:autoSpaceDN w:val="0"/>
              <w:adjustRightInd w:val="0"/>
              <w:jc w:val="left"/>
              <w:rPr>
                <w:rFonts w:cs="Arial"/>
                <w:bCs/>
                <w:sz w:val="20"/>
                <w:szCs w:val="20"/>
              </w:rPr>
            </w:pPr>
          </w:p>
          <w:p w14:paraId="3C94A76E" w14:textId="77777777" w:rsidR="00F9169A" w:rsidRPr="00DF4321" w:rsidRDefault="00F9169A" w:rsidP="00F9169A">
            <w:pPr>
              <w:widowControl w:val="0"/>
              <w:autoSpaceDE w:val="0"/>
              <w:autoSpaceDN w:val="0"/>
              <w:adjustRightInd w:val="0"/>
              <w:jc w:val="left"/>
              <w:rPr>
                <w:rFonts w:cs="Arial"/>
                <w:bCs/>
                <w:sz w:val="20"/>
                <w:szCs w:val="20"/>
              </w:rPr>
            </w:pPr>
          </w:p>
        </w:tc>
        <w:tc>
          <w:tcPr>
            <w:tcW w:w="3313" w:type="dxa"/>
            <w:shd w:val="clear" w:color="auto" w:fill="auto"/>
          </w:tcPr>
          <w:p w14:paraId="2DE7FB08"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TTL Projet, Spécialiste Sauvegarde environnementale et sociale et Spécialiste en VBG/AES/HS du Programme, Personne-Ressource, Cabinet des Ministres concernés ; Bureau de la Banque mondiale ; Consultants</w:t>
            </w:r>
          </w:p>
        </w:tc>
        <w:tc>
          <w:tcPr>
            <w:tcW w:w="1984" w:type="dxa"/>
            <w:shd w:val="clear" w:color="auto" w:fill="auto"/>
          </w:tcPr>
          <w:p w14:paraId="3796341A" w14:textId="77777777" w:rsidR="00F9169A" w:rsidRPr="00DF4321" w:rsidRDefault="00F9169A" w:rsidP="00F9169A">
            <w:pPr>
              <w:widowControl w:val="0"/>
              <w:autoSpaceDE w:val="0"/>
              <w:autoSpaceDN w:val="0"/>
              <w:adjustRightInd w:val="0"/>
              <w:jc w:val="left"/>
              <w:rPr>
                <w:rFonts w:cs="Arial"/>
                <w:bCs/>
                <w:sz w:val="20"/>
                <w:szCs w:val="20"/>
              </w:rPr>
            </w:pPr>
            <w:r w:rsidRPr="00DF4321">
              <w:rPr>
                <w:rFonts w:cs="Arial"/>
                <w:bCs/>
                <w:sz w:val="20"/>
                <w:szCs w:val="20"/>
              </w:rPr>
              <w:t>Equipe de la Banque mondiale, les responsables des Ministères concernés, UNCP Programme</w:t>
            </w:r>
          </w:p>
        </w:tc>
      </w:tr>
      <w:tr w:rsidR="00F9169A" w:rsidRPr="00DF4321" w14:paraId="3A8F5DAF" w14:textId="77777777" w:rsidTr="00F9169A">
        <w:trPr>
          <w:trHeight w:val="210"/>
        </w:trPr>
        <w:tc>
          <w:tcPr>
            <w:tcW w:w="1350" w:type="dxa"/>
            <w:shd w:val="clear" w:color="auto" w:fill="auto"/>
            <w:vAlign w:val="center"/>
          </w:tcPr>
          <w:p w14:paraId="435847FE" w14:textId="77777777" w:rsidR="00F9169A" w:rsidRPr="00F9169A" w:rsidRDefault="00F9169A" w:rsidP="00F9169A">
            <w:pPr>
              <w:widowControl w:val="0"/>
              <w:autoSpaceDE w:val="0"/>
              <w:autoSpaceDN w:val="0"/>
              <w:adjustRightInd w:val="0"/>
              <w:rPr>
                <w:rFonts w:cs="Arial"/>
                <w:bCs/>
                <w:sz w:val="20"/>
                <w:szCs w:val="20"/>
              </w:rPr>
            </w:pPr>
            <w:r w:rsidRPr="00F9169A">
              <w:rPr>
                <w:rFonts w:cs="Arial"/>
                <w:bCs/>
                <w:sz w:val="20"/>
                <w:szCs w:val="20"/>
              </w:rPr>
              <w:t>Exécution</w:t>
            </w:r>
          </w:p>
        </w:tc>
        <w:tc>
          <w:tcPr>
            <w:tcW w:w="2430" w:type="dxa"/>
            <w:shd w:val="clear" w:color="auto" w:fill="auto"/>
          </w:tcPr>
          <w:p w14:paraId="2CCEA9A6"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Contenu des documents de sauvegarde environnementale et sociale</w:t>
            </w:r>
          </w:p>
          <w:p w14:paraId="0F4F1EFF"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Méthodes de mise en œuvre des mesures de sauvegarde environnementales et sociales</w:t>
            </w:r>
          </w:p>
          <w:p w14:paraId="6964E05F"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Echéance de mise en œuvre des activités de sauvegarde</w:t>
            </w:r>
            <w:r w:rsidRPr="00DF4321">
              <w:rPr>
                <w:rFonts w:cs="Arial"/>
                <w:sz w:val="20"/>
                <w:szCs w:val="20"/>
              </w:rPr>
              <w:t xml:space="preserve"> </w:t>
            </w:r>
            <w:r w:rsidRPr="00DF4321">
              <w:rPr>
                <w:rFonts w:cs="Arial"/>
                <w:bCs/>
                <w:sz w:val="20"/>
                <w:szCs w:val="20"/>
              </w:rPr>
              <w:t>environnementales et sociales</w:t>
            </w:r>
          </w:p>
          <w:p w14:paraId="5E007E24"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 xml:space="preserve">Rôle des différents acteurs chargés de la mise en œuvre </w:t>
            </w:r>
          </w:p>
        </w:tc>
        <w:tc>
          <w:tcPr>
            <w:tcW w:w="2520" w:type="dxa"/>
            <w:shd w:val="clear" w:color="auto" w:fill="auto"/>
            <w:vAlign w:val="center"/>
          </w:tcPr>
          <w:p w14:paraId="53F41EEB"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Mail, Téléphone, Réunion sur sites</w:t>
            </w:r>
          </w:p>
          <w:p w14:paraId="5752F02A"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Diffusion documents</w:t>
            </w:r>
          </w:p>
          <w:p w14:paraId="23D47073"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Formations</w:t>
            </w:r>
          </w:p>
        </w:tc>
        <w:tc>
          <w:tcPr>
            <w:tcW w:w="2160" w:type="dxa"/>
            <w:shd w:val="clear" w:color="auto" w:fill="auto"/>
            <w:vAlign w:val="center"/>
          </w:tcPr>
          <w:p w14:paraId="27EAA28D"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Sites</w:t>
            </w:r>
          </w:p>
        </w:tc>
        <w:tc>
          <w:tcPr>
            <w:tcW w:w="2075" w:type="dxa"/>
            <w:shd w:val="clear" w:color="auto" w:fill="auto"/>
          </w:tcPr>
          <w:p w14:paraId="6F6ACC98" w14:textId="77777777" w:rsidR="00F9169A" w:rsidRPr="00F9169A" w:rsidRDefault="00F9169A" w:rsidP="00F9169A">
            <w:pPr>
              <w:widowControl w:val="0"/>
              <w:autoSpaceDE w:val="0"/>
              <w:autoSpaceDN w:val="0"/>
              <w:adjustRightInd w:val="0"/>
              <w:rPr>
                <w:rFonts w:cs="Arial"/>
                <w:bCs/>
                <w:sz w:val="20"/>
                <w:szCs w:val="20"/>
              </w:rPr>
            </w:pPr>
            <w:r w:rsidRPr="00DF4321">
              <w:rPr>
                <w:rFonts w:cs="Arial"/>
                <w:bCs/>
                <w:sz w:val="20"/>
                <w:szCs w:val="20"/>
              </w:rPr>
              <w:t>2</w:t>
            </w:r>
            <w:r w:rsidRPr="00DF4321">
              <w:rPr>
                <w:rFonts w:cs="Arial"/>
                <w:bCs/>
                <w:sz w:val="20"/>
                <w:szCs w:val="20"/>
                <w:vertAlign w:val="superscript"/>
              </w:rPr>
              <w:t>ème</w:t>
            </w:r>
            <w:r>
              <w:rPr>
                <w:rFonts w:cs="Arial"/>
                <w:bCs/>
                <w:sz w:val="20"/>
                <w:szCs w:val="20"/>
              </w:rPr>
              <w:t xml:space="preserve"> </w:t>
            </w:r>
            <w:r w:rsidRPr="00F9169A">
              <w:rPr>
                <w:rFonts w:cs="Arial"/>
                <w:bCs/>
                <w:sz w:val="20"/>
                <w:szCs w:val="20"/>
              </w:rPr>
              <w:t>trimestre de l’année de démarrage du projet</w:t>
            </w:r>
          </w:p>
        </w:tc>
        <w:tc>
          <w:tcPr>
            <w:tcW w:w="3313" w:type="dxa"/>
            <w:shd w:val="clear" w:color="auto" w:fill="auto"/>
          </w:tcPr>
          <w:p w14:paraId="6F37C718"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Comité de Pilotage du Programme</w:t>
            </w:r>
          </w:p>
          <w:p w14:paraId="49DDE8DE"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Comité Technique de Suivi</w:t>
            </w:r>
          </w:p>
          <w:p w14:paraId="613B5DF2"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Ministères et autres structures concernées</w:t>
            </w:r>
          </w:p>
          <w:p w14:paraId="3D8FE9D3"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PAP potentiels</w:t>
            </w:r>
          </w:p>
        </w:tc>
        <w:tc>
          <w:tcPr>
            <w:tcW w:w="1984" w:type="dxa"/>
            <w:shd w:val="clear" w:color="auto" w:fill="auto"/>
            <w:vAlign w:val="center"/>
          </w:tcPr>
          <w:p w14:paraId="550A267B"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Comité de pilotage</w:t>
            </w:r>
          </w:p>
          <w:p w14:paraId="01732CEE"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Spécialiste Sauvegarde environnementale et sociale</w:t>
            </w:r>
          </w:p>
        </w:tc>
      </w:tr>
      <w:tr w:rsidR="00F9169A" w:rsidRPr="00DF4321" w14:paraId="7B8C485A" w14:textId="77777777" w:rsidTr="00F9169A">
        <w:trPr>
          <w:trHeight w:val="210"/>
        </w:trPr>
        <w:tc>
          <w:tcPr>
            <w:tcW w:w="1350" w:type="dxa"/>
            <w:shd w:val="clear" w:color="auto" w:fill="auto"/>
            <w:vAlign w:val="center"/>
          </w:tcPr>
          <w:p w14:paraId="2909D765" w14:textId="77777777" w:rsidR="00F9169A" w:rsidRPr="00F9169A" w:rsidRDefault="00F9169A" w:rsidP="00F9169A">
            <w:pPr>
              <w:widowControl w:val="0"/>
              <w:autoSpaceDE w:val="0"/>
              <w:autoSpaceDN w:val="0"/>
              <w:adjustRightInd w:val="0"/>
              <w:rPr>
                <w:rFonts w:cs="Arial"/>
                <w:bCs/>
                <w:sz w:val="20"/>
                <w:szCs w:val="20"/>
              </w:rPr>
            </w:pPr>
            <w:r w:rsidRPr="00F9169A">
              <w:rPr>
                <w:rFonts w:cs="Arial"/>
                <w:bCs/>
                <w:sz w:val="20"/>
                <w:szCs w:val="20"/>
              </w:rPr>
              <w:t>Suivi-évaluation</w:t>
            </w:r>
          </w:p>
        </w:tc>
        <w:tc>
          <w:tcPr>
            <w:tcW w:w="2430" w:type="dxa"/>
            <w:shd w:val="clear" w:color="auto" w:fill="auto"/>
            <w:vAlign w:val="center"/>
          </w:tcPr>
          <w:p w14:paraId="7999144E" w14:textId="77777777" w:rsidR="00F9169A" w:rsidRPr="00F9169A" w:rsidRDefault="00F9169A" w:rsidP="00F9169A">
            <w:pPr>
              <w:widowControl w:val="0"/>
              <w:autoSpaceDE w:val="0"/>
              <w:autoSpaceDN w:val="0"/>
              <w:adjustRightInd w:val="0"/>
              <w:rPr>
                <w:rFonts w:cs="Arial"/>
                <w:bCs/>
                <w:sz w:val="20"/>
                <w:szCs w:val="20"/>
              </w:rPr>
            </w:pPr>
            <w:r w:rsidRPr="00F9169A">
              <w:rPr>
                <w:rFonts w:cs="Arial"/>
                <w:bCs/>
                <w:sz w:val="20"/>
                <w:szCs w:val="20"/>
              </w:rPr>
              <w:t>Indicateurs de mise en œuvre</w:t>
            </w:r>
          </w:p>
          <w:p w14:paraId="00ACF3A5"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Indicateurs de résultats</w:t>
            </w:r>
          </w:p>
          <w:p w14:paraId="060BA56F"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Rôles des acteurs dans collecte données</w:t>
            </w:r>
          </w:p>
          <w:p w14:paraId="07D6586A"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Période de collecte des données</w:t>
            </w:r>
          </w:p>
          <w:p w14:paraId="450A8540"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Source de vérification des données</w:t>
            </w:r>
          </w:p>
        </w:tc>
        <w:tc>
          <w:tcPr>
            <w:tcW w:w="2520" w:type="dxa"/>
            <w:shd w:val="clear" w:color="auto" w:fill="auto"/>
            <w:vAlign w:val="center"/>
          </w:tcPr>
          <w:p w14:paraId="3FA6BF4C"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Mail</w:t>
            </w:r>
          </w:p>
          <w:p w14:paraId="7B05AADC"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Téléphone</w:t>
            </w:r>
          </w:p>
          <w:p w14:paraId="2378BB7A"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Réunion sur site</w:t>
            </w:r>
          </w:p>
          <w:p w14:paraId="69BCED0B"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Diffusion documents</w:t>
            </w:r>
          </w:p>
          <w:p w14:paraId="0FDEA1E8"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Formation</w:t>
            </w:r>
          </w:p>
        </w:tc>
        <w:tc>
          <w:tcPr>
            <w:tcW w:w="2160" w:type="dxa"/>
            <w:shd w:val="clear" w:color="auto" w:fill="auto"/>
            <w:vAlign w:val="center"/>
          </w:tcPr>
          <w:p w14:paraId="6AF5EBC3"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 xml:space="preserve"> Salle de réunion UNCP ; </w:t>
            </w:r>
          </w:p>
          <w:p w14:paraId="776297AA"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Banque mondiale</w:t>
            </w:r>
          </w:p>
        </w:tc>
        <w:tc>
          <w:tcPr>
            <w:tcW w:w="2075" w:type="dxa"/>
            <w:shd w:val="clear" w:color="auto" w:fill="auto"/>
          </w:tcPr>
          <w:p w14:paraId="1C615078" w14:textId="77777777" w:rsidR="00F9169A" w:rsidRPr="00F9169A" w:rsidRDefault="00F9169A" w:rsidP="00F9169A">
            <w:pPr>
              <w:widowControl w:val="0"/>
              <w:autoSpaceDE w:val="0"/>
              <w:autoSpaceDN w:val="0"/>
              <w:adjustRightInd w:val="0"/>
              <w:rPr>
                <w:rFonts w:cs="Arial"/>
                <w:bCs/>
                <w:sz w:val="20"/>
                <w:szCs w:val="20"/>
              </w:rPr>
            </w:pPr>
            <w:r w:rsidRPr="00DF4321">
              <w:rPr>
                <w:rFonts w:cs="Arial"/>
                <w:sz w:val="20"/>
                <w:szCs w:val="20"/>
              </w:rPr>
              <w:t>4</w:t>
            </w:r>
            <w:r w:rsidRPr="00DF4321">
              <w:rPr>
                <w:rFonts w:cs="Arial"/>
                <w:sz w:val="20"/>
                <w:szCs w:val="20"/>
                <w:vertAlign w:val="superscript"/>
              </w:rPr>
              <w:t>ème</w:t>
            </w:r>
            <w:r w:rsidRPr="00DF4321">
              <w:rPr>
                <w:rFonts w:cs="Arial"/>
                <w:sz w:val="20"/>
                <w:szCs w:val="20"/>
              </w:rPr>
              <w:t xml:space="preserve"> trimestre de l’année de démarrage</w:t>
            </w:r>
          </w:p>
        </w:tc>
        <w:tc>
          <w:tcPr>
            <w:tcW w:w="3313" w:type="dxa"/>
            <w:shd w:val="clear" w:color="auto" w:fill="auto"/>
          </w:tcPr>
          <w:p w14:paraId="5C58BADF" w14:textId="77777777" w:rsidR="00F9169A" w:rsidRPr="00F9169A" w:rsidRDefault="00F9169A" w:rsidP="00F9169A">
            <w:pPr>
              <w:widowControl w:val="0"/>
              <w:autoSpaceDE w:val="0"/>
              <w:autoSpaceDN w:val="0"/>
              <w:adjustRightInd w:val="0"/>
              <w:rPr>
                <w:rFonts w:cs="Arial"/>
                <w:bCs/>
                <w:sz w:val="20"/>
                <w:szCs w:val="20"/>
              </w:rPr>
            </w:pPr>
            <w:r w:rsidRPr="00F9169A">
              <w:rPr>
                <w:rFonts w:cs="Arial"/>
                <w:bCs/>
                <w:sz w:val="20"/>
                <w:szCs w:val="20"/>
              </w:rPr>
              <w:t>Ministères et structures concernées</w:t>
            </w:r>
          </w:p>
          <w:p w14:paraId="5305EE74"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Comité de Pilotage du Projet</w:t>
            </w:r>
          </w:p>
          <w:p w14:paraId="2599B222"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Comité Technique de Suivi</w:t>
            </w:r>
          </w:p>
          <w:p w14:paraId="14537B9A"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 xml:space="preserve">TTL Projet UNCP du projet </w:t>
            </w:r>
          </w:p>
        </w:tc>
        <w:tc>
          <w:tcPr>
            <w:tcW w:w="1984" w:type="dxa"/>
            <w:shd w:val="clear" w:color="auto" w:fill="auto"/>
            <w:vAlign w:val="center"/>
          </w:tcPr>
          <w:p w14:paraId="61B96DBA"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Spécialiste Suivi-Evaluation UNCP et Banque mondiale</w:t>
            </w:r>
          </w:p>
          <w:p w14:paraId="21B36DE9" w14:textId="77777777" w:rsidR="00F9169A" w:rsidRPr="00DF4321" w:rsidRDefault="00F9169A" w:rsidP="00F9169A">
            <w:pPr>
              <w:widowControl w:val="0"/>
              <w:autoSpaceDE w:val="0"/>
              <w:autoSpaceDN w:val="0"/>
              <w:adjustRightInd w:val="0"/>
              <w:rPr>
                <w:rFonts w:cs="Arial"/>
                <w:bCs/>
                <w:sz w:val="20"/>
                <w:szCs w:val="20"/>
              </w:rPr>
            </w:pPr>
            <w:r w:rsidRPr="00DF4321">
              <w:rPr>
                <w:rFonts w:cs="Arial"/>
                <w:bCs/>
                <w:sz w:val="20"/>
                <w:szCs w:val="20"/>
              </w:rPr>
              <w:t>*</w:t>
            </w:r>
          </w:p>
        </w:tc>
      </w:tr>
      <w:bookmarkEnd w:id="808"/>
    </w:tbl>
    <w:p w14:paraId="4FC09430" w14:textId="77777777" w:rsidR="00F9169A" w:rsidRDefault="00F9169A" w:rsidP="00F9169A">
      <w:pPr>
        <w:spacing w:after="160" w:line="259" w:lineRule="auto"/>
        <w:jc w:val="left"/>
        <w:rPr>
          <w:rFonts w:cs="Arial"/>
          <w:b/>
          <w:sz w:val="22"/>
        </w:rPr>
      </w:pPr>
    </w:p>
    <w:p w14:paraId="2A01DA11" w14:textId="77777777" w:rsidR="00F9169A" w:rsidRDefault="00F9169A" w:rsidP="00F9169A">
      <w:pPr>
        <w:spacing w:after="160" w:line="259" w:lineRule="auto"/>
        <w:jc w:val="left"/>
        <w:rPr>
          <w:rFonts w:cs="Arial"/>
          <w:b/>
          <w:sz w:val="22"/>
        </w:rPr>
      </w:pPr>
    </w:p>
    <w:p w14:paraId="241795D8" w14:textId="77777777" w:rsidR="00F9169A" w:rsidRPr="00F9169A" w:rsidRDefault="00F9169A" w:rsidP="00F9169A">
      <w:pPr>
        <w:spacing w:after="160" w:line="259" w:lineRule="auto"/>
        <w:jc w:val="left"/>
        <w:rPr>
          <w:rFonts w:cs="Arial"/>
          <w:b/>
          <w:bCs/>
          <w:sz w:val="22"/>
        </w:rPr>
        <w:sectPr w:rsidR="00F9169A" w:rsidRPr="00F9169A" w:rsidSect="00F44B51">
          <w:footerReference w:type="default" r:id="rId102"/>
          <w:pgSz w:w="16839" w:h="11907" w:orient="landscape" w:code="9"/>
          <w:pgMar w:top="1276" w:right="1276" w:bottom="1418" w:left="1440" w:header="709" w:footer="709" w:gutter="0"/>
          <w:cols w:space="708"/>
          <w:docGrid w:linePitch="360"/>
        </w:sectPr>
      </w:pPr>
    </w:p>
    <w:p w14:paraId="37DC46E0" w14:textId="77777777" w:rsidR="00154DC7" w:rsidRPr="00035E90" w:rsidRDefault="00154DC7" w:rsidP="00154DC7">
      <w:pPr>
        <w:pStyle w:val="Titre2"/>
        <w:numPr>
          <w:ilvl w:val="1"/>
          <w:numId w:val="4"/>
        </w:numPr>
        <w:ind w:left="851" w:hanging="425"/>
        <w:rPr>
          <w:rFonts w:cs="Arial"/>
          <w:b/>
          <w:sz w:val="22"/>
          <w:szCs w:val="22"/>
        </w:rPr>
      </w:pPr>
      <w:bookmarkStart w:id="809" w:name="_Toc70330509"/>
      <w:r w:rsidRPr="00035E90">
        <w:rPr>
          <w:rFonts w:cs="Arial"/>
          <w:b/>
          <w:sz w:val="22"/>
          <w:szCs w:val="22"/>
        </w:rPr>
        <w:t>Ateliers de restitution</w:t>
      </w:r>
      <w:bookmarkEnd w:id="809"/>
    </w:p>
    <w:p w14:paraId="1897DD30" w14:textId="77777777" w:rsidR="00154DC7" w:rsidRDefault="00154DC7" w:rsidP="00154DC7">
      <w:pPr>
        <w:rPr>
          <w:sz w:val="22"/>
        </w:rPr>
      </w:pPr>
    </w:p>
    <w:p w14:paraId="150D3DCD" w14:textId="77777777" w:rsidR="00154DC7" w:rsidRDefault="00154DC7" w:rsidP="00154DC7">
      <w:pPr>
        <w:rPr>
          <w:sz w:val="22"/>
        </w:rPr>
      </w:pPr>
      <w:r>
        <w:rPr>
          <w:sz w:val="22"/>
        </w:rPr>
        <w:t>Les at</w:t>
      </w:r>
      <w:r w:rsidR="00AF2270">
        <w:rPr>
          <w:sz w:val="22"/>
        </w:rPr>
        <w:t>eliers de restitution ont été or</w:t>
      </w:r>
      <w:r>
        <w:rPr>
          <w:sz w:val="22"/>
        </w:rPr>
        <w:t>ganisés da</w:t>
      </w:r>
      <w:r w:rsidR="00AF2270">
        <w:rPr>
          <w:sz w:val="22"/>
        </w:rPr>
        <w:t>ns les Chefs-lieux</w:t>
      </w:r>
      <w:r>
        <w:rPr>
          <w:sz w:val="22"/>
        </w:rPr>
        <w:t xml:space="preserve"> de cinq provinces concernées par le PNDA dont le but était de restituer sur l’économie des documents de sauvegardes environnementale et sociales élaborés dont le CGES, le PGP et PEES.</w:t>
      </w:r>
    </w:p>
    <w:p w14:paraId="3808A043" w14:textId="77777777" w:rsidR="00154DC7" w:rsidRDefault="00154DC7" w:rsidP="00154DC7">
      <w:pPr>
        <w:rPr>
          <w:sz w:val="22"/>
        </w:rPr>
      </w:pPr>
    </w:p>
    <w:p w14:paraId="3DF90C6C" w14:textId="77777777" w:rsidR="00154DC7" w:rsidRDefault="00154DC7" w:rsidP="00154DC7">
      <w:pPr>
        <w:rPr>
          <w:sz w:val="22"/>
        </w:rPr>
      </w:pPr>
      <w:r>
        <w:rPr>
          <w:sz w:val="22"/>
        </w:rPr>
        <w:t>Les détails sur les lieux, date et nombre de participants sont représentés dans le tableau ci-dessous.</w:t>
      </w:r>
    </w:p>
    <w:p w14:paraId="165E5C29" w14:textId="77777777" w:rsidR="00154DC7" w:rsidRDefault="00154DC7" w:rsidP="00154DC7">
      <w:pPr>
        <w:rPr>
          <w:sz w:val="22"/>
        </w:rPr>
      </w:pPr>
    </w:p>
    <w:p w14:paraId="3D024AF7" w14:textId="77777777" w:rsidR="00154DC7" w:rsidRDefault="00154DC7" w:rsidP="00154DC7">
      <w:pPr>
        <w:rPr>
          <w:sz w:val="22"/>
        </w:rPr>
      </w:pPr>
      <w:bookmarkStart w:id="810" w:name="_Toc70451685"/>
      <w:r w:rsidRPr="00BE2822">
        <w:rPr>
          <w:sz w:val="22"/>
        </w:rPr>
        <w:t>Ta</w:t>
      </w:r>
      <w:r>
        <w:rPr>
          <w:sz w:val="22"/>
        </w:rPr>
        <w:t>b</w:t>
      </w:r>
      <w:r w:rsidRPr="00BE2822">
        <w:rPr>
          <w:sz w:val="22"/>
        </w:rPr>
        <w:t xml:space="preserve">leau </w:t>
      </w:r>
      <w:r w:rsidRPr="00BE2822">
        <w:rPr>
          <w:sz w:val="22"/>
        </w:rPr>
        <w:fldChar w:fldCharType="begin"/>
      </w:r>
      <w:r w:rsidRPr="00BE2822">
        <w:rPr>
          <w:sz w:val="22"/>
        </w:rPr>
        <w:instrText xml:space="preserve"> SEQ Tableau \* ARABIC </w:instrText>
      </w:r>
      <w:r w:rsidRPr="00BE2822">
        <w:rPr>
          <w:sz w:val="22"/>
        </w:rPr>
        <w:fldChar w:fldCharType="separate"/>
      </w:r>
      <w:r w:rsidR="001260B3">
        <w:rPr>
          <w:noProof/>
          <w:sz w:val="22"/>
        </w:rPr>
        <w:t>39</w:t>
      </w:r>
      <w:r w:rsidRPr="00BE2822">
        <w:rPr>
          <w:sz w:val="22"/>
        </w:rPr>
        <w:fldChar w:fldCharType="end"/>
      </w:r>
      <w:r w:rsidRPr="00BE2822">
        <w:rPr>
          <w:rFonts w:cs="Arial"/>
          <w:sz w:val="22"/>
        </w:rPr>
        <w:t xml:space="preserve">. </w:t>
      </w:r>
      <w:r>
        <w:rPr>
          <w:rFonts w:cs="Arial"/>
          <w:sz w:val="22"/>
        </w:rPr>
        <w:t>C</w:t>
      </w:r>
      <w:r w:rsidRPr="005B21CA">
        <w:rPr>
          <w:rFonts w:cs="Arial"/>
          <w:sz w:val="22"/>
        </w:rPr>
        <w:t>alendrier</w:t>
      </w:r>
      <w:r>
        <w:rPr>
          <w:rFonts w:cs="Arial"/>
          <w:sz w:val="22"/>
        </w:rPr>
        <w:t xml:space="preserve"> des ateliers de restitution</w:t>
      </w:r>
      <w:bookmarkEnd w:id="810"/>
    </w:p>
    <w:p w14:paraId="1C02B6CE" w14:textId="77777777" w:rsidR="00154DC7" w:rsidRDefault="00154DC7" w:rsidP="00154DC7">
      <w:pPr>
        <w:rPr>
          <w:sz w:val="22"/>
        </w:rPr>
      </w:pPr>
    </w:p>
    <w:tbl>
      <w:tblPr>
        <w:tblW w:w="997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1220"/>
        <w:gridCol w:w="1339"/>
        <w:gridCol w:w="3260"/>
        <w:gridCol w:w="1366"/>
        <w:gridCol w:w="999"/>
        <w:gridCol w:w="1231"/>
      </w:tblGrid>
      <w:tr w:rsidR="00BB0401" w:rsidRPr="0008598F" w14:paraId="70FBDE40" w14:textId="77777777" w:rsidTr="00730A4A">
        <w:tc>
          <w:tcPr>
            <w:tcW w:w="555" w:type="dxa"/>
            <w:shd w:val="clear" w:color="auto" w:fill="auto"/>
          </w:tcPr>
          <w:p w14:paraId="2F2BC4D8" w14:textId="77777777" w:rsidR="00154DC7" w:rsidRPr="00730A4A" w:rsidRDefault="00154DC7" w:rsidP="00730A4A">
            <w:pPr>
              <w:jc w:val="center"/>
              <w:rPr>
                <w:rFonts w:cs="Arial"/>
                <w:szCs w:val="20"/>
              </w:rPr>
            </w:pPr>
            <w:r w:rsidRPr="00730A4A">
              <w:rPr>
                <w:rFonts w:cs="Arial"/>
                <w:szCs w:val="20"/>
              </w:rPr>
              <w:t>N°</w:t>
            </w:r>
          </w:p>
        </w:tc>
        <w:tc>
          <w:tcPr>
            <w:tcW w:w="1220" w:type="dxa"/>
            <w:shd w:val="clear" w:color="auto" w:fill="auto"/>
          </w:tcPr>
          <w:p w14:paraId="3D2B5B4D" w14:textId="77777777" w:rsidR="00154DC7" w:rsidRPr="00730A4A" w:rsidRDefault="00154DC7" w:rsidP="00730A4A">
            <w:pPr>
              <w:jc w:val="center"/>
              <w:rPr>
                <w:rFonts w:cs="Arial"/>
                <w:szCs w:val="20"/>
              </w:rPr>
            </w:pPr>
            <w:r w:rsidRPr="00730A4A">
              <w:rPr>
                <w:rFonts w:cs="Arial"/>
                <w:szCs w:val="20"/>
              </w:rPr>
              <w:t>Atelier</w:t>
            </w:r>
          </w:p>
        </w:tc>
        <w:tc>
          <w:tcPr>
            <w:tcW w:w="1339" w:type="dxa"/>
            <w:shd w:val="clear" w:color="auto" w:fill="auto"/>
          </w:tcPr>
          <w:p w14:paraId="435A61BA" w14:textId="77777777" w:rsidR="00154DC7" w:rsidRPr="00730A4A" w:rsidRDefault="00154DC7" w:rsidP="00730A4A">
            <w:pPr>
              <w:jc w:val="center"/>
              <w:rPr>
                <w:rFonts w:cs="Arial"/>
                <w:szCs w:val="20"/>
              </w:rPr>
            </w:pPr>
            <w:r w:rsidRPr="00730A4A">
              <w:rPr>
                <w:rFonts w:cs="Arial"/>
                <w:szCs w:val="20"/>
              </w:rPr>
              <w:t>Date de l’atelier</w:t>
            </w:r>
          </w:p>
        </w:tc>
        <w:tc>
          <w:tcPr>
            <w:tcW w:w="3260" w:type="dxa"/>
            <w:shd w:val="clear" w:color="auto" w:fill="auto"/>
          </w:tcPr>
          <w:p w14:paraId="7D6404B8" w14:textId="77777777" w:rsidR="00154DC7" w:rsidRPr="00730A4A" w:rsidRDefault="00154DC7" w:rsidP="00730A4A">
            <w:pPr>
              <w:jc w:val="center"/>
              <w:rPr>
                <w:rFonts w:cs="Arial"/>
                <w:szCs w:val="20"/>
              </w:rPr>
            </w:pPr>
            <w:r w:rsidRPr="00730A4A">
              <w:rPr>
                <w:rFonts w:cs="Arial"/>
                <w:szCs w:val="20"/>
              </w:rPr>
              <w:t>Salle</w:t>
            </w:r>
          </w:p>
        </w:tc>
        <w:tc>
          <w:tcPr>
            <w:tcW w:w="1366" w:type="dxa"/>
            <w:shd w:val="clear" w:color="auto" w:fill="auto"/>
          </w:tcPr>
          <w:p w14:paraId="0115F31F" w14:textId="77777777" w:rsidR="00154DC7" w:rsidRPr="00730A4A" w:rsidRDefault="00154DC7" w:rsidP="00730A4A">
            <w:pPr>
              <w:jc w:val="center"/>
              <w:rPr>
                <w:rFonts w:cs="Arial"/>
                <w:szCs w:val="20"/>
              </w:rPr>
            </w:pPr>
            <w:r w:rsidRPr="00730A4A">
              <w:rPr>
                <w:rFonts w:cs="Arial"/>
                <w:szCs w:val="20"/>
              </w:rPr>
              <w:t>Participants</w:t>
            </w:r>
          </w:p>
        </w:tc>
        <w:tc>
          <w:tcPr>
            <w:tcW w:w="999" w:type="dxa"/>
            <w:shd w:val="clear" w:color="auto" w:fill="auto"/>
          </w:tcPr>
          <w:p w14:paraId="421C8B82" w14:textId="77777777" w:rsidR="00154DC7" w:rsidRPr="00730A4A" w:rsidRDefault="00154DC7" w:rsidP="00730A4A">
            <w:pPr>
              <w:jc w:val="center"/>
              <w:rPr>
                <w:rFonts w:cs="Arial"/>
                <w:szCs w:val="20"/>
              </w:rPr>
            </w:pPr>
            <w:r w:rsidRPr="00730A4A">
              <w:rPr>
                <w:rFonts w:cs="Arial"/>
                <w:szCs w:val="20"/>
              </w:rPr>
              <w:t>Nombre femmes</w:t>
            </w:r>
          </w:p>
        </w:tc>
        <w:tc>
          <w:tcPr>
            <w:tcW w:w="1231" w:type="dxa"/>
            <w:shd w:val="clear" w:color="auto" w:fill="auto"/>
          </w:tcPr>
          <w:p w14:paraId="5C20CA40" w14:textId="77777777" w:rsidR="00154DC7" w:rsidRPr="00730A4A" w:rsidRDefault="00154DC7" w:rsidP="00730A4A">
            <w:pPr>
              <w:jc w:val="center"/>
              <w:rPr>
                <w:rFonts w:cs="Arial"/>
                <w:szCs w:val="20"/>
              </w:rPr>
            </w:pPr>
            <w:r w:rsidRPr="00730A4A">
              <w:rPr>
                <w:rFonts w:cs="Arial"/>
                <w:szCs w:val="20"/>
              </w:rPr>
              <w:t>Nombre d’hommes</w:t>
            </w:r>
          </w:p>
        </w:tc>
      </w:tr>
      <w:tr w:rsidR="00BB0401" w:rsidRPr="0008598F" w14:paraId="36BAEAA3" w14:textId="77777777" w:rsidTr="00730A4A">
        <w:tc>
          <w:tcPr>
            <w:tcW w:w="555" w:type="dxa"/>
            <w:shd w:val="clear" w:color="auto" w:fill="auto"/>
          </w:tcPr>
          <w:p w14:paraId="098A37C3" w14:textId="77777777" w:rsidR="00154DC7" w:rsidRPr="00730A4A" w:rsidRDefault="00154DC7" w:rsidP="004B1A19">
            <w:pPr>
              <w:rPr>
                <w:rFonts w:cs="Arial"/>
                <w:szCs w:val="20"/>
              </w:rPr>
            </w:pPr>
            <w:r w:rsidRPr="00730A4A">
              <w:rPr>
                <w:rFonts w:cs="Arial"/>
                <w:szCs w:val="20"/>
              </w:rPr>
              <w:t>1</w:t>
            </w:r>
          </w:p>
        </w:tc>
        <w:tc>
          <w:tcPr>
            <w:tcW w:w="1220" w:type="dxa"/>
            <w:shd w:val="clear" w:color="auto" w:fill="auto"/>
          </w:tcPr>
          <w:p w14:paraId="1689E6B8" w14:textId="77777777" w:rsidR="00154DC7" w:rsidRPr="00730A4A" w:rsidRDefault="00154DC7" w:rsidP="004B1A19">
            <w:pPr>
              <w:rPr>
                <w:rFonts w:cs="Arial"/>
                <w:szCs w:val="20"/>
              </w:rPr>
            </w:pPr>
            <w:r w:rsidRPr="00730A4A">
              <w:rPr>
                <w:rFonts w:cs="Arial"/>
                <w:szCs w:val="20"/>
              </w:rPr>
              <w:t>Goma</w:t>
            </w:r>
          </w:p>
        </w:tc>
        <w:tc>
          <w:tcPr>
            <w:tcW w:w="1339" w:type="dxa"/>
            <w:shd w:val="clear" w:color="auto" w:fill="auto"/>
          </w:tcPr>
          <w:p w14:paraId="4364E122" w14:textId="77777777" w:rsidR="00154DC7" w:rsidRPr="00730A4A" w:rsidRDefault="00154DC7" w:rsidP="004B1A19">
            <w:pPr>
              <w:rPr>
                <w:rFonts w:cs="Arial"/>
                <w:szCs w:val="20"/>
              </w:rPr>
            </w:pPr>
            <w:r w:rsidRPr="00730A4A">
              <w:rPr>
                <w:rFonts w:cs="Arial"/>
                <w:szCs w:val="20"/>
              </w:rPr>
              <w:t>5 novembre 2020</w:t>
            </w:r>
          </w:p>
        </w:tc>
        <w:tc>
          <w:tcPr>
            <w:tcW w:w="3260" w:type="dxa"/>
            <w:shd w:val="clear" w:color="auto" w:fill="auto"/>
          </w:tcPr>
          <w:p w14:paraId="101DA959" w14:textId="77777777" w:rsidR="00154DC7" w:rsidRPr="00730A4A" w:rsidRDefault="00154DC7" w:rsidP="00730A4A">
            <w:pPr>
              <w:jc w:val="left"/>
              <w:rPr>
                <w:rFonts w:cs="Arial"/>
                <w:szCs w:val="20"/>
              </w:rPr>
            </w:pPr>
            <w:r w:rsidRPr="00730A4A">
              <w:rPr>
                <w:rFonts w:cs="Arial"/>
                <w:szCs w:val="20"/>
              </w:rPr>
              <w:t>Salle de Conférence n°3 du Centre d’Accueil Bienheureux Isidore BAKANJA, située au n°12 de la rue LYN LUSI, Quartier le Volcan, Commune de Goma, ville de Goma.</w:t>
            </w:r>
          </w:p>
        </w:tc>
        <w:tc>
          <w:tcPr>
            <w:tcW w:w="1366" w:type="dxa"/>
            <w:shd w:val="clear" w:color="auto" w:fill="auto"/>
          </w:tcPr>
          <w:p w14:paraId="5CF6868F" w14:textId="77777777" w:rsidR="00154DC7" w:rsidRPr="00730A4A" w:rsidRDefault="00154DC7" w:rsidP="00730A4A">
            <w:pPr>
              <w:ind w:right="124"/>
              <w:jc w:val="center"/>
              <w:rPr>
                <w:rFonts w:cs="Arial"/>
                <w:szCs w:val="20"/>
              </w:rPr>
            </w:pPr>
          </w:p>
          <w:p w14:paraId="789503DF" w14:textId="77777777" w:rsidR="00154DC7" w:rsidRPr="00730A4A" w:rsidRDefault="00154DC7" w:rsidP="00730A4A">
            <w:pPr>
              <w:ind w:right="124"/>
              <w:jc w:val="center"/>
              <w:rPr>
                <w:rFonts w:cs="Arial"/>
                <w:szCs w:val="20"/>
              </w:rPr>
            </w:pPr>
          </w:p>
          <w:p w14:paraId="07C27FBF" w14:textId="77777777" w:rsidR="00154DC7" w:rsidRPr="00730A4A" w:rsidRDefault="00586A3B" w:rsidP="00730A4A">
            <w:pPr>
              <w:ind w:right="124"/>
              <w:jc w:val="center"/>
              <w:rPr>
                <w:rFonts w:cs="Arial"/>
                <w:szCs w:val="20"/>
              </w:rPr>
            </w:pPr>
            <w:r w:rsidRPr="00730A4A">
              <w:rPr>
                <w:rFonts w:cs="Arial"/>
                <w:szCs w:val="20"/>
              </w:rPr>
              <w:t>37</w:t>
            </w:r>
          </w:p>
        </w:tc>
        <w:tc>
          <w:tcPr>
            <w:tcW w:w="999" w:type="dxa"/>
            <w:shd w:val="clear" w:color="auto" w:fill="auto"/>
          </w:tcPr>
          <w:p w14:paraId="4BAB6E12" w14:textId="77777777" w:rsidR="00154DC7" w:rsidRPr="00730A4A" w:rsidRDefault="00154DC7" w:rsidP="00730A4A">
            <w:pPr>
              <w:jc w:val="center"/>
              <w:rPr>
                <w:rFonts w:cs="Arial"/>
                <w:szCs w:val="20"/>
              </w:rPr>
            </w:pPr>
          </w:p>
          <w:p w14:paraId="0AAA7E69" w14:textId="77777777" w:rsidR="00154DC7" w:rsidRPr="00730A4A" w:rsidRDefault="00154DC7" w:rsidP="00730A4A">
            <w:pPr>
              <w:jc w:val="center"/>
              <w:rPr>
                <w:rFonts w:cs="Arial"/>
                <w:szCs w:val="20"/>
              </w:rPr>
            </w:pPr>
          </w:p>
          <w:p w14:paraId="49C03BC4" w14:textId="77777777" w:rsidR="00154DC7" w:rsidRPr="00730A4A" w:rsidRDefault="00586A3B" w:rsidP="00730A4A">
            <w:pPr>
              <w:jc w:val="center"/>
              <w:rPr>
                <w:rFonts w:cs="Arial"/>
                <w:szCs w:val="20"/>
              </w:rPr>
            </w:pPr>
            <w:r w:rsidRPr="00730A4A">
              <w:rPr>
                <w:rFonts w:cs="Arial"/>
                <w:szCs w:val="20"/>
              </w:rPr>
              <w:t>8</w:t>
            </w:r>
          </w:p>
        </w:tc>
        <w:tc>
          <w:tcPr>
            <w:tcW w:w="1231" w:type="dxa"/>
            <w:shd w:val="clear" w:color="auto" w:fill="auto"/>
          </w:tcPr>
          <w:p w14:paraId="6EC19BD4" w14:textId="77777777" w:rsidR="00154DC7" w:rsidRPr="00730A4A" w:rsidRDefault="00154DC7" w:rsidP="00730A4A">
            <w:pPr>
              <w:jc w:val="center"/>
              <w:rPr>
                <w:rFonts w:cs="Arial"/>
                <w:szCs w:val="20"/>
              </w:rPr>
            </w:pPr>
          </w:p>
          <w:p w14:paraId="1483F4C0" w14:textId="77777777" w:rsidR="00154DC7" w:rsidRPr="00730A4A" w:rsidRDefault="00154DC7" w:rsidP="00730A4A">
            <w:pPr>
              <w:jc w:val="center"/>
              <w:rPr>
                <w:rFonts w:cs="Arial"/>
                <w:szCs w:val="20"/>
              </w:rPr>
            </w:pPr>
          </w:p>
          <w:p w14:paraId="25513069" w14:textId="77777777" w:rsidR="00154DC7" w:rsidRPr="00730A4A" w:rsidRDefault="00586A3B" w:rsidP="00730A4A">
            <w:pPr>
              <w:jc w:val="center"/>
              <w:rPr>
                <w:rFonts w:cs="Arial"/>
                <w:szCs w:val="20"/>
              </w:rPr>
            </w:pPr>
            <w:r w:rsidRPr="00730A4A">
              <w:rPr>
                <w:rFonts w:cs="Arial"/>
                <w:szCs w:val="20"/>
              </w:rPr>
              <w:t>29</w:t>
            </w:r>
          </w:p>
        </w:tc>
      </w:tr>
      <w:tr w:rsidR="00BB0401" w:rsidRPr="0008598F" w14:paraId="3EC6D3ED" w14:textId="77777777" w:rsidTr="00730A4A">
        <w:tc>
          <w:tcPr>
            <w:tcW w:w="555" w:type="dxa"/>
            <w:shd w:val="clear" w:color="auto" w:fill="auto"/>
          </w:tcPr>
          <w:p w14:paraId="3BC8356C" w14:textId="77777777" w:rsidR="00154DC7" w:rsidRPr="00730A4A" w:rsidRDefault="00154DC7" w:rsidP="004B1A19">
            <w:pPr>
              <w:rPr>
                <w:rFonts w:cs="Arial"/>
                <w:szCs w:val="20"/>
              </w:rPr>
            </w:pPr>
            <w:r w:rsidRPr="00730A4A">
              <w:rPr>
                <w:rFonts w:cs="Arial"/>
                <w:szCs w:val="20"/>
              </w:rPr>
              <w:t>2</w:t>
            </w:r>
          </w:p>
        </w:tc>
        <w:tc>
          <w:tcPr>
            <w:tcW w:w="1220" w:type="dxa"/>
            <w:shd w:val="clear" w:color="auto" w:fill="auto"/>
          </w:tcPr>
          <w:p w14:paraId="0AB651A5" w14:textId="77777777" w:rsidR="00154DC7" w:rsidRPr="00730A4A" w:rsidRDefault="00154DC7" w:rsidP="004B1A19">
            <w:pPr>
              <w:rPr>
                <w:rFonts w:cs="Arial"/>
                <w:szCs w:val="20"/>
              </w:rPr>
            </w:pPr>
            <w:r w:rsidRPr="00730A4A">
              <w:rPr>
                <w:rFonts w:cs="Arial"/>
                <w:szCs w:val="20"/>
              </w:rPr>
              <w:t>Bandundu</w:t>
            </w:r>
          </w:p>
        </w:tc>
        <w:tc>
          <w:tcPr>
            <w:tcW w:w="1339" w:type="dxa"/>
            <w:shd w:val="clear" w:color="auto" w:fill="auto"/>
          </w:tcPr>
          <w:p w14:paraId="0F66DF84" w14:textId="77777777" w:rsidR="00154DC7" w:rsidRPr="00730A4A" w:rsidRDefault="00154DC7" w:rsidP="004B1A19">
            <w:pPr>
              <w:rPr>
                <w:rFonts w:cs="Arial"/>
                <w:szCs w:val="20"/>
              </w:rPr>
            </w:pPr>
            <w:r w:rsidRPr="00730A4A">
              <w:rPr>
                <w:rFonts w:cs="Arial"/>
                <w:szCs w:val="20"/>
              </w:rPr>
              <w:t>13 novembre 2020</w:t>
            </w:r>
          </w:p>
        </w:tc>
        <w:tc>
          <w:tcPr>
            <w:tcW w:w="3260" w:type="dxa"/>
            <w:shd w:val="clear" w:color="auto" w:fill="auto"/>
          </w:tcPr>
          <w:p w14:paraId="789983BF" w14:textId="77777777" w:rsidR="00154DC7" w:rsidRPr="00730A4A" w:rsidRDefault="00154DC7" w:rsidP="00730A4A">
            <w:pPr>
              <w:jc w:val="left"/>
              <w:rPr>
                <w:rFonts w:cs="Arial"/>
                <w:szCs w:val="20"/>
              </w:rPr>
            </w:pPr>
            <w:r w:rsidRPr="00730A4A">
              <w:rPr>
                <w:rFonts w:cs="Arial"/>
                <w:szCs w:val="20"/>
              </w:rPr>
              <w:t>Salle VIP de MAJESTIK HOTEL BANDUNDU, située au n°5 de l’avenue MUTIMA SAKRINI, Quartier Salongo, Commune de Basoko, ville de Bandundu.</w:t>
            </w:r>
          </w:p>
        </w:tc>
        <w:tc>
          <w:tcPr>
            <w:tcW w:w="1366" w:type="dxa"/>
            <w:shd w:val="clear" w:color="auto" w:fill="auto"/>
          </w:tcPr>
          <w:p w14:paraId="34602A74" w14:textId="77777777" w:rsidR="00154DC7" w:rsidRPr="00730A4A" w:rsidRDefault="00154DC7" w:rsidP="00730A4A">
            <w:pPr>
              <w:jc w:val="center"/>
              <w:rPr>
                <w:rFonts w:cs="Arial"/>
                <w:szCs w:val="20"/>
              </w:rPr>
            </w:pPr>
          </w:p>
          <w:p w14:paraId="6849658D" w14:textId="77777777" w:rsidR="00154DC7" w:rsidRPr="00730A4A" w:rsidRDefault="00154DC7" w:rsidP="00730A4A">
            <w:pPr>
              <w:jc w:val="center"/>
              <w:rPr>
                <w:rFonts w:cs="Arial"/>
                <w:szCs w:val="20"/>
              </w:rPr>
            </w:pPr>
          </w:p>
          <w:p w14:paraId="62C9C204" w14:textId="77777777" w:rsidR="00154DC7" w:rsidRPr="00730A4A" w:rsidRDefault="00154DC7" w:rsidP="00730A4A">
            <w:pPr>
              <w:jc w:val="center"/>
              <w:rPr>
                <w:rFonts w:cs="Arial"/>
                <w:szCs w:val="20"/>
              </w:rPr>
            </w:pPr>
            <w:r w:rsidRPr="00730A4A">
              <w:rPr>
                <w:rFonts w:cs="Arial"/>
                <w:szCs w:val="20"/>
              </w:rPr>
              <w:t>36</w:t>
            </w:r>
          </w:p>
        </w:tc>
        <w:tc>
          <w:tcPr>
            <w:tcW w:w="999" w:type="dxa"/>
            <w:shd w:val="clear" w:color="auto" w:fill="auto"/>
          </w:tcPr>
          <w:p w14:paraId="7124ED97" w14:textId="77777777" w:rsidR="00154DC7" w:rsidRPr="00730A4A" w:rsidRDefault="00154DC7" w:rsidP="00730A4A">
            <w:pPr>
              <w:jc w:val="center"/>
              <w:rPr>
                <w:rFonts w:cs="Arial"/>
                <w:szCs w:val="20"/>
              </w:rPr>
            </w:pPr>
          </w:p>
          <w:p w14:paraId="30BBA767" w14:textId="77777777" w:rsidR="00154DC7" w:rsidRPr="00730A4A" w:rsidRDefault="00154DC7" w:rsidP="00730A4A">
            <w:pPr>
              <w:jc w:val="center"/>
              <w:rPr>
                <w:rFonts w:cs="Arial"/>
                <w:szCs w:val="20"/>
              </w:rPr>
            </w:pPr>
          </w:p>
          <w:p w14:paraId="2A11E37A" w14:textId="77777777" w:rsidR="00154DC7" w:rsidRPr="00730A4A" w:rsidRDefault="00154DC7" w:rsidP="00730A4A">
            <w:pPr>
              <w:jc w:val="center"/>
              <w:rPr>
                <w:rFonts w:cs="Arial"/>
                <w:szCs w:val="20"/>
              </w:rPr>
            </w:pPr>
            <w:r w:rsidRPr="00730A4A">
              <w:rPr>
                <w:rFonts w:cs="Arial"/>
                <w:szCs w:val="20"/>
              </w:rPr>
              <w:t>5</w:t>
            </w:r>
          </w:p>
        </w:tc>
        <w:tc>
          <w:tcPr>
            <w:tcW w:w="1231" w:type="dxa"/>
            <w:shd w:val="clear" w:color="auto" w:fill="auto"/>
          </w:tcPr>
          <w:p w14:paraId="0B50769F" w14:textId="77777777" w:rsidR="00154DC7" w:rsidRPr="00730A4A" w:rsidRDefault="00154DC7" w:rsidP="00730A4A">
            <w:pPr>
              <w:jc w:val="center"/>
              <w:rPr>
                <w:rFonts w:cs="Arial"/>
                <w:szCs w:val="20"/>
              </w:rPr>
            </w:pPr>
          </w:p>
          <w:p w14:paraId="28E36730" w14:textId="77777777" w:rsidR="00154DC7" w:rsidRPr="00730A4A" w:rsidRDefault="00154DC7" w:rsidP="00730A4A">
            <w:pPr>
              <w:jc w:val="center"/>
              <w:rPr>
                <w:rFonts w:cs="Arial"/>
                <w:szCs w:val="20"/>
              </w:rPr>
            </w:pPr>
          </w:p>
          <w:p w14:paraId="36FA6378" w14:textId="77777777" w:rsidR="00154DC7" w:rsidRPr="00730A4A" w:rsidRDefault="00154DC7" w:rsidP="00730A4A">
            <w:pPr>
              <w:jc w:val="center"/>
              <w:rPr>
                <w:rFonts w:cs="Arial"/>
                <w:szCs w:val="20"/>
              </w:rPr>
            </w:pPr>
            <w:r w:rsidRPr="00730A4A">
              <w:rPr>
                <w:rFonts w:cs="Arial"/>
                <w:szCs w:val="20"/>
              </w:rPr>
              <w:t>31</w:t>
            </w:r>
          </w:p>
        </w:tc>
      </w:tr>
      <w:tr w:rsidR="00BB0401" w:rsidRPr="0008598F" w14:paraId="24B635CA" w14:textId="77777777" w:rsidTr="00730A4A">
        <w:tc>
          <w:tcPr>
            <w:tcW w:w="555" w:type="dxa"/>
            <w:shd w:val="clear" w:color="auto" w:fill="auto"/>
          </w:tcPr>
          <w:p w14:paraId="6CBD0310" w14:textId="77777777" w:rsidR="00154DC7" w:rsidRPr="00730A4A" w:rsidRDefault="00154DC7" w:rsidP="004B1A19">
            <w:pPr>
              <w:rPr>
                <w:rFonts w:cs="Arial"/>
                <w:szCs w:val="20"/>
              </w:rPr>
            </w:pPr>
            <w:r w:rsidRPr="00730A4A">
              <w:rPr>
                <w:rFonts w:cs="Arial"/>
                <w:szCs w:val="20"/>
              </w:rPr>
              <w:t>3</w:t>
            </w:r>
          </w:p>
        </w:tc>
        <w:tc>
          <w:tcPr>
            <w:tcW w:w="1220" w:type="dxa"/>
            <w:shd w:val="clear" w:color="auto" w:fill="auto"/>
          </w:tcPr>
          <w:p w14:paraId="2A2B6018" w14:textId="77777777" w:rsidR="00154DC7" w:rsidRPr="00730A4A" w:rsidRDefault="00154DC7" w:rsidP="004B1A19">
            <w:pPr>
              <w:rPr>
                <w:rFonts w:cs="Arial"/>
                <w:szCs w:val="20"/>
              </w:rPr>
            </w:pPr>
            <w:r w:rsidRPr="00730A4A">
              <w:rPr>
                <w:rFonts w:cs="Arial"/>
                <w:szCs w:val="20"/>
              </w:rPr>
              <w:t>Tshikapa</w:t>
            </w:r>
          </w:p>
        </w:tc>
        <w:tc>
          <w:tcPr>
            <w:tcW w:w="1339" w:type="dxa"/>
            <w:shd w:val="clear" w:color="auto" w:fill="auto"/>
          </w:tcPr>
          <w:p w14:paraId="5D12461E" w14:textId="77777777" w:rsidR="00154DC7" w:rsidRPr="00730A4A" w:rsidRDefault="00154DC7" w:rsidP="004B1A19">
            <w:pPr>
              <w:rPr>
                <w:rFonts w:cs="Arial"/>
                <w:szCs w:val="20"/>
              </w:rPr>
            </w:pPr>
            <w:r w:rsidRPr="00730A4A">
              <w:rPr>
                <w:rFonts w:cs="Arial"/>
                <w:szCs w:val="20"/>
              </w:rPr>
              <w:t>26 novembre 2020</w:t>
            </w:r>
          </w:p>
        </w:tc>
        <w:tc>
          <w:tcPr>
            <w:tcW w:w="3260" w:type="dxa"/>
            <w:shd w:val="clear" w:color="auto" w:fill="auto"/>
          </w:tcPr>
          <w:p w14:paraId="2118DF17" w14:textId="77777777" w:rsidR="00154DC7" w:rsidRPr="00730A4A" w:rsidRDefault="00154DC7" w:rsidP="004B1A19">
            <w:pPr>
              <w:rPr>
                <w:rFonts w:cs="Arial"/>
                <w:szCs w:val="20"/>
              </w:rPr>
            </w:pPr>
            <w:r w:rsidRPr="00730A4A">
              <w:rPr>
                <w:rFonts w:cs="Arial"/>
                <w:szCs w:val="20"/>
              </w:rPr>
              <w:t>Restaurant de l’Espace Vule, situé au bord de la rivière Kasaï, dans le quartier Bikuku, ville de Tshikapa.</w:t>
            </w:r>
          </w:p>
        </w:tc>
        <w:tc>
          <w:tcPr>
            <w:tcW w:w="1366" w:type="dxa"/>
            <w:shd w:val="clear" w:color="auto" w:fill="auto"/>
          </w:tcPr>
          <w:p w14:paraId="5233484D" w14:textId="77777777" w:rsidR="00154DC7" w:rsidRPr="00730A4A" w:rsidRDefault="00154DC7" w:rsidP="00730A4A">
            <w:pPr>
              <w:jc w:val="center"/>
              <w:rPr>
                <w:rFonts w:cs="Arial"/>
                <w:szCs w:val="20"/>
              </w:rPr>
            </w:pPr>
          </w:p>
          <w:p w14:paraId="14698EBD" w14:textId="77777777" w:rsidR="00154DC7" w:rsidRPr="00730A4A" w:rsidRDefault="00154DC7" w:rsidP="00730A4A">
            <w:pPr>
              <w:jc w:val="center"/>
              <w:rPr>
                <w:rFonts w:cs="Arial"/>
                <w:szCs w:val="20"/>
              </w:rPr>
            </w:pPr>
            <w:r w:rsidRPr="00730A4A">
              <w:rPr>
                <w:rFonts w:cs="Arial"/>
                <w:szCs w:val="20"/>
              </w:rPr>
              <w:t>44</w:t>
            </w:r>
          </w:p>
        </w:tc>
        <w:tc>
          <w:tcPr>
            <w:tcW w:w="999" w:type="dxa"/>
            <w:shd w:val="clear" w:color="auto" w:fill="auto"/>
          </w:tcPr>
          <w:p w14:paraId="30959731" w14:textId="77777777" w:rsidR="00154DC7" w:rsidRPr="00730A4A" w:rsidRDefault="00154DC7" w:rsidP="00730A4A">
            <w:pPr>
              <w:jc w:val="center"/>
              <w:rPr>
                <w:rFonts w:cs="Arial"/>
                <w:szCs w:val="20"/>
              </w:rPr>
            </w:pPr>
          </w:p>
          <w:p w14:paraId="75D604EB" w14:textId="77777777" w:rsidR="00154DC7" w:rsidRPr="00730A4A" w:rsidRDefault="00154DC7" w:rsidP="00730A4A">
            <w:pPr>
              <w:jc w:val="center"/>
              <w:rPr>
                <w:rFonts w:cs="Arial"/>
                <w:szCs w:val="20"/>
              </w:rPr>
            </w:pPr>
            <w:r w:rsidRPr="00730A4A">
              <w:rPr>
                <w:rFonts w:cs="Arial"/>
                <w:szCs w:val="20"/>
              </w:rPr>
              <w:t>5</w:t>
            </w:r>
          </w:p>
        </w:tc>
        <w:tc>
          <w:tcPr>
            <w:tcW w:w="1231" w:type="dxa"/>
            <w:shd w:val="clear" w:color="auto" w:fill="auto"/>
          </w:tcPr>
          <w:p w14:paraId="2E87AE92" w14:textId="77777777" w:rsidR="00154DC7" w:rsidRPr="00730A4A" w:rsidRDefault="00154DC7" w:rsidP="00730A4A">
            <w:pPr>
              <w:jc w:val="center"/>
              <w:rPr>
                <w:rFonts w:cs="Arial"/>
                <w:szCs w:val="20"/>
              </w:rPr>
            </w:pPr>
          </w:p>
          <w:p w14:paraId="2640F2FA" w14:textId="77777777" w:rsidR="00154DC7" w:rsidRPr="00730A4A" w:rsidRDefault="00154DC7" w:rsidP="00730A4A">
            <w:pPr>
              <w:jc w:val="center"/>
              <w:rPr>
                <w:rFonts w:cs="Arial"/>
                <w:szCs w:val="20"/>
              </w:rPr>
            </w:pPr>
            <w:r w:rsidRPr="00730A4A">
              <w:rPr>
                <w:rFonts w:cs="Arial"/>
                <w:szCs w:val="20"/>
              </w:rPr>
              <w:t>39</w:t>
            </w:r>
          </w:p>
        </w:tc>
      </w:tr>
      <w:tr w:rsidR="00BB0401" w:rsidRPr="0008598F" w14:paraId="4534ACAE" w14:textId="77777777" w:rsidTr="00730A4A">
        <w:tc>
          <w:tcPr>
            <w:tcW w:w="555" w:type="dxa"/>
            <w:shd w:val="clear" w:color="auto" w:fill="auto"/>
          </w:tcPr>
          <w:p w14:paraId="7D3A5F78" w14:textId="77777777" w:rsidR="00154DC7" w:rsidRPr="00730A4A" w:rsidRDefault="00154DC7" w:rsidP="004B1A19">
            <w:pPr>
              <w:rPr>
                <w:rFonts w:cs="Arial"/>
                <w:szCs w:val="20"/>
              </w:rPr>
            </w:pPr>
            <w:r w:rsidRPr="00730A4A">
              <w:rPr>
                <w:rFonts w:cs="Arial"/>
                <w:szCs w:val="20"/>
              </w:rPr>
              <w:t>4</w:t>
            </w:r>
          </w:p>
        </w:tc>
        <w:tc>
          <w:tcPr>
            <w:tcW w:w="1220" w:type="dxa"/>
            <w:shd w:val="clear" w:color="auto" w:fill="auto"/>
          </w:tcPr>
          <w:p w14:paraId="436D7DAC" w14:textId="77777777" w:rsidR="00154DC7" w:rsidRPr="00730A4A" w:rsidRDefault="00154DC7" w:rsidP="004B1A19">
            <w:pPr>
              <w:rPr>
                <w:rFonts w:cs="Arial"/>
                <w:szCs w:val="20"/>
              </w:rPr>
            </w:pPr>
            <w:r w:rsidRPr="00730A4A">
              <w:rPr>
                <w:rFonts w:cs="Arial"/>
                <w:szCs w:val="20"/>
              </w:rPr>
              <w:t>Kananga</w:t>
            </w:r>
          </w:p>
        </w:tc>
        <w:tc>
          <w:tcPr>
            <w:tcW w:w="1339" w:type="dxa"/>
            <w:shd w:val="clear" w:color="auto" w:fill="auto"/>
          </w:tcPr>
          <w:p w14:paraId="5A7B0BB8" w14:textId="77777777" w:rsidR="00154DC7" w:rsidRPr="00730A4A" w:rsidRDefault="00154DC7" w:rsidP="004B1A19">
            <w:pPr>
              <w:rPr>
                <w:rFonts w:cs="Arial"/>
                <w:szCs w:val="20"/>
              </w:rPr>
            </w:pPr>
            <w:r w:rsidRPr="00730A4A">
              <w:rPr>
                <w:rFonts w:cs="Arial"/>
                <w:szCs w:val="20"/>
              </w:rPr>
              <w:t>4 décembre 2020</w:t>
            </w:r>
          </w:p>
        </w:tc>
        <w:tc>
          <w:tcPr>
            <w:tcW w:w="3260" w:type="dxa"/>
            <w:shd w:val="clear" w:color="auto" w:fill="auto"/>
          </w:tcPr>
          <w:p w14:paraId="3D7D82B0" w14:textId="77777777" w:rsidR="00154DC7" w:rsidRPr="00730A4A" w:rsidRDefault="00154DC7" w:rsidP="00730A4A">
            <w:pPr>
              <w:tabs>
                <w:tab w:val="left" w:pos="1524"/>
              </w:tabs>
              <w:jc w:val="left"/>
              <w:rPr>
                <w:rFonts w:cs="Arial"/>
                <w:szCs w:val="20"/>
              </w:rPr>
            </w:pPr>
            <w:r w:rsidRPr="00730A4A">
              <w:rPr>
                <w:rFonts w:cs="Arial"/>
                <w:szCs w:val="20"/>
              </w:rPr>
              <w:t>Salle du Centre des Ressources Pédagogiques de Kananga, située dans le quartier Kamayi Athénée à côté de l’ISDR en face de l’Alliance Française, commune de Kananga</w:t>
            </w:r>
          </w:p>
        </w:tc>
        <w:tc>
          <w:tcPr>
            <w:tcW w:w="1366" w:type="dxa"/>
            <w:shd w:val="clear" w:color="auto" w:fill="auto"/>
          </w:tcPr>
          <w:p w14:paraId="130B628C" w14:textId="77777777" w:rsidR="00154DC7" w:rsidRPr="00730A4A" w:rsidRDefault="00154DC7" w:rsidP="00730A4A">
            <w:pPr>
              <w:jc w:val="center"/>
              <w:rPr>
                <w:rFonts w:cs="Arial"/>
                <w:szCs w:val="20"/>
              </w:rPr>
            </w:pPr>
          </w:p>
          <w:p w14:paraId="36D048B6" w14:textId="77777777" w:rsidR="00154DC7" w:rsidRPr="00730A4A" w:rsidRDefault="00154DC7" w:rsidP="00730A4A">
            <w:pPr>
              <w:jc w:val="center"/>
              <w:rPr>
                <w:rFonts w:cs="Arial"/>
                <w:szCs w:val="20"/>
              </w:rPr>
            </w:pPr>
          </w:p>
          <w:p w14:paraId="6F823C44" w14:textId="77777777" w:rsidR="00154DC7" w:rsidRPr="00730A4A" w:rsidRDefault="00154DC7" w:rsidP="00730A4A">
            <w:pPr>
              <w:jc w:val="center"/>
              <w:rPr>
                <w:rFonts w:cs="Arial"/>
                <w:szCs w:val="20"/>
              </w:rPr>
            </w:pPr>
            <w:r w:rsidRPr="00730A4A">
              <w:rPr>
                <w:rFonts w:cs="Arial"/>
                <w:szCs w:val="20"/>
              </w:rPr>
              <w:t>43</w:t>
            </w:r>
          </w:p>
        </w:tc>
        <w:tc>
          <w:tcPr>
            <w:tcW w:w="999" w:type="dxa"/>
            <w:shd w:val="clear" w:color="auto" w:fill="auto"/>
          </w:tcPr>
          <w:p w14:paraId="724EE7D9" w14:textId="77777777" w:rsidR="00154DC7" w:rsidRPr="00730A4A" w:rsidRDefault="00154DC7" w:rsidP="00730A4A">
            <w:pPr>
              <w:jc w:val="center"/>
              <w:rPr>
                <w:rFonts w:cs="Arial"/>
                <w:szCs w:val="20"/>
              </w:rPr>
            </w:pPr>
          </w:p>
          <w:p w14:paraId="58216671" w14:textId="77777777" w:rsidR="00154DC7" w:rsidRPr="00730A4A" w:rsidRDefault="00154DC7" w:rsidP="00730A4A">
            <w:pPr>
              <w:jc w:val="center"/>
              <w:rPr>
                <w:rFonts w:cs="Arial"/>
                <w:szCs w:val="20"/>
              </w:rPr>
            </w:pPr>
          </w:p>
          <w:p w14:paraId="1463EB93" w14:textId="77777777" w:rsidR="00154DC7" w:rsidRPr="00730A4A" w:rsidRDefault="00154DC7" w:rsidP="00730A4A">
            <w:pPr>
              <w:jc w:val="center"/>
              <w:rPr>
                <w:rFonts w:cs="Arial"/>
                <w:szCs w:val="20"/>
              </w:rPr>
            </w:pPr>
            <w:r w:rsidRPr="00730A4A">
              <w:rPr>
                <w:rFonts w:cs="Arial"/>
                <w:szCs w:val="20"/>
              </w:rPr>
              <w:t>3</w:t>
            </w:r>
          </w:p>
        </w:tc>
        <w:tc>
          <w:tcPr>
            <w:tcW w:w="1231" w:type="dxa"/>
            <w:shd w:val="clear" w:color="auto" w:fill="auto"/>
          </w:tcPr>
          <w:p w14:paraId="585116CE" w14:textId="77777777" w:rsidR="00154DC7" w:rsidRPr="00730A4A" w:rsidRDefault="00154DC7" w:rsidP="00730A4A">
            <w:pPr>
              <w:jc w:val="center"/>
              <w:rPr>
                <w:rFonts w:cs="Arial"/>
                <w:szCs w:val="20"/>
              </w:rPr>
            </w:pPr>
          </w:p>
          <w:p w14:paraId="39E4C3B7" w14:textId="77777777" w:rsidR="00154DC7" w:rsidRPr="00730A4A" w:rsidRDefault="00154DC7" w:rsidP="00730A4A">
            <w:pPr>
              <w:jc w:val="center"/>
              <w:rPr>
                <w:rFonts w:cs="Arial"/>
                <w:szCs w:val="20"/>
              </w:rPr>
            </w:pPr>
          </w:p>
          <w:p w14:paraId="18350605" w14:textId="77777777" w:rsidR="00154DC7" w:rsidRPr="00730A4A" w:rsidRDefault="00154DC7" w:rsidP="00730A4A">
            <w:pPr>
              <w:jc w:val="center"/>
              <w:rPr>
                <w:rFonts w:cs="Arial"/>
                <w:szCs w:val="20"/>
              </w:rPr>
            </w:pPr>
            <w:r w:rsidRPr="00730A4A">
              <w:rPr>
                <w:rFonts w:cs="Arial"/>
                <w:szCs w:val="20"/>
              </w:rPr>
              <w:t>40</w:t>
            </w:r>
          </w:p>
        </w:tc>
      </w:tr>
      <w:tr w:rsidR="00BB0401" w:rsidRPr="0008598F" w14:paraId="37F7962D" w14:textId="77777777" w:rsidTr="00730A4A">
        <w:tc>
          <w:tcPr>
            <w:tcW w:w="555" w:type="dxa"/>
            <w:shd w:val="clear" w:color="auto" w:fill="auto"/>
          </w:tcPr>
          <w:p w14:paraId="10D17843" w14:textId="77777777" w:rsidR="00154DC7" w:rsidRPr="00730A4A" w:rsidRDefault="00154DC7" w:rsidP="004B1A19">
            <w:pPr>
              <w:rPr>
                <w:rFonts w:cs="Arial"/>
                <w:szCs w:val="20"/>
              </w:rPr>
            </w:pPr>
            <w:r w:rsidRPr="00730A4A">
              <w:rPr>
                <w:rFonts w:cs="Arial"/>
                <w:szCs w:val="20"/>
              </w:rPr>
              <w:t>5</w:t>
            </w:r>
          </w:p>
        </w:tc>
        <w:tc>
          <w:tcPr>
            <w:tcW w:w="1220" w:type="dxa"/>
            <w:shd w:val="clear" w:color="auto" w:fill="auto"/>
          </w:tcPr>
          <w:p w14:paraId="4EFF6F24" w14:textId="77777777" w:rsidR="00154DC7" w:rsidRPr="00730A4A" w:rsidRDefault="00154DC7" w:rsidP="004B1A19">
            <w:pPr>
              <w:rPr>
                <w:rFonts w:cs="Arial"/>
                <w:szCs w:val="20"/>
              </w:rPr>
            </w:pPr>
            <w:r w:rsidRPr="00730A4A">
              <w:rPr>
                <w:rFonts w:cs="Arial"/>
                <w:szCs w:val="20"/>
              </w:rPr>
              <w:t xml:space="preserve">Matadi </w:t>
            </w:r>
          </w:p>
        </w:tc>
        <w:tc>
          <w:tcPr>
            <w:tcW w:w="1339" w:type="dxa"/>
            <w:shd w:val="clear" w:color="auto" w:fill="auto"/>
          </w:tcPr>
          <w:p w14:paraId="385798E3" w14:textId="77777777" w:rsidR="00154DC7" w:rsidRPr="00730A4A" w:rsidRDefault="00154DC7" w:rsidP="004B1A19">
            <w:pPr>
              <w:rPr>
                <w:rFonts w:cs="Arial"/>
                <w:szCs w:val="20"/>
              </w:rPr>
            </w:pPr>
            <w:r w:rsidRPr="00730A4A">
              <w:rPr>
                <w:rFonts w:cs="Arial"/>
                <w:szCs w:val="20"/>
              </w:rPr>
              <w:t>16 décembre 2020</w:t>
            </w:r>
          </w:p>
        </w:tc>
        <w:tc>
          <w:tcPr>
            <w:tcW w:w="3260" w:type="dxa"/>
            <w:shd w:val="clear" w:color="auto" w:fill="auto"/>
          </w:tcPr>
          <w:p w14:paraId="13910A05" w14:textId="77777777" w:rsidR="00154DC7" w:rsidRPr="00730A4A" w:rsidRDefault="00154DC7" w:rsidP="00730A4A">
            <w:pPr>
              <w:jc w:val="left"/>
              <w:rPr>
                <w:rFonts w:cs="Arial"/>
                <w:szCs w:val="20"/>
              </w:rPr>
            </w:pPr>
            <w:r w:rsidRPr="00730A4A">
              <w:rPr>
                <w:rFonts w:cs="Arial"/>
                <w:szCs w:val="20"/>
              </w:rPr>
              <w:t>Salle du Ministère Provincial de l’Agriculture du Kongo Central, située au n°3 de l’avenue Nkalakala, Commune de Matadi</w:t>
            </w:r>
          </w:p>
        </w:tc>
        <w:tc>
          <w:tcPr>
            <w:tcW w:w="1366" w:type="dxa"/>
            <w:shd w:val="clear" w:color="auto" w:fill="auto"/>
          </w:tcPr>
          <w:p w14:paraId="3E3A1538" w14:textId="77777777" w:rsidR="00154DC7" w:rsidRPr="00730A4A" w:rsidRDefault="00154DC7" w:rsidP="00730A4A">
            <w:pPr>
              <w:jc w:val="center"/>
              <w:rPr>
                <w:rFonts w:cs="Arial"/>
                <w:szCs w:val="20"/>
              </w:rPr>
            </w:pPr>
          </w:p>
          <w:p w14:paraId="554CD00C" w14:textId="77777777" w:rsidR="00154DC7" w:rsidRPr="00730A4A" w:rsidRDefault="00154DC7" w:rsidP="00730A4A">
            <w:pPr>
              <w:jc w:val="center"/>
              <w:rPr>
                <w:rFonts w:cs="Arial"/>
                <w:szCs w:val="20"/>
              </w:rPr>
            </w:pPr>
            <w:r w:rsidRPr="00730A4A">
              <w:rPr>
                <w:rFonts w:cs="Arial"/>
                <w:szCs w:val="20"/>
              </w:rPr>
              <w:t>49</w:t>
            </w:r>
          </w:p>
        </w:tc>
        <w:tc>
          <w:tcPr>
            <w:tcW w:w="999" w:type="dxa"/>
            <w:shd w:val="clear" w:color="auto" w:fill="auto"/>
          </w:tcPr>
          <w:p w14:paraId="7ED639DE" w14:textId="77777777" w:rsidR="00154DC7" w:rsidRPr="00730A4A" w:rsidRDefault="00154DC7" w:rsidP="00730A4A">
            <w:pPr>
              <w:jc w:val="center"/>
              <w:rPr>
                <w:rFonts w:cs="Arial"/>
                <w:szCs w:val="20"/>
              </w:rPr>
            </w:pPr>
          </w:p>
          <w:p w14:paraId="7B76EDDC" w14:textId="77777777" w:rsidR="00154DC7" w:rsidRPr="00730A4A" w:rsidRDefault="00154DC7" w:rsidP="00730A4A">
            <w:pPr>
              <w:jc w:val="center"/>
              <w:rPr>
                <w:rFonts w:cs="Arial"/>
                <w:szCs w:val="20"/>
              </w:rPr>
            </w:pPr>
            <w:r w:rsidRPr="00730A4A">
              <w:rPr>
                <w:rFonts w:cs="Arial"/>
                <w:szCs w:val="20"/>
              </w:rPr>
              <w:t>11</w:t>
            </w:r>
          </w:p>
        </w:tc>
        <w:tc>
          <w:tcPr>
            <w:tcW w:w="1231" w:type="dxa"/>
            <w:shd w:val="clear" w:color="auto" w:fill="auto"/>
          </w:tcPr>
          <w:p w14:paraId="1C9006A3" w14:textId="77777777" w:rsidR="00154DC7" w:rsidRPr="00730A4A" w:rsidRDefault="00154DC7" w:rsidP="00730A4A">
            <w:pPr>
              <w:jc w:val="center"/>
              <w:rPr>
                <w:rFonts w:cs="Arial"/>
                <w:szCs w:val="20"/>
              </w:rPr>
            </w:pPr>
          </w:p>
          <w:p w14:paraId="5C5B5C7A" w14:textId="77777777" w:rsidR="00154DC7" w:rsidRPr="00730A4A" w:rsidRDefault="00154DC7" w:rsidP="00730A4A">
            <w:pPr>
              <w:jc w:val="center"/>
              <w:rPr>
                <w:rFonts w:cs="Arial"/>
                <w:szCs w:val="20"/>
              </w:rPr>
            </w:pPr>
            <w:r w:rsidRPr="00730A4A">
              <w:rPr>
                <w:rFonts w:cs="Arial"/>
                <w:szCs w:val="20"/>
              </w:rPr>
              <w:t>38</w:t>
            </w:r>
          </w:p>
        </w:tc>
      </w:tr>
      <w:tr w:rsidR="00BB0401" w:rsidRPr="0008598F" w14:paraId="458CB256" w14:textId="77777777" w:rsidTr="00730A4A">
        <w:trPr>
          <w:trHeight w:val="301"/>
        </w:trPr>
        <w:tc>
          <w:tcPr>
            <w:tcW w:w="6374" w:type="dxa"/>
            <w:gridSpan w:val="4"/>
            <w:shd w:val="clear" w:color="auto" w:fill="auto"/>
          </w:tcPr>
          <w:p w14:paraId="30491EBB" w14:textId="77777777" w:rsidR="00154DC7" w:rsidRPr="00730A4A" w:rsidRDefault="00154DC7" w:rsidP="00730A4A">
            <w:pPr>
              <w:jc w:val="center"/>
              <w:rPr>
                <w:rFonts w:cs="Arial"/>
                <w:b/>
                <w:szCs w:val="20"/>
              </w:rPr>
            </w:pPr>
            <w:r w:rsidRPr="00730A4A">
              <w:rPr>
                <w:rFonts w:cs="Arial"/>
                <w:b/>
                <w:szCs w:val="20"/>
              </w:rPr>
              <w:t>TOTAL</w:t>
            </w:r>
          </w:p>
        </w:tc>
        <w:tc>
          <w:tcPr>
            <w:tcW w:w="1366" w:type="dxa"/>
            <w:shd w:val="clear" w:color="auto" w:fill="auto"/>
          </w:tcPr>
          <w:p w14:paraId="002CB25F" w14:textId="77777777" w:rsidR="00154DC7" w:rsidRPr="00730A4A" w:rsidRDefault="00586A3B" w:rsidP="00730A4A">
            <w:pPr>
              <w:jc w:val="center"/>
              <w:rPr>
                <w:rFonts w:cs="Arial"/>
                <w:b/>
                <w:szCs w:val="20"/>
              </w:rPr>
            </w:pPr>
            <w:r w:rsidRPr="00730A4A">
              <w:rPr>
                <w:rFonts w:cs="Arial"/>
                <w:b/>
                <w:szCs w:val="20"/>
              </w:rPr>
              <w:t>209</w:t>
            </w:r>
          </w:p>
        </w:tc>
        <w:tc>
          <w:tcPr>
            <w:tcW w:w="999" w:type="dxa"/>
            <w:shd w:val="clear" w:color="auto" w:fill="auto"/>
          </w:tcPr>
          <w:p w14:paraId="4DC39019" w14:textId="77777777" w:rsidR="00154DC7" w:rsidRPr="00730A4A" w:rsidRDefault="00586A3B" w:rsidP="00730A4A">
            <w:pPr>
              <w:jc w:val="center"/>
              <w:rPr>
                <w:rFonts w:cs="Arial"/>
                <w:b/>
                <w:szCs w:val="20"/>
              </w:rPr>
            </w:pPr>
            <w:r w:rsidRPr="00730A4A">
              <w:rPr>
                <w:rFonts w:cs="Arial"/>
                <w:b/>
                <w:szCs w:val="20"/>
              </w:rPr>
              <w:t>32</w:t>
            </w:r>
          </w:p>
        </w:tc>
        <w:tc>
          <w:tcPr>
            <w:tcW w:w="1231" w:type="dxa"/>
            <w:shd w:val="clear" w:color="auto" w:fill="auto"/>
          </w:tcPr>
          <w:p w14:paraId="627BE1A7" w14:textId="77777777" w:rsidR="00154DC7" w:rsidRPr="00730A4A" w:rsidRDefault="00586A3B" w:rsidP="00730A4A">
            <w:pPr>
              <w:jc w:val="center"/>
              <w:rPr>
                <w:rFonts w:cs="Arial"/>
                <w:b/>
                <w:szCs w:val="20"/>
              </w:rPr>
            </w:pPr>
            <w:r w:rsidRPr="00730A4A">
              <w:rPr>
                <w:rFonts w:cs="Arial"/>
                <w:b/>
                <w:szCs w:val="20"/>
              </w:rPr>
              <w:t>177</w:t>
            </w:r>
          </w:p>
        </w:tc>
      </w:tr>
    </w:tbl>
    <w:p w14:paraId="41A271F2" w14:textId="77777777" w:rsidR="00154DC7" w:rsidRDefault="00154DC7" w:rsidP="00154DC7">
      <w:pPr>
        <w:rPr>
          <w:sz w:val="22"/>
        </w:rPr>
      </w:pPr>
    </w:p>
    <w:p w14:paraId="0FFA2F8D" w14:textId="77777777" w:rsidR="00154DC7" w:rsidRDefault="00154DC7" w:rsidP="00154DC7">
      <w:pPr>
        <w:rPr>
          <w:sz w:val="22"/>
        </w:rPr>
      </w:pPr>
    </w:p>
    <w:p w14:paraId="0BFEF783" w14:textId="77777777" w:rsidR="00154DC7" w:rsidRPr="0099356C" w:rsidRDefault="00154DC7" w:rsidP="00154DC7">
      <w:pPr>
        <w:spacing w:line="240" w:lineRule="auto"/>
        <w:rPr>
          <w:rFonts w:cs="Arial"/>
          <w:sz w:val="22"/>
        </w:rPr>
      </w:pPr>
      <w:r w:rsidRPr="0099356C">
        <w:rPr>
          <w:rFonts w:cs="Arial"/>
          <w:sz w:val="22"/>
        </w:rPr>
        <w:t>Les détai</w:t>
      </w:r>
      <w:r>
        <w:rPr>
          <w:rFonts w:cs="Arial"/>
          <w:sz w:val="22"/>
        </w:rPr>
        <w:t>l</w:t>
      </w:r>
      <w:r w:rsidRPr="0099356C">
        <w:rPr>
          <w:rFonts w:cs="Arial"/>
          <w:sz w:val="22"/>
        </w:rPr>
        <w:t xml:space="preserve">s sur </w:t>
      </w:r>
      <w:r>
        <w:rPr>
          <w:rFonts w:cs="Arial"/>
          <w:sz w:val="22"/>
        </w:rPr>
        <w:t>les points discutés, les atouts, les préoccupations et craintes ainsi que les suggestions et recommandations sont repris dans le tableau ci-dessous.</w:t>
      </w:r>
      <w:r w:rsidRPr="0099356C">
        <w:rPr>
          <w:rFonts w:cs="Arial"/>
          <w:sz w:val="22"/>
        </w:rPr>
        <w:br w:type="page"/>
      </w:r>
    </w:p>
    <w:p w14:paraId="4F6A1469" w14:textId="77777777" w:rsidR="00154DC7" w:rsidRDefault="00154DC7" w:rsidP="00154DC7">
      <w:pPr>
        <w:rPr>
          <w:rFonts w:cs="Arial"/>
        </w:rPr>
        <w:sectPr w:rsidR="00154DC7" w:rsidSect="00F44B51">
          <w:pgSz w:w="11907" w:h="16839" w:code="9"/>
          <w:pgMar w:top="1134" w:right="1417" w:bottom="1440" w:left="1418" w:header="708" w:footer="188" w:gutter="0"/>
          <w:cols w:space="708"/>
          <w:docGrid w:linePitch="360"/>
        </w:sectPr>
      </w:pPr>
    </w:p>
    <w:p w14:paraId="339DE659" w14:textId="77777777" w:rsidR="00154DC7" w:rsidRPr="00F44B51" w:rsidRDefault="00154DC7" w:rsidP="00154DC7">
      <w:pPr>
        <w:rPr>
          <w:rFonts w:cs="Arial"/>
          <w:sz w:val="22"/>
        </w:rPr>
      </w:pPr>
      <w:bookmarkStart w:id="811" w:name="_Toc70451686"/>
      <w:r w:rsidRPr="00F44B51">
        <w:rPr>
          <w:sz w:val="22"/>
        </w:rPr>
        <w:t xml:space="preserve">Tableau </w:t>
      </w:r>
      <w:r w:rsidRPr="00F44B51">
        <w:rPr>
          <w:sz w:val="22"/>
        </w:rPr>
        <w:fldChar w:fldCharType="begin"/>
      </w:r>
      <w:r w:rsidRPr="00F44B51">
        <w:rPr>
          <w:sz w:val="22"/>
        </w:rPr>
        <w:instrText xml:space="preserve"> SEQ Tableau \* ARABIC </w:instrText>
      </w:r>
      <w:r w:rsidRPr="00F44B51">
        <w:rPr>
          <w:sz w:val="22"/>
        </w:rPr>
        <w:fldChar w:fldCharType="separate"/>
      </w:r>
      <w:r w:rsidR="001260B3">
        <w:rPr>
          <w:noProof/>
          <w:sz w:val="22"/>
        </w:rPr>
        <w:t>40</w:t>
      </w:r>
      <w:r w:rsidRPr="00F44B51">
        <w:rPr>
          <w:sz w:val="22"/>
        </w:rPr>
        <w:fldChar w:fldCharType="end"/>
      </w:r>
      <w:r w:rsidRPr="00F44B51">
        <w:rPr>
          <w:rFonts w:cs="Arial"/>
          <w:sz w:val="22"/>
        </w:rPr>
        <w:t>. Synthèse des résultats des ateliers de restitution</w:t>
      </w:r>
      <w:bookmarkEnd w:id="811"/>
    </w:p>
    <w:p w14:paraId="4B9AB4E1" w14:textId="77777777" w:rsidR="00154DC7" w:rsidRPr="00A32CCF" w:rsidRDefault="00154DC7" w:rsidP="00154DC7">
      <w:pPr>
        <w:rPr>
          <w:rFonts w:cs="Arial"/>
        </w:rPr>
      </w:pP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977"/>
        <w:gridCol w:w="2799"/>
        <w:gridCol w:w="2446"/>
        <w:gridCol w:w="3969"/>
      </w:tblGrid>
      <w:tr w:rsidR="00BB0401" w:rsidRPr="0008598F" w14:paraId="07424765" w14:textId="77777777" w:rsidTr="00730A4A">
        <w:tc>
          <w:tcPr>
            <w:tcW w:w="2263" w:type="dxa"/>
            <w:shd w:val="clear" w:color="auto" w:fill="auto"/>
          </w:tcPr>
          <w:p w14:paraId="0919FFB2" w14:textId="77777777" w:rsidR="00154DC7" w:rsidRPr="00730A4A" w:rsidRDefault="00154DC7" w:rsidP="00730A4A">
            <w:pPr>
              <w:jc w:val="center"/>
              <w:rPr>
                <w:rFonts w:cs="Arial"/>
                <w:b/>
                <w:szCs w:val="20"/>
              </w:rPr>
            </w:pPr>
            <w:r w:rsidRPr="00730A4A">
              <w:rPr>
                <w:rFonts w:cs="Arial"/>
                <w:b/>
                <w:szCs w:val="20"/>
              </w:rPr>
              <w:t>Acteurs / Institutions</w:t>
            </w:r>
          </w:p>
        </w:tc>
        <w:tc>
          <w:tcPr>
            <w:tcW w:w="2977" w:type="dxa"/>
            <w:shd w:val="clear" w:color="auto" w:fill="auto"/>
          </w:tcPr>
          <w:p w14:paraId="45730EFA" w14:textId="77777777" w:rsidR="00154DC7" w:rsidRPr="00730A4A" w:rsidRDefault="00154DC7" w:rsidP="00730A4A">
            <w:pPr>
              <w:jc w:val="center"/>
              <w:rPr>
                <w:rFonts w:cs="Arial"/>
                <w:b/>
                <w:szCs w:val="20"/>
              </w:rPr>
            </w:pPr>
            <w:r w:rsidRPr="00730A4A">
              <w:rPr>
                <w:rFonts w:cs="Arial"/>
                <w:b/>
                <w:szCs w:val="20"/>
              </w:rPr>
              <w:t>Points discutés</w:t>
            </w:r>
          </w:p>
        </w:tc>
        <w:tc>
          <w:tcPr>
            <w:tcW w:w="2799" w:type="dxa"/>
            <w:shd w:val="clear" w:color="auto" w:fill="auto"/>
          </w:tcPr>
          <w:p w14:paraId="6A127950" w14:textId="77777777" w:rsidR="00154DC7" w:rsidRPr="00730A4A" w:rsidRDefault="00154DC7" w:rsidP="00730A4A">
            <w:pPr>
              <w:jc w:val="center"/>
              <w:rPr>
                <w:rFonts w:cs="Arial"/>
                <w:b/>
                <w:szCs w:val="20"/>
              </w:rPr>
            </w:pPr>
            <w:r w:rsidRPr="00730A4A">
              <w:rPr>
                <w:rFonts w:cs="Arial"/>
                <w:b/>
                <w:szCs w:val="20"/>
              </w:rPr>
              <w:t>Atouts</w:t>
            </w:r>
          </w:p>
        </w:tc>
        <w:tc>
          <w:tcPr>
            <w:tcW w:w="2446" w:type="dxa"/>
            <w:shd w:val="clear" w:color="auto" w:fill="auto"/>
          </w:tcPr>
          <w:p w14:paraId="61C4F2DD" w14:textId="77777777" w:rsidR="00154DC7" w:rsidRPr="00730A4A" w:rsidRDefault="00154DC7" w:rsidP="00730A4A">
            <w:pPr>
              <w:jc w:val="center"/>
              <w:rPr>
                <w:rFonts w:cs="Arial"/>
                <w:b/>
                <w:szCs w:val="20"/>
              </w:rPr>
            </w:pPr>
            <w:r w:rsidRPr="00730A4A">
              <w:rPr>
                <w:rFonts w:cs="Arial"/>
                <w:b/>
                <w:szCs w:val="20"/>
              </w:rPr>
              <w:t>Préoccupations et craintes</w:t>
            </w:r>
          </w:p>
        </w:tc>
        <w:tc>
          <w:tcPr>
            <w:tcW w:w="3969" w:type="dxa"/>
            <w:shd w:val="clear" w:color="auto" w:fill="auto"/>
          </w:tcPr>
          <w:p w14:paraId="5BA5EB57" w14:textId="77777777" w:rsidR="00154DC7" w:rsidRPr="00730A4A" w:rsidRDefault="00154DC7" w:rsidP="00730A4A">
            <w:pPr>
              <w:jc w:val="center"/>
              <w:rPr>
                <w:rFonts w:cs="Arial"/>
                <w:b/>
                <w:szCs w:val="20"/>
              </w:rPr>
            </w:pPr>
            <w:r w:rsidRPr="00730A4A">
              <w:rPr>
                <w:rFonts w:cs="Arial"/>
                <w:b/>
                <w:szCs w:val="20"/>
              </w:rPr>
              <w:t>Suggestions et recommandations</w:t>
            </w:r>
          </w:p>
        </w:tc>
      </w:tr>
      <w:tr w:rsidR="00BB0401" w:rsidRPr="0008598F" w14:paraId="1D08FBE9" w14:textId="77777777" w:rsidTr="00730A4A">
        <w:tc>
          <w:tcPr>
            <w:tcW w:w="2263" w:type="dxa"/>
            <w:shd w:val="clear" w:color="auto" w:fill="auto"/>
          </w:tcPr>
          <w:p w14:paraId="14B9988E" w14:textId="77777777" w:rsidR="00154DC7" w:rsidRPr="00730A4A" w:rsidRDefault="00154DC7" w:rsidP="004B1A19">
            <w:pPr>
              <w:rPr>
                <w:rFonts w:cs="Arial"/>
                <w:szCs w:val="20"/>
              </w:rPr>
            </w:pPr>
            <w:r w:rsidRPr="00730A4A">
              <w:rPr>
                <w:rFonts w:cs="Arial"/>
                <w:szCs w:val="20"/>
              </w:rPr>
              <w:t>Autorités locales</w:t>
            </w:r>
          </w:p>
        </w:tc>
        <w:tc>
          <w:tcPr>
            <w:tcW w:w="2977" w:type="dxa"/>
            <w:shd w:val="clear" w:color="auto" w:fill="auto"/>
          </w:tcPr>
          <w:p w14:paraId="2F1E2F2B"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Présentation du Cadre de Gestion Environnementale et Sociale ;</w:t>
            </w:r>
          </w:p>
          <w:p w14:paraId="34044536"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Présentation du Cadre de Gestion de Pesticides.</w:t>
            </w:r>
          </w:p>
        </w:tc>
        <w:tc>
          <w:tcPr>
            <w:tcW w:w="2799" w:type="dxa"/>
            <w:shd w:val="clear" w:color="auto" w:fill="auto"/>
          </w:tcPr>
          <w:p w14:paraId="22DFF220"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Acclamation et approbation de la présentation ;</w:t>
            </w:r>
          </w:p>
          <w:p w14:paraId="0458705F"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Disponibilité dans les échanges ;</w:t>
            </w:r>
          </w:p>
          <w:p w14:paraId="4FDBAF92"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Participation active et intéressée des Autorités locales en vue de bonifier les rapports du CGES et CGP.</w:t>
            </w:r>
          </w:p>
        </w:tc>
        <w:tc>
          <w:tcPr>
            <w:tcW w:w="2446" w:type="dxa"/>
            <w:shd w:val="clear" w:color="auto" w:fill="auto"/>
          </w:tcPr>
          <w:p w14:paraId="39EB63AF"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Mise en place des stratégies pour que la base s’approprie le Programme ;</w:t>
            </w:r>
          </w:p>
          <w:p w14:paraId="165BFCC7"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Renforcement des capacités institutionnelles de services techniques devant accompagner le Programme ;</w:t>
            </w:r>
          </w:p>
          <w:p w14:paraId="61FD2DB7"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Mise en place d’un cadastre agricole.</w:t>
            </w:r>
          </w:p>
        </w:tc>
        <w:tc>
          <w:tcPr>
            <w:tcW w:w="3969" w:type="dxa"/>
            <w:shd w:val="clear" w:color="auto" w:fill="auto"/>
          </w:tcPr>
          <w:p w14:paraId="48CFB400"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Installation d’une industrie de production des pesticides dans l’une des Provinces où le PNDA est implémenté pour pérenniser le Programme et mettre fin à la dépendance extérieure des pesticides ;</w:t>
            </w:r>
          </w:p>
          <w:p w14:paraId="63393AC4"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Listage de tous les Ministères impliqués dans le PNDA ;</w:t>
            </w:r>
          </w:p>
          <w:p w14:paraId="25905815"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Implication du Service National des Coopératives et des Organisations Paysannes (SNCOOP » pour l’encadrement des organisations paysannes et des coopératives ;</w:t>
            </w:r>
          </w:p>
          <w:p w14:paraId="2D8FE02B"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Implication de l’Aménagement du Territoire et des Affaires Foncières dans la sécurisation du foncier ;</w:t>
            </w:r>
          </w:p>
          <w:p w14:paraId="0397907D"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Impliquer les techniciens dans  la Coordination, le suivi et contrôle du PNDA en vue de garantir sa réussite ;</w:t>
            </w:r>
          </w:p>
          <w:p w14:paraId="688ECE18"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 xml:space="preserve">Élaborer un catalogue des ennemis des plantes dans chacune des provinces en vue d’évaluer les dégâts causés par les ravageurs.  </w:t>
            </w:r>
          </w:p>
          <w:p w14:paraId="498561E2"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Privilégier les pesticides biologiques à la place des pesticides chimiques.</w:t>
            </w:r>
          </w:p>
        </w:tc>
      </w:tr>
      <w:tr w:rsidR="00BB0401" w:rsidRPr="0008598F" w14:paraId="4FAF341A" w14:textId="77777777" w:rsidTr="00730A4A">
        <w:tc>
          <w:tcPr>
            <w:tcW w:w="2263" w:type="dxa"/>
            <w:shd w:val="clear" w:color="auto" w:fill="auto"/>
          </w:tcPr>
          <w:p w14:paraId="7CB4E731" w14:textId="77777777" w:rsidR="00154DC7" w:rsidRPr="00730A4A" w:rsidRDefault="00154DC7" w:rsidP="00730A4A">
            <w:pPr>
              <w:jc w:val="left"/>
              <w:rPr>
                <w:rFonts w:cs="Arial"/>
                <w:szCs w:val="20"/>
              </w:rPr>
            </w:pPr>
            <w:r w:rsidRPr="00730A4A">
              <w:rPr>
                <w:rFonts w:cs="Arial"/>
                <w:szCs w:val="20"/>
              </w:rPr>
              <w:t>Agence Congolaise de l’Environnement</w:t>
            </w:r>
          </w:p>
        </w:tc>
        <w:tc>
          <w:tcPr>
            <w:tcW w:w="2977" w:type="dxa"/>
            <w:shd w:val="clear" w:color="auto" w:fill="auto"/>
          </w:tcPr>
          <w:p w14:paraId="431642EE"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Présentation du Cadre de Gestion Environnementale et Sociale ;</w:t>
            </w:r>
          </w:p>
          <w:p w14:paraId="48126F50"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Présentation du Cadre de Gestion de Pesticides.</w:t>
            </w:r>
          </w:p>
        </w:tc>
        <w:tc>
          <w:tcPr>
            <w:tcW w:w="2799" w:type="dxa"/>
            <w:shd w:val="clear" w:color="auto" w:fill="auto"/>
          </w:tcPr>
          <w:p w14:paraId="06453B83"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Acclamation et approbation de la présentation ;</w:t>
            </w:r>
          </w:p>
          <w:p w14:paraId="2908D633"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Disponibilité dans les échanges.</w:t>
            </w:r>
          </w:p>
        </w:tc>
        <w:tc>
          <w:tcPr>
            <w:tcW w:w="2446" w:type="dxa"/>
            <w:shd w:val="clear" w:color="auto" w:fill="auto"/>
          </w:tcPr>
          <w:p w14:paraId="530E328D"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Implication des autorités locales lors de la mise en œuvre du Programme.</w:t>
            </w:r>
          </w:p>
        </w:tc>
        <w:tc>
          <w:tcPr>
            <w:tcW w:w="3969" w:type="dxa"/>
            <w:shd w:val="clear" w:color="auto" w:fill="auto"/>
          </w:tcPr>
          <w:p w14:paraId="62B624C3" w14:textId="77777777" w:rsidR="00154DC7" w:rsidRPr="00730A4A" w:rsidRDefault="00154DC7" w:rsidP="00730A4A">
            <w:pPr>
              <w:pStyle w:val="Paragraphedeliste"/>
              <w:numPr>
                <w:ilvl w:val="0"/>
                <w:numId w:val="115"/>
              </w:numPr>
              <w:spacing w:line="240" w:lineRule="auto"/>
              <w:ind w:left="34" w:hanging="99"/>
              <w:jc w:val="left"/>
              <w:rPr>
                <w:rFonts w:cs="Arial"/>
                <w:color w:val="000000"/>
                <w:szCs w:val="20"/>
              </w:rPr>
            </w:pPr>
            <w:r w:rsidRPr="00730A4A">
              <w:rPr>
                <w:rFonts w:cs="Arial"/>
                <w:color w:val="000000"/>
                <w:szCs w:val="20"/>
              </w:rPr>
              <w:t>Implication de l’ACE pour la validation des études environnementales et sociales du Programme ;</w:t>
            </w:r>
          </w:p>
          <w:p w14:paraId="00AD2901" w14:textId="77777777" w:rsidR="00154DC7" w:rsidRPr="00730A4A" w:rsidRDefault="00154DC7" w:rsidP="00730A4A">
            <w:pPr>
              <w:pStyle w:val="Paragraphedeliste"/>
              <w:numPr>
                <w:ilvl w:val="0"/>
                <w:numId w:val="115"/>
              </w:numPr>
              <w:spacing w:line="240" w:lineRule="auto"/>
              <w:ind w:left="34" w:hanging="99"/>
              <w:jc w:val="left"/>
              <w:rPr>
                <w:rFonts w:cs="Arial"/>
                <w:color w:val="000000"/>
                <w:szCs w:val="20"/>
              </w:rPr>
            </w:pPr>
            <w:r w:rsidRPr="00730A4A">
              <w:rPr>
                <w:rFonts w:cs="Arial"/>
                <w:color w:val="000000"/>
                <w:szCs w:val="20"/>
              </w:rPr>
              <w:t>Association de l’ACE dans le suivi environnemental et sociale des activités du PNDA ;</w:t>
            </w:r>
          </w:p>
          <w:p w14:paraId="0E0ACEE1"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Célérité au niveau de la Banque Mondiale pour avis de non-objection des environnementales et sociales.</w:t>
            </w:r>
          </w:p>
        </w:tc>
      </w:tr>
      <w:tr w:rsidR="00BB0401" w:rsidRPr="0008598F" w14:paraId="24F2EF2E" w14:textId="77777777" w:rsidTr="00730A4A">
        <w:tc>
          <w:tcPr>
            <w:tcW w:w="2263" w:type="dxa"/>
            <w:shd w:val="clear" w:color="auto" w:fill="auto"/>
          </w:tcPr>
          <w:p w14:paraId="0F6EAECA" w14:textId="77777777" w:rsidR="00154DC7" w:rsidRPr="00730A4A" w:rsidRDefault="00154DC7" w:rsidP="004B1A19">
            <w:pPr>
              <w:rPr>
                <w:rFonts w:cs="Arial"/>
                <w:szCs w:val="20"/>
              </w:rPr>
            </w:pPr>
            <w:r w:rsidRPr="00730A4A">
              <w:rPr>
                <w:rFonts w:cs="Arial"/>
                <w:szCs w:val="20"/>
              </w:rPr>
              <w:t>Société Civile</w:t>
            </w:r>
          </w:p>
        </w:tc>
        <w:tc>
          <w:tcPr>
            <w:tcW w:w="2977" w:type="dxa"/>
            <w:shd w:val="clear" w:color="auto" w:fill="auto"/>
          </w:tcPr>
          <w:p w14:paraId="24343561"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Présentation du Cadre de Gestion Environnementale et Sociale ;</w:t>
            </w:r>
          </w:p>
          <w:p w14:paraId="01F09459"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Présentation du Cadre de Gestion de Pesticides.</w:t>
            </w:r>
          </w:p>
        </w:tc>
        <w:tc>
          <w:tcPr>
            <w:tcW w:w="2799" w:type="dxa"/>
            <w:shd w:val="clear" w:color="auto" w:fill="auto"/>
          </w:tcPr>
          <w:p w14:paraId="0577C01A"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Acclamation et approbation de la présentation ;</w:t>
            </w:r>
          </w:p>
          <w:p w14:paraId="5E11478A"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Disponibilité dans les échanges.</w:t>
            </w:r>
          </w:p>
        </w:tc>
        <w:tc>
          <w:tcPr>
            <w:tcW w:w="2446" w:type="dxa"/>
            <w:shd w:val="clear" w:color="auto" w:fill="auto"/>
          </w:tcPr>
          <w:p w14:paraId="57F25C67"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Promotion de l’agropastoralisme, de l’agro-sylviculture et de l’agroforesterie ;</w:t>
            </w:r>
          </w:p>
          <w:p w14:paraId="07CFBFD3"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Formation sur la gouvernance financière ;</w:t>
            </w:r>
          </w:p>
          <w:p w14:paraId="47FEC46A"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Implication de la Société Civile lors de la mise en œuvre du Programme ;</w:t>
            </w:r>
          </w:p>
          <w:p w14:paraId="13C1EA48"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Recrutement de la main d’œuvre locale ;</w:t>
            </w:r>
          </w:p>
          <w:p w14:paraId="1145827C"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Non-discrimination dans l’octroi de crédits ;</w:t>
            </w:r>
          </w:p>
          <w:p w14:paraId="32AB769C"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Suivi régulier dans la mise en œuvre du Programme.</w:t>
            </w:r>
          </w:p>
        </w:tc>
        <w:tc>
          <w:tcPr>
            <w:tcW w:w="3969" w:type="dxa"/>
            <w:shd w:val="clear" w:color="auto" w:fill="auto"/>
          </w:tcPr>
          <w:p w14:paraId="76F214E9" w14:textId="77777777" w:rsidR="00154DC7" w:rsidRPr="00730A4A" w:rsidRDefault="00154DC7" w:rsidP="00730A4A">
            <w:pPr>
              <w:pStyle w:val="Paragraphedeliste"/>
              <w:numPr>
                <w:ilvl w:val="0"/>
                <w:numId w:val="115"/>
              </w:numPr>
              <w:spacing w:line="240" w:lineRule="auto"/>
              <w:ind w:left="34" w:hanging="99"/>
              <w:jc w:val="left"/>
              <w:rPr>
                <w:rFonts w:cs="Arial"/>
                <w:color w:val="000000"/>
                <w:szCs w:val="20"/>
              </w:rPr>
            </w:pPr>
            <w:r w:rsidRPr="00730A4A">
              <w:rPr>
                <w:rFonts w:cs="Arial"/>
                <w:color w:val="000000"/>
                <w:szCs w:val="20"/>
              </w:rPr>
              <w:t>Sensibilisation des agriculteurs sur la durée de rémanence de pesticides (délai entre la dernière application du produit phytosanitaire et la récolte) ;</w:t>
            </w:r>
          </w:p>
          <w:p w14:paraId="40193178" w14:textId="77777777" w:rsidR="00154DC7" w:rsidRPr="00730A4A" w:rsidRDefault="00154DC7" w:rsidP="00730A4A">
            <w:pPr>
              <w:pStyle w:val="Paragraphedeliste"/>
              <w:numPr>
                <w:ilvl w:val="0"/>
                <w:numId w:val="115"/>
              </w:numPr>
              <w:spacing w:line="240" w:lineRule="auto"/>
              <w:ind w:left="34" w:hanging="99"/>
              <w:jc w:val="left"/>
              <w:rPr>
                <w:rFonts w:cs="Arial"/>
                <w:color w:val="000000"/>
                <w:szCs w:val="20"/>
              </w:rPr>
            </w:pPr>
            <w:r w:rsidRPr="00730A4A">
              <w:rPr>
                <w:rFonts w:cs="Arial"/>
                <w:color w:val="000000"/>
                <w:szCs w:val="20"/>
              </w:rPr>
              <w:t>Soumission des services publics de l’État devant intervenir dans la mise en œuvre du PNDA au respect du Code de conduite de l’Agent Public de l’État ;</w:t>
            </w:r>
          </w:p>
          <w:p w14:paraId="218BA821" w14:textId="77777777" w:rsidR="00154DC7" w:rsidRPr="00730A4A" w:rsidRDefault="00154DC7" w:rsidP="00730A4A">
            <w:pPr>
              <w:pStyle w:val="Paragraphedeliste"/>
              <w:numPr>
                <w:ilvl w:val="0"/>
                <w:numId w:val="115"/>
              </w:numPr>
              <w:spacing w:line="240" w:lineRule="auto"/>
              <w:ind w:left="34" w:hanging="99"/>
              <w:jc w:val="left"/>
              <w:rPr>
                <w:rFonts w:cs="Arial"/>
                <w:color w:val="000000"/>
                <w:szCs w:val="20"/>
              </w:rPr>
            </w:pPr>
            <w:r w:rsidRPr="00730A4A">
              <w:rPr>
                <w:rFonts w:cs="Arial"/>
                <w:color w:val="000000"/>
                <w:szCs w:val="20"/>
              </w:rPr>
              <w:t>Rationalité sur les Mécanismes de Gestion des Plaintes ;</w:t>
            </w:r>
          </w:p>
          <w:p w14:paraId="05BDC42C" w14:textId="77777777" w:rsidR="00154DC7" w:rsidRPr="00730A4A" w:rsidRDefault="00154DC7" w:rsidP="00730A4A">
            <w:pPr>
              <w:pStyle w:val="Paragraphedeliste"/>
              <w:numPr>
                <w:ilvl w:val="0"/>
                <w:numId w:val="115"/>
              </w:numPr>
              <w:spacing w:line="240" w:lineRule="auto"/>
              <w:ind w:left="34" w:hanging="99"/>
              <w:jc w:val="left"/>
              <w:rPr>
                <w:rFonts w:cs="Arial"/>
                <w:szCs w:val="20"/>
              </w:rPr>
            </w:pPr>
            <w:r w:rsidRPr="00730A4A">
              <w:rPr>
                <w:rFonts w:cs="Arial"/>
                <w:szCs w:val="20"/>
              </w:rPr>
              <w:t>Respect et prise en compte des aspects de VBG dans la mise en œuvre du Programme ;</w:t>
            </w:r>
          </w:p>
          <w:p w14:paraId="5C1B78B7" w14:textId="77777777" w:rsidR="00154DC7" w:rsidRPr="00730A4A" w:rsidRDefault="00154DC7" w:rsidP="00730A4A">
            <w:pPr>
              <w:pStyle w:val="Paragraphedeliste"/>
              <w:numPr>
                <w:ilvl w:val="0"/>
                <w:numId w:val="115"/>
              </w:numPr>
              <w:spacing w:line="240" w:lineRule="auto"/>
              <w:ind w:left="34" w:hanging="99"/>
              <w:jc w:val="left"/>
              <w:rPr>
                <w:rFonts w:cs="Arial"/>
                <w:color w:val="000000"/>
                <w:szCs w:val="20"/>
              </w:rPr>
            </w:pPr>
            <w:r w:rsidRPr="00730A4A">
              <w:rPr>
                <w:rFonts w:cs="Arial"/>
                <w:szCs w:val="20"/>
              </w:rPr>
              <w:t>Prise en compte des compétences des organisations paysannes locales dans le recrutement</w:t>
            </w:r>
            <w:r w:rsidRPr="00730A4A">
              <w:rPr>
                <w:rFonts w:cs="Arial"/>
                <w:color w:val="000000"/>
                <w:szCs w:val="20"/>
              </w:rPr>
              <w:t>.</w:t>
            </w:r>
          </w:p>
        </w:tc>
      </w:tr>
    </w:tbl>
    <w:p w14:paraId="16CE845E" w14:textId="77777777" w:rsidR="00154DC7" w:rsidRDefault="00154DC7" w:rsidP="00154DC7">
      <w:pPr>
        <w:rPr>
          <w:sz w:val="22"/>
        </w:rPr>
        <w:sectPr w:rsidR="00154DC7" w:rsidSect="00F44B51">
          <w:pgSz w:w="16839" w:h="11907" w:orient="landscape" w:code="9"/>
          <w:pgMar w:top="993" w:right="1440" w:bottom="1418" w:left="1276" w:header="567" w:footer="0" w:gutter="0"/>
          <w:cols w:space="708"/>
          <w:docGrid w:linePitch="360"/>
        </w:sectPr>
      </w:pPr>
    </w:p>
    <w:p w14:paraId="0BB8B6A9" w14:textId="77777777" w:rsidR="001C2F95" w:rsidRPr="00F44B51" w:rsidRDefault="001C2F95" w:rsidP="00875F07">
      <w:pPr>
        <w:pStyle w:val="Titre2"/>
        <w:numPr>
          <w:ilvl w:val="1"/>
          <w:numId w:val="4"/>
        </w:numPr>
        <w:ind w:left="851" w:hanging="425"/>
        <w:rPr>
          <w:rFonts w:cs="Arial"/>
          <w:b/>
          <w:sz w:val="22"/>
          <w:szCs w:val="22"/>
        </w:rPr>
      </w:pPr>
      <w:bookmarkStart w:id="812" w:name="_Toc70330510"/>
      <w:r w:rsidRPr="00F44B51">
        <w:rPr>
          <w:rFonts w:cs="Arial"/>
          <w:b/>
          <w:sz w:val="22"/>
          <w:szCs w:val="22"/>
        </w:rPr>
        <w:t>Mécanisme de Gestion des Plaintes (MGP)</w:t>
      </w:r>
      <w:bookmarkEnd w:id="812"/>
    </w:p>
    <w:p w14:paraId="484420D3" w14:textId="77777777" w:rsidR="00875F07" w:rsidRPr="00F44B51" w:rsidRDefault="00875F07" w:rsidP="009A51B4">
      <w:pPr>
        <w:autoSpaceDE w:val="0"/>
        <w:autoSpaceDN w:val="0"/>
        <w:adjustRightInd w:val="0"/>
        <w:rPr>
          <w:sz w:val="22"/>
        </w:rPr>
      </w:pPr>
    </w:p>
    <w:p w14:paraId="7D14CCDD" w14:textId="0DE07B9F" w:rsidR="00875F07" w:rsidRPr="00F44B51" w:rsidRDefault="00CB4D05" w:rsidP="00C32DB2">
      <w:pPr>
        <w:autoSpaceDE w:val="0"/>
        <w:autoSpaceDN w:val="0"/>
        <w:adjustRightInd w:val="0"/>
        <w:rPr>
          <w:sz w:val="22"/>
        </w:rPr>
      </w:pPr>
      <w:r w:rsidRPr="00CB4D05">
        <w:rPr>
          <w:sz w:val="22"/>
        </w:rPr>
        <w:t>La procédure de gestion des plaintes dans le cadre des actions du Programme fait appel à neuf (9) étapes partant de l’enregistrement de la plainte à son règlement final et l’archivage du dossier de résolution. A la phase de mise en œuvre du Programme, le MGP sera formellement élaboré sur la base des neuf (9) étapes décrites ci-dessous. Le rapport préliminaire fera l’objet d’une validation nationale par les représentants des parties prenantes du programme. Le rapport final intégrant les amendements de l’ensemble des parties prenantes sera établi et publié avant le démarrage des activités prévues dans le cadre du Programme. Il sied de noter que le MGP sera aussi adapté à travers des procédures spécifiques qui assureront un traitement éthique et confidentiel des plaintes liées à l’EAS et au HS.</w:t>
      </w:r>
    </w:p>
    <w:p w14:paraId="22044115" w14:textId="77777777" w:rsidR="00875F07" w:rsidRPr="00F44B51" w:rsidRDefault="00875F07" w:rsidP="00F44B51">
      <w:pPr>
        <w:pStyle w:val="Titre2"/>
        <w:numPr>
          <w:ilvl w:val="2"/>
          <w:numId w:val="4"/>
        </w:numPr>
        <w:ind w:left="1560" w:hanging="709"/>
        <w:rPr>
          <w:rFonts w:cs="Arial"/>
          <w:i/>
          <w:sz w:val="22"/>
          <w:szCs w:val="22"/>
        </w:rPr>
      </w:pPr>
      <w:bookmarkStart w:id="813" w:name="_Toc70330511"/>
      <w:r w:rsidRPr="00F44B51">
        <w:rPr>
          <w:rFonts w:cs="Arial"/>
          <w:i/>
          <w:sz w:val="22"/>
          <w:szCs w:val="22"/>
        </w:rPr>
        <w:t>Plaintes globales du Programme</w:t>
      </w:r>
      <w:bookmarkEnd w:id="813"/>
    </w:p>
    <w:p w14:paraId="184193C7" w14:textId="77777777" w:rsidR="00875F07" w:rsidRPr="00F44B51" w:rsidRDefault="00875F07" w:rsidP="00875F07">
      <w:pPr>
        <w:autoSpaceDE w:val="0"/>
        <w:autoSpaceDN w:val="0"/>
        <w:adjustRightInd w:val="0"/>
        <w:rPr>
          <w:sz w:val="22"/>
        </w:rPr>
      </w:pPr>
    </w:p>
    <w:p w14:paraId="26CF0845"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Etape 1 : réception et enregistrement des plaintes</w:t>
      </w:r>
    </w:p>
    <w:p w14:paraId="6F7D03C6" w14:textId="77777777" w:rsidR="00875F07" w:rsidRPr="00F44B51" w:rsidRDefault="00875F07" w:rsidP="00875F07">
      <w:pPr>
        <w:rPr>
          <w:sz w:val="22"/>
        </w:rPr>
      </w:pPr>
    </w:p>
    <w:p w14:paraId="5DF7BDDD" w14:textId="30B2AC43" w:rsidR="00875F07" w:rsidRPr="00F44B51" w:rsidRDefault="00166D18" w:rsidP="00875F07">
      <w:pPr>
        <w:autoSpaceDE w:val="0"/>
        <w:autoSpaceDN w:val="0"/>
        <w:adjustRightInd w:val="0"/>
        <w:rPr>
          <w:sz w:val="22"/>
        </w:rPr>
      </w:pPr>
      <w:r w:rsidRPr="00166D18">
        <w:rPr>
          <w:sz w:val="22"/>
        </w:rPr>
        <w:t>Les canaux de réception des plaintes seront diversifiés et adaptés au contexte socioculturel de mise en œuvre du Programme. Les plaintes seront formulées verbalement ou par écrit. Toute plainte, qu’elle soit verbale ou écrite sera enregistrée immédiatement dans un registre disponible au niveau du comité national de gestion des plaintes ou de ses structures intermédiaires. Le/la plaignant(e) recevra un accusé de réception dans un délai de 48 h après le dépôt de sa plainte. Les canaux de transmission des plaintes seront les boîtes à plaintes, le téléphone, la saisine par un intermédiaire (parent, proche, autorités locales, association de défense des droits humains, etc.). Il est important de noter que le/la plaignant(e) pourrait utiliser tout canal qui lui convient et que les canaux de transmission devraient aussi assurer la sécurité et la confidentialité des plaignant(e)s, surtout pour les plaintes liées à l’EAS/HS.</w:t>
      </w:r>
    </w:p>
    <w:p w14:paraId="043B9EF5"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 xml:space="preserve">Etape 2 : étude des plaintes </w:t>
      </w:r>
    </w:p>
    <w:p w14:paraId="7E4DBE0B" w14:textId="77777777" w:rsidR="00875F07" w:rsidRPr="00F44B51" w:rsidRDefault="00875F07" w:rsidP="00875F07">
      <w:pPr>
        <w:rPr>
          <w:sz w:val="22"/>
        </w:rPr>
      </w:pPr>
    </w:p>
    <w:p w14:paraId="6EF34B58" w14:textId="05118819" w:rsidR="00875F07" w:rsidRPr="00F44B51" w:rsidRDefault="00D8632D" w:rsidP="00875F07">
      <w:pPr>
        <w:rPr>
          <w:sz w:val="22"/>
        </w:rPr>
      </w:pPr>
      <w:r w:rsidRPr="00D8632D">
        <w:rPr>
          <w:sz w:val="22"/>
        </w:rPr>
        <w:t>Un tri est opéré pour distinguer les plaintes hyper-sensibles, sensible ou non-sensibles, et une procédure d’étude adaptée à chaque type est adoptée. Les plaintes non-sensibles seront traitées aussi bien par les instances intermédiaires que par l’instance nationale. Quant aux plaintes sensibles, elles seront gérées au niveau national. Les plaintes sensibles, après enregistrement au niveau local, sont immédiatement transmises au niveau national qui assure les investigations nécessaires au traitement des plaintes. L’issue du traitement de la plainte est adressée directement au/à la plaignant(e). Le temps nécessaire à l’analyse d’une plainte ne peut excéder cinq (05) jours ouvrables après accusé de réception pour les plaintes non sensibles et dix (10) jours ouvrables pour celles sensibles. Il est à noter que les instances indiquées ne sont pas encore mises en place et quelles se feront dans le cadre de la mise en place du mécanisme de gestion du PNDA. Comme noté, des procédures spécifiques pour le traitement éthique et confidentiel des plaintes liées à l'EAS/HS, parmi les plaintes hyper-sensibles, seront développées dans le MGP.</w:t>
      </w:r>
    </w:p>
    <w:p w14:paraId="069E5420"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 xml:space="preserve">Etape 3 : l’investigation sur la vérification du bien-fondé de la plainte  </w:t>
      </w:r>
    </w:p>
    <w:p w14:paraId="030E0B7F" w14:textId="77777777" w:rsidR="00875F07" w:rsidRPr="00F44B51" w:rsidRDefault="00875F07" w:rsidP="00F44B51">
      <w:pPr>
        <w:pStyle w:val="Paragraphedeliste"/>
        <w:shd w:val="clear" w:color="auto" w:fill="FFFFFF"/>
        <w:tabs>
          <w:tab w:val="left" w:pos="171"/>
        </w:tabs>
        <w:ind w:left="733"/>
        <w:contextualSpacing w:val="0"/>
        <w:rPr>
          <w:sz w:val="22"/>
        </w:rPr>
      </w:pPr>
    </w:p>
    <w:p w14:paraId="2553820C" w14:textId="701FACA1" w:rsidR="00875F07" w:rsidRPr="00F44B51" w:rsidRDefault="00C95B8E" w:rsidP="00875F07">
      <w:pPr>
        <w:rPr>
          <w:sz w:val="22"/>
        </w:rPr>
      </w:pPr>
      <w:r w:rsidRPr="00C95B8E">
        <w:rPr>
          <w:sz w:val="22"/>
        </w:rPr>
        <w:t>A cette étape seront collectées les informations et données de preuves concourant à établir la justesse et l’objectivité de la plainte et à retenir les solutions en réponse aux interrogations ou réclamations du/de la plaignant(e). Le traitement des plaintes sensibles peut nécessiter le recours à des compétences spécifiques qui peuvent ne pas être directement disponibles au sein des organes du MGP. Dans ce cas, les compétences des instances plus spécialisées sont sollicitées. Un délai maximal de cinq (05) jours ouvrables après la classification et l’analyse préliminaire est retenu pour cette étape pour toutes plaintes nécessitant des investigations supplémentaires pour sa résolution. Des procédures spécifiques seront élaborées pour la gestion éthique et confidentielle des plaintes liées à l’EAS/HS.</w:t>
      </w:r>
    </w:p>
    <w:p w14:paraId="0FB0C8D3"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Etape 4 : Propositions de réponse </w:t>
      </w:r>
    </w:p>
    <w:p w14:paraId="0C14FE8D" w14:textId="77777777" w:rsidR="00875F07" w:rsidRPr="00F44B51" w:rsidRDefault="00875F07" w:rsidP="00F44B51">
      <w:pPr>
        <w:pStyle w:val="Paragraphedeliste"/>
        <w:shd w:val="clear" w:color="auto" w:fill="FFFFFF"/>
        <w:tabs>
          <w:tab w:val="left" w:pos="171"/>
        </w:tabs>
        <w:ind w:left="733"/>
        <w:contextualSpacing w:val="0"/>
        <w:rPr>
          <w:sz w:val="22"/>
        </w:rPr>
      </w:pPr>
    </w:p>
    <w:p w14:paraId="7CD0B554" w14:textId="6C0FFB39" w:rsidR="00875F07" w:rsidRPr="00F44B51" w:rsidRDefault="00200AFE" w:rsidP="00875F07">
      <w:pPr>
        <w:widowControl w:val="0"/>
        <w:autoSpaceDE w:val="0"/>
        <w:autoSpaceDN w:val="0"/>
        <w:adjustRightInd w:val="0"/>
        <w:rPr>
          <w:sz w:val="22"/>
        </w:rPr>
      </w:pPr>
      <w:r w:rsidRPr="00200AFE">
        <w:rPr>
          <w:sz w:val="22"/>
        </w:rPr>
        <w:t>Sur la base des résultats du processus de vérification, une réponse est adressée au/à la plaignant(e). Cette réponse met en évidence le lien avec le projet ou au contraire, le rejet de la plainte. Il est notifié à l’intéressé par écrit, qu’une suite favorable ne peut être donnée à sa requête que si les faits relatés dans la requête sont fondés et justifiés après les résultats des investigations. Lorsque la plainte est justifiée, l’organe de gestion des plaintes (selon le niveau), notifie au/à la plaignant(e) par écrit, les résultats clés de leurs investigations, les solutions retenues à la suite des investigations, les moyens de mise en œuvre des mesures correctrices, le planning de mise en œuvre et le budget. La proposition de réponse intervient dans un délai de deux (2) jours ouvrables après les investigations. Des procédures spécifiques seront élaborées pour la gestion éthique et confidentielle des plaintes liées à l’EAS/HS.</w:t>
      </w:r>
    </w:p>
    <w:p w14:paraId="6DC96235"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Etape 5 : Révision des réponses en cas de non résolution en première instance</w:t>
      </w:r>
    </w:p>
    <w:p w14:paraId="61C96D7C" w14:textId="77777777" w:rsidR="00875F07" w:rsidRPr="00F44B51" w:rsidRDefault="00875F07" w:rsidP="00F44B51">
      <w:pPr>
        <w:pStyle w:val="Paragraphedeliste"/>
        <w:shd w:val="clear" w:color="auto" w:fill="FFFFFF"/>
        <w:tabs>
          <w:tab w:val="left" w:pos="171"/>
        </w:tabs>
        <w:ind w:left="733"/>
        <w:contextualSpacing w:val="0"/>
        <w:rPr>
          <w:sz w:val="22"/>
        </w:rPr>
      </w:pPr>
    </w:p>
    <w:p w14:paraId="7050D857" w14:textId="35C18B27" w:rsidR="00875F07" w:rsidRPr="00F44B51" w:rsidRDefault="00C31889" w:rsidP="00875F07">
      <w:pPr>
        <w:widowControl w:val="0"/>
        <w:autoSpaceDE w:val="0"/>
        <w:autoSpaceDN w:val="0"/>
        <w:adjustRightInd w:val="0"/>
        <w:rPr>
          <w:sz w:val="22"/>
        </w:rPr>
      </w:pPr>
      <w:r w:rsidRPr="00C31889">
        <w:rPr>
          <w:sz w:val="22"/>
        </w:rPr>
        <w:t>Les mesures retenues par les organes du MGP peuvent ne pas obtenir l’adhésion du/de la plaignant(e). Dans ce cas, il lui est donné la possibilité de solliciter une révision de la résolution du comité de gestion des plaintes saisi. La durée de la période admise pour solliciter une révision des décisions est de dix (10) jours ouvrables au maximum à compter de la date de réception de la notification de résolution de la plainte par le plaignant. Dans ce cas, l’organe de gestion dispose de cinq (5) jours ouvrables pour reconsidérer sa décision et proposer des mesures supplémentaires si besoin ou faire un retour à la requête du/de la plaignant(e). Au cas où la révision n’offre pas de satisfaction au/à la plaignant(e), ce(tte) dernier/-ière est libre d’entamer une procédure judiciaire auprès des instances habilitées. Des procédures spécifiques seront élaborées pour la gestion éthique et confidentielle des plaintes liées à l’EAS/HS.</w:t>
      </w:r>
    </w:p>
    <w:p w14:paraId="688875AB"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Etape 6 : Mise en œuvre des mesures correctrices</w:t>
      </w:r>
    </w:p>
    <w:p w14:paraId="561708E5" w14:textId="77777777" w:rsidR="00875F07" w:rsidRPr="00F44B51" w:rsidRDefault="00875F07" w:rsidP="00F44B51">
      <w:pPr>
        <w:pStyle w:val="Paragraphedeliste"/>
        <w:shd w:val="clear" w:color="auto" w:fill="FFFFFF"/>
        <w:tabs>
          <w:tab w:val="left" w:pos="171"/>
        </w:tabs>
        <w:ind w:left="733"/>
        <w:contextualSpacing w:val="0"/>
        <w:rPr>
          <w:sz w:val="22"/>
        </w:rPr>
      </w:pPr>
    </w:p>
    <w:p w14:paraId="0FDA25B0" w14:textId="23D88220" w:rsidR="00875F07" w:rsidRPr="00F44B51" w:rsidRDefault="009F50CB" w:rsidP="00875F07">
      <w:pPr>
        <w:widowControl w:val="0"/>
        <w:autoSpaceDE w:val="0"/>
        <w:autoSpaceDN w:val="0"/>
        <w:adjustRightInd w:val="0"/>
        <w:rPr>
          <w:sz w:val="22"/>
        </w:rPr>
      </w:pPr>
      <w:r w:rsidRPr="009F50CB">
        <w:rPr>
          <w:sz w:val="22"/>
        </w:rPr>
        <w:t>La mise en œuvre des mesures préconisées par la résolution du comité de gestion des plaintes ne peut intervenir sans un accord préalable des deux parties. La procédure de mise en œuvre de (des) l’action/actions correctrice(s) sera entamée cinq (05) jours ouvrables après l’accusé de réception par le/la plaignant(e), de la lettre lui notifiant les solutions retenues et en retour à la suite à l’accord du/de la plaignant(e) consigné dans un Procès-Verbal (PV) de consentement. L’organe de gestion des plaintes mettra en place tous les moyens nécessaires à la mise en œuvre des résolutions consenties et jouera sa partition en vue du respect du planning retenu. Un PV signé par le Président du comité de gestion des plaintes saisi et le/la plaignant(e), sanctionnera la fin de la mise en œuvre des solutions. La résolution des plaintes liées à l’EAS/HS suivra les procédures spécifiques mises en place pour la gestion de ces types des cas.</w:t>
      </w:r>
    </w:p>
    <w:p w14:paraId="3EE4981F"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Etape 7 : Clôture ou extinction de la plainte</w:t>
      </w:r>
    </w:p>
    <w:p w14:paraId="62ACA62A" w14:textId="77777777" w:rsidR="00875F07" w:rsidRPr="00F44B51" w:rsidRDefault="00875F07" w:rsidP="00F44B51">
      <w:pPr>
        <w:pStyle w:val="Paragraphedeliste"/>
        <w:shd w:val="clear" w:color="auto" w:fill="FFFFFF"/>
        <w:tabs>
          <w:tab w:val="left" w:pos="171"/>
        </w:tabs>
        <w:ind w:left="733"/>
        <w:contextualSpacing w:val="0"/>
        <w:rPr>
          <w:sz w:val="22"/>
        </w:rPr>
      </w:pPr>
    </w:p>
    <w:p w14:paraId="16DB0700" w14:textId="2C4412CD" w:rsidR="00875F07" w:rsidRDefault="00105ADD" w:rsidP="00875F07">
      <w:pPr>
        <w:rPr>
          <w:sz w:val="22"/>
        </w:rPr>
      </w:pPr>
      <w:r w:rsidRPr="00105ADD">
        <w:rPr>
          <w:sz w:val="22"/>
        </w:rPr>
        <w:t>La procédure sera clôturée par les instances de l’organe de gestion des plaintes si la médiation est satisfaisante pour les différentes parties, en l’occurrence le/la plaignant(e), et l’entente prouvée par un PV signé des deux parties. La clôture du dossier intervient au bout de trois (03) jours ouvrables à compter de la date de mise en œuvre de la réponse attestée pour les instances locales ou intermédiaires et de cinq (5) jours ouvrables par l’instance nationale. L’extinction sera alors documentée par ces différentes instances selon le/les niveaux de traitement impliqués. Il sied de noter que les plaintes liées à l’EAS/HS ne feront jamais sujet d’une médiation.</w:t>
      </w:r>
    </w:p>
    <w:p w14:paraId="6BA85148" w14:textId="77777777" w:rsidR="00F44B51" w:rsidRDefault="00F44B51" w:rsidP="00875F07">
      <w:pPr>
        <w:rPr>
          <w:sz w:val="22"/>
        </w:rPr>
      </w:pPr>
    </w:p>
    <w:p w14:paraId="33431F88" w14:textId="77777777" w:rsidR="00F44B51" w:rsidRPr="00F44B51" w:rsidRDefault="00F44B51" w:rsidP="00875F07">
      <w:pPr>
        <w:rPr>
          <w:sz w:val="22"/>
        </w:rPr>
      </w:pPr>
    </w:p>
    <w:p w14:paraId="311D7F4C"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Etape 8 :</w:t>
      </w:r>
      <w:bookmarkStart w:id="814" w:name="_Toc4403526"/>
      <w:r w:rsidRPr="00F44B51">
        <w:rPr>
          <w:sz w:val="22"/>
        </w:rPr>
        <w:t xml:space="preserve"> Rapportage</w:t>
      </w:r>
      <w:bookmarkEnd w:id="814"/>
    </w:p>
    <w:p w14:paraId="53A946BF" w14:textId="77777777" w:rsidR="00875F07" w:rsidRPr="00F44B51" w:rsidRDefault="00875F07" w:rsidP="00F44B51">
      <w:pPr>
        <w:pStyle w:val="Paragraphedeliste"/>
        <w:shd w:val="clear" w:color="auto" w:fill="FFFFFF"/>
        <w:tabs>
          <w:tab w:val="left" w:pos="171"/>
        </w:tabs>
        <w:ind w:left="733"/>
        <w:contextualSpacing w:val="0"/>
        <w:rPr>
          <w:sz w:val="22"/>
        </w:rPr>
      </w:pPr>
    </w:p>
    <w:p w14:paraId="067B4DAC" w14:textId="50C6225B" w:rsidR="00875F07" w:rsidRPr="00F44B51" w:rsidRDefault="00177F99" w:rsidP="00F44B51">
      <w:pPr>
        <w:rPr>
          <w:sz w:val="22"/>
        </w:rPr>
      </w:pPr>
      <w:r w:rsidRPr="00177F99">
        <w:rPr>
          <w:sz w:val="22"/>
        </w:rPr>
        <w:t>Toutes les plaintes reçues dans le cadre du MGP du PNDA seront enregistrées dans un registre de traitement cinq (05) jours ouvrables à compter de la date de mise en œuvre de la résolution, pour les instances locales ou intermédiaires et sept (07) jours ouvrables pour l’instance nationale. Cette opération permettra de documenter tout le processus de gestion des plaintes et de tirer les leçons nécessaires à travers une base de données simple et adaptée conçue à cet effet. La base de données signalera également les problèmes soumis le plus fréquemment et les zones géographiques dont émanent le plus de plaintes, les résolutions appliquées, les suggestions ou meilleures pratiques, etc. Les plaintes liées à l’EAS/HS, y compris les données y relatives, seront gardées à part dans un registre indépendant et uniquement pour ce genre des plaintes et dans un lieu sécurisé et confidentiel avec un accès limité.</w:t>
      </w:r>
    </w:p>
    <w:p w14:paraId="435F804C"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bookmarkStart w:id="815" w:name="_Toc4403527"/>
      <w:r w:rsidRPr="00F44B51">
        <w:rPr>
          <w:sz w:val="22"/>
        </w:rPr>
        <w:t xml:space="preserve">Etape 9 : </w:t>
      </w:r>
      <w:bookmarkEnd w:id="815"/>
      <w:r w:rsidRPr="00F44B51">
        <w:rPr>
          <w:sz w:val="22"/>
        </w:rPr>
        <w:t xml:space="preserve">Archivage  </w:t>
      </w:r>
    </w:p>
    <w:p w14:paraId="41C9C205" w14:textId="77777777" w:rsidR="00875F07" w:rsidRPr="00F44B51" w:rsidRDefault="00875F07" w:rsidP="00F44B51">
      <w:pPr>
        <w:pStyle w:val="Paragraphedeliste"/>
        <w:shd w:val="clear" w:color="auto" w:fill="FFFFFF"/>
        <w:tabs>
          <w:tab w:val="left" w:pos="171"/>
        </w:tabs>
        <w:ind w:left="733"/>
        <w:contextualSpacing w:val="0"/>
        <w:rPr>
          <w:sz w:val="22"/>
        </w:rPr>
      </w:pPr>
    </w:p>
    <w:p w14:paraId="369D3799" w14:textId="49E3FF61" w:rsidR="00B80148" w:rsidRDefault="006E23F6" w:rsidP="00F44B51">
      <w:pPr>
        <w:rPr>
          <w:sz w:val="22"/>
        </w:rPr>
      </w:pPr>
      <w:r w:rsidRPr="006E23F6">
        <w:rPr>
          <w:sz w:val="22"/>
        </w:rPr>
        <w:t>Le Programme mettra en place un système d’archivage physique et électronique pour le classement des plaintes. L’archivage s’effectuera dans un délai de six (06) jours ouvrables à compter de la fin du rapportage. Toutes les pièces justificatives des réunions qui auront été nécessaires pour aboutir à la résolution seront consignées dans le dossier de la plainte. Le système d’archivage donnera accès aux informations sur : i) les plaintes reçues ii) les solutions trouvées et iii) les plaintes non résolues nécessitant d’autres interventions. Le système d’archivage des plaintes liées à l’EAS/HS sera élaboré de façon indépendante et confidentielle, et ces plaintes seront classées dans un lieu sécurisé avec un accès très limité.</w:t>
      </w:r>
    </w:p>
    <w:p w14:paraId="42699E24" w14:textId="77777777" w:rsidR="00B80148" w:rsidRPr="00F44B51" w:rsidRDefault="00B80148" w:rsidP="00F44B51">
      <w:pPr>
        <w:rPr>
          <w:sz w:val="22"/>
        </w:rPr>
      </w:pPr>
    </w:p>
    <w:p w14:paraId="77E8B0E0" w14:textId="405D8FA9" w:rsidR="00EC7A27" w:rsidRDefault="00EC7A27" w:rsidP="00EC7A27">
      <w:pPr>
        <w:rPr>
          <w:sz w:val="22"/>
        </w:rPr>
      </w:pPr>
      <w:r w:rsidRPr="00372F9C">
        <w:rPr>
          <w:sz w:val="22"/>
        </w:rPr>
        <w:t>Les actions seront mises en œuvre en vue d’assurer la fonctionnalité du MGP. Ces dernières sont récapitulées dans le tableau ci-après :</w:t>
      </w:r>
    </w:p>
    <w:p w14:paraId="605D13DE" w14:textId="77777777" w:rsidR="00EC7A27" w:rsidRPr="00372F9C" w:rsidRDefault="00EC7A27" w:rsidP="00EC7A27">
      <w:pPr>
        <w:rPr>
          <w:sz w:val="22"/>
        </w:rPr>
      </w:pPr>
    </w:p>
    <w:p w14:paraId="34D67EBB" w14:textId="7E86D6DF" w:rsidR="00EC7A27" w:rsidRPr="00372F9C" w:rsidDel="008C1907" w:rsidRDefault="00EC7A27" w:rsidP="00372F9C">
      <w:pPr>
        <w:rPr>
          <w:sz w:val="22"/>
        </w:rPr>
      </w:pPr>
      <w:bookmarkStart w:id="816" w:name="_Toc30533288"/>
      <w:bookmarkStart w:id="817" w:name="_Toc63632650"/>
      <w:r w:rsidRPr="00372F9C">
        <w:rPr>
          <w:sz w:val="22"/>
        </w:rPr>
        <w:t>Mise en œuvre du MGP</w:t>
      </w:r>
      <w:bookmarkEnd w:id="816"/>
      <w:bookmarkEnd w:id="817"/>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5"/>
        <w:gridCol w:w="1559"/>
        <w:gridCol w:w="2126"/>
        <w:gridCol w:w="2410"/>
        <w:gridCol w:w="1276"/>
      </w:tblGrid>
      <w:tr w:rsidR="00EC7A27" w:rsidRPr="00E50899" w14:paraId="6343ACCF" w14:textId="77777777" w:rsidTr="004302E0">
        <w:trPr>
          <w:tblHeader/>
        </w:trPr>
        <w:tc>
          <w:tcPr>
            <w:tcW w:w="2865" w:type="dxa"/>
            <w:shd w:val="clear" w:color="auto" w:fill="auto"/>
          </w:tcPr>
          <w:p w14:paraId="23C8A16E" w14:textId="77777777" w:rsidR="00EC7A27" w:rsidRPr="00E50899" w:rsidRDefault="00EC7A27" w:rsidP="004302E0">
            <w:pPr>
              <w:jc w:val="center"/>
              <w:rPr>
                <w:b/>
                <w:bCs/>
                <w:sz w:val="22"/>
              </w:rPr>
            </w:pPr>
            <w:r w:rsidRPr="00E50899">
              <w:rPr>
                <w:b/>
                <w:bCs/>
                <w:sz w:val="22"/>
              </w:rPr>
              <w:t>Actions</w:t>
            </w:r>
          </w:p>
        </w:tc>
        <w:tc>
          <w:tcPr>
            <w:tcW w:w="1559" w:type="dxa"/>
            <w:shd w:val="clear" w:color="auto" w:fill="auto"/>
          </w:tcPr>
          <w:p w14:paraId="62E5B61A" w14:textId="77777777" w:rsidR="00EC7A27" w:rsidRPr="00E50899" w:rsidRDefault="00EC7A27" w:rsidP="004302E0">
            <w:pPr>
              <w:jc w:val="center"/>
              <w:rPr>
                <w:b/>
                <w:bCs/>
                <w:sz w:val="22"/>
              </w:rPr>
            </w:pPr>
            <w:r w:rsidRPr="00E50899">
              <w:rPr>
                <w:b/>
                <w:bCs/>
                <w:sz w:val="22"/>
              </w:rPr>
              <w:t>Responsables</w:t>
            </w:r>
          </w:p>
        </w:tc>
        <w:tc>
          <w:tcPr>
            <w:tcW w:w="2126" w:type="dxa"/>
            <w:shd w:val="clear" w:color="auto" w:fill="auto"/>
          </w:tcPr>
          <w:p w14:paraId="2187E5AE" w14:textId="77777777" w:rsidR="00EC7A27" w:rsidRPr="00E50899" w:rsidRDefault="00EC7A27" w:rsidP="004302E0">
            <w:pPr>
              <w:jc w:val="center"/>
              <w:rPr>
                <w:b/>
                <w:bCs/>
                <w:sz w:val="22"/>
              </w:rPr>
            </w:pPr>
            <w:r w:rsidRPr="00E50899">
              <w:rPr>
                <w:b/>
                <w:bCs/>
                <w:sz w:val="22"/>
              </w:rPr>
              <w:t>Acteurs associés</w:t>
            </w:r>
          </w:p>
        </w:tc>
        <w:tc>
          <w:tcPr>
            <w:tcW w:w="2410" w:type="dxa"/>
            <w:shd w:val="clear" w:color="auto" w:fill="auto"/>
          </w:tcPr>
          <w:p w14:paraId="7582FCB4" w14:textId="77777777" w:rsidR="00EC7A27" w:rsidRPr="00E50899" w:rsidRDefault="00EC7A27" w:rsidP="004302E0">
            <w:pPr>
              <w:jc w:val="center"/>
              <w:rPr>
                <w:b/>
                <w:bCs/>
                <w:sz w:val="22"/>
              </w:rPr>
            </w:pPr>
            <w:r w:rsidRPr="00E50899">
              <w:rPr>
                <w:b/>
                <w:bCs/>
                <w:sz w:val="22"/>
              </w:rPr>
              <w:t>Echéance</w:t>
            </w:r>
          </w:p>
        </w:tc>
        <w:tc>
          <w:tcPr>
            <w:tcW w:w="1276" w:type="dxa"/>
            <w:shd w:val="clear" w:color="auto" w:fill="auto"/>
          </w:tcPr>
          <w:p w14:paraId="3D2583F2" w14:textId="77777777" w:rsidR="00EC7A27" w:rsidRPr="00E50899" w:rsidRDefault="00EC7A27" w:rsidP="004302E0">
            <w:pPr>
              <w:jc w:val="center"/>
              <w:rPr>
                <w:b/>
                <w:bCs/>
                <w:sz w:val="22"/>
              </w:rPr>
            </w:pPr>
            <w:r w:rsidRPr="00E50899">
              <w:rPr>
                <w:b/>
                <w:bCs/>
                <w:sz w:val="22"/>
              </w:rPr>
              <w:t xml:space="preserve">Budget prévisionnel en </w:t>
            </w:r>
            <w:r>
              <w:rPr>
                <w:b/>
                <w:bCs/>
                <w:sz w:val="22"/>
              </w:rPr>
              <w:t>US$</w:t>
            </w:r>
          </w:p>
        </w:tc>
      </w:tr>
      <w:tr w:rsidR="00EC7A27" w:rsidRPr="00E50899" w14:paraId="1BC4233C" w14:textId="77777777" w:rsidTr="004302E0">
        <w:tc>
          <w:tcPr>
            <w:tcW w:w="2865" w:type="dxa"/>
            <w:shd w:val="clear" w:color="auto" w:fill="auto"/>
          </w:tcPr>
          <w:p w14:paraId="36496F7F" w14:textId="77777777" w:rsidR="00EC7A27" w:rsidRPr="00E50899" w:rsidRDefault="00EC7A27" w:rsidP="004302E0">
            <w:pPr>
              <w:jc w:val="left"/>
              <w:rPr>
                <w:sz w:val="22"/>
              </w:rPr>
            </w:pPr>
            <w:r w:rsidRPr="00E50899">
              <w:rPr>
                <w:sz w:val="22"/>
              </w:rPr>
              <w:t>Elaboration (préparation et validation) du MGP du Pro</w:t>
            </w:r>
            <w:r>
              <w:rPr>
                <w:sz w:val="22"/>
              </w:rPr>
              <w:t>gramme, y compris des procédures spécifiques pour la gestion éthique et confidentielle des plaintes liées à l’EAS/HS</w:t>
            </w:r>
          </w:p>
        </w:tc>
        <w:tc>
          <w:tcPr>
            <w:tcW w:w="1559" w:type="dxa"/>
            <w:shd w:val="clear" w:color="auto" w:fill="auto"/>
          </w:tcPr>
          <w:p w14:paraId="3A471D00" w14:textId="77777777" w:rsidR="00EC7A27" w:rsidRPr="00E50899" w:rsidRDefault="00EC7A27" w:rsidP="004302E0">
            <w:pPr>
              <w:jc w:val="left"/>
              <w:rPr>
                <w:sz w:val="22"/>
              </w:rPr>
            </w:pPr>
            <w:r w:rsidRPr="00E50899">
              <w:rPr>
                <w:sz w:val="22"/>
              </w:rPr>
              <w:t xml:space="preserve">Spécialiste </w:t>
            </w:r>
            <w:r>
              <w:rPr>
                <w:sz w:val="22"/>
              </w:rPr>
              <w:t xml:space="preserve">en </w:t>
            </w:r>
            <w:r w:rsidRPr="00E50899">
              <w:rPr>
                <w:sz w:val="22"/>
              </w:rPr>
              <w:t>Sauvegarde Environnementale</w:t>
            </w:r>
            <w:r>
              <w:rPr>
                <w:sz w:val="22"/>
              </w:rPr>
              <w:t xml:space="preserve">, </w:t>
            </w:r>
            <w:r w:rsidRPr="00E50899">
              <w:rPr>
                <w:sz w:val="22"/>
              </w:rPr>
              <w:t xml:space="preserve">Spécialiste </w:t>
            </w:r>
            <w:r>
              <w:rPr>
                <w:sz w:val="22"/>
              </w:rPr>
              <w:t xml:space="preserve">en </w:t>
            </w:r>
            <w:r w:rsidRPr="00E50899">
              <w:rPr>
                <w:sz w:val="22"/>
              </w:rPr>
              <w:t>Sauvegarde</w:t>
            </w:r>
            <w:r>
              <w:rPr>
                <w:sz w:val="22"/>
              </w:rPr>
              <w:t xml:space="preserve"> </w:t>
            </w:r>
            <w:r w:rsidRPr="00E50899">
              <w:rPr>
                <w:sz w:val="22"/>
              </w:rPr>
              <w:t>Sociale</w:t>
            </w:r>
            <w:r>
              <w:rPr>
                <w:sz w:val="22"/>
              </w:rPr>
              <w:t xml:space="preserve"> et Spécialiste en VBG</w:t>
            </w:r>
            <w:r w:rsidRPr="00E50899">
              <w:rPr>
                <w:sz w:val="22"/>
              </w:rPr>
              <w:t xml:space="preserve"> Coordonnateur</w:t>
            </w:r>
          </w:p>
        </w:tc>
        <w:tc>
          <w:tcPr>
            <w:tcW w:w="2126" w:type="dxa"/>
            <w:shd w:val="clear" w:color="auto" w:fill="auto"/>
          </w:tcPr>
          <w:p w14:paraId="553055E0" w14:textId="77777777" w:rsidR="00EC7A27" w:rsidRPr="00E50899" w:rsidRDefault="00EC7A27" w:rsidP="004302E0">
            <w:pPr>
              <w:jc w:val="left"/>
              <w:rPr>
                <w:sz w:val="22"/>
              </w:rPr>
            </w:pPr>
            <w:r w:rsidRPr="00E50899">
              <w:rPr>
                <w:sz w:val="22"/>
              </w:rPr>
              <w:t>Coordonnateur de l’U</w:t>
            </w:r>
            <w:r>
              <w:rPr>
                <w:sz w:val="22"/>
              </w:rPr>
              <w:t>NC</w:t>
            </w:r>
            <w:r w:rsidRPr="00E50899">
              <w:rPr>
                <w:sz w:val="22"/>
              </w:rPr>
              <w:t>P ; Autres spécialistes du Pro</w:t>
            </w:r>
            <w:r>
              <w:rPr>
                <w:sz w:val="22"/>
              </w:rPr>
              <w:t>gramme</w:t>
            </w:r>
            <w:r w:rsidRPr="00E50899">
              <w:rPr>
                <w:sz w:val="22"/>
              </w:rPr>
              <w:t> ;</w:t>
            </w:r>
          </w:p>
          <w:p w14:paraId="3A5B5A27" w14:textId="77777777" w:rsidR="00EC7A27" w:rsidRPr="00E50899" w:rsidRDefault="00EC7A27" w:rsidP="004302E0">
            <w:pPr>
              <w:jc w:val="left"/>
              <w:rPr>
                <w:sz w:val="22"/>
              </w:rPr>
            </w:pPr>
            <w:r w:rsidRPr="00E50899">
              <w:rPr>
                <w:sz w:val="22"/>
              </w:rPr>
              <w:t>Services techniques ;</w:t>
            </w:r>
          </w:p>
          <w:p w14:paraId="5D9E5399" w14:textId="77777777" w:rsidR="00EC7A27" w:rsidRPr="00E50899" w:rsidRDefault="00EC7A27" w:rsidP="004302E0">
            <w:pPr>
              <w:jc w:val="left"/>
              <w:rPr>
                <w:sz w:val="22"/>
              </w:rPr>
            </w:pPr>
            <w:r w:rsidRPr="00E50899">
              <w:rPr>
                <w:sz w:val="22"/>
              </w:rPr>
              <w:t>Consultants</w:t>
            </w:r>
          </w:p>
        </w:tc>
        <w:tc>
          <w:tcPr>
            <w:tcW w:w="2410" w:type="dxa"/>
            <w:shd w:val="clear" w:color="auto" w:fill="auto"/>
          </w:tcPr>
          <w:p w14:paraId="1DF9EEB9" w14:textId="77777777" w:rsidR="00EC7A27" w:rsidRPr="00E50899" w:rsidRDefault="00EC7A27" w:rsidP="004302E0">
            <w:pPr>
              <w:jc w:val="left"/>
              <w:rPr>
                <w:sz w:val="22"/>
              </w:rPr>
            </w:pPr>
            <w:r w:rsidRPr="00E50899">
              <w:rPr>
                <w:sz w:val="22"/>
              </w:rPr>
              <w:t>Trois mois après recrutement de l’équipe du Pro</w:t>
            </w:r>
            <w:r>
              <w:rPr>
                <w:sz w:val="22"/>
              </w:rPr>
              <w:t>gramme</w:t>
            </w:r>
            <w:r w:rsidRPr="00E50899">
              <w:rPr>
                <w:sz w:val="22"/>
              </w:rPr>
              <w:t xml:space="preserve"> y compris le Sauvegarde Environnementale</w:t>
            </w:r>
            <w:r>
              <w:rPr>
                <w:sz w:val="22"/>
              </w:rPr>
              <w:t>,</w:t>
            </w:r>
            <w:r w:rsidRPr="00E50899">
              <w:rPr>
                <w:sz w:val="22"/>
              </w:rPr>
              <w:t xml:space="preserve"> Sociale</w:t>
            </w:r>
            <w:r>
              <w:rPr>
                <w:sz w:val="22"/>
              </w:rPr>
              <w:t xml:space="preserve"> et VBG (dès la mise en vigueur du projet)</w:t>
            </w:r>
          </w:p>
        </w:tc>
        <w:tc>
          <w:tcPr>
            <w:tcW w:w="1276" w:type="dxa"/>
            <w:shd w:val="clear" w:color="auto" w:fill="auto"/>
          </w:tcPr>
          <w:p w14:paraId="1847F664" w14:textId="77777777" w:rsidR="00EC7A27" w:rsidRPr="00E50899" w:rsidRDefault="00EC7A27" w:rsidP="004302E0">
            <w:pPr>
              <w:jc w:val="left"/>
              <w:rPr>
                <w:sz w:val="22"/>
              </w:rPr>
            </w:pPr>
            <w:r w:rsidRPr="00E50899">
              <w:rPr>
                <w:sz w:val="22"/>
              </w:rPr>
              <w:t>PM</w:t>
            </w:r>
          </w:p>
        </w:tc>
      </w:tr>
      <w:tr w:rsidR="00EC7A27" w:rsidRPr="00E50899" w14:paraId="02646D8B" w14:textId="77777777" w:rsidTr="004302E0">
        <w:tc>
          <w:tcPr>
            <w:tcW w:w="2865" w:type="dxa"/>
            <w:shd w:val="clear" w:color="auto" w:fill="auto"/>
          </w:tcPr>
          <w:p w14:paraId="4E888485" w14:textId="77777777" w:rsidR="00EC7A27" w:rsidRPr="00E50899" w:rsidRDefault="00EC7A27" w:rsidP="004302E0">
            <w:pPr>
              <w:jc w:val="left"/>
              <w:rPr>
                <w:sz w:val="22"/>
              </w:rPr>
            </w:pPr>
            <w:r w:rsidRPr="00E50899">
              <w:rPr>
                <w:sz w:val="22"/>
              </w:rPr>
              <w:t xml:space="preserve">Mise en place des organes départementaux et nationaux du </w:t>
            </w:r>
            <w:r>
              <w:rPr>
                <w:sz w:val="22"/>
              </w:rPr>
              <w:t>MGP</w:t>
            </w:r>
            <w:r w:rsidRPr="00E50899">
              <w:rPr>
                <w:sz w:val="22"/>
              </w:rPr>
              <w:t xml:space="preserve"> (en les adaptant mécanisme à ceux existant et fonctionnels en les renforçant au besoin)</w:t>
            </w:r>
            <w:r>
              <w:rPr>
                <w:sz w:val="22"/>
              </w:rPr>
              <w:t>, y compris pour la gestion des plaintes liées à l’EAS/HS</w:t>
            </w:r>
          </w:p>
        </w:tc>
        <w:tc>
          <w:tcPr>
            <w:tcW w:w="1559" w:type="dxa"/>
            <w:shd w:val="clear" w:color="auto" w:fill="auto"/>
          </w:tcPr>
          <w:p w14:paraId="6650C658" w14:textId="77777777" w:rsidR="00EC7A27" w:rsidRPr="00E50899" w:rsidRDefault="00EC7A27" w:rsidP="004302E0">
            <w:pPr>
              <w:jc w:val="left"/>
              <w:rPr>
                <w:sz w:val="22"/>
              </w:rPr>
            </w:pPr>
            <w:r w:rsidRPr="00E50899">
              <w:rPr>
                <w:sz w:val="22"/>
              </w:rPr>
              <w:t>Coordonnateur de l’U</w:t>
            </w:r>
            <w:r>
              <w:rPr>
                <w:sz w:val="22"/>
              </w:rPr>
              <w:t>NCP</w:t>
            </w:r>
          </w:p>
        </w:tc>
        <w:tc>
          <w:tcPr>
            <w:tcW w:w="2126" w:type="dxa"/>
            <w:shd w:val="clear" w:color="auto" w:fill="auto"/>
          </w:tcPr>
          <w:p w14:paraId="43D60A9D" w14:textId="77777777" w:rsidR="00EC7A27" w:rsidRPr="00E50899" w:rsidRDefault="00EC7A27" w:rsidP="004302E0">
            <w:pPr>
              <w:jc w:val="left"/>
              <w:rPr>
                <w:sz w:val="22"/>
              </w:rPr>
            </w:pPr>
            <w:r w:rsidRPr="00E50899">
              <w:rPr>
                <w:sz w:val="22"/>
              </w:rPr>
              <w:t>Spécialiste Sauvegarde Environnementale</w:t>
            </w:r>
            <w:r>
              <w:rPr>
                <w:sz w:val="22"/>
              </w:rPr>
              <w:t> ;</w:t>
            </w:r>
            <w:r w:rsidRPr="00E50899">
              <w:rPr>
                <w:sz w:val="22"/>
              </w:rPr>
              <w:t xml:space="preserve"> Sociale</w:t>
            </w:r>
            <w:r>
              <w:rPr>
                <w:sz w:val="22"/>
              </w:rPr>
              <w:t xml:space="preserve"> et VBG/AES/HS</w:t>
            </w:r>
          </w:p>
        </w:tc>
        <w:tc>
          <w:tcPr>
            <w:tcW w:w="2410" w:type="dxa"/>
            <w:shd w:val="clear" w:color="auto" w:fill="auto"/>
          </w:tcPr>
          <w:p w14:paraId="0562116A" w14:textId="77777777" w:rsidR="00EC7A27" w:rsidRPr="00E50899" w:rsidRDefault="00EC7A27" w:rsidP="004302E0">
            <w:pPr>
              <w:jc w:val="left"/>
              <w:rPr>
                <w:sz w:val="22"/>
              </w:rPr>
            </w:pPr>
            <w:r w:rsidRPr="00E50899">
              <w:rPr>
                <w:sz w:val="22"/>
              </w:rPr>
              <w:t>Un mois après la finalisation du document du MGP</w:t>
            </w:r>
          </w:p>
        </w:tc>
        <w:tc>
          <w:tcPr>
            <w:tcW w:w="1276" w:type="dxa"/>
            <w:shd w:val="clear" w:color="auto" w:fill="auto"/>
          </w:tcPr>
          <w:p w14:paraId="1E42C3F6" w14:textId="77777777" w:rsidR="00EC7A27" w:rsidRPr="00E50899" w:rsidRDefault="00EC7A27" w:rsidP="004302E0">
            <w:pPr>
              <w:jc w:val="left"/>
              <w:rPr>
                <w:sz w:val="22"/>
              </w:rPr>
            </w:pPr>
            <w:r w:rsidRPr="00E50899">
              <w:rPr>
                <w:sz w:val="22"/>
              </w:rPr>
              <w:t>Sans Incidence Financière</w:t>
            </w:r>
          </w:p>
        </w:tc>
      </w:tr>
      <w:tr w:rsidR="00EC7A27" w:rsidRPr="00E50899" w14:paraId="771CC82D" w14:textId="77777777" w:rsidTr="004302E0">
        <w:tc>
          <w:tcPr>
            <w:tcW w:w="2865" w:type="dxa"/>
            <w:shd w:val="clear" w:color="auto" w:fill="auto"/>
          </w:tcPr>
          <w:p w14:paraId="61CB114F" w14:textId="77777777" w:rsidR="00EC7A27" w:rsidRPr="00E50899" w:rsidRDefault="00EC7A27" w:rsidP="004302E0">
            <w:pPr>
              <w:rPr>
                <w:sz w:val="22"/>
              </w:rPr>
            </w:pPr>
            <w:r w:rsidRPr="00E50899">
              <w:rPr>
                <w:sz w:val="22"/>
              </w:rPr>
              <w:t xml:space="preserve">Formation des membres des organes sur le contenu </w:t>
            </w:r>
            <w:r>
              <w:rPr>
                <w:sz w:val="22"/>
              </w:rPr>
              <w:t xml:space="preserve">et le fonctionnement </w:t>
            </w:r>
            <w:r w:rsidRPr="00E50899">
              <w:rPr>
                <w:sz w:val="22"/>
              </w:rPr>
              <w:t>du MGP</w:t>
            </w:r>
            <w:r>
              <w:rPr>
                <w:sz w:val="22"/>
              </w:rPr>
              <w:t>, y compris le traitement éthique et confidentiel des plaintes liées à l’EAS/HS</w:t>
            </w:r>
          </w:p>
        </w:tc>
        <w:tc>
          <w:tcPr>
            <w:tcW w:w="1559" w:type="dxa"/>
            <w:shd w:val="clear" w:color="auto" w:fill="auto"/>
            <w:vAlign w:val="center"/>
          </w:tcPr>
          <w:p w14:paraId="4663FD29" w14:textId="77777777" w:rsidR="00EC7A27" w:rsidRPr="00E50899" w:rsidRDefault="00EC7A27" w:rsidP="004302E0">
            <w:pPr>
              <w:rPr>
                <w:sz w:val="22"/>
              </w:rPr>
            </w:pPr>
            <w:r w:rsidRPr="00E50899">
              <w:rPr>
                <w:sz w:val="22"/>
              </w:rPr>
              <w:t>Spécialiste Sauvegarde Environnementale</w:t>
            </w:r>
            <w:r>
              <w:rPr>
                <w:sz w:val="22"/>
              </w:rPr>
              <w:t xml:space="preserve">, Spécialiste </w:t>
            </w:r>
            <w:r w:rsidRPr="00E50899">
              <w:rPr>
                <w:sz w:val="22"/>
              </w:rPr>
              <w:t>Sociale</w:t>
            </w:r>
            <w:r>
              <w:rPr>
                <w:sz w:val="22"/>
              </w:rPr>
              <w:t xml:space="preserve"> et Spécialiste en VBG</w:t>
            </w:r>
          </w:p>
        </w:tc>
        <w:tc>
          <w:tcPr>
            <w:tcW w:w="2126" w:type="dxa"/>
            <w:shd w:val="clear" w:color="auto" w:fill="auto"/>
            <w:vAlign w:val="center"/>
          </w:tcPr>
          <w:p w14:paraId="04F3E93C" w14:textId="77777777" w:rsidR="00EC7A27" w:rsidRPr="00E50899" w:rsidRDefault="00EC7A27" w:rsidP="004302E0">
            <w:pPr>
              <w:rPr>
                <w:sz w:val="22"/>
              </w:rPr>
            </w:pPr>
            <w:r w:rsidRPr="00E50899">
              <w:rPr>
                <w:sz w:val="22"/>
              </w:rPr>
              <w:t>Autres spécialistes du Projet ;</w:t>
            </w:r>
          </w:p>
          <w:p w14:paraId="1C476662" w14:textId="77777777" w:rsidR="00EC7A27" w:rsidRPr="00E50899" w:rsidRDefault="00EC7A27" w:rsidP="004302E0">
            <w:pPr>
              <w:rPr>
                <w:sz w:val="22"/>
              </w:rPr>
            </w:pPr>
            <w:r w:rsidRPr="00E50899">
              <w:rPr>
                <w:sz w:val="22"/>
              </w:rPr>
              <w:t xml:space="preserve">Services techniques ; </w:t>
            </w:r>
          </w:p>
          <w:p w14:paraId="7A2F914B" w14:textId="77777777" w:rsidR="00EC7A27" w:rsidRPr="00E50899" w:rsidRDefault="00EC7A27" w:rsidP="004302E0">
            <w:pPr>
              <w:rPr>
                <w:sz w:val="22"/>
              </w:rPr>
            </w:pPr>
            <w:r w:rsidRPr="00E50899">
              <w:rPr>
                <w:sz w:val="22"/>
              </w:rPr>
              <w:t>Consultants</w:t>
            </w:r>
          </w:p>
        </w:tc>
        <w:tc>
          <w:tcPr>
            <w:tcW w:w="2410" w:type="dxa"/>
            <w:shd w:val="clear" w:color="auto" w:fill="auto"/>
            <w:vAlign w:val="center"/>
          </w:tcPr>
          <w:p w14:paraId="0DE5E655" w14:textId="77777777" w:rsidR="00EC7A27" w:rsidRPr="00E50899" w:rsidRDefault="00EC7A27" w:rsidP="004302E0">
            <w:pPr>
              <w:rPr>
                <w:sz w:val="22"/>
              </w:rPr>
            </w:pPr>
            <w:r w:rsidRPr="00E50899">
              <w:rPr>
                <w:sz w:val="22"/>
              </w:rPr>
              <w:t xml:space="preserve">Deux mois après la mise en place des organes </w:t>
            </w:r>
          </w:p>
        </w:tc>
        <w:tc>
          <w:tcPr>
            <w:tcW w:w="1276" w:type="dxa"/>
            <w:shd w:val="clear" w:color="auto" w:fill="auto"/>
            <w:vAlign w:val="center"/>
          </w:tcPr>
          <w:p w14:paraId="47C1F690" w14:textId="77777777" w:rsidR="00EC7A27" w:rsidRPr="00E50899" w:rsidRDefault="00EC7A27" w:rsidP="004302E0">
            <w:pPr>
              <w:rPr>
                <w:sz w:val="22"/>
              </w:rPr>
            </w:pPr>
            <w:r w:rsidRPr="00E50899">
              <w:rPr>
                <w:sz w:val="22"/>
              </w:rPr>
              <w:t>PM</w:t>
            </w:r>
          </w:p>
        </w:tc>
      </w:tr>
      <w:tr w:rsidR="00EC7A27" w:rsidRPr="00E50899" w14:paraId="45D31DB1" w14:textId="77777777" w:rsidTr="004302E0">
        <w:tc>
          <w:tcPr>
            <w:tcW w:w="2865" w:type="dxa"/>
            <w:shd w:val="clear" w:color="auto" w:fill="auto"/>
          </w:tcPr>
          <w:p w14:paraId="26386CB2" w14:textId="77777777" w:rsidR="00EC7A27" w:rsidRPr="00E50899" w:rsidRDefault="00EC7A27" w:rsidP="004302E0">
            <w:pPr>
              <w:rPr>
                <w:sz w:val="22"/>
              </w:rPr>
            </w:pPr>
            <w:r w:rsidRPr="00E50899">
              <w:rPr>
                <w:sz w:val="22"/>
              </w:rPr>
              <w:t>Informations/sensibilisation et communication sur les dispositions du mécanisme à l’endroit du personnel et des communautés</w:t>
            </w:r>
            <w:r>
              <w:rPr>
                <w:sz w:val="22"/>
              </w:rPr>
              <w:t>, y compris sur les procédures spécifiques au traitement des plaintes d’EAS/HS</w:t>
            </w:r>
          </w:p>
        </w:tc>
        <w:tc>
          <w:tcPr>
            <w:tcW w:w="1559" w:type="dxa"/>
            <w:shd w:val="clear" w:color="auto" w:fill="auto"/>
          </w:tcPr>
          <w:p w14:paraId="5DAEB65D" w14:textId="77777777" w:rsidR="00EC7A27" w:rsidRPr="00E50899" w:rsidRDefault="00EC7A27" w:rsidP="004302E0">
            <w:pPr>
              <w:rPr>
                <w:sz w:val="22"/>
              </w:rPr>
            </w:pPr>
            <w:r w:rsidRPr="00E50899">
              <w:rPr>
                <w:sz w:val="22"/>
              </w:rPr>
              <w:t>Spécialiste Sauvegarde Environnementale</w:t>
            </w:r>
            <w:r>
              <w:rPr>
                <w:sz w:val="22"/>
              </w:rPr>
              <w:t>,</w:t>
            </w:r>
            <w:r w:rsidRPr="00E50899">
              <w:rPr>
                <w:sz w:val="22"/>
              </w:rPr>
              <w:t xml:space="preserve"> Spécialiste </w:t>
            </w:r>
            <w:r>
              <w:rPr>
                <w:sz w:val="22"/>
              </w:rPr>
              <w:t xml:space="preserve">en </w:t>
            </w:r>
            <w:r w:rsidRPr="00E50899">
              <w:rPr>
                <w:sz w:val="22"/>
              </w:rPr>
              <w:t>Sauvegarde Sociale</w:t>
            </w:r>
            <w:r>
              <w:rPr>
                <w:sz w:val="22"/>
              </w:rPr>
              <w:t xml:space="preserve"> et Spécialiste en VBG</w:t>
            </w:r>
          </w:p>
        </w:tc>
        <w:tc>
          <w:tcPr>
            <w:tcW w:w="2126" w:type="dxa"/>
            <w:shd w:val="clear" w:color="auto" w:fill="auto"/>
            <w:vAlign w:val="center"/>
          </w:tcPr>
          <w:p w14:paraId="1296F57D" w14:textId="77777777" w:rsidR="00EC7A27" w:rsidRPr="00E50899" w:rsidRDefault="00EC7A27" w:rsidP="004302E0">
            <w:pPr>
              <w:rPr>
                <w:sz w:val="22"/>
              </w:rPr>
            </w:pPr>
            <w:r w:rsidRPr="00E50899">
              <w:rPr>
                <w:sz w:val="22"/>
              </w:rPr>
              <w:t>Autres spécialistes du Pro</w:t>
            </w:r>
            <w:r>
              <w:rPr>
                <w:sz w:val="22"/>
              </w:rPr>
              <w:t>gramme</w:t>
            </w:r>
            <w:r w:rsidRPr="00E50899">
              <w:rPr>
                <w:sz w:val="22"/>
              </w:rPr>
              <w:t xml:space="preserve"> ;</w:t>
            </w:r>
          </w:p>
          <w:p w14:paraId="44547EDF" w14:textId="77777777" w:rsidR="00EC7A27" w:rsidRPr="00E50899" w:rsidRDefault="00EC7A27" w:rsidP="004302E0">
            <w:pPr>
              <w:rPr>
                <w:sz w:val="22"/>
              </w:rPr>
            </w:pPr>
            <w:r w:rsidRPr="00E50899">
              <w:rPr>
                <w:sz w:val="22"/>
              </w:rPr>
              <w:t xml:space="preserve">Services techniques ; </w:t>
            </w:r>
          </w:p>
          <w:p w14:paraId="78940F45" w14:textId="77777777" w:rsidR="00EC7A27" w:rsidRPr="00E50899" w:rsidRDefault="00EC7A27" w:rsidP="004302E0">
            <w:pPr>
              <w:rPr>
                <w:sz w:val="22"/>
              </w:rPr>
            </w:pPr>
            <w:r w:rsidRPr="00E50899">
              <w:rPr>
                <w:sz w:val="22"/>
              </w:rPr>
              <w:t>Consultants</w:t>
            </w:r>
          </w:p>
        </w:tc>
        <w:tc>
          <w:tcPr>
            <w:tcW w:w="2410" w:type="dxa"/>
            <w:shd w:val="clear" w:color="auto" w:fill="auto"/>
            <w:vAlign w:val="center"/>
          </w:tcPr>
          <w:p w14:paraId="631AB73C" w14:textId="77777777" w:rsidR="00EC7A27" w:rsidRPr="00E50899" w:rsidRDefault="00EC7A27" w:rsidP="004302E0">
            <w:pPr>
              <w:rPr>
                <w:sz w:val="22"/>
              </w:rPr>
            </w:pPr>
            <w:r w:rsidRPr="00E50899">
              <w:rPr>
                <w:sz w:val="22"/>
              </w:rPr>
              <w:t>Permanent</w:t>
            </w:r>
          </w:p>
        </w:tc>
        <w:tc>
          <w:tcPr>
            <w:tcW w:w="1276" w:type="dxa"/>
            <w:shd w:val="clear" w:color="auto" w:fill="auto"/>
            <w:vAlign w:val="center"/>
          </w:tcPr>
          <w:p w14:paraId="12F46BAA" w14:textId="77777777" w:rsidR="00EC7A27" w:rsidRPr="00E50899" w:rsidRDefault="00EC7A27" w:rsidP="004302E0">
            <w:pPr>
              <w:rPr>
                <w:sz w:val="22"/>
              </w:rPr>
            </w:pPr>
            <w:r w:rsidRPr="00E50899">
              <w:rPr>
                <w:sz w:val="22"/>
              </w:rPr>
              <w:t>PM</w:t>
            </w:r>
          </w:p>
        </w:tc>
      </w:tr>
      <w:tr w:rsidR="00EC7A27" w:rsidRPr="00E50899" w14:paraId="286EDE18" w14:textId="77777777" w:rsidTr="004302E0">
        <w:tc>
          <w:tcPr>
            <w:tcW w:w="2865" w:type="dxa"/>
            <w:shd w:val="clear" w:color="auto" w:fill="auto"/>
          </w:tcPr>
          <w:p w14:paraId="4F26ED56" w14:textId="77777777" w:rsidR="00EC7A27" w:rsidRPr="00E50899" w:rsidRDefault="00EC7A27" w:rsidP="004302E0">
            <w:pPr>
              <w:rPr>
                <w:sz w:val="22"/>
              </w:rPr>
            </w:pPr>
            <w:r w:rsidRPr="00E50899">
              <w:rPr>
                <w:sz w:val="22"/>
              </w:rPr>
              <w:t>Acquisition et mise en place du matériel et fourniture nécessaires au fonctionnement du MGP</w:t>
            </w:r>
            <w:r>
              <w:rPr>
                <w:sz w:val="22"/>
              </w:rPr>
              <w:t>, y compris pour le traitement éthique et confidentiel des plaintes liées à l’EAS/HS</w:t>
            </w:r>
          </w:p>
        </w:tc>
        <w:tc>
          <w:tcPr>
            <w:tcW w:w="1559" w:type="dxa"/>
            <w:shd w:val="clear" w:color="auto" w:fill="auto"/>
            <w:vAlign w:val="center"/>
          </w:tcPr>
          <w:p w14:paraId="236BD483" w14:textId="77777777" w:rsidR="00EC7A27" w:rsidRPr="00E50899" w:rsidRDefault="00EC7A27" w:rsidP="004302E0">
            <w:pPr>
              <w:rPr>
                <w:sz w:val="22"/>
              </w:rPr>
            </w:pPr>
            <w:r w:rsidRPr="00E50899">
              <w:rPr>
                <w:sz w:val="22"/>
              </w:rPr>
              <w:t>Coordonnateur de l’U</w:t>
            </w:r>
            <w:r>
              <w:rPr>
                <w:sz w:val="22"/>
              </w:rPr>
              <w:t>NCP</w:t>
            </w:r>
          </w:p>
        </w:tc>
        <w:tc>
          <w:tcPr>
            <w:tcW w:w="2126" w:type="dxa"/>
            <w:shd w:val="clear" w:color="auto" w:fill="auto"/>
          </w:tcPr>
          <w:p w14:paraId="7AC45803" w14:textId="77777777" w:rsidR="00EC7A27" w:rsidRPr="00E50899" w:rsidRDefault="00EC7A27" w:rsidP="004302E0">
            <w:pPr>
              <w:rPr>
                <w:sz w:val="22"/>
              </w:rPr>
            </w:pPr>
            <w:r w:rsidRPr="00E50899">
              <w:rPr>
                <w:sz w:val="22"/>
              </w:rPr>
              <w:t>Spécialiste Sauvegarde Environnementale et Sociale Responsable Service Financier</w:t>
            </w:r>
          </w:p>
        </w:tc>
        <w:tc>
          <w:tcPr>
            <w:tcW w:w="2410" w:type="dxa"/>
            <w:shd w:val="clear" w:color="auto" w:fill="auto"/>
            <w:vAlign w:val="center"/>
          </w:tcPr>
          <w:p w14:paraId="597174A8" w14:textId="77777777" w:rsidR="00EC7A27" w:rsidRPr="00E50899" w:rsidRDefault="00EC7A27" w:rsidP="004302E0">
            <w:pPr>
              <w:rPr>
                <w:sz w:val="22"/>
              </w:rPr>
            </w:pPr>
            <w:r w:rsidRPr="00E50899">
              <w:rPr>
                <w:sz w:val="22"/>
              </w:rPr>
              <w:t xml:space="preserve">Dès mise en place des organes </w:t>
            </w:r>
          </w:p>
        </w:tc>
        <w:tc>
          <w:tcPr>
            <w:tcW w:w="1276" w:type="dxa"/>
            <w:shd w:val="clear" w:color="auto" w:fill="auto"/>
            <w:vAlign w:val="center"/>
          </w:tcPr>
          <w:p w14:paraId="70953DC0" w14:textId="77777777" w:rsidR="00EC7A27" w:rsidRPr="00E50899" w:rsidRDefault="00EC7A27" w:rsidP="004302E0">
            <w:pPr>
              <w:rPr>
                <w:sz w:val="22"/>
              </w:rPr>
            </w:pPr>
            <w:r w:rsidRPr="00E50899">
              <w:rPr>
                <w:sz w:val="22"/>
              </w:rPr>
              <w:t>PM</w:t>
            </w:r>
          </w:p>
        </w:tc>
      </w:tr>
      <w:tr w:rsidR="00EC7A27" w:rsidRPr="00E50899" w14:paraId="39224122" w14:textId="77777777" w:rsidTr="004302E0">
        <w:tc>
          <w:tcPr>
            <w:tcW w:w="2865" w:type="dxa"/>
            <w:shd w:val="clear" w:color="auto" w:fill="auto"/>
            <w:vAlign w:val="center"/>
          </w:tcPr>
          <w:p w14:paraId="404B1590" w14:textId="77777777" w:rsidR="00EC7A27" w:rsidRPr="00E50899" w:rsidRDefault="00EC7A27" w:rsidP="004302E0">
            <w:pPr>
              <w:rPr>
                <w:sz w:val="22"/>
              </w:rPr>
            </w:pPr>
            <w:r w:rsidRPr="00E50899">
              <w:rPr>
                <w:sz w:val="22"/>
              </w:rPr>
              <w:t>Elaboration des outils de travail nécessaires</w:t>
            </w:r>
          </w:p>
        </w:tc>
        <w:tc>
          <w:tcPr>
            <w:tcW w:w="1559" w:type="dxa"/>
            <w:shd w:val="clear" w:color="auto" w:fill="auto"/>
            <w:vAlign w:val="center"/>
          </w:tcPr>
          <w:p w14:paraId="1B86FCCC" w14:textId="77777777" w:rsidR="00EC7A27" w:rsidRPr="00E50899" w:rsidRDefault="00EC7A27" w:rsidP="004302E0">
            <w:pPr>
              <w:rPr>
                <w:sz w:val="22"/>
              </w:rPr>
            </w:pPr>
            <w:r w:rsidRPr="00E50899">
              <w:rPr>
                <w:sz w:val="22"/>
              </w:rPr>
              <w:t>Spécialiste Sauvegarde Environnementale</w:t>
            </w:r>
            <w:r>
              <w:rPr>
                <w:sz w:val="22"/>
              </w:rPr>
              <w:t>,</w:t>
            </w:r>
            <w:r w:rsidRPr="00E50899">
              <w:rPr>
                <w:sz w:val="22"/>
              </w:rPr>
              <w:t xml:space="preserve"> Spécialiste </w:t>
            </w:r>
            <w:r>
              <w:rPr>
                <w:sz w:val="22"/>
              </w:rPr>
              <w:t xml:space="preserve">en </w:t>
            </w:r>
            <w:r w:rsidRPr="00E50899">
              <w:rPr>
                <w:sz w:val="22"/>
              </w:rPr>
              <w:t>Sauvegarde Sociale</w:t>
            </w:r>
            <w:r>
              <w:rPr>
                <w:sz w:val="22"/>
              </w:rPr>
              <w:t xml:space="preserve"> et Spécialiste en VBG</w:t>
            </w:r>
          </w:p>
        </w:tc>
        <w:tc>
          <w:tcPr>
            <w:tcW w:w="2126" w:type="dxa"/>
            <w:shd w:val="clear" w:color="auto" w:fill="auto"/>
            <w:vAlign w:val="center"/>
          </w:tcPr>
          <w:p w14:paraId="249CDC87" w14:textId="77777777" w:rsidR="00EC7A27" w:rsidRPr="00E50899" w:rsidRDefault="00EC7A27" w:rsidP="004302E0">
            <w:pPr>
              <w:rPr>
                <w:sz w:val="22"/>
              </w:rPr>
            </w:pPr>
            <w:r w:rsidRPr="00E50899">
              <w:rPr>
                <w:sz w:val="22"/>
              </w:rPr>
              <w:t>Consultants</w:t>
            </w:r>
          </w:p>
        </w:tc>
        <w:tc>
          <w:tcPr>
            <w:tcW w:w="2410" w:type="dxa"/>
            <w:shd w:val="clear" w:color="auto" w:fill="auto"/>
            <w:vAlign w:val="center"/>
          </w:tcPr>
          <w:p w14:paraId="30C4E649" w14:textId="77777777" w:rsidR="00EC7A27" w:rsidRPr="00E50899" w:rsidRDefault="00EC7A27" w:rsidP="004302E0">
            <w:pPr>
              <w:rPr>
                <w:sz w:val="22"/>
              </w:rPr>
            </w:pPr>
            <w:r w:rsidRPr="00E50899">
              <w:rPr>
                <w:sz w:val="22"/>
              </w:rPr>
              <w:t xml:space="preserve">Dès mise en place des organes </w:t>
            </w:r>
          </w:p>
        </w:tc>
        <w:tc>
          <w:tcPr>
            <w:tcW w:w="1276" w:type="dxa"/>
            <w:shd w:val="clear" w:color="auto" w:fill="auto"/>
            <w:vAlign w:val="center"/>
          </w:tcPr>
          <w:p w14:paraId="0CC33DB0" w14:textId="77777777" w:rsidR="00EC7A27" w:rsidRPr="00E50899" w:rsidRDefault="00EC7A27" w:rsidP="004302E0">
            <w:pPr>
              <w:rPr>
                <w:sz w:val="22"/>
              </w:rPr>
            </w:pPr>
            <w:r w:rsidRPr="00E50899">
              <w:rPr>
                <w:sz w:val="22"/>
              </w:rPr>
              <w:t>PM</w:t>
            </w:r>
          </w:p>
        </w:tc>
      </w:tr>
    </w:tbl>
    <w:p w14:paraId="72299808" w14:textId="77777777" w:rsidR="00EC7A27" w:rsidRDefault="00EC7A27" w:rsidP="00EC7A27">
      <w:pPr>
        <w:rPr>
          <w:lang w:eastAsia="en-US"/>
        </w:rPr>
      </w:pPr>
    </w:p>
    <w:p w14:paraId="40BA4D36" w14:textId="77777777" w:rsidR="00EC7A27" w:rsidRDefault="00EC7A27" w:rsidP="00EC7A27">
      <w:pPr>
        <w:rPr>
          <w:lang w:eastAsia="en-US"/>
        </w:rPr>
      </w:pPr>
    </w:p>
    <w:p w14:paraId="4CAC6E7F" w14:textId="77777777" w:rsidR="00875F07" w:rsidRPr="00F44B51" w:rsidRDefault="00875F07" w:rsidP="00F44B51">
      <w:pPr>
        <w:autoSpaceDE w:val="0"/>
        <w:autoSpaceDN w:val="0"/>
        <w:adjustRightInd w:val="0"/>
        <w:spacing w:line="360" w:lineRule="auto"/>
        <w:rPr>
          <w:sz w:val="22"/>
        </w:rPr>
      </w:pPr>
    </w:p>
    <w:p w14:paraId="0E17E35E" w14:textId="77777777" w:rsidR="00875F07" w:rsidRPr="00F44B51" w:rsidRDefault="00875F07" w:rsidP="00F44B51">
      <w:pPr>
        <w:pStyle w:val="Titre2"/>
        <w:numPr>
          <w:ilvl w:val="2"/>
          <w:numId w:val="4"/>
        </w:numPr>
        <w:ind w:left="1560" w:hanging="709"/>
        <w:rPr>
          <w:rFonts w:cs="Arial"/>
          <w:i/>
          <w:sz w:val="22"/>
          <w:szCs w:val="22"/>
        </w:rPr>
      </w:pPr>
      <w:bookmarkStart w:id="818" w:name="_Toc70330512"/>
      <w:r w:rsidRPr="00F44B51">
        <w:rPr>
          <w:rFonts w:cs="Arial"/>
          <w:i/>
          <w:sz w:val="22"/>
          <w:szCs w:val="22"/>
        </w:rPr>
        <w:t>Plaintes relatives aux VBG/EAS/HS</w:t>
      </w:r>
      <w:bookmarkEnd w:id="818"/>
    </w:p>
    <w:p w14:paraId="457A4FD6" w14:textId="77777777" w:rsidR="00875F07" w:rsidRPr="00F44B51" w:rsidRDefault="00875F07" w:rsidP="00F44B51">
      <w:pPr>
        <w:rPr>
          <w:sz w:val="22"/>
        </w:rPr>
      </w:pPr>
    </w:p>
    <w:p w14:paraId="0055918C" w14:textId="77777777" w:rsidR="00875F07" w:rsidRDefault="00875F07" w:rsidP="00F44B51">
      <w:pPr>
        <w:rPr>
          <w:sz w:val="22"/>
        </w:rPr>
      </w:pPr>
      <w:r w:rsidRPr="00F44B51">
        <w:rPr>
          <w:sz w:val="22"/>
        </w:rPr>
        <w:t>Pour les plaintes dites hypersensibles liées aux abus et exploitations sexuels, aux violences sexuelles, au harcèlement sexuel en milieu professionnel, à la fraude, à la corruption, vol, au cas d’accidents graves, etc., la procédure spécifique comprend les (8) étapes suivantes :</w:t>
      </w:r>
    </w:p>
    <w:p w14:paraId="6DBD624D" w14:textId="77777777" w:rsidR="00F44B51" w:rsidRPr="00F44B51" w:rsidRDefault="00F44B51" w:rsidP="00F44B51">
      <w:pPr>
        <w:rPr>
          <w:sz w:val="22"/>
        </w:rPr>
      </w:pPr>
    </w:p>
    <w:p w14:paraId="157117E4"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Etape 1 : réception et enregistrement des plaintes</w:t>
      </w:r>
    </w:p>
    <w:p w14:paraId="2EAE47B1" w14:textId="77777777" w:rsidR="00875F07" w:rsidRPr="00F44B51" w:rsidRDefault="00875F07" w:rsidP="00F44B51">
      <w:pPr>
        <w:pStyle w:val="Paragraphedeliste"/>
        <w:shd w:val="clear" w:color="auto" w:fill="FFFFFF"/>
        <w:tabs>
          <w:tab w:val="left" w:pos="171"/>
        </w:tabs>
        <w:ind w:left="733"/>
        <w:contextualSpacing w:val="0"/>
        <w:rPr>
          <w:sz w:val="22"/>
        </w:rPr>
      </w:pPr>
    </w:p>
    <w:p w14:paraId="6F011E2D" w14:textId="77777777" w:rsidR="00875F07" w:rsidRPr="00F44B51" w:rsidRDefault="00875F07" w:rsidP="00F44B51">
      <w:pPr>
        <w:rPr>
          <w:sz w:val="22"/>
        </w:rPr>
      </w:pPr>
      <w:r w:rsidRPr="00F44B51">
        <w:rPr>
          <w:sz w:val="22"/>
        </w:rPr>
        <w:t xml:space="preserve">N’auront accès aux plaintes hypersensibles dans l’instant  qui suit la réception des plaintes que la Banque Mondiale à travers le système de gestion informatisée des plaintes qui sera mis en place au niveau de la coordination nationale, des coordinations provinciales dur programme, au niveau des territoires et villages ainsi que des prestataires des services de prise en charge des survivants. </w:t>
      </w:r>
    </w:p>
    <w:p w14:paraId="18EF8C20" w14:textId="77777777" w:rsidR="00875F07" w:rsidRPr="00F44B51" w:rsidRDefault="00875F07" w:rsidP="00F44B51">
      <w:pPr>
        <w:rPr>
          <w:sz w:val="22"/>
        </w:rPr>
      </w:pPr>
    </w:p>
    <w:p w14:paraId="38DF7121"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 xml:space="preserve">Etape 2 : l’investigation sur la vérification du bien-fondé de la plainte  </w:t>
      </w:r>
    </w:p>
    <w:p w14:paraId="6F03E018" w14:textId="77777777" w:rsidR="00875F07" w:rsidRPr="00F44B51" w:rsidRDefault="00875F07" w:rsidP="00F44B51">
      <w:pPr>
        <w:pStyle w:val="Paragraphedeliste"/>
        <w:shd w:val="clear" w:color="auto" w:fill="FFFFFF"/>
        <w:tabs>
          <w:tab w:val="left" w:pos="171"/>
        </w:tabs>
        <w:ind w:left="733"/>
        <w:contextualSpacing w:val="0"/>
        <w:rPr>
          <w:sz w:val="22"/>
        </w:rPr>
      </w:pPr>
    </w:p>
    <w:p w14:paraId="02B8E226" w14:textId="77777777" w:rsidR="00875F07" w:rsidRPr="00F44B51" w:rsidRDefault="00875F07" w:rsidP="00F44B51">
      <w:pPr>
        <w:rPr>
          <w:sz w:val="22"/>
        </w:rPr>
      </w:pPr>
      <w:r w:rsidRPr="00F44B51">
        <w:rPr>
          <w:sz w:val="22"/>
        </w:rPr>
        <w:t>Les comités d’éthique sont les seules habilités à traiter dans la confidentialité toutes les plaintes hypersensibles. Le délai de réponse après réception d’une plainte, y compris le processus de vérification et le retour d’information, sera huit (8) semaines au maximum, afin d’y apporter des solutions appropriées, et le comité éthique de l’UNCP, après avoir reçu les informations de base concernant un incident de VBG, doit saisir immédiatement (dans les mêmes 24 heures après réception) les points focaux du projet au niveau de la Banque mondiale, toujours avec le consentement éclairé du/de la survivant(e). Seulement les informations non liées à l’identité de la personne seront partagées avec la Banque mondiale comme le type de cas, la zone et la date de l’incident, le lien de l’auteur présumé au projet (si connu), et l’âge et le sexe du/de la survivant(e).</w:t>
      </w:r>
    </w:p>
    <w:p w14:paraId="09C86ECD" w14:textId="77777777" w:rsidR="00875F07" w:rsidRDefault="00875F07" w:rsidP="00F44B51">
      <w:pPr>
        <w:shd w:val="clear" w:color="auto" w:fill="FFFFFF"/>
        <w:tabs>
          <w:tab w:val="left" w:pos="171"/>
        </w:tabs>
        <w:rPr>
          <w:sz w:val="22"/>
        </w:rPr>
      </w:pPr>
    </w:p>
    <w:p w14:paraId="694F5B48" w14:textId="77777777" w:rsidR="00F44B51" w:rsidRPr="00F44B51" w:rsidRDefault="00F44B51" w:rsidP="00F44B51">
      <w:pPr>
        <w:shd w:val="clear" w:color="auto" w:fill="FFFFFF"/>
        <w:tabs>
          <w:tab w:val="left" w:pos="171"/>
        </w:tabs>
        <w:rPr>
          <w:sz w:val="22"/>
        </w:rPr>
      </w:pPr>
    </w:p>
    <w:p w14:paraId="246DBB74"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Etape 3 : Propositions de réponse </w:t>
      </w:r>
    </w:p>
    <w:p w14:paraId="20BD27AF" w14:textId="77777777" w:rsidR="00875F07" w:rsidRPr="00F44B51" w:rsidRDefault="00875F07" w:rsidP="00F44B51">
      <w:pPr>
        <w:pStyle w:val="Paragraphedeliste"/>
        <w:shd w:val="clear" w:color="auto" w:fill="FFFFFF"/>
        <w:tabs>
          <w:tab w:val="left" w:pos="171"/>
        </w:tabs>
        <w:ind w:left="733"/>
        <w:contextualSpacing w:val="0"/>
        <w:rPr>
          <w:sz w:val="22"/>
        </w:rPr>
      </w:pPr>
    </w:p>
    <w:p w14:paraId="13A8368C" w14:textId="77777777" w:rsidR="00875F07" w:rsidRPr="00F44B51" w:rsidRDefault="00875F07" w:rsidP="00875F07">
      <w:pPr>
        <w:widowControl w:val="0"/>
        <w:autoSpaceDE w:val="0"/>
        <w:autoSpaceDN w:val="0"/>
        <w:adjustRightInd w:val="0"/>
        <w:rPr>
          <w:sz w:val="22"/>
        </w:rPr>
      </w:pPr>
      <w:r w:rsidRPr="00F44B51">
        <w:rPr>
          <w:sz w:val="22"/>
        </w:rPr>
        <w:t xml:space="preserve">Sur la base des résultats des investigations, une réponse est adressée au plaignant (e). Lorsque la plainte est justifiée, le comité d’éthique notifie au plaignant (e) par écrit, les résultats clés de leurs investigations, les solutions retenues à la suite des investigations et les moyens de mise en œuvre des mesures correctrices. </w:t>
      </w:r>
    </w:p>
    <w:p w14:paraId="374167C2" w14:textId="77777777" w:rsidR="00875F07" w:rsidRPr="00F44B51" w:rsidRDefault="00875F07" w:rsidP="00875F07">
      <w:pPr>
        <w:widowControl w:val="0"/>
        <w:autoSpaceDE w:val="0"/>
        <w:autoSpaceDN w:val="0"/>
        <w:adjustRightInd w:val="0"/>
        <w:rPr>
          <w:sz w:val="22"/>
        </w:rPr>
      </w:pPr>
    </w:p>
    <w:p w14:paraId="63366194"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 xml:space="preserve">Etape 4 : Révision des réponses en cas de non résolution </w:t>
      </w:r>
    </w:p>
    <w:p w14:paraId="384A5E61" w14:textId="77777777" w:rsidR="00875F07" w:rsidRPr="00F44B51" w:rsidRDefault="00875F07" w:rsidP="00F44B51">
      <w:pPr>
        <w:pStyle w:val="Paragraphedeliste"/>
        <w:shd w:val="clear" w:color="auto" w:fill="FFFFFF"/>
        <w:tabs>
          <w:tab w:val="left" w:pos="171"/>
        </w:tabs>
        <w:ind w:left="733"/>
        <w:contextualSpacing w:val="0"/>
        <w:rPr>
          <w:sz w:val="22"/>
        </w:rPr>
      </w:pPr>
    </w:p>
    <w:p w14:paraId="1813937F" w14:textId="77777777" w:rsidR="00875F07" w:rsidRPr="00F44B51" w:rsidRDefault="00875F07" w:rsidP="00875F07">
      <w:pPr>
        <w:widowControl w:val="0"/>
        <w:autoSpaceDE w:val="0"/>
        <w:autoSpaceDN w:val="0"/>
        <w:adjustRightInd w:val="0"/>
        <w:rPr>
          <w:sz w:val="22"/>
        </w:rPr>
      </w:pPr>
      <w:r w:rsidRPr="00F44B51">
        <w:rPr>
          <w:sz w:val="22"/>
        </w:rPr>
        <w:t>Les mesures retenues par le comité d’éthique peuvent ne pas obtenir l’adhésion du plaignant. Dans ce cas, il lui est donné la possibilité de solliciter une révision de la résolution du comité d’éthique saisi. La durée de la période admise pour solliciter une révision des décisions est de dix (10) jours ouvrables au maximum à compter de la date de réception de la notification de résolution de la plainte par le plaignant. Dans ce cas, l’organe de gestion dispose de cinq (5) jours ouvrables pour reconsidérer sa décision et proposer des mesures supplémentaires si besoin ou faire un retour à la requête du plaignant. Au cas où la révision n’offre pas de satisfaction au plaignant, ce dernier est libre d’entamer une procédure judiciaire auprès des instances habilitées.</w:t>
      </w:r>
    </w:p>
    <w:p w14:paraId="420E23F6" w14:textId="77777777" w:rsidR="00875F07" w:rsidRPr="00F44B51" w:rsidRDefault="00875F07" w:rsidP="00875F07">
      <w:pPr>
        <w:widowControl w:val="0"/>
        <w:autoSpaceDE w:val="0"/>
        <w:autoSpaceDN w:val="0"/>
        <w:adjustRightInd w:val="0"/>
        <w:rPr>
          <w:sz w:val="22"/>
        </w:rPr>
      </w:pPr>
    </w:p>
    <w:p w14:paraId="33867061"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Etape 5 : Mise en œuvre des mesures correctrices</w:t>
      </w:r>
    </w:p>
    <w:p w14:paraId="4792152D" w14:textId="77777777" w:rsidR="00875F07" w:rsidRPr="00F44B51" w:rsidRDefault="00875F07" w:rsidP="00F44B51">
      <w:pPr>
        <w:pStyle w:val="Paragraphedeliste"/>
        <w:shd w:val="clear" w:color="auto" w:fill="FFFFFF"/>
        <w:tabs>
          <w:tab w:val="left" w:pos="171"/>
        </w:tabs>
        <w:ind w:left="733"/>
        <w:contextualSpacing w:val="0"/>
        <w:rPr>
          <w:sz w:val="22"/>
        </w:rPr>
      </w:pPr>
    </w:p>
    <w:p w14:paraId="4A433451" w14:textId="77777777" w:rsidR="00875F07" w:rsidRPr="00F44B51" w:rsidRDefault="00875F07" w:rsidP="00875F07">
      <w:pPr>
        <w:widowControl w:val="0"/>
        <w:autoSpaceDE w:val="0"/>
        <w:autoSpaceDN w:val="0"/>
        <w:adjustRightInd w:val="0"/>
        <w:rPr>
          <w:sz w:val="22"/>
        </w:rPr>
      </w:pPr>
      <w:r w:rsidRPr="00F44B51">
        <w:rPr>
          <w:sz w:val="22"/>
        </w:rPr>
        <w:t xml:space="preserve">La mise en œuvre des mesures préconisées par la résolution comité d’éthique ne peut intervenir sans un accord préalable des deux parties. La procédure de mise en œuvre de (des) l’action/actions correctrice(s) sera entamée cinq (05) jours ouvrables après l’accusé de réception par le, la survivant (e), de la lettre lui notifiant les solutions retenues et en retour à la suite à l’accord du plaignant consigné dans un Procès-Verbal (PV) de consentement. Le comité d’éthique mettra en place tous les moyens nécessaires à la mise en œuvre des résolutions consenties et jouera sa partition en vue du respect du planning retenu. Un PV signé par le Président du comité saisi et le plaignant, sanctionnera la fin de la mise en œuvre des solutions. </w:t>
      </w:r>
    </w:p>
    <w:p w14:paraId="0F3AE085" w14:textId="77777777" w:rsidR="00875F07" w:rsidRPr="00F44B51" w:rsidRDefault="00875F07" w:rsidP="00875F07">
      <w:pPr>
        <w:widowControl w:val="0"/>
        <w:autoSpaceDE w:val="0"/>
        <w:autoSpaceDN w:val="0"/>
        <w:adjustRightInd w:val="0"/>
        <w:rPr>
          <w:sz w:val="22"/>
        </w:rPr>
      </w:pPr>
    </w:p>
    <w:p w14:paraId="60C400AB"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Etape 6 : Clôture ou extinction de la plainte</w:t>
      </w:r>
    </w:p>
    <w:p w14:paraId="5A5A7C5B" w14:textId="77777777" w:rsidR="00875F07" w:rsidRPr="00F44B51" w:rsidRDefault="00875F07" w:rsidP="00F44B51">
      <w:pPr>
        <w:pStyle w:val="Paragraphedeliste"/>
        <w:shd w:val="clear" w:color="auto" w:fill="FFFFFF"/>
        <w:tabs>
          <w:tab w:val="left" w:pos="171"/>
        </w:tabs>
        <w:ind w:left="733"/>
        <w:contextualSpacing w:val="0"/>
        <w:rPr>
          <w:sz w:val="22"/>
        </w:rPr>
      </w:pPr>
    </w:p>
    <w:p w14:paraId="5C619FE6" w14:textId="77777777" w:rsidR="00875F07" w:rsidRPr="00F44B51" w:rsidRDefault="00875F07" w:rsidP="00875F07">
      <w:pPr>
        <w:rPr>
          <w:sz w:val="22"/>
        </w:rPr>
      </w:pPr>
      <w:r w:rsidRPr="00F44B51">
        <w:rPr>
          <w:sz w:val="22"/>
        </w:rPr>
        <w:t>La procédure sera clôturée par comité d’éthique si la médiation est satisfaisante le, la survivant (e), et l’entente prouvée par un PV signé des deux parties. La clôture du dossier intervient au bout de trois (03) jours ouvrables à compter de la date de mise en œuvre de la réponse attestée pour le comité d’éthique, L’extinction sera alors documentée par les comités d’éthique.</w:t>
      </w:r>
    </w:p>
    <w:p w14:paraId="28402986" w14:textId="77777777" w:rsidR="00875F07" w:rsidRPr="00F44B51" w:rsidRDefault="00875F07" w:rsidP="00875F07">
      <w:pPr>
        <w:rPr>
          <w:sz w:val="22"/>
        </w:rPr>
      </w:pPr>
    </w:p>
    <w:p w14:paraId="4085D3E5"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Etape 7 : Rapportage</w:t>
      </w:r>
    </w:p>
    <w:p w14:paraId="691EC657" w14:textId="77777777" w:rsidR="00875F07" w:rsidRPr="00F44B51" w:rsidRDefault="00875F07" w:rsidP="00F44B51">
      <w:pPr>
        <w:pStyle w:val="Paragraphedeliste"/>
        <w:shd w:val="clear" w:color="auto" w:fill="FFFFFF"/>
        <w:tabs>
          <w:tab w:val="left" w:pos="171"/>
        </w:tabs>
        <w:ind w:left="733"/>
        <w:contextualSpacing w:val="0"/>
        <w:rPr>
          <w:sz w:val="22"/>
        </w:rPr>
      </w:pPr>
    </w:p>
    <w:p w14:paraId="5CABE2C0" w14:textId="77777777" w:rsidR="00875F07" w:rsidRPr="00F44B51" w:rsidRDefault="00875F07" w:rsidP="00875F07">
      <w:pPr>
        <w:rPr>
          <w:sz w:val="22"/>
        </w:rPr>
      </w:pPr>
      <w:r w:rsidRPr="00F44B51">
        <w:rPr>
          <w:sz w:val="22"/>
        </w:rPr>
        <w:t>Toutes les plaintes reçues dans le cadre des plaintes VBG/ EAS seront enregistrées dans un fichier dont seuls les comités d’éthiques et la Banque mondiale auront accès. Cette opération permettra de documenter tout le processus de gestion des plaintes et de tirer les leçons nécessaires à travers une base de données simple et adaptée conçue à cet effet. La base de données signalera également les types de violences soumis le plus fréquemment et les zones géographiques dont émanent le plus de plaintes, les résolutions appliquées, les suggestions ou meilleures pratiques, etc.</w:t>
      </w:r>
    </w:p>
    <w:p w14:paraId="4926D636" w14:textId="77777777" w:rsidR="00875F07" w:rsidRPr="00F44B51" w:rsidRDefault="00875F07" w:rsidP="002378EA">
      <w:pPr>
        <w:pStyle w:val="Paragraphedeliste"/>
        <w:numPr>
          <w:ilvl w:val="0"/>
          <w:numId w:val="130"/>
        </w:numPr>
        <w:shd w:val="clear" w:color="auto" w:fill="FFFFFF"/>
        <w:tabs>
          <w:tab w:val="left" w:pos="171"/>
        </w:tabs>
        <w:contextualSpacing w:val="0"/>
        <w:rPr>
          <w:sz w:val="22"/>
        </w:rPr>
      </w:pPr>
      <w:r w:rsidRPr="00F44B51">
        <w:rPr>
          <w:sz w:val="22"/>
        </w:rPr>
        <w:t xml:space="preserve">Etape 8 : Archivage  </w:t>
      </w:r>
    </w:p>
    <w:p w14:paraId="71F4B61F" w14:textId="77777777" w:rsidR="00875F07" w:rsidRPr="00F44B51" w:rsidRDefault="00875F07" w:rsidP="00F44B51">
      <w:pPr>
        <w:pStyle w:val="Paragraphedeliste"/>
        <w:shd w:val="clear" w:color="auto" w:fill="FFFFFF"/>
        <w:tabs>
          <w:tab w:val="left" w:pos="171"/>
        </w:tabs>
        <w:ind w:left="733"/>
        <w:contextualSpacing w:val="0"/>
        <w:rPr>
          <w:sz w:val="22"/>
        </w:rPr>
      </w:pPr>
    </w:p>
    <w:p w14:paraId="53FBC1AA" w14:textId="77777777" w:rsidR="00875F07" w:rsidRDefault="00875F07" w:rsidP="00875F07">
      <w:pPr>
        <w:rPr>
          <w:sz w:val="22"/>
        </w:rPr>
      </w:pPr>
      <w:r w:rsidRPr="00F44B51">
        <w:rPr>
          <w:sz w:val="22"/>
        </w:rPr>
        <w:t>Le Programme</w:t>
      </w:r>
      <w:r w:rsidRPr="00F44B51" w:rsidDel="00720F65">
        <w:rPr>
          <w:sz w:val="22"/>
        </w:rPr>
        <w:t xml:space="preserve"> </w:t>
      </w:r>
      <w:r w:rsidRPr="00F44B51">
        <w:rPr>
          <w:sz w:val="22"/>
        </w:rPr>
        <w:t>mettra en place un système d’archivage physique et électronique pour le classement des plaintes. L’archivage s’effectuera dans un délai de six (06) jours ouvrables à compter de la fin du rapportage. Toutes les pièces justificatives des réunions qui auront été nécessaires pour aboutir à la résolution seront consignées dans le dossier de la plainte. Le système d’archivage donnera accès aux informations sur : i) les plaintes reçues ii) les solutions trouvées et iii) les plaintes non résolues nécessitant d’autres interventions.</w:t>
      </w:r>
    </w:p>
    <w:p w14:paraId="7C418114" w14:textId="77777777" w:rsidR="00F44B51" w:rsidRPr="00F44B51" w:rsidRDefault="00F44B51" w:rsidP="00875F07">
      <w:pPr>
        <w:rPr>
          <w:sz w:val="22"/>
        </w:rPr>
      </w:pPr>
    </w:p>
    <w:p w14:paraId="7801D2CD" w14:textId="77777777" w:rsidR="008F3458" w:rsidRPr="00F44B51" w:rsidRDefault="008F3458" w:rsidP="00123FBA">
      <w:pPr>
        <w:pStyle w:val="Titre2"/>
        <w:numPr>
          <w:ilvl w:val="2"/>
          <w:numId w:val="4"/>
        </w:numPr>
        <w:spacing w:line="240" w:lineRule="auto"/>
        <w:rPr>
          <w:i/>
          <w:iCs/>
          <w:sz w:val="22"/>
          <w:szCs w:val="22"/>
        </w:rPr>
      </w:pPr>
      <w:bookmarkStart w:id="819" w:name="_Toc63076274"/>
      <w:bookmarkStart w:id="820" w:name="_Toc70330513"/>
      <w:r w:rsidRPr="00F44B51">
        <w:rPr>
          <w:i/>
          <w:iCs/>
          <w:sz w:val="22"/>
          <w:szCs w:val="22"/>
        </w:rPr>
        <w:t>Suivi et enregistrement des plaintes</w:t>
      </w:r>
      <w:bookmarkEnd w:id="819"/>
      <w:bookmarkEnd w:id="820"/>
      <w:r w:rsidRPr="00F44B51">
        <w:rPr>
          <w:i/>
          <w:iCs/>
          <w:sz w:val="22"/>
          <w:szCs w:val="22"/>
        </w:rPr>
        <w:t xml:space="preserve"> </w:t>
      </w:r>
    </w:p>
    <w:p w14:paraId="7900EA18" w14:textId="77777777" w:rsidR="00DD73F5" w:rsidRPr="00F44B51" w:rsidRDefault="00DD73F5" w:rsidP="00123FBA">
      <w:pPr>
        <w:spacing w:line="240" w:lineRule="auto"/>
        <w:rPr>
          <w:sz w:val="22"/>
        </w:rPr>
      </w:pPr>
    </w:p>
    <w:p w14:paraId="3321A304" w14:textId="77777777" w:rsidR="008F3458" w:rsidRPr="00F44B51" w:rsidRDefault="008F3458" w:rsidP="00123FBA">
      <w:pPr>
        <w:spacing w:line="240" w:lineRule="auto"/>
        <w:rPr>
          <w:sz w:val="22"/>
        </w:rPr>
      </w:pPr>
      <w:r w:rsidRPr="00F44B51">
        <w:rPr>
          <w:sz w:val="22"/>
        </w:rPr>
        <w:t>Pour ce faire, le Programme, à travers le CGP, se servira de trois outils ci-après :</w:t>
      </w:r>
    </w:p>
    <w:p w14:paraId="2C779384" w14:textId="77777777" w:rsidR="008F3458" w:rsidRPr="00F44B51" w:rsidRDefault="008F3458" w:rsidP="002378EA">
      <w:pPr>
        <w:numPr>
          <w:ilvl w:val="0"/>
          <w:numId w:val="117"/>
        </w:numPr>
        <w:spacing w:line="240" w:lineRule="auto"/>
        <w:contextualSpacing/>
        <w:rPr>
          <w:sz w:val="22"/>
        </w:rPr>
      </w:pPr>
      <w:r w:rsidRPr="00F44B51">
        <w:rPr>
          <w:sz w:val="22"/>
        </w:rPr>
        <w:t xml:space="preserve">Fiche d'enregistrement des plaintes ; </w:t>
      </w:r>
    </w:p>
    <w:p w14:paraId="0262F83D" w14:textId="77777777" w:rsidR="008F3458" w:rsidRPr="00F44B51" w:rsidRDefault="008F3458" w:rsidP="002378EA">
      <w:pPr>
        <w:numPr>
          <w:ilvl w:val="0"/>
          <w:numId w:val="117"/>
        </w:numPr>
        <w:spacing w:line="240" w:lineRule="auto"/>
        <w:contextualSpacing/>
        <w:rPr>
          <w:sz w:val="22"/>
        </w:rPr>
      </w:pPr>
      <w:r w:rsidRPr="00F44B51">
        <w:rPr>
          <w:sz w:val="22"/>
        </w:rPr>
        <w:t xml:space="preserve">Registre des plaintes ; et </w:t>
      </w:r>
    </w:p>
    <w:p w14:paraId="29D9E200" w14:textId="77777777" w:rsidR="008F3458" w:rsidRPr="00F44B51" w:rsidRDefault="008F3458" w:rsidP="002378EA">
      <w:pPr>
        <w:numPr>
          <w:ilvl w:val="0"/>
          <w:numId w:val="117"/>
        </w:numPr>
        <w:spacing w:line="240" w:lineRule="auto"/>
        <w:contextualSpacing/>
        <w:rPr>
          <w:sz w:val="22"/>
        </w:rPr>
      </w:pPr>
      <w:r w:rsidRPr="00F44B51">
        <w:rPr>
          <w:sz w:val="22"/>
        </w:rPr>
        <w:t>Le système informatique de gestion des plaintes.</w:t>
      </w:r>
    </w:p>
    <w:p w14:paraId="26BFE96E" w14:textId="77777777" w:rsidR="00DD73F5" w:rsidRPr="00F44B51" w:rsidRDefault="00DD73F5" w:rsidP="00DD73F5">
      <w:pPr>
        <w:spacing w:line="240" w:lineRule="auto"/>
        <w:ind w:left="720"/>
        <w:contextualSpacing/>
        <w:rPr>
          <w:sz w:val="22"/>
        </w:rPr>
      </w:pPr>
    </w:p>
    <w:p w14:paraId="2B6AD9C2" w14:textId="77777777" w:rsidR="008F3458" w:rsidRPr="00F44B51" w:rsidRDefault="008F3458" w:rsidP="00123FBA">
      <w:pPr>
        <w:pStyle w:val="Titre2"/>
        <w:numPr>
          <w:ilvl w:val="2"/>
          <w:numId w:val="4"/>
        </w:numPr>
        <w:spacing w:line="240" w:lineRule="auto"/>
        <w:rPr>
          <w:i/>
          <w:iCs/>
          <w:sz w:val="22"/>
          <w:szCs w:val="22"/>
        </w:rPr>
      </w:pPr>
      <w:bookmarkStart w:id="821" w:name="_Toc63076275"/>
      <w:bookmarkStart w:id="822" w:name="_Toc70330514"/>
      <w:r w:rsidRPr="00F44B51">
        <w:rPr>
          <w:i/>
          <w:iCs/>
          <w:sz w:val="22"/>
          <w:szCs w:val="22"/>
        </w:rPr>
        <w:t>Rôles et responsabilités institutionnels dans le suivi du MGP</w:t>
      </w:r>
      <w:bookmarkEnd w:id="821"/>
      <w:bookmarkEnd w:id="822"/>
    </w:p>
    <w:p w14:paraId="3D30B52D" w14:textId="77777777" w:rsidR="00DD73F5" w:rsidRPr="00F44B51" w:rsidRDefault="00DD73F5" w:rsidP="00123FBA">
      <w:pPr>
        <w:spacing w:line="240" w:lineRule="auto"/>
        <w:rPr>
          <w:sz w:val="22"/>
        </w:rPr>
      </w:pPr>
    </w:p>
    <w:p w14:paraId="10A3670D" w14:textId="77777777" w:rsidR="008F3458" w:rsidRPr="00F44B51" w:rsidRDefault="008F3458" w:rsidP="00123FBA">
      <w:pPr>
        <w:spacing w:line="240" w:lineRule="auto"/>
        <w:rPr>
          <w:sz w:val="22"/>
        </w:rPr>
      </w:pPr>
      <w:r w:rsidRPr="00F44B51">
        <w:rPr>
          <w:sz w:val="22"/>
        </w:rPr>
        <w:t>La responsabilité du suivi est partagée entre les différents acteurs notamment : au niveau local ou des riverains, au niveau du projet, au niveau provincial, au niveau national et au niveau de la Banque mondiale.</w:t>
      </w:r>
    </w:p>
    <w:p w14:paraId="67B5202F" w14:textId="77777777" w:rsidR="00DD73F5" w:rsidRPr="00F44B51" w:rsidRDefault="00DD73F5" w:rsidP="00123FBA">
      <w:pPr>
        <w:spacing w:line="240" w:lineRule="auto"/>
        <w:rPr>
          <w:sz w:val="22"/>
        </w:rPr>
      </w:pPr>
    </w:p>
    <w:p w14:paraId="2AA08956" w14:textId="77777777" w:rsidR="008F3458" w:rsidRPr="00F44B51" w:rsidRDefault="008F3458" w:rsidP="00123FBA">
      <w:pPr>
        <w:pStyle w:val="Titre2"/>
        <w:numPr>
          <w:ilvl w:val="2"/>
          <w:numId w:val="4"/>
        </w:numPr>
        <w:spacing w:line="240" w:lineRule="auto"/>
        <w:rPr>
          <w:i/>
          <w:iCs/>
          <w:sz w:val="22"/>
          <w:szCs w:val="22"/>
        </w:rPr>
      </w:pPr>
      <w:bookmarkStart w:id="823" w:name="_Toc63076276"/>
      <w:bookmarkStart w:id="824" w:name="_Toc70330515"/>
      <w:r w:rsidRPr="00F44B51">
        <w:rPr>
          <w:i/>
          <w:iCs/>
          <w:sz w:val="22"/>
          <w:szCs w:val="22"/>
        </w:rPr>
        <w:t>Indicateurs de suivi</w:t>
      </w:r>
      <w:bookmarkEnd w:id="823"/>
      <w:bookmarkEnd w:id="824"/>
    </w:p>
    <w:p w14:paraId="6BC16F0C" w14:textId="77777777" w:rsidR="00DD73F5" w:rsidRPr="00F44B51" w:rsidRDefault="00DD73F5" w:rsidP="00123FBA">
      <w:pPr>
        <w:spacing w:line="240" w:lineRule="auto"/>
        <w:rPr>
          <w:sz w:val="22"/>
        </w:rPr>
      </w:pPr>
    </w:p>
    <w:p w14:paraId="76CE1226" w14:textId="77777777" w:rsidR="008F3458" w:rsidRPr="00F44B51" w:rsidRDefault="008F3458" w:rsidP="00123FBA">
      <w:pPr>
        <w:spacing w:line="240" w:lineRule="auto"/>
        <w:rPr>
          <w:sz w:val="22"/>
        </w:rPr>
      </w:pPr>
      <w:r w:rsidRPr="00F44B51">
        <w:rPr>
          <w:sz w:val="22"/>
        </w:rPr>
        <w:t>Les indicateurs de suivi ci-dessous proposés par le programme en vue de permettre l’atteinte des résultats ainsi que la performance du MGP :</w:t>
      </w:r>
    </w:p>
    <w:p w14:paraId="5A9B2022"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des plaintes reçues et traitées ;</w:t>
      </w:r>
    </w:p>
    <w:p w14:paraId="0C2C9A96"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des plaignants satisfaits de la réponse leur réservée par le projet ;</w:t>
      </w:r>
    </w:p>
    <w:p w14:paraId="263324FD"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de plaintes résolues ;</w:t>
      </w:r>
    </w:p>
    <w:p w14:paraId="131ED61B"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de plaintes non-résolues ;</w:t>
      </w:r>
    </w:p>
    <w:p w14:paraId="21087545"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 xml:space="preserve">Nombre </w:t>
      </w:r>
      <w:r w:rsidRPr="00F44B51">
        <w:rPr>
          <w:sz w:val="22"/>
          <w:lang w:val="fr-BE"/>
        </w:rPr>
        <w:t>de plaintes de VBG ayant été réfères aux services de prise en charge ;</w:t>
      </w:r>
    </w:p>
    <w:p w14:paraId="5C879907"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Délai de réponse apportée aux plaintes, y compris les plaintes de VBG (de manière agrégée) ;</w:t>
      </w:r>
    </w:p>
    <w:p w14:paraId="59068DE3"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de réunions de sensibilisation au MGP tenues ;</w:t>
      </w:r>
    </w:p>
    <w:p w14:paraId="6B7E3054"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d’atelier de formation et de renforcement des capacités des parties prenantes organisés ;</w:t>
      </w:r>
    </w:p>
    <w:p w14:paraId="6310F1D0"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de missions de suivi – évaluation du MGP réalisées ;</w:t>
      </w:r>
    </w:p>
    <w:p w14:paraId="1C19969A"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de missions de suivi – évaluation du MGP réalisées ;</w:t>
      </w:r>
    </w:p>
    <w:p w14:paraId="1CB343DA"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de téléphones distribués et numéros vert mis en place</w:t>
      </w:r>
    </w:p>
    <w:p w14:paraId="243EB4A0"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des prestataires des services identifiés, formés et opérationnels</w:t>
      </w:r>
    </w:p>
    <w:p w14:paraId="14A41AF8"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de CGP mis en place et opérationnels ;</w:t>
      </w:r>
    </w:p>
    <w:p w14:paraId="76AB6273"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de projets ayant placé les panneaux de sensibilisation du MGP ;</w:t>
      </w:r>
    </w:p>
    <w:p w14:paraId="27ECC51F"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des plaintes reçues et jugées non recevables ;</w:t>
      </w:r>
    </w:p>
    <w:p w14:paraId="41530D1B"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Nombre des plaintes ayant fait recours au tribunal ;</w:t>
      </w:r>
    </w:p>
    <w:p w14:paraId="2A2A8C4B" w14:textId="77777777" w:rsidR="008F3458" w:rsidRPr="00F44B51" w:rsidRDefault="008F3458" w:rsidP="002378EA">
      <w:pPr>
        <w:numPr>
          <w:ilvl w:val="0"/>
          <w:numId w:val="118"/>
        </w:numPr>
        <w:spacing w:line="240" w:lineRule="auto"/>
        <w:ind w:left="851" w:hanging="284"/>
        <w:contextualSpacing/>
        <w:rPr>
          <w:sz w:val="22"/>
        </w:rPr>
      </w:pPr>
      <w:r w:rsidRPr="00F44B51">
        <w:rPr>
          <w:sz w:val="22"/>
        </w:rPr>
        <w:t>Canaux utilisés par les plaignants(tes) pour transmettre la plainte.</w:t>
      </w:r>
    </w:p>
    <w:p w14:paraId="3D54D7A9" w14:textId="77777777" w:rsidR="00DD73F5" w:rsidRPr="00F44B51" w:rsidRDefault="00DD73F5" w:rsidP="00123FBA">
      <w:pPr>
        <w:tabs>
          <w:tab w:val="left" w:pos="7655"/>
          <w:tab w:val="left" w:pos="7797"/>
        </w:tabs>
        <w:autoSpaceDE w:val="0"/>
        <w:autoSpaceDN w:val="0"/>
        <w:adjustRightInd w:val="0"/>
        <w:spacing w:line="240" w:lineRule="auto"/>
        <w:rPr>
          <w:sz w:val="22"/>
        </w:rPr>
      </w:pPr>
    </w:p>
    <w:p w14:paraId="7AE253FE" w14:textId="77777777" w:rsidR="008F3458" w:rsidRPr="00F44B51" w:rsidRDefault="008F3458" w:rsidP="00123FBA">
      <w:pPr>
        <w:tabs>
          <w:tab w:val="left" w:pos="7655"/>
          <w:tab w:val="left" w:pos="7797"/>
        </w:tabs>
        <w:autoSpaceDE w:val="0"/>
        <w:autoSpaceDN w:val="0"/>
        <w:adjustRightInd w:val="0"/>
        <w:spacing w:line="240" w:lineRule="auto"/>
        <w:rPr>
          <w:sz w:val="22"/>
        </w:rPr>
      </w:pPr>
      <w:r w:rsidRPr="00F44B51">
        <w:rPr>
          <w:sz w:val="22"/>
        </w:rPr>
        <w:t xml:space="preserve">Les données relatives à ces indicateurs seront collectées trimestriellement par le RGC, et transmises à la Coordination Nationale par le chargé de suivi-évaluation. </w:t>
      </w:r>
    </w:p>
    <w:p w14:paraId="57BD432A" w14:textId="77777777" w:rsidR="008F3458" w:rsidRPr="00F44B51" w:rsidRDefault="008F3458" w:rsidP="00123FBA">
      <w:pPr>
        <w:tabs>
          <w:tab w:val="left" w:pos="7655"/>
          <w:tab w:val="left" w:pos="7797"/>
        </w:tabs>
        <w:autoSpaceDE w:val="0"/>
        <w:autoSpaceDN w:val="0"/>
        <w:adjustRightInd w:val="0"/>
        <w:spacing w:line="240" w:lineRule="auto"/>
        <w:rPr>
          <w:sz w:val="22"/>
        </w:rPr>
      </w:pPr>
    </w:p>
    <w:p w14:paraId="12C680E5" w14:textId="77777777" w:rsidR="008F3458" w:rsidRPr="0075798A" w:rsidRDefault="008F3458" w:rsidP="008F3458">
      <w:pPr>
        <w:tabs>
          <w:tab w:val="left" w:pos="7655"/>
          <w:tab w:val="left" w:pos="7797"/>
        </w:tabs>
        <w:autoSpaceDE w:val="0"/>
        <w:autoSpaceDN w:val="0"/>
        <w:adjustRightInd w:val="0"/>
        <w:rPr>
          <w:color w:val="FF0000"/>
          <w:szCs w:val="24"/>
        </w:rPr>
      </w:pPr>
    </w:p>
    <w:p w14:paraId="644B947A" w14:textId="77777777" w:rsidR="009A51B4" w:rsidRPr="009A51B4" w:rsidRDefault="009A51B4" w:rsidP="00EC5BC3">
      <w:pPr>
        <w:spacing w:after="160"/>
        <w:jc w:val="left"/>
        <w:rPr>
          <w:rFonts w:cs="Arial"/>
          <w:b/>
          <w:bCs/>
          <w:sz w:val="22"/>
        </w:rPr>
      </w:pPr>
      <w:r>
        <w:rPr>
          <w:rFonts w:cs="Arial"/>
          <w:sz w:val="22"/>
        </w:rPr>
        <w:br w:type="page"/>
      </w:r>
    </w:p>
    <w:p w14:paraId="428BEA81" w14:textId="77777777" w:rsidR="009A51B4" w:rsidRPr="00EC5BC3" w:rsidRDefault="009A51B4" w:rsidP="00EC5BC3">
      <w:pPr>
        <w:pStyle w:val="Titre2"/>
        <w:numPr>
          <w:ilvl w:val="1"/>
          <w:numId w:val="4"/>
        </w:numPr>
        <w:ind w:left="851" w:hanging="425"/>
        <w:rPr>
          <w:rFonts w:cs="Arial"/>
          <w:b/>
          <w:sz w:val="22"/>
          <w:szCs w:val="22"/>
        </w:rPr>
      </w:pPr>
      <w:bookmarkStart w:id="825" w:name="_Toc64029758"/>
      <w:bookmarkStart w:id="826" w:name="_Toc70330516"/>
      <w:r w:rsidRPr="00EC5BC3">
        <w:rPr>
          <w:rFonts w:cs="Arial"/>
          <w:b/>
          <w:sz w:val="22"/>
          <w:szCs w:val="22"/>
        </w:rPr>
        <w:t>Service de règlement des plaintes de la Banque mondiale</w:t>
      </w:r>
      <w:bookmarkEnd w:id="825"/>
      <w:bookmarkEnd w:id="826"/>
    </w:p>
    <w:p w14:paraId="0CB03D12" w14:textId="77777777" w:rsidR="009A51B4" w:rsidRPr="009A51B4" w:rsidRDefault="009A51B4" w:rsidP="00C32DB2">
      <w:pPr>
        <w:pStyle w:val="Paragraphedeliste"/>
        <w:ind w:left="0"/>
        <w:rPr>
          <w:rFonts w:cs="Arial"/>
          <w:sz w:val="22"/>
        </w:rPr>
      </w:pPr>
    </w:p>
    <w:p w14:paraId="602385B9" w14:textId="77777777" w:rsidR="009A51B4" w:rsidRPr="008821B8" w:rsidRDefault="009A51B4" w:rsidP="00C32DB2">
      <w:pPr>
        <w:autoSpaceDE w:val="0"/>
        <w:autoSpaceDN w:val="0"/>
        <w:adjustRightInd w:val="0"/>
        <w:rPr>
          <w:rFonts w:cs="Arial"/>
          <w:sz w:val="22"/>
        </w:rPr>
      </w:pPr>
      <w:r w:rsidRPr="00C32DB2">
        <w:rPr>
          <w:rFonts w:cs="Arial"/>
          <w:sz w:val="22"/>
        </w:rPr>
        <w:t xml:space="preserve">Le Service de règlement des plaintes (GRS) de la Banque mondiale offre aux personnes et aux communautés un moyen facilement accessible de soumettre directement leurs plaintes à l’institution lorsqu’elles estiment qu’un projet financé par celle-ci leur a causé ou risque de leur causer un préjudice. Le GRS renforce la réactivité et la responsabilité de la Banque mondiale en veillant à ce que les plaintes soient instruites et jugées sans délai, et que les </w:t>
      </w:r>
      <w:r w:rsidRPr="008821B8">
        <w:rPr>
          <w:rFonts w:cs="Arial"/>
          <w:sz w:val="22"/>
        </w:rPr>
        <w:t>problèmes et solutions soient identifiés en travaillant ensemble.</w:t>
      </w:r>
    </w:p>
    <w:p w14:paraId="4DCDEE29" w14:textId="77777777" w:rsidR="009A51B4" w:rsidRPr="008821B8" w:rsidRDefault="009A51B4" w:rsidP="00C32DB2">
      <w:pPr>
        <w:pStyle w:val="Paragraphedeliste"/>
        <w:ind w:left="0"/>
        <w:rPr>
          <w:rFonts w:cs="Arial"/>
          <w:sz w:val="22"/>
        </w:rPr>
      </w:pPr>
    </w:p>
    <w:p w14:paraId="70368092" w14:textId="77777777" w:rsidR="009A51B4" w:rsidRPr="008821B8" w:rsidRDefault="009A51B4" w:rsidP="008821B8">
      <w:pPr>
        <w:pStyle w:val="Paragraphedeliste"/>
        <w:ind w:left="0"/>
        <w:rPr>
          <w:rFonts w:cs="Arial"/>
          <w:i/>
          <w:sz w:val="22"/>
        </w:rPr>
      </w:pPr>
      <w:r w:rsidRPr="008821B8">
        <w:rPr>
          <w:rFonts w:cs="Arial"/>
          <w:i/>
          <w:sz w:val="22"/>
        </w:rPr>
        <w:t>Procédure de traitement des plaintes</w:t>
      </w:r>
    </w:p>
    <w:p w14:paraId="75EF4D88" w14:textId="77777777" w:rsidR="009A51B4" w:rsidRPr="00F9169A" w:rsidRDefault="009A51B4" w:rsidP="008821B8">
      <w:pPr>
        <w:pStyle w:val="Paragraphedeliste"/>
        <w:ind w:left="0"/>
        <w:rPr>
          <w:rFonts w:cs="Arial"/>
          <w:sz w:val="22"/>
        </w:rPr>
      </w:pPr>
    </w:p>
    <w:p w14:paraId="787E5B34" w14:textId="77777777" w:rsidR="009A51B4" w:rsidRPr="00F9169A" w:rsidRDefault="009A51B4" w:rsidP="008821B8">
      <w:pPr>
        <w:autoSpaceDE w:val="0"/>
        <w:autoSpaceDN w:val="0"/>
        <w:adjustRightInd w:val="0"/>
        <w:rPr>
          <w:rFonts w:cs="Arial"/>
          <w:sz w:val="22"/>
        </w:rPr>
      </w:pPr>
      <w:r w:rsidRPr="00F9169A">
        <w:rPr>
          <w:rFonts w:cs="Arial"/>
          <w:sz w:val="22"/>
        </w:rPr>
        <w:t xml:space="preserve">Une plainte est jugée recevable par le GRS si : </w:t>
      </w:r>
    </w:p>
    <w:p w14:paraId="227DE363" w14:textId="77777777" w:rsidR="009A51B4" w:rsidRPr="005223A2" w:rsidRDefault="009A51B4" w:rsidP="00F9169A">
      <w:pPr>
        <w:autoSpaceDE w:val="0"/>
        <w:autoSpaceDN w:val="0"/>
        <w:adjustRightInd w:val="0"/>
        <w:rPr>
          <w:rFonts w:cs="Arial"/>
          <w:sz w:val="22"/>
        </w:rPr>
      </w:pPr>
    </w:p>
    <w:p w14:paraId="52890C6E" w14:textId="77777777" w:rsidR="009A51B4" w:rsidRPr="005223A2" w:rsidRDefault="009A51B4" w:rsidP="002378EA">
      <w:pPr>
        <w:numPr>
          <w:ilvl w:val="0"/>
          <w:numId w:val="56"/>
        </w:numPr>
        <w:autoSpaceDE w:val="0"/>
        <w:autoSpaceDN w:val="0"/>
        <w:adjustRightInd w:val="0"/>
        <w:rPr>
          <w:rFonts w:cs="Arial"/>
          <w:sz w:val="22"/>
        </w:rPr>
      </w:pPr>
      <w:r w:rsidRPr="005223A2">
        <w:rPr>
          <w:rFonts w:cs="Arial"/>
          <w:sz w:val="22"/>
        </w:rPr>
        <w:t xml:space="preserve">Elle se rapporte à un projet en cours financé par la Banque mondiale (BIRD ou IDA), </w:t>
      </w:r>
    </w:p>
    <w:p w14:paraId="6EAEAC07" w14:textId="77777777" w:rsidR="009A51B4" w:rsidRPr="005223A2" w:rsidRDefault="009A51B4" w:rsidP="002378EA">
      <w:pPr>
        <w:numPr>
          <w:ilvl w:val="0"/>
          <w:numId w:val="56"/>
        </w:numPr>
        <w:autoSpaceDE w:val="0"/>
        <w:autoSpaceDN w:val="0"/>
        <w:adjustRightInd w:val="0"/>
        <w:rPr>
          <w:rFonts w:cs="Arial"/>
          <w:sz w:val="22"/>
        </w:rPr>
      </w:pPr>
      <w:r w:rsidRPr="005223A2">
        <w:rPr>
          <w:rFonts w:cs="Arial"/>
          <w:sz w:val="22"/>
        </w:rPr>
        <w:t>Elle est déposée par une personne, une communauté ou des représentants de l’une ou l’autre, et</w:t>
      </w:r>
    </w:p>
    <w:p w14:paraId="3E0A811A" w14:textId="77777777" w:rsidR="009A51B4" w:rsidRPr="008368D3" w:rsidRDefault="009A51B4" w:rsidP="002378EA">
      <w:pPr>
        <w:numPr>
          <w:ilvl w:val="0"/>
          <w:numId w:val="56"/>
        </w:numPr>
        <w:autoSpaceDE w:val="0"/>
        <w:autoSpaceDN w:val="0"/>
        <w:adjustRightInd w:val="0"/>
        <w:rPr>
          <w:rFonts w:cs="Arial"/>
          <w:sz w:val="22"/>
        </w:rPr>
      </w:pPr>
      <w:r w:rsidRPr="005223A2">
        <w:rPr>
          <w:rFonts w:cs="Arial"/>
          <w:sz w:val="22"/>
        </w:rPr>
        <w:t xml:space="preserve">Elle porte sur un préjudice réel ou potentiel causé par un </w:t>
      </w:r>
      <w:r w:rsidRPr="008368D3">
        <w:rPr>
          <w:rFonts w:cs="Arial"/>
          <w:sz w:val="22"/>
        </w:rPr>
        <w:t>projet financé par la Banque mondiale.</w:t>
      </w:r>
    </w:p>
    <w:p w14:paraId="3407A653" w14:textId="77777777" w:rsidR="009A51B4" w:rsidRPr="00DD3424" w:rsidRDefault="009A51B4" w:rsidP="005223A2">
      <w:pPr>
        <w:pStyle w:val="Paragraphedeliste"/>
        <w:ind w:left="0"/>
        <w:rPr>
          <w:rFonts w:cs="Arial"/>
          <w:sz w:val="22"/>
        </w:rPr>
      </w:pPr>
    </w:p>
    <w:p w14:paraId="24849CDD" w14:textId="77777777" w:rsidR="009A51B4" w:rsidRPr="00DD3424" w:rsidRDefault="009A51B4" w:rsidP="005223A2">
      <w:pPr>
        <w:autoSpaceDE w:val="0"/>
        <w:autoSpaceDN w:val="0"/>
        <w:adjustRightInd w:val="0"/>
        <w:rPr>
          <w:rFonts w:cs="Arial"/>
          <w:sz w:val="22"/>
        </w:rPr>
      </w:pPr>
      <w:r w:rsidRPr="00DD3424">
        <w:rPr>
          <w:rFonts w:cs="Arial"/>
          <w:sz w:val="22"/>
        </w:rPr>
        <w:t xml:space="preserve">La plainte doit : </w:t>
      </w:r>
    </w:p>
    <w:p w14:paraId="0E82948B" w14:textId="77777777" w:rsidR="009A51B4" w:rsidRPr="00DD3424" w:rsidRDefault="009A51B4" w:rsidP="005223A2">
      <w:pPr>
        <w:pStyle w:val="Paragraphedeliste"/>
        <w:ind w:left="0"/>
        <w:rPr>
          <w:rFonts w:cs="Arial"/>
          <w:sz w:val="22"/>
        </w:rPr>
      </w:pPr>
    </w:p>
    <w:p w14:paraId="42894C32" w14:textId="77777777" w:rsidR="009A51B4" w:rsidRPr="009430EB" w:rsidRDefault="009A51B4" w:rsidP="002378EA">
      <w:pPr>
        <w:numPr>
          <w:ilvl w:val="0"/>
          <w:numId w:val="56"/>
        </w:numPr>
        <w:autoSpaceDE w:val="0"/>
        <w:autoSpaceDN w:val="0"/>
        <w:adjustRightInd w:val="0"/>
        <w:rPr>
          <w:rFonts w:cs="Arial"/>
          <w:sz w:val="22"/>
        </w:rPr>
      </w:pPr>
      <w:r w:rsidRPr="009430EB">
        <w:rPr>
          <w:rFonts w:cs="Arial"/>
          <w:sz w:val="22"/>
        </w:rPr>
        <w:t xml:space="preserve">Comporter le nom du ou des plaignant(s) (ou de leurs représentants) et préciser si elle doit rester confidentielle ; </w:t>
      </w:r>
    </w:p>
    <w:p w14:paraId="283D00BE" w14:textId="77777777" w:rsidR="009A51B4" w:rsidRPr="009430EB" w:rsidRDefault="009A51B4" w:rsidP="002378EA">
      <w:pPr>
        <w:numPr>
          <w:ilvl w:val="0"/>
          <w:numId w:val="56"/>
        </w:numPr>
        <w:autoSpaceDE w:val="0"/>
        <w:autoSpaceDN w:val="0"/>
        <w:adjustRightInd w:val="0"/>
        <w:rPr>
          <w:rFonts w:cs="Arial"/>
          <w:sz w:val="22"/>
        </w:rPr>
      </w:pPr>
      <w:r w:rsidRPr="009430EB">
        <w:rPr>
          <w:rFonts w:cs="Arial"/>
          <w:sz w:val="22"/>
        </w:rPr>
        <w:t>Identifier le projet en cause ; et</w:t>
      </w:r>
    </w:p>
    <w:p w14:paraId="4752460D" w14:textId="77777777" w:rsidR="009A51B4" w:rsidRPr="005843B0" w:rsidRDefault="009A51B4" w:rsidP="002378EA">
      <w:pPr>
        <w:numPr>
          <w:ilvl w:val="0"/>
          <w:numId w:val="56"/>
        </w:numPr>
        <w:autoSpaceDE w:val="0"/>
        <w:autoSpaceDN w:val="0"/>
        <w:adjustRightInd w:val="0"/>
        <w:rPr>
          <w:rFonts w:cs="Arial"/>
          <w:sz w:val="22"/>
        </w:rPr>
      </w:pPr>
      <w:r w:rsidRPr="005843B0">
        <w:rPr>
          <w:rFonts w:cs="Arial"/>
          <w:sz w:val="22"/>
        </w:rPr>
        <w:t>Décrire le préjudice qui, de l’avis du plaignant, a été ou pourrait être causé par le projet.</w:t>
      </w:r>
    </w:p>
    <w:p w14:paraId="3A563013" w14:textId="77777777" w:rsidR="009A51B4" w:rsidRPr="00F32DE7" w:rsidRDefault="009A51B4" w:rsidP="00DD3424">
      <w:pPr>
        <w:pStyle w:val="Lgende"/>
        <w:rPr>
          <w:rFonts w:cs="Arial"/>
        </w:rPr>
      </w:pPr>
    </w:p>
    <w:p w14:paraId="177F0A18" w14:textId="77777777" w:rsidR="009A51B4" w:rsidRPr="00C32DB2" w:rsidRDefault="009A51B4" w:rsidP="009430EB">
      <w:pPr>
        <w:pStyle w:val="Lgende"/>
        <w:rPr>
          <w:rFonts w:cs="Arial"/>
        </w:rPr>
      </w:pPr>
      <w:bookmarkStart w:id="827" w:name="_Toc64029821"/>
      <w:bookmarkStart w:id="828" w:name="_Toc70320597"/>
      <w:r w:rsidRPr="00744484">
        <w:rPr>
          <w:rFonts w:cs="Arial"/>
        </w:rPr>
        <w:t xml:space="preserve">Figure </w:t>
      </w:r>
      <w:r w:rsidRPr="00C32DB2">
        <w:rPr>
          <w:rFonts w:cs="Arial"/>
          <w:noProof/>
        </w:rPr>
        <w:fldChar w:fldCharType="begin"/>
      </w:r>
      <w:r w:rsidRPr="00EC5BC3">
        <w:rPr>
          <w:rFonts w:cs="Arial"/>
          <w:noProof/>
        </w:rPr>
        <w:instrText xml:space="preserve"> SEQ Figure \* ARABIC </w:instrText>
      </w:r>
      <w:r w:rsidRPr="00C32DB2">
        <w:rPr>
          <w:rFonts w:cs="Arial"/>
          <w:noProof/>
        </w:rPr>
        <w:fldChar w:fldCharType="separate"/>
      </w:r>
      <w:r w:rsidR="00C26995">
        <w:rPr>
          <w:rFonts w:cs="Arial"/>
          <w:noProof/>
        </w:rPr>
        <w:t>2</w:t>
      </w:r>
      <w:r w:rsidRPr="00C32DB2">
        <w:rPr>
          <w:rFonts w:cs="Arial"/>
          <w:noProof/>
        </w:rPr>
        <w:fldChar w:fldCharType="end"/>
      </w:r>
      <w:r w:rsidR="00657689">
        <w:rPr>
          <w:rFonts w:cs="Arial"/>
          <w:noProof/>
        </w:rPr>
        <w:t>.</w:t>
      </w:r>
      <w:r w:rsidRPr="009A51B4">
        <w:rPr>
          <w:rFonts w:cs="Arial"/>
        </w:rPr>
        <w:t xml:space="preserve">  </w:t>
      </w:r>
      <w:r w:rsidR="00657689">
        <w:rPr>
          <w:rFonts w:cs="Arial"/>
        </w:rPr>
        <w:t>É</w:t>
      </w:r>
      <w:r w:rsidRPr="00C32DB2">
        <w:rPr>
          <w:rFonts w:cs="Arial"/>
        </w:rPr>
        <w:t>tapes de traitement des plaintes</w:t>
      </w:r>
      <w:bookmarkEnd w:id="827"/>
      <w:bookmarkEnd w:id="828"/>
      <w:r w:rsidRPr="00C32DB2">
        <w:rPr>
          <w:rFonts w:cs="Arial"/>
        </w:rPr>
        <w:t> </w:t>
      </w:r>
    </w:p>
    <w:p w14:paraId="7FB2EF3D" w14:textId="77777777" w:rsidR="009A51B4" w:rsidRPr="00C32DB2" w:rsidRDefault="009A51B4" w:rsidP="009430EB">
      <w:pPr>
        <w:pStyle w:val="Paragraphedeliste"/>
        <w:ind w:left="0"/>
        <w:rPr>
          <w:rFonts w:cs="Arial"/>
        </w:rPr>
      </w:pPr>
    </w:p>
    <w:p w14:paraId="0E910407" w14:textId="2C81B22C" w:rsidR="009A51B4" w:rsidRPr="009A51B4" w:rsidRDefault="0078696E" w:rsidP="009430EB">
      <w:pPr>
        <w:pStyle w:val="Paragraphedeliste"/>
        <w:ind w:left="0"/>
        <w:rPr>
          <w:rFonts w:cs="Arial"/>
        </w:rPr>
      </w:pPr>
      <w:r>
        <w:rPr>
          <w:noProof/>
        </w:rPr>
        <mc:AlternateContent>
          <mc:Choice Requires="wps">
            <w:drawing>
              <wp:anchor distT="0" distB="0" distL="114300" distR="114300" simplePos="0" relativeHeight="251658256" behindDoc="0" locked="0" layoutInCell="1" allowOverlap="1" wp14:anchorId="356AE2AA" wp14:editId="5EC7A7EA">
                <wp:simplePos x="0" y="0"/>
                <wp:positionH relativeFrom="column">
                  <wp:posOffset>67310</wp:posOffset>
                </wp:positionH>
                <wp:positionV relativeFrom="paragraph">
                  <wp:posOffset>16510</wp:posOffset>
                </wp:positionV>
                <wp:extent cx="960120" cy="670560"/>
                <wp:effectExtent l="19050" t="19050" r="11430" b="34290"/>
                <wp:wrapNone/>
                <wp:docPr id="189" name="AutoShape 5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67056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77236ADE" w14:textId="77777777" w:rsidR="00510ABB" w:rsidRPr="00654BA9" w:rsidRDefault="00510ABB" w:rsidP="009A51B4">
                            <w:pPr>
                              <w:jc w:val="center"/>
                              <w:rPr>
                                <w:sz w:val="20"/>
                                <w:szCs w:val="20"/>
                              </w:rPr>
                            </w:pPr>
                            <w:r w:rsidRPr="00654BA9">
                              <w:rPr>
                                <w:sz w:val="20"/>
                                <w:szCs w:val="20"/>
                              </w:rPr>
                              <w:t>Le GRS reçoit la plainte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6AE2AA" id="AutoShape 5459" o:spid="_x0000_s1033" style="position:absolute;left:0;text-align:left;margin-left:5.3pt;margin-top:1.3pt;width:75.6pt;height:52.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" fillcolor="#5b9bd5" strokecolor="#f2f2f2" strokeweight="3pt">
                <v:shadow on="t" color="#1f4d78" opacity=".5" offset="1pt"/>
                <v:textbox>
                  <w:txbxContent>
                    <w:p w14:paraId="77236ADE" w14:textId="77777777" w:rsidR="00510ABB" w:rsidRPr="00654BA9" w:rsidRDefault="00510ABB" w:rsidP="009A51B4">
                      <w:pPr>
                        <w:jc w:val="center"/>
                        <w:rPr>
                          <w:sz w:val="20"/>
                          <w:szCs w:val="20"/>
                        </w:rPr>
                      </w:pPr>
                      <w:r w:rsidRPr="00654BA9">
                        <w:rPr>
                          <w:sz w:val="20"/>
                          <w:szCs w:val="20"/>
                        </w:rPr>
                        <w:t>Le GRS reçoit la plainte</w:t>
                      </w:r>
                    </w:p>
                  </w:txbxContent>
                </v:textbox>
              </v:roundrect>
            </w:pict>
          </mc:Fallback>
        </mc:AlternateContent>
      </w:r>
      <w:r>
        <w:rPr>
          <w:noProof/>
        </w:rPr>
        <mc:AlternateContent>
          <mc:Choice Requires="wps">
            <w:drawing>
              <wp:anchor distT="0" distB="0" distL="114300" distR="114300" simplePos="0" relativeHeight="251658258" behindDoc="0" locked="0" layoutInCell="1" allowOverlap="1" wp14:anchorId="6086716B" wp14:editId="76D13FFC">
                <wp:simplePos x="0" y="0"/>
                <wp:positionH relativeFrom="column">
                  <wp:posOffset>1371600</wp:posOffset>
                </wp:positionH>
                <wp:positionV relativeFrom="paragraph">
                  <wp:posOffset>29845</wp:posOffset>
                </wp:positionV>
                <wp:extent cx="4198620" cy="579120"/>
                <wp:effectExtent l="19050" t="19050" r="11430" b="30480"/>
                <wp:wrapNone/>
                <wp:docPr id="5280" name="Rectangle 5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57912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1E277653" w14:textId="77777777" w:rsidR="00510ABB" w:rsidRPr="00654BA9" w:rsidRDefault="00510ABB" w:rsidP="002378EA">
                            <w:pPr>
                              <w:numPr>
                                <w:ilvl w:val="0"/>
                                <w:numId w:val="131"/>
                              </w:numPr>
                              <w:spacing w:line="240" w:lineRule="auto"/>
                              <w:jc w:val="left"/>
                              <w:rPr>
                                <w:sz w:val="22"/>
                              </w:rPr>
                            </w:pPr>
                            <w:r w:rsidRPr="00654BA9">
                              <w:rPr>
                                <w:sz w:val="22"/>
                              </w:rPr>
                              <w:t xml:space="preserve">Accuse réception de la plainte </w:t>
                            </w:r>
                          </w:p>
                          <w:p w14:paraId="6AF31987" w14:textId="77777777" w:rsidR="00510ABB" w:rsidRPr="00654BA9" w:rsidRDefault="00510ABB" w:rsidP="002378EA">
                            <w:pPr>
                              <w:numPr>
                                <w:ilvl w:val="0"/>
                                <w:numId w:val="131"/>
                              </w:numPr>
                              <w:spacing w:line="240" w:lineRule="auto"/>
                              <w:jc w:val="left"/>
                              <w:rPr>
                                <w:sz w:val="22"/>
                              </w:rPr>
                            </w:pPr>
                            <w:r w:rsidRPr="00654BA9">
                              <w:rPr>
                                <w:sz w:val="22"/>
                              </w:rPr>
                              <w:t>Détermine si la plainte est recevable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6716B" id="Rectangle 5461" o:spid="_x0000_s1034" style="position:absolute;left:0;text-align:left;margin-left:108pt;margin-top:2.35pt;width:330.6pt;height:45.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" fillcolor="#5b9bd5" strokecolor="#f2f2f2" strokeweight="3pt">
                <v:shadow on="t" color="#1f4d78" opacity=".5" offset="1pt"/>
                <v:textbox>
                  <w:txbxContent>
                    <w:p w14:paraId="1E277653" w14:textId="77777777" w:rsidR="00510ABB" w:rsidRPr="00654BA9" w:rsidRDefault="00510ABB" w:rsidP="002378EA">
                      <w:pPr>
                        <w:numPr>
                          <w:ilvl w:val="0"/>
                          <w:numId w:val="131"/>
                        </w:numPr>
                        <w:spacing w:line="240" w:lineRule="auto"/>
                        <w:jc w:val="left"/>
                        <w:rPr>
                          <w:sz w:val="22"/>
                        </w:rPr>
                      </w:pPr>
                      <w:r w:rsidRPr="00654BA9">
                        <w:rPr>
                          <w:sz w:val="22"/>
                        </w:rPr>
                        <w:t xml:space="preserve">Accuse réception de la plainte </w:t>
                      </w:r>
                    </w:p>
                    <w:p w14:paraId="6AF31987" w14:textId="77777777" w:rsidR="00510ABB" w:rsidRPr="00654BA9" w:rsidRDefault="00510ABB" w:rsidP="002378EA">
                      <w:pPr>
                        <w:numPr>
                          <w:ilvl w:val="0"/>
                          <w:numId w:val="131"/>
                        </w:numPr>
                        <w:spacing w:line="240" w:lineRule="auto"/>
                        <w:jc w:val="left"/>
                        <w:rPr>
                          <w:sz w:val="22"/>
                        </w:rPr>
                      </w:pPr>
                      <w:r w:rsidRPr="00654BA9">
                        <w:rPr>
                          <w:sz w:val="22"/>
                        </w:rPr>
                        <w:t>Détermine si la plainte est recevable</w:t>
                      </w:r>
                    </w:p>
                  </w:txbxContent>
                </v:textbox>
              </v:rect>
            </w:pict>
          </mc:Fallback>
        </mc:AlternateContent>
      </w:r>
    </w:p>
    <w:p w14:paraId="6C544699" w14:textId="6681160D" w:rsidR="009A51B4" w:rsidRPr="009A51B4" w:rsidRDefault="0078696E" w:rsidP="005843B0">
      <w:pPr>
        <w:pStyle w:val="Paragraphedeliste"/>
        <w:ind w:left="0"/>
        <w:rPr>
          <w:rFonts w:cs="Arial"/>
        </w:rPr>
      </w:pPr>
      <w:r>
        <w:rPr>
          <w:noProof/>
        </w:rPr>
        <mc:AlternateContent>
          <mc:Choice Requires="wps">
            <w:drawing>
              <wp:anchor distT="0" distB="0" distL="114300" distR="114300" simplePos="0" relativeHeight="251658257" behindDoc="0" locked="0" layoutInCell="1" allowOverlap="1" wp14:anchorId="20B9F1A9" wp14:editId="41A4B358">
                <wp:simplePos x="0" y="0"/>
                <wp:positionH relativeFrom="column">
                  <wp:posOffset>1051560</wp:posOffset>
                </wp:positionH>
                <wp:positionV relativeFrom="paragraph">
                  <wp:posOffset>136525</wp:posOffset>
                </wp:positionV>
                <wp:extent cx="312420" cy="67945"/>
                <wp:effectExtent l="0" t="19050" r="11430" b="27305"/>
                <wp:wrapNone/>
                <wp:docPr id="188" name="AutoShape 5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67945"/>
                        </a:xfrm>
                        <a:prstGeom prst="rightArrow">
                          <a:avLst>
                            <a:gd name="adj1" fmla="val 50000"/>
                            <a:gd name="adj2" fmla="val 1149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2FA1B0A">
              <v:shapetype id="_x0000_t13" coordsize="21600,21600" o:spt="13" adj="16200,5400" path="m@0,l@0@1,0@1,0@2@0@2@0,21600,21600,10800xe" w14:anchorId="6C92ED5B">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utoShape 5460" style="position:absolute;margin-left:82.8pt;margin-top:10.75pt;width:24.6pt;height:5.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"/>
            </w:pict>
          </mc:Fallback>
        </mc:AlternateContent>
      </w:r>
    </w:p>
    <w:p w14:paraId="7825556A" w14:textId="77777777" w:rsidR="009A51B4" w:rsidRPr="00C32DB2" w:rsidRDefault="009A51B4" w:rsidP="005843B0">
      <w:pPr>
        <w:pStyle w:val="Paragraphedeliste"/>
        <w:ind w:left="0"/>
        <w:rPr>
          <w:rFonts w:cs="Arial"/>
        </w:rPr>
      </w:pPr>
    </w:p>
    <w:p w14:paraId="4B4AAAD5" w14:textId="77777777" w:rsidR="009A51B4" w:rsidRPr="00C32DB2" w:rsidRDefault="009A51B4" w:rsidP="00F32DE7">
      <w:pPr>
        <w:pStyle w:val="Paragraphedeliste"/>
        <w:ind w:left="0"/>
        <w:rPr>
          <w:rFonts w:cs="Arial"/>
        </w:rPr>
      </w:pPr>
    </w:p>
    <w:p w14:paraId="0A8899CE" w14:textId="4AAB1DDC" w:rsidR="009A51B4" w:rsidRPr="009A51B4" w:rsidRDefault="0078696E" w:rsidP="00744484">
      <w:pPr>
        <w:pStyle w:val="Paragraphedeliste"/>
        <w:ind w:left="0"/>
        <w:rPr>
          <w:rFonts w:cs="Arial"/>
        </w:rPr>
      </w:pPr>
      <w:r>
        <w:rPr>
          <w:noProof/>
        </w:rPr>
        <mc:AlternateContent>
          <mc:Choice Requires="wps">
            <w:drawing>
              <wp:anchor distT="0" distB="0" distL="114300" distR="114300" simplePos="0" relativeHeight="251658259" behindDoc="0" locked="0" layoutInCell="1" allowOverlap="1" wp14:anchorId="1878A76E" wp14:editId="4E771D47">
                <wp:simplePos x="0" y="0"/>
                <wp:positionH relativeFrom="column">
                  <wp:posOffset>67945</wp:posOffset>
                </wp:positionH>
                <wp:positionV relativeFrom="paragraph">
                  <wp:posOffset>152400</wp:posOffset>
                </wp:positionV>
                <wp:extent cx="1005840" cy="632460"/>
                <wp:effectExtent l="19050" t="19050" r="22860" b="34290"/>
                <wp:wrapNone/>
                <wp:docPr id="187" name="AutoShape 5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632460"/>
                        </a:xfrm>
                        <a:prstGeom prst="roundRect">
                          <a:avLst>
                            <a:gd name="adj" fmla="val 16667"/>
                          </a:avLst>
                        </a:prstGeom>
                        <a:solidFill>
                          <a:srgbClr val="ED7D31"/>
                        </a:solidFill>
                        <a:ln w="38100">
                          <a:solidFill>
                            <a:srgbClr val="F2F2F2"/>
                          </a:solidFill>
                          <a:round/>
                          <a:headEnd/>
                          <a:tailEnd/>
                        </a:ln>
                        <a:effectLst>
                          <a:outerShdw dist="28398" dir="3806097" algn="ctr" rotWithShape="0">
                            <a:srgbClr val="823B0B">
                              <a:alpha val="50000"/>
                            </a:srgbClr>
                          </a:outerShdw>
                        </a:effectLst>
                      </wps:spPr>
                      <wps:txbx>
                        <w:txbxContent>
                          <w:p w14:paraId="7CB1A47A" w14:textId="77777777" w:rsidR="00510ABB" w:rsidRPr="00654BA9" w:rsidRDefault="00510ABB" w:rsidP="009A51B4">
                            <w:pPr>
                              <w:jc w:val="center"/>
                              <w:rPr>
                                <w:sz w:val="20"/>
                                <w:szCs w:val="20"/>
                              </w:rPr>
                            </w:pPr>
                            <w:r w:rsidRPr="00654BA9">
                              <w:rPr>
                                <w:sz w:val="20"/>
                                <w:szCs w:val="20"/>
                              </w:rPr>
                              <w:t>Examine les motifs de la plainte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8A76E" id="AutoShape 5462" o:spid="_x0000_s1035" style="position:absolute;left:0;text-align:left;margin-left:5.35pt;margin-top:12pt;width:79.2pt;height:49.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" fillcolor="#ed7d31" strokecolor="#f2f2f2" strokeweight="3pt">
                <v:shadow on="t" color="#823b0b" opacity=".5" offset="1pt"/>
                <v:textbox>
                  <w:txbxContent>
                    <w:p w14:paraId="7CB1A47A" w14:textId="77777777" w:rsidR="00510ABB" w:rsidRPr="00654BA9" w:rsidRDefault="00510ABB" w:rsidP="009A51B4">
                      <w:pPr>
                        <w:jc w:val="center"/>
                        <w:rPr>
                          <w:sz w:val="20"/>
                          <w:szCs w:val="20"/>
                        </w:rPr>
                      </w:pPr>
                      <w:r w:rsidRPr="00654BA9">
                        <w:rPr>
                          <w:sz w:val="20"/>
                          <w:szCs w:val="20"/>
                        </w:rPr>
                        <w:t>Examine les motifs de la plainte</w:t>
                      </w:r>
                    </w:p>
                  </w:txbxContent>
                </v:textbox>
              </v:roundrect>
            </w:pict>
          </mc:Fallback>
        </mc:AlternateContent>
      </w:r>
      <w:r>
        <w:rPr>
          <w:noProof/>
        </w:rPr>
        <mc:AlternateContent>
          <mc:Choice Requires="wps">
            <w:drawing>
              <wp:anchor distT="0" distB="0" distL="114300" distR="114300" simplePos="0" relativeHeight="251658261" behindDoc="0" locked="0" layoutInCell="1" allowOverlap="1" wp14:anchorId="67BBE1ED" wp14:editId="2092B87F">
                <wp:simplePos x="0" y="0"/>
                <wp:positionH relativeFrom="column">
                  <wp:posOffset>1386840</wp:posOffset>
                </wp:positionH>
                <wp:positionV relativeFrom="paragraph">
                  <wp:posOffset>151765</wp:posOffset>
                </wp:positionV>
                <wp:extent cx="4191000" cy="647700"/>
                <wp:effectExtent l="19050" t="19050" r="19050" b="38100"/>
                <wp:wrapNone/>
                <wp:docPr id="186" name="Rectangle 5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64770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14:paraId="03B332BE" w14:textId="77777777" w:rsidR="00510ABB" w:rsidRPr="00654BA9" w:rsidRDefault="00510ABB" w:rsidP="002378EA">
                            <w:pPr>
                              <w:numPr>
                                <w:ilvl w:val="0"/>
                                <w:numId w:val="131"/>
                              </w:numPr>
                              <w:spacing w:line="240" w:lineRule="auto"/>
                              <w:jc w:val="left"/>
                            </w:pPr>
                            <w:r w:rsidRPr="00654BA9">
                              <w:rPr>
                                <w:sz w:val="22"/>
                              </w:rPr>
                              <w:t>Notifie le plaignant de l’état d’avancement de la plainte da</w:t>
                            </w:r>
                            <w:r w:rsidRPr="00FF02AD">
                              <w:rPr>
                                <w:sz w:val="22"/>
                              </w:rPr>
                              <w:t xml:space="preserve">ns un délai de 10 jours ouvrés </w:t>
                            </w:r>
                          </w:p>
                          <w:p w14:paraId="0CAE626B" w14:textId="77777777" w:rsidR="00510ABB" w:rsidRDefault="00510ABB" w:rsidP="002378EA">
                            <w:pPr>
                              <w:numPr>
                                <w:ilvl w:val="0"/>
                                <w:numId w:val="131"/>
                              </w:numPr>
                              <w:spacing w:line="240" w:lineRule="auto"/>
                              <w:jc w:val="left"/>
                            </w:pPr>
                            <w:r w:rsidRPr="00654BA9">
                              <w:rPr>
                                <w:sz w:val="22"/>
                              </w:rPr>
                              <w:t>Demande un</w:t>
                            </w:r>
                            <w:r>
                              <w:t xml:space="preserve"> complément d’information, le cas échéant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BE1ED" id="Rectangle 5465" o:spid="_x0000_s1036" style="position:absolute;left:0;text-align:left;margin-left:109.2pt;margin-top:11.95pt;width:330pt;height:5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" fillcolor="#ed7d31" strokecolor="#f2f2f2" strokeweight="3pt">
                <v:shadow on="t" color="#823b0b" opacity=".5" offset="1pt"/>
                <v:textbox>
                  <w:txbxContent>
                    <w:p w14:paraId="03B332BE" w14:textId="77777777" w:rsidR="00510ABB" w:rsidRPr="00654BA9" w:rsidRDefault="00510ABB" w:rsidP="002378EA">
                      <w:pPr>
                        <w:numPr>
                          <w:ilvl w:val="0"/>
                          <w:numId w:val="131"/>
                        </w:numPr>
                        <w:spacing w:line="240" w:lineRule="auto"/>
                        <w:jc w:val="left"/>
                      </w:pPr>
                      <w:r w:rsidRPr="00654BA9">
                        <w:rPr>
                          <w:sz w:val="22"/>
                        </w:rPr>
                        <w:t>Notifie le plaignant de l’état d’avancement de la plainte da</w:t>
                      </w:r>
                      <w:r w:rsidRPr="00FF02AD">
                        <w:rPr>
                          <w:sz w:val="22"/>
                        </w:rPr>
                        <w:t xml:space="preserve">ns un délai de 10 jours ouvrés </w:t>
                      </w:r>
                    </w:p>
                    <w:p w14:paraId="0CAE626B" w14:textId="77777777" w:rsidR="00510ABB" w:rsidRDefault="00510ABB" w:rsidP="002378EA">
                      <w:pPr>
                        <w:numPr>
                          <w:ilvl w:val="0"/>
                          <w:numId w:val="131"/>
                        </w:numPr>
                        <w:spacing w:line="240" w:lineRule="auto"/>
                        <w:jc w:val="left"/>
                      </w:pPr>
                      <w:r w:rsidRPr="00654BA9">
                        <w:rPr>
                          <w:sz w:val="22"/>
                        </w:rPr>
                        <w:t>Demande un</w:t>
                      </w:r>
                      <w:r>
                        <w:t xml:space="preserve"> complément d’information, le cas échéant</w:t>
                      </w:r>
                    </w:p>
                  </w:txbxContent>
                </v:textbox>
              </v:rect>
            </w:pict>
          </mc:Fallback>
        </mc:AlternateContent>
      </w:r>
    </w:p>
    <w:p w14:paraId="358120F2" w14:textId="77777777" w:rsidR="009A51B4" w:rsidRPr="00C32DB2" w:rsidRDefault="009A51B4" w:rsidP="00744484">
      <w:pPr>
        <w:pStyle w:val="Paragraphedeliste"/>
        <w:ind w:left="0"/>
        <w:rPr>
          <w:rFonts w:cs="Arial"/>
        </w:rPr>
      </w:pPr>
    </w:p>
    <w:p w14:paraId="35D9A4BA" w14:textId="4D2E6006" w:rsidR="009A51B4" w:rsidRPr="00C32DB2" w:rsidRDefault="0078696E" w:rsidP="00CC7241">
      <w:pPr>
        <w:pStyle w:val="Paragraphedeliste"/>
        <w:tabs>
          <w:tab w:val="left" w:pos="1992"/>
        </w:tabs>
        <w:ind w:left="0"/>
        <w:rPr>
          <w:rFonts w:cs="Arial"/>
        </w:rPr>
      </w:pPr>
      <w:r>
        <w:rPr>
          <w:noProof/>
        </w:rPr>
        <mc:AlternateContent>
          <mc:Choice Requires="wps">
            <w:drawing>
              <wp:anchor distT="0" distB="0" distL="114300" distR="114300" simplePos="0" relativeHeight="251658263" behindDoc="0" locked="0" layoutInCell="1" allowOverlap="1" wp14:anchorId="2DD73F6E" wp14:editId="46AF4672">
                <wp:simplePos x="0" y="0"/>
                <wp:positionH relativeFrom="column">
                  <wp:posOffset>1089660</wp:posOffset>
                </wp:positionH>
                <wp:positionV relativeFrom="paragraph">
                  <wp:posOffset>75565</wp:posOffset>
                </wp:positionV>
                <wp:extent cx="312420" cy="67945"/>
                <wp:effectExtent l="0" t="19050" r="11430" b="27305"/>
                <wp:wrapNone/>
                <wp:docPr id="185" name="AutoShape 5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67945"/>
                        </a:xfrm>
                        <a:prstGeom prst="rightArrow">
                          <a:avLst>
                            <a:gd name="adj1" fmla="val 50000"/>
                            <a:gd name="adj2" fmla="val 1149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40310EF">
              <v:shape id="AutoShape 5467" style="position:absolute;margin-left:85.8pt;margin-top:5.95pt;width:24.6pt;height: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" w14:anchorId="05A7C728"/>
            </w:pict>
          </mc:Fallback>
        </mc:AlternateContent>
      </w:r>
      <w:r w:rsidR="009A51B4" w:rsidRPr="009A51B4">
        <w:rPr>
          <w:rFonts w:cs="Arial"/>
        </w:rPr>
        <w:tab/>
      </w:r>
    </w:p>
    <w:p w14:paraId="799151FA" w14:textId="77777777" w:rsidR="009A51B4" w:rsidRPr="00C32DB2" w:rsidRDefault="009A51B4" w:rsidP="00CC7241">
      <w:pPr>
        <w:pStyle w:val="Paragraphedeliste"/>
        <w:ind w:left="0"/>
        <w:rPr>
          <w:rFonts w:cs="Arial"/>
        </w:rPr>
      </w:pPr>
    </w:p>
    <w:p w14:paraId="5702DEED" w14:textId="77777777" w:rsidR="009A51B4" w:rsidRPr="00C32DB2" w:rsidRDefault="009A51B4" w:rsidP="00CC7241">
      <w:pPr>
        <w:pStyle w:val="Paragraphedeliste"/>
        <w:ind w:left="0"/>
        <w:rPr>
          <w:rFonts w:cs="Arial"/>
        </w:rPr>
      </w:pPr>
    </w:p>
    <w:p w14:paraId="242F14B9" w14:textId="5D7A4AC3" w:rsidR="009A51B4" w:rsidRPr="009A51B4" w:rsidRDefault="0078696E" w:rsidP="00D20A53">
      <w:pPr>
        <w:pStyle w:val="Paragraphedeliste"/>
        <w:ind w:left="0"/>
        <w:rPr>
          <w:rFonts w:cs="Arial"/>
        </w:rPr>
      </w:pPr>
      <w:r>
        <w:rPr>
          <w:noProof/>
        </w:rPr>
        <mc:AlternateContent>
          <mc:Choice Requires="wps">
            <w:drawing>
              <wp:anchor distT="0" distB="0" distL="114300" distR="114300" simplePos="0" relativeHeight="251658260" behindDoc="0" locked="0" layoutInCell="1" allowOverlap="1" wp14:anchorId="35A91BE1" wp14:editId="1F49637C">
                <wp:simplePos x="0" y="0"/>
                <wp:positionH relativeFrom="column">
                  <wp:posOffset>76200</wp:posOffset>
                </wp:positionH>
                <wp:positionV relativeFrom="paragraph">
                  <wp:posOffset>113665</wp:posOffset>
                </wp:positionV>
                <wp:extent cx="998220" cy="579120"/>
                <wp:effectExtent l="19050" t="19050" r="11430" b="30480"/>
                <wp:wrapNone/>
                <wp:docPr id="184" name="AutoShape 5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579120"/>
                        </a:xfrm>
                        <a:prstGeom prst="roundRect">
                          <a:avLst>
                            <a:gd name="adj" fmla="val 16667"/>
                          </a:avLst>
                        </a:prstGeom>
                        <a:solidFill>
                          <a:srgbClr val="70AD47"/>
                        </a:solidFill>
                        <a:ln w="38100">
                          <a:solidFill>
                            <a:srgbClr val="F2F2F2"/>
                          </a:solidFill>
                          <a:round/>
                          <a:headEnd/>
                          <a:tailEnd/>
                        </a:ln>
                        <a:effectLst>
                          <a:outerShdw dist="28398" dir="3806097" algn="ctr" rotWithShape="0">
                            <a:srgbClr val="375623">
                              <a:alpha val="50000"/>
                            </a:srgbClr>
                          </a:outerShdw>
                        </a:effectLst>
                      </wps:spPr>
                      <wps:txbx>
                        <w:txbxContent>
                          <w:p w14:paraId="07CEBBFE" w14:textId="77777777" w:rsidR="00510ABB" w:rsidRPr="00654BA9" w:rsidRDefault="00510ABB" w:rsidP="009A51B4">
                            <w:pPr>
                              <w:jc w:val="center"/>
                              <w:rPr>
                                <w:sz w:val="20"/>
                                <w:szCs w:val="20"/>
                              </w:rPr>
                            </w:pPr>
                            <w:r w:rsidRPr="00654BA9">
                              <w:rPr>
                                <w:sz w:val="20"/>
                                <w:szCs w:val="20"/>
                              </w:rPr>
                              <w:t>Propose des 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91BE1" id="AutoShape 5463" o:spid="_x0000_s1037" style="position:absolute;left:0;text-align:left;margin-left:6pt;margin-top:8.95pt;width:78.6pt;height:45.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" fillcolor="#70ad47" strokecolor="#f2f2f2" strokeweight="3pt">
                <v:shadow on="t" color="#375623" opacity=".5" offset="1pt"/>
                <v:textbox>
                  <w:txbxContent>
                    <w:p w14:paraId="07CEBBFE" w14:textId="77777777" w:rsidR="00510ABB" w:rsidRPr="00654BA9" w:rsidRDefault="00510ABB" w:rsidP="009A51B4">
                      <w:pPr>
                        <w:jc w:val="center"/>
                        <w:rPr>
                          <w:sz w:val="20"/>
                          <w:szCs w:val="20"/>
                        </w:rPr>
                      </w:pPr>
                      <w:r w:rsidRPr="00654BA9">
                        <w:rPr>
                          <w:sz w:val="20"/>
                          <w:szCs w:val="20"/>
                        </w:rPr>
                        <w:t>Propose des solutions</w:t>
                      </w:r>
                    </w:p>
                  </w:txbxContent>
                </v:textbox>
              </v:roundrect>
            </w:pict>
          </mc:Fallback>
        </mc:AlternateContent>
      </w:r>
      <w:r>
        <w:rPr>
          <w:noProof/>
        </w:rPr>
        <mc:AlternateContent>
          <mc:Choice Requires="wps">
            <w:drawing>
              <wp:anchor distT="0" distB="0" distL="114300" distR="114300" simplePos="0" relativeHeight="251658262" behindDoc="0" locked="0" layoutInCell="1" allowOverlap="1" wp14:anchorId="339F5411" wp14:editId="0E1F1F3C">
                <wp:simplePos x="0" y="0"/>
                <wp:positionH relativeFrom="column">
                  <wp:posOffset>1379220</wp:posOffset>
                </wp:positionH>
                <wp:positionV relativeFrom="paragraph">
                  <wp:posOffset>144145</wp:posOffset>
                </wp:positionV>
                <wp:extent cx="4198620" cy="1264920"/>
                <wp:effectExtent l="19050" t="19050" r="11430" b="30480"/>
                <wp:wrapNone/>
                <wp:docPr id="183" name="Rectangle 5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26492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4D5C30DE" w14:textId="77777777" w:rsidR="00510ABB" w:rsidRPr="00FF02AD" w:rsidRDefault="00510ABB" w:rsidP="002378EA">
                            <w:pPr>
                              <w:numPr>
                                <w:ilvl w:val="0"/>
                                <w:numId w:val="131"/>
                              </w:numPr>
                              <w:spacing w:line="240" w:lineRule="auto"/>
                              <w:jc w:val="left"/>
                              <w:rPr>
                                <w:sz w:val="22"/>
                              </w:rPr>
                            </w:pPr>
                            <w:r w:rsidRPr="00654BA9">
                              <w:rPr>
                                <w:sz w:val="22"/>
                              </w:rPr>
                              <w:t>Des solutions assorties d’un calendrier de mise en œuvre sont proposées aux plaign</w:t>
                            </w:r>
                            <w:r w:rsidRPr="00FF02AD">
                              <w:rPr>
                                <w:sz w:val="22"/>
                              </w:rPr>
                              <w:t xml:space="preserve">ants dans un délai de 30 jours </w:t>
                            </w:r>
                          </w:p>
                          <w:p w14:paraId="64CB97A0" w14:textId="77777777" w:rsidR="00510ABB" w:rsidRDefault="00510ABB" w:rsidP="002378EA">
                            <w:pPr>
                              <w:numPr>
                                <w:ilvl w:val="0"/>
                                <w:numId w:val="131"/>
                              </w:numPr>
                              <w:spacing w:line="240" w:lineRule="auto"/>
                              <w:jc w:val="left"/>
                              <w:rPr>
                                <w:sz w:val="22"/>
                              </w:rPr>
                            </w:pPr>
                            <w:r w:rsidRPr="00654BA9">
                              <w:rPr>
                                <w:sz w:val="22"/>
                              </w:rPr>
                              <w:t xml:space="preserve">L’équipe chargée du projet et l’organisme d’exécution du projet appliquent les solutions retenues si les plaignants les acceptent, et le GRS en assure le suivi </w:t>
                            </w:r>
                          </w:p>
                          <w:p w14:paraId="7184D34D" w14:textId="77777777" w:rsidR="00510ABB" w:rsidRPr="00654BA9" w:rsidRDefault="00510ABB" w:rsidP="002378EA">
                            <w:pPr>
                              <w:numPr>
                                <w:ilvl w:val="0"/>
                                <w:numId w:val="131"/>
                              </w:numPr>
                              <w:spacing w:line="240" w:lineRule="auto"/>
                              <w:jc w:val="left"/>
                              <w:rPr>
                                <w:sz w:val="22"/>
                              </w:rPr>
                            </w:pPr>
                            <w:r w:rsidRPr="00654BA9">
                              <w:rPr>
                                <w:sz w:val="22"/>
                              </w:rPr>
                              <w:t>La plainte est clôturée lorsque les solutions sont intégralement mises en œuvre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5411" id="Rectangle 5466" o:spid="_x0000_s1038" style="position:absolute;left:0;text-align:left;margin-left:108.6pt;margin-top:11.35pt;width:330.6pt;height:99.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" fillcolor="#70ad47" strokecolor="#f2f2f2" strokeweight="3pt">
                <v:shadow on="t" color="#375623" opacity=".5" offset="1pt"/>
                <v:textbox>
                  <w:txbxContent>
                    <w:p w14:paraId="4D5C30DE" w14:textId="77777777" w:rsidR="00510ABB" w:rsidRPr="00FF02AD" w:rsidRDefault="00510ABB" w:rsidP="002378EA">
                      <w:pPr>
                        <w:numPr>
                          <w:ilvl w:val="0"/>
                          <w:numId w:val="131"/>
                        </w:numPr>
                        <w:spacing w:line="240" w:lineRule="auto"/>
                        <w:jc w:val="left"/>
                        <w:rPr>
                          <w:sz w:val="22"/>
                        </w:rPr>
                      </w:pPr>
                      <w:r w:rsidRPr="00654BA9">
                        <w:rPr>
                          <w:sz w:val="22"/>
                        </w:rPr>
                        <w:t>Des solutions assorties d’un calendrier de mise en œuvre sont proposées aux plaign</w:t>
                      </w:r>
                      <w:r w:rsidRPr="00FF02AD">
                        <w:rPr>
                          <w:sz w:val="22"/>
                        </w:rPr>
                        <w:t xml:space="preserve">ants dans un délai de 30 jours </w:t>
                      </w:r>
                    </w:p>
                    <w:p w14:paraId="64CB97A0" w14:textId="77777777" w:rsidR="00510ABB" w:rsidRDefault="00510ABB" w:rsidP="002378EA">
                      <w:pPr>
                        <w:numPr>
                          <w:ilvl w:val="0"/>
                          <w:numId w:val="131"/>
                        </w:numPr>
                        <w:spacing w:line="240" w:lineRule="auto"/>
                        <w:jc w:val="left"/>
                        <w:rPr>
                          <w:sz w:val="22"/>
                        </w:rPr>
                      </w:pPr>
                      <w:r w:rsidRPr="00654BA9">
                        <w:rPr>
                          <w:sz w:val="22"/>
                        </w:rPr>
                        <w:t xml:space="preserve">L’équipe chargée du projet et l’organisme d’exécution du projet appliquent les solutions retenues si les plaignants les acceptent, et le GRS en assure le suivi </w:t>
                      </w:r>
                    </w:p>
                    <w:p w14:paraId="7184D34D" w14:textId="77777777" w:rsidR="00510ABB" w:rsidRPr="00654BA9" w:rsidRDefault="00510ABB" w:rsidP="002378EA">
                      <w:pPr>
                        <w:numPr>
                          <w:ilvl w:val="0"/>
                          <w:numId w:val="131"/>
                        </w:numPr>
                        <w:spacing w:line="240" w:lineRule="auto"/>
                        <w:jc w:val="left"/>
                        <w:rPr>
                          <w:sz w:val="22"/>
                        </w:rPr>
                      </w:pPr>
                      <w:r w:rsidRPr="00654BA9">
                        <w:rPr>
                          <w:sz w:val="22"/>
                        </w:rPr>
                        <w:t>La plainte est clôturée lorsque les solutions sont intégralement mises en œuvre</w:t>
                      </w:r>
                    </w:p>
                  </w:txbxContent>
                </v:textbox>
              </v:rect>
            </w:pict>
          </mc:Fallback>
        </mc:AlternateContent>
      </w:r>
    </w:p>
    <w:p w14:paraId="3D3AC2E4" w14:textId="77777777" w:rsidR="009A51B4" w:rsidRPr="00C32DB2" w:rsidRDefault="009A51B4" w:rsidP="00956B53">
      <w:pPr>
        <w:pStyle w:val="Paragraphedeliste"/>
        <w:ind w:left="0"/>
        <w:rPr>
          <w:rFonts w:cs="Arial"/>
        </w:rPr>
      </w:pPr>
    </w:p>
    <w:p w14:paraId="12537BD3" w14:textId="0DA97702" w:rsidR="009A51B4" w:rsidRPr="009A51B4" w:rsidRDefault="0078696E" w:rsidP="00D42235">
      <w:pPr>
        <w:pStyle w:val="Paragraphedeliste"/>
        <w:ind w:left="0"/>
        <w:rPr>
          <w:rFonts w:cs="Arial"/>
        </w:rPr>
      </w:pPr>
      <w:r>
        <w:rPr>
          <w:noProof/>
        </w:rPr>
        <mc:AlternateContent>
          <mc:Choice Requires="wps">
            <w:drawing>
              <wp:anchor distT="0" distB="0" distL="114300" distR="114300" simplePos="0" relativeHeight="251658264" behindDoc="0" locked="0" layoutInCell="1" allowOverlap="1" wp14:anchorId="0268D50A" wp14:editId="16BA8C6A">
                <wp:simplePos x="0" y="0"/>
                <wp:positionH relativeFrom="column">
                  <wp:posOffset>1066800</wp:posOffset>
                </wp:positionH>
                <wp:positionV relativeFrom="paragraph">
                  <wp:posOffset>49530</wp:posOffset>
                </wp:positionV>
                <wp:extent cx="312420" cy="67945"/>
                <wp:effectExtent l="0" t="19050" r="11430" b="27305"/>
                <wp:wrapNone/>
                <wp:docPr id="182" name="AutoShape 5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67945"/>
                        </a:xfrm>
                        <a:prstGeom prst="rightArrow">
                          <a:avLst>
                            <a:gd name="adj1" fmla="val 50000"/>
                            <a:gd name="adj2" fmla="val 1149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5A0F713">
              <v:shape id="AutoShape 5469" style="position:absolute;margin-left:84pt;margin-top:3.9pt;width:24.6pt;height:5.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" w14:anchorId="70699777"/>
            </w:pict>
          </mc:Fallback>
        </mc:AlternateContent>
      </w:r>
    </w:p>
    <w:p w14:paraId="27C1FCB6" w14:textId="77777777" w:rsidR="009A51B4" w:rsidRPr="00C32DB2" w:rsidRDefault="009A51B4" w:rsidP="00E800E3">
      <w:pPr>
        <w:pStyle w:val="Paragraphedeliste"/>
        <w:ind w:left="0"/>
        <w:rPr>
          <w:rFonts w:cs="Arial"/>
        </w:rPr>
      </w:pPr>
    </w:p>
    <w:p w14:paraId="5808884A" w14:textId="77777777" w:rsidR="009A51B4" w:rsidRPr="00C32DB2" w:rsidRDefault="009A51B4" w:rsidP="00FC60B1">
      <w:pPr>
        <w:pStyle w:val="Paragraphedeliste"/>
        <w:ind w:left="0"/>
        <w:rPr>
          <w:rFonts w:cs="Arial"/>
        </w:rPr>
      </w:pPr>
    </w:p>
    <w:p w14:paraId="5A61653C" w14:textId="77777777" w:rsidR="009A51B4" w:rsidRPr="008821B8" w:rsidRDefault="009A51B4" w:rsidP="0021620B">
      <w:pPr>
        <w:pStyle w:val="Paragraphedeliste"/>
        <w:ind w:left="0"/>
        <w:rPr>
          <w:rFonts w:cs="Arial"/>
        </w:rPr>
      </w:pPr>
    </w:p>
    <w:p w14:paraId="65758D48" w14:textId="77777777" w:rsidR="009A51B4" w:rsidRPr="008821B8" w:rsidRDefault="009A51B4" w:rsidP="002C45C0">
      <w:pPr>
        <w:pStyle w:val="Paragraphedeliste"/>
        <w:ind w:left="0"/>
        <w:rPr>
          <w:rFonts w:cs="Arial"/>
        </w:rPr>
      </w:pPr>
    </w:p>
    <w:p w14:paraId="69B9DEDE" w14:textId="77777777" w:rsidR="009A51B4" w:rsidRPr="008821B8" w:rsidRDefault="009A51B4" w:rsidP="00E23149">
      <w:pPr>
        <w:pStyle w:val="Paragraphedeliste"/>
        <w:ind w:left="0"/>
        <w:rPr>
          <w:rFonts w:cs="Arial"/>
        </w:rPr>
      </w:pPr>
    </w:p>
    <w:p w14:paraId="1AA7D114" w14:textId="77777777" w:rsidR="009A51B4" w:rsidRPr="00F9169A" w:rsidRDefault="009A51B4">
      <w:pPr>
        <w:pStyle w:val="Paragraphedeliste"/>
        <w:ind w:left="0"/>
        <w:rPr>
          <w:rFonts w:cs="Arial"/>
        </w:rPr>
      </w:pPr>
    </w:p>
    <w:p w14:paraId="330CAB5B" w14:textId="77777777" w:rsidR="009A51B4" w:rsidRPr="00F9169A" w:rsidRDefault="009A51B4">
      <w:pPr>
        <w:autoSpaceDE w:val="0"/>
        <w:autoSpaceDN w:val="0"/>
        <w:adjustRightInd w:val="0"/>
        <w:rPr>
          <w:rFonts w:cs="Arial"/>
          <w:sz w:val="22"/>
        </w:rPr>
      </w:pPr>
    </w:p>
    <w:p w14:paraId="081699A7" w14:textId="77777777" w:rsidR="009A51B4" w:rsidRPr="00F9169A" w:rsidRDefault="009A51B4">
      <w:pPr>
        <w:autoSpaceDE w:val="0"/>
        <w:autoSpaceDN w:val="0"/>
        <w:adjustRightInd w:val="0"/>
        <w:rPr>
          <w:rFonts w:cs="Arial"/>
          <w:sz w:val="22"/>
        </w:rPr>
      </w:pPr>
      <w:r w:rsidRPr="00F9169A">
        <w:rPr>
          <w:rFonts w:cs="Arial"/>
          <w:sz w:val="22"/>
        </w:rPr>
        <w:t>Le GRS accepte les plaintes formulées en anglais ou dans la langue de leurs auteurs. Les plaignants peuvent utiliser le formulaire disponible sur le site web du GRS à l’adresse www.worldbank.org/grs.</w:t>
      </w:r>
    </w:p>
    <w:p w14:paraId="66115C1B" w14:textId="77777777" w:rsidR="00EC5BC3" w:rsidRDefault="00EC5BC3">
      <w:pPr>
        <w:pStyle w:val="Paragraphedeliste"/>
        <w:ind w:left="0"/>
        <w:rPr>
          <w:rFonts w:cs="Arial"/>
        </w:rPr>
      </w:pPr>
    </w:p>
    <w:p w14:paraId="430759BD" w14:textId="77777777" w:rsidR="009A51B4" w:rsidRPr="005223A2" w:rsidRDefault="009A51B4">
      <w:pPr>
        <w:pStyle w:val="Paragraphedeliste"/>
        <w:ind w:left="0"/>
        <w:rPr>
          <w:rFonts w:cs="Arial"/>
        </w:rPr>
      </w:pPr>
      <w:r w:rsidRPr="005223A2">
        <w:rPr>
          <w:rFonts w:cs="Arial"/>
        </w:rPr>
        <w:t xml:space="preserve">Les plaintes peuvent être adressées par : </w:t>
      </w:r>
    </w:p>
    <w:p w14:paraId="0C0A9103" w14:textId="77777777" w:rsidR="009A51B4" w:rsidRPr="005223A2" w:rsidRDefault="009A51B4">
      <w:pPr>
        <w:pStyle w:val="Paragraphedeliste"/>
        <w:ind w:left="0"/>
        <w:rPr>
          <w:rFonts w:cs="Arial"/>
        </w:rPr>
      </w:pPr>
    </w:p>
    <w:p w14:paraId="0C69E268" w14:textId="77777777" w:rsidR="009A51B4" w:rsidRPr="008368D3" w:rsidRDefault="009A51B4">
      <w:pPr>
        <w:widowControl w:val="0"/>
        <w:tabs>
          <w:tab w:val="left" w:pos="1134"/>
          <w:tab w:val="left" w:pos="2268"/>
        </w:tabs>
        <w:autoSpaceDE w:val="0"/>
        <w:autoSpaceDN w:val="0"/>
        <w:ind w:left="1134"/>
        <w:outlineLvl w:val="3"/>
        <w:rPr>
          <w:rFonts w:cs="Arial"/>
          <w:b/>
        </w:rPr>
      </w:pPr>
      <w:r w:rsidRPr="008368D3">
        <w:rPr>
          <w:rFonts w:cs="Arial"/>
          <w:b/>
        </w:rPr>
        <w:t>Mail</w:t>
      </w:r>
      <w:r w:rsidRPr="008368D3">
        <w:rPr>
          <w:rFonts w:cs="Arial"/>
          <w:b/>
        </w:rPr>
        <w:tab/>
        <w:t>grievances@worldbank.org</w:t>
      </w:r>
    </w:p>
    <w:p w14:paraId="551F59BD" w14:textId="77777777" w:rsidR="009A51B4" w:rsidRPr="00DD3424" w:rsidRDefault="009A51B4">
      <w:pPr>
        <w:widowControl w:val="0"/>
        <w:tabs>
          <w:tab w:val="left" w:pos="1134"/>
          <w:tab w:val="left" w:pos="2268"/>
        </w:tabs>
        <w:autoSpaceDE w:val="0"/>
        <w:autoSpaceDN w:val="0"/>
        <w:ind w:left="1134"/>
        <w:outlineLvl w:val="3"/>
        <w:rPr>
          <w:rFonts w:cs="Arial"/>
          <w:b/>
        </w:rPr>
      </w:pPr>
      <w:r w:rsidRPr="00DD3424">
        <w:rPr>
          <w:rFonts w:cs="Arial"/>
          <w:b/>
        </w:rPr>
        <w:t>Fax</w:t>
      </w:r>
      <w:r w:rsidRPr="00DD3424">
        <w:rPr>
          <w:rFonts w:cs="Arial"/>
          <w:b/>
        </w:rPr>
        <w:tab/>
        <w:t>+1-202-614-7313</w:t>
      </w:r>
    </w:p>
    <w:p w14:paraId="2EC29D13" w14:textId="77777777" w:rsidR="009A51B4" w:rsidRPr="00DD3424" w:rsidRDefault="009A51B4">
      <w:pPr>
        <w:widowControl w:val="0"/>
        <w:tabs>
          <w:tab w:val="left" w:pos="1134"/>
          <w:tab w:val="left" w:pos="2268"/>
          <w:tab w:val="left" w:pos="2552"/>
        </w:tabs>
        <w:autoSpaceDE w:val="0"/>
        <w:autoSpaceDN w:val="0"/>
        <w:ind w:left="1134"/>
        <w:outlineLvl w:val="3"/>
        <w:rPr>
          <w:rFonts w:cs="Arial"/>
          <w:b/>
        </w:rPr>
      </w:pPr>
      <w:r w:rsidRPr="00DD3424">
        <w:rPr>
          <w:rFonts w:cs="Arial"/>
          <w:b/>
        </w:rPr>
        <w:t>Courrier :</w:t>
      </w:r>
      <w:r w:rsidRPr="00DD3424">
        <w:rPr>
          <w:rFonts w:cs="Arial"/>
          <w:b/>
        </w:rPr>
        <w:tab/>
        <w:t>Banque mondiale</w:t>
      </w:r>
    </w:p>
    <w:p w14:paraId="7B10AD94" w14:textId="77777777" w:rsidR="009A51B4" w:rsidRPr="00DD3424" w:rsidRDefault="009A51B4">
      <w:pPr>
        <w:widowControl w:val="0"/>
        <w:tabs>
          <w:tab w:val="left" w:pos="1134"/>
          <w:tab w:val="left" w:pos="2268"/>
          <w:tab w:val="left" w:pos="2552"/>
        </w:tabs>
        <w:autoSpaceDE w:val="0"/>
        <w:autoSpaceDN w:val="0"/>
        <w:ind w:left="1134"/>
        <w:outlineLvl w:val="3"/>
        <w:rPr>
          <w:rFonts w:cs="Arial"/>
          <w:b/>
        </w:rPr>
      </w:pPr>
      <w:r w:rsidRPr="00DD3424">
        <w:rPr>
          <w:rFonts w:cs="Arial"/>
          <w:b/>
        </w:rPr>
        <w:tab/>
        <w:t>Grievance Redress Service (GRS)</w:t>
      </w:r>
    </w:p>
    <w:p w14:paraId="49DFF223" w14:textId="77777777" w:rsidR="009A51B4" w:rsidRPr="009430EB" w:rsidRDefault="009A51B4">
      <w:pPr>
        <w:widowControl w:val="0"/>
        <w:tabs>
          <w:tab w:val="left" w:pos="1134"/>
          <w:tab w:val="left" w:pos="2268"/>
          <w:tab w:val="left" w:pos="2552"/>
        </w:tabs>
        <w:autoSpaceDE w:val="0"/>
        <w:autoSpaceDN w:val="0"/>
        <w:ind w:left="1134"/>
        <w:outlineLvl w:val="3"/>
        <w:rPr>
          <w:rFonts w:cs="Arial"/>
          <w:b/>
          <w:lang w:val="en-US"/>
        </w:rPr>
      </w:pPr>
      <w:r w:rsidRPr="009430EB">
        <w:rPr>
          <w:rFonts w:cs="Arial"/>
          <w:b/>
        </w:rPr>
        <w:tab/>
      </w:r>
      <w:r w:rsidRPr="009430EB">
        <w:rPr>
          <w:rFonts w:cs="Arial"/>
          <w:b/>
          <w:lang w:val="en-US"/>
        </w:rPr>
        <w:t>MSN MC 10-1018</w:t>
      </w:r>
    </w:p>
    <w:p w14:paraId="2F590DCB" w14:textId="77777777" w:rsidR="009A51B4" w:rsidRPr="009430EB" w:rsidRDefault="009A51B4">
      <w:pPr>
        <w:widowControl w:val="0"/>
        <w:tabs>
          <w:tab w:val="left" w:pos="1134"/>
          <w:tab w:val="left" w:pos="2268"/>
          <w:tab w:val="left" w:pos="2552"/>
        </w:tabs>
        <w:autoSpaceDE w:val="0"/>
        <w:autoSpaceDN w:val="0"/>
        <w:ind w:left="1134"/>
        <w:outlineLvl w:val="3"/>
        <w:rPr>
          <w:rFonts w:cs="Arial"/>
          <w:b/>
          <w:lang w:val="en-US"/>
        </w:rPr>
      </w:pPr>
      <w:r w:rsidRPr="009430EB">
        <w:rPr>
          <w:rFonts w:cs="Arial"/>
          <w:b/>
          <w:lang w:val="en-US"/>
        </w:rPr>
        <w:tab/>
        <w:t>1818 H St NW</w:t>
      </w:r>
    </w:p>
    <w:p w14:paraId="0672FFDD" w14:textId="77777777" w:rsidR="009A51B4" w:rsidRPr="005843B0" w:rsidRDefault="009A51B4">
      <w:pPr>
        <w:pStyle w:val="Paragraphedeliste"/>
        <w:ind w:left="0"/>
        <w:rPr>
          <w:rFonts w:cs="Arial"/>
          <w:b/>
          <w:lang w:val="en-US"/>
        </w:rPr>
      </w:pPr>
      <w:r w:rsidRPr="005843B0">
        <w:rPr>
          <w:rFonts w:cs="Arial"/>
          <w:b/>
          <w:lang w:val="en-US"/>
        </w:rPr>
        <w:tab/>
        <w:t xml:space="preserve">                   </w:t>
      </w:r>
      <w:r w:rsidRPr="005843B0">
        <w:rPr>
          <w:rFonts w:cs="Arial"/>
          <w:b/>
          <w:lang w:val="en-US"/>
        </w:rPr>
        <w:tab/>
        <w:t xml:space="preserve">  Washington, DC 20433, USA</w:t>
      </w:r>
    </w:p>
    <w:p w14:paraId="04CE6FF8" w14:textId="77777777" w:rsidR="009A51B4" w:rsidRPr="005843B0" w:rsidRDefault="009A51B4">
      <w:pPr>
        <w:autoSpaceDE w:val="0"/>
        <w:autoSpaceDN w:val="0"/>
        <w:adjustRightInd w:val="0"/>
        <w:rPr>
          <w:rFonts w:cs="Arial"/>
          <w:sz w:val="22"/>
          <w:lang w:val="en-US"/>
        </w:rPr>
      </w:pPr>
    </w:p>
    <w:p w14:paraId="7EAA36C9" w14:textId="77777777" w:rsidR="009A51B4" w:rsidRPr="00EC5BC3" w:rsidRDefault="009A51B4" w:rsidP="00EC5BC3">
      <w:pPr>
        <w:pStyle w:val="Titre2"/>
        <w:numPr>
          <w:ilvl w:val="1"/>
          <w:numId w:val="4"/>
        </w:numPr>
        <w:ind w:left="851" w:hanging="425"/>
        <w:rPr>
          <w:rFonts w:cs="Arial"/>
          <w:b/>
          <w:sz w:val="22"/>
          <w:szCs w:val="22"/>
        </w:rPr>
      </w:pPr>
      <w:bookmarkStart w:id="829" w:name="_Toc64029759"/>
      <w:bookmarkStart w:id="830" w:name="_Toc70330517"/>
      <w:r w:rsidRPr="00EC5BC3">
        <w:rPr>
          <w:rFonts w:cs="Arial"/>
          <w:b/>
          <w:sz w:val="22"/>
          <w:szCs w:val="22"/>
        </w:rPr>
        <w:t>Panel d’inspection</w:t>
      </w:r>
      <w:bookmarkEnd w:id="829"/>
      <w:bookmarkEnd w:id="830"/>
    </w:p>
    <w:p w14:paraId="6304B7FA" w14:textId="77777777" w:rsidR="009A51B4" w:rsidRPr="00C32DB2" w:rsidRDefault="009A51B4" w:rsidP="009A51B4">
      <w:pPr>
        <w:autoSpaceDE w:val="0"/>
        <w:autoSpaceDN w:val="0"/>
        <w:adjustRightInd w:val="0"/>
        <w:rPr>
          <w:rFonts w:cs="Arial"/>
          <w:sz w:val="22"/>
        </w:rPr>
      </w:pPr>
    </w:p>
    <w:p w14:paraId="4712CE82" w14:textId="289FBBCC" w:rsidR="009A51B4" w:rsidRPr="00F9169A" w:rsidRDefault="009A51B4" w:rsidP="00C32DB2">
      <w:pPr>
        <w:autoSpaceDE w:val="0"/>
        <w:autoSpaceDN w:val="0"/>
        <w:adjustRightInd w:val="0"/>
        <w:rPr>
          <w:rFonts w:cs="Arial"/>
          <w:sz w:val="22"/>
        </w:rPr>
      </w:pPr>
      <w:r w:rsidRPr="008821B8">
        <w:rPr>
          <w:rFonts w:cs="Arial"/>
          <w:sz w:val="22"/>
        </w:rPr>
        <w:t>Le Panel d'inspection est un mécanisme de dépôt de plaintes indépendant pour les personnes et les communautés qui pensent subir, ou pouvoir subir, les effets négatifs d’un projet financé par la Banque mondiale. En outre, Il s’agit d’un mécanisme de dépôt de plaintes indépen</w:t>
      </w:r>
      <w:r w:rsidRPr="00F9169A">
        <w:rPr>
          <w:rFonts w:cs="Arial"/>
          <w:sz w:val="22"/>
        </w:rPr>
        <w:t>dant destiné aux personnes qui pensent qu’un projet financé par la Banque mondiale leur a été ou est susceptible de leur être préjudiciable. Le Panel est composé de trois membres de différents pays, choisis pour leur expérience plurielle en matière de développement, leur indépendance et leur intégrité. Chaque membre exerce un mandat non renouvelable de cinq ans. Le Panel est assisté par un Secrétariat. Il est situé au siège de la Banque mondiale, à Washington DC, aux États-Unis. Il relève directement du Conseil des Administrateurs de la Banque, et est indépendant de la Direction de la Banque mondiale.</w:t>
      </w:r>
    </w:p>
    <w:p w14:paraId="37891F27" w14:textId="77777777" w:rsidR="009A51B4" w:rsidRPr="005223A2" w:rsidRDefault="009A51B4" w:rsidP="00C32DB2">
      <w:pPr>
        <w:autoSpaceDE w:val="0"/>
        <w:autoSpaceDN w:val="0"/>
        <w:adjustRightInd w:val="0"/>
        <w:rPr>
          <w:rFonts w:cs="Arial"/>
          <w:sz w:val="22"/>
        </w:rPr>
      </w:pPr>
    </w:p>
    <w:p w14:paraId="227CF16A" w14:textId="5CAF8C2C" w:rsidR="009A51B4" w:rsidRPr="005223A2" w:rsidRDefault="009A51B4" w:rsidP="008821B8">
      <w:pPr>
        <w:autoSpaceDE w:val="0"/>
        <w:autoSpaceDN w:val="0"/>
        <w:adjustRightInd w:val="0"/>
        <w:rPr>
          <w:rFonts w:cs="Arial"/>
          <w:b/>
          <w:i/>
          <w:sz w:val="22"/>
        </w:rPr>
      </w:pPr>
      <w:r w:rsidRPr="005223A2">
        <w:rPr>
          <w:rFonts w:cs="Arial"/>
          <w:b/>
          <w:i/>
          <w:sz w:val="22"/>
        </w:rPr>
        <w:t>Procédure de dépôt des plaintes</w:t>
      </w:r>
    </w:p>
    <w:p w14:paraId="2E46259C" w14:textId="55A15CBC" w:rsidR="009A51B4" w:rsidRPr="005223A2" w:rsidRDefault="009A51B4" w:rsidP="008821B8">
      <w:pPr>
        <w:autoSpaceDE w:val="0"/>
        <w:autoSpaceDN w:val="0"/>
        <w:adjustRightInd w:val="0"/>
        <w:rPr>
          <w:rFonts w:cs="Arial"/>
          <w:sz w:val="22"/>
        </w:rPr>
      </w:pPr>
    </w:p>
    <w:p w14:paraId="541D8AB1" w14:textId="205BF113" w:rsidR="009A51B4" w:rsidRPr="008368D3" w:rsidRDefault="009A51B4" w:rsidP="008821B8">
      <w:pPr>
        <w:autoSpaceDE w:val="0"/>
        <w:autoSpaceDN w:val="0"/>
        <w:adjustRightInd w:val="0"/>
        <w:rPr>
          <w:rFonts w:cs="Arial"/>
        </w:rPr>
      </w:pPr>
      <w:r w:rsidRPr="005223A2">
        <w:rPr>
          <w:rFonts w:cs="Arial"/>
        </w:rPr>
        <w:t>Une pla</w:t>
      </w:r>
      <w:r w:rsidRPr="008368D3">
        <w:rPr>
          <w:rFonts w:cs="Arial"/>
        </w:rPr>
        <w:t xml:space="preserve">inte (demande d’inspection) peut être déposée par lettre ou par courrier électronique. Veuillez noter que celle-ci peut être rédigée par tout citoyen sans l’aide d’experts ou d’avocats. </w:t>
      </w:r>
    </w:p>
    <w:p w14:paraId="0C5E8AE9" w14:textId="023C2765" w:rsidR="009A51B4" w:rsidRPr="00DD3424" w:rsidRDefault="009A51B4" w:rsidP="00F9169A">
      <w:pPr>
        <w:autoSpaceDE w:val="0"/>
        <w:autoSpaceDN w:val="0"/>
        <w:adjustRightInd w:val="0"/>
        <w:rPr>
          <w:rFonts w:cs="Arial"/>
        </w:rPr>
      </w:pPr>
    </w:p>
    <w:p w14:paraId="2203C19F" w14:textId="58BFF7BA" w:rsidR="009A51B4" w:rsidRPr="00DD3424" w:rsidRDefault="009A51B4" w:rsidP="00F9169A">
      <w:pPr>
        <w:autoSpaceDE w:val="0"/>
        <w:autoSpaceDN w:val="0"/>
        <w:adjustRightInd w:val="0"/>
        <w:rPr>
          <w:rFonts w:cs="Arial"/>
        </w:rPr>
      </w:pPr>
      <w:r w:rsidRPr="00DD3424">
        <w:rPr>
          <w:rFonts w:cs="Arial"/>
        </w:rPr>
        <w:t xml:space="preserve">Elle doit être signée et inclure les informations énumérées ci-dessous : </w:t>
      </w:r>
    </w:p>
    <w:p w14:paraId="0527B45A" w14:textId="578F7097" w:rsidR="009A51B4" w:rsidRPr="00DD3424" w:rsidRDefault="009A51B4" w:rsidP="00F9169A">
      <w:pPr>
        <w:autoSpaceDE w:val="0"/>
        <w:autoSpaceDN w:val="0"/>
        <w:adjustRightInd w:val="0"/>
        <w:rPr>
          <w:rFonts w:cs="Arial"/>
        </w:rPr>
      </w:pPr>
    </w:p>
    <w:p w14:paraId="5F3E8E06" w14:textId="13B48BBF" w:rsidR="009A51B4" w:rsidRPr="009430EB" w:rsidRDefault="009A51B4" w:rsidP="002378EA">
      <w:pPr>
        <w:numPr>
          <w:ilvl w:val="0"/>
          <w:numId w:val="56"/>
        </w:numPr>
        <w:autoSpaceDE w:val="0"/>
        <w:autoSpaceDN w:val="0"/>
        <w:adjustRightInd w:val="0"/>
        <w:rPr>
          <w:rFonts w:cs="Arial"/>
          <w:sz w:val="22"/>
        </w:rPr>
      </w:pPr>
      <w:r w:rsidRPr="009430EB">
        <w:rPr>
          <w:rFonts w:cs="Arial"/>
        </w:rPr>
        <w:t xml:space="preserve">Vos noms (il doit y avoir deux demandeurs ou plus) et le lieu où vous vivez. Si vous désignez un individu ou une organisation pour vous représenter, leur nom ainsi qu’une déclaration signée les autorisant à agir en tant que votre représentant doivent être inclus. </w:t>
      </w:r>
    </w:p>
    <w:p w14:paraId="7DDB7842" w14:textId="3B77AAE6" w:rsidR="009A51B4" w:rsidRPr="009430EB" w:rsidRDefault="009A51B4" w:rsidP="002378EA">
      <w:pPr>
        <w:numPr>
          <w:ilvl w:val="0"/>
          <w:numId w:val="56"/>
        </w:numPr>
        <w:autoSpaceDE w:val="0"/>
        <w:autoSpaceDN w:val="0"/>
        <w:adjustRightInd w:val="0"/>
        <w:rPr>
          <w:rFonts w:cs="Arial"/>
          <w:sz w:val="22"/>
        </w:rPr>
      </w:pPr>
      <w:r w:rsidRPr="009430EB">
        <w:rPr>
          <w:rFonts w:cs="Arial"/>
        </w:rPr>
        <w:t xml:space="preserve">Le titre (si vous le connaissez) du projet soutenu par la Banque mondiale qui vous préoccupe. </w:t>
      </w:r>
    </w:p>
    <w:p w14:paraId="67A17462" w14:textId="62472A29" w:rsidR="009A51B4" w:rsidRPr="00F32DE7" w:rsidRDefault="009A51B4" w:rsidP="002378EA">
      <w:pPr>
        <w:numPr>
          <w:ilvl w:val="0"/>
          <w:numId w:val="56"/>
        </w:numPr>
        <w:autoSpaceDE w:val="0"/>
        <w:autoSpaceDN w:val="0"/>
        <w:adjustRightInd w:val="0"/>
        <w:rPr>
          <w:rFonts w:cs="Arial"/>
          <w:sz w:val="22"/>
        </w:rPr>
      </w:pPr>
      <w:r w:rsidRPr="005843B0">
        <w:rPr>
          <w:rFonts w:cs="Arial"/>
        </w:rPr>
        <w:t xml:space="preserve">Une description du préjudice que vous—ou l’environnement dans lequel vous vivez—avez subi ou le préjudice qui, selon vous, est susceptible de survenir en conséquence du projet. </w:t>
      </w:r>
    </w:p>
    <w:p w14:paraId="37FACFE9" w14:textId="51BCA905" w:rsidR="009A51B4" w:rsidRPr="00744484" w:rsidRDefault="009A51B4" w:rsidP="002378EA">
      <w:pPr>
        <w:numPr>
          <w:ilvl w:val="0"/>
          <w:numId w:val="56"/>
        </w:numPr>
        <w:autoSpaceDE w:val="0"/>
        <w:autoSpaceDN w:val="0"/>
        <w:adjustRightInd w:val="0"/>
        <w:rPr>
          <w:rFonts w:cs="Arial"/>
          <w:sz w:val="22"/>
        </w:rPr>
      </w:pPr>
      <w:r w:rsidRPr="00F32DE7">
        <w:rPr>
          <w:rFonts w:cs="Arial"/>
        </w:rPr>
        <w:t>Une description—dans la mesure de vos connaissances—de la raison pour laquelle la Banque a failli à ses politiques et à ses procédures, et de la manière dont cela a causé un préjudice (mais veuillez noter qu’une demande d’i</w:t>
      </w:r>
      <w:r w:rsidRPr="00744484">
        <w:rPr>
          <w:rFonts w:cs="Arial"/>
        </w:rPr>
        <w:t xml:space="preserve">nspection ne nécessite pas l’identification de politiques spécifiques de la Banque pour être prise en considération). </w:t>
      </w:r>
    </w:p>
    <w:p w14:paraId="2C06DE3C" w14:textId="024D5237" w:rsidR="009A51B4" w:rsidRPr="00CC7241" w:rsidRDefault="009A51B4" w:rsidP="002378EA">
      <w:pPr>
        <w:numPr>
          <w:ilvl w:val="0"/>
          <w:numId w:val="56"/>
        </w:numPr>
        <w:autoSpaceDE w:val="0"/>
        <w:autoSpaceDN w:val="0"/>
        <w:adjustRightInd w:val="0"/>
        <w:rPr>
          <w:rFonts w:cs="Arial"/>
          <w:sz w:val="22"/>
        </w:rPr>
      </w:pPr>
      <w:r w:rsidRPr="00CC7241">
        <w:rPr>
          <w:rFonts w:cs="Arial"/>
        </w:rPr>
        <w:t xml:space="preserve">Un récit expliquant quand et comment vous avez informé la Banque à propos de vos préoccupations et pourquoi vous n’êtes pas satisfait de la réponse apportée par la Banque. </w:t>
      </w:r>
    </w:p>
    <w:p w14:paraId="1E886D4E" w14:textId="0448EE75" w:rsidR="009A51B4" w:rsidRPr="00D20A53" w:rsidRDefault="009A51B4" w:rsidP="002378EA">
      <w:pPr>
        <w:numPr>
          <w:ilvl w:val="0"/>
          <w:numId w:val="56"/>
        </w:numPr>
        <w:autoSpaceDE w:val="0"/>
        <w:autoSpaceDN w:val="0"/>
        <w:adjustRightInd w:val="0"/>
        <w:rPr>
          <w:rFonts w:cs="Arial"/>
        </w:rPr>
      </w:pPr>
      <w:r w:rsidRPr="00CC7241">
        <w:rPr>
          <w:rFonts w:cs="Arial"/>
        </w:rPr>
        <w:t>Si vous le souhaitez, vous pouvez décrire les actions qui pourraient répondre à vos préoccupations. L’anglais est le langage officiel utilisé lors de la procédure du Panel, mais vous pouvez déposer une plainte dans votre</w:t>
      </w:r>
      <w:r w:rsidRPr="00D20A53">
        <w:rPr>
          <w:rFonts w:cs="Arial"/>
        </w:rPr>
        <w:t xml:space="preserve"> propre langue. Celle-ci peut être envoyée en version papier à notre adresse postale (se référer aux Coordonnées à la dernière page) ou par e-mail à l’adresse suivante : ipanel@worldbank.org. </w:t>
      </w:r>
    </w:p>
    <w:p w14:paraId="72D60414" w14:textId="2DE34F9A" w:rsidR="009A51B4" w:rsidRPr="009B164E" w:rsidRDefault="009A51B4" w:rsidP="002378EA">
      <w:pPr>
        <w:numPr>
          <w:ilvl w:val="0"/>
          <w:numId w:val="56"/>
        </w:numPr>
        <w:autoSpaceDE w:val="0"/>
        <w:autoSpaceDN w:val="0"/>
        <w:adjustRightInd w:val="0"/>
        <w:rPr>
          <w:rFonts w:cs="Arial"/>
        </w:rPr>
      </w:pPr>
      <w:r w:rsidRPr="00956B53">
        <w:rPr>
          <w:rFonts w:cs="Arial"/>
        </w:rPr>
        <w:t>un modèle de formulaire de plainte su</w:t>
      </w:r>
      <w:r w:rsidRPr="009B164E">
        <w:rPr>
          <w:rFonts w:cs="Arial"/>
        </w:rPr>
        <w:t xml:space="preserve">r le site du Panel : www.inspectionpanel.org, ainsi que d’autres informations concernant le Panel, dont une série de questions les plus fréquemment posées et leurs réponses. </w:t>
      </w:r>
    </w:p>
    <w:p w14:paraId="17675CB1" w14:textId="0471A0B7" w:rsidR="009A51B4" w:rsidRPr="00D42235" w:rsidRDefault="009A51B4" w:rsidP="009A51B4">
      <w:pPr>
        <w:autoSpaceDE w:val="0"/>
        <w:autoSpaceDN w:val="0"/>
        <w:adjustRightInd w:val="0"/>
        <w:rPr>
          <w:rFonts w:cs="Arial"/>
        </w:rPr>
      </w:pPr>
    </w:p>
    <w:p w14:paraId="735BBBA7" w14:textId="162F30D3" w:rsidR="009A51B4" w:rsidRPr="00E800E3" w:rsidRDefault="009A51B4" w:rsidP="00C32DB2">
      <w:pPr>
        <w:autoSpaceDE w:val="0"/>
        <w:autoSpaceDN w:val="0"/>
        <w:adjustRightInd w:val="0"/>
        <w:rPr>
          <w:rFonts w:cs="Arial"/>
          <w:b/>
          <w:u w:val="single"/>
        </w:rPr>
      </w:pPr>
      <w:r w:rsidRPr="00E800E3">
        <w:rPr>
          <w:rFonts w:cs="Arial"/>
          <w:b/>
          <w:u w:val="single"/>
        </w:rPr>
        <w:t xml:space="preserve">Procédure de traitement des plaintes du Panel </w:t>
      </w:r>
    </w:p>
    <w:p w14:paraId="213AEF34" w14:textId="2B70C5CD" w:rsidR="009A51B4" w:rsidRPr="00FC60B1" w:rsidRDefault="009A51B4" w:rsidP="00C32DB2">
      <w:pPr>
        <w:autoSpaceDE w:val="0"/>
        <w:autoSpaceDN w:val="0"/>
        <w:adjustRightInd w:val="0"/>
        <w:rPr>
          <w:rFonts w:cs="Arial"/>
        </w:rPr>
      </w:pPr>
    </w:p>
    <w:p w14:paraId="6CF76957" w14:textId="47C89A6D" w:rsidR="009A51B4" w:rsidRPr="003831FA" w:rsidRDefault="009A51B4" w:rsidP="008821B8">
      <w:pPr>
        <w:autoSpaceDE w:val="0"/>
        <w:autoSpaceDN w:val="0"/>
        <w:adjustRightInd w:val="0"/>
        <w:rPr>
          <w:rFonts w:cs="Arial"/>
        </w:rPr>
      </w:pPr>
      <w:r w:rsidRPr="0021620B">
        <w:rPr>
          <w:rFonts w:cs="Arial"/>
        </w:rPr>
        <w:t>Le dépôt d’une plainte auprès du Panel peu</w:t>
      </w:r>
      <w:r w:rsidRPr="003831FA">
        <w:rPr>
          <w:rFonts w:cs="Arial"/>
        </w:rPr>
        <w:t xml:space="preserve">t : </w:t>
      </w:r>
    </w:p>
    <w:p w14:paraId="6A912B6F" w14:textId="75D9282D" w:rsidR="009A51B4" w:rsidRPr="002C45C0" w:rsidRDefault="009A51B4" w:rsidP="008821B8">
      <w:pPr>
        <w:autoSpaceDE w:val="0"/>
        <w:autoSpaceDN w:val="0"/>
        <w:adjustRightInd w:val="0"/>
        <w:rPr>
          <w:rFonts w:cs="Arial"/>
        </w:rPr>
      </w:pPr>
    </w:p>
    <w:p w14:paraId="5E3C32D7" w14:textId="1250B7F9" w:rsidR="009A51B4" w:rsidRPr="00E23149" w:rsidRDefault="009A51B4" w:rsidP="002378EA">
      <w:pPr>
        <w:numPr>
          <w:ilvl w:val="0"/>
          <w:numId w:val="56"/>
        </w:numPr>
        <w:autoSpaceDE w:val="0"/>
        <w:autoSpaceDN w:val="0"/>
        <w:adjustRightInd w:val="0"/>
        <w:rPr>
          <w:rFonts w:cs="Arial"/>
        </w:rPr>
      </w:pPr>
      <w:r w:rsidRPr="00E23149">
        <w:rPr>
          <w:rFonts w:cs="Arial"/>
        </w:rPr>
        <w:t>Amener la Direction de la Banque mondiale à prendre des mesures pour corriger le préjudice, que ce soit au début de la procédure ou suite à un plan d’action de la Direction, à une décision et une directive du Conseil au terme de l’enquête du Panel ;</w:t>
      </w:r>
    </w:p>
    <w:p w14:paraId="46774310" w14:textId="0A01AF47" w:rsidR="009A51B4" w:rsidRPr="00CD3A31" w:rsidRDefault="009A51B4" w:rsidP="002378EA">
      <w:pPr>
        <w:numPr>
          <w:ilvl w:val="0"/>
          <w:numId w:val="56"/>
        </w:numPr>
        <w:autoSpaceDE w:val="0"/>
        <w:autoSpaceDN w:val="0"/>
        <w:adjustRightInd w:val="0"/>
        <w:rPr>
          <w:rFonts w:cs="Arial"/>
        </w:rPr>
      </w:pPr>
      <w:r w:rsidRPr="00B471E3">
        <w:rPr>
          <w:rFonts w:cs="Arial"/>
        </w:rPr>
        <w:t xml:space="preserve">Conduire le Panel à déterminer si des violations des politiques et procédures de la Banque mondiale ont été en lien avec le préjudice ; </w:t>
      </w:r>
    </w:p>
    <w:p w14:paraId="6854984C" w14:textId="119446AD" w:rsidR="009A51B4" w:rsidRPr="008512CA" w:rsidRDefault="009A51B4" w:rsidP="002378EA">
      <w:pPr>
        <w:numPr>
          <w:ilvl w:val="0"/>
          <w:numId w:val="56"/>
        </w:numPr>
        <w:autoSpaceDE w:val="0"/>
        <w:autoSpaceDN w:val="0"/>
        <w:adjustRightInd w:val="0"/>
        <w:rPr>
          <w:rFonts w:cs="Arial"/>
        </w:rPr>
      </w:pPr>
      <w:r w:rsidRPr="008512CA">
        <w:rPr>
          <w:rFonts w:cs="Arial"/>
        </w:rPr>
        <w:t xml:space="preserve">Permettre d’attirer l’attention sur le préjudice ou le préjudice potentiel, et de tirer des enseignements qui contribueront à éviter un tel préjudice lors des futurs projets de la Banque. Le dépôt d’une plainte auprès du Panel ne pourra pas : </w:t>
      </w:r>
    </w:p>
    <w:p w14:paraId="1063937F" w14:textId="5C89701C" w:rsidR="009A51B4" w:rsidRPr="005A4369" w:rsidRDefault="009A51B4" w:rsidP="002378EA">
      <w:pPr>
        <w:numPr>
          <w:ilvl w:val="0"/>
          <w:numId w:val="56"/>
        </w:numPr>
        <w:autoSpaceDE w:val="0"/>
        <w:autoSpaceDN w:val="0"/>
        <w:adjustRightInd w:val="0"/>
        <w:rPr>
          <w:rFonts w:cs="Arial"/>
        </w:rPr>
      </w:pPr>
      <w:r w:rsidRPr="006B658C">
        <w:rPr>
          <w:rFonts w:cs="Arial"/>
        </w:rPr>
        <w:t>Garantir que le préjudice causé par le projet financé par la Banque mondiale prendra fin ou sera empêché, puisque le Pane</w:t>
      </w:r>
      <w:r w:rsidRPr="005A4369">
        <w:rPr>
          <w:rFonts w:cs="Arial"/>
        </w:rPr>
        <w:t xml:space="preserve">l n’est pas un tribunal disposant d’un pouvoir d’exécution. Cependant, le Panel relève directement du Conseil des Administrateurs de la Banque, et la Direction de la Banque à la responsabilité de donner suite et de répondre aux constatations du Panel. </w:t>
      </w:r>
    </w:p>
    <w:p w14:paraId="571E3A97" w14:textId="7461B97E" w:rsidR="009A51B4" w:rsidRPr="00DA5D97" w:rsidRDefault="009A51B4" w:rsidP="002378EA">
      <w:pPr>
        <w:numPr>
          <w:ilvl w:val="0"/>
          <w:numId w:val="56"/>
        </w:numPr>
        <w:autoSpaceDE w:val="0"/>
        <w:autoSpaceDN w:val="0"/>
        <w:adjustRightInd w:val="0"/>
        <w:rPr>
          <w:rFonts w:cs="Arial"/>
        </w:rPr>
      </w:pPr>
      <w:r w:rsidRPr="005A4369">
        <w:rPr>
          <w:rFonts w:cs="Arial"/>
        </w:rPr>
        <w:t>Éta</w:t>
      </w:r>
      <w:r w:rsidRPr="00DA5D97">
        <w:rPr>
          <w:rFonts w:cs="Arial"/>
        </w:rPr>
        <w:t xml:space="preserve">blir la culpabilité ou l’innocence des membres individuels du personnel de la Banque ; au lieu de cela, le Panel examine les questions de conformité en envisageant la Direction de la Banque dans son ensemble. </w:t>
      </w:r>
    </w:p>
    <w:p w14:paraId="3DBA8953" w14:textId="3E260A73" w:rsidR="009A51B4" w:rsidRPr="00ED1B4B" w:rsidRDefault="009A51B4" w:rsidP="002378EA">
      <w:pPr>
        <w:numPr>
          <w:ilvl w:val="0"/>
          <w:numId w:val="56"/>
        </w:numPr>
        <w:autoSpaceDE w:val="0"/>
        <w:autoSpaceDN w:val="0"/>
        <w:adjustRightInd w:val="0"/>
        <w:rPr>
          <w:rFonts w:cs="Arial"/>
        </w:rPr>
      </w:pPr>
      <w:r w:rsidRPr="00DA5D97">
        <w:rPr>
          <w:rFonts w:cs="Arial"/>
        </w:rPr>
        <w:t>Aboutir à une enquête sur le gouvernement empr</w:t>
      </w:r>
      <w:r w:rsidRPr="00ED1B4B">
        <w:rPr>
          <w:rFonts w:cs="Arial"/>
        </w:rPr>
        <w:t>unteur, le Panel enquêtant sur la Banque et non sur l’emprunteur.</w:t>
      </w:r>
    </w:p>
    <w:p w14:paraId="38330028" w14:textId="546BA050" w:rsidR="009A51B4" w:rsidRPr="00EC5BC3" w:rsidRDefault="009A51B4" w:rsidP="00EC5BC3">
      <w:pPr>
        <w:pStyle w:val="Listepuces"/>
        <w:spacing w:line="276" w:lineRule="auto"/>
        <w:ind w:left="0" w:firstLine="0"/>
        <w:rPr>
          <w:rFonts w:ascii="Arial" w:hAnsi="Arial" w:cs="Arial"/>
        </w:rPr>
      </w:pPr>
    </w:p>
    <w:p w14:paraId="1799D18E" w14:textId="6D847FF6" w:rsidR="009A51B4" w:rsidRPr="00C32DB2" w:rsidRDefault="009A51B4" w:rsidP="009A51B4">
      <w:pPr>
        <w:pStyle w:val="Lgende"/>
        <w:rPr>
          <w:rFonts w:cs="Arial"/>
        </w:rPr>
      </w:pPr>
      <w:bookmarkStart w:id="831" w:name="_Toc64029813"/>
      <w:bookmarkStart w:id="832" w:name="_Toc70451687"/>
      <w:r w:rsidRPr="00EC5BC3">
        <w:rPr>
          <w:rFonts w:cs="Arial"/>
        </w:rPr>
        <w:t xml:space="preserve">Tableau </w:t>
      </w:r>
      <w:r w:rsidRPr="00EC5BC3">
        <w:rPr>
          <w:rFonts w:cs="Arial"/>
          <w:noProof/>
        </w:rPr>
        <w:fldChar w:fldCharType="begin"/>
      </w:r>
      <w:r w:rsidRPr="00EC5BC3">
        <w:rPr>
          <w:rFonts w:cs="Arial"/>
          <w:noProof/>
        </w:rPr>
        <w:instrText xml:space="preserve"> SEQ Tableau \* ARABIC </w:instrText>
      </w:r>
      <w:r w:rsidRPr="00EC5BC3">
        <w:rPr>
          <w:rFonts w:cs="Arial"/>
          <w:noProof/>
        </w:rPr>
        <w:fldChar w:fldCharType="separate"/>
      </w:r>
      <w:r w:rsidR="001260B3">
        <w:rPr>
          <w:rFonts w:cs="Arial"/>
          <w:noProof/>
        </w:rPr>
        <w:t>41</w:t>
      </w:r>
      <w:r w:rsidRPr="00EC5BC3">
        <w:rPr>
          <w:rFonts w:cs="Arial"/>
          <w:noProof/>
        </w:rPr>
        <w:fldChar w:fldCharType="end"/>
      </w:r>
      <w:r w:rsidRPr="009A51B4">
        <w:rPr>
          <w:rFonts w:cs="Arial"/>
        </w:rPr>
        <w:t xml:space="preserve">  </w:t>
      </w:r>
      <w:r w:rsidRPr="00C32DB2">
        <w:rPr>
          <w:rFonts w:cs="Arial"/>
        </w:rPr>
        <w:t>Les 4 étapes de la procédure suivie par le Panel d’inspection</w:t>
      </w:r>
      <w:bookmarkEnd w:id="831"/>
      <w:bookmarkEnd w:id="832"/>
      <w:r w:rsidRPr="00C32DB2">
        <w:rPr>
          <w:rFonts w:cs="Arial"/>
        </w:rPr>
        <w:t> </w:t>
      </w:r>
    </w:p>
    <w:p w14:paraId="0308F1F5" w14:textId="0F2DE67F" w:rsidR="009A51B4" w:rsidRPr="00EC5BC3" w:rsidRDefault="009A51B4" w:rsidP="00EC5BC3">
      <w:pPr>
        <w:pStyle w:val="Listepuces"/>
        <w:spacing w:line="276" w:lineRule="auto"/>
        <w:ind w:left="0" w:firstLine="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425"/>
        <w:gridCol w:w="2425"/>
        <w:gridCol w:w="1781"/>
      </w:tblGrid>
      <w:tr w:rsidR="009A51B4" w:rsidRPr="009A51B4" w14:paraId="3599687B" w14:textId="1A89CAC4" w:rsidTr="00F9169A">
        <w:tc>
          <w:tcPr>
            <w:tcW w:w="2473" w:type="dxa"/>
            <w:shd w:val="clear" w:color="auto" w:fill="9CC2E5"/>
          </w:tcPr>
          <w:p w14:paraId="0936EE6B" w14:textId="6EF05FCA" w:rsidR="009A51B4" w:rsidRPr="00EC5BC3" w:rsidRDefault="009A51B4" w:rsidP="00EC5BC3">
            <w:pPr>
              <w:pStyle w:val="Listepuces"/>
              <w:spacing w:line="276" w:lineRule="auto"/>
              <w:ind w:left="0" w:firstLine="0"/>
              <w:jc w:val="center"/>
              <w:rPr>
                <w:rFonts w:ascii="Arial" w:hAnsi="Arial" w:cs="Arial"/>
                <w:b/>
              </w:rPr>
            </w:pPr>
          </w:p>
          <w:p w14:paraId="1B652B02" w14:textId="130ACF6E" w:rsidR="009A51B4" w:rsidRPr="00EC5BC3" w:rsidRDefault="009A51B4" w:rsidP="00EC5BC3">
            <w:pPr>
              <w:pStyle w:val="Listepuces"/>
              <w:spacing w:line="276" w:lineRule="auto"/>
              <w:ind w:left="0" w:firstLine="0"/>
              <w:jc w:val="center"/>
              <w:rPr>
                <w:rFonts w:ascii="Arial" w:hAnsi="Arial" w:cs="Arial"/>
                <w:b/>
              </w:rPr>
            </w:pPr>
            <w:r w:rsidRPr="00EC5BC3">
              <w:rPr>
                <w:rFonts w:ascii="Arial" w:hAnsi="Arial" w:cs="Arial"/>
                <w:b/>
              </w:rPr>
              <w:t>1</w:t>
            </w:r>
            <w:r w:rsidRPr="00EC5BC3">
              <w:rPr>
                <w:rFonts w:ascii="Arial" w:hAnsi="Arial" w:cs="Arial"/>
                <w:b/>
                <w:vertAlign w:val="superscript"/>
              </w:rPr>
              <w:t>ère</w:t>
            </w:r>
            <w:r w:rsidRPr="00EC5BC3">
              <w:rPr>
                <w:rFonts w:ascii="Arial" w:hAnsi="Arial" w:cs="Arial"/>
                <w:b/>
              </w:rPr>
              <w:t xml:space="preserve"> Etape</w:t>
            </w:r>
          </w:p>
          <w:p w14:paraId="132FB5AD" w14:textId="20C46BE1" w:rsidR="009A51B4" w:rsidRPr="00EC5BC3" w:rsidRDefault="009A51B4" w:rsidP="00EC5BC3">
            <w:pPr>
              <w:pStyle w:val="Listepuces"/>
              <w:spacing w:line="276" w:lineRule="auto"/>
              <w:ind w:left="0" w:firstLine="0"/>
              <w:jc w:val="center"/>
              <w:rPr>
                <w:rFonts w:ascii="Arial" w:hAnsi="Arial" w:cs="Arial"/>
                <w:b/>
              </w:rPr>
            </w:pPr>
          </w:p>
        </w:tc>
        <w:tc>
          <w:tcPr>
            <w:tcW w:w="2468" w:type="dxa"/>
            <w:shd w:val="clear" w:color="auto" w:fill="F7CAAC"/>
          </w:tcPr>
          <w:p w14:paraId="28595CCB" w14:textId="2A6B6411" w:rsidR="009A51B4" w:rsidRPr="00EC5BC3" w:rsidRDefault="009A51B4" w:rsidP="00EC5BC3">
            <w:pPr>
              <w:pStyle w:val="Listepuces"/>
              <w:spacing w:line="276" w:lineRule="auto"/>
              <w:ind w:left="0" w:firstLine="0"/>
              <w:jc w:val="center"/>
              <w:rPr>
                <w:rFonts w:ascii="Arial" w:hAnsi="Arial" w:cs="Arial"/>
                <w:b/>
              </w:rPr>
            </w:pPr>
          </w:p>
          <w:p w14:paraId="074996A7" w14:textId="2D6DBCC8" w:rsidR="009A51B4" w:rsidRPr="00EC5BC3" w:rsidRDefault="009A51B4" w:rsidP="00EC5BC3">
            <w:pPr>
              <w:pStyle w:val="Listepuces"/>
              <w:spacing w:line="276" w:lineRule="auto"/>
              <w:ind w:left="0" w:firstLine="0"/>
              <w:jc w:val="center"/>
              <w:rPr>
                <w:rFonts w:ascii="Arial" w:hAnsi="Arial" w:cs="Arial"/>
                <w:b/>
              </w:rPr>
            </w:pPr>
            <w:r w:rsidRPr="00EC5BC3">
              <w:rPr>
                <w:rFonts w:ascii="Arial" w:hAnsi="Arial" w:cs="Arial"/>
                <w:b/>
              </w:rPr>
              <w:t>2</w:t>
            </w:r>
            <w:r w:rsidRPr="00EC5BC3">
              <w:rPr>
                <w:rFonts w:ascii="Arial" w:hAnsi="Arial" w:cs="Arial"/>
                <w:b/>
                <w:vertAlign w:val="superscript"/>
              </w:rPr>
              <w:t>ème</w:t>
            </w:r>
            <w:r w:rsidRPr="00EC5BC3">
              <w:rPr>
                <w:rFonts w:ascii="Arial" w:hAnsi="Arial" w:cs="Arial"/>
                <w:b/>
              </w:rPr>
              <w:t xml:space="preserve"> Etape</w:t>
            </w:r>
          </w:p>
        </w:tc>
        <w:tc>
          <w:tcPr>
            <w:tcW w:w="2468" w:type="dxa"/>
            <w:shd w:val="clear" w:color="auto" w:fill="C5E0B3"/>
          </w:tcPr>
          <w:p w14:paraId="2D2537A8" w14:textId="65F004A5" w:rsidR="009A51B4" w:rsidRPr="00EC5BC3" w:rsidRDefault="009A51B4" w:rsidP="00EC5BC3">
            <w:pPr>
              <w:pStyle w:val="Listepuces"/>
              <w:spacing w:line="276" w:lineRule="auto"/>
              <w:ind w:left="0" w:firstLine="0"/>
              <w:jc w:val="center"/>
              <w:rPr>
                <w:rFonts w:ascii="Arial" w:hAnsi="Arial" w:cs="Arial"/>
                <w:b/>
              </w:rPr>
            </w:pPr>
          </w:p>
          <w:p w14:paraId="07D505F5" w14:textId="1085F621" w:rsidR="009A51B4" w:rsidRPr="00EC5BC3" w:rsidRDefault="009A51B4" w:rsidP="00EC5BC3">
            <w:pPr>
              <w:pStyle w:val="Listepuces"/>
              <w:spacing w:line="276" w:lineRule="auto"/>
              <w:ind w:left="0" w:firstLine="0"/>
              <w:jc w:val="center"/>
              <w:rPr>
                <w:rFonts w:ascii="Arial" w:hAnsi="Arial" w:cs="Arial"/>
                <w:b/>
              </w:rPr>
            </w:pPr>
            <w:r w:rsidRPr="00EC5BC3">
              <w:rPr>
                <w:rFonts w:ascii="Arial" w:hAnsi="Arial" w:cs="Arial"/>
                <w:b/>
              </w:rPr>
              <w:t>3</w:t>
            </w:r>
            <w:r w:rsidRPr="00EC5BC3">
              <w:rPr>
                <w:rFonts w:ascii="Arial" w:hAnsi="Arial" w:cs="Arial"/>
                <w:b/>
                <w:vertAlign w:val="superscript"/>
              </w:rPr>
              <w:t>ème</w:t>
            </w:r>
            <w:r w:rsidRPr="00EC5BC3">
              <w:rPr>
                <w:rFonts w:ascii="Arial" w:hAnsi="Arial" w:cs="Arial"/>
                <w:b/>
              </w:rPr>
              <w:t xml:space="preserve"> Etape</w:t>
            </w:r>
          </w:p>
        </w:tc>
        <w:tc>
          <w:tcPr>
            <w:tcW w:w="1833" w:type="dxa"/>
            <w:shd w:val="clear" w:color="auto" w:fill="FBE4D5"/>
          </w:tcPr>
          <w:p w14:paraId="125242A3" w14:textId="7E400F13" w:rsidR="009A51B4" w:rsidRPr="00EC5BC3" w:rsidRDefault="009A51B4" w:rsidP="00EC5BC3">
            <w:pPr>
              <w:pStyle w:val="Listepuces"/>
              <w:spacing w:line="276" w:lineRule="auto"/>
              <w:ind w:left="0" w:firstLine="0"/>
              <w:jc w:val="center"/>
              <w:rPr>
                <w:rFonts w:ascii="Arial" w:hAnsi="Arial" w:cs="Arial"/>
                <w:b/>
              </w:rPr>
            </w:pPr>
          </w:p>
          <w:p w14:paraId="78D33300" w14:textId="3E6EB44D" w:rsidR="009A51B4" w:rsidRPr="00EC5BC3" w:rsidRDefault="009A51B4" w:rsidP="00EC5BC3">
            <w:pPr>
              <w:pStyle w:val="Listepuces"/>
              <w:spacing w:line="276" w:lineRule="auto"/>
              <w:ind w:left="0" w:firstLine="0"/>
              <w:jc w:val="center"/>
              <w:rPr>
                <w:rFonts w:ascii="Arial" w:hAnsi="Arial" w:cs="Arial"/>
                <w:b/>
              </w:rPr>
            </w:pPr>
            <w:r w:rsidRPr="00EC5BC3">
              <w:rPr>
                <w:rFonts w:ascii="Arial" w:hAnsi="Arial" w:cs="Arial"/>
                <w:b/>
              </w:rPr>
              <w:t>4</w:t>
            </w:r>
            <w:r w:rsidRPr="00EC5BC3">
              <w:rPr>
                <w:rFonts w:ascii="Arial" w:hAnsi="Arial" w:cs="Arial"/>
                <w:b/>
                <w:vertAlign w:val="superscript"/>
              </w:rPr>
              <w:t>ème</w:t>
            </w:r>
            <w:r w:rsidRPr="00EC5BC3">
              <w:rPr>
                <w:rFonts w:ascii="Arial" w:hAnsi="Arial" w:cs="Arial"/>
                <w:b/>
              </w:rPr>
              <w:t xml:space="preserve"> Etape</w:t>
            </w:r>
          </w:p>
          <w:p w14:paraId="59589001" w14:textId="3807B3CE" w:rsidR="009A51B4" w:rsidRPr="00EC5BC3" w:rsidRDefault="009A51B4" w:rsidP="00EC5BC3">
            <w:pPr>
              <w:pStyle w:val="Listepuces"/>
              <w:spacing w:line="276" w:lineRule="auto"/>
              <w:ind w:left="0" w:firstLine="0"/>
              <w:jc w:val="center"/>
              <w:rPr>
                <w:rFonts w:ascii="Arial" w:hAnsi="Arial" w:cs="Arial"/>
                <w:b/>
              </w:rPr>
            </w:pPr>
          </w:p>
        </w:tc>
      </w:tr>
      <w:tr w:rsidR="009A51B4" w:rsidRPr="009A51B4" w14:paraId="5A3D4F84" w14:textId="4B55DF4C" w:rsidTr="00F9169A">
        <w:tc>
          <w:tcPr>
            <w:tcW w:w="2473" w:type="dxa"/>
            <w:shd w:val="clear" w:color="auto" w:fill="9CC2E5"/>
          </w:tcPr>
          <w:p w14:paraId="594A02A9" w14:textId="33348E61" w:rsidR="009A51B4" w:rsidRPr="00EC5BC3" w:rsidRDefault="009A51B4" w:rsidP="00EC5BC3">
            <w:pPr>
              <w:pStyle w:val="Listepuces"/>
              <w:spacing w:line="276" w:lineRule="auto"/>
              <w:ind w:left="0" w:firstLine="0"/>
              <w:jc w:val="center"/>
              <w:rPr>
                <w:rFonts w:ascii="Arial" w:hAnsi="Arial" w:cs="Arial"/>
              </w:rPr>
            </w:pPr>
            <w:r w:rsidRPr="00EC5BC3">
              <w:rPr>
                <w:rFonts w:ascii="Arial" w:hAnsi="Arial" w:cs="Arial"/>
              </w:rPr>
              <w:t>Réception de la demande et décision d’enregistrement</w:t>
            </w:r>
          </w:p>
          <w:p w14:paraId="0754EE48" w14:textId="0246FC87" w:rsidR="009A51B4" w:rsidRPr="00EC5BC3" w:rsidRDefault="009A51B4" w:rsidP="00EC5BC3">
            <w:pPr>
              <w:pStyle w:val="Listepuces"/>
              <w:spacing w:line="276" w:lineRule="auto"/>
              <w:ind w:left="0" w:firstLine="0"/>
              <w:jc w:val="center"/>
              <w:rPr>
                <w:rFonts w:ascii="Arial" w:hAnsi="Arial" w:cs="Arial"/>
              </w:rPr>
            </w:pPr>
          </w:p>
        </w:tc>
        <w:tc>
          <w:tcPr>
            <w:tcW w:w="2468" w:type="dxa"/>
            <w:shd w:val="clear" w:color="auto" w:fill="F7CAAC"/>
          </w:tcPr>
          <w:p w14:paraId="6045EE4F" w14:textId="78527FFC" w:rsidR="009A51B4" w:rsidRPr="00EC5BC3" w:rsidRDefault="009A51B4" w:rsidP="00EC5BC3">
            <w:pPr>
              <w:pStyle w:val="Listepuces"/>
              <w:spacing w:line="276" w:lineRule="auto"/>
              <w:ind w:left="0" w:firstLine="0"/>
              <w:jc w:val="center"/>
              <w:rPr>
                <w:rFonts w:ascii="Arial" w:hAnsi="Arial" w:cs="Arial"/>
              </w:rPr>
            </w:pPr>
            <w:r w:rsidRPr="00EC5BC3">
              <w:rPr>
                <w:rFonts w:ascii="Arial" w:hAnsi="Arial" w:cs="Arial"/>
              </w:rPr>
              <w:t>Recevabilité et recommandation du Panel</w:t>
            </w:r>
          </w:p>
        </w:tc>
        <w:tc>
          <w:tcPr>
            <w:tcW w:w="2468" w:type="dxa"/>
            <w:shd w:val="clear" w:color="auto" w:fill="C5E0B3"/>
          </w:tcPr>
          <w:p w14:paraId="75D448B4" w14:textId="1004E88E" w:rsidR="009A51B4" w:rsidRPr="00EC5BC3" w:rsidRDefault="009A51B4" w:rsidP="00EC5BC3">
            <w:pPr>
              <w:pStyle w:val="Listepuces"/>
              <w:spacing w:line="276" w:lineRule="auto"/>
              <w:ind w:left="0" w:firstLine="0"/>
              <w:jc w:val="center"/>
              <w:rPr>
                <w:rFonts w:ascii="Arial" w:hAnsi="Arial" w:cs="Arial"/>
              </w:rPr>
            </w:pPr>
            <w:r w:rsidRPr="00EC5BC3">
              <w:rPr>
                <w:rFonts w:ascii="Arial" w:hAnsi="Arial" w:cs="Arial"/>
              </w:rPr>
              <w:t>Enquête</w:t>
            </w:r>
          </w:p>
        </w:tc>
        <w:tc>
          <w:tcPr>
            <w:tcW w:w="1833" w:type="dxa"/>
            <w:shd w:val="clear" w:color="auto" w:fill="FBE4D5"/>
          </w:tcPr>
          <w:p w14:paraId="6BF612D4" w14:textId="275A3953" w:rsidR="009A51B4" w:rsidRPr="00EC5BC3" w:rsidRDefault="009A51B4" w:rsidP="00EC5BC3">
            <w:pPr>
              <w:pStyle w:val="Listepuces"/>
              <w:spacing w:line="276" w:lineRule="auto"/>
              <w:ind w:left="0" w:firstLine="0"/>
              <w:jc w:val="center"/>
              <w:rPr>
                <w:rFonts w:ascii="Arial" w:hAnsi="Arial" w:cs="Arial"/>
              </w:rPr>
            </w:pPr>
            <w:r w:rsidRPr="00EC5BC3">
              <w:rPr>
                <w:rFonts w:ascii="Arial" w:hAnsi="Arial" w:cs="Arial"/>
              </w:rPr>
              <w:t>Post-enquête</w:t>
            </w:r>
          </w:p>
        </w:tc>
      </w:tr>
      <w:tr w:rsidR="009A51B4" w:rsidRPr="009A51B4" w14:paraId="74FF1795" w14:textId="3E6A7666" w:rsidTr="00F9169A">
        <w:tc>
          <w:tcPr>
            <w:tcW w:w="2473" w:type="dxa"/>
            <w:shd w:val="clear" w:color="auto" w:fill="9CC2E5"/>
          </w:tcPr>
          <w:p w14:paraId="7D206892" w14:textId="78C4508D" w:rsidR="009A51B4" w:rsidRPr="00EC5BC3" w:rsidRDefault="009A51B4" w:rsidP="00EC5BC3">
            <w:pPr>
              <w:pStyle w:val="Listepuces"/>
              <w:spacing w:line="276" w:lineRule="auto"/>
              <w:ind w:left="0" w:firstLine="0"/>
              <w:jc w:val="center"/>
              <w:rPr>
                <w:rFonts w:ascii="Arial" w:hAnsi="Arial" w:cs="Arial"/>
              </w:rPr>
            </w:pPr>
            <w:r w:rsidRPr="00EC5BC3">
              <w:rPr>
                <w:rFonts w:ascii="Arial" w:hAnsi="Arial" w:cs="Arial"/>
              </w:rPr>
              <w:t>Le Panel informe le public et décide de l’enregistrement dans un délai de 15 jours ouvrables</w:t>
            </w:r>
          </w:p>
          <w:p w14:paraId="5F589F46" w14:textId="1E5320CB" w:rsidR="009A51B4" w:rsidRPr="00EC5BC3" w:rsidRDefault="009A51B4" w:rsidP="00EC5BC3">
            <w:pPr>
              <w:pStyle w:val="Listepuces"/>
              <w:spacing w:line="276" w:lineRule="auto"/>
              <w:ind w:left="0" w:firstLine="0"/>
              <w:jc w:val="center"/>
              <w:rPr>
                <w:rFonts w:ascii="Arial" w:hAnsi="Arial" w:cs="Arial"/>
              </w:rPr>
            </w:pPr>
          </w:p>
        </w:tc>
        <w:tc>
          <w:tcPr>
            <w:tcW w:w="2468" w:type="dxa"/>
            <w:shd w:val="clear" w:color="auto" w:fill="F7CAAC"/>
          </w:tcPr>
          <w:p w14:paraId="65E3328B" w14:textId="70E9E099" w:rsidR="009A51B4" w:rsidRPr="00EC5BC3" w:rsidRDefault="009A51B4" w:rsidP="00EC5BC3">
            <w:pPr>
              <w:pStyle w:val="Listepuces"/>
              <w:spacing w:line="276" w:lineRule="auto"/>
              <w:ind w:left="0" w:firstLine="0"/>
              <w:jc w:val="center"/>
              <w:rPr>
                <w:rFonts w:ascii="Arial" w:hAnsi="Arial" w:cs="Arial"/>
              </w:rPr>
            </w:pPr>
            <w:r w:rsidRPr="00EC5BC3">
              <w:rPr>
                <w:rFonts w:ascii="Arial" w:hAnsi="Arial" w:cs="Arial"/>
              </w:rPr>
              <w:t>Réponse de la Direction–RD (21 jours) Visite du Panel sur le terrain, si nécessaire Rapport du Panel au Conseil (21 jours à compter de la RD) Décision du Conseil concernant la recommandation du Panel</w:t>
            </w:r>
          </w:p>
          <w:p w14:paraId="5816F0D6" w14:textId="575A379B" w:rsidR="009A51B4" w:rsidRPr="00EC5BC3" w:rsidRDefault="009A51B4" w:rsidP="00EC5BC3">
            <w:pPr>
              <w:pStyle w:val="Listepuces"/>
              <w:spacing w:line="276" w:lineRule="auto"/>
              <w:ind w:left="0" w:firstLine="0"/>
              <w:jc w:val="center"/>
              <w:rPr>
                <w:rFonts w:ascii="Arial" w:hAnsi="Arial" w:cs="Arial"/>
              </w:rPr>
            </w:pPr>
          </w:p>
        </w:tc>
        <w:tc>
          <w:tcPr>
            <w:tcW w:w="2468" w:type="dxa"/>
            <w:shd w:val="clear" w:color="auto" w:fill="C5E0B3"/>
          </w:tcPr>
          <w:p w14:paraId="032222A1" w14:textId="3B14100C" w:rsidR="009A51B4" w:rsidRPr="00EC5BC3" w:rsidRDefault="009A51B4" w:rsidP="00EC5BC3">
            <w:pPr>
              <w:pStyle w:val="Listepuces"/>
              <w:spacing w:line="276" w:lineRule="auto"/>
              <w:ind w:left="0" w:firstLine="0"/>
              <w:jc w:val="center"/>
              <w:rPr>
                <w:rFonts w:ascii="Arial" w:hAnsi="Arial" w:cs="Arial"/>
              </w:rPr>
            </w:pPr>
            <w:r w:rsidRPr="00EC5BC3">
              <w:rPr>
                <w:rFonts w:ascii="Arial" w:hAnsi="Arial" w:cs="Arial"/>
              </w:rPr>
              <w:t>Rapport d’enquête du Panel Rapport et recommandation de la Direction Discussion du Conseil et approbation des actions</w:t>
            </w:r>
          </w:p>
        </w:tc>
        <w:tc>
          <w:tcPr>
            <w:tcW w:w="1833" w:type="dxa"/>
            <w:shd w:val="clear" w:color="auto" w:fill="FBE4D5"/>
          </w:tcPr>
          <w:p w14:paraId="4F9728A5" w14:textId="0BB874EE" w:rsidR="009A51B4" w:rsidRPr="00EC5BC3" w:rsidRDefault="009A51B4" w:rsidP="00EC5BC3">
            <w:pPr>
              <w:pStyle w:val="Listepuces"/>
              <w:spacing w:line="276" w:lineRule="auto"/>
              <w:ind w:left="0" w:firstLine="0"/>
              <w:jc w:val="center"/>
              <w:rPr>
                <w:rFonts w:ascii="Arial" w:hAnsi="Arial" w:cs="Arial"/>
              </w:rPr>
            </w:pPr>
            <w:r w:rsidRPr="00EC5BC3">
              <w:rPr>
                <w:rFonts w:ascii="Arial" w:hAnsi="Arial" w:cs="Arial"/>
              </w:rPr>
              <w:t>Nouvelle visite du Panel Mise en oeuvre du plan d’action par la Direction</w:t>
            </w:r>
          </w:p>
        </w:tc>
      </w:tr>
    </w:tbl>
    <w:p w14:paraId="7938B792" w14:textId="154CF9C7" w:rsidR="009A51B4" w:rsidRPr="00EC5BC3" w:rsidRDefault="009A51B4" w:rsidP="00EC5BC3">
      <w:pPr>
        <w:pStyle w:val="Listepuces"/>
        <w:spacing w:line="276" w:lineRule="auto"/>
        <w:ind w:left="0" w:firstLine="0"/>
        <w:rPr>
          <w:rFonts w:ascii="Arial" w:hAnsi="Arial" w:cs="Arial"/>
        </w:rPr>
      </w:pPr>
    </w:p>
    <w:p w14:paraId="0FE75367" w14:textId="45170F26" w:rsidR="009A51B4" w:rsidRPr="00EC5BC3" w:rsidRDefault="009A51B4" w:rsidP="00EC5BC3">
      <w:pPr>
        <w:pStyle w:val="Listepuces"/>
        <w:spacing w:line="276" w:lineRule="auto"/>
        <w:ind w:left="0" w:firstLine="0"/>
        <w:rPr>
          <w:rFonts w:ascii="Arial" w:hAnsi="Arial" w:cs="Arial"/>
          <w:b/>
        </w:rPr>
      </w:pPr>
      <w:r w:rsidRPr="00EC5BC3">
        <w:rPr>
          <w:rFonts w:ascii="Arial" w:hAnsi="Arial" w:cs="Arial"/>
          <w:b/>
        </w:rPr>
        <w:t>Ainsi que le Panel d’inspection :</w:t>
      </w:r>
    </w:p>
    <w:p w14:paraId="38775788" w14:textId="4C5D45A6" w:rsidR="009A51B4" w:rsidRPr="009A51B4" w:rsidRDefault="00652264" w:rsidP="00EC5BC3">
      <w:pPr>
        <w:ind w:left="1134"/>
        <w:jc w:val="left"/>
        <w:rPr>
          <w:rFonts w:cs="Arial"/>
          <w:b/>
          <w:color w:val="0563C1"/>
          <w:u w:val="single"/>
        </w:rPr>
      </w:pPr>
      <w:hyperlink r:id="rId103" w:history="1">
        <w:r w:rsidR="009A51B4" w:rsidRPr="009A51B4">
          <w:rPr>
            <w:rStyle w:val="Lienhypertexte"/>
            <w:rFonts w:cs="Arial"/>
            <w:b/>
          </w:rPr>
          <w:t>http://www.inspectionpanel.org/francais</w:t>
        </w:r>
      </w:hyperlink>
    </w:p>
    <w:p w14:paraId="5565D053" w14:textId="3145DB54" w:rsidR="009A51B4" w:rsidRPr="009A51B4" w:rsidRDefault="009A51B4" w:rsidP="00EC5BC3">
      <w:pPr>
        <w:ind w:left="1134"/>
        <w:jc w:val="left"/>
        <w:rPr>
          <w:rFonts w:cs="Arial"/>
          <w:b/>
        </w:rPr>
      </w:pPr>
      <w:r w:rsidRPr="009A51B4">
        <w:rPr>
          <w:rFonts w:cs="Arial"/>
          <w:b/>
        </w:rPr>
        <w:t>Mail</w:t>
      </w:r>
      <w:r w:rsidRPr="009A51B4">
        <w:rPr>
          <w:rFonts w:cs="Arial"/>
          <w:b/>
        </w:rPr>
        <w:tab/>
        <w:t>ipanel@worldbank.org</w:t>
      </w:r>
    </w:p>
    <w:p w14:paraId="3DF5EAC7" w14:textId="5FFC002D" w:rsidR="009A51B4" w:rsidRPr="00C32DB2" w:rsidRDefault="009A51B4" w:rsidP="00EC5BC3">
      <w:pPr>
        <w:widowControl w:val="0"/>
        <w:tabs>
          <w:tab w:val="left" w:pos="1134"/>
          <w:tab w:val="left" w:pos="2268"/>
        </w:tabs>
        <w:autoSpaceDE w:val="0"/>
        <w:autoSpaceDN w:val="0"/>
        <w:ind w:left="1134"/>
        <w:jc w:val="left"/>
        <w:outlineLvl w:val="3"/>
        <w:rPr>
          <w:rFonts w:cs="Arial"/>
          <w:b/>
          <w:lang w:val="en-US"/>
        </w:rPr>
      </w:pPr>
      <w:r w:rsidRPr="00C32DB2">
        <w:rPr>
          <w:rFonts w:cs="Arial"/>
          <w:b/>
          <w:lang w:val="en-US"/>
        </w:rPr>
        <w:t>Tel</w:t>
      </w:r>
      <w:r w:rsidRPr="00C32DB2">
        <w:rPr>
          <w:rFonts w:cs="Arial"/>
          <w:b/>
          <w:lang w:val="en-US"/>
        </w:rPr>
        <w:tab/>
        <w:t>+1-202-458-5200</w:t>
      </w:r>
    </w:p>
    <w:p w14:paraId="1E3C99FB" w14:textId="619FB64E" w:rsidR="009A51B4" w:rsidRPr="00C32DB2" w:rsidRDefault="009A51B4" w:rsidP="00EC5BC3">
      <w:pPr>
        <w:widowControl w:val="0"/>
        <w:tabs>
          <w:tab w:val="left" w:pos="1134"/>
          <w:tab w:val="left" w:pos="2268"/>
        </w:tabs>
        <w:autoSpaceDE w:val="0"/>
        <w:autoSpaceDN w:val="0"/>
        <w:ind w:left="1134"/>
        <w:jc w:val="left"/>
        <w:outlineLvl w:val="3"/>
        <w:rPr>
          <w:rFonts w:cs="Arial"/>
          <w:b/>
          <w:lang w:val="en-US"/>
        </w:rPr>
      </w:pPr>
      <w:r w:rsidRPr="00C32DB2">
        <w:rPr>
          <w:rFonts w:cs="Arial"/>
          <w:b/>
          <w:lang w:val="en-US"/>
        </w:rPr>
        <w:t>Fax</w:t>
      </w:r>
      <w:r w:rsidRPr="00C32DB2">
        <w:rPr>
          <w:rFonts w:cs="Arial"/>
          <w:b/>
          <w:lang w:val="en-US"/>
        </w:rPr>
        <w:tab/>
        <w:t>+1 202-522-0916</w:t>
      </w:r>
    </w:p>
    <w:p w14:paraId="15EBE2D1" w14:textId="4721C71F" w:rsidR="009A51B4" w:rsidRPr="008821B8" w:rsidRDefault="009A51B4" w:rsidP="00EC5BC3">
      <w:pPr>
        <w:widowControl w:val="0"/>
        <w:tabs>
          <w:tab w:val="left" w:pos="1134"/>
          <w:tab w:val="left" w:pos="2268"/>
        </w:tabs>
        <w:autoSpaceDE w:val="0"/>
        <w:autoSpaceDN w:val="0"/>
        <w:ind w:left="1134"/>
        <w:jc w:val="left"/>
        <w:outlineLvl w:val="3"/>
        <w:rPr>
          <w:rFonts w:cs="Arial"/>
          <w:b/>
          <w:lang w:val="en-US"/>
        </w:rPr>
      </w:pPr>
      <w:r w:rsidRPr="008821B8">
        <w:rPr>
          <w:rFonts w:cs="Arial"/>
          <w:b/>
          <w:lang w:val="en-US"/>
        </w:rPr>
        <w:t>Courier</w:t>
      </w:r>
      <w:r w:rsidRPr="008821B8">
        <w:rPr>
          <w:rFonts w:cs="Arial"/>
          <w:b/>
          <w:lang w:val="en-US"/>
        </w:rPr>
        <w:tab/>
        <w:t>Panel inspection</w:t>
      </w:r>
    </w:p>
    <w:p w14:paraId="15691AFC" w14:textId="75E0C29B" w:rsidR="009A51B4" w:rsidRPr="008821B8" w:rsidRDefault="009A51B4" w:rsidP="00EC5BC3">
      <w:pPr>
        <w:widowControl w:val="0"/>
        <w:tabs>
          <w:tab w:val="left" w:pos="1134"/>
          <w:tab w:val="left" w:pos="2268"/>
        </w:tabs>
        <w:autoSpaceDE w:val="0"/>
        <w:autoSpaceDN w:val="0"/>
        <w:ind w:left="1134"/>
        <w:jc w:val="left"/>
        <w:outlineLvl w:val="3"/>
        <w:rPr>
          <w:rFonts w:cs="Arial"/>
          <w:b/>
          <w:lang w:val="en-US"/>
        </w:rPr>
      </w:pPr>
      <w:r w:rsidRPr="008821B8">
        <w:rPr>
          <w:rFonts w:cs="Arial"/>
          <w:b/>
          <w:lang w:val="en-US"/>
        </w:rPr>
        <w:tab/>
        <w:t>Mail Stop MC 10-1007</w:t>
      </w:r>
    </w:p>
    <w:p w14:paraId="7C3CEBB7" w14:textId="106D1060" w:rsidR="009A51B4" w:rsidRPr="008821B8" w:rsidRDefault="009A51B4" w:rsidP="00EC5BC3">
      <w:pPr>
        <w:pStyle w:val="Paragraphedeliste"/>
        <w:ind w:left="0"/>
        <w:jc w:val="left"/>
        <w:rPr>
          <w:rFonts w:cs="Arial"/>
          <w:b/>
          <w:lang w:val="en-US"/>
        </w:rPr>
      </w:pPr>
      <w:r w:rsidRPr="008821B8">
        <w:rPr>
          <w:rFonts w:cs="Arial"/>
          <w:b/>
          <w:lang w:val="en-US"/>
        </w:rPr>
        <w:tab/>
        <w:t xml:space="preserve">       </w:t>
      </w:r>
      <w:r w:rsidRPr="008821B8">
        <w:rPr>
          <w:rFonts w:cs="Arial"/>
          <w:b/>
          <w:lang w:val="en-US"/>
        </w:rPr>
        <w:tab/>
      </w:r>
      <w:r w:rsidRPr="008821B8">
        <w:rPr>
          <w:rFonts w:cs="Arial"/>
          <w:b/>
          <w:lang w:val="en-US"/>
        </w:rPr>
        <w:tab/>
        <w:t xml:space="preserve">   1818 H Street, NW</w:t>
      </w:r>
      <w:r w:rsidRPr="008821B8">
        <w:rPr>
          <w:rFonts w:cs="Arial"/>
          <w:b/>
          <w:lang w:val="en-US"/>
        </w:rPr>
        <w:br/>
      </w:r>
      <w:r w:rsidRPr="008821B8">
        <w:rPr>
          <w:rFonts w:cs="Arial"/>
          <w:b/>
          <w:lang w:val="en-US"/>
        </w:rPr>
        <w:tab/>
        <w:t xml:space="preserve"> </w:t>
      </w:r>
      <w:r w:rsidRPr="008821B8">
        <w:rPr>
          <w:rFonts w:cs="Arial"/>
          <w:b/>
          <w:lang w:val="en-US"/>
        </w:rPr>
        <w:tab/>
      </w:r>
      <w:r w:rsidRPr="008821B8">
        <w:rPr>
          <w:rFonts w:cs="Arial"/>
          <w:b/>
          <w:lang w:val="en-US"/>
        </w:rPr>
        <w:tab/>
        <w:t xml:space="preserve">  Washington, DC 20433, USA</w:t>
      </w:r>
    </w:p>
    <w:p w14:paraId="482BD832" w14:textId="542276CE" w:rsidR="009A51B4" w:rsidRPr="00EC5BC3" w:rsidRDefault="009A51B4">
      <w:pPr>
        <w:spacing w:after="160" w:line="259" w:lineRule="auto"/>
        <w:jc w:val="left"/>
        <w:rPr>
          <w:rFonts w:cs="Arial"/>
          <w:b/>
          <w:bCs/>
          <w:sz w:val="22"/>
          <w:lang w:val="en-US"/>
        </w:rPr>
      </w:pPr>
      <w:r w:rsidRPr="00EC5BC3">
        <w:rPr>
          <w:rFonts w:cs="Arial"/>
          <w:sz w:val="22"/>
          <w:lang w:val="en-US"/>
        </w:rPr>
        <w:br w:type="page"/>
      </w:r>
    </w:p>
    <w:p w14:paraId="5511D4CC" w14:textId="77777777" w:rsidR="001C2F95" w:rsidRPr="00337D18" w:rsidRDefault="001C2F95" w:rsidP="001C2F95">
      <w:pPr>
        <w:pStyle w:val="Titre1"/>
        <w:numPr>
          <w:ilvl w:val="0"/>
          <w:numId w:val="4"/>
        </w:numPr>
        <w:ind w:left="567" w:hanging="283"/>
        <w:rPr>
          <w:rFonts w:cs="Arial"/>
          <w:sz w:val="22"/>
          <w:szCs w:val="22"/>
        </w:rPr>
      </w:pPr>
      <w:bookmarkStart w:id="833" w:name="_Toc70330518"/>
      <w:r w:rsidRPr="00337D18">
        <w:rPr>
          <w:rFonts w:cs="Arial"/>
          <w:sz w:val="22"/>
          <w:szCs w:val="22"/>
        </w:rPr>
        <w:t>BUDGET ESTIMATIF DE LA MISE EN ŒUVRE DU CGES</w:t>
      </w:r>
      <w:bookmarkEnd w:id="833"/>
    </w:p>
    <w:p w14:paraId="281D7FC3" w14:textId="77777777" w:rsidR="001C2F95" w:rsidRPr="00E87B08" w:rsidRDefault="001C2F95" w:rsidP="001C2F95">
      <w:pPr>
        <w:jc w:val="left"/>
        <w:rPr>
          <w:rFonts w:cs="Arial"/>
          <w:b/>
          <w:color w:val="FF0000"/>
          <w:sz w:val="22"/>
        </w:rPr>
      </w:pPr>
    </w:p>
    <w:p w14:paraId="0EBB13AA" w14:textId="77777777" w:rsidR="001C2F95" w:rsidRPr="00E87B08" w:rsidRDefault="001C2F95" w:rsidP="002378EA">
      <w:pPr>
        <w:pStyle w:val="Paragraphedeliste"/>
        <w:keepNext/>
        <w:numPr>
          <w:ilvl w:val="1"/>
          <w:numId w:val="16"/>
        </w:numPr>
        <w:tabs>
          <w:tab w:val="left" w:pos="720"/>
        </w:tabs>
        <w:spacing w:before="240" w:after="120"/>
        <w:contextualSpacing w:val="0"/>
        <w:jc w:val="left"/>
        <w:outlineLvl w:val="2"/>
        <w:rPr>
          <w:vanish/>
          <w:sz w:val="22"/>
          <w:u w:val="single"/>
        </w:rPr>
      </w:pPr>
      <w:bookmarkStart w:id="834" w:name="_Toc64026281"/>
      <w:bookmarkStart w:id="835" w:name="_Toc64386829"/>
      <w:bookmarkStart w:id="836" w:name="_Toc70326923"/>
      <w:bookmarkStart w:id="837" w:name="_Toc70327156"/>
      <w:bookmarkStart w:id="838" w:name="_Toc70330519"/>
      <w:bookmarkEnd w:id="834"/>
      <w:bookmarkEnd w:id="835"/>
      <w:bookmarkEnd w:id="836"/>
      <w:bookmarkEnd w:id="837"/>
      <w:bookmarkEnd w:id="838"/>
    </w:p>
    <w:p w14:paraId="39EE2099" w14:textId="77777777" w:rsidR="001C2F95" w:rsidRPr="00E87B08" w:rsidRDefault="001C2F95" w:rsidP="002378EA">
      <w:pPr>
        <w:pStyle w:val="Paragraphedeliste"/>
        <w:keepNext/>
        <w:numPr>
          <w:ilvl w:val="1"/>
          <w:numId w:val="16"/>
        </w:numPr>
        <w:tabs>
          <w:tab w:val="left" w:pos="720"/>
        </w:tabs>
        <w:spacing w:before="240" w:after="120"/>
        <w:contextualSpacing w:val="0"/>
        <w:jc w:val="left"/>
        <w:outlineLvl w:val="2"/>
        <w:rPr>
          <w:vanish/>
          <w:sz w:val="22"/>
          <w:u w:val="single"/>
        </w:rPr>
      </w:pPr>
      <w:bookmarkStart w:id="839" w:name="_Toc64026282"/>
      <w:bookmarkStart w:id="840" w:name="_Toc64386830"/>
      <w:bookmarkStart w:id="841" w:name="_Toc70326924"/>
      <w:bookmarkStart w:id="842" w:name="_Toc70327157"/>
      <w:bookmarkStart w:id="843" w:name="_Toc70330520"/>
      <w:bookmarkEnd w:id="839"/>
      <w:bookmarkEnd w:id="840"/>
      <w:bookmarkEnd w:id="841"/>
      <w:bookmarkEnd w:id="842"/>
      <w:bookmarkEnd w:id="843"/>
    </w:p>
    <w:p w14:paraId="7F655E20" w14:textId="77777777" w:rsidR="001C2F95" w:rsidRPr="00E87B08" w:rsidRDefault="001C2F95" w:rsidP="002378EA">
      <w:pPr>
        <w:pStyle w:val="Paragraphedeliste"/>
        <w:keepNext/>
        <w:numPr>
          <w:ilvl w:val="1"/>
          <w:numId w:val="16"/>
        </w:numPr>
        <w:tabs>
          <w:tab w:val="left" w:pos="720"/>
        </w:tabs>
        <w:spacing w:before="240" w:after="120"/>
        <w:contextualSpacing w:val="0"/>
        <w:jc w:val="left"/>
        <w:outlineLvl w:val="2"/>
        <w:rPr>
          <w:vanish/>
          <w:sz w:val="22"/>
          <w:u w:val="single"/>
        </w:rPr>
      </w:pPr>
      <w:bookmarkStart w:id="844" w:name="_Toc64026283"/>
      <w:bookmarkStart w:id="845" w:name="_Toc64386831"/>
      <w:bookmarkStart w:id="846" w:name="_Toc70326925"/>
      <w:bookmarkStart w:id="847" w:name="_Toc70327158"/>
      <w:bookmarkStart w:id="848" w:name="_Toc70330521"/>
      <w:bookmarkEnd w:id="844"/>
      <w:bookmarkEnd w:id="845"/>
      <w:bookmarkEnd w:id="846"/>
      <w:bookmarkEnd w:id="847"/>
      <w:bookmarkEnd w:id="848"/>
    </w:p>
    <w:p w14:paraId="6ED8FBF1" w14:textId="77777777" w:rsidR="001C2F95" w:rsidRPr="00E87B08" w:rsidRDefault="001C2F95" w:rsidP="001C2F95">
      <w:pPr>
        <w:rPr>
          <w:rFonts w:cs="Arial"/>
          <w:sz w:val="22"/>
        </w:rPr>
      </w:pPr>
      <w:r w:rsidRPr="00E87B08">
        <w:rPr>
          <w:rFonts w:cs="Arial"/>
          <w:sz w:val="22"/>
        </w:rPr>
        <w:t xml:space="preserve">Le budget estimatif de la mise en œuvre du CGES s’élève </w:t>
      </w:r>
      <w:r w:rsidRPr="00976F12">
        <w:rPr>
          <w:rFonts w:cs="Arial"/>
          <w:sz w:val="22"/>
        </w:rPr>
        <w:t xml:space="preserve">à </w:t>
      </w:r>
      <w:r w:rsidR="00141A53">
        <w:rPr>
          <w:rFonts w:cs="Arial"/>
          <w:color w:val="000000"/>
          <w:sz w:val="22"/>
        </w:rPr>
        <w:t>15 168 630</w:t>
      </w:r>
      <w:r w:rsidRPr="00370A11">
        <w:rPr>
          <w:rFonts w:cs="Arial"/>
          <w:sz w:val="22"/>
        </w:rPr>
        <w:t>USD.</w:t>
      </w:r>
      <w:r w:rsidRPr="00E87B08">
        <w:rPr>
          <w:rFonts w:cs="Arial"/>
          <w:sz w:val="22"/>
        </w:rPr>
        <w:t xml:space="preserve"> Ce budget est détaillé par activités telles que regroupées dans le tableau </w:t>
      </w:r>
      <w:r>
        <w:rPr>
          <w:rFonts w:cs="Arial"/>
          <w:sz w:val="22"/>
        </w:rPr>
        <w:t>30</w:t>
      </w:r>
      <w:r w:rsidRPr="00E87B08">
        <w:rPr>
          <w:rFonts w:cs="Arial"/>
          <w:sz w:val="22"/>
        </w:rPr>
        <w:t xml:space="preserve"> ci-dessous. </w:t>
      </w:r>
    </w:p>
    <w:p w14:paraId="15463262" w14:textId="77777777" w:rsidR="001C2F95" w:rsidRDefault="001C2F95" w:rsidP="001C2F95">
      <w:pPr>
        <w:rPr>
          <w:sz w:val="22"/>
          <w:u w:val="single"/>
        </w:rPr>
      </w:pPr>
      <w:r w:rsidRPr="00E87B08">
        <w:rPr>
          <w:rFonts w:cs="Arial"/>
          <w:sz w:val="22"/>
          <w:u w:val="single"/>
        </w:rPr>
        <w:t>É</w:t>
      </w:r>
      <w:r w:rsidRPr="00E87B08">
        <w:rPr>
          <w:sz w:val="22"/>
          <w:u w:val="single"/>
        </w:rPr>
        <w:t>tudes et mesures d’accompagnement :</w:t>
      </w:r>
    </w:p>
    <w:p w14:paraId="41078762" w14:textId="77777777" w:rsidR="001C2F95" w:rsidRPr="00E87B08" w:rsidRDefault="001C2F95" w:rsidP="001C2F95">
      <w:pPr>
        <w:rPr>
          <w:sz w:val="22"/>
          <w:u w:val="single"/>
        </w:rPr>
      </w:pPr>
    </w:p>
    <w:p w14:paraId="58E193C4" w14:textId="77777777" w:rsidR="001C2F95" w:rsidRPr="00E87B08" w:rsidRDefault="001C2F95" w:rsidP="002378EA">
      <w:pPr>
        <w:pStyle w:val="Paragraphedeliste"/>
        <w:numPr>
          <w:ilvl w:val="0"/>
          <w:numId w:val="69"/>
        </w:numPr>
        <w:autoSpaceDE w:val="0"/>
        <w:autoSpaceDN w:val="0"/>
        <w:adjustRightInd w:val="0"/>
        <w:rPr>
          <w:rFonts w:cs="Arial"/>
          <w:color w:val="000000"/>
          <w:sz w:val="22"/>
        </w:rPr>
      </w:pPr>
      <w:bookmarkStart w:id="849" w:name="_Hlk64383576"/>
      <w:r w:rsidRPr="00E87B08">
        <w:rPr>
          <w:rFonts w:cs="Arial"/>
          <w:i/>
          <w:color w:val="000000"/>
          <w:sz w:val="22"/>
        </w:rPr>
        <w:t>Réalisation et mise en œuvre des ÉIES</w:t>
      </w:r>
      <w:r w:rsidR="00AA2023">
        <w:rPr>
          <w:rFonts w:cs="Arial"/>
          <w:i/>
          <w:color w:val="000000"/>
          <w:sz w:val="22"/>
        </w:rPr>
        <w:t>/PGES</w:t>
      </w:r>
      <w:r w:rsidRPr="00E87B08">
        <w:rPr>
          <w:rFonts w:cs="Arial"/>
          <w:i/>
          <w:color w:val="000000"/>
          <w:sz w:val="22"/>
        </w:rPr>
        <w:t xml:space="preserve"> :</w:t>
      </w:r>
      <w:r w:rsidRPr="00E87B08">
        <w:rPr>
          <w:rFonts w:cs="Arial"/>
          <w:color w:val="000000"/>
          <w:sz w:val="22"/>
        </w:rPr>
        <w:t xml:space="preserve"> il est prévu de réaliser environ </w:t>
      </w:r>
      <w:r w:rsidR="00174053">
        <w:rPr>
          <w:rFonts w:cs="Arial"/>
          <w:color w:val="000000"/>
          <w:sz w:val="22"/>
        </w:rPr>
        <w:t xml:space="preserve">30 </w:t>
      </w:r>
      <w:r w:rsidRPr="00E87B08">
        <w:rPr>
          <w:rFonts w:cs="Arial"/>
          <w:color w:val="000000"/>
          <w:sz w:val="22"/>
        </w:rPr>
        <w:t>EIES</w:t>
      </w:r>
      <w:r>
        <w:rPr>
          <w:rFonts w:cs="Arial"/>
          <w:color w:val="000000"/>
          <w:sz w:val="22"/>
        </w:rPr>
        <w:t>/PGES</w:t>
      </w:r>
      <w:r w:rsidRPr="00E87B08">
        <w:rPr>
          <w:rFonts w:cs="Arial"/>
          <w:color w:val="000000"/>
          <w:sz w:val="22"/>
        </w:rPr>
        <w:t xml:space="preserve"> pour les sous-projets ciblés</w:t>
      </w:r>
      <w:r w:rsidR="00174053">
        <w:rPr>
          <w:rFonts w:cs="Arial"/>
          <w:color w:val="000000"/>
          <w:sz w:val="22"/>
        </w:rPr>
        <w:t>, à raison de 6 EIES/PGES par province</w:t>
      </w:r>
      <w:r w:rsidR="00AA2023">
        <w:rPr>
          <w:rFonts w:cs="Arial"/>
          <w:color w:val="000000"/>
          <w:sz w:val="22"/>
        </w:rPr>
        <w:t>.</w:t>
      </w:r>
      <w:r w:rsidRPr="00E87B08">
        <w:rPr>
          <w:rFonts w:cs="Arial"/>
          <w:color w:val="000000"/>
          <w:sz w:val="22"/>
        </w:rPr>
        <w:t xml:space="preserve"> À cet effet, il s’agira de recruter des consultants pour conduire ces études, à raison de </w:t>
      </w:r>
      <w:r w:rsidR="00714931">
        <w:rPr>
          <w:rFonts w:cs="Arial"/>
          <w:color w:val="000000"/>
          <w:sz w:val="22"/>
        </w:rPr>
        <w:t>5</w:t>
      </w:r>
      <w:r w:rsidRPr="00E87B08">
        <w:rPr>
          <w:rFonts w:cs="Arial"/>
          <w:color w:val="000000"/>
          <w:sz w:val="22"/>
        </w:rPr>
        <w:t xml:space="preserve">0 000 USD en moyenne par étude, soit un coût total de </w:t>
      </w:r>
      <w:r w:rsidR="00174053">
        <w:rPr>
          <w:rFonts w:cs="Arial"/>
          <w:color w:val="000000"/>
          <w:sz w:val="22"/>
        </w:rPr>
        <w:t>1 500 000</w:t>
      </w:r>
      <w:r>
        <w:rPr>
          <w:rFonts w:cs="Arial"/>
          <w:color w:val="000000"/>
          <w:sz w:val="22"/>
        </w:rPr>
        <w:t xml:space="preserve"> </w:t>
      </w:r>
      <w:r w:rsidRPr="00E87B08">
        <w:rPr>
          <w:rFonts w:cs="Arial"/>
          <w:color w:val="000000"/>
          <w:sz w:val="22"/>
        </w:rPr>
        <w:t xml:space="preserve">USD à provisionner. </w:t>
      </w:r>
    </w:p>
    <w:p w14:paraId="60EEA5E3" w14:textId="77777777" w:rsidR="001C2F95" w:rsidRPr="00E87B08" w:rsidRDefault="001C2F95" w:rsidP="001C2F95">
      <w:pPr>
        <w:pStyle w:val="Paragraphedeliste"/>
        <w:autoSpaceDE w:val="0"/>
        <w:autoSpaceDN w:val="0"/>
        <w:adjustRightInd w:val="0"/>
        <w:rPr>
          <w:rFonts w:cs="Arial"/>
          <w:color w:val="000000"/>
          <w:sz w:val="22"/>
        </w:rPr>
      </w:pPr>
    </w:p>
    <w:p w14:paraId="3E5ECD95" w14:textId="77777777" w:rsidR="001C2F95" w:rsidRPr="00E87B08" w:rsidRDefault="001C2F95" w:rsidP="002378EA">
      <w:pPr>
        <w:pStyle w:val="Paragraphedeliste"/>
        <w:numPr>
          <w:ilvl w:val="0"/>
          <w:numId w:val="69"/>
        </w:numPr>
        <w:autoSpaceDE w:val="0"/>
        <w:autoSpaceDN w:val="0"/>
        <w:adjustRightInd w:val="0"/>
        <w:rPr>
          <w:rFonts w:cs="Arial"/>
          <w:color w:val="000000"/>
          <w:sz w:val="22"/>
        </w:rPr>
      </w:pPr>
      <w:r w:rsidRPr="00E87B08">
        <w:rPr>
          <w:rFonts w:cs="Arial"/>
          <w:i/>
          <w:color w:val="000000"/>
          <w:sz w:val="22"/>
        </w:rPr>
        <w:t>Élaboration des PAR</w:t>
      </w:r>
      <w:r w:rsidR="00AA2023">
        <w:rPr>
          <w:rFonts w:cs="Arial"/>
          <w:i/>
          <w:color w:val="000000"/>
          <w:sz w:val="22"/>
        </w:rPr>
        <w:t>/PSR</w:t>
      </w:r>
      <w:r w:rsidRPr="00E87B08">
        <w:rPr>
          <w:rFonts w:cs="Arial"/>
          <w:color w:val="000000"/>
          <w:sz w:val="22"/>
        </w:rPr>
        <w:t xml:space="preserve"> : </w:t>
      </w:r>
      <w:r w:rsidR="00AA2023" w:rsidRPr="00E87B08">
        <w:rPr>
          <w:rFonts w:cs="Arial"/>
          <w:color w:val="000000"/>
          <w:sz w:val="22"/>
        </w:rPr>
        <w:t xml:space="preserve">il est prévu de réaliser environ </w:t>
      </w:r>
      <w:r w:rsidR="00174053">
        <w:rPr>
          <w:rFonts w:cs="Arial"/>
          <w:color w:val="000000"/>
          <w:sz w:val="22"/>
        </w:rPr>
        <w:t>3</w:t>
      </w:r>
      <w:r w:rsidR="00AA2023">
        <w:rPr>
          <w:rFonts w:cs="Arial"/>
          <w:color w:val="000000"/>
          <w:sz w:val="22"/>
        </w:rPr>
        <w:t>0</w:t>
      </w:r>
      <w:r w:rsidR="00AA2023" w:rsidRPr="00E87B08">
        <w:rPr>
          <w:rFonts w:cs="Arial"/>
          <w:color w:val="000000"/>
          <w:sz w:val="22"/>
        </w:rPr>
        <w:t xml:space="preserve"> </w:t>
      </w:r>
      <w:r w:rsidR="00AA2023">
        <w:rPr>
          <w:rFonts w:cs="Arial"/>
          <w:color w:val="000000"/>
          <w:sz w:val="22"/>
        </w:rPr>
        <w:t>PAR/PSR</w:t>
      </w:r>
      <w:r w:rsidR="00AA2023" w:rsidRPr="00E87B08">
        <w:rPr>
          <w:rFonts w:cs="Arial"/>
          <w:color w:val="000000"/>
          <w:sz w:val="22"/>
        </w:rPr>
        <w:t xml:space="preserve"> pour les sous-projets ciblés</w:t>
      </w:r>
      <w:r w:rsidR="00174053">
        <w:rPr>
          <w:rFonts w:cs="Arial"/>
          <w:color w:val="000000"/>
          <w:sz w:val="22"/>
        </w:rPr>
        <w:t>, à raison de 6</w:t>
      </w:r>
      <w:r w:rsidR="00AA2023">
        <w:rPr>
          <w:rFonts w:cs="Arial"/>
          <w:color w:val="000000"/>
          <w:sz w:val="22"/>
        </w:rPr>
        <w:t xml:space="preserve"> PAR/PSR</w:t>
      </w:r>
      <w:r w:rsidR="00AA2023" w:rsidRPr="00E87B08">
        <w:rPr>
          <w:rFonts w:cs="Arial"/>
          <w:color w:val="000000"/>
          <w:sz w:val="22"/>
        </w:rPr>
        <w:t xml:space="preserve"> </w:t>
      </w:r>
      <w:r w:rsidR="00AA2023">
        <w:rPr>
          <w:rFonts w:cs="Arial"/>
          <w:color w:val="000000"/>
          <w:sz w:val="22"/>
        </w:rPr>
        <w:t>par province.</w:t>
      </w:r>
      <w:r w:rsidRPr="00E87B08">
        <w:rPr>
          <w:rFonts w:cs="Arial"/>
          <w:color w:val="000000"/>
          <w:sz w:val="22"/>
        </w:rPr>
        <w:t xml:space="preserve"> À cet effet, il s’agira de recruter des consultants pour conduire ces études, à raison de </w:t>
      </w:r>
      <w:r w:rsidR="00714931">
        <w:rPr>
          <w:rFonts w:cs="Arial"/>
          <w:color w:val="000000"/>
          <w:sz w:val="22"/>
        </w:rPr>
        <w:t>6</w:t>
      </w:r>
      <w:r w:rsidRPr="00E87B08">
        <w:rPr>
          <w:rFonts w:cs="Arial"/>
          <w:color w:val="000000"/>
          <w:sz w:val="22"/>
        </w:rPr>
        <w:t xml:space="preserve">0 000 USD en moyenne par étude, soit un coût total de </w:t>
      </w:r>
      <w:r w:rsidR="00174053">
        <w:rPr>
          <w:rFonts w:cs="Arial"/>
          <w:color w:val="000000"/>
          <w:sz w:val="22"/>
        </w:rPr>
        <w:t>1 8</w:t>
      </w:r>
      <w:r>
        <w:rPr>
          <w:rFonts w:cs="Arial"/>
          <w:color w:val="000000"/>
          <w:sz w:val="22"/>
        </w:rPr>
        <w:t>00 000</w:t>
      </w:r>
      <w:r w:rsidRPr="00E87B08">
        <w:rPr>
          <w:rFonts w:cs="Arial"/>
          <w:color w:val="000000"/>
          <w:sz w:val="22"/>
        </w:rPr>
        <w:t xml:space="preserve"> USD à provisionner. </w:t>
      </w:r>
    </w:p>
    <w:p w14:paraId="560197FB" w14:textId="77777777" w:rsidR="001C2F95" w:rsidRPr="00E87B08" w:rsidRDefault="001C2F95" w:rsidP="001C2F95">
      <w:pPr>
        <w:pStyle w:val="Paragraphedeliste"/>
        <w:autoSpaceDE w:val="0"/>
        <w:autoSpaceDN w:val="0"/>
        <w:adjustRightInd w:val="0"/>
        <w:rPr>
          <w:rFonts w:cs="Arial"/>
          <w:color w:val="000000"/>
          <w:sz w:val="22"/>
        </w:rPr>
      </w:pPr>
    </w:p>
    <w:p w14:paraId="163063A2" w14:textId="77777777" w:rsidR="001C2F95" w:rsidRDefault="001C2F95" w:rsidP="002378EA">
      <w:pPr>
        <w:pStyle w:val="Paragraphedeliste"/>
        <w:numPr>
          <w:ilvl w:val="0"/>
          <w:numId w:val="69"/>
        </w:numPr>
        <w:autoSpaceDE w:val="0"/>
        <w:autoSpaceDN w:val="0"/>
        <w:adjustRightInd w:val="0"/>
        <w:rPr>
          <w:rFonts w:cs="Arial"/>
          <w:color w:val="000000"/>
          <w:sz w:val="22"/>
        </w:rPr>
      </w:pPr>
      <w:r w:rsidRPr="00E87B08">
        <w:rPr>
          <w:rFonts w:cs="Arial"/>
          <w:i/>
          <w:color w:val="000000"/>
          <w:sz w:val="22"/>
        </w:rPr>
        <w:t>Mise en œuvre des PAR</w:t>
      </w:r>
      <w:r w:rsidRPr="00E87B08">
        <w:rPr>
          <w:rFonts w:cs="Arial"/>
          <w:color w:val="000000"/>
          <w:sz w:val="22"/>
        </w:rPr>
        <w:t xml:space="preserve"> : il est prévu de mettre en œuvre </w:t>
      </w:r>
      <w:r>
        <w:rPr>
          <w:rFonts w:cs="Arial"/>
          <w:color w:val="000000"/>
          <w:sz w:val="22"/>
        </w:rPr>
        <w:t xml:space="preserve">environ </w:t>
      </w:r>
      <w:r w:rsidR="00174053">
        <w:rPr>
          <w:rFonts w:cs="Arial"/>
          <w:color w:val="000000"/>
          <w:sz w:val="22"/>
        </w:rPr>
        <w:t>3</w:t>
      </w:r>
      <w:r>
        <w:rPr>
          <w:rFonts w:cs="Arial"/>
          <w:color w:val="000000"/>
          <w:sz w:val="22"/>
        </w:rPr>
        <w:t>0</w:t>
      </w:r>
      <w:r w:rsidRPr="00E87B08">
        <w:rPr>
          <w:rFonts w:cs="Arial"/>
          <w:color w:val="000000"/>
          <w:sz w:val="22"/>
        </w:rPr>
        <w:t xml:space="preserve"> PAR pour les sous-projets à raison de 40 000 USD/PAR</w:t>
      </w:r>
      <w:r w:rsidR="007B405C">
        <w:rPr>
          <w:rFonts w:cs="Arial"/>
          <w:color w:val="000000"/>
          <w:sz w:val="22"/>
        </w:rPr>
        <w:t>-PSR</w:t>
      </w:r>
      <w:r w:rsidRPr="00E87B08">
        <w:rPr>
          <w:rFonts w:cs="Arial"/>
          <w:color w:val="000000"/>
          <w:sz w:val="22"/>
        </w:rPr>
        <w:t xml:space="preserve"> soit une provision de </w:t>
      </w:r>
      <w:r w:rsidR="00174053">
        <w:rPr>
          <w:rFonts w:cs="Arial"/>
          <w:color w:val="000000"/>
          <w:sz w:val="22"/>
        </w:rPr>
        <w:t xml:space="preserve">1 </w:t>
      </w:r>
      <w:r>
        <w:rPr>
          <w:rFonts w:cs="Arial"/>
          <w:color w:val="000000"/>
          <w:sz w:val="22"/>
        </w:rPr>
        <w:t>200 000</w:t>
      </w:r>
      <w:r w:rsidRPr="00E87B08">
        <w:rPr>
          <w:rFonts w:cs="Arial"/>
          <w:color w:val="000000"/>
          <w:sz w:val="22"/>
        </w:rPr>
        <w:t xml:space="preserve"> USD.</w:t>
      </w:r>
    </w:p>
    <w:p w14:paraId="596B0375" w14:textId="77777777" w:rsidR="00AC2712" w:rsidRPr="00257F9E" w:rsidRDefault="00AC2712" w:rsidP="00257F9E">
      <w:pPr>
        <w:pStyle w:val="Paragraphedeliste"/>
        <w:rPr>
          <w:rFonts w:cs="Arial"/>
          <w:color w:val="000000"/>
          <w:sz w:val="22"/>
        </w:rPr>
      </w:pPr>
    </w:p>
    <w:p w14:paraId="797095E3" w14:textId="77777777" w:rsidR="00AC2712" w:rsidRDefault="00AC2712" w:rsidP="002378EA">
      <w:pPr>
        <w:pStyle w:val="Paragraphedeliste"/>
        <w:numPr>
          <w:ilvl w:val="0"/>
          <w:numId w:val="69"/>
        </w:numPr>
        <w:autoSpaceDE w:val="0"/>
        <w:autoSpaceDN w:val="0"/>
        <w:adjustRightInd w:val="0"/>
        <w:rPr>
          <w:rFonts w:cs="Arial"/>
          <w:color w:val="000000"/>
          <w:sz w:val="22"/>
        </w:rPr>
      </w:pPr>
      <w:r>
        <w:rPr>
          <w:rFonts w:cs="Arial"/>
          <w:color w:val="000000"/>
          <w:sz w:val="22"/>
        </w:rPr>
        <w:t>Elaboration et mise en œuvre du Plan de Gestion de Sécurité (PGS) :</w:t>
      </w:r>
      <w:r w:rsidR="00DC5A00">
        <w:rPr>
          <w:rFonts w:cs="Arial"/>
          <w:color w:val="000000"/>
          <w:sz w:val="22"/>
        </w:rPr>
        <w:t xml:space="preserve"> une provision d’un</w:t>
      </w:r>
      <w:r>
        <w:rPr>
          <w:rFonts w:cs="Arial"/>
          <w:color w:val="000000"/>
          <w:sz w:val="22"/>
        </w:rPr>
        <w:t xml:space="preserve"> montant 100 000 USD</w:t>
      </w:r>
      <w:r w:rsidR="00DC5A00">
        <w:rPr>
          <w:rFonts w:cs="Arial"/>
          <w:color w:val="000000"/>
          <w:sz w:val="22"/>
        </w:rPr>
        <w:t xml:space="preserve"> est prévue pour ces deux activités.</w:t>
      </w:r>
    </w:p>
    <w:p w14:paraId="6F33255D" w14:textId="77777777" w:rsidR="00AC2712" w:rsidRPr="00257F9E" w:rsidRDefault="00AC2712" w:rsidP="00257F9E">
      <w:pPr>
        <w:pStyle w:val="Paragraphedeliste"/>
        <w:rPr>
          <w:rFonts w:cs="Arial"/>
          <w:color w:val="000000"/>
          <w:sz w:val="22"/>
        </w:rPr>
      </w:pPr>
    </w:p>
    <w:p w14:paraId="182D6363" w14:textId="77777777" w:rsidR="00AC2712" w:rsidRPr="00E87B08" w:rsidRDefault="00AC2712" w:rsidP="002378EA">
      <w:pPr>
        <w:pStyle w:val="Paragraphedeliste"/>
        <w:numPr>
          <w:ilvl w:val="0"/>
          <w:numId w:val="69"/>
        </w:numPr>
        <w:autoSpaceDE w:val="0"/>
        <w:autoSpaceDN w:val="0"/>
        <w:adjustRightInd w:val="0"/>
        <w:rPr>
          <w:rFonts w:cs="Arial"/>
          <w:color w:val="000000"/>
          <w:sz w:val="22"/>
        </w:rPr>
      </w:pPr>
      <w:r>
        <w:rPr>
          <w:rFonts w:cs="Arial"/>
          <w:color w:val="000000"/>
          <w:sz w:val="22"/>
        </w:rPr>
        <w:t xml:space="preserve">Elaboration </w:t>
      </w:r>
      <w:r w:rsidR="00DC5A00">
        <w:rPr>
          <w:rFonts w:cs="Arial"/>
          <w:color w:val="000000"/>
          <w:sz w:val="22"/>
        </w:rPr>
        <w:t>et mise en œuvre du Plan de Gestion de la biodiversité : une provision de 300 000 USD est prévue pour ces deux activités.</w:t>
      </w:r>
    </w:p>
    <w:p w14:paraId="204A9785" w14:textId="77777777" w:rsidR="001C2F95" w:rsidRPr="00257F9E" w:rsidRDefault="001C2F95" w:rsidP="00257F9E">
      <w:pPr>
        <w:autoSpaceDE w:val="0"/>
        <w:autoSpaceDN w:val="0"/>
        <w:adjustRightInd w:val="0"/>
        <w:rPr>
          <w:rFonts w:cs="Arial"/>
          <w:color w:val="000000"/>
          <w:sz w:val="22"/>
        </w:rPr>
      </w:pPr>
    </w:p>
    <w:p w14:paraId="68A398E3" w14:textId="77777777" w:rsidR="001C2F95" w:rsidRPr="00E87B08" w:rsidRDefault="001C2F95" w:rsidP="002378EA">
      <w:pPr>
        <w:pStyle w:val="Paragraphedeliste"/>
        <w:numPr>
          <w:ilvl w:val="0"/>
          <w:numId w:val="69"/>
        </w:numPr>
        <w:autoSpaceDE w:val="0"/>
        <w:autoSpaceDN w:val="0"/>
        <w:adjustRightInd w:val="0"/>
        <w:rPr>
          <w:rFonts w:cs="Arial"/>
          <w:i/>
          <w:color w:val="000000"/>
          <w:sz w:val="22"/>
        </w:rPr>
      </w:pPr>
      <w:r w:rsidRPr="00E87B08">
        <w:rPr>
          <w:rFonts w:cs="Arial"/>
          <w:i/>
          <w:color w:val="000000"/>
          <w:sz w:val="22"/>
        </w:rPr>
        <w:t>Mise en œuvre du PMPP</w:t>
      </w:r>
      <w:r>
        <w:rPr>
          <w:rFonts w:cs="Arial"/>
          <w:i/>
          <w:color w:val="000000"/>
          <w:sz w:val="22"/>
        </w:rPr>
        <w:t xml:space="preserve"> y compris le MGP et le MGP sensible aux VBG</w:t>
      </w:r>
    </w:p>
    <w:p w14:paraId="672D38EB" w14:textId="77777777" w:rsidR="00DC5A00" w:rsidRDefault="00DC5A00" w:rsidP="00257F9E">
      <w:pPr>
        <w:pStyle w:val="Paragraphedeliste"/>
        <w:rPr>
          <w:rFonts w:cs="Arial"/>
          <w:color w:val="000000"/>
          <w:sz w:val="22"/>
        </w:rPr>
      </w:pPr>
    </w:p>
    <w:p w14:paraId="4CED8442" w14:textId="77777777" w:rsidR="001C2F95" w:rsidRDefault="001C2F95" w:rsidP="001C2F95">
      <w:pPr>
        <w:pStyle w:val="Paragraphedeliste"/>
        <w:autoSpaceDE w:val="0"/>
        <w:autoSpaceDN w:val="0"/>
        <w:adjustRightInd w:val="0"/>
        <w:rPr>
          <w:rFonts w:cs="Arial"/>
          <w:color w:val="000000"/>
          <w:sz w:val="22"/>
        </w:rPr>
      </w:pPr>
      <w:r w:rsidRPr="00E87B08">
        <w:rPr>
          <w:rFonts w:cs="Arial"/>
          <w:color w:val="000000"/>
          <w:sz w:val="22"/>
        </w:rPr>
        <w:t xml:space="preserve">Une provision de </w:t>
      </w:r>
      <w:r w:rsidR="00FA094F">
        <w:rPr>
          <w:rFonts w:cs="Arial"/>
          <w:color w:val="000000"/>
          <w:sz w:val="22"/>
        </w:rPr>
        <w:t xml:space="preserve">2 </w:t>
      </w:r>
      <w:r w:rsidR="00FA094F" w:rsidRPr="00830A44">
        <w:rPr>
          <w:rFonts w:cs="Arial"/>
          <w:color w:val="000000"/>
          <w:sz w:val="22"/>
        </w:rPr>
        <w:t>323 000</w:t>
      </w:r>
      <w:r w:rsidRPr="00E87B08">
        <w:rPr>
          <w:rFonts w:cs="Arial"/>
          <w:color w:val="000000"/>
          <w:sz w:val="22"/>
        </w:rPr>
        <w:t>USD suffira pour mettre en œuvre le PMPP</w:t>
      </w:r>
      <w:r w:rsidR="00714931">
        <w:rPr>
          <w:rFonts w:cs="Arial"/>
          <w:color w:val="000000"/>
          <w:sz w:val="22"/>
        </w:rPr>
        <w:t>,</w:t>
      </w:r>
      <w:r w:rsidRPr="00E87B08">
        <w:rPr>
          <w:rFonts w:cs="Arial"/>
          <w:color w:val="000000"/>
          <w:sz w:val="22"/>
        </w:rPr>
        <w:t xml:space="preserve"> </w:t>
      </w:r>
      <w:r w:rsidR="00714931" w:rsidRPr="00714931">
        <w:rPr>
          <w:rFonts w:cs="Arial"/>
          <w:iCs/>
          <w:color w:val="000000"/>
          <w:sz w:val="22"/>
        </w:rPr>
        <w:t>y compris le MGP</w:t>
      </w:r>
      <w:r w:rsidR="00714931">
        <w:rPr>
          <w:rFonts w:cs="Arial"/>
          <w:i/>
          <w:color w:val="000000"/>
          <w:sz w:val="22"/>
        </w:rPr>
        <w:t xml:space="preserve"> </w:t>
      </w:r>
      <w:r w:rsidRPr="00E87B08">
        <w:rPr>
          <w:rFonts w:cs="Arial"/>
          <w:color w:val="000000"/>
          <w:sz w:val="22"/>
        </w:rPr>
        <w:t>du PNDA pendant 5 ans.</w:t>
      </w:r>
    </w:p>
    <w:p w14:paraId="4EF7BF9A" w14:textId="77777777" w:rsidR="00714931" w:rsidRDefault="00714931" w:rsidP="001C2F95">
      <w:pPr>
        <w:pStyle w:val="Paragraphedeliste"/>
        <w:autoSpaceDE w:val="0"/>
        <w:autoSpaceDN w:val="0"/>
        <w:adjustRightInd w:val="0"/>
        <w:rPr>
          <w:rFonts w:cs="Arial"/>
          <w:color w:val="000000"/>
          <w:sz w:val="22"/>
        </w:rPr>
      </w:pPr>
    </w:p>
    <w:p w14:paraId="117E58CE" w14:textId="77777777" w:rsidR="00714931" w:rsidRPr="00E87B08" w:rsidRDefault="00714931" w:rsidP="002378EA">
      <w:pPr>
        <w:pStyle w:val="Paragraphedeliste"/>
        <w:numPr>
          <w:ilvl w:val="0"/>
          <w:numId w:val="69"/>
        </w:numPr>
        <w:autoSpaceDE w:val="0"/>
        <w:autoSpaceDN w:val="0"/>
        <w:adjustRightInd w:val="0"/>
        <w:rPr>
          <w:rFonts w:cs="Arial"/>
          <w:i/>
          <w:color w:val="000000"/>
          <w:sz w:val="22"/>
        </w:rPr>
      </w:pPr>
      <w:r w:rsidRPr="00E87B08">
        <w:rPr>
          <w:rFonts w:cs="Arial"/>
          <w:i/>
          <w:color w:val="000000"/>
          <w:sz w:val="22"/>
        </w:rPr>
        <w:t>Plan d’Actions d</w:t>
      </w:r>
      <w:r>
        <w:rPr>
          <w:rFonts w:cs="Arial"/>
          <w:i/>
          <w:color w:val="000000"/>
          <w:sz w:val="22"/>
        </w:rPr>
        <w:t>’EAS/HS</w:t>
      </w:r>
      <w:r w:rsidRPr="00E87B08">
        <w:rPr>
          <w:rFonts w:cs="Arial"/>
          <w:i/>
          <w:color w:val="000000"/>
          <w:sz w:val="22"/>
        </w:rPr>
        <w:t xml:space="preserve"> du PNDA</w:t>
      </w:r>
    </w:p>
    <w:p w14:paraId="372192DB" w14:textId="780667E2" w:rsidR="00714931" w:rsidRPr="00E87B08" w:rsidRDefault="00714931" w:rsidP="00714931">
      <w:pPr>
        <w:pStyle w:val="Paragraphedeliste"/>
        <w:autoSpaceDE w:val="0"/>
        <w:autoSpaceDN w:val="0"/>
        <w:adjustRightInd w:val="0"/>
        <w:rPr>
          <w:rFonts w:cs="Arial"/>
          <w:color w:val="000000"/>
          <w:sz w:val="22"/>
        </w:rPr>
      </w:pPr>
      <w:r w:rsidRPr="00E87B08">
        <w:rPr>
          <w:rFonts w:cs="Arial"/>
          <w:color w:val="000000"/>
          <w:sz w:val="22"/>
        </w:rPr>
        <w:t>Une provision de</w:t>
      </w:r>
      <w:r>
        <w:rPr>
          <w:rFonts w:cs="Arial"/>
          <w:color w:val="000000"/>
          <w:sz w:val="22"/>
        </w:rPr>
        <w:t xml:space="preserve"> </w:t>
      </w:r>
      <w:r w:rsidR="005E16F7">
        <w:rPr>
          <w:rFonts w:cs="Arial"/>
          <w:color w:val="000000"/>
          <w:sz w:val="22"/>
        </w:rPr>
        <w:t>7 530 000</w:t>
      </w:r>
      <w:r w:rsidR="00174053">
        <w:rPr>
          <w:rFonts w:cs="Arial"/>
          <w:color w:val="000000"/>
          <w:sz w:val="22"/>
        </w:rPr>
        <w:t xml:space="preserve"> </w:t>
      </w:r>
      <w:r w:rsidRPr="00E87B08">
        <w:rPr>
          <w:rFonts w:cs="Arial"/>
          <w:color w:val="000000"/>
          <w:sz w:val="22"/>
        </w:rPr>
        <w:t>USD va couvrir les activités suivantes</w:t>
      </w:r>
      <w:r w:rsidR="00DC5A00">
        <w:rPr>
          <w:rFonts w:cs="Arial"/>
          <w:color w:val="000000"/>
          <w:sz w:val="22"/>
        </w:rPr>
        <w:t> </w:t>
      </w:r>
      <w:r w:rsidRPr="00E87B08">
        <w:rPr>
          <w:rFonts w:cs="Arial"/>
          <w:color w:val="000000"/>
          <w:sz w:val="22"/>
        </w:rPr>
        <w:t xml:space="preserve">: </w:t>
      </w:r>
      <w:r w:rsidR="009C1107" w:rsidRPr="00E87B08">
        <w:rPr>
          <w:rFonts w:cs="Arial"/>
          <w:color w:val="000000"/>
          <w:sz w:val="22"/>
        </w:rPr>
        <w:t>liées</w:t>
      </w:r>
      <w:r w:rsidRPr="00E87B08">
        <w:rPr>
          <w:rFonts w:cs="Arial"/>
          <w:color w:val="000000"/>
          <w:sz w:val="22"/>
        </w:rPr>
        <w:t xml:space="preserve"> à la prévention, à l’atténuation des risques</w:t>
      </w:r>
      <w:r>
        <w:rPr>
          <w:rFonts w:cs="Arial"/>
          <w:color w:val="000000"/>
          <w:sz w:val="22"/>
        </w:rPr>
        <w:t xml:space="preserve"> d’EAS/HS</w:t>
      </w:r>
      <w:r w:rsidRPr="00E87B08">
        <w:rPr>
          <w:rFonts w:cs="Arial"/>
          <w:color w:val="000000"/>
          <w:sz w:val="22"/>
        </w:rPr>
        <w:t>, de prise en charge des survivant</w:t>
      </w:r>
      <w:r w:rsidR="00DC5A00">
        <w:rPr>
          <w:rFonts w:cs="Arial"/>
          <w:color w:val="000000"/>
          <w:sz w:val="22"/>
        </w:rPr>
        <w:t>€</w:t>
      </w:r>
      <w:r w:rsidRPr="00E87B08">
        <w:rPr>
          <w:rFonts w:cs="Arial"/>
          <w:color w:val="000000"/>
          <w:sz w:val="22"/>
        </w:rPr>
        <w:t>s d</w:t>
      </w:r>
      <w:r>
        <w:rPr>
          <w:rFonts w:cs="Arial"/>
          <w:color w:val="000000"/>
          <w:sz w:val="22"/>
        </w:rPr>
        <w:t>’EAS/HS</w:t>
      </w:r>
      <w:r w:rsidRPr="00E87B08">
        <w:rPr>
          <w:rFonts w:cs="Arial"/>
          <w:color w:val="000000"/>
          <w:sz w:val="22"/>
        </w:rPr>
        <w:t>, de la Coordination et d</w:t>
      </w:r>
      <w:r>
        <w:rPr>
          <w:rFonts w:cs="Arial"/>
          <w:color w:val="000000"/>
          <w:sz w:val="22"/>
        </w:rPr>
        <w:t xml:space="preserve">es procédures du </w:t>
      </w:r>
      <w:r w:rsidRPr="00E87B08">
        <w:rPr>
          <w:rFonts w:cs="Arial"/>
          <w:color w:val="000000"/>
          <w:sz w:val="22"/>
        </w:rPr>
        <w:t xml:space="preserve">MGP </w:t>
      </w:r>
      <w:r>
        <w:rPr>
          <w:rFonts w:cs="Arial"/>
          <w:color w:val="000000"/>
          <w:sz w:val="22"/>
        </w:rPr>
        <w:t>pour les cas d’EAS/HS</w:t>
      </w:r>
      <w:r w:rsidR="005E16F7">
        <w:rPr>
          <w:rFonts w:cs="Arial"/>
          <w:color w:val="000000"/>
          <w:sz w:val="22"/>
        </w:rPr>
        <w:t xml:space="preserve"> (voir annexe 15 pour details)</w:t>
      </w:r>
      <w:r w:rsidRPr="00E87B08">
        <w:rPr>
          <w:rFonts w:cs="Arial"/>
          <w:color w:val="000000"/>
          <w:sz w:val="22"/>
        </w:rPr>
        <w:t xml:space="preserve">. </w:t>
      </w:r>
    </w:p>
    <w:p w14:paraId="1E0BA1FE" w14:textId="77777777" w:rsidR="001C2F95" w:rsidRPr="00E87B08" w:rsidRDefault="001C2F95" w:rsidP="001C2F95">
      <w:pPr>
        <w:pStyle w:val="Paragraphedeliste"/>
        <w:autoSpaceDE w:val="0"/>
        <w:autoSpaceDN w:val="0"/>
        <w:adjustRightInd w:val="0"/>
        <w:rPr>
          <w:rFonts w:cs="Arial"/>
          <w:color w:val="000000"/>
          <w:sz w:val="22"/>
        </w:rPr>
      </w:pPr>
    </w:p>
    <w:bookmarkEnd w:id="849"/>
    <w:p w14:paraId="3F525D39" w14:textId="77777777" w:rsidR="001C2F95" w:rsidRPr="00E87B08" w:rsidRDefault="001C2F95" w:rsidP="002378EA">
      <w:pPr>
        <w:pStyle w:val="Paragraphedeliste"/>
        <w:numPr>
          <w:ilvl w:val="0"/>
          <w:numId w:val="69"/>
        </w:numPr>
        <w:autoSpaceDE w:val="0"/>
        <w:autoSpaceDN w:val="0"/>
        <w:adjustRightInd w:val="0"/>
        <w:rPr>
          <w:rFonts w:cs="Arial"/>
          <w:i/>
          <w:color w:val="000000"/>
          <w:sz w:val="22"/>
        </w:rPr>
      </w:pPr>
      <w:r w:rsidRPr="00E87B08">
        <w:rPr>
          <w:rFonts w:cs="Arial"/>
          <w:i/>
          <w:color w:val="000000"/>
          <w:sz w:val="22"/>
        </w:rPr>
        <w:t xml:space="preserve">Appui à la </w:t>
      </w:r>
      <w:r w:rsidR="00FC28C6" w:rsidRPr="00E87B08">
        <w:rPr>
          <w:rFonts w:cs="Arial"/>
          <w:i/>
          <w:color w:val="000000"/>
          <w:sz w:val="22"/>
        </w:rPr>
        <w:t>préservation</w:t>
      </w:r>
      <w:r w:rsidRPr="00E87B08">
        <w:rPr>
          <w:rFonts w:cs="Arial"/>
          <w:i/>
          <w:color w:val="000000"/>
          <w:sz w:val="22"/>
        </w:rPr>
        <w:t xml:space="preserve"> et la restauration des carrières / gîtes d’emprunts </w:t>
      </w:r>
    </w:p>
    <w:p w14:paraId="55CF2647" w14:textId="77777777" w:rsidR="001C2F95" w:rsidRPr="00E87B08" w:rsidRDefault="001C2F95" w:rsidP="001C2F95">
      <w:pPr>
        <w:pStyle w:val="Paragraphedeliste"/>
        <w:autoSpaceDE w:val="0"/>
        <w:autoSpaceDN w:val="0"/>
        <w:adjustRightInd w:val="0"/>
        <w:rPr>
          <w:rFonts w:cs="Arial"/>
          <w:color w:val="000000"/>
          <w:sz w:val="22"/>
        </w:rPr>
      </w:pPr>
      <w:r w:rsidRPr="00E87B08">
        <w:rPr>
          <w:rFonts w:cs="Arial"/>
          <w:color w:val="000000"/>
          <w:sz w:val="22"/>
        </w:rPr>
        <w:t>Une provision de 250 000 USD suffira pour réaliser cette activité dans les cinq Provinces concernées par le PNDA.</w:t>
      </w:r>
    </w:p>
    <w:p w14:paraId="06FC5214" w14:textId="77777777" w:rsidR="001C2F95" w:rsidRPr="00E87B08" w:rsidRDefault="001C2F95" w:rsidP="001C2F95">
      <w:pPr>
        <w:pStyle w:val="Paragraphedeliste"/>
        <w:autoSpaceDE w:val="0"/>
        <w:autoSpaceDN w:val="0"/>
        <w:adjustRightInd w:val="0"/>
        <w:rPr>
          <w:rFonts w:cs="Arial"/>
          <w:color w:val="000000"/>
          <w:sz w:val="22"/>
        </w:rPr>
      </w:pPr>
    </w:p>
    <w:p w14:paraId="18E58C67" w14:textId="77777777" w:rsidR="001C2F95" w:rsidRPr="00E87B08" w:rsidRDefault="001C2F95" w:rsidP="002378EA">
      <w:pPr>
        <w:pStyle w:val="Paragraphedeliste"/>
        <w:numPr>
          <w:ilvl w:val="0"/>
          <w:numId w:val="69"/>
        </w:numPr>
        <w:autoSpaceDE w:val="0"/>
        <w:autoSpaceDN w:val="0"/>
        <w:adjustRightInd w:val="0"/>
        <w:rPr>
          <w:rFonts w:cs="Arial"/>
          <w:i/>
          <w:color w:val="000000"/>
          <w:sz w:val="22"/>
        </w:rPr>
      </w:pPr>
      <w:r w:rsidRPr="00E87B08">
        <w:rPr>
          <w:rFonts w:cs="Arial"/>
          <w:i/>
          <w:color w:val="000000"/>
          <w:sz w:val="22"/>
        </w:rPr>
        <w:t xml:space="preserve">Formation environnementale et sociale </w:t>
      </w:r>
    </w:p>
    <w:p w14:paraId="39481BAB" w14:textId="77777777" w:rsidR="001C2F95" w:rsidRPr="00E87B08" w:rsidRDefault="001C2F95" w:rsidP="001C2F95">
      <w:pPr>
        <w:pStyle w:val="Paragraphedeliste"/>
        <w:autoSpaceDE w:val="0"/>
        <w:autoSpaceDN w:val="0"/>
        <w:adjustRightInd w:val="0"/>
        <w:rPr>
          <w:rFonts w:cs="Arial"/>
          <w:color w:val="000000"/>
          <w:sz w:val="22"/>
        </w:rPr>
      </w:pPr>
      <w:r w:rsidRPr="00E87B08">
        <w:rPr>
          <w:rFonts w:cs="Arial"/>
          <w:color w:val="000000"/>
          <w:sz w:val="22"/>
        </w:rPr>
        <w:t xml:space="preserve">Une provision de 100 000 USD suffira pour organiser </w:t>
      </w:r>
      <w:r w:rsidR="00714931">
        <w:rPr>
          <w:rFonts w:cs="Arial"/>
          <w:color w:val="000000"/>
          <w:sz w:val="22"/>
        </w:rPr>
        <w:t xml:space="preserve">16 ateliers dont un (1) atelier à Kinshasa </w:t>
      </w:r>
      <w:r w:rsidR="00714931" w:rsidRPr="00E87B08">
        <w:rPr>
          <w:rFonts w:cs="Arial"/>
          <w:color w:val="000000"/>
          <w:sz w:val="22"/>
        </w:rPr>
        <w:t>à l’intention des spécialistes de sauvegarde des entreprises et autres parties prenantes au P</w:t>
      </w:r>
      <w:r w:rsidR="00257F9E">
        <w:rPr>
          <w:rFonts w:cs="Arial"/>
          <w:color w:val="000000"/>
          <w:sz w:val="22"/>
        </w:rPr>
        <w:t>N</w:t>
      </w:r>
      <w:r w:rsidR="00714931" w:rsidRPr="00E87B08">
        <w:rPr>
          <w:rFonts w:cs="Arial"/>
          <w:color w:val="000000"/>
          <w:sz w:val="22"/>
        </w:rPr>
        <w:t>DA</w:t>
      </w:r>
      <w:r w:rsidR="00714931">
        <w:rPr>
          <w:rFonts w:cs="Arial"/>
          <w:color w:val="000000"/>
          <w:sz w:val="22"/>
        </w:rPr>
        <w:t> ; cinq</w:t>
      </w:r>
      <w:r w:rsidRPr="00E87B08">
        <w:rPr>
          <w:rFonts w:cs="Arial"/>
          <w:color w:val="000000"/>
          <w:sz w:val="22"/>
        </w:rPr>
        <w:t xml:space="preserve"> </w:t>
      </w:r>
      <w:r w:rsidR="00714931">
        <w:rPr>
          <w:rFonts w:cs="Arial"/>
          <w:color w:val="000000"/>
          <w:sz w:val="22"/>
        </w:rPr>
        <w:t xml:space="preserve">(5) </w:t>
      </w:r>
      <w:r w:rsidRPr="00E87B08">
        <w:rPr>
          <w:rFonts w:cs="Arial"/>
          <w:color w:val="000000"/>
          <w:sz w:val="22"/>
        </w:rPr>
        <w:t xml:space="preserve">ateliers </w:t>
      </w:r>
      <w:r>
        <w:rPr>
          <w:rFonts w:cs="Arial"/>
          <w:color w:val="000000"/>
          <w:sz w:val="22"/>
        </w:rPr>
        <w:t>dans chaque Province</w:t>
      </w:r>
      <w:r w:rsidR="00714931">
        <w:rPr>
          <w:rFonts w:cs="Arial"/>
          <w:color w:val="000000"/>
          <w:sz w:val="22"/>
        </w:rPr>
        <w:t xml:space="preserve"> et dix (10) ateliers dans chaque territoire </w:t>
      </w:r>
      <w:r>
        <w:rPr>
          <w:rFonts w:cs="Arial"/>
          <w:color w:val="000000"/>
          <w:sz w:val="22"/>
        </w:rPr>
        <w:t xml:space="preserve">concerné par le programme </w:t>
      </w:r>
      <w:r w:rsidR="00D129FC">
        <w:rPr>
          <w:rFonts w:cs="Arial"/>
          <w:color w:val="000000"/>
          <w:sz w:val="22"/>
        </w:rPr>
        <w:t>s</w:t>
      </w:r>
      <w:r>
        <w:rPr>
          <w:rFonts w:cs="Arial"/>
          <w:color w:val="000000"/>
          <w:sz w:val="22"/>
        </w:rPr>
        <w:t>i la situation de COVID-19 persiste, le Programme trouvera des solutions pour organiser les ateliers virtuels ou en ligne.</w:t>
      </w:r>
    </w:p>
    <w:p w14:paraId="1E5A3734" w14:textId="77777777" w:rsidR="001C2F95" w:rsidRPr="00E87B08" w:rsidRDefault="001C2F95" w:rsidP="001C2F95">
      <w:pPr>
        <w:ind w:left="708"/>
        <w:rPr>
          <w:sz w:val="22"/>
        </w:rPr>
      </w:pPr>
    </w:p>
    <w:p w14:paraId="060495B1" w14:textId="77777777" w:rsidR="001C2F95" w:rsidRDefault="001C2F95" w:rsidP="002378EA">
      <w:pPr>
        <w:pStyle w:val="Paragraphedeliste"/>
        <w:numPr>
          <w:ilvl w:val="0"/>
          <w:numId w:val="69"/>
        </w:numPr>
        <w:autoSpaceDE w:val="0"/>
        <w:autoSpaceDN w:val="0"/>
        <w:adjustRightInd w:val="0"/>
        <w:rPr>
          <w:rFonts w:cs="Arial"/>
          <w:color w:val="000000"/>
          <w:sz w:val="22"/>
        </w:rPr>
      </w:pPr>
      <w:r w:rsidRPr="00976F12">
        <w:rPr>
          <w:rFonts w:cs="Arial"/>
          <w:i/>
          <w:color w:val="000000"/>
          <w:sz w:val="22"/>
        </w:rPr>
        <w:t>Information et Sensibilisaton </w:t>
      </w:r>
      <w:r w:rsidRPr="00976F12">
        <w:rPr>
          <w:rFonts w:cs="Arial"/>
          <w:color w:val="000000"/>
          <w:sz w:val="22"/>
        </w:rPr>
        <w:t>: Il s’agira de recruter une ONG nationale pour mener des activités d’information et de sensibilisation des populations et des structures organisées au niveau de chaque Commune ciblée par le Projet. Il est prévu 20 campagnes de sensibilisation, soit 5 000 USD/Campagne, pour un montant global de 100 000 USD.</w:t>
      </w:r>
    </w:p>
    <w:p w14:paraId="78EF6BEF" w14:textId="77777777" w:rsidR="001C2F95" w:rsidRPr="00E87B08" w:rsidRDefault="001C2F95" w:rsidP="001C2F95">
      <w:pPr>
        <w:rPr>
          <w:sz w:val="22"/>
          <w:u w:val="single"/>
        </w:rPr>
      </w:pPr>
    </w:p>
    <w:p w14:paraId="140C985A" w14:textId="77777777" w:rsidR="001C2F95" w:rsidRPr="00E87B08" w:rsidRDefault="001C2F95" w:rsidP="001C2F95">
      <w:pPr>
        <w:rPr>
          <w:sz w:val="22"/>
          <w:u w:val="single"/>
        </w:rPr>
      </w:pPr>
      <w:r w:rsidRPr="00E87B08">
        <w:rPr>
          <w:sz w:val="22"/>
          <w:u w:val="single"/>
        </w:rPr>
        <w:t>Suivi/Évaluation des activités à mi-parcours et</w:t>
      </w:r>
      <w:r w:rsidR="00DC5A00">
        <w:rPr>
          <w:sz w:val="22"/>
          <w:u w:val="single"/>
        </w:rPr>
        <w:t> </w:t>
      </w:r>
      <w:r w:rsidRPr="00E87B08">
        <w:rPr>
          <w:sz w:val="22"/>
          <w:u w:val="single"/>
        </w:rPr>
        <w:t>final :</w:t>
      </w:r>
    </w:p>
    <w:p w14:paraId="423D7728" w14:textId="77777777" w:rsidR="001C2F95" w:rsidRPr="00E87B08" w:rsidRDefault="001C2F95" w:rsidP="001C2F95">
      <w:pPr>
        <w:pStyle w:val="Paragraphedeliste"/>
        <w:rPr>
          <w:sz w:val="22"/>
        </w:rPr>
      </w:pPr>
    </w:p>
    <w:p w14:paraId="4B1117CA" w14:textId="77777777" w:rsidR="001C2F95" w:rsidRPr="00976F12" w:rsidRDefault="001C2F95" w:rsidP="002378EA">
      <w:pPr>
        <w:pStyle w:val="Paragraphedeliste"/>
        <w:numPr>
          <w:ilvl w:val="0"/>
          <w:numId w:val="69"/>
        </w:numPr>
        <w:autoSpaceDE w:val="0"/>
        <w:autoSpaceDN w:val="0"/>
        <w:adjustRightInd w:val="0"/>
        <w:rPr>
          <w:rFonts w:cs="Arial"/>
          <w:i/>
          <w:color w:val="000000"/>
          <w:sz w:val="22"/>
        </w:rPr>
      </w:pPr>
      <w:r w:rsidRPr="00976F12">
        <w:rPr>
          <w:rFonts w:cs="Arial"/>
          <w:i/>
          <w:color w:val="000000"/>
          <w:sz w:val="22"/>
        </w:rPr>
        <w:t xml:space="preserve">Évaluation et des </w:t>
      </w:r>
      <w:r w:rsidR="00257F9E">
        <w:rPr>
          <w:rFonts w:cs="Arial"/>
          <w:i/>
          <w:color w:val="000000"/>
          <w:sz w:val="22"/>
        </w:rPr>
        <w:t>a</w:t>
      </w:r>
      <w:r w:rsidRPr="00976F12">
        <w:rPr>
          <w:rFonts w:cs="Arial"/>
          <w:i/>
          <w:color w:val="000000"/>
          <w:sz w:val="22"/>
        </w:rPr>
        <w:t xml:space="preserve">udits : </w:t>
      </w:r>
      <w:r w:rsidRPr="00976F12">
        <w:rPr>
          <w:rFonts w:cs="Arial"/>
          <w:color w:val="000000"/>
          <w:sz w:val="22"/>
        </w:rPr>
        <w:t>pour l’évaluation, on retiendra deux évaluations (à mi-parcours et à la fin du projet-phase 1), soit un montant de 60 000 USD. Des audits sont aussi à prévoir, pour un montant provisionnel de 60 000 USD</w:t>
      </w:r>
      <w:r>
        <w:rPr>
          <w:rFonts w:cs="Arial"/>
          <w:color w:val="000000"/>
          <w:sz w:val="22"/>
        </w:rPr>
        <w:t>, s</w:t>
      </w:r>
      <w:r w:rsidRPr="00976F12">
        <w:rPr>
          <w:rFonts w:cs="Arial"/>
          <w:color w:val="000000"/>
          <w:sz w:val="22"/>
        </w:rPr>
        <w:t xml:space="preserve">oit un total de 120 000 USD. </w:t>
      </w:r>
    </w:p>
    <w:p w14:paraId="69CA8D8D" w14:textId="77777777" w:rsidR="001C2F95" w:rsidRDefault="001C2F95" w:rsidP="00257F9E">
      <w:pPr>
        <w:keepNext/>
        <w:tabs>
          <w:tab w:val="left" w:pos="720"/>
        </w:tabs>
        <w:jc w:val="left"/>
        <w:outlineLvl w:val="2"/>
        <w:rPr>
          <w:rFonts w:cs="Arial"/>
          <w:sz w:val="22"/>
          <w:u w:val="single"/>
        </w:rPr>
      </w:pPr>
    </w:p>
    <w:p w14:paraId="1AA54D04" w14:textId="77777777" w:rsidR="001C2F95" w:rsidRPr="003B0C7B" w:rsidRDefault="001C2F95" w:rsidP="00257F9E">
      <w:pPr>
        <w:keepNext/>
        <w:tabs>
          <w:tab w:val="left" w:pos="720"/>
        </w:tabs>
        <w:jc w:val="left"/>
        <w:outlineLvl w:val="2"/>
        <w:rPr>
          <w:rFonts w:cs="Arial"/>
          <w:vanish/>
          <w:sz w:val="22"/>
          <w:u w:val="single"/>
        </w:rPr>
      </w:pPr>
    </w:p>
    <w:p w14:paraId="5288506B" w14:textId="77777777" w:rsidR="001C2F95" w:rsidRPr="00976F12" w:rsidRDefault="001C2F95" w:rsidP="002378EA">
      <w:pPr>
        <w:pStyle w:val="Paragraphedeliste"/>
        <w:keepNext/>
        <w:numPr>
          <w:ilvl w:val="1"/>
          <w:numId w:val="16"/>
        </w:numPr>
        <w:tabs>
          <w:tab w:val="left" w:pos="720"/>
        </w:tabs>
        <w:contextualSpacing w:val="0"/>
        <w:jc w:val="left"/>
        <w:outlineLvl w:val="2"/>
        <w:rPr>
          <w:rFonts w:cs="Arial"/>
          <w:vanish/>
          <w:sz w:val="22"/>
          <w:u w:val="single"/>
        </w:rPr>
      </w:pPr>
      <w:bookmarkStart w:id="850" w:name="_Toc64026284"/>
      <w:bookmarkStart w:id="851" w:name="_Toc64386832"/>
      <w:bookmarkStart w:id="852" w:name="_Toc70326926"/>
      <w:bookmarkStart w:id="853" w:name="_Toc70327159"/>
      <w:bookmarkStart w:id="854" w:name="_Toc70330522"/>
      <w:bookmarkEnd w:id="850"/>
      <w:bookmarkEnd w:id="851"/>
      <w:bookmarkEnd w:id="852"/>
      <w:bookmarkEnd w:id="853"/>
      <w:bookmarkEnd w:id="854"/>
    </w:p>
    <w:p w14:paraId="5281FB07" w14:textId="77777777" w:rsidR="001C2F95" w:rsidRPr="00976F12" w:rsidRDefault="001C2F95" w:rsidP="002378EA">
      <w:pPr>
        <w:pStyle w:val="Paragraphedeliste"/>
        <w:keepNext/>
        <w:numPr>
          <w:ilvl w:val="1"/>
          <w:numId w:val="16"/>
        </w:numPr>
        <w:tabs>
          <w:tab w:val="left" w:pos="720"/>
        </w:tabs>
        <w:contextualSpacing w:val="0"/>
        <w:jc w:val="left"/>
        <w:outlineLvl w:val="2"/>
        <w:rPr>
          <w:rFonts w:cs="Arial"/>
          <w:vanish/>
          <w:sz w:val="22"/>
          <w:u w:val="single"/>
        </w:rPr>
      </w:pPr>
      <w:bookmarkStart w:id="855" w:name="_Toc64026285"/>
      <w:bookmarkStart w:id="856" w:name="_Toc64386833"/>
      <w:bookmarkStart w:id="857" w:name="_Toc70326927"/>
      <w:bookmarkStart w:id="858" w:name="_Toc70327160"/>
      <w:bookmarkStart w:id="859" w:name="_Toc70330523"/>
      <w:bookmarkEnd w:id="855"/>
      <w:bookmarkEnd w:id="856"/>
      <w:bookmarkEnd w:id="857"/>
      <w:bookmarkEnd w:id="858"/>
      <w:bookmarkEnd w:id="859"/>
    </w:p>
    <w:p w14:paraId="5F88136F" w14:textId="77777777" w:rsidR="001C2F95" w:rsidRPr="00976F12" w:rsidRDefault="001C2F95" w:rsidP="002378EA">
      <w:pPr>
        <w:pStyle w:val="Paragraphedeliste"/>
        <w:keepNext/>
        <w:numPr>
          <w:ilvl w:val="1"/>
          <w:numId w:val="16"/>
        </w:numPr>
        <w:tabs>
          <w:tab w:val="left" w:pos="720"/>
        </w:tabs>
        <w:contextualSpacing w:val="0"/>
        <w:jc w:val="left"/>
        <w:outlineLvl w:val="2"/>
        <w:rPr>
          <w:rFonts w:cs="Arial"/>
          <w:vanish/>
          <w:sz w:val="22"/>
          <w:u w:val="single"/>
        </w:rPr>
      </w:pPr>
      <w:bookmarkStart w:id="860" w:name="_Toc64026286"/>
      <w:bookmarkStart w:id="861" w:name="_Toc64386834"/>
      <w:bookmarkStart w:id="862" w:name="_Toc70326928"/>
      <w:bookmarkStart w:id="863" w:name="_Toc70327161"/>
      <w:bookmarkStart w:id="864" w:name="_Toc70330524"/>
      <w:bookmarkEnd w:id="860"/>
      <w:bookmarkEnd w:id="861"/>
      <w:bookmarkEnd w:id="862"/>
      <w:bookmarkEnd w:id="863"/>
      <w:bookmarkEnd w:id="864"/>
    </w:p>
    <w:p w14:paraId="025E65A4" w14:textId="77777777" w:rsidR="001C2F95" w:rsidRDefault="001C2F95" w:rsidP="00257F9E">
      <w:pPr>
        <w:keepNext/>
        <w:tabs>
          <w:tab w:val="left" w:pos="720"/>
        </w:tabs>
        <w:outlineLvl w:val="2"/>
        <w:rPr>
          <w:rFonts w:cs="Arial"/>
          <w:sz w:val="22"/>
        </w:rPr>
      </w:pPr>
      <w:bookmarkStart w:id="865" w:name="_Toc64026287"/>
      <w:bookmarkStart w:id="866" w:name="_Toc64386835"/>
      <w:bookmarkStart w:id="867" w:name="_Toc70327162"/>
      <w:bookmarkStart w:id="868" w:name="_Toc70330525"/>
      <w:r w:rsidRPr="00257F9E">
        <w:rPr>
          <w:rFonts w:cs="Arial"/>
          <w:sz w:val="22"/>
        </w:rPr>
        <w:t xml:space="preserve">Le coût quantitatif et estimatif total de mise en œuvre des mesures environnementales et sociales s’élève à </w:t>
      </w:r>
      <w:r w:rsidR="00141A53" w:rsidRPr="00257F9E">
        <w:rPr>
          <w:rFonts w:cs="Arial"/>
          <w:color w:val="000000"/>
          <w:sz w:val="22"/>
        </w:rPr>
        <w:t>15 168 630</w:t>
      </w:r>
      <w:r w:rsidRPr="00257F9E">
        <w:rPr>
          <w:rFonts w:cs="Arial"/>
          <w:sz w:val="22"/>
        </w:rPr>
        <w:t xml:space="preserve">USD détaillé par rubrique dans le tableau </w:t>
      </w:r>
      <w:r w:rsidR="00257F9E">
        <w:rPr>
          <w:rFonts w:cs="Arial"/>
          <w:sz w:val="22"/>
        </w:rPr>
        <w:t xml:space="preserve">41 </w:t>
      </w:r>
      <w:r w:rsidRPr="00257F9E">
        <w:rPr>
          <w:rFonts w:cs="Arial"/>
          <w:sz w:val="22"/>
        </w:rPr>
        <w:t>ci-dessous.</w:t>
      </w:r>
      <w:bookmarkEnd w:id="865"/>
      <w:bookmarkEnd w:id="866"/>
      <w:bookmarkEnd w:id="867"/>
      <w:bookmarkEnd w:id="868"/>
      <w:r w:rsidRPr="00257F9E">
        <w:rPr>
          <w:rFonts w:cs="Arial"/>
          <w:sz w:val="22"/>
        </w:rPr>
        <w:t xml:space="preserve"> </w:t>
      </w:r>
    </w:p>
    <w:p w14:paraId="7A6DEFA9" w14:textId="77777777" w:rsidR="00257F9E" w:rsidRPr="00257F9E" w:rsidRDefault="00257F9E" w:rsidP="00257F9E">
      <w:pPr>
        <w:keepNext/>
        <w:tabs>
          <w:tab w:val="left" w:pos="720"/>
        </w:tabs>
        <w:outlineLvl w:val="2"/>
        <w:rPr>
          <w:rFonts w:cs="Arial"/>
          <w:sz w:val="22"/>
        </w:rPr>
      </w:pPr>
    </w:p>
    <w:p w14:paraId="6690113E" w14:textId="77777777" w:rsidR="001C2F95" w:rsidRDefault="001C2F95" w:rsidP="00257F9E">
      <w:pPr>
        <w:pStyle w:val="Lgende"/>
        <w:keepNext/>
        <w:ind w:left="1418" w:hanging="1418"/>
        <w:rPr>
          <w:sz w:val="22"/>
          <w:szCs w:val="22"/>
        </w:rPr>
      </w:pPr>
      <w:bookmarkStart w:id="869" w:name="_Toc70451688"/>
      <w:r w:rsidRPr="00257F9E">
        <w:rPr>
          <w:sz w:val="22"/>
          <w:szCs w:val="22"/>
        </w:rPr>
        <w:t xml:space="preserve">Tableau </w:t>
      </w:r>
      <w:r w:rsidRPr="00257F9E">
        <w:rPr>
          <w:sz w:val="22"/>
          <w:szCs w:val="22"/>
        </w:rPr>
        <w:fldChar w:fldCharType="begin"/>
      </w:r>
      <w:r w:rsidRPr="00257F9E">
        <w:rPr>
          <w:sz w:val="22"/>
          <w:szCs w:val="22"/>
        </w:rPr>
        <w:instrText xml:space="preserve"> SEQ Tableau \* ARABIC </w:instrText>
      </w:r>
      <w:r w:rsidRPr="00257F9E">
        <w:rPr>
          <w:sz w:val="22"/>
          <w:szCs w:val="22"/>
        </w:rPr>
        <w:fldChar w:fldCharType="separate"/>
      </w:r>
      <w:r w:rsidR="001260B3">
        <w:rPr>
          <w:noProof/>
          <w:sz w:val="22"/>
          <w:szCs w:val="22"/>
        </w:rPr>
        <w:t>42</w:t>
      </w:r>
      <w:r w:rsidRPr="00257F9E">
        <w:rPr>
          <w:sz w:val="22"/>
          <w:szCs w:val="22"/>
        </w:rPr>
        <w:fldChar w:fldCharType="end"/>
      </w:r>
      <w:r w:rsidRPr="00257F9E">
        <w:rPr>
          <w:sz w:val="22"/>
          <w:szCs w:val="22"/>
        </w:rPr>
        <w:t xml:space="preserve">. Budget quantitatif et estimatif global de mise en </w:t>
      </w:r>
      <w:r w:rsidR="00045366" w:rsidRPr="00257F9E">
        <w:rPr>
          <w:sz w:val="22"/>
          <w:szCs w:val="22"/>
        </w:rPr>
        <w:t>œuvre</w:t>
      </w:r>
      <w:r w:rsidRPr="00257F9E">
        <w:rPr>
          <w:sz w:val="22"/>
          <w:szCs w:val="22"/>
        </w:rPr>
        <w:t xml:space="preserve"> des mesures environnementales et sociales d</w:t>
      </w:r>
      <w:r w:rsidR="006B658C" w:rsidRPr="00257F9E">
        <w:rPr>
          <w:rFonts w:cs="Arial"/>
          <w:sz w:val="22"/>
        </w:rPr>
        <w:t>es PGRIES</w:t>
      </w:r>
      <w:bookmarkEnd w:id="869"/>
      <w:r w:rsidR="006B658C">
        <w:rPr>
          <w:rFonts w:cs="Arial"/>
          <w:sz w:val="22"/>
        </w:rPr>
        <w:t xml:space="preserve"> </w:t>
      </w:r>
    </w:p>
    <w:p w14:paraId="3FF26931" w14:textId="77777777" w:rsidR="002A1EE6" w:rsidRDefault="002A1EE6" w:rsidP="00257F9E">
      <w:pPr>
        <w:rPr>
          <w:lang w:eastAsia="en-US"/>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66"/>
        <w:gridCol w:w="2004"/>
        <w:gridCol w:w="1882"/>
        <w:gridCol w:w="1759"/>
      </w:tblGrid>
      <w:tr w:rsidR="0008598F" w:rsidRPr="002A1EE6" w14:paraId="5DB47017" w14:textId="77777777" w:rsidTr="00730A4A">
        <w:trPr>
          <w:trHeight w:val="493"/>
          <w:tblHeader/>
        </w:trPr>
        <w:tc>
          <w:tcPr>
            <w:tcW w:w="3666" w:type="dxa"/>
            <w:shd w:val="clear" w:color="auto" w:fill="D5DCE4"/>
            <w:vAlign w:val="center"/>
            <w:hideMark/>
          </w:tcPr>
          <w:p w14:paraId="51BA4555" w14:textId="77777777" w:rsidR="002A1EE6" w:rsidRPr="002A1EE6" w:rsidRDefault="002A1EE6" w:rsidP="002A1EE6">
            <w:pPr>
              <w:spacing w:line="240" w:lineRule="auto"/>
              <w:jc w:val="center"/>
              <w:rPr>
                <w:rFonts w:cs="Arial"/>
                <w:color w:val="000000"/>
                <w:sz w:val="22"/>
              </w:rPr>
            </w:pPr>
            <w:r w:rsidRPr="002A1EE6">
              <w:rPr>
                <w:rFonts w:cs="Arial"/>
                <w:color w:val="000000"/>
                <w:sz w:val="22"/>
              </w:rPr>
              <w:t>Activités</w:t>
            </w:r>
          </w:p>
        </w:tc>
        <w:tc>
          <w:tcPr>
            <w:tcW w:w="2004" w:type="dxa"/>
            <w:shd w:val="clear" w:color="auto" w:fill="D5DCE4"/>
            <w:vAlign w:val="center"/>
            <w:hideMark/>
          </w:tcPr>
          <w:p w14:paraId="7202A11F" w14:textId="77777777" w:rsidR="002A1EE6" w:rsidRPr="002A1EE6" w:rsidRDefault="002A1EE6" w:rsidP="002A1EE6">
            <w:pPr>
              <w:spacing w:line="240" w:lineRule="auto"/>
              <w:jc w:val="center"/>
              <w:rPr>
                <w:rFonts w:cs="Arial"/>
                <w:color w:val="000000"/>
                <w:sz w:val="22"/>
              </w:rPr>
            </w:pPr>
            <w:r w:rsidRPr="002A1EE6">
              <w:rPr>
                <w:rFonts w:cs="Arial"/>
                <w:bCs/>
                <w:color w:val="000000"/>
                <w:sz w:val="22"/>
              </w:rPr>
              <w:t>Quantité</w:t>
            </w:r>
          </w:p>
        </w:tc>
        <w:tc>
          <w:tcPr>
            <w:tcW w:w="1882" w:type="dxa"/>
            <w:shd w:val="clear" w:color="auto" w:fill="D5DCE4"/>
            <w:vAlign w:val="center"/>
            <w:hideMark/>
          </w:tcPr>
          <w:p w14:paraId="69EC1AE5" w14:textId="77777777" w:rsidR="002A1EE6" w:rsidRPr="002A1EE6" w:rsidRDefault="002A1EE6" w:rsidP="002A1EE6">
            <w:pPr>
              <w:spacing w:line="240" w:lineRule="auto"/>
              <w:jc w:val="center"/>
              <w:rPr>
                <w:rFonts w:cs="Arial"/>
                <w:color w:val="000000"/>
                <w:sz w:val="22"/>
              </w:rPr>
            </w:pPr>
            <w:r w:rsidRPr="002A1EE6">
              <w:rPr>
                <w:rFonts w:cs="Arial"/>
                <w:color w:val="000000"/>
                <w:sz w:val="22"/>
              </w:rPr>
              <w:t>Coût unitaire (USD)</w:t>
            </w:r>
          </w:p>
        </w:tc>
        <w:tc>
          <w:tcPr>
            <w:tcW w:w="1759" w:type="dxa"/>
            <w:shd w:val="clear" w:color="auto" w:fill="D5DCE4"/>
            <w:vAlign w:val="center"/>
            <w:hideMark/>
          </w:tcPr>
          <w:p w14:paraId="21D0AE1E" w14:textId="77777777" w:rsidR="002A1EE6" w:rsidRPr="002A1EE6" w:rsidRDefault="002A1EE6" w:rsidP="002A1EE6">
            <w:pPr>
              <w:spacing w:line="240" w:lineRule="auto"/>
              <w:jc w:val="center"/>
              <w:rPr>
                <w:rFonts w:cs="Arial"/>
                <w:color w:val="000000"/>
                <w:sz w:val="22"/>
              </w:rPr>
            </w:pPr>
            <w:r w:rsidRPr="002A1EE6">
              <w:rPr>
                <w:rFonts w:cs="Arial"/>
                <w:color w:val="000000"/>
                <w:sz w:val="22"/>
                <w:lang w:val="fr-CA"/>
              </w:rPr>
              <w:t>Coût total (USD)</w:t>
            </w:r>
          </w:p>
        </w:tc>
      </w:tr>
      <w:tr w:rsidR="002A1EE6" w:rsidRPr="00F7399A" w14:paraId="0C6C0165" w14:textId="77777777" w:rsidTr="004B1243">
        <w:trPr>
          <w:trHeight w:val="273"/>
        </w:trPr>
        <w:tc>
          <w:tcPr>
            <w:tcW w:w="3666" w:type="dxa"/>
            <w:shd w:val="clear" w:color="auto" w:fill="auto"/>
            <w:vAlign w:val="center"/>
            <w:hideMark/>
          </w:tcPr>
          <w:p w14:paraId="6E3D0F39" w14:textId="77777777" w:rsidR="002A1EE6" w:rsidRPr="009343B1" w:rsidRDefault="002918B7" w:rsidP="002918B7">
            <w:pPr>
              <w:spacing w:line="240" w:lineRule="auto"/>
              <w:jc w:val="left"/>
              <w:rPr>
                <w:rFonts w:cs="Arial"/>
                <w:color w:val="000000"/>
                <w:sz w:val="22"/>
              </w:rPr>
            </w:pPr>
            <w:r w:rsidRPr="00257F9E">
              <w:rPr>
                <w:rFonts w:cs="Arial"/>
                <w:bCs/>
                <w:color w:val="000000"/>
                <w:sz w:val="22"/>
              </w:rPr>
              <w:t>Elaboration</w:t>
            </w:r>
            <w:r w:rsidR="002A1EE6" w:rsidRPr="009343B1">
              <w:rPr>
                <w:rFonts w:cs="Arial"/>
                <w:bCs/>
                <w:color w:val="000000"/>
                <w:sz w:val="22"/>
              </w:rPr>
              <w:t xml:space="preserve">des ÉIES/PGES   </w:t>
            </w:r>
          </w:p>
        </w:tc>
        <w:tc>
          <w:tcPr>
            <w:tcW w:w="2004" w:type="dxa"/>
            <w:shd w:val="clear" w:color="auto" w:fill="auto"/>
            <w:vAlign w:val="center"/>
            <w:hideMark/>
          </w:tcPr>
          <w:p w14:paraId="377DFAFD" w14:textId="77777777" w:rsidR="002A1EE6" w:rsidRPr="004B124D" w:rsidRDefault="002918B7" w:rsidP="002A1EE6">
            <w:pPr>
              <w:spacing w:line="240" w:lineRule="auto"/>
              <w:jc w:val="center"/>
              <w:rPr>
                <w:rFonts w:cs="Arial"/>
                <w:color w:val="000000"/>
                <w:sz w:val="22"/>
              </w:rPr>
            </w:pPr>
            <w:r w:rsidRPr="00257F9E">
              <w:rPr>
                <w:rFonts w:cs="Arial"/>
                <w:color w:val="000000"/>
                <w:sz w:val="22"/>
              </w:rPr>
              <w:t>3</w:t>
            </w:r>
            <w:r w:rsidR="002A1EE6" w:rsidRPr="004B124D">
              <w:rPr>
                <w:rFonts w:cs="Arial"/>
                <w:color w:val="000000"/>
                <w:sz w:val="22"/>
              </w:rPr>
              <w:t>0</w:t>
            </w:r>
          </w:p>
        </w:tc>
        <w:tc>
          <w:tcPr>
            <w:tcW w:w="1882" w:type="dxa"/>
            <w:shd w:val="clear" w:color="auto" w:fill="auto"/>
            <w:vAlign w:val="center"/>
            <w:hideMark/>
          </w:tcPr>
          <w:p w14:paraId="77128A5B" w14:textId="77777777" w:rsidR="002A1EE6" w:rsidRPr="00E80989" w:rsidRDefault="002A1EE6" w:rsidP="002A1EE6">
            <w:pPr>
              <w:spacing w:line="240" w:lineRule="auto"/>
              <w:jc w:val="right"/>
              <w:rPr>
                <w:rFonts w:cs="Arial"/>
                <w:color w:val="000000"/>
                <w:sz w:val="22"/>
              </w:rPr>
            </w:pPr>
            <w:r w:rsidRPr="00E80989">
              <w:rPr>
                <w:rFonts w:cs="Arial"/>
                <w:color w:val="000000"/>
                <w:sz w:val="22"/>
              </w:rPr>
              <w:t>50 000</w:t>
            </w:r>
          </w:p>
        </w:tc>
        <w:tc>
          <w:tcPr>
            <w:tcW w:w="1759" w:type="dxa"/>
            <w:shd w:val="clear" w:color="auto" w:fill="auto"/>
            <w:vAlign w:val="center"/>
            <w:hideMark/>
          </w:tcPr>
          <w:p w14:paraId="1D52CC15" w14:textId="77777777" w:rsidR="002A1EE6" w:rsidRPr="004B124D" w:rsidRDefault="004B1243" w:rsidP="002A1EE6">
            <w:pPr>
              <w:spacing w:line="240" w:lineRule="auto"/>
              <w:jc w:val="right"/>
              <w:rPr>
                <w:rFonts w:cs="Arial"/>
                <w:color w:val="000000"/>
                <w:sz w:val="22"/>
              </w:rPr>
            </w:pPr>
            <w:r w:rsidRPr="00257F9E">
              <w:rPr>
                <w:rFonts w:cs="Arial"/>
                <w:color w:val="000000"/>
                <w:sz w:val="22"/>
              </w:rPr>
              <w:t>1</w:t>
            </w:r>
            <w:r w:rsidR="002A1EE6" w:rsidRPr="004B124D">
              <w:rPr>
                <w:rFonts w:cs="Arial"/>
                <w:color w:val="000000"/>
                <w:sz w:val="22"/>
              </w:rPr>
              <w:t xml:space="preserve"> 500 000</w:t>
            </w:r>
          </w:p>
        </w:tc>
      </w:tr>
      <w:tr w:rsidR="002A1EE6" w:rsidRPr="00F7399A" w14:paraId="7A2A8FA7" w14:textId="77777777" w:rsidTr="004B1243">
        <w:trPr>
          <w:trHeight w:val="555"/>
        </w:trPr>
        <w:tc>
          <w:tcPr>
            <w:tcW w:w="3666" w:type="dxa"/>
            <w:shd w:val="clear" w:color="auto" w:fill="auto"/>
            <w:vAlign w:val="center"/>
            <w:hideMark/>
          </w:tcPr>
          <w:p w14:paraId="267E4946" w14:textId="77777777" w:rsidR="002A1EE6" w:rsidRPr="00F7399A" w:rsidRDefault="002A1EE6" w:rsidP="00174053">
            <w:pPr>
              <w:spacing w:line="240" w:lineRule="auto"/>
              <w:jc w:val="left"/>
              <w:rPr>
                <w:rFonts w:cs="Arial"/>
                <w:color w:val="000000"/>
                <w:sz w:val="22"/>
              </w:rPr>
            </w:pPr>
            <w:r w:rsidRPr="00F7399A">
              <w:rPr>
                <w:rFonts w:cs="Arial"/>
                <w:bCs/>
                <w:color w:val="000000"/>
                <w:sz w:val="22"/>
              </w:rPr>
              <w:t>Élaboration des PAR</w:t>
            </w:r>
            <w:r w:rsidR="00174053">
              <w:rPr>
                <w:rFonts w:cs="Arial"/>
                <w:bCs/>
                <w:color w:val="000000"/>
                <w:sz w:val="22"/>
              </w:rPr>
              <w:t>/PSR</w:t>
            </w:r>
          </w:p>
        </w:tc>
        <w:tc>
          <w:tcPr>
            <w:tcW w:w="2004" w:type="dxa"/>
            <w:shd w:val="clear" w:color="auto" w:fill="auto"/>
            <w:vAlign w:val="center"/>
            <w:hideMark/>
          </w:tcPr>
          <w:p w14:paraId="55CDC424" w14:textId="77777777" w:rsidR="002A1EE6" w:rsidRPr="004B124D" w:rsidRDefault="002918B7" w:rsidP="002A1EE6">
            <w:pPr>
              <w:spacing w:line="240" w:lineRule="auto"/>
              <w:jc w:val="center"/>
              <w:rPr>
                <w:rFonts w:cs="Arial"/>
                <w:color w:val="000000"/>
                <w:sz w:val="22"/>
              </w:rPr>
            </w:pPr>
            <w:r w:rsidRPr="00257F9E">
              <w:rPr>
                <w:rFonts w:cs="Arial"/>
                <w:color w:val="000000"/>
                <w:sz w:val="22"/>
              </w:rPr>
              <w:t>3</w:t>
            </w:r>
            <w:r w:rsidR="002A1EE6" w:rsidRPr="004B124D">
              <w:rPr>
                <w:rFonts w:cs="Arial"/>
                <w:color w:val="000000"/>
                <w:sz w:val="22"/>
              </w:rPr>
              <w:t>0</w:t>
            </w:r>
          </w:p>
        </w:tc>
        <w:tc>
          <w:tcPr>
            <w:tcW w:w="1882" w:type="dxa"/>
            <w:shd w:val="clear" w:color="auto" w:fill="auto"/>
            <w:vAlign w:val="center"/>
            <w:hideMark/>
          </w:tcPr>
          <w:p w14:paraId="51EA7E61" w14:textId="77777777" w:rsidR="002A1EE6" w:rsidRPr="00E80989" w:rsidRDefault="002A1EE6" w:rsidP="002A1EE6">
            <w:pPr>
              <w:spacing w:line="240" w:lineRule="auto"/>
              <w:jc w:val="right"/>
              <w:rPr>
                <w:rFonts w:cs="Arial"/>
                <w:color w:val="000000"/>
                <w:sz w:val="22"/>
              </w:rPr>
            </w:pPr>
            <w:r w:rsidRPr="00E80989">
              <w:rPr>
                <w:rFonts w:cs="Arial"/>
                <w:color w:val="000000"/>
                <w:sz w:val="22"/>
              </w:rPr>
              <w:t>60 000</w:t>
            </w:r>
          </w:p>
        </w:tc>
        <w:tc>
          <w:tcPr>
            <w:tcW w:w="1759" w:type="dxa"/>
            <w:shd w:val="clear" w:color="auto" w:fill="auto"/>
            <w:vAlign w:val="center"/>
            <w:hideMark/>
          </w:tcPr>
          <w:p w14:paraId="2BFF3F42" w14:textId="77777777" w:rsidR="002A1EE6" w:rsidRPr="004B124D" w:rsidRDefault="004B1243" w:rsidP="002A1EE6">
            <w:pPr>
              <w:spacing w:line="240" w:lineRule="auto"/>
              <w:jc w:val="right"/>
              <w:rPr>
                <w:rFonts w:cs="Arial"/>
                <w:color w:val="000000"/>
                <w:sz w:val="22"/>
              </w:rPr>
            </w:pPr>
            <w:r w:rsidRPr="00257F9E">
              <w:rPr>
                <w:rFonts w:cs="Arial"/>
                <w:color w:val="000000"/>
                <w:sz w:val="22"/>
              </w:rPr>
              <w:t>1</w:t>
            </w:r>
            <w:r w:rsidR="002A1EE6" w:rsidRPr="004B124D">
              <w:rPr>
                <w:rFonts w:cs="Arial"/>
                <w:color w:val="000000"/>
                <w:sz w:val="22"/>
              </w:rPr>
              <w:t xml:space="preserve"> </w:t>
            </w:r>
            <w:r w:rsidRPr="00257F9E">
              <w:rPr>
                <w:rFonts w:cs="Arial"/>
                <w:color w:val="000000"/>
                <w:sz w:val="22"/>
              </w:rPr>
              <w:t>8</w:t>
            </w:r>
            <w:r w:rsidR="002A1EE6" w:rsidRPr="004B124D">
              <w:rPr>
                <w:rFonts w:cs="Arial"/>
                <w:color w:val="000000"/>
                <w:sz w:val="22"/>
              </w:rPr>
              <w:t>00 000</w:t>
            </w:r>
          </w:p>
        </w:tc>
      </w:tr>
      <w:tr w:rsidR="002A1EE6" w:rsidRPr="00F7399A" w14:paraId="63CCC932" w14:textId="77777777" w:rsidTr="004B1243">
        <w:trPr>
          <w:trHeight w:val="309"/>
        </w:trPr>
        <w:tc>
          <w:tcPr>
            <w:tcW w:w="3666" w:type="dxa"/>
            <w:shd w:val="clear" w:color="auto" w:fill="auto"/>
            <w:vAlign w:val="center"/>
            <w:hideMark/>
          </w:tcPr>
          <w:p w14:paraId="4DD60136" w14:textId="77777777" w:rsidR="002A1EE6" w:rsidRPr="00F7399A" w:rsidRDefault="002A1EE6" w:rsidP="002A1EE6">
            <w:pPr>
              <w:spacing w:line="240" w:lineRule="auto"/>
              <w:jc w:val="left"/>
              <w:rPr>
                <w:rFonts w:cs="Arial"/>
                <w:color w:val="000000"/>
                <w:sz w:val="22"/>
              </w:rPr>
            </w:pPr>
            <w:r w:rsidRPr="00F7399A">
              <w:rPr>
                <w:rFonts w:cs="Arial"/>
                <w:bCs/>
                <w:color w:val="000000"/>
                <w:sz w:val="22"/>
              </w:rPr>
              <w:t>Mise en œuvre des PAR</w:t>
            </w:r>
            <w:r w:rsidR="00174053">
              <w:rPr>
                <w:rFonts w:cs="Arial"/>
                <w:bCs/>
                <w:color w:val="000000"/>
                <w:sz w:val="22"/>
              </w:rPr>
              <w:t>/PSR</w:t>
            </w:r>
          </w:p>
        </w:tc>
        <w:tc>
          <w:tcPr>
            <w:tcW w:w="2004" w:type="dxa"/>
            <w:shd w:val="clear" w:color="auto" w:fill="auto"/>
            <w:vAlign w:val="center"/>
            <w:hideMark/>
          </w:tcPr>
          <w:p w14:paraId="25F96516" w14:textId="77777777" w:rsidR="002A1EE6" w:rsidRPr="00F7399A" w:rsidRDefault="002A1EE6" w:rsidP="002A1EE6">
            <w:pPr>
              <w:spacing w:line="240" w:lineRule="auto"/>
              <w:jc w:val="center"/>
              <w:rPr>
                <w:rFonts w:cs="Arial"/>
                <w:color w:val="000000"/>
                <w:sz w:val="22"/>
              </w:rPr>
            </w:pPr>
            <w:r w:rsidRPr="00F7399A">
              <w:rPr>
                <w:rFonts w:cs="Arial"/>
                <w:color w:val="000000"/>
                <w:sz w:val="22"/>
              </w:rPr>
              <w:t>30</w:t>
            </w:r>
          </w:p>
        </w:tc>
        <w:tc>
          <w:tcPr>
            <w:tcW w:w="1882" w:type="dxa"/>
            <w:shd w:val="clear" w:color="auto" w:fill="auto"/>
            <w:vAlign w:val="center"/>
            <w:hideMark/>
          </w:tcPr>
          <w:p w14:paraId="6BA7C91E" w14:textId="77777777" w:rsidR="002A1EE6" w:rsidRPr="00F7399A" w:rsidRDefault="002A1EE6" w:rsidP="002A1EE6">
            <w:pPr>
              <w:spacing w:line="240" w:lineRule="auto"/>
              <w:jc w:val="right"/>
              <w:rPr>
                <w:rFonts w:cs="Arial"/>
                <w:color w:val="000000"/>
                <w:sz w:val="22"/>
              </w:rPr>
            </w:pPr>
            <w:r w:rsidRPr="00F7399A">
              <w:rPr>
                <w:rFonts w:cs="Arial"/>
                <w:color w:val="000000"/>
                <w:sz w:val="22"/>
              </w:rPr>
              <w:t>40 000</w:t>
            </w:r>
          </w:p>
        </w:tc>
        <w:tc>
          <w:tcPr>
            <w:tcW w:w="1759" w:type="dxa"/>
            <w:shd w:val="clear" w:color="auto" w:fill="auto"/>
            <w:vAlign w:val="center"/>
            <w:hideMark/>
          </w:tcPr>
          <w:p w14:paraId="1EDB72B8" w14:textId="77777777" w:rsidR="002A1EE6" w:rsidRPr="00F7399A" w:rsidRDefault="002A1EE6" w:rsidP="002A1EE6">
            <w:pPr>
              <w:spacing w:line="240" w:lineRule="auto"/>
              <w:jc w:val="right"/>
              <w:rPr>
                <w:rFonts w:cs="Arial"/>
                <w:color w:val="000000"/>
                <w:sz w:val="22"/>
              </w:rPr>
            </w:pPr>
            <w:r w:rsidRPr="00F7399A">
              <w:rPr>
                <w:rFonts w:cs="Arial"/>
                <w:color w:val="000000"/>
                <w:sz w:val="22"/>
              </w:rPr>
              <w:t>1 200 000</w:t>
            </w:r>
          </w:p>
        </w:tc>
      </w:tr>
      <w:tr w:rsidR="00DC5A00" w:rsidRPr="002A1EE6" w14:paraId="21B22DDC" w14:textId="77777777" w:rsidTr="004B1243">
        <w:trPr>
          <w:trHeight w:val="309"/>
        </w:trPr>
        <w:tc>
          <w:tcPr>
            <w:tcW w:w="3666" w:type="dxa"/>
            <w:shd w:val="clear" w:color="auto" w:fill="auto"/>
            <w:vAlign w:val="center"/>
          </w:tcPr>
          <w:p w14:paraId="424F6086" w14:textId="77777777" w:rsidR="00DC5A00" w:rsidRPr="002A1EE6" w:rsidRDefault="00DC5A00" w:rsidP="002A1EE6">
            <w:pPr>
              <w:spacing w:line="240" w:lineRule="auto"/>
              <w:jc w:val="left"/>
              <w:rPr>
                <w:rFonts w:cs="Arial"/>
                <w:bCs/>
                <w:color w:val="000000"/>
                <w:sz w:val="22"/>
              </w:rPr>
            </w:pPr>
            <w:r>
              <w:rPr>
                <w:rFonts w:cs="Arial"/>
                <w:bCs/>
                <w:color w:val="000000"/>
                <w:sz w:val="22"/>
              </w:rPr>
              <w:t>Elaboration et mise en œuvre du PGS</w:t>
            </w:r>
          </w:p>
        </w:tc>
        <w:tc>
          <w:tcPr>
            <w:tcW w:w="2004" w:type="dxa"/>
            <w:shd w:val="clear" w:color="auto" w:fill="auto"/>
            <w:vAlign w:val="center"/>
          </w:tcPr>
          <w:p w14:paraId="7A36DAF4" w14:textId="77777777" w:rsidR="00DC5A00" w:rsidRPr="002A1EE6" w:rsidRDefault="00DC5A00" w:rsidP="002A1EE6">
            <w:pPr>
              <w:spacing w:line="240" w:lineRule="auto"/>
              <w:jc w:val="center"/>
              <w:rPr>
                <w:rFonts w:cs="Arial"/>
                <w:color w:val="000000"/>
                <w:sz w:val="22"/>
              </w:rPr>
            </w:pPr>
            <w:r>
              <w:rPr>
                <w:rFonts w:cs="Arial"/>
                <w:color w:val="000000"/>
                <w:sz w:val="22"/>
              </w:rPr>
              <w:t>1</w:t>
            </w:r>
          </w:p>
        </w:tc>
        <w:tc>
          <w:tcPr>
            <w:tcW w:w="1882" w:type="dxa"/>
            <w:shd w:val="clear" w:color="auto" w:fill="auto"/>
            <w:vAlign w:val="center"/>
          </w:tcPr>
          <w:p w14:paraId="257AC086" w14:textId="77777777" w:rsidR="00DC5A00" w:rsidRPr="002A1EE6" w:rsidRDefault="00DC5A00" w:rsidP="002A1EE6">
            <w:pPr>
              <w:spacing w:line="240" w:lineRule="auto"/>
              <w:jc w:val="right"/>
              <w:rPr>
                <w:rFonts w:cs="Arial"/>
                <w:color w:val="000000"/>
                <w:sz w:val="22"/>
              </w:rPr>
            </w:pPr>
            <w:r>
              <w:rPr>
                <w:rFonts w:cs="Arial"/>
                <w:color w:val="000000"/>
                <w:sz w:val="22"/>
              </w:rPr>
              <w:t>100 000</w:t>
            </w:r>
          </w:p>
        </w:tc>
        <w:tc>
          <w:tcPr>
            <w:tcW w:w="1759" w:type="dxa"/>
            <w:shd w:val="clear" w:color="auto" w:fill="auto"/>
            <w:vAlign w:val="center"/>
          </w:tcPr>
          <w:p w14:paraId="71388E26" w14:textId="77777777" w:rsidR="00DC5A00" w:rsidRPr="002A1EE6" w:rsidRDefault="00DC5A00" w:rsidP="002A1EE6">
            <w:pPr>
              <w:spacing w:line="240" w:lineRule="auto"/>
              <w:jc w:val="right"/>
              <w:rPr>
                <w:rFonts w:cs="Arial"/>
                <w:color w:val="000000"/>
                <w:sz w:val="22"/>
              </w:rPr>
            </w:pPr>
            <w:r>
              <w:rPr>
                <w:rFonts w:cs="Arial"/>
                <w:color w:val="000000"/>
                <w:sz w:val="22"/>
              </w:rPr>
              <w:t>100 000</w:t>
            </w:r>
          </w:p>
        </w:tc>
      </w:tr>
      <w:tr w:rsidR="00DC5A00" w:rsidRPr="002A1EE6" w14:paraId="497E8F3F" w14:textId="77777777" w:rsidTr="004B1243">
        <w:trPr>
          <w:trHeight w:val="309"/>
        </w:trPr>
        <w:tc>
          <w:tcPr>
            <w:tcW w:w="3666" w:type="dxa"/>
            <w:shd w:val="clear" w:color="auto" w:fill="auto"/>
            <w:vAlign w:val="center"/>
          </w:tcPr>
          <w:p w14:paraId="4B9613AF" w14:textId="77777777" w:rsidR="00DC5A00" w:rsidRDefault="00DC5A00" w:rsidP="002A1EE6">
            <w:pPr>
              <w:spacing w:line="240" w:lineRule="auto"/>
              <w:jc w:val="left"/>
              <w:rPr>
                <w:rFonts w:cs="Arial"/>
                <w:bCs/>
                <w:color w:val="000000"/>
                <w:sz w:val="22"/>
              </w:rPr>
            </w:pPr>
            <w:r>
              <w:rPr>
                <w:rFonts w:cs="Arial"/>
                <w:bCs/>
                <w:color w:val="000000"/>
                <w:sz w:val="22"/>
              </w:rPr>
              <w:t>Elaboration et mise en œuvre du Plan de Gestion de la Biodiversité (PGB)</w:t>
            </w:r>
          </w:p>
        </w:tc>
        <w:tc>
          <w:tcPr>
            <w:tcW w:w="2004" w:type="dxa"/>
            <w:shd w:val="clear" w:color="auto" w:fill="auto"/>
            <w:vAlign w:val="center"/>
          </w:tcPr>
          <w:p w14:paraId="577DF458" w14:textId="77777777" w:rsidR="00DC5A00" w:rsidRDefault="00DC5A00" w:rsidP="002A1EE6">
            <w:pPr>
              <w:spacing w:line="240" w:lineRule="auto"/>
              <w:jc w:val="center"/>
              <w:rPr>
                <w:rFonts w:cs="Arial"/>
                <w:color w:val="000000"/>
                <w:sz w:val="22"/>
              </w:rPr>
            </w:pPr>
            <w:r>
              <w:rPr>
                <w:rFonts w:cs="Arial"/>
                <w:color w:val="000000"/>
                <w:sz w:val="22"/>
              </w:rPr>
              <w:t>1</w:t>
            </w:r>
          </w:p>
        </w:tc>
        <w:tc>
          <w:tcPr>
            <w:tcW w:w="1882" w:type="dxa"/>
            <w:shd w:val="clear" w:color="auto" w:fill="auto"/>
            <w:vAlign w:val="center"/>
          </w:tcPr>
          <w:p w14:paraId="1613B0A8" w14:textId="77777777" w:rsidR="00DC5A00" w:rsidRDefault="00DC5A00" w:rsidP="002A1EE6">
            <w:pPr>
              <w:spacing w:line="240" w:lineRule="auto"/>
              <w:jc w:val="right"/>
              <w:rPr>
                <w:rFonts w:cs="Arial"/>
                <w:color w:val="000000"/>
                <w:sz w:val="22"/>
              </w:rPr>
            </w:pPr>
            <w:r>
              <w:rPr>
                <w:rFonts w:cs="Arial"/>
                <w:color w:val="000000"/>
                <w:sz w:val="22"/>
              </w:rPr>
              <w:t>300 000</w:t>
            </w:r>
          </w:p>
        </w:tc>
        <w:tc>
          <w:tcPr>
            <w:tcW w:w="1759" w:type="dxa"/>
            <w:shd w:val="clear" w:color="auto" w:fill="auto"/>
            <w:vAlign w:val="center"/>
          </w:tcPr>
          <w:p w14:paraId="0C6CEAF6" w14:textId="77777777" w:rsidR="00DC5A00" w:rsidRDefault="00FA094F" w:rsidP="002A1EE6">
            <w:pPr>
              <w:spacing w:line="240" w:lineRule="auto"/>
              <w:jc w:val="right"/>
              <w:rPr>
                <w:rFonts w:cs="Arial"/>
                <w:color w:val="000000"/>
                <w:sz w:val="22"/>
              </w:rPr>
            </w:pPr>
            <w:r>
              <w:rPr>
                <w:rFonts w:cs="Arial"/>
                <w:color w:val="000000"/>
                <w:sz w:val="22"/>
              </w:rPr>
              <w:t>3</w:t>
            </w:r>
            <w:r w:rsidR="002C54D2">
              <w:rPr>
                <w:rFonts w:cs="Arial"/>
                <w:color w:val="000000"/>
                <w:sz w:val="22"/>
              </w:rPr>
              <w:t>00 000</w:t>
            </w:r>
          </w:p>
        </w:tc>
      </w:tr>
      <w:tr w:rsidR="002A1EE6" w:rsidRPr="002A1EE6" w14:paraId="61B274E4" w14:textId="77777777" w:rsidTr="004B1243">
        <w:trPr>
          <w:trHeight w:val="657"/>
        </w:trPr>
        <w:tc>
          <w:tcPr>
            <w:tcW w:w="3666" w:type="dxa"/>
            <w:shd w:val="clear" w:color="auto" w:fill="auto"/>
            <w:vAlign w:val="center"/>
            <w:hideMark/>
          </w:tcPr>
          <w:p w14:paraId="174A405A" w14:textId="77777777" w:rsidR="002A1EE6" w:rsidRPr="002A1EE6" w:rsidRDefault="002A1EE6" w:rsidP="002A1EE6">
            <w:pPr>
              <w:spacing w:line="240" w:lineRule="auto"/>
              <w:jc w:val="left"/>
              <w:rPr>
                <w:rFonts w:cs="Arial"/>
                <w:color w:val="000000"/>
                <w:sz w:val="22"/>
              </w:rPr>
            </w:pPr>
            <w:r w:rsidRPr="002A1EE6">
              <w:rPr>
                <w:rFonts w:cs="Arial"/>
                <w:bCs/>
                <w:color w:val="000000"/>
                <w:sz w:val="22"/>
              </w:rPr>
              <w:t>Mise en œuvre du PMPP y compris le MGP global et celui sensible au VBG</w:t>
            </w:r>
          </w:p>
        </w:tc>
        <w:tc>
          <w:tcPr>
            <w:tcW w:w="2004" w:type="dxa"/>
            <w:shd w:val="clear" w:color="auto" w:fill="auto"/>
            <w:vAlign w:val="center"/>
            <w:hideMark/>
          </w:tcPr>
          <w:p w14:paraId="169375B8" w14:textId="77777777" w:rsidR="002A1EE6" w:rsidRPr="002A1EE6" w:rsidRDefault="002A1EE6" w:rsidP="002A1EE6">
            <w:pPr>
              <w:spacing w:line="240" w:lineRule="auto"/>
              <w:jc w:val="center"/>
              <w:rPr>
                <w:rFonts w:cs="Arial"/>
                <w:color w:val="000000"/>
                <w:sz w:val="22"/>
              </w:rPr>
            </w:pPr>
            <w:r w:rsidRPr="002A1EE6">
              <w:rPr>
                <w:rFonts w:cs="Arial"/>
                <w:color w:val="000000"/>
                <w:sz w:val="22"/>
              </w:rPr>
              <w:t>1</w:t>
            </w:r>
          </w:p>
        </w:tc>
        <w:tc>
          <w:tcPr>
            <w:tcW w:w="1882" w:type="dxa"/>
            <w:shd w:val="clear" w:color="auto" w:fill="auto"/>
            <w:vAlign w:val="center"/>
            <w:hideMark/>
          </w:tcPr>
          <w:p w14:paraId="3217D016" w14:textId="77777777" w:rsidR="004668D0" w:rsidRDefault="004668D0" w:rsidP="002A1EE6">
            <w:pPr>
              <w:spacing w:line="240" w:lineRule="auto"/>
              <w:jc w:val="right"/>
              <w:rPr>
                <w:rFonts w:cs="Arial"/>
                <w:color w:val="000000"/>
                <w:sz w:val="22"/>
              </w:rPr>
            </w:pPr>
            <w:r w:rsidRPr="004668D0">
              <w:rPr>
                <w:rFonts w:cs="Arial"/>
                <w:color w:val="000000"/>
                <w:sz w:val="22"/>
              </w:rPr>
              <w:t xml:space="preserve">2 </w:t>
            </w:r>
            <w:r w:rsidRPr="00257F9E">
              <w:rPr>
                <w:rFonts w:cs="Arial"/>
                <w:color w:val="000000"/>
                <w:sz w:val="22"/>
              </w:rPr>
              <w:t>323 000</w:t>
            </w:r>
          </w:p>
          <w:p w14:paraId="5696B754" w14:textId="77777777" w:rsidR="002A1EE6" w:rsidRPr="002A1EE6" w:rsidRDefault="002A1EE6" w:rsidP="002A1EE6">
            <w:pPr>
              <w:spacing w:line="240" w:lineRule="auto"/>
              <w:jc w:val="right"/>
              <w:rPr>
                <w:rFonts w:cs="Arial"/>
                <w:color w:val="000000"/>
                <w:sz w:val="22"/>
              </w:rPr>
            </w:pPr>
          </w:p>
        </w:tc>
        <w:tc>
          <w:tcPr>
            <w:tcW w:w="1759" w:type="dxa"/>
            <w:shd w:val="clear" w:color="auto" w:fill="auto"/>
            <w:vAlign w:val="center"/>
            <w:hideMark/>
          </w:tcPr>
          <w:p w14:paraId="6F03FB76" w14:textId="77777777" w:rsidR="004668D0" w:rsidRDefault="004668D0" w:rsidP="002A1EE6">
            <w:pPr>
              <w:spacing w:line="240" w:lineRule="auto"/>
              <w:jc w:val="right"/>
              <w:rPr>
                <w:rFonts w:cs="Arial"/>
                <w:color w:val="000000"/>
                <w:sz w:val="22"/>
              </w:rPr>
            </w:pPr>
            <w:r>
              <w:rPr>
                <w:rFonts w:cs="Arial"/>
                <w:color w:val="000000"/>
                <w:sz w:val="22"/>
              </w:rPr>
              <w:t xml:space="preserve">2 </w:t>
            </w:r>
            <w:r w:rsidRPr="00830A44">
              <w:rPr>
                <w:rFonts w:cs="Arial"/>
                <w:color w:val="000000"/>
                <w:sz w:val="22"/>
              </w:rPr>
              <w:t>323 000</w:t>
            </w:r>
          </w:p>
          <w:p w14:paraId="06D2D7EE" w14:textId="77777777" w:rsidR="002A1EE6" w:rsidRPr="002A1EE6" w:rsidRDefault="002A1EE6" w:rsidP="002A1EE6">
            <w:pPr>
              <w:spacing w:line="240" w:lineRule="auto"/>
              <w:jc w:val="right"/>
              <w:rPr>
                <w:rFonts w:cs="Arial"/>
                <w:color w:val="000000"/>
                <w:sz w:val="22"/>
              </w:rPr>
            </w:pPr>
          </w:p>
        </w:tc>
      </w:tr>
      <w:tr w:rsidR="002A1EE6" w:rsidRPr="002A1EE6" w14:paraId="3DF9CDFC" w14:textId="77777777" w:rsidTr="004B1243">
        <w:trPr>
          <w:trHeight w:val="866"/>
        </w:trPr>
        <w:tc>
          <w:tcPr>
            <w:tcW w:w="3666" w:type="dxa"/>
            <w:shd w:val="clear" w:color="auto" w:fill="auto"/>
            <w:vAlign w:val="center"/>
            <w:hideMark/>
          </w:tcPr>
          <w:p w14:paraId="163B27D9" w14:textId="77777777" w:rsidR="002A1EE6" w:rsidRPr="002A1EE6" w:rsidRDefault="002A1EE6" w:rsidP="002A1EE6">
            <w:pPr>
              <w:spacing w:line="240" w:lineRule="auto"/>
              <w:jc w:val="left"/>
              <w:rPr>
                <w:rFonts w:cs="Arial"/>
                <w:color w:val="000000"/>
                <w:sz w:val="22"/>
              </w:rPr>
            </w:pPr>
            <w:r w:rsidRPr="002A1EE6">
              <w:rPr>
                <w:rFonts w:cs="Arial"/>
                <w:bCs/>
                <w:color w:val="000000"/>
                <w:sz w:val="22"/>
              </w:rPr>
              <w:t>Appui à la préservation et la restauration des carrières / gîtes d’emprunts</w:t>
            </w:r>
          </w:p>
        </w:tc>
        <w:tc>
          <w:tcPr>
            <w:tcW w:w="2004" w:type="dxa"/>
            <w:shd w:val="clear" w:color="auto" w:fill="auto"/>
            <w:vAlign w:val="center"/>
            <w:hideMark/>
          </w:tcPr>
          <w:p w14:paraId="76745B36" w14:textId="77777777" w:rsidR="002A1EE6" w:rsidRPr="002A1EE6" w:rsidRDefault="002A1EE6" w:rsidP="002A1EE6">
            <w:pPr>
              <w:spacing w:line="240" w:lineRule="auto"/>
              <w:jc w:val="center"/>
              <w:rPr>
                <w:rFonts w:cs="Arial"/>
                <w:color w:val="000000"/>
                <w:sz w:val="22"/>
              </w:rPr>
            </w:pPr>
            <w:r w:rsidRPr="002A1EE6">
              <w:rPr>
                <w:rFonts w:cs="Arial"/>
                <w:color w:val="000000"/>
                <w:sz w:val="22"/>
              </w:rPr>
              <w:t>5</w:t>
            </w:r>
          </w:p>
        </w:tc>
        <w:tc>
          <w:tcPr>
            <w:tcW w:w="1882" w:type="dxa"/>
            <w:shd w:val="clear" w:color="auto" w:fill="auto"/>
            <w:vAlign w:val="center"/>
            <w:hideMark/>
          </w:tcPr>
          <w:p w14:paraId="68DC2D56" w14:textId="77777777" w:rsidR="002A1EE6" w:rsidRPr="002A1EE6" w:rsidRDefault="002A1EE6" w:rsidP="002A1EE6">
            <w:pPr>
              <w:spacing w:line="240" w:lineRule="auto"/>
              <w:jc w:val="right"/>
              <w:rPr>
                <w:rFonts w:cs="Arial"/>
                <w:color w:val="000000"/>
                <w:sz w:val="22"/>
              </w:rPr>
            </w:pPr>
            <w:r w:rsidRPr="002A1EE6">
              <w:rPr>
                <w:rFonts w:cs="Arial"/>
                <w:color w:val="000000"/>
                <w:sz w:val="22"/>
              </w:rPr>
              <w:t>50 000</w:t>
            </w:r>
          </w:p>
        </w:tc>
        <w:tc>
          <w:tcPr>
            <w:tcW w:w="1759" w:type="dxa"/>
            <w:shd w:val="clear" w:color="auto" w:fill="auto"/>
            <w:vAlign w:val="center"/>
            <w:hideMark/>
          </w:tcPr>
          <w:p w14:paraId="61C42CDC" w14:textId="77777777" w:rsidR="002A1EE6" w:rsidRPr="002A1EE6" w:rsidRDefault="002A1EE6" w:rsidP="002A1EE6">
            <w:pPr>
              <w:spacing w:line="240" w:lineRule="auto"/>
              <w:jc w:val="right"/>
              <w:rPr>
                <w:rFonts w:cs="Arial"/>
                <w:color w:val="000000"/>
                <w:sz w:val="22"/>
              </w:rPr>
            </w:pPr>
            <w:r w:rsidRPr="002A1EE6">
              <w:rPr>
                <w:rFonts w:cs="Arial"/>
                <w:color w:val="000000"/>
                <w:sz w:val="22"/>
              </w:rPr>
              <w:t>250 000</w:t>
            </w:r>
          </w:p>
        </w:tc>
      </w:tr>
      <w:tr w:rsidR="002A1EE6" w:rsidRPr="002A1EE6" w14:paraId="67776F66" w14:textId="77777777" w:rsidTr="004B1243">
        <w:trPr>
          <w:trHeight w:val="113"/>
        </w:trPr>
        <w:tc>
          <w:tcPr>
            <w:tcW w:w="3666" w:type="dxa"/>
            <w:shd w:val="clear" w:color="auto" w:fill="auto"/>
            <w:vAlign w:val="center"/>
            <w:hideMark/>
          </w:tcPr>
          <w:p w14:paraId="33602320" w14:textId="77777777" w:rsidR="002A1EE6" w:rsidRPr="002A1EE6" w:rsidRDefault="002A1EE6" w:rsidP="002A1EE6">
            <w:pPr>
              <w:spacing w:line="240" w:lineRule="auto"/>
              <w:jc w:val="left"/>
              <w:rPr>
                <w:rFonts w:cs="Arial"/>
                <w:color w:val="000000"/>
                <w:sz w:val="22"/>
              </w:rPr>
            </w:pPr>
            <w:r w:rsidRPr="002A1EE6">
              <w:rPr>
                <w:rFonts w:cs="Arial"/>
                <w:color w:val="000000"/>
                <w:sz w:val="22"/>
              </w:rPr>
              <w:t xml:space="preserve">Dotation des intrants agricoles </w:t>
            </w:r>
          </w:p>
        </w:tc>
        <w:tc>
          <w:tcPr>
            <w:tcW w:w="2004" w:type="dxa"/>
            <w:shd w:val="clear" w:color="auto" w:fill="auto"/>
            <w:vAlign w:val="center"/>
            <w:hideMark/>
          </w:tcPr>
          <w:p w14:paraId="0A304FA8" w14:textId="77777777" w:rsidR="002A1EE6" w:rsidRPr="002A1EE6" w:rsidRDefault="002A1EE6" w:rsidP="002A1EE6">
            <w:pPr>
              <w:spacing w:line="240" w:lineRule="auto"/>
              <w:jc w:val="center"/>
              <w:rPr>
                <w:rFonts w:cs="Arial"/>
                <w:color w:val="000000"/>
                <w:sz w:val="22"/>
              </w:rPr>
            </w:pPr>
            <w:r w:rsidRPr="002A1EE6">
              <w:rPr>
                <w:rFonts w:cs="Arial"/>
                <w:color w:val="000000"/>
                <w:sz w:val="22"/>
              </w:rPr>
              <w:t>-</w:t>
            </w:r>
          </w:p>
        </w:tc>
        <w:tc>
          <w:tcPr>
            <w:tcW w:w="1882" w:type="dxa"/>
            <w:shd w:val="clear" w:color="auto" w:fill="auto"/>
            <w:vAlign w:val="center"/>
            <w:hideMark/>
          </w:tcPr>
          <w:p w14:paraId="7A6C8904" w14:textId="77777777" w:rsidR="002A1EE6" w:rsidRPr="002A1EE6" w:rsidRDefault="002A1EE6" w:rsidP="002A1EE6">
            <w:pPr>
              <w:spacing w:line="240" w:lineRule="auto"/>
              <w:jc w:val="right"/>
              <w:rPr>
                <w:rFonts w:cs="Arial"/>
                <w:color w:val="000000"/>
                <w:sz w:val="22"/>
              </w:rPr>
            </w:pPr>
            <w:r w:rsidRPr="002A1EE6">
              <w:rPr>
                <w:rFonts w:cs="Arial"/>
                <w:color w:val="000000"/>
                <w:sz w:val="22"/>
              </w:rPr>
              <w:t>PM</w:t>
            </w:r>
          </w:p>
        </w:tc>
        <w:tc>
          <w:tcPr>
            <w:tcW w:w="1759" w:type="dxa"/>
            <w:shd w:val="clear" w:color="auto" w:fill="auto"/>
            <w:vAlign w:val="center"/>
            <w:hideMark/>
          </w:tcPr>
          <w:p w14:paraId="30D14601" w14:textId="77777777" w:rsidR="002A1EE6" w:rsidRPr="002A1EE6" w:rsidRDefault="002A1EE6" w:rsidP="002A1EE6">
            <w:pPr>
              <w:spacing w:line="240" w:lineRule="auto"/>
              <w:jc w:val="right"/>
              <w:rPr>
                <w:rFonts w:cs="Arial"/>
                <w:color w:val="000000"/>
                <w:sz w:val="22"/>
              </w:rPr>
            </w:pPr>
            <w:r w:rsidRPr="002A1EE6">
              <w:rPr>
                <w:rFonts w:cs="Arial"/>
                <w:color w:val="000000"/>
                <w:sz w:val="22"/>
              </w:rPr>
              <w:t>0</w:t>
            </w:r>
          </w:p>
        </w:tc>
      </w:tr>
      <w:tr w:rsidR="002A1EE6" w:rsidRPr="002A1EE6" w14:paraId="6BDDC389" w14:textId="77777777" w:rsidTr="004B1243">
        <w:trPr>
          <w:trHeight w:val="319"/>
        </w:trPr>
        <w:tc>
          <w:tcPr>
            <w:tcW w:w="3666" w:type="dxa"/>
            <w:shd w:val="clear" w:color="auto" w:fill="auto"/>
            <w:vAlign w:val="center"/>
            <w:hideMark/>
          </w:tcPr>
          <w:p w14:paraId="6BF9907E" w14:textId="77777777" w:rsidR="002A1EE6" w:rsidRPr="002A1EE6" w:rsidRDefault="002A1EE6" w:rsidP="002A1EE6">
            <w:pPr>
              <w:spacing w:line="240" w:lineRule="auto"/>
              <w:jc w:val="left"/>
              <w:rPr>
                <w:rFonts w:cs="Arial"/>
                <w:color w:val="000000"/>
                <w:sz w:val="22"/>
              </w:rPr>
            </w:pPr>
            <w:r w:rsidRPr="002A1EE6">
              <w:rPr>
                <w:rFonts w:cs="Arial"/>
                <w:color w:val="000000"/>
                <w:sz w:val="22"/>
              </w:rPr>
              <w:t>Dotation des semences agricoles</w:t>
            </w:r>
          </w:p>
        </w:tc>
        <w:tc>
          <w:tcPr>
            <w:tcW w:w="2004" w:type="dxa"/>
            <w:shd w:val="clear" w:color="auto" w:fill="auto"/>
            <w:vAlign w:val="center"/>
            <w:hideMark/>
          </w:tcPr>
          <w:p w14:paraId="602915F3" w14:textId="77777777" w:rsidR="002A1EE6" w:rsidRPr="002A1EE6" w:rsidRDefault="002A1EE6" w:rsidP="002A1EE6">
            <w:pPr>
              <w:spacing w:line="240" w:lineRule="auto"/>
              <w:jc w:val="center"/>
              <w:rPr>
                <w:rFonts w:cs="Arial"/>
                <w:color w:val="000000"/>
                <w:sz w:val="22"/>
              </w:rPr>
            </w:pPr>
            <w:r w:rsidRPr="002A1EE6">
              <w:rPr>
                <w:rFonts w:cs="Arial"/>
                <w:color w:val="000000"/>
                <w:sz w:val="22"/>
              </w:rPr>
              <w:t> </w:t>
            </w:r>
          </w:p>
        </w:tc>
        <w:tc>
          <w:tcPr>
            <w:tcW w:w="1882" w:type="dxa"/>
            <w:shd w:val="clear" w:color="auto" w:fill="auto"/>
            <w:vAlign w:val="center"/>
            <w:hideMark/>
          </w:tcPr>
          <w:p w14:paraId="233C05F0" w14:textId="77777777" w:rsidR="002A1EE6" w:rsidRPr="002A1EE6" w:rsidRDefault="002A1EE6" w:rsidP="002A1EE6">
            <w:pPr>
              <w:spacing w:line="240" w:lineRule="auto"/>
              <w:jc w:val="right"/>
              <w:rPr>
                <w:rFonts w:cs="Arial"/>
                <w:color w:val="000000"/>
                <w:sz w:val="22"/>
              </w:rPr>
            </w:pPr>
            <w:r w:rsidRPr="002A1EE6">
              <w:rPr>
                <w:rFonts w:cs="Arial"/>
                <w:color w:val="000000"/>
                <w:sz w:val="22"/>
              </w:rPr>
              <w:t>PM</w:t>
            </w:r>
          </w:p>
        </w:tc>
        <w:tc>
          <w:tcPr>
            <w:tcW w:w="1759" w:type="dxa"/>
            <w:shd w:val="clear" w:color="auto" w:fill="auto"/>
            <w:vAlign w:val="center"/>
            <w:hideMark/>
          </w:tcPr>
          <w:p w14:paraId="50BC88ED" w14:textId="77777777" w:rsidR="002A1EE6" w:rsidRPr="002A1EE6" w:rsidRDefault="002A1EE6" w:rsidP="002A1EE6">
            <w:pPr>
              <w:spacing w:line="240" w:lineRule="auto"/>
              <w:jc w:val="right"/>
              <w:rPr>
                <w:rFonts w:cs="Arial"/>
                <w:color w:val="000000"/>
                <w:sz w:val="22"/>
              </w:rPr>
            </w:pPr>
            <w:r w:rsidRPr="002A1EE6">
              <w:rPr>
                <w:rFonts w:cs="Arial"/>
                <w:color w:val="000000"/>
                <w:sz w:val="22"/>
              </w:rPr>
              <w:t>0</w:t>
            </w:r>
          </w:p>
        </w:tc>
      </w:tr>
      <w:tr w:rsidR="002A1EE6" w:rsidRPr="002A1EE6" w14:paraId="09F8B798" w14:textId="77777777" w:rsidTr="004B1243">
        <w:trPr>
          <w:trHeight w:val="383"/>
        </w:trPr>
        <w:tc>
          <w:tcPr>
            <w:tcW w:w="3666" w:type="dxa"/>
            <w:shd w:val="clear" w:color="auto" w:fill="auto"/>
            <w:vAlign w:val="center"/>
            <w:hideMark/>
          </w:tcPr>
          <w:p w14:paraId="35A35E00" w14:textId="77777777" w:rsidR="002A1EE6" w:rsidRPr="002A1EE6" w:rsidRDefault="002A1EE6" w:rsidP="002A1EE6">
            <w:pPr>
              <w:spacing w:line="240" w:lineRule="auto"/>
              <w:jc w:val="left"/>
              <w:rPr>
                <w:rFonts w:cs="Arial"/>
                <w:color w:val="000000"/>
                <w:sz w:val="22"/>
              </w:rPr>
            </w:pPr>
            <w:r w:rsidRPr="002A1EE6">
              <w:rPr>
                <w:rFonts w:cs="Arial"/>
                <w:bCs/>
                <w:color w:val="000000"/>
                <w:sz w:val="22"/>
              </w:rPr>
              <w:t xml:space="preserve">Formation gestion environnementale et social </w:t>
            </w:r>
          </w:p>
        </w:tc>
        <w:tc>
          <w:tcPr>
            <w:tcW w:w="2004" w:type="dxa"/>
            <w:shd w:val="clear" w:color="auto" w:fill="auto"/>
            <w:vAlign w:val="center"/>
            <w:hideMark/>
          </w:tcPr>
          <w:p w14:paraId="5759E9F5" w14:textId="77777777" w:rsidR="002A1EE6" w:rsidRPr="002A1EE6" w:rsidRDefault="00C3308C" w:rsidP="002A1EE6">
            <w:pPr>
              <w:spacing w:line="240" w:lineRule="auto"/>
              <w:jc w:val="center"/>
              <w:rPr>
                <w:rFonts w:cs="Arial"/>
                <w:color w:val="000000"/>
                <w:sz w:val="22"/>
              </w:rPr>
            </w:pPr>
            <w:r>
              <w:rPr>
                <w:rFonts w:cs="Arial"/>
                <w:color w:val="000000"/>
                <w:sz w:val="22"/>
              </w:rPr>
              <w:t>2</w:t>
            </w:r>
          </w:p>
        </w:tc>
        <w:tc>
          <w:tcPr>
            <w:tcW w:w="1882" w:type="dxa"/>
            <w:shd w:val="clear" w:color="auto" w:fill="auto"/>
            <w:vAlign w:val="center"/>
            <w:hideMark/>
          </w:tcPr>
          <w:p w14:paraId="2F71528B" w14:textId="77777777" w:rsidR="002A1EE6" w:rsidRPr="002A1EE6" w:rsidRDefault="002A1EE6" w:rsidP="002A1EE6">
            <w:pPr>
              <w:spacing w:line="240" w:lineRule="auto"/>
              <w:jc w:val="right"/>
              <w:rPr>
                <w:rFonts w:cs="Arial"/>
                <w:color w:val="000000"/>
                <w:sz w:val="22"/>
              </w:rPr>
            </w:pPr>
            <w:r w:rsidRPr="002A1EE6">
              <w:rPr>
                <w:rFonts w:cs="Arial"/>
                <w:color w:val="000000"/>
                <w:sz w:val="22"/>
              </w:rPr>
              <w:t>50 000</w:t>
            </w:r>
          </w:p>
        </w:tc>
        <w:tc>
          <w:tcPr>
            <w:tcW w:w="1759" w:type="dxa"/>
            <w:shd w:val="clear" w:color="auto" w:fill="auto"/>
            <w:vAlign w:val="center"/>
            <w:hideMark/>
          </w:tcPr>
          <w:p w14:paraId="29785F9C" w14:textId="77777777" w:rsidR="002A1EE6" w:rsidRPr="002A1EE6" w:rsidRDefault="002A1EE6" w:rsidP="002A1EE6">
            <w:pPr>
              <w:spacing w:line="240" w:lineRule="auto"/>
              <w:jc w:val="right"/>
              <w:rPr>
                <w:rFonts w:cs="Arial"/>
                <w:color w:val="000000"/>
                <w:sz w:val="22"/>
              </w:rPr>
            </w:pPr>
            <w:r w:rsidRPr="002A1EE6">
              <w:rPr>
                <w:rFonts w:cs="Arial"/>
                <w:color w:val="000000"/>
                <w:sz w:val="22"/>
              </w:rPr>
              <w:t>100 000</w:t>
            </w:r>
          </w:p>
        </w:tc>
      </w:tr>
      <w:tr w:rsidR="002A1EE6" w:rsidRPr="002A1EE6" w14:paraId="7E4AF5AB" w14:textId="77777777" w:rsidTr="004B1243">
        <w:trPr>
          <w:trHeight w:val="150"/>
        </w:trPr>
        <w:tc>
          <w:tcPr>
            <w:tcW w:w="3666" w:type="dxa"/>
            <w:shd w:val="clear" w:color="auto" w:fill="auto"/>
            <w:vAlign w:val="center"/>
            <w:hideMark/>
          </w:tcPr>
          <w:p w14:paraId="25A8067B" w14:textId="77777777" w:rsidR="002A1EE6" w:rsidRPr="002A1EE6" w:rsidRDefault="002A1EE6" w:rsidP="002A1EE6">
            <w:pPr>
              <w:spacing w:line="240" w:lineRule="auto"/>
              <w:jc w:val="left"/>
              <w:rPr>
                <w:rFonts w:cs="Arial"/>
                <w:color w:val="000000"/>
                <w:sz w:val="22"/>
              </w:rPr>
            </w:pPr>
            <w:r w:rsidRPr="002A1EE6">
              <w:rPr>
                <w:rFonts w:cs="Arial"/>
                <w:color w:val="000000"/>
                <w:sz w:val="22"/>
              </w:rPr>
              <w:t>Plan d’action EAS/HS, y compris les procédures spécifiques du MGP pour les plaintes d’EAS/HS</w:t>
            </w:r>
          </w:p>
        </w:tc>
        <w:tc>
          <w:tcPr>
            <w:tcW w:w="2004" w:type="dxa"/>
            <w:shd w:val="clear" w:color="auto" w:fill="auto"/>
            <w:vAlign w:val="center"/>
            <w:hideMark/>
          </w:tcPr>
          <w:p w14:paraId="3A0D625E" w14:textId="77777777" w:rsidR="002A1EE6" w:rsidRPr="002A1EE6" w:rsidRDefault="002A1EE6" w:rsidP="002A1EE6">
            <w:pPr>
              <w:spacing w:line="240" w:lineRule="auto"/>
              <w:jc w:val="center"/>
              <w:rPr>
                <w:rFonts w:cs="Arial"/>
                <w:color w:val="000000"/>
                <w:sz w:val="22"/>
              </w:rPr>
            </w:pPr>
            <w:r w:rsidRPr="002A1EE6">
              <w:rPr>
                <w:rFonts w:cs="Arial"/>
                <w:color w:val="000000"/>
                <w:sz w:val="22"/>
              </w:rPr>
              <w:t>-</w:t>
            </w:r>
          </w:p>
        </w:tc>
        <w:tc>
          <w:tcPr>
            <w:tcW w:w="1882" w:type="dxa"/>
            <w:shd w:val="clear" w:color="auto" w:fill="auto"/>
            <w:vAlign w:val="center"/>
            <w:hideMark/>
          </w:tcPr>
          <w:p w14:paraId="2E838724" w14:textId="77777777" w:rsidR="002A1EE6" w:rsidRPr="002A1EE6" w:rsidRDefault="002A1EE6" w:rsidP="002A1EE6">
            <w:pPr>
              <w:spacing w:line="240" w:lineRule="auto"/>
              <w:jc w:val="right"/>
              <w:rPr>
                <w:rFonts w:cs="Arial"/>
                <w:color w:val="000000"/>
                <w:sz w:val="22"/>
              </w:rPr>
            </w:pPr>
            <w:r w:rsidRPr="002A1EE6">
              <w:rPr>
                <w:rFonts w:cs="Arial"/>
                <w:color w:val="000000"/>
                <w:sz w:val="22"/>
              </w:rPr>
              <w:t> -</w:t>
            </w:r>
          </w:p>
        </w:tc>
        <w:tc>
          <w:tcPr>
            <w:tcW w:w="1759" w:type="dxa"/>
            <w:shd w:val="clear" w:color="auto" w:fill="auto"/>
            <w:vAlign w:val="center"/>
            <w:hideMark/>
          </w:tcPr>
          <w:p w14:paraId="06E44580" w14:textId="28CC38AC" w:rsidR="00C32096" w:rsidRPr="002A1EE6" w:rsidRDefault="003515B6" w:rsidP="002A1EE6">
            <w:pPr>
              <w:spacing w:line="240" w:lineRule="auto"/>
              <w:jc w:val="right"/>
              <w:rPr>
                <w:rFonts w:cs="Arial"/>
                <w:color w:val="000000"/>
                <w:sz w:val="22"/>
              </w:rPr>
            </w:pPr>
            <w:r>
              <w:rPr>
                <w:rFonts w:cs="Arial"/>
                <w:color w:val="000000"/>
                <w:sz w:val="22"/>
              </w:rPr>
              <w:t>7 530 000</w:t>
            </w:r>
          </w:p>
        </w:tc>
      </w:tr>
      <w:tr w:rsidR="002A1EE6" w:rsidRPr="002A1EE6" w14:paraId="281492F4" w14:textId="77777777" w:rsidTr="004B1243">
        <w:trPr>
          <w:trHeight w:val="231"/>
        </w:trPr>
        <w:tc>
          <w:tcPr>
            <w:tcW w:w="3666" w:type="dxa"/>
            <w:vMerge w:val="restart"/>
            <w:shd w:val="clear" w:color="auto" w:fill="auto"/>
            <w:vAlign w:val="center"/>
            <w:hideMark/>
          </w:tcPr>
          <w:p w14:paraId="1CBFADD7" w14:textId="77777777" w:rsidR="002A1EE6" w:rsidRPr="002A1EE6" w:rsidRDefault="004B124D" w:rsidP="002A1EE6">
            <w:pPr>
              <w:spacing w:line="240" w:lineRule="auto"/>
              <w:jc w:val="left"/>
              <w:rPr>
                <w:rFonts w:cs="Arial"/>
                <w:color w:val="000000"/>
                <w:sz w:val="22"/>
              </w:rPr>
            </w:pPr>
            <w:r>
              <w:rPr>
                <w:rFonts w:cs="Arial"/>
                <w:bCs/>
                <w:color w:val="000000"/>
                <w:sz w:val="22"/>
              </w:rPr>
              <w:t>Suivi/évaluation</w:t>
            </w:r>
            <w:r w:rsidR="002A1EE6" w:rsidRPr="002A1EE6">
              <w:rPr>
                <w:rFonts w:cs="Arial"/>
                <w:bCs/>
                <w:color w:val="000000"/>
                <w:sz w:val="22"/>
              </w:rPr>
              <w:t xml:space="preserve"> à mi-parcours et finale du CGES du PNDA et Audits</w:t>
            </w:r>
          </w:p>
        </w:tc>
        <w:tc>
          <w:tcPr>
            <w:tcW w:w="2004" w:type="dxa"/>
            <w:shd w:val="clear" w:color="auto" w:fill="auto"/>
            <w:vAlign w:val="center"/>
            <w:hideMark/>
          </w:tcPr>
          <w:p w14:paraId="007CC961" w14:textId="77777777" w:rsidR="002A1EE6" w:rsidRPr="002A1EE6" w:rsidRDefault="002A1EE6" w:rsidP="002A1EE6">
            <w:pPr>
              <w:spacing w:line="240" w:lineRule="auto"/>
              <w:jc w:val="center"/>
              <w:rPr>
                <w:rFonts w:cs="Arial"/>
                <w:color w:val="000000"/>
                <w:sz w:val="22"/>
              </w:rPr>
            </w:pPr>
            <w:r w:rsidRPr="002A1EE6">
              <w:rPr>
                <w:rFonts w:cs="Arial"/>
                <w:color w:val="000000"/>
                <w:sz w:val="22"/>
              </w:rPr>
              <w:t>10</w:t>
            </w:r>
          </w:p>
        </w:tc>
        <w:tc>
          <w:tcPr>
            <w:tcW w:w="1882" w:type="dxa"/>
            <w:shd w:val="clear" w:color="auto" w:fill="auto"/>
            <w:vAlign w:val="center"/>
            <w:hideMark/>
          </w:tcPr>
          <w:p w14:paraId="4E465186" w14:textId="77777777" w:rsidR="002A1EE6" w:rsidRPr="002A1EE6" w:rsidRDefault="002A1EE6" w:rsidP="002A1EE6">
            <w:pPr>
              <w:spacing w:line="240" w:lineRule="auto"/>
              <w:jc w:val="right"/>
              <w:rPr>
                <w:rFonts w:cs="Arial"/>
                <w:color w:val="000000"/>
                <w:sz w:val="22"/>
              </w:rPr>
            </w:pPr>
            <w:r w:rsidRPr="002A1EE6">
              <w:rPr>
                <w:rFonts w:cs="Arial"/>
                <w:color w:val="000000"/>
                <w:sz w:val="22"/>
              </w:rPr>
              <w:t>30 000</w:t>
            </w:r>
          </w:p>
        </w:tc>
        <w:tc>
          <w:tcPr>
            <w:tcW w:w="1759" w:type="dxa"/>
            <w:shd w:val="clear" w:color="auto" w:fill="auto"/>
            <w:vAlign w:val="center"/>
            <w:hideMark/>
          </w:tcPr>
          <w:p w14:paraId="7AB25FDD" w14:textId="77777777" w:rsidR="002A1EE6" w:rsidRPr="002A1EE6" w:rsidRDefault="002A1EE6" w:rsidP="002A1EE6">
            <w:pPr>
              <w:spacing w:line="240" w:lineRule="auto"/>
              <w:jc w:val="right"/>
              <w:rPr>
                <w:rFonts w:cs="Arial"/>
                <w:color w:val="000000"/>
                <w:sz w:val="22"/>
              </w:rPr>
            </w:pPr>
            <w:r w:rsidRPr="002A1EE6">
              <w:rPr>
                <w:rFonts w:cs="Arial"/>
                <w:color w:val="000000"/>
                <w:sz w:val="22"/>
              </w:rPr>
              <w:t>300 000</w:t>
            </w:r>
          </w:p>
        </w:tc>
      </w:tr>
      <w:tr w:rsidR="002A1EE6" w:rsidRPr="002A1EE6" w14:paraId="4825653F" w14:textId="77777777" w:rsidTr="004B1243">
        <w:trPr>
          <w:trHeight w:val="174"/>
        </w:trPr>
        <w:tc>
          <w:tcPr>
            <w:tcW w:w="3666" w:type="dxa"/>
            <w:vMerge/>
            <w:vAlign w:val="center"/>
            <w:hideMark/>
          </w:tcPr>
          <w:p w14:paraId="3856633F" w14:textId="77777777" w:rsidR="002A1EE6" w:rsidRPr="002A1EE6" w:rsidRDefault="002A1EE6" w:rsidP="002A1EE6">
            <w:pPr>
              <w:spacing w:line="240" w:lineRule="auto"/>
              <w:jc w:val="left"/>
              <w:rPr>
                <w:rFonts w:cs="Arial"/>
                <w:color w:val="000000"/>
                <w:sz w:val="22"/>
              </w:rPr>
            </w:pPr>
          </w:p>
        </w:tc>
        <w:tc>
          <w:tcPr>
            <w:tcW w:w="2004" w:type="dxa"/>
            <w:shd w:val="clear" w:color="auto" w:fill="auto"/>
            <w:vAlign w:val="center"/>
            <w:hideMark/>
          </w:tcPr>
          <w:p w14:paraId="652A4219" w14:textId="77777777" w:rsidR="002A1EE6" w:rsidRPr="002A1EE6" w:rsidRDefault="002A1EE6" w:rsidP="002A1EE6">
            <w:pPr>
              <w:spacing w:line="240" w:lineRule="auto"/>
              <w:jc w:val="center"/>
              <w:rPr>
                <w:rFonts w:cs="Arial"/>
                <w:color w:val="000000"/>
                <w:sz w:val="22"/>
              </w:rPr>
            </w:pPr>
            <w:r w:rsidRPr="002A1EE6">
              <w:rPr>
                <w:rFonts w:cs="Arial"/>
                <w:color w:val="000000"/>
                <w:sz w:val="22"/>
              </w:rPr>
              <w:t>10</w:t>
            </w:r>
          </w:p>
        </w:tc>
        <w:tc>
          <w:tcPr>
            <w:tcW w:w="1882" w:type="dxa"/>
            <w:shd w:val="clear" w:color="auto" w:fill="auto"/>
            <w:vAlign w:val="center"/>
            <w:hideMark/>
          </w:tcPr>
          <w:p w14:paraId="2136AD99" w14:textId="77777777" w:rsidR="002A1EE6" w:rsidRPr="002A1EE6" w:rsidRDefault="002A1EE6" w:rsidP="002A1EE6">
            <w:pPr>
              <w:spacing w:line="240" w:lineRule="auto"/>
              <w:jc w:val="right"/>
              <w:rPr>
                <w:rFonts w:cs="Arial"/>
                <w:color w:val="000000"/>
                <w:sz w:val="22"/>
              </w:rPr>
            </w:pPr>
            <w:r w:rsidRPr="002A1EE6">
              <w:rPr>
                <w:rFonts w:cs="Arial"/>
                <w:color w:val="000000"/>
                <w:sz w:val="22"/>
              </w:rPr>
              <w:t>30 000</w:t>
            </w:r>
          </w:p>
        </w:tc>
        <w:tc>
          <w:tcPr>
            <w:tcW w:w="1759" w:type="dxa"/>
            <w:shd w:val="clear" w:color="auto" w:fill="auto"/>
            <w:vAlign w:val="center"/>
            <w:hideMark/>
          </w:tcPr>
          <w:p w14:paraId="49AE8B5E" w14:textId="77777777" w:rsidR="002A1EE6" w:rsidRPr="002A1EE6" w:rsidRDefault="002A1EE6" w:rsidP="002A1EE6">
            <w:pPr>
              <w:spacing w:line="240" w:lineRule="auto"/>
              <w:jc w:val="right"/>
              <w:rPr>
                <w:rFonts w:cs="Arial"/>
                <w:color w:val="000000"/>
                <w:sz w:val="22"/>
              </w:rPr>
            </w:pPr>
            <w:r w:rsidRPr="002A1EE6">
              <w:rPr>
                <w:rFonts w:cs="Arial"/>
                <w:color w:val="000000"/>
                <w:sz w:val="22"/>
              </w:rPr>
              <w:t>300 000</w:t>
            </w:r>
          </w:p>
        </w:tc>
      </w:tr>
      <w:tr w:rsidR="004B1243" w:rsidRPr="002A1EE6" w14:paraId="2764542F" w14:textId="77777777" w:rsidTr="00257F9E">
        <w:trPr>
          <w:trHeight w:val="349"/>
        </w:trPr>
        <w:tc>
          <w:tcPr>
            <w:tcW w:w="7552" w:type="dxa"/>
            <w:gridSpan w:val="3"/>
            <w:shd w:val="clear" w:color="auto" w:fill="auto"/>
            <w:vAlign w:val="center"/>
            <w:hideMark/>
          </w:tcPr>
          <w:p w14:paraId="5DAA0265" w14:textId="77777777" w:rsidR="004B1243" w:rsidRPr="002A1EE6" w:rsidRDefault="004B1243" w:rsidP="004B1243">
            <w:pPr>
              <w:spacing w:line="240" w:lineRule="auto"/>
              <w:jc w:val="left"/>
              <w:rPr>
                <w:rFonts w:cs="Arial"/>
                <w:color w:val="000000"/>
                <w:sz w:val="22"/>
              </w:rPr>
            </w:pPr>
            <w:r w:rsidRPr="002A1EE6">
              <w:rPr>
                <w:rFonts w:cs="Arial"/>
                <w:bCs/>
                <w:color w:val="000000"/>
                <w:sz w:val="22"/>
              </w:rPr>
              <w:t>TOTAL</w:t>
            </w:r>
          </w:p>
        </w:tc>
        <w:tc>
          <w:tcPr>
            <w:tcW w:w="1759" w:type="dxa"/>
            <w:shd w:val="clear" w:color="auto" w:fill="auto"/>
            <w:vAlign w:val="bottom"/>
            <w:hideMark/>
          </w:tcPr>
          <w:p w14:paraId="5E2AB4BB" w14:textId="77777777" w:rsidR="004B1243" w:rsidRPr="002A1EE6" w:rsidRDefault="00FA094F" w:rsidP="00257F9E">
            <w:pPr>
              <w:spacing w:line="240" w:lineRule="auto"/>
              <w:jc w:val="right"/>
              <w:rPr>
                <w:rFonts w:cs="Arial"/>
                <w:color w:val="000000"/>
                <w:sz w:val="22"/>
              </w:rPr>
            </w:pPr>
            <w:r w:rsidRPr="00257F9E">
              <w:rPr>
                <w:rFonts w:cs="Arial"/>
                <w:color w:val="000000"/>
                <w:sz w:val="22"/>
              </w:rPr>
              <w:t>14</w:t>
            </w:r>
            <w:r>
              <w:rPr>
                <w:rFonts w:cs="Arial"/>
                <w:color w:val="000000"/>
                <w:sz w:val="22"/>
              </w:rPr>
              <w:t> </w:t>
            </w:r>
            <w:r w:rsidRPr="00257F9E">
              <w:rPr>
                <w:rFonts w:cs="Arial"/>
                <w:color w:val="000000"/>
                <w:sz w:val="22"/>
              </w:rPr>
              <w:t>446</w:t>
            </w:r>
            <w:r>
              <w:rPr>
                <w:rFonts w:cs="Arial"/>
                <w:color w:val="000000"/>
                <w:sz w:val="22"/>
              </w:rPr>
              <w:t xml:space="preserve"> </w:t>
            </w:r>
            <w:r w:rsidRPr="00257F9E">
              <w:rPr>
                <w:rFonts w:cs="Arial"/>
                <w:color w:val="000000"/>
                <w:sz w:val="22"/>
              </w:rPr>
              <w:t>300</w:t>
            </w:r>
          </w:p>
        </w:tc>
      </w:tr>
      <w:tr w:rsidR="002A1EE6" w:rsidRPr="002A1EE6" w14:paraId="3D0357D2" w14:textId="77777777" w:rsidTr="00257F9E">
        <w:trPr>
          <w:trHeight w:val="283"/>
        </w:trPr>
        <w:tc>
          <w:tcPr>
            <w:tcW w:w="3666" w:type="dxa"/>
            <w:shd w:val="clear" w:color="auto" w:fill="auto"/>
            <w:vAlign w:val="center"/>
            <w:hideMark/>
          </w:tcPr>
          <w:p w14:paraId="4EFE5847" w14:textId="77777777" w:rsidR="002A1EE6" w:rsidRPr="002A1EE6" w:rsidRDefault="002A1EE6" w:rsidP="002A1EE6">
            <w:pPr>
              <w:spacing w:line="240" w:lineRule="auto"/>
              <w:jc w:val="left"/>
              <w:rPr>
                <w:rFonts w:cs="Arial"/>
                <w:color w:val="000000"/>
                <w:sz w:val="22"/>
              </w:rPr>
            </w:pPr>
            <w:r w:rsidRPr="002A1EE6">
              <w:rPr>
                <w:rFonts w:cs="Arial"/>
                <w:bCs/>
                <w:color w:val="000000"/>
                <w:sz w:val="22"/>
              </w:rPr>
              <w:t>Imprévus et divers (5 %)</w:t>
            </w:r>
          </w:p>
        </w:tc>
        <w:tc>
          <w:tcPr>
            <w:tcW w:w="2004" w:type="dxa"/>
            <w:shd w:val="clear" w:color="auto" w:fill="auto"/>
            <w:vAlign w:val="center"/>
            <w:hideMark/>
          </w:tcPr>
          <w:p w14:paraId="0E8D8765" w14:textId="77777777" w:rsidR="002A1EE6" w:rsidRPr="002A1EE6" w:rsidRDefault="002A1EE6" w:rsidP="002A1EE6">
            <w:pPr>
              <w:spacing w:line="240" w:lineRule="auto"/>
              <w:jc w:val="center"/>
              <w:rPr>
                <w:rFonts w:cs="Arial"/>
                <w:color w:val="000000"/>
                <w:sz w:val="22"/>
              </w:rPr>
            </w:pPr>
            <w:r w:rsidRPr="002A1EE6">
              <w:rPr>
                <w:rFonts w:cs="Arial"/>
                <w:color w:val="000000"/>
                <w:sz w:val="22"/>
              </w:rPr>
              <w:t>0,05</w:t>
            </w:r>
          </w:p>
        </w:tc>
        <w:tc>
          <w:tcPr>
            <w:tcW w:w="1882" w:type="dxa"/>
            <w:shd w:val="clear" w:color="auto" w:fill="auto"/>
            <w:vAlign w:val="center"/>
            <w:hideMark/>
          </w:tcPr>
          <w:p w14:paraId="668FDADF" w14:textId="77777777" w:rsidR="002A1EE6" w:rsidRPr="002A1EE6" w:rsidRDefault="002A1EE6" w:rsidP="002A1EE6">
            <w:pPr>
              <w:spacing w:line="240" w:lineRule="auto"/>
              <w:jc w:val="right"/>
              <w:rPr>
                <w:rFonts w:cs="Arial"/>
                <w:color w:val="000000"/>
                <w:sz w:val="22"/>
              </w:rPr>
            </w:pPr>
            <w:r w:rsidRPr="002A1EE6">
              <w:rPr>
                <w:rFonts w:cs="Arial"/>
                <w:color w:val="000000"/>
                <w:sz w:val="22"/>
              </w:rPr>
              <w:t> </w:t>
            </w:r>
          </w:p>
        </w:tc>
        <w:tc>
          <w:tcPr>
            <w:tcW w:w="1759" w:type="dxa"/>
            <w:shd w:val="clear" w:color="auto" w:fill="auto"/>
            <w:vAlign w:val="center"/>
            <w:hideMark/>
          </w:tcPr>
          <w:p w14:paraId="37CC8B28" w14:textId="77777777" w:rsidR="002A1EE6" w:rsidRPr="002A1EE6" w:rsidRDefault="00FA094F" w:rsidP="00174053">
            <w:pPr>
              <w:spacing w:line="240" w:lineRule="auto"/>
              <w:jc w:val="right"/>
              <w:rPr>
                <w:rFonts w:cs="Arial"/>
                <w:color w:val="000000"/>
                <w:sz w:val="22"/>
              </w:rPr>
            </w:pPr>
            <w:r>
              <w:rPr>
                <w:rFonts w:cs="Arial"/>
                <w:color w:val="000000"/>
                <w:sz w:val="22"/>
              </w:rPr>
              <w:t xml:space="preserve"> 722 315</w:t>
            </w:r>
          </w:p>
        </w:tc>
      </w:tr>
      <w:tr w:rsidR="002A1EE6" w:rsidRPr="002A1EE6" w14:paraId="2E9709AC" w14:textId="77777777" w:rsidTr="00257F9E">
        <w:trPr>
          <w:trHeight w:val="401"/>
        </w:trPr>
        <w:tc>
          <w:tcPr>
            <w:tcW w:w="7552" w:type="dxa"/>
            <w:gridSpan w:val="3"/>
            <w:shd w:val="clear" w:color="auto" w:fill="auto"/>
            <w:vAlign w:val="center"/>
            <w:hideMark/>
          </w:tcPr>
          <w:p w14:paraId="444CE868" w14:textId="77777777" w:rsidR="002A1EE6" w:rsidRPr="002A1EE6" w:rsidRDefault="002A1EE6" w:rsidP="002A1EE6">
            <w:pPr>
              <w:spacing w:line="240" w:lineRule="auto"/>
              <w:jc w:val="center"/>
              <w:rPr>
                <w:rFonts w:cs="Arial"/>
                <w:color w:val="000000"/>
                <w:sz w:val="22"/>
              </w:rPr>
            </w:pPr>
            <w:r w:rsidRPr="002A1EE6">
              <w:rPr>
                <w:rFonts w:cs="Arial"/>
                <w:color w:val="000000"/>
                <w:sz w:val="22"/>
              </w:rPr>
              <w:t>GRAND TOTAL</w:t>
            </w:r>
          </w:p>
        </w:tc>
        <w:tc>
          <w:tcPr>
            <w:tcW w:w="1759" w:type="dxa"/>
            <w:shd w:val="clear" w:color="auto" w:fill="auto"/>
            <w:vAlign w:val="center"/>
            <w:hideMark/>
          </w:tcPr>
          <w:p w14:paraId="557CC4CF" w14:textId="3DA6E3CB" w:rsidR="002A1EE6" w:rsidRPr="002A1EE6" w:rsidRDefault="003515B6" w:rsidP="002A1EE6">
            <w:pPr>
              <w:spacing w:line="240" w:lineRule="auto"/>
              <w:jc w:val="right"/>
              <w:rPr>
                <w:rFonts w:cs="Arial"/>
                <w:color w:val="000000"/>
                <w:sz w:val="22"/>
              </w:rPr>
            </w:pPr>
            <w:r>
              <w:rPr>
                <w:rFonts w:cs="Arial"/>
                <w:color w:val="000000"/>
                <w:sz w:val="22"/>
              </w:rPr>
              <w:t xml:space="preserve">18 </w:t>
            </w:r>
            <w:r w:rsidR="004302E0">
              <w:rPr>
                <w:rFonts w:cs="Arial"/>
                <w:color w:val="000000"/>
                <w:sz w:val="22"/>
              </w:rPr>
              <w:t>657 330</w:t>
            </w:r>
          </w:p>
        </w:tc>
      </w:tr>
    </w:tbl>
    <w:p w14:paraId="735AE878" w14:textId="77777777" w:rsidR="002A1EE6" w:rsidRDefault="002A1EE6" w:rsidP="002A1EE6">
      <w:pPr>
        <w:rPr>
          <w:lang w:eastAsia="en-US"/>
        </w:rPr>
      </w:pPr>
    </w:p>
    <w:p w14:paraId="01952D66" w14:textId="77777777" w:rsidR="00257F9E" w:rsidRDefault="00257F9E" w:rsidP="00257F9E">
      <w:pPr>
        <w:spacing w:line="240" w:lineRule="auto"/>
        <w:jc w:val="left"/>
        <w:rPr>
          <w:b/>
          <w:sz w:val="22"/>
          <w:lang w:bidi="fr-FR"/>
        </w:rPr>
      </w:pPr>
    </w:p>
    <w:p w14:paraId="52FB4173" w14:textId="77777777" w:rsidR="00257F9E" w:rsidRDefault="00257F9E" w:rsidP="00257F9E">
      <w:pPr>
        <w:spacing w:line="240" w:lineRule="auto"/>
        <w:jc w:val="left"/>
        <w:rPr>
          <w:b/>
          <w:sz w:val="22"/>
          <w:lang w:bidi="fr-FR"/>
        </w:rPr>
      </w:pPr>
    </w:p>
    <w:p w14:paraId="0C0AB6BE" w14:textId="77777777" w:rsidR="007B405C" w:rsidRDefault="007B405C" w:rsidP="00257F9E">
      <w:pPr>
        <w:spacing w:line="240" w:lineRule="auto"/>
        <w:jc w:val="left"/>
        <w:rPr>
          <w:b/>
          <w:sz w:val="22"/>
          <w:lang w:bidi="fr-FR"/>
        </w:rPr>
      </w:pPr>
    </w:p>
    <w:p w14:paraId="12114D6D" w14:textId="77777777" w:rsidR="007B405C" w:rsidRDefault="007B405C" w:rsidP="00257F9E">
      <w:pPr>
        <w:spacing w:line="240" w:lineRule="auto"/>
        <w:jc w:val="left"/>
        <w:rPr>
          <w:b/>
          <w:sz w:val="22"/>
          <w:lang w:bidi="fr-FR"/>
        </w:rPr>
      </w:pPr>
    </w:p>
    <w:p w14:paraId="3CD3FD21" w14:textId="77777777" w:rsidR="00257F9E" w:rsidRDefault="00257F9E" w:rsidP="00257F9E">
      <w:pPr>
        <w:spacing w:line="240" w:lineRule="auto"/>
        <w:jc w:val="left"/>
        <w:rPr>
          <w:b/>
          <w:sz w:val="22"/>
          <w:lang w:bidi="fr-FR"/>
        </w:rPr>
      </w:pPr>
    </w:p>
    <w:p w14:paraId="2BA2AD1C" w14:textId="77777777" w:rsidR="001C2F95" w:rsidRPr="000326DA" w:rsidRDefault="001C2F95" w:rsidP="000326DA">
      <w:pPr>
        <w:pStyle w:val="Titre1"/>
        <w:numPr>
          <w:ilvl w:val="0"/>
          <w:numId w:val="4"/>
        </w:numPr>
        <w:ind w:left="567" w:hanging="283"/>
        <w:rPr>
          <w:rFonts w:cs="Arial"/>
          <w:sz w:val="22"/>
          <w:szCs w:val="22"/>
        </w:rPr>
      </w:pPr>
      <w:bookmarkStart w:id="870" w:name="_Toc70330526"/>
      <w:r w:rsidRPr="000326DA">
        <w:rPr>
          <w:rFonts w:cs="Arial"/>
          <w:sz w:val="22"/>
          <w:szCs w:val="22"/>
        </w:rPr>
        <w:t>CONCLUSION</w:t>
      </w:r>
      <w:bookmarkEnd w:id="870"/>
    </w:p>
    <w:p w14:paraId="1AD7E803" w14:textId="77777777" w:rsidR="001C2F95" w:rsidRDefault="001C2F95" w:rsidP="001C2F95">
      <w:pPr>
        <w:rPr>
          <w:sz w:val="22"/>
          <w:lang w:bidi="fr-FR"/>
        </w:rPr>
      </w:pPr>
    </w:p>
    <w:p w14:paraId="67EC7096" w14:textId="77777777" w:rsidR="001C2F95" w:rsidRDefault="001C2F95" w:rsidP="001C2F95">
      <w:pPr>
        <w:rPr>
          <w:rFonts w:cs="Arial"/>
          <w:sz w:val="22"/>
        </w:rPr>
      </w:pPr>
      <w:r>
        <w:rPr>
          <w:rFonts w:cs="Arial"/>
          <w:sz w:val="22"/>
        </w:rPr>
        <w:t>La réalisation des activités</w:t>
      </w:r>
      <w:r w:rsidRPr="00296E4B">
        <w:rPr>
          <w:rFonts w:cs="Arial"/>
          <w:sz w:val="22"/>
        </w:rPr>
        <w:t xml:space="preserve"> prévues dans le cadre du PNDA sont d’une grande utilité dans la mesure où elles vont permettre aux provinc</w:t>
      </w:r>
      <w:r>
        <w:rPr>
          <w:rFonts w:cs="Arial"/>
          <w:sz w:val="22"/>
        </w:rPr>
        <w:t>es bénéficiaires, d’améliorer leur</w:t>
      </w:r>
      <w:r w:rsidRPr="00296E4B">
        <w:rPr>
          <w:rFonts w:cs="Arial"/>
          <w:sz w:val="22"/>
        </w:rPr>
        <w:t xml:space="preserve"> production agricole, </w:t>
      </w:r>
      <w:r>
        <w:rPr>
          <w:rFonts w:cs="Arial"/>
          <w:sz w:val="22"/>
        </w:rPr>
        <w:t xml:space="preserve">la </w:t>
      </w:r>
      <w:r w:rsidRPr="00296E4B">
        <w:rPr>
          <w:rFonts w:cs="Arial"/>
          <w:sz w:val="22"/>
        </w:rPr>
        <w:t xml:space="preserve">pêche et </w:t>
      </w:r>
      <w:r>
        <w:rPr>
          <w:rFonts w:cs="Arial"/>
          <w:sz w:val="22"/>
        </w:rPr>
        <w:t>l’</w:t>
      </w:r>
      <w:r w:rsidRPr="00296E4B">
        <w:rPr>
          <w:rFonts w:cs="Arial"/>
          <w:sz w:val="22"/>
        </w:rPr>
        <w:t xml:space="preserve">élevage, </w:t>
      </w:r>
      <w:r>
        <w:rPr>
          <w:rFonts w:cs="Arial"/>
          <w:sz w:val="22"/>
        </w:rPr>
        <w:t>la prise en compte de l</w:t>
      </w:r>
      <w:r w:rsidRPr="00296E4B">
        <w:rPr>
          <w:rFonts w:cs="Arial"/>
          <w:sz w:val="22"/>
        </w:rPr>
        <w:t xml:space="preserve">’agriculture intelligente, de réhabiliter les pistes rurales et le balisage des rivières importantes pour faciliter l’évacuation des produits agricoles vers les centres de consommation, de construire les infrastructures communautaires de stockage et vente de produits agricoles, </w:t>
      </w:r>
      <w:r>
        <w:rPr>
          <w:rFonts w:cs="Arial"/>
          <w:sz w:val="22"/>
        </w:rPr>
        <w:t>réduire</w:t>
      </w:r>
      <w:r w:rsidRPr="00296E4B">
        <w:rPr>
          <w:rFonts w:cs="Arial"/>
          <w:sz w:val="22"/>
        </w:rPr>
        <w:t xml:space="preserve"> la malnutrition et la sous-alimentation, de renforcer les capacités institutionnelles des acteurs tant étatique</w:t>
      </w:r>
      <w:r>
        <w:rPr>
          <w:rFonts w:cs="Arial"/>
          <w:sz w:val="22"/>
        </w:rPr>
        <w:t>s</w:t>
      </w:r>
      <w:r w:rsidRPr="00296E4B">
        <w:rPr>
          <w:rFonts w:cs="Arial"/>
          <w:sz w:val="22"/>
        </w:rPr>
        <w:t xml:space="preserve"> de ceux de la société civile</w:t>
      </w:r>
      <w:r>
        <w:rPr>
          <w:rFonts w:cs="Arial"/>
          <w:sz w:val="22"/>
        </w:rPr>
        <w:t>.</w:t>
      </w:r>
    </w:p>
    <w:p w14:paraId="74A81EDA" w14:textId="77777777" w:rsidR="001C2F95" w:rsidRDefault="001C2F95" w:rsidP="001C2F95">
      <w:pPr>
        <w:rPr>
          <w:sz w:val="22"/>
          <w:lang w:bidi="fr-FR"/>
        </w:rPr>
      </w:pPr>
    </w:p>
    <w:p w14:paraId="70B494C4" w14:textId="77777777" w:rsidR="001C2F95" w:rsidRPr="00730A4A" w:rsidRDefault="001C2F95" w:rsidP="001C2F95">
      <w:pPr>
        <w:rPr>
          <w:rFonts w:cs="Arial"/>
          <w:color w:val="000000"/>
          <w:sz w:val="22"/>
        </w:rPr>
      </w:pPr>
      <w:r>
        <w:rPr>
          <w:sz w:val="22"/>
          <w:lang w:bidi="fr-FR"/>
        </w:rPr>
        <w:t xml:space="preserve">Les </w:t>
      </w:r>
      <w:r w:rsidRPr="00FF4CBB">
        <w:rPr>
          <w:sz w:val="22"/>
          <w:lang w:bidi="fr-FR"/>
        </w:rPr>
        <w:t xml:space="preserve">impacts positifs </w:t>
      </w:r>
      <w:r>
        <w:rPr>
          <w:sz w:val="22"/>
          <w:lang w:bidi="fr-FR"/>
        </w:rPr>
        <w:t xml:space="preserve">de la mise en œuvre du PNDA </w:t>
      </w:r>
      <w:r w:rsidRPr="00FF4CBB">
        <w:rPr>
          <w:sz w:val="22"/>
          <w:lang w:bidi="fr-FR"/>
        </w:rPr>
        <w:t>se manifesteront en termes de la</w:t>
      </w:r>
      <w:r w:rsidRPr="007B4306">
        <w:rPr>
          <w:sz w:val="22"/>
          <w:lang w:bidi="fr-FR"/>
        </w:rPr>
        <w:t xml:space="preserve"> </w:t>
      </w:r>
      <w:r w:rsidRPr="00730A4A">
        <w:rPr>
          <w:rFonts w:cs="Arial"/>
          <w:color w:val="000000"/>
          <w:sz w:val="22"/>
        </w:rPr>
        <w:t xml:space="preserve">création d'emplois temporaires et permanents dans les zones d’intervention notamment les </w:t>
      </w:r>
      <w:r w:rsidRPr="00730A4A">
        <w:rPr>
          <w:color w:val="000000"/>
          <w:sz w:val="22"/>
        </w:rPr>
        <w:t xml:space="preserve">travaux à Haute Intensité de Main-d’œuvre </w:t>
      </w:r>
      <w:r w:rsidRPr="00730A4A">
        <w:rPr>
          <w:rFonts w:cs="Arial"/>
          <w:color w:val="000000"/>
          <w:sz w:val="22"/>
        </w:rPr>
        <w:t>(</w:t>
      </w:r>
      <w:r w:rsidRPr="00730A4A">
        <w:rPr>
          <w:color w:val="000000"/>
          <w:sz w:val="22"/>
        </w:rPr>
        <w:t>HIMO) dans la réduction de la pauvr</w:t>
      </w:r>
      <w:r w:rsidR="00045366" w:rsidRPr="00730A4A">
        <w:rPr>
          <w:color w:val="000000"/>
          <w:sz w:val="22"/>
        </w:rPr>
        <w:t>e</w:t>
      </w:r>
      <w:r w:rsidRPr="00730A4A">
        <w:rPr>
          <w:color w:val="000000"/>
          <w:sz w:val="22"/>
        </w:rPr>
        <w:t>té, avec un quota de 30 % réservé aux femmes et jeunes filles majeures, l’a</w:t>
      </w:r>
      <w:r w:rsidRPr="00730A4A">
        <w:rPr>
          <w:rFonts w:cs="Arial"/>
          <w:color w:val="000000"/>
          <w:sz w:val="22"/>
        </w:rPr>
        <w:t xml:space="preserve">ccroissement de la productivité et de la production agricoles, augmentation des revenus des petits exploitants et attirer davantage d’emplois dans le secteur agricole, amélioration de la sécurité alimentaires, la bonne circulation des navires suite aux travaux de balisage, l’évacuation des produits agricoles vers les centres de consommation suite aux travaux de </w:t>
      </w:r>
      <w:r w:rsidR="00045366" w:rsidRPr="00730A4A">
        <w:rPr>
          <w:rFonts w:cs="Arial"/>
          <w:color w:val="000000"/>
          <w:sz w:val="22"/>
        </w:rPr>
        <w:t>réhabilitation</w:t>
      </w:r>
      <w:r w:rsidRPr="00730A4A">
        <w:rPr>
          <w:rFonts w:cs="Arial"/>
          <w:color w:val="000000"/>
          <w:sz w:val="22"/>
        </w:rPr>
        <w:t xml:space="preserve"> des pistes rurales, la commercialisation des produits agricoles suite à la construction des marchés, </w:t>
      </w:r>
      <w:r w:rsidR="00045366" w:rsidRPr="00730A4A">
        <w:rPr>
          <w:rFonts w:cs="Arial"/>
          <w:color w:val="000000"/>
          <w:sz w:val="22"/>
        </w:rPr>
        <w:t>dépôts</w:t>
      </w:r>
      <w:r w:rsidRPr="00730A4A">
        <w:rPr>
          <w:rFonts w:cs="Arial"/>
          <w:color w:val="000000"/>
          <w:sz w:val="22"/>
        </w:rPr>
        <w:t xml:space="preserve">, </w:t>
      </w:r>
      <w:r w:rsidR="00045366" w:rsidRPr="00730A4A">
        <w:rPr>
          <w:rFonts w:cs="Arial"/>
          <w:color w:val="000000"/>
          <w:sz w:val="22"/>
        </w:rPr>
        <w:t>abattoirs</w:t>
      </w:r>
      <w:r w:rsidRPr="00730A4A">
        <w:rPr>
          <w:rFonts w:cs="Arial"/>
          <w:color w:val="000000"/>
          <w:sz w:val="22"/>
        </w:rPr>
        <w:t>, développement économique agricole suite au financement des petits exploitants agricoles par des IF, etc.</w:t>
      </w:r>
    </w:p>
    <w:p w14:paraId="5ABC21E8" w14:textId="77777777" w:rsidR="001C2F95" w:rsidRPr="007B4306" w:rsidRDefault="001C2F95" w:rsidP="001C2F95">
      <w:pPr>
        <w:rPr>
          <w:sz w:val="22"/>
          <w:lang w:bidi="fr-FR"/>
        </w:rPr>
      </w:pPr>
    </w:p>
    <w:p w14:paraId="7E6DA11C" w14:textId="77777777" w:rsidR="001C2F95" w:rsidRPr="00296E4B" w:rsidRDefault="001C2F95" w:rsidP="001C2F95">
      <w:pPr>
        <w:rPr>
          <w:rFonts w:eastAsia="MS Mincho" w:cs="Arial"/>
          <w:sz w:val="22"/>
        </w:rPr>
      </w:pPr>
      <w:r w:rsidRPr="007B4306">
        <w:rPr>
          <w:sz w:val="22"/>
          <w:lang w:bidi="fr-FR"/>
        </w:rPr>
        <w:t xml:space="preserve">Quant aux risques et impacts négatifs potentiels, ils se résument principalement aux </w:t>
      </w:r>
      <w:r w:rsidRPr="00296E4B">
        <w:rPr>
          <w:rFonts w:eastAsia="MS Mincho" w:cs="Arial"/>
          <w:sz w:val="22"/>
        </w:rPr>
        <w:t>Pollution</w:t>
      </w:r>
      <w:r>
        <w:rPr>
          <w:rFonts w:eastAsia="MS Mincho" w:cs="Arial"/>
          <w:sz w:val="22"/>
        </w:rPr>
        <w:t>s</w:t>
      </w:r>
      <w:r w:rsidRPr="00296E4B">
        <w:rPr>
          <w:rFonts w:eastAsia="MS Mincho" w:cs="Arial"/>
          <w:sz w:val="22"/>
        </w:rPr>
        <w:t xml:space="preserve"> du milieu (eaux et sols) par les déchets solides (déblais, démolition, huiles, filtres, batteries, p</w:t>
      </w:r>
      <w:r>
        <w:rPr>
          <w:rFonts w:eastAsia="MS Mincho" w:cs="Arial"/>
          <w:sz w:val="22"/>
        </w:rPr>
        <w:t>lastics, déchets inertes, etc.), p</w:t>
      </w:r>
      <w:r w:rsidRPr="00296E4B">
        <w:rPr>
          <w:rFonts w:eastAsia="MS Mincho" w:cs="Arial"/>
          <w:sz w:val="22"/>
        </w:rPr>
        <w:t xml:space="preserve">ollution </w:t>
      </w:r>
      <w:r>
        <w:rPr>
          <w:rFonts w:eastAsia="MS Mincho" w:cs="Arial"/>
          <w:sz w:val="22"/>
        </w:rPr>
        <w:t>sonore par le bruit des engins, d</w:t>
      </w:r>
      <w:r w:rsidRPr="00296E4B">
        <w:rPr>
          <w:rFonts w:eastAsia="MS Mincho" w:cs="Arial"/>
          <w:sz w:val="22"/>
        </w:rPr>
        <w:t>égradation du milieu par le dépôt des produits</w:t>
      </w:r>
      <w:r>
        <w:rPr>
          <w:rFonts w:eastAsia="MS Mincho" w:cs="Arial"/>
          <w:sz w:val="22"/>
        </w:rPr>
        <w:t xml:space="preserve"> de démolition et de chantier, é</w:t>
      </w:r>
      <w:r w:rsidRPr="00296E4B">
        <w:rPr>
          <w:rFonts w:eastAsia="MS Mincho" w:cs="Arial"/>
          <w:sz w:val="22"/>
        </w:rPr>
        <w:t>r</w:t>
      </w:r>
      <w:r>
        <w:rPr>
          <w:rFonts w:eastAsia="MS Mincho" w:cs="Arial"/>
          <w:sz w:val="22"/>
        </w:rPr>
        <w:t>osion et pollution des sols, p</w:t>
      </w:r>
      <w:r w:rsidRPr="00296E4B">
        <w:rPr>
          <w:rFonts w:eastAsia="MS Mincho" w:cs="Arial"/>
          <w:sz w:val="22"/>
        </w:rPr>
        <w:t>ollution</w:t>
      </w:r>
      <w:r>
        <w:rPr>
          <w:rFonts w:eastAsia="MS Mincho" w:cs="Arial"/>
          <w:sz w:val="22"/>
        </w:rPr>
        <w:t xml:space="preserve"> de l’air (envol de poussière), p</w:t>
      </w:r>
      <w:r w:rsidRPr="00296E4B">
        <w:rPr>
          <w:rFonts w:eastAsia="MS Mincho" w:cs="Arial"/>
          <w:sz w:val="22"/>
        </w:rPr>
        <w:t>ertes de terre, de biens et de sources de revenus et risques de déplacement physique</w:t>
      </w:r>
      <w:r>
        <w:rPr>
          <w:rFonts w:eastAsia="MS Mincho" w:cs="Arial"/>
          <w:sz w:val="22"/>
        </w:rPr>
        <w:t>, r</w:t>
      </w:r>
      <w:r w:rsidRPr="00296E4B">
        <w:rPr>
          <w:rFonts w:eastAsia="MS Mincho" w:cs="Arial"/>
          <w:sz w:val="22"/>
        </w:rPr>
        <w:t>isques de conflits sociaux en cas de non utilisa</w:t>
      </w:r>
      <w:r>
        <w:rPr>
          <w:rFonts w:eastAsia="MS Mincho" w:cs="Arial"/>
          <w:sz w:val="22"/>
        </w:rPr>
        <w:t>tion de la main-d’œuvre locale, r</w:t>
      </w:r>
      <w:r w:rsidRPr="00296E4B">
        <w:rPr>
          <w:rFonts w:eastAsia="MS Mincho" w:cs="Arial"/>
          <w:sz w:val="22"/>
        </w:rPr>
        <w:t>isque de distribution inégale des intrants et semences ou aides directes au</w:t>
      </w:r>
      <w:r>
        <w:rPr>
          <w:rFonts w:eastAsia="MS Mincho" w:cs="Arial"/>
          <w:sz w:val="22"/>
        </w:rPr>
        <w:t>x petits exploitants agricoles, r</w:t>
      </w:r>
      <w:r w:rsidRPr="00296E4B">
        <w:rPr>
          <w:rFonts w:eastAsia="MS Mincho" w:cs="Arial"/>
          <w:sz w:val="22"/>
        </w:rPr>
        <w:t>isques de conflits sociaux suite au développ</w:t>
      </w:r>
      <w:r>
        <w:rPr>
          <w:rFonts w:eastAsia="MS Mincho" w:cs="Arial"/>
          <w:sz w:val="22"/>
        </w:rPr>
        <w:t>ement des périmètres agricoles, r</w:t>
      </w:r>
      <w:r w:rsidRPr="00296E4B">
        <w:rPr>
          <w:rFonts w:eastAsia="MS Mincho" w:cs="Arial"/>
          <w:sz w:val="22"/>
        </w:rPr>
        <w:t>isque des travaux des enfants de moi</w:t>
      </w:r>
      <w:r>
        <w:rPr>
          <w:rFonts w:eastAsia="MS Mincho" w:cs="Arial"/>
          <w:sz w:val="22"/>
        </w:rPr>
        <w:t>ns de 18 ans sur les chantiers, r</w:t>
      </w:r>
      <w:r w:rsidRPr="00296E4B">
        <w:rPr>
          <w:rFonts w:eastAsia="MS Mincho" w:cs="Arial"/>
          <w:sz w:val="22"/>
        </w:rPr>
        <w:t xml:space="preserve">isque d’utilisation des forces de sécurités publiques pour la sécurisation des sites (insécurité </w:t>
      </w:r>
      <w:r>
        <w:rPr>
          <w:rFonts w:eastAsia="MS Mincho" w:cs="Arial"/>
          <w:sz w:val="22"/>
        </w:rPr>
        <w:t>dans la Province du Nord-Kivu), p</w:t>
      </w:r>
      <w:r w:rsidRPr="00296E4B">
        <w:rPr>
          <w:rFonts w:eastAsia="MS Mincho" w:cs="Arial"/>
          <w:sz w:val="22"/>
        </w:rPr>
        <w:t>erturbation des activités soc</w:t>
      </w:r>
      <w:r>
        <w:rPr>
          <w:rFonts w:eastAsia="MS Mincho" w:cs="Arial"/>
          <w:sz w:val="22"/>
        </w:rPr>
        <w:t>ioéconomiques lors des travaux, r</w:t>
      </w:r>
      <w:r w:rsidRPr="00296E4B">
        <w:rPr>
          <w:rFonts w:eastAsia="MS Mincho" w:cs="Arial"/>
          <w:sz w:val="22"/>
        </w:rPr>
        <w:t>isque de discrimination contre des femmes lo</w:t>
      </w:r>
      <w:r>
        <w:rPr>
          <w:rFonts w:eastAsia="MS Mincho" w:cs="Arial"/>
          <w:sz w:val="22"/>
        </w:rPr>
        <w:t>rs du recrutement du personnel, r</w:t>
      </w:r>
      <w:r w:rsidRPr="00296E4B">
        <w:rPr>
          <w:rFonts w:eastAsia="MS Mincho" w:cs="Arial"/>
          <w:sz w:val="22"/>
        </w:rPr>
        <w:t>isque d’accident au cours des tr</w:t>
      </w:r>
      <w:r>
        <w:rPr>
          <w:rFonts w:eastAsia="MS Mincho" w:cs="Arial"/>
          <w:sz w:val="22"/>
        </w:rPr>
        <w:t xml:space="preserve">avaux (personnel et population), risques de dommages sur les autres infrastructures </w:t>
      </w:r>
      <w:r w:rsidR="00045366">
        <w:rPr>
          <w:rFonts w:eastAsia="MS Mincho" w:cs="Arial"/>
          <w:sz w:val="22"/>
        </w:rPr>
        <w:t>de</w:t>
      </w:r>
      <w:r>
        <w:rPr>
          <w:rFonts w:eastAsia="MS Mincho" w:cs="Arial"/>
          <w:sz w:val="22"/>
        </w:rPr>
        <w:t xml:space="preserve"> </w:t>
      </w:r>
      <w:r w:rsidR="00045366">
        <w:rPr>
          <w:rFonts w:eastAsia="MS Mincho" w:cs="Arial"/>
          <w:sz w:val="22"/>
        </w:rPr>
        <w:t>réseau</w:t>
      </w:r>
      <w:r>
        <w:rPr>
          <w:rFonts w:eastAsia="MS Mincho" w:cs="Arial"/>
          <w:sz w:val="22"/>
        </w:rPr>
        <w:t>, r</w:t>
      </w:r>
      <w:r w:rsidRPr="00296E4B">
        <w:rPr>
          <w:rFonts w:eastAsia="MS Mincho" w:cs="Arial"/>
          <w:sz w:val="22"/>
        </w:rPr>
        <w:t xml:space="preserve">isques d’exacerber les </w:t>
      </w:r>
      <w:r>
        <w:rPr>
          <w:rFonts w:eastAsia="MS Mincho" w:cs="Arial"/>
          <w:sz w:val="22"/>
        </w:rPr>
        <w:t>VBG, y compris l’EAS et le HS,</w:t>
      </w:r>
      <w:r w:rsidRPr="00296E4B">
        <w:rPr>
          <w:rFonts w:eastAsia="MS Mincho" w:cs="Arial"/>
          <w:sz w:val="22"/>
        </w:rPr>
        <w:t xml:space="preserve"> dans la zone d’intervention du Projet suite au brassage des populations et à l’afflux</w:t>
      </w:r>
      <w:r>
        <w:rPr>
          <w:rFonts w:eastAsia="MS Mincho" w:cs="Arial"/>
          <w:sz w:val="22"/>
        </w:rPr>
        <w:t xml:space="preserve"> de la main-d’œuvre allochtone, r</w:t>
      </w:r>
      <w:r w:rsidRPr="00296E4B">
        <w:rPr>
          <w:rFonts w:eastAsia="MS Mincho" w:cs="Arial"/>
          <w:sz w:val="22"/>
        </w:rPr>
        <w:t>isque de contamination des IST et VIH/SI</w:t>
      </w:r>
      <w:r>
        <w:rPr>
          <w:rFonts w:eastAsia="MS Mincho" w:cs="Arial"/>
          <w:sz w:val="22"/>
        </w:rPr>
        <w:t>DA, r</w:t>
      </w:r>
      <w:r w:rsidRPr="00296E4B">
        <w:rPr>
          <w:rFonts w:eastAsia="MS Mincho" w:cs="Arial"/>
          <w:sz w:val="22"/>
        </w:rPr>
        <w:t xml:space="preserve">isque de </w:t>
      </w:r>
      <w:r>
        <w:rPr>
          <w:rFonts w:eastAsia="MS Mincho" w:cs="Arial"/>
          <w:sz w:val="22"/>
        </w:rPr>
        <w:t xml:space="preserve">propagation et </w:t>
      </w:r>
      <w:r w:rsidRPr="00296E4B">
        <w:rPr>
          <w:rFonts w:eastAsia="MS Mincho" w:cs="Arial"/>
          <w:sz w:val="22"/>
        </w:rPr>
        <w:t>contamination de la COVID-19</w:t>
      </w:r>
      <w:r>
        <w:rPr>
          <w:rFonts w:eastAsia="MS Mincho" w:cs="Arial"/>
          <w:sz w:val="22"/>
        </w:rPr>
        <w:t xml:space="preserve">, pour les </w:t>
      </w:r>
      <w:r w:rsidR="00045366">
        <w:rPr>
          <w:rFonts w:eastAsia="MS Mincho" w:cs="Arial"/>
          <w:sz w:val="22"/>
        </w:rPr>
        <w:t>bénéficiaires</w:t>
      </w:r>
      <w:r>
        <w:rPr>
          <w:rFonts w:eastAsia="MS Mincho" w:cs="Arial"/>
          <w:sz w:val="22"/>
        </w:rPr>
        <w:t xml:space="preserve"> ou d’autres parties prenantes, etc.</w:t>
      </w:r>
    </w:p>
    <w:p w14:paraId="4ECABB96" w14:textId="77777777" w:rsidR="00045366" w:rsidRDefault="00045366" w:rsidP="001C2F95">
      <w:pPr>
        <w:rPr>
          <w:sz w:val="22"/>
          <w:lang w:bidi="fr-FR"/>
        </w:rPr>
      </w:pPr>
    </w:p>
    <w:p w14:paraId="528B529E" w14:textId="77777777" w:rsidR="001C2F95" w:rsidRDefault="001C2F95" w:rsidP="001C2F95">
      <w:pPr>
        <w:rPr>
          <w:sz w:val="22"/>
          <w:lang w:bidi="fr-FR"/>
        </w:rPr>
      </w:pPr>
      <w:r>
        <w:rPr>
          <w:sz w:val="22"/>
          <w:lang w:bidi="fr-FR"/>
        </w:rPr>
        <w:t>La pertinence de la NES n°</w:t>
      </w:r>
      <w:r w:rsidRPr="007B4306">
        <w:rPr>
          <w:sz w:val="22"/>
          <w:lang w:bidi="fr-FR"/>
        </w:rPr>
        <w:t>1 de la Banque mondiale, et des politiques et lois nationales en matière environnementale et sociale, a rendu nécessaire le présent CGES assorti d</w:t>
      </w:r>
      <w:r w:rsidR="006B658C">
        <w:rPr>
          <w:rFonts w:cs="Arial"/>
          <w:sz w:val="22"/>
        </w:rPr>
        <w:t xml:space="preserve">es PGRIES </w:t>
      </w:r>
      <w:r w:rsidRPr="007B4306">
        <w:rPr>
          <w:sz w:val="22"/>
          <w:lang w:bidi="fr-FR"/>
        </w:rPr>
        <w:t xml:space="preserve"> destiné à prendre en charge les impacts négatifs induits par le </w:t>
      </w:r>
      <w:r>
        <w:rPr>
          <w:sz w:val="22"/>
          <w:lang w:bidi="fr-FR"/>
        </w:rPr>
        <w:t>PNDA</w:t>
      </w:r>
      <w:r w:rsidRPr="007B4306">
        <w:rPr>
          <w:sz w:val="22"/>
          <w:lang w:bidi="fr-FR"/>
        </w:rPr>
        <w:t xml:space="preserve"> sur l’environnement et les populations ; toutes choses qui contribueront à minimiser les impacts négatifs liés à la mise en œuvre des activités du projet et à bonifier les impacts positifs y relatifs. </w:t>
      </w:r>
    </w:p>
    <w:p w14:paraId="45ED4B2B" w14:textId="77777777" w:rsidR="001C2F95" w:rsidRDefault="001C2F95" w:rsidP="001C2F95">
      <w:pPr>
        <w:rPr>
          <w:sz w:val="22"/>
          <w:lang w:bidi="fr-FR"/>
        </w:rPr>
      </w:pPr>
    </w:p>
    <w:p w14:paraId="3B698D4F" w14:textId="77777777" w:rsidR="001C2F95" w:rsidRPr="007B4306" w:rsidRDefault="001C2F95" w:rsidP="001C2F95">
      <w:pPr>
        <w:rPr>
          <w:sz w:val="22"/>
          <w:lang w:bidi="fr-FR"/>
        </w:rPr>
      </w:pPr>
      <w:r w:rsidRPr="007B4306">
        <w:rPr>
          <w:sz w:val="22"/>
          <w:lang w:bidi="fr-FR"/>
        </w:rPr>
        <w:t>Ce</w:t>
      </w:r>
      <w:r w:rsidR="006B658C">
        <w:rPr>
          <w:sz w:val="22"/>
          <w:lang w:bidi="fr-FR"/>
        </w:rPr>
        <w:t xml:space="preserve">s </w:t>
      </w:r>
      <w:r w:rsidR="006B658C">
        <w:rPr>
          <w:rFonts w:cs="Arial"/>
          <w:sz w:val="22"/>
        </w:rPr>
        <w:t>PGRIES</w:t>
      </w:r>
      <w:r w:rsidR="006B658C" w:rsidRPr="007B4306" w:rsidDel="006B658C">
        <w:rPr>
          <w:sz w:val="22"/>
          <w:lang w:bidi="fr-FR"/>
        </w:rPr>
        <w:t xml:space="preserve"> </w:t>
      </w:r>
      <w:r w:rsidRPr="007B4306">
        <w:rPr>
          <w:sz w:val="22"/>
          <w:lang w:bidi="fr-FR"/>
        </w:rPr>
        <w:t>inclut les éléments clés de la gestion environnementale et sociale, de mise en œuvre et de suivi des mesures, les responsabilités institutionnelles et le budget. Le</w:t>
      </w:r>
      <w:r w:rsidR="006B658C">
        <w:rPr>
          <w:sz w:val="22"/>
          <w:lang w:bidi="fr-FR"/>
        </w:rPr>
        <w:t>s</w:t>
      </w:r>
      <w:r w:rsidRPr="007B4306">
        <w:rPr>
          <w:sz w:val="22"/>
          <w:lang w:bidi="fr-FR"/>
        </w:rPr>
        <w:t xml:space="preserve"> </w:t>
      </w:r>
      <w:r w:rsidR="006B658C">
        <w:rPr>
          <w:rFonts w:cs="Arial"/>
          <w:sz w:val="22"/>
        </w:rPr>
        <w:t xml:space="preserve">PGRIES </w:t>
      </w:r>
      <w:r w:rsidRPr="007B4306">
        <w:rPr>
          <w:sz w:val="22"/>
          <w:lang w:bidi="fr-FR"/>
        </w:rPr>
        <w:t xml:space="preserve"> inclut également des mesures de renforcement institutionnelles et techniques ; des mesures de formation et de sensibilisation ; des bonnes pratiques en matière de gestion environnementale ; une provision pour la réalisati</w:t>
      </w:r>
      <w:r>
        <w:rPr>
          <w:sz w:val="22"/>
          <w:lang w:bidi="fr-FR"/>
        </w:rPr>
        <w:t xml:space="preserve">on et la mise en œuvre des </w:t>
      </w:r>
      <w:r w:rsidRPr="007B4306">
        <w:rPr>
          <w:sz w:val="22"/>
          <w:lang w:bidi="fr-FR"/>
        </w:rPr>
        <w:t>EIES</w:t>
      </w:r>
      <w:r>
        <w:rPr>
          <w:sz w:val="22"/>
          <w:lang w:bidi="fr-FR"/>
        </w:rPr>
        <w:t>/PGES</w:t>
      </w:r>
      <w:r w:rsidRPr="007B4306">
        <w:rPr>
          <w:sz w:val="22"/>
          <w:lang w:bidi="fr-FR"/>
        </w:rPr>
        <w:t xml:space="preserve"> et le Suivi/Evaluation des activités du projet. </w:t>
      </w:r>
    </w:p>
    <w:p w14:paraId="5B5EDDA0" w14:textId="77777777" w:rsidR="001C2F95" w:rsidRPr="007B4306" w:rsidRDefault="001C2F95" w:rsidP="001C2F95">
      <w:pPr>
        <w:rPr>
          <w:sz w:val="22"/>
          <w:lang w:bidi="fr-FR"/>
        </w:rPr>
      </w:pPr>
      <w:r w:rsidRPr="007B4306">
        <w:rPr>
          <w:sz w:val="22"/>
          <w:lang w:bidi="fr-FR"/>
        </w:rPr>
        <w:t xml:space="preserve"> </w:t>
      </w:r>
    </w:p>
    <w:p w14:paraId="6169195E" w14:textId="77777777" w:rsidR="001C2F95" w:rsidRPr="007B4306" w:rsidRDefault="001C2F95" w:rsidP="001C2F95">
      <w:pPr>
        <w:rPr>
          <w:sz w:val="22"/>
          <w:lang w:bidi="fr-FR"/>
        </w:rPr>
      </w:pPr>
      <w:r w:rsidRPr="007B4306">
        <w:rPr>
          <w:sz w:val="22"/>
          <w:lang w:bidi="fr-FR"/>
        </w:rPr>
        <w:t xml:space="preserve">La mise en œuvre des activités sera assurée par l’Unité de Coordination du Projet </w:t>
      </w:r>
      <w:r>
        <w:rPr>
          <w:sz w:val="22"/>
          <w:lang w:bidi="fr-FR"/>
        </w:rPr>
        <w:t xml:space="preserve">du PNDA </w:t>
      </w:r>
      <w:r w:rsidRPr="007B4306">
        <w:rPr>
          <w:sz w:val="22"/>
          <w:lang w:bidi="fr-FR"/>
        </w:rPr>
        <w:t xml:space="preserve">appuyée par les Missions de Contrôle et sous la supervision du Spécialiste en sauvegarde Environnementale (SSE) et du spécialiste en Sauvegarde Sociale (SSS) </w:t>
      </w:r>
      <w:r>
        <w:rPr>
          <w:sz w:val="22"/>
          <w:lang w:bidi="fr-FR"/>
        </w:rPr>
        <w:t xml:space="preserve">ainsi que celui du SVBG du PNDA </w:t>
      </w:r>
      <w:r w:rsidRPr="007B4306">
        <w:rPr>
          <w:sz w:val="22"/>
          <w:lang w:bidi="fr-FR"/>
        </w:rPr>
        <w:t>avec l’implication des Experts en environnement de</w:t>
      </w:r>
      <w:r>
        <w:rPr>
          <w:sz w:val="22"/>
          <w:lang w:bidi="fr-FR"/>
        </w:rPr>
        <w:t xml:space="preserve"> l’ACE</w:t>
      </w:r>
      <w:r w:rsidRPr="007B4306">
        <w:rPr>
          <w:sz w:val="22"/>
          <w:lang w:bidi="fr-FR"/>
        </w:rPr>
        <w:t xml:space="preserve"> </w:t>
      </w:r>
      <w:r>
        <w:rPr>
          <w:sz w:val="22"/>
          <w:lang w:bidi="fr-FR"/>
        </w:rPr>
        <w:t>et de CPE</w:t>
      </w:r>
      <w:r w:rsidRPr="007B4306">
        <w:rPr>
          <w:sz w:val="22"/>
          <w:lang w:bidi="fr-FR"/>
        </w:rPr>
        <w:t xml:space="preserve"> ai</w:t>
      </w:r>
      <w:r>
        <w:rPr>
          <w:sz w:val="22"/>
          <w:lang w:bidi="fr-FR"/>
        </w:rPr>
        <w:t xml:space="preserve">nsi </w:t>
      </w:r>
      <w:r w:rsidRPr="007B4306">
        <w:rPr>
          <w:sz w:val="22"/>
          <w:lang w:bidi="fr-FR"/>
        </w:rPr>
        <w:t xml:space="preserve">et des ONG.  </w:t>
      </w:r>
    </w:p>
    <w:p w14:paraId="17FF079D" w14:textId="77777777" w:rsidR="001C2F95" w:rsidRPr="007B4306" w:rsidRDefault="001C2F95" w:rsidP="001C2F95">
      <w:pPr>
        <w:rPr>
          <w:sz w:val="22"/>
          <w:lang w:bidi="fr-FR"/>
        </w:rPr>
      </w:pPr>
      <w:r w:rsidRPr="007B4306">
        <w:rPr>
          <w:sz w:val="22"/>
          <w:lang w:bidi="fr-FR"/>
        </w:rPr>
        <w:t xml:space="preserve"> </w:t>
      </w:r>
    </w:p>
    <w:p w14:paraId="2DD3CB0F" w14:textId="77777777" w:rsidR="001C2F95" w:rsidRPr="007B4306" w:rsidRDefault="001C2F95" w:rsidP="001C2F95">
      <w:pPr>
        <w:rPr>
          <w:sz w:val="22"/>
          <w:lang w:bidi="fr-FR"/>
        </w:rPr>
      </w:pPr>
      <w:r w:rsidRPr="007B4306">
        <w:rPr>
          <w:sz w:val="22"/>
          <w:lang w:bidi="fr-FR"/>
        </w:rPr>
        <w:t xml:space="preserve">Les membres du Comité de Pilotage du projet et la Banque mondiale participeront aux missions </w:t>
      </w:r>
      <w:r>
        <w:rPr>
          <w:sz w:val="22"/>
          <w:lang w:bidi="fr-FR"/>
        </w:rPr>
        <w:t xml:space="preserve">de supervision et </w:t>
      </w:r>
      <w:r w:rsidRPr="007B4306">
        <w:rPr>
          <w:sz w:val="22"/>
          <w:lang w:bidi="fr-FR"/>
        </w:rPr>
        <w:t>d’</w:t>
      </w:r>
      <w:r>
        <w:rPr>
          <w:sz w:val="22"/>
          <w:lang w:bidi="fr-FR"/>
        </w:rPr>
        <w:t>appui à la mise en œuvre du PNDA</w:t>
      </w:r>
      <w:r w:rsidRPr="007B4306">
        <w:rPr>
          <w:sz w:val="22"/>
          <w:lang w:bidi="fr-FR"/>
        </w:rPr>
        <w:t xml:space="preserve">.  </w:t>
      </w:r>
    </w:p>
    <w:p w14:paraId="3121BAB1" w14:textId="77777777" w:rsidR="001C2F95" w:rsidRPr="007B4306" w:rsidRDefault="001C2F95" w:rsidP="001C2F95">
      <w:pPr>
        <w:rPr>
          <w:sz w:val="22"/>
          <w:lang w:bidi="fr-FR"/>
        </w:rPr>
      </w:pPr>
      <w:r w:rsidRPr="007B4306">
        <w:rPr>
          <w:sz w:val="22"/>
          <w:lang w:bidi="fr-FR"/>
        </w:rPr>
        <w:t xml:space="preserve"> </w:t>
      </w:r>
    </w:p>
    <w:p w14:paraId="7603F3A3" w14:textId="77777777" w:rsidR="001C2F95" w:rsidRPr="007B4306" w:rsidRDefault="001C2F95" w:rsidP="001C2F95">
      <w:pPr>
        <w:rPr>
          <w:sz w:val="22"/>
          <w:lang w:bidi="fr-FR"/>
        </w:rPr>
      </w:pPr>
      <w:r w:rsidRPr="007B4306">
        <w:rPr>
          <w:sz w:val="22"/>
          <w:lang w:bidi="fr-FR"/>
        </w:rPr>
        <w:t xml:space="preserve">Les consultations </w:t>
      </w:r>
      <w:r>
        <w:rPr>
          <w:sz w:val="22"/>
          <w:lang w:bidi="fr-FR"/>
        </w:rPr>
        <w:t xml:space="preserve">du public avec des restrictions des mesures barrières de la </w:t>
      </w:r>
      <w:r w:rsidR="00045366">
        <w:rPr>
          <w:sz w:val="22"/>
          <w:lang w:bidi="fr-FR"/>
        </w:rPr>
        <w:t>pandémie</w:t>
      </w:r>
      <w:r>
        <w:rPr>
          <w:sz w:val="22"/>
          <w:lang w:bidi="fr-FR"/>
        </w:rPr>
        <w:t xml:space="preserve"> de COVID-19 </w:t>
      </w:r>
      <w:r w:rsidRPr="007B4306">
        <w:rPr>
          <w:sz w:val="22"/>
          <w:lang w:bidi="fr-FR"/>
        </w:rPr>
        <w:t>ont été réalis</w:t>
      </w:r>
      <w:r>
        <w:rPr>
          <w:sz w:val="22"/>
          <w:lang w:bidi="fr-FR"/>
        </w:rPr>
        <w:t>ées au cours de la période du 02 au 17 juin 2020</w:t>
      </w:r>
      <w:r w:rsidRPr="007B4306">
        <w:rPr>
          <w:sz w:val="22"/>
          <w:lang w:bidi="fr-FR"/>
        </w:rPr>
        <w:t xml:space="preserve"> et ont concerné </w:t>
      </w:r>
      <w:r>
        <w:rPr>
          <w:sz w:val="22"/>
          <w:lang w:bidi="fr-FR"/>
        </w:rPr>
        <w:t>toutes les parties prenantes concernées par le PNDA y compris les</w:t>
      </w:r>
      <w:r w:rsidRPr="007B4306">
        <w:rPr>
          <w:sz w:val="22"/>
          <w:lang w:bidi="fr-FR"/>
        </w:rPr>
        <w:t xml:space="preserve"> organisations </w:t>
      </w:r>
      <w:r>
        <w:rPr>
          <w:sz w:val="22"/>
          <w:lang w:bidi="fr-FR"/>
        </w:rPr>
        <w:t xml:space="preserve">de la société civile, </w:t>
      </w:r>
      <w:r w:rsidRPr="007B4306">
        <w:rPr>
          <w:sz w:val="22"/>
          <w:lang w:bidi="fr-FR"/>
        </w:rPr>
        <w:t>des jeunes et des femmes, etc</w:t>
      </w:r>
      <w:r>
        <w:rPr>
          <w:sz w:val="22"/>
          <w:lang w:bidi="fr-FR"/>
        </w:rPr>
        <w:t>.</w:t>
      </w:r>
    </w:p>
    <w:p w14:paraId="10A69E2B" w14:textId="77777777" w:rsidR="001C2F95" w:rsidRPr="007B4306" w:rsidRDefault="001C2F95" w:rsidP="001C2F95">
      <w:pPr>
        <w:rPr>
          <w:sz w:val="22"/>
          <w:lang w:bidi="fr-FR"/>
        </w:rPr>
      </w:pPr>
      <w:r w:rsidRPr="007B4306">
        <w:rPr>
          <w:sz w:val="22"/>
          <w:lang w:bidi="fr-FR"/>
        </w:rPr>
        <w:t xml:space="preserve"> </w:t>
      </w:r>
    </w:p>
    <w:p w14:paraId="630E851A" w14:textId="77777777" w:rsidR="001C2F95" w:rsidRPr="00FF4CBB" w:rsidRDefault="001C2F95" w:rsidP="001C2F95">
      <w:pPr>
        <w:rPr>
          <w:sz w:val="22"/>
          <w:lang w:bidi="fr-FR"/>
        </w:rPr>
      </w:pPr>
      <w:r w:rsidRPr="007B4306">
        <w:rPr>
          <w:sz w:val="22"/>
          <w:lang w:bidi="fr-FR"/>
        </w:rPr>
        <w:t>Les différentes recommandations formulées ont été prises en</w:t>
      </w:r>
      <w:r>
        <w:rPr>
          <w:sz w:val="22"/>
          <w:lang w:bidi="fr-FR"/>
        </w:rPr>
        <w:t xml:space="preserve"> compte aux niveaux suivants : (i) </w:t>
      </w:r>
      <w:r w:rsidRPr="00FF4CBB">
        <w:rPr>
          <w:sz w:val="22"/>
          <w:lang w:bidi="fr-FR"/>
        </w:rPr>
        <w:t xml:space="preserve">dans les listes des mesures d’atténuation ; (ii) dans la procédure de sélection environnementale et sociale ; (iii) dans les programmes de renforcement des capacités (formation et sensibilisation) et (iv) dans le plan de suivi et les arrangements institutionnels de mise en œuvre. </w:t>
      </w:r>
    </w:p>
    <w:p w14:paraId="3F151A1A" w14:textId="77777777" w:rsidR="001C2F95" w:rsidRPr="007B4306" w:rsidRDefault="001C2F95" w:rsidP="001C2F95">
      <w:pPr>
        <w:rPr>
          <w:sz w:val="22"/>
          <w:lang w:bidi="fr-FR"/>
        </w:rPr>
      </w:pPr>
      <w:r w:rsidRPr="007B4306">
        <w:rPr>
          <w:sz w:val="22"/>
          <w:lang w:bidi="fr-FR"/>
        </w:rPr>
        <w:t xml:space="preserve"> </w:t>
      </w:r>
    </w:p>
    <w:p w14:paraId="27972140" w14:textId="77777777" w:rsidR="00C32096" w:rsidRDefault="001C2F95" w:rsidP="00C32096">
      <w:pPr>
        <w:spacing w:line="240" w:lineRule="auto"/>
        <w:rPr>
          <w:sz w:val="22"/>
        </w:rPr>
      </w:pPr>
      <w:r w:rsidRPr="007B4306">
        <w:rPr>
          <w:sz w:val="22"/>
          <w:lang w:bidi="fr-FR"/>
        </w:rPr>
        <w:t xml:space="preserve">Les coûts des mesures environnementales et sociales se chiffrent à la somme de </w:t>
      </w:r>
      <w:r w:rsidR="001E7436">
        <w:rPr>
          <w:sz w:val="22"/>
          <w:lang w:bidi="fr-FR"/>
        </w:rPr>
        <w:t xml:space="preserve">               15 168 630</w:t>
      </w:r>
      <w:r w:rsidR="00C32096">
        <w:rPr>
          <w:sz w:val="22"/>
        </w:rPr>
        <w:t xml:space="preserve"> </w:t>
      </w:r>
      <w:r w:rsidR="00C32096" w:rsidRPr="007D62C7">
        <w:rPr>
          <w:sz w:val="22"/>
        </w:rPr>
        <w:t>USD financé</w:t>
      </w:r>
      <w:r w:rsidR="000326DA">
        <w:rPr>
          <w:sz w:val="22"/>
        </w:rPr>
        <w:t>s</w:t>
      </w:r>
      <w:r w:rsidR="00C32096" w:rsidRPr="007D62C7">
        <w:rPr>
          <w:sz w:val="22"/>
        </w:rPr>
        <w:t xml:space="preserve"> </w:t>
      </w:r>
      <w:r w:rsidR="001E7436">
        <w:rPr>
          <w:sz w:val="22"/>
        </w:rPr>
        <w:t xml:space="preserve">entièrement </w:t>
      </w:r>
      <w:r w:rsidR="00C32096" w:rsidRPr="007D62C7">
        <w:rPr>
          <w:sz w:val="22"/>
        </w:rPr>
        <w:t>par le PNDA.</w:t>
      </w:r>
    </w:p>
    <w:p w14:paraId="6BE36ADD" w14:textId="77777777" w:rsidR="001C2F95" w:rsidRDefault="001C2F95" w:rsidP="00C32096">
      <w:pPr>
        <w:rPr>
          <w:rFonts w:cs="Arial"/>
          <w:bCs/>
          <w:sz w:val="22"/>
        </w:rPr>
      </w:pPr>
      <w:r w:rsidRPr="007B4306">
        <w:rPr>
          <w:sz w:val="22"/>
          <w:lang w:bidi="fr-FR"/>
        </w:rPr>
        <w:t xml:space="preserve"> </w:t>
      </w:r>
      <w:r>
        <w:rPr>
          <w:rFonts w:cs="Arial"/>
          <w:b/>
          <w:sz w:val="22"/>
        </w:rPr>
        <w:br w:type="page"/>
      </w:r>
    </w:p>
    <w:p w14:paraId="0E879F97" w14:textId="77777777" w:rsidR="001C2F95" w:rsidRPr="00337D18" w:rsidRDefault="001C2F95" w:rsidP="001C2F95">
      <w:pPr>
        <w:pStyle w:val="Titre1"/>
        <w:numPr>
          <w:ilvl w:val="0"/>
          <w:numId w:val="4"/>
        </w:numPr>
        <w:ind w:left="567" w:hanging="283"/>
        <w:rPr>
          <w:rFonts w:cs="Arial"/>
          <w:sz w:val="22"/>
          <w:szCs w:val="22"/>
        </w:rPr>
      </w:pPr>
      <w:bookmarkStart w:id="871" w:name="_Toc70330527"/>
      <w:r w:rsidRPr="00337D18">
        <w:rPr>
          <w:rFonts w:cs="Arial"/>
          <w:sz w:val="22"/>
          <w:szCs w:val="22"/>
        </w:rPr>
        <w:t>RÉFÉRENCES BIBLIOGRAPHIQUES</w:t>
      </w:r>
      <w:bookmarkEnd w:id="871"/>
    </w:p>
    <w:p w14:paraId="04022EB6" w14:textId="77777777" w:rsidR="001C2F95" w:rsidRDefault="001C2F95" w:rsidP="001C2F95">
      <w:pPr>
        <w:rPr>
          <w:rFonts w:cs="Arial"/>
          <w:sz w:val="22"/>
        </w:rPr>
      </w:pPr>
    </w:p>
    <w:p w14:paraId="62C6C133" w14:textId="77777777" w:rsidR="001C2F95" w:rsidRPr="009302AA" w:rsidRDefault="001C2F95" w:rsidP="001C2F95">
      <w:pPr>
        <w:pStyle w:val="Paragraphedeliste"/>
        <w:autoSpaceDE w:val="0"/>
        <w:autoSpaceDN w:val="0"/>
        <w:adjustRightInd w:val="0"/>
        <w:ind w:left="851" w:hanging="851"/>
        <w:rPr>
          <w:rFonts w:cs="Arial"/>
          <w:sz w:val="22"/>
        </w:rPr>
      </w:pPr>
      <w:bookmarkStart w:id="872" w:name="_Toc497202148"/>
      <w:bookmarkStart w:id="873" w:name="_Toc497202367"/>
      <w:bookmarkStart w:id="874" w:name="_Toc497202606"/>
      <w:bookmarkStart w:id="875" w:name="_Toc497202847"/>
      <w:bookmarkStart w:id="876" w:name="_Toc500088170"/>
      <w:bookmarkStart w:id="877" w:name="_Toc502652428"/>
      <w:bookmarkStart w:id="878" w:name="_Toc506532741"/>
      <w:bookmarkStart w:id="879" w:name="_Toc511387476"/>
      <w:bookmarkStart w:id="880" w:name="_Toc44626858"/>
      <w:bookmarkStart w:id="881" w:name="_Toc45269198"/>
      <w:bookmarkStart w:id="882" w:name="_Toc45269743"/>
      <w:bookmarkStart w:id="883" w:name="_Toc497202149"/>
      <w:bookmarkStart w:id="884" w:name="_Toc497202368"/>
      <w:bookmarkStart w:id="885" w:name="_Toc497202607"/>
      <w:bookmarkStart w:id="886" w:name="_Toc497202848"/>
      <w:bookmarkStart w:id="887" w:name="_Toc500088171"/>
      <w:bookmarkStart w:id="888" w:name="_Toc502652429"/>
      <w:bookmarkStart w:id="889" w:name="_Toc506532742"/>
      <w:bookmarkStart w:id="890" w:name="_Toc511387477"/>
      <w:bookmarkStart w:id="891" w:name="_Toc44626859"/>
      <w:bookmarkStart w:id="892" w:name="_Toc45269199"/>
      <w:bookmarkStart w:id="893" w:name="_Toc45269744"/>
      <w:bookmarkStart w:id="894" w:name="_Toc473238653"/>
      <w:bookmarkStart w:id="895" w:name="_Toc476043729"/>
      <w:bookmarkStart w:id="896" w:name="_Toc476071977"/>
      <w:bookmarkStart w:id="897" w:name="_Toc497052951"/>
      <w:bookmarkStart w:id="898" w:name="_Toc497147451"/>
      <w:bookmarkStart w:id="899" w:name="_Toc497202151"/>
      <w:bookmarkStart w:id="900" w:name="_Toc497202370"/>
      <w:bookmarkStart w:id="901" w:name="_Toc497202609"/>
      <w:bookmarkStart w:id="902" w:name="_Toc497202850"/>
      <w:bookmarkStart w:id="903" w:name="_Toc500088173"/>
      <w:bookmarkStart w:id="904" w:name="_Toc502652431"/>
      <w:bookmarkStart w:id="905" w:name="_Toc506532744"/>
      <w:bookmarkStart w:id="906" w:name="_Toc511387479"/>
      <w:bookmarkStart w:id="907" w:name="_Toc44626861"/>
      <w:bookmarkStart w:id="908" w:name="_Toc45269201"/>
      <w:bookmarkStart w:id="909" w:name="_Toc45269746"/>
      <w:bookmarkStart w:id="910" w:name="_Toc473238654"/>
      <w:bookmarkStart w:id="911" w:name="_Toc476043730"/>
      <w:bookmarkStart w:id="912" w:name="_Toc476071978"/>
      <w:bookmarkStart w:id="913" w:name="_Toc497052952"/>
      <w:bookmarkStart w:id="914" w:name="_Toc497147452"/>
      <w:bookmarkStart w:id="915" w:name="_Toc497202152"/>
      <w:bookmarkStart w:id="916" w:name="_Toc497202371"/>
      <w:bookmarkStart w:id="917" w:name="_Toc497202610"/>
      <w:bookmarkStart w:id="918" w:name="_Toc497202851"/>
      <w:bookmarkStart w:id="919" w:name="_Toc500088174"/>
      <w:bookmarkStart w:id="920" w:name="_Toc502652432"/>
      <w:bookmarkStart w:id="921" w:name="_Toc506532745"/>
      <w:bookmarkStart w:id="922" w:name="_Toc511387480"/>
      <w:bookmarkStart w:id="923" w:name="_Toc44626862"/>
      <w:bookmarkStart w:id="924" w:name="_Toc45269202"/>
      <w:bookmarkStart w:id="925" w:name="_Toc45269747"/>
      <w:bookmarkStart w:id="926" w:name="_Toc470139888"/>
      <w:bookmarkStart w:id="927" w:name="_Toc470800779"/>
      <w:bookmarkStart w:id="928" w:name="_Toc471814085"/>
      <w:bookmarkStart w:id="929" w:name="_Toc471817007"/>
      <w:bookmarkStart w:id="930" w:name="_Toc471819874"/>
      <w:bookmarkStart w:id="931" w:name="_Toc473238657"/>
      <w:bookmarkStart w:id="932" w:name="_Toc470139889"/>
      <w:bookmarkStart w:id="933" w:name="_Toc470800780"/>
      <w:bookmarkStart w:id="934" w:name="_Toc471814086"/>
      <w:bookmarkStart w:id="935" w:name="_Toc471817008"/>
      <w:bookmarkStart w:id="936" w:name="_Toc471819875"/>
      <w:bookmarkStart w:id="937" w:name="_Toc473238658"/>
      <w:bookmarkStart w:id="938" w:name="_Toc470139890"/>
      <w:bookmarkStart w:id="939" w:name="_Toc470800781"/>
      <w:bookmarkStart w:id="940" w:name="_Toc471814087"/>
      <w:bookmarkStart w:id="941" w:name="_Toc471817009"/>
      <w:bookmarkStart w:id="942" w:name="_Toc471819876"/>
      <w:bookmarkStart w:id="943" w:name="_Toc473238659"/>
      <w:bookmarkStart w:id="944" w:name="_Toc470139891"/>
      <w:bookmarkStart w:id="945" w:name="_Toc470800782"/>
      <w:bookmarkStart w:id="946" w:name="_Toc471814088"/>
      <w:bookmarkStart w:id="947" w:name="_Toc471817010"/>
      <w:bookmarkStart w:id="948" w:name="_Toc471819877"/>
      <w:bookmarkStart w:id="949" w:name="_Toc473238660"/>
      <w:bookmarkStart w:id="950" w:name="_Toc470139892"/>
      <w:bookmarkStart w:id="951" w:name="_Toc470800783"/>
      <w:bookmarkStart w:id="952" w:name="_Toc471814089"/>
      <w:bookmarkStart w:id="953" w:name="_Toc471817011"/>
      <w:bookmarkStart w:id="954" w:name="_Toc471819878"/>
      <w:bookmarkStart w:id="955" w:name="_Toc473238661"/>
      <w:bookmarkStart w:id="956" w:name="_Toc470139893"/>
      <w:bookmarkStart w:id="957" w:name="_Toc470800784"/>
      <w:bookmarkStart w:id="958" w:name="_Toc471814090"/>
      <w:bookmarkStart w:id="959" w:name="_Toc471817012"/>
      <w:bookmarkStart w:id="960" w:name="_Toc471819879"/>
      <w:bookmarkStart w:id="961" w:name="_Toc473238662"/>
      <w:bookmarkStart w:id="962" w:name="_Toc470139894"/>
      <w:bookmarkStart w:id="963" w:name="_Toc470800785"/>
      <w:bookmarkStart w:id="964" w:name="_Toc471814091"/>
      <w:bookmarkStart w:id="965" w:name="_Toc471817013"/>
      <w:bookmarkStart w:id="966" w:name="_Toc471819880"/>
      <w:bookmarkStart w:id="967" w:name="_Toc473238663"/>
      <w:bookmarkStart w:id="968" w:name="_Toc471814092"/>
      <w:bookmarkStart w:id="969" w:name="_Toc471817014"/>
      <w:bookmarkStart w:id="970" w:name="_Toc471819881"/>
      <w:bookmarkStart w:id="971" w:name="_Toc473238664"/>
      <w:bookmarkStart w:id="972" w:name="_Toc471814093"/>
      <w:bookmarkStart w:id="973" w:name="_Toc471817015"/>
      <w:bookmarkStart w:id="974" w:name="_Toc471819882"/>
      <w:bookmarkStart w:id="975" w:name="_Toc473238665"/>
      <w:bookmarkStart w:id="976" w:name="_Toc473238675"/>
      <w:bookmarkStart w:id="977" w:name="_Toc476043742"/>
      <w:bookmarkStart w:id="978" w:name="_Toc476071990"/>
      <w:bookmarkStart w:id="979" w:name="_Toc497052964"/>
      <w:bookmarkStart w:id="980" w:name="_Toc497147464"/>
      <w:bookmarkStart w:id="981" w:name="_Toc497202164"/>
      <w:bookmarkStart w:id="982" w:name="_Toc497202383"/>
      <w:bookmarkStart w:id="983" w:name="_Toc497202622"/>
      <w:bookmarkStart w:id="984" w:name="_Toc497202863"/>
      <w:bookmarkStart w:id="985" w:name="_Toc500088186"/>
      <w:bookmarkStart w:id="986" w:name="_Toc502652444"/>
      <w:bookmarkStart w:id="987" w:name="_Toc506532757"/>
      <w:bookmarkStart w:id="988" w:name="_Toc511387492"/>
      <w:bookmarkStart w:id="989" w:name="_Toc44626874"/>
      <w:bookmarkStart w:id="990" w:name="_Toc45269214"/>
      <w:bookmarkStart w:id="991" w:name="_Toc45269759"/>
      <w:bookmarkStart w:id="992" w:name="_Toc473238676"/>
      <w:bookmarkStart w:id="993" w:name="_Toc476043743"/>
      <w:bookmarkStart w:id="994" w:name="_Toc476071991"/>
      <w:bookmarkStart w:id="995" w:name="_Toc497052965"/>
      <w:bookmarkStart w:id="996" w:name="_Toc497147465"/>
      <w:bookmarkStart w:id="997" w:name="_Toc497202165"/>
      <w:bookmarkStart w:id="998" w:name="_Toc497202384"/>
      <w:bookmarkStart w:id="999" w:name="_Toc497202623"/>
      <w:bookmarkStart w:id="1000" w:name="_Toc497202864"/>
      <w:bookmarkStart w:id="1001" w:name="_Toc500088187"/>
      <w:bookmarkStart w:id="1002" w:name="_Toc502652445"/>
      <w:bookmarkStart w:id="1003" w:name="_Toc506532758"/>
      <w:bookmarkStart w:id="1004" w:name="_Toc511387493"/>
      <w:bookmarkStart w:id="1005" w:name="_Toc44626875"/>
      <w:bookmarkStart w:id="1006" w:name="_Toc45269215"/>
      <w:bookmarkStart w:id="1007" w:name="_Toc45269760"/>
      <w:bookmarkStart w:id="1008" w:name="_Toc471814100"/>
      <w:bookmarkStart w:id="1009" w:name="_Toc471817022"/>
      <w:bookmarkStart w:id="1010" w:name="_Toc471819889"/>
      <w:bookmarkStart w:id="1011" w:name="_Toc473238678"/>
      <w:bookmarkStart w:id="1012" w:name="_Toc476043745"/>
      <w:bookmarkStart w:id="1013" w:name="_Toc476071993"/>
      <w:bookmarkStart w:id="1014" w:name="_Toc497052967"/>
      <w:bookmarkStart w:id="1015" w:name="_Toc497147467"/>
      <w:bookmarkStart w:id="1016" w:name="_Toc497202167"/>
      <w:bookmarkStart w:id="1017" w:name="_Toc497202386"/>
      <w:bookmarkStart w:id="1018" w:name="_Toc497202625"/>
      <w:bookmarkStart w:id="1019" w:name="_Toc497202866"/>
      <w:bookmarkStart w:id="1020" w:name="_Toc500088189"/>
      <w:bookmarkStart w:id="1021" w:name="_Toc502652447"/>
      <w:bookmarkStart w:id="1022" w:name="_Toc506532760"/>
      <w:bookmarkStart w:id="1023" w:name="_Toc511387495"/>
      <w:bookmarkStart w:id="1024" w:name="_Toc44626877"/>
      <w:bookmarkStart w:id="1025" w:name="_Toc45269217"/>
      <w:bookmarkStart w:id="1026" w:name="_Toc45269762"/>
      <w:bookmarkStart w:id="1027" w:name="_Toc471814101"/>
      <w:bookmarkStart w:id="1028" w:name="_Toc471817023"/>
      <w:bookmarkStart w:id="1029" w:name="_Toc471819890"/>
      <w:bookmarkStart w:id="1030" w:name="_Toc473238679"/>
      <w:bookmarkStart w:id="1031" w:name="_Toc476043746"/>
      <w:bookmarkStart w:id="1032" w:name="_Toc476071994"/>
      <w:bookmarkStart w:id="1033" w:name="_Toc497052968"/>
      <w:bookmarkStart w:id="1034" w:name="_Toc497147468"/>
      <w:bookmarkStart w:id="1035" w:name="_Toc497202168"/>
      <w:bookmarkStart w:id="1036" w:name="_Toc497202387"/>
      <w:bookmarkStart w:id="1037" w:name="_Toc497202626"/>
      <w:bookmarkStart w:id="1038" w:name="_Toc497202867"/>
      <w:bookmarkStart w:id="1039" w:name="_Toc500088190"/>
      <w:bookmarkStart w:id="1040" w:name="_Toc502652448"/>
      <w:bookmarkStart w:id="1041" w:name="_Toc506532761"/>
      <w:bookmarkStart w:id="1042" w:name="_Toc511387496"/>
      <w:bookmarkStart w:id="1043" w:name="_Toc44626878"/>
      <w:bookmarkStart w:id="1044" w:name="_Toc45269218"/>
      <w:bookmarkStart w:id="1045" w:name="_Toc45269763"/>
      <w:bookmarkStart w:id="1046" w:name="_Toc471814102"/>
      <w:bookmarkStart w:id="1047" w:name="_Toc471817024"/>
      <w:bookmarkStart w:id="1048" w:name="_Toc471819891"/>
      <w:bookmarkStart w:id="1049" w:name="_Toc473238680"/>
      <w:bookmarkStart w:id="1050" w:name="_Toc476043747"/>
      <w:bookmarkStart w:id="1051" w:name="_Toc476071995"/>
      <w:bookmarkStart w:id="1052" w:name="_Toc497052969"/>
      <w:bookmarkStart w:id="1053" w:name="_Toc497147469"/>
      <w:bookmarkStart w:id="1054" w:name="_Toc497202169"/>
      <w:bookmarkStart w:id="1055" w:name="_Toc497202388"/>
      <w:bookmarkStart w:id="1056" w:name="_Toc497202627"/>
      <w:bookmarkStart w:id="1057" w:name="_Toc497202868"/>
      <w:bookmarkStart w:id="1058" w:name="_Toc500088191"/>
      <w:bookmarkStart w:id="1059" w:name="_Toc502652449"/>
      <w:bookmarkStart w:id="1060" w:name="_Toc506532762"/>
      <w:bookmarkStart w:id="1061" w:name="_Toc511387497"/>
      <w:bookmarkStart w:id="1062" w:name="_Toc44626879"/>
      <w:bookmarkStart w:id="1063" w:name="_Toc45269219"/>
      <w:bookmarkStart w:id="1064" w:name="_Toc45269764"/>
      <w:bookmarkStart w:id="1065" w:name="_Toc471814103"/>
      <w:bookmarkStart w:id="1066" w:name="_Toc471817025"/>
      <w:bookmarkStart w:id="1067" w:name="_Toc471819892"/>
      <w:bookmarkStart w:id="1068" w:name="_Toc473238681"/>
      <w:bookmarkStart w:id="1069" w:name="_Toc476043748"/>
      <w:bookmarkStart w:id="1070" w:name="_Toc476071996"/>
      <w:bookmarkStart w:id="1071" w:name="_Toc497052970"/>
      <w:bookmarkStart w:id="1072" w:name="_Toc497147470"/>
      <w:bookmarkStart w:id="1073" w:name="_Toc497202170"/>
      <w:bookmarkStart w:id="1074" w:name="_Toc497202389"/>
      <w:bookmarkStart w:id="1075" w:name="_Toc497202628"/>
      <w:bookmarkStart w:id="1076" w:name="_Toc497202869"/>
      <w:bookmarkStart w:id="1077" w:name="_Toc500088192"/>
      <w:bookmarkStart w:id="1078" w:name="_Toc502652450"/>
      <w:bookmarkStart w:id="1079" w:name="_Toc506532763"/>
      <w:bookmarkStart w:id="1080" w:name="_Toc511387498"/>
      <w:bookmarkStart w:id="1081" w:name="_Toc44626880"/>
      <w:bookmarkStart w:id="1082" w:name="_Toc45269220"/>
      <w:bookmarkStart w:id="1083" w:name="_Toc45269765"/>
      <w:bookmarkStart w:id="1084" w:name="_Toc471814104"/>
      <w:bookmarkStart w:id="1085" w:name="_Toc471817026"/>
      <w:bookmarkStart w:id="1086" w:name="_Toc471819893"/>
      <w:bookmarkStart w:id="1087" w:name="_Toc473238682"/>
      <w:bookmarkStart w:id="1088" w:name="_Toc476043749"/>
      <w:bookmarkStart w:id="1089" w:name="_Toc476071997"/>
      <w:bookmarkStart w:id="1090" w:name="_Toc497052971"/>
      <w:bookmarkStart w:id="1091" w:name="_Toc497147471"/>
      <w:bookmarkStart w:id="1092" w:name="_Toc497202171"/>
      <w:bookmarkStart w:id="1093" w:name="_Toc497202390"/>
      <w:bookmarkStart w:id="1094" w:name="_Toc497202629"/>
      <w:bookmarkStart w:id="1095" w:name="_Toc497202870"/>
      <w:bookmarkStart w:id="1096" w:name="_Toc500088193"/>
      <w:bookmarkStart w:id="1097" w:name="_Toc502652451"/>
      <w:bookmarkStart w:id="1098" w:name="_Toc506532764"/>
      <w:bookmarkStart w:id="1099" w:name="_Toc511387499"/>
      <w:bookmarkStart w:id="1100" w:name="_Toc44626881"/>
      <w:bookmarkStart w:id="1101" w:name="_Toc45269221"/>
      <w:bookmarkStart w:id="1102" w:name="_Toc45269766"/>
      <w:bookmarkStart w:id="1103" w:name="_Toc471814105"/>
      <w:bookmarkStart w:id="1104" w:name="_Toc471817027"/>
      <w:bookmarkStart w:id="1105" w:name="_Toc471819894"/>
      <w:bookmarkStart w:id="1106" w:name="_Toc473238683"/>
      <w:bookmarkStart w:id="1107" w:name="_Toc476043750"/>
      <w:bookmarkStart w:id="1108" w:name="_Toc476071998"/>
      <w:bookmarkStart w:id="1109" w:name="_Toc497052972"/>
      <w:bookmarkStart w:id="1110" w:name="_Toc497147472"/>
      <w:bookmarkStart w:id="1111" w:name="_Toc497202172"/>
      <w:bookmarkStart w:id="1112" w:name="_Toc497202391"/>
      <w:bookmarkStart w:id="1113" w:name="_Toc497202630"/>
      <w:bookmarkStart w:id="1114" w:name="_Toc497202871"/>
      <w:bookmarkStart w:id="1115" w:name="_Toc500088194"/>
      <w:bookmarkStart w:id="1116" w:name="_Toc502652452"/>
      <w:bookmarkStart w:id="1117" w:name="_Toc506532765"/>
      <w:bookmarkStart w:id="1118" w:name="_Toc511387500"/>
      <w:bookmarkStart w:id="1119" w:name="_Toc44626882"/>
      <w:bookmarkStart w:id="1120" w:name="_Toc45269222"/>
      <w:bookmarkStart w:id="1121" w:name="_Toc45269767"/>
      <w:bookmarkStart w:id="1122" w:name="_Toc471814106"/>
      <w:bookmarkStart w:id="1123" w:name="_Toc471817028"/>
      <w:bookmarkStart w:id="1124" w:name="_Toc471819895"/>
      <w:bookmarkStart w:id="1125" w:name="_Toc473238684"/>
      <w:bookmarkStart w:id="1126" w:name="_Toc476043751"/>
      <w:bookmarkStart w:id="1127" w:name="_Toc476071999"/>
      <w:bookmarkStart w:id="1128" w:name="_Toc497052973"/>
      <w:bookmarkStart w:id="1129" w:name="_Toc497147473"/>
      <w:bookmarkStart w:id="1130" w:name="_Toc497202173"/>
      <w:bookmarkStart w:id="1131" w:name="_Toc497202392"/>
      <w:bookmarkStart w:id="1132" w:name="_Toc497202631"/>
      <w:bookmarkStart w:id="1133" w:name="_Toc497202872"/>
      <w:bookmarkStart w:id="1134" w:name="_Toc500088195"/>
      <w:bookmarkStart w:id="1135" w:name="_Toc502652453"/>
      <w:bookmarkStart w:id="1136" w:name="_Toc506532766"/>
      <w:bookmarkStart w:id="1137" w:name="_Toc511387501"/>
      <w:bookmarkStart w:id="1138" w:name="_Toc44626883"/>
      <w:bookmarkStart w:id="1139" w:name="_Toc45269223"/>
      <w:bookmarkStart w:id="1140" w:name="_Toc45269768"/>
      <w:bookmarkStart w:id="1141" w:name="_Toc471814107"/>
      <w:bookmarkStart w:id="1142" w:name="_Toc471817029"/>
      <w:bookmarkStart w:id="1143" w:name="_Toc471819896"/>
      <w:bookmarkStart w:id="1144" w:name="_Toc473238685"/>
      <w:bookmarkStart w:id="1145" w:name="_Toc476043752"/>
      <w:bookmarkStart w:id="1146" w:name="_Toc476072000"/>
      <w:bookmarkStart w:id="1147" w:name="_Toc497052974"/>
      <w:bookmarkStart w:id="1148" w:name="_Toc497147474"/>
      <w:bookmarkStart w:id="1149" w:name="_Toc497202174"/>
      <w:bookmarkStart w:id="1150" w:name="_Toc497202393"/>
      <w:bookmarkStart w:id="1151" w:name="_Toc497202632"/>
      <w:bookmarkStart w:id="1152" w:name="_Toc497202873"/>
      <w:bookmarkStart w:id="1153" w:name="_Toc500088196"/>
      <w:bookmarkStart w:id="1154" w:name="_Toc502652454"/>
      <w:bookmarkStart w:id="1155" w:name="_Toc506532767"/>
      <w:bookmarkStart w:id="1156" w:name="_Toc511387502"/>
      <w:bookmarkStart w:id="1157" w:name="_Toc44626884"/>
      <w:bookmarkStart w:id="1158" w:name="_Toc45269224"/>
      <w:bookmarkStart w:id="1159" w:name="_Toc45269769"/>
      <w:bookmarkStart w:id="1160" w:name="_Toc473238686"/>
      <w:bookmarkStart w:id="1161" w:name="_Toc476043753"/>
      <w:bookmarkStart w:id="1162" w:name="_Toc476072001"/>
      <w:bookmarkStart w:id="1163" w:name="_Toc497052975"/>
      <w:bookmarkStart w:id="1164" w:name="_Toc497147475"/>
      <w:bookmarkStart w:id="1165" w:name="_Toc497202175"/>
      <w:bookmarkStart w:id="1166" w:name="_Toc497202394"/>
      <w:bookmarkStart w:id="1167" w:name="_Toc497202633"/>
      <w:bookmarkStart w:id="1168" w:name="_Toc497202874"/>
      <w:bookmarkStart w:id="1169" w:name="_Toc500088197"/>
      <w:bookmarkStart w:id="1170" w:name="_Toc502652455"/>
      <w:bookmarkStart w:id="1171" w:name="_Toc506532768"/>
      <w:bookmarkStart w:id="1172" w:name="_Toc511387503"/>
      <w:bookmarkStart w:id="1173" w:name="_Toc44626885"/>
      <w:bookmarkStart w:id="1174" w:name="_Toc45269225"/>
      <w:bookmarkStart w:id="1175" w:name="_Toc45269770"/>
      <w:bookmarkStart w:id="1176" w:name="_Toc473238687"/>
      <w:bookmarkStart w:id="1177" w:name="_Toc476043754"/>
      <w:bookmarkStart w:id="1178" w:name="_Toc476072002"/>
      <w:bookmarkStart w:id="1179" w:name="_Toc497052976"/>
      <w:bookmarkStart w:id="1180" w:name="_Toc497147476"/>
      <w:bookmarkStart w:id="1181" w:name="_Toc497202176"/>
      <w:bookmarkStart w:id="1182" w:name="_Toc497202395"/>
      <w:bookmarkStart w:id="1183" w:name="_Toc497202634"/>
      <w:bookmarkStart w:id="1184" w:name="_Toc497202875"/>
      <w:bookmarkStart w:id="1185" w:name="_Toc500088198"/>
      <w:bookmarkStart w:id="1186" w:name="_Toc502652456"/>
      <w:bookmarkStart w:id="1187" w:name="_Toc506532769"/>
      <w:bookmarkStart w:id="1188" w:name="_Toc511387504"/>
      <w:bookmarkStart w:id="1189" w:name="_Toc44626886"/>
      <w:bookmarkStart w:id="1190" w:name="_Toc45269226"/>
      <w:bookmarkStart w:id="1191" w:name="_Toc45269771"/>
      <w:bookmarkStart w:id="1192" w:name="_Toc497202177"/>
      <w:bookmarkStart w:id="1193" w:name="_Toc497202396"/>
      <w:bookmarkStart w:id="1194" w:name="_Toc497202635"/>
      <w:bookmarkStart w:id="1195" w:name="_Toc497202876"/>
      <w:bookmarkStart w:id="1196" w:name="_Toc500088199"/>
      <w:bookmarkStart w:id="1197" w:name="_Toc502652457"/>
      <w:bookmarkStart w:id="1198" w:name="_Toc506532770"/>
      <w:bookmarkStart w:id="1199" w:name="_Toc511387505"/>
      <w:bookmarkStart w:id="1200" w:name="_Toc44626887"/>
      <w:bookmarkStart w:id="1201" w:name="_Toc45269227"/>
      <w:bookmarkStart w:id="1202" w:name="_Toc45269772"/>
      <w:bookmarkStart w:id="1203" w:name="_Toc497202178"/>
      <w:bookmarkStart w:id="1204" w:name="_Toc497202397"/>
      <w:bookmarkStart w:id="1205" w:name="_Toc497202636"/>
      <w:bookmarkStart w:id="1206" w:name="_Toc497202877"/>
      <w:bookmarkStart w:id="1207" w:name="_Toc500088200"/>
      <w:bookmarkStart w:id="1208" w:name="_Toc502652458"/>
      <w:bookmarkStart w:id="1209" w:name="_Toc506532771"/>
      <w:bookmarkStart w:id="1210" w:name="_Toc511387506"/>
      <w:bookmarkStart w:id="1211" w:name="_Toc44626888"/>
      <w:bookmarkStart w:id="1212" w:name="_Toc45269228"/>
      <w:bookmarkStart w:id="1213" w:name="_Toc45269773"/>
      <w:bookmarkStart w:id="1214" w:name="_Toc497202179"/>
      <w:bookmarkStart w:id="1215" w:name="_Toc497202398"/>
      <w:bookmarkStart w:id="1216" w:name="_Toc497202637"/>
      <w:bookmarkStart w:id="1217" w:name="_Toc497202878"/>
      <w:bookmarkStart w:id="1218" w:name="_Toc500088201"/>
      <w:bookmarkStart w:id="1219" w:name="_Toc502652459"/>
      <w:bookmarkStart w:id="1220" w:name="_Toc506532772"/>
      <w:bookmarkStart w:id="1221" w:name="_Toc511387507"/>
      <w:bookmarkStart w:id="1222" w:name="_Toc44626889"/>
      <w:bookmarkStart w:id="1223" w:name="_Toc45269229"/>
      <w:bookmarkStart w:id="1224" w:name="_Toc45269774"/>
      <w:bookmarkStart w:id="1225" w:name="_Toc471814113"/>
      <w:bookmarkStart w:id="1226" w:name="_Toc471817035"/>
      <w:bookmarkStart w:id="1227" w:name="_Toc471819902"/>
      <w:bookmarkStart w:id="1228" w:name="_Toc473238693"/>
      <w:bookmarkStart w:id="1229" w:name="_Toc476043760"/>
      <w:bookmarkStart w:id="1230" w:name="_Toc476072008"/>
      <w:bookmarkStart w:id="1231" w:name="_Toc497052982"/>
      <w:bookmarkStart w:id="1232" w:name="_Toc497147482"/>
      <w:bookmarkStart w:id="1233" w:name="_Toc497202185"/>
      <w:bookmarkStart w:id="1234" w:name="_Toc497202404"/>
      <w:bookmarkStart w:id="1235" w:name="_Toc497202643"/>
      <w:bookmarkStart w:id="1236" w:name="_Toc497202884"/>
      <w:bookmarkStart w:id="1237" w:name="_Toc500088207"/>
      <w:bookmarkStart w:id="1238" w:name="_Toc502652465"/>
      <w:bookmarkStart w:id="1239" w:name="_Toc506532778"/>
      <w:bookmarkStart w:id="1240" w:name="_Toc511387513"/>
      <w:bookmarkStart w:id="1241" w:name="_Toc44626894"/>
      <w:bookmarkStart w:id="1242" w:name="_Toc45269234"/>
      <w:bookmarkStart w:id="1243" w:name="_Toc45269779"/>
      <w:bookmarkStart w:id="1244" w:name="_Toc471814114"/>
      <w:bookmarkStart w:id="1245" w:name="_Toc471817036"/>
      <w:bookmarkStart w:id="1246" w:name="_Toc471819903"/>
      <w:bookmarkStart w:id="1247" w:name="_Toc473238694"/>
      <w:bookmarkStart w:id="1248" w:name="_Toc476043761"/>
      <w:bookmarkStart w:id="1249" w:name="_Toc476072009"/>
      <w:bookmarkStart w:id="1250" w:name="_Toc497052983"/>
      <w:bookmarkStart w:id="1251" w:name="_Toc497147483"/>
      <w:bookmarkStart w:id="1252" w:name="_Toc497202186"/>
      <w:bookmarkStart w:id="1253" w:name="_Toc497202405"/>
      <w:bookmarkStart w:id="1254" w:name="_Toc497202644"/>
      <w:bookmarkStart w:id="1255" w:name="_Toc497202885"/>
      <w:bookmarkStart w:id="1256" w:name="_Toc500088208"/>
      <w:bookmarkStart w:id="1257" w:name="_Toc502652466"/>
      <w:bookmarkStart w:id="1258" w:name="_Toc506532779"/>
      <w:bookmarkStart w:id="1259" w:name="_Toc511387514"/>
      <w:bookmarkStart w:id="1260" w:name="_Toc44626895"/>
      <w:bookmarkStart w:id="1261" w:name="_Toc45269235"/>
      <w:bookmarkStart w:id="1262" w:name="_Toc45269780"/>
      <w:bookmarkStart w:id="1263" w:name="_Toc471814115"/>
      <w:bookmarkStart w:id="1264" w:name="_Toc471817037"/>
      <w:bookmarkStart w:id="1265" w:name="_Toc471819904"/>
      <w:bookmarkStart w:id="1266" w:name="_Toc473238695"/>
      <w:bookmarkStart w:id="1267" w:name="_Toc476043762"/>
      <w:bookmarkStart w:id="1268" w:name="_Toc476072010"/>
      <w:bookmarkStart w:id="1269" w:name="_Toc497052984"/>
      <w:bookmarkStart w:id="1270" w:name="_Toc497147484"/>
      <w:bookmarkStart w:id="1271" w:name="_Toc497202187"/>
      <w:bookmarkStart w:id="1272" w:name="_Toc497202406"/>
      <w:bookmarkStart w:id="1273" w:name="_Toc497202645"/>
      <w:bookmarkStart w:id="1274" w:name="_Toc497202886"/>
      <w:bookmarkStart w:id="1275" w:name="_Toc500088209"/>
      <w:bookmarkStart w:id="1276" w:name="_Toc502652467"/>
      <w:bookmarkStart w:id="1277" w:name="_Toc506532780"/>
      <w:bookmarkStart w:id="1278" w:name="_Toc511387515"/>
      <w:bookmarkStart w:id="1279" w:name="_Toc44626896"/>
      <w:bookmarkStart w:id="1280" w:name="_Toc45269236"/>
      <w:bookmarkStart w:id="1281" w:name="_Toc45269781"/>
      <w:bookmarkStart w:id="1282" w:name="_Toc473238696"/>
      <w:bookmarkStart w:id="1283" w:name="_Toc476043763"/>
      <w:bookmarkStart w:id="1284" w:name="_Toc476072011"/>
      <w:bookmarkStart w:id="1285" w:name="_Toc497052985"/>
      <w:bookmarkStart w:id="1286" w:name="_Toc497147485"/>
      <w:bookmarkStart w:id="1287" w:name="_Toc497202188"/>
      <w:bookmarkStart w:id="1288" w:name="_Toc497202407"/>
      <w:bookmarkStart w:id="1289" w:name="_Toc497202646"/>
      <w:bookmarkStart w:id="1290" w:name="_Toc497202887"/>
      <w:bookmarkStart w:id="1291" w:name="_Toc500088210"/>
      <w:bookmarkStart w:id="1292" w:name="_Toc502652468"/>
      <w:bookmarkStart w:id="1293" w:name="_Toc506532781"/>
      <w:bookmarkStart w:id="1294" w:name="_Toc511387516"/>
      <w:bookmarkStart w:id="1295" w:name="_Toc44626897"/>
      <w:bookmarkStart w:id="1296" w:name="_Toc45269237"/>
      <w:bookmarkStart w:id="1297" w:name="_Toc45269782"/>
      <w:bookmarkStart w:id="1298" w:name="_Toc497202189"/>
      <w:bookmarkStart w:id="1299" w:name="_Toc497202408"/>
      <w:bookmarkStart w:id="1300" w:name="_Toc497202647"/>
      <w:bookmarkStart w:id="1301" w:name="_Toc497202888"/>
      <w:bookmarkStart w:id="1302" w:name="_Toc500088211"/>
      <w:bookmarkStart w:id="1303" w:name="_Toc502652469"/>
      <w:bookmarkStart w:id="1304" w:name="_Toc506532782"/>
      <w:bookmarkStart w:id="1305" w:name="_Toc511387517"/>
      <w:bookmarkStart w:id="1306" w:name="_Toc44626898"/>
      <w:bookmarkStart w:id="1307" w:name="_Toc45269238"/>
      <w:bookmarkStart w:id="1308" w:name="_Toc45269783"/>
      <w:bookmarkStart w:id="1309" w:name="_Toc497202190"/>
      <w:bookmarkStart w:id="1310" w:name="_Toc497202409"/>
      <w:bookmarkStart w:id="1311" w:name="_Toc497202648"/>
      <w:bookmarkStart w:id="1312" w:name="_Toc497202889"/>
      <w:bookmarkStart w:id="1313" w:name="_Toc500088212"/>
      <w:bookmarkStart w:id="1314" w:name="_Toc502652470"/>
      <w:bookmarkStart w:id="1315" w:name="_Toc506532783"/>
      <w:bookmarkStart w:id="1316" w:name="_Toc511387518"/>
      <w:bookmarkStart w:id="1317" w:name="_Toc44626899"/>
      <w:bookmarkStart w:id="1318" w:name="_Toc45269239"/>
      <w:bookmarkStart w:id="1319" w:name="_Toc45269784"/>
      <w:bookmarkStart w:id="1320" w:name="_Toc497202191"/>
      <w:bookmarkStart w:id="1321" w:name="_Toc497202410"/>
      <w:bookmarkStart w:id="1322" w:name="_Toc497202649"/>
      <w:bookmarkStart w:id="1323" w:name="_Toc497202890"/>
      <w:bookmarkStart w:id="1324" w:name="_Toc500088213"/>
      <w:bookmarkStart w:id="1325" w:name="_Toc502652471"/>
      <w:bookmarkStart w:id="1326" w:name="_Toc506532784"/>
      <w:bookmarkStart w:id="1327" w:name="_Toc511387519"/>
      <w:bookmarkStart w:id="1328" w:name="_Toc44626900"/>
      <w:bookmarkStart w:id="1329" w:name="_Toc45269240"/>
      <w:bookmarkStart w:id="1330" w:name="_Toc45269785"/>
      <w:bookmarkStart w:id="1331" w:name="_Toc505616710"/>
      <w:bookmarkStart w:id="1332" w:name="_Toc33371491"/>
      <w:bookmarkStart w:id="1333" w:name="_Toc33464259"/>
      <w:bookmarkStart w:id="1334" w:name="_Toc34548367"/>
      <w:bookmarkStart w:id="1335" w:name="_Toc37426806"/>
      <w:bookmarkStart w:id="1336" w:name="_Toc44626903"/>
      <w:bookmarkStart w:id="1337" w:name="_Toc45269243"/>
      <w:bookmarkStart w:id="1338" w:name="_Toc45269788"/>
      <w:bookmarkStart w:id="1339" w:name="_Toc505616711"/>
      <w:bookmarkStart w:id="1340" w:name="_Toc33371492"/>
      <w:bookmarkStart w:id="1341" w:name="_Toc33464260"/>
      <w:bookmarkStart w:id="1342" w:name="_Toc34548368"/>
      <w:bookmarkStart w:id="1343" w:name="_Toc37426807"/>
      <w:bookmarkStart w:id="1344" w:name="_Toc44626904"/>
      <w:bookmarkStart w:id="1345" w:name="_Toc45269244"/>
      <w:bookmarkStart w:id="1346" w:name="_Toc45269789"/>
      <w:bookmarkStart w:id="1347" w:name="_Toc505616712"/>
      <w:bookmarkStart w:id="1348" w:name="_Toc33371493"/>
      <w:bookmarkStart w:id="1349" w:name="_Toc33464261"/>
      <w:bookmarkStart w:id="1350" w:name="_Toc34548369"/>
      <w:bookmarkStart w:id="1351" w:name="_Toc37426808"/>
      <w:bookmarkStart w:id="1352" w:name="_Toc44626905"/>
      <w:bookmarkStart w:id="1353" w:name="_Toc45269245"/>
      <w:bookmarkStart w:id="1354" w:name="_Toc45269790"/>
      <w:bookmarkStart w:id="1355" w:name="_Toc505616713"/>
      <w:bookmarkStart w:id="1356" w:name="_Toc33371494"/>
      <w:bookmarkStart w:id="1357" w:name="_Toc33464262"/>
      <w:bookmarkStart w:id="1358" w:name="_Toc34548370"/>
      <w:bookmarkStart w:id="1359" w:name="_Toc37426809"/>
      <w:bookmarkStart w:id="1360" w:name="_Toc44626906"/>
      <w:bookmarkStart w:id="1361" w:name="_Toc45269246"/>
      <w:bookmarkStart w:id="1362" w:name="_Toc45269791"/>
      <w:bookmarkStart w:id="1363" w:name="_Toc505616714"/>
      <w:bookmarkStart w:id="1364" w:name="_Toc33371495"/>
      <w:bookmarkStart w:id="1365" w:name="_Toc33464263"/>
      <w:bookmarkStart w:id="1366" w:name="_Toc34548371"/>
      <w:bookmarkStart w:id="1367" w:name="_Toc37426810"/>
      <w:bookmarkStart w:id="1368" w:name="_Toc44626907"/>
      <w:bookmarkStart w:id="1369" w:name="_Toc45269247"/>
      <w:bookmarkStart w:id="1370" w:name="_Toc45269792"/>
      <w:bookmarkStart w:id="1371" w:name="_Toc505616715"/>
      <w:bookmarkStart w:id="1372" w:name="_Toc33371496"/>
      <w:bookmarkStart w:id="1373" w:name="_Toc33464264"/>
      <w:bookmarkStart w:id="1374" w:name="_Toc34548372"/>
      <w:bookmarkStart w:id="1375" w:name="_Toc37426811"/>
      <w:bookmarkStart w:id="1376" w:name="_Toc44626908"/>
      <w:bookmarkStart w:id="1377" w:name="_Toc45269248"/>
      <w:bookmarkStart w:id="1378" w:name="_Toc45269793"/>
      <w:bookmarkStart w:id="1379" w:name="_Toc505616716"/>
      <w:bookmarkStart w:id="1380" w:name="_Toc33371497"/>
      <w:bookmarkStart w:id="1381" w:name="_Toc33464265"/>
      <w:bookmarkStart w:id="1382" w:name="_Toc34548373"/>
      <w:bookmarkStart w:id="1383" w:name="_Toc37426812"/>
      <w:bookmarkStart w:id="1384" w:name="_Toc44626909"/>
      <w:bookmarkStart w:id="1385" w:name="_Toc45269249"/>
      <w:bookmarkStart w:id="1386" w:name="_Toc45269794"/>
      <w:bookmarkStart w:id="1387" w:name="_Toc473238719"/>
      <w:bookmarkStart w:id="1388" w:name="_Toc476043778"/>
      <w:bookmarkStart w:id="1389" w:name="_Toc476072026"/>
      <w:bookmarkStart w:id="1390" w:name="_Toc497053000"/>
      <w:bookmarkStart w:id="1391" w:name="_Toc497147500"/>
      <w:bookmarkStart w:id="1392" w:name="_Toc497202209"/>
      <w:bookmarkStart w:id="1393" w:name="_Toc497202428"/>
      <w:bookmarkStart w:id="1394" w:name="_Toc497202667"/>
      <w:bookmarkStart w:id="1395" w:name="_Toc497202908"/>
      <w:bookmarkStart w:id="1396" w:name="_Toc500088231"/>
      <w:bookmarkStart w:id="1397" w:name="_Toc502652489"/>
      <w:bookmarkStart w:id="1398" w:name="_Toc506532797"/>
      <w:bookmarkStart w:id="1399" w:name="_Toc511387532"/>
      <w:bookmarkStart w:id="1400" w:name="_Toc44626922"/>
      <w:bookmarkStart w:id="1401" w:name="_Toc45269262"/>
      <w:bookmarkStart w:id="1402" w:name="_Toc45269807"/>
      <w:bookmarkStart w:id="1403" w:name="_Toc500088232"/>
      <w:bookmarkStart w:id="1404" w:name="_Toc502652490"/>
      <w:bookmarkStart w:id="1405" w:name="_Toc506532798"/>
      <w:bookmarkStart w:id="1406" w:name="_Toc511387533"/>
      <w:bookmarkStart w:id="1407" w:name="_Toc44626923"/>
      <w:bookmarkStart w:id="1408" w:name="_Toc45269263"/>
      <w:bookmarkStart w:id="1409" w:name="_Toc45269808"/>
      <w:bookmarkStart w:id="1410" w:name="_Toc500088233"/>
      <w:bookmarkStart w:id="1411" w:name="_Toc502652491"/>
      <w:bookmarkStart w:id="1412" w:name="_Toc506532799"/>
      <w:bookmarkStart w:id="1413" w:name="_Toc511387534"/>
      <w:bookmarkStart w:id="1414" w:name="_Toc44626924"/>
      <w:bookmarkStart w:id="1415" w:name="_Toc45269264"/>
      <w:bookmarkStart w:id="1416" w:name="_Toc45269809"/>
      <w:bookmarkStart w:id="1417" w:name="_Toc500088234"/>
      <w:bookmarkStart w:id="1418" w:name="_Toc502652492"/>
      <w:bookmarkStart w:id="1419" w:name="_Toc506532800"/>
      <w:bookmarkStart w:id="1420" w:name="_Toc511387535"/>
      <w:bookmarkStart w:id="1421" w:name="_Toc44626925"/>
      <w:bookmarkStart w:id="1422" w:name="_Toc45269265"/>
      <w:bookmarkStart w:id="1423" w:name="_Toc45269810"/>
      <w:bookmarkStart w:id="1424" w:name="_Toc500088235"/>
      <w:bookmarkStart w:id="1425" w:name="_Toc502652493"/>
      <w:bookmarkStart w:id="1426" w:name="_Toc506532801"/>
      <w:bookmarkStart w:id="1427" w:name="_Toc511387536"/>
      <w:bookmarkStart w:id="1428" w:name="_Toc44626926"/>
      <w:bookmarkStart w:id="1429" w:name="_Toc45269266"/>
      <w:bookmarkStart w:id="1430" w:name="_Toc45269811"/>
      <w:bookmarkStart w:id="1431" w:name="_Toc500088236"/>
      <w:bookmarkStart w:id="1432" w:name="_Toc502652494"/>
      <w:bookmarkStart w:id="1433" w:name="_Toc506532802"/>
      <w:bookmarkStart w:id="1434" w:name="_Toc511387537"/>
      <w:bookmarkStart w:id="1435" w:name="_Toc44626927"/>
      <w:bookmarkStart w:id="1436" w:name="_Toc45269267"/>
      <w:bookmarkStart w:id="1437" w:name="_Toc45269812"/>
      <w:bookmarkStart w:id="1438" w:name="_Toc500088237"/>
      <w:bookmarkStart w:id="1439" w:name="_Toc502652495"/>
      <w:bookmarkStart w:id="1440" w:name="_Toc506532803"/>
      <w:bookmarkStart w:id="1441" w:name="_Toc511387538"/>
      <w:bookmarkStart w:id="1442" w:name="_Toc44626928"/>
      <w:bookmarkStart w:id="1443" w:name="_Toc45269268"/>
      <w:bookmarkStart w:id="1444" w:name="_Toc45269813"/>
      <w:bookmarkStart w:id="1445" w:name="_Toc500088238"/>
      <w:bookmarkStart w:id="1446" w:name="_Toc502652496"/>
      <w:bookmarkStart w:id="1447" w:name="_Toc506532804"/>
      <w:bookmarkStart w:id="1448" w:name="_Toc511387539"/>
      <w:bookmarkStart w:id="1449" w:name="_Toc44626929"/>
      <w:bookmarkStart w:id="1450" w:name="_Toc45269269"/>
      <w:bookmarkStart w:id="1451" w:name="_Toc45269814"/>
      <w:bookmarkStart w:id="1452" w:name="_Toc471817053"/>
      <w:bookmarkStart w:id="1453" w:name="_Toc471819920"/>
      <w:bookmarkStart w:id="1454" w:name="_Toc473238727"/>
      <w:bookmarkStart w:id="1455" w:name="_Toc476043786"/>
      <w:bookmarkStart w:id="1456" w:name="_Toc476072034"/>
      <w:bookmarkStart w:id="1457" w:name="_Toc497053008"/>
      <w:bookmarkStart w:id="1458" w:name="_Toc497147508"/>
      <w:bookmarkStart w:id="1459" w:name="_Toc497202217"/>
      <w:bookmarkStart w:id="1460" w:name="_Toc497202436"/>
      <w:bookmarkStart w:id="1461" w:name="_Toc497202675"/>
      <w:bookmarkStart w:id="1462" w:name="_Toc497202916"/>
      <w:bookmarkStart w:id="1463" w:name="_Toc500088240"/>
      <w:bookmarkStart w:id="1464" w:name="_Toc502652498"/>
      <w:bookmarkStart w:id="1465" w:name="_Toc506532806"/>
      <w:bookmarkStart w:id="1466" w:name="_Toc511387541"/>
      <w:bookmarkStart w:id="1467" w:name="_Toc44626931"/>
      <w:bookmarkStart w:id="1468" w:name="_Toc45269271"/>
      <w:bookmarkStart w:id="1469" w:name="_Toc45269816"/>
      <w:bookmarkStart w:id="1470" w:name="_Toc473238728"/>
      <w:bookmarkStart w:id="1471" w:name="_Toc476043787"/>
      <w:bookmarkStart w:id="1472" w:name="_Toc476072035"/>
      <w:bookmarkStart w:id="1473" w:name="_Toc497053009"/>
      <w:bookmarkStart w:id="1474" w:name="_Toc497147509"/>
      <w:bookmarkStart w:id="1475" w:name="_Toc497202218"/>
      <w:bookmarkStart w:id="1476" w:name="_Toc497202437"/>
      <w:bookmarkStart w:id="1477" w:name="_Toc497202676"/>
      <w:bookmarkStart w:id="1478" w:name="_Toc497202917"/>
      <w:bookmarkStart w:id="1479" w:name="_Toc500088241"/>
      <w:bookmarkStart w:id="1480" w:name="_Toc502652499"/>
      <w:bookmarkStart w:id="1481" w:name="_Toc506532807"/>
      <w:bookmarkStart w:id="1482" w:name="_Toc511387542"/>
      <w:bookmarkStart w:id="1483" w:name="_Toc44626932"/>
      <w:bookmarkStart w:id="1484" w:name="_Toc45269272"/>
      <w:bookmarkStart w:id="1485" w:name="_Toc45269817"/>
      <w:bookmarkStart w:id="1486" w:name="_Toc500088242"/>
      <w:bookmarkStart w:id="1487" w:name="_Toc502652500"/>
      <w:bookmarkStart w:id="1488" w:name="_Toc506532808"/>
      <w:bookmarkStart w:id="1489" w:name="_Toc511387543"/>
      <w:bookmarkStart w:id="1490" w:name="_Toc44626933"/>
      <w:bookmarkStart w:id="1491" w:name="_Toc45269273"/>
      <w:bookmarkStart w:id="1492" w:name="_Toc45269818"/>
      <w:bookmarkStart w:id="1493" w:name="_Toc500088243"/>
      <w:bookmarkStart w:id="1494" w:name="_Toc502652501"/>
      <w:bookmarkStart w:id="1495" w:name="_Toc506532809"/>
      <w:bookmarkStart w:id="1496" w:name="_Toc511387544"/>
      <w:bookmarkStart w:id="1497" w:name="_Toc44626934"/>
      <w:bookmarkStart w:id="1498" w:name="_Toc45269274"/>
      <w:bookmarkStart w:id="1499" w:name="_Toc45269819"/>
      <w:bookmarkStart w:id="1500" w:name="_Toc500088244"/>
      <w:bookmarkStart w:id="1501" w:name="_Toc502652502"/>
      <w:bookmarkStart w:id="1502" w:name="_Toc506532810"/>
      <w:bookmarkStart w:id="1503" w:name="_Toc511387545"/>
      <w:bookmarkStart w:id="1504" w:name="_Toc44626935"/>
      <w:bookmarkStart w:id="1505" w:name="_Toc45269275"/>
      <w:bookmarkStart w:id="1506" w:name="_Toc45269820"/>
      <w:bookmarkStart w:id="1507" w:name="_Toc419295734"/>
      <w:bookmarkStart w:id="1508" w:name="_Toc419298267"/>
      <w:bookmarkStart w:id="1509" w:name="_Toc419298423"/>
      <w:bookmarkStart w:id="1510" w:name="_Toc419298579"/>
      <w:bookmarkStart w:id="1511" w:name="_Toc419298735"/>
      <w:bookmarkStart w:id="1512" w:name="_Toc419298891"/>
      <w:bookmarkStart w:id="1513" w:name="_Toc423711609"/>
      <w:bookmarkStart w:id="1514" w:name="_Toc424487335"/>
      <w:bookmarkStart w:id="1515" w:name="_Toc426666556"/>
      <w:bookmarkStart w:id="1516" w:name="_Toc471757442"/>
      <w:bookmarkStart w:id="1517" w:name="_Toc471814137"/>
      <w:bookmarkStart w:id="1518" w:name="_Toc471817063"/>
      <w:bookmarkStart w:id="1519" w:name="_Toc471819930"/>
      <w:bookmarkStart w:id="1520" w:name="_Toc473238737"/>
      <w:bookmarkStart w:id="1521" w:name="_Toc476043796"/>
      <w:bookmarkStart w:id="1522" w:name="_Toc476072044"/>
      <w:bookmarkStart w:id="1523" w:name="_Toc497053018"/>
      <w:bookmarkStart w:id="1524" w:name="_Toc497147520"/>
      <w:bookmarkStart w:id="1525" w:name="_Toc497202229"/>
      <w:bookmarkStart w:id="1526" w:name="_Toc497202446"/>
      <w:bookmarkStart w:id="1527" w:name="_Toc497202685"/>
      <w:bookmarkStart w:id="1528" w:name="_Toc497202926"/>
      <w:bookmarkStart w:id="1529" w:name="_Toc500088253"/>
      <w:bookmarkStart w:id="1530" w:name="_Toc502652511"/>
      <w:bookmarkStart w:id="1531" w:name="_Toc506532818"/>
      <w:bookmarkStart w:id="1532" w:name="_Toc511387553"/>
      <w:bookmarkStart w:id="1533" w:name="_Toc44626943"/>
      <w:bookmarkStart w:id="1534" w:name="_Toc45269283"/>
      <w:bookmarkStart w:id="1535" w:name="_Toc45269828"/>
      <w:bookmarkStart w:id="1536" w:name="_Toc419295735"/>
      <w:bookmarkStart w:id="1537" w:name="_Toc419298268"/>
      <w:bookmarkStart w:id="1538" w:name="_Toc419298424"/>
      <w:bookmarkStart w:id="1539" w:name="_Toc419298580"/>
      <w:bookmarkStart w:id="1540" w:name="_Toc419298736"/>
      <w:bookmarkStart w:id="1541" w:name="_Toc419298892"/>
      <w:bookmarkStart w:id="1542" w:name="_Toc423711610"/>
      <w:bookmarkStart w:id="1543" w:name="_Toc424487336"/>
      <w:bookmarkStart w:id="1544" w:name="_Toc426666557"/>
      <w:bookmarkStart w:id="1545" w:name="_Toc471757443"/>
      <w:bookmarkStart w:id="1546" w:name="_Toc471814138"/>
      <w:bookmarkStart w:id="1547" w:name="_Toc471817064"/>
      <w:bookmarkStart w:id="1548" w:name="_Toc471819931"/>
      <w:bookmarkStart w:id="1549" w:name="_Toc473238738"/>
      <w:bookmarkStart w:id="1550" w:name="_Toc476043797"/>
      <w:bookmarkStart w:id="1551" w:name="_Toc476072045"/>
      <w:bookmarkStart w:id="1552" w:name="_Toc497053019"/>
      <w:bookmarkStart w:id="1553" w:name="_Toc497147521"/>
      <w:bookmarkStart w:id="1554" w:name="_Toc497202230"/>
      <w:bookmarkStart w:id="1555" w:name="_Toc497202447"/>
      <w:bookmarkStart w:id="1556" w:name="_Toc497202686"/>
      <w:bookmarkStart w:id="1557" w:name="_Toc497202927"/>
      <w:bookmarkStart w:id="1558" w:name="_Toc500088254"/>
      <w:bookmarkStart w:id="1559" w:name="_Toc502652512"/>
      <w:bookmarkStart w:id="1560" w:name="_Toc506532819"/>
      <w:bookmarkStart w:id="1561" w:name="_Toc511387554"/>
      <w:bookmarkStart w:id="1562" w:name="_Toc44626944"/>
      <w:bookmarkStart w:id="1563" w:name="_Toc45269284"/>
      <w:bookmarkStart w:id="1564" w:name="_Toc45269829"/>
      <w:bookmarkStart w:id="1565" w:name="_Toc419295736"/>
      <w:bookmarkStart w:id="1566" w:name="_Toc419298269"/>
      <w:bookmarkStart w:id="1567" w:name="_Toc419298425"/>
      <w:bookmarkStart w:id="1568" w:name="_Toc419298581"/>
      <w:bookmarkStart w:id="1569" w:name="_Toc419298737"/>
      <w:bookmarkStart w:id="1570" w:name="_Toc419298893"/>
      <w:bookmarkStart w:id="1571" w:name="_Toc423711611"/>
      <w:bookmarkStart w:id="1572" w:name="_Toc424487337"/>
      <w:bookmarkStart w:id="1573" w:name="_Toc426666558"/>
      <w:bookmarkStart w:id="1574" w:name="_Toc471757444"/>
      <w:bookmarkStart w:id="1575" w:name="_Toc471814139"/>
      <w:bookmarkStart w:id="1576" w:name="_Toc471817065"/>
      <w:bookmarkStart w:id="1577" w:name="_Toc471819932"/>
      <w:bookmarkStart w:id="1578" w:name="_Toc473238739"/>
      <w:bookmarkStart w:id="1579" w:name="_Toc476043798"/>
      <w:bookmarkStart w:id="1580" w:name="_Toc476072046"/>
      <w:bookmarkStart w:id="1581" w:name="_Toc497053020"/>
      <w:bookmarkStart w:id="1582" w:name="_Toc497147522"/>
      <w:bookmarkStart w:id="1583" w:name="_Toc497202231"/>
      <w:bookmarkStart w:id="1584" w:name="_Toc497202448"/>
      <w:bookmarkStart w:id="1585" w:name="_Toc497202687"/>
      <w:bookmarkStart w:id="1586" w:name="_Toc497202928"/>
      <w:bookmarkStart w:id="1587" w:name="_Toc500088255"/>
      <w:bookmarkStart w:id="1588" w:name="_Toc502652513"/>
      <w:bookmarkStart w:id="1589" w:name="_Toc506532820"/>
      <w:bookmarkStart w:id="1590" w:name="_Toc511387555"/>
      <w:bookmarkStart w:id="1591" w:name="_Toc44626945"/>
      <w:bookmarkStart w:id="1592" w:name="_Toc45269285"/>
      <w:bookmarkStart w:id="1593" w:name="_Toc45269830"/>
      <w:bookmarkStart w:id="1594" w:name="_Toc419295737"/>
      <w:bookmarkStart w:id="1595" w:name="_Toc419298270"/>
      <w:bookmarkStart w:id="1596" w:name="_Toc419298426"/>
      <w:bookmarkStart w:id="1597" w:name="_Toc419298582"/>
      <w:bookmarkStart w:id="1598" w:name="_Toc419298738"/>
      <w:bookmarkStart w:id="1599" w:name="_Toc419298894"/>
      <w:bookmarkStart w:id="1600" w:name="_Toc423711612"/>
      <w:bookmarkStart w:id="1601" w:name="_Toc424487338"/>
      <w:bookmarkStart w:id="1602" w:name="_Toc426666559"/>
      <w:bookmarkStart w:id="1603" w:name="_Toc471757445"/>
      <w:bookmarkStart w:id="1604" w:name="_Toc471814140"/>
      <w:bookmarkStart w:id="1605" w:name="_Toc471817066"/>
      <w:bookmarkStart w:id="1606" w:name="_Toc471819933"/>
      <w:bookmarkStart w:id="1607" w:name="_Toc473238740"/>
      <w:bookmarkStart w:id="1608" w:name="_Toc476043799"/>
      <w:bookmarkStart w:id="1609" w:name="_Toc476072047"/>
      <w:bookmarkStart w:id="1610" w:name="_Toc497053021"/>
      <w:bookmarkStart w:id="1611" w:name="_Toc497147523"/>
      <w:bookmarkStart w:id="1612" w:name="_Toc497202232"/>
      <w:bookmarkStart w:id="1613" w:name="_Toc497202449"/>
      <w:bookmarkStart w:id="1614" w:name="_Toc497202688"/>
      <w:bookmarkStart w:id="1615" w:name="_Toc497202929"/>
      <w:bookmarkStart w:id="1616" w:name="_Toc500088256"/>
      <w:bookmarkStart w:id="1617" w:name="_Toc502652514"/>
      <w:bookmarkStart w:id="1618" w:name="_Toc506532821"/>
      <w:bookmarkStart w:id="1619" w:name="_Toc511387556"/>
      <w:bookmarkStart w:id="1620" w:name="_Toc44626946"/>
      <w:bookmarkStart w:id="1621" w:name="_Toc45269286"/>
      <w:bookmarkStart w:id="1622" w:name="_Toc45269831"/>
      <w:bookmarkStart w:id="1623" w:name="_Toc419295738"/>
      <w:bookmarkStart w:id="1624" w:name="_Toc419298271"/>
      <w:bookmarkStart w:id="1625" w:name="_Toc419298427"/>
      <w:bookmarkStart w:id="1626" w:name="_Toc419298583"/>
      <w:bookmarkStart w:id="1627" w:name="_Toc419298739"/>
      <w:bookmarkStart w:id="1628" w:name="_Toc419298895"/>
      <w:bookmarkStart w:id="1629" w:name="_Toc423711613"/>
      <w:bookmarkStart w:id="1630" w:name="_Toc424487339"/>
      <w:bookmarkStart w:id="1631" w:name="_Toc426666560"/>
      <w:bookmarkStart w:id="1632" w:name="_Toc471757446"/>
      <w:bookmarkStart w:id="1633" w:name="_Toc471814141"/>
      <w:bookmarkStart w:id="1634" w:name="_Toc471817067"/>
      <w:bookmarkStart w:id="1635" w:name="_Toc471819934"/>
      <w:bookmarkStart w:id="1636" w:name="_Toc473238741"/>
      <w:bookmarkStart w:id="1637" w:name="_Toc476043800"/>
      <w:bookmarkStart w:id="1638" w:name="_Toc476072048"/>
      <w:bookmarkStart w:id="1639" w:name="_Toc497053022"/>
      <w:bookmarkStart w:id="1640" w:name="_Toc497147524"/>
      <w:bookmarkStart w:id="1641" w:name="_Toc497202233"/>
      <w:bookmarkStart w:id="1642" w:name="_Toc497202450"/>
      <w:bookmarkStart w:id="1643" w:name="_Toc497202689"/>
      <w:bookmarkStart w:id="1644" w:name="_Toc497202930"/>
      <w:bookmarkStart w:id="1645" w:name="_Toc500088257"/>
      <w:bookmarkStart w:id="1646" w:name="_Toc502652515"/>
      <w:bookmarkStart w:id="1647" w:name="_Toc506532822"/>
      <w:bookmarkStart w:id="1648" w:name="_Toc511387557"/>
      <w:bookmarkStart w:id="1649" w:name="_Toc44626947"/>
      <w:bookmarkStart w:id="1650" w:name="_Toc45269287"/>
      <w:bookmarkStart w:id="1651" w:name="_Toc45269832"/>
      <w:bookmarkStart w:id="1652" w:name="_Toc419295739"/>
      <w:bookmarkStart w:id="1653" w:name="_Toc419298272"/>
      <w:bookmarkStart w:id="1654" w:name="_Toc419298428"/>
      <w:bookmarkStart w:id="1655" w:name="_Toc419298584"/>
      <w:bookmarkStart w:id="1656" w:name="_Toc419298740"/>
      <w:bookmarkStart w:id="1657" w:name="_Toc419298896"/>
      <w:bookmarkStart w:id="1658" w:name="_Toc423711614"/>
      <w:bookmarkStart w:id="1659" w:name="_Toc424487340"/>
      <w:bookmarkStart w:id="1660" w:name="_Toc426666561"/>
      <w:bookmarkStart w:id="1661" w:name="_Toc471757447"/>
      <w:bookmarkStart w:id="1662" w:name="_Toc471814142"/>
      <w:bookmarkStart w:id="1663" w:name="_Toc471817068"/>
      <w:bookmarkStart w:id="1664" w:name="_Toc471819935"/>
      <w:bookmarkStart w:id="1665" w:name="_Toc473238742"/>
      <w:bookmarkStart w:id="1666" w:name="_Toc476043801"/>
      <w:bookmarkStart w:id="1667" w:name="_Toc476072049"/>
      <w:bookmarkStart w:id="1668" w:name="_Toc497053023"/>
      <w:bookmarkStart w:id="1669" w:name="_Toc497147525"/>
      <w:bookmarkStart w:id="1670" w:name="_Toc497202234"/>
      <w:bookmarkStart w:id="1671" w:name="_Toc497202451"/>
      <w:bookmarkStart w:id="1672" w:name="_Toc497202690"/>
      <w:bookmarkStart w:id="1673" w:name="_Toc497202931"/>
      <w:bookmarkStart w:id="1674" w:name="_Toc500088258"/>
      <w:bookmarkStart w:id="1675" w:name="_Toc502652516"/>
      <w:bookmarkStart w:id="1676" w:name="_Toc506532823"/>
      <w:bookmarkStart w:id="1677" w:name="_Toc511387558"/>
      <w:bookmarkStart w:id="1678" w:name="_Toc44626948"/>
      <w:bookmarkStart w:id="1679" w:name="_Toc45269288"/>
      <w:bookmarkStart w:id="1680" w:name="_Toc45269833"/>
      <w:bookmarkStart w:id="1681" w:name="_Toc419295740"/>
      <w:bookmarkStart w:id="1682" w:name="_Toc419298273"/>
      <w:bookmarkStart w:id="1683" w:name="_Toc419298429"/>
      <w:bookmarkStart w:id="1684" w:name="_Toc419298585"/>
      <w:bookmarkStart w:id="1685" w:name="_Toc419298741"/>
      <w:bookmarkStart w:id="1686" w:name="_Toc419298897"/>
      <w:bookmarkStart w:id="1687" w:name="_Toc423711615"/>
      <w:bookmarkStart w:id="1688" w:name="_Toc424487341"/>
      <w:bookmarkStart w:id="1689" w:name="_Toc426666562"/>
      <w:bookmarkStart w:id="1690" w:name="_Toc471757448"/>
      <w:bookmarkStart w:id="1691" w:name="_Toc471814143"/>
      <w:bookmarkStart w:id="1692" w:name="_Toc471817069"/>
      <w:bookmarkStart w:id="1693" w:name="_Toc471819936"/>
      <w:bookmarkStart w:id="1694" w:name="_Toc473238743"/>
      <w:bookmarkStart w:id="1695" w:name="_Toc476043802"/>
      <w:bookmarkStart w:id="1696" w:name="_Toc476072050"/>
      <w:bookmarkStart w:id="1697" w:name="_Toc497053024"/>
      <w:bookmarkStart w:id="1698" w:name="_Toc497147526"/>
      <w:bookmarkStart w:id="1699" w:name="_Toc497202235"/>
      <w:bookmarkStart w:id="1700" w:name="_Toc497202452"/>
      <w:bookmarkStart w:id="1701" w:name="_Toc497202691"/>
      <w:bookmarkStart w:id="1702" w:name="_Toc497202932"/>
      <w:bookmarkStart w:id="1703" w:name="_Toc500088259"/>
      <w:bookmarkStart w:id="1704" w:name="_Toc502652517"/>
      <w:bookmarkStart w:id="1705" w:name="_Toc506532824"/>
      <w:bookmarkStart w:id="1706" w:name="_Toc511387559"/>
      <w:bookmarkStart w:id="1707" w:name="_Toc44626949"/>
      <w:bookmarkStart w:id="1708" w:name="_Toc45269289"/>
      <w:bookmarkStart w:id="1709" w:name="_Toc45269834"/>
      <w:bookmarkStart w:id="1710" w:name="_Toc419295741"/>
      <w:bookmarkStart w:id="1711" w:name="_Toc419298274"/>
      <w:bookmarkStart w:id="1712" w:name="_Toc419298430"/>
      <w:bookmarkStart w:id="1713" w:name="_Toc419298586"/>
      <w:bookmarkStart w:id="1714" w:name="_Toc419298742"/>
      <w:bookmarkStart w:id="1715" w:name="_Toc419298898"/>
      <w:bookmarkStart w:id="1716" w:name="_Toc423711616"/>
      <w:bookmarkStart w:id="1717" w:name="_Toc424487342"/>
      <w:bookmarkStart w:id="1718" w:name="_Toc426666563"/>
      <w:bookmarkStart w:id="1719" w:name="_Toc471757449"/>
      <w:bookmarkStart w:id="1720" w:name="_Toc471814144"/>
      <w:bookmarkStart w:id="1721" w:name="_Toc471817070"/>
      <w:bookmarkStart w:id="1722" w:name="_Toc471819937"/>
      <w:bookmarkStart w:id="1723" w:name="_Toc473238744"/>
      <w:bookmarkStart w:id="1724" w:name="_Toc476043803"/>
      <w:bookmarkStart w:id="1725" w:name="_Toc476072051"/>
      <w:bookmarkStart w:id="1726" w:name="_Toc497053025"/>
      <w:bookmarkStart w:id="1727" w:name="_Toc497147527"/>
      <w:bookmarkStart w:id="1728" w:name="_Toc497202236"/>
      <w:bookmarkStart w:id="1729" w:name="_Toc497202453"/>
      <w:bookmarkStart w:id="1730" w:name="_Toc497202692"/>
      <w:bookmarkStart w:id="1731" w:name="_Toc497202933"/>
      <w:bookmarkStart w:id="1732" w:name="_Toc500088260"/>
      <w:bookmarkStart w:id="1733" w:name="_Toc502652518"/>
      <w:bookmarkStart w:id="1734" w:name="_Toc506532825"/>
      <w:bookmarkStart w:id="1735" w:name="_Toc511387560"/>
      <w:bookmarkStart w:id="1736" w:name="_Toc44626950"/>
      <w:bookmarkStart w:id="1737" w:name="_Toc45269290"/>
      <w:bookmarkStart w:id="1738" w:name="_Toc45269835"/>
      <w:bookmarkStart w:id="1739" w:name="_Toc471817071"/>
      <w:bookmarkStart w:id="1740" w:name="_Toc471819938"/>
      <w:bookmarkStart w:id="1741" w:name="_Toc473238745"/>
      <w:bookmarkStart w:id="1742" w:name="_Toc476043804"/>
      <w:bookmarkStart w:id="1743" w:name="_Toc476072052"/>
      <w:bookmarkStart w:id="1744" w:name="_Toc497053026"/>
      <w:bookmarkStart w:id="1745" w:name="_Toc497147528"/>
      <w:bookmarkStart w:id="1746" w:name="_Toc497202237"/>
      <w:bookmarkStart w:id="1747" w:name="_Toc497202454"/>
      <w:bookmarkStart w:id="1748" w:name="_Toc497202693"/>
      <w:bookmarkStart w:id="1749" w:name="_Toc497202934"/>
      <w:bookmarkStart w:id="1750" w:name="_Toc500088261"/>
      <w:bookmarkStart w:id="1751" w:name="_Toc502652519"/>
      <w:bookmarkStart w:id="1752" w:name="_Toc506532826"/>
      <w:bookmarkStart w:id="1753" w:name="_Toc511387561"/>
      <w:bookmarkStart w:id="1754" w:name="_Toc44626951"/>
      <w:bookmarkStart w:id="1755" w:name="_Toc45269291"/>
      <w:bookmarkStart w:id="1756" w:name="_Toc45269836"/>
      <w:bookmarkStart w:id="1757" w:name="_Toc473238746"/>
      <w:bookmarkStart w:id="1758" w:name="_Toc476043805"/>
      <w:bookmarkStart w:id="1759" w:name="_Toc476072053"/>
      <w:bookmarkStart w:id="1760" w:name="_Toc497053027"/>
      <w:bookmarkStart w:id="1761" w:name="_Toc497147529"/>
      <w:bookmarkStart w:id="1762" w:name="_Toc497202238"/>
      <w:bookmarkStart w:id="1763" w:name="_Toc497202455"/>
      <w:bookmarkStart w:id="1764" w:name="_Toc497202694"/>
      <w:bookmarkStart w:id="1765" w:name="_Toc497202935"/>
      <w:bookmarkStart w:id="1766" w:name="_Toc500088262"/>
      <w:bookmarkStart w:id="1767" w:name="_Toc502652520"/>
      <w:bookmarkStart w:id="1768" w:name="_Toc506532827"/>
      <w:bookmarkStart w:id="1769" w:name="_Toc511387562"/>
      <w:bookmarkStart w:id="1770" w:name="_Toc44626952"/>
      <w:bookmarkStart w:id="1771" w:name="_Toc45269292"/>
      <w:bookmarkStart w:id="1772" w:name="_Toc45269837"/>
      <w:bookmarkStart w:id="1773" w:name="_Toc500088263"/>
      <w:bookmarkStart w:id="1774" w:name="_Toc502652521"/>
      <w:bookmarkStart w:id="1775" w:name="_Toc506532828"/>
      <w:bookmarkStart w:id="1776" w:name="_Toc511387563"/>
      <w:bookmarkStart w:id="1777" w:name="_Toc44626953"/>
      <w:bookmarkStart w:id="1778" w:name="_Toc45269293"/>
      <w:bookmarkStart w:id="1779" w:name="_Toc45269838"/>
      <w:bookmarkStart w:id="1780" w:name="_Toc43187398"/>
      <w:bookmarkStart w:id="1781" w:name="_Toc44626961"/>
      <w:bookmarkStart w:id="1782" w:name="_Toc45269301"/>
      <w:bookmarkStart w:id="1783" w:name="_Toc45269846"/>
      <w:bookmarkStart w:id="1784" w:name="_Toc471814121"/>
      <w:bookmarkStart w:id="1785" w:name="_Toc471817043"/>
      <w:bookmarkStart w:id="1786" w:name="_Toc471819910"/>
      <w:bookmarkStart w:id="1787" w:name="_Toc473238702"/>
      <w:bookmarkStart w:id="1788" w:name="_Toc471814122"/>
      <w:bookmarkStart w:id="1789" w:name="_Toc471817044"/>
      <w:bookmarkStart w:id="1790" w:name="_Toc471819911"/>
      <w:bookmarkStart w:id="1791" w:name="_Toc473238703"/>
      <w:bookmarkStart w:id="1792" w:name="_Toc500088272"/>
      <w:bookmarkStart w:id="1793" w:name="_Toc502652530"/>
      <w:bookmarkStart w:id="1794" w:name="_Toc506532837"/>
      <w:bookmarkStart w:id="1795" w:name="_Toc511387572"/>
      <w:bookmarkStart w:id="1796" w:name="_Toc43187408"/>
      <w:bookmarkStart w:id="1797" w:name="_Toc44626971"/>
      <w:bookmarkStart w:id="1798" w:name="_Toc45269312"/>
      <w:bookmarkStart w:id="1799" w:name="_Toc45269857"/>
      <w:bookmarkStart w:id="1800" w:name="_Toc43187409"/>
      <w:bookmarkStart w:id="1801" w:name="_Toc44626972"/>
      <w:bookmarkStart w:id="1802" w:name="_Toc45269313"/>
      <w:bookmarkStart w:id="1803" w:name="_Toc45269858"/>
      <w:bookmarkStart w:id="1804" w:name="_Toc43187410"/>
      <w:bookmarkStart w:id="1805" w:name="_Toc44626973"/>
      <w:bookmarkStart w:id="1806" w:name="_Toc45269314"/>
      <w:bookmarkStart w:id="1807" w:name="_Toc45269859"/>
      <w:bookmarkStart w:id="1808" w:name="_Toc43187411"/>
      <w:bookmarkStart w:id="1809" w:name="_Toc44626974"/>
      <w:bookmarkStart w:id="1810" w:name="_Toc43187412"/>
      <w:bookmarkStart w:id="1811" w:name="_Toc44626975"/>
      <w:bookmarkStart w:id="1812" w:name="_Toc45269315"/>
      <w:bookmarkStart w:id="1813" w:name="_Toc45269860"/>
      <w:bookmarkStart w:id="1814" w:name="_Toc43187413"/>
      <w:bookmarkStart w:id="1815" w:name="_Toc44626976"/>
      <w:bookmarkStart w:id="1816" w:name="_Toc45269316"/>
      <w:bookmarkStart w:id="1817" w:name="_Toc45269861"/>
      <w:bookmarkStart w:id="1818" w:name="_Toc43187414"/>
      <w:bookmarkStart w:id="1819" w:name="_Toc44626977"/>
      <w:bookmarkStart w:id="1820" w:name="_Toc45269317"/>
      <w:bookmarkStart w:id="1821" w:name="_Toc45269862"/>
      <w:bookmarkStart w:id="1822" w:name="_Toc506532842"/>
      <w:bookmarkStart w:id="1823" w:name="_Toc511387577"/>
      <w:bookmarkStart w:id="1824" w:name="_Toc506532843"/>
      <w:bookmarkStart w:id="1825" w:name="_Toc511387578"/>
      <w:bookmarkStart w:id="1826" w:name="_Toc506532844"/>
      <w:bookmarkStart w:id="1827" w:name="_Toc511387579"/>
      <w:bookmarkStart w:id="1828" w:name="_Toc506532845"/>
      <w:bookmarkStart w:id="1829" w:name="_Toc511387580"/>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r w:rsidRPr="009302AA">
        <w:rPr>
          <w:rFonts w:cs="Arial"/>
          <w:sz w:val="22"/>
        </w:rPr>
        <w:t>Banque Mondiale, Cadre Environnemental et Social, Octobre 2018</w:t>
      </w:r>
    </w:p>
    <w:p w14:paraId="7DEEAD7F" w14:textId="77777777" w:rsidR="001C2F95" w:rsidRPr="009302AA" w:rsidRDefault="001C2F95" w:rsidP="001C2F95">
      <w:pPr>
        <w:pStyle w:val="Paragraphedeliste"/>
        <w:autoSpaceDE w:val="0"/>
        <w:autoSpaceDN w:val="0"/>
        <w:adjustRightInd w:val="0"/>
        <w:ind w:left="851" w:hanging="851"/>
        <w:rPr>
          <w:rFonts w:cs="Arial"/>
          <w:sz w:val="22"/>
        </w:rPr>
      </w:pPr>
    </w:p>
    <w:p w14:paraId="4882D786"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z w:val="22"/>
        </w:rPr>
        <w:t xml:space="preserve">Banque Mondiale, Manuel opérationnel de la Banque </w:t>
      </w:r>
      <w:r>
        <w:rPr>
          <w:rFonts w:cs="Arial"/>
          <w:sz w:val="22"/>
        </w:rPr>
        <w:t>M</w:t>
      </w:r>
      <w:r w:rsidRPr="009302AA">
        <w:rPr>
          <w:rFonts w:cs="Arial"/>
          <w:sz w:val="22"/>
        </w:rPr>
        <w:t>ondiale - Politique Opérationnelle 4.1 relative à l’Évaluation environnementale de juillet 2005.</w:t>
      </w:r>
    </w:p>
    <w:p w14:paraId="5E930938" w14:textId="77777777" w:rsidR="001C2F95" w:rsidRPr="009302AA" w:rsidRDefault="001C2F95" w:rsidP="001C2F95">
      <w:pPr>
        <w:pStyle w:val="Paragraphedeliste"/>
        <w:autoSpaceDE w:val="0"/>
        <w:autoSpaceDN w:val="0"/>
        <w:adjustRightInd w:val="0"/>
        <w:ind w:left="851" w:hanging="851"/>
        <w:rPr>
          <w:rFonts w:cs="Arial"/>
          <w:sz w:val="22"/>
        </w:rPr>
      </w:pPr>
    </w:p>
    <w:p w14:paraId="49D58581"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z w:val="22"/>
        </w:rPr>
        <w:t xml:space="preserve">Banque Mondiale, </w:t>
      </w:r>
      <w:r w:rsidRPr="009302AA">
        <w:rPr>
          <w:sz w:val="22"/>
        </w:rPr>
        <w:t>Note de bonnes pratiques Lutter contre les violences sexistes dans le cadre du financement de projets d’investissement comportant de grands travaux de génie civil, Septembre 2018</w:t>
      </w:r>
    </w:p>
    <w:p w14:paraId="1F6F8FBD" w14:textId="77777777" w:rsidR="001C2F95" w:rsidRPr="009302AA" w:rsidRDefault="001C2F95" w:rsidP="001C2F95">
      <w:pPr>
        <w:pStyle w:val="Paragraphedeliste"/>
        <w:autoSpaceDE w:val="0"/>
        <w:autoSpaceDN w:val="0"/>
        <w:adjustRightInd w:val="0"/>
        <w:ind w:left="851" w:hanging="851"/>
        <w:rPr>
          <w:rFonts w:cs="Arial"/>
          <w:sz w:val="22"/>
        </w:rPr>
      </w:pPr>
    </w:p>
    <w:p w14:paraId="15EA1264"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z w:val="22"/>
        </w:rPr>
        <w:t>Cadre Stratégique de Mise en Œuvre de la Décentralisation (CSMOD, juillet 2009)</w:t>
      </w:r>
    </w:p>
    <w:p w14:paraId="4FD039CE" w14:textId="77777777" w:rsidR="001C2F95" w:rsidRPr="009302AA" w:rsidRDefault="001C2F95" w:rsidP="001C2F95">
      <w:pPr>
        <w:pStyle w:val="Paragraphedeliste"/>
        <w:autoSpaceDE w:val="0"/>
        <w:autoSpaceDN w:val="0"/>
        <w:adjustRightInd w:val="0"/>
        <w:ind w:left="851" w:hanging="851"/>
        <w:rPr>
          <w:rFonts w:cs="Arial"/>
          <w:spacing w:val="-2"/>
          <w:sz w:val="22"/>
        </w:rPr>
      </w:pPr>
    </w:p>
    <w:p w14:paraId="02466583"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pacing w:val="-2"/>
          <w:sz w:val="22"/>
        </w:rPr>
        <w:t xml:space="preserve">Fonds pour la Conservation de la Nature en république Démocratique du Congo (FOCON), </w:t>
      </w:r>
      <w:r w:rsidRPr="009302AA">
        <w:rPr>
          <w:rFonts w:cs="Arial"/>
          <w:sz w:val="22"/>
        </w:rPr>
        <w:t>Cadre de Gestion Environnementale et Sociale (CGES), Octobre 2017</w:t>
      </w:r>
    </w:p>
    <w:p w14:paraId="61B1059D" w14:textId="77777777" w:rsidR="001C2F95" w:rsidRPr="009302AA" w:rsidRDefault="001C2F95" w:rsidP="001C2F95">
      <w:pPr>
        <w:pStyle w:val="Paragraphedeliste"/>
        <w:autoSpaceDE w:val="0"/>
        <w:autoSpaceDN w:val="0"/>
        <w:adjustRightInd w:val="0"/>
        <w:ind w:left="851" w:hanging="851"/>
        <w:rPr>
          <w:rFonts w:cs="Arial"/>
          <w:spacing w:val="-2"/>
          <w:sz w:val="22"/>
        </w:rPr>
      </w:pPr>
    </w:p>
    <w:p w14:paraId="5F314CA0"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Journal Officiel de la République Démocratique du Congo, Constitution du 18 février 2006 telle que révisée par la Loi n°11/002 du 20 janvier 2011.</w:t>
      </w:r>
    </w:p>
    <w:p w14:paraId="015578E2" w14:textId="77777777" w:rsidR="001C2F95" w:rsidRDefault="001C2F95" w:rsidP="001C2F95">
      <w:pPr>
        <w:pStyle w:val="Paragraphedeliste"/>
        <w:autoSpaceDE w:val="0"/>
        <w:autoSpaceDN w:val="0"/>
        <w:adjustRightInd w:val="0"/>
        <w:ind w:left="851" w:hanging="851"/>
        <w:rPr>
          <w:rFonts w:cs="Arial"/>
          <w:spacing w:val="-2"/>
          <w:sz w:val="22"/>
        </w:rPr>
      </w:pPr>
    </w:p>
    <w:p w14:paraId="470B3903"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Journal Officiel de la République Démocratique du Congo, Décret n°14/019 du 02 août 2014 fixant les règles de fonctionnement des mécanismes procéduraux de protection de l’environnement </w:t>
      </w:r>
    </w:p>
    <w:p w14:paraId="149709CD" w14:textId="77777777" w:rsidR="001C2F95" w:rsidRDefault="001C2F95" w:rsidP="001C2F95">
      <w:pPr>
        <w:pStyle w:val="Paragraphedeliste"/>
        <w:autoSpaceDE w:val="0"/>
        <w:autoSpaceDN w:val="0"/>
        <w:adjustRightInd w:val="0"/>
        <w:ind w:left="851" w:hanging="851"/>
        <w:rPr>
          <w:rFonts w:cs="Arial"/>
          <w:spacing w:val="-2"/>
          <w:sz w:val="22"/>
        </w:rPr>
      </w:pPr>
    </w:p>
    <w:p w14:paraId="015FB706"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Journal Officiel de la République Démocratique du Congo, Décret n°038/2003 du 26 mars 2003 portant Règlement Minier tel que modifié et complété par le Décret n°18/024 du 08 juin 2018 </w:t>
      </w:r>
    </w:p>
    <w:p w14:paraId="4FFD0179" w14:textId="77777777" w:rsidR="001C2F95" w:rsidRDefault="001C2F95" w:rsidP="001C2F95">
      <w:pPr>
        <w:pStyle w:val="Paragraphedeliste"/>
        <w:autoSpaceDE w:val="0"/>
        <w:autoSpaceDN w:val="0"/>
        <w:adjustRightInd w:val="0"/>
        <w:ind w:left="851" w:hanging="851"/>
        <w:rPr>
          <w:rFonts w:cs="Arial"/>
          <w:spacing w:val="-2"/>
          <w:sz w:val="22"/>
        </w:rPr>
      </w:pPr>
    </w:p>
    <w:p w14:paraId="382E63D0"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Journal Officiel de la République Démocratique du Congo, Décret n° 14/030 du 18 novembre 2014 fixant les statuts d’un Établissement Public dénommé Agence Congolaise de l’Environnement</w:t>
      </w:r>
    </w:p>
    <w:p w14:paraId="66B7F43B" w14:textId="77777777" w:rsidR="001C2F95" w:rsidRDefault="001C2F95" w:rsidP="001C2F95">
      <w:pPr>
        <w:pStyle w:val="Paragraphedeliste"/>
        <w:autoSpaceDE w:val="0"/>
        <w:autoSpaceDN w:val="0"/>
        <w:adjustRightInd w:val="0"/>
        <w:ind w:left="851" w:hanging="851"/>
        <w:rPr>
          <w:rFonts w:cs="Arial"/>
          <w:spacing w:val="-2"/>
          <w:sz w:val="22"/>
        </w:rPr>
      </w:pPr>
    </w:p>
    <w:p w14:paraId="3A217B30"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 xml:space="preserve">Journal Officiel de la République Démocratique du Congo, Décret n° 14/019 du 02 août 2014 fixant les règles de fonctionnement des mécanismes procéduraux de la protection de l’environnement </w:t>
      </w:r>
    </w:p>
    <w:p w14:paraId="317FAEAA" w14:textId="77777777" w:rsidR="001C2F95" w:rsidRDefault="001C2F95" w:rsidP="001C2F95">
      <w:pPr>
        <w:pStyle w:val="Paragraphedeliste"/>
        <w:autoSpaceDE w:val="0"/>
        <w:autoSpaceDN w:val="0"/>
        <w:adjustRightInd w:val="0"/>
        <w:ind w:left="851" w:hanging="851"/>
        <w:rPr>
          <w:rFonts w:cs="Arial"/>
          <w:spacing w:val="-2"/>
          <w:sz w:val="22"/>
        </w:rPr>
      </w:pPr>
    </w:p>
    <w:p w14:paraId="0A5C7B84"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 xml:space="preserve">Journal Officiel de la République Démocratique du Congo, Décret n° 13-015 du 29 mai 2013 portant Réglementation des Installations Classées </w:t>
      </w:r>
    </w:p>
    <w:p w14:paraId="18FB1C92" w14:textId="77777777" w:rsidR="001C2F95" w:rsidRDefault="001C2F95" w:rsidP="001C2F95">
      <w:pPr>
        <w:pStyle w:val="Paragraphedeliste"/>
        <w:autoSpaceDE w:val="0"/>
        <w:autoSpaceDN w:val="0"/>
        <w:adjustRightInd w:val="0"/>
        <w:ind w:left="851" w:hanging="851"/>
        <w:rPr>
          <w:rFonts w:cs="Arial"/>
          <w:spacing w:val="-2"/>
          <w:sz w:val="22"/>
        </w:rPr>
      </w:pPr>
    </w:p>
    <w:p w14:paraId="7483C78E"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Journal Officiel de la République Démocratique du Congo, Journal Officiel de la République Démocratique du Congo, Loi n° 011-2002 du 29 août 2002 portant Code Forestier</w:t>
      </w:r>
    </w:p>
    <w:p w14:paraId="7E8B8D77" w14:textId="77777777" w:rsidR="001C2F95" w:rsidRDefault="001C2F95" w:rsidP="001C2F95">
      <w:pPr>
        <w:pStyle w:val="Paragraphedeliste"/>
        <w:autoSpaceDE w:val="0"/>
        <w:autoSpaceDN w:val="0"/>
        <w:adjustRightInd w:val="0"/>
        <w:ind w:left="851" w:hanging="851"/>
        <w:rPr>
          <w:rFonts w:cs="Arial"/>
          <w:spacing w:val="-2"/>
          <w:sz w:val="22"/>
        </w:rPr>
      </w:pPr>
    </w:p>
    <w:p w14:paraId="4ABF0A3D"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Journal Officiel de la République Démocratique du Congo, Loi 73 - 021 du 20 juillet 1973 porte sur le régime général des biens, régime foncier et immobilier et régime des sûretés</w:t>
      </w:r>
    </w:p>
    <w:p w14:paraId="1DF89151" w14:textId="77777777" w:rsidR="001C2F95" w:rsidRDefault="001C2F95" w:rsidP="001C2F95">
      <w:pPr>
        <w:pStyle w:val="Paragraphedeliste"/>
        <w:autoSpaceDE w:val="0"/>
        <w:autoSpaceDN w:val="0"/>
        <w:adjustRightInd w:val="0"/>
        <w:ind w:left="851" w:hanging="851"/>
        <w:rPr>
          <w:rFonts w:cs="Arial"/>
          <w:spacing w:val="-2"/>
          <w:sz w:val="22"/>
        </w:rPr>
      </w:pPr>
    </w:p>
    <w:p w14:paraId="63EB8B05"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 xml:space="preserve">Journal Officiel de la République Démocratique du Congo, Loi n° 007/2002 du 11 juillet 2002 portant Code Minier tel que modifiée et complétée par la Loi n°18/001 du 09 mars 2018 </w:t>
      </w:r>
    </w:p>
    <w:p w14:paraId="5E411A4D"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Journal Officiel de la République Démocratique du Congo, Loi n° 004/2002 du 21 février 2002 portant Codes investissements</w:t>
      </w:r>
    </w:p>
    <w:p w14:paraId="029AF3DD"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Journal Officiel de la République Démocratique du Congo, Loi n° 11/022 du 24 décembre 2011 portant Principes fondamentaux relatifs à l’Agriculture</w:t>
      </w:r>
    </w:p>
    <w:p w14:paraId="0D8A0A61" w14:textId="77777777" w:rsidR="001C2F95" w:rsidRDefault="001C2F95" w:rsidP="001C2F95">
      <w:pPr>
        <w:pStyle w:val="Paragraphedeliste"/>
        <w:autoSpaceDE w:val="0"/>
        <w:autoSpaceDN w:val="0"/>
        <w:adjustRightInd w:val="0"/>
        <w:ind w:left="851" w:hanging="851"/>
        <w:rPr>
          <w:rFonts w:cs="Arial"/>
          <w:spacing w:val="-2"/>
          <w:sz w:val="22"/>
        </w:rPr>
      </w:pPr>
    </w:p>
    <w:p w14:paraId="03BCDB59"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 xml:space="preserve">Journal Officiel de la République Démocratique du Congo, Loi n° 14/003 du 11 février 2014 relative à la conservation de la nature </w:t>
      </w:r>
    </w:p>
    <w:p w14:paraId="7F37A0F9" w14:textId="77777777" w:rsidR="001C2F95" w:rsidRDefault="001C2F95" w:rsidP="001C2F95">
      <w:pPr>
        <w:pStyle w:val="Paragraphedeliste"/>
        <w:autoSpaceDE w:val="0"/>
        <w:autoSpaceDN w:val="0"/>
        <w:adjustRightInd w:val="0"/>
        <w:ind w:left="851" w:hanging="851"/>
        <w:rPr>
          <w:rFonts w:cs="Arial"/>
          <w:spacing w:val="-2"/>
          <w:sz w:val="22"/>
        </w:rPr>
      </w:pPr>
    </w:p>
    <w:p w14:paraId="142760C7"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 xml:space="preserve">Journal Officiel de la République Démocratique du Congo, Loi n° 15/026 du 31 décembre 2015 relative à l’eau </w:t>
      </w:r>
    </w:p>
    <w:p w14:paraId="45B8708F" w14:textId="77777777" w:rsidR="001C2F95" w:rsidRDefault="001C2F95" w:rsidP="001C2F95">
      <w:pPr>
        <w:pStyle w:val="Paragraphedeliste"/>
        <w:autoSpaceDE w:val="0"/>
        <w:autoSpaceDN w:val="0"/>
        <w:adjustRightInd w:val="0"/>
        <w:ind w:left="851" w:hanging="851"/>
        <w:rPr>
          <w:rFonts w:cs="Arial"/>
          <w:spacing w:val="-2"/>
          <w:sz w:val="22"/>
        </w:rPr>
      </w:pPr>
    </w:p>
    <w:p w14:paraId="4FC2F59D"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Journal Officiel de la République Démocratique du Congo, Loi n° 16/010 du 15 juillet 2016 modifiant et complétant la Loi n° 015-2002 portant Code du Travail</w:t>
      </w:r>
    </w:p>
    <w:p w14:paraId="055575CF" w14:textId="77777777" w:rsidR="001C2F95" w:rsidRDefault="001C2F95" w:rsidP="001C2F95">
      <w:pPr>
        <w:pStyle w:val="Paragraphedeliste"/>
        <w:autoSpaceDE w:val="0"/>
        <w:autoSpaceDN w:val="0"/>
        <w:adjustRightInd w:val="0"/>
        <w:ind w:left="851" w:hanging="851"/>
        <w:rPr>
          <w:rFonts w:cs="Arial"/>
          <w:spacing w:val="-2"/>
          <w:sz w:val="22"/>
        </w:rPr>
      </w:pPr>
    </w:p>
    <w:p w14:paraId="3A953DA6"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Journal Officiel de la République Démocratique du Congo, Loi n° 14/011 du 17 juin 2014 relative au secteur de l'électricité</w:t>
      </w:r>
    </w:p>
    <w:p w14:paraId="0A6ACCAB" w14:textId="77777777" w:rsidR="001C2F95" w:rsidRDefault="001C2F95" w:rsidP="001C2F95">
      <w:pPr>
        <w:pStyle w:val="Paragraphedeliste"/>
        <w:autoSpaceDE w:val="0"/>
        <w:autoSpaceDN w:val="0"/>
        <w:adjustRightInd w:val="0"/>
        <w:ind w:left="851" w:hanging="851"/>
        <w:rPr>
          <w:rFonts w:cs="Arial"/>
          <w:spacing w:val="-2"/>
          <w:sz w:val="22"/>
        </w:rPr>
      </w:pPr>
    </w:p>
    <w:p w14:paraId="3E3A7AE9"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 xml:space="preserve">Journal Officiel de la République Démocratique du Congo, Loi n°82/002 du 28 mai 1982 portant réglementation de la chasse </w:t>
      </w:r>
    </w:p>
    <w:p w14:paraId="648A1EB9" w14:textId="77777777" w:rsidR="001C2F95" w:rsidRDefault="001C2F95" w:rsidP="001C2F95">
      <w:pPr>
        <w:pStyle w:val="Paragraphedeliste"/>
        <w:autoSpaceDE w:val="0"/>
        <w:autoSpaceDN w:val="0"/>
        <w:adjustRightInd w:val="0"/>
        <w:ind w:left="851" w:hanging="851"/>
        <w:rPr>
          <w:rFonts w:cs="Arial"/>
          <w:spacing w:val="-2"/>
          <w:sz w:val="22"/>
        </w:rPr>
      </w:pPr>
    </w:p>
    <w:p w14:paraId="21C9967F" w14:textId="77777777" w:rsidR="001C2F95" w:rsidRPr="0000743F"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 xml:space="preserve">Journal Officiel de la République Démocratique du Congo, </w:t>
      </w:r>
      <w:r w:rsidRPr="0000743F">
        <w:rPr>
          <w:rFonts w:cs="Arial"/>
          <w:spacing w:val="-2"/>
          <w:sz w:val="22"/>
        </w:rPr>
        <w:t>Ordonnance Présidentielle n°20/017 du 27 mars 2020 fixant les attributions des ministères en RDC</w:t>
      </w:r>
    </w:p>
    <w:p w14:paraId="4D9F4035" w14:textId="77777777" w:rsidR="001C2F95" w:rsidRDefault="001C2F95" w:rsidP="001C2F95">
      <w:pPr>
        <w:pStyle w:val="Paragraphedeliste"/>
        <w:autoSpaceDE w:val="0"/>
        <w:autoSpaceDN w:val="0"/>
        <w:adjustRightInd w:val="0"/>
        <w:ind w:left="851" w:hanging="851"/>
        <w:rPr>
          <w:rFonts w:cs="Arial"/>
          <w:spacing w:val="-2"/>
          <w:sz w:val="22"/>
        </w:rPr>
      </w:pPr>
    </w:p>
    <w:p w14:paraId="716F0253" w14:textId="77777777" w:rsidR="001C2F95" w:rsidRPr="009302AA" w:rsidRDefault="001C2F95" w:rsidP="001C2F95">
      <w:pPr>
        <w:pStyle w:val="Paragraphedeliste"/>
        <w:autoSpaceDE w:val="0"/>
        <w:autoSpaceDN w:val="0"/>
        <w:adjustRightInd w:val="0"/>
        <w:ind w:left="851" w:hanging="851"/>
        <w:rPr>
          <w:rFonts w:cs="Arial"/>
          <w:spacing w:val="-2"/>
          <w:sz w:val="22"/>
        </w:rPr>
      </w:pPr>
      <w:r w:rsidRPr="009302AA">
        <w:rPr>
          <w:rFonts w:cs="Arial"/>
          <w:spacing w:val="-2"/>
          <w:sz w:val="22"/>
        </w:rPr>
        <w:t xml:space="preserve">Journal Officiel de la République Démocratique du Congo, Ordonnance-Loi n °71-016 du 15 mars 1971 relative à la protection des biens culturels </w:t>
      </w:r>
    </w:p>
    <w:p w14:paraId="4AB91885" w14:textId="77777777" w:rsidR="001C2F95" w:rsidRPr="009302AA" w:rsidRDefault="001C2F95" w:rsidP="001C2F95">
      <w:pPr>
        <w:pStyle w:val="Paragraphedeliste"/>
        <w:autoSpaceDE w:val="0"/>
        <w:autoSpaceDN w:val="0"/>
        <w:adjustRightInd w:val="0"/>
        <w:ind w:left="851" w:hanging="851"/>
        <w:rPr>
          <w:rFonts w:cs="Arial"/>
          <w:sz w:val="22"/>
        </w:rPr>
      </w:pPr>
    </w:p>
    <w:p w14:paraId="39EE9596"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z w:val="22"/>
        </w:rPr>
        <w:t>Ministère de l’Agriculture, Pêche et Élevage, Cadre de Gestion Environnementale et Sociale du Projet d’Appui à la Réhabilitation et à la Relance du Secteur Agricole (PARRSA) Financement Additionnel (FA), Juin 2019</w:t>
      </w:r>
    </w:p>
    <w:p w14:paraId="10ED6B38" w14:textId="77777777" w:rsidR="001C2F95" w:rsidRPr="009302AA" w:rsidRDefault="001C2F95" w:rsidP="001C2F95">
      <w:pPr>
        <w:pStyle w:val="Paragraphedeliste"/>
        <w:autoSpaceDE w:val="0"/>
        <w:autoSpaceDN w:val="0"/>
        <w:adjustRightInd w:val="0"/>
        <w:ind w:left="851" w:hanging="851"/>
        <w:rPr>
          <w:rFonts w:cs="Arial"/>
          <w:sz w:val="22"/>
        </w:rPr>
      </w:pPr>
    </w:p>
    <w:p w14:paraId="7F370102"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z w:val="22"/>
        </w:rPr>
        <w:t>Ministère de l’Environnement et Développement Durable, Plan d’Actions National d’Adaptation aux changements climatiques (PANA), 2007</w:t>
      </w:r>
    </w:p>
    <w:p w14:paraId="7C2E965F" w14:textId="77777777" w:rsidR="001C2F95" w:rsidRPr="009302AA" w:rsidRDefault="001C2F95" w:rsidP="001C2F95">
      <w:pPr>
        <w:pStyle w:val="Paragraphedeliste"/>
        <w:autoSpaceDE w:val="0"/>
        <w:autoSpaceDN w:val="0"/>
        <w:adjustRightInd w:val="0"/>
        <w:ind w:left="851" w:hanging="851"/>
        <w:rPr>
          <w:rFonts w:cs="Arial"/>
          <w:sz w:val="22"/>
        </w:rPr>
      </w:pPr>
    </w:p>
    <w:p w14:paraId="224BA30A"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z w:val="22"/>
        </w:rPr>
        <w:t>Ministère de l’Environnement et Développement Durable, Plan National d’Action Environnementale (PNAE), 1997</w:t>
      </w:r>
    </w:p>
    <w:p w14:paraId="4ABA7918" w14:textId="77777777" w:rsidR="001C2F95" w:rsidRPr="009302AA" w:rsidRDefault="001C2F95" w:rsidP="001C2F95">
      <w:pPr>
        <w:pStyle w:val="Paragraphedeliste"/>
        <w:autoSpaceDE w:val="0"/>
        <w:autoSpaceDN w:val="0"/>
        <w:adjustRightInd w:val="0"/>
        <w:ind w:left="851" w:hanging="851"/>
        <w:rPr>
          <w:rFonts w:cs="Arial"/>
          <w:sz w:val="22"/>
        </w:rPr>
      </w:pPr>
    </w:p>
    <w:p w14:paraId="6EC46BFA"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z w:val="22"/>
        </w:rPr>
        <w:t>Ministère de l’Urbanisme et Habitat, Cadre de Gestion Environnementale et Sociale du Projet de Développement Urbain, (PDU), Décembre 2017</w:t>
      </w:r>
    </w:p>
    <w:p w14:paraId="006F42FF" w14:textId="77777777" w:rsidR="001C2F95" w:rsidRPr="009302AA" w:rsidRDefault="001C2F95" w:rsidP="001C2F95">
      <w:pPr>
        <w:pStyle w:val="Paragraphedeliste"/>
        <w:autoSpaceDE w:val="0"/>
        <w:autoSpaceDN w:val="0"/>
        <w:adjustRightInd w:val="0"/>
        <w:ind w:left="851" w:hanging="851"/>
        <w:rPr>
          <w:rFonts w:cs="Arial"/>
          <w:sz w:val="22"/>
        </w:rPr>
      </w:pPr>
    </w:p>
    <w:p w14:paraId="4769D6C6"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z w:val="22"/>
        </w:rPr>
        <w:t>Ministère de la Santé Publique, Plan National de Développement Sanitaire (PNDS 2011-2015)</w:t>
      </w:r>
    </w:p>
    <w:p w14:paraId="4261553A" w14:textId="77777777" w:rsidR="001C2F95" w:rsidRPr="009302AA" w:rsidRDefault="001C2F95" w:rsidP="001C2F95">
      <w:pPr>
        <w:pStyle w:val="Paragraphedeliste"/>
        <w:autoSpaceDE w:val="0"/>
        <w:autoSpaceDN w:val="0"/>
        <w:adjustRightInd w:val="0"/>
        <w:ind w:left="851" w:hanging="851"/>
        <w:rPr>
          <w:rFonts w:cs="Arial"/>
          <w:sz w:val="22"/>
        </w:rPr>
      </w:pPr>
    </w:p>
    <w:p w14:paraId="2B0F7B92"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z w:val="22"/>
        </w:rPr>
        <w:t>Ministère des Affaires Sociales, Cadre de Gestion Environnementale et Sociale du Projet d’Inclusion Productive (PIP), mai 2018</w:t>
      </w:r>
    </w:p>
    <w:p w14:paraId="0C04604A" w14:textId="77777777" w:rsidR="001C2F95" w:rsidRPr="009302AA" w:rsidRDefault="001C2F95" w:rsidP="001C2F95">
      <w:pPr>
        <w:pStyle w:val="Paragraphedeliste"/>
        <w:autoSpaceDE w:val="0"/>
        <w:autoSpaceDN w:val="0"/>
        <w:adjustRightInd w:val="0"/>
        <w:ind w:left="851" w:hanging="851"/>
        <w:rPr>
          <w:rFonts w:cs="Arial"/>
          <w:sz w:val="22"/>
        </w:rPr>
      </w:pPr>
    </w:p>
    <w:p w14:paraId="1EEEBEF7"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z w:val="22"/>
        </w:rPr>
        <w:t>Ministère des Infrastructures et Travaux Publics, Cadre de Gestion Environnementale et Sociale du Projet KIN ELENDA, Juin 2020</w:t>
      </w:r>
    </w:p>
    <w:p w14:paraId="4820D987" w14:textId="77777777" w:rsidR="001C2F95" w:rsidRPr="009302AA" w:rsidRDefault="001C2F95" w:rsidP="001C2F95">
      <w:pPr>
        <w:pStyle w:val="Paragraphedeliste"/>
        <w:autoSpaceDE w:val="0"/>
        <w:autoSpaceDN w:val="0"/>
        <w:adjustRightInd w:val="0"/>
        <w:ind w:left="851" w:hanging="851"/>
        <w:rPr>
          <w:rFonts w:cs="Arial"/>
          <w:sz w:val="22"/>
        </w:rPr>
      </w:pPr>
    </w:p>
    <w:p w14:paraId="2F45FB0B"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z w:val="22"/>
        </w:rPr>
        <w:t xml:space="preserve">Ministère du Commerce Extérieur, Cadre de Gestion Environnementale et Sociale du Projet de Facilitation du Commerce dans la région des Grands-Lacs (PFCGL), mars 2018 </w:t>
      </w:r>
    </w:p>
    <w:p w14:paraId="2ABC9729"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z w:val="22"/>
        </w:rPr>
        <w:t>Ministère du Plan, Document de Stratégie de Croissance et de Réduction de la Pauvreté (DSCRP), Janvier 2017</w:t>
      </w:r>
    </w:p>
    <w:p w14:paraId="1FFFC249" w14:textId="77777777" w:rsidR="001C2F95" w:rsidRPr="009302AA" w:rsidRDefault="001C2F95" w:rsidP="001C2F95">
      <w:pPr>
        <w:pStyle w:val="Paragraphedeliste"/>
        <w:autoSpaceDE w:val="0"/>
        <w:autoSpaceDN w:val="0"/>
        <w:adjustRightInd w:val="0"/>
        <w:ind w:left="851" w:hanging="851"/>
        <w:rPr>
          <w:rFonts w:cs="Arial"/>
          <w:sz w:val="22"/>
        </w:rPr>
      </w:pPr>
      <w:r w:rsidRPr="009302AA">
        <w:rPr>
          <w:rFonts w:cs="Arial"/>
          <w:sz w:val="22"/>
        </w:rPr>
        <w:t>Stratégie nationale et le Plan d’actions de la Diversité biologique, 1999</w:t>
      </w:r>
    </w:p>
    <w:p w14:paraId="31CD1B73" w14:textId="77777777" w:rsidR="001C2F95" w:rsidRPr="009302AA" w:rsidRDefault="001C2F95" w:rsidP="001C2F95">
      <w:pPr>
        <w:pStyle w:val="Paragraphedeliste"/>
        <w:autoSpaceDE w:val="0"/>
        <w:autoSpaceDN w:val="0"/>
        <w:adjustRightInd w:val="0"/>
        <w:ind w:left="851" w:hanging="851"/>
        <w:rPr>
          <w:rFonts w:cs="Arial"/>
          <w:sz w:val="22"/>
        </w:rPr>
      </w:pPr>
    </w:p>
    <w:p w14:paraId="24A2D5B5" w14:textId="77777777" w:rsidR="001C2F95" w:rsidRPr="009302AA" w:rsidRDefault="001C2F95" w:rsidP="001C2F95">
      <w:pPr>
        <w:pStyle w:val="Paragraphedeliste"/>
        <w:autoSpaceDE w:val="0"/>
        <w:autoSpaceDN w:val="0"/>
        <w:adjustRightInd w:val="0"/>
        <w:ind w:left="851" w:hanging="851"/>
        <w:rPr>
          <w:rFonts w:cs="Arial"/>
          <w:sz w:val="22"/>
        </w:rPr>
      </w:pPr>
    </w:p>
    <w:p w14:paraId="15ED4CCF" w14:textId="77777777" w:rsidR="001C2F95" w:rsidRPr="009302AA" w:rsidRDefault="001C2F95" w:rsidP="001C2F95">
      <w:pPr>
        <w:pStyle w:val="Paragraphedeliste"/>
        <w:autoSpaceDE w:val="0"/>
        <w:autoSpaceDN w:val="0"/>
        <w:adjustRightInd w:val="0"/>
        <w:ind w:left="851" w:hanging="851"/>
        <w:rPr>
          <w:rFonts w:cs="Arial"/>
          <w:i/>
          <w:sz w:val="22"/>
        </w:rPr>
      </w:pPr>
      <w:r w:rsidRPr="009302AA">
        <w:rPr>
          <w:rFonts w:cs="Arial"/>
          <w:i/>
          <w:sz w:val="22"/>
        </w:rPr>
        <w:t>Webographie</w:t>
      </w:r>
    </w:p>
    <w:p w14:paraId="4BA862B0" w14:textId="77777777" w:rsidR="001C2F95" w:rsidRPr="009302AA" w:rsidRDefault="001C2F95" w:rsidP="001C2F95">
      <w:pPr>
        <w:pStyle w:val="Paragraphedeliste"/>
        <w:autoSpaceDE w:val="0"/>
        <w:autoSpaceDN w:val="0"/>
        <w:adjustRightInd w:val="0"/>
        <w:ind w:left="851" w:hanging="851"/>
        <w:rPr>
          <w:rFonts w:cs="Arial"/>
          <w:sz w:val="22"/>
        </w:rPr>
      </w:pPr>
    </w:p>
    <w:p w14:paraId="15DECA57" w14:textId="77777777" w:rsidR="001C2F95" w:rsidRPr="00730A4A" w:rsidRDefault="00652264" w:rsidP="001C2F95">
      <w:pPr>
        <w:autoSpaceDE w:val="0"/>
        <w:autoSpaceDN w:val="0"/>
        <w:adjustRightInd w:val="0"/>
        <w:spacing w:line="240" w:lineRule="auto"/>
        <w:ind w:left="851" w:hanging="851"/>
        <w:jc w:val="left"/>
        <w:rPr>
          <w:rFonts w:eastAsia="Calibri" w:cs="Arial"/>
          <w:color w:val="0563C2"/>
          <w:sz w:val="22"/>
          <w:lang w:eastAsia="en-US"/>
        </w:rPr>
      </w:pPr>
      <w:hyperlink r:id="rId104" w:history="1">
        <w:r w:rsidR="001C2F95" w:rsidRPr="00730A4A">
          <w:rPr>
            <w:rStyle w:val="Lienhypertexte"/>
            <w:rFonts w:eastAsia="Calibri" w:cs="Arial"/>
            <w:sz w:val="22"/>
            <w:lang w:eastAsia="en-US"/>
          </w:rPr>
          <w:t>http://pubdocs.worldbank.org/en/979391548951977252/ESF-Good-Practice-Notes-on-Security-Personnel-français.pdf</w:t>
        </w:r>
      </w:hyperlink>
    </w:p>
    <w:p w14:paraId="1F051B43" w14:textId="77777777" w:rsidR="001C2F95" w:rsidRPr="00730A4A" w:rsidRDefault="001C2F95" w:rsidP="001C2F95">
      <w:pPr>
        <w:autoSpaceDE w:val="0"/>
        <w:autoSpaceDN w:val="0"/>
        <w:adjustRightInd w:val="0"/>
        <w:spacing w:line="240" w:lineRule="auto"/>
        <w:ind w:left="851" w:hanging="851"/>
        <w:jc w:val="left"/>
        <w:rPr>
          <w:rStyle w:val="Lienhypertexte"/>
          <w:rFonts w:eastAsia="Calibri"/>
          <w:sz w:val="22"/>
        </w:rPr>
      </w:pPr>
    </w:p>
    <w:p w14:paraId="21F3A0E6" w14:textId="77777777" w:rsidR="001C2F95" w:rsidRPr="00730A4A" w:rsidRDefault="001C2F95" w:rsidP="001C2F95">
      <w:pPr>
        <w:autoSpaceDE w:val="0"/>
        <w:autoSpaceDN w:val="0"/>
        <w:adjustRightInd w:val="0"/>
        <w:spacing w:line="240" w:lineRule="auto"/>
        <w:ind w:left="851" w:hanging="851"/>
        <w:jc w:val="left"/>
        <w:rPr>
          <w:rStyle w:val="Lienhypertexte"/>
          <w:rFonts w:eastAsia="Calibri"/>
          <w:sz w:val="22"/>
        </w:rPr>
      </w:pPr>
      <w:r w:rsidRPr="00730A4A">
        <w:rPr>
          <w:rStyle w:val="Lienhypertexte"/>
          <w:rFonts w:eastAsia="Calibri"/>
          <w:sz w:val="22"/>
        </w:rPr>
        <w:t>https://ispan.worldbank.org/sites/ppf3/PPFDocuments/3117cd9a95234f79bd3302200981ca60.pdf</w:t>
      </w:r>
    </w:p>
    <w:p w14:paraId="1A705CF1" w14:textId="77777777" w:rsidR="001C2F95" w:rsidRPr="00730A4A" w:rsidRDefault="001C2F95" w:rsidP="001C2F95">
      <w:pPr>
        <w:autoSpaceDE w:val="0"/>
        <w:autoSpaceDN w:val="0"/>
        <w:adjustRightInd w:val="0"/>
        <w:spacing w:line="240" w:lineRule="auto"/>
        <w:ind w:left="851" w:hanging="851"/>
        <w:jc w:val="left"/>
        <w:rPr>
          <w:rStyle w:val="Lienhypertexte"/>
          <w:rFonts w:eastAsia="Calibri"/>
          <w:sz w:val="22"/>
        </w:rPr>
      </w:pPr>
    </w:p>
    <w:p w14:paraId="63AA44AB" w14:textId="77777777" w:rsidR="001C2F95" w:rsidRPr="00730A4A" w:rsidRDefault="001C2F95" w:rsidP="001C2F95">
      <w:pPr>
        <w:autoSpaceDE w:val="0"/>
        <w:autoSpaceDN w:val="0"/>
        <w:adjustRightInd w:val="0"/>
        <w:spacing w:line="240" w:lineRule="auto"/>
        <w:ind w:left="851" w:hanging="851"/>
        <w:jc w:val="left"/>
        <w:rPr>
          <w:rStyle w:val="Lienhypertexte"/>
          <w:rFonts w:eastAsia="Calibri"/>
          <w:sz w:val="22"/>
        </w:rPr>
      </w:pPr>
      <w:r w:rsidRPr="00730A4A">
        <w:rPr>
          <w:rStyle w:val="Lienhypertexte"/>
          <w:rFonts w:eastAsia="Calibri"/>
          <w:sz w:val="22"/>
        </w:rPr>
        <w:t>https://worldbankgroup.sharepoint.com/sites/wbunits/opcs/Knowledge%20Base/Public%20Consultations%20in%20WB%20Operations.pdf</w:t>
      </w:r>
    </w:p>
    <w:p w14:paraId="16193A07" w14:textId="77777777" w:rsidR="001C2F95" w:rsidRPr="00730A4A" w:rsidRDefault="001C2F95" w:rsidP="001C2F95">
      <w:pPr>
        <w:autoSpaceDE w:val="0"/>
        <w:autoSpaceDN w:val="0"/>
        <w:adjustRightInd w:val="0"/>
        <w:spacing w:line="240" w:lineRule="auto"/>
        <w:ind w:left="851" w:hanging="851"/>
        <w:jc w:val="left"/>
        <w:rPr>
          <w:rStyle w:val="Lienhypertexte"/>
          <w:rFonts w:eastAsia="Calibri"/>
          <w:sz w:val="22"/>
        </w:rPr>
      </w:pPr>
    </w:p>
    <w:p w14:paraId="60D3D337" w14:textId="77777777" w:rsidR="001C2F95" w:rsidRPr="00730A4A" w:rsidRDefault="001C2F95" w:rsidP="001C2F95">
      <w:pPr>
        <w:autoSpaceDE w:val="0"/>
        <w:autoSpaceDN w:val="0"/>
        <w:adjustRightInd w:val="0"/>
        <w:spacing w:line="240" w:lineRule="auto"/>
        <w:ind w:left="851" w:hanging="851"/>
        <w:jc w:val="left"/>
        <w:rPr>
          <w:rStyle w:val="Lienhypertexte"/>
          <w:rFonts w:eastAsia="Calibri"/>
          <w:sz w:val="22"/>
        </w:rPr>
      </w:pPr>
      <w:r w:rsidRPr="00730A4A">
        <w:rPr>
          <w:rStyle w:val="Lienhypertexte"/>
          <w:rFonts w:eastAsia="Calibri"/>
          <w:sz w:val="22"/>
        </w:rPr>
        <w:t>https://www.ifc.org/wps/wcm/connect/topics_ext_content/ifc_external_corporate_site/sustainability-at-ifc/policies-standards/ehs-guidelines</w:t>
      </w:r>
    </w:p>
    <w:p w14:paraId="395AD96B" w14:textId="77777777" w:rsidR="001C2F95" w:rsidRPr="00730A4A" w:rsidRDefault="001C2F95" w:rsidP="001C2F95">
      <w:pPr>
        <w:autoSpaceDE w:val="0"/>
        <w:autoSpaceDN w:val="0"/>
        <w:adjustRightInd w:val="0"/>
        <w:spacing w:line="240" w:lineRule="auto"/>
        <w:ind w:left="851" w:hanging="851"/>
        <w:jc w:val="left"/>
        <w:rPr>
          <w:rStyle w:val="Lienhypertexte"/>
          <w:rFonts w:eastAsia="Calibri"/>
          <w:sz w:val="22"/>
        </w:rPr>
      </w:pPr>
    </w:p>
    <w:p w14:paraId="6D53C20C" w14:textId="77777777" w:rsidR="001C2F95" w:rsidRPr="00730A4A" w:rsidRDefault="001C2F95" w:rsidP="001C2F95">
      <w:pPr>
        <w:autoSpaceDE w:val="0"/>
        <w:autoSpaceDN w:val="0"/>
        <w:adjustRightInd w:val="0"/>
        <w:spacing w:line="240" w:lineRule="auto"/>
        <w:ind w:left="851" w:hanging="851"/>
        <w:jc w:val="left"/>
        <w:rPr>
          <w:rStyle w:val="Lienhypertexte"/>
          <w:rFonts w:eastAsia="Calibri"/>
          <w:sz w:val="22"/>
          <w:lang w:val="en-US"/>
        </w:rPr>
      </w:pPr>
      <w:r w:rsidRPr="00730A4A">
        <w:rPr>
          <w:rStyle w:val="Lienhypertexte"/>
          <w:rFonts w:eastAsia="Calibri"/>
          <w:sz w:val="22"/>
          <w:lang w:val="en-US"/>
        </w:rPr>
        <w:t>www.</w:t>
      </w:r>
      <w:hyperlink r:id="rId105" w:history="1">
        <w:r w:rsidRPr="00730A4A">
          <w:rPr>
            <w:rStyle w:val="Lienhypertexte"/>
            <w:rFonts w:eastAsia="Calibri"/>
            <w:sz w:val="22"/>
            <w:lang w:val="en-US"/>
          </w:rPr>
          <w:t>https://worldbankgroup.sharepoint.com/sites/wbunits/opcs/Knowledge%20Base/Public%20Consulta</w:t>
        </w:r>
      </w:hyperlink>
      <w:r w:rsidRPr="00730A4A">
        <w:rPr>
          <w:rStyle w:val="Lienhypertexte"/>
          <w:rFonts w:eastAsia="Calibri"/>
          <w:sz w:val="22"/>
          <w:lang w:val="en-US"/>
        </w:rPr>
        <w:t xml:space="preserve"> tions%20in%20WB%20Operations.pdf</w:t>
      </w:r>
    </w:p>
    <w:p w14:paraId="414840F1" w14:textId="77777777" w:rsidR="001C2F95" w:rsidRPr="00730A4A" w:rsidRDefault="001C2F95" w:rsidP="001C2F95">
      <w:pPr>
        <w:autoSpaceDE w:val="0"/>
        <w:autoSpaceDN w:val="0"/>
        <w:adjustRightInd w:val="0"/>
        <w:spacing w:line="240" w:lineRule="auto"/>
        <w:ind w:left="851" w:hanging="851"/>
        <w:jc w:val="left"/>
        <w:rPr>
          <w:rStyle w:val="Lienhypertexte"/>
          <w:rFonts w:eastAsia="Calibri"/>
          <w:sz w:val="22"/>
          <w:lang w:val="en-US" w:eastAsia="en-US"/>
        </w:rPr>
      </w:pPr>
    </w:p>
    <w:p w14:paraId="0BF03DB0" w14:textId="77777777" w:rsidR="001C2F95" w:rsidRPr="00730A4A" w:rsidRDefault="001C2F95" w:rsidP="001C2F95">
      <w:pPr>
        <w:autoSpaceDE w:val="0"/>
        <w:autoSpaceDN w:val="0"/>
        <w:adjustRightInd w:val="0"/>
        <w:spacing w:line="240" w:lineRule="auto"/>
        <w:ind w:left="851" w:hanging="851"/>
        <w:jc w:val="left"/>
        <w:rPr>
          <w:rStyle w:val="Lienhypertexte"/>
          <w:rFonts w:eastAsia="Calibri"/>
          <w:sz w:val="22"/>
          <w:lang w:val="en-US" w:eastAsia="en-US"/>
        </w:rPr>
      </w:pPr>
      <w:r w:rsidRPr="00730A4A">
        <w:rPr>
          <w:rStyle w:val="Lienhypertexte"/>
          <w:rFonts w:eastAsia="Calibri"/>
          <w:sz w:val="22"/>
          <w:lang w:val="en-US" w:eastAsia="en-US"/>
        </w:rPr>
        <w:t xml:space="preserve">www.https://www.ifc.org/wps/wcm/connect/topics_ext_content/ifc_external_corporate_site/sustainability-at- ifc /policies-standards/ ehs -guidelines y-at- ifc/policies-standards/ ehs -guidelines y-at-ifc/policies-standards//policies-standards/ehs-guidelines </w:t>
      </w:r>
    </w:p>
    <w:p w14:paraId="1A7B3E24" w14:textId="77777777" w:rsidR="001C2F95" w:rsidRPr="00730A4A" w:rsidRDefault="001C2F95" w:rsidP="001C2F95">
      <w:pPr>
        <w:autoSpaceDE w:val="0"/>
        <w:autoSpaceDN w:val="0"/>
        <w:adjustRightInd w:val="0"/>
        <w:spacing w:line="240" w:lineRule="auto"/>
        <w:jc w:val="left"/>
        <w:rPr>
          <w:rFonts w:ascii="Calibri" w:eastAsia="Calibri" w:hAnsi="Calibri"/>
          <w:color w:val="000000"/>
          <w:sz w:val="22"/>
          <w:lang w:val="en-US" w:eastAsia="en-US"/>
        </w:rPr>
      </w:pPr>
      <w:bookmarkStart w:id="1830" w:name="_Toc386104021"/>
      <w:bookmarkStart w:id="1831" w:name="_Toc391821365"/>
      <w:bookmarkStart w:id="1832" w:name="_Toc404106006"/>
    </w:p>
    <w:p w14:paraId="050B9D36" w14:textId="77777777" w:rsidR="001C2F95" w:rsidRPr="00B61EAF" w:rsidRDefault="001C2F95" w:rsidP="001C2F95">
      <w:pPr>
        <w:pStyle w:val="Paragraphedeliste"/>
        <w:autoSpaceDE w:val="0"/>
        <w:autoSpaceDN w:val="0"/>
        <w:adjustRightInd w:val="0"/>
        <w:ind w:left="851" w:hanging="851"/>
        <w:rPr>
          <w:rFonts w:cs="Arial"/>
          <w:b/>
          <w:szCs w:val="21"/>
          <w:lang w:val="en-US"/>
        </w:rPr>
      </w:pPr>
    </w:p>
    <w:bookmarkEnd w:id="1830"/>
    <w:bookmarkEnd w:id="1831"/>
    <w:bookmarkEnd w:id="1832"/>
    <w:p w14:paraId="299AC196" w14:textId="77777777" w:rsidR="001C2F95" w:rsidRDefault="001C2F95" w:rsidP="001C2F95">
      <w:pPr>
        <w:spacing w:line="240" w:lineRule="auto"/>
        <w:jc w:val="left"/>
        <w:rPr>
          <w:lang w:val="en-US"/>
        </w:rPr>
      </w:pPr>
      <w:r>
        <w:rPr>
          <w:lang w:val="en-US"/>
        </w:rPr>
        <w:br w:type="page"/>
      </w:r>
    </w:p>
    <w:p w14:paraId="31016E56" w14:textId="77777777" w:rsidR="001C2F95" w:rsidRDefault="001C2F95" w:rsidP="001C2F95">
      <w:pPr>
        <w:rPr>
          <w:lang w:val="en-US"/>
        </w:rPr>
      </w:pPr>
    </w:p>
    <w:p w14:paraId="1EF2A0BA" w14:textId="77777777" w:rsidR="00011D57" w:rsidRDefault="00011D57" w:rsidP="001C2F95">
      <w:pPr>
        <w:rPr>
          <w:lang w:val="en-US"/>
        </w:rPr>
      </w:pPr>
    </w:p>
    <w:p w14:paraId="5D0CBDFC" w14:textId="77777777" w:rsidR="00011D57" w:rsidRDefault="00011D57" w:rsidP="001C2F95">
      <w:pPr>
        <w:rPr>
          <w:lang w:val="en-US"/>
        </w:rPr>
      </w:pPr>
    </w:p>
    <w:p w14:paraId="4CE15226" w14:textId="77777777" w:rsidR="00011D57" w:rsidRDefault="00011D57" w:rsidP="001C2F95">
      <w:pPr>
        <w:rPr>
          <w:lang w:val="en-US"/>
        </w:rPr>
      </w:pPr>
    </w:p>
    <w:p w14:paraId="7B196154" w14:textId="77777777" w:rsidR="00011D57" w:rsidRDefault="00011D57" w:rsidP="001C2F95">
      <w:pPr>
        <w:rPr>
          <w:lang w:val="en-US"/>
        </w:rPr>
      </w:pPr>
    </w:p>
    <w:p w14:paraId="17B7D871" w14:textId="77777777" w:rsidR="00011D57" w:rsidRDefault="00011D57" w:rsidP="001C2F95">
      <w:pPr>
        <w:rPr>
          <w:lang w:val="en-US"/>
        </w:rPr>
      </w:pPr>
    </w:p>
    <w:p w14:paraId="02F72386" w14:textId="77777777" w:rsidR="00011D57" w:rsidRDefault="00011D57" w:rsidP="001C2F95">
      <w:pPr>
        <w:rPr>
          <w:lang w:val="en-US"/>
        </w:rPr>
      </w:pPr>
    </w:p>
    <w:p w14:paraId="5E1A6F32" w14:textId="77777777" w:rsidR="00011D57" w:rsidRDefault="00011D57" w:rsidP="001C2F95">
      <w:pPr>
        <w:rPr>
          <w:lang w:val="en-US"/>
        </w:rPr>
      </w:pPr>
    </w:p>
    <w:p w14:paraId="3728AEC1" w14:textId="77777777" w:rsidR="00011D57" w:rsidRDefault="00011D57" w:rsidP="001C2F95">
      <w:pPr>
        <w:rPr>
          <w:lang w:val="en-US"/>
        </w:rPr>
      </w:pPr>
    </w:p>
    <w:p w14:paraId="2EC4E793" w14:textId="77777777" w:rsidR="00011D57" w:rsidRDefault="00011D57" w:rsidP="001C2F95">
      <w:pPr>
        <w:rPr>
          <w:lang w:val="en-US"/>
        </w:rPr>
      </w:pPr>
    </w:p>
    <w:p w14:paraId="52F4B47D" w14:textId="77777777" w:rsidR="00011D57" w:rsidRDefault="00011D57" w:rsidP="001C2F95">
      <w:pPr>
        <w:rPr>
          <w:lang w:val="en-US"/>
        </w:rPr>
      </w:pPr>
    </w:p>
    <w:p w14:paraId="10BD0132" w14:textId="77777777" w:rsidR="00011D57" w:rsidRDefault="00011D57" w:rsidP="001C2F95">
      <w:pPr>
        <w:rPr>
          <w:lang w:val="en-US"/>
        </w:rPr>
      </w:pPr>
    </w:p>
    <w:p w14:paraId="3DE39037" w14:textId="77777777" w:rsidR="00011D57" w:rsidRDefault="00011D57" w:rsidP="001C2F95">
      <w:pPr>
        <w:rPr>
          <w:lang w:val="en-US"/>
        </w:rPr>
      </w:pPr>
    </w:p>
    <w:p w14:paraId="5E205888" w14:textId="77777777" w:rsidR="00011D57" w:rsidRDefault="00011D57" w:rsidP="001C2F95">
      <w:pPr>
        <w:rPr>
          <w:lang w:val="en-US"/>
        </w:rPr>
      </w:pPr>
    </w:p>
    <w:p w14:paraId="19F14F59" w14:textId="77777777" w:rsidR="00011D57" w:rsidRDefault="00011D57" w:rsidP="001C2F95">
      <w:pPr>
        <w:rPr>
          <w:lang w:val="en-US"/>
        </w:rPr>
      </w:pPr>
    </w:p>
    <w:p w14:paraId="597DB90F" w14:textId="77777777" w:rsidR="00011D57" w:rsidRDefault="00011D57" w:rsidP="001C2F95">
      <w:pPr>
        <w:rPr>
          <w:lang w:val="en-US"/>
        </w:rPr>
      </w:pPr>
    </w:p>
    <w:p w14:paraId="47316956" w14:textId="77777777" w:rsidR="00011D57" w:rsidRDefault="00011D57" w:rsidP="001C2F95">
      <w:pPr>
        <w:rPr>
          <w:lang w:val="en-US"/>
        </w:rPr>
      </w:pPr>
    </w:p>
    <w:p w14:paraId="4DA2EFDE" w14:textId="77777777" w:rsidR="00011D57" w:rsidRDefault="00011D57" w:rsidP="001C2F95">
      <w:pPr>
        <w:rPr>
          <w:lang w:val="en-US"/>
        </w:rPr>
      </w:pPr>
    </w:p>
    <w:p w14:paraId="7ED8F980" w14:textId="77777777" w:rsidR="00011D57" w:rsidRDefault="00011D57" w:rsidP="001C2F95">
      <w:pPr>
        <w:rPr>
          <w:lang w:val="en-US"/>
        </w:rPr>
      </w:pPr>
    </w:p>
    <w:p w14:paraId="64E8AC3E" w14:textId="77777777" w:rsidR="00011D57" w:rsidRDefault="00011D57" w:rsidP="001C2F95">
      <w:pPr>
        <w:rPr>
          <w:lang w:val="en-US"/>
        </w:rPr>
      </w:pPr>
    </w:p>
    <w:p w14:paraId="4D24B365" w14:textId="77777777" w:rsidR="00011D57" w:rsidRDefault="00011D57" w:rsidP="001C2F95">
      <w:pPr>
        <w:rPr>
          <w:lang w:val="en-US"/>
        </w:rPr>
      </w:pPr>
    </w:p>
    <w:p w14:paraId="1403009C" w14:textId="77777777" w:rsidR="001C2F95" w:rsidRDefault="001C2F95" w:rsidP="001C2F95">
      <w:pPr>
        <w:rPr>
          <w:lang w:val="en-US"/>
        </w:rPr>
      </w:pPr>
    </w:p>
    <w:p w14:paraId="523B2F1F" w14:textId="77777777" w:rsidR="001C2F95" w:rsidRPr="00763AEF" w:rsidRDefault="001C2F95" w:rsidP="001C2F95">
      <w:pPr>
        <w:rPr>
          <w:lang w:val="en-US"/>
        </w:rPr>
      </w:pPr>
    </w:p>
    <w:p w14:paraId="438B98EB" w14:textId="77777777" w:rsidR="00211F7B" w:rsidRDefault="001C2F95" w:rsidP="001C2F95">
      <w:pPr>
        <w:pStyle w:val="Titre1"/>
        <w:numPr>
          <w:ilvl w:val="0"/>
          <w:numId w:val="4"/>
        </w:numPr>
        <w:jc w:val="center"/>
        <w:rPr>
          <w:rFonts w:cs="Arial"/>
          <w:sz w:val="22"/>
          <w:szCs w:val="22"/>
        </w:rPr>
      </w:pPr>
      <w:bookmarkStart w:id="1833" w:name="_Toc70330528"/>
      <w:r w:rsidRPr="00DD6E4F">
        <w:rPr>
          <w:rFonts w:cs="Arial"/>
          <w:sz w:val="22"/>
          <w:szCs w:val="22"/>
        </w:rPr>
        <w:t>ANNEXES</w:t>
      </w:r>
      <w:bookmarkEnd w:id="1833"/>
    </w:p>
    <w:p w14:paraId="5D765559" w14:textId="77777777" w:rsidR="00730A4A" w:rsidRDefault="00730A4A" w:rsidP="00730A4A"/>
    <w:p w14:paraId="1FB51957" w14:textId="77777777" w:rsidR="00730A4A" w:rsidRDefault="00730A4A" w:rsidP="00730A4A"/>
    <w:p w14:paraId="0199E890" w14:textId="77777777" w:rsidR="00730A4A" w:rsidRDefault="00730A4A" w:rsidP="00730A4A"/>
    <w:p w14:paraId="087B9A82" w14:textId="77777777" w:rsidR="00730A4A" w:rsidRDefault="00730A4A" w:rsidP="00730A4A"/>
    <w:p w14:paraId="08E31791" w14:textId="77777777" w:rsidR="00730A4A" w:rsidRDefault="00730A4A" w:rsidP="00730A4A"/>
    <w:p w14:paraId="0B0BC658" w14:textId="77777777" w:rsidR="00730A4A" w:rsidRDefault="00730A4A" w:rsidP="00730A4A"/>
    <w:p w14:paraId="5DC4E3B0" w14:textId="77777777" w:rsidR="00730A4A" w:rsidRDefault="00730A4A" w:rsidP="00730A4A"/>
    <w:p w14:paraId="655FC498" w14:textId="77777777" w:rsidR="00730A4A" w:rsidRDefault="00730A4A" w:rsidP="00730A4A"/>
    <w:p w14:paraId="2605E1B9" w14:textId="77777777" w:rsidR="00730A4A" w:rsidRDefault="00730A4A" w:rsidP="00730A4A"/>
    <w:p w14:paraId="4AB13C44" w14:textId="77777777" w:rsidR="00730A4A" w:rsidRDefault="00730A4A" w:rsidP="00730A4A"/>
    <w:p w14:paraId="0C61D02D" w14:textId="77777777" w:rsidR="00730A4A" w:rsidRDefault="00730A4A" w:rsidP="00730A4A"/>
    <w:p w14:paraId="1F7C0F2A" w14:textId="77777777" w:rsidR="00730A4A" w:rsidRDefault="00730A4A" w:rsidP="00730A4A"/>
    <w:p w14:paraId="755E764D" w14:textId="77777777" w:rsidR="00730A4A" w:rsidRDefault="00730A4A" w:rsidP="00730A4A"/>
    <w:p w14:paraId="43ED6314" w14:textId="77777777" w:rsidR="00730A4A" w:rsidRDefault="00730A4A" w:rsidP="00730A4A"/>
    <w:p w14:paraId="04FEE0E4" w14:textId="77777777" w:rsidR="00730A4A" w:rsidRDefault="00730A4A" w:rsidP="00730A4A"/>
    <w:p w14:paraId="41065083" w14:textId="77777777" w:rsidR="00730A4A" w:rsidRDefault="00730A4A" w:rsidP="00730A4A"/>
    <w:p w14:paraId="2A4B8895" w14:textId="77777777" w:rsidR="00730A4A" w:rsidRDefault="00730A4A" w:rsidP="00730A4A"/>
    <w:p w14:paraId="2EC3918C" w14:textId="77777777" w:rsidR="00730A4A" w:rsidRDefault="00730A4A" w:rsidP="00730A4A"/>
    <w:p w14:paraId="1FB38466" w14:textId="77777777" w:rsidR="00730A4A" w:rsidRDefault="00730A4A" w:rsidP="00730A4A"/>
    <w:p w14:paraId="44EAFD0B" w14:textId="77777777" w:rsidR="00730A4A" w:rsidRDefault="00730A4A" w:rsidP="00730A4A"/>
    <w:p w14:paraId="05FA6D7C" w14:textId="77777777" w:rsidR="00730A4A" w:rsidRDefault="00730A4A" w:rsidP="00730A4A"/>
    <w:p w14:paraId="7346E365" w14:textId="77777777" w:rsidR="00730A4A" w:rsidRDefault="00730A4A" w:rsidP="00730A4A"/>
    <w:p w14:paraId="018E801F" w14:textId="77777777" w:rsidR="00730A4A" w:rsidRDefault="00730A4A" w:rsidP="00730A4A"/>
    <w:p w14:paraId="52D5E46D" w14:textId="77777777" w:rsidR="00730A4A" w:rsidRDefault="00730A4A" w:rsidP="00730A4A"/>
    <w:p w14:paraId="72A90828" w14:textId="77777777" w:rsidR="00730A4A" w:rsidRDefault="00730A4A" w:rsidP="00730A4A"/>
    <w:p w14:paraId="59AAD4AD" w14:textId="77777777" w:rsidR="00730A4A" w:rsidRDefault="00730A4A" w:rsidP="00730A4A"/>
    <w:p w14:paraId="09ADCB4A" w14:textId="77777777" w:rsidR="00730A4A" w:rsidRDefault="00730A4A" w:rsidP="00730A4A"/>
    <w:p w14:paraId="6B5C9293" w14:textId="77777777" w:rsidR="00730A4A" w:rsidRDefault="00730A4A" w:rsidP="00730A4A"/>
    <w:p w14:paraId="596FF02F" w14:textId="77777777" w:rsidR="00730A4A" w:rsidRDefault="00730A4A" w:rsidP="00730A4A"/>
    <w:p w14:paraId="365E32BC" w14:textId="77777777" w:rsidR="00730A4A" w:rsidRPr="00730A4A" w:rsidRDefault="00730A4A" w:rsidP="00730A4A"/>
    <w:p w14:paraId="56CD3335" w14:textId="77777777" w:rsidR="00871A3A" w:rsidRDefault="00871A3A" w:rsidP="007B405C">
      <w:pPr>
        <w:spacing w:after="160" w:line="259" w:lineRule="auto"/>
        <w:jc w:val="left"/>
        <w:rPr>
          <w:rFonts w:cs="Arial"/>
          <w:b/>
          <w:bCs/>
          <w:sz w:val="22"/>
        </w:rPr>
      </w:pPr>
    </w:p>
    <w:p w14:paraId="19325B16" w14:textId="77777777" w:rsidR="007B405C" w:rsidRDefault="007B405C" w:rsidP="00871A3A">
      <w:pPr>
        <w:rPr>
          <w:rFonts w:cs="Arial"/>
          <w:b/>
          <w:sz w:val="22"/>
        </w:rPr>
      </w:pPr>
    </w:p>
    <w:p w14:paraId="3BDD24DF" w14:textId="77777777" w:rsidR="007B405C" w:rsidRDefault="007B405C" w:rsidP="00871A3A">
      <w:pPr>
        <w:rPr>
          <w:rFonts w:cs="Arial"/>
          <w:b/>
          <w:sz w:val="22"/>
        </w:rPr>
      </w:pPr>
    </w:p>
    <w:p w14:paraId="2DDC5C99" w14:textId="77777777" w:rsidR="007B405C" w:rsidRDefault="007B405C" w:rsidP="00871A3A">
      <w:pPr>
        <w:rPr>
          <w:rFonts w:cs="Arial"/>
          <w:b/>
          <w:sz w:val="22"/>
        </w:rPr>
      </w:pPr>
    </w:p>
    <w:p w14:paraId="79D92E66" w14:textId="77777777" w:rsidR="007B405C" w:rsidRDefault="007B405C" w:rsidP="00871A3A">
      <w:pPr>
        <w:rPr>
          <w:rFonts w:cs="Arial"/>
          <w:b/>
          <w:sz w:val="22"/>
        </w:rPr>
      </w:pPr>
    </w:p>
    <w:p w14:paraId="1BD5F093" w14:textId="77777777" w:rsidR="007B405C" w:rsidRDefault="007B405C" w:rsidP="00871A3A">
      <w:pPr>
        <w:rPr>
          <w:rFonts w:cs="Arial"/>
          <w:b/>
          <w:sz w:val="22"/>
        </w:rPr>
      </w:pPr>
    </w:p>
    <w:p w14:paraId="797AF211" w14:textId="77777777" w:rsidR="007B405C" w:rsidRDefault="007B405C">
      <w:pPr>
        <w:spacing w:after="160" w:line="259" w:lineRule="auto"/>
        <w:jc w:val="left"/>
        <w:rPr>
          <w:rFonts w:cs="Arial"/>
          <w:b/>
          <w:sz w:val="22"/>
        </w:rPr>
      </w:pPr>
      <w:r>
        <w:rPr>
          <w:rFonts w:cs="Arial"/>
          <w:b/>
          <w:sz w:val="22"/>
        </w:rPr>
        <w:br w:type="page"/>
      </w:r>
    </w:p>
    <w:p w14:paraId="7CA57EFE" w14:textId="77777777" w:rsidR="007B405C" w:rsidRDefault="007B405C" w:rsidP="00871A3A">
      <w:pPr>
        <w:rPr>
          <w:rFonts w:cs="Arial"/>
          <w:b/>
          <w:sz w:val="22"/>
        </w:rPr>
      </w:pPr>
    </w:p>
    <w:p w14:paraId="7405CA2F" w14:textId="77777777" w:rsidR="00871A3A" w:rsidRPr="00871A3A" w:rsidRDefault="00871A3A" w:rsidP="00871A3A">
      <w:pPr>
        <w:rPr>
          <w:rFonts w:cs="Arial"/>
          <w:b/>
          <w:sz w:val="22"/>
        </w:rPr>
      </w:pPr>
      <w:r w:rsidRPr="00871A3A">
        <w:rPr>
          <w:rFonts w:cs="Arial"/>
          <w:b/>
          <w:sz w:val="22"/>
        </w:rPr>
        <w:t xml:space="preserve">ANNEXE 1. FORMULAIRE DE SÉLECTION ENVIRONNEMENTALE ET SOCIALE </w:t>
      </w:r>
    </w:p>
    <w:p w14:paraId="1D2A6D47" w14:textId="77777777" w:rsidR="00871A3A" w:rsidRPr="007E3D1A" w:rsidRDefault="00871A3A" w:rsidP="00871A3A">
      <w:pPr>
        <w:rPr>
          <w:rFonts w:cs="Arial"/>
          <w:sz w:val="22"/>
        </w:rPr>
      </w:pPr>
    </w:p>
    <w:p w14:paraId="7FAF0E89" w14:textId="77777777" w:rsidR="00871A3A" w:rsidRPr="007E3D1A" w:rsidRDefault="00871A3A" w:rsidP="00871A3A">
      <w:pPr>
        <w:rPr>
          <w:rFonts w:cs="Arial"/>
          <w:sz w:val="22"/>
        </w:rPr>
      </w:pPr>
      <w:r w:rsidRPr="007E3D1A">
        <w:rPr>
          <w:rFonts w:cs="Arial"/>
          <w:sz w:val="22"/>
        </w:rPr>
        <w:t>Classification des risques environnementaux et sociaux des sous-projets du PNDA</w:t>
      </w:r>
    </w:p>
    <w:p w14:paraId="79CDA47D" w14:textId="77777777" w:rsidR="00871A3A" w:rsidRPr="007E3D1A" w:rsidRDefault="00871A3A" w:rsidP="00871A3A">
      <w:pPr>
        <w:rPr>
          <w:rFonts w:cs="Arial"/>
          <w:sz w:val="22"/>
        </w:rPr>
      </w:pPr>
    </w:p>
    <w:p w14:paraId="612C4007" w14:textId="77777777" w:rsidR="00871A3A" w:rsidRPr="007E3D1A" w:rsidRDefault="00871A3A" w:rsidP="00871A3A">
      <w:pPr>
        <w:rPr>
          <w:rFonts w:cs="Arial"/>
          <w:sz w:val="22"/>
        </w:rPr>
      </w:pPr>
      <w:r w:rsidRPr="007E3D1A">
        <w:rPr>
          <w:rFonts w:cs="Arial"/>
          <w:sz w:val="22"/>
        </w:rPr>
        <w:t xml:space="preserve">La classification des sous-projets du PNDA se fera conformément aux directives du nouveau Cadre environnemental et social (CES) de la Banque mondiale, qui permet de classer tous les sous-projets (y compris ceux faisant intervenir des intermédiaires financiers) selon le niveau de risque environnemental et social dans l’une des quatre catégories suivantes : Risque élevé, risque substantiel, risque modéré ou risque faible. </w:t>
      </w:r>
    </w:p>
    <w:p w14:paraId="79A126AE" w14:textId="77777777" w:rsidR="00871A3A" w:rsidRPr="007E3D1A" w:rsidRDefault="00871A3A" w:rsidP="00871A3A">
      <w:pPr>
        <w:rPr>
          <w:rFonts w:cs="Arial"/>
          <w:sz w:val="22"/>
        </w:rPr>
      </w:pPr>
    </w:p>
    <w:p w14:paraId="3655CEC2" w14:textId="77777777" w:rsidR="00871A3A" w:rsidRPr="007E3D1A" w:rsidRDefault="00871A3A" w:rsidP="00871A3A">
      <w:pPr>
        <w:rPr>
          <w:rFonts w:cs="Arial"/>
          <w:sz w:val="22"/>
        </w:rPr>
      </w:pPr>
      <w:r w:rsidRPr="007E3D1A">
        <w:rPr>
          <w:rFonts w:cs="Arial"/>
          <w:sz w:val="22"/>
        </w:rPr>
        <w:t xml:space="preserve">L’équipe de mise en œuvre du projet entreprendront cette sélection environnementale et sociale des sous-projet dans le but d’évaluer les risques et effets environnementaux et sociaux, et proposer ainsi les mesures de mitigations qui s’imposent, proportionnées aux risques et effets potentiels, y compris la définition du document de sauvegardes environnementale et Sociale à préparer.  </w:t>
      </w:r>
    </w:p>
    <w:p w14:paraId="14E9B189" w14:textId="77777777" w:rsidR="00871A3A" w:rsidRPr="007E3D1A" w:rsidRDefault="00871A3A" w:rsidP="00871A3A">
      <w:pPr>
        <w:rPr>
          <w:rFonts w:cs="Arial"/>
          <w:sz w:val="22"/>
        </w:rPr>
      </w:pPr>
    </w:p>
    <w:p w14:paraId="644C8C11" w14:textId="77777777" w:rsidR="00871A3A" w:rsidRPr="007E3D1A" w:rsidRDefault="00871A3A" w:rsidP="00871A3A">
      <w:pPr>
        <w:rPr>
          <w:rFonts w:cs="Arial"/>
          <w:sz w:val="22"/>
        </w:rPr>
      </w:pPr>
      <w:r w:rsidRPr="007E3D1A">
        <w:rPr>
          <w:rFonts w:cs="Arial"/>
          <w:sz w:val="22"/>
        </w:rPr>
        <w:t>Le présent formulaire de sélection se fait en tenant compte de la nature, la localisation, la sensibilité et l’envergure du sous-projet pour aider dans la classification du niveau de risque environnemental et social. Le formulaire a été conçu afin que les risques et impacts environnementaux et sociaux, ainsi que les mesures d’atténuation y relatives, s’il y en a, soient identifiés et/ou que les exigences en vue d’une analyse environnementale et sociale plus poussée soient déterminées.</w:t>
      </w:r>
    </w:p>
    <w:p w14:paraId="67A643F6" w14:textId="77777777" w:rsidR="00871A3A" w:rsidRPr="007E3D1A" w:rsidRDefault="00871A3A" w:rsidP="00871A3A">
      <w:pPr>
        <w:rPr>
          <w:rFonts w:cs="Arial"/>
          <w:sz w:val="22"/>
        </w:rPr>
      </w:pPr>
    </w:p>
    <w:tbl>
      <w:tblPr>
        <w:tblW w:w="9525" w:type="dxa"/>
        <w:tblInd w:w="97" w:type="dxa"/>
        <w:tblLayout w:type="fixed"/>
        <w:tblCellMar>
          <w:left w:w="0" w:type="dxa"/>
          <w:right w:w="0" w:type="dxa"/>
        </w:tblCellMar>
        <w:tblLook w:val="01E0" w:firstRow="1" w:lastRow="1" w:firstColumn="1" w:lastColumn="1" w:noHBand="0" w:noVBand="0"/>
      </w:tblPr>
      <w:tblGrid>
        <w:gridCol w:w="468"/>
        <w:gridCol w:w="6841"/>
        <w:gridCol w:w="2216"/>
      </w:tblGrid>
      <w:tr w:rsidR="00871A3A" w:rsidRPr="007E3D1A" w14:paraId="7E3E172B" w14:textId="77777777" w:rsidTr="00BB0401">
        <w:trPr>
          <w:trHeight w:hRule="exact" w:val="264"/>
        </w:trPr>
        <w:tc>
          <w:tcPr>
            <w:tcW w:w="9525" w:type="dxa"/>
            <w:gridSpan w:val="3"/>
            <w:tcBorders>
              <w:top w:val="single" w:sz="4" w:space="0" w:color="000000"/>
              <w:left w:val="single" w:sz="4" w:space="0" w:color="000000"/>
              <w:bottom w:val="single" w:sz="4" w:space="0" w:color="000000"/>
              <w:right w:val="single" w:sz="4" w:space="0" w:color="000000"/>
            </w:tcBorders>
          </w:tcPr>
          <w:p w14:paraId="708A21C3" w14:textId="77777777" w:rsidR="00871A3A" w:rsidRPr="007E3D1A" w:rsidRDefault="00871A3A" w:rsidP="00BB0401">
            <w:pPr>
              <w:rPr>
                <w:rFonts w:cs="Arial"/>
                <w:sz w:val="22"/>
              </w:rPr>
            </w:pPr>
            <w:r w:rsidRPr="007E3D1A">
              <w:rPr>
                <w:rFonts w:cs="Arial"/>
                <w:sz w:val="22"/>
              </w:rPr>
              <w:t>Formulaire de sélection (screening) environnementale et sociale</w:t>
            </w:r>
          </w:p>
        </w:tc>
      </w:tr>
      <w:tr w:rsidR="00871A3A" w:rsidRPr="007E3D1A" w14:paraId="4E74F8E5" w14:textId="77777777" w:rsidTr="00BB0401">
        <w:trPr>
          <w:trHeight w:hRule="exact" w:val="262"/>
        </w:trPr>
        <w:tc>
          <w:tcPr>
            <w:tcW w:w="468" w:type="dxa"/>
            <w:tcBorders>
              <w:top w:val="single" w:sz="4" w:space="0" w:color="000000"/>
              <w:left w:val="single" w:sz="4" w:space="0" w:color="000000"/>
              <w:bottom w:val="single" w:sz="4" w:space="0" w:color="000000"/>
              <w:right w:val="single" w:sz="4" w:space="0" w:color="000000"/>
            </w:tcBorders>
          </w:tcPr>
          <w:p w14:paraId="2F0BCB07" w14:textId="77777777" w:rsidR="00871A3A" w:rsidRPr="007E3D1A" w:rsidRDefault="00871A3A" w:rsidP="00BB0401">
            <w:pPr>
              <w:rPr>
                <w:rFonts w:cs="Arial"/>
                <w:sz w:val="22"/>
              </w:rPr>
            </w:pPr>
            <w:r w:rsidRPr="007E3D1A">
              <w:rPr>
                <w:rFonts w:cs="Arial"/>
                <w:sz w:val="22"/>
              </w:rPr>
              <w:t>1</w:t>
            </w:r>
          </w:p>
        </w:tc>
        <w:tc>
          <w:tcPr>
            <w:tcW w:w="6841" w:type="dxa"/>
            <w:tcBorders>
              <w:top w:val="single" w:sz="4" w:space="0" w:color="000000"/>
              <w:left w:val="single" w:sz="4" w:space="0" w:color="000000"/>
              <w:bottom w:val="single" w:sz="4" w:space="0" w:color="000000"/>
              <w:right w:val="single" w:sz="4" w:space="0" w:color="000000"/>
            </w:tcBorders>
          </w:tcPr>
          <w:p w14:paraId="72788F80" w14:textId="77777777" w:rsidR="00871A3A" w:rsidRPr="007E3D1A" w:rsidRDefault="00871A3A" w:rsidP="00BB0401">
            <w:pPr>
              <w:rPr>
                <w:rFonts w:cs="Arial"/>
                <w:sz w:val="22"/>
              </w:rPr>
            </w:pPr>
            <w:r w:rsidRPr="007E3D1A">
              <w:rPr>
                <w:rFonts w:cs="Arial"/>
                <w:sz w:val="22"/>
              </w:rPr>
              <w:t>Nom de la localité, quartier et commune où l’activité sera réalisée</w:t>
            </w:r>
          </w:p>
        </w:tc>
        <w:tc>
          <w:tcPr>
            <w:tcW w:w="2216" w:type="dxa"/>
            <w:tcBorders>
              <w:top w:val="single" w:sz="4" w:space="0" w:color="000000"/>
              <w:left w:val="single" w:sz="4" w:space="0" w:color="000000"/>
              <w:bottom w:val="single" w:sz="4" w:space="0" w:color="000000"/>
              <w:right w:val="single" w:sz="4" w:space="0" w:color="000000"/>
            </w:tcBorders>
          </w:tcPr>
          <w:p w14:paraId="1626180A" w14:textId="77777777" w:rsidR="00871A3A" w:rsidRPr="007E3D1A" w:rsidRDefault="00871A3A" w:rsidP="00BB0401">
            <w:pPr>
              <w:rPr>
                <w:rFonts w:cs="Arial"/>
                <w:sz w:val="22"/>
              </w:rPr>
            </w:pPr>
          </w:p>
        </w:tc>
      </w:tr>
      <w:tr w:rsidR="00871A3A" w:rsidRPr="007E3D1A" w14:paraId="0D7E3067" w14:textId="77777777" w:rsidTr="00BB0401">
        <w:trPr>
          <w:trHeight w:hRule="exact" w:val="262"/>
        </w:trPr>
        <w:tc>
          <w:tcPr>
            <w:tcW w:w="468" w:type="dxa"/>
            <w:tcBorders>
              <w:top w:val="single" w:sz="4" w:space="0" w:color="000000"/>
              <w:left w:val="single" w:sz="4" w:space="0" w:color="000000"/>
              <w:bottom w:val="single" w:sz="4" w:space="0" w:color="000000"/>
              <w:right w:val="single" w:sz="4" w:space="0" w:color="000000"/>
            </w:tcBorders>
          </w:tcPr>
          <w:p w14:paraId="787D4B0B" w14:textId="77777777" w:rsidR="00871A3A" w:rsidRPr="007E3D1A" w:rsidRDefault="00871A3A" w:rsidP="00BB0401">
            <w:pPr>
              <w:rPr>
                <w:rFonts w:cs="Arial"/>
                <w:sz w:val="22"/>
              </w:rPr>
            </w:pPr>
            <w:r w:rsidRPr="007E3D1A">
              <w:rPr>
                <w:rFonts w:cs="Arial"/>
                <w:sz w:val="22"/>
              </w:rPr>
              <w:t>2</w:t>
            </w:r>
          </w:p>
        </w:tc>
        <w:tc>
          <w:tcPr>
            <w:tcW w:w="6841" w:type="dxa"/>
            <w:tcBorders>
              <w:top w:val="single" w:sz="4" w:space="0" w:color="000000"/>
              <w:left w:val="single" w:sz="4" w:space="0" w:color="000000"/>
              <w:bottom w:val="single" w:sz="4" w:space="0" w:color="000000"/>
              <w:right w:val="single" w:sz="4" w:space="0" w:color="000000"/>
            </w:tcBorders>
          </w:tcPr>
          <w:p w14:paraId="79B4EDBD" w14:textId="77777777" w:rsidR="00871A3A" w:rsidRPr="007E3D1A" w:rsidRDefault="00871A3A" w:rsidP="00BB0401">
            <w:pPr>
              <w:rPr>
                <w:rFonts w:cs="Arial"/>
                <w:sz w:val="22"/>
              </w:rPr>
            </w:pPr>
            <w:r w:rsidRPr="007E3D1A">
              <w:rPr>
                <w:rFonts w:cs="Arial"/>
                <w:sz w:val="22"/>
              </w:rPr>
              <w:t>Nom de l’Agence d’Exécution du sous-projet</w:t>
            </w:r>
          </w:p>
        </w:tc>
        <w:tc>
          <w:tcPr>
            <w:tcW w:w="2216" w:type="dxa"/>
            <w:tcBorders>
              <w:top w:val="single" w:sz="4" w:space="0" w:color="000000"/>
              <w:left w:val="single" w:sz="4" w:space="0" w:color="000000"/>
              <w:bottom w:val="single" w:sz="4" w:space="0" w:color="000000"/>
              <w:right w:val="single" w:sz="4" w:space="0" w:color="000000"/>
            </w:tcBorders>
          </w:tcPr>
          <w:p w14:paraId="2D115888" w14:textId="77777777" w:rsidR="00871A3A" w:rsidRPr="007E3D1A" w:rsidRDefault="00871A3A" w:rsidP="00BB0401">
            <w:pPr>
              <w:rPr>
                <w:rFonts w:cs="Arial"/>
                <w:sz w:val="22"/>
              </w:rPr>
            </w:pPr>
          </w:p>
        </w:tc>
      </w:tr>
      <w:tr w:rsidR="00871A3A" w:rsidRPr="007E3D1A" w14:paraId="5E7A861C" w14:textId="77777777" w:rsidTr="00BB0401">
        <w:trPr>
          <w:trHeight w:val="323"/>
        </w:trPr>
        <w:tc>
          <w:tcPr>
            <w:tcW w:w="468" w:type="dxa"/>
            <w:vMerge w:val="restart"/>
            <w:tcBorders>
              <w:top w:val="single" w:sz="4" w:space="0" w:color="000000"/>
              <w:left w:val="single" w:sz="4" w:space="0" w:color="000000"/>
              <w:right w:val="single" w:sz="4" w:space="0" w:color="000000"/>
            </w:tcBorders>
          </w:tcPr>
          <w:p w14:paraId="3D138E79" w14:textId="77777777" w:rsidR="00871A3A" w:rsidRPr="007E3D1A" w:rsidRDefault="00871A3A" w:rsidP="00BB0401">
            <w:pPr>
              <w:rPr>
                <w:rFonts w:cs="Arial"/>
                <w:sz w:val="22"/>
              </w:rPr>
            </w:pPr>
            <w:r w:rsidRPr="007E3D1A">
              <w:rPr>
                <w:rFonts w:cs="Arial"/>
                <w:sz w:val="22"/>
              </w:rPr>
              <w:t>3</w:t>
            </w:r>
          </w:p>
        </w:tc>
        <w:tc>
          <w:tcPr>
            <w:tcW w:w="6841" w:type="dxa"/>
            <w:vMerge w:val="restart"/>
            <w:tcBorders>
              <w:top w:val="single" w:sz="4" w:space="0" w:color="000000"/>
              <w:left w:val="single" w:sz="4" w:space="0" w:color="000000"/>
              <w:right w:val="single" w:sz="4" w:space="0" w:color="000000"/>
            </w:tcBorders>
          </w:tcPr>
          <w:p w14:paraId="324D947F" w14:textId="77777777" w:rsidR="00871A3A" w:rsidRPr="007E3D1A" w:rsidRDefault="00871A3A" w:rsidP="00BB0401">
            <w:pPr>
              <w:rPr>
                <w:rFonts w:cs="Arial"/>
                <w:sz w:val="22"/>
              </w:rPr>
            </w:pPr>
            <w:r w:rsidRPr="007E3D1A">
              <w:rPr>
                <w:rFonts w:cs="Arial"/>
                <w:sz w:val="22"/>
              </w:rPr>
              <w:t>Nom, titre, et informations sur la personne chargée de remplir le présent formulaire.</w:t>
            </w:r>
          </w:p>
        </w:tc>
        <w:tc>
          <w:tcPr>
            <w:tcW w:w="2216" w:type="dxa"/>
            <w:tcBorders>
              <w:top w:val="single" w:sz="4" w:space="0" w:color="000000"/>
              <w:left w:val="single" w:sz="4" w:space="0" w:color="000000"/>
              <w:bottom w:val="single" w:sz="4" w:space="0" w:color="000000"/>
              <w:right w:val="single" w:sz="4" w:space="0" w:color="000000"/>
            </w:tcBorders>
          </w:tcPr>
          <w:p w14:paraId="65468C20" w14:textId="77777777" w:rsidR="00871A3A" w:rsidRPr="007E3D1A" w:rsidRDefault="00871A3A" w:rsidP="00BB0401">
            <w:pPr>
              <w:rPr>
                <w:rFonts w:cs="Arial"/>
                <w:sz w:val="22"/>
              </w:rPr>
            </w:pPr>
            <w:r w:rsidRPr="007E3D1A">
              <w:rPr>
                <w:rFonts w:cs="Arial"/>
                <w:sz w:val="22"/>
              </w:rPr>
              <w:t>Nom et titre</w:t>
            </w:r>
          </w:p>
        </w:tc>
      </w:tr>
      <w:tr w:rsidR="00871A3A" w:rsidRPr="007E3D1A" w14:paraId="39C30ABB" w14:textId="77777777" w:rsidTr="00BB0401">
        <w:trPr>
          <w:trHeight w:hRule="exact" w:val="305"/>
        </w:trPr>
        <w:tc>
          <w:tcPr>
            <w:tcW w:w="468" w:type="dxa"/>
            <w:vMerge/>
            <w:tcBorders>
              <w:left w:val="single" w:sz="4" w:space="0" w:color="000000"/>
              <w:bottom w:val="single" w:sz="4" w:space="0" w:color="000000"/>
              <w:right w:val="single" w:sz="4" w:space="0" w:color="000000"/>
            </w:tcBorders>
          </w:tcPr>
          <w:p w14:paraId="1D77BBE3" w14:textId="77777777" w:rsidR="00871A3A" w:rsidRPr="007E3D1A" w:rsidDel="00B93A45" w:rsidRDefault="00871A3A" w:rsidP="00BB0401">
            <w:pPr>
              <w:rPr>
                <w:rFonts w:cs="Arial"/>
                <w:sz w:val="22"/>
              </w:rPr>
            </w:pPr>
          </w:p>
        </w:tc>
        <w:tc>
          <w:tcPr>
            <w:tcW w:w="6841" w:type="dxa"/>
            <w:vMerge/>
            <w:tcBorders>
              <w:left w:val="single" w:sz="4" w:space="0" w:color="000000"/>
              <w:bottom w:val="single" w:sz="4" w:space="0" w:color="000000"/>
              <w:right w:val="single" w:sz="4" w:space="0" w:color="000000"/>
            </w:tcBorders>
          </w:tcPr>
          <w:p w14:paraId="156FB388" w14:textId="77777777" w:rsidR="00871A3A" w:rsidRPr="007E3D1A" w:rsidRDefault="00871A3A" w:rsidP="00BB0401">
            <w:pPr>
              <w:rPr>
                <w:rFonts w:cs="Arial"/>
                <w:sz w:val="22"/>
              </w:rPr>
            </w:pPr>
          </w:p>
        </w:tc>
        <w:tc>
          <w:tcPr>
            <w:tcW w:w="2216" w:type="dxa"/>
            <w:tcBorders>
              <w:top w:val="single" w:sz="4" w:space="0" w:color="000000"/>
              <w:left w:val="single" w:sz="4" w:space="0" w:color="000000"/>
              <w:bottom w:val="single" w:sz="4" w:space="0" w:color="000000"/>
              <w:right w:val="single" w:sz="4" w:space="0" w:color="000000"/>
            </w:tcBorders>
          </w:tcPr>
          <w:p w14:paraId="7947277E" w14:textId="77777777" w:rsidR="00871A3A" w:rsidRPr="007E3D1A" w:rsidRDefault="00871A3A" w:rsidP="00BB0401">
            <w:pPr>
              <w:rPr>
                <w:rFonts w:cs="Arial"/>
                <w:sz w:val="22"/>
              </w:rPr>
            </w:pPr>
            <w:r w:rsidRPr="007E3D1A">
              <w:rPr>
                <w:rFonts w:cs="Arial"/>
                <w:sz w:val="22"/>
              </w:rPr>
              <w:t>Date et signature</w:t>
            </w:r>
          </w:p>
        </w:tc>
      </w:tr>
      <w:tr w:rsidR="00871A3A" w:rsidRPr="007E3D1A" w14:paraId="0B7D8FF0" w14:textId="77777777" w:rsidTr="00BB0401">
        <w:trPr>
          <w:trHeight w:val="170"/>
        </w:trPr>
        <w:tc>
          <w:tcPr>
            <w:tcW w:w="468" w:type="dxa"/>
            <w:vMerge w:val="restart"/>
            <w:tcBorders>
              <w:top w:val="single" w:sz="4" w:space="0" w:color="000000"/>
              <w:left w:val="single" w:sz="4" w:space="0" w:color="000000"/>
              <w:right w:val="single" w:sz="4" w:space="0" w:color="000000"/>
            </w:tcBorders>
          </w:tcPr>
          <w:p w14:paraId="0A7F6873" w14:textId="77777777" w:rsidR="00871A3A" w:rsidRPr="007E3D1A" w:rsidRDefault="00871A3A" w:rsidP="00BB0401">
            <w:pPr>
              <w:rPr>
                <w:rFonts w:cs="Arial"/>
                <w:sz w:val="22"/>
              </w:rPr>
            </w:pPr>
            <w:r w:rsidRPr="007E3D1A">
              <w:rPr>
                <w:rFonts w:cs="Arial"/>
                <w:sz w:val="22"/>
              </w:rPr>
              <w:t>4</w:t>
            </w:r>
          </w:p>
        </w:tc>
        <w:tc>
          <w:tcPr>
            <w:tcW w:w="6841" w:type="dxa"/>
            <w:vMerge w:val="restart"/>
            <w:tcBorders>
              <w:top w:val="single" w:sz="4" w:space="0" w:color="000000"/>
              <w:left w:val="single" w:sz="4" w:space="0" w:color="000000"/>
              <w:right w:val="single" w:sz="4" w:space="0" w:color="000000"/>
            </w:tcBorders>
          </w:tcPr>
          <w:p w14:paraId="54D6C650" w14:textId="77777777" w:rsidR="00871A3A" w:rsidRPr="007E3D1A" w:rsidRDefault="00871A3A" w:rsidP="00BB0401">
            <w:pPr>
              <w:rPr>
                <w:rFonts w:cs="Arial"/>
                <w:sz w:val="22"/>
              </w:rPr>
            </w:pPr>
            <w:r w:rsidRPr="007E3D1A">
              <w:rPr>
                <w:rFonts w:cs="Arial"/>
                <w:sz w:val="22"/>
              </w:rPr>
              <w:t>Nom, fonction, et informations sur la personne chargée de valider le contenu du présent formulaire.</w:t>
            </w:r>
          </w:p>
        </w:tc>
        <w:tc>
          <w:tcPr>
            <w:tcW w:w="2216" w:type="dxa"/>
            <w:tcBorders>
              <w:top w:val="single" w:sz="4" w:space="0" w:color="000000"/>
              <w:left w:val="single" w:sz="4" w:space="0" w:color="000000"/>
              <w:bottom w:val="single" w:sz="4" w:space="0" w:color="000000"/>
              <w:right w:val="single" w:sz="4" w:space="0" w:color="000000"/>
            </w:tcBorders>
          </w:tcPr>
          <w:p w14:paraId="4E82D04A" w14:textId="77777777" w:rsidR="00871A3A" w:rsidRPr="007E3D1A" w:rsidRDefault="00871A3A" w:rsidP="00BB0401">
            <w:pPr>
              <w:rPr>
                <w:rFonts w:cs="Arial"/>
                <w:sz w:val="22"/>
              </w:rPr>
            </w:pPr>
            <w:r w:rsidRPr="007E3D1A">
              <w:rPr>
                <w:rFonts w:cs="Arial"/>
                <w:sz w:val="22"/>
              </w:rPr>
              <w:t>Nom et titre</w:t>
            </w:r>
          </w:p>
        </w:tc>
      </w:tr>
      <w:tr w:rsidR="00871A3A" w:rsidRPr="007E3D1A" w14:paraId="0AE90A6F" w14:textId="77777777" w:rsidTr="00BB0401">
        <w:trPr>
          <w:trHeight w:hRule="exact" w:val="427"/>
        </w:trPr>
        <w:tc>
          <w:tcPr>
            <w:tcW w:w="468" w:type="dxa"/>
            <w:vMerge/>
            <w:tcBorders>
              <w:left w:val="single" w:sz="4" w:space="0" w:color="000000"/>
              <w:bottom w:val="single" w:sz="4" w:space="0" w:color="000000"/>
              <w:right w:val="single" w:sz="4" w:space="0" w:color="000000"/>
            </w:tcBorders>
          </w:tcPr>
          <w:p w14:paraId="6B0790A0" w14:textId="77777777" w:rsidR="00871A3A" w:rsidRPr="007E3D1A" w:rsidRDefault="00871A3A" w:rsidP="00BB0401">
            <w:pPr>
              <w:rPr>
                <w:rFonts w:cs="Arial"/>
                <w:sz w:val="22"/>
              </w:rPr>
            </w:pPr>
          </w:p>
        </w:tc>
        <w:tc>
          <w:tcPr>
            <w:tcW w:w="6841" w:type="dxa"/>
            <w:vMerge/>
            <w:tcBorders>
              <w:left w:val="single" w:sz="4" w:space="0" w:color="000000"/>
              <w:bottom w:val="single" w:sz="4" w:space="0" w:color="000000"/>
              <w:right w:val="single" w:sz="4" w:space="0" w:color="000000"/>
            </w:tcBorders>
          </w:tcPr>
          <w:p w14:paraId="1C442AEF" w14:textId="77777777" w:rsidR="00871A3A" w:rsidRPr="007E3D1A" w:rsidRDefault="00871A3A" w:rsidP="00BB0401">
            <w:pPr>
              <w:rPr>
                <w:rFonts w:cs="Arial"/>
                <w:sz w:val="22"/>
              </w:rPr>
            </w:pPr>
          </w:p>
        </w:tc>
        <w:tc>
          <w:tcPr>
            <w:tcW w:w="2216" w:type="dxa"/>
            <w:tcBorders>
              <w:top w:val="single" w:sz="4" w:space="0" w:color="000000"/>
              <w:left w:val="single" w:sz="4" w:space="0" w:color="000000"/>
              <w:bottom w:val="single" w:sz="4" w:space="0" w:color="000000"/>
              <w:right w:val="single" w:sz="4" w:space="0" w:color="000000"/>
            </w:tcBorders>
          </w:tcPr>
          <w:p w14:paraId="7E2FE05F" w14:textId="77777777" w:rsidR="00871A3A" w:rsidRPr="007E3D1A" w:rsidRDefault="00871A3A" w:rsidP="00BB0401">
            <w:pPr>
              <w:rPr>
                <w:rFonts w:cs="Arial"/>
                <w:sz w:val="22"/>
              </w:rPr>
            </w:pPr>
            <w:r w:rsidRPr="007E3D1A">
              <w:rPr>
                <w:rFonts w:cs="Arial"/>
                <w:sz w:val="22"/>
              </w:rPr>
              <w:t>Date et signature</w:t>
            </w:r>
          </w:p>
          <w:p w14:paraId="0DBF9CA4" w14:textId="77777777" w:rsidR="00871A3A" w:rsidRPr="007E3D1A" w:rsidRDefault="00871A3A" w:rsidP="00BB0401">
            <w:pPr>
              <w:rPr>
                <w:rFonts w:cs="Arial"/>
                <w:sz w:val="22"/>
              </w:rPr>
            </w:pPr>
          </w:p>
        </w:tc>
      </w:tr>
    </w:tbl>
    <w:p w14:paraId="29420969" w14:textId="77777777" w:rsidR="00871A3A" w:rsidRPr="007E3D1A" w:rsidRDefault="00871A3A" w:rsidP="00871A3A">
      <w:pPr>
        <w:rPr>
          <w:rFonts w:cs="Arial"/>
          <w:sz w:val="22"/>
        </w:rPr>
      </w:pPr>
    </w:p>
    <w:p w14:paraId="656FC6C0" w14:textId="77777777" w:rsidR="00871A3A" w:rsidRPr="007E3D1A" w:rsidRDefault="00871A3A" w:rsidP="00871A3A">
      <w:pPr>
        <w:rPr>
          <w:rFonts w:cs="Arial"/>
          <w:sz w:val="22"/>
        </w:rPr>
      </w:pPr>
    </w:p>
    <w:p w14:paraId="0C28AA24" w14:textId="77777777" w:rsidR="00871A3A" w:rsidRPr="007E3D1A" w:rsidRDefault="00871A3A" w:rsidP="00871A3A">
      <w:pPr>
        <w:rPr>
          <w:rFonts w:cs="Arial"/>
          <w:sz w:val="22"/>
        </w:rPr>
      </w:pPr>
      <w:r w:rsidRPr="007E3D1A">
        <w:rPr>
          <w:rFonts w:cs="Arial"/>
          <w:sz w:val="22"/>
        </w:rPr>
        <w:t>Fournir les informations pertinentes sur la nature, la localisation, la sensibilité et l’envergure du projet (i) le sous-projet proposé (nature, localisation, superficie, terrain nécessaire, taille approximative de la surface totale à occuper) ; (ii) les actions nécessaires pendant la mise en œuvre des activités et l’exploitation du sous-projet.</w:t>
      </w:r>
    </w:p>
    <w:p w14:paraId="0F13DA42" w14:textId="77777777" w:rsidR="00871A3A" w:rsidRPr="007E3D1A" w:rsidRDefault="00871A3A" w:rsidP="00871A3A">
      <w:pPr>
        <w:rPr>
          <w:rFonts w:cs="Arial"/>
          <w:sz w:val="22"/>
        </w:rPr>
      </w:pPr>
    </w:p>
    <w:p w14:paraId="07A8CBC7" w14:textId="77777777" w:rsidR="00871A3A" w:rsidRPr="007E3D1A" w:rsidRDefault="00871A3A" w:rsidP="00871A3A">
      <w:pPr>
        <w:rPr>
          <w:rFonts w:cs="Arial"/>
          <w:sz w:val="22"/>
        </w:rPr>
      </w:pPr>
      <w:r w:rsidRPr="007E3D1A">
        <w:rPr>
          <w:rFonts w:cs="Arial"/>
          <w:sz w:val="22"/>
        </w:rPr>
        <w:t>Principales caractéristiques environnementales et sociales du site du sous-projet</w:t>
      </w:r>
    </w:p>
    <w:p w14:paraId="719E54CD" w14:textId="77777777" w:rsidR="00871A3A" w:rsidRPr="007E3D1A" w:rsidRDefault="00871A3A" w:rsidP="00871A3A">
      <w:pPr>
        <w:rPr>
          <w:rFonts w:cs="Arial"/>
          <w:sz w:val="22"/>
        </w:rPr>
      </w:pPr>
    </w:p>
    <w:p w14:paraId="62282F90" w14:textId="77777777" w:rsidR="00871A3A" w:rsidRPr="007E3D1A" w:rsidRDefault="00871A3A" w:rsidP="00871A3A">
      <w:pPr>
        <w:rPr>
          <w:rFonts w:cs="Arial"/>
          <w:sz w:val="22"/>
        </w:rPr>
      </w:pPr>
      <w:r w:rsidRPr="007E3D1A">
        <w:rPr>
          <w:rFonts w:cs="Arial"/>
          <w:sz w:val="22"/>
        </w:rPr>
        <w:t>Fournir les informations pertinentes sur les principales caractéristiques environnementales et sociales du site du sous-projet, en mettant un accent sur les éléments valorisés de l’environnement, les groupes vulnérables, etc.</w:t>
      </w:r>
    </w:p>
    <w:p w14:paraId="3AB58127" w14:textId="77777777" w:rsidR="00871A3A" w:rsidRPr="007E3D1A" w:rsidRDefault="00871A3A" w:rsidP="00871A3A">
      <w:pPr>
        <w:rPr>
          <w:rFonts w:cs="Arial"/>
          <w:sz w:val="22"/>
        </w:rPr>
      </w:pPr>
    </w:p>
    <w:p w14:paraId="602886D7" w14:textId="77777777" w:rsidR="00871A3A" w:rsidRPr="007E3D1A" w:rsidRDefault="00871A3A" w:rsidP="00871A3A">
      <w:pPr>
        <w:rPr>
          <w:rFonts w:cs="Arial"/>
          <w:sz w:val="22"/>
        </w:rPr>
      </w:pPr>
    </w:p>
    <w:p w14:paraId="0DC9BF80" w14:textId="77777777" w:rsidR="00871A3A" w:rsidRPr="007E3D1A" w:rsidRDefault="00871A3A" w:rsidP="00871A3A">
      <w:pPr>
        <w:rPr>
          <w:rFonts w:cs="Arial"/>
          <w:sz w:val="22"/>
        </w:rPr>
      </w:pPr>
      <w:r w:rsidRPr="007E3D1A">
        <w:rPr>
          <w:rFonts w:cs="Arial"/>
          <w:sz w:val="22"/>
        </w:rPr>
        <w:t>Identification des risques environnementaux et sociaux potentiels</w:t>
      </w:r>
    </w:p>
    <w:p w14:paraId="0FC4395D" w14:textId="77777777" w:rsidR="00871A3A" w:rsidRPr="007E3D1A" w:rsidRDefault="00871A3A" w:rsidP="00871A3A">
      <w:pPr>
        <w:rPr>
          <w:rFonts w:cs="Arial"/>
          <w:sz w:val="22"/>
        </w:rPr>
      </w:pPr>
    </w:p>
    <w:tbl>
      <w:tblPr>
        <w:tblW w:w="545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9"/>
        <w:gridCol w:w="3043"/>
        <w:gridCol w:w="1465"/>
        <w:gridCol w:w="1438"/>
        <w:gridCol w:w="831"/>
        <w:gridCol w:w="1521"/>
      </w:tblGrid>
      <w:tr w:rsidR="00871A3A" w:rsidRPr="007E3D1A" w14:paraId="41590FD1" w14:textId="77777777" w:rsidTr="00871A3A">
        <w:trPr>
          <w:trHeight w:val="228"/>
          <w:tblHeader/>
        </w:trPr>
        <w:tc>
          <w:tcPr>
            <w:tcW w:w="804" w:type="pct"/>
          </w:tcPr>
          <w:p w14:paraId="75D97089" w14:textId="77777777" w:rsidR="00871A3A" w:rsidRPr="007E3D1A" w:rsidRDefault="00871A3A" w:rsidP="00871A3A">
            <w:pPr>
              <w:jc w:val="center"/>
              <w:rPr>
                <w:rFonts w:cs="Arial"/>
                <w:sz w:val="22"/>
              </w:rPr>
            </w:pPr>
            <w:r w:rsidRPr="007E3D1A">
              <w:rPr>
                <w:rFonts w:cs="Arial"/>
                <w:sz w:val="22"/>
              </w:rPr>
              <w:t>Composantes</w:t>
            </w:r>
          </w:p>
          <w:p w14:paraId="31BF2A1C" w14:textId="77777777" w:rsidR="00871A3A" w:rsidRPr="007E3D1A" w:rsidRDefault="00871A3A" w:rsidP="00871A3A">
            <w:pPr>
              <w:jc w:val="center"/>
              <w:rPr>
                <w:rFonts w:cs="Arial"/>
                <w:sz w:val="22"/>
              </w:rPr>
            </w:pPr>
            <w:r w:rsidRPr="007E3D1A">
              <w:rPr>
                <w:rFonts w:cs="Arial"/>
                <w:sz w:val="22"/>
              </w:rPr>
              <w:t>Environnementales et Sociales</w:t>
            </w:r>
          </w:p>
        </w:tc>
        <w:tc>
          <w:tcPr>
            <w:tcW w:w="1539" w:type="pct"/>
            <w:vAlign w:val="bottom"/>
          </w:tcPr>
          <w:p w14:paraId="0DBF5535" w14:textId="77777777" w:rsidR="00871A3A" w:rsidRPr="007E3D1A" w:rsidRDefault="00871A3A" w:rsidP="00871A3A">
            <w:pPr>
              <w:jc w:val="center"/>
              <w:rPr>
                <w:rFonts w:cs="Arial"/>
                <w:sz w:val="22"/>
              </w:rPr>
            </w:pPr>
            <w:r w:rsidRPr="007E3D1A">
              <w:rPr>
                <w:rFonts w:cs="Arial"/>
                <w:sz w:val="22"/>
              </w:rPr>
              <w:t>Préoccupations environnementales et sociales</w:t>
            </w:r>
          </w:p>
          <w:p w14:paraId="00348E5A" w14:textId="77777777" w:rsidR="00871A3A" w:rsidRPr="007E3D1A" w:rsidRDefault="00871A3A" w:rsidP="00871A3A">
            <w:pPr>
              <w:jc w:val="center"/>
              <w:rPr>
                <w:rFonts w:cs="Arial"/>
                <w:sz w:val="22"/>
              </w:rPr>
            </w:pPr>
          </w:p>
        </w:tc>
        <w:tc>
          <w:tcPr>
            <w:tcW w:w="741" w:type="pct"/>
            <w:vAlign w:val="bottom"/>
          </w:tcPr>
          <w:p w14:paraId="7B45B9BB" w14:textId="77777777" w:rsidR="00871A3A" w:rsidRDefault="00871A3A" w:rsidP="00871A3A">
            <w:pPr>
              <w:jc w:val="center"/>
              <w:rPr>
                <w:rFonts w:cs="Arial"/>
                <w:sz w:val="22"/>
              </w:rPr>
            </w:pPr>
            <w:r w:rsidRPr="007E3D1A">
              <w:rPr>
                <w:rFonts w:cs="Arial"/>
                <w:sz w:val="22"/>
              </w:rPr>
              <w:t>Phase des travaux</w:t>
            </w:r>
            <w:r w:rsidRPr="007E3D1A">
              <w:rPr>
                <w:rFonts w:cs="Arial"/>
                <w:sz w:val="22"/>
              </w:rPr>
              <w:footnoteReference w:id="22"/>
            </w:r>
          </w:p>
          <w:p w14:paraId="3CF32D20" w14:textId="77777777" w:rsidR="00871A3A" w:rsidRPr="007E3D1A" w:rsidRDefault="00871A3A" w:rsidP="00871A3A">
            <w:pPr>
              <w:jc w:val="center"/>
              <w:rPr>
                <w:rFonts w:cs="Arial"/>
                <w:sz w:val="22"/>
              </w:rPr>
            </w:pPr>
          </w:p>
        </w:tc>
        <w:tc>
          <w:tcPr>
            <w:tcW w:w="727" w:type="pct"/>
            <w:vAlign w:val="bottom"/>
          </w:tcPr>
          <w:p w14:paraId="581705F5" w14:textId="77777777" w:rsidR="00871A3A" w:rsidRDefault="00871A3A" w:rsidP="00871A3A">
            <w:pPr>
              <w:jc w:val="center"/>
              <w:rPr>
                <w:rFonts w:cs="Arial"/>
                <w:sz w:val="22"/>
              </w:rPr>
            </w:pPr>
            <w:r w:rsidRPr="007E3D1A">
              <w:rPr>
                <w:rFonts w:cs="Arial"/>
                <w:sz w:val="22"/>
              </w:rPr>
              <w:t>Phase d’exploitation</w:t>
            </w:r>
            <w:r w:rsidRPr="007E3D1A">
              <w:rPr>
                <w:rFonts w:cs="Arial"/>
                <w:sz w:val="22"/>
              </w:rPr>
              <w:footnoteReference w:id="23"/>
            </w:r>
          </w:p>
          <w:p w14:paraId="064C5FF9" w14:textId="77777777" w:rsidR="00871A3A" w:rsidRPr="007E3D1A" w:rsidRDefault="00871A3A" w:rsidP="00871A3A">
            <w:pPr>
              <w:jc w:val="center"/>
              <w:rPr>
                <w:rFonts w:cs="Arial"/>
                <w:sz w:val="22"/>
              </w:rPr>
            </w:pPr>
          </w:p>
        </w:tc>
        <w:tc>
          <w:tcPr>
            <w:tcW w:w="420" w:type="pct"/>
          </w:tcPr>
          <w:p w14:paraId="3B0A9060" w14:textId="77777777" w:rsidR="00871A3A" w:rsidRPr="007E3D1A" w:rsidRDefault="00871A3A" w:rsidP="00871A3A">
            <w:pPr>
              <w:jc w:val="center"/>
              <w:rPr>
                <w:rFonts w:cs="Arial"/>
                <w:sz w:val="22"/>
              </w:rPr>
            </w:pPr>
            <w:r w:rsidRPr="007E3D1A">
              <w:rPr>
                <w:rFonts w:cs="Arial"/>
                <w:sz w:val="22"/>
              </w:rPr>
              <w:t>Résultat</w:t>
            </w:r>
            <w:r w:rsidRPr="007E3D1A">
              <w:rPr>
                <w:rFonts w:cs="Arial"/>
                <w:sz w:val="22"/>
              </w:rPr>
              <w:footnoteReference w:id="24"/>
            </w:r>
          </w:p>
          <w:p w14:paraId="1F518034" w14:textId="77777777" w:rsidR="00871A3A" w:rsidRPr="007E3D1A" w:rsidRDefault="00871A3A" w:rsidP="00871A3A">
            <w:pPr>
              <w:jc w:val="center"/>
              <w:rPr>
                <w:rFonts w:cs="Arial"/>
                <w:sz w:val="22"/>
              </w:rPr>
            </w:pPr>
          </w:p>
        </w:tc>
        <w:tc>
          <w:tcPr>
            <w:tcW w:w="769" w:type="pct"/>
          </w:tcPr>
          <w:p w14:paraId="14B00FC1" w14:textId="77777777" w:rsidR="00871A3A" w:rsidRPr="007E3D1A" w:rsidRDefault="00871A3A" w:rsidP="00871A3A">
            <w:pPr>
              <w:jc w:val="center"/>
              <w:rPr>
                <w:rFonts w:cs="Arial"/>
                <w:sz w:val="22"/>
              </w:rPr>
            </w:pPr>
            <w:r w:rsidRPr="007E3D1A">
              <w:rPr>
                <w:rFonts w:cs="Arial"/>
                <w:sz w:val="22"/>
              </w:rPr>
              <w:t>Commentaires</w:t>
            </w:r>
            <w:r w:rsidRPr="007E3D1A">
              <w:rPr>
                <w:rFonts w:cs="Arial"/>
                <w:sz w:val="22"/>
              </w:rPr>
              <w:footnoteReference w:id="25"/>
            </w:r>
          </w:p>
        </w:tc>
      </w:tr>
      <w:tr w:rsidR="00871A3A" w:rsidRPr="007E3D1A" w14:paraId="7EE35E76" w14:textId="77777777" w:rsidTr="00871A3A">
        <w:trPr>
          <w:trHeight w:val="228"/>
        </w:trPr>
        <w:tc>
          <w:tcPr>
            <w:tcW w:w="804" w:type="pct"/>
          </w:tcPr>
          <w:p w14:paraId="10C0A151" w14:textId="77777777" w:rsidR="00871A3A" w:rsidRPr="007E3D1A" w:rsidRDefault="00871A3A" w:rsidP="00BB0401">
            <w:pPr>
              <w:rPr>
                <w:rFonts w:cs="Arial"/>
                <w:sz w:val="22"/>
              </w:rPr>
            </w:pPr>
            <w:r w:rsidRPr="007E3D1A">
              <w:rPr>
                <w:rFonts w:cs="Arial"/>
                <w:sz w:val="22"/>
              </w:rPr>
              <w:t>Air</w:t>
            </w:r>
          </w:p>
        </w:tc>
        <w:tc>
          <w:tcPr>
            <w:tcW w:w="1539" w:type="pct"/>
            <w:vAlign w:val="bottom"/>
          </w:tcPr>
          <w:p w14:paraId="48F9527A" w14:textId="77777777" w:rsidR="00871A3A" w:rsidRPr="007E3D1A" w:rsidRDefault="00871A3A" w:rsidP="00BB0401">
            <w:pPr>
              <w:rPr>
                <w:rFonts w:cs="Arial"/>
                <w:sz w:val="22"/>
              </w:rPr>
            </w:pPr>
            <w:r w:rsidRPr="007E3D1A">
              <w:rPr>
                <w:rFonts w:cs="Arial"/>
                <w:sz w:val="22"/>
              </w:rPr>
              <w:t>L’activité risque-t-elle de causer une pollution de l’air et l’atmosphère (émission de particules, fumées, etc.) ?</w:t>
            </w:r>
          </w:p>
          <w:p w14:paraId="1FDDF90D" w14:textId="77777777" w:rsidR="00871A3A" w:rsidRPr="007E3D1A" w:rsidRDefault="00871A3A" w:rsidP="00BB0401">
            <w:pPr>
              <w:rPr>
                <w:rFonts w:cs="Arial"/>
                <w:sz w:val="22"/>
              </w:rPr>
            </w:pPr>
          </w:p>
        </w:tc>
        <w:tc>
          <w:tcPr>
            <w:tcW w:w="741" w:type="pct"/>
            <w:vAlign w:val="center"/>
          </w:tcPr>
          <w:p w14:paraId="21A81C53" w14:textId="77777777" w:rsidR="00871A3A" w:rsidRPr="007E3D1A" w:rsidRDefault="00871A3A" w:rsidP="00BB0401">
            <w:pPr>
              <w:rPr>
                <w:rFonts w:cs="Arial"/>
                <w:sz w:val="22"/>
              </w:rPr>
            </w:pPr>
            <w:r w:rsidRPr="007E3D1A">
              <w:rPr>
                <w:rFonts w:cs="Arial"/>
                <w:sz w:val="22"/>
              </w:rPr>
              <w:t>Oui (majeur) = 2</w:t>
            </w:r>
          </w:p>
          <w:p w14:paraId="49536342" w14:textId="77777777" w:rsidR="00871A3A" w:rsidRPr="007E3D1A" w:rsidRDefault="00871A3A" w:rsidP="00BB0401">
            <w:pPr>
              <w:rPr>
                <w:rFonts w:cs="Arial"/>
                <w:sz w:val="22"/>
              </w:rPr>
            </w:pPr>
            <w:r w:rsidRPr="007E3D1A">
              <w:rPr>
                <w:rFonts w:cs="Arial"/>
                <w:sz w:val="22"/>
              </w:rPr>
              <w:t>Oui (mineur) = 1</w:t>
            </w:r>
          </w:p>
          <w:p w14:paraId="1F13C347"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54374EA3" w14:textId="77777777" w:rsidR="00871A3A" w:rsidRPr="007E3D1A" w:rsidRDefault="00871A3A" w:rsidP="00BB0401">
            <w:pPr>
              <w:rPr>
                <w:rFonts w:cs="Arial"/>
                <w:sz w:val="22"/>
              </w:rPr>
            </w:pPr>
            <w:r w:rsidRPr="007E3D1A">
              <w:rPr>
                <w:rFonts w:cs="Arial"/>
                <w:sz w:val="22"/>
              </w:rPr>
              <w:t>Oui (majeur) = 2</w:t>
            </w:r>
          </w:p>
          <w:p w14:paraId="68D0A6DE" w14:textId="77777777" w:rsidR="00871A3A" w:rsidRPr="007E3D1A" w:rsidRDefault="00871A3A" w:rsidP="00BB0401">
            <w:pPr>
              <w:rPr>
                <w:rFonts w:cs="Arial"/>
                <w:sz w:val="22"/>
              </w:rPr>
            </w:pPr>
            <w:r w:rsidRPr="007E3D1A">
              <w:rPr>
                <w:rFonts w:cs="Arial"/>
                <w:sz w:val="22"/>
              </w:rPr>
              <w:t>Oui (mineur) = 1</w:t>
            </w:r>
          </w:p>
          <w:p w14:paraId="279E82D1" w14:textId="77777777" w:rsidR="00871A3A" w:rsidRPr="007E3D1A" w:rsidRDefault="00871A3A" w:rsidP="00BB0401">
            <w:pPr>
              <w:rPr>
                <w:rFonts w:cs="Arial"/>
                <w:sz w:val="22"/>
              </w:rPr>
            </w:pPr>
            <w:r w:rsidRPr="007E3D1A">
              <w:rPr>
                <w:rFonts w:cs="Arial"/>
                <w:sz w:val="22"/>
              </w:rPr>
              <w:t>Non = 0</w:t>
            </w:r>
          </w:p>
        </w:tc>
        <w:tc>
          <w:tcPr>
            <w:tcW w:w="420" w:type="pct"/>
          </w:tcPr>
          <w:p w14:paraId="070D628C" w14:textId="77777777" w:rsidR="00871A3A" w:rsidRPr="007E3D1A" w:rsidRDefault="00871A3A" w:rsidP="00BB0401">
            <w:pPr>
              <w:rPr>
                <w:rFonts w:cs="Arial"/>
                <w:sz w:val="22"/>
              </w:rPr>
            </w:pPr>
          </w:p>
        </w:tc>
        <w:tc>
          <w:tcPr>
            <w:tcW w:w="769" w:type="pct"/>
          </w:tcPr>
          <w:p w14:paraId="278A4770" w14:textId="77777777" w:rsidR="00871A3A" w:rsidRPr="007E3D1A" w:rsidRDefault="00871A3A" w:rsidP="00BB0401">
            <w:pPr>
              <w:rPr>
                <w:rFonts w:cs="Arial"/>
                <w:sz w:val="22"/>
              </w:rPr>
            </w:pPr>
          </w:p>
        </w:tc>
      </w:tr>
      <w:tr w:rsidR="00871A3A" w:rsidRPr="007E3D1A" w14:paraId="2B8B38E2" w14:textId="77777777" w:rsidTr="00871A3A">
        <w:trPr>
          <w:cantSplit/>
          <w:trHeight w:val="228"/>
        </w:trPr>
        <w:tc>
          <w:tcPr>
            <w:tcW w:w="804" w:type="pct"/>
            <w:vMerge w:val="restart"/>
          </w:tcPr>
          <w:p w14:paraId="73ABDFB5" w14:textId="77777777" w:rsidR="00871A3A" w:rsidRPr="007E3D1A" w:rsidRDefault="00871A3A" w:rsidP="00BB0401">
            <w:pPr>
              <w:rPr>
                <w:rFonts w:cs="Arial"/>
                <w:sz w:val="22"/>
              </w:rPr>
            </w:pPr>
            <w:r w:rsidRPr="007E3D1A">
              <w:rPr>
                <w:rFonts w:cs="Arial"/>
                <w:sz w:val="22"/>
              </w:rPr>
              <w:t>Sols</w:t>
            </w:r>
          </w:p>
        </w:tc>
        <w:tc>
          <w:tcPr>
            <w:tcW w:w="1539" w:type="pct"/>
            <w:vAlign w:val="bottom"/>
          </w:tcPr>
          <w:p w14:paraId="23B212EC" w14:textId="77777777" w:rsidR="00871A3A" w:rsidRPr="007E3D1A" w:rsidRDefault="00871A3A" w:rsidP="00BB0401">
            <w:pPr>
              <w:rPr>
                <w:rFonts w:cs="Arial"/>
                <w:sz w:val="22"/>
              </w:rPr>
            </w:pPr>
            <w:r w:rsidRPr="007E3D1A">
              <w:rPr>
                <w:rFonts w:cs="Arial"/>
                <w:sz w:val="22"/>
              </w:rPr>
              <w:t xml:space="preserve">L’activité risque-t-elle de causer une pollution des sols ? </w:t>
            </w:r>
          </w:p>
          <w:p w14:paraId="018CBE6E" w14:textId="77777777" w:rsidR="00871A3A" w:rsidRPr="007E3D1A" w:rsidRDefault="00871A3A" w:rsidP="00BB0401">
            <w:pPr>
              <w:rPr>
                <w:rFonts w:cs="Arial"/>
                <w:sz w:val="22"/>
              </w:rPr>
            </w:pPr>
          </w:p>
        </w:tc>
        <w:tc>
          <w:tcPr>
            <w:tcW w:w="741" w:type="pct"/>
            <w:vAlign w:val="center"/>
          </w:tcPr>
          <w:p w14:paraId="0F723B82" w14:textId="77777777" w:rsidR="00871A3A" w:rsidRPr="007E3D1A" w:rsidRDefault="00871A3A" w:rsidP="00BB0401">
            <w:pPr>
              <w:rPr>
                <w:rFonts w:cs="Arial"/>
                <w:sz w:val="22"/>
              </w:rPr>
            </w:pPr>
            <w:r w:rsidRPr="007E3D1A">
              <w:rPr>
                <w:rFonts w:cs="Arial"/>
                <w:sz w:val="22"/>
              </w:rPr>
              <w:t>Oui (majeur) = 2</w:t>
            </w:r>
          </w:p>
          <w:p w14:paraId="2C61B0E3" w14:textId="77777777" w:rsidR="00871A3A" w:rsidRPr="007E3D1A" w:rsidRDefault="00871A3A" w:rsidP="00BB0401">
            <w:pPr>
              <w:rPr>
                <w:rFonts w:cs="Arial"/>
                <w:sz w:val="22"/>
              </w:rPr>
            </w:pPr>
            <w:r w:rsidRPr="007E3D1A">
              <w:rPr>
                <w:rFonts w:cs="Arial"/>
                <w:sz w:val="22"/>
              </w:rPr>
              <w:t>Oui (mineur) = 1</w:t>
            </w:r>
          </w:p>
          <w:p w14:paraId="3ACBBE75"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3556635C" w14:textId="77777777" w:rsidR="00871A3A" w:rsidRPr="007E3D1A" w:rsidRDefault="00871A3A" w:rsidP="00BB0401">
            <w:pPr>
              <w:rPr>
                <w:rFonts w:cs="Arial"/>
                <w:sz w:val="22"/>
              </w:rPr>
            </w:pPr>
            <w:r w:rsidRPr="007E3D1A">
              <w:rPr>
                <w:rFonts w:cs="Arial"/>
                <w:sz w:val="22"/>
              </w:rPr>
              <w:t>Oui (majeur) = 2</w:t>
            </w:r>
          </w:p>
          <w:p w14:paraId="4E2EA247" w14:textId="77777777" w:rsidR="00871A3A" w:rsidRPr="007E3D1A" w:rsidRDefault="00871A3A" w:rsidP="00BB0401">
            <w:pPr>
              <w:rPr>
                <w:rFonts w:cs="Arial"/>
                <w:sz w:val="22"/>
              </w:rPr>
            </w:pPr>
            <w:r w:rsidRPr="007E3D1A">
              <w:rPr>
                <w:rFonts w:cs="Arial"/>
                <w:sz w:val="22"/>
              </w:rPr>
              <w:t>Oui (mineur) = 1</w:t>
            </w:r>
          </w:p>
          <w:p w14:paraId="6E14602C" w14:textId="77777777" w:rsidR="00871A3A" w:rsidRPr="007E3D1A" w:rsidRDefault="00871A3A" w:rsidP="00BB0401">
            <w:pPr>
              <w:rPr>
                <w:rFonts w:cs="Arial"/>
                <w:sz w:val="22"/>
              </w:rPr>
            </w:pPr>
            <w:r w:rsidRPr="007E3D1A">
              <w:rPr>
                <w:rFonts w:cs="Arial"/>
                <w:sz w:val="22"/>
              </w:rPr>
              <w:t>Non = 0</w:t>
            </w:r>
          </w:p>
        </w:tc>
        <w:tc>
          <w:tcPr>
            <w:tcW w:w="420" w:type="pct"/>
          </w:tcPr>
          <w:p w14:paraId="1EBA64C8" w14:textId="77777777" w:rsidR="00871A3A" w:rsidRPr="007E3D1A" w:rsidRDefault="00871A3A" w:rsidP="00BB0401">
            <w:pPr>
              <w:rPr>
                <w:rFonts w:cs="Arial"/>
                <w:sz w:val="22"/>
              </w:rPr>
            </w:pPr>
          </w:p>
        </w:tc>
        <w:tc>
          <w:tcPr>
            <w:tcW w:w="769" w:type="pct"/>
          </w:tcPr>
          <w:p w14:paraId="6FB91C9A" w14:textId="77777777" w:rsidR="00871A3A" w:rsidRPr="007E3D1A" w:rsidRDefault="00871A3A" w:rsidP="00BB0401">
            <w:pPr>
              <w:rPr>
                <w:rFonts w:cs="Arial"/>
                <w:sz w:val="22"/>
              </w:rPr>
            </w:pPr>
          </w:p>
        </w:tc>
      </w:tr>
      <w:tr w:rsidR="00871A3A" w:rsidRPr="007E3D1A" w14:paraId="57E045A9" w14:textId="77777777" w:rsidTr="00871A3A">
        <w:trPr>
          <w:cantSplit/>
          <w:trHeight w:val="228"/>
        </w:trPr>
        <w:tc>
          <w:tcPr>
            <w:tcW w:w="804" w:type="pct"/>
            <w:vMerge/>
          </w:tcPr>
          <w:p w14:paraId="1711F02C" w14:textId="77777777" w:rsidR="00871A3A" w:rsidRPr="007E3D1A" w:rsidRDefault="00871A3A" w:rsidP="00BB0401">
            <w:pPr>
              <w:rPr>
                <w:rFonts w:cs="Arial"/>
                <w:sz w:val="22"/>
              </w:rPr>
            </w:pPr>
          </w:p>
        </w:tc>
        <w:tc>
          <w:tcPr>
            <w:tcW w:w="1539" w:type="pct"/>
            <w:vAlign w:val="bottom"/>
          </w:tcPr>
          <w:p w14:paraId="2637990F" w14:textId="77777777" w:rsidR="00871A3A" w:rsidRPr="007E3D1A" w:rsidRDefault="00871A3A" w:rsidP="00BB0401">
            <w:pPr>
              <w:rPr>
                <w:rFonts w:cs="Arial"/>
                <w:sz w:val="22"/>
              </w:rPr>
            </w:pPr>
            <w:r w:rsidRPr="007E3D1A">
              <w:rPr>
                <w:rFonts w:cs="Arial"/>
                <w:sz w:val="22"/>
              </w:rPr>
              <w:t>L’activité risque-t-elle de causer la dégradation des sols (érosion, ravinement, compactage, etc.) ?</w:t>
            </w:r>
          </w:p>
          <w:p w14:paraId="3DF79C75" w14:textId="77777777" w:rsidR="00871A3A" w:rsidRPr="007E3D1A" w:rsidRDefault="00871A3A" w:rsidP="00BB0401">
            <w:pPr>
              <w:rPr>
                <w:rFonts w:cs="Arial"/>
                <w:sz w:val="22"/>
              </w:rPr>
            </w:pPr>
          </w:p>
        </w:tc>
        <w:tc>
          <w:tcPr>
            <w:tcW w:w="741" w:type="pct"/>
            <w:vAlign w:val="center"/>
          </w:tcPr>
          <w:p w14:paraId="5F39FD55" w14:textId="77777777" w:rsidR="00871A3A" w:rsidRPr="007E3D1A" w:rsidRDefault="00871A3A" w:rsidP="00BB0401">
            <w:pPr>
              <w:rPr>
                <w:rFonts w:cs="Arial"/>
                <w:sz w:val="22"/>
              </w:rPr>
            </w:pPr>
            <w:r w:rsidRPr="007E3D1A">
              <w:rPr>
                <w:rFonts w:cs="Arial"/>
                <w:sz w:val="22"/>
              </w:rPr>
              <w:t>Oui (majeur) = 2</w:t>
            </w:r>
          </w:p>
          <w:p w14:paraId="4EB894FF" w14:textId="77777777" w:rsidR="00871A3A" w:rsidRPr="007E3D1A" w:rsidRDefault="00871A3A" w:rsidP="00BB0401">
            <w:pPr>
              <w:rPr>
                <w:rFonts w:cs="Arial"/>
                <w:sz w:val="22"/>
              </w:rPr>
            </w:pPr>
            <w:r w:rsidRPr="007E3D1A">
              <w:rPr>
                <w:rFonts w:cs="Arial"/>
                <w:sz w:val="22"/>
              </w:rPr>
              <w:t>Oui (mineur) = 1</w:t>
            </w:r>
          </w:p>
          <w:p w14:paraId="1A38E2CA"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1361254B" w14:textId="77777777" w:rsidR="00871A3A" w:rsidRPr="007E3D1A" w:rsidRDefault="00871A3A" w:rsidP="00BB0401">
            <w:pPr>
              <w:rPr>
                <w:rFonts w:cs="Arial"/>
                <w:sz w:val="22"/>
              </w:rPr>
            </w:pPr>
            <w:r w:rsidRPr="007E3D1A">
              <w:rPr>
                <w:rFonts w:cs="Arial"/>
                <w:sz w:val="22"/>
              </w:rPr>
              <w:t>Oui (majeur) = 2</w:t>
            </w:r>
          </w:p>
          <w:p w14:paraId="10E073C8" w14:textId="77777777" w:rsidR="00871A3A" w:rsidRPr="007E3D1A" w:rsidRDefault="00871A3A" w:rsidP="00BB0401">
            <w:pPr>
              <w:rPr>
                <w:rFonts w:cs="Arial"/>
                <w:sz w:val="22"/>
              </w:rPr>
            </w:pPr>
            <w:r w:rsidRPr="007E3D1A">
              <w:rPr>
                <w:rFonts w:cs="Arial"/>
                <w:sz w:val="22"/>
              </w:rPr>
              <w:t>Oui (mineur) = 1</w:t>
            </w:r>
          </w:p>
          <w:p w14:paraId="0DC688B7" w14:textId="77777777" w:rsidR="00871A3A" w:rsidRPr="007E3D1A" w:rsidRDefault="00871A3A" w:rsidP="00BB0401">
            <w:pPr>
              <w:rPr>
                <w:rFonts w:cs="Arial"/>
                <w:sz w:val="22"/>
              </w:rPr>
            </w:pPr>
            <w:r w:rsidRPr="007E3D1A">
              <w:rPr>
                <w:rFonts w:cs="Arial"/>
                <w:sz w:val="22"/>
              </w:rPr>
              <w:t>Non = 0</w:t>
            </w:r>
          </w:p>
        </w:tc>
        <w:tc>
          <w:tcPr>
            <w:tcW w:w="420" w:type="pct"/>
          </w:tcPr>
          <w:p w14:paraId="14778BC8" w14:textId="77777777" w:rsidR="00871A3A" w:rsidRPr="007E3D1A" w:rsidRDefault="00871A3A" w:rsidP="00BB0401">
            <w:pPr>
              <w:rPr>
                <w:rFonts w:cs="Arial"/>
                <w:sz w:val="22"/>
              </w:rPr>
            </w:pPr>
          </w:p>
        </w:tc>
        <w:tc>
          <w:tcPr>
            <w:tcW w:w="769" w:type="pct"/>
          </w:tcPr>
          <w:p w14:paraId="493A2D14" w14:textId="77777777" w:rsidR="00871A3A" w:rsidRPr="007E3D1A" w:rsidRDefault="00871A3A" w:rsidP="00BB0401">
            <w:pPr>
              <w:rPr>
                <w:rFonts w:cs="Arial"/>
                <w:sz w:val="22"/>
              </w:rPr>
            </w:pPr>
          </w:p>
        </w:tc>
      </w:tr>
      <w:tr w:rsidR="00871A3A" w:rsidRPr="007E3D1A" w14:paraId="1D6FDA45" w14:textId="77777777" w:rsidTr="00871A3A">
        <w:trPr>
          <w:cantSplit/>
          <w:trHeight w:val="228"/>
        </w:trPr>
        <w:tc>
          <w:tcPr>
            <w:tcW w:w="804" w:type="pct"/>
            <w:vMerge/>
          </w:tcPr>
          <w:p w14:paraId="51DD45BA" w14:textId="77777777" w:rsidR="00871A3A" w:rsidRPr="007E3D1A" w:rsidRDefault="00871A3A" w:rsidP="00BB0401">
            <w:pPr>
              <w:rPr>
                <w:rFonts w:cs="Arial"/>
                <w:sz w:val="22"/>
              </w:rPr>
            </w:pPr>
          </w:p>
        </w:tc>
        <w:tc>
          <w:tcPr>
            <w:tcW w:w="1539" w:type="pct"/>
            <w:vAlign w:val="bottom"/>
          </w:tcPr>
          <w:p w14:paraId="30C8C88A" w14:textId="77777777" w:rsidR="00871A3A" w:rsidRPr="007E3D1A" w:rsidRDefault="00871A3A" w:rsidP="00BB0401">
            <w:pPr>
              <w:rPr>
                <w:rFonts w:cs="Arial"/>
                <w:sz w:val="22"/>
              </w:rPr>
            </w:pPr>
            <w:r w:rsidRPr="007E3D1A">
              <w:rPr>
                <w:rFonts w:cs="Arial"/>
                <w:sz w:val="22"/>
              </w:rPr>
              <w:t>L’activité risque-t-elle d’imperméabiliser de grande surface de sol perméable  actuellement</w:t>
            </w:r>
          </w:p>
        </w:tc>
        <w:tc>
          <w:tcPr>
            <w:tcW w:w="741" w:type="pct"/>
            <w:vAlign w:val="center"/>
          </w:tcPr>
          <w:p w14:paraId="21C2130D" w14:textId="77777777" w:rsidR="00871A3A" w:rsidRPr="007E3D1A" w:rsidRDefault="00871A3A" w:rsidP="00BB0401">
            <w:pPr>
              <w:rPr>
                <w:rFonts w:cs="Arial"/>
                <w:sz w:val="22"/>
              </w:rPr>
            </w:pPr>
            <w:r w:rsidRPr="007E3D1A">
              <w:rPr>
                <w:rFonts w:cs="Arial"/>
                <w:sz w:val="22"/>
              </w:rPr>
              <w:t>Oui (majeur) = 2</w:t>
            </w:r>
          </w:p>
          <w:p w14:paraId="2D61A70D" w14:textId="77777777" w:rsidR="00871A3A" w:rsidRPr="007E3D1A" w:rsidRDefault="00871A3A" w:rsidP="00BB0401">
            <w:pPr>
              <w:rPr>
                <w:rFonts w:cs="Arial"/>
                <w:sz w:val="22"/>
              </w:rPr>
            </w:pPr>
            <w:r w:rsidRPr="007E3D1A">
              <w:rPr>
                <w:rFonts w:cs="Arial"/>
                <w:sz w:val="22"/>
              </w:rPr>
              <w:t>Oui (mineur) = 1</w:t>
            </w:r>
          </w:p>
          <w:p w14:paraId="16526296"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719CC531" w14:textId="77777777" w:rsidR="00871A3A" w:rsidRPr="007E3D1A" w:rsidRDefault="00871A3A" w:rsidP="00BB0401">
            <w:pPr>
              <w:rPr>
                <w:rFonts w:cs="Arial"/>
                <w:sz w:val="22"/>
              </w:rPr>
            </w:pPr>
            <w:r w:rsidRPr="007E3D1A">
              <w:rPr>
                <w:rFonts w:cs="Arial"/>
                <w:sz w:val="22"/>
              </w:rPr>
              <w:t>Oui (majeur) = 2</w:t>
            </w:r>
          </w:p>
          <w:p w14:paraId="2645EB8D" w14:textId="77777777" w:rsidR="00871A3A" w:rsidRPr="007E3D1A" w:rsidRDefault="00871A3A" w:rsidP="00BB0401">
            <w:pPr>
              <w:rPr>
                <w:rFonts w:cs="Arial"/>
                <w:sz w:val="22"/>
              </w:rPr>
            </w:pPr>
            <w:r w:rsidRPr="007E3D1A">
              <w:rPr>
                <w:rFonts w:cs="Arial"/>
                <w:sz w:val="22"/>
              </w:rPr>
              <w:t>Oui (mineur) = 1</w:t>
            </w:r>
          </w:p>
          <w:p w14:paraId="636A58B6" w14:textId="77777777" w:rsidR="00871A3A" w:rsidRPr="007E3D1A" w:rsidRDefault="00871A3A" w:rsidP="00BB0401">
            <w:pPr>
              <w:rPr>
                <w:rFonts w:cs="Arial"/>
                <w:sz w:val="22"/>
              </w:rPr>
            </w:pPr>
            <w:r w:rsidRPr="007E3D1A">
              <w:rPr>
                <w:rFonts w:cs="Arial"/>
                <w:sz w:val="22"/>
              </w:rPr>
              <w:t>Non = 0</w:t>
            </w:r>
          </w:p>
        </w:tc>
        <w:tc>
          <w:tcPr>
            <w:tcW w:w="420" w:type="pct"/>
          </w:tcPr>
          <w:p w14:paraId="01DA2BD1" w14:textId="77777777" w:rsidR="00871A3A" w:rsidRPr="007E3D1A" w:rsidRDefault="00871A3A" w:rsidP="00BB0401">
            <w:pPr>
              <w:rPr>
                <w:rFonts w:cs="Arial"/>
                <w:sz w:val="22"/>
              </w:rPr>
            </w:pPr>
          </w:p>
        </w:tc>
        <w:tc>
          <w:tcPr>
            <w:tcW w:w="769" w:type="pct"/>
          </w:tcPr>
          <w:p w14:paraId="29CFA168" w14:textId="77777777" w:rsidR="00871A3A" w:rsidRPr="007E3D1A" w:rsidRDefault="00871A3A" w:rsidP="00BB0401">
            <w:pPr>
              <w:rPr>
                <w:rFonts w:cs="Arial"/>
                <w:sz w:val="22"/>
              </w:rPr>
            </w:pPr>
          </w:p>
        </w:tc>
      </w:tr>
      <w:tr w:rsidR="00871A3A" w:rsidRPr="007E3D1A" w14:paraId="0E984DA5" w14:textId="77777777" w:rsidTr="00871A3A">
        <w:trPr>
          <w:cantSplit/>
          <w:trHeight w:val="228"/>
        </w:trPr>
        <w:tc>
          <w:tcPr>
            <w:tcW w:w="804" w:type="pct"/>
            <w:vMerge w:val="restart"/>
          </w:tcPr>
          <w:p w14:paraId="6715381F" w14:textId="77777777" w:rsidR="00871A3A" w:rsidRPr="007E3D1A" w:rsidRDefault="00871A3A" w:rsidP="00BB0401">
            <w:pPr>
              <w:rPr>
                <w:rFonts w:cs="Arial"/>
                <w:sz w:val="22"/>
              </w:rPr>
            </w:pPr>
            <w:r w:rsidRPr="007E3D1A">
              <w:rPr>
                <w:rFonts w:cs="Arial"/>
                <w:sz w:val="22"/>
              </w:rPr>
              <w:t>Eau</w:t>
            </w:r>
          </w:p>
        </w:tc>
        <w:tc>
          <w:tcPr>
            <w:tcW w:w="1539" w:type="pct"/>
            <w:vAlign w:val="bottom"/>
          </w:tcPr>
          <w:p w14:paraId="3416D9CD" w14:textId="77777777" w:rsidR="00871A3A" w:rsidRPr="007E3D1A" w:rsidRDefault="00871A3A" w:rsidP="00BB0401">
            <w:pPr>
              <w:rPr>
                <w:rFonts w:cs="Arial"/>
                <w:sz w:val="22"/>
              </w:rPr>
            </w:pPr>
            <w:r w:rsidRPr="007E3D1A">
              <w:rPr>
                <w:rFonts w:cs="Arial"/>
                <w:sz w:val="22"/>
              </w:rPr>
              <w:t xml:space="preserve">L’activité risque-t-elle de causer une pollution des eaux de surfaces (contamination, turbidité, sédimentation, etc.) ? </w:t>
            </w:r>
          </w:p>
        </w:tc>
        <w:tc>
          <w:tcPr>
            <w:tcW w:w="741" w:type="pct"/>
            <w:vAlign w:val="center"/>
          </w:tcPr>
          <w:p w14:paraId="6BAE4D76" w14:textId="77777777" w:rsidR="00871A3A" w:rsidRPr="007E3D1A" w:rsidRDefault="00871A3A" w:rsidP="00BB0401">
            <w:pPr>
              <w:rPr>
                <w:rFonts w:cs="Arial"/>
                <w:sz w:val="22"/>
              </w:rPr>
            </w:pPr>
            <w:r w:rsidRPr="007E3D1A">
              <w:rPr>
                <w:rFonts w:cs="Arial"/>
                <w:sz w:val="22"/>
              </w:rPr>
              <w:t>Oui (majeur) = 2</w:t>
            </w:r>
          </w:p>
          <w:p w14:paraId="18DE865B" w14:textId="77777777" w:rsidR="00871A3A" w:rsidRPr="007E3D1A" w:rsidRDefault="00871A3A" w:rsidP="00BB0401">
            <w:pPr>
              <w:rPr>
                <w:rFonts w:cs="Arial"/>
                <w:sz w:val="22"/>
              </w:rPr>
            </w:pPr>
            <w:r w:rsidRPr="007E3D1A">
              <w:rPr>
                <w:rFonts w:cs="Arial"/>
                <w:sz w:val="22"/>
              </w:rPr>
              <w:t>Oui (mineur) = 1</w:t>
            </w:r>
          </w:p>
          <w:p w14:paraId="2BD5067C"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26668A15" w14:textId="77777777" w:rsidR="00871A3A" w:rsidRPr="007E3D1A" w:rsidRDefault="00871A3A" w:rsidP="00BB0401">
            <w:pPr>
              <w:rPr>
                <w:rFonts w:cs="Arial"/>
                <w:sz w:val="22"/>
              </w:rPr>
            </w:pPr>
            <w:r w:rsidRPr="007E3D1A">
              <w:rPr>
                <w:rFonts w:cs="Arial"/>
                <w:sz w:val="22"/>
              </w:rPr>
              <w:t>Oui (majeur) = 2</w:t>
            </w:r>
          </w:p>
          <w:p w14:paraId="46CC0299" w14:textId="77777777" w:rsidR="00871A3A" w:rsidRPr="007E3D1A" w:rsidRDefault="00871A3A" w:rsidP="00BB0401">
            <w:pPr>
              <w:rPr>
                <w:rFonts w:cs="Arial"/>
                <w:sz w:val="22"/>
              </w:rPr>
            </w:pPr>
            <w:r w:rsidRPr="007E3D1A">
              <w:rPr>
                <w:rFonts w:cs="Arial"/>
                <w:sz w:val="22"/>
              </w:rPr>
              <w:t>Oui (mineur) = 1</w:t>
            </w:r>
          </w:p>
          <w:p w14:paraId="1B8C7F8D" w14:textId="77777777" w:rsidR="00871A3A" w:rsidRPr="007E3D1A" w:rsidRDefault="00871A3A" w:rsidP="00BB0401">
            <w:pPr>
              <w:rPr>
                <w:rFonts w:cs="Arial"/>
                <w:sz w:val="22"/>
              </w:rPr>
            </w:pPr>
            <w:r w:rsidRPr="007E3D1A">
              <w:rPr>
                <w:rFonts w:cs="Arial"/>
                <w:sz w:val="22"/>
              </w:rPr>
              <w:t>Non = 0</w:t>
            </w:r>
          </w:p>
        </w:tc>
        <w:tc>
          <w:tcPr>
            <w:tcW w:w="420" w:type="pct"/>
          </w:tcPr>
          <w:p w14:paraId="78060123" w14:textId="77777777" w:rsidR="00871A3A" w:rsidRPr="007E3D1A" w:rsidRDefault="00871A3A" w:rsidP="00BB0401">
            <w:pPr>
              <w:rPr>
                <w:rFonts w:cs="Arial"/>
                <w:sz w:val="22"/>
              </w:rPr>
            </w:pPr>
          </w:p>
        </w:tc>
        <w:tc>
          <w:tcPr>
            <w:tcW w:w="769" w:type="pct"/>
          </w:tcPr>
          <w:p w14:paraId="19668F68" w14:textId="77777777" w:rsidR="00871A3A" w:rsidRPr="007E3D1A" w:rsidRDefault="00871A3A" w:rsidP="00BB0401">
            <w:pPr>
              <w:rPr>
                <w:rFonts w:cs="Arial"/>
                <w:sz w:val="22"/>
              </w:rPr>
            </w:pPr>
          </w:p>
        </w:tc>
      </w:tr>
      <w:tr w:rsidR="00871A3A" w:rsidRPr="007E3D1A" w14:paraId="68D8FE3B" w14:textId="77777777" w:rsidTr="00871A3A">
        <w:trPr>
          <w:cantSplit/>
          <w:trHeight w:val="228"/>
        </w:trPr>
        <w:tc>
          <w:tcPr>
            <w:tcW w:w="804" w:type="pct"/>
            <w:vMerge/>
          </w:tcPr>
          <w:p w14:paraId="03E763A6" w14:textId="77777777" w:rsidR="00871A3A" w:rsidRPr="007E3D1A" w:rsidRDefault="00871A3A" w:rsidP="00BB0401">
            <w:pPr>
              <w:rPr>
                <w:rFonts w:cs="Arial"/>
                <w:sz w:val="22"/>
              </w:rPr>
            </w:pPr>
          </w:p>
        </w:tc>
        <w:tc>
          <w:tcPr>
            <w:tcW w:w="1539" w:type="pct"/>
            <w:vAlign w:val="bottom"/>
          </w:tcPr>
          <w:p w14:paraId="5EE68D54" w14:textId="77777777" w:rsidR="00871A3A" w:rsidRPr="007E3D1A" w:rsidRDefault="00871A3A" w:rsidP="00BB0401">
            <w:pPr>
              <w:rPr>
                <w:rFonts w:cs="Arial"/>
                <w:sz w:val="22"/>
              </w:rPr>
            </w:pPr>
            <w:r w:rsidRPr="007E3D1A">
              <w:rPr>
                <w:rFonts w:cs="Arial"/>
                <w:sz w:val="22"/>
              </w:rPr>
              <w:t>L’activité risque-t-elle de modifier l’écoulement des eaux de surface, leur quantité ?</w:t>
            </w:r>
          </w:p>
          <w:p w14:paraId="4DC8A7EE" w14:textId="77777777" w:rsidR="00871A3A" w:rsidRPr="007E3D1A" w:rsidRDefault="00871A3A" w:rsidP="00BB0401">
            <w:pPr>
              <w:rPr>
                <w:rFonts w:cs="Arial"/>
                <w:sz w:val="22"/>
              </w:rPr>
            </w:pPr>
          </w:p>
        </w:tc>
        <w:tc>
          <w:tcPr>
            <w:tcW w:w="741" w:type="pct"/>
            <w:vAlign w:val="center"/>
          </w:tcPr>
          <w:p w14:paraId="25DF3C31" w14:textId="77777777" w:rsidR="00871A3A" w:rsidRPr="007E3D1A" w:rsidRDefault="00871A3A" w:rsidP="00BB0401">
            <w:pPr>
              <w:rPr>
                <w:rFonts w:cs="Arial"/>
                <w:sz w:val="22"/>
              </w:rPr>
            </w:pPr>
            <w:r w:rsidRPr="007E3D1A">
              <w:rPr>
                <w:rFonts w:cs="Arial"/>
                <w:sz w:val="22"/>
              </w:rPr>
              <w:t>Oui (majeur) = 2</w:t>
            </w:r>
          </w:p>
          <w:p w14:paraId="0014D868" w14:textId="77777777" w:rsidR="00871A3A" w:rsidRPr="007E3D1A" w:rsidRDefault="00871A3A" w:rsidP="00BB0401">
            <w:pPr>
              <w:rPr>
                <w:rFonts w:cs="Arial"/>
                <w:sz w:val="22"/>
              </w:rPr>
            </w:pPr>
            <w:r w:rsidRPr="007E3D1A">
              <w:rPr>
                <w:rFonts w:cs="Arial"/>
                <w:sz w:val="22"/>
              </w:rPr>
              <w:t>Oui (mineur) = 1</w:t>
            </w:r>
          </w:p>
          <w:p w14:paraId="3ABEAE87"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403A32FB" w14:textId="77777777" w:rsidR="00871A3A" w:rsidRPr="007E3D1A" w:rsidRDefault="00871A3A" w:rsidP="00BB0401">
            <w:pPr>
              <w:rPr>
                <w:rFonts w:cs="Arial"/>
                <w:sz w:val="22"/>
              </w:rPr>
            </w:pPr>
            <w:r w:rsidRPr="007E3D1A">
              <w:rPr>
                <w:rFonts w:cs="Arial"/>
                <w:sz w:val="22"/>
              </w:rPr>
              <w:t>Oui (majeur) = 2</w:t>
            </w:r>
          </w:p>
          <w:p w14:paraId="13C2A8AB" w14:textId="77777777" w:rsidR="00871A3A" w:rsidRPr="007E3D1A" w:rsidRDefault="00871A3A" w:rsidP="00BB0401">
            <w:pPr>
              <w:rPr>
                <w:rFonts w:cs="Arial"/>
                <w:sz w:val="22"/>
              </w:rPr>
            </w:pPr>
            <w:r w:rsidRPr="007E3D1A">
              <w:rPr>
                <w:rFonts w:cs="Arial"/>
                <w:sz w:val="22"/>
              </w:rPr>
              <w:t>Oui (mineur) = 1</w:t>
            </w:r>
          </w:p>
          <w:p w14:paraId="2DCD67A9" w14:textId="77777777" w:rsidR="00871A3A" w:rsidRPr="007E3D1A" w:rsidRDefault="00871A3A" w:rsidP="00BB0401">
            <w:pPr>
              <w:rPr>
                <w:rFonts w:cs="Arial"/>
                <w:sz w:val="22"/>
              </w:rPr>
            </w:pPr>
            <w:r w:rsidRPr="007E3D1A">
              <w:rPr>
                <w:rFonts w:cs="Arial"/>
                <w:sz w:val="22"/>
              </w:rPr>
              <w:t>Non = 0</w:t>
            </w:r>
          </w:p>
        </w:tc>
        <w:tc>
          <w:tcPr>
            <w:tcW w:w="420" w:type="pct"/>
          </w:tcPr>
          <w:p w14:paraId="3C0E996F" w14:textId="77777777" w:rsidR="00871A3A" w:rsidRPr="007E3D1A" w:rsidRDefault="00871A3A" w:rsidP="00BB0401">
            <w:pPr>
              <w:rPr>
                <w:rFonts w:cs="Arial"/>
                <w:sz w:val="22"/>
              </w:rPr>
            </w:pPr>
          </w:p>
        </w:tc>
        <w:tc>
          <w:tcPr>
            <w:tcW w:w="769" w:type="pct"/>
          </w:tcPr>
          <w:p w14:paraId="17210567" w14:textId="77777777" w:rsidR="00871A3A" w:rsidRPr="007E3D1A" w:rsidRDefault="00871A3A" w:rsidP="00BB0401">
            <w:pPr>
              <w:rPr>
                <w:rFonts w:cs="Arial"/>
                <w:sz w:val="22"/>
              </w:rPr>
            </w:pPr>
          </w:p>
        </w:tc>
      </w:tr>
      <w:tr w:rsidR="00871A3A" w:rsidRPr="007E3D1A" w14:paraId="02A28220" w14:textId="77777777" w:rsidTr="00871A3A">
        <w:trPr>
          <w:trHeight w:val="228"/>
        </w:trPr>
        <w:tc>
          <w:tcPr>
            <w:tcW w:w="804" w:type="pct"/>
            <w:vMerge/>
          </w:tcPr>
          <w:p w14:paraId="679E1804" w14:textId="77777777" w:rsidR="00871A3A" w:rsidRPr="007E3D1A" w:rsidRDefault="00871A3A" w:rsidP="00BB0401">
            <w:pPr>
              <w:rPr>
                <w:rFonts w:cs="Arial"/>
                <w:sz w:val="22"/>
              </w:rPr>
            </w:pPr>
          </w:p>
        </w:tc>
        <w:tc>
          <w:tcPr>
            <w:tcW w:w="1539" w:type="pct"/>
            <w:vAlign w:val="bottom"/>
          </w:tcPr>
          <w:p w14:paraId="370C3196" w14:textId="77777777" w:rsidR="00871A3A" w:rsidRPr="007E3D1A" w:rsidRDefault="00871A3A" w:rsidP="00BB0401">
            <w:pPr>
              <w:rPr>
                <w:rFonts w:cs="Arial"/>
                <w:sz w:val="22"/>
              </w:rPr>
            </w:pPr>
            <w:r w:rsidRPr="007E3D1A">
              <w:rPr>
                <w:rFonts w:cs="Arial"/>
                <w:sz w:val="22"/>
              </w:rPr>
              <w:t>L’activité risque-t-elle de causer une pollution des eaux souterraines ? Présence nappe phréatique ?</w:t>
            </w:r>
          </w:p>
        </w:tc>
        <w:tc>
          <w:tcPr>
            <w:tcW w:w="741" w:type="pct"/>
            <w:vAlign w:val="center"/>
          </w:tcPr>
          <w:p w14:paraId="69D7230D" w14:textId="77777777" w:rsidR="00871A3A" w:rsidRPr="007E3D1A" w:rsidRDefault="00871A3A" w:rsidP="00BB0401">
            <w:pPr>
              <w:rPr>
                <w:rFonts w:cs="Arial"/>
                <w:sz w:val="22"/>
              </w:rPr>
            </w:pPr>
            <w:r w:rsidRPr="007E3D1A">
              <w:rPr>
                <w:rFonts w:cs="Arial"/>
                <w:sz w:val="22"/>
              </w:rPr>
              <w:t>Oui (majeur) = 2</w:t>
            </w:r>
          </w:p>
          <w:p w14:paraId="7D68A893" w14:textId="77777777" w:rsidR="00871A3A" w:rsidRPr="007E3D1A" w:rsidRDefault="00871A3A" w:rsidP="00BB0401">
            <w:pPr>
              <w:rPr>
                <w:rFonts w:cs="Arial"/>
                <w:sz w:val="22"/>
              </w:rPr>
            </w:pPr>
            <w:r w:rsidRPr="007E3D1A">
              <w:rPr>
                <w:rFonts w:cs="Arial"/>
                <w:sz w:val="22"/>
              </w:rPr>
              <w:t>Oui (mineur) = 1</w:t>
            </w:r>
          </w:p>
          <w:p w14:paraId="3317FD19"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3A557EED" w14:textId="77777777" w:rsidR="00871A3A" w:rsidRPr="007E3D1A" w:rsidRDefault="00871A3A" w:rsidP="00BB0401">
            <w:pPr>
              <w:rPr>
                <w:rFonts w:cs="Arial"/>
                <w:sz w:val="22"/>
              </w:rPr>
            </w:pPr>
            <w:r w:rsidRPr="007E3D1A">
              <w:rPr>
                <w:rFonts w:cs="Arial"/>
                <w:sz w:val="22"/>
              </w:rPr>
              <w:t>Oui (majeur) = 2</w:t>
            </w:r>
          </w:p>
          <w:p w14:paraId="7CF31193" w14:textId="77777777" w:rsidR="00871A3A" w:rsidRPr="007E3D1A" w:rsidRDefault="00871A3A" w:rsidP="00BB0401">
            <w:pPr>
              <w:rPr>
                <w:rFonts w:cs="Arial"/>
                <w:sz w:val="22"/>
              </w:rPr>
            </w:pPr>
            <w:r w:rsidRPr="007E3D1A">
              <w:rPr>
                <w:rFonts w:cs="Arial"/>
                <w:sz w:val="22"/>
              </w:rPr>
              <w:t>Oui (mineur) = 1</w:t>
            </w:r>
          </w:p>
          <w:p w14:paraId="13F63F8C" w14:textId="77777777" w:rsidR="00871A3A" w:rsidRPr="007E3D1A" w:rsidRDefault="00871A3A" w:rsidP="00BB0401">
            <w:pPr>
              <w:rPr>
                <w:rFonts w:cs="Arial"/>
                <w:sz w:val="22"/>
              </w:rPr>
            </w:pPr>
            <w:r w:rsidRPr="007E3D1A">
              <w:rPr>
                <w:rFonts w:cs="Arial"/>
                <w:sz w:val="22"/>
              </w:rPr>
              <w:t>Non = 0</w:t>
            </w:r>
          </w:p>
        </w:tc>
        <w:tc>
          <w:tcPr>
            <w:tcW w:w="420" w:type="pct"/>
          </w:tcPr>
          <w:p w14:paraId="68F09D2C" w14:textId="77777777" w:rsidR="00871A3A" w:rsidRPr="007E3D1A" w:rsidRDefault="00871A3A" w:rsidP="00BB0401">
            <w:pPr>
              <w:rPr>
                <w:rFonts w:cs="Arial"/>
                <w:sz w:val="22"/>
              </w:rPr>
            </w:pPr>
          </w:p>
        </w:tc>
        <w:tc>
          <w:tcPr>
            <w:tcW w:w="769" w:type="pct"/>
          </w:tcPr>
          <w:p w14:paraId="71CA8D7A" w14:textId="77777777" w:rsidR="00871A3A" w:rsidRPr="007E3D1A" w:rsidRDefault="00871A3A" w:rsidP="00BB0401">
            <w:pPr>
              <w:rPr>
                <w:rFonts w:cs="Arial"/>
                <w:sz w:val="22"/>
              </w:rPr>
            </w:pPr>
          </w:p>
        </w:tc>
      </w:tr>
      <w:tr w:rsidR="00871A3A" w:rsidRPr="007E3D1A" w14:paraId="197B7B67" w14:textId="77777777" w:rsidTr="00871A3A">
        <w:trPr>
          <w:trHeight w:val="228"/>
        </w:trPr>
        <w:tc>
          <w:tcPr>
            <w:tcW w:w="804" w:type="pct"/>
          </w:tcPr>
          <w:p w14:paraId="2F66C265" w14:textId="77777777" w:rsidR="00871A3A" w:rsidRPr="007E3D1A" w:rsidRDefault="00871A3A" w:rsidP="00BB0401">
            <w:pPr>
              <w:rPr>
                <w:rFonts w:cs="Arial"/>
                <w:sz w:val="22"/>
              </w:rPr>
            </w:pPr>
            <w:r w:rsidRPr="007E3D1A">
              <w:rPr>
                <w:rFonts w:cs="Arial"/>
                <w:sz w:val="22"/>
              </w:rPr>
              <w:t>Végétation</w:t>
            </w:r>
          </w:p>
        </w:tc>
        <w:tc>
          <w:tcPr>
            <w:tcW w:w="1539" w:type="pct"/>
            <w:vAlign w:val="bottom"/>
          </w:tcPr>
          <w:p w14:paraId="143C5C16" w14:textId="77777777" w:rsidR="00871A3A" w:rsidRPr="007E3D1A" w:rsidRDefault="00871A3A" w:rsidP="00BB0401">
            <w:pPr>
              <w:rPr>
                <w:rFonts w:cs="Arial"/>
                <w:sz w:val="22"/>
              </w:rPr>
            </w:pPr>
            <w:r w:rsidRPr="007E3D1A">
              <w:rPr>
                <w:rFonts w:cs="Arial"/>
                <w:sz w:val="22"/>
              </w:rPr>
              <w:t>L’activité risque-t-elle de causer une dégradation de la végétation (déboisement, abattage,) ?</w:t>
            </w:r>
          </w:p>
          <w:p w14:paraId="6AA575BB" w14:textId="77777777" w:rsidR="00871A3A" w:rsidRPr="007E3D1A" w:rsidRDefault="00871A3A" w:rsidP="00BB0401">
            <w:pPr>
              <w:rPr>
                <w:rFonts w:cs="Arial"/>
                <w:sz w:val="22"/>
              </w:rPr>
            </w:pPr>
            <w:r w:rsidRPr="007E3D1A">
              <w:rPr>
                <w:rFonts w:cs="Arial"/>
                <w:sz w:val="22"/>
              </w:rPr>
              <w:t>Distance &lt; 10 km d’une aire protégée ?</w:t>
            </w:r>
          </w:p>
        </w:tc>
        <w:tc>
          <w:tcPr>
            <w:tcW w:w="741" w:type="pct"/>
            <w:vAlign w:val="center"/>
          </w:tcPr>
          <w:p w14:paraId="68A27A8C" w14:textId="77777777" w:rsidR="00871A3A" w:rsidRPr="007E3D1A" w:rsidRDefault="00871A3A" w:rsidP="00BB0401">
            <w:pPr>
              <w:rPr>
                <w:rFonts w:cs="Arial"/>
                <w:sz w:val="22"/>
              </w:rPr>
            </w:pPr>
            <w:r w:rsidRPr="007E3D1A">
              <w:rPr>
                <w:rFonts w:cs="Arial"/>
                <w:sz w:val="22"/>
              </w:rPr>
              <w:t>Oui (majeur) = 2</w:t>
            </w:r>
          </w:p>
          <w:p w14:paraId="3C44311D" w14:textId="77777777" w:rsidR="00871A3A" w:rsidRPr="007E3D1A" w:rsidRDefault="00871A3A" w:rsidP="00BB0401">
            <w:pPr>
              <w:rPr>
                <w:rFonts w:cs="Arial"/>
                <w:sz w:val="22"/>
              </w:rPr>
            </w:pPr>
            <w:r w:rsidRPr="007E3D1A">
              <w:rPr>
                <w:rFonts w:cs="Arial"/>
                <w:sz w:val="22"/>
              </w:rPr>
              <w:t>Oui (mineur) = 1</w:t>
            </w:r>
          </w:p>
          <w:p w14:paraId="1F1D00BA"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36B19538" w14:textId="77777777" w:rsidR="00871A3A" w:rsidRPr="007E3D1A" w:rsidRDefault="00871A3A" w:rsidP="00BB0401">
            <w:pPr>
              <w:rPr>
                <w:rFonts w:cs="Arial"/>
                <w:sz w:val="22"/>
              </w:rPr>
            </w:pPr>
            <w:r w:rsidRPr="007E3D1A">
              <w:rPr>
                <w:rFonts w:cs="Arial"/>
                <w:sz w:val="22"/>
              </w:rPr>
              <w:t>Oui (majeur) = 2</w:t>
            </w:r>
          </w:p>
          <w:p w14:paraId="55B66148" w14:textId="77777777" w:rsidR="00871A3A" w:rsidRPr="007E3D1A" w:rsidRDefault="00871A3A" w:rsidP="00BB0401">
            <w:pPr>
              <w:rPr>
                <w:rFonts w:cs="Arial"/>
                <w:sz w:val="22"/>
              </w:rPr>
            </w:pPr>
            <w:r w:rsidRPr="007E3D1A">
              <w:rPr>
                <w:rFonts w:cs="Arial"/>
                <w:sz w:val="22"/>
              </w:rPr>
              <w:t>Oui (mineur) = 1</w:t>
            </w:r>
          </w:p>
          <w:p w14:paraId="50BEDC20" w14:textId="77777777" w:rsidR="00871A3A" w:rsidRPr="007E3D1A" w:rsidRDefault="00871A3A" w:rsidP="00BB0401">
            <w:pPr>
              <w:rPr>
                <w:rFonts w:cs="Arial"/>
                <w:sz w:val="22"/>
              </w:rPr>
            </w:pPr>
            <w:r w:rsidRPr="007E3D1A">
              <w:rPr>
                <w:rFonts w:cs="Arial"/>
                <w:sz w:val="22"/>
              </w:rPr>
              <w:t>Non = 0</w:t>
            </w:r>
          </w:p>
        </w:tc>
        <w:tc>
          <w:tcPr>
            <w:tcW w:w="420" w:type="pct"/>
          </w:tcPr>
          <w:p w14:paraId="450F90B7" w14:textId="77777777" w:rsidR="00871A3A" w:rsidRPr="007E3D1A" w:rsidRDefault="00871A3A" w:rsidP="00BB0401">
            <w:pPr>
              <w:rPr>
                <w:rFonts w:cs="Arial"/>
                <w:sz w:val="22"/>
              </w:rPr>
            </w:pPr>
          </w:p>
        </w:tc>
        <w:tc>
          <w:tcPr>
            <w:tcW w:w="769" w:type="pct"/>
          </w:tcPr>
          <w:p w14:paraId="012F9533" w14:textId="77777777" w:rsidR="00871A3A" w:rsidRPr="007E3D1A" w:rsidRDefault="00871A3A" w:rsidP="00BB0401">
            <w:pPr>
              <w:rPr>
                <w:rFonts w:cs="Arial"/>
                <w:sz w:val="22"/>
              </w:rPr>
            </w:pPr>
          </w:p>
        </w:tc>
      </w:tr>
      <w:tr w:rsidR="00871A3A" w:rsidRPr="007E3D1A" w14:paraId="63983551" w14:textId="77777777" w:rsidTr="00871A3A">
        <w:trPr>
          <w:cantSplit/>
          <w:trHeight w:val="228"/>
        </w:trPr>
        <w:tc>
          <w:tcPr>
            <w:tcW w:w="804" w:type="pct"/>
            <w:vMerge w:val="restart"/>
          </w:tcPr>
          <w:p w14:paraId="3139E8E6" w14:textId="77777777" w:rsidR="00871A3A" w:rsidRPr="007E3D1A" w:rsidRDefault="00871A3A" w:rsidP="00BB0401">
            <w:pPr>
              <w:rPr>
                <w:rFonts w:cs="Arial"/>
                <w:sz w:val="22"/>
              </w:rPr>
            </w:pPr>
            <w:r w:rsidRPr="007E3D1A">
              <w:rPr>
                <w:rFonts w:cs="Arial"/>
                <w:sz w:val="22"/>
              </w:rPr>
              <w:t>Cadre de vie/</w:t>
            </w:r>
          </w:p>
          <w:p w14:paraId="15A893AA" w14:textId="77777777" w:rsidR="00871A3A" w:rsidRPr="007E3D1A" w:rsidRDefault="00871A3A" w:rsidP="00BB0401">
            <w:pPr>
              <w:rPr>
                <w:rFonts w:cs="Arial"/>
                <w:sz w:val="22"/>
              </w:rPr>
            </w:pPr>
            <w:r w:rsidRPr="007E3D1A">
              <w:rPr>
                <w:rFonts w:cs="Arial"/>
                <w:sz w:val="22"/>
              </w:rPr>
              <w:t>milieu humain</w:t>
            </w:r>
          </w:p>
        </w:tc>
        <w:tc>
          <w:tcPr>
            <w:tcW w:w="1539" w:type="pct"/>
            <w:vAlign w:val="bottom"/>
          </w:tcPr>
          <w:p w14:paraId="7F35A341" w14:textId="77777777" w:rsidR="00871A3A" w:rsidRPr="007E3D1A" w:rsidRDefault="00871A3A" w:rsidP="00BB0401">
            <w:pPr>
              <w:rPr>
                <w:rFonts w:cs="Arial"/>
                <w:sz w:val="22"/>
              </w:rPr>
            </w:pPr>
            <w:r w:rsidRPr="007E3D1A">
              <w:rPr>
                <w:rFonts w:cs="Arial"/>
                <w:sz w:val="22"/>
              </w:rPr>
              <w:t xml:space="preserve">L’activité risque-t-elle de générer des déchets solides et liquides ? </w:t>
            </w:r>
          </w:p>
          <w:p w14:paraId="47C4E98A" w14:textId="77777777" w:rsidR="00871A3A" w:rsidRPr="007E3D1A" w:rsidRDefault="00871A3A" w:rsidP="00BB0401">
            <w:pPr>
              <w:rPr>
                <w:rFonts w:cs="Arial"/>
                <w:sz w:val="22"/>
              </w:rPr>
            </w:pPr>
          </w:p>
        </w:tc>
        <w:tc>
          <w:tcPr>
            <w:tcW w:w="741" w:type="pct"/>
            <w:vAlign w:val="center"/>
          </w:tcPr>
          <w:p w14:paraId="68402B2C" w14:textId="77777777" w:rsidR="00871A3A" w:rsidRPr="007E3D1A" w:rsidRDefault="00871A3A" w:rsidP="00BB0401">
            <w:pPr>
              <w:rPr>
                <w:rFonts w:cs="Arial"/>
                <w:sz w:val="22"/>
              </w:rPr>
            </w:pPr>
            <w:r w:rsidRPr="007E3D1A">
              <w:rPr>
                <w:rFonts w:cs="Arial"/>
                <w:sz w:val="22"/>
              </w:rPr>
              <w:t>Oui (majeur) = 2</w:t>
            </w:r>
          </w:p>
          <w:p w14:paraId="00C5213D" w14:textId="77777777" w:rsidR="00871A3A" w:rsidRPr="007E3D1A" w:rsidRDefault="00871A3A" w:rsidP="00BB0401">
            <w:pPr>
              <w:rPr>
                <w:rFonts w:cs="Arial"/>
                <w:sz w:val="22"/>
              </w:rPr>
            </w:pPr>
            <w:r w:rsidRPr="007E3D1A">
              <w:rPr>
                <w:rFonts w:cs="Arial"/>
                <w:sz w:val="22"/>
              </w:rPr>
              <w:t>Oui (mineur) = 1</w:t>
            </w:r>
          </w:p>
          <w:p w14:paraId="2598C401"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70A41F98" w14:textId="77777777" w:rsidR="00871A3A" w:rsidRPr="007E3D1A" w:rsidRDefault="00871A3A" w:rsidP="00BB0401">
            <w:pPr>
              <w:rPr>
                <w:rFonts w:cs="Arial"/>
                <w:sz w:val="22"/>
              </w:rPr>
            </w:pPr>
            <w:r w:rsidRPr="007E3D1A">
              <w:rPr>
                <w:rFonts w:cs="Arial"/>
                <w:sz w:val="22"/>
              </w:rPr>
              <w:t>Oui (majeur) = 2</w:t>
            </w:r>
          </w:p>
          <w:p w14:paraId="635D0FA0" w14:textId="77777777" w:rsidR="00871A3A" w:rsidRPr="007E3D1A" w:rsidRDefault="00871A3A" w:rsidP="00BB0401">
            <w:pPr>
              <w:rPr>
                <w:rFonts w:cs="Arial"/>
                <w:sz w:val="22"/>
              </w:rPr>
            </w:pPr>
            <w:r w:rsidRPr="007E3D1A">
              <w:rPr>
                <w:rFonts w:cs="Arial"/>
                <w:sz w:val="22"/>
              </w:rPr>
              <w:t>Oui (mineur) = 1</w:t>
            </w:r>
          </w:p>
          <w:p w14:paraId="042D6A09" w14:textId="77777777" w:rsidR="00871A3A" w:rsidRPr="007E3D1A" w:rsidRDefault="00871A3A" w:rsidP="00BB0401">
            <w:pPr>
              <w:rPr>
                <w:rFonts w:cs="Arial"/>
                <w:sz w:val="22"/>
              </w:rPr>
            </w:pPr>
            <w:r w:rsidRPr="007E3D1A">
              <w:rPr>
                <w:rFonts w:cs="Arial"/>
                <w:sz w:val="22"/>
              </w:rPr>
              <w:t>Non = 0</w:t>
            </w:r>
          </w:p>
        </w:tc>
        <w:tc>
          <w:tcPr>
            <w:tcW w:w="420" w:type="pct"/>
          </w:tcPr>
          <w:p w14:paraId="5D4986E0" w14:textId="77777777" w:rsidR="00871A3A" w:rsidRPr="007E3D1A" w:rsidRDefault="00871A3A" w:rsidP="00BB0401">
            <w:pPr>
              <w:rPr>
                <w:rFonts w:cs="Arial"/>
                <w:sz w:val="22"/>
              </w:rPr>
            </w:pPr>
          </w:p>
        </w:tc>
        <w:tc>
          <w:tcPr>
            <w:tcW w:w="769" w:type="pct"/>
          </w:tcPr>
          <w:p w14:paraId="68C834A3" w14:textId="77777777" w:rsidR="00871A3A" w:rsidRPr="007E3D1A" w:rsidRDefault="00871A3A" w:rsidP="00BB0401">
            <w:pPr>
              <w:rPr>
                <w:rFonts w:cs="Arial"/>
                <w:sz w:val="22"/>
              </w:rPr>
            </w:pPr>
          </w:p>
        </w:tc>
      </w:tr>
      <w:tr w:rsidR="00871A3A" w:rsidRPr="007E3D1A" w14:paraId="0D6EA36B" w14:textId="77777777" w:rsidTr="00871A3A">
        <w:trPr>
          <w:cantSplit/>
          <w:trHeight w:val="228"/>
        </w:trPr>
        <w:tc>
          <w:tcPr>
            <w:tcW w:w="804" w:type="pct"/>
            <w:vMerge/>
          </w:tcPr>
          <w:p w14:paraId="6142580A" w14:textId="77777777" w:rsidR="00871A3A" w:rsidRPr="007E3D1A" w:rsidRDefault="00871A3A" w:rsidP="00BB0401">
            <w:pPr>
              <w:rPr>
                <w:rFonts w:cs="Arial"/>
                <w:sz w:val="22"/>
              </w:rPr>
            </w:pPr>
          </w:p>
        </w:tc>
        <w:tc>
          <w:tcPr>
            <w:tcW w:w="1539" w:type="pct"/>
            <w:vAlign w:val="bottom"/>
          </w:tcPr>
          <w:p w14:paraId="49385BE3" w14:textId="77777777" w:rsidR="00871A3A" w:rsidRPr="007E3D1A" w:rsidRDefault="00871A3A" w:rsidP="00BB0401">
            <w:pPr>
              <w:rPr>
                <w:rFonts w:cs="Arial"/>
                <w:sz w:val="22"/>
              </w:rPr>
            </w:pPr>
            <w:r w:rsidRPr="007E3D1A">
              <w:rPr>
                <w:rFonts w:cs="Arial"/>
                <w:sz w:val="22"/>
              </w:rPr>
              <w:t>L’activité risque-t-elle de générer des gênes et nuisances (bruit, libre circulation des biens et des personnes locales) ?</w:t>
            </w:r>
          </w:p>
          <w:p w14:paraId="1229EEA8" w14:textId="77777777" w:rsidR="00871A3A" w:rsidRPr="007E3D1A" w:rsidRDefault="00871A3A" w:rsidP="00BB0401">
            <w:pPr>
              <w:rPr>
                <w:rFonts w:cs="Arial"/>
                <w:sz w:val="22"/>
              </w:rPr>
            </w:pPr>
          </w:p>
        </w:tc>
        <w:tc>
          <w:tcPr>
            <w:tcW w:w="741" w:type="pct"/>
            <w:vAlign w:val="center"/>
          </w:tcPr>
          <w:p w14:paraId="6DB558AD" w14:textId="77777777" w:rsidR="00871A3A" w:rsidRPr="007E3D1A" w:rsidRDefault="00871A3A" w:rsidP="00BB0401">
            <w:pPr>
              <w:rPr>
                <w:rFonts w:cs="Arial"/>
                <w:sz w:val="22"/>
              </w:rPr>
            </w:pPr>
            <w:r w:rsidRPr="007E3D1A">
              <w:rPr>
                <w:rFonts w:cs="Arial"/>
                <w:sz w:val="22"/>
              </w:rPr>
              <w:t>Oui (majeur) = 2</w:t>
            </w:r>
          </w:p>
          <w:p w14:paraId="6117E725" w14:textId="77777777" w:rsidR="00871A3A" w:rsidRPr="007E3D1A" w:rsidRDefault="00871A3A" w:rsidP="00BB0401">
            <w:pPr>
              <w:rPr>
                <w:rFonts w:cs="Arial"/>
                <w:sz w:val="22"/>
              </w:rPr>
            </w:pPr>
            <w:r w:rsidRPr="007E3D1A">
              <w:rPr>
                <w:rFonts w:cs="Arial"/>
                <w:sz w:val="22"/>
              </w:rPr>
              <w:t>Oui (mineur) = 1</w:t>
            </w:r>
          </w:p>
          <w:p w14:paraId="6D0B71D9"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6B1B71E3" w14:textId="77777777" w:rsidR="00871A3A" w:rsidRPr="007E3D1A" w:rsidRDefault="00871A3A" w:rsidP="00BB0401">
            <w:pPr>
              <w:rPr>
                <w:rFonts w:cs="Arial"/>
                <w:sz w:val="22"/>
              </w:rPr>
            </w:pPr>
            <w:r w:rsidRPr="007E3D1A">
              <w:rPr>
                <w:rFonts w:cs="Arial"/>
                <w:sz w:val="22"/>
              </w:rPr>
              <w:t>Oui (majeur) = 2</w:t>
            </w:r>
          </w:p>
          <w:p w14:paraId="16ED0C93" w14:textId="77777777" w:rsidR="00871A3A" w:rsidRPr="007E3D1A" w:rsidRDefault="00871A3A" w:rsidP="00BB0401">
            <w:pPr>
              <w:rPr>
                <w:rFonts w:cs="Arial"/>
                <w:sz w:val="22"/>
              </w:rPr>
            </w:pPr>
            <w:r w:rsidRPr="007E3D1A">
              <w:rPr>
                <w:rFonts w:cs="Arial"/>
                <w:sz w:val="22"/>
              </w:rPr>
              <w:t>Oui (mineur) = 1</w:t>
            </w:r>
          </w:p>
          <w:p w14:paraId="1F0827AA" w14:textId="77777777" w:rsidR="00871A3A" w:rsidRPr="007E3D1A" w:rsidRDefault="00871A3A" w:rsidP="00BB0401">
            <w:pPr>
              <w:rPr>
                <w:rFonts w:cs="Arial"/>
                <w:sz w:val="22"/>
              </w:rPr>
            </w:pPr>
            <w:r w:rsidRPr="007E3D1A">
              <w:rPr>
                <w:rFonts w:cs="Arial"/>
                <w:sz w:val="22"/>
              </w:rPr>
              <w:t>Non = 0</w:t>
            </w:r>
          </w:p>
        </w:tc>
        <w:tc>
          <w:tcPr>
            <w:tcW w:w="420" w:type="pct"/>
          </w:tcPr>
          <w:p w14:paraId="16E66A72" w14:textId="77777777" w:rsidR="00871A3A" w:rsidRPr="007E3D1A" w:rsidRDefault="00871A3A" w:rsidP="00BB0401">
            <w:pPr>
              <w:rPr>
                <w:rFonts w:cs="Arial"/>
                <w:sz w:val="22"/>
              </w:rPr>
            </w:pPr>
          </w:p>
        </w:tc>
        <w:tc>
          <w:tcPr>
            <w:tcW w:w="769" w:type="pct"/>
          </w:tcPr>
          <w:p w14:paraId="208E480B" w14:textId="77777777" w:rsidR="00871A3A" w:rsidRPr="007E3D1A" w:rsidRDefault="00871A3A" w:rsidP="00BB0401">
            <w:pPr>
              <w:rPr>
                <w:rFonts w:cs="Arial"/>
                <w:sz w:val="22"/>
              </w:rPr>
            </w:pPr>
          </w:p>
        </w:tc>
      </w:tr>
      <w:tr w:rsidR="00871A3A" w:rsidRPr="007E3D1A" w14:paraId="52DD79A3" w14:textId="77777777" w:rsidTr="00871A3A">
        <w:trPr>
          <w:cantSplit/>
          <w:trHeight w:val="228"/>
        </w:trPr>
        <w:tc>
          <w:tcPr>
            <w:tcW w:w="804" w:type="pct"/>
            <w:vMerge/>
          </w:tcPr>
          <w:p w14:paraId="687FF60B" w14:textId="77777777" w:rsidR="00871A3A" w:rsidRPr="007E3D1A" w:rsidRDefault="00871A3A" w:rsidP="00BB0401">
            <w:pPr>
              <w:rPr>
                <w:rFonts w:cs="Arial"/>
                <w:sz w:val="22"/>
              </w:rPr>
            </w:pPr>
          </w:p>
        </w:tc>
        <w:tc>
          <w:tcPr>
            <w:tcW w:w="1539" w:type="pct"/>
            <w:vAlign w:val="bottom"/>
          </w:tcPr>
          <w:p w14:paraId="100EEA5A" w14:textId="77777777" w:rsidR="00871A3A" w:rsidRPr="007E3D1A" w:rsidRDefault="00871A3A" w:rsidP="00BB0401">
            <w:pPr>
              <w:rPr>
                <w:rFonts w:cs="Arial"/>
                <w:sz w:val="22"/>
              </w:rPr>
            </w:pPr>
            <w:r w:rsidRPr="007E3D1A">
              <w:rPr>
                <w:rFonts w:cs="Arial"/>
                <w:sz w:val="22"/>
              </w:rPr>
              <w:t>L’activité risque-t-elle d’induire des risques d’accidents pour les travailleurs et les populations ?</w:t>
            </w:r>
          </w:p>
          <w:p w14:paraId="274136D2" w14:textId="77777777" w:rsidR="00871A3A" w:rsidRPr="007E3D1A" w:rsidRDefault="00871A3A" w:rsidP="00BB0401">
            <w:pPr>
              <w:rPr>
                <w:rFonts w:cs="Arial"/>
                <w:sz w:val="22"/>
              </w:rPr>
            </w:pPr>
          </w:p>
        </w:tc>
        <w:tc>
          <w:tcPr>
            <w:tcW w:w="741" w:type="pct"/>
            <w:vAlign w:val="center"/>
          </w:tcPr>
          <w:p w14:paraId="0BE0CBA4" w14:textId="77777777" w:rsidR="00871A3A" w:rsidRPr="007E3D1A" w:rsidRDefault="00871A3A" w:rsidP="00BB0401">
            <w:pPr>
              <w:rPr>
                <w:rFonts w:cs="Arial"/>
                <w:sz w:val="22"/>
              </w:rPr>
            </w:pPr>
            <w:r w:rsidRPr="007E3D1A">
              <w:rPr>
                <w:rFonts w:cs="Arial"/>
                <w:sz w:val="22"/>
              </w:rPr>
              <w:t>Oui (majeur) = 2</w:t>
            </w:r>
          </w:p>
          <w:p w14:paraId="49F112A4" w14:textId="77777777" w:rsidR="00871A3A" w:rsidRPr="007E3D1A" w:rsidRDefault="00871A3A" w:rsidP="00BB0401">
            <w:pPr>
              <w:rPr>
                <w:rFonts w:cs="Arial"/>
                <w:sz w:val="22"/>
              </w:rPr>
            </w:pPr>
            <w:r w:rsidRPr="007E3D1A">
              <w:rPr>
                <w:rFonts w:cs="Arial"/>
                <w:sz w:val="22"/>
              </w:rPr>
              <w:t>Oui (mineur) = 1</w:t>
            </w:r>
          </w:p>
          <w:p w14:paraId="40650308"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7E32217E" w14:textId="77777777" w:rsidR="00871A3A" w:rsidRPr="007E3D1A" w:rsidRDefault="00871A3A" w:rsidP="00BB0401">
            <w:pPr>
              <w:rPr>
                <w:rFonts w:cs="Arial"/>
                <w:sz w:val="22"/>
              </w:rPr>
            </w:pPr>
            <w:r w:rsidRPr="007E3D1A">
              <w:rPr>
                <w:rFonts w:cs="Arial"/>
                <w:sz w:val="22"/>
              </w:rPr>
              <w:t>Oui (majeur) = 2</w:t>
            </w:r>
          </w:p>
          <w:p w14:paraId="643BEBF0" w14:textId="77777777" w:rsidR="00871A3A" w:rsidRPr="007E3D1A" w:rsidRDefault="00871A3A" w:rsidP="00BB0401">
            <w:pPr>
              <w:rPr>
                <w:rFonts w:cs="Arial"/>
                <w:sz w:val="22"/>
              </w:rPr>
            </w:pPr>
            <w:r w:rsidRPr="007E3D1A">
              <w:rPr>
                <w:rFonts w:cs="Arial"/>
                <w:sz w:val="22"/>
              </w:rPr>
              <w:t>Oui (mineur) = 1</w:t>
            </w:r>
          </w:p>
          <w:p w14:paraId="69D7381E" w14:textId="77777777" w:rsidR="00871A3A" w:rsidRPr="007E3D1A" w:rsidRDefault="00871A3A" w:rsidP="00BB0401">
            <w:pPr>
              <w:rPr>
                <w:rFonts w:cs="Arial"/>
                <w:sz w:val="22"/>
              </w:rPr>
            </w:pPr>
            <w:r w:rsidRPr="007E3D1A">
              <w:rPr>
                <w:rFonts w:cs="Arial"/>
                <w:sz w:val="22"/>
              </w:rPr>
              <w:t>Non = 0</w:t>
            </w:r>
          </w:p>
        </w:tc>
        <w:tc>
          <w:tcPr>
            <w:tcW w:w="420" w:type="pct"/>
          </w:tcPr>
          <w:p w14:paraId="0090C040" w14:textId="77777777" w:rsidR="00871A3A" w:rsidRPr="007E3D1A" w:rsidRDefault="00871A3A" w:rsidP="00BB0401">
            <w:pPr>
              <w:rPr>
                <w:rFonts w:cs="Arial"/>
                <w:sz w:val="22"/>
              </w:rPr>
            </w:pPr>
          </w:p>
        </w:tc>
        <w:tc>
          <w:tcPr>
            <w:tcW w:w="769" w:type="pct"/>
          </w:tcPr>
          <w:p w14:paraId="4C2C1990" w14:textId="77777777" w:rsidR="00871A3A" w:rsidRPr="007E3D1A" w:rsidRDefault="00871A3A" w:rsidP="00BB0401">
            <w:pPr>
              <w:rPr>
                <w:rFonts w:cs="Arial"/>
                <w:sz w:val="22"/>
              </w:rPr>
            </w:pPr>
          </w:p>
        </w:tc>
      </w:tr>
      <w:tr w:rsidR="00871A3A" w:rsidRPr="007E3D1A" w14:paraId="28EB57A3" w14:textId="77777777" w:rsidTr="00871A3A">
        <w:trPr>
          <w:cantSplit/>
          <w:trHeight w:val="228"/>
        </w:trPr>
        <w:tc>
          <w:tcPr>
            <w:tcW w:w="804" w:type="pct"/>
            <w:vMerge/>
          </w:tcPr>
          <w:p w14:paraId="15903CBB" w14:textId="77777777" w:rsidR="00871A3A" w:rsidRPr="007E3D1A" w:rsidRDefault="00871A3A" w:rsidP="00BB0401">
            <w:pPr>
              <w:rPr>
                <w:rFonts w:cs="Arial"/>
                <w:sz w:val="22"/>
              </w:rPr>
            </w:pPr>
          </w:p>
        </w:tc>
        <w:tc>
          <w:tcPr>
            <w:tcW w:w="1539" w:type="pct"/>
            <w:vAlign w:val="bottom"/>
          </w:tcPr>
          <w:p w14:paraId="59769598" w14:textId="77777777" w:rsidR="00871A3A" w:rsidRPr="007E3D1A" w:rsidRDefault="00871A3A" w:rsidP="00BB0401">
            <w:pPr>
              <w:rPr>
                <w:rFonts w:cs="Arial"/>
                <w:sz w:val="22"/>
              </w:rPr>
            </w:pPr>
            <w:r w:rsidRPr="007E3D1A">
              <w:rPr>
                <w:rFonts w:cs="Arial"/>
                <w:sz w:val="22"/>
              </w:rPr>
              <w:t>L’activité risque-t-elle d’affecter l’alimentation en eau potable des populations (points d’eau, puits, forages, etc.) ? Distance &lt; 500 m</w:t>
            </w:r>
          </w:p>
        </w:tc>
        <w:tc>
          <w:tcPr>
            <w:tcW w:w="741" w:type="pct"/>
            <w:vAlign w:val="center"/>
          </w:tcPr>
          <w:p w14:paraId="3555C2E2" w14:textId="77777777" w:rsidR="00871A3A" w:rsidRPr="007E3D1A" w:rsidRDefault="00871A3A" w:rsidP="00BB0401">
            <w:pPr>
              <w:rPr>
                <w:rFonts w:cs="Arial"/>
                <w:sz w:val="22"/>
              </w:rPr>
            </w:pPr>
            <w:r w:rsidRPr="007E3D1A">
              <w:rPr>
                <w:rFonts w:cs="Arial"/>
                <w:sz w:val="22"/>
              </w:rPr>
              <w:t>Oui (majeur) = 2</w:t>
            </w:r>
          </w:p>
          <w:p w14:paraId="362229B3" w14:textId="77777777" w:rsidR="00871A3A" w:rsidRPr="007E3D1A" w:rsidRDefault="00871A3A" w:rsidP="00BB0401">
            <w:pPr>
              <w:rPr>
                <w:rFonts w:cs="Arial"/>
                <w:sz w:val="22"/>
              </w:rPr>
            </w:pPr>
            <w:r w:rsidRPr="007E3D1A">
              <w:rPr>
                <w:rFonts w:cs="Arial"/>
                <w:sz w:val="22"/>
              </w:rPr>
              <w:t>Oui (mineur) = 1</w:t>
            </w:r>
          </w:p>
          <w:p w14:paraId="57A68A73"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2B1A3020" w14:textId="77777777" w:rsidR="00871A3A" w:rsidRPr="007E3D1A" w:rsidRDefault="00871A3A" w:rsidP="00BB0401">
            <w:pPr>
              <w:rPr>
                <w:rFonts w:cs="Arial"/>
                <w:sz w:val="22"/>
              </w:rPr>
            </w:pPr>
            <w:r w:rsidRPr="007E3D1A">
              <w:rPr>
                <w:rFonts w:cs="Arial"/>
                <w:sz w:val="22"/>
              </w:rPr>
              <w:t>Oui (majeur) = 2</w:t>
            </w:r>
          </w:p>
          <w:p w14:paraId="26B50701" w14:textId="77777777" w:rsidR="00871A3A" w:rsidRPr="007E3D1A" w:rsidRDefault="00871A3A" w:rsidP="00BB0401">
            <w:pPr>
              <w:rPr>
                <w:rFonts w:cs="Arial"/>
                <w:sz w:val="22"/>
              </w:rPr>
            </w:pPr>
            <w:r w:rsidRPr="007E3D1A">
              <w:rPr>
                <w:rFonts w:cs="Arial"/>
                <w:sz w:val="22"/>
              </w:rPr>
              <w:t>Oui (mineur) = 1</w:t>
            </w:r>
          </w:p>
          <w:p w14:paraId="09DA80DE" w14:textId="77777777" w:rsidR="00871A3A" w:rsidRPr="007E3D1A" w:rsidRDefault="00871A3A" w:rsidP="00BB0401">
            <w:pPr>
              <w:rPr>
                <w:rFonts w:cs="Arial"/>
                <w:sz w:val="22"/>
              </w:rPr>
            </w:pPr>
            <w:r w:rsidRPr="007E3D1A">
              <w:rPr>
                <w:rFonts w:cs="Arial"/>
                <w:sz w:val="22"/>
              </w:rPr>
              <w:t>Non = 0</w:t>
            </w:r>
          </w:p>
        </w:tc>
        <w:tc>
          <w:tcPr>
            <w:tcW w:w="420" w:type="pct"/>
          </w:tcPr>
          <w:p w14:paraId="1E8E6D69" w14:textId="77777777" w:rsidR="00871A3A" w:rsidRPr="007E3D1A" w:rsidRDefault="00871A3A" w:rsidP="00BB0401">
            <w:pPr>
              <w:rPr>
                <w:rFonts w:cs="Arial"/>
                <w:sz w:val="22"/>
              </w:rPr>
            </w:pPr>
          </w:p>
        </w:tc>
        <w:tc>
          <w:tcPr>
            <w:tcW w:w="769" w:type="pct"/>
          </w:tcPr>
          <w:p w14:paraId="590827CA" w14:textId="77777777" w:rsidR="00871A3A" w:rsidRPr="007E3D1A" w:rsidRDefault="00871A3A" w:rsidP="00BB0401">
            <w:pPr>
              <w:rPr>
                <w:rFonts w:cs="Arial"/>
                <w:sz w:val="22"/>
              </w:rPr>
            </w:pPr>
          </w:p>
        </w:tc>
      </w:tr>
      <w:tr w:rsidR="00871A3A" w:rsidRPr="007E3D1A" w14:paraId="6BECB453" w14:textId="77777777" w:rsidTr="00871A3A">
        <w:trPr>
          <w:cantSplit/>
          <w:trHeight w:val="228"/>
        </w:trPr>
        <w:tc>
          <w:tcPr>
            <w:tcW w:w="804" w:type="pct"/>
            <w:vMerge/>
          </w:tcPr>
          <w:p w14:paraId="678DC73A" w14:textId="77777777" w:rsidR="00871A3A" w:rsidRPr="007E3D1A" w:rsidRDefault="00871A3A" w:rsidP="00BB0401">
            <w:pPr>
              <w:rPr>
                <w:rFonts w:cs="Arial"/>
                <w:sz w:val="22"/>
              </w:rPr>
            </w:pPr>
          </w:p>
        </w:tc>
        <w:tc>
          <w:tcPr>
            <w:tcW w:w="1539" w:type="pct"/>
            <w:vAlign w:val="bottom"/>
          </w:tcPr>
          <w:p w14:paraId="4520F30E" w14:textId="77777777" w:rsidR="00871A3A" w:rsidRPr="007E3D1A" w:rsidRDefault="00871A3A" w:rsidP="00BB0401">
            <w:pPr>
              <w:rPr>
                <w:rFonts w:cs="Arial"/>
                <w:sz w:val="22"/>
              </w:rPr>
            </w:pPr>
            <w:r w:rsidRPr="007E3D1A">
              <w:rPr>
                <w:rFonts w:cs="Arial"/>
                <w:sz w:val="22"/>
              </w:rPr>
              <w:t>L’activité risque-t-elle d’affecter la santé travailleurs et des populations locales (IST/VIH/SIDA, autres maladies) ?</w:t>
            </w:r>
          </w:p>
        </w:tc>
        <w:tc>
          <w:tcPr>
            <w:tcW w:w="741" w:type="pct"/>
            <w:vAlign w:val="center"/>
          </w:tcPr>
          <w:p w14:paraId="1C194B03" w14:textId="77777777" w:rsidR="00871A3A" w:rsidRPr="007E3D1A" w:rsidRDefault="00871A3A" w:rsidP="00BB0401">
            <w:pPr>
              <w:rPr>
                <w:rFonts w:cs="Arial"/>
                <w:sz w:val="22"/>
              </w:rPr>
            </w:pPr>
            <w:r w:rsidRPr="007E3D1A">
              <w:rPr>
                <w:rFonts w:cs="Arial"/>
                <w:sz w:val="22"/>
              </w:rPr>
              <w:t>Oui (majeur) = 2</w:t>
            </w:r>
          </w:p>
          <w:p w14:paraId="115F6D49" w14:textId="77777777" w:rsidR="00871A3A" w:rsidRPr="007E3D1A" w:rsidRDefault="00871A3A" w:rsidP="00BB0401">
            <w:pPr>
              <w:rPr>
                <w:rFonts w:cs="Arial"/>
                <w:sz w:val="22"/>
              </w:rPr>
            </w:pPr>
            <w:r w:rsidRPr="007E3D1A">
              <w:rPr>
                <w:rFonts w:cs="Arial"/>
                <w:sz w:val="22"/>
              </w:rPr>
              <w:t>Oui (mineur) = 1</w:t>
            </w:r>
          </w:p>
          <w:p w14:paraId="14F05008"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623AF375" w14:textId="77777777" w:rsidR="00871A3A" w:rsidRPr="007E3D1A" w:rsidRDefault="00871A3A" w:rsidP="00BB0401">
            <w:pPr>
              <w:rPr>
                <w:rFonts w:cs="Arial"/>
                <w:sz w:val="22"/>
              </w:rPr>
            </w:pPr>
            <w:r w:rsidRPr="007E3D1A">
              <w:rPr>
                <w:rFonts w:cs="Arial"/>
                <w:sz w:val="22"/>
              </w:rPr>
              <w:t>Oui (majeur) = 2</w:t>
            </w:r>
          </w:p>
          <w:p w14:paraId="0A9AC452" w14:textId="77777777" w:rsidR="00871A3A" w:rsidRPr="007E3D1A" w:rsidRDefault="00871A3A" w:rsidP="00BB0401">
            <w:pPr>
              <w:rPr>
                <w:rFonts w:cs="Arial"/>
                <w:sz w:val="22"/>
              </w:rPr>
            </w:pPr>
            <w:r w:rsidRPr="007E3D1A">
              <w:rPr>
                <w:rFonts w:cs="Arial"/>
                <w:sz w:val="22"/>
              </w:rPr>
              <w:t>Oui (mineur) = 1</w:t>
            </w:r>
          </w:p>
          <w:p w14:paraId="6E6A3815" w14:textId="77777777" w:rsidR="00871A3A" w:rsidRPr="007E3D1A" w:rsidRDefault="00871A3A" w:rsidP="00BB0401">
            <w:pPr>
              <w:rPr>
                <w:rFonts w:cs="Arial"/>
                <w:sz w:val="22"/>
              </w:rPr>
            </w:pPr>
            <w:r w:rsidRPr="007E3D1A">
              <w:rPr>
                <w:rFonts w:cs="Arial"/>
                <w:sz w:val="22"/>
              </w:rPr>
              <w:t>Non = 0</w:t>
            </w:r>
          </w:p>
        </w:tc>
        <w:tc>
          <w:tcPr>
            <w:tcW w:w="420" w:type="pct"/>
          </w:tcPr>
          <w:p w14:paraId="7BF6639A" w14:textId="77777777" w:rsidR="00871A3A" w:rsidRPr="007E3D1A" w:rsidRDefault="00871A3A" w:rsidP="00BB0401">
            <w:pPr>
              <w:rPr>
                <w:rFonts w:cs="Arial"/>
                <w:sz w:val="22"/>
              </w:rPr>
            </w:pPr>
          </w:p>
        </w:tc>
        <w:tc>
          <w:tcPr>
            <w:tcW w:w="769" w:type="pct"/>
          </w:tcPr>
          <w:p w14:paraId="36581364" w14:textId="77777777" w:rsidR="00871A3A" w:rsidRPr="007E3D1A" w:rsidRDefault="00871A3A" w:rsidP="00BB0401">
            <w:pPr>
              <w:rPr>
                <w:rFonts w:cs="Arial"/>
                <w:sz w:val="22"/>
              </w:rPr>
            </w:pPr>
          </w:p>
        </w:tc>
      </w:tr>
      <w:tr w:rsidR="00871A3A" w:rsidRPr="007E3D1A" w14:paraId="16E063C3" w14:textId="77777777" w:rsidTr="00871A3A">
        <w:trPr>
          <w:cantSplit/>
          <w:trHeight w:val="228"/>
        </w:trPr>
        <w:tc>
          <w:tcPr>
            <w:tcW w:w="804" w:type="pct"/>
            <w:vMerge/>
          </w:tcPr>
          <w:p w14:paraId="72CEBB8D" w14:textId="77777777" w:rsidR="00871A3A" w:rsidRPr="007E3D1A" w:rsidRDefault="00871A3A" w:rsidP="00BB0401">
            <w:pPr>
              <w:rPr>
                <w:rFonts w:cs="Arial"/>
                <w:sz w:val="22"/>
              </w:rPr>
            </w:pPr>
          </w:p>
        </w:tc>
        <w:tc>
          <w:tcPr>
            <w:tcW w:w="1539" w:type="pct"/>
            <w:vAlign w:val="bottom"/>
          </w:tcPr>
          <w:p w14:paraId="7FFE0389" w14:textId="77777777" w:rsidR="00871A3A" w:rsidRPr="007E3D1A" w:rsidRDefault="00871A3A" w:rsidP="00BB0401">
            <w:pPr>
              <w:rPr>
                <w:rFonts w:cs="Arial"/>
                <w:sz w:val="22"/>
              </w:rPr>
            </w:pPr>
            <w:r w:rsidRPr="007E3D1A">
              <w:rPr>
                <w:rFonts w:cs="Arial"/>
                <w:sz w:val="22"/>
              </w:rPr>
              <w:t>L’activité peut-elle exacerber les risques de violences basées sur le genre, y compris l’exploitation et abus sexuels, et le harcèlement sexuel (VBG/EAS/HS) ?</w:t>
            </w:r>
          </w:p>
          <w:p w14:paraId="4EDA8D97" w14:textId="77777777" w:rsidR="00871A3A" w:rsidRPr="007E3D1A" w:rsidRDefault="00871A3A" w:rsidP="00BB0401">
            <w:pPr>
              <w:rPr>
                <w:rFonts w:cs="Arial"/>
                <w:sz w:val="22"/>
              </w:rPr>
            </w:pPr>
          </w:p>
        </w:tc>
        <w:tc>
          <w:tcPr>
            <w:tcW w:w="741" w:type="pct"/>
            <w:vAlign w:val="center"/>
          </w:tcPr>
          <w:p w14:paraId="3176A635" w14:textId="77777777" w:rsidR="00871A3A" w:rsidRPr="007E3D1A" w:rsidRDefault="00871A3A" w:rsidP="00BB0401">
            <w:pPr>
              <w:rPr>
                <w:rFonts w:cs="Arial"/>
                <w:sz w:val="22"/>
              </w:rPr>
            </w:pPr>
            <w:r w:rsidRPr="007E3D1A">
              <w:rPr>
                <w:rFonts w:cs="Arial"/>
                <w:sz w:val="22"/>
              </w:rPr>
              <w:t>Oui (majeur) = 2</w:t>
            </w:r>
          </w:p>
          <w:p w14:paraId="2FD31C9E" w14:textId="77777777" w:rsidR="00871A3A" w:rsidRPr="007E3D1A" w:rsidRDefault="00871A3A" w:rsidP="00BB0401">
            <w:pPr>
              <w:rPr>
                <w:rFonts w:cs="Arial"/>
                <w:sz w:val="22"/>
              </w:rPr>
            </w:pPr>
            <w:r w:rsidRPr="007E3D1A">
              <w:rPr>
                <w:rFonts w:cs="Arial"/>
                <w:sz w:val="22"/>
              </w:rPr>
              <w:t>Oui (mineur) = 1</w:t>
            </w:r>
          </w:p>
          <w:p w14:paraId="50FD9950"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2BEF6995" w14:textId="77777777" w:rsidR="00871A3A" w:rsidRPr="007E3D1A" w:rsidRDefault="00871A3A" w:rsidP="00BB0401">
            <w:pPr>
              <w:rPr>
                <w:rFonts w:cs="Arial"/>
                <w:sz w:val="22"/>
              </w:rPr>
            </w:pPr>
            <w:r w:rsidRPr="007E3D1A">
              <w:rPr>
                <w:rFonts w:cs="Arial"/>
                <w:sz w:val="22"/>
              </w:rPr>
              <w:t>Oui (majeur) = 2</w:t>
            </w:r>
          </w:p>
          <w:p w14:paraId="1AB2329A" w14:textId="77777777" w:rsidR="00871A3A" w:rsidRPr="007E3D1A" w:rsidRDefault="00871A3A" w:rsidP="00BB0401">
            <w:pPr>
              <w:rPr>
                <w:rFonts w:cs="Arial"/>
                <w:sz w:val="22"/>
              </w:rPr>
            </w:pPr>
            <w:r w:rsidRPr="007E3D1A">
              <w:rPr>
                <w:rFonts w:cs="Arial"/>
                <w:sz w:val="22"/>
              </w:rPr>
              <w:t>Oui (mineur) = 1</w:t>
            </w:r>
          </w:p>
          <w:p w14:paraId="414BFDA2" w14:textId="77777777" w:rsidR="00871A3A" w:rsidRPr="007E3D1A" w:rsidRDefault="00871A3A" w:rsidP="00BB0401">
            <w:pPr>
              <w:rPr>
                <w:rFonts w:cs="Arial"/>
                <w:sz w:val="22"/>
              </w:rPr>
            </w:pPr>
            <w:r w:rsidRPr="007E3D1A">
              <w:rPr>
                <w:rFonts w:cs="Arial"/>
                <w:sz w:val="22"/>
              </w:rPr>
              <w:t>Non = 0</w:t>
            </w:r>
          </w:p>
        </w:tc>
        <w:tc>
          <w:tcPr>
            <w:tcW w:w="420" w:type="pct"/>
          </w:tcPr>
          <w:p w14:paraId="1B4E18D4" w14:textId="77777777" w:rsidR="00871A3A" w:rsidRPr="007E3D1A" w:rsidRDefault="00871A3A" w:rsidP="00BB0401">
            <w:pPr>
              <w:rPr>
                <w:rFonts w:cs="Arial"/>
                <w:sz w:val="22"/>
              </w:rPr>
            </w:pPr>
          </w:p>
        </w:tc>
        <w:tc>
          <w:tcPr>
            <w:tcW w:w="769" w:type="pct"/>
          </w:tcPr>
          <w:p w14:paraId="1E1B42DA" w14:textId="77777777" w:rsidR="00871A3A" w:rsidRPr="007E3D1A" w:rsidRDefault="00871A3A" w:rsidP="00BB0401">
            <w:pPr>
              <w:rPr>
                <w:rFonts w:cs="Arial"/>
                <w:sz w:val="22"/>
              </w:rPr>
            </w:pPr>
          </w:p>
        </w:tc>
      </w:tr>
      <w:tr w:rsidR="00871A3A" w:rsidRPr="007E3D1A" w14:paraId="6606D175" w14:textId="77777777" w:rsidTr="00871A3A">
        <w:trPr>
          <w:cantSplit/>
          <w:trHeight w:val="228"/>
        </w:trPr>
        <w:tc>
          <w:tcPr>
            <w:tcW w:w="804" w:type="pct"/>
            <w:vMerge/>
          </w:tcPr>
          <w:p w14:paraId="395FFD04" w14:textId="77777777" w:rsidR="00871A3A" w:rsidRPr="007E3D1A" w:rsidRDefault="00871A3A" w:rsidP="00BB0401">
            <w:pPr>
              <w:rPr>
                <w:rFonts w:cs="Arial"/>
                <w:sz w:val="22"/>
              </w:rPr>
            </w:pPr>
          </w:p>
        </w:tc>
        <w:tc>
          <w:tcPr>
            <w:tcW w:w="1539" w:type="pct"/>
            <w:vAlign w:val="bottom"/>
          </w:tcPr>
          <w:p w14:paraId="327A5FBD" w14:textId="77777777" w:rsidR="00871A3A" w:rsidRPr="007E3D1A" w:rsidRDefault="00871A3A" w:rsidP="00BB0401">
            <w:pPr>
              <w:rPr>
                <w:rFonts w:cs="Arial"/>
                <w:sz w:val="22"/>
              </w:rPr>
            </w:pPr>
            <w:r w:rsidRPr="007E3D1A">
              <w:rPr>
                <w:rFonts w:cs="Arial"/>
                <w:sz w:val="22"/>
              </w:rPr>
              <w:t>L’activité nécessite-t-elle  l’utilisation des agents de sécurité publics de manière temporaire ou permanente ?</w:t>
            </w:r>
          </w:p>
        </w:tc>
        <w:tc>
          <w:tcPr>
            <w:tcW w:w="741" w:type="pct"/>
            <w:vAlign w:val="center"/>
          </w:tcPr>
          <w:p w14:paraId="1BB7B4F9" w14:textId="77777777" w:rsidR="00871A3A" w:rsidRPr="007E3D1A" w:rsidRDefault="00871A3A" w:rsidP="00BB0401">
            <w:pPr>
              <w:rPr>
                <w:rFonts w:cs="Arial"/>
                <w:sz w:val="22"/>
              </w:rPr>
            </w:pPr>
            <w:r w:rsidRPr="007E3D1A">
              <w:rPr>
                <w:rFonts w:cs="Arial"/>
                <w:sz w:val="22"/>
              </w:rPr>
              <w:t>Oui (majeur) = 2</w:t>
            </w:r>
          </w:p>
          <w:p w14:paraId="71A669BA" w14:textId="77777777" w:rsidR="00871A3A" w:rsidRPr="007E3D1A" w:rsidRDefault="00871A3A" w:rsidP="00BB0401">
            <w:pPr>
              <w:rPr>
                <w:rFonts w:cs="Arial"/>
                <w:sz w:val="22"/>
              </w:rPr>
            </w:pPr>
            <w:r w:rsidRPr="007E3D1A">
              <w:rPr>
                <w:rFonts w:cs="Arial"/>
                <w:sz w:val="22"/>
              </w:rPr>
              <w:t>Oui (mineur) = 1</w:t>
            </w:r>
          </w:p>
          <w:p w14:paraId="18330A65"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7922880C" w14:textId="77777777" w:rsidR="00871A3A" w:rsidRPr="007E3D1A" w:rsidRDefault="00871A3A" w:rsidP="00BB0401">
            <w:pPr>
              <w:rPr>
                <w:rFonts w:cs="Arial"/>
                <w:sz w:val="22"/>
              </w:rPr>
            </w:pPr>
            <w:r w:rsidRPr="007E3D1A">
              <w:rPr>
                <w:rFonts w:cs="Arial"/>
                <w:sz w:val="22"/>
              </w:rPr>
              <w:t>Oui (majeur) = 2</w:t>
            </w:r>
          </w:p>
          <w:p w14:paraId="3CCA3FE0" w14:textId="77777777" w:rsidR="00871A3A" w:rsidRPr="007E3D1A" w:rsidRDefault="00871A3A" w:rsidP="00BB0401">
            <w:pPr>
              <w:rPr>
                <w:rFonts w:cs="Arial"/>
                <w:sz w:val="22"/>
              </w:rPr>
            </w:pPr>
            <w:r w:rsidRPr="007E3D1A">
              <w:rPr>
                <w:rFonts w:cs="Arial"/>
                <w:sz w:val="22"/>
              </w:rPr>
              <w:t>Oui (mineur) = 1</w:t>
            </w:r>
          </w:p>
          <w:p w14:paraId="3601569B" w14:textId="77777777" w:rsidR="00871A3A" w:rsidRPr="007E3D1A" w:rsidRDefault="00871A3A" w:rsidP="00BB0401">
            <w:pPr>
              <w:rPr>
                <w:rFonts w:cs="Arial"/>
                <w:sz w:val="22"/>
              </w:rPr>
            </w:pPr>
            <w:r w:rsidRPr="007E3D1A">
              <w:rPr>
                <w:rFonts w:cs="Arial"/>
                <w:sz w:val="22"/>
              </w:rPr>
              <w:t>Non = 0</w:t>
            </w:r>
          </w:p>
        </w:tc>
        <w:tc>
          <w:tcPr>
            <w:tcW w:w="420" w:type="pct"/>
          </w:tcPr>
          <w:p w14:paraId="6C64572A" w14:textId="77777777" w:rsidR="00871A3A" w:rsidRPr="007E3D1A" w:rsidRDefault="00871A3A" w:rsidP="00BB0401">
            <w:pPr>
              <w:rPr>
                <w:rFonts w:cs="Arial"/>
                <w:sz w:val="22"/>
              </w:rPr>
            </w:pPr>
          </w:p>
        </w:tc>
        <w:tc>
          <w:tcPr>
            <w:tcW w:w="769" w:type="pct"/>
          </w:tcPr>
          <w:p w14:paraId="6070E4CF" w14:textId="77777777" w:rsidR="00871A3A" w:rsidRPr="007E3D1A" w:rsidRDefault="00871A3A" w:rsidP="00BB0401">
            <w:pPr>
              <w:rPr>
                <w:rFonts w:cs="Arial"/>
                <w:sz w:val="22"/>
              </w:rPr>
            </w:pPr>
          </w:p>
        </w:tc>
      </w:tr>
      <w:tr w:rsidR="00871A3A" w:rsidRPr="007E3D1A" w14:paraId="012AB280" w14:textId="77777777" w:rsidTr="00871A3A">
        <w:trPr>
          <w:cantSplit/>
          <w:trHeight w:val="228"/>
        </w:trPr>
        <w:tc>
          <w:tcPr>
            <w:tcW w:w="804" w:type="pct"/>
            <w:vMerge/>
          </w:tcPr>
          <w:p w14:paraId="2E9E63CD" w14:textId="77777777" w:rsidR="00871A3A" w:rsidRPr="007E3D1A" w:rsidRDefault="00871A3A" w:rsidP="00BB0401">
            <w:pPr>
              <w:rPr>
                <w:rFonts w:cs="Arial"/>
                <w:sz w:val="22"/>
              </w:rPr>
            </w:pPr>
          </w:p>
        </w:tc>
        <w:tc>
          <w:tcPr>
            <w:tcW w:w="1539" w:type="pct"/>
            <w:vAlign w:val="bottom"/>
          </w:tcPr>
          <w:p w14:paraId="0D677157" w14:textId="77777777" w:rsidR="00871A3A" w:rsidRPr="007E3D1A" w:rsidRDefault="00871A3A" w:rsidP="00BB0401">
            <w:pPr>
              <w:rPr>
                <w:rFonts w:cs="Arial"/>
                <w:sz w:val="22"/>
              </w:rPr>
            </w:pPr>
            <w:r w:rsidRPr="007E3D1A">
              <w:rPr>
                <w:rFonts w:cs="Arial"/>
                <w:sz w:val="22"/>
              </w:rPr>
              <w:t>L’activité peut-elle entraîner une accentuation des inégalités sociales ou exacerber des conflits sociaux au sein de la communauté ?</w:t>
            </w:r>
          </w:p>
        </w:tc>
        <w:tc>
          <w:tcPr>
            <w:tcW w:w="741" w:type="pct"/>
            <w:vAlign w:val="center"/>
          </w:tcPr>
          <w:p w14:paraId="5473BD1E" w14:textId="77777777" w:rsidR="00871A3A" w:rsidRPr="007E3D1A" w:rsidRDefault="00871A3A" w:rsidP="00BB0401">
            <w:pPr>
              <w:rPr>
                <w:rFonts w:cs="Arial"/>
                <w:sz w:val="22"/>
              </w:rPr>
            </w:pPr>
            <w:r w:rsidRPr="007E3D1A">
              <w:rPr>
                <w:rFonts w:cs="Arial"/>
                <w:sz w:val="22"/>
              </w:rPr>
              <w:t>Oui (majeur) = 2</w:t>
            </w:r>
          </w:p>
          <w:p w14:paraId="772B0FAC" w14:textId="77777777" w:rsidR="00871A3A" w:rsidRPr="007E3D1A" w:rsidRDefault="00871A3A" w:rsidP="00BB0401">
            <w:pPr>
              <w:rPr>
                <w:rFonts w:cs="Arial"/>
                <w:sz w:val="22"/>
              </w:rPr>
            </w:pPr>
            <w:r w:rsidRPr="007E3D1A">
              <w:rPr>
                <w:rFonts w:cs="Arial"/>
                <w:sz w:val="22"/>
              </w:rPr>
              <w:t>Oui (mineur) = 1</w:t>
            </w:r>
          </w:p>
          <w:p w14:paraId="4A052947"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430D62EF" w14:textId="77777777" w:rsidR="00871A3A" w:rsidRPr="007E3D1A" w:rsidRDefault="00871A3A" w:rsidP="00BB0401">
            <w:pPr>
              <w:rPr>
                <w:rFonts w:cs="Arial"/>
                <w:sz w:val="22"/>
              </w:rPr>
            </w:pPr>
            <w:r w:rsidRPr="007E3D1A">
              <w:rPr>
                <w:rFonts w:cs="Arial"/>
                <w:sz w:val="22"/>
              </w:rPr>
              <w:t>Oui (majeur) = 2</w:t>
            </w:r>
          </w:p>
          <w:p w14:paraId="73993201" w14:textId="77777777" w:rsidR="00871A3A" w:rsidRPr="007E3D1A" w:rsidRDefault="00871A3A" w:rsidP="00BB0401">
            <w:pPr>
              <w:rPr>
                <w:rFonts w:cs="Arial"/>
                <w:sz w:val="22"/>
              </w:rPr>
            </w:pPr>
            <w:r w:rsidRPr="007E3D1A">
              <w:rPr>
                <w:rFonts w:cs="Arial"/>
                <w:sz w:val="22"/>
              </w:rPr>
              <w:t>Oui (mineur) = 1</w:t>
            </w:r>
          </w:p>
          <w:p w14:paraId="57203FA1" w14:textId="77777777" w:rsidR="00871A3A" w:rsidRPr="007E3D1A" w:rsidRDefault="00871A3A" w:rsidP="00BB0401">
            <w:pPr>
              <w:rPr>
                <w:rFonts w:cs="Arial"/>
                <w:sz w:val="22"/>
              </w:rPr>
            </w:pPr>
            <w:r w:rsidRPr="007E3D1A">
              <w:rPr>
                <w:rFonts w:cs="Arial"/>
                <w:sz w:val="22"/>
              </w:rPr>
              <w:t>Non = 0</w:t>
            </w:r>
          </w:p>
        </w:tc>
        <w:tc>
          <w:tcPr>
            <w:tcW w:w="420" w:type="pct"/>
          </w:tcPr>
          <w:p w14:paraId="0B35F9A7" w14:textId="77777777" w:rsidR="00871A3A" w:rsidRPr="007E3D1A" w:rsidRDefault="00871A3A" w:rsidP="00BB0401">
            <w:pPr>
              <w:rPr>
                <w:rFonts w:cs="Arial"/>
                <w:sz w:val="22"/>
              </w:rPr>
            </w:pPr>
          </w:p>
        </w:tc>
        <w:tc>
          <w:tcPr>
            <w:tcW w:w="769" w:type="pct"/>
          </w:tcPr>
          <w:p w14:paraId="30B7404E" w14:textId="77777777" w:rsidR="00871A3A" w:rsidRPr="007E3D1A" w:rsidRDefault="00871A3A" w:rsidP="00BB0401">
            <w:pPr>
              <w:rPr>
                <w:rFonts w:cs="Arial"/>
                <w:sz w:val="22"/>
              </w:rPr>
            </w:pPr>
          </w:p>
        </w:tc>
      </w:tr>
      <w:tr w:rsidR="00871A3A" w:rsidRPr="007E3D1A" w14:paraId="63C946F2" w14:textId="77777777" w:rsidTr="00871A3A">
        <w:trPr>
          <w:cantSplit/>
          <w:trHeight w:val="572"/>
        </w:trPr>
        <w:tc>
          <w:tcPr>
            <w:tcW w:w="804" w:type="pct"/>
            <w:vMerge/>
          </w:tcPr>
          <w:p w14:paraId="5E0E9AE3" w14:textId="77777777" w:rsidR="00871A3A" w:rsidRPr="007E3D1A" w:rsidRDefault="00871A3A" w:rsidP="00BB0401">
            <w:pPr>
              <w:rPr>
                <w:rFonts w:cs="Arial"/>
                <w:sz w:val="22"/>
              </w:rPr>
            </w:pPr>
          </w:p>
        </w:tc>
        <w:tc>
          <w:tcPr>
            <w:tcW w:w="1539" w:type="pct"/>
            <w:vAlign w:val="bottom"/>
          </w:tcPr>
          <w:p w14:paraId="7158CDC1" w14:textId="77777777" w:rsidR="00871A3A" w:rsidRPr="007E3D1A" w:rsidRDefault="00871A3A" w:rsidP="00BB0401">
            <w:pPr>
              <w:rPr>
                <w:rFonts w:cs="Arial"/>
                <w:sz w:val="22"/>
              </w:rPr>
            </w:pPr>
            <w:r w:rsidRPr="007E3D1A">
              <w:rPr>
                <w:rFonts w:cs="Arial"/>
                <w:sz w:val="22"/>
              </w:rPr>
              <w:t>L’activité peut-elle entraîner des altérations de la qualité esthétique du paysage (incompatibilité avec le paysage ; destruction d’espaces vert, abattage d’arbres d’alignement, déboisement) ?</w:t>
            </w:r>
          </w:p>
        </w:tc>
        <w:tc>
          <w:tcPr>
            <w:tcW w:w="741" w:type="pct"/>
            <w:vAlign w:val="center"/>
          </w:tcPr>
          <w:p w14:paraId="76DA61DE" w14:textId="77777777" w:rsidR="00871A3A" w:rsidRPr="007E3D1A" w:rsidRDefault="00871A3A" w:rsidP="00BB0401">
            <w:pPr>
              <w:rPr>
                <w:rFonts w:cs="Arial"/>
                <w:sz w:val="22"/>
              </w:rPr>
            </w:pPr>
            <w:r w:rsidRPr="007E3D1A">
              <w:rPr>
                <w:rFonts w:cs="Arial"/>
                <w:sz w:val="22"/>
              </w:rPr>
              <w:t>Oui (majeur) = 2</w:t>
            </w:r>
          </w:p>
          <w:p w14:paraId="32E96C1F" w14:textId="77777777" w:rsidR="00871A3A" w:rsidRPr="007E3D1A" w:rsidRDefault="00871A3A" w:rsidP="00BB0401">
            <w:pPr>
              <w:rPr>
                <w:rFonts w:cs="Arial"/>
                <w:sz w:val="22"/>
              </w:rPr>
            </w:pPr>
            <w:r w:rsidRPr="007E3D1A">
              <w:rPr>
                <w:rFonts w:cs="Arial"/>
                <w:sz w:val="22"/>
              </w:rPr>
              <w:t>Oui (mineur) = 1</w:t>
            </w:r>
          </w:p>
          <w:p w14:paraId="3FE5BF72"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6BEE5E9D" w14:textId="77777777" w:rsidR="00871A3A" w:rsidRPr="007E3D1A" w:rsidRDefault="00871A3A" w:rsidP="00BB0401">
            <w:pPr>
              <w:rPr>
                <w:rFonts w:cs="Arial"/>
                <w:sz w:val="22"/>
              </w:rPr>
            </w:pPr>
            <w:r w:rsidRPr="007E3D1A">
              <w:rPr>
                <w:rFonts w:cs="Arial"/>
                <w:sz w:val="22"/>
              </w:rPr>
              <w:t>Oui (majeur) = 2</w:t>
            </w:r>
          </w:p>
          <w:p w14:paraId="32B0A3F3" w14:textId="77777777" w:rsidR="00871A3A" w:rsidRPr="007E3D1A" w:rsidRDefault="00871A3A" w:rsidP="00BB0401">
            <w:pPr>
              <w:rPr>
                <w:rFonts w:cs="Arial"/>
                <w:sz w:val="22"/>
              </w:rPr>
            </w:pPr>
            <w:r w:rsidRPr="007E3D1A">
              <w:rPr>
                <w:rFonts w:cs="Arial"/>
                <w:sz w:val="22"/>
              </w:rPr>
              <w:t>Oui (mineur) = 1</w:t>
            </w:r>
          </w:p>
          <w:p w14:paraId="3D8E5EF2" w14:textId="77777777" w:rsidR="00871A3A" w:rsidRPr="007E3D1A" w:rsidRDefault="00871A3A" w:rsidP="00BB0401">
            <w:pPr>
              <w:rPr>
                <w:rFonts w:cs="Arial"/>
                <w:sz w:val="22"/>
              </w:rPr>
            </w:pPr>
            <w:r w:rsidRPr="007E3D1A">
              <w:rPr>
                <w:rFonts w:cs="Arial"/>
                <w:sz w:val="22"/>
              </w:rPr>
              <w:t>Non = 0</w:t>
            </w:r>
          </w:p>
        </w:tc>
        <w:tc>
          <w:tcPr>
            <w:tcW w:w="420" w:type="pct"/>
          </w:tcPr>
          <w:p w14:paraId="19DD3033" w14:textId="77777777" w:rsidR="00871A3A" w:rsidRPr="007E3D1A" w:rsidRDefault="00871A3A" w:rsidP="00BB0401">
            <w:pPr>
              <w:rPr>
                <w:rFonts w:cs="Arial"/>
                <w:sz w:val="22"/>
              </w:rPr>
            </w:pPr>
          </w:p>
        </w:tc>
        <w:tc>
          <w:tcPr>
            <w:tcW w:w="769" w:type="pct"/>
          </w:tcPr>
          <w:p w14:paraId="558ED68A" w14:textId="77777777" w:rsidR="00871A3A" w:rsidRPr="007E3D1A" w:rsidRDefault="00871A3A" w:rsidP="00BB0401">
            <w:pPr>
              <w:rPr>
                <w:rFonts w:cs="Arial"/>
                <w:sz w:val="22"/>
              </w:rPr>
            </w:pPr>
          </w:p>
        </w:tc>
      </w:tr>
      <w:tr w:rsidR="00871A3A" w:rsidRPr="007E3D1A" w14:paraId="26D5E977" w14:textId="77777777" w:rsidTr="00871A3A">
        <w:trPr>
          <w:cantSplit/>
          <w:trHeight w:val="228"/>
        </w:trPr>
        <w:tc>
          <w:tcPr>
            <w:tcW w:w="804" w:type="pct"/>
            <w:vMerge/>
          </w:tcPr>
          <w:p w14:paraId="3BB39173" w14:textId="77777777" w:rsidR="00871A3A" w:rsidRPr="007E3D1A" w:rsidRDefault="00871A3A" w:rsidP="00BB0401">
            <w:pPr>
              <w:rPr>
                <w:rFonts w:cs="Arial"/>
                <w:sz w:val="22"/>
              </w:rPr>
            </w:pPr>
          </w:p>
        </w:tc>
        <w:tc>
          <w:tcPr>
            <w:tcW w:w="1539" w:type="pct"/>
            <w:vAlign w:val="bottom"/>
          </w:tcPr>
          <w:p w14:paraId="72DFB2F4" w14:textId="77777777" w:rsidR="00871A3A" w:rsidRPr="007E3D1A" w:rsidRDefault="00871A3A" w:rsidP="00BB0401">
            <w:pPr>
              <w:rPr>
                <w:rFonts w:cs="Arial"/>
                <w:sz w:val="22"/>
              </w:rPr>
            </w:pPr>
            <w:r w:rsidRPr="007E3D1A">
              <w:rPr>
                <w:rFonts w:cs="Arial"/>
                <w:sz w:val="22"/>
              </w:rPr>
              <w:t>Le site du projet est-il sujet à des phénomènes naturels (inondation, glissement de terrain, érosion, etc.) ?</w:t>
            </w:r>
          </w:p>
        </w:tc>
        <w:tc>
          <w:tcPr>
            <w:tcW w:w="741" w:type="pct"/>
            <w:vAlign w:val="center"/>
          </w:tcPr>
          <w:p w14:paraId="0AE1341A" w14:textId="77777777" w:rsidR="00871A3A" w:rsidRPr="007E3D1A" w:rsidRDefault="00871A3A" w:rsidP="00BB0401">
            <w:pPr>
              <w:rPr>
                <w:rFonts w:cs="Arial"/>
                <w:sz w:val="22"/>
              </w:rPr>
            </w:pPr>
            <w:r w:rsidRPr="007E3D1A">
              <w:rPr>
                <w:rFonts w:cs="Arial"/>
                <w:sz w:val="22"/>
              </w:rPr>
              <w:t>Oui (majeur) = 2</w:t>
            </w:r>
          </w:p>
          <w:p w14:paraId="7C988DDA" w14:textId="77777777" w:rsidR="00871A3A" w:rsidRPr="007E3D1A" w:rsidRDefault="00871A3A" w:rsidP="00BB0401">
            <w:pPr>
              <w:rPr>
                <w:rFonts w:cs="Arial"/>
                <w:sz w:val="22"/>
              </w:rPr>
            </w:pPr>
            <w:r w:rsidRPr="007E3D1A">
              <w:rPr>
                <w:rFonts w:cs="Arial"/>
                <w:sz w:val="22"/>
              </w:rPr>
              <w:t>Oui (mineur) = 1</w:t>
            </w:r>
          </w:p>
          <w:p w14:paraId="0386DE2F"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68065975" w14:textId="77777777" w:rsidR="00871A3A" w:rsidRPr="007E3D1A" w:rsidRDefault="00871A3A" w:rsidP="00BB0401">
            <w:pPr>
              <w:rPr>
                <w:rFonts w:cs="Arial"/>
                <w:sz w:val="22"/>
              </w:rPr>
            </w:pPr>
            <w:r w:rsidRPr="007E3D1A">
              <w:rPr>
                <w:rFonts w:cs="Arial"/>
                <w:sz w:val="22"/>
              </w:rPr>
              <w:t>Oui (majeur) = 2</w:t>
            </w:r>
          </w:p>
          <w:p w14:paraId="56A2DA09" w14:textId="77777777" w:rsidR="00871A3A" w:rsidRPr="007E3D1A" w:rsidRDefault="00871A3A" w:rsidP="00BB0401">
            <w:pPr>
              <w:rPr>
                <w:rFonts w:cs="Arial"/>
                <w:sz w:val="22"/>
              </w:rPr>
            </w:pPr>
            <w:r w:rsidRPr="007E3D1A">
              <w:rPr>
                <w:rFonts w:cs="Arial"/>
                <w:sz w:val="22"/>
              </w:rPr>
              <w:t>Oui (mineur) = 1</w:t>
            </w:r>
          </w:p>
          <w:p w14:paraId="409360C3" w14:textId="77777777" w:rsidR="00871A3A" w:rsidRPr="007E3D1A" w:rsidRDefault="00871A3A" w:rsidP="00BB0401">
            <w:pPr>
              <w:rPr>
                <w:rFonts w:cs="Arial"/>
                <w:sz w:val="22"/>
              </w:rPr>
            </w:pPr>
            <w:r w:rsidRPr="007E3D1A">
              <w:rPr>
                <w:rFonts w:cs="Arial"/>
                <w:sz w:val="22"/>
              </w:rPr>
              <w:t>Non = 0</w:t>
            </w:r>
          </w:p>
        </w:tc>
        <w:tc>
          <w:tcPr>
            <w:tcW w:w="420" w:type="pct"/>
          </w:tcPr>
          <w:p w14:paraId="70F3FC58" w14:textId="77777777" w:rsidR="00871A3A" w:rsidRPr="007E3D1A" w:rsidRDefault="00871A3A" w:rsidP="00BB0401">
            <w:pPr>
              <w:rPr>
                <w:rFonts w:cs="Arial"/>
                <w:sz w:val="22"/>
              </w:rPr>
            </w:pPr>
          </w:p>
        </w:tc>
        <w:tc>
          <w:tcPr>
            <w:tcW w:w="769" w:type="pct"/>
          </w:tcPr>
          <w:p w14:paraId="5B249E33" w14:textId="77777777" w:rsidR="00871A3A" w:rsidRPr="007E3D1A" w:rsidRDefault="00871A3A" w:rsidP="00BB0401">
            <w:pPr>
              <w:rPr>
                <w:rFonts w:cs="Arial"/>
                <w:sz w:val="22"/>
              </w:rPr>
            </w:pPr>
          </w:p>
        </w:tc>
      </w:tr>
      <w:tr w:rsidR="00871A3A" w:rsidRPr="007E3D1A" w14:paraId="5D166ABE" w14:textId="77777777" w:rsidTr="00871A3A">
        <w:trPr>
          <w:cantSplit/>
          <w:trHeight w:val="228"/>
        </w:trPr>
        <w:tc>
          <w:tcPr>
            <w:tcW w:w="804" w:type="pct"/>
            <w:vMerge/>
          </w:tcPr>
          <w:p w14:paraId="776A3306" w14:textId="77777777" w:rsidR="00871A3A" w:rsidRPr="007E3D1A" w:rsidRDefault="00871A3A" w:rsidP="00BB0401">
            <w:pPr>
              <w:rPr>
                <w:rFonts w:cs="Arial"/>
                <w:sz w:val="22"/>
              </w:rPr>
            </w:pPr>
          </w:p>
        </w:tc>
        <w:tc>
          <w:tcPr>
            <w:tcW w:w="1539" w:type="pct"/>
            <w:vAlign w:val="bottom"/>
          </w:tcPr>
          <w:p w14:paraId="4034613E" w14:textId="77777777" w:rsidR="00871A3A" w:rsidRPr="007E3D1A" w:rsidRDefault="00871A3A" w:rsidP="00BB0401">
            <w:pPr>
              <w:rPr>
                <w:rFonts w:cs="Arial"/>
                <w:sz w:val="22"/>
              </w:rPr>
            </w:pPr>
            <w:r w:rsidRPr="007E3D1A">
              <w:rPr>
                <w:rFonts w:cs="Arial"/>
                <w:sz w:val="22"/>
              </w:rPr>
              <w:t>L’activité entraîne-t-elle un déplacement physique de populations ?</w:t>
            </w:r>
          </w:p>
        </w:tc>
        <w:tc>
          <w:tcPr>
            <w:tcW w:w="741" w:type="pct"/>
            <w:vAlign w:val="center"/>
          </w:tcPr>
          <w:p w14:paraId="34836F4D" w14:textId="77777777" w:rsidR="00871A3A" w:rsidRPr="007E3D1A" w:rsidRDefault="00871A3A" w:rsidP="00BB0401">
            <w:pPr>
              <w:rPr>
                <w:rFonts w:cs="Arial"/>
                <w:sz w:val="22"/>
              </w:rPr>
            </w:pPr>
            <w:r w:rsidRPr="007E3D1A">
              <w:rPr>
                <w:rFonts w:cs="Arial"/>
                <w:sz w:val="22"/>
              </w:rPr>
              <w:t>Oui (majeur) = 2</w:t>
            </w:r>
          </w:p>
          <w:p w14:paraId="3151A667" w14:textId="77777777" w:rsidR="00871A3A" w:rsidRPr="007E3D1A" w:rsidRDefault="00871A3A" w:rsidP="00BB0401">
            <w:pPr>
              <w:rPr>
                <w:rFonts w:cs="Arial"/>
                <w:sz w:val="22"/>
              </w:rPr>
            </w:pPr>
            <w:r w:rsidRPr="007E3D1A">
              <w:rPr>
                <w:rFonts w:cs="Arial"/>
                <w:sz w:val="22"/>
              </w:rPr>
              <w:t>Oui (mineur) = 1</w:t>
            </w:r>
          </w:p>
          <w:p w14:paraId="2469978F"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01E81023" w14:textId="77777777" w:rsidR="00871A3A" w:rsidRPr="007E3D1A" w:rsidRDefault="00871A3A" w:rsidP="00BB0401">
            <w:pPr>
              <w:rPr>
                <w:rFonts w:cs="Arial"/>
                <w:sz w:val="22"/>
              </w:rPr>
            </w:pPr>
            <w:r w:rsidRPr="007E3D1A">
              <w:rPr>
                <w:rFonts w:cs="Arial"/>
                <w:sz w:val="22"/>
              </w:rPr>
              <w:t>Oui (majeur) = 2</w:t>
            </w:r>
          </w:p>
          <w:p w14:paraId="3EBFB142" w14:textId="77777777" w:rsidR="00871A3A" w:rsidRPr="007E3D1A" w:rsidRDefault="00871A3A" w:rsidP="00BB0401">
            <w:pPr>
              <w:rPr>
                <w:rFonts w:cs="Arial"/>
                <w:sz w:val="22"/>
              </w:rPr>
            </w:pPr>
            <w:r w:rsidRPr="007E3D1A">
              <w:rPr>
                <w:rFonts w:cs="Arial"/>
                <w:sz w:val="22"/>
              </w:rPr>
              <w:t>Oui (mineur) = 1</w:t>
            </w:r>
          </w:p>
          <w:p w14:paraId="5B0000B4" w14:textId="77777777" w:rsidR="00871A3A" w:rsidRPr="007E3D1A" w:rsidRDefault="00871A3A" w:rsidP="00BB0401">
            <w:pPr>
              <w:rPr>
                <w:rFonts w:cs="Arial"/>
                <w:sz w:val="22"/>
              </w:rPr>
            </w:pPr>
            <w:r w:rsidRPr="007E3D1A">
              <w:rPr>
                <w:rFonts w:cs="Arial"/>
                <w:sz w:val="22"/>
              </w:rPr>
              <w:t>Non = 0</w:t>
            </w:r>
          </w:p>
        </w:tc>
        <w:tc>
          <w:tcPr>
            <w:tcW w:w="420" w:type="pct"/>
          </w:tcPr>
          <w:p w14:paraId="2A27CE10" w14:textId="77777777" w:rsidR="00871A3A" w:rsidRPr="007E3D1A" w:rsidRDefault="00871A3A" w:rsidP="00BB0401">
            <w:pPr>
              <w:rPr>
                <w:rFonts w:cs="Arial"/>
                <w:sz w:val="22"/>
              </w:rPr>
            </w:pPr>
          </w:p>
        </w:tc>
        <w:tc>
          <w:tcPr>
            <w:tcW w:w="769" w:type="pct"/>
          </w:tcPr>
          <w:p w14:paraId="5418F907" w14:textId="77777777" w:rsidR="00871A3A" w:rsidRPr="007E3D1A" w:rsidRDefault="00871A3A" w:rsidP="00BB0401">
            <w:pPr>
              <w:rPr>
                <w:rFonts w:cs="Arial"/>
                <w:sz w:val="22"/>
              </w:rPr>
            </w:pPr>
          </w:p>
        </w:tc>
      </w:tr>
      <w:tr w:rsidR="00871A3A" w:rsidRPr="007E3D1A" w14:paraId="379E1B2A" w14:textId="77777777" w:rsidTr="00871A3A">
        <w:trPr>
          <w:cantSplit/>
          <w:trHeight w:val="824"/>
        </w:trPr>
        <w:tc>
          <w:tcPr>
            <w:tcW w:w="804" w:type="pct"/>
            <w:vMerge w:val="restart"/>
            <w:shd w:val="clear" w:color="auto" w:fill="auto"/>
          </w:tcPr>
          <w:p w14:paraId="4009D5C3" w14:textId="77777777" w:rsidR="00871A3A" w:rsidRPr="007E3D1A" w:rsidRDefault="00871A3A" w:rsidP="00BB0401">
            <w:pPr>
              <w:rPr>
                <w:rFonts w:cs="Arial"/>
                <w:sz w:val="22"/>
              </w:rPr>
            </w:pPr>
            <w:r w:rsidRPr="007E3D1A">
              <w:rPr>
                <w:rFonts w:cs="Arial"/>
                <w:sz w:val="22"/>
              </w:rPr>
              <w:t xml:space="preserve">Activités économiques </w:t>
            </w:r>
          </w:p>
        </w:tc>
        <w:tc>
          <w:tcPr>
            <w:tcW w:w="1539" w:type="pct"/>
            <w:vAlign w:val="bottom"/>
          </w:tcPr>
          <w:p w14:paraId="545A7267" w14:textId="77777777" w:rsidR="00871A3A" w:rsidRPr="007E3D1A" w:rsidRDefault="00871A3A" w:rsidP="00BB0401">
            <w:pPr>
              <w:rPr>
                <w:rFonts w:cs="Arial"/>
                <w:sz w:val="22"/>
              </w:rPr>
            </w:pPr>
            <w:r w:rsidRPr="007E3D1A">
              <w:rPr>
                <w:rFonts w:cs="Arial"/>
                <w:sz w:val="22"/>
              </w:rPr>
              <w:t>L’activité risque-t-elle d’entraîner une perturbation/dégradation des activités agricoles (destruction de champs agricole, dégradation de terres de cultures, etc.) ?</w:t>
            </w:r>
          </w:p>
        </w:tc>
        <w:tc>
          <w:tcPr>
            <w:tcW w:w="741" w:type="pct"/>
            <w:vAlign w:val="center"/>
          </w:tcPr>
          <w:p w14:paraId="2CE3CE15" w14:textId="77777777" w:rsidR="00871A3A" w:rsidRPr="007E3D1A" w:rsidRDefault="00871A3A" w:rsidP="00BB0401">
            <w:pPr>
              <w:rPr>
                <w:rFonts w:cs="Arial"/>
                <w:sz w:val="22"/>
              </w:rPr>
            </w:pPr>
            <w:r w:rsidRPr="007E3D1A">
              <w:rPr>
                <w:rFonts w:cs="Arial"/>
                <w:sz w:val="22"/>
              </w:rPr>
              <w:t>Oui (majeur) = 2</w:t>
            </w:r>
          </w:p>
          <w:p w14:paraId="3A65CE5A" w14:textId="77777777" w:rsidR="00871A3A" w:rsidRPr="007E3D1A" w:rsidRDefault="00871A3A" w:rsidP="00BB0401">
            <w:pPr>
              <w:rPr>
                <w:rFonts w:cs="Arial"/>
                <w:sz w:val="22"/>
              </w:rPr>
            </w:pPr>
            <w:r w:rsidRPr="007E3D1A">
              <w:rPr>
                <w:rFonts w:cs="Arial"/>
                <w:sz w:val="22"/>
              </w:rPr>
              <w:t>Oui (mineur) = 1</w:t>
            </w:r>
          </w:p>
          <w:p w14:paraId="6EAA1A8D"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0EC9747C" w14:textId="77777777" w:rsidR="00871A3A" w:rsidRPr="007E3D1A" w:rsidRDefault="00871A3A" w:rsidP="00BB0401">
            <w:pPr>
              <w:rPr>
                <w:rFonts w:cs="Arial"/>
                <w:sz w:val="22"/>
              </w:rPr>
            </w:pPr>
            <w:r w:rsidRPr="007E3D1A">
              <w:rPr>
                <w:rFonts w:cs="Arial"/>
                <w:sz w:val="22"/>
              </w:rPr>
              <w:t>Oui (majeur) = 2</w:t>
            </w:r>
          </w:p>
          <w:p w14:paraId="618663D4" w14:textId="77777777" w:rsidR="00871A3A" w:rsidRPr="007E3D1A" w:rsidRDefault="00871A3A" w:rsidP="00BB0401">
            <w:pPr>
              <w:rPr>
                <w:rFonts w:cs="Arial"/>
                <w:sz w:val="22"/>
              </w:rPr>
            </w:pPr>
            <w:r w:rsidRPr="007E3D1A">
              <w:rPr>
                <w:rFonts w:cs="Arial"/>
                <w:sz w:val="22"/>
              </w:rPr>
              <w:t>Oui (mineur) = 1</w:t>
            </w:r>
          </w:p>
          <w:p w14:paraId="7BB0B15A" w14:textId="77777777" w:rsidR="00871A3A" w:rsidRPr="007E3D1A" w:rsidRDefault="00871A3A" w:rsidP="00BB0401">
            <w:pPr>
              <w:rPr>
                <w:rFonts w:cs="Arial"/>
                <w:sz w:val="22"/>
              </w:rPr>
            </w:pPr>
            <w:r w:rsidRPr="007E3D1A">
              <w:rPr>
                <w:rFonts w:cs="Arial"/>
                <w:sz w:val="22"/>
              </w:rPr>
              <w:t>Non = 0</w:t>
            </w:r>
          </w:p>
        </w:tc>
        <w:tc>
          <w:tcPr>
            <w:tcW w:w="420" w:type="pct"/>
          </w:tcPr>
          <w:p w14:paraId="4490B4C5" w14:textId="77777777" w:rsidR="00871A3A" w:rsidRPr="007E3D1A" w:rsidRDefault="00871A3A" w:rsidP="00BB0401">
            <w:pPr>
              <w:rPr>
                <w:rFonts w:cs="Arial"/>
                <w:sz w:val="22"/>
              </w:rPr>
            </w:pPr>
          </w:p>
        </w:tc>
        <w:tc>
          <w:tcPr>
            <w:tcW w:w="769" w:type="pct"/>
          </w:tcPr>
          <w:p w14:paraId="7E73B2C5" w14:textId="77777777" w:rsidR="00871A3A" w:rsidRPr="007E3D1A" w:rsidRDefault="00871A3A" w:rsidP="00BB0401">
            <w:pPr>
              <w:rPr>
                <w:rFonts w:cs="Arial"/>
                <w:sz w:val="22"/>
              </w:rPr>
            </w:pPr>
          </w:p>
        </w:tc>
      </w:tr>
      <w:tr w:rsidR="00871A3A" w:rsidRPr="007E3D1A" w14:paraId="56DDEFB9" w14:textId="77777777" w:rsidTr="00871A3A">
        <w:trPr>
          <w:cantSplit/>
          <w:trHeight w:val="228"/>
        </w:trPr>
        <w:tc>
          <w:tcPr>
            <w:tcW w:w="804" w:type="pct"/>
            <w:vMerge/>
            <w:shd w:val="clear" w:color="auto" w:fill="auto"/>
          </w:tcPr>
          <w:p w14:paraId="4784EDCD" w14:textId="77777777" w:rsidR="00871A3A" w:rsidRPr="007E3D1A" w:rsidRDefault="00871A3A" w:rsidP="00BB0401">
            <w:pPr>
              <w:rPr>
                <w:rFonts w:cs="Arial"/>
                <w:sz w:val="22"/>
              </w:rPr>
            </w:pPr>
          </w:p>
        </w:tc>
        <w:tc>
          <w:tcPr>
            <w:tcW w:w="1539" w:type="pct"/>
            <w:vAlign w:val="bottom"/>
          </w:tcPr>
          <w:p w14:paraId="51A3BF9E" w14:textId="77777777" w:rsidR="00871A3A" w:rsidRPr="007E3D1A" w:rsidRDefault="00871A3A" w:rsidP="00BB0401">
            <w:pPr>
              <w:rPr>
                <w:rFonts w:cs="Arial"/>
                <w:sz w:val="22"/>
              </w:rPr>
            </w:pPr>
            <w:r w:rsidRPr="007E3D1A">
              <w:rPr>
                <w:rFonts w:cs="Arial"/>
                <w:sz w:val="22"/>
              </w:rPr>
              <w:t xml:space="preserve">L’activité risque-t-elle d’entraîner une perturbation des activités industrielles ? </w:t>
            </w:r>
          </w:p>
        </w:tc>
        <w:tc>
          <w:tcPr>
            <w:tcW w:w="741" w:type="pct"/>
            <w:vAlign w:val="center"/>
          </w:tcPr>
          <w:p w14:paraId="11FAEAB1" w14:textId="77777777" w:rsidR="00871A3A" w:rsidRPr="007E3D1A" w:rsidRDefault="00871A3A" w:rsidP="00BB0401">
            <w:pPr>
              <w:rPr>
                <w:rFonts w:cs="Arial"/>
                <w:sz w:val="22"/>
              </w:rPr>
            </w:pPr>
            <w:r w:rsidRPr="007E3D1A">
              <w:rPr>
                <w:rFonts w:cs="Arial"/>
                <w:sz w:val="22"/>
              </w:rPr>
              <w:t>Oui (majeur) = 2</w:t>
            </w:r>
          </w:p>
          <w:p w14:paraId="620A370E" w14:textId="77777777" w:rsidR="00871A3A" w:rsidRPr="007E3D1A" w:rsidRDefault="00871A3A" w:rsidP="00BB0401">
            <w:pPr>
              <w:rPr>
                <w:rFonts w:cs="Arial"/>
                <w:sz w:val="22"/>
              </w:rPr>
            </w:pPr>
            <w:r w:rsidRPr="007E3D1A">
              <w:rPr>
                <w:rFonts w:cs="Arial"/>
                <w:sz w:val="22"/>
              </w:rPr>
              <w:t>Oui (mineur) = 1</w:t>
            </w:r>
          </w:p>
          <w:p w14:paraId="3CEEFB1D"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37245802" w14:textId="77777777" w:rsidR="00871A3A" w:rsidRPr="007E3D1A" w:rsidRDefault="00871A3A" w:rsidP="00BB0401">
            <w:pPr>
              <w:rPr>
                <w:rFonts w:cs="Arial"/>
                <w:sz w:val="22"/>
              </w:rPr>
            </w:pPr>
            <w:r w:rsidRPr="007E3D1A">
              <w:rPr>
                <w:rFonts w:cs="Arial"/>
                <w:sz w:val="22"/>
              </w:rPr>
              <w:t>Oui (majeur) = 2</w:t>
            </w:r>
          </w:p>
          <w:p w14:paraId="085121B7" w14:textId="77777777" w:rsidR="00871A3A" w:rsidRPr="007E3D1A" w:rsidRDefault="00871A3A" w:rsidP="00BB0401">
            <w:pPr>
              <w:rPr>
                <w:rFonts w:cs="Arial"/>
                <w:sz w:val="22"/>
              </w:rPr>
            </w:pPr>
            <w:r w:rsidRPr="007E3D1A">
              <w:rPr>
                <w:rFonts w:cs="Arial"/>
                <w:sz w:val="22"/>
              </w:rPr>
              <w:t>Oui (mineur) = 1</w:t>
            </w:r>
          </w:p>
          <w:p w14:paraId="2B872CEB" w14:textId="77777777" w:rsidR="00871A3A" w:rsidRPr="007E3D1A" w:rsidRDefault="00871A3A" w:rsidP="00BB0401">
            <w:pPr>
              <w:rPr>
                <w:rFonts w:cs="Arial"/>
                <w:sz w:val="22"/>
              </w:rPr>
            </w:pPr>
            <w:r w:rsidRPr="007E3D1A">
              <w:rPr>
                <w:rFonts w:cs="Arial"/>
                <w:sz w:val="22"/>
              </w:rPr>
              <w:t>Non = 0</w:t>
            </w:r>
          </w:p>
        </w:tc>
        <w:tc>
          <w:tcPr>
            <w:tcW w:w="420" w:type="pct"/>
          </w:tcPr>
          <w:p w14:paraId="7BD2F920" w14:textId="77777777" w:rsidR="00871A3A" w:rsidRPr="007E3D1A" w:rsidRDefault="00871A3A" w:rsidP="00BB0401">
            <w:pPr>
              <w:rPr>
                <w:rFonts w:cs="Arial"/>
                <w:sz w:val="22"/>
              </w:rPr>
            </w:pPr>
          </w:p>
        </w:tc>
        <w:tc>
          <w:tcPr>
            <w:tcW w:w="769" w:type="pct"/>
          </w:tcPr>
          <w:p w14:paraId="67AC44F2" w14:textId="77777777" w:rsidR="00871A3A" w:rsidRPr="007E3D1A" w:rsidRDefault="00871A3A" w:rsidP="00BB0401">
            <w:pPr>
              <w:rPr>
                <w:rFonts w:cs="Arial"/>
                <w:sz w:val="22"/>
              </w:rPr>
            </w:pPr>
          </w:p>
        </w:tc>
      </w:tr>
      <w:tr w:rsidR="00871A3A" w:rsidRPr="007E3D1A" w14:paraId="4F61E24F" w14:textId="77777777" w:rsidTr="00871A3A">
        <w:trPr>
          <w:cantSplit/>
          <w:trHeight w:val="143"/>
        </w:trPr>
        <w:tc>
          <w:tcPr>
            <w:tcW w:w="804" w:type="pct"/>
            <w:vMerge/>
            <w:shd w:val="clear" w:color="auto" w:fill="auto"/>
          </w:tcPr>
          <w:p w14:paraId="1B42770F" w14:textId="77777777" w:rsidR="00871A3A" w:rsidRPr="007E3D1A" w:rsidRDefault="00871A3A" w:rsidP="00BB0401">
            <w:pPr>
              <w:rPr>
                <w:rFonts w:cs="Arial"/>
                <w:sz w:val="22"/>
              </w:rPr>
            </w:pPr>
          </w:p>
        </w:tc>
        <w:tc>
          <w:tcPr>
            <w:tcW w:w="1539" w:type="pct"/>
            <w:vAlign w:val="bottom"/>
          </w:tcPr>
          <w:p w14:paraId="5FDE2EAC" w14:textId="77777777" w:rsidR="00871A3A" w:rsidRPr="007E3D1A" w:rsidRDefault="00871A3A" w:rsidP="00BB0401">
            <w:pPr>
              <w:rPr>
                <w:rFonts w:cs="Arial"/>
                <w:sz w:val="22"/>
              </w:rPr>
            </w:pPr>
            <w:r w:rsidRPr="007E3D1A">
              <w:rPr>
                <w:rFonts w:cs="Arial"/>
                <w:sz w:val="22"/>
              </w:rPr>
              <w:t>L’activité risque-t-elle d’entraîner une perturbation/dégradation des activités artisanales ?</w:t>
            </w:r>
          </w:p>
          <w:p w14:paraId="69B16D79" w14:textId="77777777" w:rsidR="00871A3A" w:rsidRPr="007E3D1A" w:rsidRDefault="00871A3A" w:rsidP="00BB0401">
            <w:pPr>
              <w:rPr>
                <w:rFonts w:cs="Arial"/>
                <w:sz w:val="22"/>
              </w:rPr>
            </w:pPr>
          </w:p>
        </w:tc>
        <w:tc>
          <w:tcPr>
            <w:tcW w:w="741" w:type="pct"/>
            <w:vAlign w:val="center"/>
          </w:tcPr>
          <w:p w14:paraId="56C1B7DD" w14:textId="77777777" w:rsidR="00871A3A" w:rsidRPr="007E3D1A" w:rsidRDefault="00871A3A" w:rsidP="00BB0401">
            <w:pPr>
              <w:rPr>
                <w:rFonts w:cs="Arial"/>
                <w:sz w:val="22"/>
              </w:rPr>
            </w:pPr>
            <w:r w:rsidRPr="007E3D1A">
              <w:rPr>
                <w:rFonts w:cs="Arial"/>
                <w:sz w:val="22"/>
              </w:rPr>
              <w:t>Oui (majeur) = 2</w:t>
            </w:r>
          </w:p>
          <w:p w14:paraId="60B76B41" w14:textId="77777777" w:rsidR="00871A3A" w:rsidRPr="007E3D1A" w:rsidRDefault="00871A3A" w:rsidP="00BB0401">
            <w:pPr>
              <w:rPr>
                <w:rFonts w:cs="Arial"/>
                <w:sz w:val="22"/>
              </w:rPr>
            </w:pPr>
            <w:r w:rsidRPr="007E3D1A">
              <w:rPr>
                <w:rFonts w:cs="Arial"/>
                <w:sz w:val="22"/>
              </w:rPr>
              <w:t>Oui (mineur) = 1</w:t>
            </w:r>
          </w:p>
          <w:p w14:paraId="779A91DF"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7FDB227A" w14:textId="77777777" w:rsidR="00871A3A" w:rsidRPr="007E3D1A" w:rsidRDefault="00871A3A" w:rsidP="00BB0401">
            <w:pPr>
              <w:rPr>
                <w:rFonts w:cs="Arial"/>
                <w:sz w:val="22"/>
              </w:rPr>
            </w:pPr>
            <w:r w:rsidRPr="007E3D1A">
              <w:rPr>
                <w:rFonts w:cs="Arial"/>
                <w:sz w:val="22"/>
              </w:rPr>
              <w:t>Oui (majeur) = 2</w:t>
            </w:r>
          </w:p>
          <w:p w14:paraId="14C695F0" w14:textId="77777777" w:rsidR="00871A3A" w:rsidRPr="007E3D1A" w:rsidRDefault="00871A3A" w:rsidP="00BB0401">
            <w:pPr>
              <w:rPr>
                <w:rFonts w:cs="Arial"/>
                <w:sz w:val="22"/>
              </w:rPr>
            </w:pPr>
            <w:r w:rsidRPr="007E3D1A">
              <w:rPr>
                <w:rFonts w:cs="Arial"/>
                <w:sz w:val="22"/>
              </w:rPr>
              <w:t>Oui (mineur) = 1</w:t>
            </w:r>
          </w:p>
          <w:p w14:paraId="2172D628" w14:textId="77777777" w:rsidR="00871A3A" w:rsidRPr="007E3D1A" w:rsidRDefault="00871A3A" w:rsidP="00BB0401">
            <w:pPr>
              <w:rPr>
                <w:rFonts w:cs="Arial"/>
                <w:sz w:val="22"/>
              </w:rPr>
            </w:pPr>
            <w:r w:rsidRPr="007E3D1A">
              <w:rPr>
                <w:rFonts w:cs="Arial"/>
                <w:sz w:val="22"/>
              </w:rPr>
              <w:t>Non = 0</w:t>
            </w:r>
          </w:p>
        </w:tc>
        <w:tc>
          <w:tcPr>
            <w:tcW w:w="420" w:type="pct"/>
          </w:tcPr>
          <w:p w14:paraId="4D8E7853" w14:textId="77777777" w:rsidR="00871A3A" w:rsidRPr="007E3D1A" w:rsidRDefault="00871A3A" w:rsidP="00BB0401">
            <w:pPr>
              <w:rPr>
                <w:rFonts w:cs="Arial"/>
                <w:sz w:val="22"/>
              </w:rPr>
            </w:pPr>
          </w:p>
        </w:tc>
        <w:tc>
          <w:tcPr>
            <w:tcW w:w="769" w:type="pct"/>
          </w:tcPr>
          <w:p w14:paraId="6DAAE00A" w14:textId="77777777" w:rsidR="00871A3A" w:rsidRPr="007E3D1A" w:rsidRDefault="00871A3A" w:rsidP="00BB0401">
            <w:pPr>
              <w:rPr>
                <w:rFonts w:cs="Arial"/>
                <w:sz w:val="22"/>
              </w:rPr>
            </w:pPr>
          </w:p>
        </w:tc>
      </w:tr>
      <w:tr w:rsidR="00871A3A" w:rsidRPr="007E3D1A" w14:paraId="0AE20A21" w14:textId="77777777" w:rsidTr="00871A3A">
        <w:trPr>
          <w:cantSplit/>
          <w:trHeight w:val="228"/>
        </w:trPr>
        <w:tc>
          <w:tcPr>
            <w:tcW w:w="804" w:type="pct"/>
            <w:vMerge/>
            <w:shd w:val="clear" w:color="auto" w:fill="auto"/>
          </w:tcPr>
          <w:p w14:paraId="7933C225" w14:textId="77777777" w:rsidR="00871A3A" w:rsidRPr="007E3D1A" w:rsidRDefault="00871A3A" w:rsidP="00BB0401">
            <w:pPr>
              <w:rPr>
                <w:rFonts w:cs="Arial"/>
                <w:sz w:val="22"/>
              </w:rPr>
            </w:pPr>
          </w:p>
        </w:tc>
        <w:tc>
          <w:tcPr>
            <w:tcW w:w="1539" w:type="pct"/>
          </w:tcPr>
          <w:p w14:paraId="51ABF04A" w14:textId="77777777" w:rsidR="00871A3A" w:rsidRPr="007E3D1A" w:rsidRDefault="00871A3A" w:rsidP="00BB0401">
            <w:pPr>
              <w:rPr>
                <w:rFonts w:cs="Arial"/>
                <w:sz w:val="22"/>
              </w:rPr>
            </w:pPr>
            <w:r w:rsidRPr="007E3D1A">
              <w:rPr>
                <w:rFonts w:cs="Arial"/>
                <w:sz w:val="22"/>
              </w:rPr>
              <w:t>L’activité risque-t-elle d’entraîner une perturbation/dégradation des activités commerciales ?</w:t>
            </w:r>
          </w:p>
        </w:tc>
        <w:tc>
          <w:tcPr>
            <w:tcW w:w="741" w:type="pct"/>
            <w:vAlign w:val="center"/>
          </w:tcPr>
          <w:p w14:paraId="4C2E219F" w14:textId="77777777" w:rsidR="00871A3A" w:rsidRPr="007E3D1A" w:rsidRDefault="00871A3A" w:rsidP="00BB0401">
            <w:pPr>
              <w:rPr>
                <w:rFonts w:cs="Arial"/>
                <w:sz w:val="22"/>
              </w:rPr>
            </w:pPr>
            <w:r w:rsidRPr="007E3D1A">
              <w:rPr>
                <w:rFonts w:cs="Arial"/>
                <w:sz w:val="22"/>
              </w:rPr>
              <w:t>Oui (majeur) = 2</w:t>
            </w:r>
          </w:p>
          <w:p w14:paraId="20CCA954" w14:textId="77777777" w:rsidR="00871A3A" w:rsidRPr="007E3D1A" w:rsidRDefault="00871A3A" w:rsidP="00BB0401">
            <w:pPr>
              <w:rPr>
                <w:rFonts w:cs="Arial"/>
                <w:sz w:val="22"/>
              </w:rPr>
            </w:pPr>
            <w:r w:rsidRPr="007E3D1A">
              <w:rPr>
                <w:rFonts w:cs="Arial"/>
                <w:sz w:val="22"/>
              </w:rPr>
              <w:t>Oui (mineur) = 1</w:t>
            </w:r>
          </w:p>
          <w:p w14:paraId="6688C9D0"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28B329A6" w14:textId="77777777" w:rsidR="00871A3A" w:rsidRPr="007E3D1A" w:rsidRDefault="00871A3A" w:rsidP="00BB0401">
            <w:pPr>
              <w:rPr>
                <w:rFonts w:cs="Arial"/>
                <w:sz w:val="22"/>
              </w:rPr>
            </w:pPr>
            <w:r w:rsidRPr="007E3D1A">
              <w:rPr>
                <w:rFonts w:cs="Arial"/>
                <w:sz w:val="22"/>
              </w:rPr>
              <w:t>Oui (majeur) = 2</w:t>
            </w:r>
          </w:p>
          <w:p w14:paraId="7C518D28" w14:textId="77777777" w:rsidR="00871A3A" w:rsidRPr="007E3D1A" w:rsidRDefault="00871A3A" w:rsidP="00BB0401">
            <w:pPr>
              <w:rPr>
                <w:rFonts w:cs="Arial"/>
                <w:sz w:val="22"/>
              </w:rPr>
            </w:pPr>
            <w:r w:rsidRPr="007E3D1A">
              <w:rPr>
                <w:rFonts w:cs="Arial"/>
                <w:sz w:val="22"/>
              </w:rPr>
              <w:t>Oui (mineur) = 1</w:t>
            </w:r>
          </w:p>
          <w:p w14:paraId="5FA13F26" w14:textId="77777777" w:rsidR="00871A3A" w:rsidRPr="007E3D1A" w:rsidRDefault="00871A3A" w:rsidP="00BB0401">
            <w:pPr>
              <w:rPr>
                <w:rFonts w:cs="Arial"/>
                <w:sz w:val="22"/>
              </w:rPr>
            </w:pPr>
            <w:r w:rsidRPr="007E3D1A">
              <w:rPr>
                <w:rFonts w:cs="Arial"/>
                <w:sz w:val="22"/>
              </w:rPr>
              <w:t>Non = 0</w:t>
            </w:r>
          </w:p>
        </w:tc>
        <w:tc>
          <w:tcPr>
            <w:tcW w:w="420" w:type="pct"/>
          </w:tcPr>
          <w:p w14:paraId="48008C51" w14:textId="77777777" w:rsidR="00871A3A" w:rsidRPr="007E3D1A" w:rsidRDefault="00871A3A" w:rsidP="00BB0401">
            <w:pPr>
              <w:rPr>
                <w:rFonts w:cs="Arial"/>
                <w:sz w:val="22"/>
              </w:rPr>
            </w:pPr>
          </w:p>
        </w:tc>
        <w:tc>
          <w:tcPr>
            <w:tcW w:w="769" w:type="pct"/>
          </w:tcPr>
          <w:p w14:paraId="5813CE66" w14:textId="77777777" w:rsidR="00871A3A" w:rsidRPr="007E3D1A" w:rsidRDefault="00871A3A" w:rsidP="00BB0401">
            <w:pPr>
              <w:rPr>
                <w:rFonts w:cs="Arial"/>
                <w:sz w:val="22"/>
              </w:rPr>
            </w:pPr>
          </w:p>
        </w:tc>
      </w:tr>
      <w:tr w:rsidR="00871A3A" w:rsidRPr="007E3D1A" w14:paraId="058D246D" w14:textId="77777777" w:rsidTr="00871A3A">
        <w:trPr>
          <w:cantSplit/>
          <w:trHeight w:val="228"/>
        </w:trPr>
        <w:tc>
          <w:tcPr>
            <w:tcW w:w="804" w:type="pct"/>
            <w:vMerge/>
            <w:shd w:val="clear" w:color="auto" w:fill="auto"/>
          </w:tcPr>
          <w:p w14:paraId="1CAB5D1F" w14:textId="77777777" w:rsidR="00871A3A" w:rsidRPr="007E3D1A" w:rsidRDefault="00871A3A" w:rsidP="00BB0401">
            <w:pPr>
              <w:rPr>
                <w:rFonts w:cs="Arial"/>
                <w:sz w:val="22"/>
              </w:rPr>
            </w:pPr>
          </w:p>
        </w:tc>
        <w:tc>
          <w:tcPr>
            <w:tcW w:w="1539" w:type="pct"/>
          </w:tcPr>
          <w:p w14:paraId="75202C86" w14:textId="77777777" w:rsidR="00871A3A" w:rsidRPr="007E3D1A" w:rsidRDefault="00871A3A" w:rsidP="00BB0401">
            <w:pPr>
              <w:rPr>
                <w:rFonts w:cs="Arial"/>
                <w:sz w:val="22"/>
              </w:rPr>
            </w:pPr>
            <w:r w:rsidRPr="007E3D1A">
              <w:rPr>
                <w:rFonts w:cs="Arial"/>
                <w:sz w:val="22"/>
              </w:rPr>
              <w:t>L’activité risque-t-elle d’affecter les populations autochtones ?</w:t>
            </w:r>
          </w:p>
        </w:tc>
        <w:tc>
          <w:tcPr>
            <w:tcW w:w="741" w:type="pct"/>
            <w:vAlign w:val="center"/>
          </w:tcPr>
          <w:p w14:paraId="6E590EB5" w14:textId="77777777" w:rsidR="00871A3A" w:rsidRPr="007E3D1A" w:rsidRDefault="00871A3A" w:rsidP="00BB0401">
            <w:pPr>
              <w:rPr>
                <w:rFonts w:cs="Arial"/>
                <w:sz w:val="22"/>
              </w:rPr>
            </w:pPr>
            <w:r w:rsidRPr="007E3D1A">
              <w:rPr>
                <w:rFonts w:cs="Arial"/>
                <w:sz w:val="22"/>
              </w:rPr>
              <w:t>Oui (majeur) = 2</w:t>
            </w:r>
          </w:p>
          <w:p w14:paraId="699623AC" w14:textId="77777777" w:rsidR="00871A3A" w:rsidRPr="007E3D1A" w:rsidRDefault="00871A3A" w:rsidP="00BB0401">
            <w:pPr>
              <w:rPr>
                <w:rFonts w:cs="Arial"/>
                <w:sz w:val="22"/>
              </w:rPr>
            </w:pPr>
            <w:r w:rsidRPr="007E3D1A">
              <w:rPr>
                <w:rFonts w:cs="Arial"/>
                <w:sz w:val="22"/>
              </w:rPr>
              <w:t>Oui (mineur) = 1</w:t>
            </w:r>
          </w:p>
          <w:p w14:paraId="3FE3694E"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124BBDCA" w14:textId="77777777" w:rsidR="00871A3A" w:rsidRPr="007E3D1A" w:rsidRDefault="00871A3A" w:rsidP="00BB0401">
            <w:pPr>
              <w:rPr>
                <w:rFonts w:cs="Arial"/>
                <w:sz w:val="22"/>
              </w:rPr>
            </w:pPr>
            <w:r w:rsidRPr="007E3D1A">
              <w:rPr>
                <w:rFonts w:cs="Arial"/>
                <w:sz w:val="22"/>
              </w:rPr>
              <w:t>Oui (majeur) = 2</w:t>
            </w:r>
          </w:p>
          <w:p w14:paraId="7EBCA9CC" w14:textId="77777777" w:rsidR="00871A3A" w:rsidRPr="007E3D1A" w:rsidRDefault="00871A3A" w:rsidP="00BB0401">
            <w:pPr>
              <w:rPr>
                <w:rFonts w:cs="Arial"/>
                <w:sz w:val="22"/>
              </w:rPr>
            </w:pPr>
            <w:r w:rsidRPr="007E3D1A">
              <w:rPr>
                <w:rFonts w:cs="Arial"/>
                <w:sz w:val="22"/>
              </w:rPr>
              <w:t>Oui (mineur) = 1</w:t>
            </w:r>
          </w:p>
          <w:p w14:paraId="26CAF8E3" w14:textId="77777777" w:rsidR="00871A3A" w:rsidRPr="007E3D1A" w:rsidRDefault="00871A3A" w:rsidP="00BB0401">
            <w:pPr>
              <w:rPr>
                <w:rFonts w:cs="Arial"/>
                <w:sz w:val="22"/>
              </w:rPr>
            </w:pPr>
            <w:r w:rsidRPr="007E3D1A">
              <w:rPr>
                <w:rFonts w:cs="Arial"/>
                <w:sz w:val="22"/>
              </w:rPr>
              <w:t>Non = 0</w:t>
            </w:r>
          </w:p>
        </w:tc>
        <w:tc>
          <w:tcPr>
            <w:tcW w:w="420" w:type="pct"/>
          </w:tcPr>
          <w:p w14:paraId="53BAE705" w14:textId="77777777" w:rsidR="00871A3A" w:rsidRPr="007E3D1A" w:rsidRDefault="00871A3A" w:rsidP="00BB0401">
            <w:pPr>
              <w:rPr>
                <w:rFonts w:cs="Arial"/>
                <w:sz w:val="22"/>
              </w:rPr>
            </w:pPr>
          </w:p>
        </w:tc>
        <w:tc>
          <w:tcPr>
            <w:tcW w:w="769" w:type="pct"/>
          </w:tcPr>
          <w:p w14:paraId="443D7A64" w14:textId="77777777" w:rsidR="00871A3A" w:rsidRPr="007E3D1A" w:rsidRDefault="00871A3A" w:rsidP="00BB0401">
            <w:pPr>
              <w:rPr>
                <w:rFonts w:cs="Arial"/>
                <w:sz w:val="22"/>
              </w:rPr>
            </w:pPr>
          </w:p>
        </w:tc>
      </w:tr>
      <w:tr w:rsidR="00871A3A" w:rsidRPr="007E3D1A" w14:paraId="52310BDC" w14:textId="77777777" w:rsidTr="00871A3A">
        <w:trPr>
          <w:trHeight w:val="586"/>
        </w:trPr>
        <w:tc>
          <w:tcPr>
            <w:tcW w:w="804" w:type="pct"/>
          </w:tcPr>
          <w:p w14:paraId="12BB11C3" w14:textId="77777777" w:rsidR="00871A3A" w:rsidRPr="007E3D1A" w:rsidRDefault="00871A3A" w:rsidP="00BB0401">
            <w:pPr>
              <w:rPr>
                <w:rFonts w:cs="Arial"/>
                <w:sz w:val="22"/>
              </w:rPr>
            </w:pPr>
            <w:r w:rsidRPr="007E3D1A">
              <w:rPr>
                <w:rFonts w:cs="Arial"/>
                <w:sz w:val="22"/>
              </w:rPr>
              <w:t>Equipements socioéducatifs et sanitaires</w:t>
            </w:r>
          </w:p>
        </w:tc>
        <w:tc>
          <w:tcPr>
            <w:tcW w:w="1539" w:type="pct"/>
            <w:vAlign w:val="bottom"/>
          </w:tcPr>
          <w:p w14:paraId="2DA5271B" w14:textId="77777777" w:rsidR="00871A3A" w:rsidRPr="007E3D1A" w:rsidRDefault="00871A3A" w:rsidP="00BB0401">
            <w:pPr>
              <w:rPr>
                <w:rFonts w:cs="Arial"/>
                <w:sz w:val="22"/>
              </w:rPr>
            </w:pPr>
            <w:r w:rsidRPr="007E3D1A">
              <w:rPr>
                <w:rFonts w:cs="Arial"/>
                <w:sz w:val="22"/>
              </w:rPr>
              <w:t>L’activité peut-elle affecter négativement le fonctionnement des infrastructures socioéducatives et sanitaires environnantes ? Distance &lt; 250 m</w:t>
            </w:r>
          </w:p>
          <w:p w14:paraId="33D9F24D" w14:textId="77777777" w:rsidR="00871A3A" w:rsidRPr="007E3D1A" w:rsidRDefault="00871A3A" w:rsidP="00BB0401">
            <w:pPr>
              <w:rPr>
                <w:rFonts w:cs="Arial"/>
                <w:sz w:val="22"/>
              </w:rPr>
            </w:pPr>
          </w:p>
        </w:tc>
        <w:tc>
          <w:tcPr>
            <w:tcW w:w="741" w:type="pct"/>
            <w:vAlign w:val="center"/>
          </w:tcPr>
          <w:p w14:paraId="4B31565A" w14:textId="77777777" w:rsidR="00871A3A" w:rsidRPr="007E3D1A" w:rsidRDefault="00871A3A" w:rsidP="00BB0401">
            <w:pPr>
              <w:rPr>
                <w:rFonts w:cs="Arial"/>
                <w:sz w:val="22"/>
              </w:rPr>
            </w:pPr>
            <w:r w:rsidRPr="007E3D1A">
              <w:rPr>
                <w:rFonts w:cs="Arial"/>
                <w:sz w:val="22"/>
              </w:rPr>
              <w:t>Oui (majeur) = 2</w:t>
            </w:r>
          </w:p>
          <w:p w14:paraId="3ECAA77E" w14:textId="77777777" w:rsidR="00871A3A" w:rsidRPr="007E3D1A" w:rsidRDefault="00871A3A" w:rsidP="00BB0401">
            <w:pPr>
              <w:rPr>
                <w:rFonts w:cs="Arial"/>
                <w:sz w:val="22"/>
              </w:rPr>
            </w:pPr>
            <w:r w:rsidRPr="007E3D1A">
              <w:rPr>
                <w:rFonts w:cs="Arial"/>
                <w:sz w:val="22"/>
              </w:rPr>
              <w:t>Oui (mineur) = 1</w:t>
            </w:r>
          </w:p>
          <w:p w14:paraId="7F885CB8"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2D59F7C8" w14:textId="77777777" w:rsidR="00871A3A" w:rsidRPr="007E3D1A" w:rsidRDefault="00871A3A" w:rsidP="00BB0401">
            <w:pPr>
              <w:rPr>
                <w:rFonts w:cs="Arial"/>
                <w:sz w:val="22"/>
              </w:rPr>
            </w:pPr>
            <w:r w:rsidRPr="007E3D1A">
              <w:rPr>
                <w:rFonts w:cs="Arial"/>
                <w:sz w:val="22"/>
              </w:rPr>
              <w:t>Oui (majeur) = 2</w:t>
            </w:r>
          </w:p>
          <w:p w14:paraId="6F836DB9" w14:textId="77777777" w:rsidR="00871A3A" w:rsidRPr="007E3D1A" w:rsidRDefault="00871A3A" w:rsidP="00BB0401">
            <w:pPr>
              <w:rPr>
                <w:rFonts w:cs="Arial"/>
                <w:sz w:val="22"/>
              </w:rPr>
            </w:pPr>
            <w:r w:rsidRPr="007E3D1A">
              <w:rPr>
                <w:rFonts w:cs="Arial"/>
                <w:sz w:val="22"/>
              </w:rPr>
              <w:t>Oui (mineur) = 1</w:t>
            </w:r>
          </w:p>
          <w:p w14:paraId="201549A5" w14:textId="77777777" w:rsidR="00871A3A" w:rsidRPr="007E3D1A" w:rsidRDefault="00871A3A" w:rsidP="00BB0401">
            <w:pPr>
              <w:rPr>
                <w:rFonts w:cs="Arial"/>
                <w:sz w:val="22"/>
              </w:rPr>
            </w:pPr>
            <w:r w:rsidRPr="007E3D1A">
              <w:rPr>
                <w:rFonts w:cs="Arial"/>
                <w:sz w:val="22"/>
              </w:rPr>
              <w:t>Non = 0</w:t>
            </w:r>
          </w:p>
        </w:tc>
        <w:tc>
          <w:tcPr>
            <w:tcW w:w="420" w:type="pct"/>
          </w:tcPr>
          <w:p w14:paraId="6BB70718" w14:textId="77777777" w:rsidR="00871A3A" w:rsidRPr="007E3D1A" w:rsidRDefault="00871A3A" w:rsidP="00BB0401">
            <w:pPr>
              <w:rPr>
                <w:rFonts w:cs="Arial"/>
                <w:sz w:val="22"/>
              </w:rPr>
            </w:pPr>
          </w:p>
        </w:tc>
        <w:tc>
          <w:tcPr>
            <w:tcW w:w="769" w:type="pct"/>
          </w:tcPr>
          <w:p w14:paraId="679820D9" w14:textId="77777777" w:rsidR="00871A3A" w:rsidRPr="007E3D1A" w:rsidRDefault="00871A3A" w:rsidP="00BB0401">
            <w:pPr>
              <w:rPr>
                <w:rFonts w:cs="Arial"/>
                <w:sz w:val="22"/>
              </w:rPr>
            </w:pPr>
          </w:p>
        </w:tc>
      </w:tr>
      <w:tr w:rsidR="00871A3A" w:rsidRPr="007E3D1A" w14:paraId="530E5DFB" w14:textId="77777777" w:rsidTr="00871A3A">
        <w:trPr>
          <w:trHeight w:val="536"/>
        </w:trPr>
        <w:tc>
          <w:tcPr>
            <w:tcW w:w="804" w:type="pct"/>
          </w:tcPr>
          <w:p w14:paraId="3EA0C765" w14:textId="77777777" w:rsidR="00871A3A" w:rsidRPr="007E3D1A" w:rsidRDefault="00871A3A" w:rsidP="00BB0401">
            <w:pPr>
              <w:rPr>
                <w:rFonts w:cs="Arial"/>
                <w:sz w:val="22"/>
              </w:rPr>
            </w:pPr>
            <w:r w:rsidRPr="007E3D1A">
              <w:rPr>
                <w:rFonts w:cs="Arial"/>
                <w:sz w:val="22"/>
              </w:rPr>
              <w:t>Patrimoine culturel</w:t>
            </w:r>
          </w:p>
        </w:tc>
        <w:tc>
          <w:tcPr>
            <w:tcW w:w="1539" w:type="pct"/>
            <w:vAlign w:val="bottom"/>
          </w:tcPr>
          <w:p w14:paraId="390E4AAE" w14:textId="77777777" w:rsidR="00871A3A" w:rsidRPr="007E3D1A" w:rsidRDefault="00871A3A" w:rsidP="00BB0401">
            <w:pPr>
              <w:rPr>
                <w:rFonts w:cs="Arial"/>
                <w:sz w:val="22"/>
              </w:rPr>
            </w:pPr>
            <w:r w:rsidRPr="007E3D1A">
              <w:rPr>
                <w:rFonts w:cs="Arial"/>
                <w:sz w:val="22"/>
              </w:rPr>
              <w:t>L’activité risque-t-elle d’affecter des sites d’importance culturelle, archéologique ou historique ?</w:t>
            </w:r>
          </w:p>
          <w:p w14:paraId="7453B8A5" w14:textId="77777777" w:rsidR="00871A3A" w:rsidRPr="007E3D1A" w:rsidRDefault="00871A3A" w:rsidP="00BB0401">
            <w:pPr>
              <w:rPr>
                <w:rFonts w:cs="Arial"/>
                <w:sz w:val="22"/>
              </w:rPr>
            </w:pPr>
          </w:p>
        </w:tc>
        <w:tc>
          <w:tcPr>
            <w:tcW w:w="741" w:type="pct"/>
            <w:vAlign w:val="center"/>
          </w:tcPr>
          <w:p w14:paraId="4ADF7E10" w14:textId="77777777" w:rsidR="00871A3A" w:rsidRPr="007E3D1A" w:rsidRDefault="00871A3A" w:rsidP="00BB0401">
            <w:pPr>
              <w:rPr>
                <w:rFonts w:cs="Arial"/>
                <w:sz w:val="22"/>
              </w:rPr>
            </w:pPr>
            <w:r w:rsidRPr="007E3D1A">
              <w:rPr>
                <w:rFonts w:cs="Arial"/>
                <w:sz w:val="22"/>
              </w:rPr>
              <w:t>Oui (majeur) = 2</w:t>
            </w:r>
          </w:p>
          <w:p w14:paraId="7AF409D8" w14:textId="77777777" w:rsidR="00871A3A" w:rsidRPr="007E3D1A" w:rsidRDefault="00871A3A" w:rsidP="00BB0401">
            <w:pPr>
              <w:rPr>
                <w:rFonts w:cs="Arial"/>
                <w:sz w:val="22"/>
              </w:rPr>
            </w:pPr>
            <w:r w:rsidRPr="007E3D1A">
              <w:rPr>
                <w:rFonts w:cs="Arial"/>
                <w:sz w:val="22"/>
              </w:rPr>
              <w:t>Oui (mineur) = 1</w:t>
            </w:r>
          </w:p>
          <w:p w14:paraId="7F2AA218" w14:textId="77777777" w:rsidR="00871A3A" w:rsidRPr="007E3D1A" w:rsidRDefault="00871A3A" w:rsidP="00BB0401">
            <w:pPr>
              <w:rPr>
                <w:rFonts w:cs="Arial"/>
                <w:sz w:val="22"/>
              </w:rPr>
            </w:pPr>
            <w:r w:rsidRPr="007E3D1A">
              <w:rPr>
                <w:rFonts w:cs="Arial"/>
                <w:sz w:val="22"/>
              </w:rPr>
              <w:t>Non = 0</w:t>
            </w:r>
          </w:p>
        </w:tc>
        <w:tc>
          <w:tcPr>
            <w:tcW w:w="727" w:type="pct"/>
            <w:vAlign w:val="center"/>
          </w:tcPr>
          <w:p w14:paraId="21997206" w14:textId="77777777" w:rsidR="00871A3A" w:rsidRPr="007E3D1A" w:rsidRDefault="00871A3A" w:rsidP="00BB0401">
            <w:pPr>
              <w:rPr>
                <w:rFonts w:cs="Arial"/>
                <w:sz w:val="22"/>
              </w:rPr>
            </w:pPr>
            <w:r w:rsidRPr="007E3D1A">
              <w:rPr>
                <w:rFonts w:cs="Arial"/>
                <w:sz w:val="22"/>
              </w:rPr>
              <w:t>Oui (majeur) = 2</w:t>
            </w:r>
          </w:p>
          <w:p w14:paraId="16B81B09" w14:textId="77777777" w:rsidR="00871A3A" w:rsidRPr="007E3D1A" w:rsidRDefault="00871A3A" w:rsidP="00BB0401">
            <w:pPr>
              <w:rPr>
                <w:rFonts w:cs="Arial"/>
                <w:sz w:val="22"/>
              </w:rPr>
            </w:pPr>
            <w:r w:rsidRPr="007E3D1A">
              <w:rPr>
                <w:rFonts w:cs="Arial"/>
                <w:sz w:val="22"/>
              </w:rPr>
              <w:t>Oui (mineur) = 1</w:t>
            </w:r>
          </w:p>
          <w:p w14:paraId="2FF1ED5B" w14:textId="77777777" w:rsidR="00871A3A" w:rsidRPr="007E3D1A" w:rsidRDefault="00871A3A" w:rsidP="00BB0401">
            <w:pPr>
              <w:rPr>
                <w:rFonts w:cs="Arial"/>
                <w:sz w:val="22"/>
              </w:rPr>
            </w:pPr>
            <w:r w:rsidRPr="007E3D1A">
              <w:rPr>
                <w:rFonts w:cs="Arial"/>
                <w:sz w:val="22"/>
              </w:rPr>
              <w:t>Non = 0</w:t>
            </w:r>
          </w:p>
        </w:tc>
        <w:tc>
          <w:tcPr>
            <w:tcW w:w="420" w:type="pct"/>
          </w:tcPr>
          <w:p w14:paraId="6F2B81AA" w14:textId="77777777" w:rsidR="00871A3A" w:rsidRPr="007E3D1A" w:rsidRDefault="00871A3A" w:rsidP="00BB0401">
            <w:pPr>
              <w:rPr>
                <w:rFonts w:cs="Arial"/>
                <w:sz w:val="22"/>
              </w:rPr>
            </w:pPr>
          </w:p>
        </w:tc>
        <w:tc>
          <w:tcPr>
            <w:tcW w:w="769" w:type="pct"/>
          </w:tcPr>
          <w:p w14:paraId="731A4D24" w14:textId="77777777" w:rsidR="00871A3A" w:rsidRPr="007E3D1A" w:rsidRDefault="00871A3A" w:rsidP="00BB0401">
            <w:pPr>
              <w:rPr>
                <w:rFonts w:cs="Arial"/>
                <w:sz w:val="22"/>
              </w:rPr>
            </w:pPr>
          </w:p>
        </w:tc>
      </w:tr>
      <w:tr w:rsidR="00871A3A" w:rsidRPr="007E3D1A" w14:paraId="140C2DC7" w14:textId="77777777" w:rsidTr="00871A3A">
        <w:trPr>
          <w:trHeight w:val="222"/>
        </w:trPr>
        <w:tc>
          <w:tcPr>
            <w:tcW w:w="804" w:type="pct"/>
          </w:tcPr>
          <w:p w14:paraId="6938426B" w14:textId="77777777" w:rsidR="00871A3A" w:rsidRPr="007E3D1A" w:rsidRDefault="00871A3A" w:rsidP="00BB0401">
            <w:pPr>
              <w:rPr>
                <w:rFonts w:cs="Arial"/>
                <w:sz w:val="22"/>
              </w:rPr>
            </w:pPr>
            <w:r w:rsidRPr="007E3D1A">
              <w:rPr>
                <w:rFonts w:cs="Arial"/>
                <w:sz w:val="22"/>
              </w:rPr>
              <w:t>TOTAL</w:t>
            </w:r>
          </w:p>
        </w:tc>
        <w:tc>
          <w:tcPr>
            <w:tcW w:w="1539" w:type="pct"/>
            <w:vAlign w:val="bottom"/>
          </w:tcPr>
          <w:p w14:paraId="2E58F3B7" w14:textId="77777777" w:rsidR="00871A3A" w:rsidRPr="007E3D1A" w:rsidRDefault="00871A3A" w:rsidP="00BB0401">
            <w:pPr>
              <w:rPr>
                <w:rFonts w:cs="Arial"/>
                <w:sz w:val="22"/>
              </w:rPr>
            </w:pPr>
          </w:p>
        </w:tc>
        <w:tc>
          <w:tcPr>
            <w:tcW w:w="741" w:type="pct"/>
          </w:tcPr>
          <w:p w14:paraId="258A7C17" w14:textId="77777777" w:rsidR="00871A3A" w:rsidRPr="007E3D1A" w:rsidRDefault="00871A3A" w:rsidP="00BB0401">
            <w:pPr>
              <w:rPr>
                <w:rFonts w:cs="Arial"/>
                <w:sz w:val="22"/>
              </w:rPr>
            </w:pPr>
          </w:p>
        </w:tc>
        <w:tc>
          <w:tcPr>
            <w:tcW w:w="727" w:type="pct"/>
          </w:tcPr>
          <w:p w14:paraId="4CC73235" w14:textId="77777777" w:rsidR="00871A3A" w:rsidRPr="007E3D1A" w:rsidRDefault="00871A3A" w:rsidP="00BB0401">
            <w:pPr>
              <w:rPr>
                <w:rFonts w:cs="Arial"/>
                <w:sz w:val="22"/>
              </w:rPr>
            </w:pPr>
          </w:p>
        </w:tc>
        <w:tc>
          <w:tcPr>
            <w:tcW w:w="420" w:type="pct"/>
          </w:tcPr>
          <w:p w14:paraId="10DDE968" w14:textId="77777777" w:rsidR="00871A3A" w:rsidRPr="007E3D1A" w:rsidRDefault="00871A3A" w:rsidP="00BB0401">
            <w:pPr>
              <w:rPr>
                <w:rFonts w:cs="Arial"/>
                <w:sz w:val="22"/>
              </w:rPr>
            </w:pPr>
          </w:p>
        </w:tc>
        <w:tc>
          <w:tcPr>
            <w:tcW w:w="769" w:type="pct"/>
          </w:tcPr>
          <w:p w14:paraId="2C4FFF91" w14:textId="77777777" w:rsidR="00871A3A" w:rsidRPr="007E3D1A" w:rsidRDefault="00871A3A" w:rsidP="00BB0401">
            <w:pPr>
              <w:rPr>
                <w:rFonts w:cs="Arial"/>
                <w:sz w:val="22"/>
              </w:rPr>
            </w:pPr>
          </w:p>
        </w:tc>
      </w:tr>
    </w:tbl>
    <w:p w14:paraId="3244E570" w14:textId="77777777" w:rsidR="00871A3A" w:rsidRPr="007E3D1A" w:rsidRDefault="00871A3A" w:rsidP="00871A3A">
      <w:pPr>
        <w:rPr>
          <w:rFonts w:cs="Arial"/>
          <w:sz w:val="22"/>
        </w:rPr>
      </w:pPr>
    </w:p>
    <w:p w14:paraId="1822D1BB" w14:textId="77777777" w:rsidR="00871A3A" w:rsidRPr="007E3D1A" w:rsidRDefault="00871A3A" w:rsidP="00871A3A">
      <w:pPr>
        <w:rPr>
          <w:rFonts w:cs="Arial"/>
          <w:sz w:val="22"/>
        </w:rPr>
      </w:pPr>
      <w:r w:rsidRPr="007E3D1A">
        <w:rPr>
          <w:rFonts w:cs="Arial"/>
          <w:sz w:val="22"/>
        </w:rPr>
        <w:br w:type="page"/>
      </w:r>
    </w:p>
    <w:p w14:paraId="0AD4B6D2" w14:textId="77777777" w:rsidR="00871A3A" w:rsidRPr="007E3D1A" w:rsidRDefault="00871A3A" w:rsidP="00871A3A">
      <w:pPr>
        <w:rPr>
          <w:rFonts w:cs="Arial"/>
          <w:sz w:val="22"/>
        </w:rPr>
      </w:pPr>
      <w:r w:rsidRPr="007E3D1A">
        <w:rPr>
          <w:rFonts w:cs="Arial"/>
          <w:sz w:val="22"/>
        </w:rPr>
        <w:t>Classification du sous-projet</w:t>
      </w:r>
    </w:p>
    <w:p w14:paraId="1D765F7F" w14:textId="77777777" w:rsidR="00871A3A" w:rsidRPr="007E3D1A" w:rsidRDefault="00871A3A" w:rsidP="00871A3A">
      <w:pPr>
        <w:rPr>
          <w:rFonts w:cs="Arial"/>
          <w:sz w:val="22"/>
        </w:rPr>
      </w:pPr>
    </w:p>
    <w:tbl>
      <w:tblPr>
        <w:tblW w:w="53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1978"/>
        <w:gridCol w:w="3132"/>
        <w:gridCol w:w="2897"/>
      </w:tblGrid>
      <w:tr w:rsidR="00871A3A" w:rsidRPr="007E3D1A" w14:paraId="18A5292E" w14:textId="77777777" w:rsidTr="00BB0401">
        <w:trPr>
          <w:cantSplit/>
          <w:trHeight w:val="330"/>
        </w:trPr>
        <w:tc>
          <w:tcPr>
            <w:tcW w:w="854" w:type="pct"/>
            <w:vMerge w:val="restart"/>
          </w:tcPr>
          <w:p w14:paraId="613A505E" w14:textId="77777777" w:rsidR="00871A3A" w:rsidRPr="007E3D1A" w:rsidRDefault="00871A3A" w:rsidP="00BB0401">
            <w:pPr>
              <w:rPr>
                <w:rFonts w:cs="Arial"/>
                <w:sz w:val="22"/>
              </w:rPr>
            </w:pPr>
            <w:r w:rsidRPr="007E3D1A">
              <w:rPr>
                <w:rFonts w:cs="Arial"/>
                <w:sz w:val="22"/>
              </w:rPr>
              <w:t>Appréciation du risque du sous-projet</w:t>
            </w:r>
          </w:p>
        </w:tc>
        <w:tc>
          <w:tcPr>
            <w:tcW w:w="1024" w:type="pct"/>
          </w:tcPr>
          <w:p w14:paraId="152A200F" w14:textId="77777777" w:rsidR="00871A3A" w:rsidRPr="007E3D1A" w:rsidRDefault="00871A3A" w:rsidP="00BB0401">
            <w:pPr>
              <w:rPr>
                <w:rFonts w:cs="Arial"/>
                <w:sz w:val="22"/>
              </w:rPr>
            </w:pPr>
            <w:r w:rsidRPr="007E3D1A">
              <w:rPr>
                <w:rFonts w:cs="Arial"/>
                <w:sz w:val="22"/>
              </w:rPr>
              <w:t>Valeurs de RN</w:t>
            </w:r>
          </w:p>
        </w:tc>
        <w:tc>
          <w:tcPr>
            <w:tcW w:w="1622" w:type="pct"/>
            <w:shd w:val="clear" w:color="auto" w:fill="auto"/>
          </w:tcPr>
          <w:p w14:paraId="0C1CA73C" w14:textId="77777777" w:rsidR="00871A3A" w:rsidRPr="007E3D1A" w:rsidRDefault="00871A3A" w:rsidP="00BB0401">
            <w:pPr>
              <w:rPr>
                <w:rFonts w:cs="Arial"/>
                <w:sz w:val="22"/>
              </w:rPr>
            </w:pPr>
            <w:r w:rsidRPr="007E3D1A">
              <w:rPr>
                <w:rFonts w:cs="Arial"/>
                <w:sz w:val="22"/>
              </w:rPr>
              <w:t>Types d’étude environnementale à réaliser</w:t>
            </w:r>
          </w:p>
          <w:p w14:paraId="42485CB9" w14:textId="77777777" w:rsidR="00871A3A" w:rsidRPr="007E3D1A" w:rsidRDefault="00871A3A" w:rsidP="00BB0401">
            <w:pPr>
              <w:rPr>
                <w:rFonts w:cs="Arial"/>
                <w:sz w:val="22"/>
              </w:rPr>
            </w:pPr>
          </w:p>
        </w:tc>
        <w:tc>
          <w:tcPr>
            <w:tcW w:w="1500" w:type="pct"/>
            <w:shd w:val="clear" w:color="auto" w:fill="auto"/>
          </w:tcPr>
          <w:p w14:paraId="6D19FA53" w14:textId="77777777" w:rsidR="00871A3A" w:rsidRPr="007E3D1A" w:rsidRDefault="00871A3A" w:rsidP="00BB0401">
            <w:pPr>
              <w:rPr>
                <w:rFonts w:cs="Arial"/>
                <w:sz w:val="22"/>
              </w:rPr>
            </w:pPr>
            <w:r w:rsidRPr="007E3D1A">
              <w:rPr>
                <w:rFonts w:cs="Arial"/>
                <w:sz w:val="22"/>
              </w:rPr>
              <w:t>Niveau de risque  selon le nouveau CES</w:t>
            </w:r>
          </w:p>
        </w:tc>
      </w:tr>
      <w:tr w:rsidR="00871A3A" w:rsidRPr="007E3D1A" w14:paraId="14518225" w14:textId="77777777" w:rsidTr="00BB0401">
        <w:trPr>
          <w:cantSplit/>
          <w:trHeight w:val="475"/>
        </w:trPr>
        <w:tc>
          <w:tcPr>
            <w:tcW w:w="854" w:type="pct"/>
            <w:vMerge/>
          </w:tcPr>
          <w:p w14:paraId="13299A43" w14:textId="77777777" w:rsidR="00871A3A" w:rsidRPr="007E3D1A" w:rsidRDefault="00871A3A" w:rsidP="00BB0401">
            <w:pPr>
              <w:rPr>
                <w:rFonts w:cs="Arial"/>
                <w:sz w:val="22"/>
              </w:rPr>
            </w:pPr>
          </w:p>
        </w:tc>
        <w:tc>
          <w:tcPr>
            <w:tcW w:w="1024" w:type="pct"/>
          </w:tcPr>
          <w:p w14:paraId="3E0FB9EE" w14:textId="77777777" w:rsidR="00871A3A" w:rsidRPr="007E3D1A" w:rsidRDefault="00871A3A" w:rsidP="00BB0401">
            <w:pPr>
              <w:rPr>
                <w:rFonts w:cs="Arial"/>
                <w:sz w:val="22"/>
              </w:rPr>
            </w:pPr>
            <w:r w:rsidRPr="007E3D1A">
              <w:rPr>
                <w:rFonts w:cs="Arial"/>
                <w:sz w:val="22"/>
              </w:rPr>
              <w:t>0 &lt;= RN &lt; = 30 points</w:t>
            </w:r>
          </w:p>
        </w:tc>
        <w:tc>
          <w:tcPr>
            <w:tcW w:w="1622" w:type="pct"/>
            <w:shd w:val="clear" w:color="auto" w:fill="auto"/>
          </w:tcPr>
          <w:p w14:paraId="7C5CC523" w14:textId="77777777" w:rsidR="00871A3A" w:rsidRPr="007E3D1A" w:rsidRDefault="00871A3A" w:rsidP="00BB0401">
            <w:pPr>
              <w:rPr>
                <w:rFonts w:cs="Arial"/>
                <w:sz w:val="22"/>
              </w:rPr>
            </w:pPr>
            <w:r w:rsidRPr="007E3D1A">
              <w:rPr>
                <w:rFonts w:cs="Arial"/>
                <w:sz w:val="22"/>
              </w:rPr>
              <w:t xml:space="preserve">Aucune étude demandée </w:t>
            </w:r>
          </w:p>
          <w:p w14:paraId="0E03BC37" w14:textId="77777777" w:rsidR="00871A3A" w:rsidRPr="007E3D1A" w:rsidRDefault="00871A3A" w:rsidP="00BB0401">
            <w:pPr>
              <w:rPr>
                <w:rFonts w:cs="Arial"/>
                <w:sz w:val="22"/>
              </w:rPr>
            </w:pPr>
          </w:p>
        </w:tc>
        <w:tc>
          <w:tcPr>
            <w:tcW w:w="1500" w:type="pct"/>
            <w:shd w:val="clear" w:color="auto" w:fill="auto"/>
          </w:tcPr>
          <w:p w14:paraId="40583E0E" w14:textId="77777777" w:rsidR="00871A3A" w:rsidRPr="007E3D1A" w:rsidRDefault="00871A3A" w:rsidP="00BB0401">
            <w:pPr>
              <w:rPr>
                <w:rFonts w:cs="Arial"/>
                <w:sz w:val="22"/>
              </w:rPr>
            </w:pPr>
            <w:r w:rsidRPr="007E3D1A">
              <w:rPr>
                <w:rFonts w:cs="Arial"/>
                <w:sz w:val="22"/>
              </w:rPr>
              <w:t>Faible</w:t>
            </w:r>
          </w:p>
        </w:tc>
      </w:tr>
      <w:tr w:rsidR="00871A3A" w:rsidRPr="007E3D1A" w14:paraId="28CF19E9" w14:textId="77777777" w:rsidTr="00BB0401">
        <w:trPr>
          <w:cantSplit/>
          <w:trHeight w:val="460"/>
        </w:trPr>
        <w:tc>
          <w:tcPr>
            <w:tcW w:w="854" w:type="pct"/>
            <w:vMerge/>
          </w:tcPr>
          <w:p w14:paraId="15FA7DDE" w14:textId="77777777" w:rsidR="00871A3A" w:rsidRPr="007E3D1A" w:rsidRDefault="00871A3A" w:rsidP="00BB0401">
            <w:pPr>
              <w:rPr>
                <w:rFonts w:cs="Arial"/>
                <w:sz w:val="22"/>
              </w:rPr>
            </w:pPr>
          </w:p>
        </w:tc>
        <w:tc>
          <w:tcPr>
            <w:tcW w:w="1024" w:type="pct"/>
          </w:tcPr>
          <w:p w14:paraId="45BB5882" w14:textId="77777777" w:rsidR="00871A3A" w:rsidRPr="007E3D1A" w:rsidRDefault="00871A3A" w:rsidP="00BB0401">
            <w:pPr>
              <w:rPr>
                <w:rFonts w:cs="Arial"/>
                <w:sz w:val="22"/>
              </w:rPr>
            </w:pPr>
            <w:r w:rsidRPr="007E3D1A">
              <w:rPr>
                <w:rFonts w:cs="Arial"/>
                <w:sz w:val="22"/>
              </w:rPr>
              <w:t>30 &lt; RN &lt;= 60</w:t>
            </w:r>
          </w:p>
        </w:tc>
        <w:tc>
          <w:tcPr>
            <w:tcW w:w="1622" w:type="pct"/>
            <w:shd w:val="clear" w:color="auto" w:fill="auto"/>
          </w:tcPr>
          <w:p w14:paraId="3F3F492B" w14:textId="77777777" w:rsidR="00871A3A" w:rsidRPr="007E3D1A" w:rsidRDefault="00871A3A" w:rsidP="00BB0401">
            <w:pPr>
              <w:rPr>
                <w:rFonts w:cs="Arial"/>
                <w:sz w:val="22"/>
              </w:rPr>
            </w:pPr>
            <w:r w:rsidRPr="007E3D1A">
              <w:rPr>
                <w:rFonts w:cs="Arial"/>
                <w:sz w:val="22"/>
              </w:rPr>
              <w:t>Etude d’impact environnemental et social (simplifiée)</w:t>
            </w:r>
          </w:p>
        </w:tc>
        <w:tc>
          <w:tcPr>
            <w:tcW w:w="1500" w:type="pct"/>
            <w:shd w:val="clear" w:color="auto" w:fill="auto"/>
          </w:tcPr>
          <w:p w14:paraId="79E6DD92" w14:textId="77777777" w:rsidR="00871A3A" w:rsidRPr="007E3D1A" w:rsidRDefault="00871A3A" w:rsidP="00BB0401">
            <w:pPr>
              <w:rPr>
                <w:rFonts w:cs="Arial"/>
                <w:sz w:val="22"/>
              </w:rPr>
            </w:pPr>
            <w:r w:rsidRPr="007E3D1A">
              <w:rPr>
                <w:rFonts w:cs="Arial"/>
                <w:sz w:val="22"/>
              </w:rPr>
              <w:t>Modéré</w:t>
            </w:r>
          </w:p>
        </w:tc>
      </w:tr>
      <w:tr w:rsidR="00871A3A" w:rsidRPr="007E3D1A" w14:paraId="1BDB762C" w14:textId="77777777" w:rsidTr="00BB0401">
        <w:trPr>
          <w:cantSplit/>
          <w:trHeight w:val="200"/>
        </w:trPr>
        <w:tc>
          <w:tcPr>
            <w:tcW w:w="854" w:type="pct"/>
            <w:vMerge/>
          </w:tcPr>
          <w:p w14:paraId="2C21BA77" w14:textId="77777777" w:rsidR="00871A3A" w:rsidRPr="007E3D1A" w:rsidRDefault="00871A3A" w:rsidP="00BB0401">
            <w:pPr>
              <w:rPr>
                <w:rFonts w:cs="Arial"/>
                <w:sz w:val="22"/>
              </w:rPr>
            </w:pPr>
          </w:p>
        </w:tc>
        <w:tc>
          <w:tcPr>
            <w:tcW w:w="1024" w:type="pct"/>
          </w:tcPr>
          <w:p w14:paraId="24FB3143" w14:textId="77777777" w:rsidR="00871A3A" w:rsidRPr="007E3D1A" w:rsidRDefault="00871A3A" w:rsidP="00BB0401">
            <w:pPr>
              <w:rPr>
                <w:rFonts w:cs="Arial"/>
                <w:sz w:val="22"/>
              </w:rPr>
            </w:pPr>
            <w:r w:rsidRPr="007E3D1A">
              <w:rPr>
                <w:rFonts w:cs="Arial"/>
                <w:sz w:val="22"/>
              </w:rPr>
              <w:t>60 &lt; RN &lt;= 80 points</w:t>
            </w:r>
          </w:p>
        </w:tc>
        <w:tc>
          <w:tcPr>
            <w:tcW w:w="1622" w:type="pct"/>
            <w:shd w:val="clear" w:color="auto" w:fill="auto"/>
          </w:tcPr>
          <w:p w14:paraId="539D9C7F" w14:textId="77777777" w:rsidR="00871A3A" w:rsidRPr="007E3D1A" w:rsidRDefault="00871A3A" w:rsidP="00BB0401">
            <w:pPr>
              <w:rPr>
                <w:rFonts w:cs="Arial"/>
                <w:sz w:val="22"/>
              </w:rPr>
            </w:pPr>
            <w:r w:rsidRPr="007E3D1A">
              <w:rPr>
                <w:rFonts w:cs="Arial"/>
                <w:sz w:val="22"/>
              </w:rPr>
              <w:t xml:space="preserve">Etude d’impact environnemental et social </w:t>
            </w:r>
          </w:p>
        </w:tc>
        <w:tc>
          <w:tcPr>
            <w:tcW w:w="1500" w:type="pct"/>
            <w:shd w:val="clear" w:color="auto" w:fill="auto"/>
          </w:tcPr>
          <w:p w14:paraId="6089A713" w14:textId="77777777" w:rsidR="00871A3A" w:rsidRPr="007E3D1A" w:rsidRDefault="00871A3A" w:rsidP="00BB0401">
            <w:pPr>
              <w:rPr>
                <w:rFonts w:cs="Arial"/>
                <w:sz w:val="22"/>
              </w:rPr>
            </w:pPr>
            <w:r w:rsidRPr="007E3D1A">
              <w:rPr>
                <w:rFonts w:cs="Arial"/>
                <w:sz w:val="22"/>
              </w:rPr>
              <w:t>Substantiel</w:t>
            </w:r>
          </w:p>
        </w:tc>
      </w:tr>
      <w:tr w:rsidR="00871A3A" w:rsidRPr="007E3D1A" w14:paraId="67A67967" w14:textId="77777777" w:rsidTr="00BB0401">
        <w:trPr>
          <w:cantSplit/>
          <w:trHeight w:val="200"/>
        </w:trPr>
        <w:tc>
          <w:tcPr>
            <w:tcW w:w="854" w:type="pct"/>
            <w:vMerge/>
          </w:tcPr>
          <w:p w14:paraId="4D512989" w14:textId="77777777" w:rsidR="00871A3A" w:rsidRPr="007E3D1A" w:rsidRDefault="00871A3A" w:rsidP="00BB0401">
            <w:pPr>
              <w:rPr>
                <w:rFonts w:cs="Arial"/>
                <w:sz w:val="22"/>
              </w:rPr>
            </w:pPr>
          </w:p>
        </w:tc>
        <w:tc>
          <w:tcPr>
            <w:tcW w:w="1024" w:type="pct"/>
          </w:tcPr>
          <w:p w14:paraId="3DB34569" w14:textId="77777777" w:rsidR="00871A3A" w:rsidRPr="007E3D1A" w:rsidRDefault="00871A3A" w:rsidP="00BB0401">
            <w:pPr>
              <w:rPr>
                <w:rFonts w:cs="Arial"/>
                <w:sz w:val="22"/>
              </w:rPr>
            </w:pPr>
            <w:r w:rsidRPr="007E3D1A">
              <w:rPr>
                <w:rFonts w:cs="Arial"/>
                <w:sz w:val="22"/>
              </w:rPr>
              <w:t>80 &lt; RN &lt;= 100 points</w:t>
            </w:r>
            <w:r w:rsidRPr="007E3D1A" w:rsidDel="00A31897">
              <w:rPr>
                <w:rFonts w:cs="Arial"/>
                <w:sz w:val="22"/>
              </w:rPr>
              <w:t xml:space="preserve"> </w:t>
            </w:r>
          </w:p>
        </w:tc>
        <w:tc>
          <w:tcPr>
            <w:tcW w:w="1622" w:type="pct"/>
            <w:shd w:val="clear" w:color="auto" w:fill="auto"/>
          </w:tcPr>
          <w:p w14:paraId="217AA26A" w14:textId="77777777" w:rsidR="00871A3A" w:rsidRPr="007E3D1A" w:rsidRDefault="00871A3A" w:rsidP="00BB0401">
            <w:pPr>
              <w:rPr>
                <w:rFonts w:cs="Arial"/>
                <w:sz w:val="22"/>
              </w:rPr>
            </w:pPr>
            <w:r w:rsidRPr="007E3D1A">
              <w:rPr>
                <w:rFonts w:cs="Arial"/>
                <w:sz w:val="22"/>
              </w:rPr>
              <w:t xml:space="preserve">Etude d’impact environnemental et social </w:t>
            </w:r>
          </w:p>
        </w:tc>
        <w:tc>
          <w:tcPr>
            <w:tcW w:w="1500" w:type="pct"/>
            <w:shd w:val="clear" w:color="auto" w:fill="auto"/>
          </w:tcPr>
          <w:p w14:paraId="78B58B1B" w14:textId="77777777" w:rsidR="00871A3A" w:rsidRPr="007E3D1A" w:rsidRDefault="00871A3A" w:rsidP="00BB0401">
            <w:pPr>
              <w:rPr>
                <w:rFonts w:cs="Arial"/>
                <w:sz w:val="22"/>
              </w:rPr>
            </w:pPr>
            <w:r w:rsidRPr="007E3D1A">
              <w:rPr>
                <w:rFonts w:cs="Arial"/>
                <w:sz w:val="22"/>
              </w:rPr>
              <w:t xml:space="preserve">Elevé </w:t>
            </w:r>
          </w:p>
        </w:tc>
      </w:tr>
    </w:tbl>
    <w:p w14:paraId="788C4226" w14:textId="77777777" w:rsidR="00871A3A" w:rsidRPr="007E3D1A" w:rsidRDefault="00871A3A" w:rsidP="00871A3A">
      <w:pPr>
        <w:rPr>
          <w:rFonts w:cs="Arial"/>
          <w:sz w:val="22"/>
        </w:rPr>
      </w:pPr>
    </w:p>
    <w:p w14:paraId="37D2B4ED" w14:textId="77777777" w:rsidR="00871A3A" w:rsidRPr="007E3D1A" w:rsidRDefault="00871A3A" w:rsidP="00871A3A">
      <w:pPr>
        <w:rPr>
          <w:rFonts w:cs="Arial"/>
          <w:sz w:val="22"/>
        </w:rPr>
      </w:pPr>
      <w:r w:rsidRPr="007E3D1A">
        <w:rPr>
          <w:rFonts w:cs="Arial"/>
          <w:sz w:val="22"/>
        </w:rPr>
        <w:t>Conclusion et recommandation</w:t>
      </w:r>
    </w:p>
    <w:p w14:paraId="2973AB29" w14:textId="40BA07CC" w:rsidR="00871A3A" w:rsidRPr="007E3D1A" w:rsidRDefault="0078696E" w:rsidP="00871A3A">
      <w:pPr>
        <w:rPr>
          <w:rFonts w:cs="Arial"/>
          <w:sz w:val="22"/>
        </w:rPr>
      </w:pPr>
      <w:r>
        <w:rPr>
          <w:noProof/>
        </w:rPr>
        <mc:AlternateContent>
          <mc:Choice Requires="wpg">
            <w:drawing>
              <wp:anchor distT="0" distB="0" distL="114300" distR="114300" simplePos="0" relativeHeight="251658269" behindDoc="1" locked="0" layoutInCell="1" allowOverlap="1" wp14:anchorId="0AC19157" wp14:editId="2092F47C">
                <wp:simplePos x="0" y="0"/>
                <wp:positionH relativeFrom="page">
                  <wp:posOffset>5385435</wp:posOffset>
                </wp:positionH>
                <wp:positionV relativeFrom="paragraph">
                  <wp:posOffset>86995</wp:posOffset>
                </wp:positionV>
                <wp:extent cx="228600" cy="228600"/>
                <wp:effectExtent l="0" t="0" r="0" b="0"/>
                <wp:wrapNone/>
                <wp:docPr id="180"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6729" y="-141"/>
                          <a:chExt cx="360" cy="360"/>
                        </a:xfrm>
                      </wpg:grpSpPr>
                      <wps:wsp>
                        <wps:cNvPr id="181" name="Freeform 236"/>
                        <wps:cNvSpPr>
                          <a:spLocks noChangeArrowheads="1"/>
                        </wps:cNvSpPr>
                        <wps:spPr bwMode="auto">
                          <a:xfrm>
                            <a:off x="6729" y="-141"/>
                            <a:ext cx="360" cy="360"/>
                          </a:xfrm>
                          <a:custGeom>
                            <a:avLst/>
                            <a:gdLst>
                              <a:gd name="T0" fmla="+- 0 6729 6729"/>
                              <a:gd name="T1" fmla="*/ T0 w 360"/>
                              <a:gd name="T2" fmla="+- 0 219 -141"/>
                              <a:gd name="T3" fmla="*/ 219 h 360"/>
                              <a:gd name="T4" fmla="+- 0 7089 6729"/>
                              <a:gd name="T5" fmla="*/ T4 w 360"/>
                              <a:gd name="T6" fmla="+- 0 219 -141"/>
                              <a:gd name="T7" fmla="*/ 219 h 360"/>
                              <a:gd name="T8" fmla="+- 0 7089 6729"/>
                              <a:gd name="T9" fmla="*/ T8 w 360"/>
                              <a:gd name="T10" fmla="+- 0 -141 -141"/>
                              <a:gd name="T11" fmla="*/ -141 h 360"/>
                              <a:gd name="T12" fmla="+- 0 6729 6729"/>
                              <a:gd name="T13" fmla="*/ T12 w 360"/>
                              <a:gd name="T14" fmla="+- 0 -141 -141"/>
                              <a:gd name="T15" fmla="*/ -141 h 360"/>
                              <a:gd name="T16" fmla="+- 0 6729 6729"/>
                              <a:gd name="T17" fmla="*/ T16 w 360"/>
                              <a:gd name="T18" fmla="+- 0 219 -141"/>
                              <a:gd name="T19" fmla="*/ 219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D9EBDA0">
              <v:group id="Groupe 1" style="position:absolute;margin-left:424.05pt;margin-top:6.85pt;width:18pt;height:18pt;z-index:-251631104;mso-position-horizontal-relative:page" coordsize="360,360" coordorigin="6729,-141" o:spid="_x0000_s1026" w14:anchorId="7B63D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">
                <v:shape id="Freeform 236" style="position:absolute;left:6729;top:-141;width:360;height:360;visibility:visible;mso-wrap-style:square;v-text-anchor:top" coordsize="360,360" o:spid="_x0000_s1027" filled="f" path="m,360r360,l3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">
                  <v:path o:connecttype="custom" o:connectlocs="0,219;360,219;360,-141;0,-141;0,219" o:connectangles="0,0,0,0,0"/>
                </v:shape>
                <w10:wrap anchorx="page"/>
              </v:group>
            </w:pict>
          </mc:Fallback>
        </mc:AlternateContent>
      </w:r>
      <w:r>
        <w:rPr>
          <w:noProof/>
        </w:rPr>
        <mc:AlternateContent>
          <mc:Choice Requires="wpg">
            <w:drawing>
              <wp:anchor distT="0" distB="0" distL="114300" distR="114300" simplePos="0" relativeHeight="251658267" behindDoc="1" locked="0" layoutInCell="1" allowOverlap="1" wp14:anchorId="3EF16CA2" wp14:editId="5D6D5B9A">
                <wp:simplePos x="0" y="0"/>
                <wp:positionH relativeFrom="page">
                  <wp:posOffset>3195320</wp:posOffset>
                </wp:positionH>
                <wp:positionV relativeFrom="paragraph">
                  <wp:posOffset>99060</wp:posOffset>
                </wp:positionV>
                <wp:extent cx="228600" cy="228600"/>
                <wp:effectExtent l="0" t="0" r="0" b="0"/>
                <wp:wrapNone/>
                <wp:docPr id="178" name="Group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556" y="-134"/>
                          <a:chExt cx="360" cy="360"/>
                        </a:xfrm>
                      </wpg:grpSpPr>
                      <wps:wsp>
                        <wps:cNvPr id="179" name="Freeform 240"/>
                        <wps:cNvSpPr>
                          <a:spLocks noChangeArrowheads="1"/>
                        </wps:cNvSpPr>
                        <wps:spPr bwMode="auto">
                          <a:xfrm>
                            <a:off x="3556" y="-134"/>
                            <a:ext cx="360" cy="360"/>
                          </a:xfrm>
                          <a:custGeom>
                            <a:avLst/>
                            <a:gdLst>
                              <a:gd name="T0" fmla="+- 0 3556 3556"/>
                              <a:gd name="T1" fmla="*/ T0 w 360"/>
                              <a:gd name="T2" fmla="+- 0 226 -134"/>
                              <a:gd name="T3" fmla="*/ 226 h 360"/>
                              <a:gd name="T4" fmla="+- 0 3916 3556"/>
                              <a:gd name="T5" fmla="*/ T4 w 360"/>
                              <a:gd name="T6" fmla="+- 0 226 -134"/>
                              <a:gd name="T7" fmla="*/ 226 h 360"/>
                              <a:gd name="T8" fmla="+- 0 3916 3556"/>
                              <a:gd name="T9" fmla="*/ T8 w 360"/>
                              <a:gd name="T10" fmla="+- 0 -134 -134"/>
                              <a:gd name="T11" fmla="*/ -134 h 360"/>
                              <a:gd name="T12" fmla="+- 0 3556 3556"/>
                              <a:gd name="T13" fmla="*/ T12 w 360"/>
                              <a:gd name="T14" fmla="+- 0 -134 -134"/>
                              <a:gd name="T15" fmla="*/ -134 h 360"/>
                              <a:gd name="T16" fmla="+- 0 3556 3556"/>
                              <a:gd name="T17" fmla="*/ T16 w 360"/>
                              <a:gd name="T18" fmla="+- 0 226 -134"/>
                              <a:gd name="T19" fmla="*/ 22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CDA4A85">
              <v:group id="Groupe 51" style="position:absolute;margin-left:251.6pt;margin-top:7.8pt;width:18pt;height:18pt;z-index:-251633152;mso-position-horizontal-relative:page" coordsize="360,360" coordorigin="3556,-134" o:spid="_x0000_s1026" w14:anchorId="7AE69F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">
                <v:shape id="Freeform 240" style="position:absolute;left:3556;top:-134;width:360;height:360;visibility:visible;mso-wrap-style:square;v-text-anchor:top" coordsize="360,360" o:spid="_x0000_s1027" filled="f" path="m,360r360,l3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">
                  <v:path o:connecttype="custom" o:connectlocs="0,226;360,226;360,-134;0,-134;0,226" o:connectangles="0,0,0,0,0"/>
                </v:shape>
                <w10:wrap anchorx="page"/>
              </v:group>
            </w:pict>
          </mc:Fallback>
        </mc:AlternateContent>
      </w:r>
    </w:p>
    <w:p w14:paraId="557A0D2C" w14:textId="77777777" w:rsidR="00871A3A" w:rsidRPr="007E3D1A" w:rsidRDefault="00871A3A" w:rsidP="00871A3A">
      <w:pPr>
        <w:rPr>
          <w:rFonts w:cs="Arial"/>
          <w:sz w:val="22"/>
        </w:rPr>
      </w:pPr>
      <w:r w:rsidRPr="007E3D1A">
        <w:rPr>
          <w:rFonts w:cs="Arial"/>
          <w:sz w:val="22"/>
        </w:rPr>
        <w:t>Projet de type :              Risque élevé</w:t>
      </w:r>
      <w:r w:rsidRPr="007E3D1A">
        <w:rPr>
          <w:rFonts w:cs="Arial"/>
          <w:sz w:val="22"/>
        </w:rPr>
        <w:tab/>
        <w:t xml:space="preserve">Risque substantiel </w:t>
      </w:r>
    </w:p>
    <w:p w14:paraId="4658438D" w14:textId="3093733A" w:rsidR="00871A3A" w:rsidRPr="007E3D1A" w:rsidRDefault="0078696E" w:rsidP="00871A3A">
      <w:pPr>
        <w:rPr>
          <w:rFonts w:cs="Arial"/>
          <w:sz w:val="22"/>
        </w:rPr>
      </w:pPr>
      <w:r>
        <w:rPr>
          <w:noProof/>
        </w:rPr>
        <mc:AlternateContent>
          <mc:Choice Requires="wpg">
            <w:drawing>
              <wp:anchor distT="0" distB="0" distL="114300" distR="114300" simplePos="0" relativeHeight="251658268" behindDoc="1" locked="0" layoutInCell="1" allowOverlap="1" wp14:anchorId="4EE14BE6" wp14:editId="14CA5109">
                <wp:simplePos x="0" y="0"/>
                <wp:positionH relativeFrom="page">
                  <wp:posOffset>3202940</wp:posOffset>
                </wp:positionH>
                <wp:positionV relativeFrom="paragraph">
                  <wp:posOffset>158750</wp:posOffset>
                </wp:positionV>
                <wp:extent cx="228600" cy="228600"/>
                <wp:effectExtent l="0" t="0" r="0" b="0"/>
                <wp:wrapNone/>
                <wp:docPr id="176" name="Groupe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512" y="-134"/>
                          <a:chExt cx="360" cy="360"/>
                        </a:xfrm>
                      </wpg:grpSpPr>
                      <wps:wsp>
                        <wps:cNvPr id="177" name="Freeform 238"/>
                        <wps:cNvSpPr>
                          <a:spLocks noChangeArrowheads="1"/>
                        </wps:cNvSpPr>
                        <wps:spPr bwMode="auto">
                          <a:xfrm>
                            <a:off x="8512" y="-134"/>
                            <a:ext cx="360" cy="360"/>
                          </a:xfrm>
                          <a:custGeom>
                            <a:avLst/>
                            <a:gdLst>
                              <a:gd name="T0" fmla="+- 0 8512 8512"/>
                              <a:gd name="T1" fmla="*/ T0 w 360"/>
                              <a:gd name="T2" fmla="+- 0 226 -134"/>
                              <a:gd name="T3" fmla="*/ 226 h 360"/>
                              <a:gd name="T4" fmla="+- 0 8872 8512"/>
                              <a:gd name="T5" fmla="*/ T4 w 360"/>
                              <a:gd name="T6" fmla="+- 0 226 -134"/>
                              <a:gd name="T7" fmla="*/ 226 h 360"/>
                              <a:gd name="T8" fmla="+- 0 8872 8512"/>
                              <a:gd name="T9" fmla="*/ T8 w 360"/>
                              <a:gd name="T10" fmla="+- 0 -134 -134"/>
                              <a:gd name="T11" fmla="*/ -134 h 360"/>
                              <a:gd name="T12" fmla="+- 0 8512 8512"/>
                              <a:gd name="T13" fmla="*/ T12 w 360"/>
                              <a:gd name="T14" fmla="+- 0 -134 -134"/>
                              <a:gd name="T15" fmla="*/ -134 h 360"/>
                              <a:gd name="T16" fmla="+- 0 8512 8512"/>
                              <a:gd name="T17" fmla="*/ T16 w 360"/>
                              <a:gd name="T18" fmla="+- 0 226 -134"/>
                              <a:gd name="T19" fmla="*/ 22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00E90BF">
              <v:group id="Groupe 135" style="position:absolute;margin-left:252.2pt;margin-top:12.5pt;width:18pt;height:18pt;z-index:-251632128;mso-position-horizontal-relative:page" coordsize="360,360" coordorigin="8512,-134" o:spid="_x0000_s1026" w14:anchorId="3D7B7E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">
                <v:shape id="Freeform 238" style="position:absolute;left:8512;top:-134;width:360;height:360;visibility:visible;mso-wrap-style:square;v-text-anchor:top" coordsize="360,360" o:spid="_x0000_s1027" filled="f" path="m,360r360,l3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">
                  <v:path o:connecttype="custom" o:connectlocs="0,226;360,226;360,-134;0,-134;0,226" o:connectangles="0,0,0,0,0"/>
                </v:shape>
                <w10:wrap anchorx="page"/>
              </v:group>
            </w:pict>
          </mc:Fallback>
        </mc:AlternateContent>
      </w:r>
      <w:r>
        <w:rPr>
          <w:noProof/>
        </w:rPr>
        <mc:AlternateContent>
          <mc:Choice Requires="wpg">
            <w:drawing>
              <wp:anchor distT="0" distB="0" distL="114300" distR="114300" simplePos="0" relativeHeight="251658273" behindDoc="1" locked="0" layoutInCell="1" allowOverlap="1" wp14:anchorId="342984EE" wp14:editId="565B4572">
                <wp:simplePos x="0" y="0"/>
                <wp:positionH relativeFrom="page">
                  <wp:posOffset>5385435</wp:posOffset>
                </wp:positionH>
                <wp:positionV relativeFrom="paragraph">
                  <wp:posOffset>158750</wp:posOffset>
                </wp:positionV>
                <wp:extent cx="228600" cy="228600"/>
                <wp:effectExtent l="0" t="0" r="0" b="0"/>
                <wp:wrapNone/>
                <wp:docPr id="174" name="Groupe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512" y="-134"/>
                          <a:chExt cx="360" cy="360"/>
                        </a:xfrm>
                      </wpg:grpSpPr>
                      <wps:wsp>
                        <wps:cNvPr id="175" name="Freeform 238"/>
                        <wps:cNvSpPr>
                          <a:spLocks noChangeArrowheads="1"/>
                        </wps:cNvSpPr>
                        <wps:spPr bwMode="auto">
                          <a:xfrm>
                            <a:off x="8512" y="-134"/>
                            <a:ext cx="360" cy="360"/>
                          </a:xfrm>
                          <a:custGeom>
                            <a:avLst/>
                            <a:gdLst>
                              <a:gd name="T0" fmla="+- 0 8512 8512"/>
                              <a:gd name="T1" fmla="*/ T0 w 360"/>
                              <a:gd name="T2" fmla="+- 0 226 -134"/>
                              <a:gd name="T3" fmla="*/ 226 h 360"/>
                              <a:gd name="T4" fmla="+- 0 8872 8512"/>
                              <a:gd name="T5" fmla="*/ T4 w 360"/>
                              <a:gd name="T6" fmla="+- 0 226 -134"/>
                              <a:gd name="T7" fmla="*/ 226 h 360"/>
                              <a:gd name="T8" fmla="+- 0 8872 8512"/>
                              <a:gd name="T9" fmla="*/ T8 w 360"/>
                              <a:gd name="T10" fmla="+- 0 -134 -134"/>
                              <a:gd name="T11" fmla="*/ -134 h 360"/>
                              <a:gd name="T12" fmla="+- 0 8512 8512"/>
                              <a:gd name="T13" fmla="*/ T12 w 360"/>
                              <a:gd name="T14" fmla="+- 0 -134 -134"/>
                              <a:gd name="T15" fmla="*/ -134 h 360"/>
                              <a:gd name="T16" fmla="+- 0 8512 8512"/>
                              <a:gd name="T17" fmla="*/ T16 w 360"/>
                              <a:gd name="T18" fmla="+- 0 226 -134"/>
                              <a:gd name="T19" fmla="*/ 22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2A4CF45">
              <v:group id="Groupe 137" style="position:absolute;margin-left:424.05pt;margin-top:12.5pt;width:18pt;height:18pt;z-index:-251627008;mso-position-horizontal-relative:page" coordsize="360,360" coordorigin="8512,-134" o:spid="_x0000_s1026" w14:anchorId="3A500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">
                <v:shape id="Freeform 238" style="position:absolute;left:8512;top:-134;width:360;height:360;visibility:visible;mso-wrap-style:square;v-text-anchor:top" coordsize="360,360" o:spid="_x0000_s1027" filled="f" path="m,360r360,l360,,,,,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">
                  <v:path o:connecttype="custom" o:connectlocs="0,226;360,226;360,-134;0,-134;0,226" o:connectangles="0,0,0,0,0"/>
                </v:shape>
                <w10:wrap anchorx="page"/>
              </v:group>
            </w:pict>
          </mc:Fallback>
        </mc:AlternateContent>
      </w:r>
    </w:p>
    <w:p w14:paraId="432447A6" w14:textId="77777777" w:rsidR="00871A3A" w:rsidRPr="007E3D1A" w:rsidRDefault="00871A3A" w:rsidP="00871A3A">
      <w:pPr>
        <w:rPr>
          <w:rFonts w:cs="Arial"/>
          <w:sz w:val="22"/>
        </w:rPr>
      </w:pPr>
      <w:r w:rsidRPr="007E3D1A">
        <w:rPr>
          <w:rFonts w:cs="Arial"/>
          <w:sz w:val="22"/>
        </w:rPr>
        <w:t xml:space="preserve">                                 </w:t>
      </w:r>
      <w:r w:rsidRPr="007E3D1A">
        <w:rPr>
          <w:rFonts w:cs="Arial"/>
          <w:sz w:val="22"/>
        </w:rPr>
        <w:tab/>
        <w:t>Risque modéré</w:t>
      </w:r>
      <w:r w:rsidRPr="007E3D1A">
        <w:rPr>
          <w:rFonts w:cs="Arial"/>
          <w:sz w:val="22"/>
        </w:rPr>
        <w:tab/>
      </w:r>
      <w:r w:rsidRPr="007E3D1A">
        <w:rPr>
          <w:rFonts w:cs="Arial"/>
          <w:sz w:val="22"/>
        </w:rPr>
        <w:tab/>
      </w:r>
      <w:r w:rsidRPr="007E3D1A">
        <w:rPr>
          <w:rFonts w:cs="Arial"/>
          <w:sz w:val="22"/>
        </w:rPr>
        <w:tab/>
        <w:t xml:space="preserve">   Risque faible  </w:t>
      </w:r>
    </w:p>
    <w:p w14:paraId="61DD7375" w14:textId="77777777" w:rsidR="00871A3A" w:rsidRPr="007E3D1A" w:rsidRDefault="00871A3A" w:rsidP="00871A3A">
      <w:pPr>
        <w:rPr>
          <w:rFonts w:cs="Arial"/>
          <w:sz w:val="22"/>
        </w:rPr>
      </w:pPr>
    </w:p>
    <w:p w14:paraId="07A34CA3" w14:textId="77777777" w:rsidR="00871A3A" w:rsidRPr="007E3D1A" w:rsidRDefault="00871A3A" w:rsidP="00871A3A">
      <w:pPr>
        <w:rPr>
          <w:rFonts w:cs="Arial"/>
          <w:sz w:val="22"/>
        </w:rPr>
      </w:pPr>
      <w:r w:rsidRPr="007E3D1A">
        <w:rPr>
          <w:rFonts w:cs="Arial"/>
          <w:sz w:val="22"/>
        </w:rPr>
        <w:t>Travail environnemental nécessaire :</w:t>
      </w:r>
    </w:p>
    <w:p w14:paraId="1EBFC9BB" w14:textId="77777777" w:rsidR="00871A3A" w:rsidRPr="007E3D1A" w:rsidRDefault="00871A3A" w:rsidP="00871A3A">
      <w:pPr>
        <w:rPr>
          <w:rFonts w:cs="Arial"/>
          <w:sz w:val="22"/>
        </w:rPr>
      </w:pPr>
    </w:p>
    <w:p w14:paraId="3EAACD78" w14:textId="063B5094" w:rsidR="00871A3A" w:rsidRPr="007E3D1A" w:rsidRDefault="0078696E" w:rsidP="00871A3A">
      <w:pPr>
        <w:rPr>
          <w:rFonts w:cs="Arial"/>
          <w:sz w:val="22"/>
        </w:rPr>
      </w:pPr>
      <w:r>
        <w:rPr>
          <w:noProof/>
        </w:rPr>
        <mc:AlternateContent>
          <mc:Choice Requires="wpg">
            <w:drawing>
              <wp:anchor distT="0" distB="0" distL="114300" distR="114300" simplePos="0" relativeHeight="251658270" behindDoc="1" locked="0" layoutInCell="1" allowOverlap="1" wp14:anchorId="37DD7827" wp14:editId="17111ABC">
                <wp:simplePos x="0" y="0"/>
                <wp:positionH relativeFrom="page">
                  <wp:posOffset>3414395</wp:posOffset>
                </wp:positionH>
                <wp:positionV relativeFrom="paragraph">
                  <wp:posOffset>67945</wp:posOffset>
                </wp:positionV>
                <wp:extent cx="228600" cy="114300"/>
                <wp:effectExtent l="0" t="0" r="0" b="0"/>
                <wp:wrapNone/>
                <wp:docPr id="172" name="Groupe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5377" y="107"/>
                          <a:chExt cx="360" cy="180"/>
                        </a:xfrm>
                      </wpg:grpSpPr>
                      <wps:wsp>
                        <wps:cNvPr id="173" name="Freeform 234"/>
                        <wps:cNvSpPr>
                          <a:spLocks noChangeArrowheads="1"/>
                        </wps:cNvSpPr>
                        <wps:spPr bwMode="auto">
                          <a:xfrm>
                            <a:off x="5377" y="107"/>
                            <a:ext cx="360" cy="180"/>
                          </a:xfrm>
                          <a:custGeom>
                            <a:avLst/>
                            <a:gdLst>
                              <a:gd name="T0" fmla="+- 0 5377 5377"/>
                              <a:gd name="T1" fmla="*/ T0 w 360"/>
                              <a:gd name="T2" fmla="+- 0 287 107"/>
                              <a:gd name="T3" fmla="*/ 287 h 180"/>
                              <a:gd name="T4" fmla="+- 0 5737 5377"/>
                              <a:gd name="T5" fmla="*/ T4 w 360"/>
                              <a:gd name="T6" fmla="+- 0 287 107"/>
                              <a:gd name="T7" fmla="*/ 287 h 180"/>
                              <a:gd name="T8" fmla="+- 0 5737 5377"/>
                              <a:gd name="T9" fmla="*/ T8 w 360"/>
                              <a:gd name="T10" fmla="+- 0 107 107"/>
                              <a:gd name="T11" fmla="*/ 107 h 180"/>
                              <a:gd name="T12" fmla="+- 0 5377 5377"/>
                              <a:gd name="T13" fmla="*/ T12 w 360"/>
                              <a:gd name="T14" fmla="+- 0 107 107"/>
                              <a:gd name="T15" fmla="*/ 107 h 180"/>
                              <a:gd name="T16" fmla="+- 0 5377 5377"/>
                              <a:gd name="T17" fmla="*/ T16 w 360"/>
                              <a:gd name="T18" fmla="+- 0 287 107"/>
                              <a:gd name="T19" fmla="*/ 287 h 180"/>
                            </a:gdLst>
                            <a:ahLst/>
                            <a:cxnLst>
                              <a:cxn ang="0">
                                <a:pos x="T1" y="T3"/>
                              </a:cxn>
                              <a:cxn ang="0">
                                <a:pos x="T5" y="T7"/>
                              </a:cxn>
                              <a:cxn ang="0">
                                <a:pos x="T9" y="T11"/>
                              </a:cxn>
                              <a:cxn ang="0">
                                <a:pos x="T13" y="T15"/>
                              </a:cxn>
                              <a:cxn ang="0">
                                <a:pos x="T17" y="T19"/>
                              </a:cxn>
                            </a:cxnLst>
                            <a:rect l="0" t="0" r="r" b="b"/>
                            <a:pathLst>
                              <a:path w="360" h="180">
                                <a:moveTo>
                                  <a:pt x="0" y="180"/>
                                </a:moveTo>
                                <a:lnTo>
                                  <a:pt x="360" y="180"/>
                                </a:lnTo>
                                <a:lnTo>
                                  <a:pt x="360" y="0"/>
                                </a:lnTo>
                                <a:lnTo>
                                  <a:pt x="0" y="0"/>
                                </a:lnTo>
                                <a:lnTo>
                                  <a:pt x="0" y="18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4D606E4">
              <v:group id="Groupe 139" style="position:absolute;margin-left:268.85pt;margin-top:5.35pt;width:18pt;height:9pt;z-index:-251630080;mso-position-horizontal-relative:page" coordsize="360,180" coordorigin="5377,107" o:spid="_x0000_s1026" w14:anchorId="77504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">
                <v:shape id="Freeform 234" style="position:absolute;left:5377;top:107;width:360;height:180;visibility:visible;mso-wrap-style:square;v-text-anchor:top" coordsize="360,180" o:spid="_x0000_s1027" filled="f" path="m,180r360,l360,,,,,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">
                  <v:path o:connecttype="custom" o:connectlocs="0,287;360,287;360,107;0,107;0,287" o:connectangles="0,0,0,0,0"/>
                </v:shape>
                <w10:wrap anchorx="page"/>
              </v:group>
            </w:pict>
          </mc:Fallback>
        </mc:AlternateContent>
      </w:r>
      <w:r w:rsidR="00871A3A" w:rsidRPr="007E3D1A">
        <w:rPr>
          <w:rFonts w:eastAsia="Symbol" w:cs="Arial"/>
          <w:sz w:val="22"/>
        </w:rPr>
        <w:t></w:t>
      </w:r>
      <w:r w:rsidR="00871A3A" w:rsidRPr="007E3D1A">
        <w:rPr>
          <w:rFonts w:cs="Arial"/>
          <w:sz w:val="22"/>
        </w:rPr>
        <w:tab/>
        <w:t>Pas de travail environnemental</w:t>
      </w:r>
    </w:p>
    <w:p w14:paraId="399959D3" w14:textId="039F2DD5" w:rsidR="00871A3A" w:rsidRPr="007E3D1A" w:rsidRDefault="0078696E" w:rsidP="00871A3A">
      <w:pPr>
        <w:rPr>
          <w:rFonts w:cs="Arial"/>
          <w:sz w:val="22"/>
        </w:rPr>
      </w:pPr>
      <w:r>
        <w:rPr>
          <w:noProof/>
        </w:rPr>
        <mc:AlternateContent>
          <mc:Choice Requires="wpg">
            <w:drawing>
              <wp:anchor distT="0" distB="0" distL="114300" distR="114300" simplePos="0" relativeHeight="251658271" behindDoc="1" locked="0" layoutInCell="1" allowOverlap="1" wp14:anchorId="465733E7" wp14:editId="226E7C31">
                <wp:simplePos x="0" y="0"/>
                <wp:positionH relativeFrom="page">
                  <wp:posOffset>3414395</wp:posOffset>
                </wp:positionH>
                <wp:positionV relativeFrom="paragraph">
                  <wp:posOffset>36830</wp:posOffset>
                </wp:positionV>
                <wp:extent cx="228600" cy="114300"/>
                <wp:effectExtent l="0" t="0" r="0" b="0"/>
                <wp:wrapNone/>
                <wp:docPr id="170" name="Groupe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5377" y="58"/>
                          <a:chExt cx="360" cy="180"/>
                        </a:xfrm>
                      </wpg:grpSpPr>
                      <wps:wsp>
                        <wps:cNvPr id="171" name="Freeform 232"/>
                        <wps:cNvSpPr>
                          <a:spLocks noChangeArrowheads="1"/>
                        </wps:cNvSpPr>
                        <wps:spPr bwMode="auto">
                          <a:xfrm>
                            <a:off x="5377" y="58"/>
                            <a:ext cx="360" cy="180"/>
                          </a:xfrm>
                          <a:custGeom>
                            <a:avLst/>
                            <a:gdLst>
                              <a:gd name="T0" fmla="+- 0 5377 5377"/>
                              <a:gd name="T1" fmla="*/ T0 w 360"/>
                              <a:gd name="T2" fmla="+- 0 238 58"/>
                              <a:gd name="T3" fmla="*/ 238 h 180"/>
                              <a:gd name="T4" fmla="+- 0 5737 5377"/>
                              <a:gd name="T5" fmla="*/ T4 w 360"/>
                              <a:gd name="T6" fmla="+- 0 238 58"/>
                              <a:gd name="T7" fmla="*/ 238 h 180"/>
                              <a:gd name="T8" fmla="+- 0 5737 5377"/>
                              <a:gd name="T9" fmla="*/ T8 w 360"/>
                              <a:gd name="T10" fmla="+- 0 58 58"/>
                              <a:gd name="T11" fmla="*/ 58 h 180"/>
                              <a:gd name="T12" fmla="+- 0 5377 5377"/>
                              <a:gd name="T13" fmla="*/ T12 w 360"/>
                              <a:gd name="T14" fmla="+- 0 58 58"/>
                              <a:gd name="T15" fmla="*/ 58 h 180"/>
                              <a:gd name="T16" fmla="+- 0 5377 5377"/>
                              <a:gd name="T17" fmla="*/ T16 w 360"/>
                              <a:gd name="T18" fmla="+- 0 238 58"/>
                              <a:gd name="T19" fmla="*/ 238 h 180"/>
                            </a:gdLst>
                            <a:ahLst/>
                            <a:cxnLst>
                              <a:cxn ang="0">
                                <a:pos x="T1" y="T3"/>
                              </a:cxn>
                              <a:cxn ang="0">
                                <a:pos x="T5" y="T7"/>
                              </a:cxn>
                              <a:cxn ang="0">
                                <a:pos x="T9" y="T11"/>
                              </a:cxn>
                              <a:cxn ang="0">
                                <a:pos x="T13" y="T15"/>
                              </a:cxn>
                              <a:cxn ang="0">
                                <a:pos x="T17" y="T19"/>
                              </a:cxn>
                            </a:cxnLst>
                            <a:rect l="0" t="0" r="r" b="b"/>
                            <a:pathLst>
                              <a:path w="360" h="180">
                                <a:moveTo>
                                  <a:pt x="0" y="180"/>
                                </a:moveTo>
                                <a:lnTo>
                                  <a:pt x="360" y="180"/>
                                </a:lnTo>
                                <a:lnTo>
                                  <a:pt x="360" y="0"/>
                                </a:lnTo>
                                <a:lnTo>
                                  <a:pt x="0" y="0"/>
                                </a:lnTo>
                                <a:lnTo>
                                  <a:pt x="0" y="18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C1924C5">
              <v:group id="Groupe 141" style="position:absolute;margin-left:268.85pt;margin-top:2.9pt;width:18pt;height:9pt;z-index:-251629056;mso-position-horizontal-relative:page" coordsize="360,180" coordorigin="5377,58" o:spid="_x0000_s1026" w14:anchorId="1DE82C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">
                <v:shape id="Freeform 232" style="position:absolute;left:5377;top:58;width:360;height:180;visibility:visible;mso-wrap-style:square;v-text-anchor:top" coordsize="360,180" o:spid="_x0000_s1027" filled="f" path="m,180r360,l360,,,,,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">
                  <v:path o:connecttype="custom" o:connectlocs="0,238;360,238;360,58;0,58;0,238" o:connectangles="0,0,0,0,0"/>
                </v:shape>
                <w10:wrap anchorx="page"/>
              </v:group>
            </w:pict>
          </mc:Fallback>
        </mc:AlternateContent>
      </w:r>
      <w:r w:rsidR="00871A3A" w:rsidRPr="007E3D1A">
        <w:rPr>
          <w:rFonts w:eastAsia="Symbol" w:cs="Arial"/>
          <w:sz w:val="22"/>
        </w:rPr>
        <w:t></w:t>
      </w:r>
      <w:r w:rsidR="00871A3A" w:rsidRPr="007E3D1A">
        <w:rPr>
          <w:rFonts w:cs="Arial"/>
          <w:sz w:val="22"/>
        </w:rPr>
        <w:tab/>
        <w:t>Simples mesures de mitigation</w:t>
      </w:r>
    </w:p>
    <w:p w14:paraId="4B17B657" w14:textId="30D467FF" w:rsidR="00871A3A" w:rsidRPr="007E3D1A" w:rsidRDefault="0078696E" w:rsidP="00871A3A">
      <w:pPr>
        <w:rPr>
          <w:rFonts w:cs="Arial"/>
          <w:sz w:val="22"/>
        </w:rPr>
      </w:pPr>
      <w:r>
        <w:rPr>
          <w:noProof/>
        </w:rPr>
        <mc:AlternateContent>
          <mc:Choice Requires="wpg">
            <w:drawing>
              <wp:anchor distT="0" distB="0" distL="114300" distR="114300" simplePos="0" relativeHeight="251658272" behindDoc="1" locked="0" layoutInCell="1" allowOverlap="1" wp14:anchorId="1A6F068D" wp14:editId="2FE64AE8">
                <wp:simplePos x="0" y="0"/>
                <wp:positionH relativeFrom="page">
                  <wp:posOffset>3414395</wp:posOffset>
                </wp:positionH>
                <wp:positionV relativeFrom="paragraph">
                  <wp:posOffset>5080</wp:posOffset>
                </wp:positionV>
                <wp:extent cx="228600" cy="128270"/>
                <wp:effectExtent l="0" t="0" r="0" b="5080"/>
                <wp:wrapNone/>
                <wp:docPr id="168" name="Groupe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8270"/>
                          <a:chOff x="5377" y="8"/>
                          <a:chExt cx="360" cy="202"/>
                        </a:xfrm>
                      </wpg:grpSpPr>
                      <wps:wsp>
                        <wps:cNvPr id="169" name="Freeform 230"/>
                        <wps:cNvSpPr>
                          <a:spLocks noChangeArrowheads="1"/>
                        </wps:cNvSpPr>
                        <wps:spPr bwMode="auto">
                          <a:xfrm>
                            <a:off x="5377" y="8"/>
                            <a:ext cx="360" cy="202"/>
                          </a:xfrm>
                          <a:custGeom>
                            <a:avLst/>
                            <a:gdLst>
                              <a:gd name="T0" fmla="+- 0 5377 5377"/>
                              <a:gd name="T1" fmla="*/ T0 w 360"/>
                              <a:gd name="T2" fmla="+- 0 210 8"/>
                              <a:gd name="T3" fmla="*/ 210 h 202"/>
                              <a:gd name="T4" fmla="+- 0 5737 5377"/>
                              <a:gd name="T5" fmla="*/ T4 w 360"/>
                              <a:gd name="T6" fmla="+- 0 210 8"/>
                              <a:gd name="T7" fmla="*/ 210 h 202"/>
                              <a:gd name="T8" fmla="+- 0 5737 5377"/>
                              <a:gd name="T9" fmla="*/ T8 w 360"/>
                              <a:gd name="T10" fmla="+- 0 8 8"/>
                              <a:gd name="T11" fmla="*/ 8 h 202"/>
                              <a:gd name="T12" fmla="+- 0 5377 5377"/>
                              <a:gd name="T13" fmla="*/ T12 w 360"/>
                              <a:gd name="T14" fmla="+- 0 8 8"/>
                              <a:gd name="T15" fmla="*/ 8 h 202"/>
                              <a:gd name="T16" fmla="+- 0 5377 5377"/>
                              <a:gd name="T17" fmla="*/ T16 w 360"/>
                              <a:gd name="T18" fmla="+- 0 210 8"/>
                              <a:gd name="T19" fmla="*/ 210 h 202"/>
                            </a:gdLst>
                            <a:ahLst/>
                            <a:cxnLst>
                              <a:cxn ang="0">
                                <a:pos x="T1" y="T3"/>
                              </a:cxn>
                              <a:cxn ang="0">
                                <a:pos x="T5" y="T7"/>
                              </a:cxn>
                              <a:cxn ang="0">
                                <a:pos x="T9" y="T11"/>
                              </a:cxn>
                              <a:cxn ang="0">
                                <a:pos x="T13" y="T15"/>
                              </a:cxn>
                              <a:cxn ang="0">
                                <a:pos x="T17" y="T19"/>
                              </a:cxn>
                            </a:cxnLst>
                            <a:rect l="0" t="0" r="r" b="b"/>
                            <a:pathLst>
                              <a:path w="360" h="202">
                                <a:moveTo>
                                  <a:pt x="0" y="202"/>
                                </a:moveTo>
                                <a:lnTo>
                                  <a:pt x="360" y="202"/>
                                </a:lnTo>
                                <a:lnTo>
                                  <a:pt x="360" y="0"/>
                                </a:lnTo>
                                <a:lnTo>
                                  <a:pt x="0" y="0"/>
                                </a:lnTo>
                                <a:lnTo>
                                  <a:pt x="0" y="202"/>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49FF140">
              <v:group id="Groupe 143" style="position:absolute;margin-left:268.85pt;margin-top:.4pt;width:18pt;height:10.1pt;z-index:-251628032;mso-position-horizontal-relative:page" coordsize="360,202" coordorigin="5377,8" o:spid="_x0000_s1026" w14:anchorId="27BFB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">
                <v:shape id="Freeform 230" style="position:absolute;left:5377;top:8;width:360;height:202;visibility:visible;mso-wrap-style:square;v-text-anchor:top" coordsize="360,202" o:spid="_x0000_s1027" filled="f" path="m,202r360,l360,,,,,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">
                  <v:path o:connecttype="custom" o:connectlocs="0,210;360,210;360,8;0,8;0,210" o:connectangles="0,0,0,0,0"/>
                </v:shape>
                <w10:wrap anchorx="page"/>
              </v:group>
            </w:pict>
          </mc:Fallback>
        </mc:AlternateContent>
      </w:r>
      <w:r w:rsidR="00871A3A" w:rsidRPr="007E3D1A">
        <w:rPr>
          <w:rFonts w:eastAsia="Symbol" w:cs="Arial"/>
          <w:sz w:val="22"/>
        </w:rPr>
        <w:t></w:t>
      </w:r>
      <w:r w:rsidR="00871A3A" w:rsidRPr="007E3D1A">
        <w:rPr>
          <w:rFonts w:cs="Arial"/>
          <w:sz w:val="22"/>
        </w:rPr>
        <w:tab/>
        <w:t>Étude d’Impact Environnemental et Social</w:t>
      </w:r>
    </w:p>
    <w:p w14:paraId="67BAF468" w14:textId="77777777" w:rsidR="00871A3A" w:rsidRPr="007E3D1A" w:rsidRDefault="00871A3A" w:rsidP="00871A3A">
      <w:pPr>
        <w:rPr>
          <w:rFonts w:cs="Arial"/>
          <w:sz w:val="22"/>
        </w:rPr>
      </w:pPr>
    </w:p>
    <w:p w14:paraId="0A3F1A98" w14:textId="77777777" w:rsidR="00871A3A" w:rsidRPr="007E3D1A" w:rsidRDefault="00871A3A" w:rsidP="00871A3A">
      <w:pPr>
        <w:rPr>
          <w:rFonts w:cs="Arial"/>
          <w:sz w:val="22"/>
        </w:rPr>
      </w:pPr>
      <w:r w:rsidRPr="007E3D1A">
        <w:rPr>
          <w:rFonts w:cs="Arial"/>
          <w:sz w:val="22"/>
        </w:rPr>
        <w:t>Travail social nécessaire</w:t>
      </w:r>
    </w:p>
    <w:p w14:paraId="31EBE068" w14:textId="77777777" w:rsidR="00871A3A" w:rsidRPr="007E3D1A" w:rsidRDefault="00871A3A" w:rsidP="00871A3A">
      <w:pPr>
        <w:rPr>
          <w:rFonts w:cs="Arial"/>
          <w:sz w:val="22"/>
        </w:rPr>
      </w:pPr>
    </w:p>
    <w:p w14:paraId="410CCF8C" w14:textId="4497A7EB" w:rsidR="00871A3A" w:rsidRPr="007E3D1A" w:rsidRDefault="0078696E" w:rsidP="00871A3A">
      <w:pPr>
        <w:rPr>
          <w:rFonts w:cs="Arial"/>
          <w:sz w:val="22"/>
        </w:rPr>
      </w:pPr>
      <w:r>
        <w:rPr>
          <w:noProof/>
        </w:rPr>
        <mc:AlternateContent>
          <mc:Choice Requires="wpg">
            <w:drawing>
              <wp:anchor distT="0" distB="0" distL="114300" distR="114300" simplePos="0" relativeHeight="251658265" behindDoc="1" locked="0" layoutInCell="1" allowOverlap="1" wp14:anchorId="305B1CB3" wp14:editId="06ECC6EA">
                <wp:simplePos x="0" y="0"/>
                <wp:positionH relativeFrom="page">
                  <wp:posOffset>3414395</wp:posOffset>
                </wp:positionH>
                <wp:positionV relativeFrom="paragraph">
                  <wp:posOffset>57150</wp:posOffset>
                </wp:positionV>
                <wp:extent cx="228600" cy="114300"/>
                <wp:effectExtent l="0" t="0" r="0" b="0"/>
                <wp:wrapNone/>
                <wp:docPr id="166" name="Groupe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5377" y="90"/>
                          <a:chExt cx="360" cy="180"/>
                        </a:xfrm>
                      </wpg:grpSpPr>
                      <wps:wsp>
                        <wps:cNvPr id="167" name="Freeform 294"/>
                        <wps:cNvSpPr>
                          <a:spLocks noChangeArrowheads="1"/>
                        </wps:cNvSpPr>
                        <wps:spPr bwMode="auto">
                          <a:xfrm>
                            <a:off x="5377" y="90"/>
                            <a:ext cx="360" cy="180"/>
                          </a:xfrm>
                          <a:custGeom>
                            <a:avLst/>
                            <a:gdLst>
                              <a:gd name="T0" fmla="+- 0 5377 5377"/>
                              <a:gd name="T1" fmla="*/ T0 w 360"/>
                              <a:gd name="T2" fmla="+- 0 270 90"/>
                              <a:gd name="T3" fmla="*/ 270 h 180"/>
                              <a:gd name="T4" fmla="+- 0 5737 5377"/>
                              <a:gd name="T5" fmla="*/ T4 w 360"/>
                              <a:gd name="T6" fmla="+- 0 270 90"/>
                              <a:gd name="T7" fmla="*/ 270 h 180"/>
                              <a:gd name="T8" fmla="+- 0 5737 5377"/>
                              <a:gd name="T9" fmla="*/ T8 w 360"/>
                              <a:gd name="T10" fmla="+- 0 90 90"/>
                              <a:gd name="T11" fmla="*/ 90 h 180"/>
                              <a:gd name="T12" fmla="+- 0 5377 5377"/>
                              <a:gd name="T13" fmla="*/ T12 w 360"/>
                              <a:gd name="T14" fmla="+- 0 90 90"/>
                              <a:gd name="T15" fmla="*/ 90 h 180"/>
                              <a:gd name="T16" fmla="+- 0 5377 5377"/>
                              <a:gd name="T17" fmla="*/ T16 w 360"/>
                              <a:gd name="T18" fmla="+- 0 270 90"/>
                              <a:gd name="T19" fmla="*/ 270 h 180"/>
                            </a:gdLst>
                            <a:ahLst/>
                            <a:cxnLst>
                              <a:cxn ang="0">
                                <a:pos x="T1" y="T3"/>
                              </a:cxn>
                              <a:cxn ang="0">
                                <a:pos x="T5" y="T7"/>
                              </a:cxn>
                              <a:cxn ang="0">
                                <a:pos x="T9" y="T11"/>
                              </a:cxn>
                              <a:cxn ang="0">
                                <a:pos x="T13" y="T15"/>
                              </a:cxn>
                              <a:cxn ang="0">
                                <a:pos x="T17" y="T19"/>
                              </a:cxn>
                            </a:cxnLst>
                            <a:rect l="0" t="0" r="r" b="b"/>
                            <a:pathLst>
                              <a:path w="360" h="180">
                                <a:moveTo>
                                  <a:pt x="0" y="180"/>
                                </a:moveTo>
                                <a:lnTo>
                                  <a:pt x="360" y="180"/>
                                </a:lnTo>
                                <a:lnTo>
                                  <a:pt x="360" y="0"/>
                                </a:lnTo>
                                <a:lnTo>
                                  <a:pt x="0" y="0"/>
                                </a:lnTo>
                                <a:lnTo>
                                  <a:pt x="0" y="18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FD4712B">
              <v:group id="Groupe 145" style="position:absolute;margin-left:268.85pt;margin-top:4.5pt;width:18pt;height:9pt;z-index:-251635200;mso-position-horizontal-relative:page" coordsize="360,180" coordorigin="5377,90" o:spid="_x0000_s1026" w14:anchorId="0ED5F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">
                <v:shape id="Freeform 294" style="position:absolute;left:5377;top:90;width:360;height:180;visibility:visible;mso-wrap-style:square;v-text-anchor:top" coordsize="360,180" o:spid="_x0000_s1027" filled="f" path="m,180r360,l360,,,,,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">
                  <v:path o:connecttype="custom" o:connectlocs="0,270;360,270;360,90;0,90;0,270" o:connectangles="0,0,0,0,0"/>
                </v:shape>
                <w10:wrap anchorx="page"/>
              </v:group>
            </w:pict>
          </mc:Fallback>
        </mc:AlternateContent>
      </w:r>
      <w:r w:rsidR="00871A3A" w:rsidRPr="007E3D1A">
        <w:rPr>
          <w:rFonts w:eastAsia="Courier New" w:cs="Arial"/>
          <w:sz w:val="22"/>
        </w:rPr>
        <w:t>o</w:t>
      </w:r>
      <w:r w:rsidR="00871A3A" w:rsidRPr="007E3D1A">
        <w:rPr>
          <w:rFonts w:eastAsia="Courier New" w:cs="Arial"/>
          <w:sz w:val="22"/>
        </w:rPr>
        <w:tab/>
      </w:r>
      <w:r w:rsidR="00871A3A" w:rsidRPr="007E3D1A">
        <w:rPr>
          <w:rFonts w:cs="Arial"/>
          <w:sz w:val="22"/>
        </w:rPr>
        <w:t>Pas de travail social à faire</w:t>
      </w:r>
    </w:p>
    <w:p w14:paraId="2382F891" w14:textId="2A141F8C" w:rsidR="00871A3A" w:rsidRPr="007E3D1A" w:rsidRDefault="0078696E" w:rsidP="00871A3A">
      <w:pPr>
        <w:rPr>
          <w:rFonts w:cs="Arial"/>
          <w:sz w:val="22"/>
        </w:rPr>
      </w:pPr>
      <w:r>
        <w:rPr>
          <w:noProof/>
        </w:rPr>
        <mc:AlternateContent>
          <mc:Choice Requires="wpg">
            <w:drawing>
              <wp:anchor distT="0" distB="0" distL="114300" distR="114300" simplePos="0" relativeHeight="251658274" behindDoc="1" locked="0" layoutInCell="1" allowOverlap="1" wp14:anchorId="3268D1D3" wp14:editId="20BDBD4E">
                <wp:simplePos x="0" y="0"/>
                <wp:positionH relativeFrom="page">
                  <wp:posOffset>3414395</wp:posOffset>
                </wp:positionH>
                <wp:positionV relativeFrom="paragraph">
                  <wp:posOffset>-4445</wp:posOffset>
                </wp:positionV>
                <wp:extent cx="228600" cy="128270"/>
                <wp:effectExtent l="0" t="0" r="0" b="5080"/>
                <wp:wrapNone/>
                <wp:docPr id="164" name="Groupe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8270"/>
                          <a:chOff x="5377" y="-7"/>
                          <a:chExt cx="360" cy="202"/>
                        </a:xfrm>
                      </wpg:grpSpPr>
                      <wps:wsp>
                        <wps:cNvPr id="165" name="Freeform 290"/>
                        <wps:cNvSpPr>
                          <a:spLocks noChangeArrowheads="1"/>
                        </wps:cNvSpPr>
                        <wps:spPr bwMode="auto">
                          <a:xfrm>
                            <a:off x="5377" y="-7"/>
                            <a:ext cx="360" cy="202"/>
                          </a:xfrm>
                          <a:custGeom>
                            <a:avLst/>
                            <a:gdLst>
                              <a:gd name="T0" fmla="+- 0 5377 5377"/>
                              <a:gd name="T1" fmla="*/ T0 w 360"/>
                              <a:gd name="T2" fmla="+- 0 195 -7"/>
                              <a:gd name="T3" fmla="*/ 195 h 202"/>
                              <a:gd name="T4" fmla="+- 0 5737 5377"/>
                              <a:gd name="T5" fmla="*/ T4 w 360"/>
                              <a:gd name="T6" fmla="+- 0 195 -7"/>
                              <a:gd name="T7" fmla="*/ 195 h 202"/>
                              <a:gd name="T8" fmla="+- 0 5737 5377"/>
                              <a:gd name="T9" fmla="*/ T8 w 360"/>
                              <a:gd name="T10" fmla="+- 0 -7 -7"/>
                              <a:gd name="T11" fmla="*/ -7 h 202"/>
                              <a:gd name="T12" fmla="+- 0 5377 5377"/>
                              <a:gd name="T13" fmla="*/ T12 w 360"/>
                              <a:gd name="T14" fmla="+- 0 -7 -7"/>
                              <a:gd name="T15" fmla="*/ -7 h 202"/>
                              <a:gd name="T16" fmla="+- 0 5377 5377"/>
                              <a:gd name="T17" fmla="*/ T16 w 360"/>
                              <a:gd name="T18" fmla="+- 0 195 -7"/>
                              <a:gd name="T19" fmla="*/ 195 h 202"/>
                            </a:gdLst>
                            <a:ahLst/>
                            <a:cxnLst>
                              <a:cxn ang="0">
                                <a:pos x="T1" y="T3"/>
                              </a:cxn>
                              <a:cxn ang="0">
                                <a:pos x="T5" y="T7"/>
                              </a:cxn>
                              <a:cxn ang="0">
                                <a:pos x="T9" y="T11"/>
                              </a:cxn>
                              <a:cxn ang="0">
                                <a:pos x="T13" y="T15"/>
                              </a:cxn>
                              <a:cxn ang="0">
                                <a:pos x="T17" y="T19"/>
                              </a:cxn>
                            </a:cxnLst>
                            <a:rect l="0" t="0" r="r" b="b"/>
                            <a:pathLst>
                              <a:path w="360" h="202">
                                <a:moveTo>
                                  <a:pt x="0" y="202"/>
                                </a:moveTo>
                                <a:lnTo>
                                  <a:pt x="360" y="202"/>
                                </a:lnTo>
                                <a:lnTo>
                                  <a:pt x="360" y="0"/>
                                </a:lnTo>
                                <a:lnTo>
                                  <a:pt x="0" y="0"/>
                                </a:lnTo>
                                <a:lnTo>
                                  <a:pt x="0" y="202"/>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4EFAED7">
              <v:group id="Groupe 147" style="position:absolute;margin-left:268.85pt;margin-top:-.35pt;width:18pt;height:10.1pt;z-index:-251625984;mso-position-horizontal-relative:page" coordsize="360,202" coordorigin="5377,-7" o:spid="_x0000_s1026" w14:anchorId="3062DC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">
                <v:shape id="Freeform 290" style="position:absolute;left:5377;top:-7;width:360;height:202;visibility:visible;mso-wrap-style:square;v-text-anchor:top" coordsize="360,202" o:spid="_x0000_s1027" filled="f" path="m,202r360,l360,,,,,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">
                  <v:path o:connecttype="custom" o:connectlocs="0,195;360,195;360,-7;0,-7;0,195" o:connectangles="0,0,0,0,0"/>
                </v:shape>
                <w10:wrap anchorx="page"/>
              </v:group>
            </w:pict>
          </mc:Fallback>
        </mc:AlternateContent>
      </w:r>
      <w:r w:rsidR="00871A3A" w:rsidRPr="007E3D1A">
        <w:rPr>
          <w:rFonts w:eastAsia="Courier New" w:cs="Arial"/>
          <w:sz w:val="22"/>
        </w:rPr>
        <w:t>o</w:t>
      </w:r>
      <w:r w:rsidR="00871A3A" w:rsidRPr="007E3D1A">
        <w:rPr>
          <w:rFonts w:eastAsia="Courier New" w:cs="Arial"/>
          <w:sz w:val="22"/>
        </w:rPr>
        <w:tab/>
      </w:r>
      <w:r w:rsidR="00871A3A" w:rsidRPr="007E3D1A">
        <w:rPr>
          <w:rFonts w:cs="Arial"/>
          <w:sz w:val="22"/>
        </w:rPr>
        <w:t>Plan de subsistance à élaborer</w:t>
      </w:r>
    </w:p>
    <w:p w14:paraId="728689D2" w14:textId="1BF3A97F" w:rsidR="00871A3A" w:rsidRPr="007E3D1A" w:rsidRDefault="0078696E" w:rsidP="00871A3A">
      <w:pPr>
        <w:rPr>
          <w:rFonts w:cs="Arial"/>
          <w:sz w:val="22"/>
        </w:rPr>
      </w:pPr>
      <w:r>
        <w:rPr>
          <w:noProof/>
        </w:rPr>
        <mc:AlternateContent>
          <mc:Choice Requires="wpg">
            <w:drawing>
              <wp:anchor distT="0" distB="0" distL="114300" distR="114300" simplePos="0" relativeHeight="251658266" behindDoc="1" locked="0" layoutInCell="1" allowOverlap="1" wp14:anchorId="7A465A79" wp14:editId="2DF7F160">
                <wp:simplePos x="0" y="0"/>
                <wp:positionH relativeFrom="page">
                  <wp:posOffset>3414395</wp:posOffset>
                </wp:positionH>
                <wp:positionV relativeFrom="paragraph">
                  <wp:posOffset>-4445</wp:posOffset>
                </wp:positionV>
                <wp:extent cx="228600" cy="128270"/>
                <wp:effectExtent l="0" t="0" r="0" b="5080"/>
                <wp:wrapNone/>
                <wp:docPr id="162" name="Groupe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8270"/>
                          <a:chOff x="5377" y="-7"/>
                          <a:chExt cx="360" cy="202"/>
                        </a:xfrm>
                      </wpg:grpSpPr>
                      <wps:wsp>
                        <wps:cNvPr id="163" name="Freeform 290"/>
                        <wps:cNvSpPr>
                          <a:spLocks noChangeArrowheads="1"/>
                        </wps:cNvSpPr>
                        <wps:spPr bwMode="auto">
                          <a:xfrm>
                            <a:off x="5377" y="-7"/>
                            <a:ext cx="360" cy="202"/>
                          </a:xfrm>
                          <a:custGeom>
                            <a:avLst/>
                            <a:gdLst>
                              <a:gd name="T0" fmla="+- 0 5377 5377"/>
                              <a:gd name="T1" fmla="*/ T0 w 360"/>
                              <a:gd name="T2" fmla="+- 0 195 -7"/>
                              <a:gd name="T3" fmla="*/ 195 h 202"/>
                              <a:gd name="T4" fmla="+- 0 5737 5377"/>
                              <a:gd name="T5" fmla="*/ T4 w 360"/>
                              <a:gd name="T6" fmla="+- 0 195 -7"/>
                              <a:gd name="T7" fmla="*/ 195 h 202"/>
                              <a:gd name="T8" fmla="+- 0 5737 5377"/>
                              <a:gd name="T9" fmla="*/ T8 w 360"/>
                              <a:gd name="T10" fmla="+- 0 -7 -7"/>
                              <a:gd name="T11" fmla="*/ -7 h 202"/>
                              <a:gd name="T12" fmla="+- 0 5377 5377"/>
                              <a:gd name="T13" fmla="*/ T12 w 360"/>
                              <a:gd name="T14" fmla="+- 0 -7 -7"/>
                              <a:gd name="T15" fmla="*/ -7 h 202"/>
                              <a:gd name="T16" fmla="+- 0 5377 5377"/>
                              <a:gd name="T17" fmla="*/ T16 w 360"/>
                              <a:gd name="T18" fmla="+- 0 195 -7"/>
                              <a:gd name="T19" fmla="*/ 195 h 202"/>
                            </a:gdLst>
                            <a:ahLst/>
                            <a:cxnLst>
                              <a:cxn ang="0">
                                <a:pos x="T1" y="T3"/>
                              </a:cxn>
                              <a:cxn ang="0">
                                <a:pos x="T5" y="T7"/>
                              </a:cxn>
                              <a:cxn ang="0">
                                <a:pos x="T9" y="T11"/>
                              </a:cxn>
                              <a:cxn ang="0">
                                <a:pos x="T13" y="T15"/>
                              </a:cxn>
                              <a:cxn ang="0">
                                <a:pos x="T17" y="T19"/>
                              </a:cxn>
                            </a:cxnLst>
                            <a:rect l="0" t="0" r="r" b="b"/>
                            <a:pathLst>
                              <a:path w="360" h="202">
                                <a:moveTo>
                                  <a:pt x="0" y="202"/>
                                </a:moveTo>
                                <a:lnTo>
                                  <a:pt x="360" y="202"/>
                                </a:lnTo>
                                <a:lnTo>
                                  <a:pt x="360" y="0"/>
                                </a:lnTo>
                                <a:lnTo>
                                  <a:pt x="0" y="0"/>
                                </a:lnTo>
                                <a:lnTo>
                                  <a:pt x="0" y="202"/>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EA42DF">
              <v:group id="Groupe 149" style="position:absolute;margin-left:268.85pt;margin-top:-.35pt;width:18pt;height:10.1pt;z-index:-251634176;mso-position-horizontal-relative:page" coordsize="360,202" coordorigin="5377,-7" o:spid="_x0000_s1026" w14:anchorId="0B135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">
                <v:shape id="Freeform 290" style="position:absolute;left:5377;top:-7;width:360;height:202;visibility:visible;mso-wrap-style:square;v-text-anchor:top" coordsize="360,202" o:spid="_x0000_s1027" filled="f" path="m,202r360,l360,,,,,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">
                  <v:path o:connecttype="custom" o:connectlocs="0,195;360,195;360,-7;0,-7;0,195" o:connectangles="0,0,0,0,0"/>
                </v:shape>
                <w10:wrap anchorx="page"/>
              </v:group>
            </w:pict>
          </mc:Fallback>
        </mc:AlternateContent>
      </w:r>
      <w:r w:rsidR="00871A3A" w:rsidRPr="007E3D1A">
        <w:rPr>
          <w:rFonts w:eastAsia="Courier New" w:cs="Arial"/>
          <w:sz w:val="22"/>
        </w:rPr>
        <w:t>o</w:t>
      </w:r>
      <w:r w:rsidR="00871A3A" w:rsidRPr="007E3D1A">
        <w:rPr>
          <w:rFonts w:eastAsia="Courier New" w:cs="Arial"/>
          <w:sz w:val="22"/>
        </w:rPr>
        <w:tab/>
      </w:r>
      <w:r w:rsidR="00871A3A" w:rsidRPr="007E3D1A">
        <w:rPr>
          <w:rFonts w:cs="Arial"/>
          <w:sz w:val="22"/>
        </w:rPr>
        <w:t>PAR à élaborer</w:t>
      </w:r>
    </w:p>
    <w:p w14:paraId="2E623181" w14:textId="77777777" w:rsidR="00871A3A" w:rsidRPr="007E3D1A" w:rsidRDefault="00871A3A" w:rsidP="00871A3A">
      <w:pPr>
        <w:rPr>
          <w:rFonts w:cs="Arial"/>
          <w:sz w:val="22"/>
        </w:rPr>
      </w:pPr>
      <w:r w:rsidRPr="007E3D1A">
        <w:rPr>
          <w:rFonts w:cs="Arial"/>
          <w:sz w:val="22"/>
        </w:rPr>
        <w:br/>
      </w:r>
    </w:p>
    <w:p w14:paraId="0811F137" w14:textId="77777777" w:rsidR="00871A3A" w:rsidRPr="00871A3A" w:rsidRDefault="00871A3A" w:rsidP="00871A3A">
      <w:pPr>
        <w:rPr>
          <w:rFonts w:cs="Arial"/>
          <w:b/>
          <w:sz w:val="22"/>
        </w:rPr>
      </w:pPr>
      <w:r w:rsidRPr="007E3D1A">
        <w:rPr>
          <w:rFonts w:cs="Arial"/>
          <w:sz w:val="22"/>
        </w:rPr>
        <w:br w:type="page"/>
      </w:r>
      <w:r w:rsidRPr="00871A3A">
        <w:rPr>
          <w:rFonts w:cs="Arial"/>
          <w:b/>
          <w:sz w:val="22"/>
        </w:rPr>
        <w:t>ANNEXE 2.</w:t>
      </w:r>
      <w:r w:rsidRPr="00871A3A">
        <w:rPr>
          <w:rFonts w:cs="Arial"/>
          <w:b/>
          <w:sz w:val="22"/>
        </w:rPr>
        <w:tab/>
        <w:t xml:space="preserve">LISTE DE CONTRÔLE ENVIRONNEMENTAL ET SOCIAL </w:t>
      </w:r>
    </w:p>
    <w:p w14:paraId="335F8C2B" w14:textId="77777777" w:rsidR="00871A3A" w:rsidRPr="007E3D1A" w:rsidRDefault="00871A3A" w:rsidP="00871A3A">
      <w:pPr>
        <w:rPr>
          <w:rFonts w:cs="Arial"/>
          <w:sz w:val="22"/>
        </w:rPr>
      </w:pPr>
    </w:p>
    <w:p w14:paraId="73912882" w14:textId="77777777" w:rsidR="00871A3A" w:rsidRPr="007E3D1A" w:rsidRDefault="00871A3A" w:rsidP="00871A3A">
      <w:pPr>
        <w:rPr>
          <w:rFonts w:cs="Arial"/>
          <w:sz w:val="22"/>
        </w:rPr>
      </w:pPr>
      <w:r w:rsidRPr="007E3D1A">
        <w:rPr>
          <w:rFonts w:cs="Arial"/>
          <w:sz w:val="22"/>
        </w:rPr>
        <w:t xml:space="preserve">Pour chaque sous-projet proposé, remplir la section correspondante de la liste de contrôle ci-dessous. </w:t>
      </w:r>
    </w:p>
    <w:p w14:paraId="22CBE9BB" w14:textId="77777777" w:rsidR="00871A3A" w:rsidRPr="007E3D1A" w:rsidRDefault="00871A3A" w:rsidP="00871A3A">
      <w:pPr>
        <w:rPr>
          <w:rFonts w:cs="Arial"/>
          <w:sz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4315"/>
        <w:gridCol w:w="703"/>
        <w:gridCol w:w="835"/>
        <w:gridCol w:w="2100"/>
      </w:tblGrid>
      <w:tr w:rsidR="00BB0401" w:rsidRPr="007E3D1A" w14:paraId="5BE14902" w14:textId="77777777" w:rsidTr="00730A4A">
        <w:tc>
          <w:tcPr>
            <w:tcW w:w="1736" w:type="dxa"/>
            <w:shd w:val="clear" w:color="auto" w:fill="auto"/>
          </w:tcPr>
          <w:p w14:paraId="03D270FF" w14:textId="77777777" w:rsidR="00871A3A" w:rsidRPr="00730A4A" w:rsidRDefault="00871A3A" w:rsidP="00730A4A">
            <w:pPr>
              <w:jc w:val="center"/>
              <w:rPr>
                <w:rFonts w:eastAsia="Calibri" w:cs="Arial"/>
                <w:sz w:val="22"/>
                <w:lang w:val="en-US"/>
              </w:rPr>
            </w:pPr>
            <w:r w:rsidRPr="00730A4A">
              <w:rPr>
                <w:rFonts w:eastAsia="Calibri" w:cs="Arial"/>
                <w:sz w:val="22"/>
                <w:lang w:val="en-US"/>
              </w:rPr>
              <w:t>Activité</w:t>
            </w:r>
          </w:p>
        </w:tc>
        <w:tc>
          <w:tcPr>
            <w:tcW w:w="4468" w:type="dxa"/>
            <w:shd w:val="clear" w:color="auto" w:fill="auto"/>
          </w:tcPr>
          <w:p w14:paraId="3B4593BF" w14:textId="77777777" w:rsidR="00871A3A" w:rsidRPr="00730A4A" w:rsidRDefault="00871A3A" w:rsidP="00730A4A">
            <w:pPr>
              <w:jc w:val="center"/>
              <w:rPr>
                <w:rFonts w:eastAsia="Calibri" w:cs="Arial"/>
                <w:sz w:val="22"/>
              </w:rPr>
            </w:pPr>
            <w:r w:rsidRPr="00730A4A">
              <w:rPr>
                <w:rFonts w:eastAsia="Calibri" w:cs="Arial"/>
                <w:sz w:val="22"/>
              </w:rPr>
              <w:t>Questions auxquelles il faut répondre</w:t>
            </w:r>
          </w:p>
        </w:tc>
        <w:tc>
          <w:tcPr>
            <w:tcW w:w="708" w:type="dxa"/>
            <w:shd w:val="clear" w:color="auto" w:fill="auto"/>
          </w:tcPr>
          <w:p w14:paraId="7741C732" w14:textId="77777777" w:rsidR="00871A3A" w:rsidRPr="00730A4A" w:rsidRDefault="00871A3A" w:rsidP="00730A4A">
            <w:pPr>
              <w:jc w:val="center"/>
              <w:rPr>
                <w:rFonts w:eastAsia="Calibri" w:cs="Arial"/>
                <w:sz w:val="22"/>
                <w:lang w:val="en-US"/>
              </w:rPr>
            </w:pPr>
            <w:r w:rsidRPr="00730A4A">
              <w:rPr>
                <w:rFonts w:eastAsia="Calibri" w:cs="Arial"/>
                <w:sz w:val="22"/>
                <w:lang w:val="en-US"/>
              </w:rPr>
              <w:t>OUI</w:t>
            </w:r>
          </w:p>
        </w:tc>
        <w:tc>
          <w:tcPr>
            <w:tcW w:w="843" w:type="dxa"/>
            <w:shd w:val="clear" w:color="auto" w:fill="auto"/>
          </w:tcPr>
          <w:p w14:paraId="3183CDF0" w14:textId="77777777" w:rsidR="00871A3A" w:rsidRPr="00730A4A" w:rsidRDefault="00871A3A" w:rsidP="00730A4A">
            <w:pPr>
              <w:jc w:val="center"/>
              <w:rPr>
                <w:rFonts w:eastAsia="Calibri" w:cs="Arial"/>
                <w:sz w:val="22"/>
                <w:lang w:val="en-US"/>
              </w:rPr>
            </w:pPr>
            <w:r w:rsidRPr="00730A4A">
              <w:rPr>
                <w:rFonts w:eastAsia="Calibri" w:cs="Arial"/>
                <w:sz w:val="22"/>
                <w:lang w:val="en-US"/>
              </w:rPr>
              <w:t>NON</w:t>
            </w:r>
          </w:p>
        </w:tc>
        <w:tc>
          <w:tcPr>
            <w:tcW w:w="1992" w:type="dxa"/>
            <w:shd w:val="clear" w:color="auto" w:fill="auto"/>
          </w:tcPr>
          <w:p w14:paraId="288044EF" w14:textId="77777777" w:rsidR="00871A3A" w:rsidRPr="00730A4A" w:rsidRDefault="00871A3A" w:rsidP="00730A4A">
            <w:pPr>
              <w:jc w:val="center"/>
              <w:rPr>
                <w:rFonts w:eastAsia="Calibri" w:cs="Arial"/>
                <w:sz w:val="22"/>
                <w:lang w:val="en-US"/>
              </w:rPr>
            </w:pPr>
            <w:r w:rsidRPr="00730A4A">
              <w:rPr>
                <w:rFonts w:eastAsia="Calibri" w:cs="Arial"/>
                <w:sz w:val="22"/>
                <w:lang w:val="en-US"/>
              </w:rPr>
              <w:t>SI OUI,</w:t>
            </w:r>
          </w:p>
        </w:tc>
      </w:tr>
      <w:tr w:rsidR="00BB0401" w:rsidRPr="007E3D1A" w14:paraId="3C1BED8A" w14:textId="77777777" w:rsidTr="00730A4A">
        <w:tc>
          <w:tcPr>
            <w:tcW w:w="1736" w:type="dxa"/>
            <w:shd w:val="clear" w:color="auto" w:fill="auto"/>
          </w:tcPr>
          <w:p w14:paraId="6CBAB6CD" w14:textId="77777777" w:rsidR="00871A3A" w:rsidRPr="00730A4A" w:rsidRDefault="00871A3A" w:rsidP="00BB0401">
            <w:pPr>
              <w:rPr>
                <w:rFonts w:eastAsia="Calibri" w:cs="Arial"/>
                <w:sz w:val="22"/>
                <w:lang w:val="en-US"/>
              </w:rPr>
            </w:pPr>
            <w:r w:rsidRPr="00730A4A">
              <w:rPr>
                <w:rFonts w:eastAsia="Calibri" w:cs="Arial"/>
                <w:sz w:val="22"/>
                <w:lang w:val="en-US"/>
              </w:rPr>
              <w:t>Construction et</w:t>
            </w:r>
          </w:p>
          <w:p w14:paraId="5203D7F3" w14:textId="77777777" w:rsidR="00871A3A" w:rsidRPr="00730A4A" w:rsidRDefault="00871A3A" w:rsidP="00BB0401">
            <w:pPr>
              <w:rPr>
                <w:rFonts w:eastAsia="Calibri" w:cs="Arial"/>
                <w:sz w:val="22"/>
                <w:lang w:val="en-US"/>
              </w:rPr>
            </w:pPr>
            <w:r w:rsidRPr="00730A4A">
              <w:rPr>
                <w:rFonts w:eastAsia="Calibri" w:cs="Arial"/>
                <w:sz w:val="22"/>
                <w:lang w:val="en-US"/>
              </w:rPr>
              <w:t>Réhabilitation</w:t>
            </w:r>
          </w:p>
          <w:p w14:paraId="78805A51" w14:textId="77777777" w:rsidR="00871A3A" w:rsidRPr="00730A4A" w:rsidRDefault="00871A3A" w:rsidP="00BB0401">
            <w:pPr>
              <w:rPr>
                <w:rFonts w:eastAsia="Calibri" w:cs="Arial"/>
                <w:sz w:val="22"/>
                <w:lang w:val="en-US"/>
              </w:rPr>
            </w:pPr>
            <w:r w:rsidRPr="00730A4A">
              <w:rPr>
                <w:rFonts w:eastAsia="Calibri" w:cs="Arial"/>
                <w:sz w:val="22"/>
                <w:lang w:val="en-US"/>
              </w:rPr>
              <w:t>d’infrastructures</w:t>
            </w:r>
          </w:p>
          <w:p w14:paraId="6F15DBD8" w14:textId="77777777" w:rsidR="00871A3A" w:rsidRPr="00730A4A" w:rsidRDefault="00871A3A" w:rsidP="00BB0401">
            <w:pPr>
              <w:rPr>
                <w:rFonts w:eastAsia="Calibri" w:cs="Arial"/>
                <w:sz w:val="22"/>
                <w:lang w:val="en-US"/>
              </w:rPr>
            </w:pPr>
          </w:p>
        </w:tc>
        <w:tc>
          <w:tcPr>
            <w:tcW w:w="4468" w:type="dxa"/>
            <w:shd w:val="clear" w:color="auto" w:fill="auto"/>
          </w:tcPr>
          <w:p w14:paraId="349FE894" w14:textId="77777777" w:rsidR="00871A3A" w:rsidRPr="00730A4A" w:rsidRDefault="00871A3A" w:rsidP="00BB0401">
            <w:pPr>
              <w:rPr>
                <w:rFonts w:cs="Arial"/>
                <w:sz w:val="22"/>
              </w:rPr>
            </w:pPr>
            <w:r w:rsidRPr="00730A4A">
              <w:rPr>
                <w:rFonts w:cs="Arial"/>
                <w:sz w:val="22"/>
              </w:rPr>
              <w:t>Y a-t-il des terres cultivées ou non cultivées, des ressources naturelles, des structures ou autres propriétés, utilisées ou non utilisées à des fins quelconques, d’une manière quelconque ?</w:t>
            </w:r>
          </w:p>
          <w:p w14:paraId="75AA3A06" w14:textId="77777777" w:rsidR="00871A3A" w:rsidRPr="00730A4A" w:rsidRDefault="00871A3A" w:rsidP="00BB0401">
            <w:pPr>
              <w:rPr>
                <w:rFonts w:cs="Arial"/>
                <w:sz w:val="22"/>
              </w:rPr>
            </w:pPr>
            <w:r w:rsidRPr="00730A4A">
              <w:rPr>
                <w:rFonts w:cs="Arial"/>
                <w:sz w:val="22"/>
              </w:rPr>
              <w:t>Y aura-t-il perte de végétation quelconque pendant la réhabilitation ?</w:t>
            </w:r>
          </w:p>
          <w:p w14:paraId="1E80E43B" w14:textId="77777777" w:rsidR="00871A3A" w:rsidRPr="00730A4A" w:rsidRDefault="00871A3A" w:rsidP="00BB0401">
            <w:pPr>
              <w:rPr>
                <w:rFonts w:cs="Arial"/>
                <w:sz w:val="22"/>
              </w:rPr>
            </w:pPr>
            <w:r w:rsidRPr="00730A4A">
              <w:rPr>
                <w:rFonts w:cs="Arial"/>
                <w:sz w:val="22"/>
              </w:rPr>
              <w:t>Y a-t-il des services adéquats pour</w:t>
            </w:r>
          </w:p>
          <w:p w14:paraId="51C05C36" w14:textId="77777777" w:rsidR="00871A3A" w:rsidRPr="00730A4A" w:rsidRDefault="00871A3A" w:rsidP="00BB0401">
            <w:pPr>
              <w:rPr>
                <w:rFonts w:cs="Arial"/>
                <w:sz w:val="22"/>
              </w:rPr>
            </w:pPr>
            <w:r w:rsidRPr="00730A4A">
              <w:rPr>
                <w:rFonts w:cs="Arial"/>
                <w:sz w:val="22"/>
              </w:rPr>
              <w:t>l’évacuation des déchets prévus pendant la réhabilitation ?</w:t>
            </w:r>
          </w:p>
          <w:p w14:paraId="5B9E66F9" w14:textId="77777777" w:rsidR="00871A3A" w:rsidRPr="00730A4A" w:rsidRDefault="00871A3A" w:rsidP="00BB0401">
            <w:pPr>
              <w:rPr>
                <w:rFonts w:cs="Arial"/>
                <w:sz w:val="22"/>
              </w:rPr>
            </w:pPr>
            <w:r w:rsidRPr="00730A4A">
              <w:rPr>
                <w:rFonts w:cs="Arial"/>
                <w:sz w:val="22"/>
              </w:rPr>
              <w:t>Le site de construction sera-t-il nettoyé régulièrement, en utilisant de l’eau pour maîtriser la poussière?</w:t>
            </w:r>
          </w:p>
          <w:p w14:paraId="66E132C0" w14:textId="77777777" w:rsidR="00871A3A" w:rsidRPr="00730A4A" w:rsidRDefault="00871A3A" w:rsidP="00BB0401">
            <w:pPr>
              <w:rPr>
                <w:rFonts w:cs="Arial"/>
                <w:sz w:val="22"/>
              </w:rPr>
            </w:pPr>
            <w:r w:rsidRPr="00730A4A">
              <w:rPr>
                <w:rFonts w:cs="Arial"/>
                <w:sz w:val="22"/>
              </w:rPr>
              <w:t>Les détritus générés pendant les activités de construction seront-ils nettoyés ?</w:t>
            </w:r>
          </w:p>
          <w:p w14:paraId="6864D6D9" w14:textId="77777777" w:rsidR="00871A3A" w:rsidRPr="00730A4A" w:rsidRDefault="00871A3A" w:rsidP="00BB0401">
            <w:pPr>
              <w:rPr>
                <w:rFonts w:eastAsia="Calibri" w:cs="Arial"/>
                <w:sz w:val="22"/>
              </w:rPr>
            </w:pPr>
            <w:r w:rsidRPr="00730A4A">
              <w:rPr>
                <w:rFonts w:cs="Arial"/>
                <w:sz w:val="22"/>
              </w:rPr>
              <w:t>Les matières ou installations de secours seront-elles disponibles pendant la réhabilitation ?</w:t>
            </w:r>
          </w:p>
          <w:p w14:paraId="7F9340A2" w14:textId="77777777" w:rsidR="00871A3A" w:rsidRPr="00730A4A" w:rsidRDefault="00871A3A" w:rsidP="00BB0401">
            <w:pPr>
              <w:rPr>
                <w:rFonts w:eastAsia="Calibri" w:cs="Arial"/>
                <w:sz w:val="22"/>
              </w:rPr>
            </w:pPr>
            <w:r w:rsidRPr="00730A4A">
              <w:rPr>
                <w:rFonts w:cs="Arial"/>
                <w:sz w:val="22"/>
              </w:rPr>
              <w:t>Y a-t-il le risque de réinstallation involontaire ?</w:t>
            </w:r>
          </w:p>
          <w:p w14:paraId="4F238614" w14:textId="77777777" w:rsidR="00871A3A" w:rsidRPr="00730A4A" w:rsidRDefault="00871A3A" w:rsidP="00BB0401">
            <w:pPr>
              <w:rPr>
                <w:rFonts w:eastAsia="Calibri" w:cs="Arial"/>
                <w:sz w:val="22"/>
              </w:rPr>
            </w:pPr>
            <w:r w:rsidRPr="00730A4A">
              <w:rPr>
                <w:rFonts w:cs="Arial"/>
                <w:sz w:val="22"/>
              </w:rPr>
              <w:t>Y a-t-il la présence des Populations Autochtones ?</w:t>
            </w:r>
          </w:p>
          <w:p w14:paraId="20DB9797" w14:textId="77777777" w:rsidR="00871A3A" w:rsidRPr="00730A4A" w:rsidRDefault="00871A3A" w:rsidP="00BB0401">
            <w:pPr>
              <w:rPr>
                <w:rFonts w:eastAsia="Calibri" w:cs="Arial"/>
                <w:sz w:val="22"/>
              </w:rPr>
            </w:pPr>
            <w:r w:rsidRPr="00730A4A">
              <w:rPr>
                <w:rFonts w:cs="Arial"/>
                <w:sz w:val="22"/>
              </w:rPr>
              <w:t>Y a-t-il un problème de sécurité dans la zone du Projet ?</w:t>
            </w:r>
          </w:p>
        </w:tc>
        <w:tc>
          <w:tcPr>
            <w:tcW w:w="708" w:type="dxa"/>
            <w:shd w:val="clear" w:color="auto" w:fill="auto"/>
          </w:tcPr>
          <w:p w14:paraId="23534C08" w14:textId="77777777" w:rsidR="00871A3A" w:rsidRPr="00730A4A" w:rsidRDefault="00871A3A" w:rsidP="00BB0401">
            <w:pPr>
              <w:rPr>
                <w:rFonts w:eastAsia="Calibri" w:cs="Arial"/>
                <w:sz w:val="22"/>
              </w:rPr>
            </w:pPr>
          </w:p>
        </w:tc>
        <w:tc>
          <w:tcPr>
            <w:tcW w:w="843" w:type="dxa"/>
            <w:shd w:val="clear" w:color="auto" w:fill="auto"/>
          </w:tcPr>
          <w:p w14:paraId="4D989005" w14:textId="77777777" w:rsidR="00871A3A" w:rsidRPr="00730A4A" w:rsidRDefault="00871A3A" w:rsidP="00BB0401">
            <w:pPr>
              <w:rPr>
                <w:rFonts w:eastAsia="Calibri" w:cs="Arial"/>
                <w:sz w:val="22"/>
              </w:rPr>
            </w:pPr>
          </w:p>
        </w:tc>
        <w:tc>
          <w:tcPr>
            <w:tcW w:w="1992" w:type="dxa"/>
            <w:shd w:val="clear" w:color="auto" w:fill="auto"/>
          </w:tcPr>
          <w:p w14:paraId="70D9E3BC" w14:textId="77777777" w:rsidR="00871A3A" w:rsidRPr="00730A4A" w:rsidRDefault="00871A3A" w:rsidP="00730A4A">
            <w:pPr>
              <w:jc w:val="left"/>
              <w:rPr>
                <w:rFonts w:eastAsia="Calibri" w:cs="Arial"/>
                <w:sz w:val="22"/>
              </w:rPr>
            </w:pPr>
            <w:r w:rsidRPr="00730A4A">
              <w:rPr>
                <w:rFonts w:eastAsia="Calibri" w:cs="Arial"/>
                <w:sz w:val="22"/>
              </w:rPr>
              <w:t>S’inspirer des mesures</w:t>
            </w:r>
          </w:p>
          <w:p w14:paraId="72028DEB" w14:textId="77777777" w:rsidR="00871A3A" w:rsidRPr="00730A4A" w:rsidRDefault="00871A3A" w:rsidP="00BB0401">
            <w:pPr>
              <w:rPr>
                <w:rFonts w:eastAsia="Calibri" w:cs="Arial"/>
                <w:sz w:val="22"/>
              </w:rPr>
            </w:pPr>
            <w:r w:rsidRPr="00730A4A">
              <w:rPr>
                <w:rFonts w:eastAsia="Calibri" w:cs="Arial"/>
                <w:sz w:val="22"/>
              </w:rPr>
              <w:t>générales d’atténuation</w:t>
            </w:r>
          </w:p>
          <w:p w14:paraId="670B5C7E" w14:textId="77777777" w:rsidR="00871A3A" w:rsidRPr="00730A4A" w:rsidRDefault="00871A3A" w:rsidP="00BB0401">
            <w:pPr>
              <w:rPr>
                <w:rFonts w:eastAsia="Calibri" w:cs="Arial"/>
                <w:sz w:val="22"/>
              </w:rPr>
            </w:pPr>
            <w:r w:rsidRPr="00730A4A">
              <w:rPr>
                <w:rFonts w:eastAsia="Calibri" w:cs="Arial"/>
                <w:sz w:val="22"/>
              </w:rPr>
              <w:t xml:space="preserve"> et des</w:t>
            </w:r>
          </w:p>
          <w:p w14:paraId="39E82BCF" w14:textId="77777777" w:rsidR="00871A3A" w:rsidRPr="00730A4A" w:rsidRDefault="00871A3A" w:rsidP="00BB0401">
            <w:pPr>
              <w:rPr>
                <w:rFonts w:eastAsia="Calibri" w:cs="Arial"/>
                <w:sz w:val="22"/>
                <w:lang w:val="en-US"/>
              </w:rPr>
            </w:pPr>
            <w:r w:rsidRPr="00730A4A">
              <w:rPr>
                <w:rFonts w:eastAsia="Calibri" w:cs="Arial"/>
                <w:sz w:val="22"/>
                <w:lang w:val="en-US"/>
              </w:rPr>
              <w:t>Directives</w:t>
            </w:r>
          </w:p>
          <w:p w14:paraId="1AE57C78" w14:textId="77777777" w:rsidR="00871A3A" w:rsidRPr="00730A4A" w:rsidRDefault="00871A3A" w:rsidP="00BB0401">
            <w:pPr>
              <w:rPr>
                <w:rFonts w:eastAsia="Calibri" w:cs="Arial"/>
                <w:sz w:val="22"/>
                <w:lang w:val="en-US"/>
              </w:rPr>
            </w:pPr>
            <w:r w:rsidRPr="00730A4A">
              <w:rPr>
                <w:rFonts w:eastAsia="Calibri" w:cs="Arial"/>
                <w:sz w:val="22"/>
                <w:lang w:val="en-US"/>
              </w:rPr>
              <w:t>Environnementales</w:t>
            </w:r>
          </w:p>
          <w:p w14:paraId="70E4BA05" w14:textId="77777777" w:rsidR="00871A3A" w:rsidRPr="00730A4A" w:rsidRDefault="00871A3A" w:rsidP="00730A4A">
            <w:pPr>
              <w:jc w:val="left"/>
              <w:rPr>
                <w:rFonts w:eastAsia="Calibri" w:cs="Arial"/>
                <w:sz w:val="22"/>
                <w:lang w:val="en-US"/>
              </w:rPr>
            </w:pPr>
            <w:r w:rsidRPr="00730A4A">
              <w:rPr>
                <w:rFonts w:eastAsia="Calibri" w:cs="Arial"/>
                <w:sz w:val="22"/>
                <w:lang w:val="en-US"/>
              </w:rPr>
              <w:t>pour les Contractants</w:t>
            </w:r>
          </w:p>
          <w:p w14:paraId="11C13506" w14:textId="77777777" w:rsidR="00871A3A" w:rsidRPr="00730A4A" w:rsidRDefault="00871A3A" w:rsidP="00BB0401">
            <w:pPr>
              <w:rPr>
                <w:rFonts w:eastAsia="Calibri" w:cs="Arial"/>
                <w:sz w:val="22"/>
                <w:lang w:val="en-US"/>
              </w:rPr>
            </w:pPr>
          </w:p>
        </w:tc>
      </w:tr>
      <w:tr w:rsidR="00BB0401" w:rsidRPr="007E3D1A" w14:paraId="2569FD8B" w14:textId="77777777" w:rsidTr="00730A4A">
        <w:tc>
          <w:tcPr>
            <w:tcW w:w="1736" w:type="dxa"/>
            <w:shd w:val="clear" w:color="auto" w:fill="auto"/>
          </w:tcPr>
          <w:p w14:paraId="1674901E" w14:textId="77777777" w:rsidR="00871A3A" w:rsidRPr="00730A4A" w:rsidRDefault="00871A3A" w:rsidP="00BB0401">
            <w:pPr>
              <w:rPr>
                <w:rFonts w:eastAsia="Calibri" w:cs="Arial"/>
                <w:sz w:val="22"/>
                <w:lang w:val="en-US"/>
              </w:rPr>
            </w:pPr>
            <w:r w:rsidRPr="00730A4A">
              <w:rPr>
                <w:rFonts w:eastAsia="Calibri" w:cs="Arial"/>
                <w:sz w:val="22"/>
                <w:lang w:val="en-US"/>
              </w:rPr>
              <w:t>Fonctionnement</w:t>
            </w:r>
          </w:p>
          <w:p w14:paraId="10C97F3B" w14:textId="77777777" w:rsidR="00871A3A" w:rsidRPr="00730A4A" w:rsidRDefault="00871A3A" w:rsidP="00BB0401">
            <w:pPr>
              <w:rPr>
                <w:rFonts w:eastAsia="Calibri" w:cs="Arial"/>
                <w:sz w:val="22"/>
                <w:lang w:val="en-US"/>
              </w:rPr>
            </w:pPr>
            <w:r w:rsidRPr="00730A4A">
              <w:rPr>
                <w:rFonts w:eastAsia="Calibri" w:cs="Arial"/>
                <w:sz w:val="22"/>
                <w:lang w:val="en-US"/>
              </w:rPr>
              <w:t>des infrastructures</w:t>
            </w:r>
          </w:p>
          <w:p w14:paraId="1D22B3FB" w14:textId="77777777" w:rsidR="00871A3A" w:rsidRPr="00730A4A" w:rsidRDefault="00871A3A" w:rsidP="00BB0401">
            <w:pPr>
              <w:rPr>
                <w:rFonts w:eastAsia="Calibri" w:cs="Arial"/>
                <w:sz w:val="22"/>
                <w:lang w:val="en-US"/>
              </w:rPr>
            </w:pPr>
          </w:p>
        </w:tc>
        <w:tc>
          <w:tcPr>
            <w:tcW w:w="4468" w:type="dxa"/>
            <w:shd w:val="clear" w:color="auto" w:fill="auto"/>
          </w:tcPr>
          <w:p w14:paraId="575F6AD7" w14:textId="77777777" w:rsidR="00871A3A" w:rsidRPr="00730A4A" w:rsidRDefault="00871A3A" w:rsidP="00BB0401">
            <w:pPr>
              <w:rPr>
                <w:rFonts w:cs="Arial"/>
                <w:sz w:val="22"/>
              </w:rPr>
            </w:pPr>
            <w:r w:rsidRPr="00730A4A">
              <w:rPr>
                <w:rFonts w:cs="Arial"/>
                <w:sz w:val="22"/>
              </w:rPr>
              <w:t>Y a-t-il des risques de pollution des eaux souterraines ?</w:t>
            </w:r>
          </w:p>
          <w:p w14:paraId="02929EF7" w14:textId="77777777" w:rsidR="00871A3A" w:rsidRPr="00730A4A" w:rsidRDefault="00871A3A" w:rsidP="00BB0401">
            <w:pPr>
              <w:rPr>
                <w:rFonts w:cs="Arial"/>
                <w:sz w:val="22"/>
              </w:rPr>
            </w:pPr>
            <w:r w:rsidRPr="00730A4A">
              <w:rPr>
                <w:rFonts w:cs="Arial"/>
                <w:sz w:val="22"/>
              </w:rPr>
              <w:t>Y a-t-il des zones écologiques sensibles dans les environs de l’infrastructure éducative qui pourraient être impactés négativement?</w:t>
            </w:r>
          </w:p>
          <w:p w14:paraId="4DE90993" w14:textId="77777777" w:rsidR="00871A3A" w:rsidRPr="00730A4A" w:rsidRDefault="00871A3A" w:rsidP="00BB0401">
            <w:pPr>
              <w:rPr>
                <w:rFonts w:cs="Arial"/>
                <w:sz w:val="22"/>
              </w:rPr>
            </w:pPr>
            <w:r w:rsidRPr="00730A4A">
              <w:rPr>
                <w:rFonts w:cs="Arial"/>
                <w:sz w:val="22"/>
              </w:rPr>
              <w:t>Y a-t-il des impacts causés par les polluants par fumée ou par air, des gaz toxiques ou des résidus de cendres provenant des destructions par le feu?</w:t>
            </w:r>
          </w:p>
          <w:p w14:paraId="00212DD1" w14:textId="77777777" w:rsidR="00871A3A" w:rsidRPr="00730A4A" w:rsidRDefault="00871A3A" w:rsidP="00BB0401">
            <w:pPr>
              <w:rPr>
                <w:rFonts w:cs="Arial"/>
                <w:sz w:val="22"/>
              </w:rPr>
            </w:pPr>
            <w:r w:rsidRPr="00730A4A">
              <w:rPr>
                <w:rFonts w:cs="Arial"/>
                <w:sz w:val="22"/>
              </w:rPr>
              <w:t>Y a-t-il des impacts sur la santé du public et la santé du personnel des infrastructures éducatives?</w:t>
            </w:r>
          </w:p>
          <w:p w14:paraId="13E75424" w14:textId="77777777" w:rsidR="00871A3A" w:rsidRPr="00730A4A" w:rsidRDefault="00871A3A" w:rsidP="00BB0401">
            <w:pPr>
              <w:rPr>
                <w:rFonts w:cs="Arial"/>
                <w:sz w:val="22"/>
              </w:rPr>
            </w:pPr>
            <w:r w:rsidRPr="00730A4A">
              <w:rPr>
                <w:rFonts w:cs="Arial"/>
                <w:sz w:val="22"/>
              </w:rPr>
              <w:t>Y a-t-il des impacts visuels sur les pratiques de transport, de traitement et d’évacuation des déchets?</w:t>
            </w:r>
          </w:p>
          <w:p w14:paraId="2C9398CF" w14:textId="77777777" w:rsidR="00871A3A" w:rsidRPr="00730A4A" w:rsidRDefault="00871A3A" w:rsidP="00BB0401">
            <w:pPr>
              <w:rPr>
                <w:rFonts w:cs="Arial"/>
                <w:sz w:val="22"/>
              </w:rPr>
            </w:pPr>
            <w:r w:rsidRPr="00730A4A">
              <w:rPr>
                <w:rFonts w:cs="Arial"/>
                <w:sz w:val="22"/>
              </w:rPr>
              <w:t>Y a-t-il des odeurs provenant de la</w:t>
            </w:r>
          </w:p>
          <w:p w14:paraId="355A1A18" w14:textId="77777777" w:rsidR="00871A3A" w:rsidRPr="00730A4A" w:rsidRDefault="00871A3A" w:rsidP="00BB0401">
            <w:pPr>
              <w:rPr>
                <w:rFonts w:cs="Arial"/>
                <w:sz w:val="22"/>
              </w:rPr>
            </w:pPr>
            <w:r w:rsidRPr="00730A4A">
              <w:rPr>
                <w:rFonts w:cs="Arial"/>
                <w:sz w:val="22"/>
              </w:rPr>
              <w:t>dégradation des déchets?</w:t>
            </w:r>
          </w:p>
          <w:p w14:paraId="5CA7CF0D" w14:textId="77777777" w:rsidR="00871A3A" w:rsidRPr="00730A4A" w:rsidRDefault="00871A3A" w:rsidP="00BB0401">
            <w:pPr>
              <w:rPr>
                <w:rFonts w:eastAsia="Calibri" w:cs="Arial"/>
                <w:sz w:val="22"/>
              </w:rPr>
            </w:pPr>
            <w:r w:rsidRPr="00730A4A">
              <w:rPr>
                <w:rFonts w:cs="Arial"/>
                <w:sz w:val="22"/>
              </w:rPr>
              <w:t>Y a-t-il des établissements humains et des usages de la terre (comme l’agriculture, le pâturage, les terrains de récréation) près des infrastructures éducatives, ou des sites d’importance culturelle, religieuse, ou historique?</w:t>
            </w:r>
          </w:p>
        </w:tc>
        <w:tc>
          <w:tcPr>
            <w:tcW w:w="708" w:type="dxa"/>
            <w:shd w:val="clear" w:color="auto" w:fill="auto"/>
          </w:tcPr>
          <w:p w14:paraId="2CBF18BD" w14:textId="77777777" w:rsidR="00871A3A" w:rsidRPr="00730A4A" w:rsidRDefault="00871A3A" w:rsidP="00BB0401">
            <w:pPr>
              <w:rPr>
                <w:rFonts w:eastAsia="Calibri" w:cs="Arial"/>
                <w:sz w:val="22"/>
              </w:rPr>
            </w:pPr>
          </w:p>
        </w:tc>
        <w:tc>
          <w:tcPr>
            <w:tcW w:w="843" w:type="dxa"/>
            <w:shd w:val="clear" w:color="auto" w:fill="auto"/>
          </w:tcPr>
          <w:p w14:paraId="3A24DD88" w14:textId="77777777" w:rsidR="00871A3A" w:rsidRPr="00730A4A" w:rsidRDefault="00871A3A" w:rsidP="00BB0401">
            <w:pPr>
              <w:rPr>
                <w:rFonts w:eastAsia="Calibri" w:cs="Arial"/>
                <w:sz w:val="22"/>
              </w:rPr>
            </w:pPr>
          </w:p>
        </w:tc>
        <w:tc>
          <w:tcPr>
            <w:tcW w:w="1992" w:type="dxa"/>
            <w:shd w:val="clear" w:color="auto" w:fill="auto"/>
          </w:tcPr>
          <w:p w14:paraId="33538033" w14:textId="77777777" w:rsidR="00871A3A" w:rsidRPr="00730A4A" w:rsidRDefault="00871A3A" w:rsidP="00730A4A">
            <w:pPr>
              <w:jc w:val="left"/>
              <w:rPr>
                <w:rFonts w:eastAsia="Calibri" w:cs="Arial"/>
                <w:sz w:val="22"/>
              </w:rPr>
            </w:pPr>
            <w:r w:rsidRPr="00730A4A">
              <w:rPr>
                <w:rFonts w:cs="Arial"/>
                <w:sz w:val="22"/>
              </w:rPr>
              <w:t>Si Oui, s’inspirer des mesures adéquates d’atténuation décrite dans le paragraphe 5.4.1</w:t>
            </w:r>
          </w:p>
        </w:tc>
      </w:tr>
    </w:tbl>
    <w:p w14:paraId="6E308F3E" w14:textId="77777777" w:rsidR="00871A3A" w:rsidRPr="007E3D1A" w:rsidRDefault="00871A3A" w:rsidP="00871A3A">
      <w:pPr>
        <w:rPr>
          <w:rFonts w:cs="Arial"/>
          <w:sz w:val="22"/>
        </w:rPr>
      </w:pPr>
    </w:p>
    <w:p w14:paraId="57F41DE1" w14:textId="77777777" w:rsidR="00871A3A" w:rsidRPr="007E3D1A" w:rsidRDefault="00871A3A" w:rsidP="00871A3A">
      <w:pPr>
        <w:rPr>
          <w:rFonts w:cs="Arial"/>
          <w:sz w:val="22"/>
        </w:rPr>
      </w:pPr>
    </w:p>
    <w:p w14:paraId="4B2B315B" w14:textId="77777777" w:rsidR="00871A3A" w:rsidRPr="007E3D1A" w:rsidRDefault="00871A3A" w:rsidP="00871A3A">
      <w:pPr>
        <w:rPr>
          <w:rFonts w:cs="Arial"/>
          <w:sz w:val="22"/>
        </w:rPr>
      </w:pPr>
      <w:r w:rsidRPr="007E3D1A">
        <w:rPr>
          <w:rFonts w:cs="Arial"/>
          <w:sz w:val="22"/>
        </w:rPr>
        <w:t>Nota : la liste de contrôle environnemental et social doit aider aussi à mieux apprécier les résultats issus de l’analyse du formulaire de sélection environnementale et sociale défini en Annexe 1 ci-dessus</w:t>
      </w:r>
    </w:p>
    <w:p w14:paraId="53114A1F" w14:textId="77777777" w:rsidR="00871A3A" w:rsidRPr="00871A3A" w:rsidRDefault="00871A3A" w:rsidP="00871A3A">
      <w:pPr>
        <w:ind w:left="1418" w:hanging="1418"/>
        <w:rPr>
          <w:rFonts w:cs="Arial"/>
          <w:b/>
          <w:sz w:val="22"/>
        </w:rPr>
      </w:pPr>
      <w:r w:rsidRPr="007E3D1A">
        <w:rPr>
          <w:rFonts w:cs="Arial"/>
          <w:sz w:val="22"/>
        </w:rPr>
        <w:br w:type="page"/>
      </w:r>
      <w:r w:rsidRPr="00871A3A">
        <w:rPr>
          <w:rFonts w:cs="Arial"/>
          <w:b/>
          <w:sz w:val="22"/>
        </w:rPr>
        <w:t xml:space="preserve">ANNEXE 3. CLAUSES ENVIRONNEMENTALES, SOCIALES, SANITAIRES (ESSS OU E3S) </w:t>
      </w:r>
    </w:p>
    <w:p w14:paraId="59556DD6" w14:textId="77777777" w:rsidR="00871A3A" w:rsidRPr="007E3D1A" w:rsidRDefault="00871A3A" w:rsidP="00871A3A">
      <w:pPr>
        <w:rPr>
          <w:rFonts w:cs="Arial"/>
          <w:sz w:val="22"/>
        </w:rPr>
      </w:pPr>
    </w:p>
    <w:p w14:paraId="3D639E22" w14:textId="77777777" w:rsidR="00871A3A" w:rsidRPr="00871A3A" w:rsidRDefault="00871A3A" w:rsidP="002378EA">
      <w:pPr>
        <w:pStyle w:val="Paragraphedeliste"/>
        <w:numPr>
          <w:ilvl w:val="0"/>
          <w:numId w:val="168"/>
        </w:numPr>
        <w:rPr>
          <w:rFonts w:cs="Arial"/>
          <w:b/>
          <w:sz w:val="22"/>
          <w:u w:val="single"/>
        </w:rPr>
      </w:pPr>
      <w:r w:rsidRPr="00871A3A">
        <w:rPr>
          <w:rFonts w:cs="Arial"/>
          <w:b/>
          <w:sz w:val="22"/>
          <w:u w:val="single"/>
        </w:rPr>
        <w:t>Dispositions préalables pour l’exécution des travaux</w:t>
      </w:r>
    </w:p>
    <w:p w14:paraId="31B64DB4" w14:textId="77777777" w:rsidR="00871A3A" w:rsidRPr="007E3D1A" w:rsidRDefault="00871A3A" w:rsidP="00871A3A">
      <w:pPr>
        <w:rPr>
          <w:rFonts w:cs="Arial"/>
          <w:sz w:val="22"/>
        </w:rPr>
      </w:pPr>
    </w:p>
    <w:p w14:paraId="39CFB394" w14:textId="77777777" w:rsidR="00871A3A" w:rsidRPr="00871A3A" w:rsidRDefault="00871A3A" w:rsidP="00871A3A">
      <w:pPr>
        <w:rPr>
          <w:rFonts w:cs="Arial"/>
          <w:b/>
          <w:i/>
          <w:sz w:val="22"/>
        </w:rPr>
      </w:pPr>
      <w:r w:rsidRPr="00871A3A">
        <w:rPr>
          <w:rFonts w:cs="Arial"/>
          <w:b/>
          <w:i/>
          <w:sz w:val="22"/>
        </w:rPr>
        <w:t xml:space="preserve">Processus de contractualisation des clauses environnementales et sociales pour les entrepreneurs. </w:t>
      </w:r>
    </w:p>
    <w:p w14:paraId="70290FA7" w14:textId="77777777" w:rsidR="00871A3A" w:rsidRPr="007E3D1A" w:rsidRDefault="00871A3A" w:rsidP="00871A3A">
      <w:pPr>
        <w:rPr>
          <w:rFonts w:cs="Arial"/>
          <w:sz w:val="22"/>
        </w:rPr>
      </w:pPr>
    </w:p>
    <w:p w14:paraId="724A602B" w14:textId="77777777" w:rsidR="00871A3A" w:rsidRDefault="00871A3A" w:rsidP="00871A3A">
      <w:pPr>
        <w:rPr>
          <w:rFonts w:cs="Arial"/>
          <w:sz w:val="22"/>
        </w:rPr>
      </w:pPr>
      <w:r w:rsidRPr="007E3D1A">
        <w:rPr>
          <w:rFonts w:cs="Arial"/>
          <w:sz w:val="22"/>
        </w:rPr>
        <w:t>Ce processus devra aussi être repris dans le Processus de Gestion de la Main-d’œuvre.</w:t>
      </w:r>
    </w:p>
    <w:p w14:paraId="2A583E0B" w14:textId="77777777" w:rsidR="00871A3A" w:rsidRPr="00871A3A" w:rsidRDefault="00871A3A" w:rsidP="00871A3A">
      <w:pPr>
        <w:pStyle w:val="Paragraphedeliste"/>
        <w:autoSpaceDE w:val="0"/>
        <w:autoSpaceDN w:val="0"/>
        <w:adjustRightInd w:val="0"/>
        <w:rPr>
          <w:rFonts w:cs="Arial"/>
          <w:color w:val="000000"/>
          <w:sz w:val="22"/>
        </w:rPr>
      </w:pPr>
    </w:p>
    <w:p w14:paraId="1650FF8B"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Les appels à propositions (DAO) pour les travaux référeront aux exigences E3S (voir Annexe ci-jointe)</w:t>
      </w:r>
    </w:p>
    <w:p w14:paraId="3C683F47"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Les soumissionnaires soumettront un plan environnemental et social préliminaire dans le cadre de leurs offres, décrivant les principes et la méthodologie qu'ils utiliseront pour traiter les questions environnementales, sociales, de santé et de sécurité dans le cadre du contrat, et incluront tous les coûts associés à la gestion des questions environnementales et sociales dans leurs offres.</w:t>
      </w:r>
    </w:p>
    <w:p w14:paraId="06506116"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La qualité du plan environnemental et social préliminaire, les performances environnementales et sociales passées des soumissionnaires, ainsi que leur capacité à gérer les questions environnementales et sociales, seront pris en compte lors de la sélection des entreprises.</w:t>
      </w:r>
    </w:p>
    <w:p w14:paraId="54A937BF"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Les entreprises sélectionnées prépareront un Plan de Gestion Environnementale et Sociale qui leur est spécifique (PGES-Entreprise), détaillant la manière dont les critères environnementaux et sociaux minimums seront mis en œuvre, y compris les procédures de mise en œuvre et le personnel requis.</w:t>
      </w:r>
    </w:p>
    <w:p w14:paraId="7ACC8169"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L’UNCP devra approuver le PGES de chaque entreprise avant que celle-ci puisse démarrer ses activités.</w:t>
      </w:r>
    </w:p>
    <w:p w14:paraId="128D8FFC"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Le PGES préparé par chaque entreprise servira de référence lors du suivi et de l’évaluation de sa performance environnementale et sociale.</w:t>
      </w:r>
    </w:p>
    <w:p w14:paraId="5BD96D51" w14:textId="77777777" w:rsidR="00871A3A" w:rsidRPr="007E3D1A" w:rsidRDefault="00871A3A" w:rsidP="00871A3A">
      <w:pPr>
        <w:rPr>
          <w:rFonts w:cs="Arial"/>
          <w:sz w:val="22"/>
        </w:rPr>
      </w:pPr>
    </w:p>
    <w:p w14:paraId="3F43B429" w14:textId="77777777" w:rsidR="00871A3A" w:rsidRPr="00871A3A" w:rsidRDefault="00871A3A" w:rsidP="00871A3A">
      <w:pPr>
        <w:rPr>
          <w:rFonts w:cs="Arial"/>
          <w:b/>
          <w:i/>
          <w:sz w:val="22"/>
        </w:rPr>
      </w:pPr>
      <w:r w:rsidRPr="00871A3A">
        <w:rPr>
          <w:rFonts w:cs="Arial"/>
          <w:b/>
          <w:i/>
          <w:sz w:val="22"/>
        </w:rPr>
        <w:t>Prescriptions Environnementales, Sociales, Sanitaires et Sécuritaires (E3S)</w:t>
      </w:r>
      <w:r w:rsidRPr="00871A3A">
        <w:rPr>
          <w:rFonts w:cs="Arial"/>
          <w:b/>
          <w:i/>
          <w:sz w:val="22"/>
        </w:rPr>
        <w:br/>
        <w:t>applicables aux entreprises impliquées dans le PNDA</w:t>
      </w:r>
    </w:p>
    <w:p w14:paraId="23636CC7" w14:textId="77777777" w:rsidR="00871A3A" w:rsidRPr="007E3D1A" w:rsidRDefault="00871A3A" w:rsidP="00871A3A">
      <w:pPr>
        <w:rPr>
          <w:rFonts w:cs="Arial"/>
          <w:sz w:val="22"/>
        </w:rPr>
      </w:pPr>
    </w:p>
    <w:p w14:paraId="3850C6A4" w14:textId="77777777" w:rsidR="00871A3A" w:rsidRPr="007E3D1A" w:rsidRDefault="00871A3A" w:rsidP="00871A3A">
      <w:pPr>
        <w:rPr>
          <w:rFonts w:cs="Arial"/>
          <w:sz w:val="22"/>
        </w:rPr>
      </w:pPr>
      <w:r w:rsidRPr="007E3D1A">
        <w:rPr>
          <w:rFonts w:cs="Arial"/>
          <w:sz w:val="22"/>
        </w:rPr>
        <w:t>Cette annexe définit les prescriptions minimales concernant les mesures d'atténuation des risques environnementaux, sociaux, sanitaires, et sécuritaires (E3S), que les entreprises doivent prendre en considération lors de la préparation de leur PGES.</w:t>
      </w:r>
    </w:p>
    <w:p w14:paraId="0DE14BD6" w14:textId="77777777" w:rsidR="00871A3A" w:rsidRPr="007E3D1A" w:rsidRDefault="00871A3A" w:rsidP="00871A3A">
      <w:pPr>
        <w:rPr>
          <w:rFonts w:cs="Arial"/>
          <w:sz w:val="22"/>
        </w:rPr>
      </w:pPr>
    </w:p>
    <w:p w14:paraId="17270472" w14:textId="77777777" w:rsidR="00871A3A" w:rsidRPr="007E3D1A" w:rsidRDefault="00871A3A" w:rsidP="00871A3A">
      <w:pPr>
        <w:rPr>
          <w:rFonts w:cs="Arial"/>
          <w:sz w:val="22"/>
        </w:rPr>
      </w:pPr>
      <w:r w:rsidRPr="007E3D1A">
        <w:rPr>
          <w:rFonts w:cs="Arial"/>
          <w:sz w:val="22"/>
        </w:rPr>
        <w:t>Dispositions Générales</w:t>
      </w:r>
    </w:p>
    <w:p w14:paraId="4EE249A1" w14:textId="77777777" w:rsidR="00871A3A" w:rsidRPr="007E3D1A" w:rsidRDefault="00871A3A" w:rsidP="00871A3A">
      <w:pPr>
        <w:rPr>
          <w:rFonts w:cs="Arial"/>
          <w:sz w:val="22"/>
        </w:rPr>
      </w:pPr>
    </w:p>
    <w:p w14:paraId="5A2F7283" w14:textId="77777777" w:rsidR="00871A3A" w:rsidRPr="007E3D1A" w:rsidRDefault="00871A3A" w:rsidP="00871A3A">
      <w:pPr>
        <w:rPr>
          <w:rFonts w:cs="Arial"/>
          <w:sz w:val="22"/>
        </w:rPr>
      </w:pPr>
      <w:r w:rsidRPr="007E3D1A">
        <w:rPr>
          <w:rFonts w:cs="Arial"/>
          <w:sz w:val="22"/>
        </w:rPr>
        <w:t>Plan de Gestion de l’Entreprise</w:t>
      </w:r>
    </w:p>
    <w:p w14:paraId="6949014D" w14:textId="77777777" w:rsidR="00871A3A" w:rsidRPr="007E3D1A" w:rsidRDefault="00871A3A" w:rsidP="00871A3A">
      <w:pPr>
        <w:rPr>
          <w:rFonts w:cs="Arial"/>
          <w:sz w:val="22"/>
        </w:rPr>
      </w:pPr>
    </w:p>
    <w:p w14:paraId="30C3CE86" w14:textId="77777777" w:rsidR="00871A3A" w:rsidRPr="007E3D1A" w:rsidRDefault="00871A3A" w:rsidP="00871A3A">
      <w:pPr>
        <w:rPr>
          <w:rFonts w:cs="Arial"/>
          <w:sz w:val="22"/>
        </w:rPr>
      </w:pPr>
      <w:r w:rsidRPr="007E3D1A">
        <w:rPr>
          <w:rFonts w:cs="Arial"/>
          <w:sz w:val="22"/>
        </w:rPr>
        <w:t>L’Entreprise doit établir et soumettre à l'approbation du Maître d’Ouvrage délégué un Plan détaillant comment l’Entreprise (PGES-Entreprise) satisfera les prescriptions environnementales, sociales, sanitaires, et sécuritaires (E3S).  Ce Plan comprendra les sections suivantes :</w:t>
      </w:r>
    </w:p>
    <w:p w14:paraId="62D6C591" w14:textId="77777777" w:rsidR="00871A3A" w:rsidRDefault="00871A3A" w:rsidP="00871A3A">
      <w:pPr>
        <w:rPr>
          <w:rFonts w:cs="Arial"/>
          <w:sz w:val="22"/>
        </w:rPr>
      </w:pPr>
    </w:p>
    <w:p w14:paraId="6466322D" w14:textId="77777777" w:rsidR="00871A3A" w:rsidRPr="007E3D1A" w:rsidRDefault="00871A3A" w:rsidP="00871A3A">
      <w:pPr>
        <w:rPr>
          <w:rFonts w:cs="Arial"/>
          <w:sz w:val="22"/>
        </w:rPr>
      </w:pPr>
      <w:r w:rsidRPr="007E3D1A">
        <w:rPr>
          <w:rFonts w:cs="Arial"/>
          <w:sz w:val="22"/>
        </w:rPr>
        <w:t>Formation E3S :</w:t>
      </w:r>
    </w:p>
    <w:p w14:paraId="3F9FD4C5" w14:textId="77777777" w:rsidR="00871A3A" w:rsidRPr="007E3D1A" w:rsidRDefault="00871A3A" w:rsidP="00871A3A">
      <w:pPr>
        <w:rPr>
          <w:rFonts w:cs="Arial"/>
          <w:sz w:val="22"/>
        </w:rPr>
      </w:pPr>
    </w:p>
    <w:p w14:paraId="71B25D09"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Gestion des Installations et Chantiers</w:t>
      </w:r>
    </w:p>
    <w:p w14:paraId="62A80972"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Gestion de la Sécurité au Travail</w:t>
      </w:r>
    </w:p>
    <w:p w14:paraId="637F38E6"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Gestion de la Santé</w:t>
      </w:r>
    </w:p>
    <w:p w14:paraId="22B6AB45"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Gestion de la Main-D'œuvre</w:t>
      </w:r>
    </w:p>
    <w:p w14:paraId="54D53621"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Préparation et Réponse aux Urgences</w:t>
      </w:r>
    </w:p>
    <w:p w14:paraId="128A7572"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Sécurité Extérieure des Chantiers, Installations, et des Personnes</w:t>
      </w:r>
    </w:p>
    <w:p w14:paraId="64C847A4"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Engagement des Parties Prenantes</w:t>
      </w:r>
    </w:p>
    <w:p w14:paraId="72714561"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Suivi Environnemental et Socia</w:t>
      </w:r>
      <w:r>
        <w:rPr>
          <w:rFonts w:cs="Arial"/>
          <w:color w:val="000000"/>
          <w:sz w:val="22"/>
        </w:rPr>
        <w:t>l</w:t>
      </w:r>
    </w:p>
    <w:p w14:paraId="7E7F7C2B" w14:textId="77777777" w:rsidR="00871A3A" w:rsidRPr="00871A3A" w:rsidRDefault="00871A3A" w:rsidP="00871A3A">
      <w:pPr>
        <w:rPr>
          <w:rFonts w:cs="Arial"/>
          <w:i/>
          <w:sz w:val="22"/>
        </w:rPr>
      </w:pPr>
    </w:p>
    <w:p w14:paraId="7BCB670B" w14:textId="77777777" w:rsidR="00871A3A" w:rsidRPr="00871A3A" w:rsidRDefault="00871A3A" w:rsidP="00871A3A">
      <w:pPr>
        <w:rPr>
          <w:rFonts w:cs="Arial"/>
          <w:b/>
          <w:i/>
          <w:sz w:val="22"/>
        </w:rPr>
      </w:pPr>
      <w:r w:rsidRPr="00871A3A">
        <w:rPr>
          <w:rFonts w:cs="Arial"/>
          <w:b/>
          <w:i/>
          <w:sz w:val="22"/>
        </w:rPr>
        <w:t>L’Entreprise  doit se conformer au PGES approuvé par le Maitre d’Ouvrage Délégué.</w:t>
      </w:r>
    </w:p>
    <w:p w14:paraId="453D00B7" w14:textId="77777777" w:rsidR="00871A3A" w:rsidRPr="007E3D1A" w:rsidRDefault="00871A3A" w:rsidP="00871A3A">
      <w:pPr>
        <w:rPr>
          <w:rFonts w:cs="Arial"/>
          <w:sz w:val="22"/>
        </w:rPr>
      </w:pPr>
    </w:p>
    <w:p w14:paraId="50513FBA" w14:textId="77777777" w:rsidR="00871A3A" w:rsidRPr="00871A3A" w:rsidRDefault="00871A3A" w:rsidP="00871A3A">
      <w:pPr>
        <w:rPr>
          <w:rFonts w:cs="Arial"/>
          <w:b/>
          <w:sz w:val="22"/>
        </w:rPr>
      </w:pPr>
      <w:r w:rsidRPr="00871A3A">
        <w:rPr>
          <w:rFonts w:cs="Arial"/>
          <w:b/>
          <w:sz w:val="22"/>
        </w:rPr>
        <w:t xml:space="preserve">Responsable Hygiène, Sécurité et Environnement </w:t>
      </w:r>
    </w:p>
    <w:p w14:paraId="580694D7" w14:textId="77777777" w:rsidR="00871A3A" w:rsidRPr="007E3D1A" w:rsidRDefault="00871A3A" w:rsidP="00871A3A">
      <w:pPr>
        <w:rPr>
          <w:rFonts w:cs="Arial"/>
          <w:sz w:val="22"/>
        </w:rPr>
      </w:pPr>
    </w:p>
    <w:p w14:paraId="0F88E6E2" w14:textId="77777777" w:rsidR="00871A3A" w:rsidRPr="007E3D1A" w:rsidRDefault="00871A3A" w:rsidP="00871A3A">
      <w:pPr>
        <w:rPr>
          <w:rFonts w:cs="Arial"/>
          <w:sz w:val="22"/>
        </w:rPr>
      </w:pPr>
      <w:r w:rsidRPr="007E3D1A">
        <w:rPr>
          <w:rFonts w:cs="Arial"/>
          <w:sz w:val="22"/>
        </w:rPr>
        <w:t>L’Entreprise doit :</w:t>
      </w:r>
    </w:p>
    <w:p w14:paraId="120E195D" w14:textId="77777777" w:rsidR="00871A3A" w:rsidRPr="007E3D1A" w:rsidRDefault="00871A3A" w:rsidP="00871A3A">
      <w:pPr>
        <w:rPr>
          <w:rFonts w:cs="Arial"/>
          <w:sz w:val="22"/>
        </w:rPr>
      </w:pPr>
    </w:p>
    <w:p w14:paraId="41EFAD2C" w14:textId="77777777" w:rsidR="00871A3A" w:rsidRPr="007E3D1A" w:rsidRDefault="00871A3A" w:rsidP="00871A3A">
      <w:pPr>
        <w:rPr>
          <w:rFonts w:cs="Arial"/>
          <w:sz w:val="22"/>
        </w:rPr>
      </w:pPr>
      <w:r w:rsidRPr="007E3D1A">
        <w:rPr>
          <w:rFonts w:cs="Arial"/>
          <w:sz w:val="22"/>
        </w:rPr>
        <w:t>Désigner un responsable 3SE qui veillera à ce les prescriptions 3SE soient rigoureusement suivies par tous et à tous les niveaux d’exécution, tant pour les employés de l’Entreprise que pour la population et autres personnes en contact avec le chantier.</w:t>
      </w:r>
    </w:p>
    <w:p w14:paraId="22D34727" w14:textId="77777777" w:rsidR="00871A3A" w:rsidRPr="007E3D1A" w:rsidRDefault="00871A3A" w:rsidP="00871A3A">
      <w:pPr>
        <w:rPr>
          <w:rFonts w:cs="Arial"/>
          <w:sz w:val="22"/>
        </w:rPr>
      </w:pPr>
    </w:p>
    <w:p w14:paraId="1E5D78AA" w14:textId="77777777" w:rsidR="00871A3A" w:rsidRPr="00871A3A" w:rsidRDefault="00871A3A" w:rsidP="00871A3A">
      <w:pPr>
        <w:rPr>
          <w:rFonts w:cs="Arial"/>
          <w:b/>
          <w:sz w:val="22"/>
        </w:rPr>
      </w:pPr>
      <w:r w:rsidRPr="00871A3A">
        <w:rPr>
          <w:rFonts w:cs="Arial"/>
          <w:b/>
          <w:sz w:val="22"/>
        </w:rPr>
        <w:t>Respect des Lois, Règlements, et Normes Nationales</w:t>
      </w:r>
    </w:p>
    <w:p w14:paraId="02EACEE7" w14:textId="77777777" w:rsidR="00871A3A" w:rsidRPr="007E3D1A" w:rsidRDefault="00871A3A" w:rsidP="00871A3A">
      <w:pPr>
        <w:rPr>
          <w:rFonts w:cs="Arial"/>
          <w:sz w:val="22"/>
        </w:rPr>
      </w:pPr>
    </w:p>
    <w:p w14:paraId="05102FCA" w14:textId="77777777" w:rsidR="00871A3A" w:rsidRPr="007E3D1A" w:rsidRDefault="00871A3A" w:rsidP="00871A3A">
      <w:pPr>
        <w:rPr>
          <w:rFonts w:cs="Arial"/>
          <w:sz w:val="22"/>
        </w:rPr>
      </w:pPr>
      <w:r w:rsidRPr="007E3D1A">
        <w:rPr>
          <w:rFonts w:cs="Arial"/>
          <w:sz w:val="22"/>
        </w:rPr>
        <w:t>L’Entreprise et ses sous-traitants doivent :</w:t>
      </w:r>
    </w:p>
    <w:p w14:paraId="590610E1" w14:textId="77777777" w:rsidR="00871A3A" w:rsidRPr="007E3D1A" w:rsidRDefault="00871A3A" w:rsidP="00871A3A">
      <w:pPr>
        <w:rPr>
          <w:rFonts w:cs="Arial"/>
          <w:sz w:val="22"/>
        </w:rPr>
      </w:pPr>
    </w:p>
    <w:p w14:paraId="58C276EC" w14:textId="77777777" w:rsidR="00871A3A" w:rsidRPr="007E3D1A" w:rsidRDefault="00871A3A" w:rsidP="00871A3A">
      <w:pPr>
        <w:rPr>
          <w:rFonts w:cs="Arial"/>
          <w:sz w:val="22"/>
        </w:rPr>
      </w:pPr>
      <w:r w:rsidRPr="007E3D1A">
        <w:rPr>
          <w:rFonts w:cs="Arial"/>
          <w:sz w:val="22"/>
        </w:rPr>
        <w:t>Connaître, respecter et appliquer les lois, règlements, et normes en vigueur au Niger relatifs à l’environnement, ainsi qu’aux aspects sociaux, sanitaires et sécuritaires ; et</w:t>
      </w:r>
    </w:p>
    <w:p w14:paraId="37591B92" w14:textId="77777777" w:rsidR="00871A3A" w:rsidRPr="007E3D1A" w:rsidRDefault="00871A3A" w:rsidP="00871A3A">
      <w:pPr>
        <w:rPr>
          <w:rFonts w:cs="Arial"/>
          <w:sz w:val="22"/>
        </w:rPr>
      </w:pPr>
      <w:r w:rsidRPr="007E3D1A">
        <w:rPr>
          <w:rFonts w:cs="Arial"/>
          <w:sz w:val="22"/>
        </w:rPr>
        <w:t>Assumer entière responsabilité pour toute réclamation liée à une activité sous leur contrôle qui n’a pas respecté ces lois, règlements, ou normes.</w:t>
      </w:r>
    </w:p>
    <w:p w14:paraId="70836FBA" w14:textId="77777777" w:rsidR="00871A3A" w:rsidRPr="007E3D1A" w:rsidRDefault="00871A3A" w:rsidP="00871A3A">
      <w:pPr>
        <w:rPr>
          <w:rFonts w:cs="Arial"/>
          <w:sz w:val="22"/>
        </w:rPr>
      </w:pPr>
    </w:p>
    <w:p w14:paraId="7D621B8B" w14:textId="77777777" w:rsidR="00871A3A" w:rsidRPr="00871A3A" w:rsidRDefault="00871A3A" w:rsidP="00871A3A">
      <w:pPr>
        <w:rPr>
          <w:rFonts w:cs="Arial"/>
          <w:b/>
          <w:sz w:val="22"/>
        </w:rPr>
      </w:pPr>
      <w:r w:rsidRPr="00871A3A">
        <w:rPr>
          <w:rFonts w:cs="Arial"/>
          <w:b/>
          <w:sz w:val="22"/>
        </w:rPr>
        <w:t>Obligations Contractuelles</w:t>
      </w:r>
    </w:p>
    <w:p w14:paraId="37C78FC5" w14:textId="77777777" w:rsidR="00871A3A" w:rsidRPr="007E3D1A" w:rsidRDefault="00871A3A" w:rsidP="00871A3A">
      <w:pPr>
        <w:rPr>
          <w:rFonts w:cs="Arial"/>
          <w:sz w:val="22"/>
        </w:rPr>
      </w:pPr>
    </w:p>
    <w:p w14:paraId="7DE33E2C" w14:textId="77777777" w:rsidR="00871A3A" w:rsidRPr="007E3D1A" w:rsidRDefault="00871A3A" w:rsidP="00871A3A">
      <w:pPr>
        <w:rPr>
          <w:rFonts w:cs="Arial"/>
          <w:sz w:val="22"/>
        </w:rPr>
      </w:pPr>
      <w:r w:rsidRPr="007E3D1A">
        <w:rPr>
          <w:rFonts w:cs="Arial"/>
          <w:sz w:val="22"/>
        </w:rPr>
        <w:t>L’Entreprise doit :</w:t>
      </w:r>
    </w:p>
    <w:p w14:paraId="11D51460" w14:textId="77777777" w:rsidR="00871A3A" w:rsidRPr="007E3D1A" w:rsidRDefault="00871A3A" w:rsidP="00871A3A">
      <w:pPr>
        <w:rPr>
          <w:rFonts w:cs="Arial"/>
          <w:sz w:val="22"/>
        </w:rPr>
      </w:pPr>
    </w:p>
    <w:p w14:paraId="367B5A0D"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Redresser tout défaut, manquement, ou non-exécution des prescriptions E3S ou de son Plan E3S qui lui est dûment notifiées par le Maître d’Ouvrage délégué</w:t>
      </w:r>
    </w:p>
    <w:p w14:paraId="353A80E3"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Assumer les coûts associés à tout retard ou interruption des travaux, ainsi qu’à tous travaux supplémentaires découlant du non-respect des prescriptions E3S ou de son Plan E3S.</w:t>
      </w:r>
    </w:p>
    <w:p w14:paraId="206F47FA"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En application des dispositions contractuelles, le non-respect des E3S de manière générale, et du Plan E3S de l’Entreprise de manière spécifique, dûment constaté par le Maître d’Ouvrage délégué, peut être un motif de résiliation du contrat.</w:t>
      </w:r>
    </w:p>
    <w:p w14:paraId="68290E8B"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L’Entreprise ayant fait l’objet d’une résiliation pour cause de non application des E3S ou du Plan E3S s’expose à des sanctions allant jusqu’à la suspension du droit de soumissionner pour une période déterminée par le Maître d’Ouvrage délégué, avec une réfaction sur le prix et un blocage de la retenue de garantie.</w:t>
      </w:r>
    </w:p>
    <w:p w14:paraId="0A1FEAB4"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Le non-respect d’une ou de plusieurs prescriptions E3S ou de son Plan E3S par l’Entreprise peut l’exposer au refus de réception provisoire ou définitive des travaux par la Commission de réception.</w:t>
      </w:r>
    </w:p>
    <w:p w14:paraId="057BA6B4"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Les obligations de l’Entreprise vis-à-vis les E3S courent jusqu’à la réception définitive des travaux qui ne sera acquise qu’après que toutes les mesures requises par les prescriptions E3S aient été satisfaites.</w:t>
      </w:r>
    </w:p>
    <w:p w14:paraId="73B6FA6A" w14:textId="77777777" w:rsidR="00871A3A" w:rsidRPr="00871A3A" w:rsidRDefault="00871A3A" w:rsidP="00871A3A">
      <w:pPr>
        <w:rPr>
          <w:rFonts w:cs="Arial"/>
          <w:b/>
          <w:sz w:val="22"/>
        </w:rPr>
      </w:pPr>
      <w:r w:rsidRPr="00871A3A">
        <w:rPr>
          <w:rFonts w:cs="Arial"/>
          <w:b/>
          <w:sz w:val="22"/>
        </w:rPr>
        <w:t>Formation E3S</w:t>
      </w:r>
    </w:p>
    <w:p w14:paraId="4DB1A919" w14:textId="77777777" w:rsidR="00871A3A" w:rsidRPr="007E3D1A" w:rsidRDefault="00871A3A" w:rsidP="00871A3A">
      <w:pPr>
        <w:rPr>
          <w:rFonts w:cs="Arial"/>
          <w:sz w:val="22"/>
        </w:rPr>
      </w:pPr>
    </w:p>
    <w:p w14:paraId="33B0EFD6" w14:textId="77777777" w:rsidR="00871A3A" w:rsidRPr="007E3D1A" w:rsidRDefault="00871A3A" w:rsidP="00871A3A">
      <w:pPr>
        <w:rPr>
          <w:rFonts w:cs="Arial"/>
          <w:sz w:val="22"/>
        </w:rPr>
      </w:pPr>
      <w:r w:rsidRPr="007E3D1A">
        <w:rPr>
          <w:rFonts w:cs="Arial"/>
          <w:sz w:val="22"/>
        </w:rPr>
        <w:t>L’Entreprise doit :</w:t>
      </w:r>
    </w:p>
    <w:p w14:paraId="25EDB0B9" w14:textId="77777777" w:rsidR="00871A3A" w:rsidRPr="007E3D1A" w:rsidRDefault="00871A3A" w:rsidP="00871A3A">
      <w:pPr>
        <w:rPr>
          <w:rFonts w:cs="Arial"/>
          <w:sz w:val="22"/>
        </w:rPr>
      </w:pPr>
    </w:p>
    <w:p w14:paraId="2AA163BA"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Déterminer ses besoins de formation en matière d'E3S en collaboration avec le Maître d’Ouvrage délégué ;</w:t>
      </w:r>
    </w:p>
    <w:p w14:paraId="0C7BAB18"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Tenir un registre de toutes les formations, orientations et initiations en matière d'E3S ;</w:t>
      </w:r>
    </w:p>
    <w:p w14:paraId="7F5F66FF"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S'assurer, par des spécifications contractuelles appropriées et un suivi, que les prestataires de services, ainsi que la main-d’œuvre contractuelle et sous-traitants, sont formés de manière adéquate avant le début des travaux ; et</w:t>
      </w:r>
    </w:p>
    <w:p w14:paraId="09FF3615"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Démontrer au Maître d’Ouvrage délégué que ses employés sont compétents pour exercer leurs activités et leurs fonctions en toute sécurité.  À cette fin, l’Entreprise doit délivrer un certificat de compétence pour chaque personne travaillant sur le site (relatif au métier et à l'aspect de l'affectation du travail) qui précise les tâches qui peuvent être entreprises par chaque personnel clé.</w:t>
      </w:r>
    </w:p>
    <w:p w14:paraId="1ECA7768" w14:textId="77777777" w:rsidR="00871A3A" w:rsidRPr="007E3D1A" w:rsidRDefault="00871A3A" w:rsidP="00871A3A">
      <w:pPr>
        <w:rPr>
          <w:rFonts w:cs="Arial"/>
          <w:sz w:val="22"/>
        </w:rPr>
      </w:pPr>
    </w:p>
    <w:p w14:paraId="585397F6" w14:textId="77777777" w:rsidR="00871A3A" w:rsidRPr="00871A3A" w:rsidRDefault="00871A3A" w:rsidP="00871A3A">
      <w:pPr>
        <w:rPr>
          <w:rFonts w:cs="Arial"/>
          <w:b/>
          <w:sz w:val="22"/>
        </w:rPr>
      </w:pPr>
      <w:r w:rsidRPr="00871A3A">
        <w:rPr>
          <w:rFonts w:cs="Arial"/>
          <w:b/>
          <w:sz w:val="22"/>
        </w:rPr>
        <w:t>Formation de base</w:t>
      </w:r>
    </w:p>
    <w:p w14:paraId="19F9A7A3" w14:textId="77777777" w:rsidR="00871A3A" w:rsidRPr="007E3D1A" w:rsidRDefault="00871A3A" w:rsidP="00871A3A">
      <w:pPr>
        <w:rPr>
          <w:rFonts w:cs="Arial"/>
          <w:sz w:val="22"/>
        </w:rPr>
      </w:pPr>
    </w:p>
    <w:p w14:paraId="19A0E7F1" w14:textId="77777777" w:rsidR="00871A3A" w:rsidRPr="007E3D1A" w:rsidRDefault="00871A3A" w:rsidP="00871A3A">
      <w:pPr>
        <w:rPr>
          <w:rFonts w:cs="Arial"/>
          <w:sz w:val="22"/>
        </w:rPr>
      </w:pPr>
      <w:r w:rsidRPr="007E3D1A">
        <w:rPr>
          <w:rFonts w:cs="Arial"/>
          <w:sz w:val="22"/>
        </w:rPr>
        <w:t>L’Entreprise s'assurera que tous les employés, y compris la direction, les superviseurs et les ouvriers, ainsi que les sous-traitants, ont reçu une formation et des informations sur la santé et la sécurité au travail, avant le début de nouveaux travaux.  Cette formation doit leur permettre de comprendre les risques professionnels et de protéger leur santé contre les facteurs amb</w:t>
      </w:r>
      <w:r>
        <w:rPr>
          <w:rFonts w:cs="Arial"/>
          <w:sz w:val="22"/>
        </w:rPr>
        <w:t>iants dangereux potentiels.</w:t>
      </w:r>
      <w:r w:rsidRPr="007E3D1A">
        <w:rPr>
          <w:rFonts w:cs="Arial"/>
          <w:sz w:val="22"/>
        </w:rPr>
        <w:t xml:space="preserve"> Elle devrait couvrir de manière adéquate les processus étape par étape qui sont nécessaires pour que les travaux soient réalisés en toute sécurité.</w:t>
      </w:r>
    </w:p>
    <w:p w14:paraId="4CEEC637" w14:textId="77777777" w:rsidR="00871A3A" w:rsidRPr="007E3D1A" w:rsidRDefault="00871A3A" w:rsidP="00871A3A">
      <w:pPr>
        <w:rPr>
          <w:rFonts w:cs="Arial"/>
          <w:sz w:val="22"/>
        </w:rPr>
      </w:pPr>
    </w:p>
    <w:p w14:paraId="7F37189F" w14:textId="77777777" w:rsidR="00871A3A" w:rsidRPr="007E3D1A" w:rsidRDefault="00871A3A" w:rsidP="00871A3A">
      <w:pPr>
        <w:rPr>
          <w:rFonts w:cs="Arial"/>
          <w:sz w:val="22"/>
        </w:rPr>
      </w:pPr>
      <w:r w:rsidRPr="007E3D1A">
        <w:rPr>
          <w:rFonts w:cs="Arial"/>
          <w:sz w:val="22"/>
        </w:rPr>
        <w:t>La formation devrait comprendre une sensibilisation aux dangers, y compris aux dangers spécifiques au site, aux pratiques de travail sûres, aux exigences en matière d'hygiène, au port et à l'utilisation d'équipements et de vêtements de protection, et aux procédures d'urgence en cas d'incendie, d'évacuation et de catastrophe naturelle, selon les cas.  Tout danger spécifique à un site ou tout code de couleur utilisé devrait être examiné en détail dans le cadre de la formation d'orientation.</w:t>
      </w:r>
    </w:p>
    <w:p w14:paraId="7FB89A7F" w14:textId="77777777" w:rsidR="00871A3A" w:rsidRPr="00871A3A" w:rsidRDefault="00871A3A" w:rsidP="00871A3A">
      <w:pPr>
        <w:rPr>
          <w:rFonts w:cs="Arial"/>
          <w:b/>
          <w:sz w:val="22"/>
        </w:rPr>
      </w:pPr>
    </w:p>
    <w:p w14:paraId="680BFB63" w14:textId="77777777" w:rsidR="00871A3A" w:rsidRPr="00871A3A" w:rsidRDefault="00871A3A" w:rsidP="00871A3A">
      <w:pPr>
        <w:rPr>
          <w:rFonts w:cs="Arial"/>
          <w:b/>
          <w:sz w:val="22"/>
        </w:rPr>
      </w:pPr>
      <w:r w:rsidRPr="00871A3A">
        <w:rPr>
          <w:rFonts w:cs="Arial"/>
          <w:b/>
          <w:sz w:val="22"/>
        </w:rPr>
        <w:t>Orientation des visiteurs</w:t>
      </w:r>
    </w:p>
    <w:p w14:paraId="2EB7EB8B" w14:textId="77777777" w:rsidR="00871A3A" w:rsidRPr="007E3D1A" w:rsidRDefault="00871A3A" w:rsidP="00871A3A">
      <w:pPr>
        <w:rPr>
          <w:rFonts w:cs="Arial"/>
          <w:sz w:val="22"/>
        </w:rPr>
      </w:pPr>
    </w:p>
    <w:p w14:paraId="60D40085" w14:textId="77777777" w:rsidR="00871A3A" w:rsidRPr="007E3D1A" w:rsidRDefault="00871A3A" w:rsidP="00871A3A">
      <w:pPr>
        <w:rPr>
          <w:rFonts w:cs="Arial"/>
          <w:sz w:val="22"/>
        </w:rPr>
      </w:pPr>
      <w:r w:rsidRPr="007E3D1A">
        <w:rPr>
          <w:rFonts w:cs="Arial"/>
          <w:sz w:val="22"/>
        </w:rPr>
        <w:t>L’Entreprise établira un programme d'orientation et de contrôle des visiteurs, si les visiteurs du site de construction, y compris les fournisseurs, peuvent accéder aux zones où des conditions ou des substances dangereuses peuvent être présentes.</w:t>
      </w:r>
    </w:p>
    <w:p w14:paraId="4024E407" w14:textId="77777777" w:rsidR="00871A3A" w:rsidRPr="007E3D1A" w:rsidRDefault="00871A3A" w:rsidP="00871A3A">
      <w:pPr>
        <w:rPr>
          <w:rFonts w:cs="Arial"/>
          <w:sz w:val="22"/>
        </w:rPr>
      </w:pPr>
    </w:p>
    <w:p w14:paraId="624CC818" w14:textId="77777777" w:rsidR="00871A3A" w:rsidRPr="007E3D1A" w:rsidRDefault="00871A3A" w:rsidP="00871A3A">
      <w:pPr>
        <w:rPr>
          <w:rFonts w:cs="Arial"/>
          <w:sz w:val="22"/>
        </w:rPr>
      </w:pPr>
      <w:r w:rsidRPr="007E3D1A">
        <w:rPr>
          <w:rFonts w:cs="Arial"/>
          <w:sz w:val="22"/>
        </w:rPr>
        <w:t>Les visiteurs seront toujours accompagnés d'un membre autorisé de l’Entreprise ou d’un représentant du Maître d’Ouvrage délégué qui a suivi avec succès la formation d'orientation E3S et qui connaît bien les dangers spécifiques au site du projet, sa disposition, et les zones restreintes.</w:t>
      </w:r>
    </w:p>
    <w:p w14:paraId="36A51B9C" w14:textId="77777777" w:rsidR="00871A3A" w:rsidRPr="007E3D1A" w:rsidRDefault="00871A3A" w:rsidP="00871A3A">
      <w:pPr>
        <w:rPr>
          <w:rFonts w:cs="Arial"/>
          <w:sz w:val="22"/>
        </w:rPr>
      </w:pPr>
    </w:p>
    <w:p w14:paraId="7720EFCF" w14:textId="77777777" w:rsidR="00871A3A" w:rsidRPr="00871A3A" w:rsidRDefault="00871A3A" w:rsidP="00871A3A">
      <w:pPr>
        <w:rPr>
          <w:rFonts w:cs="Arial"/>
          <w:b/>
          <w:sz w:val="22"/>
        </w:rPr>
      </w:pPr>
      <w:r w:rsidRPr="00871A3A">
        <w:rPr>
          <w:rFonts w:cs="Arial"/>
          <w:b/>
          <w:sz w:val="22"/>
        </w:rPr>
        <w:t>Gestion des Installations et Chantiers</w:t>
      </w:r>
    </w:p>
    <w:p w14:paraId="459CC49F" w14:textId="77777777" w:rsidR="00871A3A" w:rsidRPr="007E3D1A" w:rsidRDefault="00871A3A" w:rsidP="00871A3A">
      <w:pPr>
        <w:rPr>
          <w:rFonts w:cs="Arial"/>
          <w:sz w:val="22"/>
        </w:rPr>
      </w:pPr>
    </w:p>
    <w:p w14:paraId="2A2FDB4F" w14:textId="77777777" w:rsidR="00871A3A" w:rsidRPr="007E3D1A" w:rsidRDefault="00871A3A" w:rsidP="00871A3A">
      <w:pPr>
        <w:rPr>
          <w:rFonts w:cs="Arial"/>
          <w:sz w:val="22"/>
        </w:rPr>
      </w:pPr>
      <w:r w:rsidRPr="007E3D1A">
        <w:rPr>
          <w:rFonts w:cs="Arial"/>
          <w:sz w:val="22"/>
        </w:rPr>
        <w:t>Règles Générales</w:t>
      </w:r>
    </w:p>
    <w:p w14:paraId="08FD2D7C" w14:textId="77777777" w:rsidR="00871A3A" w:rsidRPr="007E3D1A" w:rsidRDefault="00871A3A" w:rsidP="00871A3A">
      <w:pPr>
        <w:rPr>
          <w:rFonts w:cs="Arial"/>
          <w:sz w:val="22"/>
        </w:rPr>
      </w:pPr>
    </w:p>
    <w:p w14:paraId="73C6A1F8" w14:textId="77777777" w:rsidR="00871A3A" w:rsidRPr="007E3D1A" w:rsidRDefault="00871A3A" w:rsidP="00871A3A">
      <w:pPr>
        <w:rPr>
          <w:rFonts w:cs="Arial"/>
          <w:sz w:val="22"/>
        </w:rPr>
      </w:pPr>
      <w:r w:rsidRPr="007E3D1A">
        <w:rPr>
          <w:rFonts w:cs="Arial"/>
          <w:sz w:val="22"/>
        </w:rPr>
        <w:t>L’Entreprise doit :</w:t>
      </w:r>
    </w:p>
    <w:p w14:paraId="2640A294"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Définir le périmètre d’utilité publique où les travaux sont susceptibles d’être menés, y compris les emprises des chantiers.  L’Entreprise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mais ne pourront pas stocker des hydrocarbures ;</w:t>
      </w:r>
    </w:p>
    <w:p w14:paraId="18A9C86E"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Tout stockage de quelque nature que ce soit, est formellement interdit en dehors des emprises de chantiers et des zones prédéfinies ;</w:t>
      </w:r>
    </w:p>
    <w:p w14:paraId="447AF46F"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Obtenir tous les permis nécessaires pour réaliser les travaux prévus dans le contrat, y compris les autorisations délivrées par les collectivités locales, les services forestiers (en cas de déboisement, ou d’élagage), les services miniers (en cas d’exploitation de carrières et de sites d’emprunt), les services d’hydraulique (en cas d’utilisation de points d’eau), ou de l'inspection du travail ;</w:t>
      </w:r>
    </w:p>
    <w:p w14:paraId="3C002350"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Débuter les travaux dans les emprises privées que lorsque celles-ci sont libérées suite à une procédure d’acquisition ; et</w:t>
      </w:r>
    </w:p>
    <w:p w14:paraId="6C57777F"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Éviter de circuler en dehors de la zone d’utilité publique, et surtout éviter d’endommager toute bien, propriété, ou aménagement existant, y compris les bâtiments, les clôtures, les champs de cultures, et les mares d’abreuvement ;</w:t>
      </w:r>
    </w:p>
    <w:p w14:paraId="72902F41"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Repérer les réseaux des concessionnaires (e.g., eau potable, électricité, téléphone, égouts) sur plan avant le démarrage des travaux, et formaliser ce repérage par un procès-verbal signé par toutes les parties (Entreprise, Maître d’Ouvrage délégué, concessionnaires) ;</w:t>
      </w:r>
    </w:p>
    <w:p w14:paraId="2071D504"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Maintenir un personnel en astreinte, tous les jours sans exception (samedi, dimanche, jours fériés), de jour comme de nuit pendant toute la durée du contrat, afin d’assurer la garde, la surveillance et le maintien en sécurité de ses chantiers et installations, et pour pallier à tout incident et/ou accident susceptible de se produire en relation avec ses activités.</w:t>
      </w:r>
    </w:p>
    <w:p w14:paraId="4A05AC6E" w14:textId="77777777" w:rsidR="00871A3A" w:rsidRPr="007E3D1A" w:rsidRDefault="00871A3A" w:rsidP="00871A3A">
      <w:pPr>
        <w:rPr>
          <w:rFonts w:cs="Arial"/>
          <w:sz w:val="22"/>
        </w:rPr>
      </w:pPr>
    </w:p>
    <w:p w14:paraId="56B4D7B8" w14:textId="77777777" w:rsidR="00871A3A" w:rsidRPr="00871A3A" w:rsidRDefault="00871A3A" w:rsidP="00871A3A">
      <w:pPr>
        <w:rPr>
          <w:rFonts w:cs="Arial"/>
          <w:b/>
          <w:sz w:val="22"/>
        </w:rPr>
      </w:pPr>
      <w:r w:rsidRPr="00871A3A">
        <w:rPr>
          <w:rFonts w:cs="Arial"/>
          <w:b/>
          <w:sz w:val="22"/>
        </w:rPr>
        <w:t>Localisation des Bases-vie</w:t>
      </w:r>
    </w:p>
    <w:p w14:paraId="72C48CED" w14:textId="77777777" w:rsidR="00871A3A" w:rsidRPr="007E3D1A" w:rsidRDefault="00871A3A" w:rsidP="00871A3A">
      <w:pPr>
        <w:rPr>
          <w:rFonts w:cs="Arial"/>
          <w:sz w:val="22"/>
        </w:rPr>
      </w:pPr>
    </w:p>
    <w:p w14:paraId="795F4D31" w14:textId="77777777" w:rsidR="00871A3A" w:rsidRPr="007E3D1A" w:rsidRDefault="00871A3A" w:rsidP="00871A3A">
      <w:pPr>
        <w:rPr>
          <w:rFonts w:cs="Arial"/>
          <w:sz w:val="22"/>
        </w:rPr>
      </w:pPr>
      <w:r w:rsidRPr="007E3D1A">
        <w:rPr>
          <w:rFonts w:cs="Arial"/>
          <w:sz w:val="22"/>
        </w:rPr>
        <w:t>L’Entreprise doit :</w:t>
      </w:r>
    </w:p>
    <w:p w14:paraId="58213C9F" w14:textId="77777777" w:rsidR="00871A3A" w:rsidRPr="007E3D1A" w:rsidRDefault="00871A3A" w:rsidP="00871A3A">
      <w:pPr>
        <w:rPr>
          <w:rFonts w:cs="Arial"/>
          <w:sz w:val="22"/>
        </w:rPr>
      </w:pPr>
    </w:p>
    <w:p w14:paraId="0E1F884A"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Consulter et négocier avec les parties prenantes locales avant de proposer un emplacement pour ses camps ;</w:t>
      </w:r>
    </w:p>
    <w:p w14:paraId="6ABC4144"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Soumettre les emplacements proposés au Maître d’Ouvrage délégué pour approbation, y compris une justification de leur emplacement, ainsi que les mesures proposées pour atténuer les risques et les impacts environnementaux et sociaux autour du camp et pour renforcer les avantages sociaux.</w:t>
      </w:r>
    </w:p>
    <w:p w14:paraId="5320CB5B" w14:textId="77777777" w:rsidR="00871A3A" w:rsidRPr="007E3D1A" w:rsidRDefault="00871A3A" w:rsidP="00871A3A">
      <w:pPr>
        <w:rPr>
          <w:rFonts w:cs="Arial"/>
          <w:sz w:val="22"/>
        </w:rPr>
      </w:pPr>
    </w:p>
    <w:p w14:paraId="2C26535A" w14:textId="77777777" w:rsidR="00871A3A" w:rsidRPr="00871A3A" w:rsidRDefault="00871A3A" w:rsidP="00871A3A">
      <w:pPr>
        <w:rPr>
          <w:rFonts w:cs="Arial"/>
          <w:b/>
          <w:sz w:val="22"/>
        </w:rPr>
      </w:pPr>
      <w:r w:rsidRPr="00871A3A">
        <w:rPr>
          <w:rFonts w:cs="Arial"/>
          <w:b/>
          <w:sz w:val="22"/>
        </w:rPr>
        <w:t>Signalisation</w:t>
      </w:r>
    </w:p>
    <w:p w14:paraId="55586FBF" w14:textId="77777777" w:rsidR="00871A3A" w:rsidRPr="007E3D1A" w:rsidRDefault="00871A3A" w:rsidP="00871A3A">
      <w:pPr>
        <w:rPr>
          <w:rFonts w:cs="Arial"/>
          <w:sz w:val="22"/>
        </w:rPr>
      </w:pPr>
    </w:p>
    <w:p w14:paraId="3CC3DA3D" w14:textId="77777777" w:rsidR="00871A3A" w:rsidRPr="007E3D1A" w:rsidRDefault="00871A3A" w:rsidP="00871A3A">
      <w:pPr>
        <w:rPr>
          <w:rFonts w:cs="Arial"/>
          <w:sz w:val="22"/>
        </w:rPr>
      </w:pPr>
      <w:r w:rsidRPr="007E3D1A">
        <w:rPr>
          <w:rFonts w:cs="Arial"/>
          <w:sz w:val="22"/>
        </w:rPr>
        <w:t>L’Entreprise doit :</w:t>
      </w:r>
    </w:p>
    <w:p w14:paraId="4098268F" w14:textId="77777777" w:rsidR="00871A3A" w:rsidRPr="007E3D1A" w:rsidRDefault="00871A3A" w:rsidP="00871A3A">
      <w:pPr>
        <w:rPr>
          <w:rFonts w:cs="Arial"/>
          <w:sz w:val="22"/>
        </w:rPr>
      </w:pPr>
    </w:p>
    <w:p w14:paraId="280C11F8"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Placer, préalablement à l’ouverture des chantiers et chaque fois que de besoin, une pré-signalisation et une signalisation des chantiers à longue distance (sortie de carrières ou de bases-vie, circuit utilisé par les engins, etc.) qui réponde aux lois et règlements en vigueur, être conforme aux normes internationales, et être facilement comprise par les ouvriers, les visiteurs et le grand public, selon le cas ;</w:t>
      </w:r>
    </w:p>
    <w:p w14:paraId="721A1EA6"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Interdire l’accès des chantiers par le public, les protéger par des balises et des panneaux de signalisation, indiquer les différents accès, et prendre toutes les mesures d’ordre et de sécurité propres à éviter les accidents.</w:t>
      </w:r>
    </w:p>
    <w:p w14:paraId="6F16B20D" w14:textId="77777777" w:rsidR="00871A3A" w:rsidRPr="007E3D1A" w:rsidRDefault="00871A3A" w:rsidP="00871A3A">
      <w:pPr>
        <w:rPr>
          <w:rFonts w:cs="Arial"/>
          <w:sz w:val="22"/>
        </w:rPr>
      </w:pPr>
    </w:p>
    <w:p w14:paraId="54B97E5A" w14:textId="77777777" w:rsidR="00871A3A" w:rsidRPr="00871A3A" w:rsidRDefault="00871A3A" w:rsidP="00871A3A">
      <w:pPr>
        <w:rPr>
          <w:rFonts w:cs="Arial"/>
          <w:b/>
          <w:sz w:val="22"/>
        </w:rPr>
      </w:pPr>
      <w:r w:rsidRPr="00871A3A">
        <w:rPr>
          <w:rFonts w:cs="Arial"/>
          <w:b/>
          <w:sz w:val="22"/>
        </w:rPr>
        <w:t>Gestion des paysages établis</w:t>
      </w:r>
    </w:p>
    <w:p w14:paraId="6B31369B" w14:textId="77777777" w:rsidR="00871A3A" w:rsidRPr="007E3D1A" w:rsidRDefault="00871A3A" w:rsidP="00871A3A">
      <w:pPr>
        <w:rPr>
          <w:rFonts w:cs="Arial"/>
          <w:sz w:val="22"/>
        </w:rPr>
      </w:pPr>
    </w:p>
    <w:p w14:paraId="5A08D86F" w14:textId="77777777" w:rsidR="00871A3A" w:rsidRPr="007E3D1A" w:rsidRDefault="00871A3A" w:rsidP="00871A3A">
      <w:pPr>
        <w:rPr>
          <w:rFonts w:cs="Arial"/>
          <w:sz w:val="22"/>
        </w:rPr>
      </w:pPr>
      <w:r w:rsidRPr="007E3D1A">
        <w:rPr>
          <w:rFonts w:cs="Arial"/>
          <w:sz w:val="22"/>
        </w:rPr>
        <w:t>Afin de préserver le paysage naturel, l’Entreprise doit :</w:t>
      </w:r>
    </w:p>
    <w:p w14:paraId="20640B8B" w14:textId="77777777" w:rsidR="00871A3A" w:rsidRPr="007E3D1A" w:rsidRDefault="00871A3A" w:rsidP="00871A3A">
      <w:pPr>
        <w:rPr>
          <w:rFonts w:cs="Arial"/>
          <w:sz w:val="22"/>
        </w:rPr>
      </w:pPr>
    </w:p>
    <w:p w14:paraId="391B9895"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Mener les travaux de manière à éviter toute destruction, cicatrisation ou dégradation inutile de l'environnement naturel ;</w:t>
      </w:r>
    </w:p>
    <w:p w14:paraId="72B951BC"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Limiter les aménagements temporaires, tels que les aires d’entreposage et de stationnement, ou les chemins de contournement ou de travail, et surtout éviter de combler les mares temporaires existantes ;</w:t>
      </w:r>
    </w:p>
    <w:p w14:paraId="4A818FAF"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Construire ses installations temporaires de façon à déranger le moins possible l’environnement, de préférence dans des endroits déjà déboisés ou perturbés lorsque de tels sites existent, ou sur des sites qui seront réutilisés lors d’une phase ultérieure pour d’autres fins ;</w:t>
      </w:r>
    </w:p>
    <w:p w14:paraId="6772061D"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Strictement éviter toute activité ou implantation dans une aire protégée, ou un habitat naturel critique au sens de la NES 6 de la Banque mondiale ;</w:t>
      </w:r>
    </w:p>
    <w:p w14:paraId="1C6162B3"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Protéger tous les arbres et la végétation contre les dommages causés par les travaux de construction et les équipements de l’Entreprise, sauf lorsque le défrichement est nécessaire et convenu pour des travaux permanents, des routes de construction approuvées, ou des opérations d'excavation ;</w:t>
      </w:r>
    </w:p>
    <w:p w14:paraId="5F143089"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Limiter au strict minimum le décapage, le déblaiement, le remblayage et le nivellement des aires de travail afin de respecter la topographie naturelle et de prévenir l’érosion ;</w:t>
      </w:r>
    </w:p>
    <w:p w14:paraId="2496EADD"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En cas de déboisement, découper et stocker les arbres abattus à des endroits agréés par le Maître d’Ouvrage délégué, et informer les populations riveraines de la possibilité de disposer de ce bois à leur convenance ;</w:t>
      </w:r>
    </w:p>
    <w:p w14:paraId="4CBCD3C3"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Les arbres abattus ne doivent pas être abandonnés sur place, ni brûlés ni enfouis sous les matériaux de terrassement ;</w:t>
      </w:r>
    </w:p>
    <w:p w14:paraId="0314B184"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Après le décapage de la couche de sol arable, extraire et mettre en réserve la terre végétale et l’utiliser pour le réaménagement des talus et autres surfaces perturbées ;</w:t>
      </w:r>
    </w:p>
    <w:p w14:paraId="4BEAC7FB"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Revégétaliser les zones endommagées à l'achèvement des travaux et, pour les zones qui ne peuvent pas être revégétalisées, scarifier la zone de travail de manière à faciliter la revégétalisation naturelle, à assurer un drainage adéquat et à prévenir l'érosion ;</w:t>
      </w:r>
    </w:p>
    <w:p w14:paraId="0906B66A"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Utiliser, dans la mesure du possible, des espèces locales appropriées pour revégétaliser, et éviter les espèces répertoriées comme nuisibles ou l’introduction de nouvelles espèces sans l’avis des services forestiers ;</w:t>
      </w:r>
    </w:p>
    <w:p w14:paraId="6190BCE6"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Réparer, replanter, réensemencer ou corriger de toute autre manière, selon les instructions du Maître d’Ouvrage délégué, et aux frais de la société de projet, toute destruction, cicatrisation, dommage ou dégradation inutile du paysage résultant des activités de l’Entreprise ;</w:t>
      </w:r>
    </w:p>
    <w:p w14:paraId="08ABACD5"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Prévenir les feux de brousse sur l’étendue de ses travaux, ainsi que sur ses installations, conformément aux instructions, lois et règlements édictés par les autorités compétentes.</w:t>
      </w:r>
    </w:p>
    <w:p w14:paraId="3D1222B9"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Tenir compte du calendrier des travaux afin de limiter les perturbations des activités agricoles (semences, récoltes) ; et</w:t>
      </w:r>
    </w:p>
    <w:p w14:paraId="7BCAE7A6"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Identifier et éviter, en consultation avec les populations riveraines, les passages pour les animaux, le bétail et les personnes.</w:t>
      </w:r>
    </w:p>
    <w:p w14:paraId="3225C058" w14:textId="77777777" w:rsidR="00871A3A" w:rsidRPr="00871A3A" w:rsidRDefault="00871A3A" w:rsidP="00871A3A">
      <w:pPr>
        <w:rPr>
          <w:rFonts w:cs="Arial"/>
          <w:b/>
          <w:sz w:val="22"/>
        </w:rPr>
      </w:pPr>
      <w:r w:rsidRPr="00871A3A">
        <w:rPr>
          <w:rFonts w:cs="Arial"/>
          <w:b/>
          <w:sz w:val="22"/>
        </w:rPr>
        <w:t>Procédure en cas de découverte fortuite</w:t>
      </w:r>
    </w:p>
    <w:p w14:paraId="6D50BF51" w14:textId="77777777" w:rsidR="00871A3A" w:rsidRPr="007E3D1A" w:rsidRDefault="00871A3A" w:rsidP="00871A3A">
      <w:pPr>
        <w:rPr>
          <w:rFonts w:cs="Arial"/>
          <w:sz w:val="22"/>
        </w:rPr>
      </w:pPr>
    </w:p>
    <w:p w14:paraId="4DC86DFA" w14:textId="77777777" w:rsidR="00871A3A" w:rsidRPr="007E3D1A" w:rsidRDefault="00871A3A" w:rsidP="00871A3A">
      <w:pPr>
        <w:rPr>
          <w:rFonts w:cs="Arial"/>
          <w:sz w:val="22"/>
        </w:rPr>
      </w:pPr>
      <w:r w:rsidRPr="007E3D1A">
        <w:rPr>
          <w:rFonts w:cs="Arial"/>
          <w:sz w:val="22"/>
        </w:rPr>
        <w:t>Pour les projets de génie civil comportant des travaux d’excavation, des procédures sont normalement prévues en cas de « découverte fortuite</w:t>
      </w:r>
      <w:r w:rsidRPr="007E3D1A">
        <w:rPr>
          <w:rFonts w:cs="Arial"/>
          <w:sz w:val="22"/>
        </w:rPr>
        <w:footnoteReference w:id="26"/>
      </w:r>
      <w:r w:rsidRPr="007E3D1A">
        <w:rPr>
          <w:rFonts w:cs="Arial"/>
          <w:sz w:val="22"/>
        </w:rPr>
        <w:t xml:space="preserve"> » de biens culturels physiques enfouis. </w:t>
      </w:r>
    </w:p>
    <w:p w14:paraId="1D2FEADC" w14:textId="77777777" w:rsidR="00871A3A" w:rsidRPr="007E3D1A" w:rsidRDefault="00871A3A" w:rsidP="00871A3A">
      <w:pPr>
        <w:rPr>
          <w:rFonts w:cs="Arial"/>
          <w:sz w:val="22"/>
        </w:rPr>
      </w:pPr>
      <w:r w:rsidRPr="007E3D1A">
        <w:rPr>
          <w:rFonts w:cs="Arial"/>
          <w:sz w:val="22"/>
        </w:rPr>
        <w:t>Les procédures arrêtées dépendent du cadre réglementaire locale qui tient compte notamment des dispositions législatives applicables à la découverte fortuite d’antiquité sous de biens archéologiques.</w:t>
      </w:r>
    </w:p>
    <w:p w14:paraId="5251C7FF" w14:textId="77777777" w:rsidR="00871A3A" w:rsidRPr="007E3D1A" w:rsidRDefault="00871A3A" w:rsidP="00871A3A">
      <w:pPr>
        <w:rPr>
          <w:rFonts w:cs="Arial"/>
          <w:sz w:val="22"/>
        </w:rPr>
      </w:pPr>
    </w:p>
    <w:p w14:paraId="267265D1" w14:textId="77777777" w:rsidR="00871A3A" w:rsidRPr="007E3D1A" w:rsidRDefault="00871A3A" w:rsidP="00871A3A">
      <w:pPr>
        <w:rPr>
          <w:rFonts w:cs="Arial"/>
          <w:sz w:val="22"/>
        </w:rPr>
      </w:pPr>
      <w:r w:rsidRPr="007E3D1A">
        <w:rPr>
          <w:rFonts w:cs="Arial"/>
          <w:sz w:val="22"/>
        </w:rPr>
        <w:t>Note : Les recommandations générales ci-après s’appliquent aux situations dans lesquelles il sera fait appel à un archéologue. Dans les situations exceptionnelles où les travaux d’excavation sont effectués dans des régions riches en biens culturels physiques, comme un site du patrimoine mondial de l’UNESCO, un archéologue est généralement présent sur place pour surveiller les fouilles et prendre les décisions qui s’imposent. Dans ce cas, les procédures doivent être modifiées en conséquence, avec l’accord des autorités chargées des questions culturelles.</w:t>
      </w:r>
    </w:p>
    <w:p w14:paraId="0DB8D726" w14:textId="77777777" w:rsidR="00871A3A" w:rsidRPr="007E3D1A" w:rsidRDefault="00871A3A" w:rsidP="00871A3A">
      <w:pPr>
        <w:rPr>
          <w:rFonts w:cs="Arial"/>
          <w:sz w:val="22"/>
        </w:rPr>
      </w:pPr>
    </w:p>
    <w:p w14:paraId="07228694" w14:textId="77777777" w:rsidR="00871A3A" w:rsidRPr="007E3D1A" w:rsidRDefault="00871A3A" w:rsidP="00871A3A">
      <w:pPr>
        <w:rPr>
          <w:rFonts w:cs="Arial"/>
          <w:sz w:val="22"/>
        </w:rPr>
      </w:pPr>
      <w:r w:rsidRPr="007E3D1A">
        <w:rPr>
          <w:rFonts w:cs="Arial"/>
          <w:sz w:val="22"/>
        </w:rPr>
        <w:t>Les procédures applicables aux découvertes fortuites comprennent généralement les éléments ci-après :</w:t>
      </w:r>
    </w:p>
    <w:p w14:paraId="529190F7" w14:textId="77777777" w:rsidR="00871A3A" w:rsidRPr="007E3D1A" w:rsidRDefault="00871A3A" w:rsidP="00871A3A">
      <w:pPr>
        <w:rPr>
          <w:rFonts w:cs="Arial"/>
          <w:sz w:val="22"/>
        </w:rPr>
      </w:pPr>
    </w:p>
    <w:p w14:paraId="35732C39" w14:textId="77777777" w:rsidR="00871A3A" w:rsidRPr="007E3D1A" w:rsidRDefault="00871A3A" w:rsidP="00871A3A">
      <w:pPr>
        <w:rPr>
          <w:rFonts w:cs="Arial"/>
          <w:sz w:val="22"/>
        </w:rPr>
      </w:pPr>
      <w:r w:rsidRPr="007E3D1A">
        <w:rPr>
          <w:rFonts w:cs="Arial"/>
          <w:sz w:val="22"/>
        </w:rPr>
        <w:t>Définition des biens culturels physiques</w:t>
      </w:r>
    </w:p>
    <w:p w14:paraId="1E744E0B" w14:textId="77777777" w:rsidR="00871A3A" w:rsidRPr="007E3D1A" w:rsidRDefault="00871A3A" w:rsidP="00871A3A">
      <w:pPr>
        <w:rPr>
          <w:rFonts w:cs="Arial"/>
          <w:sz w:val="22"/>
        </w:rPr>
      </w:pPr>
    </w:p>
    <w:p w14:paraId="6EE2AC79" w14:textId="77777777" w:rsidR="00871A3A" w:rsidRPr="007E3D1A" w:rsidRDefault="00871A3A" w:rsidP="00871A3A">
      <w:pPr>
        <w:rPr>
          <w:rFonts w:cs="Arial"/>
          <w:sz w:val="22"/>
        </w:rPr>
      </w:pPr>
      <w:r w:rsidRPr="007E3D1A">
        <w:rPr>
          <w:rFonts w:cs="Arial"/>
          <w:sz w:val="22"/>
        </w:rPr>
        <w:t>Les biens culturels physiques sont définis comme : « objets mobiliers ou immobiliers, sites, ouvrages ou groupes d’ouvrages ayant une valeur archéologique, paléontologique, historique, architecturale, religieuse, esthétique ou autre ».</w:t>
      </w:r>
    </w:p>
    <w:p w14:paraId="08FF8BCE" w14:textId="77777777" w:rsidR="00871A3A" w:rsidRPr="007E3D1A" w:rsidRDefault="00871A3A" w:rsidP="00871A3A">
      <w:pPr>
        <w:rPr>
          <w:rFonts w:cs="Arial"/>
          <w:sz w:val="22"/>
        </w:rPr>
      </w:pPr>
    </w:p>
    <w:p w14:paraId="4EA31C67" w14:textId="77777777" w:rsidR="00871A3A" w:rsidRPr="00871A3A" w:rsidRDefault="00871A3A" w:rsidP="00871A3A">
      <w:pPr>
        <w:rPr>
          <w:rFonts w:cs="Arial"/>
          <w:i/>
          <w:sz w:val="22"/>
        </w:rPr>
      </w:pPr>
      <w:r w:rsidRPr="00871A3A">
        <w:rPr>
          <w:rFonts w:cs="Arial"/>
          <w:i/>
          <w:sz w:val="22"/>
        </w:rPr>
        <w:t>Propriété</w:t>
      </w:r>
    </w:p>
    <w:p w14:paraId="62856898" w14:textId="77777777" w:rsidR="00871A3A" w:rsidRPr="007E3D1A" w:rsidRDefault="00871A3A" w:rsidP="00871A3A">
      <w:pPr>
        <w:rPr>
          <w:rFonts w:cs="Arial"/>
          <w:sz w:val="22"/>
        </w:rPr>
      </w:pPr>
    </w:p>
    <w:p w14:paraId="330A6C81" w14:textId="77777777" w:rsidR="00871A3A" w:rsidRPr="007E3D1A" w:rsidRDefault="00871A3A" w:rsidP="00871A3A">
      <w:pPr>
        <w:rPr>
          <w:rFonts w:cs="Arial"/>
          <w:sz w:val="22"/>
        </w:rPr>
      </w:pPr>
      <w:r w:rsidRPr="007E3D1A">
        <w:rPr>
          <w:rFonts w:cs="Arial"/>
          <w:sz w:val="22"/>
        </w:rPr>
        <w:t>Selon les circonstances, une propriété peut être l’administration locale, l’État, une institution religieuse ou le propriétaire du site. Il arrive également que l’identité du propriétaire soit déterminée ultérieurement par les autorités compétentes.</w:t>
      </w:r>
    </w:p>
    <w:p w14:paraId="31F1702C" w14:textId="77777777" w:rsidR="00871A3A" w:rsidRPr="007E3D1A" w:rsidRDefault="00871A3A" w:rsidP="00871A3A">
      <w:pPr>
        <w:rPr>
          <w:rFonts w:cs="Arial"/>
          <w:sz w:val="22"/>
        </w:rPr>
      </w:pPr>
    </w:p>
    <w:p w14:paraId="166923A0" w14:textId="77777777" w:rsidR="00871A3A" w:rsidRPr="00871A3A" w:rsidRDefault="00871A3A" w:rsidP="00871A3A">
      <w:pPr>
        <w:rPr>
          <w:rFonts w:cs="Arial"/>
          <w:i/>
          <w:sz w:val="22"/>
        </w:rPr>
      </w:pPr>
      <w:r w:rsidRPr="00871A3A">
        <w:rPr>
          <w:rFonts w:cs="Arial"/>
          <w:i/>
          <w:sz w:val="22"/>
        </w:rPr>
        <w:t>Reconnaissance</w:t>
      </w:r>
    </w:p>
    <w:p w14:paraId="5A886A38" w14:textId="77777777" w:rsidR="00871A3A" w:rsidRPr="007E3D1A" w:rsidRDefault="00871A3A" w:rsidP="00871A3A">
      <w:pPr>
        <w:rPr>
          <w:rFonts w:cs="Arial"/>
          <w:sz w:val="22"/>
        </w:rPr>
      </w:pPr>
    </w:p>
    <w:p w14:paraId="3E5FCFEB" w14:textId="77777777" w:rsidR="00871A3A" w:rsidRPr="007E3D1A" w:rsidRDefault="00871A3A" w:rsidP="00871A3A">
      <w:pPr>
        <w:rPr>
          <w:rFonts w:cs="Arial"/>
          <w:sz w:val="22"/>
        </w:rPr>
      </w:pPr>
      <w:r w:rsidRPr="007E3D1A">
        <w:rPr>
          <w:rFonts w:cs="Arial"/>
          <w:sz w:val="22"/>
        </w:rPr>
        <w:t>C’est la manière avec laquelle l’entreprise reconnaîtra un bien culturel physique n’est pas spécifiée et l’entreprise peut exiger une clause limitative de responsabilité.</w:t>
      </w:r>
    </w:p>
    <w:p w14:paraId="7CB84196" w14:textId="77777777" w:rsidR="00871A3A" w:rsidRPr="007E3D1A" w:rsidRDefault="00871A3A" w:rsidP="00871A3A">
      <w:pPr>
        <w:rPr>
          <w:rFonts w:cs="Arial"/>
          <w:sz w:val="22"/>
        </w:rPr>
      </w:pPr>
    </w:p>
    <w:p w14:paraId="43B901D1" w14:textId="77777777" w:rsidR="00871A3A" w:rsidRPr="00871A3A" w:rsidRDefault="00871A3A" w:rsidP="00871A3A">
      <w:pPr>
        <w:rPr>
          <w:rFonts w:cs="Arial"/>
          <w:i/>
          <w:sz w:val="22"/>
        </w:rPr>
      </w:pPr>
      <w:r w:rsidRPr="00871A3A">
        <w:rPr>
          <w:rFonts w:cs="Arial"/>
          <w:i/>
          <w:sz w:val="22"/>
        </w:rPr>
        <w:t>Procédure applicable en cas de découverte</w:t>
      </w:r>
    </w:p>
    <w:p w14:paraId="2B877F2D" w14:textId="77777777" w:rsidR="00871A3A" w:rsidRPr="007E3D1A" w:rsidRDefault="00871A3A" w:rsidP="00871A3A">
      <w:pPr>
        <w:rPr>
          <w:rFonts w:cs="Arial"/>
          <w:sz w:val="22"/>
        </w:rPr>
      </w:pPr>
    </w:p>
    <w:p w14:paraId="0826A96F" w14:textId="77777777" w:rsidR="00871A3A" w:rsidRPr="007E3D1A" w:rsidRDefault="00871A3A" w:rsidP="00871A3A">
      <w:pPr>
        <w:rPr>
          <w:rFonts w:cs="Arial"/>
          <w:sz w:val="22"/>
        </w:rPr>
      </w:pPr>
      <w:r w:rsidRPr="007E3D1A">
        <w:rPr>
          <w:rFonts w:cs="Arial"/>
          <w:sz w:val="22"/>
        </w:rPr>
        <w:t xml:space="preserve">Suspension des travaux : </w:t>
      </w:r>
    </w:p>
    <w:p w14:paraId="4E3EB0C2" w14:textId="77777777" w:rsidR="00871A3A" w:rsidRPr="007E3D1A" w:rsidRDefault="00871A3A" w:rsidP="00871A3A">
      <w:pPr>
        <w:rPr>
          <w:rFonts w:cs="Arial"/>
          <w:sz w:val="22"/>
        </w:rPr>
      </w:pPr>
    </w:p>
    <w:p w14:paraId="560FED79" w14:textId="77777777" w:rsidR="00871A3A" w:rsidRPr="007E3D1A" w:rsidRDefault="00871A3A" w:rsidP="00871A3A">
      <w:pPr>
        <w:rPr>
          <w:rFonts w:cs="Arial"/>
          <w:sz w:val="22"/>
        </w:rPr>
      </w:pPr>
      <w:r w:rsidRPr="007E3D1A">
        <w:rPr>
          <w:rFonts w:cs="Arial"/>
          <w:sz w:val="22"/>
        </w:rPr>
        <w:t>Après la suspension des travaux, l’entreprise doit immédiatement signaler la découverte à l’ingénieur résident. Il se peut que l’entreprise ne soit pas en droit de réclamer une indemnisation pour la période de suspension des travaux.</w:t>
      </w:r>
    </w:p>
    <w:p w14:paraId="3C16237C" w14:textId="77777777" w:rsidR="00871A3A" w:rsidRPr="007E3D1A" w:rsidRDefault="00871A3A" w:rsidP="00871A3A">
      <w:pPr>
        <w:rPr>
          <w:rFonts w:cs="Arial"/>
          <w:sz w:val="22"/>
        </w:rPr>
      </w:pPr>
    </w:p>
    <w:p w14:paraId="385C0E6F" w14:textId="77777777" w:rsidR="00871A3A" w:rsidRPr="007E3D1A" w:rsidRDefault="00871A3A" w:rsidP="00871A3A">
      <w:pPr>
        <w:rPr>
          <w:rFonts w:cs="Arial"/>
          <w:sz w:val="22"/>
        </w:rPr>
      </w:pPr>
      <w:r w:rsidRPr="007E3D1A">
        <w:rPr>
          <w:rFonts w:cs="Arial"/>
          <w:sz w:val="22"/>
        </w:rPr>
        <w:t>L’ingénieur résident peut être habilité à suspendre les travaux et à demander à l’entreprise de procéder à des fouilles à ses propres frais s’il estime qu’une découverte qui vient d’être faite n’a pas été signalée.</w:t>
      </w:r>
    </w:p>
    <w:p w14:paraId="3EA28F9E" w14:textId="77777777" w:rsidR="00871A3A" w:rsidRPr="007E3D1A" w:rsidRDefault="00871A3A" w:rsidP="00871A3A">
      <w:pPr>
        <w:rPr>
          <w:rFonts w:cs="Arial"/>
          <w:sz w:val="22"/>
        </w:rPr>
      </w:pPr>
    </w:p>
    <w:p w14:paraId="7D6C6B53" w14:textId="77777777" w:rsidR="00871A3A" w:rsidRPr="00871A3A" w:rsidRDefault="00871A3A" w:rsidP="00871A3A">
      <w:pPr>
        <w:rPr>
          <w:rFonts w:cs="Arial"/>
          <w:i/>
          <w:sz w:val="22"/>
        </w:rPr>
      </w:pPr>
      <w:r w:rsidRPr="00871A3A">
        <w:rPr>
          <w:rFonts w:cs="Arial"/>
          <w:i/>
          <w:sz w:val="22"/>
        </w:rPr>
        <w:t>Délimitation du site de la découverte</w:t>
      </w:r>
    </w:p>
    <w:p w14:paraId="435E4191" w14:textId="77777777" w:rsidR="00871A3A" w:rsidRPr="007E3D1A" w:rsidRDefault="00871A3A" w:rsidP="00871A3A">
      <w:pPr>
        <w:rPr>
          <w:rFonts w:cs="Arial"/>
          <w:sz w:val="22"/>
        </w:rPr>
      </w:pPr>
    </w:p>
    <w:p w14:paraId="12063F9B" w14:textId="77777777" w:rsidR="00871A3A" w:rsidRPr="007E3D1A" w:rsidRDefault="00871A3A" w:rsidP="00871A3A">
      <w:pPr>
        <w:rPr>
          <w:rFonts w:cs="Arial"/>
          <w:sz w:val="22"/>
        </w:rPr>
      </w:pPr>
      <w:r w:rsidRPr="007E3D1A">
        <w:rPr>
          <w:rFonts w:cs="Arial"/>
          <w:sz w:val="22"/>
        </w:rPr>
        <w:t>Avec l’approbation de l’ingénieur résident, il est ensuite demandé à l’entreprise de délimiter temporairement le site et d’en restreindre l’accès.</w:t>
      </w:r>
    </w:p>
    <w:p w14:paraId="14C2CE51" w14:textId="77777777" w:rsidR="00871A3A" w:rsidRPr="007E3D1A" w:rsidRDefault="00871A3A" w:rsidP="00871A3A">
      <w:pPr>
        <w:rPr>
          <w:rFonts w:cs="Arial"/>
          <w:sz w:val="22"/>
        </w:rPr>
      </w:pPr>
    </w:p>
    <w:p w14:paraId="1071A4F6" w14:textId="77777777" w:rsidR="00871A3A" w:rsidRPr="00871A3A" w:rsidRDefault="00871A3A" w:rsidP="00871A3A">
      <w:pPr>
        <w:rPr>
          <w:rFonts w:cs="Arial"/>
          <w:i/>
          <w:sz w:val="22"/>
        </w:rPr>
      </w:pPr>
      <w:r w:rsidRPr="00871A3A">
        <w:rPr>
          <w:rFonts w:cs="Arial"/>
          <w:i/>
          <w:sz w:val="22"/>
        </w:rPr>
        <w:t>Non suspension des travaux</w:t>
      </w:r>
    </w:p>
    <w:p w14:paraId="72D2394C" w14:textId="77777777" w:rsidR="00871A3A" w:rsidRPr="007E3D1A" w:rsidRDefault="00871A3A" w:rsidP="00871A3A">
      <w:pPr>
        <w:rPr>
          <w:rFonts w:cs="Arial"/>
          <w:sz w:val="22"/>
        </w:rPr>
      </w:pPr>
    </w:p>
    <w:p w14:paraId="05ED00D7" w14:textId="77777777" w:rsidR="00871A3A" w:rsidRPr="007E3D1A" w:rsidRDefault="00871A3A" w:rsidP="00871A3A">
      <w:pPr>
        <w:rPr>
          <w:rFonts w:cs="Arial"/>
          <w:sz w:val="22"/>
        </w:rPr>
      </w:pPr>
      <w:r w:rsidRPr="007E3D1A">
        <w:rPr>
          <w:rFonts w:cs="Arial"/>
          <w:sz w:val="22"/>
        </w:rPr>
        <w:t>La procédure peut autoriser d’ingénieur résident à déterminer si le bien culturel physique peut être transporté ailleurs avant de poursuivre les travaux, par exemple si l’objet découvert est une pièce de monnaie.</w:t>
      </w:r>
    </w:p>
    <w:p w14:paraId="7045DEB1" w14:textId="77777777" w:rsidR="00871A3A" w:rsidRPr="007E3D1A" w:rsidRDefault="00871A3A" w:rsidP="00871A3A">
      <w:pPr>
        <w:rPr>
          <w:rFonts w:cs="Arial"/>
          <w:sz w:val="22"/>
        </w:rPr>
      </w:pPr>
    </w:p>
    <w:p w14:paraId="437D1B0C" w14:textId="77777777" w:rsidR="00871A3A" w:rsidRPr="00871A3A" w:rsidRDefault="00871A3A" w:rsidP="00871A3A">
      <w:pPr>
        <w:rPr>
          <w:rFonts w:cs="Arial"/>
          <w:i/>
          <w:sz w:val="22"/>
        </w:rPr>
      </w:pPr>
      <w:r w:rsidRPr="00871A3A">
        <w:rPr>
          <w:rFonts w:cs="Arial"/>
          <w:i/>
          <w:sz w:val="22"/>
        </w:rPr>
        <w:t>Rapport de découverte fortuite</w:t>
      </w:r>
    </w:p>
    <w:p w14:paraId="318360D2" w14:textId="77777777" w:rsidR="00871A3A" w:rsidRPr="007E3D1A" w:rsidRDefault="00871A3A" w:rsidP="00871A3A">
      <w:pPr>
        <w:rPr>
          <w:rFonts w:cs="Arial"/>
          <w:sz w:val="22"/>
        </w:rPr>
      </w:pPr>
    </w:p>
    <w:p w14:paraId="18261A61" w14:textId="77777777" w:rsidR="00871A3A" w:rsidRPr="007E3D1A" w:rsidRDefault="00871A3A" w:rsidP="00871A3A">
      <w:pPr>
        <w:rPr>
          <w:rFonts w:cs="Arial"/>
          <w:sz w:val="22"/>
        </w:rPr>
      </w:pPr>
      <w:r w:rsidRPr="007E3D1A">
        <w:rPr>
          <w:rFonts w:cs="Arial"/>
          <w:sz w:val="22"/>
        </w:rPr>
        <w:t>L’entreprise doit ensuite, sur la demande de l’ingénieur résident et dans les délais spécifiés, établir un Rapport de découverte fortuite fournissant les informations suivantes :</w:t>
      </w:r>
    </w:p>
    <w:p w14:paraId="08CEB6A9" w14:textId="77777777" w:rsidR="00871A3A" w:rsidRPr="007E3D1A" w:rsidRDefault="00871A3A" w:rsidP="00871A3A">
      <w:pPr>
        <w:rPr>
          <w:rFonts w:cs="Arial"/>
          <w:sz w:val="22"/>
        </w:rPr>
      </w:pPr>
    </w:p>
    <w:p w14:paraId="7D422671"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Date et heure de la découverte ;</w:t>
      </w:r>
    </w:p>
    <w:p w14:paraId="6DC9ADF7"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Emplacement de la découverte ;</w:t>
      </w:r>
    </w:p>
    <w:p w14:paraId="6D23D2BD"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Description du bien culturel physique ;</w:t>
      </w:r>
    </w:p>
    <w:p w14:paraId="1258A02A"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Estimation du poids et des dimensions du bien ; et</w:t>
      </w:r>
    </w:p>
    <w:p w14:paraId="6D051657"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Mesures de protection temporaire mises en place.</w:t>
      </w:r>
    </w:p>
    <w:p w14:paraId="7736F273" w14:textId="77777777" w:rsidR="00871A3A" w:rsidRPr="007E3D1A" w:rsidRDefault="00871A3A" w:rsidP="00871A3A">
      <w:pPr>
        <w:rPr>
          <w:rFonts w:cs="Arial"/>
          <w:sz w:val="22"/>
        </w:rPr>
      </w:pPr>
    </w:p>
    <w:p w14:paraId="120026E2" w14:textId="77777777" w:rsidR="00871A3A" w:rsidRPr="007E3D1A" w:rsidRDefault="00871A3A" w:rsidP="00871A3A">
      <w:pPr>
        <w:rPr>
          <w:rFonts w:cs="Arial"/>
          <w:sz w:val="22"/>
        </w:rPr>
      </w:pPr>
      <w:r w:rsidRPr="007E3D1A">
        <w:rPr>
          <w:rFonts w:cs="Arial"/>
          <w:sz w:val="22"/>
        </w:rPr>
        <w:t xml:space="preserve">Le Rapport de découverte fortuite doit être présenté à l’ingénieur résident et aux autres parties désignées d’un commun accord avec les services culturels, et conformément à la législation nationale. </w:t>
      </w:r>
    </w:p>
    <w:p w14:paraId="2AE05E61" w14:textId="77777777" w:rsidR="00871A3A" w:rsidRPr="007E3D1A" w:rsidRDefault="00871A3A" w:rsidP="00871A3A">
      <w:pPr>
        <w:rPr>
          <w:rFonts w:cs="Arial"/>
          <w:sz w:val="22"/>
        </w:rPr>
      </w:pPr>
    </w:p>
    <w:p w14:paraId="7C918481" w14:textId="77777777" w:rsidR="00871A3A" w:rsidRPr="007E3D1A" w:rsidRDefault="00871A3A" w:rsidP="00871A3A">
      <w:pPr>
        <w:rPr>
          <w:rFonts w:cs="Arial"/>
          <w:sz w:val="22"/>
        </w:rPr>
      </w:pPr>
      <w:r w:rsidRPr="007E3D1A">
        <w:rPr>
          <w:rFonts w:cs="Arial"/>
          <w:sz w:val="22"/>
        </w:rPr>
        <w:t>L’ingénieur réside, ou toute autre partie désignée d’un commun accord, doit informer les services culturels de la découverte.</w:t>
      </w:r>
    </w:p>
    <w:p w14:paraId="75953DD3" w14:textId="77777777" w:rsidR="00871A3A" w:rsidRPr="007E3D1A" w:rsidRDefault="00871A3A" w:rsidP="00871A3A">
      <w:pPr>
        <w:rPr>
          <w:rFonts w:cs="Arial"/>
          <w:sz w:val="22"/>
        </w:rPr>
      </w:pPr>
    </w:p>
    <w:p w14:paraId="7971B651" w14:textId="77777777" w:rsidR="00871A3A" w:rsidRPr="007E3D1A" w:rsidRDefault="00871A3A" w:rsidP="00871A3A">
      <w:pPr>
        <w:rPr>
          <w:rFonts w:cs="Arial"/>
          <w:sz w:val="22"/>
        </w:rPr>
      </w:pPr>
      <w:r w:rsidRPr="007E3D1A">
        <w:rPr>
          <w:rFonts w:cs="Arial"/>
          <w:sz w:val="22"/>
        </w:rPr>
        <w:t>Arrivée des services culturels et mesures prises</w:t>
      </w:r>
    </w:p>
    <w:p w14:paraId="1A6C4C92" w14:textId="77777777" w:rsidR="00871A3A" w:rsidRPr="007E3D1A" w:rsidRDefault="00871A3A" w:rsidP="00871A3A">
      <w:pPr>
        <w:rPr>
          <w:rFonts w:cs="Arial"/>
          <w:sz w:val="22"/>
        </w:rPr>
      </w:pPr>
    </w:p>
    <w:p w14:paraId="47C23C5A" w14:textId="77777777" w:rsidR="00871A3A" w:rsidRPr="007E3D1A" w:rsidRDefault="00871A3A" w:rsidP="00871A3A">
      <w:pPr>
        <w:rPr>
          <w:rFonts w:cs="Arial"/>
          <w:sz w:val="22"/>
        </w:rPr>
      </w:pPr>
      <w:r w:rsidRPr="007E3D1A">
        <w:rPr>
          <w:rFonts w:cs="Arial"/>
          <w:sz w:val="22"/>
        </w:rPr>
        <w:t>Les services responsables du patrimoine culturel font le nécessaire pour envoyer un représentant sur le lieu de la découverte dans des délais convenus (dans les 24 heures, par exemple) et déterminer les mesures à prendre, notamment :</w:t>
      </w:r>
    </w:p>
    <w:p w14:paraId="01923532" w14:textId="77777777" w:rsidR="00871A3A" w:rsidRPr="007E3D1A" w:rsidRDefault="00871A3A" w:rsidP="00871A3A">
      <w:pPr>
        <w:rPr>
          <w:rFonts w:cs="Arial"/>
          <w:sz w:val="22"/>
        </w:rPr>
      </w:pPr>
    </w:p>
    <w:p w14:paraId="610F733D"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Retrait des biens culturels physiques jugés importants ;</w:t>
      </w:r>
    </w:p>
    <w:p w14:paraId="28C4CE38"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Poursuite des travaux d’excavation dans un rayon spécifié autour du site de la découverte ;</w:t>
      </w:r>
    </w:p>
    <w:p w14:paraId="2127FE3B"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Élargissement ou réduction de la zone délimitée par l’entreprise.</w:t>
      </w:r>
    </w:p>
    <w:p w14:paraId="1650E6A4" w14:textId="77777777" w:rsidR="00871A3A" w:rsidRPr="007E3D1A" w:rsidRDefault="00871A3A" w:rsidP="00871A3A">
      <w:pPr>
        <w:rPr>
          <w:rFonts w:cs="Arial"/>
          <w:sz w:val="22"/>
        </w:rPr>
      </w:pPr>
    </w:p>
    <w:p w14:paraId="38ACE6D0" w14:textId="77777777" w:rsidR="00871A3A" w:rsidRPr="007E3D1A" w:rsidRDefault="00871A3A" w:rsidP="00871A3A">
      <w:pPr>
        <w:rPr>
          <w:rFonts w:cs="Arial"/>
          <w:sz w:val="22"/>
        </w:rPr>
      </w:pPr>
      <w:r w:rsidRPr="007E3D1A">
        <w:rPr>
          <w:rFonts w:cs="Arial"/>
          <w:sz w:val="22"/>
        </w:rPr>
        <w:t>Ces mesures doivent être prises dans un délai donné (dans les 7 jours, par exemple).</w:t>
      </w:r>
    </w:p>
    <w:p w14:paraId="5C1F8D1B" w14:textId="77777777" w:rsidR="00871A3A" w:rsidRPr="007E3D1A" w:rsidRDefault="00871A3A" w:rsidP="00871A3A">
      <w:pPr>
        <w:rPr>
          <w:rFonts w:cs="Arial"/>
          <w:sz w:val="22"/>
        </w:rPr>
      </w:pPr>
    </w:p>
    <w:p w14:paraId="417532F4" w14:textId="77777777" w:rsidR="00871A3A" w:rsidRPr="007E3D1A" w:rsidRDefault="00871A3A" w:rsidP="00871A3A">
      <w:pPr>
        <w:rPr>
          <w:rFonts w:cs="Arial"/>
          <w:sz w:val="22"/>
        </w:rPr>
      </w:pPr>
      <w:r w:rsidRPr="007E3D1A">
        <w:rPr>
          <w:rFonts w:cs="Arial"/>
          <w:sz w:val="22"/>
        </w:rPr>
        <w:t>L’entreprise peut, mais pas nécessairement, prétendre à une indemnisation pour la période de suspension des travaux.</w:t>
      </w:r>
    </w:p>
    <w:p w14:paraId="483094EE" w14:textId="77777777" w:rsidR="00871A3A" w:rsidRPr="007E3D1A" w:rsidRDefault="00871A3A" w:rsidP="00871A3A">
      <w:pPr>
        <w:rPr>
          <w:rFonts w:cs="Arial"/>
          <w:sz w:val="22"/>
        </w:rPr>
      </w:pPr>
    </w:p>
    <w:p w14:paraId="0ACE4395" w14:textId="77777777" w:rsidR="00871A3A" w:rsidRPr="007E3D1A" w:rsidRDefault="00871A3A" w:rsidP="00871A3A">
      <w:pPr>
        <w:rPr>
          <w:rFonts w:cs="Arial"/>
          <w:sz w:val="22"/>
        </w:rPr>
      </w:pPr>
      <w:r w:rsidRPr="007E3D1A">
        <w:rPr>
          <w:rFonts w:cs="Arial"/>
          <w:sz w:val="22"/>
        </w:rPr>
        <w:t>Si les services culturels n’envoient pas un représentant dans les délais spécifiés (dans les 24 heures, par exemple), l’ingénieur résident peut être autorisé à proroger ces délais pour une période spécifiée.</w:t>
      </w:r>
    </w:p>
    <w:p w14:paraId="26036BCB" w14:textId="77777777" w:rsidR="00871A3A" w:rsidRPr="007E3D1A" w:rsidRDefault="00871A3A" w:rsidP="00871A3A">
      <w:pPr>
        <w:rPr>
          <w:rFonts w:cs="Arial"/>
          <w:sz w:val="22"/>
        </w:rPr>
      </w:pPr>
    </w:p>
    <w:p w14:paraId="6C4B1B37" w14:textId="77777777" w:rsidR="00871A3A" w:rsidRPr="007E3D1A" w:rsidRDefault="00871A3A" w:rsidP="00871A3A">
      <w:pPr>
        <w:rPr>
          <w:rFonts w:cs="Arial"/>
          <w:sz w:val="22"/>
        </w:rPr>
      </w:pPr>
      <w:r w:rsidRPr="007E3D1A">
        <w:rPr>
          <w:rFonts w:cs="Arial"/>
          <w:sz w:val="22"/>
        </w:rPr>
        <w:t>Si les services culturels n’envoient pas un représentant dans la période de prorogation, l’ingénieur résident peut être autorisé à demander à l’entreprise de déplacer le bien culturel physique ou de prendre d’autres mesures d’atténuation et de reprendre les travaux. Les travaux supplémentaires seront imputés sur le marché, mais l’entreprise ne pourra pas réclamer une indemnisation pour la période de suspension des travaux.</w:t>
      </w:r>
    </w:p>
    <w:p w14:paraId="18601055" w14:textId="77777777" w:rsidR="00871A3A" w:rsidRPr="00871A3A" w:rsidRDefault="00871A3A" w:rsidP="00871A3A">
      <w:pPr>
        <w:rPr>
          <w:rFonts w:cs="Arial"/>
          <w:i/>
          <w:sz w:val="22"/>
        </w:rPr>
      </w:pPr>
    </w:p>
    <w:p w14:paraId="385F5064" w14:textId="77777777" w:rsidR="00871A3A" w:rsidRPr="00871A3A" w:rsidRDefault="00871A3A" w:rsidP="00871A3A">
      <w:pPr>
        <w:rPr>
          <w:rFonts w:cs="Arial"/>
          <w:i/>
          <w:sz w:val="22"/>
        </w:rPr>
      </w:pPr>
      <w:r w:rsidRPr="00871A3A">
        <w:rPr>
          <w:rFonts w:cs="Arial"/>
          <w:i/>
          <w:sz w:val="22"/>
        </w:rPr>
        <w:t>Suspension supplémentaire des travaux</w:t>
      </w:r>
    </w:p>
    <w:p w14:paraId="3B9BD90E" w14:textId="77777777" w:rsidR="00871A3A" w:rsidRPr="00871A3A" w:rsidRDefault="00871A3A" w:rsidP="00871A3A">
      <w:pPr>
        <w:rPr>
          <w:rFonts w:cs="Arial"/>
          <w:i/>
          <w:sz w:val="22"/>
        </w:rPr>
      </w:pPr>
    </w:p>
    <w:p w14:paraId="64E2C7EC" w14:textId="77777777" w:rsidR="00871A3A" w:rsidRPr="007E3D1A" w:rsidRDefault="00871A3A" w:rsidP="00871A3A">
      <w:pPr>
        <w:rPr>
          <w:rFonts w:cs="Arial"/>
          <w:sz w:val="22"/>
        </w:rPr>
      </w:pPr>
      <w:r w:rsidRPr="007E3D1A">
        <w:rPr>
          <w:rFonts w:cs="Arial"/>
          <w:sz w:val="22"/>
        </w:rPr>
        <w:t>Durant la période de 7 jours, les services culturels peuvent être en droit de demander la suspension temporaire des travaux sur le site de la découverte ou à proximité pendant une période supplémentaire de 30 jours, par exemple.</w:t>
      </w:r>
    </w:p>
    <w:p w14:paraId="6B1CA0C4" w14:textId="77777777" w:rsidR="00871A3A" w:rsidRPr="007E3D1A" w:rsidRDefault="00871A3A" w:rsidP="00871A3A">
      <w:pPr>
        <w:rPr>
          <w:rFonts w:cs="Arial"/>
          <w:sz w:val="22"/>
        </w:rPr>
      </w:pPr>
    </w:p>
    <w:p w14:paraId="44507EF5" w14:textId="77777777" w:rsidR="00871A3A" w:rsidRPr="007E3D1A" w:rsidRDefault="00871A3A" w:rsidP="00871A3A">
      <w:pPr>
        <w:rPr>
          <w:rFonts w:cs="Arial"/>
          <w:sz w:val="22"/>
        </w:rPr>
      </w:pPr>
      <w:r w:rsidRPr="007E3D1A">
        <w:rPr>
          <w:rFonts w:cs="Arial"/>
          <w:sz w:val="22"/>
        </w:rPr>
        <w:t>L’entreprise peut, mais pas nécessairement, prétendre à une indemnisation pour cette période supplémentaire de suspension des travaux.</w:t>
      </w:r>
    </w:p>
    <w:p w14:paraId="5F234B4D" w14:textId="77777777" w:rsidR="00871A3A" w:rsidRPr="007E3D1A" w:rsidRDefault="00871A3A" w:rsidP="00871A3A">
      <w:pPr>
        <w:rPr>
          <w:rFonts w:cs="Arial"/>
          <w:sz w:val="22"/>
        </w:rPr>
      </w:pPr>
    </w:p>
    <w:p w14:paraId="680CC20E" w14:textId="77777777" w:rsidR="00871A3A" w:rsidRPr="007E3D1A" w:rsidRDefault="00871A3A" w:rsidP="00871A3A">
      <w:pPr>
        <w:rPr>
          <w:rFonts w:cs="Arial"/>
          <w:sz w:val="22"/>
        </w:rPr>
      </w:pPr>
      <w:r w:rsidRPr="007E3D1A">
        <w:rPr>
          <w:rFonts w:cs="Arial"/>
          <w:sz w:val="22"/>
        </w:rPr>
        <w:t>L’entreprise peut cependant être autorisée à signer avec les services responsables du patrimoine culturel un nouvel accord portant sur la fourniture de services ou de ressources supplémentaires durant cette période.</w:t>
      </w:r>
    </w:p>
    <w:p w14:paraId="4C7D814E" w14:textId="77777777" w:rsidR="00871A3A" w:rsidRPr="007E3D1A" w:rsidRDefault="00871A3A" w:rsidP="00871A3A">
      <w:pPr>
        <w:rPr>
          <w:rFonts w:cs="Arial"/>
          <w:sz w:val="22"/>
        </w:rPr>
      </w:pPr>
    </w:p>
    <w:p w14:paraId="05D66E99" w14:textId="77777777" w:rsidR="00871A3A" w:rsidRPr="00871A3A" w:rsidRDefault="00871A3A" w:rsidP="00871A3A">
      <w:pPr>
        <w:rPr>
          <w:rFonts w:cs="Arial"/>
          <w:b/>
          <w:sz w:val="22"/>
        </w:rPr>
      </w:pPr>
      <w:r w:rsidRPr="00871A3A">
        <w:rPr>
          <w:rFonts w:cs="Arial"/>
          <w:b/>
          <w:sz w:val="22"/>
        </w:rPr>
        <w:t>Approvisionnement en Eau</w:t>
      </w:r>
    </w:p>
    <w:p w14:paraId="0E5D8E38" w14:textId="77777777" w:rsidR="00871A3A" w:rsidRPr="007E3D1A" w:rsidRDefault="00871A3A" w:rsidP="00871A3A">
      <w:pPr>
        <w:rPr>
          <w:rFonts w:cs="Arial"/>
          <w:sz w:val="22"/>
        </w:rPr>
      </w:pPr>
    </w:p>
    <w:p w14:paraId="3625BB62"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Eviter que les besoins en eau des chantiers ne portent préjudice aux sources d’eau utilisées par les communautés locales ;</w:t>
      </w:r>
    </w:p>
    <w:p w14:paraId="60926B8D"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Utiliser dans la mesure du possible les services publics d’eau potable, s’ils sont disponibles ;</w:t>
      </w:r>
    </w:p>
    <w:p w14:paraId="6C34EEF7"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Au besoin, rechercher et exploiter des points d’eau qui seront à sa charge ;</w:t>
      </w:r>
    </w:p>
    <w:p w14:paraId="45C06567"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Obtenir une autorisation du Service de l’hydraulique local, et respecter la réglementation en vigueur, en cas d’approvisionnement en eau à partir des eaux souterraines ou de surface ;</w:t>
      </w:r>
    </w:p>
    <w:p w14:paraId="00FEFB03"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Désinfecter l’eau de surface destinée à la consommation humaine (personnel de chantier) par chloration ou autre procédé approuvé par les services environnementaux et sanitaires concernés ;</w:t>
      </w:r>
    </w:p>
    <w:p w14:paraId="50F0465B"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 xml:space="preserve">Si l’eau n’est pas entièrement conforme aux critères de qualité d’une eau potable, l’Entreprise doit prendre des mesures alternatives telles que la fourniture d’eau embouteillée ou l’installation de réservoirs d'eau en quantité et en qualité suffisantes.  Cette eau doit être conforme au règlement sur les eaux potables </w:t>
      </w:r>
    </w:p>
    <w:p w14:paraId="2CC7E79A" w14:textId="77777777" w:rsidR="00871A3A" w:rsidRPr="007E3D1A" w:rsidRDefault="00871A3A" w:rsidP="00871A3A">
      <w:pPr>
        <w:rPr>
          <w:rFonts w:cs="Arial"/>
          <w:sz w:val="22"/>
        </w:rPr>
      </w:pPr>
    </w:p>
    <w:p w14:paraId="0C0CDC62" w14:textId="77777777" w:rsidR="00871A3A" w:rsidRPr="00871A3A" w:rsidRDefault="00871A3A" w:rsidP="00871A3A">
      <w:pPr>
        <w:rPr>
          <w:rFonts w:cs="Arial"/>
          <w:b/>
          <w:sz w:val="22"/>
        </w:rPr>
      </w:pPr>
      <w:r w:rsidRPr="00871A3A">
        <w:rPr>
          <w:rFonts w:cs="Arial"/>
          <w:b/>
          <w:sz w:val="22"/>
        </w:rPr>
        <w:t>Déblais et déchets d’excavation</w:t>
      </w:r>
    </w:p>
    <w:p w14:paraId="646F627B" w14:textId="77777777" w:rsidR="00871A3A" w:rsidRPr="007E3D1A" w:rsidRDefault="00871A3A" w:rsidP="00871A3A">
      <w:pPr>
        <w:rPr>
          <w:rFonts w:cs="Arial"/>
          <w:sz w:val="22"/>
        </w:rPr>
      </w:pPr>
    </w:p>
    <w:p w14:paraId="20220272" w14:textId="77777777" w:rsidR="00871A3A" w:rsidRPr="007E3D1A" w:rsidRDefault="00871A3A" w:rsidP="00871A3A">
      <w:pPr>
        <w:rPr>
          <w:rFonts w:cs="Arial"/>
          <w:sz w:val="22"/>
        </w:rPr>
      </w:pPr>
      <w:r w:rsidRPr="007E3D1A">
        <w:rPr>
          <w:rFonts w:cs="Arial"/>
          <w:sz w:val="22"/>
        </w:rPr>
        <w:t>L’Entreprise doit :</w:t>
      </w:r>
    </w:p>
    <w:p w14:paraId="53C48942" w14:textId="77777777" w:rsidR="00871A3A" w:rsidRPr="007E3D1A" w:rsidRDefault="00871A3A" w:rsidP="00871A3A">
      <w:pPr>
        <w:rPr>
          <w:rFonts w:cs="Arial"/>
          <w:sz w:val="22"/>
        </w:rPr>
      </w:pPr>
    </w:p>
    <w:p w14:paraId="35D28B82"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Déposer les déblais non réutilisés dans des aires d’entreposage s’il est prévu de les utiliser plus tard ; sinon les transporter dans des zones de remblais préalablement autorisées ;</w:t>
      </w:r>
    </w:p>
    <w:p w14:paraId="693ECE98"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Collecter et gérer correctement tous les déchets solides provenant des travaux de construction ;</w:t>
      </w:r>
    </w:p>
    <w:p w14:paraId="29888B4A"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Transporter les déchets et débris de construction ou d’excavation dans des sites d'élimination approuvés par les autorités compétentes ; et</w:t>
      </w:r>
    </w:p>
    <w:p w14:paraId="76546933"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Enlever dès que possible les matériaux d'excavation inutiles des sites de construction.</w:t>
      </w:r>
    </w:p>
    <w:p w14:paraId="1F54C922" w14:textId="77777777" w:rsidR="00871A3A" w:rsidRPr="007E3D1A" w:rsidRDefault="00871A3A" w:rsidP="00871A3A">
      <w:pPr>
        <w:rPr>
          <w:rFonts w:cs="Arial"/>
          <w:sz w:val="22"/>
        </w:rPr>
      </w:pPr>
    </w:p>
    <w:p w14:paraId="12B4DDB8" w14:textId="77777777" w:rsidR="00871A3A" w:rsidRPr="00871A3A" w:rsidRDefault="00871A3A" w:rsidP="00871A3A">
      <w:pPr>
        <w:rPr>
          <w:rFonts w:cs="Arial"/>
          <w:b/>
          <w:sz w:val="22"/>
        </w:rPr>
      </w:pPr>
      <w:r w:rsidRPr="00871A3A">
        <w:rPr>
          <w:rFonts w:cs="Arial"/>
          <w:b/>
          <w:sz w:val="22"/>
        </w:rPr>
        <w:t>Émanations et Projections</w:t>
      </w:r>
    </w:p>
    <w:p w14:paraId="3FAA9072" w14:textId="77777777" w:rsidR="00871A3A" w:rsidRPr="007E3D1A" w:rsidRDefault="00871A3A" w:rsidP="00871A3A">
      <w:pPr>
        <w:rPr>
          <w:rFonts w:cs="Arial"/>
          <w:sz w:val="22"/>
        </w:rPr>
      </w:pPr>
    </w:p>
    <w:p w14:paraId="0D742C86" w14:textId="77777777" w:rsidR="00871A3A" w:rsidRPr="007E3D1A" w:rsidRDefault="00871A3A" w:rsidP="00871A3A">
      <w:pPr>
        <w:rPr>
          <w:rFonts w:cs="Arial"/>
          <w:sz w:val="22"/>
        </w:rPr>
      </w:pPr>
      <w:r w:rsidRPr="007E3D1A">
        <w:rPr>
          <w:rFonts w:cs="Arial"/>
          <w:sz w:val="22"/>
        </w:rPr>
        <w:t>L’Entreprise doit :</w:t>
      </w:r>
    </w:p>
    <w:p w14:paraId="3CDCD29E" w14:textId="77777777" w:rsidR="00871A3A" w:rsidRPr="007E3D1A" w:rsidRDefault="00871A3A" w:rsidP="00871A3A">
      <w:pPr>
        <w:rPr>
          <w:rFonts w:cs="Arial"/>
          <w:sz w:val="22"/>
        </w:rPr>
      </w:pPr>
    </w:p>
    <w:p w14:paraId="7E88CB3D"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Hermétiquement contenir au moyen d’une bâche le sable, le ciment et les autres matériaux fins durant leur transport, afin d'éviter l’envol de poussière ou leur déversement ;</w:t>
      </w:r>
    </w:p>
    <w:p w14:paraId="60E9ED2D"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Prendre des protections spéciales (filets, bâches) contre les risques de projections, émanations et chutes d’objets ;</w:t>
      </w:r>
    </w:p>
    <w:p w14:paraId="093CC7AB"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Utiliser des méthodes de contrôle des poussières, telles que le recouvrement, l’arrosage, ou l'augmentation de la teneur en humidité des piles de stockage de matériaux à ciel ouvert, ou mettre en place des mesures de contrôle, y compris l'extraction et le traitement de l'air par un dépoussiéreur à sacs filtrants ou un cyclone pour les moyens de manutention des matériaux, telles que les convoyeurs et les bacs ;</w:t>
      </w:r>
    </w:p>
    <w:p w14:paraId="7BC4A94F"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Arroser pour contrôler la poussière sur les routes et pistes empruntées par ses engins de transport pour éviter la poussière, plus particulièrement au niveau des zones habitées.  Les sous-produits du pétrole ne doivent pas être utilisés ;</w:t>
      </w:r>
    </w:p>
    <w:p w14:paraId="42A032C3"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Choisir l’emplacement des concasseurs et des équipements similaires en fonction du bruit et de la poussière qu'ils produisent. Le port de lunettes et de masques anti poussières est obligatoire ;</w:t>
      </w:r>
    </w:p>
    <w:p w14:paraId="16C82E72"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Nettoyer régulièrement les surfaces des routes sur les sites de construction pour éliminer les poussières accumulées, et nettoyer régulièrement les véhicules de transport.</w:t>
      </w:r>
    </w:p>
    <w:p w14:paraId="18AA8975"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Utiliser des lave-roues dans les carrières, les usines de préparation de mélanges, les chantiers de construction et autres installations pour empêcher la formation de boue, de poussière et de saleté sur la voie publique ; et</w:t>
      </w:r>
    </w:p>
    <w:p w14:paraId="61681043"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Minimiser la fumée des moteurs diesel par un entretien régulier et adéquat, notamment en veillant à ce que le moteur, le système d'injection et les filtres à air soient en bon état.</w:t>
      </w:r>
    </w:p>
    <w:p w14:paraId="7044D478" w14:textId="77777777" w:rsidR="00871A3A" w:rsidRPr="007E3D1A" w:rsidRDefault="00871A3A" w:rsidP="00871A3A">
      <w:pPr>
        <w:rPr>
          <w:rFonts w:cs="Arial"/>
          <w:sz w:val="22"/>
        </w:rPr>
      </w:pPr>
    </w:p>
    <w:p w14:paraId="1B9802A5" w14:textId="77777777" w:rsidR="00871A3A" w:rsidRPr="00871A3A" w:rsidRDefault="00871A3A" w:rsidP="00871A3A">
      <w:pPr>
        <w:rPr>
          <w:rFonts w:cs="Arial"/>
          <w:b/>
          <w:sz w:val="22"/>
        </w:rPr>
      </w:pPr>
      <w:r w:rsidRPr="00871A3A">
        <w:rPr>
          <w:rFonts w:cs="Arial"/>
          <w:b/>
          <w:sz w:val="22"/>
        </w:rPr>
        <w:t>Produits Dangereux et Toxiques</w:t>
      </w:r>
    </w:p>
    <w:p w14:paraId="31AA41F1" w14:textId="77777777" w:rsidR="00871A3A" w:rsidRPr="007E3D1A" w:rsidRDefault="00871A3A" w:rsidP="00871A3A">
      <w:pPr>
        <w:rPr>
          <w:rFonts w:cs="Arial"/>
          <w:sz w:val="22"/>
        </w:rPr>
      </w:pPr>
    </w:p>
    <w:p w14:paraId="6BB097C2" w14:textId="77777777" w:rsidR="00871A3A" w:rsidRPr="007E3D1A" w:rsidRDefault="00871A3A" w:rsidP="00871A3A">
      <w:pPr>
        <w:rPr>
          <w:rFonts w:cs="Arial"/>
          <w:sz w:val="22"/>
        </w:rPr>
      </w:pPr>
      <w:r w:rsidRPr="007E3D1A">
        <w:rPr>
          <w:rFonts w:cs="Arial"/>
          <w:sz w:val="22"/>
        </w:rPr>
        <w:t xml:space="preserve">Les produits et déchets dangereux, toxiques ou nocifs résultant des activités de construction requièrent une attention particulière afin de prévenir leur introduction dans l'environnement naturel, qui pourrait nuire aux personnes ou à l’environnement terrestre et aquatique.  </w:t>
      </w:r>
    </w:p>
    <w:p w14:paraId="70BAEC2D" w14:textId="77777777" w:rsidR="00871A3A" w:rsidRPr="007E3D1A" w:rsidRDefault="00871A3A" w:rsidP="00871A3A">
      <w:pPr>
        <w:rPr>
          <w:rFonts w:cs="Arial"/>
          <w:sz w:val="22"/>
        </w:rPr>
      </w:pPr>
    </w:p>
    <w:p w14:paraId="4E03808B" w14:textId="77777777" w:rsidR="00871A3A" w:rsidRPr="007E3D1A" w:rsidRDefault="00871A3A" w:rsidP="00871A3A">
      <w:pPr>
        <w:rPr>
          <w:rFonts w:cs="Arial"/>
          <w:sz w:val="22"/>
        </w:rPr>
      </w:pPr>
      <w:r w:rsidRPr="007E3D1A">
        <w:rPr>
          <w:rFonts w:cs="Arial"/>
          <w:sz w:val="22"/>
        </w:rPr>
        <w:t>L’Entreprise doit :</w:t>
      </w:r>
    </w:p>
    <w:p w14:paraId="77673A9F" w14:textId="77777777" w:rsidR="00871A3A" w:rsidRPr="007E3D1A" w:rsidRDefault="00871A3A" w:rsidP="00871A3A">
      <w:pPr>
        <w:rPr>
          <w:rFonts w:cs="Arial"/>
          <w:sz w:val="22"/>
        </w:rPr>
      </w:pPr>
    </w:p>
    <w:p w14:paraId="4E40D5B4"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Transporter les produits pétroliers, les lubrifiants et les autres matières dangereuses de façon sécuritaire, dans des contenants étanches sur lesquels le nom du produit est clairement identifié ;</w:t>
      </w:r>
    </w:p>
    <w:p w14:paraId="2853429E"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La livraison doit être effectuée par des camions citernes conformes à la réglementation en vigueur et les conducteurs doivent être sensibilisés sur les dégâts en cas d’accident ;</w:t>
      </w:r>
    </w:p>
    <w:p w14:paraId="1D2F7447"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Étiqueter tous les récipients susceptibles de contenir des substances dangereuses en raison de leurs propriétés chimiques ou toxicologiques, ou de la température ou de la pression, en fonction de leur contenu et du danger qu'ils présentent, ou selon un code de couleur approprié ;</w:t>
      </w:r>
    </w:p>
    <w:p w14:paraId="408C8935"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Installer les entrepôts de combustible, de lubrifiants et de produits pétroliers à une distance d’au moins 200 m des plans et cours d’eau.  Les lieux d'entreposage doivent être localisés à l’extérieur de toute zone inondable et d’habitation, et être bien identifiés afin d’éviter des collisions entre les véhicules de chantier et les réservoirs de produits pétroliers ;</w:t>
      </w:r>
    </w:p>
    <w:p w14:paraId="6A787FAE"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Faire effectuer les opérations de transbordement vers les citernes de stockage par un personnel qualifié.  Les citernes de stockage doivent être étanches et posées sur des surfaces protégées disposant d'un système de protection contre des épanchements intempestifs de produit ;</w:t>
      </w:r>
    </w:p>
    <w:p w14:paraId="2BC736B7"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Utiliser des surfaces imperméables pour les zones de ravitaillement en carburant et autres zones de transfert de fluides ;</w:t>
      </w:r>
    </w:p>
    <w:p w14:paraId="148AD1AA"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Protéger les réservoirs de produits pétroliers et les équipements de remplissage par une cuvette pour la rétention du contenu en cas de déversement accidentel.  Tous les réservoirs doivent être fermés quand ils ne sont pas utilisés ;</w:t>
      </w:r>
    </w:p>
    <w:p w14:paraId="2C9A2FAA"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Prévoir un confinement secondaire adéquat pour les réservoirs de stockage de carburant et pour le stockage temporaire d'autres fluides tels que les huiles de lubrification et les fluides hydrauliques ;</w:t>
      </w:r>
    </w:p>
    <w:p w14:paraId="32235C7C"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Éviter de stocker ou de manipuler des liquides toxiques à proximité des installations de drainage ou de les évacuer vers celles-ci ;</w:t>
      </w:r>
    </w:p>
    <w:p w14:paraId="119FBEB7"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Préparer un plan d’urgence en cas de déversement accidentel de contaminants et le soumettre au Maître d’Ouvrage délégué avant le début des travaux ; et</w:t>
      </w:r>
    </w:p>
    <w:p w14:paraId="386438C4"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Former les ouvriers sur le transfert et la manipulation corrects des carburants et des produits chimiques, et sur la réponse à apporter en cas de déversement.  Les mesures de lutte et de contrôle contre les déversements de produits contaminants doivent être clairement définies et les ouvriers doivent les connaître et pouvoir les mettre en œuvre en cas d’accident ;</w:t>
      </w:r>
    </w:p>
    <w:p w14:paraId="77E27936"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Garder des matériaux ou composés absorbants et d’isolants (e.g., coussins, feuilles, boudins) sur le site en quantités suffisantes correspondant à l'ampleur des déversements potentiels, ainsi que des récipients étanches bien identifiés, destinés à recevoir les résidus pétroliers et les déchets ;</w:t>
      </w:r>
    </w:p>
    <w:p w14:paraId="46510DCB"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Mettre en place sur le chantier et les installations des équipements portables de confinement et de nettoyage des déversements (e.g., pelles, pompes, machinerie, contenants, gants, isolants), les équipements de communication (radio émetteur et téléphone), ainsi que le matériel requis pour signaler le déversement ;</w:t>
      </w:r>
    </w:p>
    <w:p w14:paraId="2E8B0448"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Verser les produits toxiques, tels que des liquides, des produits chimiques, du carburant, et des lubrifiants, dans des conteneurs en vue de leur récupération ou de leur transport ultérieur hors site ;</w:t>
      </w:r>
    </w:p>
    <w:p w14:paraId="26300856" w14:textId="77777777" w:rsidR="00871A3A" w:rsidRPr="00871A3A" w:rsidRDefault="00871A3A" w:rsidP="002378EA">
      <w:pPr>
        <w:pStyle w:val="Paragraphedeliste"/>
        <w:numPr>
          <w:ilvl w:val="0"/>
          <w:numId w:val="69"/>
        </w:numPr>
        <w:autoSpaceDE w:val="0"/>
        <w:autoSpaceDN w:val="0"/>
        <w:adjustRightInd w:val="0"/>
        <w:rPr>
          <w:rFonts w:cs="Arial"/>
          <w:color w:val="000000"/>
          <w:sz w:val="22"/>
        </w:rPr>
      </w:pPr>
      <w:r w:rsidRPr="00871A3A">
        <w:rPr>
          <w:rFonts w:cs="Arial"/>
          <w:color w:val="000000"/>
          <w:sz w:val="22"/>
        </w:rPr>
        <w:t>Nettoyer les aires de travail ou de stockage où des produits pétroliers ou autres contaminants ont été manipulés.</w:t>
      </w:r>
    </w:p>
    <w:p w14:paraId="1BBC9E57" w14:textId="77777777" w:rsidR="00871A3A" w:rsidRPr="007E3D1A" w:rsidRDefault="00871A3A" w:rsidP="00871A3A">
      <w:pPr>
        <w:rPr>
          <w:rFonts w:cs="Arial"/>
          <w:sz w:val="22"/>
        </w:rPr>
      </w:pPr>
    </w:p>
    <w:p w14:paraId="2E1333F1" w14:textId="77777777" w:rsidR="00871A3A" w:rsidRPr="00871A3A" w:rsidRDefault="00871A3A" w:rsidP="00871A3A">
      <w:pPr>
        <w:rPr>
          <w:rFonts w:cs="Arial"/>
          <w:b/>
          <w:sz w:val="22"/>
        </w:rPr>
      </w:pPr>
      <w:r w:rsidRPr="00871A3A">
        <w:rPr>
          <w:rFonts w:cs="Arial"/>
          <w:b/>
          <w:sz w:val="22"/>
        </w:rPr>
        <w:t>Entretien des engins et équipements de chantiers</w:t>
      </w:r>
    </w:p>
    <w:p w14:paraId="31BC7134" w14:textId="77777777" w:rsidR="00871A3A" w:rsidRPr="007E3D1A" w:rsidRDefault="00871A3A" w:rsidP="00871A3A">
      <w:pPr>
        <w:rPr>
          <w:rFonts w:cs="Arial"/>
          <w:sz w:val="22"/>
        </w:rPr>
      </w:pPr>
    </w:p>
    <w:p w14:paraId="254FAAC3" w14:textId="77777777" w:rsidR="00871A3A" w:rsidRPr="007E3D1A" w:rsidRDefault="00871A3A" w:rsidP="00871A3A">
      <w:pPr>
        <w:rPr>
          <w:rFonts w:cs="Arial"/>
          <w:sz w:val="22"/>
        </w:rPr>
      </w:pPr>
      <w:r w:rsidRPr="007E3D1A">
        <w:rPr>
          <w:rFonts w:cs="Arial"/>
          <w:sz w:val="22"/>
        </w:rPr>
        <w:t>L'Entreprise doit :</w:t>
      </w:r>
    </w:p>
    <w:p w14:paraId="7C56D0A1" w14:textId="77777777" w:rsidR="00871A3A" w:rsidRPr="007E3D1A" w:rsidRDefault="00871A3A" w:rsidP="00871A3A">
      <w:pPr>
        <w:rPr>
          <w:rFonts w:cs="Arial"/>
          <w:sz w:val="22"/>
        </w:rPr>
      </w:pPr>
    </w:p>
    <w:p w14:paraId="298EAFDE" w14:textId="77777777" w:rsidR="00871A3A" w:rsidRPr="007E3D1A" w:rsidRDefault="00871A3A" w:rsidP="00871A3A">
      <w:pPr>
        <w:rPr>
          <w:rFonts w:cs="Arial"/>
          <w:sz w:val="22"/>
        </w:rPr>
      </w:pPr>
      <w:r w:rsidRPr="007E3D1A">
        <w:rPr>
          <w:rFonts w:cs="Arial"/>
          <w:sz w:val="22"/>
        </w:rPr>
        <w:t>Respecter les normes d’entretien des engins de chantiers et des véhicules et effectuer le ravitaillement en carburant et lubrifiant dans un lieu désigné à cet effet.</w:t>
      </w:r>
    </w:p>
    <w:p w14:paraId="61FDA965" w14:textId="77777777" w:rsidR="00871A3A" w:rsidRPr="007E3D1A" w:rsidRDefault="00871A3A" w:rsidP="00871A3A">
      <w:pPr>
        <w:rPr>
          <w:rFonts w:cs="Arial"/>
          <w:sz w:val="22"/>
        </w:rPr>
      </w:pPr>
      <w:r w:rsidRPr="007E3D1A">
        <w:rPr>
          <w:rFonts w:cs="Arial"/>
          <w:sz w:val="22"/>
        </w:rPr>
        <w:t>Recueillir, traiter ou recycler tous les résidus pétroliers, les huiles usagées et les déchets produits lors des activités d'entretien ou de réparation de la machinerie.  Il est interdit de les rejeter dans l'environnement ou sur le site du chantier.</w:t>
      </w:r>
    </w:p>
    <w:p w14:paraId="5B58680C" w14:textId="77777777" w:rsidR="00871A3A" w:rsidRPr="007E3D1A" w:rsidRDefault="00871A3A" w:rsidP="00871A3A">
      <w:pPr>
        <w:rPr>
          <w:rFonts w:cs="Arial"/>
          <w:sz w:val="22"/>
        </w:rPr>
      </w:pPr>
      <w:r w:rsidRPr="007E3D1A">
        <w:rPr>
          <w:rFonts w:cs="Arial"/>
          <w:sz w:val="22"/>
        </w:rPr>
        <w:t>S’assurer que les aires de lavage et d'entretien d'engins soient bétonnées et pourvues d'un ouvrage de récupération des huiles et graisses, avec une pente orientée de manière à éviter l'écoulement des produits polluants vers les sols non revêtus. Les bétonnières et les équipements servant au transport et à la pose du béton doivent être lavés dans des aires prévues à cet effet.</w:t>
      </w:r>
    </w:p>
    <w:p w14:paraId="699C84D3" w14:textId="77777777" w:rsidR="00871A3A" w:rsidRPr="007E3D1A" w:rsidRDefault="00871A3A" w:rsidP="00871A3A">
      <w:pPr>
        <w:rPr>
          <w:rFonts w:cs="Arial"/>
          <w:sz w:val="22"/>
        </w:rPr>
      </w:pPr>
      <w:r w:rsidRPr="007E3D1A">
        <w:rPr>
          <w:rFonts w:cs="Arial"/>
          <w:sz w:val="22"/>
        </w:rPr>
        <w:t xml:space="preserve">Effectuer les vidanges dans des fûts étanches et conserver les huiles usagées pour les remettre au fournisseur (recyclage) ou aux populations locales pour d’autres usages.  Les pièces de rechange usagées doivent être envoyées à la décharge publique. </w:t>
      </w:r>
    </w:p>
    <w:p w14:paraId="34A08525" w14:textId="77777777" w:rsidR="00871A3A" w:rsidRPr="007E3D1A" w:rsidRDefault="00871A3A" w:rsidP="00871A3A">
      <w:pPr>
        <w:rPr>
          <w:rFonts w:cs="Arial"/>
          <w:sz w:val="22"/>
        </w:rPr>
      </w:pPr>
    </w:p>
    <w:p w14:paraId="0D20A4E7" w14:textId="77777777" w:rsidR="00871A3A" w:rsidRPr="007E3D1A" w:rsidRDefault="00871A3A" w:rsidP="00871A3A">
      <w:pPr>
        <w:rPr>
          <w:rFonts w:cs="Arial"/>
          <w:sz w:val="22"/>
        </w:rPr>
      </w:pPr>
      <w:r w:rsidRPr="007E3D1A">
        <w:rPr>
          <w:rFonts w:cs="Arial"/>
          <w:sz w:val="22"/>
        </w:rPr>
        <w:t>Gestion des déchets liquides</w:t>
      </w:r>
    </w:p>
    <w:p w14:paraId="3862D7D5" w14:textId="77777777" w:rsidR="00871A3A" w:rsidRPr="007E3D1A" w:rsidRDefault="00871A3A" w:rsidP="00871A3A">
      <w:pPr>
        <w:rPr>
          <w:rFonts w:cs="Arial"/>
          <w:sz w:val="22"/>
        </w:rPr>
      </w:pPr>
    </w:p>
    <w:p w14:paraId="42FEDCC5" w14:textId="77777777" w:rsidR="00871A3A" w:rsidRPr="007E3D1A" w:rsidRDefault="00871A3A" w:rsidP="00871A3A">
      <w:pPr>
        <w:rPr>
          <w:rFonts w:cs="Arial"/>
          <w:sz w:val="22"/>
        </w:rPr>
      </w:pPr>
      <w:r w:rsidRPr="007E3D1A">
        <w:rPr>
          <w:rFonts w:cs="Arial"/>
          <w:sz w:val="22"/>
        </w:rPr>
        <w:t>L’entreprise doit :</w:t>
      </w:r>
    </w:p>
    <w:p w14:paraId="46685BF7" w14:textId="77777777" w:rsidR="00871A3A" w:rsidRPr="007E3D1A" w:rsidRDefault="00871A3A" w:rsidP="00871A3A">
      <w:pPr>
        <w:rPr>
          <w:rFonts w:cs="Arial"/>
          <w:sz w:val="22"/>
        </w:rPr>
      </w:pPr>
    </w:p>
    <w:p w14:paraId="2C9CE9E0" w14:textId="77777777" w:rsidR="00871A3A" w:rsidRPr="007E3D1A" w:rsidRDefault="00871A3A" w:rsidP="00871A3A">
      <w:pPr>
        <w:rPr>
          <w:rFonts w:cs="Arial"/>
          <w:sz w:val="22"/>
        </w:rPr>
      </w:pPr>
      <w:r w:rsidRPr="007E3D1A">
        <w:rPr>
          <w:rFonts w:cs="Arial"/>
          <w:sz w:val="22"/>
        </w:rPr>
        <w:t>Pouvoir les bureaux et les logements d'installations sanitaires en nombre suffisant (latrines, fosses septiques, lavabos et douches), en accord avec le Maître d’Ouvrage délégué, et en conformité avec les règlements sanitaires applicables ;</w:t>
      </w:r>
    </w:p>
    <w:p w14:paraId="1AC4F35F" w14:textId="77777777" w:rsidR="00871A3A" w:rsidRPr="007E3D1A" w:rsidRDefault="00871A3A" w:rsidP="00871A3A">
      <w:pPr>
        <w:rPr>
          <w:rFonts w:cs="Arial"/>
          <w:sz w:val="22"/>
        </w:rPr>
      </w:pPr>
      <w:r w:rsidRPr="007E3D1A">
        <w:rPr>
          <w:rFonts w:cs="Arial"/>
          <w:sz w:val="22"/>
        </w:rPr>
        <w:t>Assurer un traitement primaire adéquat des effluents d'assainissement par la mise en place un système d’assainissement autonome approprié, par exemple une fosse étanche ou septique ; et</w:t>
      </w:r>
    </w:p>
    <w:p w14:paraId="10B93172" w14:textId="77777777" w:rsidR="00871A3A" w:rsidRPr="007E3D1A" w:rsidRDefault="00871A3A" w:rsidP="00871A3A">
      <w:pPr>
        <w:rPr>
          <w:rFonts w:cs="Arial"/>
          <w:sz w:val="22"/>
        </w:rPr>
      </w:pPr>
      <w:r w:rsidRPr="007E3D1A">
        <w:rPr>
          <w:rFonts w:cs="Arial"/>
          <w:sz w:val="22"/>
        </w:rPr>
        <w:t>Éviter tout déversement ou rejet d’eaux usées, d’eaux de vidange des fosses, de boues, hydrocarbures, et polluants de toute natures, dans les eaux superficielles ou souterraines, les égouts, ou les fossés de drainage.</w:t>
      </w:r>
    </w:p>
    <w:p w14:paraId="2BAAA327" w14:textId="77777777" w:rsidR="00871A3A" w:rsidRPr="007E3D1A" w:rsidRDefault="00871A3A" w:rsidP="00871A3A">
      <w:pPr>
        <w:rPr>
          <w:rFonts w:cs="Arial"/>
          <w:sz w:val="22"/>
        </w:rPr>
      </w:pPr>
    </w:p>
    <w:p w14:paraId="4C41E69C" w14:textId="77777777" w:rsidR="00871A3A" w:rsidRPr="007E3D1A" w:rsidRDefault="00871A3A" w:rsidP="00871A3A">
      <w:pPr>
        <w:rPr>
          <w:rFonts w:cs="Arial"/>
          <w:sz w:val="22"/>
        </w:rPr>
      </w:pPr>
      <w:r w:rsidRPr="007E3D1A">
        <w:rPr>
          <w:rFonts w:cs="Arial"/>
          <w:sz w:val="22"/>
        </w:rPr>
        <w:t>Gestion des déchets solides</w:t>
      </w:r>
    </w:p>
    <w:p w14:paraId="1738C78A" w14:textId="77777777" w:rsidR="00871A3A" w:rsidRPr="007E3D1A" w:rsidRDefault="00871A3A" w:rsidP="00871A3A">
      <w:pPr>
        <w:rPr>
          <w:rFonts w:cs="Arial"/>
          <w:sz w:val="22"/>
        </w:rPr>
      </w:pPr>
    </w:p>
    <w:p w14:paraId="784BBCF1" w14:textId="77777777" w:rsidR="00871A3A" w:rsidRPr="007E3D1A" w:rsidRDefault="00871A3A" w:rsidP="00871A3A">
      <w:pPr>
        <w:rPr>
          <w:rFonts w:cs="Arial"/>
          <w:sz w:val="22"/>
        </w:rPr>
      </w:pPr>
      <w:r w:rsidRPr="007E3D1A">
        <w:rPr>
          <w:rFonts w:cs="Arial"/>
          <w:sz w:val="22"/>
        </w:rPr>
        <w:t>L’Entreprise doit :</w:t>
      </w:r>
    </w:p>
    <w:p w14:paraId="0C9C5227" w14:textId="77777777" w:rsidR="00871A3A" w:rsidRPr="007E3D1A" w:rsidRDefault="00871A3A" w:rsidP="00871A3A">
      <w:pPr>
        <w:rPr>
          <w:rFonts w:cs="Arial"/>
          <w:sz w:val="22"/>
        </w:rPr>
      </w:pPr>
    </w:p>
    <w:p w14:paraId="64086B85" w14:textId="77777777" w:rsidR="00871A3A" w:rsidRPr="007E3D1A" w:rsidRDefault="00871A3A" w:rsidP="00871A3A">
      <w:pPr>
        <w:rPr>
          <w:rFonts w:cs="Arial"/>
          <w:sz w:val="22"/>
        </w:rPr>
      </w:pPr>
      <w:r w:rsidRPr="007E3D1A">
        <w:rPr>
          <w:rFonts w:cs="Arial"/>
          <w:sz w:val="22"/>
        </w:rPr>
        <w:t>Déposer les ordures ménagères dans des poubelles étanches qui seront vidées périodiquement ;</w:t>
      </w:r>
    </w:p>
    <w:p w14:paraId="3211C6DA" w14:textId="77777777" w:rsidR="00871A3A" w:rsidRPr="007E3D1A" w:rsidRDefault="00871A3A" w:rsidP="00871A3A">
      <w:pPr>
        <w:rPr>
          <w:rFonts w:cs="Arial"/>
          <w:sz w:val="22"/>
        </w:rPr>
      </w:pPr>
      <w:r w:rsidRPr="007E3D1A">
        <w:rPr>
          <w:rFonts w:cs="Arial"/>
          <w:sz w:val="22"/>
        </w:rPr>
        <w:t>Utiliser des bennes étanches en cas d’évacuation par les camions du chantier, de façon à ne pas laisser échapper de déchets ;</w:t>
      </w:r>
    </w:p>
    <w:p w14:paraId="6F06647F" w14:textId="77777777" w:rsidR="00871A3A" w:rsidRPr="007E3D1A" w:rsidRDefault="00871A3A" w:rsidP="00871A3A">
      <w:pPr>
        <w:rPr>
          <w:rFonts w:cs="Arial"/>
          <w:sz w:val="22"/>
        </w:rPr>
      </w:pPr>
      <w:r w:rsidRPr="007E3D1A">
        <w:rPr>
          <w:rFonts w:cs="Arial"/>
          <w:sz w:val="22"/>
        </w:rPr>
        <w:t>De préférence, collecter les ordures quotidiennement pour ne pas attirer les vecteurs, surtout durant les périodes de chaleur ;</w:t>
      </w:r>
    </w:p>
    <w:p w14:paraId="634A4B07" w14:textId="77777777" w:rsidR="00871A3A" w:rsidRPr="007E3D1A" w:rsidRDefault="00871A3A" w:rsidP="00871A3A">
      <w:pPr>
        <w:rPr>
          <w:rFonts w:cs="Arial"/>
          <w:sz w:val="22"/>
        </w:rPr>
      </w:pPr>
      <w:r w:rsidRPr="007E3D1A">
        <w:rPr>
          <w:rFonts w:cs="Arial"/>
          <w:sz w:val="22"/>
        </w:rPr>
        <w:t>Éliminer ou recycler les déchets de manière écologiquement rationnelle ;</w:t>
      </w:r>
    </w:p>
    <w:p w14:paraId="342D4527" w14:textId="77777777" w:rsidR="00871A3A" w:rsidRPr="007E3D1A" w:rsidRDefault="00871A3A" w:rsidP="00871A3A">
      <w:pPr>
        <w:rPr>
          <w:rFonts w:cs="Arial"/>
          <w:sz w:val="22"/>
        </w:rPr>
      </w:pPr>
      <w:r w:rsidRPr="007E3D1A">
        <w:rPr>
          <w:rFonts w:cs="Arial"/>
          <w:sz w:val="22"/>
        </w:rPr>
        <w:t>Localiser les décharges pour l'élimination des déchets solides à au moins 100 m des cours d'eau, et les clôturer afin d’empêcher l’accès par les populations locales ; et</w:t>
      </w:r>
    </w:p>
    <w:p w14:paraId="47C2BB70" w14:textId="77777777" w:rsidR="00871A3A" w:rsidRPr="007E3D1A" w:rsidRDefault="00871A3A" w:rsidP="00871A3A">
      <w:pPr>
        <w:rPr>
          <w:rFonts w:cs="Arial"/>
          <w:sz w:val="22"/>
        </w:rPr>
      </w:pPr>
      <w:r w:rsidRPr="007E3D1A">
        <w:rPr>
          <w:rFonts w:cs="Arial"/>
          <w:sz w:val="22"/>
        </w:rPr>
        <w:t>Si possible, acheminer les déchets, vers les lieux d’élimination autorisés existants.</w:t>
      </w:r>
    </w:p>
    <w:p w14:paraId="149DA277" w14:textId="77777777" w:rsidR="00871A3A" w:rsidRPr="007E3D1A" w:rsidRDefault="00871A3A" w:rsidP="00871A3A">
      <w:pPr>
        <w:rPr>
          <w:rFonts w:cs="Arial"/>
          <w:sz w:val="22"/>
        </w:rPr>
      </w:pPr>
    </w:p>
    <w:p w14:paraId="7E6E5C7C" w14:textId="77777777" w:rsidR="00871A3A" w:rsidRPr="007E3D1A" w:rsidRDefault="00871A3A" w:rsidP="00871A3A">
      <w:pPr>
        <w:rPr>
          <w:rFonts w:cs="Arial"/>
          <w:sz w:val="22"/>
        </w:rPr>
      </w:pPr>
      <w:r w:rsidRPr="007E3D1A">
        <w:rPr>
          <w:rFonts w:cs="Arial"/>
          <w:sz w:val="22"/>
        </w:rPr>
        <w:t>Étiquetage des Équipements</w:t>
      </w:r>
    </w:p>
    <w:p w14:paraId="6ADEF628" w14:textId="77777777" w:rsidR="00871A3A" w:rsidRPr="007E3D1A" w:rsidRDefault="00871A3A" w:rsidP="00871A3A">
      <w:pPr>
        <w:rPr>
          <w:rFonts w:cs="Arial"/>
          <w:sz w:val="22"/>
        </w:rPr>
      </w:pPr>
    </w:p>
    <w:p w14:paraId="06965924" w14:textId="77777777" w:rsidR="00871A3A" w:rsidRPr="007E3D1A" w:rsidRDefault="00871A3A" w:rsidP="00871A3A">
      <w:pPr>
        <w:rPr>
          <w:rFonts w:cs="Arial"/>
          <w:sz w:val="22"/>
        </w:rPr>
      </w:pPr>
      <w:r w:rsidRPr="007E3D1A">
        <w:rPr>
          <w:rFonts w:cs="Arial"/>
          <w:sz w:val="22"/>
        </w:rPr>
        <w:t>Tous les récipients susceptibles de contenir des substances dangereuses en raison de leurs propriétés chimiques ou toxicologiques, ou de la température ou de la pression, doivent être étiquetés en fonction de leur contenu et du danger qu'ils présentent, ou porter un code de couleur approprié.</w:t>
      </w:r>
    </w:p>
    <w:p w14:paraId="50E67040" w14:textId="77777777" w:rsidR="00871A3A" w:rsidRPr="007E3D1A" w:rsidRDefault="00871A3A" w:rsidP="00871A3A">
      <w:pPr>
        <w:rPr>
          <w:rFonts w:cs="Arial"/>
          <w:sz w:val="22"/>
        </w:rPr>
      </w:pPr>
    </w:p>
    <w:p w14:paraId="336D2D9A" w14:textId="77777777" w:rsidR="00871A3A" w:rsidRPr="007E3D1A" w:rsidRDefault="00871A3A" w:rsidP="00871A3A">
      <w:pPr>
        <w:rPr>
          <w:rFonts w:cs="Arial"/>
          <w:sz w:val="22"/>
        </w:rPr>
      </w:pPr>
      <w:r w:rsidRPr="007E3D1A">
        <w:rPr>
          <w:rFonts w:cs="Arial"/>
          <w:sz w:val="22"/>
        </w:rPr>
        <w:t>Bancs d’Emprunt et Carrières</w:t>
      </w:r>
    </w:p>
    <w:p w14:paraId="7E7B4B6D" w14:textId="77777777" w:rsidR="00871A3A" w:rsidRPr="007E3D1A" w:rsidRDefault="00871A3A" w:rsidP="00871A3A">
      <w:pPr>
        <w:rPr>
          <w:rFonts w:cs="Arial"/>
          <w:sz w:val="22"/>
        </w:rPr>
      </w:pPr>
    </w:p>
    <w:p w14:paraId="5B0996AC" w14:textId="77777777" w:rsidR="00871A3A" w:rsidRPr="007E3D1A" w:rsidRDefault="00871A3A" w:rsidP="00871A3A">
      <w:pPr>
        <w:rPr>
          <w:rFonts w:cs="Arial"/>
          <w:sz w:val="22"/>
        </w:rPr>
      </w:pPr>
      <w:r w:rsidRPr="007E3D1A">
        <w:rPr>
          <w:rFonts w:cs="Arial"/>
          <w:sz w:val="22"/>
        </w:rPr>
        <w:t>Les matériaux nécessaires au remblayage qui ne sont pas disponibles sur place seront obtenus à partir de zones d'emprunt et de carrières que l’Entreprise identifiera, sous réserve de l'approbation du Maître d’Ouvrage délégué.</w:t>
      </w:r>
    </w:p>
    <w:p w14:paraId="19E62AEA" w14:textId="77777777" w:rsidR="00871A3A" w:rsidRPr="007E3D1A" w:rsidRDefault="00871A3A" w:rsidP="00871A3A">
      <w:pPr>
        <w:rPr>
          <w:rFonts w:cs="Arial"/>
          <w:sz w:val="22"/>
        </w:rPr>
      </w:pPr>
      <w:r w:rsidRPr="007E3D1A">
        <w:rPr>
          <w:rFonts w:cs="Arial"/>
          <w:sz w:val="22"/>
        </w:rPr>
        <w:t>L’Entreprise doit :</w:t>
      </w:r>
    </w:p>
    <w:p w14:paraId="2E091219" w14:textId="77777777" w:rsidR="00871A3A" w:rsidRPr="007E3D1A" w:rsidRDefault="00871A3A" w:rsidP="00871A3A">
      <w:pPr>
        <w:rPr>
          <w:rFonts w:cs="Arial"/>
          <w:sz w:val="22"/>
        </w:rPr>
      </w:pPr>
      <w:r w:rsidRPr="007E3D1A">
        <w:rPr>
          <w:rFonts w:cs="Arial"/>
          <w:sz w:val="22"/>
        </w:rPr>
        <w:t>Obtenir tous les permis et autorisations nécessaires pour ouvrir et exploiter des bancs d'emprunt et des carrières (temporaires et permanents), en conformité à la législation nationale en la matière.</w:t>
      </w:r>
    </w:p>
    <w:p w14:paraId="2D0820AD" w14:textId="77777777" w:rsidR="00871A3A" w:rsidRPr="007E3D1A" w:rsidRDefault="00871A3A" w:rsidP="00871A3A">
      <w:pPr>
        <w:rPr>
          <w:rFonts w:cs="Arial"/>
          <w:sz w:val="22"/>
        </w:rPr>
      </w:pPr>
      <w:r w:rsidRPr="007E3D1A">
        <w:rPr>
          <w:rFonts w:cs="Arial"/>
          <w:sz w:val="22"/>
        </w:rPr>
        <w:t>Utiliser, dans la mesure du possible, un site existant.</w:t>
      </w:r>
    </w:p>
    <w:p w14:paraId="2BDA4D4A" w14:textId="77777777" w:rsidR="00871A3A" w:rsidRPr="007E3D1A" w:rsidRDefault="00871A3A" w:rsidP="00871A3A">
      <w:pPr>
        <w:rPr>
          <w:rFonts w:cs="Arial"/>
          <w:sz w:val="22"/>
        </w:rPr>
      </w:pPr>
      <w:r w:rsidRPr="007E3D1A">
        <w:rPr>
          <w:rFonts w:cs="Arial"/>
          <w:sz w:val="22"/>
        </w:rPr>
        <w:t>Situer les carrières aussi loin que possible des agglomérations.  L'exploitation des carrières produira du bruit et de la poussière qui auront un impact sur les communautés voisines, même si des contrôles sont imposés.</w:t>
      </w:r>
    </w:p>
    <w:p w14:paraId="70D3CB73" w14:textId="77777777" w:rsidR="00871A3A" w:rsidRPr="007E3D1A" w:rsidRDefault="00871A3A" w:rsidP="00871A3A">
      <w:pPr>
        <w:rPr>
          <w:rFonts w:cs="Arial"/>
          <w:sz w:val="22"/>
        </w:rPr>
      </w:pPr>
      <w:r w:rsidRPr="007E3D1A">
        <w:rPr>
          <w:rFonts w:cs="Arial"/>
          <w:sz w:val="22"/>
        </w:rPr>
        <w:t>Clôturer et sécuriser les sites de carrières.  Les parois abruptes des carrières constituent un danger pour les personnes et le bétail.</w:t>
      </w:r>
    </w:p>
    <w:p w14:paraId="0830E421" w14:textId="77777777" w:rsidR="00871A3A" w:rsidRPr="007E3D1A" w:rsidRDefault="00871A3A" w:rsidP="00871A3A">
      <w:pPr>
        <w:rPr>
          <w:rFonts w:cs="Arial"/>
          <w:sz w:val="22"/>
        </w:rPr>
      </w:pPr>
      <w:r w:rsidRPr="007E3D1A">
        <w:rPr>
          <w:rFonts w:cs="Arial"/>
          <w:sz w:val="22"/>
        </w:rPr>
        <w:t>Localiser les bancs d'emprunt et les carrières à au moins 100 m des cours d'eau ou des habitations humaines.</w:t>
      </w:r>
    </w:p>
    <w:p w14:paraId="56AC8873" w14:textId="77777777" w:rsidR="00871A3A" w:rsidRPr="007E3D1A" w:rsidRDefault="00871A3A" w:rsidP="00871A3A">
      <w:pPr>
        <w:rPr>
          <w:rFonts w:cs="Arial"/>
          <w:sz w:val="22"/>
        </w:rPr>
      </w:pPr>
      <w:r w:rsidRPr="007E3D1A">
        <w:rPr>
          <w:rFonts w:cs="Arial"/>
          <w:sz w:val="22"/>
        </w:rPr>
        <w:t>Effectuer une inspection/enquête préalable à tout dynamitage, en consultation avec les résidents/propriétaires, avant d'exploiter une carrière, pour documenter l'état existant des bâtiments et identifier toute structure, élément de bâtiment ou contenu sensible.  Les conditions du site et les informations de l'inspection doivent être utilisées pour concevoir l'opération de dynamitage afin d'éviter tout impact sur la propriété.</w:t>
      </w:r>
    </w:p>
    <w:p w14:paraId="33FB820A" w14:textId="77777777" w:rsidR="00871A3A" w:rsidRPr="007E3D1A" w:rsidRDefault="00871A3A" w:rsidP="00871A3A">
      <w:pPr>
        <w:rPr>
          <w:rFonts w:cs="Arial"/>
          <w:sz w:val="22"/>
        </w:rPr>
      </w:pPr>
      <w:r w:rsidRPr="007E3D1A">
        <w:rPr>
          <w:rFonts w:cs="Arial"/>
          <w:sz w:val="22"/>
        </w:rPr>
        <w:t>Localiser, dans la mesure du possible, les bancs d'emprunt sur des terres qui ne sont pas utilisées pour la culture et qui ne sont pas boisées.</w:t>
      </w:r>
    </w:p>
    <w:p w14:paraId="52B88070" w14:textId="77777777" w:rsidR="00871A3A" w:rsidRPr="007E3D1A" w:rsidRDefault="00871A3A" w:rsidP="00871A3A">
      <w:pPr>
        <w:rPr>
          <w:rFonts w:cs="Arial"/>
          <w:sz w:val="22"/>
        </w:rPr>
      </w:pPr>
      <w:r w:rsidRPr="007E3D1A">
        <w:rPr>
          <w:rFonts w:cs="Arial"/>
          <w:sz w:val="22"/>
        </w:rPr>
        <w:t>Éviter les zones présentant un intérêt historique ou culturel local et éviter de creuser à moins de 25 m des tombes.</w:t>
      </w:r>
    </w:p>
    <w:p w14:paraId="0B243B7B" w14:textId="77777777" w:rsidR="00871A3A" w:rsidRPr="007E3D1A" w:rsidRDefault="00871A3A" w:rsidP="00871A3A">
      <w:pPr>
        <w:rPr>
          <w:rFonts w:cs="Arial"/>
          <w:sz w:val="22"/>
        </w:rPr>
      </w:pPr>
      <w:r w:rsidRPr="007E3D1A">
        <w:rPr>
          <w:rFonts w:cs="Arial"/>
          <w:sz w:val="22"/>
        </w:rPr>
        <w:t>Cacher, dans la mesure du possible, les bancs d’emprunt de la route, et concevoir les carrières et les bancs d'emprunt de manière à minimiser les impacts visibles sur le paysage.</w:t>
      </w:r>
    </w:p>
    <w:p w14:paraId="080A9BA7" w14:textId="77777777" w:rsidR="00871A3A" w:rsidRPr="007E3D1A" w:rsidRDefault="00871A3A" w:rsidP="00871A3A">
      <w:pPr>
        <w:rPr>
          <w:rFonts w:cs="Arial"/>
          <w:sz w:val="22"/>
        </w:rPr>
      </w:pPr>
    </w:p>
    <w:p w14:paraId="1A021177" w14:textId="77777777" w:rsidR="00871A3A" w:rsidRPr="007E3D1A" w:rsidRDefault="00871A3A" w:rsidP="00871A3A">
      <w:pPr>
        <w:rPr>
          <w:rFonts w:cs="Arial"/>
          <w:sz w:val="22"/>
        </w:rPr>
      </w:pPr>
      <w:r w:rsidRPr="007E3D1A">
        <w:rPr>
          <w:rFonts w:cs="Arial"/>
          <w:sz w:val="22"/>
        </w:rPr>
        <w:t>Fermeture des chantier et installations</w:t>
      </w:r>
    </w:p>
    <w:p w14:paraId="5C64B3C2" w14:textId="77777777" w:rsidR="00871A3A" w:rsidRPr="007E3D1A" w:rsidRDefault="00871A3A" w:rsidP="00871A3A">
      <w:pPr>
        <w:rPr>
          <w:rFonts w:cs="Arial"/>
          <w:sz w:val="22"/>
        </w:rPr>
      </w:pPr>
    </w:p>
    <w:p w14:paraId="1E50F5CA" w14:textId="77777777" w:rsidR="00871A3A" w:rsidRPr="007E3D1A" w:rsidRDefault="00871A3A" w:rsidP="00871A3A">
      <w:pPr>
        <w:rPr>
          <w:rFonts w:cs="Arial"/>
          <w:sz w:val="22"/>
        </w:rPr>
      </w:pPr>
      <w:r w:rsidRPr="007E3D1A">
        <w:rPr>
          <w:rFonts w:cs="Arial"/>
          <w:sz w:val="22"/>
        </w:rPr>
        <w:t>L’entreprise doit à la fin des travaux :</w:t>
      </w:r>
    </w:p>
    <w:p w14:paraId="22F217D5" w14:textId="77777777" w:rsidR="00871A3A" w:rsidRPr="007E3D1A" w:rsidRDefault="00871A3A" w:rsidP="00871A3A">
      <w:pPr>
        <w:rPr>
          <w:rFonts w:cs="Arial"/>
          <w:sz w:val="22"/>
        </w:rPr>
      </w:pPr>
    </w:p>
    <w:p w14:paraId="3C890ADD" w14:textId="77777777" w:rsidR="00871A3A" w:rsidRPr="007E3D1A" w:rsidRDefault="00871A3A" w:rsidP="00871A3A">
      <w:pPr>
        <w:rPr>
          <w:rFonts w:cs="Arial"/>
          <w:sz w:val="22"/>
        </w:rPr>
      </w:pPr>
      <w:r w:rsidRPr="007E3D1A">
        <w:rPr>
          <w:rFonts w:cs="Arial"/>
          <w:sz w:val="22"/>
        </w:rPr>
        <w:t>Laisser les sites qu’elle a occupé ou utilisé dans un état propre à leur affectation immédiate et faire constater cet état par le Maître d’Ouvrage délégué avant d’être libéré de ses engagements et de sa responsabilité concernant leur usage. En cas de défaillance de l'Entreprise, le Maître d’Ouvrage délégué peut faire effectuer ces travaux par une entreprise de son choix aux frais du défaillant ;</w:t>
      </w:r>
    </w:p>
    <w:p w14:paraId="70729ADF" w14:textId="77777777" w:rsidR="00871A3A" w:rsidRPr="007E3D1A" w:rsidRDefault="00871A3A" w:rsidP="00871A3A">
      <w:pPr>
        <w:rPr>
          <w:rFonts w:cs="Arial"/>
          <w:sz w:val="22"/>
        </w:rPr>
      </w:pPr>
      <w:r w:rsidRPr="007E3D1A">
        <w:rPr>
          <w:rFonts w:cs="Arial"/>
          <w:sz w:val="22"/>
        </w:rPr>
        <w:t>Remettre les installations permanentes qui ont été endommagées dans un état équivalent à ce qu’elles étaient avant le début des travaux ;</w:t>
      </w:r>
    </w:p>
    <w:p w14:paraId="77AC4E00" w14:textId="77777777" w:rsidR="00871A3A" w:rsidRPr="007E3D1A" w:rsidRDefault="00871A3A" w:rsidP="00871A3A">
      <w:pPr>
        <w:rPr>
          <w:rFonts w:cs="Arial"/>
          <w:sz w:val="22"/>
        </w:rPr>
      </w:pPr>
      <w:r w:rsidRPr="007E3D1A">
        <w:rPr>
          <w:rFonts w:cs="Arial"/>
          <w:sz w:val="22"/>
        </w:rPr>
        <w:t>Débarrasser les chantiers et les installations des bâtiments temporaires, des clôtures ou autre obstacle à la circulation, de tout équipement, déchets solides ou liquides, et matériaux excédentaires, et les éliminer ou recycler d’une manière appropriée, tel qu’indiqué par les autorités compétentes ;</w:t>
      </w:r>
    </w:p>
    <w:p w14:paraId="283952E8" w14:textId="77777777" w:rsidR="00871A3A" w:rsidRPr="007E3D1A" w:rsidRDefault="00871A3A" w:rsidP="00871A3A">
      <w:pPr>
        <w:rPr>
          <w:rFonts w:cs="Arial"/>
          <w:sz w:val="22"/>
        </w:rPr>
      </w:pPr>
      <w:r w:rsidRPr="007E3D1A">
        <w:rPr>
          <w:rFonts w:cs="Arial"/>
          <w:sz w:val="22"/>
        </w:rPr>
        <w:t>Enlever les revêtements de béton, les pavés et les dalles, les transporter aux sites de rejet autorisés, et recouvrir les sites recouverts de terre ;</w:t>
      </w:r>
    </w:p>
    <w:p w14:paraId="3A2E6054" w14:textId="77777777" w:rsidR="00871A3A" w:rsidRPr="007E3D1A" w:rsidRDefault="00871A3A" w:rsidP="00871A3A">
      <w:pPr>
        <w:rPr>
          <w:rFonts w:cs="Arial"/>
          <w:sz w:val="22"/>
        </w:rPr>
      </w:pPr>
      <w:r w:rsidRPr="007E3D1A">
        <w:rPr>
          <w:rFonts w:cs="Arial"/>
          <w:sz w:val="22"/>
        </w:rPr>
        <w:t>Décontaminer les sols souillés (les parties contaminées doivent être décaissées et remblayées par du sable) et nettoyer et détruire les fosses de vidange ;</w:t>
      </w:r>
    </w:p>
    <w:p w14:paraId="20324C63" w14:textId="77777777" w:rsidR="00871A3A" w:rsidRPr="007E3D1A" w:rsidRDefault="00871A3A" w:rsidP="00871A3A">
      <w:pPr>
        <w:rPr>
          <w:rFonts w:cs="Arial"/>
          <w:sz w:val="22"/>
        </w:rPr>
      </w:pPr>
      <w:r w:rsidRPr="007E3D1A">
        <w:rPr>
          <w:rFonts w:cs="Arial"/>
          <w:sz w:val="22"/>
        </w:rPr>
        <w:t>S’assurer que les sites sont exempts de toute contamination ;</w:t>
      </w:r>
    </w:p>
    <w:p w14:paraId="44A92B96" w14:textId="77777777" w:rsidR="00871A3A" w:rsidRPr="007E3D1A" w:rsidRDefault="00871A3A" w:rsidP="00871A3A">
      <w:pPr>
        <w:rPr>
          <w:rFonts w:cs="Arial"/>
          <w:sz w:val="22"/>
        </w:rPr>
      </w:pPr>
      <w:r w:rsidRPr="007E3D1A">
        <w:rPr>
          <w:rFonts w:cs="Arial"/>
          <w:sz w:val="22"/>
        </w:rPr>
        <w:t>Rectifier les défauts de drainage et régaler toutes les zones excavées ;</w:t>
      </w:r>
    </w:p>
    <w:p w14:paraId="28F9E71F" w14:textId="77777777" w:rsidR="00871A3A" w:rsidRPr="007E3D1A" w:rsidRDefault="00871A3A" w:rsidP="00871A3A">
      <w:pPr>
        <w:rPr>
          <w:rFonts w:cs="Arial"/>
          <w:sz w:val="22"/>
        </w:rPr>
      </w:pPr>
      <w:r w:rsidRPr="007E3D1A">
        <w:rPr>
          <w:rFonts w:cs="Arial"/>
          <w:sz w:val="22"/>
        </w:rPr>
        <w:t>Scarifier le sol partout où il a été compacté (aires de travail, voies de circulation, etc.) sur au moins 15 cm de profondeur pour faciliter la régénération de la végétation ;</w:t>
      </w:r>
    </w:p>
    <w:p w14:paraId="16244AA2" w14:textId="77777777" w:rsidR="00871A3A" w:rsidRPr="007E3D1A" w:rsidRDefault="00871A3A" w:rsidP="00871A3A">
      <w:pPr>
        <w:rPr>
          <w:rFonts w:cs="Arial"/>
          <w:sz w:val="22"/>
        </w:rPr>
      </w:pPr>
      <w:r w:rsidRPr="007E3D1A">
        <w:rPr>
          <w:rFonts w:cs="Arial"/>
          <w:sz w:val="22"/>
        </w:rPr>
        <w:t>Reboiser les zones initialement déboisées avec des espèces appropriées, en rapport avec les services forestiers locaux ;</w:t>
      </w:r>
    </w:p>
    <w:p w14:paraId="094FEF70" w14:textId="77777777" w:rsidR="00871A3A" w:rsidRPr="007E3D1A" w:rsidRDefault="00871A3A" w:rsidP="00871A3A">
      <w:pPr>
        <w:rPr>
          <w:rFonts w:cs="Arial"/>
          <w:sz w:val="22"/>
        </w:rPr>
      </w:pPr>
      <w:r w:rsidRPr="007E3D1A">
        <w:rPr>
          <w:rFonts w:cs="Arial"/>
          <w:sz w:val="22"/>
        </w:rPr>
        <w:t>Protéger les ouvrages restés dangereux (puits, tranchées ouvertes, dénivelés, etc.)</w:t>
      </w:r>
    </w:p>
    <w:p w14:paraId="5AA15335" w14:textId="77777777" w:rsidR="00871A3A" w:rsidRPr="007E3D1A" w:rsidRDefault="00871A3A" w:rsidP="00871A3A">
      <w:pPr>
        <w:rPr>
          <w:rFonts w:cs="Arial"/>
          <w:sz w:val="22"/>
        </w:rPr>
      </w:pPr>
      <w:r w:rsidRPr="007E3D1A">
        <w:rPr>
          <w:rFonts w:cs="Arial"/>
          <w:sz w:val="22"/>
        </w:rPr>
        <w:t>Rendre fonctionnel les chaussées, trottoirs, caniveaux, rampes et autres ouvrages rendus au service public ;</w:t>
      </w:r>
    </w:p>
    <w:p w14:paraId="7A0208F1" w14:textId="77777777" w:rsidR="00871A3A" w:rsidRPr="007E3D1A" w:rsidRDefault="00871A3A" w:rsidP="00871A3A">
      <w:pPr>
        <w:rPr>
          <w:rFonts w:cs="Arial"/>
          <w:sz w:val="22"/>
        </w:rPr>
      </w:pPr>
      <w:r w:rsidRPr="007E3D1A">
        <w:rPr>
          <w:rFonts w:cs="Arial"/>
          <w:sz w:val="22"/>
        </w:rPr>
        <w:t>Remettre les sites aux propriétaires initiaux, en tenant compte de leurs souhaits et de la législation nationale ;</w:t>
      </w:r>
    </w:p>
    <w:p w14:paraId="3B1E0CF2" w14:textId="77777777" w:rsidR="00871A3A" w:rsidRPr="007E3D1A" w:rsidRDefault="00871A3A" w:rsidP="00871A3A">
      <w:pPr>
        <w:rPr>
          <w:rFonts w:cs="Arial"/>
          <w:sz w:val="22"/>
        </w:rPr>
      </w:pPr>
      <w:r w:rsidRPr="007E3D1A">
        <w:rPr>
          <w:rFonts w:cs="Arial"/>
          <w:sz w:val="22"/>
        </w:rPr>
        <w:t>Céder les installations fixes sans dédommagement s'il est de l'intérêt du Maître d’Ouvrage ou des collectivités locales de les récupérer pour une utilisation future ; et</w:t>
      </w:r>
    </w:p>
    <w:p w14:paraId="0AE38273" w14:textId="77777777" w:rsidR="00871A3A" w:rsidRPr="007E3D1A" w:rsidRDefault="00871A3A" w:rsidP="00871A3A">
      <w:pPr>
        <w:rPr>
          <w:rFonts w:cs="Arial"/>
          <w:sz w:val="22"/>
        </w:rPr>
      </w:pPr>
      <w:r w:rsidRPr="007E3D1A">
        <w:rPr>
          <w:rFonts w:cs="Arial"/>
          <w:sz w:val="22"/>
        </w:rPr>
        <w:t>Remettre les voies d’accès à leur état initial</w:t>
      </w:r>
    </w:p>
    <w:p w14:paraId="551023C8" w14:textId="77777777" w:rsidR="00871A3A" w:rsidRPr="007E3D1A" w:rsidRDefault="00871A3A" w:rsidP="00871A3A">
      <w:pPr>
        <w:rPr>
          <w:rFonts w:cs="Arial"/>
          <w:sz w:val="22"/>
        </w:rPr>
      </w:pPr>
    </w:p>
    <w:p w14:paraId="67399DB9" w14:textId="77777777" w:rsidR="00871A3A" w:rsidRPr="007E3D1A" w:rsidRDefault="00871A3A" w:rsidP="00871A3A">
      <w:pPr>
        <w:rPr>
          <w:rFonts w:cs="Arial"/>
          <w:sz w:val="22"/>
        </w:rPr>
      </w:pPr>
      <w:r w:rsidRPr="007E3D1A">
        <w:rPr>
          <w:rFonts w:cs="Arial"/>
          <w:sz w:val="22"/>
        </w:rPr>
        <w:t>Fermeture des Carrières</w:t>
      </w:r>
    </w:p>
    <w:p w14:paraId="2864BBE4" w14:textId="77777777" w:rsidR="00871A3A" w:rsidRPr="007E3D1A" w:rsidRDefault="00871A3A" w:rsidP="00871A3A">
      <w:pPr>
        <w:rPr>
          <w:rFonts w:cs="Arial"/>
          <w:sz w:val="22"/>
        </w:rPr>
      </w:pPr>
    </w:p>
    <w:p w14:paraId="3B88F311" w14:textId="77777777" w:rsidR="00871A3A" w:rsidRPr="007E3D1A" w:rsidRDefault="00871A3A" w:rsidP="00871A3A">
      <w:pPr>
        <w:rPr>
          <w:rFonts w:cs="Arial"/>
          <w:sz w:val="22"/>
        </w:rPr>
      </w:pPr>
      <w:r w:rsidRPr="007E3D1A">
        <w:rPr>
          <w:rFonts w:cs="Arial"/>
          <w:sz w:val="22"/>
        </w:rPr>
        <w:t>L’Entreprise doit :</w:t>
      </w:r>
    </w:p>
    <w:p w14:paraId="0FE1B9D5" w14:textId="77777777" w:rsidR="00871A3A" w:rsidRPr="007E3D1A" w:rsidRDefault="00871A3A" w:rsidP="00871A3A">
      <w:pPr>
        <w:rPr>
          <w:rFonts w:cs="Arial"/>
          <w:sz w:val="22"/>
        </w:rPr>
      </w:pPr>
    </w:p>
    <w:p w14:paraId="61A2CE02" w14:textId="77777777" w:rsidR="00871A3A" w:rsidRPr="007E3D1A" w:rsidRDefault="00871A3A" w:rsidP="00871A3A">
      <w:pPr>
        <w:rPr>
          <w:rFonts w:cs="Arial"/>
          <w:sz w:val="22"/>
        </w:rPr>
      </w:pPr>
      <w:r w:rsidRPr="007E3D1A">
        <w:rPr>
          <w:rFonts w:cs="Arial"/>
          <w:sz w:val="22"/>
        </w:rPr>
        <w:t>Remettre en état le site d’emprunt et/ou la carrière temporaire à la fin des travaux, selon un plan de restauration approuvé par le Maître d’Ouvrage délégué et les autorités compétentes, y compris :</w:t>
      </w:r>
    </w:p>
    <w:p w14:paraId="3DC61451" w14:textId="77777777" w:rsidR="00871A3A" w:rsidRPr="007E3D1A" w:rsidRDefault="00871A3A" w:rsidP="00871A3A">
      <w:pPr>
        <w:rPr>
          <w:rFonts w:cs="Arial"/>
          <w:sz w:val="22"/>
        </w:rPr>
      </w:pPr>
      <w:r w:rsidRPr="007E3D1A">
        <w:rPr>
          <w:rFonts w:cs="Arial"/>
          <w:sz w:val="22"/>
        </w:rPr>
        <w:t>Régaler le terrain et restaurer son couvert végétal (arbres, arbustes, pelouse, ou culture)</w:t>
      </w:r>
    </w:p>
    <w:p w14:paraId="73064F59" w14:textId="77777777" w:rsidR="00871A3A" w:rsidRPr="007E3D1A" w:rsidRDefault="00871A3A" w:rsidP="00871A3A">
      <w:pPr>
        <w:rPr>
          <w:rFonts w:cs="Arial"/>
          <w:sz w:val="22"/>
        </w:rPr>
      </w:pPr>
      <w:r w:rsidRPr="007E3D1A">
        <w:rPr>
          <w:rFonts w:cs="Arial"/>
          <w:sz w:val="22"/>
        </w:rPr>
        <w:t>Rétablir les écoulements naturels antérieurs</w:t>
      </w:r>
    </w:p>
    <w:p w14:paraId="541F0710" w14:textId="77777777" w:rsidR="00871A3A" w:rsidRPr="007E3D1A" w:rsidRDefault="00871A3A" w:rsidP="00871A3A">
      <w:pPr>
        <w:rPr>
          <w:rFonts w:cs="Arial"/>
          <w:sz w:val="22"/>
        </w:rPr>
      </w:pPr>
      <w:r w:rsidRPr="007E3D1A">
        <w:rPr>
          <w:rFonts w:cs="Arial"/>
          <w:sz w:val="22"/>
        </w:rPr>
        <w:t>Répartir et dissimuler les gros blocs rocheux</w:t>
      </w:r>
    </w:p>
    <w:p w14:paraId="455EC2DC" w14:textId="77777777" w:rsidR="00871A3A" w:rsidRPr="007E3D1A" w:rsidRDefault="00871A3A" w:rsidP="00871A3A">
      <w:pPr>
        <w:rPr>
          <w:rFonts w:cs="Arial"/>
          <w:sz w:val="22"/>
        </w:rPr>
      </w:pPr>
      <w:r w:rsidRPr="007E3D1A">
        <w:rPr>
          <w:rFonts w:cs="Arial"/>
          <w:sz w:val="22"/>
        </w:rPr>
        <w:t>Aménager des fossés de garde afin d’éviter l’érosion des terres régalées</w:t>
      </w:r>
    </w:p>
    <w:p w14:paraId="5F6647CA" w14:textId="77777777" w:rsidR="00871A3A" w:rsidRPr="007E3D1A" w:rsidRDefault="00871A3A" w:rsidP="00871A3A">
      <w:pPr>
        <w:rPr>
          <w:rFonts w:cs="Arial"/>
          <w:sz w:val="22"/>
        </w:rPr>
      </w:pPr>
      <w:r w:rsidRPr="007E3D1A">
        <w:rPr>
          <w:rFonts w:cs="Arial"/>
          <w:sz w:val="22"/>
        </w:rPr>
        <w:t xml:space="preserve">Aménager des fossés de récupération des eaux de ruissellement.   </w:t>
      </w:r>
    </w:p>
    <w:p w14:paraId="71DCF05D" w14:textId="77777777" w:rsidR="00871A3A" w:rsidRPr="007E3D1A" w:rsidRDefault="00871A3A" w:rsidP="00871A3A">
      <w:pPr>
        <w:rPr>
          <w:rFonts w:cs="Arial"/>
          <w:sz w:val="22"/>
        </w:rPr>
      </w:pPr>
      <w:r w:rsidRPr="007E3D1A">
        <w:rPr>
          <w:rFonts w:cs="Arial"/>
          <w:sz w:val="22"/>
        </w:rPr>
        <w:t>Aménager des plans d’eau (bassins, mares) pour les communautés locales qui en exprime le souhait, et au besoin conserver la rampe d’accès, si la carrière est déclarée utilisable pour le bétail ou les riverains</w:t>
      </w:r>
    </w:p>
    <w:p w14:paraId="43FE13C6" w14:textId="77777777" w:rsidR="00871A3A" w:rsidRPr="007E3D1A" w:rsidRDefault="00871A3A" w:rsidP="00871A3A">
      <w:pPr>
        <w:rPr>
          <w:rFonts w:cs="Arial"/>
          <w:sz w:val="22"/>
        </w:rPr>
      </w:pPr>
    </w:p>
    <w:p w14:paraId="054973AB" w14:textId="77777777" w:rsidR="00871A3A" w:rsidRPr="007E3D1A" w:rsidRDefault="00871A3A" w:rsidP="00871A3A">
      <w:pPr>
        <w:rPr>
          <w:rFonts w:cs="Arial"/>
          <w:sz w:val="22"/>
        </w:rPr>
      </w:pPr>
      <w:r w:rsidRPr="007E3D1A">
        <w:rPr>
          <w:rFonts w:cs="Arial"/>
          <w:sz w:val="22"/>
        </w:rPr>
        <w:t>Gestion de la Sécurité au Travail (SST)</w:t>
      </w:r>
    </w:p>
    <w:p w14:paraId="6DE70756" w14:textId="77777777" w:rsidR="00871A3A" w:rsidRPr="007E3D1A" w:rsidRDefault="00871A3A" w:rsidP="00871A3A">
      <w:pPr>
        <w:rPr>
          <w:rFonts w:cs="Arial"/>
          <w:sz w:val="22"/>
        </w:rPr>
      </w:pPr>
    </w:p>
    <w:p w14:paraId="5311727D" w14:textId="77777777" w:rsidR="00871A3A" w:rsidRPr="007E3D1A" w:rsidRDefault="00871A3A" w:rsidP="00871A3A">
      <w:pPr>
        <w:rPr>
          <w:rFonts w:cs="Arial"/>
          <w:sz w:val="22"/>
        </w:rPr>
      </w:pPr>
      <w:r w:rsidRPr="007E3D1A">
        <w:rPr>
          <w:rFonts w:cs="Arial"/>
          <w:sz w:val="22"/>
        </w:rPr>
        <w:t>Intempéries</w:t>
      </w:r>
    </w:p>
    <w:p w14:paraId="5F62162D" w14:textId="77777777" w:rsidR="00871A3A" w:rsidRPr="007E3D1A" w:rsidRDefault="00871A3A" w:rsidP="00871A3A">
      <w:pPr>
        <w:rPr>
          <w:rFonts w:cs="Arial"/>
          <w:sz w:val="22"/>
        </w:rPr>
      </w:pPr>
    </w:p>
    <w:p w14:paraId="50F9A459" w14:textId="77777777" w:rsidR="00871A3A" w:rsidRPr="007E3D1A" w:rsidRDefault="00871A3A" w:rsidP="00871A3A">
      <w:pPr>
        <w:rPr>
          <w:rFonts w:cs="Arial"/>
          <w:sz w:val="22"/>
        </w:rPr>
      </w:pPr>
      <w:r w:rsidRPr="007E3D1A">
        <w:rPr>
          <w:rFonts w:cs="Arial"/>
          <w:sz w:val="22"/>
        </w:rPr>
        <w:t>L’Entreprise doit :</w:t>
      </w:r>
    </w:p>
    <w:p w14:paraId="1422C8AB" w14:textId="77777777" w:rsidR="00871A3A" w:rsidRPr="007E3D1A" w:rsidRDefault="00871A3A" w:rsidP="00871A3A">
      <w:pPr>
        <w:rPr>
          <w:rFonts w:cs="Arial"/>
          <w:sz w:val="22"/>
        </w:rPr>
      </w:pPr>
    </w:p>
    <w:p w14:paraId="157915E6" w14:textId="77777777" w:rsidR="00871A3A" w:rsidRPr="007E3D1A" w:rsidRDefault="00871A3A" w:rsidP="00871A3A">
      <w:pPr>
        <w:rPr>
          <w:rFonts w:cs="Arial"/>
          <w:sz w:val="22"/>
        </w:rPr>
      </w:pPr>
      <w:r w:rsidRPr="007E3D1A">
        <w:rPr>
          <w:rFonts w:cs="Arial"/>
          <w:sz w:val="22"/>
        </w:rPr>
        <w:t>Désigner et construire les structures des lieux de travail pour résister aux intempéries et inclure une zone désignée comme refuge sûr, le cas échéant.</w:t>
      </w:r>
    </w:p>
    <w:p w14:paraId="6149E0DC" w14:textId="77777777" w:rsidR="00871A3A" w:rsidRPr="007E3D1A" w:rsidRDefault="00871A3A" w:rsidP="00871A3A">
      <w:pPr>
        <w:rPr>
          <w:rFonts w:cs="Arial"/>
          <w:sz w:val="22"/>
        </w:rPr>
      </w:pPr>
      <w:r w:rsidRPr="007E3D1A">
        <w:rPr>
          <w:rFonts w:cs="Arial"/>
          <w:sz w:val="22"/>
        </w:rPr>
        <w:t>Élaborer des procédures opérationnelles standard (POS) pour la fermeture du site, y compris un plan d'évacuation.</w:t>
      </w:r>
    </w:p>
    <w:p w14:paraId="6A443CA0" w14:textId="77777777" w:rsidR="00871A3A" w:rsidRPr="007E3D1A" w:rsidRDefault="00871A3A" w:rsidP="00871A3A">
      <w:pPr>
        <w:rPr>
          <w:rFonts w:cs="Arial"/>
          <w:sz w:val="22"/>
        </w:rPr>
      </w:pPr>
    </w:p>
    <w:p w14:paraId="56D6A4C2" w14:textId="77777777" w:rsidR="00871A3A" w:rsidRPr="007E3D1A" w:rsidRDefault="00871A3A" w:rsidP="00871A3A">
      <w:pPr>
        <w:rPr>
          <w:rFonts w:cs="Arial"/>
          <w:sz w:val="22"/>
        </w:rPr>
      </w:pPr>
      <w:r w:rsidRPr="007E3D1A">
        <w:rPr>
          <w:rFonts w:cs="Arial"/>
          <w:sz w:val="22"/>
        </w:rPr>
        <w:t>Toilettes et douches</w:t>
      </w:r>
    </w:p>
    <w:p w14:paraId="037B9021" w14:textId="77777777" w:rsidR="00871A3A" w:rsidRPr="007E3D1A" w:rsidRDefault="00871A3A" w:rsidP="00871A3A">
      <w:pPr>
        <w:rPr>
          <w:rFonts w:cs="Arial"/>
          <w:sz w:val="22"/>
        </w:rPr>
      </w:pPr>
    </w:p>
    <w:p w14:paraId="3654F9D0" w14:textId="77777777" w:rsidR="00871A3A" w:rsidRPr="007E3D1A" w:rsidRDefault="00871A3A" w:rsidP="00871A3A">
      <w:pPr>
        <w:rPr>
          <w:rFonts w:cs="Arial"/>
          <w:sz w:val="22"/>
        </w:rPr>
      </w:pPr>
      <w:r w:rsidRPr="007E3D1A">
        <w:rPr>
          <w:rFonts w:cs="Arial"/>
          <w:sz w:val="22"/>
        </w:rPr>
        <w:t>L’Entreprise doit :</w:t>
      </w:r>
    </w:p>
    <w:p w14:paraId="75006066" w14:textId="77777777" w:rsidR="00871A3A" w:rsidRPr="007E3D1A" w:rsidRDefault="00871A3A" w:rsidP="00871A3A">
      <w:pPr>
        <w:rPr>
          <w:rFonts w:cs="Arial"/>
          <w:sz w:val="22"/>
        </w:rPr>
      </w:pPr>
    </w:p>
    <w:p w14:paraId="2A7F1FF8" w14:textId="77777777" w:rsidR="00871A3A" w:rsidRPr="007E3D1A" w:rsidRDefault="00871A3A" w:rsidP="00871A3A">
      <w:pPr>
        <w:rPr>
          <w:rFonts w:cs="Arial"/>
          <w:sz w:val="22"/>
        </w:rPr>
      </w:pPr>
      <w:r w:rsidRPr="007E3D1A">
        <w:rPr>
          <w:rFonts w:cs="Arial"/>
          <w:sz w:val="22"/>
        </w:rPr>
        <w:t>Prévoir des installations sanitaires adéquates (toilettes et lavabos) pour le nombre de personnes qui travailleront sur le chantier, y compris des installations séparées pour les femmes, et inclure un mécanisme pour indiquer si les toilettes sont "en service" ou "vacantes".  Les toilettes doivent également être équipées d'un approvisionnement suffisant en eau courante chaude et froide, de savon et de sèche-mains.</w:t>
      </w:r>
    </w:p>
    <w:p w14:paraId="69FA2AC2" w14:textId="77777777" w:rsidR="00871A3A" w:rsidRPr="007E3D1A" w:rsidRDefault="00871A3A" w:rsidP="00871A3A">
      <w:pPr>
        <w:rPr>
          <w:rFonts w:cs="Arial"/>
          <w:sz w:val="22"/>
        </w:rPr>
      </w:pPr>
      <w:r w:rsidRPr="007E3D1A">
        <w:rPr>
          <w:rFonts w:cs="Arial"/>
          <w:sz w:val="22"/>
        </w:rPr>
        <w:t>Prévoir un local permettant aux ouvriers de prendre une douche et de se changer en vêtements de ville s’ils sont exposés à des substances toxiques.</w:t>
      </w:r>
    </w:p>
    <w:p w14:paraId="3D474120" w14:textId="77777777" w:rsidR="00871A3A" w:rsidRPr="007E3D1A" w:rsidRDefault="00871A3A" w:rsidP="00871A3A">
      <w:pPr>
        <w:rPr>
          <w:rFonts w:cs="Arial"/>
          <w:sz w:val="22"/>
        </w:rPr>
      </w:pPr>
    </w:p>
    <w:p w14:paraId="719A2AA2" w14:textId="77777777" w:rsidR="00871A3A" w:rsidRPr="007E3D1A" w:rsidRDefault="00871A3A" w:rsidP="00871A3A">
      <w:pPr>
        <w:rPr>
          <w:rFonts w:cs="Arial"/>
          <w:sz w:val="22"/>
        </w:rPr>
      </w:pPr>
      <w:r w:rsidRPr="007E3D1A">
        <w:rPr>
          <w:rFonts w:cs="Arial"/>
          <w:sz w:val="22"/>
        </w:rPr>
        <w:t>Approvisionnement en eau potable</w:t>
      </w:r>
    </w:p>
    <w:p w14:paraId="42628A07" w14:textId="77777777" w:rsidR="00871A3A" w:rsidRPr="007E3D1A" w:rsidRDefault="00871A3A" w:rsidP="00871A3A">
      <w:pPr>
        <w:rPr>
          <w:rFonts w:cs="Arial"/>
          <w:sz w:val="22"/>
        </w:rPr>
      </w:pPr>
    </w:p>
    <w:p w14:paraId="59560E13" w14:textId="77777777" w:rsidR="00871A3A" w:rsidRPr="007E3D1A" w:rsidRDefault="00871A3A" w:rsidP="00871A3A">
      <w:pPr>
        <w:rPr>
          <w:rFonts w:eastAsia="Helvetica Neue" w:cs="Arial"/>
          <w:sz w:val="22"/>
        </w:rPr>
      </w:pPr>
      <w:r w:rsidRPr="007E3D1A">
        <w:rPr>
          <w:rFonts w:eastAsia="Helvetica Neue" w:cs="Arial"/>
          <w:sz w:val="22"/>
        </w:rPr>
        <w:t>L’Entreprise doit :</w:t>
      </w:r>
    </w:p>
    <w:p w14:paraId="5566DF72" w14:textId="77777777" w:rsidR="00871A3A" w:rsidRPr="007E3D1A" w:rsidRDefault="00871A3A" w:rsidP="00871A3A">
      <w:pPr>
        <w:rPr>
          <w:rFonts w:eastAsia="Helvetica Neue" w:cs="Arial"/>
          <w:sz w:val="22"/>
        </w:rPr>
      </w:pPr>
    </w:p>
    <w:p w14:paraId="6696EB82" w14:textId="77777777" w:rsidR="00871A3A" w:rsidRPr="007E3D1A" w:rsidRDefault="00871A3A" w:rsidP="00871A3A">
      <w:pPr>
        <w:rPr>
          <w:rFonts w:cs="Arial"/>
          <w:sz w:val="22"/>
        </w:rPr>
      </w:pPr>
      <w:r w:rsidRPr="007E3D1A">
        <w:rPr>
          <w:rFonts w:cs="Arial"/>
          <w:sz w:val="22"/>
        </w:rPr>
        <w:t>Assurer un approvisionnement suffisant en eau potable pour boire par une fontaine à jet ascendant ou par un moyen sanitaire de collecte de l'eau.</w:t>
      </w:r>
    </w:p>
    <w:p w14:paraId="46D5C4ED" w14:textId="77777777" w:rsidR="00871A3A" w:rsidRPr="007E3D1A" w:rsidRDefault="00871A3A" w:rsidP="00871A3A">
      <w:pPr>
        <w:rPr>
          <w:rFonts w:cs="Arial"/>
          <w:sz w:val="22"/>
        </w:rPr>
      </w:pPr>
      <w:r w:rsidRPr="007E3D1A">
        <w:rPr>
          <w:rFonts w:cs="Arial"/>
          <w:sz w:val="22"/>
        </w:rPr>
        <w:t>Assurer que l'eau fournie aux zones de préparation des aliments ou à des fins d'hygiène personnelle (lavage ou bain) réponde aux normes de qualité de l'eau potable</w:t>
      </w:r>
    </w:p>
    <w:p w14:paraId="11F084C1" w14:textId="77777777" w:rsidR="00871A3A" w:rsidRPr="007E3D1A" w:rsidRDefault="00871A3A" w:rsidP="00871A3A">
      <w:pPr>
        <w:rPr>
          <w:rFonts w:cs="Arial"/>
          <w:sz w:val="22"/>
        </w:rPr>
      </w:pPr>
    </w:p>
    <w:p w14:paraId="53218C9F" w14:textId="77777777" w:rsidR="00871A3A" w:rsidRPr="007E3D1A" w:rsidRDefault="00871A3A" w:rsidP="00871A3A">
      <w:pPr>
        <w:rPr>
          <w:rFonts w:cs="Arial"/>
          <w:sz w:val="22"/>
        </w:rPr>
      </w:pPr>
      <w:r w:rsidRPr="007E3D1A">
        <w:rPr>
          <w:rFonts w:cs="Arial"/>
          <w:sz w:val="22"/>
        </w:rPr>
        <w:t>Restauration</w:t>
      </w:r>
    </w:p>
    <w:p w14:paraId="491C858E" w14:textId="77777777" w:rsidR="00871A3A" w:rsidRPr="007E3D1A" w:rsidRDefault="00871A3A" w:rsidP="00871A3A">
      <w:pPr>
        <w:rPr>
          <w:rFonts w:cs="Arial"/>
          <w:sz w:val="22"/>
        </w:rPr>
      </w:pPr>
    </w:p>
    <w:p w14:paraId="663C7199" w14:textId="77777777" w:rsidR="00871A3A" w:rsidRPr="007E3D1A" w:rsidRDefault="00871A3A" w:rsidP="00871A3A">
      <w:pPr>
        <w:rPr>
          <w:rFonts w:eastAsia="Helvetica Neue" w:cs="Arial"/>
          <w:sz w:val="22"/>
        </w:rPr>
      </w:pPr>
      <w:r w:rsidRPr="007E3D1A">
        <w:rPr>
          <w:rFonts w:eastAsia="Helvetica Neue" w:cs="Arial"/>
          <w:sz w:val="22"/>
        </w:rPr>
        <w:t>L’Entreprise doit :</w:t>
      </w:r>
    </w:p>
    <w:p w14:paraId="37DEF2B1" w14:textId="77777777" w:rsidR="00871A3A" w:rsidRPr="007E3D1A" w:rsidRDefault="00871A3A" w:rsidP="00871A3A">
      <w:pPr>
        <w:rPr>
          <w:rFonts w:eastAsia="Helvetica Neue" w:cs="Arial"/>
          <w:sz w:val="22"/>
        </w:rPr>
      </w:pPr>
    </w:p>
    <w:p w14:paraId="7F1150A8" w14:textId="77777777" w:rsidR="00871A3A" w:rsidRPr="007E3D1A" w:rsidRDefault="00871A3A" w:rsidP="00871A3A">
      <w:pPr>
        <w:rPr>
          <w:rFonts w:cs="Arial"/>
          <w:sz w:val="22"/>
        </w:rPr>
      </w:pPr>
      <w:r w:rsidRPr="007E3D1A">
        <w:rPr>
          <w:rFonts w:cs="Arial"/>
          <w:sz w:val="22"/>
        </w:rPr>
        <w:t>Mettre à disposition des ouvriers des zones de restauration propres qui ne sont pas exposés à des substances dangereuses ou nocives.</w:t>
      </w:r>
    </w:p>
    <w:p w14:paraId="56502D7F" w14:textId="77777777" w:rsidR="00871A3A" w:rsidRPr="007E3D1A" w:rsidRDefault="00871A3A" w:rsidP="00871A3A">
      <w:pPr>
        <w:rPr>
          <w:rFonts w:cs="Arial"/>
          <w:sz w:val="22"/>
        </w:rPr>
      </w:pPr>
    </w:p>
    <w:p w14:paraId="5CEE53B3" w14:textId="77777777" w:rsidR="00871A3A" w:rsidRPr="007E3D1A" w:rsidRDefault="00871A3A" w:rsidP="00871A3A">
      <w:pPr>
        <w:rPr>
          <w:rFonts w:cs="Arial"/>
          <w:sz w:val="22"/>
        </w:rPr>
      </w:pPr>
      <w:r w:rsidRPr="007E3D1A">
        <w:rPr>
          <w:rFonts w:cs="Arial"/>
          <w:sz w:val="22"/>
        </w:rPr>
        <w:t>Protection du personnel</w:t>
      </w:r>
    </w:p>
    <w:p w14:paraId="3E0DEFD1" w14:textId="77777777" w:rsidR="00871A3A" w:rsidRPr="007E3D1A" w:rsidRDefault="00871A3A" w:rsidP="00871A3A">
      <w:pPr>
        <w:rPr>
          <w:rFonts w:cs="Arial"/>
          <w:sz w:val="22"/>
        </w:rPr>
      </w:pPr>
    </w:p>
    <w:p w14:paraId="37B5ED15" w14:textId="77777777" w:rsidR="00871A3A" w:rsidRPr="007E3D1A" w:rsidRDefault="00871A3A" w:rsidP="00871A3A">
      <w:pPr>
        <w:rPr>
          <w:rFonts w:cs="Arial"/>
          <w:sz w:val="22"/>
        </w:rPr>
      </w:pPr>
      <w:r w:rsidRPr="007E3D1A">
        <w:rPr>
          <w:rFonts w:cs="Arial"/>
          <w:sz w:val="22"/>
        </w:rPr>
        <w:t>L’Entreprise doit :</w:t>
      </w:r>
    </w:p>
    <w:p w14:paraId="59551565" w14:textId="77777777" w:rsidR="00871A3A" w:rsidRPr="007E3D1A" w:rsidRDefault="00871A3A" w:rsidP="00871A3A">
      <w:pPr>
        <w:rPr>
          <w:rFonts w:cs="Arial"/>
          <w:sz w:val="22"/>
        </w:rPr>
      </w:pPr>
    </w:p>
    <w:p w14:paraId="3022AA92" w14:textId="77777777" w:rsidR="00871A3A" w:rsidRPr="007E3D1A" w:rsidRDefault="00871A3A" w:rsidP="00871A3A">
      <w:pPr>
        <w:rPr>
          <w:rFonts w:cs="Arial"/>
          <w:sz w:val="22"/>
        </w:rPr>
      </w:pPr>
      <w:r w:rsidRPr="007E3D1A">
        <w:rPr>
          <w:rFonts w:cs="Arial"/>
          <w:sz w:val="22"/>
        </w:rPr>
        <w:t>Fournir gratuitement au personnel de chantier des tenues de travail correctes réglementaires et en bon état ;</w:t>
      </w:r>
    </w:p>
    <w:p w14:paraId="3CF66593" w14:textId="77777777" w:rsidR="00871A3A" w:rsidRPr="007E3D1A" w:rsidRDefault="00871A3A" w:rsidP="00871A3A">
      <w:pPr>
        <w:rPr>
          <w:rFonts w:cs="Arial"/>
          <w:sz w:val="22"/>
        </w:rPr>
      </w:pPr>
      <w:r w:rsidRPr="007E3D1A">
        <w:rPr>
          <w:rFonts w:cs="Arial"/>
          <w:sz w:val="22"/>
        </w:rPr>
        <w:t>Fournir gratuitement au personnel de chantier et aux visiteurs tous les équipements personnels de protection (EPI) propres à leurs activités (e.g., casques, bottes, ceintures, masques, gants, lunettes) appropriés, et veiller à ce que cette obligation soit répercutée sur les sous-traitants éventuels ;</w:t>
      </w:r>
    </w:p>
    <w:p w14:paraId="53A39DA1" w14:textId="77777777" w:rsidR="00871A3A" w:rsidRPr="007E3D1A" w:rsidRDefault="00871A3A" w:rsidP="00871A3A">
      <w:pPr>
        <w:rPr>
          <w:rFonts w:cs="Arial"/>
          <w:sz w:val="22"/>
        </w:rPr>
      </w:pPr>
      <w:r w:rsidRPr="007E3D1A">
        <w:rPr>
          <w:rFonts w:cs="Arial"/>
          <w:sz w:val="22"/>
        </w:rPr>
        <w:t>Rendre obligatoire l'utilisation des EPI appropriés sur les chantiers.  Un contrôle permanent doit être effectué à cet effet et, en cas de manquement, des mesures coercitives (avertissement, mise à pied, renvoi) doivent être appliquées au personnel concerné ; et</w:t>
      </w:r>
    </w:p>
    <w:p w14:paraId="46E3128A" w14:textId="77777777" w:rsidR="00871A3A" w:rsidRPr="007E3D1A" w:rsidRDefault="00871A3A" w:rsidP="00871A3A">
      <w:pPr>
        <w:rPr>
          <w:rFonts w:cs="Arial"/>
          <w:sz w:val="22"/>
        </w:rPr>
      </w:pPr>
      <w:r w:rsidRPr="007E3D1A">
        <w:rPr>
          <w:rFonts w:cs="Arial"/>
          <w:sz w:val="22"/>
        </w:rPr>
        <w:t>Fournir à ses employés une formation suffisante sur l'utilisation, le stockage et l'entretien des ouvrages.</w:t>
      </w:r>
    </w:p>
    <w:p w14:paraId="104B04F0" w14:textId="77777777" w:rsidR="00871A3A" w:rsidRPr="007E3D1A" w:rsidRDefault="00871A3A" w:rsidP="00871A3A">
      <w:pPr>
        <w:rPr>
          <w:rFonts w:cs="Arial"/>
          <w:sz w:val="22"/>
        </w:rPr>
      </w:pPr>
    </w:p>
    <w:p w14:paraId="290925A2" w14:textId="77777777" w:rsidR="00871A3A" w:rsidRPr="007E3D1A" w:rsidRDefault="00871A3A" w:rsidP="00871A3A">
      <w:pPr>
        <w:rPr>
          <w:rFonts w:cs="Arial"/>
          <w:sz w:val="22"/>
        </w:rPr>
      </w:pPr>
      <w:r w:rsidRPr="007E3D1A">
        <w:rPr>
          <w:rFonts w:cs="Arial"/>
          <w:sz w:val="22"/>
        </w:rPr>
        <w:t>Equipement de Protection Individuelle</w:t>
      </w:r>
    </w:p>
    <w:p w14:paraId="5EF58567" w14:textId="77777777" w:rsidR="00871A3A" w:rsidRPr="007E3D1A" w:rsidRDefault="00871A3A" w:rsidP="00871A3A">
      <w:pPr>
        <w:rPr>
          <w:rFonts w:cs="Arial"/>
          <w:sz w:val="22"/>
        </w:rPr>
      </w:pPr>
    </w:p>
    <w:p w14:paraId="0C0B9A30" w14:textId="77777777" w:rsidR="00871A3A" w:rsidRPr="007E3D1A" w:rsidRDefault="00871A3A" w:rsidP="00871A3A">
      <w:pPr>
        <w:rPr>
          <w:rFonts w:cs="Arial"/>
          <w:sz w:val="22"/>
        </w:rPr>
      </w:pPr>
      <w:r w:rsidRPr="007E3D1A">
        <w:rPr>
          <w:rFonts w:cs="Arial"/>
          <w:sz w:val="22"/>
        </w:rPr>
        <w:t>Entretenir correctement les EPI, notamment en les nettoyant lorsqu'ils sont sales et en les remplaçant lorsqu'ils sont endommagés ou usés ;</w:t>
      </w:r>
    </w:p>
    <w:p w14:paraId="3426C7C7" w14:textId="77777777" w:rsidR="00871A3A" w:rsidRPr="007E3D1A" w:rsidRDefault="00871A3A" w:rsidP="00871A3A">
      <w:pPr>
        <w:rPr>
          <w:rFonts w:cs="Arial"/>
          <w:sz w:val="22"/>
        </w:rPr>
      </w:pPr>
      <w:r w:rsidRPr="007E3D1A">
        <w:rPr>
          <w:rFonts w:cs="Arial"/>
          <w:sz w:val="22"/>
        </w:rPr>
        <w:t>Déterminer les exigences en matière d'EPI standard et/ou spécifique à une tâche, sur la base d'une analyse de sécurité spécifique à la tâche ; et</w:t>
      </w:r>
    </w:p>
    <w:p w14:paraId="4ECAFACE" w14:textId="77777777" w:rsidR="00871A3A" w:rsidRPr="007E3D1A" w:rsidRDefault="00871A3A" w:rsidP="00871A3A">
      <w:pPr>
        <w:rPr>
          <w:rFonts w:cs="Arial"/>
          <w:sz w:val="22"/>
        </w:rPr>
      </w:pPr>
      <w:r w:rsidRPr="007E3D1A">
        <w:rPr>
          <w:rFonts w:cs="Arial"/>
          <w:sz w:val="22"/>
        </w:rPr>
        <w:t>Considérer l'utilisation des EPI comme un dernier recours lorsqu'il s'agit de contrôler et de prévenir les dangers, et toujours se référer à la hiérarchie des contrôles des dangers lors de la planification d'un processus de sécurité.</w:t>
      </w:r>
    </w:p>
    <w:p w14:paraId="5C047EAF" w14:textId="77777777" w:rsidR="00871A3A" w:rsidRPr="007E3D1A" w:rsidRDefault="00871A3A" w:rsidP="00871A3A">
      <w:pPr>
        <w:rPr>
          <w:rFonts w:cs="Arial"/>
          <w:sz w:val="22"/>
        </w:rPr>
      </w:pPr>
    </w:p>
    <w:p w14:paraId="337CF536" w14:textId="77777777" w:rsidR="00871A3A" w:rsidRPr="007E3D1A" w:rsidRDefault="00871A3A" w:rsidP="00871A3A">
      <w:pPr>
        <w:rPr>
          <w:rFonts w:cs="Arial"/>
          <w:sz w:val="22"/>
        </w:rPr>
      </w:pPr>
      <w:r w:rsidRPr="007E3D1A">
        <w:rPr>
          <w:rFonts w:cs="Arial"/>
          <w:sz w:val="22"/>
        </w:rPr>
        <w:t>Bruit</w:t>
      </w:r>
    </w:p>
    <w:p w14:paraId="5BD7F933" w14:textId="77777777" w:rsidR="00871A3A" w:rsidRPr="007E3D1A" w:rsidRDefault="00871A3A" w:rsidP="00871A3A">
      <w:pPr>
        <w:rPr>
          <w:rFonts w:cs="Arial"/>
          <w:sz w:val="22"/>
        </w:rPr>
      </w:pPr>
    </w:p>
    <w:p w14:paraId="077FF88A" w14:textId="77777777" w:rsidR="00871A3A" w:rsidRPr="007E3D1A" w:rsidRDefault="00871A3A" w:rsidP="00871A3A">
      <w:pPr>
        <w:rPr>
          <w:rFonts w:cs="Arial"/>
          <w:sz w:val="22"/>
        </w:rPr>
      </w:pPr>
      <w:r w:rsidRPr="007E3D1A">
        <w:rPr>
          <w:rFonts w:cs="Arial"/>
          <w:sz w:val="22"/>
        </w:rPr>
        <w:t>L’Entreprise doit mettre en place des mesures appropriées pour atténuer l'impact des bruits de construction à un niveau acceptable ;</w:t>
      </w:r>
    </w:p>
    <w:p w14:paraId="536E85E5" w14:textId="77777777" w:rsidR="00871A3A" w:rsidRPr="007E3D1A" w:rsidRDefault="00871A3A" w:rsidP="00871A3A">
      <w:pPr>
        <w:rPr>
          <w:rFonts w:cs="Arial"/>
          <w:sz w:val="22"/>
        </w:rPr>
      </w:pPr>
      <w:r w:rsidRPr="007E3D1A">
        <w:rPr>
          <w:rFonts w:cs="Arial"/>
          <w:sz w:val="22"/>
        </w:rPr>
        <w:t>Les précautions visant à réduire l'exposition des ouvriers au bruit doivent inclure, entre autres, les éléments suivants ;</w:t>
      </w:r>
    </w:p>
    <w:p w14:paraId="52139222" w14:textId="77777777" w:rsidR="00871A3A" w:rsidRPr="007E3D1A" w:rsidRDefault="00871A3A" w:rsidP="00871A3A">
      <w:pPr>
        <w:rPr>
          <w:rFonts w:cs="Arial"/>
          <w:sz w:val="22"/>
        </w:rPr>
      </w:pPr>
      <w:r w:rsidRPr="007E3D1A">
        <w:rPr>
          <w:rFonts w:cs="Arial"/>
          <w:sz w:val="22"/>
        </w:rPr>
        <w:t>Aucun employé ne doit être exposé à un niveau de bruit supérieur à 85 dB(A) pendant plus de 8 heures par jour sans protection auditive.  En outre, aucune oreille non protégée ne doit être exposée à un niveau de pression acoustique de pointe (instantané) supérieur à 140 dB(C) ;</w:t>
      </w:r>
    </w:p>
    <w:p w14:paraId="53DA0A6D" w14:textId="77777777" w:rsidR="00871A3A" w:rsidRPr="007E3D1A" w:rsidRDefault="00871A3A" w:rsidP="00871A3A">
      <w:pPr>
        <w:rPr>
          <w:rFonts w:cs="Arial"/>
          <w:sz w:val="22"/>
        </w:rPr>
      </w:pPr>
      <w:r w:rsidRPr="007E3D1A">
        <w:rPr>
          <w:rFonts w:cs="Arial"/>
          <w:sz w:val="22"/>
        </w:rPr>
        <w:t>Appliquer activement l'utilisation de protection auditive lorsque le niveau sonore équivalent sur 8 heures atteint 85 dB(A), que les niveaux sonores de crête atteignent 140 dB(C), ou que le niveau sonore maximal moyen atteint 110 dB(A).  Les dispositifs de protection auditive fournis doivent être capables de réduire les niveaux sonores à l'oreille à au moins 85 dB(A) ;</w:t>
      </w:r>
    </w:p>
    <w:p w14:paraId="6ECEDCE6" w14:textId="77777777" w:rsidR="00871A3A" w:rsidRPr="007E3D1A" w:rsidRDefault="00871A3A" w:rsidP="00871A3A">
      <w:pPr>
        <w:rPr>
          <w:rFonts w:cs="Arial"/>
          <w:sz w:val="22"/>
        </w:rPr>
      </w:pPr>
      <w:r w:rsidRPr="007E3D1A">
        <w:rPr>
          <w:rFonts w:cs="Arial"/>
          <w:sz w:val="22"/>
        </w:rPr>
        <w:t>Bien que la protection auditive soit préférable pour toute période d'exposition au bruit supérieure à 85 dB(A), un niveau de protection équivalent peut être obtenu, mais moins facilement géré, en limitant la durée d'exposition au bruit.  Pour chaque augmentation de 3 dB(A) des niveaux sonores, la période ou la durée d'exposition "autorisée" doit être réduite de 50 % ;</w:t>
      </w:r>
    </w:p>
    <w:p w14:paraId="10FD5393" w14:textId="77777777" w:rsidR="00871A3A" w:rsidRPr="007E3D1A" w:rsidRDefault="00871A3A" w:rsidP="00871A3A">
      <w:pPr>
        <w:rPr>
          <w:rFonts w:cs="Arial"/>
          <w:sz w:val="22"/>
        </w:rPr>
      </w:pPr>
      <w:r w:rsidRPr="007E3D1A">
        <w:rPr>
          <w:rFonts w:cs="Arial"/>
          <w:sz w:val="22"/>
        </w:rPr>
        <w:t>Effectuer des contrôles auditifs médicaux périodiques sur les ouvriers exposés à des niveaux sonores élevés ;</w:t>
      </w:r>
    </w:p>
    <w:p w14:paraId="617BF728" w14:textId="77777777" w:rsidR="00871A3A" w:rsidRPr="007E3D1A" w:rsidRDefault="00871A3A" w:rsidP="00871A3A">
      <w:pPr>
        <w:rPr>
          <w:rFonts w:cs="Arial"/>
          <w:sz w:val="22"/>
        </w:rPr>
      </w:pPr>
      <w:r w:rsidRPr="007E3D1A">
        <w:rPr>
          <w:rFonts w:cs="Arial"/>
          <w:sz w:val="22"/>
        </w:rPr>
        <w:t>Effectuer une rotation du personnel pour limiter l'exposition individuelle à des niveaux élevés ;</w:t>
      </w:r>
    </w:p>
    <w:p w14:paraId="6BC5A1AE" w14:textId="77777777" w:rsidR="00871A3A" w:rsidRPr="007E3D1A" w:rsidRDefault="00871A3A" w:rsidP="00871A3A">
      <w:pPr>
        <w:rPr>
          <w:rFonts w:cs="Arial"/>
          <w:sz w:val="22"/>
        </w:rPr>
      </w:pPr>
      <w:r w:rsidRPr="007E3D1A">
        <w:rPr>
          <w:rFonts w:cs="Arial"/>
          <w:sz w:val="22"/>
        </w:rPr>
        <w:t>Installer des dispositifs pratiques d'atténuation acoustique sur les équipements de construction, tels que les silencieux.  Des compresseurs d'air et des générateurs avec silencieux devraient être utilisés, et toutes les machines devraient être maintenues en bon état ;</w:t>
      </w:r>
    </w:p>
    <w:p w14:paraId="17D87C7C" w14:textId="77777777" w:rsidR="00871A3A" w:rsidRPr="007E3D1A" w:rsidRDefault="00871A3A" w:rsidP="00871A3A">
      <w:pPr>
        <w:rPr>
          <w:rFonts w:cs="Arial"/>
          <w:sz w:val="22"/>
        </w:rPr>
      </w:pPr>
      <w:r w:rsidRPr="007E3D1A">
        <w:rPr>
          <w:rFonts w:cs="Arial"/>
          <w:sz w:val="22"/>
        </w:rPr>
        <w:t>Des silencieux doivent être installés sur les bulldozers, les compacteurs, les grues, les camions à benne, les pelles, les niveleuses, les chargeuses, les décapeuses et les pelles.</w:t>
      </w:r>
    </w:p>
    <w:p w14:paraId="672C66A7" w14:textId="77777777" w:rsidR="00871A3A" w:rsidRPr="007E3D1A" w:rsidRDefault="00871A3A" w:rsidP="00871A3A">
      <w:pPr>
        <w:rPr>
          <w:rFonts w:cs="Arial"/>
          <w:sz w:val="22"/>
        </w:rPr>
      </w:pPr>
      <w:r w:rsidRPr="007E3D1A">
        <w:rPr>
          <w:rFonts w:cs="Arial"/>
          <w:sz w:val="22"/>
        </w:rPr>
        <w:t>Poser des panneaux indicateurs dans toutes les zones où le niveau de pression acoustique dépasse 85 dB(A) ;</w:t>
      </w:r>
    </w:p>
    <w:p w14:paraId="2D6B0B0E" w14:textId="77777777" w:rsidR="00871A3A" w:rsidRPr="007E3D1A" w:rsidRDefault="00871A3A" w:rsidP="00871A3A">
      <w:pPr>
        <w:rPr>
          <w:rFonts w:cs="Arial"/>
          <w:sz w:val="22"/>
        </w:rPr>
      </w:pPr>
      <w:r w:rsidRPr="007E3D1A">
        <w:rPr>
          <w:rFonts w:cs="Arial"/>
          <w:sz w:val="22"/>
        </w:rPr>
        <w:t>Limiter les bruits de chantier susceptibles d’importuner gravement les riverains, soit par une durée exagérément longue, soit par leur prolongation en dehors des heures normales de travail. Les seuils à ne pas dépasser sont : 55 à 60 décibels le jour ; 40 décibels la nuit ; et</w:t>
      </w:r>
    </w:p>
    <w:p w14:paraId="7E93F19F" w14:textId="77777777" w:rsidR="00871A3A" w:rsidRPr="007E3D1A" w:rsidRDefault="00871A3A" w:rsidP="00871A3A">
      <w:pPr>
        <w:rPr>
          <w:rFonts w:cs="Arial"/>
          <w:sz w:val="22"/>
        </w:rPr>
      </w:pPr>
      <w:r w:rsidRPr="007E3D1A">
        <w:rPr>
          <w:rFonts w:cs="Arial"/>
          <w:sz w:val="22"/>
        </w:rPr>
        <w:t>Prévenir les habitants si une activité causant un niveau de bruit élevé se déroule à proximité d’une communauté.</w:t>
      </w:r>
    </w:p>
    <w:p w14:paraId="0CA9634A" w14:textId="77777777" w:rsidR="00871A3A" w:rsidRPr="007E3D1A" w:rsidRDefault="00871A3A" w:rsidP="00871A3A">
      <w:pPr>
        <w:rPr>
          <w:rFonts w:cs="Arial"/>
          <w:sz w:val="22"/>
        </w:rPr>
      </w:pPr>
    </w:p>
    <w:p w14:paraId="5952D18B" w14:textId="77777777" w:rsidR="00871A3A" w:rsidRPr="007E3D1A" w:rsidRDefault="00871A3A" w:rsidP="00871A3A">
      <w:pPr>
        <w:rPr>
          <w:rFonts w:cs="Arial"/>
          <w:sz w:val="22"/>
        </w:rPr>
      </w:pPr>
      <w:r w:rsidRPr="007E3D1A">
        <w:rPr>
          <w:rFonts w:cs="Arial"/>
          <w:sz w:val="22"/>
        </w:rPr>
        <w:t>Gestion de la Santé</w:t>
      </w:r>
    </w:p>
    <w:p w14:paraId="593D9C28" w14:textId="77777777" w:rsidR="00871A3A" w:rsidRPr="007E3D1A" w:rsidRDefault="00871A3A" w:rsidP="00871A3A">
      <w:pPr>
        <w:rPr>
          <w:rFonts w:cs="Arial"/>
          <w:sz w:val="22"/>
        </w:rPr>
      </w:pPr>
    </w:p>
    <w:p w14:paraId="2B9CA27E" w14:textId="77777777" w:rsidR="00871A3A" w:rsidRPr="007E3D1A" w:rsidRDefault="00871A3A" w:rsidP="00871A3A">
      <w:pPr>
        <w:rPr>
          <w:rFonts w:cs="Arial"/>
          <w:sz w:val="22"/>
        </w:rPr>
      </w:pPr>
      <w:r w:rsidRPr="007E3D1A">
        <w:rPr>
          <w:rFonts w:cs="Arial"/>
          <w:sz w:val="22"/>
        </w:rPr>
        <w:t>Premiers secours et accidents</w:t>
      </w:r>
    </w:p>
    <w:p w14:paraId="33128E32" w14:textId="77777777" w:rsidR="00871A3A" w:rsidRPr="007E3D1A" w:rsidRDefault="00871A3A" w:rsidP="00871A3A">
      <w:pPr>
        <w:rPr>
          <w:rFonts w:cs="Arial"/>
          <w:sz w:val="22"/>
        </w:rPr>
      </w:pPr>
    </w:p>
    <w:p w14:paraId="69E5E682" w14:textId="77777777" w:rsidR="00871A3A" w:rsidRPr="007E3D1A" w:rsidRDefault="00871A3A" w:rsidP="00871A3A">
      <w:pPr>
        <w:rPr>
          <w:rFonts w:cs="Arial"/>
          <w:sz w:val="22"/>
        </w:rPr>
      </w:pPr>
      <w:r w:rsidRPr="007E3D1A">
        <w:rPr>
          <w:rFonts w:cs="Arial"/>
          <w:sz w:val="22"/>
        </w:rPr>
        <w:t>L’Entreprise doit :</w:t>
      </w:r>
    </w:p>
    <w:p w14:paraId="33C8FAF8" w14:textId="77777777" w:rsidR="00871A3A" w:rsidRPr="007E3D1A" w:rsidRDefault="00871A3A" w:rsidP="00871A3A">
      <w:pPr>
        <w:rPr>
          <w:rFonts w:cs="Arial"/>
          <w:sz w:val="22"/>
        </w:rPr>
      </w:pPr>
    </w:p>
    <w:p w14:paraId="4050CB98" w14:textId="77777777" w:rsidR="00871A3A" w:rsidRPr="007E3D1A" w:rsidRDefault="00871A3A" w:rsidP="00871A3A">
      <w:pPr>
        <w:rPr>
          <w:rFonts w:cs="Arial"/>
          <w:sz w:val="22"/>
        </w:rPr>
      </w:pPr>
      <w:r w:rsidRPr="007E3D1A">
        <w:rPr>
          <w:rFonts w:cs="Arial"/>
          <w:sz w:val="22"/>
        </w:rPr>
        <w:t>Mettre en place un service médical courant et d’urgence à la base-vie, adapté à l’effectif de son personnel ;</w:t>
      </w:r>
    </w:p>
    <w:p w14:paraId="769F5557" w14:textId="77777777" w:rsidR="00871A3A" w:rsidRPr="007E3D1A" w:rsidRDefault="00871A3A" w:rsidP="00871A3A">
      <w:pPr>
        <w:rPr>
          <w:rFonts w:cs="Arial"/>
          <w:sz w:val="22"/>
        </w:rPr>
      </w:pPr>
      <w:r w:rsidRPr="007E3D1A">
        <w:rPr>
          <w:rFonts w:cs="Arial"/>
          <w:sz w:val="22"/>
        </w:rPr>
        <w:t>Veiller à ce que les premiers secours soient toujours dispensés par un personnel qualifié.  Des postes de premiers secours correctement équipés doivent être facilement accessibles depuis le lieu de travail ;</w:t>
      </w:r>
    </w:p>
    <w:p w14:paraId="5999E39D" w14:textId="77777777" w:rsidR="00871A3A" w:rsidRPr="007E3D1A" w:rsidRDefault="00871A3A" w:rsidP="00871A3A">
      <w:pPr>
        <w:rPr>
          <w:rFonts w:cs="Arial"/>
          <w:sz w:val="22"/>
        </w:rPr>
      </w:pPr>
      <w:r w:rsidRPr="007E3D1A">
        <w:rPr>
          <w:rFonts w:cs="Arial"/>
          <w:sz w:val="22"/>
        </w:rPr>
        <w:t>Fournir aux ouvriers chargés des tâches de sauvetage et de premiers secours une formation spécifique, afin de ne pas aggraver par inadvertance les expositions et les risques pour la santé, pour eux-mêmes ou pour leurs collègues.  La formation doit inclure les risques d'infection par des agents pathogènes transmissibles par le sang suite à des contacts avec des fluides et des tissus corporels ;</w:t>
      </w:r>
    </w:p>
    <w:p w14:paraId="7FBDE55C" w14:textId="77777777" w:rsidR="00871A3A" w:rsidRPr="007E3D1A" w:rsidRDefault="00871A3A" w:rsidP="00871A3A">
      <w:pPr>
        <w:rPr>
          <w:rFonts w:cs="Arial"/>
          <w:sz w:val="22"/>
        </w:rPr>
      </w:pPr>
      <w:r w:rsidRPr="007E3D1A">
        <w:rPr>
          <w:rFonts w:cs="Arial"/>
          <w:sz w:val="22"/>
        </w:rPr>
        <w:t>Prévoir des douches oculaires et/ou des douches d'urgence à proximité de tous les postes de travail où il pourrait être nécessaire de se rincer immédiatement à l'eau ;</w:t>
      </w:r>
    </w:p>
    <w:p w14:paraId="3314E6C5" w14:textId="77777777" w:rsidR="00871A3A" w:rsidRPr="007E3D1A" w:rsidRDefault="00871A3A" w:rsidP="00871A3A">
      <w:pPr>
        <w:rPr>
          <w:rFonts w:cs="Arial"/>
          <w:sz w:val="22"/>
        </w:rPr>
      </w:pPr>
      <w:r w:rsidRPr="007E3D1A">
        <w:rPr>
          <w:rFonts w:cs="Arial"/>
          <w:sz w:val="22"/>
        </w:rPr>
        <w:t>Assurer que des procédures d'urgence écrites sont disponibles pour le traitement des cas de traumatisme ou de maladie grave, y compris les procédures de transfert des patients vers un établissement médical approprié ;</w:t>
      </w:r>
    </w:p>
    <w:p w14:paraId="43E5E038" w14:textId="77777777" w:rsidR="00871A3A" w:rsidRPr="007E3D1A" w:rsidRDefault="00871A3A" w:rsidP="00871A3A">
      <w:pPr>
        <w:rPr>
          <w:rFonts w:cs="Arial"/>
          <w:sz w:val="22"/>
        </w:rPr>
      </w:pPr>
      <w:r w:rsidRPr="007E3D1A">
        <w:rPr>
          <w:rFonts w:cs="Arial"/>
          <w:sz w:val="22"/>
        </w:rPr>
        <w:t>Signaler immédiatement au Maître d’Ouvrage délégué toute situation susceptible de provoquer un accident grave, tel que les défaillances majeures d'équipements, le contact avec des lignes à haute tension, l'exposition à des matières dangereuses, les glissements ou les éboulements ;</w:t>
      </w:r>
    </w:p>
    <w:p w14:paraId="64D79736" w14:textId="77777777" w:rsidR="00871A3A" w:rsidRPr="007E3D1A" w:rsidRDefault="00871A3A" w:rsidP="00871A3A">
      <w:pPr>
        <w:rPr>
          <w:rFonts w:cs="Arial"/>
          <w:sz w:val="22"/>
        </w:rPr>
      </w:pPr>
      <w:r w:rsidRPr="007E3D1A">
        <w:rPr>
          <w:rFonts w:cs="Arial"/>
          <w:sz w:val="22"/>
        </w:rPr>
        <w:t>Enquêter immédiatement concernant toute blessure ou maladie grave ou mortelle causée par les travaux dont l’Entreprise est responsable, et soumettre un rapport complet au Maître d’Ouvrage délégué.</w:t>
      </w:r>
    </w:p>
    <w:p w14:paraId="3DD0EEC6" w14:textId="77777777" w:rsidR="00871A3A" w:rsidRPr="007E3D1A" w:rsidRDefault="00871A3A" w:rsidP="00871A3A">
      <w:pPr>
        <w:rPr>
          <w:rFonts w:cs="Arial"/>
          <w:sz w:val="22"/>
        </w:rPr>
      </w:pPr>
    </w:p>
    <w:p w14:paraId="1364FAF3" w14:textId="77777777" w:rsidR="00871A3A" w:rsidRPr="007E3D1A" w:rsidRDefault="00871A3A" w:rsidP="00871A3A">
      <w:pPr>
        <w:rPr>
          <w:rFonts w:cs="Arial"/>
          <w:sz w:val="22"/>
        </w:rPr>
      </w:pPr>
      <w:r w:rsidRPr="007E3D1A">
        <w:rPr>
          <w:rFonts w:cs="Arial"/>
          <w:sz w:val="22"/>
        </w:rPr>
        <w:t>Maladies à Transmission Vectorielle</w:t>
      </w:r>
    </w:p>
    <w:p w14:paraId="23FBE7AA" w14:textId="77777777" w:rsidR="00871A3A" w:rsidRPr="007E3D1A" w:rsidRDefault="00871A3A" w:rsidP="00871A3A">
      <w:pPr>
        <w:rPr>
          <w:rFonts w:cs="Arial"/>
          <w:sz w:val="22"/>
        </w:rPr>
      </w:pPr>
    </w:p>
    <w:p w14:paraId="11F31EC1" w14:textId="77777777" w:rsidR="00871A3A" w:rsidRPr="007E3D1A" w:rsidRDefault="00871A3A" w:rsidP="00871A3A">
      <w:pPr>
        <w:rPr>
          <w:rFonts w:cs="Arial"/>
          <w:sz w:val="22"/>
        </w:rPr>
      </w:pPr>
      <w:r w:rsidRPr="007E3D1A">
        <w:rPr>
          <w:rFonts w:cs="Arial"/>
          <w:sz w:val="22"/>
        </w:rPr>
        <w:t>La meilleure façon de réduire l'impact des maladies à transmission vectorielle sur la santé à long terme des ouvriers et des communautés voisines est d'éliminer les facteurs qui conduisent à la maladie.  L'Entreprise, en étroite collaboration avec les autorités sanitaires de la communauté, doit mettre en œuvre une stratégie intégrée de lutte contre les maladies transmises par les moustiques et autres arthropodes, y compris :</w:t>
      </w:r>
    </w:p>
    <w:p w14:paraId="36EF9C38" w14:textId="77777777" w:rsidR="00871A3A" w:rsidRPr="007E3D1A" w:rsidRDefault="00871A3A" w:rsidP="00871A3A">
      <w:pPr>
        <w:rPr>
          <w:rFonts w:cs="Arial"/>
          <w:sz w:val="22"/>
        </w:rPr>
      </w:pPr>
      <w:r w:rsidRPr="007E3D1A">
        <w:rPr>
          <w:rFonts w:cs="Arial"/>
          <w:sz w:val="22"/>
        </w:rPr>
        <w:t>Prévenir la propagation des larves et des adultes par des améliorations sanitaires, et l'élimination des habitats de reproduction à proximité des établissements humains ;</w:t>
      </w:r>
    </w:p>
    <w:p w14:paraId="2148DC79" w14:textId="77777777" w:rsidR="00871A3A" w:rsidRPr="007E3D1A" w:rsidRDefault="00871A3A" w:rsidP="00871A3A">
      <w:pPr>
        <w:rPr>
          <w:rFonts w:cs="Arial"/>
          <w:sz w:val="22"/>
        </w:rPr>
      </w:pPr>
      <w:r w:rsidRPr="007E3D1A">
        <w:rPr>
          <w:rFonts w:cs="Arial"/>
          <w:sz w:val="22"/>
        </w:rPr>
        <w:t>Prévenir et minimiser la contamination et la propagation ;</w:t>
      </w:r>
    </w:p>
    <w:p w14:paraId="033ED66B" w14:textId="77777777" w:rsidR="00871A3A" w:rsidRPr="007E3D1A" w:rsidRDefault="00871A3A" w:rsidP="00871A3A">
      <w:pPr>
        <w:rPr>
          <w:rFonts w:cs="Arial"/>
          <w:sz w:val="22"/>
        </w:rPr>
      </w:pPr>
      <w:r w:rsidRPr="007E3D1A">
        <w:rPr>
          <w:rFonts w:cs="Arial"/>
          <w:sz w:val="22"/>
        </w:rPr>
        <w:t>Éliminer les eaux stagnantes ;</w:t>
      </w:r>
    </w:p>
    <w:p w14:paraId="1CB46CCA" w14:textId="77777777" w:rsidR="00871A3A" w:rsidRPr="007E3D1A" w:rsidRDefault="00871A3A" w:rsidP="00871A3A">
      <w:pPr>
        <w:rPr>
          <w:rFonts w:cs="Arial"/>
          <w:sz w:val="22"/>
        </w:rPr>
      </w:pPr>
      <w:r w:rsidRPr="007E3D1A">
        <w:rPr>
          <w:rFonts w:cs="Arial"/>
          <w:sz w:val="22"/>
        </w:rPr>
        <w:t>Mettre en œuvre des programmes de lutte intégrée contre les vecteurs ;</w:t>
      </w:r>
    </w:p>
    <w:p w14:paraId="50BE316A" w14:textId="77777777" w:rsidR="00871A3A" w:rsidRPr="007E3D1A" w:rsidRDefault="00871A3A" w:rsidP="00871A3A">
      <w:pPr>
        <w:rPr>
          <w:rFonts w:cs="Arial"/>
          <w:sz w:val="22"/>
        </w:rPr>
      </w:pPr>
      <w:r w:rsidRPr="007E3D1A">
        <w:rPr>
          <w:rFonts w:cs="Arial"/>
          <w:sz w:val="22"/>
        </w:rPr>
        <w:t>Promouvoir l'utilisation de répulsifs, de vêtements, de filets et d'autres barrières pour prévenir les piqûres d'insectes ;</w:t>
      </w:r>
    </w:p>
    <w:p w14:paraId="2B7A8A8C" w14:textId="77777777" w:rsidR="00871A3A" w:rsidRPr="007E3D1A" w:rsidRDefault="00871A3A" w:rsidP="00871A3A">
      <w:pPr>
        <w:rPr>
          <w:rFonts w:cs="Arial"/>
          <w:sz w:val="22"/>
        </w:rPr>
      </w:pPr>
      <w:r w:rsidRPr="007E3D1A">
        <w:rPr>
          <w:rFonts w:cs="Arial"/>
          <w:sz w:val="22"/>
        </w:rPr>
        <w:t>Sensibiliser le personnel du projet aux risques, à la prévention et aux traitements disponibles ;</w:t>
      </w:r>
    </w:p>
    <w:p w14:paraId="1721EAF0" w14:textId="77777777" w:rsidR="00871A3A" w:rsidRPr="007E3D1A" w:rsidRDefault="00871A3A" w:rsidP="00871A3A">
      <w:pPr>
        <w:rPr>
          <w:rFonts w:cs="Arial"/>
          <w:sz w:val="22"/>
        </w:rPr>
      </w:pPr>
      <w:r w:rsidRPr="007E3D1A">
        <w:rPr>
          <w:rFonts w:cs="Arial"/>
          <w:sz w:val="22"/>
        </w:rPr>
        <w:t>Distribuer du matériel éducatif approprié ; et</w:t>
      </w:r>
    </w:p>
    <w:p w14:paraId="0B3EB702" w14:textId="77777777" w:rsidR="00871A3A" w:rsidRPr="007E3D1A" w:rsidRDefault="00871A3A" w:rsidP="00871A3A">
      <w:pPr>
        <w:rPr>
          <w:rFonts w:cs="Arial"/>
          <w:sz w:val="22"/>
        </w:rPr>
      </w:pPr>
      <w:r w:rsidRPr="007E3D1A">
        <w:rPr>
          <w:rFonts w:cs="Arial"/>
          <w:sz w:val="22"/>
        </w:rPr>
        <w:t>Suivre les directives de sécurité pour le stockage, le transport et la distribution des pesticides afin de minimiser les risques de mauvaise utilisation, de déversement et d'exposition humaine accidentelle.</w:t>
      </w:r>
    </w:p>
    <w:p w14:paraId="7FFF7594" w14:textId="77777777" w:rsidR="00871A3A" w:rsidRPr="007E3D1A" w:rsidRDefault="00871A3A" w:rsidP="00871A3A">
      <w:pPr>
        <w:rPr>
          <w:rFonts w:cs="Arial"/>
          <w:sz w:val="22"/>
        </w:rPr>
      </w:pPr>
    </w:p>
    <w:p w14:paraId="064EB544" w14:textId="77777777" w:rsidR="00871A3A" w:rsidRPr="007E3D1A" w:rsidRDefault="00871A3A" w:rsidP="00871A3A">
      <w:pPr>
        <w:rPr>
          <w:rFonts w:cs="Arial"/>
          <w:sz w:val="22"/>
        </w:rPr>
      </w:pPr>
      <w:r w:rsidRPr="007E3D1A">
        <w:rPr>
          <w:rFonts w:cs="Arial"/>
          <w:sz w:val="22"/>
        </w:rPr>
        <w:t>Maladies Contagieuses</w:t>
      </w:r>
    </w:p>
    <w:p w14:paraId="148CA6FB" w14:textId="77777777" w:rsidR="00871A3A" w:rsidRPr="007E3D1A" w:rsidRDefault="00871A3A" w:rsidP="00871A3A">
      <w:pPr>
        <w:rPr>
          <w:rFonts w:cs="Arial"/>
          <w:sz w:val="22"/>
        </w:rPr>
      </w:pPr>
    </w:p>
    <w:p w14:paraId="72EEA447" w14:textId="77777777" w:rsidR="00871A3A" w:rsidRPr="007E3D1A" w:rsidRDefault="00871A3A" w:rsidP="00871A3A">
      <w:pPr>
        <w:rPr>
          <w:rFonts w:cs="Arial"/>
          <w:sz w:val="22"/>
        </w:rPr>
      </w:pPr>
      <w:r w:rsidRPr="007E3D1A">
        <w:rPr>
          <w:rFonts w:cs="Arial"/>
          <w:sz w:val="22"/>
        </w:rPr>
        <w:t>La mobilité de la main-d'œuvre pendant les travaux peut propager les maladies contagieuses, notamment les maladies sexuellement transmissibles (MST), telles que le VIH/SIDA.  Reconnaissant qu'aucune mesure unique n'est susceptible d'être efficace à long terme, l’Entreprise doit inclure une combinaison de modifications comportementales et environnementales pour atténuer ces maladies transmissibles :</w:t>
      </w:r>
    </w:p>
    <w:p w14:paraId="4821215E" w14:textId="77777777" w:rsidR="00871A3A" w:rsidRPr="007E3D1A" w:rsidRDefault="00871A3A" w:rsidP="00871A3A">
      <w:pPr>
        <w:rPr>
          <w:rFonts w:cs="Arial"/>
          <w:sz w:val="22"/>
        </w:rPr>
      </w:pPr>
      <w:r w:rsidRPr="007E3D1A">
        <w:rPr>
          <w:rFonts w:cs="Arial"/>
          <w:sz w:val="22"/>
        </w:rPr>
        <w:t>Prévoir un dépistage actif, un diagnostic, des conseils et l'orientation des travailleurs vers un programme national dédié aux MST et au VIH/SIDA, (sauf accord contraire) de l'ensemble du personnel et de la main-d'œuvre du chantier ;</w:t>
      </w:r>
    </w:p>
    <w:p w14:paraId="3A09EA71" w14:textId="77777777" w:rsidR="00871A3A" w:rsidRPr="007E3D1A" w:rsidRDefault="00871A3A" w:rsidP="00871A3A">
      <w:pPr>
        <w:rPr>
          <w:rFonts w:cs="Arial"/>
          <w:sz w:val="22"/>
        </w:rPr>
      </w:pPr>
      <w:r w:rsidRPr="007E3D1A">
        <w:rPr>
          <w:rFonts w:cs="Arial"/>
          <w:sz w:val="22"/>
        </w:rPr>
        <w:t>Mener des campagnes d'information, d'éducation et de consultation (IEC), au moins tous les deux mois, à l'intention de l'ensemble du personnel et de la main-d'œuvre du site (y compris tous les employés de l’Entreprise, tous les sous-traitants de tout niveau et les employés des consultants travaillant sur le site, ainsi que les chauffeurs de camion et les équipes effectuant des livraisons sur le site pour les travaux et les services exécutés dans le cadre du contrat), concernant les risques, les dangers et l'impact, et les comportements appropriés pour éviter la propagation ;</w:t>
      </w:r>
    </w:p>
    <w:p w14:paraId="2973BBFB" w14:textId="77777777" w:rsidR="00871A3A" w:rsidRPr="007E3D1A" w:rsidRDefault="00871A3A" w:rsidP="00871A3A">
      <w:pPr>
        <w:rPr>
          <w:rFonts w:cs="Arial"/>
          <w:sz w:val="22"/>
        </w:rPr>
      </w:pPr>
      <w:r w:rsidRPr="007E3D1A">
        <w:rPr>
          <w:rFonts w:cs="Arial"/>
          <w:sz w:val="22"/>
        </w:rPr>
        <w:t>Fournir des préservatifs masculins ou féminins à l'ensemble du personnel et des travailleurs du site, selon le cas ;</w:t>
      </w:r>
    </w:p>
    <w:p w14:paraId="57FF583C" w14:textId="77777777" w:rsidR="00871A3A" w:rsidRPr="007E3D1A" w:rsidRDefault="00871A3A" w:rsidP="00871A3A">
      <w:pPr>
        <w:rPr>
          <w:rFonts w:cs="Arial"/>
          <w:sz w:val="22"/>
        </w:rPr>
      </w:pPr>
      <w:r w:rsidRPr="007E3D1A">
        <w:rPr>
          <w:rFonts w:cs="Arial"/>
          <w:sz w:val="22"/>
        </w:rPr>
        <w:t>Fournir un traitement par le biais d'une gestion de cas standard dans les établissements de soins de santé du site ou de la communauté ;</w:t>
      </w:r>
    </w:p>
    <w:p w14:paraId="79E8DDA5" w14:textId="77777777" w:rsidR="00871A3A" w:rsidRPr="007E3D1A" w:rsidRDefault="00871A3A" w:rsidP="00871A3A">
      <w:pPr>
        <w:rPr>
          <w:rFonts w:cs="Arial"/>
          <w:sz w:val="22"/>
        </w:rPr>
      </w:pPr>
      <w:r w:rsidRPr="007E3D1A">
        <w:rPr>
          <w:rFonts w:cs="Arial"/>
          <w:sz w:val="22"/>
        </w:rPr>
        <w:t>Garantir un accès facile au traitement médical, à la confidentialité et aux soins appropriés, en particulier en ce qui concerne les travailleurs migrants ;</w:t>
      </w:r>
    </w:p>
    <w:p w14:paraId="758BF9B3" w14:textId="77777777" w:rsidR="00871A3A" w:rsidRPr="007E3D1A" w:rsidRDefault="00871A3A" w:rsidP="00871A3A">
      <w:pPr>
        <w:rPr>
          <w:rFonts w:cs="Arial"/>
          <w:sz w:val="22"/>
        </w:rPr>
      </w:pPr>
      <w:r w:rsidRPr="007E3D1A">
        <w:rPr>
          <w:rFonts w:cs="Arial"/>
          <w:sz w:val="22"/>
        </w:rPr>
        <w:t>Promouvoir la collaboration avec les autorités locales pour améliorer l'accès des familles des travailleurs et de la communauté aux services de santé publique et assurer l'immunisation des travailleurs contre les maladies courantes et localement répandues ;</w:t>
      </w:r>
    </w:p>
    <w:p w14:paraId="15F7447C" w14:textId="77777777" w:rsidR="00871A3A" w:rsidRPr="007E3D1A" w:rsidRDefault="00871A3A" w:rsidP="00871A3A">
      <w:pPr>
        <w:rPr>
          <w:rFonts w:cs="Arial"/>
          <w:sz w:val="22"/>
        </w:rPr>
      </w:pPr>
      <w:r w:rsidRPr="007E3D1A">
        <w:rPr>
          <w:rFonts w:cs="Arial"/>
          <w:sz w:val="22"/>
        </w:rPr>
        <w:t>Fournir une éducation de base sur les conditions qui permettent la propagation d'autres maladies telles que la fièvre de Lassa, le choléra et le virus Ébola.  La formation doit couvrir l'éducation à l'hygiène sanitaire ;</w:t>
      </w:r>
    </w:p>
    <w:p w14:paraId="4A0B17A5" w14:textId="77777777" w:rsidR="00871A3A" w:rsidRPr="007E3D1A" w:rsidRDefault="00871A3A" w:rsidP="00871A3A">
      <w:pPr>
        <w:rPr>
          <w:rFonts w:cs="Arial"/>
          <w:sz w:val="22"/>
        </w:rPr>
      </w:pPr>
      <w:r w:rsidRPr="007E3D1A">
        <w:rPr>
          <w:rFonts w:cs="Arial"/>
          <w:sz w:val="22"/>
        </w:rPr>
        <w:t>Prévenir les maladies dans les communautés voisines des installations du Projet ;</w:t>
      </w:r>
    </w:p>
    <w:p w14:paraId="2697038A" w14:textId="77777777" w:rsidR="00871A3A" w:rsidRPr="007E3D1A" w:rsidRDefault="00871A3A" w:rsidP="00871A3A">
      <w:pPr>
        <w:rPr>
          <w:rFonts w:cs="Arial"/>
          <w:sz w:val="22"/>
        </w:rPr>
      </w:pPr>
      <w:r w:rsidRPr="007E3D1A">
        <w:rPr>
          <w:rFonts w:cs="Arial"/>
          <w:sz w:val="22"/>
        </w:rPr>
        <w:t>Mettre en œuvre une stratégie d'information pour renforcer les conseils de personne à personne sur les facteurs systémiques qui peuvent influencer le comportement individuel ainsi qu'en promouvant la protection individuelle et en protégeant les autres de l'infection, en encourageant l'utilisation de préservatifs ;</w:t>
      </w:r>
    </w:p>
    <w:p w14:paraId="0A6F7C82" w14:textId="77777777" w:rsidR="00871A3A" w:rsidRPr="007E3D1A" w:rsidRDefault="00871A3A" w:rsidP="00871A3A">
      <w:pPr>
        <w:rPr>
          <w:rFonts w:cs="Arial"/>
          <w:sz w:val="22"/>
        </w:rPr>
      </w:pPr>
      <w:r w:rsidRPr="007E3D1A">
        <w:rPr>
          <w:rFonts w:cs="Arial"/>
          <w:sz w:val="22"/>
        </w:rPr>
        <w:t>Former les travailleurs de la santé au traitement des maladies ;</w:t>
      </w:r>
    </w:p>
    <w:p w14:paraId="7208439E" w14:textId="77777777" w:rsidR="00871A3A" w:rsidRPr="007E3D1A" w:rsidRDefault="00871A3A" w:rsidP="00871A3A">
      <w:pPr>
        <w:rPr>
          <w:rFonts w:cs="Arial"/>
          <w:sz w:val="22"/>
        </w:rPr>
      </w:pPr>
      <w:r w:rsidRPr="007E3D1A">
        <w:rPr>
          <w:rFonts w:cs="Arial"/>
          <w:sz w:val="22"/>
        </w:rPr>
        <w:t>Mener des programmes de vaccination pour les travailleurs des communautés locales afin d'améliorer la santé et de se prémunir contre les infections ;</w:t>
      </w:r>
    </w:p>
    <w:p w14:paraId="4216EDAC" w14:textId="77777777" w:rsidR="00871A3A" w:rsidRPr="007E3D1A" w:rsidRDefault="00871A3A" w:rsidP="00871A3A">
      <w:pPr>
        <w:rPr>
          <w:rFonts w:cs="Arial"/>
          <w:sz w:val="22"/>
        </w:rPr>
      </w:pPr>
      <w:r w:rsidRPr="007E3D1A">
        <w:rPr>
          <w:rFonts w:cs="Arial"/>
          <w:sz w:val="22"/>
        </w:rPr>
        <w:t>Fournir des services de santé ; et</w:t>
      </w:r>
    </w:p>
    <w:p w14:paraId="04A8C145" w14:textId="77777777" w:rsidR="00871A3A" w:rsidRPr="007E3D1A" w:rsidRDefault="00871A3A" w:rsidP="00871A3A">
      <w:pPr>
        <w:rPr>
          <w:rFonts w:cs="Arial"/>
          <w:sz w:val="22"/>
        </w:rPr>
      </w:pPr>
      <w:r w:rsidRPr="007E3D1A">
        <w:rPr>
          <w:rFonts w:cs="Arial"/>
          <w:sz w:val="22"/>
        </w:rPr>
        <w:t>Confier à un prestataire de services VIH la tâche d'être disponible sur place.</w:t>
      </w:r>
    </w:p>
    <w:p w14:paraId="590B291D" w14:textId="77777777" w:rsidR="00871A3A" w:rsidRPr="007E3D1A" w:rsidRDefault="00871A3A" w:rsidP="00871A3A">
      <w:pPr>
        <w:rPr>
          <w:rFonts w:cs="Arial"/>
          <w:sz w:val="22"/>
        </w:rPr>
      </w:pPr>
    </w:p>
    <w:p w14:paraId="1C352E74" w14:textId="77777777" w:rsidR="00871A3A" w:rsidRPr="007E3D1A" w:rsidRDefault="00871A3A" w:rsidP="00871A3A">
      <w:pPr>
        <w:rPr>
          <w:rFonts w:cs="Arial"/>
          <w:sz w:val="22"/>
        </w:rPr>
      </w:pPr>
      <w:r w:rsidRPr="007E3D1A">
        <w:rPr>
          <w:rFonts w:cs="Arial"/>
          <w:sz w:val="22"/>
        </w:rPr>
        <w:t>COVID-19</w:t>
      </w:r>
    </w:p>
    <w:p w14:paraId="3F43E7B7" w14:textId="77777777" w:rsidR="00871A3A" w:rsidRPr="007E3D1A" w:rsidRDefault="00871A3A" w:rsidP="00871A3A">
      <w:pPr>
        <w:rPr>
          <w:rFonts w:cs="Arial"/>
          <w:sz w:val="22"/>
        </w:rPr>
      </w:pPr>
    </w:p>
    <w:p w14:paraId="2B1D2D93" w14:textId="77777777" w:rsidR="00871A3A" w:rsidRPr="007E3D1A" w:rsidRDefault="00871A3A" w:rsidP="00871A3A">
      <w:pPr>
        <w:rPr>
          <w:rFonts w:cs="Arial"/>
          <w:sz w:val="22"/>
        </w:rPr>
      </w:pPr>
      <w:r w:rsidRPr="007E3D1A">
        <w:rPr>
          <w:rFonts w:cs="Arial"/>
          <w:sz w:val="22"/>
        </w:rPr>
        <w:t>Dans le contexte de la pandémie COVID-19, l’Entreprise devra élaborer et mettre en œuvre des mesures visant à prévenir ou à réduire au minimum la pandémie, et indiquant ce qu'il convient de faire si un travailleur tombe malade.  À ce titre, l’Entreprise doit :</w:t>
      </w:r>
    </w:p>
    <w:p w14:paraId="196A2EEE" w14:textId="77777777" w:rsidR="00871A3A" w:rsidRPr="007E3D1A" w:rsidRDefault="00871A3A" w:rsidP="00871A3A">
      <w:pPr>
        <w:rPr>
          <w:rFonts w:cs="Arial"/>
          <w:sz w:val="22"/>
        </w:rPr>
      </w:pPr>
    </w:p>
    <w:p w14:paraId="199721BA" w14:textId="77777777" w:rsidR="00871A3A" w:rsidRPr="007E3D1A" w:rsidRDefault="00871A3A" w:rsidP="00871A3A">
      <w:pPr>
        <w:rPr>
          <w:rFonts w:cs="Arial"/>
          <w:sz w:val="22"/>
        </w:rPr>
      </w:pPr>
      <w:r w:rsidRPr="007E3D1A">
        <w:rPr>
          <w:rFonts w:cs="Arial"/>
          <w:sz w:val="22"/>
        </w:rPr>
        <w:t>Identifier les employés qui présentent des problèmes de santé sous-jacents ou qui peuvent être autrement à risque ;</w:t>
      </w:r>
    </w:p>
    <w:p w14:paraId="55F59810" w14:textId="77777777" w:rsidR="00871A3A" w:rsidRPr="007E3D1A" w:rsidRDefault="00871A3A" w:rsidP="00871A3A">
      <w:pPr>
        <w:rPr>
          <w:rFonts w:cs="Arial"/>
          <w:sz w:val="22"/>
        </w:rPr>
      </w:pPr>
      <w:r w:rsidRPr="007E3D1A">
        <w:rPr>
          <w:rFonts w:cs="Arial"/>
          <w:sz w:val="22"/>
        </w:rPr>
        <w:t>Confirmer que les travailleurs sont aptes au travail, y compris en contrôlant leur température et en refusant l'entrée aux travailleurs malades ;</w:t>
      </w:r>
    </w:p>
    <w:p w14:paraId="49D78031" w14:textId="77777777" w:rsidR="00871A3A" w:rsidRPr="007E3D1A" w:rsidRDefault="00871A3A" w:rsidP="00871A3A">
      <w:pPr>
        <w:rPr>
          <w:rFonts w:cs="Arial"/>
          <w:sz w:val="22"/>
        </w:rPr>
      </w:pPr>
      <w:r w:rsidRPr="007E3D1A">
        <w:rPr>
          <w:rFonts w:cs="Arial"/>
          <w:sz w:val="22"/>
        </w:rPr>
        <w:t>Envisager des moyens afin de réduire au minimum les entrées/sorties sur le site ou le lieu de travail et de limiter les contacts entre les travailleurs et la communauté/le grand public ;</w:t>
      </w:r>
    </w:p>
    <w:p w14:paraId="6B5DC498" w14:textId="77777777" w:rsidR="00871A3A" w:rsidRPr="007E3D1A" w:rsidRDefault="00871A3A" w:rsidP="00871A3A">
      <w:pPr>
        <w:rPr>
          <w:rFonts w:cs="Arial"/>
          <w:sz w:val="22"/>
        </w:rPr>
      </w:pPr>
      <w:r w:rsidRPr="007E3D1A">
        <w:rPr>
          <w:rFonts w:cs="Arial"/>
          <w:sz w:val="22"/>
        </w:rPr>
        <w:t>Former les employés à l'hygiène et aux autres mesures préventives, et mettre en œuvre une stratégie de communication, y compris des mises à jour régulières sur les questions liées à COVID-19 et le statut des travailleurs concernés ;</w:t>
      </w:r>
    </w:p>
    <w:p w14:paraId="074BF189" w14:textId="77777777" w:rsidR="00871A3A" w:rsidRPr="007E3D1A" w:rsidRDefault="00871A3A" w:rsidP="00871A3A">
      <w:pPr>
        <w:rPr>
          <w:rFonts w:cs="Arial"/>
          <w:sz w:val="22"/>
        </w:rPr>
      </w:pPr>
      <w:r w:rsidRPr="007E3D1A">
        <w:rPr>
          <w:rFonts w:cs="Arial"/>
          <w:sz w:val="22"/>
        </w:rPr>
        <w:t>Continuer de traiter les travailleurs qui s'isolent ou devraient s'isoler et/ou qui présentent des symptômes ;</w:t>
      </w:r>
    </w:p>
    <w:p w14:paraId="077DC10E" w14:textId="77777777" w:rsidR="00871A3A" w:rsidRPr="007E3D1A" w:rsidRDefault="00871A3A" w:rsidP="00871A3A">
      <w:pPr>
        <w:rPr>
          <w:rFonts w:cs="Arial"/>
          <w:sz w:val="22"/>
        </w:rPr>
      </w:pPr>
      <w:r w:rsidRPr="007E3D1A">
        <w:rPr>
          <w:rFonts w:cs="Arial"/>
          <w:sz w:val="22"/>
        </w:rPr>
        <w:t>Évaluer les risques pour la continuité de l'approvisionnement en médicaments, en eau, en carburant, en nourriture et en EPI, en tenant compte des chaînes d'approvisionnement internationales, nationales et locales ;</w:t>
      </w:r>
    </w:p>
    <w:p w14:paraId="7E63F6F8" w14:textId="77777777" w:rsidR="00871A3A" w:rsidRPr="007E3D1A" w:rsidRDefault="00871A3A" w:rsidP="00871A3A">
      <w:pPr>
        <w:rPr>
          <w:rFonts w:cs="Arial"/>
          <w:sz w:val="22"/>
        </w:rPr>
      </w:pPr>
      <w:r w:rsidRPr="007E3D1A">
        <w:rPr>
          <w:rFonts w:cs="Arial"/>
          <w:sz w:val="22"/>
        </w:rPr>
        <w:t>Réduire, stocker et éliminer les déchets médicaux ;</w:t>
      </w:r>
    </w:p>
    <w:p w14:paraId="5C0693D5" w14:textId="77777777" w:rsidR="00871A3A" w:rsidRPr="007E3D1A" w:rsidRDefault="00871A3A" w:rsidP="00871A3A">
      <w:pPr>
        <w:rPr>
          <w:rFonts w:cs="Arial"/>
          <w:sz w:val="22"/>
        </w:rPr>
      </w:pPr>
      <w:r w:rsidRPr="007E3D1A">
        <w:rPr>
          <w:rFonts w:cs="Arial"/>
          <w:sz w:val="22"/>
        </w:rPr>
        <w:t>Adapter des pratiques de travail permettant de réduire le nombre de travailleurs et d’accroître la distance sociale ;</w:t>
      </w:r>
    </w:p>
    <w:p w14:paraId="03624972" w14:textId="77777777" w:rsidR="00871A3A" w:rsidRPr="007E3D1A" w:rsidRDefault="00871A3A" w:rsidP="00871A3A">
      <w:pPr>
        <w:rPr>
          <w:rFonts w:cs="Arial"/>
          <w:sz w:val="22"/>
        </w:rPr>
      </w:pPr>
      <w:r w:rsidRPr="007E3D1A">
        <w:rPr>
          <w:rFonts w:cs="Arial"/>
          <w:sz w:val="22"/>
        </w:rPr>
        <w:t>Développer les capacités de traitement sur le site par rapport au niveau habituel, développer les relations avec les établissements de santé locaux, et organiser le traitement des travailleurs malades ;</w:t>
      </w:r>
    </w:p>
    <w:p w14:paraId="6CA83F93" w14:textId="77777777" w:rsidR="00871A3A" w:rsidRPr="007E3D1A" w:rsidRDefault="00871A3A" w:rsidP="00871A3A">
      <w:pPr>
        <w:rPr>
          <w:rFonts w:cs="Arial"/>
          <w:sz w:val="22"/>
        </w:rPr>
      </w:pPr>
      <w:r w:rsidRPr="007E3D1A">
        <w:rPr>
          <w:rFonts w:cs="Arial"/>
          <w:sz w:val="22"/>
        </w:rPr>
        <w:t>Construire des logements pour les travailleurs plus éloignés les uns des autres, ou avoir un logement dans une zone plus isolée, qui peut être facilement converti en installations de quarantaine et de traitement, si nécessaire ;</w:t>
      </w:r>
    </w:p>
    <w:p w14:paraId="0D9BEE34" w14:textId="77777777" w:rsidR="00871A3A" w:rsidRPr="007E3D1A" w:rsidRDefault="00871A3A" w:rsidP="00871A3A">
      <w:pPr>
        <w:rPr>
          <w:rFonts w:cs="Arial"/>
          <w:sz w:val="22"/>
        </w:rPr>
      </w:pPr>
      <w:r w:rsidRPr="007E3D1A">
        <w:rPr>
          <w:rFonts w:cs="Arial"/>
          <w:sz w:val="22"/>
        </w:rPr>
        <w:t>Établir la procédure à suivre si un travailleur tombe malade (en suivant les directives de l'OMS) ; et</w:t>
      </w:r>
    </w:p>
    <w:p w14:paraId="320E07D9" w14:textId="77777777" w:rsidR="00871A3A" w:rsidRPr="007E3D1A" w:rsidRDefault="00871A3A" w:rsidP="00871A3A">
      <w:pPr>
        <w:rPr>
          <w:rFonts w:cs="Arial"/>
          <w:sz w:val="22"/>
        </w:rPr>
      </w:pPr>
      <w:r w:rsidRPr="007E3D1A">
        <w:rPr>
          <w:rFonts w:cs="Arial"/>
          <w:sz w:val="22"/>
        </w:rPr>
        <w:t>Mettre en œuvre une stratégie de communication avec la communauté, les dirigeants communautaires et les autorités locales en ce qui concerne les questions relatives à COVID-19 sur les sites du Projet.</w:t>
      </w:r>
    </w:p>
    <w:p w14:paraId="5F4FEA32" w14:textId="77777777" w:rsidR="00871A3A" w:rsidRPr="007E3D1A" w:rsidRDefault="00871A3A" w:rsidP="00871A3A">
      <w:pPr>
        <w:rPr>
          <w:rFonts w:cs="Arial"/>
          <w:sz w:val="22"/>
        </w:rPr>
      </w:pPr>
    </w:p>
    <w:p w14:paraId="17D85C41" w14:textId="77777777" w:rsidR="00871A3A" w:rsidRPr="007E3D1A" w:rsidRDefault="00871A3A" w:rsidP="00871A3A">
      <w:pPr>
        <w:rPr>
          <w:rFonts w:cs="Arial"/>
          <w:sz w:val="22"/>
        </w:rPr>
      </w:pPr>
      <w:r w:rsidRPr="007E3D1A">
        <w:rPr>
          <w:rFonts w:cs="Arial"/>
          <w:sz w:val="22"/>
        </w:rPr>
        <w:t>Interdiction du travail et exploitation des enfants</w:t>
      </w:r>
    </w:p>
    <w:p w14:paraId="6257E627" w14:textId="77777777" w:rsidR="00871A3A" w:rsidRPr="007E3D1A" w:rsidRDefault="00871A3A" w:rsidP="00871A3A">
      <w:pPr>
        <w:rPr>
          <w:rFonts w:cs="Arial"/>
          <w:sz w:val="22"/>
        </w:rPr>
      </w:pPr>
    </w:p>
    <w:p w14:paraId="61255D61" w14:textId="77777777" w:rsidR="00871A3A" w:rsidRPr="007E3D1A" w:rsidRDefault="00871A3A" w:rsidP="00871A3A">
      <w:pPr>
        <w:rPr>
          <w:rFonts w:cs="Arial"/>
          <w:sz w:val="22"/>
        </w:rPr>
      </w:pPr>
      <w:r w:rsidRPr="007E3D1A">
        <w:rPr>
          <w:rFonts w:cs="Arial"/>
          <w:sz w:val="22"/>
        </w:rPr>
        <w:t>L’entrepreneur ne doit pas embaucher les enfants de moins de 18 ans. Ex : L’Entrepreneur n'emploiera pas d’enfants d’une manière qui revient à les exploiter économiquement ou dont il est probable qu'elle soit dangereuse ou qu'elle interfère avec l'éducation de l'enfant ou qu'elle soit dommageable pour sa santé ou son développement physique, mental, spirituel, moral ou social. Si le droit national prévoit l’emploi des mineurs, l’Entrepreneur respectera les lois qui lui sont applicables. Les enfants de moins de dix-huit ans ne seront pas employés à des travaux dangereux.</w:t>
      </w:r>
    </w:p>
    <w:p w14:paraId="717C2BB3" w14:textId="77777777" w:rsidR="00871A3A" w:rsidRPr="007E3D1A" w:rsidRDefault="00871A3A" w:rsidP="00871A3A">
      <w:pPr>
        <w:rPr>
          <w:rFonts w:cs="Arial"/>
          <w:sz w:val="22"/>
        </w:rPr>
      </w:pPr>
    </w:p>
    <w:p w14:paraId="43A56D96" w14:textId="77777777" w:rsidR="00871A3A" w:rsidRPr="007E3D1A" w:rsidRDefault="00871A3A" w:rsidP="00871A3A">
      <w:pPr>
        <w:rPr>
          <w:rFonts w:cs="Arial"/>
          <w:sz w:val="22"/>
        </w:rPr>
      </w:pPr>
      <w:r w:rsidRPr="007E3D1A">
        <w:rPr>
          <w:rFonts w:cs="Arial"/>
          <w:sz w:val="22"/>
        </w:rPr>
        <w:t>Prévention, atténuation er réponse contre les VBG/EAS/HS</w:t>
      </w:r>
    </w:p>
    <w:p w14:paraId="3C69DB33" w14:textId="77777777" w:rsidR="00871A3A" w:rsidRPr="007E3D1A" w:rsidRDefault="00871A3A" w:rsidP="00871A3A">
      <w:pPr>
        <w:rPr>
          <w:rFonts w:cs="Arial"/>
          <w:sz w:val="22"/>
        </w:rPr>
      </w:pPr>
    </w:p>
    <w:p w14:paraId="440B06D9" w14:textId="77777777" w:rsidR="00871A3A" w:rsidRPr="007E3D1A" w:rsidRDefault="00871A3A" w:rsidP="00871A3A">
      <w:pPr>
        <w:rPr>
          <w:rFonts w:cs="Arial"/>
          <w:sz w:val="22"/>
        </w:rPr>
      </w:pPr>
      <w:r w:rsidRPr="007E3D1A">
        <w:rPr>
          <w:rFonts w:cs="Arial"/>
          <w:sz w:val="22"/>
        </w:rPr>
        <w:t>L’Entrepreneur doit informer et former son personnel sur les risques liés à la commission des incidents VBG/EAS/HS. Il doit veiller à créer un environnement dans lequel les incidents des VBG ne se perpétuent pas. Et l’entrepreneur sera responsable aussi de prévoir des mesures de prévention comme : (i) l’affichage du code de conduite dans lieux visibles et accessibles pour tous les travailleurs, et ce dans différentes langues, (ii) faciliter la formation des travailleurs, et la signature du Code de Conduite etc.</w:t>
      </w:r>
    </w:p>
    <w:p w14:paraId="76128C12" w14:textId="77777777" w:rsidR="00871A3A" w:rsidRPr="007E3D1A" w:rsidRDefault="00871A3A" w:rsidP="00871A3A">
      <w:pPr>
        <w:rPr>
          <w:rFonts w:cs="Arial"/>
          <w:sz w:val="22"/>
        </w:rPr>
      </w:pPr>
    </w:p>
    <w:p w14:paraId="40947531" w14:textId="77777777" w:rsidR="00871A3A" w:rsidRPr="007E3D1A" w:rsidRDefault="00871A3A" w:rsidP="00871A3A">
      <w:pPr>
        <w:rPr>
          <w:rFonts w:cs="Arial"/>
          <w:sz w:val="22"/>
        </w:rPr>
      </w:pPr>
      <w:r w:rsidRPr="007E3D1A">
        <w:rPr>
          <w:rFonts w:cs="Arial"/>
          <w:sz w:val="22"/>
        </w:rPr>
        <w:t>Les Spécifications pour les Travaux doivent également comprendre les exigences environnementales, sociales (y compris les dispositions sur l’exploitation et les abus sexuels (EAS) et les violences à caractère sexiste (VCS), hygiène et sécurité (ESHS) que l’Entrepreneur doit satisfaire en exécutant les Travaux.</w:t>
      </w:r>
    </w:p>
    <w:p w14:paraId="1A60ACF3" w14:textId="77777777" w:rsidR="00871A3A" w:rsidRPr="007E3D1A" w:rsidRDefault="00871A3A" w:rsidP="00871A3A">
      <w:pPr>
        <w:rPr>
          <w:rFonts w:cs="Arial"/>
          <w:sz w:val="22"/>
        </w:rPr>
      </w:pPr>
    </w:p>
    <w:p w14:paraId="09D79915" w14:textId="77777777" w:rsidR="00871A3A" w:rsidRPr="007E3D1A" w:rsidRDefault="00871A3A" w:rsidP="00871A3A">
      <w:pPr>
        <w:rPr>
          <w:rFonts w:cs="Arial"/>
          <w:sz w:val="22"/>
        </w:rPr>
      </w:pPr>
      <w:r w:rsidRPr="007E3D1A">
        <w:rPr>
          <w:rFonts w:cs="Arial"/>
          <w:sz w:val="22"/>
        </w:rPr>
        <w:t>Les actes de VBG ou VCE constituent une faute grave et sont donc des motifs de sanctions, qui peuvent inclure des sanctions et/ou la cessation d'emploi, et si nécessaire le renvoi à la police pour d'autres mesures.</w:t>
      </w:r>
    </w:p>
    <w:p w14:paraId="2F1873F3" w14:textId="77777777" w:rsidR="00871A3A" w:rsidRPr="007E3D1A" w:rsidRDefault="00871A3A" w:rsidP="00871A3A">
      <w:pPr>
        <w:rPr>
          <w:rFonts w:cs="Arial"/>
          <w:sz w:val="22"/>
        </w:rPr>
      </w:pPr>
    </w:p>
    <w:tbl>
      <w:tblPr>
        <w:tblW w:w="9440" w:type="dxa"/>
        <w:tblCellMar>
          <w:left w:w="70" w:type="dxa"/>
          <w:right w:w="70" w:type="dxa"/>
        </w:tblCellMar>
        <w:tblLook w:val="04A0" w:firstRow="1" w:lastRow="0" w:firstColumn="1" w:lastColumn="0" w:noHBand="0" w:noVBand="1"/>
      </w:tblPr>
      <w:tblGrid>
        <w:gridCol w:w="3238"/>
        <w:gridCol w:w="6202"/>
      </w:tblGrid>
      <w:tr w:rsidR="00871A3A" w:rsidRPr="007E3D1A" w14:paraId="5D2DE9F1" w14:textId="77777777" w:rsidTr="00BB0401">
        <w:trPr>
          <w:trHeight w:val="744"/>
          <w:tblHeader/>
        </w:trPr>
        <w:tc>
          <w:tcPr>
            <w:tcW w:w="3238" w:type="dxa"/>
            <w:tcBorders>
              <w:top w:val="double" w:sz="6" w:space="0" w:color="auto"/>
              <w:left w:val="double" w:sz="6" w:space="0" w:color="auto"/>
              <w:bottom w:val="double" w:sz="6" w:space="0" w:color="auto"/>
              <w:right w:val="double" w:sz="6" w:space="0" w:color="auto"/>
            </w:tcBorders>
            <w:shd w:val="clear" w:color="000000" w:fill="E6B8B7"/>
            <w:vAlign w:val="center"/>
            <w:hideMark/>
          </w:tcPr>
          <w:p w14:paraId="58250964" w14:textId="77777777" w:rsidR="00871A3A" w:rsidRPr="007E3D1A" w:rsidRDefault="00871A3A" w:rsidP="00BB0401">
            <w:pPr>
              <w:rPr>
                <w:rFonts w:cs="Arial"/>
                <w:sz w:val="22"/>
              </w:rPr>
            </w:pPr>
            <w:r w:rsidRPr="007E3D1A">
              <w:rPr>
                <w:rFonts w:cs="Arial"/>
                <w:sz w:val="22"/>
              </w:rPr>
              <w:t>Mesures d'atténuation des risques VBG</w:t>
            </w:r>
          </w:p>
        </w:tc>
        <w:tc>
          <w:tcPr>
            <w:tcW w:w="6202" w:type="dxa"/>
            <w:tcBorders>
              <w:top w:val="double" w:sz="6" w:space="0" w:color="auto"/>
              <w:left w:val="nil"/>
              <w:bottom w:val="double" w:sz="6" w:space="0" w:color="auto"/>
              <w:right w:val="double" w:sz="6" w:space="0" w:color="auto"/>
            </w:tcBorders>
            <w:shd w:val="clear" w:color="000000" w:fill="E6B8B7"/>
            <w:vAlign w:val="center"/>
            <w:hideMark/>
          </w:tcPr>
          <w:p w14:paraId="1FE6328C" w14:textId="77777777" w:rsidR="00871A3A" w:rsidRPr="007E3D1A" w:rsidRDefault="00871A3A" w:rsidP="00BB0401">
            <w:pPr>
              <w:rPr>
                <w:rFonts w:cs="Arial"/>
                <w:sz w:val="22"/>
              </w:rPr>
            </w:pPr>
            <w:r w:rsidRPr="007E3D1A">
              <w:rPr>
                <w:rFonts w:cs="Arial"/>
                <w:sz w:val="22"/>
              </w:rPr>
              <w:t>Cadrage</w:t>
            </w:r>
          </w:p>
        </w:tc>
      </w:tr>
      <w:tr w:rsidR="00871A3A" w:rsidRPr="007E3D1A" w14:paraId="570544EE" w14:textId="77777777" w:rsidTr="00BB0401">
        <w:trPr>
          <w:trHeight w:val="600"/>
        </w:trPr>
        <w:tc>
          <w:tcPr>
            <w:tcW w:w="3238" w:type="dxa"/>
            <w:tcBorders>
              <w:top w:val="nil"/>
              <w:left w:val="double" w:sz="6" w:space="0" w:color="auto"/>
              <w:bottom w:val="double" w:sz="6" w:space="0" w:color="auto"/>
              <w:right w:val="double" w:sz="6" w:space="0" w:color="auto"/>
            </w:tcBorders>
            <w:shd w:val="clear" w:color="auto" w:fill="auto"/>
            <w:hideMark/>
          </w:tcPr>
          <w:p w14:paraId="4574AE86" w14:textId="77777777" w:rsidR="00871A3A" w:rsidRPr="007E3D1A" w:rsidRDefault="00871A3A" w:rsidP="00BB0401">
            <w:pPr>
              <w:rPr>
                <w:rFonts w:cs="Arial"/>
                <w:sz w:val="22"/>
              </w:rPr>
            </w:pPr>
            <w:r w:rsidRPr="007E3D1A">
              <w:rPr>
                <w:rFonts w:cs="Arial"/>
                <w:sz w:val="22"/>
              </w:rPr>
              <w:t>Dépôt des plaintes au MGP</w:t>
            </w:r>
          </w:p>
        </w:tc>
        <w:tc>
          <w:tcPr>
            <w:tcW w:w="6202" w:type="dxa"/>
            <w:tcBorders>
              <w:top w:val="nil"/>
              <w:left w:val="nil"/>
              <w:bottom w:val="double" w:sz="6" w:space="0" w:color="auto"/>
              <w:right w:val="double" w:sz="6" w:space="0" w:color="auto"/>
            </w:tcBorders>
            <w:shd w:val="clear" w:color="auto" w:fill="auto"/>
            <w:hideMark/>
          </w:tcPr>
          <w:p w14:paraId="28581AB4" w14:textId="77777777" w:rsidR="00871A3A" w:rsidRPr="007E3D1A" w:rsidRDefault="00871A3A" w:rsidP="00BB0401">
            <w:pPr>
              <w:rPr>
                <w:rFonts w:cs="Arial"/>
                <w:sz w:val="22"/>
              </w:rPr>
            </w:pPr>
            <w:r w:rsidRPr="007E3D1A">
              <w:rPr>
                <w:rFonts w:cs="Arial"/>
                <w:sz w:val="22"/>
              </w:rPr>
              <w:t xml:space="preserve">Renforcer le système de partage d'information au sein de la coordination des ONG partenaires. </w:t>
            </w:r>
          </w:p>
        </w:tc>
      </w:tr>
      <w:tr w:rsidR="00871A3A" w:rsidRPr="007E3D1A" w14:paraId="6DCD6CF1" w14:textId="77777777" w:rsidTr="00BB0401">
        <w:trPr>
          <w:trHeight w:val="1674"/>
        </w:trPr>
        <w:tc>
          <w:tcPr>
            <w:tcW w:w="3238" w:type="dxa"/>
            <w:tcBorders>
              <w:top w:val="nil"/>
              <w:left w:val="double" w:sz="6" w:space="0" w:color="auto"/>
              <w:bottom w:val="double" w:sz="6" w:space="0" w:color="auto"/>
              <w:right w:val="double" w:sz="6" w:space="0" w:color="auto"/>
            </w:tcBorders>
            <w:shd w:val="clear" w:color="auto" w:fill="auto"/>
            <w:hideMark/>
          </w:tcPr>
          <w:p w14:paraId="00323AA1" w14:textId="77777777" w:rsidR="00871A3A" w:rsidRPr="007E3D1A" w:rsidRDefault="00871A3A" w:rsidP="00BB0401">
            <w:pPr>
              <w:rPr>
                <w:rFonts w:cs="Arial"/>
                <w:sz w:val="22"/>
              </w:rPr>
            </w:pPr>
            <w:r w:rsidRPr="007E3D1A">
              <w:rPr>
                <w:rFonts w:cs="Arial"/>
                <w:sz w:val="22"/>
              </w:rPr>
              <w:t>Formation des travailleurs et personnel</w:t>
            </w:r>
          </w:p>
        </w:tc>
        <w:tc>
          <w:tcPr>
            <w:tcW w:w="6202" w:type="dxa"/>
            <w:tcBorders>
              <w:top w:val="nil"/>
              <w:left w:val="nil"/>
              <w:bottom w:val="double" w:sz="6" w:space="0" w:color="auto"/>
              <w:right w:val="double" w:sz="6" w:space="0" w:color="auto"/>
            </w:tcBorders>
            <w:shd w:val="clear" w:color="auto" w:fill="auto"/>
            <w:hideMark/>
          </w:tcPr>
          <w:p w14:paraId="21FFCFA3" w14:textId="77777777" w:rsidR="00871A3A" w:rsidRPr="007E3D1A" w:rsidRDefault="00871A3A" w:rsidP="00BB0401">
            <w:pPr>
              <w:rPr>
                <w:rFonts w:cs="Arial"/>
                <w:sz w:val="22"/>
              </w:rPr>
            </w:pPr>
            <w:r w:rsidRPr="007E3D1A">
              <w:rPr>
                <w:rFonts w:cs="Arial"/>
                <w:sz w:val="22"/>
              </w:rPr>
              <w:t xml:space="preserve">Renforcer les séances de conscientisation des staffs en rapport aux AES et code des bonnes conduites et le responsabiliser davantage. Demander aux entreprises et à la mission de contrôle de constituer une liste de travailleurs potentiels (roster) qui soient préalablement formés et aient signé le code de conduite. Les entreprises peuvent puiser dans cette liste pour combler les besoins en travailleur. </w:t>
            </w:r>
          </w:p>
        </w:tc>
      </w:tr>
      <w:tr w:rsidR="00871A3A" w:rsidRPr="007E3D1A" w14:paraId="37BD0558" w14:textId="77777777" w:rsidTr="00BB0401">
        <w:trPr>
          <w:trHeight w:val="600"/>
        </w:trPr>
        <w:tc>
          <w:tcPr>
            <w:tcW w:w="3238" w:type="dxa"/>
            <w:tcBorders>
              <w:top w:val="nil"/>
              <w:left w:val="double" w:sz="6" w:space="0" w:color="auto"/>
              <w:bottom w:val="double" w:sz="6" w:space="0" w:color="auto"/>
              <w:right w:val="double" w:sz="6" w:space="0" w:color="auto"/>
            </w:tcBorders>
            <w:shd w:val="clear" w:color="auto" w:fill="auto"/>
            <w:hideMark/>
          </w:tcPr>
          <w:p w14:paraId="7CD941C6" w14:textId="77777777" w:rsidR="00871A3A" w:rsidRPr="007E3D1A" w:rsidRDefault="00871A3A" w:rsidP="00BB0401">
            <w:pPr>
              <w:rPr>
                <w:rFonts w:cs="Arial"/>
                <w:sz w:val="22"/>
              </w:rPr>
            </w:pPr>
            <w:r w:rsidRPr="007E3D1A">
              <w:rPr>
                <w:rFonts w:cs="Arial"/>
                <w:sz w:val="22"/>
              </w:rPr>
              <w:t>Appropriation du code de bonne conduite</w:t>
            </w:r>
          </w:p>
        </w:tc>
        <w:tc>
          <w:tcPr>
            <w:tcW w:w="6202" w:type="dxa"/>
            <w:tcBorders>
              <w:top w:val="nil"/>
              <w:left w:val="nil"/>
              <w:bottom w:val="double" w:sz="6" w:space="0" w:color="auto"/>
              <w:right w:val="double" w:sz="6" w:space="0" w:color="auto"/>
            </w:tcBorders>
            <w:shd w:val="clear" w:color="auto" w:fill="auto"/>
            <w:hideMark/>
          </w:tcPr>
          <w:p w14:paraId="35BD3C3F" w14:textId="77777777" w:rsidR="00871A3A" w:rsidRPr="007E3D1A" w:rsidRDefault="00871A3A" w:rsidP="00BB0401">
            <w:pPr>
              <w:rPr>
                <w:rFonts w:cs="Arial"/>
                <w:sz w:val="22"/>
              </w:rPr>
            </w:pPr>
            <w:r w:rsidRPr="007E3D1A">
              <w:rPr>
                <w:rFonts w:cs="Arial"/>
                <w:sz w:val="22"/>
              </w:rPr>
              <w:t xml:space="preserve">Assurer l'affichage du code de conduite sur les bases vie et les chantiers. </w:t>
            </w:r>
          </w:p>
        </w:tc>
      </w:tr>
      <w:tr w:rsidR="00871A3A" w:rsidRPr="007E3D1A" w14:paraId="1CC54E32" w14:textId="77777777" w:rsidTr="00BB0401">
        <w:trPr>
          <w:trHeight w:val="923"/>
        </w:trPr>
        <w:tc>
          <w:tcPr>
            <w:tcW w:w="3238" w:type="dxa"/>
            <w:tcBorders>
              <w:top w:val="nil"/>
              <w:left w:val="double" w:sz="6" w:space="0" w:color="auto"/>
              <w:bottom w:val="double" w:sz="6" w:space="0" w:color="auto"/>
              <w:right w:val="double" w:sz="6" w:space="0" w:color="auto"/>
            </w:tcBorders>
            <w:shd w:val="clear" w:color="auto" w:fill="auto"/>
            <w:hideMark/>
          </w:tcPr>
          <w:p w14:paraId="6982CD3E" w14:textId="77777777" w:rsidR="00871A3A" w:rsidRPr="007E3D1A" w:rsidRDefault="00871A3A" w:rsidP="00BB0401">
            <w:pPr>
              <w:rPr>
                <w:rFonts w:cs="Arial"/>
                <w:sz w:val="22"/>
              </w:rPr>
            </w:pPr>
            <w:r w:rsidRPr="007E3D1A">
              <w:rPr>
                <w:rFonts w:cs="Arial"/>
                <w:sz w:val="22"/>
              </w:rPr>
              <w:t>Signature du contrat avec code comme annexe</w:t>
            </w:r>
          </w:p>
        </w:tc>
        <w:tc>
          <w:tcPr>
            <w:tcW w:w="6202" w:type="dxa"/>
            <w:tcBorders>
              <w:top w:val="nil"/>
              <w:left w:val="nil"/>
              <w:bottom w:val="double" w:sz="6" w:space="0" w:color="auto"/>
              <w:right w:val="double" w:sz="6" w:space="0" w:color="auto"/>
            </w:tcBorders>
            <w:shd w:val="clear" w:color="auto" w:fill="auto"/>
            <w:hideMark/>
          </w:tcPr>
          <w:p w14:paraId="5A08C047" w14:textId="77777777" w:rsidR="00871A3A" w:rsidRPr="007E3D1A" w:rsidRDefault="00871A3A" w:rsidP="00BB0401">
            <w:pPr>
              <w:rPr>
                <w:rFonts w:cs="Arial"/>
                <w:sz w:val="22"/>
              </w:rPr>
            </w:pPr>
            <w:r w:rsidRPr="007E3D1A">
              <w:rPr>
                <w:rFonts w:cs="Arial"/>
                <w:sz w:val="22"/>
              </w:rPr>
              <w:t>A l'embauche, renforcer la prise d'identité complète des travailleurs avec leur photo  et sensibiliser sur les lois de lutte contre l'impunité en cas d'EAS.</w:t>
            </w:r>
          </w:p>
        </w:tc>
      </w:tr>
      <w:tr w:rsidR="00871A3A" w:rsidRPr="007E3D1A" w14:paraId="3B953C94" w14:textId="77777777" w:rsidTr="00BB0401">
        <w:trPr>
          <w:trHeight w:val="1947"/>
        </w:trPr>
        <w:tc>
          <w:tcPr>
            <w:tcW w:w="3238" w:type="dxa"/>
            <w:tcBorders>
              <w:top w:val="nil"/>
              <w:left w:val="double" w:sz="6" w:space="0" w:color="auto"/>
              <w:bottom w:val="double" w:sz="6" w:space="0" w:color="auto"/>
              <w:right w:val="double" w:sz="6" w:space="0" w:color="auto"/>
            </w:tcBorders>
            <w:shd w:val="clear" w:color="auto" w:fill="auto"/>
            <w:hideMark/>
          </w:tcPr>
          <w:p w14:paraId="585584F1" w14:textId="77777777" w:rsidR="00871A3A" w:rsidRPr="007E3D1A" w:rsidRDefault="00871A3A" w:rsidP="00BB0401">
            <w:pPr>
              <w:rPr>
                <w:rFonts w:cs="Arial"/>
                <w:sz w:val="22"/>
              </w:rPr>
            </w:pPr>
            <w:r w:rsidRPr="007E3D1A">
              <w:rPr>
                <w:rFonts w:cs="Arial"/>
                <w:sz w:val="22"/>
              </w:rPr>
              <w:t>Compréhension du code de bonne conduite</w:t>
            </w:r>
          </w:p>
        </w:tc>
        <w:tc>
          <w:tcPr>
            <w:tcW w:w="6202" w:type="dxa"/>
            <w:tcBorders>
              <w:top w:val="nil"/>
              <w:left w:val="nil"/>
              <w:bottom w:val="double" w:sz="6" w:space="0" w:color="auto"/>
              <w:right w:val="double" w:sz="6" w:space="0" w:color="auto"/>
            </w:tcBorders>
            <w:shd w:val="clear" w:color="auto" w:fill="auto"/>
            <w:hideMark/>
          </w:tcPr>
          <w:p w14:paraId="63D9F4E7" w14:textId="77777777" w:rsidR="00871A3A" w:rsidRPr="007E3D1A" w:rsidRDefault="00871A3A" w:rsidP="00BB0401">
            <w:pPr>
              <w:rPr>
                <w:rFonts w:cs="Arial"/>
                <w:sz w:val="22"/>
              </w:rPr>
            </w:pPr>
            <w:r w:rsidRPr="007E3D1A">
              <w:rPr>
                <w:rFonts w:cs="Arial"/>
                <w:sz w:val="22"/>
              </w:rPr>
              <w:t>Disponibiliser des dépliants auprès du staff des entreprises pour lecture aux heures de pause. Accroître le nombre d'affiche sur le code de conduite sur les lieux de travail</w:t>
            </w:r>
            <w:r w:rsidRPr="007E3D1A">
              <w:rPr>
                <w:rFonts w:cs="Arial"/>
                <w:sz w:val="22"/>
              </w:rPr>
              <w:br/>
            </w:r>
            <w:r w:rsidRPr="007E3D1A">
              <w:rPr>
                <w:rFonts w:cs="Arial"/>
                <w:sz w:val="22"/>
              </w:rPr>
              <w:br/>
              <w:t xml:space="preserve">Multiplier les sensibilisations communautaires et des travailleurs sur le contenu du code de bonne conduite, la prévention du sexe contre argent/contre un service et ou une faveur. </w:t>
            </w:r>
          </w:p>
        </w:tc>
      </w:tr>
      <w:tr w:rsidR="00871A3A" w:rsidRPr="007E3D1A" w14:paraId="1B3D8F34" w14:textId="77777777" w:rsidTr="00BB0401">
        <w:trPr>
          <w:trHeight w:val="1228"/>
        </w:trPr>
        <w:tc>
          <w:tcPr>
            <w:tcW w:w="3238" w:type="dxa"/>
            <w:tcBorders>
              <w:top w:val="nil"/>
              <w:left w:val="double" w:sz="6" w:space="0" w:color="auto"/>
              <w:bottom w:val="double" w:sz="6" w:space="0" w:color="auto"/>
              <w:right w:val="double" w:sz="6" w:space="0" w:color="auto"/>
            </w:tcBorders>
            <w:shd w:val="clear" w:color="auto" w:fill="auto"/>
            <w:hideMark/>
          </w:tcPr>
          <w:p w14:paraId="6741BA80" w14:textId="77777777" w:rsidR="00871A3A" w:rsidRPr="007E3D1A" w:rsidRDefault="00871A3A" w:rsidP="00BB0401">
            <w:pPr>
              <w:rPr>
                <w:rFonts w:cs="Arial"/>
                <w:sz w:val="22"/>
              </w:rPr>
            </w:pPr>
            <w:r w:rsidRPr="007E3D1A">
              <w:rPr>
                <w:rFonts w:cs="Arial"/>
                <w:sz w:val="22"/>
              </w:rPr>
              <w:t>Règlement d'ordre intérieur</w:t>
            </w:r>
          </w:p>
        </w:tc>
        <w:tc>
          <w:tcPr>
            <w:tcW w:w="6202" w:type="dxa"/>
            <w:tcBorders>
              <w:top w:val="nil"/>
              <w:left w:val="nil"/>
              <w:bottom w:val="double" w:sz="6" w:space="0" w:color="auto"/>
              <w:right w:val="double" w:sz="6" w:space="0" w:color="auto"/>
            </w:tcBorders>
            <w:shd w:val="clear" w:color="auto" w:fill="auto"/>
            <w:hideMark/>
          </w:tcPr>
          <w:p w14:paraId="5F9CBE4E" w14:textId="77777777" w:rsidR="00871A3A" w:rsidRPr="007E3D1A" w:rsidRDefault="00871A3A" w:rsidP="00BB0401">
            <w:pPr>
              <w:rPr>
                <w:rFonts w:cs="Arial"/>
                <w:sz w:val="22"/>
              </w:rPr>
            </w:pPr>
            <w:r w:rsidRPr="007E3D1A">
              <w:rPr>
                <w:rFonts w:cs="Arial"/>
                <w:sz w:val="22"/>
              </w:rPr>
              <w:t xml:space="preserve">Rappeler le contenu du règlement aux staffs au moins une fois par trimestre. </w:t>
            </w:r>
            <w:r w:rsidRPr="007E3D1A">
              <w:rPr>
                <w:rFonts w:cs="Arial"/>
                <w:sz w:val="22"/>
              </w:rPr>
              <w:br/>
            </w:r>
            <w:r w:rsidRPr="007E3D1A">
              <w:rPr>
                <w:rFonts w:cs="Arial"/>
                <w:sz w:val="22"/>
              </w:rPr>
              <w:br/>
              <w:t>Afficher en grande caractère les points essentiel dudit règlement.</w:t>
            </w:r>
          </w:p>
        </w:tc>
      </w:tr>
      <w:tr w:rsidR="00871A3A" w:rsidRPr="007E3D1A" w14:paraId="3D3B21D8" w14:textId="77777777" w:rsidTr="00BB0401">
        <w:trPr>
          <w:trHeight w:val="600"/>
        </w:trPr>
        <w:tc>
          <w:tcPr>
            <w:tcW w:w="3238" w:type="dxa"/>
            <w:tcBorders>
              <w:top w:val="nil"/>
              <w:left w:val="double" w:sz="6" w:space="0" w:color="auto"/>
              <w:bottom w:val="double" w:sz="6" w:space="0" w:color="auto"/>
              <w:right w:val="double" w:sz="6" w:space="0" w:color="auto"/>
            </w:tcBorders>
            <w:shd w:val="clear" w:color="auto" w:fill="auto"/>
            <w:hideMark/>
          </w:tcPr>
          <w:p w14:paraId="23AB81B4" w14:textId="77777777" w:rsidR="00871A3A" w:rsidRPr="007E3D1A" w:rsidRDefault="00871A3A" w:rsidP="00BB0401">
            <w:pPr>
              <w:rPr>
                <w:rFonts w:cs="Arial"/>
                <w:sz w:val="22"/>
              </w:rPr>
            </w:pPr>
            <w:r w:rsidRPr="007E3D1A">
              <w:rPr>
                <w:rFonts w:cs="Arial"/>
                <w:sz w:val="22"/>
              </w:rPr>
              <w:t>Briefing de tout nouveau travailleur</w:t>
            </w:r>
          </w:p>
        </w:tc>
        <w:tc>
          <w:tcPr>
            <w:tcW w:w="6202" w:type="dxa"/>
            <w:tcBorders>
              <w:top w:val="nil"/>
              <w:left w:val="nil"/>
              <w:bottom w:val="double" w:sz="6" w:space="0" w:color="auto"/>
              <w:right w:val="double" w:sz="6" w:space="0" w:color="auto"/>
            </w:tcBorders>
            <w:shd w:val="clear" w:color="auto" w:fill="auto"/>
            <w:hideMark/>
          </w:tcPr>
          <w:p w14:paraId="059B98A2" w14:textId="77777777" w:rsidR="00871A3A" w:rsidRPr="007E3D1A" w:rsidRDefault="00871A3A" w:rsidP="00BB0401">
            <w:pPr>
              <w:rPr>
                <w:rFonts w:cs="Arial"/>
                <w:sz w:val="22"/>
              </w:rPr>
            </w:pPr>
            <w:r w:rsidRPr="007E3D1A">
              <w:rPr>
                <w:rFonts w:cs="Arial"/>
                <w:sz w:val="22"/>
              </w:rPr>
              <w:t>S'assurer de la présence des tous nouveaux travailleurs pour une formation sur les VBG avant affectation sur le chantier</w:t>
            </w:r>
          </w:p>
        </w:tc>
      </w:tr>
      <w:tr w:rsidR="00871A3A" w:rsidRPr="007E3D1A" w14:paraId="5D4DEAA1" w14:textId="77777777" w:rsidTr="00BB0401">
        <w:trPr>
          <w:trHeight w:val="2040"/>
        </w:trPr>
        <w:tc>
          <w:tcPr>
            <w:tcW w:w="3238" w:type="dxa"/>
            <w:tcBorders>
              <w:top w:val="nil"/>
              <w:left w:val="double" w:sz="6" w:space="0" w:color="auto"/>
              <w:bottom w:val="double" w:sz="6" w:space="0" w:color="auto"/>
              <w:right w:val="double" w:sz="6" w:space="0" w:color="auto"/>
            </w:tcBorders>
            <w:shd w:val="clear" w:color="auto" w:fill="auto"/>
            <w:hideMark/>
          </w:tcPr>
          <w:p w14:paraId="208E2EA4" w14:textId="77777777" w:rsidR="00871A3A" w:rsidRPr="007E3D1A" w:rsidRDefault="00871A3A" w:rsidP="00BB0401">
            <w:pPr>
              <w:rPr>
                <w:rFonts w:cs="Arial"/>
                <w:sz w:val="22"/>
              </w:rPr>
            </w:pPr>
            <w:r w:rsidRPr="007E3D1A">
              <w:rPr>
                <w:rFonts w:cs="Arial"/>
                <w:sz w:val="22"/>
              </w:rPr>
              <w:t>Travailleurs TT engagés et résident dans les milieux des chantiers et/ou en dehors</w:t>
            </w:r>
          </w:p>
        </w:tc>
        <w:tc>
          <w:tcPr>
            <w:tcW w:w="6202" w:type="dxa"/>
            <w:tcBorders>
              <w:top w:val="nil"/>
              <w:left w:val="nil"/>
              <w:bottom w:val="double" w:sz="6" w:space="0" w:color="auto"/>
              <w:right w:val="double" w:sz="6" w:space="0" w:color="auto"/>
            </w:tcBorders>
            <w:shd w:val="clear" w:color="auto" w:fill="auto"/>
            <w:hideMark/>
          </w:tcPr>
          <w:p w14:paraId="09A014E2" w14:textId="77777777" w:rsidR="00871A3A" w:rsidRPr="007E3D1A" w:rsidRDefault="00871A3A" w:rsidP="00BB0401">
            <w:pPr>
              <w:rPr>
                <w:rFonts w:cs="Arial"/>
                <w:sz w:val="22"/>
              </w:rPr>
            </w:pPr>
            <w:r w:rsidRPr="007E3D1A">
              <w:rPr>
                <w:rFonts w:cs="Arial"/>
                <w:sz w:val="22"/>
              </w:rPr>
              <w:t xml:space="preserve">Etablir un campement (base vie mobile) pour le personnel congolais qui est déplacé sur les chantiers pour éviter qu'il soit obligé de trouver une habitation auprès de la communauté. </w:t>
            </w:r>
            <w:r w:rsidRPr="007E3D1A">
              <w:rPr>
                <w:rFonts w:cs="Arial"/>
                <w:sz w:val="22"/>
              </w:rPr>
              <w:br/>
            </w:r>
            <w:r w:rsidRPr="007E3D1A">
              <w:rPr>
                <w:rFonts w:cs="Arial"/>
                <w:sz w:val="22"/>
              </w:rPr>
              <w:br/>
              <w:t>Faciliter le déplacement des travailleurs migrants avec sa famille. A la rigueur donner la chance aux autochtones pour effectuer les travaux sur chantiers</w:t>
            </w:r>
          </w:p>
        </w:tc>
      </w:tr>
      <w:tr w:rsidR="00871A3A" w:rsidRPr="007E3D1A" w14:paraId="0F4E1079" w14:textId="77777777" w:rsidTr="00BB0401">
        <w:trPr>
          <w:trHeight w:val="1097"/>
        </w:trPr>
        <w:tc>
          <w:tcPr>
            <w:tcW w:w="3238" w:type="dxa"/>
            <w:tcBorders>
              <w:top w:val="nil"/>
              <w:left w:val="double" w:sz="6" w:space="0" w:color="auto"/>
              <w:bottom w:val="double" w:sz="6" w:space="0" w:color="auto"/>
              <w:right w:val="double" w:sz="6" w:space="0" w:color="auto"/>
            </w:tcBorders>
            <w:shd w:val="clear" w:color="auto" w:fill="auto"/>
            <w:hideMark/>
          </w:tcPr>
          <w:p w14:paraId="112F1C1A" w14:textId="77777777" w:rsidR="00871A3A" w:rsidRPr="007E3D1A" w:rsidRDefault="00871A3A" w:rsidP="00BB0401">
            <w:pPr>
              <w:rPr>
                <w:rFonts w:cs="Arial"/>
                <w:sz w:val="22"/>
              </w:rPr>
            </w:pPr>
            <w:r w:rsidRPr="007E3D1A">
              <w:rPr>
                <w:rFonts w:cs="Arial"/>
                <w:sz w:val="22"/>
              </w:rPr>
              <w:t>Vérification des faits avec les environnementalistes des entreprises</w:t>
            </w:r>
          </w:p>
        </w:tc>
        <w:tc>
          <w:tcPr>
            <w:tcW w:w="6202" w:type="dxa"/>
            <w:tcBorders>
              <w:top w:val="nil"/>
              <w:left w:val="nil"/>
              <w:bottom w:val="double" w:sz="6" w:space="0" w:color="auto"/>
              <w:right w:val="double" w:sz="6" w:space="0" w:color="auto"/>
            </w:tcBorders>
            <w:shd w:val="clear" w:color="auto" w:fill="auto"/>
            <w:hideMark/>
          </w:tcPr>
          <w:p w14:paraId="5755BD5A" w14:textId="77777777" w:rsidR="00871A3A" w:rsidRPr="007E3D1A" w:rsidRDefault="00871A3A" w:rsidP="00BB0401">
            <w:pPr>
              <w:rPr>
                <w:rFonts w:cs="Arial"/>
                <w:sz w:val="22"/>
              </w:rPr>
            </w:pPr>
            <w:r w:rsidRPr="007E3D1A">
              <w:rPr>
                <w:rFonts w:cs="Arial"/>
                <w:sz w:val="22"/>
              </w:rPr>
              <w:t>Avoir un point focal dédié spécifiquement pour les activités VBG pour assurer l'efficacité et la confidentialité des cas incident.</w:t>
            </w:r>
            <w:r w:rsidRPr="007E3D1A">
              <w:rPr>
                <w:rFonts w:cs="Arial"/>
                <w:sz w:val="22"/>
              </w:rPr>
              <w:br/>
            </w:r>
            <w:r w:rsidRPr="007E3D1A">
              <w:rPr>
                <w:rFonts w:cs="Arial"/>
                <w:sz w:val="22"/>
              </w:rPr>
              <w:br/>
              <w:t>Assurer la sécurité contractuelle du PF VBG face à sa hiérarchie.</w:t>
            </w:r>
          </w:p>
        </w:tc>
      </w:tr>
      <w:tr w:rsidR="00871A3A" w:rsidRPr="007E3D1A" w14:paraId="05A00F1B" w14:textId="77777777" w:rsidTr="00BB0401">
        <w:trPr>
          <w:trHeight w:val="1695"/>
        </w:trPr>
        <w:tc>
          <w:tcPr>
            <w:tcW w:w="3238" w:type="dxa"/>
            <w:tcBorders>
              <w:top w:val="nil"/>
              <w:left w:val="double" w:sz="6" w:space="0" w:color="auto"/>
              <w:bottom w:val="double" w:sz="6" w:space="0" w:color="auto"/>
              <w:right w:val="double" w:sz="6" w:space="0" w:color="auto"/>
            </w:tcBorders>
            <w:shd w:val="clear" w:color="auto" w:fill="auto"/>
            <w:hideMark/>
          </w:tcPr>
          <w:p w14:paraId="40DA9F37" w14:textId="77777777" w:rsidR="00871A3A" w:rsidRPr="007E3D1A" w:rsidRDefault="00871A3A" w:rsidP="00BB0401">
            <w:pPr>
              <w:rPr>
                <w:rFonts w:cs="Arial"/>
                <w:sz w:val="22"/>
              </w:rPr>
            </w:pPr>
            <w:r w:rsidRPr="007E3D1A">
              <w:rPr>
                <w:rFonts w:cs="Arial"/>
                <w:sz w:val="22"/>
              </w:rPr>
              <w:t>Sanction de l'entreprise pour les présumés auteurs</w:t>
            </w:r>
          </w:p>
        </w:tc>
        <w:tc>
          <w:tcPr>
            <w:tcW w:w="6202" w:type="dxa"/>
            <w:tcBorders>
              <w:top w:val="nil"/>
              <w:left w:val="nil"/>
              <w:bottom w:val="double" w:sz="6" w:space="0" w:color="auto"/>
              <w:right w:val="double" w:sz="6" w:space="0" w:color="auto"/>
            </w:tcBorders>
            <w:shd w:val="clear" w:color="auto" w:fill="auto"/>
            <w:hideMark/>
          </w:tcPr>
          <w:p w14:paraId="1E1ACFBC" w14:textId="77777777" w:rsidR="00871A3A" w:rsidRPr="007E3D1A" w:rsidRDefault="00871A3A" w:rsidP="00BB0401">
            <w:pPr>
              <w:rPr>
                <w:rFonts w:cs="Arial"/>
                <w:sz w:val="22"/>
              </w:rPr>
            </w:pPr>
            <w:r w:rsidRPr="007E3D1A">
              <w:rPr>
                <w:rFonts w:cs="Arial"/>
                <w:sz w:val="22"/>
              </w:rPr>
              <w:t>Constituer un dossier complet de chaque travailleur, y compris les surnoms, une photo et une copie de carte d'identité lors de l'embauche pour faciliter l’identification des présumés auteurs. Veiller à rendre disponible à toutes les missions de contrôle et les entreprises travaillant sur le Projet la liste des auteurs avec faits avérés</w:t>
            </w:r>
          </w:p>
        </w:tc>
      </w:tr>
    </w:tbl>
    <w:p w14:paraId="68702DF0" w14:textId="77777777" w:rsidR="00871A3A" w:rsidRPr="007E3D1A" w:rsidRDefault="00871A3A" w:rsidP="00871A3A">
      <w:pPr>
        <w:rPr>
          <w:rFonts w:cs="Arial"/>
          <w:sz w:val="22"/>
        </w:rPr>
      </w:pPr>
    </w:p>
    <w:p w14:paraId="329F33B2" w14:textId="77777777" w:rsidR="00871A3A" w:rsidRPr="007E3D1A" w:rsidRDefault="00871A3A" w:rsidP="00871A3A">
      <w:pPr>
        <w:rPr>
          <w:rFonts w:cs="Arial"/>
          <w:sz w:val="22"/>
        </w:rPr>
      </w:pPr>
      <w:r w:rsidRPr="007E3D1A">
        <w:rPr>
          <w:rFonts w:cs="Arial"/>
          <w:sz w:val="22"/>
        </w:rPr>
        <w:br w:type="page"/>
        <w:t>Gestion de la Main-D'œuvre</w:t>
      </w:r>
    </w:p>
    <w:p w14:paraId="208EEF89" w14:textId="77777777" w:rsidR="00871A3A" w:rsidRPr="007E3D1A" w:rsidRDefault="00871A3A" w:rsidP="00871A3A">
      <w:pPr>
        <w:rPr>
          <w:rFonts w:cs="Arial"/>
          <w:sz w:val="22"/>
        </w:rPr>
      </w:pPr>
    </w:p>
    <w:p w14:paraId="26881344" w14:textId="77777777" w:rsidR="00871A3A" w:rsidRPr="007E3D1A" w:rsidRDefault="00871A3A" w:rsidP="00871A3A">
      <w:pPr>
        <w:rPr>
          <w:rFonts w:cs="Arial"/>
          <w:sz w:val="22"/>
        </w:rPr>
      </w:pPr>
      <w:r w:rsidRPr="007E3D1A">
        <w:rPr>
          <w:rFonts w:cs="Arial"/>
          <w:sz w:val="22"/>
        </w:rPr>
        <w:t>Conditions de Travail</w:t>
      </w:r>
    </w:p>
    <w:p w14:paraId="4D57EFE5" w14:textId="77777777" w:rsidR="00871A3A" w:rsidRPr="007E3D1A" w:rsidRDefault="00871A3A" w:rsidP="00871A3A">
      <w:pPr>
        <w:rPr>
          <w:rFonts w:cs="Arial"/>
          <w:sz w:val="22"/>
        </w:rPr>
      </w:pPr>
    </w:p>
    <w:p w14:paraId="419AF603" w14:textId="77777777" w:rsidR="00871A3A" w:rsidRPr="007E3D1A" w:rsidRDefault="00871A3A" w:rsidP="00871A3A">
      <w:pPr>
        <w:rPr>
          <w:rFonts w:cs="Arial"/>
          <w:sz w:val="22"/>
        </w:rPr>
      </w:pPr>
      <w:r w:rsidRPr="007E3D1A">
        <w:rPr>
          <w:rFonts w:cs="Arial"/>
          <w:sz w:val="22"/>
        </w:rPr>
        <w:t>L’Entreprise doit :</w:t>
      </w:r>
    </w:p>
    <w:p w14:paraId="70DCB86A" w14:textId="77777777" w:rsidR="00871A3A" w:rsidRPr="007E3D1A" w:rsidRDefault="00871A3A" w:rsidP="00871A3A">
      <w:pPr>
        <w:rPr>
          <w:rFonts w:cs="Arial"/>
          <w:sz w:val="22"/>
        </w:rPr>
      </w:pPr>
    </w:p>
    <w:p w14:paraId="5E9BA6DA" w14:textId="77777777" w:rsidR="00871A3A" w:rsidRPr="007E3D1A" w:rsidRDefault="00871A3A" w:rsidP="00871A3A">
      <w:pPr>
        <w:rPr>
          <w:rFonts w:cs="Arial"/>
          <w:sz w:val="22"/>
        </w:rPr>
      </w:pPr>
      <w:r w:rsidRPr="007E3D1A">
        <w:rPr>
          <w:rFonts w:cs="Arial"/>
          <w:sz w:val="22"/>
        </w:rPr>
        <w:t>Respecter le Code du Travail de la RDC ;</w:t>
      </w:r>
    </w:p>
    <w:p w14:paraId="145CEC37" w14:textId="77777777" w:rsidR="00871A3A" w:rsidRPr="007E3D1A" w:rsidRDefault="00871A3A" w:rsidP="00871A3A">
      <w:pPr>
        <w:rPr>
          <w:rFonts w:cs="Arial"/>
          <w:sz w:val="22"/>
        </w:rPr>
      </w:pPr>
      <w:r w:rsidRPr="007E3D1A">
        <w:rPr>
          <w:rFonts w:cs="Arial"/>
          <w:sz w:val="22"/>
        </w:rPr>
        <w:t>Indemniser les travailleurs et leurs familles en cas de blessures ou de décès sur le lieu de travail ;</w:t>
      </w:r>
    </w:p>
    <w:p w14:paraId="4BDEA67D" w14:textId="77777777" w:rsidR="00871A3A" w:rsidRPr="007E3D1A" w:rsidRDefault="00871A3A" w:rsidP="00871A3A">
      <w:pPr>
        <w:rPr>
          <w:rFonts w:cs="Arial"/>
          <w:sz w:val="22"/>
        </w:rPr>
      </w:pPr>
      <w:r w:rsidRPr="007E3D1A">
        <w:rPr>
          <w:rFonts w:cs="Arial"/>
          <w:sz w:val="22"/>
        </w:rPr>
        <w:t>Les entrepreneurs pourraient ne pas indemniser les travailleurs et leurs familles en cas de blessures ou de décès sur le lieu de travail Engager (en dehors de son personnel cadre technique) le plus de main-d’œuvre possible dans la zone où les travaux sont réalisés. À défaut de trouver le personnel qualifié sur place, l’Entreprise peut engager la main d’œuvre à l’extérieur de la zone de travail ;</w:t>
      </w:r>
    </w:p>
    <w:p w14:paraId="37A5DF34" w14:textId="77777777" w:rsidR="00871A3A" w:rsidRPr="007E3D1A" w:rsidRDefault="00871A3A" w:rsidP="00871A3A">
      <w:pPr>
        <w:rPr>
          <w:rFonts w:cs="Arial"/>
          <w:sz w:val="22"/>
        </w:rPr>
      </w:pPr>
      <w:r w:rsidRPr="007E3D1A">
        <w:rPr>
          <w:rFonts w:cs="Arial"/>
          <w:sz w:val="22"/>
        </w:rPr>
        <w:t>Embaucher des travailleurs par l'intermédiaire des bureaux de recrutement, et éviter d'embaucher "à la porte" pour décourager l'afflux spontané de demandeurs d'emploi ;</w:t>
      </w:r>
    </w:p>
    <w:p w14:paraId="7170A6E7" w14:textId="77777777" w:rsidR="00871A3A" w:rsidRPr="007E3D1A" w:rsidRDefault="00871A3A" w:rsidP="00871A3A">
      <w:pPr>
        <w:rPr>
          <w:rFonts w:cs="Arial"/>
          <w:sz w:val="22"/>
        </w:rPr>
      </w:pPr>
      <w:r w:rsidRPr="007E3D1A">
        <w:rPr>
          <w:rFonts w:cs="Arial"/>
          <w:sz w:val="22"/>
        </w:rPr>
        <w:t>S’assurer que les conditions de travail de ses employés respectent les lois et règlements nationaux en vigueur. Toute dérogation est soumise à l’approbation du Maître d’Ouvrage délégué.  Dans la mesure du possible, (sauf en cas d’exception accordé par le Maître d’Ouvrage délégué), l’Entreprise doit éviter d’exécuter les travaux pendant les heures de repos, ou les jours fériés ;</w:t>
      </w:r>
    </w:p>
    <w:p w14:paraId="09BFE408" w14:textId="77777777" w:rsidR="00871A3A" w:rsidRPr="007E3D1A" w:rsidRDefault="00871A3A" w:rsidP="00871A3A">
      <w:pPr>
        <w:rPr>
          <w:rFonts w:cs="Arial"/>
          <w:sz w:val="22"/>
        </w:rPr>
      </w:pPr>
      <w:r w:rsidRPr="007E3D1A">
        <w:rPr>
          <w:rFonts w:cs="Arial"/>
          <w:sz w:val="22"/>
        </w:rPr>
        <w:t>Offrir aux travailleurs la possibilité de retourner régulièrement dans leur famille ;</w:t>
      </w:r>
    </w:p>
    <w:p w14:paraId="219BC0FA" w14:textId="77777777" w:rsidR="00871A3A" w:rsidRPr="007E3D1A" w:rsidRDefault="00871A3A" w:rsidP="00871A3A">
      <w:pPr>
        <w:rPr>
          <w:rFonts w:cs="Arial"/>
          <w:sz w:val="22"/>
        </w:rPr>
      </w:pPr>
      <w:r w:rsidRPr="007E3D1A">
        <w:rPr>
          <w:rFonts w:cs="Arial"/>
          <w:sz w:val="22"/>
        </w:rPr>
        <w:t>Offrir aux travailleurs la possibilité de profiter d'opportunités de divertissement loin des communautés rurales d'accueil, et créer des zones de loisirs surveillées dans les camps de travailleurs ;</w:t>
      </w:r>
    </w:p>
    <w:p w14:paraId="6F4707E4" w14:textId="77777777" w:rsidR="00871A3A" w:rsidRPr="007E3D1A" w:rsidRDefault="00871A3A" w:rsidP="00871A3A">
      <w:pPr>
        <w:rPr>
          <w:rFonts w:cs="Arial"/>
          <w:sz w:val="22"/>
        </w:rPr>
      </w:pPr>
      <w:r w:rsidRPr="007E3D1A">
        <w:rPr>
          <w:rFonts w:cs="Arial"/>
          <w:sz w:val="22"/>
        </w:rPr>
        <w:t>Éviter strictement d’employer directement ou indirectement des enfants et les mineurs dans le cadre du contrat ;</w:t>
      </w:r>
    </w:p>
    <w:p w14:paraId="1306A433" w14:textId="77777777" w:rsidR="00871A3A" w:rsidRPr="007E3D1A" w:rsidRDefault="00871A3A" w:rsidP="00871A3A">
      <w:pPr>
        <w:rPr>
          <w:rFonts w:cs="Arial"/>
          <w:sz w:val="22"/>
        </w:rPr>
      </w:pPr>
      <w:r w:rsidRPr="007E3D1A">
        <w:rPr>
          <w:rFonts w:cs="Arial"/>
          <w:sz w:val="22"/>
        </w:rPr>
        <w:t>Payer des salaires adéquats aux travailleurs afin de réduire l'incitation au vol ;</w:t>
      </w:r>
    </w:p>
    <w:p w14:paraId="00D60170" w14:textId="77777777" w:rsidR="00871A3A" w:rsidRPr="007E3D1A" w:rsidRDefault="00871A3A" w:rsidP="00871A3A">
      <w:pPr>
        <w:rPr>
          <w:rFonts w:cs="Arial"/>
          <w:sz w:val="22"/>
        </w:rPr>
      </w:pPr>
      <w:r w:rsidRPr="007E3D1A">
        <w:rPr>
          <w:rFonts w:cs="Arial"/>
          <w:sz w:val="22"/>
        </w:rPr>
        <w:t>Verser les salaires sur les comptes bancaires des travailleurs plutôt qu'en espèces ;</w:t>
      </w:r>
    </w:p>
    <w:p w14:paraId="2D01CF0D" w14:textId="77777777" w:rsidR="00871A3A" w:rsidRPr="007E3D1A" w:rsidRDefault="00871A3A" w:rsidP="00871A3A">
      <w:pPr>
        <w:rPr>
          <w:rFonts w:cs="Arial"/>
          <w:sz w:val="22"/>
        </w:rPr>
      </w:pPr>
      <w:r w:rsidRPr="007E3D1A">
        <w:rPr>
          <w:rFonts w:cs="Arial"/>
          <w:sz w:val="22"/>
        </w:rPr>
        <w:t>Mettre en place des programmes de prévention et de gestion de la toxicomanie ; et</w:t>
      </w:r>
    </w:p>
    <w:p w14:paraId="3970E364" w14:textId="77777777" w:rsidR="00871A3A" w:rsidRPr="007E3D1A" w:rsidRDefault="00871A3A" w:rsidP="00871A3A">
      <w:pPr>
        <w:rPr>
          <w:rFonts w:cs="Arial"/>
          <w:sz w:val="22"/>
        </w:rPr>
      </w:pPr>
      <w:r w:rsidRPr="007E3D1A">
        <w:rPr>
          <w:rFonts w:cs="Arial"/>
          <w:sz w:val="22"/>
        </w:rPr>
        <w:t>Élaborer et adopter un plan d'action pour l'égalité des sexes afin de promouvoir le transfert de compétences en matière de construction aux femmes locales, pour faciliter leur emploi sur le site du projet, y compris des objectifs de formation et de recrutement.</w:t>
      </w:r>
    </w:p>
    <w:p w14:paraId="3AD0451D" w14:textId="77777777" w:rsidR="00871A3A" w:rsidRPr="007E3D1A" w:rsidRDefault="00871A3A" w:rsidP="00871A3A">
      <w:pPr>
        <w:rPr>
          <w:rFonts w:cs="Arial"/>
          <w:sz w:val="22"/>
        </w:rPr>
      </w:pPr>
    </w:p>
    <w:p w14:paraId="62F83A28" w14:textId="77777777" w:rsidR="00871A3A" w:rsidRPr="007E3D1A" w:rsidRDefault="00871A3A" w:rsidP="00871A3A">
      <w:pPr>
        <w:rPr>
          <w:rFonts w:cs="Arial"/>
          <w:sz w:val="22"/>
        </w:rPr>
      </w:pPr>
      <w:r w:rsidRPr="007E3D1A">
        <w:rPr>
          <w:rFonts w:cs="Arial"/>
          <w:sz w:val="22"/>
        </w:rPr>
        <w:t>Recours au personnel de sécurité</w:t>
      </w:r>
    </w:p>
    <w:p w14:paraId="67DBFB74" w14:textId="77777777" w:rsidR="00871A3A" w:rsidRPr="007E3D1A" w:rsidRDefault="00871A3A" w:rsidP="00871A3A">
      <w:pPr>
        <w:rPr>
          <w:rFonts w:cs="Arial"/>
          <w:sz w:val="22"/>
        </w:rPr>
      </w:pPr>
    </w:p>
    <w:p w14:paraId="7D4A72B2" w14:textId="77777777" w:rsidR="00871A3A" w:rsidRPr="007E3D1A" w:rsidRDefault="00871A3A" w:rsidP="00871A3A">
      <w:pPr>
        <w:rPr>
          <w:rFonts w:cs="Arial"/>
          <w:sz w:val="22"/>
        </w:rPr>
      </w:pPr>
      <w:r w:rsidRPr="007E3D1A">
        <w:rPr>
          <w:rFonts w:cs="Arial"/>
          <w:sz w:val="22"/>
        </w:rPr>
        <w:t>Si l’Entrepreneur emploie, directement ou dans le cadre de son contrat de services, des agents pour assurer la sécurité de son personnel et de ses biens, il évaluera les risques posés par ses dispositifs de sécurité aux personnes sur le site du projet ou à l’extérieur de ce dernier. Lorsqu’il prendra ces dispositions, il respectera les principes de proportionnalité, de bonnes pratiques internationales en matière d’embauche, de règles de conduite, de formation, d’équipement et de surveillance de ce personnel, ainsi que la législation nationale applicable.</w:t>
      </w:r>
    </w:p>
    <w:p w14:paraId="2C1F0389" w14:textId="77777777" w:rsidR="00871A3A" w:rsidRPr="007E3D1A" w:rsidRDefault="00871A3A" w:rsidP="00871A3A">
      <w:pPr>
        <w:rPr>
          <w:rFonts w:cs="Arial"/>
          <w:sz w:val="22"/>
        </w:rPr>
      </w:pPr>
    </w:p>
    <w:p w14:paraId="3CD775C3" w14:textId="77777777" w:rsidR="00871A3A" w:rsidRPr="007E3D1A" w:rsidRDefault="00871A3A" w:rsidP="00871A3A">
      <w:pPr>
        <w:rPr>
          <w:rFonts w:cs="Arial"/>
          <w:sz w:val="22"/>
        </w:rPr>
      </w:pPr>
      <w:r w:rsidRPr="007E3D1A">
        <w:rPr>
          <w:rFonts w:cs="Arial"/>
          <w:sz w:val="22"/>
        </w:rPr>
        <w:t>L’Entrepreneur procèdera à des enquêtes raisonnables pour s’assurer que les agents chargés d’assurer la sécurité ne sont pas soupçonnées d’avoir participé à des actions abusives ; veillera à ce que lesdits agents reçoivent une formation adéquate à l’utilisation de la force (et le cas échant, l’utilisation des armes à feu), et à une conduite appropriée envers les employés et les Communautés affectées, et leur imposera d’agir conformément aux lois applicables.</w:t>
      </w:r>
    </w:p>
    <w:p w14:paraId="30CD8F42" w14:textId="77777777" w:rsidR="00871A3A" w:rsidRPr="007E3D1A" w:rsidRDefault="00871A3A" w:rsidP="00871A3A">
      <w:pPr>
        <w:rPr>
          <w:rFonts w:cs="Arial"/>
          <w:sz w:val="22"/>
        </w:rPr>
      </w:pPr>
      <w:r w:rsidRPr="007E3D1A">
        <w:rPr>
          <w:rFonts w:cs="Arial"/>
          <w:sz w:val="22"/>
        </w:rPr>
        <w:t xml:space="preserve">L’Entrepreneur n’autorisera pas le recours à la force sauf à des fins préventives ou défensives proportionnées à la nature et à la gravité de la menace. </w:t>
      </w:r>
    </w:p>
    <w:p w14:paraId="58FDB383" w14:textId="77777777" w:rsidR="00871A3A" w:rsidRPr="007E3D1A" w:rsidRDefault="00871A3A" w:rsidP="00871A3A">
      <w:pPr>
        <w:rPr>
          <w:rFonts w:cs="Arial"/>
          <w:sz w:val="22"/>
        </w:rPr>
      </w:pPr>
      <w:r w:rsidRPr="007E3D1A">
        <w:rPr>
          <w:rFonts w:cs="Arial"/>
          <w:sz w:val="22"/>
        </w:rPr>
        <w:t xml:space="preserve">L’entrepreneur mettra en place un mécanisme de règlement des griefs permettant aux Communautés affectées d’exprimer leurs préoccupations quant aux mesures de sécurité et aux actions du personnel de sécurité. </w:t>
      </w:r>
    </w:p>
    <w:p w14:paraId="17DC8EF2" w14:textId="77777777" w:rsidR="00871A3A" w:rsidRPr="007E3D1A" w:rsidRDefault="00871A3A" w:rsidP="00871A3A">
      <w:pPr>
        <w:rPr>
          <w:rFonts w:cs="Arial"/>
          <w:sz w:val="22"/>
        </w:rPr>
      </w:pPr>
    </w:p>
    <w:p w14:paraId="0364920A" w14:textId="77777777" w:rsidR="00871A3A" w:rsidRPr="007E3D1A" w:rsidRDefault="00871A3A" w:rsidP="00871A3A">
      <w:pPr>
        <w:rPr>
          <w:rFonts w:cs="Arial"/>
          <w:sz w:val="22"/>
        </w:rPr>
      </w:pPr>
      <w:r w:rsidRPr="007E3D1A">
        <w:rPr>
          <w:rFonts w:cs="Arial"/>
          <w:sz w:val="22"/>
        </w:rPr>
        <w:t xml:space="preserve">L’Entrepreneur évaluera et justifiera par écrit les risques associés au déploiement d’agents de sécurité de l’État pour assurer les services de sécurité dans le cadre du projet. </w:t>
      </w:r>
    </w:p>
    <w:p w14:paraId="44433EFB" w14:textId="77777777" w:rsidR="00871A3A" w:rsidRPr="007E3D1A" w:rsidRDefault="00871A3A" w:rsidP="00871A3A">
      <w:pPr>
        <w:rPr>
          <w:rFonts w:cs="Arial"/>
          <w:sz w:val="22"/>
        </w:rPr>
      </w:pPr>
    </w:p>
    <w:p w14:paraId="62D4099C" w14:textId="77777777" w:rsidR="00871A3A" w:rsidRPr="007E3D1A" w:rsidRDefault="00871A3A" w:rsidP="00871A3A">
      <w:pPr>
        <w:rPr>
          <w:rFonts w:cs="Arial"/>
          <w:sz w:val="22"/>
        </w:rPr>
      </w:pPr>
      <w:r w:rsidRPr="007E3D1A">
        <w:rPr>
          <w:rFonts w:cs="Arial"/>
          <w:sz w:val="22"/>
        </w:rPr>
        <w:t>L’Entrepreneur prendra les dispositions nécessaires pour s’assurer que le personnel de sécurité agit conformément aux dispositions telles que décrites ci-dessus, et encouragera les autorités publiques pertinentes à communiquer au public les mesures de sécurité concernant ses installations, sauf s’il existe des raisons impératives de ne pas les diffuser.</w:t>
      </w:r>
    </w:p>
    <w:p w14:paraId="7B818B1F" w14:textId="77777777" w:rsidR="00871A3A" w:rsidRPr="007E3D1A" w:rsidRDefault="00871A3A" w:rsidP="00871A3A">
      <w:pPr>
        <w:rPr>
          <w:rFonts w:cs="Arial"/>
          <w:sz w:val="22"/>
        </w:rPr>
      </w:pPr>
      <w:r w:rsidRPr="007E3D1A">
        <w:rPr>
          <w:rFonts w:cs="Arial"/>
          <w:sz w:val="22"/>
        </w:rPr>
        <w:t xml:space="preserve"> </w:t>
      </w:r>
    </w:p>
    <w:p w14:paraId="33C32238" w14:textId="77777777" w:rsidR="00871A3A" w:rsidRPr="007E3D1A" w:rsidRDefault="00871A3A" w:rsidP="00871A3A">
      <w:pPr>
        <w:rPr>
          <w:rFonts w:cs="Arial"/>
          <w:sz w:val="22"/>
        </w:rPr>
      </w:pPr>
      <w:r w:rsidRPr="007E3D1A">
        <w:rPr>
          <w:rFonts w:cs="Arial"/>
          <w:sz w:val="22"/>
        </w:rPr>
        <w:t>L’Entrepreneur mènera une enquête pour toute allégation crédible d’acte illicites ou de violations du personnel de sécurité et prendra des mesures (ou imposera aux parties appropriées de prendre des mesures) pour empêcher que ces actions ne se reproduisent, et informera les pouvoirs publics des actes illicites et abusif.</w:t>
      </w:r>
    </w:p>
    <w:p w14:paraId="60047EDB" w14:textId="77777777" w:rsidR="00871A3A" w:rsidRPr="007E3D1A" w:rsidRDefault="00871A3A" w:rsidP="00871A3A">
      <w:pPr>
        <w:rPr>
          <w:rFonts w:cs="Arial"/>
          <w:sz w:val="22"/>
        </w:rPr>
      </w:pPr>
    </w:p>
    <w:p w14:paraId="27838076" w14:textId="77777777" w:rsidR="00871A3A" w:rsidRPr="007E3D1A" w:rsidRDefault="00871A3A" w:rsidP="00871A3A">
      <w:pPr>
        <w:rPr>
          <w:rFonts w:cs="Arial"/>
          <w:sz w:val="22"/>
        </w:rPr>
      </w:pPr>
      <w:r w:rsidRPr="007E3D1A">
        <w:rPr>
          <w:rFonts w:cs="Arial"/>
          <w:sz w:val="22"/>
        </w:rPr>
        <w:t>Le mécanisme d’examen des plaintes au niveau du projet doit être en mesure de recevoir les préoccupations ou les plaintes concernant la conduite du personnel de sécurité. Les préoccupations et plaintes doivent être rapidement consignées et évaluées et que des mesures soient prises pour éviter toute récidive. Les réponses mises en œuvre à la suite de plaintes feront l’objet d’un suivi dont les résultats seront communiqués aux parties concernées, en tenant compte de la nécessité de protéger la confidentialité des informations relatives aux victimes et aux plaignants.</w:t>
      </w:r>
    </w:p>
    <w:p w14:paraId="7AE3EDBB" w14:textId="77777777" w:rsidR="00871A3A" w:rsidRPr="007E3D1A" w:rsidRDefault="00871A3A" w:rsidP="00871A3A">
      <w:pPr>
        <w:rPr>
          <w:rFonts w:cs="Arial"/>
          <w:sz w:val="22"/>
        </w:rPr>
      </w:pPr>
    </w:p>
    <w:p w14:paraId="152407FC" w14:textId="77777777" w:rsidR="00871A3A" w:rsidRPr="007E3D1A" w:rsidRDefault="00871A3A" w:rsidP="00871A3A">
      <w:pPr>
        <w:rPr>
          <w:rFonts w:cs="Arial"/>
          <w:sz w:val="22"/>
        </w:rPr>
      </w:pPr>
      <w:r w:rsidRPr="007E3D1A">
        <w:rPr>
          <w:rFonts w:cs="Arial"/>
          <w:sz w:val="22"/>
        </w:rPr>
        <w:t>CODE DE CONDUITE POUR LE PERSONNEL DE L’ENTREPRISE</w:t>
      </w:r>
    </w:p>
    <w:p w14:paraId="22531B80" w14:textId="77777777" w:rsidR="00871A3A" w:rsidRPr="007E3D1A" w:rsidRDefault="00871A3A" w:rsidP="00871A3A">
      <w:pPr>
        <w:rPr>
          <w:rFonts w:cs="Arial"/>
          <w:sz w:val="22"/>
        </w:rPr>
      </w:pPr>
    </w:p>
    <w:p w14:paraId="6952C5E1" w14:textId="77777777" w:rsidR="00871A3A" w:rsidRPr="007E3D1A" w:rsidRDefault="00871A3A" w:rsidP="00871A3A">
      <w:pPr>
        <w:rPr>
          <w:rFonts w:cs="Arial"/>
          <w:sz w:val="22"/>
        </w:rPr>
      </w:pPr>
      <w:r w:rsidRPr="007E3D1A">
        <w:rPr>
          <w:rFonts w:cs="Arial"/>
          <w:sz w:val="22"/>
        </w:rPr>
        <w:t>L'Entreprise doit élaborer et mettre en œuvre un Code de Conduite pour traiter les risques environnementaux et sociaux liés à ses activités.  Le Code de Conduite s'appliquera à tout le personnel, les ouvriers et les autres employés sur le site de construction ou tout autre lieu où des activités liées à la construction sont menées.  Il s'applique également au personnel de chaque sous-traitant et à tout autre personnel qui assiste l’Entreprise dans l'exécution des travaux.</w:t>
      </w:r>
    </w:p>
    <w:p w14:paraId="277E3469" w14:textId="77777777" w:rsidR="00871A3A" w:rsidRPr="007E3D1A" w:rsidRDefault="00871A3A" w:rsidP="00871A3A">
      <w:pPr>
        <w:rPr>
          <w:rFonts w:cs="Arial"/>
          <w:sz w:val="22"/>
        </w:rPr>
      </w:pPr>
    </w:p>
    <w:p w14:paraId="2FAD7AA9" w14:textId="77777777" w:rsidR="00871A3A" w:rsidRPr="007E3D1A" w:rsidRDefault="00871A3A" w:rsidP="00871A3A">
      <w:pPr>
        <w:rPr>
          <w:rFonts w:cs="Arial"/>
          <w:sz w:val="22"/>
        </w:rPr>
      </w:pPr>
      <w:r w:rsidRPr="007E3D1A">
        <w:rPr>
          <w:rFonts w:cs="Arial"/>
          <w:sz w:val="22"/>
        </w:rPr>
        <w:t>L'objectif du Code de Conduite est de garantir un environnement dans lequel les comportements dangereux, offensants, abusifs, ou violents ne sont pas tolérés, et où toutes les personnes devraient se sentir à l'aise pour soulever des questions ou des préoccupations sans crainte de représailles.</w:t>
      </w:r>
    </w:p>
    <w:p w14:paraId="2D47690E" w14:textId="77777777" w:rsidR="00871A3A" w:rsidRPr="007E3D1A" w:rsidRDefault="00871A3A" w:rsidP="00871A3A">
      <w:pPr>
        <w:rPr>
          <w:rFonts w:cs="Arial"/>
          <w:sz w:val="22"/>
        </w:rPr>
      </w:pPr>
      <w:r w:rsidRPr="007E3D1A">
        <w:rPr>
          <w:rFonts w:cs="Arial"/>
          <w:sz w:val="22"/>
        </w:rPr>
        <w:t>Les entreprises veilleront à ce que tous les employés, y compris ceux des sous-traitants, soient informés du code de conduite et le signent :</w:t>
      </w:r>
    </w:p>
    <w:p w14:paraId="279618C0" w14:textId="77777777" w:rsidR="00871A3A" w:rsidRPr="007E3D1A" w:rsidRDefault="00871A3A" w:rsidP="00871A3A">
      <w:pPr>
        <w:rPr>
          <w:rFonts w:cs="Arial"/>
          <w:sz w:val="22"/>
        </w:rPr>
      </w:pPr>
    </w:p>
    <w:p w14:paraId="44404F59" w14:textId="77777777" w:rsidR="00871A3A" w:rsidRPr="007E3D1A" w:rsidRDefault="00871A3A" w:rsidP="00871A3A">
      <w:pPr>
        <w:rPr>
          <w:rFonts w:cs="Arial"/>
          <w:sz w:val="22"/>
        </w:rPr>
      </w:pPr>
      <w:r w:rsidRPr="007E3D1A">
        <w:rPr>
          <w:rFonts w:cs="Arial"/>
          <w:sz w:val="22"/>
        </w:rPr>
        <w:t>Modèle de Code de Conduite</w:t>
      </w:r>
    </w:p>
    <w:p w14:paraId="7230DBC0" w14:textId="77777777" w:rsidR="00871A3A" w:rsidRPr="007E3D1A" w:rsidRDefault="00871A3A" w:rsidP="00871A3A">
      <w:pPr>
        <w:rPr>
          <w:rFonts w:cs="Arial"/>
          <w:sz w:val="22"/>
        </w:rPr>
      </w:pPr>
    </w:p>
    <w:p w14:paraId="576B4D75" w14:textId="77777777" w:rsidR="00871A3A" w:rsidRPr="007E3D1A" w:rsidRDefault="00871A3A" w:rsidP="00871A3A">
      <w:pPr>
        <w:rPr>
          <w:rFonts w:cs="Arial"/>
          <w:sz w:val="22"/>
        </w:rPr>
      </w:pPr>
      <w:r w:rsidRPr="007E3D1A">
        <w:rPr>
          <w:rFonts w:cs="Arial"/>
          <w:sz w:val="22"/>
        </w:rPr>
        <w:t>Nous, l’entreprise [entrez le nom], avons signé un contrat avec le Projet PNDA pour [entrez la description des activités]. Ces activités seront menées à [entrez le site et les autres endroits où les activités seront menées].  Notre contrat exige que nous mettions en œuvre des mesures pour faire face aux risques environnementaux et sociaux liés aux activités, y compris les risques d'exploitation et d'agression sexuelles et de violence sexiste.</w:t>
      </w:r>
    </w:p>
    <w:p w14:paraId="4A877352" w14:textId="77777777" w:rsidR="00871A3A" w:rsidRPr="007E3D1A" w:rsidRDefault="00871A3A" w:rsidP="00871A3A">
      <w:pPr>
        <w:rPr>
          <w:rFonts w:cs="Arial"/>
          <w:sz w:val="22"/>
        </w:rPr>
      </w:pPr>
    </w:p>
    <w:p w14:paraId="495FE742" w14:textId="77777777" w:rsidR="00871A3A" w:rsidRPr="007E3D1A" w:rsidRDefault="00871A3A" w:rsidP="00871A3A">
      <w:pPr>
        <w:rPr>
          <w:rFonts w:cs="Arial"/>
          <w:sz w:val="22"/>
        </w:rPr>
      </w:pPr>
      <w:r w:rsidRPr="007E3D1A">
        <w:rPr>
          <w:rFonts w:cs="Arial"/>
          <w:sz w:val="22"/>
        </w:rPr>
        <w:t>Ce code de conduite fait partie des mesures que nous prenons pour faire face aux risques environnementaux et sociaux liés à nos activités.  Il s'applique à l'ensemble de notre personnel, y compris les ouvriers et les autres employés sur tous les lieux où les activités sont menées.  Il s'applique également au personnel de chaque sous-traitant et à tout autre personnel qui nous assiste dans l'exécution des activités.  Toutes ces personnes sont appelées "personnel du sous-traitant" et sont soumises au présent code de conduite.</w:t>
      </w:r>
    </w:p>
    <w:p w14:paraId="7F3799FA" w14:textId="77777777" w:rsidR="00871A3A" w:rsidRPr="007E3D1A" w:rsidRDefault="00871A3A" w:rsidP="00871A3A">
      <w:pPr>
        <w:rPr>
          <w:rFonts w:cs="Arial"/>
          <w:sz w:val="22"/>
        </w:rPr>
      </w:pPr>
    </w:p>
    <w:p w14:paraId="131B0535" w14:textId="77777777" w:rsidR="00871A3A" w:rsidRPr="007E3D1A" w:rsidRDefault="00871A3A" w:rsidP="00871A3A">
      <w:pPr>
        <w:rPr>
          <w:rFonts w:cs="Arial"/>
          <w:sz w:val="22"/>
        </w:rPr>
      </w:pPr>
      <w:r w:rsidRPr="007E3D1A">
        <w:rPr>
          <w:rFonts w:cs="Arial"/>
          <w:sz w:val="22"/>
        </w:rPr>
        <w:t>Le présent code de conduite définit le comportement que nous exigeons de la part de tout le personnel de l’Entreprise</w:t>
      </w:r>
    </w:p>
    <w:p w14:paraId="0EA37FA0" w14:textId="77777777" w:rsidR="00871A3A" w:rsidRPr="007E3D1A" w:rsidRDefault="00871A3A" w:rsidP="00871A3A">
      <w:pPr>
        <w:rPr>
          <w:rFonts w:cs="Arial"/>
          <w:sz w:val="22"/>
        </w:rPr>
      </w:pPr>
    </w:p>
    <w:p w14:paraId="3163C789" w14:textId="77777777" w:rsidR="00871A3A" w:rsidRPr="007E3D1A" w:rsidRDefault="00871A3A" w:rsidP="00871A3A">
      <w:pPr>
        <w:rPr>
          <w:rFonts w:cs="Arial"/>
          <w:sz w:val="22"/>
        </w:rPr>
      </w:pPr>
      <w:r w:rsidRPr="007E3D1A">
        <w:rPr>
          <w:rFonts w:cs="Arial"/>
          <w:sz w:val="22"/>
        </w:rPr>
        <w:t>Notre lieu de travail est un environnement où les comportements dangereux, offensants, abusifs ou violents ne seront pas tolérés et où toutes les personnes doivent se sentir à l'aise pour soulever des questions ou des préoccupations sans crainte de représailles.</w:t>
      </w:r>
    </w:p>
    <w:p w14:paraId="5BEAA544" w14:textId="77777777" w:rsidR="00871A3A" w:rsidRPr="007E3D1A" w:rsidRDefault="00871A3A" w:rsidP="00871A3A">
      <w:pPr>
        <w:rPr>
          <w:rFonts w:cs="Arial"/>
          <w:sz w:val="22"/>
        </w:rPr>
      </w:pPr>
    </w:p>
    <w:p w14:paraId="53D2FB04" w14:textId="77777777" w:rsidR="00871A3A" w:rsidRPr="007E3D1A" w:rsidRDefault="00871A3A" w:rsidP="00871A3A">
      <w:pPr>
        <w:rPr>
          <w:rFonts w:cs="Arial"/>
          <w:sz w:val="22"/>
        </w:rPr>
      </w:pPr>
      <w:r w:rsidRPr="007E3D1A">
        <w:rPr>
          <w:rFonts w:cs="Arial"/>
          <w:sz w:val="22"/>
        </w:rPr>
        <w:t>Conduite requise</w:t>
      </w:r>
    </w:p>
    <w:p w14:paraId="5FF4B612" w14:textId="77777777" w:rsidR="00871A3A" w:rsidRPr="007E3D1A" w:rsidRDefault="00871A3A" w:rsidP="00871A3A">
      <w:pPr>
        <w:rPr>
          <w:rFonts w:cs="Arial"/>
          <w:sz w:val="22"/>
        </w:rPr>
      </w:pPr>
    </w:p>
    <w:p w14:paraId="49F9C6C7" w14:textId="77777777" w:rsidR="00871A3A" w:rsidRPr="007E3D1A" w:rsidRDefault="00871A3A" w:rsidP="00871A3A">
      <w:pPr>
        <w:rPr>
          <w:rFonts w:cs="Arial"/>
          <w:sz w:val="22"/>
        </w:rPr>
      </w:pPr>
      <w:r w:rsidRPr="007E3D1A">
        <w:rPr>
          <w:rFonts w:cs="Arial"/>
          <w:sz w:val="22"/>
        </w:rPr>
        <w:t>Le personnel de l’Entreprise doit :</w:t>
      </w:r>
    </w:p>
    <w:p w14:paraId="0E4B8BE6" w14:textId="77777777" w:rsidR="00871A3A" w:rsidRPr="007E3D1A" w:rsidRDefault="00871A3A" w:rsidP="00871A3A">
      <w:pPr>
        <w:rPr>
          <w:rFonts w:cs="Arial"/>
          <w:sz w:val="22"/>
        </w:rPr>
      </w:pPr>
    </w:p>
    <w:p w14:paraId="0342B499" w14:textId="77777777" w:rsidR="00871A3A" w:rsidRPr="007E3D1A" w:rsidRDefault="00871A3A" w:rsidP="00871A3A">
      <w:pPr>
        <w:rPr>
          <w:rFonts w:cs="Arial"/>
          <w:sz w:val="22"/>
        </w:rPr>
      </w:pPr>
      <w:r w:rsidRPr="007E3D1A">
        <w:rPr>
          <w:rFonts w:cs="Arial"/>
          <w:sz w:val="22"/>
        </w:rPr>
        <w:t>S’acquitter de ses tâches avec compétence et diligence.</w:t>
      </w:r>
    </w:p>
    <w:p w14:paraId="31171458" w14:textId="77777777" w:rsidR="00871A3A" w:rsidRPr="007E3D1A" w:rsidRDefault="00871A3A" w:rsidP="00871A3A">
      <w:pPr>
        <w:rPr>
          <w:rFonts w:cs="Arial"/>
          <w:sz w:val="22"/>
        </w:rPr>
      </w:pPr>
      <w:r w:rsidRPr="007E3D1A">
        <w:rPr>
          <w:rFonts w:cs="Arial"/>
          <w:sz w:val="22"/>
        </w:rPr>
        <w:t>Se conformer au présent code de conduite et à toutes les lois, réglementations et autres exigences applicables, y compris les exigences visant à protéger la santé, la sécurité et le bien-être des autres membres du personnel de l’Entreprise et de toute autre personne.</w:t>
      </w:r>
    </w:p>
    <w:p w14:paraId="5D7447BD" w14:textId="77777777" w:rsidR="00871A3A" w:rsidRPr="007E3D1A" w:rsidRDefault="00871A3A" w:rsidP="00871A3A">
      <w:pPr>
        <w:rPr>
          <w:rFonts w:cs="Arial"/>
          <w:sz w:val="22"/>
        </w:rPr>
      </w:pPr>
      <w:r w:rsidRPr="007E3D1A">
        <w:rPr>
          <w:rFonts w:cs="Arial"/>
          <w:sz w:val="22"/>
        </w:rPr>
        <w:t>Maintenir un environnement de travail sûr, y compris en :</w:t>
      </w:r>
    </w:p>
    <w:p w14:paraId="50F11159" w14:textId="77777777" w:rsidR="00871A3A" w:rsidRPr="007E3D1A" w:rsidRDefault="00871A3A" w:rsidP="00871A3A">
      <w:pPr>
        <w:rPr>
          <w:rFonts w:cs="Arial"/>
          <w:sz w:val="22"/>
        </w:rPr>
      </w:pPr>
      <w:r w:rsidRPr="007E3D1A">
        <w:rPr>
          <w:rFonts w:cs="Arial"/>
          <w:sz w:val="22"/>
        </w:rPr>
        <w:t>Veillant à ce que les lieux de travail, les machines, les équipements et les processus sous le contrôle de chaque personne soient sûrs et sans risque pour la santé oula sécurité.</w:t>
      </w:r>
    </w:p>
    <w:p w14:paraId="4B336E8E" w14:textId="77777777" w:rsidR="00871A3A" w:rsidRPr="007E3D1A" w:rsidRDefault="00871A3A" w:rsidP="00871A3A">
      <w:pPr>
        <w:rPr>
          <w:rFonts w:cs="Arial"/>
          <w:sz w:val="22"/>
        </w:rPr>
      </w:pPr>
      <w:r w:rsidRPr="007E3D1A">
        <w:rPr>
          <w:rFonts w:cs="Arial"/>
          <w:sz w:val="22"/>
        </w:rPr>
        <w:t>Portant les équipements de protection individuelle requis.</w:t>
      </w:r>
    </w:p>
    <w:p w14:paraId="0F2514A8" w14:textId="77777777" w:rsidR="00871A3A" w:rsidRPr="007E3D1A" w:rsidRDefault="00871A3A" w:rsidP="00871A3A">
      <w:pPr>
        <w:rPr>
          <w:rFonts w:cs="Arial"/>
          <w:sz w:val="22"/>
        </w:rPr>
      </w:pPr>
      <w:r w:rsidRPr="007E3D1A">
        <w:rPr>
          <w:rFonts w:cs="Arial"/>
          <w:sz w:val="22"/>
        </w:rPr>
        <w:t>Utilisant les mesures appropriées relatives aux substances et agents chimiques, physiques et biologiques.</w:t>
      </w:r>
    </w:p>
    <w:p w14:paraId="1C96270F" w14:textId="77777777" w:rsidR="00871A3A" w:rsidRPr="007E3D1A" w:rsidRDefault="00871A3A" w:rsidP="00871A3A">
      <w:pPr>
        <w:rPr>
          <w:rFonts w:cs="Arial"/>
          <w:sz w:val="22"/>
        </w:rPr>
      </w:pPr>
      <w:r w:rsidRPr="007E3D1A">
        <w:rPr>
          <w:rFonts w:cs="Arial"/>
          <w:sz w:val="22"/>
        </w:rPr>
        <w:t>Suivant les procédures d'exploitation d'urgence applicables.</w:t>
      </w:r>
    </w:p>
    <w:p w14:paraId="47651C80" w14:textId="77777777" w:rsidR="00871A3A" w:rsidRPr="007E3D1A" w:rsidRDefault="00871A3A" w:rsidP="00871A3A">
      <w:pPr>
        <w:rPr>
          <w:rFonts w:cs="Arial"/>
          <w:sz w:val="22"/>
        </w:rPr>
      </w:pPr>
      <w:r w:rsidRPr="007E3D1A">
        <w:rPr>
          <w:rFonts w:cs="Arial"/>
          <w:sz w:val="22"/>
        </w:rPr>
        <w:t>Ne pas détenir ou consommer des stupéfiants</w:t>
      </w:r>
    </w:p>
    <w:p w14:paraId="0D03413B" w14:textId="77777777" w:rsidR="00871A3A" w:rsidRPr="007E3D1A" w:rsidRDefault="00871A3A" w:rsidP="00871A3A">
      <w:pPr>
        <w:rPr>
          <w:rFonts w:cs="Arial"/>
          <w:sz w:val="22"/>
        </w:rPr>
      </w:pPr>
      <w:r w:rsidRPr="007E3D1A">
        <w:rPr>
          <w:rFonts w:cs="Arial"/>
          <w:sz w:val="22"/>
        </w:rPr>
        <w:t>Ne pas consommer des boissons alcoolisées pendant les heures de travail</w:t>
      </w:r>
    </w:p>
    <w:p w14:paraId="50EA2908" w14:textId="77777777" w:rsidR="00871A3A" w:rsidRPr="007E3D1A" w:rsidRDefault="00871A3A" w:rsidP="00871A3A">
      <w:pPr>
        <w:rPr>
          <w:rFonts w:cs="Arial"/>
          <w:sz w:val="22"/>
        </w:rPr>
      </w:pPr>
      <w:r w:rsidRPr="007E3D1A">
        <w:rPr>
          <w:rFonts w:cs="Arial"/>
          <w:sz w:val="22"/>
        </w:rPr>
        <w:t>Ne pas détenir ou transporter des armes exception faite des partenaires sécuritaires</w:t>
      </w:r>
    </w:p>
    <w:p w14:paraId="42350560" w14:textId="77777777" w:rsidR="00871A3A" w:rsidRPr="007E3D1A" w:rsidRDefault="00871A3A" w:rsidP="00871A3A">
      <w:pPr>
        <w:rPr>
          <w:rFonts w:cs="Arial"/>
          <w:sz w:val="22"/>
        </w:rPr>
      </w:pPr>
      <w:r w:rsidRPr="007E3D1A">
        <w:rPr>
          <w:rFonts w:cs="Arial"/>
          <w:sz w:val="22"/>
        </w:rPr>
        <w:t>Ne pas acquérir, détenir, ou de consommer les viandes et autres produits provenant de la faune sauvage protégée, ou participer ou assister à des activités de chasse de faune sauvage protégée.</w:t>
      </w:r>
    </w:p>
    <w:p w14:paraId="071C1C2E" w14:textId="77777777" w:rsidR="00871A3A" w:rsidRPr="007E3D1A" w:rsidRDefault="00871A3A" w:rsidP="00871A3A">
      <w:pPr>
        <w:rPr>
          <w:rFonts w:cs="Arial"/>
          <w:sz w:val="22"/>
        </w:rPr>
      </w:pPr>
      <w:r w:rsidRPr="007E3D1A">
        <w:rPr>
          <w:rFonts w:cs="Arial"/>
          <w:sz w:val="22"/>
        </w:rPr>
        <w:t>Signaler les situations de travail qu'il/elle estime ne pas être sûres ou saines et se retirer d'une situation de travail dont il/elle pense raisonnablement qu'elle présente un danger imminent et grave pour sa vie ou sa santé.</w:t>
      </w:r>
    </w:p>
    <w:p w14:paraId="5C71BE31" w14:textId="77777777" w:rsidR="00871A3A" w:rsidRPr="007E3D1A" w:rsidRDefault="00871A3A" w:rsidP="00871A3A">
      <w:pPr>
        <w:rPr>
          <w:rFonts w:cs="Arial"/>
          <w:sz w:val="22"/>
        </w:rPr>
      </w:pPr>
      <w:r w:rsidRPr="007E3D1A">
        <w:rPr>
          <w:rFonts w:cs="Arial"/>
          <w:sz w:val="22"/>
        </w:rPr>
        <w:t>Traiter les autres personnes avec respect et ne pas faire de discrimination à l'encontre de groupes spécifiques tels que les femmes, les personnes handicapées, les travailleurs migrants ou les enfants.</w:t>
      </w:r>
    </w:p>
    <w:p w14:paraId="129A4175" w14:textId="77777777" w:rsidR="00871A3A" w:rsidRPr="007E3D1A" w:rsidRDefault="00871A3A" w:rsidP="00871A3A">
      <w:pPr>
        <w:rPr>
          <w:rFonts w:cs="Arial"/>
          <w:sz w:val="22"/>
        </w:rPr>
      </w:pPr>
      <w:r w:rsidRPr="007E3D1A">
        <w:rPr>
          <w:rFonts w:cs="Arial"/>
          <w:sz w:val="22"/>
        </w:rPr>
        <w:t>Ne pas se livrer à une forme quelconque de harcèlement sexuel, y compris des avances sexuelles non sollicitées, des demandes de faveurs sexuelles et tout autre comportement verbal ou physique non désiré de nature sexuelle avec le personnel d'autres entrepreneurs ou employeurs.</w:t>
      </w:r>
    </w:p>
    <w:p w14:paraId="42CDEF4F" w14:textId="77777777" w:rsidR="00871A3A" w:rsidRPr="007E3D1A" w:rsidRDefault="00871A3A" w:rsidP="00871A3A">
      <w:pPr>
        <w:rPr>
          <w:rFonts w:cs="Arial"/>
          <w:sz w:val="22"/>
        </w:rPr>
      </w:pPr>
      <w:r w:rsidRPr="007E3D1A">
        <w:rPr>
          <w:rFonts w:cs="Arial"/>
          <w:sz w:val="22"/>
        </w:rPr>
        <w:t>Ne pas se livrer à l'exploitation sexuelle, ce qui signifie tout abus ou tentative d'abus de position de vulnérabilité, de pouvoir différentiel ou de confiance, à des fins sexuelles, y compris, mais sans s'y limiter, le fait de tirer un profit monétaire, social ou politique de l'exploitation sexuelle d'autrui.  Dans les projets financés par la Banque, l'exploitation sexuelle se produit lorsque l'accès à des biens, travaux, services de conseil ou services autres financés par la Banque, est utilisé pour en tirer un gain sexuel.</w:t>
      </w:r>
    </w:p>
    <w:p w14:paraId="71628050" w14:textId="77777777" w:rsidR="00871A3A" w:rsidRPr="007E3D1A" w:rsidRDefault="00871A3A" w:rsidP="00871A3A">
      <w:pPr>
        <w:rPr>
          <w:rFonts w:cs="Arial"/>
          <w:sz w:val="22"/>
        </w:rPr>
      </w:pPr>
      <w:r w:rsidRPr="007E3D1A">
        <w:rPr>
          <w:rFonts w:cs="Arial"/>
          <w:sz w:val="22"/>
        </w:rPr>
        <w:t>Ne pas se livrer à une agression sexuelle, ce qui signifie une activité sexuelle avec une autre personne qui n'y consent pas. Il s'agit d'une violation de l'intégrité corporelle et de l'autonomie sexuelle, qui dépasse les conceptions plus étroites du "viol", notamment parce que (a) il peut être commis par d'autres moyens que la force ou la violence, et (b) il n'implique pas nécessairement la pénétration.</w:t>
      </w:r>
    </w:p>
    <w:p w14:paraId="6AE17C5D" w14:textId="77777777" w:rsidR="00871A3A" w:rsidRPr="007E3D1A" w:rsidRDefault="00871A3A" w:rsidP="00871A3A">
      <w:pPr>
        <w:rPr>
          <w:rFonts w:cs="Arial"/>
          <w:sz w:val="22"/>
        </w:rPr>
      </w:pPr>
      <w:r w:rsidRPr="007E3D1A">
        <w:rPr>
          <w:rFonts w:cs="Arial"/>
          <w:sz w:val="22"/>
        </w:rPr>
        <w:t>Ne pas se livrer à une forme quelconque d'activité sexuelle avec des personnes âgées de moins de 18 ans, sauf en cas de mariage préexistant.</w:t>
      </w:r>
    </w:p>
    <w:p w14:paraId="676CED00" w14:textId="77777777" w:rsidR="00871A3A" w:rsidRPr="007E3D1A" w:rsidRDefault="00871A3A" w:rsidP="00871A3A">
      <w:pPr>
        <w:rPr>
          <w:rFonts w:cs="Arial"/>
          <w:sz w:val="22"/>
        </w:rPr>
      </w:pPr>
      <w:r w:rsidRPr="007E3D1A">
        <w:rPr>
          <w:rFonts w:cs="Arial"/>
          <w:sz w:val="22"/>
        </w:rPr>
        <w:t>Suivre les cours de formation pertinents qui seront dispensés en rapport avec les aspects environnementaux et sociaux du contrat, y compris sur les questions de santé et de sécurité, et sur l'exploitation et les agressions sexuelles ainsi que le harcèlement sexuel (EAS et HS).</w:t>
      </w:r>
    </w:p>
    <w:p w14:paraId="58CD0485" w14:textId="77777777" w:rsidR="00871A3A" w:rsidRPr="007E3D1A" w:rsidRDefault="00871A3A" w:rsidP="00871A3A">
      <w:pPr>
        <w:rPr>
          <w:rFonts w:cs="Arial"/>
          <w:sz w:val="22"/>
        </w:rPr>
      </w:pPr>
      <w:r w:rsidRPr="007E3D1A">
        <w:rPr>
          <w:rFonts w:cs="Arial"/>
          <w:sz w:val="22"/>
        </w:rPr>
        <w:t>Signaler les violations du présent code de conduite.</w:t>
      </w:r>
    </w:p>
    <w:p w14:paraId="4C335542" w14:textId="77777777" w:rsidR="00871A3A" w:rsidRPr="007E3D1A" w:rsidRDefault="00871A3A" w:rsidP="00871A3A">
      <w:pPr>
        <w:rPr>
          <w:rFonts w:cs="Arial"/>
          <w:sz w:val="22"/>
        </w:rPr>
      </w:pPr>
      <w:r w:rsidRPr="007E3D1A">
        <w:rPr>
          <w:rFonts w:cs="Arial"/>
          <w:sz w:val="22"/>
        </w:rPr>
        <w:t>Ne pas exercer de représailles contre toute personne qui signale des violations du présent code de conduite, que ce soit à nous ou à l'employeur, ou qui fait usage du [mécanisme de règlement des griefs [recours] du projet].  De telles représailles constitueraient en soi une violation du Code de Conduite.</w:t>
      </w:r>
    </w:p>
    <w:p w14:paraId="685A90E0" w14:textId="77777777" w:rsidR="00871A3A" w:rsidRPr="007E3D1A" w:rsidRDefault="00871A3A" w:rsidP="00871A3A">
      <w:pPr>
        <w:rPr>
          <w:rFonts w:cs="Arial"/>
          <w:sz w:val="22"/>
        </w:rPr>
      </w:pPr>
    </w:p>
    <w:p w14:paraId="7574E1A6" w14:textId="77777777" w:rsidR="00871A3A" w:rsidRPr="007E3D1A" w:rsidRDefault="00871A3A" w:rsidP="00871A3A">
      <w:pPr>
        <w:rPr>
          <w:rFonts w:cs="Arial"/>
          <w:sz w:val="22"/>
        </w:rPr>
      </w:pPr>
      <w:r w:rsidRPr="007E3D1A">
        <w:rPr>
          <w:rFonts w:cs="Arial"/>
          <w:sz w:val="22"/>
        </w:rPr>
        <w:t>Signaler des Fautes</w:t>
      </w:r>
    </w:p>
    <w:p w14:paraId="20019C4F" w14:textId="77777777" w:rsidR="00871A3A" w:rsidRPr="007E3D1A" w:rsidRDefault="00871A3A" w:rsidP="00871A3A">
      <w:pPr>
        <w:rPr>
          <w:rFonts w:cs="Arial"/>
          <w:sz w:val="22"/>
        </w:rPr>
      </w:pPr>
    </w:p>
    <w:p w14:paraId="78D6580A" w14:textId="77777777" w:rsidR="00871A3A" w:rsidRPr="007E3D1A" w:rsidRDefault="00871A3A" w:rsidP="00871A3A">
      <w:pPr>
        <w:rPr>
          <w:rFonts w:cs="Arial"/>
          <w:sz w:val="22"/>
        </w:rPr>
      </w:pPr>
      <w:r w:rsidRPr="007E3D1A">
        <w:rPr>
          <w:rFonts w:cs="Arial"/>
          <w:sz w:val="22"/>
        </w:rPr>
        <w:t>Si une personne observe un comportement qui, selon elle, peut représenter une violation du présent code de conduite, ou qui la concerne d'une autre manière, elle doit soulever la question rapidement.  Cela peut se faire de l'une ou l'autre des manières suivantes :</w:t>
      </w:r>
    </w:p>
    <w:p w14:paraId="51FC7390" w14:textId="77777777" w:rsidR="00871A3A" w:rsidRPr="007E3D1A" w:rsidRDefault="00871A3A" w:rsidP="00871A3A">
      <w:pPr>
        <w:rPr>
          <w:rFonts w:cs="Arial"/>
          <w:sz w:val="22"/>
        </w:rPr>
      </w:pPr>
    </w:p>
    <w:p w14:paraId="5CEA45EF" w14:textId="77777777" w:rsidR="00871A3A" w:rsidRPr="007E3D1A" w:rsidRDefault="00871A3A" w:rsidP="00871A3A">
      <w:pPr>
        <w:rPr>
          <w:rFonts w:cs="Arial"/>
          <w:sz w:val="22"/>
        </w:rPr>
      </w:pPr>
      <w:r w:rsidRPr="007E3D1A">
        <w:rPr>
          <w:rFonts w:cs="Arial"/>
          <w:sz w:val="22"/>
        </w:rPr>
        <w:t>En contactant la personne désignée par l’Entreprise [indiquer le nom du contact) ;</w:t>
      </w:r>
    </w:p>
    <w:p w14:paraId="2289CDDF" w14:textId="77777777" w:rsidR="00871A3A" w:rsidRPr="007E3D1A" w:rsidRDefault="00871A3A" w:rsidP="00871A3A">
      <w:pPr>
        <w:rPr>
          <w:rFonts w:cs="Arial"/>
          <w:sz w:val="22"/>
        </w:rPr>
      </w:pPr>
      <w:r w:rsidRPr="007E3D1A">
        <w:rPr>
          <w:rFonts w:cs="Arial"/>
          <w:sz w:val="22"/>
        </w:rPr>
        <w:t>Par écrit à l'adresse suivante [ ] ;</w:t>
      </w:r>
    </w:p>
    <w:p w14:paraId="1BABBB02" w14:textId="77777777" w:rsidR="00871A3A" w:rsidRPr="007E3D1A" w:rsidRDefault="00871A3A" w:rsidP="00871A3A">
      <w:pPr>
        <w:rPr>
          <w:rFonts w:cs="Arial"/>
          <w:sz w:val="22"/>
        </w:rPr>
      </w:pPr>
      <w:r w:rsidRPr="007E3D1A">
        <w:rPr>
          <w:rFonts w:cs="Arial"/>
          <w:sz w:val="22"/>
        </w:rPr>
        <w:t>Par téléphone au [ ] ;</w:t>
      </w:r>
    </w:p>
    <w:p w14:paraId="2631EAC9" w14:textId="77777777" w:rsidR="00871A3A" w:rsidRPr="007E3D1A" w:rsidRDefault="00871A3A" w:rsidP="00871A3A">
      <w:pPr>
        <w:rPr>
          <w:rFonts w:cs="Arial"/>
          <w:sz w:val="22"/>
        </w:rPr>
      </w:pPr>
      <w:r w:rsidRPr="007E3D1A">
        <w:rPr>
          <w:rFonts w:cs="Arial"/>
          <w:sz w:val="22"/>
        </w:rPr>
        <w:t>En personne à [ ] ; et</w:t>
      </w:r>
    </w:p>
    <w:p w14:paraId="6408D731" w14:textId="77777777" w:rsidR="00871A3A" w:rsidRPr="007E3D1A" w:rsidRDefault="00871A3A" w:rsidP="00871A3A">
      <w:pPr>
        <w:rPr>
          <w:rFonts w:cs="Arial"/>
          <w:sz w:val="22"/>
        </w:rPr>
      </w:pPr>
      <w:r w:rsidRPr="007E3D1A">
        <w:rPr>
          <w:rFonts w:cs="Arial"/>
          <w:sz w:val="22"/>
        </w:rPr>
        <w:t>Appeler [ ] pour joindre la ligne directe de l’Entreprise et laisser un message (si disponible)</w:t>
      </w:r>
    </w:p>
    <w:p w14:paraId="42345927" w14:textId="77777777" w:rsidR="00871A3A" w:rsidRPr="007E3D1A" w:rsidRDefault="00871A3A" w:rsidP="00871A3A">
      <w:pPr>
        <w:rPr>
          <w:rFonts w:cs="Arial"/>
          <w:sz w:val="22"/>
        </w:rPr>
      </w:pPr>
    </w:p>
    <w:p w14:paraId="6D4D0BA6" w14:textId="77777777" w:rsidR="00871A3A" w:rsidRPr="007E3D1A" w:rsidRDefault="00871A3A" w:rsidP="00871A3A">
      <w:pPr>
        <w:rPr>
          <w:rFonts w:cs="Arial"/>
          <w:sz w:val="22"/>
        </w:rPr>
      </w:pPr>
      <w:r w:rsidRPr="007E3D1A">
        <w:rPr>
          <w:rFonts w:cs="Arial"/>
          <w:sz w:val="22"/>
        </w:rPr>
        <w:t xml:space="preserve">L'identité de la personne sera gardée confidentielle, à moins que la loi du pays n'impose de signaler les allégations.  Des plaintes ou allégations anonymes peuvent également être soumises et seront dûment prises en considération.  Nous prendrons au sérieux tous les signalements de fautes éventuelles et nous enquêterons et prendrons les mesures appropriées.  Nous fournirons des références chaleureuses aux prestataires de services qui peuvent aider à soutenir le </w:t>
      </w:r>
    </w:p>
    <w:p w14:paraId="3FC4E161" w14:textId="77777777" w:rsidR="00871A3A" w:rsidRPr="007E3D1A" w:rsidRDefault="00871A3A" w:rsidP="00871A3A">
      <w:pPr>
        <w:rPr>
          <w:rFonts w:cs="Arial"/>
          <w:sz w:val="22"/>
        </w:rPr>
      </w:pPr>
      <w:r w:rsidRPr="007E3D1A">
        <w:rPr>
          <w:rFonts w:cs="Arial"/>
          <w:sz w:val="22"/>
        </w:rPr>
        <w:t>La loi du pays.  Des plaintes ou allégations anonymes peuvent également être déposées et seront dûment prises en considération.  Nous prenons au sérieux tous les signalements de fautes éventuelles et nous enquêterons et prendrons les mesures appropriées.  Au besoin, nous recommanderons des prestataires de services susceptibles de soutenir la personne qui a vécu l'incident présumé.</w:t>
      </w:r>
    </w:p>
    <w:p w14:paraId="7F072CA9" w14:textId="77777777" w:rsidR="00871A3A" w:rsidRPr="007E3D1A" w:rsidRDefault="00871A3A" w:rsidP="00871A3A">
      <w:pPr>
        <w:rPr>
          <w:rFonts w:cs="Arial"/>
          <w:sz w:val="22"/>
        </w:rPr>
      </w:pPr>
      <w:r w:rsidRPr="007E3D1A">
        <w:rPr>
          <w:rFonts w:cs="Arial"/>
          <w:sz w:val="22"/>
        </w:rPr>
        <w:t>Il n'y aura pas de représailles à l'encontre de toute personne qui soulève de bonne foi une préoccupation concernant un comportement interdit par le présent code de conduite.  De telles représailles constitueraient une violation du présent code de conduite.</w:t>
      </w:r>
    </w:p>
    <w:p w14:paraId="51495B36" w14:textId="77777777" w:rsidR="00871A3A" w:rsidRPr="007E3D1A" w:rsidRDefault="00871A3A" w:rsidP="00871A3A">
      <w:pPr>
        <w:rPr>
          <w:rFonts w:cs="Arial"/>
          <w:sz w:val="22"/>
        </w:rPr>
      </w:pPr>
    </w:p>
    <w:p w14:paraId="063CFE5D" w14:textId="77777777" w:rsidR="00871A3A" w:rsidRPr="007E3D1A" w:rsidRDefault="00871A3A" w:rsidP="00871A3A">
      <w:pPr>
        <w:rPr>
          <w:rFonts w:cs="Arial"/>
          <w:sz w:val="22"/>
        </w:rPr>
      </w:pPr>
      <w:r w:rsidRPr="007E3D1A">
        <w:rPr>
          <w:rFonts w:cs="Arial"/>
          <w:sz w:val="22"/>
        </w:rPr>
        <w:t>Conséquences d'une violation du code de conduite</w:t>
      </w:r>
    </w:p>
    <w:p w14:paraId="6CF6DDCB" w14:textId="77777777" w:rsidR="00871A3A" w:rsidRPr="007E3D1A" w:rsidRDefault="00871A3A" w:rsidP="00871A3A">
      <w:pPr>
        <w:rPr>
          <w:rFonts w:cs="Arial"/>
          <w:sz w:val="22"/>
        </w:rPr>
      </w:pPr>
    </w:p>
    <w:p w14:paraId="55A7B4CC" w14:textId="77777777" w:rsidR="00871A3A" w:rsidRPr="007E3D1A" w:rsidRDefault="00871A3A" w:rsidP="00871A3A">
      <w:pPr>
        <w:rPr>
          <w:rFonts w:cs="Arial"/>
          <w:sz w:val="22"/>
        </w:rPr>
      </w:pPr>
      <w:r w:rsidRPr="007E3D1A">
        <w:rPr>
          <w:rFonts w:cs="Arial"/>
          <w:sz w:val="22"/>
        </w:rPr>
        <w:t>Toute violation du présent code de conduite par le personnel de l’Entreprise peut entraîner de graves conséquences, pouvant aller jusqu'à la résiliation et à l'éventuel renvoi devant les autorités judiciaires.</w:t>
      </w:r>
    </w:p>
    <w:p w14:paraId="1DCFE049" w14:textId="77777777" w:rsidR="00871A3A" w:rsidRPr="007E3D1A" w:rsidRDefault="00871A3A" w:rsidP="00871A3A">
      <w:pPr>
        <w:rPr>
          <w:rFonts w:cs="Arial"/>
          <w:sz w:val="22"/>
        </w:rPr>
      </w:pPr>
    </w:p>
    <w:p w14:paraId="4ADC12C1" w14:textId="77777777" w:rsidR="00871A3A" w:rsidRPr="007E3D1A" w:rsidRDefault="00871A3A" w:rsidP="00871A3A">
      <w:pPr>
        <w:rPr>
          <w:rFonts w:cs="Arial"/>
          <w:sz w:val="22"/>
        </w:rPr>
      </w:pPr>
      <w:r w:rsidRPr="007E3D1A">
        <w:rPr>
          <w:rFonts w:cs="Arial"/>
          <w:sz w:val="22"/>
        </w:rPr>
        <w:t>Pour le personnel de l’Entreprise</w:t>
      </w:r>
    </w:p>
    <w:p w14:paraId="77C865D4" w14:textId="77777777" w:rsidR="00871A3A" w:rsidRPr="007E3D1A" w:rsidRDefault="00871A3A" w:rsidP="00871A3A">
      <w:pPr>
        <w:rPr>
          <w:rFonts w:cs="Arial"/>
          <w:sz w:val="22"/>
        </w:rPr>
      </w:pPr>
    </w:p>
    <w:p w14:paraId="5DF76F8C" w14:textId="77777777" w:rsidR="00871A3A" w:rsidRPr="007E3D1A" w:rsidRDefault="00871A3A" w:rsidP="00871A3A">
      <w:pPr>
        <w:rPr>
          <w:rFonts w:cs="Arial"/>
          <w:sz w:val="22"/>
        </w:rPr>
      </w:pPr>
      <w:r w:rsidRPr="007E3D1A">
        <w:rPr>
          <w:rFonts w:cs="Arial"/>
          <w:sz w:val="22"/>
        </w:rPr>
        <w:t>J'ai reçu un exemplaire du présent code de conduite rédigé dans une langue que je comprends.  Je comprends que si j'ai des questions sur le présent code de conduite, je peux contacter [indiquer le nom de la personne de contact de l’Entreprise ayant une expérience pertinente dans le traitement de la violence fondée sur le sexe] pour demander des explications.</w:t>
      </w:r>
    </w:p>
    <w:p w14:paraId="787F3FAC" w14:textId="77777777" w:rsidR="00871A3A" w:rsidRPr="007E3D1A" w:rsidRDefault="00871A3A" w:rsidP="00871A3A">
      <w:pPr>
        <w:rPr>
          <w:rFonts w:cs="Arial"/>
          <w:sz w:val="22"/>
        </w:rPr>
      </w:pPr>
      <w:r w:rsidRPr="007E3D1A">
        <w:rPr>
          <w:rFonts w:cs="Arial"/>
          <w:sz w:val="22"/>
        </w:rPr>
        <w:t>Nom du personnel du contractant : [insérer le nom]</w:t>
      </w:r>
    </w:p>
    <w:p w14:paraId="44BAA651" w14:textId="77777777" w:rsidR="00871A3A" w:rsidRPr="007E3D1A" w:rsidRDefault="00871A3A" w:rsidP="00871A3A">
      <w:pPr>
        <w:rPr>
          <w:rFonts w:cs="Arial"/>
          <w:sz w:val="22"/>
        </w:rPr>
      </w:pPr>
      <w:r w:rsidRPr="007E3D1A">
        <w:rPr>
          <w:rFonts w:cs="Arial"/>
          <w:sz w:val="22"/>
        </w:rPr>
        <w:t>Signature : ______________________________________________</w:t>
      </w:r>
    </w:p>
    <w:p w14:paraId="478B3C94" w14:textId="77777777" w:rsidR="00871A3A" w:rsidRPr="007E3D1A" w:rsidRDefault="00871A3A" w:rsidP="00871A3A">
      <w:pPr>
        <w:rPr>
          <w:rFonts w:cs="Arial"/>
          <w:sz w:val="22"/>
        </w:rPr>
      </w:pPr>
      <w:r w:rsidRPr="007E3D1A">
        <w:rPr>
          <w:rFonts w:cs="Arial"/>
          <w:sz w:val="22"/>
        </w:rPr>
        <w:t>Date : (jour mois année) : ______________________________________________</w:t>
      </w:r>
    </w:p>
    <w:p w14:paraId="439FDAB9" w14:textId="77777777" w:rsidR="00871A3A" w:rsidRPr="007E3D1A" w:rsidRDefault="00871A3A" w:rsidP="00871A3A">
      <w:pPr>
        <w:rPr>
          <w:rFonts w:cs="Arial"/>
          <w:sz w:val="22"/>
        </w:rPr>
      </w:pPr>
      <w:r w:rsidRPr="007E3D1A">
        <w:rPr>
          <w:rFonts w:cs="Arial"/>
          <w:sz w:val="22"/>
        </w:rPr>
        <w:t>Contre-signature du représentant autorisé du contractant :</w:t>
      </w:r>
    </w:p>
    <w:p w14:paraId="6696C6B1" w14:textId="77777777" w:rsidR="00871A3A" w:rsidRPr="007E3D1A" w:rsidRDefault="00871A3A" w:rsidP="00871A3A">
      <w:pPr>
        <w:rPr>
          <w:rFonts w:cs="Arial"/>
          <w:sz w:val="22"/>
        </w:rPr>
      </w:pPr>
      <w:r w:rsidRPr="007E3D1A">
        <w:rPr>
          <w:rFonts w:cs="Arial"/>
          <w:sz w:val="22"/>
        </w:rPr>
        <w:t>Signature : ______________________________________________</w:t>
      </w:r>
    </w:p>
    <w:p w14:paraId="41516C30" w14:textId="77777777" w:rsidR="00871A3A" w:rsidRPr="007E3D1A" w:rsidRDefault="00871A3A" w:rsidP="00871A3A">
      <w:pPr>
        <w:rPr>
          <w:rFonts w:cs="Arial"/>
          <w:sz w:val="22"/>
        </w:rPr>
      </w:pPr>
      <w:r w:rsidRPr="007E3D1A">
        <w:rPr>
          <w:rFonts w:cs="Arial"/>
          <w:sz w:val="22"/>
        </w:rPr>
        <w:t>Date : (jour mois année) : ______________________________________________</w:t>
      </w:r>
    </w:p>
    <w:p w14:paraId="6BB038E3" w14:textId="77777777" w:rsidR="00871A3A" w:rsidRPr="007E3D1A" w:rsidRDefault="00871A3A" w:rsidP="00871A3A">
      <w:pPr>
        <w:rPr>
          <w:rFonts w:cs="Arial"/>
          <w:sz w:val="22"/>
        </w:rPr>
      </w:pPr>
    </w:p>
    <w:p w14:paraId="6283594B" w14:textId="77777777" w:rsidR="00871A3A" w:rsidRPr="007E3D1A" w:rsidRDefault="00871A3A" w:rsidP="00871A3A">
      <w:pPr>
        <w:rPr>
          <w:rFonts w:cs="Arial"/>
          <w:sz w:val="22"/>
        </w:rPr>
      </w:pPr>
      <w:r w:rsidRPr="007E3D1A">
        <w:rPr>
          <w:rFonts w:cs="Arial"/>
          <w:sz w:val="22"/>
        </w:rPr>
        <w:t>Une copie du code de conduite en français doit être affichée dans un endroit facilement accessible par les communautés voisines et les personnes concernées par le projet.  Il doit au besoin être fourni dans des langues compréhensibles pour la communauté locale, le personnel de l’Entreprise (y compris les sous-traitants et les travailleurs journaliers), le personnel du Maître d’ouvrage projet, et les personnes potentiellement affectées.</w:t>
      </w:r>
    </w:p>
    <w:p w14:paraId="640583C3" w14:textId="77777777" w:rsidR="00871A3A" w:rsidRPr="007E3D1A" w:rsidRDefault="00871A3A" w:rsidP="00871A3A">
      <w:pPr>
        <w:rPr>
          <w:rFonts w:cs="Arial"/>
          <w:sz w:val="22"/>
        </w:rPr>
      </w:pPr>
    </w:p>
    <w:p w14:paraId="429CB0CC" w14:textId="77777777" w:rsidR="00871A3A" w:rsidRPr="007E3D1A" w:rsidRDefault="00871A3A" w:rsidP="00871A3A">
      <w:pPr>
        <w:rPr>
          <w:rFonts w:cs="Arial"/>
          <w:sz w:val="22"/>
        </w:rPr>
      </w:pPr>
      <w:r w:rsidRPr="007E3D1A">
        <w:rPr>
          <w:rFonts w:cs="Arial"/>
          <w:sz w:val="22"/>
        </w:rPr>
        <w:t>Mécanisme de Gestion des Griefs pour les Employés</w:t>
      </w:r>
    </w:p>
    <w:p w14:paraId="10375D9A" w14:textId="77777777" w:rsidR="00871A3A" w:rsidRPr="007E3D1A" w:rsidRDefault="00871A3A" w:rsidP="00871A3A">
      <w:pPr>
        <w:rPr>
          <w:rFonts w:cs="Arial"/>
          <w:sz w:val="22"/>
        </w:rPr>
      </w:pPr>
    </w:p>
    <w:p w14:paraId="370E881B" w14:textId="77777777" w:rsidR="00871A3A" w:rsidRPr="007E3D1A" w:rsidRDefault="00871A3A" w:rsidP="00871A3A">
      <w:pPr>
        <w:rPr>
          <w:rFonts w:cs="Arial"/>
          <w:sz w:val="22"/>
        </w:rPr>
      </w:pPr>
      <w:r w:rsidRPr="007E3D1A">
        <w:rPr>
          <w:rFonts w:cs="Arial"/>
          <w:sz w:val="22"/>
        </w:rPr>
        <w:t>L’Entreprise mettra en place un mécanisme de gestion des griefs pour ses employés et les employés de leurs sous-traitants qui sera proportionnel à leur effectif.  Ce mécanisme de gestion des griefs sera distinct du mécanisme de gestion des griefs au niveau du projet et respectera les principes suivants :</w:t>
      </w:r>
    </w:p>
    <w:p w14:paraId="43883F43" w14:textId="77777777" w:rsidR="00871A3A" w:rsidRPr="007E3D1A" w:rsidRDefault="00871A3A" w:rsidP="00871A3A">
      <w:pPr>
        <w:rPr>
          <w:rFonts w:cs="Arial"/>
          <w:sz w:val="22"/>
        </w:rPr>
      </w:pPr>
      <w:r w:rsidRPr="007E3D1A">
        <w:rPr>
          <w:rFonts w:cs="Arial"/>
          <w:sz w:val="22"/>
        </w:rPr>
        <w:t>Fourniture d'informations.  Tous les employés doivent être informés sur le mécanisme de gestion des griefs au moment de leur embauche, et les détails sur son fonctionnement doivent être facilement accessibles, par exemple, dans la documentation fourniers aux employés ou sur les tableaux d'affichage.</w:t>
      </w:r>
    </w:p>
    <w:p w14:paraId="5CEFC3CE" w14:textId="77777777" w:rsidR="00871A3A" w:rsidRPr="007E3D1A" w:rsidRDefault="00871A3A" w:rsidP="00871A3A">
      <w:pPr>
        <w:rPr>
          <w:rFonts w:cs="Arial"/>
          <w:sz w:val="22"/>
        </w:rPr>
      </w:pPr>
    </w:p>
    <w:p w14:paraId="7537A733" w14:textId="77777777" w:rsidR="00871A3A" w:rsidRPr="007E3D1A" w:rsidRDefault="00871A3A" w:rsidP="00871A3A">
      <w:pPr>
        <w:rPr>
          <w:rFonts w:cs="Arial"/>
          <w:sz w:val="22"/>
        </w:rPr>
      </w:pPr>
      <w:r w:rsidRPr="007E3D1A">
        <w:rPr>
          <w:rFonts w:cs="Arial"/>
          <w:sz w:val="22"/>
        </w:rPr>
        <w:t>Transparence du processus.  Les ouvriers doivent savoir à qui ils peuvent s'adresser en cas de grief, et être informé du soutien et des sources de conseil qui sont à leur disposition.  Tous les cadres hiérarchiques et supérieurs doivent connaître le mécanisme de gestion des griefs de leur organisation.</w:t>
      </w:r>
    </w:p>
    <w:p w14:paraId="731648E9" w14:textId="77777777" w:rsidR="00871A3A" w:rsidRPr="007E3D1A" w:rsidRDefault="00871A3A" w:rsidP="00871A3A">
      <w:pPr>
        <w:rPr>
          <w:rFonts w:cs="Arial"/>
          <w:sz w:val="22"/>
        </w:rPr>
      </w:pPr>
    </w:p>
    <w:p w14:paraId="38F7F660" w14:textId="77777777" w:rsidR="00871A3A" w:rsidRPr="007E3D1A" w:rsidRDefault="00871A3A" w:rsidP="00871A3A">
      <w:pPr>
        <w:rPr>
          <w:rFonts w:cs="Arial"/>
          <w:sz w:val="22"/>
        </w:rPr>
      </w:pPr>
      <w:r w:rsidRPr="007E3D1A">
        <w:rPr>
          <w:rFonts w:cs="Arial"/>
          <w:sz w:val="22"/>
        </w:rPr>
        <w:t>Mise à jour.  Le mécanisme doit être régulièrement revue et mis à jour, par exemple en faisant référence à toute nouvelle directive statutaire, à tout changement de contrat ou de représentation.</w:t>
      </w:r>
    </w:p>
    <w:p w14:paraId="1BB391BA" w14:textId="77777777" w:rsidR="00871A3A" w:rsidRPr="007E3D1A" w:rsidRDefault="00871A3A" w:rsidP="00871A3A">
      <w:pPr>
        <w:rPr>
          <w:rFonts w:cs="Arial"/>
          <w:sz w:val="22"/>
        </w:rPr>
      </w:pPr>
    </w:p>
    <w:p w14:paraId="52EA3FAC" w14:textId="77777777" w:rsidR="00871A3A" w:rsidRPr="007E3D1A" w:rsidRDefault="00871A3A" w:rsidP="00871A3A">
      <w:pPr>
        <w:rPr>
          <w:rFonts w:cs="Arial"/>
          <w:sz w:val="22"/>
        </w:rPr>
      </w:pPr>
      <w:r w:rsidRPr="007E3D1A">
        <w:rPr>
          <w:rFonts w:cs="Arial"/>
          <w:sz w:val="22"/>
        </w:rPr>
        <w:t>Confidentialité. Le mécanisme doit garantir que les plaintes sont traitées de manière confidentielle.  Si les procédures spécifient que les plaintes doivent d'abord être adressées au supérieur hiérarchique, il doit également être possible de porter plainte en premier lieu auprès d'un autre responsable, par exemple le responsable des ressources humaines.</w:t>
      </w:r>
    </w:p>
    <w:p w14:paraId="7F997EAD" w14:textId="77777777" w:rsidR="00871A3A" w:rsidRPr="007E3D1A" w:rsidRDefault="00871A3A" w:rsidP="00871A3A">
      <w:pPr>
        <w:rPr>
          <w:rFonts w:cs="Arial"/>
          <w:sz w:val="22"/>
        </w:rPr>
      </w:pPr>
      <w:r w:rsidRPr="007E3D1A">
        <w:rPr>
          <w:rFonts w:cs="Arial"/>
          <w:sz w:val="22"/>
        </w:rPr>
        <w:t>Représailles.  Le mécanisme doit garantir que tout employé sera à l’abri de toutes formes de représailles.</w:t>
      </w:r>
    </w:p>
    <w:p w14:paraId="3E9DA0D8" w14:textId="77777777" w:rsidR="00871A3A" w:rsidRPr="007E3D1A" w:rsidRDefault="00871A3A" w:rsidP="00871A3A">
      <w:pPr>
        <w:rPr>
          <w:rFonts w:cs="Arial"/>
          <w:sz w:val="22"/>
        </w:rPr>
      </w:pPr>
    </w:p>
    <w:p w14:paraId="40304AD2" w14:textId="77777777" w:rsidR="00871A3A" w:rsidRPr="007E3D1A" w:rsidRDefault="00871A3A" w:rsidP="00871A3A">
      <w:pPr>
        <w:rPr>
          <w:rFonts w:cs="Arial"/>
          <w:sz w:val="22"/>
        </w:rPr>
      </w:pPr>
      <w:r w:rsidRPr="007E3D1A">
        <w:rPr>
          <w:rFonts w:cs="Arial"/>
          <w:sz w:val="22"/>
        </w:rPr>
        <w:t>Délais raisonnables.  Le mécanisme doit indiquer le temps requis pour examiner les plaintes de manière approfondie, mais doit aussi viser à une résolution rapide.  Plus la durée de la procédure est longue, plus il peut être difficile pour les deux parties de revenir à la normale par la suite.  Des délais doivent être fixés pour chaque étape de la procédure, par exemple, un délai maximum entre le moment où une plainte est communiquée et la tenue d'une réunion pour l'examiner.</w:t>
      </w:r>
    </w:p>
    <w:p w14:paraId="17B337A7" w14:textId="77777777" w:rsidR="00871A3A" w:rsidRPr="007E3D1A" w:rsidRDefault="00871A3A" w:rsidP="00871A3A">
      <w:pPr>
        <w:rPr>
          <w:rFonts w:cs="Arial"/>
          <w:sz w:val="22"/>
        </w:rPr>
      </w:pPr>
    </w:p>
    <w:p w14:paraId="516AC195" w14:textId="77777777" w:rsidR="00871A3A" w:rsidRPr="007E3D1A" w:rsidRDefault="00871A3A" w:rsidP="00871A3A">
      <w:pPr>
        <w:rPr>
          <w:rFonts w:cs="Arial"/>
          <w:sz w:val="22"/>
        </w:rPr>
      </w:pPr>
      <w:r w:rsidRPr="007E3D1A">
        <w:rPr>
          <w:rFonts w:cs="Arial"/>
          <w:sz w:val="22"/>
        </w:rPr>
        <w:t>Droit de recours. Un employé doit pouvoir faire appel auprès de la Banque mondiale ou des tribunaux nationaux, s'il n'est pas satisfait de la conclusion initiale.</w:t>
      </w:r>
    </w:p>
    <w:p w14:paraId="079148A6" w14:textId="77777777" w:rsidR="00871A3A" w:rsidRPr="007E3D1A" w:rsidRDefault="00871A3A" w:rsidP="00871A3A">
      <w:pPr>
        <w:rPr>
          <w:rFonts w:cs="Arial"/>
          <w:sz w:val="22"/>
        </w:rPr>
      </w:pPr>
      <w:r w:rsidRPr="007E3D1A">
        <w:rPr>
          <w:rFonts w:cs="Arial"/>
          <w:sz w:val="22"/>
        </w:rPr>
        <w:t>Droit d'être accompagné.  Lors de toute réunion ou audience, l’employé doit avoir le droit d'être accompagné par un collègue, un ami ou un représentant syndical.</w:t>
      </w:r>
    </w:p>
    <w:p w14:paraId="6B9CC1C6" w14:textId="77777777" w:rsidR="00871A3A" w:rsidRPr="007E3D1A" w:rsidRDefault="00871A3A" w:rsidP="00871A3A">
      <w:pPr>
        <w:rPr>
          <w:rFonts w:cs="Arial"/>
          <w:sz w:val="22"/>
        </w:rPr>
      </w:pPr>
    </w:p>
    <w:p w14:paraId="77C2AEFB" w14:textId="77777777" w:rsidR="00871A3A" w:rsidRPr="007E3D1A" w:rsidRDefault="00871A3A" w:rsidP="00871A3A">
      <w:pPr>
        <w:rPr>
          <w:rFonts w:cs="Arial"/>
          <w:sz w:val="22"/>
        </w:rPr>
      </w:pPr>
      <w:r w:rsidRPr="007E3D1A">
        <w:rPr>
          <w:rFonts w:cs="Arial"/>
          <w:sz w:val="22"/>
        </w:rPr>
        <w:t>Maintien d’un registre. Un registre écrit doit être tenu afin de documenter tous les stades de la gestion d’une plainte, notamment une copie de la plainte initiale, la réponse de l’Entreprise, les notes de toute réunion, les conclusions et les raisons de ces conclusions.  Tout dossier relatif à l’exploitation sexuelle ou l’abus sexuel doit être enregistré séparément et sous la plus stricte confidentialité.</w:t>
      </w:r>
    </w:p>
    <w:p w14:paraId="02BFBC50" w14:textId="77777777" w:rsidR="00871A3A" w:rsidRPr="007E3D1A" w:rsidRDefault="00871A3A" w:rsidP="00871A3A">
      <w:pPr>
        <w:rPr>
          <w:rFonts w:cs="Arial"/>
          <w:sz w:val="22"/>
        </w:rPr>
      </w:pPr>
    </w:p>
    <w:p w14:paraId="10A7F68C" w14:textId="77777777" w:rsidR="00871A3A" w:rsidRPr="007E3D1A" w:rsidRDefault="00871A3A" w:rsidP="00871A3A">
      <w:pPr>
        <w:rPr>
          <w:rFonts w:cs="Arial"/>
          <w:sz w:val="22"/>
        </w:rPr>
      </w:pPr>
      <w:r w:rsidRPr="007E3D1A">
        <w:rPr>
          <w:rFonts w:cs="Arial"/>
          <w:sz w:val="22"/>
        </w:rPr>
        <w:t>Relation avec les conventions collectives. Les procédures de réclamation doivent être conformes à toute convention collective.</w:t>
      </w:r>
    </w:p>
    <w:p w14:paraId="16AA1628" w14:textId="77777777" w:rsidR="00871A3A" w:rsidRPr="007E3D1A" w:rsidRDefault="00871A3A" w:rsidP="00871A3A">
      <w:pPr>
        <w:rPr>
          <w:rFonts w:cs="Arial"/>
          <w:sz w:val="22"/>
        </w:rPr>
      </w:pPr>
    </w:p>
    <w:p w14:paraId="1620B6FA" w14:textId="77777777" w:rsidR="00871A3A" w:rsidRPr="007E3D1A" w:rsidRDefault="00871A3A" w:rsidP="00871A3A">
      <w:pPr>
        <w:rPr>
          <w:rFonts w:cs="Arial"/>
          <w:sz w:val="22"/>
        </w:rPr>
      </w:pPr>
      <w:r w:rsidRPr="007E3D1A">
        <w:rPr>
          <w:rFonts w:cs="Arial"/>
          <w:sz w:val="22"/>
        </w:rPr>
        <w:t>Relation avec la réglementation. Le mécanisme de gestion des griefs doit être conforme avec le code national du travail.</w:t>
      </w:r>
    </w:p>
    <w:p w14:paraId="00186260" w14:textId="77777777" w:rsidR="00871A3A" w:rsidRPr="007E3D1A" w:rsidRDefault="00871A3A" w:rsidP="00871A3A">
      <w:pPr>
        <w:rPr>
          <w:rFonts w:cs="Arial"/>
          <w:sz w:val="22"/>
        </w:rPr>
      </w:pPr>
    </w:p>
    <w:p w14:paraId="4282B047" w14:textId="77777777" w:rsidR="00871A3A" w:rsidRPr="007E3D1A" w:rsidRDefault="00871A3A" w:rsidP="00871A3A">
      <w:pPr>
        <w:rPr>
          <w:rFonts w:cs="Arial"/>
          <w:sz w:val="22"/>
        </w:rPr>
      </w:pPr>
      <w:r w:rsidRPr="007E3D1A">
        <w:rPr>
          <w:rFonts w:cs="Arial"/>
          <w:sz w:val="22"/>
        </w:rPr>
        <w:t>Gestion de la Circulation Routière</w:t>
      </w:r>
    </w:p>
    <w:p w14:paraId="2AB15E80" w14:textId="77777777" w:rsidR="00871A3A" w:rsidRPr="007E3D1A" w:rsidRDefault="00871A3A" w:rsidP="00871A3A">
      <w:pPr>
        <w:rPr>
          <w:rFonts w:cs="Arial"/>
          <w:sz w:val="22"/>
        </w:rPr>
      </w:pPr>
    </w:p>
    <w:p w14:paraId="71831948" w14:textId="77777777" w:rsidR="00871A3A" w:rsidRPr="007E3D1A" w:rsidRDefault="00871A3A" w:rsidP="00871A3A">
      <w:pPr>
        <w:rPr>
          <w:rFonts w:cs="Arial"/>
          <w:sz w:val="22"/>
        </w:rPr>
      </w:pPr>
      <w:r w:rsidRPr="007E3D1A">
        <w:rPr>
          <w:rFonts w:cs="Arial"/>
          <w:sz w:val="22"/>
        </w:rPr>
        <w:t>L’Entreprise assurera la sécurité de la circulation de tout le personnel du projet pendant les déplacements vers et depuis le lieu de travail, et pendant l'exploitation des équipements du projet sur les routes privées ou publiques.  À ce titre, l’Entreprise doit appliquer les bonnes pratiques en matière de sécurité routière à l’ensemble de ses activités, afin de prévenir les accidents de la circulation et de réduire au minimum les blessures subies par le personnel du projet et le public</w:t>
      </w:r>
    </w:p>
    <w:p w14:paraId="4D6DD59E" w14:textId="77777777" w:rsidR="00871A3A" w:rsidRPr="007E3D1A" w:rsidRDefault="00871A3A" w:rsidP="00871A3A">
      <w:pPr>
        <w:rPr>
          <w:rFonts w:cs="Arial"/>
          <w:sz w:val="22"/>
        </w:rPr>
      </w:pPr>
    </w:p>
    <w:p w14:paraId="09A8EEFC" w14:textId="77777777" w:rsidR="00871A3A" w:rsidRPr="007E3D1A" w:rsidRDefault="00871A3A" w:rsidP="00871A3A">
      <w:pPr>
        <w:rPr>
          <w:rFonts w:cs="Arial"/>
          <w:sz w:val="22"/>
        </w:rPr>
      </w:pPr>
      <w:r w:rsidRPr="007E3D1A">
        <w:rPr>
          <w:rFonts w:cs="Arial"/>
          <w:sz w:val="22"/>
        </w:rPr>
        <w:t>Sécurité routière au niveau de l’Entreprise</w:t>
      </w:r>
    </w:p>
    <w:p w14:paraId="30E4F232" w14:textId="77777777" w:rsidR="00871A3A" w:rsidRPr="007E3D1A" w:rsidRDefault="00871A3A" w:rsidP="00871A3A">
      <w:pPr>
        <w:rPr>
          <w:rFonts w:cs="Arial"/>
          <w:sz w:val="22"/>
        </w:rPr>
      </w:pPr>
    </w:p>
    <w:p w14:paraId="5A2C27ED" w14:textId="77777777" w:rsidR="00871A3A" w:rsidRPr="007E3D1A" w:rsidRDefault="00871A3A" w:rsidP="00871A3A">
      <w:pPr>
        <w:rPr>
          <w:rFonts w:cs="Arial"/>
          <w:sz w:val="22"/>
        </w:rPr>
      </w:pPr>
      <w:r w:rsidRPr="007E3D1A">
        <w:rPr>
          <w:rFonts w:cs="Arial"/>
          <w:sz w:val="22"/>
        </w:rPr>
        <w:t>L’Entreprise doit :</w:t>
      </w:r>
    </w:p>
    <w:p w14:paraId="6B049F0A" w14:textId="77777777" w:rsidR="00871A3A" w:rsidRPr="007E3D1A" w:rsidRDefault="00871A3A" w:rsidP="00871A3A">
      <w:pPr>
        <w:rPr>
          <w:rFonts w:cs="Arial"/>
          <w:sz w:val="22"/>
        </w:rPr>
      </w:pPr>
    </w:p>
    <w:p w14:paraId="2B562AB6" w14:textId="77777777" w:rsidR="00871A3A" w:rsidRPr="007E3D1A" w:rsidRDefault="00871A3A" w:rsidP="00871A3A">
      <w:pPr>
        <w:rPr>
          <w:rFonts w:cs="Arial"/>
          <w:sz w:val="22"/>
        </w:rPr>
      </w:pPr>
      <w:r w:rsidRPr="007E3D1A">
        <w:rPr>
          <w:rFonts w:cs="Arial"/>
          <w:sz w:val="22"/>
        </w:rPr>
        <w:t>Exiger le permis de conduire pour toute personne conduisant un véhicule de l’Entreprise</w:t>
      </w:r>
    </w:p>
    <w:p w14:paraId="23B14722" w14:textId="77777777" w:rsidR="00871A3A" w:rsidRPr="007E3D1A" w:rsidRDefault="00871A3A" w:rsidP="00871A3A">
      <w:pPr>
        <w:rPr>
          <w:rFonts w:cs="Arial"/>
          <w:sz w:val="22"/>
        </w:rPr>
      </w:pPr>
      <w:r w:rsidRPr="007E3D1A">
        <w:rPr>
          <w:rFonts w:cs="Arial"/>
          <w:sz w:val="22"/>
        </w:rPr>
        <w:t>Former tous les conducteurs de l’Entreprise à la conduite préventive avant qu’ils ne commencent leur travail ;</w:t>
      </w:r>
    </w:p>
    <w:p w14:paraId="6302B3F9" w14:textId="77777777" w:rsidR="00871A3A" w:rsidRPr="007E3D1A" w:rsidRDefault="00871A3A" w:rsidP="00871A3A">
      <w:pPr>
        <w:rPr>
          <w:rFonts w:cs="Arial"/>
          <w:sz w:val="22"/>
        </w:rPr>
      </w:pPr>
      <w:r w:rsidRPr="007E3D1A">
        <w:rPr>
          <w:rFonts w:cs="Arial"/>
          <w:sz w:val="22"/>
        </w:rPr>
        <w:t>Adopter des limites pour la durée des trajets et établir un suivi documenté des conducteurs pour éviter la fatigue excessive ;</w:t>
      </w:r>
    </w:p>
    <w:p w14:paraId="79BF4260" w14:textId="77777777" w:rsidR="00871A3A" w:rsidRPr="007E3D1A" w:rsidRDefault="00871A3A" w:rsidP="00871A3A">
      <w:pPr>
        <w:rPr>
          <w:rFonts w:cs="Arial"/>
          <w:sz w:val="22"/>
        </w:rPr>
      </w:pPr>
      <w:r w:rsidRPr="007E3D1A">
        <w:rPr>
          <w:rFonts w:cs="Arial"/>
          <w:sz w:val="22"/>
        </w:rPr>
        <w:t>Éviter les itinéraires et les moments dangereux de la journée pour réduire le risque d'accident</w:t>
      </w:r>
    </w:p>
    <w:p w14:paraId="396264CC" w14:textId="77777777" w:rsidR="00871A3A" w:rsidRPr="007E3D1A" w:rsidRDefault="00871A3A" w:rsidP="00871A3A">
      <w:pPr>
        <w:rPr>
          <w:rFonts w:cs="Arial"/>
          <w:sz w:val="22"/>
        </w:rPr>
      </w:pPr>
      <w:r w:rsidRPr="007E3D1A">
        <w:rPr>
          <w:rFonts w:cs="Arial"/>
          <w:sz w:val="22"/>
        </w:rPr>
        <w:t>Utiliser des dispositifs de contrôle de la vitesse (régulateurs) sur les camions, et des dispositifs de surveillance à distance des actions des conducteurs ;</w:t>
      </w:r>
    </w:p>
    <w:p w14:paraId="0EC1ACC5" w14:textId="77777777" w:rsidR="00871A3A" w:rsidRPr="007E3D1A" w:rsidRDefault="00871A3A" w:rsidP="00871A3A">
      <w:pPr>
        <w:rPr>
          <w:rFonts w:cs="Arial"/>
          <w:sz w:val="22"/>
        </w:rPr>
      </w:pPr>
      <w:r w:rsidRPr="007E3D1A">
        <w:rPr>
          <w:rFonts w:cs="Arial"/>
          <w:sz w:val="22"/>
        </w:rPr>
        <w:t>Exiger le port de la ceinture de sécurité par les conducteurs et les passagers.  Les contrevenants seront sanctionnés ;</w:t>
      </w:r>
    </w:p>
    <w:p w14:paraId="370DC00F" w14:textId="77777777" w:rsidR="00871A3A" w:rsidRPr="007E3D1A" w:rsidRDefault="00871A3A" w:rsidP="00871A3A">
      <w:pPr>
        <w:rPr>
          <w:rFonts w:cs="Arial"/>
          <w:sz w:val="22"/>
        </w:rPr>
      </w:pPr>
      <w:r w:rsidRPr="007E3D1A">
        <w:rPr>
          <w:rFonts w:cs="Arial"/>
          <w:sz w:val="22"/>
        </w:rPr>
        <w:t>Entretenir régulièrement les véhicules, et utiliser de pièces approuvées par le constructeur afin de réduire au minimum les accidents potentiellement graves causés par un mauvais fonctionnement ou une défaillance prématurée des équipements ;</w:t>
      </w:r>
    </w:p>
    <w:p w14:paraId="258DC5A9" w14:textId="77777777" w:rsidR="00871A3A" w:rsidRPr="007E3D1A" w:rsidRDefault="00871A3A" w:rsidP="00871A3A">
      <w:pPr>
        <w:rPr>
          <w:rFonts w:cs="Arial"/>
          <w:sz w:val="22"/>
        </w:rPr>
      </w:pPr>
      <w:r w:rsidRPr="007E3D1A">
        <w:rPr>
          <w:rFonts w:cs="Arial"/>
          <w:sz w:val="22"/>
        </w:rPr>
        <w:t>Se conformer aux prescriptions du code de la route en vigueur en RDC, notamment en ce qui concerne le poids des véhicules en charge ;</w:t>
      </w:r>
    </w:p>
    <w:p w14:paraId="4AE49F70" w14:textId="77777777" w:rsidR="00871A3A" w:rsidRPr="007E3D1A" w:rsidRDefault="00871A3A" w:rsidP="00871A3A">
      <w:pPr>
        <w:rPr>
          <w:rFonts w:cs="Arial"/>
          <w:sz w:val="22"/>
        </w:rPr>
      </w:pPr>
      <w:r w:rsidRPr="007E3D1A">
        <w:rPr>
          <w:rFonts w:cs="Arial"/>
          <w:sz w:val="22"/>
        </w:rPr>
        <w:t>Limiter l’accès au chantier aux matériels strictement indispensables ;</w:t>
      </w:r>
    </w:p>
    <w:p w14:paraId="3FC56A9F" w14:textId="77777777" w:rsidR="00871A3A" w:rsidRPr="007E3D1A" w:rsidRDefault="00871A3A" w:rsidP="00871A3A">
      <w:pPr>
        <w:rPr>
          <w:rFonts w:cs="Arial"/>
          <w:sz w:val="22"/>
        </w:rPr>
      </w:pPr>
      <w:r w:rsidRPr="007E3D1A">
        <w:rPr>
          <w:rFonts w:cs="Arial"/>
          <w:sz w:val="22"/>
        </w:rPr>
        <w:t>Interdire de circuler avec des engins de chantier en dehors des accès, des lieux de passage désignés et des aires de travail ;</w:t>
      </w:r>
    </w:p>
    <w:p w14:paraId="139834EC" w14:textId="77777777" w:rsidR="00871A3A" w:rsidRPr="007E3D1A" w:rsidRDefault="00871A3A" w:rsidP="00871A3A">
      <w:pPr>
        <w:rPr>
          <w:rFonts w:cs="Arial"/>
          <w:sz w:val="22"/>
        </w:rPr>
      </w:pPr>
      <w:r w:rsidRPr="007E3D1A">
        <w:rPr>
          <w:rFonts w:cs="Arial"/>
          <w:sz w:val="22"/>
        </w:rPr>
        <w:t>Limiter de manière rigoureuse la vitesse pour tous les véhicules de chantier circulant sur la voie publique, avec un maximum de 60 km/h en rase campagne et 40 km/h au niveau des agglomérations et à la traversée des villages.  Les conducteurs dépassant ces limites feront l’objet de mesures disciplinaires pouvant aller jusqu’au licenciement ; et</w:t>
      </w:r>
    </w:p>
    <w:p w14:paraId="51330F6F" w14:textId="77777777" w:rsidR="00871A3A" w:rsidRPr="007E3D1A" w:rsidRDefault="00871A3A" w:rsidP="00871A3A">
      <w:pPr>
        <w:rPr>
          <w:rFonts w:cs="Arial"/>
          <w:sz w:val="22"/>
        </w:rPr>
      </w:pPr>
      <w:r w:rsidRPr="007E3D1A">
        <w:rPr>
          <w:rFonts w:cs="Arial"/>
          <w:sz w:val="22"/>
        </w:rPr>
        <w:t>Éviter toute circulation lourde et toute surcharge lors du démantèlement d’ouvrages en milieux instables afin de ne pas accentuer l’instabilité du sol.</w:t>
      </w:r>
    </w:p>
    <w:p w14:paraId="2EE3FD07" w14:textId="77777777" w:rsidR="00871A3A" w:rsidRPr="007E3D1A" w:rsidRDefault="00871A3A" w:rsidP="00871A3A">
      <w:pPr>
        <w:rPr>
          <w:rFonts w:cs="Arial"/>
          <w:sz w:val="22"/>
        </w:rPr>
      </w:pPr>
    </w:p>
    <w:p w14:paraId="7B6EB800" w14:textId="77777777" w:rsidR="00871A3A" w:rsidRPr="007E3D1A" w:rsidRDefault="00871A3A" w:rsidP="00871A3A">
      <w:pPr>
        <w:rPr>
          <w:rFonts w:cs="Arial"/>
          <w:sz w:val="22"/>
        </w:rPr>
      </w:pPr>
      <w:r w:rsidRPr="007E3D1A">
        <w:rPr>
          <w:rFonts w:cs="Arial"/>
          <w:sz w:val="22"/>
        </w:rPr>
        <w:t>Sécurité routière des communautés</w:t>
      </w:r>
    </w:p>
    <w:p w14:paraId="6195DC9F" w14:textId="77777777" w:rsidR="00871A3A" w:rsidRPr="007E3D1A" w:rsidRDefault="00871A3A" w:rsidP="00871A3A">
      <w:pPr>
        <w:rPr>
          <w:rFonts w:cs="Arial"/>
          <w:sz w:val="22"/>
        </w:rPr>
      </w:pPr>
    </w:p>
    <w:p w14:paraId="4D3DAD15" w14:textId="77777777" w:rsidR="00871A3A" w:rsidRPr="007E3D1A" w:rsidRDefault="00871A3A" w:rsidP="00871A3A">
      <w:pPr>
        <w:rPr>
          <w:rFonts w:cs="Arial"/>
          <w:sz w:val="22"/>
        </w:rPr>
      </w:pPr>
      <w:r w:rsidRPr="007E3D1A">
        <w:rPr>
          <w:rFonts w:cs="Arial"/>
          <w:sz w:val="22"/>
        </w:rPr>
        <w:t>L’Entreprise doit :</w:t>
      </w:r>
    </w:p>
    <w:p w14:paraId="5225D8FE" w14:textId="77777777" w:rsidR="00871A3A" w:rsidRPr="007E3D1A" w:rsidRDefault="00871A3A" w:rsidP="00871A3A">
      <w:pPr>
        <w:rPr>
          <w:rFonts w:cs="Arial"/>
          <w:sz w:val="22"/>
        </w:rPr>
      </w:pPr>
    </w:p>
    <w:p w14:paraId="1102645D" w14:textId="77777777" w:rsidR="00871A3A" w:rsidRPr="007E3D1A" w:rsidRDefault="00871A3A" w:rsidP="00871A3A">
      <w:pPr>
        <w:rPr>
          <w:rFonts w:cs="Arial"/>
          <w:sz w:val="22"/>
        </w:rPr>
      </w:pPr>
      <w:r w:rsidRPr="007E3D1A">
        <w:rPr>
          <w:rFonts w:cs="Arial"/>
          <w:sz w:val="22"/>
        </w:rPr>
        <w:t>Ajuster faire approuver par le Maître d’Ouvrage délégué l'horaire et l'itinéraire des véhicules lourds qui doivent traverser des zones d'habitation, de façon à réduire les nuisances (bruit, poussière, et congestion) ;</w:t>
      </w:r>
    </w:p>
    <w:p w14:paraId="23D10054" w14:textId="77777777" w:rsidR="00871A3A" w:rsidRPr="007E3D1A" w:rsidRDefault="00871A3A" w:rsidP="00871A3A">
      <w:pPr>
        <w:rPr>
          <w:rFonts w:cs="Arial"/>
          <w:sz w:val="22"/>
        </w:rPr>
      </w:pPr>
      <w:r w:rsidRPr="007E3D1A">
        <w:rPr>
          <w:rFonts w:cs="Arial"/>
          <w:sz w:val="22"/>
        </w:rPr>
        <w:t>Réduire au minimum les interactions entre les piétons et les véhicules du chantier, en particulier au niveau des écoles et des marchés, grâce à une signalisation appropriée, des sentiers aménagés, ou des dispositifs de ralentissement de la circulation tels les dos d’ânes ;</w:t>
      </w:r>
    </w:p>
    <w:p w14:paraId="2406675E" w14:textId="77777777" w:rsidR="00871A3A" w:rsidRPr="007E3D1A" w:rsidRDefault="00871A3A" w:rsidP="00871A3A">
      <w:pPr>
        <w:rPr>
          <w:rFonts w:cs="Arial"/>
          <w:sz w:val="22"/>
        </w:rPr>
      </w:pPr>
      <w:r w:rsidRPr="007E3D1A">
        <w:rPr>
          <w:rFonts w:cs="Arial"/>
          <w:sz w:val="22"/>
        </w:rPr>
        <w:t>Collaborer avec les communautés voisines et les autorités responsables afin d’améliorer la signalisation, la visibilité de la circulation routière, et la sécurité générale des routes d'accès, en particulier le long des tronçons situés près des écoles ou d'autres endroits où les enfants peuvent être présents ;</w:t>
      </w:r>
    </w:p>
    <w:p w14:paraId="24B83440" w14:textId="77777777" w:rsidR="00871A3A" w:rsidRPr="007E3D1A" w:rsidRDefault="00871A3A" w:rsidP="00871A3A">
      <w:pPr>
        <w:rPr>
          <w:rFonts w:cs="Arial"/>
          <w:sz w:val="22"/>
        </w:rPr>
      </w:pPr>
      <w:r w:rsidRPr="007E3D1A">
        <w:rPr>
          <w:rFonts w:cs="Arial"/>
          <w:sz w:val="22"/>
        </w:rPr>
        <w:t>Utiliser des mesures de contrôle de la circulation sécuritaires, notamment des panneaux de signalisation et des porteurs de drapeaux pour avertir des conditions dangereuses ;</w:t>
      </w:r>
    </w:p>
    <w:p w14:paraId="49B95071" w14:textId="77777777" w:rsidR="00871A3A" w:rsidRPr="007E3D1A" w:rsidRDefault="00871A3A" w:rsidP="00871A3A">
      <w:pPr>
        <w:rPr>
          <w:rFonts w:cs="Arial"/>
          <w:sz w:val="22"/>
        </w:rPr>
      </w:pPr>
      <w:r w:rsidRPr="007E3D1A">
        <w:rPr>
          <w:rFonts w:cs="Arial"/>
          <w:sz w:val="22"/>
        </w:rPr>
        <w:t>Éviter d’obstruer les accès publics, afin de maintenir en permanence la circulation et l’accès des riverains en cours de travaux ;</w:t>
      </w:r>
    </w:p>
    <w:p w14:paraId="654FED0B" w14:textId="77777777" w:rsidR="00871A3A" w:rsidRPr="007E3D1A" w:rsidRDefault="00871A3A" w:rsidP="00871A3A">
      <w:pPr>
        <w:rPr>
          <w:rFonts w:cs="Arial"/>
          <w:sz w:val="22"/>
        </w:rPr>
      </w:pPr>
      <w:r w:rsidRPr="007E3D1A">
        <w:rPr>
          <w:rFonts w:cs="Arial"/>
          <w:sz w:val="22"/>
        </w:rPr>
        <w:t>Identifier avec le Maître d'Ouvrage délégué et les autorités locales les dispositions requises pour maintenir l’accès par les services publics tels la police, les pompiers, et les ambulances ;</w:t>
      </w:r>
    </w:p>
    <w:p w14:paraId="4645B1B6" w14:textId="77777777" w:rsidR="00871A3A" w:rsidRPr="007E3D1A" w:rsidRDefault="00871A3A" w:rsidP="00871A3A">
      <w:pPr>
        <w:rPr>
          <w:rFonts w:cs="Arial"/>
          <w:sz w:val="22"/>
        </w:rPr>
      </w:pPr>
      <w:r w:rsidRPr="007E3D1A">
        <w:rPr>
          <w:rFonts w:cs="Arial"/>
          <w:sz w:val="22"/>
        </w:rPr>
        <w:t>Assurer l’accès aux propriétés riveraines, ainsi que la jouissance des entrées charretières et piétonnes, des vitrines d’exposition, au moyen de ponts provisoires ou passerelles munis de garde-corps, placés au-dessus des tranchées ou autres obstacles créés par les travaux ;</w:t>
      </w:r>
    </w:p>
    <w:p w14:paraId="7ABF7079" w14:textId="77777777" w:rsidR="00871A3A" w:rsidRPr="007E3D1A" w:rsidRDefault="00871A3A" w:rsidP="00871A3A">
      <w:pPr>
        <w:rPr>
          <w:rFonts w:cs="Arial"/>
          <w:sz w:val="22"/>
        </w:rPr>
      </w:pPr>
      <w:r w:rsidRPr="007E3D1A">
        <w:rPr>
          <w:rFonts w:cs="Arial"/>
          <w:sz w:val="22"/>
        </w:rPr>
        <w:t>Veiller à ce qu’aucune fouille ou tranchée ne reste ouverte la nuit, sans signalisation adéquate acceptée par le Maître d’Ouvrage délégué ;</w:t>
      </w:r>
    </w:p>
    <w:p w14:paraId="1D4ADE9A" w14:textId="77777777" w:rsidR="00871A3A" w:rsidRPr="007E3D1A" w:rsidRDefault="00871A3A" w:rsidP="00871A3A">
      <w:pPr>
        <w:rPr>
          <w:rFonts w:cs="Arial"/>
          <w:sz w:val="22"/>
        </w:rPr>
      </w:pPr>
      <w:r w:rsidRPr="007E3D1A">
        <w:rPr>
          <w:rFonts w:cs="Arial"/>
          <w:sz w:val="22"/>
        </w:rPr>
        <w:t>Veiller à ce que les déviations provisoires permettent une circulation facile et sans danger ; et</w:t>
      </w:r>
    </w:p>
    <w:p w14:paraId="5C4A6B2C" w14:textId="77777777" w:rsidR="00871A3A" w:rsidRPr="007E3D1A" w:rsidRDefault="00871A3A" w:rsidP="00871A3A">
      <w:pPr>
        <w:rPr>
          <w:rFonts w:cs="Arial"/>
          <w:sz w:val="22"/>
        </w:rPr>
      </w:pPr>
      <w:r w:rsidRPr="007E3D1A">
        <w:rPr>
          <w:rFonts w:cs="Arial"/>
          <w:sz w:val="22"/>
        </w:rPr>
        <w:t>Obtenir l’accord préalable des autorités avant d’utiliser des routes locales comme route de déviation. L’entreprise doit maintenir ces routes locales afin d’éviter leur dégradation prématurée, et les remettre à leur état original à la fin des travaux.</w:t>
      </w:r>
    </w:p>
    <w:p w14:paraId="2DFE5DCA" w14:textId="77777777" w:rsidR="00871A3A" w:rsidRPr="007E3D1A" w:rsidRDefault="00871A3A" w:rsidP="00871A3A">
      <w:pPr>
        <w:rPr>
          <w:rFonts w:cs="Arial"/>
          <w:sz w:val="22"/>
        </w:rPr>
      </w:pPr>
    </w:p>
    <w:p w14:paraId="1260C9F4" w14:textId="77777777" w:rsidR="00871A3A" w:rsidRPr="007E3D1A" w:rsidRDefault="00871A3A" w:rsidP="00871A3A">
      <w:pPr>
        <w:rPr>
          <w:rFonts w:cs="Arial"/>
          <w:sz w:val="22"/>
        </w:rPr>
      </w:pPr>
      <w:r w:rsidRPr="007E3D1A">
        <w:rPr>
          <w:rFonts w:cs="Arial"/>
          <w:sz w:val="22"/>
        </w:rPr>
        <w:t>Préparation et Réponse aux Urgences</w:t>
      </w:r>
    </w:p>
    <w:p w14:paraId="263058A1" w14:textId="77777777" w:rsidR="00871A3A" w:rsidRPr="007E3D1A" w:rsidRDefault="00871A3A" w:rsidP="00871A3A">
      <w:pPr>
        <w:rPr>
          <w:rFonts w:cs="Arial"/>
          <w:sz w:val="22"/>
        </w:rPr>
      </w:pPr>
    </w:p>
    <w:p w14:paraId="27C4DACD" w14:textId="77777777" w:rsidR="00871A3A" w:rsidRPr="007E3D1A" w:rsidRDefault="00871A3A" w:rsidP="00871A3A">
      <w:pPr>
        <w:rPr>
          <w:rFonts w:cs="Arial"/>
          <w:sz w:val="22"/>
        </w:rPr>
      </w:pPr>
      <w:r w:rsidRPr="007E3D1A">
        <w:rPr>
          <w:rFonts w:cs="Arial"/>
          <w:sz w:val="22"/>
        </w:rPr>
        <w:t>L’Entreprise doit :</w:t>
      </w:r>
    </w:p>
    <w:p w14:paraId="460ABACC" w14:textId="77777777" w:rsidR="00871A3A" w:rsidRPr="007E3D1A" w:rsidRDefault="00871A3A" w:rsidP="00871A3A">
      <w:pPr>
        <w:rPr>
          <w:rFonts w:cs="Arial"/>
          <w:sz w:val="22"/>
        </w:rPr>
      </w:pPr>
    </w:p>
    <w:p w14:paraId="24ACF329" w14:textId="77777777" w:rsidR="00871A3A" w:rsidRPr="007E3D1A" w:rsidRDefault="00871A3A" w:rsidP="00871A3A">
      <w:pPr>
        <w:rPr>
          <w:rFonts w:cs="Arial"/>
          <w:sz w:val="22"/>
        </w:rPr>
      </w:pPr>
      <w:r w:rsidRPr="007E3D1A">
        <w:rPr>
          <w:rFonts w:cs="Arial"/>
          <w:sz w:val="22"/>
        </w:rPr>
        <w:t>Préparer et mettre en œuvre un Plan de réponse aux situations d'urgence, en collaboration avec les tiers appropriés et pertinents.</w:t>
      </w:r>
    </w:p>
    <w:p w14:paraId="19F93793" w14:textId="77777777" w:rsidR="00871A3A" w:rsidRPr="007E3D1A" w:rsidRDefault="00871A3A" w:rsidP="00871A3A">
      <w:pPr>
        <w:rPr>
          <w:rFonts w:cs="Arial"/>
          <w:sz w:val="22"/>
        </w:rPr>
      </w:pPr>
    </w:p>
    <w:p w14:paraId="08D5C76A" w14:textId="77777777" w:rsidR="00871A3A" w:rsidRPr="007E3D1A" w:rsidRDefault="00871A3A" w:rsidP="00871A3A">
      <w:pPr>
        <w:rPr>
          <w:rFonts w:cs="Arial"/>
          <w:sz w:val="22"/>
        </w:rPr>
      </w:pPr>
      <w:r w:rsidRPr="007E3D1A">
        <w:rPr>
          <w:rFonts w:cs="Arial"/>
          <w:sz w:val="22"/>
        </w:rPr>
        <w:t>Le plan couvrira : (i) les situations d'urgence qui pourraient affecter le personnel et le chantier, (ii) la nécessité de protéger la santé et la sécurité des ouvriers du projet, et (iii) la nécessité de protéger la santé et la sécurité des communautés voisines.  Il doit plus particulièrement inclure :</w:t>
      </w:r>
    </w:p>
    <w:p w14:paraId="0C4FEC27" w14:textId="77777777" w:rsidR="00871A3A" w:rsidRPr="007E3D1A" w:rsidRDefault="00871A3A" w:rsidP="00871A3A">
      <w:pPr>
        <w:rPr>
          <w:rFonts w:cs="Arial"/>
          <w:sz w:val="22"/>
        </w:rPr>
      </w:pPr>
    </w:p>
    <w:p w14:paraId="712341F2" w14:textId="77777777" w:rsidR="00871A3A" w:rsidRPr="007E3D1A" w:rsidRDefault="00871A3A" w:rsidP="00871A3A">
      <w:pPr>
        <w:rPr>
          <w:rFonts w:cs="Arial"/>
          <w:sz w:val="22"/>
        </w:rPr>
      </w:pPr>
      <w:r w:rsidRPr="007E3D1A">
        <w:rPr>
          <w:rFonts w:cs="Arial"/>
          <w:sz w:val="22"/>
        </w:rPr>
        <w:t>L'identification des scénarios d'urgence ;</w:t>
      </w:r>
    </w:p>
    <w:p w14:paraId="70A5E070" w14:textId="77777777" w:rsidR="00871A3A" w:rsidRPr="007E3D1A" w:rsidRDefault="00871A3A" w:rsidP="00871A3A">
      <w:pPr>
        <w:rPr>
          <w:rFonts w:cs="Arial"/>
          <w:sz w:val="22"/>
        </w:rPr>
      </w:pPr>
      <w:r w:rsidRPr="007E3D1A">
        <w:rPr>
          <w:rFonts w:cs="Arial"/>
          <w:sz w:val="22"/>
        </w:rPr>
        <w:t>Des procédures spécifiques d'intervention en cas d'urgence ;</w:t>
      </w:r>
    </w:p>
    <w:p w14:paraId="26A02EE3" w14:textId="77777777" w:rsidR="00871A3A" w:rsidRPr="007E3D1A" w:rsidRDefault="00871A3A" w:rsidP="00871A3A">
      <w:pPr>
        <w:rPr>
          <w:rFonts w:cs="Arial"/>
          <w:sz w:val="22"/>
        </w:rPr>
      </w:pPr>
      <w:r w:rsidRPr="007E3D1A">
        <w:rPr>
          <w:rFonts w:cs="Arial"/>
          <w:sz w:val="22"/>
        </w:rPr>
        <w:t>La formation préalable des équipes d'intervention ;</w:t>
      </w:r>
    </w:p>
    <w:p w14:paraId="6A337A3A" w14:textId="77777777" w:rsidR="00871A3A" w:rsidRPr="007E3D1A" w:rsidRDefault="00871A3A" w:rsidP="00871A3A">
      <w:pPr>
        <w:rPr>
          <w:rFonts w:cs="Arial"/>
          <w:sz w:val="22"/>
        </w:rPr>
      </w:pPr>
      <w:r w:rsidRPr="007E3D1A">
        <w:rPr>
          <w:rFonts w:cs="Arial"/>
          <w:sz w:val="22"/>
        </w:rPr>
        <w:t>Les contacts d'urgence et systèmes/protocoles de communication (y compris la communication avec les communautés voisines si nécessaire) ;</w:t>
      </w:r>
    </w:p>
    <w:p w14:paraId="53E4F303" w14:textId="77777777" w:rsidR="00871A3A" w:rsidRPr="007E3D1A" w:rsidRDefault="00871A3A" w:rsidP="00871A3A">
      <w:pPr>
        <w:rPr>
          <w:rFonts w:cs="Arial"/>
          <w:sz w:val="22"/>
        </w:rPr>
      </w:pPr>
      <w:r w:rsidRPr="007E3D1A">
        <w:rPr>
          <w:rFonts w:cs="Arial"/>
          <w:sz w:val="22"/>
        </w:rPr>
        <w:t>Des procédures d'interaction avec les autorités gouvernementales (autorités d'urgence, sanitaires ou environnementales) ;</w:t>
      </w:r>
    </w:p>
    <w:p w14:paraId="114BA22B" w14:textId="77777777" w:rsidR="00871A3A" w:rsidRPr="007E3D1A" w:rsidRDefault="00871A3A" w:rsidP="00871A3A">
      <w:pPr>
        <w:rPr>
          <w:rFonts w:cs="Arial"/>
          <w:sz w:val="22"/>
        </w:rPr>
      </w:pPr>
      <w:r w:rsidRPr="007E3D1A">
        <w:rPr>
          <w:rFonts w:cs="Arial"/>
          <w:sz w:val="22"/>
        </w:rPr>
        <w:t>L’identification des itinéraires d'évacuation et des points de rassemblement ;</w:t>
      </w:r>
    </w:p>
    <w:p w14:paraId="1D990A90" w14:textId="77777777" w:rsidR="00871A3A" w:rsidRPr="007E3D1A" w:rsidRDefault="00871A3A" w:rsidP="00871A3A">
      <w:pPr>
        <w:rPr>
          <w:rFonts w:cs="Arial"/>
          <w:sz w:val="22"/>
        </w:rPr>
      </w:pPr>
      <w:r w:rsidRPr="007E3D1A">
        <w:rPr>
          <w:rFonts w:cs="Arial"/>
          <w:sz w:val="22"/>
        </w:rPr>
        <w:t>Des exercices de préparation pour les urgences, selon une périodicité qui est fonction des niveaux d'urgence attribués ; et</w:t>
      </w:r>
    </w:p>
    <w:p w14:paraId="1336FFF8" w14:textId="77777777" w:rsidR="00871A3A" w:rsidRPr="007E3D1A" w:rsidRDefault="00871A3A" w:rsidP="00871A3A">
      <w:pPr>
        <w:rPr>
          <w:rFonts w:cs="Arial"/>
          <w:sz w:val="22"/>
        </w:rPr>
      </w:pPr>
      <w:r w:rsidRPr="007E3D1A">
        <w:rPr>
          <w:rFonts w:cs="Arial"/>
          <w:sz w:val="22"/>
        </w:rPr>
        <w:t>Des procédures de décontamination et un protocole pour déployer les mesures correctives urgentes afin de contenir, limiter et réduire la pollution dans les limites physiques des chantiers.</w:t>
      </w:r>
    </w:p>
    <w:p w14:paraId="400695C6" w14:textId="77777777" w:rsidR="00871A3A" w:rsidRPr="007E3D1A" w:rsidRDefault="00871A3A" w:rsidP="00871A3A">
      <w:pPr>
        <w:rPr>
          <w:rFonts w:cs="Arial"/>
          <w:sz w:val="22"/>
        </w:rPr>
      </w:pPr>
    </w:p>
    <w:p w14:paraId="57ACAE1C" w14:textId="77777777" w:rsidR="00871A3A" w:rsidRPr="007E3D1A" w:rsidRDefault="00871A3A" w:rsidP="00871A3A">
      <w:pPr>
        <w:rPr>
          <w:rFonts w:cs="Arial"/>
          <w:sz w:val="22"/>
        </w:rPr>
      </w:pPr>
      <w:r w:rsidRPr="007E3D1A">
        <w:rPr>
          <w:rFonts w:cs="Arial"/>
          <w:sz w:val="22"/>
        </w:rPr>
        <w:t>Sécurité Extérieure des Chantiers, Installations, et des Personnes</w:t>
      </w:r>
    </w:p>
    <w:p w14:paraId="16A05891" w14:textId="77777777" w:rsidR="00871A3A" w:rsidRPr="007E3D1A" w:rsidRDefault="00871A3A" w:rsidP="00871A3A">
      <w:pPr>
        <w:rPr>
          <w:rFonts w:cs="Arial"/>
          <w:sz w:val="22"/>
        </w:rPr>
      </w:pPr>
    </w:p>
    <w:p w14:paraId="207277D6" w14:textId="77777777" w:rsidR="00871A3A" w:rsidRPr="007E3D1A" w:rsidRDefault="00871A3A" w:rsidP="00871A3A">
      <w:pPr>
        <w:rPr>
          <w:rFonts w:cs="Arial"/>
          <w:sz w:val="22"/>
        </w:rPr>
      </w:pPr>
      <w:r w:rsidRPr="007E3D1A">
        <w:rPr>
          <w:rFonts w:cs="Arial"/>
          <w:sz w:val="22"/>
        </w:rPr>
        <w:t>De manière complémentaire au Plan d’urgence ci-dessus, chaque Entreprise doit préparer un Plan de sécurité qui couvrira les rubriques suivantes :</w:t>
      </w:r>
    </w:p>
    <w:p w14:paraId="626C1951" w14:textId="77777777" w:rsidR="00871A3A" w:rsidRPr="007E3D1A" w:rsidRDefault="00871A3A" w:rsidP="00871A3A">
      <w:pPr>
        <w:rPr>
          <w:rFonts w:cs="Arial"/>
          <w:sz w:val="22"/>
        </w:rPr>
      </w:pPr>
    </w:p>
    <w:p w14:paraId="68142AB0" w14:textId="77777777" w:rsidR="00871A3A" w:rsidRPr="007E3D1A" w:rsidRDefault="00871A3A" w:rsidP="00871A3A">
      <w:pPr>
        <w:rPr>
          <w:rFonts w:cs="Arial"/>
          <w:sz w:val="22"/>
        </w:rPr>
      </w:pPr>
      <w:r w:rsidRPr="007E3D1A">
        <w:rPr>
          <w:rFonts w:cs="Arial"/>
          <w:sz w:val="22"/>
        </w:rPr>
        <w:t>Principes appliqués ;</w:t>
      </w:r>
    </w:p>
    <w:p w14:paraId="68B6A236" w14:textId="77777777" w:rsidR="00871A3A" w:rsidRPr="007E3D1A" w:rsidRDefault="00871A3A" w:rsidP="00871A3A">
      <w:pPr>
        <w:rPr>
          <w:rFonts w:cs="Arial"/>
          <w:sz w:val="22"/>
        </w:rPr>
      </w:pPr>
      <w:r w:rsidRPr="007E3D1A">
        <w:rPr>
          <w:rFonts w:cs="Arial"/>
          <w:sz w:val="22"/>
        </w:rPr>
        <w:t>Aperçu de l'environnement opérationnel ;</w:t>
      </w:r>
    </w:p>
    <w:p w14:paraId="4179F09F" w14:textId="77777777" w:rsidR="00871A3A" w:rsidRPr="007E3D1A" w:rsidRDefault="00871A3A" w:rsidP="00871A3A">
      <w:pPr>
        <w:rPr>
          <w:rFonts w:cs="Arial"/>
          <w:sz w:val="22"/>
        </w:rPr>
      </w:pPr>
      <w:r w:rsidRPr="007E3D1A">
        <w:rPr>
          <w:rFonts w:cs="Arial"/>
          <w:sz w:val="22"/>
        </w:rPr>
        <w:t>Risques environnementaux/naturels ;</w:t>
      </w:r>
    </w:p>
    <w:p w14:paraId="7E10D907" w14:textId="77777777" w:rsidR="00871A3A" w:rsidRPr="007E3D1A" w:rsidRDefault="00871A3A" w:rsidP="00871A3A">
      <w:pPr>
        <w:rPr>
          <w:rFonts w:cs="Arial"/>
          <w:sz w:val="22"/>
        </w:rPr>
      </w:pPr>
      <w:r w:rsidRPr="007E3D1A">
        <w:rPr>
          <w:rFonts w:cs="Arial"/>
          <w:sz w:val="22"/>
        </w:rPr>
        <w:t>Météo et climat ;</w:t>
      </w:r>
    </w:p>
    <w:p w14:paraId="6762D681" w14:textId="77777777" w:rsidR="00871A3A" w:rsidRPr="007E3D1A" w:rsidRDefault="00871A3A" w:rsidP="00871A3A">
      <w:pPr>
        <w:rPr>
          <w:rFonts w:cs="Arial"/>
          <w:sz w:val="22"/>
        </w:rPr>
      </w:pPr>
      <w:r w:rsidRPr="007E3D1A">
        <w:rPr>
          <w:rFonts w:cs="Arial"/>
          <w:sz w:val="22"/>
        </w:rPr>
        <w:t>Résumé des menaces ;</w:t>
      </w:r>
    </w:p>
    <w:p w14:paraId="55CC0188" w14:textId="77777777" w:rsidR="00871A3A" w:rsidRPr="007E3D1A" w:rsidRDefault="00871A3A" w:rsidP="00871A3A">
      <w:pPr>
        <w:rPr>
          <w:rFonts w:cs="Arial"/>
          <w:sz w:val="22"/>
        </w:rPr>
      </w:pPr>
      <w:r w:rsidRPr="007E3D1A">
        <w:rPr>
          <w:rFonts w:cs="Arial"/>
          <w:sz w:val="22"/>
        </w:rPr>
        <w:t>Signalement et gestion des incidents ;</w:t>
      </w:r>
    </w:p>
    <w:p w14:paraId="0E63A31D" w14:textId="77777777" w:rsidR="00871A3A" w:rsidRPr="007E3D1A" w:rsidRDefault="00871A3A" w:rsidP="00871A3A">
      <w:pPr>
        <w:rPr>
          <w:rFonts w:cs="Arial"/>
          <w:sz w:val="22"/>
        </w:rPr>
      </w:pPr>
      <w:r w:rsidRPr="007E3D1A">
        <w:rPr>
          <w:rFonts w:cs="Arial"/>
          <w:sz w:val="22"/>
        </w:rPr>
        <w:t>Rapports d'incidents ;</w:t>
      </w:r>
    </w:p>
    <w:p w14:paraId="1F7547CF" w14:textId="77777777" w:rsidR="00871A3A" w:rsidRPr="007E3D1A" w:rsidRDefault="00871A3A" w:rsidP="00871A3A">
      <w:pPr>
        <w:rPr>
          <w:rFonts w:cs="Arial"/>
          <w:sz w:val="22"/>
        </w:rPr>
      </w:pPr>
      <w:r w:rsidRPr="007E3D1A">
        <w:rPr>
          <w:rFonts w:cs="Arial"/>
          <w:sz w:val="22"/>
        </w:rPr>
        <w:t>Lieux fixes liés au projet ;</w:t>
      </w:r>
    </w:p>
    <w:p w14:paraId="7150937B" w14:textId="77777777" w:rsidR="00871A3A" w:rsidRPr="007E3D1A" w:rsidRDefault="00871A3A" w:rsidP="00871A3A">
      <w:pPr>
        <w:rPr>
          <w:rFonts w:cs="Arial"/>
          <w:sz w:val="22"/>
        </w:rPr>
      </w:pPr>
      <w:r w:rsidRPr="007E3D1A">
        <w:rPr>
          <w:rFonts w:cs="Arial"/>
          <w:sz w:val="22"/>
        </w:rPr>
        <w:t>Bases vies ou logements ;</w:t>
      </w:r>
    </w:p>
    <w:p w14:paraId="3B36DA3B" w14:textId="77777777" w:rsidR="00871A3A" w:rsidRPr="007E3D1A" w:rsidRDefault="00871A3A" w:rsidP="00871A3A">
      <w:pPr>
        <w:rPr>
          <w:rFonts w:cs="Arial"/>
          <w:sz w:val="22"/>
        </w:rPr>
      </w:pPr>
      <w:r w:rsidRPr="007E3D1A">
        <w:rPr>
          <w:rFonts w:cs="Arial"/>
          <w:sz w:val="22"/>
        </w:rPr>
        <w:t>Autres installations, y compris les carrières ;</w:t>
      </w:r>
    </w:p>
    <w:p w14:paraId="425EEFB6" w14:textId="77777777" w:rsidR="00871A3A" w:rsidRPr="007E3D1A" w:rsidRDefault="00871A3A" w:rsidP="00871A3A">
      <w:pPr>
        <w:rPr>
          <w:rFonts w:cs="Arial"/>
          <w:sz w:val="22"/>
        </w:rPr>
      </w:pPr>
      <w:r w:rsidRPr="007E3D1A">
        <w:rPr>
          <w:rFonts w:cs="Arial"/>
          <w:sz w:val="22"/>
        </w:rPr>
        <w:tab/>
        <w:t>Caractéristiques physiques des installations de l’Entreprise ;</w:t>
      </w:r>
    </w:p>
    <w:p w14:paraId="4F1EF0A2" w14:textId="77777777" w:rsidR="00871A3A" w:rsidRPr="007E3D1A" w:rsidRDefault="00871A3A" w:rsidP="00871A3A">
      <w:pPr>
        <w:rPr>
          <w:rFonts w:cs="Arial"/>
          <w:sz w:val="22"/>
        </w:rPr>
      </w:pPr>
      <w:r w:rsidRPr="007E3D1A">
        <w:rPr>
          <w:rFonts w:cs="Arial"/>
          <w:sz w:val="22"/>
        </w:rPr>
        <w:t>Positionnement ;</w:t>
      </w:r>
    </w:p>
    <w:p w14:paraId="710256AF" w14:textId="77777777" w:rsidR="00871A3A" w:rsidRPr="007E3D1A" w:rsidRDefault="00871A3A" w:rsidP="00871A3A">
      <w:pPr>
        <w:rPr>
          <w:rFonts w:cs="Arial"/>
          <w:sz w:val="22"/>
        </w:rPr>
      </w:pPr>
      <w:r w:rsidRPr="007E3D1A">
        <w:rPr>
          <w:rFonts w:cs="Arial"/>
          <w:sz w:val="22"/>
        </w:rPr>
        <w:t>Murs / clôtures ;</w:t>
      </w:r>
    </w:p>
    <w:p w14:paraId="01C45DA1" w14:textId="77777777" w:rsidR="00871A3A" w:rsidRPr="007E3D1A" w:rsidRDefault="00871A3A" w:rsidP="00871A3A">
      <w:pPr>
        <w:rPr>
          <w:rFonts w:cs="Arial"/>
          <w:sz w:val="22"/>
        </w:rPr>
      </w:pPr>
      <w:r w:rsidRPr="007E3D1A">
        <w:rPr>
          <w:rFonts w:cs="Arial"/>
          <w:sz w:val="22"/>
        </w:rPr>
        <w:t>Portes ;</w:t>
      </w:r>
    </w:p>
    <w:p w14:paraId="6548AC3F" w14:textId="77777777" w:rsidR="00871A3A" w:rsidRPr="007E3D1A" w:rsidRDefault="00871A3A" w:rsidP="00871A3A">
      <w:pPr>
        <w:rPr>
          <w:rFonts w:cs="Arial"/>
          <w:sz w:val="22"/>
        </w:rPr>
      </w:pPr>
      <w:r w:rsidRPr="007E3D1A">
        <w:rPr>
          <w:rFonts w:cs="Arial"/>
          <w:sz w:val="22"/>
        </w:rPr>
        <w:t>Barrières routières routes ;</w:t>
      </w:r>
    </w:p>
    <w:p w14:paraId="3004E706" w14:textId="77777777" w:rsidR="00871A3A" w:rsidRPr="007E3D1A" w:rsidRDefault="00871A3A" w:rsidP="00871A3A">
      <w:pPr>
        <w:rPr>
          <w:rFonts w:cs="Arial"/>
          <w:sz w:val="22"/>
        </w:rPr>
      </w:pPr>
      <w:r w:rsidRPr="007E3D1A">
        <w:rPr>
          <w:rFonts w:cs="Arial"/>
          <w:sz w:val="22"/>
        </w:rPr>
        <w:t>Portes et fenêtres ;</w:t>
      </w:r>
    </w:p>
    <w:p w14:paraId="471F9E81" w14:textId="77777777" w:rsidR="00871A3A" w:rsidRPr="007E3D1A" w:rsidRDefault="00871A3A" w:rsidP="00871A3A">
      <w:pPr>
        <w:rPr>
          <w:rFonts w:cs="Arial"/>
          <w:sz w:val="22"/>
        </w:rPr>
      </w:pPr>
      <w:r w:rsidRPr="007E3D1A">
        <w:rPr>
          <w:rFonts w:cs="Arial"/>
          <w:sz w:val="22"/>
        </w:rPr>
        <w:t>Sécurité des personnes ;</w:t>
      </w:r>
    </w:p>
    <w:p w14:paraId="2310A616" w14:textId="77777777" w:rsidR="00871A3A" w:rsidRPr="007E3D1A" w:rsidRDefault="00871A3A" w:rsidP="00871A3A">
      <w:pPr>
        <w:rPr>
          <w:rFonts w:cs="Arial"/>
          <w:sz w:val="22"/>
        </w:rPr>
      </w:pPr>
      <w:r w:rsidRPr="007E3D1A">
        <w:rPr>
          <w:rFonts w:cs="Arial"/>
          <w:sz w:val="22"/>
        </w:rPr>
        <w:t>Serrures, clés et combinaisons ;</w:t>
      </w:r>
    </w:p>
    <w:p w14:paraId="50C0710F" w14:textId="77777777" w:rsidR="00871A3A" w:rsidRPr="007E3D1A" w:rsidRDefault="00871A3A" w:rsidP="00871A3A">
      <w:pPr>
        <w:rPr>
          <w:rFonts w:cs="Arial"/>
          <w:sz w:val="22"/>
        </w:rPr>
      </w:pPr>
      <w:r w:rsidRPr="007E3D1A">
        <w:rPr>
          <w:rFonts w:cs="Arial"/>
          <w:sz w:val="22"/>
        </w:rPr>
        <w:t>Moral, bien-être, lieux de loisirs ;</w:t>
      </w:r>
    </w:p>
    <w:p w14:paraId="01BE28D7" w14:textId="77777777" w:rsidR="00871A3A" w:rsidRPr="007E3D1A" w:rsidRDefault="00871A3A" w:rsidP="00871A3A">
      <w:pPr>
        <w:rPr>
          <w:rFonts w:cs="Arial"/>
          <w:sz w:val="22"/>
        </w:rPr>
      </w:pPr>
      <w:r w:rsidRPr="007E3D1A">
        <w:rPr>
          <w:rFonts w:cs="Arial"/>
          <w:sz w:val="22"/>
        </w:rPr>
        <w:t>Mesures de transport ;</w:t>
      </w:r>
    </w:p>
    <w:p w14:paraId="77317228" w14:textId="77777777" w:rsidR="00871A3A" w:rsidRPr="007E3D1A" w:rsidRDefault="00871A3A" w:rsidP="00871A3A">
      <w:pPr>
        <w:rPr>
          <w:rFonts w:cs="Arial"/>
          <w:sz w:val="22"/>
        </w:rPr>
      </w:pPr>
      <w:r w:rsidRPr="007E3D1A">
        <w:rPr>
          <w:rFonts w:cs="Arial"/>
          <w:sz w:val="22"/>
        </w:rPr>
        <w:t>Contrôle des déplacements ;</w:t>
      </w:r>
    </w:p>
    <w:p w14:paraId="3EF54F43" w14:textId="77777777" w:rsidR="00871A3A" w:rsidRPr="007E3D1A" w:rsidRDefault="00871A3A" w:rsidP="00871A3A">
      <w:pPr>
        <w:rPr>
          <w:rFonts w:cs="Arial"/>
          <w:sz w:val="22"/>
        </w:rPr>
      </w:pPr>
      <w:r w:rsidRPr="007E3D1A">
        <w:rPr>
          <w:rFonts w:cs="Arial"/>
          <w:sz w:val="22"/>
        </w:rPr>
        <w:t>Sécurité des transports ;</w:t>
      </w:r>
    </w:p>
    <w:p w14:paraId="63EE88F1" w14:textId="77777777" w:rsidR="00871A3A" w:rsidRPr="007E3D1A" w:rsidRDefault="00871A3A" w:rsidP="00871A3A">
      <w:pPr>
        <w:rPr>
          <w:rFonts w:cs="Arial"/>
          <w:sz w:val="22"/>
        </w:rPr>
      </w:pPr>
      <w:r w:rsidRPr="007E3D1A">
        <w:rPr>
          <w:rFonts w:cs="Arial"/>
          <w:sz w:val="22"/>
        </w:rPr>
        <w:t>Sélection des itinéraires ;</w:t>
      </w:r>
    </w:p>
    <w:p w14:paraId="510869F4" w14:textId="77777777" w:rsidR="00871A3A" w:rsidRPr="007E3D1A" w:rsidRDefault="00871A3A" w:rsidP="00871A3A">
      <w:pPr>
        <w:rPr>
          <w:rFonts w:cs="Arial"/>
          <w:sz w:val="22"/>
        </w:rPr>
      </w:pPr>
      <w:r w:rsidRPr="007E3D1A">
        <w:rPr>
          <w:rFonts w:cs="Arial"/>
          <w:sz w:val="22"/>
        </w:rPr>
        <w:t>Lieux de refuge ;</w:t>
      </w:r>
    </w:p>
    <w:p w14:paraId="4AD59EC4" w14:textId="77777777" w:rsidR="00871A3A" w:rsidRPr="007E3D1A" w:rsidRDefault="00871A3A" w:rsidP="00871A3A">
      <w:pPr>
        <w:rPr>
          <w:rFonts w:cs="Arial"/>
          <w:sz w:val="22"/>
        </w:rPr>
      </w:pPr>
      <w:r w:rsidRPr="007E3D1A">
        <w:rPr>
          <w:rFonts w:cs="Arial"/>
          <w:sz w:val="22"/>
        </w:rPr>
        <w:t>Briefing des passagers ;</w:t>
      </w:r>
    </w:p>
    <w:p w14:paraId="003898FA" w14:textId="77777777" w:rsidR="00871A3A" w:rsidRPr="007E3D1A" w:rsidRDefault="00871A3A" w:rsidP="00871A3A">
      <w:pPr>
        <w:rPr>
          <w:rFonts w:cs="Arial"/>
          <w:sz w:val="22"/>
        </w:rPr>
      </w:pPr>
      <w:r w:rsidRPr="007E3D1A">
        <w:rPr>
          <w:rFonts w:cs="Arial"/>
          <w:sz w:val="22"/>
        </w:rPr>
        <w:t>Arrivées et départs ;</w:t>
      </w:r>
    </w:p>
    <w:p w14:paraId="16516525" w14:textId="77777777" w:rsidR="00871A3A" w:rsidRPr="007E3D1A" w:rsidRDefault="00871A3A" w:rsidP="00871A3A">
      <w:pPr>
        <w:rPr>
          <w:rFonts w:cs="Arial"/>
          <w:sz w:val="22"/>
        </w:rPr>
      </w:pPr>
      <w:r w:rsidRPr="007E3D1A">
        <w:rPr>
          <w:rFonts w:cs="Arial"/>
          <w:sz w:val="22"/>
        </w:rPr>
        <w:t>Dans le véhicule ;</w:t>
      </w:r>
    </w:p>
    <w:p w14:paraId="4BA20A5E" w14:textId="77777777" w:rsidR="00871A3A" w:rsidRPr="007E3D1A" w:rsidRDefault="00871A3A" w:rsidP="00871A3A">
      <w:pPr>
        <w:rPr>
          <w:rFonts w:cs="Arial"/>
          <w:sz w:val="22"/>
        </w:rPr>
      </w:pPr>
      <w:r w:rsidRPr="007E3D1A">
        <w:rPr>
          <w:rFonts w:cs="Arial"/>
          <w:sz w:val="22"/>
        </w:rPr>
        <w:t>Aux points de contrôle ;</w:t>
      </w:r>
    </w:p>
    <w:p w14:paraId="22749CC3" w14:textId="77777777" w:rsidR="00871A3A" w:rsidRPr="007E3D1A" w:rsidRDefault="00871A3A" w:rsidP="00871A3A">
      <w:pPr>
        <w:rPr>
          <w:rFonts w:cs="Arial"/>
          <w:sz w:val="22"/>
        </w:rPr>
      </w:pPr>
      <w:r w:rsidRPr="007E3D1A">
        <w:rPr>
          <w:rFonts w:cs="Arial"/>
          <w:sz w:val="22"/>
        </w:rPr>
        <w:t>Transports publics ;</w:t>
      </w:r>
    </w:p>
    <w:p w14:paraId="6EAE9E02" w14:textId="77777777" w:rsidR="00871A3A" w:rsidRPr="007E3D1A" w:rsidRDefault="00871A3A" w:rsidP="00871A3A">
      <w:pPr>
        <w:rPr>
          <w:rFonts w:cs="Arial"/>
          <w:sz w:val="22"/>
        </w:rPr>
      </w:pPr>
      <w:r w:rsidRPr="007E3D1A">
        <w:rPr>
          <w:rFonts w:cs="Arial"/>
          <w:sz w:val="22"/>
        </w:rPr>
        <w:t>Premiers soins et soins médicaux ;</w:t>
      </w:r>
    </w:p>
    <w:p w14:paraId="3BF0A345" w14:textId="77777777" w:rsidR="00871A3A" w:rsidRPr="007E3D1A" w:rsidRDefault="00871A3A" w:rsidP="00871A3A">
      <w:pPr>
        <w:rPr>
          <w:rFonts w:cs="Arial"/>
          <w:sz w:val="22"/>
        </w:rPr>
      </w:pPr>
      <w:r w:rsidRPr="007E3D1A">
        <w:rPr>
          <w:rFonts w:cs="Arial"/>
          <w:sz w:val="22"/>
        </w:rPr>
        <w:t>Trousses de premiers soins et formation ;</w:t>
      </w:r>
    </w:p>
    <w:p w14:paraId="19B46150" w14:textId="77777777" w:rsidR="00871A3A" w:rsidRPr="007E3D1A" w:rsidRDefault="00871A3A" w:rsidP="00871A3A">
      <w:pPr>
        <w:rPr>
          <w:rFonts w:cs="Arial"/>
          <w:sz w:val="22"/>
        </w:rPr>
      </w:pPr>
      <w:r w:rsidRPr="007E3D1A">
        <w:rPr>
          <w:rFonts w:cs="Arial"/>
          <w:sz w:val="22"/>
        </w:rPr>
        <w:t>Services d'ambulance ;</w:t>
      </w:r>
    </w:p>
    <w:p w14:paraId="38060C56" w14:textId="77777777" w:rsidR="00871A3A" w:rsidRPr="007E3D1A" w:rsidRDefault="00871A3A" w:rsidP="00871A3A">
      <w:pPr>
        <w:rPr>
          <w:rFonts w:cs="Arial"/>
          <w:sz w:val="22"/>
        </w:rPr>
      </w:pPr>
      <w:r w:rsidRPr="007E3D1A">
        <w:rPr>
          <w:rFonts w:cs="Arial"/>
          <w:sz w:val="22"/>
        </w:rPr>
        <w:t>Soins hospitaliers ;</w:t>
      </w:r>
    </w:p>
    <w:p w14:paraId="5B1403A7" w14:textId="77777777" w:rsidR="00871A3A" w:rsidRPr="007E3D1A" w:rsidRDefault="00871A3A" w:rsidP="00871A3A">
      <w:pPr>
        <w:rPr>
          <w:rFonts w:cs="Arial"/>
          <w:sz w:val="22"/>
        </w:rPr>
      </w:pPr>
      <w:r w:rsidRPr="007E3D1A">
        <w:rPr>
          <w:rFonts w:cs="Arial"/>
          <w:sz w:val="22"/>
        </w:rPr>
        <w:t>Évacuation médicale ;</w:t>
      </w:r>
    </w:p>
    <w:p w14:paraId="29DCF14A" w14:textId="77777777" w:rsidR="00871A3A" w:rsidRPr="007E3D1A" w:rsidRDefault="00871A3A" w:rsidP="00871A3A">
      <w:pPr>
        <w:rPr>
          <w:rFonts w:cs="Arial"/>
          <w:sz w:val="22"/>
        </w:rPr>
      </w:pPr>
      <w:r w:rsidRPr="007E3D1A">
        <w:rPr>
          <w:rFonts w:cs="Arial"/>
          <w:sz w:val="22"/>
        </w:rPr>
        <w:t>Communications ;</w:t>
      </w:r>
    </w:p>
    <w:p w14:paraId="1C2172A3" w14:textId="77777777" w:rsidR="00871A3A" w:rsidRPr="007E3D1A" w:rsidRDefault="00871A3A" w:rsidP="00871A3A">
      <w:pPr>
        <w:rPr>
          <w:rFonts w:cs="Arial"/>
          <w:sz w:val="22"/>
        </w:rPr>
      </w:pPr>
      <w:r w:rsidRPr="007E3D1A">
        <w:rPr>
          <w:rFonts w:cs="Arial"/>
          <w:sz w:val="22"/>
        </w:rPr>
        <w:t>Sécurité de l'information ;</w:t>
      </w:r>
    </w:p>
    <w:p w14:paraId="4A378705" w14:textId="77777777" w:rsidR="00871A3A" w:rsidRPr="007E3D1A" w:rsidRDefault="00871A3A" w:rsidP="00871A3A">
      <w:pPr>
        <w:rPr>
          <w:rFonts w:cs="Arial"/>
          <w:sz w:val="22"/>
        </w:rPr>
      </w:pPr>
      <w:r w:rsidRPr="007E3D1A">
        <w:rPr>
          <w:rFonts w:cs="Arial"/>
          <w:sz w:val="22"/>
        </w:rPr>
        <w:t>Sauvegarde des données informatiques ;</w:t>
      </w:r>
    </w:p>
    <w:p w14:paraId="4F43A04F" w14:textId="77777777" w:rsidR="00871A3A" w:rsidRPr="007E3D1A" w:rsidRDefault="00871A3A" w:rsidP="00871A3A">
      <w:pPr>
        <w:rPr>
          <w:rFonts w:cs="Arial"/>
          <w:sz w:val="22"/>
        </w:rPr>
      </w:pPr>
      <w:r w:rsidRPr="007E3D1A">
        <w:rPr>
          <w:rFonts w:cs="Arial"/>
          <w:sz w:val="22"/>
        </w:rPr>
        <w:t>Sécurité des documents et des fichiers informatiques ;</w:t>
      </w:r>
    </w:p>
    <w:p w14:paraId="7069DA34" w14:textId="77777777" w:rsidR="00871A3A" w:rsidRPr="007E3D1A" w:rsidRDefault="00871A3A" w:rsidP="00871A3A">
      <w:pPr>
        <w:rPr>
          <w:rFonts w:cs="Arial"/>
          <w:sz w:val="22"/>
        </w:rPr>
      </w:pPr>
      <w:r w:rsidRPr="007E3D1A">
        <w:rPr>
          <w:rFonts w:cs="Arial"/>
          <w:sz w:val="22"/>
        </w:rPr>
        <w:t>Préoccupations et orientations concernant les médias sociaux ;</w:t>
      </w:r>
    </w:p>
    <w:p w14:paraId="27E4DF20" w14:textId="77777777" w:rsidR="00871A3A" w:rsidRPr="007E3D1A" w:rsidRDefault="00871A3A" w:rsidP="00871A3A">
      <w:pPr>
        <w:rPr>
          <w:rFonts w:cs="Arial"/>
          <w:sz w:val="22"/>
        </w:rPr>
      </w:pPr>
      <w:r w:rsidRPr="007E3D1A">
        <w:rPr>
          <w:rFonts w:cs="Arial"/>
          <w:sz w:val="22"/>
        </w:rPr>
        <w:t>Rencontres avec les médias et médias négatifs ;</w:t>
      </w:r>
    </w:p>
    <w:p w14:paraId="12508733" w14:textId="77777777" w:rsidR="00871A3A" w:rsidRPr="007E3D1A" w:rsidRDefault="00871A3A" w:rsidP="00871A3A">
      <w:pPr>
        <w:rPr>
          <w:rFonts w:cs="Arial"/>
          <w:sz w:val="22"/>
        </w:rPr>
      </w:pPr>
      <w:r w:rsidRPr="007E3D1A">
        <w:rPr>
          <w:rFonts w:cs="Arial"/>
          <w:sz w:val="22"/>
        </w:rPr>
        <w:t>Autres directives administratives ;</w:t>
      </w:r>
    </w:p>
    <w:p w14:paraId="365F6853" w14:textId="77777777" w:rsidR="00871A3A" w:rsidRPr="007E3D1A" w:rsidRDefault="00871A3A" w:rsidP="00871A3A">
      <w:pPr>
        <w:rPr>
          <w:rFonts w:cs="Arial"/>
          <w:sz w:val="22"/>
        </w:rPr>
      </w:pPr>
      <w:r w:rsidRPr="007E3D1A">
        <w:rPr>
          <w:rFonts w:cs="Arial"/>
          <w:sz w:val="22"/>
        </w:rPr>
        <w:t>Procédures de gestion des espèces (monnaie) ;</w:t>
      </w:r>
    </w:p>
    <w:p w14:paraId="053205DB" w14:textId="77777777" w:rsidR="00871A3A" w:rsidRPr="007E3D1A" w:rsidRDefault="00871A3A" w:rsidP="00871A3A">
      <w:pPr>
        <w:rPr>
          <w:rFonts w:cs="Arial"/>
          <w:sz w:val="22"/>
        </w:rPr>
      </w:pPr>
      <w:r w:rsidRPr="007E3D1A">
        <w:rPr>
          <w:rFonts w:cs="Arial"/>
          <w:sz w:val="22"/>
        </w:rPr>
        <w:t>Documentation personnelle ;</w:t>
      </w:r>
    </w:p>
    <w:p w14:paraId="6B1763E5" w14:textId="77777777" w:rsidR="00871A3A" w:rsidRPr="007E3D1A" w:rsidRDefault="00871A3A" w:rsidP="00871A3A">
      <w:pPr>
        <w:rPr>
          <w:rFonts w:cs="Arial"/>
          <w:sz w:val="22"/>
        </w:rPr>
      </w:pPr>
      <w:r w:rsidRPr="007E3D1A">
        <w:rPr>
          <w:rFonts w:cs="Arial"/>
          <w:sz w:val="22"/>
        </w:rPr>
        <w:t>Enregistrement des données d'urgence ;</w:t>
      </w:r>
    </w:p>
    <w:p w14:paraId="7B603103" w14:textId="77777777" w:rsidR="00871A3A" w:rsidRPr="007E3D1A" w:rsidRDefault="00871A3A" w:rsidP="00871A3A">
      <w:pPr>
        <w:rPr>
          <w:rFonts w:cs="Arial"/>
          <w:sz w:val="22"/>
        </w:rPr>
      </w:pPr>
      <w:r w:rsidRPr="007E3D1A">
        <w:rPr>
          <w:rFonts w:cs="Arial"/>
          <w:sz w:val="22"/>
        </w:rPr>
        <w:t>Briefing et formation sur la sécurité ;</w:t>
      </w:r>
    </w:p>
    <w:p w14:paraId="344544CA" w14:textId="77777777" w:rsidR="00871A3A" w:rsidRPr="007E3D1A" w:rsidRDefault="00871A3A" w:rsidP="00871A3A">
      <w:pPr>
        <w:rPr>
          <w:rFonts w:cs="Arial"/>
          <w:sz w:val="22"/>
        </w:rPr>
      </w:pPr>
      <w:r w:rsidRPr="007E3D1A">
        <w:rPr>
          <w:rFonts w:cs="Arial"/>
          <w:sz w:val="22"/>
        </w:rPr>
        <w:t>Sécurité des visiteurs ;</w:t>
      </w:r>
    </w:p>
    <w:p w14:paraId="606CC73B" w14:textId="77777777" w:rsidR="00871A3A" w:rsidRPr="007E3D1A" w:rsidRDefault="00871A3A" w:rsidP="00871A3A">
      <w:pPr>
        <w:rPr>
          <w:rFonts w:cs="Arial"/>
          <w:sz w:val="22"/>
        </w:rPr>
      </w:pPr>
      <w:r w:rsidRPr="007E3D1A">
        <w:rPr>
          <w:rFonts w:cs="Arial"/>
          <w:sz w:val="22"/>
        </w:rPr>
        <w:t>Actions immédiates ;</w:t>
      </w:r>
    </w:p>
    <w:p w14:paraId="48241812" w14:textId="77777777" w:rsidR="00871A3A" w:rsidRPr="007E3D1A" w:rsidRDefault="00871A3A" w:rsidP="00871A3A">
      <w:pPr>
        <w:rPr>
          <w:rFonts w:cs="Arial"/>
          <w:sz w:val="22"/>
        </w:rPr>
      </w:pPr>
      <w:r w:rsidRPr="007E3D1A">
        <w:rPr>
          <w:rFonts w:cs="Arial"/>
          <w:sz w:val="22"/>
        </w:rPr>
        <w:t>Feu ;</w:t>
      </w:r>
    </w:p>
    <w:p w14:paraId="2BBC4B20" w14:textId="77777777" w:rsidR="00871A3A" w:rsidRPr="007E3D1A" w:rsidRDefault="00871A3A" w:rsidP="00871A3A">
      <w:pPr>
        <w:rPr>
          <w:rFonts w:cs="Arial"/>
          <w:sz w:val="22"/>
        </w:rPr>
      </w:pPr>
      <w:r w:rsidRPr="007E3D1A">
        <w:rPr>
          <w:rFonts w:cs="Arial"/>
          <w:sz w:val="22"/>
        </w:rPr>
        <w:t>Chocs électriques ;</w:t>
      </w:r>
    </w:p>
    <w:p w14:paraId="719AC345" w14:textId="77777777" w:rsidR="00871A3A" w:rsidRPr="007E3D1A" w:rsidRDefault="00871A3A" w:rsidP="00871A3A">
      <w:pPr>
        <w:rPr>
          <w:rFonts w:cs="Arial"/>
          <w:sz w:val="22"/>
        </w:rPr>
      </w:pPr>
      <w:r w:rsidRPr="007E3D1A">
        <w:rPr>
          <w:rFonts w:cs="Arial"/>
          <w:sz w:val="22"/>
        </w:rPr>
        <w:t>Urgences médicales ;</w:t>
      </w:r>
    </w:p>
    <w:p w14:paraId="59421431" w14:textId="77777777" w:rsidR="00871A3A" w:rsidRPr="007E3D1A" w:rsidRDefault="00871A3A" w:rsidP="00871A3A">
      <w:pPr>
        <w:rPr>
          <w:rFonts w:cs="Arial"/>
          <w:sz w:val="22"/>
        </w:rPr>
      </w:pPr>
      <w:r w:rsidRPr="007E3D1A">
        <w:rPr>
          <w:rFonts w:cs="Arial"/>
          <w:sz w:val="22"/>
        </w:rPr>
        <w:t>Confrontation, vol et agression ;</w:t>
      </w:r>
    </w:p>
    <w:p w14:paraId="570D8BD1" w14:textId="77777777" w:rsidR="00871A3A" w:rsidRPr="007E3D1A" w:rsidRDefault="00871A3A" w:rsidP="00871A3A">
      <w:pPr>
        <w:rPr>
          <w:rFonts w:cs="Arial"/>
          <w:sz w:val="22"/>
        </w:rPr>
      </w:pPr>
      <w:r w:rsidRPr="007E3D1A">
        <w:rPr>
          <w:rFonts w:cs="Arial"/>
          <w:sz w:val="22"/>
        </w:rPr>
        <w:t>Tir d’armes à feu ;</w:t>
      </w:r>
    </w:p>
    <w:p w14:paraId="3DB9BFF8" w14:textId="77777777" w:rsidR="00871A3A" w:rsidRPr="007E3D1A" w:rsidRDefault="00871A3A" w:rsidP="00871A3A">
      <w:pPr>
        <w:rPr>
          <w:rFonts w:cs="Arial"/>
          <w:sz w:val="22"/>
        </w:rPr>
      </w:pPr>
      <w:r w:rsidRPr="007E3D1A">
        <w:rPr>
          <w:rFonts w:cs="Arial"/>
          <w:sz w:val="22"/>
        </w:rPr>
        <w:t>Embuscade ;</w:t>
      </w:r>
    </w:p>
    <w:p w14:paraId="1A066E47" w14:textId="77777777" w:rsidR="00871A3A" w:rsidRPr="007E3D1A" w:rsidRDefault="00871A3A" w:rsidP="00871A3A">
      <w:pPr>
        <w:rPr>
          <w:rFonts w:cs="Arial"/>
          <w:sz w:val="22"/>
        </w:rPr>
      </w:pPr>
      <w:r w:rsidRPr="007E3D1A">
        <w:rPr>
          <w:rFonts w:cs="Arial"/>
          <w:sz w:val="22"/>
        </w:rPr>
        <w:t>Tir indirect (artillerie, mortier ou roquettes) ;</w:t>
      </w:r>
    </w:p>
    <w:p w14:paraId="03C163D3" w14:textId="77777777" w:rsidR="00871A3A" w:rsidRPr="007E3D1A" w:rsidRDefault="00871A3A" w:rsidP="00871A3A">
      <w:pPr>
        <w:rPr>
          <w:rFonts w:cs="Arial"/>
          <w:sz w:val="22"/>
        </w:rPr>
      </w:pPr>
      <w:r w:rsidRPr="007E3D1A">
        <w:rPr>
          <w:rFonts w:cs="Arial"/>
          <w:sz w:val="22"/>
        </w:rPr>
        <w:t>Grenades ;</w:t>
      </w:r>
    </w:p>
    <w:p w14:paraId="2D1F5AD0" w14:textId="77777777" w:rsidR="00871A3A" w:rsidRPr="007E3D1A" w:rsidRDefault="00871A3A" w:rsidP="00871A3A">
      <w:pPr>
        <w:rPr>
          <w:rFonts w:cs="Arial"/>
          <w:sz w:val="22"/>
        </w:rPr>
      </w:pPr>
      <w:r w:rsidRPr="007E3D1A">
        <w:rPr>
          <w:rFonts w:cs="Arial"/>
          <w:sz w:val="22"/>
        </w:rPr>
        <w:t>Incidents liés à des explosifs (attentats à la bombe) ;</w:t>
      </w:r>
    </w:p>
    <w:p w14:paraId="26EBAA24" w14:textId="77777777" w:rsidR="00871A3A" w:rsidRPr="007E3D1A" w:rsidRDefault="00871A3A" w:rsidP="00871A3A">
      <w:pPr>
        <w:rPr>
          <w:rFonts w:cs="Arial"/>
          <w:sz w:val="22"/>
        </w:rPr>
      </w:pPr>
      <w:r w:rsidRPr="007E3D1A">
        <w:rPr>
          <w:rFonts w:cs="Arial"/>
          <w:sz w:val="22"/>
        </w:rPr>
        <w:t>Enlèvements et prises d'otages ;</w:t>
      </w:r>
    </w:p>
    <w:p w14:paraId="39EAF2FB" w14:textId="77777777" w:rsidR="00871A3A" w:rsidRPr="007E3D1A" w:rsidRDefault="00871A3A" w:rsidP="00871A3A">
      <w:pPr>
        <w:rPr>
          <w:rFonts w:cs="Arial"/>
          <w:sz w:val="22"/>
        </w:rPr>
      </w:pPr>
      <w:r w:rsidRPr="007E3D1A">
        <w:rPr>
          <w:rFonts w:cs="Arial"/>
          <w:sz w:val="22"/>
        </w:rPr>
        <w:t>Captivité ;</w:t>
      </w:r>
    </w:p>
    <w:p w14:paraId="0578611A" w14:textId="77777777" w:rsidR="00871A3A" w:rsidRPr="007E3D1A" w:rsidRDefault="00871A3A" w:rsidP="00871A3A">
      <w:pPr>
        <w:rPr>
          <w:rFonts w:cs="Arial"/>
          <w:sz w:val="22"/>
        </w:rPr>
      </w:pPr>
      <w:r w:rsidRPr="007E3D1A">
        <w:rPr>
          <w:rFonts w:cs="Arial"/>
          <w:sz w:val="22"/>
        </w:rPr>
        <w:t>Négociation ;</w:t>
      </w:r>
    </w:p>
    <w:p w14:paraId="7631D4B8" w14:textId="77777777" w:rsidR="00871A3A" w:rsidRPr="007E3D1A" w:rsidRDefault="00871A3A" w:rsidP="00871A3A">
      <w:pPr>
        <w:rPr>
          <w:rFonts w:cs="Arial"/>
          <w:sz w:val="22"/>
        </w:rPr>
      </w:pPr>
      <w:r w:rsidRPr="007E3D1A">
        <w:rPr>
          <w:rFonts w:cs="Arial"/>
          <w:sz w:val="22"/>
        </w:rPr>
        <w:t>Libération ;</w:t>
      </w:r>
    </w:p>
    <w:p w14:paraId="70BA9279" w14:textId="77777777" w:rsidR="00871A3A" w:rsidRPr="007E3D1A" w:rsidRDefault="00871A3A" w:rsidP="00871A3A">
      <w:pPr>
        <w:rPr>
          <w:rFonts w:cs="Arial"/>
          <w:sz w:val="22"/>
        </w:rPr>
      </w:pPr>
      <w:r w:rsidRPr="007E3D1A">
        <w:rPr>
          <w:rFonts w:cs="Arial"/>
          <w:sz w:val="22"/>
        </w:rPr>
        <w:t>Évacuations ;</w:t>
      </w:r>
    </w:p>
    <w:p w14:paraId="40922112" w14:textId="77777777" w:rsidR="00871A3A" w:rsidRPr="007E3D1A" w:rsidRDefault="00871A3A" w:rsidP="00871A3A">
      <w:pPr>
        <w:rPr>
          <w:rFonts w:cs="Arial"/>
          <w:sz w:val="22"/>
        </w:rPr>
      </w:pPr>
    </w:p>
    <w:p w14:paraId="410B85C8" w14:textId="77777777" w:rsidR="00871A3A" w:rsidRPr="007E3D1A" w:rsidRDefault="00871A3A" w:rsidP="00871A3A">
      <w:pPr>
        <w:rPr>
          <w:rFonts w:cs="Arial"/>
          <w:sz w:val="22"/>
        </w:rPr>
      </w:pPr>
      <w:r w:rsidRPr="007E3D1A">
        <w:rPr>
          <w:rFonts w:cs="Arial"/>
          <w:sz w:val="22"/>
        </w:rPr>
        <w:t>Engagement des Parties Prenantes</w:t>
      </w:r>
    </w:p>
    <w:p w14:paraId="7218261D" w14:textId="77777777" w:rsidR="00871A3A" w:rsidRPr="007E3D1A" w:rsidRDefault="00871A3A" w:rsidP="00871A3A">
      <w:pPr>
        <w:rPr>
          <w:rFonts w:cs="Arial"/>
          <w:sz w:val="22"/>
        </w:rPr>
      </w:pPr>
    </w:p>
    <w:p w14:paraId="237B2C49" w14:textId="77777777" w:rsidR="00871A3A" w:rsidRPr="007E3D1A" w:rsidRDefault="00871A3A" w:rsidP="00871A3A">
      <w:pPr>
        <w:rPr>
          <w:rFonts w:cs="Arial"/>
          <w:sz w:val="22"/>
        </w:rPr>
      </w:pPr>
      <w:r w:rsidRPr="007E3D1A">
        <w:rPr>
          <w:rFonts w:cs="Arial"/>
          <w:sz w:val="22"/>
        </w:rPr>
        <w:t>L’Entreprise doit :</w:t>
      </w:r>
    </w:p>
    <w:p w14:paraId="475EA8D6" w14:textId="77777777" w:rsidR="00871A3A" w:rsidRPr="007E3D1A" w:rsidRDefault="00871A3A" w:rsidP="00871A3A">
      <w:pPr>
        <w:rPr>
          <w:rFonts w:cs="Arial"/>
          <w:sz w:val="22"/>
        </w:rPr>
      </w:pPr>
    </w:p>
    <w:p w14:paraId="157FFC0D" w14:textId="77777777" w:rsidR="00871A3A" w:rsidRPr="007E3D1A" w:rsidRDefault="00871A3A" w:rsidP="00871A3A">
      <w:pPr>
        <w:rPr>
          <w:rFonts w:cs="Arial"/>
          <w:sz w:val="22"/>
        </w:rPr>
      </w:pPr>
      <w:r w:rsidRPr="007E3D1A">
        <w:rPr>
          <w:rFonts w:cs="Arial"/>
          <w:sz w:val="22"/>
        </w:rPr>
        <w:t>Préparer un plan d'engagement des parties prenantes avec les personnes et les communautés voisines du site de construction, et informera ces personnes et communautés des plans et des calendriers qui pourraient les affecter avant que leurs mises en œuvre ;</w:t>
      </w:r>
    </w:p>
    <w:p w14:paraId="69F53E2F" w14:textId="77777777" w:rsidR="00871A3A" w:rsidRPr="007E3D1A" w:rsidRDefault="00871A3A" w:rsidP="00871A3A">
      <w:pPr>
        <w:rPr>
          <w:rFonts w:cs="Arial"/>
          <w:sz w:val="22"/>
        </w:rPr>
      </w:pPr>
      <w:r w:rsidRPr="007E3D1A">
        <w:rPr>
          <w:rFonts w:cs="Arial"/>
          <w:sz w:val="22"/>
        </w:rPr>
        <w:t>Se concerter avec les communautés riveraines des chantiers avant le démarrage des travaux, afin de prendre des arrangements qui faciliteront leur déroulement ;</w:t>
      </w:r>
    </w:p>
    <w:p w14:paraId="005F8B83" w14:textId="77777777" w:rsidR="00871A3A" w:rsidRPr="007E3D1A" w:rsidRDefault="00871A3A" w:rsidP="00871A3A">
      <w:pPr>
        <w:rPr>
          <w:rFonts w:cs="Arial"/>
          <w:sz w:val="22"/>
        </w:rPr>
      </w:pPr>
      <w:r w:rsidRPr="007E3D1A">
        <w:rPr>
          <w:rFonts w:cs="Arial"/>
          <w:sz w:val="22"/>
        </w:rPr>
        <w:t>Informer les populations concernées avant toute activité de destruction de champs, des biens impactés dans le cadre du projet.  La libération de l’emprise doit se faire selon un calendrier défini en accord avec les populations affectées et le Maître d’ouvrage ;</w:t>
      </w:r>
    </w:p>
    <w:p w14:paraId="6C77CC6C" w14:textId="77777777" w:rsidR="00871A3A" w:rsidRPr="007E3D1A" w:rsidRDefault="00871A3A" w:rsidP="00871A3A">
      <w:pPr>
        <w:rPr>
          <w:rFonts w:cs="Arial"/>
          <w:sz w:val="22"/>
        </w:rPr>
      </w:pPr>
      <w:r w:rsidRPr="007E3D1A">
        <w:rPr>
          <w:rFonts w:cs="Arial"/>
          <w:sz w:val="22"/>
        </w:rPr>
        <w:t>S’assurer que les indemnisations/compensations sont effectivement payées aux ayant-droits par le Maître d’ouvrage avant l’installation et le début des travaux ; et</w:t>
      </w:r>
    </w:p>
    <w:p w14:paraId="4AEA2F0A" w14:textId="77777777" w:rsidR="00871A3A" w:rsidRPr="007E3D1A" w:rsidRDefault="00871A3A" w:rsidP="00871A3A">
      <w:pPr>
        <w:rPr>
          <w:rFonts w:cs="Arial"/>
          <w:sz w:val="22"/>
        </w:rPr>
      </w:pPr>
      <w:r w:rsidRPr="007E3D1A">
        <w:rPr>
          <w:rFonts w:cs="Arial"/>
          <w:sz w:val="22"/>
        </w:rPr>
        <w:t>Organiser des réunions avant le démarrage des travaux, sous la supervision du Maître d’ouvrage, avec les autorités locales, les représentants des populations présentes dans la zone du projet ainsi que les services techniques compétents, pour les informer de la consistance des travaux à réaliser et leur durée, des itinéraires concernés et les emplacements susceptibles d'être affectés.</w:t>
      </w:r>
    </w:p>
    <w:p w14:paraId="151B78C3" w14:textId="77777777" w:rsidR="00871A3A" w:rsidRPr="007E3D1A" w:rsidRDefault="00871A3A" w:rsidP="00871A3A">
      <w:pPr>
        <w:rPr>
          <w:rFonts w:cs="Arial"/>
          <w:sz w:val="22"/>
        </w:rPr>
      </w:pPr>
    </w:p>
    <w:p w14:paraId="59F49A6B" w14:textId="77777777" w:rsidR="00871A3A" w:rsidRPr="007E3D1A" w:rsidRDefault="00871A3A" w:rsidP="00871A3A">
      <w:pPr>
        <w:rPr>
          <w:rFonts w:cs="Arial"/>
          <w:sz w:val="22"/>
        </w:rPr>
      </w:pPr>
      <w:r w:rsidRPr="007E3D1A">
        <w:rPr>
          <w:rFonts w:cs="Arial"/>
          <w:sz w:val="22"/>
        </w:rPr>
        <w:t>Suivi Environnemental et Social</w:t>
      </w:r>
    </w:p>
    <w:p w14:paraId="17D4E2F3" w14:textId="77777777" w:rsidR="00871A3A" w:rsidRPr="007E3D1A" w:rsidRDefault="00871A3A" w:rsidP="00871A3A">
      <w:pPr>
        <w:rPr>
          <w:rFonts w:cs="Arial"/>
          <w:sz w:val="22"/>
        </w:rPr>
      </w:pPr>
    </w:p>
    <w:p w14:paraId="5D134337" w14:textId="77777777" w:rsidR="00871A3A" w:rsidRPr="007E3D1A" w:rsidRDefault="00871A3A" w:rsidP="00871A3A">
      <w:pPr>
        <w:rPr>
          <w:rFonts w:cs="Arial"/>
          <w:sz w:val="22"/>
        </w:rPr>
      </w:pPr>
      <w:r w:rsidRPr="007E3D1A">
        <w:rPr>
          <w:rFonts w:cs="Arial"/>
          <w:sz w:val="22"/>
        </w:rPr>
        <w:t>L’Entreprise doit :</w:t>
      </w:r>
    </w:p>
    <w:p w14:paraId="47068500" w14:textId="77777777" w:rsidR="00871A3A" w:rsidRPr="007E3D1A" w:rsidRDefault="00871A3A" w:rsidP="00871A3A">
      <w:pPr>
        <w:rPr>
          <w:rFonts w:cs="Arial"/>
          <w:sz w:val="22"/>
        </w:rPr>
      </w:pPr>
    </w:p>
    <w:p w14:paraId="602919AE" w14:textId="77777777" w:rsidR="00871A3A" w:rsidRPr="007E3D1A" w:rsidRDefault="00871A3A" w:rsidP="00871A3A">
      <w:pPr>
        <w:rPr>
          <w:rFonts w:cs="Arial"/>
          <w:sz w:val="22"/>
        </w:rPr>
      </w:pPr>
      <w:r w:rsidRPr="007E3D1A">
        <w:rPr>
          <w:rFonts w:cs="Arial"/>
          <w:sz w:val="22"/>
        </w:rPr>
        <w:t>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 et</w:t>
      </w:r>
    </w:p>
    <w:p w14:paraId="23CB0965" w14:textId="77777777" w:rsidR="00871A3A" w:rsidRPr="007E3D1A" w:rsidRDefault="00871A3A" w:rsidP="00871A3A">
      <w:pPr>
        <w:rPr>
          <w:rFonts w:cs="Arial"/>
          <w:sz w:val="22"/>
        </w:rPr>
      </w:pPr>
      <w:r w:rsidRPr="007E3D1A">
        <w:rPr>
          <w:rFonts w:cs="Arial"/>
          <w:sz w:val="22"/>
        </w:rPr>
        <w:t>Informer le public en général, et les populations riveraines en particulier, de l’existence de ce journal, avec indication du lieu où il peut être consulté.</w:t>
      </w:r>
    </w:p>
    <w:p w14:paraId="3F3431B9" w14:textId="77777777" w:rsidR="00871A3A" w:rsidRPr="007E3D1A" w:rsidRDefault="00871A3A" w:rsidP="00871A3A">
      <w:pPr>
        <w:rPr>
          <w:rFonts w:cs="Arial"/>
          <w:sz w:val="22"/>
        </w:rPr>
      </w:pPr>
    </w:p>
    <w:p w14:paraId="50644B5D" w14:textId="77777777" w:rsidR="00871A3A" w:rsidRPr="007E3D1A" w:rsidRDefault="00871A3A" w:rsidP="00871A3A">
      <w:pPr>
        <w:rPr>
          <w:rFonts w:cs="Arial"/>
          <w:sz w:val="22"/>
        </w:rPr>
      </w:pPr>
      <w:r w:rsidRPr="007E3D1A">
        <w:rPr>
          <w:rFonts w:cs="Arial"/>
          <w:sz w:val="22"/>
        </w:rPr>
        <w:t>Assurer le suivi, tenir des registres et rendre compte sur les points suivants :</w:t>
      </w:r>
    </w:p>
    <w:p w14:paraId="32AC21BA" w14:textId="77777777" w:rsidR="00871A3A" w:rsidRPr="007E3D1A" w:rsidRDefault="00871A3A" w:rsidP="00871A3A">
      <w:pPr>
        <w:rPr>
          <w:rFonts w:cs="Arial"/>
          <w:sz w:val="22"/>
        </w:rPr>
      </w:pPr>
    </w:p>
    <w:p w14:paraId="1096A87A" w14:textId="77777777" w:rsidR="00871A3A" w:rsidRPr="007E3D1A" w:rsidRDefault="00871A3A" w:rsidP="00871A3A">
      <w:pPr>
        <w:rPr>
          <w:rFonts w:eastAsia="Calibri" w:cs="Arial"/>
          <w:sz w:val="22"/>
        </w:rPr>
      </w:pPr>
      <w:r w:rsidRPr="007E3D1A">
        <w:rPr>
          <w:rFonts w:eastAsia="Calibri" w:cs="Arial"/>
          <w:sz w:val="22"/>
        </w:rPr>
        <w:t>Disponibilité du personnel clé.  Responsable E3S, spécialiste de la gestion environnementale, spécialiste de la gestion sociale, spécialiste santé et sécurité, et responsable des relations avec les communautés.</w:t>
      </w:r>
    </w:p>
    <w:p w14:paraId="7ECA03DE" w14:textId="77777777" w:rsidR="00871A3A" w:rsidRPr="007E3D1A" w:rsidRDefault="00871A3A" w:rsidP="00871A3A">
      <w:pPr>
        <w:rPr>
          <w:rFonts w:eastAsia="Calibri" w:cs="Arial"/>
          <w:sz w:val="22"/>
        </w:rPr>
      </w:pPr>
    </w:p>
    <w:p w14:paraId="27035AA7" w14:textId="77777777" w:rsidR="00871A3A" w:rsidRPr="007E3D1A" w:rsidRDefault="00871A3A" w:rsidP="00871A3A">
      <w:pPr>
        <w:rPr>
          <w:rFonts w:eastAsia="Calibri" w:cs="Arial"/>
          <w:sz w:val="22"/>
        </w:rPr>
      </w:pPr>
      <w:r w:rsidRPr="007E3D1A">
        <w:rPr>
          <w:rFonts w:eastAsia="Calibri" w:cs="Arial"/>
          <w:sz w:val="22"/>
        </w:rPr>
        <w:t>Sécurité.  Heures travaillées, incidents enregistrables, et analyse des causes sous-jacentes</w:t>
      </w:r>
    </w:p>
    <w:p w14:paraId="46B98E03" w14:textId="77777777" w:rsidR="00871A3A" w:rsidRPr="007E3D1A" w:rsidRDefault="00871A3A" w:rsidP="00871A3A">
      <w:pPr>
        <w:rPr>
          <w:rFonts w:eastAsia="Calibri" w:cs="Arial"/>
          <w:sz w:val="22"/>
        </w:rPr>
      </w:pPr>
      <w:r w:rsidRPr="007E3D1A">
        <w:rPr>
          <w:rFonts w:eastAsia="Calibri" w:cs="Arial"/>
          <w:sz w:val="22"/>
        </w:rPr>
        <w:t>Incidents environnementaux et quasi-accidents. Incidents environnementaux et quasi-accidents à fort potentiel (poussière, érosion, déversements, dégradation de l'habitat), comment ils ont été résolus, ce qui reste à faire, et les leçons tirées.</w:t>
      </w:r>
    </w:p>
    <w:p w14:paraId="5789DEA8" w14:textId="77777777" w:rsidR="00871A3A" w:rsidRPr="007E3D1A" w:rsidRDefault="00871A3A" w:rsidP="00871A3A">
      <w:pPr>
        <w:rPr>
          <w:rFonts w:eastAsia="Calibri" w:cs="Arial"/>
          <w:sz w:val="22"/>
        </w:rPr>
      </w:pPr>
    </w:p>
    <w:p w14:paraId="5F2FBD81" w14:textId="77777777" w:rsidR="00871A3A" w:rsidRPr="007E3D1A" w:rsidRDefault="00871A3A" w:rsidP="00871A3A">
      <w:pPr>
        <w:rPr>
          <w:rFonts w:eastAsia="Calibri" w:cs="Arial"/>
          <w:sz w:val="22"/>
        </w:rPr>
      </w:pPr>
      <w:r w:rsidRPr="007E3D1A">
        <w:rPr>
          <w:rFonts w:eastAsia="Calibri" w:cs="Arial"/>
          <w:sz w:val="22"/>
        </w:rPr>
        <w:t>Accidents de la circulation (véhicules du projet et véhicules hors projet).  Indiquer la date, le lieu, les dommages, la cause, et le suivi.</w:t>
      </w:r>
    </w:p>
    <w:p w14:paraId="4585DBF9" w14:textId="77777777" w:rsidR="00871A3A" w:rsidRPr="007E3D1A" w:rsidRDefault="00871A3A" w:rsidP="00871A3A">
      <w:pPr>
        <w:rPr>
          <w:rFonts w:eastAsia="Calibri" w:cs="Arial"/>
          <w:sz w:val="22"/>
        </w:rPr>
      </w:pPr>
    </w:p>
    <w:p w14:paraId="3B54BEB1" w14:textId="77777777" w:rsidR="00871A3A" w:rsidRPr="007E3D1A" w:rsidRDefault="00871A3A" w:rsidP="00871A3A">
      <w:pPr>
        <w:rPr>
          <w:rFonts w:eastAsia="Calibri" w:cs="Arial"/>
          <w:sz w:val="22"/>
        </w:rPr>
      </w:pPr>
      <w:r w:rsidRPr="007E3D1A">
        <w:rPr>
          <w:rFonts w:eastAsia="Calibri" w:cs="Arial"/>
          <w:sz w:val="22"/>
        </w:rPr>
        <w:t>Statut des permis et des accords.  Zones/installations pour lesquelles des permis sont requis, dont les carrières, zones pour lesquelles des accords avec les propriétaires fonciers sont requis (zones d'emprunt et de déversement, campements).</w:t>
      </w:r>
    </w:p>
    <w:p w14:paraId="3D2460F8" w14:textId="77777777" w:rsidR="00871A3A" w:rsidRPr="007E3D1A" w:rsidRDefault="00871A3A" w:rsidP="00871A3A">
      <w:pPr>
        <w:rPr>
          <w:rFonts w:eastAsia="Calibri" w:cs="Arial"/>
          <w:sz w:val="22"/>
        </w:rPr>
      </w:pPr>
    </w:p>
    <w:p w14:paraId="37A8EDAD" w14:textId="77777777" w:rsidR="00871A3A" w:rsidRPr="007E3D1A" w:rsidRDefault="00871A3A" w:rsidP="00871A3A">
      <w:pPr>
        <w:rPr>
          <w:rFonts w:eastAsia="Calibri" w:cs="Arial"/>
          <w:sz w:val="22"/>
        </w:rPr>
      </w:pPr>
      <w:r w:rsidRPr="007E3D1A">
        <w:rPr>
          <w:rFonts w:eastAsia="Calibri" w:cs="Arial"/>
          <w:sz w:val="22"/>
        </w:rPr>
        <w:t>Principaux travaux.  Ceux qui ont été entrepris et achevés, les progrès réalisés par rapport au calendrier du projet, et les principales zones de travaux.</w:t>
      </w:r>
    </w:p>
    <w:p w14:paraId="66B2C8AF" w14:textId="77777777" w:rsidR="00871A3A" w:rsidRPr="007E3D1A" w:rsidRDefault="00871A3A" w:rsidP="00871A3A">
      <w:pPr>
        <w:rPr>
          <w:rFonts w:eastAsia="Calibri" w:cs="Arial"/>
          <w:sz w:val="22"/>
        </w:rPr>
      </w:pPr>
    </w:p>
    <w:p w14:paraId="73C9BC4F" w14:textId="77777777" w:rsidR="00871A3A" w:rsidRPr="007E3D1A" w:rsidRDefault="00871A3A" w:rsidP="00871A3A">
      <w:pPr>
        <w:rPr>
          <w:rFonts w:eastAsia="Calibri" w:cs="Arial"/>
          <w:sz w:val="22"/>
        </w:rPr>
      </w:pPr>
      <w:r w:rsidRPr="007E3D1A">
        <w:rPr>
          <w:rFonts w:eastAsia="Calibri" w:cs="Arial"/>
          <w:sz w:val="22"/>
        </w:rPr>
        <w:t>Prescriptions E3S.  Incidents de non-conformité avec les permis et la législation nationale (non-conformité légale), engagements du projet ou autres prescriptions E3S.</w:t>
      </w:r>
    </w:p>
    <w:p w14:paraId="1D4A21A1" w14:textId="77777777" w:rsidR="00871A3A" w:rsidRPr="007E3D1A" w:rsidRDefault="00871A3A" w:rsidP="00871A3A">
      <w:pPr>
        <w:rPr>
          <w:rFonts w:eastAsia="Calibri" w:cs="Arial"/>
          <w:sz w:val="22"/>
        </w:rPr>
      </w:pPr>
    </w:p>
    <w:p w14:paraId="3FF8EBF0" w14:textId="77777777" w:rsidR="00871A3A" w:rsidRPr="007E3D1A" w:rsidRDefault="00871A3A" w:rsidP="00871A3A">
      <w:pPr>
        <w:rPr>
          <w:rFonts w:eastAsia="Calibri" w:cs="Arial"/>
          <w:sz w:val="22"/>
        </w:rPr>
      </w:pPr>
      <w:r w:rsidRPr="007E3D1A">
        <w:rPr>
          <w:rFonts w:eastAsia="Calibri" w:cs="Arial"/>
          <w:sz w:val="22"/>
        </w:rPr>
        <w:t>Inspections et audits E3S.  Effectués par l’Entreprise, un ingénieur indépendant, lle Maître d’ouvrage délégué ou autre - avec indication de la date, du nom de l'inspecteur ou de l'auditeur, des sites visités et des dossiers examinés, des principales constatations et des mesures prises.</w:t>
      </w:r>
    </w:p>
    <w:p w14:paraId="4B8036D8" w14:textId="77777777" w:rsidR="00871A3A" w:rsidRPr="007E3D1A" w:rsidRDefault="00871A3A" w:rsidP="00871A3A">
      <w:pPr>
        <w:rPr>
          <w:rFonts w:eastAsia="Calibri" w:cs="Arial"/>
          <w:sz w:val="22"/>
        </w:rPr>
      </w:pPr>
    </w:p>
    <w:p w14:paraId="10C4E273" w14:textId="77777777" w:rsidR="00871A3A" w:rsidRPr="007E3D1A" w:rsidRDefault="00871A3A" w:rsidP="00871A3A">
      <w:pPr>
        <w:rPr>
          <w:rFonts w:eastAsia="Calibri" w:cs="Arial"/>
          <w:sz w:val="22"/>
        </w:rPr>
      </w:pPr>
      <w:r w:rsidRPr="007E3D1A">
        <w:rPr>
          <w:rFonts w:eastAsia="Calibri" w:cs="Arial"/>
          <w:sz w:val="22"/>
        </w:rPr>
        <w:t>Ouvriers.  Nombre d’ouvriers, indication de l'origine (expatrié, local, ressortissants non locaux), sexe, âge avec preuve qu'il n'y a pas de travail des enfants, et niveau de compétence (non qualifié, qualifié, supervision, professionnel, gestion).</w:t>
      </w:r>
    </w:p>
    <w:p w14:paraId="6C30116B" w14:textId="77777777" w:rsidR="00871A3A" w:rsidRPr="007E3D1A" w:rsidRDefault="00871A3A" w:rsidP="00871A3A">
      <w:pPr>
        <w:rPr>
          <w:rFonts w:eastAsia="Calibri" w:cs="Arial"/>
          <w:sz w:val="22"/>
        </w:rPr>
      </w:pPr>
    </w:p>
    <w:p w14:paraId="0B192631" w14:textId="77777777" w:rsidR="00871A3A" w:rsidRPr="007E3D1A" w:rsidRDefault="00871A3A" w:rsidP="00871A3A">
      <w:pPr>
        <w:rPr>
          <w:rFonts w:eastAsia="Calibri" w:cs="Arial"/>
          <w:sz w:val="22"/>
        </w:rPr>
      </w:pPr>
      <w:r w:rsidRPr="007E3D1A">
        <w:rPr>
          <w:rFonts w:eastAsia="Calibri" w:cs="Arial"/>
          <w:sz w:val="22"/>
        </w:rPr>
        <w:t>Logements.  État de la conformité des logements et campements avec la législation et les bonnes pratiques nationales et locales ; mesures prises pour recommander/exiger l'amélioration des conditions, ou pour améliorer les conditions.</w:t>
      </w:r>
    </w:p>
    <w:p w14:paraId="5EDAE411" w14:textId="77777777" w:rsidR="00871A3A" w:rsidRPr="007E3D1A" w:rsidRDefault="00871A3A" w:rsidP="00871A3A">
      <w:pPr>
        <w:rPr>
          <w:rFonts w:eastAsia="Calibri" w:cs="Arial"/>
          <w:sz w:val="22"/>
        </w:rPr>
      </w:pPr>
    </w:p>
    <w:p w14:paraId="0E6C37D8" w14:textId="77777777" w:rsidR="00871A3A" w:rsidRPr="007E3D1A" w:rsidRDefault="00871A3A" w:rsidP="00871A3A">
      <w:pPr>
        <w:rPr>
          <w:rFonts w:eastAsia="Calibri" w:cs="Arial"/>
          <w:sz w:val="22"/>
        </w:rPr>
      </w:pPr>
      <w:r w:rsidRPr="007E3D1A">
        <w:rPr>
          <w:rFonts w:eastAsia="Calibri" w:cs="Arial"/>
          <w:sz w:val="22"/>
        </w:rPr>
        <w:t>Formation E3S.  Y compris abus et exploitation sexuels : dates, nombre de stagiaires et thèmes.</w:t>
      </w:r>
    </w:p>
    <w:p w14:paraId="68A720E0" w14:textId="77777777" w:rsidR="00871A3A" w:rsidRPr="007E3D1A" w:rsidRDefault="00871A3A" w:rsidP="00871A3A">
      <w:pPr>
        <w:rPr>
          <w:rFonts w:eastAsia="Calibri" w:cs="Arial"/>
          <w:sz w:val="22"/>
        </w:rPr>
      </w:pPr>
    </w:p>
    <w:p w14:paraId="6EA50F2F" w14:textId="77777777" w:rsidR="00871A3A" w:rsidRPr="007E3D1A" w:rsidRDefault="00871A3A" w:rsidP="00871A3A">
      <w:pPr>
        <w:rPr>
          <w:rFonts w:eastAsia="Calibri" w:cs="Arial"/>
          <w:sz w:val="22"/>
        </w:rPr>
      </w:pPr>
      <w:r w:rsidRPr="007E3D1A">
        <w:rPr>
          <w:rFonts w:eastAsia="Calibri" w:cs="Arial"/>
          <w:sz w:val="22"/>
        </w:rPr>
        <w:t>Gestion de l'emprise.  Détails de tous travaux effectués en dehors des limites du site ou des impacts majeurs hors site causés par la construction en cours - y compris la date, le lieu, les impacts et les activités entreprises.</w:t>
      </w:r>
    </w:p>
    <w:p w14:paraId="4D4467CC" w14:textId="77777777" w:rsidR="00871A3A" w:rsidRPr="007E3D1A" w:rsidRDefault="00871A3A" w:rsidP="00871A3A">
      <w:pPr>
        <w:rPr>
          <w:rFonts w:eastAsia="Calibri" w:cs="Arial"/>
          <w:sz w:val="22"/>
        </w:rPr>
      </w:pPr>
    </w:p>
    <w:p w14:paraId="544EE256" w14:textId="77777777" w:rsidR="00871A3A" w:rsidRPr="007E3D1A" w:rsidRDefault="00871A3A" w:rsidP="00871A3A">
      <w:pPr>
        <w:rPr>
          <w:rFonts w:eastAsia="Calibri" w:cs="Arial"/>
          <w:sz w:val="22"/>
        </w:rPr>
      </w:pPr>
      <w:r w:rsidRPr="007E3D1A">
        <w:rPr>
          <w:rFonts w:eastAsia="Calibri" w:cs="Arial"/>
          <w:sz w:val="22"/>
        </w:rPr>
        <w:t>Engagement des parties prenantes externes.  Faits marquants, y compris les réunions formelles et informelles, ainsi que la divulgation et la diffusion des informations, y compris une ventilation des femmes et des hommes consultés.</w:t>
      </w:r>
    </w:p>
    <w:p w14:paraId="714DE64A" w14:textId="77777777" w:rsidR="00871A3A" w:rsidRPr="007E3D1A" w:rsidRDefault="00871A3A" w:rsidP="00871A3A">
      <w:pPr>
        <w:rPr>
          <w:rFonts w:eastAsia="Calibri" w:cs="Arial"/>
          <w:sz w:val="22"/>
        </w:rPr>
      </w:pPr>
    </w:p>
    <w:p w14:paraId="5488980C" w14:textId="77777777" w:rsidR="00871A3A" w:rsidRPr="007E3D1A" w:rsidRDefault="00871A3A" w:rsidP="00871A3A">
      <w:pPr>
        <w:rPr>
          <w:rFonts w:eastAsia="Calibri" w:cs="Arial"/>
          <w:sz w:val="22"/>
        </w:rPr>
      </w:pPr>
      <w:r w:rsidRPr="007E3D1A">
        <w:rPr>
          <w:rFonts w:eastAsia="Calibri" w:cs="Arial"/>
          <w:sz w:val="22"/>
        </w:rPr>
        <w:t>Griefs des parties prenantes externes.  Grief et date de soumission, action(s) prise(s) et date(s), résolution (le cas échéant) et date, et suivi à prendre - les griefs énumérés doivent inclure ceux reçus depuis le rapport précédent et ceux qui n'étaient pas résolus au moment de ce rapport.  Les données relatives aux griefs doivent être ventilées par sexe.</w:t>
      </w:r>
    </w:p>
    <w:p w14:paraId="173DE53F" w14:textId="77777777" w:rsidR="00871A3A" w:rsidRPr="007E3D1A" w:rsidRDefault="00871A3A" w:rsidP="00871A3A">
      <w:pPr>
        <w:rPr>
          <w:rFonts w:eastAsia="Calibri" w:cs="Arial"/>
          <w:sz w:val="22"/>
        </w:rPr>
      </w:pPr>
    </w:p>
    <w:p w14:paraId="3C90500B" w14:textId="77777777" w:rsidR="00871A3A" w:rsidRPr="007E3D1A" w:rsidRDefault="00871A3A" w:rsidP="00871A3A">
      <w:pPr>
        <w:rPr>
          <w:rFonts w:eastAsia="Calibri" w:cs="Arial"/>
          <w:sz w:val="22"/>
        </w:rPr>
      </w:pPr>
      <w:r w:rsidRPr="007E3D1A">
        <w:rPr>
          <w:rFonts w:eastAsia="Calibri" w:cs="Arial"/>
          <w:sz w:val="22"/>
        </w:rPr>
        <w:t>Risques de sécurité.  Détails des risques auxquels les ouvriers peuvent être exposés pendant l'exécution de leur travail - les menaces peuvent provenir de tiers extérieurs au projet.</w:t>
      </w:r>
    </w:p>
    <w:p w14:paraId="075B8BA5" w14:textId="77777777" w:rsidR="00871A3A" w:rsidRPr="007E3D1A" w:rsidRDefault="00871A3A" w:rsidP="00871A3A">
      <w:pPr>
        <w:rPr>
          <w:rFonts w:eastAsia="Calibri" w:cs="Arial"/>
          <w:sz w:val="22"/>
        </w:rPr>
      </w:pPr>
    </w:p>
    <w:p w14:paraId="5E08DDA8" w14:textId="77777777" w:rsidR="00871A3A" w:rsidRPr="007E3D1A" w:rsidRDefault="00871A3A" w:rsidP="00871A3A">
      <w:pPr>
        <w:rPr>
          <w:rFonts w:eastAsia="Calibri" w:cs="Arial"/>
          <w:sz w:val="22"/>
        </w:rPr>
      </w:pPr>
      <w:r w:rsidRPr="007E3D1A">
        <w:rPr>
          <w:rFonts w:eastAsia="Calibri" w:cs="Arial"/>
          <w:sz w:val="22"/>
        </w:rPr>
        <w:t>Réclamations des ouvriers et employés.  Détails, y compris la date de l'incident, la réclamation et la date à laquelle elle a été soumise ; les mesures prises et les dates ; la résolution (le cas échéant) et la date ; et le suivi qui reste à faire - les réclamations doivent inclure celles reçues depuis le rapport précédent et celles qui n'étaient pas résolues au moment du nouveau rapport.</w:t>
      </w:r>
    </w:p>
    <w:p w14:paraId="152C5006" w14:textId="77777777" w:rsidR="00871A3A" w:rsidRPr="007E3D1A" w:rsidRDefault="00871A3A" w:rsidP="00871A3A">
      <w:pPr>
        <w:rPr>
          <w:rFonts w:eastAsia="Calibri" w:cs="Arial"/>
          <w:sz w:val="22"/>
        </w:rPr>
      </w:pPr>
    </w:p>
    <w:p w14:paraId="6006AF6C" w14:textId="77777777" w:rsidR="00871A3A" w:rsidRPr="007E3D1A" w:rsidRDefault="00871A3A" w:rsidP="00871A3A">
      <w:pPr>
        <w:rPr>
          <w:rFonts w:eastAsia="Calibri" w:cs="Arial"/>
          <w:sz w:val="22"/>
        </w:rPr>
      </w:pPr>
      <w:r w:rsidRPr="007E3D1A">
        <w:rPr>
          <w:rFonts w:eastAsia="Calibri" w:cs="Arial"/>
          <w:sz w:val="22"/>
        </w:rPr>
        <w:t>Changements majeurs apportés aux pratiques environnementales et sociales de l’Entreprise.</w:t>
      </w:r>
    </w:p>
    <w:p w14:paraId="7B84B9BE" w14:textId="77777777" w:rsidR="00871A3A" w:rsidRPr="007E3D1A" w:rsidRDefault="00871A3A" w:rsidP="00871A3A">
      <w:pPr>
        <w:rPr>
          <w:rFonts w:eastAsia="Calibri" w:cs="Arial"/>
          <w:sz w:val="22"/>
        </w:rPr>
      </w:pPr>
      <w:r w:rsidRPr="007E3D1A">
        <w:rPr>
          <w:rFonts w:eastAsia="Calibri" w:cs="Arial"/>
          <w:sz w:val="22"/>
        </w:rPr>
        <w:t>Gestion des insuffisances et de la performance E3S.  Les mesures prises en réponse à des avis d'insuffisance ou à des observations antérieures concernant les performances en matière d'E3S et/ou les plans d'actions à prendre.  Ces mesures ou plans doivent continuer à être signalés au Maître d’ouvrage délégué jusqu'à ce que celle-ci détermine que le problème est résolu de manière satisfaisante.</w:t>
      </w:r>
    </w:p>
    <w:p w14:paraId="2DD6A35D" w14:textId="77777777" w:rsidR="00871A3A" w:rsidRPr="007E3D1A" w:rsidRDefault="00871A3A" w:rsidP="00871A3A">
      <w:pPr>
        <w:rPr>
          <w:rFonts w:eastAsia="Calibri" w:cs="Arial"/>
          <w:sz w:val="22"/>
        </w:rPr>
      </w:pPr>
    </w:p>
    <w:p w14:paraId="1E45EBA6" w14:textId="77777777" w:rsidR="00871A3A" w:rsidRPr="007E3D1A" w:rsidRDefault="00871A3A" w:rsidP="00871A3A">
      <w:pPr>
        <w:rPr>
          <w:rFonts w:cs="Arial"/>
          <w:sz w:val="22"/>
        </w:rPr>
      </w:pPr>
      <w:r w:rsidRPr="007E3D1A">
        <w:rPr>
          <w:rFonts w:cs="Arial"/>
          <w:sz w:val="22"/>
        </w:rPr>
        <w:t xml:space="preserve">Clauses environnementales et sociales liées à la phase d’exploitation et entretien des ouvrages </w:t>
      </w:r>
    </w:p>
    <w:p w14:paraId="7B6DF001" w14:textId="77777777" w:rsidR="00871A3A" w:rsidRPr="007E3D1A" w:rsidRDefault="00871A3A" w:rsidP="00871A3A">
      <w:pPr>
        <w:rPr>
          <w:rFonts w:cs="Arial"/>
          <w:sz w:val="22"/>
        </w:rPr>
      </w:pPr>
    </w:p>
    <w:p w14:paraId="439D591D" w14:textId="77777777" w:rsidR="00871A3A" w:rsidRPr="007E3D1A" w:rsidRDefault="00871A3A" w:rsidP="00871A3A">
      <w:pPr>
        <w:rPr>
          <w:rFonts w:cs="Arial"/>
          <w:sz w:val="22"/>
        </w:rPr>
      </w:pPr>
      <w:r w:rsidRPr="007E3D1A">
        <w:rPr>
          <w:rFonts w:cs="Arial"/>
          <w:sz w:val="22"/>
        </w:rPr>
        <w:t>L’entretien et l’exploitation des différents sous-projets seront assurés par les entités bénéficiaires à savoir le service technique sectoriel (OVDA pour les routes de desserte agricole, RVF pour les voies navigables, l’administration locale pour les marchés et dépôt agricoles). Pour assurer une bonne gestion environnementale et sociale durant cette phase les entités adopteront les dispositions suivantes :</w:t>
      </w:r>
    </w:p>
    <w:p w14:paraId="06708608" w14:textId="77777777" w:rsidR="00871A3A" w:rsidRPr="007E3D1A" w:rsidRDefault="00871A3A" w:rsidP="00871A3A">
      <w:pPr>
        <w:rPr>
          <w:rFonts w:cs="Arial"/>
          <w:sz w:val="22"/>
        </w:rPr>
      </w:pPr>
      <w:r w:rsidRPr="007E3D1A">
        <w:rPr>
          <w:rFonts w:cs="Arial"/>
          <w:sz w:val="22"/>
        </w:rPr>
        <w:t xml:space="preserve"> </w:t>
      </w:r>
    </w:p>
    <w:p w14:paraId="25D281E0" w14:textId="77777777" w:rsidR="00871A3A" w:rsidRPr="007E3D1A" w:rsidRDefault="00871A3A" w:rsidP="00871A3A">
      <w:pPr>
        <w:rPr>
          <w:rFonts w:cs="Arial"/>
          <w:sz w:val="22"/>
        </w:rPr>
      </w:pPr>
      <w:r w:rsidRPr="007E3D1A">
        <w:rPr>
          <w:rFonts w:cs="Arial"/>
          <w:sz w:val="22"/>
        </w:rPr>
        <w:t xml:space="preserve">Dispositions particulières pour la phase d’exploitation </w:t>
      </w:r>
    </w:p>
    <w:p w14:paraId="17CD4538" w14:textId="77777777" w:rsidR="00871A3A" w:rsidRPr="007E3D1A" w:rsidRDefault="00871A3A" w:rsidP="00871A3A">
      <w:pPr>
        <w:rPr>
          <w:rFonts w:cs="Arial"/>
          <w:sz w:val="22"/>
        </w:rPr>
      </w:pPr>
    </w:p>
    <w:p w14:paraId="38E53CD3" w14:textId="77777777" w:rsidR="00871A3A" w:rsidRPr="007E3D1A" w:rsidRDefault="00871A3A" w:rsidP="00871A3A">
      <w:pPr>
        <w:rPr>
          <w:rFonts w:cs="Arial"/>
          <w:sz w:val="22"/>
        </w:rPr>
      </w:pPr>
      <w:r w:rsidRPr="007E3D1A">
        <w:rPr>
          <w:rFonts w:cs="Arial"/>
          <w:sz w:val="22"/>
        </w:rPr>
        <w:t>Les prescriptions environnementales et sociales ci-dessous reprennent les principales dispositions destinées à limiter les impacts environnementaux et sociaux pendant la phase d’exploitation</w:t>
      </w:r>
    </w:p>
    <w:p w14:paraId="4D5B4F6E" w14:textId="77777777" w:rsidR="00871A3A" w:rsidRPr="007E3D1A" w:rsidRDefault="00871A3A" w:rsidP="00871A3A">
      <w:pPr>
        <w:rPr>
          <w:rFonts w:cs="Arial"/>
          <w:sz w:val="22"/>
        </w:rPr>
      </w:pPr>
    </w:p>
    <w:p w14:paraId="43031490" w14:textId="77777777" w:rsidR="00871A3A" w:rsidRPr="007E3D1A" w:rsidRDefault="00871A3A" w:rsidP="00871A3A">
      <w:pPr>
        <w:rPr>
          <w:rFonts w:cs="Arial"/>
          <w:sz w:val="22"/>
        </w:rPr>
      </w:pPr>
      <w:r w:rsidRPr="007E3D1A">
        <w:rPr>
          <w:rFonts w:cs="Arial"/>
          <w:sz w:val="22"/>
        </w:rPr>
        <w:t xml:space="preserve">Responsable Hygiène, Santé, Sécurité et Environnement </w:t>
      </w:r>
    </w:p>
    <w:p w14:paraId="6838BDD7" w14:textId="77777777" w:rsidR="00871A3A" w:rsidRPr="007E3D1A" w:rsidRDefault="00871A3A" w:rsidP="00871A3A">
      <w:pPr>
        <w:rPr>
          <w:rFonts w:cs="Arial"/>
          <w:sz w:val="22"/>
        </w:rPr>
      </w:pPr>
    </w:p>
    <w:p w14:paraId="63D7BFAA" w14:textId="77777777" w:rsidR="00871A3A" w:rsidRPr="007E3D1A" w:rsidRDefault="00871A3A" w:rsidP="00871A3A">
      <w:pPr>
        <w:rPr>
          <w:rFonts w:cs="Arial"/>
          <w:sz w:val="22"/>
        </w:rPr>
      </w:pPr>
      <w:r w:rsidRPr="007E3D1A">
        <w:rPr>
          <w:rFonts w:cs="Arial"/>
          <w:sz w:val="22"/>
        </w:rPr>
        <w:t>Chaque Entité bénéficiaire d’un sous projet doit désigner parmi son personnel un responsable Hygiene ,Santé, Sécurité et Environnement (RHSSE) qui fera le suivi des prescriptions environnementales, sociales, sanitaires, et sécuritaires  sur le site du sous-projet tant pour ses employés ainsi que pour la population riveraine.</w:t>
      </w:r>
    </w:p>
    <w:p w14:paraId="66E0BF70" w14:textId="77777777" w:rsidR="00871A3A" w:rsidRPr="007E3D1A" w:rsidRDefault="00871A3A" w:rsidP="00871A3A">
      <w:pPr>
        <w:rPr>
          <w:rFonts w:cs="Arial"/>
          <w:sz w:val="22"/>
        </w:rPr>
      </w:pPr>
    </w:p>
    <w:p w14:paraId="571D0DFE" w14:textId="77777777" w:rsidR="00871A3A" w:rsidRPr="007E3D1A" w:rsidRDefault="00871A3A" w:rsidP="00871A3A">
      <w:pPr>
        <w:rPr>
          <w:rFonts w:cs="Arial"/>
          <w:sz w:val="22"/>
        </w:rPr>
      </w:pPr>
      <w:r w:rsidRPr="007E3D1A">
        <w:rPr>
          <w:rFonts w:cs="Arial"/>
          <w:sz w:val="22"/>
        </w:rPr>
        <w:t xml:space="preserve">Dispositions pour la gestion des déchets </w:t>
      </w:r>
    </w:p>
    <w:p w14:paraId="10AEAF1B" w14:textId="77777777" w:rsidR="00871A3A" w:rsidRPr="007E3D1A" w:rsidRDefault="00871A3A" w:rsidP="00871A3A">
      <w:pPr>
        <w:rPr>
          <w:rFonts w:cs="Arial"/>
          <w:sz w:val="22"/>
        </w:rPr>
      </w:pPr>
    </w:p>
    <w:p w14:paraId="18804C85" w14:textId="77777777" w:rsidR="00871A3A" w:rsidRPr="007E3D1A" w:rsidRDefault="00871A3A" w:rsidP="00871A3A">
      <w:pPr>
        <w:rPr>
          <w:rFonts w:cs="Arial"/>
          <w:sz w:val="22"/>
        </w:rPr>
      </w:pPr>
      <w:r w:rsidRPr="007E3D1A">
        <w:rPr>
          <w:rFonts w:cs="Arial"/>
          <w:sz w:val="22"/>
        </w:rPr>
        <w:t xml:space="preserve">Chaque Entité bénéficiaire va assurer la gestion des déchets liés à l’exploitation et l’entretien des infrastructures du sous-projet. Il devra assurer la collecte et l’évacuation des déchets vers les sites autorisés pendant la phase d’exploitation. </w:t>
      </w:r>
    </w:p>
    <w:p w14:paraId="0D043627" w14:textId="77777777" w:rsidR="00871A3A" w:rsidRPr="007E3D1A" w:rsidRDefault="00871A3A" w:rsidP="00871A3A">
      <w:pPr>
        <w:rPr>
          <w:rFonts w:eastAsia="Calibri" w:cs="Arial"/>
          <w:sz w:val="22"/>
        </w:rPr>
      </w:pPr>
    </w:p>
    <w:p w14:paraId="759E339B" w14:textId="77777777" w:rsidR="00871A3A" w:rsidRPr="007E3D1A" w:rsidRDefault="00871A3A" w:rsidP="00871A3A">
      <w:pPr>
        <w:rPr>
          <w:rFonts w:cs="Arial"/>
          <w:sz w:val="22"/>
        </w:rPr>
      </w:pPr>
      <w:r w:rsidRPr="007E3D1A">
        <w:rPr>
          <w:rFonts w:cs="Arial"/>
          <w:sz w:val="22"/>
        </w:rPr>
        <w:t xml:space="preserve">Entretien des ouvrages d’assainissement, la lutte contre l’érosion et l’ensablement </w:t>
      </w:r>
    </w:p>
    <w:p w14:paraId="512EBF6A" w14:textId="77777777" w:rsidR="00871A3A" w:rsidRPr="007E3D1A" w:rsidRDefault="00871A3A" w:rsidP="00871A3A">
      <w:pPr>
        <w:rPr>
          <w:rFonts w:cs="Arial"/>
          <w:sz w:val="22"/>
        </w:rPr>
      </w:pPr>
    </w:p>
    <w:p w14:paraId="097213F6" w14:textId="77777777" w:rsidR="00871A3A" w:rsidRPr="007E3D1A" w:rsidRDefault="00871A3A" w:rsidP="00871A3A">
      <w:pPr>
        <w:rPr>
          <w:rFonts w:cs="Arial"/>
          <w:sz w:val="22"/>
        </w:rPr>
      </w:pPr>
      <w:r w:rsidRPr="007E3D1A">
        <w:rPr>
          <w:rFonts w:cs="Arial"/>
          <w:sz w:val="22"/>
        </w:rPr>
        <w:t xml:space="preserve">L’Entité bénéficiaire va périodiquement procéder au curage des ouvrages d’assainissement se trouvant sur le site du sous-projet pour limiter les érosions, les inondations et l’ensablement. Les travaux d’entretien concernent également le curage des cours d’eau servant d’exutoire, </w:t>
      </w:r>
    </w:p>
    <w:p w14:paraId="78747EA9" w14:textId="77777777" w:rsidR="00871A3A" w:rsidRPr="007E3D1A" w:rsidRDefault="00871A3A" w:rsidP="00871A3A">
      <w:pPr>
        <w:rPr>
          <w:rFonts w:cs="Arial"/>
          <w:sz w:val="22"/>
        </w:rPr>
      </w:pPr>
    </w:p>
    <w:p w14:paraId="282BFF60" w14:textId="77777777" w:rsidR="00871A3A" w:rsidRPr="007E3D1A" w:rsidRDefault="00871A3A" w:rsidP="00871A3A">
      <w:pPr>
        <w:rPr>
          <w:rFonts w:cs="Arial"/>
          <w:sz w:val="22"/>
        </w:rPr>
      </w:pPr>
      <w:r w:rsidRPr="007E3D1A">
        <w:rPr>
          <w:rFonts w:cs="Arial"/>
          <w:sz w:val="22"/>
        </w:rPr>
        <w:t>Gestion de la Main-D'œuvre et Conditions de Travail</w:t>
      </w:r>
    </w:p>
    <w:p w14:paraId="3AF0C198" w14:textId="77777777" w:rsidR="00871A3A" w:rsidRPr="007E3D1A" w:rsidRDefault="00871A3A" w:rsidP="00871A3A">
      <w:pPr>
        <w:rPr>
          <w:rFonts w:cs="Arial"/>
          <w:sz w:val="22"/>
        </w:rPr>
      </w:pPr>
      <w:r w:rsidRPr="007E3D1A">
        <w:rPr>
          <w:rFonts w:cs="Arial"/>
          <w:sz w:val="22"/>
        </w:rPr>
        <w:t>L’Entité bénéficiaire devra respecter le Code du Travail de la RDC et S’assurer que les conditions de travail de ses employés respectent les lois et règlements nationaux en vigueur, Il doit:</w:t>
      </w:r>
    </w:p>
    <w:p w14:paraId="413FB524" w14:textId="77777777" w:rsidR="00871A3A" w:rsidRPr="007E3D1A" w:rsidRDefault="00871A3A" w:rsidP="00871A3A">
      <w:pPr>
        <w:rPr>
          <w:rFonts w:cs="Arial"/>
          <w:sz w:val="22"/>
        </w:rPr>
      </w:pPr>
      <w:r w:rsidRPr="007E3D1A">
        <w:rPr>
          <w:rFonts w:cs="Arial"/>
          <w:sz w:val="22"/>
        </w:rPr>
        <w:t>Éviter strictement d’employer directement ou indirectement des enfants et les mineurs pendant l’exploitation des infrastructures ;</w:t>
      </w:r>
    </w:p>
    <w:p w14:paraId="44150683" w14:textId="77777777" w:rsidR="00871A3A" w:rsidRPr="007E3D1A" w:rsidRDefault="00871A3A" w:rsidP="00871A3A">
      <w:pPr>
        <w:rPr>
          <w:rFonts w:cs="Arial"/>
          <w:sz w:val="22"/>
        </w:rPr>
      </w:pPr>
      <w:r w:rsidRPr="007E3D1A">
        <w:rPr>
          <w:rFonts w:cs="Arial"/>
          <w:sz w:val="22"/>
        </w:rPr>
        <w:t>Interdire à son personnel la consommation  des stupéfiants et des boissons alcoolisées pendant les heures de travail ;</w:t>
      </w:r>
    </w:p>
    <w:p w14:paraId="75A7A0A9" w14:textId="77777777" w:rsidR="00871A3A" w:rsidRPr="007E3D1A" w:rsidRDefault="00871A3A" w:rsidP="00871A3A">
      <w:pPr>
        <w:rPr>
          <w:rFonts w:cs="Arial"/>
          <w:sz w:val="22"/>
        </w:rPr>
      </w:pPr>
      <w:r w:rsidRPr="007E3D1A">
        <w:rPr>
          <w:rFonts w:cs="Arial"/>
          <w:sz w:val="22"/>
        </w:rPr>
        <w:t>Veiller à l'égalité des sexes pendant le recrutement de personnel et faciliter l’emploi des femmes.</w:t>
      </w:r>
    </w:p>
    <w:p w14:paraId="3ACB61C4" w14:textId="77777777" w:rsidR="00871A3A" w:rsidRPr="007E3D1A" w:rsidRDefault="00871A3A" w:rsidP="00871A3A">
      <w:pPr>
        <w:rPr>
          <w:rFonts w:cs="Arial"/>
          <w:sz w:val="22"/>
        </w:rPr>
      </w:pPr>
    </w:p>
    <w:p w14:paraId="2772651C" w14:textId="77777777" w:rsidR="00871A3A" w:rsidRPr="007E3D1A" w:rsidRDefault="00871A3A" w:rsidP="00871A3A">
      <w:pPr>
        <w:rPr>
          <w:rFonts w:cs="Arial"/>
          <w:sz w:val="22"/>
        </w:rPr>
      </w:pPr>
      <w:r w:rsidRPr="007E3D1A">
        <w:rPr>
          <w:rFonts w:cs="Arial"/>
          <w:sz w:val="22"/>
        </w:rPr>
        <w:t>COVID-19</w:t>
      </w:r>
    </w:p>
    <w:p w14:paraId="6A9DB2E5" w14:textId="77777777" w:rsidR="00871A3A" w:rsidRPr="007E3D1A" w:rsidRDefault="00871A3A" w:rsidP="00871A3A">
      <w:pPr>
        <w:rPr>
          <w:rFonts w:cs="Arial"/>
          <w:sz w:val="22"/>
        </w:rPr>
      </w:pPr>
    </w:p>
    <w:p w14:paraId="3EE4DF39" w14:textId="77777777" w:rsidR="00871A3A" w:rsidRPr="007E3D1A" w:rsidRDefault="00871A3A" w:rsidP="00871A3A">
      <w:pPr>
        <w:rPr>
          <w:rFonts w:cs="Arial"/>
          <w:sz w:val="22"/>
        </w:rPr>
      </w:pPr>
      <w:r w:rsidRPr="007E3D1A">
        <w:rPr>
          <w:rFonts w:cs="Arial"/>
          <w:sz w:val="22"/>
        </w:rPr>
        <w:t>Dans le contexte de la pandémie COVID-19, l’Entité bénéficiaire devra élaborer et mettre en œuvre des mesures visant à prévenir ou à réduire au minimum la pandémie, et indiquant ce qu'il convient de faire si un travailleur tombe malade :</w:t>
      </w:r>
    </w:p>
    <w:p w14:paraId="6D5453FD" w14:textId="77777777" w:rsidR="00871A3A" w:rsidRPr="007E3D1A" w:rsidRDefault="00871A3A" w:rsidP="00871A3A">
      <w:pPr>
        <w:rPr>
          <w:rFonts w:cs="Arial"/>
          <w:sz w:val="22"/>
        </w:rPr>
      </w:pPr>
      <w:r w:rsidRPr="007E3D1A">
        <w:rPr>
          <w:rFonts w:cs="Arial"/>
          <w:sz w:val="22"/>
        </w:rPr>
        <w:t xml:space="preserve">  </w:t>
      </w:r>
    </w:p>
    <w:p w14:paraId="5726F949" w14:textId="77777777" w:rsidR="00871A3A" w:rsidRPr="007E3D1A" w:rsidRDefault="00871A3A" w:rsidP="00871A3A">
      <w:pPr>
        <w:rPr>
          <w:rFonts w:cs="Arial"/>
          <w:sz w:val="22"/>
        </w:rPr>
      </w:pPr>
      <w:r w:rsidRPr="007E3D1A">
        <w:rPr>
          <w:rFonts w:cs="Arial"/>
          <w:sz w:val="22"/>
        </w:rPr>
        <w:t>Appliquer les mesures barrières ;</w:t>
      </w:r>
    </w:p>
    <w:p w14:paraId="0D364069" w14:textId="77777777" w:rsidR="00871A3A" w:rsidRPr="007E3D1A" w:rsidRDefault="00871A3A" w:rsidP="00871A3A">
      <w:pPr>
        <w:rPr>
          <w:rFonts w:cs="Arial"/>
          <w:sz w:val="22"/>
        </w:rPr>
      </w:pPr>
    </w:p>
    <w:p w14:paraId="7551BC48" w14:textId="77777777" w:rsidR="00871A3A" w:rsidRPr="007E3D1A" w:rsidRDefault="00871A3A" w:rsidP="00871A3A">
      <w:pPr>
        <w:rPr>
          <w:rFonts w:cs="Arial"/>
          <w:sz w:val="22"/>
        </w:rPr>
      </w:pPr>
      <w:r w:rsidRPr="007E3D1A">
        <w:rPr>
          <w:rFonts w:cs="Arial"/>
          <w:sz w:val="22"/>
        </w:rPr>
        <w:t xml:space="preserve">(port des masques, contrôle de température et lavage des mains l'entrée en refusant l’accès au site aux travailleurs et visiteurs malades </w:t>
      </w:r>
    </w:p>
    <w:p w14:paraId="5BB10293" w14:textId="77777777" w:rsidR="00871A3A" w:rsidRPr="007E3D1A" w:rsidRDefault="00871A3A" w:rsidP="00871A3A">
      <w:pPr>
        <w:rPr>
          <w:rFonts w:cs="Arial"/>
          <w:sz w:val="22"/>
        </w:rPr>
      </w:pPr>
      <w:r w:rsidRPr="007E3D1A">
        <w:rPr>
          <w:rFonts w:cs="Arial"/>
          <w:sz w:val="22"/>
        </w:rPr>
        <w:t>Former le RHSSE sur l'hygiène et les mesures préventives, et mettre en œuvre une stratégie de communication, y compris des mises à jour régulières sur les questions liées à COVID-19 ;</w:t>
      </w:r>
    </w:p>
    <w:p w14:paraId="30BCBB50" w14:textId="77777777" w:rsidR="00871A3A" w:rsidRPr="007E3D1A" w:rsidRDefault="00871A3A" w:rsidP="00871A3A">
      <w:pPr>
        <w:rPr>
          <w:rFonts w:cs="Arial"/>
          <w:sz w:val="22"/>
        </w:rPr>
      </w:pPr>
      <w:r w:rsidRPr="007E3D1A">
        <w:rPr>
          <w:rFonts w:cs="Arial"/>
          <w:sz w:val="22"/>
        </w:rPr>
        <w:t>Adapter des pratiques de travail permettant de réduire le nombre de travailleurs et d’accroître la distance sociale ;</w:t>
      </w:r>
    </w:p>
    <w:p w14:paraId="536AB3D8" w14:textId="77777777" w:rsidR="00871A3A" w:rsidRPr="007E3D1A" w:rsidRDefault="00871A3A" w:rsidP="00871A3A">
      <w:pPr>
        <w:rPr>
          <w:rFonts w:cs="Arial"/>
          <w:sz w:val="22"/>
        </w:rPr>
      </w:pPr>
      <w:r w:rsidRPr="007E3D1A">
        <w:rPr>
          <w:rFonts w:cs="Arial"/>
          <w:sz w:val="22"/>
        </w:rPr>
        <w:t>Développer les relations avec les établissements de santé locaux, et organiser le traitement des travailleurs malades ;</w:t>
      </w:r>
    </w:p>
    <w:p w14:paraId="3F823FC2" w14:textId="77777777" w:rsidR="00871A3A" w:rsidRPr="007E3D1A" w:rsidRDefault="00871A3A" w:rsidP="00871A3A">
      <w:pPr>
        <w:rPr>
          <w:rFonts w:cs="Arial"/>
          <w:sz w:val="22"/>
        </w:rPr>
      </w:pPr>
      <w:r w:rsidRPr="007E3D1A">
        <w:rPr>
          <w:rFonts w:cs="Arial"/>
          <w:sz w:val="22"/>
        </w:rPr>
        <w:t>Établir la procédure à suivre si un travailleur tombe malade (en suivant les directives de l'OMS) ;</w:t>
      </w:r>
    </w:p>
    <w:p w14:paraId="02D4CA99" w14:textId="77777777" w:rsidR="00871A3A" w:rsidRPr="007E3D1A" w:rsidRDefault="00871A3A" w:rsidP="00871A3A">
      <w:pPr>
        <w:rPr>
          <w:rFonts w:cs="Arial"/>
          <w:sz w:val="22"/>
        </w:rPr>
      </w:pPr>
      <w:r w:rsidRPr="007E3D1A">
        <w:rPr>
          <w:rFonts w:cs="Arial"/>
          <w:sz w:val="22"/>
        </w:rPr>
        <w:t>Mettre en œuvre une stratégie de communication avec la communauté, les dirigeants communautaires et les autorités locales en ce qui concerne les questions relatives à COVID-19 sur les sites du sous Projet.</w:t>
      </w:r>
    </w:p>
    <w:p w14:paraId="386D103F" w14:textId="77777777" w:rsidR="00871A3A" w:rsidRPr="007E3D1A" w:rsidRDefault="00871A3A" w:rsidP="00871A3A">
      <w:pPr>
        <w:rPr>
          <w:rFonts w:cs="Arial"/>
          <w:sz w:val="22"/>
        </w:rPr>
      </w:pPr>
    </w:p>
    <w:p w14:paraId="4B15115D" w14:textId="77777777" w:rsidR="00871A3A" w:rsidRPr="007E3D1A" w:rsidRDefault="00871A3A" w:rsidP="00871A3A">
      <w:pPr>
        <w:rPr>
          <w:rFonts w:cs="Arial"/>
          <w:sz w:val="22"/>
        </w:rPr>
      </w:pPr>
      <w:r w:rsidRPr="007E3D1A">
        <w:rPr>
          <w:rFonts w:cs="Arial"/>
          <w:sz w:val="22"/>
        </w:rPr>
        <w:t>Prévention, atténuation er réponse contre les VBG/EAS/HS</w:t>
      </w:r>
    </w:p>
    <w:p w14:paraId="0247EA6A" w14:textId="77777777" w:rsidR="00871A3A" w:rsidRPr="007E3D1A" w:rsidRDefault="00871A3A" w:rsidP="00871A3A">
      <w:pPr>
        <w:rPr>
          <w:rFonts w:cs="Arial"/>
          <w:sz w:val="22"/>
        </w:rPr>
      </w:pPr>
    </w:p>
    <w:p w14:paraId="1BF89EE1" w14:textId="77777777" w:rsidR="00871A3A" w:rsidRPr="007E3D1A" w:rsidRDefault="00871A3A" w:rsidP="00871A3A">
      <w:pPr>
        <w:rPr>
          <w:rFonts w:cs="Arial"/>
          <w:sz w:val="22"/>
        </w:rPr>
      </w:pPr>
      <w:r w:rsidRPr="007E3D1A">
        <w:rPr>
          <w:rFonts w:cs="Arial"/>
          <w:sz w:val="22"/>
        </w:rPr>
        <w:t>L’Entité bénéficiaire doit informer et former son personnel sur les risques liés aux VBG/EAS/HS. Il doit veiller à créer un environnement dans lequel les incidents des VBG ne se perpétuent pas. Il doit prévoir des mesures de prévention comme : (i) l’affichage du code de conduite dans des lieux visibles et accessibles pour tous les travailleurs, et cela dans différentes langues, (ii) faciliter la formation des travailleurs, et la signature du Code de Conduite etc.</w:t>
      </w:r>
    </w:p>
    <w:p w14:paraId="2BF3E453" w14:textId="77777777" w:rsidR="00871A3A" w:rsidRPr="007E3D1A" w:rsidRDefault="00871A3A" w:rsidP="00871A3A">
      <w:pPr>
        <w:rPr>
          <w:rFonts w:cs="Arial"/>
          <w:sz w:val="22"/>
        </w:rPr>
      </w:pPr>
    </w:p>
    <w:p w14:paraId="468B12AD" w14:textId="77777777" w:rsidR="00871A3A" w:rsidRPr="007E3D1A" w:rsidRDefault="00871A3A" w:rsidP="00871A3A">
      <w:pPr>
        <w:rPr>
          <w:rFonts w:cs="Arial"/>
          <w:sz w:val="22"/>
        </w:rPr>
      </w:pPr>
      <w:r w:rsidRPr="007E3D1A">
        <w:rPr>
          <w:rFonts w:cs="Arial"/>
          <w:sz w:val="22"/>
        </w:rPr>
        <w:t>Les actes de VBG ou VCE constituent une faute grave et sont donc des motifs de sanctions, qui peuvent inclure des sanctions et/ou la cessation d'emploi, et si nécessaire le renvoi à la police pour d'autres mesures</w:t>
      </w:r>
    </w:p>
    <w:p w14:paraId="60585E79" w14:textId="77777777" w:rsidR="00871A3A" w:rsidRPr="007E3D1A" w:rsidRDefault="00871A3A" w:rsidP="00871A3A">
      <w:pPr>
        <w:rPr>
          <w:rFonts w:cs="Arial"/>
          <w:sz w:val="22"/>
        </w:rPr>
      </w:pPr>
      <w:r w:rsidRPr="007E3D1A">
        <w:rPr>
          <w:rFonts w:cs="Arial"/>
          <w:sz w:val="22"/>
        </w:rPr>
        <w:t>L’Entité bénéficiaire doit multiplier les sensibilisations des travailleurs et de la population riveraine sur le code de bonne conduite et la prévention du sexe contre argent/contre un service et ou une faveur.</w:t>
      </w:r>
    </w:p>
    <w:p w14:paraId="392D29D0" w14:textId="77777777" w:rsidR="00871A3A" w:rsidRPr="007E3D1A" w:rsidRDefault="00871A3A" w:rsidP="00871A3A">
      <w:pPr>
        <w:rPr>
          <w:rFonts w:cs="Arial"/>
          <w:sz w:val="22"/>
        </w:rPr>
      </w:pPr>
    </w:p>
    <w:p w14:paraId="14A9F2F2" w14:textId="77777777" w:rsidR="00871A3A" w:rsidRPr="007E3D1A" w:rsidRDefault="00871A3A" w:rsidP="00871A3A">
      <w:pPr>
        <w:rPr>
          <w:rFonts w:cs="Arial"/>
          <w:sz w:val="22"/>
        </w:rPr>
      </w:pPr>
      <w:r w:rsidRPr="007E3D1A">
        <w:rPr>
          <w:rFonts w:cs="Arial"/>
          <w:sz w:val="22"/>
        </w:rPr>
        <w:t>Sécurité et hygiène sur site</w:t>
      </w:r>
    </w:p>
    <w:p w14:paraId="56D9F458" w14:textId="77777777" w:rsidR="00871A3A" w:rsidRPr="007E3D1A" w:rsidRDefault="00871A3A" w:rsidP="00871A3A">
      <w:pPr>
        <w:rPr>
          <w:rFonts w:cs="Arial"/>
          <w:sz w:val="22"/>
        </w:rPr>
      </w:pPr>
    </w:p>
    <w:p w14:paraId="027FCA49" w14:textId="77777777" w:rsidR="00871A3A" w:rsidRPr="007E3D1A" w:rsidRDefault="00871A3A" w:rsidP="00871A3A">
      <w:pPr>
        <w:rPr>
          <w:rFonts w:cs="Arial"/>
          <w:sz w:val="22"/>
        </w:rPr>
      </w:pPr>
      <w:r w:rsidRPr="007E3D1A">
        <w:rPr>
          <w:rFonts w:cs="Arial"/>
          <w:sz w:val="22"/>
        </w:rPr>
        <w:t>L’Entité bénéficiaire doit :</w:t>
      </w:r>
    </w:p>
    <w:p w14:paraId="7B7FFEB9" w14:textId="77777777" w:rsidR="00871A3A" w:rsidRPr="007E3D1A" w:rsidRDefault="00871A3A" w:rsidP="00871A3A">
      <w:pPr>
        <w:rPr>
          <w:rFonts w:cs="Arial"/>
          <w:sz w:val="22"/>
        </w:rPr>
      </w:pPr>
    </w:p>
    <w:p w14:paraId="785C05DA" w14:textId="77777777" w:rsidR="00871A3A" w:rsidRPr="007E3D1A" w:rsidRDefault="00871A3A" w:rsidP="00871A3A">
      <w:pPr>
        <w:rPr>
          <w:rFonts w:cs="Arial"/>
          <w:sz w:val="22"/>
        </w:rPr>
      </w:pPr>
      <w:r w:rsidRPr="007E3D1A">
        <w:rPr>
          <w:rFonts w:cs="Arial"/>
          <w:sz w:val="22"/>
        </w:rPr>
        <w:t>Organiser la circulation routière sur le site afin d’éviter les accidents en plaçant des panneaux de signalisation à l’intérieur du site pour signaler les parkings et autres endroits dangereux et éviter d’obstruer les entrées aux différents services ;</w:t>
      </w:r>
    </w:p>
    <w:p w14:paraId="7D597CB2" w14:textId="77777777" w:rsidR="00871A3A" w:rsidRPr="007E3D1A" w:rsidRDefault="00871A3A" w:rsidP="00871A3A">
      <w:pPr>
        <w:rPr>
          <w:rFonts w:cs="Arial"/>
          <w:sz w:val="22"/>
        </w:rPr>
      </w:pPr>
      <w:r w:rsidRPr="007E3D1A">
        <w:rPr>
          <w:rFonts w:cs="Arial"/>
          <w:sz w:val="22"/>
        </w:rPr>
        <w:t>Assurer l’accès aux propriétés riveraines du site du sous projet ;</w:t>
      </w:r>
    </w:p>
    <w:p w14:paraId="6D11A648" w14:textId="77777777" w:rsidR="00871A3A" w:rsidRPr="007E3D1A" w:rsidRDefault="00871A3A" w:rsidP="00871A3A">
      <w:pPr>
        <w:rPr>
          <w:rFonts w:cs="Arial"/>
          <w:sz w:val="22"/>
        </w:rPr>
      </w:pPr>
      <w:r w:rsidRPr="007E3D1A">
        <w:rPr>
          <w:rFonts w:cs="Arial"/>
          <w:sz w:val="22"/>
        </w:rPr>
        <w:t xml:space="preserve">Placer des dispositifs antiincendies sur site (extincteur, etc.) ; et </w:t>
      </w:r>
    </w:p>
    <w:p w14:paraId="59250E78" w14:textId="77777777" w:rsidR="00871A3A" w:rsidRPr="007E3D1A" w:rsidRDefault="00871A3A" w:rsidP="00871A3A">
      <w:pPr>
        <w:rPr>
          <w:rFonts w:cs="Arial"/>
          <w:sz w:val="22"/>
        </w:rPr>
      </w:pPr>
      <w:r w:rsidRPr="007E3D1A">
        <w:rPr>
          <w:rFonts w:cs="Arial"/>
          <w:sz w:val="22"/>
        </w:rPr>
        <w:t>Assurer l’entretien journalier des installations hygiéniques par un personnel permanent y affecté,</w:t>
      </w:r>
    </w:p>
    <w:p w14:paraId="7DA8E43C" w14:textId="77777777" w:rsidR="00871A3A" w:rsidRPr="007E3D1A" w:rsidRDefault="00871A3A" w:rsidP="00871A3A">
      <w:pPr>
        <w:rPr>
          <w:rFonts w:cs="Arial"/>
          <w:sz w:val="22"/>
        </w:rPr>
      </w:pPr>
    </w:p>
    <w:p w14:paraId="5348DF69" w14:textId="77777777" w:rsidR="00871A3A" w:rsidRPr="007E3D1A" w:rsidRDefault="00871A3A" w:rsidP="00871A3A">
      <w:pPr>
        <w:rPr>
          <w:rFonts w:cs="Arial"/>
          <w:sz w:val="22"/>
        </w:rPr>
      </w:pPr>
      <w:r w:rsidRPr="007E3D1A">
        <w:rPr>
          <w:rFonts w:cs="Arial"/>
          <w:sz w:val="22"/>
        </w:rPr>
        <w:t xml:space="preserve">Dispositions à la protection des arbres plantés </w:t>
      </w:r>
    </w:p>
    <w:p w14:paraId="2DAFA4AC" w14:textId="77777777" w:rsidR="00871A3A" w:rsidRPr="007E3D1A" w:rsidRDefault="00871A3A" w:rsidP="00871A3A">
      <w:pPr>
        <w:rPr>
          <w:rFonts w:cs="Arial"/>
          <w:sz w:val="22"/>
        </w:rPr>
      </w:pPr>
    </w:p>
    <w:p w14:paraId="464D390B" w14:textId="77777777" w:rsidR="00871A3A" w:rsidRPr="007E3D1A" w:rsidRDefault="00871A3A" w:rsidP="00871A3A">
      <w:pPr>
        <w:rPr>
          <w:rFonts w:cs="Arial"/>
          <w:sz w:val="22"/>
        </w:rPr>
      </w:pPr>
      <w:r w:rsidRPr="007E3D1A">
        <w:rPr>
          <w:rFonts w:cs="Arial"/>
          <w:sz w:val="22"/>
        </w:rPr>
        <w:t>L’Entité bénéficiaire du sous projet doit faire le suivi de la croissance des arbres plantés sur le site du sous projet y compris la protection de la végétation antiérosive. Il devra remplacer les arabes qui n’ont pas poussé par d’autres et assurer leur protection.</w:t>
      </w:r>
    </w:p>
    <w:p w14:paraId="1B923DAE" w14:textId="77777777" w:rsidR="00871A3A" w:rsidRPr="007E3D1A" w:rsidRDefault="00871A3A" w:rsidP="00871A3A">
      <w:pPr>
        <w:rPr>
          <w:rFonts w:cs="Arial"/>
          <w:sz w:val="22"/>
        </w:rPr>
      </w:pPr>
      <w:r w:rsidRPr="007E3D1A">
        <w:rPr>
          <w:rFonts w:cs="Arial"/>
          <w:sz w:val="22"/>
        </w:rPr>
        <w:t>Exemple Format : Avis D'Incident d'ESS (hors des incidents liés à VBG/EAS/HS)</w:t>
      </w:r>
    </w:p>
    <w:p w14:paraId="6FF1D0F2" w14:textId="77777777" w:rsidR="002C2B4B" w:rsidRDefault="002C2B4B" w:rsidP="00871A3A">
      <w:pPr>
        <w:rPr>
          <w:rFonts w:cs="Arial"/>
          <w:sz w:val="22"/>
        </w:rPr>
      </w:pPr>
    </w:p>
    <w:p w14:paraId="670B399D" w14:textId="77777777" w:rsidR="002C2B4B" w:rsidRDefault="002C2B4B" w:rsidP="00871A3A">
      <w:pPr>
        <w:rPr>
          <w:rFonts w:cs="Arial"/>
          <w:sz w:val="22"/>
        </w:rPr>
      </w:pPr>
    </w:p>
    <w:p w14:paraId="168F9848" w14:textId="77777777" w:rsidR="002C2B4B" w:rsidRDefault="002C2B4B" w:rsidP="00871A3A">
      <w:pPr>
        <w:rPr>
          <w:rFonts w:cs="Arial"/>
          <w:sz w:val="22"/>
        </w:rPr>
      </w:pPr>
    </w:p>
    <w:p w14:paraId="126B2B6E" w14:textId="77777777" w:rsidR="002C2B4B" w:rsidRDefault="002C2B4B" w:rsidP="00871A3A">
      <w:pPr>
        <w:rPr>
          <w:rFonts w:cs="Arial"/>
          <w:sz w:val="22"/>
        </w:rPr>
      </w:pPr>
    </w:p>
    <w:p w14:paraId="75307DDD" w14:textId="77777777" w:rsidR="002C2B4B" w:rsidRDefault="002C2B4B" w:rsidP="00871A3A">
      <w:pPr>
        <w:rPr>
          <w:rFonts w:cs="Arial"/>
          <w:sz w:val="22"/>
        </w:rPr>
      </w:pPr>
    </w:p>
    <w:p w14:paraId="7032DB51" w14:textId="77777777" w:rsidR="002C2B4B" w:rsidRDefault="002C2B4B" w:rsidP="00871A3A">
      <w:pPr>
        <w:rPr>
          <w:rFonts w:cs="Arial"/>
          <w:sz w:val="22"/>
        </w:rPr>
      </w:pPr>
      <w:r>
        <w:rPr>
          <w:rFonts w:cs="Arial"/>
          <w:sz w:val="22"/>
        </w:rPr>
        <w:br w:type="page"/>
      </w:r>
    </w:p>
    <w:p w14:paraId="5454F827" w14:textId="7DBDAA15" w:rsidR="00871A3A" w:rsidRPr="00372F9C" w:rsidRDefault="00871A3A" w:rsidP="00372F9C">
      <w:pPr>
        <w:ind w:left="1418" w:hanging="1418"/>
        <w:rPr>
          <w:rFonts w:cs="Arial"/>
          <w:b/>
          <w:bCs/>
          <w:sz w:val="22"/>
        </w:rPr>
      </w:pPr>
      <w:r w:rsidRPr="00372F9C">
        <w:rPr>
          <w:rFonts w:cs="Arial"/>
          <w:b/>
          <w:bCs/>
          <w:sz w:val="22"/>
        </w:rPr>
        <w:t xml:space="preserve">ANNEXE 4. TERMES DE RÉFÉRENCE TYPE POUR LA RÉALISATION D’UNE ÉTUDE D’IMPACT ENVIRONNEMENTAL ET SOCIAL </w:t>
      </w:r>
    </w:p>
    <w:p w14:paraId="5AC0D5FF" w14:textId="77777777" w:rsidR="00871A3A" w:rsidRPr="007E3D1A" w:rsidRDefault="00871A3A" w:rsidP="00871A3A">
      <w:pPr>
        <w:rPr>
          <w:rFonts w:cs="Arial"/>
          <w:sz w:val="22"/>
        </w:rPr>
      </w:pPr>
    </w:p>
    <w:p w14:paraId="32DE6BB5" w14:textId="77777777" w:rsidR="00871A3A" w:rsidRPr="007E3D1A" w:rsidRDefault="00871A3A" w:rsidP="00871A3A">
      <w:pPr>
        <w:rPr>
          <w:rFonts w:cs="Arial"/>
          <w:sz w:val="22"/>
        </w:rPr>
      </w:pPr>
      <w:r w:rsidRPr="007E3D1A">
        <w:rPr>
          <w:rFonts w:cs="Arial"/>
          <w:sz w:val="22"/>
        </w:rPr>
        <w:t>Le Consultant préparera une EIES qui suit la structure et traiter le contenu détaillé ci-dessous</w:t>
      </w:r>
      <w:r w:rsidRPr="007E3D1A">
        <w:rPr>
          <w:rFonts w:cs="Arial"/>
          <w:sz w:val="22"/>
        </w:rPr>
        <w:footnoteReference w:id="27"/>
      </w:r>
      <w:r w:rsidRPr="007E3D1A">
        <w:rPr>
          <w:rFonts w:cs="Arial"/>
          <w:sz w:val="22"/>
        </w:rPr>
        <w:t>.  Bien que l’EIES soit constituée de différents chapitres et sections, le Consultant assurera l’articulation entre ces chapitres et sections, afin de constituer un tout cohérent, compréhensible, et facile à lire.</w:t>
      </w:r>
    </w:p>
    <w:p w14:paraId="19D6D0F4" w14:textId="77777777" w:rsidR="00871A3A" w:rsidRPr="007E3D1A" w:rsidRDefault="00871A3A" w:rsidP="00871A3A">
      <w:pPr>
        <w:rPr>
          <w:rFonts w:cs="Arial"/>
          <w:sz w:val="22"/>
        </w:rPr>
      </w:pPr>
    </w:p>
    <w:p w14:paraId="611ADE15" w14:textId="77777777" w:rsidR="00871A3A" w:rsidRPr="007E3D1A" w:rsidRDefault="00871A3A" w:rsidP="00871A3A">
      <w:pPr>
        <w:rPr>
          <w:rFonts w:cs="Arial"/>
          <w:sz w:val="22"/>
        </w:rPr>
      </w:pPr>
      <w:r w:rsidRPr="007E3D1A">
        <w:rPr>
          <w:rFonts w:cs="Arial"/>
          <w:sz w:val="22"/>
        </w:rPr>
        <w:t>Page de Garde</w:t>
      </w:r>
    </w:p>
    <w:p w14:paraId="5EC6A35E" w14:textId="77777777" w:rsidR="00871A3A" w:rsidRPr="007E3D1A" w:rsidRDefault="00871A3A" w:rsidP="00871A3A">
      <w:pPr>
        <w:rPr>
          <w:rFonts w:cs="Arial"/>
          <w:sz w:val="22"/>
        </w:rPr>
      </w:pPr>
    </w:p>
    <w:p w14:paraId="057641E4" w14:textId="77777777" w:rsidR="00871A3A" w:rsidRPr="007E3D1A" w:rsidRDefault="00871A3A" w:rsidP="00871A3A">
      <w:pPr>
        <w:rPr>
          <w:rFonts w:cs="Arial"/>
          <w:sz w:val="22"/>
        </w:rPr>
      </w:pPr>
      <w:r w:rsidRPr="007E3D1A">
        <w:rPr>
          <w:rFonts w:cs="Arial"/>
          <w:sz w:val="22"/>
        </w:rPr>
        <w:t>La page de garde indiquera l’institution pour qui l’EIES a été préparée, le sousprojet concerné par l’EIES, la date de soumission du document, et son envers indiquera le nom du Consultant, et présentera un tableau retraçant l’historique des différentes versions.</w:t>
      </w:r>
    </w:p>
    <w:p w14:paraId="24CA7B28" w14:textId="77777777" w:rsidR="00871A3A" w:rsidRPr="007E3D1A" w:rsidRDefault="00871A3A" w:rsidP="00871A3A">
      <w:pPr>
        <w:rPr>
          <w:rFonts w:cs="Arial"/>
          <w:sz w:val="22"/>
        </w:rPr>
      </w:pPr>
    </w:p>
    <w:p w14:paraId="06E37145" w14:textId="77777777" w:rsidR="00871A3A" w:rsidRPr="007E3D1A" w:rsidRDefault="00871A3A" w:rsidP="00871A3A">
      <w:pPr>
        <w:rPr>
          <w:rFonts w:cs="Arial"/>
          <w:sz w:val="22"/>
        </w:rPr>
      </w:pPr>
      <w:r w:rsidRPr="007E3D1A">
        <w:rPr>
          <w:rFonts w:cs="Arial"/>
          <w:sz w:val="22"/>
        </w:rPr>
        <w:t>Table des matières</w:t>
      </w:r>
    </w:p>
    <w:p w14:paraId="5E7D1F55" w14:textId="77777777" w:rsidR="00871A3A" w:rsidRPr="007E3D1A" w:rsidRDefault="00871A3A" w:rsidP="00871A3A">
      <w:pPr>
        <w:rPr>
          <w:rFonts w:cs="Arial"/>
          <w:sz w:val="22"/>
        </w:rPr>
      </w:pPr>
    </w:p>
    <w:p w14:paraId="0127F3B9" w14:textId="77777777" w:rsidR="00871A3A" w:rsidRPr="007E3D1A" w:rsidRDefault="00871A3A" w:rsidP="00871A3A">
      <w:pPr>
        <w:rPr>
          <w:rFonts w:cs="Arial"/>
          <w:sz w:val="22"/>
        </w:rPr>
      </w:pPr>
      <w:r w:rsidRPr="007E3D1A">
        <w:rPr>
          <w:rFonts w:cs="Arial"/>
          <w:sz w:val="22"/>
        </w:rPr>
        <w:t>La Table des matières détaillera au moins les trois premiers niveaux d’organisation du document (Chapitre, Section et Sous-section).  Elle sera générée automatiquement sous Word, ce qui demande l’utilisation systématique d’une hiérarchie de titres dans le document.</w:t>
      </w:r>
    </w:p>
    <w:p w14:paraId="74BDACA3" w14:textId="77777777" w:rsidR="00871A3A" w:rsidRPr="007E3D1A" w:rsidRDefault="00871A3A" w:rsidP="00871A3A">
      <w:pPr>
        <w:rPr>
          <w:rFonts w:cs="Arial"/>
          <w:sz w:val="22"/>
        </w:rPr>
      </w:pPr>
    </w:p>
    <w:p w14:paraId="2B94DE68" w14:textId="77777777" w:rsidR="00871A3A" w:rsidRPr="007E3D1A" w:rsidRDefault="00871A3A" w:rsidP="00871A3A">
      <w:pPr>
        <w:rPr>
          <w:rFonts w:cs="Arial"/>
          <w:sz w:val="22"/>
        </w:rPr>
      </w:pPr>
      <w:r w:rsidRPr="007E3D1A">
        <w:rPr>
          <w:rFonts w:cs="Arial"/>
          <w:sz w:val="22"/>
        </w:rPr>
        <w:t>Sigles et acronymes</w:t>
      </w:r>
    </w:p>
    <w:p w14:paraId="0924FE19" w14:textId="77777777" w:rsidR="00871A3A" w:rsidRPr="007E3D1A" w:rsidRDefault="00871A3A" w:rsidP="00871A3A">
      <w:pPr>
        <w:rPr>
          <w:rFonts w:cs="Arial"/>
          <w:sz w:val="22"/>
        </w:rPr>
      </w:pPr>
    </w:p>
    <w:p w14:paraId="6B34AF0A" w14:textId="77777777" w:rsidR="00871A3A" w:rsidRPr="007E3D1A" w:rsidRDefault="00871A3A" w:rsidP="00871A3A">
      <w:pPr>
        <w:rPr>
          <w:rFonts w:cs="Arial"/>
          <w:sz w:val="22"/>
        </w:rPr>
      </w:pPr>
      <w:r w:rsidRPr="007E3D1A">
        <w:rPr>
          <w:rFonts w:cs="Arial"/>
          <w:sz w:val="22"/>
        </w:rPr>
        <w:t>Cette section inclura tous les sigles et acronymes mentionnés dans l’EIES</w:t>
      </w:r>
    </w:p>
    <w:p w14:paraId="5F2C080B" w14:textId="77777777" w:rsidR="00871A3A" w:rsidRPr="007E3D1A" w:rsidRDefault="00871A3A" w:rsidP="00871A3A">
      <w:pPr>
        <w:rPr>
          <w:rFonts w:cs="Arial"/>
          <w:sz w:val="22"/>
        </w:rPr>
      </w:pPr>
      <w:r w:rsidRPr="007E3D1A">
        <w:rPr>
          <w:rFonts w:cs="Arial"/>
          <w:sz w:val="22"/>
        </w:rPr>
        <w:t>Résumé non-technique</w:t>
      </w:r>
    </w:p>
    <w:p w14:paraId="373D801D" w14:textId="77777777" w:rsidR="00871A3A" w:rsidRPr="007E3D1A" w:rsidRDefault="00871A3A" w:rsidP="00871A3A">
      <w:pPr>
        <w:rPr>
          <w:rFonts w:cs="Arial"/>
          <w:sz w:val="22"/>
        </w:rPr>
      </w:pPr>
    </w:p>
    <w:p w14:paraId="4D68A483" w14:textId="77777777" w:rsidR="00871A3A" w:rsidRPr="007E3D1A" w:rsidRDefault="00871A3A" w:rsidP="00871A3A">
      <w:pPr>
        <w:rPr>
          <w:rFonts w:cs="Arial"/>
          <w:sz w:val="22"/>
        </w:rPr>
      </w:pPr>
      <w:r w:rsidRPr="007E3D1A">
        <w:rPr>
          <w:rFonts w:cs="Arial"/>
          <w:sz w:val="22"/>
        </w:rPr>
        <w:t>Le résumé non-technique décrit avec concision les principales conclusions et les actions recommandées.  Il est préparé en français, en anglais et en Tshiluba, Swahili et Kikongo.</w:t>
      </w:r>
    </w:p>
    <w:p w14:paraId="427C1679" w14:textId="77777777" w:rsidR="00871A3A" w:rsidRPr="007E3D1A" w:rsidRDefault="00871A3A" w:rsidP="00871A3A">
      <w:pPr>
        <w:rPr>
          <w:rFonts w:cs="Arial"/>
          <w:sz w:val="22"/>
        </w:rPr>
      </w:pPr>
    </w:p>
    <w:p w14:paraId="2D76F47A" w14:textId="77777777" w:rsidR="00871A3A" w:rsidRPr="007E3D1A" w:rsidRDefault="00871A3A" w:rsidP="00871A3A">
      <w:pPr>
        <w:rPr>
          <w:rFonts w:cs="Arial"/>
          <w:sz w:val="22"/>
        </w:rPr>
      </w:pPr>
      <w:r w:rsidRPr="007E3D1A">
        <w:rPr>
          <w:rFonts w:cs="Arial"/>
          <w:sz w:val="22"/>
        </w:rPr>
        <w:t>NOTE : Le consultant redémarrera la numérotation des pages à partir du Chapitre 1.</w:t>
      </w:r>
    </w:p>
    <w:p w14:paraId="478DC1F7" w14:textId="77777777" w:rsidR="00871A3A" w:rsidRPr="007E3D1A" w:rsidRDefault="00871A3A" w:rsidP="00871A3A">
      <w:pPr>
        <w:rPr>
          <w:rFonts w:cs="Arial"/>
          <w:sz w:val="22"/>
        </w:rPr>
      </w:pPr>
    </w:p>
    <w:p w14:paraId="2456EBD0" w14:textId="77777777" w:rsidR="00871A3A" w:rsidRPr="007E3D1A" w:rsidRDefault="00871A3A" w:rsidP="00871A3A">
      <w:pPr>
        <w:rPr>
          <w:rFonts w:cs="Arial"/>
          <w:sz w:val="22"/>
        </w:rPr>
      </w:pPr>
      <w:r w:rsidRPr="007E3D1A">
        <w:rPr>
          <w:rFonts w:cs="Arial"/>
          <w:sz w:val="22"/>
        </w:rPr>
        <w:t>Introduction et Contexte</w:t>
      </w:r>
    </w:p>
    <w:p w14:paraId="35A13E30" w14:textId="77777777" w:rsidR="00871A3A" w:rsidRPr="007E3D1A" w:rsidRDefault="00871A3A" w:rsidP="00871A3A">
      <w:pPr>
        <w:rPr>
          <w:rFonts w:cs="Arial"/>
          <w:sz w:val="22"/>
        </w:rPr>
      </w:pPr>
    </w:p>
    <w:p w14:paraId="05DB970D" w14:textId="77777777" w:rsidR="00871A3A" w:rsidRPr="007E3D1A" w:rsidRDefault="00871A3A" w:rsidP="00871A3A">
      <w:pPr>
        <w:rPr>
          <w:rFonts w:cs="Arial"/>
          <w:sz w:val="22"/>
        </w:rPr>
      </w:pPr>
      <w:r w:rsidRPr="007E3D1A">
        <w:rPr>
          <w:rFonts w:cs="Arial"/>
          <w:sz w:val="22"/>
        </w:rPr>
        <w:t>Explique la raison d’être du document et identifie l’entité pour laquelle il a été préparé.</w:t>
      </w:r>
    </w:p>
    <w:p w14:paraId="543E7881" w14:textId="77777777" w:rsidR="00871A3A" w:rsidRPr="007E3D1A" w:rsidRDefault="00871A3A" w:rsidP="00871A3A">
      <w:pPr>
        <w:rPr>
          <w:rFonts w:cs="Arial"/>
          <w:sz w:val="22"/>
        </w:rPr>
      </w:pPr>
      <w:r w:rsidRPr="007E3D1A">
        <w:rPr>
          <w:rFonts w:cs="Arial"/>
          <w:sz w:val="22"/>
        </w:rPr>
        <w:t>Explique les objectifs du Projet</w:t>
      </w:r>
    </w:p>
    <w:p w14:paraId="7BA1E233" w14:textId="77777777" w:rsidR="00871A3A" w:rsidRPr="007E3D1A" w:rsidRDefault="00871A3A" w:rsidP="00871A3A">
      <w:pPr>
        <w:rPr>
          <w:rFonts w:cs="Arial"/>
          <w:sz w:val="22"/>
        </w:rPr>
      </w:pPr>
      <w:r w:rsidRPr="007E3D1A">
        <w:rPr>
          <w:rFonts w:cs="Arial"/>
          <w:sz w:val="22"/>
        </w:rPr>
        <w:t>Fournit le contexte et l'historique des activités concernés par l’EIES</w:t>
      </w:r>
    </w:p>
    <w:p w14:paraId="0C6FA99A" w14:textId="77777777" w:rsidR="00871A3A" w:rsidRPr="007E3D1A" w:rsidRDefault="00871A3A" w:rsidP="00871A3A">
      <w:pPr>
        <w:rPr>
          <w:rFonts w:cs="Arial"/>
          <w:sz w:val="22"/>
        </w:rPr>
      </w:pPr>
      <w:r w:rsidRPr="007E3D1A">
        <w:rPr>
          <w:rFonts w:cs="Arial"/>
          <w:sz w:val="22"/>
        </w:rPr>
        <w:t>Présente la méthodologie de l’EIES incluant l’approche de définition de la zone d’influence, les méthodes d’échantillonnage et de collecte des données.</w:t>
      </w:r>
    </w:p>
    <w:p w14:paraId="32CA4227" w14:textId="77777777" w:rsidR="00871A3A" w:rsidRPr="007E3D1A" w:rsidRDefault="00871A3A" w:rsidP="00871A3A">
      <w:pPr>
        <w:rPr>
          <w:rFonts w:cs="Arial"/>
          <w:sz w:val="22"/>
        </w:rPr>
      </w:pPr>
    </w:p>
    <w:p w14:paraId="14589768" w14:textId="77777777" w:rsidR="00871A3A" w:rsidRPr="007E3D1A" w:rsidRDefault="00871A3A" w:rsidP="00871A3A">
      <w:pPr>
        <w:rPr>
          <w:rFonts w:cs="Arial"/>
          <w:sz w:val="22"/>
        </w:rPr>
      </w:pPr>
      <w:r w:rsidRPr="007E3D1A">
        <w:rPr>
          <w:rFonts w:cs="Arial"/>
          <w:sz w:val="22"/>
        </w:rPr>
        <w:t>Description du sous-projet concerné par l’EIES</w:t>
      </w:r>
    </w:p>
    <w:p w14:paraId="25B51DF7" w14:textId="77777777" w:rsidR="00871A3A" w:rsidRPr="007E3D1A" w:rsidRDefault="00871A3A" w:rsidP="00871A3A">
      <w:pPr>
        <w:rPr>
          <w:rFonts w:cs="Arial"/>
          <w:sz w:val="22"/>
        </w:rPr>
      </w:pPr>
    </w:p>
    <w:p w14:paraId="304B5483" w14:textId="77777777" w:rsidR="00871A3A" w:rsidRPr="007E3D1A" w:rsidRDefault="00871A3A" w:rsidP="00871A3A">
      <w:pPr>
        <w:rPr>
          <w:rFonts w:cs="Arial"/>
          <w:sz w:val="22"/>
        </w:rPr>
      </w:pPr>
      <w:r w:rsidRPr="007E3D1A">
        <w:rPr>
          <w:rFonts w:cs="Arial"/>
          <w:sz w:val="22"/>
        </w:rPr>
        <w:t>Précise l’entité de mise en œuvre du sous-projet et l’administration de tutelle</w:t>
      </w:r>
    </w:p>
    <w:p w14:paraId="54F5FFE1" w14:textId="77777777" w:rsidR="00871A3A" w:rsidRPr="007E3D1A" w:rsidRDefault="00871A3A" w:rsidP="00871A3A">
      <w:pPr>
        <w:rPr>
          <w:rFonts w:cs="Arial"/>
          <w:sz w:val="22"/>
        </w:rPr>
      </w:pPr>
      <w:r w:rsidRPr="007E3D1A">
        <w:rPr>
          <w:rFonts w:cs="Arial"/>
          <w:sz w:val="22"/>
        </w:rPr>
        <w:t>Résume les études techniques.  En particulier il décrit, localise et délimite les activités concernées et toute installation associée</w:t>
      </w:r>
      <w:r w:rsidRPr="007E3D1A">
        <w:rPr>
          <w:rFonts w:cs="Arial"/>
          <w:sz w:val="22"/>
        </w:rPr>
        <w:footnoteReference w:id="28"/>
      </w:r>
      <w:r w:rsidRPr="007E3D1A">
        <w:rPr>
          <w:rFonts w:cs="Arial"/>
          <w:sz w:val="22"/>
        </w:rPr>
        <w:t>, en indiquant la nature et la taille potentielle des travaux de construction et des investissements physiques, y compris les investissements hors du site principal qui seront nécessaires (par exemple des voies d’accès, des réseaux électriques, des adductions d’eau, des logements, des installations de stockage de matières premières et d’autres produits, des carrières ou zones d’emprunts, ou des sites d’élimination des déchets), ainsi que les fournisseurs principaux du projet.</w:t>
      </w:r>
    </w:p>
    <w:p w14:paraId="7C662FDA" w14:textId="77777777" w:rsidR="00871A3A" w:rsidRPr="007E3D1A" w:rsidRDefault="00871A3A" w:rsidP="00871A3A">
      <w:pPr>
        <w:rPr>
          <w:rFonts w:cs="Arial"/>
          <w:sz w:val="22"/>
        </w:rPr>
      </w:pPr>
      <w:r w:rsidRPr="007E3D1A">
        <w:rPr>
          <w:rFonts w:cs="Arial"/>
          <w:sz w:val="22"/>
        </w:rPr>
        <w:br/>
        <w:t>Ce résumé devra présenter brièvement les éléments qui déterminent le choix des caractéristiques techniques particulières proposées pour le projet, précise et justifie le type, quantité et technologie/méthodes/emplacement choisi pour une meilleure maîtrise des risques et impacts du projet. De plus, il devra Inclure également un résumé des intrants, procédés et produits pour toutes les phases du projet. Emplois (type/quantité) à créer et services de main-d'œuvre connexes : assurer la cohérence avec le PGMO si applicable.</w:t>
      </w:r>
    </w:p>
    <w:p w14:paraId="7746CB95" w14:textId="77777777" w:rsidR="00871A3A" w:rsidRPr="007E3D1A" w:rsidRDefault="00871A3A" w:rsidP="00871A3A">
      <w:pPr>
        <w:rPr>
          <w:rFonts w:cs="Arial"/>
          <w:sz w:val="22"/>
        </w:rPr>
      </w:pPr>
      <w:r w:rsidRPr="007E3D1A">
        <w:rPr>
          <w:rFonts w:cs="Arial"/>
          <w:sz w:val="22"/>
        </w:rPr>
        <w:t>Comprend un calendrier estimatif des travaux</w:t>
      </w:r>
    </w:p>
    <w:p w14:paraId="71FD0A0A" w14:textId="77777777" w:rsidR="00871A3A" w:rsidRPr="007E3D1A" w:rsidRDefault="00871A3A" w:rsidP="00871A3A">
      <w:pPr>
        <w:rPr>
          <w:rFonts w:cs="Arial"/>
          <w:sz w:val="22"/>
        </w:rPr>
      </w:pPr>
      <w:r w:rsidRPr="007E3D1A">
        <w:rPr>
          <w:rFonts w:cs="Arial"/>
          <w:sz w:val="22"/>
        </w:rPr>
        <w:t>Comprend des cartes suffisamment détaillées et à des échelles appropriées, localisant le sous-projet, et illustrant la disposition des aménagements proposés (il est approprié d’utiliser des figures provenant des documents techniques si elles sont adéquates)</w:t>
      </w:r>
    </w:p>
    <w:p w14:paraId="137705AA" w14:textId="77777777" w:rsidR="00871A3A" w:rsidRPr="007E3D1A" w:rsidRDefault="00871A3A" w:rsidP="00871A3A">
      <w:pPr>
        <w:rPr>
          <w:rFonts w:cs="Arial"/>
          <w:sz w:val="22"/>
        </w:rPr>
      </w:pPr>
    </w:p>
    <w:p w14:paraId="5821111D" w14:textId="77777777" w:rsidR="00871A3A" w:rsidRPr="007E3D1A" w:rsidRDefault="00871A3A" w:rsidP="00871A3A">
      <w:pPr>
        <w:rPr>
          <w:rFonts w:cs="Arial"/>
          <w:sz w:val="22"/>
        </w:rPr>
      </w:pPr>
      <w:r w:rsidRPr="007E3D1A">
        <w:rPr>
          <w:rFonts w:cs="Arial"/>
          <w:sz w:val="22"/>
        </w:rPr>
        <w:t>Cadre juridique et institutionnel</w:t>
      </w:r>
    </w:p>
    <w:p w14:paraId="079A74E2" w14:textId="77777777" w:rsidR="00871A3A" w:rsidRPr="007E3D1A" w:rsidRDefault="00871A3A" w:rsidP="00871A3A">
      <w:pPr>
        <w:rPr>
          <w:rFonts w:cs="Arial"/>
          <w:sz w:val="22"/>
        </w:rPr>
      </w:pPr>
    </w:p>
    <w:p w14:paraId="4B82B26E" w14:textId="77777777" w:rsidR="00871A3A" w:rsidRPr="007E3D1A" w:rsidRDefault="00871A3A" w:rsidP="00871A3A">
      <w:pPr>
        <w:rPr>
          <w:rFonts w:cs="Arial"/>
          <w:sz w:val="22"/>
        </w:rPr>
      </w:pPr>
      <w:r w:rsidRPr="007E3D1A">
        <w:rPr>
          <w:rFonts w:cs="Arial"/>
          <w:sz w:val="22"/>
        </w:rPr>
        <w:t>Ce chapitre se concentre uniquement sur les dispositions pertinentes aux activités du Projet.  Il :</w:t>
      </w:r>
    </w:p>
    <w:p w14:paraId="700405DE" w14:textId="77777777" w:rsidR="00871A3A" w:rsidRPr="007E3D1A" w:rsidRDefault="00871A3A" w:rsidP="00871A3A">
      <w:pPr>
        <w:rPr>
          <w:rFonts w:cs="Arial"/>
          <w:sz w:val="22"/>
        </w:rPr>
      </w:pPr>
      <w:r w:rsidRPr="007E3D1A">
        <w:rPr>
          <w:rFonts w:cs="Arial"/>
          <w:sz w:val="22"/>
        </w:rPr>
        <w:t>Décrit et analyse :</w:t>
      </w:r>
    </w:p>
    <w:p w14:paraId="656202AB" w14:textId="77777777" w:rsidR="00871A3A" w:rsidRPr="007E3D1A" w:rsidRDefault="00871A3A" w:rsidP="00871A3A">
      <w:pPr>
        <w:rPr>
          <w:rFonts w:cs="Arial"/>
          <w:sz w:val="22"/>
        </w:rPr>
      </w:pPr>
      <w:r w:rsidRPr="007E3D1A">
        <w:rPr>
          <w:rFonts w:cs="Arial"/>
          <w:sz w:val="22"/>
        </w:rPr>
        <w:t>Les dispositions politiques, juridiques et réglementaires nationales relatives aux questions environnementales et sociales, qui sont directement pertinentes pour les activités proposées dans le cadre du Projet, y compris les exigences et procédures nationales en matière d’évaluation environnementale, de gestion de la main d’œuvre, de protection sociale, de gestion foncière, et de protection de la biodiversité</w:t>
      </w:r>
    </w:p>
    <w:p w14:paraId="7C0D3F0C" w14:textId="77777777" w:rsidR="00871A3A" w:rsidRPr="007E3D1A" w:rsidRDefault="00871A3A" w:rsidP="00871A3A">
      <w:pPr>
        <w:rPr>
          <w:rFonts w:cs="Arial"/>
          <w:sz w:val="22"/>
        </w:rPr>
      </w:pPr>
      <w:r w:rsidRPr="007E3D1A">
        <w:rPr>
          <w:rFonts w:cs="Arial"/>
          <w:sz w:val="22"/>
        </w:rPr>
        <w:t>Les normes environnementales et sociales de la Banque mondiale (ESS) pertinentes pour le Projet</w:t>
      </w:r>
      <w:r w:rsidRPr="007E3D1A">
        <w:rPr>
          <w:rFonts w:cs="Arial"/>
          <w:sz w:val="22"/>
        </w:rPr>
        <w:footnoteReference w:id="29"/>
      </w:r>
      <w:r w:rsidRPr="007E3D1A">
        <w:rPr>
          <w:rFonts w:cs="Arial"/>
          <w:sz w:val="22"/>
        </w:rPr>
        <w:t>.</w:t>
      </w:r>
    </w:p>
    <w:p w14:paraId="2338A2E7" w14:textId="77777777" w:rsidR="00871A3A" w:rsidRPr="007E3D1A" w:rsidRDefault="00871A3A" w:rsidP="00871A3A">
      <w:pPr>
        <w:rPr>
          <w:rFonts w:cs="Arial"/>
          <w:sz w:val="22"/>
        </w:rPr>
      </w:pPr>
      <w:r w:rsidRPr="007E3D1A">
        <w:rPr>
          <w:rFonts w:cs="Arial"/>
          <w:sz w:val="22"/>
        </w:rPr>
        <w:t>Les instruments de gestion des risques environnementaux et sociaux requis dans le cadre du Projet, et une indication de leur articulation</w:t>
      </w:r>
    </w:p>
    <w:p w14:paraId="4ECE2EFD" w14:textId="77777777" w:rsidR="00871A3A" w:rsidRPr="007E3D1A" w:rsidRDefault="00871A3A" w:rsidP="00871A3A">
      <w:pPr>
        <w:rPr>
          <w:rFonts w:cs="Arial"/>
          <w:sz w:val="22"/>
        </w:rPr>
      </w:pPr>
      <w:r w:rsidRPr="007E3D1A">
        <w:rPr>
          <w:rFonts w:cs="Arial"/>
          <w:sz w:val="22"/>
        </w:rPr>
        <w:t>Les directives du Groupe de la Banque mondiale en matière d'environnement, de santé et de sécurité (directives EHS) applicables au projet, notamment la Directive Générale</w:t>
      </w:r>
      <w:r w:rsidRPr="007E3D1A">
        <w:rPr>
          <w:rFonts w:cs="Arial"/>
          <w:sz w:val="22"/>
        </w:rPr>
        <w:footnoteReference w:id="30"/>
      </w:r>
    </w:p>
    <w:p w14:paraId="56ED8D28" w14:textId="77777777" w:rsidR="00871A3A" w:rsidRPr="007E3D1A" w:rsidRDefault="00871A3A" w:rsidP="00871A3A">
      <w:pPr>
        <w:rPr>
          <w:rFonts w:cs="Arial"/>
          <w:sz w:val="22"/>
        </w:rPr>
      </w:pPr>
      <w:r w:rsidRPr="007E3D1A">
        <w:rPr>
          <w:rFonts w:cs="Arial"/>
          <w:sz w:val="22"/>
        </w:rPr>
        <w:t>Les conventions internationales et régionales directement pertinentes pour le Projet qui ont été adoptées par le pays, telles que la Convention de Stockholm sur les polluants organiques persistants ou la Convention de Bâle sur les déchets dangereux et leur élimination</w:t>
      </w:r>
    </w:p>
    <w:p w14:paraId="724D0AEC" w14:textId="77777777" w:rsidR="00871A3A" w:rsidRPr="007E3D1A" w:rsidRDefault="00871A3A" w:rsidP="00871A3A">
      <w:pPr>
        <w:rPr>
          <w:rFonts w:cs="Arial"/>
          <w:sz w:val="22"/>
        </w:rPr>
      </w:pPr>
      <w:r w:rsidRPr="007E3D1A">
        <w:rPr>
          <w:rFonts w:cs="Arial"/>
          <w:sz w:val="22"/>
        </w:rPr>
        <w:t>Les principales prenantes qui sont directement pertinentes pour les activités proposées dans le cadre du Projet, ainsi que tout autre intervenant, lors de la mise en œuvre du Projet.</w:t>
      </w:r>
    </w:p>
    <w:p w14:paraId="10A9064F" w14:textId="77777777" w:rsidR="00871A3A" w:rsidRPr="007E3D1A" w:rsidRDefault="00871A3A" w:rsidP="00871A3A">
      <w:pPr>
        <w:rPr>
          <w:rFonts w:cs="Arial"/>
          <w:sz w:val="22"/>
        </w:rPr>
      </w:pPr>
      <w:r w:rsidRPr="007E3D1A">
        <w:rPr>
          <w:rFonts w:cs="Arial"/>
          <w:sz w:val="22"/>
        </w:rPr>
        <w:t>Identifie les écarts entre les dispositions nationales et les exigences de la Banque mondiale de chacune des Normes Environnementales et Sociales (NES) pertinentes au sous-projet, et proposera des palliatifs (sous la forme d’un tableau).  À cet effet le Consultant utilisera le tableau des exigences clefs joint en Annexe à ces TdRs.  Le tableau est applicable aux deux EIES.</w:t>
      </w:r>
    </w:p>
    <w:p w14:paraId="3F63C0DE" w14:textId="77777777" w:rsidR="00871A3A" w:rsidRPr="007E3D1A" w:rsidRDefault="00871A3A" w:rsidP="00871A3A">
      <w:pPr>
        <w:rPr>
          <w:rFonts w:cs="Arial"/>
          <w:sz w:val="22"/>
        </w:rPr>
      </w:pPr>
    </w:p>
    <w:p w14:paraId="70EAD904" w14:textId="77777777" w:rsidR="00871A3A" w:rsidRPr="007E3D1A" w:rsidRDefault="00871A3A" w:rsidP="00871A3A">
      <w:pPr>
        <w:rPr>
          <w:rFonts w:cs="Arial"/>
          <w:sz w:val="22"/>
        </w:rPr>
      </w:pPr>
      <w:r w:rsidRPr="007E3D1A">
        <w:rPr>
          <w:rFonts w:cs="Arial"/>
          <w:sz w:val="22"/>
        </w:rPr>
        <w:t>Données de base</w:t>
      </w:r>
    </w:p>
    <w:p w14:paraId="7C945C85" w14:textId="77777777" w:rsidR="00871A3A" w:rsidRPr="007E3D1A" w:rsidRDefault="00871A3A" w:rsidP="00871A3A">
      <w:pPr>
        <w:rPr>
          <w:rFonts w:cs="Arial"/>
          <w:sz w:val="22"/>
        </w:rPr>
      </w:pPr>
    </w:p>
    <w:p w14:paraId="62AE5413" w14:textId="77777777" w:rsidR="00871A3A" w:rsidRPr="007E3D1A" w:rsidRDefault="00871A3A" w:rsidP="00871A3A">
      <w:pPr>
        <w:rPr>
          <w:rFonts w:cs="Arial"/>
          <w:sz w:val="22"/>
        </w:rPr>
      </w:pPr>
      <w:r w:rsidRPr="007E3D1A">
        <w:rPr>
          <w:rFonts w:cs="Arial"/>
          <w:sz w:val="22"/>
        </w:rPr>
        <w:t>Présente uniquement et de manière succincte les informations requises pour comprendre les enjeux environnementaux et sociaux du Projet, notamment ce qui pourrait être affecté par le Projet ou ce qui pourrait affecter le Projet, y compris les informations pertinentes sur la zone d’accueil du sousprojet et les installations associées (localités, populations, économie locale, pauvreté, conflit, sécurité, géographie, secteurs ciblés, hydrologie, climat, biodiversité, aires protégées).</w:t>
      </w:r>
      <w:r w:rsidRPr="007E3D1A">
        <w:rPr>
          <w:rFonts w:cs="Arial"/>
          <w:sz w:val="22"/>
        </w:rPr>
        <w:br/>
      </w:r>
      <w:r w:rsidRPr="007E3D1A">
        <w:rPr>
          <w:rFonts w:cs="Arial"/>
          <w:sz w:val="22"/>
        </w:rPr>
        <w:tab/>
        <w:t>Le niveau de détail des informations présentées doit être suffisant et approprié pour renseigner sur la nature et les caractéristiques des risques et des impacts ainsi que sur les mesures d’atténuation du projet.  Tout détail monographique doit être en Annexe, afin de ne pas alourdir le texte et faciliter sa lecture.</w:t>
      </w:r>
    </w:p>
    <w:p w14:paraId="54DC3D2F" w14:textId="77777777" w:rsidR="00871A3A" w:rsidRPr="007E3D1A" w:rsidRDefault="00871A3A" w:rsidP="00871A3A">
      <w:pPr>
        <w:rPr>
          <w:rFonts w:cs="Arial"/>
          <w:sz w:val="22"/>
        </w:rPr>
      </w:pPr>
      <w:r w:rsidRPr="007E3D1A">
        <w:rPr>
          <w:rFonts w:cs="Arial"/>
          <w:sz w:val="22"/>
        </w:rPr>
        <w:t xml:space="preserve">Accompagne le texte avec des cartes qui localisent tous les toponymes mentionnés dans l’EIES.  </w:t>
      </w:r>
    </w:p>
    <w:p w14:paraId="20241D93" w14:textId="77777777" w:rsidR="00871A3A" w:rsidRPr="007E3D1A" w:rsidRDefault="00871A3A" w:rsidP="00871A3A">
      <w:pPr>
        <w:rPr>
          <w:rFonts w:cs="Arial"/>
          <w:sz w:val="22"/>
        </w:rPr>
      </w:pPr>
      <w:r w:rsidRPr="007E3D1A">
        <w:rPr>
          <w:rFonts w:cs="Arial"/>
          <w:sz w:val="22"/>
        </w:rPr>
        <w:t>Identifie et documente les groupes défavorisés ou vulnérables, y compris les personnes déplacées par des conflits, qui peuvent être affectés par le sousprojet, soit parce qu'ils sont touchés de manière disproportionnée, soit parce qu'ils pourraient être limités dans l'accès aux bénéfices découlant de ces activités.  Une attention particulière doit être portée à la présence ou non de communautés autochtones près du site du sous-projet.</w:t>
      </w:r>
    </w:p>
    <w:p w14:paraId="248F60A7" w14:textId="77777777" w:rsidR="00871A3A" w:rsidRPr="007E3D1A" w:rsidRDefault="00871A3A" w:rsidP="00871A3A">
      <w:pPr>
        <w:rPr>
          <w:rFonts w:cs="Arial"/>
          <w:sz w:val="22"/>
        </w:rPr>
      </w:pPr>
      <w:r w:rsidRPr="007E3D1A">
        <w:rPr>
          <w:rFonts w:cs="Arial"/>
          <w:sz w:val="22"/>
        </w:rPr>
        <w:t>Analyse les données existantes sur la VBG, y compris les données sur la violence sexuelle et physique par les partenaires/non-partenaires, l’exploitation et l’abus sexuels, le harcèlement sexuel, la violence intime par un partenaire, la violence familiale, les mariages précoces et les pratiques traditionnelles nuisibles, notamment celles qui risquent d’être exacerbées par la mise en œuvre du projet</w:t>
      </w:r>
      <w:r w:rsidRPr="007E3D1A">
        <w:rPr>
          <w:rFonts w:cs="Arial"/>
          <w:sz w:val="22"/>
        </w:rPr>
        <w:footnoteReference w:id="31"/>
      </w:r>
      <w:r w:rsidRPr="007E3D1A">
        <w:rPr>
          <w:rFonts w:cs="Arial"/>
          <w:sz w:val="22"/>
        </w:rPr>
        <w:t xml:space="preserve">. </w:t>
      </w:r>
    </w:p>
    <w:p w14:paraId="2B7BAEC0" w14:textId="77777777" w:rsidR="00871A3A" w:rsidRPr="007E3D1A" w:rsidRDefault="00871A3A" w:rsidP="00871A3A">
      <w:pPr>
        <w:rPr>
          <w:rFonts w:cs="Arial"/>
          <w:sz w:val="22"/>
        </w:rPr>
      </w:pPr>
      <w:r w:rsidRPr="007E3D1A">
        <w:rPr>
          <w:rFonts w:cs="Arial"/>
          <w:sz w:val="22"/>
        </w:rPr>
        <w:t>Analyse la disponibilité et l’accessibilité de services de réponse à la VBG sûrs et éthiques, notamment les soins médicaux, les services psychologiques, l’aide juridique, les services de protection et les opportunités de subsistance</w:t>
      </w:r>
      <w:r w:rsidRPr="007E3D1A">
        <w:rPr>
          <w:rFonts w:cs="Arial"/>
          <w:sz w:val="22"/>
        </w:rPr>
        <w:footnoteReference w:id="32"/>
      </w:r>
      <w:r w:rsidRPr="007E3D1A">
        <w:rPr>
          <w:rFonts w:cs="Arial"/>
          <w:sz w:val="22"/>
        </w:rPr>
        <w:t>.</w:t>
      </w:r>
    </w:p>
    <w:p w14:paraId="42EBCB8C" w14:textId="77777777" w:rsidR="00871A3A" w:rsidRPr="007E3D1A" w:rsidRDefault="00871A3A" w:rsidP="00871A3A">
      <w:pPr>
        <w:rPr>
          <w:rFonts w:cs="Arial"/>
          <w:sz w:val="22"/>
        </w:rPr>
      </w:pPr>
      <w:r w:rsidRPr="007E3D1A">
        <w:rPr>
          <w:rFonts w:cs="Arial"/>
          <w:sz w:val="22"/>
        </w:rPr>
        <w:t>Évalue la qualité, le degré de précision et la fiabilité des données disponibles, indique les sources de ces données et l’année de leur collecte, et identifie les lacunes essentielles.</w:t>
      </w:r>
    </w:p>
    <w:p w14:paraId="6AECA4DB" w14:textId="77777777" w:rsidR="00871A3A" w:rsidRPr="007E3D1A" w:rsidRDefault="00871A3A" w:rsidP="00871A3A">
      <w:pPr>
        <w:rPr>
          <w:rFonts w:cs="Arial"/>
          <w:sz w:val="22"/>
        </w:rPr>
      </w:pPr>
      <w:r w:rsidRPr="007E3D1A">
        <w:rPr>
          <w:rFonts w:cs="Arial"/>
          <w:sz w:val="22"/>
        </w:rPr>
        <w:t>Prend en compte les autres activités de développement passées, en cours ou envisagées dans la zone concernée, ainsi que tout changement escompté avant le démarrage des activités.</w:t>
      </w:r>
    </w:p>
    <w:p w14:paraId="137D4E16" w14:textId="77777777" w:rsidR="00871A3A" w:rsidRPr="007E3D1A" w:rsidRDefault="00871A3A" w:rsidP="00871A3A">
      <w:pPr>
        <w:rPr>
          <w:rFonts w:cs="Arial"/>
          <w:sz w:val="22"/>
        </w:rPr>
      </w:pPr>
    </w:p>
    <w:p w14:paraId="49296474" w14:textId="77777777" w:rsidR="00871A3A" w:rsidRPr="007E3D1A" w:rsidRDefault="00871A3A" w:rsidP="00871A3A">
      <w:pPr>
        <w:rPr>
          <w:rFonts w:cs="Arial"/>
          <w:sz w:val="22"/>
        </w:rPr>
      </w:pPr>
      <w:r w:rsidRPr="007E3D1A">
        <w:rPr>
          <w:rFonts w:cs="Arial"/>
          <w:sz w:val="22"/>
        </w:rPr>
        <w:t>Analyse des variantes</w:t>
      </w:r>
    </w:p>
    <w:p w14:paraId="53FF9466" w14:textId="77777777" w:rsidR="00871A3A" w:rsidRPr="007E3D1A" w:rsidRDefault="00871A3A" w:rsidP="00871A3A">
      <w:pPr>
        <w:rPr>
          <w:rFonts w:cs="Arial"/>
          <w:sz w:val="22"/>
        </w:rPr>
      </w:pPr>
    </w:p>
    <w:p w14:paraId="0EECFA3B" w14:textId="77777777" w:rsidR="00871A3A" w:rsidRPr="007E3D1A" w:rsidRDefault="00871A3A" w:rsidP="00871A3A">
      <w:pPr>
        <w:rPr>
          <w:rFonts w:cs="Arial"/>
          <w:sz w:val="22"/>
        </w:rPr>
      </w:pPr>
      <w:r w:rsidRPr="007E3D1A">
        <w:rPr>
          <w:rFonts w:cs="Arial"/>
          <w:sz w:val="22"/>
        </w:rPr>
        <w:t>Compare systématiquement les variantes acceptables par rapport à l’emplacement, la conception, la dimension, les technologies, et l’exploitation du sousprojet, y compris l’absence d’activités, sur la base de leurs effets environnementaux et sociaux potentiels. Dans la mesure du possible, des stratégies de construction alternatives (par exemple le calendrier, la main-d'œuvre locale par rapport à la main-d'œuvre importée, considération des besoins des personnes vivant avec un handicap (rampes d’accès), des femmes chefs de ménages, etc.) sont envisagées et évaluées en fonction de leurs implications environnementales et socio-économiques.</w:t>
      </w:r>
    </w:p>
    <w:p w14:paraId="34484F80" w14:textId="77777777" w:rsidR="00871A3A" w:rsidRPr="007E3D1A" w:rsidRDefault="00871A3A" w:rsidP="00871A3A">
      <w:pPr>
        <w:rPr>
          <w:rFonts w:cs="Arial"/>
          <w:sz w:val="22"/>
        </w:rPr>
      </w:pPr>
      <w:r w:rsidRPr="007E3D1A">
        <w:rPr>
          <w:rFonts w:cs="Arial"/>
          <w:sz w:val="22"/>
        </w:rPr>
        <w:t xml:space="preserve">Quantifie les impacts environnementaux et sociaux, y compris ceux liés à l’EAS/HS pour chaque variante, autant que faire se peut, et leur attribue une valeur économique lorsque cela est possible. </w:t>
      </w:r>
    </w:p>
    <w:p w14:paraId="551E9F77" w14:textId="77777777" w:rsidR="00871A3A" w:rsidRPr="007E3D1A" w:rsidRDefault="00871A3A" w:rsidP="00871A3A">
      <w:pPr>
        <w:rPr>
          <w:rFonts w:cs="Arial"/>
          <w:sz w:val="22"/>
        </w:rPr>
      </w:pPr>
      <w:r w:rsidRPr="007E3D1A">
        <w:rPr>
          <w:rFonts w:cs="Arial"/>
          <w:sz w:val="22"/>
        </w:rPr>
        <w:t>Évalue les coûts d’investissement et les charges récurrentes correspondant aux mesures d’atténuation de chaque variante, ainsi que la faisabilité des mesures proposées par rapport aux conditions locales et les capacités institutionnelles en place ou à mettre en place.</w:t>
      </w:r>
    </w:p>
    <w:p w14:paraId="12D87A64" w14:textId="77777777" w:rsidR="00871A3A" w:rsidRPr="007E3D1A" w:rsidRDefault="00871A3A" w:rsidP="00871A3A">
      <w:pPr>
        <w:rPr>
          <w:rFonts w:cs="Arial"/>
          <w:sz w:val="22"/>
        </w:rPr>
      </w:pPr>
    </w:p>
    <w:p w14:paraId="15DBFFDC" w14:textId="77777777" w:rsidR="00871A3A" w:rsidRPr="007E3D1A" w:rsidRDefault="00871A3A" w:rsidP="00871A3A">
      <w:pPr>
        <w:rPr>
          <w:rFonts w:cs="Arial"/>
          <w:sz w:val="22"/>
        </w:rPr>
      </w:pPr>
      <w:r w:rsidRPr="007E3D1A">
        <w:rPr>
          <w:rFonts w:cs="Arial"/>
          <w:sz w:val="22"/>
        </w:rPr>
        <w:t>Risques et impacts environnementaux et sociaux</w:t>
      </w:r>
    </w:p>
    <w:p w14:paraId="33F350DF" w14:textId="77777777" w:rsidR="00871A3A" w:rsidRPr="007E3D1A" w:rsidRDefault="00871A3A" w:rsidP="00871A3A">
      <w:pPr>
        <w:rPr>
          <w:rFonts w:cs="Arial"/>
          <w:sz w:val="22"/>
        </w:rPr>
      </w:pPr>
    </w:p>
    <w:p w14:paraId="18724C76" w14:textId="77777777" w:rsidR="00871A3A" w:rsidRPr="007E3D1A" w:rsidRDefault="00871A3A" w:rsidP="00871A3A">
      <w:pPr>
        <w:rPr>
          <w:rFonts w:cs="Arial"/>
          <w:sz w:val="22"/>
        </w:rPr>
      </w:pPr>
      <w:r w:rsidRPr="007E3D1A">
        <w:rPr>
          <w:rFonts w:cs="Arial"/>
          <w:sz w:val="22"/>
        </w:rPr>
        <w:t>Identifie, établit une typologie, décrit, analyse et évalue l’importance des risques et impacts environnementaux et sociaux directs, indirects, ou cumulatifs, y compris ceux liés à l’EAS/HS  pouvant découler du sousprojet ou des installations associées pendant leur durée de vie.</w:t>
      </w:r>
    </w:p>
    <w:p w14:paraId="73EC0F59" w14:textId="77777777" w:rsidR="00871A3A" w:rsidRPr="007E3D1A" w:rsidRDefault="00871A3A" w:rsidP="00871A3A">
      <w:pPr>
        <w:rPr>
          <w:rFonts w:cs="Arial"/>
          <w:sz w:val="22"/>
        </w:rPr>
      </w:pPr>
      <w:r w:rsidRPr="007E3D1A">
        <w:rPr>
          <w:rFonts w:cs="Arial"/>
          <w:sz w:val="22"/>
        </w:rPr>
        <w:t>Mets en relation ces risques et impacts avec les Normes Environnementales et Sociales de la Banque mondiale.  À cet effet le Chapitre doit, entre autres, porter une attention particulière aux risques et impacts associés :</w:t>
      </w:r>
    </w:p>
    <w:p w14:paraId="4215CA49" w14:textId="77777777" w:rsidR="00871A3A" w:rsidRPr="007E3D1A" w:rsidRDefault="00871A3A" w:rsidP="00871A3A">
      <w:pPr>
        <w:rPr>
          <w:rFonts w:cs="Arial"/>
          <w:sz w:val="22"/>
        </w:rPr>
      </w:pPr>
      <w:r w:rsidRPr="007E3D1A">
        <w:rPr>
          <w:rFonts w:cs="Arial"/>
          <w:sz w:val="22"/>
        </w:rPr>
        <w:t>Aux personnes ou groupes potentiellement défavorisés ou vulnérables du fait de leur situation particulière, tels que définis dans la NES1</w:t>
      </w:r>
      <w:r w:rsidRPr="007E3D1A">
        <w:rPr>
          <w:rFonts w:cs="Arial"/>
          <w:sz w:val="22"/>
        </w:rPr>
        <w:footnoteReference w:id="33"/>
      </w:r>
      <w:r w:rsidRPr="007E3D1A">
        <w:rPr>
          <w:rFonts w:cs="Arial"/>
          <w:sz w:val="22"/>
        </w:rPr>
        <w:t xml:space="preserve"> et NES7 ; notamment les Batwas. </w:t>
      </w:r>
    </w:p>
    <w:p w14:paraId="58FE1D39" w14:textId="77777777" w:rsidR="00871A3A" w:rsidRPr="007E3D1A" w:rsidRDefault="00871A3A" w:rsidP="00871A3A">
      <w:pPr>
        <w:rPr>
          <w:rFonts w:cs="Arial"/>
          <w:sz w:val="22"/>
        </w:rPr>
      </w:pPr>
      <w:r w:rsidRPr="007E3D1A">
        <w:rPr>
          <w:rFonts w:cs="Arial"/>
          <w:sz w:val="22"/>
        </w:rPr>
        <w:t>Aux conditions de travail et d’emploi, à la discrimination, et à la santé et la sécurité au travail, tels qu’indiqués dans la NES2.</w:t>
      </w:r>
    </w:p>
    <w:p w14:paraId="27B3F138" w14:textId="77777777" w:rsidR="00871A3A" w:rsidRPr="007E3D1A" w:rsidRDefault="00871A3A" w:rsidP="00871A3A">
      <w:pPr>
        <w:rPr>
          <w:rFonts w:cs="Arial"/>
          <w:sz w:val="22"/>
        </w:rPr>
      </w:pPr>
      <w:r w:rsidRPr="007E3D1A">
        <w:rPr>
          <w:rFonts w:cs="Arial"/>
          <w:sz w:val="22"/>
        </w:rPr>
        <w:t>Aux fournisseurs principaux.  Ces risques seront traités manière proportionnée au contrôle ou à l’influence exercés sur ces fournisseurs principaux, tel qu’indiqué dans les NES2 et NES6.</w:t>
      </w:r>
    </w:p>
    <w:p w14:paraId="3D39BF32" w14:textId="77777777" w:rsidR="00871A3A" w:rsidRPr="007E3D1A" w:rsidRDefault="00871A3A" w:rsidP="00871A3A">
      <w:pPr>
        <w:rPr>
          <w:rFonts w:cs="Arial"/>
          <w:sz w:val="22"/>
        </w:rPr>
      </w:pPr>
      <w:r w:rsidRPr="007E3D1A">
        <w:rPr>
          <w:rFonts w:cs="Arial"/>
          <w:sz w:val="22"/>
        </w:rPr>
        <w:t>A la pollution, tel que défini dans la NES3, et dans le paragraphe 18 de la NES1, y compris le risque de pollution des cours d’eau qui pourrait constituer un enjeu international.</w:t>
      </w:r>
    </w:p>
    <w:p w14:paraId="6B68B070" w14:textId="77777777" w:rsidR="00871A3A" w:rsidRPr="007E3D1A" w:rsidRDefault="00871A3A" w:rsidP="00871A3A">
      <w:pPr>
        <w:rPr>
          <w:rFonts w:cs="Arial"/>
          <w:sz w:val="22"/>
        </w:rPr>
      </w:pPr>
      <w:r w:rsidRPr="007E3D1A">
        <w:rPr>
          <w:rFonts w:cs="Arial"/>
          <w:sz w:val="22"/>
        </w:rPr>
        <w:t>À l’utilisation de produits chimiques et des substances dangereuses, dont les pesticides, tel qu’indiqué dans la NES3.</w:t>
      </w:r>
    </w:p>
    <w:p w14:paraId="2A459946" w14:textId="77777777" w:rsidR="00871A3A" w:rsidRPr="007E3D1A" w:rsidRDefault="00871A3A" w:rsidP="00871A3A">
      <w:pPr>
        <w:rPr>
          <w:rFonts w:cs="Arial"/>
          <w:sz w:val="22"/>
        </w:rPr>
      </w:pPr>
      <w:r w:rsidRPr="007E3D1A">
        <w:rPr>
          <w:rFonts w:cs="Arial"/>
          <w:sz w:val="22"/>
        </w:rPr>
        <w:t>À la santé publique, notamment la transmission et la propagation de maladies infectieuses (i.e., le paludisme) et contagieuses (e.g., la COVID-19, VIG/SIDA, et Ébola)</w:t>
      </w:r>
    </w:p>
    <w:p w14:paraId="4B15CB26" w14:textId="77777777" w:rsidR="00871A3A" w:rsidRPr="007E3D1A" w:rsidRDefault="00871A3A" w:rsidP="00871A3A">
      <w:pPr>
        <w:rPr>
          <w:rFonts w:cs="Arial"/>
          <w:sz w:val="22"/>
        </w:rPr>
      </w:pPr>
      <w:r w:rsidRPr="007E3D1A">
        <w:rPr>
          <w:rFonts w:cs="Arial"/>
          <w:sz w:val="22"/>
        </w:rPr>
        <w:t>Aux violences basées sur le genre (VBG), notamment les abus, l’exploitation et les atteintes sexuelles ainsi que le harcèlement sexuel (EAS/HS)</w:t>
      </w:r>
    </w:p>
    <w:p w14:paraId="1E1F5DE7" w14:textId="77777777" w:rsidR="00871A3A" w:rsidRPr="007E3D1A" w:rsidRDefault="00871A3A" w:rsidP="00871A3A">
      <w:pPr>
        <w:rPr>
          <w:rFonts w:cs="Arial"/>
          <w:sz w:val="22"/>
        </w:rPr>
      </w:pPr>
      <w:r w:rsidRPr="007E3D1A">
        <w:rPr>
          <w:rFonts w:cs="Arial"/>
          <w:sz w:val="22"/>
        </w:rPr>
        <w:t>A la recrudescence des conflits interpersonnels, communautaires et interétatiques, de la criminalité, le banditisme ou de la violence</w:t>
      </w:r>
    </w:p>
    <w:p w14:paraId="34622C61" w14:textId="77777777" w:rsidR="00871A3A" w:rsidRPr="007E3D1A" w:rsidRDefault="00871A3A" w:rsidP="00871A3A">
      <w:pPr>
        <w:rPr>
          <w:rFonts w:cs="Arial"/>
          <w:sz w:val="22"/>
        </w:rPr>
      </w:pPr>
      <w:r w:rsidRPr="007E3D1A">
        <w:rPr>
          <w:rFonts w:cs="Arial"/>
          <w:sz w:val="22"/>
        </w:rPr>
        <w:t>À l’adaptation et la résilience au changement climatique, notamment l’augmentation des périodes de sécheresse, les inondations, ou les tempêtes, tel qu’indiqué dans la NES4.</w:t>
      </w:r>
    </w:p>
    <w:p w14:paraId="354D4753" w14:textId="77777777" w:rsidR="00871A3A" w:rsidRPr="007E3D1A" w:rsidRDefault="00871A3A" w:rsidP="00871A3A">
      <w:pPr>
        <w:rPr>
          <w:rFonts w:cs="Arial"/>
          <w:sz w:val="22"/>
        </w:rPr>
      </w:pPr>
      <w:r w:rsidRPr="007E3D1A">
        <w:rPr>
          <w:rFonts w:cs="Arial"/>
          <w:sz w:val="22"/>
        </w:rPr>
        <w:t>A la réquisition forcée ou involontaire de terres ou aux restrictions à l’utilisation des terres, tel qu’indiqué à la NES6</w:t>
      </w:r>
    </w:p>
    <w:p w14:paraId="70B61CEE" w14:textId="77777777" w:rsidR="00871A3A" w:rsidRPr="007E3D1A" w:rsidRDefault="00871A3A" w:rsidP="00871A3A">
      <w:pPr>
        <w:rPr>
          <w:rFonts w:cs="Arial"/>
          <w:sz w:val="22"/>
        </w:rPr>
      </w:pPr>
      <w:r w:rsidRPr="007E3D1A">
        <w:rPr>
          <w:rFonts w:cs="Arial"/>
          <w:sz w:val="22"/>
        </w:rPr>
        <w:t>À la propriété et l’accès aux terres et aux ressources naturelles, notamment les régimes fonciers applicables, l’accessibilité et la disponibilité des terres, la sécurité alimentaire et la valeur foncière.</w:t>
      </w:r>
    </w:p>
    <w:p w14:paraId="1580D83D" w14:textId="77777777" w:rsidR="00871A3A" w:rsidRPr="007E3D1A" w:rsidRDefault="00871A3A" w:rsidP="00871A3A">
      <w:pPr>
        <w:rPr>
          <w:rFonts w:cs="Arial"/>
          <w:sz w:val="22"/>
        </w:rPr>
      </w:pPr>
      <w:r w:rsidRPr="007E3D1A">
        <w:rPr>
          <w:rFonts w:cs="Arial"/>
          <w:sz w:val="22"/>
        </w:rPr>
        <w:t>À l’accès à la terre et aux ressources naturelles, compte tenu de la possibilité d’exacerber les tensions, aggraver la pauvreté et les inégalités, notamment chez les groupes défavorisés ou vulnérables, et chez les femmes.</w:t>
      </w:r>
    </w:p>
    <w:p w14:paraId="0AF466B8" w14:textId="77777777" w:rsidR="00871A3A" w:rsidRPr="007E3D1A" w:rsidRDefault="00871A3A" w:rsidP="00871A3A">
      <w:pPr>
        <w:rPr>
          <w:rFonts w:cs="Arial"/>
          <w:sz w:val="22"/>
        </w:rPr>
      </w:pPr>
      <w:r w:rsidRPr="007E3D1A">
        <w:rPr>
          <w:rFonts w:cs="Arial"/>
          <w:sz w:val="22"/>
        </w:rPr>
        <w:t>A la protection, la préservation, le maintien et la régénération des habitats naturels et de la biodiversité, tel qu’indiqué dans la NES6, notamment les habitats de reproduction pour les poissons et les habitats d’accueil pour les oiseaux résidents ou migrateurs.</w:t>
      </w:r>
    </w:p>
    <w:p w14:paraId="5D154A0E" w14:textId="77777777" w:rsidR="00871A3A" w:rsidRPr="007E3D1A" w:rsidRDefault="00871A3A" w:rsidP="00871A3A">
      <w:pPr>
        <w:rPr>
          <w:rFonts w:cs="Arial"/>
          <w:sz w:val="22"/>
        </w:rPr>
      </w:pPr>
      <w:r w:rsidRPr="007E3D1A">
        <w:rPr>
          <w:rFonts w:cs="Arial"/>
          <w:sz w:val="22"/>
        </w:rPr>
        <w:t>Aux services écosystémiques</w:t>
      </w:r>
      <w:r w:rsidRPr="007E3D1A">
        <w:rPr>
          <w:rFonts w:cs="Arial"/>
          <w:sz w:val="22"/>
        </w:rPr>
        <w:footnoteReference w:id="34"/>
      </w:r>
      <w:r w:rsidRPr="007E3D1A">
        <w:rPr>
          <w:rFonts w:cs="Arial"/>
          <w:sz w:val="22"/>
        </w:rPr>
        <w:t xml:space="preserve"> tel que défini dans la NES 1</w:t>
      </w:r>
    </w:p>
    <w:p w14:paraId="14C6D12E" w14:textId="77777777" w:rsidR="00871A3A" w:rsidRPr="007E3D1A" w:rsidRDefault="00871A3A" w:rsidP="00871A3A">
      <w:pPr>
        <w:rPr>
          <w:rFonts w:cs="Arial"/>
          <w:sz w:val="22"/>
        </w:rPr>
      </w:pPr>
      <w:r w:rsidRPr="007E3D1A">
        <w:rPr>
          <w:rFonts w:cs="Arial"/>
          <w:sz w:val="22"/>
        </w:rPr>
        <w:t>À l’exploitation des ressources naturelles biologiques, tel qu’indiqué dans la NES6.</w:t>
      </w:r>
    </w:p>
    <w:p w14:paraId="2A53A03D" w14:textId="77777777" w:rsidR="00871A3A" w:rsidRPr="007E3D1A" w:rsidRDefault="00871A3A" w:rsidP="00871A3A">
      <w:pPr>
        <w:rPr>
          <w:rFonts w:cs="Arial"/>
          <w:sz w:val="22"/>
        </w:rPr>
      </w:pPr>
      <w:r w:rsidRPr="007E3D1A">
        <w:rPr>
          <w:rFonts w:cs="Arial"/>
          <w:sz w:val="22"/>
        </w:rPr>
        <w:t>Au patrimoine culturel, tel qu’indiqué dans la NES8.</w:t>
      </w:r>
    </w:p>
    <w:p w14:paraId="6537056C" w14:textId="77777777" w:rsidR="00871A3A" w:rsidRPr="007E3D1A" w:rsidRDefault="00871A3A" w:rsidP="00871A3A">
      <w:pPr>
        <w:rPr>
          <w:rFonts w:cs="Arial"/>
          <w:sz w:val="22"/>
        </w:rPr>
      </w:pPr>
    </w:p>
    <w:p w14:paraId="0AD7E218" w14:textId="77777777" w:rsidR="00871A3A" w:rsidRPr="007E3D1A" w:rsidRDefault="00871A3A" w:rsidP="00871A3A">
      <w:pPr>
        <w:rPr>
          <w:rFonts w:cs="Arial"/>
          <w:sz w:val="22"/>
        </w:rPr>
      </w:pPr>
      <w:r w:rsidRPr="007E3D1A">
        <w:rPr>
          <w:rFonts w:cs="Arial"/>
          <w:sz w:val="22"/>
        </w:rPr>
        <w:t>Plan de gestion environnementale et sociale (PGES)</w:t>
      </w:r>
    </w:p>
    <w:p w14:paraId="17096EBD" w14:textId="77777777" w:rsidR="00871A3A" w:rsidRPr="007E3D1A" w:rsidRDefault="00871A3A" w:rsidP="00871A3A">
      <w:pPr>
        <w:rPr>
          <w:rFonts w:cs="Arial"/>
          <w:sz w:val="22"/>
        </w:rPr>
      </w:pPr>
    </w:p>
    <w:p w14:paraId="5FEA0F17" w14:textId="77777777" w:rsidR="00871A3A" w:rsidRPr="007E3D1A" w:rsidRDefault="00871A3A" w:rsidP="00871A3A">
      <w:pPr>
        <w:rPr>
          <w:rFonts w:cs="Arial"/>
          <w:sz w:val="22"/>
        </w:rPr>
      </w:pPr>
      <w:r w:rsidRPr="007E3D1A">
        <w:rPr>
          <w:rFonts w:cs="Arial"/>
          <w:sz w:val="22"/>
        </w:rPr>
        <w:t>Ce Chapitre présente le Plan de Gestion Environnementale et Sociale (PGES) pour le sous- projet.  Le plan comprend 5 sections :</w:t>
      </w:r>
    </w:p>
    <w:p w14:paraId="3151DBAB" w14:textId="77777777" w:rsidR="00871A3A" w:rsidRPr="007E3D1A" w:rsidRDefault="00871A3A" w:rsidP="00871A3A">
      <w:pPr>
        <w:rPr>
          <w:rFonts w:cs="Arial"/>
          <w:sz w:val="22"/>
        </w:rPr>
      </w:pPr>
      <w:r w:rsidRPr="007E3D1A">
        <w:rPr>
          <w:rFonts w:cs="Arial"/>
          <w:sz w:val="22"/>
        </w:rPr>
        <w:t>Atténuation</w:t>
      </w:r>
    </w:p>
    <w:p w14:paraId="2C6501B2" w14:textId="77777777" w:rsidR="00871A3A" w:rsidRPr="007E3D1A" w:rsidRDefault="00871A3A" w:rsidP="00871A3A">
      <w:pPr>
        <w:rPr>
          <w:rFonts w:cs="Arial"/>
          <w:sz w:val="22"/>
        </w:rPr>
      </w:pPr>
      <w:r w:rsidRPr="007E3D1A">
        <w:rPr>
          <w:rFonts w:cs="Arial"/>
          <w:sz w:val="22"/>
        </w:rPr>
        <w:t>Suivi</w:t>
      </w:r>
    </w:p>
    <w:p w14:paraId="39FEC396" w14:textId="77777777" w:rsidR="00871A3A" w:rsidRPr="007E3D1A" w:rsidRDefault="00871A3A" w:rsidP="00871A3A">
      <w:pPr>
        <w:rPr>
          <w:rFonts w:cs="Arial"/>
          <w:sz w:val="22"/>
        </w:rPr>
      </w:pPr>
      <w:r w:rsidRPr="007E3D1A">
        <w:rPr>
          <w:rFonts w:cs="Arial"/>
          <w:sz w:val="22"/>
        </w:rPr>
        <w:t>Engagement des parties prenantes</w:t>
      </w:r>
    </w:p>
    <w:p w14:paraId="7DA214A0" w14:textId="77777777" w:rsidR="00871A3A" w:rsidRPr="007E3D1A" w:rsidRDefault="00871A3A" w:rsidP="00871A3A">
      <w:pPr>
        <w:rPr>
          <w:rFonts w:cs="Arial"/>
          <w:sz w:val="22"/>
        </w:rPr>
      </w:pPr>
      <w:r w:rsidRPr="007E3D1A">
        <w:rPr>
          <w:rFonts w:cs="Arial"/>
          <w:sz w:val="22"/>
        </w:rPr>
        <w:t xml:space="preserve">Cadre institutionnel pour la mise en œuvre du PGES </w:t>
      </w:r>
    </w:p>
    <w:p w14:paraId="4DFE34BC" w14:textId="77777777" w:rsidR="00871A3A" w:rsidRPr="007E3D1A" w:rsidRDefault="00871A3A" w:rsidP="00871A3A">
      <w:pPr>
        <w:rPr>
          <w:rFonts w:cs="Arial"/>
          <w:sz w:val="22"/>
        </w:rPr>
      </w:pPr>
      <w:r w:rsidRPr="007E3D1A">
        <w:rPr>
          <w:rFonts w:cs="Arial"/>
          <w:sz w:val="22"/>
        </w:rPr>
        <w:t>Budget</w:t>
      </w:r>
    </w:p>
    <w:p w14:paraId="2C39FED1" w14:textId="77777777" w:rsidR="00871A3A" w:rsidRPr="007E3D1A" w:rsidRDefault="00871A3A" w:rsidP="00871A3A">
      <w:pPr>
        <w:rPr>
          <w:rFonts w:cs="Arial"/>
          <w:sz w:val="22"/>
        </w:rPr>
      </w:pPr>
      <w:r w:rsidRPr="007E3D1A">
        <w:rPr>
          <w:rFonts w:cs="Arial"/>
          <w:sz w:val="22"/>
        </w:rPr>
        <w:t>Atténuation</w:t>
      </w:r>
    </w:p>
    <w:p w14:paraId="47F16EB1" w14:textId="77777777" w:rsidR="00871A3A" w:rsidRPr="007E3D1A" w:rsidRDefault="00871A3A" w:rsidP="00871A3A">
      <w:pPr>
        <w:rPr>
          <w:rFonts w:cs="Arial"/>
          <w:sz w:val="22"/>
        </w:rPr>
      </w:pPr>
      <w:r w:rsidRPr="007E3D1A">
        <w:rPr>
          <w:rFonts w:cs="Arial"/>
          <w:sz w:val="22"/>
        </w:rPr>
        <w:t>Cette section :</w:t>
      </w:r>
    </w:p>
    <w:p w14:paraId="1430632E" w14:textId="77777777" w:rsidR="00871A3A" w:rsidRPr="007E3D1A" w:rsidRDefault="00871A3A" w:rsidP="00871A3A">
      <w:pPr>
        <w:rPr>
          <w:rFonts w:cs="Arial"/>
          <w:sz w:val="22"/>
        </w:rPr>
      </w:pPr>
      <w:r w:rsidRPr="007E3D1A">
        <w:rPr>
          <w:rFonts w:cs="Arial"/>
          <w:sz w:val="22"/>
        </w:rPr>
        <w:t>Définit les mesures et actions, suivant le principe de la hiérarchie d’atténuation, requises pour atténuer à un niveau acceptable chacun des impacts environnementaux et sociaux négatifs évalués dans le chapitre précédent, d’une manière qui satisfait les exigences des NES de la Banque mondiale, ainsi que les réglementations nationales.</w:t>
      </w:r>
    </w:p>
    <w:p w14:paraId="1F599E40" w14:textId="77777777" w:rsidR="00871A3A" w:rsidRPr="007E3D1A" w:rsidRDefault="00871A3A" w:rsidP="00871A3A">
      <w:pPr>
        <w:rPr>
          <w:rFonts w:cs="Arial"/>
          <w:sz w:val="22"/>
        </w:rPr>
      </w:pPr>
      <w:r w:rsidRPr="007E3D1A">
        <w:rPr>
          <w:rFonts w:cs="Arial"/>
          <w:sz w:val="22"/>
        </w:rPr>
        <w:t>Décrit chacune des mesures d’atténuation avec un niveau de détail technique suffisant pour comprendre les enjeux de sa mise en œuvre.</w:t>
      </w:r>
    </w:p>
    <w:p w14:paraId="4C18BC1D" w14:textId="77777777" w:rsidR="00871A3A" w:rsidRPr="007E3D1A" w:rsidRDefault="00871A3A" w:rsidP="00871A3A">
      <w:pPr>
        <w:rPr>
          <w:rFonts w:cs="Arial"/>
          <w:sz w:val="22"/>
        </w:rPr>
      </w:pPr>
      <w:r w:rsidRPr="007E3D1A">
        <w:rPr>
          <w:rFonts w:cs="Arial"/>
          <w:sz w:val="22"/>
        </w:rPr>
        <w:t>Applique le principe de la hiérarchie d’atténuation tel que défini dans le paragraphe 27 de la NES1</w:t>
      </w:r>
      <w:r w:rsidRPr="007E3D1A">
        <w:rPr>
          <w:rFonts w:cs="Arial"/>
          <w:sz w:val="22"/>
        </w:rPr>
        <w:footnoteReference w:id="35"/>
      </w:r>
      <w:r w:rsidRPr="007E3D1A">
        <w:rPr>
          <w:rFonts w:cs="Arial"/>
          <w:sz w:val="22"/>
        </w:rPr>
        <w:t>, lors de la définition des mesures d’atténuation appropriées des risques et impacts environnementaux et sociaux du sousprojet.</w:t>
      </w:r>
    </w:p>
    <w:p w14:paraId="6BF58D95" w14:textId="77777777" w:rsidR="00871A3A" w:rsidRPr="007E3D1A" w:rsidRDefault="00871A3A" w:rsidP="00871A3A">
      <w:pPr>
        <w:rPr>
          <w:rFonts w:cs="Arial"/>
          <w:sz w:val="22"/>
        </w:rPr>
      </w:pPr>
      <w:r w:rsidRPr="007E3D1A">
        <w:rPr>
          <w:rFonts w:cs="Arial"/>
          <w:sz w:val="22"/>
        </w:rPr>
        <w:t>Identifie les impacts résiduels négatifs importants qui ne peuvent pas être atténués à des niveaux acceptables, et évalue l’acceptabilité de ces impacts résiduels et explique les motifs de telles décisions.</w:t>
      </w:r>
    </w:p>
    <w:p w14:paraId="4645804B" w14:textId="77777777" w:rsidR="00871A3A" w:rsidRPr="007E3D1A" w:rsidRDefault="00871A3A" w:rsidP="00871A3A">
      <w:pPr>
        <w:rPr>
          <w:rFonts w:cs="Arial"/>
          <w:sz w:val="22"/>
        </w:rPr>
      </w:pPr>
      <w:r w:rsidRPr="007E3D1A">
        <w:rPr>
          <w:rFonts w:cs="Arial"/>
          <w:sz w:val="22"/>
        </w:rPr>
        <w:t>Évalue les risques et impacts environnementaux et sociaux que la mise en œuvre des mesures d’atténuation pourrait causer.</w:t>
      </w:r>
    </w:p>
    <w:p w14:paraId="73579E20" w14:textId="77777777" w:rsidR="00871A3A" w:rsidRPr="007E3D1A" w:rsidRDefault="00871A3A" w:rsidP="00871A3A">
      <w:pPr>
        <w:rPr>
          <w:rFonts w:cs="Arial"/>
          <w:sz w:val="22"/>
        </w:rPr>
      </w:pPr>
      <w:r w:rsidRPr="007E3D1A">
        <w:rPr>
          <w:rFonts w:cs="Arial"/>
          <w:sz w:val="22"/>
        </w:rPr>
        <w:t>Traite les risques et impacts des installations associées d’une manière proportionnée au contrôle ou à l’influence que l’entité responsable exerce sur celles-ci.  Recense les risques et impacts que ces installations pourraient engendrer pour le sousprojet, si un contrôle ou une influence ne peuvent pas être exercée sur les installations associées permettant de satisfaire les exigences des NES,</w:t>
      </w:r>
    </w:p>
    <w:p w14:paraId="035A2C83" w14:textId="77777777" w:rsidR="00871A3A" w:rsidRPr="007E3D1A" w:rsidRDefault="00871A3A" w:rsidP="00871A3A">
      <w:pPr>
        <w:rPr>
          <w:rFonts w:cs="Arial"/>
          <w:sz w:val="22"/>
        </w:rPr>
      </w:pPr>
      <w:r w:rsidRPr="007E3D1A">
        <w:rPr>
          <w:rFonts w:cs="Arial"/>
          <w:sz w:val="22"/>
        </w:rPr>
        <w:t>Assure l’articulation et la cohérence avec les autres instruments de gestion des risques et impacts environnementaux et sociaux préparés à l’échelle du Projet, dont le Cadre de Gestion Environnementale et Sociale (CGES), le Plan de Gestion de la Main d’œuvre (PGMO), le Cadre de Réinstallation, le Plan pour les Peuples autochtones, et le Plan de Mobilisation des Parties Prenantes (PMPP).</w:t>
      </w:r>
    </w:p>
    <w:p w14:paraId="356A4CDF" w14:textId="77777777" w:rsidR="00871A3A" w:rsidRPr="007E3D1A" w:rsidRDefault="00871A3A" w:rsidP="00871A3A">
      <w:pPr>
        <w:rPr>
          <w:rFonts w:cs="Arial"/>
          <w:sz w:val="22"/>
        </w:rPr>
      </w:pPr>
      <w:r w:rsidRPr="007E3D1A">
        <w:rPr>
          <w:rFonts w:cs="Arial"/>
          <w:sz w:val="22"/>
        </w:rPr>
        <w:t>Propose des mesures d’atténuation différenciées afin que les impacts négatifs des activités proposées n’affectent pas les personnes ou les groupes défavorisés ou vulnérables (notamment les femmes, les groupes ethniques dont les communautés autochtones, les personnes handicapées, les jeunes, les personnes analphabètes, et les personnes déplacées) de manière disproportionnée, et pour qu’elles ne soient pas lésées dans le partage des avantages et opportunités de développement résultant du sousprojet.</w:t>
      </w:r>
    </w:p>
    <w:p w14:paraId="4A13D217" w14:textId="77777777" w:rsidR="00871A3A" w:rsidRPr="007E3D1A" w:rsidRDefault="00871A3A" w:rsidP="00871A3A">
      <w:pPr>
        <w:rPr>
          <w:rFonts w:cs="Arial"/>
          <w:sz w:val="22"/>
        </w:rPr>
      </w:pPr>
      <w:r w:rsidRPr="007E3D1A">
        <w:rPr>
          <w:rFonts w:cs="Arial"/>
          <w:sz w:val="22"/>
        </w:rPr>
        <w:t>Tient compte des répercussions potentielles sur les cultures, les coutumes, et les économies locales, en particulier les impacts potentiels sur les moyens de subsistance, la pauvreté, et les dynamiques intercommunautaires au cœur des inégalités d’accès aux services (notamment à l’eau, à la nourriture et à la terre).</w:t>
      </w:r>
    </w:p>
    <w:p w14:paraId="756F9657" w14:textId="77777777" w:rsidR="00871A3A" w:rsidRPr="007E3D1A" w:rsidRDefault="00871A3A" w:rsidP="00871A3A">
      <w:pPr>
        <w:rPr>
          <w:rFonts w:cs="Arial"/>
          <w:sz w:val="22"/>
        </w:rPr>
      </w:pPr>
      <w:r w:rsidRPr="007E3D1A">
        <w:rPr>
          <w:rFonts w:cs="Arial"/>
          <w:sz w:val="22"/>
        </w:rPr>
        <w:t>Distingue les risques et impacts qui seront directement gérés par les services publics, de ceux dont l’atténuation sera assumée par les entreprises dans le cadre de leurs contrats respectifs.</w:t>
      </w:r>
    </w:p>
    <w:p w14:paraId="54E78D94" w14:textId="77777777" w:rsidR="00871A3A" w:rsidRPr="007E3D1A" w:rsidRDefault="00871A3A" w:rsidP="00871A3A">
      <w:pPr>
        <w:rPr>
          <w:rFonts w:cs="Arial"/>
          <w:sz w:val="22"/>
        </w:rPr>
      </w:pPr>
      <w:r w:rsidRPr="007E3D1A">
        <w:rPr>
          <w:rFonts w:cs="Arial"/>
          <w:sz w:val="22"/>
        </w:rPr>
        <w:t>Regroupe toutes les mesures d’atténuation assumées par les entreprises en un jeu d’exigences Environnementales, Sociales, Sanitaires, et Sécuritaires qui seront annexées à l’EIES, y compris un code de conduite et une description du processus de préparation des PGES Entreprise qui détaille comment les exigences seront opérationnalisées.  Ce jeu d’exigences sera organisé en sections, et doit au minimum couvrir les thèmes suivants :</w:t>
      </w:r>
    </w:p>
    <w:p w14:paraId="522F37EA" w14:textId="77777777" w:rsidR="00871A3A" w:rsidRPr="007E3D1A" w:rsidRDefault="00871A3A" w:rsidP="00871A3A">
      <w:pPr>
        <w:rPr>
          <w:rFonts w:cs="Arial"/>
          <w:sz w:val="22"/>
        </w:rPr>
      </w:pPr>
      <w:r w:rsidRPr="007E3D1A">
        <w:rPr>
          <w:rFonts w:cs="Arial"/>
          <w:sz w:val="22"/>
        </w:rPr>
        <w:t>Formation ESSS</w:t>
      </w:r>
    </w:p>
    <w:p w14:paraId="7880DAFB" w14:textId="77777777" w:rsidR="00871A3A" w:rsidRPr="007E3D1A" w:rsidRDefault="00871A3A" w:rsidP="00871A3A">
      <w:pPr>
        <w:rPr>
          <w:rFonts w:cs="Arial"/>
          <w:sz w:val="22"/>
        </w:rPr>
      </w:pPr>
      <w:r w:rsidRPr="007E3D1A">
        <w:rPr>
          <w:rFonts w:cs="Arial"/>
          <w:sz w:val="22"/>
        </w:rPr>
        <w:t>Gestion des installations et chantiers</w:t>
      </w:r>
    </w:p>
    <w:p w14:paraId="025DBA43" w14:textId="77777777" w:rsidR="00871A3A" w:rsidRPr="007E3D1A" w:rsidRDefault="00871A3A" w:rsidP="00871A3A">
      <w:pPr>
        <w:rPr>
          <w:rFonts w:cs="Arial"/>
          <w:sz w:val="22"/>
        </w:rPr>
      </w:pPr>
      <w:r w:rsidRPr="007E3D1A">
        <w:rPr>
          <w:rFonts w:cs="Arial"/>
          <w:sz w:val="22"/>
        </w:rPr>
        <w:t>Gestion de la sécurité au travail</w:t>
      </w:r>
    </w:p>
    <w:p w14:paraId="60BF3F2E" w14:textId="77777777" w:rsidR="00871A3A" w:rsidRPr="007E3D1A" w:rsidRDefault="00871A3A" w:rsidP="00871A3A">
      <w:pPr>
        <w:rPr>
          <w:rFonts w:cs="Arial"/>
          <w:sz w:val="22"/>
        </w:rPr>
      </w:pPr>
      <w:r w:rsidRPr="007E3D1A">
        <w:rPr>
          <w:rFonts w:cs="Arial"/>
          <w:sz w:val="22"/>
        </w:rPr>
        <w:t>Gestion de la santé au travail</w:t>
      </w:r>
    </w:p>
    <w:p w14:paraId="23E7B350" w14:textId="77777777" w:rsidR="00871A3A" w:rsidRPr="007E3D1A" w:rsidRDefault="00871A3A" w:rsidP="00871A3A">
      <w:pPr>
        <w:rPr>
          <w:rFonts w:cs="Arial"/>
          <w:sz w:val="22"/>
        </w:rPr>
      </w:pPr>
      <w:r w:rsidRPr="007E3D1A">
        <w:rPr>
          <w:rFonts w:cs="Arial"/>
          <w:sz w:val="22"/>
        </w:rPr>
        <w:t>Gestion de la main-d'œuvre, y compris un Code de Conduite relatif à l’exploitation, aux abus, et au harcèlement sexuel.</w:t>
      </w:r>
    </w:p>
    <w:p w14:paraId="0AD6C840" w14:textId="77777777" w:rsidR="00871A3A" w:rsidRPr="007E3D1A" w:rsidRDefault="00871A3A" w:rsidP="00871A3A">
      <w:pPr>
        <w:rPr>
          <w:rFonts w:cs="Arial"/>
          <w:sz w:val="22"/>
        </w:rPr>
      </w:pPr>
      <w:r w:rsidRPr="007E3D1A">
        <w:rPr>
          <w:rFonts w:cs="Arial"/>
          <w:sz w:val="22"/>
        </w:rPr>
        <w:t>Préparation et réponse aux urgences</w:t>
      </w:r>
    </w:p>
    <w:p w14:paraId="6CCCFDF6" w14:textId="77777777" w:rsidR="00871A3A" w:rsidRPr="007E3D1A" w:rsidRDefault="00871A3A" w:rsidP="00871A3A">
      <w:pPr>
        <w:rPr>
          <w:rFonts w:cs="Arial"/>
          <w:sz w:val="22"/>
        </w:rPr>
      </w:pPr>
      <w:r w:rsidRPr="007E3D1A">
        <w:rPr>
          <w:rFonts w:cs="Arial"/>
          <w:sz w:val="22"/>
        </w:rPr>
        <w:t>Sécurité extérieure des chantiers, installations, et des personnes</w:t>
      </w:r>
    </w:p>
    <w:p w14:paraId="0F37C7D9" w14:textId="77777777" w:rsidR="00871A3A" w:rsidRPr="007E3D1A" w:rsidRDefault="00871A3A" w:rsidP="00871A3A">
      <w:pPr>
        <w:rPr>
          <w:rFonts w:cs="Arial"/>
          <w:sz w:val="22"/>
        </w:rPr>
      </w:pPr>
      <w:r w:rsidRPr="007E3D1A">
        <w:rPr>
          <w:rFonts w:cs="Arial"/>
          <w:sz w:val="22"/>
        </w:rPr>
        <w:t>Gestion du trafic et sécurité routière</w:t>
      </w:r>
    </w:p>
    <w:p w14:paraId="69FA7E83" w14:textId="77777777" w:rsidR="00871A3A" w:rsidRPr="007E3D1A" w:rsidRDefault="00871A3A" w:rsidP="00871A3A">
      <w:pPr>
        <w:rPr>
          <w:rFonts w:cs="Arial"/>
          <w:sz w:val="22"/>
        </w:rPr>
      </w:pPr>
      <w:r w:rsidRPr="007E3D1A">
        <w:rPr>
          <w:rFonts w:cs="Arial"/>
          <w:sz w:val="22"/>
        </w:rPr>
        <w:t>Engagement des parties prenantes par les entreprises</w:t>
      </w:r>
    </w:p>
    <w:p w14:paraId="49D447A6" w14:textId="77777777" w:rsidR="00871A3A" w:rsidRPr="007E3D1A" w:rsidRDefault="00871A3A" w:rsidP="00871A3A">
      <w:pPr>
        <w:rPr>
          <w:rFonts w:cs="Arial"/>
          <w:sz w:val="22"/>
        </w:rPr>
      </w:pPr>
      <w:r w:rsidRPr="007E3D1A">
        <w:rPr>
          <w:rFonts w:cs="Arial"/>
          <w:sz w:val="22"/>
        </w:rPr>
        <w:t>Suivi et rapportage environnemental et social par les entreprises</w:t>
      </w:r>
    </w:p>
    <w:p w14:paraId="6FCD7FE5" w14:textId="77777777" w:rsidR="00871A3A" w:rsidRPr="007E3D1A" w:rsidRDefault="00871A3A" w:rsidP="00871A3A">
      <w:pPr>
        <w:rPr>
          <w:rFonts w:cs="Arial"/>
          <w:sz w:val="22"/>
        </w:rPr>
      </w:pPr>
      <w:r w:rsidRPr="007E3D1A">
        <w:rPr>
          <w:rFonts w:cs="Arial"/>
          <w:sz w:val="22"/>
        </w:rPr>
        <w:t>Décrit comment ces exigences seront pris en considération lors du processus de DAO et lors de l’octroi des contrats.</w:t>
      </w:r>
    </w:p>
    <w:p w14:paraId="39B0772B" w14:textId="77777777" w:rsidR="00871A3A" w:rsidRPr="007E3D1A" w:rsidRDefault="00871A3A" w:rsidP="00871A3A">
      <w:pPr>
        <w:rPr>
          <w:rFonts w:cs="Arial"/>
          <w:sz w:val="22"/>
        </w:rPr>
      </w:pPr>
      <w:r w:rsidRPr="007E3D1A">
        <w:rPr>
          <w:rFonts w:cs="Arial"/>
          <w:sz w:val="22"/>
        </w:rPr>
        <w:t>Suivi</w:t>
      </w:r>
    </w:p>
    <w:p w14:paraId="41D87394" w14:textId="77777777" w:rsidR="00871A3A" w:rsidRPr="007E3D1A" w:rsidRDefault="00871A3A" w:rsidP="00871A3A">
      <w:pPr>
        <w:rPr>
          <w:rFonts w:cs="Arial"/>
          <w:sz w:val="22"/>
        </w:rPr>
      </w:pPr>
      <w:r w:rsidRPr="007E3D1A">
        <w:rPr>
          <w:rFonts w:cs="Arial"/>
          <w:sz w:val="22"/>
        </w:rPr>
        <w:t>Présente un mécanisme de suivi et d’évaluation systématique de la mise en œuvre des mesures d’atténuation, ainsi que de l’impact du sousprojet sur l’environnement physique et social.</w:t>
      </w:r>
    </w:p>
    <w:p w14:paraId="27D6CF22" w14:textId="77777777" w:rsidR="00871A3A" w:rsidRPr="007E3D1A" w:rsidRDefault="00871A3A" w:rsidP="00871A3A">
      <w:pPr>
        <w:rPr>
          <w:rFonts w:cs="Arial"/>
          <w:sz w:val="22"/>
        </w:rPr>
      </w:pPr>
      <w:r w:rsidRPr="007E3D1A">
        <w:rPr>
          <w:rFonts w:cs="Arial"/>
          <w:sz w:val="22"/>
        </w:rPr>
        <w:t>Définit la nature et les paramètres du suivi de l’impact du sousprojet, y compris les paramètres à mesurer, les méthodes à utiliser, les lieux d’échantillonnage, la fréquence des mesures, les limites de détection (s’il y a lieu), et une définition des seuils qui indiqueront la nécessité d’appliquer des mesures correctives.</w:t>
      </w:r>
    </w:p>
    <w:p w14:paraId="76D50112" w14:textId="77777777" w:rsidR="00871A3A" w:rsidRPr="007E3D1A" w:rsidRDefault="00871A3A" w:rsidP="00871A3A">
      <w:pPr>
        <w:rPr>
          <w:rFonts w:cs="Arial"/>
          <w:sz w:val="22"/>
        </w:rPr>
      </w:pPr>
      <w:r w:rsidRPr="007E3D1A">
        <w:rPr>
          <w:rFonts w:cs="Arial"/>
          <w:sz w:val="22"/>
        </w:rPr>
        <w:t>Détaille le processus de rapportage de la performance des entreprises dans la mise en œuvre des exigences environnementales et sociales qu’elles doivent assumer dans le cadre de leurs contrats</w:t>
      </w:r>
    </w:p>
    <w:p w14:paraId="649718CE" w14:textId="77777777" w:rsidR="00871A3A" w:rsidRPr="007E3D1A" w:rsidRDefault="00871A3A" w:rsidP="00871A3A">
      <w:pPr>
        <w:rPr>
          <w:rFonts w:cs="Arial"/>
          <w:sz w:val="22"/>
        </w:rPr>
      </w:pPr>
      <w:r w:rsidRPr="007E3D1A">
        <w:rPr>
          <w:rFonts w:cs="Arial"/>
          <w:sz w:val="22"/>
        </w:rPr>
        <w:t>Définit les rapports de suivi qui doivent être préparés, qui doit les préparer, qui sont les destinataires, leur fréquence, et leur contenu.</w:t>
      </w:r>
    </w:p>
    <w:p w14:paraId="139F8E0D" w14:textId="77777777" w:rsidR="00871A3A" w:rsidRPr="007E3D1A" w:rsidRDefault="00871A3A" w:rsidP="00871A3A">
      <w:pPr>
        <w:rPr>
          <w:rFonts w:cs="Arial"/>
          <w:sz w:val="22"/>
        </w:rPr>
      </w:pPr>
      <w:r w:rsidRPr="007E3D1A">
        <w:rPr>
          <w:rFonts w:cs="Arial"/>
          <w:sz w:val="22"/>
        </w:rPr>
        <w:t>Engagement des parties prenantes</w:t>
      </w:r>
    </w:p>
    <w:p w14:paraId="6B193BD2" w14:textId="77777777" w:rsidR="00871A3A" w:rsidRPr="007E3D1A" w:rsidRDefault="00871A3A" w:rsidP="00871A3A">
      <w:pPr>
        <w:rPr>
          <w:rFonts w:cs="Arial"/>
          <w:sz w:val="22"/>
        </w:rPr>
      </w:pPr>
      <w:r w:rsidRPr="007E3D1A">
        <w:rPr>
          <w:rFonts w:cs="Arial"/>
          <w:sz w:val="22"/>
        </w:rPr>
        <w:t>Fait référence au Plan de Mobilisation des Parties Prenantes (PMPP) du Projet, et en résumer les portions pertinentes au sousprojet, notamment le mécanisme de gestion des plaintes.</w:t>
      </w:r>
    </w:p>
    <w:p w14:paraId="4218E2D9" w14:textId="77777777" w:rsidR="00871A3A" w:rsidRPr="007E3D1A" w:rsidRDefault="00871A3A" w:rsidP="00871A3A">
      <w:pPr>
        <w:rPr>
          <w:rFonts w:cs="Arial"/>
          <w:sz w:val="22"/>
        </w:rPr>
      </w:pPr>
      <w:r w:rsidRPr="007E3D1A">
        <w:rPr>
          <w:rFonts w:cs="Arial"/>
          <w:sz w:val="22"/>
        </w:rPr>
        <w:t>Incorpore, le cas échéant, des méthodes traditionnelles de gestion des plaintes tout en veillant à assurer l’accès ou la prise en compte des individus et groupes défavorisés et marginalisés conformément au PMPP.</w:t>
      </w:r>
    </w:p>
    <w:p w14:paraId="4FC3668A" w14:textId="77777777" w:rsidR="00871A3A" w:rsidRPr="007E3D1A" w:rsidRDefault="00871A3A" w:rsidP="00871A3A">
      <w:pPr>
        <w:rPr>
          <w:rFonts w:cs="Arial"/>
          <w:sz w:val="22"/>
        </w:rPr>
      </w:pPr>
      <w:r w:rsidRPr="007E3D1A">
        <w:rPr>
          <w:rFonts w:cs="Arial"/>
          <w:sz w:val="22"/>
        </w:rPr>
        <w:t>Cadre institutionnel pour la mise en œuvre du PGES</w:t>
      </w:r>
    </w:p>
    <w:p w14:paraId="16418F75" w14:textId="77777777" w:rsidR="00871A3A" w:rsidRPr="007E3D1A" w:rsidRDefault="00871A3A" w:rsidP="00871A3A">
      <w:pPr>
        <w:rPr>
          <w:rFonts w:cs="Arial"/>
          <w:sz w:val="22"/>
        </w:rPr>
      </w:pPr>
      <w:r w:rsidRPr="007E3D1A">
        <w:rPr>
          <w:rFonts w:cs="Arial"/>
          <w:sz w:val="22"/>
        </w:rPr>
        <w:t>Décrit les rôles et les responsabilités des différents acteurs (qui fera quoi, par poste) impliqués dans la préparation et l’approbation de l’EIES, les entités chargées de l’exécution des mesures d’atténuation et de suivi (notamment concernant l’exploitation, la supervision, la mise en œuvre, le suivi, les mesures correctives, le financement, l’établissement des rapports et la formation du personnel), la contractualisation des exigences Environnementales, Sociales, Sanitaires, et Sécuritaires (ESSS), ainsi que dans la mise en œuvre et le suivi de la mise en œuvre du PGES et des entreprises pour le sous-projet.</w:t>
      </w:r>
    </w:p>
    <w:p w14:paraId="6C292E61" w14:textId="77777777" w:rsidR="00871A3A" w:rsidRPr="007E3D1A" w:rsidRDefault="00871A3A" w:rsidP="00871A3A">
      <w:pPr>
        <w:rPr>
          <w:rFonts w:cs="Arial"/>
          <w:sz w:val="22"/>
        </w:rPr>
      </w:pPr>
      <w:r w:rsidRPr="007E3D1A">
        <w:rPr>
          <w:rFonts w:cs="Arial"/>
          <w:sz w:val="22"/>
        </w:rPr>
        <w:t>Évalue les capacités techniques et organisationnelles existantes de tous les acteurs ci-dessus, en termes de personnel qualifié, de procédures, et de performance dans le passé.</w:t>
      </w:r>
    </w:p>
    <w:p w14:paraId="02E525E5" w14:textId="77777777" w:rsidR="00871A3A" w:rsidRPr="007E3D1A" w:rsidRDefault="00871A3A" w:rsidP="00871A3A">
      <w:pPr>
        <w:rPr>
          <w:rFonts w:cs="Arial"/>
          <w:sz w:val="22"/>
        </w:rPr>
      </w:pPr>
      <w:r w:rsidRPr="007E3D1A">
        <w:rPr>
          <w:rFonts w:cs="Arial"/>
          <w:sz w:val="22"/>
        </w:rPr>
        <w:t>Recommande les mesures de renforcement des capacités des acteurs afin qu’ils puissent de jouer le rôle et assumer les responsabilités décrites ci-dessus.  Le consultant doit tenir compte du fait que le sousprojet concerné par l’EIES ne représente qu’une petite partie des activités prévues dans le cadre du Projet, et que le Cadre de Gestion Environnemental et Social (CGES) du Projet prévoira aussi des activités de renforcement des capacités.</w:t>
      </w:r>
    </w:p>
    <w:p w14:paraId="2BEB6FF9" w14:textId="77777777" w:rsidR="00871A3A" w:rsidRPr="007E3D1A" w:rsidRDefault="00871A3A" w:rsidP="00871A3A">
      <w:pPr>
        <w:rPr>
          <w:rFonts w:cs="Arial"/>
          <w:sz w:val="22"/>
        </w:rPr>
      </w:pPr>
      <w:r w:rsidRPr="007E3D1A">
        <w:rPr>
          <w:rFonts w:cs="Arial"/>
          <w:sz w:val="22"/>
        </w:rPr>
        <w:br/>
        <w:t>Le renforcement des capacités nationales qui ne sont pas spécifiquement requises par le sous-projet est un objectif valide qui peut constituer une activité du Projet lui-même, plutôt qu’une mesure d’atténuation pour le sous-projet.</w:t>
      </w:r>
    </w:p>
    <w:p w14:paraId="02337CA1" w14:textId="77777777" w:rsidR="00871A3A" w:rsidRPr="007E3D1A" w:rsidRDefault="00871A3A" w:rsidP="00871A3A">
      <w:pPr>
        <w:rPr>
          <w:rFonts w:cs="Arial"/>
          <w:sz w:val="22"/>
        </w:rPr>
      </w:pPr>
      <w:r w:rsidRPr="007E3D1A">
        <w:rPr>
          <w:rFonts w:cs="Arial"/>
          <w:sz w:val="22"/>
        </w:rPr>
        <w:t>Prévoit le renforcement des capacités des entreprises et des agents exécutants les activités du Projet</w:t>
      </w:r>
    </w:p>
    <w:p w14:paraId="0C40D674" w14:textId="77777777" w:rsidR="00871A3A" w:rsidRPr="007E3D1A" w:rsidRDefault="00871A3A" w:rsidP="00871A3A">
      <w:pPr>
        <w:rPr>
          <w:rFonts w:cs="Arial"/>
          <w:sz w:val="22"/>
        </w:rPr>
      </w:pPr>
      <w:r w:rsidRPr="007E3D1A">
        <w:rPr>
          <w:rFonts w:cs="Arial"/>
          <w:sz w:val="22"/>
        </w:rPr>
        <w:t>Évalue la faisabilité technique, institutionnelle, et financière de la mise en œuvre des mesures d’atténuation proposées.</w:t>
      </w:r>
    </w:p>
    <w:p w14:paraId="2E6FC8D5" w14:textId="77777777" w:rsidR="00871A3A" w:rsidRPr="007E3D1A" w:rsidRDefault="00871A3A" w:rsidP="00871A3A">
      <w:pPr>
        <w:rPr>
          <w:rFonts w:cs="Arial"/>
          <w:sz w:val="22"/>
        </w:rPr>
      </w:pPr>
      <w:r w:rsidRPr="007E3D1A">
        <w:rPr>
          <w:rFonts w:cs="Arial"/>
          <w:sz w:val="22"/>
        </w:rPr>
        <w:t>Budget</w:t>
      </w:r>
    </w:p>
    <w:p w14:paraId="11784FB1" w14:textId="77777777" w:rsidR="00871A3A" w:rsidRPr="007E3D1A" w:rsidRDefault="00871A3A" w:rsidP="00871A3A">
      <w:pPr>
        <w:rPr>
          <w:rFonts w:cs="Arial"/>
          <w:sz w:val="22"/>
        </w:rPr>
      </w:pPr>
      <w:r w:rsidRPr="007E3D1A">
        <w:rPr>
          <w:rFonts w:cs="Arial"/>
          <w:sz w:val="22"/>
        </w:rPr>
        <w:t>Inclut un budget pour la mise en œuvre et le suivi de la mise en œuvre du PGES, sachant que le coût des mesures d’atténuation à la charge des entreprises sera intégré dans leurs contrats respectifs.</w:t>
      </w:r>
    </w:p>
    <w:p w14:paraId="4F95E5FF" w14:textId="77777777" w:rsidR="00871A3A" w:rsidRPr="007E3D1A" w:rsidRDefault="00871A3A" w:rsidP="00871A3A">
      <w:pPr>
        <w:rPr>
          <w:rFonts w:cs="Arial"/>
          <w:sz w:val="22"/>
        </w:rPr>
      </w:pPr>
      <w:r w:rsidRPr="007E3D1A">
        <w:rPr>
          <w:rFonts w:cs="Arial"/>
          <w:sz w:val="22"/>
        </w:rPr>
        <w:t xml:space="preserve">Évalue les coûts d’investissement et les charges récurrentes correspondant aux mesures d’atténuation proposées </w:t>
      </w:r>
    </w:p>
    <w:p w14:paraId="44A53BAB" w14:textId="77777777" w:rsidR="00871A3A" w:rsidRPr="007E3D1A" w:rsidRDefault="00871A3A" w:rsidP="00871A3A">
      <w:pPr>
        <w:rPr>
          <w:rFonts w:cs="Arial"/>
          <w:sz w:val="22"/>
        </w:rPr>
      </w:pPr>
    </w:p>
    <w:p w14:paraId="11EEF0FB" w14:textId="77777777" w:rsidR="00871A3A" w:rsidRPr="007E3D1A" w:rsidRDefault="00871A3A" w:rsidP="00871A3A">
      <w:pPr>
        <w:rPr>
          <w:rFonts w:cs="Arial"/>
          <w:sz w:val="22"/>
        </w:rPr>
      </w:pPr>
      <w:r w:rsidRPr="007E3D1A">
        <w:rPr>
          <w:rFonts w:cs="Arial"/>
          <w:sz w:val="22"/>
        </w:rPr>
        <w:t>Consultation des parties prenantes</w:t>
      </w:r>
    </w:p>
    <w:p w14:paraId="169F8934" w14:textId="77777777" w:rsidR="00871A3A" w:rsidRPr="007E3D1A" w:rsidRDefault="00871A3A" w:rsidP="00871A3A">
      <w:pPr>
        <w:rPr>
          <w:rFonts w:cs="Arial"/>
          <w:sz w:val="22"/>
        </w:rPr>
      </w:pPr>
    </w:p>
    <w:p w14:paraId="015F5654" w14:textId="77777777" w:rsidR="00871A3A" w:rsidRPr="007E3D1A" w:rsidRDefault="00871A3A" w:rsidP="00871A3A">
      <w:pPr>
        <w:rPr>
          <w:rFonts w:cs="Arial"/>
          <w:sz w:val="22"/>
        </w:rPr>
      </w:pPr>
      <w:r w:rsidRPr="007E3D1A">
        <w:rPr>
          <w:rFonts w:cs="Arial"/>
          <w:sz w:val="22"/>
        </w:rPr>
        <w:t>Ce Chapitre résume toutes les consultations avec les parties prenantes concernées sur les impacts et risques potentiels du sous-projet, y compris les principaux bénéficiaires et les populations directement touchées par le sous-projet, notamment les femmes, les jeunes et les groupes vulnérables.  Le résumé doit indiquer les attentes et les préoccupations exprimées par les parties prenantes, ainsi que les dates et les lieux des consultations, et inclure une liste des participants, et indiquer comment les avis des parties prenantes ont été pris en compte dans l’EIES.  Les consultations relatives au Projet lui-même, ainsi que les procédures de divulgation de l’EIES seront traitées dans le PMPP.</w:t>
      </w:r>
    </w:p>
    <w:p w14:paraId="417F7E1A" w14:textId="77777777" w:rsidR="00871A3A" w:rsidRPr="007E3D1A" w:rsidRDefault="00871A3A" w:rsidP="00871A3A">
      <w:pPr>
        <w:rPr>
          <w:rFonts w:cs="Arial"/>
          <w:sz w:val="22"/>
        </w:rPr>
      </w:pPr>
      <w:r w:rsidRPr="007E3D1A">
        <w:rPr>
          <w:rFonts w:cs="Arial"/>
          <w:sz w:val="22"/>
        </w:rPr>
        <w:t>Bibliographie</w:t>
      </w:r>
    </w:p>
    <w:p w14:paraId="53157E04" w14:textId="77777777" w:rsidR="00871A3A" w:rsidRPr="007E3D1A" w:rsidRDefault="00871A3A" w:rsidP="00871A3A">
      <w:pPr>
        <w:rPr>
          <w:rFonts w:cs="Arial"/>
          <w:sz w:val="22"/>
        </w:rPr>
      </w:pPr>
    </w:p>
    <w:p w14:paraId="7A904B32" w14:textId="77777777" w:rsidR="00871A3A" w:rsidRPr="007E3D1A" w:rsidRDefault="00871A3A" w:rsidP="00871A3A">
      <w:pPr>
        <w:rPr>
          <w:rFonts w:cs="Arial"/>
          <w:sz w:val="22"/>
        </w:rPr>
      </w:pPr>
      <w:r w:rsidRPr="007E3D1A">
        <w:rPr>
          <w:rFonts w:cs="Arial"/>
          <w:sz w:val="22"/>
        </w:rPr>
        <w:t>Conclusion</w:t>
      </w:r>
    </w:p>
    <w:p w14:paraId="0CA1C503" w14:textId="77777777" w:rsidR="00871A3A" w:rsidRPr="007E3D1A" w:rsidRDefault="00871A3A" w:rsidP="00871A3A">
      <w:pPr>
        <w:rPr>
          <w:rFonts w:cs="Arial"/>
          <w:sz w:val="22"/>
        </w:rPr>
      </w:pPr>
    </w:p>
    <w:p w14:paraId="350FC3B4" w14:textId="77777777" w:rsidR="00871A3A" w:rsidRPr="007E3D1A" w:rsidRDefault="00871A3A" w:rsidP="00871A3A">
      <w:pPr>
        <w:rPr>
          <w:rFonts w:cs="Arial"/>
          <w:sz w:val="22"/>
        </w:rPr>
      </w:pPr>
      <w:r w:rsidRPr="007E3D1A">
        <w:rPr>
          <w:rFonts w:cs="Arial"/>
          <w:sz w:val="22"/>
        </w:rPr>
        <w:t>Référence bibliographie</w:t>
      </w:r>
    </w:p>
    <w:p w14:paraId="38D3B266" w14:textId="77777777" w:rsidR="00871A3A" w:rsidRPr="007E3D1A" w:rsidRDefault="00871A3A" w:rsidP="00871A3A">
      <w:pPr>
        <w:rPr>
          <w:rFonts w:cs="Arial"/>
          <w:sz w:val="22"/>
        </w:rPr>
      </w:pPr>
    </w:p>
    <w:p w14:paraId="2C6FBD03" w14:textId="77777777" w:rsidR="00871A3A" w:rsidRPr="007E3D1A" w:rsidRDefault="00871A3A" w:rsidP="00871A3A">
      <w:pPr>
        <w:rPr>
          <w:rFonts w:cs="Arial"/>
          <w:sz w:val="22"/>
        </w:rPr>
      </w:pPr>
      <w:r w:rsidRPr="007E3D1A">
        <w:rPr>
          <w:rFonts w:cs="Arial"/>
          <w:sz w:val="22"/>
        </w:rPr>
        <w:t>La bibliographie indique toutes les sources écrites, publiées ou non, qui ont été exploitées ou mentionnées dans l’EIES.</w:t>
      </w:r>
    </w:p>
    <w:p w14:paraId="55B2DA48" w14:textId="77777777" w:rsidR="00871A3A" w:rsidRPr="007E3D1A" w:rsidRDefault="00871A3A" w:rsidP="00871A3A">
      <w:pPr>
        <w:rPr>
          <w:rFonts w:cs="Arial"/>
          <w:sz w:val="22"/>
        </w:rPr>
      </w:pPr>
    </w:p>
    <w:p w14:paraId="496CCCDB" w14:textId="77777777" w:rsidR="00871A3A" w:rsidRPr="007E3D1A" w:rsidRDefault="00871A3A" w:rsidP="00871A3A">
      <w:pPr>
        <w:rPr>
          <w:rFonts w:cs="Arial"/>
          <w:sz w:val="22"/>
        </w:rPr>
      </w:pPr>
      <w:r w:rsidRPr="007E3D1A">
        <w:rPr>
          <w:rFonts w:cs="Arial"/>
          <w:sz w:val="22"/>
        </w:rPr>
        <w:t>Annexes</w:t>
      </w:r>
    </w:p>
    <w:p w14:paraId="6DFBB915" w14:textId="77777777" w:rsidR="00871A3A" w:rsidRPr="007E3D1A" w:rsidRDefault="00871A3A" w:rsidP="00871A3A">
      <w:pPr>
        <w:rPr>
          <w:rFonts w:cs="Arial"/>
          <w:sz w:val="22"/>
        </w:rPr>
      </w:pPr>
      <w:r w:rsidRPr="007E3D1A">
        <w:rPr>
          <w:rFonts w:cs="Arial"/>
          <w:sz w:val="22"/>
        </w:rPr>
        <w:t>Liste des personnes qui ont préparé l’étude d’impact environnemental et social ou qui y ont contribué.</w:t>
      </w:r>
    </w:p>
    <w:p w14:paraId="6CF85E6D" w14:textId="77777777" w:rsidR="00871A3A" w:rsidRPr="007E3D1A" w:rsidRDefault="00871A3A" w:rsidP="00871A3A">
      <w:pPr>
        <w:rPr>
          <w:rFonts w:cs="Arial"/>
          <w:sz w:val="22"/>
        </w:rPr>
      </w:pPr>
      <w:r w:rsidRPr="007E3D1A">
        <w:rPr>
          <w:rFonts w:cs="Arial"/>
          <w:sz w:val="22"/>
        </w:rPr>
        <w:t>Comptes rendus des réunions, des consultations et des enquêtes associant les parties prenantes, y compris les personnes touchées et les autres parties concernées. Ces comptes rendus décrivent les moyens utilisés auxdites occasions pour obtenir les points de vue des populations touchées et des autres parties concernées.</w:t>
      </w:r>
    </w:p>
    <w:p w14:paraId="0F4B68EC" w14:textId="77777777" w:rsidR="00871A3A" w:rsidRPr="007E3D1A" w:rsidRDefault="00871A3A" w:rsidP="00871A3A">
      <w:pPr>
        <w:rPr>
          <w:rFonts w:cs="Arial"/>
          <w:sz w:val="22"/>
        </w:rPr>
      </w:pPr>
      <w:r w:rsidRPr="007E3D1A">
        <w:rPr>
          <w:rFonts w:cs="Arial"/>
          <w:sz w:val="22"/>
        </w:rPr>
        <w:t>Exigences environnementales, sociales, sanitaires et sécuritaires (ESSS) pour les entreprises</w:t>
      </w:r>
    </w:p>
    <w:p w14:paraId="5B04D9CF" w14:textId="77777777" w:rsidR="00871A3A" w:rsidRPr="007E3D1A" w:rsidRDefault="00871A3A" w:rsidP="00871A3A">
      <w:pPr>
        <w:rPr>
          <w:rFonts w:cs="Arial"/>
          <w:sz w:val="22"/>
        </w:rPr>
      </w:pPr>
      <w:r w:rsidRPr="007E3D1A">
        <w:rPr>
          <w:rFonts w:cs="Arial"/>
          <w:sz w:val="22"/>
        </w:rPr>
        <w:t>Modèle de rapports périodiques d’avancement incluant les aspects relatifs à la gestion des risques et impacts environnementaux et sociaux</w:t>
      </w:r>
    </w:p>
    <w:p w14:paraId="6424BD41" w14:textId="77777777" w:rsidR="00871A3A" w:rsidRPr="007E3D1A" w:rsidRDefault="00871A3A" w:rsidP="00871A3A">
      <w:pPr>
        <w:rPr>
          <w:rFonts w:cs="Arial"/>
          <w:sz w:val="22"/>
        </w:rPr>
      </w:pPr>
      <w:r w:rsidRPr="007E3D1A">
        <w:rPr>
          <w:rFonts w:cs="Arial"/>
          <w:sz w:val="22"/>
        </w:rPr>
        <w:br w:type="page"/>
      </w:r>
    </w:p>
    <w:p w14:paraId="707D4565" w14:textId="77777777" w:rsidR="00871A3A" w:rsidRPr="007E3D1A" w:rsidRDefault="00871A3A" w:rsidP="00871A3A">
      <w:pPr>
        <w:rPr>
          <w:rFonts w:cs="Arial"/>
          <w:sz w:val="22"/>
        </w:rPr>
      </w:pPr>
    </w:p>
    <w:p w14:paraId="10DC2B48" w14:textId="77777777" w:rsidR="00871A3A" w:rsidRPr="007E3D1A" w:rsidRDefault="00871A3A" w:rsidP="00372F9C">
      <w:pPr>
        <w:ind w:left="1418" w:hanging="1418"/>
        <w:rPr>
          <w:rFonts w:cs="Arial"/>
          <w:sz w:val="22"/>
        </w:rPr>
      </w:pPr>
      <w:r w:rsidRPr="007E3D1A">
        <w:rPr>
          <w:rFonts w:cs="Arial"/>
          <w:sz w:val="22"/>
        </w:rPr>
        <w:br w:type="page"/>
      </w:r>
      <w:r w:rsidRPr="00372F9C">
        <w:rPr>
          <w:rFonts w:cs="Arial"/>
          <w:b/>
          <w:bCs/>
          <w:sz w:val="22"/>
        </w:rPr>
        <w:t>ANNEXE 5. TERMES DE RÉFÉRENCE POUR L’ÉLABORATION DU CADRE DE GESTION ENVIRONNEMENTALE ET SOCIALE</w:t>
      </w:r>
    </w:p>
    <w:p w14:paraId="697518BC" w14:textId="77777777" w:rsidR="00871A3A" w:rsidRPr="007E3D1A" w:rsidRDefault="00871A3A" w:rsidP="00871A3A">
      <w:pPr>
        <w:rPr>
          <w:rFonts w:cs="Arial"/>
          <w:sz w:val="22"/>
        </w:rPr>
      </w:pPr>
    </w:p>
    <w:p w14:paraId="4C42CB3F" w14:textId="77777777" w:rsidR="00871A3A" w:rsidRPr="007E3D1A" w:rsidRDefault="00871A3A" w:rsidP="00871A3A">
      <w:pPr>
        <w:rPr>
          <w:rFonts w:cs="Arial"/>
          <w:sz w:val="22"/>
        </w:rPr>
      </w:pPr>
      <w:r w:rsidRPr="007E3D1A">
        <w:rPr>
          <w:rFonts w:cs="Arial"/>
          <w:sz w:val="22"/>
        </w:rPr>
        <w:t>Contexte du projet et justification</w:t>
      </w:r>
    </w:p>
    <w:p w14:paraId="397C1FC1" w14:textId="77777777" w:rsidR="00871A3A" w:rsidRPr="007E3D1A" w:rsidRDefault="00871A3A" w:rsidP="00871A3A">
      <w:pPr>
        <w:rPr>
          <w:rFonts w:cs="Arial"/>
          <w:sz w:val="22"/>
        </w:rPr>
      </w:pPr>
    </w:p>
    <w:p w14:paraId="69DB1038" w14:textId="77777777" w:rsidR="00871A3A" w:rsidRPr="007E3D1A" w:rsidRDefault="00871A3A" w:rsidP="00871A3A">
      <w:pPr>
        <w:rPr>
          <w:rFonts w:cs="Arial"/>
          <w:sz w:val="22"/>
        </w:rPr>
      </w:pPr>
      <w:r w:rsidRPr="007E3D1A">
        <w:rPr>
          <w:rFonts w:cs="Arial"/>
          <w:sz w:val="22"/>
        </w:rPr>
        <w:t>I.1. Contexte du Projet</w:t>
      </w:r>
    </w:p>
    <w:p w14:paraId="140A1DC5" w14:textId="77777777" w:rsidR="00871A3A" w:rsidRPr="007E3D1A" w:rsidRDefault="00871A3A" w:rsidP="00871A3A">
      <w:pPr>
        <w:rPr>
          <w:rFonts w:cs="Arial"/>
          <w:sz w:val="22"/>
        </w:rPr>
      </w:pPr>
    </w:p>
    <w:p w14:paraId="6324D7D8" w14:textId="77777777" w:rsidR="00871A3A" w:rsidRPr="007E3D1A" w:rsidRDefault="00871A3A" w:rsidP="00871A3A">
      <w:pPr>
        <w:rPr>
          <w:rFonts w:cs="Arial"/>
          <w:sz w:val="22"/>
        </w:rPr>
      </w:pPr>
      <w:r w:rsidRPr="007E3D1A">
        <w:rPr>
          <w:rFonts w:cs="Arial"/>
          <w:sz w:val="22"/>
        </w:rPr>
        <w:t xml:space="preserve">Le Gouvernement de la République démocratique du Congo (RDC) prépare, avec le soutien financier et technique de l’Association internationale de développement ci-après « la Banque mondiale »), un projet dénommé « Programme National de Développement Agricole », PNDA, en sigle. Le Gouvernement prévoit la mise en œuvre du PNDA sous la conduite du Ministère de l’Agriculture ainsi, la Banque mondiale a accepté d’accorder à ce projet un financement  de l’ordre de 500 millions de dollars américains pendant une durée de 5 ans renouvelables </w:t>
      </w:r>
    </w:p>
    <w:p w14:paraId="17796C09" w14:textId="77777777" w:rsidR="00871A3A" w:rsidRPr="007E3D1A" w:rsidRDefault="00871A3A" w:rsidP="00871A3A">
      <w:pPr>
        <w:rPr>
          <w:rFonts w:cs="Arial"/>
          <w:sz w:val="22"/>
        </w:rPr>
      </w:pPr>
    </w:p>
    <w:p w14:paraId="283264B2" w14:textId="77777777" w:rsidR="00871A3A" w:rsidRPr="007E3D1A" w:rsidRDefault="00871A3A" w:rsidP="00871A3A">
      <w:pPr>
        <w:rPr>
          <w:rFonts w:cs="Arial"/>
          <w:sz w:val="22"/>
        </w:rPr>
      </w:pPr>
      <w:r w:rsidRPr="007E3D1A">
        <w:rPr>
          <w:rFonts w:cs="Arial"/>
          <w:sz w:val="22"/>
        </w:rPr>
        <w:t>Le PNDA a 4 composantes principales :</w:t>
      </w:r>
    </w:p>
    <w:p w14:paraId="304DC8D2" w14:textId="77777777" w:rsidR="00871A3A" w:rsidRPr="007E3D1A" w:rsidRDefault="00871A3A" w:rsidP="00871A3A">
      <w:pPr>
        <w:rPr>
          <w:rFonts w:cs="Arial"/>
          <w:sz w:val="22"/>
        </w:rPr>
      </w:pPr>
    </w:p>
    <w:p w14:paraId="331DF70F" w14:textId="77777777" w:rsidR="00871A3A" w:rsidRPr="007E3D1A" w:rsidRDefault="00871A3A" w:rsidP="00871A3A">
      <w:pPr>
        <w:rPr>
          <w:rFonts w:cs="Arial"/>
          <w:sz w:val="22"/>
        </w:rPr>
      </w:pPr>
      <w:r w:rsidRPr="007E3D1A">
        <w:rPr>
          <w:rFonts w:cs="Arial"/>
          <w:sz w:val="22"/>
        </w:rPr>
        <w:t>Les objectifs spécifiques du programme se déclinent comme suit :</w:t>
      </w:r>
    </w:p>
    <w:p w14:paraId="1F9BBAF7" w14:textId="77777777" w:rsidR="00871A3A" w:rsidRPr="007E3D1A" w:rsidRDefault="00871A3A" w:rsidP="00871A3A">
      <w:pPr>
        <w:rPr>
          <w:rFonts w:cs="Arial"/>
          <w:sz w:val="22"/>
        </w:rPr>
      </w:pPr>
    </w:p>
    <w:p w14:paraId="34605845" w14:textId="77777777" w:rsidR="00871A3A" w:rsidRPr="007E3D1A" w:rsidRDefault="00871A3A" w:rsidP="00871A3A">
      <w:pPr>
        <w:rPr>
          <w:rFonts w:cs="Arial"/>
          <w:sz w:val="22"/>
        </w:rPr>
      </w:pPr>
      <w:r w:rsidRPr="007E3D1A">
        <w:rPr>
          <w:rFonts w:cs="Arial"/>
          <w:sz w:val="22"/>
        </w:rPr>
        <w:t>soutenir la croissance de la productivité agricole au niveau de l’exploitation, permettant aux petits exploitants agricoles d’accroître leurs actifs et leur production, puis d’intervenir pour favoriser l’accès au marché et l’intégration productive de ces petits exploitants dans les chaînes d’approvisionnement agricoles ;</w:t>
      </w:r>
    </w:p>
    <w:p w14:paraId="6F270DEE" w14:textId="77777777" w:rsidR="00871A3A" w:rsidRPr="007E3D1A" w:rsidRDefault="00871A3A" w:rsidP="00871A3A">
      <w:pPr>
        <w:rPr>
          <w:rFonts w:cs="Arial"/>
          <w:sz w:val="22"/>
        </w:rPr>
      </w:pPr>
      <w:r w:rsidRPr="007E3D1A">
        <w:rPr>
          <w:rFonts w:cs="Arial"/>
          <w:sz w:val="22"/>
        </w:rPr>
        <w:t>soutenir par des investissements importants dans la fourniture de biens et services publics agricoles aux niveaux national et local, notamment la recherche et le développement agricoles, la santé animale et végétale et les infrastructures ;</w:t>
      </w:r>
    </w:p>
    <w:p w14:paraId="484E4C83" w14:textId="77777777" w:rsidR="00871A3A" w:rsidRPr="007E3D1A" w:rsidRDefault="00871A3A" w:rsidP="00871A3A">
      <w:pPr>
        <w:rPr>
          <w:rFonts w:cs="Arial"/>
          <w:sz w:val="22"/>
        </w:rPr>
      </w:pPr>
      <w:r w:rsidRPr="007E3D1A">
        <w:rPr>
          <w:rFonts w:cs="Arial"/>
          <w:sz w:val="22"/>
        </w:rPr>
        <w:t>renforcer les capacités des du secteur public en particulier des ministères de l’Agriculture, Pêche et Elevage et du ministère du Développement Rural en vue de la fourniture des biens et services publics agricoles de base dans la zone du projet et renforcer la gestion du programme et le suivi et évaluation aux niveaux national et provincial dans les provinces participantes ; et</w:t>
      </w:r>
    </w:p>
    <w:p w14:paraId="7EDA0A8A" w14:textId="77777777" w:rsidR="00871A3A" w:rsidRPr="007E3D1A" w:rsidRDefault="00871A3A" w:rsidP="00871A3A">
      <w:pPr>
        <w:rPr>
          <w:rFonts w:cs="Arial"/>
          <w:sz w:val="22"/>
        </w:rPr>
      </w:pPr>
      <w:r w:rsidRPr="007E3D1A">
        <w:rPr>
          <w:rFonts w:cs="Arial"/>
          <w:sz w:val="22"/>
        </w:rPr>
        <w:t>renforcer les interventions d’urgence dans le secteur de l’Agriculture.</w:t>
      </w:r>
    </w:p>
    <w:p w14:paraId="0DD33EE1" w14:textId="77777777" w:rsidR="00871A3A" w:rsidRPr="007E3D1A" w:rsidRDefault="00871A3A" w:rsidP="00871A3A">
      <w:pPr>
        <w:rPr>
          <w:rFonts w:cs="Arial"/>
          <w:sz w:val="22"/>
        </w:rPr>
      </w:pPr>
    </w:p>
    <w:p w14:paraId="7C200332" w14:textId="77777777" w:rsidR="00871A3A" w:rsidRPr="007E3D1A" w:rsidRDefault="00871A3A" w:rsidP="00871A3A">
      <w:pPr>
        <w:rPr>
          <w:rFonts w:cs="Arial"/>
          <w:sz w:val="22"/>
        </w:rPr>
      </w:pPr>
      <w:r w:rsidRPr="007E3D1A">
        <w:rPr>
          <w:rFonts w:cs="Arial"/>
          <w:sz w:val="22"/>
        </w:rPr>
        <w:t>Le Projet sera exécuté dans les Provinces du Nord Kivu, Kwilu,  Kasaï et  Kasaï Occidental et Kongo Central. Il s’appuiera sur des approches validées et les expériences réussies en RDC et dans la région.</w:t>
      </w:r>
    </w:p>
    <w:p w14:paraId="73277D9C" w14:textId="77777777" w:rsidR="00871A3A" w:rsidRPr="007E3D1A" w:rsidRDefault="00871A3A" w:rsidP="00871A3A">
      <w:pPr>
        <w:rPr>
          <w:rFonts w:cs="Arial"/>
          <w:sz w:val="22"/>
        </w:rPr>
      </w:pPr>
    </w:p>
    <w:p w14:paraId="4D0AD1F7" w14:textId="77777777" w:rsidR="00871A3A" w:rsidRPr="007E3D1A" w:rsidRDefault="00871A3A" w:rsidP="00871A3A">
      <w:pPr>
        <w:rPr>
          <w:rFonts w:cs="Arial"/>
          <w:sz w:val="22"/>
        </w:rPr>
      </w:pPr>
      <w:r w:rsidRPr="007E3D1A">
        <w:rPr>
          <w:rFonts w:cs="Arial"/>
          <w:sz w:val="22"/>
        </w:rPr>
        <w:t>1.2. Justification du projet</w:t>
      </w:r>
    </w:p>
    <w:p w14:paraId="3325DA28" w14:textId="77777777" w:rsidR="00871A3A" w:rsidRPr="007E3D1A" w:rsidRDefault="00871A3A" w:rsidP="00871A3A">
      <w:pPr>
        <w:rPr>
          <w:rFonts w:cs="Arial"/>
          <w:sz w:val="22"/>
        </w:rPr>
      </w:pPr>
    </w:p>
    <w:p w14:paraId="4E2EF9D0" w14:textId="77777777" w:rsidR="00871A3A" w:rsidRPr="007E3D1A" w:rsidRDefault="00871A3A" w:rsidP="00871A3A">
      <w:pPr>
        <w:rPr>
          <w:rFonts w:cs="Arial"/>
          <w:sz w:val="22"/>
        </w:rPr>
      </w:pPr>
      <w:r w:rsidRPr="007E3D1A">
        <w:rPr>
          <w:rFonts w:cs="Arial"/>
          <w:sz w:val="22"/>
        </w:rPr>
        <w:t>Le secteur agricole de la RDC est particulièrement exposé aux changements climatiques et l’incidence d’autres chocs externes comme la sécheresse, les inondations et autres phénomènes météorologiques extrêmes qui devraient augmenter en fréquence et en gravité. Bien que le bassin de la RDC semble être relativement moins exposé au changement climatique que les régions plus sèches d’Afrique, les agriculteurs de la RDC sont particulièrement pauvres et isolés, et sont vulnérables aux impacts climatiques et à d’autres chocs externes, comme la récente infestation de maladie des légionnaires, causant d’importantes pertes économiques. En même temps, le brûlis dominant l’agriculture de subsistance, 82 % des émissions de GES du pays proviennent du changement d’affectation des sols et de la foresterie.  L’agriculture est mise en avant comme un des secteurs prioritaires tant pour l’adaptation que pour l’atténuation du changement climatique dans la contribution prévue déterminée au niveau (INDC) en reconnaissant à la fois la vulnérabilité du secteur et son rôle dans les efforts d’atténuation du changement climatique. Par conséquent, les approches, les pratiques et les technologies d’agriculture intelligente face au climat(CSA) sont essentielles pour améliorer la productivité et les revenus de l’agriculture, tout en s’attaquant à la résilience du climat local et à l’atténuation du climat mondial. Plusieurs technologies et pratiques d’agriculture intelligente face au climat existantes et potentielles en RDC ont déjà été identifiées. Les principales disparités entre les sexes dans le secteur agricole sont le faible accès des femmes aux actifs de production, aux pratiques agricoles améliorées, aux intrants et aux technologies. Les ménages dirigés par une femme produisent environ 30 % de moins de production agricole que leurs homologues masculins. Les femmes représentent 38,5 % de la population active dans l’économie et la part de ces femmes actives dans l’agriculture est de 72,6 % (FAO, 2011). En outre, il existe en RDC un lien étroit entre l’inégalité des sexes, la malnutrition et l’insécurité alimentaire. Des études récentes ont mis en lumière l’importance d’améliorer l’égalité des sexes en ciblant les femmes dans leurs rôles spécifiques dans la chaîne de valeur agricole. L’écart entre les sexes dans le secteur de l’agriculture en RDC s’explique en partie par le faible niveau d’autonomisation des femmes dans les cinq dimensions définies par l’Indice d’autonomisation des femmes dans l’agriculture (WEIA).</w:t>
      </w:r>
    </w:p>
    <w:p w14:paraId="7B326CC3" w14:textId="77777777" w:rsidR="00871A3A" w:rsidRPr="007E3D1A" w:rsidRDefault="00871A3A" w:rsidP="00871A3A">
      <w:pPr>
        <w:rPr>
          <w:rFonts w:cs="Arial"/>
          <w:sz w:val="22"/>
        </w:rPr>
      </w:pPr>
    </w:p>
    <w:p w14:paraId="58836AA0" w14:textId="77777777" w:rsidR="00871A3A" w:rsidRPr="007E3D1A" w:rsidRDefault="00871A3A" w:rsidP="00871A3A">
      <w:pPr>
        <w:rPr>
          <w:rFonts w:cs="Arial"/>
          <w:sz w:val="22"/>
        </w:rPr>
      </w:pPr>
      <w:r w:rsidRPr="007E3D1A">
        <w:rPr>
          <w:rFonts w:cs="Arial"/>
          <w:sz w:val="22"/>
        </w:rPr>
        <w:t>1.3. Objectif de développement</w:t>
      </w:r>
    </w:p>
    <w:p w14:paraId="449E6AA5" w14:textId="77777777" w:rsidR="00871A3A" w:rsidRPr="007E3D1A" w:rsidRDefault="00871A3A" w:rsidP="00871A3A">
      <w:pPr>
        <w:rPr>
          <w:rFonts w:cs="Arial"/>
          <w:sz w:val="22"/>
        </w:rPr>
      </w:pPr>
    </w:p>
    <w:p w14:paraId="0C6E12B6" w14:textId="77777777" w:rsidR="00871A3A" w:rsidRPr="007E3D1A" w:rsidRDefault="00871A3A" w:rsidP="00871A3A">
      <w:pPr>
        <w:rPr>
          <w:rFonts w:cs="Arial"/>
          <w:sz w:val="22"/>
        </w:rPr>
      </w:pPr>
      <w:r w:rsidRPr="007E3D1A">
        <w:rPr>
          <w:rFonts w:cs="Arial"/>
          <w:sz w:val="22"/>
        </w:rPr>
        <w:t>L’objectif de développement du PNDA est de réduire la pauvreté rurale en rétablissant et modernisant les systèmes de production agricole, en améliorant la nutrition et la sécurité alimentaire et en mobilisant des investissements importants des secteurs public et privé. Ces dernières années, l’agriculture est devenue une priorité absolue pour le gouvernement de la RDC, comme en témoigne l’allocation de 8 % du budget total en 2016 (à partir de 3 %) plus proche de l’objectif de 10 % de la Déclaration des chefs d’État africains de Maputo. Plusieurs documents de politique régissent le secteur agricole, notamment le Plan national d’Investissement agricole (PNIA), la loi sur l’agriculture et la stratégie de relance de l’agro-industrie. En outre, le ministère du Développement rural a également proposé une nouvelle stratégie pour les centres de développement rural intégré reposant principalement sur le développement de l’agriculture. En pratique, la propriété de ces politiques au niveau provincial et même occasionnellement au niveau central est faible. Une politique nationale de sécurité alimentaire et de nutrition (Politique nationale de Sécurité alimentaire et nutritionnelle, PNSAN 2018 – 2030) a récemment été mise au point avec l’assistance technique de la FAO. La coordination et l’harmonisation entre les différentes politiques et agences d’exécution sont faibles. Les capacités humaines, techniques et financières pour mettre en œuvre les stratégies agricoles sont également faibles.</w:t>
      </w:r>
    </w:p>
    <w:p w14:paraId="75D090A1" w14:textId="77777777" w:rsidR="00871A3A" w:rsidRPr="007E3D1A" w:rsidRDefault="00871A3A" w:rsidP="00871A3A">
      <w:pPr>
        <w:rPr>
          <w:rFonts w:cs="Arial"/>
          <w:sz w:val="22"/>
        </w:rPr>
      </w:pPr>
    </w:p>
    <w:p w14:paraId="5D495963" w14:textId="77777777" w:rsidR="00871A3A" w:rsidRPr="007E3D1A" w:rsidRDefault="00871A3A" w:rsidP="00871A3A">
      <w:pPr>
        <w:rPr>
          <w:rFonts w:cs="Arial"/>
          <w:sz w:val="22"/>
        </w:rPr>
      </w:pPr>
      <w:r w:rsidRPr="007E3D1A">
        <w:rPr>
          <w:rFonts w:cs="Arial"/>
          <w:sz w:val="22"/>
        </w:rPr>
        <w:t xml:space="preserve">Le PNDA sera mené conformément aux normes environnementales et sociales (NES) de la Banque mondiale, à savoir : NES 1 – Evaluation et gestion des risques et effets environnementaux et sociaux ; NES 2 – Emploi et conditions de travail ; NES 3 – Utilisation rationnelle des ressources et prévention et gestion de la pollution ; NES 4 – Santé et sécurité des populations ; NES 5 – Acquisition des terres, restrictions à l’utilisation des terres et réinstallation forcée ; NES 6 – Préservation de la biodiversité et gestion durable des ressources naturelles biologiques ; NES 7 – Peuples autochtones/Communautés locales traditionnelles d’Afrique subsaharienne historiquement défavorisées ; NES 8 – Patrimoine culturel ; NES 9 –Intermédiaires financiers ; NES 10 – Mobilisation des parties prenantes et information. </w:t>
      </w:r>
    </w:p>
    <w:p w14:paraId="61F71031" w14:textId="77777777" w:rsidR="00871A3A" w:rsidRPr="007E3D1A" w:rsidRDefault="00871A3A" w:rsidP="00871A3A">
      <w:pPr>
        <w:rPr>
          <w:rFonts w:cs="Arial"/>
          <w:sz w:val="22"/>
        </w:rPr>
      </w:pPr>
      <w:r w:rsidRPr="007E3D1A">
        <w:rPr>
          <w:rFonts w:cs="Arial"/>
          <w:sz w:val="22"/>
        </w:rPr>
        <w:t>Ainsi, le gouvernement de la République Démocratique du Congo se propose de recruter un Consultant (Firme) ayant une bonne connaissance de la législation nationale en matière d’environnement et des normes environnementales et sociales de la Banque mondiale.</w:t>
      </w:r>
    </w:p>
    <w:p w14:paraId="5E3510D9" w14:textId="77777777" w:rsidR="00871A3A" w:rsidRPr="007E3D1A" w:rsidRDefault="00871A3A" w:rsidP="00871A3A">
      <w:pPr>
        <w:rPr>
          <w:rFonts w:cs="Arial"/>
          <w:sz w:val="22"/>
        </w:rPr>
      </w:pPr>
    </w:p>
    <w:p w14:paraId="34D447FF" w14:textId="77777777" w:rsidR="00871A3A" w:rsidRPr="007E3D1A" w:rsidRDefault="00871A3A" w:rsidP="00871A3A">
      <w:pPr>
        <w:rPr>
          <w:rFonts w:cs="Arial"/>
          <w:sz w:val="22"/>
        </w:rPr>
      </w:pPr>
      <w:r w:rsidRPr="007E3D1A">
        <w:rPr>
          <w:rFonts w:cs="Arial"/>
          <w:sz w:val="22"/>
        </w:rPr>
        <w:t>Les présents termes de référence ont pour but de guider la Firme chargée d’élaborer le Cadre de Gestion Environnementale et Sociale (CGES), le Plan de Gestion des Pestes (PUNCP) et le Plan d’Engagement Environnemental et Social (PEES) du Programme National de Développement Agricole en RDC.</w:t>
      </w:r>
    </w:p>
    <w:p w14:paraId="4EDAE272" w14:textId="77777777" w:rsidR="00871A3A" w:rsidRPr="007E3D1A" w:rsidRDefault="00871A3A" w:rsidP="00871A3A">
      <w:pPr>
        <w:rPr>
          <w:rFonts w:cs="Arial"/>
          <w:sz w:val="22"/>
        </w:rPr>
      </w:pPr>
    </w:p>
    <w:p w14:paraId="3E2DFCF7" w14:textId="77777777" w:rsidR="00871A3A" w:rsidRPr="007E3D1A" w:rsidRDefault="00871A3A" w:rsidP="00871A3A">
      <w:pPr>
        <w:rPr>
          <w:rFonts w:cs="Arial"/>
          <w:sz w:val="22"/>
        </w:rPr>
      </w:pPr>
      <w:r w:rsidRPr="007E3D1A">
        <w:rPr>
          <w:rFonts w:cs="Arial"/>
          <w:sz w:val="22"/>
        </w:rPr>
        <w:t>Objectifs et exigences du CGES, PUNCP et PEES</w:t>
      </w:r>
    </w:p>
    <w:p w14:paraId="054E6980" w14:textId="77777777" w:rsidR="00871A3A" w:rsidRPr="007E3D1A" w:rsidRDefault="00871A3A" w:rsidP="00871A3A">
      <w:pPr>
        <w:rPr>
          <w:rFonts w:cs="Arial"/>
          <w:sz w:val="22"/>
        </w:rPr>
      </w:pPr>
    </w:p>
    <w:p w14:paraId="2C31F7D7" w14:textId="77777777" w:rsidR="00871A3A" w:rsidRPr="007E3D1A" w:rsidRDefault="00871A3A" w:rsidP="00871A3A">
      <w:pPr>
        <w:rPr>
          <w:rFonts w:cs="Arial"/>
          <w:sz w:val="22"/>
        </w:rPr>
      </w:pPr>
      <w:r w:rsidRPr="007E3D1A">
        <w:rPr>
          <w:rFonts w:cs="Arial"/>
          <w:sz w:val="22"/>
        </w:rPr>
        <w:t>2.1 Objectifs et exigences du CGES</w:t>
      </w:r>
    </w:p>
    <w:p w14:paraId="13FDD09E" w14:textId="77777777" w:rsidR="00871A3A" w:rsidRPr="007E3D1A" w:rsidRDefault="00871A3A" w:rsidP="00871A3A">
      <w:pPr>
        <w:rPr>
          <w:rFonts w:cs="Arial"/>
          <w:sz w:val="22"/>
        </w:rPr>
      </w:pPr>
    </w:p>
    <w:p w14:paraId="0B390B41" w14:textId="77777777" w:rsidR="00871A3A" w:rsidRPr="007E3D1A" w:rsidRDefault="00871A3A" w:rsidP="00871A3A">
      <w:pPr>
        <w:rPr>
          <w:rFonts w:cs="Arial"/>
          <w:sz w:val="22"/>
        </w:rPr>
      </w:pPr>
      <w:r w:rsidRPr="007E3D1A">
        <w:rPr>
          <w:rFonts w:cs="Arial"/>
          <w:sz w:val="22"/>
        </w:rPr>
        <w:t>1.Le Cadre de Gestion Environnementale et Sociale (CGES) est un instrument qui s’applique aux risques et aux impacts d’un projet consistant en une série de sous-projets et dans le cas où les risques et les impacts ne peuvent pas être déterminés pour le moment ou en attendant que les détails du programme ou les sous-projet soient identifiés.</w:t>
      </w:r>
    </w:p>
    <w:p w14:paraId="26716587" w14:textId="77777777" w:rsidR="00871A3A" w:rsidRPr="007E3D1A" w:rsidRDefault="00871A3A" w:rsidP="00871A3A">
      <w:pPr>
        <w:rPr>
          <w:rFonts w:cs="Arial"/>
          <w:sz w:val="22"/>
        </w:rPr>
      </w:pPr>
    </w:p>
    <w:p w14:paraId="6750A643" w14:textId="77777777" w:rsidR="00871A3A" w:rsidRPr="007E3D1A" w:rsidRDefault="00871A3A" w:rsidP="00871A3A">
      <w:pPr>
        <w:rPr>
          <w:rFonts w:cs="Arial"/>
          <w:sz w:val="22"/>
        </w:rPr>
      </w:pPr>
      <w:r w:rsidRPr="007E3D1A">
        <w:rPr>
          <w:rFonts w:cs="Arial"/>
          <w:sz w:val="22"/>
        </w:rPr>
        <w:t xml:space="preserve">2. Le CGES définit les principes, les règles, les lignes conductrices et les procédures pour évaluer les risques et les impacts environnementaux et sociaux. Il contient des mesures et des plans d’action pour réduire, mitiger et/ compenser les risques et les impacts négatifs. Il contient aussi des provisions et un budget pour telles mesures, et des informations sur l’Agence ou les Agences responsables tels, y compris leur capacité à gérer les impacts même et risques sociaux. </w:t>
      </w:r>
    </w:p>
    <w:p w14:paraId="1C07375A" w14:textId="77777777" w:rsidR="00871A3A" w:rsidRPr="007E3D1A" w:rsidRDefault="00871A3A" w:rsidP="00871A3A">
      <w:pPr>
        <w:rPr>
          <w:rFonts w:cs="Arial"/>
          <w:sz w:val="22"/>
        </w:rPr>
      </w:pPr>
    </w:p>
    <w:p w14:paraId="5BE33775" w14:textId="77777777" w:rsidR="00871A3A" w:rsidRPr="007E3D1A" w:rsidRDefault="00871A3A" w:rsidP="00871A3A">
      <w:pPr>
        <w:rPr>
          <w:rFonts w:cs="Arial"/>
          <w:sz w:val="22"/>
        </w:rPr>
      </w:pPr>
      <w:r w:rsidRPr="007E3D1A">
        <w:rPr>
          <w:rFonts w:cs="Arial"/>
          <w:sz w:val="22"/>
        </w:rPr>
        <w:t>3. Il contient aussi des informations sur la zone dans laquelle les sous-projets seront localisés, y compris les vulnérabilités environnementales et sociales potentielles de la zone ; et sur les impacts que pourraient se vérifier et les mesures de mitigation que l’on attend de mettre en œuvre.</w:t>
      </w:r>
    </w:p>
    <w:p w14:paraId="36D37373" w14:textId="77777777" w:rsidR="00871A3A" w:rsidRPr="007E3D1A" w:rsidRDefault="00871A3A" w:rsidP="00871A3A">
      <w:pPr>
        <w:rPr>
          <w:rFonts w:cs="Arial"/>
          <w:sz w:val="22"/>
        </w:rPr>
      </w:pPr>
      <w:r w:rsidRPr="007E3D1A">
        <w:rPr>
          <w:rFonts w:cs="Arial"/>
          <w:sz w:val="22"/>
        </w:rPr>
        <w:t>Le CGES décrit le fait que l’emprunteur réalisera une évaluation environnementale et sociales du projet afin d’évaluer les risques environnementaux et sociaux du projet tout au long du cycle du projet. L’évaluation sera proportionnée aux risques et aux impacts potentiels du projet, et évaluera de manière intégrée tous les risques environnementaux et sociaux directs</w:t>
      </w:r>
      <w:r w:rsidRPr="007E3D1A">
        <w:rPr>
          <w:rFonts w:cs="Arial"/>
          <w:sz w:val="22"/>
        </w:rPr>
        <w:footnoteReference w:id="36"/>
      </w:r>
      <w:r w:rsidRPr="007E3D1A">
        <w:rPr>
          <w:rFonts w:cs="Arial"/>
          <w:sz w:val="22"/>
        </w:rPr>
        <w:t>, indirects</w:t>
      </w:r>
      <w:r w:rsidRPr="007E3D1A">
        <w:rPr>
          <w:rFonts w:cs="Arial"/>
          <w:sz w:val="22"/>
        </w:rPr>
        <w:footnoteReference w:id="37"/>
      </w:r>
      <w:r w:rsidRPr="007E3D1A">
        <w:rPr>
          <w:rFonts w:cs="Arial"/>
          <w:sz w:val="22"/>
        </w:rPr>
        <w:t>e cumulés</w:t>
      </w:r>
      <w:r w:rsidRPr="007E3D1A">
        <w:rPr>
          <w:rFonts w:cs="Arial"/>
          <w:sz w:val="22"/>
        </w:rPr>
        <w:footnoteReference w:id="38"/>
      </w:r>
      <w:r w:rsidRPr="007E3D1A">
        <w:rPr>
          <w:rFonts w:cs="Arial"/>
          <w:sz w:val="22"/>
        </w:rPr>
        <w:t xml:space="preserve"> tout le long du cycle du projet, y compris ceux spécifiquement identifiés dans les normes environnementales et sociales (NES) 2-10 du CES.</w:t>
      </w:r>
    </w:p>
    <w:p w14:paraId="6900C47D" w14:textId="77777777" w:rsidR="00871A3A" w:rsidRPr="007E3D1A" w:rsidRDefault="00871A3A" w:rsidP="00871A3A">
      <w:pPr>
        <w:rPr>
          <w:rFonts w:cs="Arial"/>
          <w:sz w:val="22"/>
        </w:rPr>
      </w:pPr>
    </w:p>
    <w:p w14:paraId="5D7ED4B6" w14:textId="77777777" w:rsidR="00871A3A" w:rsidRPr="007E3D1A" w:rsidRDefault="00871A3A" w:rsidP="00871A3A">
      <w:pPr>
        <w:rPr>
          <w:rFonts w:cs="Arial"/>
          <w:sz w:val="22"/>
        </w:rPr>
      </w:pPr>
      <w:r w:rsidRPr="007E3D1A">
        <w:rPr>
          <w:rFonts w:cs="Arial"/>
          <w:sz w:val="22"/>
        </w:rPr>
        <w:t>Le CGES sera basé sur des informations courantes, y compris une description précise et une délinéation du projet et de tout aspect associé, une base de données sur les aspects sociaux et environnementaux contenant un niveau de détail suffisant pour informer la caractérisation et l’identification des risques, des impacts et les mesures de mitigation.</w:t>
      </w:r>
    </w:p>
    <w:p w14:paraId="65B33A22" w14:textId="77777777" w:rsidR="00871A3A" w:rsidRPr="007E3D1A" w:rsidRDefault="00871A3A" w:rsidP="00871A3A">
      <w:pPr>
        <w:rPr>
          <w:rFonts w:cs="Arial"/>
          <w:sz w:val="22"/>
        </w:rPr>
      </w:pPr>
      <w:r w:rsidRPr="007E3D1A">
        <w:rPr>
          <w:rFonts w:cs="Arial"/>
          <w:sz w:val="22"/>
        </w:rPr>
        <w:t xml:space="preserve"> Le CGES évaluera les risques et les impacts environnementaux et sociaux potentiels, examinera les alternatives, et identifiera la façon pour améliorer la sélection du projet, son localisation, planification, design et mise en œuvre. Cela afin d’appliquer la hiérarchie de mitigation pour les impacts environnementaux et sociaux et chercher des opportunités pour augmenter les impacts positifs du projet. Le CGES comprendra un plan d’engagement des parties prenantes comme partie intégrale de l’évaluation, en conformité avec la NES 10.</w:t>
      </w:r>
    </w:p>
    <w:p w14:paraId="27CA1966" w14:textId="77777777" w:rsidR="00871A3A" w:rsidRPr="007E3D1A" w:rsidRDefault="00871A3A" w:rsidP="00871A3A">
      <w:pPr>
        <w:rPr>
          <w:rFonts w:cs="Arial"/>
          <w:sz w:val="22"/>
        </w:rPr>
      </w:pPr>
      <w:r w:rsidRPr="007E3D1A">
        <w:rPr>
          <w:rFonts w:cs="Arial"/>
          <w:sz w:val="22"/>
        </w:rPr>
        <w:t>Le CGES constituera une évaluation et une présentation adéquate, précise et objective des risques et impacts connus, préparées par des personnes qualifiées et expérimentées.</w:t>
      </w:r>
    </w:p>
    <w:p w14:paraId="0F3D18E0" w14:textId="77777777" w:rsidR="00871A3A" w:rsidRPr="007E3D1A" w:rsidRDefault="00871A3A" w:rsidP="00871A3A">
      <w:pPr>
        <w:rPr>
          <w:rFonts w:cs="Arial"/>
          <w:sz w:val="22"/>
        </w:rPr>
      </w:pPr>
    </w:p>
    <w:p w14:paraId="35F01368" w14:textId="77777777" w:rsidR="00871A3A" w:rsidRPr="007E3D1A" w:rsidRDefault="00871A3A" w:rsidP="00871A3A">
      <w:pPr>
        <w:rPr>
          <w:rFonts w:cs="Arial"/>
          <w:sz w:val="22"/>
        </w:rPr>
      </w:pPr>
      <w:r w:rsidRPr="007E3D1A">
        <w:rPr>
          <w:rFonts w:cs="Arial"/>
          <w:sz w:val="22"/>
        </w:rPr>
        <w:t>Le CGES prendra en compte de manière appropriée toutes les questions pertinentes du projet, notamment:</w:t>
      </w:r>
    </w:p>
    <w:p w14:paraId="562541F0" w14:textId="77777777" w:rsidR="00871A3A" w:rsidRPr="007E3D1A" w:rsidRDefault="00871A3A" w:rsidP="00871A3A">
      <w:pPr>
        <w:rPr>
          <w:rFonts w:cs="Arial"/>
          <w:sz w:val="22"/>
        </w:rPr>
      </w:pPr>
    </w:p>
    <w:p w14:paraId="6E5F8720" w14:textId="77777777" w:rsidR="00871A3A" w:rsidRPr="007E3D1A" w:rsidRDefault="00871A3A" w:rsidP="00871A3A">
      <w:pPr>
        <w:rPr>
          <w:rFonts w:cs="Arial"/>
          <w:sz w:val="22"/>
        </w:rPr>
      </w:pPr>
      <w:r w:rsidRPr="007E3D1A">
        <w:rPr>
          <w:rFonts w:cs="Arial"/>
          <w:sz w:val="22"/>
        </w:rPr>
        <w:t xml:space="preserve">Le cadre politique, les lois et réglementations nationales applicables et les capacités institutionnelles (y compris la mise en œuvre) du pays en matière d’environnement et de questions sociales; </w:t>
      </w:r>
    </w:p>
    <w:p w14:paraId="61CFC8E4" w14:textId="77777777" w:rsidR="00871A3A" w:rsidRPr="007E3D1A" w:rsidRDefault="00871A3A" w:rsidP="00871A3A">
      <w:pPr>
        <w:rPr>
          <w:rFonts w:cs="Arial"/>
          <w:sz w:val="22"/>
        </w:rPr>
      </w:pPr>
      <w:r w:rsidRPr="007E3D1A">
        <w:rPr>
          <w:rFonts w:cs="Arial"/>
          <w:sz w:val="22"/>
        </w:rPr>
        <w:t xml:space="preserve">Les variations des conditions du pays et du contexte du projet; </w:t>
      </w:r>
    </w:p>
    <w:p w14:paraId="7B5AACD0" w14:textId="77777777" w:rsidR="00871A3A" w:rsidRPr="007E3D1A" w:rsidRDefault="00871A3A" w:rsidP="00871A3A">
      <w:pPr>
        <w:rPr>
          <w:rFonts w:cs="Arial"/>
          <w:sz w:val="22"/>
        </w:rPr>
      </w:pPr>
      <w:r w:rsidRPr="007E3D1A">
        <w:rPr>
          <w:rFonts w:cs="Arial"/>
          <w:sz w:val="22"/>
        </w:rPr>
        <w:t xml:space="preserve">Les études environnementales ou sociales du pays; les plans d'action environnementaux ou sociaux nationaux; et les obligations du pays directement applicables au projet en vertu des traités et accords internationaux pertinents; </w:t>
      </w:r>
    </w:p>
    <w:p w14:paraId="60A4AD88" w14:textId="77777777" w:rsidR="00871A3A" w:rsidRPr="007E3D1A" w:rsidRDefault="00871A3A" w:rsidP="00871A3A">
      <w:pPr>
        <w:rPr>
          <w:rFonts w:cs="Arial"/>
          <w:sz w:val="22"/>
        </w:rPr>
      </w:pPr>
      <w:r w:rsidRPr="007E3D1A">
        <w:rPr>
          <w:rFonts w:cs="Arial"/>
          <w:sz w:val="22"/>
        </w:rPr>
        <w:t>Les exigences applicables en vertu des NES; et les Directives pour la Sécurité de l'environnement et de la Santé (DSS) et les autres Bonnes Pratiques Internationales du Secteur (BPIS) pertinentes.</w:t>
      </w:r>
    </w:p>
    <w:p w14:paraId="28A231EB" w14:textId="77777777" w:rsidR="00871A3A" w:rsidRPr="007E3D1A" w:rsidRDefault="00871A3A" w:rsidP="00871A3A">
      <w:pPr>
        <w:rPr>
          <w:rFonts w:cs="Arial"/>
          <w:sz w:val="22"/>
        </w:rPr>
      </w:pPr>
    </w:p>
    <w:p w14:paraId="7161D358" w14:textId="77777777" w:rsidR="00871A3A" w:rsidRPr="007E3D1A" w:rsidRDefault="00871A3A" w:rsidP="00871A3A">
      <w:pPr>
        <w:rPr>
          <w:rFonts w:cs="Arial"/>
          <w:sz w:val="22"/>
        </w:rPr>
      </w:pPr>
      <w:r w:rsidRPr="007E3D1A">
        <w:rPr>
          <w:rFonts w:cs="Arial"/>
          <w:sz w:val="22"/>
        </w:rPr>
        <w:t>Le CGES établira et appliquera une hiérarchie de mesures d’atténuation pour :</w:t>
      </w:r>
    </w:p>
    <w:p w14:paraId="50F5C20A" w14:textId="77777777" w:rsidR="00871A3A" w:rsidRPr="007E3D1A" w:rsidRDefault="00871A3A" w:rsidP="00871A3A">
      <w:pPr>
        <w:rPr>
          <w:rFonts w:cs="Arial"/>
          <w:sz w:val="22"/>
        </w:rPr>
      </w:pPr>
    </w:p>
    <w:p w14:paraId="7F21E933" w14:textId="77777777" w:rsidR="00871A3A" w:rsidRPr="007E3D1A" w:rsidRDefault="00871A3A" w:rsidP="00871A3A">
      <w:pPr>
        <w:rPr>
          <w:rFonts w:cs="Arial"/>
          <w:sz w:val="22"/>
        </w:rPr>
      </w:pPr>
      <w:r w:rsidRPr="007E3D1A">
        <w:rPr>
          <w:rFonts w:cs="Arial"/>
          <w:sz w:val="22"/>
        </w:rPr>
        <w:t>Anticiper et éviter les risques et les impacts;</w:t>
      </w:r>
    </w:p>
    <w:p w14:paraId="52FC3520" w14:textId="77777777" w:rsidR="00871A3A" w:rsidRPr="007E3D1A" w:rsidRDefault="00871A3A" w:rsidP="00871A3A">
      <w:pPr>
        <w:rPr>
          <w:rFonts w:cs="Arial"/>
          <w:sz w:val="22"/>
        </w:rPr>
      </w:pPr>
      <w:r w:rsidRPr="007E3D1A">
        <w:rPr>
          <w:rFonts w:cs="Arial"/>
          <w:sz w:val="22"/>
        </w:rPr>
        <w:t>Lorsque ce n'est pas possible de l’éviter, minimisez ou réduire les risques et les impacts à des niveaux acceptables;</w:t>
      </w:r>
    </w:p>
    <w:p w14:paraId="308EE02C" w14:textId="77777777" w:rsidR="00871A3A" w:rsidRPr="007E3D1A" w:rsidRDefault="00871A3A" w:rsidP="00871A3A">
      <w:pPr>
        <w:rPr>
          <w:rFonts w:cs="Arial"/>
          <w:sz w:val="22"/>
        </w:rPr>
      </w:pPr>
      <w:r w:rsidRPr="007E3D1A">
        <w:rPr>
          <w:rFonts w:cs="Arial"/>
          <w:sz w:val="22"/>
        </w:rPr>
        <w:t>Une fois que les risques et les impacts ont été minimisés ou réduits, les atténuer ; et</w:t>
      </w:r>
    </w:p>
    <w:p w14:paraId="743ABFC3" w14:textId="77777777" w:rsidR="00871A3A" w:rsidRPr="007E3D1A" w:rsidRDefault="00871A3A" w:rsidP="00871A3A">
      <w:pPr>
        <w:rPr>
          <w:rFonts w:cs="Arial"/>
          <w:sz w:val="22"/>
        </w:rPr>
      </w:pPr>
      <w:r w:rsidRPr="007E3D1A">
        <w:rPr>
          <w:rFonts w:cs="Arial"/>
          <w:sz w:val="22"/>
        </w:rPr>
        <w:t>Si des impacts résiduels importants subsistent, de les corriger ou compenser lorsque cela est techniquement et financièrement réalisable.</w:t>
      </w:r>
    </w:p>
    <w:p w14:paraId="0CDB9C7F" w14:textId="77777777" w:rsidR="00871A3A" w:rsidRPr="007E3D1A" w:rsidRDefault="00871A3A" w:rsidP="00871A3A">
      <w:pPr>
        <w:rPr>
          <w:rFonts w:cs="Arial"/>
          <w:sz w:val="22"/>
        </w:rPr>
      </w:pPr>
    </w:p>
    <w:p w14:paraId="600F62F7" w14:textId="77777777" w:rsidR="00871A3A" w:rsidRPr="007E3D1A" w:rsidRDefault="00871A3A" w:rsidP="00871A3A">
      <w:pPr>
        <w:rPr>
          <w:rFonts w:cs="Arial"/>
          <w:sz w:val="22"/>
        </w:rPr>
      </w:pPr>
      <w:r w:rsidRPr="007E3D1A">
        <w:rPr>
          <w:rFonts w:cs="Arial"/>
          <w:sz w:val="22"/>
        </w:rPr>
        <w:t>Le CGES, informé de la portée des problèmes, tiendra compte de tous les risques et impacts environnementaux et sociaux pertinents du projet, notamment :</w:t>
      </w:r>
    </w:p>
    <w:p w14:paraId="49548BBA" w14:textId="77777777" w:rsidR="00871A3A" w:rsidRPr="007E3D1A" w:rsidRDefault="00871A3A" w:rsidP="00871A3A">
      <w:pPr>
        <w:rPr>
          <w:rFonts w:cs="Arial"/>
          <w:sz w:val="22"/>
        </w:rPr>
      </w:pPr>
    </w:p>
    <w:p w14:paraId="4B812AEC" w14:textId="77777777" w:rsidR="00871A3A" w:rsidRPr="007E3D1A" w:rsidRDefault="00871A3A" w:rsidP="00871A3A">
      <w:pPr>
        <w:rPr>
          <w:rFonts w:cs="Arial"/>
          <w:sz w:val="22"/>
        </w:rPr>
      </w:pPr>
      <w:r w:rsidRPr="007E3D1A">
        <w:rPr>
          <w:rFonts w:cs="Arial"/>
          <w:sz w:val="22"/>
        </w:rPr>
        <w:t>Les risques et impacts environnementaux, y compris : (i) ceux définis par les DSS; (ii) ceux liées à la sécurité communautaire (y compris la sécurité des barrages et l'utilisation sans danger des pesticides); (iii) ceux liés au changement climatique et à d'autres risques et impacts transfrontières ou mondiaux; (iv) toute menace matérielle à la protection, la conservation, le maintien et la restauration des habitats naturels et de la biodiversité; et (v) ceux liés aux services éco systémiques et à l'utilisation de ressources naturelles vivantes, telles que les pêcheries et les forêts ;</w:t>
      </w:r>
    </w:p>
    <w:p w14:paraId="35587D19" w14:textId="77777777" w:rsidR="00871A3A" w:rsidRPr="007E3D1A" w:rsidRDefault="00871A3A" w:rsidP="00871A3A">
      <w:pPr>
        <w:rPr>
          <w:rFonts w:cs="Arial"/>
          <w:sz w:val="22"/>
        </w:rPr>
      </w:pPr>
    </w:p>
    <w:p w14:paraId="1EC3E800" w14:textId="77777777" w:rsidR="00871A3A" w:rsidRPr="007E3D1A" w:rsidRDefault="00871A3A" w:rsidP="00871A3A">
      <w:pPr>
        <w:rPr>
          <w:rFonts w:cs="Arial"/>
          <w:sz w:val="22"/>
        </w:rPr>
      </w:pPr>
      <w:r w:rsidRPr="007E3D1A">
        <w:rPr>
          <w:rFonts w:cs="Arial"/>
          <w:sz w:val="22"/>
        </w:rPr>
        <w:t>Les risques et les impacts sociaux, notamment : (i) les menaces à la sécurité humaine résultant de conflits, de crimes ou des violences</w:t>
      </w:r>
      <w:r w:rsidRPr="007E3D1A">
        <w:rPr>
          <w:rFonts w:cs="Arial"/>
          <w:sz w:val="22"/>
        </w:rPr>
        <w:footnoteReference w:id="39"/>
      </w:r>
      <w:r w:rsidRPr="007E3D1A">
        <w:rPr>
          <w:rFonts w:cs="Arial"/>
          <w:sz w:val="22"/>
        </w:rPr>
        <w:t>, communautaires ou interétatiques ; (ii) les risques dû au fait que les impacts du projet touchent de manière disproportionnée des individus et des groupes qui, en raison de leur situation particulière, peuvent être désavantagés ou vulnérables ; (iii) tout préjudice ou discrimination à l'égard de personnes ou de groupes en ce qui concerne l'accès aux ressources et aux avantages du projet, en particulier dans le cas de personnes susceptibles d'être défavorisées ou vulnérables; (iv) des impacts économiques et sociaux négatifs liés à la prise de terre involontaire ou à des restrictions d'utilisation du sol ; (v) les risques ou impacts associés au régime foncier et à l'utilisation des terres et des ressources naturelles, y compris (le cas échéant) les impacts potentiels du projet sur les schémas d'utilisation des terres et les régimes fonciers locaux, l'accès et la disponibilité des terres, la sécurité alimentaire et la valeur des terres, ainsi que les risques correspondants liés à conflit ou contestation sur la terre et les ressources naturelles ; (vi) les impacts sur la santé, la sécurité et le bien-être des travailleurs et des communautés affectées par le projet ; et (vii) les risques pour le patrimoine culturel.</w:t>
      </w:r>
    </w:p>
    <w:p w14:paraId="5CA7F927" w14:textId="77777777" w:rsidR="00871A3A" w:rsidRPr="007E3D1A" w:rsidRDefault="00871A3A" w:rsidP="00871A3A">
      <w:pPr>
        <w:rPr>
          <w:rFonts w:cs="Arial"/>
          <w:sz w:val="22"/>
        </w:rPr>
      </w:pPr>
    </w:p>
    <w:p w14:paraId="330E2D01" w14:textId="77777777" w:rsidR="00871A3A" w:rsidRPr="007E3D1A" w:rsidRDefault="00871A3A" w:rsidP="00871A3A">
      <w:pPr>
        <w:rPr>
          <w:rFonts w:cs="Arial"/>
          <w:sz w:val="22"/>
        </w:rPr>
      </w:pPr>
      <w:r w:rsidRPr="007E3D1A">
        <w:rPr>
          <w:rFonts w:cs="Arial"/>
          <w:sz w:val="22"/>
        </w:rPr>
        <w:t>Lorsque des individus ou des groupes spécifiques comme désavantagés ou vulnérables sont identifiés, le CGES proposera des mesures différenciées à mettre en œuvre par l’emprunteur afin que les effets négatifs ne tombent pas de manière disproportionnée sur les personnes défavorisées ou vulnérables, et ils ne le sont pas dans le partage des avantages et des opportunités de développement résultant du projet.</w:t>
      </w:r>
    </w:p>
    <w:p w14:paraId="41E13F0D" w14:textId="77777777" w:rsidR="00871A3A" w:rsidRPr="007E3D1A" w:rsidRDefault="00871A3A" w:rsidP="00871A3A">
      <w:pPr>
        <w:rPr>
          <w:rFonts w:cs="Arial"/>
          <w:sz w:val="22"/>
        </w:rPr>
      </w:pPr>
    </w:p>
    <w:p w14:paraId="793CBEB2" w14:textId="77777777" w:rsidR="00871A3A" w:rsidRPr="007E3D1A" w:rsidRDefault="00871A3A" w:rsidP="00871A3A">
      <w:pPr>
        <w:rPr>
          <w:rFonts w:cs="Arial"/>
          <w:sz w:val="22"/>
        </w:rPr>
      </w:pPr>
      <w:r w:rsidRPr="007E3D1A">
        <w:rPr>
          <w:rFonts w:cs="Arial"/>
          <w:sz w:val="22"/>
        </w:rPr>
        <w:t>Pour les projets impliquant plusieurs petits sous-projets,</w:t>
      </w:r>
      <w:r w:rsidRPr="007E3D1A">
        <w:rPr>
          <w:rFonts w:cs="Arial"/>
          <w:sz w:val="22"/>
        </w:rPr>
        <w:footnoteReference w:id="40"/>
      </w:r>
      <w:r w:rsidRPr="007E3D1A">
        <w:rPr>
          <w:rFonts w:cs="Arial"/>
          <w:sz w:val="22"/>
        </w:rPr>
        <w:t>qui sont identifiés, préparés et mis en œuvre au cours du projet, l'emprunteur effectuera une évaluation environnementale et sociale appropriée des sous-projets, et préparera et mettra en œuvre ces sous-projets, comme suit : a) sous-projets à risque élevé, en conformément aux ESS; b Sous-projets de risques substantiels, de risques modérés et à faible risque, conformément au droit national et à toutes les exigences des Normes Environnementales et Sociales (NES) que la Banque juge pertinentes pour ces sous-projets.</w:t>
      </w:r>
    </w:p>
    <w:p w14:paraId="2A6C9EDD" w14:textId="77777777" w:rsidR="00871A3A" w:rsidRPr="007E3D1A" w:rsidRDefault="00871A3A" w:rsidP="00871A3A">
      <w:pPr>
        <w:rPr>
          <w:rFonts w:cs="Arial"/>
          <w:sz w:val="22"/>
        </w:rPr>
      </w:pPr>
    </w:p>
    <w:p w14:paraId="241742DA" w14:textId="77777777" w:rsidR="00871A3A" w:rsidRPr="007E3D1A" w:rsidRDefault="00871A3A" w:rsidP="00871A3A">
      <w:pPr>
        <w:rPr>
          <w:rFonts w:cs="Arial"/>
          <w:sz w:val="22"/>
        </w:rPr>
      </w:pPr>
      <w:r w:rsidRPr="007E3D1A">
        <w:rPr>
          <w:rFonts w:cs="Arial"/>
          <w:sz w:val="22"/>
        </w:rPr>
        <w:t>Le CGES identifiera et évaluera également, dans la mesure du possible, les risques environnementaux et sociaux potentiels et les impacts des installations associées. L'emprunteur abordera les risques et les répercussions des installations associées d'une manière proportionnelle à son contrôle ou à son influence sur les installations connexes. Dans la mesure où l'emprunteur ne peut pas contrôler ou influencer les activités associées pour répondre aux exigences des NES, l'évaluation environnementale et sociale permettra également d'identifier les risques et les impacts que les installations associées peuvent présenter au projet.</w:t>
      </w:r>
    </w:p>
    <w:p w14:paraId="2B6C725F" w14:textId="77777777" w:rsidR="00871A3A" w:rsidRPr="007E3D1A" w:rsidRDefault="00871A3A" w:rsidP="00871A3A">
      <w:pPr>
        <w:rPr>
          <w:rFonts w:cs="Arial"/>
          <w:sz w:val="22"/>
        </w:rPr>
      </w:pPr>
    </w:p>
    <w:p w14:paraId="7A6C83CB" w14:textId="77777777" w:rsidR="00871A3A" w:rsidRPr="007E3D1A" w:rsidRDefault="00871A3A" w:rsidP="00871A3A">
      <w:pPr>
        <w:rPr>
          <w:rFonts w:cs="Arial"/>
          <w:sz w:val="22"/>
        </w:rPr>
      </w:pPr>
      <w:r w:rsidRPr="007E3D1A">
        <w:rPr>
          <w:rFonts w:cs="Arial"/>
          <w:sz w:val="22"/>
        </w:rPr>
        <w:t>Le CGES tiendra également compte des risques</w:t>
      </w:r>
      <w:r w:rsidRPr="007E3D1A">
        <w:rPr>
          <w:rFonts w:cs="Arial"/>
          <w:sz w:val="22"/>
        </w:rPr>
        <w:footnoteReference w:id="41"/>
      </w:r>
      <w:r w:rsidRPr="007E3D1A">
        <w:rPr>
          <w:rFonts w:cs="Arial"/>
          <w:sz w:val="22"/>
        </w:rPr>
        <w:t>et des impacts associés aux principaux fournisseurs, comme l'exigent NES 2 et NES 6. L'emprunteur s'attaquera à ces risques et impacts d'une manière proportionnelle au contrôle ou à l'influence de l'emprunteur sur ses principaux fournisseurs tels qu'ils sont énoncés dans NES 2 et NES 6.</w:t>
      </w:r>
    </w:p>
    <w:p w14:paraId="3009086B" w14:textId="77777777" w:rsidR="00871A3A" w:rsidRPr="007E3D1A" w:rsidRDefault="00871A3A" w:rsidP="00871A3A">
      <w:pPr>
        <w:rPr>
          <w:rFonts w:cs="Arial"/>
          <w:sz w:val="22"/>
        </w:rPr>
      </w:pPr>
    </w:p>
    <w:p w14:paraId="6594CC82" w14:textId="77777777" w:rsidR="00871A3A" w:rsidRPr="007E3D1A" w:rsidRDefault="00871A3A" w:rsidP="00871A3A">
      <w:pPr>
        <w:rPr>
          <w:rFonts w:cs="Arial"/>
          <w:sz w:val="22"/>
        </w:rPr>
      </w:pPr>
      <w:r w:rsidRPr="007E3D1A">
        <w:rPr>
          <w:rFonts w:cs="Arial"/>
          <w:sz w:val="22"/>
        </w:rPr>
        <w:t>Le CGES tiendra compte des risques et impacts transfrontaliers et mondiaux potentiellement importants liés aux projets, tels que les impacts des décharges et des émissions, l'utilisation accrue ou la contamination des voies navigables internationales ; l'émissions de polluants climatiques à courte et à longue durée de vie,</w:t>
      </w:r>
      <w:r w:rsidRPr="007E3D1A">
        <w:rPr>
          <w:rFonts w:cs="Arial"/>
          <w:sz w:val="22"/>
        </w:rPr>
        <w:footnoteReference w:id="42"/>
      </w:r>
      <w:r w:rsidRPr="007E3D1A">
        <w:rPr>
          <w:rFonts w:cs="Arial"/>
          <w:sz w:val="22"/>
        </w:rPr>
        <w:t>les problèmes d'atténuation, d'adaptation et de résilience liés au changement climatique, ainsi que les impacts sur les espèces migratrices menacées ou appauvries et leurs habitats.</w:t>
      </w:r>
    </w:p>
    <w:p w14:paraId="187676B0" w14:textId="77777777" w:rsidR="00871A3A" w:rsidRPr="007E3D1A" w:rsidRDefault="00871A3A" w:rsidP="00871A3A">
      <w:pPr>
        <w:rPr>
          <w:rFonts w:cs="Arial"/>
          <w:sz w:val="22"/>
        </w:rPr>
      </w:pPr>
    </w:p>
    <w:p w14:paraId="13B40127" w14:textId="77777777" w:rsidR="00871A3A" w:rsidRPr="007E3D1A" w:rsidRDefault="00871A3A" w:rsidP="00871A3A">
      <w:pPr>
        <w:rPr>
          <w:rFonts w:cs="Arial"/>
          <w:sz w:val="22"/>
        </w:rPr>
      </w:pPr>
      <w:r w:rsidRPr="007E3D1A">
        <w:rPr>
          <w:rFonts w:cs="Arial"/>
          <w:sz w:val="22"/>
        </w:rPr>
        <w:t>Engagement des parties prenantes et divulgation de l'information</w:t>
      </w:r>
    </w:p>
    <w:p w14:paraId="7B9CE605" w14:textId="77777777" w:rsidR="00871A3A" w:rsidRPr="007E3D1A" w:rsidRDefault="00871A3A" w:rsidP="00871A3A">
      <w:pPr>
        <w:rPr>
          <w:rFonts w:cs="Arial"/>
          <w:sz w:val="22"/>
        </w:rPr>
      </w:pPr>
    </w:p>
    <w:p w14:paraId="4D313824" w14:textId="77777777" w:rsidR="00871A3A" w:rsidRPr="007E3D1A" w:rsidRDefault="00871A3A" w:rsidP="00871A3A">
      <w:pPr>
        <w:rPr>
          <w:rFonts w:cs="Arial"/>
          <w:sz w:val="22"/>
        </w:rPr>
      </w:pPr>
      <w:r w:rsidRPr="007E3D1A">
        <w:rPr>
          <w:rFonts w:cs="Arial"/>
          <w:sz w:val="22"/>
        </w:rPr>
        <w:t>Comme prévu par la NES 10, l'Emprunteur continuera de s'engager et de fournir suffisamment d'information aux parties prenantes tout au long du cycle de vie du projet, d'une manière appropriée à la nature de leurs intérêts et aux risques environnementaux et sociaux potentiels et impacts du projet. Le PGES devrait définir les exigences de base pour la préparation d'un plan de participation des parties prenantes, y compris les exigences en matière de divulgation d'informations et de consultations significatives tout au long du projet.</w:t>
      </w:r>
    </w:p>
    <w:p w14:paraId="74438D53" w14:textId="77777777" w:rsidR="00871A3A" w:rsidRPr="007E3D1A" w:rsidRDefault="00871A3A" w:rsidP="00871A3A">
      <w:pPr>
        <w:rPr>
          <w:rFonts w:cs="Arial"/>
          <w:sz w:val="22"/>
        </w:rPr>
      </w:pPr>
    </w:p>
    <w:p w14:paraId="5E919798" w14:textId="77777777" w:rsidR="00871A3A" w:rsidRPr="007E3D1A" w:rsidRDefault="00871A3A" w:rsidP="00871A3A">
      <w:pPr>
        <w:rPr>
          <w:rFonts w:cs="Arial"/>
          <w:sz w:val="22"/>
        </w:rPr>
      </w:pPr>
      <w:r w:rsidRPr="00730A4A">
        <w:rPr>
          <w:rFonts w:eastAsia="Calibri" w:cs="Arial"/>
          <w:sz w:val="22"/>
        </w:rPr>
        <w:t>Le PGES doit inclure une description de la manière dont l’Emprunteur proposera et mettra en œuvre un mécanisme de gestion des plaintes pour entendre ces préoccupations et recevoir ces plaintes et en faciliter le règlement. Le PGES définira clairement les rôles, les responsabilités et les attributions et désignera les personnes qui se chargeront de la mise en œuvre et du suivi des activités de mobilisation des parties prenantes et de la mise en conformité avec les dispositions de la présente NES.</w:t>
      </w:r>
    </w:p>
    <w:p w14:paraId="12719889" w14:textId="77777777" w:rsidR="00871A3A" w:rsidRPr="007E3D1A" w:rsidRDefault="00871A3A" w:rsidP="00871A3A">
      <w:pPr>
        <w:rPr>
          <w:rFonts w:cs="Arial"/>
          <w:sz w:val="22"/>
        </w:rPr>
      </w:pPr>
    </w:p>
    <w:p w14:paraId="2AF56BFB" w14:textId="77777777" w:rsidR="00871A3A" w:rsidRPr="007E3D1A" w:rsidRDefault="00871A3A" w:rsidP="00871A3A">
      <w:pPr>
        <w:rPr>
          <w:rFonts w:cs="Arial"/>
          <w:sz w:val="22"/>
        </w:rPr>
      </w:pPr>
      <w:r w:rsidRPr="007E3D1A">
        <w:rPr>
          <w:rFonts w:cs="Arial"/>
          <w:sz w:val="22"/>
        </w:rPr>
        <w:t>Pour les projets à risque élevé et à risque substantiel, l'emprunteur fournira à la Banque et divulguera des documents, comme convenu avec la Banque, concernant les risques environnementaux et sociaux et les impacts du projet avant l'évaluation du projet. La documentation traitera, de façon adéquate, des principaux risques et impacts du projet et fournira suffisamment de détails pour éclairer l'engagement des intervenants et la prise de décisions de la Banque. L'emprunteur fournira à la Banque et divulguera les documents définitifs ou mis à jour tels que spécifiés dans le PEES.</w:t>
      </w:r>
    </w:p>
    <w:p w14:paraId="243C361B" w14:textId="77777777" w:rsidR="00871A3A" w:rsidRPr="007E3D1A" w:rsidRDefault="00871A3A" w:rsidP="00871A3A">
      <w:pPr>
        <w:rPr>
          <w:rFonts w:cs="Arial"/>
          <w:sz w:val="22"/>
        </w:rPr>
      </w:pPr>
    </w:p>
    <w:p w14:paraId="34F46CF2" w14:textId="77777777" w:rsidR="00871A3A" w:rsidRPr="007E3D1A" w:rsidRDefault="00871A3A" w:rsidP="00871A3A">
      <w:pPr>
        <w:rPr>
          <w:rFonts w:cs="Arial"/>
          <w:sz w:val="22"/>
        </w:rPr>
      </w:pPr>
      <w:r w:rsidRPr="007E3D1A">
        <w:rPr>
          <w:rFonts w:cs="Arial"/>
          <w:sz w:val="22"/>
        </w:rPr>
        <w:t>Suivi et reporting du projet</w:t>
      </w:r>
    </w:p>
    <w:p w14:paraId="2004502A" w14:textId="77777777" w:rsidR="00871A3A" w:rsidRPr="007E3D1A" w:rsidRDefault="00871A3A" w:rsidP="00871A3A">
      <w:pPr>
        <w:rPr>
          <w:rFonts w:cs="Arial"/>
          <w:sz w:val="22"/>
        </w:rPr>
      </w:pPr>
    </w:p>
    <w:p w14:paraId="60842356" w14:textId="77777777" w:rsidR="00871A3A" w:rsidRPr="007E3D1A" w:rsidRDefault="00871A3A" w:rsidP="00871A3A">
      <w:pPr>
        <w:rPr>
          <w:rFonts w:cs="Arial"/>
          <w:sz w:val="22"/>
        </w:rPr>
      </w:pPr>
      <w:r w:rsidRPr="007E3D1A">
        <w:rPr>
          <w:rFonts w:cs="Arial"/>
          <w:sz w:val="22"/>
        </w:rPr>
        <w:t>L'Emprunteur veillera à la performance environnementale et sociale du projet conformément à l'accord juridique (y compris le PEES). L'étendue et le mode de surveillance seront convenus avec la Banque et seront proportionnels à la nature du projet, aux risques et impacts environnementaux et sociaux du projet et aux exigences de conformité. L'emprunteur veillera à ce que des arrangements institutionnels, des systèmes, des ressources et du personnel adéquat soient en place pour effectuer la surveillance. Le cas échéant et tel qu'il est indiqué dans le PEES, l'Emprunteur engagera les parties prenantes et les tiers, tels que des experts indépendants, des communautés locales ou des ONG, pour compléter ou vérifier ses propres activités de surveillance. Lorsque d'autres organismes ou tiers sont responsables de la gestion des risques et des impacts spécifiques et de la mise en œuvre des mesures d'atténuation, l'emprunteur collaborera avec ces organismes et des tiers pour établir et surveiller ces mesures d'atténuation.</w:t>
      </w:r>
    </w:p>
    <w:p w14:paraId="484C9067" w14:textId="77777777" w:rsidR="00871A3A" w:rsidRPr="007E3D1A" w:rsidRDefault="00871A3A" w:rsidP="00871A3A">
      <w:pPr>
        <w:rPr>
          <w:rFonts w:cs="Arial"/>
          <w:sz w:val="22"/>
        </w:rPr>
      </w:pPr>
    </w:p>
    <w:p w14:paraId="3C4CAA6B" w14:textId="77777777" w:rsidR="00871A3A" w:rsidRPr="007E3D1A" w:rsidRDefault="00871A3A" w:rsidP="00871A3A">
      <w:pPr>
        <w:rPr>
          <w:rFonts w:cs="Arial"/>
          <w:sz w:val="22"/>
        </w:rPr>
      </w:pPr>
      <w:r w:rsidRPr="007E3D1A">
        <w:rPr>
          <w:rFonts w:cs="Arial"/>
          <w:sz w:val="22"/>
        </w:rPr>
        <w:t>Le suivi comprendra normalement l'enregistrement de l'information pour le suivi de la performance et l'établissement de contrôles opérationnels pertinents pour vérifier et comparer la conformité et les progrès. Le suivi sera ajusté en fonction de l'expérience de performance, ainsi que des mesures demandées par les autorités réglementaires compétentes et des commentaires des intervenants tels que les membres de la collectivité. L'Emprunteur va documenter les résultats du suivi.</w:t>
      </w:r>
    </w:p>
    <w:p w14:paraId="64328D08" w14:textId="77777777" w:rsidR="00871A3A" w:rsidRPr="007E3D1A" w:rsidRDefault="00871A3A" w:rsidP="00871A3A">
      <w:pPr>
        <w:rPr>
          <w:rFonts w:cs="Arial"/>
          <w:sz w:val="22"/>
        </w:rPr>
      </w:pPr>
    </w:p>
    <w:p w14:paraId="025954A9" w14:textId="77777777" w:rsidR="00871A3A" w:rsidRPr="007E3D1A" w:rsidRDefault="00871A3A" w:rsidP="00871A3A">
      <w:pPr>
        <w:rPr>
          <w:rFonts w:cs="Arial"/>
          <w:sz w:val="22"/>
        </w:rPr>
      </w:pPr>
      <w:r w:rsidRPr="007E3D1A">
        <w:rPr>
          <w:rFonts w:cs="Arial"/>
          <w:sz w:val="22"/>
        </w:rPr>
        <w:t>L'Emprunteur fournira des rapports réguliers tels qu'ils sont énoncés dans le PEES (en tout état de cause, pas moins d'une année) à la Banque des résultats du suivi. Ces rapports fourniront un dossier précis et objectif de la mise en œuvre du projet, y compris le respect du PEES et des exigences des NES. Ces rapports comprendront de l'information sur l'engagement des intervenants effectuée pendant la mise en œuvre du projet conformément à la NES 10. L'Emprunteur et les organismes qui mettent en œuvre le projet désigneront des hauts fonctionnaires chargés d'examiner les rapports.</w:t>
      </w:r>
    </w:p>
    <w:p w14:paraId="38118853" w14:textId="77777777" w:rsidR="00871A3A" w:rsidRPr="007E3D1A" w:rsidRDefault="00871A3A" w:rsidP="00871A3A">
      <w:pPr>
        <w:rPr>
          <w:rFonts w:cs="Arial"/>
          <w:sz w:val="22"/>
        </w:rPr>
      </w:pPr>
    </w:p>
    <w:p w14:paraId="13A7A316" w14:textId="77777777" w:rsidR="00871A3A" w:rsidRPr="007E3D1A" w:rsidRDefault="00871A3A" w:rsidP="00871A3A">
      <w:pPr>
        <w:rPr>
          <w:rFonts w:cs="Arial"/>
          <w:sz w:val="22"/>
        </w:rPr>
      </w:pPr>
      <w:r w:rsidRPr="007E3D1A">
        <w:rPr>
          <w:rFonts w:cs="Arial"/>
          <w:sz w:val="22"/>
        </w:rPr>
        <w:t>Sur la base des résultats du suivi, l'emprunteur identifiera toutes les mesures correctives et préventives nécessaires et les intégrera dans un PEES modifié ou dans l'outil de gestion pertinent, d'une manière acceptable pour la Banque. L'emprunteur mettra en œuvre les mesures correctives et préventives convenues conformément à le PEES modifié ou l'outil de gestion pertinent et surveillera et rendra compte de ces actions.</w:t>
      </w:r>
    </w:p>
    <w:p w14:paraId="21283FB0" w14:textId="77777777" w:rsidR="00871A3A" w:rsidRPr="007E3D1A" w:rsidRDefault="00871A3A" w:rsidP="00871A3A">
      <w:pPr>
        <w:rPr>
          <w:rFonts w:cs="Arial"/>
          <w:sz w:val="22"/>
        </w:rPr>
      </w:pPr>
    </w:p>
    <w:p w14:paraId="201FFB5C" w14:textId="77777777" w:rsidR="00871A3A" w:rsidRPr="007E3D1A" w:rsidRDefault="00871A3A" w:rsidP="00871A3A">
      <w:pPr>
        <w:rPr>
          <w:rFonts w:cs="Arial"/>
          <w:sz w:val="22"/>
        </w:rPr>
      </w:pPr>
      <w:r w:rsidRPr="007E3D1A">
        <w:rPr>
          <w:rFonts w:cs="Arial"/>
          <w:sz w:val="22"/>
        </w:rPr>
        <w:t>L'Emprunteur facilitera les visites sur place par le personnel de la Banque ou des consultants agissant au nom de la Banque. L'Emprunteur avisera la Banque rapidement de tout incident ou accident lié au projet qui a, ou est susceptible d'avoir, un effet négatif important sur l'environnement, les communautés touchées, le public ou les travailleurs. La notification fournira suffisamment de détails sur un tel incident ou accident, y compris les décès ou les blessures graves. L'Emprunteur prendra des mesures immédiates pour faire face à l'incident ou à l'accident et pour éviter toute récidive, conformément à la législation nationale et aux NES.</w:t>
      </w:r>
    </w:p>
    <w:p w14:paraId="05FAC9A6" w14:textId="77777777" w:rsidR="00871A3A" w:rsidRPr="007E3D1A" w:rsidRDefault="00871A3A" w:rsidP="00871A3A">
      <w:pPr>
        <w:rPr>
          <w:rFonts w:cs="Arial"/>
          <w:sz w:val="22"/>
        </w:rPr>
      </w:pPr>
    </w:p>
    <w:p w14:paraId="011694E3" w14:textId="77777777" w:rsidR="00871A3A" w:rsidRPr="007E3D1A" w:rsidRDefault="00871A3A" w:rsidP="00871A3A">
      <w:pPr>
        <w:rPr>
          <w:rFonts w:cs="Arial"/>
          <w:sz w:val="22"/>
        </w:rPr>
      </w:pPr>
    </w:p>
    <w:p w14:paraId="5A5A890D" w14:textId="77777777" w:rsidR="00871A3A" w:rsidRPr="007E3D1A" w:rsidRDefault="00871A3A" w:rsidP="00871A3A">
      <w:pPr>
        <w:rPr>
          <w:rFonts w:cs="Arial"/>
          <w:sz w:val="22"/>
        </w:rPr>
      </w:pPr>
      <w:r w:rsidRPr="007E3D1A">
        <w:rPr>
          <w:rFonts w:cs="Arial"/>
          <w:sz w:val="22"/>
        </w:rPr>
        <w:br w:type="page"/>
      </w:r>
    </w:p>
    <w:p w14:paraId="5E48A797" w14:textId="77777777" w:rsidR="00871A3A" w:rsidRPr="00372F9C" w:rsidRDefault="00871A3A" w:rsidP="00372F9C">
      <w:pPr>
        <w:ind w:left="1418" w:hanging="1418"/>
        <w:rPr>
          <w:rFonts w:cs="Arial"/>
          <w:b/>
          <w:bCs/>
          <w:sz w:val="22"/>
        </w:rPr>
      </w:pPr>
      <w:r w:rsidRPr="00372F9C">
        <w:rPr>
          <w:rFonts w:cs="Arial"/>
          <w:b/>
          <w:bCs/>
          <w:sz w:val="22"/>
        </w:rPr>
        <w:t>ANNEXE 6. LISTE DES PERSONNES RENCONTRÉES</w:t>
      </w:r>
    </w:p>
    <w:p w14:paraId="2452386E" w14:textId="77777777" w:rsidR="00871A3A" w:rsidRPr="007E3D1A" w:rsidRDefault="00871A3A" w:rsidP="00871A3A">
      <w:pPr>
        <w:rPr>
          <w:rFonts w:cs="Arial"/>
          <w:sz w:val="22"/>
        </w:rPr>
      </w:pPr>
    </w:p>
    <w:p w14:paraId="014B8F02" w14:textId="77777777" w:rsidR="00871A3A" w:rsidRPr="007E3D1A" w:rsidRDefault="00871A3A" w:rsidP="00871A3A">
      <w:pPr>
        <w:rPr>
          <w:rFonts w:cs="Arial"/>
          <w:sz w:val="22"/>
        </w:rPr>
      </w:pPr>
    </w:p>
    <w:tbl>
      <w:tblPr>
        <w:tblW w:w="10360" w:type="dxa"/>
        <w:tblInd w:w="-431" w:type="dxa"/>
        <w:tblCellMar>
          <w:left w:w="70" w:type="dxa"/>
          <w:right w:w="70" w:type="dxa"/>
        </w:tblCellMar>
        <w:tblLook w:val="04A0" w:firstRow="1" w:lastRow="0" w:firstColumn="1" w:lastColumn="0" w:noHBand="0" w:noVBand="1"/>
      </w:tblPr>
      <w:tblGrid>
        <w:gridCol w:w="499"/>
        <w:gridCol w:w="3011"/>
        <w:gridCol w:w="3723"/>
        <w:gridCol w:w="3127"/>
      </w:tblGrid>
      <w:tr w:rsidR="00871A3A" w:rsidRPr="007E3D1A" w14:paraId="7E4C4683" w14:textId="77777777" w:rsidTr="00BB0401">
        <w:trPr>
          <w:trHeight w:val="440"/>
        </w:trPr>
        <w:tc>
          <w:tcPr>
            <w:tcW w:w="4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9F84C" w14:textId="77777777" w:rsidR="00871A3A" w:rsidRPr="007E3D1A" w:rsidRDefault="00871A3A" w:rsidP="00BB0401">
            <w:pPr>
              <w:rPr>
                <w:rFonts w:cs="Arial"/>
                <w:sz w:val="22"/>
              </w:rPr>
            </w:pPr>
            <w:r w:rsidRPr="007E3D1A">
              <w:rPr>
                <w:rFonts w:cs="Arial"/>
                <w:sz w:val="22"/>
              </w:rPr>
              <w:t>N°</w:t>
            </w:r>
          </w:p>
        </w:tc>
        <w:tc>
          <w:tcPr>
            <w:tcW w:w="3011" w:type="dxa"/>
            <w:tcBorders>
              <w:top w:val="single" w:sz="4" w:space="0" w:color="auto"/>
              <w:left w:val="nil"/>
              <w:bottom w:val="single" w:sz="4" w:space="0" w:color="auto"/>
              <w:right w:val="single" w:sz="4" w:space="0" w:color="auto"/>
            </w:tcBorders>
            <w:shd w:val="clear" w:color="auto" w:fill="auto"/>
            <w:vAlign w:val="center"/>
            <w:hideMark/>
          </w:tcPr>
          <w:p w14:paraId="5B775AC5" w14:textId="77777777" w:rsidR="00871A3A" w:rsidRPr="007E3D1A" w:rsidRDefault="00871A3A" w:rsidP="00BB0401">
            <w:pPr>
              <w:rPr>
                <w:rFonts w:cs="Arial"/>
                <w:sz w:val="22"/>
              </w:rPr>
            </w:pPr>
            <w:r w:rsidRPr="007E3D1A">
              <w:rPr>
                <w:rFonts w:cs="Arial"/>
                <w:sz w:val="22"/>
              </w:rPr>
              <w:t>Noms et Post-nom</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14:paraId="0CE210BC" w14:textId="77777777" w:rsidR="00871A3A" w:rsidRPr="007E3D1A" w:rsidRDefault="00871A3A" w:rsidP="00BB0401">
            <w:pPr>
              <w:rPr>
                <w:rFonts w:cs="Arial"/>
                <w:sz w:val="22"/>
              </w:rPr>
            </w:pPr>
            <w:r w:rsidRPr="007E3D1A">
              <w:rPr>
                <w:rFonts w:cs="Arial"/>
                <w:sz w:val="22"/>
              </w:rPr>
              <w:t>Fonction</w:t>
            </w:r>
          </w:p>
        </w:tc>
        <w:tc>
          <w:tcPr>
            <w:tcW w:w="3127" w:type="dxa"/>
            <w:tcBorders>
              <w:top w:val="single" w:sz="4" w:space="0" w:color="auto"/>
              <w:left w:val="nil"/>
              <w:bottom w:val="single" w:sz="4" w:space="0" w:color="auto"/>
              <w:right w:val="single" w:sz="4" w:space="0" w:color="auto"/>
            </w:tcBorders>
            <w:shd w:val="clear" w:color="auto" w:fill="auto"/>
            <w:vAlign w:val="center"/>
            <w:hideMark/>
          </w:tcPr>
          <w:p w14:paraId="57A8B59E" w14:textId="77777777" w:rsidR="00871A3A" w:rsidRPr="007E3D1A" w:rsidRDefault="00871A3A" w:rsidP="00BB0401">
            <w:pPr>
              <w:rPr>
                <w:rFonts w:cs="Arial"/>
                <w:sz w:val="22"/>
              </w:rPr>
            </w:pPr>
            <w:r w:rsidRPr="007E3D1A">
              <w:rPr>
                <w:rFonts w:cs="Arial"/>
                <w:sz w:val="22"/>
              </w:rPr>
              <w:t>Contact</w:t>
            </w:r>
          </w:p>
        </w:tc>
      </w:tr>
      <w:tr w:rsidR="00871A3A" w:rsidRPr="007E3D1A" w14:paraId="73F9194D" w14:textId="77777777" w:rsidTr="00BB0401">
        <w:trPr>
          <w:trHeight w:val="1728"/>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4F3A00CE" w14:textId="77777777" w:rsidR="00871A3A" w:rsidRPr="007E3D1A" w:rsidRDefault="00871A3A" w:rsidP="00BB0401">
            <w:pPr>
              <w:rPr>
                <w:rFonts w:cs="Arial"/>
                <w:sz w:val="22"/>
              </w:rPr>
            </w:pPr>
            <w:r w:rsidRPr="007E3D1A">
              <w:rPr>
                <w:rFonts w:cs="Arial"/>
                <w:sz w:val="22"/>
              </w:rPr>
              <w:t>1</w:t>
            </w:r>
          </w:p>
        </w:tc>
        <w:tc>
          <w:tcPr>
            <w:tcW w:w="3011" w:type="dxa"/>
            <w:tcBorders>
              <w:top w:val="nil"/>
              <w:left w:val="nil"/>
              <w:bottom w:val="single" w:sz="4" w:space="0" w:color="auto"/>
              <w:right w:val="single" w:sz="4" w:space="0" w:color="auto"/>
            </w:tcBorders>
            <w:shd w:val="clear" w:color="auto" w:fill="auto"/>
            <w:vAlign w:val="center"/>
            <w:hideMark/>
          </w:tcPr>
          <w:p w14:paraId="7F3DCA5B" w14:textId="77777777" w:rsidR="00871A3A" w:rsidRPr="007E3D1A" w:rsidRDefault="00871A3A" w:rsidP="00BB0401">
            <w:pPr>
              <w:rPr>
                <w:rFonts w:cs="Arial"/>
                <w:sz w:val="22"/>
              </w:rPr>
            </w:pPr>
            <w:r w:rsidRPr="007E3D1A">
              <w:rPr>
                <w:rFonts w:cs="Arial"/>
                <w:sz w:val="22"/>
              </w:rPr>
              <w:t>Ir. Corneille KABAMBA MANONGO</w:t>
            </w:r>
          </w:p>
        </w:tc>
        <w:tc>
          <w:tcPr>
            <w:tcW w:w="3723" w:type="dxa"/>
            <w:tcBorders>
              <w:top w:val="nil"/>
              <w:left w:val="nil"/>
              <w:bottom w:val="single" w:sz="4" w:space="0" w:color="auto"/>
              <w:right w:val="single" w:sz="4" w:space="0" w:color="auto"/>
            </w:tcBorders>
            <w:shd w:val="clear" w:color="auto" w:fill="auto"/>
            <w:vAlign w:val="center"/>
            <w:hideMark/>
          </w:tcPr>
          <w:p w14:paraId="0088F801" w14:textId="77777777" w:rsidR="00871A3A" w:rsidRPr="007E3D1A" w:rsidRDefault="00871A3A" w:rsidP="00BB0401">
            <w:pPr>
              <w:rPr>
                <w:rFonts w:cs="Arial"/>
                <w:sz w:val="22"/>
              </w:rPr>
            </w:pPr>
            <w:r w:rsidRPr="007E3D1A">
              <w:rPr>
                <w:rFonts w:cs="Arial"/>
                <w:sz w:val="22"/>
              </w:rPr>
              <w:t>Ministre Provincial du Plan, Développement Rural, Agriculture, Infrastructures, Travaux Publics, Aménagement et Modernisation de la Province, Affaires Foncières, Habitat, Partenariats et Coordination des Projets / Kasaï Central</w:t>
            </w:r>
          </w:p>
        </w:tc>
        <w:tc>
          <w:tcPr>
            <w:tcW w:w="3127" w:type="dxa"/>
            <w:tcBorders>
              <w:top w:val="nil"/>
              <w:left w:val="nil"/>
              <w:bottom w:val="single" w:sz="4" w:space="0" w:color="auto"/>
              <w:right w:val="single" w:sz="4" w:space="0" w:color="auto"/>
            </w:tcBorders>
            <w:shd w:val="clear" w:color="auto" w:fill="auto"/>
            <w:vAlign w:val="center"/>
            <w:hideMark/>
          </w:tcPr>
          <w:p w14:paraId="219EE40E" w14:textId="77777777" w:rsidR="00871A3A" w:rsidRPr="007E3D1A" w:rsidRDefault="00871A3A" w:rsidP="00BB0401">
            <w:pPr>
              <w:rPr>
                <w:rFonts w:cs="Arial"/>
                <w:sz w:val="22"/>
              </w:rPr>
            </w:pPr>
            <w:r w:rsidRPr="007E3D1A">
              <w:rPr>
                <w:rFonts w:cs="Arial"/>
                <w:sz w:val="22"/>
              </w:rPr>
              <w:t xml:space="preserve">0815262789 / 0998 231254        Courriel : </w:t>
            </w:r>
            <w:hyperlink r:id="rId106" w:history="1">
              <w:r w:rsidRPr="007E3D1A">
                <w:rPr>
                  <w:rFonts w:cs="Arial"/>
                  <w:sz w:val="22"/>
                </w:rPr>
                <w:t>corneillekm@yahoo.fr</w:t>
              </w:r>
            </w:hyperlink>
          </w:p>
          <w:p w14:paraId="679FAE93" w14:textId="77777777" w:rsidR="00871A3A" w:rsidRPr="007E3D1A" w:rsidRDefault="00871A3A" w:rsidP="00BB0401">
            <w:pPr>
              <w:rPr>
                <w:rFonts w:cs="Arial"/>
                <w:sz w:val="22"/>
              </w:rPr>
            </w:pPr>
          </w:p>
        </w:tc>
      </w:tr>
      <w:tr w:rsidR="00871A3A" w:rsidRPr="007E3D1A" w14:paraId="7C789D03" w14:textId="77777777" w:rsidTr="00BB0401">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364C83AD" w14:textId="77777777" w:rsidR="00871A3A" w:rsidRPr="007E3D1A" w:rsidRDefault="00871A3A" w:rsidP="00BB0401">
            <w:pPr>
              <w:rPr>
                <w:rFonts w:cs="Arial"/>
                <w:sz w:val="22"/>
              </w:rPr>
            </w:pPr>
            <w:r w:rsidRPr="007E3D1A">
              <w:rPr>
                <w:rFonts w:cs="Arial"/>
                <w:sz w:val="22"/>
              </w:rPr>
              <w:t>2</w:t>
            </w:r>
          </w:p>
        </w:tc>
        <w:tc>
          <w:tcPr>
            <w:tcW w:w="3011" w:type="dxa"/>
            <w:tcBorders>
              <w:top w:val="nil"/>
              <w:left w:val="nil"/>
              <w:bottom w:val="single" w:sz="4" w:space="0" w:color="auto"/>
              <w:right w:val="single" w:sz="4" w:space="0" w:color="auto"/>
            </w:tcBorders>
            <w:shd w:val="clear" w:color="auto" w:fill="auto"/>
            <w:vAlign w:val="center"/>
            <w:hideMark/>
          </w:tcPr>
          <w:p w14:paraId="3064627C" w14:textId="77777777" w:rsidR="00871A3A" w:rsidRPr="007E3D1A" w:rsidRDefault="00871A3A" w:rsidP="00BB0401">
            <w:pPr>
              <w:rPr>
                <w:rFonts w:cs="Arial"/>
                <w:sz w:val="22"/>
              </w:rPr>
            </w:pPr>
            <w:r w:rsidRPr="007E3D1A">
              <w:rPr>
                <w:rFonts w:cs="Arial"/>
                <w:sz w:val="22"/>
              </w:rPr>
              <w:t>Benedict KIANGANTA</w:t>
            </w:r>
          </w:p>
        </w:tc>
        <w:tc>
          <w:tcPr>
            <w:tcW w:w="3723" w:type="dxa"/>
            <w:tcBorders>
              <w:top w:val="nil"/>
              <w:left w:val="nil"/>
              <w:bottom w:val="single" w:sz="4" w:space="0" w:color="auto"/>
              <w:right w:val="single" w:sz="4" w:space="0" w:color="auto"/>
            </w:tcBorders>
            <w:shd w:val="clear" w:color="auto" w:fill="auto"/>
            <w:vAlign w:val="center"/>
            <w:hideMark/>
          </w:tcPr>
          <w:p w14:paraId="1622F256" w14:textId="77777777" w:rsidR="00871A3A" w:rsidRPr="007E3D1A" w:rsidRDefault="00871A3A" w:rsidP="00BB0401">
            <w:pPr>
              <w:rPr>
                <w:rFonts w:cs="Arial"/>
                <w:sz w:val="22"/>
              </w:rPr>
            </w:pPr>
            <w:r w:rsidRPr="007E3D1A">
              <w:rPr>
                <w:rFonts w:cs="Arial"/>
                <w:sz w:val="22"/>
              </w:rPr>
              <w:t>Ministre Provincial de l'Agriculture, Pêche et Élevage / Kwilu</w:t>
            </w:r>
          </w:p>
        </w:tc>
        <w:tc>
          <w:tcPr>
            <w:tcW w:w="3127" w:type="dxa"/>
            <w:tcBorders>
              <w:top w:val="nil"/>
              <w:left w:val="nil"/>
              <w:bottom w:val="single" w:sz="4" w:space="0" w:color="auto"/>
              <w:right w:val="single" w:sz="4" w:space="0" w:color="auto"/>
            </w:tcBorders>
            <w:shd w:val="clear" w:color="auto" w:fill="auto"/>
            <w:vAlign w:val="center"/>
            <w:hideMark/>
          </w:tcPr>
          <w:p w14:paraId="55B78510" w14:textId="77777777" w:rsidR="00871A3A" w:rsidRPr="007E3D1A" w:rsidRDefault="00871A3A" w:rsidP="00BB0401">
            <w:pPr>
              <w:rPr>
                <w:rFonts w:cs="Arial"/>
                <w:sz w:val="22"/>
              </w:rPr>
            </w:pPr>
            <w:r w:rsidRPr="007E3D1A">
              <w:rPr>
                <w:rFonts w:cs="Arial"/>
                <w:sz w:val="22"/>
              </w:rPr>
              <w:t> </w:t>
            </w:r>
          </w:p>
        </w:tc>
      </w:tr>
      <w:tr w:rsidR="00871A3A" w:rsidRPr="007E3D1A" w14:paraId="08EBF361" w14:textId="77777777" w:rsidTr="00BB0401">
        <w:trPr>
          <w:trHeight w:val="994"/>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3A2C7300" w14:textId="77777777" w:rsidR="00871A3A" w:rsidRPr="007E3D1A" w:rsidRDefault="00871A3A" w:rsidP="00BB0401">
            <w:pPr>
              <w:rPr>
                <w:rFonts w:cs="Arial"/>
                <w:sz w:val="22"/>
              </w:rPr>
            </w:pPr>
            <w:r w:rsidRPr="007E3D1A">
              <w:rPr>
                <w:rFonts w:cs="Arial"/>
                <w:sz w:val="22"/>
              </w:rPr>
              <w:t>3</w:t>
            </w:r>
          </w:p>
        </w:tc>
        <w:tc>
          <w:tcPr>
            <w:tcW w:w="3011" w:type="dxa"/>
            <w:tcBorders>
              <w:top w:val="nil"/>
              <w:left w:val="nil"/>
              <w:bottom w:val="single" w:sz="4" w:space="0" w:color="auto"/>
              <w:right w:val="single" w:sz="4" w:space="0" w:color="auto"/>
            </w:tcBorders>
            <w:shd w:val="clear" w:color="auto" w:fill="auto"/>
            <w:vAlign w:val="center"/>
            <w:hideMark/>
          </w:tcPr>
          <w:p w14:paraId="5644AB07" w14:textId="77777777" w:rsidR="00871A3A" w:rsidRPr="007E3D1A" w:rsidRDefault="00871A3A" w:rsidP="00BB0401">
            <w:pPr>
              <w:rPr>
                <w:rFonts w:cs="Arial"/>
                <w:sz w:val="22"/>
              </w:rPr>
            </w:pPr>
            <w:r w:rsidRPr="007E3D1A">
              <w:rPr>
                <w:rFonts w:cs="Arial"/>
                <w:sz w:val="22"/>
              </w:rPr>
              <w:t>Thomas YOBILA</w:t>
            </w:r>
          </w:p>
        </w:tc>
        <w:tc>
          <w:tcPr>
            <w:tcW w:w="3723" w:type="dxa"/>
            <w:tcBorders>
              <w:top w:val="nil"/>
              <w:left w:val="nil"/>
              <w:bottom w:val="single" w:sz="4" w:space="0" w:color="auto"/>
              <w:right w:val="single" w:sz="4" w:space="0" w:color="auto"/>
            </w:tcBorders>
            <w:shd w:val="clear" w:color="auto" w:fill="auto"/>
            <w:vAlign w:val="center"/>
            <w:hideMark/>
          </w:tcPr>
          <w:p w14:paraId="23621831" w14:textId="77777777" w:rsidR="00871A3A" w:rsidRPr="007E3D1A" w:rsidRDefault="00871A3A" w:rsidP="00BB0401">
            <w:pPr>
              <w:rPr>
                <w:rFonts w:cs="Arial"/>
                <w:sz w:val="22"/>
              </w:rPr>
            </w:pPr>
            <w:r w:rsidRPr="007E3D1A">
              <w:rPr>
                <w:rFonts w:cs="Arial"/>
                <w:sz w:val="22"/>
              </w:rPr>
              <w:t>Conseiller en Développemnt et Coopération Institutionnelle / Gouvernorat de la Province du Kongo Central</w:t>
            </w:r>
          </w:p>
        </w:tc>
        <w:tc>
          <w:tcPr>
            <w:tcW w:w="3127" w:type="dxa"/>
            <w:tcBorders>
              <w:top w:val="nil"/>
              <w:left w:val="nil"/>
              <w:bottom w:val="single" w:sz="4" w:space="0" w:color="auto"/>
              <w:right w:val="single" w:sz="4" w:space="0" w:color="auto"/>
            </w:tcBorders>
            <w:shd w:val="clear" w:color="auto" w:fill="auto"/>
            <w:vAlign w:val="center"/>
            <w:hideMark/>
          </w:tcPr>
          <w:p w14:paraId="0546D1D1" w14:textId="77777777" w:rsidR="00871A3A" w:rsidRPr="007E3D1A" w:rsidRDefault="00871A3A" w:rsidP="00BB0401">
            <w:pPr>
              <w:rPr>
                <w:rFonts w:cs="Arial"/>
                <w:sz w:val="22"/>
              </w:rPr>
            </w:pPr>
            <w:r w:rsidRPr="007E3D1A">
              <w:rPr>
                <w:rFonts w:cs="Arial"/>
                <w:sz w:val="22"/>
              </w:rPr>
              <w:t>0897180287</w:t>
            </w:r>
          </w:p>
        </w:tc>
      </w:tr>
      <w:tr w:rsidR="00871A3A" w:rsidRPr="007E3D1A" w14:paraId="7C0273A4" w14:textId="77777777" w:rsidTr="00BB0401">
        <w:trPr>
          <w:trHeight w:val="80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EE48968" w14:textId="77777777" w:rsidR="00871A3A" w:rsidRPr="007E3D1A" w:rsidRDefault="00871A3A" w:rsidP="00BB0401">
            <w:pPr>
              <w:rPr>
                <w:rFonts w:cs="Arial"/>
                <w:sz w:val="22"/>
              </w:rPr>
            </w:pPr>
            <w:r w:rsidRPr="007E3D1A">
              <w:rPr>
                <w:rFonts w:cs="Arial"/>
                <w:sz w:val="22"/>
              </w:rPr>
              <w:t>4</w:t>
            </w:r>
          </w:p>
        </w:tc>
        <w:tc>
          <w:tcPr>
            <w:tcW w:w="3011" w:type="dxa"/>
            <w:tcBorders>
              <w:top w:val="nil"/>
              <w:left w:val="nil"/>
              <w:bottom w:val="single" w:sz="4" w:space="0" w:color="auto"/>
              <w:right w:val="single" w:sz="4" w:space="0" w:color="auto"/>
            </w:tcBorders>
            <w:shd w:val="clear" w:color="auto" w:fill="auto"/>
            <w:vAlign w:val="center"/>
            <w:hideMark/>
          </w:tcPr>
          <w:p w14:paraId="00784B54" w14:textId="77777777" w:rsidR="00871A3A" w:rsidRPr="007E3D1A" w:rsidRDefault="00871A3A" w:rsidP="00BB0401">
            <w:pPr>
              <w:rPr>
                <w:rFonts w:cs="Arial"/>
                <w:sz w:val="22"/>
              </w:rPr>
            </w:pPr>
            <w:r w:rsidRPr="007E3D1A">
              <w:rPr>
                <w:rFonts w:cs="Arial"/>
                <w:sz w:val="22"/>
              </w:rPr>
              <w:t xml:space="preserve">Gérard BIYUDI KINDA </w:t>
            </w:r>
          </w:p>
        </w:tc>
        <w:tc>
          <w:tcPr>
            <w:tcW w:w="3723" w:type="dxa"/>
            <w:tcBorders>
              <w:top w:val="nil"/>
              <w:left w:val="nil"/>
              <w:bottom w:val="single" w:sz="4" w:space="0" w:color="auto"/>
              <w:right w:val="single" w:sz="4" w:space="0" w:color="auto"/>
            </w:tcBorders>
            <w:shd w:val="clear" w:color="auto" w:fill="auto"/>
            <w:vAlign w:val="center"/>
            <w:hideMark/>
          </w:tcPr>
          <w:p w14:paraId="21EE8240" w14:textId="77777777" w:rsidR="00871A3A" w:rsidRPr="007E3D1A" w:rsidRDefault="00871A3A" w:rsidP="00BB0401">
            <w:pPr>
              <w:rPr>
                <w:rFonts w:cs="Arial"/>
                <w:sz w:val="22"/>
              </w:rPr>
            </w:pPr>
            <w:r w:rsidRPr="007E3D1A">
              <w:rPr>
                <w:rFonts w:cs="Arial"/>
                <w:sz w:val="22"/>
              </w:rPr>
              <w:t>Directeur de Cabinet du Ministre Provincial de l'Agriculture Pêche et Élevage / Kongo Central</w:t>
            </w:r>
          </w:p>
        </w:tc>
        <w:tc>
          <w:tcPr>
            <w:tcW w:w="3127" w:type="dxa"/>
            <w:tcBorders>
              <w:top w:val="nil"/>
              <w:left w:val="nil"/>
              <w:bottom w:val="single" w:sz="4" w:space="0" w:color="auto"/>
              <w:right w:val="single" w:sz="4" w:space="0" w:color="auto"/>
            </w:tcBorders>
            <w:shd w:val="clear" w:color="auto" w:fill="auto"/>
            <w:vAlign w:val="center"/>
            <w:hideMark/>
          </w:tcPr>
          <w:p w14:paraId="56079596" w14:textId="77777777" w:rsidR="00871A3A" w:rsidRPr="007E3D1A" w:rsidRDefault="00871A3A" w:rsidP="00BB0401">
            <w:pPr>
              <w:rPr>
                <w:rFonts w:cs="Arial"/>
                <w:sz w:val="22"/>
              </w:rPr>
            </w:pPr>
            <w:r w:rsidRPr="007E3D1A">
              <w:rPr>
                <w:rFonts w:cs="Arial"/>
                <w:sz w:val="22"/>
              </w:rPr>
              <w:t>0897676223</w:t>
            </w:r>
          </w:p>
        </w:tc>
      </w:tr>
      <w:tr w:rsidR="00871A3A" w:rsidRPr="007E3D1A" w14:paraId="7B7F2B63" w14:textId="77777777" w:rsidTr="00BB0401">
        <w:trPr>
          <w:trHeight w:val="80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051B6281" w14:textId="77777777" w:rsidR="00871A3A" w:rsidRPr="007E3D1A" w:rsidRDefault="00871A3A" w:rsidP="00BB0401">
            <w:pPr>
              <w:rPr>
                <w:rFonts w:cs="Arial"/>
                <w:sz w:val="22"/>
              </w:rPr>
            </w:pPr>
            <w:r w:rsidRPr="007E3D1A">
              <w:rPr>
                <w:rFonts w:cs="Arial"/>
                <w:sz w:val="22"/>
              </w:rPr>
              <w:t>5</w:t>
            </w:r>
          </w:p>
        </w:tc>
        <w:tc>
          <w:tcPr>
            <w:tcW w:w="3011" w:type="dxa"/>
            <w:tcBorders>
              <w:top w:val="nil"/>
              <w:left w:val="nil"/>
              <w:bottom w:val="single" w:sz="4" w:space="0" w:color="auto"/>
              <w:right w:val="single" w:sz="4" w:space="0" w:color="auto"/>
            </w:tcBorders>
            <w:shd w:val="clear" w:color="auto" w:fill="auto"/>
            <w:vAlign w:val="center"/>
            <w:hideMark/>
          </w:tcPr>
          <w:p w14:paraId="069E8F29" w14:textId="77777777" w:rsidR="00871A3A" w:rsidRPr="007E3D1A" w:rsidRDefault="00871A3A" w:rsidP="00BB0401">
            <w:pPr>
              <w:rPr>
                <w:rFonts w:cs="Arial"/>
                <w:sz w:val="22"/>
              </w:rPr>
            </w:pPr>
            <w:r w:rsidRPr="007E3D1A">
              <w:rPr>
                <w:rFonts w:cs="Arial"/>
                <w:sz w:val="22"/>
              </w:rPr>
              <w:t>KINDANI KASIMBA</w:t>
            </w:r>
          </w:p>
        </w:tc>
        <w:tc>
          <w:tcPr>
            <w:tcW w:w="3723" w:type="dxa"/>
            <w:tcBorders>
              <w:top w:val="nil"/>
              <w:left w:val="nil"/>
              <w:bottom w:val="single" w:sz="4" w:space="0" w:color="auto"/>
              <w:right w:val="single" w:sz="4" w:space="0" w:color="auto"/>
            </w:tcBorders>
            <w:shd w:val="clear" w:color="auto" w:fill="auto"/>
            <w:vAlign w:val="center"/>
            <w:hideMark/>
          </w:tcPr>
          <w:p w14:paraId="0BE6D663" w14:textId="77777777" w:rsidR="00871A3A" w:rsidRPr="007E3D1A" w:rsidRDefault="00871A3A" w:rsidP="00BB0401">
            <w:pPr>
              <w:rPr>
                <w:rFonts w:cs="Arial"/>
                <w:sz w:val="22"/>
              </w:rPr>
            </w:pPr>
            <w:r w:rsidRPr="007E3D1A">
              <w:rPr>
                <w:rFonts w:cs="Arial"/>
                <w:sz w:val="22"/>
              </w:rPr>
              <w:t>Directeur de Cabinet du Ministre Provincial de l'Agriculture Pêche et Élevage / Kwilu</w:t>
            </w:r>
          </w:p>
        </w:tc>
        <w:tc>
          <w:tcPr>
            <w:tcW w:w="3127" w:type="dxa"/>
            <w:tcBorders>
              <w:top w:val="nil"/>
              <w:left w:val="nil"/>
              <w:bottom w:val="single" w:sz="4" w:space="0" w:color="auto"/>
              <w:right w:val="single" w:sz="4" w:space="0" w:color="auto"/>
            </w:tcBorders>
            <w:shd w:val="clear" w:color="auto" w:fill="auto"/>
            <w:vAlign w:val="center"/>
            <w:hideMark/>
          </w:tcPr>
          <w:p w14:paraId="31BB5A2D" w14:textId="77777777" w:rsidR="00871A3A" w:rsidRPr="007E3D1A" w:rsidRDefault="00871A3A" w:rsidP="00BB0401">
            <w:pPr>
              <w:rPr>
                <w:rFonts w:cs="Arial"/>
                <w:sz w:val="22"/>
              </w:rPr>
            </w:pPr>
            <w:r w:rsidRPr="007E3D1A">
              <w:rPr>
                <w:rFonts w:cs="Arial"/>
                <w:sz w:val="22"/>
              </w:rPr>
              <w:t>0811788918</w:t>
            </w:r>
          </w:p>
        </w:tc>
      </w:tr>
      <w:tr w:rsidR="00871A3A" w:rsidRPr="007E3D1A" w14:paraId="106DC91A" w14:textId="77777777" w:rsidTr="00BB0401">
        <w:trPr>
          <w:trHeight w:val="32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8B07A43" w14:textId="77777777" w:rsidR="00871A3A" w:rsidRPr="007E3D1A" w:rsidRDefault="00871A3A" w:rsidP="00BB0401">
            <w:pPr>
              <w:rPr>
                <w:rFonts w:cs="Arial"/>
                <w:sz w:val="22"/>
              </w:rPr>
            </w:pPr>
            <w:r w:rsidRPr="007E3D1A">
              <w:rPr>
                <w:rFonts w:cs="Arial"/>
                <w:sz w:val="22"/>
              </w:rPr>
              <w:t>6</w:t>
            </w:r>
          </w:p>
        </w:tc>
        <w:tc>
          <w:tcPr>
            <w:tcW w:w="3011" w:type="dxa"/>
            <w:tcBorders>
              <w:top w:val="nil"/>
              <w:left w:val="nil"/>
              <w:bottom w:val="single" w:sz="4" w:space="0" w:color="auto"/>
              <w:right w:val="single" w:sz="4" w:space="0" w:color="auto"/>
            </w:tcBorders>
            <w:shd w:val="clear" w:color="auto" w:fill="auto"/>
            <w:vAlign w:val="center"/>
            <w:hideMark/>
          </w:tcPr>
          <w:p w14:paraId="054F3B94" w14:textId="77777777" w:rsidR="00871A3A" w:rsidRPr="007E3D1A" w:rsidRDefault="00871A3A" w:rsidP="00BB0401">
            <w:pPr>
              <w:rPr>
                <w:rFonts w:cs="Arial"/>
                <w:sz w:val="22"/>
              </w:rPr>
            </w:pPr>
            <w:r w:rsidRPr="007E3D1A">
              <w:rPr>
                <w:rFonts w:cs="Arial"/>
                <w:sz w:val="22"/>
              </w:rPr>
              <w:t>DITONA PANZU</w:t>
            </w:r>
          </w:p>
        </w:tc>
        <w:tc>
          <w:tcPr>
            <w:tcW w:w="3723" w:type="dxa"/>
            <w:tcBorders>
              <w:top w:val="nil"/>
              <w:left w:val="nil"/>
              <w:bottom w:val="single" w:sz="4" w:space="0" w:color="auto"/>
              <w:right w:val="single" w:sz="4" w:space="0" w:color="auto"/>
            </w:tcBorders>
            <w:shd w:val="clear" w:color="auto" w:fill="auto"/>
            <w:vAlign w:val="center"/>
            <w:hideMark/>
          </w:tcPr>
          <w:p w14:paraId="4BAD4B12" w14:textId="77777777" w:rsidR="00871A3A" w:rsidRPr="007E3D1A" w:rsidRDefault="00871A3A" w:rsidP="00BB0401">
            <w:pPr>
              <w:rPr>
                <w:rFonts w:cs="Arial"/>
                <w:sz w:val="22"/>
              </w:rPr>
            </w:pPr>
            <w:r w:rsidRPr="007E3D1A">
              <w:rPr>
                <w:rFonts w:cs="Arial"/>
                <w:sz w:val="22"/>
              </w:rPr>
              <w:t>Conseiller AGRIPO/Kongo Central</w:t>
            </w:r>
          </w:p>
        </w:tc>
        <w:tc>
          <w:tcPr>
            <w:tcW w:w="3127" w:type="dxa"/>
            <w:tcBorders>
              <w:top w:val="nil"/>
              <w:left w:val="nil"/>
              <w:bottom w:val="single" w:sz="4" w:space="0" w:color="auto"/>
              <w:right w:val="single" w:sz="4" w:space="0" w:color="auto"/>
            </w:tcBorders>
            <w:shd w:val="clear" w:color="auto" w:fill="auto"/>
            <w:vAlign w:val="center"/>
            <w:hideMark/>
          </w:tcPr>
          <w:p w14:paraId="5225D51E" w14:textId="77777777" w:rsidR="00871A3A" w:rsidRPr="007E3D1A" w:rsidRDefault="00871A3A" w:rsidP="00BB0401">
            <w:pPr>
              <w:rPr>
                <w:rFonts w:cs="Arial"/>
                <w:sz w:val="22"/>
              </w:rPr>
            </w:pPr>
            <w:r w:rsidRPr="007E3D1A">
              <w:rPr>
                <w:rFonts w:cs="Arial"/>
                <w:sz w:val="22"/>
              </w:rPr>
              <w:t>0897352135</w:t>
            </w:r>
          </w:p>
        </w:tc>
      </w:tr>
      <w:tr w:rsidR="00871A3A" w:rsidRPr="007E3D1A" w14:paraId="5CB148CC" w14:textId="77777777" w:rsidTr="00BB0401">
        <w:trPr>
          <w:trHeight w:val="427"/>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EC89ED2" w14:textId="77777777" w:rsidR="00871A3A" w:rsidRPr="007E3D1A" w:rsidRDefault="00871A3A" w:rsidP="00BB0401">
            <w:pPr>
              <w:rPr>
                <w:rFonts w:cs="Arial"/>
                <w:sz w:val="22"/>
              </w:rPr>
            </w:pPr>
            <w:r w:rsidRPr="007E3D1A">
              <w:rPr>
                <w:rFonts w:cs="Arial"/>
                <w:sz w:val="22"/>
              </w:rPr>
              <w:t>7</w:t>
            </w:r>
          </w:p>
        </w:tc>
        <w:tc>
          <w:tcPr>
            <w:tcW w:w="3011" w:type="dxa"/>
            <w:tcBorders>
              <w:top w:val="nil"/>
              <w:left w:val="nil"/>
              <w:bottom w:val="single" w:sz="4" w:space="0" w:color="auto"/>
              <w:right w:val="single" w:sz="4" w:space="0" w:color="auto"/>
            </w:tcBorders>
            <w:shd w:val="clear" w:color="auto" w:fill="auto"/>
            <w:vAlign w:val="center"/>
            <w:hideMark/>
          </w:tcPr>
          <w:p w14:paraId="5181B6DB" w14:textId="77777777" w:rsidR="00871A3A" w:rsidRPr="007E3D1A" w:rsidRDefault="00871A3A" w:rsidP="00BB0401">
            <w:pPr>
              <w:rPr>
                <w:rFonts w:cs="Arial"/>
                <w:sz w:val="22"/>
              </w:rPr>
            </w:pPr>
            <w:r w:rsidRPr="007E3D1A">
              <w:rPr>
                <w:rFonts w:cs="Arial"/>
                <w:sz w:val="22"/>
              </w:rPr>
              <w:t>Félix MBUMBA</w:t>
            </w:r>
          </w:p>
        </w:tc>
        <w:tc>
          <w:tcPr>
            <w:tcW w:w="3723" w:type="dxa"/>
            <w:tcBorders>
              <w:top w:val="nil"/>
              <w:left w:val="nil"/>
              <w:bottom w:val="single" w:sz="4" w:space="0" w:color="auto"/>
              <w:right w:val="single" w:sz="4" w:space="0" w:color="auto"/>
            </w:tcBorders>
            <w:shd w:val="clear" w:color="auto" w:fill="auto"/>
            <w:vAlign w:val="center"/>
            <w:hideMark/>
          </w:tcPr>
          <w:p w14:paraId="7850BDDB" w14:textId="77777777" w:rsidR="00871A3A" w:rsidRPr="007E3D1A" w:rsidRDefault="00871A3A" w:rsidP="00BB0401">
            <w:pPr>
              <w:rPr>
                <w:rFonts w:cs="Arial"/>
                <w:sz w:val="22"/>
              </w:rPr>
            </w:pPr>
            <w:r w:rsidRPr="007E3D1A">
              <w:rPr>
                <w:rFonts w:cs="Arial"/>
                <w:sz w:val="22"/>
              </w:rPr>
              <w:t>Directeur Suivi et Inspection / Direction Générale ACE</w:t>
            </w:r>
          </w:p>
        </w:tc>
        <w:tc>
          <w:tcPr>
            <w:tcW w:w="3127" w:type="dxa"/>
            <w:tcBorders>
              <w:top w:val="nil"/>
              <w:left w:val="nil"/>
              <w:bottom w:val="single" w:sz="4" w:space="0" w:color="auto"/>
              <w:right w:val="single" w:sz="4" w:space="0" w:color="auto"/>
            </w:tcBorders>
            <w:shd w:val="clear" w:color="auto" w:fill="auto"/>
            <w:vAlign w:val="center"/>
            <w:hideMark/>
          </w:tcPr>
          <w:p w14:paraId="4C9073A4" w14:textId="77777777" w:rsidR="00871A3A" w:rsidRPr="007E3D1A" w:rsidRDefault="00871A3A" w:rsidP="00BB0401">
            <w:pPr>
              <w:rPr>
                <w:rFonts w:cs="Arial"/>
                <w:sz w:val="22"/>
              </w:rPr>
            </w:pPr>
            <w:r w:rsidRPr="007E3D1A">
              <w:rPr>
                <w:rFonts w:cs="Arial"/>
                <w:sz w:val="22"/>
              </w:rPr>
              <w:t>0810077147</w:t>
            </w:r>
          </w:p>
        </w:tc>
      </w:tr>
      <w:tr w:rsidR="00871A3A" w:rsidRPr="007E3D1A" w14:paraId="0849269E" w14:textId="77777777" w:rsidTr="00BB0401">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18429B5E" w14:textId="77777777" w:rsidR="00871A3A" w:rsidRPr="007E3D1A" w:rsidRDefault="00871A3A" w:rsidP="00BB0401">
            <w:pPr>
              <w:rPr>
                <w:rFonts w:cs="Arial"/>
                <w:sz w:val="22"/>
              </w:rPr>
            </w:pPr>
            <w:r w:rsidRPr="007E3D1A">
              <w:rPr>
                <w:rFonts w:cs="Arial"/>
                <w:sz w:val="22"/>
              </w:rPr>
              <w:t>8</w:t>
            </w:r>
          </w:p>
        </w:tc>
        <w:tc>
          <w:tcPr>
            <w:tcW w:w="3011" w:type="dxa"/>
            <w:tcBorders>
              <w:top w:val="nil"/>
              <w:left w:val="nil"/>
              <w:bottom w:val="single" w:sz="4" w:space="0" w:color="auto"/>
              <w:right w:val="single" w:sz="4" w:space="0" w:color="auto"/>
            </w:tcBorders>
            <w:shd w:val="clear" w:color="auto" w:fill="auto"/>
            <w:vAlign w:val="center"/>
            <w:hideMark/>
          </w:tcPr>
          <w:p w14:paraId="4E4F3625" w14:textId="77777777" w:rsidR="00871A3A" w:rsidRPr="007E3D1A" w:rsidRDefault="00871A3A" w:rsidP="00BB0401">
            <w:pPr>
              <w:rPr>
                <w:rFonts w:cs="Arial"/>
                <w:sz w:val="22"/>
              </w:rPr>
            </w:pPr>
            <w:r w:rsidRPr="007E3D1A">
              <w:rPr>
                <w:rFonts w:cs="Arial"/>
                <w:sz w:val="22"/>
              </w:rPr>
              <w:t>BIOKO DIMONEKENE</w:t>
            </w:r>
          </w:p>
        </w:tc>
        <w:tc>
          <w:tcPr>
            <w:tcW w:w="3723" w:type="dxa"/>
            <w:tcBorders>
              <w:top w:val="nil"/>
              <w:left w:val="nil"/>
              <w:bottom w:val="single" w:sz="4" w:space="0" w:color="auto"/>
              <w:right w:val="single" w:sz="4" w:space="0" w:color="auto"/>
            </w:tcBorders>
            <w:shd w:val="clear" w:color="auto" w:fill="auto"/>
            <w:vAlign w:val="center"/>
            <w:hideMark/>
          </w:tcPr>
          <w:p w14:paraId="4FDD10D8" w14:textId="77777777" w:rsidR="00871A3A" w:rsidRPr="007E3D1A" w:rsidRDefault="00871A3A" w:rsidP="00BB0401">
            <w:pPr>
              <w:rPr>
                <w:rFonts w:cs="Arial"/>
                <w:sz w:val="22"/>
              </w:rPr>
            </w:pPr>
            <w:r w:rsidRPr="007E3D1A">
              <w:rPr>
                <w:rFonts w:cs="Arial"/>
                <w:sz w:val="22"/>
              </w:rPr>
              <w:t>Directeur Provincial de l'ACE / Kongo Central</w:t>
            </w:r>
          </w:p>
        </w:tc>
        <w:tc>
          <w:tcPr>
            <w:tcW w:w="3127" w:type="dxa"/>
            <w:tcBorders>
              <w:top w:val="nil"/>
              <w:left w:val="nil"/>
              <w:bottom w:val="single" w:sz="4" w:space="0" w:color="auto"/>
              <w:right w:val="single" w:sz="4" w:space="0" w:color="auto"/>
            </w:tcBorders>
            <w:shd w:val="clear" w:color="auto" w:fill="auto"/>
            <w:vAlign w:val="center"/>
            <w:hideMark/>
          </w:tcPr>
          <w:p w14:paraId="6EDBFB6B" w14:textId="77777777" w:rsidR="00871A3A" w:rsidRPr="007E3D1A" w:rsidRDefault="00871A3A" w:rsidP="00BB0401">
            <w:pPr>
              <w:rPr>
                <w:rFonts w:cs="Arial"/>
                <w:sz w:val="22"/>
              </w:rPr>
            </w:pPr>
            <w:r w:rsidRPr="007E3D1A">
              <w:rPr>
                <w:rFonts w:cs="Arial"/>
                <w:sz w:val="22"/>
              </w:rPr>
              <w:t>0897686444</w:t>
            </w:r>
          </w:p>
        </w:tc>
      </w:tr>
      <w:tr w:rsidR="00871A3A" w:rsidRPr="007E3D1A" w14:paraId="42F86FEA" w14:textId="77777777" w:rsidTr="00BB0401">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795B40DB" w14:textId="77777777" w:rsidR="00871A3A" w:rsidRPr="007E3D1A" w:rsidRDefault="00871A3A" w:rsidP="00BB0401">
            <w:pPr>
              <w:rPr>
                <w:rFonts w:cs="Arial"/>
                <w:sz w:val="22"/>
              </w:rPr>
            </w:pPr>
            <w:r w:rsidRPr="007E3D1A">
              <w:rPr>
                <w:rFonts w:cs="Arial"/>
                <w:sz w:val="22"/>
              </w:rPr>
              <w:t>9</w:t>
            </w:r>
          </w:p>
        </w:tc>
        <w:tc>
          <w:tcPr>
            <w:tcW w:w="3011" w:type="dxa"/>
            <w:tcBorders>
              <w:top w:val="nil"/>
              <w:left w:val="nil"/>
              <w:bottom w:val="single" w:sz="4" w:space="0" w:color="auto"/>
              <w:right w:val="single" w:sz="4" w:space="0" w:color="auto"/>
            </w:tcBorders>
            <w:shd w:val="clear" w:color="auto" w:fill="auto"/>
            <w:vAlign w:val="center"/>
            <w:hideMark/>
          </w:tcPr>
          <w:p w14:paraId="3CD3FA02" w14:textId="77777777" w:rsidR="00871A3A" w:rsidRPr="007E3D1A" w:rsidRDefault="00871A3A" w:rsidP="00BB0401">
            <w:pPr>
              <w:rPr>
                <w:rFonts w:cs="Arial"/>
                <w:sz w:val="22"/>
              </w:rPr>
            </w:pPr>
            <w:r w:rsidRPr="007E3D1A">
              <w:rPr>
                <w:rFonts w:cs="Arial"/>
                <w:sz w:val="22"/>
              </w:rPr>
              <w:t>LUFANGA SHINDANO</w:t>
            </w:r>
          </w:p>
        </w:tc>
        <w:tc>
          <w:tcPr>
            <w:tcW w:w="3723" w:type="dxa"/>
            <w:tcBorders>
              <w:top w:val="nil"/>
              <w:left w:val="nil"/>
              <w:bottom w:val="single" w:sz="4" w:space="0" w:color="auto"/>
              <w:right w:val="single" w:sz="4" w:space="0" w:color="auto"/>
            </w:tcBorders>
            <w:shd w:val="clear" w:color="auto" w:fill="auto"/>
            <w:vAlign w:val="center"/>
            <w:hideMark/>
          </w:tcPr>
          <w:p w14:paraId="2B2B00A9" w14:textId="77777777" w:rsidR="00871A3A" w:rsidRPr="007E3D1A" w:rsidRDefault="00871A3A" w:rsidP="00BB0401">
            <w:pPr>
              <w:rPr>
                <w:rFonts w:cs="Arial"/>
                <w:sz w:val="22"/>
              </w:rPr>
            </w:pPr>
            <w:r w:rsidRPr="007E3D1A">
              <w:rPr>
                <w:rFonts w:cs="Arial"/>
                <w:sz w:val="22"/>
              </w:rPr>
              <w:t>Chef de Service Technique /Direction Provinciale de l'ACE / Kongo Central</w:t>
            </w:r>
          </w:p>
        </w:tc>
        <w:tc>
          <w:tcPr>
            <w:tcW w:w="3127" w:type="dxa"/>
            <w:tcBorders>
              <w:top w:val="nil"/>
              <w:left w:val="nil"/>
              <w:bottom w:val="single" w:sz="4" w:space="0" w:color="auto"/>
              <w:right w:val="single" w:sz="4" w:space="0" w:color="auto"/>
            </w:tcBorders>
            <w:shd w:val="clear" w:color="auto" w:fill="auto"/>
            <w:vAlign w:val="center"/>
            <w:hideMark/>
          </w:tcPr>
          <w:p w14:paraId="2BC51662" w14:textId="77777777" w:rsidR="00871A3A" w:rsidRPr="007E3D1A" w:rsidRDefault="00871A3A" w:rsidP="00BB0401">
            <w:pPr>
              <w:rPr>
                <w:rFonts w:cs="Arial"/>
                <w:sz w:val="22"/>
              </w:rPr>
            </w:pPr>
            <w:r w:rsidRPr="007E3D1A">
              <w:rPr>
                <w:rFonts w:cs="Arial"/>
                <w:sz w:val="22"/>
              </w:rPr>
              <w:t>0892460989</w:t>
            </w:r>
          </w:p>
        </w:tc>
      </w:tr>
      <w:tr w:rsidR="00871A3A" w:rsidRPr="007E3D1A" w14:paraId="534843FF" w14:textId="77777777" w:rsidTr="00BB0401">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4FEA3455" w14:textId="77777777" w:rsidR="00871A3A" w:rsidRPr="007E3D1A" w:rsidRDefault="00871A3A" w:rsidP="00BB0401">
            <w:pPr>
              <w:rPr>
                <w:rFonts w:cs="Arial"/>
                <w:sz w:val="22"/>
              </w:rPr>
            </w:pPr>
            <w:r w:rsidRPr="007E3D1A">
              <w:rPr>
                <w:rFonts w:cs="Arial"/>
                <w:sz w:val="22"/>
              </w:rPr>
              <w:t>10</w:t>
            </w:r>
          </w:p>
        </w:tc>
        <w:tc>
          <w:tcPr>
            <w:tcW w:w="3011" w:type="dxa"/>
            <w:tcBorders>
              <w:top w:val="nil"/>
              <w:left w:val="nil"/>
              <w:bottom w:val="single" w:sz="4" w:space="0" w:color="auto"/>
              <w:right w:val="single" w:sz="4" w:space="0" w:color="auto"/>
            </w:tcBorders>
            <w:shd w:val="clear" w:color="auto" w:fill="auto"/>
            <w:vAlign w:val="center"/>
            <w:hideMark/>
          </w:tcPr>
          <w:p w14:paraId="66E66FED" w14:textId="77777777" w:rsidR="00871A3A" w:rsidRPr="007E3D1A" w:rsidRDefault="00871A3A" w:rsidP="00BB0401">
            <w:pPr>
              <w:rPr>
                <w:rFonts w:cs="Arial"/>
                <w:sz w:val="22"/>
              </w:rPr>
            </w:pPr>
            <w:r w:rsidRPr="007E3D1A">
              <w:rPr>
                <w:rFonts w:cs="Arial"/>
                <w:sz w:val="22"/>
              </w:rPr>
              <w:t>Claude NYONGOLO</w:t>
            </w:r>
          </w:p>
        </w:tc>
        <w:tc>
          <w:tcPr>
            <w:tcW w:w="3723" w:type="dxa"/>
            <w:tcBorders>
              <w:top w:val="nil"/>
              <w:left w:val="nil"/>
              <w:bottom w:val="single" w:sz="4" w:space="0" w:color="auto"/>
              <w:right w:val="single" w:sz="4" w:space="0" w:color="auto"/>
            </w:tcBorders>
            <w:shd w:val="clear" w:color="auto" w:fill="auto"/>
            <w:vAlign w:val="center"/>
            <w:hideMark/>
          </w:tcPr>
          <w:p w14:paraId="3160C924" w14:textId="77777777" w:rsidR="00871A3A" w:rsidRPr="007E3D1A" w:rsidRDefault="00871A3A" w:rsidP="00BB0401">
            <w:pPr>
              <w:rPr>
                <w:rFonts w:cs="Arial"/>
                <w:sz w:val="22"/>
              </w:rPr>
            </w:pPr>
            <w:r w:rsidRPr="007E3D1A">
              <w:rPr>
                <w:rFonts w:cs="Arial"/>
                <w:sz w:val="22"/>
              </w:rPr>
              <w:t>Ched de Service Technique /Direction Provinciale de l'ACE / Nord-Kivu</w:t>
            </w:r>
          </w:p>
        </w:tc>
        <w:tc>
          <w:tcPr>
            <w:tcW w:w="3127" w:type="dxa"/>
            <w:tcBorders>
              <w:top w:val="nil"/>
              <w:left w:val="nil"/>
              <w:bottom w:val="single" w:sz="4" w:space="0" w:color="auto"/>
              <w:right w:val="single" w:sz="4" w:space="0" w:color="auto"/>
            </w:tcBorders>
            <w:shd w:val="clear" w:color="auto" w:fill="auto"/>
            <w:vAlign w:val="center"/>
            <w:hideMark/>
          </w:tcPr>
          <w:p w14:paraId="69112F16" w14:textId="77777777" w:rsidR="00871A3A" w:rsidRPr="007E3D1A" w:rsidRDefault="00871A3A" w:rsidP="00BB0401">
            <w:pPr>
              <w:rPr>
                <w:rFonts w:cs="Arial"/>
                <w:sz w:val="22"/>
              </w:rPr>
            </w:pPr>
            <w:r w:rsidRPr="007E3D1A">
              <w:rPr>
                <w:rFonts w:cs="Arial"/>
                <w:sz w:val="22"/>
              </w:rPr>
              <w:t>0970615913</w:t>
            </w:r>
          </w:p>
        </w:tc>
      </w:tr>
      <w:tr w:rsidR="00871A3A" w:rsidRPr="007E3D1A" w14:paraId="5A3FEF41" w14:textId="77777777" w:rsidTr="00BB0401">
        <w:trPr>
          <w:trHeight w:val="32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166561C9" w14:textId="77777777" w:rsidR="00871A3A" w:rsidRPr="007E3D1A" w:rsidRDefault="00871A3A" w:rsidP="00BB0401">
            <w:pPr>
              <w:rPr>
                <w:rFonts w:cs="Arial"/>
                <w:sz w:val="22"/>
              </w:rPr>
            </w:pPr>
            <w:r w:rsidRPr="007E3D1A">
              <w:rPr>
                <w:rFonts w:cs="Arial"/>
                <w:sz w:val="22"/>
              </w:rPr>
              <w:t>11</w:t>
            </w:r>
          </w:p>
        </w:tc>
        <w:tc>
          <w:tcPr>
            <w:tcW w:w="3011" w:type="dxa"/>
            <w:tcBorders>
              <w:top w:val="nil"/>
              <w:left w:val="nil"/>
              <w:bottom w:val="single" w:sz="4" w:space="0" w:color="auto"/>
              <w:right w:val="single" w:sz="4" w:space="0" w:color="auto"/>
            </w:tcBorders>
            <w:shd w:val="clear" w:color="auto" w:fill="auto"/>
            <w:vAlign w:val="center"/>
            <w:hideMark/>
          </w:tcPr>
          <w:p w14:paraId="4A650ED2" w14:textId="77777777" w:rsidR="00871A3A" w:rsidRPr="007E3D1A" w:rsidRDefault="00871A3A" w:rsidP="00BB0401">
            <w:pPr>
              <w:rPr>
                <w:rFonts w:cs="Arial"/>
                <w:sz w:val="22"/>
              </w:rPr>
            </w:pPr>
            <w:r w:rsidRPr="007E3D1A">
              <w:rPr>
                <w:rFonts w:cs="Arial"/>
                <w:sz w:val="22"/>
              </w:rPr>
              <w:t>Alexis NDALIHORANDA</w:t>
            </w:r>
          </w:p>
        </w:tc>
        <w:tc>
          <w:tcPr>
            <w:tcW w:w="3723" w:type="dxa"/>
            <w:tcBorders>
              <w:top w:val="nil"/>
              <w:left w:val="nil"/>
              <w:bottom w:val="single" w:sz="4" w:space="0" w:color="auto"/>
              <w:right w:val="single" w:sz="4" w:space="0" w:color="auto"/>
            </w:tcBorders>
            <w:shd w:val="clear" w:color="auto" w:fill="auto"/>
            <w:vAlign w:val="center"/>
            <w:hideMark/>
          </w:tcPr>
          <w:p w14:paraId="21F66DFA" w14:textId="77777777" w:rsidR="00871A3A" w:rsidRPr="007E3D1A" w:rsidRDefault="00871A3A" w:rsidP="00BB0401">
            <w:pPr>
              <w:rPr>
                <w:rFonts w:cs="Arial"/>
                <w:sz w:val="22"/>
              </w:rPr>
            </w:pPr>
            <w:r w:rsidRPr="007E3D1A">
              <w:rPr>
                <w:rFonts w:cs="Arial"/>
                <w:sz w:val="22"/>
              </w:rPr>
              <w:t>Chef de Division Urbaine / Nord-Kivu</w:t>
            </w:r>
          </w:p>
        </w:tc>
        <w:tc>
          <w:tcPr>
            <w:tcW w:w="3127" w:type="dxa"/>
            <w:tcBorders>
              <w:top w:val="nil"/>
              <w:left w:val="nil"/>
              <w:bottom w:val="single" w:sz="4" w:space="0" w:color="auto"/>
              <w:right w:val="single" w:sz="4" w:space="0" w:color="auto"/>
            </w:tcBorders>
            <w:shd w:val="clear" w:color="auto" w:fill="auto"/>
            <w:vAlign w:val="center"/>
            <w:hideMark/>
          </w:tcPr>
          <w:p w14:paraId="05E5C194" w14:textId="77777777" w:rsidR="00871A3A" w:rsidRPr="007E3D1A" w:rsidRDefault="00871A3A" w:rsidP="00BB0401">
            <w:pPr>
              <w:rPr>
                <w:rFonts w:cs="Arial"/>
                <w:sz w:val="22"/>
              </w:rPr>
            </w:pPr>
            <w:r w:rsidRPr="007E3D1A">
              <w:rPr>
                <w:rFonts w:cs="Arial"/>
                <w:sz w:val="22"/>
              </w:rPr>
              <w:t>0992589947</w:t>
            </w:r>
          </w:p>
        </w:tc>
      </w:tr>
      <w:tr w:rsidR="00871A3A" w:rsidRPr="007E3D1A" w14:paraId="658F9730" w14:textId="77777777" w:rsidTr="00BB0401">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61CA7C0F" w14:textId="77777777" w:rsidR="00871A3A" w:rsidRPr="007E3D1A" w:rsidRDefault="00871A3A" w:rsidP="00BB0401">
            <w:pPr>
              <w:rPr>
                <w:rFonts w:cs="Arial"/>
                <w:sz w:val="22"/>
              </w:rPr>
            </w:pPr>
            <w:r w:rsidRPr="007E3D1A">
              <w:rPr>
                <w:rFonts w:cs="Arial"/>
                <w:sz w:val="22"/>
              </w:rPr>
              <w:t>12</w:t>
            </w:r>
          </w:p>
        </w:tc>
        <w:tc>
          <w:tcPr>
            <w:tcW w:w="3011" w:type="dxa"/>
            <w:tcBorders>
              <w:top w:val="nil"/>
              <w:left w:val="nil"/>
              <w:bottom w:val="single" w:sz="4" w:space="0" w:color="auto"/>
              <w:right w:val="single" w:sz="4" w:space="0" w:color="auto"/>
            </w:tcBorders>
            <w:shd w:val="clear" w:color="auto" w:fill="auto"/>
            <w:vAlign w:val="center"/>
            <w:hideMark/>
          </w:tcPr>
          <w:p w14:paraId="3006376C" w14:textId="77777777" w:rsidR="00871A3A" w:rsidRPr="007E3D1A" w:rsidRDefault="00871A3A" w:rsidP="00BB0401">
            <w:pPr>
              <w:rPr>
                <w:rFonts w:cs="Arial"/>
                <w:sz w:val="22"/>
              </w:rPr>
            </w:pPr>
            <w:r w:rsidRPr="007E3D1A">
              <w:rPr>
                <w:rFonts w:cs="Arial"/>
                <w:sz w:val="22"/>
              </w:rPr>
              <w:t>Jean-Marie MADIKANI MUNGALA</w:t>
            </w:r>
          </w:p>
        </w:tc>
        <w:tc>
          <w:tcPr>
            <w:tcW w:w="3723" w:type="dxa"/>
            <w:tcBorders>
              <w:top w:val="nil"/>
              <w:left w:val="nil"/>
              <w:bottom w:val="single" w:sz="4" w:space="0" w:color="auto"/>
              <w:right w:val="single" w:sz="4" w:space="0" w:color="auto"/>
            </w:tcBorders>
            <w:shd w:val="clear" w:color="auto" w:fill="auto"/>
            <w:vAlign w:val="center"/>
            <w:hideMark/>
          </w:tcPr>
          <w:p w14:paraId="7988FA41" w14:textId="77777777" w:rsidR="00871A3A" w:rsidRPr="007E3D1A" w:rsidRDefault="00871A3A" w:rsidP="00BB0401">
            <w:pPr>
              <w:rPr>
                <w:rFonts w:cs="Arial"/>
                <w:sz w:val="22"/>
              </w:rPr>
            </w:pPr>
            <w:r w:rsidRPr="007E3D1A">
              <w:rPr>
                <w:rFonts w:cs="Arial"/>
                <w:sz w:val="22"/>
              </w:rPr>
              <w:t>Coordonnateur Provincial de l'Environnement /Kwilu</w:t>
            </w:r>
          </w:p>
        </w:tc>
        <w:tc>
          <w:tcPr>
            <w:tcW w:w="3127" w:type="dxa"/>
            <w:tcBorders>
              <w:top w:val="nil"/>
              <w:left w:val="nil"/>
              <w:bottom w:val="single" w:sz="4" w:space="0" w:color="auto"/>
              <w:right w:val="single" w:sz="4" w:space="0" w:color="auto"/>
            </w:tcBorders>
            <w:shd w:val="clear" w:color="auto" w:fill="auto"/>
            <w:vAlign w:val="center"/>
            <w:hideMark/>
          </w:tcPr>
          <w:p w14:paraId="16F58F85" w14:textId="77777777" w:rsidR="00871A3A" w:rsidRPr="007E3D1A" w:rsidRDefault="00871A3A" w:rsidP="00BB0401">
            <w:pPr>
              <w:rPr>
                <w:rFonts w:cs="Arial"/>
                <w:sz w:val="22"/>
              </w:rPr>
            </w:pPr>
            <w:r w:rsidRPr="007E3D1A">
              <w:rPr>
                <w:rFonts w:cs="Arial"/>
                <w:sz w:val="22"/>
              </w:rPr>
              <w:t>0816766884</w:t>
            </w:r>
          </w:p>
        </w:tc>
      </w:tr>
      <w:tr w:rsidR="00871A3A" w:rsidRPr="007E3D1A" w14:paraId="0E5025F3" w14:textId="77777777" w:rsidTr="00BB0401">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0A7FD47" w14:textId="77777777" w:rsidR="00871A3A" w:rsidRPr="007E3D1A" w:rsidRDefault="00871A3A" w:rsidP="00BB0401">
            <w:pPr>
              <w:rPr>
                <w:rFonts w:cs="Arial"/>
                <w:sz w:val="22"/>
              </w:rPr>
            </w:pPr>
            <w:r w:rsidRPr="007E3D1A">
              <w:rPr>
                <w:rFonts w:cs="Arial"/>
                <w:sz w:val="22"/>
              </w:rPr>
              <w:t>13</w:t>
            </w:r>
          </w:p>
        </w:tc>
        <w:tc>
          <w:tcPr>
            <w:tcW w:w="3011" w:type="dxa"/>
            <w:tcBorders>
              <w:top w:val="nil"/>
              <w:left w:val="nil"/>
              <w:bottom w:val="single" w:sz="4" w:space="0" w:color="auto"/>
              <w:right w:val="single" w:sz="4" w:space="0" w:color="auto"/>
            </w:tcBorders>
            <w:shd w:val="clear" w:color="auto" w:fill="auto"/>
            <w:vAlign w:val="center"/>
            <w:hideMark/>
          </w:tcPr>
          <w:p w14:paraId="57AC7BC3" w14:textId="77777777" w:rsidR="00871A3A" w:rsidRPr="007E3D1A" w:rsidRDefault="00871A3A" w:rsidP="00BB0401">
            <w:pPr>
              <w:rPr>
                <w:rFonts w:cs="Arial"/>
                <w:sz w:val="22"/>
              </w:rPr>
            </w:pPr>
            <w:r w:rsidRPr="007E3D1A">
              <w:rPr>
                <w:rFonts w:cs="Arial"/>
                <w:sz w:val="22"/>
              </w:rPr>
              <w:t>Patrice LUKUNYI KALALA</w:t>
            </w:r>
          </w:p>
        </w:tc>
        <w:tc>
          <w:tcPr>
            <w:tcW w:w="3723" w:type="dxa"/>
            <w:tcBorders>
              <w:top w:val="nil"/>
              <w:left w:val="nil"/>
              <w:bottom w:val="single" w:sz="4" w:space="0" w:color="auto"/>
              <w:right w:val="single" w:sz="4" w:space="0" w:color="auto"/>
            </w:tcBorders>
            <w:shd w:val="clear" w:color="auto" w:fill="auto"/>
            <w:vAlign w:val="center"/>
            <w:hideMark/>
          </w:tcPr>
          <w:p w14:paraId="0F14C20F" w14:textId="77777777" w:rsidR="00871A3A" w:rsidRPr="007E3D1A" w:rsidRDefault="00871A3A" w:rsidP="00BB0401">
            <w:pPr>
              <w:rPr>
                <w:rFonts w:cs="Arial"/>
                <w:sz w:val="22"/>
              </w:rPr>
            </w:pPr>
            <w:r w:rsidRPr="007E3D1A">
              <w:rPr>
                <w:rFonts w:cs="Arial"/>
                <w:sz w:val="22"/>
              </w:rPr>
              <w:t xml:space="preserve">Coordonnateur Provincial de l’Environnement / Kasaï </w:t>
            </w:r>
          </w:p>
        </w:tc>
        <w:tc>
          <w:tcPr>
            <w:tcW w:w="3127" w:type="dxa"/>
            <w:tcBorders>
              <w:top w:val="nil"/>
              <w:left w:val="nil"/>
              <w:bottom w:val="single" w:sz="4" w:space="0" w:color="auto"/>
              <w:right w:val="single" w:sz="4" w:space="0" w:color="auto"/>
            </w:tcBorders>
            <w:shd w:val="clear" w:color="auto" w:fill="auto"/>
            <w:vAlign w:val="center"/>
            <w:hideMark/>
          </w:tcPr>
          <w:p w14:paraId="2A65613D" w14:textId="77777777" w:rsidR="00871A3A" w:rsidRPr="007E3D1A" w:rsidRDefault="00871A3A" w:rsidP="00BB0401">
            <w:pPr>
              <w:rPr>
                <w:rFonts w:cs="Arial"/>
                <w:sz w:val="22"/>
              </w:rPr>
            </w:pPr>
            <w:r w:rsidRPr="007E3D1A">
              <w:rPr>
                <w:rFonts w:cs="Arial"/>
                <w:sz w:val="22"/>
              </w:rPr>
              <w:t>0998099172/ 817276840</w:t>
            </w:r>
          </w:p>
        </w:tc>
      </w:tr>
      <w:tr w:rsidR="00871A3A" w:rsidRPr="007E3D1A" w14:paraId="2AB7234C" w14:textId="77777777" w:rsidTr="00BB0401">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33CC8503" w14:textId="77777777" w:rsidR="00871A3A" w:rsidRPr="007E3D1A" w:rsidRDefault="00871A3A" w:rsidP="00BB0401">
            <w:pPr>
              <w:rPr>
                <w:rFonts w:cs="Arial"/>
                <w:sz w:val="22"/>
              </w:rPr>
            </w:pPr>
            <w:r w:rsidRPr="007E3D1A">
              <w:rPr>
                <w:rFonts w:cs="Arial"/>
                <w:sz w:val="22"/>
              </w:rPr>
              <w:t>14</w:t>
            </w:r>
          </w:p>
        </w:tc>
        <w:tc>
          <w:tcPr>
            <w:tcW w:w="3011" w:type="dxa"/>
            <w:tcBorders>
              <w:top w:val="nil"/>
              <w:left w:val="nil"/>
              <w:bottom w:val="single" w:sz="4" w:space="0" w:color="auto"/>
              <w:right w:val="single" w:sz="4" w:space="0" w:color="auto"/>
            </w:tcBorders>
            <w:shd w:val="clear" w:color="auto" w:fill="auto"/>
            <w:vAlign w:val="center"/>
            <w:hideMark/>
          </w:tcPr>
          <w:p w14:paraId="4817A499" w14:textId="77777777" w:rsidR="00871A3A" w:rsidRPr="007E3D1A" w:rsidRDefault="00871A3A" w:rsidP="00BB0401">
            <w:pPr>
              <w:rPr>
                <w:rFonts w:cs="Arial"/>
                <w:sz w:val="22"/>
              </w:rPr>
            </w:pPr>
            <w:r w:rsidRPr="007E3D1A">
              <w:rPr>
                <w:rFonts w:cs="Arial"/>
                <w:sz w:val="22"/>
              </w:rPr>
              <w:t xml:space="preserve">Honoré WULAMBA </w:t>
            </w:r>
          </w:p>
        </w:tc>
        <w:tc>
          <w:tcPr>
            <w:tcW w:w="3723" w:type="dxa"/>
            <w:tcBorders>
              <w:top w:val="nil"/>
              <w:left w:val="nil"/>
              <w:bottom w:val="single" w:sz="4" w:space="0" w:color="auto"/>
              <w:right w:val="single" w:sz="4" w:space="0" w:color="auto"/>
            </w:tcBorders>
            <w:shd w:val="clear" w:color="auto" w:fill="auto"/>
            <w:vAlign w:val="center"/>
            <w:hideMark/>
          </w:tcPr>
          <w:p w14:paraId="4E12599F" w14:textId="77777777" w:rsidR="00871A3A" w:rsidRPr="007E3D1A" w:rsidRDefault="00871A3A" w:rsidP="00BB0401">
            <w:pPr>
              <w:rPr>
                <w:rFonts w:cs="Arial"/>
                <w:sz w:val="22"/>
              </w:rPr>
            </w:pPr>
            <w:r w:rsidRPr="007E3D1A">
              <w:rPr>
                <w:rFonts w:cs="Arial"/>
                <w:sz w:val="22"/>
              </w:rPr>
              <w:t>Chef de Division Pèche et Élevage / Kasaï</w:t>
            </w:r>
          </w:p>
        </w:tc>
        <w:tc>
          <w:tcPr>
            <w:tcW w:w="3127" w:type="dxa"/>
            <w:tcBorders>
              <w:top w:val="nil"/>
              <w:left w:val="nil"/>
              <w:bottom w:val="single" w:sz="4" w:space="0" w:color="auto"/>
              <w:right w:val="single" w:sz="4" w:space="0" w:color="auto"/>
            </w:tcBorders>
            <w:shd w:val="clear" w:color="auto" w:fill="auto"/>
            <w:vAlign w:val="center"/>
            <w:hideMark/>
          </w:tcPr>
          <w:p w14:paraId="31051303" w14:textId="77777777" w:rsidR="00871A3A" w:rsidRPr="007E3D1A" w:rsidRDefault="00871A3A" w:rsidP="00BB0401">
            <w:pPr>
              <w:rPr>
                <w:rFonts w:cs="Arial"/>
                <w:sz w:val="22"/>
              </w:rPr>
            </w:pPr>
            <w:r w:rsidRPr="007E3D1A">
              <w:rPr>
                <w:rFonts w:cs="Arial"/>
                <w:sz w:val="22"/>
              </w:rPr>
              <w:t>0998600237</w:t>
            </w:r>
          </w:p>
        </w:tc>
      </w:tr>
      <w:tr w:rsidR="00871A3A" w:rsidRPr="007E3D1A" w14:paraId="642FCB1C" w14:textId="77777777" w:rsidTr="00BB0401">
        <w:trPr>
          <w:trHeight w:val="455"/>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4ED1DFD8" w14:textId="77777777" w:rsidR="00871A3A" w:rsidRPr="007E3D1A" w:rsidRDefault="00871A3A" w:rsidP="00BB0401">
            <w:pPr>
              <w:rPr>
                <w:rFonts w:cs="Arial"/>
                <w:sz w:val="22"/>
              </w:rPr>
            </w:pPr>
            <w:r w:rsidRPr="007E3D1A">
              <w:rPr>
                <w:rFonts w:cs="Arial"/>
                <w:sz w:val="22"/>
              </w:rPr>
              <w:t>15</w:t>
            </w:r>
          </w:p>
        </w:tc>
        <w:tc>
          <w:tcPr>
            <w:tcW w:w="3011" w:type="dxa"/>
            <w:tcBorders>
              <w:top w:val="nil"/>
              <w:left w:val="nil"/>
              <w:bottom w:val="single" w:sz="4" w:space="0" w:color="auto"/>
              <w:right w:val="single" w:sz="4" w:space="0" w:color="auto"/>
            </w:tcBorders>
            <w:shd w:val="clear" w:color="auto" w:fill="auto"/>
            <w:vAlign w:val="center"/>
            <w:hideMark/>
          </w:tcPr>
          <w:p w14:paraId="64853503" w14:textId="77777777" w:rsidR="00871A3A" w:rsidRPr="007E3D1A" w:rsidRDefault="00871A3A" w:rsidP="00BB0401">
            <w:pPr>
              <w:rPr>
                <w:rFonts w:cs="Arial"/>
                <w:sz w:val="22"/>
              </w:rPr>
            </w:pPr>
            <w:r w:rsidRPr="007E3D1A">
              <w:rPr>
                <w:rFonts w:cs="Arial"/>
                <w:sz w:val="22"/>
              </w:rPr>
              <w:t>Albert SAMBAYI</w:t>
            </w:r>
          </w:p>
        </w:tc>
        <w:tc>
          <w:tcPr>
            <w:tcW w:w="3723" w:type="dxa"/>
            <w:tcBorders>
              <w:top w:val="nil"/>
              <w:left w:val="nil"/>
              <w:bottom w:val="single" w:sz="4" w:space="0" w:color="auto"/>
              <w:right w:val="single" w:sz="4" w:space="0" w:color="auto"/>
            </w:tcBorders>
            <w:shd w:val="clear" w:color="auto" w:fill="auto"/>
            <w:vAlign w:val="center"/>
            <w:hideMark/>
          </w:tcPr>
          <w:p w14:paraId="654FA23C" w14:textId="77777777" w:rsidR="00871A3A" w:rsidRPr="007E3D1A" w:rsidRDefault="00871A3A" w:rsidP="00BB0401">
            <w:pPr>
              <w:rPr>
                <w:rFonts w:cs="Arial"/>
                <w:sz w:val="22"/>
              </w:rPr>
            </w:pPr>
            <w:r w:rsidRPr="007E3D1A">
              <w:rPr>
                <w:rFonts w:cs="Arial"/>
                <w:sz w:val="22"/>
              </w:rPr>
              <w:t>Inspecteur Provincial de l'Agriculture / Kwilu</w:t>
            </w:r>
          </w:p>
        </w:tc>
        <w:tc>
          <w:tcPr>
            <w:tcW w:w="3127" w:type="dxa"/>
            <w:tcBorders>
              <w:top w:val="nil"/>
              <w:left w:val="nil"/>
              <w:bottom w:val="single" w:sz="4" w:space="0" w:color="auto"/>
              <w:right w:val="single" w:sz="4" w:space="0" w:color="auto"/>
            </w:tcBorders>
            <w:shd w:val="clear" w:color="auto" w:fill="auto"/>
            <w:vAlign w:val="center"/>
            <w:hideMark/>
          </w:tcPr>
          <w:p w14:paraId="3B0FB216" w14:textId="77777777" w:rsidR="00871A3A" w:rsidRPr="007E3D1A" w:rsidRDefault="00871A3A" w:rsidP="00BB0401">
            <w:pPr>
              <w:rPr>
                <w:rFonts w:cs="Arial"/>
                <w:sz w:val="22"/>
              </w:rPr>
            </w:pPr>
            <w:r w:rsidRPr="007E3D1A">
              <w:rPr>
                <w:rFonts w:cs="Arial"/>
                <w:sz w:val="22"/>
              </w:rPr>
              <w:t>816586820</w:t>
            </w:r>
          </w:p>
        </w:tc>
      </w:tr>
      <w:tr w:rsidR="00871A3A" w:rsidRPr="007E3D1A" w14:paraId="40DB5217" w14:textId="77777777" w:rsidTr="00BB0401">
        <w:trPr>
          <w:trHeight w:val="435"/>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188FD833" w14:textId="77777777" w:rsidR="00871A3A" w:rsidRPr="007E3D1A" w:rsidRDefault="00871A3A" w:rsidP="00BB0401">
            <w:pPr>
              <w:rPr>
                <w:rFonts w:cs="Arial"/>
                <w:sz w:val="22"/>
              </w:rPr>
            </w:pPr>
            <w:r w:rsidRPr="007E3D1A">
              <w:rPr>
                <w:rFonts w:cs="Arial"/>
                <w:sz w:val="22"/>
              </w:rPr>
              <w:t>16</w:t>
            </w:r>
          </w:p>
        </w:tc>
        <w:tc>
          <w:tcPr>
            <w:tcW w:w="3011" w:type="dxa"/>
            <w:tcBorders>
              <w:top w:val="nil"/>
              <w:left w:val="nil"/>
              <w:bottom w:val="single" w:sz="4" w:space="0" w:color="auto"/>
              <w:right w:val="single" w:sz="4" w:space="0" w:color="auto"/>
            </w:tcBorders>
            <w:shd w:val="clear" w:color="auto" w:fill="auto"/>
            <w:vAlign w:val="center"/>
            <w:hideMark/>
          </w:tcPr>
          <w:p w14:paraId="6165ED00" w14:textId="77777777" w:rsidR="00871A3A" w:rsidRPr="007E3D1A" w:rsidRDefault="00871A3A" w:rsidP="00BB0401">
            <w:pPr>
              <w:rPr>
                <w:rFonts w:cs="Arial"/>
                <w:sz w:val="22"/>
              </w:rPr>
            </w:pPr>
            <w:r w:rsidRPr="007E3D1A">
              <w:rPr>
                <w:rFonts w:cs="Arial"/>
                <w:sz w:val="22"/>
              </w:rPr>
              <w:t>Ir Didier SEBEBIMI MAZINA</w:t>
            </w:r>
          </w:p>
        </w:tc>
        <w:tc>
          <w:tcPr>
            <w:tcW w:w="3723" w:type="dxa"/>
            <w:tcBorders>
              <w:top w:val="nil"/>
              <w:left w:val="nil"/>
              <w:bottom w:val="single" w:sz="4" w:space="0" w:color="auto"/>
              <w:right w:val="single" w:sz="4" w:space="0" w:color="auto"/>
            </w:tcBorders>
            <w:shd w:val="clear" w:color="auto" w:fill="auto"/>
            <w:vAlign w:val="center"/>
            <w:hideMark/>
          </w:tcPr>
          <w:p w14:paraId="1E41F5FD" w14:textId="77777777" w:rsidR="00871A3A" w:rsidRPr="007E3D1A" w:rsidRDefault="00871A3A" w:rsidP="00BB0401">
            <w:pPr>
              <w:rPr>
                <w:rFonts w:cs="Arial"/>
                <w:sz w:val="22"/>
              </w:rPr>
            </w:pPr>
            <w:r w:rsidRPr="007E3D1A">
              <w:rPr>
                <w:rFonts w:cs="Arial"/>
                <w:sz w:val="22"/>
              </w:rPr>
              <w:t>Inspecteur Provincial de l'Agriculture / Kwilu</w:t>
            </w:r>
          </w:p>
        </w:tc>
        <w:tc>
          <w:tcPr>
            <w:tcW w:w="3127" w:type="dxa"/>
            <w:tcBorders>
              <w:top w:val="nil"/>
              <w:left w:val="nil"/>
              <w:bottom w:val="single" w:sz="4" w:space="0" w:color="auto"/>
              <w:right w:val="single" w:sz="4" w:space="0" w:color="auto"/>
            </w:tcBorders>
            <w:shd w:val="clear" w:color="auto" w:fill="auto"/>
            <w:vAlign w:val="center"/>
            <w:hideMark/>
          </w:tcPr>
          <w:p w14:paraId="6386AE58" w14:textId="77777777" w:rsidR="00871A3A" w:rsidRPr="007E3D1A" w:rsidRDefault="00871A3A" w:rsidP="00BB0401">
            <w:pPr>
              <w:rPr>
                <w:rFonts w:cs="Arial"/>
                <w:sz w:val="22"/>
              </w:rPr>
            </w:pPr>
            <w:r w:rsidRPr="007E3D1A">
              <w:rPr>
                <w:rFonts w:cs="Arial"/>
                <w:sz w:val="22"/>
              </w:rPr>
              <w:t>0817108100</w:t>
            </w:r>
          </w:p>
        </w:tc>
      </w:tr>
      <w:tr w:rsidR="00871A3A" w:rsidRPr="007E3D1A" w14:paraId="5A5BD0D0" w14:textId="77777777" w:rsidTr="00BB0401">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38E91A51" w14:textId="77777777" w:rsidR="00871A3A" w:rsidRPr="007E3D1A" w:rsidRDefault="00871A3A" w:rsidP="00BB0401">
            <w:pPr>
              <w:rPr>
                <w:rFonts w:cs="Arial"/>
                <w:sz w:val="22"/>
              </w:rPr>
            </w:pPr>
            <w:r w:rsidRPr="007E3D1A">
              <w:rPr>
                <w:rFonts w:cs="Arial"/>
                <w:sz w:val="22"/>
              </w:rPr>
              <w:t>17</w:t>
            </w:r>
          </w:p>
        </w:tc>
        <w:tc>
          <w:tcPr>
            <w:tcW w:w="3011" w:type="dxa"/>
            <w:tcBorders>
              <w:top w:val="nil"/>
              <w:left w:val="nil"/>
              <w:bottom w:val="single" w:sz="4" w:space="0" w:color="auto"/>
              <w:right w:val="single" w:sz="4" w:space="0" w:color="auto"/>
            </w:tcBorders>
            <w:shd w:val="clear" w:color="auto" w:fill="auto"/>
            <w:vAlign w:val="center"/>
            <w:hideMark/>
          </w:tcPr>
          <w:p w14:paraId="61A366B9" w14:textId="77777777" w:rsidR="00871A3A" w:rsidRPr="007E3D1A" w:rsidRDefault="00871A3A" w:rsidP="00BB0401">
            <w:pPr>
              <w:rPr>
                <w:rFonts w:cs="Arial"/>
                <w:sz w:val="22"/>
              </w:rPr>
            </w:pPr>
            <w:r w:rsidRPr="007E3D1A">
              <w:rPr>
                <w:rFonts w:cs="Arial"/>
                <w:sz w:val="22"/>
              </w:rPr>
              <w:t>KIATOKO SOLI</w:t>
            </w:r>
          </w:p>
        </w:tc>
        <w:tc>
          <w:tcPr>
            <w:tcW w:w="3723" w:type="dxa"/>
            <w:tcBorders>
              <w:top w:val="nil"/>
              <w:left w:val="nil"/>
              <w:bottom w:val="single" w:sz="4" w:space="0" w:color="auto"/>
              <w:right w:val="single" w:sz="4" w:space="0" w:color="auto"/>
            </w:tcBorders>
            <w:shd w:val="clear" w:color="auto" w:fill="auto"/>
            <w:vAlign w:val="center"/>
            <w:hideMark/>
          </w:tcPr>
          <w:p w14:paraId="54A8A41E" w14:textId="77777777" w:rsidR="00871A3A" w:rsidRPr="007E3D1A" w:rsidRDefault="00871A3A" w:rsidP="00BB0401">
            <w:pPr>
              <w:rPr>
                <w:rFonts w:cs="Arial"/>
                <w:sz w:val="22"/>
              </w:rPr>
            </w:pPr>
            <w:r w:rsidRPr="007E3D1A">
              <w:rPr>
                <w:rFonts w:cs="Arial"/>
                <w:sz w:val="22"/>
              </w:rPr>
              <w:t>Inspecteur Provincial de l'Agriculture / Kongo Central</w:t>
            </w:r>
          </w:p>
        </w:tc>
        <w:tc>
          <w:tcPr>
            <w:tcW w:w="3127" w:type="dxa"/>
            <w:tcBorders>
              <w:top w:val="nil"/>
              <w:left w:val="nil"/>
              <w:bottom w:val="single" w:sz="4" w:space="0" w:color="auto"/>
              <w:right w:val="single" w:sz="4" w:space="0" w:color="auto"/>
            </w:tcBorders>
            <w:shd w:val="clear" w:color="auto" w:fill="auto"/>
            <w:vAlign w:val="center"/>
            <w:hideMark/>
          </w:tcPr>
          <w:p w14:paraId="64ACF5BA" w14:textId="77777777" w:rsidR="00871A3A" w:rsidRPr="007E3D1A" w:rsidRDefault="00871A3A" w:rsidP="00BB0401">
            <w:pPr>
              <w:rPr>
                <w:rFonts w:cs="Arial"/>
                <w:sz w:val="22"/>
              </w:rPr>
            </w:pPr>
            <w:r w:rsidRPr="007E3D1A">
              <w:rPr>
                <w:rFonts w:cs="Arial"/>
                <w:sz w:val="22"/>
              </w:rPr>
              <w:t> -</w:t>
            </w:r>
          </w:p>
        </w:tc>
      </w:tr>
      <w:tr w:rsidR="00871A3A" w:rsidRPr="007E3D1A" w14:paraId="4CFDA91C" w14:textId="77777777" w:rsidTr="00BB0401">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0F669927" w14:textId="77777777" w:rsidR="00871A3A" w:rsidRPr="007E3D1A" w:rsidRDefault="00871A3A" w:rsidP="00BB0401">
            <w:pPr>
              <w:rPr>
                <w:rFonts w:cs="Arial"/>
                <w:sz w:val="22"/>
              </w:rPr>
            </w:pPr>
            <w:r w:rsidRPr="007E3D1A">
              <w:rPr>
                <w:rFonts w:cs="Arial"/>
                <w:sz w:val="22"/>
              </w:rPr>
              <w:t>18</w:t>
            </w:r>
          </w:p>
        </w:tc>
        <w:tc>
          <w:tcPr>
            <w:tcW w:w="3011" w:type="dxa"/>
            <w:tcBorders>
              <w:top w:val="nil"/>
              <w:left w:val="nil"/>
              <w:bottom w:val="single" w:sz="4" w:space="0" w:color="auto"/>
              <w:right w:val="single" w:sz="4" w:space="0" w:color="auto"/>
            </w:tcBorders>
            <w:shd w:val="clear" w:color="auto" w:fill="auto"/>
            <w:vAlign w:val="center"/>
            <w:hideMark/>
          </w:tcPr>
          <w:p w14:paraId="6E0E1B9F" w14:textId="77777777" w:rsidR="00871A3A" w:rsidRPr="007E3D1A" w:rsidRDefault="00871A3A" w:rsidP="00BB0401">
            <w:pPr>
              <w:rPr>
                <w:rFonts w:cs="Arial"/>
                <w:sz w:val="22"/>
              </w:rPr>
            </w:pPr>
            <w:r w:rsidRPr="007E3D1A">
              <w:rPr>
                <w:rFonts w:cs="Arial"/>
                <w:sz w:val="22"/>
              </w:rPr>
              <w:t>KAPITEN BONSO</w:t>
            </w:r>
          </w:p>
        </w:tc>
        <w:tc>
          <w:tcPr>
            <w:tcW w:w="3723" w:type="dxa"/>
            <w:tcBorders>
              <w:top w:val="nil"/>
              <w:left w:val="nil"/>
              <w:bottom w:val="single" w:sz="4" w:space="0" w:color="auto"/>
              <w:right w:val="single" w:sz="4" w:space="0" w:color="auto"/>
            </w:tcBorders>
            <w:shd w:val="clear" w:color="auto" w:fill="auto"/>
            <w:vAlign w:val="center"/>
            <w:hideMark/>
          </w:tcPr>
          <w:p w14:paraId="2E469448" w14:textId="77777777" w:rsidR="00871A3A" w:rsidRPr="007E3D1A" w:rsidRDefault="00871A3A" w:rsidP="00BB0401">
            <w:pPr>
              <w:rPr>
                <w:rFonts w:cs="Arial"/>
                <w:sz w:val="22"/>
              </w:rPr>
            </w:pPr>
            <w:r w:rsidRPr="007E3D1A">
              <w:rPr>
                <w:rFonts w:cs="Arial"/>
                <w:sz w:val="22"/>
              </w:rPr>
              <w:t>Inspecteur Provincial de Développement Rural / Kwilu</w:t>
            </w:r>
          </w:p>
        </w:tc>
        <w:tc>
          <w:tcPr>
            <w:tcW w:w="3127" w:type="dxa"/>
            <w:tcBorders>
              <w:top w:val="nil"/>
              <w:left w:val="nil"/>
              <w:bottom w:val="single" w:sz="4" w:space="0" w:color="auto"/>
              <w:right w:val="single" w:sz="4" w:space="0" w:color="auto"/>
            </w:tcBorders>
            <w:shd w:val="clear" w:color="auto" w:fill="auto"/>
            <w:vAlign w:val="center"/>
            <w:hideMark/>
          </w:tcPr>
          <w:p w14:paraId="64B348D3" w14:textId="77777777" w:rsidR="00871A3A" w:rsidRPr="007E3D1A" w:rsidRDefault="00871A3A" w:rsidP="00BB0401">
            <w:pPr>
              <w:rPr>
                <w:rFonts w:cs="Arial"/>
                <w:sz w:val="22"/>
              </w:rPr>
            </w:pPr>
            <w:r w:rsidRPr="007E3D1A">
              <w:rPr>
                <w:rFonts w:cs="Arial"/>
                <w:sz w:val="22"/>
              </w:rPr>
              <w:t>0816437228</w:t>
            </w:r>
          </w:p>
        </w:tc>
      </w:tr>
      <w:tr w:rsidR="00871A3A" w:rsidRPr="007E3D1A" w14:paraId="7F9A1FE4" w14:textId="77777777" w:rsidTr="00BB0401">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3A4D6493" w14:textId="77777777" w:rsidR="00871A3A" w:rsidRPr="007E3D1A" w:rsidRDefault="00871A3A" w:rsidP="00BB0401">
            <w:pPr>
              <w:rPr>
                <w:rFonts w:cs="Arial"/>
                <w:sz w:val="22"/>
              </w:rPr>
            </w:pPr>
            <w:r w:rsidRPr="007E3D1A">
              <w:rPr>
                <w:rFonts w:cs="Arial"/>
                <w:sz w:val="22"/>
              </w:rPr>
              <w:t>19</w:t>
            </w:r>
          </w:p>
        </w:tc>
        <w:tc>
          <w:tcPr>
            <w:tcW w:w="3011" w:type="dxa"/>
            <w:tcBorders>
              <w:top w:val="nil"/>
              <w:left w:val="nil"/>
              <w:bottom w:val="single" w:sz="4" w:space="0" w:color="auto"/>
              <w:right w:val="single" w:sz="4" w:space="0" w:color="auto"/>
            </w:tcBorders>
            <w:shd w:val="clear" w:color="auto" w:fill="auto"/>
            <w:vAlign w:val="center"/>
            <w:hideMark/>
          </w:tcPr>
          <w:p w14:paraId="4618273B" w14:textId="77777777" w:rsidR="00871A3A" w:rsidRPr="007E3D1A" w:rsidRDefault="00871A3A" w:rsidP="00BB0401">
            <w:pPr>
              <w:rPr>
                <w:rFonts w:cs="Arial"/>
                <w:sz w:val="22"/>
              </w:rPr>
            </w:pPr>
            <w:r w:rsidRPr="007E3D1A">
              <w:rPr>
                <w:rFonts w:cs="Arial"/>
                <w:sz w:val="22"/>
              </w:rPr>
              <w:t>Anicet NZIMBUKILA</w:t>
            </w:r>
          </w:p>
        </w:tc>
        <w:tc>
          <w:tcPr>
            <w:tcW w:w="3723" w:type="dxa"/>
            <w:tcBorders>
              <w:top w:val="nil"/>
              <w:left w:val="nil"/>
              <w:bottom w:val="single" w:sz="4" w:space="0" w:color="auto"/>
              <w:right w:val="single" w:sz="4" w:space="0" w:color="auto"/>
            </w:tcBorders>
            <w:shd w:val="clear" w:color="auto" w:fill="auto"/>
            <w:vAlign w:val="center"/>
            <w:hideMark/>
          </w:tcPr>
          <w:p w14:paraId="27A5D562" w14:textId="77777777" w:rsidR="00871A3A" w:rsidRPr="007E3D1A" w:rsidRDefault="00871A3A" w:rsidP="00BB0401">
            <w:pPr>
              <w:rPr>
                <w:rFonts w:cs="Arial"/>
                <w:sz w:val="22"/>
              </w:rPr>
            </w:pPr>
            <w:r w:rsidRPr="007E3D1A">
              <w:rPr>
                <w:rFonts w:cs="Arial"/>
                <w:sz w:val="22"/>
              </w:rPr>
              <w:t>Coordonnateur Provincial SENASEM / Kongo Central</w:t>
            </w:r>
          </w:p>
        </w:tc>
        <w:tc>
          <w:tcPr>
            <w:tcW w:w="3127" w:type="dxa"/>
            <w:tcBorders>
              <w:top w:val="nil"/>
              <w:left w:val="nil"/>
              <w:bottom w:val="single" w:sz="4" w:space="0" w:color="auto"/>
              <w:right w:val="single" w:sz="4" w:space="0" w:color="auto"/>
            </w:tcBorders>
            <w:shd w:val="clear" w:color="auto" w:fill="auto"/>
            <w:vAlign w:val="center"/>
            <w:hideMark/>
          </w:tcPr>
          <w:p w14:paraId="1FF7C700" w14:textId="77777777" w:rsidR="00871A3A" w:rsidRPr="007E3D1A" w:rsidRDefault="00871A3A" w:rsidP="00BB0401">
            <w:pPr>
              <w:rPr>
                <w:rFonts w:cs="Arial"/>
                <w:sz w:val="22"/>
              </w:rPr>
            </w:pPr>
            <w:r w:rsidRPr="007E3D1A">
              <w:rPr>
                <w:rFonts w:cs="Arial"/>
                <w:sz w:val="22"/>
              </w:rPr>
              <w:t>0855798586</w:t>
            </w:r>
          </w:p>
        </w:tc>
      </w:tr>
      <w:tr w:rsidR="00871A3A" w:rsidRPr="007E3D1A" w14:paraId="28E2B439" w14:textId="77777777" w:rsidTr="00BB0401">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6C66650" w14:textId="77777777" w:rsidR="00871A3A" w:rsidRPr="007E3D1A" w:rsidRDefault="00871A3A" w:rsidP="00BB0401">
            <w:pPr>
              <w:rPr>
                <w:rFonts w:cs="Arial"/>
                <w:sz w:val="22"/>
              </w:rPr>
            </w:pPr>
            <w:r w:rsidRPr="007E3D1A">
              <w:rPr>
                <w:rFonts w:cs="Arial"/>
                <w:sz w:val="22"/>
              </w:rPr>
              <w:t>20</w:t>
            </w:r>
          </w:p>
        </w:tc>
        <w:tc>
          <w:tcPr>
            <w:tcW w:w="3011" w:type="dxa"/>
            <w:tcBorders>
              <w:top w:val="nil"/>
              <w:left w:val="nil"/>
              <w:bottom w:val="single" w:sz="4" w:space="0" w:color="auto"/>
              <w:right w:val="single" w:sz="4" w:space="0" w:color="auto"/>
            </w:tcBorders>
            <w:shd w:val="clear" w:color="auto" w:fill="auto"/>
            <w:vAlign w:val="center"/>
            <w:hideMark/>
          </w:tcPr>
          <w:p w14:paraId="144FE7E7" w14:textId="77777777" w:rsidR="00871A3A" w:rsidRPr="007E3D1A" w:rsidRDefault="00871A3A" w:rsidP="00BB0401">
            <w:pPr>
              <w:rPr>
                <w:rFonts w:cs="Arial"/>
                <w:sz w:val="22"/>
              </w:rPr>
            </w:pPr>
            <w:r w:rsidRPr="007E3D1A">
              <w:rPr>
                <w:rFonts w:cs="Arial"/>
                <w:sz w:val="22"/>
              </w:rPr>
              <w:t>TEMBO KASEKWA</w:t>
            </w:r>
          </w:p>
        </w:tc>
        <w:tc>
          <w:tcPr>
            <w:tcW w:w="3723" w:type="dxa"/>
            <w:tcBorders>
              <w:top w:val="nil"/>
              <w:left w:val="nil"/>
              <w:bottom w:val="single" w:sz="4" w:space="0" w:color="auto"/>
              <w:right w:val="single" w:sz="4" w:space="0" w:color="auto"/>
            </w:tcBorders>
            <w:shd w:val="clear" w:color="auto" w:fill="auto"/>
            <w:vAlign w:val="center"/>
            <w:hideMark/>
          </w:tcPr>
          <w:p w14:paraId="58803E6A" w14:textId="77777777" w:rsidR="00871A3A" w:rsidRPr="007E3D1A" w:rsidRDefault="00871A3A" w:rsidP="00BB0401">
            <w:pPr>
              <w:rPr>
                <w:rFonts w:cs="Arial"/>
                <w:sz w:val="22"/>
              </w:rPr>
            </w:pPr>
            <w:r w:rsidRPr="007E3D1A">
              <w:rPr>
                <w:rFonts w:cs="Arial"/>
                <w:sz w:val="22"/>
              </w:rPr>
              <w:t>Coordonnateur Provincial SENASEM / Nord Kivu</w:t>
            </w:r>
          </w:p>
        </w:tc>
        <w:tc>
          <w:tcPr>
            <w:tcW w:w="3127" w:type="dxa"/>
            <w:tcBorders>
              <w:top w:val="nil"/>
              <w:left w:val="nil"/>
              <w:bottom w:val="single" w:sz="4" w:space="0" w:color="auto"/>
              <w:right w:val="single" w:sz="4" w:space="0" w:color="auto"/>
            </w:tcBorders>
            <w:shd w:val="clear" w:color="auto" w:fill="auto"/>
            <w:vAlign w:val="center"/>
            <w:hideMark/>
          </w:tcPr>
          <w:p w14:paraId="4AE75CDF" w14:textId="77777777" w:rsidR="00871A3A" w:rsidRPr="007E3D1A" w:rsidRDefault="00871A3A" w:rsidP="00BB0401">
            <w:pPr>
              <w:rPr>
                <w:rFonts w:cs="Arial"/>
                <w:sz w:val="22"/>
              </w:rPr>
            </w:pPr>
            <w:r w:rsidRPr="007E3D1A">
              <w:rPr>
                <w:rFonts w:cs="Arial"/>
                <w:sz w:val="22"/>
              </w:rPr>
              <w:t>0993899356</w:t>
            </w:r>
          </w:p>
        </w:tc>
      </w:tr>
      <w:tr w:rsidR="00871A3A" w:rsidRPr="007E3D1A" w14:paraId="793F899D" w14:textId="77777777" w:rsidTr="00BB0401">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1C28C70D" w14:textId="77777777" w:rsidR="00871A3A" w:rsidRPr="007E3D1A" w:rsidRDefault="00871A3A" w:rsidP="00BB0401">
            <w:pPr>
              <w:rPr>
                <w:rFonts w:cs="Arial"/>
                <w:sz w:val="22"/>
              </w:rPr>
            </w:pPr>
            <w:r w:rsidRPr="007E3D1A">
              <w:rPr>
                <w:rFonts w:cs="Arial"/>
                <w:sz w:val="22"/>
              </w:rPr>
              <w:t>21</w:t>
            </w:r>
          </w:p>
        </w:tc>
        <w:tc>
          <w:tcPr>
            <w:tcW w:w="3011" w:type="dxa"/>
            <w:tcBorders>
              <w:top w:val="nil"/>
              <w:left w:val="nil"/>
              <w:bottom w:val="single" w:sz="4" w:space="0" w:color="auto"/>
              <w:right w:val="single" w:sz="4" w:space="0" w:color="auto"/>
            </w:tcBorders>
            <w:shd w:val="clear" w:color="auto" w:fill="auto"/>
            <w:vAlign w:val="center"/>
            <w:hideMark/>
          </w:tcPr>
          <w:p w14:paraId="6368F71E" w14:textId="77777777" w:rsidR="00871A3A" w:rsidRPr="007E3D1A" w:rsidRDefault="00871A3A" w:rsidP="00BB0401">
            <w:pPr>
              <w:rPr>
                <w:rFonts w:cs="Arial"/>
                <w:sz w:val="22"/>
              </w:rPr>
            </w:pPr>
            <w:r w:rsidRPr="007E3D1A">
              <w:rPr>
                <w:rFonts w:cs="Arial"/>
                <w:sz w:val="22"/>
              </w:rPr>
              <w:t>GUDALABUNA ROMAIN</w:t>
            </w:r>
          </w:p>
        </w:tc>
        <w:tc>
          <w:tcPr>
            <w:tcW w:w="3723" w:type="dxa"/>
            <w:tcBorders>
              <w:top w:val="nil"/>
              <w:left w:val="nil"/>
              <w:bottom w:val="single" w:sz="4" w:space="0" w:color="auto"/>
              <w:right w:val="single" w:sz="4" w:space="0" w:color="auto"/>
            </w:tcBorders>
            <w:shd w:val="clear" w:color="auto" w:fill="auto"/>
            <w:vAlign w:val="center"/>
            <w:hideMark/>
          </w:tcPr>
          <w:p w14:paraId="4CDD18FB" w14:textId="77777777" w:rsidR="00871A3A" w:rsidRPr="007E3D1A" w:rsidRDefault="00871A3A" w:rsidP="00BB0401">
            <w:pPr>
              <w:rPr>
                <w:rFonts w:cs="Arial"/>
                <w:sz w:val="22"/>
              </w:rPr>
            </w:pPr>
            <w:r w:rsidRPr="007E3D1A">
              <w:rPr>
                <w:rFonts w:cs="Arial"/>
                <w:sz w:val="22"/>
              </w:rPr>
              <w:t>Chef de Division Pêche et Elevage / Kwilu</w:t>
            </w:r>
          </w:p>
        </w:tc>
        <w:tc>
          <w:tcPr>
            <w:tcW w:w="3127" w:type="dxa"/>
            <w:tcBorders>
              <w:top w:val="nil"/>
              <w:left w:val="nil"/>
              <w:bottom w:val="single" w:sz="4" w:space="0" w:color="auto"/>
              <w:right w:val="single" w:sz="4" w:space="0" w:color="auto"/>
            </w:tcBorders>
            <w:shd w:val="clear" w:color="auto" w:fill="auto"/>
            <w:vAlign w:val="center"/>
            <w:hideMark/>
          </w:tcPr>
          <w:p w14:paraId="59144247" w14:textId="77777777" w:rsidR="00871A3A" w:rsidRPr="007E3D1A" w:rsidRDefault="00871A3A" w:rsidP="00BB0401">
            <w:pPr>
              <w:rPr>
                <w:rFonts w:cs="Arial"/>
                <w:sz w:val="22"/>
              </w:rPr>
            </w:pPr>
            <w:r w:rsidRPr="007E3D1A">
              <w:rPr>
                <w:rFonts w:cs="Arial"/>
                <w:sz w:val="22"/>
              </w:rPr>
              <w:t>0812126950</w:t>
            </w:r>
          </w:p>
        </w:tc>
      </w:tr>
      <w:tr w:rsidR="00871A3A" w:rsidRPr="007E3D1A" w14:paraId="118C07F0" w14:textId="77777777" w:rsidTr="00BB0401">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158F347D" w14:textId="77777777" w:rsidR="00871A3A" w:rsidRPr="007E3D1A" w:rsidRDefault="00871A3A" w:rsidP="00BB0401">
            <w:pPr>
              <w:rPr>
                <w:rFonts w:cs="Arial"/>
                <w:sz w:val="22"/>
              </w:rPr>
            </w:pPr>
            <w:r w:rsidRPr="007E3D1A">
              <w:rPr>
                <w:rFonts w:cs="Arial"/>
                <w:sz w:val="22"/>
              </w:rPr>
              <w:t>22</w:t>
            </w:r>
          </w:p>
        </w:tc>
        <w:tc>
          <w:tcPr>
            <w:tcW w:w="3011" w:type="dxa"/>
            <w:tcBorders>
              <w:top w:val="nil"/>
              <w:left w:val="nil"/>
              <w:bottom w:val="single" w:sz="4" w:space="0" w:color="auto"/>
              <w:right w:val="single" w:sz="4" w:space="0" w:color="auto"/>
            </w:tcBorders>
            <w:shd w:val="clear" w:color="auto" w:fill="auto"/>
            <w:vAlign w:val="center"/>
            <w:hideMark/>
          </w:tcPr>
          <w:p w14:paraId="31DD5AFB" w14:textId="77777777" w:rsidR="00871A3A" w:rsidRPr="007E3D1A" w:rsidRDefault="00871A3A" w:rsidP="00BB0401">
            <w:pPr>
              <w:rPr>
                <w:rFonts w:cs="Arial"/>
                <w:sz w:val="22"/>
              </w:rPr>
            </w:pPr>
            <w:r w:rsidRPr="007E3D1A">
              <w:rPr>
                <w:rFonts w:cs="Arial"/>
                <w:sz w:val="22"/>
              </w:rPr>
              <w:t>Phanzu MBUMBA</w:t>
            </w:r>
          </w:p>
        </w:tc>
        <w:tc>
          <w:tcPr>
            <w:tcW w:w="3723" w:type="dxa"/>
            <w:tcBorders>
              <w:top w:val="nil"/>
              <w:left w:val="nil"/>
              <w:bottom w:val="single" w:sz="4" w:space="0" w:color="auto"/>
              <w:right w:val="single" w:sz="4" w:space="0" w:color="auto"/>
            </w:tcBorders>
            <w:shd w:val="clear" w:color="auto" w:fill="auto"/>
            <w:vAlign w:val="center"/>
            <w:hideMark/>
          </w:tcPr>
          <w:p w14:paraId="13F8122C" w14:textId="77777777" w:rsidR="00871A3A" w:rsidRPr="007E3D1A" w:rsidRDefault="00871A3A" w:rsidP="00BB0401">
            <w:pPr>
              <w:rPr>
                <w:rFonts w:cs="Arial"/>
                <w:sz w:val="22"/>
              </w:rPr>
            </w:pPr>
            <w:r w:rsidRPr="007E3D1A">
              <w:rPr>
                <w:rFonts w:cs="Arial"/>
                <w:sz w:val="22"/>
              </w:rPr>
              <w:t>Chef de Division Pèche et Élevage / Kongo Central</w:t>
            </w:r>
          </w:p>
        </w:tc>
        <w:tc>
          <w:tcPr>
            <w:tcW w:w="3127" w:type="dxa"/>
            <w:tcBorders>
              <w:top w:val="nil"/>
              <w:left w:val="nil"/>
              <w:bottom w:val="single" w:sz="4" w:space="0" w:color="auto"/>
              <w:right w:val="single" w:sz="4" w:space="0" w:color="auto"/>
            </w:tcBorders>
            <w:shd w:val="clear" w:color="auto" w:fill="auto"/>
            <w:vAlign w:val="center"/>
            <w:hideMark/>
          </w:tcPr>
          <w:p w14:paraId="2EDDE44C" w14:textId="77777777" w:rsidR="00871A3A" w:rsidRPr="007E3D1A" w:rsidRDefault="00871A3A" w:rsidP="00BB0401">
            <w:pPr>
              <w:rPr>
                <w:rFonts w:cs="Arial"/>
                <w:sz w:val="22"/>
              </w:rPr>
            </w:pPr>
            <w:r w:rsidRPr="007E3D1A">
              <w:rPr>
                <w:rFonts w:cs="Arial"/>
                <w:sz w:val="22"/>
              </w:rPr>
              <w:t>0898388802</w:t>
            </w:r>
          </w:p>
        </w:tc>
      </w:tr>
      <w:tr w:rsidR="00871A3A" w:rsidRPr="007E3D1A" w14:paraId="1D475F5B" w14:textId="77777777" w:rsidTr="00BB0401">
        <w:trPr>
          <w:trHeight w:val="349"/>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44192AE0" w14:textId="77777777" w:rsidR="00871A3A" w:rsidRPr="007E3D1A" w:rsidRDefault="00871A3A" w:rsidP="00BB0401">
            <w:pPr>
              <w:rPr>
                <w:rFonts w:cs="Arial"/>
                <w:sz w:val="22"/>
              </w:rPr>
            </w:pPr>
            <w:r w:rsidRPr="007E3D1A">
              <w:rPr>
                <w:rFonts w:cs="Arial"/>
                <w:sz w:val="22"/>
              </w:rPr>
              <w:t>23</w:t>
            </w:r>
          </w:p>
        </w:tc>
        <w:tc>
          <w:tcPr>
            <w:tcW w:w="3011" w:type="dxa"/>
            <w:tcBorders>
              <w:top w:val="nil"/>
              <w:left w:val="nil"/>
              <w:bottom w:val="single" w:sz="4" w:space="0" w:color="auto"/>
              <w:right w:val="single" w:sz="4" w:space="0" w:color="auto"/>
            </w:tcBorders>
            <w:shd w:val="clear" w:color="auto" w:fill="auto"/>
            <w:vAlign w:val="center"/>
            <w:hideMark/>
          </w:tcPr>
          <w:p w14:paraId="148E9F0E" w14:textId="77777777" w:rsidR="00871A3A" w:rsidRPr="007E3D1A" w:rsidRDefault="00871A3A" w:rsidP="00BB0401">
            <w:pPr>
              <w:rPr>
                <w:rFonts w:cs="Arial"/>
                <w:sz w:val="22"/>
              </w:rPr>
            </w:pPr>
            <w:r w:rsidRPr="007E3D1A">
              <w:rPr>
                <w:rFonts w:cs="Arial"/>
                <w:sz w:val="22"/>
              </w:rPr>
              <w:t>BAKEBIMO KANDA</w:t>
            </w:r>
          </w:p>
        </w:tc>
        <w:tc>
          <w:tcPr>
            <w:tcW w:w="3723" w:type="dxa"/>
            <w:tcBorders>
              <w:top w:val="nil"/>
              <w:left w:val="nil"/>
              <w:bottom w:val="single" w:sz="4" w:space="0" w:color="auto"/>
              <w:right w:val="single" w:sz="4" w:space="0" w:color="auto"/>
            </w:tcBorders>
            <w:shd w:val="clear" w:color="auto" w:fill="auto"/>
            <w:vAlign w:val="center"/>
            <w:hideMark/>
          </w:tcPr>
          <w:p w14:paraId="3E78A118" w14:textId="77777777" w:rsidR="00871A3A" w:rsidRPr="007E3D1A" w:rsidRDefault="00871A3A" w:rsidP="00BB0401">
            <w:pPr>
              <w:rPr>
                <w:rFonts w:cs="Arial"/>
                <w:sz w:val="22"/>
              </w:rPr>
            </w:pPr>
            <w:r w:rsidRPr="007E3D1A">
              <w:rPr>
                <w:rFonts w:cs="Arial"/>
                <w:sz w:val="22"/>
              </w:rPr>
              <w:t>Chef de Bureau Service Vétérinaire</w:t>
            </w:r>
          </w:p>
        </w:tc>
        <w:tc>
          <w:tcPr>
            <w:tcW w:w="3127" w:type="dxa"/>
            <w:tcBorders>
              <w:top w:val="nil"/>
              <w:left w:val="nil"/>
              <w:bottom w:val="single" w:sz="4" w:space="0" w:color="auto"/>
              <w:right w:val="single" w:sz="4" w:space="0" w:color="auto"/>
            </w:tcBorders>
            <w:shd w:val="clear" w:color="auto" w:fill="auto"/>
            <w:vAlign w:val="center"/>
            <w:hideMark/>
          </w:tcPr>
          <w:p w14:paraId="34C8FAB9" w14:textId="77777777" w:rsidR="00871A3A" w:rsidRPr="007E3D1A" w:rsidRDefault="00871A3A" w:rsidP="00BB0401">
            <w:pPr>
              <w:rPr>
                <w:rFonts w:cs="Arial"/>
                <w:sz w:val="22"/>
              </w:rPr>
            </w:pPr>
            <w:r w:rsidRPr="007E3D1A">
              <w:rPr>
                <w:rFonts w:cs="Arial"/>
                <w:sz w:val="22"/>
              </w:rPr>
              <w:t>0899128620</w:t>
            </w:r>
          </w:p>
        </w:tc>
      </w:tr>
      <w:tr w:rsidR="00871A3A" w:rsidRPr="007E3D1A" w14:paraId="2275743A" w14:textId="77777777" w:rsidTr="00BB0401">
        <w:trPr>
          <w:trHeight w:val="425"/>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621D8DC" w14:textId="77777777" w:rsidR="00871A3A" w:rsidRPr="007E3D1A" w:rsidRDefault="00871A3A" w:rsidP="00BB0401">
            <w:pPr>
              <w:rPr>
                <w:rFonts w:cs="Arial"/>
                <w:sz w:val="22"/>
              </w:rPr>
            </w:pPr>
            <w:r w:rsidRPr="007E3D1A">
              <w:rPr>
                <w:rFonts w:cs="Arial"/>
                <w:sz w:val="22"/>
              </w:rPr>
              <w:t>24</w:t>
            </w:r>
          </w:p>
        </w:tc>
        <w:tc>
          <w:tcPr>
            <w:tcW w:w="3011" w:type="dxa"/>
            <w:tcBorders>
              <w:top w:val="nil"/>
              <w:left w:val="nil"/>
              <w:bottom w:val="single" w:sz="4" w:space="0" w:color="auto"/>
              <w:right w:val="single" w:sz="4" w:space="0" w:color="auto"/>
            </w:tcBorders>
            <w:shd w:val="clear" w:color="auto" w:fill="auto"/>
            <w:vAlign w:val="center"/>
            <w:hideMark/>
          </w:tcPr>
          <w:p w14:paraId="6B894F9A" w14:textId="77777777" w:rsidR="00871A3A" w:rsidRPr="007E3D1A" w:rsidRDefault="00871A3A" w:rsidP="00BB0401">
            <w:pPr>
              <w:rPr>
                <w:rFonts w:cs="Arial"/>
                <w:sz w:val="22"/>
              </w:rPr>
            </w:pPr>
            <w:r w:rsidRPr="007E3D1A">
              <w:rPr>
                <w:rFonts w:cs="Arial"/>
                <w:sz w:val="22"/>
              </w:rPr>
              <w:t>Robert KAMBALE MANYANI</w:t>
            </w:r>
          </w:p>
        </w:tc>
        <w:tc>
          <w:tcPr>
            <w:tcW w:w="3723" w:type="dxa"/>
            <w:tcBorders>
              <w:top w:val="nil"/>
              <w:left w:val="nil"/>
              <w:bottom w:val="single" w:sz="4" w:space="0" w:color="auto"/>
              <w:right w:val="single" w:sz="4" w:space="0" w:color="auto"/>
            </w:tcBorders>
            <w:shd w:val="clear" w:color="auto" w:fill="auto"/>
            <w:vAlign w:val="center"/>
            <w:hideMark/>
          </w:tcPr>
          <w:p w14:paraId="0DBFC56D" w14:textId="77777777" w:rsidR="00871A3A" w:rsidRPr="007E3D1A" w:rsidRDefault="00871A3A" w:rsidP="00BB0401">
            <w:pPr>
              <w:rPr>
                <w:rFonts w:cs="Arial"/>
                <w:sz w:val="22"/>
              </w:rPr>
            </w:pPr>
            <w:r w:rsidRPr="007E3D1A">
              <w:rPr>
                <w:rFonts w:cs="Arial"/>
                <w:sz w:val="22"/>
              </w:rPr>
              <w:t>Ir Coordonnateur DVDA / Nord-Kivu</w:t>
            </w:r>
          </w:p>
        </w:tc>
        <w:tc>
          <w:tcPr>
            <w:tcW w:w="3127" w:type="dxa"/>
            <w:tcBorders>
              <w:top w:val="nil"/>
              <w:left w:val="nil"/>
              <w:bottom w:val="single" w:sz="4" w:space="0" w:color="auto"/>
              <w:right w:val="single" w:sz="4" w:space="0" w:color="auto"/>
            </w:tcBorders>
            <w:shd w:val="clear" w:color="auto" w:fill="auto"/>
            <w:vAlign w:val="center"/>
            <w:hideMark/>
          </w:tcPr>
          <w:p w14:paraId="1105B174" w14:textId="77777777" w:rsidR="00871A3A" w:rsidRPr="007E3D1A" w:rsidRDefault="00871A3A" w:rsidP="00BB0401">
            <w:pPr>
              <w:rPr>
                <w:rFonts w:cs="Arial"/>
                <w:sz w:val="22"/>
              </w:rPr>
            </w:pPr>
            <w:r w:rsidRPr="007E3D1A">
              <w:rPr>
                <w:rFonts w:cs="Arial"/>
                <w:sz w:val="22"/>
              </w:rPr>
              <w:t>0990573582</w:t>
            </w:r>
          </w:p>
        </w:tc>
      </w:tr>
      <w:tr w:rsidR="00871A3A" w:rsidRPr="007E3D1A" w14:paraId="13BA943E" w14:textId="77777777" w:rsidTr="00BB0401">
        <w:trPr>
          <w:trHeight w:val="5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0EF89AAF" w14:textId="77777777" w:rsidR="00871A3A" w:rsidRPr="007E3D1A" w:rsidRDefault="00871A3A" w:rsidP="00BB0401">
            <w:pPr>
              <w:rPr>
                <w:rFonts w:cs="Arial"/>
                <w:sz w:val="22"/>
              </w:rPr>
            </w:pPr>
            <w:r w:rsidRPr="007E3D1A">
              <w:rPr>
                <w:rFonts w:cs="Arial"/>
                <w:sz w:val="22"/>
              </w:rPr>
              <w:t>25</w:t>
            </w:r>
          </w:p>
        </w:tc>
        <w:tc>
          <w:tcPr>
            <w:tcW w:w="3011" w:type="dxa"/>
            <w:tcBorders>
              <w:top w:val="nil"/>
              <w:left w:val="nil"/>
              <w:bottom w:val="single" w:sz="4" w:space="0" w:color="auto"/>
              <w:right w:val="single" w:sz="4" w:space="0" w:color="auto"/>
            </w:tcBorders>
            <w:shd w:val="clear" w:color="auto" w:fill="auto"/>
            <w:vAlign w:val="center"/>
            <w:hideMark/>
          </w:tcPr>
          <w:p w14:paraId="7252D53B" w14:textId="77777777" w:rsidR="00871A3A" w:rsidRPr="007E3D1A" w:rsidRDefault="00871A3A" w:rsidP="00BB0401">
            <w:pPr>
              <w:rPr>
                <w:rFonts w:cs="Arial"/>
                <w:sz w:val="22"/>
              </w:rPr>
            </w:pPr>
            <w:r w:rsidRPr="007E3D1A">
              <w:rPr>
                <w:rFonts w:cs="Arial"/>
                <w:sz w:val="22"/>
              </w:rPr>
              <w:t>Jérôme Casimir WANGU</w:t>
            </w:r>
          </w:p>
        </w:tc>
        <w:tc>
          <w:tcPr>
            <w:tcW w:w="3723" w:type="dxa"/>
            <w:tcBorders>
              <w:top w:val="nil"/>
              <w:left w:val="nil"/>
              <w:bottom w:val="single" w:sz="4" w:space="0" w:color="auto"/>
              <w:right w:val="single" w:sz="4" w:space="0" w:color="auto"/>
            </w:tcBorders>
            <w:shd w:val="clear" w:color="auto" w:fill="auto"/>
            <w:vAlign w:val="center"/>
            <w:hideMark/>
          </w:tcPr>
          <w:p w14:paraId="6ECB3855" w14:textId="77777777" w:rsidR="00871A3A" w:rsidRPr="007E3D1A" w:rsidRDefault="00871A3A" w:rsidP="00BB0401">
            <w:pPr>
              <w:rPr>
                <w:rFonts w:cs="Arial"/>
                <w:sz w:val="22"/>
              </w:rPr>
            </w:pPr>
            <w:r w:rsidRPr="007E3D1A">
              <w:rPr>
                <w:rFonts w:cs="Arial"/>
                <w:sz w:val="22"/>
              </w:rPr>
              <w:t>Directeur Administratif et Financier DVDA / Kongo Central</w:t>
            </w:r>
          </w:p>
        </w:tc>
        <w:tc>
          <w:tcPr>
            <w:tcW w:w="3127" w:type="dxa"/>
            <w:tcBorders>
              <w:top w:val="nil"/>
              <w:left w:val="nil"/>
              <w:bottom w:val="single" w:sz="4" w:space="0" w:color="auto"/>
              <w:right w:val="single" w:sz="4" w:space="0" w:color="auto"/>
            </w:tcBorders>
            <w:shd w:val="clear" w:color="auto" w:fill="auto"/>
            <w:vAlign w:val="center"/>
            <w:hideMark/>
          </w:tcPr>
          <w:p w14:paraId="053D177C" w14:textId="77777777" w:rsidR="00871A3A" w:rsidRPr="007E3D1A" w:rsidRDefault="00871A3A" w:rsidP="00BB0401">
            <w:pPr>
              <w:rPr>
                <w:rFonts w:cs="Arial"/>
                <w:sz w:val="22"/>
              </w:rPr>
            </w:pPr>
            <w:r w:rsidRPr="007E3D1A">
              <w:rPr>
                <w:rFonts w:cs="Arial"/>
                <w:sz w:val="22"/>
              </w:rPr>
              <w:t>0855705821</w:t>
            </w:r>
          </w:p>
        </w:tc>
      </w:tr>
      <w:tr w:rsidR="00871A3A" w:rsidRPr="007E3D1A" w14:paraId="1918D90A" w14:textId="77777777" w:rsidTr="00BB0401">
        <w:trPr>
          <w:trHeight w:val="5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77D5B7BB" w14:textId="77777777" w:rsidR="00871A3A" w:rsidRPr="007E3D1A" w:rsidRDefault="00871A3A" w:rsidP="00BB0401">
            <w:pPr>
              <w:rPr>
                <w:rFonts w:cs="Arial"/>
                <w:sz w:val="22"/>
              </w:rPr>
            </w:pPr>
            <w:r w:rsidRPr="007E3D1A">
              <w:rPr>
                <w:rFonts w:cs="Arial"/>
                <w:sz w:val="22"/>
              </w:rPr>
              <w:t>26</w:t>
            </w:r>
          </w:p>
        </w:tc>
        <w:tc>
          <w:tcPr>
            <w:tcW w:w="3011" w:type="dxa"/>
            <w:tcBorders>
              <w:top w:val="nil"/>
              <w:left w:val="nil"/>
              <w:bottom w:val="single" w:sz="4" w:space="0" w:color="auto"/>
              <w:right w:val="single" w:sz="4" w:space="0" w:color="auto"/>
            </w:tcBorders>
            <w:shd w:val="clear" w:color="auto" w:fill="auto"/>
            <w:vAlign w:val="center"/>
            <w:hideMark/>
          </w:tcPr>
          <w:p w14:paraId="5CF67D63" w14:textId="77777777" w:rsidR="00871A3A" w:rsidRPr="007E3D1A" w:rsidRDefault="00871A3A" w:rsidP="00BB0401">
            <w:pPr>
              <w:rPr>
                <w:rFonts w:cs="Arial"/>
                <w:sz w:val="22"/>
              </w:rPr>
            </w:pPr>
            <w:r w:rsidRPr="007E3D1A">
              <w:rPr>
                <w:rFonts w:cs="Arial"/>
                <w:sz w:val="22"/>
              </w:rPr>
              <w:t>Augustin KALAMBA UFILE</w:t>
            </w:r>
          </w:p>
        </w:tc>
        <w:tc>
          <w:tcPr>
            <w:tcW w:w="3723" w:type="dxa"/>
            <w:tcBorders>
              <w:top w:val="nil"/>
              <w:left w:val="nil"/>
              <w:bottom w:val="single" w:sz="4" w:space="0" w:color="auto"/>
              <w:right w:val="single" w:sz="4" w:space="0" w:color="auto"/>
            </w:tcBorders>
            <w:shd w:val="clear" w:color="auto" w:fill="auto"/>
            <w:vAlign w:val="center"/>
            <w:hideMark/>
          </w:tcPr>
          <w:p w14:paraId="773533ED" w14:textId="77777777" w:rsidR="00871A3A" w:rsidRPr="007E3D1A" w:rsidRDefault="00871A3A" w:rsidP="00BB0401">
            <w:pPr>
              <w:rPr>
                <w:rFonts w:cs="Arial"/>
                <w:sz w:val="22"/>
              </w:rPr>
            </w:pPr>
            <w:r w:rsidRPr="007E3D1A">
              <w:rPr>
                <w:rFonts w:cs="Arial"/>
                <w:sz w:val="22"/>
              </w:rPr>
              <w:t>Chargé de SECAL ONG/Kasaï Central</w:t>
            </w:r>
          </w:p>
        </w:tc>
        <w:tc>
          <w:tcPr>
            <w:tcW w:w="3127" w:type="dxa"/>
            <w:tcBorders>
              <w:top w:val="nil"/>
              <w:left w:val="nil"/>
              <w:bottom w:val="single" w:sz="4" w:space="0" w:color="auto"/>
              <w:right w:val="single" w:sz="4" w:space="0" w:color="auto"/>
            </w:tcBorders>
            <w:shd w:val="clear" w:color="auto" w:fill="auto"/>
            <w:vAlign w:val="center"/>
            <w:hideMark/>
          </w:tcPr>
          <w:p w14:paraId="4F15F9B1" w14:textId="77777777" w:rsidR="00871A3A" w:rsidRPr="007E3D1A" w:rsidRDefault="00871A3A" w:rsidP="00BB0401">
            <w:pPr>
              <w:rPr>
                <w:rFonts w:cs="Arial"/>
                <w:sz w:val="22"/>
              </w:rPr>
            </w:pPr>
            <w:r w:rsidRPr="007E3D1A">
              <w:rPr>
                <w:rFonts w:cs="Arial"/>
                <w:sz w:val="22"/>
              </w:rPr>
              <w:t>0992376271 / 0818866533</w:t>
            </w:r>
          </w:p>
        </w:tc>
      </w:tr>
      <w:tr w:rsidR="00871A3A" w:rsidRPr="007E3D1A" w14:paraId="0D1D4E79" w14:textId="77777777" w:rsidTr="00BB0401">
        <w:trPr>
          <w:trHeight w:val="5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694B1106" w14:textId="77777777" w:rsidR="00871A3A" w:rsidRPr="007E3D1A" w:rsidRDefault="00871A3A" w:rsidP="00BB0401">
            <w:pPr>
              <w:rPr>
                <w:rFonts w:cs="Arial"/>
                <w:sz w:val="22"/>
              </w:rPr>
            </w:pPr>
            <w:r w:rsidRPr="007E3D1A">
              <w:rPr>
                <w:rFonts w:cs="Arial"/>
                <w:sz w:val="22"/>
              </w:rPr>
              <w:t>27</w:t>
            </w:r>
          </w:p>
        </w:tc>
        <w:tc>
          <w:tcPr>
            <w:tcW w:w="3011" w:type="dxa"/>
            <w:tcBorders>
              <w:top w:val="nil"/>
              <w:left w:val="nil"/>
              <w:bottom w:val="single" w:sz="4" w:space="0" w:color="auto"/>
              <w:right w:val="single" w:sz="4" w:space="0" w:color="auto"/>
            </w:tcBorders>
            <w:shd w:val="clear" w:color="auto" w:fill="auto"/>
            <w:vAlign w:val="center"/>
            <w:hideMark/>
          </w:tcPr>
          <w:p w14:paraId="7FD8FC73" w14:textId="77777777" w:rsidR="00871A3A" w:rsidRPr="007E3D1A" w:rsidRDefault="00871A3A" w:rsidP="00BB0401">
            <w:pPr>
              <w:rPr>
                <w:rFonts w:cs="Arial"/>
                <w:sz w:val="22"/>
              </w:rPr>
            </w:pPr>
            <w:r w:rsidRPr="007E3D1A">
              <w:rPr>
                <w:rFonts w:cs="Arial"/>
                <w:sz w:val="22"/>
              </w:rPr>
              <w:t xml:space="preserve">Jean-Paul TUBAJIKA </w:t>
            </w:r>
          </w:p>
        </w:tc>
        <w:tc>
          <w:tcPr>
            <w:tcW w:w="3723" w:type="dxa"/>
            <w:tcBorders>
              <w:top w:val="nil"/>
              <w:left w:val="nil"/>
              <w:bottom w:val="single" w:sz="4" w:space="0" w:color="auto"/>
              <w:right w:val="single" w:sz="4" w:space="0" w:color="auto"/>
            </w:tcBorders>
            <w:shd w:val="clear" w:color="auto" w:fill="auto"/>
            <w:vAlign w:val="center"/>
            <w:hideMark/>
          </w:tcPr>
          <w:p w14:paraId="4259CFD9" w14:textId="77777777" w:rsidR="00871A3A" w:rsidRPr="007E3D1A" w:rsidRDefault="00871A3A" w:rsidP="00BB0401">
            <w:pPr>
              <w:rPr>
                <w:rFonts w:cs="Arial"/>
                <w:sz w:val="22"/>
              </w:rPr>
            </w:pPr>
            <w:r w:rsidRPr="007E3D1A">
              <w:rPr>
                <w:rFonts w:cs="Arial"/>
                <w:sz w:val="22"/>
              </w:rPr>
              <w:t>Chargé du social ONG AIDS/ONG / Kasaï Central</w:t>
            </w:r>
          </w:p>
        </w:tc>
        <w:tc>
          <w:tcPr>
            <w:tcW w:w="3127" w:type="dxa"/>
            <w:tcBorders>
              <w:top w:val="nil"/>
              <w:left w:val="nil"/>
              <w:bottom w:val="single" w:sz="4" w:space="0" w:color="auto"/>
              <w:right w:val="single" w:sz="4" w:space="0" w:color="auto"/>
            </w:tcBorders>
            <w:shd w:val="clear" w:color="auto" w:fill="auto"/>
            <w:vAlign w:val="center"/>
            <w:hideMark/>
          </w:tcPr>
          <w:p w14:paraId="0A878C48" w14:textId="77777777" w:rsidR="00871A3A" w:rsidRPr="007E3D1A" w:rsidRDefault="00871A3A" w:rsidP="00BB0401">
            <w:pPr>
              <w:rPr>
                <w:rFonts w:cs="Arial"/>
                <w:sz w:val="22"/>
              </w:rPr>
            </w:pPr>
            <w:r w:rsidRPr="007E3D1A">
              <w:rPr>
                <w:rFonts w:cs="Arial"/>
                <w:sz w:val="22"/>
              </w:rPr>
              <w:t>0974602555 / 0826266764</w:t>
            </w:r>
          </w:p>
        </w:tc>
      </w:tr>
      <w:tr w:rsidR="00871A3A" w:rsidRPr="007E3D1A" w14:paraId="79F1F6EB" w14:textId="77777777" w:rsidTr="00BB0401">
        <w:trPr>
          <w:trHeight w:val="6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385820CB" w14:textId="77777777" w:rsidR="00871A3A" w:rsidRPr="007E3D1A" w:rsidRDefault="00871A3A" w:rsidP="00BB0401">
            <w:pPr>
              <w:rPr>
                <w:rFonts w:cs="Arial"/>
                <w:sz w:val="22"/>
              </w:rPr>
            </w:pPr>
            <w:r w:rsidRPr="007E3D1A">
              <w:rPr>
                <w:rFonts w:cs="Arial"/>
                <w:sz w:val="22"/>
              </w:rPr>
              <w:t>28</w:t>
            </w:r>
          </w:p>
        </w:tc>
        <w:tc>
          <w:tcPr>
            <w:tcW w:w="3011" w:type="dxa"/>
            <w:tcBorders>
              <w:top w:val="nil"/>
              <w:left w:val="nil"/>
              <w:bottom w:val="single" w:sz="4" w:space="0" w:color="auto"/>
              <w:right w:val="single" w:sz="4" w:space="0" w:color="auto"/>
            </w:tcBorders>
            <w:shd w:val="clear" w:color="auto" w:fill="auto"/>
            <w:vAlign w:val="center"/>
            <w:hideMark/>
          </w:tcPr>
          <w:p w14:paraId="27EEE55D" w14:textId="77777777" w:rsidR="00871A3A" w:rsidRPr="007E3D1A" w:rsidRDefault="00871A3A" w:rsidP="00BB0401">
            <w:pPr>
              <w:rPr>
                <w:rFonts w:cs="Arial"/>
                <w:sz w:val="22"/>
              </w:rPr>
            </w:pPr>
            <w:r w:rsidRPr="007E3D1A">
              <w:rPr>
                <w:rFonts w:cs="Arial"/>
                <w:sz w:val="22"/>
              </w:rPr>
              <w:t>Rose BUKUMBA MAKABU</w:t>
            </w:r>
          </w:p>
        </w:tc>
        <w:tc>
          <w:tcPr>
            <w:tcW w:w="3723" w:type="dxa"/>
            <w:tcBorders>
              <w:top w:val="nil"/>
              <w:left w:val="nil"/>
              <w:bottom w:val="single" w:sz="4" w:space="0" w:color="auto"/>
              <w:right w:val="single" w:sz="4" w:space="0" w:color="auto"/>
            </w:tcBorders>
            <w:shd w:val="clear" w:color="auto" w:fill="auto"/>
            <w:vAlign w:val="center"/>
            <w:hideMark/>
          </w:tcPr>
          <w:p w14:paraId="12E1DD8E" w14:textId="77777777" w:rsidR="00871A3A" w:rsidRPr="007E3D1A" w:rsidRDefault="00871A3A" w:rsidP="00BB0401">
            <w:pPr>
              <w:rPr>
                <w:rFonts w:cs="Arial"/>
                <w:sz w:val="22"/>
              </w:rPr>
            </w:pPr>
            <w:r w:rsidRPr="007E3D1A">
              <w:rPr>
                <w:rFonts w:cs="Arial"/>
                <w:sz w:val="22"/>
              </w:rPr>
              <w:t>Directrice ONG des femmes paysannes / Kasaï Central</w:t>
            </w:r>
          </w:p>
        </w:tc>
        <w:tc>
          <w:tcPr>
            <w:tcW w:w="3127" w:type="dxa"/>
            <w:tcBorders>
              <w:top w:val="nil"/>
              <w:left w:val="nil"/>
              <w:bottom w:val="single" w:sz="4" w:space="0" w:color="auto"/>
              <w:right w:val="single" w:sz="4" w:space="0" w:color="auto"/>
            </w:tcBorders>
            <w:shd w:val="clear" w:color="auto" w:fill="auto"/>
            <w:vAlign w:val="center"/>
            <w:hideMark/>
          </w:tcPr>
          <w:p w14:paraId="7DFD4FF9" w14:textId="77777777" w:rsidR="00871A3A" w:rsidRPr="007E3D1A" w:rsidRDefault="00871A3A" w:rsidP="00BB0401">
            <w:pPr>
              <w:rPr>
                <w:rFonts w:cs="Arial"/>
                <w:sz w:val="22"/>
              </w:rPr>
            </w:pPr>
            <w:r w:rsidRPr="007E3D1A">
              <w:rPr>
                <w:rFonts w:cs="Arial"/>
                <w:sz w:val="22"/>
              </w:rPr>
              <w:t>0816036499 / 0994791980</w:t>
            </w:r>
          </w:p>
        </w:tc>
      </w:tr>
      <w:tr w:rsidR="00871A3A" w:rsidRPr="007E3D1A" w14:paraId="58FC2E03" w14:textId="77777777" w:rsidTr="00BB0401">
        <w:trPr>
          <w:trHeight w:val="54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29A9220" w14:textId="77777777" w:rsidR="00871A3A" w:rsidRPr="007E3D1A" w:rsidRDefault="00871A3A" w:rsidP="00BB0401">
            <w:pPr>
              <w:rPr>
                <w:rFonts w:cs="Arial"/>
                <w:sz w:val="22"/>
              </w:rPr>
            </w:pPr>
            <w:r w:rsidRPr="007E3D1A">
              <w:rPr>
                <w:rFonts w:cs="Arial"/>
                <w:sz w:val="22"/>
              </w:rPr>
              <w:t>29</w:t>
            </w:r>
          </w:p>
        </w:tc>
        <w:tc>
          <w:tcPr>
            <w:tcW w:w="3011" w:type="dxa"/>
            <w:tcBorders>
              <w:top w:val="nil"/>
              <w:left w:val="nil"/>
              <w:bottom w:val="single" w:sz="4" w:space="0" w:color="auto"/>
              <w:right w:val="single" w:sz="4" w:space="0" w:color="auto"/>
            </w:tcBorders>
            <w:shd w:val="clear" w:color="auto" w:fill="auto"/>
            <w:vAlign w:val="center"/>
            <w:hideMark/>
          </w:tcPr>
          <w:p w14:paraId="0EE4C01A" w14:textId="77777777" w:rsidR="00871A3A" w:rsidRPr="007E3D1A" w:rsidRDefault="00871A3A" w:rsidP="00BB0401">
            <w:pPr>
              <w:rPr>
                <w:rFonts w:cs="Arial"/>
                <w:sz w:val="22"/>
              </w:rPr>
            </w:pPr>
            <w:r w:rsidRPr="007E3D1A">
              <w:rPr>
                <w:rFonts w:cs="Arial"/>
                <w:sz w:val="22"/>
              </w:rPr>
              <w:t xml:space="preserve">Ir Victor LUTENDA NTUMBA </w:t>
            </w:r>
          </w:p>
        </w:tc>
        <w:tc>
          <w:tcPr>
            <w:tcW w:w="3723" w:type="dxa"/>
            <w:tcBorders>
              <w:top w:val="nil"/>
              <w:left w:val="nil"/>
              <w:bottom w:val="single" w:sz="4" w:space="0" w:color="auto"/>
              <w:right w:val="single" w:sz="4" w:space="0" w:color="auto"/>
            </w:tcBorders>
            <w:shd w:val="clear" w:color="auto" w:fill="auto"/>
            <w:vAlign w:val="center"/>
            <w:hideMark/>
          </w:tcPr>
          <w:p w14:paraId="78AA5D30" w14:textId="77777777" w:rsidR="00871A3A" w:rsidRPr="007E3D1A" w:rsidRDefault="00871A3A" w:rsidP="00BB0401">
            <w:pPr>
              <w:rPr>
                <w:rFonts w:cs="Arial"/>
                <w:sz w:val="22"/>
              </w:rPr>
            </w:pPr>
            <w:r w:rsidRPr="007E3D1A">
              <w:rPr>
                <w:rFonts w:cs="Arial"/>
                <w:sz w:val="22"/>
              </w:rPr>
              <w:t>Coordonnateur ONG UPDMS / Kasaï Central</w:t>
            </w:r>
          </w:p>
        </w:tc>
        <w:tc>
          <w:tcPr>
            <w:tcW w:w="3127" w:type="dxa"/>
            <w:tcBorders>
              <w:top w:val="nil"/>
              <w:left w:val="nil"/>
              <w:bottom w:val="single" w:sz="4" w:space="0" w:color="auto"/>
              <w:right w:val="single" w:sz="4" w:space="0" w:color="auto"/>
            </w:tcBorders>
            <w:shd w:val="clear" w:color="auto" w:fill="auto"/>
            <w:vAlign w:val="center"/>
            <w:hideMark/>
          </w:tcPr>
          <w:p w14:paraId="3AC60009" w14:textId="77777777" w:rsidR="00871A3A" w:rsidRPr="007E3D1A" w:rsidRDefault="00871A3A" w:rsidP="00BB0401">
            <w:pPr>
              <w:rPr>
                <w:rFonts w:cs="Arial"/>
                <w:sz w:val="22"/>
              </w:rPr>
            </w:pPr>
            <w:r w:rsidRPr="007E3D1A">
              <w:rPr>
                <w:rFonts w:cs="Arial"/>
                <w:sz w:val="22"/>
              </w:rPr>
              <w:t>0995781545 / 0824091086</w:t>
            </w:r>
          </w:p>
        </w:tc>
      </w:tr>
      <w:tr w:rsidR="00871A3A" w:rsidRPr="007E3D1A" w14:paraId="123E104B" w14:textId="77777777" w:rsidTr="00BB0401">
        <w:trPr>
          <w:trHeight w:val="6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D7E13A3" w14:textId="77777777" w:rsidR="00871A3A" w:rsidRPr="007E3D1A" w:rsidRDefault="00871A3A" w:rsidP="00BB0401">
            <w:pPr>
              <w:rPr>
                <w:rFonts w:cs="Arial"/>
                <w:sz w:val="22"/>
              </w:rPr>
            </w:pPr>
            <w:r w:rsidRPr="007E3D1A">
              <w:rPr>
                <w:rFonts w:cs="Arial"/>
                <w:sz w:val="22"/>
              </w:rPr>
              <w:t>30</w:t>
            </w:r>
          </w:p>
        </w:tc>
        <w:tc>
          <w:tcPr>
            <w:tcW w:w="3011" w:type="dxa"/>
            <w:tcBorders>
              <w:top w:val="nil"/>
              <w:left w:val="nil"/>
              <w:bottom w:val="single" w:sz="4" w:space="0" w:color="auto"/>
              <w:right w:val="single" w:sz="4" w:space="0" w:color="auto"/>
            </w:tcBorders>
            <w:shd w:val="clear" w:color="auto" w:fill="auto"/>
            <w:vAlign w:val="center"/>
            <w:hideMark/>
          </w:tcPr>
          <w:p w14:paraId="48C4394B" w14:textId="77777777" w:rsidR="00871A3A" w:rsidRPr="007E3D1A" w:rsidRDefault="00871A3A" w:rsidP="00BB0401">
            <w:pPr>
              <w:rPr>
                <w:rFonts w:cs="Arial"/>
                <w:sz w:val="22"/>
              </w:rPr>
            </w:pPr>
            <w:r w:rsidRPr="007E3D1A">
              <w:rPr>
                <w:rFonts w:cs="Arial"/>
                <w:sz w:val="22"/>
              </w:rPr>
              <w:t xml:space="preserve">Modeste MPOYI BAGABEBA </w:t>
            </w:r>
          </w:p>
        </w:tc>
        <w:tc>
          <w:tcPr>
            <w:tcW w:w="3723" w:type="dxa"/>
            <w:tcBorders>
              <w:top w:val="nil"/>
              <w:left w:val="nil"/>
              <w:bottom w:val="single" w:sz="4" w:space="0" w:color="auto"/>
              <w:right w:val="single" w:sz="4" w:space="0" w:color="auto"/>
            </w:tcBorders>
            <w:shd w:val="clear" w:color="auto" w:fill="auto"/>
            <w:vAlign w:val="center"/>
            <w:hideMark/>
          </w:tcPr>
          <w:p w14:paraId="2AD6CD5C" w14:textId="77777777" w:rsidR="00871A3A" w:rsidRPr="007E3D1A" w:rsidRDefault="00871A3A" w:rsidP="00BB0401">
            <w:pPr>
              <w:rPr>
                <w:rFonts w:cs="Arial"/>
                <w:sz w:val="22"/>
              </w:rPr>
            </w:pPr>
            <w:r w:rsidRPr="007E3D1A">
              <w:rPr>
                <w:rFonts w:cs="Arial"/>
                <w:sz w:val="22"/>
              </w:rPr>
              <w:t>Fédération des Entreprises du Congo/ Kasaï Central</w:t>
            </w:r>
          </w:p>
        </w:tc>
        <w:tc>
          <w:tcPr>
            <w:tcW w:w="3127" w:type="dxa"/>
            <w:tcBorders>
              <w:top w:val="nil"/>
              <w:left w:val="nil"/>
              <w:bottom w:val="single" w:sz="4" w:space="0" w:color="auto"/>
              <w:right w:val="single" w:sz="4" w:space="0" w:color="auto"/>
            </w:tcBorders>
            <w:shd w:val="clear" w:color="auto" w:fill="auto"/>
            <w:vAlign w:val="center"/>
            <w:hideMark/>
          </w:tcPr>
          <w:p w14:paraId="0D911778" w14:textId="77777777" w:rsidR="00871A3A" w:rsidRPr="007E3D1A" w:rsidRDefault="00652264" w:rsidP="00BB0401">
            <w:pPr>
              <w:rPr>
                <w:rFonts w:cs="Arial"/>
                <w:sz w:val="22"/>
              </w:rPr>
            </w:pPr>
            <w:hyperlink r:id="rId107" w:history="1">
              <w:r w:rsidR="00871A3A" w:rsidRPr="007E3D1A">
                <w:rPr>
                  <w:rFonts w:cs="Arial"/>
                  <w:sz w:val="22"/>
                </w:rPr>
                <w:t xml:space="preserve">Poyimodeste2020@gmail.com </w:t>
              </w:r>
            </w:hyperlink>
          </w:p>
        </w:tc>
      </w:tr>
      <w:tr w:rsidR="00871A3A" w:rsidRPr="007E3D1A" w14:paraId="339430E8" w14:textId="77777777" w:rsidTr="00BB0401">
        <w:trPr>
          <w:trHeight w:val="42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7203BB79" w14:textId="77777777" w:rsidR="00871A3A" w:rsidRPr="007E3D1A" w:rsidRDefault="00871A3A" w:rsidP="00BB0401">
            <w:pPr>
              <w:rPr>
                <w:rFonts w:cs="Arial"/>
                <w:sz w:val="22"/>
              </w:rPr>
            </w:pPr>
            <w:r w:rsidRPr="007E3D1A">
              <w:rPr>
                <w:rFonts w:cs="Arial"/>
                <w:sz w:val="22"/>
              </w:rPr>
              <w:t>31</w:t>
            </w:r>
          </w:p>
        </w:tc>
        <w:tc>
          <w:tcPr>
            <w:tcW w:w="3011" w:type="dxa"/>
            <w:tcBorders>
              <w:top w:val="nil"/>
              <w:left w:val="nil"/>
              <w:bottom w:val="single" w:sz="4" w:space="0" w:color="auto"/>
              <w:right w:val="single" w:sz="4" w:space="0" w:color="auto"/>
            </w:tcBorders>
            <w:shd w:val="clear" w:color="auto" w:fill="auto"/>
            <w:vAlign w:val="center"/>
            <w:hideMark/>
          </w:tcPr>
          <w:p w14:paraId="143C13EF" w14:textId="77777777" w:rsidR="00871A3A" w:rsidRPr="007E3D1A" w:rsidRDefault="00871A3A" w:rsidP="00BB0401">
            <w:pPr>
              <w:rPr>
                <w:rFonts w:cs="Arial"/>
                <w:sz w:val="22"/>
              </w:rPr>
            </w:pPr>
            <w:r w:rsidRPr="007E3D1A">
              <w:rPr>
                <w:rFonts w:cs="Arial"/>
                <w:sz w:val="22"/>
              </w:rPr>
              <w:t>MBOMA SABINE</w:t>
            </w:r>
          </w:p>
        </w:tc>
        <w:tc>
          <w:tcPr>
            <w:tcW w:w="3723" w:type="dxa"/>
            <w:tcBorders>
              <w:top w:val="nil"/>
              <w:left w:val="nil"/>
              <w:bottom w:val="single" w:sz="4" w:space="0" w:color="auto"/>
              <w:right w:val="single" w:sz="4" w:space="0" w:color="auto"/>
            </w:tcBorders>
            <w:shd w:val="clear" w:color="auto" w:fill="auto"/>
            <w:vAlign w:val="center"/>
            <w:hideMark/>
          </w:tcPr>
          <w:p w14:paraId="5FD57EC8" w14:textId="77777777" w:rsidR="00871A3A" w:rsidRPr="007E3D1A" w:rsidRDefault="00871A3A" w:rsidP="00BB0401">
            <w:pPr>
              <w:rPr>
                <w:rFonts w:cs="Arial"/>
                <w:sz w:val="22"/>
              </w:rPr>
            </w:pPr>
            <w:r w:rsidRPr="007E3D1A">
              <w:rPr>
                <w:rFonts w:cs="Arial"/>
                <w:sz w:val="22"/>
              </w:rPr>
              <w:t>Présidente ONG RRFR/Kwilu</w:t>
            </w:r>
          </w:p>
        </w:tc>
        <w:tc>
          <w:tcPr>
            <w:tcW w:w="3127" w:type="dxa"/>
            <w:tcBorders>
              <w:top w:val="nil"/>
              <w:left w:val="nil"/>
              <w:bottom w:val="single" w:sz="4" w:space="0" w:color="auto"/>
              <w:right w:val="single" w:sz="4" w:space="0" w:color="auto"/>
            </w:tcBorders>
            <w:shd w:val="clear" w:color="auto" w:fill="auto"/>
            <w:vAlign w:val="center"/>
            <w:hideMark/>
          </w:tcPr>
          <w:p w14:paraId="1C6D9906" w14:textId="77777777" w:rsidR="00871A3A" w:rsidRPr="007E3D1A" w:rsidRDefault="00871A3A" w:rsidP="00BB0401">
            <w:pPr>
              <w:rPr>
                <w:rFonts w:cs="Arial"/>
                <w:sz w:val="22"/>
              </w:rPr>
            </w:pPr>
            <w:r w:rsidRPr="007E3D1A">
              <w:rPr>
                <w:rFonts w:cs="Arial"/>
                <w:sz w:val="22"/>
              </w:rPr>
              <w:t>0816676519</w:t>
            </w:r>
          </w:p>
        </w:tc>
      </w:tr>
      <w:tr w:rsidR="00871A3A" w:rsidRPr="007E3D1A" w14:paraId="49FA5DBB" w14:textId="77777777" w:rsidTr="00BB0401">
        <w:trPr>
          <w:trHeight w:val="42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724F0D2" w14:textId="77777777" w:rsidR="00871A3A" w:rsidRPr="007E3D1A" w:rsidRDefault="00871A3A" w:rsidP="00BB0401">
            <w:pPr>
              <w:rPr>
                <w:rFonts w:cs="Arial"/>
                <w:sz w:val="22"/>
              </w:rPr>
            </w:pPr>
            <w:r w:rsidRPr="007E3D1A">
              <w:rPr>
                <w:rFonts w:cs="Arial"/>
                <w:sz w:val="22"/>
              </w:rPr>
              <w:t>32</w:t>
            </w:r>
          </w:p>
        </w:tc>
        <w:tc>
          <w:tcPr>
            <w:tcW w:w="3011" w:type="dxa"/>
            <w:tcBorders>
              <w:top w:val="nil"/>
              <w:left w:val="nil"/>
              <w:bottom w:val="single" w:sz="4" w:space="0" w:color="auto"/>
              <w:right w:val="single" w:sz="4" w:space="0" w:color="auto"/>
            </w:tcBorders>
            <w:shd w:val="clear" w:color="auto" w:fill="auto"/>
            <w:vAlign w:val="center"/>
            <w:hideMark/>
          </w:tcPr>
          <w:p w14:paraId="3F379F80" w14:textId="77777777" w:rsidR="00871A3A" w:rsidRPr="007E3D1A" w:rsidRDefault="00871A3A" w:rsidP="00BB0401">
            <w:pPr>
              <w:rPr>
                <w:rFonts w:cs="Arial"/>
                <w:sz w:val="22"/>
              </w:rPr>
            </w:pPr>
            <w:r w:rsidRPr="007E3D1A">
              <w:rPr>
                <w:rFonts w:cs="Arial"/>
                <w:sz w:val="22"/>
              </w:rPr>
              <w:t>Laurent KAMATE</w:t>
            </w:r>
          </w:p>
        </w:tc>
        <w:tc>
          <w:tcPr>
            <w:tcW w:w="3723" w:type="dxa"/>
            <w:tcBorders>
              <w:top w:val="nil"/>
              <w:left w:val="nil"/>
              <w:bottom w:val="single" w:sz="4" w:space="0" w:color="auto"/>
              <w:right w:val="single" w:sz="4" w:space="0" w:color="auto"/>
            </w:tcBorders>
            <w:shd w:val="clear" w:color="auto" w:fill="auto"/>
            <w:vAlign w:val="center"/>
            <w:hideMark/>
          </w:tcPr>
          <w:p w14:paraId="53EECAF7" w14:textId="77777777" w:rsidR="00871A3A" w:rsidRPr="007E3D1A" w:rsidRDefault="00871A3A" w:rsidP="00BB0401">
            <w:pPr>
              <w:rPr>
                <w:rFonts w:cs="Arial"/>
                <w:sz w:val="22"/>
              </w:rPr>
            </w:pPr>
            <w:r w:rsidRPr="007E3D1A">
              <w:rPr>
                <w:rFonts w:cs="Arial"/>
                <w:sz w:val="22"/>
              </w:rPr>
              <w:t>Agronome APPRONA/Nord Kivu</w:t>
            </w:r>
          </w:p>
        </w:tc>
        <w:tc>
          <w:tcPr>
            <w:tcW w:w="3127" w:type="dxa"/>
            <w:tcBorders>
              <w:top w:val="nil"/>
              <w:left w:val="nil"/>
              <w:bottom w:val="single" w:sz="4" w:space="0" w:color="auto"/>
              <w:right w:val="single" w:sz="4" w:space="0" w:color="auto"/>
            </w:tcBorders>
            <w:shd w:val="clear" w:color="auto" w:fill="auto"/>
            <w:vAlign w:val="center"/>
            <w:hideMark/>
          </w:tcPr>
          <w:p w14:paraId="0AED3AED" w14:textId="77777777" w:rsidR="00871A3A" w:rsidRPr="007E3D1A" w:rsidRDefault="00871A3A" w:rsidP="00BB0401">
            <w:pPr>
              <w:rPr>
                <w:rFonts w:cs="Arial"/>
                <w:sz w:val="22"/>
              </w:rPr>
            </w:pPr>
            <w:r w:rsidRPr="007E3D1A">
              <w:rPr>
                <w:rFonts w:cs="Arial"/>
                <w:sz w:val="22"/>
              </w:rPr>
              <w:t>0821409411</w:t>
            </w:r>
          </w:p>
        </w:tc>
      </w:tr>
    </w:tbl>
    <w:p w14:paraId="24EA9B4A" w14:textId="77777777" w:rsidR="00871A3A" w:rsidRPr="007E3D1A" w:rsidRDefault="00871A3A" w:rsidP="00871A3A">
      <w:pPr>
        <w:rPr>
          <w:rFonts w:cs="Arial"/>
          <w:sz w:val="22"/>
        </w:rPr>
      </w:pPr>
      <w:r w:rsidRPr="007E3D1A">
        <w:rPr>
          <w:rFonts w:cs="Arial"/>
          <w:sz w:val="22"/>
        </w:rPr>
        <w:br w:type="page"/>
      </w:r>
    </w:p>
    <w:p w14:paraId="57541CE1" w14:textId="77777777" w:rsidR="00871A3A" w:rsidRPr="00372F9C" w:rsidRDefault="00871A3A" w:rsidP="00372F9C">
      <w:pPr>
        <w:ind w:left="1418" w:hanging="1418"/>
        <w:rPr>
          <w:rFonts w:cs="Arial"/>
          <w:b/>
          <w:bCs/>
          <w:sz w:val="22"/>
        </w:rPr>
      </w:pPr>
      <w:r w:rsidRPr="00372F9C">
        <w:rPr>
          <w:rFonts w:cs="Arial"/>
          <w:b/>
          <w:bCs/>
          <w:sz w:val="22"/>
        </w:rPr>
        <w:t>ANNEXE 7. QUELQUES EXEMPLAIRES DES PROCÈS-VERBAUX DES RÉUNIONS DE CONSULTATIONS DU PUBLIC ORGANISÉES DANS LES PROVINCES DU     KASAÏ, KASAÏ CENTRAL, KONGO CENTRAL, KWILU ET NORD-KIVU</w:t>
      </w:r>
    </w:p>
    <w:p w14:paraId="50E4CA04" w14:textId="77777777" w:rsidR="00871A3A" w:rsidRPr="007E3D1A" w:rsidRDefault="00871A3A" w:rsidP="00871A3A">
      <w:pPr>
        <w:rPr>
          <w:rFonts w:cs="Arial"/>
          <w:sz w:val="22"/>
        </w:rPr>
      </w:pPr>
    </w:p>
    <w:p w14:paraId="7426D2F7" w14:textId="315DB38E" w:rsidR="00871A3A" w:rsidRPr="007E3D1A" w:rsidRDefault="0078696E" w:rsidP="00871A3A">
      <w:pPr>
        <w:rPr>
          <w:rFonts w:cs="Arial"/>
          <w:sz w:val="22"/>
        </w:rPr>
      </w:pPr>
      <w:r w:rsidRPr="00730A4A">
        <w:rPr>
          <w:rFonts w:cs="Arial"/>
          <w:noProof/>
          <w:sz w:val="22"/>
        </w:rPr>
        <w:drawing>
          <wp:inline distT="0" distB="0" distL="0" distR="0" wp14:anchorId="7809D774" wp14:editId="4C213792">
            <wp:extent cx="5720080" cy="7283450"/>
            <wp:effectExtent l="0" t="0" r="0" b="0"/>
            <wp:docPr id="1" name="Image 13" descr="C:\Users\user\Documents\PNDA MAI 2020\CGES PNDA\PNDA_Missions de terrain\PNDA_PV réunion de consultation du public_Matad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user\Documents\PNDA MAI 2020\CGES PNDA\PNDA_Missions de terrain\PNDA_PV réunion de consultation du public_Matadi .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20080" cy="7283450"/>
                    </a:xfrm>
                    <a:prstGeom prst="rect">
                      <a:avLst/>
                    </a:prstGeom>
                    <a:noFill/>
                    <a:ln>
                      <a:noFill/>
                    </a:ln>
                  </pic:spPr>
                </pic:pic>
              </a:graphicData>
            </a:graphic>
          </wp:inline>
        </w:drawing>
      </w:r>
    </w:p>
    <w:p w14:paraId="107853EE" w14:textId="77777777" w:rsidR="00871A3A" w:rsidRPr="007E3D1A" w:rsidRDefault="00871A3A" w:rsidP="00871A3A">
      <w:pPr>
        <w:rPr>
          <w:rFonts w:cs="Arial"/>
          <w:sz w:val="22"/>
        </w:rPr>
      </w:pPr>
    </w:p>
    <w:p w14:paraId="73389139" w14:textId="73A8302B" w:rsidR="00871A3A" w:rsidRPr="007E3D1A" w:rsidRDefault="0078696E" w:rsidP="00871A3A">
      <w:pPr>
        <w:rPr>
          <w:rFonts w:cs="Arial"/>
          <w:sz w:val="22"/>
        </w:rPr>
      </w:pPr>
      <w:r w:rsidRPr="00730A4A">
        <w:rPr>
          <w:rFonts w:cs="Arial"/>
          <w:noProof/>
          <w:sz w:val="22"/>
        </w:rPr>
        <w:drawing>
          <wp:inline distT="0" distB="0" distL="0" distR="0" wp14:anchorId="2C9B74F4" wp14:editId="70BF3D86">
            <wp:extent cx="6017895" cy="7931785"/>
            <wp:effectExtent l="0" t="0" r="0" b="0"/>
            <wp:docPr id="2" name="Image 14" descr="C:\Users\user\Documents\PNDA MAI 2020\CGES PNDA\PNDA_Missions de terrain\PNDA_PV réunion de consultation du public_Matadi 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user\Documents\PNDA MAI 2020\CGES PNDA\PNDA_Missions de terrain\PNDA_PV réunion de consultation du public_Matadi _000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7895" cy="7931785"/>
                    </a:xfrm>
                    <a:prstGeom prst="rect">
                      <a:avLst/>
                    </a:prstGeom>
                    <a:noFill/>
                    <a:ln>
                      <a:noFill/>
                    </a:ln>
                  </pic:spPr>
                </pic:pic>
              </a:graphicData>
            </a:graphic>
          </wp:inline>
        </w:drawing>
      </w:r>
    </w:p>
    <w:p w14:paraId="5C2827A6" w14:textId="6D31EC06" w:rsidR="00871A3A" w:rsidRPr="007E3D1A" w:rsidRDefault="0078696E" w:rsidP="00871A3A">
      <w:pPr>
        <w:rPr>
          <w:rFonts w:cs="Arial"/>
          <w:sz w:val="22"/>
        </w:rPr>
      </w:pPr>
      <w:r w:rsidRPr="00730A4A">
        <w:rPr>
          <w:rFonts w:cs="Arial"/>
          <w:noProof/>
          <w:sz w:val="22"/>
        </w:rPr>
        <w:drawing>
          <wp:inline distT="0" distB="0" distL="0" distR="0" wp14:anchorId="62E27933" wp14:editId="2606C7F6">
            <wp:extent cx="6113780" cy="7931785"/>
            <wp:effectExtent l="0" t="0" r="0" b="0"/>
            <wp:docPr id="3" name="Image 15" descr="C:\Users\user\Documents\PNDA MAI 2020\CGES PNDA\PNDA_Missions de terrain\PNDA_PV réunion de consultation du public_Matadi 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user\Documents\PNDA MAI 2020\CGES PNDA\PNDA_Missions de terrain\PNDA_PV réunion de consultation du public_Matadi _000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13780" cy="7931785"/>
                    </a:xfrm>
                    <a:prstGeom prst="rect">
                      <a:avLst/>
                    </a:prstGeom>
                    <a:noFill/>
                    <a:ln>
                      <a:noFill/>
                    </a:ln>
                  </pic:spPr>
                </pic:pic>
              </a:graphicData>
            </a:graphic>
          </wp:inline>
        </w:drawing>
      </w:r>
    </w:p>
    <w:p w14:paraId="0B85F389" w14:textId="1A34A343" w:rsidR="00871A3A" w:rsidRPr="007E3D1A" w:rsidRDefault="0078696E" w:rsidP="00871A3A">
      <w:pPr>
        <w:rPr>
          <w:rFonts w:cs="Arial"/>
          <w:sz w:val="22"/>
        </w:rPr>
      </w:pPr>
      <w:r w:rsidRPr="00730A4A">
        <w:rPr>
          <w:rFonts w:cs="Arial"/>
          <w:noProof/>
          <w:sz w:val="22"/>
        </w:rPr>
        <w:drawing>
          <wp:inline distT="0" distB="0" distL="0" distR="0" wp14:anchorId="25507B16" wp14:editId="4FBCD498">
            <wp:extent cx="5847715" cy="8282940"/>
            <wp:effectExtent l="0" t="0" r="0" b="0"/>
            <wp:docPr id="4" name="Image 16" descr="C:\Users\user\Documents\PNDA MAI 2020\CGES PNDA\PNDA_Missions de terrain\BDD\PNDA_PV réunion de consultation du public_Bandu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Users\user\Documents\PNDA MAI 2020\CGES PNDA\PNDA_Missions de terrain\BDD\PNDA_PV réunion de consultation du public_Bandundu.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47715" cy="8282940"/>
                    </a:xfrm>
                    <a:prstGeom prst="rect">
                      <a:avLst/>
                    </a:prstGeom>
                    <a:noFill/>
                    <a:ln>
                      <a:noFill/>
                    </a:ln>
                  </pic:spPr>
                </pic:pic>
              </a:graphicData>
            </a:graphic>
          </wp:inline>
        </w:drawing>
      </w:r>
    </w:p>
    <w:p w14:paraId="2CDC7549" w14:textId="77777777" w:rsidR="00871A3A" w:rsidRPr="007E3D1A" w:rsidRDefault="00871A3A" w:rsidP="00871A3A">
      <w:pPr>
        <w:rPr>
          <w:rFonts w:cs="Arial"/>
          <w:sz w:val="22"/>
        </w:rPr>
      </w:pPr>
    </w:p>
    <w:p w14:paraId="208C32EF" w14:textId="407C1367" w:rsidR="00871A3A" w:rsidRPr="007E3D1A" w:rsidRDefault="0078696E" w:rsidP="00871A3A">
      <w:pPr>
        <w:rPr>
          <w:rFonts w:cs="Arial"/>
          <w:sz w:val="22"/>
        </w:rPr>
      </w:pPr>
      <w:r w:rsidRPr="00730A4A">
        <w:rPr>
          <w:rFonts w:cs="Arial"/>
          <w:noProof/>
          <w:sz w:val="22"/>
        </w:rPr>
        <w:drawing>
          <wp:inline distT="0" distB="0" distL="0" distR="0" wp14:anchorId="1B8EC181" wp14:editId="0C2D49FD">
            <wp:extent cx="6230620" cy="7070725"/>
            <wp:effectExtent l="0" t="0" r="0" b="0"/>
            <wp:docPr id="5" name="Image 17" descr="C:\Users\user\Documents\PNDA MAI 2020\CGES PNDA\PNDA_Missions de terrain\BDD\PNDA_PV réunion de consultation du public_Bandundu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Users\user\Documents\PNDA MAI 2020\CGES PNDA\PNDA_Missions de terrain\BDD\PNDA_PV réunion de consultation du public_Bandundu_000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30620" cy="7070725"/>
                    </a:xfrm>
                    <a:prstGeom prst="rect">
                      <a:avLst/>
                    </a:prstGeom>
                    <a:noFill/>
                    <a:ln>
                      <a:noFill/>
                    </a:ln>
                  </pic:spPr>
                </pic:pic>
              </a:graphicData>
            </a:graphic>
          </wp:inline>
        </w:drawing>
      </w:r>
    </w:p>
    <w:p w14:paraId="3D8AC441" w14:textId="2B5D9918" w:rsidR="00871A3A" w:rsidRPr="007E3D1A" w:rsidRDefault="0078696E" w:rsidP="00871A3A">
      <w:pPr>
        <w:rPr>
          <w:rFonts w:cs="Arial"/>
          <w:sz w:val="22"/>
        </w:rPr>
      </w:pPr>
      <w:r w:rsidRPr="00730A4A">
        <w:rPr>
          <w:rFonts w:cs="Arial"/>
          <w:noProof/>
          <w:sz w:val="22"/>
        </w:rPr>
        <w:drawing>
          <wp:inline distT="0" distB="0" distL="0" distR="0" wp14:anchorId="4EA2226B" wp14:editId="05EB3504">
            <wp:extent cx="5858510" cy="8282940"/>
            <wp:effectExtent l="0" t="0" r="0" b="0"/>
            <wp:docPr id="6" name="Image 18" descr="C:\Users\user\Documents\PNDA MAI 2020\CGES PNDA\PNDA_Missions de terrain\BDD\PNDA_PV réunion de consultation du public_Bandundu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Users\user\Documents\PNDA MAI 2020\CGES PNDA\PNDA_Missions de terrain\BDD\PNDA_PV réunion de consultation du public_Bandundu_000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58510" cy="8282940"/>
                    </a:xfrm>
                    <a:prstGeom prst="rect">
                      <a:avLst/>
                    </a:prstGeom>
                    <a:noFill/>
                    <a:ln>
                      <a:noFill/>
                    </a:ln>
                  </pic:spPr>
                </pic:pic>
              </a:graphicData>
            </a:graphic>
          </wp:inline>
        </w:drawing>
      </w:r>
    </w:p>
    <w:p w14:paraId="0F97CBC1" w14:textId="7D06AD68" w:rsidR="00871A3A" w:rsidRPr="007E3D1A" w:rsidRDefault="0078696E" w:rsidP="00871A3A">
      <w:pPr>
        <w:rPr>
          <w:rFonts w:cs="Arial"/>
          <w:sz w:val="22"/>
        </w:rPr>
      </w:pPr>
      <w:r w:rsidRPr="00730A4A">
        <w:rPr>
          <w:rFonts w:cs="Arial"/>
          <w:noProof/>
          <w:sz w:val="22"/>
        </w:rPr>
        <w:drawing>
          <wp:inline distT="0" distB="0" distL="0" distR="0" wp14:anchorId="3D0F3152" wp14:editId="45B64876">
            <wp:extent cx="5858510" cy="8282940"/>
            <wp:effectExtent l="0" t="0" r="0" b="0"/>
            <wp:docPr id="7" name="Image 19" descr="C:\Users\user\Documents\PNDA MAI 2020\CGES PNDA\PNDA_Missions de terrain\BDD\PNDA_PV réunion de consultation du public_Bandundu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Users\user\Documents\PNDA MAI 2020\CGES PNDA\PNDA_Missions de terrain\BDD\PNDA_PV réunion de consultation du public_Bandundu_000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58510" cy="8282940"/>
                    </a:xfrm>
                    <a:prstGeom prst="rect">
                      <a:avLst/>
                    </a:prstGeom>
                    <a:noFill/>
                    <a:ln>
                      <a:noFill/>
                    </a:ln>
                  </pic:spPr>
                </pic:pic>
              </a:graphicData>
            </a:graphic>
          </wp:inline>
        </w:drawing>
      </w:r>
    </w:p>
    <w:p w14:paraId="4D70724B" w14:textId="77777777" w:rsidR="00871A3A" w:rsidRPr="007E3D1A" w:rsidRDefault="00871A3A" w:rsidP="00871A3A">
      <w:pPr>
        <w:rPr>
          <w:rFonts w:cs="Arial"/>
          <w:sz w:val="22"/>
        </w:rPr>
      </w:pPr>
    </w:p>
    <w:p w14:paraId="6DDD9683" w14:textId="1AD7EB2F" w:rsidR="00871A3A" w:rsidRPr="007E3D1A" w:rsidRDefault="0078696E" w:rsidP="00871A3A">
      <w:pPr>
        <w:rPr>
          <w:rFonts w:cs="Arial"/>
          <w:sz w:val="22"/>
        </w:rPr>
      </w:pPr>
      <w:r w:rsidRPr="00730A4A">
        <w:rPr>
          <w:rFonts w:cs="Arial"/>
          <w:noProof/>
          <w:sz w:val="22"/>
        </w:rPr>
        <w:drawing>
          <wp:inline distT="0" distB="0" distL="0" distR="0" wp14:anchorId="0AE3F773" wp14:editId="782ABE6A">
            <wp:extent cx="5847715" cy="8070215"/>
            <wp:effectExtent l="0" t="0" r="0" b="0"/>
            <wp:docPr id="8" name="Image 158" descr="C:\Users\HP SPECTRE\AppData\Local\Microsoft\Windows\INetCache\Content.Outlook\XQP08MFT\scan PV consult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C:\Users\HP SPECTRE\AppData\Local\Microsoft\Windows\INetCache\Content.Outlook\XQP08MFT\scan PV consultation000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47715" cy="8070215"/>
                    </a:xfrm>
                    <a:prstGeom prst="rect">
                      <a:avLst/>
                    </a:prstGeom>
                    <a:noFill/>
                    <a:ln>
                      <a:noFill/>
                    </a:ln>
                  </pic:spPr>
                </pic:pic>
              </a:graphicData>
            </a:graphic>
          </wp:inline>
        </w:drawing>
      </w:r>
    </w:p>
    <w:p w14:paraId="68E415AD" w14:textId="72D112DA" w:rsidR="00871A3A" w:rsidRPr="007E3D1A" w:rsidRDefault="0078696E" w:rsidP="00871A3A">
      <w:pPr>
        <w:rPr>
          <w:rFonts w:cs="Arial"/>
          <w:sz w:val="22"/>
        </w:rPr>
      </w:pPr>
      <w:r w:rsidRPr="00730A4A">
        <w:rPr>
          <w:rFonts w:cs="Arial"/>
          <w:noProof/>
          <w:sz w:val="22"/>
        </w:rPr>
        <w:drawing>
          <wp:inline distT="0" distB="0" distL="0" distR="0" wp14:anchorId="6698B664" wp14:editId="6B889BE2">
            <wp:extent cx="5847715" cy="8048625"/>
            <wp:effectExtent l="0" t="0" r="0" b="0"/>
            <wp:docPr id="9" name="Image 159" descr="C:\Users\HP SPECTRE\AppData\Local\Microsoft\Windows\INetCache\Content.Outlook\XQP08MFT\scan PV consult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9" descr="C:\Users\HP SPECTRE\AppData\Local\Microsoft\Windows\INetCache\Content.Outlook\XQP08MFT\scan PV consultation000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00871A3A" w:rsidRPr="007E3D1A">
        <w:rPr>
          <w:rFonts w:cs="Arial"/>
          <w:sz w:val="22"/>
        </w:rPr>
        <w:br w:type="page"/>
      </w:r>
    </w:p>
    <w:p w14:paraId="112071E1" w14:textId="58CD9DC7" w:rsidR="00871A3A" w:rsidRPr="007E3D1A" w:rsidRDefault="0078696E" w:rsidP="00871A3A">
      <w:pPr>
        <w:rPr>
          <w:rFonts w:cs="Arial"/>
          <w:sz w:val="22"/>
        </w:rPr>
      </w:pPr>
      <w:r w:rsidRPr="00730A4A">
        <w:rPr>
          <w:rFonts w:cs="Arial"/>
          <w:noProof/>
          <w:sz w:val="22"/>
        </w:rPr>
        <w:drawing>
          <wp:inline distT="0" distB="0" distL="0" distR="0" wp14:anchorId="0B99FC56" wp14:editId="0CBA0E92">
            <wp:extent cx="5847715" cy="8048625"/>
            <wp:effectExtent l="0" t="0" r="0" b="0"/>
            <wp:docPr id="10" name="Image 160" descr="C:\Users\HP SPECTRE\AppData\Local\Microsoft\Windows\INetCache\Content.Outlook\XQP08MFT\scan PV consultatio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C:\Users\HP SPECTRE\AppData\Local\Microsoft\Windows\INetCache\Content.Outlook\XQP08MFT\scan PV consultation000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00871A3A" w:rsidRPr="007E3D1A">
        <w:rPr>
          <w:rFonts w:cs="Arial"/>
          <w:sz w:val="22"/>
        </w:rPr>
        <w:br w:type="page"/>
      </w:r>
    </w:p>
    <w:p w14:paraId="24BD8B06" w14:textId="6A50905E" w:rsidR="00871A3A" w:rsidRPr="007E3D1A" w:rsidRDefault="0078696E" w:rsidP="00871A3A">
      <w:pPr>
        <w:rPr>
          <w:rFonts w:cs="Arial"/>
          <w:sz w:val="22"/>
        </w:rPr>
      </w:pPr>
      <w:r w:rsidRPr="00730A4A">
        <w:rPr>
          <w:rFonts w:cs="Arial"/>
          <w:noProof/>
          <w:sz w:val="22"/>
        </w:rPr>
        <w:drawing>
          <wp:inline distT="0" distB="0" distL="0" distR="0" wp14:anchorId="2D723933" wp14:editId="4D81095A">
            <wp:extent cx="5847715" cy="8048625"/>
            <wp:effectExtent l="0" t="0" r="0" b="0"/>
            <wp:docPr id="11" name="Image 161" descr="C:\Users\HP SPECTRE\AppData\Local\Microsoft\Windows\INetCache\Content.Outlook\XQP08MFT\scan PV consultatio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descr="C:\Users\HP SPECTRE\AppData\Local\Microsoft\Windows\INetCache\Content.Outlook\XQP08MFT\scan PV consultation000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00871A3A" w:rsidRPr="007E3D1A">
        <w:rPr>
          <w:rFonts w:cs="Arial"/>
          <w:sz w:val="22"/>
        </w:rPr>
        <w:br w:type="page"/>
      </w:r>
    </w:p>
    <w:p w14:paraId="168B2732" w14:textId="65A5CCAC" w:rsidR="00871A3A" w:rsidRPr="007E3D1A" w:rsidRDefault="0078696E" w:rsidP="00871A3A">
      <w:pPr>
        <w:rPr>
          <w:rFonts w:cs="Arial"/>
          <w:sz w:val="22"/>
        </w:rPr>
      </w:pPr>
      <w:r w:rsidRPr="00730A4A">
        <w:rPr>
          <w:rFonts w:cs="Arial"/>
          <w:noProof/>
          <w:sz w:val="22"/>
        </w:rPr>
        <w:drawing>
          <wp:inline distT="0" distB="0" distL="0" distR="0" wp14:anchorId="120917B9" wp14:editId="3B91DBB0">
            <wp:extent cx="5847715" cy="8048625"/>
            <wp:effectExtent l="0" t="0" r="0" b="0"/>
            <wp:docPr id="12" name="Image 162" descr="C:\Users\HP SPECTRE\AppData\Local\Microsoft\Windows\INetCache\Content.Outlook\XQP08MFT\scan PV consultatio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C:\Users\HP SPECTRE\AppData\Local\Microsoft\Windows\INetCache\Content.Outlook\XQP08MFT\scan PV consultation000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736B5D9C" w14:textId="47531282" w:rsidR="00871A3A" w:rsidRPr="007E3D1A" w:rsidRDefault="00871A3A" w:rsidP="00871A3A">
      <w:pPr>
        <w:rPr>
          <w:rFonts w:cs="Arial"/>
          <w:sz w:val="22"/>
        </w:rPr>
      </w:pPr>
      <w:r w:rsidRPr="007E3D1A">
        <w:rPr>
          <w:rFonts w:cs="Arial"/>
          <w:sz w:val="22"/>
        </w:rPr>
        <w:br w:type="page"/>
      </w:r>
      <w:r w:rsidR="0078696E" w:rsidRPr="00730A4A">
        <w:rPr>
          <w:rFonts w:cs="Arial"/>
          <w:noProof/>
          <w:sz w:val="22"/>
        </w:rPr>
        <w:drawing>
          <wp:inline distT="0" distB="0" distL="0" distR="0" wp14:anchorId="01DFBE8C" wp14:editId="03A76179">
            <wp:extent cx="5847715" cy="8048625"/>
            <wp:effectExtent l="0" t="0" r="0" b="0"/>
            <wp:docPr id="13" name="Image 163" descr="C:\Users\HP SPECTRE\AppData\Local\Microsoft\Windows\INetCache\Content.Outlook\XQP08MFT\scan PV consultatio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 descr="C:\Users\HP SPECTRE\AppData\Local\Microsoft\Windows\INetCache\Content.Outlook\XQP08MFT\scan PV consultation000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78F32F91" w14:textId="1E842134" w:rsidR="00871A3A" w:rsidRPr="007E3D1A" w:rsidRDefault="00871A3A" w:rsidP="00871A3A">
      <w:pPr>
        <w:rPr>
          <w:rFonts w:cs="Arial"/>
          <w:sz w:val="22"/>
        </w:rPr>
      </w:pPr>
      <w:r w:rsidRPr="007E3D1A">
        <w:rPr>
          <w:rFonts w:cs="Arial"/>
          <w:sz w:val="22"/>
        </w:rPr>
        <w:br w:type="page"/>
      </w:r>
      <w:r w:rsidR="0078696E" w:rsidRPr="00730A4A">
        <w:rPr>
          <w:rFonts w:cs="Arial"/>
          <w:noProof/>
          <w:sz w:val="22"/>
        </w:rPr>
        <w:drawing>
          <wp:inline distT="0" distB="0" distL="0" distR="0" wp14:anchorId="7F9DA605" wp14:editId="26C995CA">
            <wp:extent cx="5847715" cy="8048625"/>
            <wp:effectExtent l="0" t="0" r="0" b="0"/>
            <wp:docPr id="14" name="Image 164" descr="C:\Users\HP SPECTRE\AppData\Local\Microsoft\Windows\INetCache\Content.Outlook\XQP08MFT\scan PV consultatio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descr="C:\Users\HP SPECTRE\AppData\Local\Microsoft\Windows\INetCache\Content.Outlook\XQP08MFT\scan PV consultation000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2474BE4C" w14:textId="047ACBAB" w:rsidR="00871A3A" w:rsidRPr="007E3D1A" w:rsidRDefault="0078696E" w:rsidP="00871A3A">
      <w:pPr>
        <w:rPr>
          <w:rFonts w:cs="Arial"/>
          <w:sz w:val="22"/>
        </w:rPr>
      </w:pPr>
      <w:r w:rsidRPr="00730A4A">
        <w:rPr>
          <w:rFonts w:cs="Arial"/>
          <w:noProof/>
          <w:sz w:val="22"/>
        </w:rPr>
        <w:drawing>
          <wp:inline distT="0" distB="0" distL="0" distR="0" wp14:anchorId="5DF7119E" wp14:editId="17C53B25">
            <wp:extent cx="5847715" cy="8038465"/>
            <wp:effectExtent l="0" t="0" r="0" b="0"/>
            <wp:docPr id="15" name="Image 165" descr="C:\Users\HP SPECTRE\AppData\Local\Microsoft\Windows\INetCache\Content.Outlook\XQP08MFT\scan PV consultatio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descr="C:\Users\HP SPECTRE\AppData\Local\Microsoft\Windows\INetCache\Content.Outlook\XQP08MFT\scan PV consultation000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47715" cy="8038465"/>
                    </a:xfrm>
                    <a:prstGeom prst="rect">
                      <a:avLst/>
                    </a:prstGeom>
                    <a:noFill/>
                    <a:ln>
                      <a:noFill/>
                    </a:ln>
                  </pic:spPr>
                </pic:pic>
              </a:graphicData>
            </a:graphic>
          </wp:inline>
        </w:drawing>
      </w:r>
      <w:r w:rsidR="00871A3A" w:rsidRPr="007E3D1A">
        <w:rPr>
          <w:rFonts w:cs="Arial"/>
          <w:sz w:val="22"/>
        </w:rPr>
        <w:br w:type="page"/>
      </w:r>
    </w:p>
    <w:p w14:paraId="2DB51D63" w14:textId="79E6C7EB" w:rsidR="00871A3A" w:rsidRPr="007E3D1A" w:rsidRDefault="0078696E" w:rsidP="00871A3A">
      <w:pPr>
        <w:rPr>
          <w:rFonts w:cs="Arial"/>
          <w:sz w:val="22"/>
        </w:rPr>
      </w:pPr>
      <w:r w:rsidRPr="00730A4A">
        <w:rPr>
          <w:rFonts w:cs="Arial"/>
          <w:noProof/>
          <w:sz w:val="22"/>
        </w:rPr>
        <w:drawing>
          <wp:inline distT="0" distB="0" distL="0" distR="0" wp14:anchorId="6A6BB848" wp14:editId="51530B56">
            <wp:extent cx="5847715" cy="8048625"/>
            <wp:effectExtent l="0" t="0" r="0" b="0"/>
            <wp:docPr id="16" name="Image 166" descr="C:\Users\HP SPECTRE\AppData\Local\Microsoft\Windows\INetCache\Content.Outlook\XQP08MFT\scan PV consultatio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descr="C:\Users\HP SPECTRE\AppData\Local\Microsoft\Windows\INetCache\Content.Outlook\XQP08MFT\scan PV consultation000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00871A3A" w:rsidRPr="007E3D1A">
        <w:rPr>
          <w:rFonts w:cs="Arial"/>
          <w:sz w:val="22"/>
        </w:rPr>
        <w:br w:type="page"/>
      </w:r>
    </w:p>
    <w:p w14:paraId="18352626" w14:textId="77FAE8B1" w:rsidR="00871A3A" w:rsidRPr="007E3D1A" w:rsidRDefault="0078696E" w:rsidP="00871A3A">
      <w:pPr>
        <w:rPr>
          <w:rFonts w:cs="Arial"/>
          <w:sz w:val="22"/>
        </w:rPr>
      </w:pPr>
      <w:r w:rsidRPr="00730A4A">
        <w:rPr>
          <w:rFonts w:cs="Arial"/>
          <w:noProof/>
          <w:sz w:val="22"/>
        </w:rPr>
        <w:drawing>
          <wp:inline distT="0" distB="0" distL="0" distR="0" wp14:anchorId="418992D9" wp14:editId="5678EBCD">
            <wp:extent cx="5847715" cy="8048625"/>
            <wp:effectExtent l="0" t="0" r="0" b="0"/>
            <wp:docPr id="17" name="Image 167" descr="C:\Users\HP SPECTRE\AppData\Local\Microsoft\Windows\INetCache\Content.Outlook\XQP08MFT\scan PV consultatio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descr="C:\Users\HP SPECTRE\AppData\Local\Microsoft\Windows\INetCache\Content.Outlook\XQP08MFT\scan PV consultation001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4A0548B6" w14:textId="0F28C014" w:rsidR="00871A3A" w:rsidRPr="007E3D1A" w:rsidRDefault="0078696E" w:rsidP="00871A3A">
      <w:pPr>
        <w:rPr>
          <w:rFonts w:cs="Arial"/>
          <w:sz w:val="22"/>
        </w:rPr>
      </w:pPr>
      <w:r w:rsidRPr="00730A4A">
        <w:rPr>
          <w:rFonts w:cs="Arial"/>
          <w:noProof/>
          <w:sz w:val="22"/>
        </w:rPr>
        <w:drawing>
          <wp:inline distT="0" distB="0" distL="0" distR="0" wp14:anchorId="55D36FDD" wp14:editId="2FD8119F">
            <wp:extent cx="5847715" cy="8048625"/>
            <wp:effectExtent l="0" t="0" r="0" b="0"/>
            <wp:docPr id="18" name="Image 168" descr="C:\Users\HP SPECTRE\AppData\Local\Microsoft\Windows\INetCache\Content.Outlook\XQP08MFT\scan PV consultatio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descr="C:\Users\HP SPECTRE\AppData\Local\Microsoft\Windows\INetCache\Content.Outlook\XQP08MFT\scan PV consultation001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00871A3A" w:rsidRPr="007E3D1A">
        <w:rPr>
          <w:rFonts w:cs="Arial"/>
          <w:sz w:val="22"/>
        </w:rPr>
        <w:br w:type="page"/>
      </w:r>
    </w:p>
    <w:p w14:paraId="47C33DD7" w14:textId="3CD362DF" w:rsidR="00871A3A" w:rsidRPr="007E3D1A" w:rsidRDefault="0078696E" w:rsidP="00871A3A">
      <w:pPr>
        <w:rPr>
          <w:rFonts w:cs="Arial"/>
          <w:sz w:val="22"/>
        </w:rPr>
      </w:pPr>
      <w:r w:rsidRPr="00730A4A">
        <w:rPr>
          <w:rFonts w:cs="Arial"/>
          <w:noProof/>
          <w:sz w:val="22"/>
        </w:rPr>
        <w:drawing>
          <wp:inline distT="0" distB="0" distL="0" distR="0" wp14:anchorId="2B7753BE" wp14:editId="2FB1388E">
            <wp:extent cx="5847715" cy="8048625"/>
            <wp:effectExtent l="0" t="0" r="0" b="0"/>
            <wp:docPr id="19" name="Image 169" descr="C:\Users\HP SPECTRE\AppData\Local\Microsoft\Windows\INetCache\Content.Outlook\XQP08MFT\scan PV consultatio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descr="C:\Users\HP SPECTRE\AppData\Local\Microsoft\Windows\INetCache\Content.Outlook\XQP08MFT\scan PV consultation001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28284523" w14:textId="451D4D86" w:rsidR="00871A3A" w:rsidRPr="007E3D1A" w:rsidRDefault="0078696E" w:rsidP="00871A3A">
      <w:pPr>
        <w:rPr>
          <w:rFonts w:cs="Arial"/>
          <w:sz w:val="22"/>
        </w:rPr>
      </w:pPr>
      <w:r w:rsidRPr="00730A4A">
        <w:rPr>
          <w:rFonts w:cs="Arial"/>
          <w:noProof/>
          <w:sz w:val="22"/>
        </w:rPr>
        <w:drawing>
          <wp:inline distT="0" distB="0" distL="0" distR="0" wp14:anchorId="1BD46D6D" wp14:editId="3AE6D8F0">
            <wp:extent cx="5847715" cy="8048625"/>
            <wp:effectExtent l="0" t="0" r="0" b="0"/>
            <wp:docPr id="20" name="Image 170" descr="C:\Users\HP SPECTRE\AppData\Local\Microsoft\Windows\INetCache\Content.Outlook\XQP08MFT\scan PV consultatio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descr="C:\Users\HP SPECTRE\AppData\Local\Microsoft\Windows\INetCache\Content.Outlook\XQP08MFT\scan PV consultation001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00871A3A" w:rsidRPr="007E3D1A">
        <w:rPr>
          <w:rFonts w:cs="Arial"/>
          <w:sz w:val="22"/>
        </w:rPr>
        <w:br w:type="page"/>
      </w:r>
    </w:p>
    <w:p w14:paraId="2BF11600" w14:textId="6E01663C" w:rsidR="00871A3A" w:rsidRPr="007E3D1A" w:rsidRDefault="0078696E" w:rsidP="00372F9C">
      <w:pPr>
        <w:ind w:left="1418" w:hanging="1418"/>
        <w:rPr>
          <w:rFonts w:cs="Arial"/>
          <w:sz w:val="22"/>
        </w:rPr>
      </w:pPr>
      <w:r w:rsidRPr="00372F9C">
        <w:rPr>
          <w:rFonts w:cs="Arial"/>
          <w:b/>
          <w:bCs/>
          <w:noProof/>
          <w:sz w:val="22"/>
        </w:rPr>
        <w:drawing>
          <wp:anchor distT="0" distB="0" distL="114300" distR="114300" simplePos="0" relativeHeight="251658275" behindDoc="0" locked="0" layoutInCell="1" allowOverlap="1" wp14:anchorId="3F76BA6D" wp14:editId="4EF37CA3">
            <wp:simplePos x="0" y="0"/>
            <wp:positionH relativeFrom="margin">
              <wp:posOffset>-28575</wp:posOffset>
            </wp:positionH>
            <wp:positionV relativeFrom="paragraph">
              <wp:posOffset>657225</wp:posOffset>
            </wp:positionV>
            <wp:extent cx="5850890" cy="7278370"/>
            <wp:effectExtent l="0" t="0" r="0" b="0"/>
            <wp:wrapNone/>
            <wp:docPr id="161" name="Image 27" descr="C:\Users\user\Documents\PNDA MAI 2020\CGES PNDA\Photos Kananga\IMG-2020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Users\user\Documents\PNDA MAI 2020\CGES PNDA\Photos Kananga\IMG-20200523-WA0016.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50890" cy="727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A3A" w:rsidRPr="00372F9C">
        <w:rPr>
          <w:rFonts w:cs="Arial"/>
          <w:b/>
          <w:bCs/>
          <w:sz w:val="22"/>
        </w:rPr>
        <w:t>ANNEXE 8. LISTES DES PRÉSENCES DES RÉUNIONS DE CONSULTATIONS DU PUBLIC ORGANISÉES DANS LES PROVINCE DU KASAÏ, KASAÏ CENTRAL, KONGO CENTRAL, KWILU, ET NORD-KIVU</w:t>
      </w:r>
      <w:r w:rsidR="00871A3A" w:rsidRPr="007E3D1A">
        <w:rPr>
          <w:rFonts w:cs="Arial"/>
          <w:sz w:val="22"/>
        </w:rPr>
        <w:br w:type="page"/>
      </w:r>
    </w:p>
    <w:p w14:paraId="5AE5C003" w14:textId="2D30165F" w:rsidR="00871A3A" w:rsidRPr="007E3D1A" w:rsidRDefault="0078696E" w:rsidP="00871A3A">
      <w:pPr>
        <w:rPr>
          <w:rFonts w:cs="Arial"/>
          <w:sz w:val="22"/>
        </w:rPr>
      </w:pPr>
      <w:r>
        <w:rPr>
          <w:noProof/>
        </w:rPr>
        <w:drawing>
          <wp:anchor distT="0" distB="0" distL="114300" distR="114300" simplePos="0" relativeHeight="251658276" behindDoc="0" locked="0" layoutInCell="1" allowOverlap="1" wp14:anchorId="48DABA8B" wp14:editId="54C53932">
            <wp:simplePos x="0" y="0"/>
            <wp:positionH relativeFrom="margin">
              <wp:align>right</wp:align>
            </wp:positionH>
            <wp:positionV relativeFrom="paragraph">
              <wp:posOffset>224155</wp:posOffset>
            </wp:positionV>
            <wp:extent cx="5850890" cy="7980045"/>
            <wp:effectExtent l="0" t="0" r="0" b="0"/>
            <wp:wrapNone/>
            <wp:docPr id="160" name="Image 28" descr="C:\Users\user\Documents\PNDA MAI 2020\CGES PNDA\TSHIKAPA\IMG-2020061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Users\user\Documents\PNDA MAI 2020\CGES PNDA\TSHIKAPA\IMG-20200610-WA005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50890" cy="798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40DE7" w14:textId="77777777" w:rsidR="00871A3A" w:rsidRPr="007E3D1A" w:rsidRDefault="00871A3A" w:rsidP="00871A3A">
      <w:pPr>
        <w:rPr>
          <w:rFonts w:cs="Arial"/>
          <w:sz w:val="22"/>
        </w:rPr>
      </w:pPr>
    </w:p>
    <w:p w14:paraId="25963674" w14:textId="77777777" w:rsidR="00871A3A" w:rsidRPr="007E3D1A" w:rsidRDefault="00871A3A" w:rsidP="00871A3A">
      <w:pPr>
        <w:rPr>
          <w:rFonts w:cs="Arial"/>
          <w:sz w:val="22"/>
        </w:rPr>
      </w:pPr>
    </w:p>
    <w:p w14:paraId="0EB3CA53" w14:textId="35184840" w:rsidR="00871A3A" w:rsidRPr="007E3D1A" w:rsidRDefault="0078696E" w:rsidP="00871A3A">
      <w:pPr>
        <w:rPr>
          <w:rFonts w:cs="Arial"/>
          <w:sz w:val="22"/>
        </w:rPr>
      </w:pPr>
      <w:r w:rsidRPr="00730A4A">
        <w:rPr>
          <w:rFonts w:cs="Arial"/>
          <w:noProof/>
          <w:sz w:val="22"/>
        </w:rPr>
        <w:drawing>
          <wp:inline distT="0" distB="0" distL="0" distR="0" wp14:anchorId="0A334343" wp14:editId="163CC9D9">
            <wp:extent cx="5869305" cy="7442835"/>
            <wp:effectExtent l="0" t="0" r="0" b="0"/>
            <wp:docPr id="21" name="Image 25" descr="C:\Users\user\Documents\PNDA MAI 2020\CGES PNDA\PNDA_Missions de terrain\PNDA_Liste de présences consultation du public-Matad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C:\Users\user\Documents\PNDA MAI 2020\CGES PNDA\PNDA_Missions de terrain\PNDA_Liste de présences consultation du public-Matadi .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69305" cy="7442835"/>
                    </a:xfrm>
                    <a:prstGeom prst="rect">
                      <a:avLst/>
                    </a:prstGeom>
                    <a:noFill/>
                    <a:ln>
                      <a:noFill/>
                    </a:ln>
                  </pic:spPr>
                </pic:pic>
              </a:graphicData>
            </a:graphic>
          </wp:inline>
        </w:drawing>
      </w:r>
    </w:p>
    <w:p w14:paraId="22657EE3" w14:textId="010CDEC0" w:rsidR="00871A3A" w:rsidRPr="007E3D1A" w:rsidRDefault="0078696E" w:rsidP="00871A3A">
      <w:pPr>
        <w:rPr>
          <w:rFonts w:cs="Arial"/>
          <w:sz w:val="22"/>
        </w:rPr>
      </w:pPr>
      <w:r w:rsidRPr="00730A4A">
        <w:rPr>
          <w:rFonts w:cs="Arial"/>
          <w:noProof/>
          <w:sz w:val="22"/>
        </w:rPr>
        <w:drawing>
          <wp:inline distT="0" distB="0" distL="0" distR="0" wp14:anchorId="6BA80FDE" wp14:editId="78B6349A">
            <wp:extent cx="6082030" cy="7920990"/>
            <wp:effectExtent l="0" t="0" r="0" b="0"/>
            <wp:docPr id="22" name="Image 26" descr="C:\Users\user\Documents\PNDA MAI 2020\CGES PNDA\PNDA_Missions de terrain\PNDA_Liste de présences consultation du public-Matadi 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user\Documents\PNDA MAI 2020\CGES PNDA\PNDA_Missions de terrain\PNDA_Liste de présences consultation du public-Matadi _000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82030" cy="7920990"/>
                    </a:xfrm>
                    <a:prstGeom prst="rect">
                      <a:avLst/>
                    </a:prstGeom>
                    <a:noFill/>
                    <a:ln>
                      <a:noFill/>
                    </a:ln>
                  </pic:spPr>
                </pic:pic>
              </a:graphicData>
            </a:graphic>
          </wp:inline>
        </w:drawing>
      </w:r>
    </w:p>
    <w:p w14:paraId="2AC18ECD" w14:textId="77777777" w:rsidR="00871A3A" w:rsidRPr="007E3D1A" w:rsidRDefault="00871A3A" w:rsidP="00871A3A">
      <w:pPr>
        <w:rPr>
          <w:rFonts w:cs="Arial"/>
          <w:sz w:val="22"/>
        </w:rPr>
      </w:pPr>
    </w:p>
    <w:p w14:paraId="5E901B1F" w14:textId="38E569FC" w:rsidR="00871A3A" w:rsidRPr="007E3D1A" w:rsidRDefault="0078696E" w:rsidP="00871A3A">
      <w:pPr>
        <w:rPr>
          <w:rFonts w:cs="Arial"/>
          <w:sz w:val="22"/>
        </w:rPr>
      </w:pPr>
      <w:r w:rsidRPr="00730A4A">
        <w:rPr>
          <w:rFonts w:cs="Arial"/>
          <w:noProof/>
          <w:sz w:val="22"/>
        </w:rPr>
        <w:drawing>
          <wp:inline distT="0" distB="0" distL="0" distR="0" wp14:anchorId="2975B023" wp14:editId="1C2B0181">
            <wp:extent cx="6039485" cy="7920990"/>
            <wp:effectExtent l="0" t="0" r="0" b="0"/>
            <wp:docPr id="23" name="Image 29" descr="C:\Users\user\Documents\PNDA MAI 2020\CGES PNDA\PNDA_Missions de terrain\BDD\PNDA_Liste des présences consultation du public_Bandu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Users\user\Documents\PNDA MAI 2020\CGES PNDA\PNDA_Missions de terrain\BDD\PNDA_Liste des présences consultation du public_Bandundu.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39485" cy="7920990"/>
                    </a:xfrm>
                    <a:prstGeom prst="rect">
                      <a:avLst/>
                    </a:prstGeom>
                    <a:noFill/>
                    <a:ln>
                      <a:noFill/>
                    </a:ln>
                  </pic:spPr>
                </pic:pic>
              </a:graphicData>
            </a:graphic>
          </wp:inline>
        </w:drawing>
      </w:r>
    </w:p>
    <w:p w14:paraId="596D6D7F" w14:textId="380F2FE8" w:rsidR="00871A3A" w:rsidRPr="007E3D1A" w:rsidRDefault="0078696E" w:rsidP="00871A3A">
      <w:pPr>
        <w:rPr>
          <w:rFonts w:cs="Arial"/>
          <w:sz w:val="22"/>
        </w:rPr>
      </w:pPr>
      <w:r w:rsidRPr="00730A4A">
        <w:rPr>
          <w:rFonts w:cs="Arial"/>
          <w:noProof/>
          <w:sz w:val="22"/>
        </w:rPr>
        <w:drawing>
          <wp:inline distT="0" distB="0" distL="0" distR="0" wp14:anchorId="22F2E531" wp14:editId="301BDD8D">
            <wp:extent cx="5847715" cy="8282940"/>
            <wp:effectExtent l="0" t="0" r="0" b="0"/>
            <wp:docPr id="24" name="Image 30" descr="C:\Users\user\Documents\PNDA MAI 2020\CGES PNDA\PNDA_Missions de terrain\BDD\PNDA_Liste des présences consultation du public_Bandundu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C:\Users\user\Documents\PNDA MAI 2020\CGES PNDA\PNDA_Missions de terrain\BDD\PNDA_Liste des présences consultation du public_Bandundu_000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47715" cy="8282940"/>
                    </a:xfrm>
                    <a:prstGeom prst="rect">
                      <a:avLst/>
                    </a:prstGeom>
                    <a:noFill/>
                    <a:ln>
                      <a:noFill/>
                    </a:ln>
                  </pic:spPr>
                </pic:pic>
              </a:graphicData>
            </a:graphic>
          </wp:inline>
        </w:drawing>
      </w:r>
    </w:p>
    <w:p w14:paraId="560E76EE" w14:textId="76C293B3" w:rsidR="00871A3A" w:rsidRPr="007E3D1A" w:rsidRDefault="0078696E" w:rsidP="00871A3A">
      <w:pPr>
        <w:rPr>
          <w:rFonts w:cs="Arial"/>
          <w:sz w:val="22"/>
        </w:rPr>
      </w:pPr>
      <w:r w:rsidRPr="00730A4A">
        <w:rPr>
          <w:rFonts w:cs="Arial"/>
          <w:noProof/>
          <w:sz w:val="22"/>
        </w:rPr>
        <w:drawing>
          <wp:inline distT="0" distB="0" distL="0" distR="0" wp14:anchorId="5B4F3E4C" wp14:editId="6ED83051">
            <wp:extent cx="5847715" cy="8048625"/>
            <wp:effectExtent l="0" t="0" r="0" b="0"/>
            <wp:docPr id="25" name="Image 177" descr="C:\Users\HP SPECTRE\AppData\Local\Microsoft\Windows\INetCache\Content.Outlook\XQP08MFT\scan liste de présenc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descr="C:\Users\HP SPECTRE\AppData\Local\Microsoft\Windows\INetCache\Content.Outlook\XQP08MFT\scan liste de présence000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03F5617B" w14:textId="5ADCB2ED" w:rsidR="00871A3A" w:rsidRPr="007E3D1A" w:rsidRDefault="00871A3A" w:rsidP="00871A3A">
      <w:pPr>
        <w:rPr>
          <w:rFonts w:cs="Arial"/>
          <w:sz w:val="22"/>
        </w:rPr>
      </w:pPr>
      <w:r w:rsidRPr="007E3D1A">
        <w:rPr>
          <w:rFonts w:cs="Arial"/>
          <w:sz w:val="22"/>
        </w:rPr>
        <w:br w:type="page"/>
      </w:r>
      <w:r w:rsidR="0078696E" w:rsidRPr="00730A4A">
        <w:rPr>
          <w:rFonts w:cs="Arial"/>
          <w:noProof/>
          <w:sz w:val="22"/>
        </w:rPr>
        <w:drawing>
          <wp:inline distT="0" distB="0" distL="0" distR="0" wp14:anchorId="0A15DDFA" wp14:editId="3FD49ECB">
            <wp:extent cx="5847715" cy="8048625"/>
            <wp:effectExtent l="0" t="0" r="0" b="0"/>
            <wp:docPr id="26" name="Image 178" descr="C:\Users\HP SPECTRE\AppData\Local\Microsoft\Windows\INetCache\Content.Outlook\XQP08MFT\scan liste de présenc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descr="C:\Users\HP SPECTRE\AppData\Local\Microsoft\Windows\INetCache\Content.Outlook\XQP08MFT\scan liste de présence000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77A95710" w14:textId="77777777" w:rsidR="00871A3A" w:rsidRPr="007E3D1A" w:rsidRDefault="00871A3A" w:rsidP="00871A3A">
      <w:pPr>
        <w:rPr>
          <w:rFonts w:cs="Arial"/>
          <w:sz w:val="22"/>
        </w:rPr>
      </w:pPr>
      <w:r w:rsidRPr="007E3D1A">
        <w:rPr>
          <w:rFonts w:cs="Arial"/>
          <w:sz w:val="22"/>
        </w:rPr>
        <w:br w:type="page"/>
      </w:r>
    </w:p>
    <w:p w14:paraId="367E0789" w14:textId="77777777" w:rsidR="00871A3A" w:rsidRPr="00372F9C" w:rsidRDefault="00871A3A" w:rsidP="00372F9C">
      <w:pPr>
        <w:ind w:left="1418" w:hanging="1418"/>
        <w:rPr>
          <w:rFonts w:cs="Arial"/>
          <w:b/>
          <w:bCs/>
          <w:sz w:val="22"/>
        </w:rPr>
      </w:pPr>
      <w:r w:rsidRPr="00372F9C">
        <w:rPr>
          <w:rFonts w:cs="Arial"/>
          <w:b/>
          <w:bCs/>
          <w:sz w:val="22"/>
        </w:rPr>
        <w:t>ANNEXE 9. QUELQUES EXEMPLAIRES DES COMMUNIQUES RADIOPHONIQUES DIFFUSÉS DANS LES VILLES KANANGA, TSHIKAPA, MATADI, BANDUNDU ET GOMA</w:t>
      </w:r>
    </w:p>
    <w:p w14:paraId="1BF3DD07" w14:textId="77777777" w:rsidR="00871A3A" w:rsidRPr="007E3D1A" w:rsidRDefault="00871A3A" w:rsidP="00871A3A">
      <w:pPr>
        <w:rPr>
          <w:rFonts w:cs="Arial"/>
          <w:sz w:val="22"/>
        </w:rPr>
      </w:pPr>
    </w:p>
    <w:p w14:paraId="7573093E" w14:textId="77777777" w:rsidR="00871A3A" w:rsidRPr="007E3D1A" w:rsidRDefault="00871A3A" w:rsidP="00871A3A">
      <w:pPr>
        <w:rPr>
          <w:rFonts w:cs="Arial"/>
          <w:sz w:val="22"/>
        </w:rPr>
      </w:pPr>
    </w:p>
    <w:p w14:paraId="59367619" w14:textId="1B3E41F9" w:rsidR="00871A3A" w:rsidRPr="007E3D1A" w:rsidRDefault="0078696E" w:rsidP="00871A3A">
      <w:pPr>
        <w:rPr>
          <w:rFonts w:cs="Arial"/>
          <w:sz w:val="22"/>
        </w:rPr>
      </w:pPr>
      <w:r w:rsidRPr="00730A4A">
        <w:rPr>
          <w:rFonts w:cs="Arial"/>
          <w:noProof/>
          <w:sz w:val="22"/>
        </w:rPr>
        <w:drawing>
          <wp:inline distT="0" distB="0" distL="0" distR="0" wp14:anchorId="03F176AC" wp14:editId="7D009AC4">
            <wp:extent cx="5847715" cy="6815455"/>
            <wp:effectExtent l="0" t="0" r="0" b="0"/>
            <wp:docPr id="27" name="Image 20" descr="C:\Users\user\Documents\PNDA MAI 2020\CGES PNDA\TSHIKAPA\IMG-202006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Users\user\Documents\PNDA MAI 2020\CGES PNDA\TSHIKAPA\IMG-20200611-WA00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47715" cy="6815455"/>
                    </a:xfrm>
                    <a:prstGeom prst="rect">
                      <a:avLst/>
                    </a:prstGeom>
                    <a:noFill/>
                    <a:ln>
                      <a:noFill/>
                    </a:ln>
                  </pic:spPr>
                </pic:pic>
              </a:graphicData>
            </a:graphic>
          </wp:inline>
        </w:drawing>
      </w:r>
      <w:r w:rsidR="00871A3A" w:rsidRPr="007E3D1A">
        <w:rPr>
          <w:rFonts w:cs="Arial"/>
          <w:sz w:val="22"/>
        </w:rPr>
        <w:br w:type="page"/>
      </w:r>
    </w:p>
    <w:p w14:paraId="195D908D" w14:textId="4DE56E9C" w:rsidR="00871A3A" w:rsidRPr="007E3D1A" w:rsidRDefault="0078696E" w:rsidP="00871A3A">
      <w:pPr>
        <w:rPr>
          <w:rFonts w:cs="Arial"/>
          <w:sz w:val="22"/>
        </w:rPr>
      </w:pPr>
      <w:r w:rsidRPr="00730A4A">
        <w:rPr>
          <w:rFonts w:cs="Arial"/>
          <w:noProof/>
          <w:sz w:val="22"/>
        </w:rPr>
        <w:drawing>
          <wp:inline distT="0" distB="0" distL="0" distR="0" wp14:anchorId="61625676" wp14:editId="6379ACC2">
            <wp:extent cx="5847715" cy="8048625"/>
            <wp:effectExtent l="0" t="0" r="0" b="0"/>
            <wp:docPr id="28" name="Image 23" descr="C:\Users\user\Documents\PNDA MAI 2020\CGES PNDA\PNDA_Missions de terrain\PNDA_Communiqué radiophonique_Matadi 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C:\Users\user\Documents\PNDA MAI 2020\CGES PNDA\PNDA_Missions de terrain\PNDA_Communiqué radiophonique_Matadi _000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357F212E" w14:textId="15CD56B9" w:rsidR="00871A3A" w:rsidRPr="007E3D1A" w:rsidRDefault="00871A3A" w:rsidP="00871A3A">
      <w:pPr>
        <w:rPr>
          <w:rFonts w:cs="Arial"/>
          <w:sz w:val="22"/>
        </w:rPr>
      </w:pPr>
      <w:r w:rsidRPr="007E3D1A">
        <w:rPr>
          <w:rFonts w:cs="Arial"/>
          <w:sz w:val="22"/>
        </w:rPr>
        <w:br w:type="page"/>
      </w:r>
      <w:r w:rsidR="0078696E" w:rsidRPr="00730A4A">
        <w:rPr>
          <w:rFonts w:cs="Arial"/>
          <w:noProof/>
          <w:sz w:val="22"/>
        </w:rPr>
        <w:drawing>
          <wp:inline distT="0" distB="0" distL="0" distR="0" wp14:anchorId="149BCCA1" wp14:editId="417738DD">
            <wp:extent cx="5847715" cy="7570470"/>
            <wp:effectExtent l="0" t="0" r="0" b="0"/>
            <wp:docPr id="29" name="Image 21" descr="C:\Users\user\Documents\PNDA MAI 2020\CGES PNDA\TSHIKAPA\IMG-202006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Users\user\Documents\PNDA MAI 2020\CGES PNDA\TSHIKAPA\IMG-20200611-WA0008.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47715" cy="7570470"/>
                    </a:xfrm>
                    <a:prstGeom prst="rect">
                      <a:avLst/>
                    </a:prstGeom>
                    <a:noFill/>
                    <a:ln>
                      <a:noFill/>
                    </a:ln>
                  </pic:spPr>
                </pic:pic>
              </a:graphicData>
            </a:graphic>
          </wp:inline>
        </w:drawing>
      </w:r>
    </w:p>
    <w:p w14:paraId="69289EC6" w14:textId="77777777" w:rsidR="00871A3A" w:rsidRPr="007E3D1A" w:rsidRDefault="00871A3A" w:rsidP="00871A3A">
      <w:pPr>
        <w:rPr>
          <w:rFonts w:cs="Arial"/>
          <w:sz w:val="22"/>
        </w:rPr>
      </w:pPr>
      <w:r w:rsidRPr="007E3D1A">
        <w:rPr>
          <w:rFonts w:cs="Arial"/>
          <w:sz w:val="22"/>
        </w:rPr>
        <w:br w:type="page"/>
      </w:r>
    </w:p>
    <w:p w14:paraId="5660138E" w14:textId="14CDDF2D" w:rsidR="00871A3A" w:rsidRPr="007E3D1A" w:rsidRDefault="0078696E" w:rsidP="00871A3A">
      <w:pPr>
        <w:rPr>
          <w:rFonts w:cs="Arial"/>
          <w:sz w:val="22"/>
        </w:rPr>
      </w:pPr>
      <w:r w:rsidRPr="00730A4A">
        <w:rPr>
          <w:rFonts w:cs="Arial"/>
          <w:noProof/>
          <w:sz w:val="22"/>
        </w:rPr>
        <w:drawing>
          <wp:inline distT="0" distB="0" distL="0" distR="0" wp14:anchorId="3805F536" wp14:editId="18A88A49">
            <wp:extent cx="5847715" cy="8166100"/>
            <wp:effectExtent l="0" t="0" r="0" b="0"/>
            <wp:docPr id="30" name="Image 22" descr="C:\Users\user\Documents\PNDA MAI 2020\CGES PNDA\PNDA_Missions de terrain\PNDA_Communiqué radiophonique_Matad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sers\user\Documents\PNDA MAI 2020\CGES PNDA\PNDA_Missions de terrain\PNDA_Communiqué radiophonique_Matadi .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47715" cy="8166100"/>
                    </a:xfrm>
                    <a:prstGeom prst="rect">
                      <a:avLst/>
                    </a:prstGeom>
                    <a:noFill/>
                    <a:ln>
                      <a:noFill/>
                    </a:ln>
                  </pic:spPr>
                </pic:pic>
              </a:graphicData>
            </a:graphic>
          </wp:inline>
        </w:drawing>
      </w:r>
      <w:r w:rsidR="00871A3A" w:rsidRPr="007E3D1A">
        <w:rPr>
          <w:rFonts w:cs="Arial"/>
          <w:sz w:val="22"/>
        </w:rPr>
        <w:br w:type="page"/>
      </w:r>
    </w:p>
    <w:p w14:paraId="3EDB1191" w14:textId="48406CA3" w:rsidR="00871A3A" w:rsidRPr="007E3D1A" w:rsidRDefault="0078696E" w:rsidP="00871A3A">
      <w:pPr>
        <w:rPr>
          <w:rFonts w:cs="Arial"/>
          <w:sz w:val="22"/>
        </w:rPr>
      </w:pPr>
      <w:r w:rsidRPr="00730A4A">
        <w:rPr>
          <w:rFonts w:cs="Arial"/>
          <w:noProof/>
          <w:sz w:val="22"/>
        </w:rPr>
        <w:drawing>
          <wp:inline distT="0" distB="0" distL="0" distR="0" wp14:anchorId="579CDF59" wp14:editId="5AB0B5EF">
            <wp:extent cx="5847715" cy="8048625"/>
            <wp:effectExtent l="0" t="0" r="0" b="0"/>
            <wp:docPr id="31" name="Image 23" descr="C:\Users\user\Documents\PNDA MAI 2020\CGES PNDA\PNDA_Missions de terrain\PNDA_Communiqué radiophonique_Matadi 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C:\Users\user\Documents\PNDA MAI 2020\CGES PNDA\PNDA_Missions de terrain\PNDA_Communiqué radiophonique_Matadi _000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00871A3A" w:rsidRPr="007E3D1A">
        <w:rPr>
          <w:rFonts w:cs="Arial"/>
          <w:sz w:val="22"/>
        </w:rPr>
        <w:br w:type="page"/>
      </w:r>
    </w:p>
    <w:p w14:paraId="753DBF7D" w14:textId="4783E5FF" w:rsidR="00871A3A" w:rsidRPr="007E3D1A" w:rsidRDefault="0078696E" w:rsidP="00871A3A">
      <w:pPr>
        <w:rPr>
          <w:rFonts w:cs="Arial"/>
          <w:sz w:val="22"/>
        </w:rPr>
      </w:pPr>
      <w:r w:rsidRPr="00730A4A">
        <w:rPr>
          <w:rFonts w:cs="Arial"/>
          <w:noProof/>
          <w:sz w:val="22"/>
        </w:rPr>
        <w:drawing>
          <wp:inline distT="0" distB="0" distL="0" distR="0" wp14:anchorId="38314528" wp14:editId="7074AFA9">
            <wp:extent cx="5847715" cy="8166100"/>
            <wp:effectExtent l="0" t="0" r="0" b="0"/>
            <wp:docPr id="32" name="Image 24" descr="C:\Users\user\Documents\PNDA MAI 2020\CGES PNDA\PNDA_Missions de terrain\PNDA_Communiqué radiophonique_Matadi 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Users\user\Documents\PNDA MAI 2020\CGES PNDA\PNDA_Missions de terrain\PNDA_Communiqué radiophonique_Matadi _000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47715" cy="8166100"/>
                    </a:xfrm>
                    <a:prstGeom prst="rect">
                      <a:avLst/>
                    </a:prstGeom>
                    <a:noFill/>
                    <a:ln>
                      <a:noFill/>
                    </a:ln>
                  </pic:spPr>
                </pic:pic>
              </a:graphicData>
            </a:graphic>
          </wp:inline>
        </w:drawing>
      </w:r>
      <w:r w:rsidR="00871A3A" w:rsidRPr="007E3D1A">
        <w:rPr>
          <w:rFonts w:cs="Arial"/>
          <w:sz w:val="22"/>
        </w:rPr>
        <w:br w:type="page"/>
      </w:r>
    </w:p>
    <w:p w14:paraId="5CE81A1E" w14:textId="339F5BD9" w:rsidR="00871A3A" w:rsidRPr="007E3D1A" w:rsidRDefault="0078696E" w:rsidP="00871A3A">
      <w:pPr>
        <w:rPr>
          <w:rFonts w:cs="Arial"/>
          <w:sz w:val="22"/>
        </w:rPr>
      </w:pPr>
      <w:r w:rsidRPr="00730A4A">
        <w:rPr>
          <w:rFonts w:cs="Arial"/>
          <w:noProof/>
          <w:sz w:val="22"/>
        </w:rPr>
        <w:drawing>
          <wp:inline distT="0" distB="0" distL="0" distR="0" wp14:anchorId="5536D19E" wp14:editId="7C2F09FE">
            <wp:extent cx="5847715" cy="8048625"/>
            <wp:effectExtent l="0" t="0" r="0" b="0"/>
            <wp:docPr id="33" name="Image 185" descr="C:\Users\HP SPECTRE\AppData\Local\Microsoft\Windows\INetCache\Content.Outlook\XQP08MFT\scan communiqué radiophoniqu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descr="C:\Users\HP SPECTRE\AppData\Local\Microsoft\Windows\INetCache\Content.Outlook\XQP08MFT\scan communiqué radiophonique000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4F3EC68A" w14:textId="7139C37E" w:rsidR="00871A3A" w:rsidRPr="007E3D1A" w:rsidRDefault="00871A3A" w:rsidP="00871A3A">
      <w:pPr>
        <w:rPr>
          <w:rFonts w:cs="Arial"/>
          <w:sz w:val="22"/>
        </w:rPr>
      </w:pPr>
      <w:r w:rsidRPr="007E3D1A">
        <w:rPr>
          <w:rFonts w:cs="Arial"/>
          <w:sz w:val="22"/>
        </w:rPr>
        <w:br w:type="page"/>
      </w:r>
      <w:r w:rsidR="0078696E" w:rsidRPr="00730A4A">
        <w:rPr>
          <w:rFonts w:cs="Arial"/>
          <w:noProof/>
          <w:sz w:val="22"/>
        </w:rPr>
        <w:drawing>
          <wp:inline distT="0" distB="0" distL="0" distR="0" wp14:anchorId="33147C2E" wp14:editId="55852DC5">
            <wp:extent cx="5847715" cy="8048625"/>
            <wp:effectExtent l="0" t="0" r="0" b="0"/>
            <wp:docPr id="34" name="Image 186" descr="C:\Users\HP SPECTRE\AppData\Local\Microsoft\Windows\INetCache\Content.Outlook\XQP08MFT\scan communiqué radiophoniqu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descr="C:\Users\HP SPECTRE\AppData\Local\Microsoft\Windows\INetCache\Content.Outlook\XQP08MFT\scan communiqué radiophonique0002.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36538D93" w14:textId="0ACD8B18" w:rsidR="00871A3A" w:rsidRPr="007E3D1A" w:rsidRDefault="00871A3A" w:rsidP="00871A3A">
      <w:pPr>
        <w:rPr>
          <w:rFonts w:cs="Arial"/>
          <w:sz w:val="22"/>
        </w:rPr>
      </w:pPr>
      <w:r w:rsidRPr="007E3D1A">
        <w:rPr>
          <w:rFonts w:cs="Arial"/>
          <w:sz w:val="22"/>
        </w:rPr>
        <w:br w:type="page"/>
      </w:r>
      <w:r w:rsidR="0078696E" w:rsidRPr="00730A4A">
        <w:rPr>
          <w:rFonts w:cs="Arial"/>
          <w:noProof/>
          <w:sz w:val="22"/>
        </w:rPr>
        <w:drawing>
          <wp:inline distT="0" distB="0" distL="0" distR="0" wp14:anchorId="33ECCC20" wp14:editId="3A8E93EC">
            <wp:extent cx="5847715" cy="8048625"/>
            <wp:effectExtent l="0" t="0" r="0" b="0"/>
            <wp:docPr id="35" name="Image 187" descr="C:\Users\HP SPECTRE\AppData\Local\Microsoft\Windows\INetCache\Content.Outlook\XQP08MFT\scan communiqué radiophoniqu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 descr="C:\Users\HP SPECTRE\AppData\Local\Microsoft\Windows\INetCache\Content.Outlook\XQP08MFT\scan communiqué radiophonique0003.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3E6B1A64" w14:textId="77777777" w:rsidR="00871A3A" w:rsidRPr="007E3D1A" w:rsidRDefault="00871A3A" w:rsidP="00871A3A">
      <w:pPr>
        <w:rPr>
          <w:rFonts w:cs="Arial"/>
          <w:sz w:val="22"/>
        </w:rPr>
      </w:pPr>
      <w:r w:rsidRPr="007E3D1A">
        <w:rPr>
          <w:rFonts w:cs="Arial"/>
          <w:sz w:val="22"/>
        </w:rPr>
        <w:br w:type="page"/>
      </w:r>
    </w:p>
    <w:p w14:paraId="2DE04DF0" w14:textId="77777777" w:rsidR="00871A3A" w:rsidRPr="00372F9C" w:rsidRDefault="00871A3A" w:rsidP="00372F9C">
      <w:pPr>
        <w:ind w:left="1418" w:hanging="1418"/>
        <w:rPr>
          <w:rFonts w:cs="Arial"/>
          <w:b/>
          <w:bCs/>
          <w:sz w:val="22"/>
        </w:rPr>
      </w:pPr>
      <w:r w:rsidRPr="00372F9C">
        <w:rPr>
          <w:rFonts w:cs="Arial"/>
          <w:b/>
          <w:bCs/>
          <w:sz w:val="22"/>
        </w:rPr>
        <w:t>ANNEXE 10. QUELQUES PHOTOS DE LA TENUE DES CONSULTATIONS DU PUBLIC ET DES ATELIERS DE RESTITUTION</w:t>
      </w:r>
    </w:p>
    <w:p w14:paraId="111AC157" w14:textId="77777777" w:rsidR="00871A3A" w:rsidRPr="007E3D1A" w:rsidRDefault="00871A3A" w:rsidP="00871A3A">
      <w:pPr>
        <w:rPr>
          <w:rFonts w:cs="Arial"/>
          <w:sz w:val="22"/>
        </w:rPr>
      </w:pPr>
    </w:p>
    <w:p w14:paraId="4A77CF37" w14:textId="77777777" w:rsidR="00871A3A" w:rsidRPr="007E3D1A" w:rsidRDefault="00871A3A" w:rsidP="00871A3A">
      <w:pPr>
        <w:rPr>
          <w:rFonts w:cs="Arial"/>
          <w:sz w:val="22"/>
        </w:rPr>
      </w:pPr>
      <w:r w:rsidRPr="007E3D1A">
        <w:rPr>
          <w:rFonts w:cs="Arial"/>
          <w:sz w:val="22"/>
        </w:rPr>
        <w:t>ANNEXE 10.A) PHOTOS DES CONSULTATIONS DU PUBLIC</w:t>
      </w:r>
    </w:p>
    <w:p w14:paraId="71555C0D" w14:textId="77777777" w:rsidR="00871A3A" w:rsidRPr="007E3D1A" w:rsidRDefault="00871A3A" w:rsidP="00871A3A">
      <w:pPr>
        <w:rPr>
          <w:rFonts w:cs="Arial"/>
          <w:sz w:val="22"/>
        </w:rPr>
      </w:pPr>
    </w:p>
    <w:p w14:paraId="72B94E37" w14:textId="77777777" w:rsidR="00871A3A" w:rsidRPr="007E3D1A" w:rsidRDefault="00871A3A" w:rsidP="00871A3A">
      <w:pPr>
        <w:rPr>
          <w:rFonts w:cs="Arial"/>
          <w:sz w:val="22"/>
        </w:rPr>
      </w:pPr>
      <w:r w:rsidRPr="007E3D1A">
        <w:rPr>
          <w:rFonts w:cs="Arial"/>
          <w:sz w:val="22"/>
        </w:rPr>
        <w:t>Photos 1 et 2. Réunion de consultation du public organisée dans la salle de réunion du Ministère Provincial de l’Agriculture du Kongo Central / Ville de Matadi</w:t>
      </w:r>
    </w:p>
    <w:p w14:paraId="49FA789C" w14:textId="34134C84" w:rsidR="00871A3A" w:rsidRPr="007E3D1A" w:rsidRDefault="0078696E" w:rsidP="00871A3A">
      <w:pPr>
        <w:rPr>
          <w:rFonts w:cs="Arial"/>
          <w:sz w:val="22"/>
        </w:rPr>
      </w:pPr>
      <w:r w:rsidRPr="00730A4A">
        <w:rPr>
          <w:rFonts w:cs="Arial"/>
          <w:noProof/>
          <w:sz w:val="22"/>
        </w:rPr>
        <w:drawing>
          <wp:inline distT="0" distB="0" distL="0" distR="0" wp14:anchorId="1E5FB22E" wp14:editId="6C1671A9">
            <wp:extent cx="5486400" cy="2658110"/>
            <wp:effectExtent l="0" t="0" r="0" b="0"/>
            <wp:docPr id="36" name="Image 188" descr="C:\Users\user\Documents\PNDA MAI 2020\CGES PNDA\Photos Matadi\IMG-202006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descr="C:\Users\user\Documents\PNDA MAI 2020\CGES PNDA\Photos Matadi\IMG-20200606-WA000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86400" cy="2658110"/>
                    </a:xfrm>
                    <a:prstGeom prst="rect">
                      <a:avLst/>
                    </a:prstGeom>
                    <a:noFill/>
                    <a:ln>
                      <a:noFill/>
                    </a:ln>
                  </pic:spPr>
                </pic:pic>
              </a:graphicData>
            </a:graphic>
          </wp:inline>
        </w:drawing>
      </w:r>
    </w:p>
    <w:p w14:paraId="28F1D06A" w14:textId="77777777" w:rsidR="00871A3A" w:rsidRPr="007E3D1A" w:rsidRDefault="00871A3A" w:rsidP="00871A3A">
      <w:pPr>
        <w:rPr>
          <w:rFonts w:cs="Arial"/>
          <w:sz w:val="22"/>
        </w:rPr>
      </w:pPr>
    </w:p>
    <w:p w14:paraId="5FD540E2" w14:textId="1F73CE9E" w:rsidR="00871A3A" w:rsidRPr="007E3D1A" w:rsidRDefault="0078696E" w:rsidP="00871A3A">
      <w:pPr>
        <w:rPr>
          <w:rFonts w:cs="Arial"/>
          <w:sz w:val="22"/>
        </w:rPr>
      </w:pPr>
      <w:r w:rsidRPr="00730A4A">
        <w:rPr>
          <w:rFonts w:cs="Arial"/>
          <w:noProof/>
          <w:sz w:val="22"/>
        </w:rPr>
        <w:drawing>
          <wp:inline distT="0" distB="0" distL="0" distR="0" wp14:anchorId="58435E49" wp14:editId="6E64789B">
            <wp:extent cx="5486400" cy="2658110"/>
            <wp:effectExtent l="0" t="0" r="0" b="0"/>
            <wp:docPr id="37" name="Image 189" descr="C:\Users\user\Documents\PNDA MAI 2020\CGES PNDA\Photos Matadi\IMG-202006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9" descr="C:\Users\user\Documents\PNDA MAI 2020\CGES PNDA\Photos Matadi\IMG-20200606-WA0010.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86400" cy="2658110"/>
                    </a:xfrm>
                    <a:prstGeom prst="rect">
                      <a:avLst/>
                    </a:prstGeom>
                    <a:noFill/>
                    <a:ln>
                      <a:noFill/>
                    </a:ln>
                  </pic:spPr>
                </pic:pic>
              </a:graphicData>
            </a:graphic>
          </wp:inline>
        </w:drawing>
      </w:r>
    </w:p>
    <w:p w14:paraId="1326F7CB" w14:textId="77777777" w:rsidR="00871A3A" w:rsidRPr="007E3D1A" w:rsidRDefault="00871A3A" w:rsidP="00871A3A">
      <w:pPr>
        <w:rPr>
          <w:rFonts w:cs="Arial"/>
          <w:sz w:val="22"/>
        </w:rPr>
      </w:pPr>
    </w:p>
    <w:p w14:paraId="58FCEA7B" w14:textId="77777777" w:rsidR="00871A3A" w:rsidRPr="007E3D1A" w:rsidRDefault="00871A3A" w:rsidP="00871A3A">
      <w:pPr>
        <w:rPr>
          <w:rFonts w:cs="Arial"/>
          <w:sz w:val="22"/>
        </w:rPr>
      </w:pPr>
    </w:p>
    <w:p w14:paraId="79BC5250" w14:textId="77777777" w:rsidR="00871A3A" w:rsidRPr="007E3D1A" w:rsidRDefault="00871A3A" w:rsidP="00871A3A">
      <w:pPr>
        <w:rPr>
          <w:rFonts w:cs="Arial"/>
          <w:sz w:val="22"/>
        </w:rPr>
      </w:pPr>
    </w:p>
    <w:p w14:paraId="48AEBAE7" w14:textId="77777777" w:rsidR="00871A3A" w:rsidRPr="007E3D1A" w:rsidRDefault="00871A3A" w:rsidP="00871A3A">
      <w:pPr>
        <w:rPr>
          <w:rFonts w:cs="Arial"/>
          <w:sz w:val="22"/>
        </w:rPr>
      </w:pPr>
    </w:p>
    <w:p w14:paraId="724502DC" w14:textId="77777777" w:rsidR="00871A3A" w:rsidRPr="007E3D1A" w:rsidRDefault="00871A3A" w:rsidP="00871A3A">
      <w:pPr>
        <w:rPr>
          <w:rFonts w:cs="Arial"/>
          <w:sz w:val="22"/>
        </w:rPr>
      </w:pPr>
    </w:p>
    <w:p w14:paraId="5C8BB50C" w14:textId="77777777" w:rsidR="00871A3A" w:rsidRPr="007E3D1A" w:rsidRDefault="00871A3A" w:rsidP="00871A3A">
      <w:pPr>
        <w:rPr>
          <w:rFonts w:cs="Arial"/>
          <w:sz w:val="22"/>
        </w:rPr>
      </w:pPr>
    </w:p>
    <w:p w14:paraId="76AD6266" w14:textId="77777777" w:rsidR="00871A3A" w:rsidRPr="007E3D1A" w:rsidRDefault="00871A3A" w:rsidP="00871A3A">
      <w:pPr>
        <w:rPr>
          <w:rFonts w:cs="Arial"/>
          <w:sz w:val="22"/>
        </w:rPr>
      </w:pPr>
    </w:p>
    <w:p w14:paraId="74A4E979" w14:textId="77777777" w:rsidR="00871A3A" w:rsidRPr="007E3D1A" w:rsidRDefault="00871A3A" w:rsidP="00871A3A">
      <w:pPr>
        <w:rPr>
          <w:rFonts w:cs="Arial"/>
          <w:sz w:val="22"/>
        </w:rPr>
      </w:pPr>
    </w:p>
    <w:p w14:paraId="759DC210" w14:textId="77777777" w:rsidR="00871A3A" w:rsidRPr="007E3D1A" w:rsidRDefault="00871A3A" w:rsidP="00871A3A">
      <w:pPr>
        <w:rPr>
          <w:rFonts w:cs="Arial"/>
          <w:sz w:val="22"/>
        </w:rPr>
      </w:pPr>
    </w:p>
    <w:p w14:paraId="402ACA70" w14:textId="77777777" w:rsidR="00871A3A" w:rsidRPr="007E3D1A" w:rsidRDefault="00871A3A" w:rsidP="00871A3A">
      <w:pPr>
        <w:rPr>
          <w:rFonts w:cs="Arial"/>
          <w:sz w:val="22"/>
        </w:rPr>
      </w:pPr>
    </w:p>
    <w:p w14:paraId="44A4F072" w14:textId="77777777" w:rsidR="00871A3A" w:rsidRPr="007E3D1A" w:rsidRDefault="00871A3A" w:rsidP="00871A3A">
      <w:pPr>
        <w:rPr>
          <w:rFonts w:cs="Arial"/>
          <w:sz w:val="22"/>
        </w:rPr>
      </w:pPr>
    </w:p>
    <w:p w14:paraId="06A92361" w14:textId="77777777" w:rsidR="00871A3A" w:rsidRPr="007E3D1A" w:rsidRDefault="00871A3A" w:rsidP="00871A3A">
      <w:pPr>
        <w:rPr>
          <w:rFonts w:cs="Arial"/>
          <w:sz w:val="22"/>
        </w:rPr>
      </w:pPr>
    </w:p>
    <w:p w14:paraId="21BEEB2D" w14:textId="77777777" w:rsidR="00871A3A" w:rsidRPr="007E3D1A" w:rsidRDefault="00871A3A" w:rsidP="00871A3A">
      <w:pPr>
        <w:rPr>
          <w:rFonts w:cs="Arial"/>
          <w:sz w:val="22"/>
        </w:rPr>
      </w:pPr>
    </w:p>
    <w:p w14:paraId="3450D3E6" w14:textId="77777777" w:rsidR="00871A3A" w:rsidRPr="007E3D1A" w:rsidRDefault="00871A3A" w:rsidP="00871A3A">
      <w:pPr>
        <w:rPr>
          <w:rFonts w:cs="Arial"/>
          <w:sz w:val="22"/>
        </w:rPr>
      </w:pPr>
      <w:r w:rsidRPr="007E3D1A">
        <w:rPr>
          <w:rFonts w:cs="Arial"/>
          <w:sz w:val="22"/>
        </w:rPr>
        <w:t>Photos 3 et 4. Réunion de consultation du public organisée dans la Ville de Kananga dans la Province du Kasaï Central</w:t>
      </w:r>
    </w:p>
    <w:p w14:paraId="1BDDDB06" w14:textId="61407163" w:rsidR="00871A3A" w:rsidRPr="007E3D1A" w:rsidRDefault="0078696E" w:rsidP="00871A3A">
      <w:pPr>
        <w:rPr>
          <w:rFonts w:cs="Arial"/>
          <w:sz w:val="22"/>
        </w:rPr>
      </w:pPr>
      <w:r w:rsidRPr="00730A4A">
        <w:rPr>
          <w:rFonts w:cs="Arial"/>
          <w:noProof/>
          <w:sz w:val="22"/>
        </w:rPr>
        <w:drawing>
          <wp:inline distT="0" distB="0" distL="0" distR="0" wp14:anchorId="2B84EC9D" wp14:editId="2BE73DF4">
            <wp:extent cx="5443855" cy="2445385"/>
            <wp:effectExtent l="0" t="0" r="0" b="0"/>
            <wp:docPr id="38" name="Image 190" descr="C:\Users\user\Documents\PNDA MAI 2020\CGES PNDA\Photos Kananga\IMG-20200523-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 descr="C:\Users\user\Documents\PNDA MAI 2020\CGES PNDA\Photos Kananga\IMG-20200523-WA005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43855" cy="2445385"/>
                    </a:xfrm>
                    <a:prstGeom prst="rect">
                      <a:avLst/>
                    </a:prstGeom>
                    <a:noFill/>
                    <a:ln>
                      <a:noFill/>
                    </a:ln>
                  </pic:spPr>
                </pic:pic>
              </a:graphicData>
            </a:graphic>
          </wp:inline>
        </w:drawing>
      </w:r>
    </w:p>
    <w:p w14:paraId="29283F10" w14:textId="77777777" w:rsidR="00871A3A" w:rsidRPr="007E3D1A" w:rsidRDefault="00871A3A" w:rsidP="00871A3A">
      <w:pPr>
        <w:rPr>
          <w:rFonts w:cs="Arial"/>
          <w:sz w:val="22"/>
        </w:rPr>
      </w:pPr>
    </w:p>
    <w:p w14:paraId="0808000A" w14:textId="540D9CA0" w:rsidR="00871A3A" w:rsidRPr="007E3D1A" w:rsidRDefault="0078696E" w:rsidP="00871A3A">
      <w:pPr>
        <w:rPr>
          <w:rFonts w:cs="Arial"/>
          <w:sz w:val="22"/>
        </w:rPr>
      </w:pPr>
      <w:r w:rsidRPr="00730A4A">
        <w:rPr>
          <w:rFonts w:cs="Arial"/>
          <w:noProof/>
          <w:sz w:val="22"/>
        </w:rPr>
        <w:drawing>
          <wp:inline distT="0" distB="0" distL="0" distR="0" wp14:anchorId="25761190" wp14:editId="56FA1BE9">
            <wp:extent cx="5518150" cy="2487930"/>
            <wp:effectExtent l="0" t="0" r="0" b="0"/>
            <wp:docPr id="39" name="Image 191" descr="C:\Users\user\Documents\PNDA MAI 2020\CGES PNDA\Photos Kananga\IMG-20200523-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 descr="C:\Users\user\Documents\PNDA MAI 2020\CGES PNDA\Photos Kananga\IMG-20200523-WA0046.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18150" cy="2487930"/>
                    </a:xfrm>
                    <a:prstGeom prst="rect">
                      <a:avLst/>
                    </a:prstGeom>
                    <a:noFill/>
                    <a:ln>
                      <a:noFill/>
                    </a:ln>
                  </pic:spPr>
                </pic:pic>
              </a:graphicData>
            </a:graphic>
          </wp:inline>
        </w:drawing>
      </w:r>
    </w:p>
    <w:p w14:paraId="35F62E17" w14:textId="77777777" w:rsidR="00871A3A" w:rsidRPr="007E3D1A" w:rsidRDefault="00871A3A" w:rsidP="00871A3A">
      <w:pPr>
        <w:rPr>
          <w:rFonts w:cs="Arial"/>
          <w:sz w:val="22"/>
        </w:rPr>
      </w:pPr>
    </w:p>
    <w:p w14:paraId="4052F382" w14:textId="77777777" w:rsidR="00871A3A" w:rsidRPr="007E3D1A" w:rsidRDefault="00871A3A" w:rsidP="00871A3A">
      <w:pPr>
        <w:rPr>
          <w:rFonts w:cs="Arial"/>
          <w:sz w:val="22"/>
        </w:rPr>
      </w:pPr>
      <w:r w:rsidRPr="007E3D1A">
        <w:rPr>
          <w:rFonts w:cs="Arial"/>
          <w:sz w:val="22"/>
        </w:rPr>
        <w:t>Photos 5 et 6. Réunion de consultation du public organisée dans la Ville de Tshikapa dans la Province du Kasaï</w:t>
      </w:r>
    </w:p>
    <w:p w14:paraId="4954A32F" w14:textId="2767DA85" w:rsidR="00871A3A" w:rsidRPr="007E3D1A" w:rsidRDefault="0078696E" w:rsidP="00871A3A">
      <w:pPr>
        <w:rPr>
          <w:rFonts w:cs="Arial"/>
          <w:sz w:val="22"/>
        </w:rPr>
      </w:pPr>
      <w:r w:rsidRPr="00730A4A">
        <w:rPr>
          <w:rFonts w:cs="Arial"/>
          <w:noProof/>
          <w:sz w:val="22"/>
        </w:rPr>
        <w:drawing>
          <wp:inline distT="0" distB="0" distL="0" distR="0" wp14:anchorId="3D8C8293" wp14:editId="049D7395">
            <wp:extent cx="5582285" cy="2509520"/>
            <wp:effectExtent l="0" t="0" r="0" b="0"/>
            <wp:docPr id="40" name="Image 192" descr="C:\Users\user\Documents\PNDA MAI 2020\CGES PNDA\TSHIKAPA\IMG-2020061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C:\Users\user\Documents\PNDA MAI 2020\CGES PNDA\TSHIKAPA\IMG-20200610-WA0019.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2285" cy="2509520"/>
                    </a:xfrm>
                    <a:prstGeom prst="rect">
                      <a:avLst/>
                    </a:prstGeom>
                    <a:noFill/>
                    <a:ln>
                      <a:noFill/>
                    </a:ln>
                  </pic:spPr>
                </pic:pic>
              </a:graphicData>
            </a:graphic>
          </wp:inline>
        </w:drawing>
      </w:r>
    </w:p>
    <w:p w14:paraId="4F051D90" w14:textId="77777777" w:rsidR="00871A3A" w:rsidRPr="007E3D1A" w:rsidRDefault="00871A3A" w:rsidP="00871A3A">
      <w:pPr>
        <w:rPr>
          <w:rFonts w:cs="Arial"/>
          <w:sz w:val="22"/>
        </w:rPr>
      </w:pPr>
    </w:p>
    <w:p w14:paraId="124BEED6" w14:textId="44473ECF" w:rsidR="00871A3A" w:rsidRPr="007E3D1A" w:rsidRDefault="0078696E" w:rsidP="00871A3A">
      <w:pPr>
        <w:rPr>
          <w:rFonts w:cs="Arial"/>
          <w:sz w:val="22"/>
        </w:rPr>
      </w:pPr>
      <w:r w:rsidRPr="00730A4A">
        <w:rPr>
          <w:rFonts w:cs="Arial"/>
          <w:noProof/>
          <w:sz w:val="22"/>
        </w:rPr>
        <w:drawing>
          <wp:inline distT="0" distB="0" distL="0" distR="0" wp14:anchorId="527A2342" wp14:editId="731D40AE">
            <wp:extent cx="5582285" cy="2509520"/>
            <wp:effectExtent l="0" t="0" r="0" b="0"/>
            <wp:docPr id="41" name="Image 193" descr="C:\Users\user\Documents\PNDA MAI 2020\CGES PNDA\TSHIKAPA\IMG-2020061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C:\Users\user\Documents\PNDA MAI 2020\CGES PNDA\TSHIKAPA\IMG-20200610-WA0033.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82285" cy="2509520"/>
                    </a:xfrm>
                    <a:prstGeom prst="rect">
                      <a:avLst/>
                    </a:prstGeom>
                    <a:noFill/>
                    <a:ln>
                      <a:noFill/>
                    </a:ln>
                  </pic:spPr>
                </pic:pic>
              </a:graphicData>
            </a:graphic>
          </wp:inline>
        </w:drawing>
      </w:r>
    </w:p>
    <w:p w14:paraId="06165333" w14:textId="77777777" w:rsidR="00871A3A" w:rsidRPr="007E3D1A" w:rsidRDefault="00871A3A" w:rsidP="00871A3A">
      <w:pPr>
        <w:rPr>
          <w:rFonts w:cs="Arial"/>
          <w:sz w:val="22"/>
        </w:rPr>
      </w:pPr>
    </w:p>
    <w:p w14:paraId="21827BA2" w14:textId="77777777" w:rsidR="00871A3A" w:rsidRPr="007E3D1A" w:rsidRDefault="00871A3A" w:rsidP="00871A3A">
      <w:pPr>
        <w:rPr>
          <w:rFonts w:cs="Arial"/>
          <w:sz w:val="22"/>
        </w:rPr>
      </w:pPr>
      <w:r w:rsidRPr="007E3D1A">
        <w:rPr>
          <w:rFonts w:cs="Arial"/>
          <w:sz w:val="22"/>
        </w:rPr>
        <w:t>Photo 7. Présentation des civilités auprès du Ministre Provincial de l’Agriculture, Pêche et Élevage, et Développement Rural du Kwilu dans la Ville de Bandundu</w:t>
      </w:r>
    </w:p>
    <w:p w14:paraId="25CDC0DB" w14:textId="1BDF5714" w:rsidR="00871A3A" w:rsidRPr="007E3D1A" w:rsidRDefault="0078696E" w:rsidP="00871A3A">
      <w:pPr>
        <w:rPr>
          <w:rFonts w:cs="Arial"/>
          <w:sz w:val="22"/>
        </w:rPr>
      </w:pPr>
      <w:r w:rsidRPr="00730A4A">
        <w:rPr>
          <w:rFonts w:cs="Arial"/>
          <w:noProof/>
          <w:sz w:val="22"/>
        </w:rPr>
        <w:drawing>
          <wp:inline distT="0" distB="0" distL="0" distR="0" wp14:anchorId="32A77D5C" wp14:editId="6306EDD8">
            <wp:extent cx="5582285" cy="2711450"/>
            <wp:effectExtent l="0" t="0" r="0" b="0"/>
            <wp:docPr id="42" name="Image 194" descr="C:\Users\user\Documents\PNDA MAI 2020\CGES PNDA\PNDA_Missions de terrain\BDD\IMG-2020061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descr="C:\Users\user\Documents\PNDA MAI 2020\CGES PNDA\PNDA_Missions de terrain\BDD\IMG-20200615-WA0021.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2285" cy="2711450"/>
                    </a:xfrm>
                    <a:prstGeom prst="rect">
                      <a:avLst/>
                    </a:prstGeom>
                    <a:noFill/>
                    <a:ln>
                      <a:noFill/>
                    </a:ln>
                  </pic:spPr>
                </pic:pic>
              </a:graphicData>
            </a:graphic>
          </wp:inline>
        </w:drawing>
      </w:r>
    </w:p>
    <w:p w14:paraId="616C6494" w14:textId="77777777" w:rsidR="00871A3A" w:rsidRPr="007E3D1A" w:rsidRDefault="00871A3A" w:rsidP="00871A3A">
      <w:pPr>
        <w:rPr>
          <w:rFonts w:cs="Arial"/>
          <w:sz w:val="22"/>
        </w:rPr>
      </w:pPr>
    </w:p>
    <w:p w14:paraId="165B6580" w14:textId="3A9D24E1" w:rsidR="00871A3A" w:rsidRPr="007E3D1A" w:rsidRDefault="0078696E" w:rsidP="00871A3A">
      <w:pPr>
        <w:rPr>
          <w:rFonts w:cs="Arial"/>
          <w:sz w:val="22"/>
        </w:rPr>
      </w:pPr>
      <w:r>
        <w:rPr>
          <w:noProof/>
        </w:rPr>
        <w:drawing>
          <wp:anchor distT="0" distB="0" distL="114300" distR="114300" simplePos="0" relativeHeight="251658278" behindDoc="0" locked="0" layoutInCell="1" allowOverlap="1" wp14:anchorId="5E80F8DA" wp14:editId="02C78099">
            <wp:simplePos x="0" y="0"/>
            <wp:positionH relativeFrom="column">
              <wp:posOffset>90170</wp:posOffset>
            </wp:positionH>
            <wp:positionV relativeFrom="paragraph">
              <wp:posOffset>351155</wp:posOffset>
            </wp:positionV>
            <wp:extent cx="5578475" cy="2711450"/>
            <wp:effectExtent l="0" t="0" r="0" b="0"/>
            <wp:wrapNone/>
            <wp:docPr id="159" name="Image 195" descr="C:\Users\user\Documents\PNDA MAI 2020\CGES PNDA\PNDA_Missions de terrain\BDD\IMG-202006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descr="C:\Users\user\Documents\PNDA MAI 2020\CGES PNDA\PNDA_Missions de terrain\BDD\IMG-20200615-WA0033.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7847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A3A" w:rsidRPr="007E3D1A">
        <w:rPr>
          <w:rFonts w:cs="Arial"/>
          <w:sz w:val="22"/>
        </w:rPr>
        <w:t>Photo 8. Réunion d’e consultation du public organisée dans la salle de réunion de l’Inspection Provinciale de l’Agriculture du Kwilu / Ville de Bandundu</w:t>
      </w:r>
    </w:p>
    <w:p w14:paraId="4B5189E9" w14:textId="77777777" w:rsidR="00871A3A" w:rsidRPr="007E3D1A" w:rsidRDefault="00871A3A" w:rsidP="00871A3A">
      <w:pPr>
        <w:rPr>
          <w:rFonts w:cs="Arial"/>
          <w:sz w:val="22"/>
        </w:rPr>
      </w:pPr>
    </w:p>
    <w:p w14:paraId="12248225" w14:textId="77777777" w:rsidR="00871A3A" w:rsidRPr="007E3D1A" w:rsidRDefault="00871A3A" w:rsidP="00871A3A">
      <w:pPr>
        <w:rPr>
          <w:rFonts w:cs="Arial"/>
          <w:sz w:val="22"/>
        </w:rPr>
      </w:pPr>
    </w:p>
    <w:p w14:paraId="1DA17865" w14:textId="77777777" w:rsidR="00871A3A" w:rsidRPr="007E3D1A" w:rsidRDefault="00871A3A" w:rsidP="00871A3A">
      <w:pPr>
        <w:rPr>
          <w:rFonts w:cs="Arial"/>
          <w:sz w:val="22"/>
        </w:rPr>
      </w:pPr>
      <w:r w:rsidRPr="007E3D1A">
        <w:rPr>
          <w:rFonts w:cs="Arial"/>
          <w:sz w:val="22"/>
        </w:rPr>
        <w:br w:type="page"/>
      </w:r>
    </w:p>
    <w:p w14:paraId="569481F2" w14:textId="77777777" w:rsidR="00871A3A" w:rsidRPr="007E3D1A" w:rsidRDefault="00871A3A" w:rsidP="00871A3A">
      <w:pPr>
        <w:rPr>
          <w:rFonts w:cs="Arial"/>
          <w:sz w:val="22"/>
        </w:rPr>
      </w:pPr>
      <w:r w:rsidRPr="007E3D1A">
        <w:rPr>
          <w:rFonts w:cs="Arial"/>
          <w:sz w:val="22"/>
        </w:rPr>
        <w:t xml:space="preserve">Photos 9 et 10 Réunion d’e consultation du public organisée dans la salle Polyvalente de la Maison de la femme du Ministère Provincial du Genre, Familles et Enfats du Nord-Kivu / Ville de Goma </w:t>
      </w:r>
    </w:p>
    <w:p w14:paraId="1A4A1727" w14:textId="567EDDA1" w:rsidR="00871A3A" w:rsidRPr="007E3D1A" w:rsidRDefault="0078696E" w:rsidP="00871A3A">
      <w:pPr>
        <w:rPr>
          <w:rFonts w:cs="Arial"/>
          <w:sz w:val="22"/>
        </w:rPr>
      </w:pPr>
      <w:r w:rsidRPr="00730A4A">
        <w:rPr>
          <w:rFonts w:cs="Arial"/>
          <w:noProof/>
          <w:sz w:val="22"/>
        </w:rPr>
        <w:drawing>
          <wp:inline distT="0" distB="0" distL="0" distR="0" wp14:anchorId="14D7B983" wp14:editId="5C26C5CB">
            <wp:extent cx="4316730" cy="3242945"/>
            <wp:effectExtent l="0" t="0" r="0" b="0"/>
            <wp:docPr id="43" name="Image 196" descr="C:\Users\HP Notebook\Pictures\Dossier PNDA_ Goma juin 2020\PHOTOS CONSULTATION GOMA PNDA\TimePhoto_20200619_12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descr="C:\Users\HP Notebook\Pictures\Dossier PNDA_ Goma juin 2020\PHOTOS CONSULTATION GOMA PNDA\TimePhoto_20200619_123413.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16730" cy="3242945"/>
                    </a:xfrm>
                    <a:prstGeom prst="rect">
                      <a:avLst/>
                    </a:prstGeom>
                    <a:noFill/>
                    <a:ln>
                      <a:noFill/>
                    </a:ln>
                  </pic:spPr>
                </pic:pic>
              </a:graphicData>
            </a:graphic>
          </wp:inline>
        </w:drawing>
      </w:r>
    </w:p>
    <w:p w14:paraId="2766FEC6" w14:textId="77777777" w:rsidR="00871A3A" w:rsidRPr="007E3D1A" w:rsidRDefault="00871A3A" w:rsidP="00871A3A">
      <w:pPr>
        <w:rPr>
          <w:rFonts w:cs="Arial"/>
          <w:sz w:val="22"/>
        </w:rPr>
      </w:pPr>
    </w:p>
    <w:p w14:paraId="3548AFF9" w14:textId="6F56F90A" w:rsidR="00871A3A" w:rsidRPr="007E3D1A" w:rsidRDefault="0078696E" w:rsidP="00871A3A">
      <w:pPr>
        <w:rPr>
          <w:rFonts w:cs="Arial"/>
          <w:sz w:val="22"/>
        </w:rPr>
      </w:pPr>
      <w:r>
        <w:rPr>
          <w:noProof/>
        </w:rPr>
        <w:drawing>
          <wp:anchor distT="0" distB="0" distL="114300" distR="114300" simplePos="0" relativeHeight="251658277" behindDoc="0" locked="0" layoutInCell="1" allowOverlap="1" wp14:anchorId="32F482CC" wp14:editId="63EBFD08">
            <wp:simplePos x="0" y="0"/>
            <wp:positionH relativeFrom="column">
              <wp:posOffset>655320</wp:posOffset>
            </wp:positionH>
            <wp:positionV relativeFrom="paragraph">
              <wp:posOffset>22225</wp:posOffset>
            </wp:positionV>
            <wp:extent cx="4320540" cy="3239770"/>
            <wp:effectExtent l="0" t="0" r="0" b="0"/>
            <wp:wrapThrough wrapText="bothSides">
              <wp:wrapPolygon edited="0">
                <wp:start x="0" y="0"/>
                <wp:lineTo x="0" y="21465"/>
                <wp:lineTo x="21524" y="21465"/>
                <wp:lineTo x="21524" y="0"/>
                <wp:lineTo x="0" y="0"/>
              </wp:wrapPolygon>
            </wp:wrapThrough>
            <wp:docPr id="158" name="Image 197" descr="C:\Users\HP Notebook\Pictures\Dossier PNDA_ Goma juin 2020\PHOTOS CONSULTATION GOMA PNDA\TimePhoto_20200619_14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descr="C:\Users\HP Notebook\Pictures\Dossier PNDA_ Goma juin 2020\PHOTOS CONSULTATION GOMA PNDA\TimePhoto_20200619_145256.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2054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3A638" w14:textId="77777777" w:rsidR="00871A3A" w:rsidRPr="007E3D1A" w:rsidRDefault="00871A3A" w:rsidP="00871A3A">
      <w:pPr>
        <w:rPr>
          <w:rFonts w:cs="Arial"/>
          <w:sz w:val="22"/>
        </w:rPr>
      </w:pPr>
    </w:p>
    <w:p w14:paraId="7B5C861C" w14:textId="77777777" w:rsidR="00871A3A" w:rsidRPr="007E3D1A" w:rsidRDefault="00871A3A" w:rsidP="00871A3A">
      <w:pPr>
        <w:rPr>
          <w:rFonts w:cs="Arial"/>
          <w:sz w:val="22"/>
        </w:rPr>
      </w:pPr>
    </w:p>
    <w:p w14:paraId="2791E339" w14:textId="77777777" w:rsidR="00871A3A" w:rsidRPr="007E3D1A" w:rsidRDefault="00871A3A" w:rsidP="00871A3A">
      <w:pPr>
        <w:rPr>
          <w:rFonts w:cs="Arial"/>
          <w:sz w:val="22"/>
        </w:rPr>
      </w:pPr>
    </w:p>
    <w:p w14:paraId="22C6CFB6" w14:textId="77777777" w:rsidR="00871A3A" w:rsidRPr="007E3D1A" w:rsidRDefault="00871A3A" w:rsidP="00871A3A">
      <w:pPr>
        <w:rPr>
          <w:rFonts w:cs="Arial"/>
          <w:sz w:val="22"/>
        </w:rPr>
      </w:pPr>
    </w:p>
    <w:p w14:paraId="401B2FF7" w14:textId="77777777" w:rsidR="00871A3A" w:rsidRPr="007E3D1A" w:rsidRDefault="00871A3A" w:rsidP="00871A3A">
      <w:pPr>
        <w:rPr>
          <w:rFonts w:cs="Arial"/>
          <w:sz w:val="22"/>
        </w:rPr>
      </w:pPr>
    </w:p>
    <w:p w14:paraId="6E0BEF12" w14:textId="77777777" w:rsidR="00871A3A" w:rsidRPr="007E3D1A" w:rsidRDefault="00871A3A" w:rsidP="00871A3A">
      <w:pPr>
        <w:rPr>
          <w:rFonts w:cs="Arial"/>
          <w:sz w:val="22"/>
        </w:rPr>
      </w:pPr>
    </w:p>
    <w:p w14:paraId="5ADF654C" w14:textId="77777777" w:rsidR="00871A3A" w:rsidRPr="007E3D1A" w:rsidRDefault="00871A3A" w:rsidP="00871A3A">
      <w:pPr>
        <w:rPr>
          <w:rFonts w:cs="Arial"/>
          <w:sz w:val="22"/>
        </w:rPr>
      </w:pPr>
    </w:p>
    <w:p w14:paraId="473DF3D8" w14:textId="77777777" w:rsidR="00871A3A" w:rsidRPr="007E3D1A" w:rsidRDefault="00871A3A" w:rsidP="00871A3A">
      <w:pPr>
        <w:rPr>
          <w:rFonts w:cs="Arial"/>
          <w:sz w:val="22"/>
        </w:rPr>
      </w:pPr>
    </w:p>
    <w:p w14:paraId="2EC07A24" w14:textId="77777777" w:rsidR="00871A3A" w:rsidRPr="007E3D1A" w:rsidRDefault="00871A3A" w:rsidP="00871A3A">
      <w:pPr>
        <w:rPr>
          <w:rFonts w:cs="Arial"/>
          <w:sz w:val="22"/>
        </w:rPr>
      </w:pPr>
    </w:p>
    <w:p w14:paraId="291A744C" w14:textId="77777777" w:rsidR="00871A3A" w:rsidRPr="007E3D1A" w:rsidRDefault="00871A3A" w:rsidP="00871A3A">
      <w:pPr>
        <w:rPr>
          <w:rFonts w:cs="Arial"/>
          <w:sz w:val="22"/>
        </w:rPr>
      </w:pPr>
    </w:p>
    <w:p w14:paraId="76EC4A71" w14:textId="77777777" w:rsidR="00871A3A" w:rsidRPr="007E3D1A" w:rsidRDefault="00871A3A" w:rsidP="00871A3A">
      <w:pPr>
        <w:rPr>
          <w:rFonts w:cs="Arial"/>
          <w:sz w:val="22"/>
        </w:rPr>
      </w:pPr>
    </w:p>
    <w:p w14:paraId="61F0D227" w14:textId="77777777" w:rsidR="00871A3A" w:rsidRPr="007E3D1A" w:rsidRDefault="00871A3A" w:rsidP="00871A3A">
      <w:pPr>
        <w:rPr>
          <w:rFonts w:cs="Arial"/>
          <w:sz w:val="22"/>
        </w:rPr>
      </w:pPr>
    </w:p>
    <w:p w14:paraId="6EBAFACE" w14:textId="77777777" w:rsidR="00871A3A" w:rsidRPr="007E3D1A" w:rsidRDefault="00871A3A" w:rsidP="00871A3A">
      <w:pPr>
        <w:rPr>
          <w:rFonts w:cs="Arial"/>
          <w:sz w:val="22"/>
        </w:rPr>
      </w:pPr>
    </w:p>
    <w:p w14:paraId="1634AC78" w14:textId="77777777" w:rsidR="00871A3A" w:rsidRPr="007E3D1A" w:rsidRDefault="00871A3A" w:rsidP="00871A3A">
      <w:pPr>
        <w:rPr>
          <w:rFonts w:cs="Arial"/>
          <w:sz w:val="22"/>
        </w:rPr>
      </w:pPr>
    </w:p>
    <w:p w14:paraId="7DC94657" w14:textId="77777777" w:rsidR="00871A3A" w:rsidRPr="007E3D1A" w:rsidRDefault="00871A3A" w:rsidP="00871A3A">
      <w:pPr>
        <w:rPr>
          <w:rFonts w:cs="Arial"/>
          <w:sz w:val="22"/>
        </w:rPr>
      </w:pPr>
    </w:p>
    <w:p w14:paraId="2D9C7423" w14:textId="77777777" w:rsidR="00871A3A" w:rsidRPr="007E3D1A" w:rsidRDefault="00871A3A" w:rsidP="00871A3A">
      <w:pPr>
        <w:rPr>
          <w:rFonts w:cs="Arial"/>
          <w:sz w:val="22"/>
        </w:rPr>
      </w:pPr>
    </w:p>
    <w:p w14:paraId="6620385B" w14:textId="77777777" w:rsidR="00871A3A" w:rsidRPr="007E3D1A" w:rsidRDefault="00871A3A" w:rsidP="00871A3A">
      <w:pPr>
        <w:rPr>
          <w:rFonts w:cs="Arial"/>
          <w:sz w:val="22"/>
        </w:rPr>
      </w:pPr>
    </w:p>
    <w:p w14:paraId="7D1EEC7F" w14:textId="77777777" w:rsidR="00871A3A" w:rsidRPr="007E3D1A" w:rsidRDefault="00871A3A" w:rsidP="00871A3A">
      <w:pPr>
        <w:rPr>
          <w:rFonts w:cs="Arial"/>
          <w:sz w:val="22"/>
        </w:rPr>
      </w:pPr>
      <w:r w:rsidRPr="007E3D1A">
        <w:rPr>
          <w:rFonts w:cs="Arial"/>
          <w:sz w:val="22"/>
        </w:rPr>
        <w:br w:type="page"/>
      </w:r>
    </w:p>
    <w:p w14:paraId="2663C47E" w14:textId="77777777" w:rsidR="00871A3A" w:rsidRPr="007E3D1A" w:rsidRDefault="00871A3A" w:rsidP="00871A3A">
      <w:pPr>
        <w:rPr>
          <w:rFonts w:cs="Arial"/>
          <w:sz w:val="22"/>
        </w:rPr>
      </w:pPr>
      <w:r w:rsidRPr="007E3D1A">
        <w:rPr>
          <w:rFonts w:cs="Arial"/>
          <w:sz w:val="22"/>
        </w:rPr>
        <w:t>ANNEXE 10.B) PHOTOS DES ATELIERS DE RESTITUTION</w:t>
      </w:r>
    </w:p>
    <w:p w14:paraId="5C75CF18" w14:textId="77777777" w:rsidR="00871A3A" w:rsidRPr="007E3D1A" w:rsidRDefault="00871A3A" w:rsidP="00871A3A">
      <w:pPr>
        <w:rPr>
          <w:rFonts w:cs="Arial"/>
          <w:sz w:val="22"/>
        </w:rPr>
      </w:pPr>
    </w:p>
    <w:p w14:paraId="2E96A3D6" w14:textId="77777777" w:rsidR="00871A3A" w:rsidRPr="007E3D1A" w:rsidRDefault="00871A3A" w:rsidP="00871A3A">
      <w:pPr>
        <w:rPr>
          <w:rFonts w:cs="Arial"/>
          <w:sz w:val="22"/>
        </w:rPr>
      </w:pPr>
      <w:r w:rsidRPr="007E3D1A">
        <w:rPr>
          <w:rFonts w:cs="Arial"/>
          <w:sz w:val="22"/>
        </w:rPr>
        <w:t>Photos 11 et 12 Atelier de restitution de Goma dans la Province du Nors-Kivu</w:t>
      </w:r>
    </w:p>
    <w:p w14:paraId="64181398" w14:textId="04233BC5" w:rsidR="00871A3A" w:rsidRPr="007E3D1A" w:rsidRDefault="0078696E" w:rsidP="00871A3A">
      <w:pPr>
        <w:rPr>
          <w:rFonts w:cs="Arial"/>
          <w:sz w:val="22"/>
        </w:rPr>
      </w:pPr>
      <w:r>
        <w:rPr>
          <w:noProof/>
        </w:rPr>
        <w:drawing>
          <wp:anchor distT="0" distB="0" distL="114300" distR="114300" simplePos="0" relativeHeight="251658282" behindDoc="1" locked="0" layoutInCell="1" allowOverlap="1" wp14:anchorId="694AAC64" wp14:editId="6DCD9D94">
            <wp:simplePos x="0" y="0"/>
            <wp:positionH relativeFrom="column">
              <wp:posOffset>-43815</wp:posOffset>
            </wp:positionH>
            <wp:positionV relativeFrom="paragraph">
              <wp:posOffset>54610</wp:posOffset>
            </wp:positionV>
            <wp:extent cx="5760720" cy="3239135"/>
            <wp:effectExtent l="0" t="0" r="0" b="0"/>
            <wp:wrapNone/>
            <wp:docPr id="157" name="Image 198" descr="C:\Users\HP SPECTRE\Documents\Groupement SCET-TUNISIE-GECT-OKAPI-EGC\Goma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descr="C:\Users\HP SPECTRE\Documents\Groupement SCET-TUNISIE-GECT-OKAPI-EGC\Goma2.jf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499AB" w14:textId="77777777" w:rsidR="00871A3A" w:rsidRPr="007E3D1A" w:rsidRDefault="00871A3A" w:rsidP="00871A3A">
      <w:pPr>
        <w:rPr>
          <w:rFonts w:cs="Arial"/>
          <w:sz w:val="22"/>
        </w:rPr>
      </w:pPr>
    </w:p>
    <w:p w14:paraId="4D77FABB" w14:textId="77777777" w:rsidR="00871A3A" w:rsidRPr="007E3D1A" w:rsidRDefault="00871A3A" w:rsidP="00871A3A">
      <w:pPr>
        <w:rPr>
          <w:rFonts w:cs="Arial"/>
          <w:sz w:val="22"/>
        </w:rPr>
      </w:pPr>
    </w:p>
    <w:p w14:paraId="0EDAA7F6" w14:textId="77777777" w:rsidR="00871A3A" w:rsidRPr="007E3D1A" w:rsidRDefault="00871A3A" w:rsidP="00871A3A">
      <w:pPr>
        <w:rPr>
          <w:rFonts w:cs="Arial"/>
          <w:sz w:val="22"/>
        </w:rPr>
      </w:pPr>
    </w:p>
    <w:p w14:paraId="756A3B8A" w14:textId="77777777" w:rsidR="00871A3A" w:rsidRPr="007E3D1A" w:rsidRDefault="00871A3A" w:rsidP="00871A3A">
      <w:pPr>
        <w:rPr>
          <w:rFonts w:cs="Arial"/>
          <w:sz w:val="22"/>
        </w:rPr>
      </w:pPr>
    </w:p>
    <w:p w14:paraId="077B1FA9" w14:textId="77777777" w:rsidR="00871A3A" w:rsidRPr="007E3D1A" w:rsidRDefault="00871A3A" w:rsidP="00871A3A">
      <w:pPr>
        <w:rPr>
          <w:rFonts w:cs="Arial"/>
          <w:sz w:val="22"/>
        </w:rPr>
      </w:pPr>
    </w:p>
    <w:p w14:paraId="197A5A0F" w14:textId="77777777" w:rsidR="00871A3A" w:rsidRPr="007E3D1A" w:rsidRDefault="00871A3A" w:rsidP="00871A3A">
      <w:pPr>
        <w:rPr>
          <w:rFonts w:cs="Arial"/>
          <w:sz w:val="22"/>
        </w:rPr>
      </w:pPr>
    </w:p>
    <w:p w14:paraId="05DDA5C1" w14:textId="77777777" w:rsidR="00871A3A" w:rsidRPr="007E3D1A" w:rsidRDefault="00871A3A" w:rsidP="00871A3A">
      <w:pPr>
        <w:rPr>
          <w:rFonts w:cs="Arial"/>
          <w:sz w:val="22"/>
        </w:rPr>
      </w:pPr>
    </w:p>
    <w:p w14:paraId="232C8859" w14:textId="77777777" w:rsidR="00871A3A" w:rsidRPr="007E3D1A" w:rsidRDefault="00871A3A" w:rsidP="00871A3A">
      <w:pPr>
        <w:rPr>
          <w:rFonts w:cs="Arial"/>
          <w:sz w:val="22"/>
        </w:rPr>
      </w:pPr>
    </w:p>
    <w:p w14:paraId="7E7790C0" w14:textId="77777777" w:rsidR="00871A3A" w:rsidRPr="007E3D1A" w:rsidRDefault="00871A3A" w:rsidP="00871A3A">
      <w:pPr>
        <w:rPr>
          <w:rFonts w:cs="Arial"/>
          <w:sz w:val="22"/>
        </w:rPr>
      </w:pPr>
    </w:p>
    <w:p w14:paraId="4BF90E76" w14:textId="77777777" w:rsidR="00871A3A" w:rsidRPr="007E3D1A" w:rsidRDefault="00871A3A" w:rsidP="00871A3A">
      <w:pPr>
        <w:rPr>
          <w:rFonts w:cs="Arial"/>
          <w:sz w:val="22"/>
        </w:rPr>
      </w:pPr>
    </w:p>
    <w:p w14:paraId="2CAC9052" w14:textId="77777777" w:rsidR="00871A3A" w:rsidRPr="007E3D1A" w:rsidRDefault="00871A3A" w:rsidP="00871A3A">
      <w:pPr>
        <w:rPr>
          <w:rFonts w:cs="Arial"/>
          <w:sz w:val="22"/>
        </w:rPr>
      </w:pPr>
    </w:p>
    <w:p w14:paraId="73297041" w14:textId="77777777" w:rsidR="00871A3A" w:rsidRPr="007E3D1A" w:rsidRDefault="00871A3A" w:rsidP="00871A3A">
      <w:pPr>
        <w:rPr>
          <w:rFonts w:cs="Arial"/>
          <w:sz w:val="22"/>
        </w:rPr>
      </w:pPr>
    </w:p>
    <w:p w14:paraId="17C45EFC" w14:textId="77777777" w:rsidR="00871A3A" w:rsidRPr="007E3D1A" w:rsidRDefault="00871A3A" w:rsidP="00871A3A">
      <w:pPr>
        <w:rPr>
          <w:rFonts w:cs="Arial"/>
          <w:sz w:val="22"/>
        </w:rPr>
      </w:pPr>
    </w:p>
    <w:p w14:paraId="637C9647" w14:textId="77777777" w:rsidR="00871A3A" w:rsidRPr="007E3D1A" w:rsidRDefault="00871A3A" w:rsidP="00871A3A">
      <w:pPr>
        <w:rPr>
          <w:rFonts w:cs="Arial"/>
          <w:sz w:val="22"/>
        </w:rPr>
      </w:pPr>
    </w:p>
    <w:p w14:paraId="3D9E0C7E" w14:textId="77777777" w:rsidR="00871A3A" w:rsidRPr="007E3D1A" w:rsidRDefault="00871A3A" w:rsidP="00871A3A">
      <w:pPr>
        <w:rPr>
          <w:rFonts w:cs="Arial"/>
          <w:sz w:val="22"/>
        </w:rPr>
      </w:pPr>
    </w:p>
    <w:p w14:paraId="73520A6C" w14:textId="77777777" w:rsidR="00871A3A" w:rsidRPr="007E3D1A" w:rsidRDefault="00871A3A" w:rsidP="00871A3A">
      <w:pPr>
        <w:rPr>
          <w:rFonts w:cs="Arial"/>
          <w:sz w:val="22"/>
        </w:rPr>
      </w:pPr>
    </w:p>
    <w:p w14:paraId="2D66CA78" w14:textId="0DD1B83F" w:rsidR="00871A3A" w:rsidRPr="007E3D1A" w:rsidRDefault="0078696E" w:rsidP="00871A3A">
      <w:pPr>
        <w:rPr>
          <w:rFonts w:cs="Arial"/>
          <w:sz w:val="22"/>
        </w:rPr>
      </w:pPr>
      <w:r>
        <w:rPr>
          <w:noProof/>
        </w:rPr>
        <w:drawing>
          <wp:anchor distT="0" distB="0" distL="114300" distR="114300" simplePos="0" relativeHeight="251658281" behindDoc="0" locked="0" layoutInCell="1" allowOverlap="1" wp14:anchorId="70C461D3" wp14:editId="5E9ED156">
            <wp:simplePos x="0" y="0"/>
            <wp:positionH relativeFrom="column">
              <wp:posOffset>-41275</wp:posOffset>
            </wp:positionH>
            <wp:positionV relativeFrom="paragraph">
              <wp:posOffset>194310</wp:posOffset>
            </wp:positionV>
            <wp:extent cx="5760720" cy="3239770"/>
            <wp:effectExtent l="0" t="0" r="0" b="0"/>
            <wp:wrapNone/>
            <wp:docPr id="156" name="Image 199" descr="C:\Users\HP SPECTRE\Documents\Groupement SCET-TUNISIE-GECT-OKAPI-EGC\Goma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descr="C:\Users\HP SPECTRE\Documents\Groupement SCET-TUNISIE-GECT-OKAPI-EGC\Goma3.jf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23389" w14:textId="77777777" w:rsidR="00871A3A" w:rsidRPr="007E3D1A" w:rsidRDefault="00871A3A" w:rsidP="00871A3A">
      <w:pPr>
        <w:rPr>
          <w:rFonts w:cs="Arial"/>
          <w:sz w:val="22"/>
        </w:rPr>
      </w:pPr>
    </w:p>
    <w:p w14:paraId="472FF5B9" w14:textId="77777777" w:rsidR="00871A3A" w:rsidRPr="007E3D1A" w:rsidRDefault="00871A3A" w:rsidP="00871A3A">
      <w:pPr>
        <w:rPr>
          <w:rFonts w:cs="Arial"/>
          <w:sz w:val="22"/>
        </w:rPr>
      </w:pPr>
    </w:p>
    <w:p w14:paraId="15F283B7" w14:textId="77777777" w:rsidR="00871A3A" w:rsidRPr="007E3D1A" w:rsidRDefault="00871A3A" w:rsidP="00871A3A">
      <w:pPr>
        <w:rPr>
          <w:rFonts w:cs="Arial"/>
          <w:sz w:val="22"/>
        </w:rPr>
      </w:pPr>
    </w:p>
    <w:p w14:paraId="13B3BE3A" w14:textId="77777777" w:rsidR="00871A3A" w:rsidRPr="007E3D1A" w:rsidRDefault="00871A3A" w:rsidP="00871A3A">
      <w:pPr>
        <w:rPr>
          <w:rFonts w:cs="Arial"/>
          <w:sz w:val="22"/>
        </w:rPr>
      </w:pPr>
    </w:p>
    <w:p w14:paraId="71957A21" w14:textId="77777777" w:rsidR="00871A3A" w:rsidRPr="007E3D1A" w:rsidRDefault="00871A3A" w:rsidP="00871A3A">
      <w:pPr>
        <w:rPr>
          <w:rFonts w:cs="Arial"/>
          <w:sz w:val="22"/>
        </w:rPr>
      </w:pPr>
    </w:p>
    <w:p w14:paraId="0E7B33A3" w14:textId="77777777" w:rsidR="00871A3A" w:rsidRPr="007E3D1A" w:rsidRDefault="00871A3A" w:rsidP="00871A3A">
      <w:pPr>
        <w:rPr>
          <w:rFonts w:cs="Arial"/>
          <w:sz w:val="22"/>
        </w:rPr>
      </w:pPr>
    </w:p>
    <w:p w14:paraId="27789A35" w14:textId="77777777" w:rsidR="00871A3A" w:rsidRPr="007E3D1A" w:rsidRDefault="00871A3A" w:rsidP="00871A3A">
      <w:pPr>
        <w:rPr>
          <w:rFonts w:cs="Arial"/>
          <w:sz w:val="22"/>
        </w:rPr>
      </w:pPr>
    </w:p>
    <w:p w14:paraId="58C09A40" w14:textId="77777777" w:rsidR="00871A3A" w:rsidRPr="007E3D1A" w:rsidRDefault="00871A3A" w:rsidP="00871A3A">
      <w:pPr>
        <w:rPr>
          <w:rFonts w:cs="Arial"/>
          <w:sz w:val="22"/>
        </w:rPr>
      </w:pPr>
    </w:p>
    <w:p w14:paraId="6FEA6F86" w14:textId="77777777" w:rsidR="00871A3A" w:rsidRPr="007E3D1A" w:rsidRDefault="00871A3A" w:rsidP="00871A3A">
      <w:pPr>
        <w:rPr>
          <w:rFonts w:cs="Arial"/>
          <w:sz w:val="22"/>
        </w:rPr>
      </w:pPr>
    </w:p>
    <w:p w14:paraId="0FC56590" w14:textId="77777777" w:rsidR="00871A3A" w:rsidRPr="007E3D1A" w:rsidRDefault="00871A3A" w:rsidP="00871A3A">
      <w:pPr>
        <w:rPr>
          <w:rFonts w:cs="Arial"/>
          <w:sz w:val="22"/>
        </w:rPr>
      </w:pPr>
    </w:p>
    <w:p w14:paraId="22D5FEC9" w14:textId="77777777" w:rsidR="00871A3A" w:rsidRPr="007E3D1A" w:rsidRDefault="00871A3A" w:rsidP="00871A3A">
      <w:pPr>
        <w:rPr>
          <w:rFonts w:cs="Arial"/>
          <w:sz w:val="22"/>
        </w:rPr>
      </w:pPr>
    </w:p>
    <w:p w14:paraId="069C24B6" w14:textId="77777777" w:rsidR="00871A3A" w:rsidRPr="007E3D1A" w:rsidRDefault="00871A3A" w:rsidP="00871A3A">
      <w:pPr>
        <w:rPr>
          <w:rFonts w:cs="Arial"/>
          <w:sz w:val="22"/>
        </w:rPr>
      </w:pPr>
    </w:p>
    <w:p w14:paraId="2F391CBB" w14:textId="77777777" w:rsidR="00871A3A" w:rsidRPr="007E3D1A" w:rsidRDefault="00871A3A" w:rsidP="00871A3A">
      <w:pPr>
        <w:rPr>
          <w:rFonts w:cs="Arial"/>
          <w:sz w:val="22"/>
        </w:rPr>
      </w:pPr>
    </w:p>
    <w:p w14:paraId="3D0FF7C4" w14:textId="77777777" w:rsidR="00871A3A" w:rsidRPr="007E3D1A" w:rsidRDefault="00871A3A" w:rsidP="00871A3A">
      <w:pPr>
        <w:rPr>
          <w:rFonts w:cs="Arial"/>
          <w:sz w:val="22"/>
        </w:rPr>
      </w:pPr>
    </w:p>
    <w:p w14:paraId="28A0FF22" w14:textId="77777777" w:rsidR="00871A3A" w:rsidRPr="007E3D1A" w:rsidRDefault="00871A3A" w:rsidP="00871A3A">
      <w:pPr>
        <w:rPr>
          <w:rFonts w:cs="Arial"/>
          <w:sz w:val="22"/>
        </w:rPr>
      </w:pPr>
    </w:p>
    <w:p w14:paraId="43688887" w14:textId="77777777" w:rsidR="00871A3A" w:rsidRPr="007E3D1A" w:rsidRDefault="00871A3A" w:rsidP="00871A3A">
      <w:pPr>
        <w:rPr>
          <w:rFonts w:cs="Arial"/>
          <w:sz w:val="22"/>
        </w:rPr>
      </w:pPr>
    </w:p>
    <w:p w14:paraId="1C4A8055" w14:textId="77777777" w:rsidR="00871A3A" w:rsidRPr="007E3D1A" w:rsidRDefault="00871A3A" w:rsidP="00871A3A">
      <w:pPr>
        <w:rPr>
          <w:rFonts w:cs="Arial"/>
          <w:sz w:val="22"/>
        </w:rPr>
      </w:pPr>
    </w:p>
    <w:p w14:paraId="7129F5D2" w14:textId="77777777" w:rsidR="00871A3A" w:rsidRPr="007E3D1A" w:rsidRDefault="00871A3A" w:rsidP="00871A3A">
      <w:pPr>
        <w:rPr>
          <w:rFonts w:cs="Arial"/>
          <w:sz w:val="22"/>
        </w:rPr>
      </w:pPr>
    </w:p>
    <w:p w14:paraId="71C87B49" w14:textId="77777777" w:rsidR="00871A3A" w:rsidRPr="007E3D1A" w:rsidRDefault="00871A3A" w:rsidP="00871A3A">
      <w:pPr>
        <w:rPr>
          <w:rFonts w:cs="Arial"/>
          <w:sz w:val="22"/>
        </w:rPr>
      </w:pPr>
    </w:p>
    <w:p w14:paraId="332EA56B" w14:textId="77777777" w:rsidR="00871A3A" w:rsidRPr="007E3D1A" w:rsidRDefault="00871A3A" w:rsidP="00871A3A">
      <w:pPr>
        <w:rPr>
          <w:rFonts w:cs="Arial"/>
          <w:sz w:val="22"/>
        </w:rPr>
      </w:pPr>
    </w:p>
    <w:p w14:paraId="1F8CC421" w14:textId="77777777" w:rsidR="00871A3A" w:rsidRPr="007E3D1A" w:rsidRDefault="00871A3A" w:rsidP="00871A3A">
      <w:pPr>
        <w:rPr>
          <w:rFonts w:cs="Arial"/>
          <w:sz w:val="22"/>
        </w:rPr>
      </w:pPr>
    </w:p>
    <w:p w14:paraId="764CD9B0" w14:textId="77777777" w:rsidR="00871A3A" w:rsidRPr="007E3D1A" w:rsidRDefault="00871A3A" w:rsidP="00871A3A">
      <w:pPr>
        <w:rPr>
          <w:rFonts w:cs="Arial"/>
          <w:sz w:val="22"/>
        </w:rPr>
      </w:pPr>
    </w:p>
    <w:p w14:paraId="7D481B83" w14:textId="77777777" w:rsidR="00871A3A" w:rsidRPr="007E3D1A" w:rsidRDefault="00871A3A" w:rsidP="00871A3A">
      <w:pPr>
        <w:rPr>
          <w:rFonts w:cs="Arial"/>
          <w:sz w:val="22"/>
        </w:rPr>
      </w:pPr>
    </w:p>
    <w:p w14:paraId="5254640E" w14:textId="77777777" w:rsidR="00871A3A" w:rsidRPr="007E3D1A" w:rsidRDefault="00871A3A" w:rsidP="00871A3A">
      <w:pPr>
        <w:rPr>
          <w:rFonts w:cs="Arial"/>
          <w:sz w:val="22"/>
        </w:rPr>
      </w:pPr>
    </w:p>
    <w:p w14:paraId="0A8F437B" w14:textId="77777777" w:rsidR="00871A3A" w:rsidRPr="007E3D1A" w:rsidRDefault="00871A3A" w:rsidP="00871A3A">
      <w:pPr>
        <w:rPr>
          <w:rFonts w:cs="Arial"/>
          <w:sz w:val="22"/>
        </w:rPr>
      </w:pPr>
    </w:p>
    <w:p w14:paraId="351C89B8" w14:textId="77777777" w:rsidR="00871A3A" w:rsidRPr="007E3D1A" w:rsidRDefault="00871A3A" w:rsidP="00871A3A">
      <w:pPr>
        <w:rPr>
          <w:rFonts w:cs="Arial"/>
          <w:sz w:val="22"/>
        </w:rPr>
      </w:pPr>
    </w:p>
    <w:p w14:paraId="22DC2EFD" w14:textId="77777777" w:rsidR="00871A3A" w:rsidRPr="007E3D1A" w:rsidRDefault="00871A3A" w:rsidP="00871A3A">
      <w:pPr>
        <w:rPr>
          <w:rFonts w:cs="Arial"/>
          <w:sz w:val="22"/>
        </w:rPr>
      </w:pPr>
    </w:p>
    <w:p w14:paraId="74035CE6" w14:textId="77777777" w:rsidR="00871A3A" w:rsidRPr="007E3D1A" w:rsidRDefault="00871A3A" w:rsidP="00871A3A">
      <w:pPr>
        <w:rPr>
          <w:rFonts w:cs="Arial"/>
          <w:sz w:val="22"/>
        </w:rPr>
      </w:pPr>
      <w:r w:rsidRPr="007E3D1A">
        <w:rPr>
          <w:rFonts w:cs="Arial"/>
          <w:sz w:val="22"/>
        </w:rPr>
        <w:t>Photos 13 et 14 Atelier de restitution de Kananga dans la Province du Kasaï Central</w:t>
      </w:r>
    </w:p>
    <w:p w14:paraId="400FDE36" w14:textId="3050DFA0" w:rsidR="00871A3A" w:rsidRPr="007E3D1A" w:rsidRDefault="0078696E" w:rsidP="00871A3A">
      <w:pPr>
        <w:rPr>
          <w:rFonts w:cs="Arial"/>
          <w:sz w:val="22"/>
        </w:rPr>
      </w:pPr>
      <w:r>
        <w:rPr>
          <w:noProof/>
        </w:rPr>
        <w:drawing>
          <wp:anchor distT="0" distB="0" distL="114300" distR="114300" simplePos="0" relativeHeight="251658283" behindDoc="0" locked="0" layoutInCell="1" allowOverlap="1" wp14:anchorId="38E9D244" wp14:editId="78A36B1B">
            <wp:simplePos x="0" y="0"/>
            <wp:positionH relativeFrom="column">
              <wp:posOffset>0</wp:posOffset>
            </wp:positionH>
            <wp:positionV relativeFrom="paragraph">
              <wp:posOffset>60325</wp:posOffset>
            </wp:positionV>
            <wp:extent cx="5760720" cy="3239770"/>
            <wp:effectExtent l="0" t="0" r="0" b="0"/>
            <wp:wrapNone/>
            <wp:docPr id="155" name="Image 200" descr="C:\Users\HP SPECTRE\Documents\Groupement SCET-TUNISIE-GECT-OKAPI-EGC\Kananga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descr="C:\Users\HP SPECTRE\Documents\Groupement SCET-TUNISIE-GECT-OKAPI-EGC\Kananga1.jf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CA4CB" w14:textId="77777777" w:rsidR="00871A3A" w:rsidRPr="007E3D1A" w:rsidRDefault="00871A3A" w:rsidP="00871A3A">
      <w:pPr>
        <w:rPr>
          <w:rFonts w:cs="Arial"/>
          <w:sz w:val="22"/>
        </w:rPr>
      </w:pPr>
    </w:p>
    <w:p w14:paraId="34DADE28" w14:textId="77777777" w:rsidR="00871A3A" w:rsidRPr="007E3D1A" w:rsidRDefault="00871A3A" w:rsidP="00871A3A">
      <w:pPr>
        <w:rPr>
          <w:rFonts w:cs="Arial"/>
          <w:sz w:val="22"/>
        </w:rPr>
      </w:pPr>
    </w:p>
    <w:p w14:paraId="4B897946" w14:textId="77777777" w:rsidR="00871A3A" w:rsidRPr="007E3D1A" w:rsidRDefault="00871A3A" w:rsidP="00871A3A">
      <w:pPr>
        <w:rPr>
          <w:rFonts w:cs="Arial"/>
          <w:sz w:val="22"/>
        </w:rPr>
      </w:pPr>
    </w:p>
    <w:p w14:paraId="73FE5CFA" w14:textId="77777777" w:rsidR="00871A3A" w:rsidRPr="007E3D1A" w:rsidRDefault="00871A3A" w:rsidP="00871A3A">
      <w:pPr>
        <w:rPr>
          <w:rFonts w:cs="Arial"/>
          <w:sz w:val="22"/>
        </w:rPr>
      </w:pPr>
    </w:p>
    <w:p w14:paraId="0041C7E7" w14:textId="77777777" w:rsidR="00871A3A" w:rsidRPr="007E3D1A" w:rsidRDefault="00871A3A" w:rsidP="00871A3A">
      <w:pPr>
        <w:rPr>
          <w:rFonts w:cs="Arial"/>
          <w:sz w:val="22"/>
        </w:rPr>
      </w:pPr>
    </w:p>
    <w:p w14:paraId="769E9DBD" w14:textId="77777777" w:rsidR="00871A3A" w:rsidRPr="007E3D1A" w:rsidRDefault="00871A3A" w:rsidP="00871A3A">
      <w:pPr>
        <w:rPr>
          <w:rFonts w:cs="Arial"/>
          <w:sz w:val="22"/>
        </w:rPr>
      </w:pPr>
    </w:p>
    <w:p w14:paraId="3E165E0A" w14:textId="77777777" w:rsidR="00871A3A" w:rsidRPr="007E3D1A" w:rsidRDefault="00871A3A" w:rsidP="00871A3A">
      <w:pPr>
        <w:rPr>
          <w:rFonts w:cs="Arial"/>
          <w:sz w:val="22"/>
        </w:rPr>
      </w:pPr>
    </w:p>
    <w:p w14:paraId="7B226997" w14:textId="77777777" w:rsidR="00871A3A" w:rsidRPr="007E3D1A" w:rsidRDefault="00871A3A" w:rsidP="00871A3A">
      <w:pPr>
        <w:rPr>
          <w:rFonts w:cs="Arial"/>
          <w:sz w:val="22"/>
        </w:rPr>
      </w:pPr>
    </w:p>
    <w:p w14:paraId="7239BC64" w14:textId="77777777" w:rsidR="00871A3A" w:rsidRPr="007E3D1A" w:rsidRDefault="00871A3A" w:rsidP="00871A3A">
      <w:pPr>
        <w:rPr>
          <w:rFonts w:cs="Arial"/>
          <w:sz w:val="22"/>
        </w:rPr>
      </w:pPr>
    </w:p>
    <w:p w14:paraId="2BFD2FF5" w14:textId="77777777" w:rsidR="00871A3A" w:rsidRPr="007E3D1A" w:rsidRDefault="00871A3A" w:rsidP="00871A3A">
      <w:pPr>
        <w:rPr>
          <w:rFonts w:cs="Arial"/>
          <w:sz w:val="22"/>
        </w:rPr>
      </w:pPr>
    </w:p>
    <w:p w14:paraId="2B258593" w14:textId="77777777" w:rsidR="00871A3A" w:rsidRPr="007E3D1A" w:rsidRDefault="00871A3A" w:rsidP="00871A3A">
      <w:pPr>
        <w:rPr>
          <w:rFonts w:cs="Arial"/>
          <w:sz w:val="22"/>
        </w:rPr>
      </w:pPr>
    </w:p>
    <w:p w14:paraId="59821B63" w14:textId="77777777" w:rsidR="00871A3A" w:rsidRPr="007E3D1A" w:rsidRDefault="00871A3A" w:rsidP="00871A3A">
      <w:pPr>
        <w:rPr>
          <w:rFonts w:cs="Arial"/>
          <w:sz w:val="22"/>
        </w:rPr>
      </w:pPr>
    </w:p>
    <w:p w14:paraId="6F618DA3" w14:textId="77777777" w:rsidR="00871A3A" w:rsidRPr="007E3D1A" w:rsidRDefault="00871A3A" w:rsidP="00871A3A">
      <w:pPr>
        <w:rPr>
          <w:rFonts w:cs="Arial"/>
          <w:sz w:val="22"/>
        </w:rPr>
      </w:pPr>
    </w:p>
    <w:p w14:paraId="0C839CE8" w14:textId="77777777" w:rsidR="00871A3A" w:rsidRPr="007E3D1A" w:rsidRDefault="00871A3A" w:rsidP="00871A3A">
      <w:pPr>
        <w:rPr>
          <w:rFonts w:cs="Arial"/>
          <w:sz w:val="22"/>
        </w:rPr>
      </w:pPr>
    </w:p>
    <w:p w14:paraId="302718F8" w14:textId="77777777" w:rsidR="00871A3A" w:rsidRPr="007E3D1A" w:rsidRDefault="00871A3A" w:rsidP="00871A3A">
      <w:pPr>
        <w:rPr>
          <w:rFonts w:cs="Arial"/>
          <w:sz w:val="22"/>
        </w:rPr>
      </w:pPr>
    </w:p>
    <w:p w14:paraId="66F5ADC5" w14:textId="77777777" w:rsidR="00871A3A" w:rsidRPr="007E3D1A" w:rsidRDefault="00871A3A" w:rsidP="00871A3A">
      <w:pPr>
        <w:rPr>
          <w:rFonts w:cs="Arial"/>
          <w:sz w:val="22"/>
        </w:rPr>
      </w:pPr>
    </w:p>
    <w:p w14:paraId="7A1849EF" w14:textId="77777777" w:rsidR="00871A3A" w:rsidRPr="007E3D1A" w:rsidRDefault="00871A3A" w:rsidP="00871A3A">
      <w:pPr>
        <w:rPr>
          <w:rFonts w:cs="Arial"/>
          <w:sz w:val="22"/>
        </w:rPr>
      </w:pPr>
    </w:p>
    <w:p w14:paraId="10D96132" w14:textId="1189D25F" w:rsidR="00871A3A" w:rsidRPr="007E3D1A" w:rsidRDefault="0078696E" w:rsidP="00871A3A">
      <w:pPr>
        <w:rPr>
          <w:rFonts w:cs="Arial"/>
          <w:sz w:val="22"/>
        </w:rPr>
      </w:pPr>
      <w:r>
        <w:rPr>
          <w:noProof/>
        </w:rPr>
        <w:drawing>
          <wp:anchor distT="0" distB="0" distL="114300" distR="114300" simplePos="0" relativeHeight="251658284" behindDoc="0" locked="0" layoutInCell="1" allowOverlap="1" wp14:anchorId="7D3442DB" wp14:editId="2730ADD7">
            <wp:simplePos x="0" y="0"/>
            <wp:positionH relativeFrom="column">
              <wp:posOffset>0</wp:posOffset>
            </wp:positionH>
            <wp:positionV relativeFrom="paragraph">
              <wp:posOffset>13970</wp:posOffset>
            </wp:positionV>
            <wp:extent cx="5760720" cy="3239770"/>
            <wp:effectExtent l="0" t="0" r="0" b="0"/>
            <wp:wrapNone/>
            <wp:docPr id="154" name="Image 201" descr="C:\Users\HP SPECTRE\Documents\Groupement SCET-TUNISIE-GECT-OKAPI-EGC\Kananga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descr="C:\Users\HP SPECTRE\Documents\Groupement SCET-TUNISIE-GECT-OKAPI-EGC\Kananga2.jf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268F1" w14:textId="77777777" w:rsidR="00871A3A" w:rsidRPr="007E3D1A" w:rsidRDefault="00871A3A" w:rsidP="00871A3A">
      <w:pPr>
        <w:rPr>
          <w:rFonts w:cs="Arial"/>
          <w:sz w:val="22"/>
        </w:rPr>
      </w:pPr>
    </w:p>
    <w:p w14:paraId="0630E515" w14:textId="77777777" w:rsidR="00871A3A" w:rsidRPr="007E3D1A" w:rsidRDefault="00871A3A" w:rsidP="00871A3A">
      <w:pPr>
        <w:rPr>
          <w:rFonts w:cs="Arial"/>
          <w:sz w:val="22"/>
        </w:rPr>
      </w:pPr>
    </w:p>
    <w:p w14:paraId="1CD1101A" w14:textId="77777777" w:rsidR="00871A3A" w:rsidRPr="007E3D1A" w:rsidRDefault="00871A3A" w:rsidP="00871A3A">
      <w:pPr>
        <w:rPr>
          <w:rFonts w:cs="Arial"/>
          <w:sz w:val="22"/>
        </w:rPr>
      </w:pPr>
    </w:p>
    <w:p w14:paraId="1B637523" w14:textId="77777777" w:rsidR="00871A3A" w:rsidRPr="007E3D1A" w:rsidRDefault="00871A3A" w:rsidP="00871A3A">
      <w:pPr>
        <w:rPr>
          <w:rFonts w:cs="Arial"/>
          <w:sz w:val="22"/>
        </w:rPr>
      </w:pPr>
    </w:p>
    <w:p w14:paraId="51918253" w14:textId="77777777" w:rsidR="00871A3A" w:rsidRPr="007E3D1A" w:rsidRDefault="00871A3A" w:rsidP="00871A3A">
      <w:pPr>
        <w:rPr>
          <w:rFonts w:cs="Arial"/>
          <w:sz w:val="22"/>
        </w:rPr>
      </w:pPr>
    </w:p>
    <w:p w14:paraId="56419659" w14:textId="77777777" w:rsidR="00871A3A" w:rsidRPr="007E3D1A" w:rsidRDefault="00871A3A" w:rsidP="00871A3A">
      <w:pPr>
        <w:rPr>
          <w:rFonts w:cs="Arial"/>
          <w:sz w:val="22"/>
        </w:rPr>
      </w:pPr>
    </w:p>
    <w:p w14:paraId="2D31B943" w14:textId="77777777" w:rsidR="00871A3A" w:rsidRPr="007E3D1A" w:rsidRDefault="00871A3A" w:rsidP="00871A3A">
      <w:pPr>
        <w:rPr>
          <w:rFonts w:cs="Arial"/>
          <w:sz w:val="22"/>
        </w:rPr>
      </w:pPr>
    </w:p>
    <w:p w14:paraId="679D0C84" w14:textId="77777777" w:rsidR="00871A3A" w:rsidRPr="007E3D1A" w:rsidRDefault="00871A3A" w:rsidP="00871A3A">
      <w:pPr>
        <w:rPr>
          <w:rFonts w:cs="Arial"/>
          <w:sz w:val="22"/>
        </w:rPr>
      </w:pPr>
    </w:p>
    <w:p w14:paraId="0EF6013E" w14:textId="77777777" w:rsidR="00871A3A" w:rsidRPr="007E3D1A" w:rsidRDefault="00871A3A" w:rsidP="00871A3A">
      <w:pPr>
        <w:rPr>
          <w:rFonts w:cs="Arial"/>
          <w:sz w:val="22"/>
        </w:rPr>
      </w:pPr>
    </w:p>
    <w:p w14:paraId="0E9A6079" w14:textId="77777777" w:rsidR="00871A3A" w:rsidRPr="007E3D1A" w:rsidRDefault="00871A3A" w:rsidP="00871A3A">
      <w:pPr>
        <w:rPr>
          <w:rFonts w:cs="Arial"/>
          <w:sz w:val="22"/>
        </w:rPr>
      </w:pPr>
    </w:p>
    <w:p w14:paraId="5373B73B" w14:textId="77777777" w:rsidR="00871A3A" w:rsidRPr="007E3D1A" w:rsidRDefault="00871A3A" w:rsidP="00871A3A">
      <w:pPr>
        <w:rPr>
          <w:rFonts w:cs="Arial"/>
          <w:sz w:val="22"/>
        </w:rPr>
      </w:pPr>
    </w:p>
    <w:p w14:paraId="194931E5" w14:textId="77777777" w:rsidR="00871A3A" w:rsidRPr="007E3D1A" w:rsidRDefault="00871A3A" w:rsidP="00871A3A">
      <w:pPr>
        <w:rPr>
          <w:rFonts w:cs="Arial"/>
          <w:sz w:val="22"/>
        </w:rPr>
      </w:pPr>
    </w:p>
    <w:p w14:paraId="280BE167" w14:textId="77777777" w:rsidR="00871A3A" w:rsidRPr="007E3D1A" w:rsidRDefault="00871A3A" w:rsidP="00871A3A">
      <w:pPr>
        <w:rPr>
          <w:rFonts w:cs="Arial"/>
          <w:sz w:val="22"/>
        </w:rPr>
      </w:pPr>
    </w:p>
    <w:p w14:paraId="6AD303A2" w14:textId="77777777" w:rsidR="00871A3A" w:rsidRPr="007E3D1A" w:rsidRDefault="00871A3A" w:rsidP="00871A3A">
      <w:pPr>
        <w:rPr>
          <w:rFonts w:cs="Arial"/>
          <w:sz w:val="22"/>
        </w:rPr>
      </w:pPr>
    </w:p>
    <w:p w14:paraId="3C3F482D" w14:textId="77777777" w:rsidR="00871A3A" w:rsidRPr="007E3D1A" w:rsidRDefault="00871A3A" w:rsidP="00871A3A">
      <w:pPr>
        <w:rPr>
          <w:rFonts w:cs="Arial"/>
          <w:sz w:val="22"/>
        </w:rPr>
      </w:pPr>
    </w:p>
    <w:p w14:paraId="62C0B698" w14:textId="77777777" w:rsidR="00871A3A" w:rsidRPr="007E3D1A" w:rsidRDefault="00871A3A" w:rsidP="00871A3A">
      <w:pPr>
        <w:rPr>
          <w:rFonts w:cs="Arial"/>
          <w:sz w:val="22"/>
        </w:rPr>
      </w:pPr>
    </w:p>
    <w:p w14:paraId="1629D3AA" w14:textId="77777777" w:rsidR="00871A3A" w:rsidRPr="007E3D1A" w:rsidRDefault="00871A3A" w:rsidP="00871A3A">
      <w:pPr>
        <w:rPr>
          <w:rFonts w:cs="Arial"/>
          <w:sz w:val="22"/>
        </w:rPr>
      </w:pPr>
    </w:p>
    <w:p w14:paraId="5DA9F08E" w14:textId="77777777" w:rsidR="00871A3A" w:rsidRPr="007E3D1A" w:rsidRDefault="00871A3A" w:rsidP="00871A3A">
      <w:pPr>
        <w:rPr>
          <w:rFonts w:cs="Arial"/>
          <w:sz w:val="22"/>
        </w:rPr>
      </w:pPr>
    </w:p>
    <w:p w14:paraId="5B7E6295" w14:textId="77777777" w:rsidR="00871A3A" w:rsidRPr="007E3D1A" w:rsidRDefault="00871A3A" w:rsidP="00871A3A">
      <w:pPr>
        <w:rPr>
          <w:rFonts w:cs="Arial"/>
          <w:sz w:val="22"/>
        </w:rPr>
      </w:pPr>
    </w:p>
    <w:p w14:paraId="1A98D6A8" w14:textId="77777777" w:rsidR="00871A3A" w:rsidRPr="007E3D1A" w:rsidRDefault="00871A3A" w:rsidP="00871A3A">
      <w:pPr>
        <w:rPr>
          <w:rFonts w:cs="Arial"/>
          <w:sz w:val="22"/>
        </w:rPr>
      </w:pPr>
    </w:p>
    <w:p w14:paraId="746FAD6A" w14:textId="77777777" w:rsidR="00871A3A" w:rsidRPr="007E3D1A" w:rsidRDefault="00871A3A" w:rsidP="00871A3A">
      <w:pPr>
        <w:rPr>
          <w:rFonts w:cs="Arial"/>
          <w:sz w:val="22"/>
        </w:rPr>
      </w:pPr>
    </w:p>
    <w:p w14:paraId="7B5CB929" w14:textId="77777777" w:rsidR="00871A3A" w:rsidRPr="007E3D1A" w:rsidRDefault="00871A3A" w:rsidP="00871A3A">
      <w:pPr>
        <w:rPr>
          <w:rFonts w:cs="Arial"/>
          <w:sz w:val="22"/>
        </w:rPr>
      </w:pPr>
    </w:p>
    <w:p w14:paraId="2F384B43" w14:textId="77777777" w:rsidR="00871A3A" w:rsidRPr="007E3D1A" w:rsidRDefault="00871A3A" w:rsidP="00871A3A">
      <w:pPr>
        <w:rPr>
          <w:rFonts w:cs="Arial"/>
          <w:sz w:val="22"/>
        </w:rPr>
      </w:pPr>
    </w:p>
    <w:p w14:paraId="1DAC1C70" w14:textId="77777777" w:rsidR="00871A3A" w:rsidRPr="007E3D1A" w:rsidRDefault="00871A3A" w:rsidP="00871A3A">
      <w:pPr>
        <w:rPr>
          <w:rFonts w:cs="Arial"/>
          <w:sz w:val="22"/>
        </w:rPr>
      </w:pPr>
    </w:p>
    <w:p w14:paraId="6ECBB905" w14:textId="77777777" w:rsidR="00871A3A" w:rsidRPr="007E3D1A" w:rsidRDefault="00871A3A" w:rsidP="00871A3A">
      <w:pPr>
        <w:rPr>
          <w:rFonts w:cs="Arial"/>
          <w:sz w:val="22"/>
        </w:rPr>
      </w:pPr>
    </w:p>
    <w:p w14:paraId="1885E7D6" w14:textId="77777777" w:rsidR="00871A3A" w:rsidRPr="007E3D1A" w:rsidRDefault="00871A3A" w:rsidP="00871A3A">
      <w:pPr>
        <w:rPr>
          <w:rFonts w:cs="Arial"/>
          <w:sz w:val="22"/>
        </w:rPr>
      </w:pPr>
    </w:p>
    <w:p w14:paraId="641BA953" w14:textId="77777777" w:rsidR="00871A3A" w:rsidRPr="007E3D1A" w:rsidRDefault="00871A3A" w:rsidP="00871A3A">
      <w:pPr>
        <w:rPr>
          <w:rFonts w:cs="Arial"/>
          <w:sz w:val="22"/>
        </w:rPr>
      </w:pPr>
    </w:p>
    <w:p w14:paraId="143BB1EB" w14:textId="77777777" w:rsidR="00871A3A" w:rsidRPr="007E3D1A" w:rsidRDefault="00871A3A" w:rsidP="00871A3A">
      <w:pPr>
        <w:rPr>
          <w:rFonts w:cs="Arial"/>
          <w:sz w:val="22"/>
        </w:rPr>
      </w:pPr>
    </w:p>
    <w:p w14:paraId="512532E7" w14:textId="77777777" w:rsidR="00871A3A" w:rsidRPr="007E3D1A" w:rsidRDefault="00871A3A" w:rsidP="00871A3A">
      <w:pPr>
        <w:rPr>
          <w:rFonts w:cs="Arial"/>
          <w:sz w:val="22"/>
        </w:rPr>
      </w:pPr>
    </w:p>
    <w:p w14:paraId="1B1E9A0B" w14:textId="77777777" w:rsidR="00871A3A" w:rsidRPr="007E3D1A" w:rsidRDefault="00871A3A" w:rsidP="00871A3A">
      <w:pPr>
        <w:rPr>
          <w:rFonts w:cs="Arial"/>
          <w:sz w:val="22"/>
        </w:rPr>
      </w:pPr>
      <w:r w:rsidRPr="007E3D1A">
        <w:rPr>
          <w:rFonts w:cs="Arial"/>
          <w:sz w:val="22"/>
        </w:rPr>
        <w:t>Photos 15 et 16 Atelier de restitution de Matadi dans la Province du Kongo Central</w:t>
      </w:r>
    </w:p>
    <w:p w14:paraId="00084E79" w14:textId="17889F41" w:rsidR="00871A3A" w:rsidRPr="007E3D1A" w:rsidRDefault="0078696E" w:rsidP="00871A3A">
      <w:pPr>
        <w:rPr>
          <w:rFonts w:cs="Arial"/>
          <w:sz w:val="22"/>
        </w:rPr>
      </w:pPr>
      <w:r>
        <w:rPr>
          <w:noProof/>
        </w:rPr>
        <w:drawing>
          <wp:anchor distT="0" distB="0" distL="114300" distR="114300" simplePos="0" relativeHeight="251658279" behindDoc="0" locked="0" layoutInCell="1" allowOverlap="1" wp14:anchorId="58F5C8B0" wp14:editId="30A726CF">
            <wp:simplePos x="0" y="0"/>
            <wp:positionH relativeFrom="column">
              <wp:posOffset>-13970</wp:posOffset>
            </wp:positionH>
            <wp:positionV relativeFrom="paragraph">
              <wp:posOffset>64770</wp:posOffset>
            </wp:positionV>
            <wp:extent cx="5760720" cy="2802255"/>
            <wp:effectExtent l="0" t="0" r="0" b="0"/>
            <wp:wrapNone/>
            <wp:docPr id="153" name="Image 202" descr="C:\Users\HP SPECTRE\Documents\Matadi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descr="C:\Users\HP SPECTRE\Documents\Matadi1.jf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720"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72D74" w14:textId="77777777" w:rsidR="00871A3A" w:rsidRPr="007E3D1A" w:rsidRDefault="00871A3A" w:rsidP="00871A3A">
      <w:pPr>
        <w:rPr>
          <w:rFonts w:cs="Arial"/>
          <w:sz w:val="22"/>
        </w:rPr>
      </w:pPr>
    </w:p>
    <w:p w14:paraId="6357AF81" w14:textId="77777777" w:rsidR="00871A3A" w:rsidRPr="007E3D1A" w:rsidRDefault="00871A3A" w:rsidP="00871A3A">
      <w:pPr>
        <w:rPr>
          <w:rFonts w:cs="Arial"/>
          <w:sz w:val="22"/>
        </w:rPr>
      </w:pPr>
    </w:p>
    <w:p w14:paraId="35F4D2B6" w14:textId="77777777" w:rsidR="00871A3A" w:rsidRPr="007E3D1A" w:rsidRDefault="00871A3A" w:rsidP="00871A3A">
      <w:pPr>
        <w:rPr>
          <w:rFonts w:cs="Arial"/>
          <w:sz w:val="22"/>
        </w:rPr>
      </w:pPr>
    </w:p>
    <w:p w14:paraId="0C446AB5" w14:textId="77777777" w:rsidR="00871A3A" w:rsidRPr="007E3D1A" w:rsidRDefault="00871A3A" w:rsidP="00871A3A">
      <w:pPr>
        <w:rPr>
          <w:rFonts w:cs="Arial"/>
          <w:sz w:val="22"/>
        </w:rPr>
      </w:pPr>
    </w:p>
    <w:p w14:paraId="37BE6C62" w14:textId="77777777" w:rsidR="00871A3A" w:rsidRPr="007E3D1A" w:rsidRDefault="00871A3A" w:rsidP="00871A3A">
      <w:pPr>
        <w:rPr>
          <w:rFonts w:cs="Arial"/>
          <w:sz w:val="22"/>
        </w:rPr>
      </w:pPr>
    </w:p>
    <w:p w14:paraId="1F50C225" w14:textId="77777777" w:rsidR="00871A3A" w:rsidRPr="007E3D1A" w:rsidRDefault="00871A3A" w:rsidP="00871A3A">
      <w:pPr>
        <w:rPr>
          <w:rFonts w:cs="Arial"/>
          <w:sz w:val="22"/>
        </w:rPr>
      </w:pPr>
    </w:p>
    <w:p w14:paraId="7834D769" w14:textId="77777777" w:rsidR="00871A3A" w:rsidRPr="007E3D1A" w:rsidRDefault="00871A3A" w:rsidP="00871A3A">
      <w:pPr>
        <w:rPr>
          <w:rFonts w:cs="Arial"/>
          <w:sz w:val="22"/>
        </w:rPr>
      </w:pPr>
    </w:p>
    <w:p w14:paraId="1E38CC69" w14:textId="77777777" w:rsidR="00871A3A" w:rsidRPr="007E3D1A" w:rsidRDefault="00871A3A" w:rsidP="00871A3A">
      <w:pPr>
        <w:rPr>
          <w:rFonts w:cs="Arial"/>
          <w:sz w:val="22"/>
        </w:rPr>
      </w:pPr>
    </w:p>
    <w:p w14:paraId="040695F7" w14:textId="77777777" w:rsidR="00871A3A" w:rsidRPr="007E3D1A" w:rsidRDefault="00871A3A" w:rsidP="00871A3A">
      <w:pPr>
        <w:rPr>
          <w:rFonts w:cs="Arial"/>
          <w:sz w:val="22"/>
        </w:rPr>
      </w:pPr>
    </w:p>
    <w:p w14:paraId="0BB3D297" w14:textId="6710BB04" w:rsidR="00871A3A" w:rsidRPr="007E3D1A" w:rsidRDefault="0078696E" w:rsidP="00871A3A">
      <w:pPr>
        <w:rPr>
          <w:rFonts w:cs="Arial"/>
          <w:sz w:val="22"/>
        </w:rPr>
      </w:pPr>
      <w:r>
        <w:rPr>
          <w:noProof/>
        </w:rPr>
        <w:drawing>
          <wp:anchor distT="0" distB="0" distL="114300" distR="114300" simplePos="0" relativeHeight="251658280" behindDoc="0" locked="0" layoutInCell="1" allowOverlap="1" wp14:anchorId="6820EEF6" wp14:editId="7D9F65C9">
            <wp:simplePos x="0" y="0"/>
            <wp:positionH relativeFrom="column">
              <wp:posOffset>-13970</wp:posOffset>
            </wp:positionH>
            <wp:positionV relativeFrom="paragraph">
              <wp:posOffset>144145</wp:posOffset>
            </wp:positionV>
            <wp:extent cx="5760720" cy="2802255"/>
            <wp:effectExtent l="0" t="0" r="0" b="0"/>
            <wp:wrapNone/>
            <wp:docPr id="152" name="Image 203" descr="C:\Users\HP SPECTRE\Documents\Matadi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descr="C:\Users\HP SPECTRE\Documents\Matadi2.jf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0720"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2A4A1" w14:textId="77777777" w:rsidR="00871A3A" w:rsidRPr="007E3D1A" w:rsidRDefault="00871A3A" w:rsidP="00871A3A">
      <w:pPr>
        <w:rPr>
          <w:rFonts w:cs="Arial"/>
          <w:sz w:val="22"/>
        </w:rPr>
      </w:pPr>
    </w:p>
    <w:p w14:paraId="569269B0" w14:textId="77777777" w:rsidR="00871A3A" w:rsidRPr="007E3D1A" w:rsidRDefault="00871A3A" w:rsidP="00871A3A">
      <w:pPr>
        <w:rPr>
          <w:rFonts w:cs="Arial"/>
          <w:sz w:val="22"/>
        </w:rPr>
      </w:pPr>
    </w:p>
    <w:p w14:paraId="49ED5D6D" w14:textId="77777777" w:rsidR="00871A3A" w:rsidRPr="007E3D1A" w:rsidRDefault="00871A3A" w:rsidP="00871A3A">
      <w:pPr>
        <w:rPr>
          <w:rFonts w:cs="Arial"/>
          <w:sz w:val="22"/>
        </w:rPr>
      </w:pPr>
    </w:p>
    <w:p w14:paraId="32260C4B" w14:textId="77777777" w:rsidR="00871A3A" w:rsidRPr="007E3D1A" w:rsidRDefault="00871A3A" w:rsidP="00871A3A">
      <w:pPr>
        <w:rPr>
          <w:rFonts w:cs="Arial"/>
          <w:sz w:val="22"/>
        </w:rPr>
      </w:pPr>
    </w:p>
    <w:p w14:paraId="78B27016" w14:textId="77777777" w:rsidR="00871A3A" w:rsidRPr="007E3D1A" w:rsidRDefault="00871A3A" w:rsidP="00871A3A">
      <w:pPr>
        <w:rPr>
          <w:rFonts w:cs="Arial"/>
          <w:sz w:val="22"/>
        </w:rPr>
      </w:pPr>
    </w:p>
    <w:p w14:paraId="7082E9D6" w14:textId="77777777" w:rsidR="00871A3A" w:rsidRPr="007E3D1A" w:rsidRDefault="00871A3A" w:rsidP="00871A3A">
      <w:pPr>
        <w:rPr>
          <w:rFonts w:cs="Arial"/>
          <w:sz w:val="22"/>
        </w:rPr>
      </w:pPr>
    </w:p>
    <w:p w14:paraId="69519BAB" w14:textId="77777777" w:rsidR="00871A3A" w:rsidRPr="007E3D1A" w:rsidRDefault="00871A3A" w:rsidP="00871A3A">
      <w:pPr>
        <w:rPr>
          <w:rFonts w:cs="Arial"/>
          <w:sz w:val="22"/>
        </w:rPr>
      </w:pPr>
    </w:p>
    <w:p w14:paraId="7ACDE2BB" w14:textId="77777777" w:rsidR="00871A3A" w:rsidRPr="007E3D1A" w:rsidRDefault="00871A3A" w:rsidP="00871A3A">
      <w:pPr>
        <w:rPr>
          <w:rFonts w:cs="Arial"/>
          <w:sz w:val="22"/>
        </w:rPr>
      </w:pPr>
    </w:p>
    <w:p w14:paraId="47802A8D" w14:textId="77777777" w:rsidR="00871A3A" w:rsidRPr="007E3D1A" w:rsidRDefault="00871A3A" w:rsidP="00871A3A">
      <w:pPr>
        <w:rPr>
          <w:rFonts w:cs="Arial"/>
          <w:sz w:val="22"/>
        </w:rPr>
      </w:pPr>
    </w:p>
    <w:p w14:paraId="1AED3E90" w14:textId="77777777" w:rsidR="00871A3A" w:rsidRPr="007E3D1A" w:rsidRDefault="00871A3A" w:rsidP="00871A3A">
      <w:pPr>
        <w:rPr>
          <w:rFonts w:cs="Arial"/>
          <w:sz w:val="22"/>
        </w:rPr>
      </w:pPr>
    </w:p>
    <w:p w14:paraId="1A85DDE7" w14:textId="77777777" w:rsidR="00871A3A" w:rsidRPr="007E3D1A" w:rsidRDefault="00871A3A" w:rsidP="00871A3A">
      <w:pPr>
        <w:rPr>
          <w:rFonts w:cs="Arial"/>
          <w:sz w:val="22"/>
        </w:rPr>
      </w:pPr>
    </w:p>
    <w:p w14:paraId="1C9E9441" w14:textId="77777777" w:rsidR="00871A3A" w:rsidRPr="007E3D1A" w:rsidRDefault="00871A3A" w:rsidP="00871A3A">
      <w:pPr>
        <w:rPr>
          <w:rFonts w:cs="Arial"/>
          <w:sz w:val="22"/>
        </w:rPr>
      </w:pPr>
    </w:p>
    <w:p w14:paraId="0AAA30F9" w14:textId="77777777" w:rsidR="00871A3A" w:rsidRPr="007E3D1A" w:rsidRDefault="00871A3A" w:rsidP="00871A3A">
      <w:pPr>
        <w:rPr>
          <w:rFonts w:cs="Arial"/>
          <w:sz w:val="22"/>
        </w:rPr>
      </w:pPr>
    </w:p>
    <w:p w14:paraId="3E256C24" w14:textId="77777777" w:rsidR="00871A3A" w:rsidRPr="007E3D1A" w:rsidRDefault="00871A3A" w:rsidP="00871A3A">
      <w:pPr>
        <w:rPr>
          <w:rFonts w:cs="Arial"/>
          <w:sz w:val="22"/>
        </w:rPr>
      </w:pPr>
    </w:p>
    <w:p w14:paraId="3CB276F2" w14:textId="77777777" w:rsidR="00871A3A" w:rsidRPr="007E3D1A" w:rsidRDefault="00871A3A" w:rsidP="00871A3A">
      <w:pPr>
        <w:rPr>
          <w:rFonts w:cs="Arial"/>
          <w:sz w:val="22"/>
        </w:rPr>
      </w:pPr>
    </w:p>
    <w:p w14:paraId="258A01E6" w14:textId="77777777" w:rsidR="00871A3A" w:rsidRPr="007E3D1A" w:rsidRDefault="00871A3A" w:rsidP="00871A3A">
      <w:pPr>
        <w:rPr>
          <w:rFonts w:cs="Arial"/>
          <w:sz w:val="22"/>
        </w:rPr>
      </w:pPr>
      <w:r w:rsidRPr="007E3D1A">
        <w:rPr>
          <w:rFonts w:cs="Arial"/>
          <w:sz w:val="22"/>
        </w:rPr>
        <w:br w:type="page"/>
      </w:r>
    </w:p>
    <w:p w14:paraId="3A77A22E" w14:textId="77777777" w:rsidR="00871A3A" w:rsidRPr="00372F9C" w:rsidRDefault="00871A3A" w:rsidP="00372F9C">
      <w:pPr>
        <w:ind w:left="1418" w:hanging="1418"/>
        <w:rPr>
          <w:rFonts w:cs="Arial"/>
          <w:b/>
          <w:bCs/>
          <w:sz w:val="22"/>
        </w:rPr>
      </w:pPr>
      <w:r w:rsidRPr="00372F9C">
        <w:rPr>
          <w:rFonts w:cs="Arial"/>
          <w:b/>
          <w:bCs/>
          <w:sz w:val="22"/>
        </w:rPr>
        <w:t>ANNEXE 11. CODE DE BONNE CONDUITE</w:t>
      </w:r>
    </w:p>
    <w:p w14:paraId="1A959F72" w14:textId="77777777" w:rsidR="00871A3A" w:rsidRPr="007E3D1A" w:rsidRDefault="00871A3A" w:rsidP="00871A3A">
      <w:pPr>
        <w:rPr>
          <w:rFonts w:eastAsia="Arial Unicode MS" w:cs="Arial"/>
          <w:sz w:val="22"/>
        </w:rPr>
      </w:pPr>
    </w:p>
    <w:p w14:paraId="79129EFE" w14:textId="77777777" w:rsidR="00871A3A" w:rsidRPr="007E3D1A" w:rsidRDefault="00871A3A" w:rsidP="00871A3A">
      <w:pPr>
        <w:rPr>
          <w:rFonts w:eastAsia="Arial Unicode MS" w:cs="Arial"/>
          <w:sz w:val="22"/>
        </w:rPr>
      </w:pPr>
      <w:r w:rsidRPr="007E3D1A">
        <w:rPr>
          <w:rFonts w:eastAsia="Arial Unicode MS" w:cs="Arial"/>
          <w:sz w:val="22"/>
        </w:rPr>
        <w:t>Introduction</w:t>
      </w:r>
    </w:p>
    <w:p w14:paraId="5A6A7A85" w14:textId="77777777" w:rsidR="00871A3A" w:rsidRPr="007E3D1A" w:rsidRDefault="00871A3A" w:rsidP="00871A3A">
      <w:pPr>
        <w:rPr>
          <w:rFonts w:eastAsia="Arial Unicode MS" w:cs="Arial"/>
          <w:sz w:val="22"/>
        </w:rPr>
      </w:pPr>
    </w:p>
    <w:p w14:paraId="41EB3115" w14:textId="77777777" w:rsidR="00871A3A" w:rsidRPr="007E3D1A" w:rsidRDefault="00871A3A" w:rsidP="00871A3A">
      <w:pPr>
        <w:rPr>
          <w:rFonts w:eastAsia="Arial Unicode MS" w:cs="Arial"/>
          <w:sz w:val="22"/>
        </w:rPr>
      </w:pPr>
      <w:r w:rsidRPr="007E3D1A">
        <w:rPr>
          <w:rFonts w:eastAsia="Arial Unicode MS" w:cs="Arial"/>
          <w:sz w:val="22"/>
        </w:rPr>
        <w:t>Le Code d’éthique et de Bonne Conduite est au cœur des moyens que nous mettons en œuvre pour bâtir et protéger la réputation de notre compagnie. La réputation de l’entreprise est l’un de ses biens les plus précieux, et elle doit être cultivée et protégée. Ce n’est pas tant ce que nous faisons, que la manière dont nous le faisons qui déterminera notre réputation auprès de nos partenaires, de nos salariés et du public et permettra d’assurer notre réussite à long terme. Il est inspiré des principes de Responsabilité, de Respect et de Détermination. Il définit la façon dont nous devons nous comporter, non seulement de manière générale, mais également lorsque nous sommes confrontés à des situations face auxquelles nos actes pourraient avoir des conséquences graves sur la réputation de l’entreprise</w:t>
      </w:r>
    </w:p>
    <w:p w14:paraId="76C6DAA0" w14:textId="77777777" w:rsidR="00871A3A" w:rsidRPr="007E3D1A" w:rsidRDefault="00871A3A" w:rsidP="00871A3A">
      <w:pPr>
        <w:rPr>
          <w:rFonts w:eastAsia="Arial Unicode MS" w:cs="Arial"/>
          <w:sz w:val="22"/>
        </w:rPr>
      </w:pPr>
      <w:r w:rsidRPr="007E3D1A">
        <w:rPr>
          <w:rFonts w:eastAsia="Arial Unicode MS" w:cs="Arial"/>
          <w:sz w:val="22"/>
        </w:rPr>
        <w:t>Ce code dépasse la simple mise en conformité avec les lois et les règlementations. Il démontre notre engagement à agir dans le respect des principes d’éthique et avec intégrité, tout en respectant les droits individuels. Nous attendons que chaque employé de l’entreprise fasse preuve d’une conduite irréprochable, au quotidien et dans tous les établissements. Nous voulons également que toutes les parties concernées adoptent cette conduite.</w:t>
      </w:r>
    </w:p>
    <w:p w14:paraId="45BE30D3" w14:textId="77777777" w:rsidR="00871A3A" w:rsidRPr="007E3D1A" w:rsidRDefault="00871A3A" w:rsidP="00871A3A">
      <w:pPr>
        <w:rPr>
          <w:rFonts w:eastAsia="Arial Unicode MS" w:cs="Arial"/>
          <w:sz w:val="22"/>
        </w:rPr>
      </w:pPr>
      <w:r w:rsidRPr="007E3D1A">
        <w:rPr>
          <w:rFonts w:eastAsia="Arial Unicode MS" w:cs="Arial"/>
          <w:sz w:val="22"/>
        </w:rPr>
        <w:t>Tout programme d’éthique sérieux comporte comme éléments clés l'élaboration, la publication et l'acceptation d'un code complet d’éthique et de conduite, qui énonce dans des termes très concrets et sans ambiguïtés, les règles de comportement auxquelles sont censés se soumettre tous les employés.</w:t>
      </w:r>
    </w:p>
    <w:p w14:paraId="2C63DC81" w14:textId="77777777" w:rsidR="00871A3A" w:rsidRPr="007E3D1A" w:rsidRDefault="00871A3A" w:rsidP="00871A3A">
      <w:pPr>
        <w:rPr>
          <w:rFonts w:eastAsia="Arial Unicode MS" w:cs="Arial"/>
          <w:sz w:val="22"/>
        </w:rPr>
      </w:pPr>
      <w:r w:rsidRPr="007E3D1A">
        <w:rPr>
          <w:rFonts w:eastAsia="Arial Unicode MS" w:cs="Arial"/>
          <w:sz w:val="22"/>
        </w:rPr>
        <w:t>Un code de conduite doit être remis aux employés (Annexe 7). Des mesures disciplinaires effectives doivent être prévues, notamment le licenciement.  Tout comportement fautif d’un ouvrier peut donner lieu à l’une des sanctions suivantes, qui est fixée par la Direction de l’Entreprise ou son représentant en fonction de la nature et de la gravité du fait reproché :</w:t>
      </w:r>
    </w:p>
    <w:p w14:paraId="0E0F1024" w14:textId="77777777" w:rsidR="00871A3A" w:rsidRPr="007E3D1A" w:rsidRDefault="00871A3A" w:rsidP="00871A3A">
      <w:pPr>
        <w:rPr>
          <w:rFonts w:eastAsia="Arial Unicode MS" w:cs="Arial"/>
          <w:sz w:val="22"/>
        </w:rPr>
      </w:pPr>
      <w:r w:rsidRPr="007E3D1A">
        <w:rPr>
          <w:rFonts w:eastAsia="Arial Unicode MS" w:cs="Arial"/>
          <w:sz w:val="22"/>
        </w:rPr>
        <w:t>Avertissement écrit ou blâme ;</w:t>
      </w:r>
    </w:p>
    <w:p w14:paraId="72EAEF4B" w14:textId="77777777" w:rsidR="00871A3A" w:rsidRPr="007E3D1A" w:rsidRDefault="00871A3A" w:rsidP="00871A3A">
      <w:pPr>
        <w:rPr>
          <w:rFonts w:eastAsia="Arial Unicode MS" w:cs="Arial"/>
          <w:sz w:val="22"/>
        </w:rPr>
      </w:pPr>
      <w:r w:rsidRPr="007E3D1A">
        <w:rPr>
          <w:rFonts w:eastAsia="Arial Unicode MS" w:cs="Arial"/>
          <w:sz w:val="22"/>
        </w:rPr>
        <w:t>Mise à pied dans la limite de trois jours ;</w:t>
      </w:r>
    </w:p>
    <w:p w14:paraId="39EB159F" w14:textId="77777777" w:rsidR="00871A3A" w:rsidRPr="007E3D1A" w:rsidRDefault="00871A3A" w:rsidP="00871A3A">
      <w:pPr>
        <w:rPr>
          <w:rFonts w:eastAsia="Arial Unicode MS" w:cs="Arial"/>
          <w:sz w:val="22"/>
        </w:rPr>
      </w:pPr>
      <w:r w:rsidRPr="007E3D1A">
        <w:rPr>
          <w:rFonts w:eastAsia="Arial Unicode MS" w:cs="Arial"/>
          <w:sz w:val="22"/>
        </w:rPr>
        <w:t>Mutation ou déclassement, à titre disciplinaire, sous réserve des dispositions du Code du travail Congolais ;</w:t>
      </w:r>
    </w:p>
    <w:p w14:paraId="0AA93487" w14:textId="77777777" w:rsidR="00871A3A" w:rsidRPr="007E3D1A" w:rsidRDefault="00871A3A" w:rsidP="00871A3A">
      <w:pPr>
        <w:rPr>
          <w:rFonts w:eastAsia="Arial Unicode MS" w:cs="Arial"/>
          <w:sz w:val="22"/>
        </w:rPr>
      </w:pPr>
      <w:r w:rsidRPr="007E3D1A">
        <w:rPr>
          <w:rFonts w:eastAsia="Arial Unicode MS" w:cs="Arial"/>
          <w:sz w:val="22"/>
        </w:rPr>
        <w:t>Sanction</w:t>
      </w:r>
    </w:p>
    <w:p w14:paraId="1850E8A0" w14:textId="77777777" w:rsidR="00871A3A" w:rsidRPr="007E3D1A" w:rsidRDefault="00871A3A" w:rsidP="00871A3A">
      <w:pPr>
        <w:rPr>
          <w:rFonts w:eastAsia="Arial Unicode MS" w:cs="Arial"/>
          <w:sz w:val="22"/>
        </w:rPr>
      </w:pPr>
      <w:r w:rsidRPr="007E3D1A">
        <w:rPr>
          <w:rFonts w:eastAsia="Arial Unicode MS" w:cs="Arial"/>
          <w:sz w:val="22"/>
        </w:rPr>
        <w:t xml:space="preserve">Licenciement ; </w:t>
      </w:r>
    </w:p>
    <w:p w14:paraId="72F903D6" w14:textId="77777777" w:rsidR="00871A3A" w:rsidRPr="007E3D1A" w:rsidRDefault="00871A3A" w:rsidP="00871A3A">
      <w:pPr>
        <w:rPr>
          <w:rFonts w:eastAsia="Arial Unicode MS" w:cs="Arial"/>
          <w:sz w:val="22"/>
        </w:rPr>
      </w:pPr>
      <w:r w:rsidRPr="007E3D1A">
        <w:rPr>
          <w:rFonts w:eastAsia="Arial Unicode MS" w:cs="Arial"/>
          <w:sz w:val="22"/>
        </w:rPr>
        <w:t>Licenciement sans préavis ni indemnité.</w:t>
      </w:r>
    </w:p>
    <w:p w14:paraId="56150E0B" w14:textId="77777777" w:rsidR="00871A3A" w:rsidRPr="007E3D1A" w:rsidRDefault="00871A3A" w:rsidP="00871A3A">
      <w:pPr>
        <w:rPr>
          <w:rFonts w:eastAsia="Arial Unicode MS" w:cs="Arial"/>
          <w:sz w:val="22"/>
        </w:rPr>
      </w:pPr>
      <w:r w:rsidRPr="007E3D1A">
        <w:rPr>
          <w:rFonts w:eastAsia="Arial Unicode MS" w:cs="Arial"/>
          <w:sz w:val="22"/>
        </w:rPr>
        <w:t>Toute faute est aggravée par la récidive, sous réserve des dispositions de la Loi N°015/2002 du 16 Octobre 2002 portant Code du travail et de la Loi N°16/010 du 15 Juillet 2016 modifiant et complétant la Loi N°015/2002 portant Code du travail. La procédure applicable en matière disciplinaire est déterminée par les textes suivants de la Loi N°015/2002 du 16 Octobre 2002 portant Code du travail et de la Loi N°16/010 du 15 Juillet 2016 modifiant et complétant la Loi N°015/2002 conformément à la Loi N°015/2002 du 16 Octobre 2002 portant Code du travail et à la Loi N°16/010 du 15 Juillet 2016 modifiant et complétant la Loi N°015/2002.</w:t>
      </w:r>
    </w:p>
    <w:p w14:paraId="00C8AC05" w14:textId="77777777" w:rsidR="00871A3A" w:rsidRPr="007E3D1A" w:rsidRDefault="00871A3A" w:rsidP="00871A3A">
      <w:pPr>
        <w:rPr>
          <w:rFonts w:eastAsia="Arial Unicode MS" w:cs="Arial"/>
          <w:sz w:val="22"/>
        </w:rPr>
      </w:pPr>
    </w:p>
    <w:p w14:paraId="2D7BDE23" w14:textId="77777777" w:rsidR="00871A3A" w:rsidRPr="007E3D1A" w:rsidRDefault="00871A3A" w:rsidP="00871A3A">
      <w:pPr>
        <w:rPr>
          <w:rFonts w:eastAsia="Arial Unicode MS" w:cs="Arial"/>
          <w:sz w:val="22"/>
        </w:rPr>
      </w:pPr>
      <w:r w:rsidRPr="007E3D1A">
        <w:rPr>
          <w:rFonts w:eastAsia="Arial Unicode MS" w:cs="Arial"/>
          <w:sz w:val="22"/>
        </w:rPr>
        <w:t>Pour s’assurer de la réputation de notre société en la bonne conduite, l’entreprise et chaque employé doivent respecter le Code de Bonne Conduite et adhérer à ce Code, lequel comporte généralement les éléments clés suivants :</w:t>
      </w:r>
    </w:p>
    <w:p w14:paraId="04059F8A" w14:textId="77777777" w:rsidR="00871A3A" w:rsidRPr="007E3D1A" w:rsidRDefault="00871A3A" w:rsidP="00871A3A">
      <w:pPr>
        <w:rPr>
          <w:rFonts w:eastAsia="Arial Unicode MS" w:cs="Arial"/>
          <w:sz w:val="22"/>
        </w:rPr>
      </w:pPr>
      <w:r w:rsidRPr="007E3D1A">
        <w:rPr>
          <w:rFonts w:eastAsia="Arial Unicode MS" w:cs="Arial"/>
          <w:sz w:val="22"/>
        </w:rPr>
        <w:t xml:space="preserve">Les 4 éléments clés du Code de Bonne Conduite sont les suivants :   </w:t>
      </w:r>
    </w:p>
    <w:p w14:paraId="66C6204C" w14:textId="77777777" w:rsidR="00871A3A" w:rsidRPr="007E3D1A" w:rsidRDefault="00871A3A" w:rsidP="00871A3A">
      <w:pPr>
        <w:rPr>
          <w:rFonts w:eastAsia="Arial Unicode MS" w:cs="Arial"/>
          <w:sz w:val="22"/>
        </w:rPr>
      </w:pPr>
      <w:r w:rsidRPr="007E3D1A">
        <w:rPr>
          <w:rFonts w:eastAsia="Arial Unicode MS" w:cs="Arial"/>
          <w:sz w:val="22"/>
        </w:rPr>
        <w:t xml:space="preserve">Responsabilité personnelle </w:t>
      </w:r>
    </w:p>
    <w:p w14:paraId="59D1FDC7" w14:textId="77777777" w:rsidR="00871A3A" w:rsidRPr="007E3D1A" w:rsidRDefault="00871A3A" w:rsidP="00871A3A">
      <w:pPr>
        <w:rPr>
          <w:rFonts w:eastAsia="Arial Unicode MS" w:cs="Arial"/>
          <w:sz w:val="22"/>
        </w:rPr>
      </w:pPr>
      <w:r w:rsidRPr="007E3D1A">
        <w:rPr>
          <w:rFonts w:eastAsia="Arial Unicode MS" w:cs="Arial"/>
          <w:sz w:val="22"/>
        </w:rPr>
        <w:t xml:space="preserve">Responsabilité vis-à-vis de la loi </w:t>
      </w:r>
    </w:p>
    <w:p w14:paraId="6801AEAE" w14:textId="77777777" w:rsidR="00871A3A" w:rsidRPr="007E3D1A" w:rsidRDefault="00871A3A" w:rsidP="00871A3A">
      <w:pPr>
        <w:rPr>
          <w:rFonts w:eastAsia="Arial Unicode MS" w:cs="Arial"/>
          <w:sz w:val="22"/>
        </w:rPr>
      </w:pPr>
      <w:r w:rsidRPr="007E3D1A">
        <w:rPr>
          <w:rFonts w:eastAsia="Arial Unicode MS" w:cs="Arial"/>
          <w:sz w:val="22"/>
        </w:rPr>
        <w:t>Responsabilité vis-à-vis du travail</w:t>
      </w:r>
    </w:p>
    <w:p w14:paraId="23973EED" w14:textId="77777777" w:rsidR="00871A3A" w:rsidRPr="007E3D1A" w:rsidRDefault="00871A3A" w:rsidP="00871A3A">
      <w:pPr>
        <w:rPr>
          <w:rFonts w:eastAsia="Arial Unicode MS" w:cs="Arial"/>
          <w:sz w:val="22"/>
        </w:rPr>
      </w:pPr>
      <w:r w:rsidRPr="007E3D1A">
        <w:rPr>
          <w:rFonts w:eastAsia="Arial Unicode MS" w:cs="Arial"/>
          <w:sz w:val="22"/>
        </w:rPr>
        <w:t>Responsabilité vis-à-vis de l’environnement de travail</w:t>
      </w:r>
    </w:p>
    <w:p w14:paraId="7C55CB48" w14:textId="77777777" w:rsidR="00871A3A" w:rsidRPr="007E3D1A" w:rsidRDefault="00871A3A" w:rsidP="00871A3A">
      <w:pPr>
        <w:rPr>
          <w:rFonts w:eastAsia="Arial Unicode MS" w:cs="Arial"/>
          <w:sz w:val="22"/>
        </w:rPr>
      </w:pPr>
      <w:r w:rsidRPr="007E3D1A">
        <w:rPr>
          <w:rFonts w:eastAsia="Arial Unicode MS" w:cs="Arial"/>
          <w:sz w:val="22"/>
        </w:rPr>
        <w:t>Responsabilité vis-à-vis les Violences basées sur le Genre (VBG)</w:t>
      </w:r>
    </w:p>
    <w:p w14:paraId="02648A69" w14:textId="77777777" w:rsidR="00871A3A" w:rsidRPr="007E3D1A" w:rsidRDefault="00871A3A" w:rsidP="00871A3A">
      <w:pPr>
        <w:rPr>
          <w:rFonts w:eastAsia="Arial Unicode MS" w:cs="Arial"/>
          <w:sz w:val="22"/>
        </w:rPr>
      </w:pPr>
      <w:r w:rsidRPr="007E3D1A">
        <w:rPr>
          <w:rFonts w:eastAsia="Arial Unicode MS" w:cs="Arial"/>
          <w:sz w:val="22"/>
        </w:rPr>
        <w:t>Éléments clés</w:t>
      </w:r>
    </w:p>
    <w:p w14:paraId="661E9E5B" w14:textId="77777777" w:rsidR="00871A3A" w:rsidRPr="007E3D1A" w:rsidRDefault="00871A3A" w:rsidP="00871A3A">
      <w:pPr>
        <w:rPr>
          <w:rFonts w:eastAsia="Arial Unicode MS" w:cs="Arial"/>
          <w:sz w:val="22"/>
        </w:rPr>
      </w:pPr>
      <w:r w:rsidRPr="007E3D1A">
        <w:rPr>
          <w:rFonts w:eastAsia="Arial Unicode MS" w:cs="Arial"/>
          <w:sz w:val="22"/>
        </w:rPr>
        <w:t>Responsabilité personnelle</w:t>
      </w:r>
    </w:p>
    <w:p w14:paraId="3FADFC73" w14:textId="77777777" w:rsidR="00871A3A" w:rsidRPr="007E3D1A" w:rsidRDefault="00871A3A" w:rsidP="00871A3A">
      <w:pPr>
        <w:rPr>
          <w:rFonts w:eastAsia="Arial Unicode MS" w:cs="Arial"/>
          <w:sz w:val="22"/>
        </w:rPr>
      </w:pPr>
      <w:r w:rsidRPr="007E3D1A">
        <w:rPr>
          <w:rFonts w:eastAsia="Arial Unicode MS" w:cs="Arial"/>
          <w:sz w:val="22"/>
        </w:rPr>
        <w:t>Tous les employés de notre société doivent accepter la responsabilité personnelle qui leur incombe de respecter le Code d’Éthique et de Bonne Conduite.  Ils doivent tout particulièrement :</w:t>
      </w:r>
    </w:p>
    <w:p w14:paraId="10BAAE22" w14:textId="77777777" w:rsidR="00871A3A" w:rsidRPr="007E3D1A" w:rsidRDefault="00871A3A" w:rsidP="00871A3A">
      <w:pPr>
        <w:rPr>
          <w:rFonts w:eastAsia="Arial Unicode MS" w:cs="Arial"/>
          <w:sz w:val="22"/>
        </w:rPr>
      </w:pPr>
      <w:r w:rsidRPr="007E3D1A">
        <w:rPr>
          <w:rFonts w:eastAsia="Arial Unicode MS" w:cs="Arial"/>
          <w:sz w:val="22"/>
        </w:rPr>
        <w:t xml:space="preserve">S’attacher à respecter les plus hauts niveaux de moralité afin de garder la réputation de l’Entreprise, et ne pas se borner à faire le minimum requis pour répondre aux exigences légales ou aux procédures en vigueur ;  </w:t>
      </w:r>
    </w:p>
    <w:p w14:paraId="64B70679" w14:textId="77777777" w:rsidR="00871A3A" w:rsidRPr="007E3D1A" w:rsidRDefault="00871A3A" w:rsidP="00871A3A">
      <w:pPr>
        <w:rPr>
          <w:rFonts w:eastAsia="Arial Unicode MS" w:cs="Arial"/>
          <w:sz w:val="22"/>
        </w:rPr>
      </w:pPr>
      <w:r w:rsidRPr="007E3D1A">
        <w:rPr>
          <w:rFonts w:eastAsia="Arial Unicode MS" w:cs="Arial"/>
          <w:sz w:val="22"/>
        </w:rPr>
        <w:t>Prendre le temps de lire et de comprendre le Code d’Éthique et de Bonne Conduite ;</w:t>
      </w:r>
    </w:p>
    <w:p w14:paraId="5C802BAB" w14:textId="77777777" w:rsidR="00871A3A" w:rsidRPr="007E3D1A" w:rsidRDefault="00871A3A" w:rsidP="00871A3A">
      <w:pPr>
        <w:rPr>
          <w:rFonts w:eastAsia="Arial Unicode MS" w:cs="Arial"/>
          <w:sz w:val="22"/>
        </w:rPr>
      </w:pPr>
      <w:r w:rsidRPr="007E3D1A">
        <w:rPr>
          <w:rFonts w:eastAsia="Arial Unicode MS" w:cs="Arial"/>
          <w:sz w:val="22"/>
        </w:rPr>
        <w:t>Sauf exception stipulée dans le Code d’Éthique et de Bonne Conduite ou tout autre texte, loi, réglementation, décision ou directive, ne pas solliciter ni accepter de cadeau ou autre élément ayant une valeur pécuniaire, de la part de toute personne ou entité recherchant une action, une relation commerciale avec l’Entreprise ou la conduite d’activités réglementées par l’Entreprise, ou dont les intérêts risquent d’être affectés dans une large mesure par le fait que l’employé réalise ou ne réalise pas les tâches qui lui sont confiées ;</w:t>
      </w:r>
    </w:p>
    <w:p w14:paraId="3C18258C" w14:textId="77777777" w:rsidR="00871A3A" w:rsidRPr="007E3D1A" w:rsidRDefault="00871A3A" w:rsidP="00871A3A">
      <w:pPr>
        <w:rPr>
          <w:rFonts w:eastAsia="Arial Unicode MS" w:cs="Arial"/>
          <w:sz w:val="22"/>
        </w:rPr>
      </w:pPr>
      <w:r w:rsidRPr="007E3D1A">
        <w:rPr>
          <w:rFonts w:eastAsia="Arial Unicode MS" w:cs="Arial"/>
          <w:sz w:val="22"/>
        </w:rPr>
        <w:t>Ne pas détenir d’intérêts financiers en conflit avec une réalisation consciencieuse de leur devoir ;</w:t>
      </w:r>
    </w:p>
    <w:p w14:paraId="05655151" w14:textId="77777777" w:rsidR="00871A3A" w:rsidRPr="007E3D1A" w:rsidRDefault="00871A3A" w:rsidP="00871A3A">
      <w:pPr>
        <w:rPr>
          <w:rFonts w:eastAsia="Arial Unicode MS" w:cs="Arial"/>
          <w:sz w:val="22"/>
        </w:rPr>
      </w:pPr>
      <w:r w:rsidRPr="007E3D1A">
        <w:rPr>
          <w:rFonts w:eastAsia="Arial Unicode MS" w:cs="Arial"/>
          <w:sz w:val="22"/>
        </w:rPr>
        <w:t>Traiter leurs collègues et leurs collaborateurs de manière professionnelle et avec courtoisie ; Agir de manière impartiale et ne pas accorder de traitement préférentiel à tout organisme privé ou individu quel qu’il soit ;</w:t>
      </w:r>
    </w:p>
    <w:p w14:paraId="1AED41A8" w14:textId="77777777" w:rsidR="00871A3A" w:rsidRPr="007E3D1A" w:rsidRDefault="00871A3A" w:rsidP="00871A3A">
      <w:pPr>
        <w:rPr>
          <w:rFonts w:eastAsia="Arial Unicode MS" w:cs="Arial"/>
          <w:sz w:val="22"/>
        </w:rPr>
      </w:pPr>
      <w:r w:rsidRPr="007E3D1A">
        <w:rPr>
          <w:rFonts w:eastAsia="Arial Unicode MS" w:cs="Arial"/>
          <w:sz w:val="22"/>
        </w:rPr>
        <w:t>L’entreprise est un employeur qui garantit l’égalité des chances et qui veille au respect de la dignité de ses employés.</w:t>
      </w:r>
    </w:p>
    <w:p w14:paraId="1AFC8A79" w14:textId="77777777" w:rsidR="00871A3A" w:rsidRPr="007E3D1A" w:rsidRDefault="00871A3A" w:rsidP="00871A3A">
      <w:pPr>
        <w:rPr>
          <w:rFonts w:eastAsia="Arial Unicode MS" w:cs="Arial"/>
          <w:sz w:val="22"/>
        </w:rPr>
      </w:pPr>
      <w:r w:rsidRPr="007E3D1A">
        <w:rPr>
          <w:rFonts w:eastAsia="Arial Unicode MS" w:cs="Arial"/>
          <w:sz w:val="22"/>
        </w:rPr>
        <w:t xml:space="preserve">Responsabilité vis-à-vis de la loi </w:t>
      </w:r>
    </w:p>
    <w:p w14:paraId="6558FF86" w14:textId="77777777" w:rsidR="00871A3A" w:rsidRPr="007E3D1A" w:rsidRDefault="00871A3A" w:rsidP="00871A3A">
      <w:pPr>
        <w:rPr>
          <w:rFonts w:eastAsia="SimSun" w:cs="Arial"/>
          <w:sz w:val="22"/>
        </w:rPr>
      </w:pPr>
      <w:r w:rsidRPr="007E3D1A">
        <w:rPr>
          <w:rFonts w:eastAsia="SimSun" w:cs="Arial"/>
          <w:sz w:val="22"/>
        </w:rPr>
        <w:t>Tous les employés sont tenus d'avertir leur hiérarchie dès qu'ils ont connaissance qu’ils font l'objet de poursuites pénales ou qu'ils sont susceptibles d'être poursuivis. Au moment où elle reçoit ces informations, la hiérarchie devrait décider de maintenir l’employé au poste qu’il occupait, de l'affecter à d'autres fonctions ou de le suspendre de ses fonctions.</w:t>
      </w:r>
    </w:p>
    <w:p w14:paraId="224FA108" w14:textId="77777777" w:rsidR="00871A3A" w:rsidRPr="007E3D1A" w:rsidRDefault="00871A3A" w:rsidP="00871A3A">
      <w:pPr>
        <w:rPr>
          <w:rFonts w:eastAsia="SimSun" w:cs="Arial"/>
          <w:sz w:val="22"/>
        </w:rPr>
      </w:pPr>
      <w:r w:rsidRPr="007E3D1A">
        <w:rPr>
          <w:rFonts w:eastAsia="SimSun" w:cs="Arial"/>
          <w:sz w:val="22"/>
        </w:rPr>
        <w:t>Lorsque des employés de l’Entreprise estiment qu’ils sont demandés par un supérieur ou un collègue d’agir de manière illégale, abusive, contraire à la loi du Pays ou en violation du Code de conduite, pendant l’exercice de leurs tâches, il leur appartient de le signaler à un membre désigné de la hiérarchie ou de l’Entreprise.</w:t>
      </w:r>
    </w:p>
    <w:p w14:paraId="63E17237" w14:textId="77777777" w:rsidR="00871A3A" w:rsidRPr="007E3D1A" w:rsidRDefault="00871A3A" w:rsidP="00871A3A">
      <w:pPr>
        <w:rPr>
          <w:rFonts w:eastAsia="SimSun" w:cs="Arial"/>
          <w:sz w:val="22"/>
        </w:rPr>
      </w:pPr>
      <w:r w:rsidRPr="007E3D1A">
        <w:rPr>
          <w:rFonts w:eastAsia="SimSun" w:cs="Arial"/>
          <w:sz w:val="22"/>
        </w:rPr>
        <w:t>L’employeur et l’employé sont obligés de bien maitriser les lois en vigueur au pays en rapport avec le présent projet car elles priment sur toutes conventions collectives. Toute conduite illicite et criminelle ou encore à tendance criminelle est strictement interdite au sein de l’Entreprise. Un tel cas se verra directement traduit en justice conformément à la loi.</w:t>
      </w:r>
    </w:p>
    <w:p w14:paraId="5AE79EAA" w14:textId="77777777" w:rsidR="00871A3A" w:rsidRPr="007E3D1A" w:rsidRDefault="00871A3A" w:rsidP="00871A3A">
      <w:pPr>
        <w:rPr>
          <w:rFonts w:eastAsia="Arial Unicode MS" w:cs="Arial"/>
          <w:sz w:val="22"/>
        </w:rPr>
      </w:pPr>
      <w:r w:rsidRPr="007E3D1A">
        <w:rPr>
          <w:rFonts w:eastAsia="Arial Unicode MS" w:cs="Arial"/>
          <w:sz w:val="22"/>
        </w:rPr>
        <w:t>Responsabilité vis-à-vis du travail</w:t>
      </w:r>
    </w:p>
    <w:p w14:paraId="02BED52D" w14:textId="77777777" w:rsidR="00871A3A" w:rsidRPr="007E3D1A" w:rsidRDefault="00871A3A" w:rsidP="00871A3A">
      <w:pPr>
        <w:rPr>
          <w:rFonts w:eastAsia="SimSun" w:cs="Arial"/>
          <w:sz w:val="22"/>
        </w:rPr>
      </w:pPr>
      <w:r w:rsidRPr="007E3D1A">
        <w:rPr>
          <w:rFonts w:eastAsia="SimSun" w:cs="Arial"/>
          <w:sz w:val="22"/>
        </w:rPr>
        <w:t>Le travail commence à 8h00 et prend fin à 17h00’ avec une pause de 12h00’ à 13h00 du lundi au vendredi. Le Samedi de 08h00’ à 13h00’. L’employé est interdit de quitter le travail sans autorisation.</w:t>
      </w:r>
    </w:p>
    <w:p w14:paraId="6E04C4A9" w14:textId="77777777" w:rsidR="00871A3A" w:rsidRPr="007E3D1A" w:rsidRDefault="00871A3A" w:rsidP="00871A3A">
      <w:pPr>
        <w:rPr>
          <w:rFonts w:eastAsia="SimSun" w:cs="Arial"/>
          <w:sz w:val="22"/>
        </w:rPr>
      </w:pPr>
      <w:r w:rsidRPr="007E3D1A">
        <w:rPr>
          <w:rFonts w:eastAsia="SimSun" w:cs="Arial"/>
          <w:sz w:val="22"/>
        </w:rPr>
        <w:t>Au cas où l’employeur constate un employé inactif, la journée de ce dernier ne serait pas considérée comme entière et il serait sanctionné à travers la déduction d’un certain pourcentage de son salaire ou le licenciement.</w:t>
      </w:r>
    </w:p>
    <w:p w14:paraId="47F972C5" w14:textId="77777777" w:rsidR="00871A3A" w:rsidRPr="007E3D1A" w:rsidRDefault="00871A3A" w:rsidP="00871A3A">
      <w:pPr>
        <w:rPr>
          <w:rFonts w:eastAsia="SimSun" w:cs="Arial"/>
          <w:sz w:val="22"/>
        </w:rPr>
      </w:pPr>
      <w:r w:rsidRPr="007E3D1A">
        <w:rPr>
          <w:rFonts w:eastAsia="SimSun" w:cs="Arial"/>
          <w:sz w:val="22"/>
        </w:rPr>
        <w:t>L’employé sous influence d’alcool ne prendra pas son service ou ne restera pas en service. En aucune circonstance, les employés ne conduiront un véhicule, ou n’utiliseront n’importe quel engin appartenant à l’Entreprise pendant qu’ils sont en service ou en dehors, s’ils sont sous influence d’alcool. L’employeur calcule le salaire d’Employé selon les heures que ce dernier est en service.</w:t>
      </w:r>
    </w:p>
    <w:p w14:paraId="47B4C536" w14:textId="77777777" w:rsidR="00871A3A" w:rsidRPr="007E3D1A" w:rsidRDefault="00871A3A" w:rsidP="00871A3A">
      <w:pPr>
        <w:rPr>
          <w:rFonts w:eastAsia="SimSun" w:cs="Arial"/>
          <w:sz w:val="22"/>
        </w:rPr>
      </w:pPr>
      <w:r w:rsidRPr="007E3D1A">
        <w:rPr>
          <w:rFonts w:eastAsia="SimSun" w:cs="Arial"/>
          <w:sz w:val="22"/>
        </w:rPr>
        <w:t xml:space="preserve">Les membres du personnel doivent consacrer leurs activités professionnelles au service de </w:t>
      </w:r>
      <w:r w:rsidRPr="007E3D1A">
        <w:rPr>
          <w:rFonts w:eastAsia="Arial Unicode MS" w:cs="Arial"/>
          <w:sz w:val="22"/>
        </w:rPr>
        <w:t>l’entreprise</w:t>
      </w:r>
      <w:r w:rsidRPr="007E3D1A">
        <w:rPr>
          <w:rFonts w:eastAsia="SimSun" w:cs="Arial"/>
          <w:sz w:val="22"/>
        </w:rPr>
        <w:t xml:space="preserve"> conformément aux règles, politiques et lignes directrices pertinentes. Les membres du personnel ne peuvent, sans y avoir été préalablement autorisés par</w:t>
      </w:r>
      <w:r w:rsidRPr="007E3D1A">
        <w:rPr>
          <w:rFonts w:eastAsia="Arial Unicode MS" w:cs="Arial"/>
          <w:sz w:val="22"/>
        </w:rPr>
        <w:t xml:space="preserve"> l’entreprise</w:t>
      </w:r>
      <w:r w:rsidRPr="007E3D1A">
        <w:rPr>
          <w:rFonts w:eastAsia="SimSun" w:cs="Arial"/>
          <w:sz w:val="22"/>
        </w:rPr>
        <w:t xml:space="preserve">, exercer aucune activité professionnelle en dehors </w:t>
      </w:r>
      <w:r w:rsidRPr="007E3D1A">
        <w:rPr>
          <w:rFonts w:eastAsia="Arial Unicode MS" w:cs="Arial"/>
          <w:sz w:val="22"/>
        </w:rPr>
        <w:t>l’entreprise</w:t>
      </w:r>
      <w:r w:rsidRPr="007E3D1A">
        <w:rPr>
          <w:rFonts w:eastAsia="SimSun" w:cs="Arial"/>
          <w:sz w:val="22"/>
        </w:rPr>
        <w:t xml:space="preserve">. </w:t>
      </w:r>
      <w:r w:rsidRPr="007E3D1A">
        <w:rPr>
          <w:rFonts w:eastAsia="Arial Unicode MS" w:cs="Arial"/>
          <w:sz w:val="22"/>
        </w:rPr>
        <w:t>L’entreprise</w:t>
      </w:r>
      <w:r w:rsidRPr="007E3D1A">
        <w:rPr>
          <w:rFonts w:eastAsia="SimSun" w:cs="Arial"/>
          <w:sz w:val="22"/>
        </w:rPr>
        <w:t xml:space="preserve"> refuse de donner cette permission si elle considère que l’activité en question risque d’être préjudiciable au bon accomplissement des tâches du membre du personnel.</w:t>
      </w:r>
    </w:p>
    <w:p w14:paraId="7CFE73B1" w14:textId="77777777" w:rsidR="00871A3A" w:rsidRPr="007E3D1A" w:rsidRDefault="00871A3A" w:rsidP="00871A3A">
      <w:pPr>
        <w:rPr>
          <w:rFonts w:eastAsia="SimSun" w:cs="Arial"/>
          <w:sz w:val="22"/>
        </w:rPr>
      </w:pPr>
      <w:r w:rsidRPr="007E3D1A">
        <w:rPr>
          <w:rFonts w:eastAsia="SimSun" w:cs="Arial"/>
          <w:sz w:val="22"/>
        </w:rPr>
        <w:t xml:space="preserve">L’exercice, par les membres du personnel, d’une activité extérieure dûment autorisée ne doit pas entraîner un usage abusif des ressources de </w:t>
      </w:r>
      <w:r w:rsidRPr="007E3D1A">
        <w:rPr>
          <w:rFonts w:eastAsia="Arial Unicode MS" w:cs="Arial"/>
          <w:sz w:val="22"/>
        </w:rPr>
        <w:t xml:space="preserve">l’entreprise </w:t>
      </w:r>
      <w:r w:rsidRPr="007E3D1A">
        <w:rPr>
          <w:rFonts w:eastAsia="SimSun" w:cs="Arial"/>
          <w:sz w:val="22"/>
        </w:rPr>
        <w:t xml:space="preserve">ni reposer sur l’exploitation illégitime du nom, de la réputation ou du soutien financier de </w:t>
      </w:r>
      <w:r w:rsidRPr="007E3D1A">
        <w:rPr>
          <w:rFonts w:eastAsia="Arial Unicode MS" w:cs="Arial"/>
          <w:sz w:val="22"/>
        </w:rPr>
        <w:t>l’entreprise</w:t>
      </w:r>
      <w:r w:rsidRPr="007E3D1A">
        <w:rPr>
          <w:rFonts w:eastAsia="SimSun" w:cs="Arial"/>
          <w:sz w:val="22"/>
        </w:rPr>
        <w:t>. Les employés n’achèteront et ne consommeront aucune boisson alcoolisée pendant leur service ou en dehors, tant qu’ils portent l’uniforme. Il est formellement interdit d’accéder aux lieux de travail en état d’ivresse et d’introduire ou de distribuer aux postes de travail des boissons alcoolisées.</w:t>
      </w:r>
    </w:p>
    <w:p w14:paraId="48A94DA7" w14:textId="77777777" w:rsidR="00871A3A" w:rsidRPr="007E3D1A" w:rsidRDefault="00871A3A" w:rsidP="00871A3A">
      <w:pPr>
        <w:rPr>
          <w:rFonts w:eastAsia="SimSun" w:cs="Arial"/>
          <w:sz w:val="22"/>
        </w:rPr>
      </w:pPr>
      <w:r w:rsidRPr="007E3D1A">
        <w:rPr>
          <w:rFonts w:eastAsia="SimSun" w:cs="Arial"/>
          <w:sz w:val="22"/>
        </w:rPr>
        <w:t>Chaque employé doit utiliser conformément aux instructions reçues les équipements de protection individuelle tels que : chaussures de sécurité, vêtements imperméables, casques, gants, lunettes, protections antibruit, maniques, brassières, tabliers, vêtements de protection, etc., mis à sa disposition par l’Entreprise. Tous les employés doivent être en tenue recommandée pour le travail quel que soit les conditions climatiques, au cas contraire, il serait sanctionné à travers la déduction un certain pourcentage de son salaire ou le licenciement.</w:t>
      </w:r>
    </w:p>
    <w:p w14:paraId="2214DF5B" w14:textId="77777777" w:rsidR="00871A3A" w:rsidRPr="007E3D1A" w:rsidRDefault="00871A3A" w:rsidP="00871A3A">
      <w:pPr>
        <w:rPr>
          <w:rFonts w:eastAsia="SimSun" w:cs="Arial"/>
          <w:sz w:val="22"/>
        </w:rPr>
      </w:pPr>
      <w:r w:rsidRPr="007E3D1A">
        <w:rPr>
          <w:rFonts w:eastAsia="SimSun" w:cs="Arial"/>
          <w:sz w:val="22"/>
        </w:rPr>
        <w:t>Les employés ne peuvent pas participer ou chercher à participer ou être complice de participer à l’acte de vol ni participer à l’acte de dégradation intentionnelle. Si l’employeur a des preuves irréfutables, un employé qui participe à un acte de vol ou de dégradation sera tenu de réparer, restituer les objets volés ou dégradés ou d’indemniser la même valeur de ce qu’il a volé ou dégradé avant d’être transmis à l’autorité publique pour subir sa peine.</w:t>
      </w:r>
    </w:p>
    <w:p w14:paraId="15C957D0" w14:textId="77777777" w:rsidR="00871A3A" w:rsidRPr="007E3D1A" w:rsidRDefault="00871A3A" w:rsidP="00871A3A">
      <w:pPr>
        <w:rPr>
          <w:rFonts w:eastAsia="SimSun" w:cs="Arial"/>
          <w:sz w:val="22"/>
        </w:rPr>
      </w:pPr>
      <w:r w:rsidRPr="007E3D1A">
        <w:rPr>
          <w:rFonts w:eastAsia="SimSun" w:cs="Arial"/>
          <w:sz w:val="22"/>
        </w:rPr>
        <w:t xml:space="preserve">Les employés doivent respecter leur hiérarchie et collègues. Les employés ne peuvent pas injurier leurs hiérarchies et collègues. </w:t>
      </w:r>
      <w:r w:rsidRPr="007E3D1A">
        <w:rPr>
          <w:rFonts w:eastAsia="Arial Unicode MS" w:cs="Arial"/>
          <w:sz w:val="22"/>
        </w:rPr>
        <w:t>L’entreprise</w:t>
      </w:r>
      <w:r w:rsidRPr="007E3D1A">
        <w:rPr>
          <w:rFonts w:eastAsia="SimSun" w:cs="Arial"/>
          <w:sz w:val="22"/>
        </w:rPr>
        <w:t xml:space="preserve"> encourage les membres de son personnel à faire preuve d’un esprit de coopération de bonne foi. La désinformation ou la rétention d’information, le refus injustifié de collaborer avec des collègues ainsi que, d’une manière générale, les comportements d’obstruction ou de dénigrement systématique sont fermement découragés à tous les niveaux.</w:t>
      </w:r>
    </w:p>
    <w:p w14:paraId="683A916A" w14:textId="77777777" w:rsidR="00871A3A" w:rsidRPr="007E3D1A" w:rsidRDefault="00871A3A" w:rsidP="00871A3A">
      <w:pPr>
        <w:rPr>
          <w:rFonts w:eastAsia="SimSun" w:cs="Arial"/>
          <w:sz w:val="22"/>
        </w:rPr>
      </w:pPr>
      <w:r w:rsidRPr="007E3D1A">
        <w:rPr>
          <w:rFonts w:eastAsia="SimSun" w:cs="Arial"/>
          <w:sz w:val="22"/>
        </w:rPr>
        <w:t>Les employés doivent observer le programme établi par l’employeur ou leurs hiérarchies. Les membres du personnel sont en droit de recevoir, de la part de leurs supérieurs, des instructions claires concernant leurs tâches ainsi que des observations honnêtes et constructives, dénuées de préjugés, de favoritisme ou d’arrière-pensées, sur leur manière de travailler et sur leurs résultats.</w:t>
      </w:r>
    </w:p>
    <w:p w14:paraId="29E97AF5" w14:textId="77777777" w:rsidR="00871A3A" w:rsidRPr="007E3D1A" w:rsidRDefault="00871A3A" w:rsidP="00871A3A">
      <w:pPr>
        <w:rPr>
          <w:rFonts w:eastAsia="SimSun" w:cs="Arial"/>
          <w:sz w:val="22"/>
        </w:rPr>
      </w:pPr>
      <w:r w:rsidRPr="007E3D1A">
        <w:rPr>
          <w:rFonts w:eastAsia="SimSun" w:cs="Arial"/>
          <w:sz w:val="22"/>
        </w:rPr>
        <w:t>Les membres du personnel sont tenus de s’acquitter des tâches liées à leur profession avec diligence et efficacité et dans toute la mesure de leur compétence.</w:t>
      </w:r>
    </w:p>
    <w:p w14:paraId="7D1ECE9C" w14:textId="77777777" w:rsidR="00871A3A" w:rsidRPr="007E3D1A" w:rsidRDefault="00871A3A" w:rsidP="00871A3A">
      <w:pPr>
        <w:rPr>
          <w:rFonts w:eastAsia="SimSun" w:cs="Arial"/>
          <w:sz w:val="22"/>
        </w:rPr>
      </w:pPr>
      <w:r w:rsidRPr="007E3D1A">
        <w:rPr>
          <w:rFonts w:eastAsia="SimSun" w:cs="Arial"/>
          <w:sz w:val="22"/>
        </w:rPr>
        <w:t>Tout employé doit prendre soin des outils et effets de travail qui peuvent lui être fournis par l’entreprise et veiller à leur conservation et à leur entretien. Tout employé ne doit pas utiliser des matériels y compris informatiques et de téléphonie mobile, des matériaux et des outils de l’entreprise à des fins personnelles. L’utilisation des outils informatiques est en principe professionnelle. L’employé ne doit pas emporter sans autorisation quoi que ce soit ne leur appartenant pas (documents ou objets confiés par l’Entreprise, matériel, outils, matériaux, etc.).</w:t>
      </w:r>
    </w:p>
    <w:p w14:paraId="21E92D10" w14:textId="77777777" w:rsidR="00871A3A" w:rsidRPr="007E3D1A" w:rsidRDefault="00871A3A" w:rsidP="00871A3A">
      <w:pPr>
        <w:rPr>
          <w:rFonts w:eastAsia="Arial Unicode MS" w:cs="Arial"/>
          <w:sz w:val="22"/>
        </w:rPr>
      </w:pPr>
      <w:r w:rsidRPr="007E3D1A">
        <w:rPr>
          <w:rFonts w:eastAsia="Arial Unicode MS" w:cs="Arial"/>
          <w:sz w:val="22"/>
        </w:rPr>
        <w:t>Responsabilité vis-à-vis de l’environnement, hygiène et sécurité</w:t>
      </w:r>
    </w:p>
    <w:p w14:paraId="097271FE" w14:textId="77777777" w:rsidR="00871A3A" w:rsidRPr="007E3D1A" w:rsidRDefault="00871A3A" w:rsidP="00871A3A">
      <w:pPr>
        <w:rPr>
          <w:rFonts w:eastAsia="SimSun" w:cs="Arial"/>
          <w:sz w:val="22"/>
        </w:rPr>
      </w:pPr>
      <w:r w:rsidRPr="007E3D1A">
        <w:rPr>
          <w:rFonts w:eastAsia="SimSun" w:cs="Arial"/>
          <w:sz w:val="22"/>
        </w:rPr>
        <w:t>Tous les employés ont le droit d’exercer leur activité dans les meilleures conditions de santé et de sécurité, sans faire l’objet de discrimination et de harcèlement, et dans un environnement où les objectifs visés par chacun et par l’administration peuvent être atteints. Chaque employé doit veiller à sa sécurité personnelle et à celle des autres en respectant ou en faisant respecter, en fonction de sa formation et selon ses possibilités, les consignes générales et particulières de sécurité en vigueur sur les lieux du travail ou pour l’exécution de certains travaux ainsi que les dispositions mises en place dans l’entreprise pour l’application des prescriptions prévues par la réglementation en vigueur en matière d’hygiène et de sécurité et dans le Plan de Gestion Environnementale et Sociale du Chantier, en particulier :</w:t>
      </w:r>
    </w:p>
    <w:p w14:paraId="068BD313" w14:textId="77777777" w:rsidR="00871A3A" w:rsidRPr="007E3D1A" w:rsidRDefault="00871A3A" w:rsidP="00871A3A">
      <w:pPr>
        <w:rPr>
          <w:rFonts w:eastAsia="SimSun" w:cs="Arial"/>
          <w:sz w:val="22"/>
        </w:rPr>
      </w:pPr>
      <w:r w:rsidRPr="007E3D1A">
        <w:rPr>
          <w:rFonts w:eastAsia="SimSun" w:cs="Arial"/>
          <w:sz w:val="22"/>
        </w:rPr>
        <w:t>Chaque employé a pour obligation, sauf instructions particulières de la Direction de l’Entreprise ou de son représentant (en l’occurrence le Chef de chantier), de maintenir en place les dispositifs installés de toute nature pour assurer la protection collective des travailleurs soit par sa propre Entreprise, soit par d’autres Entreprises intervenant sur le même chantier. Lorsque ces dispositifs devront être enlevés pour l’exécution d’un travail et ne pourront être remplacés en raison de l’avancement des travaux, il devra en avertir préalablement la Direction de l’Entreprise ou son représentant, ou le cas échéant, le responsable de la sécurité sur le chantier ;</w:t>
      </w:r>
    </w:p>
    <w:p w14:paraId="3D2D436A" w14:textId="77777777" w:rsidR="00871A3A" w:rsidRPr="007E3D1A" w:rsidRDefault="00871A3A" w:rsidP="00871A3A">
      <w:pPr>
        <w:rPr>
          <w:rFonts w:eastAsia="SimSun" w:cs="Arial"/>
          <w:sz w:val="22"/>
        </w:rPr>
      </w:pPr>
      <w:r w:rsidRPr="007E3D1A">
        <w:rPr>
          <w:rFonts w:eastAsia="SimSun" w:cs="Arial"/>
          <w:sz w:val="22"/>
        </w:rPr>
        <w:t>Chaque employé prend soin des équipements de protection individuelle qui lui sont confiés et signale toute défectuosité constatée ;</w:t>
      </w:r>
    </w:p>
    <w:p w14:paraId="0C80063D" w14:textId="77777777" w:rsidR="00871A3A" w:rsidRPr="007E3D1A" w:rsidRDefault="00871A3A" w:rsidP="00871A3A">
      <w:pPr>
        <w:rPr>
          <w:rFonts w:eastAsia="SimSun" w:cs="Arial"/>
          <w:sz w:val="22"/>
        </w:rPr>
      </w:pPr>
      <w:r w:rsidRPr="007E3D1A">
        <w:rPr>
          <w:rFonts w:eastAsia="SimSun" w:cs="Arial"/>
          <w:sz w:val="22"/>
        </w:rPr>
        <w:t>Tout employé ayant constaté une défaillance ou une anomalie dans les installations, les machines, engins, véhicules, appareils de protection, dispositifs de sécurité, outils, dont il a la charge, doit en informer immédiatement la Direction de l’Entreprise ou son représentant. Seul le personnel désigné à cet effet, à titre permanent ou temporaire, est autorisé à intervenir sur les dispositifs de sécurité des installations et des matériels.</w:t>
      </w:r>
    </w:p>
    <w:p w14:paraId="267C05A3" w14:textId="77777777" w:rsidR="00871A3A" w:rsidRPr="007E3D1A" w:rsidRDefault="00871A3A" w:rsidP="00871A3A">
      <w:pPr>
        <w:rPr>
          <w:rFonts w:eastAsia="SimSun" w:cs="Arial"/>
          <w:sz w:val="22"/>
        </w:rPr>
      </w:pPr>
      <w:r w:rsidRPr="007E3D1A">
        <w:rPr>
          <w:rFonts w:eastAsia="SimSun" w:cs="Arial"/>
          <w:sz w:val="22"/>
        </w:rPr>
        <w:t>En cas d’accident du travail, déclaration doit être faite aussitôt que possible à la Direction de l’Entreprise ou à son représentant par l’intéressé. Tout employé a l’obligation d’aviser son chef direct de tout accident du travail même bénin survenu à lui-même ou à un autre employé de l’entreprise lorsqu’il en a été le témoin.</w:t>
      </w:r>
    </w:p>
    <w:p w14:paraId="7EF10FE2" w14:textId="77777777" w:rsidR="00871A3A" w:rsidRPr="007E3D1A" w:rsidRDefault="00871A3A" w:rsidP="00871A3A">
      <w:pPr>
        <w:rPr>
          <w:rFonts w:eastAsia="SimSun" w:cs="Arial"/>
          <w:sz w:val="22"/>
        </w:rPr>
      </w:pPr>
      <w:r w:rsidRPr="007E3D1A">
        <w:rPr>
          <w:rFonts w:eastAsia="SimSun" w:cs="Arial"/>
          <w:sz w:val="22"/>
        </w:rPr>
        <w:t>Il est formellement interdit pour tous les employés :</w:t>
      </w:r>
    </w:p>
    <w:p w14:paraId="00FB50DC" w14:textId="77777777" w:rsidR="00871A3A" w:rsidRPr="007E3D1A" w:rsidRDefault="00871A3A" w:rsidP="00871A3A">
      <w:pPr>
        <w:rPr>
          <w:rFonts w:eastAsia="SimSun" w:cs="Arial"/>
          <w:sz w:val="22"/>
        </w:rPr>
      </w:pPr>
      <w:r w:rsidRPr="007E3D1A">
        <w:rPr>
          <w:rFonts w:eastAsia="SimSun" w:cs="Arial"/>
          <w:sz w:val="22"/>
        </w:rPr>
        <w:t>-</w:t>
      </w:r>
      <w:r w:rsidRPr="007E3D1A">
        <w:rPr>
          <w:rFonts w:eastAsia="SimSun" w:cs="Arial"/>
          <w:sz w:val="22"/>
        </w:rPr>
        <w:tab/>
        <w:t>de pénétrer dans les locaux, installations à accès réglementé ou d’accéder dans les lieux de travail par un passage interdit ;</w:t>
      </w:r>
    </w:p>
    <w:p w14:paraId="4459AFDC" w14:textId="77777777" w:rsidR="00871A3A" w:rsidRPr="007E3D1A" w:rsidRDefault="00871A3A" w:rsidP="00871A3A">
      <w:pPr>
        <w:rPr>
          <w:rFonts w:eastAsia="SimSun" w:cs="Arial"/>
          <w:sz w:val="22"/>
        </w:rPr>
      </w:pPr>
      <w:r w:rsidRPr="007E3D1A">
        <w:rPr>
          <w:rFonts w:eastAsia="SimSun" w:cs="Arial"/>
          <w:sz w:val="22"/>
        </w:rPr>
        <w:t>-</w:t>
      </w:r>
      <w:r w:rsidRPr="007E3D1A">
        <w:rPr>
          <w:rFonts w:eastAsia="SimSun" w:cs="Arial"/>
          <w:sz w:val="22"/>
        </w:rPr>
        <w:tab/>
        <w:t>d’enfreindre les règles de circulation ou celles relatives aux zones de déplacement sur chantier ;</w:t>
      </w:r>
    </w:p>
    <w:p w14:paraId="3FBC5DA5" w14:textId="77777777" w:rsidR="00871A3A" w:rsidRPr="007E3D1A" w:rsidRDefault="00871A3A" w:rsidP="00871A3A">
      <w:pPr>
        <w:rPr>
          <w:rFonts w:eastAsia="SimSun" w:cs="Arial"/>
          <w:sz w:val="22"/>
        </w:rPr>
      </w:pPr>
      <w:r w:rsidRPr="007E3D1A">
        <w:rPr>
          <w:rFonts w:eastAsia="SimSun" w:cs="Arial"/>
          <w:sz w:val="22"/>
        </w:rPr>
        <w:t>-</w:t>
      </w:r>
      <w:r w:rsidRPr="007E3D1A">
        <w:rPr>
          <w:rFonts w:eastAsia="SimSun" w:cs="Arial"/>
          <w:sz w:val="22"/>
        </w:rPr>
        <w:tab/>
        <w:t>de fumer dans les endroits où cela est interdit, pour des raisons d’hygiène ou de sécurité, telles que risques d’incendie ou d’explosion ;</w:t>
      </w:r>
    </w:p>
    <w:p w14:paraId="38615643" w14:textId="77777777" w:rsidR="00871A3A" w:rsidRPr="007E3D1A" w:rsidRDefault="00871A3A" w:rsidP="00871A3A">
      <w:pPr>
        <w:rPr>
          <w:rFonts w:eastAsia="SimSun" w:cs="Arial"/>
          <w:sz w:val="22"/>
        </w:rPr>
      </w:pPr>
      <w:r w:rsidRPr="007E3D1A">
        <w:rPr>
          <w:rFonts w:eastAsia="SimSun" w:cs="Arial"/>
          <w:sz w:val="22"/>
        </w:rPr>
        <w:t>-</w:t>
      </w:r>
      <w:r w:rsidRPr="007E3D1A">
        <w:rPr>
          <w:rFonts w:eastAsia="SimSun" w:cs="Arial"/>
          <w:sz w:val="22"/>
        </w:rPr>
        <w:tab/>
        <w:t>de fumer à proximité de produits inflammables tels que colles, vernis, produits de décollage, etc. ;</w:t>
      </w:r>
    </w:p>
    <w:p w14:paraId="09372195" w14:textId="77777777" w:rsidR="00871A3A" w:rsidRPr="007E3D1A" w:rsidRDefault="00871A3A" w:rsidP="00871A3A">
      <w:pPr>
        <w:rPr>
          <w:rFonts w:eastAsia="SimSun" w:cs="Arial"/>
          <w:sz w:val="22"/>
        </w:rPr>
      </w:pPr>
      <w:r w:rsidRPr="007E3D1A">
        <w:rPr>
          <w:rFonts w:eastAsia="SimSun" w:cs="Arial"/>
          <w:sz w:val="22"/>
        </w:rPr>
        <w:t>-</w:t>
      </w:r>
      <w:r w:rsidRPr="007E3D1A">
        <w:rPr>
          <w:rFonts w:eastAsia="SimSun" w:cs="Arial"/>
          <w:sz w:val="22"/>
        </w:rPr>
        <w:tab/>
        <w:t>d’entreposer dans le local - vestiaire des produits ou matériels dangereux ou salissants ainsi que des matériaux ;</w:t>
      </w:r>
    </w:p>
    <w:p w14:paraId="2310116B" w14:textId="77777777" w:rsidR="00871A3A" w:rsidRPr="007E3D1A" w:rsidRDefault="00871A3A" w:rsidP="00871A3A">
      <w:pPr>
        <w:rPr>
          <w:rFonts w:eastAsia="SimSun" w:cs="Arial"/>
          <w:sz w:val="22"/>
        </w:rPr>
      </w:pPr>
      <w:r w:rsidRPr="007E3D1A">
        <w:rPr>
          <w:rFonts w:eastAsia="SimSun" w:cs="Arial"/>
          <w:sz w:val="22"/>
        </w:rPr>
        <w:t>-</w:t>
      </w:r>
      <w:r w:rsidRPr="007E3D1A">
        <w:rPr>
          <w:rFonts w:eastAsia="SimSun" w:cs="Arial"/>
          <w:sz w:val="22"/>
        </w:rPr>
        <w:tab/>
        <w:t>d’utiliser des machines, engins, véhicules, appareils de protection, dispositifs de sécurité, dont on n’a pas la charge ou dans un but différent de celui pour lequel ils ont été confiés ;</w:t>
      </w:r>
    </w:p>
    <w:p w14:paraId="3A7909DE" w14:textId="77777777" w:rsidR="00871A3A" w:rsidRPr="007E3D1A" w:rsidRDefault="00871A3A" w:rsidP="00871A3A">
      <w:pPr>
        <w:rPr>
          <w:rFonts w:eastAsia="SimSun" w:cs="Arial"/>
          <w:sz w:val="22"/>
        </w:rPr>
      </w:pPr>
      <w:r w:rsidRPr="007E3D1A">
        <w:rPr>
          <w:rFonts w:eastAsia="SimSun" w:cs="Arial"/>
          <w:sz w:val="22"/>
        </w:rPr>
        <w:t>-</w:t>
      </w:r>
      <w:r w:rsidRPr="007E3D1A">
        <w:rPr>
          <w:rFonts w:eastAsia="SimSun" w:cs="Arial"/>
          <w:sz w:val="22"/>
        </w:rPr>
        <w:tab/>
        <w:t>de conduire les engins de chantier et appareils de levage sans autorisation de conduite valide et correspondant à la catégorie de l’équipement de travail utilisé.</w:t>
      </w:r>
    </w:p>
    <w:p w14:paraId="507C54E0" w14:textId="77777777" w:rsidR="00871A3A" w:rsidRPr="007E3D1A" w:rsidRDefault="00871A3A" w:rsidP="00871A3A">
      <w:pPr>
        <w:rPr>
          <w:rFonts w:eastAsia="SimSun" w:cs="Arial"/>
          <w:sz w:val="22"/>
        </w:rPr>
      </w:pPr>
      <w:r w:rsidRPr="007E3D1A">
        <w:rPr>
          <w:rFonts w:eastAsia="SimSun" w:cs="Arial"/>
          <w:sz w:val="22"/>
        </w:rPr>
        <w:t>Tous les employés doivent maintenir et garder l’environnement de chantier aux meilleures conditions de santé et de sécurité pendant l’exercice de leurs activités de la manière suivante : Déposer les ordures dans les poubelles ou l’endroit indiqué par l’employeur ;</w:t>
      </w:r>
    </w:p>
    <w:p w14:paraId="4CD0FD4D" w14:textId="77777777" w:rsidR="00871A3A" w:rsidRPr="007E3D1A" w:rsidRDefault="00871A3A" w:rsidP="00871A3A">
      <w:pPr>
        <w:rPr>
          <w:rFonts w:eastAsia="SimSun" w:cs="Arial"/>
          <w:sz w:val="22"/>
        </w:rPr>
      </w:pPr>
      <w:r w:rsidRPr="007E3D1A">
        <w:rPr>
          <w:rFonts w:eastAsia="SimSun" w:cs="Arial"/>
          <w:sz w:val="22"/>
        </w:rPr>
        <w:t>Ne pas faire du tapage ;</w:t>
      </w:r>
    </w:p>
    <w:p w14:paraId="08924A58" w14:textId="77777777" w:rsidR="00871A3A" w:rsidRPr="007E3D1A" w:rsidRDefault="00871A3A" w:rsidP="00871A3A">
      <w:pPr>
        <w:rPr>
          <w:rFonts w:eastAsia="SimSun" w:cs="Arial"/>
          <w:sz w:val="22"/>
        </w:rPr>
      </w:pPr>
      <w:r w:rsidRPr="007E3D1A">
        <w:rPr>
          <w:rFonts w:eastAsia="SimSun" w:cs="Arial"/>
          <w:sz w:val="22"/>
        </w:rPr>
        <w:t>S’efforcer d’arrêter les actions qui sont défavorables à l’environnement, la santé et la sécurité ;</w:t>
      </w:r>
    </w:p>
    <w:p w14:paraId="6F3ABD80" w14:textId="77777777" w:rsidR="00871A3A" w:rsidRPr="007E3D1A" w:rsidRDefault="00871A3A" w:rsidP="00871A3A">
      <w:pPr>
        <w:rPr>
          <w:rFonts w:eastAsia="SimSun" w:cs="Arial"/>
          <w:sz w:val="22"/>
        </w:rPr>
      </w:pPr>
      <w:r w:rsidRPr="007E3D1A">
        <w:rPr>
          <w:rFonts w:eastAsia="SimSun" w:cs="Arial"/>
          <w:sz w:val="22"/>
        </w:rPr>
        <w:t>Ne pas apporter des produits dangereux au chantier et bureau.</w:t>
      </w:r>
    </w:p>
    <w:p w14:paraId="3B84C5CC" w14:textId="77777777" w:rsidR="00871A3A" w:rsidRPr="007E3D1A" w:rsidRDefault="00871A3A" w:rsidP="00871A3A">
      <w:pPr>
        <w:rPr>
          <w:rFonts w:eastAsia="SimSun" w:cs="Arial"/>
          <w:sz w:val="22"/>
        </w:rPr>
      </w:pPr>
    </w:p>
    <w:p w14:paraId="6FA4E4F8" w14:textId="77777777" w:rsidR="00871A3A" w:rsidRPr="007E3D1A" w:rsidRDefault="00871A3A" w:rsidP="00871A3A">
      <w:pPr>
        <w:rPr>
          <w:rFonts w:eastAsia="Arial Unicode MS" w:cs="Arial"/>
          <w:sz w:val="22"/>
        </w:rPr>
      </w:pPr>
      <w:r w:rsidRPr="007E3D1A">
        <w:rPr>
          <w:rFonts w:eastAsia="Arial Unicode MS" w:cs="Arial"/>
          <w:sz w:val="22"/>
        </w:rPr>
        <w:t>Responsabilité vis-à-vis les Violences basées sur le Genre (VBG)</w:t>
      </w:r>
    </w:p>
    <w:p w14:paraId="23F0F156" w14:textId="77777777" w:rsidR="00871A3A" w:rsidRPr="007E3D1A" w:rsidRDefault="00871A3A" w:rsidP="00871A3A">
      <w:pPr>
        <w:rPr>
          <w:rFonts w:eastAsia="SimSun" w:cs="Arial"/>
          <w:sz w:val="22"/>
        </w:rPr>
      </w:pPr>
      <w:r w:rsidRPr="007E3D1A">
        <w:rPr>
          <w:rFonts w:eastAsia="SimSun" w:cs="Arial"/>
          <w:sz w:val="22"/>
        </w:rPr>
        <w:t>La violence basée sur le genre (VBG) : est un terme générique pour tout acte nuisible qui est perpétré contre la volonté d'une personne et qui est fondée sur les différences prescrites par l’entreprise (c.-à-d. le genre) entre les hommes et les femmes. Elle englobe les actes qui infligent la violence physique, sexuelle ou mentale ou la souffrance, les menaces de tels actes, la contrainte, et d'autres privations de liberté. Ces actes peuvent se produire en public ou en privé. Le terme VBG est utilisé pour souligner les inégalités systémiques entre hommes et femmes (qui existe dans toutes les sociétés dans le monde) et agit comme un facteur d'unité et les caractéristiques fondamentales de la plupart des formes de violence perpétrés contre les femmes et les filles. La Déclaration des Nations Unies sur l'Élimination de la Violence à l'égard des Femmes de 1993 définit la violence contre les femmes comme étant "tout acte de violence qui entraîne, ou est susceptible d'entraîner des violences physiques, sexuelles ou psychologiques graves ou des souffrances aux femmes.</w:t>
      </w:r>
      <w:r w:rsidRPr="007E3D1A">
        <w:rPr>
          <w:rFonts w:eastAsia="SimSun" w:cs="Arial"/>
          <w:sz w:val="22"/>
        </w:rPr>
        <w:footnoteReference w:id="43"/>
      </w:r>
      <w:r w:rsidRPr="007E3D1A">
        <w:rPr>
          <w:rFonts w:eastAsia="SimSun" w:cs="Arial"/>
          <w:sz w:val="22"/>
        </w:rPr>
        <w:t xml:space="preserve">"Les six principaux types de VBG comprennent le viol, l'agression sexuelle, l'agression physique, psychologique/émotionnelle, le mariage forcé/précoce, et le déni de ressources, d’opportunités et de services. </w:t>
      </w:r>
    </w:p>
    <w:p w14:paraId="6D6731CD" w14:textId="77777777" w:rsidR="00871A3A" w:rsidRPr="007E3D1A" w:rsidRDefault="00871A3A" w:rsidP="00871A3A">
      <w:pPr>
        <w:rPr>
          <w:rFonts w:eastAsia="SimSun" w:cs="Arial"/>
          <w:sz w:val="22"/>
        </w:rPr>
      </w:pPr>
      <w:r w:rsidRPr="007E3D1A">
        <w:rPr>
          <w:rFonts w:eastAsia="SimSun" w:cs="Arial"/>
          <w:sz w:val="22"/>
        </w:rPr>
        <w:t>L'exploitation et l’abus sexuels : formes particulières de violence basée sur le genre ayant été signalée dans des contextes humanitaires, en particulier contre les travailleurs humanitaires et autres personnels participant à des projets humanitaires. Ces formes de violence sont définies par la relation de pouvoir entre la survivante et l’auteur, ainsi que les circonstances entourant l'incident - et non pas l'acte de violence (c.-à-d. d'un viol ou d'une agression sexuelle).</w:t>
      </w:r>
    </w:p>
    <w:p w14:paraId="2AEE8334" w14:textId="77777777" w:rsidR="00871A3A" w:rsidRPr="007E3D1A" w:rsidRDefault="00871A3A" w:rsidP="00871A3A">
      <w:pPr>
        <w:rPr>
          <w:rFonts w:eastAsia="SimSun" w:cs="Arial"/>
          <w:sz w:val="22"/>
        </w:rPr>
      </w:pPr>
      <w:r w:rsidRPr="007E3D1A">
        <w:rPr>
          <w:rFonts w:eastAsia="SimSun" w:cs="Arial"/>
          <w:sz w:val="22"/>
        </w:rPr>
        <w:t>Exploitation sexuelle : "Tout ou tentative d'abus de position de vulnérabilité, de déséquilibre de pouvoir, ou de confiance à des fins sexuelles, y compris, mais non limité à, profiter financièrement, socialement ou politiquement de l'exploitation sexuelle d'un autre."</w:t>
      </w:r>
    </w:p>
    <w:p w14:paraId="1B2C33F1" w14:textId="77777777" w:rsidR="00871A3A" w:rsidRPr="007E3D1A" w:rsidRDefault="00871A3A" w:rsidP="00871A3A">
      <w:pPr>
        <w:rPr>
          <w:rFonts w:eastAsia="SimSun" w:cs="Arial"/>
          <w:sz w:val="22"/>
        </w:rPr>
      </w:pPr>
      <w:r w:rsidRPr="007E3D1A">
        <w:rPr>
          <w:rFonts w:eastAsia="SimSun" w:cs="Arial"/>
          <w:sz w:val="22"/>
        </w:rPr>
        <w:t>Abus sexuel : "L’intrusion réelle ou menace d'intrusion physique de nature sexuelle, par la force ou sous la contrainte ou les conditions inégalitaires ou coercitives."</w:t>
      </w:r>
    </w:p>
    <w:p w14:paraId="09D1540F" w14:textId="77777777" w:rsidR="00871A3A" w:rsidRPr="007E3D1A" w:rsidRDefault="00871A3A" w:rsidP="00871A3A">
      <w:pPr>
        <w:rPr>
          <w:rFonts w:eastAsia="SimSun" w:cs="Arial"/>
          <w:sz w:val="22"/>
        </w:rPr>
      </w:pPr>
      <w:r w:rsidRPr="007E3D1A">
        <w:rPr>
          <w:rFonts w:eastAsia="SimSun" w:cs="Arial"/>
          <w:sz w:val="22"/>
        </w:rPr>
        <w:t xml:space="preserve">Violence basée sur le genre versus exploitation et abus sexuels : La VBG est un terme général pour un large éventail d'actes nuisibles qui touchent un groupe en raison des différences entre les hommes et les femmes définies par l’entreprise. L’exploitation et l’abus sexuels peut généralement être considéré comme une forme de VBG, étant donné que les survivantes d’exploitation et de abus sexuels sont souvent maltraitées à cause de leur vulnérabilité en tant que femmes, filles, garçons, ou, dans certains cas, même des hommes au sein de la communauté. </w:t>
      </w:r>
    </w:p>
    <w:p w14:paraId="3E927D12" w14:textId="77777777" w:rsidR="00871A3A" w:rsidRPr="007E3D1A" w:rsidRDefault="00871A3A" w:rsidP="00871A3A">
      <w:pPr>
        <w:rPr>
          <w:rFonts w:eastAsia="SimSun" w:cs="Arial"/>
          <w:sz w:val="22"/>
        </w:rPr>
      </w:pPr>
      <w:r w:rsidRPr="007E3D1A">
        <w:rPr>
          <w:rFonts w:eastAsia="SimSun" w:cs="Arial"/>
          <w:sz w:val="22"/>
        </w:rPr>
        <w:t xml:space="preserve">Harcèlement sexuel : avances sexuelles, demandes de faveurs sexuelles et tout autre comportement verbal ou physique de nature sexuelle.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 </w:t>
      </w:r>
    </w:p>
    <w:p w14:paraId="14D4E92B" w14:textId="77777777" w:rsidR="00871A3A" w:rsidRPr="007E3D1A" w:rsidRDefault="00871A3A" w:rsidP="00871A3A">
      <w:pPr>
        <w:rPr>
          <w:rFonts w:eastAsia="SimSun" w:cs="Arial"/>
          <w:sz w:val="22"/>
        </w:rPr>
      </w:pPr>
      <w:r w:rsidRPr="007E3D1A">
        <w:rPr>
          <w:rFonts w:eastAsia="SimSun" w:cs="Arial"/>
          <w:sz w:val="22"/>
        </w:rPr>
        <w:t>La violence physique (notamment les gifles, les coups de pied, les coups de poing ou l’usage d’une arme) et la violence sexuelle, qui comprend toute forme de contacts sexuels non consensuels, y compris le viol ;</w:t>
      </w:r>
    </w:p>
    <w:p w14:paraId="4701D0FD" w14:textId="77777777" w:rsidR="00871A3A" w:rsidRPr="007E3D1A" w:rsidRDefault="00871A3A" w:rsidP="00871A3A">
      <w:pPr>
        <w:rPr>
          <w:rFonts w:eastAsia="SimSun" w:cs="Arial"/>
          <w:sz w:val="22"/>
        </w:rPr>
      </w:pPr>
      <w:r w:rsidRPr="007E3D1A">
        <w:rPr>
          <w:rFonts w:eastAsia="SimSun" w:cs="Arial"/>
          <w:sz w:val="22"/>
        </w:rPr>
        <w:t>La violence psychologique (notamment l’humiliation systématique, l’intimidation, les traitements dégradants, les insultes et les menaces) ;</w:t>
      </w:r>
    </w:p>
    <w:p w14:paraId="2BBB66DC" w14:textId="77777777" w:rsidR="00871A3A" w:rsidRPr="007E3D1A" w:rsidRDefault="00871A3A" w:rsidP="00871A3A">
      <w:pPr>
        <w:rPr>
          <w:rFonts w:eastAsia="SimSun" w:cs="Arial"/>
          <w:sz w:val="22"/>
        </w:rPr>
      </w:pPr>
      <w:r w:rsidRPr="007E3D1A">
        <w:rPr>
          <w:rFonts w:eastAsia="SimSun" w:cs="Arial"/>
          <w:sz w:val="22"/>
        </w:rPr>
        <w:t>Le mariage précoce/forcé, à savoir le mariage d’une personne contre son gré souvent avant l’âge de 18 ans, également appelé mariage d’enfants ;</w:t>
      </w:r>
    </w:p>
    <w:p w14:paraId="4F65BD71" w14:textId="77777777" w:rsidR="00871A3A" w:rsidRPr="007E3D1A" w:rsidRDefault="00871A3A" w:rsidP="00871A3A">
      <w:pPr>
        <w:rPr>
          <w:rFonts w:eastAsia="SimSun" w:cs="Arial"/>
          <w:sz w:val="22"/>
        </w:rPr>
      </w:pPr>
    </w:p>
    <w:p w14:paraId="0D2188BF" w14:textId="77777777" w:rsidR="00871A3A" w:rsidRPr="007E3D1A" w:rsidRDefault="00871A3A" w:rsidP="00871A3A">
      <w:pPr>
        <w:rPr>
          <w:rFonts w:eastAsia="SimSun" w:cs="Arial"/>
          <w:sz w:val="22"/>
        </w:rPr>
      </w:pPr>
      <w:r w:rsidRPr="007E3D1A">
        <w:rPr>
          <w:rFonts w:eastAsia="SimSun" w:cs="Arial"/>
          <w:sz w:val="22"/>
        </w:rPr>
        <w:t xml:space="preserve">Le personnel du projet doit être au courant des normes de conduite qu'ils sont tenus de respecter et de réfléchir sur les moteurs des inégalités, y compris celles liées au genre, à la richesse, la race, etc., qui mènent à la VBG. </w:t>
      </w:r>
    </w:p>
    <w:p w14:paraId="5A87C20E" w14:textId="77777777" w:rsidR="00871A3A" w:rsidRPr="007E3D1A" w:rsidRDefault="00871A3A" w:rsidP="00871A3A">
      <w:pPr>
        <w:rPr>
          <w:rFonts w:cs="Arial"/>
          <w:sz w:val="22"/>
        </w:rPr>
      </w:pPr>
    </w:p>
    <w:p w14:paraId="252C758B" w14:textId="77777777" w:rsidR="00871A3A" w:rsidRPr="007E3D1A" w:rsidRDefault="00871A3A" w:rsidP="00871A3A">
      <w:pPr>
        <w:rPr>
          <w:rFonts w:eastAsia="SimSun" w:cs="Arial"/>
          <w:sz w:val="22"/>
        </w:rPr>
      </w:pPr>
      <w:r w:rsidRPr="007E3D1A">
        <w:rPr>
          <w:rFonts w:eastAsia="SimSun" w:cs="Arial"/>
          <w:sz w:val="22"/>
        </w:rPr>
        <w:t xml:space="preserve">Obligations de l'Entrepreneur sur les VBG </w:t>
      </w:r>
    </w:p>
    <w:p w14:paraId="35A622E6" w14:textId="77777777" w:rsidR="00871A3A" w:rsidRPr="007E3D1A" w:rsidRDefault="00871A3A" w:rsidP="00871A3A">
      <w:pPr>
        <w:rPr>
          <w:rFonts w:eastAsia="SimSun" w:cs="Arial"/>
          <w:sz w:val="22"/>
        </w:rPr>
      </w:pPr>
      <w:r w:rsidRPr="007E3D1A">
        <w:rPr>
          <w:rFonts w:eastAsia="SimSun" w:cs="Arial"/>
          <w:sz w:val="22"/>
        </w:rPr>
        <w:t>L’entreprise s'engage à s'assurer que le projet est mis en œuvre d'une telle manière à minimiser les impacts négatifs sur l'environnement local, sur les communautés, et sur ses travailleurs. Par conséquent, l’entreprise s’engage également à créer et à maintenir un environnement dans lequel la VBG n'a pas de place, et où ils ne seront pas tolérés par tout employé, sous-traitants, fournisseurs, associés, ou représentant de l’entreprise.</w:t>
      </w:r>
    </w:p>
    <w:p w14:paraId="41959D62" w14:textId="77777777" w:rsidR="00871A3A" w:rsidRPr="007E3D1A" w:rsidRDefault="00871A3A" w:rsidP="00871A3A">
      <w:pPr>
        <w:rPr>
          <w:rFonts w:eastAsia="SimSun" w:cs="Arial"/>
          <w:sz w:val="22"/>
        </w:rPr>
      </w:pPr>
      <w:r w:rsidRPr="007E3D1A">
        <w:rPr>
          <w:rFonts w:eastAsia="SimSun" w:cs="Arial"/>
          <w:sz w:val="22"/>
        </w:rPr>
        <w:t>Par conséquent, pour s'assurer que toutes les personnes engagées dans le projet sont au courant de cet engagement, l’entreprise s'engage aux principes fondamentaux et les normes minimales de comportement suivants qui s'appliqueront à tous les employés de l'entreprise, aux associés, et aux représentants, y compris les sous-traitants et les fournisseurs, sans exception :</w:t>
      </w:r>
    </w:p>
    <w:p w14:paraId="23C38B8D" w14:textId="77777777" w:rsidR="00871A3A" w:rsidRPr="007E3D1A" w:rsidRDefault="00871A3A" w:rsidP="00871A3A">
      <w:pPr>
        <w:rPr>
          <w:rFonts w:eastAsia="SimSun" w:cs="Arial"/>
          <w:sz w:val="22"/>
        </w:rPr>
      </w:pPr>
      <w:r w:rsidRPr="007E3D1A">
        <w:rPr>
          <w:rFonts w:eastAsia="SimSun" w:cs="Arial"/>
          <w:sz w:val="22"/>
        </w:rPr>
        <w:t>L'entreprise et, par conséquent, tous les employés, collaborateurs, représentants, sous-traitants et fournisseurs s'engage à respecter toutes les lois, règles et règlements relatifs à la prévention et à la riposte en cas de violence basée sur le genre, et en particulier les lois n. 06/018 et 06/019 (2006)</w:t>
      </w:r>
      <w:r w:rsidRPr="007E3D1A">
        <w:rPr>
          <w:rFonts w:eastAsia="SimSun" w:cs="Arial"/>
          <w:sz w:val="22"/>
        </w:rPr>
        <w:footnoteReference w:id="44"/>
      </w:r>
    </w:p>
    <w:p w14:paraId="1FCD569F" w14:textId="77777777" w:rsidR="00871A3A" w:rsidRPr="007E3D1A" w:rsidRDefault="00871A3A" w:rsidP="00871A3A">
      <w:pPr>
        <w:rPr>
          <w:rFonts w:eastAsia="SimSun" w:cs="Arial"/>
          <w:sz w:val="22"/>
        </w:rPr>
      </w:pPr>
      <w:r w:rsidRPr="007E3D1A">
        <w:rPr>
          <w:rFonts w:eastAsia="SimSun" w:cs="Arial"/>
          <w:sz w:val="22"/>
        </w:rPr>
        <w:t>Préparer et mettre en œuvre un Plan de Sensibilisation du Genre conformément aux exigences de l’Employeur</w:t>
      </w:r>
    </w:p>
    <w:p w14:paraId="2380E6A8" w14:textId="77777777" w:rsidR="00871A3A" w:rsidRPr="007E3D1A" w:rsidRDefault="00871A3A" w:rsidP="00871A3A">
      <w:pPr>
        <w:rPr>
          <w:rFonts w:eastAsia="SimSun" w:cs="Arial"/>
          <w:sz w:val="22"/>
        </w:rPr>
      </w:pPr>
      <w:r w:rsidRPr="007E3D1A">
        <w:rPr>
          <w:rFonts w:eastAsia="SimSun" w:cs="Arial"/>
          <w:sz w:val="22"/>
        </w:rPr>
        <w:t>Assurer un salaire égal aux hommes et aux femmes pour un travail de valeur égale, conformément aux lois nationales et aux obligations conventionnelles internationales et payer les femmes directement leurs salaires</w:t>
      </w:r>
    </w:p>
    <w:p w14:paraId="231D8D28" w14:textId="77777777" w:rsidR="00871A3A" w:rsidRPr="007E3D1A" w:rsidRDefault="00871A3A" w:rsidP="00871A3A">
      <w:pPr>
        <w:rPr>
          <w:rFonts w:eastAsia="SimSun" w:cs="Arial"/>
          <w:sz w:val="22"/>
        </w:rPr>
      </w:pPr>
      <w:r w:rsidRPr="007E3D1A">
        <w:rPr>
          <w:rFonts w:eastAsia="SimSun" w:cs="Arial"/>
          <w:sz w:val="22"/>
        </w:rPr>
        <w:t xml:space="preserve">Ne pas payer ses employés moins que le salaire minimum en vertu de la loi applicable </w:t>
      </w:r>
    </w:p>
    <w:p w14:paraId="3FBCEE01" w14:textId="77777777" w:rsidR="00871A3A" w:rsidRPr="007E3D1A" w:rsidRDefault="00871A3A" w:rsidP="00871A3A">
      <w:pPr>
        <w:rPr>
          <w:rFonts w:eastAsia="SimSun" w:cs="Arial"/>
          <w:sz w:val="22"/>
        </w:rPr>
      </w:pPr>
      <w:r w:rsidRPr="007E3D1A">
        <w:rPr>
          <w:rFonts w:eastAsia="SimSun" w:cs="Arial"/>
          <w:sz w:val="22"/>
        </w:rPr>
        <w:t>Fournir des conditions de travail sûres et sécurisées aux travailleurs masculins et féminins</w:t>
      </w:r>
    </w:p>
    <w:p w14:paraId="4E03783A" w14:textId="77777777" w:rsidR="00871A3A" w:rsidRPr="007E3D1A" w:rsidRDefault="00871A3A" w:rsidP="00871A3A">
      <w:pPr>
        <w:rPr>
          <w:rFonts w:eastAsia="SimSun" w:cs="Arial"/>
          <w:sz w:val="22"/>
        </w:rPr>
      </w:pPr>
      <w:r w:rsidRPr="007E3D1A">
        <w:rPr>
          <w:rFonts w:eastAsia="SimSun" w:cs="Arial"/>
          <w:sz w:val="22"/>
        </w:rPr>
        <w:t>Se conformer aux lois du travail en vigueur et s'abstenir du travail des enfants</w:t>
      </w:r>
    </w:p>
    <w:p w14:paraId="76281711" w14:textId="77777777" w:rsidR="00871A3A" w:rsidRPr="007E3D1A" w:rsidRDefault="00871A3A" w:rsidP="00871A3A">
      <w:pPr>
        <w:rPr>
          <w:rFonts w:eastAsia="SimSun" w:cs="Arial"/>
          <w:sz w:val="22"/>
        </w:rPr>
      </w:pPr>
      <w:r w:rsidRPr="007E3D1A">
        <w:rPr>
          <w:rFonts w:eastAsia="SimSun" w:cs="Arial"/>
          <w:sz w:val="22"/>
        </w:rPr>
        <w:t>Décrire les responsabilités : (i) de l'entreprise à créer une culture positive pour son lieu de travail et ses employés ; (ii) des gestionnaires pour s'assurer que cette culture est mise en œuvre ; et (iii) des individus à adhérer aux principes de cette culture et à ne pas s'engager dans la VBG et/ou AEE.</w:t>
      </w:r>
    </w:p>
    <w:p w14:paraId="7B09EABF" w14:textId="77777777" w:rsidR="00871A3A" w:rsidRPr="007E3D1A" w:rsidRDefault="00871A3A" w:rsidP="00871A3A">
      <w:pPr>
        <w:rPr>
          <w:rFonts w:eastAsia="SimSun" w:cs="Arial"/>
          <w:sz w:val="22"/>
        </w:rPr>
      </w:pPr>
      <w:r w:rsidRPr="007E3D1A">
        <w:rPr>
          <w:rFonts w:eastAsia="SimSun" w:cs="Arial"/>
          <w:sz w:val="22"/>
        </w:rPr>
        <w:t>L'entreprise devra :</w:t>
      </w:r>
    </w:p>
    <w:p w14:paraId="467FA017" w14:textId="77777777" w:rsidR="00871A3A" w:rsidRPr="007E3D1A" w:rsidRDefault="00871A3A" w:rsidP="00871A3A">
      <w:pPr>
        <w:rPr>
          <w:rFonts w:eastAsia="SimSun" w:cs="Arial"/>
          <w:sz w:val="22"/>
        </w:rPr>
      </w:pPr>
      <w:r w:rsidRPr="007E3D1A">
        <w:rPr>
          <w:rFonts w:eastAsia="SimSun" w:cs="Arial"/>
          <w:sz w:val="22"/>
        </w:rPr>
        <w:t>Interdire le recrutement et emploi des enfants dans le projet</w:t>
      </w:r>
    </w:p>
    <w:p w14:paraId="292D7231" w14:textId="77777777" w:rsidR="00871A3A" w:rsidRPr="007E3D1A" w:rsidRDefault="00871A3A" w:rsidP="00871A3A">
      <w:pPr>
        <w:rPr>
          <w:rFonts w:eastAsia="SimSun" w:cs="Arial"/>
          <w:sz w:val="22"/>
        </w:rPr>
      </w:pPr>
      <w:r w:rsidRPr="007E3D1A">
        <w:rPr>
          <w:rFonts w:eastAsia="SimSun" w:cs="Arial"/>
          <w:sz w:val="22"/>
        </w:rPr>
        <w:t>Limiter les visites de courtoisie pendant les heures de service dans le site de travail.</w:t>
      </w:r>
    </w:p>
    <w:p w14:paraId="4F82817D" w14:textId="77777777" w:rsidR="00871A3A" w:rsidRPr="007E3D1A" w:rsidRDefault="00871A3A" w:rsidP="00871A3A">
      <w:pPr>
        <w:rPr>
          <w:rFonts w:eastAsia="SimSun" w:cs="Arial"/>
          <w:sz w:val="22"/>
        </w:rPr>
      </w:pPr>
      <w:r w:rsidRPr="007E3D1A">
        <w:rPr>
          <w:rFonts w:eastAsia="SimSun" w:cs="Arial"/>
          <w:sz w:val="22"/>
        </w:rPr>
        <w:t xml:space="preserve">L’entreprise veillera à ce qu'un assainissement adéquat soit disponible sur le site et le logement de tout travailleur offert à ceux qui travaillent sur le projet. </w:t>
      </w:r>
    </w:p>
    <w:p w14:paraId="5CAE8162" w14:textId="77777777" w:rsidR="00871A3A" w:rsidRPr="007E3D1A" w:rsidRDefault="00871A3A" w:rsidP="00871A3A">
      <w:pPr>
        <w:rPr>
          <w:rFonts w:eastAsia="SimSun" w:cs="Arial"/>
          <w:sz w:val="22"/>
        </w:rPr>
      </w:pPr>
      <w:r w:rsidRPr="007E3D1A">
        <w:rPr>
          <w:rFonts w:eastAsia="SimSun" w:cs="Arial"/>
          <w:sz w:val="22"/>
        </w:rPr>
        <w:t>Tous les employés (y compris l’entrepreneur, les gestionnaires, consultants.es, et les ouvriers) devront suivre une formation avant de commencer les travaux afin de renforcer leur compréhension du VIH/sida, de la Violence Basée sur le Genre (VBG) et de l’Abus/Exploitation des Enfants (AEE), le Code de Conduite et le Mécanisme de gestion de  Plaintes. Par la suite, les employés doivent suivre un cours de formation obligatoire, et de séance du recyclage.</w:t>
      </w:r>
    </w:p>
    <w:p w14:paraId="2DA678CD" w14:textId="77777777" w:rsidR="00871A3A" w:rsidRPr="007E3D1A" w:rsidRDefault="00871A3A" w:rsidP="00871A3A">
      <w:pPr>
        <w:rPr>
          <w:rFonts w:eastAsia="SimSun" w:cs="Arial"/>
          <w:sz w:val="22"/>
        </w:rPr>
      </w:pPr>
      <w:r w:rsidRPr="007E3D1A">
        <w:rPr>
          <w:rFonts w:eastAsia="SimSun" w:cs="Arial"/>
          <w:sz w:val="22"/>
        </w:rPr>
        <w:t>La formation doit être effectuée par les prestataires locaux identifiés par le client pour le contractant, le client et le personnel de supervision technique pendant la durée du contrat. Les communautés locales peuvent également participer si nécessaire.</w:t>
      </w:r>
    </w:p>
    <w:p w14:paraId="66750F09" w14:textId="77777777" w:rsidR="00871A3A" w:rsidRPr="007E3D1A" w:rsidRDefault="00871A3A" w:rsidP="00871A3A">
      <w:pPr>
        <w:rPr>
          <w:rFonts w:eastAsia="SimSun" w:cs="Arial"/>
          <w:sz w:val="22"/>
        </w:rPr>
      </w:pPr>
      <w:r w:rsidRPr="007E3D1A">
        <w:rPr>
          <w:rFonts w:eastAsia="SimSun" w:cs="Arial"/>
          <w:sz w:val="22"/>
        </w:rPr>
        <w:t xml:space="preserve">Le financement de la prestation de la formation, et le temps du participant, sont inclus dans le devis quantitatif du projet à titre de somme provisoire. </w:t>
      </w:r>
    </w:p>
    <w:p w14:paraId="33CEBFCF" w14:textId="77777777" w:rsidR="00871A3A" w:rsidRPr="007E3D1A" w:rsidRDefault="00871A3A" w:rsidP="00871A3A">
      <w:pPr>
        <w:rPr>
          <w:rFonts w:eastAsia="SimSun" w:cs="Arial"/>
          <w:sz w:val="22"/>
        </w:rPr>
      </w:pPr>
      <w:r w:rsidRPr="007E3D1A">
        <w:rPr>
          <w:rFonts w:eastAsia="SimSun" w:cs="Arial"/>
          <w:sz w:val="22"/>
        </w:rPr>
        <w:t xml:space="preserve">Les actes de VBG constituent des fautes graves et sont donc des motifs de sanctions, qui peuvent comporter des sanctions et/ou la cessation d'emploi, ainsi qu’un </w:t>
      </w:r>
      <w:r w:rsidRPr="007E3D1A">
        <w:rPr>
          <w:rFonts w:cs="Arial"/>
          <w:sz w:val="22"/>
        </w:rPr>
        <w:t xml:space="preserve">référencement </w:t>
      </w:r>
      <w:r w:rsidRPr="007E3D1A">
        <w:rPr>
          <w:rFonts w:eastAsia="SimSun" w:cs="Arial"/>
          <w:sz w:val="22"/>
        </w:rPr>
        <w:t>approprié vers la police, uniquement avec l’accord de la survivante, pour poursuivre l'action.</w:t>
      </w:r>
    </w:p>
    <w:p w14:paraId="1DA1457D" w14:textId="77777777" w:rsidR="00871A3A" w:rsidRPr="007E3D1A" w:rsidRDefault="00871A3A" w:rsidP="00871A3A">
      <w:pPr>
        <w:rPr>
          <w:rFonts w:eastAsia="SimSun" w:cs="Arial"/>
          <w:sz w:val="22"/>
        </w:rPr>
      </w:pPr>
      <w:r w:rsidRPr="007E3D1A">
        <w:rPr>
          <w:rFonts w:eastAsia="SimSun" w:cs="Arial"/>
          <w:sz w:val="22"/>
        </w:rPr>
        <w:t>Toutes les formes de VBG sont inacceptables, qu'elles aient lieu sur le lieu de travail, dans les environs du lieu de travail, dans les camps des travailleurs ou au sein de la communauté locale.</w:t>
      </w:r>
    </w:p>
    <w:p w14:paraId="4EF3855B" w14:textId="77777777" w:rsidR="00871A3A" w:rsidRPr="007E3D1A" w:rsidRDefault="00871A3A" w:rsidP="00871A3A">
      <w:pPr>
        <w:rPr>
          <w:rFonts w:eastAsia="Calibri" w:cs="Arial"/>
          <w:sz w:val="22"/>
        </w:rPr>
      </w:pPr>
      <w:r w:rsidRPr="007E3D1A">
        <w:rPr>
          <w:rFonts w:eastAsia="Calibri" w:cs="Arial"/>
          <w:sz w:val="22"/>
        </w:rPr>
        <w:t>Conformément à la législation nationale, tout contact ou activité sexuelle avec des enfants de moins de 18 ans, y compris via les médias numériques - est interdite. La croyance erronée concernant l'âge d'un enfant n'est pas une défense. Le consentement de l'enfant n'est pas non plus une défense ou une excuse.</w:t>
      </w:r>
    </w:p>
    <w:p w14:paraId="6F4FCFB1" w14:textId="77777777" w:rsidR="00871A3A" w:rsidRPr="007E3D1A" w:rsidRDefault="00871A3A" w:rsidP="00871A3A">
      <w:pPr>
        <w:rPr>
          <w:rFonts w:eastAsia="Calibri" w:cs="Arial"/>
          <w:sz w:val="22"/>
        </w:rPr>
      </w:pPr>
      <w:r w:rsidRPr="007E3D1A">
        <w:rPr>
          <w:rFonts w:eastAsia="Calibri" w:cs="Arial"/>
          <w:sz w:val="22"/>
        </w:rPr>
        <w:t>Conformément à la législation nationale, les travailleurs du projet ne doivent pas s'engager dans de nouvelles relations avec des filles de moins de 18 ans, y compris épouser une jeune fille de moins de 18 ans pendant qu’ils sont en cours d'emploi.</w:t>
      </w:r>
    </w:p>
    <w:p w14:paraId="63DFBF1F" w14:textId="77777777" w:rsidR="00871A3A" w:rsidRPr="007E3D1A" w:rsidRDefault="00871A3A" w:rsidP="00871A3A">
      <w:pPr>
        <w:rPr>
          <w:rFonts w:eastAsia="Calibri" w:cs="Arial"/>
          <w:sz w:val="22"/>
        </w:rPr>
      </w:pPr>
      <w:r w:rsidRPr="007E3D1A">
        <w:rPr>
          <w:rFonts w:eastAsia="Calibri" w:cs="Arial"/>
          <w:sz w:val="22"/>
        </w:rPr>
        <w:t>Les interactions sexuelles entre les employés de l'entreprise (à tout niveau) et les membres des communautés entourant le lieu de travail sont interdits. Cela inclut les relations impliquant le prélèvement/promesse d'attribution de prestations (monétaires ou non) aux membres de la communauté en échange de sexe, une telle activité sexuelle (sollicitation de sexe transactionnel par les membres de la communauté en échange d'argent ou d'autres services) est considérée comme de l'exploitation</w:t>
      </w:r>
      <w:r w:rsidRPr="007E3D1A">
        <w:rPr>
          <w:rFonts w:eastAsia="Calibri" w:cs="Arial"/>
          <w:sz w:val="22"/>
        </w:rPr>
        <w:footnoteReference w:id="45"/>
      </w:r>
      <w:r w:rsidRPr="007E3D1A">
        <w:rPr>
          <w:rFonts w:eastAsia="Calibri" w:cs="Arial"/>
          <w:sz w:val="22"/>
        </w:rPr>
        <w:t xml:space="preserve"> et "non consensuelle" dans le champ d'application du présent règlement.</w:t>
      </w:r>
    </w:p>
    <w:p w14:paraId="19B3F1FD" w14:textId="77777777" w:rsidR="00871A3A" w:rsidRPr="007E3D1A" w:rsidRDefault="00871A3A" w:rsidP="00871A3A">
      <w:pPr>
        <w:rPr>
          <w:rFonts w:eastAsia="Calibri" w:cs="Arial"/>
          <w:sz w:val="22"/>
        </w:rPr>
      </w:pPr>
      <w:r w:rsidRPr="007E3D1A">
        <w:rPr>
          <w:rFonts w:eastAsia="Calibri" w:cs="Arial"/>
          <w:sz w:val="22"/>
        </w:rPr>
        <w:t>En plus des sanctions disciplinaires de l'entreprise, des poursuites judiciaires de ceux qui commettent des actes de VBG sont applicables, le cas échéant, en respectant les droits et la dignité de la survivante, y compris le droit à l'agence, à la confidentialité et à la sécurité.</w:t>
      </w:r>
    </w:p>
    <w:p w14:paraId="275735B4" w14:textId="77777777" w:rsidR="00871A3A" w:rsidRPr="007E3D1A" w:rsidRDefault="00871A3A" w:rsidP="00871A3A">
      <w:pPr>
        <w:rPr>
          <w:rFonts w:eastAsia="Calibri" w:cs="Arial"/>
          <w:sz w:val="22"/>
        </w:rPr>
      </w:pPr>
      <w:r w:rsidRPr="007E3D1A">
        <w:rPr>
          <w:rFonts w:eastAsia="Calibri" w:cs="Arial"/>
          <w:sz w:val="22"/>
        </w:rPr>
        <w:t>Tous les employés, y compris les bénévoles et les sous-traitants sont fortement encouragés à signaler des actes réels ou suspects de VBG par un collègue de travail. Les rapports doivent être prises en conformité avec la procédure spécifique pour la gestion de plaintes VBG. L'entreprise doit favoriser, par des politiques et pratiques, un environnement sans craintes de représailles et qui encourage l'établissement de rapports et de responsabilité pour ceux qui commettent des actes de VBG.</w:t>
      </w:r>
    </w:p>
    <w:p w14:paraId="57B3F61B" w14:textId="77777777" w:rsidR="00871A3A" w:rsidRPr="007E3D1A" w:rsidRDefault="00871A3A" w:rsidP="00871A3A">
      <w:pPr>
        <w:rPr>
          <w:rFonts w:eastAsia="Calibri" w:cs="Arial"/>
          <w:sz w:val="22"/>
        </w:rPr>
      </w:pPr>
      <w:r w:rsidRPr="007E3D1A">
        <w:rPr>
          <w:rFonts w:eastAsia="Calibri" w:cs="Arial"/>
          <w:sz w:val="22"/>
        </w:rPr>
        <w:t>Les superviseurs et les gestionnaires ont le mandat de faire rapport et de prendre des mesures à l’encontre de l’action supposée ou réelle de VBG comme ils ont la responsabilité de faire respecter les engagements de l'entreprise et tiennent leurs subordonnés directs responsables. À défaut de le faire, ils s’exposent à des sanctions.</w:t>
      </w:r>
    </w:p>
    <w:p w14:paraId="2DF56119" w14:textId="77777777" w:rsidR="00871A3A" w:rsidRPr="007E3D1A" w:rsidRDefault="00871A3A" w:rsidP="00871A3A">
      <w:pPr>
        <w:rPr>
          <w:rFonts w:eastAsia="SimSun" w:cs="Arial"/>
          <w:sz w:val="22"/>
        </w:rPr>
      </w:pPr>
      <w:r w:rsidRPr="007E3D1A">
        <w:rPr>
          <w:rFonts w:eastAsia="SimSun" w:cs="Arial"/>
          <w:sz w:val="22"/>
        </w:rPr>
        <w:t>En définitive, le fait de répondre efficacement aux cas de VBG sur le chantier par les gestionnaires de l'entreprise ou le Directeur Général n’empêchent pas des éventuelles actions judiciaires qui pourraient être engagé par les autorités compétentes.</w:t>
      </w:r>
    </w:p>
    <w:p w14:paraId="399AB627" w14:textId="77777777" w:rsidR="00871A3A" w:rsidRPr="007E3D1A" w:rsidRDefault="00871A3A" w:rsidP="00871A3A">
      <w:pPr>
        <w:rPr>
          <w:rFonts w:eastAsia="SimSun" w:cs="Arial"/>
          <w:sz w:val="22"/>
        </w:rPr>
      </w:pPr>
    </w:p>
    <w:p w14:paraId="7F4AC73D" w14:textId="77777777" w:rsidR="00871A3A" w:rsidRPr="007E3D1A" w:rsidRDefault="00871A3A" w:rsidP="00871A3A">
      <w:pPr>
        <w:rPr>
          <w:rFonts w:eastAsia="SimSun" w:cs="Arial"/>
          <w:sz w:val="22"/>
        </w:rPr>
      </w:pPr>
      <w:r w:rsidRPr="007E3D1A">
        <w:rPr>
          <w:rFonts w:eastAsia="SimSun" w:cs="Arial"/>
          <w:sz w:val="22"/>
        </w:rPr>
        <w:t xml:space="preserve">Ce code/règlement et les trois (3) annexes ci-joints entreront en application après vulgarisation et signature par les parties concernées. </w:t>
      </w:r>
    </w:p>
    <w:p w14:paraId="72CA5D87" w14:textId="77777777" w:rsidR="00871A3A" w:rsidRPr="007E3D1A" w:rsidRDefault="00871A3A" w:rsidP="00871A3A">
      <w:pPr>
        <w:rPr>
          <w:rFonts w:eastAsia="SimSun" w:cs="Arial"/>
          <w:sz w:val="22"/>
        </w:rPr>
      </w:pPr>
    </w:p>
    <w:p w14:paraId="5872F34F" w14:textId="77777777" w:rsidR="00871A3A" w:rsidRPr="007E3D1A" w:rsidRDefault="00871A3A" w:rsidP="00871A3A">
      <w:pPr>
        <w:rPr>
          <w:rFonts w:eastAsia="SimSun" w:cs="Arial"/>
          <w:sz w:val="22"/>
        </w:rPr>
      </w:pPr>
      <w:r w:rsidRPr="007E3D1A">
        <w:rPr>
          <w:rFonts w:eastAsia="SimSun" w:cs="Arial"/>
          <w:sz w:val="22"/>
        </w:rPr>
        <w:t>ANNEXES</w:t>
      </w:r>
    </w:p>
    <w:p w14:paraId="4CED13DC" w14:textId="77777777" w:rsidR="00871A3A" w:rsidRPr="007E3D1A" w:rsidRDefault="00871A3A" w:rsidP="00871A3A">
      <w:pPr>
        <w:rPr>
          <w:rFonts w:eastAsia="SimSun" w:cs="Arial"/>
          <w:sz w:val="22"/>
        </w:rPr>
      </w:pPr>
      <w:r w:rsidRPr="007E3D1A">
        <w:rPr>
          <w:rFonts w:eastAsia="SimSun" w:cs="Arial"/>
          <w:sz w:val="22"/>
        </w:rPr>
        <w:t>ANNEXE I</w:t>
      </w:r>
    </w:p>
    <w:p w14:paraId="3E1FC9EB" w14:textId="77777777" w:rsidR="00871A3A" w:rsidRPr="007E3D1A" w:rsidRDefault="00871A3A" w:rsidP="00871A3A">
      <w:pPr>
        <w:rPr>
          <w:rFonts w:eastAsia="Calibri" w:cs="Arial"/>
          <w:sz w:val="22"/>
        </w:rPr>
      </w:pPr>
      <w:r w:rsidRPr="007E3D1A">
        <w:rPr>
          <w:rFonts w:eastAsia="Calibri" w:cs="Arial"/>
          <w:sz w:val="22"/>
        </w:rPr>
        <w:t>Pour s'assurer que les principes ci-dessus sont mis en œuvre efficacement, l'entreprise s'engage à faire en sorte que :</w:t>
      </w:r>
    </w:p>
    <w:p w14:paraId="649224E5" w14:textId="77777777" w:rsidR="00871A3A" w:rsidRPr="007E3D1A" w:rsidRDefault="00871A3A" w:rsidP="00871A3A">
      <w:pPr>
        <w:rPr>
          <w:rFonts w:eastAsia="Calibri" w:cs="Arial"/>
          <w:sz w:val="22"/>
        </w:rPr>
      </w:pPr>
      <w:r w:rsidRPr="007E3D1A">
        <w:rPr>
          <w:rFonts w:eastAsia="Calibri" w:cs="Arial"/>
          <w:sz w:val="22"/>
        </w:rPr>
        <w:t>Tous les employés ayant un rôle de supervision du personnel (gestionnaires et superviseurs) signent le code de conduite-Annexe II décrivant leurs responsabilités en matière de mise en œuvre des engagements de l'entreprise et d'appliquer les responsabilités individuelles dans le ‘code de conduite'.</w:t>
      </w:r>
    </w:p>
    <w:p w14:paraId="559E4DF1" w14:textId="77777777" w:rsidR="00871A3A" w:rsidRPr="007E3D1A" w:rsidRDefault="00871A3A" w:rsidP="00871A3A">
      <w:pPr>
        <w:rPr>
          <w:rFonts w:eastAsia="Calibri" w:cs="Arial"/>
          <w:sz w:val="22"/>
        </w:rPr>
      </w:pPr>
      <w:r w:rsidRPr="007E3D1A">
        <w:rPr>
          <w:rFonts w:eastAsia="Calibri" w:cs="Arial"/>
          <w:sz w:val="22"/>
        </w:rPr>
        <w:t>Tous les employés signent le code de conduite-Annexe III du projet, confirmant leur accord pour se conformer à des normes de comportement, et non de se livrer à des activités entraînant la VBG.</w:t>
      </w:r>
    </w:p>
    <w:p w14:paraId="3520EDD8" w14:textId="77777777" w:rsidR="00871A3A" w:rsidRPr="007E3D1A" w:rsidRDefault="00871A3A" w:rsidP="00871A3A">
      <w:pPr>
        <w:rPr>
          <w:rFonts w:eastAsia="Calibri" w:cs="Arial"/>
          <w:sz w:val="22"/>
        </w:rPr>
      </w:pPr>
      <w:r w:rsidRPr="007E3D1A">
        <w:rPr>
          <w:rFonts w:eastAsia="Calibri" w:cs="Arial"/>
          <w:sz w:val="22"/>
        </w:rPr>
        <w:t xml:space="preserve">L'affichage des codes de conduite-Annexe I et III en bonne place et bien en vue dans des camps de travailleurs, les bureaux et dans les parties communes de l'espace de travail. Une copie dans la langue qu'ils ont choisie est fournie à chaque travailleur. </w:t>
      </w:r>
    </w:p>
    <w:p w14:paraId="4B514266" w14:textId="77777777" w:rsidR="00871A3A" w:rsidRPr="007E3D1A" w:rsidRDefault="00871A3A" w:rsidP="00871A3A">
      <w:pPr>
        <w:rPr>
          <w:rFonts w:eastAsia="Calibri" w:cs="Arial"/>
          <w:sz w:val="22"/>
        </w:rPr>
      </w:pPr>
      <w:r w:rsidRPr="007E3D1A">
        <w:rPr>
          <w:rFonts w:eastAsia="Calibri" w:cs="Arial"/>
          <w:sz w:val="22"/>
        </w:rPr>
        <w:t>S'assurer que les copies affichées et distribuées des exemplaires des Annexes I et III sont traduites dans la langue appropriée d'utilisation dans les sites de travail ainsi que de tout le personnel international dans leur langue maternelle.</w:t>
      </w:r>
    </w:p>
    <w:p w14:paraId="076D0F1C" w14:textId="77777777" w:rsidR="00871A3A" w:rsidRPr="007E3D1A" w:rsidRDefault="00871A3A" w:rsidP="00871A3A">
      <w:pPr>
        <w:rPr>
          <w:rFonts w:eastAsia="Calibri" w:cs="Arial"/>
          <w:sz w:val="22"/>
        </w:rPr>
      </w:pPr>
      <w:r w:rsidRPr="007E3D1A">
        <w:rPr>
          <w:rFonts w:eastAsia="Calibri" w:cs="Arial"/>
          <w:sz w:val="22"/>
        </w:rPr>
        <w:t>L'entreprise met en œuvre efficacement le mécanisme convenu, de communiquer des informations au PNDA pour des améliorations et mises à jour au besoin.</w:t>
      </w:r>
    </w:p>
    <w:p w14:paraId="7DE966A8" w14:textId="77777777" w:rsidR="00871A3A" w:rsidRPr="007E3D1A" w:rsidRDefault="00871A3A" w:rsidP="00871A3A">
      <w:pPr>
        <w:rPr>
          <w:rFonts w:eastAsia="Calibri" w:cs="Arial"/>
          <w:sz w:val="22"/>
        </w:rPr>
      </w:pPr>
      <w:r w:rsidRPr="007E3D1A">
        <w:rPr>
          <w:rFonts w:eastAsia="Calibri" w:cs="Arial"/>
          <w:sz w:val="22"/>
        </w:rPr>
        <w:t xml:space="preserve">Tous les employés suivent un cours de formation de base avant de commencer le travail sur le site afin de s'assurer qu'ils sont familiers avec les engagements de l’entreprise concernant les codes de conduite relatifs à la VBG. </w:t>
      </w:r>
    </w:p>
    <w:p w14:paraId="7E1431CA" w14:textId="77777777" w:rsidR="00871A3A" w:rsidRPr="007E3D1A" w:rsidRDefault="00871A3A" w:rsidP="00871A3A">
      <w:pPr>
        <w:rPr>
          <w:rFonts w:eastAsia="Calibri" w:cs="Arial"/>
          <w:sz w:val="22"/>
        </w:rPr>
      </w:pPr>
      <w:r w:rsidRPr="007E3D1A">
        <w:rPr>
          <w:rFonts w:eastAsia="Calibri" w:cs="Arial"/>
          <w:sz w:val="22"/>
        </w:rPr>
        <w:t>Tous les employés suivent une formation régulière obligatoire, mené par des acteurs spécialisés pour la durée du contrat à partir de la première formation d'initiation avant le début du travail pour renforcer la compréhension des normes de comportement du projet, y compris le code de conduite de VBG. Ces activités seront conçues pour invoquer un changement de comportement, contestant la répartition inégale du pouvoir qui soutient et promeut la VBG, y compris l'exploitation sexuelle, l’abus et le harcèlement.</w:t>
      </w:r>
    </w:p>
    <w:p w14:paraId="67C70ED6" w14:textId="77777777" w:rsidR="00871A3A" w:rsidRPr="007E3D1A" w:rsidRDefault="00871A3A" w:rsidP="00871A3A">
      <w:pPr>
        <w:rPr>
          <w:rFonts w:eastAsia="Calibri" w:cs="Arial"/>
          <w:sz w:val="22"/>
        </w:rPr>
      </w:pPr>
      <w:r w:rsidRPr="007E3D1A">
        <w:rPr>
          <w:rFonts w:eastAsia="Calibri" w:cs="Arial"/>
          <w:sz w:val="22"/>
        </w:rPr>
        <w:t xml:space="preserve">Je reconnais, par la présente, que j'ai lu le Code de Conduite, y compris l´Annexe I qui précède, et au nom de l'entreprise, j’accepte de me conformer aux normes qu'ils contiennent. Je comprends mon rôle et mes responsabilités de promouvoir les normes comportementales du projet, et de prévenir et répondre à la VBG. Je comprends que toute action incompatible ou non conforme avec le présent code de conduite, y compris l´Annexe I peut entrainer des sanctions disciplinaires. </w:t>
      </w:r>
    </w:p>
    <w:p w14:paraId="5A911CB4" w14:textId="77777777" w:rsidR="00871A3A" w:rsidRPr="007E3D1A" w:rsidRDefault="00871A3A" w:rsidP="00871A3A">
      <w:pPr>
        <w:rPr>
          <w:rFonts w:eastAsia="Calibri" w:cs="Arial"/>
          <w:sz w:val="22"/>
        </w:rPr>
      </w:pPr>
    </w:p>
    <w:p w14:paraId="0C0713FD" w14:textId="77777777" w:rsidR="00871A3A" w:rsidRPr="007E3D1A" w:rsidRDefault="00871A3A" w:rsidP="00871A3A">
      <w:pPr>
        <w:rPr>
          <w:rFonts w:eastAsia="Calibri" w:cs="Arial"/>
          <w:sz w:val="22"/>
        </w:rPr>
      </w:pPr>
    </w:p>
    <w:p w14:paraId="06968849" w14:textId="77777777" w:rsidR="00871A3A" w:rsidRPr="007E3D1A" w:rsidRDefault="00871A3A" w:rsidP="00871A3A">
      <w:pPr>
        <w:rPr>
          <w:rFonts w:cs="Arial"/>
          <w:sz w:val="22"/>
        </w:rPr>
      </w:pPr>
      <w:r w:rsidRPr="007E3D1A">
        <w:rPr>
          <w:rFonts w:cs="Arial"/>
          <w:sz w:val="22"/>
        </w:rPr>
        <w:t>Nom de l’entreprise :</w:t>
      </w:r>
      <w:r w:rsidRPr="007E3D1A">
        <w:rPr>
          <w:rFonts w:cs="Arial"/>
          <w:sz w:val="22"/>
        </w:rPr>
        <w:tab/>
        <w:t xml:space="preserve"> ________________________                      Date :                 __________</w:t>
      </w:r>
    </w:p>
    <w:p w14:paraId="57F714E9" w14:textId="77777777" w:rsidR="00871A3A" w:rsidRPr="007E3D1A" w:rsidRDefault="00871A3A" w:rsidP="00871A3A">
      <w:pPr>
        <w:rPr>
          <w:rFonts w:cs="Arial"/>
          <w:sz w:val="22"/>
        </w:rPr>
      </w:pPr>
      <w:r w:rsidRPr="007E3D1A">
        <w:rPr>
          <w:rFonts w:cs="Arial"/>
          <w:sz w:val="22"/>
        </w:rPr>
        <w:t>Nom complet :</w:t>
      </w:r>
      <w:r w:rsidRPr="007E3D1A">
        <w:rPr>
          <w:rFonts w:cs="Arial"/>
          <w:sz w:val="22"/>
        </w:rPr>
        <w:tab/>
      </w:r>
      <w:r w:rsidRPr="007E3D1A">
        <w:rPr>
          <w:rFonts w:cs="Arial"/>
          <w:sz w:val="22"/>
        </w:rPr>
        <w:tab/>
        <w:t>_________________________                     Lu et approuvé : ______________</w:t>
      </w:r>
    </w:p>
    <w:p w14:paraId="3CEA17EB" w14:textId="77777777" w:rsidR="00871A3A" w:rsidRPr="007E3D1A" w:rsidRDefault="00871A3A" w:rsidP="00871A3A">
      <w:pPr>
        <w:rPr>
          <w:rFonts w:cs="Arial"/>
          <w:sz w:val="22"/>
        </w:rPr>
      </w:pPr>
      <w:r w:rsidRPr="007E3D1A">
        <w:rPr>
          <w:rFonts w:cs="Arial"/>
          <w:sz w:val="22"/>
        </w:rPr>
        <w:t xml:space="preserve">Titre : </w:t>
      </w:r>
      <w:r w:rsidRPr="007E3D1A">
        <w:rPr>
          <w:rFonts w:cs="Arial"/>
          <w:sz w:val="22"/>
        </w:rPr>
        <w:tab/>
      </w:r>
      <w:r w:rsidRPr="007E3D1A">
        <w:rPr>
          <w:rFonts w:cs="Arial"/>
          <w:sz w:val="22"/>
        </w:rPr>
        <w:tab/>
      </w:r>
      <w:r w:rsidRPr="007E3D1A">
        <w:rPr>
          <w:rFonts w:cs="Arial"/>
          <w:sz w:val="22"/>
        </w:rPr>
        <w:tab/>
        <w:t>_________________________                     Signature : ___________________</w:t>
      </w:r>
    </w:p>
    <w:p w14:paraId="7BA47413" w14:textId="77777777" w:rsidR="00871A3A" w:rsidRPr="007E3D1A" w:rsidRDefault="00871A3A" w:rsidP="00871A3A">
      <w:pPr>
        <w:rPr>
          <w:rFonts w:eastAsia="Calibri" w:cs="Arial"/>
          <w:sz w:val="22"/>
        </w:rPr>
      </w:pPr>
    </w:p>
    <w:p w14:paraId="6F05F7B5" w14:textId="77777777" w:rsidR="00871A3A" w:rsidRPr="007E3D1A" w:rsidRDefault="00871A3A" w:rsidP="00871A3A">
      <w:pPr>
        <w:rPr>
          <w:rFonts w:eastAsia="Calibri" w:cs="Arial"/>
          <w:sz w:val="22"/>
        </w:rPr>
      </w:pPr>
      <w:r w:rsidRPr="007E3D1A">
        <w:rPr>
          <w:rFonts w:eastAsia="Calibri" w:cs="Arial"/>
          <w:sz w:val="22"/>
        </w:rPr>
        <w:t>ANNEXE II</w:t>
      </w:r>
    </w:p>
    <w:p w14:paraId="52FCCFDE" w14:textId="77777777" w:rsidR="00871A3A" w:rsidRPr="007E3D1A" w:rsidRDefault="00871A3A" w:rsidP="00871A3A">
      <w:pPr>
        <w:rPr>
          <w:rFonts w:eastAsia="SimSun" w:cs="Arial"/>
          <w:sz w:val="22"/>
        </w:rPr>
      </w:pPr>
      <w:r w:rsidRPr="007E3D1A">
        <w:rPr>
          <w:rFonts w:eastAsia="SimSun" w:cs="Arial"/>
          <w:sz w:val="22"/>
        </w:rPr>
        <w:t>Les gestionnaires et les superviseurs (employés avec un rôle de supervision du personnel) à tous les niveaux ont la responsabilité de faire respecter l'engagement de l’entreprise pour la prévention et l'atténuation de la VBG. Cela signifie que les gestionnaires ont une lourde responsabilité de créer et maintenir un environnement qui respecte ces normes et empêche la VBG, tout en tenant responsables leurs auteurs. Pour être efficace, les gestionnaires devront soutenir et promouvoir la mise en œuvre du Code de conduite. À cette fin, les gestionnaires doivent se conformer aux responsabilités comme gestionnaires et également comme travailleurs (Annexe II et III). Ce faisant, ils s'engagent à maintenir la sécurité de la mise en œuvre du projet, ainsi qu'un environnement libre de tout VBG sur le lieu de travail et au sein de la communauté locale.</w:t>
      </w:r>
    </w:p>
    <w:p w14:paraId="47BF4DE4" w14:textId="77777777" w:rsidR="00871A3A" w:rsidRPr="007E3D1A" w:rsidRDefault="00871A3A" w:rsidP="00871A3A">
      <w:pPr>
        <w:rPr>
          <w:rFonts w:eastAsia="SimSun" w:cs="Arial"/>
          <w:sz w:val="22"/>
        </w:rPr>
      </w:pPr>
      <w:r w:rsidRPr="007E3D1A">
        <w:rPr>
          <w:rFonts w:eastAsia="SimSun" w:cs="Arial"/>
          <w:sz w:val="22"/>
        </w:rPr>
        <w:t>Ces responsabilités incluent mais ne sont pas limités à :</w:t>
      </w:r>
    </w:p>
    <w:p w14:paraId="111C004B" w14:textId="77777777" w:rsidR="00871A3A" w:rsidRPr="007E3D1A" w:rsidRDefault="00871A3A" w:rsidP="00871A3A">
      <w:pPr>
        <w:rPr>
          <w:rFonts w:eastAsia="SimSun" w:cs="Arial"/>
          <w:sz w:val="22"/>
        </w:rPr>
      </w:pPr>
      <w:r w:rsidRPr="007E3D1A">
        <w:rPr>
          <w:rFonts w:eastAsia="SimSun" w:cs="Arial"/>
          <w:sz w:val="22"/>
        </w:rPr>
        <w:t>Mise en œuvre</w:t>
      </w:r>
    </w:p>
    <w:p w14:paraId="7A43F643" w14:textId="77777777" w:rsidR="00871A3A" w:rsidRPr="007E3D1A" w:rsidRDefault="00871A3A" w:rsidP="00871A3A">
      <w:pPr>
        <w:rPr>
          <w:rFonts w:eastAsia="Calibri" w:cs="Arial"/>
          <w:sz w:val="22"/>
        </w:rPr>
      </w:pPr>
      <w:r w:rsidRPr="007E3D1A">
        <w:rPr>
          <w:rFonts w:eastAsia="Calibri" w:cs="Arial"/>
          <w:sz w:val="22"/>
        </w:rPr>
        <w:t>Afin de garantir la plus grande efficacité des codes de conduite-Annexe I et III :</w:t>
      </w:r>
    </w:p>
    <w:p w14:paraId="1C4B7150" w14:textId="77777777" w:rsidR="00871A3A" w:rsidRPr="007E3D1A" w:rsidRDefault="00871A3A" w:rsidP="00871A3A">
      <w:pPr>
        <w:rPr>
          <w:rFonts w:eastAsia="SimSun" w:cs="Arial"/>
          <w:sz w:val="22"/>
        </w:rPr>
      </w:pPr>
      <w:r w:rsidRPr="007E3D1A">
        <w:rPr>
          <w:rFonts w:eastAsia="SimSun" w:cs="Arial"/>
          <w:sz w:val="22"/>
        </w:rPr>
        <w:t xml:space="preserve">i. </w:t>
      </w:r>
      <w:r w:rsidRPr="007E3D1A">
        <w:rPr>
          <w:rFonts w:eastAsia="SimSun" w:cs="Arial"/>
          <w:sz w:val="22"/>
        </w:rPr>
        <w:tab/>
        <w:t>Afficher distinctement les codes de conduite Annexe I et III bien en vue, à la fois pour le personnel et les communautés au camp des travailleurs, bureaux, et dans les espaces publics de l'espace de travail. Des exemples de places publiques incluent les Salles d’attente, de repos et les halls d'entrée, la cantine et les cliniques de santé, les zones où sont stockés et surveillés les machines, etc.</w:t>
      </w:r>
    </w:p>
    <w:p w14:paraId="1546BF0A" w14:textId="77777777" w:rsidR="00871A3A" w:rsidRPr="007E3D1A" w:rsidRDefault="00871A3A" w:rsidP="00871A3A">
      <w:pPr>
        <w:rPr>
          <w:rFonts w:eastAsia="SimSun" w:cs="Arial"/>
          <w:sz w:val="22"/>
        </w:rPr>
      </w:pPr>
      <w:r w:rsidRPr="007E3D1A">
        <w:rPr>
          <w:rFonts w:eastAsia="SimSun" w:cs="Arial"/>
          <w:sz w:val="22"/>
        </w:rPr>
        <w:t>ii. S’assurer que toutes les copies affichées et distribuées des Annexes I et III sont traduites dans la langue appropriée d'utilisation dans les domaines de travail ainsi que dans la langue maternelle de tout le personnel international.</w:t>
      </w:r>
    </w:p>
    <w:p w14:paraId="561BA638" w14:textId="77777777" w:rsidR="00871A3A" w:rsidRPr="007E3D1A" w:rsidRDefault="00871A3A" w:rsidP="00871A3A">
      <w:pPr>
        <w:rPr>
          <w:rFonts w:eastAsia="Calibri" w:cs="Arial"/>
          <w:sz w:val="22"/>
        </w:rPr>
      </w:pPr>
      <w:r w:rsidRPr="007E3D1A">
        <w:rPr>
          <w:rFonts w:eastAsia="Calibri" w:cs="Arial"/>
          <w:sz w:val="22"/>
        </w:rPr>
        <w:t>Contribuer à expliquer les codes de conduite-Annexe I et III à l'ensemble du personnel.</w:t>
      </w:r>
    </w:p>
    <w:p w14:paraId="7DC48609" w14:textId="77777777" w:rsidR="00871A3A" w:rsidRPr="007E3D1A" w:rsidRDefault="00871A3A" w:rsidP="00871A3A">
      <w:pPr>
        <w:rPr>
          <w:rFonts w:eastAsia="Calibri" w:cs="Arial"/>
          <w:sz w:val="22"/>
        </w:rPr>
      </w:pPr>
      <w:r w:rsidRPr="007E3D1A">
        <w:rPr>
          <w:rFonts w:eastAsia="Calibri" w:cs="Arial"/>
          <w:sz w:val="22"/>
        </w:rPr>
        <w:t>S'assurer que :</w:t>
      </w:r>
    </w:p>
    <w:p w14:paraId="77570359" w14:textId="77777777" w:rsidR="00871A3A" w:rsidRPr="007E3D1A" w:rsidRDefault="00871A3A" w:rsidP="00871A3A">
      <w:pPr>
        <w:rPr>
          <w:rFonts w:eastAsia="SimSun" w:cs="Arial"/>
          <w:sz w:val="22"/>
        </w:rPr>
      </w:pPr>
      <w:r w:rsidRPr="007E3D1A">
        <w:rPr>
          <w:rFonts w:eastAsia="SimSun" w:cs="Arial"/>
          <w:sz w:val="22"/>
        </w:rPr>
        <w:t xml:space="preserve">i. </w:t>
      </w:r>
      <w:r w:rsidRPr="007E3D1A">
        <w:rPr>
          <w:rFonts w:eastAsia="SimSun" w:cs="Arial"/>
          <w:sz w:val="22"/>
        </w:rPr>
        <w:tab/>
        <w:t>Tous les travailleurs sous sa supervision signent le code de conduite-Annexe I, y compris la reconnaissance qu'ils ont le lu et l´approuvé.</w:t>
      </w:r>
    </w:p>
    <w:p w14:paraId="602865BD" w14:textId="77777777" w:rsidR="00871A3A" w:rsidRPr="007E3D1A" w:rsidRDefault="00871A3A" w:rsidP="00871A3A">
      <w:pPr>
        <w:rPr>
          <w:rFonts w:eastAsia="SimSun" w:cs="Arial"/>
          <w:sz w:val="22"/>
        </w:rPr>
      </w:pPr>
      <w:r w:rsidRPr="007E3D1A">
        <w:rPr>
          <w:rFonts w:eastAsia="SimSun" w:cs="Arial"/>
          <w:sz w:val="22"/>
        </w:rPr>
        <w:t xml:space="preserve">ii. </w:t>
      </w:r>
      <w:r w:rsidRPr="007E3D1A">
        <w:rPr>
          <w:rFonts w:eastAsia="SimSun" w:cs="Arial"/>
          <w:sz w:val="22"/>
        </w:rPr>
        <w:tab/>
        <w:t>Les listes de l’ensemble du personnel et des exemplaires signés de chaque code de conduite sont fournis au PNDA.</w:t>
      </w:r>
    </w:p>
    <w:p w14:paraId="08D3FFF8" w14:textId="77777777" w:rsidR="00871A3A" w:rsidRPr="007E3D1A" w:rsidRDefault="00871A3A" w:rsidP="00871A3A">
      <w:pPr>
        <w:rPr>
          <w:rFonts w:eastAsia="SimSun" w:cs="Arial"/>
          <w:sz w:val="22"/>
        </w:rPr>
      </w:pPr>
      <w:r w:rsidRPr="007E3D1A">
        <w:rPr>
          <w:rFonts w:eastAsia="SimSun" w:cs="Arial"/>
          <w:sz w:val="22"/>
        </w:rPr>
        <w:t xml:space="preserve">iii. </w:t>
      </w:r>
      <w:r w:rsidRPr="007E3D1A">
        <w:rPr>
          <w:rFonts w:eastAsia="SimSun" w:cs="Arial"/>
          <w:sz w:val="22"/>
        </w:rPr>
        <w:tab/>
        <w:t>Tout le personnel participe à la formation et que les membres sous sa supervision participent également comme indiqué ci-dessous.</w:t>
      </w:r>
    </w:p>
    <w:p w14:paraId="480F8DAF" w14:textId="77777777" w:rsidR="00871A3A" w:rsidRPr="007E3D1A" w:rsidRDefault="00871A3A" w:rsidP="00871A3A">
      <w:pPr>
        <w:rPr>
          <w:rFonts w:eastAsia="SimSun" w:cs="Arial"/>
          <w:sz w:val="22"/>
        </w:rPr>
      </w:pPr>
      <w:r w:rsidRPr="007E3D1A">
        <w:rPr>
          <w:rFonts w:eastAsia="SimSun" w:cs="Arial"/>
          <w:sz w:val="22"/>
        </w:rPr>
        <w:t xml:space="preserve">iv. </w:t>
      </w:r>
      <w:r w:rsidRPr="007E3D1A">
        <w:rPr>
          <w:rFonts w:eastAsia="SimSun" w:cs="Arial"/>
          <w:sz w:val="22"/>
        </w:rPr>
        <w:tab/>
        <w:t>le superviseur favorise un environnement encourageant le personnel à signaler les incidents de VBG confidentiellement par l'intermédiaire du mécanisme de gestion de plaintes du projet.</w:t>
      </w:r>
    </w:p>
    <w:p w14:paraId="17BB3C15" w14:textId="77777777" w:rsidR="00871A3A" w:rsidRPr="007E3D1A" w:rsidRDefault="00871A3A" w:rsidP="00871A3A">
      <w:pPr>
        <w:rPr>
          <w:rFonts w:eastAsia="Calibri" w:cs="Arial"/>
          <w:sz w:val="22"/>
        </w:rPr>
      </w:pPr>
      <w:r w:rsidRPr="007E3D1A">
        <w:rPr>
          <w:rFonts w:eastAsia="Calibri" w:cs="Arial"/>
          <w:sz w:val="22"/>
        </w:rPr>
        <w:t>Dans le respect des lois applicables et au meilleur de ses capacités, empêcher que les auteurs d'exploitation sexuelle et de violence ne soient pas engagés, recrutés de nouveau ou redéployés.</w:t>
      </w:r>
    </w:p>
    <w:p w14:paraId="04FCAC60" w14:textId="77777777" w:rsidR="00871A3A" w:rsidRPr="007E3D1A" w:rsidRDefault="00871A3A" w:rsidP="00871A3A">
      <w:pPr>
        <w:rPr>
          <w:rFonts w:eastAsia="Calibri" w:cs="Arial"/>
          <w:sz w:val="22"/>
        </w:rPr>
      </w:pPr>
      <w:r w:rsidRPr="007E3D1A">
        <w:rPr>
          <w:rFonts w:eastAsia="Calibri" w:cs="Arial"/>
          <w:sz w:val="22"/>
        </w:rPr>
        <w:t>S'assurer que lors de l'engagement d’un partenariat, d’un sous-traitant, d’un fournisseur ou d'accords similaires, ces accords :</w:t>
      </w:r>
    </w:p>
    <w:p w14:paraId="6C6DA1EF" w14:textId="77777777" w:rsidR="00871A3A" w:rsidRPr="007E3D1A" w:rsidRDefault="00871A3A" w:rsidP="00871A3A">
      <w:pPr>
        <w:rPr>
          <w:rFonts w:eastAsia="SimSun" w:cs="Arial"/>
          <w:sz w:val="22"/>
        </w:rPr>
      </w:pPr>
      <w:r w:rsidRPr="007E3D1A">
        <w:rPr>
          <w:rFonts w:eastAsia="SimSun" w:cs="Arial"/>
          <w:sz w:val="22"/>
        </w:rPr>
        <w:tab/>
        <w:t>i.    Incorporer le code de conduite- Annexe I, II et III sous forme de pièce jointe.</w:t>
      </w:r>
    </w:p>
    <w:p w14:paraId="44EA3D78" w14:textId="77777777" w:rsidR="00871A3A" w:rsidRPr="007E3D1A" w:rsidRDefault="00871A3A" w:rsidP="00871A3A">
      <w:pPr>
        <w:rPr>
          <w:rFonts w:eastAsia="SimSun" w:cs="Arial"/>
          <w:sz w:val="22"/>
        </w:rPr>
      </w:pPr>
      <w:r w:rsidRPr="007E3D1A">
        <w:rPr>
          <w:rFonts w:eastAsia="SimSun" w:cs="Arial"/>
          <w:sz w:val="22"/>
        </w:rPr>
        <w:tab/>
        <w:t>ii.  Inclure les langues appropriées nécessitantes de telles entités contractantes et les individus, et    leurs employés et bénévoles, à se conformer au code de conduite-Annexe I.</w:t>
      </w:r>
    </w:p>
    <w:p w14:paraId="6944F0F2" w14:textId="77777777" w:rsidR="00871A3A" w:rsidRPr="007E3D1A" w:rsidRDefault="00871A3A" w:rsidP="00871A3A">
      <w:pPr>
        <w:rPr>
          <w:rFonts w:eastAsia="SimSun" w:cs="Arial"/>
          <w:sz w:val="22"/>
        </w:rPr>
      </w:pPr>
      <w:r w:rsidRPr="007E3D1A">
        <w:rPr>
          <w:rFonts w:eastAsia="SimSun" w:cs="Arial"/>
          <w:sz w:val="22"/>
        </w:rPr>
        <w:tab/>
        <w:t>iii. Dire expressément que la non-observance par ces entités ou personnes, le cas échéant, de se conformer aux normes définies par le Code de conduite, prendre des mesures préventives contre la VBG, enquêter sur les allégations de VBG, ou à prendre des mesures correctives lorsqu’un cas de VBG a eu lieu, n'est pas seulement un motif de sanctions et pénalités conformément aux codes de-Annexe I mais aussi de résiliation d'accords pour travailler sur l'offre ou le projet.</w:t>
      </w:r>
    </w:p>
    <w:p w14:paraId="14DC5147" w14:textId="77777777" w:rsidR="00871A3A" w:rsidRPr="007E3D1A" w:rsidRDefault="00871A3A" w:rsidP="00871A3A">
      <w:pPr>
        <w:rPr>
          <w:rFonts w:eastAsia="Calibri" w:cs="Arial"/>
          <w:sz w:val="22"/>
        </w:rPr>
      </w:pPr>
      <w:r w:rsidRPr="007E3D1A">
        <w:rPr>
          <w:rFonts w:eastAsia="Calibri" w:cs="Arial"/>
          <w:sz w:val="22"/>
        </w:rPr>
        <w:t>Fournir un appui au Maitre d’ouvrage subdélégué pour la mise en œuvre des activités environnementales et sociales du PNDA et à d'autres acteurs de la société civile et de VBG pour créer et diffuser des initiatives de sensibilisation interne au travers des campagnes de sensibilisation et des stratégies de changement de comportement.</w:t>
      </w:r>
    </w:p>
    <w:p w14:paraId="6326D0B4" w14:textId="77777777" w:rsidR="00871A3A" w:rsidRPr="007E3D1A" w:rsidRDefault="00871A3A" w:rsidP="00871A3A">
      <w:pPr>
        <w:rPr>
          <w:rFonts w:eastAsia="Calibri" w:cs="Arial"/>
          <w:sz w:val="22"/>
        </w:rPr>
      </w:pPr>
      <w:r w:rsidRPr="007E3D1A">
        <w:rPr>
          <w:rFonts w:eastAsia="Calibri" w:cs="Arial"/>
          <w:sz w:val="22"/>
        </w:rPr>
        <w:t>Rendre compte et agir conformément au protocole de réponse de tout acte réel ou supposé de VBG. Les gestionnaires ont la responsabilité de faire respecter les engagements de l'entreprise et faire leurs comptes rendus directs grâce à la mise en œuvre de mesures disciplinaires appropriées. Le défaut d'agir sur les actes supposés ou réels de VBG commis par leurs rapports peut entraîner des mesures disciplinaires.</w:t>
      </w:r>
    </w:p>
    <w:p w14:paraId="63218745" w14:textId="77777777" w:rsidR="00871A3A" w:rsidRPr="007E3D1A" w:rsidRDefault="00871A3A" w:rsidP="00871A3A">
      <w:pPr>
        <w:rPr>
          <w:rFonts w:eastAsia="Calibri" w:cs="Arial"/>
          <w:sz w:val="22"/>
        </w:rPr>
      </w:pPr>
    </w:p>
    <w:p w14:paraId="184F41E7" w14:textId="77777777" w:rsidR="00871A3A" w:rsidRPr="007E3D1A" w:rsidRDefault="00871A3A" w:rsidP="00871A3A">
      <w:pPr>
        <w:rPr>
          <w:rFonts w:eastAsia="SimSun" w:cs="Arial"/>
          <w:sz w:val="22"/>
        </w:rPr>
      </w:pPr>
      <w:r w:rsidRPr="007E3D1A">
        <w:rPr>
          <w:rFonts w:eastAsia="SimSun" w:cs="Arial"/>
          <w:sz w:val="22"/>
        </w:rPr>
        <w:t>Formation</w:t>
      </w:r>
    </w:p>
    <w:p w14:paraId="339FFA9C" w14:textId="77777777" w:rsidR="00871A3A" w:rsidRPr="007E3D1A" w:rsidRDefault="00871A3A" w:rsidP="00871A3A">
      <w:pPr>
        <w:rPr>
          <w:rFonts w:eastAsia="Calibri" w:cs="Arial"/>
          <w:sz w:val="22"/>
        </w:rPr>
      </w:pPr>
      <w:r w:rsidRPr="007E3D1A">
        <w:rPr>
          <w:rFonts w:eastAsia="Calibri" w:cs="Arial"/>
          <w:sz w:val="22"/>
        </w:rPr>
        <w:t>Tous les gestionnaires sont tenus d'assister à un cours de formation pour gestionnaires avant de commencer les travaux afin de s'assurer qu'ils connaissent bien leurs rôles et responsabilités dans le respect des engagements relatifs aux codes de conduite de VBG. Cette formation s'appuiera sur cours de formation de VBG et les codes de conduite, exigée de tous les employés et gestionnaires pour avoir la compréhension nécessaire et le soutien technique nécessaires pour remplir leur rôle dans le cadre de leurs fonctions dans le projet.</w:t>
      </w:r>
    </w:p>
    <w:p w14:paraId="1B5DF549" w14:textId="77777777" w:rsidR="00871A3A" w:rsidRPr="007E3D1A" w:rsidRDefault="00871A3A" w:rsidP="00871A3A">
      <w:pPr>
        <w:rPr>
          <w:rFonts w:eastAsia="Calibri" w:cs="Arial"/>
          <w:sz w:val="22"/>
        </w:rPr>
      </w:pPr>
      <w:r w:rsidRPr="007E3D1A">
        <w:rPr>
          <w:rFonts w:eastAsia="Calibri" w:cs="Arial"/>
          <w:sz w:val="22"/>
        </w:rPr>
        <w:t>Les gestionnaires sont tenus d'assister et d'aider lors des cours de formation organisés par le projet pour tous les employés. Les gestionnaires seront tenus de démarrer les formations et d'annoncer les renseignements nécessaires pour évaluer les expériences de formation et fournir des conseils sur l'amélioration de l'efficacité de la formation.</w:t>
      </w:r>
    </w:p>
    <w:p w14:paraId="7E97B759" w14:textId="77777777" w:rsidR="00871A3A" w:rsidRPr="007E3D1A" w:rsidRDefault="00871A3A" w:rsidP="00871A3A">
      <w:pPr>
        <w:rPr>
          <w:rFonts w:eastAsia="Calibri" w:cs="Arial"/>
          <w:sz w:val="22"/>
        </w:rPr>
      </w:pPr>
      <w:r w:rsidRPr="007E3D1A">
        <w:rPr>
          <w:rFonts w:eastAsia="Calibri" w:cs="Arial"/>
          <w:sz w:val="22"/>
        </w:rPr>
        <w:t>S'assurer que du temps est accordé pendant les heures de travail pour que le personnel assiste à la formation d'initiation obligatoire sur la prévention de la VBG ainsi que le code de conduite et ses Annexes du projet.</w:t>
      </w:r>
    </w:p>
    <w:p w14:paraId="1D61DCA0" w14:textId="77777777" w:rsidR="00871A3A" w:rsidRPr="007E3D1A" w:rsidRDefault="00871A3A" w:rsidP="00871A3A">
      <w:pPr>
        <w:rPr>
          <w:rFonts w:eastAsia="SimSun" w:cs="Arial"/>
          <w:sz w:val="22"/>
        </w:rPr>
      </w:pPr>
      <w:r w:rsidRPr="007E3D1A">
        <w:rPr>
          <w:rFonts w:eastAsia="SimSun" w:cs="Arial"/>
          <w:sz w:val="22"/>
        </w:rPr>
        <w:t xml:space="preserve">Réponse </w:t>
      </w:r>
    </w:p>
    <w:p w14:paraId="4E59B360" w14:textId="77777777" w:rsidR="00871A3A" w:rsidRPr="007E3D1A" w:rsidRDefault="00871A3A" w:rsidP="00871A3A">
      <w:pPr>
        <w:rPr>
          <w:rFonts w:eastAsia="Calibri" w:cs="Arial"/>
          <w:sz w:val="22"/>
        </w:rPr>
      </w:pPr>
      <w:r w:rsidRPr="007E3D1A">
        <w:rPr>
          <w:rFonts w:eastAsia="Calibri" w:cs="Arial"/>
          <w:sz w:val="22"/>
        </w:rPr>
        <w:t>En ce qui concerne la VBG :</w:t>
      </w:r>
    </w:p>
    <w:p w14:paraId="62434E21" w14:textId="77777777" w:rsidR="00871A3A" w:rsidRPr="007E3D1A" w:rsidRDefault="00871A3A" w:rsidP="00871A3A">
      <w:pPr>
        <w:rPr>
          <w:rFonts w:eastAsia="SimSun" w:cs="Arial"/>
          <w:sz w:val="22"/>
        </w:rPr>
      </w:pPr>
      <w:r w:rsidRPr="007E3D1A">
        <w:rPr>
          <w:rFonts w:eastAsia="SimSun" w:cs="Arial"/>
          <w:sz w:val="22"/>
        </w:rPr>
        <w:t>Si un gestionnaire développe des préoccupations ou des soupçons à l'égard de toute forme de VBG par l'un de ses rapports directs, ou par un employé travaillant pour un autre maître d’œuvre sur le même lieu de travail, il est nécessaire de signaler le cas en utilisant les procédures établies.</w:t>
      </w:r>
    </w:p>
    <w:p w14:paraId="4B19232D" w14:textId="77777777" w:rsidR="00871A3A" w:rsidRPr="007E3D1A" w:rsidRDefault="00871A3A" w:rsidP="00871A3A">
      <w:pPr>
        <w:rPr>
          <w:rFonts w:eastAsia="SimSun" w:cs="Arial"/>
          <w:sz w:val="22"/>
        </w:rPr>
      </w:pPr>
      <w:r w:rsidRPr="007E3D1A">
        <w:rPr>
          <w:rFonts w:eastAsia="SimSun" w:cs="Arial"/>
          <w:sz w:val="22"/>
        </w:rPr>
        <w:t>Si le gestionnaire chargé des VBG a un conflit d'intérêts en raison de relations familiales ou personnelles avec la survivante et/ou l’auteur, il/elle doit informer l'entreprise concernée et la partie en charge de la gestion de plaintes VBG et le PNDA. L'entrepreneur sera tenu de nommer un autre gestionnaire sans conflit d'intérêt pour répondre aux plaintes.</w:t>
      </w:r>
    </w:p>
    <w:p w14:paraId="1E67515D" w14:textId="77777777" w:rsidR="00871A3A" w:rsidRPr="007E3D1A" w:rsidRDefault="00871A3A" w:rsidP="00871A3A">
      <w:pPr>
        <w:rPr>
          <w:rFonts w:eastAsia="SimSun" w:cs="Arial"/>
          <w:sz w:val="22"/>
        </w:rPr>
      </w:pPr>
      <w:r w:rsidRPr="007E3D1A">
        <w:rPr>
          <w:rFonts w:eastAsia="SimSun" w:cs="Arial"/>
          <w:sz w:val="22"/>
        </w:rPr>
        <w:t>S'assurer que toute question de VBG est signalée au PNDA et à la Banque mondiale dans les 24 heures de sa détection et indépendamment de sa vérification.</w:t>
      </w:r>
    </w:p>
    <w:p w14:paraId="7CA9125B" w14:textId="77777777" w:rsidR="00871A3A" w:rsidRPr="007E3D1A" w:rsidRDefault="00871A3A" w:rsidP="00871A3A">
      <w:pPr>
        <w:rPr>
          <w:rFonts w:eastAsia="Calibri" w:cs="Arial"/>
          <w:sz w:val="22"/>
        </w:rPr>
      </w:pPr>
      <w:r w:rsidRPr="007E3D1A">
        <w:rPr>
          <w:rFonts w:eastAsia="Calibri" w:cs="Arial"/>
          <w:sz w:val="22"/>
        </w:rPr>
        <w:t xml:space="preserve">Le manquement pour les gestionnaires de faire rapport ou de se conformer aux dispositions de VBG et du VAC peut faire l'objet de mesures disciplinaires, à déterminer et adopter par le Directeur de l'entreprise ou un équivalent d’un rang plus élevé. </w:t>
      </w:r>
    </w:p>
    <w:p w14:paraId="7D322863" w14:textId="77777777" w:rsidR="00871A3A" w:rsidRPr="007E3D1A" w:rsidRDefault="00871A3A" w:rsidP="00871A3A">
      <w:pPr>
        <w:rPr>
          <w:rFonts w:eastAsia="SimSun" w:cs="Arial"/>
          <w:sz w:val="22"/>
        </w:rPr>
      </w:pPr>
      <w:r w:rsidRPr="007E3D1A">
        <w:rPr>
          <w:rFonts w:eastAsia="SimSun" w:cs="Arial"/>
          <w:sz w:val="22"/>
        </w:rPr>
        <w:t>En définitive, le fait de répondre efficacement aux cas de VBG sur le chantier par les gestionnaires de l'entreprise ou le Directeur Général n’empêchent pas des éventuelles actions judiciaires qui pourraient être engagé par les autorités compétentes.</w:t>
      </w:r>
    </w:p>
    <w:p w14:paraId="08445D92" w14:textId="77777777" w:rsidR="00871A3A" w:rsidRPr="007E3D1A" w:rsidRDefault="00871A3A" w:rsidP="00871A3A">
      <w:pPr>
        <w:rPr>
          <w:rFonts w:eastAsia="SimSun" w:cs="Arial"/>
          <w:sz w:val="22"/>
        </w:rPr>
      </w:pPr>
      <w:r w:rsidRPr="007E3D1A">
        <w:rPr>
          <w:rFonts w:eastAsia="SimSun" w:cs="Arial"/>
          <w:sz w:val="22"/>
        </w:rPr>
        <w:t>Je reconnais, par la présente, que j'ai lu ce qui précède, le code de conduite-Annexe II, et accepte de me conformer aux normes qu'il contient et comprends mes rôles et responsabilités pour prévenir et répondre aux exigences en matière de VBG. Je comprends que toute action incompatible avec le présent Code de conduite, y compris l’Annexe II ou l'échec à prendre des mesures prescrites qui y sont contenues peut entraîner des mesures disciplinaires.</w:t>
      </w:r>
    </w:p>
    <w:p w14:paraId="41C66A67" w14:textId="77777777" w:rsidR="00871A3A" w:rsidRPr="007E3D1A" w:rsidRDefault="00871A3A" w:rsidP="00871A3A">
      <w:pPr>
        <w:rPr>
          <w:rFonts w:cs="Arial"/>
          <w:sz w:val="22"/>
        </w:rPr>
      </w:pPr>
    </w:p>
    <w:p w14:paraId="73ECCC61" w14:textId="77777777" w:rsidR="00871A3A" w:rsidRPr="007E3D1A" w:rsidRDefault="00871A3A" w:rsidP="00871A3A">
      <w:pPr>
        <w:rPr>
          <w:rFonts w:cs="Arial"/>
          <w:sz w:val="22"/>
        </w:rPr>
      </w:pPr>
      <w:r w:rsidRPr="007E3D1A">
        <w:rPr>
          <w:rFonts w:cs="Arial"/>
          <w:sz w:val="22"/>
        </w:rPr>
        <w:tab/>
      </w:r>
      <w:r w:rsidRPr="007E3D1A">
        <w:rPr>
          <w:rFonts w:cs="Arial"/>
          <w:sz w:val="22"/>
        </w:rPr>
        <w:tab/>
        <w:t xml:space="preserve">Signature : </w:t>
      </w:r>
      <w:r w:rsidRPr="007E3D1A">
        <w:rPr>
          <w:rFonts w:cs="Arial"/>
          <w:sz w:val="22"/>
        </w:rPr>
        <w:tab/>
        <w:t>_________________________</w:t>
      </w:r>
    </w:p>
    <w:p w14:paraId="5E6992B5" w14:textId="77777777" w:rsidR="00871A3A" w:rsidRPr="007E3D1A" w:rsidRDefault="00871A3A" w:rsidP="00871A3A">
      <w:pPr>
        <w:rPr>
          <w:rFonts w:cs="Arial"/>
          <w:sz w:val="22"/>
        </w:rPr>
      </w:pPr>
      <w:r w:rsidRPr="007E3D1A">
        <w:rPr>
          <w:rFonts w:cs="Arial"/>
          <w:sz w:val="22"/>
        </w:rPr>
        <w:tab/>
      </w:r>
      <w:r w:rsidRPr="007E3D1A">
        <w:rPr>
          <w:rFonts w:cs="Arial"/>
          <w:sz w:val="22"/>
        </w:rPr>
        <w:tab/>
        <w:t>Nom complet :</w:t>
      </w:r>
      <w:r w:rsidRPr="007E3D1A">
        <w:rPr>
          <w:rFonts w:cs="Arial"/>
          <w:sz w:val="22"/>
        </w:rPr>
        <w:tab/>
        <w:t>_________________________</w:t>
      </w:r>
    </w:p>
    <w:p w14:paraId="132E1222" w14:textId="77777777" w:rsidR="00871A3A" w:rsidRPr="007E3D1A" w:rsidRDefault="00871A3A" w:rsidP="00871A3A">
      <w:pPr>
        <w:rPr>
          <w:rFonts w:cs="Arial"/>
          <w:sz w:val="22"/>
        </w:rPr>
      </w:pPr>
      <w:r w:rsidRPr="007E3D1A">
        <w:rPr>
          <w:rFonts w:cs="Arial"/>
          <w:sz w:val="22"/>
        </w:rPr>
        <w:tab/>
      </w:r>
      <w:r w:rsidRPr="007E3D1A">
        <w:rPr>
          <w:rFonts w:cs="Arial"/>
          <w:sz w:val="22"/>
        </w:rPr>
        <w:tab/>
        <w:t xml:space="preserve">Titre : </w:t>
      </w:r>
      <w:r w:rsidRPr="007E3D1A">
        <w:rPr>
          <w:rFonts w:cs="Arial"/>
          <w:sz w:val="22"/>
        </w:rPr>
        <w:tab/>
      </w:r>
      <w:r w:rsidRPr="007E3D1A">
        <w:rPr>
          <w:rFonts w:cs="Arial"/>
          <w:sz w:val="22"/>
        </w:rPr>
        <w:tab/>
        <w:t>_________________________</w:t>
      </w:r>
    </w:p>
    <w:p w14:paraId="697A56CD" w14:textId="77777777" w:rsidR="00871A3A" w:rsidRPr="007E3D1A" w:rsidRDefault="00871A3A" w:rsidP="00871A3A">
      <w:pPr>
        <w:rPr>
          <w:rFonts w:cs="Arial"/>
          <w:sz w:val="22"/>
        </w:rPr>
      </w:pPr>
      <w:r w:rsidRPr="007E3D1A">
        <w:rPr>
          <w:rFonts w:cs="Arial"/>
          <w:sz w:val="22"/>
        </w:rPr>
        <w:tab/>
      </w:r>
      <w:r w:rsidRPr="007E3D1A">
        <w:rPr>
          <w:rFonts w:cs="Arial"/>
          <w:sz w:val="22"/>
        </w:rPr>
        <w:tab/>
        <w:t xml:space="preserve">Date : </w:t>
      </w:r>
      <w:r w:rsidRPr="007E3D1A">
        <w:rPr>
          <w:rFonts w:cs="Arial"/>
          <w:sz w:val="22"/>
        </w:rPr>
        <w:tab/>
      </w:r>
      <w:r w:rsidRPr="007E3D1A">
        <w:rPr>
          <w:rFonts w:cs="Arial"/>
          <w:sz w:val="22"/>
        </w:rPr>
        <w:tab/>
        <w:t>________</w:t>
      </w:r>
    </w:p>
    <w:p w14:paraId="1560D602" w14:textId="77777777" w:rsidR="00871A3A" w:rsidRPr="007E3D1A" w:rsidRDefault="00871A3A" w:rsidP="00871A3A">
      <w:pPr>
        <w:rPr>
          <w:rFonts w:eastAsia="Calibri" w:cs="Arial"/>
          <w:sz w:val="22"/>
        </w:rPr>
      </w:pPr>
    </w:p>
    <w:p w14:paraId="3EFED4E8" w14:textId="77777777" w:rsidR="00871A3A" w:rsidRPr="007E3D1A" w:rsidRDefault="00871A3A" w:rsidP="00871A3A">
      <w:pPr>
        <w:rPr>
          <w:rFonts w:eastAsia="Calibri" w:cs="Arial"/>
          <w:sz w:val="22"/>
        </w:rPr>
      </w:pPr>
      <w:r w:rsidRPr="007E3D1A">
        <w:rPr>
          <w:rFonts w:eastAsia="Calibri" w:cs="Arial"/>
          <w:sz w:val="22"/>
        </w:rPr>
        <w:t>ANNEXE III</w:t>
      </w:r>
    </w:p>
    <w:p w14:paraId="513A9B60" w14:textId="77777777" w:rsidR="00871A3A" w:rsidRPr="007E3D1A" w:rsidRDefault="00871A3A" w:rsidP="00871A3A">
      <w:pPr>
        <w:rPr>
          <w:rFonts w:cs="Arial"/>
          <w:sz w:val="22"/>
        </w:rPr>
      </w:pPr>
      <w:r w:rsidRPr="007E3D1A">
        <w:rPr>
          <w:rFonts w:cs="Arial"/>
          <w:sz w:val="22"/>
        </w:rPr>
        <w:t xml:space="preserve">Je, soussigné ___________________________________, reconnais que le respect des normes environnementales, sanitaires et de sécurité sociale (ESHS), conformément aux exigences en matière de santé et de sécurité au travail du projet (SST), et la prévention de VBG, y compris l'exploitation et la violence sexuelle ainsi que le harcèlement sexuel, est important. </w:t>
      </w:r>
    </w:p>
    <w:p w14:paraId="50679C92" w14:textId="77777777" w:rsidR="00871A3A" w:rsidRPr="007E3D1A" w:rsidRDefault="00871A3A" w:rsidP="00871A3A">
      <w:pPr>
        <w:rPr>
          <w:rFonts w:cs="Arial"/>
          <w:sz w:val="22"/>
        </w:rPr>
      </w:pPr>
      <w:r w:rsidRPr="007E3D1A">
        <w:rPr>
          <w:rFonts w:cs="Arial"/>
          <w:sz w:val="22"/>
        </w:rPr>
        <w:t>L’entreprise estime que participer à des actes de VBG lorsqu’on est employé par le projet - que ce soit sur le lieu de travail, dans les alentours du lieu de travail, dans le camp des travailleurs, à proximité des camps ou dans les communautés limitrophes - constitue un acte d'inconduite grave et mène à des sanctions, pénalités ou à une cessation potentielle d'emploi. Des poursuites par la police de ceux qui commettent la VBG peuvent être engagées, si approprié.</w:t>
      </w:r>
    </w:p>
    <w:p w14:paraId="31EE800E" w14:textId="77777777" w:rsidR="00871A3A" w:rsidRPr="007E3D1A" w:rsidRDefault="00871A3A" w:rsidP="00871A3A">
      <w:pPr>
        <w:rPr>
          <w:rFonts w:cs="Arial"/>
          <w:sz w:val="22"/>
        </w:rPr>
      </w:pPr>
      <w:r w:rsidRPr="007E3D1A">
        <w:rPr>
          <w:rFonts w:cs="Arial"/>
          <w:sz w:val="22"/>
        </w:rPr>
        <w:t>Je suis d'accord que tout en travaillant sur le projet Je vais :</w:t>
      </w:r>
    </w:p>
    <w:p w14:paraId="25B36BF5" w14:textId="77777777" w:rsidR="00871A3A" w:rsidRPr="007E3D1A" w:rsidRDefault="00871A3A" w:rsidP="00871A3A">
      <w:pPr>
        <w:rPr>
          <w:rFonts w:cs="Arial"/>
          <w:sz w:val="22"/>
        </w:rPr>
      </w:pPr>
      <w:r w:rsidRPr="007E3D1A">
        <w:rPr>
          <w:rFonts w:cs="Arial"/>
          <w:sz w:val="22"/>
        </w:rPr>
        <w:t>Assister et participer activement aux cours de formation liés à l'ESHS, l’OHS, le VIH/SIDA, la VBG tel que recommandé par mon employeur.</w:t>
      </w:r>
    </w:p>
    <w:p w14:paraId="6F416BCB" w14:textId="77777777" w:rsidR="00871A3A" w:rsidRPr="007E3D1A" w:rsidRDefault="00871A3A" w:rsidP="00871A3A">
      <w:pPr>
        <w:rPr>
          <w:rFonts w:cs="Arial"/>
          <w:sz w:val="22"/>
        </w:rPr>
      </w:pPr>
      <w:r w:rsidRPr="007E3D1A">
        <w:rPr>
          <w:rFonts w:cs="Arial"/>
          <w:sz w:val="22"/>
        </w:rPr>
        <w:t>Adhérer à une politique de zéro-alcool pendant les heures de service, et m'abstenir de l'usage de stupéfiants ou d'autres substances, qui peuvent altérer les facultés en tout temps.</w:t>
      </w:r>
    </w:p>
    <w:p w14:paraId="3BD14A20" w14:textId="77777777" w:rsidR="00871A3A" w:rsidRPr="007E3D1A" w:rsidRDefault="00871A3A" w:rsidP="00871A3A">
      <w:pPr>
        <w:rPr>
          <w:rFonts w:cs="Arial"/>
          <w:sz w:val="22"/>
        </w:rPr>
      </w:pPr>
      <w:r w:rsidRPr="007E3D1A">
        <w:rPr>
          <w:rFonts w:cs="Arial"/>
          <w:sz w:val="22"/>
        </w:rPr>
        <w:t>Traiter les femmes, les enfants (personnes de moins de 18 ans), et les hommes sans distinction de race, couleur, langue, religion, opinion politique ou autre, origine nationale, ethnique ou sociale, fortune, infirmité, naissance ou toute autre situation.</w:t>
      </w:r>
    </w:p>
    <w:p w14:paraId="67157F5F" w14:textId="77777777" w:rsidR="00871A3A" w:rsidRPr="007E3D1A" w:rsidRDefault="00871A3A" w:rsidP="00871A3A">
      <w:pPr>
        <w:rPr>
          <w:rFonts w:cs="Arial"/>
          <w:sz w:val="22"/>
        </w:rPr>
      </w:pPr>
      <w:r w:rsidRPr="007E3D1A">
        <w:rPr>
          <w:rFonts w:cs="Arial"/>
          <w:sz w:val="22"/>
        </w:rPr>
        <w:t>Ne pas utiliser un langage ou un comportement harcelant, abusif, sexuellement provocant ou humiliant envers les femmes, les enfants ou les hommes, et qui constitue un acte de violence basée sur le genre.</w:t>
      </w:r>
    </w:p>
    <w:p w14:paraId="3EC43FDF" w14:textId="77777777" w:rsidR="00871A3A" w:rsidRPr="007E3D1A" w:rsidRDefault="00871A3A" w:rsidP="00871A3A">
      <w:pPr>
        <w:rPr>
          <w:rFonts w:cs="Arial"/>
          <w:sz w:val="22"/>
        </w:rPr>
      </w:pPr>
      <w:r w:rsidRPr="007E3D1A">
        <w:rPr>
          <w:rFonts w:cs="Arial"/>
          <w:sz w:val="22"/>
        </w:rPr>
        <w:t>Ne pas s'engager dans le harcèlement sexuel, par exemple, en faisant des avances sexuelles importunes, des demandes de faveurs sexuelles, et d'autres comportement physique ou verbal, de nature sexuelle, y compris les actes subtils de tels comportements (par exemple regarder quelqu'un de haut en bas; les baisers, les hurlements ou bruits de claquement; traîner autour de quelqu'un; siffler et chahuter; donner des cadeaux personnels; faire des commentaires sur la vie sexuelle de quelqu'un ; etc.).</w:t>
      </w:r>
    </w:p>
    <w:p w14:paraId="09D3181F" w14:textId="77777777" w:rsidR="00871A3A" w:rsidRPr="007E3D1A" w:rsidRDefault="00871A3A" w:rsidP="00871A3A">
      <w:pPr>
        <w:rPr>
          <w:rFonts w:cs="Arial"/>
          <w:sz w:val="22"/>
        </w:rPr>
      </w:pPr>
      <w:r w:rsidRPr="007E3D1A">
        <w:rPr>
          <w:rFonts w:cs="Arial"/>
          <w:sz w:val="22"/>
        </w:rPr>
        <w:t>Ne pas solliciter des faveurs sexuelles en étant employé par le projet (par exemple, faire des promesses ou un échange de traitement favorable, y compris de l'argent, dépendant d'actes sexuels) ou d'autres formes d'humiliation, de dégradation ou d'exploitation.</w:t>
      </w:r>
    </w:p>
    <w:p w14:paraId="02510308" w14:textId="77777777" w:rsidR="00871A3A" w:rsidRPr="007E3D1A" w:rsidRDefault="00871A3A" w:rsidP="00871A3A">
      <w:pPr>
        <w:rPr>
          <w:rFonts w:cs="Arial"/>
          <w:sz w:val="22"/>
        </w:rPr>
      </w:pPr>
      <w:r w:rsidRPr="007E3D1A">
        <w:rPr>
          <w:rFonts w:cs="Arial"/>
          <w:sz w:val="22"/>
        </w:rPr>
        <w:t>Ne pas participer à une activité sexuelle ou une activité avec des enfants - y compris le toilettage, ou contacter via les médias numériques. La croyance erronée concernant l'âge d'un enfant n'est pas une défense. Le consentement de l'enfant n'est pas non plus une défense ou une excuse.</w:t>
      </w:r>
    </w:p>
    <w:p w14:paraId="78EDEBFF" w14:textId="77777777" w:rsidR="00871A3A" w:rsidRPr="007E3D1A" w:rsidRDefault="00871A3A" w:rsidP="00871A3A">
      <w:pPr>
        <w:rPr>
          <w:rFonts w:cs="Arial"/>
          <w:sz w:val="22"/>
        </w:rPr>
      </w:pPr>
      <w:r w:rsidRPr="007E3D1A">
        <w:rPr>
          <w:rFonts w:cs="Arial"/>
          <w:sz w:val="22"/>
        </w:rPr>
        <w:t>S'engager dans de nouvelles relations avec des filles de moins de 18 ans, y compris épouser une jeune fille de moins de 18 ans.</w:t>
      </w:r>
    </w:p>
    <w:p w14:paraId="5A838847" w14:textId="77777777" w:rsidR="00871A3A" w:rsidRPr="007E3D1A" w:rsidRDefault="00871A3A" w:rsidP="00871A3A">
      <w:pPr>
        <w:rPr>
          <w:rFonts w:cs="Arial"/>
          <w:sz w:val="22"/>
        </w:rPr>
      </w:pPr>
      <w:r w:rsidRPr="007E3D1A">
        <w:rPr>
          <w:rFonts w:cs="Arial"/>
          <w:sz w:val="22"/>
        </w:rPr>
        <w:t>À moins qu'il y ait le plein consentement de toutes les parties concernées, je ne vais pas avoir des interactions avec les membres des Communautés environnantes. Cela inclut les relations impliquant l'abstention ou de promesse d'attribution de prestations (monétaires ou non) aux membres de la communauté en échange de sexe, telles l'activité sexuelle (Invitation de sexe transactionnel par les membres de la communauté en échange d'argent ou d'autres services) est considérée comme "non-consensuelles" et l'exploitation dans le champ d'application du présent code et de l'employé par le projet.</w:t>
      </w:r>
    </w:p>
    <w:p w14:paraId="030FF944" w14:textId="77777777" w:rsidR="00871A3A" w:rsidRPr="007E3D1A" w:rsidRDefault="00871A3A" w:rsidP="00871A3A">
      <w:pPr>
        <w:rPr>
          <w:rFonts w:cs="Arial"/>
          <w:sz w:val="22"/>
        </w:rPr>
      </w:pPr>
      <w:r w:rsidRPr="007E3D1A">
        <w:rPr>
          <w:rFonts w:cs="Arial"/>
          <w:sz w:val="22"/>
        </w:rPr>
        <w:t>Envisager de faire déclaration auprès de la partie en charge de la gestion de plaintes VBG ou à mon responsable toute suspicion ou actes réels de VBG par un autre travailleur ou tout projet d'infractions au présent code de conduite.</w:t>
      </w:r>
    </w:p>
    <w:p w14:paraId="16DA67A5" w14:textId="77777777" w:rsidR="00871A3A" w:rsidRPr="007E3D1A" w:rsidRDefault="00871A3A" w:rsidP="00871A3A">
      <w:pPr>
        <w:rPr>
          <w:rFonts w:cs="Arial"/>
          <w:sz w:val="22"/>
        </w:rPr>
      </w:pPr>
      <w:r w:rsidRPr="007E3D1A">
        <w:rPr>
          <w:rFonts w:cs="Arial"/>
          <w:sz w:val="22"/>
        </w:rPr>
        <w:t>Sanctions</w:t>
      </w:r>
    </w:p>
    <w:p w14:paraId="53C6D26D" w14:textId="77777777" w:rsidR="00871A3A" w:rsidRPr="007E3D1A" w:rsidRDefault="00871A3A" w:rsidP="00871A3A">
      <w:pPr>
        <w:rPr>
          <w:rFonts w:eastAsia="SimSun" w:cs="Arial"/>
          <w:sz w:val="22"/>
        </w:rPr>
      </w:pPr>
      <w:r w:rsidRPr="007E3D1A">
        <w:rPr>
          <w:rFonts w:eastAsia="SimSun" w:cs="Arial"/>
          <w:sz w:val="22"/>
        </w:rPr>
        <w:t>Je comprends que si je viole le présent code de conduite-Annexe III, mon employeur prendra des mesures disciplinaires, conformément aux lois en la matière et au code de travail de la RDC, qui pourraient inclure :</w:t>
      </w:r>
    </w:p>
    <w:p w14:paraId="0D8373E5" w14:textId="77777777" w:rsidR="00871A3A" w:rsidRPr="007E3D1A" w:rsidRDefault="00871A3A" w:rsidP="00871A3A">
      <w:pPr>
        <w:rPr>
          <w:rFonts w:eastAsia="SimSun" w:cs="Arial"/>
          <w:sz w:val="22"/>
        </w:rPr>
      </w:pPr>
    </w:p>
    <w:p w14:paraId="0701D8EF" w14:textId="77777777" w:rsidR="00871A3A" w:rsidRPr="007E3D1A" w:rsidRDefault="00871A3A" w:rsidP="00871A3A">
      <w:pPr>
        <w:rPr>
          <w:rFonts w:eastAsia="SimSun" w:cs="Arial"/>
          <w:sz w:val="22"/>
        </w:rPr>
      </w:pPr>
      <w:r w:rsidRPr="007E3D1A">
        <w:rPr>
          <w:rFonts w:eastAsia="SimSun" w:cs="Arial"/>
          <w:sz w:val="22"/>
        </w:rPr>
        <w:t>Blâme ;</w:t>
      </w:r>
    </w:p>
    <w:p w14:paraId="6CEBF9E6" w14:textId="77777777" w:rsidR="00871A3A" w:rsidRPr="007E3D1A" w:rsidRDefault="00871A3A" w:rsidP="00871A3A">
      <w:pPr>
        <w:rPr>
          <w:rFonts w:eastAsia="SimSun" w:cs="Arial"/>
          <w:sz w:val="22"/>
        </w:rPr>
      </w:pPr>
      <w:r w:rsidRPr="007E3D1A">
        <w:rPr>
          <w:rFonts w:eastAsia="SimSun" w:cs="Arial"/>
          <w:sz w:val="22"/>
        </w:rPr>
        <w:t xml:space="preserve">Réprimande ; </w:t>
      </w:r>
    </w:p>
    <w:p w14:paraId="33DEEBC9" w14:textId="77777777" w:rsidR="00871A3A" w:rsidRPr="007E3D1A" w:rsidRDefault="00871A3A" w:rsidP="00871A3A">
      <w:pPr>
        <w:rPr>
          <w:rFonts w:eastAsia="SimSun" w:cs="Arial"/>
          <w:sz w:val="22"/>
        </w:rPr>
      </w:pPr>
      <w:r w:rsidRPr="007E3D1A">
        <w:rPr>
          <w:rFonts w:eastAsia="SimSun" w:cs="Arial"/>
          <w:sz w:val="22"/>
        </w:rPr>
        <w:t>Mise à pied dans les limites de l’article 57 du Code du travail ;</w:t>
      </w:r>
    </w:p>
    <w:p w14:paraId="0A0841FC" w14:textId="77777777" w:rsidR="00871A3A" w:rsidRPr="007E3D1A" w:rsidRDefault="00871A3A" w:rsidP="00871A3A">
      <w:pPr>
        <w:rPr>
          <w:rFonts w:eastAsia="SimSun" w:cs="Arial"/>
          <w:sz w:val="22"/>
        </w:rPr>
      </w:pPr>
      <w:r w:rsidRPr="007E3D1A">
        <w:rPr>
          <w:rFonts w:eastAsia="SimSun" w:cs="Arial"/>
          <w:sz w:val="22"/>
        </w:rPr>
        <w:t>Licenciement avec préavis ; et</w:t>
      </w:r>
    </w:p>
    <w:p w14:paraId="79D80A5B" w14:textId="77777777" w:rsidR="00871A3A" w:rsidRPr="007E3D1A" w:rsidRDefault="00871A3A" w:rsidP="00871A3A">
      <w:pPr>
        <w:rPr>
          <w:rFonts w:eastAsia="SimSun" w:cs="Arial"/>
          <w:sz w:val="22"/>
        </w:rPr>
      </w:pPr>
      <w:r w:rsidRPr="007E3D1A">
        <w:rPr>
          <w:rFonts w:eastAsia="SimSun" w:cs="Arial"/>
          <w:sz w:val="22"/>
        </w:rPr>
        <w:t>Licenciement sans préavis dans les conditions fixes aux articles 72 et 74 du Code du travail.</w:t>
      </w:r>
    </w:p>
    <w:p w14:paraId="70122C88" w14:textId="77777777" w:rsidR="00871A3A" w:rsidRPr="007E3D1A" w:rsidRDefault="00871A3A" w:rsidP="00871A3A">
      <w:pPr>
        <w:rPr>
          <w:rFonts w:cs="Arial"/>
          <w:sz w:val="22"/>
        </w:rPr>
      </w:pPr>
    </w:p>
    <w:p w14:paraId="044357C5" w14:textId="77777777" w:rsidR="00871A3A" w:rsidRPr="007E3D1A" w:rsidRDefault="00871A3A" w:rsidP="00871A3A">
      <w:pPr>
        <w:rPr>
          <w:rFonts w:eastAsia="Calibri" w:cs="Arial"/>
          <w:sz w:val="22"/>
        </w:rPr>
      </w:pPr>
      <w:r w:rsidRPr="007E3D1A">
        <w:rPr>
          <w:rFonts w:cs="Arial"/>
          <w:sz w:val="22"/>
        </w:rPr>
        <w:t>Je comprends qu'il est de ma responsabilité de veiller à ce que les normes environnementales, sociales, de santé et de sécurité soient respectées. Que j'adhère à l'hygiène et la sécurité au plan de gestion. Que je vais éviter les actions ou les comportements qui pourraient être interprétées comme VBG. Les actions de ce type seront considérées comme une infraction au présent code de conduite- Annexe III. Je reconnais par la présente que j'ai lu/comprends le code de conduite qui précède, et accepte de me conformer aux normes qu'il contient et comprends mes rôles et responsabilités pour prévenir et répondre à l’ESHS, l’OHS, et les questions de VBG. Je comprends que toute action incompatible avec le présent code de conduite, y compris l´Annexe III ou le défaut de prendre des mesures qui y sont prescrites peut entraîner des mesures disciplinaires et peut affecter mon emploi en cours.</w:t>
      </w:r>
      <w:r w:rsidRPr="007E3D1A">
        <w:rPr>
          <w:rFonts w:eastAsia="Calibri" w:cs="Arial"/>
          <w:sz w:val="22"/>
        </w:rPr>
        <w:t xml:space="preserve"> </w:t>
      </w:r>
    </w:p>
    <w:p w14:paraId="268AC582" w14:textId="77777777" w:rsidR="00871A3A" w:rsidRPr="007E3D1A" w:rsidRDefault="00871A3A" w:rsidP="00871A3A">
      <w:pPr>
        <w:rPr>
          <w:rFonts w:eastAsia="Calibri" w:cs="Arial"/>
          <w:sz w:val="22"/>
        </w:rPr>
      </w:pPr>
    </w:p>
    <w:p w14:paraId="34C7D4C2" w14:textId="77777777" w:rsidR="00871A3A" w:rsidRPr="007E3D1A" w:rsidRDefault="00871A3A" w:rsidP="00871A3A">
      <w:pPr>
        <w:rPr>
          <w:rFonts w:cs="Arial"/>
          <w:sz w:val="22"/>
        </w:rPr>
      </w:pPr>
      <w:r w:rsidRPr="007E3D1A">
        <w:rPr>
          <w:rFonts w:cs="Arial"/>
          <w:sz w:val="22"/>
        </w:rPr>
        <w:tab/>
      </w:r>
      <w:r w:rsidRPr="007E3D1A">
        <w:rPr>
          <w:rFonts w:cs="Arial"/>
          <w:sz w:val="22"/>
        </w:rPr>
        <w:tab/>
        <w:t xml:space="preserve">Signature : </w:t>
      </w:r>
      <w:r w:rsidRPr="007E3D1A">
        <w:rPr>
          <w:rFonts w:cs="Arial"/>
          <w:sz w:val="22"/>
        </w:rPr>
        <w:tab/>
        <w:t>_________________________</w:t>
      </w:r>
    </w:p>
    <w:p w14:paraId="7139E9B8" w14:textId="77777777" w:rsidR="00871A3A" w:rsidRPr="007E3D1A" w:rsidRDefault="00871A3A" w:rsidP="00871A3A">
      <w:pPr>
        <w:rPr>
          <w:rFonts w:cs="Arial"/>
          <w:sz w:val="22"/>
        </w:rPr>
      </w:pPr>
      <w:r w:rsidRPr="007E3D1A">
        <w:rPr>
          <w:rFonts w:cs="Arial"/>
          <w:sz w:val="22"/>
        </w:rPr>
        <w:tab/>
      </w:r>
      <w:r w:rsidRPr="007E3D1A">
        <w:rPr>
          <w:rFonts w:cs="Arial"/>
          <w:sz w:val="22"/>
        </w:rPr>
        <w:tab/>
        <w:t>Nom complet :</w:t>
      </w:r>
      <w:r w:rsidRPr="007E3D1A">
        <w:rPr>
          <w:rFonts w:cs="Arial"/>
          <w:sz w:val="22"/>
        </w:rPr>
        <w:tab/>
        <w:t>_________________________</w:t>
      </w:r>
    </w:p>
    <w:p w14:paraId="55C8307A" w14:textId="77777777" w:rsidR="00871A3A" w:rsidRPr="007E3D1A" w:rsidRDefault="00871A3A" w:rsidP="00871A3A">
      <w:pPr>
        <w:rPr>
          <w:rFonts w:cs="Arial"/>
          <w:sz w:val="22"/>
        </w:rPr>
      </w:pPr>
      <w:r w:rsidRPr="007E3D1A">
        <w:rPr>
          <w:rFonts w:cs="Arial"/>
          <w:sz w:val="22"/>
        </w:rPr>
        <w:tab/>
      </w:r>
      <w:r w:rsidRPr="007E3D1A">
        <w:rPr>
          <w:rFonts w:cs="Arial"/>
          <w:sz w:val="22"/>
        </w:rPr>
        <w:tab/>
        <w:t xml:space="preserve">Titre : </w:t>
      </w:r>
      <w:r w:rsidRPr="007E3D1A">
        <w:rPr>
          <w:rFonts w:cs="Arial"/>
          <w:sz w:val="22"/>
        </w:rPr>
        <w:tab/>
      </w:r>
      <w:r w:rsidRPr="007E3D1A">
        <w:rPr>
          <w:rFonts w:cs="Arial"/>
          <w:sz w:val="22"/>
        </w:rPr>
        <w:tab/>
        <w:t>_________________________</w:t>
      </w:r>
    </w:p>
    <w:p w14:paraId="7BF8A33D" w14:textId="77777777" w:rsidR="00871A3A" w:rsidRPr="007E3D1A" w:rsidRDefault="00871A3A" w:rsidP="00871A3A">
      <w:pPr>
        <w:rPr>
          <w:rFonts w:cs="Arial"/>
          <w:sz w:val="22"/>
        </w:rPr>
      </w:pPr>
      <w:r w:rsidRPr="007E3D1A">
        <w:rPr>
          <w:rFonts w:cs="Arial"/>
          <w:sz w:val="22"/>
        </w:rPr>
        <w:tab/>
      </w:r>
      <w:r w:rsidRPr="007E3D1A">
        <w:rPr>
          <w:rFonts w:cs="Arial"/>
          <w:sz w:val="22"/>
        </w:rPr>
        <w:tab/>
        <w:t xml:space="preserve">Date : </w:t>
      </w:r>
      <w:r w:rsidRPr="007E3D1A">
        <w:rPr>
          <w:rFonts w:cs="Arial"/>
          <w:sz w:val="22"/>
        </w:rPr>
        <w:tab/>
      </w:r>
      <w:r w:rsidRPr="007E3D1A">
        <w:rPr>
          <w:rFonts w:cs="Arial"/>
          <w:sz w:val="22"/>
        </w:rPr>
        <w:tab/>
        <w:t>_________________________</w:t>
      </w:r>
    </w:p>
    <w:p w14:paraId="0C9B6315" w14:textId="77777777" w:rsidR="00871A3A" w:rsidRPr="007E3D1A" w:rsidRDefault="00871A3A" w:rsidP="00871A3A">
      <w:pPr>
        <w:rPr>
          <w:rFonts w:eastAsia="Arial Unicode MS" w:cs="Arial"/>
          <w:sz w:val="22"/>
        </w:rPr>
      </w:pPr>
    </w:p>
    <w:p w14:paraId="4034E349" w14:textId="77777777" w:rsidR="00871A3A" w:rsidRPr="007E3D1A" w:rsidRDefault="00871A3A" w:rsidP="00871A3A">
      <w:pPr>
        <w:rPr>
          <w:rFonts w:eastAsia="SimSun" w:cs="Arial"/>
          <w:sz w:val="22"/>
        </w:rPr>
      </w:pPr>
      <w:r w:rsidRPr="007E3D1A">
        <w:rPr>
          <w:rFonts w:eastAsia="SimSun" w:cs="Arial"/>
          <w:sz w:val="22"/>
        </w:rPr>
        <w:t>Fait à ___________ le __/__/2021</w:t>
      </w:r>
    </w:p>
    <w:p w14:paraId="48004C5F" w14:textId="77777777" w:rsidR="00871A3A" w:rsidRPr="007E3D1A" w:rsidRDefault="00871A3A" w:rsidP="00871A3A">
      <w:pPr>
        <w:rPr>
          <w:rFonts w:eastAsia="SimSun" w:cs="Arial"/>
          <w:sz w:val="22"/>
        </w:rPr>
      </w:pPr>
      <w:r w:rsidRPr="007E3D1A">
        <w:rPr>
          <w:rFonts w:eastAsia="SimSun" w:cs="Arial"/>
          <w:sz w:val="22"/>
        </w:rPr>
        <w:t>Pour la Direction de l’entreprise</w:t>
      </w:r>
    </w:p>
    <w:p w14:paraId="4E7EC515" w14:textId="77777777" w:rsidR="00871A3A" w:rsidRPr="007E3D1A" w:rsidRDefault="00871A3A" w:rsidP="00871A3A">
      <w:pPr>
        <w:rPr>
          <w:rFonts w:eastAsia="SimSun" w:cs="Arial"/>
          <w:sz w:val="22"/>
        </w:rPr>
      </w:pPr>
      <w:r w:rsidRPr="007E3D1A">
        <w:rPr>
          <w:rFonts w:eastAsia="SimSun" w:cs="Arial"/>
          <w:sz w:val="22"/>
        </w:rPr>
        <w:br w:type="page"/>
      </w:r>
    </w:p>
    <w:p w14:paraId="705B9808" w14:textId="77777777" w:rsidR="00871A3A" w:rsidRPr="00372F9C" w:rsidRDefault="00871A3A" w:rsidP="00372F9C">
      <w:pPr>
        <w:ind w:left="1418" w:hanging="1418"/>
        <w:rPr>
          <w:rFonts w:cs="Arial"/>
          <w:b/>
          <w:bCs/>
          <w:sz w:val="22"/>
        </w:rPr>
      </w:pPr>
      <w:r w:rsidRPr="00372F9C">
        <w:rPr>
          <w:rFonts w:cs="Arial"/>
          <w:b/>
          <w:bCs/>
          <w:sz w:val="22"/>
        </w:rPr>
        <w:t>ANNEXE 12. FICHE D’ENREGISTREMENT DES PLAINTES GLOBALES DU PROJET</w:t>
      </w:r>
    </w:p>
    <w:p w14:paraId="04E47035" w14:textId="77777777" w:rsidR="00871A3A" w:rsidRPr="007E3D1A" w:rsidRDefault="00871A3A" w:rsidP="00871A3A">
      <w:pPr>
        <w:rPr>
          <w:rFonts w:eastAsia="Arial" w:cs="Arial"/>
          <w:sz w:val="22"/>
        </w:rPr>
      </w:pPr>
    </w:p>
    <w:p w14:paraId="4AB15A20" w14:textId="77777777" w:rsidR="00871A3A" w:rsidRPr="007E3D1A" w:rsidRDefault="00871A3A" w:rsidP="00871A3A">
      <w:pPr>
        <w:rPr>
          <w:rFonts w:eastAsia="Arial" w:cs="Arial"/>
          <w:sz w:val="22"/>
        </w:rPr>
      </w:pPr>
      <w:r w:rsidRPr="007E3D1A">
        <w:rPr>
          <w:rFonts w:eastAsia="Arial" w:cs="Arial"/>
          <w:sz w:val="22"/>
        </w:rPr>
        <w:t>Projet PNDA</w:t>
      </w:r>
    </w:p>
    <w:p w14:paraId="10DB524C" w14:textId="77777777" w:rsidR="00871A3A" w:rsidRPr="007E3D1A" w:rsidRDefault="00871A3A" w:rsidP="00871A3A">
      <w:pPr>
        <w:rPr>
          <w:rFonts w:eastAsia="Arial" w:cs="Arial"/>
          <w:sz w:val="22"/>
        </w:rPr>
      </w:pPr>
    </w:p>
    <w:p w14:paraId="48F0EAD3" w14:textId="77777777" w:rsidR="00871A3A" w:rsidRPr="007E3D1A" w:rsidRDefault="00871A3A" w:rsidP="00871A3A">
      <w:pPr>
        <w:rPr>
          <w:rFonts w:eastAsia="Arial" w:cs="Arial"/>
          <w:sz w:val="22"/>
        </w:rPr>
      </w:pPr>
      <w:r w:rsidRPr="007E3D1A">
        <w:rPr>
          <w:rFonts w:eastAsia="Arial" w:cs="Arial"/>
          <w:sz w:val="22"/>
        </w:rPr>
        <w:t>1. Informations sur le sous-projet en exécution (à compléter par le CGP)</w:t>
      </w:r>
    </w:p>
    <w:p w14:paraId="5D6D89DA" w14:textId="77777777" w:rsidR="00871A3A" w:rsidRPr="007E3D1A" w:rsidRDefault="00871A3A" w:rsidP="00871A3A">
      <w:pPr>
        <w:rPr>
          <w:rFonts w:eastAsia="Arial" w:cs="Arial"/>
          <w:sz w:val="22"/>
        </w:rPr>
      </w:pPr>
    </w:p>
    <w:p w14:paraId="4E4E4AEF" w14:textId="77777777" w:rsidR="00871A3A" w:rsidRPr="007E3D1A" w:rsidRDefault="00871A3A" w:rsidP="00871A3A">
      <w:pPr>
        <w:rPr>
          <w:rFonts w:eastAsia="Arial" w:cs="Arial"/>
          <w:sz w:val="22"/>
        </w:rPr>
      </w:pPr>
      <w:r w:rsidRPr="007E3D1A">
        <w:rPr>
          <w:rFonts w:eastAsia="Arial" w:cs="Arial"/>
          <w:sz w:val="22"/>
        </w:rPr>
        <w:t>Date : Le………………../…………/……………………………………….………….</w:t>
      </w:r>
    </w:p>
    <w:p w14:paraId="2C9D8B64" w14:textId="77777777" w:rsidR="00871A3A" w:rsidRPr="007E3D1A" w:rsidRDefault="00871A3A" w:rsidP="00871A3A">
      <w:pPr>
        <w:rPr>
          <w:rFonts w:eastAsia="Arial" w:cs="Arial"/>
          <w:sz w:val="22"/>
        </w:rPr>
      </w:pPr>
    </w:p>
    <w:p w14:paraId="32F949A1" w14:textId="77777777" w:rsidR="00871A3A" w:rsidRPr="007E3D1A" w:rsidRDefault="00871A3A" w:rsidP="00871A3A">
      <w:pPr>
        <w:rPr>
          <w:rFonts w:eastAsia="Arial" w:cs="Arial"/>
          <w:sz w:val="22"/>
        </w:rPr>
      </w:pPr>
      <w:r w:rsidRPr="007E3D1A">
        <w:rPr>
          <w:rFonts w:eastAsia="Arial" w:cs="Arial"/>
          <w:sz w:val="22"/>
        </w:rPr>
        <w:t>Sous-projet ou activité : ………………………………………………………………</w:t>
      </w:r>
    </w:p>
    <w:p w14:paraId="208A7836" w14:textId="77777777" w:rsidR="00871A3A" w:rsidRPr="007E3D1A" w:rsidRDefault="00871A3A" w:rsidP="00871A3A">
      <w:pPr>
        <w:rPr>
          <w:rFonts w:eastAsia="Arial" w:cs="Arial"/>
          <w:sz w:val="22"/>
        </w:rPr>
      </w:pPr>
    </w:p>
    <w:p w14:paraId="7B327778" w14:textId="77777777" w:rsidR="00871A3A" w:rsidRPr="007E3D1A" w:rsidRDefault="00871A3A" w:rsidP="00871A3A">
      <w:pPr>
        <w:rPr>
          <w:rFonts w:eastAsia="Arial" w:cs="Arial"/>
          <w:sz w:val="22"/>
        </w:rPr>
      </w:pPr>
      <w:r w:rsidRPr="007E3D1A">
        <w:rPr>
          <w:rFonts w:eastAsia="Arial" w:cs="Arial"/>
          <w:sz w:val="22"/>
        </w:rPr>
        <w:t>UPEP PNDA : ………………………………………………………………………</w:t>
      </w:r>
    </w:p>
    <w:p w14:paraId="5A1E3E36" w14:textId="77777777" w:rsidR="00871A3A" w:rsidRPr="007E3D1A" w:rsidRDefault="00871A3A" w:rsidP="00871A3A">
      <w:pPr>
        <w:rPr>
          <w:rFonts w:eastAsia="Arial" w:cs="Arial"/>
          <w:sz w:val="22"/>
        </w:rPr>
      </w:pPr>
    </w:p>
    <w:p w14:paraId="55459520" w14:textId="77777777" w:rsidR="00871A3A" w:rsidRPr="007E3D1A" w:rsidRDefault="00871A3A" w:rsidP="00871A3A">
      <w:pPr>
        <w:rPr>
          <w:rFonts w:eastAsia="Arial" w:cs="Arial"/>
          <w:sz w:val="22"/>
        </w:rPr>
      </w:pPr>
      <w:r w:rsidRPr="007E3D1A">
        <w:rPr>
          <w:rFonts w:eastAsia="Arial" w:cs="Arial"/>
          <w:sz w:val="22"/>
        </w:rPr>
        <w:t>Ville/Village :…………………………………………………………………………...</w:t>
      </w:r>
    </w:p>
    <w:p w14:paraId="6976E1F6" w14:textId="77777777" w:rsidR="00871A3A" w:rsidRPr="007E3D1A" w:rsidRDefault="00871A3A" w:rsidP="00871A3A">
      <w:pPr>
        <w:rPr>
          <w:rFonts w:eastAsia="Arial" w:cs="Arial"/>
          <w:sz w:val="22"/>
        </w:rPr>
      </w:pPr>
    </w:p>
    <w:p w14:paraId="10C78571" w14:textId="77777777" w:rsidR="00871A3A" w:rsidRPr="007E3D1A" w:rsidRDefault="00871A3A" w:rsidP="00871A3A">
      <w:pPr>
        <w:rPr>
          <w:rFonts w:eastAsia="Arial" w:cs="Arial"/>
          <w:sz w:val="22"/>
        </w:rPr>
      </w:pPr>
      <w:r w:rsidRPr="007E3D1A">
        <w:rPr>
          <w:rFonts w:eastAsia="Arial" w:cs="Arial"/>
          <w:sz w:val="22"/>
        </w:rPr>
        <w:t>Territoire/Commune/Mairie de : ………………………………………………….....</w:t>
      </w:r>
    </w:p>
    <w:p w14:paraId="5157092E" w14:textId="77777777" w:rsidR="00871A3A" w:rsidRPr="007E3D1A" w:rsidRDefault="00871A3A" w:rsidP="00871A3A">
      <w:pPr>
        <w:rPr>
          <w:rFonts w:eastAsia="Arial" w:cs="Arial"/>
          <w:sz w:val="22"/>
        </w:rPr>
      </w:pPr>
    </w:p>
    <w:p w14:paraId="13080E58" w14:textId="77777777" w:rsidR="00871A3A" w:rsidRPr="007E3D1A" w:rsidRDefault="00871A3A" w:rsidP="00871A3A">
      <w:pPr>
        <w:rPr>
          <w:rFonts w:eastAsia="Arial" w:cs="Arial"/>
          <w:sz w:val="22"/>
        </w:rPr>
      </w:pPr>
      <w:r w:rsidRPr="007E3D1A">
        <w:rPr>
          <w:rFonts w:eastAsia="Arial" w:cs="Arial"/>
          <w:sz w:val="22"/>
        </w:rPr>
        <w:t>Comité local de développement :…………………………………………………….</w:t>
      </w:r>
    </w:p>
    <w:p w14:paraId="371AF746" w14:textId="77777777" w:rsidR="00871A3A" w:rsidRPr="007E3D1A" w:rsidRDefault="00871A3A" w:rsidP="00871A3A">
      <w:pPr>
        <w:rPr>
          <w:rFonts w:eastAsia="Arial" w:cs="Arial"/>
          <w:sz w:val="22"/>
        </w:rPr>
      </w:pPr>
    </w:p>
    <w:p w14:paraId="208CFFD7" w14:textId="77777777" w:rsidR="00871A3A" w:rsidRPr="007E3D1A" w:rsidRDefault="00871A3A" w:rsidP="00871A3A">
      <w:pPr>
        <w:rPr>
          <w:rFonts w:eastAsia="Arial" w:cs="Arial"/>
          <w:sz w:val="22"/>
        </w:rPr>
      </w:pPr>
      <w:r w:rsidRPr="007E3D1A">
        <w:rPr>
          <w:rFonts w:eastAsia="Arial" w:cs="Arial"/>
          <w:sz w:val="22"/>
        </w:rPr>
        <w:t>Dossier N° :……………………………………………………………………………..</w:t>
      </w:r>
    </w:p>
    <w:p w14:paraId="5C3F928D" w14:textId="77777777" w:rsidR="00871A3A" w:rsidRPr="007E3D1A" w:rsidRDefault="00871A3A" w:rsidP="00871A3A">
      <w:pPr>
        <w:rPr>
          <w:rFonts w:eastAsia="Arial" w:cs="Arial"/>
          <w:sz w:val="22"/>
        </w:rPr>
      </w:pPr>
    </w:p>
    <w:p w14:paraId="0DE614F3" w14:textId="77777777" w:rsidR="00871A3A" w:rsidRPr="007E3D1A" w:rsidRDefault="00871A3A" w:rsidP="00871A3A">
      <w:pPr>
        <w:rPr>
          <w:rFonts w:eastAsia="Arial" w:cs="Arial"/>
          <w:sz w:val="22"/>
        </w:rPr>
      </w:pPr>
      <w:r w:rsidRPr="007E3D1A">
        <w:rPr>
          <w:rFonts w:eastAsia="Arial" w:cs="Arial"/>
          <w:sz w:val="22"/>
        </w:rPr>
        <w:t>2. Informations relatives à la plainte</w:t>
      </w:r>
    </w:p>
    <w:p w14:paraId="4EBE6D11" w14:textId="77777777" w:rsidR="00871A3A" w:rsidRPr="007E3D1A" w:rsidRDefault="00871A3A" w:rsidP="00871A3A">
      <w:pPr>
        <w:rPr>
          <w:rFonts w:eastAsia="Arial" w:cs="Arial"/>
          <w:sz w:val="22"/>
        </w:rPr>
      </w:pPr>
      <w:r w:rsidRPr="007E3D1A">
        <w:rPr>
          <w:rFonts w:eastAsia="Arial" w:cs="Arial"/>
          <w:sz w:val="22"/>
        </w:rPr>
        <w:t>Nom du plaignant :……………………………………………………………………..</w:t>
      </w:r>
    </w:p>
    <w:p w14:paraId="7A6B0741" w14:textId="77777777" w:rsidR="00871A3A" w:rsidRPr="007E3D1A" w:rsidRDefault="00871A3A" w:rsidP="00871A3A">
      <w:pPr>
        <w:rPr>
          <w:rFonts w:eastAsia="Arial" w:cs="Arial"/>
          <w:sz w:val="22"/>
        </w:rPr>
      </w:pPr>
    </w:p>
    <w:p w14:paraId="77023FE5" w14:textId="77777777" w:rsidR="00871A3A" w:rsidRPr="007E3D1A" w:rsidRDefault="00871A3A" w:rsidP="00871A3A">
      <w:pPr>
        <w:rPr>
          <w:rFonts w:eastAsia="Arial" w:cs="Arial"/>
          <w:sz w:val="22"/>
        </w:rPr>
      </w:pPr>
      <w:r w:rsidRPr="007E3D1A">
        <w:rPr>
          <w:rFonts w:eastAsia="Arial" w:cs="Arial"/>
          <w:sz w:val="22"/>
        </w:rPr>
        <w:t>Adresse :…………………………………………………………………………………</w:t>
      </w:r>
    </w:p>
    <w:p w14:paraId="2C5A3AFD" w14:textId="77777777" w:rsidR="00871A3A" w:rsidRPr="007E3D1A" w:rsidRDefault="00871A3A" w:rsidP="00871A3A">
      <w:pPr>
        <w:rPr>
          <w:rFonts w:eastAsia="Arial" w:cs="Arial"/>
          <w:sz w:val="22"/>
        </w:rPr>
      </w:pPr>
    </w:p>
    <w:p w14:paraId="1C95CD0F" w14:textId="77777777" w:rsidR="00871A3A" w:rsidRPr="007E3D1A" w:rsidRDefault="00871A3A" w:rsidP="00871A3A">
      <w:pPr>
        <w:rPr>
          <w:rFonts w:eastAsia="Arial" w:cs="Arial"/>
          <w:sz w:val="22"/>
        </w:rPr>
      </w:pPr>
      <w:r w:rsidRPr="007E3D1A">
        <w:rPr>
          <w:rFonts w:eastAsia="Arial" w:cs="Arial"/>
          <w:sz w:val="22"/>
        </w:rPr>
        <w:t>Province/Commune/Mairie/Territoire/Quartier :…………………………………………………</w:t>
      </w:r>
    </w:p>
    <w:p w14:paraId="39E8876D" w14:textId="77777777" w:rsidR="00871A3A" w:rsidRPr="007E3D1A" w:rsidRDefault="00871A3A" w:rsidP="00871A3A">
      <w:pPr>
        <w:rPr>
          <w:rFonts w:eastAsia="Arial" w:cs="Arial"/>
          <w:sz w:val="22"/>
        </w:rPr>
      </w:pPr>
    </w:p>
    <w:p w14:paraId="28A0254F" w14:textId="77777777" w:rsidR="00871A3A" w:rsidRPr="007E3D1A" w:rsidRDefault="00871A3A" w:rsidP="00871A3A">
      <w:pPr>
        <w:rPr>
          <w:rFonts w:eastAsia="Arial" w:cs="Arial"/>
          <w:sz w:val="22"/>
        </w:rPr>
      </w:pPr>
      <w:r w:rsidRPr="007E3D1A">
        <w:rPr>
          <w:rFonts w:eastAsia="Arial" w:cs="Arial"/>
          <w:sz w:val="22"/>
        </w:rPr>
        <w:t>Bien affecté (Culture, Terrain et/ou Immeuble, etc.) :……………………………….</w:t>
      </w:r>
    </w:p>
    <w:p w14:paraId="22C410D5" w14:textId="77777777" w:rsidR="00871A3A" w:rsidRPr="007E3D1A" w:rsidRDefault="00871A3A" w:rsidP="00871A3A">
      <w:pPr>
        <w:rPr>
          <w:rFonts w:eastAsia="Arial" w:cs="Arial"/>
          <w:sz w:val="22"/>
        </w:rPr>
      </w:pPr>
    </w:p>
    <w:p w14:paraId="56C679A5" w14:textId="77777777" w:rsidR="00871A3A" w:rsidRPr="007E3D1A" w:rsidRDefault="00871A3A" w:rsidP="00871A3A">
      <w:pPr>
        <w:rPr>
          <w:rFonts w:eastAsia="Arial" w:cs="Arial"/>
          <w:sz w:val="22"/>
        </w:rPr>
      </w:pPr>
      <w:r w:rsidRPr="007E3D1A">
        <w:rPr>
          <w:rFonts w:eastAsia="Arial" w:cs="Arial"/>
          <w:sz w:val="22"/>
        </w:rPr>
        <w:t>3. Description de la plainte</w:t>
      </w:r>
    </w:p>
    <w:p w14:paraId="1735869C" w14:textId="77777777" w:rsidR="00871A3A" w:rsidRPr="007E3D1A" w:rsidRDefault="00871A3A" w:rsidP="00871A3A">
      <w:pPr>
        <w:rPr>
          <w:rFonts w:eastAsia="Arial" w:cs="Arial"/>
          <w:sz w:val="22"/>
        </w:rPr>
      </w:pPr>
      <w:r w:rsidRPr="007E3D1A">
        <w:rPr>
          <w:rFonts w:eastAsia="Arial" w:cs="Arial"/>
          <w:sz w:val="22"/>
        </w:rPr>
        <w:t>………………………………………………………………………………………………….</w:t>
      </w:r>
    </w:p>
    <w:p w14:paraId="7B79D613" w14:textId="77777777" w:rsidR="00871A3A" w:rsidRPr="007E3D1A" w:rsidRDefault="00871A3A" w:rsidP="00871A3A">
      <w:pPr>
        <w:rPr>
          <w:rFonts w:eastAsia="Arial" w:cs="Arial"/>
          <w:sz w:val="22"/>
        </w:rPr>
      </w:pPr>
      <w:r w:rsidRPr="007E3D1A">
        <w:rPr>
          <w:rFonts w:eastAsia="Arial" w:cs="Arial"/>
          <w:sz w:val="22"/>
        </w:rPr>
        <w:t>……………………………………………………………………………………………………………………………………………………………………………………………………..</w:t>
      </w:r>
    </w:p>
    <w:p w14:paraId="0C169B14" w14:textId="77777777" w:rsidR="00871A3A" w:rsidRPr="007E3D1A" w:rsidRDefault="00871A3A" w:rsidP="00871A3A">
      <w:pPr>
        <w:rPr>
          <w:rFonts w:eastAsia="Arial" w:cs="Arial"/>
          <w:sz w:val="22"/>
        </w:rPr>
      </w:pPr>
    </w:p>
    <w:p w14:paraId="5A4811A0" w14:textId="77777777" w:rsidR="00871A3A" w:rsidRPr="007E3D1A" w:rsidRDefault="00871A3A" w:rsidP="00871A3A">
      <w:pPr>
        <w:rPr>
          <w:rFonts w:eastAsia="Arial" w:cs="Arial"/>
          <w:sz w:val="22"/>
        </w:rPr>
      </w:pPr>
      <w:r w:rsidRPr="007E3D1A">
        <w:rPr>
          <w:rFonts w:eastAsia="Arial" w:cs="Arial"/>
          <w:sz w:val="22"/>
        </w:rPr>
        <w:t>Fait à………………………………., Le…………./…………../………………………</w:t>
      </w:r>
    </w:p>
    <w:p w14:paraId="19D90C48" w14:textId="77777777" w:rsidR="00871A3A" w:rsidRPr="007E3D1A" w:rsidRDefault="00871A3A" w:rsidP="00871A3A">
      <w:pPr>
        <w:rPr>
          <w:rFonts w:eastAsia="Arial" w:cs="Arial"/>
          <w:sz w:val="22"/>
        </w:rPr>
      </w:pPr>
      <w:r w:rsidRPr="007E3D1A">
        <w:rPr>
          <w:rFonts w:eastAsia="Arial" w:cs="Arial"/>
          <w:sz w:val="22"/>
        </w:rPr>
        <w:t>……………………………………………………….</w:t>
      </w:r>
    </w:p>
    <w:p w14:paraId="36B8E1E0" w14:textId="77777777" w:rsidR="00871A3A" w:rsidRPr="007E3D1A" w:rsidRDefault="00871A3A" w:rsidP="00871A3A">
      <w:pPr>
        <w:rPr>
          <w:rFonts w:eastAsia="Arial" w:cs="Arial"/>
          <w:sz w:val="22"/>
        </w:rPr>
      </w:pPr>
    </w:p>
    <w:p w14:paraId="6DBE1F4C" w14:textId="77777777" w:rsidR="00871A3A" w:rsidRPr="007E3D1A" w:rsidRDefault="00871A3A" w:rsidP="00871A3A">
      <w:pPr>
        <w:rPr>
          <w:rFonts w:eastAsia="Arial" w:cs="Arial"/>
          <w:sz w:val="22"/>
        </w:rPr>
      </w:pPr>
      <w:r w:rsidRPr="007E3D1A">
        <w:rPr>
          <w:rFonts w:eastAsia="Arial" w:cs="Arial"/>
          <w:sz w:val="22"/>
        </w:rPr>
        <w:t>Signature du/de la plaignant(e)</w:t>
      </w:r>
    </w:p>
    <w:p w14:paraId="31C3870B" w14:textId="77777777" w:rsidR="00871A3A" w:rsidRPr="007E3D1A" w:rsidRDefault="00871A3A" w:rsidP="00871A3A">
      <w:pPr>
        <w:rPr>
          <w:rFonts w:eastAsia="Arial" w:cs="Arial"/>
          <w:sz w:val="22"/>
        </w:rPr>
      </w:pPr>
      <w:r w:rsidRPr="007E3D1A">
        <w:rPr>
          <w:rFonts w:eastAsia="Arial" w:cs="Arial"/>
          <w:sz w:val="22"/>
        </w:rPr>
        <w:t>…………………………………………………………………………………………………..</w:t>
      </w:r>
    </w:p>
    <w:p w14:paraId="35208225" w14:textId="77777777" w:rsidR="00871A3A" w:rsidRPr="007E3D1A" w:rsidRDefault="00871A3A" w:rsidP="00871A3A">
      <w:pPr>
        <w:rPr>
          <w:rFonts w:eastAsia="Arial" w:cs="Arial"/>
          <w:sz w:val="22"/>
        </w:rPr>
      </w:pPr>
    </w:p>
    <w:p w14:paraId="3B2D946B" w14:textId="77777777" w:rsidR="00871A3A" w:rsidRPr="007E3D1A" w:rsidRDefault="00871A3A" w:rsidP="00871A3A">
      <w:pPr>
        <w:rPr>
          <w:rFonts w:eastAsia="Arial" w:cs="Arial"/>
          <w:sz w:val="22"/>
        </w:rPr>
      </w:pPr>
      <w:r w:rsidRPr="007E3D1A">
        <w:rPr>
          <w:rFonts w:eastAsia="Arial" w:cs="Arial"/>
          <w:sz w:val="22"/>
        </w:rPr>
        <w:t>4. Observations du CGP sur la plainte</w:t>
      </w:r>
    </w:p>
    <w:p w14:paraId="5EA39194" w14:textId="77777777" w:rsidR="00871A3A" w:rsidRPr="007E3D1A" w:rsidRDefault="00871A3A" w:rsidP="00871A3A">
      <w:pPr>
        <w:rPr>
          <w:rFonts w:eastAsia="Arial" w:cs="Arial"/>
          <w:sz w:val="22"/>
        </w:rPr>
      </w:pPr>
      <w:r w:rsidRPr="007E3D1A">
        <w:rPr>
          <w:rFonts w:eastAsia="Arial" w:cs="Arial"/>
          <w:sz w:val="22"/>
        </w:rPr>
        <w:t>………………………………………………………………………………………………….</w:t>
      </w:r>
    </w:p>
    <w:p w14:paraId="4414CA42" w14:textId="77777777" w:rsidR="00871A3A" w:rsidRPr="007E3D1A" w:rsidRDefault="00871A3A" w:rsidP="00871A3A">
      <w:pPr>
        <w:rPr>
          <w:rFonts w:eastAsia="Arial" w:cs="Arial"/>
          <w:sz w:val="22"/>
        </w:rPr>
      </w:pPr>
      <w:r w:rsidRPr="007E3D1A">
        <w:rPr>
          <w:rFonts w:eastAsia="Arial" w:cs="Arial"/>
          <w:sz w:val="22"/>
        </w:rPr>
        <w:t>…………………………………………………………………………………………………..</w:t>
      </w:r>
    </w:p>
    <w:p w14:paraId="6CA02A9A" w14:textId="77777777" w:rsidR="00871A3A" w:rsidRPr="007E3D1A" w:rsidRDefault="00871A3A" w:rsidP="00871A3A">
      <w:pPr>
        <w:rPr>
          <w:rFonts w:eastAsia="Arial" w:cs="Arial"/>
          <w:sz w:val="22"/>
        </w:rPr>
      </w:pPr>
      <w:r w:rsidRPr="007E3D1A">
        <w:rPr>
          <w:rFonts w:eastAsia="Arial" w:cs="Arial"/>
          <w:sz w:val="22"/>
        </w:rPr>
        <w:t>…………………………………………………………………………………………………..</w:t>
      </w:r>
    </w:p>
    <w:p w14:paraId="578F53F9" w14:textId="77777777" w:rsidR="00871A3A" w:rsidRPr="007E3D1A" w:rsidRDefault="00871A3A" w:rsidP="00871A3A">
      <w:pPr>
        <w:rPr>
          <w:rFonts w:eastAsia="Arial" w:cs="Arial"/>
          <w:sz w:val="22"/>
        </w:rPr>
      </w:pPr>
      <w:r w:rsidRPr="007E3D1A">
        <w:rPr>
          <w:rFonts w:eastAsia="Arial" w:cs="Arial"/>
          <w:sz w:val="22"/>
        </w:rPr>
        <w:t>Fait à…......................................, le……………../……………./………………………</w:t>
      </w:r>
    </w:p>
    <w:p w14:paraId="30956561" w14:textId="77777777" w:rsidR="00871A3A" w:rsidRPr="007E3D1A" w:rsidRDefault="00871A3A" w:rsidP="00871A3A">
      <w:pPr>
        <w:rPr>
          <w:rFonts w:eastAsia="Arial" w:cs="Arial"/>
          <w:sz w:val="22"/>
        </w:rPr>
      </w:pPr>
    </w:p>
    <w:p w14:paraId="6E5EFF9F" w14:textId="77777777" w:rsidR="00871A3A" w:rsidRPr="007E3D1A" w:rsidRDefault="00871A3A" w:rsidP="00871A3A">
      <w:pPr>
        <w:rPr>
          <w:rFonts w:eastAsia="Arial" w:cs="Arial"/>
          <w:sz w:val="22"/>
        </w:rPr>
      </w:pPr>
      <w:r w:rsidRPr="007E3D1A">
        <w:rPr>
          <w:rFonts w:eastAsia="Arial" w:cs="Arial"/>
          <w:sz w:val="22"/>
        </w:rPr>
        <w:t>…………………………………………………………………………………………………..</w:t>
      </w:r>
    </w:p>
    <w:p w14:paraId="4D81583E" w14:textId="77777777" w:rsidR="00871A3A" w:rsidRPr="007E3D1A" w:rsidRDefault="00871A3A" w:rsidP="00871A3A">
      <w:pPr>
        <w:rPr>
          <w:rFonts w:eastAsia="Arial" w:cs="Arial"/>
          <w:sz w:val="22"/>
        </w:rPr>
      </w:pPr>
      <w:r w:rsidRPr="007E3D1A">
        <w:rPr>
          <w:rFonts w:eastAsia="Arial" w:cs="Arial"/>
          <w:sz w:val="22"/>
        </w:rPr>
        <w:t>(Signature du représentant du comité)</w:t>
      </w:r>
    </w:p>
    <w:p w14:paraId="7623287F" w14:textId="77777777" w:rsidR="00871A3A" w:rsidRPr="007E3D1A" w:rsidRDefault="00871A3A" w:rsidP="00871A3A">
      <w:pPr>
        <w:rPr>
          <w:rFonts w:eastAsia="Arial" w:cs="Arial"/>
          <w:sz w:val="22"/>
        </w:rPr>
      </w:pPr>
    </w:p>
    <w:p w14:paraId="3DD59882" w14:textId="77777777" w:rsidR="00871A3A" w:rsidRPr="007E3D1A" w:rsidRDefault="00871A3A" w:rsidP="00871A3A">
      <w:pPr>
        <w:rPr>
          <w:rFonts w:eastAsia="Arial" w:cs="Arial"/>
          <w:sz w:val="22"/>
        </w:rPr>
      </w:pPr>
      <w:r w:rsidRPr="007E3D1A">
        <w:rPr>
          <w:rFonts w:eastAsia="Arial" w:cs="Arial"/>
          <w:sz w:val="22"/>
        </w:rPr>
        <w:t>5. Réponse du/de la plaignant(e) sur les observations du CGP</w:t>
      </w:r>
    </w:p>
    <w:p w14:paraId="46487D2E" w14:textId="77777777" w:rsidR="00871A3A" w:rsidRPr="007E3D1A" w:rsidRDefault="00871A3A" w:rsidP="00871A3A">
      <w:pPr>
        <w:rPr>
          <w:rFonts w:eastAsia="Arial" w:cs="Arial"/>
          <w:sz w:val="22"/>
        </w:rPr>
      </w:pPr>
      <w:r w:rsidRPr="007E3D1A">
        <w:rPr>
          <w:rFonts w:eastAsia="Arial" w:cs="Arial"/>
          <w:sz w:val="22"/>
        </w:rPr>
        <w:t>………………………………………………………………………………………………….</w:t>
      </w:r>
    </w:p>
    <w:p w14:paraId="65F73243" w14:textId="77777777" w:rsidR="00871A3A" w:rsidRPr="007E3D1A" w:rsidRDefault="00871A3A" w:rsidP="00871A3A">
      <w:pPr>
        <w:rPr>
          <w:rFonts w:eastAsia="Arial" w:cs="Arial"/>
          <w:sz w:val="22"/>
        </w:rPr>
      </w:pPr>
      <w:r w:rsidRPr="007E3D1A">
        <w:rPr>
          <w:rFonts w:eastAsia="Arial" w:cs="Arial"/>
          <w:sz w:val="22"/>
        </w:rPr>
        <w:t>………………………………………………………………………………………………….</w:t>
      </w:r>
    </w:p>
    <w:p w14:paraId="57502B66" w14:textId="77777777" w:rsidR="00871A3A" w:rsidRPr="007E3D1A" w:rsidRDefault="00871A3A" w:rsidP="00871A3A">
      <w:pPr>
        <w:rPr>
          <w:rFonts w:eastAsia="Arial" w:cs="Arial"/>
          <w:sz w:val="22"/>
        </w:rPr>
      </w:pPr>
      <w:r w:rsidRPr="007E3D1A">
        <w:rPr>
          <w:rFonts w:eastAsia="Arial" w:cs="Arial"/>
          <w:sz w:val="22"/>
        </w:rPr>
        <w:t>…………………………………………………………………………………………………..</w:t>
      </w:r>
    </w:p>
    <w:p w14:paraId="399DD9F2" w14:textId="77777777" w:rsidR="00871A3A" w:rsidRPr="007E3D1A" w:rsidRDefault="00871A3A" w:rsidP="00871A3A">
      <w:pPr>
        <w:rPr>
          <w:rFonts w:eastAsia="Arial" w:cs="Arial"/>
          <w:sz w:val="22"/>
        </w:rPr>
      </w:pPr>
    </w:p>
    <w:p w14:paraId="77BEF659" w14:textId="77777777" w:rsidR="00871A3A" w:rsidRPr="007E3D1A" w:rsidRDefault="00871A3A" w:rsidP="00871A3A">
      <w:pPr>
        <w:rPr>
          <w:rFonts w:eastAsia="Arial" w:cs="Arial"/>
          <w:sz w:val="22"/>
        </w:rPr>
      </w:pPr>
      <w:r w:rsidRPr="007E3D1A">
        <w:rPr>
          <w:rFonts w:eastAsia="Arial" w:cs="Arial"/>
          <w:sz w:val="22"/>
        </w:rPr>
        <w:t>Fait à : ……………………………….., le………./………../………………………………...</w:t>
      </w:r>
    </w:p>
    <w:p w14:paraId="73FDA193" w14:textId="77777777" w:rsidR="00871A3A" w:rsidRPr="007E3D1A" w:rsidRDefault="00871A3A" w:rsidP="00871A3A">
      <w:pPr>
        <w:rPr>
          <w:rFonts w:eastAsia="Arial" w:cs="Arial"/>
          <w:sz w:val="22"/>
        </w:rPr>
      </w:pPr>
    </w:p>
    <w:p w14:paraId="642C7E4F" w14:textId="77777777" w:rsidR="00871A3A" w:rsidRPr="007E3D1A" w:rsidRDefault="00871A3A" w:rsidP="00871A3A">
      <w:pPr>
        <w:rPr>
          <w:rFonts w:eastAsia="Arial" w:cs="Arial"/>
          <w:sz w:val="22"/>
        </w:rPr>
      </w:pPr>
      <w:r w:rsidRPr="007E3D1A">
        <w:rPr>
          <w:rFonts w:eastAsia="Arial" w:cs="Arial"/>
          <w:sz w:val="22"/>
        </w:rPr>
        <w:t>…………………………………………………………………………………………………..</w:t>
      </w:r>
    </w:p>
    <w:p w14:paraId="19F68AEC" w14:textId="77777777" w:rsidR="00871A3A" w:rsidRPr="007E3D1A" w:rsidRDefault="00871A3A" w:rsidP="00871A3A">
      <w:pPr>
        <w:rPr>
          <w:rFonts w:eastAsia="Arial" w:cs="Arial"/>
          <w:sz w:val="22"/>
        </w:rPr>
      </w:pPr>
      <w:r w:rsidRPr="007E3D1A">
        <w:rPr>
          <w:rFonts w:eastAsia="Arial" w:cs="Arial"/>
          <w:sz w:val="22"/>
        </w:rPr>
        <w:t>Signature du/de la plaignant(e)</w:t>
      </w:r>
    </w:p>
    <w:p w14:paraId="223C3AA1" w14:textId="77777777" w:rsidR="00871A3A" w:rsidRPr="007E3D1A" w:rsidRDefault="00871A3A" w:rsidP="00871A3A">
      <w:pPr>
        <w:rPr>
          <w:rFonts w:eastAsia="Arial" w:cs="Arial"/>
          <w:sz w:val="22"/>
        </w:rPr>
      </w:pPr>
    </w:p>
    <w:p w14:paraId="7BA2037C" w14:textId="77777777" w:rsidR="00871A3A" w:rsidRPr="007E3D1A" w:rsidRDefault="00871A3A" w:rsidP="00871A3A">
      <w:pPr>
        <w:rPr>
          <w:rFonts w:eastAsia="Arial" w:cs="Arial"/>
          <w:sz w:val="22"/>
        </w:rPr>
      </w:pPr>
      <w:r w:rsidRPr="007E3D1A">
        <w:rPr>
          <w:rFonts w:eastAsia="Arial" w:cs="Arial"/>
          <w:sz w:val="22"/>
        </w:rPr>
        <w:t>6. Résolution proposée de commun accord avec plaignant(e)</w:t>
      </w:r>
    </w:p>
    <w:p w14:paraId="116C9373" w14:textId="77777777" w:rsidR="00871A3A" w:rsidRPr="007E3D1A" w:rsidRDefault="00871A3A" w:rsidP="00871A3A">
      <w:pPr>
        <w:rPr>
          <w:rFonts w:eastAsia="Arial" w:cs="Arial"/>
          <w:sz w:val="22"/>
        </w:rPr>
      </w:pPr>
      <w:r w:rsidRPr="007E3D1A">
        <w:rPr>
          <w:rFonts w:eastAsia="Arial" w:cs="Arial"/>
          <w:sz w:val="22"/>
        </w:rPr>
        <w:t>………………………………………………………………………………………………</w:t>
      </w:r>
    </w:p>
    <w:p w14:paraId="0D616FBB" w14:textId="77777777" w:rsidR="00871A3A" w:rsidRPr="007E3D1A" w:rsidRDefault="00871A3A" w:rsidP="00871A3A">
      <w:pPr>
        <w:rPr>
          <w:rFonts w:eastAsia="Arial" w:cs="Arial"/>
          <w:sz w:val="22"/>
        </w:rPr>
      </w:pPr>
      <w:r w:rsidRPr="007E3D1A">
        <w:rPr>
          <w:rFonts w:eastAsia="Arial" w:cs="Arial"/>
          <w:sz w:val="22"/>
        </w:rPr>
        <w:t>……………………………………………………………………………………………….</w:t>
      </w:r>
    </w:p>
    <w:p w14:paraId="6E082150" w14:textId="77777777" w:rsidR="00871A3A" w:rsidRPr="007E3D1A" w:rsidRDefault="00871A3A" w:rsidP="00871A3A">
      <w:pPr>
        <w:rPr>
          <w:rFonts w:eastAsia="Arial" w:cs="Arial"/>
          <w:sz w:val="22"/>
        </w:rPr>
      </w:pPr>
    </w:p>
    <w:p w14:paraId="48F2E5BC" w14:textId="77777777" w:rsidR="00871A3A" w:rsidRPr="007E3D1A" w:rsidRDefault="00871A3A" w:rsidP="00871A3A">
      <w:pPr>
        <w:rPr>
          <w:rFonts w:eastAsia="Arial" w:cs="Arial"/>
          <w:sz w:val="22"/>
        </w:rPr>
      </w:pPr>
      <w:r w:rsidRPr="007E3D1A">
        <w:rPr>
          <w:rFonts w:eastAsia="Arial" w:cs="Arial"/>
          <w:sz w:val="22"/>
        </w:rPr>
        <w:t>Fait à : ……………………………, le …………../……………./…………………………</w:t>
      </w:r>
    </w:p>
    <w:p w14:paraId="296437E3" w14:textId="77777777" w:rsidR="00871A3A" w:rsidRPr="007E3D1A" w:rsidRDefault="00871A3A" w:rsidP="00871A3A">
      <w:pPr>
        <w:rPr>
          <w:rFonts w:eastAsia="Arial" w:cs="Arial"/>
          <w:sz w:val="22"/>
        </w:rPr>
      </w:pPr>
    </w:p>
    <w:p w14:paraId="04C0CA19" w14:textId="77777777" w:rsidR="00871A3A" w:rsidRPr="007E3D1A" w:rsidRDefault="00871A3A" w:rsidP="00871A3A">
      <w:pPr>
        <w:rPr>
          <w:rFonts w:eastAsia="Arial" w:cs="Arial"/>
          <w:sz w:val="22"/>
        </w:rPr>
      </w:pPr>
    </w:p>
    <w:p w14:paraId="7315D142" w14:textId="77777777" w:rsidR="00871A3A" w:rsidRPr="007E3D1A" w:rsidRDefault="00871A3A" w:rsidP="00871A3A">
      <w:pPr>
        <w:rPr>
          <w:rFonts w:eastAsia="Arial" w:cs="Arial"/>
          <w:sz w:val="22"/>
        </w:rPr>
      </w:pPr>
      <w:r w:rsidRPr="007E3D1A">
        <w:rPr>
          <w:rFonts w:eastAsia="Arial" w:cs="Arial"/>
          <w:sz w:val="22"/>
        </w:rPr>
        <w:t xml:space="preserve">Signature du représentant du CGP </w:t>
      </w:r>
      <w:r w:rsidRPr="007E3D1A">
        <w:rPr>
          <w:rFonts w:eastAsia="Arial" w:cs="Arial"/>
          <w:sz w:val="22"/>
        </w:rPr>
        <w:tab/>
        <w:t>Signature du/de la plaignant(e)</w:t>
      </w:r>
    </w:p>
    <w:p w14:paraId="2709C950" w14:textId="77777777" w:rsidR="00871A3A" w:rsidRPr="007E3D1A" w:rsidRDefault="00871A3A" w:rsidP="00871A3A">
      <w:pPr>
        <w:rPr>
          <w:rFonts w:eastAsia="Arial" w:cs="Arial"/>
          <w:sz w:val="22"/>
        </w:rPr>
      </w:pPr>
    </w:p>
    <w:p w14:paraId="3D7CD11D" w14:textId="77777777" w:rsidR="00871A3A" w:rsidRPr="007E3D1A" w:rsidRDefault="00871A3A" w:rsidP="00372F9C">
      <w:pPr>
        <w:ind w:left="1418" w:hanging="1418"/>
        <w:rPr>
          <w:rFonts w:eastAsia="Arial Unicode MS" w:cs="Arial"/>
          <w:sz w:val="22"/>
        </w:rPr>
      </w:pPr>
      <w:r w:rsidRPr="007E3D1A">
        <w:rPr>
          <w:rFonts w:eastAsia="Arial" w:cs="Arial"/>
          <w:sz w:val="22"/>
        </w:rPr>
        <w:br w:type="page"/>
      </w:r>
      <w:r w:rsidRPr="007E3D1A">
        <w:rPr>
          <w:rFonts w:eastAsia="Arial Unicode MS" w:cs="Arial"/>
          <w:sz w:val="22"/>
        </w:rPr>
        <w:br w:type="page"/>
      </w:r>
    </w:p>
    <w:p w14:paraId="786F1136" w14:textId="77777777" w:rsidR="00871A3A" w:rsidRPr="00372F9C" w:rsidRDefault="00871A3A" w:rsidP="00372F9C">
      <w:pPr>
        <w:ind w:left="1418" w:hanging="1418"/>
        <w:rPr>
          <w:rFonts w:cs="Arial"/>
          <w:b/>
          <w:bCs/>
          <w:sz w:val="22"/>
        </w:rPr>
      </w:pPr>
      <w:r w:rsidRPr="00372F9C">
        <w:rPr>
          <w:rFonts w:cs="Arial"/>
          <w:b/>
          <w:bCs/>
          <w:sz w:val="22"/>
        </w:rPr>
        <w:t xml:space="preserve">ANNEXE 13. CONSIDÉRATIONS SUR LE COVID-19 A PRENDRE EN COMPTE </w:t>
      </w:r>
    </w:p>
    <w:p w14:paraId="57F42FFD" w14:textId="77777777" w:rsidR="00871A3A" w:rsidRPr="00372F9C" w:rsidRDefault="00871A3A" w:rsidP="00372F9C">
      <w:pPr>
        <w:ind w:left="1418" w:hanging="1418"/>
        <w:rPr>
          <w:rFonts w:cs="Arial"/>
          <w:b/>
          <w:bCs/>
          <w:sz w:val="22"/>
        </w:rPr>
      </w:pPr>
      <w:r w:rsidRPr="00372F9C">
        <w:rPr>
          <w:rFonts w:cs="Arial"/>
          <w:b/>
          <w:bCs/>
          <w:sz w:val="22"/>
        </w:rPr>
        <w:t>DANS LES PROJETS DE CONSTRUCTION / TRAVAUX CIVILS</w:t>
      </w:r>
    </w:p>
    <w:p w14:paraId="4DE1E1FD" w14:textId="77777777" w:rsidR="00871A3A" w:rsidRPr="007E3D1A" w:rsidRDefault="00871A3A" w:rsidP="00871A3A">
      <w:pPr>
        <w:rPr>
          <w:rFonts w:cs="Arial"/>
          <w:sz w:val="22"/>
        </w:rPr>
      </w:pPr>
    </w:p>
    <w:p w14:paraId="6DA78205" w14:textId="77777777" w:rsidR="00871A3A" w:rsidRPr="007E3D1A" w:rsidRDefault="00871A3A" w:rsidP="00871A3A">
      <w:pPr>
        <w:rPr>
          <w:rFonts w:cs="Arial"/>
          <w:sz w:val="22"/>
        </w:rPr>
      </w:pPr>
      <w:r w:rsidRPr="007E3D1A">
        <w:rPr>
          <w:rFonts w:cs="Arial"/>
          <w:sz w:val="22"/>
        </w:rPr>
        <w:t xml:space="preserve">INTRODUCTION </w:t>
      </w:r>
    </w:p>
    <w:p w14:paraId="4E33F539" w14:textId="77777777" w:rsidR="00871A3A" w:rsidRPr="007E3D1A" w:rsidRDefault="00871A3A" w:rsidP="00871A3A">
      <w:pPr>
        <w:rPr>
          <w:rFonts w:cs="Arial"/>
          <w:sz w:val="22"/>
        </w:rPr>
      </w:pPr>
      <w:r w:rsidRPr="007E3D1A">
        <w:rPr>
          <w:rFonts w:cs="Arial"/>
          <w:sz w:val="22"/>
        </w:rPr>
        <w:t xml:space="preserve">La pandémie de COVID-19 présente aux gouvernements des défis sans précédent. Pour résoudre les problèmes liés à cette pandémie dans les projets de construction, il faut commencer par reconnaître que ce n'est pas comme d'habitude et que les circonstances nécessitent une conception de gestion réactive très adaptative pour éviter, minimiser et gérer ce qui pourrait être une situation en évolution rapide. Dans de nombreux projets, des mesures visant à éviter ou à réduire au minimum devront être mises en œuvre en même temps que la prise en charge des travailleurs malades et les relations avec la communauté, dont certains peuvent également être malades ou préoccupés par une infection. Ainsi, cette annexe est destinée à fournir des orientations pour aider les Unités de Gestion des Projets (UGP) à résoudre les problèmes clés associés à COVID-19. </w:t>
      </w:r>
    </w:p>
    <w:p w14:paraId="3A536BD7" w14:textId="77777777" w:rsidR="00871A3A" w:rsidRPr="007E3D1A" w:rsidRDefault="00871A3A" w:rsidP="00871A3A">
      <w:pPr>
        <w:rPr>
          <w:rFonts w:cs="Arial"/>
          <w:sz w:val="22"/>
        </w:rPr>
      </w:pPr>
    </w:p>
    <w:p w14:paraId="2D5CF2AB" w14:textId="77777777" w:rsidR="00871A3A" w:rsidRPr="007E3D1A" w:rsidRDefault="00871A3A" w:rsidP="00871A3A">
      <w:pPr>
        <w:rPr>
          <w:rFonts w:cs="Arial"/>
          <w:sz w:val="22"/>
        </w:rPr>
      </w:pPr>
      <w:r w:rsidRPr="007E3D1A">
        <w:rPr>
          <w:rFonts w:cs="Arial"/>
          <w:sz w:val="22"/>
        </w:rPr>
        <w:t>QUELLE PLANIFICATION DEVRAIT FAIRE L’UNITE DE GESTION DU PROJET ?</w:t>
      </w:r>
    </w:p>
    <w:p w14:paraId="61D6629C" w14:textId="77777777" w:rsidR="00871A3A" w:rsidRPr="007E3D1A" w:rsidRDefault="00871A3A" w:rsidP="00871A3A">
      <w:pPr>
        <w:rPr>
          <w:rFonts w:cs="Arial"/>
          <w:sz w:val="22"/>
        </w:rPr>
      </w:pPr>
      <w:r w:rsidRPr="007E3D1A">
        <w:rPr>
          <w:rFonts w:cs="Arial"/>
          <w:sz w:val="22"/>
        </w:rPr>
        <w:t xml:space="preserve">L’Unité de Gestion du Projet (UGP) doivent s’assurer (i) de prendre des précautions adéquates dans le projet pour prévenir ou minimiser l’épidémie de COVID-19, et (ii) identifier ce qu’il faut faire en cas d’épidémie. Voici des suggestions sur la façon de procéder : </w:t>
      </w:r>
    </w:p>
    <w:p w14:paraId="7891E85D" w14:textId="77777777" w:rsidR="00871A3A" w:rsidRPr="007E3D1A" w:rsidRDefault="00871A3A" w:rsidP="00871A3A">
      <w:pPr>
        <w:rPr>
          <w:rFonts w:cs="Arial"/>
          <w:sz w:val="22"/>
        </w:rPr>
      </w:pPr>
      <w:r w:rsidRPr="007E3D1A">
        <w:rPr>
          <w:rFonts w:cs="Arial"/>
          <w:sz w:val="22"/>
        </w:rPr>
        <w:t>L’UGP doit demander par écrit au contractant les détails des mesures prises pour faire face aux risques de COVID-19. De ce fait, le contrat de construction doit inclure des exigences en matière de santé et de sécurité, et celles-ci peuvent être utilisées comme base pour l'identification et les exigences de mise en œuvre des mesures spécifiques COVID-19. Les mesures peuvent être présentées comme un plan d'urgence, comme une extension du plan d'urgence et de préparation du projet existant ou comme des procédures autonomes. Les mesures peuvent se refléter dans les révisions du manuel de santé et de sécurité du projet. Cette demande doit être faite par écrit (en suivant toute procédure pertinente prévue dans le contrat entre l'Emprunteur et le contractant).</w:t>
      </w:r>
    </w:p>
    <w:p w14:paraId="108C34FE" w14:textId="77777777" w:rsidR="00871A3A" w:rsidRPr="007E3D1A" w:rsidRDefault="00871A3A" w:rsidP="00871A3A">
      <w:pPr>
        <w:rPr>
          <w:rFonts w:cs="Arial"/>
          <w:sz w:val="22"/>
        </w:rPr>
      </w:pPr>
      <w:r w:rsidRPr="007E3D1A">
        <w:rPr>
          <w:rFonts w:cs="Arial"/>
          <w:sz w:val="22"/>
        </w:rPr>
        <w:t xml:space="preserve">Lors de la demande, il peut être utile pour l’UGP de spécifier les domaines qui devraient être couverts. Cela devrait inclure les éléments énoncés dans la section 3 ci-dessous et tenir compte des orientations actuelles et pertinentes fournies par les autorités nationales, l'OMS et d'autres organisations. </w:t>
      </w:r>
    </w:p>
    <w:p w14:paraId="6DD9BBD4" w14:textId="77777777" w:rsidR="00871A3A" w:rsidRPr="007E3D1A" w:rsidRDefault="00871A3A" w:rsidP="00871A3A">
      <w:pPr>
        <w:rPr>
          <w:rFonts w:cs="Arial"/>
          <w:sz w:val="22"/>
        </w:rPr>
      </w:pPr>
      <w:r w:rsidRPr="007E3D1A">
        <w:rPr>
          <w:rFonts w:cs="Arial"/>
          <w:sz w:val="22"/>
        </w:rPr>
        <w:t>L’UGP devrait exiger que le contractant convoque des réunions régulières avec les spécialistes de la santé et de la sécurité du projet et le personnel médical (et, le cas échéant, les autorités sanitaires locales), et de prendre leurs conseils dans la conception et la mise en œuvre des mesures convenues.</w:t>
      </w:r>
    </w:p>
    <w:p w14:paraId="55079FC3" w14:textId="77777777" w:rsidR="00871A3A" w:rsidRPr="007E3D1A" w:rsidRDefault="00871A3A" w:rsidP="00871A3A">
      <w:pPr>
        <w:rPr>
          <w:rFonts w:cs="Arial"/>
          <w:sz w:val="22"/>
        </w:rPr>
      </w:pPr>
      <w:r w:rsidRPr="007E3D1A">
        <w:rPr>
          <w:rFonts w:cs="Arial"/>
          <w:sz w:val="22"/>
        </w:rPr>
        <w:t>Dans la mesure du possible, une personne devrait être identifiée parmi le personnel de l’entreprise comme point focal pour traiter les problèmes liés au COVID-19. Il pourrait s’agir d’un superviseur de travail ou du chargé des aspects ESS (Environnement, santé et sécurité). Cette personne peut être chargée de coordonner la préparation du site et de s'assurer que les mesures prises sont communiquées aux travailleurs, à ceux qui entrent sur le site et à la communauté locale. Il est également conseillé de désigner au moins une personne de secours, au cas où le point focal tombe malade; cette personne doit être au courant des dispositions en place.</w:t>
      </w:r>
    </w:p>
    <w:p w14:paraId="2088DD79" w14:textId="77777777" w:rsidR="00871A3A" w:rsidRPr="007E3D1A" w:rsidRDefault="00871A3A" w:rsidP="00871A3A">
      <w:pPr>
        <w:rPr>
          <w:rFonts w:cs="Arial"/>
          <w:sz w:val="22"/>
        </w:rPr>
      </w:pPr>
      <w:r w:rsidRPr="007E3D1A">
        <w:rPr>
          <w:rFonts w:cs="Arial"/>
          <w:sz w:val="22"/>
        </w:rPr>
        <w:t>Sur les sites où il y a un certain nombre d'entrepreneurs et donc (en fait) des effectifs différents, la demande devrait souligner l'importance de la coordination et de la communication entre les différentes parties. Le cas échéant, l’UGP devrait demander au contractant principal de mettre en place un protocole pour les réunions régulières des différents contractants, exigeant que chacun nomme un membre du personnel désigné (avec un remplaçant) pour assister à ces réunions. Si les réunions ne peuvent pas avoir lieu en personne, elles doivent être menées à l'aide de l'informatique disponible. L'efficacité des mesures d'atténuation dépendra de l’implication de toutes les parties, et il est donc important que tous les contractants et sous-traitants comprennent les risques et la procédure à suivre.</w:t>
      </w:r>
    </w:p>
    <w:p w14:paraId="3DA5386F" w14:textId="77777777" w:rsidR="00871A3A" w:rsidRPr="007E3D1A" w:rsidRDefault="00871A3A" w:rsidP="00871A3A">
      <w:pPr>
        <w:rPr>
          <w:rFonts w:cs="Arial"/>
          <w:sz w:val="22"/>
        </w:rPr>
      </w:pPr>
      <w:r w:rsidRPr="007E3D1A">
        <w:rPr>
          <w:rFonts w:cs="Arial"/>
          <w:sz w:val="22"/>
        </w:rPr>
        <w:t>L’UGP, soit directement, soit par l'intermédiaire du bureau de contrôle, peut apporter un soutien aux projets pour identifier les mesures d'atténuation appropriées, en particulier lorsque celles-ci impliqueront une interface avec les services locaux, en particulier les services de santé et d'urgence. Dans de nombreux cas, l’UGP peut jouer un rôle précieux en connectant les représentants du projet avec les agences gouvernementales locales et en aidant à coordonner une réponse stratégique, qui prend en compte la disponibilité des ressources. Pour être plus efficaces, les projets doivent consulter et coordonner les agences gouvernementales compétentes et d'autres projets à proximité.</w:t>
      </w:r>
    </w:p>
    <w:p w14:paraId="0672CD20" w14:textId="77777777" w:rsidR="00871A3A" w:rsidRPr="007E3D1A" w:rsidRDefault="00871A3A" w:rsidP="00871A3A">
      <w:pPr>
        <w:rPr>
          <w:rFonts w:cs="Arial"/>
          <w:sz w:val="22"/>
        </w:rPr>
      </w:pPr>
      <w:r w:rsidRPr="007E3D1A">
        <w:rPr>
          <w:rFonts w:cs="Arial"/>
          <w:sz w:val="22"/>
        </w:rPr>
        <w:t>Les travailleurs devraient être encouragés à utiliser le mécanisme de règlement des griefs du projet pour signaler les préoccupations liées à COVID-19, les préparatifs en cours d'élaboration par le projet pour résoudre les problèmes liés à COVID-19, la façon dont les procédures sont mises en œuvre et les préoccupations concernant la santé de leurs collègues et autre personnel.</w:t>
      </w:r>
    </w:p>
    <w:p w14:paraId="7D33ED15" w14:textId="77777777" w:rsidR="00871A3A" w:rsidRPr="007E3D1A" w:rsidRDefault="00871A3A" w:rsidP="00871A3A">
      <w:pPr>
        <w:rPr>
          <w:rFonts w:cs="Arial"/>
          <w:sz w:val="22"/>
        </w:rPr>
      </w:pPr>
    </w:p>
    <w:p w14:paraId="4C1B4221" w14:textId="77777777" w:rsidR="00871A3A" w:rsidRPr="007E3D1A" w:rsidRDefault="00871A3A" w:rsidP="00871A3A">
      <w:pPr>
        <w:rPr>
          <w:rFonts w:cs="Arial"/>
          <w:sz w:val="22"/>
        </w:rPr>
      </w:pPr>
      <w:r w:rsidRPr="007E3D1A">
        <w:rPr>
          <w:rFonts w:cs="Arial"/>
          <w:sz w:val="22"/>
        </w:rPr>
        <w:t>QUE DEVRAIT COUVRIR LE CONTRACTANT ?</w:t>
      </w:r>
    </w:p>
    <w:p w14:paraId="4CC4BD6F" w14:textId="77777777" w:rsidR="00871A3A" w:rsidRPr="007E3D1A" w:rsidRDefault="00871A3A" w:rsidP="00871A3A">
      <w:pPr>
        <w:rPr>
          <w:rFonts w:cs="Arial"/>
          <w:sz w:val="22"/>
        </w:rPr>
      </w:pPr>
      <w:r w:rsidRPr="007E3D1A">
        <w:rPr>
          <w:rFonts w:cs="Arial"/>
          <w:sz w:val="22"/>
        </w:rPr>
        <w:t>Le contractant devrait identifier des mesures pour faire face à la situation du COVID-19. Ce qui sera possible dépendra du contexte du projet : l'emplacement, les ressources existantes du projet, la disponibilité des fournitures, la capacité des services d'urgence / de santé locaux, la mesure dans laquelle le virus existe déjà dans la zone. Une approche systématique de la planification, reconnaissant les défis associés à l'évolution rapide des circonstances, aidera le projet à mettre en place les meilleures mesures possibles pour faire face à la situation. Comme indiqué ci-dessus, les mesures visant à lutter contre le COVID-19 peuvent être présentées de différentes manières (en tant que plan d'urgence, en tant qu'extension du plan d'urgence et de préparation du projet existant ou en tant que procédures autonomes). Les UGP et les contractants doivent se référer aux directives émises par les autorités compétentes, tant nationales qu'internationales (par exemple l'OMS), qui sont régulièrement mises à jour (voir des exemples de références et de liens fournis en annexe).</w:t>
      </w:r>
    </w:p>
    <w:p w14:paraId="32A4362C" w14:textId="77777777" w:rsidR="00871A3A" w:rsidRPr="007E3D1A" w:rsidRDefault="00871A3A" w:rsidP="00871A3A">
      <w:pPr>
        <w:rPr>
          <w:rFonts w:cs="Arial"/>
          <w:sz w:val="22"/>
        </w:rPr>
      </w:pPr>
      <w:r w:rsidRPr="007E3D1A">
        <w:rPr>
          <w:rFonts w:cs="Arial"/>
          <w:sz w:val="22"/>
        </w:rPr>
        <w:t>Le traitement de COVID-19 sur un site de projet va au-delà de la santé et de la sécurité au travail et est une question de projet plus large qui nécessitera la participation de différents membres d'une équipe de gestion de projet. Dans de nombreux cas, l'approche la plus efficace consistera à établir des procédures pour résoudre les problèmes, puis à veiller à ce que ces procédures soient systématiquement mises en œuvre. Le cas échéant, compte tenu du contexte du projet, une équipe désignée doit être mise en place pour traiter les problèmes liés au COVID-19, y compris les représentants de l’UGP, le bureau de contrôle, la gestion (par exemple le chef de projet) du contractant et des sous-traitants, la sécurité et les professionnels de la santé et de la santé et sécurité au travail. Les procédures doivent être claires et simples, améliorées si nécessaire, et supervisées et contrôlées par le ou les points focaux COVID-19. Les procédures doivent être documentées, distribuées à tous les contractants et discutées lors de réunions régulières pour faciliter la gestion adaptative. Les problèmes énoncés ci-dessous comprennent un certain nombre qui représentent une bonne gestion attendue du lieu de travail, mais sont particulièrement pertinents pour préparer la réponse du projet à COVID-19.</w:t>
      </w:r>
    </w:p>
    <w:p w14:paraId="60BF1092" w14:textId="77777777" w:rsidR="00871A3A" w:rsidRPr="007E3D1A" w:rsidRDefault="00871A3A" w:rsidP="00871A3A">
      <w:pPr>
        <w:rPr>
          <w:rFonts w:cs="Arial"/>
          <w:sz w:val="22"/>
        </w:rPr>
      </w:pPr>
    </w:p>
    <w:p w14:paraId="1CEBA209" w14:textId="77777777" w:rsidR="00871A3A" w:rsidRPr="007E3D1A" w:rsidRDefault="00871A3A" w:rsidP="00871A3A">
      <w:pPr>
        <w:rPr>
          <w:rFonts w:cs="Arial"/>
          <w:sz w:val="22"/>
        </w:rPr>
      </w:pPr>
      <w:r w:rsidRPr="007E3D1A">
        <w:rPr>
          <w:rFonts w:cs="Arial"/>
          <w:sz w:val="22"/>
        </w:rPr>
        <w:t>Evaluation des caractéristiques de la main d’œuvre</w:t>
      </w:r>
    </w:p>
    <w:p w14:paraId="16B3E374" w14:textId="77777777" w:rsidR="00871A3A" w:rsidRPr="007E3D1A" w:rsidRDefault="00871A3A" w:rsidP="00871A3A">
      <w:pPr>
        <w:rPr>
          <w:rFonts w:cs="Arial"/>
          <w:sz w:val="22"/>
        </w:rPr>
      </w:pPr>
      <w:r w:rsidRPr="007E3D1A">
        <w:rPr>
          <w:rFonts w:cs="Arial"/>
          <w:sz w:val="22"/>
        </w:rPr>
        <w:t>De nombreux chantiers de construction auront un mélange de travailleurs, par exemple les travailleurs des communautés locales ; les travailleurs d'une autre partie du pays ; travailleurs d'un autre pays. Les travailleurs seront employés selon des conditions différentes et seront logés de différentes manières. L'évaluation de ces différents aspects de la main-d'œuvre aidera à identifier les mesures d'atténuation appropriées :</w:t>
      </w:r>
    </w:p>
    <w:p w14:paraId="0E2984C1" w14:textId="77777777" w:rsidR="00871A3A" w:rsidRPr="007E3D1A" w:rsidRDefault="00871A3A" w:rsidP="00871A3A">
      <w:pPr>
        <w:rPr>
          <w:rFonts w:cs="Arial"/>
          <w:sz w:val="22"/>
        </w:rPr>
      </w:pPr>
      <w:r w:rsidRPr="007E3D1A">
        <w:rPr>
          <w:rFonts w:cs="Arial"/>
          <w:sz w:val="22"/>
        </w:rPr>
        <w:t>Le contracteur doit préparer un profil détaillé de l'effectif du projet, des activités de travail clés, du calendrier d'exécution de ces activités, des durées de contrat et des rotations différentes (par exemple, 4 semaines de travail, 4 semaines de congé). Cela devrait inclure une ventilation des travailleurs qui résident à la maison (c'est-à-dire des travailleurs de la communauté), des travailleurs qui logent dans la communauté locale et des travailleurs dans un logement sur place. Dans la mesure du possible, il devrait également identifier les travailleurs qui peuvent être plus à risque de COVID-19, ceux qui ont des problèmes de santé sous-jacents ou qui sont autrement à risque.</w:t>
      </w:r>
    </w:p>
    <w:p w14:paraId="69D688A6" w14:textId="77777777" w:rsidR="00871A3A" w:rsidRPr="007E3D1A" w:rsidRDefault="00871A3A" w:rsidP="00871A3A">
      <w:pPr>
        <w:rPr>
          <w:rFonts w:cs="Arial"/>
          <w:sz w:val="22"/>
        </w:rPr>
      </w:pPr>
      <w:r w:rsidRPr="007E3D1A">
        <w:rPr>
          <w:rFonts w:cs="Arial"/>
          <w:sz w:val="22"/>
        </w:rPr>
        <w:t>Il faudrait envisager les moyens de minimiser les déplacements à l'intérieur et à l'extérieur du site. Cela pourrait inclure l'allongement de la durée des contrats existants, afin d'éviter que les travailleurs ne rentrent chez eux dans les zones touchées ou ne reviennent sur le site depuis les zones touchées.</w:t>
      </w:r>
    </w:p>
    <w:p w14:paraId="66452C68" w14:textId="77777777" w:rsidR="00871A3A" w:rsidRPr="007E3D1A" w:rsidRDefault="00871A3A" w:rsidP="00871A3A">
      <w:pPr>
        <w:rPr>
          <w:rFonts w:cs="Arial"/>
          <w:sz w:val="22"/>
        </w:rPr>
      </w:pPr>
      <w:r w:rsidRPr="007E3D1A">
        <w:rPr>
          <w:rFonts w:cs="Arial"/>
          <w:sz w:val="22"/>
        </w:rPr>
        <w:t>Les travailleurs hébergés sur le site devraient être tenus de minimiser les contacts avec les personnes à proximité du site, et dans certains cas, être interdits de quitter le site pour la durée de leur contrat, afin d'éviter tout contact avec les communautés locales.</w:t>
      </w:r>
    </w:p>
    <w:p w14:paraId="06C58566" w14:textId="77777777" w:rsidR="00871A3A" w:rsidRPr="007E3D1A" w:rsidRDefault="00871A3A" w:rsidP="00871A3A">
      <w:pPr>
        <w:rPr>
          <w:rFonts w:cs="Arial"/>
          <w:sz w:val="22"/>
        </w:rPr>
      </w:pPr>
      <w:r w:rsidRPr="007E3D1A">
        <w:rPr>
          <w:rFonts w:cs="Arial"/>
          <w:sz w:val="22"/>
        </w:rPr>
        <w:t>Il faudrait envisager d'obliger les travailleurs hébergés dans la communauté locale à déménager dans un lieu d'hébergement (sous réserve de disponibilité) où ils seraient soumis aux mêmes restrictions.</w:t>
      </w:r>
    </w:p>
    <w:p w14:paraId="629B57F2" w14:textId="77777777" w:rsidR="00871A3A" w:rsidRPr="007E3D1A" w:rsidRDefault="00871A3A" w:rsidP="00871A3A">
      <w:pPr>
        <w:rPr>
          <w:rFonts w:cs="Arial"/>
          <w:sz w:val="22"/>
        </w:rPr>
      </w:pPr>
      <w:r w:rsidRPr="007E3D1A">
        <w:rPr>
          <w:rFonts w:cs="Arial"/>
          <w:sz w:val="22"/>
        </w:rPr>
        <w:t>Les travailleurs des communautés locales, qui rentrent chez eux quotidiennement, hebdomadairement ou mensuellement, seront plus difficiles à gérer. Ils devraient être soumis à des contrôles de santé à l'entrée du site (comme indiqué ci-dessus) et à un moment donné, les circonstances peuvent nécessiter de les obliger à utiliser l'hébergement sur le site ou à ne pas venir travailler.</w:t>
      </w:r>
    </w:p>
    <w:p w14:paraId="7C89BA19" w14:textId="77777777" w:rsidR="00871A3A" w:rsidRPr="007E3D1A" w:rsidRDefault="00871A3A" w:rsidP="00871A3A">
      <w:pPr>
        <w:rPr>
          <w:rFonts w:cs="Arial"/>
          <w:sz w:val="22"/>
        </w:rPr>
      </w:pPr>
    </w:p>
    <w:p w14:paraId="4AB55375" w14:textId="77777777" w:rsidR="00871A3A" w:rsidRPr="007E3D1A" w:rsidRDefault="00871A3A" w:rsidP="00871A3A">
      <w:pPr>
        <w:rPr>
          <w:rFonts w:cs="Arial"/>
          <w:sz w:val="22"/>
        </w:rPr>
      </w:pPr>
      <w:r w:rsidRPr="007E3D1A">
        <w:rPr>
          <w:rFonts w:cs="Arial"/>
          <w:sz w:val="22"/>
        </w:rPr>
        <w:t>Entrée/Sortie sur le lieu de travail et contrôles de début des travaux</w:t>
      </w:r>
    </w:p>
    <w:p w14:paraId="294F8B71" w14:textId="77777777" w:rsidR="00871A3A" w:rsidRPr="007E3D1A" w:rsidRDefault="00871A3A" w:rsidP="00871A3A">
      <w:pPr>
        <w:rPr>
          <w:rFonts w:cs="Arial"/>
          <w:sz w:val="22"/>
        </w:rPr>
      </w:pPr>
      <w:r w:rsidRPr="007E3D1A">
        <w:rPr>
          <w:rFonts w:cs="Arial"/>
          <w:sz w:val="22"/>
        </w:rPr>
        <w:t>L'entrée / sortie sur le chantier doit être contrôlée et documentée pour les travailleurs et les autres parties, y compris le personnel de soutien et les fournisseurs. Les mesures possibles peuvent inclure :</w:t>
      </w:r>
    </w:p>
    <w:p w14:paraId="6BA54304" w14:textId="77777777" w:rsidR="00871A3A" w:rsidRPr="007E3D1A" w:rsidRDefault="00871A3A" w:rsidP="00871A3A">
      <w:pPr>
        <w:rPr>
          <w:rFonts w:cs="Arial"/>
          <w:sz w:val="22"/>
        </w:rPr>
      </w:pPr>
      <w:r w:rsidRPr="007E3D1A">
        <w:rPr>
          <w:rFonts w:cs="Arial"/>
          <w:sz w:val="22"/>
        </w:rPr>
        <w:t>Mettre en place un système de contrôle des entrées / sorties sur le site, sécuriser les limites du site, et établir des points d'entrée / sortie (s'ils n'existent pas déjà). L'entrée / sortie sur le site doit être documentée.</w:t>
      </w:r>
    </w:p>
    <w:p w14:paraId="3E08EFE8" w14:textId="77777777" w:rsidR="00871A3A" w:rsidRPr="007E3D1A" w:rsidRDefault="00871A3A" w:rsidP="00871A3A">
      <w:pPr>
        <w:rPr>
          <w:rFonts w:cs="Arial"/>
          <w:sz w:val="22"/>
        </w:rPr>
      </w:pPr>
      <w:r w:rsidRPr="007E3D1A">
        <w:rPr>
          <w:rFonts w:cs="Arial"/>
          <w:sz w:val="22"/>
        </w:rPr>
        <w:t>Former le personnel de sécurité sur le système (amélioré) qui a été mis en place pour sécuriser le site et contrôler les entrées et les sorties, les comportements requis pour appliquer ce système et toutes les considérations spécifiques à COVID -19.</w:t>
      </w:r>
    </w:p>
    <w:p w14:paraId="77E87011" w14:textId="77777777" w:rsidR="00871A3A" w:rsidRPr="007E3D1A" w:rsidRDefault="00871A3A" w:rsidP="00871A3A">
      <w:pPr>
        <w:rPr>
          <w:rFonts w:cs="Arial"/>
          <w:sz w:val="22"/>
        </w:rPr>
      </w:pPr>
      <w:r w:rsidRPr="007E3D1A">
        <w:rPr>
          <w:rFonts w:cs="Arial"/>
          <w:sz w:val="22"/>
        </w:rPr>
        <w:t>Former le personnel qui surveillera l'entrée sur le site, en leur fournissant les ressources dont ils ont besoin pour documenter l'entrée des travailleurs, en effectuant des contrôles de température et en enregistrant les détails de tout travailleur qui se voit refuser l'entrée.</w:t>
      </w:r>
    </w:p>
    <w:p w14:paraId="2B2045BF" w14:textId="77777777" w:rsidR="00871A3A" w:rsidRPr="007E3D1A" w:rsidRDefault="00871A3A" w:rsidP="00871A3A">
      <w:pPr>
        <w:rPr>
          <w:rFonts w:cs="Arial"/>
          <w:sz w:val="22"/>
        </w:rPr>
      </w:pPr>
      <w:r w:rsidRPr="007E3D1A">
        <w:rPr>
          <w:rFonts w:cs="Arial"/>
          <w:sz w:val="22"/>
        </w:rPr>
        <w:t>Confirmer que les travailleurs sont aptes au travail avant d'entrer sur le site ou de commencer à travailler. Bien que des procédures devraient déjà être en place pour cela, une attention particulière devrait être accordée aux travailleurs ayant des problèmes de santé sous-jacents ou qui pourraient autrement être à risque. Il faudrait envisager la démobilisation du personnel souffrant de problèmes de santé sous-jacents.</w:t>
      </w:r>
    </w:p>
    <w:p w14:paraId="102076BF" w14:textId="77777777" w:rsidR="00871A3A" w:rsidRPr="007E3D1A" w:rsidRDefault="00871A3A" w:rsidP="00871A3A">
      <w:pPr>
        <w:rPr>
          <w:rFonts w:cs="Arial"/>
          <w:sz w:val="22"/>
        </w:rPr>
      </w:pPr>
      <w:r w:rsidRPr="007E3D1A">
        <w:rPr>
          <w:rFonts w:cs="Arial"/>
          <w:sz w:val="22"/>
        </w:rPr>
        <w:t>Vérifier et enregistrer les températures des travailleurs et des autres personnes entrant sur le site ou nécessitant une auto-déclaration avant ou sur le site.</w:t>
      </w:r>
    </w:p>
    <w:p w14:paraId="4878465E" w14:textId="77777777" w:rsidR="00871A3A" w:rsidRPr="007E3D1A" w:rsidRDefault="00871A3A" w:rsidP="00871A3A">
      <w:pPr>
        <w:rPr>
          <w:rFonts w:cs="Arial"/>
          <w:sz w:val="22"/>
        </w:rPr>
      </w:pPr>
      <w:r w:rsidRPr="007E3D1A">
        <w:rPr>
          <w:rFonts w:cs="Arial"/>
          <w:sz w:val="22"/>
        </w:rPr>
        <w:t>Fournir des séances d'information quotidiennes aux travailleurs avant de commencer le travail, en se concentrant sur les considérations spécifiques à COVID-19, y compris l'étiquette contre la toux, l'hygiène des mains et les mesures de distance, en utilisant des démonstrations et des méthodes participatives.</w:t>
      </w:r>
    </w:p>
    <w:p w14:paraId="49305AD7" w14:textId="77777777" w:rsidR="00871A3A" w:rsidRPr="007E3D1A" w:rsidRDefault="00871A3A" w:rsidP="00871A3A">
      <w:pPr>
        <w:rPr>
          <w:rFonts w:cs="Arial"/>
          <w:sz w:val="22"/>
        </w:rPr>
      </w:pPr>
      <w:r w:rsidRPr="007E3D1A">
        <w:rPr>
          <w:rFonts w:cs="Arial"/>
          <w:sz w:val="22"/>
        </w:rPr>
        <w:t>Au cours des séances d'information quotidiennes, rappelez aux travailleurs de surveiller eux-mêmes les symptômes possibles (fièvre, toux) et de signaler à leur superviseur ou au point focal COVID-19 s'ils présentent des symptômes ou se sentent mal.</w:t>
      </w:r>
    </w:p>
    <w:p w14:paraId="5F19CA03" w14:textId="77777777" w:rsidR="00871A3A" w:rsidRPr="007E3D1A" w:rsidRDefault="00871A3A" w:rsidP="00871A3A">
      <w:pPr>
        <w:rPr>
          <w:rFonts w:cs="Arial"/>
          <w:sz w:val="22"/>
        </w:rPr>
      </w:pPr>
      <w:r w:rsidRPr="007E3D1A">
        <w:rPr>
          <w:rFonts w:cs="Arial"/>
          <w:sz w:val="22"/>
        </w:rPr>
        <w:t>Empêcher un travailleur d'une zone affectée ou qui a été en contact avec une personne infectée de retourner sur le site pendant 14 jours ou (si ce n'est pas possible) isoler ce travailleur pendant 14 jours.</w:t>
      </w:r>
    </w:p>
    <w:p w14:paraId="7B67C21B" w14:textId="77777777" w:rsidR="00871A3A" w:rsidRPr="007E3D1A" w:rsidRDefault="00871A3A" w:rsidP="00871A3A">
      <w:pPr>
        <w:rPr>
          <w:rFonts w:cs="Arial"/>
          <w:sz w:val="22"/>
        </w:rPr>
      </w:pPr>
      <w:r w:rsidRPr="007E3D1A">
        <w:rPr>
          <w:rFonts w:cs="Arial"/>
          <w:sz w:val="22"/>
        </w:rPr>
        <w:t>Empêcher un travailleur malade de pénétrer sur le site, le référer aux services de santé locaux si nécessaire ou l'obliger à s'isoler chez lui pendant 14 jours.</w:t>
      </w:r>
    </w:p>
    <w:p w14:paraId="568E9106" w14:textId="77777777" w:rsidR="00871A3A" w:rsidRPr="007E3D1A" w:rsidRDefault="00871A3A" w:rsidP="00871A3A">
      <w:pPr>
        <w:rPr>
          <w:rFonts w:cs="Arial"/>
          <w:sz w:val="22"/>
        </w:rPr>
      </w:pPr>
    </w:p>
    <w:p w14:paraId="365E7FE7" w14:textId="77777777" w:rsidR="00871A3A" w:rsidRPr="007E3D1A" w:rsidRDefault="00871A3A" w:rsidP="00871A3A">
      <w:pPr>
        <w:rPr>
          <w:rFonts w:cs="Arial"/>
          <w:sz w:val="22"/>
        </w:rPr>
      </w:pPr>
      <w:r w:rsidRPr="007E3D1A">
        <w:rPr>
          <w:rFonts w:cs="Arial"/>
          <w:sz w:val="22"/>
        </w:rPr>
        <w:t>Hygiène générale</w:t>
      </w:r>
    </w:p>
    <w:p w14:paraId="625D89E5" w14:textId="77777777" w:rsidR="00871A3A" w:rsidRPr="007E3D1A" w:rsidRDefault="00871A3A" w:rsidP="00871A3A">
      <w:pPr>
        <w:rPr>
          <w:rFonts w:cs="Arial"/>
          <w:sz w:val="22"/>
        </w:rPr>
      </w:pPr>
      <w:r w:rsidRPr="007E3D1A">
        <w:rPr>
          <w:rFonts w:cs="Arial"/>
          <w:sz w:val="22"/>
        </w:rPr>
        <w:t>Les exigences en matière d'hygiène générale devraient être communiquées et contrôlées, y compris:</w:t>
      </w:r>
    </w:p>
    <w:p w14:paraId="3980133F" w14:textId="77777777" w:rsidR="00871A3A" w:rsidRPr="007E3D1A" w:rsidRDefault="00871A3A" w:rsidP="00871A3A">
      <w:pPr>
        <w:rPr>
          <w:rFonts w:cs="Arial"/>
          <w:sz w:val="22"/>
        </w:rPr>
      </w:pPr>
      <w:r w:rsidRPr="007E3D1A">
        <w:rPr>
          <w:rFonts w:cs="Arial"/>
          <w:sz w:val="22"/>
        </w:rPr>
        <w:t xml:space="preserve">Former les travailleurs et le personnel sur place sur les signes et symptômes de COVID-19, comment il se propage, comment se protéger (y compris le lavage des mains régulier et la distanciation sociale) et que faire si eux ou d'autres personnes présentent des symptômes (pour plus d'informations, voir OMS COVID-19 conseils au public ; </w:t>
      </w:r>
      <w:hyperlink r:id="rId160" w:history="1">
        <w:r w:rsidRPr="007E3D1A">
          <w:rPr>
            <w:rFonts w:cs="Arial"/>
            <w:sz w:val="22"/>
          </w:rPr>
          <w:t>https://www.who.int/emergencies/diseases/novel-coronavirus-2019/advice-for-public</w:t>
        </w:r>
      </w:hyperlink>
      <w:r w:rsidRPr="007E3D1A">
        <w:rPr>
          <w:rFonts w:cs="Arial"/>
          <w:sz w:val="22"/>
        </w:rPr>
        <w:t>).</w:t>
      </w:r>
    </w:p>
    <w:p w14:paraId="016F37CD" w14:textId="77777777" w:rsidR="00871A3A" w:rsidRPr="007E3D1A" w:rsidRDefault="00871A3A" w:rsidP="00871A3A">
      <w:pPr>
        <w:rPr>
          <w:rFonts w:cs="Arial"/>
          <w:sz w:val="22"/>
        </w:rPr>
      </w:pPr>
      <w:r w:rsidRPr="007E3D1A">
        <w:rPr>
          <w:rFonts w:cs="Arial"/>
          <w:sz w:val="22"/>
        </w:rPr>
        <w:t>Placer des affiches et des panneaux autour du site, avec des images et du texte dans les langues locales.</w:t>
      </w:r>
    </w:p>
    <w:p w14:paraId="22BC53C5" w14:textId="77777777" w:rsidR="00871A3A" w:rsidRPr="007E3D1A" w:rsidRDefault="00871A3A" w:rsidP="00871A3A">
      <w:pPr>
        <w:rPr>
          <w:rFonts w:cs="Arial"/>
          <w:sz w:val="22"/>
        </w:rPr>
      </w:pPr>
      <w:r w:rsidRPr="007E3D1A">
        <w:rPr>
          <w:rFonts w:cs="Arial"/>
          <w:sz w:val="22"/>
        </w:rPr>
        <w:t>Veiller à ce que des installations de lavage des mains alimentées en savon, en serviettes en papier jetables et en poubelles fermées existent à des endroits clés du site, y compris aux entrées / sorties des zones de travail ; où il y a des toilettes, une cantine ou une distribution de nourriture, ou l'approvisionnement en eau potable ; dans le logement des travailleurs ; dans les stations-service ; dans les magasins ; et dans les espaces communs. Lorsque les installations de lavage des mains n'existent pas ou ne sont pas adéquates, des dispositions devraient être prises pour les mettre en place. Un désinfectant à base d'alcool (si disponible, 60-95% d'alcool) peut également être utilisé.</w:t>
      </w:r>
    </w:p>
    <w:p w14:paraId="2DE66B0F" w14:textId="77777777" w:rsidR="00871A3A" w:rsidRPr="007E3D1A" w:rsidRDefault="00871A3A" w:rsidP="00871A3A">
      <w:pPr>
        <w:rPr>
          <w:rFonts w:cs="Arial"/>
          <w:sz w:val="22"/>
        </w:rPr>
      </w:pPr>
      <w:r w:rsidRPr="007E3D1A">
        <w:rPr>
          <w:rFonts w:cs="Arial"/>
          <w:sz w:val="22"/>
        </w:rPr>
        <w:t>Mettre de côté une partie du logement des travailleurs pour l'auto-quarantaine de précaution ainsi que l'isolement plus formel du personnel susceptible d'être infecté.</w:t>
      </w:r>
    </w:p>
    <w:p w14:paraId="7BA5F028" w14:textId="77777777" w:rsidR="00871A3A" w:rsidRPr="007E3D1A" w:rsidRDefault="00871A3A" w:rsidP="00871A3A">
      <w:pPr>
        <w:rPr>
          <w:rFonts w:cs="Arial"/>
          <w:sz w:val="22"/>
        </w:rPr>
      </w:pPr>
      <w:r w:rsidRPr="007E3D1A">
        <w:rPr>
          <w:rFonts w:cs="Arial"/>
          <w:sz w:val="22"/>
        </w:rPr>
        <w:br w:type="page"/>
      </w:r>
    </w:p>
    <w:p w14:paraId="27FB1E97" w14:textId="77777777" w:rsidR="00871A3A" w:rsidRPr="007E3D1A" w:rsidRDefault="00871A3A" w:rsidP="00871A3A">
      <w:pPr>
        <w:rPr>
          <w:rFonts w:cs="Arial"/>
          <w:sz w:val="22"/>
        </w:rPr>
      </w:pPr>
      <w:r w:rsidRPr="007E3D1A">
        <w:rPr>
          <w:rFonts w:cs="Arial"/>
          <w:sz w:val="22"/>
        </w:rPr>
        <w:t>Nettoyage et élimination des déchets</w:t>
      </w:r>
    </w:p>
    <w:p w14:paraId="67D13FE0" w14:textId="77777777" w:rsidR="00871A3A" w:rsidRPr="007E3D1A" w:rsidRDefault="00871A3A" w:rsidP="00871A3A">
      <w:pPr>
        <w:rPr>
          <w:rFonts w:cs="Arial"/>
          <w:sz w:val="22"/>
        </w:rPr>
      </w:pPr>
      <w:r w:rsidRPr="007E3D1A">
        <w:rPr>
          <w:rFonts w:cs="Arial"/>
          <w:sz w:val="22"/>
        </w:rPr>
        <w:t>Effectuer un nettoyage régulier et complet de toutes les installations du site, y compris les bureaux, les logements, les cantines et les espaces communs. Revoir les protocoles de nettoyage des principaux équipements de construction (en particulier s'ils sont utilisés par différents travailleurs). Cela devrait comprendre :</w:t>
      </w:r>
    </w:p>
    <w:p w14:paraId="618C56FB" w14:textId="77777777" w:rsidR="00871A3A" w:rsidRPr="007E3D1A" w:rsidRDefault="00871A3A" w:rsidP="00871A3A">
      <w:pPr>
        <w:rPr>
          <w:rFonts w:cs="Arial"/>
          <w:sz w:val="22"/>
        </w:rPr>
      </w:pPr>
      <w:r w:rsidRPr="007E3D1A">
        <w:rPr>
          <w:rFonts w:cs="Arial"/>
          <w:sz w:val="22"/>
        </w:rPr>
        <w:t>Fournir au personnel de nettoyage un équipement de nettoyage, des matériaux et un désinfectant adéquat.</w:t>
      </w:r>
    </w:p>
    <w:p w14:paraId="5FF1B685" w14:textId="77777777" w:rsidR="00871A3A" w:rsidRPr="007E3D1A" w:rsidRDefault="00871A3A" w:rsidP="00871A3A">
      <w:pPr>
        <w:rPr>
          <w:rFonts w:cs="Arial"/>
          <w:sz w:val="22"/>
        </w:rPr>
      </w:pPr>
      <w:r w:rsidRPr="007E3D1A">
        <w:rPr>
          <w:rFonts w:cs="Arial"/>
          <w:sz w:val="22"/>
        </w:rPr>
        <w:t>Examiner les systèmes de nettoyage généraux, former le personnel de nettoyage aux procédures de nettoyage appropriées et à la fréquence appropriée dans les zones à forte utilisation ou à haut risque.</w:t>
      </w:r>
    </w:p>
    <w:p w14:paraId="56F3F644" w14:textId="77777777" w:rsidR="00871A3A" w:rsidRPr="007E3D1A" w:rsidRDefault="00871A3A" w:rsidP="00871A3A">
      <w:pPr>
        <w:rPr>
          <w:rFonts w:cs="Arial"/>
          <w:sz w:val="22"/>
        </w:rPr>
      </w:pPr>
      <w:r w:rsidRPr="007E3D1A">
        <w:rPr>
          <w:rFonts w:cs="Arial"/>
          <w:sz w:val="22"/>
        </w:rPr>
        <w:t>Lorsqu'il est prévu que des nettoyeurs devront nettoyer les zones qui ont été ou sont soupçonnées d'avoir été contaminées par COVID-19, en leur fournissant des EPI appropriés: blouses ou tabliers, gants, protection oculaire (masques, lunettes ou écrans faciaux) et des bottes ou des chaussures de travail fermées. Si l'EPI approprié n'est pas disponible, les nettoyants doivent être fournis avec les meilleures alternatives disponibles.</w:t>
      </w:r>
    </w:p>
    <w:p w14:paraId="683B6265" w14:textId="77777777" w:rsidR="00871A3A" w:rsidRPr="007E3D1A" w:rsidRDefault="00871A3A" w:rsidP="00871A3A">
      <w:pPr>
        <w:rPr>
          <w:rFonts w:cs="Arial"/>
          <w:sz w:val="22"/>
        </w:rPr>
      </w:pPr>
      <w:r w:rsidRPr="007E3D1A">
        <w:rPr>
          <w:rFonts w:cs="Arial"/>
          <w:sz w:val="22"/>
        </w:rPr>
        <w:t>Former les nettoyeurs à l'hygiène appropriée (y compris le lavage des mains) avant, pendant et après la conduite des activités de nettoyage; comment utiliser l'EPI en toute sécurité (le cas échéant); dans le contrôle des déchets (y compris pour les EPI et les produits de nettoyage usagés).</w:t>
      </w:r>
    </w:p>
    <w:p w14:paraId="493AB8C6" w14:textId="77777777" w:rsidR="00871A3A" w:rsidRPr="007E3D1A" w:rsidRDefault="00871A3A" w:rsidP="00871A3A">
      <w:pPr>
        <w:rPr>
          <w:rFonts w:cs="Arial"/>
          <w:sz w:val="22"/>
        </w:rPr>
      </w:pPr>
      <w:r w:rsidRPr="007E3D1A">
        <w:rPr>
          <w:rFonts w:cs="Arial"/>
          <w:sz w:val="22"/>
        </w:rPr>
        <w:t xml:space="preserve">Tous les déchets médicaux produits pendant la prise en charge des travailleurs malades doivent être collectés en toute sécurité dans des conteneurs ou des sacs désignés et traités et éliminés conformément aux exigences pertinentes (par exemple, nationales, OMS). Si le brûlage à l'air libre et l'incinération de déchets médicaux sont nécessaires, cette durée devrait être aussi limitée que possible. Les déchets doivent être réduits et triés de manière à ce que seule la plus petite quantité de déchets soit incinérée (pour plus d'informations, voir les directives provisoires de l'OMS sur l'eau, l'assainissement et la gestion des déchets pour COVID-19 ; </w:t>
      </w:r>
      <w:hyperlink r:id="rId161" w:history="1">
        <w:r w:rsidRPr="007E3D1A">
          <w:rPr>
            <w:rFonts w:cs="Arial"/>
            <w:sz w:val="22"/>
          </w:rPr>
          <w:t>https://www.who.int/publications-detail/water-sanitation-hygiene-and-waste-management-for-covid-19</w:t>
        </w:r>
      </w:hyperlink>
      <w:r w:rsidRPr="007E3D1A">
        <w:rPr>
          <w:rFonts w:cs="Arial"/>
          <w:sz w:val="22"/>
        </w:rPr>
        <w:t>).</w:t>
      </w:r>
    </w:p>
    <w:p w14:paraId="6CCF55F9" w14:textId="77777777" w:rsidR="00871A3A" w:rsidRPr="007E3D1A" w:rsidRDefault="00871A3A" w:rsidP="00871A3A">
      <w:pPr>
        <w:rPr>
          <w:rFonts w:cs="Arial"/>
          <w:sz w:val="22"/>
        </w:rPr>
      </w:pPr>
    </w:p>
    <w:p w14:paraId="69222DB0" w14:textId="77777777" w:rsidR="00871A3A" w:rsidRPr="007E3D1A" w:rsidRDefault="00871A3A" w:rsidP="00871A3A">
      <w:pPr>
        <w:rPr>
          <w:rFonts w:cs="Arial"/>
          <w:sz w:val="22"/>
        </w:rPr>
      </w:pPr>
      <w:r w:rsidRPr="007E3D1A">
        <w:rPr>
          <w:rFonts w:cs="Arial"/>
          <w:sz w:val="22"/>
        </w:rPr>
        <w:t>Réglage des pratiques de travail</w:t>
      </w:r>
    </w:p>
    <w:p w14:paraId="5F3F9912" w14:textId="77777777" w:rsidR="00871A3A" w:rsidRPr="007E3D1A" w:rsidRDefault="00871A3A" w:rsidP="00871A3A">
      <w:pPr>
        <w:rPr>
          <w:rFonts w:cs="Arial"/>
          <w:sz w:val="22"/>
        </w:rPr>
      </w:pPr>
      <w:r w:rsidRPr="007E3D1A">
        <w:rPr>
          <w:rFonts w:cs="Arial"/>
          <w:sz w:val="22"/>
        </w:rPr>
        <w:t>Envisagez de modifier les processus de travail et les horaires pour réduire ou minimiser les contacts entre les travailleurs, en reconnaissant que cela est susceptible d'avoir un impact sur le calendrier du projet. Ces mesures pourraient comprendre :</w:t>
      </w:r>
    </w:p>
    <w:p w14:paraId="25E0231A" w14:textId="77777777" w:rsidR="00871A3A" w:rsidRPr="007E3D1A" w:rsidRDefault="00871A3A" w:rsidP="00871A3A">
      <w:pPr>
        <w:rPr>
          <w:rFonts w:cs="Arial"/>
          <w:sz w:val="22"/>
        </w:rPr>
      </w:pPr>
      <w:r w:rsidRPr="007E3D1A">
        <w:rPr>
          <w:rFonts w:cs="Arial"/>
          <w:sz w:val="22"/>
        </w:rPr>
        <w:t>Diminuer la taille des équipes de travail.</w:t>
      </w:r>
    </w:p>
    <w:p w14:paraId="22AF74F0" w14:textId="77777777" w:rsidR="00871A3A" w:rsidRPr="007E3D1A" w:rsidRDefault="00871A3A" w:rsidP="00871A3A">
      <w:pPr>
        <w:rPr>
          <w:rFonts w:cs="Arial"/>
          <w:sz w:val="22"/>
        </w:rPr>
      </w:pPr>
      <w:r w:rsidRPr="007E3D1A">
        <w:rPr>
          <w:rFonts w:cs="Arial"/>
          <w:sz w:val="22"/>
        </w:rPr>
        <w:t>Limiter le nombre de travailleurs sur le site à tout moment.</w:t>
      </w:r>
    </w:p>
    <w:p w14:paraId="4025E285" w14:textId="77777777" w:rsidR="00871A3A" w:rsidRPr="007E3D1A" w:rsidRDefault="00871A3A" w:rsidP="00871A3A">
      <w:pPr>
        <w:rPr>
          <w:rFonts w:cs="Arial"/>
          <w:sz w:val="22"/>
        </w:rPr>
      </w:pPr>
      <w:r w:rsidRPr="007E3D1A">
        <w:rPr>
          <w:rFonts w:cs="Arial"/>
          <w:sz w:val="22"/>
        </w:rPr>
        <w:t>Passer à une rotation de travail de 24 heures.</w:t>
      </w:r>
    </w:p>
    <w:p w14:paraId="086FDF29" w14:textId="77777777" w:rsidR="00871A3A" w:rsidRPr="007E3D1A" w:rsidRDefault="00871A3A" w:rsidP="00871A3A">
      <w:pPr>
        <w:rPr>
          <w:rFonts w:cs="Arial"/>
          <w:sz w:val="22"/>
        </w:rPr>
      </w:pPr>
      <w:r w:rsidRPr="007E3D1A">
        <w:rPr>
          <w:rFonts w:cs="Arial"/>
          <w:sz w:val="22"/>
        </w:rPr>
        <w:t>L'adaptation ou la refonte des processus de travail pour des activités et des tâches de travail spécifiques afin de permettre la distanciation sociale et la formation des travailleurs à ces processus.</w:t>
      </w:r>
    </w:p>
    <w:p w14:paraId="46D0EF60" w14:textId="77777777" w:rsidR="00871A3A" w:rsidRPr="007E3D1A" w:rsidRDefault="00871A3A" w:rsidP="00871A3A">
      <w:pPr>
        <w:rPr>
          <w:rFonts w:cs="Arial"/>
          <w:sz w:val="22"/>
        </w:rPr>
      </w:pPr>
      <w:r w:rsidRPr="007E3D1A">
        <w:rPr>
          <w:rFonts w:cs="Arial"/>
          <w:sz w:val="22"/>
        </w:rPr>
        <w:t>Poursuivre les formations de sécurité habituelles, en ajoutant des considérations spécifiques au COVID-19. La formation doit inclure l'utilisation appropriée de l'EPI normal. Bien qu'à ce jour l'avis général soit que les travailleurs de la construction n'ont pas besoin d'EPI spécifique au COVID-19, cela doit être maintenu à l'étude (pour plus d'informations, voir les directives provisoires de l'OMS sur l'utilisation rationnelle des équipements de protection individuelle (EPI) pour le COVID -19).</w:t>
      </w:r>
    </w:p>
    <w:p w14:paraId="587C1AA7" w14:textId="77777777" w:rsidR="00871A3A" w:rsidRPr="007E3D1A" w:rsidRDefault="00871A3A" w:rsidP="00871A3A">
      <w:pPr>
        <w:rPr>
          <w:rFonts w:cs="Arial"/>
          <w:sz w:val="22"/>
        </w:rPr>
      </w:pPr>
      <w:r w:rsidRPr="007E3D1A">
        <w:rPr>
          <w:rFonts w:cs="Arial"/>
          <w:sz w:val="22"/>
        </w:rPr>
        <w:t>Revoir les méthodes de travail pour réduire l'utilisation des EPI de construction, au cas où les fournitures deviendraient rares ou si les EPI sont nécessaires pour les travailleurs médicaux ou les nettoyeurs. Cela pourrait inclure, par exemple essayer de réduire le besoin de masques anti-poussière en vérifiant que les systèmes d'arrosage sont en bon état de fonctionnement et sont maintenus ou en réduisant la limite de vitesse pour les camions de transport.</w:t>
      </w:r>
    </w:p>
    <w:p w14:paraId="2C175E46" w14:textId="77777777" w:rsidR="00871A3A" w:rsidRPr="007E3D1A" w:rsidRDefault="00871A3A" w:rsidP="00871A3A">
      <w:pPr>
        <w:rPr>
          <w:rFonts w:cs="Arial"/>
          <w:sz w:val="22"/>
        </w:rPr>
      </w:pPr>
      <w:r w:rsidRPr="007E3D1A">
        <w:rPr>
          <w:rFonts w:cs="Arial"/>
          <w:sz w:val="22"/>
        </w:rPr>
        <w:t>Organiser (si possible) des pauses de travail à prendre dans les zones extérieures du site.</w:t>
      </w:r>
    </w:p>
    <w:p w14:paraId="17886299" w14:textId="77777777" w:rsidR="00871A3A" w:rsidRPr="007E3D1A" w:rsidRDefault="00871A3A" w:rsidP="00871A3A">
      <w:pPr>
        <w:rPr>
          <w:rFonts w:cs="Arial"/>
          <w:sz w:val="22"/>
        </w:rPr>
      </w:pPr>
      <w:r w:rsidRPr="007E3D1A">
        <w:rPr>
          <w:rFonts w:cs="Arial"/>
          <w:sz w:val="22"/>
        </w:rPr>
        <w:t>Envisager de modifier l'aménagement de la cantine et de réduire progressivement les heures de repas pour permettre une distanciation sociale et un accès progressif et / ou restreindre temporairement l'accès aux installations de loisirs qui peuvent exister sur le site, y compris les gymnases.</w:t>
      </w:r>
    </w:p>
    <w:p w14:paraId="663B3FC7" w14:textId="77777777" w:rsidR="00871A3A" w:rsidRPr="007E3D1A" w:rsidRDefault="00871A3A" w:rsidP="00871A3A">
      <w:pPr>
        <w:rPr>
          <w:rFonts w:cs="Arial"/>
          <w:sz w:val="22"/>
        </w:rPr>
      </w:pPr>
      <w:r w:rsidRPr="007E3D1A">
        <w:rPr>
          <w:rFonts w:cs="Arial"/>
          <w:sz w:val="22"/>
        </w:rPr>
        <w:t>À un moment donné, il peut être nécessaire de revoir le calendrier global du projet, afin d'évaluer dans quelle mesure il doit être ajusté (ou le travail complètement arrêté) pour refléter des pratiques de travail prudentes, l'exposition potentielle des travailleurs et de la communauté et la disponibilité des fournitures. , en tenant compte des conseils et instructions du gouvernement.</w:t>
      </w:r>
    </w:p>
    <w:p w14:paraId="0A0A97FA" w14:textId="77777777" w:rsidR="00871A3A" w:rsidRPr="007E3D1A" w:rsidRDefault="00871A3A" w:rsidP="00871A3A">
      <w:pPr>
        <w:rPr>
          <w:rFonts w:cs="Arial"/>
          <w:sz w:val="22"/>
        </w:rPr>
      </w:pPr>
    </w:p>
    <w:p w14:paraId="53750DC3" w14:textId="77777777" w:rsidR="00871A3A" w:rsidRPr="007E3D1A" w:rsidRDefault="00871A3A" w:rsidP="00871A3A">
      <w:pPr>
        <w:rPr>
          <w:rFonts w:cs="Arial"/>
          <w:sz w:val="22"/>
        </w:rPr>
      </w:pPr>
      <w:r w:rsidRPr="007E3D1A">
        <w:rPr>
          <w:rFonts w:cs="Arial"/>
          <w:sz w:val="22"/>
        </w:rPr>
        <w:t>Services médicaux et autres locaux</w:t>
      </w:r>
    </w:p>
    <w:p w14:paraId="4C9DD7AB" w14:textId="77777777" w:rsidR="00871A3A" w:rsidRPr="007E3D1A" w:rsidRDefault="00871A3A" w:rsidP="00871A3A">
      <w:pPr>
        <w:rPr>
          <w:rFonts w:cs="Arial"/>
          <w:sz w:val="22"/>
        </w:rPr>
      </w:pPr>
      <w:r w:rsidRPr="007E3D1A">
        <w:rPr>
          <w:rFonts w:cs="Arial"/>
          <w:sz w:val="22"/>
        </w:rPr>
        <w:t>Compte tenu de la portée limitée des services médicaux du projet, le projet devra peut-être référer les travailleurs malades aux services médicaux locaux. La préparation pour cela comprend :</w:t>
      </w:r>
    </w:p>
    <w:p w14:paraId="5E678F30" w14:textId="77777777" w:rsidR="00871A3A" w:rsidRPr="007E3D1A" w:rsidRDefault="00871A3A" w:rsidP="00871A3A">
      <w:pPr>
        <w:rPr>
          <w:rFonts w:cs="Arial"/>
          <w:sz w:val="22"/>
        </w:rPr>
      </w:pPr>
      <w:r w:rsidRPr="007E3D1A">
        <w:rPr>
          <w:rFonts w:cs="Arial"/>
          <w:sz w:val="22"/>
        </w:rPr>
        <w:t>Obtenir des informations sur les ressources et la capacité des services médicaux locaux (par exemple nombre de lits, disponibilité de personnel qualifié et fournitures essentielles).</w:t>
      </w:r>
    </w:p>
    <w:p w14:paraId="45ED1CFF" w14:textId="77777777" w:rsidR="00871A3A" w:rsidRPr="007E3D1A" w:rsidRDefault="00871A3A" w:rsidP="00871A3A">
      <w:pPr>
        <w:rPr>
          <w:rFonts w:cs="Arial"/>
          <w:sz w:val="22"/>
        </w:rPr>
      </w:pPr>
      <w:r w:rsidRPr="007E3D1A">
        <w:rPr>
          <w:rFonts w:cs="Arial"/>
          <w:sz w:val="22"/>
        </w:rPr>
        <w:t>Mener des discussions préliminaires avec des installations médicales spécifiques, pour convenir de ce qui devrait être fait en cas de besoin de renvoyer des travailleurs malades.</w:t>
      </w:r>
    </w:p>
    <w:p w14:paraId="347E4671" w14:textId="77777777" w:rsidR="00871A3A" w:rsidRPr="007E3D1A" w:rsidRDefault="00871A3A" w:rsidP="00871A3A">
      <w:pPr>
        <w:rPr>
          <w:rFonts w:cs="Arial"/>
          <w:sz w:val="22"/>
        </w:rPr>
      </w:pPr>
      <w:r w:rsidRPr="007E3D1A">
        <w:rPr>
          <w:rFonts w:cs="Arial"/>
          <w:sz w:val="22"/>
        </w:rPr>
        <w:t>Examiner les moyens par lesquels le projet peut être en mesure d'aider les services médicaux locaux à se préparer à la maladie des membres de la communauté, reconnaissant que les personnes âgées ou celles qui ont des conditions médicales préexistantes ont besoin d'un soutien supplémentaire pour accéder à un traitement approprié en cas de maladie.</w:t>
      </w:r>
    </w:p>
    <w:p w14:paraId="6B6134CA" w14:textId="77777777" w:rsidR="00871A3A" w:rsidRPr="007E3D1A" w:rsidRDefault="00871A3A" w:rsidP="00871A3A">
      <w:pPr>
        <w:rPr>
          <w:rFonts w:cs="Arial"/>
          <w:sz w:val="22"/>
        </w:rPr>
      </w:pPr>
      <w:r w:rsidRPr="007E3D1A">
        <w:rPr>
          <w:rFonts w:cs="Arial"/>
          <w:sz w:val="22"/>
        </w:rPr>
        <w:t>Clarifier la manière dont un travailleur malade sera transporté vers l'établissement médical et vérifier la disponibilité de ce type de transport.</w:t>
      </w:r>
    </w:p>
    <w:p w14:paraId="0B331E20" w14:textId="77777777" w:rsidR="00871A3A" w:rsidRPr="007E3D1A" w:rsidRDefault="00871A3A" w:rsidP="00871A3A">
      <w:pPr>
        <w:rPr>
          <w:rFonts w:cs="Arial"/>
          <w:sz w:val="22"/>
        </w:rPr>
      </w:pPr>
      <w:r w:rsidRPr="007E3D1A">
        <w:rPr>
          <w:rFonts w:cs="Arial"/>
          <w:sz w:val="22"/>
        </w:rPr>
        <w:t>Établir un protocole convenu pour les communications avec les services d'urgence / médicaux locaux.</w:t>
      </w:r>
    </w:p>
    <w:p w14:paraId="4317651A" w14:textId="77777777" w:rsidR="00871A3A" w:rsidRPr="007E3D1A" w:rsidRDefault="00871A3A" w:rsidP="00871A3A">
      <w:pPr>
        <w:rPr>
          <w:rFonts w:cs="Arial"/>
          <w:sz w:val="22"/>
        </w:rPr>
      </w:pPr>
      <w:r w:rsidRPr="007E3D1A">
        <w:rPr>
          <w:rFonts w:cs="Arial"/>
          <w:sz w:val="22"/>
        </w:rPr>
        <w:t>Convenir avec les services médicaux locaux / les installations médicales spécifiques de l'étendue des services à fournir, de la procédure de prise en charge des patients et (le cas échéant) des coûts ou paiements pouvant être impliqués.</w:t>
      </w:r>
    </w:p>
    <w:p w14:paraId="738E681D" w14:textId="77777777" w:rsidR="00871A3A" w:rsidRPr="007E3D1A" w:rsidRDefault="00871A3A" w:rsidP="00871A3A">
      <w:pPr>
        <w:rPr>
          <w:rFonts w:cs="Arial"/>
          <w:sz w:val="22"/>
        </w:rPr>
      </w:pPr>
      <w:r w:rsidRPr="007E3D1A">
        <w:rPr>
          <w:rFonts w:cs="Arial"/>
          <w:sz w:val="22"/>
        </w:rPr>
        <w:t>Une procédure doit également être préparée afin que la direction du projet sache quoi faire dans le cas malheureux où un travailleur atteint de COVID-19 décède. Bien que les procédures normales du projet continuent de s'appliquer, COVID-19 peut soulever d'autres problèmes en raison de la nature infectieuse de la maladie. Le projet devrait assurer la liaison avec les autorités locales compétentes pour coordonner ce qui devrait être fait, y compris tout rapport ou toute autre exigence en vertu de la législation nationale.</w:t>
      </w:r>
    </w:p>
    <w:p w14:paraId="393D204A" w14:textId="77777777" w:rsidR="00871A3A" w:rsidRPr="007E3D1A" w:rsidRDefault="00871A3A" w:rsidP="00871A3A">
      <w:pPr>
        <w:rPr>
          <w:rFonts w:cs="Arial"/>
          <w:sz w:val="22"/>
        </w:rPr>
      </w:pPr>
    </w:p>
    <w:p w14:paraId="790C852E" w14:textId="77777777" w:rsidR="00871A3A" w:rsidRPr="007E3D1A" w:rsidRDefault="00871A3A" w:rsidP="00871A3A">
      <w:pPr>
        <w:rPr>
          <w:rFonts w:cs="Arial"/>
          <w:sz w:val="22"/>
        </w:rPr>
      </w:pPr>
      <w:r w:rsidRPr="007E3D1A">
        <w:rPr>
          <w:rFonts w:cs="Arial"/>
          <w:sz w:val="22"/>
        </w:rPr>
        <w:t>Instances ou diffusion du virus</w:t>
      </w:r>
    </w:p>
    <w:p w14:paraId="705E2ECB" w14:textId="77777777" w:rsidR="00871A3A" w:rsidRPr="007E3D1A" w:rsidRDefault="00871A3A" w:rsidP="00871A3A">
      <w:pPr>
        <w:rPr>
          <w:rFonts w:cs="Arial"/>
          <w:sz w:val="22"/>
        </w:rPr>
      </w:pPr>
      <w:r w:rsidRPr="007E3D1A">
        <w:rPr>
          <w:rFonts w:cs="Arial"/>
          <w:sz w:val="22"/>
        </w:rPr>
        <w:t>L'OMS fournit des conseils détaillés sur ce qui devrait être fait pour traiter une personne qui tombe malade ou présente des symptômes qui pourraient être associés au virus COVID-19 (pour de plus amples informations, voir les directives provisoires de l'OMS sur la prévention et le contrôle des infections pendant les soins de santé lorsqu'un nouveau coronavirus (nCoV) l'infection est suspectée). Le projet devrait définir les procédures fondées sur les risques à suivre, avec des approches différenciées en fonction de la gravité des cas (légère, modérée, sévère, critique) et des facteurs de risque (tels que l'âge, l'hypertension, le diabète) (pour plus d'informations, voir les directives provisoires de l'OMS sur considérations opérationnelles pour la prise en charge des cas de COVID-19 dans un établissement de santé et dans la communauté). Il peut s'agir des éléments suivants:</w:t>
      </w:r>
    </w:p>
    <w:p w14:paraId="68360FF7" w14:textId="77777777" w:rsidR="00871A3A" w:rsidRPr="007E3D1A" w:rsidRDefault="00871A3A" w:rsidP="00871A3A">
      <w:pPr>
        <w:rPr>
          <w:rFonts w:cs="Arial"/>
          <w:sz w:val="22"/>
        </w:rPr>
      </w:pPr>
      <w:r w:rsidRPr="007E3D1A">
        <w:rPr>
          <w:rFonts w:cs="Arial"/>
          <w:sz w:val="22"/>
        </w:rPr>
        <w:t>Si un travailleur présente des symptômes de COVID-19 (par exemple fièvre, toux sèche, fatigue), il doit être immédiatement retiré des activités de travail et isolé sur place.</w:t>
      </w:r>
    </w:p>
    <w:p w14:paraId="7D0F580F" w14:textId="77777777" w:rsidR="00871A3A" w:rsidRPr="007E3D1A" w:rsidRDefault="00871A3A" w:rsidP="00871A3A">
      <w:pPr>
        <w:rPr>
          <w:rFonts w:cs="Arial"/>
          <w:sz w:val="22"/>
        </w:rPr>
      </w:pPr>
      <w:r w:rsidRPr="007E3D1A">
        <w:rPr>
          <w:rFonts w:cs="Arial"/>
          <w:sz w:val="22"/>
        </w:rPr>
        <w:t>Si des tests sont disponibles sur site, le travailleur doit être testé sur site. Si un test n'est pas disponible sur le site, le travailleur doit être transporté vers les établissements de santé locaux pour être testé (si le test est disponible).</w:t>
      </w:r>
    </w:p>
    <w:p w14:paraId="50B235C7" w14:textId="77777777" w:rsidR="00871A3A" w:rsidRPr="007E3D1A" w:rsidRDefault="00871A3A" w:rsidP="00871A3A">
      <w:pPr>
        <w:rPr>
          <w:rFonts w:cs="Arial"/>
          <w:sz w:val="22"/>
        </w:rPr>
      </w:pPr>
      <w:r w:rsidRPr="007E3D1A">
        <w:rPr>
          <w:rFonts w:cs="Arial"/>
          <w:sz w:val="22"/>
        </w:rPr>
        <w:t>Si le test est positif pour COVID-19 ou si aucun test n'est disponible, le travailleur doit continuer à être isolé. Ce sera sur le lieu de travail ou à la maison. S'il est à la maison, le travailleur doit être transporté à son domicile par le moyen de transport fourni par le projet.</w:t>
      </w:r>
    </w:p>
    <w:p w14:paraId="5FC5F6B9" w14:textId="77777777" w:rsidR="00871A3A" w:rsidRPr="007E3D1A" w:rsidRDefault="00871A3A" w:rsidP="00871A3A">
      <w:pPr>
        <w:rPr>
          <w:rFonts w:cs="Arial"/>
          <w:sz w:val="22"/>
        </w:rPr>
      </w:pPr>
      <w:r w:rsidRPr="007E3D1A">
        <w:rPr>
          <w:rFonts w:cs="Arial"/>
          <w:sz w:val="22"/>
        </w:rPr>
        <w:t>Des procédures de nettoyage approfondies avec un désinfectant à haute teneur en alcool devraient être entreprises dans la zone où le travailleur était présent, avant de poursuivre tout travail dans cette zone. Les outils utilisés par le travailleur doivent être nettoyés avec un désinfectant et des EPI éliminés.</w:t>
      </w:r>
    </w:p>
    <w:p w14:paraId="4896F278" w14:textId="77777777" w:rsidR="00871A3A" w:rsidRPr="007E3D1A" w:rsidRDefault="00871A3A" w:rsidP="00871A3A">
      <w:pPr>
        <w:rPr>
          <w:rFonts w:cs="Arial"/>
          <w:sz w:val="22"/>
        </w:rPr>
      </w:pPr>
      <w:r w:rsidRPr="007E3D1A">
        <w:rPr>
          <w:rFonts w:cs="Arial"/>
          <w:sz w:val="22"/>
        </w:rPr>
        <w:t>Les collègues (c'est-à-dire les travailleurs avec lesquels le travailleur malade était en contact étroit) devraient être tenus d'arrêter le travail et devraient se mettre en quarantaine pendant 14 jours, même s'ils ne présentent aucun symptôme.</w:t>
      </w:r>
    </w:p>
    <w:p w14:paraId="61E0C893" w14:textId="77777777" w:rsidR="00871A3A" w:rsidRPr="007E3D1A" w:rsidRDefault="00871A3A" w:rsidP="00871A3A">
      <w:pPr>
        <w:rPr>
          <w:rFonts w:cs="Arial"/>
          <w:sz w:val="22"/>
        </w:rPr>
      </w:pPr>
      <w:r w:rsidRPr="007E3D1A">
        <w:rPr>
          <w:rFonts w:cs="Arial"/>
          <w:sz w:val="22"/>
        </w:rPr>
        <w:t>La famille et les autres contacts étroits du travailleur devraient être tenus de se mettre en quarantaine pendant 14 jours, même s'ils ne présentent aucun symptôme.</w:t>
      </w:r>
    </w:p>
    <w:p w14:paraId="077B8739" w14:textId="77777777" w:rsidR="00871A3A" w:rsidRPr="007E3D1A" w:rsidRDefault="00871A3A" w:rsidP="00871A3A">
      <w:pPr>
        <w:rPr>
          <w:rFonts w:cs="Arial"/>
          <w:sz w:val="22"/>
        </w:rPr>
      </w:pPr>
      <w:r w:rsidRPr="007E3D1A">
        <w:rPr>
          <w:rFonts w:cs="Arial"/>
          <w:sz w:val="22"/>
        </w:rPr>
        <w:t>Si un cas de COVID-19 est confirmé chez un travailleur sur le site, les visiteurs doivent être empêchés d'entrer sur le site et les groupes de travailleurs doivent être isolés les uns des autres autant que possible.</w:t>
      </w:r>
    </w:p>
    <w:p w14:paraId="28FF44B0" w14:textId="77777777" w:rsidR="00871A3A" w:rsidRPr="007E3D1A" w:rsidRDefault="00871A3A" w:rsidP="00871A3A">
      <w:pPr>
        <w:rPr>
          <w:rFonts w:cs="Arial"/>
          <w:sz w:val="22"/>
        </w:rPr>
      </w:pPr>
      <w:r w:rsidRPr="007E3D1A">
        <w:rPr>
          <w:rFonts w:cs="Arial"/>
          <w:sz w:val="22"/>
        </w:rPr>
        <w:t>Si les travailleurs vivent à la maison et ont un membre de la famille qui a un cas confirmé ou suspecté de COVID-19, le travailleur doit se mettre en quarantaine et ne pas être autorisé à rester sur le site du projet pendant 14 jours, même s'il ne présente aucun symptôme.</w:t>
      </w:r>
    </w:p>
    <w:p w14:paraId="63FAE981" w14:textId="77777777" w:rsidR="00871A3A" w:rsidRPr="007E3D1A" w:rsidRDefault="00871A3A" w:rsidP="00871A3A">
      <w:pPr>
        <w:rPr>
          <w:rFonts w:cs="Arial"/>
          <w:sz w:val="22"/>
        </w:rPr>
      </w:pPr>
      <w:r w:rsidRPr="007E3D1A">
        <w:rPr>
          <w:rFonts w:cs="Arial"/>
          <w:sz w:val="22"/>
        </w:rPr>
        <w:t>Les travailleurs devraient continuer à être payés pendant les périodes de maladie, d'isolement ou de quarantaine, ou s'ils doivent arrêter de travailler, conformément à la législation nationale.</w:t>
      </w:r>
    </w:p>
    <w:p w14:paraId="2BDCE457" w14:textId="77777777" w:rsidR="00871A3A" w:rsidRPr="007E3D1A" w:rsidRDefault="00871A3A" w:rsidP="00871A3A">
      <w:pPr>
        <w:rPr>
          <w:rFonts w:cs="Arial"/>
          <w:sz w:val="22"/>
        </w:rPr>
      </w:pPr>
      <w:r w:rsidRPr="007E3D1A">
        <w:rPr>
          <w:rFonts w:cs="Arial"/>
          <w:sz w:val="22"/>
        </w:rPr>
        <w:t>Les soins médicaux (sur place ou dans un hôpital ou une clinique locale) requis par un travailleur doivent être payés par l'employeur.</w:t>
      </w:r>
    </w:p>
    <w:p w14:paraId="5430955A" w14:textId="77777777" w:rsidR="00871A3A" w:rsidRPr="007E3D1A" w:rsidRDefault="00871A3A" w:rsidP="00871A3A">
      <w:pPr>
        <w:rPr>
          <w:rFonts w:cs="Arial"/>
          <w:sz w:val="22"/>
        </w:rPr>
      </w:pPr>
    </w:p>
    <w:p w14:paraId="66DE7CED" w14:textId="77777777" w:rsidR="00871A3A" w:rsidRPr="007E3D1A" w:rsidRDefault="00871A3A" w:rsidP="00871A3A">
      <w:pPr>
        <w:rPr>
          <w:rFonts w:cs="Arial"/>
          <w:sz w:val="22"/>
        </w:rPr>
      </w:pPr>
      <w:r w:rsidRPr="007E3D1A">
        <w:rPr>
          <w:rFonts w:cs="Arial"/>
          <w:sz w:val="22"/>
        </w:rPr>
        <w:t xml:space="preserve">Continuité des fournitures et des activités du projet </w:t>
      </w:r>
    </w:p>
    <w:p w14:paraId="006B8B22" w14:textId="77777777" w:rsidR="00871A3A" w:rsidRPr="007E3D1A" w:rsidRDefault="00871A3A" w:rsidP="00871A3A">
      <w:pPr>
        <w:rPr>
          <w:rFonts w:cs="Arial"/>
          <w:sz w:val="22"/>
        </w:rPr>
      </w:pPr>
      <w:r w:rsidRPr="007E3D1A">
        <w:rPr>
          <w:rFonts w:cs="Arial"/>
          <w:sz w:val="22"/>
        </w:rPr>
        <w:t>Lorsque COVID-19 se produit, sur le site du projet ou dans la communauté, l'accès au site du projet peut être restreint et le mouvement des fournitures peut être affecté.</w:t>
      </w:r>
    </w:p>
    <w:p w14:paraId="38C55492" w14:textId="77777777" w:rsidR="00871A3A" w:rsidRPr="007E3D1A" w:rsidRDefault="00871A3A" w:rsidP="00871A3A">
      <w:pPr>
        <w:rPr>
          <w:rFonts w:cs="Arial"/>
          <w:sz w:val="22"/>
        </w:rPr>
      </w:pPr>
      <w:r w:rsidRPr="007E3D1A">
        <w:rPr>
          <w:rFonts w:cs="Arial"/>
          <w:sz w:val="22"/>
        </w:rPr>
        <w:t>Identifier les personnes de remplacement, au cas où des personnes clés au sein de l'équipe de gestion de projet (UGP, bureau de contrôle, contractant, sous-traitants) tombent malades et communiquer qui elles sont afin que les gens soient au courant des dispositions qui ont été mises en place.</w:t>
      </w:r>
    </w:p>
    <w:p w14:paraId="054A27E1" w14:textId="77777777" w:rsidR="00871A3A" w:rsidRPr="007E3D1A" w:rsidRDefault="00871A3A" w:rsidP="00871A3A">
      <w:pPr>
        <w:rPr>
          <w:rFonts w:cs="Arial"/>
          <w:sz w:val="22"/>
        </w:rPr>
      </w:pPr>
      <w:r w:rsidRPr="007E3D1A">
        <w:rPr>
          <w:rFonts w:cs="Arial"/>
          <w:sz w:val="22"/>
        </w:rPr>
        <w:t>Documenter les procédures afin que les gens sachent ce qu’ils sont et ne dépendent pas des connaissances d’une seule personne.</w:t>
      </w:r>
    </w:p>
    <w:p w14:paraId="08E8A295" w14:textId="77777777" w:rsidR="00871A3A" w:rsidRPr="007E3D1A" w:rsidRDefault="00871A3A" w:rsidP="00871A3A">
      <w:pPr>
        <w:rPr>
          <w:rFonts w:cs="Arial"/>
          <w:sz w:val="22"/>
        </w:rPr>
      </w:pPr>
    </w:p>
    <w:p w14:paraId="5FB1D850" w14:textId="77777777" w:rsidR="00871A3A" w:rsidRPr="007E3D1A" w:rsidRDefault="00871A3A" w:rsidP="00871A3A">
      <w:pPr>
        <w:rPr>
          <w:rFonts w:cs="Arial"/>
          <w:sz w:val="22"/>
        </w:rPr>
      </w:pPr>
      <w:r w:rsidRPr="007E3D1A">
        <w:rPr>
          <w:rFonts w:cs="Arial"/>
          <w:sz w:val="22"/>
        </w:rPr>
        <w:t>Formation et communication avec les travailleurs</w:t>
      </w:r>
    </w:p>
    <w:p w14:paraId="44C45904" w14:textId="77777777" w:rsidR="00871A3A" w:rsidRPr="007E3D1A" w:rsidRDefault="00871A3A" w:rsidP="00871A3A">
      <w:pPr>
        <w:rPr>
          <w:rFonts w:cs="Arial"/>
          <w:sz w:val="22"/>
        </w:rPr>
      </w:pPr>
      <w:r w:rsidRPr="007E3D1A">
        <w:rPr>
          <w:rFonts w:cs="Arial"/>
          <w:sz w:val="22"/>
        </w:rPr>
        <w:t>Les travailleurs doivent avoir régulièrement la possibilité de comprendre leur situation et la meilleure façon de se protéger eux-mêmes, leur famille et la communauté. Ils doivent être informés des procédures mises en place par le projet et de leurs propres responsabilités dans leur mise en œuvre.</w:t>
      </w:r>
    </w:p>
    <w:p w14:paraId="3B97D422" w14:textId="77777777" w:rsidR="00871A3A" w:rsidRPr="007E3D1A" w:rsidRDefault="00871A3A" w:rsidP="00871A3A">
      <w:pPr>
        <w:rPr>
          <w:rFonts w:cs="Arial"/>
          <w:sz w:val="22"/>
        </w:rPr>
      </w:pPr>
      <w:r w:rsidRPr="007E3D1A">
        <w:rPr>
          <w:rFonts w:cs="Arial"/>
          <w:sz w:val="22"/>
        </w:rPr>
        <w:t>Il est important de savoir que dans les communautés proches du site et parmi les travailleurs n'ayant pas accès à la gestion de projet, les médias sociaux sont susceptibles d'être une source majeure d'informations. Cela souligne l'importance d'une information et d'un engagement réguliers avec les travailleurs (par exemple par le biais de formations, de mairies, de boîtes à outils) qui mettent l'accent sur ce que la direction fait pour faire face aux risques de COVID-19. Apaiser la peur est un aspect important de la tranquillité d'esprit et de la continuité des activités. Les travailleurs devraient avoir la possibilité de poser des questions, d'exprimer leurs préoccupations et de faire des suggestions.</w:t>
      </w:r>
    </w:p>
    <w:p w14:paraId="4AB1E27C" w14:textId="77777777" w:rsidR="00871A3A" w:rsidRPr="007E3D1A" w:rsidRDefault="00871A3A" w:rsidP="00871A3A">
      <w:pPr>
        <w:rPr>
          <w:rFonts w:cs="Arial"/>
          <w:sz w:val="22"/>
        </w:rPr>
      </w:pPr>
      <w:r w:rsidRPr="007E3D1A">
        <w:rPr>
          <w:rFonts w:cs="Arial"/>
          <w:sz w:val="22"/>
        </w:rPr>
        <w:t>Comprendre la chaîne d'approvisionnement pour les fournitures nécessaires d'énergie, d'eau, de nourriture, de fournitures médicales et de matériel de nettoyage, examiner comment cela pourrait être impacté et quelles alternatives sont disponibles. Un examen proactif précoce des chaînes d'approvisionnement internationales, régionales et nationales, en particulier pour les fournitures qui sont essentielles pour le projet, est important (par exemple, carburant, nourriture, soins médicaux, nettoyage et autres fournitures essentielles). La planification d'une interruption de 1 à 2 mois des marchandises critiques peut être appropriée pour des projets dans des régions plus éloignées.</w:t>
      </w:r>
    </w:p>
    <w:p w14:paraId="254A897D" w14:textId="77777777" w:rsidR="00871A3A" w:rsidRPr="007E3D1A" w:rsidRDefault="00871A3A" w:rsidP="00871A3A">
      <w:pPr>
        <w:rPr>
          <w:rFonts w:cs="Arial"/>
          <w:sz w:val="22"/>
        </w:rPr>
      </w:pPr>
      <w:r w:rsidRPr="007E3D1A">
        <w:rPr>
          <w:rFonts w:cs="Arial"/>
          <w:sz w:val="22"/>
        </w:rPr>
        <w:t>Passer des commandes / se procurer des fournitures essentielles. Si elles ne sont pas disponibles, envisagez des alternatives (si possible).</w:t>
      </w:r>
    </w:p>
    <w:p w14:paraId="37893D1A" w14:textId="77777777" w:rsidR="00871A3A" w:rsidRPr="007E3D1A" w:rsidRDefault="00871A3A" w:rsidP="00871A3A">
      <w:pPr>
        <w:rPr>
          <w:rFonts w:cs="Arial"/>
          <w:sz w:val="22"/>
        </w:rPr>
      </w:pPr>
      <w:r w:rsidRPr="007E3D1A">
        <w:rPr>
          <w:rFonts w:cs="Arial"/>
          <w:sz w:val="22"/>
        </w:rPr>
        <w:t>Examiner les dispositions de sécurité existantes et déterminer si elles seront adéquates en cas d'interruption des opérations normales du projet.</w:t>
      </w:r>
    </w:p>
    <w:p w14:paraId="26F9ED3B" w14:textId="77777777" w:rsidR="00871A3A" w:rsidRPr="007E3D1A" w:rsidRDefault="00871A3A" w:rsidP="00871A3A">
      <w:pPr>
        <w:rPr>
          <w:rFonts w:cs="Arial"/>
          <w:sz w:val="22"/>
        </w:rPr>
      </w:pPr>
      <w:r w:rsidRPr="007E3D1A">
        <w:rPr>
          <w:rFonts w:cs="Arial"/>
          <w:sz w:val="22"/>
        </w:rPr>
        <w:t>Réfléchissez à quel moment il peut devenir nécessaire pour le projet de réduire considérablement les activités ou d'arrêter complètement le travail, et ce qui devrait être fait pour s'y préparer et recommencer le travail quand cela devient possible ou faisable.</w:t>
      </w:r>
    </w:p>
    <w:p w14:paraId="5D0EC1A8" w14:textId="77777777" w:rsidR="00871A3A" w:rsidRPr="007E3D1A" w:rsidRDefault="00871A3A" w:rsidP="00871A3A">
      <w:pPr>
        <w:rPr>
          <w:rFonts w:cs="Arial"/>
          <w:sz w:val="22"/>
        </w:rPr>
      </w:pPr>
      <w:r w:rsidRPr="007E3D1A">
        <w:rPr>
          <w:rFonts w:cs="Arial"/>
          <w:sz w:val="22"/>
        </w:rPr>
        <w:t>La formation des travailleurs devrait être menée régulièrement, comme indiqué dans les sections ci-dessus, afin de fournir aux travailleurs une compréhension claire de la façon dont ils doivent se comporter et s'acquitter de leurs tâches.</w:t>
      </w:r>
    </w:p>
    <w:p w14:paraId="1A281FFA" w14:textId="77777777" w:rsidR="00871A3A" w:rsidRPr="007E3D1A" w:rsidRDefault="00871A3A" w:rsidP="00871A3A">
      <w:pPr>
        <w:rPr>
          <w:rFonts w:cs="Arial"/>
          <w:sz w:val="22"/>
        </w:rPr>
      </w:pPr>
      <w:r w:rsidRPr="007E3D1A">
        <w:rPr>
          <w:rFonts w:cs="Arial"/>
          <w:sz w:val="22"/>
        </w:rPr>
        <w:t>La formation devrait aborder les problèmes de discrimination ou de préjugés si un travailleur tombe malade et permettre de comprendre la trajectoire du virus, où les travailleurs retournent au travail.</w:t>
      </w:r>
    </w:p>
    <w:p w14:paraId="105F7A69" w14:textId="77777777" w:rsidR="00871A3A" w:rsidRPr="007E3D1A" w:rsidRDefault="00871A3A" w:rsidP="00871A3A">
      <w:pPr>
        <w:rPr>
          <w:rFonts w:cs="Arial"/>
          <w:sz w:val="22"/>
        </w:rPr>
      </w:pPr>
      <w:r w:rsidRPr="007E3D1A">
        <w:rPr>
          <w:rFonts w:cs="Arial"/>
          <w:sz w:val="22"/>
        </w:rPr>
        <w:t>La formation devrait couvrir toutes les questions qui seraient normalement requises sur le chantier, y compris l'utilisation des procédures de sécurité, l'utilisation des EPI de construction, les questions de santé et de sécurité au travail et le code de conduite, en tenant compte du fait que les pratiques de travail peuvent avoir été ajustées.</w:t>
      </w:r>
    </w:p>
    <w:p w14:paraId="39E7D7A6" w14:textId="77777777" w:rsidR="00871A3A" w:rsidRPr="007E3D1A" w:rsidRDefault="00871A3A" w:rsidP="00871A3A">
      <w:pPr>
        <w:rPr>
          <w:rFonts w:cs="Arial"/>
          <w:sz w:val="22"/>
        </w:rPr>
      </w:pPr>
      <w:r w:rsidRPr="007E3D1A">
        <w:rPr>
          <w:rFonts w:cs="Arial"/>
          <w:sz w:val="22"/>
        </w:rPr>
        <w:t>Les communications doivent être claires, fondées sur des faits et conçues pour être facilement comprises par les travailleurs, par exemple en affichant des affiches sur le lavage des mains et la distanciation sociale, et ce qu'il faut faire si un travailleur présente des symptômes.</w:t>
      </w:r>
    </w:p>
    <w:p w14:paraId="0E48DC6A" w14:textId="77777777" w:rsidR="00871A3A" w:rsidRPr="007E3D1A" w:rsidRDefault="00871A3A" w:rsidP="00871A3A">
      <w:pPr>
        <w:rPr>
          <w:rFonts w:cs="Arial"/>
          <w:sz w:val="22"/>
        </w:rPr>
      </w:pPr>
    </w:p>
    <w:p w14:paraId="1C3C9192" w14:textId="77777777" w:rsidR="00871A3A" w:rsidRPr="007E3D1A" w:rsidRDefault="00871A3A" w:rsidP="00871A3A">
      <w:pPr>
        <w:rPr>
          <w:rFonts w:cs="Arial"/>
          <w:sz w:val="22"/>
        </w:rPr>
      </w:pPr>
      <w:r w:rsidRPr="007E3D1A">
        <w:rPr>
          <w:rFonts w:cs="Arial"/>
          <w:sz w:val="22"/>
        </w:rPr>
        <w:t xml:space="preserve">Communication et contact avec la communauté </w:t>
      </w:r>
    </w:p>
    <w:p w14:paraId="5AA95751" w14:textId="77777777" w:rsidR="00871A3A" w:rsidRPr="007E3D1A" w:rsidRDefault="00871A3A" w:rsidP="00871A3A">
      <w:pPr>
        <w:rPr>
          <w:rFonts w:cs="Arial"/>
          <w:sz w:val="22"/>
        </w:rPr>
      </w:pPr>
      <w:r w:rsidRPr="007E3D1A">
        <w:rPr>
          <w:rFonts w:cs="Arial"/>
          <w:sz w:val="22"/>
        </w:rPr>
        <w:t xml:space="preserve">Les relations avec la communauté doivent être gérées avec soin, en mettant l'accent sur les mesures mises en œuvre pour protéger les travailleurs et la communauté. La communauté peut être préoccupée par la présence de travailleurs non locaux ou par les risques posés à la communauté par la présence de travailleurs locaux sur le site du projet. Le projet doit définir les procédures fondées sur les risques à suivre, qui peuvent refléter les orientations de l'OMS (pour de plus amples informations, voir le plan d'action de l'OMS sur la communication des risques et l'engagement communautaire (RCCE) COVID-19 Préparation et réponse ; </w:t>
      </w:r>
      <w:hyperlink r:id="rId162" w:history="1">
        <w:r w:rsidRPr="007E3D1A">
          <w:rPr>
            <w:rFonts w:cs="Arial"/>
            <w:sz w:val="22"/>
          </w:rPr>
          <w:t>https://www.who.int/publications-detail/risk-communication-and-community-engagement-(rcce)-action-plan-guidance</w:t>
        </w:r>
      </w:hyperlink>
      <w:r w:rsidRPr="007E3D1A">
        <w:rPr>
          <w:rFonts w:cs="Arial"/>
          <w:sz w:val="22"/>
        </w:rPr>
        <w:t xml:space="preserve">). </w:t>
      </w:r>
    </w:p>
    <w:p w14:paraId="2D87B0FE" w14:textId="77777777" w:rsidR="00871A3A" w:rsidRPr="007E3D1A" w:rsidRDefault="00871A3A" w:rsidP="00871A3A">
      <w:pPr>
        <w:rPr>
          <w:rFonts w:cs="Arial"/>
          <w:sz w:val="22"/>
        </w:rPr>
      </w:pPr>
      <w:r w:rsidRPr="007E3D1A">
        <w:rPr>
          <w:rFonts w:cs="Arial"/>
          <w:sz w:val="22"/>
        </w:rPr>
        <w:t>Les bonnes pratiques suivantes doivent être prises en compte :</w:t>
      </w:r>
    </w:p>
    <w:p w14:paraId="499DCFB2" w14:textId="77777777" w:rsidR="00871A3A" w:rsidRPr="007E3D1A" w:rsidRDefault="00871A3A" w:rsidP="00871A3A">
      <w:pPr>
        <w:rPr>
          <w:rFonts w:cs="Arial"/>
          <w:sz w:val="22"/>
        </w:rPr>
      </w:pPr>
      <w:r w:rsidRPr="007E3D1A">
        <w:rPr>
          <w:rFonts w:cs="Arial"/>
          <w:sz w:val="22"/>
        </w:rPr>
        <w:t>Les communications doivent être claires, régulières, fondées sur des faits et conçues pour être facilement comprises par les membres de la communauté.</w:t>
      </w:r>
    </w:p>
    <w:p w14:paraId="4635CE2F" w14:textId="77777777" w:rsidR="00871A3A" w:rsidRPr="007E3D1A" w:rsidRDefault="00871A3A" w:rsidP="00871A3A">
      <w:pPr>
        <w:rPr>
          <w:rFonts w:cs="Arial"/>
          <w:sz w:val="22"/>
        </w:rPr>
      </w:pPr>
      <w:r w:rsidRPr="007E3D1A">
        <w:rPr>
          <w:rFonts w:cs="Arial"/>
          <w:sz w:val="22"/>
        </w:rPr>
        <w:t>Les communications devraient utiliser les moyens disponibles. Dans la plupart des cas, des rencontres en personne avec la communauté ou des représentants de la communauté ne seront pas possibles. D'autres formes de communication devraient être utilisées : affiches, brochures, radio, SMS, réunions électroniques. Les moyens utilisés devraient prendre en compte la capacité des différents membres de la communauté à y accéder, pour s'assurer que la communication parvienne à ces groupes.</w:t>
      </w:r>
    </w:p>
    <w:p w14:paraId="1933B7D8" w14:textId="77777777" w:rsidR="00871A3A" w:rsidRPr="007E3D1A" w:rsidRDefault="00871A3A" w:rsidP="00871A3A">
      <w:pPr>
        <w:rPr>
          <w:rFonts w:cs="Arial"/>
          <w:sz w:val="22"/>
        </w:rPr>
      </w:pPr>
      <w:r w:rsidRPr="007E3D1A">
        <w:rPr>
          <w:rFonts w:cs="Arial"/>
          <w:sz w:val="22"/>
        </w:rPr>
        <w:t>La communauté doit être informée des procédures mises en place sur le site pour résoudre les problèmes liés à COVID-19. Cela devrait inclure toutes les mesures mises en œuvre pour limiter ou interdire les contacts entre les travailleurs et la communauté. Ceux-ci doivent être communiqués clairement, car certaines mesures auront des implications financières pour la communauté (par exemple, si les travailleurs paient pour le logement ou utilisent les installations locales). La communauté doit être informée de la procédure d'entrée / sortie sur le site, de la formation dispensée aux travailleurs et de la procédure qui sera suivie par le projet si un travailleur tombe malade.</w:t>
      </w:r>
    </w:p>
    <w:p w14:paraId="702099FB" w14:textId="77777777" w:rsidR="00871A3A" w:rsidRPr="007E3D1A" w:rsidRDefault="00871A3A" w:rsidP="00871A3A">
      <w:pPr>
        <w:rPr>
          <w:rFonts w:cs="Arial"/>
          <w:sz w:val="22"/>
        </w:rPr>
      </w:pPr>
      <w:r w:rsidRPr="007E3D1A">
        <w:rPr>
          <w:rFonts w:cs="Arial"/>
          <w:sz w:val="22"/>
        </w:rPr>
        <w:t>Si les représentants du projet, les sous-traitants ou les travailleurs interagissent avec la communauté, ils doivent pratiquer la distanciation sociale et suivre les autres directives COVID-19 émises par les autorités compétentes, nationales et internationales (par exemple l'OMS).</w:t>
      </w:r>
    </w:p>
    <w:p w14:paraId="2DC01B16" w14:textId="77777777" w:rsidR="00871A3A" w:rsidRPr="007E3D1A" w:rsidRDefault="00871A3A" w:rsidP="00871A3A">
      <w:pPr>
        <w:rPr>
          <w:rFonts w:cs="Arial"/>
          <w:sz w:val="22"/>
        </w:rPr>
      </w:pPr>
      <w:r w:rsidRPr="007E3D1A">
        <w:rPr>
          <w:rFonts w:cs="Arial"/>
          <w:sz w:val="22"/>
        </w:rPr>
        <w:t>Autoriser le recours à la police ou à l'armée dans certaines activités (par exemple, appliquer des couvre-feux ou des restrictions de mouvement)</w:t>
      </w:r>
    </w:p>
    <w:p w14:paraId="3DDBD9DC" w14:textId="77777777" w:rsidR="00871A3A" w:rsidRPr="007E3D1A" w:rsidRDefault="00871A3A" w:rsidP="00871A3A">
      <w:pPr>
        <w:rPr>
          <w:rFonts w:cs="Arial"/>
          <w:sz w:val="22"/>
        </w:rPr>
      </w:pPr>
      <w:r w:rsidRPr="007E3D1A">
        <w:rPr>
          <w:rFonts w:cs="Arial"/>
          <w:sz w:val="22"/>
        </w:rPr>
        <w:t>Ordonner à certaines catégories d'employés de travailler de plus longues heures, de ne pas prendre de vacances ou de ne pas quitter leur emploi (par exemple, les agents de santé)</w:t>
      </w:r>
    </w:p>
    <w:p w14:paraId="36418F9C" w14:textId="77777777" w:rsidR="00871A3A" w:rsidRPr="007E3D1A" w:rsidRDefault="00871A3A" w:rsidP="00871A3A">
      <w:pPr>
        <w:rPr>
          <w:rFonts w:cs="Arial"/>
          <w:sz w:val="22"/>
        </w:rPr>
      </w:pPr>
      <w:r w:rsidRPr="007E3D1A">
        <w:rPr>
          <w:rFonts w:cs="Arial"/>
          <w:sz w:val="22"/>
        </w:rPr>
        <w:t>Ordonner aux travailleurs non essentiels de rester à la maison, pour un salaire réduit ou des vacances obligatoires</w:t>
      </w:r>
    </w:p>
    <w:p w14:paraId="0C2F207A" w14:textId="77777777" w:rsidR="00871A3A" w:rsidRPr="007E3D1A" w:rsidRDefault="00871A3A" w:rsidP="00871A3A">
      <w:pPr>
        <w:rPr>
          <w:rFonts w:cs="Arial"/>
          <w:sz w:val="22"/>
        </w:rPr>
      </w:pPr>
      <w:r w:rsidRPr="007E3D1A">
        <w:rPr>
          <w:rFonts w:cs="Arial"/>
          <w:sz w:val="22"/>
        </w:rPr>
        <w:t>Il est important que l'emprunteur comprenne comment les exigences obligatoires de la législation auront un impact sur le projet. Les UGP devraient demander aux contractants d'examiner comment la législation d'urgence affectera les obligations de l'emprunteur énoncées dans l'accord juridique et les obligations énoncées dans les contrats de construction. Lorsque la législation exige une dérogation substantielle aux obligations contractuelles existantes, cela devrait être documenté, énonçant les dispositions pertinentes.</w:t>
      </w:r>
    </w:p>
    <w:p w14:paraId="06FDA2C5" w14:textId="77777777" w:rsidR="00871A3A" w:rsidRPr="007E3D1A" w:rsidRDefault="00871A3A" w:rsidP="00871A3A">
      <w:pPr>
        <w:rPr>
          <w:rFonts w:cs="Arial"/>
          <w:sz w:val="22"/>
        </w:rPr>
      </w:pPr>
      <w:r w:rsidRPr="007E3D1A">
        <w:rPr>
          <w:rFonts w:cs="Arial"/>
          <w:sz w:val="22"/>
        </w:rPr>
        <w:br w:type="page"/>
      </w:r>
    </w:p>
    <w:p w14:paraId="4B5A06C1" w14:textId="77777777" w:rsidR="00871A3A" w:rsidRPr="00372F9C" w:rsidRDefault="00871A3A" w:rsidP="00372F9C">
      <w:pPr>
        <w:ind w:left="1418" w:hanging="1418"/>
        <w:rPr>
          <w:rFonts w:cs="Arial"/>
          <w:b/>
          <w:bCs/>
          <w:sz w:val="22"/>
        </w:rPr>
      </w:pPr>
      <w:r w:rsidRPr="00372F9C">
        <w:rPr>
          <w:rFonts w:cs="Arial"/>
          <w:b/>
          <w:bCs/>
          <w:sz w:val="22"/>
        </w:rPr>
        <w:t>ANNEXE 14. LISTE D’EXCLUSION PRELIMINAIRE POUR LES SECTEURS ET DES ACTIVITES E&amp;S A RISQUE ELEVE.</w:t>
      </w:r>
    </w:p>
    <w:p w14:paraId="57C1F3E0" w14:textId="77777777" w:rsidR="00871A3A" w:rsidRPr="007E3D1A" w:rsidRDefault="00871A3A" w:rsidP="00871A3A">
      <w:pPr>
        <w:rPr>
          <w:rFonts w:cs="Arial"/>
          <w:sz w:val="22"/>
        </w:rPr>
      </w:pPr>
    </w:p>
    <w:p w14:paraId="4178479B" w14:textId="77777777" w:rsidR="009B381E" w:rsidRPr="009B381E" w:rsidRDefault="009B381E" w:rsidP="009B381E">
      <w:pPr>
        <w:rPr>
          <w:rFonts w:cs="Arial"/>
          <w:sz w:val="22"/>
        </w:rPr>
      </w:pPr>
      <w:r w:rsidRPr="009B381E">
        <w:rPr>
          <w:rFonts w:cs="Arial"/>
          <w:sz w:val="22"/>
        </w:rPr>
        <w:t xml:space="preserve">Les activités suivantes ne seront pas éligibles pour un financement dans le cadre du Projet : </w:t>
      </w:r>
    </w:p>
    <w:p w14:paraId="3E5FDC87" w14:textId="77777777" w:rsidR="009B381E" w:rsidRPr="009B381E" w:rsidRDefault="009B381E" w:rsidP="009B381E">
      <w:pPr>
        <w:rPr>
          <w:rFonts w:cs="Arial"/>
          <w:sz w:val="22"/>
        </w:rPr>
      </w:pPr>
    </w:p>
    <w:p w14:paraId="7E9BEB00" w14:textId="77777777" w:rsidR="009B381E" w:rsidRPr="009B381E" w:rsidRDefault="009B381E" w:rsidP="009B381E">
      <w:pPr>
        <w:rPr>
          <w:rFonts w:cs="Arial"/>
          <w:sz w:val="22"/>
        </w:rPr>
      </w:pPr>
      <w:r w:rsidRPr="009B381E">
        <w:rPr>
          <w:rFonts w:cs="Arial"/>
          <w:sz w:val="22"/>
        </w:rPr>
        <w:t>a.</w:t>
      </w:r>
      <w:r w:rsidRPr="009B381E">
        <w:rPr>
          <w:rFonts w:cs="Arial"/>
          <w:sz w:val="22"/>
        </w:rPr>
        <w:tab/>
        <w:t>Financement des activités requérant le Consentement Préalable donné Librement et en Connaissance de Cause (CPLCC) des Populations Autochtones et/ou requérant la réinstallation des populations autochtones</w:t>
      </w:r>
    </w:p>
    <w:p w14:paraId="3E935589" w14:textId="77777777" w:rsidR="009B381E" w:rsidRPr="009B381E" w:rsidRDefault="009B381E" w:rsidP="009B381E">
      <w:pPr>
        <w:rPr>
          <w:rFonts w:cs="Arial"/>
          <w:sz w:val="22"/>
        </w:rPr>
      </w:pPr>
      <w:r w:rsidRPr="009B381E">
        <w:rPr>
          <w:rFonts w:cs="Arial"/>
          <w:sz w:val="22"/>
        </w:rPr>
        <w:t>b.</w:t>
      </w:r>
      <w:r w:rsidRPr="009B381E">
        <w:rPr>
          <w:rFonts w:cs="Arial"/>
          <w:sz w:val="22"/>
        </w:rPr>
        <w:tab/>
        <w:t>Toutes les activités liées à l’agriculture et à la réhabilitation des routes rurales susceptibles d’altérer ou provoquer la destruction d’habitats naturels critiques ou sensibles ;</w:t>
      </w:r>
    </w:p>
    <w:p w14:paraId="35455065" w14:textId="77777777" w:rsidR="009B381E" w:rsidRPr="009B381E" w:rsidRDefault="009B381E" w:rsidP="009B381E">
      <w:pPr>
        <w:rPr>
          <w:rFonts w:cs="Arial"/>
          <w:sz w:val="22"/>
        </w:rPr>
      </w:pPr>
      <w:r w:rsidRPr="009B381E">
        <w:rPr>
          <w:rFonts w:cs="Arial"/>
          <w:sz w:val="22"/>
        </w:rPr>
        <w:t>c.</w:t>
      </w:r>
      <w:r w:rsidRPr="009B381E">
        <w:rPr>
          <w:rFonts w:cs="Arial"/>
          <w:sz w:val="22"/>
        </w:rPr>
        <w:tab/>
        <w:t>Toutes les activités dans les zones à haute valeur de biodiversité telles que les habitats critiques ou naturels, des zones à haute valeur de conservation, des habitats modifiés qui contiennent une importante valeur de biodiversité.</w:t>
      </w:r>
    </w:p>
    <w:p w14:paraId="3F2A148C" w14:textId="77777777" w:rsidR="009B381E" w:rsidRPr="009B381E" w:rsidRDefault="009B381E" w:rsidP="009B381E">
      <w:pPr>
        <w:rPr>
          <w:rFonts w:cs="Arial"/>
          <w:sz w:val="22"/>
        </w:rPr>
      </w:pPr>
      <w:r w:rsidRPr="009B381E">
        <w:rPr>
          <w:rFonts w:cs="Arial"/>
          <w:sz w:val="22"/>
        </w:rPr>
        <w:t>d.</w:t>
      </w:r>
      <w:r w:rsidRPr="009B381E">
        <w:rPr>
          <w:rFonts w:cs="Arial"/>
          <w:sz w:val="22"/>
        </w:rPr>
        <w:tab/>
        <w:t>Toutes les activités présentant des risques importants et/ou des impacts négatifs sur la biodiversité et ceux qui nécessiteraient le défrichage de tout type de terrain forestier seront exclues du financement</w:t>
      </w:r>
    </w:p>
    <w:p w14:paraId="4C63213D" w14:textId="77777777" w:rsidR="009B381E" w:rsidRPr="009B381E" w:rsidRDefault="009B381E" w:rsidP="009B381E">
      <w:pPr>
        <w:rPr>
          <w:rFonts w:cs="Arial"/>
          <w:sz w:val="22"/>
        </w:rPr>
      </w:pPr>
      <w:r w:rsidRPr="009B381E">
        <w:rPr>
          <w:rFonts w:cs="Arial"/>
          <w:sz w:val="22"/>
        </w:rPr>
        <w:t>e.</w:t>
      </w:r>
      <w:r w:rsidRPr="009B381E">
        <w:rPr>
          <w:rFonts w:cs="Arial"/>
          <w:sz w:val="22"/>
        </w:rPr>
        <w:tab/>
        <w:t xml:space="preserve">Les activités qui impliquent un déplacement important ou une réinstallation involontaire d'un grand nombre de personnes ou qui pourraient donner lieu à un conflit social important ; </w:t>
      </w:r>
    </w:p>
    <w:p w14:paraId="11FF0DF6" w14:textId="77777777" w:rsidR="009B381E" w:rsidRPr="009B381E" w:rsidRDefault="009B381E" w:rsidP="009B381E">
      <w:pPr>
        <w:rPr>
          <w:rFonts w:cs="Arial"/>
          <w:sz w:val="22"/>
        </w:rPr>
      </w:pPr>
      <w:r w:rsidRPr="009B381E">
        <w:rPr>
          <w:rFonts w:cs="Arial"/>
          <w:sz w:val="22"/>
        </w:rPr>
        <w:t>f.</w:t>
      </w:r>
      <w:r w:rsidRPr="009B381E">
        <w:rPr>
          <w:rFonts w:cs="Arial"/>
          <w:sz w:val="22"/>
        </w:rPr>
        <w:tab/>
        <w:t xml:space="preserve">Les Activités dans les zones du patrimoine culturel légalement protégées ou les zones de patrimoine culturel des Populations Autochtones ; </w:t>
      </w:r>
    </w:p>
    <w:p w14:paraId="00C73FF5" w14:textId="77777777" w:rsidR="009B381E" w:rsidRPr="009B381E" w:rsidRDefault="009B381E" w:rsidP="009B381E">
      <w:pPr>
        <w:rPr>
          <w:rFonts w:cs="Arial"/>
          <w:sz w:val="22"/>
        </w:rPr>
      </w:pPr>
      <w:r w:rsidRPr="009B381E">
        <w:rPr>
          <w:rFonts w:cs="Arial"/>
          <w:sz w:val="22"/>
        </w:rPr>
        <w:t>g.</w:t>
      </w:r>
      <w:r w:rsidRPr="009B381E">
        <w:rPr>
          <w:rFonts w:cs="Arial"/>
          <w:sz w:val="22"/>
        </w:rPr>
        <w:tab/>
        <w:t xml:space="preserve">la production ou le commerce d'armes et de munitions ; </w:t>
      </w:r>
    </w:p>
    <w:p w14:paraId="76ED4635" w14:textId="77777777" w:rsidR="009B381E" w:rsidRPr="009B381E" w:rsidRDefault="009B381E" w:rsidP="009B381E">
      <w:pPr>
        <w:rPr>
          <w:rFonts w:cs="Arial"/>
          <w:sz w:val="22"/>
        </w:rPr>
      </w:pPr>
      <w:r w:rsidRPr="009B381E">
        <w:rPr>
          <w:rFonts w:cs="Arial"/>
          <w:sz w:val="22"/>
        </w:rPr>
        <w:t>h.</w:t>
      </w:r>
      <w:r w:rsidRPr="009B381E">
        <w:rPr>
          <w:rFonts w:cs="Arial"/>
          <w:sz w:val="22"/>
        </w:rPr>
        <w:tab/>
        <w:t xml:space="preserve">la production ou le commerce de boissons alcooliques ; </w:t>
      </w:r>
    </w:p>
    <w:p w14:paraId="07AB65E8" w14:textId="77777777" w:rsidR="009B381E" w:rsidRPr="009B381E" w:rsidRDefault="009B381E" w:rsidP="009B381E">
      <w:pPr>
        <w:rPr>
          <w:rFonts w:cs="Arial"/>
          <w:sz w:val="22"/>
        </w:rPr>
      </w:pPr>
      <w:r w:rsidRPr="009B381E">
        <w:rPr>
          <w:rFonts w:cs="Arial"/>
          <w:sz w:val="22"/>
        </w:rPr>
        <w:t>i.</w:t>
      </w:r>
      <w:r w:rsidRPr="009B381E">
        <w:rPr>
          <w:rFonts w:cs="Arial"/>
          <w:sz w:val="22"/>
        </w:rPr>
        <w:tab/>
        <w:t xml:space="preserve">la production ou le commerce de tabac ; </w:t>
      </w:r>
    </w:p>
    <w:p w14:paraId="55711DAB" w14:textId="77777777" w:rsidR="009B381E" w:rsidRPr="009B381E" w:rsidRDefault="009B381E" w:rsidP="009B381E">
      <w:pPr>
        <w:rPr>
          <w:rFonts w:cs="Arial"/>
          <w:sz w:val="22"/>
        </w:rPr>
      </w:pPr>
      <w:r w:rsidRPr="009B381E">
        <w:rPr>
          <w:rFonts w:cs="Arial"/>
          <w:sz w:val="22"/>
        </w:rPr>
        <w:t>j.</w:t>
      </w:r>
      <w:r w:rsidRPr="009B381E">
        <w:rPr>
          <w:rFonts w:cs="Arial"/>
          <w:sz w:val="22"/>
        </w:rPr>
        <w:tab/>
        <w:t>les entreprises et casinos de jeux, et les entreprises similaires ;</w:t>
      </w:r>
    </w:p>
    <w:p w14:paraId="6F8BFF49" w14:textId="77777777" w:rsidR="009B381E" w:rsidRPr="009B381E" w:rsidRDefault="009B381E" w:rsidP="009B381E">
      <w:pPr>
        <w:rPr>
          <w:rFonts w:cs="Arial"/>
          <w:sz w:val="22"/>
        </w:rPr>
      </w:pPr>
      <w:r w:rsidRPr="009B381E">
        <w:rPr>
          <w:rFonts w:cs="Arial"/>
          <w:sz w:val="22"/>
        </w:rPr>
        <w:t>k.</w:t>
      </w:r>
      <w:r w:rsidRPr="009B381E">
        <w:rPr>
          <w:rFonts w:cs="Arial"/>
          <w:sz w:val="22"/>
        </w:rPr>
        <w:tab/>
        <w:t>la production ou le commerce de matières radioactives. Cela ne s’applique pas à l'achat du matériel médical, d'équipement de contrôle de qualité (mesure) et de n’importe quel équipement dans lequel la source radioactive est considérée comme insignifiante et/ou suffisamment protégée ;</w:t>
      </w:r>
    </w:p>
    <w:p w14:paraId="68CD8F60" w14:textId="77777777" w:rsidR="009B381E" w:rsidRPr="009B381E" w:rsidRDefault="009B381E" w:rsidP="009B381E">
      <w:pPr>
        <w:rPr>
          <w:rFonts w:cs="Arial"/>
          <w:sz w:val="22"/>
        </w:rPr>
      </w:pPr>
      <w:r w:rsidRPr="009B381E">
        <w:rPr>
          <w:rFonts w:cs="Arial"/>
          <w:sz w:val="22"/>
        </w:rPr>
        <w:t>l.</w:t>
      </w:r>
      <w:r w:rsidRPr="009B381E">
        <w:rPr>
          <w:rFonts w:cs="Arial"/>
          <w:sz w:val="22"/>
        </w:rPr>
        <w:tab/>
        <w:t>la production, l’achat, l’utilisation ou le commerce des matériaux et équipements potentiellement dangereux, y compris les fibres d'amiante illimitées (Cela ne s’applique pas à l'achat et l'utilisation de panneaux d'amiante-ciment limités où la teneur en amiante est moins de 20% ) ou d’autres investissements préjudiciables à l’environnement et aux moyens de subsistance, y compris les ressources culturelles;</w:t>
      </w:r>
    </w:p>
    <w:p w14:paraId="31023975" w14:textId="77777777" w:rsidR="009B381E" w:rsidRPr="009B381E" w:rsidRDefault="009B381E" w:rsidP="009B381E">
      <w:pPr>
        <w:rPr>
          <w:rFonts w:cs="Arial"/>
          <w:sz w:val="22"/>
        </w:rPr>
      </w:pPr>
      <w:r w:rsidRPr="009B381E">
        <w:rPr>
          <w:rFonts w:cs="Arial"/>
          <w:sz w:val="22"/>
        </w:rPr>
        <w:t>m.</w:t>
      </w:r>
      <w:r w:rsidRPr="009B381E">
        <w:rPr>
          <w:rFonts w:cs="Arial"/>
          <w:sz w:val="22"/>
        </w:rPr>
        <w:tab/>
        <w:t>la production d’activités impliquant des formes nuisibles ou d’exploitation du travail des enfants ;</w:t>
      </w:r>
    </w:p>
    <w:p w14:paraId="3D630057" w14:textId="77777777" w:rsidR="009B381E" w:rsidRPr="009B381E" w:rsidRDefault="009B381E" w:rsidP="009B381E">
      <w:pPr>
        <w:rPr>
          <w:rFonts w:cs="Arial"/>
          <w:sz w:val="22"/>
        </w:rPr>
      </w:pPr>
      <w:r w:rsidRPr="009B381E">
        <w:rPr>
          <w:rFonts w:cs="Arial"/>
          <w:sz w:val="22"/>
        </w:rPr>
        <w:t>n.</w:t>
      </w:r>
      <w:r w:rsidRPr="009B381E">
        <w:rPr>
          <w:rFonts w:cs="Arial"/>
          <w:sz w:val="22"/>
        </w:rPr>
        <w:tab/>
        <w:t>tout sous-projet impliquant la construction de tout nouveau barrage ou la réhabilitation de barrages existants pour des fins hydroagricoles, y compris les changements structurels et/ou opérationnels ;</w:t>
      </w:r>
    </w:p>
    <w:p w14:paraId="1A10E459" w14:textId="77777777" w:rsidR="009B381E" w:rsidRPr="009B381E" w:rsidRDefault="009B381E" w:rsidP="009B381E">
      <w:pPr>
        <w:rPr>
          <w:rFonts w:cs="Arial"/>
          <w:sz w:val="22"/>
        </w:rPr>
      </w:pPr>
      <w:r w:rsidRPr="009B381E">
        <w:rPr>
          <w:rFonts w:cs="Arial"/>
          <w:sz w:val="22"/>
        </w:rPr>
        <w:t>o.</w:t>
      </w:r>
      <w:r w:rsidRPr="009B381E">
        <w:rPr>
          <w:rFonts w:cs="Arial"/>
          <w:sz w:val="22"/>
        </w:rPr>
        <w:tab/>
        <w:t>tout sous-projet susceptible d’utiliser de l’eau provenant des voies navigables internationales ;</w:t>
      </w:r>
    </w:p>
    <w:p w14:paraId="1514DC89" w14:textId="77777777" w:rsidR="009B381E" w:rsidRPr="009B381E" w:rsidRDefault="009B381E" w:rsidP="009B381E">
      <w:pPr>
        <w:rPr>
          <w:rFonts w:cs="Arial"/>
          <w:sz w:val="22"/>
        </w:rPr>
      </w:pPr>
      <w:r w:rsidRPr="009B381E">
        <w:rPr>
          <w:rFonts w:cs="Arial"/>
          <w:sz w:val="22"/>
        </w:rPr>
        <w:t>p.</w:t>
      </w:r>
      <w:r w:rsidRPr="009B381E">
        <w:rPr>
          <w:rFonts w:cs="Arial"/>
          <w:sz w:val="22"/>
        </w:rPr>
        <w:tab/>
        <w:t xml:space="preserve">les sous-projets qui entraînent des impacts économiques et sociaux à travers : </w:t>
      </w:r>
    </w:p>
    <w:p w14:paraId="5C5D4211" w14:textId="77777777" w:rsidR="009B381E" w:rsidRPr="009B381E" w:rsidRDefault="009B381E" w:rsidP="009B381E">
      <w:pPr>
        <w:rPr>
          <w:rFonts w:cs="Arial"/>
          <w:sz w:val="22"/>
        </w:rPr>
      </w:pPr>
      <w:r w:rsidRPr="009B381E">
        <w:rPr>
          <w:rFonts w:cs="Arial"/>
          <w:sz w:val="22"/>
        </w:rPr>
        <w:t>-</w:t>
      </w:r>
      <w:r w:rsidRPr="009B381E">
        <w:rPr>
          <w:rFonts w:cs="Arial"/>
          <w:sz w:val="22"/>
        </w:rPr>
        <w:tab/>
        <w:t>la restriction involontaire de l'accès aux parcs naturels et aires légalement protégés, provoquant des impacts négatifs en ce qui concerne les moyens de subsistance des personnes déplacées.</w:t>
      </w:r>
    </w:p>
    <w:p w14:paraId="4C25DBA8" w14:textId="77777777" w:rsidR="00860191" w:rsidRDefault="00860191" w:rsidP="00860191">
      <w:pPr>
        <w:rPr>
          <w:rFonts w:cs="Arial"/>
          <w:b/>
          <w:bCs/>
          <w:sz w:val="22"/>
        </w:rPr>
      </w:pPr>
    </w:p>
    <w:p w14:paraId="3CCEEEC1" w14:textId="77777777" w:rsidR="00860191" w:rsidRDefault="00860191" w:rsidP="00860191">
      <w:pPr>
        <w:rPr>
          <w:rFonts w:cs="Arial"/>
          <w:b/>
          <w:bCs/>
          <w:sz w:val="22"/>
        </w:rPr>
      </w:pPr>
    </w:p>
    <w:p w14:paraId="3CB4874C" w14:textId="77777777" w:rsidR="00860191" w:rsidRDefault="00860191" w:rsidP="00860191">
      <w:pPr>
        <w:rPr>
          <w:rFonts w:cs="Arial"/>
          <w:b/>
          <w:bCs/>
          <w:sz w:val="22"/>
        </w:rPr>
        <w:sectPr w:rsidR="00860191" w:rsidSect="00871A3A">
          <w:headerReference w:type="default" r:id="rId163"/>
          <w:pgSz w:w="11907" w:h="16839" w:code="9"/>
          <w:pgMar w:top="993" w:right="1417" w:bottom="851" w:left="1418" w:header="567" w:footer="262" w:gutter="0"/>
          <w:cols w:space="708"/>
          <w:docGrid w:linePitch="360"/>
        </w:sectPr>
      </w:pPr>
    </w:p>
    <w:p w14:paraId="0BC072BA" w14:textId="77777777" w:rsidR="002F363F" w:rsidRDefault="002F363F" w:rsidP="002F363F">
      <w:pPr>
        <w:rPr>
          <w:rFonts w:cs="Arial"/>
          <w:b/>
          <w:bCs/>
          <w:sz w:val="22"/>
        </w:rPr>
      </w:pPr>
      <w:r w:rsidRPr="00860191">
        <w:rPr>
          <w:rFonts w:cs="Arial"/>
          <w:b/>
          <w:bCs/>
          <w:sz w:val="22"/>
        </w:rPr>
        <w:t xml:space="preserve">ANNEXE 15 </w:t>
      </w:r>
      <w:r w:rsidRPr="006A15F1">
        <w:rPr>
          <w:rFonts w:cs="Arial"/>
          <w:b/>
          <w:bCs/>
          <w:sz w:val="22"/>
        </w:rPr>
        <w:t xml:space="preserve">PLAN D’ACTION DE PREVENTION ET REPONSE AUX RISQUES D’EAHS </w:t>
      </w:r>
    </w:p>
    <w:p w14:paraId="70FE0F07" w14:textId="77777777" w:rsidR="002F363F" w:rsidRDefault="002F363F" w:rsidP="002F363F">
      <w:pPr>
        <w:rPr>
          <w:rFonts w:cs="Arial"/>
          <w:sz w:val="22"/>
        </w:rPr>
      </w:pPr>
    </w:p>
    <w:p w14:paraId="5D9367FE" w14:textId="77777777" w:rsidR="002F363F" w:rsidRDefault="002F363F" w:rsidP="002F363F">
      <w:pPr>
        <w:rPr>
          <w:rFonts w:ascii="Calibri" w:hAnsi="Calibri" w:cs="Calibri"/>
          <w:b/>
          <w:bCs/>
        </w:rPr>
      </w:pPr>
    </w:p>
    <w:tbl>
      <w:tblPr>
        <w:tblStyle w:val="Grilledutableau"/>
        <w:tblW w:w="15475" w:type="dxa"/>
        <w:tblLook w:val="04A0" w:firstRow="1" w:lastRow="0" w:firstColumn="1" w:lastColumn="0" w:noHBand="0" w:noVBand="1"/>
      </w:tblPr>
      <w:tblGrid>
        <w:gridCol w:w="2519"/>
        <w:gridCol w:w="2804"/>
        <w:gridCol w:w="1990"/>
        <w:gridCol w:w="1703"/>
        <w:gridCol w:w="1690"/>
        <w:gridCol w:w="1558"/>
        <w:gridCol w:w="1709"/>
        <w:gridCol w:w="1493"/>
        <w:gridCol w:w="9"/>
      </w:tblGrid>
      <w:tr w:rsidR="002F363F" w:rsidRPr="00F2455C" w14:paraId="31497D3E" w14:textId="77777777" w:rsidTr="004302E0">
        <w:tc>
          <w:tcPr>
            <w:tcW w:w="15475" w:type="dxa"/>
            <w:gridSpan w:val="9"/>
            <w:vAlign w:val="center"/>
          </w:tcPr>
          <w:p w14:paraId="7B095D34" w14:textId="77777777" w:rsidR="002F363F" w:rsidRPr="00F2455C" w:rsidRDefault="002F363F" w:rsidP="004302E0">
            <w:pPr>
              <w:rPr>
                <w:rFonts w:ascii="Calibri" w:hAnsi="Calibri" w:cs="Calibri"/>
                <w:b/>
                <w:bCs/>
                <w:sz w:val="19"/>
                <w:szCs w:val="19"/>
              </w:rPr>
            </w:pPr>
            <w:r w:rsidRPr="00F2455C">
              <w:rPr>
                <w:rFonts w:cstheme="minorHAnsi"/>
                <w:b/>
                <w:bCs/>
                <w:color w:val="000000"/>
                <w:sz w:val="19"/>
                <w:szCs w:val="19"/>
              </w:rPr>
              <w:t>FACTEURS PRINCIPAUX DES RISQUES RELATIFS A l’EAHS DANS LE CADRE DU PNDA</w:t>
            </w:r>
          </w:p>
        </w:tc>
      </w:tr>
      <w:tr w:rsidR="002F363F" w:rsidRPr="00F2455C" w14:paraId="16B73528" w14:textId="77777777" w:rsidTr="004302E0">
        <w:tc>
          <w:tcPr>
            <w:tcW w:w="15475" w:type="dxa"/>
            <w:gridSpan w:val="9"/>
          </w:tcPr>
          <w:p w14:paraId="6B5675FC" w14:textId="77777777" w:rsidR="002F363F" w:rsidRPr="00F2455C" w:rsidRDefault="002F363F" w:rsidP="004302E0">
            <w:pPr>
              <w:pStyle w:val="Paragraphedeliste"/>
              <w:numPr>
                <w:ilvl w:val="0"/>
                <w:numId w:val="172"/>
              </w:numPr>
              <w:spacing w:line="240" w:lineRule="auto"/>
              <w:jc w:val="left"/>
              <w:rPr>
                <w:rFonts w:cstheme="minorHAnsi"/>
                <w:color w:val="000000"/>
                <w:sz w:val="19"/>
                <w:szCs w:val="19"/>
              </w:rPr>
            </w:pPr>
            <w:r w:rsidRPr="00F2455C">
              <w:rPr>
                <w:rFonts w:cstheme="minorHAnsi"/>
                <w:color w:val="000000"/>
                <w:sz w:val="19"/>
                <w:szCs w:val="19"/>
              </w:rPr>
              <w:t>Localisation du projet dans des zones humanitaires affectées par le conflit et la présence des groupes armés</w:t>
            </w:r>
          </w:p>
          <w:p w14:paraId="6EF922CE" w14:textId="77777777" w:rsidR="002F363F" w:rsidRPr="00F2455C" w:rsidRDefault="002F363F" w:rsidP="004302E0">
            <w:pPr>
              <w:pStyle w:val="Paragraphedeliste"/>
              <w:numPr>
                <w:ilvl w:val="0"/>
                <w:numId w:val="172"/>
              </w:numPr>
              <w:spacing w:line="240" w:lineRule="auto"/>
              <w:ind w:right="-767"/>
              <w:jc w:val="left"/>
              <w:rPr>
                <w:rFonts w:cstheme="minorHAnsi"/>
                <w:color w:val="000000"/>
                <w:sz w:val="19"/>
                <w:szCs w:val="19"/>
              </w:rPr>
            </w:pPr>
            <w:r w:rsidRPr="00F2455C">
              <w:rPr>
                <w:rFonts w:cstheme="minorHAnsi"/>
                <w:color w:val="000000"/>
                <w:sz w:val="19"/>
                <w:szCs w:val="19"/>
              </w:rPr>
              <w:t xml:space="preserve">Certains sites du projet sont aussi très reculés ou dans des zones rurales avec un accès difficile sur une étendue du pays assez vaste </w:t>
            </w:r>
          </w:p>
          <w:p w14:paraId="66B92627" w14:textId="77777777" w:rsidR="002F363F" w:rsidRPr="00F2455C" w:rsidRDefault="002F363F" w:rsidP="004302E0">
            <w:pPr>
              <w:pStyle w:val="Paragraphedeliste"/>
              <w:numPr>
                <w:ilvl w:val="0"/>
                <w:numId w:val="172"/>
              </w:numPr>
              <w:spacing w:line="240" w:lineRule="auto"/>
              <w:jc w:val="left"/>
              <w:rPr>
                <w:rFonts w:cstheme="minorHAnsi"/>
                <w:color w:val="000000"/>
                <w:sz w:val="19"/>
                <w:szCs w:val="19"/>
              </w:rPr>
            </w:pPr>
            <w:r w:rsidRPr="00F2455C">
              <w:rPr>
                <w:rFonts w:cstheme="minorHAnsi"/>
                <w:color w:val="000000"/>
                <w:sz w:val="19"/>
                <w:szCs w:val="19"/>
              </w:rPr>
              <w:t>Niveau majeur des travaux de génie civil avec un afflux de main d’œuvre moyen anticipé</w:t>
            </w:r>
          </w:p>
          <w:p w14:paraId="67F9A6F8" w14:textId="77777777" w:rsidR="002F363F" w:rsidRPr="00F2455C" w:rsidRDefault="002F363F" w:rsidP="004302E0">
            <w:pPr>
              <w:pStyle w:val="Paragraphedeliste"/>
              <w:numPr>
                <w:ilvl w:val="0"/>
                <w:numId w:val="172"/>
              </w:numPr>
              <w:spacing w:line="240" w:lineRule="auto"/>
              <w:jc w:val="left"/>
              <w:rPr>
                <w:rFonts w:cstheme="minorHAnsi"/>
                <w:color w:val="000000"/>
                <w:sz w:val="19"/>
                <w:szCs w:val="19"/>
              </w:rPr>
            </w:pPr>
            <w:r w:rsidRPr="00F2455C">
              <w:rPr>
                <w:rFonts w:cstheme="minorHAnsi"/>
                <w:color w:val="000000"/>
                <w:sz w:val="19"/>
                <w:szCs w:val="19"/>
              </w:rPr>
              <w:t>Travaux seront exécutés dans des zones régulièrement traversées par les femmes et les filles</w:t>
            </w:r>
          </w:p>
          <w:p w14:paraId="6F875B25" w14:textId="77777777" w:rsidR="002F363F" w:rsidRPr="00F2455C" w:rsidRDefault="002F363F" w:rsidP="004302E0">
            <w:pPr>
              <w:pStyle w:val="Paragraphedeliste"/>
              <w:numPr>
                <w:ilvl w:val="0"/>
                <w:numId w:val="172"/>
              </w:numPr>
              <w:spacing w:line="240" w:lineRule="auto"/>
              <w:jc w:val="left"/>
              <w:rPr>
                <w:rFonts w:cstheme="minorHAnsi"/>
                <w:color w:val="000000"/>
                <w:sz w:val="19"/>
                <w:szCs w:val="19"/>
              </w:rPr>
            </w:pPr>
            <w:r w:rsidRPr="00F2455C">
              <w:rPr>
                <w:rFonts w:cstheme="minorHAnsi"/>
                <w:color w:val="000000"/>
                <w:sz w:val="19"/>
                <w:szCs w:val="19"/>
              </w:rPr>
              <w:t>Consultations limitées avec des femmes dans des espaces sûrs et confidentiels (manque de facilitatrices) avec informations limitées ou pas connues sur les retours des femmes sur les impacts et les risques du projet</w:t>
            </w:r>
          </w:p>
          <w:p w14:paraId="36C09F97" w14:textId="77777777" w:rsidR="002F363F" w:rsidRPr="00F2455C" w:rsidRDefault="002F363F" w:rsidP="004302E0">
            <w:pPr>
              <w:pStyle w:val="Paragraphedeliste"/>
              <w:numPr>
                <w:ilvl w:val="0"/>
                <w:numId w:val="172"/>
              </w:numPr>
              <w:spacing w:line="240" w:lineRule="auto"/>
              <w:jc w:val="left"/>
              <w:rPr>
                <w:rFonts w:cstheme="minorHAnsi"/>
                <w:color w:val="000000"/>
                <w:sz w:val="19"/>
                <w:szCs w:val="19"/>
              </w:rPr>
            </w:pPr>
            <w:r w:rsidRPr="00F2455C">
              <w:rPr>
                <w:rFonts w:cstheme="minorHAnsi"/>
                <w:color w:val="000000"/>
                <w:sz w:val="19"/>
                <w:szCs w:val="19"/>
              </w:rPr>
              <w:t>Capacité de supervision et suivi des mesures d’atténuation des risques d’EAHS par l’UGP est limitée vu l’étendue du projet et la difficulté vécue par le Ministère d’Agriculture de gérer les risques d’EAHS dans d’autres projets agricoles</w:t>
            </w:r>
          </w:p>
        </w:tc>
      </w:tr>
      <w:tr w:rsidR="002F363F" w:rsidRPr="00F2455C" w14:paraId="287E1665" w14:textId="77777777" w:rsidTr="004302E0">
        <w:trPr>
          <w:gridAfter w:val="1"/>
          <w:wAfter w:w="17" w:type="dxa"/>
          <w:tblHeader/>
        </w:trPr>
        <w:tc>
          <w:tcPr>
            <w:tcW w:w="2430" w:type="dxa"/>
            <w:vAlign w:val="center"/>
          </w:tcPr>
          <w:p w14:paraId="0D7EF615" w14:textId="77777777" w:rsidR="002F363F" w:rsidRPr="00F2455C" w:rsidRDefault="002F363F" w:rsidP="004302E0">
            <w:pPr>
              <w:jc w:val="center"/>
              <w:rPr>
                <w:rFonts w:cstheme="minorHAnsi"/>
                <w:b/>
                <w:sz w:val="19"/>
                <w:szCs w:val="19"/>
              </w:rPr>
            </w:pPr>
            <w:r w:rsidRPr="00F2455C">
              <w:rPr>
                <w:rFonts w:cstheme="minorHAnsi"/>
                <w:b/>
                <w:bCs/>
                <w:color w:val="000000"/>
                <w:sz w:val="19"/>
                <w:szCs w:val="19"/>
              </w:rPr>
              <w:t>COMPOSANTE</w:t>
            </w:r>
          </w:p>
        </w:tc>
        <w:tc>
          <w:tcPr>
            <w:tcW w:w="2165" w:type="dxa"/>
            <w:vAlign w:val="center"/>
          </w:tcPr>
          <w:p w14:paraId="5AB34018" w14:textId="77777777" w:rsidR="002F363F" w:rsidRPr="00F2455C" w:rsidRDefault="002F363F" w:rsidP="004302E0">
            <w:pPr>
              <w:jc w:val="center"/>
              <w:rPr>
                <w:rFonts w:cstheme="minorHAnsi"/>
                <w:b/>
                <w:bCs/>
                <w:color w:val="000000"/>
                <w:sz w:val="19"/>
                <w:szCs w:val="19"/>
              </w:rPr>
            </w:pPr>
            <w:r w:rsidRPr="00F2455C">
              <w:rPr>
                <w:rFonts w:cstheme="minorHAnsi"/>
                <w:b/>
                <w:bCs/>
                <w:color w:val="000000"/>
                <w:sz w:val="19"/>
                <w:szCs w:val="19"/>
              </w:rPr>
              <w:t>RISQUES</w:t>
            </w:r>
          </w:p>
        </w:tc>
        <w:tc>
          <w:tcPr>
            <w:tcW w:w="2473" w:type="dxa"/>
            <w:vAlign w:val="center"/>
          </w:tcPr>
          <w:p w14:paraId="29AEC8F7" w14:textId="77777777" w:rsidR="002F363F" w:rsidRPr="00F2455C" w:rsidRDefault="002F363F" w:rsidP="004302E0">
            <w:pPr>
              <w:jc w:val="center"/>
              <w:rPr>
                <w:rFonts w:cstheme="minorHAnsi"/>
                <w:color w:val="000000"/>
                <w:sz w:val="19"/>
                <w:szCs w:val="19"/>
              </w:rPr>
            </w:pPr>
            <w:r w:rsidRPr="00F2455C">
              <w:rPr>
                <w:rFonts w:cstheme="minorHAnsi"/>
                <w:b/>
                <w:bCs/>
                <w:color w:val="000000"/>
                <w:sz w:val="19"/>
                <w:szCs w:val="19"/>
              </w:rPr>
              <w:t>MESURES D'ATTENUATION</w:t>
            </w:r>
          </w:p>
        </w:tc>
        <w:tc>
          <w:tcPr>
            <w:tcW w:w="1786" w:type="dxa"/>
            <w:vAlign w:val="center"/>
          </w:tcPr>
          <w:p w14:paraId="316062F4" w14:textId="77777777" w:rsidR="002F363F" w:rsidRPr="00F2455C" w:rsidRDefault="002F363F" w:rsidP="004302E0">
            <w:pPr>
              <w:jc w:val="center"/>
              <w:rPr>
                <w:rFonts w:cstheme="minorHAnsi"/>
                <w:color w:val="000000"/>
                <w:sz w:val="19"/>
                <w:szCs w:val="19"/>
              </w:rPr>
            </w:pPr>
            <w:r w:rsidRPr="00F2455C">
              <w:rPr>
                <w:rFonts w:cstheme="minorHAnsi"/>
                <w:b/>
                <w:bCs/>
                <w:color w:val="000000"/>
                <w:sz w:val="19"/>
                <w:szCs w:val="19"/>
              </w:rPr>
              <w:t>RESPONSABLE DE MISE EN ŒUVRE</w:t>
            </w:r>
          </w:p>
        </w:tc>
        <w:tc>
          <w:tcPr>
            <w:tcW w:w="1746" w:type="dxa"/>
            <w:vAlign w:val="center"/>
          </w:tcPr>
          <w:p w14:paraId="59C0FF75" w14:textId="77777777" w:rsidR="002F363F" w:rsidRPr="00F2455C" w:rsidRDefault="002F363F" w:rsidP="004302E0">
            <w:pPr>
              <w:jc w:val="center"/>
              <w:rPr>
                <w:rFonts w:cstheme="minorHAnsi"/>
                <w:b/>
                <w:bCs/>
                <w:sz w:val="19"/>
                <w:szCs w:val="19"/>
              </w:rPr>
            </w:pPr>
            <w:r w:rsidRPr="00F2455C">
              <w:rPr>
                <w:rFonts w:cstheme="minorHAnsi"/>
                <w:b/>
                <w:bCs/>
                <w:sz w:val="19"/>
                <w:szCs w:val="19"/>
              </w:rPr>
              <w:t>RESPONSABLE DE SUIVI</w:t>
            </w:r>
          </w:p>
        </w:tc>
        <w:tc>
          <w:tcPr>
            <w:tcW w:w="1460" w:type="dxa"/>
            <w:vAlign w:val="center"/>
          </w:tcPr>
          <w:p w14:paraId="5C151D05" w14:textId="77777777" w:rsidR="002F363F" w:rsidRPr="00F2455C" w:rsidRDefault="002F363F" w:rsidP="004302E0">
            <w:pPr>
              <w:jc w:val="center"/>
              <w:rPr>
                <w:rFonts w:cstheme="minorHAnsi"/>
                <w:b/>
                <w:bCs/>
                <w:color w:val="000000"/>
                <w:sz w:val="19"/>
                <w:szCs w:val="19"/>
              </w:rPr>
            </w:pPr>
            <w:r w:rsidRPr="00F2455C">
              <w:rPr>
                <w:rFonts w:cstheme="minorHAnsi"/>
                <w:b/>
                <w:bCs/>
                <w:color w:val="000000"/>
                <w:sz w:val="19"/>
                <w:szCs w:val="19"/>
              </w:rPr>
              <w:t>ECHEANCE</w:t>
            </w:r>
          </w:p>
        </w:tc>
        <w:tc>
          <w:tcPr>
            <w:tcW w:w="1892" w:type="dxa"/>
            <w:vAlign w:val="center"/>
          </w:tcPr>
          <w:p w14:paraId="310729C6" w14:textId="77777777" w:rsidR="002F363F" w:rsidRPr="00F2455C" w:rsidRDefault="002F363F" w:rsidP="004302E0">
            <w:pPr>
              <w:jc w:val="center"/>
              <w:rPr>
                <w:rFonts w:cstheme="minorHAnsi"/>
                <w:b/>
                <w:bCs/>
                <w:color w:val="000000"/>
                <w:sz w:val="19"/>
                <w:szCs w:val="19"/>
              </w:rPr>
            </w:pPr>
            <w:r w:rsidRPr="00F2455C">
              <w:rPr>
                <w:rFonts w:cstheme="minorHAnsi"/>
                <w:b/>
                <w:bCs/>
                <w:color w:val="000000"/>
                <w:sz w:val="19"/>
                <w:szCs w:val="19"/>
              </w:rPr>
              <w:t>INDICATEURS</w:t>
            </w:r>
          </w:p>
        </w:tc>
        <w:tc>
          <w:tcPr>
            <w:tcW w:w="1511" w:type="dxa"/>
            <w:vAlign w:val="center"/>
          </w:tcPr>
          <w:p w14:paraId="7ADA6C6A" w14:textId="77777777" w:rsidR="002F363F" w:rsidRPr="00F2455C" w:rsidRDefault="002F363F" w:rsidP="004302E0">
            <w:pPr>
              <w:jc w:val="center"/>
              <w:rPr>
                <w:rFonts w:cstheme="minorHAnsi"/>
                <w:b/>
                <w:bCs/>
                <w:sz w:val="19"/>
                <w:szCs w:val="19"/>
              </w:rPr>
            </w:pPr>
            <w:r w:rsidRPr="00F2455C">
              <w:rPr>
                <w:rFonts w:cstheme="minorHAnsi"/>
                <w:b/>
                <w:bCs/>
                <w:sz w:val="19"/>
                <w:szCs w:val="19"/>
              </w:rPr>
              <w:t>BUDGET</w:t>
            </w:r>
          </w:p>
        </w:tc>
      </w:tr>
      <w:tr w:rsidR="002F363F" w:rsidRPr="00F2455C" w14:paraId="128D3EA7" w14:textId="77777777" w:rsidTr="004302E0">
        <w:trPr>
          <w:gridAfter w:val="1"/>
          <w:wAfter w:w="17" w:type="dxa"/>
          <w:trHeight w:val="144"/>
        </w:trPr>
        <w:tc>
          <w:tcPr>
            <w:tcW w:w="4595" w:type="dxa"/>
            <w:gridSpan w:val="2"/>
            <w:vMerge w:val="restart"/>
          </w:tcPr>
          <w:p w14:paraId="082DEC26" w14:textId="77777777" w:rsidR="002F363F" w:rsidRPr="009F5DEB" w:rsidRDefault="002F363F" w:rsidP="004302E0">
            <w:pPr>
              <w:rPr>
                <w:rFonts w:cstheme="minorHAnsi"/>
                <w:b/>
                <w:bCs/>
                <w:color w:val="000000"/>
                <w:sz w:val="19"/>
                <w:szCs w:val="19"/>
              </w:rPr>
            </w:pPr>
            <w:r w:rsidRPr="00F2455C">
              <w:rPr>
                <w:rFonts w:cstheme="minorHAnsi"/>
                <w:b/>
                <w:bCs/>
                <w:color w:val="000000"/>
                <w:sz w:val="19"/>
                <w:szCs w:val="19"/>
              </w:rPr>
              <w:t>Mesures d’atténuation globales pour le projet :</w:t>
            </w:r>
          </w:p>
        </w:tc>
        <w:tc>
          <w:tcPr>
            <w:tcW w:w="10868" w:type="dxa"/>
            <w:gridSpan w:val="6"/>
            <w:tcBorders>
              <w:bottom w:val="single" w:sz="4" w:space="0" w:color="auto"/>
            </w:tcBorders>
          </w:tcPr>
          <w:p w14:paraId="64C91DE8" w14:textId="77777777" w:rsidR="002F363F" w:rsidRPr="00F2455C" w:rsidRDefault="002F363F" w:rsidP="004302E0">
            <w:pPr>
              <w:rPr>
                <w:rFonts w:cstheme="minorHAnsi"/>
                <w:sz w:val="19"/>
                <w:szCs w:val="19"/>
              </w:rPr>
            </w:pPr>
            <w:r w:rsidRPr="00F2455C">
              <w:rPr>
                <w:rFonts w:cstheme="minorHAnsi"/>
                <w:b/>
                <w:bCs/>
                <w:color w:val="000000"/>
                <w:sz w:val="19"/>
                <w:szCs w:val="19"/>
              </w:rPr>
              <w:t>Plan de supervision, incluant :</w:t>
            </w:r>
          </w:p>
        </w:tc>
      </w:tr>
      <w:tr w:rsidR="002F363F" w:rsidRPr="00F2455C" w14:paraId="6E8E434F" w14:textId="77777777" w:rsidTr="004302E0">
        <w:trPr>
          <w:gridAfter w:val="1"/>
          <w:wAfter w:w="17" w:type="dxa"/>
          <w:trHeight w:val="432"/>
        </w:trPr>
        <w:tc>
          <w:tcPr>
            <w:tcW w:w="4595" w:type="dxa"/>
            <w:gridSpan w:val="2"/>
            <w:vMerge/>
          </w:tcPr>
          <w:p w14:paraId="4FA93953" w14:textId="77777777" w:rsidR="002F363F" w:rsidRPr="00F2455C" w:rsidRDefault="002F363F" w:rsidP="004302E0">
            <w:pPr>
              <w:rPr>
                <w:rFonts w:cstheme="minorHAnsi"/>
                <w:color w:val="000000"/>
                <w:sz w:val="19"/>
                <w:szCs w:val="19"/>
              </w:rPr>
            </w:pPr>
          </w:p>
        </w:tc>
        <w:tc>
          <w:tcPr>
            <w:tcW w:w="2473" w:type="dxa"/>
            <w:tcBorders>
              <w:bottom w:val="single" w:sz="4" w:space="0" w:color="auto"/>
            </w:tcBorders>
          </w:tcPr>
          <w:p w14:paraId="2A0908E2" w14:textId="77777777" w:rsidR="002F363F" w:rsidRPr="00F2455C" w:rsidRDefault="002F363F" w:rsidP="004302E0">
            <w:pPr>
              <w:autoSpaceDE w:val="0"/>
              <w:autoSpaceDN w:val="0"/>
              <w:adjustRightInd w:val="0"/>
              <w:rPr>
                <w:rFonts w:ascii="Calibri" w:eastAsia="MS Mincho" w:hAnsi="Calibri" w:cs="Calibri"/>
                <w:bCs/>
                <w:sz w:val="19"/>
                <w:szCs w:val="19"/>
              </w:rPr>
            </w:pPr>
            <w:r w:rsidRPr="00F2455C">
              <w:rPr>
                <w:rFonts w:cstheme="minorHAnsi"/>
                <w:color w:val="000000"/>
                <w:sz w:val="19"/>
                <w:szCs w:val="19"/>
              </w:rPr>
              <w:t>Recruter un(e) Spécialiste en VBG pour superviser la mise en œuvre des mesures d’atténuation des risques d’EAHS</w:t>
            </w:r>
          </w:p>
        </w:tc>
        <w:tc>
          <w:tcPr>
            <w:tcW w:w="1786" w:type="dxa"/>
            <w:tcBorders>
              <w:bottom w:val="single" w:sz="4" w:space="0" w:color="auto"/>
            </w:tcBorders>
          </w:tcPr>
          <w:p w14:paraId="37A696E0" w14:textId="77777777" w:rsidR="002F363F" w:rsidRPr="00F2455C" w:rsidRDefault="002F363F" w:rsidP="004302E0">
            <w:pPr>
              <w:rPr>
                <w:rFonts w:cstheme="minorHAnsi"/>
                <w:color w:val="000000"/>
                <w:sz w:val="19"/>
                <w:szCs w:val="19"/>
              </w:rPr>
            </w:pPr>
            <w:r w:rsidRPr="00F2455C">
              <w:rPr>
                <w:rFonts w:cstheme="minorHAnsi"/>
                <w:color w:val="000000"/>
                <w:sz w:val="19"/>
                <w:szCs w:val="19"/>
              </w:rPr>
              <w:t>Passation des marchés</w:t>
            </w:r>
          </w:p>
        </w:tc>
        <w:tc>
          <w:tcPr>
            <w:tcW w:w="1746" w:type="dxa"/>
            <w:tcBorders>
              <w:bottom w:val="single" w:sz="4" w:space="0" w:color="auto"/>
            </w:tcBorders>
          </w:tcPr>
          <w:p w14:paraId="0CF6E1E0" w14:textId="77777777" w:rsidR="002F363F" w:rsidRPr="00F2455C" w:rsidRDefault="002F363F" w:rsidP="004302E0">
            <w:pPr>
              <w:rPr>
                <w:rFonts w:cstheme="minorHAnsi"/>
                <w:color w:val="000000"/>
                <w:sz w:val="19"/>
                <w:szCs w:val="19"/>
              </w:rPr>
            </w:pPr>
            <w:r w:rsidRPr="00F2455C">
              <w:rPr>
                <w:rFonts w:cstheme="minorHAnsi"/>
                <w:color w:val="000000"/>
                <w:sz w:val="19"/>
                <w:szCs w:val="19"/>
              </w:rPr>
              <w:t>Passation des marchés</w:t>
            </w:r>
          </w:p>
        </w:tc>
        <w:tc>
          <w:tcPr>
            <w:tcW w:w="1460" w:type="dxa"/>
            <w:tcBorders>
              <w:bottom w:val="single" w:sz="4" w:space="0" w:color="auto"/>
            </w:tcBorders>
          </w:tcPr>
          <w:p w14:paraId="76440153" w14:textId="77777777" w:rsidR="002F363F" w:rsidRPr="00F2455C" w:rsidRDefault="002F363F" w:rsidP="004302E0">
            <w:pPr>
              <w:rPr>
                <w:rFonts w:cstheme="minorHAnsi"/>
                <w:color w:val="000000"/>
                <w:sz w:val="19"/>
                <w:szCs w:val="19"/>
              </w:rPr>
            </w:pPr>
            <w:r w:rsidRPr="00F2455C">
              <w:rPr>
                <w:rFonts w:cstheme="minorHAnsi"/>
                <w:color w:val="000000"/>
                <w:sz w:val="19"/>
                <w:szCs w:val="19"/>
              </w:rPr>
              <w:t>Avant la mise en vigueur du projet</w:t>
            </w:r>
          </w:p>
        </w:tc>
        <w:tc>
          <w:tcPr>
            <w:tcW w:w="1892" w:type="dxa"/>
            <w:tcBorders>
              <w:bottom w:val="single" w:sz="4" w:space="0" w:color="auto"/>
            </w:tcBorders>
          </w:tcPr>
          <w:p w14:paraId="29F3BAC6"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 spécialistes en VBG recruté(e)s (1)</w:t>
            </w:r>
          </w:p>
        </w:tc>
        <w:tc>
          <w:tcPr>
            <w:tcW w:w="1511" w:type="dxa"/>
            <w:tcBorders>
              <w:bottom w:val="single" w:sz="4" w:space="0" w:color="auto"/>
            </w:tcBorders>
          </w:tcPr>
          <w:p w14:paraId="06510DE2" w14:textId="77777777" w:rsidR="002F363F" w:rsidRPr="00F2455C" w:rsidRDefault="002F363F" w:rsidP="004302E0">
            <w:pPr>
              <w:rPr>
                <w:rFonts w:cstheme="minorHAnsi"/>
                <w:sz w:val="19"/>
                <w:szCs w:val="19"/>
              </w:rPr>
            </w:pPr>
            <w:r w:rsidRPr="00F2455C">
              <w:rPr>
                <w:rFonts w:cstheme="minorHAnsi"/>
                <w:sz w:val="19"/>
                <w:szCs w:val="19"/>
              </w:rPr>
              <w:t>Pris en compte</w:t>
            </w:r>
          </w:p>
        </w:tc>
      </w:tr>
      <w:tr w:rsidR="002F363F" w:rsidRPr="00F2455C" w14:paraId="63562F28" w14:textId="77777777" w:rsidTr="004302E0">
        <w:trPr>
          <w:gridAfter w:val="1"/>
          <w:wAfter w:w="17" w:type="dxa"/>
          <w:trHeight w:val="432"/>
        </w:trPr>
        <w:tc>
          <w:tcPr>
            <w:tcW w:w="4595" w:type="dxa"/>
            <w:gridSpan w:val="2"/>
            <w:vMerge/>
          </w:tcPr>
          <w:p w14:paraId="62B90DFB" w14:textId="77777777" w:rsidR="002F363F" w:rsidRPr="00F2455C" w:rsidRDefault="002F363F" w:rsidP="004302E0">
            <w:pPr>
              <w:rPr>
                <w:rFonts w:cstheme="minorHAnsi"/>
                <w:color w:val="000000"/>
                <w:sz w:val="19"/>
                <w:szCs w:val="19"/>
              </w:rPr>
            </w:pPr>
          </w:p>
        </w:tc>
        <w:tc>
          <w:tcPr>
            <w:tcW w:w="2473" w:type="dxa"/>
            <w:tcBorders>
              <w:bottom w:val="single" w:sz="4" w:space="0" w:color="auto"/>
            </w:tcBorders>
          </w:tcPr>
          <w:p w14:paraId="705A3FC1" w14:textId="77777777" w:rsidR="002F363F" w:rsidRPr="00F2455C" w:rsidRDefault="002F363F" w:rsidP="004302E0">
            <w:pPr>
              <w:autoSpaceDE w:val="0"/>
              <w:autoSpaceDN w:val="0"/>
              <w:adjustRightInd w:val="0"/>
              <w:rPr>
                <w:rFonts w:cstheme="minorHAnsi"/>
                <w:color w:val="000000"/>
                <w:sz w:val="19"/>
                <w:szCs w:val="19"/>
              </w:rPr>
            </w:pPr>
            <w:r w:rsidRPr="00F2455C">
              <w:rPr>
                <w:rFonts w:ascii="Calibri" w:eastAsia="MS Mincho" w:hAnsi="Calibri" w:cs="Calibri"/>
                <w:bCs/>
                <w:sz w:val="19"/>
                <w:szCs w:val="19"/>
              </w:rPr>
              <w:t>Assurer la mise en place d’un plan de suivi des interventions liées à l’atténuation, la prévention, et la réponse aux risques d’EAHS dans le cadre du projet, y compris des pratiques concernant la collecte et la gestion des données relatives aux cas d’EAHS et l’élaboration des indicateurs appropriés, en conformité avec les bonnes pratiques internationales y afférentes</w:t>
            </w:r>
            <w:r w:rsidRPr="00F2455C">
              <w:rPr>
                <w:rStyle w:val="Appelnotedebasdep"/>
                <w:rFonts w:eastAsia="MS Mincho" w:cs="Calibri"/>
                <w:bCs/>
                <w:sz w:val="19"/>
                <w:szCs w:val="19"/>
              </w:rPr>
              <w:footnoteReference w:id="46"/>
            </w:r>
          </w:p>
        </w:tc>
        <w:tc>
          <w:tcPr>
            <w:tcW w:w="1786" w:type="dxa"/>
            <w:tcBorders>
              <w:bottom w:val="single" w:sz="4" w:space="0" w:color="auto"/>
            </w:tcBorders>
          </w:tcPr>
          <w:p w14:paraId="514CCCB1"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0A558CA1" w14:textId="77777777" w:rsidR="002F363F" w:rsidRPr="00F2455C" w:rsidRDefault="002F363F" w:rsidP="004302E0">
            <w:pPr>
              <w:rPr>
                <w:rFonts w:cstheme="minorHAnsi"/>
                <w:color w:val="000000"/>
                <w:sz w:val="19"/>
                <w:szCs w:val="19"/>
              </w:rPr>
            </w:pPr>
          </w:p>
          <w:p w14:paraId="0F00A64D"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S&amp;E</w:t>
            </w:r>
          </w:p>
        </w:tc>
        <w:tc>
          <w:tcPr>
            <w:tcW w:w="1746" w:type="dxa"/>
            <w:tcBorders>
              <w:bottom w:val="single" w:sz="4" w:space="0" w:color="auto"/>
            </w:tcBorders>
          </w:tcPr>
          <w:p w14:paraId="26F89916"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2A15B4EA" w14:textId="77777777" w:rsidR="002F363F" w:rsidRPr="00F2455C" w:rsidRDefault="002F363F" w:rsidP="004302E0">
            <w:pPr>
              <w:rPr>
                <w:rFonts w:cstheme="minorHAnsi"/>
                <w:color w:val="000000"/>
                <w:sz w:val="19"/>
                <w:szCs w:val="19"/>
              </w:rPr>
            </w:pPr>
          </w:p>
          <w:p w14:paraId="1DCA3945"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S&amp;E</w:t>
            </w:r>
          </w:p>
        </w:tc>
        <w:tc>
          <w:tcPr>
            <w:tcW w:w="1460" w:type="dxa"/>
            <w:tcBorders>
              <w:bottom w:val="single" w:sz="4" w:space="0" w:color="auto"/>
            </w:tcBorders>
          </w:tcPr>
          <w:p w14:paraId="7203D1BF" w14:textId="77777777" w:rsidR="002F363F" w:rsidRPr="00F2455C" w:rsidRDefault="002F363F" w:rsidP="004302E0">
            <w:pPr>
              <w:rPr>
                <w:rFonts w:cstheme="minorHAnsi"/>
                <w:color w:val="000000"/>
                <w:sz w:val="19"/>
                <w:szCs w:val="19"/>
              </w:rPr>
            </w:pPr>
            <w:r w:rsidRPr="00F2455C">
              <w:rPr>
                <w:rFonts w:cstheme="minorHAnsi"/>
                <w:color w:val="000000"/>
                <w:sz w:val="19"/>
                <w:szCs w:val="19"/>
              </w:rPr>
              <w:t>Avant la mise en vigueur du projet</w:t>
            </w:r>
          </w:p>
        </w:tc>
        <w:tc>
          <w:tcPr>
            <w:tcW w:w="1892" w:type="dxa"/>
            <w:tcBorders>
              <w:bottom w:val="single" w:sz="4" w:space="0" w:color="auto"/>
            </w:tcBorders>
          </w:tcPr>
          <w:p w14:paraId="179289BF"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des missions des collectes de données réalisées (Suivi)</w:t>
            </w:r>
          </w:p>
          <w:p w14:paraId="6BBB1384" w14:textId="77777777" w:rsidR="002F363F" w:rsidRPr="00F2455C" w:rsidRDefault="002F363F" w:rsidP="004302E0">
            <w:pPr>
              <w:rPr>
                <w:rFonts w:cstheme="minorHAnsi"/>
                <w:color w:val="000000"/>
                <w:sz w:val="19"/>
                <w:szCs w:val="19"/>
              </w:rPr>
            </w:pPr>
          </w:p>
          <w:p w14:paraId="02E89276"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des missions supervisions réalisées</w:t>
            </w:r>
          </w:p>
        </w:tc>
        <w:tc>
          <w:tcPr>
            <w:tcW w:w="1511" w:type="dxa"/>
            <w:tcBorders>
              <w:bottom w:val="single" w:sz="4" w:space="0" w:color="auto"/>
            </w:tcBorders>
          </w:tcPr>
          <w:p w14:paraId="2F4774BC" w14:textId="77777777" w:rsidR="002F363F" w:rsidRPr="00F2455C" w:rsidRDefault="002F363F" w:rsidP="004302E0">
            <w:pPr>
              <w:rPr>
                <w:rFonts w:cstheme="minorHAnsi"/>
                <w:sz w:val="19"/>
                <w:szCs w:val="19"/>
              </w:rPr>
            </w:pPr>
            <w:r w:rsidRPr="00F2455C">
              <w:rPr>
                <w:rFonts w:cstheme="minorHAnsi"/>
                <w:sz w:val="19"/>
                <w:szCs w:val="19"/>
              </w:rPr>
              <w:t>250000$</w:t>
            </w:r>
          </w:p>
        </w:tc>
      </w:tr>
      <w:tr w:rsidR="002F363F" w:rsidRPr="00F2455C" w14:paraId="75DDB1C1" w14:textId="77777777" w:rsidTr="004302E0">
        <w:trPr>
          <w:gridAfter w:val="1"/>
          <w:wAfter w:w="17" w:type="dxa"/>
          <w:trHeight w:val="755"/>
        </w:trPr>
        <w:tc>
          <w:tcPr>
            <w:tcW w:w="4595" w:type="dxa"/>
            <w:gridSpan w:val="2"/>
            <w:vMerge/>
          </w:tcPr>
          <w:p w14:paraId="7C5C00B9" w14:textId="77777777" w:rsidR="002F363F" w:rsidRPr="00F2455C" w:rsidRDefault="002F363F" w:rsidP="004302E0">
            <w:pPr>
              <w:rPr>
                <w:rFonts w:cstheme="minorHAnsi"/>
                <w:color w:val="000000"/>
                <w:sz w:val="19"/>
                <w:szCs w:val="19"/>
              </w:rPr>
            </w:pPr>
          </w:p>
        </w:tc>
        <w:tc>
          <w:tcPr>
            <w:tcW w:w="2473" w:type="dxa"/>
            <w:tcBorders>
              <w:bottom w:val="single" w:sz="4" w:space="0" w:color="auto"/>
            </w:tcBorders>
          </w:tcPr>
          <w:p w14:paraId="7094A853" w14:textId="77777777" w:rsidR="002F363F" w:rsidRPr="00F2455C" w:rsidRDefault="002F363F" w:rsidP="004302E0">
            <w:pPr>
              <w:autoSpaceDE w:val="0"/>
              <w:autoSpaceDN w:val="0"/>
              <w:adjustRightInd w:val="0"/>
              <w:rPr>
                <w:rFonts w:ascii="Calibri" w:eastAsia="MS Mincho" w:hAnsi="Calibri" w:cs="Calibri"/>
                <w:bCs/>
                <w:sz w:val="19"/>
                <w:szCs w:val="19"/>
              </w:rPr>
            </w:pPr>
            <w:r w:rsidRPr="00F2455C">
              <w:rPr>
                <w:rFonts w:cstheme="minorHAnsi"/>
                <w:color w:val="000000"/>
                <w:sz w:val="19"/>
                <w:szCs w:val="19"/>
              </w:rPr>
              <w:t>Rendre disponibles toutes les données existantes sur les risques et l’exposition des populations en matière d’EAHS afin que ces informations soient intégrées dans les stratégies d’intervention et utilisées pour éclairer les évaluations externes (toujours en conformité aux bonnes pratiques internationales dans la collecte et la gestion des données VBG)</w:t>
            </w:r>
          </w:p>
        </w:tc>
        <w:tc>
          <w:tcPr>
            <w:tcW w:w="1786" w:type="dxa"/>
            <w:tcBorders>
              <w:bottom w:val="single" w:sz="4" w:space="0" w:color="auto"/>
            </w:tcBorders>
          </w:tcPr>
          <w:p w14:paraId="120A6061"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33203631" w14:textId="77777777" w:rsidR="002F363F" w:rsidRPr="00F2455C" w:rsidRDefault="002F363F" w:rsidP="004302E0">
            <w:pPr>
              <w:rPr>
                <w:rFonts w:cstheme="minorHAnsi"/>
                <w:color w:val="000000"/>
                <w:sz w:val="19"/>
                <w:szCs w:val="19"/>
              </w:rPr>
            </w:pPr>
          </w:p>
          <w:p w14:paraId="75CBBE2E"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S&amp;E</w:t>
            </w:r>
          </w:p>
        </w:tc>
        <w:tc>
          <w:tcPr>
            <w:tcW w:w="1746" w:type="dxa"/>
            <w:tcBorders>
              <w:bottom w:val="single" w:sz="4" w:space="0" w:color="auto"/>
            </w:tcBorders>
          </w:tcPr>
          <w:p w14:paraId="244BD663"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0C6C4831" w14:textId="77777777" w:rsidR="002F363F" w:rsidRPr="00F2455C" w:rsidRDefault="002F363F" w:rsidP="004302E0">
            <w:pPr>
              <w:rPr>
                <w:rFonts w:cstheme="minorHAnsi"/>
                <w:color w:val="000000"/>
                <w:sz w:val="19"/>
                <w:szCs w:val="19"/>
              </w:rPr>
            </w:pPr>
          </w:p>
          <w:p w14:paraId="311A4A6E"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S&amp;E</w:t>
            </w:r>
          </w:p>
        </w:tc>
        <w:tc>
          <w:tcPr>
            <w:tcW w:w="1460" w:type="dxa"/>
            <w:tcBorders>
              <w:bottom w:val="single" w:sz="4" w:space="0" w:color="auto"/>
            </w:tcBorders>
          </w:tcPr>
          <w:p w14:paraId="58A63480" w14:textId="77777777" w:rsidR="002F363F" w:rsidRPr="00F2455C" w:rsidRDefault="002F363F" w:rsidP="004302E0">
            <w:pPr>
              <w:rPr>
                <w:rFonts w:cstheme="minorHAnsi"/>
                <w:color w:val="000000"/>
                <w:sz w:val="19"/>
                <w:szCs w:val="19"/>
              </w:rPr>
            </w:pPr>
            <w:r w:rsidRPr="00F2455C">
              <w:rPr>
                <w:rFonts w:cstheme="minorHAnsi"/>
                <w:color w:val="000000"/>
                <w:sz w:val="19"/>
                <w:szCs w:val="19"/>
              </w:rPr>
              <w:t>Tout au long de la mise en vigueur du projet</w:t>
            </w:r>
          </w:p>
        </w:tc>
        <w:tc>
          <w:tcPr>
            <w:tcW w:w="1892" w:type="dxa"/>
            <w:tcBorders>
              <w:bottom w:val="single" w:sz="4" w:space="0" w:color="auto"/>
            </w:tcBorders>
          </w:tcPr>
          <w:p w14:paraId="7B390AD5" w14:textId="77777777" w:rsidR="002F363F" w:rsidRPr="00F2455C" w:rsidRDefault="002F363F" w:rsidP="004302E0">
            <w:pPr>
              <w:rPr>
                <w:rFonts w:cstheme="minorHAnsi"/>
                <w:color w:val="000000"/>
                <w:sz w:val="19"/>
                <w:szCs w:val="19"/>
              </w:rPr>
            </w:pPr>
            <w:r w:rsidRPr="00F2455C">
              <w:rPr>
                <w:rFonts w:cstheme="minorHAnsi"/>
                <w:color w:val="000000"/>
                <w:sz w:val="19"/>
                <w:szCs w:val="19"/>
              </w:rPr>
              <w:t>N/A</w:t>
            </w:r>
          </w:p>
        </w:tc>
        <w:tc>
          <w:tcPr>
            <w:tcW w:w="1511" w:type="dxa"/>
            <w:tcBorders>
              <w:bottom w:val="single" w:sz="4" w:space="0" w:color="auto"/>
            </w:tcBorders>
          </w:tcPr>
          <w:p w14:paraId="566182A4" w14:textId="77777777" w:rsidR="002F363F" w:rsidRPr="00F2455C" w:rsidRDefault="002F363F" w:rsidP="004302E0">
            <w:pPr>
              <w:rPr>
                <w:rFonts w:cstheme="minorHAnsi"/>
                <w:sz w:val="19"/>
                <w:szCs w:val="19"/>
              </w:rPr>
            </w:pPr>
            <w:r w:rsidRPr="00F2455C">
              <w:rPr>
                <w:rFonts w:cstheme="minorHAnsi"/>
                <w:sz w:val="19"/>
                <w:szCs w:val="19"/>
              </w:rPr>
              <w:t>Voir ci-dessus</w:t>
            </w:r>
          </w:p>
        </w:tc>
      </w:tr>
      <w:tr w:rsidR="002F363F" w:rsidRPr="00F2455C" w14:paraId="16D70208" w14:textId="77777777" w:rsidTr="004302E0">
        <w:trPr>
          <w:gridAfter w:val="1"/>
          <w:wAfter w:w="17" w:type="dxa"/>
          <w:trHeight w:val="755"/>
        </w:trPr>
        <w:tc>
          <w:tcPr>
            <w:tcW w:w="4595" w:type="dxa"/>
            <w:gridSpan w:val="2"/>
            <w:vMerge/>
          </w:tcPr>
          <w:p w14:paraId="54F933B2" w14:textId="77777777" w:rsidR="002F363F" w:rsidRPr="00F2455C" w:rsidRDefault="002F363F" w:rsidP="004302E0">
            <w:pPr>
              <w:rPr>
                <w:rFonts w:cstheme="minorHAnsi"/>
                <w:color w:val="000000"/>
                <w:sz w:val="19"/>
                <w:szCs w:val="19"/>
              </w:rPr>
            </w:pPr>
          </w:p>
        </w:tc>
        <w:tc>
          <w:tcPr>
            <w:tcW w:w="2473" w:type="dxa"/>
            <w:tcBorders>
              <w:bottom w:val="single" w:sz="4" w:space="0" w:color="auto"/>
            </w:tcBorders>
          </w:tcPr>
          <w:p w14:paraId="774113CB" w14:textId="77777777" w:rsidR="002F363F" w:rsidRPr="00F2455C" w:rsidRDefault="002F363F" w:rsidP="004302E0">
            <w:pPr>
              <w:autoSpaceDE w:val="0"/>
              <w:autoSpaceDN w:val="0"/>
              <w:adjustRightInd w:val="0"/>
              <w:rPr>
                <w:rFonts w:ascii="Calibri" w:eastAsia="MS Mincho" w:hAnsi="Calibri" w:cs="Calibri"/>
                <w:bCs/>
                <w:sz w:val="19"/>
                <w:szCs w:val="19"/>
              </w:rPr>
            </w:pPr>
            <w:r w:rsidRPr="00F2455C">
              <w:rPr>
                <w:rFonts w:cstheme="minorHAnsi"/>
                <w:sz w:val="19"/>
                <w:szCs w:val="19"/>
              </w:rPr>
              <w:t xml:space="preserve">Organiser des évaluations </w:t>
            </w:r>
            <w:r>
              <w:rPr>
                <w:rFonts w:cstheme="minorHAnsi"/>
                <w:sz w:val="19"/>
                <w:szCs w:val="19"/>
              </w:rPr>
              <w:t>se</w:t>
            </w:r>
            <w:r w:rsidRPr="00F2455C">
              <w:rPr>
                <w:rFonts w:cstheme="minorHAnsi"/>
                <w:sz w:val="19"/>
                <w:szCs w:val="19"/>
              </w:rPr>
              <w:t>mestrielles rapides des risques de VBG/EAHS par province</w:t>
            </w:r>
            <w:r>
              <w:rPr>
                <w:rFonts w:cstheme="minorHAnsi"/>
                <w:sz w:val="19"/>
                <w:szCs w:val="19"/>
              </w:rPr>
              <w:t>.</w:t>
            </w:r>
            <w:r>
              <w:rPr>
                <w:rStyle w:val="Appelnotedebasdep"/>
                <w:rFonts w:cstheme="minorHAnsi"/>
                <w:sz w:val="19"/>
                <w:szCs w:val="19"/>
              </w:rPr>
              <w:footnoteReference w:id="47"/>
            </w:r>
          </w:p>
        </w:tc>
        <w:tc>
          <w:tcPr>
            <w:tcW w:w="1786" w:type="dxa"/>
            <w:tcBorders>
              <w:bottom w:val="single" w:sz="4" w:space="0" w:color="auto"/>
            </w:tcBorders>
          </w:tcPr>
          <w:p w14:paraId="16A154AD"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S&amp;E</w:t>
            </w:r>
          </w:p>
        </w:tc>
        <w:tc>
          <w:tcPr>
            <w:tcW w:w="1746" w:type="dxa"/>
            <w:tcBorders>
              <w:bottom w:val="single" w:sz="4" w:space="0" w:color="auto"/>
            </w:tcBorders>
          </w:tcPr>
          <w:p w14:paraId="463A2320"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3F6257E5" w14:textId="77777777" w:rsidR="002F363F" w:rsidRPr="00F2455C" w:rsidRDefault="002F363F" w:rsidP="004302E0">
            <w:pPr>
              <w:rPr>
                <w:rFonts w:cstheme="minorHAnsi"/>
                <w:color w:val="000000"/>
                <w:sz w:val="19"/>
                <w:szCs w:val="19"/>
              </w:rPr>
            </w:pPr>
          </w:p>
          <w:p w14:paraId="3AD2BACB"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S&amp;E</w:t>
            </w:r>
          </w:p>
        </w:tc>
        <w:tc>
          <w:tcPr>
            <w:tcW w:w="1460" w:type="dxa"/>
            <w:tcBorders>
              <w:bottom w:val="single" w:sz="4" w:space="0" w:color="auto"/>
            </w:tcBorders>
          </w:tcPr>
          <w:p w14:paraId="4154C5FA" w14:textId="77777777" w:rsidR="002F363F" w:rsidRPr="00F2455C" w:rsidRDefault="002F363F" w:rsidP="004302E0">
            <w:pPr>
              <w:rPr>
                <w:rFonts w:cstheme="minorHAnsi"/>
                <w:color w:val="000000"/>
                <w:sz w:val="19"/>
                <w:szCs w:val="19"/>
              </w:rPr>
            </w:pPr>
            <w:r w:rsidRPr="00F2455C">
              <w:rPr>
                <w:rFonts w:cstheme="minorHAnsi"/>
                <w:color w:val="000000"/>
                <w:sz w:val="19"/>
                <w:szCs w:val="19"/>
              </w:rPr>
              <w:t>Sur base trimestrielle tout au long de la mise en œuvre du projet</w:t>
            </w:r>
          </w:p>
        </w:tc>
        <w:tc>
          <w:tcPr>
            <w:tcW w:w="1892" w:type="dxa"/>
            <w:tcBorders>
              <w:bottom w:val="single" w:sz="4" w:space="0" w:color="auto"/>
            </w:tcBorders>
          </w:tcPr>
          <w:p w14:paraId="6C3BE58E"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d’évaluations organisées par province</w:t>
            </w:r>
          </w:p>
        </w:tc>
        <w:tc>
          <w:tcPr>
            <w:tcW w:w="1511" w:type="dxa"/>
            <w:tcBorders>
              <w:bottom w:val="single" w:sz="4" w:space="0" w:color="auto"/>
            </w:tcBorders>
          </w:tcPr>
          <w:p w14:paraId="50E25B57" w14:textId="77777777" w:rsidR="002F363F" w:rsidRPr="00F2455C" w:rsidRDefault="002F363F" w:rsidP="004302E0">
            <w:pPr>
              <w:rPr>
                <w:rFonts w:cstheme="minorHAnsi"/>
                <w:sz w:val="19"/>
                <w:szCs w:val="19"/>
              </w:rPr>
            </w:pPr>
            <w:r w:rsidRPr="00F2455C">
              <w:rPr>
                <w:rFonts w:cstheme="minorHAnsi"/>
                <w:color w:val="000000"/>
                <w:sz w:val="19"/>
                <w:szCs w:val="19"/>
              </w:rPr>
              <w:t>250000$</w:t>
            </w:r>
          </w:p>
        </w:tc>
      </w:tr>
      <w:tr w:rsidR="002F363F" w:rsidRPr="00F2455C" w14:paraId="4B4E1D30" w14:textId="77777777" w:rsidTr="004302E0">
        <w:trPr>
          <w:gridAfter w:val="1"/>
          <w:wAfter w:w="17" w:type="dxa"/>
          <w:trHeight w:val="432"/>
        </w:trPr>
        <w:tc>
          <w:tcPr>
            <w:tcW w:w="4595" w:type="dxa"/>
            <w:gridSpan w:val="2"/>
            <w:vMerge/>
            <w:tcBorders>
              <w:bottom w:val="single" w:sz="4" w:space="0" w:color="auto"/>
            </w:tcBorders>
          </w:tcPr>
          <w:p w14:paraId="5175B62F" w14:textId="77777777" w:rsidR="002F363F" w:rsidRPr="00F2455C" w:rsidRDefault="002F363F" w:rsidP="004302E0">
            <w:pPr>
              <w:rPr>
                <w:rFonts w:cstheme="minorHAnsi"/>
                <w:color w:val="000000"/>
                <w:sz w:val="19"/>
                <w:szCs w:val="19"/>
              </w:rPr>
            </w:pPr>
          </w:p>
        </w:tc>
        <w:tc>
          <w:tcPr>
            <w:tcW w:w="2473" w:type="dxa"/>
            <w:tcBorders>
              <w:bottom w:val="single" w:sz="4" w:space="0" w:color="auto"/>
            </w:tcBorders>
          </w:tcPr>
          <w:p w14:paraId="2BDB1BA4" w14:textId="77777777" w:rsidR="002F363F" w:rsidRPr="00F2455C" w:rsidRDefault="002F363F" w:rsidP="004302E0">
            <w:pPr>
              <w:autoSpaceDE w:val="0"/>
              <w:autoSpaceDN w:val="0"/>
              <w:adjustRightInd w:val="0"/>
              <w:rPr>
                <w:rFonts w:cstheme="minorHAnsi"/>
                <w:sz w:val="19"/>
                <w:szCs w:val="19"/>
              </w:rPr>
            </w:pPr>
            <w:r w:rsidRPr="00F2455C">
              <w:rPr>
                <w:rFonts w:ascii="Calibri" w:eastAsia="MS Mincho" w:hAnsi="Calibri" w:cs="Calibri"/>
                <w:bCs/>
                <w:sz w:val="19"/>
                <w:szCs w:val="19"/>
              </w:rPr>
              <w:t>Intégrer des clauses et actions appropriées dans les documents relatifs aux activités de passation des marchés concernant le recrutement des contractants externes, y compris dans le PGES de l’entreprise</w:t>
            </w:r>
          </w:p>
        </w:tc>
        <w:tc>
          <w:tcPr>
            <w:tcW w:w="1786" w:type="dxa"/>
            <w:tcBorders>
              <w:bottom w:val="single" w:sz="4" w:space="0" w:color="auto"/>
            </w:tcBorders>
          </w:tcPr>
          <w:p w14:paraId="0FC03201" w14:textId="77777777" w:rsidR="002F363F" w:rsidRPr="00F2455C" w:rsidRDefault="002F363F" w:rsidP="004302E0">
            <w:pPr>
              <w:rPr>
                <w:rFonts w:cstheme="minorHAnsi"/>
                <w:color w:val="000000"/>
                <w:sz w:val="19"/>
                <w:szCs w:val="19"/>
              </w:rPr>
            </w:pPr>
            <w:r w:rsidRPr="00F2455C">
              <w:rPr>
                <w:rFonts w:cstheme="minorHAnsi"/>
                <w:color w:val="000000"/>
                <w:sz w:val="19"/>
                <w:szCs w:val="19"/>
              </w:rPr>
              <w:t>Passation des marchés</w:t>
            </w:r>
          </w:p>
        </w:tc>
        <w:tc>
          <w:tcPr>
            <w:tcW w:w="1746" w:type="dxa"/>
            <w:tcBorders>
              <w:bottom w:val="single" w:sz="4" w:space="0" w:color="auto"/>
            </w:tcBorders>
          </w:tcPr>
          <w:p w14:paraId="5B4B1885"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6AF87D15" w14:textId="77777777" w:rsidR="002F363F" w:rsidRPr="00F2455C" w:rsidRDefault="002F363F" w:rsidP="004302E0">
            <w:pPr>
              <w:rPr>
                <w:rFonts w:cstheme="minorHAnsi"/>
                <w:color w:val="000000"/>
                <w:sz w:val="19"/>
                <w:szCs w:val="19"/>
              </w:rPr>
            </w:pPr>
          </w:p>
          <w:p w14:paraId="59E37581" w14:textId="77777777" w:rsidR="002F363F" w:rsidRPr="00F2455C" w:rsidRDefault="002F363F" w:rsidP="004302E0">
            <w:pPr>
              <w:rPr>
                <w:rFonts w:cstheme="minorHAnsi"/>
                <w:color w:val="000000"/>
                <w:sz w:val="19"/>
                <w:szCs w:val="19"/>
              </w:rPr>
            </w:pPr>
            <w:r w:rsidRPr="00F2455C">
              <w:rPr>
                <w:rFonts w:cstheme="minorHAnsi"/>
                <w:color w:val="000000"/>
                <w:sz w:val="19"/>
                <w:szCs w:val="19"/>
              </w:rPr>
              <w:t>Passation des marchés</w:t>
            </w:r>
          </w:p>
          <w:p w14:paraId="061FBED7" w14:textId="77777777" w:rsidR="002F363F" w:rsidRPr="00F2455C" w:rsidRDefault="002F363F" w:rsidP="004302E0">
            <w:pPr>
              <w:rPr>
                <w:rFonts w:cstheme="minorHAnsi"/>
                <w:color w:val="000000"/>
                <w:sz w:val="19"/>
                <w:szCs w:val="19"/>
              </w:rPr>
            </w:pPr>
          </w:p>
        </w:tc>
        <w:tc>
          <w:tcPr>
            <w:tcW w:w="1460" w:type="dxa"/>
            <w:tcBorders>
              <w:bottom w:val="single" w:sz="4" w:space="0" w:color="auto"/>
            </w:tcBorders>
          </w:tcPr>
          <w:p w14:paraId="0AE903F1" w14:textId="77777777" w:rsidR="002F363F" w:rsidRPr="00F2455C" w:rsidRDefault="002F363F" w:rsidP="004302E0">
            <w:pPr>
              <w:rPr>
                <w:rFonts w:cstheme="minorHAnsi"/>
                <w:color w:val="000000"/>
                <w:sz w:val="19"/>
                <w:szCs w:val="19"/>
              </w:rPr>
            </w:pPr>
            <w:r w:rsidRPr="00F2455C">
              <w:rPr>
                <w:rFonts w:cstheme="minorHAnsi"/>
                <w:color w:val="000000"/>
                <w:sz w:val="19"/>
                <w:szCs w:val="19"/>
              </w:rPr>
              <w:t>Tout au long de la mise en œuvre du projet</w:t>
            </w:r>
          </w:p>
        </w:tc>
        <w:tc>
          <w:tcPr>
            <w:tcW w:w="1892" w:type="dxa"/>
            <w:tcBorders>
              <w:bottom w:val="single" w:sz="4" w:space="0" w:color="auto"/>
            </w:tcBorders>
          </w:tcPr>
          <w:p w14:paraId="2848F31E" w14:textId="77777777" w:rsidR="002F363F" w:rsidRPr="00F2455C" w:rsidRDefault="002F363F" w:rsidP="004302E0">
            <w:pPr>
              <w:rPr>
                <w:rFonts w:cstheme="minorHAnsi"/>
                <w:color w:val="000000"/>
                <w:sz w:val="19"/>
                <w:szCs w:val="19"/>
              </w:rPr>
            </w:pPr>
            <w:r w:rsidRPr="00F2455C">
              <w:rPr>
                <w:rFonts w:cstheme="minorHAnsi"/>
                <w:color w:val="000000"/>
                <w:sz w:val="19"/>
                <w:szCs w:val="19"/>
              </w:rPr>
              <w:t>N/A</w:t>
            </w:r>
          </w:p>
        </w:tc>
        <w:tc>
          <w:tcPr>
            <w:tcW w:w="1511" w:type="dxa"/>
            <w:tcBorders>
              <w:bottom w:val="single" w:sz="4" w:space="0" w:color="auto"/>
            </w:tcBorders>
          </w:tcPr>
          <w:p w14:paraId="11A39314" w14:textId="77777777" w:rsidR="002F363F" w:rsidRPr="00F2455C" w:rsidRDefault="002F363F" w:rsidP="004302E0">
            <w:pPr>
              <w:rPr>
                <w:rFonts w:cstheme="minorHAnsi"/>
                <w:color w:val="000000"/>
                <w:sz w:val="19"/>
                <w:szCs w:val="19"/>
              </w:rPr>
            </w:pPr>
            <w:r w:rsidRPr="00F2455C">
              <w:rPr>
                <w:rFonts w:cstheme="minorHAnsi"/>
                <w:color w:val="000000"/>
                <w:sz w:val="19"/>
                <w:szCs w:val="19"/>
              </w:rPr>
              <w:t>Pris en compte</w:t>
            </w:r>
          </w:p>
        </w:tc>
      </w:tr>
      <w:tr w:rsidR="002F363F" w:rsidRPr="00F2455C" w14:paraId="4C8CF7EC" w14:textId="77777777" w:rsidTr="004302E0">
        <w:trPr>
          <w:gridAfter w:val="1"/>
          <w:wAfter w:w="17" w:type="dxa"/>
          <w:trHeight w:val="144"/>
        </w:trPr>
        <w:tc>
          <w:tcPr>
            <w:tcW w:w="2430" w:type="dxa"/>
            <w:vMerge w:val="restart"/>
          </w:tcPr>
          <w:p w14:paraId="0EC299C0" w14:textId="77777777" w:rsidR="002F363F" w:rsidRPr="00F2455C" w:rsidRDefault="002F363F" w:rsidP="004302E0">
            <w:pPr>
              <w:rPr>
                <w:rFonts w:cstheme="minorHAnsi"/>
                <w:b/>
                <w:color w:val="000000"/>
                <w:sz w:val="19"/>
                <w:szCs w:val="19"/>
              </w:rPr>
            </w:pPr>
            <w:r w:rsidRPr="00F2455C">
              <w:rPr>
                <w:rFonts w:cstheme="minorHAnsi"/>
                <w:b/>
                <w:sz w:val="19"/>
                <w:szCs w:val="19"/>
              </w:rPr>
              <w:t>Composante 1 :</w:t>
            </w:r>
            <w:r w:rsidRPr="00F2455C">
              <w:rPr>
                <w:rFonts w:cstheme="minorHAnsi"/>
                <w:b/>
                <w:color w:val="000000"/>
                <w:sz w:val="19"/>
                <w:szCs w:val="19"/>
              </w:rPr>
              <w:t xml:space="preserve"> Productivité agricole</w:t>
            </w:r>
          </w:p>
          <w:p w14:paraId="5A911006" w14:textId="77777777" w:rsidR="002F363F" w:rsidRPr="00F2455C" w:rsidRDefault="002F363F" w:rsidP="004302E0">
            <w:pPr>
              <w:rPr>
                <w:rFonts w:cstheme="minorHAnsi"/>
                <w:color w:val="000000"/>
                <w:sz w:val="19"/>
                <w:szCs w:val="19"/>
              </w:rPr>
            </w:pPr>
          </w:p>
          <w:p w14:paraId="0A2095A4" w14:textId="77777777" w:rsidR="002F363F" w:rsidRPr="00F2455C" w:rsidRDefault="002F363F" w:rsidP="004302E0">
            <w:pPr>
              <w:pStyle w:val="Paragraphedeliste"/>
              <w:numPr>
                <w:ilvl w:val="1"/>
                <w:numId w:val="173"/>
              </w:numPr>
              <w:spacing w:line="240" w:lineRule="auto"/>
              <w:contextualSpacing w:val="0"/>
              <w:jc w:val="left"/>
              <w:rPr>
                <w:rFonts w:cstheme="minorHAnsi"/>
                <w:color w:val="000000"/>
                <w:sz w:val="19"/>
                <w:szCs w:val="19"/>
              </w:rPr>
            </w:pPr>
            <w:r w:rsidRPr="00F2455C">
              <w:rPr>
                <w:rFonts w:cstheme="minorHAnsi"/>
                <w:color w:val="000000"/>
                <w:sz w:val="19"/>
                <w:szCs w:val="19"/>
              </w:rPr>
              <w:t>Soutien direct aux petits exploitants</w:t>
            </w:r>
          </w:p>
          <w:p w14:paraId="1F1977CB" w14:textId="77777777" w:rsidR="002F363F" w:rsidRPr="00F2455C" w:rsidRDefault="002F363F" w:rsidP="004302E0">
            <w:pPr>
              <w:rPr>
                <w:rFonts w:cstheme="minorHAnsi"/>
                <w:sz w:val="19"/>
                <w:szCs w:val="19"/>
              </w:rPr>
            </w:pPr>
          </w:p>
          <w:p w14:paraId="2F15579A" w14:textId="77777777" w:rsidR="002F363F" w:rsidRPr="00F2455C" w:rsidRDefault="002F363F" w:rsidP="004302E0">
            <w:pPr>
              <w:rPr>
                <w:rFonts w:cstheme="minorHAnsi"/>
                <w:color w:val="000000"/>
                <w:sz w:val="19"/>
                <w:szCs w:val="19"/>
              </w:rPr>
            </w:pPr>
            <w:r w:rsidRPr="00F2455C">
              <w:rPr>
                <w:rFonts w:cstheme="minorHAnsi"/>
                <w:color w:val="000000"/>
                <w:sz w:val="19"/>
                <w:szCs w:val="19"/>
              </w:rPr>
              <w:t>Aide directe aux petits exploitants agricoles pour adoption des pratiques, technologies et intrants CSA (agriculture intelligente face au climat) et AIN (agriculture intelligente face à la nutrition) (semences, plants, races animales, services de conseil et de vulgarisation).</w:t>
            </w:r>
          </w:p>
          <w:p w14:paraId="60CE72E7" w14:textId="77777777" w:rsidR="002F363F" w:rsidRPr="00F2455C" w:rsidRDefault="002F363F" w:rsidP="004302E0">
            <w:pPr>
              <w:rPr>
                <w:rFonts w:cstheme="minorHAnsi"/>
                <w:sz w:val="19"/>
                <w:szCs w:val="19"/>
              </w:rPr>
            </w:pPr>
          </w:p>
          <w:p w14:paraId="6B1AFE74" w14:textId="77777777" w:rsidR="002F363F" w:rsidRPr="00F2455C" w:rsidRDefault="002F363F" w:rsidP="004302E0">
            <w:pPr>
              <w:pStyle w:val="Paragraphedeliste"/>
              <w:numPr>
                <w:ilvl w:val="1"/>
                <w:numId w:val="173"/>
              </w:numPr>
              <w:spacing w:line="240" w:lineRule="auto"/>
              <w:contextualSpacing w:val="0"/>
              <w:jc w:val="left"/>
              <w:rPr>
                <w:rFonts w:cstheme="minorHAnsi"/>
                <w:color w:val="000000"/>
                <w:sz w:val="19"/>
                <w:szCs w:val="19"/>
              </w:rPr>
            </w:pPr>
            <w:r w:rsidRPr="00F2455C">
              <w:rPr>
                <w:rFonts w:cstheme="minorHAnsi"/>
                <w:color w:val="000000"/>
                <w:sz w:val="19"/>
                <w:szCs w:val="19"/>
              </w:rPr>
              <w:t>Assistance technique et accès financier aux petits exploitants</w:t>
            </w:r>
          </w:p>
          <w:p w14:paraId="05A08F9F" w14:textId="77777777" w:rsidR="002F363F" w:rsidRPr="00F2455C" w:rsidRDefault="002F363F" w:rsidP="004302E0">
            <w:pPr>
              <w:rPr>
                <w:rFonts w:cstheme="minorHAnsi"/>
                <w:sz w:val="19"/>
                <w:szCs w:val="19"/>
              </w:rPr>
            </w:pPr>
          </w:p>
          <w:p w14:paraId="7BB27464" w14:textId="77777777" w:rsidR="002F363F" w:rsidRPr="00F2455C" w:rsidRDefault="002F363F" w:rsidP="004302E0">
            <w:pPr>
              <w:rPr>
                <w:rFonts w:cstheme="minorHAnsi"/>
                <w:color w:val="000000"/>
                <w:sz w:val="19"/>
                <w:szCs w:val="19"/>
              </w:rPr>
            </w:pPr>
            <w:r w:rsidRPr="00F2455C">
              <w:rPr>
                <w:rFonts w:cstheme="minorHAnsi"/>
                <w:color w:val="000000"/>
                <w:sz w:val="19"/>
                <w:szCs w:val="19"/>
              </w:rPr>
              <w:t>Accès à l’assistance technique et aux services financiers, promotion de meilleures pratiques et amélioration de la productivité des petits exploitants</w:t>
            </w:r>
          </w:p>
          <w:p w14:paraId="082811EC" w14:textId="77777777" w:rsidR="002F363F" w:rsidRPr="00F2455C" w:rsidRDefault="002F363F" w:rsidP="004302E0">
            <w:pPr>
              <w:rPr>
                <w:rFonts w:cstheme="minorHAnsi"/>
                <w:color w:val="000000"/>
                <w:sz w:val="19"/>
                <w:szCs w:val="19"/>
              </w:rPr>
            </w:pPr>
          </w:p>
          <w:p w14:paraId="04444C4D" w14:textId="77777777" w:rsidR="002F363F" w:rsidRPr="00F2455C" w:rsidRDefault="002F363F" w:rsidP="004302E0">
            <w:pPr>
              <w:rPr>
                <w:rFonts w:cstheme="minorHAnsi"/>
                <w:b/>
                <w:color w:val="000000"/>
                <w:sz w:val="19"/>
                <w:szCs w:val="19"/>
              </w:rPr>
            </w:pPr>
            <w:r w:rsidRPr="00F2455C">
              <w:rPr>
                <w:rFonts w:cstheme="minorHAnsi"/>
                <w:b/>
                <w:color w:val="000000"/>
                <w:sz w:val="19"/>
                <w:szCs w:val="19"/>
              </w:rPr>
              <w:t>Composante 2 : Accès au marché des petits exploitants</w:t>
            </w:r>
          </w:p>
          <w:p w14:paraId="4B2FD6FA" w14:textId="77777777" w:rsidR="002F363F" w:rsidRPr="00F2455C" w:rsidRDefault="002F363F" w:rsidP="004302E0">
            <w:pPr>
              <w:rPr>
                <w:rFonts w:cstheme="minorHAnsi"/>
                <w:color w:val="000000"/>
                <w:sz w:val="19"/>
                <w:szCs w:val="19"/>
              </w:rPr>
            </w:pPr>
          </w:p>
          <w:p w14:paraId="055706B9" w14:textId="77777777" w:rsidR="002F363F" w:rsidRPr="00F2455C" w:rsidRDefault="002F363F" w:rsidP="004302E0">
            <w:pPr>
              <w:pStyle w:val="Paragraphedeliste"/>
              <w:numPr>
                <w:ilvl w:val="1"/>
                <w:numId w:val="174"/>
              </w:numPr>
              <w:spacing w:line="240" w:lineRule="auto"/>
              <w:contextualSpacing w:val="0"/>
              <w:jc w:val="left"/>
              <w:rPr>
                <w:rFonts w:cstheme="minorHAnsi"/>
                <w:color w:val="000000"/>
                <w:sz w:val="19"/>
                <w:szCs w:val="19"/>
              </w:rPr>
            </w:pPr>
            <w:r w:rsidRPr="00F2455C">
              <w:rPr>
                <w:rFonts w:cstheme="minorHAnsi"/>
                <w:color w:val="000000"/>
                <w:sz w:val="19"/>
                <w:szCs w:val="19"/>
              </w:rPr>
              <w:t>Infrastructure rurale</w:t>
            </w:r>
          </w:p>
          <w:p w14:paraId="76A988C6" w14:textId="77777777" w:rsidR="002F363F" w:rsidRPr="00F2455C" w:rsidRDefault="002F363F" w:rsidP="004302E0">
            <w:pPr>
              <w:rPr>
                <w:rFonts w:cstheme="minorHAnsi"/>
                <w:sz w:val="19"/>
                <w:szCs w:val="19"/>
              </w:rPr>
            </w:pPr>
          </w:p>
          <w:p w14:paraId="60F0FC27" w14:textId="77777777" w:rsidR="002F363F" w:rsidRPr="00F2455C" w:rsidRDefault="002F363F" w:rsidP="004302E0">
            <w:pPr>
              <w:rPr>
                <w:rFonts w:cstheme="minorHAnsi"/>
                <w:color w:val="000000"/>
                <w:sz w:val="19"/>
                <w:szCs w:val="19"/>
              </w:rPr>
            </w:pPr>
            <w:r w:rsidRPr="00F2455C">
              <w:rPr>
                <w:rFonts w:cstheme="minorHAnsi"/>
                <w:color w:val="000000"/>
                <w:sz w:val="19"/>
                <w:szCs w:val="19"/>
              </w:rPr>
              <w:t>Réhabilitation et construction des pistes rurales, incluant des rampes et ponts, afin de faciliter l’accès aux marchés</w:t>
            </w:r>
          </w:p>
          <w:p w14:paraId="1806577C" w14:textId="77777777" w:rsidR="002F363F" w:rsidRPr="00F2455C" w:rsidRDefault="002F363F" w:rsidP="004302E0">
            <w:pPr>
              <w:rPr>
                <w:rFonts w:cstheme="minorHAnsi"/>
                <w:color w:val="000000"/>
                <w:sz w:val="19"/>
                <w:szCs w:val="19"/>
              </w:rPr>
            </w:pPr>
          </w:p>
          <w:p w14:paraId="4656F86D" w14:textId="77777777" w:rsidR="002F363F" w:rsidRPr="00F2455C" w:rsidRDefault="002F363F" w:rsidP="004302E0">
            <w:pPr>
              <w:pStyle w:val="Paragraphedeliste"/>
              <w:numPr>
                <w:ilvl w:val="1"/>
                <w:numId w:val="174"/>
              </w:numPr>
              <w:spacing w:line="240" w:lineRule="auto"/>
              <w:contextualSpacing w:val="0"/>
              <w:jc w:val="left"/>
              <w:rPr>
                <w:rFonts w:cstheme="minorHAnsi"/>
                <w:color w:val="000000"/>
                <w:sz w:val="19"/>
                <w:szCs w:val="19"/>
              </w:rPr>
            </w:pPr>
            <w:r w:rsidRPr="00F2455C">
              <w:rPr>
                <w:rFonts w:cstheme="minorHAnsi"/>
                <w:color w:val="000000"/>
                <w:sz w:val="19"/>
                <w:szCs w:val="19"/>
              </w:rPr>
              <w:t>Soutien à l’inclusion des petits exploitants dans les chaînes de valeur</w:t>
            </w:r>
          </w:p>
          <w:p w14:paraId="11855946" w14:textId="77777777" w:rsidR="002F363F" w:rsidRPr="00F2455C" w:rsidRDefault="002F363F" w:rsidP="004302E0">
            <w:pPr>
              <w:rPr>
                <w:rFonts w:cstheme="minorHAnsi"/>
                <w:sz w:val="19"/>
                <w:szCs w:val="19"/>
              </w:rPr>
            </w:pPr>
          </w:p>
          <w:p w14:paraId="43BE8694" w14:textId="77777777" w:rsidR="002F363F" w:rsidRPr="00F2455C" w:rsidRDefault="002F363F" w:rsidP="004302E0">
            <w:pPr>
              <w:rPr>
                <w:rFonts w:cstheme="minorHAnsi"/>
                <w:sz w:val="19"/>
                <w:szCs w:val="19"/>
              </w:rPr>
            </w:pPr>
            <w:r w:rsidRPr="00F2455C">
              <w:rPr>
                <w:rFonts w:cstheme="minorHAnsi"/>
                <w:color w:val="000000"/>
                <w:sz w:val="19"/>
                <w:szCs w:val="19"/>
              </w:rPr>
              <w:t>Subventions de contrepartie et accès aux lignes de crédit basées sur une approche axée sur la demande aux groupes de petits exploitants agricoles (coopératives/associations) et aux agro-MPME qui travailleront avec les petits exploitants agricoles bénéficiaires de la première composante</w:t>
            </w:r>
          </w:p>
          <w:p w14:paraId="7F3DC5C9" w14:textId="77777777" w:rsidR="002F363F" w:rsidRPr="00F2455C" w:rsidRDefault="002F363F" w:rsidP="004302E0">
            <w:pPr>
              <w:rPr>
                <w:rFonts w:cstheme="minorHAnsi"/>
                <w:b/>
                <w:sz w:val="19"/>
                <w:szCs w:val="19"/>
              </w:rPr>
            </w:pPr>
          </w:p>
        </w:tc>
        <w:tc>
          <w:tcPr>
            <w:tcW w:w="2165" w:type="dxa"/>
            <w:vMerge w:val="restart"/>
          </w:tcPr>
          <w:p w14:paraId="7FD9B10B" w14:textId="77777777" w:rsidR="002F363F" w:rsidRPr="00F2455C" w:rsidRDefault="002F363F" w:rsidP="004302E0">
            <w:pPr>
              <w:rPr>
                <w:rFonts w:cstheme="minorHAnsi"/>
                <w:color w:val="000000"/>
                <w:sz w:val="19"/>
                <w:szCs w:val="19"/>
              </w:rPr>
            </w:pPr>
            <w:r w:rsidRPr="00F2455C">
              <w:rPr>
                <w:rFonts w:cstheme="minorHAnsi"/>
                <w:color w:val="000000"/>
                <w:sz w:val="19"/>
                <w:szCs w:val="19"/>
              </w:rPr>
              <w:t>Risques d'EAHS liés :</w:t>
            </w:r>
          </w:p>
          <w:p w14:paraId="5D69EB1B" w14:textId="77777777" w:rsidR="002F363F" w:rsidRPr="00F2455C" w:rsidRDefault="002F363F" w:rsidP="004302E0">
            <w:pPr>
              <w:rPr>
                <w:rFonts w:cstheme="minorHAnsi"/>
                <w:color w:val="000000"/>
                <w:sz w:val="19"/>
                <w:szCs w:val="19"/>
              </w:rPr>
            </w:pPr>
          </w:p>
          <w:p w14:paraId="436D4B3E" w14:textId="77777777" w:rsidR="002F363F" w:rsidRPr="00F2455C" w:rsidRDefault="002F363F" w:rsidP="004302E0">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color w:val="000000"/>
                <w:sz w:val="19"/>
                <w:szCs w:val="19"/>
              </w:rPr>
              <w:t>à la sélection des bénéficiaires producteurs/-trices pour l’accès à l’aide directe et aux technologies et intrants</w:t>
            </w:r>
          </w:p>
          <w:p w14:paraId="52EC5A98" w14:textId="77777777" w:rsidR="002F363F" w:rsidRPr="00F2455C" w:rsidRDefault="002F363F" w:rsidP="004302E0">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color w:val="000000"/>
                <w:sz w:val="19"/>
                <w:szCs w:val="19"/>
              </w:rPr>
              <w:t>à l’accès au registre national des producteurs/-trices</w:t>
            </w:r>
          </w:p>
          <w:p w14:paraId="505C6796" w14:textId="77777777" w:rsidR="002F363F" w:rsidRPr="00F2455C" w:rsidRDefault="002F363F" w:rsidP="004302E0">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sz w:val="19"/>
                <w:szCs w:val="19"/>
              </w:rPr>
              <w:t>aux activités d'octroi des micro-crédits et aux services financiers</w:t>
            </w:r>
          </w:p>
          <w:p w14:paraId="03FED4B1" w14:textId="77777777" w:rsidR="002F363F" w:rsidRPr="00F2455C" w:rsidRDefault="002F363F" w:rsidP="004302E0">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sz w:val="19"/>
                <w:szCs w:val="19"/>
              </w:rPr>
              <w:t>à la participation aux ateliers de capacitation</w:t>
            </w:r>
          </w:p>
          <w:p w14:paraId="62322CB1" w14:textId="77777777" w:rsidR="002F363F" w:rsidRPr="00F2455C" w:rsidRDefault="002F363F" w:rsidP="004302E0">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color w:val="000000"/>
                <w:sz w:val="19"/>
                <w:szCs w:val="19"/>
              </w:rPr>
              <w:t>à la sélection des (coopératives/associations) et aux agro-MPME en tant que bénéficiaires de projet</w:t>
            </w:r>
          </w:p>
          <w:p w14:paraId="39E96A74" w14:textId="77777777" w:rsidR="002F363F" w:rsidRPr="00F2455C" w:rsidRDefault="002F363F" w:rsidP="004302E0">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color w:val="000000"/>
                <w:sz w:val="19"/>
                <w:szCs w:val="19"/>
              </w:rPr>
              <w:t>à la confection des listes des ouvriers THIMO</w:t>
            </w:r>
            <w:r w:rsidRPr="00F2455C">
              <w:rPr>
                <w:rFonts w:cstheme="minorHAnsi"/>
                <w:b/>
                <w:color w:val="000000"/>
                <w:sz w:val="19"/>
                <w:szCs w:val="19"/>
              </w:rPr>
              <w:t xml:space="preserve">, </w:t>
            </w:r>
            <w:r w:rsidRPr="00F2455C">
              <w:rPr>
                <w:rFonts w:cstheme="minorHAnsi"/>
                <w:color w:val="000000"/>
                <w:sz w:val="19"/>
                <w:szCs w:val="19"/>
              </w:rPr>
              <w:t>surtout</w:t>
            </w:r>
            <w:r w:rsidRPr="00F2455C">
              <w:rPr>
                <w:rFonts w:cstheme="minorHAnsi"/>
                <w:b/>
                <w:color w:val="000000"/>
                <w:sz w:val="19"/>
                <w:szCs w:val="19"/>
              </w:rPr>
              <w:t xml:space="preserve"> </w:t>
            </w:r>
            <w:r w:rsidRPr="00F2455C">
              <w:rPr>
                <w:rFonts w:cstheme="minorHAnsi"/>
                <w:color w:val="000000"/>
                <w:sz w:val="19"/>
                <w:szCs w:val="19"/>
              </w:rPr>
              <w:t>discrimination des femmes lors de recrutement de la main d'œuvre locale</w:t>
            </w:r>
          </w:p>
          <w:p w14:paraId="4AA5AA0C" w14:textId="77777777" w:rsidR="002F363F" w:rsidRPr="00F2455C" w:rsidRDefault="002F363F" w:rsidP="004302E0">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color w:val="000000"/>
                <w:sz w:val="19"/>
                <w:szCs w:val="19"/>
              </w:rPr>
              <w:t>à la sollicitation des services de transformation et d'implantation des unités de transformation</w:t>
            </w:r>
          </w:p>
          <w:p w14:paraId="50797A41" w14:textId="77777777" w:rsidR="002F363F" w:rsidRPr="00F2455C" w:rsidRDefault="002F363F" w:rsidP="004302E0">
            <w:pPr>
              <w:rPr>
                <w:rFonts w:cstheme="minorHAnsi"/>
                <w:color w:val="000000"/>
                <w:sz w:val="19"/>
                <w:szCs w:val="19"/>
              </w:rPr>
            </w:pPr>
          </w:p>
          <w:p w14:paraId="5F53FF08" w14:textId="77777777" w:rsidR="002F363F" w:rsidRPr="00F2455C" w:rsidRDefault="002F363F" w:rsidP="004302E0">
            <w:pPr>
              <w:rPr>
                <w:rFonts w:cstheme="minorHAnsi"/>
                <w:color w:val="000000"/>
                <w:sz w:val="19"/>
                <w:szCs w:val="19"/>
              </w:rPr>
            </w:pPr>
            <w:r w:rsidRPr="00F2455C">
              <w:rPr>
                <w:rFonts w:cstheme="minorHAnsi"/>
                <w:color w:val="000000"/>
                <w:sz w:val="19"/>
                <w:szCs w:val="19"/>
              </w:rPr>
              <w:t>Risques d’EAHS liés à l’afflux de main d’œuvre lors des travaux de génie civil</w:t>
            </w:r>
          </w:p>
          <w:p w14:paraId="346BB391" w14:textId="77777777" w:rsidR="002F363F" w:rsidRPr="00F2455C" w:rsidRDefault="002F363F" w:rsidP="004302E0">
            <w:pPr>
              <w:rPr>
                <w:rFonts w:cstheme="minorHAnsi"/>
                <w:color w:val="000000"/>
                <w:sz w:val="19"/>
                <w:szCs w:val="19"/>
              </w:rPr>
            </w:pPr>
          </w:p>
          <w:p w14:paraId="22D49D77" w14:textId="77777777" w:rsidR="002F363F" w:rsidRPr="00F2455C" w:rsidRDefault="002F363F" w:rsidP="004302E0">
            <w:pPr>
              <w:rPr>
                <w:rFonts w:ascii="Calibri" w:eastAsia="MS Mincho" w:hAnsi="Calibri" w:cs="Calibri"/>
                <w:bCs/>
                <w:sz w:val="19"/>
                <w:szCs w:val="19"/>
              </w:rPr>
            </w:pPr>
            <w:r w:rsidRPr="00F2455C">
              <w:rPr>
                <w:rFonts w:ascii="Calibri" w:eastAsia="MS Mincho" w:hAnsi="Calibri" w:cs="Calibri"/>
                <w:bCs/>
                <w:sz w:val="19"/>
                <w:szCs w:val="19"/>
              </w:rPr>
              <w:t>Absence d’informations pour les bénéficiaires féminins concernant le projet et les risques potentiels associés à cause du manque de consultations avec les bénéficiaires féminins dans des conditions sûres et confidentielles</w:t>
            </w:r>
          </w:p>
          <w:p w14:paraId="51A9A543" w14:textId="77777777" w:rsidR="002F363F" w:rsidRPr="00F2455C" w:rsidRDefault="002F363F" w:rsidP="004302E0">
            <w:pPr>
              <w:rPr>
                <w:rFonts w:ascii="Calibri" w:eastAsia="MS Mincho" w:hAnsi="Calibri" w:cs="Calibri"/>
                <w:bCs/>
                <w:sz w:val="19"/>
                <w:szCs w:val="19"/>
              </w:rPr>
            </w:pPr>
          </w:p>
          <w:p w14:paraId="7435DCAB" w14:textId="77777777" w:rsidR="002F363F" w:rsidRPr="00F2455C" w:rsidRDefault="002F363F" w:rsidP="004302E0">
            <w:pPr>
              <w:rPr>
                <w:rFonts w:cstheme="minorHAnsi"/>
                <w:color w:val="000000"/>
                <w:sz w:val="19"/>
                <w:szCs w:val="19"/>
              </w:rPr>
            </w:pPr>
            <w:r w:rsidRPr="00F2455C">
              <w:rPr>
                <w:rFonts w:cstheme="minorHAnsi"/>
                <w:color w:val="000000"/>
                <w:sz w:val="19"/>
                <w:szCs w:val="19"/>
              </w:rPr>
              <w:t>Risque de VBG lié au changement potentiel du statut économique des femmes productrices suite à leur participation aux activités du projet (ex. aide directe, assistance technique, etc.)</w:t>
            </w:r>
          </w:p>
          <w:p w14:paraId="515F8A73" w14:textId="77777777" w:rsidR="002F363F" w:rsidRPr="00F2455C" w:rsidRDefault="002F363F" w:rsidP="004302E0">
            <w:pPr>
              <w:rPr>
                <w:rFonts w:ascii="Calibri" w:hAnsi="Calibri" w:cs="Calibri"/>
                <w:color w:val="000000"/>
                <w:sz w:val="19"/>
                <w:szCs w:val="19"/>
              </w:rPr>
            </w:pPr>
          </w:p>
          <w:p w14:paraId="594F4135" w14:textId="77777777" w:rsidR="002F363F" w:rsidRPr="00F2455C" w:rsidRDefault="002F363F" w:rsidP="004302E0">
            <w:pPr>
              <w:rPr>
                <w:rFonts w:ascii="Calibri" w:eastAsia="MS Mincho" w:hAnsi="Calibri" w:cs="Calibri"/>
                <w:bCs/>
                <w:sz w:val="19"/>
                <w:szCs w:val="19"/>
              </w:rPr>
            </w:pPr>
            <w:r w:rsidRPr="00F2455C">
              <w:rPr>
                <w:rFonts w:ascii="Calibri" w:eastAsia="MS Mincho" w:hAnsi="Calibri" w:cs="Calibri"/>
                <w:bCs/>
                <w:sz w:val="19"/>
                <w:szCs w:val="19"/>
              </w:rPr>
              <w:t>Manque d’accès des bénéficiaires féminins aux avantages et services du projet (e.g. manque de représentativité dans les processus de prise de décision au niveau communautaire, non-prise en compte des besoins des femmes dans la mise en place du registre national, concernant l’accès aux activités de formation ou les décisions concernant les petites subventions, risques d’exclusion des productrices des processus de prise de décision, etc.)</w:t>
            </w:r>
          </w:p>
          <w:p w14:paraId="50856984" w14:textId="77777777" w:rsidR="002F363F" w:rsidRPr="00F2455C" w:rsidRDefault="002F363F" w:rsidP="004302E0">
            <w:pPr>
              <w:rPr>
                <w:rFonts w:ascii="Calibri" w:hAnsi="Calibri" w:cs="Calibri"/>
                <w:color w:val="000000"/>
                <w:sz w:val="19"/>
                <w:szCs w:val="19"/>
              </w:rPr>
            </w:pPr>
          </w:p>
          <w:p w14:paraId="292DCFEF" w14:textId="77777777" w:rsidR="002F363F" w:rsidRPr="00F2455C" w:rsidRDefault="002F363F" w:rsidP="004302E0">
            <w:pPr>
              <w:rPr>
                <w:rFonts w:cstheme="minorHAnsi"/>
                <w:color w:val="000000"/>
                <w:sz w:val="19"/>
                <w:szCs w:val="19"/>
              </w:rPr>
            </w:pPr>
            <w:r w:rsidRPr="00F2455C">
              <w:rPr>
                <w:rFonts w:ascii="Calibri" w:eastAsia="MS Mincho" w:hAnsi="Calibri" w:cs="Calibri"/>
                <w:bCs/>
                <w:sz w:val="19"/>
                <w:szCs w:val="19"/>
              </w:rPr>
              <w:t>Risques de harcèlement sexuel liés au manque potentiel de supervision du personnel masculin et féminin (ex. dans les travaux de génie civil, dans l’UGP, etc.)</w:t>
            </w:r>
          </w:p>
        </w:tc>
        <w:tc>
          <w:tcPr>
            <w:tcW w:w="10868" w:type="dxa"/>
            <w:gridSpan w:val="6"/>
            <w:tcBorders>
              <w:bottom w:val="single" w:sz="4" w:space="0" w:color="auto"/>
            </w:tcBorders>
          </w:tcPr>
          <w:p w14:paraId="5D8EDBA4" w14:textId="77777777" w:rsidR="002F363F" w:rsidRPr="00F2455C" w:rsidRDefault="002F363F" w:rsidP="004302E0">
            <w:pPr>
              <w:rPr>
                <w:rFonts w:ascii="Calibri" w:eastAsia="MS Mincho" w:hAnsi="Calibri" w:cs="Calibri"/>
                <w:b/>
                <w:sz w:val="19"/>
                <w:szCs w:val="19"/>
              </w:rPr>
            </w:pPr>
            <w:r w:rsidRPr="00F2455C">
              <w:rPr>
                <w:rFonts w:ascii="Calibri" w:eastAsia="MS Mincho" w:hAnsi="Calibri" w:cs="Calibri"/>
                <w:b/>
                <w:sz w:val="19"/>
                <w:szCs w:val="19"/>
              </w:rPr>
              <w:t>Plan de redevabilité et réponse, incluant :</w:t>
            </w:r>
          </w:p>
        </w:tc>
      </w:tr>
      <w:tr w:rsidR="002F363F" w:rsidRPr="00F2455C" w14:paraId="7BB9008F" w14:textId="77777777" w:rsidTr="004302E0">
        <w:trPr>
          <w:gridAfter w:val="1"/>
          <w:wAfter w:w="17" w:type="dxa"/>
          <w:trHeight w:val="4176"/>
        </w:trPr>
        <w:tc>
          <w:tcPr>
            <w:tcW w:w="2430" w:type="dxa"/>
            <w:vMerge/>
          </w:tcPr>
          <w:p w14:paraId="570FEE4D" w14:textId="77777777" w:rsidR="002F363F" w:rsidRPr="00F2455C" w:rsidRDefault="002F363F" w:rsidP="004302E0">
            <w:pPr>
              <w:rPr>
                <w:rFonts w:cstheme="minorHAnsi"/>
                <w:sz w:val="19"/>
                <w:szCs w:val="19"/>
              </w:rPr>
            </w:pPr>
          </w:p>
        </w:tc>
        <w:tc>
          <w:tcPr>
            <w:tcW w:w="2165" w:type="dxa"/>
            <w:vMerge/>
          </w:tcPr>
          <w:p w14:paraId="1935EA73" w14:textId="77777777" w:rsidR="002F363F" w:rsidRPr="00F2455C" w:rsidRDefault="002F363F" w:rsidP="004302E0">
            <w:pPr>
              <w:rPr>
                <w:sz w:val="19"/>
                <w:szCs w:val="19"/>
              </w:rPr>
            </w:pPr>
          </w:p>
        </w:tc>
        <w:tc>
          <w:tcPr>
            <w:tcW w:w="2473" w:type="dxa"/>
            <w:tcBorders>
              <w:bottom w:val="single" w:sz="4" w:space="0" w:color="auto"/>
            </w:tcBorders>
          </w:tcPr>
          <w:p w14:paraId="446FF586" w14:textId="77777777" w:rsidR="002F363F" w:rsidRPr="00F2455C" w:rsidRDefault="002F363F" w:rsidP="004302E0">
            <w:pPr>
              <w:autoSpaceDE w:val="0"/>
              <w:autoSpaceDN w:val="0"/>
              <w:adjustRightInd w:val="0"/>
              <w:rPr>
                <w:rFonts w:ascii="Calibri" w:eastAsia="MS Mincho" w:hAnsi="Calibri" w:cs="Calibri"/>
                <w:bCs/>
                <w:sz w:val="19"/>
                <w:szCs w:val="19"/>
              </w:rPr>
            </w:pPr>
            <w:r w:rsidRPr="00F2455C">
              <w:rPr>
                <w:rFonts w:ascii="Calibri" w:eastAsia="MS Mincho" w:hAnsi="Calibri" w:cs="Calibri"/>
                <w:bCs/>
                <w:sz w:val="19"/>
                <w:szCs w:val="19"/>
              </w:rPr>
              <w:t>Élaboration et signature des codes de bonne conduite pour les travailleurs et le personnel du projet, qui comprennent au minimum les éléments suivants :</w:t>
            </w:r>
          </w:p>
          <w:p w14:paraId="162AF4EB" w14:textId="77777777" w:rsidR="002F363F" w:rsidRPr="00F2455C" w:rsidRDefault="002F363F" w:rsidP="004302E0">
            <w:pPr>
              <w:autoSpaceDE w:val="0"/>
              <w:autoSpaceDN w:val="0"/>
              <w:adjustRightInd w:val="0"/>
              <w:rPr>
                <w:rFonts w:ascii="Calibri" w:eastAsia="MS Mincho" w:hAnsi="Calibri" w:cs="Calibri"/>
                <w:b/>
                <w:sz w:val="19"/>
                <w:szCs w:val="19"/>
              </w:rPr>
            </w:pPr>
          </w:p>
          <w:p w14:paraId="090289AE" w14:textId="77777777" w:rsidR="002F363F" w:rsidRPr="00F2455C" w:rsidRDefault="002F363F" w:rsidP="004302E0">
            <w:pPr>
              <w:pStyle w:val="Paragraphedeliste"/>
              <w:numPr>
                <w:ilvl w:val="0"/>
                <w:numId w:val="178"/>
              </w:numPr>
              <w:autoSpaceDE w:val="0"/>
              <w:autoSpaceDN w:val="0"/>
              <w:adjustRightInd w:val="0"/>
              <w:spacing w:line="240" w:lineRule="auto"/>
              <w:ind w:left="204" w:hanging="180"/>
              <w:contextualSpacing w:val="0"/>
              <w:jc w:val="left"/>
              <w:rPr>
                <w:rFonts w:ascii="Calibri" w:eastAsia="MS Mincho" w:hAnsi="Calibri" w:cs="Calibri"/>
                <w:b/>
                <w:sz w:val="19"/>
                <w:szCs w:val="19"/>
              </w:rPr>
            </w:pPr>
            <w:r w:rsidRPr="00F2455C">
              <w:rPr>
                <w:rFonts w:ascii="Calibri" w:eastAsia="MS Mincho" w:hAnsi="Calibri" w:cs="Calibri"/>
                <w:bCs/>
                <w:sz w:val="19"/>
                <w:szCs w:val="19"/>
              </w:rPr>
              <w:t>Comportements interdits</w:t>
            </w:r>
          </w:p>
          <w:p w14:paraId="4168956D" w14:textId="77777777" w:rsidR="002F363F" w:rsidRPr="00F2455C" w:rsidRDefault="002F363F" w:rsidP="004302E0">
            <w:pPr>
              <w:pStyle w:val="Paragraphedeliste"/>
              <w:numPr>
                <w:ilvl w:val="0"/>
                <w:numId w:val="178"/>
              </w:numPr>
              <w:autoSpaceDE w:val="0"/>
              <w:autoSpaceDN w:val="0"/>
              <w:adjustRightInd w:val="0"/>
              <w:spacing w:line="240" w:lineRule="auto"/>
              <w:ind w:left="204" w:hanging="180"/>
              <w:contextualSpacing w:val="0"/>
              <w:jc w:val="left"/>
              <w:rPr>
                <w:rFonts w:ascii="Calibri" w:eastAsia="MS Mincho" w:hAnsi="Calibri" w:cs="Calibri"/>
                <w:b/>
                <w:sz w:val="19"/>
                <w:szCs w:val="19"/>
              </w:rPr>
            </w:pPr>
            <w:r w:rsidRPr="00F2455C">
              <w:rPr>
                <w:rFonts w:ascii="Calibri" w:eastAsia="MS Mincho" w:hAnsi="Calibri" w:cs="Calibri"/>
                <w:bCs/>
                <w:sz w:val="19"/>
                <w:szCs w:val="19"/>
              </w:rPr>
              <w:t>Liste des sanctions applicables</w:t>
            </w:r>
          </w:p>
          <w:p w14:paraId="64395FCC" w14:textId="77777777" w:rsidR="002F363F" w:rsidRPr="00F2455C" w:rsidRDefault="002F363F" w:rsidP="004302E0">
            <w:pPr>
              <w:pStyle w:val="Paragraphedeliste"/>
              <w:numPr>
                <w:ilvl w:val="0"/>
                <w:numId w:val="178"/>
              </w:numPr>
              <w:autoSpaceDE w:val="0"/>
              <w:autoSpaceDN w:val="0"/>
              <w:adjustRightInd w:val="0"/>
              <w:spacing w:line="240" w:lineRule="auto"/>
              <w:ind w:left="204" w:hanging="180"/>
              <w:contextualSpacing w:val="0"/>
              <w:jc w:val="left"/>
              <w:rPr>
                <w:rFonts w:ascii="Calibri" w:eastAsia="MS Mincho" w:hAnsi="Calibri" w:cs="Calibri"/>
                <w:b/>
                <w:sz w:val="19"/>
                <w:szCs w:val="19"/>
              </w:rPr>
            </w:pPr>
            <w:r w:rsidRPr="00F2455C">
              <w:rPr>
                <w:rFonts w:ascii="Calibri" w:eastAsia="MS Mincho" w:hAnsi="Calibri" w:cs="Calibri"/>
                <w:bCs/>
                <w:sz w:val="19"/>
                <w:szCs w:val="19"/>
              </w:rPr>
              <w:t>Standards minimums à suivre pour l’UGP</w:t>
            </w:r>
          </w:p>
          <w:p w14:paraId="081CEFDA" w14:textId="77777777" w:rsidR="002F363F" w:rsidRPr="00F2455C" w:rsidRDefault="002F363F" w:rsidP="004302E0">
            <w:pPr>
              <w:pStyle w:val="Paragraphedeliste"/>
              <w:numPr>
                <w:ilvl w:val="0"/>
                <w:numId w:val="178"/>
              </w:numPr>
              <w:autoSpaceDE w:val="0"/>
              <w:autoSpaceDN w:val="0"/>
              <w:adjustRightInd w:val="0"/>
              <w:spacing w:line="240" w:lineRule="auto"/>
              <w:ind w:left="204" w:hanging="180"/>
              <w:contextualSpacing w:val="0"/>
              <w:jc w:val="left"/>
              <w:rPr>
                <w:rFonts w:ascii="Calibri" w:eastAsia="MS Mincho" w:hAnsi="Calibri" w:cs="Calibri"/>
                <w:b/>
                <w:sz w:val="19"/>
                <w:szCs w:val="19"/>
              </w:rPr>
            </w:pPr>
            <w:r w:rsidRPr="00F2455C">
              <w:rPr>
                <w:rFonts w:ascii="Calibri" w:eastAsia="MS Mincho" w:hAnsi="Calibri" w:cs="Calibri"/>
                <w:bCs/>
                <w:sz w:val="19"/>
                <w:szCs w:val="19"/>
              </w:rPr>
              <w:t>Obligations de rapportage et processus dans le mécanisme de recueil des plaintes</w:t>
            </w:r>
          </w:p>
        </w:tc>
        <w:tc>
          <w:tcPr>
            <w:tcW w:w="1786" w:type="dxa"/>
            <w:tcBorders>
              <w:bottom w:val="single" w:sz="4" w:space="0" w:color="auto"/>
            </w:tcBorders>
          </w:tcPr>
          <w:p w14:paraId="592A3065"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 et Spécialistes sociaux en province</w:t>
            </w:r>
          </w:p>
          <w:p w14:paraId="428F875B" w14:textId="77777777" w:rsidR="002F363F" w:rsidRPr="00F2455C" w:rsidRDefault="002F363F" w:rsidP="004302E0">
            <w:pPr>
              <w:rPr>
                <w:rFonts w:cstheme="minorHAnsi"/>
                <w:color w:val="000000"/>
                <w:sz w:val="19"/>
                <w:szCs w:val="19"/>
              </w:rPr>
            </w:pPr>
          </w:p>
          <w:p w14:paraId="174880C8" w14:textId="77777777" w:rsidR="002F363F" w:rsidRPr="00F2455C" w:rsidRDefault="002F363F" w:rsidP="004302E0">
            <w:pPr>
              <w:rPr>
                <w:rFonts w:cstheme="minorHAnsi"/>
                <w:color w:val="000000"/>
                <w:sz w:val="19"/>
                <w:szCs w:val="19"/>
              </w:rPr>
            </w:pPr>
            <w:r w:rsidRPr="00F2455C">
              <w:rPr>
                <w:rFonts w:cstheme="minorHAnsi"/>
                <w:color w:val="000000"/>
                <w:sz w:val="19"/>
                <w:szCs w:val="19"/>
              </w:rPr>
              <w:t>Personnel de supervision du projet (UNCP/UPEP)</w:t>
            </w:r>
          </w:p>
          <w:p w14:paraId="53814083" w14:textId="77777777" w:rsidR="002F363F" w:rsidRPr="00F2455C" w:rsidRDefault="002F363F" w:rsidP="004302E0">
            <w:pPr>
              <w:rPr>
                <w:rFonts w:cstheme="minorHAnsi"/>
                <w:color w:val="000000"/>
                <w:sz w:val="19"/>
                <w:szCs w:val="19"/>
              </w:rPr>
            </w:pPr>
          </w:p>
          <w:p w14:paraId="2094C2D9" w14:textId="77777777" w:rsidR="002F363F" w:rsidRPr="00F2455C" w:rsidRDefault="002F363F" w:rsidP="004302E0">
            <w:pPr>
              <w:rPr>
                <w:rFonts w:cstheme="minorHAnsi"/>
                <w:sz w:val="19"/>
                <w:szCs w:val="19"/>
              </w:rPr>
            </w:pPr>
            <w:r w:rsidRPr="00F2455C">
              <w:rPr>
                <w:rFonts w:cstheme="minorHAnsi"/>
                <w:color w:val="000000"/>
                <w:sz w:val="19"/>
                <w:szCs w:val="19"/>
              </w:rPr>
              <w:t>Entreprises / Contractants</w:t>
            </w:r>
          </w:p>
        </w:tc>
        <w:tc>
          <w:tcPr>
            <w:tcW w:w="1746" w:type="dxa"/>
            <w:tcBorders>
              <w:bottom w:val="single" w:sz="4" w:space="0" w:color="auto"/>
            </w:tcBorders>
          </w:tcPr>
          <w:p w14:paraId="0603CFD5" w14:textId="77777777" w:rsidR="002F363F" w:rsidRPr="00F2455C" w:rsidRDefault="002F363F" w:rsidP="004302E0">
            <w:pPr>
              <w:rPr>
                <w:rFonts w:cstheme="minorHAnsi"/>
                <w:sz w:val="19"/>
                <w:szCs w:val="19"/>
              </w:rPr>
            </w:pPr>
            <w:r w:rsidRPr="00F2455C">
              <w:rPr>
                <w:rFonts w:cstheme="minorHAnsi"/>
                <w:color w:val="000000"/>
                <w:sz w:val="19"/>
                <w:szCs w:val="19"/>
              </w:rPr>
              <w:t>Spécialiste en VBG</w:t>
            </w:r>
            <w:r w:rsidRPr="00F2455C" w:rsidDel="00DD2C6B">
              <w:rPr>
                <w:rFonts w:cstheme="minorHAnsi"/>
                <w:sz w:val="19"/>
                <w:szCs w:val="19"/>
              </w:rPr>
              <w:t xml:space="preserve"> </w:t>
            </w:r>
          </w:p>
        </w:tc>
        <w:tc>
          <w:tcPr>
            <w:tcW w:w="1460" w:type="dxa"/>
            <w:tcBorders>
              <w:bottom w:val="single" w:sz="4" w:space="0" w:color="auto"/>
            </w:tcBorders>
          </w:tcPr>
          <w:p w14:paraId="5B48DF6A" w14:textId="77777777" w:rsidR="002F363F" w:rsidRPr="00F2455C" w:rsidRDefault="002F363F" w:rsidP="004302E0">
            <w:pPr>
              <w:rPr>
                <w:rFonts w:cstheme="minorHAnsi"/>
                <w:sz w:val="19"/>
                <w:szCs w:val="19"/>
              </w:rPr>
            </w:pPr>
            <w:r w:rsidRPr="00F2455C">
              <w:rPr>
                <w:rFonts w:cstheme="minorHAnsi"/>
                <w:color w:val="000000"/>
                <w:sz w:val="19"/>
                <w:szCs w:val="19"/>
              </w:rPr>
              <w:t>Avant la mise en vigueur du projet pour le personnel du projet (UNCP/UPEP) et avant le début des travaux pour les travailleurs</w:t>
            </w:r>
          </w:p>
        </w:tc>
        <w:tc>
          <w:tcPr>
            <w:tcW w:w="1892" w:type="dxa"/>
            <w:tcBorders>
              <w:bottom w:val="single" w:sz="4" w:space="0" w:color="auto"/>
            </w:tcBorders>
          </w:tcPr>
          <w:p w14:paraId="15AFD8D3" w14:textId="77777777" w:rsidR="002F363F" w:rsidRPr="00F2455C" w:rsidRDefault="002F363F" w:rsidP="004302E0">
            <w:pPr>
              <w:rPr>
                <w:rFonts w:cstheme="minorHAnsi"/>
                <w:sz w:val="19"/>
                <w:szCs w:val="19"/>
              </w:rPr>
            </w:pPr>
            <w:r w:rsidRPr="00F2455C">
              <w:rPr>
                <w:rFonts w:cstheme="minorHAnsi"/>
                <w:color w:val="000000"/>
                <w:sz w:val="19"/>
                <w:szCs w:val="19"/>
              </w:rPr>
              <w:t>% des travailleurs et du personnel du projet qui ont signé le code de bonne conduite</w:t>
            </w:r>
          </w:p>
        </w:tc>
        <w:tc>
          <w:tcPr>
            <w:tcW w:w="1511" w:type="dxa"/>
            <w:tcBorders>
              <w:bottom w:val="single" w:sz="4" w:space="0" w:color="auto"/>
            </w:tcBorders>
          </w:tcPr>
          <w:p w14:paraId="161DDF09" w14:textId="77777777" w:rsidR="002F363F" w:rsidRDefault="002F363F" w:rsidP="004302E0">
            <w:pPr>
              <w:rPr>
                <w:rFonts w:cstheme="minorHAnsi"/>
                <w:sz w:val="19"/>
                <w:szCs w:val="19"/>
              </w:rPr>
            </w:pPr>
            <w:r>
              <w:rPr>
                <w:rFonts w:cstheme="minorHAnsi"/>
                <w:sz w:val="19"/>
                <w:szCs w:val="19"/>
              </w:rPr>
              <w:t xml:space="preserve">Pour les ONG spécialisées </w:t>
            </w:r>
          </w:p>
          <w:p w14:paraId="13022195" w14:textId="77777777" w:rsidR="002F363F" w:rsidRPr="00F2455C" w:rsidRDefault="002F363F" w:rsidP="004302E0">
            <w:pPr>
              <w:rPr>
                <w:rFonts w:cstheme="minorHAnsi"/>
                <w:sz w:val="19"/>
                <w:szCs w:val="19"/>
              </w:rPr>
            </w:pPr>
            <w:r>
              <w:rPr>
                <w:rFonts w:cstheme="minorHAnsi"/>
                <w:sz w:val="19"/>
                <w:szCs w:val="19"/>
              </w:rPr>
              <w:t>5000000$</w:t>
            </w:r>
          </w:p>
          <w:p w14:paraId="53CF0547" w14:textId="77777777" w:rsidR="002F363F" w:rsidRPr="00F2455C" w:rsidRDefault="002F363F" w:rsidP="004302E0">
            <w:pPr>
              <w:rPr>
                <w:rFonts w:cstheme="minorHAnsi"/>
                <w:sz w:val="19"/>
                <w:szCs w:val="19"/>
              </w:rPr>
            </w:pPr>
          </w:p>
          <w:p w14:paraId="480A5ED1" w14:textId="77777777" w:rsidR="002F363F" w:rsidRDefault="002F363F" w:rsidP="004302E0">
            <w:pPr>
              <w:rPr>
                <w:rFonts w:cstheme="minorHAnsi"/>
                <w:sz w:val="19"/>
                <w:szCs w:val="19"/>
              </w:rPr>
            </w:pPr>
            <w:r w:rsidRPr="00F2455C">
              <w:rPr>
                <w:rFonts w:cstheme="minorHAnsi"/>
                <w:sz w:val="19"/>
                <w:szCs w:val="19"/>
              </w:rPr>
              <w:t>(Estimation des activités combinées – plan de R&amp;R)</w:t>
            </w:r>
          </w:p>
          <w:p w14:paraId="50E45297" w14:textId="77777777" w:rsidR="002F363F" w:rsidRDefault="002F363F" w:rsidP="004302E0">
            <w:pPr>
              <w:rPr>
                <w:rFonts w:cstheme="minorHAnsi"/>
                <w:sz w:val="19"/>
                <w:szCs w:val="19"/>
              </w:rPr>
            </w:pPr>
          </w:p>
          <w:p w14:paraId="62413C73" w14:textId="77777777" w:rsidR="002F363F" w:rsidRPr="00F2455C" w:rsidRDefault="002F363F" w:rsidP="004302E0">
            <w:pPr>
              <w:rPr>
                <w:rFonts w:cstheme="minorHAnsi"/>
                <w:sz w:val="19"/>
                <w:szCs w:val="19"/>
              </w:rPr>
            </w:pPr>
            <w:r>
              <w:rPr>
                <w:rFonts w:cstheme="minorHAnsi"/>
                <w:sz w:val="19"/>
                <w:szCs w:val="19"/>
              </w:rPr>
              <w:t>En général, pour les activités avec le consultant / l’ONG spécialisée par province, les estimations du budget s’élèvent à 5M$ (voir 1M$ par ONG/province)</w:t>
            </w:r>
          </w:p>
        </w:tc>
      </w:tr>
      <w:tr w:rsidR="002F363F" w:rsidRPr="00F2455C" w14:paraId="13825D85" w14:textId="77777777" w:rsidTr="004302E0">
        <w:trPr>
          <w:gridAfter w:val="1"/>
          <w:wAfter w:w="17" w:type="dxa"/>
        </w:trPr>
        <w:tc>
          <w:tcPr>
            <w:tcW w:w="2430" w:type="dxa"/>
            <w:vMerge/>
          </w:tcPr>
          <w:p w14:paraId="035766AA" w14:textId="77777777" w:rsidR="002F363F" w:rsidRPr="00F2455C" w:rsidRDefault="002F363F" w:rsidP="004302E0">
            <w:pPr>
              <w:rPr>
                <w:rFonts w:cstheme="minorHAnsi"/>
                <w:sz w:val="19"/>
                <w:szCs w:val="19"/>
              </w:rPr>
            </w:pPr>
          </w:p>
        </w:tc>
        <w:tc>
          <w:tcPr>
            <w:tcW w:w="2165" w:type="dxa"/>
            <w:vMerge/>
          </w:tcPr>
          <w:p w14:paraId="4B0A2CD9" w14:textId="77777777" w:rsidR="002F363F" w:rsidRPr="00F2455C" w:rsidRDefault="002F363F" w:rsidP="004302E0">
            <w:pPr>
              <w:rPr>
                <w:rFonts w:cstheme="minorHAnsi"/>
                <w:sz w:val="19"/>
                <w:szCs w:val="19"/>
              </w:rPr>
            </w:pPr>
          </w:p>
        </w:tc>
        <w:tc>
          <w:tcPr>
            <w:tcW w:w="2473" w:type="dxa"/>
          </w:tcPr>
          <w:p w14:paraId="6067574C" w14:textId="77777777" w:rsidR="002F363F" w:rsidRPr="00F2455C" w:rsidRDefault="002F363F" w:rsidP="004302E0">
            <w:pPr>
              <w:autoSpaceDE w:val="0"/>
              <w:autoSpaceDN w:val="0"/>
              <w:adjustRightInd w:val="0"/>
              <w:rPr>
                <w:rFonts w:ascii="Calibri" w:eastAsia="MS Mincho" w:hAnsi="Calibri" w:cs="Calibri"/>
                <w:bCs/>
                <w:sz w:val="19"/>
                <w:szCs w:val="19"/>
              </w:rPr>
            </w:pPr>
            <w:r w:rsidRPr="00F2455C">
              <w:rPr>
                <w:rFonts w:ascii="Calibri" w:eastAsia="MS Mincho" w:hAnsi="Calibri" w:cs="Calibri"/>
                <w:bCs/>
                <w:sz w:val="19"/>
                <w:szCs w:val="19"/>
              </w:rPr>
              <w:t>Mise en place du MGP sensible à l’EAHS, qui comprend au minimum les éléments suivants :</w:t>
            </w:r>
          </w:p>
          <w:p w14:paraId="778CEFF9" w14:textId="77777777" w:rsidR="002F363F" w:rsidRPr="00F2455C" w:rsidRDefault="002F363F" w:rsidP="004302E0">
            <w:pPr>
              <w:autoSpaceDE w:val="0"/>
              <w:autoSpaceDN w:val="0"/>
              <w:adjustRightInd w:val="0"/>
              <w:rPr>
                <w:rFonts w:ascii="Calibri" w:eastAsia="MS Mincho" w:hAnsi="Calibri" w:cs="Calibri"/>
                <w:b/>
                <w:sz w:val="19"/>
                <w:szCs w:val="19"/>
              </w:rPr>
            </w:pPr>
          </w:p>
          <w:p w14:paraId="74DF1CD7" w14:textId="77777777" w:rsidR="002F363F" w:rsidRPr="00F2455C" w:rsidRDefault="002F363F" w:rsidP="004302E0">
            <w:pPr>
              <w:pStyle w:val="Paragraphedeliste"/>
              <w:numPr>
                <w:ilvl w:val="0"/>
                <w:numId w:val="178"/>
              </w:numPr>
              <w:autoSpaceDE w:val="0"/>
              <w:autoSpaceDN w:val="0"/>
              <w:adjustRightInd w:val="0"/>
              <w:spacing w:line="240" w:lineRule="auto"/>
              <w:ind w:left="204" w:hanging="180"/>
              <w:contextualSpacing w:val="0"/>
              <w:jc w:val="left"/>
              <w:rPr>
                <w:rFonts w:ascii="Calibri" w:eastAsia="MS Mincho" w:hAnsi="Calibri" w:cs="Calibri"/>
                <w:b/>
                <w:sz w:val="19"/>
                <w:szCs w:val="19"/>
              </w:rPr>
            </w:pPr>
            <w:r w:rsidRPr="00F2455C">
              <w:rPr>
                <w:rFonts w:ascii="Calibri" w:eastAsia="MS Mincho" w:hAnsi="Calibri" w:cs="Calibri"/>
                <w:bCs/>
                <w:sz w:val="19"/>
                <w:szCs w:val="19"/>
              </w:rPr>
              <w:t>Procédures spécifiques pour traiter les plaintes liées à l’EAHS, y compris le délai et les possibles sanctions</w:t>
            </w:r>
          </w:p>
          <w:p w14:paraId="2E6247D6" w14:textId="77777777" w:rsidR="002F363F" w:rsidRPr="00F2455C" w:rsidRDefault="002F363F" w:rsidP="004302E0">
            <w:pPr>
              <w:pStyle w:val="Paragraphedeliste"/>
              <w:numPr>
                <w:ilvl w:val="0"/>
                <w:numId w:val="178"/>
              </w:numPr>
              <w:autoSpaceDE w:val="0"/>
              <w:autoSpaceDN w:val="0"/>
              <w:adjustRightInd w:val="0"/>
              <w:spacing w:line="240" w:lineRule="auto"/>
              <w:ind w:left="204" w:hanging="180"/>
              <w:contextualSpacing w:val="0"/>
              <w:jc w:val="left"/>
              <w:rPr>
                <w:rFonts w:ascii="Calibri" w:eastAsia="MS Mincho" w:hAnsi="Calibri" w:cs="Calibri"/>
                <w:b/>
                <w:sz w:val="19"/>
                <w:szCs w:val="19"/>
              </w:rPr>
            </w:pPr>
            <w:r w:rsidRPr="00F2455C">
              <w:rPr>
                <w:rFonts w:ascii="Calibri" w:eastAsia="MS Mincho" w:hAnsi="Calibri" w:cs="Calibri"/>
                <w:bCs/>
                <w:sz w:val="19"/>
                <w:szCs w:val="19"/>
              </w:rPr>
              <w:t>Procédures pour rapporter les plaintes liées à l’EAHS, y compris les voies accessibles aux communautés ciblées et au personnel du projet</w:t>
            </w:r>
          </w:p>
          <w:p w14:paraId="0B6AAD98" w14:textId="77777777" w:rsidR="002F363F" w:rsidRPr="00F2455C" w:rsidRDefault="002F363F" w:rsidP="004302E0">
            <w:pPr>
              <w:pStyle w:val="Paragraphedeliste"/>
              <w:numPr>
                <w:ilvl w:val="0"/>
                <w:numId w:val="178"/>
              </w:numPr>
              <w:autoSpaceDE w:val="0"/>
              <w:autoSpaceDN w:val="0"/>
              <w:adjustRightInd w:val="0"/>
              <w:spacing w:line="240" w:lineRule="auto"/>
              <w:ind w:left="216" w:hanging="187"/>
              <w:contextualSpacing w:val="0"/>
              <w:jc w:val="left"/>
              <w:rPr>
                <w:rFonts w:ascii="Calibri" w:eastAsia="MS Mincho" w:hAnsi="Calibri" w:cs="Calibri"/>
                <w:b/>
                <w:sz w:val="19"/>
                <w:szCs w:val="19"/>
              </w:rPr>
            </w:pPr>
            <w:r w:rsidRPr="00F2455C">
              <w:rPr>
                <w:rFonts w:ascii="Calibri" w:eastAsia="MS Mincho" w:hAnsi="Calibri" w:cs="Calibri"/>
                <w:bCs/>
                <w:sz w:val="19"/>
                <w:szCs w:val="19"/>
              </w:rPr>
              <w:t>Obligations concernant les principes directeurs pour le traitement éthique et confidentiel de ce genre des plaintes</w:t>
            </w:r>
          </w:p>
        </w:tc>
        <w:tc>
          <w:tcPr>
            <w:tcW w:w="1786" w:type="dxa"/>
          </w:tcPr>
          <w:p w14:paraId="16925353"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069345FD" w14:textId="77777777" w:rsidR="002F363F" w:rsidRPr="00F2455C" w:rsidRDefault="002F363F" w:rsidP="004302E0">
            <w:pPr>
              <w:rPr>
                <w:rFonts w:cstheme="minorHAnsi"/>
                <w:color w:val="000000"/>
                <w:sz w:val="19"/>
                <w:szCs w:val="19"/>
              </w:rPr>
            </w:pPr>
          </w:p>
          <w:p w14:paraId="5AF09C2D"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social</w:t>
            </w:r>
          </w:p>
        </w:tc>
        <w:tc>
          <w:tcPr>
            <w:tcW w:w="1746" w:type="dxa"/>
          </w:tcPr>
          <w:p w14:paraId="5BA45D10" w14:textId="77777777" w:rsidR="002F363F" w:rsidRPr="00F2455C" w:rsidRDefault="002F363F" w:rsidP="004302E0">
            <w:pPr>
              <w:rPr>
                <w:rFonts w:cstheme="minorHAnsi"/>
                <w:sz w:val="19"/>
                <w:szCs w:val="19"/>
              </w:rPr>
            </w:pPr>
            <w:r w:rsidRPr="00F2455C">
              <w:rPr>
                <w:rFonts w:cstheme="minorHAnsi"/>
                <w:color w:val="000000"/>
                <w:sz w:val="19"/>
                <w:szCs w:val="19"/>
              </w:rPr>
              <w:t>Spécialiste en VBG</w:t>
            </w:r>
            <w:r w:rsidRPr="00F2455C" w:rsidDel="00DD2C6B">
              <w:rPr>
                <w:rFonts w:cstheme="minorHAnsi"/>
                <w:sz w:val="19"/>
                <w:szCs w:val="19"/>
              </w:rPr>
              <w:t xml:space="preserve"> </w:t>
            </w:r>
          </w:p>
        </w:tc>
        <w:tc>
          <w:tcPr>
            <w:tcW w:w="1460" w:type="dxa"/>
          </w:tcPr>
          <w:p w14:paraId="4B930C2C" w14:textId="77777777" w:rsidR="002F363F" w:rsidRPr="00F2455C" w:rsidRDefault="002F363F" w:rsidP="004302E0">
            <w:pPr>
              <w:rPr>
                <w:rFonts w:cstheme="minorHAnsi"/>
                <w:sz w:val="19"/>
                <w:szCs w:val="19"/>
              </w:rPr>
            </w:pPr>
            <w:r w:rsidRPr="00F2455C">
              <w:rPr>
                <w:rFonts w:cstheme="minorHAnsi"/>
                <w:color w:val="000000"/>
                <w:sz w:val="19"/>
                <w:szCs w:val="19"/>
              </w:rPr>
              <w:t>Avant la mise en vigueur du projet</w:t>
            </w:r>
            <w:r w:rsidRPr="00F2455C">
              <w:rPr>
                <w:rStyle w:val="Appelnotedebasdep"/>
                <w:rFonts w:cstheme="minorHAnsi"/>
                <w:color w:val="000000"/>
                <w:sz w:val="19"/>
                <w:szCs w:val="19"/>
              </w:rPr>
              <w:footnoteReference w:id="48"/>
            </w:r>
          </w:p>
        </w:tc>
        <w:tc>
          <w:tcPr>
            <w:tcW w:w="1892" w:type="dxa"/>
          </w:tcPr>
          <w:p w14:paraId="6346DA42"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des plaintes liées à l'EAHS qui sont reçues à travers le MGP (sans cible)</w:t>
            </w:r>
            <w:r w:rsidRPr="00F2455C">
              <w:rPr>
                <w:rStyle w:val="Appelnotedebasdep"/>
                <w:rFonts w:cstheme="minorHAnsi"/>
                <w:color w:val="000000"/>
                <w:sz w:val="19"/>
                <w:szCs w:val="19"/>
              </w:rPr>
              <w:footnoteReference w:id="49"/>
            </w:r>
            <w:r w:rsidRPr="00F2455C">
              <w:rPr>
                <w:rFonts w:cstheme="minorHAnsi"/>
                <w:color w:val="000000"/>
                <w:sz w:val="19"/>
                <w:szCs w:val="19"/>
              </w:rPr>
              <w:br/>
            </w:r>
          </w:p>
          <w:p w14:paraId="303013DB" w14:textId="77777777" w:rsidR="002F363F" w:rsidRPr="00F2455C" w:rsidRDefault="002F363F" w:rsidP="004302E0">
            <w:pPr>
              <w:rPr>
                <w:rFonts w:cstheme="minorHAnsi"/>
                <w:color w:val="000000"/>
                <w:sz w:val="19"/>
                <w:szCs w:val="19"/>
              </w:rPr>
            </w:pPr>
            <w:r w:rsidRPr="00F2455C">
              <w:rPr>
                <w:rFonts w:cstheme="minorHAnsi"/>
                <w:color w:val="000000"/>
                <w:sz w:val="19"/>
                <w:szCs w:val="19"/>
              </w:rPr>
              <w:t>% de plaintes référées aux services de prise en charge</w:t>
            </w:r>
          </w:p>
          <w:p w14:paraId="3F769864" w14:textId="77777777" w:rsidR="002F363F" w:rsidRPr="00F2455C" w:rsidRDefault="002F363F" w:rsidP="004302E0">
            <w:pPr>
              <w:rPr>
                <w:rFonts w:ascii="Calibri" w:hAnsi="Calibri" w:cs="Calibri"/>
                <w:color w:val="000000"/>
                <w:sz w:val="19"/>
                <w:szCs w:val="19"/>
              </w:rPr>
            </w:pPr>
          </w:p>
          <w:p w14:paraId="43C11A61" w14:textId="77777777" w:rsidR="002F363F" w:rsidRPr="00F2455C" w:rsidRDefault="002F363F" w:rsidP="004302E0">
            <w:pPr>
              <w:pStyle w:val="Corpsdetexte"/>
              <w:jc w:val="left"/>
              <w:rPr>
                <w:rFonts w:ascii="Calibri" w:hAnsi="Calibri" w:cs="Calibri"/>
                <w:bCs/>
                <w:sz w:val="19"/>
                <w:szCs w:val="19"/>
              </w:rPr>
            </w:pPr>
            <w:r w:rsidRPr="00F2455C">
              <w:rPr>
                <w:rFonts w:ascii="Calibri" w:hAnsi="Calibri" w:cs="Calibri"/>
                <w:bCs/>
                <w:sz w:val="19"/>
                <w:szCs w:val="19"/>
              </w:rPr>
              <w:t>% des plaintes liées à l’EAHS qui sont résolues dans le délai prévu</w:t>
            </w:r>
          </w:p>
          <w:p w14:paraId="621DE436" w14:textId="77777777" w:rsidR="002F363F" w:rsidRPr="00F2455C" w:rsidRDefault="002F363F" w:rsidP="004302E0">
            <w:pPr>
              <w:pStyle w:val="Corpsdetexte"/>
              <w:jc w:val="left"/>
              <w:rPr>
                <w:rFonts w:ascii="Calibri" w:hAnsi="Calibri" w:cs="Calibri"/>
                <w:bCs/>
                <w:sz w:val="19"/>
                <w:szCs w:val="19"/>
              </w:rPr>
            </w:pPr>
          </w:p>
          <w:p w14:paraId="2FC8D7D1" w14:textId="77777777" w:rsidR="002F363F" w:rsidRPr="00F2455C" w:rsidRDefault="002F363F" w:rsidP="004302E0">
            <w:pPr>
              <w:rPr>
                <w:rFonts w:cstheme="minorHAnsi"/>
                <w:color w:val="000000"/>
                <w:sz w:val="19"/>
                <w:szCs w:val="19"/>
              </w:rPr>
            </w:pPr>
            <w:r w:rsidRPr="00F2455C">
              <w:rPr>
                <w:rFonts w:ascii="Calibri" w:hAnsi="Calibri" w:cs="Calibri"/>
                <w:bCs/>
                <w:sz w:val="19"/>
                <w:szCs w:val="19"/>
              </w:rPr>
              <w:t>Moyen du délai pour résoudre une plainte liée à l’EAHS</w:t>
            </w:r>
          </w:p>
        </w:tc>
        <w:tc>
          <w:tcPr>
            <w:tcW w:w="1511" w:type="dxa"/>
          </w:tcPr>
          <w:p w14:paraId="470C2B7E" w14:textId="77777777" w:rsidR="002F363F" w:rsidRDefault="002F363F" w:rsidP="004302E0">
            <w:pPr>
              <w:rPr>
                <w:rFonts w:cstheme="minorHAnsi"/>
                <w:sz w:val="19"/>
                <w:szCs w:val="19"/>
              </w:rPr>
            </w:pPr>
            <w:r>
              <w:rPr>
                <w:rFonts w:cstheme="minorHAnsi"/>
                <w:sz w:val="19"/>
                <w:szCs w:val="19"/>
              </w:rPr>
              <w:t>Pour le MGP 575000$</w:t>
            </w:r>
          </w:p>
          <w:p w14:paraId="38ED4DF3" w14:textId="77777777" w:rsidR="002F363F" w:rsidRDefault="002F363F" w:rsidP="004302E0">
            <w:pPr>
              <w:rPr>
                <w:rFonts w:cstheme="minorHAnsi"/>
                <w:sz w:val="19"/>
                <w:szCs w:val="19"/>
              </w:rPr>
            </w:pPr>
          </w:p>
          <w:p w14:paraId="02D44091" w14:textId="77777777" w:rsidR="002F363F" w:rsidRDefault="002F363F" w:rsidP="004302E0">
            <w:pPr>
              <w:rPr>
                <w:rFonts w:cstheme="minorHAnsi"/>
                <w:sz w:val="19"/>
                <w:szCs w:val="19"/>
              </w:rPr>
            </w:pPr>
          </w:p>
          <w:p w14:paraId="23BDB3A0" w14:textId="77777777" w:rsidR="002F363F" w:rsidRDefault="002F363F" w:rsidP="004302E0">
            <w:pPr>
              <w:rPr>
                <w:rFonts w:cstheme="minorHAnsi"/>
                <w:sz w:val="19"/>
                <w:szCs w:val="19"/>
              </w:rPr>
            </w:pPr>
          </w:p>
          <w:p w14:paraId="3FA0B667" w14:textId="77777777" w:rsidR="002F363F" w:rsidRPr="00F2455C" w:rsidRDefault="002F363F" w:rsidP="004302E0">
            <w:pPr>
              <w:rPr>
                <w:rFonts w:cstheme="minorHAnsi"/>
                <w:sz w:val="19"/>
                <w:szCs w:val="19"/>
              </w:rPr>
            </w:pPr>
          </w:p>
        </w:tc>
      </w:tr>
      <w:tr w:rsidR="002F363F" w:rsidRPr="00F2455C" w14:paraId="7FD21A18" w14:textId="77777777" w:rsidTr="004302E0">
        <w:trPr>
          <w:gridAfter w:val="1"/>
          <w:wAfter w:w="17" w:type="dxa"/>
        </w:trPr>
        <w:tc>
          <w:tcPr>
            <w:tcW w:w="2430" w:type="dxa"/>
            <w:vMerge/>
          </w:tcPr>
          <w:p w14:paraId="0B4A7177" w14:textId="77777777" w:rsidR="002F363F" w:rsidRPr="00F2455C" w:rsidRDefault="002F363F" w:rsidP="004302E0">
            <w:pPr>
              <w:rPr>
                <w:rFonts w:cstheme="minorHAnsi"/>
                <w:sz w:val="19"/>
                <w:szCs w:val="19"/>
              </w:rPr>
            </w:pPr>
          </w:p>
        </w:tc>
        <w:tc>
          <w:tcPr>
            <w:tcW w:w="2165" w:type="dxa"/>
            <w:vMerge/>
          </w:tcPr>
          <w:p w14:paraId="41EF93E8" w14:textId="77777777" w:rsidR="002F363F" w:rsidRPr="00F2455C" w:rsidRDefault="002F363F" w:rsidP="004302E0">
            <w:pPr>
              <w:rPr>
                <w:rFonts w:cstheme="minorHAnsi"/>
                <w:sz w:val="19"/>
                <w:szCs w:val="19"/>
              </w:rPr>
            </w:pPr>
          </w:p>
        </w:tc>
        <w:tc>
          <w:tcPr>
            <w:tcW w:w="2473" w:type="dxa"/>
          </w:tcPr>
          <w:p w14:paraId="1F0A1588" w14:textId="77777777" w:rsidR="002F363F" w:rsidRPr="00F2455C" w:rsidRDefault="002F363F" w:rsidP="004302E0">
            <w:pPr>
              <w:rPr>
                <w:rFonts w:cstheme="minorHAnsi"/>
                <w:color w:val="000000"/>
                <w:sz w:val="19"/>
                <w:szCs w:val="19"/>
              </w:rPr>
            </w:pPr>
            <w:r w:rsidRPr="00F2455C">
              <w:rPr>
                <w:rFonts w:ascii="Calibri" w:eastAsia="MS Mincho" w:hAnsi="Calibri" w:cs="Calibri"/>
                <w:bCs/>
                <w:sz w:val="19"/>
                <w:szCs w:val="19"/>
              </w:rPr>
              <w:t>Mise en place d’un protocole de réponse pour assurer une prise en charge de qualité et en temps voulu des cas d’EAHS, y compris les modalités pour le référencement sûr et confidentiel des cas signalés aux services</w:t>
            </w:r>
          </w:p>
        </w:tc>
        <w:tc>
          <w:tcPr>
            <w:tcW w:w="1786" w:type="dxa"/>
          </w:tcPr>
          <w:p w14:paraId="60E8CB9C" w14:textId="77777777" w:rsidR="002F363F" w:rsidRPr="00F2455C" w:rsidRDefault="002F363F" w:rsidP="004302E0">
            <w:pPr>
              <w:rPr>
                <w:rFonts w:cstheme="minorHAnsi"/>
                <w:sz w:val="19"/>
                <w:szCs w:val="19"/>
              </w:rPr>
            </w:pPr>
            <w:r w:rsidRPr="00F2455C">
              <w:rPr>
                <w:rFonts w:cstheme="minorHAnsi"/>
                <w:color w:val="000000"/>
                <w:sz w:val="19"/>
                <w:szCs w:val="19"/>
              </w:rPr>
              <w:t>Spécialiste en VBG</w:t>
            </w:r>
          </w:p>
        </w:tc>
        <w:tc>
          <w:tcPr>
            <w:tcW w:w="1746" w:type="dxa"/>
          </w:tcPr>
          <w:p w14:paraId="5DD80B44" w14:textId="77777777" w:rsidR="002F363F" w:rsidRPr="00F2455C" w:rsidRDefault="002F363F" w:rsidP="004302E0">
            <w:pPr>
              <w:rPr>
                <w:rFonts w:cstheme="minorHAnsi"/>
                <w:sz w:val="19"/>
                <w:szCs w:val="19"/>
              </w:rPr>
            </w:pPr>
            <w:r w:rsidRPr="00F2455C">
              <w:rPr>
                <w:rFonts w:cstheme="minorHAnsi"/>
                <w:color w:val="000000"/>
                <w:sz w:val="19"/>
                <w:szCs w:val="19"/>
              </w:rPr>
              <w:t>Spécialiste en VBG</w:t>
            </w:r>
            <w:r w:rsidRPr="00F2455C" w:rsidDel="00307EE7">
              <w:rPr>
                <w:rFonts w:cstheme="minorHAnsi"/>
                <w:sz w:val="19"/>
                <w:szCs w:val="19"/>
              </w:rPr>
              <w:t xml:space="preserve"> </w:t>
            </w:r>
          </w:p>
        </w:tc>
        <w:tc>
          <w:tcPr>
            <w:tcW w:w="1460" w:type="dxa"/>
          </w:tcPr>
          <w:p w14:paraId="4435299D" w14:textId="77777777" w:rsidR="002F363F" w:rsidRPr="00F2455C" w:rsidRDefault="002F363F" w:rsidP="004302E0">
            <w:pPr>
              <w:rPr>
                <w:rFonts w:cstheme="minorHAnsi"/>
                <w:sz w:val="19"/>
                <w:szCs w:val="19"/>
              </w:rPr>
            </w:pPr>
            <w:r w:rsidRPr="00F2455C">
              <w:rPr>
                <w:rFonts w:cstheme="minorHAnsi"/>
                <w:color w:val="000000"/>
                <w:sz w:val="19"/>
                <w:szCs w:val="19"/>
              </w:rPr>
              <w:t>Avant la mise en vigueur du projet (activité liée au MGP)</w:t>
            </w:r>
          </w:p>
        </w:tc>
        <w:tc>
          <w:tcPr>
            <w:tcW w:w="1892" w:type="dxa"/>
          </w:tcPr>
          <w:p w14:paraId="468A33D1" w14:textId="77777777" w:rsidR="002F363F" w:rsidRPr="00F2455C" w:rsidRDefault="002F363F" w:rsidP="004302E0">
            <w:pPr>
              <w:rPr>
                <w:rFonts w:cstheme="minorHAnsi"/>
                <w:sz w:val="19"/>
                <w:szCs w:val="19"/>
              </w:rPr>
            </w:pPr>
            <w:r w:rsidRPr="00F2455C">
              <w:rPr>
                <w:rFonts w:cstheme="minorHAnsi"/>
                <w:color w:val="000000"/>
                <w:sz w:val="19"/>
                <w:szCs w:val="19"/>
              </w:rPr>
              <w:t>% de plaintes référées aux services de prise en charge</w:t>
            </w:r>
          </w:p>
        </w:tc>
        <w:tc>
          <w:tcPr>
            <w:tcW w:w="1511" w:type="dxa"/>
          </w:tcPr>
          <w:p w14:paraId="3EF2B337" w14:textId="77777777" w:rsidR="002F363F" w:rsidRPr="00F2455C" w:rsidRDefault="002F363F" w:rsidP="004302E0">
            <w:pPr>
              <w:rPr>
                <w:rFonts w:cstheme="minorHAnsi"/>
                <w:sz w:val="19"/>
                <w:szCs w:val="19"/>
              </w:rPr>
            </w:pPr>
            <w:r w:rsidRPr="00F2455C">
              <w:rPr>
                <w:rFonts w:cstheme="minorHAnsi"/>
                <w:sz w:val="19"/>
                <w:szCs w:val="19"/>
              </w:rPr>
              <w:t>Voir ci-dessus</w:t>
            </w:r>
          </w:p>
        </w:tc>
      </w:tr>
      <w:tr w:rsidR="002F363F" w:rsidRPr="00F2455C" w14:paraId="6B542102" w14:textId="77777777" w:rsidTr="004302E0">
        <w:trPr>
          <w:gridAfter w:val="1"/>
          <w:wAfter w:w="17" w:type="dxa"/>
          <w:trHeight w:val="144"/>
        </w:trPr>
        <w:tc>
          <w:tcPr>
            <w:tcW w:w="2430" w:type="dxa"/>
            <w:vMerge/>
          </w:tcPr>
          <w:p w14:paraId="3A40181C" w14:textId="77777777" w:rsidR="002F363F" w:rsidRPr="00F2455C" w:rsidRDefault="002F363F" w:rsidP="004302E0">
            <w:pPr>
              <w:rPr>
                <w:rFonts w:cstheme="minorHAnsi"/>
                <w:sz w:val="19"/>
                <w:szCs w:val="19"/>
              </w:rPr>
            </w:pPr>
          </w:p>
        </w:tc>
        <w:tc>
          <w:tcPr>
            <w:tcW w:w="2165" w:type="dxa"/>
            <w:vMerge/>
          </w:tcPr>
          <w:p w14:paraId="47E9BAB8" w14:textId="77777777" w:rsidR="002F363F" w:rsidRPr="00F2455C" w:rsidRDefault="002F363F" w:rsidP="004302E0">
            <w:pPr>
              <w:rPr>
                <w:rFonts w:cstheme="minorHAnsi"/>
                <w:color w:val="000000"/>
                <w:sz w:val="19"/>
                <w:szCs w:val="19"/>
              </w:rPr>
            </w:pPr>
          </w:p>
        </w:tc>
        <w:tc>
          <w:tcPr>
            <w:tcW w:w="2473" w:type="dxa"/>
          </w:tcPr>
          <w:p w14:paraId="6CAD08CC" w14:textId="77777777" w:rsidR="002F363F" w:rsidRPr="00F2455C" w:rsidRDefault="002F363F" w:rsidP="004302E0">
            <w:pPr>
              <w:widowControl w:val="0"/>
              <w:rPr>
                <w:rFonts w:cstheme="minorHAnsi"/>
                <w:color w:val="000000"/>
                <w:sz w:val="19"/>
                <w:szCs w:val="19"/>
              </w:rPr>
            </w:pPr>
            <w:r w:rsidRPr="00F2455C">
              <w:rPr>
                <w:rFonts w:ascii="Calibri" w:eastAsia="MS Mincho" w:hAnsi="Calibri" w:cs="Calibri"/>
                <w:bCs/>
                <w:sz w:val="19"/>
                <w:szCs w:val="19"/>
              </w:rPr>
              <w:t>Réalisation des cartographies dans les provinces du Kasaï, Kasaï Central, Kongo Central, et Kwilu, et vérification de la cartographie existante du Nord Kivu, des services de soutien intégrés dans toutes les zones d’intervention, en assurant une évaluation de qualité des services et la prise en compte des services de base essentiels (psychosocial, médical, et juridique)</w:t>
            </w:r>
            <w:r w:rsidRPr="00F2455C">
              <w:rPr>
                <w:rStyle w:val="Appelnotedebasdep"/>
                <w:rFonts w:eastAsia="MS Mincho" w:cs="Calibri"/>
                <w:bCs/>
                <w:sz w:val="19"/>
                <w:szCs w:val="19"/>
              </w:rPr>
              <w:footnoteReference w:id="50"/>
            </w:r>
          </w:p>
        </w:tc>
        <w:tc>
          <w:tcPr>
            <w:tcW w:w="1786" w:type="dxa"/>
          </w:tcPr>
          <w:p w14:paraId="45375FC9"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78628E96" w14:textId="77777777" w:rsidR="002F363F" w:rsidRPr="00F2455C" w:rsidRDefault="002F363F" w:rsidP="004302E0">
            <w:pPr>
              <w:rPr>
                <w:rFonts w:cstheme="minorHAnsi"/>
                <w:color w:val="000000"/>
                <w:sz w:val="19"/>
                <w:szCs w:val="19"/>
              </w:rPr>
            </w:pPr>
          </w:p>
          <w:p w14:paraId="78051842" w14:textId="77777777" w:rsidR="002F363F" w:rsidRPr="00F2455C" w:rsidRDefault="002F363F" w:rsidP="004302E0">
            <w:pPr>
              <w:rPr>
                <w:rFonts w:cstheme="minorHAnsi"/>
                <w:sz w:val="19"/>
                <w:szCs w:val="19"/>
              </w:rPr>
            </w:pPr>
            <w:r w:rsidRPr="00F2455C">
              <w:rPr>
                <w:rFonts w:cstheme="minorHAnsi"/>
                <w:color w:val="000000"/>
                <w:sz w:val="19"/>
                <w:szCs w:val="19"/>
              </w:rPr>
              <w:t>Consultant externe</w:t>
            </w:r>
            <w:r>
              <w:rPr>
                <w:rFonts w:cstheme="minorHAnsi"/>
                <w:color w:val="000000"/>
                <w:sz w:val="19"/>
                <w:szCs w:val="19"/>
              </w:rPr>
              <w:t xml:space="preserve"> / ONG spécialisée</w:t>
            </w:r>
          </w:p>
        </w:tc>
        <w:tc>
          <w:tcPr>
            <w:tcW w:w="1746" w:type="dxa"/>
          </w:tcPr>
          <w:p w14:paraId="7680A145" w14:textId="77777777" w:rsidR="002F363F" w:rsidRPr="00F2455C" w:rsidRDefault="002F363F" w:rsidP="004302E0">
            <w:pPr>
              <w:rPr>
                <w:rFonts w:cstheme="minorHAnsi"/>
                <w:sz w:val="19"/>
                <w:szCs w:val="19"/>
              </w:rPr>
            </w:pPr>
            <w:r w:rsidRPr="00F2455C">
              <w:rPr>
                <w:rFonts w:cstheme="minorHAnsi"/>
                <w:color w:val="000000"/>
                <w:sz w:val="19"/>
                <w:szCs w:val="19"/>
              </w:rPr>
              <w:t>Spécialiste en VBG</w:t>
            </w:r>
          </w:p>
        </w:tc>
        <w:tc>
          <w:tcPr>
            <w:tcW w:w="1460" w:type="dxa"/>
          </w:tcPr>
          <w:p w14:paraId="3FB7D9AA" w14:textId="77777777" w:rsidR="002F363F" w:rsidRPr="00F2455C" w:rsidRDefault="002F363F" w:rsidP="004302E0">
            <w:pPr>
              <w:rPr>
                <w:rFonts w:cstheme="minorHAnsi"/>
                <w:sz w:val="19"/>
                <w:szCs w:val="19"/>
              </w:rPr>
            </w:pPr>
            <w:r w:rsidRPr="00F2455C">
              <w:rPr>
                <w:rFonts w:cstheme="minorHAnsi"/>
                <w:color w:val="000000"/>
                <w:sz w:val="19"/>
                <w:szCs w:val="19"/>
              </w:rPr>
              <w:t>Avant la mise en vigueur du projet</w:t>
            </w:r>
          </w:p>
        </w:tc>
        <w:tc>
          <w:tcPr>
            <w:tcW w:w="1892" w:type="dxa"/>
          </w:tcPr>
          <w:p w14:paraId="0B262381" w14:textId="77777777" w:rsidR="002F363F" w:rsidRPr="00F2455C" w:rsidRDefault="002F363F" w:rsidP="004302E0">
            <w:pPr>
              <w:rPr>
                <w:rFonts w:cstheme="minorHAnsi"/>
                <w:sz w:val="19"/>
                <w:szCs w:val="19"/>
              </w:rPr>
            </w:pPr>
            <w:r w:rsidRPr="00F2455C">
              <w:rPr>
                <w:rFonts w:cstheme="minorHAnsi"/>
                <w:color w:val="000000"/>
                <w:sz w:val="19"/>
                <w:szCs w:val="19"/>
              </w:rPr>
              <w:t>Nombre d'études de cartographie menées</w:t>
            </w:r>
          </w:p>
          <w:p w14:paraId="512CD00C" w14:textId="77777777" w:rsidR="002F363F" w:rsidRPr="00F2455C" w:rsidRDefault="002F363F" w:rsidP="004302E0">
            <w:pPr>
              <w:rPr>
                <w:rFonts w:cstheme="minorHAnsi"/>
                <w:sz w:val="19"/>
                <w:szCs w:val="19"/>
              </w:rPr>
            </w:pPr>
          </w:p>
          <w:p w14:paraId="3F364170" w14:textId="77777777" w:rsidR="002F363F" w:rsidRPr="00F2455C" w:rsidRDefault="002F363F" w:rsidP="004302E0">
            <w:pPr>
              <w:rPr>
                <w:rFonts w:cstheme="minorHAnsi"/>
                <w:sz w:val="19"/>
                <w:szCs w:val="19"/>
              </w:rPr>
            </w:pPr>
            <w:r w:rsidRPr="00F2455C">
              <w:rPr>
                <w:rFonts w:cstheme="minorHAnsi"/>
                <w:sz w:val="19"/>
                <w:szCs w:val="19"/>
              </w:rPr>
              <w:t>Nombre de prestataires de services de prise en charge identifiés</w:t>
            </w:r>
          </w:p>
        </w:tc>
        <w:tc>
          <w:tcPr>
            <w:tcW w:w="1511" w:type="dxa"/>
          </w:tcPr>
          <w:p w14:paraId="1F7940CD" w14:textId="77777777" w:rsidR="002F363F" w:rsidRDefault="002F363F" w:rsidP="004302E0">
            <w:pPr>
              <w:rPr>
                <w:rFonts w:cstheme="minorHAnsi"/>
                <w:sz w:val="19"/>
                <w:szCs w:val="19"/>
              </w:rPr>
            </w:pPr>
          </w:p>
          <w:p w14:paraId="09B7CD85" w14:textId="77777777" w:rsidR="002F363F" w:rsidRPr="00F2455C" w:rsidRDefault="002F363F" w:rsidP="004302E0">
            <w:pPr>
              <w:rPr>
                <w:rFonts w:cstheme="minorHAnsi"/>
                <w:sz w:val="19"/>
                <w:szCs w:val="19"/>
              </w:rPr>
            </w:pPr>
            <w:r>
              <w:rPr>
                <w:rFonts w:cstheme="minorHAnsi"/>
                <w:sz w:val="19"/>
                <w:szCs w:val="19"/>
              </w:rPr>
              <w:t>55000$</w:t>
            </w:r>
          </w:p>
        </w:tc>
      </w:tr>
      <w:tr w:rsidR="002F363F" w:rsidRPr="00F2455C" w14:paraId="721218F1" w14:textId="77777777" w:rsidTr="004302E0">
        <w:trPr>
          <w:gridAfter w:val="1"/>
          <w:wAfter w:w="17" w:type="dxa"/>
          <w:trHeight w:val="144"/>
        </w:trPr>
        <w:tc>
          <w:tcPr>
            <w:tcW w:w="2430" w:type="dxa"/>
            <w:vMerge/>
          </w:tcPr>
          <w:p w14:paraId="158344B0" w14:textId="77777777" w:rsidR="002F363F" w:rsidRPr="00F2455C" w:rsidRDefault="002F363F" w:rsidP="004302E0">
            <w:pPr>
              <w:rPr>
                <w:rFonts w:cstheme="minorHAnsi"/>
                <w:sz w:val="19"/>
                <w:szCs w:val="19"/>
              </w:rPr>
            </w:pPr>
          </w:p>
        </w:tc>
        <w:tc>
          <w:tcPr>
            <w:tcW w:w="2165" w:type="dxa"/>
            <w:vMerge/>
          </w:tcPr>
          <w:p w14:paraId="67EECA42" w14:textId="77777777" w:rsidR="002F363F" w:rsidRPr="00F2455C" w:rsidRDefault="002F363F" w:rsidP="004302E0">
            <w:pPr>
              <w:rPr>
                <w:rFonts w:cstheme="minorHAnsi"/>
                <w:color w:val="000000"/>
                <w:sz w:val="19"/>
                <w:szCs w:val="19"/>
              </w:rPr>
            </w:pPr>
          </w:p>
        </w:tc>
        <w:tc>
          <w:tcPr>
            <w:tcW w:w="10868" w:type="dxa"/>
            <w:gridSpan w:val="6"/>
          </w:tcPr>
          <w:p w14:paraId="4ED23A44" w14:textId="77777777" w:rsidR="002F363F" w:rsidRPr="00F2455C" w:rsidRDefault="002F363F" w:rsidP="004302E0">
            <w:pPr>
              <w:rPr>
                <w:rFonts w:cstheme="minorHAnsi"/>
                <w:sz w:val="19"/>
                <w:szCs w:val="19"/>
              </w:rPr>
            </w:pPr>
            <w:r w:rsidRPr="00F2455C">
              <w:rPr>
                <w:rFonts w:ascii="Calibri" w:eastAsia="MS Mincho" w:hAnsi="Calibri" w:cs="Calibri"/>
                <w:b/>
                <w:sz w:val="19"/>
                <w:szCs w:val="19"/>
              </w:rPr>
              <w:t>Plan de formation et sensibilisation, incluant :</w:t>
            </w:r>
          </w:p>
        </w:tc>
      </w:tr>
      <w:tr w:rsidR="002F363F" w:rsidRPr="00F2455C" w14:paraId="524CA204" w14:textId="77777777" w:rsidTr="004302E0">
        <w:trPr>
          <w:gridAfter w:val="1"/>
          <w:wAfter w:w="17" w:type="dxa"/>
          <w:trHeight w:val="782"/>
        </w:trPr>
        <w:tc>
          <w:tcPr>
            <w:tcW w:w="2430" w:type="dxa"/>
            <w:vMerge/>
          </w:tcPr>
          <w:p w14:paraId="3B53D860" w14:textId="77777777" w:rsidR="002F363F" w:rsidRPr="00F2455C" w:rsidRDefault="002F363F" w:rsidP="004302E0">
            <w:pPr>
              <w:rPr>
                <w:rFonts w:cstheme="minorHAnsi"/>
                <w:sz w:val="19"/>
                <w:szCs w:val="19"/>
              </w:rPr>
            </w:pPr>
          </w:p>
        </w:tc>
        <w:tc>
          <w:tcPr>
            <w:tcW w:w="2165" w:type="dxa"/>
            <w:vMerge/>
          </w:tcPr>
          <w:p w14:paraId="1AA0BA69" w14:textId="77777777" w:rsidR="002F363F" w:rsidRPr="00F2455C" w:rsidRDefault="002F363F" w:rsidP="004302E0">
            <w:pPr>
              <w:rPr>
                <w:rFonts w:cstheme="minorHAnsi"/>
                <w:color w:val="000000"/>
                <w:sz w:val="19"/>
                <w:szCs w:val="19"/>
              </w:rPr>
            </w:pPr>
          </w:p>
        </w:tc>
        <w:tc>
          <w:tcPr>
            <w:tcW w:w="2473" w:type="dxa"/>
          </w:tcPr>
          <w:p w14:paraId="231C1853" w14:textId="77777777" w:rsidR="002F363F" w:rsidRPr="00F2455C" w:rsidRDefault="002F363F" w:rsidP="004302E0">
            <w:pPr>
              <w:rPr>
                <w:rFonts w:cstheme="minorHAnsi"/>
                <w:color w:val="000000"/>
                <w:sz w:val="19"/>
                <w:szCs w:val="19"/>
              </w:rPr>
            </w:pPr>
            <w:r w:rsidRPr="00F2455C">
              <w:rPr>
                <w:rFonts w:cstheme="minorHAnsi"/>
                <w:color w:val="000000"/>
                <w:sz w:val="19"/>
                <w:szCs w:val="19"/>
              </w:rPr>
              <w:t>Former et sensibiliser les travailleurs et le personnel du projet sur les VBG/EAHS, le MGP et les procédures pour traiter les plaintes d’EAHS, et le code de bonne conduite, incluant les comportements interdits et les sanctions applicables</w:t>
            </w:r>
          </w:p>
        </w:tc>
        <w:tc>
          <w:tcPr>
            <w:tcW w:w="1786" w:type="dxa"/>
          </w:tcPr>
          <w:p w14:paraId="07DDFB40"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69FC8A95" w14:textId="77777777" w:rsidR="002F363F" w:rsidRPr="00F2455C" w:rsidRDefault="002F363F" w:rsidP="004302E0">
            <w:pPr>
              <w:rPr>
                <w:rFonts w:cstheme="minorHAnsi"/>
                <w:color w:val="000000"/>
                <w:sz w:val="19"/>
                <w:szCs w:val="19"/>
              </w:rPr>
            </w:pPr>
          </w:p>
          <w:p w14:paraId="185D6926" w14:textId="77777777" w:rsidR="002F363F" w:rsidRPr="00F2455C" w:rsidRDefault="002F363F" w:rsidP="004302E0">
            <w:pPr>
              <w:rPr>
                <w:rFonts w:cstheme="minorHAnsi"/>
                <w:sz w:val="19"/>
                <w:szCs w:val="19"/>
              </w:rPr>
            </w:pPr>
            <w:r w:rsidRPr="00F2455C">
              <w:rPr>
                <w:rFonts w:cstheme="minorHAnsi"/>
                <w:color w:val="000000"/>
                <w:sz w:val="19"/>
                <w:szCs w:val="19"/>
              </w:rPr>
              <w:t>Consultant externe</w:t>
            </w:r>
            <w:r>
              <w:rPr>
                <w:rFonts w:cstheme="minorHAnsi"/>
                <w:color w:val="000000"/>
                <w:sz w:val="19"/>
                <w:szCs w:val="19"/>
              </w:rPr>
              <w:t xml:space="preserve"> / ONG spécialisée</w:t>
            </w:r>
          </w:p>
        </w:tc>
        <w:tc>
          <w:tcPr>
            <w:tcW w:w="1746" w:type="dxa"/>
          </w:tcPr>
          <w:p w14:paraId="52978350" w14:textId="77777777" w:rsidR="002F363F" w:rsidRPr="00F2455C" w:rsidRDefault="002F363F" w:rsidP="004302E0">
            <w:pPr>
              <w:rPr>
                <w:rFonts w:cstheme="minorHAnsi"/>
                <w:sz w:val="19"/>
                <w:szCs w:val="19"/>
              </w:rPr>
            </w:pPr>
            <w:r w:rsidRPr="00F2455C">
              <w:rPr>
                <w:rFonts w:cstheme="minorHAnsi"/>
                <w:color w:val="000000"/>
                <w:sz w:val="19"/>
                <w:szCs w:val="19"/>
              </w:rPr>
              <w:t>Spécialiste en VBG</w:t>
            </w:r>
            <w:r w:rsidRPr="00F2455C" w:rsidDel="00C4208A">
              <w:rPr>
                <w:rFonts w:cstheme="minorHAnsi"/>
                <w:sz w:val="19"/>
                <w:szCs w:val="19"/>
              </w:rPr>
              <w:t xml:space="preserve"> </w:t>
            </w:r>
          </w:p>
        </w:tc>
        <w:tc>
          <w:tcPr>
            <w:tcW w:w="1460" w:type="dxa"/>
          </w:tcPr>
          <w:p w14:paraId="199569DC" w14:textId="77777777" w:rsidR="002F363F" w:rsidRPr="00F2455C" w:rsidRDefault="002F363F" w:rsidP="004302E0">
            <w:pPr>
              <w:rPr>
                <w:rFonts w:cstheme="minorHAnsi"/>
                <w:sz w:val="19"/>
                <w:szCs w:val="19"/>
              </w:rPr>
            </w:pPr>
            <w:r w:rsidRPr="00F2455C">
              <w:rPr>
                <w:rFonts w:cstheme="minorHAnsi"/>
                <w:sz w:val="19"/>
                <w:szCs w:val="19"/>
              </w:rPr>
              <w:t>Avant la mise en vigueur du projet pour l’UNCP/UPEP</w:t>
            </w:r>
          </w:p>
          <w:p w14:paraId="140ACF94" w14:textId="77777777" w:rsidR="002F363F" w:rsidRPr="00F2455C" w:rsidRDefault="002F363F" w:rsidP="004302E0">
            <w:pPr>
              <w:rPr>
                <w:rFonts w:cstheme="minorHAnsi"/>
                <w:sz w:val="19"/>
                <w:szCs w:val="19"/>
              </w:rPr>
            </w:pPr>
          </w:p>
          <w:p w14:paraId="7DCA0C25" w14:textId="77777777" w:rsidR="002F363F" w:rsidRPr="00F2455C" w:rsidRDefault="002F363F" w:rsidP="004302E0">
            <w:pPr>
              <w:rPr>
                <w:rFonts w:cstheme="minorHAnsi"/>
                <w:sz w:val="19"/>
                <w:szCs w:val="19"/>
              </w:rPr>
            </w:pPr>
            <w:r w:rsidRPr="00F2455C">
              <w:rPr>
                <w:rFonts w:cstheme="minorHAnsi"/>
                <w:sz w:val="19"/>
                <w:szCs w:val="19"/>
              </w:rPr>
              <w:t>3 mois après la mise en vigueur du projet pour le reste du personnel pertinent (et lors du recrutement par après)</w:t>
            </w:r>
          </w:p>
          <w:p w14:paraId="4B40EE2A" w14:textId="77777777" w:rsidR="002F363F" w:rsidRPr="00F2455C" w:rsidRDefault="002F363F" w:rsidP="004302E0">
            <w:pPr>
              <w:rPr>
                <w:rFonts w:cstheme="minorHAnsi"/>
                <w:sz w:val="19"/>
                <w:szCs w:val="19"/>
              </w:rPr>
            </w:pPr>
          </w:p>
          <w:p w14:paraId="14FD8B84" w14:textId="77777777" w:rsidR="002F363F" w:rsidRPr="00F2455C" w:rsidRDefault="002F363F" w:rsidP="004302E0">
            <w:pPr>
              <w:rPr>
                <w:rFonts w:cstheme="minorHAnsi"/>
                <w:sz w:val="19"/>
                <w:szCs w:val="19"/>
              </w:rPr>
            </w:pPr>
            <w:r w:rsidRPr="00F2455C">
              <w:rPr>
                <w:rFonts w:cstheme="minorHAnsi"/>
                <w:sz w:val="19"/>
                <w:szCs w:val="19"/>
              </w:rPr>
              <w:t>Avant le début des travaux pour les travailleurs</w:t>
            </w:r>
          </w:p>
        </w:tc>
        <w:tc>
          <w:tcPr>
            <w:tcW w:w="1892" w:type="dxa"/>
          </w:tcPr>
          <w:p w14:paraId="5DDDFAA7"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des séances de formation tenues</w:t>
            </w:r>
          </w:p>
          <w:p w14:paraId="27E5BF3F" w14:textId="77777777" w:rsidR="002F363F" w:rsidRPr="00F2455C" w:rsidRDefault="002F363F" w:rsidP="004302E0">
            <w:pPr>
              <w:rPr>
                <w:rFonts w:cstheme="minorHAnsi"/>
                <w:color w:val="000000"/>
                <w:sz w:val="19"/>
                <w:szCs w:val="19"/>
              </w:rPr>
            </w:pPr>
          </w:p>
          <w:p w14:paraId="33E6A0EA"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des séances de sensibilisation tenues</w:t>
            </w:r>
          </w:p>
          <w:p w14:paraId="31B8005C" w14:textId="77777777" w:rsidR="002F363F" w:rsidRPr="00F2455C" w:rsidRDefault="002F363F" w:rsidP="004302E0">
            <w:pPr>
              <w:rPr>
                <w:rFonts w:cstheme="minorHAnsi"/>
                <w:sz w:val="19"/>
                <w:szCs w:val="19"/>
              </w:rPr>
            </w:pPr>
          </w:p>
          <w:p w14:paraId="7AF28A9B"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 travailleurs / personnel formés et/ou sensibilisés (ventilés par sexe)</w:t>
            </w:r>
          </w:p>
          <w:p w14:paraId="45BC5D8F" w14:textId="77777777" w:rsidR="002F363F" w:rsidRPr="00F2455C" w:rsidRDefault="002F363F" w:rsidP="004302E0">
            <w:pPr>
              <w:rPr>
                <w:rFonts w:cstheme="minorHAnsi"/>
                <w:color w:val="000000"/>
                <w:sz w:val="19"/>
                <w:szCs w:val="19"/>
              </w:rPr>
            </w:pPr>
          </w:p>
          <w:p w14:paraId="665E1D86" w14:textId="77777777" w:rsidR="002F363F" w:rsidRPr="00F2455C" w:rsidRDefault="002F363F" w:rsidP="004302E0">
            <w:pPr>
              <w:rPr>
                <w:rFonts w:cstheme="minorHAnsi"/>
                <w:color w:val="000000"/>
                <w:sz w:val="19"/>
                <w:szCs w:val="19"/>
              </w:rPr>
            </w:pPr>
            <w:r w:rsidRPr="00F2455C">
              <w:rPr>
                <w:rFonts w:cstheme="minorHAnsi"/>
                <w:color w:val="000000"/>
                <w:sz w:val="19"/>
                <w:szCs w:val="19"/>
              </w:rPr>
              <w:t>% des travailleurs et personnel formés qui obtiennent une note de 70% sur le post-test</w:t>
            </w:r>
          </w:p>
        </w:tc>
        <w:tc>
          <w:tcPr>
            <w:tcW w:w="1511" w:type="dxa"/>
          </w:tcPr>
          <w:p w14:paraId="439F9112" w14:textId="77777777" w:rsidR="002F363F" w:rsidRDefault="002F363F" w:rsidP="004302E0">
            <w:pPr>
              <w:rPr>
                <w:rFonts w:cstheme="minorHAnsi"/>
                <w:sz w:val="19"/>
                <w:szCs w:val="19"/>
              </w:rPr>
            </w:pPr>
            <w:r>
              <w:rPr>
                <w:rFonts w:cstheme="minorHAnsi"/>
                <w:sz w:val="19"/>
                <w:szCs w:val="19"/>
              </w:rPr>
              <w:t>Pour toutes les formation et mise niveau des partenaires</w:t>
            </w:r>
          </w:p>
          <w:p w14:paraId="5B8D2EE3" w14:textId="77777777" w:rsidR="002F363F" w:rsidRPr="00F2455C" w:rsidRDefault="002F363F" w:rsidP="004302E0">
            <w:pPr>
              <w:rPr>
                <w:rFonts w:cstheme="minorHAnsi"/>
                <w:sz w:val="19"/>
                <w:szCs w:val="19"/>
              </w:rPr>
            </w:pPr>
            <w:r>
              <w:rPr>
                <w:rFonts w:cstheme="minorHAnsi"/>
                <w:sz w:val="19"/>
                <w:szCs w:val="19"/>
              </w:rPr>
              <w:t>400000$ en raison de 50000$ par province et 1000000$ au niveau de central</w:t>
            </w:r>
          </w:p>
        </w:tc>
      </w:tr>
      <w:tr w:rsidR="002F363F" w:rsidRPr="00F2455C" w14:paraId="4671DD3F" w14:textId="77777777" w:rsidTr="004302E0">
        <w:trPr>
          <w:gridAfter w:val="1"/>
          <w:wAfter w:w="17" w:type="dxa"/>
        </w:trPr>
        <w:tc>
          <w:tcPr>
            <w:tcW w:w="2430" w:type="dxa"/>
            <w:vMerge/>
          </w:tcPr>
          <w:p w14:paraId="60F04E57" w14:textId="77777777" w:rsidR="002F363F" w:rsidRPr="00F2455C" w:rsidRDefault="002F363F" w:rsidP="004302E0">
            <w:pPr>
              <w:rPr>
                <w:rFonts w:cstheme="minorHAnsi"/>
                <w:sz w:val="19"/>
                <w:szCs w:val="19"/>
              </w:rPr>
            </w:pPr>
          </w:p>
        </w:tc>
        <w:tc>
          <w:tcPr>
            <w:tcW w:w="2165" w:type="dxa"/>
            <w:vMerge/>
          </w:tcPr>
          <w:p w14:paraId="7DFA461B" w14:textId="77777777" w:rsidR="002F363F" w:rsidRPr="00F2455C" w:rsidRDefault="002F363F" w:rsidP="004302E0">
            <w:pPr>
              <w:rPr>
                <w:rFonts w:cstheme="minorHAnsi"/>
                <w:color w:val="000000"/>
                <w:sz w:val="19"/>
                <w:szCs w:val="19"/>
              </w:rPr>
            </w:pPr>
          </w:p>
        </w:tc>
        <w:tc>
          <w:tcPr>
            <w:tcW w:w="2473" w:type="dxa"/>
          </w:tcPr>
          <w:p w14:paraId="0560663C" w14:textId="77777777" w:rsidR="002F363F" w:rsidRPr="00F2455C" w:rsidRDefault="002F363F" w:rsidP="004302E0">
            <w:pPr>
              <w:rPr>
                <w:rFonts w:cstheme="minorHAnsi"/>
                <w:strike/>
                <w:sz w:val="19"/>
                <w:szCs w:val="19"/>
              </w:rPr>
            </w:pPr>
            <w:r w:rsidRPr="00F2455C">
              <w:rPr>
                <w:rFonts w:cstheme="minorHAnsi"/>
                <w:color w:val="000000"/>
                <w:sz w:val="19"/>
                <w:szCs w:val="19"/>
              </w:rPr>
              <w:t>Organiser les consultations indépendantes avec les femmes dans des conditions sûres et confidentielles (avec une facilitatrice) afin de solliciter les informations sur les risques et les impacts potentiels du projet, y compris les services disponibles et les points d’accès au MGP</w:t>
            </w:r>
          </w:p>
        </w:tc>
        <w:tc>
          <w:tcPr>
            <w:tcW w:w="1786" w:type="dxa"/>
          </w:tcPr>
          <w:p w14:paraId="5E3EB8FA"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274B3CF7" w14:textId="77777777" w:rsidR="002F363F" w:rsidRPr="00F2455C" w:rsidRDefault="002F363F" w:rsidP="004302E0">
            <w:pPr>
              <w:rPr>
                <w:rFonts w:cstheme="minorHAnsi"/>
                <w:color w:val="000000"/>
                <w:sz w:val="19"/>
                <w:szCs w:val="19"/>
              </w:rPr>
            </w:pPr>
          </w:p>
          <w:p w14:paraId="0C6EAA06" w14:textId="77777777" w:rsidR="002F363F" w:rsidRPr="00F2455C" w:rsidRDefault="002F363F" w:rsidP="004302E0">
            <w:pPr>
              <w:rPr>
                <w:rFonts w:cstheme="minorHAnsi"/>
                <w:sz w:val="19"/>
                <w:szCs w:val="19"/>
              </w:rPr>
            </w:pPr>
            <w:r w:rsidRPr="00F2455C">
              <w:rPr>
                <w:rFonts w:cstheme="minorHAnsi"/>
                <w:color w:val="000000"/>
                <w:sz w:val="19"/>
                <w:szCs w:val="19"/>
              </w:rPr>
              <w:t>Consultant externe</w:t>
            </w:r>
            <w:r>
              <w:rPr>
                <w:rFonts w:cstheme="minorHAnsi"/>
                <w:color w:val="000000"/>
                <w:sz w:val="19"/>
                <w:szCs w:val="19"/>
              </w:rPr>
              <w:t xml:space="preserve"> / ONG spécialisée</w:t>
            </w:r>
          </w:p>
        </w:tc>
        <w:tc>
          <w:tcPr>
            <w:tcW w:w="1746" w:type="dxa"/>
          </w:tcPr>
          <w:p w14:paraId="0C7D56F0" w14:textId="77777777" w:rsidR="002F363F" w:rsidRPr="00F2455C" w:rsidRDefault="002F363F" w:rsidP="004302E0">
            <w:pPr>
              <w:rPr>
                <w:rFonts w:cstheme="minorHAnsi"/>
                <w:sz w:val="19"/>
                <w:szCs w:val="19"/>
              </w:rPr>
            </w:pPr>
            <w:r w:rsidRPr="00F2455C">
              <w:rPr>
                <w:rFonts w:cstheme="minorHAnsi"/>
                <w:color w:val="000000"/>
                <w:sz w:val="19"/>
                <w:szCs w:val="19"/>
              </w:rPr>
              <w:t>Spécialiste en VBG</w:t>
            </w:r>
            <w:r w:rsidRPr="00F2455C" w:rsidDel="0076718B">
              <w:rPr>
                <w:rFonts w:cstheme="minorHAnsi"/>
                <w:sz w:val="19"/>
                <w:szCs w:val="19"/>
              </w:rPr>
              <w:t xml:space="preserve"> </w:t>
            </w:r>
          </w:p>
        </w:tc>
        <w:tc>
          <w:tcPr>
            <w:tcW w:w="1460" w:type="dxa"/>
          </w:tcPr>
          <w:p w14:paraId="3F7CF5DA" w14:textId="77777777" w:rsidR="002F363F" w:rsidRPr="00F2455C" w:rsidRDefault="002F363F" w:rsidP="004302E0">
            <w:pPr>
              <w:rPr>
                <w:rFonts w:cstheme="minorHAnsi"/>
                <w:sz w:val="19"/>
                <w:szCs w:val="19"/>
              </w:rPr>
            </w:pPr>
            <w:r w:rsidRPr="00F2455C">
              <w:rPr>
                <w:rFonts w:cstheme="minorHAnsi"/>
                <w:color w:val="000000"/>
                <w:sz w:val="19"/>
                <w:szCs w:val="19"/>
              </w:rPr>
              <w:t>Tous les six mois pendant la durée du projet</w:t>
            </w:r>
          </w:p>
        </w:tc>
        <w:tc>
          <w:tcPr>
            <w:tcW w:w="1892" w:type="dxa"/>
          </w:tcPr>
          <w:p w14:paraId="37F07CAB"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 consultations communautaires organisées</w:t>
            </w:r>
          </w:p>
          <w:p w14:paraId="1FEB891C" w14:textId="77777777" w:rsidR="002F363F" w:rsidRPr="00F2455C" w:rsidRDefault="002F363F" w:rsidP="004302E0">
            <w:pPr>
              <w:rPr>
                <w:rFonts w:cstheme="minorHAnsi"/>
                <w:color w:val="000000"/>
                <w:sz w:val="19"/>
                <w:szCs w:val="19"/>
              </w:rPr>
            </w:pPr>
          </w:p>
          <w:p w14:paraId="29F7BA9C"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 participantes aux consultations</w:t>
            </w:r>
            <w:r>
              <w:rPr>
                <w:rFonts w:cstheme="minorHAnsi"/>
                <w:color w:val="000000"/>
                <w:sz w:val="19"/>
                <w:szCs w:val="19"/>
              </w:rPr>
              <w:t xml:space="preserve"> (</w:t>
            </w:r>
            <w:r w:rsidRPr="00F2455C">
              <w:rPr>
                <w:rFonts w:cstheme="minorHAnsi"/>
                <w:color w:val="000000"/>
                <w:sz w:val="19"/>
                <w:szCs w:val="19"/>
              </w:rPr>
              <w:t>ventilés par sexe et âge)</w:t>
            </w:r>
          </w:p>
          <w:p w14:paraId="1FBEB86F" w14:textId="77777777" w:rsidR="002F363F" w:rsidRPr="00F2455C" w:rsidRDefault="002F363F" w:rsidP="004302E0">
            <w:pPr>
              <w:rPr>
                <w:rFonts w:cstheme="minorHAnsi"/>
                <w:color w:val="000000"/>
                <w:sz w:val="19"/>
                <w:szCs w:val="19"/>
              </w:rPr>
            </w:pPr>
          </w:p>
          <w:p w14:paraId="72B631EB"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des séances de sensibilisation communautaires organisées</w:t>
            </w:r>
          </w:p>
          <w:p w14:paraId="52A5FC08" w14:textId="77777777" w:rsidR="002F363F" w:rsidRPr="00F2455C" w:rsidRDefault="002F363F" w:rsidP="004302E0">
            <w:pPr>
              <w:rPr>
                <w:rFonts w:cstheme="minorHAnsi"/>
                <w:color w:val="000000"/>
                <w:sz w:val="19"/>
                <w:szCs w:val="19"/>
              </w:rPr>
            </w:pPr>
          </w:p>
          <w:p w14:paraId="44C29BE4" w14:textId="77777777" w:rsidR="002F363F" w:rsidRPr="00F2455C" w:rsidRDefault="002F363F" w:rsidP="004302E0">
            <w:pPr>
              <w:rPr>
                <w:rFonts w:cstheme="minorHAnsi"/>
                <w:sz w:val="19"/>
                <w:szCs w:val="19"/>
              </w:rPr>
            </w:pPr>
            <w:r w:rsidRPr="00F2455C">
              <w:rPr>
                <w:rFonts w:cstheme="minorHAnsi"/>
                <w:color w:val="000000"/>
                <w:sz w:val="19"/>
                <w:szCs w:val="19"/>
              </w:rPr>
              <w:t>Nombre de personnes sensibilisées (ventilés par sexe et âge)</w:t>
            </w:r>
          </w:p>
        </w:tc>
        <w:tc>
          <w:tcPr>
            <w:tcW w:w="1511" w:type="dxa"/>
          </w:tcPr>
          <w:p w14:paraId="78E363A0" w14:textId="77777777" w:rsidR="002F363F" w:rsidRPr="00F2455C" w:rsidRDefault="002F363F" w:rsidP="004302E0">
            <w:pPr>
              <w:rPr>
                <w:rFonts w:cstheme="minorHAnsi"/>
                <w:sz w:val="19"/>
                <w:szCs w:val="19"/>
              </w:rPr>
            </w:pPr>
            <w:r w:rsidRPr="00F2455C">
              <w:rPr>
                <w:rFonts w:cstheme="minorHAnsi"/>
                <w:sz w:val="19"/>
                <w:szCs w:val="19"/>
              </w:rPr>
              <w:t>250000$</w:t>
            </w:r>
          </w:p>
        </w:tc>
      </w:tr>
      <w:tr w:rsidR="002F363F" w:rsidRPr="00F2455C" w14:paraId="799B62FB" w14:textId="77777777" w:rsidTr="004302E0">
        <w:trPr>
          <w:gridAfter w:val="1"/>
          <w:wAfter w:w="17" w:type="dxa"/>
        </w:trPr>
        <w:tc>
          <w:tcPr>
            <w:tcW w:w="2430" w:type="dxa"/>
            <w:vMerge/>
          </w:tcPr>
          <w:p w14:paraId="194197ED" w14:textId="77777777" w:rsidR="002F363F" w:rsidRPr="00F2455C" w:rsidRDefault="002F363F" w:rsidP="004302E0">
            <w:pPr>
              <w:rPr>
                <w:rFonts w:cstheme="minorHAnsi"/>
                <w:sz w:val="19"/>
                <w:szCs w:val="19"/>
              </w:rPr>
            </w:pPr>
          </w:p>
        </w:tc>
        <w:tc>
          <w:tcPr>
            <w:tcW w:w="2165" w:type="dxa"/>
            <w:vMerge/>
          </w:tcPr>
          <w:p w14:paraId="046E1101" w14:textId="77777777" w:rsidR="002F363F" w:rsidRPr="00F2455C" w:rsidDel="004E395D" w:rsidRDefault="002F363F" w:rsidP="004302E0">
            <w:pPr>
              <w:rPr>
                <w:rFonts w:cstheme="minorHAnsi"/>
                <w:color w:val="000000"/>
                <w:sz w:val="19"/>
                <w:szCs w:val="19"/>
              </w:rPr>
            </w:pPr>
          </w:p>
        </w:tc>
        <w:tc>
          <w:tcPr>
            <w:tcW w:w="2473" w:type="dxa"/>
          </w:tcPr>
          <w:p w14:paraId="0D8F05CB" w14:textId="77777777" w:rsidR="002F363F" w:rsidRPr="00F2455C" w:rsidRDefault="002F363F" w:rsidP="004302E0">
            <w:pPr>
              <w:rPr>
                <w:rFonts w:cstheme="minorHAnsi"/>
                <w:color w:val="000000"/>
                <w:sz w:val="19"/>
                <w:szCs w:val="19"/>
              </w:rPr>
            </w:pPr>
            <w:r w:rsidRPr="00F2455C">
              <w:rPr>
                <w:rFonts w:cstheme="minorHAnsi"/>
                <w:color w:val="000000"/>
                <w:sz w:val="19"/>
                <w:szCs w:val="19"/>
              </w:rPr>
              <w:t>Organiser des séances de sensibilisation avec les membres des communautés dans les zones d’intervention sur les VBG, l’EAHS, les services disponibles, et le MGP</w:t>
            </w:r>
          </w:p>
        </w:tc>
        <w:tc>
          <w:tcPr>
            <w:tcW w:w="1786" w:type="dxa"/>
          </w:tcPr>
          <w:p w14:paraId="42DDF997"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58BCDC36" w14:textId="77777777" w:rsidR="002F363F" w:rsidRPr="00F2455C" w:rsidRDefault="002F363F" w:rsidP="004302E0">
            <w:pPr>
              <w:rPr>
                <w:rFonts w:cstheme="minorHAnsi"/>
                <w:color w:val="000000"/>
                <w:sz w:val="19"/>
                <w:szCs w:val="19"/>
              </w:rPr>
            </w:pPr>
          </w:p>
          <w:p w14:paraId="6058F2F5" w14:textId="77777777" w:rsidR="002F363F" w:rsidRPr="00F2455C" w:rsidRDefault="002F363F" w:rsidP="004302E0">
            <w:pPr>
              <w:rPr>
                <w:rFonts w:cstheme="minorHAnsi"/>
                <w:color w:val="000000"/>
                <w:sz w:val="19"/>
                <w:szCs w:val="19"/>
              </w:rPr>
            </w:pPr>
            <w:r w:rsidRPr="00F2455C">
              <w:rPr>
                <w:rFonts w:cstheme="minorHAnsi"/>
                <w:color w:val="000000"/>
                <w:sz w:val="19"/>
                <w:szCs w:val="19"/>
              </w:rPr>
              <w:t>Consultant externe</w:t>
            </w:r>
            <w:r>
              <w:rPr>
                <w:rFonts w:cstheme="minorHAnsi"/>
                <w:color w:val="000000"/>
                <w:sz w:val="19"/>
                <w:szCs w:val="19"/>
              </w:rPr>
              <w:t xml:space="preserve"> / ONG spécialisée</w:t>
            </w:r>
          </w:p>
        </w:tc>
        <w:tc>
          <w:tcPr>
            <w:tcW w:w="1746" w:type="dxa"/>
          </w:tcPr>
          <w:p w14:paraId="4F6D9E0F" w14:textId="77777777" w:rsidR="002F363F" w:rsidRPr="00F2455C" w:rsidRDefault="002F363F" w:rsidP="004302E0">
            <w:pPr>
              <w:rPr>
                <w:rFonts w:cstheme="minorHAnsi"/>
                <w:sz w:val="19"/>
                <w:szCs w:val="19"/>
              </w:rPr>
            </w:pPr>
            <w:r w:rsidRPr="00F2455C">
              <w:rPr>
                <w:rFonts w:cstheme="minorHAnsi"/>
                <w:color w:val="000000"/>
                <w:sz w:val="19"/>
                <w:szCs w:val="19"/>
              </w:rPr>
              <w:t>Spécialiste en VBG</w:t>
            </w:r>
            <w:r w:rsidRPr="00F2455C" w:rsidDel="0076718B">
              <w:rPr>
                <w:rFonts w:cstheme="minorHAnsi"/>
                <w:sz w:val="19"/>
                <w:szCs w:val="19"/>
              </w:rPr>
              <w:t xml:space="preserve"> </w:t>
            </w:r>
          </w:p>
        </w:tc>
        <w:tc>
          <w:tcPr>
            <w:tcW w:w="1460" w:type="dxa"/>
          </w:tcPr>
          <w:p w14:paraId="3B55855C" w14:textId="77777777" w:rsidR="002F363F" w:rsidRPr="00F2455C" w:rsidRDefault="002F363F" w:rsidP="004302E0">
            <w:pPr>
              <w:rPr>
                <w:rFonts w:cstheme="minorHAnsi"/>
                <w:color w:val="000000"/>
                <w:sz w:val="19"/>
                <w:szCs w:val="19"/>
              </w:rPr>
            </w:pPr>
            <w:r w:rsidRPr="00F2455C">
              <w:rPr>
                <w:rFonts w:cstheme="minorHAnsi"/>
                <w:color w:val="000000"/>
                <w:sz w:val="19"/>
                <w:szCs w:val="19"/>
              </w:rPr>
              <w:t>Tous les six mois pendant la durée du projet</w:t>
            </w:r>
          </w:p>
        </w:tc>
        <w:tc>
          <w:tcPr>
            <w:tcW w:w="1892" w:type="dxa"/>
          </w:tcPr>
          <w:p w14:paraId="5AE9E114"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 sensibilisations organisées</w:t>
            </w:r>
          </w:p>
          <w:p w14:paraId="596CA11E" w14:textId="77777777" w:rsidR="002F363F" w:rsidRPr="00F2455C" w:rsidRDefault="002F363F" w:rsidP="004302E0">
            <w:pPr>
              <w:rPr>
                <w:rFonts w:cstheme="minorHAnsi"/>
                <w:color w:val="000000"/>
                <w:sz w:val="19"/>
                <w:szCs w:val="19"/>
              </w:rPr>
            </w:pPr>
          </w:p>
          <w:p w14:paraId="376DE878"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 participant(e)s aux sensibilisations (ventilés par sexe et âge)</w:t>
            </w:r>
          </w:p>
        </w:tc>
        <w:tc>
          <w:tcPr>
            <w:tcW w:w="1511" w:type="dxa"/>
          </w:tcPr>
          <w:p w14:paraId="0E7C2501" w14:textId="77777777" w:rsidR="002F363F" w:rsidRDefault="002F363F" w:rsidP="004302E0">
            <w:pPr>
              <w:rPr>
                <w:rFonts w:cstheme="minorHAnsi"/>
                <w:sz w:val="19"/>
                <w:szCs w:val="19"/>
              </w:rPr>
            </w:pPr>
          </w:p>
          <w:p w14:paraId="4BA44FEF" w14:textId="77777777" w:rsidR="002F363F" w:rsidRPr="00F2455C" w:rsidRDefault="002F363F" w:rsidP="004302E0">
            <w:pPr>
              <w:rPr>
                <w:rFonts w:cstheme="minorHAnsi"/>
                <w:sz w:val="19"/>
                <w:szCs w:val="19"/>
              </w:rPr>
            </w:pPr>
            <w:r>
              <w:rPr>
                <w:rFonts w:cstheme="minorHAnsi"/>
                <w:sz w:val="19"/>
                <w:szCs w:val="19"/>
              </w:rPr>
              <w:t>Déjà pris en charge</w:t>
            </w:r>
          </w:p>
        </w:tc>
      </w:tr>
      <w:tr w:rsidR="002F363F" w:rsidRPr="00F2455C" w14:paraId="2D2C4C4B" w14:textId="77777777" w:rsidTr="004302E0">
        <w:trPr>
          <w:gridAfter w:val="1"/>
          <w:wAfter w:w="17" w:type="dxa"/>
        </w:trPr>
        <w:tc>
          <w:tcPr>
            <w:tcW w:w="2430" w:type="dxa"/>
            <w:vMerge/>
          </w:tcPr>
          <w:p w14:paraId="59312B3F" w14:textId="77777777" w:rsidR="002F363F" w:rsidRPr="00F2455C" w:rsidRDefault="002F363F" w:rsidP="004302E0">
            <w:pPr>
              <w:rPr>
                <w:rFonts w:cstheme="minorHAnsi"/>
                <w:sz w:val="19"/>
                <w:szCs w:val="19"/>
              </w:rPr>
            </w:pPr>
          </w:p>
        </w:tc>
        <w:tc>
          <w:tcPr>
            <w:tcW w:w="2165" w:type="dxa"/>
            <w:vMerge/>
          </w:tcPr>
          <w:p w14:paraId="4E54F7A9" w14:textId="77777777" w:rsidR="002F363F" w:rsidRPr="00F2455C" w:rsidDel="004E395D" w:rsidRDefault="002F363F" w:rsidP="004302E0">
            <w:pPr>
              <w:rPr>
                <w:rFonts w:cstheme="minorHAnsi"/>
                <w:color w:val="000000"/>
                <w:sz w:val="19"/>
                <w:szCs w:val="19"/>
              </w:rPr>
            </w:pPr>
          </w:p>
        </w:tc>
        <w:tc>
          <w:tcPr>
            <w:tcW w:w="2473" w:type="dxa"/>
          </w:tcPr>
          <w:p w14:paraId="2CADFE30" w14:textId="77777777" w:rsidR="002F363F" w:rsidRPr="00F2455C" w:rsidRDefault="002F363F" w:rsidP="004302E0">
            <w:pPr>
              <w:rPr>
                <w:rFonts w:cstheme="minorHAnsi"/>
                <w:sz w:val="19"/>
                <w:szCs w:val="19"/>
              </w:rPr>
            </w:pPr>
            <w:r w:rsidRPr="00F2455C">
              <w:rPr>
                <w:rFonts w:cstheme="minorHAnsi"/>
                <w:color w:val="000000"/>
                <w:sz w:val="19"/>
                <w:szCs w:val="19"/>
              </w:rPr>
              <w:t xml:space="preserve">Vulgariser les instruments nationaux lors des sensibilisations (lois </w:t>
            </w:r>
            <w:r>
              <w:rPr>
                <w:rFonts w:cstheme="minorHAnsi"/>
                <w:color w:val="000000"/>
                <w:sz w:val="19"/>
                <w:szCs w:val="19"/>
              </w:rPr>
              <w:t>portant sur</w:t>
            </w:r>
            <w:r w:rsidRPr="00F2455C">
              <w:rPr>
                <w:rFonts w:cstheme="minorHAnsi"/>
                <w:color w:val="000000"/>
                <w:sz w:val="19"/>
                <w:szCs w:val="19"/>
              </w:rPr>
              <w:t xml:space="preserve"> les violences sexuelles, </w:t>
            </w:r>
            <w:r>
              <w:rPr>
                <w:rFonts w:cstheme="minorHAnsi"/>
                <w:color w:val="000000"/>
                <w:sz w:val="19"/>
                <w:szCs w:val="19"/>
              </w:rPr>
              <w:t xml:space="preserve">protection de l’enfant, </w:t>
            </w:r>
            <w:r w:rsidRPr="00F2455C">
              <w:rPr>
                <w:rFonts w:cstheme="minorHAnsi"/>
                <w:color w:val="000000"/>
                <w:sz w:val="19"/>
                <w:szCs w:val="19"/>
              </w:rPr>
              <w:t xml:space="preserve">code du travail, etc.) </w:t>
            </w:r>
            <w:r>
              <w:rPr>
                <w:rFonts w:cstheme="minorHAnsi"/>
                <w:color w:val="000000"/>
                <w:sz w:val="19"/>
                <w:szCs w:val="19"/>
              </w:rPr>
              <w:t xml:space="preserve">avec les instruments du projet, notamment le code de bonne conduite et le MGP, </w:t>
            </w:r>
            <w:r w:rsidRPr="00F2455C">
              <w:rPr>
                <w:rFonts w:cstheme="minorHAnsi"/>
                <w:color w:val="000000"/>
                <w:sz w:val="19"/>
                <w:szCs w:val="19"/>
              </w:rPr>
              <w:t xml:space="preserve">qui assurent la protection et la promotion </w:t>
            </w:r>
            <w:r>
              <w:rPr>
                <w:rFonts w:cstheme="minorHAnsi"/>
                <w:color w:val="000000"/>
                <w:sz w:val="19"/>
                <w:szCs w:val="19"/>
              </w:rPr>
              <w:t xml:space="preserve">des droits </w:t>
            </w:r>
            <w:r w:rsidRPr="00F2455C">
              <w:rPr>
                <w:rFonts w:cstheme="minorHAnsi"/>
                <w:color w:val="000000"/>
                <w:sz w:val="19"/>
                <w:szCs w:val="19"/>
              </w:rPr>
              <w:t>de la femme et de l’enfant</w:t>
            </w:r>
          </w:p>
        </w:tc>
        <w:tc>
          <w:tcPr>
            <w:tcW w:w="1786" w:type="dxa"/>
          </w:tcPr>
          <w:p w14:paraId="29FD5194" w14:textId="77777777" w:rsidR="002F363F" w:rsidRDefault="002F363F" w:rsidP="004302E0">
            <w:pPr>
              <w:rPr>
                <w:rFonts w:cstheme="minorHAnsi"/>
                <w:color w:val="000000"/>
                <w:sz w:val="19"/>
                <w:szCs w:val="19"/>
              </w:rPr>
            </w:pPr>
            <w:r w:rsidRPr="00F2455C">
              <w:rPr>
                <w:rFonts w:cstheme="minorHAnsi"/>
                <w:color w:val="000000"/>
                <w:sz w:val="19"/>
                <w:szCs w:val="19"/>
              </w:rPr>
              <w:t>Spécialiste en VBG</w:t>
            </w:r>
          </w:p>
          <w:p w14:paraId="762F61F2" w14:textId="77777777" w:rsidR="002F363F" w:rsidRPr="00F2455C" w:rsidRDefault="002F363F" w:rsidP="004302E0">
            <w:pPr>
              <w:rPr>
                <w:rFonts w:cstheme="minorHAnsi"/>
                <w:color w:val="000000"/>
                <w:sz w:val="19"/>
                <w:szCs w:val="19"/>
              </w:rPr>
            </w:pPr>
          </w:p>
          <w:p w14:paraId="12CD7030" w14:textId="77777777" w:rsidR="002F363F" w:rsidRPr="00F2455C" w:rsidRDefault="002F363F" w:rsidP="004302E0">
            <w:pPr>
              <w:rPr>
                <w:rFonts w:cstheme="minorHAnsi"/>
                <w:color w:val="000000"/>
                <w:sz w:val="19"/>
                <w:szCs w:val="19"/>
              </w:rPr>
            </w:pPr>
            <w:r w:rsidRPr="00F2455C">
              <w:rPr>
                <w:rFonts w:cstheme="minorHAnsi"/>
                <w:color w:val="000000"/>
                <w:sz w:val="19"/>
                <w:szCs w:val="19"/>
              </w:rPr>
              <w:t>Consultant externe</w:t>
            </w:r>
            <w:r>
              <w:rPr>
                <w:rFonts w:cstheme="minorHAnsi"/>
                <w:color w:val="000000"/>
                <w:sz w:val="19"/>
                <w:szCs w:val="19"/>
              </w:rPr>
              <w:t xml:space="preserve"> / ONG spécialisée</w:t>
            </w:r>
          </w:p>
        </w:tc>
        <w:tc>
          <w:tcPr>
            <w:tcW w:w="1746" w:type="dxa"/>
          </w:tcPr>
          <w:p w14:paraId="6E558ADF" w14:textId="77777777" w:rsidR="002F363F" w:rsidRPr="00F2455C" w:rsidRDefault="002F363F" w:rsidP="004302E0">
            <w:pPr>
              <w:rPr>
                <w:rFonts w:cstheme="minorHAnsi"/>
                <w:sz w:val="19"/>
                <w:szCs w:val="19"/>
              </w:rPr>
            </w:pPr>
            <w:r w:rsidRPr="00F2455C">
              <w:rPr>
                <w:rFonts w:cstheme="minorHAnsi"/>
                <w:color w:val="000000"/>
                <w:sz w:val="19"/>
                <w:szCs w:val="19"/>
              </w:rPr>
              <w:t>Spécialiste en VBG</w:t>
            </w:r>
          </w:p>
        </w:tc>
        <w:tc>
          <w:tcPr>
            <w:tcW w:w="1460" w:type="dxa"/>
          </w:tcPr>
          <w:p w14:paraId="62BD7802" w14:textId="77777777" w:rsidR="002F363F" w:rsidRPr="00F2455C" w:rsidRDefault="002F363F" w:rsidP="004302E0">
            <w:pPr>
              <w:rPr>
                <w:rFonts w:cstheme="minorHAnsi"/>
                <w:color w:val="000000"/>
                <w:sz w:val="19"/>
                <w:szCs w:val="19"/>
              </w:rPr>
            </w:pPr>
            <w:r w:rsidRPr="00F2455C">
              <w:rPr>
                <w:rFonts w:cstheme="minorHAnsi"/>
                <w:color w:val="000000"/>
                <w:sz w:val="19"/>
                <w:szCs w:val="19"/>
              </w:rPr>
              <w:t>Tous les six mois pendant la durée du projet</w:t>
            </w:r>
            <w:r>
              <w:rPr>
                <w:rFonts w:cstheme="minorHAnsi"/>
                <w:color w:val="000000"/>
                <w:sz w:val="19"/>
                <w:szCs w:val="19"/>
              </w:rPr>
              <w:t xml:space="preserve"> (selon le programme des sensibilisations)</w:t>
            </w:r>
          </w:p>
        </w:tc>
        <w:tc>
          <w:tcPr>
            <w:tcW w:w="1892" w:type="dxa"/>
          </w:tcPr>
          <w:p w14:paraId="19B1CD41" w14:textId="77777777" w:rsidR="002F363F" w:rsidRPr="00F2455C" w:rsidRDefault="002F363F" w:rsidP="004302E0">
            <w:pPr>
              <w:rPr>
                <w:rFonts w:cstheme="minorHAnsi"/>
                <w:color w:val="000000"/>
                <w:sz w:val="19"/>
                <w:szCs w:val="19"/>
              </w:rPr>
            </w:pPr>
            <w:r w:rsidRPr="00F2455C">
              <w:rPr>
                <w:rFonts w:cstheme="minorHAnsi"/>
                <w:color w:val="000000"/>
                <w:sz w:val="19"/>
                <w:szCs w:val="19"/>
              </w:rPr>
              <w:t>N/A</w:t>
            </w:r>
          </w:p>
        </w:tc>
        <w:tc>
          <w:tcPr>
            <w:tcW w:w="1511" w:type="dxa"/>
          </w:tcPr>
          <w:p w14:paraId="551BF900" w14:textId="77777777" w:rsidR="002F363F" w:rsidRPr="00F2455C" w:rsidRDefault="002F363F" w:rsidP="004302E0">
            <w:pPr>
              <w:rPr>
                <w:rFonts w:cstheme="minorHAnsi"/>
                <w:sz w:val="19"/>
                <w:szCs w:val="19"/>
              </w:rPr>
            </w:pPr>
            <w:r w:rsidRPr="00F2455C">
              <w:rPr>
                <w:rFonts w:cstheme="minorHAnsi"/>
                <w:sz w:val="19"/>
                <w:szCs w:val="19"/>
              </w:rPr>
              <w:t>100000$</w:t>
            </w:r>
          </w:p>
        </w:tc>
      </w:tr>
      <w:tr w:rsidR="002F363F" w:rsidRPr="00F2455C" w14:paraId="0A2BD6C6" w14:textId="77777777" w:rsidTr="004302E0">
        <w:trPr>
          <w:gridAfter w:val="1"/>
          <w:wAfter w:w="17" w:type="dxa"/>
        </w:trPr>
        <w:tc>
          <w:tcPr>
            <w:tcW w:w="2430" w:type="dxa"/>
            <w:vMerge/>
          </w:tcPr>
          <w:p w14:paraId="1777A42D" w14:textId="77777777" w:rsidR="002F363F" w:rsidRPr="00F2455C" w:rsidRDefault="002F363F" w:rsidP="004302E0">
            <w:pPr>
              <w:rPr>
                <w:rFonts w:cstheme="minorHAnsi"/>
                <w:sz w:val="19"/>
                <w:szCs w:val="19"/>
              </w:rPr>
            </w:pPr>
          </w:p>
        </w:tc>
        <w:tc>
          <w:tcPr>
            <w:tcW w:w="2165" w:type="dxa"/>
            <w:vMerge/>
          </w:tcPr>
          <w:p w14:paraId="63E21E66" w14:textId="77777777" w:rsidR="002F363F" w:rsidRPr="00F2455C" w:rsidDel="004E395D" w:rsidRDefault="002F363F" w:rsidP="004302E0">
            <w:pPr>
              <w:rPr>
                <w:rFonts w:cstheme="minorHAnsi"/>
                <w:color w:val="000000"/>
                <w:sz w:val="19"/>
                <w:szCs w:val="19"/>
              </w:rPr>
            </w:pPr>
          </w:p>
        </w:tc>
        <w:tc>
          <w:tcPr>
            <w:tcW w:w="2473" w:type="dxa"/>
          </w:tcPr>
          <w:p w14:paraId="74B516E7" w14:textId="77777777" w:rsidR="002F363F" w:rsidRPr="00F2455C" w:rsidRDefault="002F363F" w:rsidP="004302E0">
            <w:pPr>
              <w:rPr>
                <w:rFonts w:cstheme="minorHAnsi"/>
                <w:color w:val="000000"/>
                <w:sz w:val="19"/>
                <w:szCs w:val="19"/>
              </w:rPr>
            </w:pPr>
            <w:r w:rsidRPr="00F2455C">
              <w:rPr>
                <w:rFonts w:cstheme="minorHAnsi"/>
                <w:sz w:val="19"/>
                <w:szCs w:val="19"/>
              </w:rPr>
              <w:t>Mettre en place un mécanisme transparent et diversifié (incluant les femmes et les hommes) pour l’identification des bénéficiaires et l’identification des sites pour implanter les unités de transformation, y compris la vulgarisation du document contenant les critères d’identification des bénéficiaires</w:t>
            </w:r>
            <w:r>
              <w:rPr>
                <w:rFonts w:cstheme="minorHAnsi"/>
                <w:sz w:val="19"/>
                <w:szCs w:val="19"/>
              </w:rPr>
              <w:t>, afin d’assurer l’inclusion équitable des femmes productrices</w:t>
            </w:r>
          </w:p>
        </w:tc>
        <w:tc>
          <w:tcPr>
            <w:tcW w:w="1786" w:type="dxa"/>
          </w:tcPr>
          <w:p w14:paraId="623C92AD"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48D3F34E" w14:textId="77777777" w:rsidR="002F363F" w:rsidRPr="00F2455C" w:rsidRDefault="002F363F" w:rsidP="004302E0">
            <w:pPr>
              <w:rPr>
                <w:rFonts w:cstheme="minorHAnsi"/>
                <w:color w:val="000000"/>
                <w:sz w:val="19"/>
                <w:szCs w:val="19"/>
              </w:rPr>
            </w:pPr>
          </w:p>
          <w:p w14:paraId="0629C5DD"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Spécialistes techniques agricoles</w:t>
            </w:r>
          </w:p>
        </w:tc>
        <w:tc>
          <w:tcPr>
            <w:tcW w:w="1746" w:type="dxa"/>
          </w:tcPr>
          <w:p w14:paraId="0B98708D"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tc>
        <w:tc>
          <w:tcPr>
            <w:tcW w:w="1460" w:type="dxa"/>
          </w:tcPr>
          <w:p w14:paraId="72228CB7" w14:textId="77777777" w:rsidR="002F363F" w:rsidRPr="00F2455C" w:rsidRDefault="002F363F" w:rsidP="004302E0">
            <w:pPr>
              <w:rPr>
                <w:rFonts w:cstheme="minorHAnsi"/>
                <w:color w:val="000000"/>
                <w:sz w:val="19"/>
                <w:szCs w:val="19"/>
              </w:rPr>
            </w:pPr>
            <w:r w:rsidRPr="00F2455C">
              <w:rPr>
                <w:rFonts w:cstheme="minorHAnsi"/>
                <w:color w:val="000000"/>
                <w:sz w:val="19"/>
                <w:szCs w:val="19"/>
              </w:rPr>
              <w:t>Avant la mise en vigueur du projet</w:t>
            </w:r>
          </w:p>
        </w:tc>
        <w:tc>
          <w:tcPr>
            <w:tcW w:w="1892" w:type="dxa"/>
          </w:tcPr>
          <w:p w14:paraId="327D2ADD"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Note technique reprenant les critères d’identification des bénéficiaires élaborée par le projet et validée par l’UNCP</w:t>
            </w:r>
          </w:p>
          <w:p w14:paraId="06E226CC" w14:textId="77777777" w:rsidR="002F363F" w:rsidRPr="00F2455C" w:rsidRDefault="002F363F" w:rsidP="004302E0">
            <w:pPr>
              <w:rPr>
                <w:rFonts w:cstheme="minorHAnsi"/>
                <w:color w:val="000000"/>
                <w:sz w:val="19"/>
                <w:szCs w:val="19"/>
              </w:rPr>
            </w:pPr>
          </w:p>
          <w:p w14:paraId="2CF710AA" w14:textId="77777777" w:rsidR="002F363F" w:rsidRPr="00F2455C" w:rsidRDefault="002F363F" w:rsidP="004302E0">
            <w:pPr>
              <w:rPr>
                <w:rFonts w:cstheme="minorHAnsi"/>
                <w:color w:val="000000"/>
                <w:sz w:val="19"/>
                <w:szCs w:val="19"/>
              </w:rPr>
            </w:pPr>
            <w:r w:rsidRPr="00F2455C">
              <w:rPr>
                <w:rFonts w:cstheme="minorHAnsi"/>
                <w:color w:val="000000"/>
                <w:sz w:val="19"/>
                <w:szCs w:val="19"/>
              </w:rPr>
              <w:t xml:space="preserve">Nombre d'unités de transformation des produits agricoles installées </w:t>
            </w:r>
          </w:p>
          <w:p w14:paraId="1D471836" w14:textId="77777777" w:rsidR="002F363F" w:rsidRPr="00F2455C" w:rsidRDefault="002F363F" w:rsidP="004302E0">
            <w:pPr>
              <w:rPr>
                <w:rFonts w:cstheme="minorHAnsi"/>
                <w:color w:val="000000"/>
                <w:sz w:val="19"/>
                <w:szCs w:val="19"/>
              </w:rPr>
            </w:pPr>
          </w:p>
          <w:p w14:paraId="4B7889E9" w14:textId="77777777" w:rsidR="002F363F" w:rsidRPr="00F2455C" w:rsidRDefault="002F363F" w:rsidP="004302E0">
            <w:pPr>
              <w:rPr>
                <w:rFonts w:cstheme="minorHAnsi"/>
                <w:color w:val="000000"/>
                <w:sz w:val="19"/>
                <w:szCs w:val="19"/>
              </w:rPr>
            </w:pPr>
            <w:r w:rsidRPr="00F2455C">
              <w:rPr>
                <w:rFonts w:cstheme="minorHAnsi"/>
                <w:color w:val="000000"/>
                <w:sz w:val="19"/>
                <w:szCs w:val="19"/>
              </w:rPr>
              <w:t>% des femmes participant à la gestion des unités de transformation</w:t>
            </w:r>
          </w:p>
        </w:tc>
        <w:tc>
          <w:tcPr>
            <w:tcW w:w="1511" w:type="dxa"/>
          </w:tcPr>
          <w:p w14:paraId="6A4F959F" w14:textId="77777777" w:rsidR="002F363F" w:rsidRPr="00F2455C" w:rsidRDefault="002F363F" w:rsidP="004302E0">
            <w:pPr>
              <w:rPr>
                <w:rFonts w:cstheme="minorHAnsi"/>
                <w:sz w:val="19"/>
                <w:szCs w:val="19"/>
              </w:rPr>
            </w:pPr>
            <w:r w:rsidRPr="00F2455C">
              <w:rPr>
                <w:rFonts w:cstheme="minorHAnsi"/>
                <w:sz w:val="19"/>
                <w:szCs w:val="19"/>
              </w:rPr>
              <w:t>150000$</w:t>
            </w:r>
          </w:p>
        </w:tc>
      </w:tr>
      <w:tr w:rsidR="002F363F" w:rsidRPr="00F2455C" w14:paraId="3E388962" w14:textId="77777777" w:rsidTr="004302E0">
        <w:trPr>
          <w:gridAfter w:val="1"/>
          <w:wAfter w:w="17" w:type="dxa"/>
        </w:trPr>
        <w:tc>
          <w:tcPr>
            <w:tcW w:w="2430" w:type="dxa"/>
            <w:vMerge/>
          </w:tcPr>
          <w:p w14:paraId="4EDB0D85" w14:textId="77777777" w:rsidR="002F363F" w:rsidRPr="00F2455C" w:rsidRDefault="002F363F" w:rsidP="004302E0">
            <w:pPr>
              <w:rPr>
                <w:rFonts w:cstheme="minorHAnsi"/>
                <w:sz w:val="19"/>
                <w:szCs w:val="19"/>
              </w:rPr>
            </w:pPr>
          </w:p>
        </w:tc>
        <w:tc>
          <w:tcPr>
            <w:tcW w:w="2165" w:type="dxa"/>
            <w:vMerge/>
          </w:tcPr>
          <w:p w14:paraId="44A28BDF" w14:textId="77777777" w:rsidR="002F363F" w:rsidRPr="00F2455C" w:rsidDel="004E395D" w:rsidRDefault="002F363F" w:rsidP="004302E0">
            <w:pPr>
              <w:rPr>
                <w:rFonts w:cstheme="minorHAnsi"/>
                <w:color w:val="000000"/>
                <w:sz w:val="19"/>
                <w:szCs w:val="19"/>
              </w:rPr>
            </w:pPr>
          </w:p>
        </w:tc>
        <w:tc>
          <w:tcPr>
            <w:tcW w:w="2473" w:type="dxa"/>
          </w:tcPr>
          <w:p w14:paraId="2ADCBAB6" w14:textId="77777777" w:rsidR="002F363F" w:rsidRPr="00F2455C" w:rsidRDefault="002F363F" w:rsidP="004302E0">
            <w:pPr>
              <w:rPr>
                <w:rFonts w:cstheme="minorHAnsi"/>
                <w:color w:val="000000"/>
                <w:sz w:val="19"/>
                <w:szCs w:val="19"/>
              </w:rPr>
            </w:pPr>
            <w:r w:rsidRPr="00F2455C">
              <w:rPr>
                <w:rFonts w:cstheme="minorHAnsi"/>
                <w:color w:val="000000"/>
                <w:sz w:val="19"/>
                <w:szCs w:val="19"/>
              </w:rPr>
              <w:t>Impliquer les femmes, et les filles où faisable et approprié, dans les instances de prise de décision dans les différentes structures au niveau communautaire</w:t>
            </w:r>
          </w:p>
        </w:tc>
        <w:tc>
          <w:tcPr>
            <w:tcW w:w="1786" w:type="dxa"/>
          </w:tcPr>
          <w:p w14:paraId="70F3A3A4" w14:textId="77777777" w:rsidR="002F363F" w:rsidRDefault="002F363F" w:rsidP="004302E0">
            <w:pPr>
              <w:rPr>
                <w:rFonts w:cstheme="minorHAnsi"/>
                <w:color w:val="000000"/>
                <w:sz w:val="19"/>
                <w:szCs w:val="19"/>
              </w:rPr>
            </w:pPr>
            <w:r w:rsidRPr="00F2455C">
              <w:rPr>
                <w:rFonts w:cstheme="minorHAnsi"/>
                <w:color w:val="000000"/>
                <w:sz w:val="19"/>
                <w:szCs w:val="19"/>
              </w:rPr>
              <w:t>Spécialiste en VBG</w:t>
            </w:r>
          </w:p>
          <w:p w14:paraId="4DD9CE60" w14:textId="77777777" w:rsidR="002F363F" w:rsidRDefault="002F363F" w:rsidP="004302E0">
            <w:pPr>
              <w:rPr>
                <w:rFonts w:cstheme="minorHAnsi"/>
                <w:color w:val="000000"/>
                <w:sz w:val="19"/>
                <w:szCs w:val="19"/>
              </w:rPr>
            </w:pPr>
          </w:p>
          <w:p w14:paraId="37CF2632" w14:textId="77777777" w:rsidR="002F363F" w:rsidRDefault="002F363F" w:rsidP="004302E0">
            <w:pPr>
              <w:rPr>
                <w:rFonts w:cstheme="minorHAnsi"/>
                <w:color w:val="000000"/>
                <w:sz w:val="19"/>
                <w:szCs w:val="19"/>
              </w:rPr>
            </w:pPr>
            <w:r>
              <w:rPr>
                <w:rFonts w:cstheme="minorHAnsi"/>
                <w:color w:val="000000"/>
                <w:sz w:val="19"/>
                <w:szCs w:val="19"/>
              </w:rPr>
              <w:t>Spécialiste social</w:t>
            </w:r>
          </w:p>
          <w:p w14:paraId="20F92688" w14:textId="77777777" w:rsidR="002F363F" w:rsidRPr="00F2455C" w:rsidRDefault="002F363F" w:rsidP="004302E0">
            <w:pPr>
              <w:rPr>
                <w:rFonts w:cstheme="minorHAnsi"/>
                <w:color w:val="000000"/>
                <w:sz w:val="19"/>
                <w:szCs w:val="19"/>
              </w:rPr>
            </w:pPr>
          </w:p>
          <w:p w14:paraId="1147E522" w14:textId="77777777" w:rsidR="002F363F" w:rsidRPr="00F2455C" w:rsidRDefault="002F363F" w:rsidP="004302E0">
            <w:pPr>
              <w:rPr>
                <w:rFonts w:cstheme="minorHAnsi"/>
                <w:sz w:val="19"/>
                <w:szCs w:val="19"/>
              </w:rPr>
            </w:pPr>
            <w:r w:rsidRPr="00F2455C">
              <w:rPr>
                <w:rFonts w:cstheme="minorHAnsi"/>
                <w:color w:val="000000"/>
                <w:sz w:val="19"/>
                <w:szCs w:val="19"/>
              </w:rPr>
              <w:t>Spécialistes techniques agricoles</w:t>
            </w:r>
          </w:p>
        </w:tc>
        <w:tc>
          <w:tcPr>
            <w:tcW w:w="1746" w:type="dxa"/>
          </w:tcPr>
          <w:p w14:paraId="0E2E05E6" w14:textId="77777777" w:rsidR="002F363F" w:rsidRPr="00F2455C" w:rsidRDefault="002F363F" w:rsidP="004302E0">
            <w:pPr>
              <w:rPr>
                <w:rFonts w:cstheme="minorHAnsi"/>
                <w:sz w:val="19"/>
                <w:szCs w:val="19"/>
              </w:rPr>
            </w:pPr>
            <w:r w:rsidRPr="00F2455C">
              <w:rPr>
                <w:rFonts w:cstheme="minorHAnsi"/>
                <w:color w:val="000000"/>
                <w:sz w:val="19"/>
                <w:szCs w:val="19"/>
              </w:rPr>
              <w:t>Spécialiste en VBG</w:t>
            </w:r>
          </w:p>
        </w:tc>
        <w:tc>
          <w:tcPr>
            <w:tcW w:w="1460" w:type="dxa"/>
          </w:tcPr>
          <w:p w14:paraId="16A4F30B" w14:textId="77777777" w:rsidR="002F363F" w:rsidRPr="00F2455C" w:rsidRDefault="002F363F" w:rsidP="004302E0">
            <w:pPr>
              <w:rPr>
                <w:rFonts w:cstheme="minorHAnsi"/>
                <w:sz w:val="19"/>
                <w:szCs w:val="19"/>
              </w:rPr>
            </w:pPr>
            <w:r w:rsidRPr="00F2455C">
              <w:rPr>
                <w:rFonts w:cstheme="minorHAnsi"/>
                <w:sz w:val="19"/>
                <w:szCs w:val="19"/>
              </w:rPr>
              <w:t>Tout au long de la mise en œuvre du projet</w:t>
            </w:r>
          </w:p>
        </w:tc>
        <w:tc>
          <w:tcPr>
            <w:tcW w:w="1892" w:type="dxa"/>
          </w:tcPr>
          <w:p w14:paraId="510CA019" w14:textId="77777777" w:rsidR="002F363F" w:rsidRPr="00F2455C" w:rsidRDefault="002F363F" w:rsidP="004302E0">
            <w:pPr>
              <w:rPr>
                <w:rFonts w:cstheme="minorHAnsi"/>
                <w:color w:val="000000"/>
                <w:sz w:val="19"/>
                <w:szCs w:val="19"/>
              </w:rPr>
            </w:pPr>
            <w:r w:rsidRPr="00F2455C">
              <w:rPr>
                <w:rFonts w:cstheme="minorHAnsi"/>
                <w:color w:val="000000"/>
                <w:sz w:val="19"/>
                <w:szCs w:val="19"/>
              </w:rPr>
              <w:t>% des femmes et filles participant aux instances de prise en décision</w:t>
            </w:r>
          </w:p>
          <w:p w14:paraId="6C66B446" w14:textId="77777777" w:rsidR="002F363F" w:rsidRPr="00F2455C" w:rsidRDefault="002F363F" w:rsidP="004302E0">
            <w:pPr>
              <w:rPr>
                <w:rFonts w:cstheme="minorHAnsi"/>
                <w:color w:val="000000"/>
                <w:sz w:val="19"/>
                <w:szCs w:val="19"/>
              </w:rPr>
            </w:pPr>
          </w:p>
          <w:p w14:paraId="3B1ECF6D"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et % des femmes impliquées dans le processus d'attribution d'intrants agricoles</w:t>
            </w:r>
          </w:p>
          <w:p w14:paraId="280854F4" w14:textId="77777777" w:rsidR="002F363F" w:rsidRPr="00F2455C" w:rsidRDefault="002F363F" w:rsidP="004302E0">
            <w:pPr>
              <w:rPr>
                <w:rFonts w:cstheme="minorHAnsi"/>
                <w:color w:val="000000"/>
                <w:sz w:val="19"/>
                <w:szCs w:val="19"/>
              </w:rPr>
            </w:pPr>
          </w:p>
          <w:p w14:paraId="62AFCBA3"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des outils de sensibilisation distribués et implantés</w:t>
            </w:r>
          </w:p>
          <w:p w14:paraId="0D24127F" w14:textId="77777777" w:rsidR="002F363F" w:rsidRPr="00F2455C" w:rsidRDefault="002F363F" w:rsidP="004302E0">
            <w:pPr>
              <w:rPr>
                <w:rFonts w:cstheme="minorHAnsi"/>
                <w:color w:val="000000"/>
                <w:sz w:val="19"/>
                <w:szCs w:val="19"/>
              </w:rPr>
            </w:pPr>
          </w:p>
          <w:p w14:paraId="3BE6434A"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et % des femmes qui siègent dans les instances de prise de décision dans les entreprises et dans des comités de gestion des plaintes</w:t>
            </w:r>
          </w:p>
        </w:tc>
        <w:tc>
          <w:tcPr>
            <w:tcW w:w="1511" w:type="dxa"/>
          </w:tcPr>
          <w:p w14:paraId="0BB04DB8" w14:textId="77777777" w:rsidR="002F363F" w:rsidRDefault="002F363F" w:rsidP="004302E0">
            <w:pPr>
              <w:rPr>
                <w:rFonts w:cstheme="minorHAnsi"/>
                <w:sz w:val="19"/>
                <w:szCs w:val="19"/>
              </w:rPr>
            </w:pPr>
          </w:p>
          <w:p w14:paraId="05A24B89" w14:textId="77777777" w:rsidR="002F363F" w:rsidRPr="00F2455C" w:rsidRDefault="002F363F" w:rsidP="004302E0">
            <w:pPr>
              <w:rPr>
                <w:rFonts w:cstheme="minorHAnsi"/>
                <w:sz w:val="19"/>
                <w:szCs w:val="19"/>
              </w:rPr>
            </w:pPr>
            <w:r>
              <w:rPr>
                <w:rFonts w:cstheme="minorHAnsi"/>
                <w:sz w:val="19"/>
                <w:szCs w:val="19"/>
              </w:rPr>
              <w:t>Pas de couts.</w:t>
            </w:r>
          </w:p>
        </w:tc>
      </w:tr>
      <w:tr w:rsidR="002F363F" w:rsidRPr="00F2455C" w14:paraId="61B8CAE9" w14:textId="77777777" w:rsidTr="004302E0">
        <w:trPr>
          <w:gridAfter w:val="1"/>
          <w:wAfter w:w="17" w:type="dxa"/>
        </w:trPr>
        <w:tc>
          <w:tcPr>
            <w:tcW w:w="2430" w:type="dxa"/>
          </w:tcPr>
          <w:p w14:paraId="19FB3A70" w14:textId="77777777" w:rsidR="002F363F" w:rsidRPr="00F2455C" w:rsidRDefault="002F363F" w:rsidP="004302E0">
            <w:pPr>
              <w:rPr>
                <w:rFonts w:cstheme="minorHAnsi"/>
                <w:b/>
                <w:bCs/>
                <w:color w:val="000000"/>
                <w:sz w:val="19"/>
                <w:szCs w:val="19"/>
              </w:rPr>
            </w:pPr>
            <w:r w:rsidRPr="00F2455C">
              <w:rPr>
                <w:rFonts w:cstheme="minorHAnsi"/>
                <w:b/>
                <w:bCs/>
                <w:color w:val="000000"/>
                <w:sz w:val="19"/>
                <w:szCs w:val="19"/>
              </w:rPr>
              <w:t>Composante 3 : Biens et services publics agricoles</w:t>
            </w:r>
          </w:p>
          <w:p w14:paraId="55FD9940" w14:textId="77777777" w:rsidR="002F363F" w:rsidRPr="00F2455C" w:rsidRDefault="002F363F" w:rsidP="004302E0">
            <w:pPr>
              <w:rPr>
                <w:rFonts w:cstheme="minorHAnsi"/>
                <w:color w:val="000000"/>
                <w:sz w:val="19"/>
                <w:szCs w:val="19"/>
              </w:rPr>
            </w:pPr>
          </w:p>
          <w:p w14:paraId="7CED1FC9" w14:textId="77777777" w:rsidR="002F363F" w:rsidRPr="00F2455C" w:rsidRDefault="002F363F" w:rsidP="004302E0">
            <w:pPr>
              <w:pStyle w:val="Paragraphedeliste"/>
              <w:numPr>
                <w:ilvl w:val="1"/>
                <w:numId w:val="175"/>
              </w:numPr>
              <w:spacing w:line="240" w:lineRule="auto"/>
              <w:contextualSpacing w:val="0"/>
              <w:jc w:val="left"/>
              <w:rPr>
                <w:rFonts w:cstheme="minorHAnsi"/>
                <w:color w:val="000000"/>
                <w:sz w:val="19"/>
                <w:szCs w:val="19"/>
              </w:rPr>
            </w:pPr>
            <w:r w:rsidRPr="00F2455C">
              <w:rPr>
                <w:rFonts w:cstheme="minorHAnsi"/>
                <w:color w:val="000000"/>
                <w:sz w:val="19"/>
                <w:szCs w:val="19"/>
              </w:rPr>
              <w:t>Renforcement des capacités pour la fourniture de services publics agricoles</w:t>
            </w:r>
          </w:p>
          <w:p w14:paraId="2FE965AB" w14:textId="77777777" w:rsidR="002F363F" w:rsidRPr="00F2455C" w:rsidRDefault="002F363F" w:rsidP="004302E0">
            <w:pPr>
              <w:rPr>
                <w:rFonts w:cstheme="minorHAnsi"/>
                <w:sz w:val="19"/>
                <w:szCs w:val="19"/>
              </w:rPr>
            </w:pPr>
          </w:p>
          <w:p w14:paraId="27EE3082" w14:textId="77777777" w:rsidR="002F363F" w:rsidRPr="00F2455C" w:rsidRDefault="002F363F" w:rsidP="004302E0">
            <w:pPr>
              <w:rPr>
                <w:rFonts w:cstheme="minorHAnsi"/>
                <w:sz w:val="19"/>
                <w:szCs w:val="19"/>
              </w:rPr>
            </w:pPr>
            <w:r w:rsidRPr="00F2455C">
              <w:rPr>
                <w:rFonts w:cstheme="minorHAnsi"/>
                <w:color w:val="000000"/>
                <w:sz w:val="19"/>
                <w:szCs w:val="19"/>
              </w:rPr>
              <w:t>Renforcement des capacités des Ministères clés (Agriculture, Pêche et Élevage, des Affaires Foncières et du Développement Rural) pour la fourniture de services publics agricoles</w:t>
            </w:r>
          </w:p>
        </w:tc>
        <w:tc>
          <w:tcPr>
            <w:tcW w:w="2165" w:type="dxa"/>
          </w:tcPr>
          <w:p w14:paraId="77C7A777" w14:textId="77777777" w:rsidR="002F363F" w:rsidRPr="00F2455C" w:rsidRDefault="002F363F" w:rsidP="004302E0">
            <w:pPr>
              <w:rPr>
                <w:rFonts w:cstheme="minorHAnsi"/>
                <w:color w:val="000000"/>
                <w:sz w:val="19"/>
                <w:szCs w:val="19"/>
              </w:rPr>
            </w:pPr>
            <w:r w:rsidRPr="00F2455C">
              <w:rPr>
                <w:rFonts w:cstheme="minorHAnsi"/>
                <w:color w:val="000000"/>
                <w:sz w:val="19"/>
                <w:szCs w:val="19"/>
              </w:rPr>
              <w:t>Risque de non implication des femmes aux Ministères clés (Agriculture, Pêche et Élevage, des Affaires Foncières et du Développement Rural)</w:t>
            </w:r>
          </w:p>
        </w:tc>
        <w:tc>
          <w:tcPr>
            <w:tcW w:w="2473" w:type="dxa"/>
          </w:tcPr>
          <w:p w14:paraId="417081EE" w14:textId="77777777" w:rsidR="002F363F" w:rsidRPr="00F2455C" w:rsidRDefault="002F363F" w:rsidP="004302E0">
            <w:pPr>
              <w:rPr>
                <w:rFonts w:cstheme="minorHAnsi"/>
                <w:sz w:val="19"/>
                <w:szCs w:val="19"/>
              </w:rPr>
            </w:pPr>
            <w:r w:rsidRPr="00F2455C">
              <w:rPr>
                <w:rFonts w:cstheme="minorHAnsi"/>
                <w:sz w:val="19"/>
                <w:szCs w:val="19"/>
              </w:rPr>
              <w:t xml:space="preserve">Organiser des journées de réflexion et des ateliers de formation sur les </w:t>
            </w:r>
            <w:r>
              <w:rPr>
                <w:rFonts w:cstheme="minorHAnsi"/>
                <w:sz w:val="19"/>
                <w:szCs w:val="19"/>
              </w:rPr>
              <w:t xml:space="preserve">risques de </w:t>
            </w:r>
            <w:r w:rsidRPr="00F2455C">
              <w:rPr>
                <w:rFonts w:cstheme="minorHAnsi"/>
                <w:sz w:val="19"/>
                <w:szCs w:val="19"/>
              </w:rPr>
              <w:t>VBG</w:t>
            </w:r>
            <w:r>
              <w:rPr>
                <w:rFonts w:cstheme="minorHAnsi"/>
                <w:sz w:val="19"/>
                <w:szCs w:val="19"/>
              </w:rPr>
              <w:t>/</w:t>
            </w:r>
            <w:r w:rsidRPr="00F2455C">
              <w:rPr>
                <w:rFonts w:cstheme="minorHAnsi"/>
                <w:sz w:val="19"/>
                <w:szCs w:val="19"/>
              </w:rPr>
              <w:t>EAHS</w:t>
            </w:r>
            <w:r>
              <w:rPr>
                <w:rFonts w:cstheme="minorHAnsi"/>
                <w:sz w:val="19"/>
                <w:szCs w:val="19"/>
              </w:rPr>
              <w:t xml:space="preserve"> et les actions de prévention, atténuation, et réponse</w:t>
            </w:r>
          </w:p>
          <w:p w14:paraId="1435717D" w14:textId="77777777" w:rsidR="002F363F" w:rsidRPr="00F2455C" w:rsidRDefault="002F363F" w:rsidP="004302E0">
            <w:pPr>
              <w:rPr>
                <w:rFonts w:cstheme="minorHAnsi"/>
                <w:sz w:val="19"/>
                <w:szCs w:val="19"/>
              </w:rPr>
            </w:pPr>
          </w:p>
          <w:p w14:paraId="614F7CB5" w14:textId="77777777" w:rsidR="002F363F" w:rsidRPr="00F2455C" w:rsidRDefault="002F363F" w:rsidP="004302E0">
            <w:pPr>
              <w:rPr>
                <w:rFonts w:cstheme="minorHAnsi"/>
                <w:sz w:val="19"/>
                <w:szCs w:val="19"/>
              </w:rPr>
            </w:pPr>
            <w:r w:rsidRPr="00F2455C">
              <w:rPr>
                <w:rFonts w:cstheme="minorHAnsi"/>
                <w:color w:val="000000"/>
                <w:sz w:val="19"/>
                <w:szCs w:val="19"/>
              </w:rPr>
              <w:t>Sensibiliser les principaux acteurs au niveau de l’UNCP et du Ministère sur les questions et les stratégies de prévention et de lutte contre les VBG, l'exclusion sociale, et la non-discrimination</w:t>
            </w:r>
          </w:p>
        </w:tc>
        <w:tc>
          <w:tcPr>
            <w:tcW w:w="1786" w:type="dxa"/>
          </w:tcPr>
          <w:p w14:paraId="417023B7"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0616F5E8" w14:textId="77777777" w:rsidR="002F363F" w:rsidRPr="00F2455C" w:rsidRDefault="002F363F" w:rsidP="004302E0">
            <w:pPr>
              <w:rPr>
                <w:rFonts w:cstheme="minorHAnsi"/>
                <w:color w:val="000000"/>
                <w:sz w:val="19"/>
                <w:szCs w:val="19"/>
              </w:rPr>
            </w:pPr>
          </w:p>
          <w:p w14:paraId="39E47144"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social</w:t>
            </w:r>
          </w:p>
        </w:tc>
        <w:tc>
          <w:tcPr>
            <w:tcW w:w="1746" w:type="dxa"/>
          </w:tcPr>
          <w:p w14:paraId="0BDA0916" w14:textId="77777777" w:rsidR="002F363F" w:rsidRPr="00F2455C" w:rsidRDefault="002F363F" w:rsidP="004302E0">
            <w:pPr>
              <w:rPr>
                <w:rFonts w:cstheme="minorHAnsi"/>
                <w:sz w:val="19"/>
                <w:szCs w:val="19"/>
              </w:rPr>
            </w:pPr>
            <w:r w:rsidRPr="00F2455C">
              <w:rPr>
                <w:rFonts w:cstheme="minorHAnsi"/>
                <w:color w:val="000000"/>
                <w:sz w:val="19"/>
                <w:szCs w:val="19"/>
              </w:rPr>
              <w:t>Spécialiste en VBG</w:t>
            </w:r>
            <w:r w:rsidRPr="00F2455C" w:rsidDel="004D1317">
              <w:rPr>
                <w:rFonts w:cstheme="minorHAnsi"/>
                <w:sz w:val="19"/>
                <w:szCs w:val="19"/>
              </w:rPr>
              <w:t xml:space="preserve"> </w:t>
            </w:r>
          </w:p>
        </w:tc>
        <w:tc>
          <w:tcPr>
            <w:tcW w:w="1460" w:type="dxa"/>
          </w:tcPr>
          <w:p w14:paraId="469B3A21" w14:textId="77777777" w:rsidR="002F363F" w:rsidRPr="00F2455C" w:rsidRDefault="002F363F" w:rsidP="004302E0">
            <w:pPr>
              <w:rPr>
                <w:rFonts w:cstheme="minorHAnsi"/>
                <w:sz w:val="19"/>
                <w:szCs w:val="19"/>
              </w:rPr>
            </w:pPr>
            <w:r w:rsidRPr="00F2455C">
              <w:rPr>
                <w:rFonts w:cstheme="minorHAnsi"/>
                <w:color w:val="000000"/>
                <w:sz w:val="19"/>
                <w:szCs w:val="19"/>
              </w:rPr>
              <w:t>Tout au long de la mise en œuvre du projet</w:t>
            </w:r>
          </w:p>
        </w:tc>
        <w:tc>
          <w:tcPr>
            <w:tcW w:w="1892" w:type="dxa"/>
          </w:tcPr>
          <w:p w14:paraId="4C11D31D" w14:textId="77777777" w:rsidR="002F363F" w:rsidRPr="00F2455C" w:rsidRDefault="002F363F" w:rsidP="004302E0">
            <w:pPr>
              <w:rPr>
                <w:rFonts w:cstheme="minorHAnsi"/>
                <w:color w:val="000000"/>
                <w:sz w:val="19"/>
                <w:szCs w:val="19"/>
              </w:rPr>
            </w:pPr>
            <w:r w:rsidRPr="00F2455C">
              <w:rPr>
                <w:rFonts w:cstheme="minorHAnsi"/>
                <w:color w:val="000000"/>
                <w:sz w:val="19"/>
                <w:szCs w:val="19"/>
              </w:rPr>
              <w:t xml:space="preserve">Nombre de journées de réflexion et d’ateliers de formation organisées </w:t>
            </w:r>
          </w:p>
          <w:p w14:paraId="62DCD22E" w14:textId="77777777" w:rsidR="002F363F" w:rsidRPr="00F2455C" w:rsidRDefault="002F363F" w:rsidP="004302E0">
            <w:pPr>
              <w:rPr>
                <w:rFonts w:cstheme="minorHAnsi"/>
                <w:color w:val="000000"/>
                <w:sz w:val="19"/>
                <w:szCs w:val="19"/>
              </w:rPr>
            </w:pPr>
          </w:p>
          <w:p w14:paraId="4C7815F6"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 sensibilisations organisées</w:t>
            </w:r>
          </w:p>
          <w:p w14:paraId="35EF63BF" w14:textId="77777777" w:rsidR="002F363F" w:rsidRPr="00F2455C" w:rsidRDefault="002F363F" w:rsidP="004302E0">
            <w:pPr>
              <w:rPr>
                <w:rFonts w:cstheme="minorHAnsi"/>
                <w:color w:val="000000"/>
                <w:sz w:val="19"/>
                <w:szCs w:val="19"/>
              </w:rPr>
            </w:pPr>
          </w:p>
          <w:p w14:paraId="3BD26703"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 participant(e)s aux sensibilisations (ventilés par sexe)</w:t>
            </w:r>
          </w:p>
          <w:p w14:paraId="11C6A2A7" w14:textId="77777777" w:rsidR="002F363F" w:rsidRPr="00F2455C" w:rsidRDefault="002F363F" w:rsidP="004302E0">
            <w:pPr>
              <w:rPr>
                <w:rFonts w:cstheme="minorHAnsi"/>
                <w:color w:val="000000"/>
                <w:sz w:val="19"/>
                <w:szCs w:val="19"/>
              </w:rPr>
            </w:pPr>
          </w:p>
          <w:p w14:paraId="0C5A9BDD" w14:textId="77777777" w:rsidR="002F363F" w:rsidRPr="00F2455C" w:rsidRDefault="002F363F" w:rsidP="004302E0">
            <w:pPr>
              <w:rPr>
                <w:rFonts w:cstheme="minorHAnsi"/>
                <w:color w:val="000000"/>
                <w:sz w:val="19"/>
                <w:szCs w:val="19"/>
              </w:rPr>
            </w:pPr>
            <w:r w:rsidRPr="00F2455C">
              <w:rPr>
                <w:rFonts w:cstheme="minorHAnsi"/>
                <w:color w:val="000000"/>
                <w:sz w:val="19"/>
                <w:szCs w:val="19"/>
              </w:rPr>
              <w:t>Nombre de personnel formés ou sensibilisés (ventilés par sexe)</w:t>
            </w:r>
          </w:p>
          <w:p w14:paraId="0B1A33CC" w14:textId="77777777" w:rsidR="002F363F" w:rsidRPr="00F2455C" w:rsidRDefault="002F363F" w:rsidP="004302E0">
            <w:pPr>
              <w:rPr>
                <w:rFonts w:cstheme="minorHAnsi"/>
                <w:color w:val="000000"/>
                <w:sz w:val="19"/>
                <w:szCs w:val="19"/>
              </w:rPr>
            </w:pPr>
          </w:p>
          <w:p w14:paraId="0741C9AB" w14:textId="77777777" w:rsidR="002F363F" w:rsidRPr="00F2455C" w:rsidRDefault="002F363F" w:rsidP="004302E0">
            <w:pPr>
              <w:rPr>
                <w:rFonts w:cstheme="minorHAnsi"/>
                <w:sz w:val="19"/>
                <w:szCs w:val="19"/>
              </w:rPr>
            </w:pPr>
            <w:r w:rsidRPr="00F2455C">
              <w:rPr>
                <w:rFonts w:cstheme="minorHAnsi"/>
                <w:color w:val="000000"/>
                <w:sz w:val="19"/>
                <w:szCs w:val="19"/>
              </w:rPr>
              <w:t>% de personnel formés qui obtiennent une note de 70% sur le post-test</w:t>
            </w:r>
          </w:p>
        </w:tc>
        <w:tc>
          <w:tcPr>
            <w:tcW w:w="1511" w:type="dxa"/>
          </w:tcPr>
          <w:p w14:paraId="01E24D36" w14:textId="77777777" w:rsidR="002F363F" w:rsidRPr="00F2455C" w:rsidRDefault="002F363F" w:rsidP="004302E0">
            <w:pPr>
              <w:rPr>
                <w:rFonts w:cstheme="minorHAnsi"/>
                <w:sz w:val="19"/>
                <w:szCs w:val="19"/>
              </w:rPr>
            </w:pPr>
            <w:r w:rsidRPr="00F2455C">
              <w:rPr>
                <w:rFonts w:cstheme="minorHAnsi"/>
                <w:sz w:val="19"/>
                <w:szCs w:val="19"/>
              </w:rPr>
              <w:t>100000$</w:t>
            </w:r>
          </w:p>
        </w:tc>
      </w:tr>
      <w:tr w:rsidR="002F363F" w:rsidRPr="00F2455C" w14:paraId="4BEEBB9E" w14:textId="77777777" w:rsidTr="004302E0">
        <w:trPr>
          <w:gridAfter w:val="1"/>
          <w:wAfter w:w="17" w:type="dxa"/>
        </w:trPr>
        <w:tc>
          <w:tcPr>
            <w:tcW w:w="2430" w:type="dxa"/>
          </w:tcPr>
          <w:p w14:paraId="094D32A1" w14:textId="77777777" w:rsidR="002F363F" w:rsidRPr="00F2455C" w:rsidRDefault="002F363F" w:rsidP="004302E0">
            <w:pPr>
              <w:pStyle w:val="Paragraphedeliste"/>
              <w:numPr>
                <w:ilvl w:val="1"/>
                <w:numId w:val="175"/>
              </w:numPr>
              <w:spacing w:line="240" w:lineRule="auto"/>
              <w:contextualSpacing w:val="0"/>
              <w:jc w:val="left"/>
              <w:rPr>
                <w:rFonts w:cstheme="minorHAnsi"/>
                <w:color w:val="000000"/>
                <w:sz w:val="19"/>
                <w:szCs w:val="19"/>
              </w:rPr>
            </w:pPr>
            <w:r w:rsidRPr="00F2455C">
              <w:rPr>
                <w:rFonts w:cstheme="minorHAnsi"/>
                <w:color w:val="000000"/>
                <w:sz w:val="19"/>
                <w:szCs w:val="19"/>
              </w:rPr>
              <w:t>Gestion, suivi et évaluation du programme</w:t>
            </w:r>
          </w:p>
          <w:p w14:paraId="719BF6C5" w14:textId="77777777" w:rsidR="002F363F" w:rsidRPr="00F2455C" w:rsidRDefault="002F363F" w:rsidP="004302E0">
            <w:pPr>
              <w:rPr>
                <w:rFonts w:cstheme="minorHAnsi"/>
                <w:color w:val="000000"/>
                <w:sz w:val="19"/>
                <w:szCs w:val="19"/>
              </w:rPr>
            </w:pPr>
          </w:p>
          <w:p w14:paraId="0756CAD2" w14:textId="77777777" w:rsidR="002F363F" w:rsidRPr="00F2455C" w:rsidRDefault="002F363F" w:rsidP="004302E0">
            <w:pPr>
              <w:rPr>
                <w:rFonts w:cstheme="minorHAnsi"/>
                <w:sz w:val="19"/>
                <w:szCs w:val="19"/>
              </w:rPr>
            </w:pPr>
            <w:r w:rsidRPr="00F2455C">
              <w:rPr>
                <w:rFonts w:cstheme="minorHAnsi"/>
                <w:color w:val="000000"/>
                <w:sz w:val="19"/>
                <w:szCs w:val="19"/>
              </w:rPr>
              <w:t>Missions de supervision et d'évaluation, dissémination des informations sur le programme, et recrutement du personnel</w:t>
            </w:r>
          </w:p>
        </w:tc>
        <w:tc>
          <w:tcPr>
            <w:tcW w:w="2165" w:type="dxa"/>
          </w:tcPr>
          <w:p w14:paraId="27AF9975" w14:textId="77777777" w:rsidR="002F363F" w:rsidRPr="00F2455C" w:rsidRDefault="002F363F" w:rsidP="004302E0">
            <w:pPr>
              <w:rPr>
                <w:rFonts w:cstheme="minorHAnsi"/>
                <w:color w:val="000000"/>
                <w:sz w:val="19"/>
                <w:szCs w:val="19"/>
              </w:rPr>
            </w:pPr>
            <w:r w:rsidRPr="00F2455C">
              <w:rPr>
                <w:rFonts w:cstheme="minorHAnsi"/>
                <w:color w:val="000000"/>
                <w:sz w:val="19"/>
                <w:szCs w:val="19"/>
              </w:rPr>
              <w:t>Risque que les activités de surveillance ne tiennent pas compte de considérations ethniques essentielles relatives à la collecte des données sur le VBG et les MGP</w:t>
            </w:r>
            <w:r w:rsidRPr="00F2455C">
              <w:rPr>
                <w:rFonts w:cstheme="minorHAnsi"/>
                <w:color w:val="000000"/>
                <w:sz w:val="19"/>
                <w:szCs w:val="19"/>
              </w:rPr>
              <w:br/>
            </w:r>
          </w:p>
          <w:p w14:paraId="169ED5B4" w14:textId="77777777" w:rsidR="002F363F" w:rsidRPr="00F2455C" w:rsidRDefault="002F363F" w:rsidP="004302E0">
            <w:pPr>
              <w:rPr>
                <w:rFonts w:cstheme="minorHAnsi"/>
                <w:color w:val="000000"/>
                <w:sz w:val="19"/>
                <w:szCs w:val="19"/>
              </w:rPr>
            </w:pPr>
            <w:r w:rsidRPr="00F2455C">
              <w:rPr>
                <w:rFonts w:cstheme="minorHAnsi"/>
                <w:color w:val="000000"/>
                <w:sz w:val="19"/>
                <w:szCs w:val="19"/>
              </w:rPr>
              <w:t>Risque que les parties prenantes et le personnel du programme ne soient pas sensibles au genre</w:t>
            </w:r>
          </w:p>
        </w:tc>
        <w:tc>
          <w:tcPr>
            <w:tcW w:w="2473" w:type="dxa"/>
          </w:tcPr>
          <w:p w14:paraId="667916B5" w14:textId="77777777" w:rsidR="002F363F" w:rsidRPr="00F2455C" w:rsidRDefault="002F363F" w:rsidP="004302E0">
            <w:pPr>
              <w:rPr>
                <w:rFonts w:cstheme="minorHAnsi"/>
                <w:color w:val="000000"/>
                <w:sz w:val="19"/>
                <w:szCs w:val="19"/>
              </w:rPr>
            </w:pPr>
            <w:r>
              <w:rPr>
                <w:rFonts w:cstheme="minorHAnsi"/>
                <w:color w:val="000000"/>
                <w:sz w:val="19"/>
                <w:szCs w:val="19"/>
              </w:rPr>
              <w:t>Voir ci-dessus</w:t>
            </w:r>
          </w:p>
        </w:tc>
        <w:tc>
          <w:tcPr>
            <w:tcW w:w="1786" w:type="dxa"/>
          </w:tcPr>
          <w:p w14:paraId="4E69000F"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2D342547" w14:textId="77777777" w:rsidR="002F363F" w:rsidRPr="00F2455C" w:rsidRDefault="002F363F" w:rsidP="004302E0">
            <w:pPr>
              <w:rPr>
                <w:rFonts w:cstheme="minorHAnsi"/>
                <w:color w:val="000000"/>
                <w:sz w:val="19"/>
                <w:szCs w:val="19"/>
              </w:rPr>
            </w:pPr>
          </w:p>
          <w:p w14:paraId="4486E8DD" w14:textId="77777777" w:rsidR="002F363F" w:rsidRPr="00F2455C" w:rsidRDefault="002F363F" w:rsidP="004302E0">
            <w:pPr>
              <w:rPr>
                <w:rFonts w:cstheme="minorHAnsi"/>
                <w:sz w:val="19"/>
                <w:szCs w:val="19"/>
              </w:rPr>
            </w:pPr>
            <w:r w:rsidRPr="00F2455C">
              <w:rPr>
                <w:rFonts w:cstheme="minorHAnsi"/>
                <w:color w:val="000000"/>
                <w:sz w:val="19"/>
                <w:szCs w:val="19"/>
              </w:rPr>
              <w:t>Spécialiste en S&amp;E</w:t>
            </w:r>
          </w:p>
        </w:tc>
        <w:tc>
          <w:tcPr>
            <w:tcW w:w="1746" w:type="dxa"/>
          </w:tcPr>
          <w:p w14:paraId="06A0387C" w14:textId="77777777" w:rsidR="002F363F" w:rsidRPr="00F2455C" w:rsidRDefault="002F363F" w:rsidP="004302E0">
            <w:pPr>
              <w:rPr>
                <w:rFonts w:cstheme="minorHAnsi"/>
                <w:color w:val="000000"/>
                <w:sz w:val="19"/>
                <w:szCs w:val="19"/>
              </w:rPr>
            </w:pPr>
            <w:r w:rsidRPr="00F2455C">
              <w:rPr>
                <w:rFonts w:cstheme="minorHAnsi"/>
                <w:color w:val="000000"/>
                <w:sz w:val="19"/>
                <w:szCs w:val="19"/>
              </w:rPr>
              <w:t>Spécialiste en VBG</w:t>
            </w:r>
          </w:p>
          <w:p w14:paraId="4BA3AA7D" w14:textId="77777777" w:rsidR="002F363F" w:rsidRPr="00F2455C" w:rsidRDefault="002F363F" w:rsidP="004302E0">
            <w:pPr>
              <w:rPr>
                <w:rFonts w:cstheme="minorHAnsi"/>
                <w:color w:val="000000"/>
                <w:sz w:val="19"/>
                <w:szCs w:val="19"/>
              </w:rPr>
            </w:pPr>
          </w:p>
          <w:p w14:paraId="60D05526" w14:textId="77777777" w:rsidR="002F363F" w:rsidRPr="00F2455C" w:rsidRDefault="002F363F" w:rsidP="004302E0">
            <w:pPr>
              <w:rPr>
                <w:rFonts w:cstheme="minorHAnsi"/>
                <w:sz w:val="19"/>
                <w:szCs w:val="19"/>
              </w:rPr>
            </w:pPr>
            <w:r w:rsidRPr="00F2455C">
              <w:rPr>
                <w:rFonts w:cstheme="minorHAnsi"/>
                <w:color w:val="000000"/>
                <w:sz w:val="19"/>
                <w:szCs w:val="19"/>
              </w:rPr>
              <w:t>Spécialiste en S&amp;E</w:t>
            </w:r>
          </w:p>
        </w:tc>
        <w:tc>
          <w:tcPr>
            <w:tcW w:w="1460" w:type="dxa"/>
          </w:tcPr>
          <w:p w14:paraId="335F878B" w14:textId="77777777" w:rsidR="002F363F" w:rsidRPr="00F2455C" w:rsidRDefault="002F363F" w:rsidP="004302E0">
            <w:pPr>
              <w:rPr>
                <w:rFonts w:cstheme="minorHAnsi"/>
                <w:sz w:val="19"/>
                <w:szCs w:val="19"/>
              </w:rPr>
            </w:pPr>
            <w:r w:rsidRPr="00F2455C">
              <w:rPr>
                <w:rFonts w:cstheme="minorHAnsi"/>
                <w:color w:val="000000"/>
                <w:sz w:val="19"/>
                <w:szCs w:val="19"/>
              </w:rPr>
              <w:t xml:space="preserve">Avant la mise en vigueur du projet et pendant toute la </w:t>
            </w:r>
            <w:r>
              <w:rPr>
                <w:rFonts w:cstheme="minorHAnsi"/>
                <w:color w:val="000000"/>
                <w:sz w:val="19"/>
                <w:szCs w:val="19"/>
              </w:rPr>
              <w:t>durée</w:t>
            </w:r>
            <w:r w:rsidRPr="00F2455C">
              <w:rPr>
                <w:rFonts w:cstheme="minorHAnsi"/>
                <w:color w:val="000000"/>
                <w:sz w:val="19"/>
                <w:szCs w:val="19"/>
              </w:rPr>
              <w:t xml:space="preserve"> du projet</w:t>
            </w:r>
          </w:p>
        </w:tc>
        <w:tc>
          <w:tcPr>
            <w:tcW w:w="1892" w:type="dxa"/>
          </w:tcPr>
          <w:p w14:paraId="72DFB92F" w14:textId="77777777" w:rsidR="002F363F" w:rsidRPr="00F2455C" w:rsidRDefault="002F363F" w:rsidP="004302E0">
            <w:pPr>
              <w:rPr>
                <w:rFonts w:cstheme="minorHAnsi"/>
                <w:sz w:val="19"/>
                <w:szCs w:val="19"/>
              </w:rPr>
            </w:pPr>
            <w:r>
              <w:rPr>
                <w:rFonts w:cstheme="minorHAnsi"/>
                <w:color w:val="000000"/>
                <w:sz w:val="19"/>
                <w:szCs w:val="19"/>
              </w:rPr>
              <w:t>Voir ci-dessus</w:t>
            </w:r>
          </w:p>
        </w:tc>
        <w:tc>
          <w:tcPr>
            <w:tcW w:w="1511" w:type="dxa"/>
          </w:tcPr>
          <w:p w14:paraId="0BD02A2D" w14:textId="77777777" w:rsidR="002F363F" w:rsidRPr="00F2455C" w:rsidRDefault="002F363F" w:rsidP="004302E0">
            <w:pPr>
              <w:rPr>
                <w:rFonts w:cstheme="minorHAnsi"/>
                <w:sz w:val="19"/>
                <w:szCs w:val="19"/>
              </w:rPr>
            </w:pPr>
            <w:r w:rsidRPr="00F2455C">
              <w:rPr>
                <w:rFonts w:cstheme="minorHAnsi"/>
                <w:color w:val="000000"/>
                <w:sz w:val="19"/>
                <w:szCs w:val="19"/>
              </w:rPr>
              <w:t>200000$</w:t>
            </w:r>
          </w:p>
        </w:tc>
      </w:tr>
      <w:tr w:rsidR="002F363F" w:rsidRPr="00F2455C" w14:paraId="38C2E2E9" w14:textId="77777777" w:rsidTr="004302E0">
        <w:trPr>
          <w:gridAfter w:val="1"/>
          <w:wAfter w:w="17" w:type="dxa"/>
        </w:trPr>
        <w:tc>
          <w:tcPr>
            <w:tcW w:w="2430" w:type="dxa"/>
          </w:tcPr>
          <w:p w14:paraId="20A069E0" w14:textId="77777777" w:rsidR="002F363F" w:rsidRPr="00F2455C" w:rsidRDefault="002F363F" w:rsidP="004302E0">
            <w:pPr>
              <w:rPr>
                <w:rFonts w:cstheme="minorHAnsi"/>
                <w:b/>
                <w:bCs/>
                <w:color w:val="000000"/>
                <w:sz w:val="19"/>
                <w:szCs w:val="19"/>
              </w:rPr>
            </w:pPr>
            <w:r w:rsidRPr="00F2455C">
              <w:rPr>
                <w:rFonts w:cstheme="minorHAnsi"/>
                <w:b/>
                <w:bCs/>
                <w:color w:val="000000"/>
                <w:sz w:val="19"/>
                <w:szCs w:val="19"/>
              </w:rPr>
              <w:t>Composante 4 : Intervention d'urgence agricole</w:t>
            </w:r>
          </w:p>
          <w:p w14:paraId="450A892C" w14:textId="77777777" w:rsidR="002F363F" w:rsidRPr="00F2455C" w:rsidRDefault="002F363F" w:rsidP="004302E0">
            <w:pPr>
              <w:rPr>
                <w:rFonts w:cstheme="minorHAnsi"/>
                <w:color w:val="000000"/>
                <w:sz w:val="19"/>
                <w:szCs w:val="19"/>
              </w:rPr>
            </w:pPr>
          </w:p>
          <w:p w14:paraId="403D2BCF" w14:textId="77777777" w:rsidR="002F363F" w:rsidRPr="00F2455C" w:rsidRDefault="002F363F" w:rsidP="004302E0">
            <w:pPr>
              <w:pStyle w:val="Paragraphedeliste"/>
              <w:numPr>
                <w:ilvl w:val="1"/>
                <w:numId w:val="176"/>
              </w:numPr>
              <w:spacing w:line="240" w:lineRule="auto"/>
              <w:contextualSpacing w:val="0"/>
              <w:jc w:val="left"/>
              <w:rPr>
                <w:rFonts w:cstheme="minorHAnsi"/>
                <w:color w:val="000000"/>
                <w:sz w:val="19"/>
                <w:szCs w:val="19"/>
              </w:rPr>
            </w:pPr>
            <w:r w:rsidRPr="00F2455C">
              <w:rPr>
                <w:rFonts w:cstheme="minorHAnsi"/>
                <w:color w:val="000000"/>
                <w:sz w:val="19"/>
                <w:szCs w:val="19"/>
              </w:rPr>
              <w:t>Gestion des catastrophes naturelles</w:t>
            </w:r>
          </w:p>
          <w:p w14:paraId="05C68157" w14:textId="77777777" w:rsidR="002F363F" w:rsidRPr="00F2455C" w:rsidRDefault="002F363F" w:rsidP="004302E0">
            <w:pPr>
              <w:pStyle w:val="Paragraphedeliste"/>
              <w:ind w:left="360"/>
              <w:contextualSpacing w:val="0"/>
              <w:rPr>
                <w:rFonts w:cstheme="minorHAnsi"/>
                <w:color w:val="000000"/>
                <w:sz w:val="19"/>
                <w:szCs w:val="19"/>
              </w:rPr>
            </w:pPr>
          </w:p>
          <w:p w14:paraId="2B5C919E" w14:textId="77777777" w:rsidR="002F363F" w:rsidRPr="00F2455C" w:rsidRDefault="002F363F" w:rsidP="004302E0">
            <w:pPr>
              <w:pStyle w:val="Paragraphedeliste"/>
              <w:numPr>
                <w:ilvl w:val="1"/>
                <w:numId w:val="176"/>
              </w:numPr>
              <w:spacing w:line="240" w:lineRule="auto"/>
              <w:contextualSpacing w:val="0"/>
              <w:jc w:val="left"/>
              <w:rPr>
                <w:rFonts w:cstheme="minorHAnsi"/>
                <w:color w:val="000000"/>
                <w:sz w:val="19"/>
                <w:szCs w:val="19"/>
              </w:rPr>
            </w:pPr>
            <w:r w:rsidRPr="00F2455C">
              <w:rPr>
                <w:rFonts w:cstheme="minorHAnsi"/>
                <w:color w:val="000000"/>
                <w:sz w:val="19"/>
                <w:szCs w:val="19"/>
              </w:rPr>
              <w:t>Financement et mise en œuvre d'aide d'urgence humanitaire</w:t>
            </w:r>
          </w:p>
        </w:tc>
        <w:tc>
          <w:tcPr>
            <w:tcW w:w="2165" w:type="dxa"/>
          </w:tcPr>
          <w:p w14:paraId="194B17EB" w14:textId="77777777" w:rsidR="002F363F" w:rsidRPr="00F2455C" w:rsidRDefault="002F363F" w:rsidP="004302E0">
            <w:pPr>
              <w:rPr>
                <w:rFonts w:cstheme="minorHAnsi"/>
                <w:sz w:val="19"/>
                <w:szCs w:val="19"/>
              </w:rPr>
            </w:pPr>
            <w:r w:rsidRPr="00F2455C">
              <w:rPr>
                <w:rFonts w:cstheme="minorHAnsi"/>
                <w:color w:val="000000"/>
                <w:sz w:val="19"/>
                <w:szCs w:val="19"/>
              </w:rPr>
              <w:t>Risque de VBG et EAHS pendant les déplacements des populations et lors des actions de réponse d’urgence</w:t>
            </w:r>
          </w:p>
        </w:tc>
        <w:tc>
          <w:tcPr>
            <w:tcW w:w="2473" w:type="dxa"/>
            <w:vAlign w:val="center"/>
          </w:tcPr>
          <w:p w14:paraId="70E14AB7" w14:textId="77777777" w:rsidR="002F363F" w:rsidRPr="00F2455C" w:rsidRDefault="002F363F" w:rsidP="004302E0">
            <w:pPr>
              <w:rPr>
                <w:rFonts w:cstheme="minorHAnsi"/>
                <w:color w:val="000000"/>
                <w:sz w:val="19"/>
                <w:szCs w:val="19"/>
              </w:rPr>
            </w:pPr>
            <w:r w:rsidRPr="00F2455C">
              <w:rPr>
                <w:rFonts w:cstheme="minorHAnsi"/>
                <w:color w:val="000000"/>
                <w:sz w:val="19"/>
                <w:szCs w:val="19"/>
              </w:rPr>
              <w:t xml:space="preserve">Faciliter les actions de relèvement des communautés par la mise en place des comités des femmes/hommes résilient(e)s en redynamisant les capacités locales par les ateliers sur la résilience </w:t>
            </w:r>
            <w:r>
              <w:rPr>
                <w:rFonts w:cstheme="minorHAnsi"/>
                <w:color w:val="000000"/>
                <w:sz w:val="19"/>
                <w:szCs w:val="19"/>
              </w:rPr>
              <w:t>c</w:t>
            </w:r>
            <w:r w:rsidRPr="00F2455C">
              <w:rPr>
                <w:rFonts w:cstheme="minorHAnsi"/>
                <w:color w:val="000000"/>
                <w:sz w:val="19"/>
                <w:szCs w:val="19"/>
              </w:rPr>
              <w:t xml:space="preserve">ommunautaire aux </w:t>
            </w:r>
            <w:r>
              <w:rPr>
                <w:rFonts w:cstheme="minorHAnsi"/>
                <w:color w:val="000000"/>
                <w:sz w:val="19"/>
                <w:szCs w:val="19"/>
              </w:rPr>
              <w:t xml:space="preserve">risques de </w:t>
            </w:r>
            <w:r w:rsidRPr="00F2455C">
              <w:rPr>
                <w:rFonts w:cstheme="minorHAnsi"/>
                <w:color w:val="000000"/>
                <w:sz w:val="19"/>
                <w:szCs w:val="19"/>
              </w:rPr>
              <w:t>VBG</w:t>
            </w:r>
            <w:r>
              <w:rPr>
                <w:rFonts w:cstheme="minorHAnsi"/>
                <w:color w:val="000000"/>
                <w:sz w:val="19"/>
                <w:szCs w:val="19"/>
              </w:rPr>
              <w:t>/EAHS (à définir et confirmer lors du déclenchement de la composante CERC)</w:t>
            </w:r>
          </w:p>
        </w:tc>
        <w:tc>
          <w:tcPr>
            <w:tcW w:w="1786" w:type="dxa"/>
          </w:tcPr>
          <w:p w14:paraId="0DFC3F1A" w14:textId="77777777" w:rsidR="002F363F" w:rsidRDefault="002F363F" w:rsidP="004302E0">
            <w:pPr>
              <w:rPr>
                <w:rFonts w:cstheme="minorHAnsi"/>
                <w:color w:val="000000"/>
                <w:sz w:val="19"/>
                <w:szCs w:val="19"/>
              </w:rPr>
            </w:pPr>
            <w:r w:rsidRPr="00F2455C">
              <w:rPr>
                <w:rFonts w:cstheme="minorHAnsi"/>
                <w:color w:val="000000"/>
                <w:sz w:val="19"/>
                <w:szCs w:val="19"/>
              </w:rPr>
              <w:t>Spécialiste en VBG</w:t>
            </w:r>
          </w:p>
          <w:p w14:paraId="210D7C39" w14:textId="77777777" w:rsidR="002F363F" w:rsidRDefault="002F363F" w:rsidP="004302E0">
            <w:pPr>
              <w:rPr>
                <w:rFonts w:cstheme="minorHAnsi"/>
                <w:color w:val="000000"/>
                <w:sz w:val="19"/>
                <w:szCs w:val="19"/>
              </w:rPr>
            </w:pPr>
          </w:p>
          <w:p w14:paraId="1D635DE4" w14:textId="77777777" w:rsidR="002F363F" w:rsidRPr="00F2455C" w:rsidRDefault="002F363F" w:rsidP="004302E0">
            <w:pPr>
              <w:rPr>
                <w:rFonts w:cstheme="minorHAnsi"/>
                <w:sz w:val="19"/>
                <w:szCs w:val="19"/>
              </w:rPr>
            </w:pPr>
            <w:r w:rsidRPr="00F2455C">
              <w:rPr>
                <w:rFonts w:cstheme="minorHAnsi"/>
                <w:color w:val="000000"/>
                <w:sz w:val="19"/>
                <w:szCs w:val="19"/>
              </w:rPr>
              <w:t>Consultant externe</w:t>
            </w:r>
            <w:r>
              <w:rPr>
                <w:rFonts w:cstheme="minorHAnsi"/>
                <w:color w:val="000000"/>
                <w:sz w:val="19"/>
                <w:szCs w:val="19"/>
              </w:rPr>
              <w:t xml:space="preserve"> / ONG spécialisée</w:t>
            </w:r>
          </w:p>
        </w:tc>
        <w:tc>
          <w:tcPr>
            <w:tcW w:w="1746" w:type="dxa"/>
          </w:tcPr>
          <w:p w14:paraId="0815BCBD" w14:textId="77777777" w:rsidR="002F363F" w:rsidRPr="00F2455C" w:rsidRDefault="002F363F" w:rsidP="004302E0">
            <w:pPr>
              <w:rPr>
                <w:rFonts w:cstheme="minorHAnsi"/>
                <w:sz w:val="19"/>
                <w:szCs w:val="19"/>
              </w:rPr>
            </w:pPr>
            <w:r w:rsidRPr="00F2455C">
              <w:rPr>
                <w:rFonts w:cstheme="minorHAnsi"/>
                <w:color w:val="000000"/>
                <w:sz w:val="19"/>
                <w:szCs w:val="19"/>
              </w:rPr>
              <w:t>Spécialiste en VBG</w:t>
            </w:r>
            <w:r w:rsidRPr="00F2455C" w:rsidDel="006D6E16">
              <w:rPr>
                <w:rFonts w:cstheme="minorHAnsi"/>
                <w:sz w:val="19"/>
                <w:szCs w:val="19"/>
              </w:rPr>
              <w:t xml:space="preserve"> </w:t>
            </w:r>
          </w:p>
        </w:tc>
        <w:tc>
          <w:tcPr>
            <w:tcW w:w="1460" w:type="dxa"/>
          </w:tcPr>
          <w:p w14:paraId="44F64805" w14:textId="77777777" w:rsidR="002F363F" w:rsidRPr="00F2455C" w:rsidRDefault="002F363F" w:rsidP="004302E0">
            <w:pPr>
              <w:rPr>
                <w:rFonts w:cstheme="minorHAnsi"/>
                <w:sz w:val="19"/>
                <w:szCs w:val="19"/>
              </w:rPr>
            </w:pPr>
            <w:r w:rsidRPr="00F2455C">
              <w:rPr>
                <w:rFonts w:cstheme="minorHAnsi"/>
                <w:color w:val="000000"/>
                <w:sz w:val="19"/>
                <w:szCs w:val="19"/>
              </w:rPr>
              <w:t>Tout au long de la mise en œuvre du projet</w:t>
            </w:r>
          </w:p>
        </w:tc>
        <w:tc>
          <w:tcPr>
            <w:tcW w:w="1892" w:type="dxa"/>
          </w:tcPr>
          <w:p w14:paraId="3735CBD9" w14:textId="77777777" w:rsidR="002F363F" w:rsidRPr="00F2455C" w:rsidRDefault="002F363F" w:rsidP="004302E0">
            <w:pPr>
              <w:rPr>
                <w:rFonts w:cstheme="minorHAnsi"/>
                <w:sz w:val="19"/>
                <w:szCs w:val="19"/>
              </w:rPr>
            </w:pPr>
            <w:r w:rsidRPr="00F2455C">
              <w:rPr>
                <w:rFonts w:cstheme="minorHAnsi"/>
                <w:color w:val="000000"/>
                <w:sz w:val="19"/>
                <w:szCs w:val="19"/>
              </w:rPr>
              <w:t xml:space="preserve">Nombre de comités des </w:t>
            </w:r>
            <w:r>
              <w:rPr>
                <w:rFonts w:cstheme="minorHAnsi"/>
                <w:color w:val="000000"/>
                <w:sz w:val="19"/>
                <w:szCs w:val="19"/>
              </w:rPr>
              <w:t>f</w:t>
            </w:r>
            <w:r w:rsidRPr="00F2455C">
              <w:rPr>
                <w:rFonts w:cstheme="minorHAnsi"/>
                <w:color w:val="000000"/>
                <w:sz w:val="19"/>
                <w:szCs w:val="19"/>
              </w:rPr>
              <w:t xml:space="preserve">emmes/ </w:t>
            </w:r>
            <w:r>
              <w:rPr>
                <w:rFonts w:cstheme="minorHAnsi"/>
                <w:color w:val="000000"/>
                <w:sz w:val="19"/>
                <w:szCs w:val="19"/>
              </w:rPr>
              <w:t>h</w:t>
            </w:r>
            <w:r w:rsidRPr="00F2455C">
              <w:rPr>
                <w:rFonts w:cstheme="minorHAnsi"/>
                <w:color w:val="000000"/>
                <w:sz w:val="19"/>
                <w:szCs w:val="19"/>
              </w:rPr>
              <w:t xml:space="preserve">ommes </w:t>
            </w:r>
            <w:r>
              <w:rPr>
                <w:rFonts w:cstheme="minorHAnsi"/>
                <w:color w:val="000000"/>
                <w:sz w:val="19"/>
                <w:szCs w:val="19"/>
              </w:rPr>
              <w:t>r</w:t>
            </w:r>
            <w:r w:rsidRPr="00F2455C">
              <w:rPr>
                <w:rFonts w:cstheme="minorHAnsi"/>
                <w:color w:val="000000"/>
                <w:sz w:val="19"/>
                <w:szCs w:val="19"/>
              </w:rPr>
              <w:t>ésilient(e)s mises en place et fonctionnels</w:t>
            </w:r>
          </w:p>
        </w:tc>
        <w:tc>
          <w:tcPr>
            <w:tcW w:w="1511" w:type="dxa"/>
          </w:tcPr>
          <w:p w14:paraId="25DA0A1E" w14:textId="77777777" w:rsidR="002F363F" w:rsidRPr="00A110A0" w:rsidRDefault="002F363F" w:rsidP="004302E0">
            <w:pPr>
              <w:rPr>
                <w:rFonts w:cstheme="minorHAnsi"/>
                <w:color w:val="000000"/>
                <w:sz w:val="19"/>
                <w:szCs w:val="19"/>
              </w:rPr>
            </w:pPr>
            <w:r w:rsidRPr="00F2455C">
              <w:rPr>
                <w:rFonts w:cstheme="minorHAnsi"/>
                <w:color w:val="000000"/>
                <w:sz w:val="19"/>
                <w:szCs w:val="19"/>
              </w:rPr>
              <w:t>200000$</w:t>
            </w:r>
          </w:p>
        </w:tc>
      </w:tr>
      <w:tr w:rsidR="002F363F" w:rsidRPr="00F2455C" w14:paraId="32DB28D0" w14:textId="77777777" w:rsidTr="004302E0">
        <w:trPr>
          <w:gridAfter w:val="1"/>
          <w:wAfter w:w="17" w:type="dxa"/>
        </w:trPr>
        <w:tc>
          <w:tcPr>
            <w:tcW w:w="13952" w:type="dxa"/>
            <w:gridSpan w:val="7"/>
          </w:tcPr>
          <w:p w14:paraId="2787DF76" w14:textId="77777777" w:rsidR="002F363F" w:rsidRPr="00F2455C" w:rsidRDefault="002F363F" w:rsidP="004302E0">
            <w:pPr>
              <w:jc w:val="right"/>
              <w:rPr>
                <w:rFonts w:cstheme="minorHAnsi"/>
                <w:color w:val="000000"/>
                <w:sz w:val="19"/>
                <w:szCs w:val="19"/>
              </w:rPr>
            </w:pPr>
            <w:r>
              <w:rPr>
                <w:rFonts w:cstheme="minorHAnsi"/>
                <w:b/>
                <w:bCs/>
                <w:color w:val="000000"/>
                <w:sz w:val="19"/>
                <w:szCs w:val="19"/>
              </w:rPr>
              <w:t>TOTAL</w:t>
            </w:r>
          </w:p>
        </w:tc>
        <w:tc>
          <w:tcPr>
            <w:tcW w:w="1511" w:type="dxa"/>
          </w:tcPr>
          <w:p w14:paraId="22946B0A" w14:textId="77777777" w:rsidR="002F363F" w:rsidRPr="00F2455C" w:rsidRDefault="002F363F" w:rsidP="004302E0">
            <w:pPr>
              <w:rPr>
                <w:rFonts w:cstheme="minorHAnsi"/>
                <w:color w:val="000000"/>
                <w:sz w:val="19"/>
                <w:szCs w:val="19"/>
              </w:rPr>
            </w:pPr>
            <w:r>
              <w:rPr>
                <w:rFonts w:cstheme="minorHAnsi"/>
                <w:color w:val="000000"/>
                <w:sz w:val="19"/>
                <w:szCs w:val="19"/>
              </w:rPr>
              <w:t xml:space="preserve">7 530 000 </w:t>
            </w:r>
            <w:r>
              <w:rPr>
                <w:rFonts w:cstheme="minorHAnsi"/>
                <w:sz w:val="19"/>
                <w:szCs w:val="19"/>
              </w:rPr>
              <w:t>$</w:t>
            </w:r>
          </w:p>
        </w:tc>
      </w:tr>
    </w:tbl>
    <w:p w14:paraId="142AA303" w14:textId="77777777" w:rsidR="0038437B" w:rsidRPr="00480F4B" w:rsidRDefault="0038437B" w:rsidP="0038437B">
      <w:pPr>
        <w:rPr>
          <w:rFonts w:cstheme="minorHAnsi"/>
          <w:sz w:val="20"/>
          <w:szCs w:val="20"/>
        </w:rPr>
      </w:pPr>
    </w:p>
    <w:p w14:paraId="659277F0" w14:textId="77777777" w:rsidR="00211F7B" w:rsidRDefault="00211F7B" w:rsidP="0038437B">
      <w:pPr>
        <w:pStyle w:val="Titre1"/>
        <w:jc w:val="left"/>
        <w:rPr>
          <w:rFonts w:cs="Arial"/>
          <w:sz w:val="22"/>
          <w:szCs w:val="22"/>
        </w:rPr>
      </w:pPr>
    </w:p>
    <w:p w14:paraId="3F101BE9" w14:textId="77777777" w:rsidR="00211F7B" w:rsidRDefault="00211F7B" w:rsidP="00211F7B">
      <w:pPr>
        <w:pStyle w:val="Titre1"/>
        <w:jc w:val="center"/>
        <w:rPr>
          <w:rFonts w:cs="Arial"/>
          <w:sz w:val="22"/>
          <w:szCs w:val="22"/>
        </w:rPr>
      </w:pPr>
    </w:p>
    <w:p w14:paraId="2FA387B7" w14:textId="77777777" w:rsidR="00E32763" w:rsidRPr="0021620B" w:rsidRDefault="00E32763" w:rsidP="0018702B">
      <w:pPr>
        <w:tabs>
          <w:tab w:val="left" w:pos="1224"/>
        </w:tabs>
      </w:pPr>
    </w:p>
    <w:sectPr w:rsidR="00E32763" w:rsidRPr="0021620B" w:rsidSect="00860191">
      <w:pgSz w:w="16839" w:h="11907" w:orient="landscape" w:code="9"/>
      <w:pgMar w:top="1418" w:right="993" w:bottom="1417" w:left="851" w:header="567"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CAD56" w14:textId="77777777" w:rsidR="00652264" w:rsidRDefault="00652264" w:rsidP="001C2F95">
      <w:pPr>
        <w:spacing w:line="240" w:lineRule="auto"/>
      </w:pPr>
      <w:r>
        <w:separator/>
      </w:r>
    </w:p>
  </w:endnote>
  <w:endnote w:type="continuationSeparator" w:id="0">
    <w:p w14:paraId="12ECB565" w14:textId="77777777" w:rsidR="00652264" w:rsidRDefault="00652264" w:rsidP="001C2F95">
      <w:pPr>
        <w:spacing w:line="240" w:lineRule="auto"/>
      </w:pPr>
      <w:r>
        <w:continuationSeparator/>
      </w:r>
    </w:p>
  </w:endnote>
  <w:endnote w:type="continuationNotice" w:id="1">
    <w:p w14:paraId="3D4CCB5B" w14:textId="77777777" w:rsidR="00652264" w:rsidRDefault="006522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M Roman Caps 10">
    <w:altName w:val="Times New Roman"/>
    <w:charset w:val="00"/>
    <w:family w:val="auto"/>
    <w:pitch w:val="variable"/>
  </w:font>
  <w:font w:name="Verdana Ref">
    <w:altName w:val="Tahoma"/>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HGGFHE+Garamond">
    <w:altName w:val="Garamon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decorative"/>
    <w:notTrueType/>
    <w:pitch w:val="default"/>
    <w:sig w:usb0="00000003" w:usb1="00000000" w:usb2="00000000" w:usb3="00000000" w:csb0="00000001" w:csb1="00000000"/>
  </w:font>
  <w:font w:name="ComicSansMS-Identity-H">
    <w:altName w:val="Arial Unicode MS"/>
    <w:panose1 w:val="00000000000000000000"/>
    <w:charset w:val="81"/>
    <w:family w:val="auto"/>
    <w:notTrueType/>
    <w:pitch w:val="default"/>
    <w:sig w:usb0="00000001" w:usb1="09060000" w:usb2="00000010" w:usb3="00000000" w:csb0="00080000" w:csb1="00000000"/>
  </w:font>
  <w:font w:name="Agend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imes New Roman Gras">
    <w:altName w:val="Times New Roman"/>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ヒラギノ角ゴ Pro W3">
    <w:charset w:val="80"/>
    <w:family w:val="swiss"/>
    <w:pitch w:val="variable"/>
    <w:sig w:usb0="E00002FF" w:usb1="7AC7FFFF" w:usb2="00000012" w:usb3="00000000" w:csb0="0002000D" w:csb1="00000000"/>
  </w:font>
  <w:font w:name="Maiandra GD">
    <w:panose1 w:val="020E0502030308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Eurostile">
    <w:panose1 w:val="020B0504020202050204"/>
    <w:charset w:val="00"/>
    <w:family w:val="swiss"/>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Helvetica Neue">
    <w:panose1 w:val="02000506040000020004"/>
    <w:charset w:val="00"/>
    <w:family w:val="auto"/>
    <w:pitch w:val="variable"/>
    <w:sig w:usb0="A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05204" w14:textId="77777777" w:rsidR="004307B0" w:rsidRDefault="004307B0">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C4CA" w14:textId="77777777" w:rsidR="00510ABB" w:rsidRDefault="00510ABB" w:rsidP="00F44B51">
    <w:pPr>
      <w:tabs>
        <w:tab w:val="right" w:leader="dot" w:pos="8640"/>
      </w:tabs>
      <w:jc w:val="left"/>
      <w:rPr>
        <w:rFonts w:cs="Arial"/>
        <w:i/>
        <w:sz w:val="16"/>
        <w:szCs w:val="16"/>
      </w:rPr>
    </w:pPr>
    <w:r>
      <w:rPr>
        <w:rFonts w:cs="Arial"/>
        <w:i/>
        <w:sz w:val="16"/>
        <w:szCs w:val="16"/>
      </w:rPr>
      <w:t xml:space="preserve">PNDA - </w:t>
    </w:r>
    <w:r w:rsidRPr="00271326">
      <w:rPr>
        <w:rFonts w:cs="Arial"/>
        <w:i/>
        <w:sz w:val="16"/>
        <w:szCs w:val="16"/>
      </w:rPr>
      <w:t>Cadre de Gestion Environnementale et Sociale (CGES)</w:t>
    </w:r>
  </w:p>
  <w:p w14:paraId="1CF137A7" w14:textId="77777777" w:rsidR="00510ABB" w:rsidRPr="00271326" w:rsidRDefault="00510ABB" w:rsidP="00F44B51">
    <w:pPr>
      <w:tabs>
        <w:tab w:val="right" w:leader="dot" w:pos="8640"/>
      </w:tabs>
      <w:jc w:val="left"/>
      <w:rPr>
        <w:rFonts w:cs="Arial"/>
        <w:i/>
        <w:sz w:val="16"/>
        <w:szCs w:val="16"/>
      </w:rPr>
    </w:pPr>
    <w:r>
      <w:rPr>
        <w:rFonts w:cs="Arial"/>
        <w:i/>
        <w:sz w:val="16"/>
        <w:szCs w:val="16"/>
      </w:rPr>
      <w:t>Rapport final, Avril 2021</w:t>
    </w:r>
  </w:p>
  <w:p w14:paraId="6CF0B2F8" w14:textId="77777777" w:rsidR="00510ABB" w:rsidRDefault="00510ABB" w:rsidP="00F9169A">
    <w:pPr>
      <w:pStyle w:val="Pieddepage"/>
      <w:jc w:val="right"/>
    </w:pPr>
    <w:r>
      <w:fldChar w:fldCharType="begin"/>
    </w:r>
    <w:r>
      <w:instrText>PAGE   \* MERGEFORMAT</w:instrText>
    </w:r>
    <w:r>
      <w:fldChar w:fldCharType="separate"/>
    </w:r>
    <w:r w:rsidR="001E7436">
      <w:rPr>
        <w:noProof/>
      </w:rPr>
      <w:t>276</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9555A" w14:textId="77777777" w:rsidR="00510ABB" w:rsidRDefault="00510ABB" w:rsidP="00F44B51">
    <w:pPr>
      <w:tabs>
        <w:tab w:val="right" w:leader="dot" w:pos="8640"/>
      </w:tabs>
      <w:jc w:val="left"/>
      <w:rPr>
        <w:rFonts w:cs="Arial"/>
        <w:i/>
        <w:sz w:val="16"/>
        <w:szCs w:val="16"/>
      </w:rPr>
    </w:pPr>
    <w:r>
      <w:rPr>
        <w:rFonts w:cs="Arial"/>
        <w:i/>
        <w:sz w:val="16"/>
        <w:szCs w:val="16"/>
      </w:rPr>
      <w:t xml:space="preserve">PNDA - </w:t>
    </w:r>
    <w:r w:rsidRPr="00271326">
      <w:rPr>
        <w:rFonts w:cs="Arial"/>
        <w:i/>
        <w:sz w:val="16"/>
        <w:szCs w:val="16"/>
      </w:rPr>
      <w:t>Cadre de Gestion Environnementale et Sociale (CGES)</w:t>
    </w:r>
  </w:p>
  <w:p w14:paraId="4D7C6577" w14:textId="77777777" w:rsidR="00510ABB" w:rsidRPr="00271326" w:rsidRDefault="00510ABB" w:rsidP="00F44B51">
    <w:pPr>
      <w:tabs>
        <w:tab w:val="right" w:leader="dot" w:pos="8640"/>
      </w:tabs>
      <w:jc w:val="left"/>
      <w:rPr>
        <w:rFonts w:cs="Arial"/>
        <w:i/>
        <w:sz w:val="16"/>
        <w:szCs w:val="16"/>
      </w:rPr>
    </w:pPr>
    <w:r>
      <w:rPr>
        <w:rFonts w:cs="Arial"/>
        <w:i/>
        <w:sz w:val="16"/>
        <w:szCs w:val="16"/>
      </w:rPr>
      <w:t>Rapport final, Avril 2021</w:t>
    </w:r>
  </w:p>
  <w:p w14:paraId="384D652A" w14:textId="77777777" w:rsidR="00510ABB" w:rsidRDefault="00510ABB" w:rsidP="00F9169A">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A22C0" w14:textId="77777777" w:rsidR="00510ABB" w:rsidRDefault="00510ABB" w:rsidP="002B26A7">
    <w:pPr>
      <w:tabs>
        <w:tab w:val="right" w:leader="dot" w:pos="8640"/>
      </w:tabs>
      <w:jc w:val="left"/>
      <w:rPr>
        <w:rFonts w:cs="Arial"/>
        <w:i/>
        <w:sz w:val="16"/>
        <w:szCs w:val="16"/>
      </w:rPr>
    </w:pPr>
    <w:r>
      <w:rPr>
        <w:rFonts w:cs="Arial"/>
        <w:i/>
        <w:sz w:val="16"/>
        <w:szCs w:val="16"/>
      </w:rPr>
      <w:t xml:space="preserve">PNDA - </w:t>
    </w:r>
    <w:r w:rsidRPr="00271326">
      <w:rPr>
        <w:rFonts w:cs="Arial"/>
        <w:i/>
        <w:sz w:val="16"/>
        <w:szCs w:val="16"/>
      </w:rPr>
      <w:t>Cadre de Gestion Environnementale et Sociale (CGES)</w:t>
    </w:r>
  </w:p>
  <w:p w14:paraId="2533E07D" w14:textId="77777777" w:rsidR="00510ABB" w:rsidRPr="002B26A7" w:rsidRDefault="00510ABB" w:rsidP="002B26A7">
    <w:pPr>
      <w:tabs>
        <w:tab w:val="right" w:leader="dot" w:pos="8640"/>
      </w:tabs>
      <w:jc w:val="left"/>
      <w:rPr>
        <w:rFonts w:cs="Arial"/>
        <w:i/>
        <w:sz w:val="16"/>
        <w:szCs w:val="16"/>
      </w:rPr>
    </w:pPr>
    <w:r>
      <w:rPr>
        <w:rFonts w:cs="Arial"/>
        <w:i/>
        <w:sz w:val="16"/>
        <w:szCs w:val="16"/>
      </w:rPr>
      <w:t xml:space="preserve">Rapport final, </w:t>
    </w:r>
    <w:r w:rsidR="00572864">
      <w:rPr>
        <w:rFonts w:cs="Arial"/>
        <w:i/>
        <w:sz w:val="16"/>
        <w:szCs w:val="16"/>
      </w:rPr>
      <w:t>Avril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DCB5" w14:textId="77777777" w:rsidR="004307B0" w:rsidRDefault="004307B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6E31" w14:textId="77777777" w:rsidR="00510ABB" w:rsidRDefault="00510ABB" w:rsidP="00971FD2">
    <w:pPr>
      <w:tabs>
        <w:tab w:val="right" w:leader="dot" w:pos="8640"/>
      </w:tabs>
      <w:jc w:val="left"/>
      <w:rPr>
        <w:rFonts w:cs="Arial"/>
        <w:i/>
        <w:sz w:val="16"/>
        <w:szCs w:val="16"/>
      </w:rPr>
    </w:pPr>
    <w:r>
      <w:rPr>
        <w:rFonts w:cs="Arial"/>
        <w:i/>
        <w:sz w:val="16"/>
        <w:szCs w:val="16"/>
      </w:rPr>
      <w:t xml:space="preserve">PNDA - </w:t>
    </w:r>
    <w:r w:rsidRPr="00271326">
      <w:rPr>
        <w:rFonts w:cs="Arial"/>
        <w:i/>
        <w:sz w:val="16"/>
        <w:szCs w:val="16"/>
      </w:rPr>
      <w:t>Cadre de Gestion Environnementale et Sociale (CGES)</w:t>
    </w:r>
  </w:p>
  <w:p w14:paraId="51D02804" w14:textId="77777777" w:rsidR="00510ABB" w:rsidRPr="00271326" w:rsidRDefault="00510ABB" w:rsidP="00971FD2">
    <w:pPr>
      <w:tabs>
        <w:tab w:val="right" w:leader="dot" w:pos="8640"/>
      </w:tabs>
      <w:jc w:val="left"/>
      <w:rPr>
        <w:rFonts w:cs="Arial"/>
        <w:i/>
        <w:sz w:val="16"/>
        <w:szCs w:val="16"/>
      </w:rPr>
    </w:pPr>
    <w:r>
      <w:rPr>
        <w:rFonts w:cs="Arial"/>
        <w:i/>
        <w:sz w:val="16"/>
        <w:szCs w:val="16"/>
      </w:rPr>
      <w:t>Rapport final, Avril 2021</w:t>
    </w:r>
  </w:p>
  <w:p w14:paraId="399BEF9B" w14:textId="77777777" w:rsidR="00510ABB" w:rsidRDefault="00510ABB"/>
  <w:p w14:paraId="2E43D218" w14:textId="77777777" w:rsidR="00510ABB" w:rsidRDefault="00510AB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BDC6E" w14:textId="77777777" w:rsidR="00510ABB" w:rsidRDefault="00510ABB" w:rsidP="00971FD2">
    <w:pPr>
      <w:tabs>
        <w:tab w:val="right" w:leader="dot" w:pos="8640"/>
      </w:tabs>
      <w:jc w:val="left"/>
      <w:rPr>
        <w:rFonts w:cs="Arial"/>
        <w:i/>
        <w:sz w:val="16"/>
        <w:szCs w:val="16"/>
      </w:rPr>
    </w:pPr>
    <w:r>
      <w:rPr>
        <w:rFonts w:cs="Arial"/>
        <w:i/>
        <w:sz w:val="16"/>
        <w:szCs w:val="16"/>
      </w:rPr>
      <w:t xml:space="preserve">PNDA - </w:t>
    </w:r>
    <w:r w:rsidRPr="00271326">
      <w:rPr>
        <w:rFonts w:cs="Arial"/>
        <w:i/>
        <w:sz w:val="16"/>
        <w:szCs w:val="16"/>
      </w:rPr>
      <w:t>Cadre de Gestion Environnementale et Sociale (CGES)</w:t>
    </w:r>
  </w:p>
  <w:p w14:paraId="77A4665D" w14:textId="77777777" w:rsidR="00510ABB" w:rsidRPr="00271326" w:rsidRDefault="00510ABB" w:rsidP="00971FD2">
    <w:pPr>
      <w:tabs>
        <w:tab w:val="right" w:leader="dot" w:pos="8640"/>
      </w:tabs>
      <w:jc w:val="left"/>
      <w:rPr>
        <w:rFonts w:cs="Arial"/>
        <w:i/>
        <w:sz w:val="16"/>
        <w:szCs w:val="16"/>
      </w:rPr>
    </w:pPr>
    <w:r>
      <w:rPr>
        <w:rFonts w:cs="Arial"/>
        <w:i/>
        <w:sz w:val="16"/>
        <w:szCs w:val="16"/>
      </w:rPr>
      <w:t>Rapport final, Avril  2021</w:t>
    </w:r>
  </w:p>
  <w:p w14:paraId="78F7E81B" w14:textId="77777777" w:rsidR="00510ABB" w:rsidRDefault="00510ABB" w:rsidP="00971FD2">
    <w:pPr>
      <w:tabs>
        <w:tab w:val="left" w:pos="1329"/>
      </w:tabs>
    </w:pPr>
    <w:r>
      <w:tab/>
    </w:r>
  </w:p>
  <w:p w14:paraId="59904A6B" w14:textId="77777777" w:rsidR="00510ABB" w:rsidRDefault="00510AB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C57D" w14:textId="77777777" w:rsidR="00510ABB" w:rsidRDefault="00510AB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21E4318" w14:textId="77777777" w:rsidR="00510ABB" w:rsidRDefault="00510ABB">
    <w:pPr>
      <w:pStyle w:val="Pieddepage"/>
      <w:ind w:right="360" w:firstLine="360"/>
    </w:pPr>
  </w:p>
  <w:p w14:paraId="0E00E522" w14:textId="77777777" w:rsidR="00510ABB" w:rsidRDefault="00510AB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78CA" w14:textId="77777777" w:rsidR="00510ABB" w:rsidRDefault="00510ABB" w:rsidP="00971FD2">
    <w:pPr>
      <w:tabs>
        <w:tab w:val="right" w:leader="dot" w:pos="8640"/>
      </w:tabs>
      <w:jc w:val="left"/>
      <w:rPr>
        <w:rFonts w:cs="Arial"/>
        <w:i/>
        <w:sz w:val="16"/>
        <w:szCs w:val="16"/>
      </w:rPr>
    </w:pPr>
    <w:r>
      <w:rPr>
        <w:rFonts w:cs="Arial"/>
        <w:i/>
        <w:sz w:val="16"/>
        <w:szCs w:val="16"/>
      </w:rPr>
      <w:t xml:space="preserve">PNDA - </w:t>
    </w:r>
    <w:r w:rsidRPr="00271326">
      <w:rPr>
        <w:rFonts w:cs="Arial"/>
        <w:i/>
        <w:sz w:val="16"/>
        <w:szCs w:val="16"/>
      </w:rPr>
      <w:t>Cadre de Gestion Environnementale et Sociale (CGES)</w:t>
    </w:r>
  </w:p>
  <w:p w14:paraId="3A7F97E7" w14:textId="77777777" w:rsidR="00510ABB" w:rsidRPr="00271326" w:rsidRDefault="00510ABB" w:rsidP="00971FD2">
    <w:pPr>
      <w:tabs>
        <w:tab w:val="right" w:leader="dot" w:pos="8640"/>
      </w:tabs>
      <w:jc w:val="left"/>
      <w:rPr>
        <w:rFonts w:cs="Arial"/>
        <w:i/>
        <w:sz w:val="16"/>
        <w:szCs w:val="16"/>
      </w:rPr>
    </w:pPr>
    <w:r>
      <w:rPr>
        <w:rFonts w:cs="Arial"/>
        <w:i/>
        <w:sz w:val="16"/>
        <w:szCs w:val="16"/>
      </w:rPr>
      <w:t>Rapport final, Avril 2021</w:t>
    </w:r>
  </w:p>
  <w:p w14:paraId="4BF34D70" w14:textId="77777777" w:rsidR="00510ABB" w:rsidRDefault="00510AB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62F6" w14:textId="77777777" w:rsidR="00510ABB" w:rsidRDefault="00510ABB" w:rsidP="00971FD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E512AFE" w14:textId="77777777" w:rsidR="00510ABB" w:rsidRDefault="00510ABB" w:rsidP="00971FD2">
    <w:pPr>
      <w:pStyle w:val="Pieddepage"/>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7C40" w14:textId="77777777" w:rsidR="00510ABB" w:rsidRDefault="00510ABB" w:rsidP="00971FD2">
    <w:pPr>
      <w:tabs>
        <w:tab w:val="right" w:leader="dot" w:pos="8640"/>
      </w:tabs>
      <w:jc w:val="left"/>
      <w:rPr>
        <w:rFonts w:cs="Arial"/>
        <w:i/>
        <w:sz w:val="16"/>
        <w:szCs w:val="16"/>
      </w:rPr>
    </w:pPr>
    <w:r>
      <w:rPr>
        <w:rFonts w:cs="Arial"/>
        <w:i/>
        <w:sz w:val="16"/>
        <w:szCs w:val="16"/>
      </w:rPr>
      <w:t xml:space="preserve">PNDA - </w:t>
    </w:r>
    <w:r w:rsidRPr="00271326">
      <w:rPr>
        <w:rFonts w:cs="Arial"/>
        <w:i/>
        <w:sz w:val="16"/>
        <w:szCs w:val="16"/>
      </w:rPr>
      <w:t>Cadre de Gestion Environnementale et Sociale (CGES)</w:t>
    </w:r>
  </w:p>
  <w:p w14:paraId="3DDC723A" w14:textId="77777777" w:rsidR="00510ABB" w:rsidRPr="00271326" w:rsidRDefault="00510ABB" w:rsidP="00971FD2">
    <w:pPr>
      <w:tabs>
        <w:tab w:val="right" w:leader="dot" w:pos="8640"/>
      </w:tabs>
      <w:jc w:val="left"/>
      <w:rPr>
        <w:rFonts w:cs="Arial"/>
        <w:i/>
        <w:sz w:val="16"/>
        <w:szCs w:val="16"/>
      </w:rPr>
    </w:pPr>
    <w:r>
      <w:rPr>
        <w:rFonts w:cs="Arial"/>
        <w:i/>
        <w:sz w:val="16"/>
        <w:szCs w:val="16"/>
      </w:rPr>
      <w:t>Rapport final, Avril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C0CBA" w14:textId="77777777" w:rsidR="00652264" w:rsidRDefault="00652264" w:rsidP="001C2F95">
      <w:pPr>
        <w:spacing w:line="240" w:lineRule="auto"/>
      </w:pPr>
      <w:r>
        <w:separator/>
      </w:r>
    </w:p>
  </w:footnote>
  <w:footnote w:type="continuationSeparator" w:id="0">
    <w:p w14:paraId="512A12B6" w14:textId="77777777" w:rsidR="00652264" w:rsidRDefault="00652264" w:rsidP="001C2F95">
      <w:pPr>
        <w:spacing w:line="240" w:lineRule="auto"/>
      </w:pPr>
      <w:r>
        <w:continuationSeparator/>
      </w:r>
    </w:p>
  </w:footnote>
  <w:footnote w:type="continuationNotice" w:id="1">
    <w:p w14:paraId="26E73433" w14:textId="77777777" w:rsidR="00652264" w:rsidRDefault="00652264">
      <w:pPr>
        <w:spacing w:line="240" w:lineRule="auto"/>
      </w:pPr>
    </w:p>
  </w:footnote>
  <w:footnote w:id="2">
    <w:p w14:paraId="7C4D1481" w14:textId="77777777" w:rsidR="00510ABB" w:rsidRPr="00750ECC" w:rsidRDefault="00510ABB" w:rsidP="001C2F95">
      <w:pPr>
        <w:pStyle w:val="Notedebasdepage"/>
        <w:rPr>
          <w:sz w:val="18"/>
          <w:szCs w:val="18"/>
          <w:lang w:val="es-ES"/>
        </w:rPr>
      </w:pPr>
      <w:r w:rsidRPr="00750ECC">
        <w:rPr>
          <w:rStyle w:val="Appelnotedebasdep"/>
          <w:sz w:val="18"/>
          <w:szCs w:val="18"/>
        </w:rPr>
        <w:footnoteRef/>
      </w:r>
      <w:r w:rsidRPr="00750ECC">
        <w:rPr>
          <w:sz w:val="18"/>
          <w:szCs w:val="18"/>
          <w:lang w:val="es-ES"/>
        </w:rPr>
        <w:t xml:space="preserve"> http://pubdocs.worldbank.org/en/215761593706525660/ESF-GPN-SEASH-in-major-civil-works-French.pdf</w:t>
      </w:r>
      <w:r w:rsidRPr="00750ECC" w:rsidDel="00EE17FF">
        <w:rPr>
          <w:sz w:val="18"/>
          <w:szCs w:val="18"/>
          <w:lang w:val="es-ES"/>
        </w:rPr>
        <w:t xml:space="preserve"> </w:t>
      </w:r>
      <w:r w:rsidRPr="00750ECC">
        <w:rPr>
          <w:sz w:val="18"/>
          <w:szCs w:val="18"/>
          <w:lang w:val="es-ES"/>
        </w:rPr>
        <w:t xml:space="preserve"> </w:t>
      </w:r>
    </w:p>
  </w:footnote>
  <w:footnote w:id="3">
    <w:p w14:paraId="34188BA8" w14:textId="77777777" w:rsidR="00510ABB" w:rsidRPr="00FD38C4" w:rsidRDefault="00510ABB" w:rsidP="001C2F95">
      <w:pPr>
        <w:pStyle w:val="Notedebasdepage"/>
        <w:tabs>
          <w:tab w:val="left" w:pos="0"/>
        </w:tabs>
      </w:pPr>
      <w:r>
        <w:rPr>
          <w:rStyle w:val="Appelnotedebasdep"/>
        </w:rPr>
        <w:footnoteRef/>
      </w:r>
      <w:r>
        <w:t xml:space="preserve"> </w:t>
      </w:r>
      <w:r w:rsidRPr="00FD38C4">
        <w:t>Le mineur serait toute personne de moins de 18 ans, même si la législation locale a une définition différente (âge du consentement inférieur à 18 ans). Le manque de connaissances sur l'âge de la personne ne sera pas accepté comme justification</w:t>
      </w:r>
      <w:r>
        <w:t xml:space="preserve"> ni de défense</w:t>
      </w:r>
      <w:r w:rsidRPr="00FD38C4">
        <w:t>. L'accord du mineur à une relation sexuelle ne sera pas accepté non plus, car les mineurs ne sont pas en mesure de donner un consentement éclairé.</w:t>
      </w:r>
    </w:p>
  </w:footnote>
  <w:footnote w:id="4">
    <w:p w14:paraId="2CB26A00" w14:textId="77777777" w:rsidR="00510ABB" w:rsidRPr="00730A4A" w:rsidRDefault="00510ABB" w:rsidP="001C2F95">
      <w:pPr>
        <w:autoSpaceDE w:val="0"/>
        <w:autoSpaceDN w:val="0"/>
        <w:adjustRightInd w:val="0"/>
        <w:spacing w:line="240" w:lineRule="auto"/>
        <w:rPr>
          <w:rFonts w:eastAsia="Calibri" w:cs="Arial"/>
          <w:color w:val="0563C2"/>
          <w:sz w:val="18"/>
          <w:szCs w:val="18"/>
          <w:lang w:eastAsia="en-US"/>
        </w:rPr>
      </w:pPr>
      <w:r w:rsidRPr="002259A4">
        <w:rPr>
          <w:rStyle w:val="Appelnotedebasdep"/>
          <w:rFonts w:cs="Arial"/>
          <w:sz w:val="18"/>
          <w:szCs w:val="18"/>
        </w:rPr>
        <w:footnoteRef/>
      </w:r>
      <w:r w:rsidRPr="00730A4A">
        <w:rPr>
          <w:rFonts w:eastAsia="Calibri" w:cs="Arial"/>
          <w:i/>
          <w:color w:val="0563C2"/>
          <w:sz w:val="18"/>
          <w:szCs w:val="18"/>
          <w:lang w:val="fr" w:eastAsia="en-US"/>
        </w:rPr>
        <w:t>https://worldbankgroup.sharepoint.com/sites/wbunits/opcs/Knowledge%20Base/Public%20Consultations%20in%20WB%20Operations.pdf</w:t>
      </w:r>
    </w:p>
    <w:p w14:paraId="53993DCB" w14:textId="77777777" w:rsidR="00510ABB" w:rsidRDefault="00510ABB" w:rsidP="001C2F95">
      <w:pPr>
        <w:pStyle w:val="Notedebasdepage"/>
      </w:pPr>
    </w:p>
  </w:footnote>
  <w:footnote w:id="5">
    <w:p w14:paraId="38E46CA3" w14:textId="77777777" w:rsidR="00510ABB" w:rsidRPr="0098228F" w:rsidRDefault="00510ABB" w:rsidP="001977A4">
      <w:pPr>
        <w:spacing w:before="60"/>
        <w:rPr>
          <w:sz w:val="18"/>
          <w:szCs w:val="18"/>
        </w:rPr>
      </w:pPr>
      <w:r w:rsidRPr="0098228F">
        <w:rPr>
          <w:rStyle w:val="Appelnotedebasdep"/>
          <w:sz w:val="18"/>
          <w:szCs w:val="18"/>
        </w:rPr>
        <w:footnoteRef/>
      </w:r>
      <w:hyperlink r:id="rId1">
        <w:r w:rsidRPr="0098228F">
          <w:rPr>
            <w:sz w:val="18"/>
            <w:szCs w:val="18"/>
          </w:rPr>
          <w:t>http://pubdocs.worldbank.org/en/215761593706525660/ESF-GPN-SEASH-in-major-civil-works-French.pdf</w:t>
        </w:r>
      </w:hyperlink>
      <w:r>
        <w:rPr>
          <w:sz w:val="18"/>
          <w:szCs w:val="18"/>
        </w:rPr>
        <w:t xml:space="preserve"> </w:t>
      </w:r>
    </w:p>
  </w:footnote>
  <w:footnote w:id="6">
    <w:p w14:paraId="2E288587" w14:textId="77777777" w:rsidR="00510ABB" w:rsidRPr="00A7078B" w:rsidRDefault="00510ABB" w:rsidP="001977A4">
      <w:pPr>
        <w:rPr>
          <w:sz w:val="18"/>
          <w:szCs w:val="18"/>
          <w:lang w:val="en-US"/>
        </w:rPr>
      </w:pPr>
      <w:r w:rsidRPr="0098228F">
        <w:rPr>
          <w:rStyle w:val="Appelnotedebasdep"/>
          <w:sz w:val="18"/>
          <w:szCs w:val="18"/>
        </w:rPr>
        <w:footnoteRef/>
      </w:r>
      <w:r w:rsidRPr="00A7078B">
        <w:rPr>
          <w:sz w:val="18"/>
          <w:szCs w:val="18"/>
          <w:lang w:val="en-US"/>
        </w:rPr>
        <w:t xml:space="preserve"> The minor would be any person under the age of 18, even if local legislation has a different definition (age of consent under 18). Lack of knowledge about the person's age will not be accepted as a justification or defense. The minor's agreement to a sexual relationship will also not be accepted, as minors are not in a position to give informed consent.</w:t>
      </w:r>
    </w:p>
  </w:footnote>
  <w:footnote w:id="7">
    <w:p w14:paraId="63975D7D" w14:textId="77777777" w:rsidR="00510ABB" w:rsidRPr="00540C2E" w:rsidRDefault="00510ABB" w:rsidP="001977A4">
      <w:pPr>
        <w:rPr>
          <w:sz w:val="18"/>
          <w:szCs w:val="18"/>
          <w:lang w:val="en-US"/>
        </w:rPr>
      </w:pPr>
      <w:r w:rsidRPr="0098228F">
        <w:rPr>
          <w:rStyle w:val="Appelnotedebasdep"/>
          <w:sz w:val="18"/>
          <w:szCs w:val="18"/>
        </w:rPr>
        <w:footnoteRef/>
      </w:r>
      <w:r w:rsidRPr="00540C2E">
        <w:rPr>
          <w:i/>
          <w:color w:val="0462C2"/>
          <w:sz w:val="18"/>
          <w:szCs w:val="18"/>
          <w:lang w:val="en-US"/>
        </w:rPr>
        <w:t>https://worldbankgroup.sharepoint.com/sites/wbunits/opcs/Knowledge%20Base/Public%20Consultations%20in% 20WB%20Operations.pdf</w:t>
      </w:r>
    </w:p>
  </w:footnote>
  <w:footnote w:id="8">
    <w:p w14:paraId="40EA6F42" w14:textId="77777777" w:rsidR="00510ABB" w:rsidRPr="00233ECF" w:rsidRDefault="00510ABB" w:rsidP="005C5EB1">
      <w:pPr>
        <w:pStyle w:val="Notedebasdepage"/>
        <w:rPr>
          <w:lang w:val="es-ES"/>
        </w:rPr>
      </w:pPr>
      <w:r>
        <w:rPr>
          <w:rStyle w:val="Appelnotedebasdep"/>
        </w:rPr>
        <w:footnoteRef/>
      </w:r>
      <w:hyperlink r:id="rId2" w:history="1">
        <w:r w:rsidRPr="005C5EB1">
          <w:rPr>
            <w:rStyle w:val="Lienhypertexte"/>
            <w:lang w:val="es-ES"/>
          </w:rPr>
          <w:t>http://pubdocs.worldbank.org/en/296041548955886585/Good-Practice-Note-Addressing-Gender-Based-Violence-french.pdf</w:t>
        </w:r>
      </w:hyperlink>
      <w:r w:rsidRPr="005C5EB1">
        <w:rPr>
          <w:lang w:val="es-ES"/>
        </w:rPr>
        <w:t xml:space="preserve"> </w:t>
      </w:r>
    </w:p>
  </w:footnote>
  <w:footnote w:id="9">
    <w:p w14:paraId="7CBB1190" w14:textId="77777777" w:rsidR="00510ABB" w:rsidRPr="00FA524C" w:rsidRDefault="00510ABB" w:rsidP="005C5EB1">
      <w:pPr>
        <w:pStyle w:val="Notedebasdepage"/>
        <w:tabs>
          <w:tab w:val="left" w:pos="0"/>
        </w:tabs>
        <w:rPr>
          <w:lang w:val="es-ES"/>
        </w:rPr>
      </w:pPr>
      <w:r>
        <w:rPr>
          <w:rStyle w:val="Appelnotedebasdep"/>
        </w:rPr>
        <w:footnoteRef/>
      </w:r>
      <w:r w:rsidRPr="00FA524C">
        <w:rPr>
          <w:lang w:val="es-ES"/>
        </w:rPr>
        <w:t xml:space="preserve"> Bana bateke ba mvula ya mwinshi mwa 18 kabiena bikengedibwa kubangata kumudi nansha oho mwikale wa mukese. Bidi bikengela kumanya mvula ya muntu onso kumpala kwa kumwangata ku mudimu. </w:t>
      </w:r>
      <w:r>
        <w:rPr>
          <w:lang w:val="es-ES"/>
        </w:rPr>
        <w:t>Bobumwe ne kwangata nsongakaji wa mvula ya mwinshi mwa 18 nkukandikibwe bikole.</w:t>
      </w:r>
      <w:r w:rsidRPr="00FA524C">
        <w:rPr>
          <w:lang w:val="es-ES"/>
        </w:rPr>
        <w:t>.</w:t>
      </w:r>
    </w:p>
  </w:footnote>
  <w:footnote w:id="10">
    <w:p w14:paraId="2F9DB24E" w14:textId="77777777" w:rsidR="00510ABB" w:rsidRPr="00730A4A" w:rsidRDefault="00510ABB" w:rsidP="005C5EB1">
      <w:pPr>
        <w:autoSpaceDE w:val="0"/>
        <w:autoSpaceDN w:val="0"/>
        <w:adjustRightInd w:val="0"/>
        <w:spacing w:line="240" w:lineRule="auto"/>
        <w:rPr>
          <w:rFonts w:ascii="Calibri" w:eastAsia="Calibri" w:hAnsi="Calibri" w:cs="Calibri"/>
          <w:color w:val="0563C2"/>
          <w:sz w:val="22"/>
          <w:lang w:val="es-ES" w:eastAsia="en-US"/>
        </w:rPr>
      </w:pPr>
      <w:r>
        <w:rPr>
          <w:rStyle w:val="Appelnotedebasdep"/>
        </w:rPr>
        <w:footnoteRef/>
      </w:r>
      <w:r w:rsidRPr="00730A4A">
        <w:rPr>
          <w:rFonts w:ascii="Calibri" w:eastAsia="Calibri" w:hAnsi="Calibri"/>
          <w:i/>
          <w:color w:val="0563C2"/>
          <w:sz w:val="22"/>
          <w:lang w:val="es-ES" w:eastAsia="en-US"/>
        </w:rPr>
        <w:t>https://worldbankgroup.sharepoint.com/sites/wbunits/opcs/Knowledge%20Base/Public%20Consultations%20in%20WB%20Operations.pdf</w:t>
      </w:r>
    </w:p>
    <w:p w14:paraId="4FCE30E1" w14:textId="77777777" w:rsidR="00510ABB" w:rsidRPr="00392C88" w:rsidRDefault="00510ABB" w:rsidP="005C5EB1">
      <w:pPr>
        <w:pStyle w:val="Notedebasdepage"/>
        <w:rPr>
          <w:lang w:val="es-ES"/>
        </w:rPr>
      </w:pPr>
    </w:p>
  </w:footnote>
  <w:footnote w:id="11">
    <w:p w14:paraId="3435F9B6" w14:textId="77777777" w:rsidR="00510ABB" w:rsidRPr="00233ECF" w:rsidRDefault="00510ABB" w:rsidP="000326DA">
      <w:pPr>
        <w:pStyle w:val="Notedebasdepage"/>
        <w:rPr>
          <w:lang w:val="es-ES"/>
        </w:rPr>
      </w:pPr>
      <w:r>
        <w:rPr>
          <w:rStyle w:val="Appelnotedebasdep"/>
        </w:rPr>
        <w:footnoteRef/>
      </w:r>
      <w:hyperlink r:id="rId3" w:history="1">
        <w:r w:rsidRPr="000326DA">
          <w:rPr>
            <w:rStyle w:val="Lienhypertexte"/>
            <w:lang w:val="es-ES"/>
          </w:rPr>
          <w:t>http://pubdocs.worldbank.org/en/296041548955886585/Good-Practice-Note-Addressing-Gender-Based-Violence-french.pdf</w:t>
        </w:r>
      </w:hyperlink>
      <w:r w:rsidRPr="000326DA">
        <w:rPr>
          <w:lang w:val="es-ES"/>
        </w:rPr>
        <w:t xml:space="preserve"> </w:t>
      </w:r>
    </w:p>
  </w:footnote>
  <w:footnote w:id="12">
    <w:p w14:paraId="15B98A05" w14:textId="77777777" w:rsidR="00510ABB" w:rsidRPr="006C5842" w:rsidRDefault="00510ABB" w:rsidP="000326DA">
      <w:pPr>
        <w:pStyle w:val="Notedebasdepage"/>
        <w:tabs>
          <w:tab w:val="left" w:pos="0"/>
        </w:tabs>
        <w:rPr>
          <w:lang w:val="es-ES"/>
        </w:rPr>
      </w:pPr>
      <w:r>
        <w:rPr>
          <w:rStyle w:val="Appelnotedebasdep"/>
        </w:rPr>
        <w:footnoteRef/>
      </w:r>
      <w:r w:rsidRPr="006C5842">
        <w:rPr>
          <w:lang w:val="es-ES"/>
        </w:rPr>
        <w:t xml:space="preserve"> Mwana fioti kele mwana yayi kele na ba mvula ya nsi ya 18, ataku mikanu ya bisika ya bwala tatuba buna ve. Kuzaba ve mvula ya mutu ya kupesa kisalu ta ndimama ve na kisalu yayi. Kubaka mwana nkentu ya mvula ya nsi ya 18 kele disumu ya nene yayi kele na etumbu ya nene mpi, ataku yandi ndimaka yawu. </w:t>
      </w:r>
    </w:p>
  </w:footnote>
  <w:footnote w:id="13">
    <w:p w14:paraId="09F09F90" w14:textId="77777777" w:rsidR="00510ABB" w:rsidRPr="00730A4A" w:rsidRDefault="00510ABB" w:rsidP="000326DA">
      <w:pPr>
        <w:autoSpaceDE w:val="0"/>
        <w:autoSpaceDN w:val="0"/>
        <w:adjustRightInd w:val="0"/>
        <w:spacing w:line="240" w:lineRule="auto"/>
        <w:rPr>
          <w:rFonts w:ascii="Calibri" w:eastAsia="Calibri" w:hAnsi="Calibri" w:cs="Calibri"/>
          <w:color w:val="0563C2"/>
          <w:sz w:val="22"/>
          <w:lang w:val="es-ES" w:eastAsia="en-US"/>
        </w:rPr>
      </w:pPr>
      <w:r>
        <w:rPr>
          <w:rStyle w:val="Appelnotedebasdep"/>
        </w:rPr>
        <w:footnoteRef/>
      </w:r>
      <w:r w:rsidRPr="00730A4A">
        <w:rPr>
          <w:rFonts w:ascii="Calibri" w:eastAsia="Calibri" w:hAnsi="Calibri"/>
          <w:i/>
          <w:color w:val="0563C2"/>
          <w:sz w:val="22"/>
          <w:lang w:val="es-ES" w:eastAsia="en-US"/>
        </w:rPr>
        <w:t>https://worldbankgroup.sharepoint.com/sites/wbunits/opcs/Knowledge%20Base/Public%20Consultations%20in%20WB%20Operations.pdf</w:t>
      </w:r>
    </w:p>
    <w:p w14:paraId="6F25FE33" w14:textId="77777777" w:rsidR="00510ABB" w:rsidRPr="006C5842" w:rsidRDefault="00510ABB" w:rsidP="000326DA">
      <w:pPr>
        <w:pStyle w:val="Notedebasdepage"/>
        <w:rPr>
          <w:lang w:val="es-ES"/>
        </w:rPr>
      </w:pPr>
    </w:p>
  </w:footnote>
  <w:footnote w:id="14">
    <w:p w14:paraId="1F95CEC9" w14:textId="77777777" w:rsidR="00510ABB" w:rsidRPr="000326DA" w:rsidRDefault="00510ABB" w:rsidP="000326DA">
      <w:pPr>
        <w:pStyle w:val="Notedebasdepage"/>
        <w:rPr>
          <w:lang w:val="es-ES"/>
        </w:rPr>
      </w:pPr>
      <w:r>
        <w:rPr>
          <w:rStyle w:val="Appelnotedebasdep"/>
        </w:rPr>
        <w:footnoteRef/>
      </w:r>
      <w:r w:rsidRPr="00750ECC">
        <w:rPr>
          <w:rStyle w:val="Appelnotedebasdep"/>
          <w:sz w:val="18"/>
          <w:szCs w:val="18"/>
        </w:rPr>
        <w:footnoteRef/>
      </w:r>
      <w:r w:rsidRPr="00750ECC">
        <w:rPr>
          <w:sz w:val="18"/>
          <w:szCs w:val="18"/>
          <w:lang w:val="es-ES"/>
        </w:rPr>
        <w:t xml:space="preserve"> http://pubdocs.worldbank.org/en/215761593706525660/ESF-GPN-SEASH-in-major-civil-works-French.pdf</w:t>
      </w:r>
      <w:r w:rsidRPr="00750ECC" w:rsidDel="00EE17FF">
        <w:rPr>
          <w:sz w:val="18"/>
          <w:szCs w:val="18"/>
          <w:lang w:val="es-ES"/>
        </w:rPr>
        <w:t xml:space="preserve"> </w:t>
      </w:r>
      <w:r w:rsidRPr="00750ECC">
        <w:rPr>
          <w:sz w:val="18"/>
          <w:szCs w:val="18"/>
          <w:lang w:val="es-ES"/>
        </w:rPr>
        <w:t xml:space="preserve"> </w:t>
      </w:r>
      <w:r>
        <w:rPr>
          <w:sz w:val="18"/>
          <w:szCs w:val="18"/>
          <w:lang w:val="es-ES"/>
        </w:rPr>
        <w:t xml:space="preserve"> </w:t>
      </w:r>
    </w:p>
  </w:footnote>
  <w:footnote w:id="15">
    <w:p w14:paraId="512AA9FE" w14:textId="77777777" w:rsidR="00510ABB" w:rsidRDefault="00510ABB" w:rsidP="000326DA">
      <w:pPr>
        <w:pStyle w:val="Notedebasdepage"/>
      </w:pPr>
      <w:r>
        <w:rPr>
          <w:rStyle w:val="Appelnotedebasdep"/>
        </w:rPr>
        <w:footnoteRef/>
      </w:r>
      <w:r>
        <w:t xml:space="preserve"> </w:t>
      </w:r>
      <w:r w:rsidRPr="00FD38C4">
        <w:t>Le mineur serait toute personne de moins de 18 ans, même si la législation locale a une définition différente (âge du consentement inférieur à 18 ans). Le manque de connaissances sur l'âge de la personne ne sera pas accepté comme justification. L'accord du mineur à une relation sexuelle ne sera pas accepté non plus, car les mineurs ne sont pas en mesure de donner un consentement éclairé.</w:t>
      </w:r>
    </w:p>
  </w:footnote>
  <w:footnote w:id="16">
    <w:p w14:paraId="6CC85F38" w14:textId="77777777" w:rsidR="00510ABB" w:rsidRPr="00AC4FCB" w:rsidRDefault="00510ABB" w:rsidP="00874483">
      <w:pPr>
        <w:pStyle w:val="Notedebasdepage"/>
        <w:rPr>
          <w:i/>
          <w:lang w:val="es-ES"/>
        </w:rPr>
      </w:pPr>
      <w:r w:rsidRPr="00AC4FCB">
        <w:rPr>
          <w:rStyle w:val="Appelnotedebasdep"/>
          <w:i/>
        </w:rPr>
        <w:footnoteRef/>
      </w:r>
      <w:hyperlink r:id="rId4" w:history="1">
        <w:r w:rsidRPr="00AC4FCB">
          <w:rPr>
            <w:rStyle w:val="Lienhypertexte"/>
            <w:i/>
            <w:lang w:val="es-ES"/>
          </w:rPr>
          <w:t>http://pubdocs.worldbank.org/en/296041548955886585/Good-Practice-Note-Addressing-Gender-Based-Violence-french.pdf</w:t>
        </w:r>
      </w:hyperlink>
    </w:p>
    <w:p w14:paraId="5DF9E167" w14:textId="77777777" w:rsidR="00510ABB" w:rsidRPr="0031447D" w:rsidRDefault="00510ABB" w:rsidP="00874483">
      <w:pPr>
        <w:pStyle w:val="Notedebasdepage"/>
        <w:rPr>
          <w:lang w:val="es-ES"/>
        </w:rPr>
      </w:pPr>
    </w:p>
  </w:footnote>
  <w:footnote w:id="17">
    <w:p w14:paraId="56490236" w14:textId="77777777" w:rsidR="00510ABB" w:rsidRPr="007A6C83" w:rsidRDefault="00510ABB">
      <w:pPr>
        <w:pStyle w:val="Notedebasdepage"/>
        <w:rPr>
          <w:lang w:val="es-ES"/>
        </w:rPr>
      </w:pPr>
      <w:r>
        <w:rPr>
          <w:rStyle w:val="Appelnotedebasdep"/>
        </w:rPr>
        <w:footnoteRef/>
      </w:r>
      <w:r w:rsidRPr="007A6C83">
        <w:rPr>
          <w:lang w:val="es-ES"/>
        </w:rPr>
        <w:t xml:space="preserve"> </w:t>
      </w:r>
      <w:r w:rsidRPr="007A6C83">
        <w:rPr>
          <w:rStyle w:val="Lienhypertexte"/>
          <w:i/>
          <w:lang w:val="es-ES"/>
        </w:rPr>
        <w:t>http://www.ifc.org/ifcext/sustainability.n</w:t>
      </w:r>
      <w:r w:rsidRPr="007C46F5">
        <w:rPr>
          <w:rStyle w:val="Lienhypertexte"/>
          <w:i/>
          <w:lang w:val="es-ES"/>
        </w:rPr>
        <w:t>sf/Content/EnvironmentalGuideli</w:t>
      </w:r>
      <w:r w:rsidRPr="007A6C83">
        <w:rPr>
          <w:rStyle w:val="Lienhypertexte"/>
          <w:i/>
          <w:lang w:val="es-ES"/>
        </w:rPr>
        <w:t>nes</w:t>
      </w:r>
    </w:p>
  </w:footnote>
  <w:footnote w:id="18">
    <w:p w14:paraId="49E6AAA2" w14:textId="77777777" w:rsidR="00510ABB" w:rsidRDefault="00510ABB" w:rsidP="001C2F95">
      <w:pPr>
        <w:pStyle w:val="Notedebasdepage"/>
      </w:pPr>
      <w:r>
        <w:rPr>
          <w:rStyle w:val="Appelnotedebasdep"/>
        </w:rPr>
        <w:footnoteRef/>
      </w:r>
      <w:r>
        <w:t xml:space="preserve"> </w:t>
      </w:r>
      <w:r w:rsidRPr="00F35790">
        <w:rPr>
          <w:rFonts w:cs="Arial"/>
          <w:sz w:val="19"/>
          <w:szCs w:val="19"/>
        </w:rPr>
        <w:t>Banque Mon</w:t>
      </w:r>
      <w:r w:rsidRPr="00A50F5F">
        <w:rPr>
          <w:rFonts w:cs="Arial"/>
          <w:sz w:val="19"/>
          <w:szCs w:val="19"/>
        </w:rPr>
        <w:t>diale, Extrait de principes de sauvegarde du patrimoine culturel physique-guide pratique</w:t>
      </w:r>
      <w:r w:rsidRPr="00F35790">
        <w:rPr>
          <w:rFonts w:cs="Arial"/>
          <w:sz w:val="19"/>
          <w:szCs w:val="19"/>
        </w:rPr>
        <w:t>, mars 2009</w:t>
      </w:r>
      <w:r>
        <w:rPr>
          <w:rFonts w:cs="Arial"/>
          <w:sz w:val="19"/>
          <w:szCs w:val="19"/>
        </w:rPr>
        <w:t>.</w:t>
      </w:r>
    </w:p>
  </w:footnote>
  <w:footnote w:id="19">
    <w:p w14:paraId="312CDA99" w14:textId="77777777" w:rsidR="00510ABB" w:rsidRPr="00730A4A" w:rsidRDefault="00510ABB" w:rsidP="001C2F95">
      <w:pPr>
        <w:autoSpaceDE w:val="0"/>
        <w:autoSpaceDN w:val="0"/>
        <w:adjustRightInd w:val="0"/>
        <w:spacing w:line="240" w:lineRule="auto"/>
        <w:rPr>
          <w:rFonts w:ascii="Calibri" w:eastAsia="Calibri" w:hAnsi="Calibri" w:cs="Calibri"/>
          <w:color w:val="000000"/>
          <w:sz w:val="22"/>
          <w:lang w:val="fr" w:eastAsia="en-US"/>
        </w:rPr>
      </w:pPr>
      <w:r>
        <w:rPr>
          <w:rStyle w:val="Appelnotedebasdep"/>
        </w:rPr>
        <w:footnoteRef/>
      </w:r>
      <w:r w:rsidRPr="00730A4A">
        <w:rPr>
          <w:rFonts w:eastAsia="Calibri" w:cs="Arial"/>
          <w:color w:val="0563C2"/>
          <w:sz w:val="20"/>
          <w:szCs w:val="20"/>
          <w:lang w:val="fr" w:eastAsia="en-US"/>
        </w:rPr>
        <w:t>https://www.ifc.org/wps/wcm/connect/topics_ext_content/ifc_external_corporate_site/sustainability-at-ifc/policies-standards/ehs-guidelines</w:t>
      </w:r>
    </w:p>
    <w:p w14:paraId="20CAFFF1" w14:textId="77777777" w:rsidR="00510ABB" w:rsidRDefault="00510ABB" w:rsidP="001C2F95">
      <w:pPr>
        <w:pStyle w:val="Notedebasdepage"/>
      </w:pPr>
    </w:p>
  </w:footnote>
  <w:footnote w:id="20">
    <w:p w14:paraId="26C98AA8" w14:textId="77777777" w:rsidR="00510ABB" w:rsidRPr="00972705" w:rsidRDefault="00510ABB" w:rsidP="001C2F95">
      <w:pPr>
        <w:pStyle w:val="Notedebasdepage"/>
      </w:pPr>
      <w:r>
        <w:rPr>
          <w:rStyle w:val="Appelnotedebasdep"/>
        </w:rPr>
        <w:footnoteRef/>
      </w:r>
      <w:r>
        <w:t xml:space="preserve"> </w:t>
      </w:r>
      <w:r w:rsidRPr="00972705">
        <w:rPr>
          <w:i/>
          <w:sz w:val="16"/>
          <w:szCs w:val="16"/>
        </w:rPr>
        <w:t>Banque mondiale, octobre 2008 : Note de bonnes pratiques – Évaluation et gestion des risques et effets du recours à du personnel de sécurité</w:t>
      </w:r>
    </w:p>
  </w:footnote>
  <w:footnote w:id="21">
    <w:p w14:paraId="1CD91B29" w14:textId="77777777" w:rsidR="00510ABB" w:rsidRPr="00730A4A" w:rsidRDefault="00510ABB" w:rsidP="001C2F95">
      <w:pPr>
        <w:autoSpaceDE w:val="0"/>
        <w:autoSpaceDN w:val="0"/>
        <w:adjustRightInd w:val="0"/>
        <w:spacing w:line="240" w:lineRule="auto"/>
        <w:rPr>
          <w:rFonts w:eastAsia="Calibri" w:cs="Arial"/>
          <w:color w:val="0563C2"/>
          <w:sz w:val="18"/>
          <w:szCs w:val="18"/>
          <w:lang w:eastAsia="en-US"/>
        </w:rPr>
      </w:pPr>
      <w:r w:rsidRPr="00FF4CBB">
        <w:rPr>
          <w:rStyle w:val="Appelnotedebasdep"/>
          <w:rFonts w:cs="Arial"/>
          <w:sz w:val="18"/>
          <w:szCs w:val="18"/>
        </w:rPr>
        <w:footnoteRef/>
      </w:r>
      <w:r w:rsidRPr="00730A4A">
        <w:rPr>
          <w:rFonts w:eastAsia="Calibri" w:cs="Arial"/>
          <w:color w:val="0563C2"/>
          <w:sz w:val="18"/>
          <w:szCs w:val="18"/>
          <w:lang w:val="fr" w:eastAsia="en-US"/>
        </w:rPr>
        <w:t>https://worldbankgroup.sharepoint.com/sites/wbunits/opcs/Knowledge%20Base/Public%20Consultations%20in%20WB%20Operations.pdf</w:t>
      </w:r>
    </w:p>
    <w:p w14:paraId="4FF3BC59" w14:textId="77777777" w:rsidR="00510ABB" w:rsidRDefault="00510ABB" w:rsidP="001C2F95">
      <w:pPr>
        <w:pStyle w:val="Notedebasdepage"/>
      </w:pPr>
    </w:p>
  </w:footnote>
  <w:footnote w:id="22">
    <w:p w14:paraId="548D94F9" w14:textId="77777777" w:rsidR="00510ABB" w:rsidRPr="007E3D1A" w:rsidRDefault="00510ABB" w:rsidP="00871A3A">
      <w:r w:rsidRPr="007E3D1A">
        <w:footnoteRef/>
      </w:r>
      <w:r w:rsidRPr="007E3D1A">
        <w:t xml:space="preserve"> Le score attribué est sélectionné en rouge</w:t>
      </w:r>
    </w:p>
  </w:footnote>
  <w:footnote w:id="23">
    <w:p w14:paraId="5698EAD9" w14:textId="77777777" w:rsidR="00510ABB" w:rsidRPr="007E3D1A" w:rsidRDefault="00510ABB" w:rsidP="00871A3A">
      <w:r w:rsidRPr="007E3D1A">
        <w:footnoteRef/>
      </w:r>
      <w:r w:rsidRPr="007E3D1A">
        <w:t xml:space="preserve"> Le score attribué est sélectionné en rouge</w:t>
      </w:r>
    </w:p>
  </w:footnote>
  <w:footnote w:id="24">
    <w:p w14:paraId="4376713B" w14:textId="77777777" w:rsidR="00510ABB" w:rsidRPr="007E3D1A" w:rsidRDefault="00510ABB" w:rsidP="00871A3A">
      <w:r w:rsidRPr="007E3D1A">
        <w:footnoteRef/>
      </w:r>
      <w:r w:rsidRPr="007E3D1A">
        <w:t xml:space="preserve"> Le résultat correspond à la somme des scores obtenus pendant la Phase des travaux et la Phase d’exploitation</w:t>
      </w:r>
    </w:p>
  </w:footnote>
  <w:footnote w:id="25">
    <w:p w14:paraId="31E2BB94" w14:textId="77777777" w:rsidR="00510ABB" w:rsidRPr="007E3D1A" w:rsidRDefault="00510ABB" w:rsidP="00871A3A">
      <w:r w:rsidRPr="007E3D1A">
        <w:footnoteRef/>
      </w:r>
      <w:r w:rsidRPr="007E3D1A">
        <w:t xml:space="preserve"> Le commentaire permet de justifier le score attribué « Oui (majeur) = 2 », « Oui (mineur) = 1 » ou «Non = 0 » </w:t>
      </w:r>
    </w:p>
  </w:footnote>
  <w:footnote w:id="26">
    <w:p w14:paraId="6242D9C1" w14:textId="77777777" w:rsidR="00510ABB" w:rsidRPr="007E3D1A" w:rsidRDefault="00510ABB" w:rsidP="00871A3A">
      <w:r w:rsidRPr="007E3D1A">
        <w:footnoteRef/>
      </w:r>
      <w:r w:rsidRPr="007E3D1A">
        <w:t xml:space="preserve"> Banque Mondiale, Extrait de principes de sauvegarde du patrimoine culturel physique-guide pratique, mars 2009,</w:t>
      </w:r>
    </w:p>
  </w:footnote>
  <w:footnote w:id="27">
    <w:p w14:paraId="39A8BBC6" w14:textId="77777777" w:rsidR="00510ABB" w:rsidRPr="007E3D1A" w:rsidRDefault="00510ABB" w:rsidP="00871A3A">
      <w:r w:rsidRPr="007E3D1A">
        <w:footnoteRef/>
      </w:r>
      <w:r w:rsidRPr="007E3D1A">
        <w:t xml:space="preserve"> La structure et le contenu des EIES sont fondés sur les exigences détaillées dans la Section B., paragraphes 23-35 de la Norme Environnementale et Sociale de la Banque mondiale relative à l’Évaluation et la gestion des risques et effets environnementaux et sociaux (NES1), ainsi que dans les annexes D. et E. de la NES1. Voir :</w:t>
      </w:r>
      <w:r w:rsidRPr="007E3D1A">
        <w:br/>
      </w:r>
      <w:hyperlink r:id="rId5" w:anchor="page=29&amp;zoom=80" w:history="1">
        <w:r w:rsidRPr="007E3D1A">
          <w:t>http://pubdocs.worldbank.org/en/936531525368193913/Environmental-Social-Framework-French2.pdf#page=29&amp;zoom=80</w:t>
        </w:r>
      </w:hyperlink>
    </w:p>
    <w:p w14:paraId="19385BAC" w14:textId="77777777" w:rsidR="00510ABB" w:rsidRPr="007E3D1A" w:rsidRDefault="00510ABB" w:rsidP="00871A3A">
      <w:r w:rsidRPr="007E3D1A">
        <w:tab/>
        <w:t>Prière noter que les TdRs utilisent le terme « impact » plutôt qu’« effet », afin de faciliter la correspondance avec la réglementation nationale.</w:t>
      </w:r>
    </w:p>
  </w:footnote>
  <w:footnote w:id="28">
    <w:p w14:paraId="22218691" w14:textId="77777777" w:rsidR="00510ABB" w:rsidRPr="007E3D1A" w:rsidRDefault="00510ABB" w:rsidP="00871A3A">
      <w:r w:rsidRPr="007E3D1A">
        <w:footnoteRef/>
      </w:r>
      <w:r w:rsidRPr="007E3D1A">
        <w:t xml:space="preserve"> Les installations associées sont des installations ou des activités qui ne sont pas financées dans le cadre du projet, mais qui, selon la Banque, sont : a) associées directement et étroitement au projet ; b) réalisées ou censées l’être en même temps que le projet ; et c) nécessaires pour la viabilité du projet et n’auraient pas été construites, agrandies ou réalisées si le projet n’avait pas existé.</w:t>
      </w:r>
    </w:p>
  </w:footnote>
  <w:footnote w:id="29">
    <w:p w14:paraId="7B341B2D" w14:textId="77777777" w:rsidR="00510ABB" w:rsidRPr="007E3D1A" w:rsidRDefault="00510ABB" w:rsidP="00871A3A">
      <w:r w:rsidRPr="007E3D1A">
        <w:footnoteRef/>
      </w:r>
      <w:r w:rsidRPr="007E3D1A">
        <w:t xml:space="preserve">  ESS 9 sur les Intermédiaires financiers n’est pas pertinente au sousprojet.  Les 9 autres normes sont pertinentes :</w:t>
      </w:r>
    </w:p>
    <w:p w14:paraId="19037786" w14:textId="77777777" w:rsidR="00510ABB" w:rsidRPr="007E3D1A" w:rsidRDefault="00510ABB" w:rsidP="00871A3A">
      <w:r w:rsidRPr="007E3D1A">
        <w:t>NES 1</w:t>
      </w:r>
      <w:r w:rsidRPr="007E3D1A">
        <w:tab/>
      </w:r>
      <w:r w:rsidRPr="007E3D1A">
        <w:tab/>
        <w:t>Évaluation et gestion des risques et effets environnementaux et sociaux</w:t>
      </w:r>
    </w:p>
    <w:p w14:paraId="350D11FE" w14:textId="77777777" w:rsidR="00510ABB" w:rsidRPr="007E3D1A" w:rsidRDefault="00510ABB" w:rsidP="00871A3A">
      <w:r w:rsidRPr="007E3D1A">
        <w:t>NES 2</w:t>
      </w:r>
      <w:r w:rsidRPr="007E3D1A">
        <w:tab/>
      </w:r>
      <w:r w:rsidRPr="007E3D1A">
        <w:tab/>
        <w:t>Emploi et conditions de travail</w:t>
      </w:r>
    </w:p>
    <w:p w14:paraId="51780D99" w14:textId="77777777" w:rsidR="00510ABB" w:rsidRPr="007E3D1A" w:rsidRDefault="00510ABB" w:rsidP="00871A3A">
      <w:r w:rsidRPr="007E3D1A">
        <w:t>NES 3</w:t>
      </w:r>
      <w:r w:rsidRPr="007E3D1A">
        <w:tab/>
      </w:r>
      <w:r w:rsidRPr="007E3D1A">
        <w:tab/>
        <w:t>Utilisation rationnelle des ressources et prévention et gestion de la pollution</w:t>
      </w:r>
    </w:p>
    <w:p w14:paraId="05AE75A3" w14:textId="77777777" w:rsidR="00510ABB" w:rsidRPr="007E3D1A" w:rsidRDefault="00510ABB" w:rsidP="00871A3A">
      <w:r w:rsidRPr="007E3D1A">
        <w:t>NES 4</w:t>
      </w:r>
      <w:r w:rsidRPr="007E3D1A">
        <w:tab/>
      </w:r>
      <w:r w:rsidRPr="007E3D1A">
        <w:tab/>
        <w:t>Santé et sécurité des populations</w:t>
      </w:r>
    </w:p>
    <w:p w14:paraId="10E39388" w14:textId="77777777" w:rsidR="00510ABB" w:rsidRPr="007E3D1A" w:rsidRDefault="00510ABB" w:rsidP="00871A3A">
      <w:r w:rsidRPr="007E3D1A">
        <w:t>NES 5</w:t>
      </w:r>
      <w:r w:rsidRPr="007E3D1A">
        <w:tab/>
      </w:r>
      <w:r w:rsidRPr="007E3D1A">
        <w:tab/>
        <w:t>Acquisition des terres, restrictions à l’utilisation des terres et réinstallation involontaire</w:t>
      </w:r>
    </w:p>
    <w:p w14:paraId="059F8D6B" w14:textId="77777777" w:rsidR="00510ABB" w:rsidRPr="007E3D1A" w:rsidRDefault="00510ABB" w:rsidP="00871A3A">
      <w:r w:rsidRPr="007E3D1A">
        <w:t>NES 6</w:t>
      </w:r>
      <w:r w:rsidRPr="007E3D1A">
        <w:tab/>
      </w:r>
      <w:r w:rsidRPr="007E3D1A">
        <w:tab/>
        <w:t>Conservation de la biodiversité et gestion durable des ressources naturelles biologiques</w:t>
      </w:r>
    </w:p>
    <w:p w14:paraId="55010083" w14:textId="77777777" w:rsidR="00510ABB" w:rsidRPr="007E3D1A" w:rsidRDefault="00510ABB" w:rsidP="00871A3A">
      <w:r w:rsidRPr="007E3D1A">
        <w:t>NES 7</w:t>
      </w:r>
      <w:r w:rsidRPr="007E3D1A">
        <w:tab/>
      </w:r>
      <w:r w:rsidRPr="007E3D1A">
        <w:tab/>
        <w:t>Peuples autochtones/communautés locales traditionnelles d’Afrique subsaharienne historiquement défavorisées</w:t>
      </w:r>
    </w:p>
    <w:p w14:paraId="227D75BD" w14:textId="77777777" w:rsidR="00510ABB" w:rsidRPr="007E3D1A" w:rsidRDefault="00510ABB" w:rsidP="00871A3A">
      <w:r w:rsidRPr="007E3D1A">
        <w:t>NES 8</w:t>
      </w:r>
      <w:r w:rsidRPr="007E3D1A">
        <w:tab/>
      </w:r>
      <w:r w:rsidRPr="007E3D1A">
        <w:tab/>
        <w:t>Patrimoine Culturel</w:t>
      </w:r>
    </w:p>
    <w:p w14:paraId="421A8676" w14:textId="77777777" w:rsidR="00510ABB" w:rsidRPr="007E3D1A" w:rsidRDefault="00510ABB" w:rsidP="00871A3A">
      <w:r w:rsidRPr="007E3D1A">
        <w:t>NES 10</w:t>
      </w:r>
      <w:r w:rsidRPr="007E3D1A">
        <w:tab/>
      </w:r>
      <w:r w:rsidRPr="007E3D1A">
        <w:tab/>
        <w:t>Mobilisation des parties prenantes et information</w:t>
      </w:r>
    </w:p>
  </w:footnote>
  <w:footnote w:id="30">
    <w:p w14:paraId="0EA53C8E" w14:textId="77777777" w:rsidR="00510ABB" w:rsidRPr="007E3D1A" w:rsidRDefault="00510ABB" w:rsidP="00871A3A">
      <w:r w:rsidRPr="007E3D1A">
        <w:footnoteRef/>
      </w:r>
      <w:r w:rsidRPr="007E3D1A">
        <w:t xml:space="preserve"> </w:t>
      </w:r>
      <w:hyperlink r:id="rId6" w:history="1">
        <w:r w:rsidRPr="007E3D1A">
          <w:t>https://www.ifc.org/wps/wcm/connect/d4260b19-30f2-466d-9c7e-86ac0ece7e89/010_General%2BGuidelines.pdf?MOD=AJPERES&amp;CVID=jkD2Am7&amp;ContentCache=NONE&amp;CACHE=NONE</w:t>
        </w:r>
      </w:hyperlink>
    </w:p>
  </w:footnote>
  <w:footnote w:id="31">
    <w:p w14:paraId="7410C556" w14:textId="77777777" w:rsidR="00510ABB" w:rsidRPr="007E3D1A" w:rsidRDefault="00510ABB" w:rsidP="00871A3A">
      <w:r w:rsidRPr="007E3D1A">
        <w:footnoteRef/>
      </w:r>
      <w:r w:rsidRPr="007E3D1A">
        <w:t xml:space="preserve"> Les sources éventuelles de ces informations incluent les données des Enquêtes démographiques et de santé des Objectifs de développement durable sur l’égalité entre les sexes. </w:t>
      </w:r>
    </w:p>
  </w:footnote>
  <w:footnote w:id="32">
    <w:p w14:paraId="426F6576" w14:textId="77777777" w:rsidR="00510ABB" w:rsidRPr="007E3D1A" w:rsidRDefault="00510ABB" w:rsidP="00871A3A">
      <w:r w:rsidRPr="007E3D1A">
        <w:footnoteRef/>
      </w:r>
      <w:r w:rsidRPr="007E3D1A">
        <w:t xml:space="preserve"> Les services en matière de VBG doivent être alignés sur les normes définies selon les principes et les pratiques modèles nationales et internationales, notamment les Principes de l’OMS pour la gestion clinique des victimes de viol et l’Outil d’évaluation de l’assurance de la qualité en matière de VBG, les principes de l’UNICEF/IRC relatifs aux soins cliniques aux enfants survivants d’agressions sexuelles, les principes inter-institutions pour la gestion des cas de VBG et les Normes minimales du FNUAP pour la prévention et la réponse à la VBG. </w:t>
      </w:r>
    </w:p>
  </w:footnote>
  <w:footnote w:id="33">
    <w:p w14:paraId="46942507" w14:textId="77777777" w:rsidR="00510ABB" w:rsidRPr="007E3D1A" w:rsidRDefault="00510ABB" w:rsidP="00871A3A">
      <w:r w:rsidRPr="007E3D1A">
        <w:footnoteRef/>
      </w:r>
      <w:r w:rsidRPr="007E3D1A">
        <w:t xml:space="preserve"> L’expression « défavorisé » ou « vulnérable » désigne des individus ou des groupes qui risquent davantage de souffrir des effets du projet et/ou sont plus limités que d’autres dans leur capacité à profiter des avantages d’un projet. Ces individus ou ces groupes sont aussi plus susceptibles d’être exclus du processus général de consultation ou de ne pouvoir y participer pleinement, et peuvent de ce fait avoir besoin de mesures et/ou d’une assistance particulière. À cet égard, il faudra tenir compte de considérations liées à l’âge, notamment des personnes âgées et des mineurs, y compris dans les cas où ceux-ci peuvent être séparés de leur famille, de leur communauté ou d’autres individus dont ils dépendent.</w:t>
      </w:r>
    </w:p>
  </w:footnote>
  <w:footnote w:id="34">
    <w:p w14:paraId="3C5D4A1F" w14:textId="77777777" w:rsidR="00510ABB" w:rsidRPr="007E3D1A" w:rsidRDefault="00510ABB" w:rsidP="00871A3A">
      <w:r w:rsidRPr="007E3D1A">
        <w:footnoteRef/>
      </w:r>
      <w:r w:rsidRPr="007E3D1A">
        <w:t xml:space="preserve"> Les services écosystémiques sont les bénéfices que les populations retirent des écosystèmes. Il en existe quatre catégories : i) les services d’approvisionnement, qui désignent les produits que les populations tirent des écosystèmes et qui peuvent inclure les aliments, l’eau douce, le bois d’œuvre, les fibres et les plantes médicinales ; ii) les services de régulation, qui désignent les avantages que les populations tirent de la régulation par les écosystèmes de processus naturels qui peuvent inclure la purification des eaux de surface, le stockage et la fixation du carbone, la régulation du climat et la protection contre les risques naturels ; iii) les services culturels, qui désignent les avantages immatériels que les populations peuvent tirer des écosystèmes et qui peuvent inclure des aires naturelles considérées comme des sites sacrés et des zones importantes pour les activités récréatives et le plaisir esthétique ; et iv) les services de soutien, qui désignent les processus naturels qui maintiennent les autres services et qui peuvent inclure la formation des sols, le cycle des nutriments et la production primaire.</w:t>
      </w:r>
    </w:p>
  </w:footnote>
  <w:footnote w:id="35">
    <w:p w14:paraId="61F1532A" w14:textId="77777777" w:rsidR="00510ABB" w:rsidRPr="007E3D1A" w:rsidRDefault="00510ABB" w:rsidP="00871A3A">
      <w:r w:rsidRPr="007E3D1A">
        <w:footnoteRef/>
      </w:r>
      <w:r w:rsidRPr="007E3D1A">
        <w:t xml:space="preserve"> Le principe de la hiérarchie d’atténuation consiste à :</w:t>
      </w:r>
    </w:p>
    <w:p w14:paraId="02104C2D" w14:textId="77777777" w:rsidR="00510ABB" w:rsidRPr="007E3D1A" w:rsidRDefault="00510ABB" w:rsidP="00871A3A">
      <w:r w:rsidRPr="007E3D1A">
        <w:t>a) anticiper et éviter les risques et les impacts ;</w:t>
      </w:r>
    </w:p>
    <w:p w14:paraId="46470CA0" w14:textId="77777777" w:rsidR="00510ABB" w:rsidRPr="007E3D1A" w:rsidRDefault="00510ABB" w:rsidP="00871A3A">
      <w:r w:rsidRPr="007E3D1A">
        <w:t>b) lorsqu’il n’est pas possible de les éviter, minimiser ou réduire les risques et les impacts à des niveaux acceptables ;</w:t>
      </w:r>
    </w:p>
    <w:p w14:paraId="2EBC2B66" w14:textId="77777777" w:rsidR="00510ABB" w:rsidRPr="007E3D1A" w:rsidRDefault="00510ABB" w:rsidP="00871A3A">
      <w:r w:rsidRPr="007E3D1A">
        <w:t>c) une fois que les risques et les impacts ont été minimisés ou réduits, les atténuer ; et</w:t>
      </w:r>
    </w:p>
    <w:p w14:paraId="03D9A74C" w14:textId="77777777" w:rsidR="00510ABB" w:rsidRPr="007E3D1A" w:rsidRDefault="00510ABB" w:rsidP="00871A3A">
      <w:r w:rsidRPr="007E3D1A">
        <w:t>d) lorsque les impacts résiduels sont importants, les compenser ou les neutraliser si cela est techniquement et financièrement possible.</w:t>
      </w:r>
    </w:p>
  </w:footnote>
  <w:footnote w:id="36">
    <w:p w14:paraId="4FF3CDC6" w14:textId="77777777" w:rsidR="00510ABB" w:rsidRPr="007E3D1A" w:rsidRDefault="00510ABB" w:rsidP="00871A3A"/>
    <w:p w14:paraId="572A037D" w14:textId="77777777" w:rsidR="00510ABB" w:rsidRPr="007E3D1A" w:rsidRDefault="00510ABB" w:rsidP="00871A3A"/>
  </w:footnote>
  <w:footnote w:id="37">
    <w:p w14:paraId="01D4B518" w14:textId="77777777" w:rsidR="00510ABB" w:rsidRPr="007E3D1A" w:rsidRDefault="00510ABB" w:rsidP="00871A3A"/>
    <w:p w14:paraId="583415A9" w14:textId="77777777" w:rsidR="00510ABB" w:rsidRPr="007E3D1A" w:rsidRDefault="00510ABB" w:rsidP="00871A3A"/>
  </w:footnote>
  <w:footnote w:id="38">
    <w:p w14:paraId="612FDA39" w14:textId="77777777" w:rsidR="00510ABB" w:rsidRPr="007E3D1A" w:rsidRDefault="00510ABB" w:rsidP="00871A3A"/>
    <w:p w14:paraId="03D3A7C9" w14:textId="77777777" w:rsidR="00510ABB" w:rsidRPr="007E3D1A" w:rsidRDefault="00510ABB" w:rsidP="00871A3A"/>
  </w:footnote>
  <w:footnote w:id="39">
    <w:p w14:paraId="69D86CC9" w14:textId="77777777" w:rsidR="00510ABB" w:rsidRPr="007E3D1A" w:rsidRDefault="00510ABB" w:rsidP="00871A3A"/>
    <w:p w14:paraId="2ED23FA6" w14:textId="77777777" w:rsidR="00510ABB" w:rsidRPr="007E3D1A" w:rsidRDefault="00510ABB" w:rsidP="00871A3A"/>
  </w:footnote>
  <w:footnote w:id="40">
    <w:p w14:paraId="52E09AF8" w14:textId="77777777" w:rsidR="00510ABB" w:rsidRPr="007E3D1A" w:rsidRDefault="00510ABB" w:rsidP="00871A3A"/>
    <w:p w14:paraId="0DA609DE" w14:textId="77777777" w:rsidR="00510ABB" w:rsidRPr="007E3D1A" w:rsidRDefault="00510ABB" w:rsidP="00871A3A"/>
  </w:footnote>
  <w:footnote w:id="41">
    <w:p w14:paraId="35D54119" w14:textId="77777777" w:rsidR="00510ABB" w:rsidRPr="007E3D1A" w:rsidRDefault="00510ABB" w:rsidP="00871A3A"/>
    <w:p w14:paraId="512F1F71" w14:textId="77777777" w:rsidR="00510ABB" w:rsidRPr="007E3D1A" w:rsidRDefault="00510ABB" w:rsidP="00871A3A"/>
  </w:footnote>
  <w:footnote w:id="42">
    <w:p w14:paraId="17D61735" w14:textId="77777777" w:rsidR="00510ABB" w:rsidRPr="007E3D1A" w:rsidRDefault="00510ABB" w:rsidP="00871A3A"/>
    <w:p w14:paraId="0B4507FA" w14:textId="77777777" w:rsidR="00510ABB" w:rsidRPr="007E3D1A" w:rsidRDefault="00510ABB" w:rsidP="00871A3A"/>
  </w:footnote>
  <w:footnote w:id="43">
    <w:p w14:paraId="724FAC60" w14:textId="77777777" w:rsidR="00510ABB" w:rsidRPr="007E3D1A" w:rsidRDefault="00510ABB" w:rsidP="00871A3A">
      <w:r w:rsidRPr="007E3D1A">
        <w:footnoteRef/>
      </w:r>
      <w:r w:rsidRPr="007E3D1A">
        <w:t xml:space="preserve"> Il est important de noter que les femmes et les filles sont victimes de violence de manière disproportionnée ; dans l'ensemble, 35 pour cent de femmes dans le monde ont dû faire face à la violence physique ou sexuelle (OMS, Estimations mondiales et régionales de la violence contre les femmes : Prévalence et Effets sur la santé de la violence entre partenaires intimes et la violence sexuelle d’un non-partenaire, 2013). Certains hommes et garçons sont également confrontés à la violence basée sur le genre et les relations inégales de pouvoir.</w:t>
      </w:r>
    </w:p>
  </w:footnote>
  <w:footnote w:id="44">
    <w:p w14:paraId="7594E5AB" w14:textId="77777777" w:rsidR="00510ABB" w:rsidRPr="007E3D1A" w:rsidRDefault="00510ABB" w:rsidP="00871A3A">
      <w:r w:rsidRPr="007E3D1A">
        <w:footnoteRef/>
      </w:r>
      <w:r w:rsidRPr="007E3D1A">
        <w:t xml:space="preserve"> Le texte des deux lois peut être trouvé dans le lien ci-dessous (page 61):</w:t>
      </w:r>
    </w:p>
    <w:p w14:paraId="6C3BC8A1" w14:textId="77777777" w:rsidR="00510ABB" w:rsidRPr="007E3D1A" w:rsidRDefault="00652264" w:rsidP="00871A3A">
      <w:hyperlink r:id="rId7" w:history="1">
        <w:r w:rsidR="00510ABB" w:rsidRPr="007E3D1A">
          <w:t>http://www.pnmls.cd/doc/Lois%20portant%20protection%20des%20PVV%20et%20PA,%20Protection%20de%20l'enfant%20et%20contre%20VS%20J.O.%20n%C2%B0%20Sp%C3%A9cial%20du%2025%20mai%202009.pdf</w:t>
        </w:r>
      </w:hyperlink>
      <w:r w:rsidR="00510ABB" w:rsidRPr="007E3D1A">
        <w:t xml:space="preserve"> </w:t>
      </w:r>
    </w:p>
    <w:p w14:paraId="4C8CBDE7" w14:textId="77777777" w:rsidR="00510ABB" w:rsidRPr="007E3D1A" w:rsidRDefault="00510ABB" w:rsidP="00871A3A">
      <w:r w:rsidRPr="007E3D1A">
        <w:tab/>
      </w:r>
    </w:p>
  </w:footnote>
  <w:footnote w:id="45">
    <w:p w14:paraId="4E5E12AC" w14:textId="77777777" w:rsidR="00510ABB" w:rsidRPr="007E3D1A" w:rsidRDefault="00510ABB" w:rsidP="00871A3A">
      <w:r w:rsidRPr="007E3D1A">
        <w:footnoteRef/>
      </w:r>
      <w:r w:rsidRPr="007E3D1A">
        <w:t xml:space="preserve"> Est considéré comme une exploitation, toute relation qui constitue l'exploitation sexuelle, c'est-à-dire tout abus ou tentative d'abus de position de vulnérabilité, de pouvoir différentiel (y compris le pouvoir lié au genre) ou de confiance, à des fins sexuelles, y compris, mais non limité à, profiter financièrement, socialement ou politiquement de l'exploitation sexuelle d'un autre.</w:t>
      </w:r>
    </w:p>
  </w:footnote>
  <w:footnote w:id="46">
    <w:p w14:paraId="1CB986A9" w14:textId="77777777" w:rsidR="002F363F" w:rsidRPr="00FC1876" w:rsidRDefault="002F363F" w:rsidP="002F363F">
      <w:pPr>
        <w:pStyle w:val="Notedebasdepage"/>
        <w:rPr>
          <w:rFonts w:ascii="Calibri" w:hAnsi="Calibri" w:cs="Calibri"/>
          <w:sz w:val="18"/>
          <w:szCs w:val="18"/>
        </w:rPr>
      </w:pPr>
      <w:r w:rsidRPr="00FC1876">
        <w:rPr>
          <w:rStyle w:val="Appelnotedebasdep"/>
          <w:rFonts w:cs="Calibri"/>
          <w:sz w:val="18"/>
          <w:szCs w:val="18"/>
        </w:rPr>
        <w:footnoteRef/>
      </w:r>
      <w:r w:rsidRPr="00FC1876">
        <w:rPr>
          <w:rFonts w:ascii="Calibri" w:hAnsi="Calibri" w:cs="Calibri"/>
          <w:sz w:val="18"/>
          <w:szCs w:val="18"/>
        </w:rPr>
        <w:t xml:space="preserve"> Principes d’éthique et de sécurité recommandés par l’OMS pour la recherche, la documentation et le suivi de la violence sexuelle dans les situations d’urgence (2007) ; Bonnes pratiques du GBVIMS </w:t>
      </w:r>
      <w:hyperlink r:id="rId8" w:history="1">
        <w:r w:rsidRPr="00FC1876">
          <w:rPr>
            <w:rStyle w:val="Lienhypertexte"/>
            <w:rFonts w:ascii="Calibri" w:hAnsi="Calibri" w:cs="Calibri"/>
            <w:sz w:val="18"/>
            <w:szCs w:val="18"/>
          </w:rPr>
          <w:t>http://www.gbvims.com/wp/wp-content/uploads/BestPractices2.pdf</w:t>
        </w:r>
      </w:hyperlink>
      <w:r w:rsidRPr="00FC1876">
        <w:rPr>
          <w:rFonts w:ascii="Calibri" w:hAnsi="Calibri" w:cs="Calibri"/>
          <w:sz w:val="18"/>
          <w:szCs w:val="18"/>
        </w:rPr>
        <w:t>).</w:t>
      </w:r>
    </w:p>
  </w:footnote>
  <w:footnote w:id="47">
    <w:p w14:paraId="146FC5BB" w14:textId="77777777" w:rsidR="002F363F" w:rsidRDefault="002F363F" w:rsidP="002F363F">
      <w:pPr>
        <w:pStyle w:val="Notedebasdepage"/>
      </w:pPr>
      <w:r>
        <w:rPr>
          <w:rStyle w:val="Appelnotedebasdep"/>
        </w:rPr>
        <w:footnoteRef/>
      </w:r>
      <w:r>
        <w:t xml:space="preserve"> Veuillez noter que </w:t>
      </w:r>
      <w:r w:rsidRPr="00641AA3">
        <w:t>ces évaluations ne doivent pas poser de questions sur l'expérience individuelle de la violence ou chercher à interroger les survivants.</w:t>
      </w:r>
    </w:p>
  </w:footnote>
  <w:footnote w:id="48">
    <w:p w14:paraId="1F016396" w14:textId="77777777" w:rsidR="002F363F" w:rsidRPr="00D850EF" w:rsidRDefault="002F363F" w:rsidP="002F363F">
      <w:pPr>
        <w:pStyle w:val="Notedebasdepage"/>
        <w:rPr>
          <w:sz w:val="18"/>
          <w:szCs w:val="18"/>
        </w:rPr>
      </w:pPr>
      <w:r w:rsidRPr="000E0F6A">
        <w:rPr>
          <w:rStyle w:val="Appelnotedebasdep"/>
          <w:sz w:val="18"/>
          <w:szCs w:val="18"/>
        </w:rPr>
        <w:footnoteRef/>
      </w:r>
      <w:r w:rsidRPr="000E0F6A">
        <w:rPr>
          <w:sz w:val="18"/>
          <w:szCs w:val="18"/>
        </w:rPr>
        <w:t xml:space="preserve"> </w:t>
      </w:r>
      <w:r w:rsidRPr="000E0F6A">
        <w:rPr>
          <w:rFonts w:cstheme="minorHAnsi"/>
          <w:color w:val="000000"/>
          <w:sz w:val="18"/>
          <w:szCs w:val="18"/>
        </w:rPr>
        <w:t>Il sied de noter que le MGP doit être fonctionnel lorsque les activités du projet commencent et que les codes de bonne conduite devraient être signés avant le début des travaux par les entreprises.</w:t>
      </w:r>
    </w:p>
  </w:footnote>
  <w:footnote w:id="49">
    <w:p w14:paraId="1356445E" w14:textId="77777777" w:rsidR="002F363F" w:rsidRPr="000E0F6A" w:rsidRDefault="002F363F" w:rsidP="002F363F">
      <w:pPr>
        <w:pStyle w:val="Notedebasdepage"/>
        <w:rPr>
          <w:sz w:val="18"/>
          <w:szCs w:val="18"/>
        </w:rPr>
      </w:pPr>
      <w:r w:rsidRPr="000E0F6A">
        <w:rPr>
          <w:rStyle w:val="Appelnotedebasdep"/>
          <w:sz w:val="18"/>
          <w:szCs w:val="18"/>
        </w:rPr>
        <w:footnoteRef/>
      </w:r>
      <w:r w:rsidRPr="000E0F6A">
        <w:rPr>
          <w:sz w:val="18"/>
          <w:szCs w:val="18"/>
        </w:rPr>
        <w:t xml:space="preserve"> Il sied de noter que le nombre de plaintes reçues n’est pas une indication efficace ou fiable du bon fonctionnement du MGP.</w:t>
      </w:r>
    </w:p>
  </w:footnote>
  <w:footnote w:id="50">
    <w:p w14:paraId="6F897993" w14:textId="77777777" w:rsidR="002F363F" w:rsidRPr="00FC1876" w:rsidRDefault="002F363F" w:rsidP="002F363F">
      <w:pPr>
        <w:pStyle w:val="Notedebasdepage"/>
        <w:rPr>
          <w:rFonts w:ascii="Calibri" w:hAnsi="Calibri" w:cs="Calibri"/>
          <w:sz w:val="18"/>
          <w:szCs w:val="18"/>
        </w:rPr>
      </w:pPr>
      <w:r w:rsidRPr="00FC1876">
        <w:rPr>
          <w:rStyle w:val="Appelnotedebasdep"/>
          <w:rFonts w:cs="Calibri"/>
          <w:sz w:val="18"/>
          <w:szCs w:val="18"/>
        </w:rPr>
        <w:footnoteRef/>
      </w:r>
      <w:r w:rsidRPr="00FC1876">
        <w:rPr>
          <w:rFonts w:ascii="Calibri" w:hAnsi="Calibri" w:cs="Calibri"/>
          <w:sz w:val="18"/>
          <w:szCs w:val="18"/>
        </w:rPr>
        <w:t xml:space="preserve"> Les services devront respecter, entre autres, les standards préconisés dans les ressources suivantes : le Protocole national de référence légale des survivants de violences sexuelles (Ministère de la sante publique et Programme national de la santé de la reproduction, RDC, 2012) ; le Module de formation des prestataires des soins de santé dans la prise en charge des survivants/victimes des violences sexuelles et basées sur le genre (Ministère de la sante publique et Programme national de la santé de la reproduction, RDC, 2012); Gestion clinique des victimes de viol (Organisation mondiale de la santé, 2009) ; La prise en charge des enfants ayant subi des violences sexuelles en situations de crise humanitaire : Guide destiné aux prestataires de services de santé et de services psychosociaux (UNICEF et IRC, 2012) ; Directives relatives à la gestion inter-agence des cas de violence basée sur le genre (IASC, 2017) ; et Normes minimales pour la prévention et la réponse à la violence basée sur le genre dans les situations d’urgence (UNFPA,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B0A5" w14:textId="77777777" w:rsidR="004307B0" w:rsidRDefault="004307B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4F6E" w14:textId="77777777" w:rsidR="00510ABB" w:rsidRDefault="00510ABB">
    <w:pPr>
      <w:pStyle w:val="En-tte"/>
      <w:jc w:val="right"/>
    </w:pPr>
    <w:r>
      <w:fldChar w:fldCharType="begin"/>
    </w:r>
    <w:r>
      <w:instrText>PAGE   \* MERGEFORMAT</w:instrText>
    </w:r>
    <w:r>
      <w:fldChar w:fldCharType="separate"/>
    </w:r>
    <w:r w:rsidR="00FE2B7D">
      <w:rPr>
        <w:noProof/>
      </w:rPr>
      <w:t>ii</w:t>
    </w:r>
    <w:r>
      <w:fldChar w:fldCharType="end"/>
    </w:r>
  </w:p>
  <w:p w14:paraId="0D4EDFBE" w14:textId="77777777" w:rsidR="00510ABB" w:rsidRDefault="00510AB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C6E0F" w14:textId="77777777" w:rsidR="00510ABB" w:rsidRDefault="00510ABB">
    <w:pPr>
      <w:pStyle w:val="En-tte"/>
      <w:jc w:val="right"/>
    </w:pPr>
    <w:r>
      <w:fldChar w:fldCharType="begin"/>
    </w:r>
    <w:r>
      <w:instrText>PAGE   \* MERGEFORMAT</w:instrText>
    </w:r>
    <w:r>
      <w:fldChar w:fldCharType="separate"/>
    </w:r>
    <w:r w:rsidR="001E7436">
      <w:rPr>
        <w:noProof/>
      </w:rPr>
      <w:t>xxxi</w:t>
    </w:r>
    <w:r>
      <w:fldChar w:fldCharType="end"/>
    </w:r>
  </w:p>
  <w:p w14:paraId="25C71FA0" w14:textId="77777777" w:rsidR="00510ABB" w:rsidRDefault="00510AB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5C24" w14:textId="77777777" w:rsidR="00510ABB" w:rsidRDefault="00510ABB">
    <w:pPr>
      <w:pStyle w:val="En-tte"/>
      <w:jc w:val="right"/>
    </w:pPr>
    <w:r>
      <w:fldChar w:fldCharType="begin"/>
    </w:r>
    <w:r>
      <w:instrText xml:space="preserve"> PAGE   \* MERGEFORMAT </w:instrText>
    </w:r>
    <w:r>
      <w:fldChar w:fldCharType="separate"/>
    </w:r>
    <w:r w:rsidR="001E7436">
      <w:rPr>
        <w:noProof/>
      </w:rPr>
      <w:t>xciii</w:t>
    </w:r>
    <w:r>
      <w:rPr>
        <w:noProof/>
      </w:rPr>
      <w:fldChar w:fldCharType="end"/>
    </w:r>
  </w:p>
  <w:p w14:paraId="77FCA43F" w14:textId="77777777" w:rsidR="00510ABB" w:rsidRDefault="00510AB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7A818" w14:textId="77777777" w:rsidR="00510ABB" w:rsidRDefault="00510ABB">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2388799" w14:textId="77777777" w:rsidR="00510ABB" w:rsidRDefault="00510ABB">
    <w:pPr>
      <w:pStyle w:val="En-tte"/>
      <w:ind w:right="360"/>
    </w:pPr>
  </w:p>
  <w:p w14:paraId="4DB6BB1E" w14:textId="77777777" w:rsidR="00510ABB" w:rsidRDefault="00510AB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2F2AD" w14:textId="77777777" w:rsidR="00510ABB" w:rsidRPr="00C80E77" w:rsidRDefault="00510ABB">
    <w:pPr>
      <w:pStyle w:val="En-tte"/>
      <w:jc w:val="right"/>
      <w:rPr>
        <w:rFonts w:ascii="Arial" w:hAnsi="Arial" w:cs="Arial"/>
        <w:sz w:val="18"/>
        <w:szCs w:val="18"/>
      </w:rPr>
    </w:pPr>
    <w:r w:rsidRPr="00C80E77">
      <w:rPr>
        <w:rFonts w:ascii="Arial" w:hAnsi="Arial" w:cs="Arial"/>
        <w:sz w:val="18"/>
        <w:szCs w:val="18"/>
      </w:rPr>
      <w:fldChar w:fldCharType="begin"/>
    </w:r>
    <w:r w:rsidRPr="00C80E77">
      <w:rPr>
        <w:rFonts w:ascii="Arial" w:hAnsi="Arial" w:cs="Arial"/>
        <w:sz w:val="18"/>
        <w:szCs w:val="18"/>
      </w:rPr>
      <w:instrText>PAGE   \* MERGEFORMAT</w:instrText>
    </w:r>
    <w:r w:rsidRPr="00C80E77">
      <w:rPr>
        <w:rFonts w:ascii="Arial" w:hAnsi="Arial" w:cs="Arial"/>
        <w:sz w:val="18"/>
        <w:szCs w:val="18"/>
      </w:rPr>
      <w:fldChar w:fldCharType="separate"/>
    </w:r>
    <w:r w:rsidR="001E7436">
      <w:rPr>
        <w:rFonts w:ascii="Arial" w:hAnsi="Arial" w:cs="Arial"/>
        <w:noProof/>
        <w:sz w:val="18"/>
        <w:szCs w:val="18"/>
      </w:rPr>
      <w:t>282</w:t>
    </w:r>
    <w:r w:rsidRPr="00C80E77">
      <w:rPr>
        <w:rFonts w:ascii="Arial" w:hAnsi="Arial" w:cs="Arial"/>
        <w:sz w:val="18"/>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46591" w14:textId="77777777" w:rsidR="00510ABB" w:rsidRDefault="00510ABB" w:rsidP="00257F9E">
    <w:pPr>
      <w:pStyle w:val="En-tte"/>
      <w:jc w:val="right"/>
    </w:pPr>
    <w:r>
      <w:fldChar w:fldCharType="begin"/>
    </w:r>
    <w:r>
      <w:instrText>PAGE   \* MERGEFORMAT</w:instrText>
    </w:r>
    <w:r>
      <w:fldChar w:fldCharType="separate"/>
    </w:r>
    <w:r w:rsidR="001E7436">
      <w:rPr>
        <w:noProof/>
      </w:rPr>
      <w:t>305</w:t>
    </w:r>
    <w:r>
      <w:fldChar w:fldCharType="end"/>
    </w:r>
  </w:p>
  <w:p w14:paraId="49D979BD" w14:textId="77777777" w:rsidR="00510ABB" w:rsidRDefault="00510AB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725994"/>
    <w:lvl w:ilvl="0">
      <w:start w:val="1"/>
      <w:numFmt w:val="decimal"/>
      <w:pStyle w:val="Listenumros5"/>
      <w:lvlText w:val="%1."/>
      <w:lvlJc w:val="left"/>
      <w:pPr>
        <w:tabs>
          <w:tab w:val="num" w:pos="1492"/>
        </w:tabs>
        <w:ind w:left="1492" w:hanging="360"/>
      </w:pPr>
    </w:lvl>
  </w:abstractNum>
  <w:abstractNum w:abstractNumId="1" w15:restartNumberingAfterBreak="0">
    <w:nsid w:val="FFFFFF83"/>
    <w:multiLevelType w:val="singleLevel"/>
    <w:tmpl w:val="C69A8AF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E5E115A"/>
    <w:lvl w:ilvl="0">
      <w:start w:val="1"/>
      <w:numFmt w:val="decimal"/>
      <w:pStyle w:val="Listenumros"/>
      <w:lvlText w:val="%1."/>
      <w:lvlJc w:val="right"/>
      <w:pPr>
        <w:ind w:left="927" w:hanging="360"/>
      </w:pPr>
      <w:rPr>
        <w:rFonts w:hint="default"/>
      </w:rPr>
    </w:lvl>
  </w:abstractNum>
  <w:abstractNum w:abstractNumId="3" w15:restartNumberingAfterBreak="0">
    <w:nsid w:val="004335C9"/>
    <w:multiLevelType w:val="multilevel"/>
    <w:tmpl w:val="AF062C02"/>
    <w:lvl w:ilvl="0">
      <w:start w:val="1"/>
      <w:numFmt w:val="decimal"/>
      <w:lvlText w:val="%1."/>
      <w:lvlJc w:val="left"/>
      <w:pPr>
        <w:tabs>
          <w:tab w:val="num" w:pos="390"/>
        </w:tabs>
        <w:ind w:left="390" w:hanging="390"/>
      </w:pPr>
      <w:rPr>
        <w:rFonts w:hint="default"/>
        <w:b w:val="0"/>
        <w:sz w:val="24"/>
        <w:szCs w:val="24"/>
      </w:rPr>
    </w:lvl>
    <w:lvl w:ilvl="1">
      <w:start w:val="1"/>
      <w:numFmt w:val="decimal"/>
      <w:lvlText w:val="%1.%2."/>
      <w:lvlJc w:val="left"/>
      <w:pPr>
        <w:tabs>
          <w:tab w:val="num" w:pos="958"/>
        </w:tabs>
        <w:ind w:left="958" w:hanging="390"/>
      </w:pPr>
      <w:rPr>
        <w:rFonts w:hint="default"/>
        <w:b w:val="0"/>
        <w:i w:val="0"/>
        <w:sz w:val="22"/>
        <w:szCs w:val="22"/>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0A5593A"/>
    <w:multiLevelType w:val="hybridMultilevel"/>
    <w:tmpl w:val="F510F852"/>
    <w:lvl w:ilvl="0" w:tplc="064C000A">
      <w:start w:val="1"/>
      <w:numFmt w:val="decimal"/>
      <w:pStyle w:val="PARAPAD"/>
      <w:lvlText w:val="%1."/>
      <w:lvlJc w:val="left"/>
      <w:pPr>
        <w:tabs>
          <w:tab w:val="num" w:pos="360"/>
        </w:tabs>
        <w:ind w:left="0" w:firstLine="0"/>
      </w:pPr>
      <w:rPr>
        <w:b w:val="0"/>
      </w:rPr>
    </w:lvl>
    <w:lvl w:ilvl="1" w:tplc="E4B21D22">
      <w:start w:val="1"/>
      <w:numFmt w:val="lowerLetter"/>
      <w:lvlText w:val="(%2)"/>
      <w:lvlJc w:val="left"/>
      <w:pPr>
        <w:tabs>
          <w:tab w:val="num" w:pos="720"/>
        </w:tabs>
        <w:ind w:left="1080" w:firstLine="0"/>
      </w:pPr>
    </w:lvl>
    <w:lvl w:ilvl="2" w:tplc="73C4CA50">
      <w:start w:val="1"/>
      <w:numFmt w:val="lowerRoman"/>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00E21877"/>
    <w:multiLevelType w:val="multilevel"/>
    <w:tmpl w:val="49A47008"/>
    <w:lvl w:ilvl="0">
      <w:start w:val="1"/>
      <w:numFmt w:val="upperRoman"/>
      <w:pStyle w:val="oka1"/>
      <w:lvlText w:val="%1."/>
      <w:lvlJc w:val="left"/>
      <w:pPr>
        <w:ind w:left="2497" w:hanging="720"/>
      </w:pPr>
      <w:rPr>
        <w:rFonts w:hint="default"/>
        <w:b w:val="0"/>
        <w:color w:val="000000"/>
      </w:rPr>
    </w:lvl>
    <w:lvl w:ilvl="1">
      <w:start w:val="1"/>
      <w:numFmt w:val="decimal"/>
      <w:pStyle w:val="oka2222"/>
      <w:isLgl/>
      <w:lvlText w:val="%1.%2."/>
      <w:lvlJc w:val="left"/>
      <w:pPr>
        <w:ind w:left="2628" w:hanging="360"/>
      </w:pPr>
      <w:rPr>
        <w:rFonts w:hint="default"/>
        <w:b w:val="0"/>
      </w:rPr>
    </w:lvl>
    <w:lvl w:ilvl="2">
      <w:start w:val="1"/>
      <w:numFmt w:val="decimal"/>
      <w:pStyle w:val="oka33"/>
      <w:isLgl/>
      <w:lvlText w:val="%1.%2.%3."/>
      <w:lvlJc w:val="left"/>
      <w:pPr>
        <w:ind w:left="2497" w:hanging="720"/>
      </w:pPr>
      <w:rPr>
        <w:rFonts w:hint="default"/>
        <w:b w:val="0"/>
      </w:rPr>
    </w:lvl>
    <w:lvl w:ilvl="3">
      <w:start w:val="1"/>
      <w:numFmt w:val="decimal"/>
      <w:isLgl/>
      <w:lvlText w:val="%1.%2.%3.%4."/>
      <w:lvlJc w:val="left"/>
      <w:pPr>
        <w:ind w:left="2497" w:hanging="720"/>
      </w:pPr>
      <w:rPr>
        <w:rFonts w:hint="default"/>
        <w:b w:val="0"/>
      </w:rPr>
    </w:lvl>
    <w:lvl w:ilvl="4">
      <w:start w:val="1"/>
      <w:numFmt w:val="decimal"/>
      <w:isLgl/>
      <w:lvlText w:val="%1.%2.%3.%4.%5."/>
      <w:lvlJc w:val="left"/>
      <w:pPr>
        <w:ind w:left="2857" w:hanging="1080"/>
      </w:pPr>
      <w:rPr>
        <w:rFonts w:hint="default"/>
        <w:b/>
      </w:rPr>
    </w:lvl>
    <w:lvl w:ilvl="5">
      <w:start w:val="1"/>
      <w:numFmt w:val="decimal"/>
      <w:isLgl/>
      <w:lvlText w:val="%1.%2.%3.%4.%5.%6."/>
      <w:lvlJc w:val="left"/>
      <w:pPr>
        <w:ind w:left="2857" w:hanging="1080"/>
      </w:pPr>
      <w:rPr>
        <w:rFonts w:hint="default"/>
        <w:b/>
      </w:rPr>
    </w:lvl>
    <w:lvl w:ilvl="6">
      <w:start w:val="1"/>
      <w:numFmt w:val="decimal"/>
      <w:isLgl/>
      <w:lvlText w:val="%1.%2.%3.%4.%5.%6.%7."/>
      <w:lvlJc w:val="left"/>
      <w:pPr>
        <w:ind w:left="3217" w:hanging="1440"/>
      </w:pPr>
      <w:rPr>
        <w:rFonts w:hint="default"/>
        <w:b/>
      </w:rPr>
    </w:lvl>
    <w:lvl w:ilvl="7">
      <w:start w:val="1"/>
      <w:numFmt w:val="decimal"/>
      <w:isLgl/>
      <w:lvlText w:val="%1.%2.%3.%4.%5.%6.%7.%8."/>
      <w:lvlJc w:val="left"/>
      <w:pPr>
        <w:ind w:left="3217" w:hanging="1440"/>
      </w:pPr>
      <w:rPr>
        <w:rFonts w:hint="default"/>
        <w:b/>
      </w:rPr>
    </w:lvl>
    <w:lvl w:ilvl="8">
      <w:start w:val="1"/>
      <w:numFmt w:val="decimal"/>
      <w:isLgl/>
      <w:lvlText w:val="%1.%2.%3.%4.%5.%6.%7.%8.%9."/>
      <w:lvlJc w:val="left"/>
      <w:pPr>
        <w:ind w:left="3577" w:hanging="1800"/>
      </w:pPr>
      <w:rPr>
        <w:rFonts w:hint="default"/>
        <w:b/>
      </w:rPr>
    </w:lvl>
  </w:abstractNum>
  <w:abstractNum w:abstractNumId="6" w15:restartNumberingAfterBreak="0">
    <w:nsid w:val="018F6F2D"/>
    <w:multiLevelType w:val="multilevel"/>
    <w:tmpl w:val="BE541958"/>
    <w:lvl w:ilvl="0">
      <w:start w:val="1"/>
      <w:numFmt w:val="upperLetter"/>
      <w:pStyle w:val="Retraitcorpsdetexte2"/>
      <w:lvlText w:val="%1."/>
      <w:lvlJc w:val="left"/>
      <w:pPr>
        <w:tabs>
          <w:tab w:val="num" w:pos="360"/>
        </w:tabs>
        <w:ind w:left="360" w:hanging="360"/>
      </w:pPr>
      <w:rPr>
        <w:rFonts w:hint="default"/>
      </w:rPr>
    </w:lvl>
    <w:lvl w:ilvl="1">
      <w:start w:val="1"/>
      <w:numFmt w:val="decimal"/>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1BB0A2F"/>
    <w:multiLevelType w:val="hybridMultilevel"/>
    <w:tmpl w:val="DC985B36"/>
    <w:lvl w:ilvl="0" w:tplc="534C14F8">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02233686"/>
    <w:multiLevelType w:val="hybridMultilevel"/>
    <w:tmpl w:val="5EFA29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F064BB"/>
    <w:multiLevelType w:val="hybridMultilevel"/>
    <w:tmpl w:val="6A3A981E"/>
    <w:lvl w:ilvl="0" w:tplc="5F189A0C">
      <w:start w:val="13"/>
      <w:numFmt w:val="bullet"/>
      <w:lvlText w:val="-"/>
      <w:lvlJc w:val="left"/>
      <w:pPr>
        <w:ind w:left="531" w:hanging="360"/>
      </w:pPr>
      <w:rPr>
        <w:rFonts w:ascii="Times New Roman" w:eastAsia="Times New Roman" w:hAnsi="Times New Roman" w:cs="Times New Roman" w:hint="default"/>
      </w:rPr>
    </w:lvl>
    <w:lvl w:ilvl="1" w:tplc="040C0003" w:tentative="1">
      <w:start w:val="1"/>
      <w:numFmt w:val="bullet"/>
      <w:lvlText w:val="o"/>
      <w:lvlJc w:val="left"/>
      <w:pPr>
        <w:ind w:left="1251" w:hanging="360"/>
      </w:pPr>
      <w:rPr>
        <w:rFonts w:ascii="Courier New" w:hAnsi="Courier New" w:cs="Courier New" w:hint="default"/>
      </w:rPr>
    </w:lvl>
    <w:lvl w:ilvl="2" w:tplc="040C0005" w:tentative="1">
      <w:start w:val="1"/>
      <w:numFmt w:val="bullet"/>
      <w:lvlText w:val=""/>
      <w:lvlJc w:val="left"/>
      <w:pPr>
        <w:ind w:left="1971" w:hanging="360"/>
      </w:pPr>
      <w:rPr>
        <w:rFonts w:ascii="Wingdings" w:hAnsi="Wingdings" w:hint="default"/>
      </w:rPr>
    </w:lvl>
    <w:lvl w:ilvl="3" w:tplc="040C0001" w:tentative="1">
      <w:start w:val="1"/>
      <w:numFmt w:val="bullet"/>
      <w:lvlText w:val=""/>
      <w:lvlJc w:val="left"/>
      <w:pPr>
        <w:ind w:left="2691" w:hanging="360"/>
      </w:pPr>
      <w:rPr>
        <w:rFonts w:ascii="Symbol" w:hAnsi="Symbol" w:hint="default"/>
      </w:rPr>
    </w:lvl>
    <w:lvl w:ilvl="4" w:tplc="040C0003" w:tentative="1">
      <w:start w:val="1"/>
      <w:numFmt w:val="bullet"/>
      <w:lvlText w:val="o"/>
      <w:lvlJc w:val="left"/>
      <w:pPr>
        <w:ind w:left="3411" w:hanging="360"/>
      </w:pPr>
      <w:rPr>
        <w:rFonts w:ascii="Courier New" w:hAnsi="Courier New" w:cs="Courier New" w:hint="default"/>
      </w:rPr>
    </w:lvl>
    <w:lvl w:ilvl="5" w:tplc="040C0005" w:tentative="1">
      <w:start w:val="1"/>
      <w:numFmt w:val="bullet"/>
      <w:lvlText w:val=""/>
      <w:lvlJc w:val="left"/>
      <w:pPr>
        <w:ind w:left="4131" w:hanging="360"/>
      </w:pPr>
      <w:rPr>
        <w:rFonts w:ascii="Wingdings" w:hAnsi="Wingdings" w:hint="default"/>
      </w:rPr>
    </w:lvl>
    <w:lvl w:ilvl="6" w:tplc="040C0001" w:tentative="1">
      <w:start w:val="1"/>
      <w:numFmt w:val="bullet"/>
      <w:lvlText w:val=""/>
      <w:lvlJc w:val="left"/>
      <w:pPr>
        <w:ind w:left="4851" w:hanging="360"/>
      </w:pPr>
      <w:rPr>
        <w:rFonts w:ascii="Symbol" w:hAnsi="Symbol" w:hint="default"/>
      </w:rPr>
    </w:lvl>
    <w:lvl w:ilvl="7" w:tplc="040C0003" w:tentative="1">
      <w:start w:val="1"/>
      <w:numFmt w:val="bullet"/>
      <w:lvlText w:val="o"/>
      <w:lvlJc w:val="left"/>
      <w:pPr>
        <w:ind w:left="5571" w:hanging="360"/>
      </w:pPr>
      <w:rPr>
        <w:rFonts w:ascii="Courier New" w:hAnsi="Courier New" w:cs="Courier New" w:hint="default"/>
      </w:rPr>
    </w:lvl>
    <w:lvl w:ilvl="8" w:tplc="040C0005" w:tentative="1">
      <w:start w:val="1"/>
      <w:numFmt w:val="bullet"/>
      <w:lvlText w:val=""/>
      <w:lvlJc w:val="left"/>
      <w:pPr>
        <w:ind w:left="6291" w:hanging="360"/>
      </w:pPr>
      <w:rPr>
        <w:rFonts w:ascii="Wingdings" w:hAnsi="Wingdings" w:hint="default"/>
      </w:rPr>
    </w:lvl>
  </w:abstractNum>
  <w:abstractNum w:abstractNumId="10" w15:restartNumberingAfterBreak="0">
    <w:nsid w:val="0376788F"/>
    <w:multiLevelType w:val="hybridMultilevel"/>
    <w:tmpl w:val="CFE87606"/>
    <w:lvl w:ilvl="0" w:tplc="3D6498B2">
      <w:start w:val="1"/>
      <w:numFmt w:val="bullet"/>
      <w:lvlText w:val="•"/>
      <w:lvlJc w:val="left"/>
      <w:pPr>
        <w:tabs>
          <w:tab w:val="num" w:pos="720"/>
        </w:tabs>
        <w:ind w:left="720" w:hanging="360"/>
      </w:pPr>
      <w:rPr>
        <w:rFonts w:ascii="Arial" w:hAnsi="Arial" w:hint="default"/>
      </w:rPr>
    </w:lvl>
    <w:lvl w:ilvl="1" w:tplc="926CDBF2" w:tentative="1">
      <w:start w:val="1"/>
      <w:numFmt w:val="bullet"/>
      <w:lvlText w:val="•"/>
      <w:lvlJc w:val="left"/>
      <w:pPr>
        <w:tabs>
          <w:tab w:val="num" w:pos="1440"/>
        </w:tabs>
        <w:ind w:left="1440" w:hanging="360"/>
      </w:pPr>
      <w:rPr>
        <w:rFonts w:ascii="Arial" w:hAnsi="Arial" w:hint="default"/>
      </w:rPr>
    </w:lvl>
    <w:lvl w:ilvl="2" w:tplc="6518E010" w:tentative="1">
      <w:start w:val="1"/>
      <w:numFmt w:val="bullet"/>
      <w:lvlText w:val="•"/>
      <w:lvlJc w:val="left"/>
      <w:pPr>
        <w:tabs>
          <w:tab w:val="num" w:pos="2160"/>
        </w:tabs>
        <w:ind w:left="2160" w:hanging="360"/>
      </w:pPr>
      <w:rPr>
        <w:rFonts w:ascii="Arial" w:hAnsi="Arial" w:hint="default"/>
      </w:rPr>
    </w:lvl>
    <w:lvl w:ilvl="3" w:tplc="4810DFCC" w:tentative="1">
      <w:start w:val="1"/>
      <w:numFmt w:val="bullet"/>
      <w:lvlText w:val="•"/>
      <w:lvlJc w:val="left"/>
      <w:pPr>
        <w:tabs>
          <w:tab w:val="num" w:pos="2880"/>
        </w:tabs>
        <w:ind w:left="2880" w:hanging="360"/>
      </w:pPr>
      <w:rPr>
        <w:rFonts w:ascii="Arial" w:hAnsi="Arial" w:hint="default"/>
      </w:rPr>
    </w:lvl>
    <w:lvl w:ilvl="4" w:tplc="319C9BEE" w:tentative="1">
      <w:start w:val="1"/>
      <w:numFmt w:val="bullet"/>
      <w:lvlText w:val="•"/>
      <w:lvlJc w:val="left"/>
      <w:pPr>
        <w:tabs>
          <w:tab w:val="num" w:pos="3600"/>
        </w:tabs>
        <w:ind w:left="3600" w:hanging="360"/>
      </w:pPr>
      <w:rPr>
        <w:rFonts w:ascii="Arial" w:hAnsi="Arial" w:hint="default"/>
      </w:rPr>
    </w:lvl>
    <w:lvl w:ilvl="5" w:tplc="711EF674" w:tentative="1">
      <w:start w:val="1"/>
      <w:numFmt w:val="bullet"/>
      <w:lvlText w:val="•"/>
      <w:lvlJc w:val="left"/>
      <w:pPr>
        <w:tabs>
          <w:tab w:val="num" w:pos="4320"/>
        </w:tabs>
        <w:ind w:left="4320" w:hanging="360"/>
      </w:pPr>
      <w:rPr>
        <w:rFonts w:ascii="Arial" w:hAnsi="Arial" w:hint="default"/>
      </w:rPr>
    </w:lvl>
    <w:lvl w:ilvl="6" w:tplc="54B05F84" w:tentative="1">
      <w:start w:val="1"/>
      <w:numFmt w:val="bullet"/>
      <w:lvlText w:val="•"/>
      <w:lvlJc w:val="left"/>
      <w:pPr>
        <w:tabs>
          <w:tab w:val="num" w:pos="5040"/>
        </w:tabs>
        <w:ind w:left="5040" w:hanging="360"/>
      </w:pPr>
      <w:rPr>
        <w:rFonts w:ascii="Arial" w:hAnsi="Arial" w:hint="default"/>
      </w:rPr>
    </w:lvl>
    <w:lvl w:ilvl="7" w:tplc="C39A87CC" w:tentative="1">
      <w:start w:val="1"/>
      <w:numFmt w:val="bullet"/>
      <w:lvlText w:val="•"/>
      <w:lvlJc w:val="left"/>
      <w:pPr>
        <w:tabs>
          <w:tab w:val="num" w:pos="5760"/>
        </w:tabs>
        <w:ind w:left="5760" w:hanging="360"/>
      </w:pPr>
      <w:rPr>
        <w:rFonts w:ascii="Arial" w:hAnsi="Arial" w:hint="default"/>
      </w:rPr>
    </w:lvl>
    <w:lvl w:ilvl="8" w:tplc="3E7A5D5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4137EC7"/>
    <w:multiLevelType w:val="hybridMultilevel"/>
    <w:tmpl w:val="EEC45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3D16E3"/>
    <w:multiLevelType w:val="hybridMultilevel"/>
    <w:tmpl w:val="49AE1F6C"/>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3B4611"/>
    <w:multiLevelType w:val="hybridMultilevel"/>
    <w:tmpl w:val="8A729F92"/>
    <w:lvl w:ilvl="0" w:tplc="ACD25F52">
      <w:start w:val="1"/>
      <w:numFmt w:val="lowerRoman"/>
      <w:lvlText w:val="%1."/>
      <w:lvlJc w:val="left"/>
      <w:pPr>
        <w:ind w:left="720" w:hanging="360"/>
      </w:pPr>
      <w:rPr>
        <w:rFonts w:cs="Calibri" w:hint="default"/>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06726CC4"/>
    <w:multiLevelType w:val="hybridMultilevel"/>
    <w:tmpl w:val="5EFA29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E819A1"/>
    <w:multiLevelType w:val="hybridMultilevel"/>
    <w:tmpl w:val="D80A7FAE"/>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7" w15:restartNumberingAfterBreak="0">
    <w:nsid w:val="082061E8"/>
    <w:multiLevelType w:val="hybridMultilevel"/>
    <w:tmpl w:val="7DBE8000"/>
    <w:lvl w:ilvl="0" w:tplc="AD169960">
      <w:start w:val="1"/>
      <w:numFmt w:val="bullet"/>
      <w:pStyle w:val="okpuce1"/>
      <w:lvlText w:val=""/>
      <w:lvlJc w:val="left"/>
      <w:pPr>
        <w:ind w:left="720" w:hanging="360"/>
      </w:pPr>
      <w:rPr>
        <w:rFonts w:ascii="Symbol" w:hAnsi="Symbol" w:hint="default"/>
      </w:rPr>
    </w:lvl>
    <w:lvl w:ilvl="1" w:tplc="040C0003">
      <w:start w:val="1"/>
      <w:numFmt w:val="bullet"/>
      <w:pStyle w:val="okpuce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8A7244B"/>
    <w:multiLevelType w:val="hybridMultilevel"/>
    <w:tmpl w:val="F146B290"/>
    <w:lvl w:ilvl="0" w:tplc="2EC496E4">
      <w:numFmt w:val="bullet"/>
      <w:lvlText w:val="-"/>
      <w:lvlJc w:val="left"/>
      <w:pPr>
        <w:ind w:left="720" w:hanging="360"/>
      </w:pPr>
      <w:rPr>
        <w:rFonts w:ascii="Arial" w:eastAsia="Arial" w:hAnsi="Arial" w:cs="Arial" w:hint="default"/>
        <w:w w:val="100"/>
        <w:sz w:val="21"/>
        <w:szCs w:val="21"/>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9343BCD"/>
    <w:multiLevelType w:val="hybridMultilevel"/>
    <w:tmpl w:val="E1DAF3D2"/>
    <w:lvl w:ilvl="0" w:tplc="872415AA">
      <w:start w:val="1"/>
      <w:numFmt w:val="lowerRoman"/>
      <w:lvlText w:val="(%1)"/>
      <w:lvlJc w:val="left"/>
      <w:pPr>
        <w:tabs>
          <w:tab w:val="num" w:pos="720"/>
        </w:tabs>
        <w:ind w:left="720" w:hanging="360"/>
      </w:pPr>
      <w:rPr>
        <w:rFonts w:ascii="Arial" w:eastAsia="Calibri" w:hAnsi="Arial" w:cs="Arial"/>
      </w:rPr>
    </w:lvl>
    <w:lvl w:ilvl="1" w:tplc="31223D90">
      <w:start w:val="1"/>
      <w:numFmt w:val="decimal"/>
      <w:lvlText w:val="%2."/>
      <w:lvlJc w:val="left"/>
      <w:pPr>
        <w:tabs>
          <w:tab w:val="num" w:pos="1440"/>
        </w:tabs>
        <w:ind w:left="1440" w:hanging="360"/>
      </w:pPr>
    </w:lvl>
    <w:lvl w:ilvl="2" w:tplc="1802420C">
      <w:start w:val="1"/>
      <w:numFmt w:val="decimal"/>
      <w:lvlText w:val="%3."/>
      <w:lvlJc w:val="left"/>
      <w:pPr>
        <w:tabs>
          <w:tab w:val="num" w:pos="2160"/>
        </w:tabs>
        <w:ind w:left="2160" w:hanging="360"/>
      </w:pPr>
    </w:lvl>
    <w:lvl w:ilvl="3" w:tplc="23D87DFC">
      <w:start w:val="1"/>
      <w:numFmt w:val="decimal"/>
      <w:lvlText w:val="%4."/>
      <w:lvlJc w:val="left"/>
      <w:pPr>
        <w:tabs>
          <w:tab w:val="num" w:pos="2880"/>
        </w:tabs>
        <w:ind w:left="2880" w:hanging="360"/>
      </w:pPr>
    </w:lvl>
    <w:lvl w:ilvl="4" w:tplc="B7E69002">
      <w:start w:val="1"/>
      <w:numFmt w:val="decimal"/>
      <w:lvlText w:val="%5."/>
      <w:lvlJc w:val="left"/>
      <w:pPr>
        <w:tabs>
          <w:tab w:val="num" w:pos="3600"/>
        </w:tabs>
        <w:ind w:left="3600" w:hanging="360"/>
      </w:pPr>
    </w:lvl>
    <w:lvl w:ilvl="5" w:tplc="3A8C5CDC">
      <w:start w:val="1"/>
      <w:numFmt w:val="decimal"/>
      <w:lvlText w:val="%6."/>
      <w:lvlJc w:val="left"/>
      <w:pPr>
        <w:tabs>
          <w:tab w:val="num" w:pos="4320"/>
        </w:tabs>
        <w:ind w:left="4320" w:hanging="360"/>
      </w:pPr>
    </w:lvl>
    <w:lvl w:ilvl="6" w:tplc="C764C3D6">
      <w:start w:val="1"/>
      <w:numFmt w:val="decimal"/>
      <w:lvlText w:val="%7."/>
      <w:lvlJc w:val="left"/>
      <w:pPr>
        <w:tabs>
          <w:tab w:val="num" w:pos="5040"/>
        </w:tabs>
        <w:ind w:left="5040" w:hanging="360"/>
      </w:pPr>
    </w:lvl>
    <w:lvl w:ilvl="7" w:tplc="5C26B8B4">
      <w:start w:val="1"/>
      <w:numFmt w:val="decimal"/>
      <w:lvlText w:val="%8."/>
      <w:lvlJc w:val="left"/>
      <w:pPr>
        <w:tabs>
          <w:tab w:val="num" w:pos="5760"/>
        </w:tabs>
        <w:ind w:left="5760" w:hanging="360"/>
      </w:pPr>
    </w:lvl>
    <w:lvl w:ilvl="8" w:tplc="478E8C34">
      <w:start w:val="1"/>
      <w:numFmt w:val="decimal"/>
      <w:lvlText w:val="%9."/>
      <w:lvlJc w:val="left"/>
      <w:pPr>
        <w:tabs>
          <w:tab w:val="num" w:pos="6480"/>
        </w:tabs>
        <w:ind w:left="6480" w:hanging="360"/>
      </w:pPr>
    </w:lvl>
  </w:abstractNum>
  <w:abstractNum w:abstractNumId="20" w15:restartNumberingAfterBreak="0">
    <w:nsid w:val="09AE7ABF"/>
    <w:multiLevelType w:val="singleLevel"/>
    <w:tmpl w:val="992A7FCA"/>
    <w:lvl w:ilvl="0">
      <w:numFmt w:val="bullet"/>
      <w:pStyle w:val="PDSHeading2"/>
      <w:lvlText w:val="-"/>
      <w:lvlJc w:val="left"/>
      <w:pPr>
        <w:tabs>
          <w:tab w:val="num" w:pos="435"/>
        </w:tabs>
        <w:ind w:left="435" w:hanging="435"/>
      </w:pPr>
      <w:rPr>
        <w:rFonts w:hint="default"/>
        <w:color w:val="auto"/>
      </w:rPr>
    </w:lvl>
  </w:abstractNum>
  <w:abstractNum w:abstractNumId="21" w15:restartNumberingAfterBreak="0">
    <w:nsid w:val="09ED6D24"/>
    <w:multiLevelType w:val="multilevel"/>
    <w:tmpl w:val="B03440A6"/>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A33016C"/>
    <w:multiLevelType w:val="hybridMultilevel"/>
    <w:tmpl w:val="5E8C8246"/>
    <w:lvl w:ilvl="0" w:tplc="5FA4A80A">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E64BD8"/>
    <w:multiLevelType w:val="multilevel"/>
    <w:tmpl w:val="C99AC5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0C8871B7"/>
    <w:multiLevelType w:val="multilevel"/>
    <w:tmpl w:val="8A72C4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0CF41F42"/>
    <w:multiLevelType w:val="hybridMultilevel"/>
    <w:tmpl w:val="D27C5BA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6" w15:restartNumberingAfterBreak="0">
    <w:nsid w:val="0DB20596"/>
    <w:multiLevelType w:val="hybridMultilevel"/>
    <w:tmpl w:val="7BBEC166"/>
    <w:lvl w:ilvl="0" w:tplc="ED70A638">
      <w:start w:val="1"/>
      <w:numFmt w:val="bullet"/>
      <w:lvlText w:val="o"/>
      <w:lvlJc w:val="left"/>
      <w:pPr>
        <w:ind w:left="7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052C6C6">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F42C576">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62C3306">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C600D34">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7FC3CBA">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A520D40">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A6667E2">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53AF4B4">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0E742292"/>
    <w:multiLevelType w:val="hybridMultilevel"/>
    <w:tmpl w:val="E5D231AC"/>
    <w:lvl w:ilvl="0" w:tplc="15CC8CF6">
      <w:numFmt w:val="bullet"/>
      <w:lvlText w:val="-"/>
      <w:lvlJc w:val="left"/>
      <w:pPr>
        <w:ind w:left="401" w:hanging="284"/>
      </w:pPr>
      <w:rPr>
        <w:rFonts w:ascii="Arial" w:eastAsia="Arial" w:hAnsi="Arial" w:cs="Arial" w:hint="default"/>
        <w:w w:val="100"/>
        <w:sz w:val="22"/>
        <w:szCs w:val="22"/>
        <w:lang w:val="fr-FR" w:eastAsia="en-US" w:bidi="ar-SA"/>
      </w:rPr>
    </w:lvl>
    <w:lvl w:ilvl="1" w:tplc="3A3691BA">
      <w:numFmt w:val="bullet"/>
      <w:lvlText w:val="•"/>
      <w:lvlJc w:val="left"/>
      <w:pPr>
        <w:ind w:left="962" w:hanging="284"/>
      </w:pPr>
      <w:rPr>
        <w:rFonts w:hint="default"/>
        <w:lang w:val="fr-FR" w:eastAsia="en-US" w:bidi="ar-SA"/>
      </w:rPr>
    </w:lvl>
    <w:lvl w:ilvl="2" w:tplc="0700EF7C">
      <w:numFmt w:val="bullet"/>
      <w:lvlText w:val="•"/>
      <w:lvlJc w:val="left"/>
      <w:pPr>
        <w:ind w:left="1524" w:hanging="284"/>
      </w:pPr>
      <w:rPr>
        <w:rFonts w:hint="default"/>
        <w:lang w:val="fr-FR" w:eastAsia="en-US" w:bidi="ar-SA"/>
      </w:rPr>
    </w:lvl>
    <w:lvl w:ilvl="3" w:tplc="25800BFA">
      <w:numFmt w:val="bullet"/>
      <w:lvlText w:val="•"/>
      <w:lvlJc w:val="left"/>
      <w:pPr>
        <w:ind w:left="2086" w:hanging="284"/>
      </w:pPr>
      <w:rPr>
        <w:rFonts w:hint="default"/>
        <w:lang w:val="fr-FR" w:eastAsia="en-US" w:bidi="ar-SA"/>
      </w:rPr>
    </w:lvl>
    <w:lvl w:ilvl="4" w:tplc="FA3EE62E">
      <w:numFmt w:val="bullet"/>
      <w:lvlText w:val="•"/>
      <w:lvlJc w:val="left"/>
      <w:pPr>
        <w:ind w:left="2648" w:hanging="284"/>
      </w:pPr>
      <w:rPr>
        <w:rFonts w:hint="default"/>
        <w:lang w:val="fr-FR" w:eastAsia="en-US" w:bidi="ar-SA"/>
      </w:rPr>
    </w:lvl>
    <w:lvl w:ilvl="5" w:tplc="34168172">
      <w:numFmt w:val="bullet"/>
      <w:lvlText w:val="•"/>
      <w:lvlJc w:val="left"/>
      <w:pPr>
        <w:ind w:left="3211" w:hanging="284"/>
      </w:pPr>
      <w:rPr>
        <w:rFonts w:hint="default"/>
        <w:lang w:val="fr-FR" w:eastAsia="en-US" w:bidi="ar-SA"/>
      </w:rPr>
    </w:lvl>
    <w:lvl w:ilvl="6" w:tplc="6FCEB872">
      <w:numFmt w:val="bullet"/>
      <w:lvlText w:val="•"/>
      <w:lvlJc w:val="left"/>
      <w:pPr>
        <w:ind w:left="3773" w:hanging="284"/>
      </w:pPr>
      <w:rPr>
        <w:rFonts w:hint="default"/>
        <w:lang w:val="fr-FR" w:eastAsia="en-US" w:bidi="ar-SA"/>
      </w:rPr>
    </w:lvl>
    <w:lvl w:ilvl="7" w:tplc="943EA050">
      <w:numFmt w:val="bullet"/>
      <w:lvlText w:val="•"/>
      <w:lvlJc w:val="left"/>
      <w:pPr>
        <w:ind w:left="4335" w:hanging="284"/>
      </w:pPr>
      <w:rPr>
        <w:rFonts w:hint="default"/>
        <w:lang w:val="fr-FR" w:eastAsia="en-US" w:bidi="ar-SA"/>
      </w:rPr>
    </w:lvl>
    <w:lvl w:ilvl="8" w:tplc="B608EF28">
      <w:numFmt w:val="bullet"/>
      <w:lvlText w:val="•"/>
      <w:lvlJc w:val="left"/>
      <w:pPr>
        <w:ind w:left="4897" w:hanging="284"/>
      </w:pPr>
      <w:rPr>
        <w:rFonts w:hint="default"/>
        <w:lang w:val="fr-FR" w:eastAsia="en-US" w:bidi="ar-SA"/>
      </w:rPr>
    </w:lvl>
  </w:abstractNum>
  <w:abstractNum w:abstractNumId="28" w15:restartNumberingAfterBreak="0">
    <w:nsid w:val="0F3177B6"/>
    <w:multiLevelType w:val="hybridMultilevel"/>
    <w:tmpl w:val="B1BAB978"/>
    <w:lvl w:ilvl="0" w:tplc="C82AA50A">
      <w:start w:val="1"/>
      <w:numFmt w:val="bullet"/>
      <w:lvlText w:val="•"/>
      <w:lvlJc w:val="left"/>
      <w:pPr>
        <w:tabs>
          <w:tab w:val="num" w:pos="720"/>
        </w:tabs>
        <w:ind w:left="720" w:hanging="360"/>
      </w:pPr>
      <w:rPr>
        <w:rFonts w:ascii="Arial" w:hAnsi="Arial" w:hint="default"/>
      </w:rPr>
    </w:lvl>
    <w:lvl w:ilvl="1" w:tplc="EEB0800E">
      <w:start w:val="1"/>
      <w:numFmt w:val="bullet"/>
      <w:lvlText w:val="•"/>
      <w:lvlJc w:val="left"/>
      <w:pPr>
        <w:tabs>
          <w:tab w:val="num" w:pos="1440"/>
        </w:tabs>
        <w:ind w:left="1440" w:hanging="360"/>
      </w:pPr>
      <w:rPr>
        <w:rFonts w:ascii="Arial" w:hAnsi="Arial" w:hint="default"/>
      </w:rPr>
    </w:lvl>
    <w:lvl w:ilvl="2" w:tplc="18EC6C5C" w:tentative="1">
      <w:start w:val="1"/>
      <w:numFmt w:val="bullet"/>
      <w:lvlText w:val="•"/>
      <w:lvlJc w:val="left"/>
      <w:pPr>
        <w:tabs>
          <w:tab w:val="num" w:pos="2160"/>
        </w:tabs>
        <w:ind w:left="2160" w:hanging="360"/>
      </w:pPr>
      <w:rPr>
        <w:rFonts w:ascii="Arial" w:hAnsi="Arial" w:hint="default"/>
      </w:rPr>
    </w:lvl>
    <w:lvl w:ilvl="3" w:tplc="836EACEC" w:tentative="1">
      <w:start w:val="1"/>
      <w:numFmt w:val="bullet"/>
      <w:lvlText w:val="•"/>
      <w:lvlJc w:val="left"/>
      <w:pPr>
        <w:tabs>
          <w:tab w:val="num" w:pos="2880"/>
        </w:tabs>
        <w:ind w:left="2880" w:hanging="360"/>
      </w:pPr>
      <w:rPr>
        <w:rFonts w:ascii="Arial" w:hAnsi="Arial" w:hint="default"/>
      </w:rPr>
    </w:lvl>
    <w:lvl w:ilvl="4" w:tplc="60D06790" w:tentative="1">
      <w:start w:val="1"/>
      <w:numFmt w:val="bullet"/>
      <w:lvlText w:val="•"/>
      <w:lvlJc w:val="left"/>
      <w:pPr>
        <w:tabs>
          <w:tab w:val="num" w:pos="3600"/>
        </w:tabs>
        <w:ind w:left="3600" w:hanging="360"/>
      </w:pPr>
      <w:rPr>
        <w:rFonts w:ascii="Arial" w:hAnsi="Arial" w:hint="default"/>
      </w:rPr>
    </w:lvl>
    <w:lvl w:ilvl="5" w:tplc="9A96D51E" w:tentative="1">
      <w:start w:val="1"/>
      <w:numFmt w:val="bullet"/>
      <w:lvlText w:val="•"/>
      <w:lvlJc w:val="left"/>
      <w:pPr>
        <w:tabs>
          <w:tab w:val="num" w:pos="4320"/>
        </w:tabs>
        <w:ind w:left="4320" w:hanging="360"/>
      </w:pPr>
      <w:rPr>
        <w:rFonts w:ascii="Arial" w:hAnsi="Arial" w:hint="default"/>
      </w:rPr>
    </w:lvl>
    <w:lvl w:ilvl="6" w:tplc="696238C2" w:tentative="1">
      <w:start w:val="1"/>
      <w:numFmt w:val="bullet"/>
      <w:lvlText w:val="•"/>
      <w:lvlJc w:val="left"/>
      <w:pPr>
        <w:tabs>
          <w:tab w:val="num" w:pos="5040"/>
        </w:tabs>
        <w:ind w:left="5040" w:hanging="360"/>
      </w:pPr>
      <w:rPr>
        <w:rFonts w:ascii="Arial" w:hAnsi="Arial" w:hint="default"/>
      </w:rPr>
    </w:lvl>
    <w:lvl w:ilvl="7" w:tplc="EF7E6ED6" w:tentative="1">
      <w:start w:val="1"/>
      <w:numFmt w:val="bullet"/>
      <w:lvlText w:val="•"/>
      <w:lvlJc w:val="left"/>
      <w:pPr>
        <w:tabs>
          <w:tab w:val="num" w:pos="5760"/>
        </w:tabs>
        <w:ind w:left="5760" w:hanging="360"/>
      </w:pPr>
      <w:rPr>
        <w:rFonts w:ascii="Arial" w:hAnsi="Arial" w:hint="default"/>
      </w:rPr>
    </w:lvl>
    <w:lvl w:ilvl="8" w:tplc="936C2E3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3427AD3"/>
    <w:multiLevelType w:val="hybridMultilevel"/>
    <w:tmpl w:val="ACBEA25E"/>
    <w:lvl w:ilvl="0" w:tplc="51AC91C0">
      <w:start w:val="2"/>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C23117"/>
    <w:multiLevelType w:val="hybridMultilevel"/>
    <w:tmpl w:val="0794F3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4442DA8"/>
    <w:multiLevelType w:val="hybridMultilevel"/>
    <w:tmpl w:val="70F4E54A"/>
    <w:lvl w:ilvl="0" w:tplc="040C0019">
      <w:numFmt w:val="bullet"/>
      <w:lvlText w:val="-"/>
      <w:lvlJc w:val="left"/>
      <w:pPr>
        <w:ind w:left="720" w:hanging="360"/>
      </w:pPr>
      <w:rPr>
        <w:rFonts w:ascii="Times New Roman" w:eastAsia="Times New Roman" w:hAnsi="Times New Roman" w:cs="Times New Roman"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6A43CBB"/>
    <w:multiLevelType w:val="hybridMultilevel"/>
    <w:tmpl w:val="464C3786"/>
    <w:lvl w:ilvl="0" w:tplc="BF34B882">
      <w:start w:val="1"/>
      <w:numFmt w:val="bullet"/>
      <w:lvlText w:val="-"/>
      <w:lvlJc w:val="left"/>
      <w:pPr>
        <w:ind w:left="720" w:hanging="360"/>
      </w:pPr>
      <w:rPr>
        <w:rFonts w:ascii="Tahoma" w:hAnsi="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833127A"/>
    <w:multiLevelType w:val="hybridMultilevel"/>
    <w:tmpl w:val="59D0F064"/>
    <w:lvl w:ilvl="0" w:tplc="F7041880">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18704595"/>
    <w:multiLevelType w:val="hybridMultilevel"/>
    <w:tmpl w:val="4910634E"/>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8DE38C2"/>
    <w:multiLevelType w:val="hybridMultilevel"/>
    <w:tmpl w:val="388CAEA2"/>
    <w:lvl w:ilvl="0" w:tplc="F9802858">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1E3E4E"/>
    <w:multiLevelType w:val="multilevel"/>
    <w:tmpl w:val="C8A63AF6"/>
    <w:lvl w:ilvl="0">
      <w:start w:val="1"/>
      <w:numFmt w:val="upperRoman"/>
      <w:pStyle w:val="TRAFI11-TITRE1"/>
      <w:lvlText w:val="%1."/>
      <w:lvlJc w:val="left"/>
      <w:pPr>
        <w:ind w:left="1080" w:hanging="720"/>
      </w:pPr>
      <w:rPr>
        <w:rFonts w:hint="default"/>
        <w:b w:val="0"/>
      </w:rPr>
    </w:lvl>
    <w:lvl w:ilvl="1">
      <w:start w:val="1"/>
      <w:numFmt w:val="decimal"/>
      <w:isLgl/>
      <w:lvlText w:val="%1.%2."/>
      <w:lvlJc w:val="left"/>
      <w:pPr>
        <w:ind w:left="1080" w:hanging="720"/>
      </w:pPr>
      <w:rPr>
        <w:rFonts w:hint="default"/>
        <w:b w:val="0"/>
        <w:sz w:val="21"/>
      </w:rPr>
    </w:lvl>
    <w:lvl w:ilvl="2">
      <w:start w:val="1"/>
      <w:numFmt w:val="decimal"/>
      <w:pStyle w:val="TRAFI3"/>
      <w:isLgl/>
      <w:lvlText w:val="%1.%2.%3."/>
      <w:lvlJc w:val="left"/>
      <w:pPr>
        <w:ind w:left="1713" w:hanging="720"/>
      </w:pPr>
      <w:rPr>
        <w:rFonts w:ascii="Arial" w:hAnsi="Arial" w:cs="Arial" w:hint="default"/>
        <w:b w:val="0"/>
        <w:color w:val="000000"/>
        <w:sz w:val="21"/>
      </w:rPr>
    </w:lvl>
    <w:lvl w:ilvl="3">
      <w:start w:val="1"/>
      <w:numFmt w:val="decimal"/>
      <w:isLgl/>
      <w:lvlText w:val="%1.%2.%3.%4."/>
      <w:lvlJc w:val="left"/>
      <w:pPr>
        <w:ind w:left="1440" w:hanging="1080"/>
      </w:pPr>
      <w:rPr>
        <w:rFonts w:hint="default"/>
        <w:sz w:val="21"/>
      </w:rPr>
    </w:lvl>
    <w:lvl w:ilvl="4">
      <w:start w:val="1"/>
      <w:numFmt w:val="decimal"/>
      <w:isLgl/>
      <w:lvlText w:val="%1.%2.%3.%4.%5."/>
      <w:lvlJc w:val="left"/>
      <w:pPr>
        <w:ind w:left="1440" w:hanging="1080"/>
      </w:pPr>
      <w:rPr>
        <w:rFonts w:hint="default"/>
        <w:sz w:val="21"/>
      </w:rPr>
    </w:lvl>
    <w:lvl w:ilvl="5">
      <w:start w:val="1"/>
      <w:numFmt w:val="decimal"/>
      <w:isLgl/>
      <w:lvlText w:val="%1.%2.%3.%4.%5.%6."/>
      <w:lvlJc w:val="left"/>
      <w:pPr>
        <w:ind w:left="1800" w:hanging="1440"/>
      </w:pPr>
      <w:rPr>
        <w:rFonts w:hint="default"/>
        <w:sz w:val="21"/>
      </w:rPr>
    </w:lvl>
    <w:lvl w:ilvl="6">
      <w:start w:val="1"/>
      <w:numFmt w:val="decimal"/>
      <w:isLgl/>
      <w:lvlText w:val="%1.%2.%3.%4.%5.%6.%7."/>
      <w:lvlJc w:val="left"/>
      <w:pPr>
        <w:ind w:left="1800" w:hanging="1440"/>
      </w:pPr>
      <w:rPr>
        <w:rFonts w:hint="default"/>
        <w:sz w:val="21"/>
      </w:rPr>
    </w:lvl>
    <w:lvl w:ilvl="7">
      <w:start w:val="1"/>
      <w:numFmt w:val="decimal"/>
      <w:isLgl/>
      <w:lvlText w:val="%1.%2.%3.%4.%5.%6.%7.%8."/>
      <w:lvlJc w:val="left"/>
      <w:pPr>
        <w:ind w:left="2160" w:hanging="1800"/>
      </w:pPr>
      <w:rPr>
        <w:rFonts w:hint="default"/>
        <w:sz w:val="21"/>
      </w:rPr>
    </w:lvl>
    <w:lvl w:ilvl="8">
      <w:start w:val="1"/>
      <w:numFmt w:val="decimal"/>
      <w:isLgl/>
      <w:lvlText w:val="%1.%2.%3.%4.%5.%6.%7.%8.%9."/>
      <w:lvlJc w:val="left"/>
      <w:pPr>
        <w:ind w:left="2160" w:hanging="1800"/>
      </w:pPr>
      <w:rPr>
        <w:rFonts w:hint="default"/>
        <w:sz w:val="21"/>
      </w:rPr>
    </w:lvl>
  </w:abstractNum>
  <w:abstractNum w:abstractNumId="37" w15:restartNumberingAfterBreak="0">
    <w:nsid w:val="1A13116F"/>
    <w:multiLevelType w:val="hybridMultilevel"/>
    <w:tmpl w:val="F20C749E"/>
    <w:lvl w:ilvl="0" w:tplc="C1DC920A">
      <w:start w:val="1"/>
      <w:numFmt w:val="bullet"/>
      <w:lvlText w:val="-"/>
      <w:lvlJc w:val="left"/>
      <w:pPr>
        <w:ind w:left="720" w:hanging="360"/>
      </w:pPr>
      <w:rPr>
        <w:rFonts w:ascii="Comic Sans MS" w:eastAsia="Times New Roman" w:hAnsi="Comic Sans M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34420E"/>
    <w:multiLevelType w:val="hybridMultilevel"/>
    <w:tmpl w:val="961EA7A0"/>
    <w:lvl w:ilvl="0" w:tplc="040C0019">
      <w:numFmt w:val="bullet"/>
      <w:lvlText w:val="-"/>
      <w:lvlJc w:val="left"/>
      <w:pPr>
        <w:ind w:left="720" w:hanging="360"/>
      </w:pPr>
      <w:rPr>
        <w:rFonts w:ascii="Times New Roman" w:eastAsia="Times New Roman" w:hAnsi="Times New Roman" w:cs="Times New Roman" w:hint="default"/>
        <w:b/>
        <w:color w:val="auto"/>
      </w:rPr>
    </w:lvl>
    <w:lvl w:ilvl="1" w:tplc="040C0019">
      <w:numFmt w:val="bullet"/>
      <w:lvlText w:val="-"/>
      <w:lvlJc w:val="left"/>
      <w:pPr>
        <w:ind w:left="1440" w:hanging="360"/>
      </w:pPr>
      <w:rPr>
        <w:rFonts w:ascii="Times New Roman" w:eastAsia="Times New Roman" w:hAnsi="Times New Roman" w:cs="Times New Roman" w:hint="default"/>
        <w:b/>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D976E80"/>
    <w:multiLevelType w:val="hybridMultilevel"/>
    <w:tmpl w:val="DE44858C"/>
    <w:lvl w:ilvl="0" w:tplc="B59CB356">
      <w:start w:val="1"/>
      <w:numFmt w:val="bullet"/>
      <w:lvlText w:val="-"/>
      <w:lvlJc w:val="left"/>
      <w:pPr>
        <w:ind w:left="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342F332">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5A9C24">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A181A94">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7A0D220">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0C4F340">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A020D4">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4CD7AA">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178F864">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1DC254BC"/>
    <w:multiLevelType w:val="hybridMultilevel"/>
    <w:tmpl w:val="0660E21C"/>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1DE51789"/>
    <w:multiLevelType w:val="multilevel"/>
    <w:tmpl w:val="4574FA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219D4892"/>
    <w:multiLevelType w:val="hybridMultilevel"/>
    <w:tmpl w:val="A8E877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21A20C7E"/>
    <w:multiLevelType w:val="hybridMultilevel"/>
    <w:tmpl w:val="D36443DE"/>
    <w:lvl w:ilvl="0" w:tplc="C1DC920A">
      <w:start w:val="1"/>
      <w:numFmt w:val="bullet"/>
      <w:lvlText w:val="-"/>
      <w:lvlJc w:val="left"/>
      <w:pPr>
        <w:ind w:left="720" w:hanging="360"/>
      </w:pPr>
      <w:rPr>
        <w:rFonts w:ascii="Comic Sans MS" w:eastAsia="Times New Roman"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1A85C86"/>
    <w:multiLevelType w:val="hybridMultilevel"/>
    <w:tmpl w:val="70B8B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1C65620"/>
    <w:multiLevelType w:val="hybridMultilevel"/>
    <w:tmpl w:val="BBBEDAD2"/>
    <w:lvl w:ilvl="0" w:tplc="6E3C700A">
      <w:start w:val="1"/>
      <w:numFmt w:val="bullet"/>
      <w:lvlText w:val="-"/>
      <w:lvlJc w:val="left"/>
      <w:pPr>
        <w:ind w:left="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C8AE9A">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B0090E">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CC215E">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9E95E6">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62781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4D6A5BE">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E4E9B4">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2CE8FA">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21D5162B"/>
    <w:multiLevelType w:val="hybridMultilevel"/>
    <w:tmpl w:val="F7ECB7A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7" w15:restartNumberingAfterBreak="0">
    <w:nsid w:val="21E2080B"/>
    <w:multiLevelType w:val="hybridMultilevel"/>
    <w:tmpl w:val="9B5EC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2735760"/>
    <w:multiLevelType w:val="multilevel"/>
    <w:tmpl w:val="1B0E5B48"/>
    <w:lvl w:ilvl="0">
      <w:start w:val="1"/>
      <w:numFmt w:val="decimal"/>
      <w:lvlText w:val="%1."/>
      <w:lvlJc w:val="left"/>
      <w:pPr>
        <w:tabs>
          <w:tab w:val="num" w:pos="390"/>
        </w:tabs>
        <w:ind w:left="390" w:hanging="390"/>
      </w:pPr>
      <w:rPr>
        <w:rFonts w:hint="default"/>
        <w:sz w:val="24"/>
        <w:szCs w:val="24"/>
      </w:rPr>
    </w:lvl>
    <w:lvl w:ilvl="1">
      <w:start w:val="1"/>
      <w:numFmt w:val="decimal"/>
      <w:lvlText w:val="%1.%2."/>
      <w:lvlJc w:val="left"/>
      <w:pPr>
        <w:tabs>
          <w:tab w:val="num" w:pos="958"/>
        </w:tabs>
        <w:ind w:left="958" w:hanging="390"/>
      </w:pPr>
      <w:rPr>
        <w:rFonts w:hint="default"/>
        <w:b w:val="0"/>
        <w:i w:val="0"/>
        <w:sz w:val="22"/>
        <w:szCs w:val="22"/>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22A30B58"/>
    <w:multiLevelType w:val="hybridMultilevel"/>
    <w:tmpl w:val="348E7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330204A"/>
    <w:multiLevelType w:val="hybridMultilevel"/>
    <w:tmpl w:val="EE607C28"/>
    <w:lvl w:ilvl="0" w:tplc="9DCC096E">
      <w:numFmt w:val="bullet"/>
      <w:lvlText w:val="-"/>
      <w:lvlJc w:val="left"/>
      <w:pPr>
        <w:ind w:left="976" w:hanging="360"/>
      </w:pPr>
      <w:rPr>
        <w:rFonts w:ascii="LM Roman Caps 10" w:eastAsia="LM Roman Caps 10" w:hAnsi="LM Roman Caps 10" w:cs="LM Roman Caps 10" w:hint="default"/>
        <w:w w:val="100"/>
        <w:sz w:val="22"/>
        <w:szCs w:val="22"/>
        <w:lang w:val="en-US" w:eastAsia="en-US" w:bidi="ar-SA"/>
      </w:rPr>
    </w:lvl>
    <w:lvl w:ilvl="1" w:tplc="123866C6">
      <w:numFmt w:val="bullet"/>
      <w:lvlText w:val="•"/>
      <w:lvlJc w:val="left"/>
      <w:pPr>
        <w:ind w:left="1936" w:hanging="360"/>
      </w:pPr>
      <w:rPr>
        <w:rFonts w:hint="default"/>
        <w:lang w:val="en-US" w:eastAsia="en-US" w:bidi="ar-SA"/>
      </w:rPr>
    </w:lvl>
    <w:lvl w:ilvl="2" w:tplc="2E40A11C">
      <w:numFmt w:val="bullet"/>
      <w:lvlText w:val="•"/>
      <w:lvlJc w:val="left"/>
      <w:pPr>
        <w:ind w:left="2893" w:hanging="360"/>
      </w:pPr>
      <w:rPr>
        <w:rFonts w:hint="default"/>
        <w:lang w:val="en-US" w:eastAsia="en-US" w:bidi="ar-SA"/>
      </w:rPr>
    </w:lvl>
    <w:lvl w:ilvl="3" w:tplc="3AF08B96">
      <w:numFmt w:val="bullet"/>
      <w:lvlText w:val="•"/>
      <w:lvlJc w:val="left"/>
      <w:pPr>
        <w:ind w:left="3849" w:hanging="360"/>
      </w:pPr>
      <w:rPr>
        <w:rFonts w:hint="default"/>
        <w:lang w:val="en-US" w:eastAsia="en-US" w:bidi="ar-SA"/>
      </w:rPr>
    </w:lvl>
    <w:lvl w:ilvl="4" w:tplc="8494A506">
      <w:numFmt w:val="bullet"/>
      <w:lvlText w:val="•"/>
      <w:lvlJc w:val="left"/>
      <w:pPr>
        <w:ind w:left="4806" w:hanging="360"/>
      </w:pPr>
      <w:rPr>
        <w:rFonts w:hint="default"/>
        <w:lang w:val="en-US" w:eastAsia="en-US" w:bidi="ar-SA"/>
      </w:rPr>
    </w:lvl>
    <w:lvl w:ilvl="5" w:tplc="5A003B20">
      <w:numFmt w:val="bullet"/>
      <w:lvlText w:val="•"/>
      <w:lvlJc w:val="left"/>
      <w:pPr>
        <w:ind w:left="5763" w:hanging="360"/>
      </w:pPr>
      <w:rPr>
        <w:rFonts w:hint="default"/>
        <w:lang w:val="en-US" w:eastAsia="en-US" w:bidi="ar-SA"/>
      </w:rPr>
    </w:lvl>
    <w:lvl w:ilvl="6" w:tplc="A80C5E2A">
      <w:numFmt w:val="bullet"/>
      <w:lvlText w:val="•"/>
      <w:lvlJc w:val="left"/>
      <w:pPr>
        <w:ind w:left="6719" w:hanging="360"/>
      </w:pPr>
      <w:rPr>
        <w:rFonts w:hint="default"/>
        <w:lang w:val="en-US" w:eastAsia="en-US" w:bidi="ar-SA"/>
      </w:rPr>
    </w:lvl>
    <w:lvl w:ilvl="7" w:tplc="F0C673A6">
      <w:numFmt w:val="bullet"/>
      <w:lvlText w:val="•"/>
      <w:lvlJc w:val="left"/>
      <w:pPr>
        <w:ind w:left="7676" w:hanging="360"/>
      </w:pPr>
      <w:rPr>
        <w:rFonts w:hint="default"/>
        <w:lang w:val="en-US" w:eastAsia="en-US" w:bidi="ar-SA"/>
      </w:rPr>
    </w:lvl>
    <w:lvl w:ilvl="8" w:tplc="29449634">
      <w:numFmt w:val="bullet"/>
      <w:lvlText w:val="•"/>
      <w:lvlJc w:val="left"/>
      <w:pPr>
        <w:ind w:left="8633" w:hanging="360"/>
      </w:pPr>
      <w:rPr>
        <w:rFonts w:hint="default"/>
        <w:lang w:val="en-US" w:eastAsia="en-US" w:bidi="ar-SA"/>
      </w:rPr>
    </w:lvl>
  </w:abstractNum>
  <w:abstractNum w:abstractNumId="51" w15:restartNumberingAfterBreak="0">
    <w:nsid w:val="24F91911"/>
    <w:multiLevelType w:val="multilevel"/>
    <w:tmpl w:val="953A4D76"/>
    <w:lvl w:ilvl="0">
      <w:numFmt w:val="bullet"/>
      <w:lvlText w:val="-"/>
      <w:lvlJc w:val="left"/>
      <w:pPr>
        <w:ind w:left="644" w:hanging="360"/>
      </w:pPr>
      <w:rPr>
        <w:rFonts w:ascii="Verdana Ref" w:hAnsi="Verdana Ref"/>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52" w15:restartNumberingAfterBreak="0">
    <w:nsid w:val="25EB5F1A"/>
    <w:multiLevelType w:val="hybridMultilevel"/>
    <w:tmpl w:val="747408C6"/>
    <w:lvl w:ilvl="0" w:tplc="85FCACB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63621F9"/>
    <w:multiLevelType w:val="hybridMultilevel"/>
    <w:tmpl w:val="0E9CC520"/>
    <w:lvl w:ilvl="0" w:tplc="A0BCF4DA">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8E5C84"/>
    <w:multiLevelType w:val="hybridMultilevel"/>
    <w:tmpl w:val="00EEE306"/>
    <w:lvl w:ilvl="0" w:tplc="47F888E4">
      <w:start w:val="1"/>
      <w:numFmt w:val="bullet"/>
      <w:lvlText w:val="-"/>
      <w:lvlJc w:val="left"/>
      <w:pPr>
        <w:tabs>
          <w:tab w:val="num" w:pos="720"/>
        </w:tabs>
        <w:ind w:left="720" w:hanging="360"/>
      </w:pPr>
      <w:rPr>
        <w:rFonts w:ascii="Sylfaen" w:hAnsi="Sylfae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6F77D3D"/>
    <w:multiLevelType w:val="hybridMultilevel"/>
    <w:tmpl w:val="F9B8C1A6"/>
    <w:lvl w:ilvl="0" w:tplc="AA669368">
      <w:start w:val="1"/>
      <w:numFmt w:val="bullet"/>
      <w:lvlText w:val=""/>
      <w:lvlJc w:val="left"/>
      <w:pPr>
        <w:ind w:left="1287" w:hanging="360"/>
      </w:pPr>
      <w:rPr>
        <w:rFonts w:ascii="Symbol" w:hAnsi="Symbol" w:cs="Symbol" w:hint="default"/>
        <w:b w:val="0"/>
        <w:i w:val="0"/>
        <w:caps w:val="0"/>
        <w:strike w:val="0"/>
        <w:dstrike w:val="0"/>
        <w:vanish w:val="0"/>
        <w:sz w:val="18"/>
        <w:szCs w:val="18"/>
        <w:vertAlign w:val="baseline"/>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6" w15:restartNumberingAfterBreak="0">
    <w:nsid w:val="28306B85"/>
    <w:multiLevelType w:val="hybridMultilevel"/>
    <w:tmpl w:val="255ECF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29641DC3"/>
    <w:multiLevelType w:val="multilevel"/>
    <w:tmpl w:val="527CDA4A"/>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072" w:hanging="504"/>
      </w:pPr>
    </w:lvl>
    <w:lvl w:ilvl="3">
      <w:start w:val="1"/>
      <w:numFmt w:val="decimal"/>
      <w:lvlText w:val="%1.%2.%3.%4."/>
      <w:lvlJc w:val="left"/>
      <w:pPr>
        <w:ind w:left="9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A4A255D"/>
    <w:multiLevelType w:val="hybridMultilevel"/>
    <w:tmpl w:val="2854865E"/>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B33780F"/>
    <w:multiLevelType w:val="hybridMultilevel"/>
    <w:tmpl w:val="8A3464CE"/>
    <w:lvl w:ilvl="0" w:tplc="04090001">
      <w:start w:val="1"/>
      <w:numFmt w:val="bullet"/>
      <w:lvlText w:val=""/>
      <w:lvlJc w:val="left"/>
      <w:pPr>
        <w:ind w:left="720" w:hanging="720"/>
      </w:pPr>
      <w:rPr>
        <w:rFonts w:ascii="Symbol" w:hAnsi="Symbol" w:hint="default"/>
      </w:rPr>
    </w:lvl>
    <w:lvl w:ilvl="1" w:tplc="1EC837AC">
      <w:start w:val="1"/>
      <w:numFmt w:val="lowerLetter"/>
      <w:lvlText w:val="%2)"/>
      <w:lvlJc w:val="left"/>
      <w:pPr>
        <w:ind w:left="1104" w:hanging="384"/>
      </w:pPr>
      <w:rPr>
        <w:rFonts w:hint="default"/>
      </w:rPr>
    </w:lvl>
    <w:lvl w:ilvl="2" w:tplc="FAC85792">
      <w:start w:val="3"/>
      <w:numFmt w:val="upperLetter"/>
      <w:lvlText w:val="%3)"/>
      <w:lvlJc w:val="left"/>
      <w:pPr>
        <w:ind w:left="1980" w:hanging="360"/>
      </w:pPr>
      <w:rPr>
        <w:rFonts w:cs="Times New Roman" w:hint="default"/>
      </w:rPr>
    </w:lvl>
    <w:lvl w:ilvl="3" w:tplc="8AFC5E1A">
      <w:start w:val="5"/>
      <w:numFmt w:val="decimal"/>
      <w:lvlText w:val="%4."/>
      <w:lvlJc w:val="left"/>
      <w:pPr>
        <w:ind w:left="2520" w:hanging="360"/>
      </w:pPr>
      <w:rPr>
        <w:rFonts w:hint="default"/>
      </w:rPr>
    </w:lvl>
    <w:lvl w:ilvl="4" w:tplc="96F48196">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C057805"/>
    <w:multiLevelType w:val="multilevel"/>
    <w:tmpl w:val="6D9A3BF8"/>
    <w:lvl w:ilvl="0">
      <w:start w:val="1"/>
      <w:numFmt w:val="bullet"/>
      <w:lvlText w:val="-"/>
      <w:lvlJc w:val="left"/>
      <w:pPr>
        <w:ind w:left="720" w:hanging="360"/>
      </w:pPr>
      <w:rPr>
        <w:rFonts w:ascii="Sylfaen" w:hAnsi="Sylfaen" w:hint="default"/>
      </w:rPr>
    </w:lvl>
    <w:lvl w:ilvl="1">
      <w:start w:val="3"/>
      <w:numFmt w:val="bullet"/>
      <w:lvlText w:val="•"/>
      <w:lvlJc w:val="left"/>
      <w:pPr>
        <w:ind w:left="1440" w:hanging="360"/>
      </w:pPr>
      <w:rPr>
        <w:rFonts w:ascii="Arial Narrow" w:hAnsi="Arial Narrow" w:cs="Arial Narro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2C5041B1"/>
    <w:multiLevelType w:val="hybridMultilevel"/>
    <w:tmpl w:val="B1E40476"/>
    <w:lvl w:ilvl="0" w:tplc="47F888E4">
      <w:start w:val="1"/>
      <w:numFmt w:val="bullet"/>
      <w:lvlText w:val="-"/>
      <w:lvlJc w:val="left"/>
      <w:pPr>
        <w:tabs>
          <w:tab w:val="num" w:pos="360"/>
        </w:tabs>
        <w:ind w:left="360" w:hanging="360"/>
      </w:pPr>
      <w:rPr>
        <w:rFonts w:ascii="Sylfaen" w:hAnsi="Sylfaen" w:hint="default"/>
      </w:rPr>
    </w:lvl>
    <w:lvl w:ilvl="1" w:tplc="040C0003">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CE62EE3"/>
    <w:multiLevelType w:val="hybridMultilevel"/>
    <w:tmpl w:val="5F26BF74"/>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3" w15:restartNumberingAfterBreak="0">
    <w:nsid w:val="2D100261"/>
    <w:multiLevelType w:val="hybridMultilevel"/>
    <w:tmpl w:val="EF34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5F531C"/>
    <w:multiLevelType w:val="hybridMultilevel"/>
    <w:tmpl w:val="7ACEAEEE"/>
    <w:lvl w:ilvl="0" w:tplc="040A0001">
      <w:start w:val="1"/>
      <w:numFmt w:val="bullet"/>
      <w:lvlText w:val=""/>
      <w:lvlJc w:val="left"/>
      <w:pPr>
        <w:ind w:left="720" w:hanging="360"/>
      </w:pPr>
      <w:rPr>
        <w:rFonts w:ascii="Symbol" w:hAnsi="Symbol" w:hint="default"/>
      </w:rPr>
    </w:lvl>
    <w:lvl w:ilvl="1" w:tplc="04100019">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5" w15:restartNumberingAfterBreak="0">
    <w:nsid w:val="2F1743B0"/>
    <w:multiLevelType w:val="multilevel"/>
    <w:tmpl w:val="E296187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2FB037D8"/>
    <w:multiLevelType w:val="hybridMultilevel"/>
    <w:tmpl w:val="CA00071E"/>
    <w:lvl w:ilvl="0" w:tplc="04090017">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7" w15:restartNumberingAfterBreak="0">
    <w:nsid w:val="300730FA"/>
    <w:multiLevelType w:val="hybridMultilevel"/>
    <w:tmpl w:val="2BC0A9D4"/>
    <w:lvl w:ilvl="0" w:tplc="1F1265AC">
      <w:start w:val="6"/>
      <w:numFmt w:val="bullet"/>
      <w:lvlText w:val="-"/>
      <w:lvlJc w:val="left"/>
      <w:pPr>
        <w:ind w:left="322" w:hanging="216"/>
      </w:pPr>
      <w:rPr>
        <w:rFonts w:hint="default"/>
        <w:w w:val="100"/>
        <w:sz w:val="10"/>
        <w:szCs w:val="10"/>
        <w:lang w:val="fr-FR" w:eastAsia="en-US" w:bidi="ar-SA"/>
      </w:rPr>
    </w:lvl>
    <w:lvl w:ilvl="1" w:tplc="F5DEDEA0">
      <w:numFmt w:val="bullet"/>
      <w:lvlText w:val="•"/>
      <w:lvlJc w:val="left"/>
      <w:pPr>
        <w:ind w:left="687" w:hanging="216"/>
      </w:pPr>
      <w:rPr>
        <w:rFonts w:hint="default"/>
        <w:lang w:val="fr-FR" w:eastAsia="en-US" w:bidi="ar-SA"/>
      </w:rPr>
    </w:lvl>
    <w:lvl w:ilvl="2" w:tplc="4E9AFCC0">
      <w:numFmt w:val="bullet"/>
      <w:lvlText w:val="•"/>
      <w:lvlJc w:val="left"/>
      <w:pPr>
        <w:ind w:left="1055" w:hanging="216"/>
      </w:pPr>
      <w:rPr>
        <w:rFonts w:hint="default"/>
        <w:lang w:val="fr-FR" w:eastAsia="en-US" w:bidi="ar-SA"/>
      </w:rPr>
    </w:lvl>
    <w:lvl w:ilvl="3" w:tplc="F2A06AD0">
      <w:numFmt w:val="bullet"/>
      <w:lvlText w:val="•"/>
      <w:lvlJc w:val="left"/>
      <w:pPr>
        <w:ind w:left="1422" w:hanging="216"/>
      </w:pPr>
      <w:rPr>
        <w:rFonts w:hint="default"/>
        <w:lang w:val="fr-FR" w:eastAsia="en-US" w:bidi="ar-SA"/>
      </w:rPr>
    </w:lvl>
    <w:lvl w:ilvl="4" w:tplc="1D048CD0">
      <w:numFmt w:val="bullet"/>
      <w:lvlText w:val="•"/>
      <w:lvlJc w:val="left"/>
      <w:pPr>
        <w:ind w:left="1790" w:hanging="216"/>
      </w:pPr>
      <w:rPr>
        <w:rFonts w:hint="default"/>
        <w:lang w:val="fr-FR" w:eastAsia="en-US" w:bidi="ar-SA"/>
      </w:rPr>
    </w:lvl>
    <w:lvl w:ilvl="5" w:tplc="A97ED384">
      <w:numFmt w:val="bullet"/>
      <w:lvlText w:val="•"/>
      <w:lvlJc w:val="left"/>
      <w:pPr>
        <w:ind w:left="2157" w:hanging="216"/>
      </w:pPr>
      <w:rPr>
        <w:rFonts w:hint="default"/>
        <w:lang w:val="fr-FR" w:eastAsia="en-US" w:bidi="ar-SA"/>
      </w:rPr>
    </w:lvl>
    <w:lvl w:ilvl="6" w:tplc="29805A82">
      <w:numFmt w:val="bullet"/>
      <w:lvlText w:val="•"/>
      <w:lvlJc w:val="left"/>
      <w:pPr>
        <w:ind w:left="2525" w:hanging="216"/>
      </w:pPr>
      <w:rPr>
        <w:rFonts w:hint="default"/>
        <w:lang w:val="fr-FR" w:eastAsia="en-US" w:bidi="ar-SA"/>
      </w:rPr>
    </w:lvl>
    <w:lvl w:ilvl="7" w:tplc="849CF8E0">
      <w:numFmt w:val="bullet"/>
      <w:lvlText w:val="•"/>
      <w:lvlJc w:val="left"/>
      <w:pPr>
        <w:ind w:left="2892" w:hanging="216"/>
      </w:pPr>
      <w:rPr>
        <w:rFonts w:hint="default"/>
        <w:lang w:val="fr-FR" w:eastAsia="en-US" w:bidi="ar-SA"/>
      </w:rPr>
    </w:lvl>
    <w:lvl w:ilvl="8" w:tplc="37645840">
      <w:numFmt w:val="bullet"/>
      <w:lvlText w:val="•"/>
      <w:lvlJc w:val="left"/>
      <w:pPr>
        <w:ind w:left="3260" w:hanging="216"/>
      </w:pPr>
      <w:rPr>
        <w:rFonts w:hint="default"/>
        <w:lang w:val="fr-FR" w:eastAsia="en-US" w:bidi="ar-SA"/>
      </w:rPr>
    </w:lvl>
  </w:abstractNum>
  <w:abstractNum w:abstractNumId="68" w15:restartNumberingAfterBreak="0">
    <w:nsid w:val="31276A62"/>
    <w:multiLevelType w:val="multilevel"/>
    <w:tmpl w:val="1BCA604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323C5E0E"/>
    <w:multiLevelType w:val="hybridMultilevel"/>
    <w:tmpl w:val="3A48371E"/>
    <w:lvl w:ilvl="0" w:tplc="B8F05896">
      <w:start w:val="1"/>
      <w:numFmt w:val="decimal"/>
      <w:lvlText w:val="%1."/>
      <w:lvlJc w:val="left"/>
      <w:pPr>
        <w:ind w:left="459" w:hanging="199"/>
      </w:pPr>
      <w:rPr>
        <w:rFonts w:ascii="Times New Roman" w:eastAsia="Times New Roman" w:hAnsi="Times New Roman" w:cs="Times New Roman" w:hint="default"/>
        <w:b/>
        <w:bCs/>
        <w:spacing w:val="-2"/>
        <w:w w:val="79"/>
        <w:sz w:val="22"/>
        <w:szCs w:val="22"/>
        <w:lang w:val="fr-FR" w:eastAsia="en-US" w:bidi="ar-SA"/>
      </w:rPr>
    </w:lvl>
    <w:lvl w:ilvl="1" w:tplc="F6142650">
      <w:start w:val="1"/>
      <w:numFmt w:val="lowerLetter"/>
      <w:lvlText w:val="%2."/>
      <w:lvlJc w:val="left"/>
      <w:pPr>
        <w:ind w:left="1700" w:hanging="360"/>
      </w:pPr>
      <w:rPr>
        <w:rFonts w:ascii="Arial" w:eastAsia="Times New Roman" w:hAnsi="Arial" w:cs="Arial" w:hint="default"/>
        <w:b w:val="0"/>
        <w:bCs/>
        <w:w w:val="98"/>
        <w:sz w:val="22"/>
        <w:szCs w:val="22"/>
        <w:lang w:val="fr-FR" w:eastAsia="en-US" w:bidi="ar-SA"/>
      </w:rPr>
    </w:lvl>
    <w:lvl w:ilvl="2" w:tplc="FA16A850">
      <w:numFmt w:val="bullet"/>
      <w:lvlText w:val="•"/>
      <w:lvlJc w:val="left"/>
      <w:pPr>
        <w:ind w:left="2624" w:hanging="360"/>
      </w:pPr>
      <w:rPr>
        <w:rFonts w:hint="default"/>
        <w:lang w:val="fr-FR" w:eastAsia="en-US" w:bidi="ar-SA"/>
      </w:rPr>
    </w:lvl>
    <w:lvl w:ilvl="3" w:tplc="A7B67914">
      <w:numFmt w:val="bullet"/>
      <w:lvlText w:val="•"/>
      <w:lvlJc w:val="left"/>
      <w:pPr>
        <w:ind w:left="3548" w:hanging="360"/>
      </w:pPr>
      <w:rPr>
        <w:rFonts w:hint="default"/>
        <w:lang w:val="fr-FR" w:eastAsia="en-US" w:bidi="ar-SA"/>
      </w:rPr>
    </w:lvl>
    <w:lvl w:ilvl="4" w:tplc="6728E402">
      <w:numFmt w:val="bullet"/>
      <w:lvlText w:val="•"/>
      <w:lvlJc w:val="left"/>
      <w:pPr>
        <w:ind w:left="4473" w:hanging="360"/>
      </w:pPr>
      <w:rPr>
        <w:rFonts w:hint="default"/>
        <w:lang w:val="fr-FR" w:eastAsia="en-US" w:bidi="ar-SA"/>
      </w:rPr>
    </w:lvl>
    <w:lvl w:ilvl="5" w:tplc="E5220F56">
      <w:numFmt w:val="bullet"/>
      <w:lvlText w:val="•"/>
      <w:lvlJc w:val="left"/>
      <w:pPr>
        <w:ind w:left="5397" w:hanging="360"/>
      </w:pPr>
      <w:rPr>
        <w:rFonts w:hint="default"/>
        <w:lang w:val="fr-FR" w:eastAsia="en-US" w:bidi="ar-SA"/>
      </w:rPr>
    </w:lvl>
    <w:lvl w:ilvl="6" w:tplc="CF36F030">
      <w:numFmt w:val="bullet"/>
      <w:lvlText w:val="•"/>
      <w:lvlJc w:val="left"/>
      <w:pPr>
        <w:ind w:left="6322" w:hanging="360"/>
      </w:pPr>
      <w:rPr>
        <w:rFonts w:hint="default"/>
        <w:lang w:val="fr-FR" w:eastAsia="en-US" w:bidi="ar-SA"/>
      </w:rPr>
    </w:lvl>
    <w:lvl w:ilvl="7" w:tplc="227EC716">
      <w:numFmt w:val="bullet"/>
      <w:lvlText w:val="•"/>
      <w:lvlJc w:val="left"/>
      <w:pPr>
        <w:ind w:left="7246" w:hanging="360"/>
      </w:pPr>
      <w:rPr>
        <w:rFonts w:hint="default"/>
        <w:lang w:val="fr-FR" w:eastAsia="en-US" w:bidi="ar-SA"/>
      </w:rPr>
    </w:lvl>
    <w:lvl w:ilvl="8" w:tplc="3800B686">
      <w:numFmt w:val="bullet"/>
      <w:lvlText w:val="•"/>
      <w:lvlJc w:val="left"/>
      <w:pPr>
        <w:ind w:left="8171" w:hanging="360"/>
      </w:pPr>
      <w:rPr>
        <w:rFonts w:hint="default"/>
        <w:lang w:val="fr-FR" w:eastAsia="en-US" w:bidi="ar-SA"/>
      </w:rPr>
    </w:lvl>
  </w:abstractNum>
  <w:abstractNum w:abstractNumId="70" w15:restartNumberingAfterBreak="0">
    <w:nsid w:val="326E5DAE"/>
    <w:multiLevelType w:val="hybridMultilevel"/>
    <w:tmpl w:val="4C48CF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331A3CAB"/>
    <w:multiLevelType w:val="hybridMultilevel"/>
    <w:tmpl w:val="5C5830CE"/>
    <w:lvl w:ilvl="0" w:tplc="040C000B">
      <w:start w:val="1"/>
      <w:numFmt w:val="bullet"/>
      <w:lvlText w:val=""/>
      <w:lvlJc w:val="left"/>
      <w:pPr>
        <w:ind w:left="1967" w:hanging="360"/>
      </w:pPr>
      <w:rPr>
        <w:rFonts w:ascii="Wingdings" w:hAnsi="Wingdings" w:hint="default"/>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72" w15:restartNumberingAfterBreak="0">
    <w:nsid w:val="33836BA4"/>
    <w:multiLevelType w:val="hybridMultilevel"/>
    <w:tmpl w:val="534019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3E348D9"/>
    <w:multiLevelType w:val="hybridMultilevel"/>
    <w:tmpl w:val="65FE17A8"/>
    <w:lvl w:ilvl="0" w:tplc="ADEA56F0">
      <w:start w:val="1"/>
      <w:numFmt w:val="decimal"/>
      <w:pStyle w:val="WB-Numbered"/>
      <w:lvlText w:val="%1."/>
      <w:lvlJc w:val="left"/>
      <w:pPr>
        <w:tabs>
          <w:tab w:val="num" w:pos="720"/>
        </w:tabs>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D15EB04C">
      <w:start w:val="1"/>
      <w:numFmt w:val="lowerRoman"/>
      <w:lvlText w:val="(%2)"/>
      <w:lvlJc w:val="left"/>
      <w:pPr>
        <w:tabs>
          <w:tab w:val="num" w:pos="1800"/>
        </w:tabs>
        <w:ind w:left="1800"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tplc="04090001">
      <w:start w:val="1"/>
      <w:numFmt w:val="bullet"/>
      <w:lvlText w:val=""/>
      <w:lvlJc w:val="left"/>
      <w:pPr>
        <w:tabs>
          <w:tab w:val="num" w:pos="2340"/>
        </w:tabs>
        <w:ind w:left="2340" w:hanging="360"/>
      </w:pPr>
      <w:rPr>
        <w:rFonts w:ascii="Symbol" w:hAnsi="Symbol" w:hint="default"/>
        <w:b w:val="0"/>
        <w:i w:val="0"/>
        <w:caps w:val="0"/>
        <w:smallCaps w:val="0"/>
        <w:strike w:val="0"/>
        <w:dstrike w:val="0"/>
        <w:vanish w:val="0"/>
        <w:color w:val="000000"/>
        <w:spacing w:val="0"/>
        <w:kern w:val="0"/>
        <w:position w:val="0"/>
        <w:u w:val="none"/>
        <w:vertAlign w:val="baseline"/>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345A1F54"/>
    <w:multiLevelType w:val="hybridMultilevel"/>
    <w:tmpl w:val="2D324FA6"/>
    <w:lvl w:ilvl="0" w:tplc="47F888E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59E2C1B"/>
    <w:multiLevelType w:val="hybridMultilevel"/>
    <w:tmpl w:val="6962468C"/>
    <w:lvl w:ilvl="0" w:tplc="0409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36981CEF"/>
    <w:multiLevelType w:val="hybridMultilevel"/>
    <w:tmpl w:val="978C82D0"/>
    <w:lvl w:ilvl="0" w:tplc="4BDA6F2E">
      <w:start w:val="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36F04524"/>
    <w:multiLevelType w:val="hybridMultilevel"/>
    <w:tmpl w:val="55B45F7A"/>
    <w:lvl w:ilvl="0" w:tplc="33D02564">
      <w:numFmt w:val="bullet"/>
      <w:lvlText w:val="-"/>
      <w:lvlJc w:val="left"/>
      <w:pPr>
        <w:ind w:left="1402" w:hanging="360"/>
      </w:pPr>
      <w:rPr>
        <w:rFonts w:ascii="Times New Roman" w:eastAsia="Times New Roman" w:hAnsi="Times New Roman" w:cs="Times New Roman" w:hint="default"/>
        <w:b/>
        <w:bCs/>
        <w:w w:val="100"/>
        <w:sz w:val="22"/>
        <w:szCs w:val="22"/>
        <w:lang w:val="en-US" w:eastAsia="en-US" w:bidi="ar-SA"/>
      </w:rPr>
    </w:lvl>
    <w:lvl w:ilvl="1" w:tplc="E2DED9BA">
      <w:numFmt w:val="bullet"/>
      <w:lvlText w:val="•"/>
      <w:lvlJc w:val="left"/>
      <w:pPr>
        <w:ind w:left="2362" w:hanging="360"/>
      </w:pPr>
      <w:rPr>
        <w:rFonts w:hint="default"/>
        <w:lang w:val="en-US" w:eastAsia="en-US" w:bidi="ar-SA"/>
      </w:rPr>
    </w:lvl>
    <w:lvl w:ilvl="2" w:tplc="35CAF4F0">
      <w:numFmt w:val="bullet"/>
      <w:lvlText w:val="•"/>
      <w:lvlJc w:val="left"/>
      <w:pPr>
        <w:ind w:left="3319" w:hanging="360"/>
      </w:pPr>
      <w:rPr>
        <w:rFonts w:hint="default"/>
        <w:lang w:val="en-US" w:eastAsia="en-US" w:bidi="ar-SA"/>
      </w:rPr>
    </w:lvl>
    <w:lvl w:ilvl="3" w:tplc="3C8C55C8">
      <w:numFmt w:val="bullet"/>
      <w:lvlText w:val="•"/>
      <w:lvlJc w:val="left"/>
      <w:pPr>
        <w:ind w:left="4275" w:hanging="360"/>
      </w:pPr>
      <w:rPr>
        <w:rFonts w:hint="default"/>
        <w:lang w:val="en-US" w:eastAsia="en-US" w:bidi="ar-SA"/>
      </w:rPr>
    </w:lvl>
    <w:lvl w:ilvl="4" w:tplc="605C02BA">
      <w:numFmt w:val="bullet"/>
      <w:lvlText w:val="•"/>
      <w:lvlJc w:val="left"/>
      <w:pPr>
        <w:ind w:left="5232" w:hanging="360"/>
      </w:pPr>
      <w:rPr>
        <w:rFonts w:hint="default"/>
        <w:lang w:val="en-US" w:eastAsia="en-US" w:bidi="ar-SA"/>
      </w:rPr>
    </w:lvl>
    <w:lvl w:ilvl="5" w:tplc="110C8092">
      <w:numFmt w:val="bullet"/>
      <w:lvlText w:val="•"/>
      <w:lvlJc w:val="left"/>
      <w:pPr>
        <w:ind w:left="6189" w:hanging="360"/>
      </w:pPr>
      <w:rPr>
        <w:rFonts w:hint="default"/>
        <w:lang w:val="en-US" w:eastAsia="en-US" w:bidi="ar-SA"/>
      </w:rPr>
    </w:lvl>
    <w:lvl w:ilvl="6" w:tplc="C0227DDC">
      <w:numFmt w:val="bullet"/>
      <w:lvlText w:val="•"/>
      <w:lvlJc w:val="left"/>
      <w:pPr>
        <w:ind w:left="7145" w:hanging="360"/>
      </w:pPr>
      <w:rPr>
        <w:rFonts w:hint="default"/>
        <w:lang w:val="en-US" w:eastAsia="en-US" w:bidi="ar-SA"/>
      </w:rPr>
    </w:lvl>
    <w:lvl w:ilvl="7" w:tplc="D04C76E6">
      <w:numFmt w:val="bullet"/>
      <w:lvlText w:val="•"/>
      <w:lvlJc w:val="left"/>
      <w:pPr>
        <w:ind w:left="8102" w:hanging="360"/>
      </w:pPr>
      <w:rPr>
        <w:rFonts w:hint="default"/>
        <w:lang w:val="en-US" w:eastAsia="en-US" w:bidi="ar-SA"/>
      </w:rPr>
    </w:lvl>
    <w:lvl w:ilvl="8" w:tplc="E068786A">
      <w:numFmt w:val="bullet"/>
      <w:lvlText w:val="•"/>
      <w:lvlJc w:val="left"/>
      <w:pPr>
        <w:ind w:left="9059" w:hanging="360"/>
      </w:pPr>
      <w:rPr>
        <w:rFonts w:hint="default"/>
        <w:lang w:val="en-US" w:eastAsia="en-US" w:bidi="ar-SA"/>
      </w:rPr>
    </w:lvl>
  </w:abstractNum>
  <w:abstractNum w:abstractNumId="78" w15:restartNumberingAfterBreak="0">
    <w:nsid w:val="37FB4474"/>
    <w:multiLevelType w:val="hybridMultilevel"/>
    <w:tmpl w:val="D01651F8"/>
    <w:lvl w:ilvl="0" w:tplc="6AAA7EC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8F429AE"/>
    <w:multiLevelType w:val="hybridMultilevel"/>
    <w:tmpl w:val="6966F502"/>
    <w:lvl w:ilvl="0" w:tplc="040C0001">
      <w:numFmt w:val="bullet"/>
      <w:lvlText w:val="-"/>
      <w:lvlJc w:val="left"/>
      <w:pPr>
        <w:ind w:left="720" w:hanging="360"/>
      </w:pPr>
      <w:rPr>
        <w:rFonts w:ascii="Bookman Old Style" w:hAnsi="Bookman Old Style" w:hint="default"/>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80" w15:restartNumberingAfterBreak="0">
    <w:nsid w:val="39077213"/>
    <w:multiLevelType w:val="hybridMultilevel"/>
    <w:tmpl w:val="4894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A452BBF"/>
    <w:multiLevelType w:val="hybridMultilevel"/>
    <w:tmpl w:val="D4EAA162"/>
    <w:lvl w:ilvl="0" w:tplc="2EC496E4">
      <w:numFmt w:val="bullet"/>
      <w:lvlText w:val="-"/>
      <w:lvlJc w:val="left"/>
      <w:pPr>
        <w:ind w:left="843" w:hanging="360"/>
      </w:pPr>
      <w:rPr>
        <w:rFonts w:ascii="Arial" w:eastAsia="Arial" w:hAnsi="Arial" w:cs="Arial" w:hint="default"/>
        <w:w w:val="100"/>
        <w:sz w:val="21"/>
        <w:szCs w:val="21"/>
        <w:lang w:val="fr-FR" w:eastAsia="fr-FR" w:bidi="fr-FR"/>
      </w:rPr>
    </w:lvl>
    <w:lvl w:ilvl="1" w:tplc="040C0003" w:tentative="1">
      <w:start w:val="1"/>
      <w:numFmt w:val="bullet"/>
      <w:lvlText w:val="o"/>
      <w:lvlJc w:val="left"/>
      <w:pPr>
        <w:ind w:left="1563" w:hanging="360"/>
      </w:pPr>
      <w:rPr>
        <w:rFonts w:ascii="Courier New" w:hAnsi="Courier New" w:cs="Courier New" w:hint="default"/>
      </w:rPr>
    </w:lvl>
    <w:lvl w:ilvl="2" w:tplc="040C0005" w:tentative="1">
      <w:start w:val="1"/>
      <w:numFmt w:val="bullet"/>
      <w:lvlText w:val=""/>
      <w:lvlJc w:val="left"/>
      <w:pPr>
        <w:ind w:left="2283" w:hanging="360"/>
      </w:pPr>
      <w:rPr>
        <w:rFonts w:ascii="Wingdings" w:hAnsi="Wingdings" w:hint="default"/>
      </w:rPr>
    </w:lvl>
    <w:lvl w:ilvl="3" w:tplc="040C0001" w:tentative="1">
      <w:start w:val="1"/>
      <w:numFmt w:val="bullet"/>
      <w:lvlText w:val=""/>
      <w:lvlJc w:val="left"/>
      <w:pPr>
        <w:ind w:left="3003" w:hanging="360"/>
      </w:pPr>
      <w:rPr>
        <w:rFonts w:ascii="Symbol" w:hAnsi="Symbol" w:hint="default"/>
      </w:rPr>
    </w:lvl>
    <w:lvl w:ilvl="4" w:tplc="040C0003" w:tentative="1">
      <w:start w:val="1"/>
      <w:numFmt w:val="bullet"/>
      <w:lvlText w:val="o"/>
      <w:lvlJc w:val="left"/>
      <w:pPr>
        <w:ind w:left="3723" w:hanging="360"/>
      </w:pPr>
      <w:rPr>
        <w:rFonts w:ascii="Courier New" w:hAnsi="Courier New" w:cs="Courier New" w:hint="default"/>
      </w:rPr>
    </w:lvl>
    <w:lvl w:ilvl="5" w:tplc="040C0005" w:tentative="1">
      <w:start w:val="1"/>
      <w:numFmt w:val="bullet"/>
      <w:lvlText w:val=""/>
      <w:lvlJc w:val="left"/>
      <w:pPr>
        <w:ind w:left="4443" w:hanging="360"/>
      </w:pPr>
      <w:rPr>
        <w:rFonts w:ascii="Wingdings" w:hAnsi="Wingdings" w:hint="default"/>
      </w:rPr>
    </w:lvl>
    <w:lvl w:ilvl="6" w:tplc="040C0001" w:tentative="1">
      <w:start w:val="1"/>
      <w:numFmt w:val="bullet"/>
      <w:lvlText w:val=""/>
      <w:lvlJc w:val="left"/>
      <w:pPr>
        <w:ind w:left="5163" w:hanging="360"/>
      </w:pPr>
      <w:rPr>
        <w:rFonts w:ascii="Symbol" w:hAnsi="Symbol" w:hint="default"/>
      </w:rPr>
    </w:lvl>
    <w:lvl w:ilvl="7" w:tplc="040C0003" w:tentative="1">
      <w:start w:val="1"/>
      <w:numFmt w:val="bullet"/>
      <w:lvlText w:val="o"/>
      <w:lvlJc w:val="left"/>
      <w:pPr>
        <w:ind w:left="5883" w:hanging="360"/>
      </w:pPr>
      <w:rPr>
        <w:rFonts w:ascii="Courier New" w:hAnsi="Courier New" w:cs="Courier New" w:hint="default"/>
      </w:rPr>
    </w:lvl>
    <w:lvl w:ilvl="8" w:tplc="040C0005" w:tentative="1">
      <w:start w:val="1"/>
      <w:numFmt w:val="bullet"/>
      <w:lvlText w:val=""/>
      <w:lvlJc w:val="left"/>
      <w:pPr>
        <w:ind w:left="6603" w:hanging="360"/>
      </w:pPr>
      <w:rPr>
        <w:rFonts w:ascii="Wingdings" w:hAnsi="Wingdings" w:hint="default"/>
      </w:rPr>
    </w:lvl>
  </w:abstractNum>
  <w:abstractNum w:abstractNumId="82" w15:restartNumberingAfterBreak="0">
    <w:nsid w:val="3C7A61C9"/>
    <w:multiLevelType w:val="hybridMultilevel"/>
    <w:tmpl w:val="3B6C1200"/>
    <w:lvl w:ilvl="0" w:tplc="1F1265AC">
      <w:start w:val="6"/>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C9E371C"/>
    <w:multiLevelType w:val="hybridMultilevel"/>
    <w:tmpl w:val="BB02DD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B072FF"/>
    <w:multiLevelType w:val="hybridMultilevel"/>
    <w:tmpl w:val="E272B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3D2E574E"/>
    <w:multiLevelType w:val="hybridMultilevel"/>
    <w:tmpl w:val="6E1ECE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E0349EC"/>
    <w:multiLevelType w:val="hybridMultilevel"/>
    <w:tmpl w:val="4DFC2302"/>
    <w:lvl w:ilvl="0" w:tplc="040C0001">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3EF87796"/>
    <w:multiLevelType w:val="hybridMultilevel"/>
    <w:tmpl w:val="30E2C5BC"/>
    <w:lvl w:ilvl="0" w:tplc="040C0001">
      <w:start w:val="1"/>
      <w:numFmt w:val="bullet"/>
      <w:lvlText w:val="-"/>
      <w:lvlJc w:val="left"/>
      <w:pPr>
        <w:ind w:left="720" w:hanging="360"/>
      </w:pPr>
      <w:rPr>
        <w:rFonts w:ascii="(Utiliser une police de caractè" w:hAnsi="(Utiliser une police de caractè"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3F3E6199"/>
    <w:multiLevelType w:val="hybridMultilevel"/>
    <w:tmpl w:val="9CBEAE22"/>
    <w:lvl w:ilvl="0" w:tplc="FB20ACD8">
      <w:start w:val="1"/>
      <w:numFmt w:val="decimal"/>
      <w:lvlText w:val="%1."/>
      <w:lvlJc w:val="left"/>
      <w:pPr>
        <w:ind w:left="720" w:hanging="360"/>
      </w:pPr>
      <w:rPr>
        <w:rFonts w:ascii="Arial Unicode MS" w:eastAsia="Arial Unicode MS" w:hAnsi="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F98654C"/>
    <w:multiLevelType w:val="hybridMultilevel"/>
    <w:tmpl w:val="CE9E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0165751"/>
    <w:multiLevelType w:val="hybridMultilevel"/>
    <w:tmpl w:val="2BEA1940"/>
    <w:lvl w:ilvl="0" w:tplc="5FA4A80A">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0F134F"/>
    <w:multiLevelType w:val="hybridMultilevel"/>
    <w:tmpl w:val="1E70133A"/>
    <w:lvl w:ilvl="0" w:tplc="2EC496E4">
      <w:numFmt w:val="bullet"/>
      <w:lvlText w:val="-"/>
      <w:lvlJc w:val="left"/>
      <w:pPr>
        <w:ind w:left="720" w:hanging="360"/>
      </w:pPr>
      <w:rPr>
        <w:rFonts w:ascii="Arial" w:eastAsia="Arial" w:hAnsi="Arial" w:cs="Arial" w:hint="default"/>
        <w:w w:val="100"/>
        <w:sz w:val="21"/>
        <w:szCs w:val="21"/>
        <w:lang w:val="fr-FR" w:eastAsia="fr-FR" w:bidi="fr-FR"/>
      </w:rPr>
    </w:lvl>
    <w:lvl w:ilvl="1" w:tplc="F104E3C8">
      <w:start w:val="1"/>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1517D3C"/>
    <w:multiLevelType w:val="hybridMultilevel"/>
    <w:tmpl w:val="386ABE40"/>
    <w:lvl w:ilvl="0" w:tplc="B76424E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4" w15:restartNumberingAfterBreak="0">
    <w:nsid w:val="422C450B"/>
    <w:multiLevelType w:val="hybridMultilevel"/>
    <w:tmpl w:val="0EA062EE"/>
    <w:lvl w:ilvl="0" w:tplc="47F888E4">
      <w:start w:val="1"/>
      <w:numFmt w:val="bullet"/>
      <w:lvlText w:val="-"/>
      <w:lvlJc w:val="left"/>
      <w:pPr>
        <w:tabs>
          <w:tab w:val="num" w:pos="360"/>
        </w:tabs>
        <w:ind w:left="360" w:hanging="360"/>
      </w:pPr>
      <w:rPr>
        <w:rFonts w:ascii="Sylfaen" w:hAnsi="Sylfae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2881A12"/>
    <w:multiLevelType w:val="multilevel"/>
    <w:tmpl w:val="D8D88E8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571" w:hanging="720"/>
      </w:pPr>
      <w:rPr>
        <w:rFonts w:hint="default"/>
        <w:b w:val="0"/>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42EA48A8"/>
    <w:multiLevelType w:val="multilevel"/>
    <w:tmpl w:val="2E943B50"/>
    <w:styleLink w:val="List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97" w15:restartNumberingAfterBreak="0">
    <w:nsid w:val="436A0969"/>
    <w:multiLevelType w:val="hybridMultilevel"/>
    <w:tmpl w:val="6E2ADB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459425F"/>
    <w:multiLevelType w:val="multilevel"/>
    <w:tmpl w:val="11B0E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15:restartNumberingAfterBreak="0">
    <w:nsid w:val="45DF44D9"/>
    <w:multiLevelType w:val="hybridMultilevel"/>
    <w:tmpl w:val="D7686576"/>
    <w:lvl w:ilvl="0" w:tplc="51AC91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5EF24B2"/>
    <w:multiLevelType w:val="hybridMultilevel"/>
    <w:tmpl w:val="D4624CAE"/>
    <w:lvl w:ilvl="0" w:tplc="47F888E4">
      <w:start w:val="1"/>
      <w:numFmt w:val="bullet"/>
      <w:lvlText w:val="-"/>
      <w:lvlJc w:val="left"/>
      <w:pPr>
        <w:tabs>
          <w:tab w:val="num" w:pos="360"/>
        </w:tabs>
        <w:ind w:left="360" w:hanging="360"/>
      </w:pPr>
      <w:rPr>
        <w:rFonts w:ascii="Sylfaen" w:hAnsi="Sylfae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471C4769"/>
    <w:multiLevelType w:val="multilevel"/>
    <w:tmpl w:val="5A167518"/>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475F5253"/>
    <w:multiLevelType w:val="hybridMultilevel"/>
    <w:tmpl w:val="EFFE9A14"/>
    <w:lvl w:ilvl="0" w:tplc="C3123EC6">
      <w:start w:val="1"/>
      <w:numFmt w:val="bullet"/>
      <w:suff w:val="space"/>
      <w:lvlText w:val="-"/>
      <w:lvlJc w:val="left"/>
      <w:pPr>
        <w:ind w:left="0" w:firstLine="0"/>
      </w:pPr>
      <w:rPr>
        <w:rFonts w:ascii="Calibri" w:eastAsia="SimSun"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47D33209"/>
    <w:multiLevelType w:val="hybridMultilevel"/>
    <w:tmpl w:val="B47A227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4" w15:restartNumberingAfterBreak="0">
    <w:nsid w:val="48453FF5"/>
    <w:multiLevelType w:val="hybridMultilevel"/>
    <w:tmpl w:val="92D2F06A"/>
    <w:lvl w:ilvl="0" w:tplc="2B40BBBA">
      <w:start w:val="5"/>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49102E3F"/>
    <w:multiLevelType w:val="hybridMultilevel"/>
    <w:tmpl w:val="85929C10"/>
    <w:lvl w:ilvl="0" w:tplc="452AB9EE">
      <w:start w:val="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49E22CC3"/>
    <w:multiLevelType w:val="hybridMultilevel"/>
    <w:tmpl w:val="456826E4"/>
    <w:lvl w:ilvl="0" w:tplc="7BC259D6">
      <w:start w:val="1"/>
      <w:numFmt w:val="lowerLetter"/>
      <w:lvlText w:val="%1)"/>
      <w:lvlJc w:val="left"/>
      <w:pPr>
        <w:ind w:left="-360" w:hanging="360"/>
      </w:pPr>
      <w:rPr>
        <w:b/>
        <w:bCs/>
        <w:i/>
        <w:iC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7" w15:restartNumberingAfterBreak="0">
    <w:nsid w:val="4B9F5CD3"/>
    <w:multiLevelType w:val="hybridMultilevel"/>
    <w:tmpl w:val="6BC4B304"/>
    <w:lvl w:ilvl="0" w:tplc="EE48D2C6">
      <w:start w:val="1"/>
      <w:numFmt w:val="lowerLetter"/>
      <w:suff w:val="space"/>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CF767EC"/>
    <w:multiLevelType w:val="hybridMultilevel"/>
    <w:tmpl w:val="AB96153C"/>
    <w:lvl w:ilvl="0" w:tplc="191A5852">
      <w:start w:val="1"/>
      <w:numFmt w:val="bullet"/>
      <w:lvlText w:val="-"/>
      <w:lvlJc w:val="left"/>
      <w:pPr>
        <w:ind w:left="695" w:hanging="360"/>
      </w:pPr>
      <w:rPr>
        <w:rFonts w:ascii="Calibri" w:eastAsia="MS Mincho" w:hAnsi="Calibri" w:cs="Calibri" w:hint="default"/>
      </w:rPr>
    </w:lvl>
    <w:lvl w:ilvl="1" w:tplc="04090003" w:tentative="1">
      <w:start w:val="1"/>
      <w:numFmt w:val="bullet"/>
      <w:lvlText w:val="o"/>
      <w:lvlJc w:val="left"/>
      <w:pPr>
        <w:ind w:left="1415" w:hanging="360"/>
      </w:pPr>
      <w:rPr>
        <w:rFonts w:ascii="Courier New" w:hAnsi="Courier New" w:cs="Courier New" w:hint="default"/>
      </w:rPr>
    </w:lvl>
    <w:lvl w:ilvl="2" w:tplc="04090005" w:tentative="1">
      <w:start w:val="1"/>
      <w:numFmt w:val="bullet"/>
      <w:lvlText w:val=""/>
      <w:lvlJc w:val="left"/>
      <w:pPr>
        <w:ind w:left="2135" w:hanging="360"/>
      </w:pPr>
      <w:rPr>
        <w:rFonts w:ascii="Wingdings" w:hAnsi="Wingdings" w:cs="Wingdings" w:hint="default"/>
      </w:rPr>
    </w:lvl>
    <w:lvl w:ilvl="3" w:tplc="04090001" w:tentative="1">
      <w:start w:val="1"/>
      <w:numFmt w:val="bullet"/>
      <w:lvlText w:val=""/>
      <w:lvlJc w:val="left"/>
      <w:pPr>
        <w:ind w:left="2855" w:hanging="360"/>
      </w:pPr>
      <w:rPr>
        <w:rFonts w:ascii="Symbol" w:hAnsi="Symbol" w:cs="Symbol" w:hint="default"/>
      </w:rPr>
    </w:lvl>
    <w:lvl w:ilvl="4" w:tplc="04090003" w:tentative="1">
      <w:start w:val="1"/>
      <w:numFmt w:val="bullet"/>
      <w:lvlText w:val="o"/>
      <w:lvlJc w:val="left"/>
      <w:pPr>
        <w:ind w:left="3575" w:hanging="360"/>
      </w:pPr>
      <w:rPr>
        <w:rFonts w:ascii="Courier New" w:hAnsi="Courier New" w:cs="Courier New" w:hint="default"/>
      </w:rPr>
    </w:lvl>
    <w:lvl w:ilvl="5" w:tplc="04090005" w:tentative="1">
      <w:start w:val="1"/>
      <w:numFmt w:val="bullet"/>
      <w:lvlText w:val=""/>
      <w:lvlJc w:val="left"/>
      <w:pPr>
        <w:ind w:left="4295" w:hanging="360"/>
      </w:pPr>
      <w:rPr>
        <w:rFonts w:ascii="Wingdings" w:hAnsi="Wingdings" w:cs="Wingdings" w:hint="default"/>
      </w:rPr>
    </w:lvl>
    <w:lvl w:ilvl="6" w:tplc="04090001" w:tentative="1">
      <w:start w:val="1"/>
      <w:numFmt w:val="bullet"/>
      <w:lvlText w:val=""/>
      <w:lvlJc w:val="left"/>
      <w:pPr>
        <w:ind w:left="5015" w:hanging="360"/>
      </w:pPr>
      <w:rPr>
        <w:rFonts w:ascii="Symbol" w:hAnsi="Symbol" w:cs="Symbol" w:hint="default"/>
      </w:rPr>
    </w:lvl>
    <w:lvl w:ilvl="7" w:tplc="04090003" w:tentative="1">
      <w:start w:val="1"/>
      <w:numFmt w:val="bullet"/>
      <w:lvlText w:val="o"/>
      <w:lvlJc w:val="left"/>
      <w:pPr>
        <w:ind w:left="5735" w:hanging="360"/>
      </w:pPr>
      <w:rPr>
        <w:rFonts w:ascii="Courier New" w:hAnsi="Courier New" w:cs="Courier New" w:hint="default"/>
      </w:rPr>
    </w:lvl>
    <w:lvl w:ilvl="8" w:tplc="04090005" w:tentative="1">
      <w:start w:val="1"/>
      <w:numFmt w:val="bullet"/>
      <w:lvlText w:val=""/>
      <w:lvlJc w:val="left"/>
      <w:pPr>
        <w:ind w:left="6455" w:hanging="360"/>
      </w:pPr>
      <w:rPr>
        <w:rFonts w:ascii="Wingdings" w:hAnsi="Wingdings" w:cs="Wingdings" w:hint="default"/>
      </w:rPr>
    </w:lvl>
  </w:abstractNum>
  <w:abstractNum w:abstractNumId="109" w15:restartNumberingAfterBreak="0">
    <w:nsid w:val="4F3314AE"/>
    <w:multiLevelType w:val="hybridMultilevel"/>
    <w:tmpl w:val="35045C58"/>
    <w:lvl w:ilvl="0" w:tplc="2B40BBBA">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4F467612"/>
    <w:multiLevelType w:val="hybridMultilevel"/>
    <w:tmpl w:val="5EFA29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F5E1BA3"/>
    <w:multiLevelType w:val="hybridMultilevel"/>
    <w:tmpl w:val="E62CAF7E"/>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50702864"/>
    <w:multiLevelType w:val="multilevel"/>
    <w:tmpl w:val="A11AEBC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3" w15:restartNumberingAfterBreak="0">
    <w:nsid w:val="50AA3F5F"/>
    <w:multiLevelType w:val="hybridMultilevel"/>
    <w:tmpl w:val="A58A316C"/>
    <w:lvl w:ilvl="0" w:tplc="510E0770">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start w:val="1"/>
      <w:numFmt w:val="lowerRoman"/>
      <w:lvlText w:val="%3."/>
      <w:lvlJc w:val="right"/>
      <w:pPr>
        <w:ind w:left="2651" w:hanging="180"/>
      </w:pPr>
    </w:lvl>
    <w:lvl w:ilvl="3" w:tplc="040C000F">
      <w:start w:val="1"/>
      <w:numFmt w:val="decimal"/>
      <w:lvlText w:val="%4."/>
      <w:lvlJc w:val="left"/>
      <w:pPr>
        <w:ind w:left="360"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14" w15:restartNumberingAfterBreak="0">
    <w:nsid w:val="51AE4CFE"/>
    <w:multiLevelType w:val="hybridMultilevel"/>
    <w:tmpl w:val="8D2EBDD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5" w15:restartNumberingAfterBreak="0">
    <w:nsid w:val="52957653"/>
    <w:multiLevelType w:val="hybridMultilevel"/>
    <w:tmpl w:val="609C9FC0"/>
    <w:lvl w:ilvl="0" w:tplc="5F189A0C">
      <w:start w:val="13"/>
      <w:numFmt w:val="bullet"/>
      <w:lvlText w:val="-"/>
      <w:lvlJc w:val="left"/>
      <w:pPr>
        <w:ind w:left="531" w:hanging="360"/>
      </w:pPr>
      <w:rPr>
        <w:rFonts w:ascii="Times New Roman" w:eastAsia="Times New Roman" w:hAnsi="Times New Roman" w:cs="Times New Roman" w:hint="default"/>
      </w:rPr>
    </w:lvl>
    <w:lvl w:ilvl="1" w:tplc="040C0003" w:tentative="1">
      <w:start w:val="1"/>
      <w:numFmt w:val="bullet"/>
      <w:lvlText w:val="o"/>
      <w:lvlJc w:val="left"/>
      <w:pPr>
        <w:ind w:left="1251" w:hanging="360"/>
      </w:pPr>
      <w:rPr>
        <w:rFonts w:ascii="Courier New" w:hAnsi="Courier New" w:cs="Courier New" w:hint="default"/>
      </w:rPr>
    </w:lvl>
    <w:lvl w:ilvl="2" w:tplc="040C0005" w:tentative="1">
      <w:start w:val="1"/>
      <w:numFmt w:val="bullet"/>
      <w:lvlText w:val=""/>
      <w:lvlJc w:val="left"/>
      <w:pPr>
        <w:ind w:left="1971" w:hanging="360"/>
      </w:pPr>
      <w:rPr>
        <w:rFonts w:ascii="Wingdings" w:hAnsi="Wingdings" w:hint="default"/>
      </w:rPr>
    </w:lvl>
    <w:lvl w:ilvl="3" w:tplc="040C0001" w:tentative="1">
      <w:start w:val="1"/>
      <w:numFmt w:val="bullet"/>
      <w:lvlText w:val=""/>
      <w:lvlJc w:val="left"/>
      <w:pPr>
        <w:ind w:left="2691" w:hanging="360"/>
      </w:pPr>
      <w:rPr>
        <w:rFonts w:ascii="Symbol" w:hAnsi="Symbol" w:hint="default"/>
      </w:rPr>
    </w:lvl>
    <w:lvl w:ilvl="4" w:tplc="040C0003" w:tentative="1">
      <w:start w:val="1"/>
      <w:numFmt w:val="bullet"/>
      <w:lvlText w:val="o"/>
      <w:lvlJc w:val="left"/>
      <w:pPr>
        <w:ind w:left="3411" w:hanging="360"/>
      </w:pPr>
      <w:rPr>
        <w:rFonts w:ascii="Courier New" w:hAnsi="Courier New" w:cs="Courier New" w:hint="default"/>
      </w:rPr>
    </w:lvl>
    <w:lvl w:ilvl="5" w:tplc="040C0005" w:tentative="1">
      <w:start w:val="1"/>
      <w:numFmt w:val="bullet"/>
      <w:lvlText w:val=""/>
      <w:lvlJc w:val="left"/>
      <w:pPr>
        <w:ind w:left="4131" w:hanging="360"/>
      </w:pPr>
      <w:rPr>
        <w:rFonts w:ascii="Wingdings" w:hAnsi="Wingdings" w:hint="default"/>
      </w:rPr>
    </w:lvl>
    <w:lvl w:ilvl="6" w:tplc="040C0001" w:tentative="1">
      <w:start w:val="1"/>
      <w:numFmt w:val="bullet"/>
      <w:lvlText w:val=""/>
      <w:lvlJc w:val="left"/>
      <w:pPr>
        <w:ind w:left="4851" w:hanging="360"/>
      </w:pPr>
      <w:rPr>
        <w:rFonts w:ascii="Symbol" w:hAnsi="Symbol" w:hint="default"/>
      </w:rPr>
    </w:lvl>
    <w:lvl w:ilvl="7" w:tplc="040C0003" w:tentative="1">
      <w:start w:val="1"/>
      <w:numFmt w:val="bullet"/>
      <w:lvlText w:val="o"/>
      <w:lvlJc w:val="left"/>
      <w:pPr>
        <w:ind w:left="5571" w:hanging="360"/>
      </w:pPr>
      <w:rPr>
        <w:rFonts w:ascii="Courier New" w:hAnsi="Courier New" w:cs="Courier New" w:hint="default"/>
      </w:rPr>
    </w:lvl>
    <w:lvl w:ilvl="8" w:tplc="040C0005" w:tentative="1">
      <w:start w:val="1"/>
      <w:numFmt w:val="bullet"/>
      <w:lvlText w:val=""/>
      <w:lvlJc w:val="left"/>
      <w:pPr>
        <w:ind w:left="6291" w:hanging="360"/>
      </w:pPr>
      <w:rPr>
        <w:rFonts w:ascii="Wingdings" w:hAnsi="Wingdings" w:hint="default"/>
      </w:rPr>
    </w:lvl>
  </w:abstractNum>
  <w:abstractNum w:abstractNumId="116" w15:restartNumberingAfterBreak="0">
    <w:nsid w:val="53D37DCD"/>
    <w:multiLevelType w:val="multilevel"/>
    <w:tmpl w:val="FC3E90C2"/>
    <w:lvl w:ilvl="0">
      <w:start w:val="1"/>
      <w:numFmt w:val="decimal"/>
      <w:lvlText w:val="%1."/>
      <w:lvlJc w:val="left"/>
      <w:pPr>
        <w:ind w:left="720" w:hanging="360"/>
      </w:pPr>
      <w:rPr>
        <w:rFonts w:hint="default"/>
        <w:b w:val="0"/>
      </w:rPr>
    </w:lvl>
    <w:lvl w:ilvl="1">
      <w:start w:val="1"/>
      <w:numFmt w:val="bullet"/>
      <w:lvlText w:val="-"/>
      <w:lvlJc w:val="left"/>
      <w:pPr>
        <w:ind w:left="720" w:hanging="360"/>
      </w:pPr>
      <w:rPr>
        <w:rFonts w:ascii="Sylfaen" w:hAnsi="Sylfaen" w:hint="default"/>
        <w:b w:val="0"/>
      </w:rPr>
    </w:lvl>
    <w:lvl w:ilvl="2">
      <w:start w:val="1"/>
      <w:numFmt w:val="decimal"/>
      <w:isLgl/>
      <w:lvlText w:val="%1.%2.%3."/>
      <w:lvlJc w:val="left"/>
      <w:pPr>
        <w:ind w:left="22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543E0BA5"/>
    <w:multiLevelType w:val="hybridMultilevel"/>
    <w:tmpl w:val="F598704C"/>
    <w:lvl w:ilvl="0" w:tplc="5F189A0C">
      <w:start w:val="13"/>
      <w:numFmt w:val="bullet"/>
      <w:lvlText w:val="-"/>
      <w:lvlJc w:val="left"/>
      <w:pPr>
        <w:ind w:left="531" w:hanging="360"/>
      </w:pPr>
      <w:rPr>
        <w:rFonts w:ascii="Times New Roman" w:eastAsia="Times New Roman" w:hAnsi="Times New Roman" w:cs="Times New Roman" w:hint="default"/>
      </w:rPr>
    </w:lvl>
    <w:lvl w:ilvl="1" w:tplc="040C0003" w:tentative="1">
      <w:start w:val="1"/>
      <w:numFmt w:val="bullet"/>
      <w:lvlText w:val="o"/>
      <w:lvlJc w:val="left"/>
      <w:pPr>
        <w:ind w:left="1251" w:hanging="360"/>
      </w:pPr>
      <w:rPr>
        <w:rFonts w:ascii="Courier New" w:hAnsi="Courier New" w:cs="Courier New" w:hint="default"/>
      </w:rPr>
    </w:lvl>
    <w:lvl w:ilvl="2" w:tplc="040C0005" w:tentative="1">
      <w:start w:val="1"/>
      <w:numFmt w:val="bullet"/>
      <w:lvlText w:val=""/>
      <w:lvlJc w:val="left"/>
      <w:pPr>
        <w:ind w:left="1971" w:hanging="360"/>
      </w:pPr>
      <w:rPr>
        <w:rFonts w:ascii="Wingdings" w:hAnsi="Wingdings" w:hint="default"/>
      </w:rPr>
    </w:lvl>
    <w:lvl w:ilvl="3" w:tplc="040C0001" w:tentative="1">
      <w:start w:val="1"/>
      <w:numFmt w:val="bullet"/>
      <w:lvlText w:val=""/>
      <w:lvlJc w:val="left"/>
      <w:pPr>
        <w:ind w:left="2691" w:hanging="360"/>
      </w:pPr>
      <w:rPr>
        <w:rFonts w:ascii="Symbol" w:hAnsi="Symbol" w:hint="default"/>
      </w:rPr>
    </w:lvl>
    <w:lvl w:ilvl="4" w:tplc="040C0003" w:tentative="1">
      <w:start w:val="1"/>
      <w:numFmt w:val="bullet"/>
      <w:lvlText w:val="o"/>
      <w:lvlJc w:val="left"/>
      <w:pPr>
        <w:ind w:left="3411" w:hanging="360"/>
      </w:pPr>
      <w:rPr>
        <w:rFonts w:ascii="Courier New" w:hAnsi="Courier New" w:cs="Courier New" w:hint="default"/>
      </w:rPr>
    </w:lvl>
    <w:lvl w:ilvl="5" w:tplc="040C0005" w:tentative="1">
      <w:start w:val="1"/>
      <w:numFmt w:val="bullet"/>
      <w:lvlText w:val=""/>
      <w:lvlJc w:val="left"/>
      <w:pPr>
        <w:ind w:left="4131" w:hanging="360"/>
      </w:pPr>
      <w:rPr>
        <w:rFonts w:ascii="Wingdings" w:hAnsi="Wingdings" w:hint="default"/>
      </w:rPr>
    </w:lvl>
    <w:lvl w:ilvl="6" w:tplc="040C0001" w:tentative="1">
      <w:start w:val="1"/>
      <w:numFmt w:val="bullet"/>
      <w:lvlText w:val=""/>
      <w:lvlJc w:val="left"/>
      <w:pPr>
        <w:ind w:left="4851" w:hanging="360"/>
      </w:pPr>
      <w:rPr>
        <w:rFonts w:ascii="Symbol" w:hAnsi="Symbol" w:hint="default"/>
      </w:rPr>
    </w:lvl>
    <w:lvl w:ilvl="7" w:tplc="040C0003" w:tentative="1">
      <w:start w:val="1"/>
      <w:numFmt w:val="bullet"/>
      <w:lvlText w:val="o"/>
      <w:lvlJc w:val="left"/>
      <w:pPr>
        <w:ind w:left="5571" w:hanging="360"/>
      </w:pPr>
      <w:rPr>
        <w:rFonts w:ascii="Courier New" w:hAnsi="Courier New" w:cs="Courier New" w:hint="default"/>
      </w:rPr>
    </w:lvl>
    <w:lvl w:ilvl="8" w:tplc="040C0005" w:tentative="1">
      <w:start w:val="1"/>
      <w:numFmt w:val="bullet"/>
      <w:lvlText w:val=""/>
      <w:lvlJc w:val="left"/>
      <w:pPr>
        <w:ind w:left="6291" w:hanging="360"/>
      </w:pPr>
      <w:rPr>
        <w:rFonts w:ascii="Wingdings" w:hAnsi="Wingdings" w:hint="default"/>
      </w:rPr>
    </w:lvl>
  </w:abstractNum>
  <w:abstractNum w:abstractNumId="118" w15:restartNumberingAfterBreak="0">
    <w:nsid w:val="54BD25ED"/>
    <w:multiLevelType w:val="hybridMultilevel"/>
    <w:tmpl w:val="64D471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9" w15:restartNumberingAfterBreak="0">
    <w:nsid w:val="54F57360"/>
    <w:multiLevelType w:val="hybridMultilevel"/>
    <w:tmpl w:val="E1CAC3A0"/>
    <w:lvl w:ilvl="0" w:tplc="5F189A0C">
      <w:start w:val="13"/>
      <w:numFmt w:val="bullet"/>
      <w:lvlText w:val="-"/>
      <w:lvlJc w:val="left"/>
      <w:pPr>
        <w:ind w:left="531" w:hanging="360"/>
      </w:pPr>
      <w:rPr>
        <w:rFonts w:ascii="Times New Roman" w:eastAsia="Times New Roman" w:hAnsi="Times New Roman" w:cs="Times New Roman" w:hint="default"/>
      </w:rPr>
    </w:lvl>
    <w:lvl w:ilvl="1" w:tplc="040C0003" w:tentative="1">
      <w:start w:val="1"/>
      <w:numFmt w:val="bullet"/>
      <w:lvlText w:val="o"/>
      <w:lvlJc w:val="left"/>
      <w:pPr>
        <w:ind w:left="1251" w:hanging="360"/>
      </w:pPr>
      <w:rPr>
        <w:rFonts w:ascii="Courier New" w:hAnsi="Courier New" w:cs="Courier New" w:hint="default"/>
      </w:rPr>
    </w:lvl>
    <w:lvl w:ilvl="2" w:tplc="040C0005" w:tentative="1">
      <w:start w:val="1"/>
      <w:numFmt w:val="bullet"/>
      <w:lvlText w:val=""/>
      <w:lvlJc w:val="left"/>
      <w:pPr>
        <w:ind w:left="1971" w:hanging="360"/>
      </w:pPr>
      <w:rPr>
        <w:rFonts w:ascii="Wingdings" w:hAnsi="Wingdings" w:hint="default"/>
      </w:rPr>
    </w:lvl>
    <w:lvl w:ilvl="3" w:tplc="040C0001" w:tentative="1">
      <w:start w:val="1"/>
      <w:numFmt w:val="bullet"/>
      <w:lvlText w:val=""/>
      <w:lvlJc w:val="left"/>
      <w:pPr>
        <w:ind w:left="2691" w:hanging="360"/>
      </w:pPr>
      <w:rPr>
        <w:rFonts w:ascii="Symbol" w:hAnsi="Symbol" w:hint="default"/>
      </w:rPr>
    </w:lvl>
    <w:lvl w:ilvl="4" w:tplc="040C0003" w:tentative="1">
      <w:start w:val="1"/>
      <w:numFmt w:val="bullet"/>
      <w:lvlText w:val="o"/>
      <w:lvlJc w:val="left"/>
      <w:pPr>
        <w:ind w:left="3411" w:hanging="360"/>
      </w:pPr>
      <w:rPr>
        <w:rFonts w:ascii="Courier New" w:hAnsi="Courier New" w:cs="Courier New" w:hint="default"/>
      </w:rPr>
    </w:lvl>
    <w:lvl w:ilvl="5" w:tplc="040C0005" w:tentative="1">
      <w:start w:val="1"/>
      <w:numFmt w:val="bullet"/>
      <w:lvlText w:val=""/>
      <w:lvlJc w:val="left"/>
      <w:pPr>
        <w:ind w:left="4131" w:hanging="360"/>
      </w:pPr>
      <w:rPr>
        <w:rFonts w:ascii="Wingdings" w:hAnsi="Wingdings" w:hint="default"/>
      </w:rPr>
    </w:lvl>
    <w:lvl w:ilvl="6" w:tplc="040C0001" w:tentative="1">
      <w:start w:val="1"/>
      <w:numFmt w:val="bullet"/>
      <w:lvlText w:val=""/>
      <w:lvlJc w:val="left"/>
      <w:pPr>
        <w:ind w:left="4851" w:hanging="360"/>
      </w:pPr>
      <w:rPr>
        <w:rFonts w:ascii="Symbol" w:hAnsi="Symbol" w:hint="default"/>
      </w:rPr>
    </w:lvl>
    <w:lvl w:ilvl="7" w:tplc="040C0003" w:tentative="1">
      <w:start w:val="1"/>
      <w:numFmt w:val="bullet"/>
      <w:lvlText w:val="o"/>
      <w:lvlJc w:val="left"/>
      <w:pPr>
        <w:ind w:left="5571" w:hanging="360"/>
      </w:pPr>
      <w:rPr>
        <w:rFonts w:ascii="Courier New" w:hAnsi="Courier New" w:cs="Courier New" w:hint="default"/>
      </w:rPr>
    </w:lvl>
    <w:lvl w:ilvl="8" w:tplc="040C0005" w:tentative="1">
      <w:start w:val="1"/>
      <w:numFmt w:val="bullet"/>
      <w:lvlText w:val=""/>
      <w:lvlJc w:val="left"/>
      <w:pPr>
        <w:ind w:left="6291" w:hanging="360"/>
      </w:pPr>
      <w:rPr>
        <w:rFonts w:ascii="Wingdings" w:hAnsi="Wingdings" w:hint="default"/>
      </w:rPr>
    </w:lvl>
  </w:abstractNum>
  <w:abstractNum w:abstractNumId="120" w15:restartNumberingAfterBreak="0">
    <w:nsid w:val="54FE6A87"/>
    <w:multiLevelType w:val="hybridMultilevel"/>
    <w:tmpl w:val="1B120628"/>
    <w:lvl w:ilvl="0" w:tplc="720838A0">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5690094F"/>
    <w:multiLevelType w:val="multilevel"/>
    <w:tmpl w:val="5A167518"/>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57E35FE8"/>
    <w:multiLevelType w:val="hybridMultilevel"/>
    <w:tmpl w:val="35CC5CE2"/>
    <w:lvl w:ilvl="0" w:tplc="47F888E4">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89B07C0"/>
    <w:multiLevelType w:val="hybridMultilevel"/>
    <w:tmpl w:val="117C1F1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4" w15:restartNumberingAfterBreak="0">
    <w:nsid w:val="59501638"/>
    <w:multiLevelType w:val="hybridMultilevel"/>
    <w:tmpl w:val="700E2372"/>
    <w:lvl w:ilvl="0" w:tplc="9BDA5F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5A20446D"/>
    <w:multiLevelType w:val="multilevel"/>
    <w:tmpl w:val="E9DE97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5B242BD1"/>
    <w:multiLevelType w:val="hybridMultilevel"/>
    <w:tmpl w:val="727C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D4731F7"/>
    <w:multiLevelType w:val="multilevel"/>
    <w:tmpl w:val="2E72166A"/>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211"/>
        </w:tabs>
        <w:ind w:left="1211" w:hanging="360"/>
      </w:pPr>
      <w:rPr>
        <w:rFonts w:ascii="Times New Roman" w:hAnsi="Times New Roman" w:cs="Times New Roman" w:hint="default"/>
        <w:b/>
        <w:i w:val="0"/>
        <w:sz w:val="22"/>
        <w:szCs w:val="22"/>
      </w:rPr>
    </w:lvl>
    <w:lvl w:ilvl="2">
      <w:start w:val="1"/>
      <w:numFmt w:val="decimal"/>
      <w:lvlText w:val="%1.%2.%3."/>
      <w:lvlJc w:val="left"/>
      <w:pPr>
        <w:tabs>
          <w:tab w:val="num" w:pos="2880"/>
        </w:tabs>
        <w:ind w:left="2880" w:hanging="720"/>
      </w:pPr>
      <w:rPr>
        <w:rFonts w:ascii="Times New Roman" w:hAnsi="Times New Roman" w:cs="Times New Roman" w:hint="default"/>
        <w:b w:val="0"/>
        <w:i w:val="0"/>
        <w:sz w:val="22"/>
        <w:szCs w:val="22"/>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28" w15:restartNumberingAfterBreak="0">
    <w:nsid w:val="5D9E4AAB"/>
    <w:multiLevelType w:val="hybridMultilevel"/>
    <w:tmpl w:val="6A2A5294"/>
    <w:lvl w:ilvl="0" w:tplc="47F888E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CB7864"/>
    <w:multiLevelType w:val="hybridMultilevel"/>
    <w:tmpl w:val="D4E26B2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5EBD5256"/>
    <w:multiLevelType w:val="multilevel"/>
    <w:tmpl w:val="2E72166A"/>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211"/>
        </w:tabs>
        <w:ind w:left="1211" w:hanging="360"/>
      </w:pPr>
      <w:rPr>
        <w:rFonts w:ascii="Times New Roman" w:hAnsi="Times New Roman" w:cs="Times New Roman" w:hint="default"/>
        <w:b/>
        <w:i w:val="0"/>
        <w:sz w:val="22"/>
        <w:szCs w:val="22"/>
      </w:rPr>
    </w:lvl>
    <w:lvl w:ilvl="2">
      <w:start w:val="1"/>
      <w:numFmt w:val="decimal"/>
      <w:lvlText w:val="%1.%2.%3."/>
      <w:lvlJc w:val="left"/>
      <w:pPr>
        <w:tabs>
          <w:tab w:val="num" w:pos="2880"/>
        </w:tabs>
        <w:ind w:left="2880" w:hanging="720"/>
      </w:pPr>
      <w:rPr>
        <w:rFonts w:ascii="Times New Roman" w:hAnsi="Times New Roman" w:cs="Times New Roman" w:hint="default"/>
        <w:b w:val="0"/>
        <w:i w:val="0"/>
        <w:sz w:val="22"/>
        <w:szCs w:val="22"/>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31" w15:restartNumberingAfterBreak="0">
    <w:nsid w:val="5EBE702B"/>
    <w:multiLevelType w:val="hybridMultilevel"/>
    <w:tmpl w:val="036EE98A"/>
    <w:lvl w:ilvl="0" w:tplc="D910B276">
      <w:start w:val="1"/>
      <w:numFmt w:val="decimal"/>
      <w:lvlText w:val="%1."/>
      <w:lvlJc w:val="left"/>
      <w:pPr>
        <w:ind w:left="1402" w:hanging="360"/>
      </w:pPr>
      <w:rPr>
        <w:rFonts w:ascii="Arial" w:eastAsia="Arial" w:hAnsi="Arial" w:cs="Arial" w:hint="default"/>
        <w:i/>
        <w:spacing w:val="-1"/>
        <w:w w:val="100"/>
        <w:sz w:val="22"/>
        <w:szCs w:val="22"/>
        <w:lang w:val="en-US" w:eastAsia="en-US" w:bidi="ar-SA"/>
      </w:rPr>
    </w:lvl>
    <w:lvl w:ilvl="1" w:tplc="0C440B36">
      <w:numFmt w:val="bullet"/>
      <w:lvlText w:val=""/>
      <w:lvlJc w:val="left"/>
      <w:pPr>
        <w:ind w:left="1894" w:hanging="360"/>
      </w:pPr>
      <w:rPr>
        <w:rFonts w:ascii="Symbol" w:eastAsia="Symbol" w:hAnsi="Symbol" w:cs="Symbol" w:hint="default"/>
        <w:w w:val="100"/>
        <w:sz w:val="22"/>
        <w:szCs w:val="22"/>
        <w:lang w:val="en-US" w:eastAsia="en-US" w:bidi="ar-SA"/>
      </w:rPr>
    </w:lvl>
    <w:lvl w:ilvl="2" w:tplc="5DAE654A">
      <w:numFmt w:val="bullet"/>
      <w:lvlText w:val="•"/>
      <w:lvlJc w:val="left"/>
      <w:pPr>
        <w:ind w:left="2895" w:hanging="360"/>
      </w:pPr>
      <w:rPr>
        <w:rFonts w:hint="default"/>
        <w:lang w:val="en-US" w:eastAsia="en-US" w:bidi="ar-SA"/>
      </w:rPr>
    </w:lvl>
    <w:lvl w:ilvl="3" w:tplc="532AF704">
      <w:numFmt w:val="bullet"/>
      <w:lvlText w:val="•"/>
      <w:lvlJc w:val="left"/>
      <w:pPr>
        <w:ind w:left="3905" w:hanging="360"/>
      </w:pPr>
      <w:rPr>
        <w:rFonts w:hint="default"/>
        <w:lang w:val="en-US" w:eastAsia="en-US" w:bidi="ar-SA"/>
      </w:rPr>
    </w:lvl>
    <w:lvl w:ilvl="4" w:tplc="02BAF33C">
      <w:numFmt w:val="bullet"/>
      <w:lvlText w:val="•"/>
      <w:lvlJc w:val="left"/>
      <w:pPr>
        <w:ind w:left="4914" w:hanging="360"/>
      </w:pPr>
      <w:rPr>
        <w:rFonts w:hint="default"/>
        <w:lang w:val="en-US" w:eastAsia="en-US" w:bidi="ar-SA"/>
      </w:rPr>
    </w:lvl>
    <w:lvl w:ilvl="5" w:tplc="F20A224E">
      <w:numFmt w:val="bullet"/>
      <w:lvlText w:val="•"/>
      <w:lvlJc w:val="left"/>
      <w:pPr>
        <w:ind w:left="5924" w:hanging="360"/>
      </w:pPr>
      <w:rPr>
        <w:rFonts w:hint="default"/>
        <w:lang w:val="en-US" w:eastAsia="en-US" w:bidi="ar-SA"/>
      </w:rPr>
    </w:lvl>
    <w:lvl w:ilvl="6" w:tplc="606EF85E">
      <w:numFmt w:val="bullet"/>
      <w:lvlText w:val="•"/>
      <w:lvlJc w:val="left"/>
      <w:pPr>
        <w:ind w:left="6934" w:hanging="360"/>
      </w:pPr>
      <w:rPr>
        <w:rFonts w:hint="default"/>
        <w:lang w:val="en-US" w:eastAsia="en-US" w:bidi="ar-SA"/>
      </w:rPr>
    </w:lvl>
    <w:lvl w:ilvl="7" w:tplc="F2FA1314">
      <w:numFmt w:val="bullet"/>
      <w:lvlText w:val="•"/>
      <w:lvlJc w:val="left"/>
      <w:pPr>
        <w:ind w:left="7943" w:hanging="360"/>
      </w:pPr>
      <w:rPr>
        <w:rFonts w:hint="default"/>
        <w:lang w:val="en-US" w:eastAsia="en-US" w:bidi="ar-SA"/>
      </w:rPr>
    </w:lvl>
    <w:lvl w:ilvl="8" w:tplc="5E78BFEA">
      <w:numFmt w:val="bullet"/>
      <w:lvlText w:val="•"/>
      <w:lvlJc w:val="left"/>
      <w:pPr>
        <w:ind w:left="8953" w:hanging="360"/>
      </w:pPr>
      <w:rPr>
        <w:rFonts w:hint="default"/>
        <w:lang w:val="en-US" w:eastAsia="en-US" w:bidi="ar-SA"/>
      </w:rPr>
    </w:lvl>
  </w:abstractNum>
  <w:abstractNum w:abstractNumId="132" w15:restartNumberingAfterBreak="0">
    <w:nsid w:val="5F700C56"/>
    <w:multiLevelType w:val="hybridMultilevel"/>
    <w:tmpl w:val="3A3EA924"/>
    <w:lvl w:ilvl="0" w:tplc="C450DEA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5FDA7FF8"/>
    <w:multiLevelType w:val="hybridMultilevel"/>
    <w:tmpl w:val="3DA68B80"/>
    <w:lvl w:ilvl="0" w:tplc="30127B06">
      <w:start w:val="1"/>
      <w:numFmt w:val="bullet"/>
      <w:lvlText w:val="o"/>
      <w:lvlJc w:val="left"/>
      <w:pPr>
        <w:ind w:left="643" w:hanging="360"/>
      </w:pPr>
      <w:rPr>
        <w:rFonts w:ascii="Courier New" w:hAnsi="Courier New" w:cs="Courier New" w:hint="default"/>
        <w:b w:val="0"/>
        <w:i w:val="0"/>
        <w:caps w:val="0"/>
        <w:strike w:val="0"/>
        <w:dstrike w:val="0"/>
        <w:vanish w:val="0"/>
        <w:sz w:val="18"/>
        <w:vertAlign w:val="baseline"/>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34" w15:restartNumberingAfterBreak="0">
    <w:nsid w:val="5FE1026E"/>
    <w:multiLevelType w:val="hybridMultilevel"/>
    <w:tmpl w:val="45A07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1211"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602D5D6C"/>
    <w:multiLevelType w:val="hybridMultilevel"/>
    <w:tmpl w:val="8F16A5A4"/>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61012F5C"/>
    <w:multiLevelType w:val="hybridMultilevel"/>
    <w:tmpl w:val="4FAE38AC"/>
    <w:lvl w:ilvl="0" w:tplc="209A18F8">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1245B29"/>
    <w:multiLevelType w:val="hybridMultilevel"/>
    <w:tmpl w:val="98800C74"/>
    <w:lvl w:ilvl="0" w:tplc="2FDEE20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634C2D82"/>
    <w:multiLevelType w:val="hybridMultilevel"/>
    <w:tmpl w:val="32204C8C"/>
    <w:lvl w:ilvl="0" w:tplc="47F888E4">
      <w:start w:val="1"/>
      <w:numFmt w:val="bullet"/>
      <w:lvlText w:val="-"/>
      <w:lvlJc w:val="left"/>
      <w:pPr>
        <w:ind w:left="785" w:hanging="360"/>
      </w:pPr>
      <w:rPr>
        <w:rFonts w:ascii="Sylfaen" w:hAnsi="Sylfaen"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39" w15:restartNumberingAfterBreak="0">
    <w:nsid w:val="63B61C59"/>
    <w:multiLevelType w:val="hybridMultilevel"/>
    <w:tmpl w:val="F4924A8E"/>
    <w:lvl w:ilvl="0" w:tplc="E9C006D8">
      <w:start w:val="1"/>
      <w:numFmt w:val="upperRoman"/>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64B41DCB"/>
    <w:multiLevelType w:val="hybridMultilevel"/>
    <w:tmpl w:val="FBC2F4D6"/>
    <w:lvl w:ilvl="0" w:tplc="B454A0B6">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4BC51FD"/>
    <w:multiLevelType w:val="hybridMultilevel"/>
    <w:tmpl w:val="C564359E"/>
    <w:lvl w:ilvl="0" w:tplc="DC786958">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2" w15:restartNumberingAfterBreak="0">
    <w:nsid w:val="654C605C"/>
    <w:multiLevelType w:val="hybridMultilevel"/>
    <w:tmpl w:val="D1C64B80"/>
    <w:lvl w:ilvl="0" w:tplc="618C8D6C">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717F54"/>
    <w:multiLevelType w:val="hybridMultilevel"/>
    <w:tmpl w:val="507E87B6"/>
    <w:lvl w:ilvl="0" w:tplc="B5C48EC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66006AFF"/>
    <w:multiLevelType w:val="multilevel"/>
    <w:tmpl w:val="EAC63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66547D31"/>
    <w:multiLevelType w:val="hybridMultilevel"/>
    <w:tmpl w:val="338A9D18"/>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66C71F3D"/>
    <w:multiLevelType w:val="hybridMultilevel"/>
    <w:tmpl w:val="4C48CF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66EA5AAF"/>
    <w:multiLevelType w:val="hybridMultilevel"/>
    <w:tmpl w:val="68DC28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8" w15:restartNumberingAfterBreak="0">
    <w:nsid w:val="674750BD"/>
    <w:multiLevelType w:val="hybridMultilevel"/>
    <w:tmpl w:val="657CE0AA"/>
    <w:lvl w:ilvl="0" w:tplc="BD586ED6">
      <w:start w:val="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68420464"/>
    <w:multiLevelType w:val="multilevel"/>
    <w:tmpl w:val="5F4EAEE8"/>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68984A91"/>
    <w:multiLevelType w:val="hybridMultilevel"/>
    <w:tmpl w:val="DBA4BA78"/>
    <w:lvl w:ilvl="0" w:tplc="48507AF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69A10AB9"/>
    <w:multiLevelType w:val="hybridMultilevel"/>
    <w:tmpl w:val="16DAF90A"/>
    <w:lvl w:ilvl="0" w:tplc="D7B2535A">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6B6B311C"/>
    <w:multiLevelType w:val="hybridMultilevel"/>
    <w:tmpl w:val="58484F96"/>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6D065BE3"/>
    <w:multiLevelType w:val="hybridMultilevel"/>
    <w:tmpl w:val="C3B21B88"/>
    <w:lvl w:ilvl="0" w:tplc="0409000F">
      <w:start w:val="1"/>
      <w:numFmt w:val="decimal"/>
      <w:lvlText w:val="%1."/>
      <w:lvlJc w:val="left"/>
      <w:pPr>
        <w:ind w:left="720" w:hanging="360"/>
      </w:pPr>
      <w:rPr>
        <w:rFonts w:hint="default"/>
      </w:rPr>
    </w:lvl>
    <w:lvl w:ilvl="1" w:tplc="0410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D2B66D7"/>
    <w:multiLevelType w:val="multilevel"/>
    <w:tmpl w:val="637AA4BC"/>
    <w:lvl w:ilvl="0">
      <w:start w:val="1"/>
      <w:numFmt w:val="decimal"/>
      <w:lvlText w:val="%1."/>
      <w:lvlJc w:val="left"/>
      <w:pPr>
        <w:ind w:left="976" w:hanging="360"/>
      </w:pPr>
      <w:rPr>
        <w:rFonts w:hint="default"/>
        <w:i/>
        <w:spacing w:val="-1"/>
        <w:w w:val="100"/>
        <w:lang w:val="en-US" w:eastAsia="en-US" w:bidi="ar-SA"/>
      </w:rPr>
    </w:lvl>
    <w:lvl w:ilvl="1">
      <w:start w:val="1"/>
      <w:numFmt w:val="decimal"/>
      <w:lvlText w:val="%1.%2."/>
      <w:lvlJc w:val="left"/>
      <w:pPr>
        <w:ind w:left="969" w:hanging="430"/>
      </w:pPr>
      <w:rPr>
        <w:rFonts w:ascii="Arial" w:eastAsia="Arial" w:hAnsi="Arial" w:cs="Arial" w:hint="default"/>
        <w:i/>
        <w:w w:val="100"/>
        <w:sz w:val="22"/>
        <w:szCs w:val="22"/>
        <w:u w:val="none"/>
        <w:lang w:val="en-US" w:eastAsia="en-US" w:bidi="ar-SA"/>
      </w:rPr>
    </w:lvl>
    <w:lvl w:ilvl="2">
      <w:numFmt w:val="bullet"/>
      <w:lvlText w:val="•"/>
      <w:lvlJc w:val="left"/>
      <w:pPr>
        <w:ind w:left="2042" w:hanging="430"/>
      </w:pPr>
      <w:rPr>
        <w:rFonts w:hint="default"/>
        <w:lang w:val="en-US" w:eastAsia="en-US" w:bidi="ar-SA"/>
      </w:rPr>
    </w:lvl>
    <w:lvl w:ilvl="3">
      <w:numFmt w:val="bullet"/>
      <w:lvlText w:val="•"/>
      <w:lvlJc w:val="left"/>
      <w:pPr>
        <w:ind w:left="3105" w:hanging="430"/>
      </w:pPr>
      <w:rPr>
        <w:rFonts w:hint="default"/>
        <w:lang w:val="en-US" w:eastAsia="en-US" w:bidi="ar-SA"/>
      </w:rPr>
    </w:lvl>
    <w:lvl w:ilvl="4">
      <w:numFmt w:val="bullet"/>
      <w:lvlText w:val="•"/>
      <w:lvlJc w:val="left"/>
      <w:pPr>
        <w:ind w:left="4168" w:hanging="430"/>
      </w:pPr>
      <w:rPr>
        <w:rFonts w:hint="default"/>
        <w:lang w:val="en-US" w:eastAsia="en-US" w:bidi="ar-SA"/>
      </w:rPr>
    </w:lvl>
    <w:lvl w:ilvl="5">
      <w:numFmt w:val="bullet"/>
      <w:lvlText w:val="•"/>
      <w:lvlJc w:val="left"/>
      <w:pPr>
        <w:ind w:left="5231" w:hanging="430"/>
      </w:pPr>
      <w:rPr>
        <w:rFonts w:hint="default"/>
        <w:lang w:val="en-US" w:eastAsia="en-US" w:bidi="ar-SA"/>
      </w:rPr>
    </w:lvl>
    <w:lvl w:ilvl="6">
      <w:numFmt w:val="bullet"/>
      <w:lvlText w:val="•"/>
      <w:lvlJc w:val="left"/>
      <w:pPr>
        <w:ind w:left="6294" w:hanging="430"/>
      </w:pPr>
      <w:rPr>
        <w:rFonts w:hint="default"/>
        <w:lang w:val="en-US" w:eastAsia="en-US" w:bidi="ar-SA"/>
      </w:rPr>
    </w:lvl>
    <w:lvl w:ilvl="7">
      <w:numFmt w:val="bullet"/>
      <w:lvlText w:val="•"/>
      <w:lvlJc w:val="left"/>
      <w:pPr>
        <w:ind w:left="7357" w:hanging="430"/>
      </w:pPr>
      <w:rPr>
        <w:rFonts w:hint="default"/>
        <w:lang w:val="en-US" w:eastAsia="en-US" w:bidi="ar-SA"/>
      </w:rPr>
    </w:lvl>
    <w:lvl w:ilvl="8">
      <w:numFmt w:val="bullet"/>
      <w:lvlText w:val="•"/>
      <w:lvlJc w:val="left"/>
      <w:pPr>
        <w:ind w:left="8420" w:hanging="430"/>
      </w:pPr>
      <w:rPr>
        <w:rFonts w:hint="default"/>
        <w:lang w:val="en-US" w:eastAsia="en-US" w:bidi="ar-SA"/>
      </w:rPr>
    </w:lvl>
  </w:abstractNum>
  <w:abstractNum w:abstractNumId="155" w15:restartNumberingAfterBreak="0">
    <w:nsid w:val="6D5769FD"/>
    <w:multiLevelType w:val="hybridMultilevel"/>
    <w:tmpl w:val="C0AE5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DD24ED5"/>
    <w:multiLevelType w:val="hybridMultilevel"/>
    <w:tmpl w:val="39CE02FE"/>
    <w:lvl w:ilvl="0" w:tplc="040C0001">
      <w:start w:val="1"/>
      <w:numFmt w:val="bullet"/>
      <w:lvlText w:val=""/>
      <w:lvlJc w:val="left"/>
      <w:pPr>
        <w:ind w:left="-672" w:hanging="360"/>
      </w:pPr>
      <w:rPr>
        <w:rFonts w:ascii="Symbol" w:hAnsi="Symbol" w:hint="default"/>
      </w:rPr>
    </w:lvl>
    <w:lvl w:ilvl="1" w:tplc="040C0003">
      <w:start w:val="1"/>
      <w:numFmt w:val="bullet"/>
      <w:lvlText w:val="o"/>
      <w:lvlJc w:val="left"/>
      <w:pPr>
        <w:ind w:left="48" w:hanging="360"/>
      </w:pPr>
      <w:rPr>
        <w:rFonts w:ascii="Courier New" w:hAnsi="Courier New" w:cs="Courier New" w:hint="default"/>
      </w:rPr>
    </w:lvl>
    <w:lvl w:ilvl="2" w:tplc="040C0005">
      <w:start w:val="1"/>
      <w:numFmt w:val="bullet"/>
      <w:lvlText w:val=""/>
      <w:lvlJc w:val="left"/>
      <w:pPr>
        <w:ind w:left="768" w:hanging="360"/>
      </w:pPr>
      <w:rPr>
        <w:rFonts w:ascii="Wingdings" w:hAnsi="Wingdings" w:hint="default"/>
      </w:rPr>
    </w:lvl>
    <w:lvl w:ilvl="3" w:tplc="040C0001" w:tentative="1">
      <w:start w:val="1"/>
      <w:numFmt w:val="bullet"/>
      <w:lvlText w:val=""/>
      <w:lvlJc w:val="left"/>
      <w:pPr>
        <w:ind w:left="1488" w:hanging="360"/>
      </w:pPr>
      <w:rPr>
        <w:rFonts w:ascii="Symbol" w:hAnsi="Symbol" w:hint="default"/>
      </w:rPr>
    </w:lvl>
    <w:lvl w:ilvl="4" w:tplc="040C0003" w:tentative="1">
      <w:start w:val="1"/>
      <w:numFmt w:val="bullet"/>
      <w:lvlText w:val="o"/>
      <w:lvlJc w:val="left"/>
      <w:pPr>
        <w:ind w:left="2208" w:hanging="360"/>
      </w:pPr>
      <w:rPr>
        <w:rFonts w:ascii="Courier New" w:hAnsi="Courier New" w:cs="Courier New" w:hint="default"/>
      </w:rPr>
    </w:lvl>
    <w:lvl w:ilvl="5" w:tplc="040C0005" w:tentative="1">
      <w:start w:val="1"/>
      <w:numFmt w:val="bullet"/>
      <w:lvlText w:val=""/>
      <w:lvlJc w:val="left"/>
      <w:pPr>
        <w:ind w:left="2928" w:hanging="360"/>
      </w:pPr>
      <w:rPr>
        <w:rFonts w:ascii="Wingdings" w:hAnsi="Wingdings" w:hint="default"/>
      </w:rPr>
    </w:lvl>
    <w:lvl w:ilvl="6" w:tplc="040C0001" w:tentative="1">
      <w:start w:val="1"/>
      <w:numFmt w:val="bullet"/>
      <w:lvlText w:val=""/>
      <w:lvlJc w:val="left"/>
      <w:pPr>
        <w:ind w:left="3648" w:hanging="360"/>
      </w:pPr>
      <w:rPr>
        <w:rFonts w:ascii="Symbol" w:hAnsi="Symbol" w:hint="default"/>
      </w:rPr>
    </w:lvl>
    <w:lvl w:ilvl="7" w:tplc="040C0003" w:tentative="1">
      <w:start w:val="1"/>
      <w:numFmt w:val="bullet"/>
      <w:lvlText w:val="o"/>
      <w:lvlJc w:val="left"/>
      <w:pPr>
        <w:ind w:left="4368" w:hanging="360"/>
      </w:pPr>
      <w:rPr>
        <w:rFonts w:ascii="Courier New" w:hAnsi="Courier New" w:cs="Courier New" w:hint="default"/>
      </w:rPr>
    </w:lvl>
    <w:lvl w:ilvl="8" w:tplc="040C0005" w:tentative="1">
      <w:start w:val="1"/>
      <w:numFmt w:val="bullet"/>
      <w:lvlText w:val=""/>
      <w:lvlJc w:val="left"/>
      <w:pPr>
        <w:ind w:left="5088" w:hanging="360"/>
      </w:pPr>
      <w:rPr>
        <w:rFonts w:ascii="Wingdings" w:hAnsi="Wingdings" w:hint="default"/>
      </w:rPr>
    </w:lvl>
  </w:abstractNum>
  <w:abstractNum w:abstractNumId="157" w15:restartNumberingAfterBreak="0">
    <w:nsid w:val="6E6D13A2"/>
    <w:multiLevelType w:val="hybridMultilevel"/>
    <w:tmpl w:val="AAF2B794"/>
    <w:lvl w:ilvl="0" w:tplc="040C0017">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15:restartNumberingAfterBreak="0">
    <w:nsid w:val="6E994553"/>
    <w:multiLevelType w:val="hybridMultilevel"/>
    <w:tmpl w:val="7240954C"/>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6F2F3BD2"/>
    <w:multiLevelType w:val="hybridMultilevel"/>
    <w:tmpl w:val="51882A1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0" w15:restartNumberingAfterBreak="0">
    <w:nsid w:val="6F584E55"/>
    <w:multiLevelType w:val="hybridMultilevel"/>
    <w:tmpl w:val="A1CC82EC"/>
    <w:lvl w:ilvl="0" w:tplc="AD16996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6FC65904"/>
    <w:multiLevelType w:val="hybridMultilevel"/>
    <w:tmpl w:val="4E3821E8"/>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713E328C"/>
    <w:multiLevelType w:val="multilevel"/>
    <w:tmpl w:val="927C06C2"/>
    <w:lvl w:ilvl="0">
      <w:start w:val="1"/>
      <w:numFmt w:val="decimal"/>
      <w:lvlText w:val="%1."/>
      <w:lvlJc w:val="left"/>
      <w:pPr>
        <w:tabs>
          <w:tab w:val="num" w:pos="390"/>
        </w:tabs>
        <w:ind w:left="390" w:hanging="390"/>
      </w:pPr>
      <w:rPr>
        <w:rFonts w:hint="default"/>
        <w:sz w:val="24"/>
        <w:szCs w:val="24"/>
      </w:rPr>
    </w:lvl>
    <w:lvl w:ilvl="1">
      <w:start w:val="1"/>
      <w:numFmt w:val="decimal"/>
      <w:lvlText w:val="%1.%2."/>
      <w:lvlJc w:val="left"/>
      <w:pPr>
        <w:tabs>
          <w:tab w:val="num" w:pos="958"/>
        </w:tabs>
        <w:ind w:left="958" w:hanging="390"/>
      </w:pPr>
      <w:rPr>
        <w:rFonts w:hint="default"/>
        <w:b/>
        <w:i w:val="0"/>
        <w:sz w:val="22"/>
        <w:szCs w:val="22"/>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15:restartNumberingAfterBreak="0">
    <w:nsid w:val="722A0FA3"/>
    <w:multiLevelType w:val="hybridMultilevel"/>
    <w:tmpl w:val="80DE3AC4"/>
    <w:lvl w:ilvl="0" w:tplc="CB948AB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73B125C4"/>
    <w:multiLevelType w:val="hybridMultilevel"/>
    <w:tmpl w:val="1CA8D6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3FC5B3A"/>
    <w:multiLevelType w:val="multilevel"/>
    <w:tmpl w:val="DDEE8FB8"/>
    <w:lvl w:ilvl="0">
      <w:start w:val="1"/>
      <w:numFmt w:val="decimal"/>
      <w:pStyle w:val="Titre1JM"/>
      <w:lvlText w:val="%1."/>
      <w:lvlJc w:val="left"/>
      <w:pPr>
        <w:ind w:left="890" w:hanging="360"/>
      </w:pPr>
    </w:lvl>
    <w:lvl w:ilvl="1">
      <w:start w:val="1"/>
      <w:numFmt w:val="decimal"/>
      <w:isLgl/>
      <w:lvlText w:val="%1.%2"/>
      <w:lvlJc w:val="left"/>
      <w:pPr>
        <w:ind w:left="1400" w:hanging="720"/>
      </w:pPr>
      <w:rPr>
        <w:rFonts w:hint="default"/>
      </w:rPr>
    </w:lvl>
    <w:lvl w:ilvl="2">
      <w:start w:val="1"/>
      <w:numFmt w:val="decimal"/>
      <w:isLgl/>
      <w:lvlText w:val="%1.%2.%3"/>
      <w:lvlJc w:val="left"/>
      <w:pPr>
        <w:ind w:left="1550" w:hanging="720"/>
      </w:pPr>
      <w:rPr>
        <w:rFonts w:hint="default"/>
      </w:rPr>
    </w:lvl>
    <w:lvl w:ilvl="3">
      <w:start w:val="1"/>
      <w:numFmt w:val="decimal"/>
      <w:isLgl/>
      <w:lvlText w:val="%1.%2.%3.%4"/>
      <w:lvlJc w:val="left"/>
      <w:pPr>
        <w:ind w:left="2060" w:hanging="1080"/>
      </w:pPr>
      <w:rPr>
        <w:rFonts w:hint="default"/>
      </w:rPr>
    </w:lvl>
    <w:lvl w:ilvl="4">
      <w:start w:val="1"/>
      <w:numFmt w:val="decimal"/>
      <w:isLgl/>
      <w:lvlText w:val="%1.%2.%3.%4.%5"/>
      <w:lvlJc w:val="left"/>
      <w:pPr>
        <w:ind w:left="2570" w:hanging="1440"/>
      </w:pPr>
      <w:rPr>
        <w:rFonts w:hint="default"/>
      </w:rPr>
    </w:lvl>
    <w:lvl w:ilvl="5">
      <w:start w:val="1"/>
      <w:numFmt w:val="decimal"/>
      <w:isLgl/>
      <w:lvlText w:val="%1.%2.%3.%4.%5.%6"/>
      <w:lvlJc w:val="left"/>
      <w:pPr>
        <w:ind w:left="2720" w:hanging="1440"/>
      </w:pPr>
      <w:rPr>
        <w:rFonts w:hint="default"/>
      </w:rPr>
    </w:lvl>
    <w:lvl w:ilvl="6">
      <w:start w:val="1"/>
      <w:numFmt w:val="decimal"/>
      <w:isLgl/>
      <w:lvlText w:val="%1.%2.%3.%4.%5.%6.%7"/>
      <w:lvlJc w:val="left"/>
      <w:pPr>
        <w:ind w:left="3230" w:hanging="1800"/>
      </w:pPr>
      <w:rPr>
        <w:rFonts w:hint="default"/>
      </w:rPr>
    </w:lvl>
    <w:lvl w:ilvl="7">
      <w:start w:val="1"/>
      <w:numFmt w:val="decimal"/>
      <w:isLgl/>
      <w:lvlText w:val="%1.%2.%3.%4.%5.%6.%7.%8"/>
      <w:lvlJc w:val="left"/>
      <w:pPr>
        <w:ind w:left="3380" w:hanging="1800"/>
      </w:pPr>
      <w:rPr>
        <w:rFonts w:hint="default"/>
      </w:rPr>
    </w:lvl>
    <w:lvl w:ilvl="8">
      <w:start w:val="1"/>
      <w:numFmt w:val="decimal"/>
      <w:isLgl/>
      <w:lvlText w:val="%1.%2.%3.%4.%5.%6.%7.%8.%9"/>
      <w:lvlJc w:val="left"/>
      <w:pPr>
        <w:ind w:left="3890" w:hanging="2160"/>
      </w:pPr>
      <w:rPr>
        <w:rFonts w:hint="default"/>
      </w:rPr>
    </w:lvl>
  </w:abstractNum>
  <w:abstractNum w:abstractNumId="166" w15:restartNumberingAfterBreak="0">
    <w:nsid w:val="742E50B5"/>
    <w:multiLevelType w:val="hybridMultilevel"/>
    <w:tmpl w:val="A0B6EA2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7" w15:restartNumberingAfterBreak="0">
    <w:nsid w:val="747C1C0B"/>
    <w:multiLevelType w:val="hybridMultilevel"/>
    <w:tmpl w:val="221E5110"/>
    <w:lvl w:ilvl="0" w:tplc="3D4AA728">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7521545D"/>
    <w:multiLevelType w:val="hybridMultilevel"/>
    <w:tmpl w:val="7BC6D644"/>
    <w:lvl w:ilvl="0" w:tplc="47F888E4">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5B3254A"/>
    <w:multiLevelType w:val="hybridMultilevel"/>
    <w:tmpl w:val="96907F14"/>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75DC3919"/>
    <w:multiLevelType w:val="hybridMultilevel"/>
    <w:tmpl w:val="641057F4"/>
    <w:lvl w:ilvl="0" w:tplc="1892F224">
      <w:start w:val="1"/>
      <w:numFmt w:val="upperLetter"/>
      <w:lvlText w:val="%1."/>
      <w:lvlJc w:val="left"/>
      <w:pPr>
        <w:ind w:left="720" w:hanging="360"/>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1" w15:restartNumberingAfterBreak="0">
    <w:nsid w:val="773634C4"/>
    <w:multiLevelType w:val="multilevel"/>
    <w:tmpl w:val="AC026BA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2" w15:restartNumberingAfterBreak="0">
    <w:nsid w:val="77695715"/>
    <w:multiLevelType w:val="hybridMultilevel"/>
    <w:tmpl w:val="F1D65AB4"/>
    <w:lvl w:ilvl="0" w:tplc="51AC91C0">
      <w:start w:val="2"/>
      <w:numFmt w:val="bullet"/>
      <w:lvlText w:val="-"/>
      <w:lvlJc w:val="left"/>
      <w:pPr>
        <w:ind w:left="720" w:hanging="360"/>
      </w:pPr>
      <w:rPr>
        <w:rFonts w:ascii="Times New Roman" w:eastAsia="Times New Roman" w:hAnsi="Times New Roman" w:cs="Times New Roman" w:hint="default"/>
        <w:b/>
        <w:bCs/>
        <w:w w:val="100"/>
        <w:sz w:val="22"/>
        <w:szCs w:val="22"/>
        <w:lang w:val="en-US" w:eastAsia="en-US" w:bidi="ar-SA"/>
      </w:rPr>
    </w:lvl>
    <w:lvl w:ilvl="1" w:tplc="E2DED9BA">
      <w:numFmt w:val="bullet"/>
      <w:lvlText w:val="•"/>
      <w:lvlJc w:val="left"/>
      <w:pPr>
        <w:ind w:left="1680" w:hanging="360"/>
      </w:pPr>
      <w:rPr>
        <w:rFonts w:hint="default"/>
        <w:lang w:val="en-US" w:eastAsia="en-US" w:bidi="ar-SA"/>
      </w:rPr>
    </w:lvl>
    <w:lvl w:ilvl="2" w:tplc="35CAF4F0">
      <w:numFmt w:val="bullet"/>
      <w:lvlText w:val="•"/>
      <w:lvlJc w:val="left"/>
      <w:pPr>
        <w:ind w:left="2637" w:hanging="360"/>
      </w:pPr>
      <w:rPr>
        <w:rFonts w:hint="default"/>
        <w:lang w:val="en-US" w:eastAsia="en-US" w:bidi="ar-SA"/>
      </w:rPr>
    </w:lvl>
    <w:lvl w:ilvl="3" w:tplc="3C8C55C8">
      <w:numFmt w:val="bullet"/>
      <w:lvlText w:val="•"/>
      <w:lvlJc w:val="left"/>
      <w:pPr>
        <w:ind w:left="3593" w:hanging="360"/>
      </w:pPr>
      <w:rPr>
        <w:rFonts w:hint="default"/>
        <w:lang w:val="en-US" w:eastAsia="en-US" w:bidi="ar-SA"/>
      </w:rPr>
    </w:lvl>
    <w:lvl w:ilvl="4" w:tplc="605C02BA">
      <w:numFmt w:val="bullet"/>
      <w:lvlText w:val="•"/>
      <w:lvlJc w:val="left"/>
      <w:pPr>
        <w:ind w:left="4550" w:hanging="360"/>
      </w:pPr>
      <w:rPr>
        <w:rFonts w:hint="default"/>
        <w:lang w:val="en-US" w:eastAsia="en-US" w:bidi="ar-SA"/>
      </w:rPr>
    </w:lvl>
    <w:lvl w:ilvl="5" w:tplc="110C8092">
      <w:numFmt w:val="bullet"/>
      <w:lvlText w:val="•"/>
      <w:lvlJc w:val="left"/>
      <w:pPr>
        <w:ind w:left="5507" w:hanging="360"/>
      </w:pPr>
      <w:rPr>
        <w:rFonts w:hint="default"/>
        <w:lang w:val="en-US" w:eastAsia="en-US" w:bidi="ar-SA"/>
      </w:rPr>
    </w:lvl>
    <w:lvl w:ilvl="6" w:tplc="C0227DDC">
      <w:numFmt w:val="bullet"/>
      <w:lvlText w:val="•"/>
      <w:lvlJc w:val="left"/>
      <w:pPr>
        <w:ind w:left="6463" w:hanging="360"/>
      </w:pPr>
      <w:rPr>
        <w:rFonts w:hint="default"/>
        <w:lang w:val="en-US" w:eastAsia="en-US" w:bidi="ar-SA"/>
      </w:rPr>
    </w:lvl>
    <w:lvl w:ilvl="7" w:tplc="D04C76E6">
      <w:numFmt w:val="bullet"/>
      <w:lvlText w:val="•"/>
      <w:lvlJc w:val="left"/>
      <w:pPr>
        <w:ind w:left="7420" w:hanging="360"/>
      </w:pPr>
      <w:rPr>
        <w:rFonts w:hint="default"/>
        <w:lang w:val="en-US" w:eastAsia="en-US" w:bidi="ar-SA"/>
      </w:rPr>
    </w:lvl>
    <w:lvl w:ilvl="8" w:tplc="E068786A">
      <w:numFmt w:val="bullet"/>
      <w:lvlText w:val="•"/>
      <w:lvlJc w:val="left"/>
      <w:pPr>
        <w:ind w:left="8377" w:hanging="360"/>
      </w:pPr>
      <w:rPr>
        <w:rFonts w:hint="default"/>
        <w:lang w:val="en-US" w:eastAsia="en-US" w:bidi="ar-SA"/>
      </w:rPr>
    </w:lvl>
  </w:abstractNum>
  <w:abstractNum w:abstractNumId="173" w15:restartNumberingAfterBreak="0">
    <w:nsid w:val="79087E1C"/>
    <w:multiLevelType w:val="hybridMultilevel"/>
    <w:tmpl w:val="B888D5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7A0F51A0"/>
    <w:multiLevelType w:val="hybridMultilevel"/>
    <w:tmpl w:val="41B8A8EC"/>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7C1D393E"/>
    <w:multiLevelType w:val="hybridMultilevel"/>
    <w:tmpl w:val="69E27B46"/>
    <w:lvl w:ilvl="0" w:tplc="040C0019">
      <w:numFmt w:val="bullet"/>
      <w:lvlText w:val="-"/>
      <w:lvlJc w:val="left"/>
      <w:pPr>
        <w:ind w:left="720" w:hanging="360"/>
      </w:pPr>
      <w:rPr>
        <w:rFonts w:ascii="Times New Roman" w:eastAsia="Times New Roman" w:hAnsi="Times New Roman" w:cs="Times New Roman"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7C580DFE"/>
    <w:multiLevelType w:val="hybridMultilevel"/>
    <w:tmpl w:val="0D5CD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15:restartNumberingAfterBreak="0">
    <w:nsid w:val="7C6C010D"/>
    <w:multiLevelType w:val="hybridMultilevel"/>
    <w:tmpl w:val="FDFC397E"/>
    <w:lvl w:ilvl="0" w:tplc="0F069470">
      <w:start w:val="1"/>
      <w:numFmt w:val="bullet"/>
      <w:pStyle w:val="TableauPuce1"/>
      <w:lvlText w:val=""/>
      <w:lvlJc w:val="left"/>
      <w:pPr>
        <w:ind w:left="720" w:hanging="360"/>
      </w:pPr>
      <w:rPr>
        <w:rFonts w:ascii="Symbol" w:hAnsi="Symbol" w:cs="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7F8B472E"/>
    <w:multiLevelType w:val="hybridMultilevel"/>
    <w:tmpl w:val="F0E876D4"/>
    <w:lvl w:ilvl="0" w:tplc="5FA4A80A">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5"/>
  </w:num>
  <w:num w:numId="3">
    <w:abstractNumId w:val="165"/>
  </w:num>
  <w:num w:numId="4">
    <w:abstractNumId w:val="95"/>
  </w:num>
  <w:num w:numId="5">
    <w:abstractNumId w:val="1"/>
  </w:num>
  <w:num w:numId="6">
    <w:abstractNumId w:val="3"/>
  </w:num>
  <w:num w:numId="7">
    <w:abstractNumId w:val="93"/>
  </w:num>
  <w:num w:numId="8">
    <w:abstractNumId w:val="6"/>
  </w:num>
  <w:num w:numId="9">
    <w:abstractNumId w:val="20"/>
  </w:num>
  <w:num w:numId="10">
    <w:abstractNumId w:val="127"/>
  </w:num>
  <w:num w:numId="11">
    <w:abstractNumId w:val="130"/>
  </w:num>
  <w:num w:numId="12">
    <w:abstractNumId w:val="48"/>
  </w:num>
  <w:num w:numId="13">
    <w:abstractNumId w:val="125"/>
  </w:num>
  <w:num w:numId="14">
    <w:abstractNumId w:val="65"/>
  </w:num>
  <w:num w:numId="15">
    <w:abstractNumId w:val="21"/>
  </w:num>
  <w:num w:numId="16">
    <w:abstractNumId w:val="10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1"/>
  </w:num>
  <w:num w:numId="19">
    <w:abstractNumId w:val="99"/>
  </w:num>
  <w:num w:numId="20">
    <w:abstractNumId w:val="97"/>
  </w:num>
  <w:num w:numId="21">
    <w:abstractNumId w:val="128"/>
  </w:num>
  <w:num w:numId="22">
    <w:abstractNumId w:val="116"/>
  </w:num>
  <w:num w:numId="23">
    <w:abstractNumId w:val="60"/>
  </w:num>
  <w:num w:numId="24">
    <w:abstractNumId w:val="100"/>
  </w:num>
  <w:num w:numId="25">
    <w:abstractNumId w:val="122"/>
  </w:num>
  <w:num w:numId="26">
    <w:abstractNumId w:val="168"/>
  </w:num>
  <w:num w:numId="27">
    <w:abstractNumId w:val="74"/>
  </w:num>
  <w:num w:numId="28">
    <w:abstractNumId w:val="152"/>
  </w:num>
  <w:num w:numId="29">
    <w:abstractNumId w:val="54"/>
  </w:num>
  <w:num w:numId="30">
    <w:abstractNumId w:val="61"/>
  </w:num>
  <w:num w:numId="31">
    <w:abstractNumId w:val="94"/>
  </w:num>
  <w:num w:numId="32">
    <w:abstractNumId w:val="73"/>
  </w:num>
  <w:num w:numId="33">
    <w:abstractNumId w:val="167"/>
  </w:num>
  <w:num w:numId="34">
    <w:abstractNumId w:val="44"/>
  </w:num>
  <w:num w:numId="35">
    <w:abstractNumId w:val="96"/>
  </w:num>
  <w:num w:numId="36">
    <w:abstractNumId w:val="120"/>
  </w:num>
  <w:num w:numId="37">
    <w:abstractNumId w:val="17"/>
  </w:num>
  <w:num w:numId="38">
    <w:abstractNumId w:val="79"/>
  </w:num>
  <w:num w:numId="39">
    <w:abstractNumId w:val="70"/>
  </w:num>
  <w:num w:numId="40">
    <w:abstractNumId w:val="134"/>
  </w:num>
  <w:num w:numId="41">
    <w:abstractNumId w:val="31"/>
  </w:num>
  <w:num w:numId="42">
    <w:abstractNumId w:val="30"/>
  </w:num>
  <w:num w:numId="43">
    <w:abstractNumId w:val="91"/>
  </w:num>
  <w:num w:numId="44">
    <w:abstractNumId w:val="38"/>
  </w:num>
  <w:num w:numId="45">
    <w:abstractNumId w:val="137"/>
  </w:num>
  <w:num w:numId="46">
    <w:abstractNumId w:val="87"/>
  </w:num>
  <w:num w:numId="47">
    <w:abstractNumId w:val="169"/>
  </w:num>
  <w:num w:numId="48">
    <w:abstractNumId w:val="151"/>
  </w:num>
  <w:num w:numId="49">
    <w:abstractNumId w:val="27"/>
  </w:num>
  <w:num w:numId="50">
    <w:abstractNumId w:val="34"/>
  </w:num>
  <w:num w:numId="51">
    <w:abstractNumId w:val="82"/>
  </w:num>
  <w:num w:numId="52">
    <w:abstractNumId w:val="86"/>
  </w:num>
  <w:num w:numId="53">
    <w:abstractNumId w:val="171"/>
  </w:num>
  <w:num w:numId="54">
    <w:abstractNumId w:val="148"/>
  </w:num>
  <w:num w:numId="55">
    <w:abstractNumId w:val="84"/>
  </w:num>
  <w:num w:numId="56">
    <w:abstractNumId w:val="143"/>
  </w:num>
  <w:num w:numId="57">
    <w:abstractNumId w:val="170"/>
  </w:num>
  <w:num w:numId="58">
    <w:abstractNumId w:val="57"/>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9"/>
  </w:num>
  <w:num w:numId="61">
    <w:abstractNumId w:val="111"/>
  </w:num>
  <w:num w:numId="62">
    <w:abstractNumId w:val="66"/>
  </w:num>
  <w:num w:numId="63">
    <w:abstractNumId w:val="149"/>
  </w:num>
  <w:num w:numId="64">
    <w:abstractNumId w:val="164"/>
  </w:num>
  <w:num w:numId="65">
    <w:abstractNumId w:val="162"/>
  </w:num>
  <w:num w:numId="66">
    <w:abstractNumId w:val="110"/>
  </w:num>
  <w:num w:numId="67">
    <w:abstractNumId w:val="175"/>
  </w:num>
  <w:num w:numId="68">
    <w:abstractNumId w:val="76"/>
  </w:num>
  <w:num w:numId="69">
    <w:abstractNumId w:val="52"/>
  </w:num>
  <w:num w:numId="70">
    <w:abstractNumId w:val="139"/>
  </w:num>
  <w:num w:numId="71">
    <w:abstractNumId w:val="157"/>
  </w:num>
  <w:num w:numId="72">
    <w:abstractNumId w:val="107"/>
  </w:num>
  <w:num w:numId="73">
    <w:abstractNumId w:val="7"/>
  </w:num>
  <w:num w:numId="74">
    <w:abstractNumId w:val="136"/>
  </w:num>
  <w:num w:numId="75">
    <w:abstractNumId w:val="102"/>
  </w:num>
  <w:num w:numId="76">
    <w:abstractNumId w:val="12"/>
  </w:num>
  <w:num w:numId="77">
    <w:abstractNumId w:val="153"/>
  </w:num>
  <w:num w:numId="78">
    <w:abstractNumId w:val="118"/>
  </w:num>
  <w:num w:numId="79">
    <w:abstractNumId w:val="42"/>
  </w:num>
  <w:num w:numId="80">
    <w:abstractNumId w:val="64"/>
  </w:num>
  <w:num w:numId="81">
    <w:abstractNumId w:val="85"/>
  </w:num>
  <w:num w:numId="82">
    <w:abstractNumId w:val="83"/>
  </w:num>
  <w:num w:numId="83">
    <w:abstractNumId w:val="35"/>
  </w:num>
  <w:num w:numId="84">
    <w:abstractNumId w:val="159"/>
  </w:num>
  <w:num w:numId="85">
    <w:abstractNumId w:val="166"/>
  </w:num>
  <w:num w:numId="86">
    <w:abstractNumId w:val="123"/>
  </w:num>
  <w:num w:numId="87">
    <w:abstractNumId w:val="14"/>
  </w:num>
  <w:num w:numId="88">
    <w:abstractNumId w:val="46"/>
  </w:num>
  <w:num w:numId="89">
    <w:abstractNumId w:val="103"/>
  </w:num>
  <w:num w:numId="90">
    <w:abstractNumId w:val="114"/>
  </w:num>
  <w:num w:numId="91">
    <w:abstractNumId w:val="176"/>
  </w:num>
  <w:num w:numId="92">
    <w:abstractNumId w:val="25"/>
  </w:num>
  <w:num w:numId="93">
    <w:abstractNumId w:val="67"/>
  </w:num>
  <w:num w:numId="94">
    <w:abstractNumId w:val="69"/>
  </w:num>
  <w:num w:numId="95">
    <w:abstractNumId w:val="105"/>
  </w:num>
  <w:num w:numId="96">
    <w:abstractNumId w:val="33"/>
  </w:num>
  <w:num w:numId="97">
    <w:abstractNumId w:val="112"/>
  </w:num>
  <w:num w:numId="98">
    <w:abstractNumId w:val="88"/>
  </w:num>
  <w:num w:numId="99">
    <w:abstractNumId w:val="68"/>
  </w:num>
  <w:num w:numId="100">
    <w:abstractNumId w:val="37"/>
  </w:num>
  <w:num w:numId="101">
    <w:abstractNumId w:val="81"/>
  </w:num>
  <w:num w:numId="102">
    <w:abstractNumId w:val="144"/>
  </w:num>
  <w:num w:numId="103">
    <w:abstractNumId w:val="51"/>
  </w:num>
  <w:num w:numId="104">
    <w:abstractNumId w:val="18"/>
  </w:num>
  <w:num w:numId="105">
    <w:abstractNumId w:val="22"/>
  </w:num>
  <w:num w:numId="106">
    <w:abstractNumId w:val="150"/>
  </w:num>
  <w:num w:numId="107">
    <w:abstractNumId w:val="156"/>
  </w:num>
  <w:num w:numId="108">
    <w:abstractNumId w:val="63"/>
  </w:num>
  <w:num w:numId="109">
    <w:abstractNumId w:val="129"/>
  </w:num>
  <w:num w:numId="110">
    <w:abstractNumId w:val="50"/>
  </w:num>
  <w:num w:numId="111">
    <w:abstractNumId w:val="77"/>
  </w:num>
  <w:num w:numId="112">
    <w:abstractNumId w:val="154"/>
  </w:num>
  <w:num w:numId="113">
    <w:abstractNumId w:val="131"/>
  </w:num>
  <w:num w:numId="114">
    <w:abstractNumId w:val="78"/>
  </w:num>
  <w:num w:numId="115">
    <w:abstractNumId w:val="163"/>
  </w:num>
  <w:num w:numId="116">
    <w:abstractNumId w:val="160"/>
  </w:num>
  <w:num w:numId="117">
    <w:abstractNumId w:val="173"/>
  </w:num>
  <w:num w:numId="118">
    <w:abstractNumId w:val="40"/>
  </w:num>
  <w:num w:numId="119">
    <w:abstractNumId w:val="113"/>
  </w:num>
  <w:num w:numId="120">
    <w:abstractNumId w:val="62"/>
  </w:num>
  <w:num w:numId="121">
    <w:abstractNumId w:val="104"/>
  </w:num>
  <w:num w:numId="122">
    <w:abstractNumId w:val="109"/>
  </w:num>
  <w:num w:numId="123">
    <w:abstractNumId w:val="55"/>
  </w:num>
  <w:num w:numId="124">
    <w:abstractNumId w:val="133"/>
  </w:num>
  <w:num w:numId="125">
    <w:abstractNumId w:val="155"/>
  </w:num>
  <w:num w:numId="126">
    <w:abstractNumId w:val="49"/>
  </w:num>
  <w:num w:numId="127">
    <w:abstractNumId w:val="80"/>
  </w:num>
  <w:num w:numId="128">
    <w:abstractNumId w:val="106"/>
  </w:num>
  <w:num w:numId="129">
    <w:abstractNumId w:val="89"/>
  </w:num>
  <w:num w:numId="130">
    <w:abstractNumId w:val="26"/>
  </w:num>
  <w:num w:numId="131">
    <w:abstractNumId w:val="132"/>
  </w:num>
  <w:num w:numId="132">
    <w:abstractNumId w:val="119"/>
  </w:num>
  <w:num w:numId="133">
    <w:abstractNumId w:val="115"/>
  </w:num>
  <w:num w:numId="134">
    <w:abstractNumId w:val="11"/>
  </w:num>
  <w:num w:numId="135">
    <w:abstractNumId w:val="45"/>
  </w:num>
  <w:num w:numId="136">
    <w:abstractNumId w:val="39"/>
  </w:num>
  <w:num w:numId="137">
    <w:abstractNumId w:val="9"/>
  </w:num>
  <w:num w:numId="138">
    <w:abstractNumId w:val="117"/>
  </w:num>
  <w:num w:numId="139">
    <w:abstractNumId w:val="177"/>
  </w:num>
  <w:num w:numId="140">
    <w:abstractNumId w:val="2"/>
  </w:num>
  <w:num w:numId="141">
    <w:abstractNumId w:val="0"/>
  </w:num>
  <w:num w:numId="142">
    <w:abstractNumId w:val="53"/>
  </w:num>
  <w:num w:numId="143">
    <w:abstractNumId w:val="138"/>
  </w:num>
  <w:num w:numId="144">
    <w:abstractNumId w:val="28"/>
  </w:num>
  <w:num w:numId="145">
    <w:abstractNumId w:val="10"/>
  </w:num>
  <w:num w:numId="146">
    <w:abstractNumId w:val="71"/>
  </w:num>
  <w:num w:numId="147">
    <w:abstractNumId w:val="141"/>
  </w:num>
  <w:num w:numId="148">
    <w:abstractNumId w:val="140"/>
  </w:num>
  <w:num w:numId="149">
    <w:abstractNumId w:val="124"/>
  </w:num>
  <w:num w:numId="150">
    <w:abstractNumId w:val="16"/>
  </w:num>
  <w:num w:numId="151">
    <w:abstractNumId w:val="92"/>
  </w:num>
  <w:num w:numId="152">
    <w:abstractNumId w:val="32"/>
  </w:num>
  <w:num w:numId="153">
    <w:abstractNumId w:val="126"/>
  </w:num>
  <w:num w:numId="154">
    <w:abstractNumId w:val="72"/>
  </w:num>
  <w:num w:numId="155">
    <w:abstractNumId w:val="56"/>
  </w:num>
  <w:num w:numId="156">
    <w:abstractNumId w:val="43"/>
  </w:num>
  <w:num w:numId="157">
    <w:abstractNumId w:val="147"/>
  </w:num>
  <w:num w:numId="158">
    <w:abstractNumId w:val="8"/>
  </w:num>
  <w:num w:numId="159">
    <w:abstractNumId w:val="15"/>
  </w:num>
  <w:num w:numId="160">
    <w:abstractNumId w:val="146"/>
  </w:num>
  <w:num w:numId="161">
    <w:abstractNumId w:val="158"/>
  </w:num>
  <w:num w:numId="162">
    <w:abstractNumId w:val="161"/>
  </w:num>
  <w:num w:numId="163">
    <w:abstractNumId w:val="135"/>
  </w:num>
  <w:num w:numId="164">
    <w:abstractNumId w:val="58"/>
  </w:num>
  <w:num w:numId="165">
    <w:abstractNumId w:val="174"/>
  </w:num>
  <w:num w:numId="166">
    <w:abstractNumId w:val="13"/>
  </w:num>
  <w:num w:numId="167">
    <w:abstractNumId w:val="145"/>
  </w:num>
  <w:num w:numId="168">
    <w:abstractNumId w:val="75"/>
  </w:num>
  <w:num w:numId="169">
    <w:abstractNumId w:val="4"/>
  </w:num>
  <w:num w:numId="170">
    <w:abstractNumId w:val="172"/>
  </w:num>
  <w:num w:numId="171">
    <w:abstractNumId w:val="29"/>
  </w:num>
  <w:num w:numId="172">
    <w:abstractNumId w:val="178"/>
  </w:num>
  <w:num w:numId="173">
    <w:abstractNumId w:val="98"/>
  </w:num>
  <w:num w:numId="174">
    <w:abstractNumId w:val="41"/>
  </w:num>
  <w:num w:numId="175">
    <w:abstractNumId w:val="24"/>
  </w:num>
  <w:num w:numId="176">
    <w:abstractNumId w:val="23"/>
  </w:num>
  <w:num w:numId="177">
    <w:abstractNumId w:val="90"/>
  </w:num>
  <w:num w:numId="178">
    <w:abstractNumId w:val="108"/>
  </w:num>
  <w:num w:numId="179">
    <w:abstractNumId w:val="47"/>
  </w:num>
  <w:num w:numId="180">
    <w:abstractNumId w:val="142"/>
  </w:num>
  <w:num w:numId="181">
    <w:abstractNumId w:val="47"/>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F95"/>
    <w:rsid w:val="000024EA"/>
    <w:rsid w:val="00003C4A"/>
    <w:rsid w:val="00005290"/>
    <w:rsid w:val="00011519"/>
    <w:rsid w:val="00011D57"/>
    <w:rsid w:val="0001474B"/>
    <w:rsid w:val="00020C29"/>
    <w:rsid w:val="00022EB8"/>
    <w:rsid w:val="000326DA"/>
    <w:rsid w:val="00045366"/>
    <w:rsid w:val="00066DDE"/>
    <w:rsid w:val="00072B00"/>
    <w:rsid w:val="00077732"/>
    <w:rsid w:val="0008598F"/>
    <w:rsid w:val="00087018"/>
    <w:rsid w:val="0009351F"/>
    <w:rsid w:val="000979A8"/>
    <w:rsid w:val="000A4F22"/>
    <w:rsid w:val="000A7CB7"/>
    <w:rsid w:val="000B041E"/>
    <w:rsid w:val="000B4ED9"/>
    <w:rsid w:val="000B59D0"/>
    <w:rsid w:val="000C48DF"/>
    <w:rsid w:val="000D0502"/>
    <w:rsid w:val="000D6918"/>
    <w:rsid w:val="000E4011"/>
    <w:rsid w:val="000F3A9E"/>
    <w:rsid w:val="0010503E"/>
    <w:rsid w:val="00105ADD"/>
    <w:rsid w:val="00110077"/>
    <w:rsid w:val="001121BF"/>
    <w:rsid w:val="00123FBA"/>
    <w:rsid w:val="001260B3"/>
    <w:rsid w:val="001319AE"/>
    <w:rsid w:val="001357AB"/>
    <w:rsid w:val="00141A53"/>
    <w:rsid w:val="00145F0C"/>
    <w:rsid w:val="00154DC7"/>
    <w:rsid w:val="00161D87"/>
    <w:rsid w:val="00166D18"/>
    <w:rsid w:val="00171537"/>
    <w:rsid w:val="00172E48"/>
    <w:rsid w:val="00173B66"/>
    <w:rsid w:val="00174053"/>
    <w:rsid w:val="0017456B"/>
    <w:rsid w:val="00177F99"/>
    <w:rsid w:val="00180A0E"/>
    <w:rsid w:val="00180F43"/>
    <w:rsid w:val="00183A7C"/>
    <w:rsid w:val="001857F5"/>
    <w:rsid w:val="0018702B"/>
    <w:rsid w:val="001977A4"/>
    <w:rsid w:val="001B3E75"/>
    <w:rsid w:val="001C2F95"/>
    <w:rsid w:val="001D6316"/>
    <w:rsid w:val="001E4043"/>
    <w:rsid w:val="001E6744"/>
    <w:rsid w:val="001E7436"/>
    <w:rsid w:val="001F6979"/>
    <w:rsid w:val="001F7D03"/>
    <w:rsid w:val="00200AFE"/>
    <w:rsid w:val="00202EF2"/>
    <w:rsid w:val="00211F7B"/>
    <w:rsid w:val="002139E7"/>
    <w:rsid w:val="0021434A"/>
    <w:rsid w:val="0021620B"/>
    <w:rsid w:val="00217EDB"/>
    <w:rsid w:val="002241BF"/>
    <w:rsid w:val="00225B7F"/>
    <w:rsid w:val="002378EA"/>
    <w:rsid w:val="00237F3D"/>
    <w:rsid w:val="0024316A"/>
    <w:rsid w:val="00243BDC"/>
    <w:rsid w:val="00246CC9"/>
    <w:rsid w:val="00250774"/>
    <w:rsid w:val="002520BC"/>
    <w:rsid w:val="00257F9E"/>
    <w:rsid w:val="00264E98"/>
    <w:rsid w:val="002710EA"/>
    <w:rsid w:val="0027419B"/>
    <w:rsid w:val="002918B7"/>
    <w:rsid w:val="00293E8C"/>
    <w:rsid w:val="00294ADC"/>
    <w:rsid w:val="0029647F"/>
    <w:rsid w:val="002A00FD"/>
    <w:rsid w:val="002A1EE6"/>
    <w:rsid w:val="002A7360"/>
    <w:rsid w:val="002B26A7"/>
    <w:rsid w:val="002C005E"/>
    <w:rsid w:val="002C2B4B"/>
    <w:rsid w:val="002C45C0"/>
    <w:rsid w:val="002C54D2"/>
    <w:rsid w:val="002D0296"/>
    <w:rsid w:val="002D0C74"/>
    <w:rsid w:val="002E44B1"/>
    <w:rsid w:val="002F2CB7"/>
    <w:rsid w:val="002F3114"/>
    <w:rsid w:val="002F363F"/>
    <w:rsid w:val="002F58A7"/>
    <w:rsid w:val="002F70A8"/>
    <w:rsid w:val="003071A9"/>
    <w:rsid w:val="00320F17"/>
    <w:rsid w:val="00333AF9"/>
    <w:rsid w:val="003349F4"/>
    <w:rsid w:val="00345381"/>
    <w:rsid w:val="0035024D"/>
    <w:rsid w:val="003515B6"/>
    <w:rsid w:val="00366D39"/>
    <w:rsid w:val="00367825"/>
    <w:rsid w:val="003724E9"/>
    <w:rsid w:val="00372F9C"/>
    <w:rsid w:val="00375412"/>
    <w:rsid w:val="003831FA"/>
    <w:rsid w:val="0038437B"/>
    <w:rsid w:val="00386DDF"/>
    <w:rsid w:val="00394413"/>
    <w:rsid w:val="00394E43"/>
    <w:rsid w:val="003B119C"/>
    <w:rsid w:val="003C339D"/>
    <w:rsid w:val="003C4C23"/>
    <w:rsid w:val="003C7971"/>
    <w:rsid w:val="003C7F3C"/>
    <w:rsid w:val="003D09C9"/>
    <w:rsid w:val="003D74D9"/>
    <w:rsid w:val="003E63CD"/>
    <w:rsid w:val="003E6C69"/>
    <w:rsid w:val="003F2FA2"/>
    <w:rsid w:val="003F5B82"/>
    <w:rsid w:val="003F6D30"/>
    <w:rsid w:val="003F6D45"/>
    <w:rsid w:val="004006DB"/>
    <w:rsid w:val="0040329D"/>
    <w:rsid w:val="00411F7F"/>
    <w:rsid w:val="00412000"/>
    <w:rsid w:val="004178C6"/>
    <w:rsid w:val="0042181A"/>
    <w:rsid w:val="0042229D"/>
    <w:rsid w:val="00426DB3"/>
    <w:rsid w:val="00427B6F"/>
    <w:rsid w:val="004302E0"/>
    <w:rsid w:val="004307B0"/>
    <w:rsid w:val="00434DB7"/>
    <w:rsid w:val="00440E0D"/>
    <w:rsid w:val="00441D4E"/>
    <w:rsid w:val="0044657E"/>
    <w:rsid w:val="004513E3"/>
    <w:rsid w:val="004558A5"/>
    <w:rsid w:val="00456246"/>
    <w:rsid w:val="004631A1"/>
    <w:rsid w:val="004668D0"/>
    <w:rsid w:val="00470DD2"/>
    <w:rsid w:val="004732BC"/>
    <w:rsid w:val="00474D13"/>
    <w:rsid w:val="004A0620"/>
    <w:rsid w:val="004A5706"/>
    <w:rsid w:val="004B1079"/>
    <w:rsid w:val="004B1243"/>
    <w:rsid w:val="004B124D"/>
    <w:rsid w:val="004B1A19"/>
    <w:rsid w:val="004B5366"/>
    <w:rsid w:val="004B5AFD"/>
    <w:rsid w:val="004C4C95"/>
    <w:rsid w:val="004D13EF"/>
    <w:rsid w:val="004D36E4"/>
    <w:rsid w:val="004E3EBF"/>
    <w:rsid w:val="004E6721"/>
    <w:rsid w:val="004F0CA2"/>
    <w:rsid w:val="004F466F"/>
    <w:rsid w:val="005003FC"/>
    <w:rsid w:val="005005A8"/>
    <w:rsid w:val="00510ABB"/>
    <w:rsid w:val="00521E17"/>
    <w:rsid w:val="005223A2"/>
    <w:rsid w:val="005230C8"/>
    <w:rsid w:val="00524EAB"/>
    <w:rsid w:val="00531015"/>
    <w:rsid w:val="00532983"/>
    <w:rsid w:val="0053329E"/>
    <w:rsid w:val="00540C2E"/>
    <w:rsid w:val="00542536"/>
    <w:rsid w:val="00543919"/>
    <w:rsid w:val="0054426B"/>
    <w:rsid w:val="00544F9E"/>
    <w:rsid w:val="005609D6"/>
    <w:rsid w:val="00567317"/>
    <w:rsid w:val="00572864"/>
    <w:rsid w:val="00580417"/>
    <w:rsid w:val="005823A4"/>
    <w:rsid w:val="005843B0"/>
    <w:rsid w:val="00586A3B"/>
    <w:rsid w:val="00587262"/>
    <w:rsid w:val="00590478"/>
    <w:rsid w:val="00595A49"/>
    <w:rsid w:val="005979F0"/>
    <w:rsid w:val="005A4369"/>
    <w:rsid w:val="005A520D"/>
    <w:rsid w:val="005C1AD6"/>
    <w:rsid w:val="005C38E3"/>
    <w:rsid w:val="005C5EB1"/>
    <w:rsid w:val="005C7DF8"/>
    <w:rsid w:val="005D1183"/>
    <w:rsid w:val="005E16F7"/>
    <w:rsid w:val="005F0B8E"/>
    <w:rsid w:val="006036B4"/>
    <w:rsid w:val="00623A52"/>
    <w:rsid w:val="0062432F"/>
    <w:rsid w:val="006249F4"/>
    <w:rsid w:val="0062749B"/>
    <w:rsid w:val="00630EA9"/>
    <w:rsid w:val="00640EB7"/>
    <w:rsid w:val="0064102E"/>
    <w:rsid w:val="00643A1E"/>
    <w:rsid w:val="00651DD1"/>
    <w:rsid w:val="00652264"/>
    <w:rsid w:val="006538CA"/>
    <w:rsid w:val="006551F9"/>
    <w:rsid w:val="0065547D"/>
    <w:rsid w:val="0065582C"/>
    <w:rsid w:val="00657689"/>
    <w:rsid w:val="00666C52"/>
    <w:rsid w:val="00667488"/>
    <w:rsid w:val="00682DF2"/>
    <w:rsid w:val="00691966"/>
    <w:rsid w:val="006A15F1"/>
    <w:rsid w:val="006A483C"/>
    <w:rsid w:val="006B0CC2"/>
    <w:rsid w:val="006B29CF"/>
    <w:rsid w:val="006B658C"/>
    <w:rsid w:val="006D513E"/>
    <w:rsid w:val="006E23F6"/>
    <w:rsid w:val="006E5BF4"/>
    <w:rsid w:val="00712E9A"/>
    <w:rsid w:val="00714931"/>
    <w:rsid w:val="00715CC9"/>
    <w:rsid w:val="00717766"/>
    <w:rsid w:val="00722879"/>
    <w:rsid w:val="00730A4A"/>
    <w:rsid w:val="00741EF6"/>
    <w:rsid w:val="00744484"/>
    <w:rsid w:val="00753252"/>
    <w:rsid w:val="00753D6E"/>
    <w:rsid w:val="007669EC"/>
    <w:rsid w:val="00767374"/>
    <w:rsid w:val="00774416"/>
    <w:rsid w:val="00775E24"/>
    <w:rsid w:val="007811C1"/>
    <w:rsid w:val="00782683"/>
    <w:rsid w:val="00783947"/>
    <w:rsid w:val="0078696E"/>
    <w:rsid w:val="007A06FC"/>
    <w:rsid w:val="007A3AC6"/>
    <w:rsid w:val="007A562E"/>
    <w:rsid w:val="007A6838"/>
    <w:rsid w:val="007A6C83"/>
    <w:rsid w:val="007A7A2E"/>
    <w:rsid w:val="007A7C5C"/>
    <w:rsid w:val="007B22A3"/>
    <w:rsid w:val="007B405C"/>
    <w:rsid w:val="007B4E87"/>
    <w:rsid w:val="007C46F5"/>
    <w:rsid w:val="007C5543"/>
    <w:rsid w:val="007C78BF"/>
    <w:rsid w:val="007C7A5F"/>
    <w:rsid w:val="007D4D73"/>
    <w:rsid w:val="007D62C7"/>
    <w:rsid w:val="007D6B12"/>
    <w:rsid w:val="007F29AC"/>
    <w:rsid w:val="00803397"/>
    <w:rsid w:val="0080404C"/>
    <w:rsid w:val="00810726"/>
    <w:rsid w:val="00823027"/>
    <w:rsid w:val="00823346"/>
    <w:rsid w:val="008368D3"/>
    <w:rsid w:val="008454F4"/>
    <w:rsid w:val="00845646"/>
    <w:rsid w:val="008512CA"/>
    <w:rsid w:val="0085651A"/>
    <w:rsid w:val="00860191"/>
    <w:rsid w:val="00862B56"/>
    <w:rsid w:val="00871A3A"/>
    <w:rsid w:val="00874483"/>
    <w:rsid w:val="00875F07"/>
    <w:rsid w:val="008821B8"/>
    <w:rsid w:val="00885F40"/>
    <w:rsid w:val="008903B7"/>
    <w:rsid w:val="00894058"/>
    <w:rsid w:val="00894FAF"/>
    <w:rsid w:val="008A4D98"/>
    <w:rsid w:val="008C23C5"/>
    <w:rsid w:val="008C33E0"/>
    <w:rsid w:val="008C730D"/>
    <w:rsid w:val="008D5B9B"/>
    <w:rsid w:val="008E35FC"/>
    <w:rsid w:val="008E468D"/>
    <w:rsid w:val="008E7162"/>
    <w:rsid w:val="008F3458"/>
    <w:rsid w:val="00901ADF"/>
    <w:rsid w:val="00902ED8"/>
    <w:rsid w:val="0090352E"/>
    <w:rsid w:val="00906FF9"/>
    <w:rsid w:val="00911D6C"/>
    <w:rsid w:val="0092469F"/>
    <w:rsid w:val="009343B1"/>
    <w:rsid w:val="009430EB"/>
    <w:rsid w:val="0095172D"/>
    <w:rsid w:val="00956B53"/>
    <w:rsid w:val="00965A6C"/>
    <w:rsid w:val="00971FD2"/>
    <w:rsid w:val="00977EBF"/>
    <w:rsid w:val="00982564"/>
    <w:rsid w:val="00982CB2"/>
    <w:rsid w:val="00983134"/>
    <w:rsid w:val="0099668D"/>
    <w:rsid w:val="009A43C5"/>
    <w:rsid w:val="009A51B4"/>
    <w:rsid w:val="009A7F3A"/>
    <w:rsid w:val="009B0FEC"/>
    <w:rsid w:val="009B164E"/>
    <w:rsid w:val="009B381E"/>
    <w:rsid w:val="009B3A40"/>
    <w:rsid w:val="009B5CA1"/>
    <w:rsid w:val="009B775A"/>
    <w:rsid w:val="009C1107"/>
    <w:rsid w:val="009C20A0"/>
    <w:rsid w:val="009C5EC9"/>
    <w:rsid w:val="009D00BE"/>
    <w:rsid w:val="009D03CE"/>
    <w:rsid w:val="009D5C9F"/>
    <w:rsid w:val="009E0380"/>
    <w:rsid w:val="009E142F"/>
    <w:rsid w:val="009E212D"/>
    <w:rsid w:val="009E3933"/>
    <w:rsid w:val="009E3999"/>
    <w:rsid w:val="009F50CB"/>
    <w:rsid w:val="009F6906"/>
    <w:rsid w:val="00A001F0"/>
    <w:rsid w:val="00A01158"/>
    <w:rsid w:val="00A04E9D"/>
    <w:rsid w:val="00A10692"/>
    <w:rsid w:val="00A251AF"/>
    <w:rsid w:val="00A34945"/>
    <w:rsid w:val="00A40CFE"/>
    <w:rsid w:val="00A60C94"/>
    <w:rsid w:val="00A61501"/>
    <w:rsid w:val="00A7078B"/>
    <w:rsid w:val="00A720CE"/>
    <w:rsid w:val="00A854D3"/>
    <w:rsid w:val="00A863E6"/>
    <w:rsid w:val="00A86B9B"/>
    <w:rsid w:val="00A91915"/>
    <w:rsid w:val="00A93CE0"/>
    <w:rsid w:val="00AA2023"/>
    <w:rsid w:val="00AA2F6A"/>
    <w:rsid w:val="00AA5260"/>
    <w:rsid w:val="00AA563B"/>
    <w:rsid w:val="00AA77BB"/>
    <w:rsid w:val="00AA7E78"/>
    <w:rsid w:val="00AB3C0C"/>
    <w:rsid w:val="00AC2712"/>
    <w:rsid w:val="00AC4FCB"/>
    <w:rsid w:val="00AC54FC"/>
    <w:rsid w:val="00AC5809"/>
    <w:rsid w:val="00AD5468"/>
    <w:rsid w:val="00AE300A"/>
    <w:rsid w:val="00AE3A4F"/>
    <w:rsid w:val="00AE6013"/>
    <w:rsid w:val="00AE6D7E"/>
    <w:rsid w:val="00AE7F87"/>
    <w:rsid w:val="00AF1182"/>
    <w:rsid w:val="00AF2270"/>
    <w:rsid w:val="00AF31C3"/>
    <w:rsid w:val="00B00942"/>
    <w:rsid w:val="00B05ECF"/>
    <w:rsid w:val="00B12BEC"/>
    <w:rsid w:val="00B26E23"/>
    <w:rsid w:val="00B301AC"/>
    <w:rsid w:val="00B32A9C"/>
    <w:rsid w:val="00B3499F"/>
    <w:rsid w:val="00B465EA"/>
    <w:rsid w:val="00B471E3"/>
    <w:rsid w:val="00B6490D"/>
    <w:rsid w:val="00B708C8"/>
    <w:rsid w:val="00B80148"/>
    <w:rsid w:val="00B8125B"/>
    <w:rsid w:val="00B82F7B"/>
    <w:rsid w:val="00B86CA8"/>
    <w:rsid w:val="00B87511"/>
    <w:rsid w:val="00B95951"/>
    <w:rsid w:val="00B970D0"/>
    <w:rsid w:val="00B97B1E"/>
    <w:rsid w:val="00BA138D"/>
    <w:rsid w:val="00BB0401"/>
    <w:rsid w:val="00BB40B9"/>
    <w:rsid w:val="00BB5F43"/>
    <w:rsid w:val="00BC0C1A"/>
    <w:rsid w:val="00BC729E"/>
    <w:rsid w:val="00BD4BE6"/>
    <w:rsid w:val="00BE3EC2"/>
    <w:rsid w:val="00BE528D"/>
    <w:rsid w:val="00BE6EE2"/>
    <w:rsid w:val="00BF2315"/>
    <w:rsid w:val="00C04217"/>
    <w:rsid w:val="00C200AE"/>
    <w:rsid w:val="00C26995"/>
    <w:rsid w:val="00C31889"/>
    <w:rsid w:val="00C32096"/>
    <w:rsid w:val="00C32DB2"/>
    <w:rsid w:val="00C3308C"/>
    <w:rsid w:val="00C42A50"/>
    <w:rsid w:val="00C546DC"/>
    <w:rsid w:val="00C673AD"/>
    <w:rsid w:val="00C728EE"/>
    <w:rsid w:val="00C77327"/>
    <w:rsid w:val="00C805BE"/>
    <w:rsid w:val="00C81843"/>
    <w:rsid w:val="00C94DB9"/>
    <w:rsid w:val="00C95B8E"/>
    <w:rsid w:val="00CA37A4"/>
    <w:rsid w:val="00CA686C"/>
    <w:rsid w:val="00CB127C"/>
    <w:rsid w:val="00CB3B78"/>
    <w:rsid w:val="00CB4D05"/>
    <w:rsid w:val="00CB69DE"/>
    <w:rsid w:val="00CC7241"/>
    <w:rsid w:val="00CD3A31"/>
    <w:rsid w:val="00CE52C3"/>
    <w:rsid w:val="00CF3BA9"/>
    <w:rsid w:val="00D0563C"/>
    <w:rsid w:val="00D10357"/>
    <w:rsid w:val="00D10E74"/>
    <w:rsid w:val="00D129FC"/>
    <w:rsid w:val="00D13BCA"/>
    <w:rsid w:val="00D179B0"/>
    <w:rsid w:val="00D20A53"/>
    <w:rsid w:val="00D2107C"/>
    <w:rsid w:val="00D22FDD"/>
    <w:rsid w:val="00D3237F"/>
    <w:rsid w:val="00D42235"/>
    <w:rsid w:val="00D43220"/>
    <w:rsid w:val="00D468D4"/>
    <w:rsid w:val="00D51E1B"/>
    <w:rsid w:val="00D662DC"/>
    <w:rsid w:val="00D75428"/>
    <w:rsid w:val="00D8632D"/>
    <w:rsid w:val="00D9600E"/>
    <w:rsid w:val="00DA5D97"/>
    <w:rsid w:val="00DB0DFA"/>
    <w:rsid w:val="00DB17B7"/>
    <w:rsid w:val="00DC3444"/>
    <w:rsid w:val="00DC5A00"/>
    <w:rsid w:val="00DC6824"/>
    <w:rsid w:val="00DD02E5"/>
    <w:rsid w:val="00DD3424"/>
    <w:rsid w:val="00DD73F5"/>
    <w:rsid w:val="00DE3E51"/>
    <w:rsid w:val="00DE552E"/>
    <w:rsid w:val="00DE5660"/>
    <w:rsid w:val="00DE605B"/>
    <w:rsid w:val="00DF4A49"/>
    <w:rsid w:val="00E23149"/>
    <w:rsid w:val="00E26735"/>
    <w:rsid w:val="00E30F53"/>
    <w:rsid w:val="00E31B78"/>
    <w:rsid w:val="00E32763"/>
    <w:rsid w:val="00E430AE"/>
    <w:rsid w:val="00E451D3"/>
    <w:rsid w:val="00E505BF"/>
    <w:rsid w:val="00E53CC1"/>
    <w:rsid w:val="00E56C8D"/>
    <w:rsid w:val="00E632A2"/>
    <w:rsid w:val="00E66105"/>
    <w:rsid w:val="00E738A0"/>
    <w:rsid w:val="00E75C44"/>
    <w:rsid w:val="00E7620D"/>
    <w:rsid w:val="00E77AE5"/>
    <w:rsid w:val="00E800E3"/>
    <w:rsid w:val="00E80989"/>
    <w:rsid w:val="00E86F29"/>
    <w:rsid w:val="00E87F88"/>
    <w:rsid w:val="00E909A9"/>
    <w:rsid w:val="00EA2BAE"/>
    <w:rsid w:val="00EA3F7F"/>
    <w:rsid w:val="00EA691F"/>
    <w:rsid w:val="00EB7181"/>
    <w:rsid w:val="00EB7F94"/>
    <w:rsid w:val="00EC2A77"/>
    <w:rsid w:val="00EC539D"/>
    <w:rsid w:val="00EC5BC3"/>
    <w:rsid w:val="00EC7A27"/>
    <w:rsid w:val="00ED1B4B"/>
    <w:rsid w:val="00ED1B8C"/>
    <w:rsid w:val="00ED2041"/>
    <w:rsid w:val="00ED6E6B"/>
    <w:rsid w:val="00ED79CD"/>
    <w:rsid w:val="00EE14AE"/>
    <w:rsid w:val="00EE2129"/>
    <w:rsid w:val="00EF04B3"/>
    <w:rsid w:val="00EF32F0"/>
    <w:rsid w:val="00EF43F1"/>
    <w:rsid w:val="00F12031"/>
    <w:rsid w:val="00F125EE"/>
    <w:rsid w:val="00F22C1A"/>
    <w:rsid w:val="00F22F73"/>
    <w:rsid w:val="00F25782"/>
    <w:rsid w:val="00F30EF7"/>
    <w:rsid w:val="00F32DE7"/>
    <w:rsid w:val="00F34A1D"/>
    <w:rsid w:val="00F35ACF"/>
    <w:rsid w:val="00F42DAB"/>
    <w:rsid w:val="00F44B51"/>
    <w:rsid w:val="00F65E9B"/>
    <w:rsid w:val="00F67AAA"/>
    <w:rsid w:val="00F67D1D"/>
    <w:rsid w:val="00F7399A"/>
    <w:rsid w:val="00F814C4"/>
    <w:rsid w:val="00F858F9"/>
    <w:rsid w:val="00F86960"/>
    <w:rsid w:val="00F9169A"/>
    <w:rsid w:val="00F91D77"/>
    <w:rsid w:val="00F97D7B"/>
    <w:rsid w:val="00FA094F"/>
    <w:rsid w:val="00FA3695"/>
    <w:rsid w:val="00FA42ED"/>
    <w:rsid w:val="00FA68EC"/>
    <w:rsid w:val="00FC00FB"/>
    <w:rsid w:val="00FC28C6"/>
    <w:rsid w:val="00FC34A6"/>
    <w:rsid w:val="00FC60B1"/>
    <w:rsid w:val="00FC6151"/>
    <w:rsid w:val="00FD000B"/>
    <w:rsid w:val="00FD0E6B"/>
    <w:rsid w:val="00FE2B7D"/>
    <w:rsid w:val="00FE629A"/>
    <w:rsid w:val="00FF0D37"/>
    <w:rsid w:val="00FF2A87"/>
    <w:rsid w:val="64036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AF734"/>
  <w15:chartTrackingRefBased/>
  <w15:docId w15:val="{90705F93-A690-404E-BD6F-F17A262B6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0"/>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F95"/>
    <w:pPr>
      <w:spacing w:line="276" w:lineRule="auto"/>
      <w:jc w:val="both"/>
    </w:pPr>
    <w:rPr>
      <w:rFonts w:ascii="Arial" w:eastAsia="Times New Roman" w:hAnsi="Arial"/>
      <w:sz w:val="21"/>
      <w:szCs w:val="22"/>
      <w:lang w:val="fr-FR" w:eastAsia="fr-FR"/>
    </w:rPr>
  </w:style>
  <w:style w:type="paragraph" w:styleId="Titre1">
    <w:name w:val="heading 1"/>
    <w:aliases w:val="Titre 1 Car Car Car Car Car Car Car Car Car Car Car Car Car Car Car Car Car Car,Main Heading,TCI 1.  Heading,Main Heading 1,Document Header1, 1, 2, Main Heading, 3, 11, 4, 21,Titre vert, 41,.,章名,章,annexe,CHAPITRE,1,2,11,3,4, 411, 5, 6, 61, 7, "/>
    <w:basedOn w:val="Normal"/>
    <w:next w:val="Normal"/>
    <w:link w:val="Titre1Car"/>
    <w:uiPriority w:val="9"/>
    <w:qFormat/>
    <w:rsid w:val="001C2F95"/>
    <w:pPr>
      <w:keepNext/>
      <w:keepLines/>
      <w:outlineLvl w:val="0"/>
    </w:pPr>
    <w:rPr>
      <w:b/>
      <w:bCs/>
      <w:szCs w:val="28"/>
    </w:rPr>
  </w:style>
  <w:style w:type="paragraph" w:styleId="Titre2">
    <w:name w:val="heading 2"/>
    <w:aliases w:val="Paranum,alec2,Heading 2 Char,Chapitre 2,an,(1.1),Titre secondaire (2),Titre secondaire (2) Car,Reset numbering,Major,Heading 2 Char3,Heading 2 Char1 Char,Heading 2 Char Char Char,Heading 2 Char1 Char Char Char,Heading 2 Char Char Char Char Cha"/>
    <w:basedOn w:val="Normal"/>
    <w:next w:val="Normal"/>
    <w:link w:val="Titre2Car"/>
    <w:uiPriority w:val="9"/>
    <w:unhideWhenUsed/>
    <w:qFormat/>
    <w:rsid w:val="001C2F95"/>
    <w:pPr>
      <w:keepNext/>
      <w:keepLines/>
      <w:outlineLvl w:val="1"/>
    </w:pPr>
    <w:rPr>
      <w:bCs/>
      <w:szCs w:val="26"/>
    </w:rPr>
  </w:style>
  <w:style w:type="paragraph" w:styleId="Titre3">
    <w:name w:val="heading 3"/>
    <w:aliases w:val="Centered,centered, Centered,Chapitre 3,annex,(1.1.1.),Left Char, centered Char,Left, centered,Section,Section + Gauche,Gauche :  0 cm,Suspendu : 1,6 cm,Avant : 24 pt + Gau...,Sec,titre n3,Section Header3,H3,RFF-Titre 3,MLM-Titre 4,retrait2"/>
    <w:basedOn w:val="Normal"/>
    <w:next w:val="Normal"/>
    <w:link w:val="Titre3Car"/>
    <w:unhideWhenUsed/>
    <w:qFormat/>
    <w:rsid w:val="001C2F95"/>
    <w:pPr>
      <w:keepNext/>
      <w:keepLines/>
      <w:outlineLvl w:val="2"/>
    </w:pPr>
    <w:rPr>
      <w:bCs/>
      <w:i/>
      <w:szCs w:val="20"/>
    </w:rPr>
  </w:style>
  <w:style w:type="paragraph" w:styleId="Titre4">
    <w:name w:val="heading 4"/>
    <w:aliases w:val="Centred,Cen.,A,(1.1.1.1.),Sous-Section,Sous-Sectipson,T4,Sous-Sectipson + Gauche :  0 cm,Premiè...,Première ligne : 0 cm...,MainPara,Première ligne : 0 cm"/>
    <w:basedOn w:val="Normal"/>
    <w:next w:val="Normal"/>
    <w:link w:val="Titre4Car"/>
    <w:unhideWhenUsed/>
    <w:qFormat/>
    <w:rsid w:val="001C2F95"/>
    <w:pPr>
      <w:keepNext/>
      <w:spacing w:before="240" w:after="60"/>
      <w:ind w:left="864" w:hanging="864"/>
      <w:jc w:val="left"/>
      <w:outlineLvl w:val="3"/>
    </w:pPr>
    <w:rPr>
      <w:rFonts w:ascii="Calibri" w:hAnsi="Calibri"/>
      <w:b/>
      <w:bCs/>
      <w:sz w:val="28"/>
      <w:szCs w:val="28"/>
      <w:lang w:eastAsia="en-US"/>
    </w:rPr>
  </w:style>
  <w:style w:type="paragraph" w:styleId="Titre5">
    <w:name w:val="heading 5"/>
    <w:aliases w:val=" Side,Side,T 2"/>
    <w:basedOn w:val="Normal"/>
    <w:next w:val="Normal"/>
    <w:link w:val="Titre5Car"/>
    <w:qFormat/>
    <w:rsid w:val="001C2F95"/>
    <w:pPr>
      <w:widowControl w:val="0"/>
      <w:autoSpaceDN w:val="0"/>
      <w:adjustRightInd w:val="0"/>
      <w:spacing w:before="120" w:after="120"/>
      <w:ind w:left="1008" w:hanging="1008"/>
      <w:jc w:val="left"/>
      <w:outlineLvl w:val="4"/>
    </w:pPr>
    <w:rPr>
      <w:rFonts w:ascii="Calibri" w:hAnsi="Calibri"/>
      <w:b/>
      <w:bCs/>
      <w:i/>
      <w:iCs/>
      <w:sz w:val="26"/>
      <w:szCs w:val="26"/>
      <w:lang w:eastAsia="en-US"/>
    </w:rPr>
  </w:style>
  <w:style w:type="paragraph" w:styleId="Titre6">
    <w:name w:val="heading 6"/>
    <w:aliases w:val="ann,(a,b,..)"/>
    <w:basedOn w:val="Normal"/>
    <w:next w:val="Normal"/>
    <w:link w:val="Titre6Car"/>
    <w:unhideWhenUsed/>
    <w:qFormat/>
    <w:rsid w:val="001C2F95"/>
    <w:pPr>
      <w:spacing w:before="240" w:after="60"/>
      <w:ind w:left="1152" w:hanging="1152"/>
      <w:jc w:val="left"/>
      <w:outlineLvl w:val="5"/>
    </w:pPr>
    <w:rPr>
      <w:rFonts w:ascii="Calibri" w:hAnsi="Calibri"/>
      <w:b/>
      <w:bCs/>
      <w:sz w:val="22"/>
      <w:lang w:eastAsia="en-US"/>
    </w:rPr>
  </w:style>
  <w:style w:type="paragraph" w:styleId="Titre7">
    <w:name w:val="heading 7"/>
    <w:aliases w:val="Car9"/>
    <w:basedOn w:val="Normal"/>
    <w:next w:val="Normal"/>
    <w:link w:val="Titre7Car"/>
    <w:unhideWhenUsed/>
    <w:qFormat/>
    <w:rsid w:val="001C2F95"/>
    <w:pPr>
      <w:spacing w:before="240" w:after="60"/>
      <w:ind w:left="1296" w:hanging="1296"/>
      <w:jc w:val="left"/>
      <w:outlineLvl w:val="6"/>
    </w:pPr>
    <w:rPr>
      <w:rFonts w:ascii="Calibri" w:hAnsi="Calibri"/>
      <w:sz w:val="24"/>
      <w:szCs w:val="24"/>
      <w:lang w:eastAsia="en-US"/>
    </w:rPr>
  </w:style>
  <w:style w:type="paragraph" w:styleId="Titre8">
    <w:name w:val="heading 8"/>
    <w:aliases w:val="Car8"/>
    <w:basedOn w:val="Normal"/>
    <w:next w:val="Normal"/>
    <w:link w:val="Titre8Car"/>
    <w:unhideWhenUsed/>
    <w:qFormat/>
    <w:rsid w:val="001C2F95"/>
    <w:pPr>
      <w:spacing w:before="240" w:after="60"/>
      <w:ind w:left="1440" w:hanging="1440"/>
      <w:jc w:val="left"/>
      <w:outlineLvl w:val="7"/>
    </w:pPr>
    <w:rPr>
      <w:rFonts w:ascii="Calibri" w:hAnsi="Calibri"/>
      <w:i/>
      <w:iCs/>
      <w:sz w:val="24"/>
      <w:szCs w:val="24"/>
      <w:lang w:eastAsia="en-US"/>
    </w:rPr>
  </w:style>
  <w:style w:type="paragraph" w:styleId="Titre9">
    <w:name w:val="heading 9"/>
    <w:aliases w:val="Heading 9-paranum,Car7"/>
    <w:basedOn w:val="Normal"/>
    <w:next w:val="Normal"/>
    <w:link w:val="Titre9Car"/>
    <w:unhideWhenUsed/>
    <w:qFormat/>
    <w:rsid w:val="001C2F95"/>
    <w:pPr>
      <w:spacing w:before="240" w:after="60"/>
      <w:ind w:left="1584" w:hanging="1584"/>
      <w:jc w:val="left"/>
      <w:outlineLvl w:val="8"/>
    </w:pPr>
    <w:rPr>
      <w:rFonts w:ascii="Cambria" w:hAnsi="Cambria"/>
      <w:sz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Car Car Car Car Car Car Car Car Car Car Car Car Car Car Car Car Car Car Car1,Main Heading Car,TCI 1.  Heading Car,Main Heading 1 Car,Document Header1 Car, 1 Car, 2 Car, Main Heading Car, 3 Car, 11 Car, 4 Car, 21 Car,Titre vert Car"/>
    <w:link w:val="Titre1"/>
    <w:uiPriority w:val="9"/>
    <w:rsid w:val="001C2F95"/>
    <w:rPr>
      <w:rFonts w:ascii="Arial" w:eastAsia="Times New Roman" w:hAnsi="Arial" w:cs="Times New Roman"/>
      <w:b/>
      <w:bCs/>
      <w:sz w:val="21"/>
      <w:szCs w:val="28"/>
      <w:lang w:eastAsia="fr-FR"/>
    </w:rPr>
  </w:style>
  <w:style w:type="character" w:customStyle="1" w:styleId="Titre2Car">
    <w:name w:val="Titre 2 Car"/>
    <w:aliases w:val="Paranum Car,alec2 Car,Heading 2 Char Car,Chapitre 2 Car,an Car,(1.1) Car,Titre secondaire (2) Car1,Titre secondaire (2) Car Car,Reset numbering Car,Major Car,Heading 2 Char3 Car,Heading 2 Char1 Char Car,Heading 2 Char Char Char Car"/>
    <w:link w:val="Titre2"/>
    <w:uiPriority w:val="9"/>
    <w:rsid w:val="001C2F95"/>
    <w:rPr>
      <w:rFonts w:ascii="Arial" w:eastAsia="Times New Roman" w:hAnsi="Arial" w:cs="Times New Roman"/>
      <w:bCs/>
      <w:sz w:val="21"/>
      <w:szCs w:val="26"/>
      <w:lang w:eastAsia="fr-FR"/>
    </w:rPr>
  </w:style>
  <w:style w:type="character" w:customStyle="1" w:styleId="Titre3Car">
    <w:name w:val="Titre 3 Car"/>
    <w:aliases w:val="Centered Car2,centered Car2, Centered Car2,Chapitre 3 Car1,annex Car1,(1.1.1.) Car1,Left Char Car1, centered Char Car1,Left Car1, centered Car1,Section Car1,Section + Gauche Car1,Gauche :  0 cm Car1,Suspendu : 1 Car1,6 cm Car1,Sec Car1"/>
    <w:link w:val="Titre3"/>
    <w:rsid w:val="001C2F95"/>
    <w:rPr>
      <w:rFonts w:ascii="Arial" w:eastAsia="Times New Roman" w:hAnsi="Arial" w:cs="Times New Roman"/>
      <w:bCs/>
      <w:i/>
      <w:sz w:val="21"/>
      <w:szCs w:val="20"/>
      <w:lang w:eastAsia="fr-FR"/>
    </w:rPr>
  </w:style>
  <w:style w:type="character" w:customStyle="1" w:styleId="Titre4Car">
    <w:name w:val="Titre 4 Car"/>
    <w:aliases w:val="Centred Car,Cen. Car,A Car,(1.1.1.1.) Car,Sous-Section Car,Sous-Sectipson Car,T4 Car,Sous-Sectipson + Gauche :  0 cm Car,Premiè... Car,Première ligne : 0 cm... Car,MainPara Car,Première ligne : 0 cm Car"/>
    <w:link w:val="Titre4"/>
    <w:rsid w:val="001C2F95"/>
    <w:rPr>
      <w:rFonts w:ascii="Calibri" w:eastAsia="Times New Roman" w:hAnsi="Calibri" w:cs="Times New Roman"/>
      <w:b/>
      <w:bCs/>
      <w:sz w:val="28"/>
      <w:szCs w:val="28"/>
    </w:rPr>
  </w:style>
  <w:style w:type="character" w:customStyle="1" w:styleId="Titre5Car">
    <w:name w:val="Titre 5 Car"/>
    <w:aliases w:val=" Side Car,Side Car,T 2 Car"/>
    <w:link w:val="Titre5"/>
    <w:rsid w:val="001C2F95"/>
    <w:rPr>
      <w:rFonts w:ascii="Calibri" w:eastAsia="Times New Roman" w:hAnsi="Calibri" w:cs="Times New Roman"/>
      <w:b/>
      <w:bCs/>
      <w:i/>
      <w:iCs/>
      <w:sz w:val="26"/>
      <w:szCs w:val="26"/>
    </w:rPr>
  </w:style>
  <w:style w:type="character" w:customStyle="1" w:styleId="Titre6Car">
    <w:name w:val="Titre 6 Car"/>
    <w:aliases w:val="ann Car,(a Car,b Car,..) Car"/>
    <w:link w:val="Titre6"/>
    <w:rsid w:val="001C2F95"/>
    <w:rPr>
      <w:rFonts w:ascii="Calibri" w:eastAsia="Times New Roman" w:hAnsi="Calibri" w:cs="Times New Roman"/>
      <w:b/>
      <w:bCs/>
    </w:rPr>
  </w:style>
  <w:style w:type="character" w:customStyle="1" w:styleId="Titre7Car">
    <w:name w:val="Titre 7 Car"/>
    <w:aliases w:val="Car9 Car"/>
    <w:link w:val="Titre7"/>
    <w:rsid w:val="001C2F95"/>
    <w:rPr>
      <w:rFonts w:ascii="Calibri" w:eastAsia="Times New Roman" w:hAnsi="Calibri" w:cs="Times New Roman"/>
      <w:sz w:val="24"/>
      <w:szCs w:val="24"/>
    </w:rPr>
  </w:style>
  <w:style w:type="character" w:customStyle="1" w:styleId="Titre8Car">
    <w:name w:val="Titre 8 Car"/>
    <w:aliases w:val="Car8 Car"/>
    <w:link w:val="Titre8"/>
    <w:rsid w:val="001C2F95"/>
    <w:rPr>
      <w:rFonts w:ascii="Calibri" w:eastAsia="Times New Roman" w:hAnsi="Calibri" w:cs="Times New Roman"/>
      <w:i/>
      <w:iCs/>
      <w:sz w:val="24"/>
      <w:szCs w:val="24"/>
    </w:rPr>
  </w:style>
  <w:style w:type="character" w:customStyle="1" w:styleId="Titre9Car">
    <w:name w:val="Titre 9 Car"/>
    <w:aliases w:val="Heading 9-paranum Car,Car7 Car"/>
    <w:link w:val="Titre9"/>
    <w:rsid w:val="001C2F95"/>
    <w:rPr>
      <w:rFonts w:ascii="Cambria" w:eastAsia="Times New Roman" w:hAnsi="Cambria" w:cs="Times New Roman"/>
    </w:rPr>
  </w:style>
  <w:style w:type="paragraph" w:styleId="Paragraphedeliste">
    <w:name w:val="List Paragraph"/>
    <w:aliases w:val="Indent Normal,Lvl 1 Bullet,References,Bullets,Liste 1,List Paragraph1,Paragraphe  revu,Numbered List Paragraph,ReferencesCxSpLast,List Paragraph (numbered (a)),Medium Grid 1 - Accent 21,List Paragraph nowy,List_Paragraph,I.,Titre 10"/>
    <w:basedOn w:val="Normal"/>
    <w:link w:val="ParagraphedelisteCar"/>
    <w:uiPriority w:val="34"/>
    <w:qFormat/>
    <w:rsid w:val="001C2F95"/>
    <w:pPr>
      <w:ind w:left="720"/>
      <w:contextualSpacing/>
    </w:pPr>
  </w:style>
  <w:style w:type="table" w:styleId="Grilledutableau">
    <w:name w:val="Table Grid"/>
    <w:aliases w:val="GT0,表格样式,Table long document,mtbs,Vale 4,CV table,EY Table,SGS Table Basic 1,Default Table,Table Grid CFAA"/>
    <w:basedOn w:val="TableauNormal"/>
    <w:uiPriority w:val="39"/>
    <w:qFormat/>
    <w:rsid w:val="001C2F9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t-ft-text">
    <w:name w:val="gt-ft-text"/>
    <w:basedOn w:val="Policepardfaut"/>
    <w:rsid w:val="001C2F95"/>
  </w:style>
  <w:style w:type="character" w:styleId="Lienhypertexte">
    <w:name w:val="Hyperlink"/>
    <w:uiPriority w:val="99"/>
    <w:unhideWhenUsed/>
    <w:rsid w:val="001C2F95"/>
    <w:rPr>
      <w:color w:val="0000FF"/>
      <w:u w:val="single"/>
    </w:rPr>
  </w:style>
  <w:style w:type="character" w:customStyle="1" w:styleId="hps">
    <w:name w:val="hps"/>
    <w:basedOn w:val="Policepardfaut"/>
    <w:rsid w:val="001C2F95"/>
  </w:style>
  <w:style w:type="character" w:customStyle="1" w:styleId="atn">
    <w:name w:val="atn"/>
    <w:basedOn w:val="Policepardfaut"/>
    <w:rsid w:val="001C2F95"/>
  </w:style>
  <w:style w:type="character" w:customStyle="1" w:styleId="longtext">
    <w:name w:val="long_text"/>
    <w:basedOn w:val="Policepardfaut"/>
    <w:rsid w:val="001C2F95"/>
  </w:style>
  <w:style w:type="paragraph" w:styleId="En-tte">
    <w:name w:val="header"/>
    <w:aliases w:val="En-tête client,En-tête CV,Car2,/ pied de page,Kopfzeile Char Char, Char Char Char,Kopfzeile Angebot,Para3,heading 3 after h2,h,ContentsHeader,h3+,hd,he,*Header,Section Header,En-tête1,E.e,Cover Page,normal3,En-tête11,E.e1,et pied de page,he1,he2"/>
    <w:basedOn w:val="Normal"/>
    <w:link w:val="En-tteCar"/>
    <w:uiPriority w:val="99"/>
    <w:unhideWhenUsed/>
    <w:qFormat/>
    <w:rsid w:val="001C2F95"/>
    <w:pPr>
      <w:tabs>
        <w:tab w:val="center" w:pos="4536"/>
        <w:tab w:val="right" w:pos="9072"/>
      </w:tabs>
    </w:pPr>
    <w:rPr>
      <w:rFonts w:ascii="Calibri" w:eastAsia="Calibri" w:hAnsi="Calibri"/>
      <w:sz w:val="20"/>
      <w:szCs w:val="20"/>
    </w:rPr>
  </w:style>
  <w:style w:type="character" w:customStyle="1" w:styleId="En-tteCar">
    <w:name w:val="En-tête Car"/>
    <w:aliases w:val="En-tête client Car,En-tête CV Car,Car2 Car,/ pied de page Car,Kopfzeile Char Char Car, Char Char Char Car,Kopfzeile Angebot Car,Para3 Car,heading 3 after h2 Car,h Car,ContentsHeader Car,h3+ Car,hd Car,he Car,*Header Car,Section Header Car"/>
    <w:link w:val="En-tte"/>
    <w:uiPriority w:val="99"/>
    <w:rsid w:val="001C2F95"/>
    <w:rPr>
      <w:rFonts w:ascii="Calibri" w:eastAsia="Calibri" w:hAnsi="Calibri" w:cs="Times New Roman"/>
      <w:sz w:val="20"/>
      <w:szCs w:val="20"/>
      <w:lang w:eastAsia="fr-FR"/>
    </w:rPr>
  </w:style>
  <w:style w:type="paragraph" w:styleId="Pieddepage">
    <w:name w:val="footer"/>
    <w:basedOn w:val="Normal"/>
    <w:link w:val="PieddepageCar"/>
    <w:uiPriority w:val="99"/>
    <w:unhideWhenUsed/>
    <w:rsid w:val="001C2F95"/>
    <w:pPr>
      <w:tabs>
        <w:tab w:val="center" w:pos="4536"/>
        <w:tab w:val="right" w:pos="9072"/>
      </w:tabs>
    </w:pPr>
    <w:rPr>
      <w:rFonts w:ascii="Calibri" w:eastAsia="Calibri" w:hAnsi="Calibri"/>
      <w:sz w:val="20"/>
      <w:szCs w:val="20"/>
    </w:rPr>
  </w:style>
  <w:style w:type="character" w:customStyle="1" w:styleId="PieddepageCar">
    <w:name w:val="Pied de page Car"/>
    <w:link w:val="Pieddepage"/>
    <w:uiPriority w:val="99"/>
    <w:rsid w:val="001C2F95"/>
    <w:rPr>
      <w:rFonts w:ascii="Calibri" w:eastAsia="Calibri" w:hAnsi="Calibri" w:cs="Times New Roman"/>
      <w:sz w:val="20"/>
      <w:szCs w:val="20"/>
      <w:lang w:eastAsia="fr-FR"/>
    </w:rPr>
  </w:style>
  <w:style w:type="character" w:customStyle="1" w:styleId="st-stp1-text1">
    <w:name w:val="st-stp1-text1"/>
    <w:rsid w:val="001C2F95"/>
    <w:rPr>
      <w:color w:val="222222"/>
    </w:rPr>
  </w:style>
  <w:style w:type="paragraph" w:styleId="Textedebulles">
    <w:name w:val="Balloon Text"/>
    <w:basedOn w:val="Normal"/>
    <w:link w:val="TextedebullesCar"/>
    <w:uiPriority w:val="99"/>
    <w:unhideWhenUsed/>
    <w:rsid w:val="001C2F95"/>
    <w:pPr>
      <w:spacing w:line="240" w:lineRule="auto"/>
    </w:pPr>
    <w:rPr>
      <w:rFonts w:ascii="Tahoma" w:hAnsi="Tahoma"/>
      <w:sz w:val="16"/>
      <w:szCs w:val="16"/>
    </w:rPr>
  </w:style>
  <w:style w:type="character" w:customStyle="1" w:styleId="TextedebullesCar">
    <w:name w:val="Texte de bulles Car"/>
    <w:link w:val="Textedebulles"/>
    <w:uiPriority w:val="99"/>
    <w:rsid w:val="001C2F95"/>
    <w:rPr>
      <w:rFonts w:ascii="Tahoma" w:eastAsia="Times New Roman" w:hAnsi="Tahoma" w:cs="Times New Roman"/>
      <w:sz w:val="16"/>
      <w:szCs w:val="16"/>
      <w:lang w:eastAsia="fr-FR"/>
    </w:rPr>
  </w:style>
  <w:style w:type="paragraph" w:styleId="Corpsdetexte">
    <w:name w:val="Body Text"/>
    <w:aliases w:val="tx,Body Text jaga,gl"/>
    <w:basedOn w:val="Normal"/>
    <w:link w:val="CorpsdetexteCar"/>
    <w:uiPriority w:val="1"/>
    <w:qFormat/>
    <w:rsid w:val="001C2F95"/>
    <w:pPr>
      <w:spacing w:line="240" w:lineRule="auto"/>
    </w:pPr>
    <w:rPr>
      <w:rFonts w:eastAsia="MS Mincho"/>
      <w:sz w:val="28"/>
      <w:szCs w:val="24"/>
    </w:rPr>
  </w:style>
  <w:style w:type="character" w:customStyle="1" w:styleId="CorpsdetexteCar">
    <w:name w:val="Corps de texte Car"/>
    <w:aliases w:val="tx Car,Body Text jaga Car,gl Car"/>
    <w:link w:val="Corpsdetexte"/>
    <w:uiPriority w:val="1"/>
    <w:rsid w:val="001C2F95"/>
    <w:rPr>
      <w:rFonts w:ascii="Arial" w:eastAsia="MS Mincho" w:hAnsi="Arial" w:cs="Times New Roman"/>
      <w:sz w:val="28"/>
      <w:szCs w:val="24"/>
      <w:lang w:eastAsia="fr-FR"/>
    </w:rPr>
  </w:style>
  <w:style w:type="paragraph" w:styleId="Sous-titre">
    <w:name w:val="Subtitle"/>
    <w:basedOn w:val="Normal"/>
    <w:next w:val="Normal"/>
    <w:link w:val="Sous-titreCar"/>
    <w:qFormat/>
    <w:rsid w:val="001C2F95"/>
    <w:pPr>
      <w:numPr>
        <w:ilvl w:val="1"/>
      </w:numPr>
    </w:pPr>
    <w:rPr>
      <w:rFonts w:ascii="Cambria" w:hAnsi="Cambria"/>
      <w:i/>
      <w:iCs/>
      <w:color w:val="4F81BD"/>
      <w:spacing w:val="15"/>
      <w:sz w:val="24"/>
      <w:szCs w:val="24"/>
    </w:rPr>
  </w:style>
  <w:style w:type="character" w:customStyle="1" w:styleId="Sous-titreCar">
    <w:name w:val="Sous-titre Car"/>
    <w:link w:val="Sous-titre"/>
    <w:rsid w:val="001C2F95"/>
    <w:rPr>
      <w:rFonts w:ascii="Cambria" w:eastAsia="Times New Roman" w:hAnsi="Cambria" w:cs="Times New Roman"/>
      <w:i/>
      <w:iCs/>
      <w:color w:val="4F81BD"/>
      <w:spacing w:val="15"/>
      <w:sz w:val="24"/>
      <w:szCs w:val="24"/>
      <w:lang w:eastAsia="fr-FR"/>
    </w:rPr>
  </w:style>
  <w:style w:type="paragraph" w:styleId="En-ttedetabledesmatires">
    <w:name w:val="TOC Heading"/>
    <w:basedOn w:val="Titre1"/>
    <w:next w:val="Normal"/>
    <w:uiPriority w:val="39"/>
    <w:unhideWhenUsed/>
    <w:qFormat/>
    <w:rsid w:val="001C2F95"/>
    <w:pPr>
      <w:outlineLvl w:val="9"/>
    </w:pPr>
    <w:rPr>
      <w:lang w:eastAsia="en-US"/>
    </w:rPr>
  </w:style>
  <w:style w:type="paragraph" w:styleId="TM1">
    <w:name w:val="toc 1"/>
    <w:basedOn w:val="Normal"/>
    <w:next w:val="Normal"/>
    <w:autoRedefine/>
    <w:uiPriority w:val="39"/>
    <w:unhideWhenUsed/>
    <w:qFormat/>
    <w:rsid w:val="000326DA"/>
    <w:pPr>
      <w:tabs>
        <w:tab w:val="right" w:pos="9204"/>
      </w:tabs>
      <w:ind w:left="567" w:right="142" w:hanging="567"/>
    </w:pPr>
    <w:rPr>
      <w:rFonts w:cs="Arial"/>
      <w:b/>
      <w:bCs/>
      <w:caps/>
      <w:noProof/>
      <w:color w:val="000000"/>
      <w:sz w:val="22"/>
    </w:rPr>
  </w:style>
  <w:style w:type="paragraph" w:styleId="TM2">
    <w:name w:val="toc 2"/>
    <w:basedOn w:val="Normal"/>
    <w:next w:val="Normal"/>
    <w:autoRedefine/>
    <w:uiPriority w:val="39"/>
    <w:unhideWhenUsed/>
    <w:qFormat/>
    <w:rsid w:val="00730A4A"/>
    <w:pPr>
      <w:tabs>
        <w:tab w:val="left" w:pos="840"/>
        <w:tab w:val="right" w:pos="9062"/>
      </w:tabs>
      <w:ind w:left="709" w:right="142" w:hanging="709"/>
      <w:jc w:val="center"/>
    </w:pPr>
    <w:rPr>
      <w:rFonts w:cs="Arial"/>
      <w:b/>
      <w:noProof/>
      <w:sz w:val="22"/>
    </w:rPr>
  </w:style>
  <w:style w:type="paragraph" w:styleId="TM3">
    <w:name w:val="toc 3"/>
    <w:basedOn w:val="Normal"/>
    <w:next w:val="Normal"/>
    <w:autoRedefine/>
    <w:uiPriority w:val="39"/>
    <w:unhideWhenUsed/>
    <w:qFormat/>
    <w:rsid w:val="001C2F95"/>
    <w:pPr>
      <w:ind w:left="210"/>
      <w:jc w:val="left"/>
    </w:pPr>
    <w:rPr>
      <w:rFonts w:ascii="Calibri" w:hAnsi="Calibri" w:cs="Calibri"/>
      <w:sz w:val="20"/>
      <w:szCs w:val="20"/>
    </w:rPr>
  </w:style>
  <w:style w:type="paragraph" w:styleId="TM4">
    <w:name w:val="toc 4"/>
    <w:basedOn w:val="Normal"/>
    <w:next w:val="Normal"/>
    <w:autoRedefine/>
    <w:uiPriority w:val="39"/>
    <w:unhideWhenUsed/>
    <w:qFormat/>
    <w:rsid w:val="001C2F95"/>
    <w:pPr>
      <w:ind w:left="420"/>
      <w:jc w:val="left"/>
    </w:pPr>
    <w:rPr>
      <w:rFonts w:ascii="Calibri" w:hAnsi="Calibri" w:cs="Calibri"/>
      <w:sz w:val="20"/>
      <w:szCs w:val="20"/>
    </w:rPr>
  </w:style>
  <w:style w:type="paragraph" w:styleId="TM5">
    <w:name w:val="toc 5"/>
    <w:basedOn w:val="Normal"/>
    <w:next w:val="Normal"/>
    <w:autoRedefine/>
    <w:uiPriority w:val="39"/>
    <w:unhideWhenUsed/>
    <w:qFormat/>
    <w:rsid w:val="001C2F95"/>
    <w:pPr>
      <w:ind w:left="630"/>
      <w:jc w:val="left"/>
    </w:pPr>
    <w:rPr>
      <w:rFonts w:ascii="Calibri" w:hAnsi="Calibri" w:cs="Calibri"/>
      <w:sz w:val="20"/>
      <w:szCs w:val="20"/>
    </w:rPr>
  </w:style>
  <w:style w:type="paragraph" w:styleId="TM6">
    <w:name w:val="toc 6"/>
    <w:basedOn w:val="Normal"/>
    <w:next w:val="Normal"/>
    <w:autoRedefine/>
    <w:uiPriority w:val="39"/>
    <w:unhideWhenUsed/>
    <w:qFormat/>
    <w:rsid w:val="001C2F95"/>
    <w:pPr>
      <w:ind w:left="840"/>
      <w:jc w:val="left"/>
    </w:pPr>
    <w:rPr>
      <w:rFonts w:ascii="Calibri" w:hAnsi="Calibri" w:cs="Calibri"/>
      <w:sz w:val="20"/>
      <w:szCs w:val="20"/>
    </w:rPr>
  </w:style>
  <w:style w:type="paragraph" w:styleId="TM7">
    <w:name w:val="toc 7"/>
    <w:basedOn w:val="Normal"/>
    <w:next w:val="Normal"/>
    <w:autoRedefine/>
    <w:uiPriority w:val="39"/>
    <w:unhideWhenUsed/>
    <w:rsid w:val="001C2F95"/>
    <w:pPr>
      <w:ind w:left="1050"/>
      <w:jc w:val="left"/>
    </w:pPr>
    <w:rPr>
      <w:rFonts w:ascii="Calibri" w:hAnsi="Calibri" w:cs="Calibri"/>
      <w:sz w:val="20"/>
      <w:szCs w:val="20"/>
    </w:rPr>
  </w:style>
  <w:style w:type="paragraph" w:styleId="TM8">
    <w:name w:val="toc 8"/>
    <w:basedOn w:val="Normal"/>
    <w:next w:val="Normal"/>
    <w:autoRedefine/>
    <w:uiPriority w:val="39"/>
    <w:unhideWhenUsed/>
    <w:rsid w:val="001C2F95"/>
    <w:pPr>
      <w:ind w:left="1260"/>
      <w:jc w:val="left"/>
    </w:pPr>
    <w:rPr>
      <w:rFonts w:ascii="Calibri" w:hAnsi="Calibri" w:cs="Calibri"/>
      <w:sz w:val="20"/>
      <w:szCs w:val="20"/>
    </w:rPr>
  </w:style>
  <w:style w:type="paragraph" w:styleId="TM9">
    <w:name w:val="toc 9"/>
    <w:basedOn w:val="Normal"/>
    <w:next w:val="Normal"/>
    <w:autoRedefine/>
    <w:uiPriority w:val="39"/>
    <w:unhideWhenUsed/>
    <w:rsid w:val="001C2F95"/>
    <w:pPr>
      <w:ind w:left="1470"/>
      <w:jc w:val="left"/>
    </w:pPr>
    <w:rPr>
      <w:rFonts w:ascii="Calibri" w:hAnsi="Calibri" w:cs="Calibri"/>
      <w:sz w:val="20"/>
      <w:szCs w:val="20"/>
    </w:rPr>
  </w:style>
  <w:style w:type="character" w:customStyle="1" w:styleId="ParagraphedelisteCar">
    <w:name w:val="Paragraphe de liste Car"/>
    <w:aliases w:val="Indent Normal Car,Lvl 1 Bullet Car,References Car,Bullets Car,Liste 1 Car,List Paragraph1 Car,Paragraphe  revu Car,Numbered List Paragraph Car,ReferencesCxSpLast Car,List Paragraph (numbered (a)) Car,Medium Grid 1 - Accent 21 Car"/>
    <w:link w:val="Paragraphedeliste"/>
    <w:uiPriority w:val="34"/>
    <w:qFormat/>
    <w:locked/>
    <w:rsid w:val="001C2F95"/>
    <w:rPr>
      <w:rFonts w:ascii="Arial" w:eastAsia="Times New Roman" w:hAnsi="Arial" w:cs="Times New Roman"/>
      <w:sz w:val="21"/>
      <w:lang w:eastAsia="fr-FR"/>
    </w:rPr>
  </w:style>
  <w:style w:type="paragraph" w:customStyle="1" w:styleId="Broodtekst">
    <w:name w:val="Broodtekst"/>
    <w:basedOn w:val="Normal"/>
    <w:rsid w:val="001C2F95"/>
    <w:pPr>
      <w:spacing w:line="240" w:lineRule="atLeast"/>
      <w:ind w:left="1134" w:right="-51"/>
    </w:pPr>
    <w:rPr>
      <w:rFonts w:ascii="Times New Roman" w:hAnsi="Times New Roman"/>
      <w:szCs w:val="20"/>
      <w:lang w:val="nl-NL" w:eastAsia="en-US"/>
    </w:rPr>
  </w:style>
  <w:style w:type="paragraph" w:styleId="Retraitnormal">
    <w:name w:val="Normal Indent"/>
    <w:aliases w:val="Char Char Char Char Char,Char Char Char Char2,Normal Indent1,Normal Indent Char Char Char Char Char Char Char Char Char Char Char Char Char Char Char Char Char Char1,Normal Indent Char Char Char Char Char1,Normal Indent Char Char Char1,C"/>
    <w:basedOn w:val="Normal"/>
    <w:link w:val="RetraitnormalCar"/>
    <w:rsid w:val="001C2F95"/>
    <w:pPr>
      <w:spacing w:line="240" w:lineRule="auto"/>
      <w:ind w:left="709"/>
    </w:pPr>
    <w:rPr>
      <w:sz w:val="20"/>
      <w:szCs w:val="20"/>
      <w:lang w:val="en-GB" w:eastAsia="en-US"/>
    </w:rPr>
  </w:style>
  <w:style w:type="character" w:customStyle="1" w:styleId="RetraitnormalCar">
    <w:name w:val="Retrait normal Car"/>
    <w:aliases w:val="Char Char Char Char Char Car,Char Char Char Char2 Car,Normal Indent1 Car,Normal Indent Char Char Char Char Char Char Char Char Char Char Char Char Char Char Char Char Char Char1 Car,Normal Indent Char Char Char Char Char1 Car,C Car"/>
    <w:link w:val="Retraitnormal"/>
    <w:locked/>
    <w:rsid w:val="001C2F95"/>
    <w:rPr>
      <w:rFonts w:ascii="Arial" w:eastAsia="Times New Roman" w:hAnsi="Arial" w:cs="Times New Roman"/>
      <w:sz w:val="20"/>
      <w:szCs w:val="20"/>
      <w:lang w:val="en-GB"/>
    </w:rPr>
  </w:style>
  <w:style w:type="character" w:styleId="Marquedecommentaire">
    <w:name w:val="annotation reference"/>
    <w:uiPriority w:val="99"/>
    <w:rsid w:val="001C2F95"/>
    <w:rPr>
      <w:sz w:val="16"/>
      <w:szCs w:val="16"/>
    </w:rPr>
  </w:style>
  <w:style w:type="paragraph" w:styleId="Commentaire">
    <w:name w:val="annotation text"/>
    <w:basedOn w:val="Normal"/>
    <w:link w:val="CommentaireCar"/>
    <w:uiPriority w:val="99"/>
    <w:rsid w:val="001C2F95"/>
    <w:pPr>
      <w:spacing w:line="240" w:lineRule="auto"/>
    </w:pPr>
    <w:rPr>
      <w:sz w:val="20"/>
      <w:szCs w:val="20"/>
      <w:lang w:val="en-GB" w:eastAsia="en-US"/>
    </w:rPr>
  </w:style>
  <w:style w:type="character" w:customStyle="1" w:styleId="CommentaireCar">
    <w:name w:val="Commentaire Car"/>
    <w:link w:val="Commentaire"/>
    <w:uiPriority w:val="99"/>
    <w:rsid w:val="001C2F95"/>
    <w:rPr>
      <w:rFonts w:ascii="Arial" w:eastAsia="Times New Roman" w:hAnsi="Arial" w:cs="Times New Roman"/>
      <w:sz w:val="20"/>
      <w:szCs w:val="20"/>
      <w:lang w:val="en-GB"/>
    </w:rPr>
  </w:style>
  <w:style w:type="paragraph" w:styleId="Bibliographie">
    <w:name w:val="Bibliography"/>
    <w:basedOn w:val="Normal"/>
    <w:next w:val="Normal"/>
    <w:uiPriority w:val="37"/>
    <w:semiHidden/>
    <w:unhideWhenUsed/>
    <w:rsid w:val="001C2F95"/>
    <w:pPr>
      <w:spacing w:line="240" w:lineRule="auto"/>
    </w:pPr>
    <w:rPr>
      <w:rFonts w:cs="Arial"/>
      <w:sz w:val="20"/>
      <w:szCs w:val="20"/>
      <w:lang w:val="en-GB" w:eastAsia="en-US"/>
    </w:rPr>
  </w:style>
  <w:style w:type="character" w:customStyle="1" w:styleId="shorttext">
    <w:name w:val="short_text"/>
    <w:basedOn w:val="Policepardfaut"/>
    <w:rsid w:val="001C2F95"/>
  </w:style>
  <w:style w:type="paragraph" w:styleId="Objetducommentaire">
    <w:name w:val="annotation subject"/>
    <w:basedOn w:val="Commentaire"/>
    <w:next w:val="Commentaire"/>
    <w:link w:val="ObjetducommentaireCar"/>
    <w:uiPriority w:val="99"/>
    <w:unhideWhenUsed/>
    <w:rsid w:val="001C2F95"/>
    <w:pPr>
      <w:spacing w:after="200"/>
    </w:pPr>
    <w:rPr>
      <w:b/>
      <w:bCs/>
    </w:rPr>
  </w:style>
  <w:style w:type="character" w:customStyle="1" w:styleId="ObjetducommentaireCar">
    <w:name w:val="Objet du commentaire Car"/>
    <w:link w:val="Objetducommentaire"/>
    <w:uiPriority w:val="99"/>
    <w:rsid w:val="001C2F95"/>
    <w:rPr>
      <w:rFonts w:ascii="Arial" w:eastAsia="Times New Roman" w:hAnsi="Arial" w:cs="Times New Roman"/>
      <w:b/>
      <w:bCs/>
      <w:sz w:val="20"/>
      <w:szCs w:val="20"/>
      <w:lang w:val="en-GB"/>
    </w:rPr>
  </w:style>
  <w:style w:type="paragraph" w:customStyle="1" w:styleId="listenumero">
    <w:name w:val="liste numero"/>
    <w:basedOn w:val="Normal"/>
    <w:link w:val="listenumeroCar"/>
    <w:rsid w:val="001C2F95"/>
    <w:pPr>
      <w:tabs>
        <w:tab w:val="left" w:pos="227"/>
        <w:tab w:val="num" w:pos="644"/>
      </w:tabs>
      <w:spacing w:after="240" w:line="240" w:lineRule="auto"/>
      <w:ind w:left="644" w:hanging="360"/>
    </w:pPr>
    <w:rPr>
      <w:sz w:val="19"/>
      <w:szCs w:val="20"/>
      <w:lang w:val="en-GB"/>
    </w:rPr>
  </w:style>
  <w:style w:type="character" w:customStyle="1" w:styleId="listenumeroCar">
    <w:name w:val="liste numero Car"/>
    <w:link w:val="listenumero"/>
    <w:rsid w:val="001C2F95"/>
    <w:rPr>
      <w:rFonts w:ascii="Arial" w:eastAsia="Times New Roman" w:hAnsi="Arial" w:cs="Times New Roman"/>
      <w:sz w:val="19"/>
      <w:szCs w:val="20"/>
      <w:lang w:val="en-GB" w:eastAsia="fr-FR"/>
    </w:rPr>
  </w:style>
  <w:style w:type="paragraph" w:styleId="Corpsdetexte3">
    <w:name w:val="Body Text 3"/>
    <w:basedOn w:val="Normal"/>
    <w:link w:val="Corpsdetexte3Car"/>
    <w:unhideWhenUsed/>
    <w:rsid w:val="001C2F95"/>
    <w:pPr>
      <w:spacing w:after="120" w:line="240" w:lineRule="auto"/>
    </w:pPr>
    <w:rPr>
      <w:rFonts w:ascii="Times New Roman" w:hAnsi="Times New Roman"/>
      <w:color w:val="000000"/>
      <w:kern w:val="28"/>
      <w:sz w:val="16"/>
      <w:szCs w:val="16"/>
    </w:rPr>
  </w:style>
  <w:style w:type="character" w:customStyle="1" w:styleId="Corpsdetexte3Car">
    <w:name w:val="Corps de texte 3 Car"/>
    <w:link w:val="Corpsdetexte3"/>
    <w:rsid w:val="001C2F95"/>
    <w:rPr>
      <w:rFonts w:ascii="Times New Roman" w:eastAsia="Times New Roman" w:hAnsi="Times New Roman" w:cs="Times New Roman"/>
      <w:color w:val="000000"/>
      <w:kern w:val="28"/>
      <w:sz w:val="16"/>
      <w:szCs w:val="16"/>
      <w:lang w:eastAsia="fr-FR"/>
    </w:rPr>
  </w:style>
  <w:style w:type="paragraph" w:styleId="NormalWeb">
    <w:name w:val="Normal (Web)"/>
    <w:basedOn w:val="Normal"/>
    <w:link w:val="NormalWebCar"/>
    <w:uiPriority w:val="99"/>
    <w:rsid w:val="001C2F95"/>
    <w:pPr>
      <w:spacing w:before="100" w:beforeAutospacing="1" w:after="100" w:afterAutospacing="1" w:line="240" w:lineRule="auto"/>
    </w:pPr>
    <w:rPr>
      <w:rFonts w:ascii="Times New Roman" w:hAnsi="Times New Roman"/>
      <w:sz w:val="24"/>
      <w:szCs w:val="24"/>
    </w:rPr>
  </w:style>
  <w:style w:type="paragraph" w:customStyle="1" w:styleId="Default">
    <w:name w:val="Default"/>
    <w:link w:val="DefaultCar"/>
    <w:qFormat/>
    <w:rsid w:val="001C2F95"/>
    <w:pPr>
      <w:autoSpaceDE w:val="0"/>
      <w:autoSpaceDN w:val="0"/>
      <w:adjustRightInd w:val="0"/>
    </w:pPr>
    <w:rPr>
      <w:rFonts w:ascii="Arial" w:hAnsi="Arial" w:cs="Arial"/>
      <w:color w:val="000000"/>
      <w:sz w:val="24"/>
      <w:szCs w:val="24"/>
      <w:lang w:val="fr-FR" w:eastAsia="fr-FR"/>
    </w:rPr>
  </w:style>
  <w:style w:type="paragraph" w:customStyle="1" w:styleId="oka1">
    <w:name w:val="oka1"/>
    <w:basedOn w:val="Paragraphedeliste"/>
    <w:qFormat/>
    <w:rsid w:val="001C2F95"/>
    <w:pPr>
      <w:numPr>
        <w:numId w:val="2"/>
      </w:numPr>
      <w:spacing w:before="240"/>
      <w:contextualSpacing w:val="0"/>
    </w:pPr>
    <w:rPr>
      <w:rFonts w:eastAsia="Calibri" w:cs="Arial"/>
      <w:b/>
      <w:szCs w:val="21"/>
      <w:lang w:eastAsia="en-US"/>
    </w:rPr>
  </w:style>
  <w:style w:type="paragraph" w:customStyle="1" w:styleId="oka2222">
    <w:name w:val="oka2222"/>
    <w:basedOn w:val="Paragraphedeliste"/>
    <w:qFormat/>
    <w:rsid w:val="001C2F95"/>
    <w:pPr>
      <w:numPr>
        <w:ilvl w:val="1"/>
        <w:numId w:val="2"/>
      </w:numPr>
      <w:autoSpaceDE w:val="0"/>
      <w:autoSpaceDN w:val="0"/>
      <w:adjustRightInd w:val="0"/>
      <w:spacing w:before="240"/>
      <w:contextualSpacing w:val="0"/>
    </w:pPr>
    <w:rPr>
      <w:rFonts w:eastAsia="Calibri" w:cs="Arial"/>
      <w:b/>
      <w:color w:val="000000"/>
      <w:szCs w:val="21"/>
      <w:lang w:eastAsia="en-US"/>
    </w:rPr>
  </w:style>
  <w:style w:type="paragraph" w:customStyle="1" w:styleId="oka33">
    <w:name w:val="oka33"/>
    <w:basedOn w:val="Paragraphedeliste"/>
    <w:qFormat/>
    <w:rsid w:val="001C2F95"/>
    <w:pPr>
      <w:numPr>
        <w:ilvl w:val="2"/>
        <w:numId w:val="2"/>
      </w:numPr>
      <w:autoSpaceDE w:val="0"/>
      <w:autoSpaceDN w:val="0"/>
      <w:adjustRightInd w:val="0"/>
      <w:spacing w:before="240"/>
      <w:contextualSpacing w:val="0"/>
    </w:pPr>
    <w:rPr>
      <w:rFonts w:eastAsia="Calibri" w:cs="Arial"/>
      <w:b/>
      <w:color w:val="000000"/>
      <w:szCs w:val="21"/>
    </w:rPr>
  </w:style>
  <w:style w:type="paragraph" w:customStyle="1" w:styleId="tab1">
    <w:name w:val="tab1"/>
    <w:basedOn w:val="Normal"/>
    <w:qFormat/>
    <w:rsid w:val="001C2F95"/>
    <w:pPr>
      <w:keepNext/>
      <w:spacing w:before="240"/>
    </w:pPr>
    <w:rPr>
      <w:rFonts w:eastAsia="Calibri" w:cs="Arial"/>
      <w:b/>
      <w:bCs/>
      <w:color w:val="000000"/>
      <w:szCs w:val="21"/>
      <w:lang w:eastAsia="en-US"/>
    </w:rPr>
  </w:style>
  <w:style w:type="paragraph" w:customStyle="1" w:styleId="Paragraphedeliste1">
    <w:name w:val="Paragraphe de liste1"/>
    <w:basedOn w:val="Normal"/>
    <w:qFormat/>
    <w:rsid w:val="001C2F95"/>
    <w:pPr>
      <w:ind w:left="720"/>
    </w:pPr>
    <w:rPr>
      <w:rFonts w:cs="Calibri"/>
      <w:lang w:eastAsia="en-US"/>
    </w:rPr>
  </w:style>
  <w:style w:type="paragraph" w:customStyle="1" w:styleId="twunwanted">
    <w:name w:val="twunwanted"/>
    <w:basedOn w:val="Normal"/>
    <w:rsid w:val="001C2F95"/>
    <w:pPr>
      <w:spacing w:before="100" w:beforeAutospacing="1" w:after="100" w:afterAutospacing="1" w:line="240" w:lineRule="auto"/>
    </w:pPr>
    <w:rPr>
      <w:rFonts w:ascii="Times New Roman" w:hAnsi="Times New Roman"/>
      <w:sz w:val="24"/>
      <w:szCs w:val="24"/>
    </w:rPr>
  </w:style>
  <w:style w:type="paragraph" w:styleId="Lgende">
    <w:name w:val="caption"/>
    <w:aliases w:val=" Car,Fig,Table Caption,Table,Figure,headings,CPR Caption,CPR Caption Char,Table1,Figure1,headings1 Char,headings1,Table Char,Figure Char,headings Char,CPR Caption Char1,CPR Caption Char Char,Table1 Char,Figure1 Char,headings1 Char Char,HB,Carte"/>
    <w:basedOn w:val="Normal"/>
    <w:next w:val="Normal"/>
    <w:link w:val="LgendeCar"/>
    <w:unhideWhenUsed/>
    <w:qFormat/>
    <w:rsid w:val="001C2F95"/>
    <w:rPr>
      <w:rFonts w:eastAsia="Calibri"/>
      <w:bCs/>
      <w:szCs w:val="20"/>
      <w:lang w:eastAsia="en-US"/>
    </w:rPr>
  </w:style>
  <w:style w:type="paragraph" w:customStyle="1" w:styleId="twunmatched">
    <w:name w:val="twunmatched"/>
    <w:basedOn w:val="Normal"/>
    <w:rsid w:val="001C2F95"/>
    <w:pPr>
      <w:spacing w:before="100" w:beforeAutospacing="1" w:after="100" w:afterAutospacing="1" w:line="240" w:lineRule="auto"/>
    </w:pPr>
    <w:rPr>
      <w:rFonts w:ascii="Times New Roman" w:hAnsi="Times New Roman"/>
      <w:sz w:val="24"/>
      <w:szCs w:val="24"/>
    </w:rPr>
  </w:style>
  <w:style w:type="character" w:styleId="Accentuation">
    <w:name w:val="Emphasis"/>
    <w:uiPriority w:val="20"/>
    <w:qFormat/>
    <w:rsid w:val="001C2F95"/>
    <w:rPr>
      <w:i/>
      <w:iCs/>
    </w:rPr>
  </w:style>
  <w:style w:type="paragraph" w:customStyle="1" w:styleId="CorpsdeTexteConserver">
    <w:name w:val="Corps de Texte Conserver"/>
    <w:basedOn w:val="Default"/>
    <w:next w:val="Default"/>
    <w:uiPriority w:val="99"/>
    <w:rsid w:val="001C2F95"/>
    <w:rPr>
      <w:rFonts w:ascii="HGGFHE+Garamond" w:eastAsia="Times New Roman" w:hAnsi="HGGFHE+Garamond" w:cs="Times New Roman"/>
      <w:color w:val="auto"/>
    </w:rPr>
  </w:style>
  <w:style w:type="paragraph" w:customStyle="1" w:styleId="tab">
    <w:name w:val="tab"/>
    <w:basedOn w:val="tab1"/>
    <w:qFormat/>
    <w:rsid w:val="001C2F95"/>
    <w:pPr>
      <w:spacing w:before="0"/>
    </w:pPr>
    <w:rPr>
      <w:b w:val="0"/>
      <w:color w:val="auto"/>
    </w:rPr>
  </w:style>
  <w:style w:type="paragraph" w:customStyle="1" w:styleId="Photo">
    <w:name w:val="Photo"/>
    <w:basedOn w:val="Normal"/>
    <w:qFormat/>
    <w:rsid w:val="001C2F95"/>
    <w:pPr>
      <w:spacing w:before="240"/>
      <w:jc w:val="center"/>
    </w:pPr>
    <w:rPr>
      <w:rFonts w:cs="Arial"/>
      <w:szCs w:val="21"/>
    </w:rPr>
  </w:style>
  <w:style w:type="paragraph" w:customStyle="1" w:styleId="TRAFI1">
    <w:name w:val="TRAFI1"/>
    <w:basedOn w:val="Normal"/>
    <w:qFormat/>
    <w:rsid w:val="001C2F95"/>
    <w:pPr>
      <w:jc w:val="center"/>
    </w:pPr>
    <w:rPr>
      <w:rFonts w:cs="Arial"/>
      <w:szCs w:val="21"/>
    </w:rPr>
  </w:style>
  <w:style w:type="paragraph" w:customStyle="1" w:styleId="TRAFI11-TITRE1">
    <w:name w:val="TRAFI11-TITRE1"/>
    <w:basedOn w:val="Normal"/>
    <w:qFormat/>
    <w:rsid w:val="001C2F95"/>
    <w:pPr>
      <w:numPr>
        <w:numId w:val="1"/>
      </w:numPr>
      <w:outlineLvl w:val="0"/>
    </w:pPr>
    <w:rPr>
      <w:rFonts w:cs="Arial"/>
      <w:szCs w:val="21"/>
    </w:rPr>
  </w:style>
  <w:style w:type="paragraph" w:customStyle="1" w:styleId="TRAFI2">
    <w:name w:val="TRAFI2"/>
    <w:basedOn w:val="oka2222"/>
    <w:qFormat/>
    <w:rsid w:val="001C2F95"/>
    <w:pPr>
      <w:spacing w:before="0"/>
      <w:ind w:left="2722" w:hanging="454"/>
    </w:pPr>
    <w:rPr>
      <w:b w:val="0"/>
      <w:lang w:val="fr-CA"/>
    </w:rPr>
  </w:style>
  <w:style w:type="paragraph" w:customStyle="1" w:styleId="TRAFI3">
    <w:name w:val="TRAFI3"/>
    <w:basedOn w:val="oka33"/>
    <w:qFormat/>
    <w:rsid w:val="001C2F95"/>
    <w:pPr>
      <w:numPr>
        <w:numId w:val="1"/>
      </w:numPr>
      <w:spacing w:before="0"/>
    </w:pPr>
    <w:rPr>
      <w:b w:val="0"/>
      <w:i/>
    </w:rPr>
  </w:style>
  <w:style w:type="paragraph" w:customStyle="1" w:styleId="TRAFI33-TITRE3">
    <w:name w:val="TRAFI33-TITRE3"/>
    <w:basedOn w:val="oka33"/>
    <w:qFormat/>
    <w:rsid w:val="001C2F95"/>
    <w:pPr>
      <w:numPr>
        <w:ilvl w:val="0"/>
        <w:numId w:val="0"/>
      </w:numPr>
      <w:ind w:left="1134"/>
    </w:pPr>
    <w:rPr>
      <w:b w:val="0"/>
      <w:i/>
    </w:rPr>
  </w:style>
  <w:style w:type="paragraph" w:customStyle="1" w:styleId="TRAFI22-TITRE2">
    <w:name w:val="TRAFI22-TITRE2"/>
    <w:basedOn w:val="oka2222"/>
    <w:next w:val="TRAFI11-TITRE1"/>
    <w:qFormat/>
    <w:rsid w:val="001C2F95"/>
    <w:pPr>
      <w:numPr>
        <w:ilvl w:val="0"/>
        <w:numId w:val="0"/>
      </w:numPr>
      <w:spacing w:before="0"/>
      <w:ind w:left="851"/>
      <w:outlineLvl w:val="1"/>
    </w:pPr>
    <w:rPr>
      <w:b w:val="0"/>
    </w:rPr>
  </w:style>
  <w:style w:type="paragraph" w:customStyle="1" w:styleId="TRAFI3333">
    <w:name w:val="TRAFI3333"/>
    <w:basedOn w:val="TRAFI3"/>
    <w:qFormat/>
    <w:rsid w:val="001C2F95"/>
    <w:rPr>
      <w:i w:val="0"/>
      <w:snapToGrid w:val="0"/>
    </w:rPr>
  </w:style>
  <w:style w:type="paragraph" w:styleId="Rvision">
    <w:name w:val="Revision"/>
    <w:hidden/>
    <w:uiPriority w:val="99"/>
    <w:semiHidden/>
    <w:rsid w:val="001C2F95"/>
    <w:rPr>
      <w:rFonts w:eastAsia="Times New Roman"/>
      <w:sz w:val="22"/>
      <w:szCs w:val="22"/>
      <w:lang w:val="fr-FR" w:eastAsia="fr-FR"/>
    </w:rPr>
  </w:style>
  <w:style w:type="character" w:styleId="Lienhypertextesuivivisit">
    <w:name w:val="FollowedHyperlink"/>
    <w:uiPriority w:val="99"/>
    <w:unhideWhenUsed/>
    <w:rsid w:val="001C2F95"/>
    <w:rPr>
      <w:color w:val="800080"/>
      <w:u w:val="single"/>
    </w:rPr>
  </w:style>
  <w:style w:type="paragraph" w:styleId="Tabledesillustrations">
    <w:name w:val="table of figures"/>
    <w:basedOn w:val="Normal"/>
    <w:next w:val="Normal"/>
    <w:link w:val="TabledesillustrationsCar"/>
    <w:uiPriority w:val="99"/>
    <w:unhideWhenUsed/>
    <w:rsid w:val="001C2F95"/>
  </w:style>
  <w:style w:type="paragraph" w:customStyle="1" w:styleId="Titre1JM">
    <w:name w:val="Titre 1 JM"/>
    <w:basedOn w:val="Normal"/>
    <w:qFormat/>
    <w:rsid w:val="001C2F95"/>
    <w:pPr>
      <w:numPr>
        <w:numId w:val="3"/>
      </w:numPr>
      <w:spacing w:line="240" w:lineRule="auto"/>
      <w:ind w:left="714" w:hanging="357"/>
      <w:outlineLvl w:val="1"/>
    </w:pPr>
    <w:rPr>
      <w:rFonts w:cs="Arial"/>
      <w:b/>
      <w:color w:val="000000"/>
      <w:szCs w:val="21"/>
    </w:rPr>
  </w:style>
  <w:style w:type="paragraph" w:customStyle="1" w:styleId="NormalJM">
    <w:name w:val="Normal JM"/>
    <w:basedOn w:val="Normal"/>
    <w:link w:val="NormalJMChar"/>
    <w:qFormat/>
    <w:rsid w:val="001C2F95"/>
    <w:pPr>
      <w:outlineLvl w:val="1"/>
    </w:pPr>
    <w:rPr>
      <w:color w:val="000000"/>
      <w:szCs w:val="21"/>
    </w:rPr>
  </w:style>
  <w:style w:type="paragraph" w:customStyle="1" w:styleId="Titre2JM">
    <w:name w:val="Titre 2 JM"/>
    <w:basedOn w:val="NormalJM"/>
    <w:next w:val="Corpsdetexte"/>
    <w:qFormat/>
    <w:rsid w:val="001C2F95"/>
    <w:pPr>
      <w:ind w:left="680"/>
    </w:pPr>
  </w:style>
  <w:style w:type="character" w:customStyle="1" w:styleId="NormalJMChar">
    <w:name w:val="Normal JM Char"/>
    <w:link w:val="NormalJM"/>
    <w:rsid w:val="001C2F95"/>
    <w:rPr>
      <w:rFonts w:ascii="Arial" w:eastAsia="Times New Roman" w:hAnsi="Arial" w:cs="Times New Roman"/>
      <w:color w:val="000000"/>
      <w:sz w:val="21"/>
      <w:szCs w:val="21"/>
      <w:lang w:eastAsia="fr-FR"/>
    </w:rPr>
  </w:style>
  <w:style w:type="paragraph" w:styleId="Retraitcorpsdetexte">
    <w:name w:val="Body Text Indent"/>
    <w:basedOn w:val="Normal"/>
    <w:link w:val="RetraitcorpsdetexteCar"/>
    <w:uiPriority w:val="99"/>
    <w:unhideWhenUsed/>
    <w:rsid w:val="001C2F95"/>
    <w:pPr>
      <w:spacing w:after="120"/>
      <w:ind w:left="283"/>
    </w:pPr>
  </w:style>
  <w:style w:type="character" w:customStyle="1" w:styleId="RetraitcorpsdetexteCar">
    <w:name w:val="Retrait corps de texte Car"/>
    <w:link w:val="Retraitcorpsdetexte"/>
    <w:uiPriority w:val="99"/>
    <w:rsid w:val="001C2F95"/>
    <w:rPr>
      <w:rFonts w:ascii="Arial" w:eastAsia="Times New Roman" w:hAnsi="Arial" w:cs="Times New Roman"/>
      <w:sz w:val="21"/>
      <w:lang w:eastAsia="fr-FR"/>
    </w:rPr>
  </w:style>
  <w:style w:type="paragraph" w:customStyle="1" w:styleId="TRAFI11">
    <w:name w:val="TRAFI11"/>
    <w:basedOn w:val="Normal"/>
    <w:qFormat/>
    <w:rsid w:val="001C2F95"/>
    <w:pPr>
      <w:ind w:left="1080" w:hanging="720"/>
      <w:jc w:val="left"/>
      <w:outlineLvl w:val="0"/>
    </w:pPr>
    <w:rPr>
      <w:rFonts w:cs="Arial"/>
      <w:szCs w:val="21"/>
    </w:rPr>
  </w:style>
  <w:style w:type="paragraph" w:customStyle="1" w:styleId="TRAFI22">
    <w:name w:val="TRAFI22"/>
    <w:basedOn w:val="Normal"/>
    <w:qFormat/>
    <w:rsid w:val="001C2F95"/>
    <w:pPr>
      <w:autoSpaceDE w:val="0"/>
      <w:autoSpaceDN w:val="0"/>
      <w:adjustRightInd w:val="0"/>
      <w:ind w:left="1080" w:hanging="720"/>
      <w:outlineLvl w:val="1"/>
    </w:pPr>
    <w:rPr>
      <w:rFonts w:eastAsia="Calibri" w:cs="Arial"/>
      <w:color w:val="000000"/>
      <w:szCs w:val="21"/>
      <w:lang w:eastAsia="en-US"/>
    </w:rPr>
  </w:style>
  <w:style w:type="paragraph" w:customStyle="1" w:styleId="TRAFI33">
    <w:name w:val="TRAFI33"/>
    <w:basedOn w:val="oka33"/>
    <w:qFormat/>
    <w:rsid w:val="001C2F95"/>
    <w:pPr>
      <w:numPr>
        <w:ilvl w:val="0"/>
        <w:numId w:val="0"/>
      </w:numPr>
      <w:tabs>
        <w:tab w:val="num" w:pos="360"/>
      </w:tabs>
      <w:spacing w:after="200"/>
      <w:ind w:left="720"/>
    </w:pPr>
    <w:rPr>
      <w:b w:val="0"/>
      <w:i/>
    </w:rPr>
  </w:style>
  <w:style w:type="paragraph" w:customStyle="1" w:styleId="OKAPI1">
    <w:name w:val="OKAPI_1"/>
    <w:basedOn w:val="Normal"/>
    <w:qFormat/>
    <w:rsid w:val="001C2F95"/>
    <w:pPr>
      <w:tabs>
        <w:tab w:val="left" w:pos="4140"/>
      </w:tabs>
      <w:jc w:val="center"/>
    </w:pPr>
    <w:rPr>
      <w:rFonts w:cs="Arial"/>
      <w:b/>
      <w:szCs w:val="21"/>
    </w:rPr>
  </w:style>
  <w:style w:type="character" w:customStyle="1" w:styleId="st">
    <w:name w:val="st"/>
    <w:basedOn w:val="Policepardfaut"/>
    <w:rsid w:val="001C2F95"/>
  </w:style>
  <w:style w:type="character" w:customStyle="1" w:styleId="family">
    <w:name w:val="family"/>
    <w:basedOn w:val="Policepardfaut"/>
    <w:rsid w:val="001C2F95"/>
  </w:style>
  <w:style w:type="paragraph" w:styleId="Notedebasdepage">
    <w:name w:val="footnote text"/>
    <w:aliases w:val="Nbpage Moens,fn,single space,footnote text,ALTS FOOTNOTE,FOOTNOTES,ft,Char, Char,f,Footnote Text Char1,Footnote Text Char2 Char,Footnote Text Char1 Char Char,Footnote Text Char2 Char Char Char,Footnote Text Char1 Char Char Char Char"/>
    <w:basedOn w:val="Normal"/>
    <w:link w:val="NotedebasdepageCar"/>
    <w:uiPriority w:val="99"/>
    <w:unhideWhenUsed/>
    <w:qFormat/>
    <w:rsid w:val="001C2F95"/>
    <w:pPr>
      <w:spacing w:line="240" w:lineRule="auto"/>
    </w:pPr>
    <w:rPr>
      <w:sz w:val="20"/>
      <w:szCs w:val="20"/>
    </w:rPr>
  </w:style>
  <w:style w:type="character" w:customStyle="1" w:styleId="NotedebasdepageCar">
    <w:name w:val="Note de bas de page Car"/>
    <w:aliases w:val="Nbpage Moens Car,fn Car,single space Car,footnote text Car,ALTS FOOTNOTE Car,FOOTNOTES Car,ft Car,Char Car, Char Car,f Car,Footnote Text Char1 Car,Footnote Text Char2 Char Car,Footnote Text Char1 Char Char Car"/>
    <w:link w:val="Notedebasdepage"/>
    <w:uiPriority w:val="99"/>
    <w:rsid w:val="001C2F95"/>
    <w:rPr>
      <w:rFonts w:ascii="Arial" w:eastAsia="Times New Roman" w:hAnsi="Arial" w:cs="Times New Roman"/>
      <w:sz w:val="20"/>
      <w:szCs w:val="20"/>
      <w:lang w:eastAsia="fr-FR"/>
    </w:rPr>
  </w:style>
  <w:style w:type="character" w:styleId="Appelnotedebasdep">
    <w:name w:val="footnote reference"/>
    <w:aliases w:val="16 Point,Superscript 6 Point,ftref,referencia nota al pie,BVI fnr, BVI fnr,Ref,de nota al pie,Footnote,Car Car Char Car Char Car Car Char Car Char Char,SUPERS,BVI f,R,Appel note de bas de page,Error-Fußnotenzeichen5,note bp,????"/>
    <w:link w:val="RefCharCarCharCar"/>
    <w:uiPriority w:val="99"/>
    <w:unhideWhenUsed/>
    <w:qFormat/>
    <w:rsid w:val="001C2F95"/>
    <w:rPr>
      <w:vertAlign w:val="superscript"/>
    </w:rPr>
  </w:style>
  <w:style w:type="paragraph" w:customStyle="1" w:styleId="Style1">
    <w:name w:val="Style 1"/>
    <w:basedOn w:val="Normal"/>
    <w:rsid w:val="001C2F95"/>
    <w:pPr>
      <w:widowControl w:val="0"/>
      <w:autoSpaceDE w:val="0"/>
      <w:autoSpaceDN w:val="0"/>
      <w:adjustRightInd w:val="0"/>
      <w:spacing w:line="240" w:lineRule="auto"/>
      <w:jc w:val="left"/>
    </w:pPr>
    <w:rPr>
      <w:rFonts w:ascii="Times New Roman" w:hAnsi="Times New Roman"/>
      <w:sz w:val="20"/>
      <w:szCs w:val="20"/>
    </w:rPr>
  </w:style>
  <w:style w:type="character" w:customStyle="1" w:styleId="CharacterStyle1">
    <w:name w:val="Character Style 1"/>
    <w:uiPriority w:val="99"/>
    <w:rsid w:val="001C2F95"/>
    <w:rPr>
      <w:sz w:val="20"/>
    </w:rPr>
  </w:style>
  <w:style w:type="paragraph" w:customStyle="1" w:styleId="Style19">
    <w:name w:val="Style 19"/>
    <w:basedOn w:val="Normal"/>
    <w:uiPriority w:val="99"/>
    <w:rsid w:val="001C2F95"/>
    <w:pPr>
      <w:widowControl w:val="0"/>
      <w:autoSpaceDE w:val="0"/>
      <w:autoSpaceDN w:val="0"/>
      <w:spacing w:before="108" w:line="240" w:lineRule="auto"/>
      <w:ind w:right="72"/>
    </w:pPr>
    <w:rPr>
      <w:rFonts w:ascii="Helvetica" w:hAnsi="Helvetica" w:cs="Helvetica"/>
      <w:color w:val="382222"/>
      <w:sz w:val="18"/>
      <w:szCs w:val="18"/>
    </w:rPr>
  </w:style>
  <w:style w:type="character" w:customStyle="1" w:styleId="CharacterStyle10">
    <w:name w:val="Character Style 10"/>
    <w:uiPriority w:val="99"/>
    <w:rsid w:val="001C2F95"/>
    <w:rPr>
      <w:rFonts w:ascii="Helvetica" w:hAnsi="Helvetica"/>
      <w:color w:val="382222"/>
      <w:sz w:val="18"/>
    </w:rPr>
  </w:style>
  <w:style w:type="paragraph" w:customStyle="1" w:styleId="Style25">
    <w:name w:val="Style 25"/>
    <w:basedOn w:val="Normal"/>
    <w:uiPriority w:val="99"/>
    <w:rsid w:val="001C2F95"/>
    <w:pPr>
      <w:widowControl w:val="0"/>
      <w:autoSpaceDE w:val="0"/>
      <w:autoSpaceDN w:val="0"/>
      <w:spacing w:before="108" w:line="240" w:lineRule="auto"/>
      <w:ind w:right="72"/>
    </w:pPr>
    <w:rPr>
      <w:rFonts w:ascii="Helvetica" w:hAnsi="Helvetica" w:cs="Helvetica"/>
      <w:sz w:val="19"/>
      <w:szCs w:val="19"/>
    </w:rPr>
  </w:style>
  <w:style w:type="paragraph" w:customStyle="1" w:styleId="Style40">
    <w:name w:val="Style 40"/>
    <w:basedOn w:val="Normal"/>
    <w:uiPriority w:val="99"/>
    <w:rsid w:val="001C2F95"/>
    <w:pPr>
      <w:widowControl w:val="0"/>
      <w:autoSpaceDE w:val="0"/>
      <w:autoSpaceDN w:val="0"/>
      <w:spacing w:before="108" w:line="240" w:lineRule="auto"/>
      <w:ind w:left="792" w:hanging="432"/>
      <w:jc w:val="left"/>
    </w:pPr>
    <w:rPr>
      <w:rFonts w:ascii="Helvetica" w:hAnsi="Helvetica" w:cs="Helvetica"/>
      <w:sz w:val="19"/>
      <w:szCs w:val="19"/>
    </w:rPr>
  </w:style>
  <w:style w:type="character" w:customStyle="1" w:styleId="CharacterStyle13">
    <w:name w:val="Character Style 13"/>
    <w:uiPriority w:val="99"/>
    <w:rsid w:val="001C2F95"/>
    <w:rPr>
      <w:rFonts w:ascii="Helvetica" w:hAnsi="Helvetica"/>
      <w:sz w:val="19"/>
    </w:rPr>
  </w:style>
  <w:style w:type="character" w:styleId="lev">
    <w:name w:val="Strong"/>
    <w:uiPriority w:val="22"/>
    <w:qFormat/>
    <w:rsid w:val="001C2F95"/>
    <w:rPr>
      <w:b/>
      <w:bCs/>
    </w:rPr>
  </w:style>
  <w:style w:type="character" w:customStyle="1" w:styleId="TabledesillustrationsCar">
    <w:name w:val="Table des illustrations Car"/>
    <w:link w:val="Tabledesillustrations"/>
    <w:uiPriority w:val="99"/>
    <w:locked/>
    <w:rsid w:val="001C2F95"/>
    <w:rPr>
      <w:rFonts w:ascii="Arial" w:eastAsia="Times New Roman" w:hAnsi="Arial" w:cs="Times New Roman"/>
      <w:sz w:val="21"/>
      <w:lang w:eastAsia="fr-FR"/>
    </w:rPr>
  </w:style>
  <w:style w:type="paragraph" w:styleId="PrformatHTML">
    <w:name w:val="HTML Preformatted"/>
    <w:basedOn w:val="Normal"/>
    <w:link w:val="PrformatHTMLCar"/>
    <w:uiPriority w:val="99"/>
    <w:unhideWhenUsed/>
    <w:rsid w:val="001C2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PrformatHTMLCar">
    <w:name w:val="Préformaté HTML Car"/>
    <w:link w:val="PrformatHTML"/>
    <w:uiPriority w:val="99"/>
    <w:rsid w:val="001C2F95"/>
    <w:rPr>
      <w:rFonts w:ascii="Courier New" w:eastAsia="Times New Roman" w:hAnsi="Courier New" w:cs="Courier New"/>
      <w:sz w:val="20"/>
      <w:szCs w:val="20"/>
      <w:lang w:eastAsia="fr-FR"/>
    </w:rPr>
  </w:style>
  <w:style w:type="character" w:customStyle="1" w:styleId="tocnumber">
    <w:name w:val="tocnumber"/>
    <w:basedOn w:val="Policepardfaut"/>
    <w:rsid w:val="001C2F95"/>
  </w:style>
  <w:style w:type="character" w:customStyle="1" w:styleId="toctext">
    <w:name w:val="toctext"/>
    <w:basedOn w:val="Policepardfaut"/>
    <w:rsid w:val="001C2F95"/>
  </w:style>
  <w:style w:type="character" w:customStyle="1" w:styleId="nowrap">
    <w:name w:val="nowrap"/>
    <w:basedOn w:val="Policepardfaut"/>
    <w:rsid w:val="001C2F95"/>
  </w:style>
  <w:style w:type="paragraph" w:styleId="Notedefin">
    <w:name w:val="endnote text"/>
    <w:basedOn w:val="Normal"/>
    <w:link w:val="NotedefinCar"/>
    <w:uiPriority w:val="99"/>
    <w:unhideWhenUsed/>
    <w:rsid w:val="001C2F95"/>
    <w:pPr>
      <w:spacing w:line="240" w:lineRule="auto"/>
    </w:pPr>
    <w:rPr>
      <w:sz w:val="20"/>
      <w:szCs w:val="20"/>
    </w:rPr>
  </w:style>
  <w:style w:type="character" w:customStyle="1" w:styleId="NotedefinCar">
    <w:name w:val="Note de fin Car"/>
    <w:link w:val="Notedefin"/>
    <w:uiPriority w:val="99"/>
    <w:rsid w:val="001C2F95"/>
    <w:rPr>
      <w:rFonts w:ascii="Arial" w:eastAsia="Times New Roman" w:hAnsi="Arial" w:cs="Times New Roman"/>
      <w:sz w:val="20"/>
      <w:szCs w:val="20"/>
      <w:lang w:eastAsia="fr-FR"/>
    </w:rPr>
  </w:style>
  <w:style w:type="character" w:styleId="Appeldenotedefin">
    <w:name w:val="endnote reference"/>
    <w:uiPriority w:val="99"/>
    <w:unhideWhenUsed/>
    <w:rsid w:val="001C2F95"/>
    <w:rPr>
      <w:vertAlign w:val="superscript"/>
    </w:rPr>
  </w:style>
  <w:style w:type="character" w:styleId="Numrodepage">
    <w:name w:val="page number"/>
    <w:basedOn w:val="Policepardfaut"/>
    <w:rsid w:val="001C2F95"/>
  </w:style>
  <w:style w:type="paragraph" w:customStyle="1" w:styleId="RapTitre3">
    <w:name w:val="Rap Titre 3"/>
    <w:basedOn w:val="Titre3"/>
    <w:autoRedefine/>
    <w:rsid w:val="001C2F95"/>
    <w:pPr>
      <w:keepNext w:val="0"/>
      <w:keepLines w:val="0"/>
      <w:widowControl w:val="0"/>
      <w:suppressAutoHyphens/>
      <w:spacing w:before="120" w:after="120" w:line="240" w:lineRule="auto"/>
      <w:ind w:left="624"/>
    </w:pPr>
    <w:rPr>
      <w:rFonts w:cs="Arial"/>
      <w:b/>
      <w:bCs w:val="0"/>
      <w:i w:val="0"/>
      <w:spacing w:val="-3"/>
      <w:sz w:val="22"/>
      <w:szCs w:val="22"/>
    </w:rPr>
  </w:style>
  <w:style w:type="paragraph" w:styleId="Textebrut">
    <w:name w:val="Plain Text"/>
    <w:basedOn w:val="Normal"/>
    <w:link w:val="TextebrutCar"/>
    <w:uiPriority w:val="99"/>
    <w:rsid w:val="001C2F95"/>
    <w:pPr>
      <w:spacing w:line="240" w:lineRule="auto"/>
      <w:jc w:val="left"/>
    </w:pPr>
    <w:rPr>
      <w:rFonts w:ascii="Courier New" w:hAnsi="Courier New"/>
      <w:sz w:val="20"/>
      <w:szCs w:val="20"/>
    </w:rPr>
  </w:style>
  <w:style w:type="character" w:customStyle="1" w:styleId="TextebrutCar">
    <w:name w:val="Texte brut Car"/>
    <w:link w:val="Textebrut"/>
    <w:uiPriority w:val="99"/>
    <w:rsid w:val="001C2F95"/>
    <w:rPr>
      <w:rFonts w:ascii="Courier New" w:eastAsia="Times New Roman" w:hAnsi="Courier New" w:cs="Times New Roman"/>
      <w:sz w:val="20"/>
      <w:szCs w:val="20"/>
      <w:lang w:eastAsia="fr-FR"/>
    </w:rPr>
  </w:style>
  <w:style w:type="paragraph" w:customStyle="1" w:styleId="Heading1a">
    <w:name w:val="Heading 1a"/>
    <w:basedOn w:val="Titre1"/>
    <w:next w:val="Normal"/>
    <w:rsid w:val="001C2F95"/>
    <w:pPr>
      <w:spacing w:before="720" w:after="240" w:line="240" w:lineRule="auto"/>
      <w:ind w:left="720" w:hanging="360"/>
      <w:jc w:val="center"/>
      <w:outlineLvl w:val="9"/>
    </w:pPr>
    <w:rPr>
      <w:rFonts w:ascii="Times New Roman Bold" w:hAnsi="Times New Roman Bold"/>
      <w:sz w:val="32"/>
      <w:szCs w:val="32"/>
      <w:lang w:val="en-US"/>
    </w:rPr>
  </w:style>
  <w:style w:type="paragraph" w:customStyle="1" w:styleId="MTHL">
    <w:name w:val="出典 MTHL"/>
    <w:basedOn w:val="Normal"/>
    <w:link w:val="MTHL0"/>
    <w:uiPriority w:val="99"/>
    <w:rsid w:val="001C2F95"/>
    <w:pPr>
      <w:spacing w:beforeLines="15" w:line="240" w:lineRule="exact"/>
      <w:ind w:leftChars="100" w:left="100"/>
    </w:pPr>
    <w:rPr>
      <w:rFonts w:ascii="Times New Roman" w:eastAsia="MS Mincho" w:hAnsi="Times New Roman"/>
      <w:sz w:val="20"/>
      <w:szCs w:val="18"/>
      <w:lang w:val="en-GB"/>
    </w:rPr>
  </w:style>
  <w:style w:type="character" w:customStyle="1" w:styleId="MTHL0">
    <w:name w:val="出典 MTHL (文字)"/>
    <w:link w:val="MTHL"/>
    <w:uiPriority w:val="99"/>
    <w:locked/>
    <w:rsid w:val="001C2F95"/>
    <w:rPr>
      <w:rFonts w:ascii="Times New Roman" w:eastAsia="MS Mincho" w:hAnsi="Times New Roman" w:cs="Times New Roman"/>
      <w:sz w:val="20"/>
      <w:szCs w:val="18"/>
      <w:lang w:val="en-GB" w:eastAsia="fr-FR"/>
    </w:rPr>
  </w:style>
  <w:style w:type="paragraph" w:styleId="Corpsdetexte2">
    <w:name w:val="Body Text 2"/>
    <w:basedOn w:val="Normal"/>
    <w:link w:val="Corpsdetexte2Car"/>
    <w:unhideWhenUsed/>
    <w:rsid w:val="001C2F95"/>
    <w:pPr>
      <w:spacing w:after="120" w:line="480" w:lineRule="auto"/>
    </w:pPr>
  </w:style>
  <w:style w:type="character" w:customStyle="1" w:styleId="Corpsdetexte2Car">
    <w:name w:val="Corps de texte 2 Car"/>
    <w:link w:val="Corpsdetexte2"/>
    <w:rsid w:val="001C2F95"/>
    <w:rPr>
      <w:rFonts w:ascii="Arial" w:eastAsia="Times New Roman" w:hAnsi="Arial" w:cs="Times New Roman"/>
      <w:sz w:val="21"/>
      <w:lang w:eastAsia="fr-FR"/>
    </w:rPr>
  </w:style>
  <w:style w:type="paragraph" w:customStyle="1" w:styleId="Heading11">
    <w:name w:val="Heading 11"/>
    <w:basedOn w:val="Normal"/>
    <w:uiPriority w:val="99"/>
    <w:qFormat/>
    <w:rsid w:val="001C2F95"/>
    <w:pPr>
      <w:widowControl w:val="0"/>
      <w:spacing w:line="240" w:lineRule="auto"/>
      <w:ind w:left="600" w:right="559"/>
      <w:jc w:val="left"/>
      <w:outlineLvl w:val="1"/>
    </w:pPr>
    <w:rPr>
      <w:rFonts w:eastAsia="Arial" w:cs="Arial"/>
      <w:b/>
      <w:bCs/>
      <w:sz w:val="28"/>
      <w:szCs w:val="28"/>
      <w:lang w:val="en-US" w:eastAsia="en-US"/>
    </w:rPr>
  </w:style>
  <w:style w:type="paragraph" w:customStyle="1" w:styleId="Heading21">
    <w:name w:val="Heading 21"/>
    <w:basedOn w:val="Normal"/>
    <w:uiPriority w:val="1"/>
    <w:qFormat/>
    <w:rsid w:val="001C2F95"/>
    <w:pPr>
      <w:widowControl w:val="0"/>
      <w:spacing w:line="240" w:lineRule="auto"/>
      <w:ind w:left="116"/>
      <w:outlineLvl w:val="2"/>
    </w:pPr>
    <w:rPr>
      <w:rFonts w:eastAsia="Arial" w:cs="Arial"/>
      <w:b/>
      <w:bCs/>
      <w:sz w:val="22"/>
      <w:lang w:val="en-US" w:eastAsia="en-US"/>
    </w:rPr>
  </w:style>
  <w:style w:type="table" w:customStyle="1" w:styleId="TableNormal1">
    <w:name w:val="Table Normal1"/>
    <w:uiPriority w:val="2"/>
    <w:unhideWhenUsed/>
    <w:qFormat/>
    <w:rsid w:val="001C2F95"/>
    <w:pPr>
      <w:widowControl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2F95"/>
    <w:pPr>
      <w:widowControl w:val="0"/>
      <w:spacing w:line="240" w:lineRule="auto"/>
      <w:jc w:val="left"/>
    </w:pPr>
    <w:rPr>
      <w:rFonts w:eastAsia="Arial" w:cs="Arial"/>
      <w:sz w:val="22"/>
      <w:lang w:val="en-US" w:eastAsia="en-US"/>
    </w:rPr>
  </w:style>
  <w:style w:type="paragraph" w:styleId="Sansinterligne">
    <w:name w:val="No Spacing"/>
    <w:link w:val="SansinterligneCar"/>
    <w:uiPriority w:val="1"/>
    <w:qFormat/>
    <w:rsid w:val="001C2F95"/>
    <w:rPr>
      <w:rFonts w:ascii="Times New Roman" w:eastAsia="Times New Roman" w:hAnsi="Times New Roman"/>
      <w:sz w:val="24"/>
      <w:szCs w:val="24"/>
    </w:rPr>
  </w:style>
  <w:style w:type="paragraph" w:customStyle="1" w:styleId="Tableau">
    <w:name w:val="Tableau"/>
    <w:basedOn w:val="Normal"/>
    <w:qFormat/>
    <w:rsid w:val="001C2F95"/>
    <w:pPr>
      <w:overflowPunct w:val="0"/>
      <w:autoSpaceDE w:val="0"/>
      <w:autoSpaceDN w:val="0"/>
      <w:adjustRightInd w:val="0"/>
      <w:spacing w:before="60" w:after="60" w:line="240" w:lineRule="auto"/>
      <w:jc w:val="left"/>
      <w:textAlignment w:val="baseline"/>
    </w:pPr>
    <w:rPr>
      <w:rFonts w:ascii="Times New Roman" w:hAnsi="Times New Roman"/>
      <w:sz w:val="24"/>
      <w:szCs w:val="20"/>
    </w:rPr>
  </w:style>
  <w:style w:type="character" w:customStyle="1" w:styleId="LgendeCar">
    <w:name w:val="Légende Car"/>
    <w:aliases w:val=" Car Car,Fig Car,Table Caption Car,Table Car,Figure Car,headings Car,CPR Caption Car,CPR Caption Char Car,Table1 Car,Figure1 Car,headings1 Char Car,headings1 Car,Table Char Car,Figure Char Car,headings Char Car,CPR Caption Char1 Car,HB Car"/>
    <w:link w:val="Lgende"/>
    <w:rsid w:val="001C2F95"/>
    <w:rPr>
      <w:rFonts w:ascii="Arial" w:eastAsia="Calibri" w:hAnsi="Arial" w:cs="Times New Roman"/>
      <w:bCs/>
      <w:sz w:val="21"/>
      <w:szCs w:val="20"/>
    </w:rPr>
  </w:style>
  <w:style w:type="character" w:customStyle="1" w:styleId="Normal12ptsjustifi">
    <w:name w:val="Normal+12 pts justifié"/>
    <w:uiPriority w:val="99"/>
    <w:rsid w:val="001C2F95"/>
    <w:rPr>
      <w:rFonts w:ascii="Times New Roman" w:eastAsia="ComicSansMS-Identity-H" w:hAnsi="Times New Roman" w:cs="Times New Roman"/>
      <w:b w:val="0"/>
      <w:bCs/>
      <w:dstrike w:val="0"/>
      <w:color w:val="auto"/>
      <w:spacing w:val="0"/>
      <w:w w:val="100"/>
      <w:kern w:val="0"/>
      <w:position w:val="0"/>
      <w:sz w:val="24"/>
      <w:szCs w:val="24"/>
      <w:u w:val="none"/>
      <w:bdr w:val="none" w:sz="0" w:space="0" w:color="auto"/>
      <w:vertAlign w:val="baseline"/>
      <w:lang w:val="fr-FR" w:eastAsia="en-US" w:bidi="ar-SA"/>
    </w:rPr>
  </w:style>
  <w:style w:type="character" w:customStyle="1" w:styleId="SansinterligneCar">
    <w:name w:val="Sans interligne Car"/>
    <w:link w:val="Sansinterligne"/>
    <w:uiPriority w:val="1"/>
    <w:rsid w:val="001C2F95"/>
    <w:rPr>
      <w:rFonts w:ascii="Times New Roman" w:eastAsia="Times New Roman" w:hAnsi="Times New Roman" w:cs="Times New Roman"/>
      <w:sz w:val="24"/>
      <w:szCs w:val="24"/>
      <w:lang w:val="en-US"/>
    </w:rPr>
  </w:style>
  <w:style w:type="character" w:customStyle="1" w:styleId="apple-converted-space">
    <w:name w:val="apple-converted-space"/>
    <w:basedOn w:val="Policepardfaut"/>
    <w:rsid w:val="001C2F95"/>
  </w:style>
  <w:style w:type="paragraph" w:customStyle="1" w:styleId="7">
    <w:name w:val="7"/>
    <w:basedOn w:val="Normal"/>
    <w:rsid w:val="001C2F95"/>
    <w:pPr>
      <w:tabs>
        <w:tab w:val="left" w:pos="851"/>
        <w:tab w:val="right" w:pos="9072"/>
      </w:tabs>
      <w:spacing w:before="40" w:after="40" w:line="240" w:lineRule="auto"/>
      <w:ind w:left="850" w:hanging="283"/>
    </w:pPr>
    <w:rPr>
      <w:rFonts w:cs="Arial"/>
      <w:sz w:val="20"/>
      <w:szCs w:val="20"/>
    </w:rPr>
  </w:style>
  <w:style w:type="paragraph" w:customStyle="1" w:styleId="Style">
    <w:name w:val="Style"/>
    <w:rsid w:val="001C2F95"/>
    <w:pPr>
      <w:widowControl w:val="0"/>
      <w:autoSpaceDE w:val="0"/>
      <w:autoSpaceDN w:val="0"/>
      <w:adjustRightInd w:val="0"/>
    </w:pPr>
    <w:rPr>
      <w:rFonts w:ascii="Arial" w:eastAsia="Times New Roman" w:hAnsi="Arial" w:cs="Arial"/>
      <w:sz w:val="24"/>
      <w:szCs w:val="24"/>
      <w:lang w:val="fr-FR" w:eastAsia="fr-FR"/>
    </w:rPr>
  </w:style>
  <w:style w:type="paragraph" w:styleId="Listepuces2">
    <w:name w:val="List Bullet 2"/>
    <w:basedOn w:val="Normal"/>
    <w:uiPriority w:val="99"/>
    <w:rsid w:val="001C2F95"/>
    <w:pPr>
      <w:numPr>
        <w:numId w:val="5"/>
      </w:numPr>
      <w:spacing w:line="240" w:lineRule="auto"/>
      <w:contextualSpacing/>
      <w:jc w:val="left"/>
    </w:pPr>
    <w:rPr>
      <w:rFonts w:ascii="Times New Roman" w:hAnsi="Times New Roman"/>
      <w:sz w:val="24"/>
      <w:szCs w:val="24"/>
    </w:rPr>
  </w:style>
  <w:style w:type="character" w:customStyle="1" w:styleId="A2">
    <w:name w:val="A2"/>
    <w:uiPriority w:val="99"/>
    <w:rsid w:val="001C2F95"/>
    <w:rPr>
      <w:rFonts w:cs="Agenda"/>
      <w:color w:val="000000"/>
      <w:sz w:val="20"/>
      <w:szCs w:val="20"/>
    </w:rPr>
  </w:style>
  <w:style w:type="character" w:customStyle="1" w:styleId="DefaultCar">
    <w:name w:val="Default Car"/>
    <w:link w:val="Default"/>
    <w:rsid w:val="001C2F95"/>
    <w:rPr>
      <w:rFonts w:ascii="Arial" w:eastAsia="Calibri" w:hAnsi="Arial" w:cs="Arial"/>
      <w:color w:val="000000"/>
      <w:sz w:val="24"/>
      <w:szCs w:val="24"/>
      <w:lang w:eastAsia="fr-FR"/>
    </w:rPr>
  </w:style>
  <w:style w:type="paragraph" w:customStyle="1" w:styleId="Titre11">
    <w:name w:val="Titre 11"/>
    <w:basedOn w:val="Normal"/>
    <w:uiPriority w:val="1"/>
    <w:qFormat/>
    <w:rsid w:val="001C2F95"/>
    <w:pPr>
      <w:widowControl w:val="0"/>
      <w:autoSpaceDE w:val="0"/>
      <w:autoSpaceDN w:val="0"/>
      <w:spacing w:line="240" w:lineRule="auto"/>
      <w:ind w:left="765" w:hanging="492"/>
      <w:jc w:val="left"/>
      <w:outlineLvl w:val="1"/>
    </w:pPr>
    <w:rPr>
      <w:rFonts w:eastAsia="Arial" w:cs="Arial"/>
      <w:b/>
      <w:bCs/>
      <w:sz w:val="22"/>
      <w:lang w:bidi="fr-FR"/>
    </w:rPr>
  </w:style>
  <w:style w:type="table" w:customStyle="1" w:styleId="TableNormal2">
    <w:name w:val="Table Normal2"/>
    <w:uiPriority w:val="2"/>
    <w:unhideWhenUsed/>
    <w:qFormat/>
    <w:rsid w:val="001C2F95"/>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BankNormal">
    <w:name w:val="BankNormal"/>
    <w:basedOn w:val="Normal"/>
    <w:link w:val="BankNormalChar"/>
    <w:rsid w:val="001C2F95"/>
    <w:pPr>
      <w:spacing w:after="240" w:line="240" w:lineRule="auto"/>
      <w:jc w:val="left"/>
    </w:pPr>
    <w:rPr>
      <w:rFonts w:ascii="Times New Roman" w:hAnsi="Times New Roman"/>
      <w:sz w:val="22"/>
      <w:szCs w:val="20"/>
      <w:lang w:val="en-US" w:eastAsia="en-US"/>
    </w:rPr>
  </w:style>
  <w:style w:type="paragraph" w:customStyle="1" w:styleId="Style2">
    <w:name w:val="Style2"/>
    <w:basedOn w:val="Titre2"/>
    <w:rsid w:val="001C2F95"/>
    <w:pPr>
      <w:keepLines w:val="0"/>
      <w:spacing w:line="240" w:lineRule="auto"/>
      <w:jc w:val="left"/>
    </w:pPr>
    <w:rPr>
      <w:rFonts w:ascii="Comic Sans MS" w:hAnsi="Comic Sans MS"/>
      <w:b/>
      <w:bCs w:val="0"/>
      <w:sz w:val="24"/>
      <w:szCs w:val="24"/>
    </w:rPr>
  </w:style>
  <w:style w:type="paragraph" w:customStyle="1" w:styleId="Outline1">
    <w:name w:val="Outline1"/>
    <w:basedOn w:val="Normal"/>
    <w:next w:val="Outline2"/>
    <w:rsid w:val="001C2F95"/>
    <w:pPr>
      <w:keepNext/>
      <w:numPr>
        <w:numId w:val="7"/>
      </w:numPr>
      <w:tabs>
        <w:tab w:val="clear" w:pos="432"/>
        <w:tab w:val="num" w:pos="360"/>
      </w:tabs>
      <w:spacing w:before="240" w:line="240" w:lineRule="auto"/>
      <w:ind w:left="360" w:hanging="360"/>
      <w:jc w:val="left"/>
    </w:pPr>
    <w:rPr>
      <w:rFonts w:ascii="Times New Roman" w:hAnsi="Times New Roman"/>
      <w:kern w:val="28"/>
      <w:sz w:val="22"/>
    </w:rPr>
  </w:style>
  <w:style w:type="paragraph" w:customStyle="1" w:styleId="Outline2">
    <w:name w:val="Outline2"/>
    <w:basedOn w:val="Normal"/>
    <w:rsid w:val="001C2F95"/>
    <w:pPr>
      <w:numPr>
        <w:ilvl w:val="1"/>
        <w:numId w:val="7"/>
      </w:numPr>
      <w:tabs>
        <w:tab w:val="clear" w:pos="1152"/>
        <w:tab w:val="num" w:pos="864"/>
      </w:tabs>
      <w:spacing w:before="240" w:line="240" w:lineRule="auto"/>
      <w:ind w:left="864" w:hanging="504"/>
      <w:jc w:val="left"/>
    </w:pPr>
    <w:rPr>
      <w:rFonts w:ascii="Times New Roman" w:hAnsi="Times New Roman"/>
      <w:kern w:val="28"/>
      <w:sz w:val="22"/>
    </w:rPr>
  </w:style>
  <w:style w:type="paragraph" w:customStyle="1" w:styleId="Outline3">
    <w:name w:val="Outline3"/>
    <w:basedOn w:val="Normal"/>
    <w:rsid w:val="001C2F95"/>
    <w:pPr>
      <w:numPr>
        <w:ilvl w:val="2"/>
        <w:numId w:val="7"/>
      </w:numPr>
      <w:tabs>
        <w:tab w:val="clear" w:pos="1728"/>
        <w:tab w:val="num" w:pos="1368"/>
      </w:tabs>
      <w:spacing w:before="240" w:line="240" w:lineRule="auto"/>
      <w:ind w:left="1368" w:hanging="504"/>
      <w:jc w:val="left"/>
    </w:pPr>
    <w:rPr>
      <w:rFonts w:ascii="Times New Roman" w:hAnsi="Times New Roman"/>
      <w:kern w:val="28"/>
      <w:sz w:val="22"/>
    </w:rPr>
  </w:style>
  <w:style w:type="paragraph" w:customStyle="1" w:styleId="Outline4">
    <w:name w:val="Outline4"/>
    <w:basedOn w:val="Normal"/>
    <w:rsid w:val="001C2F95"/>
    <w:pPr>
      <w:numPr>
        <w:ilvl w:val="3"/>
        <w:numId w:val="7"/>
      </w:numPr>
      <w:tabs>
        <w:tab w:val="clear" w:pos="2304"/>
        <w:tab w:val="num" w:pos="1872"/>
      </w:tabs>
      <w:spacing w:before="240" w:line="240" w:lineRule="auto"/>
      <w:ind w:left="1872" w:hanging="504"/>
      <w:jc w:val="left"/>
    </w:pPr>
    <w:rPr>
      <w:rFonts w:ascii="Times New Roman" w:hAnsi="Times New Roman"/>
      <w:kern w:val="28"/>
      <w:sz w:val="22"/>
    </w:rPr>
  </w:style>
  <w:style w:type="character" w:customStyle="1" w:styleId="Titre3Car2">
    <w:name w:val="Titre 3 Car2"/>
    <w:aliases w:val="Titre 3 Car Car,Centered Car1,centered Car1, Centered Car1,Chapitre 3 Car,annex Car,(1.1.1.) Car,Left Char Car, centered Char Car,Left Car, centered Car,Section Car,Section + Gauche Car,Gauche :  0 cm Car,Suspendu : 1 Car,6 cm Car,Sec Car"/>
    <w:rsid w:val="001C2F95"/>
    <w:rPr>
      <w:b/>
      <w:sz w:val="22"/>
    </w:rPr>
  </w:style>
  <w:style w:type="paragraph" w:styleId="Titre">
    <w:name w:val="Title"/>
    <w:aliases w:val="Titre Car Car Car Car Car,Titre Car Car Car Car Car Car,Titre Car Car Car Car,Titre Car Car Car"/>
    <w:basedOn w:val="Normal"/>
    <w:link w:val="TitreCar"/>
    <w:uiPriority w:val="1"/>
    <w:qFormat/>
    <w:rsid w:val="001C2F95"/>
    <w:pPr>
      <w:spacing w:after="120" w:line="240" w:lineRule="auto"/>
      <w:jc w:val="center"/>
    </w:pPr>
    <w:rPr>
      <w:rFonts w:ascii="Times New Roman" w:hAnsi="Times New Roman"/>
      <w:b/>
      <w:sz w:val="24"/>
      <w:szCs w:val="20"/>
    </w:rPr>
  </w:style>
  <w:style w:type="character" w:customStyle="1" w:styleId="TitreCar">
    <w:name w:val="Titre Car"/>
    <w:aliases w:val="Titre Car Car Car Car Car Car1,Titre Car Car Car Car Car Car Car,Titre Car Car Car Car Car1,Titre Car Car Car Car1"/>
    <w:link w:val="Titre"/>
    <w:uiPriority w:val="1"/>
    <w:rsid w:val="001C2F95"/>
    <w:rPr>
      <w:rFonts w:ascii="Times New Roman" w:eastAsia="Times New Roman" w:hAnsi="Times New Roman" w:cs="Times New Roman"/>
      <w:b/>
      <w:sz w:val="24"/>
      <w:szCs w:val="20"/>
      <w:lang w:eastAsia="fr-FR"/>
    </w:rPr>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link w:val="Appelnotedebasdep"/>
    <w:uiPriority w:val="99"/>
    <w:rsid w:val="001C2F95"/>
    <w:pPr>
      <w:spacing w:after="160" w:line="240" w:lineRule="exact"/>
      <w:jc w:val="left"/>
    </w:pPr>
    <w:rPr>
      <w:rFonts w:ascii="Calibri" w:eastAsia="Calibri" w:hAnsi="Calibri"/>
      <w:sz w:val="22"/>
      <w:vertAlign w:val="superscript"/>
      <w:lang w:eastAsia="en-US"/>
    </w:rPr>
  </w:style>
  <w:style w:type="paragraph" w:customStyle="1" w:styleId="Corpsdetexte4">
    <w:name w:val="Corps de texte 4"/>
    <w:basedOn w:val="Normal"/>
    <w:rsid w:val="001C2F95"/>
    <w:pPr>
      <w:spacing w:after="240" w:line="240" w:lineRule="auto"/>
    </w:pPr>
    <w:rPr>
      <w:rFonts w:ascii="Times New Roman" w:hAnsi="Times New Roman"/>
      <w:sz w:val="22"/>
      <w:szCs w:val="20"/>
    </w:rPr>
  </w:style>
  <w:style w:type="paragraph" w:customStyle="1" w:styleId="BodyTextIndent31">
    <w:name w:val="Body Text Indent 31"/>
    <w:basedOn w:val="Normal"/>
    <w:rsid w:val="001C2F95"/>
    <w:pPr>
      <w:widowControl w:val="0"/>
      <w:spacing w:line="240" w:lineRule="auto"/>
      <w:ind w:left="2497" w:hanging="720"/>
    </w:pPr>
    <w:rPr>
      <w:rFonts w:ascii="Times New Roman" w:hAnsi="Times New Roman"/>
      <w:sz w:val="22"/>
      <w:szCs w:val="20"/>
    </w:rPr>
  </w:style>
  <w:style w:type="paragraph" w:customStyle="1" w:styleId="Outline">
    <w:name w:val="Outline"/>
    <w:basedOn w:val="Normal"/>
    <w:rsid w:val="001C2F95"/>
    <w:pPr>
      <w:spacing w:before="240" w:line="240" w:lineRule="auto"/>
      <w:jc w:val="left"/>
    </w:pPr>
    <w:rPr>
      <w:rFonts w:ascii="Times New Roman" w:hAnsi="Times New Roman"/>
      <w:kern w:val="28"/>
      <w:sz w:val="22"/>
      <w:szCs w:val="20"/>
    </w:rPr>
  </w:style>
  <w:style w:type="character" w:customStyle="1" w:styleId="NormalWebCar">
    <w:name w:val="Normal (Web) Car"/>
    <w:link w:val="NormalWeb"/>
    <w:uiPriority w:val="99"/>
    <w:locked/>
    <w:rsid w:val="001C2F95"/>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uiPriority w:val="99"/>
    <w:rsid w:val="001C2F95"/>
    <w:pPr>
      <w:numPr>
        <w:numId w:val="8"/>
      </w:numPr>
      <w:tabs>
        <w:tab w:val="clear" w:pos="360"/>
      </w:tabs>
      <w:spacing w:after="120" w:line="480" w:lineRule="auto"/>
      <w:ind w:left="283" w:firstLine="0"/>
      <w:jc w:val="left"/>
    </w:pPr>
    <w:rPr>
      <w:rFonts w:ascii="Times New Roman" w:hAnsi="Times New Roman"/>
      <w:sz w:val="24"/>
      <w:szCs w:val="24"/>
    </w:rPr>
  </w:style>
  <w:style w:type="character" w:customStyle="1" w:styleId="Retraitcorpsdetexte2Car">
    <w:name w:val="Retrait corps de texte 2 Car"/>
    <w:link w:val="Retraitcorpsdetexte2"/>
    <w:uiPriority w:val="99"/>
    <w:rsid w:val="001C2F9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uiPriority w:val="99"/>
    <w:rsid w:val="001C2F95"/>
    <w:pPr>
      <w:spacing w:after="120" w:line="240" w:lineRule="auto"/>
      <w:ind w:left="283"/>
      <w:jc w:val="left"/>
    </w:pPr>
    <w:rPr>
      <w:rFonts w:ascii="Times New Roman" w:hAnsi="Times New Roman"/>
      <w:sz w:val="16"/>
      <w:szCs w:val="16"/>
    </w:rPr>
  </w:style>
  <w:style w:type="character" w:customStyle="1" w:styleId="Retraitcorpsdetexte3Car">
    <w:name w:val="Retrait corps de texte 3 Car"/>
    <w:link w:val="Retraitcorpsdetexte3"/>
    <w:uiPriority w:val="99"/>
    <w:rsid w:val="001C2F95"/>
    <w:rPr>
      <w:rFonts w:ascii="Times New Roman" w:eastAsia="Times New Roman" w:hAnsi="Times New Roman" w:cs="Times New Roman"/>
      <w:sz w:val="16"/>
      <w:szCs w:val="16"/>
      <w:lang w:eastAsia="fr-FR"/>
    </w:rPr>
  </w:style>
  <w:style w:type="paragraph" w:customStyle="1" w:styleId="BodyTextKeep">
    <w:name w:val="Body Text Keep"/>
    <w:basedOn w:val="Corpsdetexte"/>
    <w:rsid w:val="001C2F95"/>
    <w:pPr>
      <w:keepNext/>
      <w:spacing w:after="240" w:line="240" w:lineRule="atLeast"/>
    </w:pPr>
    <w:rPr>
      <w:rFonts w:ascii="Garamond" w:eastAsia="Times New Roman" w:hAnsi="Garamond"/>
      <w:sz w:val="22"/>
      <w:szCs w:val="20"/>
      <w:lang w:val="en-US" w:eastAsia="en-US"/>
    </w:rPr>
  </w:style>
  <w:style w:type="paragraph" w:customStyle="1" w:styleId="p1">
    <w:name w:val="p1"/>
    <w:basedOn w:val="Normal"/>
    <w:rsid w:val="001C2F95"/>
    <w:pPr>
      <w:widowControl w:val="0"/>
      <w:tabs>
        <w:tab w:val="left" w:pos="720"/>
      </w:tabs>
      <w:overflowPunct w:val="0"/>
      <w:autoSpaceDE w:val="0"/>
      <w:autoSpaceDN w:val="0"/>
      <w:adjustRightInd w:val="0"/>
      <w:spacing w:line="240" w:lineRule="atLeast"/>
      <w:textAlignment w:val="baseline"/>
    </w:pPr>
    <w:rPr>
      <w:rFonts w:ascii="Times New Roman" w:hAnsi="Times New Roman"/>
      <w:sz w:val="24"/>
      <w:szCs w:val="20"/>
    </w:rPr>
  </w:style>
  <w:style w:type="paragraph" w:customStyle="1" w:styleId="Style4">
    <w:name w:val="Style4"/>
    <w:basedOn w:val="Tabledesillustrations"/>
    <w:next w:val="Tabledesillustrations"/>
    <w:rsid w:val="001C2F95"/>
    <w:pPr>
      <w:spacing w:line="240" w:lineRule="auto"/>
      <w:ind w:left="480" w:hanging="480"/>
    </w:pPr>
    <w:rPr>
      <w:rFonts w:ascii="Calibri" w:hAnsi="Calibri"/>
      <w:b/>
      <w:bCs/>
      <w:smallCaps/>
      <w:sz w:val="20"/>
      <w:szCs w:val="20"/>
      <w:u w:val="single"/>
      <w:lang w:val="fr-CA"/>
    </w:rPr>
  </w:style>
  <w:style w:type="character" w:customStyle="1" w:styleId="Titre1CarCarCarCarCarCarCarCarCarCarCarCarCarCarCarCarCarCarCar">
    <w:name w:val="Titre 1 Car Car Car Car Car Car Car Car Car Car Car Car Car Car Car Car Car Car Car"/>
    <w:rsid w:val="001C2F95"/>
    <w:rPr>
      <w:b/>
      <w:bCs/>
      <w:color w:val="000000"/>
      <w:sz w:val="24"/>
      <w:lang w:val="fr-FR" w:eastAsia="fr-FR" w:bidi="ar-SA"/>
    </w:rPr>
  </w:style>
  <w:style w:type="paragraph" w:customStyle="1" w:styleId="MainParanoChapter">
    <w:name w:val="Main Para no Chapter #"/>
    <w:basedOn w:val="Normal"/>
    <w:rsid w:val="001C2F95"/>
    <w:pPr>
      <w:spacing w:after="240" w:line="240" w:lineRule="auto"/>
      <w:jc w:val="left"/>
      <w:outlineLvl w:val="1"/>
    </w:pPr>
    <w:rPr>
      <w:rFonts w:ascii="Times New Roman" w:hAnsi="Times New Roman"/>
      <w:sz w:val="24"/>
      <w:szCs w:val="24"/>
      <w:lang w:val="en-US" w:eastAsia="en-US"/>
    </w:rPr>
  </w:style>
  <w:style w:type="character" w:customStyle="1" w:styleId="BankNormalChar">
    <w:name w:val="BankNormal Char"/>
    <w:link w:val="BankNormal"/>
    <w:rsid w:val="001C2F95"/>
    <w:rPr>
      <w:rFonts w:ascii="Times New Roman" w:eastAsia="Times New Roman" w:hAnsi="Times New Roman" w:cs="Times New Roman"/>
      <w:szCs w:val="20"/>
      <w:lang w:val="en-US"/>
    </w:rPr>
  </w:style>
  <w:style w:type="paragraph" w:customStyle="1" w:styleId="para">
    <w:name w:val="para"/>
    <w:basedOn w:val="Normal"/>
    <w:rsid w:val="001C2F95"/>
    <w:pPr>
      <w:spacing w:line="240" w:lineRule="auto"/>
      <w:ind w:firstLine="284"/>
    </w:pPr>
    <w:rPr>
      <w:rFonts w:ascii="Times New Roman" w:hAnsi="Times New Roman"/>
      <w:sz w:val="24"/>
      <w:szCs w:val="24"/>
      <w:lang w:eastAsia="en-US"/>
    </w:rPr>
  </w:style>
  <w:style w:type="paragraph" w:customStyle="1" w:styleId="PDSHeading2">
    <w:name w:val="PDS Heading 2"/>
    <w:next w:val="Normal"/>
    <w:rsid w:val="001C2F95"/>
    <w:pPr>
      <w:keepNext/>
      <w:numPr>
        <w:numId w:val="9"/>
      </w:numPr>
      <w:tabs>
        <w:tab w:val="clear" w:pos="435"/>
        <w:tab w:val="num" w:pos="360"/>
      </w:tabs>
      <w:ind w:left="0" w:firstLine="0"/>
    </w:pPr>
    <w:rPr>
      <w:rFonts w:ascii="Times New Roman" w:eastAsia="Times New Roman" w:hAnsi="Times New Roman"/>
      <w:b/>
      <w:sz w:val="24"/>
    </w:rPr>
  </w:style>
  <w:style w:type="paragraph" w:customStyle="1" w:styleId="PDSHeading1">
    <w:name w:val="PDS Heading 1"/>
    <w:next w:val="PDSHeading2"/>
    <w:rsid w:val="001C2F95"/>
    <w:pPr>
      <w:keepNext/>
      <w:ind w:left="890" w:hanging="360"/>
      <w:outlineLvl w:val="0"/>
    </w:pPr>
    <w:rPr>
      <w:rFonts w:ascii="Times New Roman" w:eastAsia="Times New Roman" w:hAnsi="Times New Roman"/>
      <w:b/>
      <w:caps/>
      <w:sz w:val="24"/>
    </w:rPr>
  </w:style>
  <w:style w:type="paragraph" w:customStyle="1" w:styleId="PDSHeading10">
    <w:name w:val="PDSHeading1"/>
    <w:next w:val="Normal"/>
    <w:rsid w:val="001C2F95"/>
    <w:rPr>
      <w:rFonts w:ascii="Times New Roman" w:eastAsia="Times New Roman" w:hAnsi="Times New Roman"/>
      <w:b/>
      <w:sz w:val="24"/>
    </w:rPr>
  </w:style>
  <w:style w:type="paragraph" w:customStyle="1" w:styleId="MainParawithChapter">
    <w:name w:val="Main Para with Chapter#"/>
    <w:basedOn w:val="Normal"/>
    <w:rsid w:val="001C2F95"/>
    <w:pPr>
      <w:spacing w:after="240" w:line="240" w:lineRule="auto"/>
      <w:jc w:val="left"/>
      <w:outlineLvl w:val="1"/>
    </w:pPr>
    <w:rPr>
      <w:rFonts w:ascii="Times New Roman" w:hAnsi="Times New Roman"/>
      <w:sz w:val="24"/>
      <w:szCs w:val="24"/>
      <w:lang w:val="en-US" w:eastAsia="en-US"/>
    </w:rPr>
  </w:style>
  <w:style w:type="character" w:customStyle="1" w:styleId="spelle">
    <w:name w:val="spelle"/>
    <w:basedOn w:val="Policepardfaut"/>
    <w:rsid w:val="001C2F95"/>
  </w:style>
  <w:style w:type="paragraph" w:customStyle="1" w:styleId="TxBrp7">
    <w:name w:val="TxBr_p7"/>
    <w:basedOn w:val="Normal"/>
    <w:rsid w:val="001C2F95"/>
    <w:pPr>
      <w:widowControl w:val="0"/>
      <w:tabs>
        <w:tab w:val="left" w:pos="204"/>
      </w:tabs>
      <w:spacing w:line="255" w:lineRule="atLeast"/>
      <w:jc w:val="left"/>
    </w:pPr>
    <w:rPr>
      <w:rFonts w:ascii="Times New Roman" w:hAnsi="Times New Roman"/>
      <w:snapToGrid w:val="0"/>
      <w:sz w:val="24"/>
      <w:szCs w:val="20"/>
      <w:lang w:val="en-US" w:eastAsia="en-US"/>
    </w:rPr>
  </w:style>
  <w:style w:type="character" w:customStyle="1" w:styleId="grame">
    <w:name w:val="grame"/>
    <w:basedOn w:val="Policepardfaut"/>
    <w:rsid w:val="001C2F95"/>
  </w:style>
  <w:style w:type="paragraph" w:customStyle="1" w:styleId="TxBrp8">
    <w:name w:val="TxBr_p8"/>
    <w:basedOn w:val="Normal"/>
    <w:rsid w:val="001C2F95"/>
    <w:pPr>
      <w:widowControl w:val="0"/>
      <w:tabs>
        <w:tab w:val="left" w:pos="368"/>
      </w:tabs>
      <w:spacing w:line="255" w:lineRule="atLeast"/>
      <w:ind w:left="731" w:hanging="363"/>
      <w:jc w:val="left"/>
    </w:pPr>
    <w:rPr>
      <w:rFonts w:ascii="Times New Roman" w:hAnsi="Times New Roman"/>
      <w:snapToGrid w:val="0"/>
      <w:sz w:val="24"/>
      <w:szCs w:val="20"/>
      <w:lang w:val="en-US" w:eastAsia="en-US"/>
    </w:rPr>
  </w:style>
  <w:style w:type="character" w:customStyle="1" w:styleId="MachinecrireHTML2">
    <w:name w:val="Machine à écrire HTML2"/>
    <w:rsid w:val="001C2F95"/>
    <w:rPr>
      <w:rFonts w:ascii="Courier New" w:eastAsia="Times New Roman" w:hAnsi="Courier New" w:cs="Courier New"/>
      <w:sz w:val="20"/>
      <w:szCs w:val="20"/>
    </w:rPr>
  </w:style>
  <w:style w:type="character" w:styleId="MachinecrireHTML">
    <w:name w:val="HTML Typewriter"/>
    <w:rsid w:val="001C2F95"/>
    <w:rPr>
      <w:rFonts w:ascii="Arial Unicode MS" w:eastAsia="Arial Unicode MS" w:hAnsi="Arial Unicode MS" w:cs="Arial Unicode MS"/>
      <w:sz w:val="20"/>
      <w:szCs w:val="20"/>
    </w:rPr>
  </w:style>
  <w:style w:type="paragraph" w:customStyle="1" w:styleId="Spacebetweennumberedparas">
    <w:name w:val="Space between numbered paras"/>
    <w:basedOn w:val="Normal"/>
    <w:next w:val="Titre1"/>
    <w:rsid w:val="001C2F95"/>
    <w:pPr>
      <w:overflowPunct w:val="0"/>
      <w:autoSpaceDE w:val="0"/>
      <w:autoSpaceDN w:val="0"/>
      <w:adjustRightInd w:val="0"/>
      <w:spacing w:line="240" w:lineRule="auto"/>
      <w:jc w:val="left"/>
      <w:textAlignment w:val="baseline"/>
    </w:pPr>
    <w:rPr>
      <w:rFonts w:ascii="Times New Roman" w:hAnsi="Times New Roman"/>
      <w:sz w:val="22"/>
      <w:szCs w:val="20"/>
      <w:lang w:val="en-US" w:eastAsia="en-US"/>
    </w:rPr>
  </w:style>
  <w:style w:type="paragraph" w:customStyle="1" w:styleId="Retraitpuces1">
    <w:name w:val="Retrait à puces 1"/>
    <w:basedOn w:val="Normal"/>
    <w:rsid w:val="001C2F95"/>
    <w:pPr>
      <w:tabs>
        <w:tab w:val="num" w:pos="643"/>
      </w:tabs>
      <w:spacing w:after="120" w:line="240" w:lineRule="auto"/>
      <w:ind w:left="643" w:hanging="360"/>
    </w:pPr>
    <w:rPr>
      <w:rFonts w:ascii="Times New Roman" w:hAnsi="Times New Roman"/>
      <w:sz w:val="24"/>
      <w:szCs w:val="20"/>
    </w:rPr>
  </w:style>
  <w:style w:type="paragraph" w:customStyle="1" w:styleId="CarcterCarCarCarcterCarcter">
    <w:name w:val="Carácter Car Car Carácter Carácter"/>
    <w:basedOn w:val="Normal"/>
    <w:rsid w:val="001C2F95"/>
    <w:pPr>
      <w:spacing w:after="160" w:line="240" w:lineRule="exact"/>
      <w:jc w:val="left"/>
    </w:pPr>
    <w:rPr>
      <w:rFonts w:ascii="Book Antiqua" w:hAnsi="Book Antiqua"/>
      <w:sz w:val="20"/>
      <w:szCs w:val="20"/>
      <w:lang w:val="en-US" w:eastAsia="en-US"/>
    </w:rPr>
  </w:style>
  <w:style w:type="paragraph" w:customStyle="1" w:styleId="Texte1">
    <w:name w:val="Texte 1"/>
    <w:rsid w:val="001C2F95"/>
    <w:pPr>
      <w:ind w:left="1068"/>
      <w:jc w:val="both"/>
    </w:pPr>
    <w:rPr>
      <w:rFonts w:ascii="Book Antiqua" w:eastAsia="Times New Roman" w:hAnsi="Book Antiqua"/>
      <w:sz w:val="22"/>
      <w:lang w:val="fr-FR" w:eastAsia="fr-FR"/>
    </w:rPr>
  </w:style>
  <w:style w:type="paragraph" w:customStyle="1" w:styleId="puce">
    <w:name w:val="puce"/>
    <w:basedOn w:val="Normal"/>
    <w:rsid w:val="001C2F95"/>
    <w:p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line="240" w:lineRule="auto"/>
      <w:ind w:left="696" w:hanging="360"/>
    </w:pPr>
    <w:rPr>
      <w:rFonts w:ascii="Century Schoolbook" w:hAnsi="Century Schoolbook"/>
      <w:sz w:val="22"/>
      <w:szCs w:val="20"/>
      <w:lang w:eastAsia="en-US"/>
    </w:rPr>
  </w:style>
  <w:style w:type="paragraph" w:customStyle="1" w:styleId="BodyText21">
    <w:name w:val="Body Text 21"/>
    <w:basedOn w:val="Normal"/>
    <w:rsid w:val="001C2F95"/>
    <w:pPr>
      <w:widowControl w:val="0"/>
      <w:autoSpaceDE w:val="0"/>
      <w:autoSpaceDN w:val="0"/>
      <w:spacing w:line="240" w:lineRule="auto"/>
    </w:pPr>
    <w:rPr>
      <w:rFonts w:cs="Arial"/>
      <w:sz w:val="22"/>
    </w:rPr>
  </w:style>
  <w:style w:type="paragraph" w:customStyle="1" w:styleId="Aidemem1">
    <w:name w:val="Aidemem1"/>
    <w:basedOn w:val="Normal"/>
    <w:next w:val="Aidemem2"/>
    <w:rsid w:val="001C2F95"/>
    <w:pPr>
      <w:widowControl w:val="0"/>
      <w:tabs>
        <w:tab w:val="left" w:pos="851"/>
      </w:tabs>
      <w:spacing w:before="240" w:after="240" w:line="240" w:lineRule="auto"/>
      <w:ind w:left="1800" w:hanging="360"/>
    </w:pPr>
    <w:rPr>
      <w:rFonts w:ascii="Times New Roman Gras" w:hAnsi="Times New Roman Gras"/>
      <w:b/>
      <w:bCs/>
      <w:smallCaps/>
      <w:snapToGrid w:val="0"/>
      <w:sz w:val="22"/>
      <w:szCs w:val="20"/>
      <w:u w:val="single"/>
      <w:lang w:eastAsia="en-US"/>
    </w:rPr>
  </w:style>
  <w:style w:type="paragraph" w:customStyle="1" w:styleId="Aidemem2">
    <w:name w:val="Aidemem2"/>
    <w:basedOn w:val="Normal"/>
    <w:rsid w:val="001C2F95"/>
    <w:pPr>
      <w:widowControl w:val="0"/>
      <w:tabs>
        <w:tab w:val="left" w:pos="851"/>
      </w:tabs>
      <w:suppressAutoHyphens/>
      <w:spacing w:before="120" w:after="120" w:line="240" w:lineRule="auto"/>
      <w:ind w:left="2520" w:hanging="360"/>
    </w:pPr>
    <w:rPr>
      <w:rFonts w:ascii="Times New Roman" w:hAnsi="Times New Roman"/>
      <w:snapToGrid w:val="0"/>
      <w:sz w:val="22"/>
      <w:szCs w:val="20"/>
      <w:lang w:eastAsia="en-US"/>
    </w:rPr>
  </w:style>
  <w:style w:type="paragraph" w:customStyle="1" w:styleId="Grillemoyenne21">
    <w:name w:val="Grille moyenne 21"/>
    <w:link w:val="Grillemoyenne2Car"/>
    <w:uiPriority w:val="1"/>
    <w:qFormat/>
    <w:rsid w:val="001C2F95"/>
    <w:rPr>
      <w:rFonts w:ascii="Cambria" w:eastAsia="Times New Roman" w:hAnsi="Cambria"/>
      <w:sz w:val="22"/>
      <w:szCs w:val="22"/>
      <w:lang w:val="fr-FR"/>
    </w:rPr>
  </w:style>
  <w:style w:type="character" w:customStyle="1" w:styleId="Grillemoyenne2Car">
    <w:name w:val="Grille moyenne 2 Car"/>
    <w:link w:val="Grillemoyenne21"/>
    <w:uiPriority w:val="1"/>
    <w:rsid w:val="001C2F95"/>
    <w:rPr>
      <w:rFonts w:ascii="Cambria" w:eastAsia="Times New Roman" w:hAnsi="Cambria" w:cs="Times New Roman"/>
    </w:rPr>
  </w:style>
  <w:style w:type="paragraph" w:customStyle="1" w:styleId="Normal1">
    <w:name w:val="Normal1"/>
    <w:basedOn w:val="Normal"/>
    <w:link w:val="normalCar"/>
    <w:rsid w:val="001C2F95"/>
    <w:pPr>
      <w:tabs>
        <w:tab w:val="left" w:pos="1134"/>
      </w:tabs>
      <w:spacing w:line="240" w:lineRule="auto"/>
    </w:pPr>
    <w:rPr>
      <w:rFonts w:ascii="Times New Roman" w:hAnsi="Times New Roman"/>
      <w:sz w:val="23"/>
      <w:szCs w:val="20"/>
      <w:lang w:eastAsia="en-US"/>
    </w:rPr>
  </w:style>
  <w:style w:type="character" w:customStyle="1" w:styleId="normalCar">
    <w:name w:val="normal Car"/>
    <w:link w:val="Normal1"/>
    <w:rsid w:val="001C2F95"/>
    <w:rPr>
      <w:rFonts w:ascii="Times New Roman" w:eastAsia="Times New Roman" w:hAnsi="Times New Roman" w:cs="Times New Roman"/>
      <w:sz w:val="23"/>
      <w:szCs w:val="20"/>
    </w:rPr>
  </w:style>
  <w:style w:type="character" w:customStyle="1" w:styleId="nowrap1">
    <w:name w:val="nowrap1"/>
    <w:rsid w:val="001C2F95"/>
  </w:style>
  <w:style w:type="paragraph" w:customStyle="1" w:styleId="Normal2">
    <w:name w:val="Normal2"/>
    <w:rsid w:val="001C2F95"/>
    <w:pPr>
      <w:widowControl w:val="0"/>
      <w:ind w:right="-282"/>
      <w:jc w:val="both"/>
    </w:pPr>
    <w:rPr>
      <w:rFonts w:ascii="Verdana" w:eastAsia="Times New Roman" w:hAnsi="Verdana"/>
      <w:kern w:val="28"/>
      <w:sz w:val="22"/>
      <w:lang w:val="fr-CA" w:eastAsia="fr-FR"/>
    </w:rPr>
  </w:style>
  <w:style w:type="character" w:customStyle="1" w:styleId="st1">
    <w:name w:val="st1"/>
    <w:basedOn w:val="Policepardfaut"/>
    <w:rsid w:val="001C2F95"/>
  </w:style>
  <w:style w:type="paragraph" w:customStyle="1" w:styleId="ParaNum">
    <w:name w:val="ParaNum"/>
    <w:basedOn w:val="Normal"/>
    <w:rsid w:val="001C2F95"/>
    <w:pPr>
      <w:spacing w:before="120" w:line="240" w:lineRule="auto"/>
      <w:ind w:left="420" w:hanging="360"/>
    </w:pPr>
    <w:rPr>
      <w:rFonts w:ascii="Times New Roman" w:hAnsi="Times New Roman"/>
      <w:sz w:val="24"/>
      <w:szCs w:val="20"/>
      <w:lang w:eastAsia="en-US"/>
    </w:rPr>
  </w:style>
  <w:style w:type="character" w:customStyle="1" w:styleId="citecrochet1">
    <w:name w:val="cite_crochet1"/>
    <w:rsid w:val="001C2F95"/>
    <w:rPr>
      <w:vanish/>
      <w:webHidden w:val="0"/>
      <w:specVanish w:val="0"/>
    </w:rPr>
  </w:style>
  <w:style w:type="paragraph" w:customStyle="1" w:styleId="Body">
    <w:name w:val="Body"/>
    <w:rsid w:val="001C2F95"/>
    <w:rPr>
      <w:rFonts w:ascii="Helvetica" w:eastAsia="ヒラギノ角ゴ Pro W3" w:hAnsi="Helvetica"/>
      <w:color w:val="000000"/>
      <w:sz w:val="24"/>
      <w:lang w:eastAsia="fr-FR"/>
    </w:rPr>
  </w:style>
  <w:style w:type="paragraph" w:customStyle="1" w:styleId="BodyA">
    <w:name w:val="Body A"/>
    <w:rsid w:val="001C2F95"/>
    <w:rPr>
      <w:rFonts w:ascii="Helvetica" w:eastAsia="ヒラギノ角ゴ Pro W3" w:hAnsi="Helvetica"/>
      <w:color w:val="000000"/>
      <w:sz w:val="24"/>
      <w:lang w:eastAsia="fr-FR"/>
    </w:rPr>
  </w:style>
  <w:style w:type="character" w:customStyle="1" w:styleId="mw-headline">
    <w:name w:val="mw-headline"/>
    <w:rsid w:val="001C2F95"/>
  </w:style>
  <w:style w:type="character" w:customStyle="1" w:styleId="goohl4">
    <w:name w:val="goohl4"/>
    <w:rsid w:val="001C2F95"/>
  </w:style>
  <w:style w:type="paragraph" w:customStyle="1" w:styleId="TableText">
    <w:name w:val="Table_Text"/>
    <w:basedOn w:val="Normal"/>
    <w:rsid w:val="001C2F95"/>
    <w:pPr>
      <w:overflowPunct w:val="0"/>
      <w:autoSpaceDE w:val="0"/>
      <w:autoSpaceDN w:val="0"/>
      <w:adjustRightInd w:val="0"/>
      <w:spacing w:before="80" w:after="40" w:line="240" w:lineRule="auto"/>
      <w:jc w:val="left"/>
      <w:textAlignment w:val="baseline"/>
    </w:pPr>
    <w:rPr>
      <w:sz w:val="18"/>
      <w:szCs w:val="20"/>
      <w:lang w:eastAsia="en-US"/>
    </w:rPr>
  </w:style>
  <w:style w:type="paragraph" w:customStyle="1" w:styleId="Block">
    <w:name w:val="Block"/>
    <w:basedOn w:val="Normal"/>
    <w:rsid w:val="001C2F95"/>
    <w:pPr>
      <w:widowControl w:val="0"/>
      <w:spacing w:line="240" w:lineRule="auto"/>
      <w:jc w:val="left"/>
    </w:pPr>
    <w:rPr>
      <w:rFonts w:ascii="Times New Roman" w:hAnsi="Times New Roman"/>
      <w:b/>
      <w:bCs/>
      <w:sz w:val="22"/>
      <w:lang w:val="en-US" w:eastAsia="en-US"/>
    </w:rPr>
  </w:style>
  <w:style w:type="paragraph" w:customStyle="1" w:styleId="bt1">
    <w:name w:val="bt1"/>
    <w:link w:val="bt1Car"/>
    <w:qFormat/>
    <w:rsid w:val="001C2F95"/>
    <w:pPr>
      <w:ind w:left="827" w:hanging="360"/>
      <w:jc w:val="both"/>
    </w:pPr>
    <w:rPr>
      <w:rFonts w:ascii="Verdana" w:eastAsia="Times New Roman" w:hAnsi="Verdana"/>
      <w:sz w:val="22"/>
      <w:szCs w:val="22"/>
      <w:lang w:val="fr-CA" w:eastAsia="fr-CA"/>
    </w:rPr>
  </w:style>
  <w:style w:type="character" w:customStyle="1" w:styleId="bt1Car">
    <w:name w:val="bt1 Car"/>
    <w:link w:val="bt1"/>
    <w:rsid w:val="001C2F95"/>
    <w:rPr>
      <w:rFonts w:ascii="Verdana" w:eastAsia="Times New Roman" w:hAnsi="Verdana" w:cs="Times New Roman"/>
      <w:lang w:val="fr-CA" w:eastAsia="fr-CA"/>
    </w:rPr>
  </w:style>
  <w:style w:type="character" w:customStyle="1" w:styleId="style91">
    <w:name w:val="style91"/>
    <w:rsid w:val="001C2F95"/>
    <w:rPr>
      <w:rFonts w:ascii="Times New Roman" w:hAnsi="Times New Roman" w:cs="Times New Roman" w:hint="default"/>
      <w:sz w:val="27"/>
      <w:szCs w:val="27"/>
    </w:rPr>
  </w:style>
  <w:style w:type="paragraph" w:customStyle="1" w:styleId="Normal11">
    <w:name w:val="Normal11"/>
    <w:basedOn w:val="Normal"/>
    <w:rsid w:val="001C2F95"/>
    <w:pPr>
      <w:tabs>
        <w:tab w:val="left" w:pos="1134"/>
      </w:tabs>
      <w:spacing w:line="240" w:lineRule="auto"/>
    </w:pPr>
    <w:rPr>
      <w:rFonts w:ascii="Times New Roman" w:hAnsi="Times New Roman"/>
      <w:sz w:val="23"/>
      <w:szCs w:val="20"/>
      <w:lang w:eastAsia="en-US"/>
    </w:rPr>
  </w:style>
  <w:style w:type="paragraph" w:customStyle="1" w:styleId="BodyText22">
    <w:name w:val="Body Text 22"/>
    <w:basedOn w:val="Normal"/>
    <w:rsid w:val="001C2F95"/>
    <w:pPr>
      <w:spacing w:line="240" w:lineRule="auto"/>
    </w:pPr>
    <w:rPr>
      <w:rFonts w:ascii="Times New Roman" w:hAnsi="Times New Roman"/>
      <w:sz w:val="24"/>
      <w:szCs w:val="20"/>
      <w:lang w:val="en-CA"/>
    </w:rPr>
  </w:style>
  <w:style w:type="character" w:customStyle="1" w:styleId="CarChar">
    <w:name w:val="Car Char"/>
    <w:aliases w:val="Car Car Car Char, Car Car Car Char,titre3 Char,Légende tableaux PDA Kigali Char,Char Char Char Char Char Char1,Char Char Char Char Char Char Char,Char Char Char Char Char1,Légende-Tableau Char,Légende dak Char,Carte Char,Légende Car Char,M Char"/>
    <w:rsid w:val="001C2F95"/>
    <w:rPr>
      <w:b/>
      <w:bCs/>
      <w:lang w:eastAsia="en-US"/>
    </w:rPr>
  </w:style>
  <w:style w:type="paragraph" w:customStyle="1" w:styleId="pucea">
    <w:name w:val="puce a"/>
    <w:basedOn w:val="Normal"/>
    <w:rsid w:val="001C2F95"/>
    <w:pPr>
      <w:spacing w:line="240" w:lineRule="auto"/>
      <w:ind w:left="720" w:hanging="360"/>
      <w:jc w:val="left"/>
    </w:pPr>
    <w:rPr>
      <w:rFonts w:ascii="Times New Roman" w:hAnsi="Times New Roman"/>
      <w:sz w:val="20"/>
      <w:szCs w:val="20"/>
    </w:rPr>
  </w:style>
  <w:style w:type="paragraph" w:customStyle="1" w:styleId="CarcterCarCarCarcterCarcter1">
    <w:name w:val="Carácter Car Car Carácter Carácter1"/>
    <w:basedOn w:val="Normal"/>
    <w:rsid w:val="001C2F95"/>
    <w:pPr>
      <w:spacing w:after="160" w:line="240" w:lineRule="exact"/>
      <w:jc w:val="left"/>
    </w:pPr>
    <w:rPr>
      <w:rFonts w:ascii="Book Antiqua" w:hAnsi="Book Antiqua"/>
      <w:sz w:val="20"/>
      <w:szCs w:val="20"/>
      <w:lang w:val="en-US" w:eastAsia="en-US"/>
    </w:rPr>
  </w:style>
  <w:style w:type="paragraph" w:styleId="Listenumros2">
    <w:name w:val="List Number 2"/>
    <w:basedOn w:val="Normal"/>
    <w:rsid w:val="001C2F95"/>
    <w:pPr>
      <w:tabs>
        <w:tab w:val="num" w:pos="720"/>
      </w:tabs>
      <w:spacing w:line="240" w:lineRule="auto"/>
      <w:ind w:left="720" w:hanging="360"/>
      <w:jc w:val="left"/>
    </w:pPr>
    <w:rPr>
      <w:rFonts w:ascii="Times New Roman" w:hAnsi="Times New Roman"/>
      <w:sz w:val="22"/>
      <w:szCs w:val="24"/>
      <w:lang w:eastAsia="en-US"/>
    </w:rPr>
  </w:style>
  <w:style w:type="paragraph" w:customStyle="1" w:styleId="Check-list">
    <w:name w:val="Check-list"/>
    <w:basedOn w:val="Normal"/>
    <w:rsid w:val="001C2F95"/>
    <w:pPr>
      <w:widowControl w:val="0"/>
      <w:tabs>
        <w:tab w:val="num" w:pos="284"/>
      </w:tabs>
      <w:spacing w:after="160" w:line="240" w:lineRule="auto"/>
      <w:ind w:left="283" w:hanging="306"/>
    </w:pPr>
    <w:rPr>
      <w:rFonts w:cs="Arial"/>
      <w:bCs/>
      <w:sz w:val="20"/>
      <w:szCs w:val="20"/>
    </w:rPr>
  </w:style>
  <w:style w:type="paragraph" w:customStyle="1" w:styleId="font7">
    <w:name w:val="font7"/>
    <w:basedOn w:val="Normal"/>
    <w:rsid w:val="001C2F95"/>
    <w:pPr>
      <w:spacing w:before="100" w:beforeAutospacing="1" w:after="100" w:afterAutospacing="1" w:line="240" w:lineRule="auto"/>
      <w:jc w:val="left"/>
    </w:pPr>
    <w:rPr>
      <w:rFonts w:ascii="Times New Roman" w:eastAsia="Arial Unicode MS" w:hAnsi="Times New Roman"/>
      <w:sz w:val="22"/>
      <w:lang w:eastAsia="en-US"/>
    </w:rPr>
  </w:style>
  <w:style w:type="paragraph" w:customStyle="1" w:styleId="TxBrt29">
    <w:name w:val="TxBr_t29"/>
    <w:basedOn w:val="Normal"/>
    <w:rsid w:val="001C2F95"/>
    <w:pPr>
      <w:widowControl w:val="0"/>
      <w:spacing w:line="240" w:lineRule="atLeast"/>
      <w:jc w:val="left"/>
    </w:pPr>
    <w:rPr>
      <w:rFonts w:ascii="Times New Roman" w:hAnsi="Times New Roman"/>
      <w:snapToGrid w:val="0"/>
      <w:sz w:val="24"/>
      <w:szCs w:val="24"/>
      <w:lang w:val="en-US" w:eastAsia="en-US"/>
    </w:rPr>
  </w:style>
  <w:style w:type="paragraph" w:styleId="Listepuces">
    <w:name w:val="List Bullet"/>
    <w:basedOn w:val="Normal"/>
    <w:autoRedefine/>
    <w:rsid w:val="001C2F95"/>
    <w:pPr>
      <w:widowControl w:val="0"/>
      <w:spacing w:line="240" w:lineRule="auto"/>
      <w:ind w:left="33" w:hanging="33"/>
      <w:jc w:val="left"/>
    </w:pPr>
    <w:rPr>
      <w:rFonts w:ascii="Times New Roman" w:hAnsi="Times New Roman"/>
      <w:sz w:val="22"/>
      <w:lang w:val="fr-CA" w:eastAsia="en-US"/>
    </w:rPr>
  </w:style>
  <w:style w:type="paragraph" w:styleId="Listenumros3">
    <w:name w:val="List Number 3"/>
    <w:rsid w:val="001C2F95"/>
    <w:pPr>
      <w:tabs>
        <w:tab w:val="num" w:pos="360"/>
      </w:tabs>
      <w:snapToGrid w:val="0"/>
    </w:pPr>
    <w:rPr>
      <w:rFonts w:ascii="Times New Roman" w:eastAsia="Times New Roman" w:hAnsi="Times New Roman"/>
      <w:sz w:val="22"/>
      <w:lang w:val="fr-FR"/>
    </w:rPr>
  </w:style>
  <w:style w:type="paragraph" w:customStyle="1" w:styleId="Indice1">
    <w:name w:val="Indice1"/>
    <w:basedOn w:val="Normal"/>
    <w:rsid w:val="001C2F95"/>
    <w:pPr>
      <w:tabs>
        <w:tab w:val="num" w:pos="720"/>
      </w:tabs>
      <w:spacing w:line="240" w:lineRule="auto"/>
      <w:ind w:left="720" w:hanging="360"/>
      <w:jc w:val="left"/>
    </w:pPr>
    <w:rPr>
      <w:rFonts w:ascii="Times New Roman" w:hAnsi="Times New Roman"/>
      <w:sz w:val="22"/>
      <w:lang w:eastAsia="en-US"/>
    </w:rPr>
  </w:style>
  <w:style w:type="paragraph" w:customStyle="1" w:styleId="Enonc1">
    <w:name w:val="Enoncé1"/>
    <w:basedOn w:val="Normal"/>
    <w:autoRedefine/>
    <w:rsid w:val="001C2F95"/>
    <w:pPr>
      <w:spacing w:line="240" w:lineRule="auto"/>
    </w:pPr>
    <w:rPr>
      <w:rFonts w:ascii="Book Antiqua" w:hAnsi="Book Antiqua"/>
      <w:sz w:val="22"/>
    </w:rPr>
  </w:style>
  <w:style w:type="paragraph" w:customStyle="1" w:styleId="RapEIS">
    <w:name w:val="RapEIS"/>
    <w:basedOn w:val="TM1"/>
    <w:autoRedefine/>
    <w:rsid w:val="001C2F95"/>
    <w:pPr>
      <w:spacing w:before="120" w:after="120" w:line="240" w:lineRule="auto"/>
      <w:ind w:left="0" w:firstLine="0"/>
    </w:pPr>
    <w:rPr>
      <w:rFonts w:ascii="Times New Roman" w:hAnsi="Times New Roman" w:cs="Times New Roman"/>
      <w:caps w:val="0"/>
      <w:noProof w:val="0"/>
      <w:szCs w:val="24"/>
      <w:lang w:eastAsia="en-US"/>
    </w:rPr>
  </w:style>
  <w:style w:type="paragraph" w:customStyle="1" w:styleId="Bullet">
    <w:name w:val="Bullet"/>
    <w:basedOn w:val="Normal"/>
    <w:rsid w:val="001C2F95"/>
    <w:pPr>
      <w:tabs>
        <w:tab w:val="num" w:pos="360"/>
      </w:tabs>
      <w:spacing w:line="240" w:lineRule="auto"/>
    </w:pPr>
    <w:rPr>
      <w:rFonts w:ascii="Times New Roman" w:hAnsi="Times New Roman"/>
      <w:sz w:val="24"/>
      <w:szCs w:val="24"/>
      <w:lang w:val="en-US" w:eastAsia="en-US"/>
    </w:rPr>
  </w:style>
  <w:style w:type="paragraph" w:customStyle="1" w:styleId="Style10">
    <w:name w:val="Style1"/>
    <w:basedOn w:val="Titre1"/>
    <w:qFormat/>
    <w:rsid w:val="001C2F95"/>
    <w:pPr>
      <w:keepLines w:val="0"/>
      <w:tabs>
        <w:tab w:val="num" w:pos="360"/>
      </w:tabs>
      <w:spacing w:before="240" w:after="60" w:line="240" w:lineRule="auto"/>
      <w:ind w:left="360" w:hanging="360"/>
    </w:pPr>
    <w:rPr>
      <w:rFonts w:ascii="Times New Roman" w:hAnsi="Times New Roman"/>
      <w:kern w:val="32"/>
      <w:sz w:val="22"/>
      <w:szCs w:val="22"/>
      <w:lang w:eastAsia="en-US"/>
    </w:rPr>
  </w:style>
  <w:style w:type="character" w:customStyle="1" w:styleId="CenteredCar">
    <w:name w:val="Centered Car"/>
    <w:aliases w:val="centered Car, Centered Car"/>
    <w:rsid w:val="001C2F95"/>
    <w:rPr>
      <w:b/>
      <w:sz w:val="22"/>
    </w:rPr>
  </w:style>
  <w:style w:type="character" w:customStyle="1" w:styleId="fpx0oo90">
    <w:name w:val="fpx0oo90"/>
    <w:rsid w:val="001C2F95"/>
  </w:style>
  <w:style w:type="paragraph" w:styleId="z-Hautduformulaire">
    <w:name w:val="HTML Top of Form"/>
    <w:basedOn w:val="Normal"/>
    <w:next w:val="Normal"/>
    <w:link w:val="z-HautduformulaireCar"/>
    <w:hidden/>
    <w:uiPriority w:val="99"/>
    <w:unhideWhenUsed/>
    <w:rsid w:val="001C2F95"/>
    <w:pPr>
      <w:pBdr>
        <w:bottom w:val="single" w:sz="6" w:space="1" w:color="auto"/>
      </w:pBdr>
      <w:spacing w:line="240" w:lineRule="auto"/>
      <w:jc w:val="center"/>
    </w:pPr>
    <w:rPr>
      <w:vanish/>
      <w:sz w:val="16"/>
      <w:szCs w:val="16"/>
    </w:rPr>
  </w:style>
  <w:style w:type="character" w:customStyle="1" w:styleId="z-HautduformulaireCar">
    <w:name w:val="z-Haut du formulaire Car"/>
    <w:link w:val="z-Hautduformulaire"/>
    <w:uiPriority w:val="99"/>
    <w:rsid w:val="001C2F95"/>
    <w:rPr>
      <w:rFonts w:ascii="Arial" w:eastAsia="Times New Roman" w:hAnsi="Arial" w:cs="Times New Roman"/>
      <w:vanish/>
      <w:sz w:val="16"/>
      <w:szCs w:val="16"/>
      <w:lang w:eastAsia="fr-FR"/>
    </w:rPr>
  </w:style>
  <w:style w:type="character" w:customStyle="1" w:styleId="gt-card-ttl-txt1">
    <w:name w:val="gt-card-ttl-txt1"/>
    <w:rsid w:val="001C2F95"/>
    <w:rPr>
      <w:color w:val="222222"/>
    </w:rPr>
  </w:style>
  <w:style w:type="character" w:customStyle="1" w:styleId="gt-ft-text1">
    <w:name w:val="gt-ft-text1"/>
    <w:rsid w:val="001C2F95"/>
  </w:style>
  <w:style w:type="paragraph" w:styleId="z-Basduformulaire">
    <w:name w:val="HTML Bottom of Form"/>
    <w:basedOn w:val="Normal"/>
    <w:next w:val="Normal"/>
    <w:link w:val="z-BasduformulaireCar"/>
    <w:hidden/>
    <w:uiPriority w:val="99"/>
    <w:unhideWhenUsed/>
    <w:rsid w:val="001C2F95"/>
    <w:pPr>
      <w:pBdr>
        <w:top w:val="single" w:sz="6" w:space="1" w:color="auto"/>
      </w:pBdr>
      <w:spacing w:line="240" w:lineRule="auto"/>
      <w:jc w:val="center"/>
    </w:pPr>
    <w:rPr>
      <w:vanish/>
      <w:sz w:val="16"/>
      <w:szCs w:val="16"/>
    </w:rPr>
  </w:style>
  <w:style w:type="character" w:customStyle="1" w:styleId="z-BasduformulaireCar">
    <w:name w:val="z-Bas du formulaire Car"/>
    <w:link w:val="z-Basduformulaire"/>
    <w:uiPriority w:val="99"/>
    <w:rsid w:val="001C2F95"/>
    <w:rPr>
      <w:rFonts w:ascii="Arial" w:eastAsia="Times New Roman" w:hAnsi="Arial" w:cs="Times New Roman"/>
      <w:vanish/>
      <w:sz w:val="16"/>
      <w:szCs w:val="16"/>
      <w:lang w:eastAsia="fr-FR"/>
    </w:rPr>
  </w:style>
  <w:style w:type="paragraph" w:customStyle="1" w:styleId="yiv943500691msolistparagraph">
    <w:name w:val="yiv943500691msolistparagraph"/>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NoSpacing1">
    <w:name w:val="No Spacing1"/>
    <w:uiPriority w:val="1"/>
    <w:qFormat/>
    <w:rsid w:val="001C2F95"/>
    <w:rPr>
      <w:sz w:val="22"/>
      <w:szCs w:val="22"/>
      <w:lang w:val="fr-FR"/>
    </w:rPr>
  </w:style>
  <w:style w:type="paragraph" w:customStyle="1" w:styleId="CorpsTexte">
    <w:name w:val="Corps_Texte"/>
    <w:link w:val="CorpsTexteCar"/>
    <w:qFormat/>
    <w:rsid w:val="001C2F95"/>
    <w:pPr>
      <w:spacing w:before="240" w:after="240"/>
      <w:jc w:val="both"/>
    </w:pPr>
    <w:rPr>
      <w:rFonts w:ascii="Verdana" w:eastAsia="Times New Roman" w:hAnsi="Verdana"/>
      <w:sz w:val="22"/>
      <w:szCs w:val="22"/>
      <w:lang w:val="fr-CA" w:eastAsia="fr-CA"/>
    </w:rPr>
  </w:style>
  <w:style w:type="character" w:customStyle="1" w:styleId="CorpsTexteCar">
    <w:name w:val="Corps_Texte Car"/>
    <w:link w:val="CorpsTexte"/>
    <w:rsid w:val="001C2F95"/>
    <w:rPr>
      <w:rFonts w:ascii="Verdana" w:eastAsia="Times New Roman" w:hAnsi="Verdana" w:cs="Times New Roman"/>
      <w:lang w:val="fr-CA" w:eastAsia="fr-CA"/>
    </w:rPr>
  </w:style>
  <w:style w:type="paragraph" w:customStyle="1" w:styleId="Headinga">
    <w:name w:val="Heading a"/>
    <w:basedOn w:val="Normal"/>
    <w:rsid w:val="001C2F95"/>
    <w:pPr>
      <w:widowControl w:val="0"/>
      <w:spacing w:after="120" w:line="240" w:lineRule="auto"/>
      <w:jc w:val="left"/>
    </w:pPr>
    <w:rPr>
      <w:rFonts w:ascii="Times New Roman" w:hAnsi="Times New Roman"/>
      <w:sz w:val="22"/>
      <w:szCs w:val="20"/>
      <w:lang w:val="en-US" w:eastAsia="en-US"/>
    </w:rPr>
  </w:style>
  <w:style w:type="paragraph" w:customStyle="1" w:styleId="programdescription">
    <w:name w:val="program description"/>
    <w:basedOn w:val="Normal"/>
    <w:rsid w:val="001C2F95"/>
    <w:pPr>
      <w:spacing w:before="40" w:after="60" w:line="240" w:lineRule="auto"/>
      <w:ind w:left="29" w:right="29"/>
      <w:jc w:val="left"/>
    </w:pPr>
    <w:rPr>
      <w:sz w:val="17"/>
      <w:szCs w:val="20"/>
      <w:lang w:val="en-US" w:eastAsia="en-US"/>
    </w:rPr>
  </w:style>
  <w:style w:type="paragraph" w:customStyle="1" w:styleId="NormalTCI-Normal">
    <w:name w:val="Normal.TCI-Normal"/>
    <w:rsid w:val="001C2F95"/>
    <w:pPr>
      <w:tabs>
        <w:tab w:val="left" w:pos="1134"/>
      </w:tabs>
      <w:jc w:val="both"/>
    </w:pPr>
    <w:rPr>
      <w:rFonts w:ascii="Times New Roman" w:eastAsia="Times New Roman" w:hAnsi="Times New Roman"/>
      <w:sz w:val="22"/>
      <w:lang w:val="fr-FR" w:eastAsia="fr-FR"/>
    </w:rPr>
  </w:style>
  <w:style w:type="character" w:customStyle="1" w:styleId="Heading3Char1">
    <w:name w:val="Heading 3 Char1"/>
    <w:aliases w:val=" Centered Char1,Centered Char1,annex Char,(1.1.1.) Char,Heading 3 Char Char,Centered Char Char,centered Char Char, Centered Char Char,Left Char Char, centered Char Char,centered Char1,Left Char1, centered Char1,Section Char,6 cm Char"/>
    <w:qFormat/>
    <w:rsid w:val="001C2F95"/>
    <w:rPr>
      <w:rFonts w:ascii="Times New Roman" w:eastAsia="Arial Unicode MS" w:hAnsi="Times New Roman" w:cs="Times New Roman"/>
      <w:bCs/>
      <w:u w:val="single"/>
      <w:lang w:eastAsia="fr-FR"/>
    </w:rPr>
  </w:style>
  <w:style w:type="paragraph" w:customStyle="1" w:styleId="Retraitcorpsdetexte31">
    <w:name w:val="Retrait corps de texte 31"/>
    <w:basedOn w:val="Normal"/>
    <w:rsid w:val="001C2F95"/>
    <w:pPr>
      <w:widowControl w:val="0"/>
      <w:tabs>
        <w:tab w:val="num" w:pos="360"/>
      </w:tabs>
      <w:spacing w:line="240" w:lineRule="auto"/>
    </w:pPr>
    <w:rPr>
      <w:rFonts w:ascii="Times New Roman" w:hAnsi="Times New Roman"/>
      <w:sz w:val="22"/>
      <w:szCs w:val="20"/>
    </w:rPr>
  </w:style>
  <w:style w:type="character" w:customStyle="1" w:styleId="bandeautitre1">
    <w:name w:val="bandeautitre1"/>
    <w:rsid w:val="001C2F95"/>
    <w:rPr>
      <w:b/>
      <w:bCs/>
      <w:color w:val="666666"/>
      <w:sz w:val="30"/>
      <w:szCs w:val="30"/>
    </w:rPr>
  </w:style>
  <w:style w:type="character" w:customStyle="1" w:styleId="textenormalpb1">
    <w:name w:val="textenormalpb1"/>
    <w:rsid w:val="001C2F95"/>
    <w:rPr>
      <w:rFonts w:ascii="Verdana" w:hAnsi="Verdana" w:cs="Times New Roman"/>
      <w:color w:val="2933AB"/>
      <w:sz w:val="20"/>
      <w:szCs w:val="20"/>
    </w:rPr>
  </w:style>
  <w:style w:type="paragraph" w:customStyle="1" w:styleId="Corpsdetexte21">
    <w:name w:val="Corps de texte 21"/>
    <w:basedOn w:val="Normal"/>
    <w:autoRedefine/>
    <w:rsid w:val="001C2F95"/>
    <w:pPr>
      <w:widowControl w:val="0"/>
      <w:spacing w:after="120" w:line="240" w:lineRule="auto"/>
      <w:ind w:left="900" w:hanging="360"/>
    </w:pPr>
    <w:rPr>
      <w:rFonts w:ascii="Maiandra GD" w:hAnsi="Maiandra GD"/>
      <w:b/>
      <w:bCs/>
      <w:sz w:val="22"/>
      <w:lang w:val="fr-CH"/>
    </w:rPr>
  </w:style>
  <w:style w:type="paragraph" w:customStyle="1" w:styleId="xartnum1">
    <w:name w:val="x_artnum1"/>
    <w:basedOn w:val="Normal"/>
    <w:rsid w:val="001C2F95"/>
    <w:pPr>
      <w:spacing w:before="240" w:line="240" w:lineRule="auto"/>
      <w:ind w:left="240" w:right="180"/>
      <w:jc w:val="left"/>
    </w:pPr>
    <w:rPr>
      <w:rFonts w:cs="Arial"/>
      <w:b/>
      <w:bCs/>
      <w:color w:val="0000FF"/>
      <w:sz w:val="24"/>
      <w:szCs w:val="24"/>
    </w:rPr>
  </w:style>
  <w:style w:type="paragraph" w:customStyle="1" w:styleId="xpar1">
    <w:name w:val="x_par1"/>
    <w:basedOn w:val="Normal"/>
    <w:rsid w:val="001C2F95"/>
    <w:pPr>
      <w:spacing w:before="60" w:line="240" w:lineRule="auto"/>
      <w:ind w:left="240" w:right="240"/>
      <w:jc w:val="left"/>
    </w:pPr>
    <w:rPr>
      <w:rFonts w:cs="Arial"/>
      <w:color w:val="000000"/>
      <w:sz w:val="24"/>
      <w:szCs w:val="24"/>
    </w:rPr>
  </w:style>
  <w:style w:type="character" w:customStyle="1" w:styleId="editsection">
    <w:name w:val="editsection"/>
    <w:rsid w:val="001C2F95"/>
  </w:style>
  <w:style w:type="character" w:customStyle="1" w:styleId="addtype">
    <w:name w:val="addtype"/>
    <w:rsid w:val="001C2F95"/>
  </w:style>
  <w:style w:type="character" w:customStyle="1" w:styleId="ouvrage">
    <w:name w:val="ouvrage"/>
    <w:rsid w:val="001C2F95"/>
  </w:style>
  <w:style w:type="character" w:styleId="CitationHTML">
    <w:name w:val="HTML Cite"/>
    <w:uiPriority w:val="99"/>
    <w:unhideWhenUsed/>
    <w:rsid w:val="001C2F95"/>
    <w:rPr>
      <w:i/>
      <w:iCs/>
    </w:rPr>
  </w:style>
  <w:style w:type="character" w:customStyle="1" w:styleId="longtext1">
    <w:name w:val="long_text1"/>
    <w:rsid w:val="001C2F95"/>
    <w:rPr>
      <w:sz w:val="20"/>
      <w:szCs w:val="20"/>
    </w:rPr>
  </w:style>
  <w:style w:type="paragraph" w:customStyle="1" w:styleId="aligncenter">
    <w:name w:val="align_center"/>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Listepuce">
    <w:name w:val="Liste à puce"/>
    <w:basedOn w:val="Normal"/>
    <w:rsid w:val="001C2F95"/>
    <w:pPr>
      <w:spacing w:line="360" w:lineRule="auto"/>
      <w:ind w:left="720" w:hanging="360"/>
    </w:pPr>
    <w:rPr>
      <w:rFonts w:cs="Arial"/>
      <w:color w:val="000000"/>
      <w:sz w:val="22"/>
      <w:szCs w:val="24"/>
      <w:lang w:val="fr-CA"/>
    </w:rPr>
  </w:style>
  <w:style w:type="character" w:customStyle="1" w:styleId="CommentaireCar1">
    <w:name w:val="Commentaire Car1"/>
    <w:rsid w:val="001C2F95"/>
    <w:rPr>
      <w:rFonts w:ascii="Arial" w:eastAsia="Times New Roman" w:hAnsi="Arial" w:cs="Times New Roman"/>
      <w:sz w:val="18"/>
      <w:szCs w:val="20"/>
    </w:rPr>
  </w:style>
  <w:style w:type="paragraph" w:customStyle="1" w:styleId="Puce1">
    <w:name w:val="Puce 1"/>
    <w:basedOn w:val="Normal"/>
    <w:next w:val="Normal"/>
    <w:rsid w:val="001C2F95"/>
    <w:pPr>
      <w:tabs>
        <w:tab w:val="num" w:pos="340"/>
      </w:tabs>
      <w:spacing w:line="360" w:lineRule="auto"/>
      <w:ind w:left="340" w:hanging="340"/>
    </w:pPr>
    <w:rPr>
      <w:sz w:val="20"/>
      <w:szCs w:val="20"/>
    </w:rPr>
  </w:style>
  <w:style w:type="paragraph" w:customStyle="1" w:styleId="Standard">
    <w:name w:val="Standard"/>
    <w:rsid w:val="001C2F95"/>
    <w:pPr>
      <w:widowControl w:val="0"/>
      <w:suppressAutoHyphens/>
      <w:autoSpaceDN w:val="0"/>
      <w:textAlignment w:val="baseline"/>
    </w:pPr>
    <w:rPr>
      <w:rFonts w:ascii="Times New Roman" w:eastAsia="SimSun" w:hAnsi="Times New Roman" w:cs="Mangal"/>
      <w:kern w:val="3"/>
      <w:sz w:val="24"/>
      <w:szCs w:val="24"/>
      <w:lang w:val="fr-FR" w:eastAsia="zh-CN" w:bidi="hi-IN"/>
    </w:rPr>
  </w:style>
  <w:style w:type="paragraph" w:customStyle="1" w:styleId="Corpsdetexte31">
    <w:name w:val="Corps de texte 31"/>
    <w:basedOn w:val="Normal"/>
    <w:rsid w:val="001C2F95"/>
    <w:pPr>
      <w:tabs>
        <w:tab w:val="left" w:pos="720"/>
      </w:tabs>
      <w:spacing w:line="240" w:lineRule="auto"/>
    </w:pPr>
    <w:rPr>
      <w:rFonts w:ascii="Times New Roman" w:hAnsi="Times New Roman"/>
      <w:sz w:val="24"/>
      <w:szCs w:val="20"/>
    </w:rPr>
  </w:style>
  <w:style w:type="paragraph" w:customStyle="1" w:styleId="yiv281670054msonormal">
    <w:name w:val="yiv281670054msonormal"/>
    <w:basedOn w:val="Normal"/>
    <w:rsid w:val="001C2F95"/>
    <w:pPr>
      <w:spacing w:before="100" w:beforeAutospacing="1" w:after="100" w:afterAutospacing="1" w:line="240" w:lineRule="auto"/>
      <w:jc w:val="left"/>
    </w:pPr>
    <w:rPr>
      <w:rFonts w:ascii="Times New Roman" w:hAnsi="Times New Roman"/>
      <w:sz w:val="24"/>
      <w:szCs w:val="24"/>
    </w:rPr>
  </w:style>
  <w:style w:type="character" w:customStyle="1" w:styleId="spipsurligne">
    <w:name w:val="spip_surligne"/>
    <w:rsid w:val="001C2F95"/>
  </w:style>
  <w:style w:type="paragraph" w:customStyle="1" w:styleId="Normal3">
    <w:name w:val="Normal 3"/>
    <w:basedOn w:val="Normal"/>
    <w:rsid w:val="001C2F95"/>
    <w:pPr>
      <w:spacing w:line="240" w:lineRule="auto"/>
    </w:pPr>
    <w:rPr>
      <w:rFonts w:cs="Arial"/>
      <w:snapToGrid w:val="0"/>
      <w:sz w:val="22"/>
      <w:lang w:val="fr-CA"/>
    </w:rPr>
  </w:style>
  <w:style w:type="paragraph" w:customStyle="1" w:styleId="AMbullet">
    <w:name w:val="AM bullet"/>
    <w:basedOn w:val="Normal"/>
    <w:rsid w:val="001C2F95"/>
    <w:pPr>
      <w:tabs>
        <w:tab w:val="num" w:pos="360"/>
        <w:tab w:val="left" w:pos="720"/>
        <w:tab w:val="left" w:pos="1440"/>
      </w:tabs>
      <w:spacing w:line="240" w:lineRule="auto"/>
      <w:ind w:left="360" w:right="14" w:hanging="360"/>
    </w:pPr>
    <w:rPr>
      <w:rFonts w:ascii="Times New Roman" w:hAnsi="Times New Roman"/>
      <w:sz w:val="24"/>
    </w:rPr>
  </w:style>
  <w:style w:type="paragraph" w:customStyle="1" w:styleId="xl65">
    <w:name w:val="xl65"/>
    <w:basedOn w:val="Normal"/>
    <w:rsid w:val="001C2F95"/>
    <w:pPr>
      <w:pBdr>
        <w:bottom w:val="single" w:sz="4" w:space="0" w:color="auto"/>
        <w:right w:val="single" w:sz="4" w:space="0" w:color="auto"/>
      </w:pBdr>
      <w:spacing w:before="100" w:after="100" w:line="240" w:lineRule="auto"/>
      <w:jc w:val="left"/>
    </w:pPr>
    <w:rPr>
      <w:rFonts w:eastAsia="Arial Unicode MS"/>
      <w:b/>
      <w:sz w:val="24"/>
      <w:szCs w:val="24"/>
    </w:rPr>
  </w:style>
  <w:style w:type="paragraph" w:customStyle="1" w:styleId="MAMA">
    <w:name w:val="MAMA"/>
    <w:basedOn w:val="Normal"/>
    <w:rsid w:val="001C2F95"/>
    <w:pPr>
      <w:spacing w:before="120" w:line="360" w:lineRule="auto"/>
      <w:ind w:firstLine="851"/>
    </w:pPr>
    <w:rPr>
      <w:rFonts w:ascii="Times New Roman" w:hAnsi="Times New Roman"/>
      <w:sz w:val="24"/>
      <w:szCs w:val="24"/>
    </w:rPr>
  </w:style>
  <w:style w:type="paragraph" w:styleId="Normalcentr">
    <w:name w:val="Block Text"/>
    <w:basedOn w:val="Normal"/>
    <w:rsid w:val="001C2F95"/>
    <w:pPr>
      <w:tabs>
        <w:tab w:val="left" w:pos="-720"/>
      </w:tabs>
      <w:suppressAutoHyphens/>
      <w:spacing w:before="100" w:after="100" w:line="240" w:lineRule="auto"/>
      <w:ind w:left="480" w:right="-74"/>
    </w:pPr>
    <w:rPr>
      <w:rFonts w:ascii="Times New Roman" w:hAnsi="Times New Roman"/>
      <w:color w:val="000000"/>
      <w:spacing w:val="-3"/>
      <w:sz w:val="24"/>
      <w:szCs w:val="24"/>
    </w:rPr>
  </w:style>
  <w:style w:type="paragraph" w:customStyle="1" w:styleId="Style9">
    <w:name w:val="Style9"/>
    <w:basedOn w:val="Normal"/>
    <w:rsid w:val="001C2F95"/>
    <w:pPr>
      <w:tabs>
        <w:tab w:val="num" w:pos="1605"/>
      </w:tabs>
      <w:spacing w:line="240" w:lineRule="auto"/>
      <w:ind w:left="1605" w:hanging="180"/>
      <w:jc w:val="left"/>
    </w:pPr>
    <w:rPr>
      <w:rFonts w:ascii="Times New Roman" w:hAnsi="Times New Roman"/>
      <w:sz w:val="24"/>
      <w:szCs w:val="24"/>
    </w:rPr>
  </w:style>
  <w:style w:type="paragraph" w:customStyle="1" w:styleId="Paragraphedeliste11">
    <w:name w:val="Paragraphe de liste11"/>
    <w:basedOn w:val="Normal"/>
    <w:qFormat/>
    <w:rsid w:val="001C2F95"/>
    <w:pPr>
      <w:spacing w:after="200"/>
      <w:ind w:left="720"/>
      <w:jc w:val="left"/>
    </w:pPr>
    <w:rPr>
      <w:rFonts w:ascii="Calibri" w:hAnsi="Calibri" w:cs="Calibri"/>
      <w:sz w:val="22"/>
    </w:rPr>
  </w:style>
  <w:style w:type="paragraph" w:customStyle="1" w:styleId="Nomdesocit">
    <w:name w:val="Nom de société"/>
    <w:basedOn w:val="Normal"/>
    <w:rsid w:val="001C2F95"/>
    <w:pPr>
      <w:tabs>
        <w:tab w:val="num" w:pos="360"/>
      </w:tabs>
      <w:spacing w:line="240" w:lineRule="auto"/>
      <w:ind w:left="360" w:hanging="360"/>
      <w:jc w:val="left"/>
    </w:pPr>
    <w:rPr>
      <w:rFonts w:ascii="Times New Roman" w:hAnsi="Times New Roman"/>
      <w:sz w:val="20"/>
      <w:szCs w:val="20"/>
    </w:rPr>
  </w:style>
  <w:style w:type="paragraph" w:customStyle="1" w:styleId="Table-FigureTitle">
    <w:name w:val="Table-Figure Title"/>
    <w:basedOn w:val="Normal"/>
    <w:rsid w:val="001C2F95"/>
    <w:pPr>
      <w:spacing w:after="120" w:line="240" w:lineRule="auto"/>
      <w:jc w:val="left"/>
    </w:pPr>
    <w:rPr>
      <w:b/>
      <w:sz w:val="22"/>
      <w:szCs w:val="24"/>
      <w:lang w:val="en-US" w:eastAsia="en-US"/>
    </w:rPr>
  </w:style>
  <w:style w:type="paragraph" w:customStyle="1" w:styleId="yiv1732061606msolistparagraph">
    <w:name w:val="yiv1732061606msolistparagraph"/>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yiv916813975msonormal">
    <w:name w:val="yiv916813975msonormal"/>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Puce0">
    <w:name w:val="Puce"/>
    <w:basedOn w:val="Normal"/>
    <w:rsid w:val="001C2F95"/>
    <w:pPr>
      <w:tabs>
        <w:tab w:val="num" w:pos="360"/>
      </w:tabs>
      <w:spacing w:after="120" w:line="240" w:lineRule="auto"/>
      <w:ind w:left="360" w:hanging="360"/>
    </w:pPr>
    <w:rPr>
      <w:rFonts w:ascii="Times New Roman" w:hAnsi="Times New Roman"/>
      <w:sz w:val="24"/>
      <w:szCs w:val="20"/>
      <w:lang w:val="fr-CA"/>
    </w:rPr>
  </w:style>
  <w:style w:type="paragraph" w:customStyle="1" w:styleId="CM76">
    <w:name w:val="CM76"/>
    <w:basedOn w:val="Default"/>
    <w:next w:val="Default"/>
    <w:rsid w:val="001C2F95"/>
    <w:pPr>
      <w:widowControl w:val="0"/>
      <w:spacing w:after="113"/>
    </w:pPr>
    <w:rPr>
      <w:rFonts w:ascii="Times New Roman" w:eastAsia="Times New Roman" w:hAnsi="Times New Roman" w:cs="Times New Roman"/>
      <w:color w:val="auto"/>
    </w:rPr>
  </w:style>
  <w:style w:type="paragraph" w:customStyle="1" w:styleId="CM96">
    <w:name w:val="CM96"/>
    <w:basedOn w:val="Default"/>
    <w:next w:val="Default"/>
    <w:uiPriority w:val="99"/>
    <w:rsid w:val="001C2F95"/>
    <w:pPr>
      <w:widowControl w:val="0"/>
      <w:spacing w:after="628"/>
    </w:pPr>
    <w:rPr>
      <w:rFonts w:ascii="Times New Roman" w:eastAsia="Times New Roman" w:hAnsi="Times New Roman" w:cs="Times New Roman"/>
      <w:color w:val="auto"/>
    </w:rPr>
  </w:style>
  <w:style w:type="paragraph" w:customStyle="1" w:styleId="CM61">
    <w:name w:val="CM61"/>
    <w:basedOn w:val="Default"/>
    <w:next w:val="Default"/>
    <w:uiPriority w:val="99"/>
    <w:rsid w:val="001C2F95"/>
    <w:pPr>
      <w:widowControl w:val="0"/>
      <w:spacing w:line="383" w:lineRule="atLeast"/>
    </w:pPr>
    <w:rPr>
      <w:rFonts w:ascii="Times New Roman" w:eastAsia="Times New Roman" w:hAnsi="Times New Roman" w:cs="Times New Roman"/>
      <w:color w:val="auto"/>
    </w:rPr>
  </w:style>
  <w:style w:type="paragraph" w:customStyle="1" w:styleId="CM62">
    <w:name w:val="CM62"/>
    <w:basedOn w:val="Default"/>
    <w:next w:val="Default"/>
    <w:uiPriority w:val="99"/>
    <w:rsid w:val="001C2F95"/>
    <w:pPr>
      <w:widowControl w:val="0"/>
      <w:spacing w:line="383" w:lineRule="atLeast"/>
    </w:pPr>
    <w:rPr>
      <w:rFonts w:ascii="Times New Roman" w:eastAsia="Times New Roman" w:hAnsi="Times New Roman" w:cs="Times New Roman"/>
      <w:color w:val="auto"/>
    </w:rPr>
  </w:style>
  <w:style w:type="paragraph" w:customStyle="1" w:styleId="ecxmsonormal">
    <w:name w:val="ecxmsonormal"/>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ecxmsolistparagraph">
    <w:name w:val="ecxmsolistparagraph"/>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yiv3426639617msonormal">
    <w:name w:val="yiv3426639617msonormal"/>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ACEnumberedparagraph">
    <w:name w:val="ACE_numbered_paragraph"/>
    <w:basedOn w:val="Normal"/>
    <w:qFormat/>
    <w:rsid w:val="001C2F95"/>
    <w:pPr>
      <w:spacing w:after="280" w:line="290" w:lineRule="exact"/>
      <w:ind w:left="-9" w:hanging="360"/>
      <w:jc w:val="left"/>
    </w:pPr>
    <w:rPr>
      <w:rFonts w:cs="Arial"/>
      <w:noProof/>
      <w:sz w:val="19"/>
      <w:szCs w:val="19"/>
      <w:lang w:val="en-US" w:eastAsia="nl-BE"/>
    </w:rPr>
  </w:style>
  <w:style w:type="paragraph" w:customStyle="1" w:styleId="Lgendedestableaux">
    <w:name w:val="Légende des tableaux"/>
    <w:basedOn w:val="Normal"/>
    <w:qFormat/>
    <w:rsid w:val="001C2F95"/>
    <w:pPr>
      <w:tabs>
        <w:tab w:val="left" w:pos="851"/>
      </w:tabs>
      <w:spacing w:before="120" w:after="120" w:line="312" w:lineRule="auto"/>
      <w:ind w:left="720" w:hanging="360"/>
    </w:pPr>
    <w:rPr>
      <w:rFonts w:ascii="Arial Narrow" w:eastAsia="Cambria" w:hAnsi="Arial Narrow"/>
      <w:sz w:val="22"/>
      <w:lang w:eastAsia="en-US"/>
    </w:rPr>
  </w:style>
  <w:style w:type="paragraph" w:customStyle="1" w:styleId="TableContents">
    <w:name w:val="Table Contents"/>
    <w:basedOn w:val="Standard"/>
    <w:rsid w:val="001C2F95"/>
    <w:pPr>
      <w:widowControl/>
      <w:suppressLineNumbers/>
    </w:pPr>
    <w:rPr>
      <w:rFonts w:eastAsia="Times New Roman" w:cs="Times New Roman"/>
      <w:lang w:bidi="ar-SA"/>
    </w:rPr>
  </w:style>
  <w:style w:type="paragraph" w:customStyle="1" w:styleId="titresbt">
    <w:name w:val="titresbt"/>
    <w:basedOn w:val="Normal"/>
    <w:rsid w:val="001C2F95"/>
    <w:pPr>
      <w:spacing w:before="160" w:after="48" w:line="240" w:lineRule="auto"/>
      <w:jc w:val="left"/>
    </w:pPr>
    <w:rPr>
      <w:rFonts w:ascii="Times New Roman" w:hAnsi="Times New Roman"/>
      <w:sz w:val="22"/>
    </w:rPr>
  </w:style>
  <w:style w:type="paragraph" w:customStyle="1" w:styleId="Sansinterligne1">
    <w:name w:val="Sans interligne1"/>
    <w:uiPriority w:val="99"/>
    <w:rsid w:val="001C2F95"/>
    <w:rPr>
      <w:rFonts w:eastAsia="Times New Roman"/>
      <w:lang w:val="fr-FR" w:eastAsia="fr-FR"/>
    </w:rPr>
  </w:style>
  <w:style w:type="character" w:customStyle="1" w:styleId="Titre3CarCar1">
    <w:name w:val="Titre 3 Car Car1"/>
    <w:aliases w:val="Titre 3 Car Car Car Car1,titre n3 Car,3 Car Car,Titre 3 Car Car Car Car2,titre n3 Car1,3 Car"/>
    <w:rsid w:val="001C2F95"/>
    <w:rPr>
      <w:rFonts w:ascii="Arial" w:hAnsi="Arial" w:cs="Arial"/>
      <w:b/>
      <w:bCs/>
      <w:sz w:val="26"/>
      <w:szCs w:val="26"/>
      <w:lang w:val="fr-FR" w:eastAsia="fr-FR" w:bidi="ar-SA"/>
    </w:rPr>
  </w:style>
  <w:style w:type="paragraph" w:styleId="Liste2">
    <w:name w:val="List 2"/>
    <w:basedOn w:val="Normal"/>
    <w:rsid w:val="001C2F95"/>
    <w:pPr>
      <w:widowControl w:val="0"/>
      <w:suppressAutoHyphens/>
      <w:spacing w:before="120" w:beforeAutospacing="1" w:after="120" w:afterAutospacing="1" w:line="240" w:lineRule="auto"/>
      <w:ind w:left="566" w:hanging="283"/>
    </w:pPr>
    <w:rPr>
      <w:rFonts w:ascii="Times New Roman" w:eastAsia="SimSun" w:hAnsi="Times New Roman"/>
      <w:kern w:val="1"/>
      <w:sz w:val="24"/>
      <w:szCs w:val="24"/>
      <w:lang w:val="it-IT" w:eastAsia="hi-IN" w:bidi="hi-IN"/>
    </w:rPr>
  </w:style>
  <w:style w:type="paragraph" w:customStyle="1" w:styleId="spip">
    <w:name w:val="spip"/>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ftrefCharCarCharCarCharCarCharCarCharCarCharCarCharCarCharCarCharCarCharCarCharCarChar">
    <w:name w:val="ftref Char Car Char Car Char Car Char Car Char Car Char Car Char Car Char Car Char Car Char Car Char Car Char"/>
    <w:basedOn w:val="Normal"/>
    <w:next w:val="Normal"/>
    <w:rsid w:val="001C2F95"/>
    <w:pPr>
      <w:spacing w:after="160" w:line="240" w:lineRule="exact"/>
      <w:jc w:val="left"/>
    </w:pPr>
    <w:rPr>
      <w:rFonts w:ascii="Cambria" w:hAnsi="Cambria"/>
      <w:sz w:val="24"/>
      <w:szCs w:val="24"/>
      <w:vertAlign w:val="superscript"/>
    </w:rPr>
  </w:style>
  <w:style w:type="paragraph" w:customStyle="1" w:styleId="BodyText31">
    <w:name w:val="Body Text 31"/>
    <w:basedOn w:val="Normal"/>
    <w:rsid w:val="001C2F95"/>
    <w:pPr>
      <w:tabs>
        <w:tab w:val="left" w:pos="720"/>
      </w:tabs>
      <w:spacing w:line="240" w:lineRule="auto"/>
    </w:pPr>
    <w:rPr>
      <w:rFonts w:ascii="Times New Roman" w:hAnsi="Times New Roman"/>
      <w:sz w:val="24"/>
      <w:szCs w:val="20"/>
    </w:rPr>
  </w:style>
  <w:style w:type="paragraph" w:customStyle="1" w:styleId="OtherHeader">
    <w:name w:val="OtherHeader"/>
    <w:basedOn w:val="En-tte"/>
    <w:next w:val="Normal"/>
    <w:rsid w:val="001C2F95"/>
    <w:pPr>
      <w:tabs>
        <w:tab w:val="clear" w:pos="4536"/>
        <w:tab w:val="clear" w:pos="9072"/>
        <w:tab w:val="left" w:pos="4153"/>
        <w:tab w:val="right" w:pos="7655"/>
        <w:tab w:val="right" w:pos="8306"/>
      </w:tabs>
      <w:overflowPunct w:val="0"/>
      <w:autoSpaceDE w:val="0"/>
      <w:autoSpaceDN w:val="0"/>
      <w:adjustRightInd w:val="0"/>
      <w:spacing w:before="360" w:after="240" w:line="264" w:lineRule="auto"/>
      <w:jc w:val="left"/>
      <w:textAlignment w:val="baseline"/>
    </w:pPr>
    <w:rPr>
      <w:rFonts w:ascii="Book Antiqua" w:eastAsia="Times New Roman" w:hAnsi="Book Antiqua"/>
      <w:b/>
      <w:i/>
      <w:caps/>
      <w:sz w:val="22"/>
      <w:lang w:val="en-US" w:eastAsia="en-US"/>
    </w:rPr>
  </w:style>
  <w:style w:type="paragraph" w:customStyle="1" w:styleId="pucepoint">
    <w:name w:val="puce point"/>
    <w:basedOn w:val="Normal"/>
    <w:link w:val="pucepointCar"/>
    <w:rsid w:val="001C2F95"/>
    <w:pPr>
      <w:tabs>
        <w:tab w:val="num" w:pos="360"/>
      </w:tabs>
      <w:spacing w:line="240" w:lineRule="auto"/>
      <w:ind w:left="360" w:hanging="360"/>
    </w:pPr>
    <w:rPr>
      <w:position w:val="-7"/>
      <w:sz w:val="22"/>
      <w:szCs w:val="20"/>
      <w:lang w:val="fr-CA" w:eastAsia="fr-CA"/>
    </w:rPr>
  </w:style>
  <w:style w:type="character" w:customStyle="1" w:styleId="pucepointCar">
    <w:name w:val="puce point Car"/>
    <w:link w:val="pucepoint"/>
    <w:rsid w:val="001C2F95"/>
    <w:rPr>
      <w:rFonts w:ascii="Arial" w:eastAsia="Times New Roman" w:hAnsi="Arial" w:cs="Times New Roman"/>
      <w:position w:val="-7"/>
      <w:szCs w:val="20"/>
      <w:lang w:val="fr-CA" w:eastAsia="fr-CA"/>
    </w:rPr>
  </w:style>
  <w:style w:type="paragraph" w:customStyle="1" w:styleId="Text">
    <w:name w:val="Text"/>
    <w:basedOn w:val="Normal"/>
    <w:rsid w:val="001C2F95"/>
    <w:pPr>
      <w:spacing w:after="160" w:line="240" w:lineRule="auto"/>
      <w:jc w:val="left"/>
    </w:pPr>
    <w:rPr>
      <w:rFonts w:ascii="Garamond" w:hAnsi="Garamond"/>
      <w:sz w:val="22"/>
      <w:szCs w:val="24"/>
      <w:lang w:val="en-US" w:eastAsia="en-US"/>
    </w:rPr>
  </w:style>
  <w:style w:type="paragraph" w:customStyle="1" w:styleId="n">
    <w:name w:val="n"/>
    <w:basedOn w:val="Normal"/>
    <w:rsid w:val="001C2F95"/>
    <w:pPr>
      <w:spacing w:before="100" w:beforeAutospacing="1" w:after="100" w:afterAutospacing="1" w:line="240" w:lineRule="auto"/>
      <w:jc w:val="left"/>
    </w:pPr>
    <w:rPr>
      <w:rFonts w:ascii="Times New Roman" w:hAnsi="Times New Roman"/>
      <w:sz w:val="24"/>
      <w:szCs w:val="24"/>
    </w:rPr>
  </w:style>
  <w:style w:type="character" w:customStyle="1" w:styleId="fl">
    <w:name w:val="fl"/>
    <w:rsid w:val="001C2F95"/>
  </w:style>
  <w:style w:type="paragraph" w:customStyle="1" w:styleId="Style5">
    <w:name w:val="Style 5"/>
    <w:basedOn w:val="Normal"/>
    <w:rsid w:val="001C2F95"/>
    <w:pPr>
      <w:widowControl w:val="0"/>
      <w:autoSpaceDE w:val="0"/>
      <w:autoSpaceDN w:val="0"/>
      <w:spacing w:line="228" w:lineRule="exact"/>
    </w:pPr>
    <w:rPr>
      <w:rFonts w:ascii="Times New Roman" w:hAnsi="Times New Roman"/>
      <w:sz w:val="24"/>
      <w:szCs w:val="24"/>
    </w:rPr>
  </w:style>
  <w:style w:type="character" w:customStyle="1" w:styleId="gch">
    <w:name w:val="gch"/>
    <w:rsid w:val="001C2F95"/>
  </w:style>
  <w:style w:type="paragraph" w:customStyle="1" w:styleId="Notedebasdepage1">
    <w:name w:val="Note de bas de page1"/>
    <w:basedOn w:val="Normal"/>
    <w:rsid w:val="001C2F95"/>
    <w:pPr>
      <w:spacing w:line="240" w:lineRule="auto"/>
      <w:jc w:val="left"/>
    </w:pPr>
    <w:rPr>
      <w:rFonts w:ascii="Times New Roman" w:hAnsi="Times New Roman"/>
      <w:sz w:val="20"/>
      <w:szCs w:val="20"/>
      <w:lang w:val="fr-CA"/>
    </w:rPr>
  </w:style>
  <w:style w:type="paragraph" w:customStyle="1" w:styleId="normal3240web41">
    <w:name w:val="normal3240web41"/>
    <w:basedOn w:val="Normal"/>
    <w:rsid w:val="001C2F95"/>
    <w:pPr>
      <w:spacing w:before="100" w:beforeAutospacing="1" w:after="100" w:afterAutospacing="1" w:line="240" w:lineRule="auto"/>
      <w:jc w:val="left"/>
    </w:pPr>
    <w:rPr>
      <w:rFonts w:ascii="Times New Roman" w:hAnsi="Times New Roman"/>
      <w:sz w:val="24"/>
      <w:szCs w:val="24"/>
    </w:rPr>
  </w:style>
  <w:style w:type="character" w:customStyle="1" w:styleId="Strong1">
    <w:name w:val="Strong1"/>
    <w:rsid w:val="001C2F95"/>
  </w:style>
  <w:style w:type="character" w:customStyle="1" w:styleId="upcasttextcolor-0">
    <w:name w:val="upcasttextcolor-0"/>
    <w:rsid w:val="001C2F95"/>
  </w:style>
  <w:style w:type="character" w:customStyle="1" w:styleId="upcasttextcolor-1">
    <w:name w:val="upcasttextcolor-1"/>
    <w:rsid w:val="001C2F95"/>
  </w:style>
  <w:style w:type="paragraph" w:customStyle="1" w:styleId="ps">
    <w:name w:val="ps"/>
    <w:basedOn w:val="Normal"/>
    <w:link w:val="psCar"/>
    <w:rsid w:val="001C2F95"/>
    <w:pPr>
      <w:keepLines/>
      <w:spacing w:before="200" w:line="240" w:lineRule="auto"/>
    </w:pPr>
    <w:rPr>
      <w:rFonts w:ascii="Verdana" w:hAnsi="Verdana"/>
      <w:sz w:val="18"/>
      <w:szCs w:val="20"/>
    </w:rPr>
  </w:style>
  <w:style w:type="character" w:customStyle="1" w:styleId="psCar">
    <w:name w:val="ps Car"/>
    <w:link w:val="ps"/>
    <w:locked/>
    <w:rsid w:val="001C2F95"/>
    <w:rPr>
      <w:rFonts w:ascii="Verdana" w:eastAsia="Times New Roman" w:hAnsi="Verdana" w:cs="Times New Roman"/>
      <w:sz w:val="18"/>
      <w:szCs w:val="20"/>
      <w:lang w:eastAsia="fr-FR"/>
    </w:rPr>
  </w:style>
  <w:style w:type="character" w:customStyle="1" w:styleId="a">
    <w:name w:val="a"/>
    <w:rsid w:val="001C2F95"/>
  </w:style>
  <w:style w:type="character" w:customStyle="1" w:styleId="l10">
    <w:name w:val="l10"/>
    <w:rsid w:val="001C2F95"/>
  </w:style>
  <w:style w:type="character" w:customStyle="1" w:styleId="l6">
    <w:name w:val="l6"/>
    <w:rsid w:val="001C2F95"/>
  </w:style>
  <w:style w:type="character" w:customStyle="1" w:styleId="l7">
    <w:name w:val="l7"/>
    <w:rsid w:val="001C2F95"/>
  </w:style>
  <w:style w:type="character" w:customStyle="1" w:styleId="l9">
    <w:name w:val="l9"/>
    <w:rsid w:val="001C2F95"/>
  </w:style>
  <w:style w:type="paragraph" w:customStyle="1" w:styleId="StyleJustifiGauche095cmPremireligne0cmInterlign">
    <w:name w:val="Style Justifié Gauche :  095 cm Première ligne : 0 cm Interlign..."/>
    <w:basedOn w:val="Normal"/>
    <w:rsid w:val="001C2F95"/>
    <w:pPr>
      <w:suppressAutoHyphens/>
      <w:spacing w:line="360" w:lineRule="auto"/>
      <w:ind w:firstLine="284"/>
    </w:pPr>
    <w:rPr>
      <w:rFonts w:ascii="Times New Roman" w:hAnsi="Times New Roman"/>
      <w:sz w:val="24"/>
      <w:szCs w:val="20"/>
      <w:lang w:eastAsia="ar-SA"/>
    </w:rPr>
  </w:style>
  <w:style w:type="paragraph" w:customStyle="1" w:styleId="ea">
    <w:name w:val="ea"/>
    <w:basedOn w:val="Normal"/>
    <w:rsid w:val="001C2F95"/>
    <w:pPr>
      <w:keepLines/>
      <w:spacing w:before="60" w:line="240" w:lineRule="auto"/>
    </w:pPr>
    <w:rPr>
      <w:rFonts w:cs="Arial"/>
      <w:sz w:val="20"/>
      <w:szCs w:val="20"/>
    </w:rPr>
  </w:style>
  <w:style w:type="paragraph" w:customStyle="1" w:styleId="Char1">
    <w:name w:val="Char1"/>
    <w:basedOn w:val="Normal"/>
    <w:rsid w:val="001C2F95"/>
    <w:pPr>
      <w:spacing w:after="160" w:line="240" w:lineRule="exact"/>
      <w:jc w:val="left"/>
    </w:pPr>
    <w:rPr>
      <w:rFonts w:ascii="Times New Roman" w:hAnsi="Times New Roman"/>
      <w:b/>
      <w:sz w:val="20"/>
      <w:szCs w:val="20"/>
      <w:lang w:eastAsia="en-US"/>
    </w:rPr>
  </w:style>
  <w:style w:type="paragraph" w:customStyle="1" w:styleId="Texte">
    <w:name w:val="Texte"/>
    <w:basedOn w:val="Normal"/>
    <w:rsid w:val="001C2F95"/>
    <w:pPr>
      <w:keepLines/>
      <w:spacing w:before="120" w:line="240" w:lineRule="auto"/>
    </w:pPr>
    <w:rPr>
      <w:rFonts w:cs="Arial"/>
      <w:sz w:val="20"/>
      <w:szCs w:val="20"/>
    </w:rPr>
  </w:style>
  <w:style w:type="paragraph" w:customStyle="1" w:styleId="Enum3">
    <w:name w:val="Enum 3"/>
    <w:basedOn w:val="Normal"/>
    <w:rsid w:val="001C2F95"/>
    <w:pPr>
      <w:keepLines/>
      <w:tabs>
        <w:tab w:val="num" w:pos="360"/>
      </w:tabs>
      <w:spacing w:before="60" w:line="240" w:lineRule="auto"/>
      <w:ind w:left="360" w:hanging="360"/>
    </w:pPr>
    <w:rPr>
      <w:rFonts w:cs="Arial"/>
      <w:sz w:val="20"/>
      <w:szCs w:val="20"/>
    </w:rPr>
  </w:style>
  <w:style w:type="paragraph" w:customStyle="1" w:styleId="Enum1">
    <w:name w:val="Enum 1"/>
    <w:basedOn w:val="Normal"/>
    <w:rsid w:val="001C2F95"/>
    <w:pPr>
      <w:keepLines/>
      <w:tabs>
        <w:tab w:val="num" w:pos="360"/>
      </w:tabs>
      <w:spacing w:before="60" w:line="240" w:lineRule="auto"/>
      <w:ind w:left="360" w:hanging="360"/>
    </w:pPr>
    <w:rPr>
      <w:rFonts w:cs="Arial"/>
      <w:sz w:val="20"/>
      <w:szCs w:val="20"/>
    </w:rPr>
  </w:style>
  <w:style w:type="paragraph" w:customStyle="1" w:styleId="titrecoltab">
    <w:name w:val="titre col tab"/>
    <w:basedOn w:val="Normal"/>
    <w:rsid w:val="001C2F95"/>
    <w:pPr>
      <w:spacing w:line="240" w:lineRule="auto"/>
      <w:jc w:val="center"/>
    </w:pPr>
    <w:rPr>
      <w:rFonts w:cs="Arial"/>
      <w:color w:val="0000FF"/>
      <w:sz w:val="20"/>
      <w:szCs w:val="20"/>
    </w:rPr>
  </w:style>
  <w:style w:type="paragraph" w:customStyle="1" w:styleId="C1PlainText">
    <w:name w:val="C1 Plain Text"/>
    <w:basedOn w:val="Normal"/>
    <w:rsid w:val="001C2F95"/>
    <w:pPr>
      <w:overflowPunct w:val="0"/>
      <w:autoSpaceDE w:val="0"/>
      <w:autoSpaceDN w:val="0"/>
      <w:adjustRightInd w:val="0"/>
      <w:spacing w:before="120" w:after="120" w:line="240" w:lineRule="auto"/>
      <w:ind w:left="1298"/>
      <w:textAlignment w:val="baseline"/>
    </w:pPr>
    <w:rPr>
      <w:rFonts w:ascii="Times New Roman" w:hAnsi="Times New Roman"/>
      <w:sz w:val="24"/>
      <w:szCs w:val="20"/>
      <w:lang w:eastAsia="en-US"/>
    </w:rPr>
  </w:style>
  <w:style w:type="paragraph" w:customStyle="1" w:styleId="Enum2Car">
    <w:name w:val="Enum 2 Car"/>
    <w:basedOn w:val="Normal"/>
    <w:link w:val="Enum2CarCar"/>
    <w:rsid w:val="001C2F95"/>
    <w:pPr>
      <w:keepLines/>
      <w:tabs>
        <w:tab w:val="num" w:pos="360"/>
      </w:tabs>
      <w:spacing w:before="60" w:line="240" w:lineRule="auto"/>
      <w:ind w:left="360" w:hanging="360"/>
    </w:pPr>
    <w:rPr>
      <w:sz w:val="20"/>
      <w:szCs w:val="20"/>
    </w:rPr>
  </w:style>
  <w:style w:type="character" w:customStyle="1" w:styleId="Enum2CarCar">
    <w:name w:val="Enum 2 Car Car"/>
    <w:link w:val="Enum2Car"/>
    <w:rsid w:val="001C2F95"/>
    <w:rPr>
      <w:rFonts w:ascii="Arial" w:eastAsia="Times New Roman" w:hAnsi="Arial" w:cs="Times New Roman"/>
      <w:sz w:val="20"/>
      <w:szCs w:val="20"/>
      <w:lang w:eastAsia="fr-FR"/>
    </w:rPr>
  </w:style>
  <w:style w:type="paragraph" w:customStyle="1" w:styleId="TexteCar1CarCarCarCar">
    <w:name w:val="Texte Car1 Car Car Car Car"/>
    <w:basedOn w:val="Normal"/>
    <w:link w:val="TexteCar1CarCarCarCarCar"/>
    <w:rsid w:val="001C2F95"/>
    <w:pPr>
      <w:keepLines/>
      <w:spacing w:before="120" w:line="240" w:lineRule="auto"/>
    </w:pPr>
    <w:rPr>
      <w:sz w:val="20"/>
      <w:szCs w:val="20"/>
    </w:rPr>
  </w:style>
  <w:style w:type="character" w:customStyle="1" w:styleId="TexteCar1CarCarCarCarCar">
    <w:name w:val="Texte Car1 Car Car Car Car Car"/>
    <w:link w:val="TexteCar1CarCarCarCar"/>
    <w:rsid w:val="001C2F95"/>
    <w:rPr>
      <w:rFonts w:ascii="Arial" w:eastAsia="Times New Roman" w:hAnsi="Arial" w:cs="Times New Roman"/>
      <w:sz w:val="20"/>
      <w:szCs w:val="20"/>
      <w:lang w:eastAsia="fr-FR"/>
    </w:rPr>
  </w:style>
  <w:style w:type="paragraph" w:customStyle="1" w:styleId="0">
    <w:name w:val="0"/>
    <w:rsid w:val="001C2F95"/>
    <w:pPr>
      <w:tabs>
        <w:tab w:val="left" w:pos="1440"/>
        <w:tab w:val="right" w:pos="8931"/>
      </w:tabs>
      <w:spacing w:after="60"/>
      <w:ind w:left="851"/>
      <w:jc w:val="both"/>
    </w:pPr>
    <w:rPr>
      <w:rFonts w:ascii="Times New Roman" w:eastAsia="Times New Roman" w:hAnsi="Times New Roman"/>
      <w:sz w:val="22"/>
      <w:lang w:val="fr-FR"/>
    </w:rPr>
  </w:style>
  <w:style w:type="paragraph" w:customStyle="1" w:styleId="Subtitle2">
    <w:name w:val="Subtitle 2"/>
    <w:basedOn w:val="Pieddepage"/>
    <w:rsid w:val="001C2F95"/>
    <w:pPr>
      <w:tabs>
        <w:tab w:val="clear" w:pos="4536"/>
        <w:tab w:val="clear" w:pos="9072"/>
      </w:tabs>
      <w:overflowPunct w:val="0"/>
      <w:autoSpaceDE w:val="0"/>
      <w:autoSpaceDN w:val="0"/>
      <w:adjustRightInd w:val="0"/>
      <w:spacing w:before="120" w:line="240" w:lineRule="auto"/>
      <w:jc w:val="center"/>
      <w:textAlignment w:val="baseline"/>
    </w:pPr>
    <w:rPr>
      <w:rFonts w:ascii="Times New Roman" w:eastAsia="Times New Roman" w:hAnsi="Times New Roman" w:cs="Arial"/>
      <w:b/>
      <w:sz w:val="32"/>
      <w:szCs w:val="24"/>
    </w:rPr>
  </w:style>
  <w:style w:type="paragraph" w:customStyle="1" w:styleId="BodyText1">
    <w:name w:val="Body Text1"/>
    <w:aliases w:val="OPM,OPM Char1 Char Char,Body text Char Char"/>
    <w:basedOn w:val="Normal"/>
    <w:link w:val="BodytextChar"/>
    <w:autoRedefine/>
    <w:qFormat/>
    <w:rsid w:val="001C2F95"/>
    <w:pPr>
      <w:spacing w:before="120" w:after="120" w:line="240" w:lineRule="auto"/>
    </w:pPr>
    <w:rPr>
      <w:sz w:val="22"/>
    </w:rPr>
  </w:style>
  <w:style w:type="character" w:customStyle="1" w:styleId="BodytextChar">
    <w:name w:val="Body text Char"/>
    <w:aliases w:val="OPM Char,OPM Char1 Char Char Char,Body text Char Char Char,OPM Char Char,OPM Char1"/>
    <w:link w:val="BodyText1"/>
    <w:locked/>
    <w:rsid w:val="001C2F95"/>
    <w:rPr>
      <w:rFonts w:ascii="Arial" w:eastAsia="Times New Roman" w:hAnsi="Arial" w:cs="Times New Roman"/>
      <w:lang w:eastAsia="fr-FR"/>
    </w:rPr>
  </w:style>
  <w:style w:type="character" w:customStyle="1" w:styleId="Titre3Car1">
    <w:name w:val="Titre 3 Car1"/>
    <w:aliases w:val="Titre 3 Car Car Car Car,Section Header3 Car1,H3 Car1,RFF-Titre 3 Car1,MLM-Titre 4 Car1,3Rapport Car1,MLM-Titre 3 Car1,envinorm Car1,Heading 3 Char Car1,Titolo 3: SOTTOTITOLO 2 TORINO Car1,sottotitolo2 Car1"/>
    <w:qFormat/>
    <w:rsid w:val="001C2F95"/>
    <w:rPr>
      <w:rFonts w:ascii="Arial" w:hAnsi="Arial" w:cs="Arial"/>
      <w:b/>
      <w:sz w:val="28"/>
      <w:szCs w:val="24"/>
      <w:lang w:val="fr-FR" w:eastAsia="fr-FR" w:bidi="ar-SA"/>
    </w:rPr>
  </w:style>
  <w:style w:type="character" w:customStyle="1" w:styleId="highlight">
    <w:name w:val="highlight"/>
    <w:rsid w:val="001C2F95"/>
  </w:style>
  <w:style w:type="paragraph" w:customStyle="1" w:styleId="PARAPAD">
    <w:name w:val="PARA PAD"/>
    <w:basedOn w:val="Normal"/>
    <w:qFormat/>
    <w:rsid w:val="001C2F95"/>
    <w:pPr>
      <w:numPr>
        <w:numId w:val="17"/>
      </w:numPr>
      <w:autoSpaceDE w:val="0"/>
      <w:autoSpaceDN w:val="0"/>
      <w:adjustRightInd w:val="0"/>
      <w:spacing w:line="240" w:lineRule="auto"/>
    </w:pPr>
    <w:rPr>
      <w:rFonts w:ascii="Times New Roman" w:hAnsi="Times New Roman"/>
      <w:bCs/>
      <w:sz w:val="24"/>
      <w:szCs w:val="20"/>
      <w:lang w:val="en-US" w:eastAsia="en-US"/>
    </w:rPr>
  </w:style>
  <w:style w:type="paragraph" w:customStyle="1" w:styleId="Pa2">
    <w:name w:val="Pa2"/>
    <w:basedOn w:val="Default"/>
    <w:next w:val="Default"/>
    <w:uiPriority w:val="99"/>
    <w:rsid w:val="001C2F95"/>
    <w:pPr>
      <w:spacing w:line="241" w:lineRule="atLeast"/>
    </w:pPr>
    <w:rPr>
      <w:rFonts w:ascii="Eurostile" w:eastAsia="Times New Roman" w:hAnsi="Eurostile" w:cs="Times New Roman"/>
      <w:color w:val="auto"/>
    </w:rPr>
  </w:style>
  <w:style w:type="character" w:customStyle="1" w:styleId="A5">
    <w:name w:val="A5"/>
    <w:uiPriority w:val="99"/>
    <w:rsid w:val="001C2F95"/>
    <w:rPr>
      <w:rFonts w:cs="Eurostile"/>
      <w:color w:val="000000"/>
      <w:sz w:val="22"/>
      <w:szCs w:val="22"/>
    </w:rPr>
  </w:style>
  <w:style w:type="paragraph" w:customStyle="1" w:styleId="Pa0">
    <w:name w:val="Pa0"/>
    <w:basedOn w:val="Default"/>
    <w:next w:val="Default"/>
    <w:uiPriority w:val="99"/>
    <w:rsid w:val="001C2F95"/>
    <w:pPr>
      <w:spacing w:line="241" w:lineRule="atLeast"/>
    </w:pPr>
    <w:rPr>
      <w:rFonts w:ascii="Eurostile" w:eastAsia="Times New Roman" w:hAnsi="Eurostile" w:cs="Times New Roman"/>
      <w:color w:val="auto"/>
    </w:rPr>
  </w:style>
  <w:style w:type="character" w:customStyle="1" w:styleId="A0">
    <w:name w:val="A0"/>
    <w:uiPriority w:val="99"/>
    <w:rsid w:val="001C2F95"/>
    <w:rPr>
      <w:rFonts w:cs="Eurostile"/>
      <w:b/>
      <w:bCs/>
      <w:color w:val="000000"/>
      <w:sz w:val="36"/>
      <w:szCs w:val="36"/>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
    <w:basedOn w:val="Normal"/>
    <w:rsid w:val="001C2F95"/>
    <w:pPr>
      <w:spacing w:after="160" w:line="240" w:lineRule="exact"/>
      <w:jc w:val="left"/>
    </w:pPr>
    <w:rPr>
      <w:rFonts w:ascii="Calibri" w:eastAsia="Calibri" w:hAnsi="Calibri"/>
      <w:sz w:val="22"/>
      <w:vertAlign w:val="superscript"/>
      <w:lang w:eastAsia="en-US"/>
    </w:rPr>
  </w:style>
  <w:style w:type="paragraph" w:customStyle="1" w:styleId="Titre20">
    <w:name w:val="Titre2"/>
    <w:basedOn w:val="Titre2"/>
    <w:link w:val="Titre2Car0"/>
    <w:qFormat/>
    <w:rsid w:val="001C2F95"/>
    <w:pPr>
      <w:keepLines w:val="0"/>
      <w:tabs>
        <w:tab w:val="num" w:pos="5352"/>
      </w:tabs>
      <w:autoSpaceDE w:val="0"/>
      <w:autoSpaceDN w:val="0"/>
      <w:adjustRightInd w:val="0"/>
      <w:spacing w:line="240" w:lineRule="atLeast"/>
      <w:ind w:left="5352" w:hanging="390"/>
      <w:jc w:val="left"/>
    </w:pPr>
    <w:rPr>
      <w:rFonts w:ascii="Times New Roman" w:hAnsi="Times New Roman"/>
      <w:b/>
      <w:color w:val="000000"/>
      <w:sz w:val="24"/>
      <w:szCs w:val="20"/>
    </w:rPr>
  </w:style>
  <w:style w:type="character" w:customStyle="1" w:styleId="Titre2Car0">
    <w:name w:val="Titre2 Car"/>
    <w:link w:val="Titre20"/>
    <w:rsid w:val="001C2F95"/>
    <w:rPr>
      <w:rFonts w:ascii="Times New Roman" w:eastAsia="Times New Roman" w:hAnsi="Times New Roman" w:cs="Times New Roman"/>
      <w:b/>
      <w:bCs/>
      <w:color w:val="000000"/>
      <w:sz w:val="24"/>
      <w:szCs w:val="20"/>
      <w:lang w:eastAsia="fr-FR"/>
    </w:rPr>
  </w:style>
  <w:style w:type="paragraph" w:customStyle="1" w:styleId="WB-Numbered">
    <w:name w:val="WB - Numbered"/>
    <w:basedOn w:val="Normal"/>
    <w:qFormat/>
    <w:rsid w:val="001C2F95"/>
    <w:pPr>
      <w:numPr>
        <w:numId w:val="32"/>
      </w:numPr>
      <w:spacing w:after="180" w:line="240" w:lineRule="auto"/>
    </w:pPr>
    <w:rPr>
      <w:rFonts w:ascii="Garamond" w:hAnsi="Garamond"/>
      <w:sz w:val="24"/>
      <w:szCs w:val="20"/>
      <w:lang w:val="en-US" w:eastAsia="en-US"/>
    </w:rPr>
  </w:style>
  <w:style w:type="numbering" w:customStyle="1" w:styleId="ListHeadings">
    <w:name w:val="List Headings"/>
    <w:uiPriority w:val="99"/>
    <w:rsid w:val="001C2F95"/>
    <w:pPr>
      <w:numPr>
        <w:numId w:val="35"/>
      </w:numPr>
    </w:pPr>
  </w:style>
  <w:style w:type="paragraph" w:customStyle="1" w:styleId="oknormal">
    <w:name w:val="ok normal"/>
    <w:basedOn w:val="Normal"/>
    <w:link w:val="oknormalCar"/>
    <w:qFormat/>
    <w:rsid w:val="001C2F95"/>
    <w:rPr>
      <w:rFonts w:cs="Arial"/>
      <w:szCs w:val="21"/>
      <w:lang w:bidi="en-US"/>
    </w:rPr>
  </w:style>
  <w:style w:type="paragraph" w:customStyle="1" w:styleId="okpuce1">
    <w:name w:val="ok puce1"/>
    <w:basedOn w:val="oknormal"/>
    <w:link w:val="okpuce1Car"/>
    <w:qFormat/>
    <w:rsid w:val="001C2F95"/>
    <w:pPr>
      <w:numPr>
        <w:numId w:val="37"/>
      </w:numPr>
    </w:pPr>
  </w:style>
  <w:style w:type="character" w:customStyle="1" w:styleId="oknormalCar">
    <w:name w:val="ok normal Car"/>
    <w:link w:val="oknormal"/>
    <w:rsid w:val="001C2F95"/>
    <w:rPr>
      <w:rFonts w:ascii="Arial" w:eastAsia="Times New Roman" w:hAnsi="Arial" w:cs="Arial"/>
      <w:sz w:val="21"/>
      <w:szCs w:val="21"/>
      <w:lang w:eastAsia="fr-FR" w:bidi="en-US"/>
    </w:rPr>
  </w:style>
  <w:style w:type="paragraph" w:customStyle="1" w:styleId="okpuce2">
    <w:name w:val="ok puce2"/>
    <w:basedOn w:val="okpuce1"/>
    <w:qFormat/>
    <w:rsid w:val="001C2F95"/>
    <w:pPr>
      <w:numPr>
        <w:ilvl w:val="1"/>
      </w:numPr>
      <w:tabs>
        <w:tab w:val="num" w:pos="643"/>
      </w:tabs>
      <w:ind w:left="643"/>
    </w:pPr>
  </w:style>
  <w:style w:type="character" w:customStyle="1" w:styleId="okpuce1Car">
    <w:name w:val="ok puce1 Car"/>
    <w:link w:val="okpuce1"/>
    <w:rsid w:val="001C2F95"/>
    <w:rPr>
      <w:rFonts w:ascii="Arial" w:eastAsia="Times New Roman" w:hAnsi="Arial" w:cs="Arial"/>
      <w:sz w:val="21"/>
      <w:szCs w:val="21"/>
      <w:lang w:eastAsia="fr-FR" w:bidi="en-US"/>
    </w:rPr>
  </w:style>
  <w:style w:type="table" w:customStyle="1" w:styleId="TableNormal3">
    <w:name w:val="Table Normal3"/>
    <w:uiPriority w:val="2"/>
    <w:semiHidden/>
    <w:unhideWhenUsed/>
    <w:qFormat/>
    <w:rsid w:val="001C2F95"/>
    <w:pPr>
      <w:widowControl w:val="0"/>
      <w:autoSpaceDE w:val="0"/>
      <w:autoSpaceDN w:val="0"/>
    </w:pPr>
    <w:rPr>
      <w:sz w:val="22"/>
      <w:szCs w:val="22"/>
    </w:rPr>
    <w:tblPr>
      <w:tblInd w:w="0" w:type="dxa"/>
      <w:tblCellMar>
        <w:top w:w="0" w:type="dxa"/>
        <w:left w:w="0" w:type="dxa"/>
        <w:bottom w:w="0" w:type="dxa"/>
        <w:right w:w="0" w:type="dxa"/>
      </w:tblCellMar>
    </w:tblPr>
  </w:style>
  <w:style w:type="character" w:customStyle="1" w:styleId="ParagraphedelisteCar1">
    <w:name w:val="Paragraphe de liste Car1"/>
    <w:aliases w:val="Akapit z listą BS Car,Bullet L1 Car1,figure Car,Puces Car,I..1 Car1,I. Car1,liste Car,RM1 Car1,List Bullet Mary Car1,WB List Paragraph Car,Indent Paragraph Car,Paragraphe de liste2 Car,Liste couleur - Accent 11 Car,Titre 10 Car1"/>
    <w:uiPriority w:val="34"/>
    <w:qFormat/>
    <w:locked/>
    <w:rsid w:val="001C2F95"/>
    <w:rPr>
      <w:sz w:val="24"/>
      <w:szCs w:val="24"/>
      <w:lang w:val="fr-FR" w:eastAsia="fr-FR" w:bidi="fr-FR"/>
    </w:rPr>
  </w:style>
  <w:style w:type="table" w:customStyle="1" w:styleId="TableGrid1">
    <w:name w:val="Table Grid1"/>
    <w:basedOn w:val="TableauNormal"/>
    <w:next w:val="Grilledutableau"/>
    <w:uiPriority w:val="39"/>
    <w:rsid w:val="001C2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C2F95"/>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977A4"/>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BVIfnrCarCarCarCarChar">
    <w:name w:val="BVI fnr Car Car Car Car Char"/>
    <w:basedOn w:val="Normal"/>
    <w:uiPriority w:val="99"/>
    <w:rsid w:val="008F3458"/>
    <w:pPr>
      <w:spacing w:before="120" w:after="160" w:line="240" w:lineRule="exact"/>
      <w:jc w:val="left"/>
    </w:pPr>
    <w:rPr>
      <w:rFonts w:ascii="Times New Roman" w:eastAsia="Calibri" w:hAnsi="Times New Roman"/>
      <w:sz w:val="24"/>
      <w:vertAlign w:val="superscript"/>
      <w:lang w:eastAsia="en-US"/>
    </w:rPr>
  </w:style>
  <w:style w:type="character" w:customStyle="1" w:styleId="Mentionnonrsolue1">
    <w:name w:val="Mention non résolue1"/>
    <w:uiPriority w:val="99"/>
    <w:semiHidden/>
    <w:unhideWhenUsed/>
    <w:rsid w:val="009B5CA1"/>
    <w:rPr>
      <w:color w:val="605E5C"/>
      <w:shd w:val="clear" w:color="auto" w:fill="E1DFDD"/>
    </w:rPr>
  </w:style>
  <w:style w:type="table" w:customStyle="1" w:styleId="TableGrid">
    <w:name w:val="TableGrid"/>
    <w:rsid w:val="00DD3424"/>
    <w:rPr>
      <w:rFonts w:eastAsia="Times New Roman"/>
      <w:sz w:val="22"/>
      <w:szCs w:val="22"/>
      <w:lang w:val="fr-FR" w:eastAsia="fr-FR"/>
    </w:rPr>
    <w:tblPr>
      <w:tblCellMar>
        <w:top w:w="0" w:type="dxa"/>
        <w:left w:w="0" w:type="dxa"/>
        <w:bottom w:w="0" w:type="dxa"/>
        <w:right w:w="0" w:type="dxa"/>
      </w:tblCellMar>
    </w:tblPr>
  </w:style>
  <w:style w:type="paragraph" w:customStyle="1" w:styleId="TableauPuce1">
    <w:name w:val="Tableau Puce 1"/>
    <w:basedOn w:val="Normal"/>
    <w:qFormat/>
    <w:rsid w:val="00D20A53"/>
    <w:pPr>
      <w:numPr>
        <w:numId w:val="139"/>
      </w:numPr>
      <w:spacing w:line="240" w:lineRule="auto"/>
      <w:ind w:left="454" w:right="113" w:hanging="227"/>
      <w:jc w:val="left"/>
    </w:pPr>
    <w:rPr>
      <w:rFonts w:ascii="Calibri" w:eastAsia="Calibri" w:hAnsi="Calibri"/>
      <w:sz w:val="22"/>
    </w:rPr>
  </w:style>
  <w:style w:type="paragraph" w:styleId="Listenumros">
    <w:name w:val="List Number"/>
    <w:basedOn w:val="Normal"/>
    <w:uiPriority w:val="99"/>
    <w:semiHidden/>
    <w:unhideWhenUsed/>
    <w:rsid w:val="00E800E3"/>
    <w:pPr>
      <w:widowControl w:val="0"/>
      <w:numPr>
        <w:numId w:val="140"/>
      </w:numPr>
      <w:spacing w:line="240" w:lineRule="auto"/>
      <w:contextualSpacing/>
      <w:jc w:val="left"/>
    </w:pPr>
    <w:rPr>
      <w:rFonts w:ascii="Tahoma" w:eastAsia="Calibri" w:hAnsi="Tahoma"/>
      <w:sz w:val="24"/>
      <w:szCs w:val="24"/>
      <w:lang w:eastAsia="en-US"/>
    </w:rPr>
  </w:style>
  <w:style w:type="character" w:customStyle="1" w:styleId="Mentionnonrsolue2">
    <w:name w:val="Mention non résolue2"/>
    <w:uiPriority w:val="99"/>
    <w:unhideWhenUsed/>
    <w:rsid w:val="00E800E3"/>
    <w:rPr>
      <w:color w:val="808080"/>
      <w:shd w:val="clear" w:color="auto" w:fill="E6E6E6"/>
    </w:rPr>
  </w:style>
  <w:style w:type="numbering" w:customStyle="1" w:styleId="Aucuneliste1">
    <w:name w:val="Aucune liste1"/>
    <w:next w:val="Aucuneliste"/>
    <w:uiPriority w:val="99"/>
    <w:semiHidden/>
    <w:unhideWhenUsed/>
    <w:rsid w:val="00E800E3"/>
  </w:style>
  <w:style w:type="character" w:customStyle="1" w:styleId="TextedebullesCar1">
    <w:name w:val="Texte de bulles Car1"/>
    <w:uiPriority w:val="99"/>
    <w:semiHidden/>
    <w:rsid w:val="00E800E3"/>
    <w:rPr>
      <w:rFonts w:ascii="Times New Roman" w:eastAsia="Calibri" w:hAnsi="Times New Roman" w:cs="Times New Roman"/>
      <w:position w:val="-1"/>
      <w:sz w:val="18"/>
      <w:szCs w:val="18"/>
      <w:lang w:eastAsia="fr-FR"/>
    </w:rPr>
  </w:style>
  <w:style w:type="paragraph" w:customStyle="1" w:styleId="Tabletext0">
    <w:name w:val="Table text"/>
    <w:basedOn w:val="Normal"/>
    <w:qFormat/>
    <w:rsid w:val="00E800E3"/>
    <w:pPr>
      <w:widowControl w:val="0"/>
      <w:autoSpaceDE w:val="0"/>
      <w:autoSpaceDN w:val="0"/>
      <w:spacing w:line="240" w:lineRule="auto"/>
      <w:jc w:val="left"/>
    </w:pPr>
    <w:rPr>
      <w:rFonts w:ascii="Times New Roman" w:eastAsia="Arial" w:hAnsi="Times New Roman" w:cs="Calibri"/>
      <w:w w:val="105"/>
      <w:sz w:val="20"/>
      <w:szCs w:val="10"/>
      <w:lang w:eastAsia="en-US"/>
    </w:rPr>
  </w:style>
  <w:style w:type="numbering" w:customStyle="1" w:styleId="Aucuneliste11">
    <w:name w:val="Aucune liste11"/>
    <w:next w:val="Aucuneliste"/>
    <w:unhideWhenUsed/>
    <w:qFormat/>
    <w:rsid w:val="00E800E3"/>
  </w:style>
  <w:style w:type="table" w:customStyle="1" w:styleId="Sofreco">
    <w:name w:val="Sofreco"/>
    <w:basedOn w:val="TableauNormal"/>
    <w:qFormat/>
    <w:rsid w:val="00E800E3"/>
    <w:pPr>
      <w:ind w:left="1814"/>
    </w:pPr>
    <w:rPr>
      <w:rFonts w:ascii="Arial" w:eastAsia="Times New Roman" w:hAnsi="Arial"/>
      <w:sz w:val="18"/>
      <w:lang w:eastAsia="fr-FR"/>
    </w:rPr>
    <w:tblPr>
      <w:tblStyleRowBandSize w:val="1"/>
      <w:tblInd w:w="1701" w:type="dxa"/>
      <w:tblBorders>
        <w:insideH w:val="single" w:sz="4" w:space="0" w:color="4F81BD"/>
        <w:insideV w:val="single" w:sz="4" w:space="0" w:color="4F81BD"/>
      </w:tblBorders>
      <w:tblCellMar>
        <w:left w:w="28" w:type="dxa"/>
        <w:right w:w="28" w:type="dxa"/>
      </w:tblCellMar>
    </w:tblPr>
    <w:tcPr>
      <w:shd w:val="clear" w:color="auto" w:fill="FFFFFF"/>
    </w:tcPr>
    <w:tblStylePr w:type="firstRow">
      <w:pPr>
        <w:jc w:val="center"/>
      </w:pPr>
      <w:rPr>
        <w:rFonts w:ascii="System" w:hAnsi="System"/>
        <w:b/>
        <w:i/>
        <w:caps w:val="0"/>
        <w:smallCaps w:val="0"/>
        <w:strike w:val="0"/>
        <w:dstrike w:val="0"/>
        <w:vanish w:val="0"/>
        <w:color w:val="FFFFFF"/>
        <w:sz w:val="18"/>
        <w:vertAlign w:val="baseline"/>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FFFFFF"/>
        </w:tcBorders>
        <w:shd w:val="clear" w:color="auto" w:fill="4F81BD"/>
      </w:tcPr>
    </w:tblStylePr>
    <w:tblStylePr w:type="band1Horz">
      <w:rPr>
        <w:rFonts w:ascii="Arial" w:hAnsi="Arial"/>
        <w:color w:val="auto"/>
        <w:sz w:val="18"/>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DCE6F1"/>
      </w:tcPr>
    </w:tblStylePr>
    <w:tblStylePr w:type="band2Horz">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style>
  <w:style w:type="character" w:customStyle="1" w:styleId="Grillecouleur-Accent1Car">
    <w:name w:val="Grille couleur - Accent 1 Car"/>
    <w:link w:val="Grillecouleur-Accent1"/>
    <w:semiHidden/>
    <w:rsid w:val="00E800E3"/>
    <w:rPr>
      <w:rFonts w:ascii="Arial" w:hAnsi="Arial"/>
      <w:i/>
      <w:color w:val="000000"/>
      <w:sz w:val="20"/>
    </w:rPr>
  </w:style>
  <w:style w:type="paragraph" w:styleId="Liste">
    <w:name w:val="List"/>
    <w:basedOn w:val="Normal"/>
    <w:uiPriority w:val="99"/>
    <w:semiHidden/>
    <w:rsid w:val="00E800E3"/>
    <w:pPr>
      <w:suppressAutoHyphens/>
      <w:spacing w:before="120" w:line="312" w:lineRule="auto"/>
      <w:ind w:leftChars="-1" w:left="6024" w:hangingChars="1" w:hanging="360"/>
      <w:jc w:val="left"/>
      <w:textDirection w:val="btLr"/>
      <w:textAlignment w:val="top"/>
      <w:outlineLvl w:val="0"/>
    </w:pPr>
    <w:rPr>
      <w:rFonts w:ascii="Arial Narrow" w:eastAsia="Calibri" w:hAnsi="Arial Narrow" w:cs="Calibri"/>
      <w:position w:val="-1"/>
      <w:sz w:val="24"/>
      <w:szCs w:val="24"/>
    </w:rPr>
  </w:style>
  <w:style w:type="table" w:customStyle="1" w:styleId="Listeclaire-Accent11">
    <w:name w:val="Liste claire - Accent 11"/>
    <w:basedOn w:val="TableauNormal"/>
    <w:rsid w:val="00E800E3"/>
    <w:rPr>
      <w:rFonts w:eastAsia="Times New Roman"/>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leclaire-Accent11">
    <w:name w:val="Grille claire - Accent 11"/>
    <w:basedOn w:val="TableauNormal"/>
    <w:rsid w:val="00E800E3"/>
    <w:rPr>
      <w:lang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stem" w:eastAsia="MS Gothic" w:hAnsi="Syste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stem" w:eastAsia="MS Gothic" w:hAnsi="Syste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stem" w:eastAsia="MS Gothic" w:hAnsi="System" w:cs="Times New Roman"/>
        <w:b/>
        <w:bCs/>
      </w:rPr>
    </w:tblStylePr>
    <w:tblStylePr w:type="lastCol">
      <w:rPr>
        <w:rFonts w:ascii="System" w:eastAsia="MS Gothic" w:hAnsi="Syste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rameclaire-Accent2Car">
    <w:name w:val="Trame claire - Accent 2 Car"/>
    <w:link w:val="Trameclaire-Accent2"/>
    <w:semiHidden/>
    <w:rsid w:val="00E800E3"/>
    <w:rPr>
      <w:rFonts w:ascii="Andalus" w:hAnsi="Andalus"/>
      <w:b/>
      <w:bCs/>
      <w:i/>
      <w:iCs/>
      <w:color w:val="4F81BD"/>
    </w:rPr>
  </w:style>
  <w:style w:type="paragraph" w:styleId="Explorateurdedocuments">
    <w:name w:val="Document Map"/>
    <w:basedOn w:val="Normal"/>
    <w:link w:val="ExplorateurdedocumentsCar"/>
    <w:uiPriority w:val="99"/>
    <w:semiHidden/>
    <w:unhideWhenUsed/>
    <w:rsid w:val="00E800E3"/>
    <w:pPr>
      <w:suppressAutoHyphens/>
      <w:spacing w:before="120" w:after="120" w:line="1" w:lineRule="atLeast"/>
      <w:ind w:leftChars="-1" w:left="-1" w:hangingChars="1" w:hanging="1"/>
      <w:textDirection w:val="btLr"/>
      <w:textAlignment w:val="top"/>
      <w:outlineLvl w:val="0"/>
    </w:pPr>
    <w:rPr>
      <w:rFonts w:ascii="Tahoma" w:eastAsia="Calibri" w:hAnsi="Tahoma" w:cs="Tahoma"/>
      <w:position w:val="-1"/>
      <w:sz w:val="16"/>
      <w:szCs w:val="16"/>
      <w:lang w:eastAsia="en-US"/>
    </w:rPr>
  </w:style>
  <w:style w:type="character" w:customStyle="1" w:styleId="ExplorateurdedocumentsCar">
    <w:name w:val="Explorateur de documents Car"/>
    <w:link w:val="Explorateurdedocuments"/>
    <w:uiPriority w:val="99"/>
    <w:semiHidden/>
    <w:rsid w:val="00E800E3"/>
    <w:rPr>
      <w:rFonts w:ascii="Tahoma" w:eastAsia="Calibri" w:hAnsi="Tahoma" w:cs="Tahoma"/>
      <w:position w:val="-1"/>
      <w:sz w:val="16"/>
      <w:szCs w:val="16"/>
    </w:rPr>
  </w:style>
  <w:style w:type="numbering" w:customStyle="1" w:styleId="Aucuneliste111">
    <w:name w:val="Aucune liste111"/>
    <w:next w:val="Aucuneliste"/>
    <w:unhideWhenUsed/>
    <w:qFormat/>
    <w:rsid w:val="00E800E3"/>
  </w:style>
  <w:style w:type="table" w:customStyle="1" w:styleId="Sofreco1">
    <w:name w:val="Sofreco1"/>
    <w:basedOn w:val="TableauNormal"/>
    <w:qFormat/>
    <w:rsid w:val="00E800E3"/>
    <w:pPr>
      <w:ind w:left="1814"/>
    </w:pPr>
    <w:rPr>
      <w:rFonts w:ascii="Arial" w:eastAsia="Times New Roman" w:hAnsi="Arial"/>
      <w:sz w:val="18"/>
      <w:lang w:eastAsia="fr-FR"/>
    </w:rPr>
    <w:tblPr>
      <w:tblStyleRowBandSize w:val="1"/>
      <w:tblInd w:w="1701" w:type="dxa"/>
      <w:tblBorders>
        <w:insideH w:val="single" w:sz="4" w:space="0" w:color="4F81BD"/>
        <w:insideV w:val="single" w:sz="4" w:space="0" w:color="4F81BD"/>
      </w:tblBorders>
      <w:tblCellMar>
        <w:left w:w="28" w:type="dxa"/>
        <w:right w:w="28" w:type="dxa"/>
      </w:tblCellMar>
    </w:tblPr>
    <w:tcPr>
      <w:shd w:val="clear" w:color="auto" w:fill="FFFFFF"/>
    </w:tcPr>
    <w:tblStylePr w:type="firstRow">
      <w:pPr>
        <w:jc w:val="center"/>
      </w:pPr>
      <w:rPr>
        <w:rFonts w:ascii="System" w:hAnsi="System"/>
        <w:b/>
        <w:i/>
        <w:caps w:val="0"/>
        <w:smallCaps w:val="0"/>
        <w:strike w:val="0"/>
        <w:dstrike w:val="0"/>
        <w:vanish w:val="0"/>
        <w:color w:val="FFFFFF"/>
        <w:sz w:val="18"/>
        <w:vertAlign w:val="baseline"/>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FFFFFF"/>
        </w:tcBorders>
        <w:shd w:val="clear" w:color="auto" w:fill="4F81BD"/>
      </w:tcPr>
    </w:tblStylePr>
    <w:tblStylePr w:type="band1Horz">
      <w:rPr>
        <w:rFonts w:ascii="Arial" w:hAnsi="Arial"/>
        <w:color w:val="auto"/>
        <w:sz w:val="18"/>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DCE6F1"/>
      </w:tcPr>
    </w:tblStylePr>
    <w:tblStylePr w:type="band2Horz">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style>
  <w:style w:type="table" w:customStyle="1" w:styleId="Grilledutableau1">
    <w:name w:val="Grille du tableau1"/>
    <w:basedOn w:val="TableauNormal"/>
    <w:next w:val="Grilledutableau"/>
    <w:rsid w:val="00E800E3"/>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1">
    <w:name w:val="Liste claire - Accent 111"/>
    <w:basedOn w:val="TableauNormal"/>
    <w:rsid w:val="00E800E3"/>
    <w:rPr>
      <w:rFonts w:eastAsia="Times New Roman"/>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leclaire-Accent111">
    <w:name w:val="Grille claire - Accent 111"/>
    <w:basedOn w:val="TableauNormal"/>
    <w:rsid w:val="00E800E3"/>
    <w:rPr>
      <w:lang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stem" w:eastAsia="MS Gothic" w:hAnsi="Syste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stem" w:eastAsia="MS Gothic" w:hAnsi="Syste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stem" w:eastAsia="MS Gothic" w:hAnsi="System" w:cs="Times New Roman"/>
        <w:b/>
        <w:bCs/>
      </w:rPr>
    </w:tblStylePr>
    <w:tblStylePr w:type="lastCol">
      <w:rPr>
        <w:rFonts w:ascii="System" w:eastAsia="MS Gothic" w:hAnsi="Syste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ramecouleur-Accent11">
    <w:name w:val="Trame couleur - Accent 11"/>
    <w:hidden/>
    <w:rsid w:val="00E800E3"/>
    <w:pPr>
      <w:spacing w:before="120" w:after="120"/>
    </w:pPr>
    <w:rPr>
      <w:rFonts w:ascii="Arial" w:hAnsi="Arial" w:cs="Calibri"/>
      <w:szCs w:val="22"/>
      <w:lang w:val="fr-FR"/>
    </w:rPr>
  </w:style>
  <w:style w:type="table" w:customStyle="1" w:styleId="PlainTable51">
    <w:name w:val="Plain Table 51"/>
    <w:basedOn w:val="TableauNormal"/>
    <w:rsid w:val="00E800E3"/>
    <w:rPr>
      <w:lang w:eastAsia="fr-F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moyenne21">
    <w:name w:val="Liste moyenne 21"/>
    <w:basedOn w:val="TableauNormal"/>
    <w:uiPriority w:val="66"/>
    <w:rsid w:val="00E800E3"/>
    <w:rPr>
      <w:rFonts w:ascii="Cambria" w:eastAsia="Times New Roman" w:hAnsi="Cambria"/>
      <w:color w:val="000000"/>
      <w:lang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emoyenne2-Accent1">
    <w:name w:val="Medium List 2 Accent 1"/>
    <w:basedOn w:val="TableauNormal"/>
    <w:uiPriority w:val="66"/>
    <w:rsid w:val="00E800E3"/>
    <w:rPr>
      <w:rFonts w:ascii="Cambria" w:eastAsia="Times New Roman" w:hAnsi="Cambria"/>
      <w:color w:val="00000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emoyenne2-Accent2">
    <w:name w:val="Medium List 2 Accent 2"/>
    <w:basedOn w:val="TableauNormal"/>
    <w:uiPriority w:val="66"/>
    <w:rsid w:val="00E800E3"/>
    <w:rPr>
      <w:rFonts w:ascii="Cambria" w:eastAsia="Times New Roman" w:hAnsi="Cambria"/>
      <w:color w:val="000000"/>
      <w:lang w:eastAsia="fr-F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emoyenne2-Accent3">
    <w:name w:val="Medium List 2 Accent 3"/>
    <w:basedOn w:val="TableauNormal"/>
    <w:uiPriority w:val="66"/>
    <w:rsid w:val="00E800E3"/>
    <w:rPr>
      <w:rFonts w:ascii="Cambria" w:eastAsia="Times New Roman" w:hAnsi="Cambria"/>
      <w:color w:val="000000"/>
      <w:lang w:eastAsia="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emoyenne2-Accent5">
    <w:name w:val="Medium List 2 Accent 5"/>
    <w:basedOn w:val="TableauNormal"/>
    <w:uiPriority w:val="66"/>
    <w:rsid w:val="00E800E3"/>
    <w:rPr>
      <w:rFonts w:ascii="Cambria" w:eastAsia="Times New Roman" w:hAnsi="Cambria"/>
      <w:color w:val="000000"/>
      <w:lang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eGrid10">
    <w:name w:val="TableGrid1"/>
    <w:rsid w:val="00E800E3"/>
    <w:pPr>
      <w:spacing w:before="120" w:after="120"/>
    </w:pPr>
    <w:rPr>
      <w:rFonts w:eastAsia="Times New Roman"/>
      <w:sz w:val="22"/>
      <w:szCs w:val="22"/>
      <w:lang w:val="fr-FR" w:eastAsia="fr-FR"/>
    </w:rPr>
    <w:tblPr>
      <w:tblCellMar>
        <w:top w:w="0" w:type="dxa"/>
        <w:left w:w="0" w:type="dxa"/>
        <w:bottom w:w="0" w:type="dxa"/>
        <w:right w:w="0" w:type="dxa"/>
      </w:tblCellMar>
    </w:tblPr>
  </w:style>
  <w:style w:type="paragraph" w:customStyle="1" w:styleId="Tramecouleur-Accent12">
    <w:name w:val="Trame couleur - Accent 12"/>
    <w:hidden/>
    <w:rsid w:val="00E800E3"/>
    <w:pPr>
      <w:spacing w:before="120" w:after="120"/>
    </w:pPr>
    <w:rPr>
      <w:rFonts w:ascii="Arial" w:hAnsi="Arial" w:cs="Calibri"/>
      <w:szCs w:val="22"/>
      <w:lang w:val="fr-FR"/>
    </w:rPr>
  </w:style>
  <w:style w:type="table" w:customStyle="1" w:styleId="Trameclaire-Accent11">
    <w:name w:val="Trame claire - Accent 11"/>
    <w:basedOn w:val="TableauNormal"/>
    <w:uiPriority w:val="60"/>
    <w:rsid w:val="00E800E3"/>
    <w:rPr>
      <w:color w:val="2E74B5"/>
      <w:lang w:eastAsia="fr-F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Grilledutableau2">
    <w:name w:val="Grille du tableau2"/>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3">
    <w:name w:val="List 3"/>
    <w:basedOn w:val="Normal"/>
    <w:uiPriority w:val="99"/>
    <w:semiHidden/>
    <w:unhideWhenUsed/>
    <w:rsid w:val="00E800E3"/>
    <w:pPr>
      <w:suppressAutoHyphens/>
      <w:spacing w:after="200"/>
      <w:ind w:leftChars="-1" w:left="849" w:hangingChars="1" w:hanging="283"/>
      <w:contextualSpacing/>
      <w:textDirection w:val="btLr"/>
      <w:textAlignment w:val="top"/>
      <w:outlineLvl w:val="0"/>
    </w:pPr>
    <w:rPr>
      <w:rFonts w:ascii="Garamond" w:eastAsia="Calibri" w:hAnsi="Garamond" w:cs="Calibri"/>
      <w:position w:val="-1"/>
      <w:sz w:val="22"/>
      <w:lang w:eastAsia="en-US"/>
    </w:rPr>
  </w:style>
  <w:style w:type="paragraph" w:styleId="Liste4">
    <w:name w:val="List 4"/>
    <w:basedOn w:val="Normal"/>
    <w:uiPriority w:val="99"/>
    <w:semiHidden/>
    <w:unhideWhenUsed/>
    <w:rsid w:val="00E800E3"/>
    <w:pPr>
      <w:suppressAutoHyphens/>
      <w:spacing w:after="200"/>
      <w:ind w:leftChars="-1" w:left="1132" w:hangingChars="1" w:hanging="283"/>
      <w:contextualSpacing/>
      <w:textDirection w:val="btLr"/>
      <w:textAlignment w:val="top"/>
      <w:outlineLvl w:val="0"/>
    </w:pPr>
    <w:rPr>
      <w:rFonts w:ascii="Garamond" w:eastAsia="Calibri" w:hAnsi="Garamond" w:cs="Calibri"/>
      <w:position w:val="-1"/>
      <w:sz w:val="22"/>
      <w:lang w:eastAsia="en-US"/>
    </w:rPr>
  </w:style>
  <w:style w:type="paragraph" w:styleId="Listecontinue">
    <w:name w:val="List Continue"/>
    <w:basedOn w:val="Normal"/>
    <w:uiPriority w:val="99"/>
    <w:semiHidden/>
    <w:unhideWhenUsed/>
    <w:rsid w:val="00E800E3"/>
    <w:pPr>
      <w:suppressAutoHyphens/>
      <w:spacing w:after="120"/>
      <w:ind w:leftChars="-1" w:left="283" w:hangingChars="1" w:hanging="1"/>
      <w:contextualSpacing/>
      <w:textDirection w:val="btLr"/>
      <w:textAlignment w:val="top"/>
      <w:outlineLvl w:val="0"/>
    </w:pPr>
    <w:rPr>
      <w:rFonts w:ascii="Garamond" w:eastAsia="Calibri" w:hAnsi="Garamond" w:cs="Calibri"/>
      <w:position w:val="-1"/>
      <w:sz w:val="22"/>
      <w:lang w:eastAsia="en-US"/>
    </w:rPr>
  </w:style>
  <w:style w:type="paragraph" w:styleId="Listecontinue2">
    <w:name w:val="List Continue 2"/>
    <w:basedOn w:val="Normal"/>
    <w:uiPriority w:val="99"/>
    <w:semiHidden/>
    <w:unhideWhenUsed/>
    <w:rsid w:val="00E800E3"/>
    <w:pPr>
      <w:suppressAutoHyphens/>
      <w:spacing w:after="120"/>
      <w:ind w:leftChars="-1" w:left="566" w:hangingChars="1" w:hanging="1"/>
      <w:contextualSpacing/>
      <w:textDirection w:val="btLr"/>
      <w:textAlignment w:val="top"/>
      <w:outlineLvl w:val="0"/>
    </w:pPr>
    <w:rPr>
      <w:rFonts w:ascii="Garamond" w:eastAsia="Calibri" w:hAnsi="Garamond" w:cs="Calibri"/>
      <w:position w:val="-1"/>
      <w:sz w:val="22"/>
      <w:lang w:eastAsia="en-US"/>
    </w:rPr>
  </w:style>
  <w:style w:type="paragraph" w:styleId="Listecontinue3">
    <w:name w:val="List Continue 3"/>
    <w:basedOn w:val="Normal"/>
    <w:uiPriority w:val="99"/>
    <w:semiHidden/>
    <w:unhideWhenUsed/>
    <w:rsid w:val="00E800E3"/>
    <w:pPr>
      <w:suppressAutoHyphens/>
      <w:spacing w:after="120"/>
      <w:ind w:leftChars="-1" w:left="849" w:hangingChars="1" w:hanging="1"/>
      <w:contextualSpacing/>
      <w:textDirection w:val="btLr"/>
      <w:textAlignment w:val="top"/>
      <w:outlineLvl w:val="0"/>
    </w:pPr>
    <w:rPr>
      <w:rFonts w:ascii="Garamond" w:eastAsia="Calibri" w:hAnsi="Garamond" w:cs="Calibri"/>
      <w:position w:val="-1"/>
      <w:sz w:val="22"/>
      <w:lang w:eastAsia="en-US"/>
    </w:rPr>
  </w:style>
  <w:style w:type="paragraph" w:styleId="Listecontinue4">
    <w:name w:val="List Continue 4"/>
    <w:basedOn w:val="Normal"/>
    <w:uiPriority w:val="99"/>
    <w:semiHidden/>
    <w:unhideWhenUsed/>
    <w:rsid w:val="00E800E3"/>
    <w:pPr>
      <w:suppressAutoHyphens/>
      <w:spacing w:after="120"/>
      <w:ind w:leftChars="-1" w:left="1132" w:hangingChars="1" w:hanging="1"/>
      <w:contextualSpacing/>
      <w:textDirection w:val="btLr"/>
      <w:textAlignment w:val="top"/>
      <w:outlineLvl w:val="0"/>
    </w:pPr>
    <w:rPr>
      <w:rFonts w:ascii="Garamond" w:eastAsia="Calibri" w:hAnsi="Garamond" w:cs="Calibri"/>
      <w:position w:val="-1"/>
      <w:sz w:val="22"/>
      <w:lang w:eastAsia="en-US"/>
    </w:rPr>
  </w:style>
  <w:style w:type="paragraph" w:styleId="Listecontinue5">
    <w:name w:val="List Continue 5"/>
    <w:basedOn w:val="Normal"/>
    <w:uiPriority w:val="99"/>
    <w:semiHidden/>
    <w:unhideWhenUsed/>
    <w:rsid w:val="00E800E3"/>
    <w:pPr>
      <w:suppressAutoHyphens/>
      <w:spacing w:after="120"/>
      <w:ind w:leftChars="-1" w:left="1415" w:hangingChars="1" w:hanging="1"/>
      <w:contextualSpacing/>
      <w:textDirection w:val="btLr"/>
      <w:textAlignment w:val="top"/>
      <w:outlineLvl w:val="0"/>
    </w:pPr>
    <w:rPr>
      <w:rFonts w:ascii="Garamond" w:eastAsia="Calibri" w:hAnsi="Garamond" w:cs="Calibri"/>
      <w:position w:val="-1"/>
      <w:sz w:val="22"/>
      <w:lang w:eastAsia="en-US"/>
    </w:rPr>
  </w:style>
  <w:style w:type="paragraph" w:styleId="Signaturelectronique">
    <w:name w:val="E-mail Signature"/>
    <w:basedOn w:val="Normal"/>
    <w:link w:val="SignaturelectroniqueCar"/>
    <w:uiPriority w:val="99"/>
    <w:semiHidden/>
    <w:unhideWhenUsed/>
    <w:rsid w:val="00E800E3"/>
    <w:pPr>
      <w:suppressAutoHyphens/>
      <w:spacing w:line="1" w:lineRule="atLeast"/>
      <w:ind w:leftChars="-1" w:left="-1" w:hangingChars="1" w:hanging="1"/>
      <w:textDirection w:val="btLr"/>
      <w:textAlignment w:val="top"/>
      <w:outlineLvl w:val="0"/>
    </w:pPr>
    <w:rPr>
      <w:rFonts w:ascii="Garamond" w:eastAsia="Calibri" w:hAnsi="Garamond" w:cs="Calibri"/>
      <w:position w:val="-1"/>
      <w:sz w:val="22"/>
      <w:lang w:eastAsia="en-US"/>
    </w:rPr>
  </w:style>
  <w:style w:type="character" w:customStyle="1" w:styleId="SignaturelectroniqueCar">
    <w:name w:val="Signature électronique Car"/>
    <w:link w:val="Signaturelectronique"/>
    <w:uiPriority w:val="99"/>
    <w:semiHidden/>
    <w:rsid w:val="00E800E3"/>
    <w:rPr>
      <w:rFonts w:ascii="Garamond" w:eastAsia="Calibri" w:hAnsi="Garamond" w:cs="Calibri"/>
      <w:position w:val="-1"/>
    </w:rPr>
  </w:style>
  <w:style w:type="paragraph" w:styleId="Salutations">
    <w:name w:val="Salutation"/>
    <w:basedOn w:val="Normal"/>
    <w:next w:val="Normal"/>
    <w:link w:val="SalutationsCar"/>
    <w:uiPriority w:val="99"/>
    <w:semiHidden/>
    <w:unhideWhenUsed/>
    <w:rsid w:val="00E800E3"/>
    <w:pPr>
      <w:suppressAutoHyphens/>
      <w:spacing w:after="200"/>
      <w:ind w:leftChars="-1" w:left="-1" w:hangingChars="1" w:hanging="1"/>
      <w:textDirection w:val="btLr"/>
      <w:textAlignment w:val="top"/>
      <w:outlineLvl w:val="0"/>
    </w:pPr>
    <w:rPr>
      <w:rFonts w:ascii="Garamond" w:eastAsia="Calibri" w:hAnsi="Garamond" w:cs="Calibri"/>
      <w:position w:val="-1"/>
      <w:sz w:val="22"/>
      <w:lang w:eastAsia="en-US"/>
    </w:rPr>
  </w:style>
  <w:style w:type="character" w:customStyle="1" w:styleId="SalutationsCar">
    <w:name w:val="Salutations Car"/>
    <w:link w:val="Salutations"/>
    <w:uiPriority w:val="99"/>
    <w:semiHidden/>
    <w:rsid w:val="00E800E3"/>
    <w:rPr>
      <w:rFonts w:ascii="Garamond" w:eastAsia="Calibri" w:hAnsi="Garamond" w:cs="Calibri"/>
      <w:position w:val="-1"/>
    </w:rPr>
  </w:style>
  <w:style w:type="paragraph" w:styleId="Formuledepolitesse">
    <w:name w:val="Closing"/>
    <w:basedOn w:val="Normal"/>
    <w:link w:val="FormuledepolitesseCar"/>
    <w:uiPriority w:val="99"/>
    <w:semiHidden/>
    <w:unhideWhenUsed/>
    <w:rsid w:val="00E800E3"/>
    <w:pPr>
      <w:suppressAutoHyphens/>
      <w:spacing w:line="1" w:lineRule="atLeast"/>
      <w:ind w:leftChars="-1" w:left="4252" w:hangingChars="1" w:hanging="1"/>
      <w:textDirection w:val="btLr"/>
      <w:textAlignment w:val="top"/>
      <w:outlineLvl w:val="0"/>
    </w:pPr>
    <w:rPr>
      <w:rFonts w:ascii="Garamond" w:eastAsia="Calibri" w:hAnsi="Garamond" w:cs="Calibri"/>
      <w:position w:val="-1"/>
      <w:sz w:val="22"/>
      <w:lang w:eastAsia="en-US"/>
    </w:rPr>
  </w:style>
  <w:style w:type="character" w:customStyle="1" w:styleId="FormuledepolitesseCar">
    <w:name w:val="Formule de politesse Car"/>
    <w:link w:val="Formuledepolitesse"/>
    <w:uiPriority w:val="99"/>
    <w:semiHidden/>
    <w:rsid w:val="00E800E3"/>
    <w:rPr>
      <w:rFonts w:ascii="Garamond" w:eastAsia="Calibri" w:hAnsi="Garamond" w:cs="Calibri"/>
      <w:position w:val="-1"/>
    </w:rPr>
  </w:style>
  <w:style w:type="paragraph" w:styleId="Tabledesrfrencesjuridiques">
    <w:name w:val="table of authorities"/>
    <w:basedOn w:val="Normal"/>
    <w:next w:val="Normal"/>
    <w:uiPriority w:val="99"/>
    <w:semiHidden/>
    <w:unhideWhenUsed/>
    <w:rsid w:val="00E800E3"/>
    <w:pPr>
      <w:suppressAutoHyphens/>
      <w:ind w:leftChars="-1" w:left="220" w:hangingChars="1" w:hanging="220"/>
      <w:textDirection w:val="btLr"/>
      <w:textAlignment w:val="top"/>
      <w:outlineLvl w:val="0"/>
    </w:pPr>
    <w:rPr>
      <w:rFonts w:ascii="Garamond" w:eastAsia="Calibri" w:hAnsi="Garamond" w:cs="Calibri"/>
      <w:position w:val="-1"/>
      <w:sz w:val="22"/>
      <w:lang w:eastAsia="en-US"/>
    </w:rPr>
  </w:style>
  <w:style w:type="paragraph" w:styleId="Adressedestinataire">
    <w:name w:val="envelope address"/>
    <w:basedOn w:val="Normal"/>
    <w:uiPriority w:val="99"/>
    <w:semiHidden/>
    <w:unhideWhenUsed/>
    <w:rsid w:val="00E800E3"/>
    <w:pPr>
      <w:framePr w:w="7938" w:h="1985" w:hRule="exact" w:hSpace="141" w:wrap="auto" w:hAnchor="page" w:xAlign="center" w:yAlign="bottom"/>
      <w:suppressAutoHyphens/>
      <w:spacing w:line="1" w:lineRule="atLeast"/>
      <w:ind w:leftChars="-1" w:left="2835" w:hangingChars="1" w:hanging="1"/>
      <w:textDirection w:val="btLr"/>
      <w:textAlignment w:val="top"/>
      <w:outlineLvl w:val="0"/>
    </w:pPr>
    <w:rPr>
      <w:rFonts w:ascii="Calibri Light" w:eastAsia="Calibri" w:hAnsi="Calibri Light" w:cs="Calibri"/>
      <w:position w:val="-1"/>
      <w:sz w:val="24"/>
      <w:szCs w:val="24"/>
      <w:lang w:eastAsia="en-US"/>
    </w:rPr>
  </w:style>
  <w:style w:type="paragraph" w:styleId="AdresseHTML">
    <w:name w:val="HTML Address"/>
    <w:basedOn w:val="Normal"/>
    <w:link w:val="AdresseHTMLCar"/>
    <w:uiPriority w:val="99"/>
    <w:semiHidden/>
    <w:unhideWhenUsed/>
    <w:rsid w:val="00E800E3"/>
    <w:pPr>
      <w:suppressAutoHyphens/>
      <w:spacing w:line="1" w:lineRule="atLeast"/>
      <w:ind w:leftChars="-1" w:left="-1" w:hangingChars="1" w:hanging="1"/>
      <w:textDirection w:val="btLr"/>
      <w:textAlignment w:val="top"/>
      <w:outlineLvl w:val="0"/>
    </w:pPr>
    <w:rPr>
      <w:rFonts w:ascii="Garamond" w:eastAsia="Calibri" w:hAnsi="Garamond" w:cs="Calibri"/>
      <w:i/>
      <w:iCs/>
      <w:position w:val="-1"/>
      <w:sz w:val="22"/>
      <w:lang w:eastAsia="en-US"/>
    </w:rPr>
  </w:style>
  <w:style w:type="character" w:customStyle="1" w:styleId="AdresseHTMLCar">
    <w:name w:val="Adresse HTML Car"/>
    <w:link w:val="AdresseHTML"/>
    <w:uiPriority w:val="99"/>
    <w:semiHidden/>
    <w:rsid w:val="00E800E3"/>
    <w:rPr>
      <w:rFonts w:ascii="Garamond" w:eastAsia="Calibri" w:hAnsi="Garamond" w:cs="Calibri"/>
      <w:i/>
      <w:iCs/>
      <w:position w:val="-1"/>
    </w:rPr>
  </w:style>
  <w:style w:type="paragraph" w:styleId="Adresseexpditeur">
    <w:name w:val="envelope return"/>
    <w:basedOn w:val="Normal"/>
    <w:uiPriority w:val="99"/>
    <w:semiHidden/>
    <w:unhideWhenUsed/>
    <w:rsid w:val="00E800E3"/>
    <w:pPr>
      <w:suppressAutoHyphens/>
      <w:spacing w:line="1" w:lineRule="atLeast"/>
      <w:ind w:leftChars="-1" w:left="-1" w:hangingChars="1" w:hanging="1"/>
      <w:textDirection w:val="btLr"/>
      <w:textAlignment w:val="top"/>
      <w:outlineLvl w:val="0"/>
    </w:pPr>
    <w:rPr>
      <w:rFonts w:ascii="Calibri Light" w:eastAsia="Calibri" w:hAnsi="Calibri Light" w:cs="Calibri"/>
      <w:position w:val="-1"/>
      <w:sz w:val="20"/>
      <w:szCs w:val="20"/>
      <w:lang w:eastAsia="en-US"/>
    </w:rPr>
  </w:style>
  <w:style w:type="paragraph" w:styleId="En-ttedemessage">
    <w:name w:val="Message Header"/>
    <w:basedOn w:val="Normal"/>
    <w:link w:val="En-ttedemessageCar"/>
    <w:uiPriority w:val="99"/>
    <w:semiHidden/>
    <w:unhideWhenUsed/>
    <w:rsid w:val="00E800E3"/>
    <w:pPr>
      <w:pBdr>
        <w:top w:val="single" w:sz="6" w:space="1" w:color="auto"/>
        <w:left w:val="single" w:sz="6" w:space="1" w:color="auto"/>
        <w:bottom w:val="single" w:sz="6" w:space="1" w:color="auto"/>
        <w:right w:val="single" w:sz="6" w:space="1" w:color="auto"/>
      </w:pBdr>
      <w:shd w:val="pct20" w:color="auto" w:fill="auto"/>
      <w:suppressAutoHyphens/>
      <w:spacing w:line="1" w:lineRule="atLeast"/>
      <w:ind w:leftChars="-1" w:left="1134" w:hangingChars="1" w:hanging="1134"/>
      <w:textDirection w:val="btLr"/>
      <w:textAlignment w:val="top"/>
      <w:outlineLvl w:val="0"/>
    </w:pPr>
    <w:rPr>
      <w:rFonts w:ascii="Calibri Light" w:eastAsia="Calibri" w:hAnsi="Calibri Light" w:cs="Calibri"/>
      <w:position w:val="-1"/>
      <w:sz w:val="24"/>
      <w:szCs w:val="24"/>
      <w:lang w:eastAsia="en-US"/>
    </w:rPr>
  </w:style>
  <w:style w:type="character" w:customStyle="1" w:styleId="En-ttedemessageCar">
    <w:name w:val="En-tête de message Car"/>
    <w:link w:val="En-ttedemessage"/>
    <w:uiPriority w:val="99"/>
    <w:semiHidden/>
    <w:rsid w:val="00E800E3"/>
    <w:rPr>
      <w:rFonts w:ascii="Calibri Light" w:eastAsia="Calibri" w:hAnsi="Calibri Light" w:cs="Calibri"/>
      <w:position w:val="-1"/>
      <w:sz w:val="24"/>
      <w:szCs w:val="24"/>
      <w:shd w:val="pct20" w:color="auto" w:fill="auto"/>
    </w:rPr>
  </w:style>
  <w:style w:type="paragraph" w:styleId="Titredenote">
    <w:name w:val="Note Heading"/>
    <w:basedOn w:val="Normal"/>
    <w:next w:val="Normal"/>
    <w:link w:val="TitredenoteCar"/>
    <w:uiPriority w:val="99"/>
    <w:semiHidden/>
    <w:unhideWhenUsed/>
    <w:rsid w:val="00E800E3"/>
    <w:pPr>
      <w:suppressAutoHyphens/>
      <w:spacing w:line="1" w:lineRule="atLeast"/>
      <w:ind w:leftChars="-1" w:left="-1" w:hangingChars="1" w:hanging="1"/>
      <w:textDirection w:val="btLr"/>
      <w:textAlignment w:val="top"/>
      <w:outlineLvl w:val="0"/>
    </w:pPr>
    <w:rPr>
      <w:rFonts w:ascii="Garamond" w:eastAsia="Calibri" w:hAnsi="Garamond" w:cs="Calibri"/>
      <w:position w:val="-1"/>
      <w:sz w:val="22"/>
      <w:lang w:eastAsia="en-US"/>
    </w:rPr>
  </w:style>
  <w:style w:type="character" w:customStyle="1" w:styleId="TitredenoteCar">
    <w:name w:val="Titre de note Car"/>
    <w:link w:val="Titredenote"/>
    <w:uiPriority w:val="99"/>
    <w:semiHidden/>
    <w:rsid w:val="00E800E3"/>
    <w:rPr>
      <w:rFonts w:ascii="Garamond" w:eastAsia="Calibri" w:hAnsi="Garamond" w:cs="Calibri"/>
      <w:position w:val="-1"/>
    </w:rPr>
  </w:style>
  <w:style w:type="paragraph" w:styleId="Listenumros5">
    <w:name w:val="List Number 5"/>
    <w:basedOn w:val="Normal"/>
    <w:uiPriority w:val="99"/>
    <w:semiHidden/>
    <w:unhideWhenUsed/>
    <w:rsid w:val="00E800E3"/>
    <w:pPr>
      <w:numPr>
        <w:numId w:val="141"/>
      </w:numPr>
      <w:tabs>
        <w:tab w:val="clear" w:pos="1492"/>
      </w:tabs>
      <w:suppressAutoHyphens/>
      <w:spacing w:after="200"/>
      <w:ind w:leftChars="-1" w:left="720" w:hangingChars="1" w:hanging="1"/>
      <w:contextualSpacing/>
      <w:textDirection w:val="btLr"/>
      <w:textAlignment w:val="top"/>
      <w:outlineLvl w:val="0"/>
    </w:pPr>
    <w:rPr>
      <w:rFonts w:ascii="Garamond" w:eastAsia="Calibri" w:hAnsi="Garamond" w:cs="Calibri"/>
      <w:position w:val="-1"/>
      <w:sz w:val="22"/>
      <w:lang w:eastAsia="en-US"/>
    </w:rPr>
  </w:style>
  <w:style w:type="paragraph" w:styleId="Retrait1religne">
    <w:name w:val="Body Text First Indent"/>
    <w:basedOn w:val="Normal"/>
    <w:link w:val="Retrait1religneCar"/>
    <w:uiPriority w:val="99"/>
    <w:semiHidden/>
    <w:unhideWhenUsed/>
    <w:rsid w:val="00E800E3"/>
    <w:pPr>
      <w:spacing w:after="200"/>
      <w:ind w:firstLine="360"/>
    </w:pPr>
    <w:rPr>
      <w:rFonts w:ascii="Garamond" w:eastAsia="Calibri" w:hAnsi="Garamond"/>
      <w:sz w:val="22"/>
      <w:lang w:eastAsia="en-US"/>
    </w:rPr>
  </w:style>
  <w:style w:type="character" w:customStyle="1" w:styleId="Retrait1religneCar">
    <w:name w:val="Retrait 1re ligne Car"/>
    <w:link w:val="Retrait1religne"/>
    <w:uiPriority w:val="99"/>
    <w:semiHidden/>
    <w:rsid w:val="00E800E3"/>
    <w:rPr>
      <w:rFonts w:ascii="Garamond" w:eastAsia="MS Mincho" w:hAnsi="Garamond" w:cs="Times New Roman"/>
      <w:sz w:val="28"/>
      <w:szCs w:val="24"/>
      <w:lang w:eastAsia="fr-FR"/>
    </w:rPr>
  </w:style>
  <w:style w:type="paragraph" w:styleId="Retraitcorpset1relig">
    <w:name w:val="Body Text First Indent 2"/>
    <w:basedOn w:val="Retraitcorpsdetexte"/>
    <w:link w:val="Retraitcorpset1religCar"/>
    <w:uiPriority w:val="99"/>
    <w:semiHidden/>
    <w:unhideWhenUsed/>
    <w:rsid w:val="00E800E3"/>
    <w:pPr>
      <w:suppressAutoHyphens/>
      <w:spacing w:after="200"/>
      <w:ind w:leftChars="-1" w:left="360" w:hangingChars="1" w:hanging="1"/>
      <w:textDirection w:val="btLr"/>
      <w:textAlignment w:val="top"/>
      <w:outlineLvl w:val="0"/>
    </w:pPr>
    <w:rPr>
      <w:rFonts w:ascii="Garamond" w:eastAsia="Calibri" w:hAnsi="Garamond" w:cs="Calibri"/>
      <w:position w:val="-1"/>
      <w:sz w:val="22"/>
      <w:lang w:eastAsia="en-US"/>
    </w:rPr>
  </w:style>
  <w:style w:type="character" w:customStyle="1" w:styleId="Retraitcorpset1religCar">
    <w:name w:val="Retrait corps et 1re lig. Car"/>
    <w:link w:val="Retraitcorpset1relig"/>
    <w:uiPriority w:val="99"/>
    <w:semiHidden/>
    <w:rsid w:val="00E800E3"/>
    <w:rPr>
      <w:rFonts w:ascii="Garamond" w:eastAsia="Calibri" w:hAnsi="Garamond" w:cs="Calibri"/>
      <w:position w:val="-1"/>
      <w:sz w:val="21"/>
      <w:lang w:eastAsia="fr-FR"/>
    </w:rPr>
  </w:style>
  <w:style w:type="paragraph" w:styleId="Textedemacro">
    <w:name w:val="macro"/>
    <w:link w:val="TextedemacroCar"/>
    <w:uiPriority w:val="99"/>
    <w:semiHidden/>
    <w:unhideWhenUsed/>
    <w:rsid w:val="00E800E3"/>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lang w:val="fr-FR"/>
    </w:rPr>
  </w:style>
  <w:style w:type="character" w:customStyle="1" w:styleId="TextedemacroCar">
    <w:name w:val="Texte de macro Car"/>
    <w:link w:val="Textedemacro"/>
    <w:uiPriority w:val="99"/>
    <w:semiHidden/>
    <w:rsid w:val="00E800E3"/>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E800E3"/>
    <w:pPr>
      <w:spacing w:line="240" w:lineRule="auto"/>
      <w:ind w:left="240" w:hanging="240"/>
      <w:jc w:val="left"/>
    </w:pPr>
    <w:rPr>
      <w:rFonts w:ascii="Times New Roman" w:eastAsia="Calibri" w:hAnsi="Times New Roman"/>
      <w:sz w:val="24"/>
      <w:szCs w:val="24"/>
      <w:lang w:eastAsia="en-US"/>
    </w:rPr>
  </w:style>
  <w:style w:type="paragraph" w:styleId="Titreindex">
    <w:name w:val="index heading"/>
    <w:basedOn w:val="Normal"/>
    <w:next w:val="Normal"/>
    <w:uiPriority w:val="99"/>
    <w:semiHidden/>
    <w:unhideWhenUsed/>
    <w:rsid w:val="00E800E3"/>
    <w:pPr>
      <w:suppressAutoHyphens/>
      <w:spacing w:after="200"/>
      <w:ind w:leftChars="-1" w:left="-1" w:hangingChars="1" w:hanging="1"/>
      <w:textDirection w:val="btLr"/>
      <w:textAlignment w:val="top"/>
      <w:outlineLvl w:val="0"/>
    </w:pPr>
    <w:rPr>
      <w:rFonts w:ascii="Calibri Light" w:eastAsia="Calibri" w:hAnsi="Calibri Light" w:cs="Calibri"/>
      <w:b/>
      <w:bCs/>
      <w:position w:val="-1"/>
      <w:sz w:val="22"/>
      <w:lang w:eastAsia="en-US"/>
    </w:rPr>
  </w:style>
  <w:style w:type="paragraph" w:styleId="TitreTR">
    <w:name w:val="toa heading"/>
    <w:basedOn w:val="Normal"/>
    <w:next w:val="Normal"/>
    <w:uiPriority w:val="99"/>
    <w:semiHidden/>
    <w:unhideWhenUsed/>
    <w:rsid w:val="00E800E3"/>
    <w:pPr>
      <w:suppressAutoHyphens/>
      <w:spacing w:before="120" w:after="200"/>
      <w:ind w:leftChars="-1" w:left="-1" w:hangingChars="1" w:hanging="1"/>
      <w:textDirection w:val="btLr"/>
      <w:textAlignment w:val="top"/>
      <w:outlineLvl w:val="0"/>
    </w:pPr>
    <w:rPr>
      <w:rFonts w:ascii="Calibri Light" w:eastAsia="Calibri" w:hAnsi="Calibri Light" w:cs="Calibri"/>
      <w:b/>
      <w:bCs/>
      <w:position w:val="-1"/>
      <w:sz w:val="24"/>
      <w:szCs w:val="24"/>
      <w:lang w:eastAsia="en-US"/>
    </w:rPr>
  </w:style>
  <w:style w:type="table" w:customStyle="1" w:styleId="Grillecouleur-Accent13">
    <w:name w:val="Grille couleur - Accent 13"/>
    <w:basedOn w:val="TableauNormal"/>
    <w:next w:val="Grillecouleur-Accent1"/>
    <w:unhideWhenUsed/>
    <w:qFormat/>
    <w:rsid w:val="00E800E3"/>
    <w:rPr>
      <w:rFonts w:ascii="Arial" w:hAnsi="Arial"/>
      <w:i/>
      <w:color w:val="000000"/>
      <w:lang w:eastAsia="fr-FR"/>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Listecouleur-Accent12">
    <w:name w:val="Liste couleur - Accent 12"/>
    <w:basedOn w:val="TableauNormal"/>
    <w:next w:val="Listecouleur-Accent1"/>
    <w:unhideWhenUsed/>
    <w:qFormat/>
    <w:rsid w:val="00E800E3"/>
    <w:rPr>
      <w:lang w:eastAsia="fr-FR"/>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Grillemoyenne23">
    <w:name w:val="Grille moyenne 23"/>
    <w:basedOn w:val="TableauNormal"/>
    <w:next w:val="Grillemoyenne25"/>
    <w:unhideWhenUsed/>
    <w:qFormat/>
    <w:rsid w:val="00E800E3"/>
    <w:rPr>
      <w:szCs w:val="3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rameclaire-Accent23">
    <w:name w:val="Trame claire - Accent 23"/>
    <w:basedOn w:val="TableauNormal"/>
    <w:next w:val="Trameclaire-Accent2"/>
    <w:unhideWhenUsed/>
    <w:qFormat/>
    <w:rsid w:val="00E800E3"/>
    <w:rPr>
      <w:rFonts w:ascii="Andalus" w:hAnsi="Andalus"/>
      <w:b/>
      <w:bCs/>
      <w:i/>
      <w:iCs/>
      <w:color w:val="4F81BD"/>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Grilledutableau3">
    <w:name w:val="Grille du tableau3"/>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nhideWhenUsed/>
    <w:qFormat/>
    <w:rsid w:val="00E800E3"/>
  </w:style>
  <w:style w:type="table" w:customStyle="1" w:styleId="Grilledutableau4">
    <w:name w:val="Grille du tableau4"/>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21">
    <w:name w:val="Liste couleur - Accent 121"/>
    <w:basedOn w:val="TableauNormal"/>
    <w:next w:val="Listecouleur-Accent1"/>
    <w:rsid w:val="00E800E3"/>
    <w:rPr>
      <w:lang w:eastAsia="fr-FR"/>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31">
    <w:name w:val="Grille moyenne 231"/>
    <w:basedOn w:val="TableauNormal"/>
    <w:next w:val="Grillemoyenne25"/>
    <w:rsid w:val="00E800E3"/>
    <w:rPr>
      <w:rFonts w:eastAsia="Times New Roman"/>
      <w:lang w:eastAsia="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31">
    <w:name w:val="Grille couleur - Accent 131"/>
    <w:basedOn w:val="TableauNormal"/>
    <w:next w:val="Grillecouleur-Accent1"/>
    <w:rsid w:val="00E800E3"/>
    <w:rPr>
      <w:rFonts w:ascii="Andalus" w:eastAsia="Times New Roman" w:hAnsi="Andalus"/>
      <w:i/>
      <w:iCs/>
      <w:color w:val="000000"/>
      <w:kern w:val="28"/>
      <w:lang w:eastAsia="fr-FR"/>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rameclaire-Accent231">
    <w:name w:val="Trame claire - Accent 231"/>
    <w:basedOn w:val="TableauNormal"/>
    <w:next w:val="Trameclaire-Accent2"/>
    <w:rsid w:val="00E800E3"/>
    <w:rPr>
      <w:rFonts w:ascii="Andalus" w:eastAsia="Times New Roman" w:hAnsi="Andalus"/>
      <w:b/>
      <w:bCs/>
      <w:i/>
      <w:iCs/>
      <w:color w:val="4F81BD"/>
      <w:kern w:val="28"/>
      <w:lang w:eastAsia="fr-FR"/>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Grilledutableau5">
    <w:name w:val="Grille du tableau5"/>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nhideWhenUsed/>
    <w:qFormat/>
    <w:rsid w:val="00E800E3"/>
  </w:style>
  <w:style w:type="table" w:customStyle="1" w:styleId="Grilledutableau6">
    <w:name w:val="Grille du tableau6"/>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TableauNormal"/>
    <w:next w:val="Ombrageclair4"/>
    <w:unhideWhenUsed/>
    <w:qFormat/>
    <w:rsid w:val="00E800E3"/>
    <w:rPr>
      <w:color w:val="000000"/>
      <w:lang w:eastAsia="fr-F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1">
    <w:name w:val="Trame claire - Accent 111"/>
    <w:basedOn w:val="TableauNormal"/>
    <w:next w:val="Trameclaire-Accent11"/>
    <w:unhideWhenUsed/>
    <w:qFormat/>
    <w:rsid w:val="00E800E3"/>
    <w:rPr>
      <w:color w:val="2E74B5"/>
      <w:lang w:eastAsia="fr-FR"/>
    </w:rPr>
    <w:tblPr>
      <w:tblStyleRowBandSize w:val="1"/>
      <w:tblStyleColBandSize w:val="1"/>
      <w:tblBorders>
        <w:top w:val="single" w:sz="8" w:space="0" w:color="5B9BD5"/>
        <w:bottom w:val="single" w:sz="8" w:space="0" w:color="5B9BD5"/>
      </w:tblBorders>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rameclaire-Accent31">
    <w:name w:val="Trame claire - Accent 31"/>
    <w:basedOn w:val="TableauNormal"/>
    <w:next w:val="Trameclaire-Accent3"/>
    <w:unhideWhenUsed/>
    <w:qFormat/>
    <w:rsid w:val="00E800E3"/>
    <w:rPr>
      <w:color w:val="7B7B7B"/>
      <w:lang w:eastAsia="fr-FR"/>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steclaire-Accent31">
    <w:name w:val="Liste claire - Accent 31"/>
    <w:basedOn w:val="TableauNormal"/>
    <w:next w:val="Listeclaire-Accent3"/>
    <w:unhideWhenUsed/>
    <w:qFormat/>
    <w:rsid w:val="00E800E3"/>
    <w:rPr>
      <w:lang w:eastAsia="fr-F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Autospacing="0" w:afterLines="0" w:afterAutospacing="0" w:line="240" w:lineRule="auto"/>
      </w:pPr>
      <w:rPr>
        <w:b/>
        <w:bCs/>
        <w:color w:val="FFFFFF"/>
      </w:rPr>
      <w:tblPr/>
      <w:tcPr>
        <w:shd w:val="clear" w:color="auto" w:fill="A5A5A5"/>
      </w:tcPr>
    </w:tblStylePr>
    <w:tblStylePr w:type="lastRow">
      <w:pPr>
        <w:spacing w:beforeLines="0" w:beforeAutospacing="0" w:afterLines="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11">
    <w:name w:val="Table Normal11"/>
    <w:qFormat/>
    <w:rsid w:val="00E800E3"/>
    <w:pPr>
      <w:widowControl w:val="0"/>
      <w:autoSpaceDE w:val="0"/>
      <w:autoSpaceDN w:val="0"/>
    </w:pPr>
    <w:rPr>
      <w:sz w:val="22"/>
      <w:szCs w:val="22"/>
    </w:rPr>
    <w:tblPr>
      <w:tblCellMar>
        <w:top w:w="0" w:type="dxa"/>
        <w:left w:w="0" w:type="dxa"/>
        <w:bottom w:w="0" w:type="dxa"/>
        <w:right w:w="0" w:type="dxa"/>
      </w:tblCellMar>
    </w:tblPr>
  </w:style>
  <w:style w:type="table" w:customStyle="1" w:styleId="Grilledutableau14">
    <w:name w:val="Grille du tableau14"/>
    <w:basedOn w:val="TableauNormal"/>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rsid w:val="00E800E3"/>
    <w:rPr>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mbrageclair2">
    <w:name w:val="Ombrage clair2"/>
    <w:basedOn w:val="TableauNormal"/>
    <w:next w:val="Ombrageclair4"/>
    <w:unhideWhenUsed/>
    <w:qFormat/>
    <w:rsid w:val="00E800E3"/>
    <w:rPr>
      <w:color w:val="00000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32">
    <w:name w:val="Trame claire - Accent 32"/>
    <w:basedOn w:val="TableauNormal"/>
    <w:next w:val="Trameclaire-Accent3"/>
    <w:unhideWhenUsed/>
    <w:qFormat/>
    <w:rsid w:val="00E800E3"/>
    <w:rPr>
      <w:color w:val="7B7B7B"/>
      <w:lang w:eastAsia="fr-F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steclaire-Accent32">
    <w:name w:val="Liste claire - Accent 32"/>
    <w:basedOn w:val="TableauNormal"/>
    <w:next w:val="Listeclaire-Accent3"/>
    <w:unhideWhenUsed/>
    <w:qFormat/>
    <w:rsid w:val="00E800E3"/>
    <w:rPr>
      <w:lang w:eastAsia="fr-F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Aucuneliste1111">
    <w:name w:val="Aucune liste1111"/>
    <w:next w:val="Aucuneliste"/>
    <w:unhideWhenUsed/>
    <w:qFormat/>
    <w:rsid w:val="00E800E3"/>
  </w:style>
  <w:style w:type="numbering" w:customStyle="1" w:styleId="Aucuneliste11111">
    <w:name w:val="Aucune liste11111"/>
    <w:next w:val="Aucuneliste"/>
    <w:unhideWhenUsed/>
    <w:qFormat/>
    <w:rsid w:val="00E800E3"/>
  </w:style>
  <w:style w:type="table" w:customStyle="1" w:styleId="Grilledutableau111">
    <w:name w:val="Grille du tableau111"/>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21">
    <w:name w:val="Ombrage clair21"/>
    <w:basedOn w:val="TableauNormal"/>
    <w:next w:val="Ombrageclair4"/>
    <w:unhideWhenUsed/>
    <w:qFormat/>
    <w:rsid w:val="00E800E3"/>
    <w:rPr>
      <w:color w:val="00000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321">
    <w:name w:val="Trame claire - Accent 321"/>
    <w:basedOn w:val="TableauNormal"/>
    <w:next w:val="Trameclaire-Accent3"/>
    <w:unhideWhenUsed/>
    <w:qFormat/>
    <w:rsid w:val="00E800E3"/>
    <w:rPr>
      <w:color w:val="7B7B7B"/>
      <w:lang w:eastAsia="fr-F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steclaire-Accent321">
    <w:name w:val="Liste claire - Accent 321"/>
    <w:basedOn w:val="TableauNormal"/>
    <w:next w:val="Listeclaire-Accent3"/>
    <w:unhideWhenUsed/>
    <w:qFormat/>
    <w:rsid w:val="00E800E3"/>
    <w:rPr>
      <w:lang w:eastAsia="fr-F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Grillecouleur-Accent14">
    <w:name w:val="Grille couleur - Accent 14"/>
    <w:basedOn w:val="TableauNormal"/>
    <w:next w:val="Grillecouleur-Accent1"/>
    <w:unhideWhenUsed/>
    <w:qFormat/>
    <w:rsid w:val="00E800E3"/>
    <w:rPr>
      <w:rFonts w:ascii="Arial" w:hAnsi="Arial"/>
      <w:i/>
      <w:color w:val="000000"/>
      <w:lang w:eastAsia="fr-FR"/>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stecouleur-Accent13">
    <w:name w:val="Liste couleur - Accent 13"/>
    <w:basedOn w:val="TableauNormal"/>
    <w:next w:val="Listecouleur-Accent1"/>
    <w:unhideWhenUsed/>
    <w:qFormat/>
    <w:rsid w:val="00E800E3"/>
    <w:rPr>
      <w:lang w:eastAsia="fr-FR"/>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Grillemoyenne24">
    <w:name w:val="Grille moyenne 24"/>
    <w:basedOn w:val="TableauNormal"/>
    <w:next w:val="Grillemoyenne25"/>
    <w:unhideWhenUsed/>
    <w:qFormat/>
    <w:rsid w:val="00E800E3"/>
    <w:rPr>
      <w:szCs w:val="3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rameclaire-Accent24">
    <w:name w:val="Trame claire - Accent 24"/>
    <w:basedOn w:val="TableauNormal"/>
    <w:next w:val="Trameclaire-Accent2"/>
    <w:unhideWhenUsed/>
    <w:qFormat/>
    <w:rsid w:val="00E800E3"/>
    <w:rPr>
      <w:rFonts w:ascii="Andalus" w:hAnsi="Andalus"/>
      <w:b/>
      <w:bCs/>
      <w:i/>
      <w:iCs/>
      <w:color w:val="4F81BD"/>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Ombrageclair3">
    <w:name w:val="Ombrage clair3"/>
    <w:basedOn w:val="TableauNormal"/>
    <w:next w:val="Ombrageclair4"/>
    <w:unhideWhenUsed/>
    <w:qFormat/>
    <w:rsid w:val="00E800E3"/>
    <w:rPr>
      <w:color w:val="00000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33">
    <w:name w:val="Trame claire - Accent 33"/>
    <w:basedOn w:val="TableauNormal"/>
    <w:next w:val="Trameclaire-Accent3"/>
    <w:unhideWhenUsed/>
    <w:qFormat/>
    <w:rsid w:val="00E800E3"/>
    <w:rPr>
      <w:color w:val="7B7B7B"/>
      <w:lang w:eastAsia="fr-F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steclaire-Accent33">
    <w:name w:val="Liste claire - Accent 33"/>
    <w:basedOn w:val="TableauNormal"/>
    <w:next w:val="Listeclaire-Accent3"/>
    <w:unhideWhenUsed/>
    <w:qFormat/>
    <w:rsid w:val="00E800E3"/>
    <w:rPr>
      <w:lang w:eastAsia="fr-F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Aucuneliste4">
    <w:name w:val="Aucune liste4"/>
    <w:next w:val="Aucuneliste"/>
    <w:unhideWhenUsed/>
    <w:qFormat/>
    <w:rsid w:val="00E800E3"/>
  </w:style>
  <w:style w:type="table" w:customStyle="1" w:styleId="Grilledutableau7">
    <w:name w:val="Grille du tableau7"/>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31">
    <w:name w:val="Liste couleur - Accent 131"/>
    <w:basedOn w:val="TableauNormal"/>
    <w:next w:val="Listecouleur-Accent1"/>
    <w:rsid w:val="00E800E3"/>
    <w:rPr>
      <w:lang w:eastAsia="fr-FR"/>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41">
    <w:name w:val="Grille moyenne 241"/>
    <w:basedOn w:val="TableauNormal"/>
    <w:next w:val="Grillemoyenne25"/>
    <w:rsid w:val="00E800E3"/>
    <w:rPr>
      <w:rFonts w:eastAsia="Times New Roman"/>
      <w:lang w:eastAsia="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41">
    <w:name w:val="Grille couleur - Accent 141"/>
    <w:basedOn w:val="TableauNormal"/>
    <w:next w:val="Grillecouleur-Accent1"/>
    <w:rsid w:val="00E800E3"/>
    <w:rPr>
      <w:rFonts w:ascii="Andalus" w:eastAsia="Times New Roman" w:hAnsi="Andalus"/>
      <w:i/>
      <w:iCs/>
      <w:color w:val="000000"/>
      <w:kern w:val="28"/>
      <w:lang w:eastAsia="fr-FR"/>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rameclaire-Accent241">
    <w:name w:val="Trame claire - Accent 241"/>
    <w:basedOn w:val="TableauNormal"/>
    <w:next w:val="Trameclaire-Accent2"/>
    <w:rsid w:val="00E800E3"/>
    <w:rPr>
      <w:rFonts w:ascii="Andalus" w:eastAsia="Times New Roman" w:hAnsi="Andalus"/>
      <w:b/>
      <w:bCs/>
      <w:i/>
      <w:iCs/>
      <w:color w:val="4F81BD"/>
      <w:kern w:val="28"/>
      <w:lang w:eastAsia="fr-FR"/>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Grid11"/>
    <w:rsid w:val="00E800E3"/>
    <w:rPr>
      <w:rFonts w:eastAsia="Times New Roman"/>
      <w:sz w:val="22"/>
      <w:szCs w:val="22"/>
      <w:lang w:val="fr-FR" w:eastAsia="fr-FR"/>
    </w:rPr>
    <w:tblPr>
      <w:tblCellMar>
        <w:top w:w="0" w:type="dxa"/>
        <w:left w:w="0" w:type="dxa"/>
        <w:bottom w:w="0" w:type="dxa"/>
        <w:right w:w="0" w:type="dxa"/>
      </w:tblCellMar>
    </w:tblPr>
  </w:style>
  <w:style w:type="table" w:customStyle="1" w:styleId="Grilledutableau8">
    <w:name w:val="Grille du tableau8"/>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nhideWhenUsed/>
    <w:qFormat/>
    <w:rsid w:val="00E800E3"/>
  </w:style>
  <w:style w:type="table" w:customStyle="1" w:styleId="TableGrid2">
    <w:name w:val="TableGrid2"/>
    <w:rsid w:val="00E800E3"/>
    <w:rPr>
      <w:rFonts w:eastAsia="Times New Roman"/>
      <w:sz w:val="22"/>
      <w:szCs w:val="22"/>
      <w:lang w:val="fr-FR" w:eastAsia="fr-FR"/>
    </w:rPr>
    <w:tblPr>
      <w:tblCellMar>
        <w:top w:w="0" w:type="dxa"/>
        <w:left w:w="0" w:type="dxa"/>
        <w:bottom w:w="0" w:type="dxa"/>
        <w:right w:w="0" w:type="dxa"/>
      </w:tblCellMar>
    </w:tblPr>
  </w:style>
  <w:style w:type="numbering" w:customStyle="1" w:styleId="Aucuneliste6">
    <w:name w:val="Aucune liste6"/>
    <w:next w:val="Aucuneliste"/>
    <w:unhideWhenUsed/>
    <w:qFormat/>
    <w:rsid w:val="00E800E3"/>
  </w:style>
  <w:style w:type="table" w:customStyle="1" w:styleId="TableGrid3">
    <w:name w:val="TableGrid3"/>
    <w:rsid w:val="00E800E3"/>
    <w:rPr>
      <w:rFonts w:eastAsia="Times New Roman"/>
      <w:sz w:val="22"/>
      <w:szCs w:val="22"/>
      <w:lang w:val="fr-FR" w:eastAsia="fr-FR"/>
    </w:rPr>
    <w:tblPr>
      <w:tblCellMar>
        <w:top w:w="0" w:type="dxa"/>
        <w:left w:w="0" w:type="dxa"/>
        <w:bottom w:w="0" w:type="dxa"/>
        <w:right w:w="0" w:type="dxa"/>
      </w:tblCellMar>
    </w:tblPr>
  </w:style>
  <w:style w:type="table" w:customStyle="1" w:styleId="Grilledutableau9">
    <w:name w:val="Grille du tableau9"/>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
    <w:name w:val="Grille du tableau211"/>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
    <w:name w:val="Grille du tableau121"/>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nhideWhenUsed/>
    <w:qFormat/>
    <w:rsid w:val="00E800E3"/>
  </w:style>
  <w:style w:type="table" w:customStyle="1" w:styleId="Grilledutableau10">
    <w:name w:val="Grille du tableau10"/>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nhideWhenUsed/>
    <w:qFormat/>
    <w:rsid w:val="00E800E3"/>
  </w:style>
  <w:style w:type="table" w:customStyle="1" w:styleId="Trameclaire-Accent12">
    <w:name w:val="Trame claire - Accent 12"/>
    <w:basedOn w:val="TableauNormal"/>
    <w:next w:val="Trameclaire-Accent11"/>
    <w:rsid w:val="00E800E3"/>
    <w:rPr>
      <w:color w:val="365F91"/>
      <w:lang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dutableau22">
    <w:name w:val="Grille du tableau22"/>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2">
    <w:name w:val="Grille du tableau212"/>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2">
    <w:name w:val="Grille du tableau122"/>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rsid w:val="00E800E3"/>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rsid w:val="00E800E3"/>
    <w:rPr>
      <w:lang w:val="fr-CA"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ouleur-Accent1">
    <w:name w:val="Colorful Grid Accent 1"/>
    <w:basedOn w:val="TableauNormal"/>
    <w:link w:val="Grillecouleur-Accent1Car"/>
    <w:semiHidden/>
    <w:unhideWhenUsed/>
    <w:rsid w:val="00E800E3"/>
    <w:rPr>
      <w:rFonts w:ascii="Arial" w:hAnsi="Arial"/>
      <w:i/>
      <w:color w:val="000000"/>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character" w:customStyle="1" w:styleId="Corpsdetexte3Car1">
    <w:name w:val="Corps de texte 3 Car1"/>
    <w:uiPriority w:val="99"/>
    <w:semiHidden/>
    <w:rsid w:val="00E800E3"/>
    <w:rPr>
      <w:rFonts w:ascii="Times New Roman" w:hAnsi="Times New Roman"/>
      <w:sz w:val="16"/>
      <w:szCs w:val="16"/>
    </w:rPr>
  </w:style>
  <w:style w:type="table" w:customStyle="1" w:styleId="Grillemoyenne25">
    <w:name w:val="Grille moyenne 25"/>
    <w:basedOn w:val="TableauNormal"/>
    <w:semiHidden/>
    <w:unhideWhenUsed/>
    <w:rsid w:val="00E800E3"/>
    <w:rPr>
      <w:sz w:val="24"/>
      <w:szCs w:val="3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Trameclaire-Accent2">
    <w:name w:val="Light Shading Accent 2"/>
    <w:basedOn w:val="TableauNormal"/>
    <w:link w:val="Trameclaire-Accent2Car"/>
    <w:semiHidden/>
    <w:unhideWhenUsed/>
    <w:rsid w:val="00E800E3"/>
    <w:rPr>
      <w:rFonts w:ascii="Andalus" w:hAnsi="Andalus"/>
      <w:b/>
      <w:bCs/>
      <w:i/>
      <w:iCs/>
      <w:color w:val="4F81BD"/>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stecouleur-Accent1">
    <w:name w:val="Colorful List Accent 1"/>
    <w:basedOn w:val="TableauNormal"/>
    <w:uiPriority w:val="72"/>
    <w:semiHidden/>
    <w:unhideWhenUsed/>
    <w:rsid w:val="00E800E3"/>
    <w:rPr>
      <w:color w:val="000000"/>
      <w:lang w:eastAsia="fr-FR"/>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mbrageclair4">
    <w:name w:val="Ombrage clair4"/>
    <w:basedOn w:val="TableauNormal"/>
    <w:uiPriority w:val="60"/>
    <w:semiHidden/>
    <w:unhideWhenUsed/>
    <w:rsid w:val="00E800E3"/>
    <w:rPr>
      <w:color w:val="00000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rameclaire-Accent3">
    <w:name w:val="Light Shading Accent 3"/>
    <w:basedOn w:val="TableauNormal"/>
    <w:uiPriority w:val="60"/>
    <w:semiHidden/>
    <w:unhideWhenUsed/>
    <w:rsid w:val="00E800E3"/>
    <w:rPr>
      <w:color w:val="7B7B7B"/>
      <w:lang w:eastAsia="fr-FR"/>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steclaire-Accent3">
    <w:name w:val="Light List Accent 3"/>
    <w:basedOn w:val="TableauNormal"/>
    <w:uiPriority w:val="61"/>
    <w:semiHidden/>
    <w:unhideWhenUsed/>
    <w:rsid w:val="00E800E3"/>
    <w:rPr>
      <w:lang w:eastAsia="fr-F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auNormal1">
    <w:name w:val="Tableau Normal1"/>
    <w:qFormat/>
    <w:rsid w:val="00E800E3"/>
    <w:pPr>
      <w:suppressAutoHyphens/>
      <w:spacing w:line="1" w:lineRule="atLeast"/>
      <w:ind w:leftChars="-1" w:left="-1" w:hangingChars="1" w:hanging="1"/>
      <w:textDirection w:val="btLr"/>
      <w:textAlignment w:val="top"/>
      <w:outlineLvl w:val="0"/>
    </w:pPr>
    <w:rPr>
      <w:rFonts w:cs="Calibri"/>
      <w:position w:val="-1"/>
      <w:sz w:val="24"/>
      <w:szCs w:val="24"/>
      <w:lang w:val="fr-FR" w:eastAsia="en-GB"/>
    </w:rPr>
    <w:tblPr>
      <w:tblInd w:w="0" w:type="dxa"/>
      <w:tblCellMar>
        <w:top w:w="0" w:type="dxa"/>
        <w:left w:w="108" w:type="dxa"/>
        <w:bottom w:w="0" w:type="dxa"/>
        <w:right w:w="108" w:type="dxa"/>
      </w:tblCellMar>
    </w:tblPr>
  </w:style>
  <w:style w:type="numbering" w:customStyle="1" w:styleId="Aucuneliste8">
    <w:name w:val="Aucune liste8"/>
    <w:qFormat/>
    <w:rsid w:val="00E800E3"/>
  </w:style>
  <w:style w:type="table" w:customStyle="1" w:styleId="Grilledutableau19">
    <w:name w:val="Grille du tableau19"/>
    <w:basedOn w:val="TableauNormal1"/>
    <w:rsid w:val="00E800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211">
    <w:name w:val="Liste moyenne 211"/>
    <w:basedOn w:val="TableauNormal1"/>
    <w:rsid w:val="00E800E3"/>
    <w:rPr>
      <w:rFonts w:ascii="Cambria" w:hAnsi="Cambria"/>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Listemoyenne2-Accent11">
    <w:name w:val="Liste moyenne 2 - Accent 11"/>
    <w:basedOn w:val="TableauNormal1"/>
    <w:rsid w:val="00E800E3"/>
    <w:rPr>
      <w:rFonts w:ascii="Cambria" w:hAnsi="Cambria"/>
      <w:color w:val="00000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Listemoyenne2-Accent21">
    <w:name w:val="Liste moyenne 2 - Accent 21"/>
    <w:basedOn w:val="TableauNormal1"/>
    <w:rsid w:val="00E800E3"/>
    <w:rPr>
      <w:rFonts w:ascii="Cambria" w:hAnsi="Cambria"/>
      <w:color w:val="000000"/>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style>
  <w:style w:type="table" w:customStyle="1" w:styleId="Listemoyenne2-Accent31">
    <w:name w:val="Liste moyenne 2 - Accent 31"/>
    <w:basedOn w:val="TableauNormal1"/>
    <w:rsid w:val="00E800E3"/>
    <w:rPr>
      <w:rFonts w:ascii="Cambria" w:hAnsi="Cambria"/>
      <w:color w:val="00000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table" w:customStyle="1" w:styleId="Listemoyenne2-Accent51">
    <w:name w:val="Liste moyenne 2 - Accent 51"/>
    <w:basedOn w:val="TableauNormal1"/>
    <w:rsid w:val="00E800E3"/>
    <w:rPr>
      <w:rFonts w:ascii="Cambria" w:hAnsi="Cambria"/>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Trameclaire-Accent13">
    <w:name w:val="Trame claire - Accent 13"/>
    <w:basedOn w:val="TableauNormal1"/>
    <w:rsid w:val="00E800E3"/>
    <w:rPr>
      <w:color w:val="2E74B5"/>
      <w:sz w:val="22"/>
      <w:szCs w:val="22"/>
      <w:lang w:val="en-US" w:eastAsia="en-US"/>
    </w:rPr>
    <w:tblPr>
      <w:tblStyleRowBandSize w:val="1"/>
      <w:tblStyleColBandSize w:val="1"/>
      <w:tblBorders>
        <w:top w:val="single" w:sz="8" w:space="0" w:color="5B9BD5"/>
        <w:bottom w:val="single" w:sz="8" w:space="0" w:color="5B9BD5"/>
      </w:tblBorders>
    </w:tblPr>
  </w:style>
  <w:style w:type="table" w:customStyle="1" w:styleId="Grillecouleur-Accent15">
    <w:name w:val="Grille couleur - Accent 15"/>
    <w:basedOn w:val="TableauNormal1"/>
    <w:qFormat/>
    <w:rsid w:val="00E800E3"/>
    <w:rPr>
      <w:rFonts w:ascii="Arial" w:hAnsi="Arial"/>
      <w:i/>
      <w:color w:val="000000"/>
    </w:rPr>
    <w:tblPr>
      <w:tblStyleRowBandSize w:val="1"/>
      <w:tblStyleColBandSize w:val="1"/>
      <w:tblBorders>
        <w:insideH w:val="single" w:sz="4" w:space="0" w:color="FFFFFF"/>
      </w:tblBorders>
    </w:tblPr>
  </w:style>
  <w:style w:type="table" w:customStyle="1" w:styleId="Grillemoyenne251">
    <w:name w:val="Grille moyenne 251"/>
    <w:basedOn w:val="TableauNormal1"/>
    <w:qFormat/>
    <w:rsid w:val="00E800E3"/>
    <w:rPr>
      <w:szCs w:val="3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table" w:customStyle="1" w:styleId="Trameclaire-Accent25">
    <w:name w:val="Trame claire - Accent 25"/>
    <w:basedOn w:val="TableauNormal1"/>
    <w:qFormat/>
    <w:rsid w:val="00E800E3"/>
    <w:rPr>
      <w:rFonts w:ascii="Andalus" w:hAnsi="Andalus"/>
      <w:b/>
      <w:bCs/>
      <w:i/>
      <w:iCs/>
      <w:color w:val="4F81BD"/>
    </w:rPr>
    <w:tblPr>
      <w:tblStyleRowBandSize w:val="1"/>
      <w:tblStyleColBandSize w:val="1"/>
      <w:tblBorders>
        <w:top w:val="single" w:sz="8" w:space="0" w:color="ED7D31"/>
        <w:bottom w:val="single" w:sz="8" w:space="0" w:color="ED7D31"/>
      </w:tblBorders>
    </w:tblPr>
  </w:style>
  <w:style w:type="table" w:customStyle="1" w:styleId="Listecouleur-Accent14">
    <w:name w:val="Liste couleur - Accent 14"/>
    <w:basedOn w:val="TableauNormal1"/>
    <w:qFormat/>
    <w:rsid w:val="00E800E3"/>
    <w:rPr>
      <w:rFonts w:cs="Times New Roman"/>
      <w:color w:val="000000"/>
      <w:sz w:val="22"/>
      <w:szCs w:val="22"/>
      <w:lang w:eastAsia="en-US"/>
    </w:rPr>
    <w:tblPr>
      <w:tblStyleRowBandSize w:val="1"/>
      <w:tblStyleColBandSize w:val="1"/>
    </w:tblPr>
  </w:style>
  <w:style w:type="table" w:customStyle="1" w:styleId="Ombrageclair41">
    <w:name w:val="Ombrage clair41"/>
    <w:basedOn w:val="TableauNormal1"/>
    <w:qFormat/>
    <w:rsid w:val="00E800E3"/>
    <w:rPr>
      <w:rFonts w:cs="Times New Roman"/>
      <w:color w:val="000000"/>
      <w:sz w:val="22"/>
      <w:szCs w:val="22"/>
      <w:lang w:eastAsia="en-US"/>
    </w:rPr>
    <w:tblPr>
      <w:tblStyleRowBandSize w:val="1"/>
      <w:tblStyleColBandSize w:val="1"/>
      <w:tblBorders>
        <w:top w:val="single" w:sz="8" w:space="0" w:color="000000"/>
        <w:bottom w:val="single" w:sz="8" w:space="0" w:color="000000"/>
      </w:tblBorders>
    </w:tblPr>
  </w:style>
  <w:style w:type="table" w:customStyle="1" w:styleId="Trameclaire-Accent34">
    <w:name w:val="Trame claire - Accent 34"/>
    <w:basedOn w:val="TableauNormal1"/>
    <w:qFormat/>
    <w:rsid w:val="00E800E3"/>
    <w:rPr>
      <w:rFonts w:cs="Times New Roman"/>
      <w:color w:val="7B7B7B"/>
      <w:sz w:val="22"/>
      <w:szCs w:val="22"/>
      <w:lang w:eastAsia="en-US"/>
    </w:rPr>
    <w:tblPr>
      <w:tblStyleRowBandSize w:val="1"/>
      <w:tblStyleColBandSize w:val="1"/>
      <w:tblBorders>
        <w:top w:val="single" w:sz="8" w:space="0" w:color="A5A5A5"/>
        <w:bottom w:val="single" w:sz="8" w:space="0" w:color="A5A5A5"/>
      </w:tblBorders>
    </w:tblPr>
  </w:style>
  <w:style w:type="table" w:customStyle="1" w:styleId="Listeclaire-Accent34">
    <w:name w:val="Liste claire - Accent 34"/>
    <w:basedOn w:val="TableauNormal1"/>
    <w:qFormat/>
    <w:rsid w:val="00E800E3"/>
    <w:rPr>
      <w:rFonts w:cs="Times New Roman"/>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style>
  <w:style w:type="paragraph" w:customStyle="1" w:styleId="TitreSection2">
    <w:name w:val="Titre Section 2"/>
    <w:basedOn w:val="Normal"/>
    <w:qFormat/>
    <w:rsid w:val="0021620B"/>
    <w:pPr>
      <w:keepNext/>
      <w:keepLines/>
      <w:spacing w:line="240" w:lineRule="auto"/>
      <w:ind w:right="113"/>
      <w:jc w:val="left"/>
    </w:pPr>
    <w:rPr>
      <w:rFonts w:ascii="Calibri" w:eastAsia="Calibri" w:hAnsi="Calibri"/>
      <w:b/>
      <w:bCs/>
      <w:i/>
      <w:iCs/>
      <w:sz w:val="24"/>
      <w:szCs w:val="24"/>
      <w:lang w:eastAsia="en-US"/>
    </w:rPr>
  </w:style>
  <w:style w:type="character" w:customStyle="1" w:styleId="Mention1">
    <w:name w:val="Mention1"/>
    <w:basedOn w:val="Policepardfaut"/>
    <w:uiPriority w:val="99"/>
    <w:unhideWhenUsed/>
    <w:rsid w:val="005609D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6742">
      <w:bodyDiv w:val="1"/>
      <w:marLeft w:val="0"/>
      <w:marRight w:val="0"/>
      <w:marTop w:val="0"/>
      <w:marBottom w:val="0"/>
      <w:divBdr>
        <w:top w:val="none" w:sz="0" w:space="0" w:color="auto"/>
        <w:left w:val="none" w:sz="0" w:space="0" w:color="auto"/>
        <w:bottom w:val="none" w:sz="0" w:space="0" w:color="auto"/>
        <w:right w:val="none" w:sz="0" w:space="0" w:color="auto"/>
      </w:divBdr>
    </w:div>
    <w:div w:id="89665547">
      <w:bodyDiv w:val="1"/>
      <w:marLeft w:val="0"/>
      <w:marRight w:val="0"/>
      <w:marTop w:val="0"/>
      <w:marBottom w:val="0"/>
      <w:divBdr>
        <w:top w:val="none" w:sz="0" w:space="0" w:color="auto"/>
        <w:left w:val="none" w:sz="0" w:space="0" w:color="auto"/>
        <w:bottom w:val="none" w:sz="0" w:space="0" w:color="auto"/>
        <w:right w:val="none" w:sz="0" w:space="0" w:color="auto"/>
      </w:divBdr>
    </w:div>
    <w:div w:id="332148993">
      <w:bodyDiv w:val="1"/>
      <w:marLeft w:val="0"/>
      <w:marRight w:val="0"/>
      <w:marTop w:val="0"/>
      <w:marBottom w:val="0"/>
      <w:divBdr>
        <w:top w:val="none" w:sz="0" w:space="0" w:color="auto"/>
        <w:left w:val="none" w:sz="0" w:space="0" w:color="auto"/>
        <w:bottom w:val="none" w:sz="0" w:space="0" w:color="auto"/>
        <w:right w:val="none" w:sz="0" w:space="0" w:color="auto"/>
      </w:divBdr>
    </w:div>
    <w:div w:id="355158154">
      <w:bodyDiv w:val="1"/>
      <w:marLeft w:val="0"/>
      <w:marRight w:val="0"/>
      <w:marTop w:val="0"/>
      <w:marBottom w:val="0"/>
      <w:divBdr>
        <w:top w:val="none" w:sz="0" w:space="0" w:color="auto"/>
        <w:left w:val="none" w:sz="0" w:space="0" w:color="auto"/>
        <w:bottom w:val="none" w:sz="0" w:space="0" w:color="auto"/>
        <w:right w:val="none" w:sz="0" w:space="0" w:color="auto"/>
      </w:divBdr>
      <w:divsChild>
        <w:div w:id="655762182">
          <w:marLeft w:val="0"/>
          <w:marRight w:val="0"/>
          <w:marTop w:val="0"/>
          <w:marBottom w:val="375"/>
          <w:divBdr>
            <w:top w:val="none" w:sz="0" w:space="0" w:color="auto"/>
            <w:left w:val="none" w:sz="0" w:space="0" w:color="auto"/>
            <w:bottom w:val="none" w:sz="0" w:space="0" w:color="auto"/>
            <w:right w:val="none" w:sz="0" w:space="0" w:color="auto"/>
          </w:divBdr>
        </w:div>
        <w:div w:id="898898763">
          <w:marLeft w:val="0"/>
          <w:marRight w:val="0"/>
          <w:marTop w:val="0"/>
          <w:marBottom w:val="0"/>
          <w:divBdr>
            <w:top w:val="none" w:sz="0" w:space="0" w:color="auto"/>
            <w:left w:val="none" w:sz="0" w:space="0" w:color="auto"/>
            <w:bottom w:val="none" w:sz="0" w:space="0" w:color="auto"/>
            <w:right w:val="none" w:sz="0" w:space="0" w:color="auto"/>
          </w:divBdr>
        </w:div>
      </w:divsChild>
    </w:div>
    <w:div w:id="394011709">
      <w:bodyDiv w:val="1"/>
      <w:marLeft w:val="0"/>
      <w:marRight w:val="0"/>
      <w:marTop w:val="0"/>
      <w:marBottom w:val="0"/>
      <w:divBdr>
        <w:top w:val="none" w:sz="0" w:space="0" w:color="auto"/>
        <w:left w:val="none" w:sz="0" w:space="0" w:color="auto"/>
        <w:bottom w:val="none" w:sz="0" w:space="0" w:color="auto"/>
        <w:right w:val="none" w:sz="0" w:space="0" w:color="auto"/>
      </w:divBdr>
    </w:div>
    <w:div w:id="480662598">
      <w:bodyDiv w:val="1"/>
      <w:marLeft w:val="0"/>
      <w:marRight w:val="0"/>
      <w:marTop w:val="0"/>
      <w:marBottom w:val="0"/>
      <w:divBdr>
        <w:top w:val="none" w:sz="0" w:space="0" w:color="auto"/>
        <w:left w:val="none" w:sz="0" w:space="0" w:color="auto"/>
        <w:bottom w:val="none" w:sz="0" w:space="0" w:color="auto"/>
        <w:right w:val="none" w:sz="0" w:space="0" w:color="auto"/>
      </w:divBdr>
    </w:div>
    <w:div w:id="616105314">
      <w:bodyDiv w:val="1"/>
      <w:marLeft w:val="0"/>
      <w:marRight w:val="0"/>
      <w:marTop w:val="0"/>
      <w:marBottom w:val="0"/>
      <w:divBdr>
        <w:top w:val="none" w:sz="0" w:space="0" w:color="auto"/>
        <w:left w:val="none" w:sz="0" w:space="0" w:color="auto"/>
        <w:bottom w:val="none" w:sz="0" w:space="0" w:color="auto"/>
        <w:right w:val="none" w:sz="0" w:space="0" w:color="auto"/>
      </w:divBdr>
      <w:divsChild>
        <w:div w:id="1453935082">
          <w:marLeft w:val="0"/>
          <w:marRight w:val="0"/>
          <w:marTop w:val="0"/>
          <w:marBottom w:val="0"/>
          <w:divBdr>
            <w:top w:val="none" w:sz="0" w:space="0" w:color="auto"/>
            <w:left w:val="none" w:sz="0" w:space="0" w:color="auto"/>
            <w:bottom w:val="none" w:sz="0" w:space="0" w:color="auto"/>
            <w:right w:val="none" w:sz="0" w:space="0" w:color="auto"/>
          </w:divBdr>
        </w:div>
      </w:divsChild>
    </w:div>
    <w:div w:id="779759738">
      <w:bodyDiv w:val="1"/>
      <w:marLeft w:val="0"/>
      <w:marRight w:val="0"/>
      <w:marTop w:val="0"/>
      <w:marBottom w:val="0"/>
      <w:divBdr>
        <w:top w:val="none" w:sz="0" w:space="0" w:color="auto"/>
        <w:left w:val="none" w:sz="0" w:space="0" w:color="auto"/>
        <w:bottom w:val="none" w:sz="0" w:space="0" w:color="auto"/>
        <w:right w:val="none" w:sz="0" w:space="0" w:color="auto"/>
      </w:divBdr>
    </w:div>
    <w:div w:id="839858224">
      <w:bodyDiv w:val="1"/>
      <w:marLeft w:val="0"/>
      <w:marRight w:val="0"/>
      <w:marTop w:val="0"/>
      <w:marBottom w:val="0"/>
      <w:divBdr>
        <w:top w:val="none" w:sz="0" w:space="0" w:color="auto"/>
        <w:left w:val="none" w:sz="0" w:space="0" w:color="auto"/>
        <w:bottom w:val="none" w:sz="0" w:space="0" w:color="auto"/>
        <w:right w:val="none" w:sz="0" w:space="0" w:color="auto"/>
      </w:divBdr>
    </w:div>
    <w:div w:id="862787796">
      <w:bodyDiv w:val="1"/>
      <w:marLeft w:val="0"/>
      <w:marRight w:val="0"/>
      <w:marTop w:val="0"/>
      <w:marBottom w:val="0"/>
      <w:divBdr>
        <w:top w:val="none" w:sz="0" w:space="0" w:color="auto"/>
        <w:left w:val="none" w:sz="0" w:space="0" w:color="auto"/>
        <w:bottom w:val="none" w:sz="0" w:space="0" w:color="auto"/>
        <w:right w:val="none" w:sz="0" w:space="0" w:color="auto"/>
      </w:divBdr>
    </w:div>
    <w:div w:id="1098869449">
      <w:bodyDiv w:val="1"/>
      <w:marLeft w:val="0"/>
      <w:marRight w:val="0"/>
      <w:marTop w:val="0"/>
      <w:marBottom w:val="0"/>
      <w:divBdr>
        <w:top w:val="none" w:sz="0" w:space="0" w:color="auto"/>
        <w:left w:val="none" w:sz="0" w:space="0" w:color="auto"/>
        <w:bottom w:val="none" w:sz="0" w:space="0" w:color="auto"/>
        <w:right w:val="none" w:sz="0" w:space="0" w:color="auto"/>
      </w:divBdr>
    </w:div>
    <w:div w:id="1194730487">
      <w:bodyDiv w:val="1"/>
      <w:marLeft w:val="0"/>
      <w:marRight w:val="0"/>
      <w:marTop w:val="0"/>
      <w:marBottom w:val="0"/>
      <w:divBdr>
        <w:top w:val="none" w:sz="0" w:space="0" w:color="auto"/>
        <w:left w:val="none" w:sz="0" w:space="0" w:color="auto"/>
        <w:bottom w:val="none" w:sz="0" w:space="0" w:color="auto"/>
        <w:right w:val="none" w:sz="0" w:space="0" w:color="auto"/>
      </w:divBdr>
    </w:div>
    <w:div w:id="1211307750">
      <w:bodyDiv w:val="1"/>
      <w:marLeft w:val="0"/>
      <w:marRight w:val="0"/>
      <w:marTop w:val="0"/>
      <w:marBottom w:val="0"/>
      <w:divBdr>
        <w:top w:val="none" w:sz="0" w:space="0" w:color="auto"/>
        <w:left w:val="none" w:sz="0" w:space="0" w:color="auto"/>
        <w:bottom w:val="none" w:sz="0" w:space="0" w:color="auto"/>
        <w:right w:val="none" w:sz="0" w:space="0" w:color="auto"/>
      </w:divBdr>
    </w:div>
    <w:div w:id="1220480983">
      <w:bodyDiv w:val="1"/>
      <w:marLeft w:val="0"/>
      <w:marRight w:val="0"/>
      <w:marTop w:val="0"/>
      <w:marBottom w:val="0"/>
      <w:divBdr>
        <w:top w:val="none" w:sz="0" w:space="0" w:color="auto"/>
        <w:left w:val="none" w:sz="0" w:space="0" w:color="auto"/>
        <w:bottom w:val="none" w:sz="0" w:space="0" w:color="auto"/>
        <w:right w:val="none" w:sz="0" w:space="0" w:color="auto"/>
      </w:divBdr>
    </w:div>
    <w:div w:id="1311011297">
      <w:bodyDiv w:val="1"/>
      <w:marLeft w:val="0"/>
      <w:marRight w:val="0"/>
      <w:marTop w:val="0"/>
      <w:marBottom w:val="0"/>
      <w:divBdr>
        <w:top w:val="none" w:sz="0" w:space="0" w:color="auto"/>
        <w:left w:val="none" w:sz="0" w:space="0" w:color="auto"/>
        <w:bottom w:val="none" w:sz="0" w:space="0" w:color="auto"/>
        <w:right w:val="none" w:sz="0" w:space="0" w:color="auto"/>
      </w:divBdr>
    </w:div>
    <w:div w:id="1321301628">
      <w:bodyDiv w:val="1"/>
      <w:marLeft w:val="0"/>
      <w:marRight w:val="0"/>
      <w:marTop w:val="0"/>
      <w:marBottom w:val="0"/>
      <w:divBdr>
        <w:top w:val="none" w:sz="0" w:space="0" w:color="auto"/>
        <w:left w:val="none" w:sz="0" w:space="0" w:color="auto"/>
        <w:bottom w:val="none" w:sz="0" w:space="0" w:color="auto"/>
        <w:right w:val="none" w:sz="0" w:space="0" w:color="auto"/>
      </w:divBdr>
    </w:div>
    <w:div w:id="1339889546">
      <w:bodyDiv w:val="1"/>
      <w:marLeft w:val="0"/>
      <w:marRight w:val="0"/>
      <w:marTop w:val="0"/>
      <w:marBottom w:val="0"/>
      <w:divBdr>
        <w:top w:val="none" w:sz="0" w:space="0" w:color="auto"/>
        <w:left w:val="none" w:sz="0" w:space="0" w:color="auto"/>
        <w:bottom w:val="none" w:sz="0" w:space="0" w:color="auto"/>
        <w:right w:val="none" w:sz="0" w:space="0" w:color="auto"/>
      </w:divBdr>
    </w:div>
    <w:div w:id="1354453088">
      <w:bodyDiv w:val="1"/>
      <w:marLeft w:val="0"/>
      <w:marRight w:val="0"/>
      <w:marTop w:val="0"/>
      <w:marBottom w:val="0"/>
      <w:divBdr>
        <w:top w:val="none" w:sz="0" w:space="0" w:color="auto"/>
        <w:left w:val="none" w:sz="0" w:space="0" w:color="auto"/>
        <w:bottom w:val="none" w:sz="0" w:space="0" w:color="auto"/>
        <w:right w:val="none" w:sz="0" w:space="0" w:color="auto"/>
      </w:divBdr>
    </w:div>
    <w:div w:id="1511329899">
      <w:bodyDiv w:val="1"/>
      <w:marLeft w:val="0"/>
      <w:marRight w:val="0"/>
      <w:marTop w:val="0"/>
      <w:marBottom w:val="0"/>
      <w:divBdr>
        <w:top w:val="none" w:sz="0" w:space="0" w:color="auto"/>
        <w:left w:val="none" w:sz="0" w:space="0" w:color="auto"/>
        <w:bottom w:val="none" w:sz="0" w:space="0" w:color="auto"/>
        <w:right w:val="none" w:sz="0" w:space="0" w:color="auto"/>
      </w:divBdr>
    </w:div>
    <w:div w:id="1889681487">
      <w:bodyDiv w:val="1"/>
      <w:marLeft w:val="0"/>
      <w:marRight w:val="0"/>
      <w:marTop w:val="0"/>
      <w:marBottom w:val="0"/>
      <w:divBdr>
        <w:top w:val="none" w:sz="0" w:space="0" w:color="auto"/>
        <w:left w:val="none" w:sz="0" w:space="0" w:color="auto"/>
        <w:bottom w:val="none" w:sz="0" w:space="0" w:color="auto"/>
        <w:right w:val="none" w:sz="0" w:space="0" w:color="auto"/>
      </w:divBdr>
    </w:div>
    <w:div w:id="201163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13.jpeg"/><Relationship Id="rId21" Type="http://schemas.openxmlformats.org/officeDocument/2006/relationships/footer" Target="footer4.xml"/><Relationship Id="rId42" Type="http://schemas.openxmlformats.org/officeDocument/2006/relationships/hyperlink" Target="https://fr.wikipedia.org/wiki/M%C3%A9ridien" TargetMode="External"/><Relationship Id="rId47" Type="http://schemas.openxmlformats.org/officeDocument/2006/relationships/hyperlink" Target="https://fr.wikipedia.org/wiki/Saison_humide" TargetMode="External"/><Relationship Id="rId63" Type="http://schemas.openxmlformats.org/officeDocument/2006/relationships/hyperlink" Target="https://fr.wikipedia.org/wiki/Mweka" TargetMode="External"/><Relationship Id="rId68" Type="http://schemas.openxmlformats.org/officeDocument/2006/relationships/hyperlink" Target="http://dictionnaire.sensagent.leparisien.fr/Fimi/fr-fr/" TargetMode="External"/><Relationship Id="rId84" Type="http://schemas.openxmlformats.org/officeDocument/2006/relationships/hyperlink" Target="https://data.unwomen.org/resources/covid-19-emerging-gender-data-and-why-it-matters" TargetMode="External"/><Relationship Id="rId89" Type="http://schemas.openxmlformats.org/officeDocument/2006/relationships/hyperlink" Target="https://fr.wikipedia.org/wiki/R%C3%A9publique_d%C3%A9mocratique_du_Congo" TargetMode="External"/><Relationship Id="rId112" Type="http://schemas.openxmlformats.org/officeDocument/2006/relationships/image" Target="media/image8.jpeg"/><Relationship Id="rId133" Type="http://schemas.openxmlformats.org/officeDocument/2006/relationships/image" Target="media/image29.jpeg"/><Relationship Id="rId138" Type="http://schemas.openxmlformats.org/officeDocument/2006/relationships/image" Target="media/image34.jpeg"/><Relationship Id="rId154" Type="http://schemas.openxmlformats.org/officeDocument/2006/relationships/image" Target="media/image50.jpeg"/><Relationship Id="rId159" Type="http://schemas.openxmlformats.org/officeDocument/2006/relationships/image" Target="media/image55.jpeg"/><Relationship Id="rId16" Type="http://schemas.openxmlformats.org/officeDocument/2006/relationships/footer" Target="footer1.xml"/><Relationship Id="rId107" Type="http://schemas.openxmlformats.org/officeDocument/2006/relationships/hyperlink" Target="mailto:Poyimodeste2020@gmail.com%20" TargetMode="External"/><Relationship Id="rId11" Type="http://schemas.openxmlformats.org/officeDocument/2006/relationships/image" Target="media/image1.jpeg"/><Relationship Id="rId32" Type="http://schemas.openxmlformats.org/officeDocument/2006/relationships/hyperlink" Target="https://fr.wikipedia.org/wiki/Royaume_Kongo" TargetMode="External"/><Relationship Id="rId37" Type="http://schemas.openxmlformats.org/officeDocument/2006/relationships/hyperlink" Target="https://fr.wikipedia.org/wiki/Kasa%C3%AF-Occidental" TargetMode="External"/><Relationship Id="rId53" Type="http://schemas.openxmlformats.org/officeDocument/2006/relationships/hyperlink" Target="https://fr.wikipedia.org/wiki/Hippopotame" TargetMode="External"/><Relationship Id="rId58" Type="http://schemas.openxmlformats.org/officeDocument/2006/relationships/hyperlink" Target="https://fr.wikipedia.org/wiki/Kasa%C3%AF_(rivi%C3%A8re)" TargetMode="External"/><Relationship Id="rId74" Type="http://schemas.openxmlformats.org/officeDocument/2006/relationships/hyperlink" Target="https://openknowledge.worldbank.org/handle/10986/4391?locale-attribute=fr" TargetMode="External"/><Relationship Id="rId79" Type="http://schemas.openxmlformats.org/officeDocument/2006/relationships/hyperlink" Target="https://data.unwomen.org/resources/covid-19-emerging-gender-data-and-why-it-matters" TargetMode="External"/><Relationship Id="rId102" Type="http://schemas.openxmlformats.org/officeDocument/2006/relationships/footer" Target="footer11.xml"/><Relationship Id="rId123" Type="http://schemas.openxmlformats.org/officeDocument/2006/relationships/image" Target="media/image19.jpeg"/><Relationship Id="rId128" Type="http://schemas.openxmlformats.org/officeDocument/2006/relationships/image" Target="media/image24.jpeg"/><Relationship Id="rId144" Type="http://schemas.openxmlformats.org/officeDocument/2006/relationships/image" Target="media/image40.jpeg"/><Relationship Id="rId149" Type="http://schemas.openxmlformats.org/officeDocument/2006/relationships/image" Target="media/image45.jpeg"/><Relationship Id="rId5" Type="http://schemas.openxmlformats.org/officeDocument/2006/relationships/numbering" Target="numbering.xml"/><Relationship Id="rId90" Type="http://schemas.openxmlformats.org/officeDocument/2006/relationships/hyperlink" Target="https://fr.wikipedia.org/wiki/Banque_%C3%A9lectronique" TargetMode="External"/><Relationship Id="rId95" Type="http://schemas.openxmlformats.org/officeDocument/2006/relationships/hyperlink" Target="https://fr.wikipedia.org/wiki/Kinshasa" TargetMode="External"/><Relationship Id="rId160" Type="http://schemas.openxmlformats.org/officeDocument/2006/relationships/hyperlink" Target="https://www.who.int/emergencies/diseases/novel-coronavirus-2019/advice-for-public" TargetMode="External"/><Relationship Id="rId165" Type="http://schemas.openxmlformats.org/officeDocument/2006/relationships/theme" Target="theme/theme1.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hyperlink" Target="https://fr.wikipedia.org/wiki/Longitude" TargetMode="External"/><Relationship Id="rId48" Type="http://schemas.openxmlformats.org/officeDocument/2006/relationships/hyperlink" Target="https://fr.wikipedia.org/wiki/Saison_s%C3%A8che" TargetMode="External"/><Relationship Id="rId64" Type="http://schemas.openxmlformats.org/officeDocument/2006/relationships/hyperlink" Target="https://fr.wikipedia.org/wiki/V%C3%A9g%C3%A9tation" TargetMode="External"/><Relationship Id="rId69" Type="http://schemas.openxmlformats.org/officeDocument/2006/relationships/hyperlink" Target="http://fr.wikipedia.org/w/index.php?title=Luete&amp;action=edit&amp;redlink=1" TargetMode="External"/><Relationship Id="rId113" Type="http://schemas.openxmlformats.org/officeDocument/2006/relationships/image" Target="media/image9.jpeg"/><Relationship Id="rId118" Type="http://schemas.openxmlformats.org/officeDocument/2006/relationships/image" Target="media/image14.jpeg"/><Relationship Id="rId134" Type="http://schemas.openxmlformats.org/officeDocument/2006/relationships/image" Target="media/image30.jpeg"/><Relationship Id="rId139" Type="http://schemas.openxmlformats.org/officeDocument/2006/relationships/image" Target="media/image35.jpeg"/><Relationship Id="rId80" Type="http://schemas.openxmlformats.org/officeDocument/2006/relationships/hyperlink" Target="https://www.tandfonline.com/doi/full/10.1080/07399332.2016.1167896" TargetMode="External"/><Relationship Id="rId85" Type="http://schemas.openxmlformats.org/officeDocument/2006/relationships/hyperlink" Target="https://twitter.com/intent/tweet?text=Parce+que+le+virus+ne+touche+pas+les+femmes+et+les+hommes+de+la+m%C3%AAme+fa%C3%A7on%2C+notre+r%C3%A9ponse+doit+tenir+compte+de+ces+diff%C3%A9rences.&amp;url=https://blogs.worldbank.org/fr/voices/femmes-et-hommes-ne-sont-pas-egaux-face-au-coronavirus-covid-19?cid=ECR_E_newsletterweekly_FR_EXT&amp;deliveryName=DM62571/?cid=EXT_WBBlogTweetableShare_D_EXT&amp;via=WorldBank" TargetMode="External"/><Relationship Id="rId150" Type="http://schemas.openxmlformats.org/officeDocument/2006/relationships/image" Target="media/image46.jpeg"/><Relationship Id="rId155" Type="http://schemas.openxmlformats.org/officeDocument/2006/relationships/image" Target="media/image51.jpeg"/><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hyperlink" Target="https://fr.wikipedia.org/wiki/Kikongo" TargetMode="External"/><Relationship Id="rId38" Type="http://schemas.openxmlformats.org/officeDocument/2006/relationships/hyperlink" Target="https://fr.wikipedia.org/wiki/Kananga" TargetMode="External"/><Relationship Id="rId59" Type="http://schemas.openxmlformats.org/officeDocument/2006/relationships/hyperlink" Target="https://fr.wikipedia.org/wiki/Dekese" TargetMode="External"/><Relationship Id="rId103" Type="http://schemas.openxmlformats.org/officeDocument/2006/relationships/hyperlink" Target="http://www.inspectionpanel.org/francais" TargetMode="External"/><Relationship Id="rId108" Type="http://schemas.openxmlformats.org/officeDocument/2006/relationships/image" Target="media/image4.jpeg"/><Relationship Id="rId124" Type="http://schemas.openxmlformats.org/officeDocument/2006/relationships/image" Target="media/image20.jpeg"/><Relationship Id="rId129" Type="http://schemas.openxmlformats.org/officeDocument/2006/relationships/image" Target="media/image25.jpeg"/><Relationship Id="rId54" Type="http://schemas.openxmlformats.org/officeDocument/2006/relationships/hyperlink" Target="https://fr.wikipedia.org/wiki/Sitatunga" TargetMode="External"/><Relationship Id="rId70" Type="http://schemas.openxmlformats.org/officeDocument/2006/relationships/hyperlink" Target="http://fr.wikipedia.org/w/index.php?title=Lutshima&amp;action=edit&amp;redlink=1" TargetMode="External"/><Relationship Id="rId75" Type="http://schemas.openxmlformats.org/officeDocument/2006/relationships/hyperlink" Target="http://documents.worldbank.org/curated/en/820851467992505410/pdf/102114-REVISED-PUBLIC-WBG-Gender-Strategy.pdf" TargetMode="External"/><Relationship Id="rId91" Type="http://schemas.openxmlformats.org/officeDocument/2006/relationships/hyperlink" Target="https://fr.wikipedia.org/wiki/Western_Union" TargetMode="External"/><Relationship Id="rId96" Type="http://schemas.openxmlformats.org/officeDocument/2006/relationships/hyperlink" Target="https://fr.wikipedia.org/wiki/Banque_%C3%A9lectronique" TargetMode="External"/><Relationship Id="rId140" Type="http://schemas.openxmlformats.org/officeDocument/2006/relationships/image" Target="media/image36.jpeg"/><Relationship Id="rId145" Type="http://schemas.openxmlformats.org/officeDocument/2006/relationships/image" Target="media/image41.jpeg"/><Relationship Id="rId161" Type="http://schemas.openxmlformats.org/officeDocument/2006/relationships/hyperlink" Target="https://www.who.int/publications-detail/water-sanitation-hygiene-and-waste-management-for-covid-1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hyperlink" Target="https://fr.wikipedia.org/wiki/R%C3%A9publique_d%C3%A9mocratique_du_Congo" TargetMode="External"/><Relationship Id="rId36" Type="http://schemas.openxmlformats.org/officeDocument/2006/relationships/hyperlink" Target="https://fr.wikipedia.org/wiki/R%C3%A9publique_d%C3%A9mocratique_du_Congo" TargetMode="External"/><Relationship Id="rId49" Type="http://schemas.openxmlformats.org/officeDocument/2006/relationships/hyperlink" Target="https://fr.wikipedia.org/wiki/V%C3%A9g%C3%A9tation" TargetMode="External"/><Relationship Id="rId57" Type="http://schemas.openxmlformats.org/officeDocument/2006/relationships/hyperlink" Target="https://fr.wikipedia.org/wiki/Kasa%C3%AF-Occidental" TargetMode="External"/><Relationship Id="rId106" Type="http://schemas.openxmlformats.org/officeDocument/2006/relationships/hyperlink" Target="mailto:corneillekm@yahoo.fr" TargetMode="External"/><Relationship Id="rId114" Type="http://schemas.openxmlformats.org/officeDocument/2006/relationships/image" Target="media/image10.jpeg"/><Relationship Id="rId119" Type="http://schemas.openxmlformats.org/officeDocument/2006/relationships/image" Target="media/image15.jpeg"/><Relationship Id="rId127" Type="http://schemas.openxmlformats.org/officeDocument/2006/relationships/image" Target="media/image23.jpeg"/><Relationship Id="rId10" Type="http://schemas.openxmlformats.org/officeDocument/2006/relationships/endnotes" Target="endnotes.xml"/><Relationship Id="rId31" Type="http://schemas.openxmlformats.org/officeDocument/2006/relationships/hyperlink" Target="https://fr.wikipedia.org/wiki/Bonobo" TargetMode="External"/><Relationship Id="rId44" Type="http://schemas.openxmlformats.org/officeDocument/2006/relationships/hyperlink" Target="https://fr.wikipedia.org/wiki/Climat" TargetMode="External"/><Relationship Id="rId52" Type="http://schemas.openxmlformats.org/officeDocument/2006/relationships/hyperlink" Target="https://fr.wikipedia.org/wiki/Luiza_(territoire)" TargetMode="External"/><Relationship Id="rId60" Type="http://schemas.openxmlformats.org/officeDocument/2006/relationships/hyperlink" Target="https://fr.wikipedia.org/wiki/Ilebo" TargetMode="External"/><Relationship Id="rId65" Type="http://schemas.openxmlformats.org/officeDocument/2006/relationships/hyperlink" Target="https://fr.wikipedia.org/wiki/Savane" TargetMode="External"/><Relationship Id="rId73" Type="http://schemas.openxmlformats.org/officeDocument/2006/relationships/hyperlink" Target="http://dictionnaire.sensagent.leparisien.fr/Tshikapa%20(rivi&#232;re)/fr-fr/" TargetMode="External"/><Relationship Id="rId78" Type="http://schemas.openxmlformats.org/officeDocument/2006/relationships/hyperlink" Target="https://data.unwomen.org/resources/covid-19-emerging-gender-data-and-why-it-matters" TargetMode="External"/><Relationship Id="rId81" Type="http://schemas.openxmlformats.org/officeDocument/2006/relationships/hyperlink" Target="https://academic.oup.com/jpubhealth/article/38/4/673/2966926" TargetMode="External"/><Relationship Id="rId86" Type="http://schemas.openxmlformats.org/officeDocument/2006/relationships/hyperlink" Target="https://www.afro.who.int/fr/news/reapparition-du-virus-ebola-au-nord-kivu-en-republique-democratique-du-congo" TargetMode="External"/><Relationship Id="rId94" Type="http://schemas.openxmlformats.org/officeDocument/2006/relationships/hyperlink" Target="https://fr.wikipedia.org/wiki/R%C3%A9publique_d%C3%A9mocratique_du_Congo" TargetMode="External"/><Relationship Id="rId99" Type="http://schemas.openxmlformats.org/officeDocument/2006/relationships/footer" Target="footer8.xml"/><Relationship Id="rId101" Type="http://schemas.openxmlformats.org/officeDocument/2006/relationships/footer" Target="footer10.xml"/><Relationship Id="rId122" Type="http://schemas.openxmlformats.org/officeDocument/2006/relationships/image" Target="media/image18.jpeg"/><Relationship Id="rId130" Type="http://schemas.openxmlformats.org/officeDocument/2006/relationships/image" Target="media/image26.jpeg"/><Relationship Id="rId135" Type="http://schemas.openxmlformats.org/officeDocument/2006/relationships/image" Target="media/image31.jpeg"/><Relationship Id="rId143" Type="http://schemas.openxmlformats.org/officeDocument/2006/relationships/image" Target="media/image39.jpeg"/><Relationship Id="rId148" Type="http://schemas.openxmlformats.org/officeDocument/2006/relationships/image" Target="media/image44.jpeg"/><Relationship Id="rId151" Type="http://schemas.openxmlformats.org/officeDocument/2006/relationships/image" Target="media/image47.jpeg"/><Relationship Id="rId156" Type="http://schemas.openxmlformats.org/officeDocument/2006/relationships/image" Target="media/image52.jpeg"/><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javascript:void(0)" TargetMode="External"/><Relationship Id="rId18" Type="http://schemas.openxmlformats.org/officeDocument/2006/relationships/header" Target="header3.xml"/><Relationship Id="rId39" Type="http://schemas.openxmlformats.org/officeDocument/2006/relationships/hyperlink" Target="https://fr.wikipedia.org/wiki/Sankuru_(district)" TargetMode="External"/><Relationship Id="rId109" Type="http://schemas.openxmlformats.org/officeDocument/2006/relationships/image" Target="media/image5.jpeg"/><Relationship Id="rId34" Type="http://schemas.openxmlformats.org/officeDocument/2006/relationships/hyperlink" Target="https://fr.wikipedia.org/wiki/Lingala" TargetMode="External"/><Relationship Id="rId50" Type="http://schemas.openxmlformats.org/officeDocument/2006/relationships/hyperlink" Target="https://fr.wikipedia.org/wiki/Savane" TargetMode="External"/><Relationship Id="rId55" Type="http://schemas.openxmlformats.org/officeDocument/2006/relationships/hyperlink" Target="https://fr.wikipedia.org/wiki/Buffle" TargetMode="External"/><Relationship Id="rId76" Type="http://schemas.openxmlformats.org/officeDocument/2006/relationships/hyperlink" Target="https://www.cnn.com/2020/03/24/health/coronavirus-gender-mortality-intl/index.html" TargetMode="External"/><Relationship Id="rId97" Type="http://schemas.openxmlformats.org/officeDocument/2006/relationships/hyperlink" Target="https://fr.wikipedia.org/wiki/Western_Union" TargetMode="External"/><Relationship Id="rId104" Type="http://schemas.openxmlformats.org/officeDocument/2006/relationships/hyperlink" Target="http://pubdocs.worldbank.org/en/979391548951977252/ESF-Good-Practice-Notes-on-Security-Personnel-fran&#231;ais.pdf" TargetMode="External"/><Relationship Id="rId120" Type="http://schemas.openxmlformats.org/officeDocument/2006/relationships/image" Target="media/image16.jpeg"/><Relationship Id="rId125" Type="http://schemas.openxmlformats.org/officeDocument/2006/relationships/image" Target="media/image21.jpeg"/><Relationship Id="rId141" Type="http://schemas.openxmlformats.org/officeDocument/2006/relationships/image" Target="media/image37.jpeg"/><Relationship Id="rId146" Type="http://schemas.openxmlformats.org/officeDocument/2006/relationships/image" Target="media/image42.jpeg"/><Relationship Id="rId7" Type="http://schemas.openxmlformats.org/officeDocument/2006/relationships/settings" Target="settings.xml"/><Relationship Id="rId71" Type="http://schemas.openxmlformats.org/officeDocument/2006/relationships/hyperlink" Target="http://fr.wikipedia.org/w/index.php?title=Lubembe&amp;action=edit&amp;redlink=1" TargetMode="External"/><Relationship Id="rId92" Type="http://schemas.openxmlformats.org/officeDocument/2006/relationships/hyperlink" Target="https://fr.wikipedia.org/wiki/MasterCard_(carte_bancaire)" TargetMode="External"/><Relationship Id="rId162" Type="http://schemas.openxmlformats.org/officeDocument/2006/relationships/hyperlink" Target="https://www.who.int/publications-detail/risk-communication-and-community-engagement-(rcce)-action-plan-guidance" TargetMode="External"/><Relationship Id="rId2" Type="http://schemas.openxmlformats.org/officeDocument/2006/relationships/customXml" Target="../customXml/item2.xml"/><Relationship Id="rId29" Type="http://schemas.openxmlformats.org/officeDocument/2006/relationships/hyperlink" Target="https://fr.wikipedia.org/wiki/Bandundu_(province)" TargetMode="External"/><Relationship Id="rId24" Type="http://schemas.openxmlformats.org/officeDocument/2006/relationships/header" Target="header5.xml"/><Relationship Id="rId40" Type="http://schemas.openxmlformats.org/officeDocument/2006/relationships/hyperlink" Target="https://fr.wikipedia.org/wiki/Parall%C3%A8le_(g%C3%A9ographie)" TargetMode="External"/><Relationship Id="rId45" Type="http://schemas.openxmlformats.org/officeDocument/2006/relationships/hyperlink" Target="https://fr.wikipedia.org/wiki/Climat_tropical" TargetMode="External"/><Relationship Id="rId66" Type="http://schemas.openxmlformats.org/officeDocument/2006/relationships/hyperlink" Target="https://fr.wikipedia.org/wiki/Guin%C3%A9e" TargetMode="External"/><Relationship Id="rId87" Type="http://schemas.openxmlformats.org/officeDocument/2006/relationships/hyperlink" Target="https://fr.wikipedia.org/wiki/R%C3%A9publique_d%C3%A9mocratique_du_Congo" TargetMode="External"/><Relationship Id="rId110" Type="http://schemas.openxmlformats.org/officeDocument/2006/relationships/image" Target="media/image6.jpeg"/><Relationship Id="rId115" Type="http://schemas.openxmlformats.org/officeDocument/2006/relationships/image" Target="media/image11.jpeg"/><Relationship Id="rId131" Type="http://schemas.openxmlformats.org/officeDocument/2006/relationships/image" Target="media/image27.jpeg"/><Relationship Id="rId136" Type="http://schemas.openxmlformats.org/officeDocument/2006/relationships/image" Target="media/image32.jpeg"/><Relationship Id="rId157" Type="http://schemas.openxmlformats.org/officeDocument/2006/relationships/image" Target="media/image53.jpeg"/><Relationship Id="rId61" Type="http://schemas.openxmlformats.org/officeDocument/2006/relationships/hyperlink" Target="https://fr.wikipedia.org/wiki/Kamonia" TargetMode="External"/><Relationship Id="rId82" Type="http://schemas.openxmlformats.org/officeDocument/2006/relationships/hyperlink" Target="https://www.cgdev.org/blog/gender-lens-covid-19-pandemics-and-violence-against-women-and-children" TargetMode="External"/><Relationship Id="rId152" Type="http://schemas.openxmlformats.org/officeDocument/2006/relationships/image" Target="media/image48.jpe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fr.wikipedia.org/wiki/Hippopotame" TargetMode="External"/><Relationship Id="rId35" Type="http://schemas.openxmlformats.org/officeDocument/2006/relationships/hyperlink" Target="https://www.caid.cd/index.php/donnees-par-province-administrative/province-de-kongo-central/?donnees=fiche" TargetMode="External"/><Relationship Id="rId56" Type="http://schemas.openxmlformats.org/officeDocument/2006/relationships/hyperlink" Target="https://fr.wikipedia.org/wiki/R%C3%A9publique_d%C3%A9mocratique_du_Congo" TargetMode="External"/><Relationship Id="rId77" Type="http://schemas.openxmlformats.org/officeDocument/2006/relationships/hyperlink" Target="https://www.theguardian.com/commentisfree/2020/apr/07/coronavirus-hits-men-harder-evidence-risk" TargetMode="External"/><Relationship Id="rId100" Type="http://schemas.openxmlformats.org/officeDocument/2006/relationships/footer" Target="footer9.xml"/><Relationship Id="rId105" Type="http://schemas.openxmlformats.org/officeDocument/2006/relationships/hyperlink" Target="https://worldbankgroup.sharepoint.com/sites/wbunits/opcs/Knowledge%20Base/Public%20Consulta" TargetMode="External"/><Relationship Id="rId126" Type="http://schemas.openxmlformats.org/officeDocument/2006/relationships/image" Target="media/image22.jpeg"/><Relationship Id="rId147" Type="http://schemas.openxmlformats.org/officeDocument/2006/relationships/image" Target="media/image43.jpeg"/><Relationship Id="rId8" Type="http://schemas.openxmlformats.org/officeDocument/2006/relationships/webSettings" Target="webSettings.xml"/><Relationship Id="rId51" Type="http://schemas.openxmlformats.org/officeDocument/2006/relationships/hyperlink" Target="https://fr.wikipedia.org/wiki/Guin%C3%A9e" TargetMode="External"/><Relationship Id="rId72" Type="http://schemas.openxmlformats.org/officeDocument/2006/relationships/hyperlink" Target="http://dictionnaire.sensagent.leparisien.fr/Lwachimo%20(cours%20d'eau)/fr-fr/" TargetMode="External"/><Relationship Id="rId93" Type="http://schemas.openxmlformats.org/officeDocument/2006/relationships/hyperlink" Target="https://fr.wikipedia.org/wiki/Banque" TargetMode="External"/><Relationship Id="rId98" Type="http://schemas.openxmlformats.org/officeDocument/2006/relationships/hyperlink" Target="https://fr.wikipedia.org/wiki/MasterCard_(carte_bancaire)" TargetMode="External"/><Relationship Id="rId121" Type="http://schemas.openxmlformats.org/officeDocument/2006/relationships/image" Target="media/image17.jpeg"/><Relationship Id="rId142" Type="http://schemas.openxmlformats.org/officeDocument/2006/relationships/image" Target="media/image38.jpeg"/><Relationship Id="rId163" Type="http://schemas.openxmlformats.org/officeDocument/2006/relationships/header" Target="header7.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yperlink" Target="https://fr.wikipedia.org/wiki/Saison" TargetMode="External"/><Relationship Id="rId67" Type="http://schemas.openxmlformats.org/officeDocument/2006/relationships/hyperlink" Target="http://fr.wikipedia.org/w/index.php?title=Munyango&amp;action=edit&amp;redlink=1" TargetMode="External"/><Relationship Id="rId116" Type="http://schemas.openxmlformats.org/officeDocument/2006/relationships/image" Target="media/image12.jpeg"/><Relationship Id="rId137" Type="http://schemas.openxmlformats.org/officeDocument/2006/relationships/image" Target="media/image33.jpeg"/><Relationship Id="rId158" Type="http://schemas.openxmlformats.org/officeDocument/2006/relationships/image" Target="media/image54.jpeg"/><Relationship Id="rId20" Type="http://schemas.openxmlformats.org/officeDocument/2006/relationships/header" Target="header4.xml"/><Relationship Id="rId41" Type="http://schemas.openxmlformats.org/officeDocument/2006/relationships/hyperlink" Target="https://fr.wikipedia.org/wiki/Latitude" TargetMode="External"/><Relationship Id="rId62" Type="http://schemas.openxmlformats.org/officeDocument/2006/relationships/hyperlink" Target="https://fr.wikipedia.org/wiki/Luebo" TargetMode="External"/><Relationship Id="rId83" Type="http://schemas.openxmlformats.org/officeDocument/2006/relationships/hyperlink" Target="https://news.un.org/fr/story/2020/04/1065842" TargetMode="External"/><Relationship Id="rId88" Type="http://schemas.openxmlformats.org/officeDocument/2006/relationships/hyperlink" Target="https://fr.wikipedia.org/wiki/1909" TargetMode="External"/><Relationship Id="rId111" Type="http://schemas.openxmlformats.org/officeDocument/2006/relationships/image" Target="media/image7.jpeg"/><Relationship Id="rId132" Type="http://schemas.openxmlformats.org/officeDocument/2006/relationships/image" Target="media/image28.jpeg"/><Relationship Id="rId153" Type="http://schemas.openxmlformats.org/officeDocument/2006/relationships/image" Target="media/image49.jpeg"/></Relationships>
</file>

<file path=word/_rels/footnotes.xml.rels><?xml version="1.0" encoding="UTF-8" standalone="yes"?>
<Relationships xmlns="http://schemas.openxmlformats.org/package/2006/relationships"><Relationship Id="rId8" Type="http://schemas.openxmlformats.org/officeDocument/2006/relationships/hyperlink" Target="http://www.gbvims.com/wp/wp-content/uploads/BestPractices2.pdf" TargetMode="External"/><Relationship Id="rId3" Type="http://schemas.openxmlformats.org/officeDocument/2006/relationships/hyperlink" Target="http://pubdocs.worldbank.org/en/296041548955886585/Good-Practice-Note-Addressing-Gender-Based-Violence-french.pdf" TargetMode="External"/><Relationship Id="rId7" Type="http://schemas.openxmlformats.org/officeDocument/2006/relationships/hyperlink" Target="http://www.pnmls.cd/doc/Lois%20portant%20protection%20des%20PVV%20et%20PA,%20Protection%20de%20l'enfant%20et%20contre%20VS%20J.O.%20n%C2%B0%20Sp%C3%A9cial%20du%2025%20mai%202009.pdf" TargetMode="External"/><Relationship Id="rId2" Type="http://schemas.openxmlformats.org/officeDocument/2006/relationships/hyperlink" Target="http://pubdocs.worldbank.org/en/296041548955886585/Good-Practice-Note-Addressing-Gender-Based-Violence-french.pdf" TargetMode="External"/><Relationship Id="rId1" Type="http://schemas.openxmlformats.org/officeDocument/2006/relationships/hyperlink" Target="http://pubdocs.worldbank.org/en/215761593706525660/ESF-GPN-SEASH-in-major-civil-works-French.pdf" TargetMode="External"/><Relationship Id="rId6" Type="http://schemas.openxmlformats.org/officeDocument/2006/relationships/hyperlink" Target="https://www.ifc.org/wps/wcm/connect/d4260b19-30f2-466d-9c7e-86ac0ece7e89/010_General%2BGuidelines.pdf?MOD=AJPERES&amp;CVID=jkD2Am7&amp;ContentCache=NONE&amp;CACHE=NONE" TargetMode="External"/><Relationship Id="rId5" Type="http://schemas.openxmlformats.org/officeDocument/2006/relationships/hyperlink" Target="http://pubdocs.worldbank.org/en/936531525368193913/Environmental-Social-Framework-French2.pdf" TargetMode="External"/><Relationship Id="rId4" Type="http://schemas.openxmlformats.org/officeDocument/2006/relationships/hyperlink" Target="http://pubdocs.worldbank.org/en/296041548955886585/Good-Practice-Note-Addressing-Gender-Based-Violence-frenc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87EA3DE823DC489E44BF4CD2C2AF9F" ma:contentTypeVersion="13" ma:contentTypeDescription="Create a new document." ma:contentTypeScope="" ma:versionID="b5b3559bc1e02cbd9c3de23a2e7c4064">
  <xsd:schema xmlns:xsd="http://www.w3.org/2001/XMLSchema" xmlns:xs="http://www.w3.org/2001/XMLSchema" xmlns:p="http://schemas.microsoft.com/office/2006/metadata/properties" xmlns:ns3="543abfbf-1b39-4535-8b1b-c72a4cdaa484" xmlns:ns4="2834bc84-a818-4cb9-8b4d-5179cfe104eb" targetNamespace="http://schemas.microsoft.com/office/2006/metadata/properties" ma:root="true" ma:fieldsID="756f5f8d0f5ccd5a554c091cecc37cb7" ns3:_="" ns4:_="">
    <xsd:import namespace="543abfbf-1b39-4535-8b1b-c72a4cdaa484"/>
    <xsd:import namespace="2834bc84-a818-4cb9-8b4d-5179cfe104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abfbf-1b39-4535-8b1b-c72a4cdaa4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34bc84-a818-4cb9-8b4d-5179cfe104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4F8B0B-097F-4C33-8F6A-20644DDAF574}">
  <ds:schemaRefs>
    <ds:schemaRef ds:uri="http://schemas.microsoft.com/sharepoint/v3/contenttype/forms"/>
  </ds:schemaRefs>
</ds:datastoreItem>
</file>

<file path=customXml/itemProps2.xml><?xml version="1.0" encoding="utf-8"?>
<ds:datastoreItem xmlns:ds="http://schemas.openxmlformats.org/officeDocument/2006/customXml" ds:itemID="{1BA33BD6-E653-47F3-B0C2-BD1BC4271264}">
  <ds:schemaRefs>
    <ds:schemaRef ds:uri="http://schemas.openxmlformats.org/officeDocument/2006/bibliography"/>
  </ds:schemaRefs>
</ds:datastoreItem>
</file>

<file path=customXml/itemProps3.xml><?xml version="1.0" encoding="utf-8"?>
<ds:datastoreItem xmlns:ds="http://schemas.openxmlformats.org/officeDocument/2006/customXml" ds:itemID="{BE29D71A-F312-465B-A48A-5289E61EA0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46A3D7-F198-4DF9-A3F7-CC3509630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abfbf-1b39-4535-8b1b-c72a4cdaa484"/>
    <ds:schemaRef ds:uri="2834bc84-a818-4cb9-8b4d-5179cfe10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180010</Words>
  <Characters>990061</Characters>
  <Application>Microsoft Office Word</Application>
  <DocSecurity>0</DocSecurity>
  <Lines>8250</Lines>
  <Paragraphs>2335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1167736</CharactersWithSpaces>
  <SharedDoc>false</SharedDoc>
  <HLinks>
    <vt:vector size="1566" baseType="variant">
      <vt:variant>
        <vt:i4>3735585</vt:i4>
      </vt:variant>
      <vt:variant>
        <vt:i4>1407</vt:i4>
      </vt:variant>
      <vt:variant>
        <vt:i4>0</vt:i4>
      </vt:variant>
      <vt:variant>
        <vt:i4>5</vt:i4>
      </vt:variant>
      <vt:variant>
        <vt:lpwstr>https://www.who.int/publications-detail/risk-communication-and-community-engagement-(rcce)-action-plan-guidance</vt:lpwstr>
      </vt:variant>
      <vt:variant>
        <vt:lpwstr/>
      </vt:variant>
      <vt:variant>
        <vt:i4>3997755</vt:i4>
      </vt:variant>
      <vt:variant>
        <vt:i4>1404</vt:i4>
      </vt:variant>
      <vt:variant>
        <vt:i4>0</vt:i4>
      </vt:variant>
      <vt:variant>
        <vt:i4>5</vt:i4>
      </vt:variant>
      <vt:variant>
        <vt:lpwstr>https://www.who.int/publications-detail/water-sanitation-hygiene-and-waste-management-for-covid-19</vt:lpwstr>
      </vt:variant>
      <vt:variant>
        <vt:lpwstr/>
      </vt:variant>
      <vt:variant>
        <vt:i4>4653078</vt:i4>
      </vt:variant>
      <vt:variant>
        <vt:i4>1401</vt:i4>
      </vt:variant>
      <vt:variant>
        <vt:i4>0</vt:i4>
      </vt:variant>
      <vt:variant>
        <vt:i4>5</vt:i4>
      </vt:variant>
      <vt:variant>
        <vt:lpwstr>https://www.who.int/emergencies/diseases/novel-coronavirus-2019/advice-for-public</vt:lpwstr>
      </vt:variant>
      <vt:variant>
        <vt:lpwstr/>
      </vt:variant>
      <vt:variant>
        <vt:i4>1048631</vt:i4>
      </vt:variant>
      <vt:variant>
        <vt:i4>1398</vt:i4>
      </vt:variant>
      <vt:variant>
        <vt:i4>0</vt:i4>
      </vt:variant>
      <vt:variant>
        <vt:i4>5</vt:i4>
      </vt:variant>
      <vt:variant>
        <vt:lpwstr>mailto:Poyimodeste2020@gmail.com</vt:lpwstr>
      </vt:variant>
      <vt:variant>
        <vt:lpwstr/>
      </vt:variant>
      <vt:variant>
        <vt:i4>6946885</vt:i4>
      </vt:variant>
      <vt:variant>
        <vt:i4>1395</vt:i4>
      </vt:variant>
      <vt:variant>
        <vt:i4>0</vt:i4>
      </vt:variant>
      <vt:variant>
        <vt:i4>5</vt:i4>
      </vt:variant>
      <vt:variant>
        <vt:lpwstr>mailto:corneillekm@yahoo.fr</vt:lpwstr>
      </vt:variant>
      <vt:variant>
        <vt:lpwstr/>
      </vt:variant>
      <vt:variant>
        <vt:i4>2621472</vt:i4>
      </vt:variant>
      <vt:variant>
        <vt:i4>1392</vt:i4>
      </vt:variant>
      <vt:variant>
        <vt:i4>0</vt:i4>
      </vt:variant>
      <vt:variant>
        <vt:i4>5</vt:i4>
      </vt:variant>
      <vt:variant>
        <vt:lpwstr>https://worldbankgroup.sharepoint.com/sites/wbunits/opcs/Knowledge Base/Public Consulta</vt:lpwstr>
      </vt:variant>
      <vt:variant>
        <vt:lpwstr/>
      </vt:variant>
      <vt:variant>
        <vt:i4>9306128</vt:i4>
      </vt:variant>
      <vt:variant>
        <vt:i4>1389</vt:i4>
      </vt:variant>
      <vt:variant>
        <vt:i4>0</vt:i4>
      </vt:variant>
      <vt:variant>
        <vt:i4>5</vt:i4>
      </vt:variant>
      <vt:variant>
        <vt:lpwstr>http://pubdocs.worldbank.org/en/979391548951977252/ESF-Good-Practice-Notes-on-Security-Personnel-français.pdf</vt:lpwstr>
      </vt:variant>
      <vt:variant>
        <vt:lpwstr/>
      </vt:variant>
      <vt:variant>
        <vt:i4>3670048</vt:i4>
      </vt:variant>
      <vt:variant>
        <vt:i4>1383</vt:i4>
      </vt:variant>
      <vt:variant>
        <vt:i4>0</vt:i4>
      </vt:variant>
      <vt:variant>
        <vt:i4>5</vt:i4>
      </vt:variant>
      <vt:variant>
        <vt:lpwstr>http://www.inspectionpanel.org/francais</vt:lpwstr>
      </vt:variant>
      <vt:variant>
        <vt:lpwstr/>
      </vt:variant>
      <vt:variant>
        <vt:i4>2949221</vt:i4>
      </vt:variant>
      <vt:variant>
        <vt:i4>1305</vt:i4>
      </vt:variant>
      <vt:variant>
        <vt:i4>0</vt:i4>
      </vt:variant>
      <vt:variant>
        <vt:i4>5</vt:i4>
      </vt:variant>
      <vt:variant>
        <vt:lpwstr>https://www.google.com/url?sa=t&amp;rct=j&amp;q=&amp;esrc=s&amp;source=web&amp;cd=&amp;cad=rja&amp;uact=8&amp;ved=2ahUKEwiL79b1lZTwAhUjQhUIHWCXCbAQFjAAegQIAhAD&amp;url=https%3A%2F%2Fpdss.cd%2Fwp-content%2Fuploads%2F2019%2F03%2FChild-Nutrition-LMP-3-11-19-Cleared-Disclosed.pdf&amp;usg=AOvVaw3BWHWmKyBGOuzzIJvO6gaH</vt:lpwstr>
      </vt:variant>
      <vt:variant>
        <vt:lpwstr/>
      </vt:variant>
      <vt:variant>
        <vt:i4>4128809</vt:i4>
      </vt:variant>
      <vt:variant>
        <vt:i4>1302</vt:i4>
      </vt:variant>
      <vt:variant>
        <vt:i4>0</vt:i4>
      </vt:variant>
      <vt:variant>
        <vt:i4>5</vt:i4>
      </vt:variant>
      <vt:variant>
        <vt:lpwstr>https://fr.wikipedia.org/wiki/MasterCard_(carte_bancaire)</vt:lpwstr>
      </vt:variant>
      <vt:variant>
        <vt:lpwstr/>
      </vt:variant>
      <vt:variant>
        <vt:i4>786532</vt:i4>
      </vt:variant>
      <vt:variant>
        <vt:i4>1299</vt:i4>
      </vt:variant>
      <vt:variant>
        <vt:i4>0</vt:i4>
      </vt:variant>
      <vt:variant>
        <vt:i4>5</vt:i4>
      </vt:variant>
      <vt:variant>
        <vt:lpwstr>https://fr.wikipedia.org/wiki/Western_Union</vt:lpwstr>
      </vt:variant>
      <vt:variant>
        <vt:lpwstr/>
      </vt:variant>
      <vt:variant>
        <vt:i4>3407948</vt:i4>
      </vt:variant>
      <vt:variant>
        <vt:i4>1296</vt:i4>
      </vt:variant>
      <vt:variant>
        <vt:i4>0</vt:i4>
      </vt:variant>
      <vt:variant>
        <vt:i4>5</vt:i4>
      </vt:variant>
      <vt:variant>
        <vt:lpwstr>https://fr.wikipedia.org/wiki/Banque_%C3%A9lectronique</vt:lpwstr>
      </vt:variant>
      <vt:variant>
        <vt:lpwstr/>
      </vt:variant>
      <vt:variant>
        <vt:i4>2818153</vt:i4>
      </vt:variant>
      <vt:variant>
        <vt:i4>1278</vt:i4>
      </vt:variant>
      <vt:variant>
        <vt:i4>0</vt:i4>
      </vt:variant>
      <vt:variant>
        <vt:i4>5</vt:i4>
      </vt:variant>
      <vt:variant>
        <vt:lpwstr>https://fr.wikipedia.org/wiki/Kinshasa</vt:lpwstr>
      </vt:variant>
      <vt:variant>
        <vt:lpwstr/>
      </vt:variant>
      <vt:variant>
        <vt:i4>5963810</vt:i4>
      </vt:variant>
      <vt:variant>
        <vt:i4>1275</vt:i4>
      </vt:variant>
      <vt:variant>
        <vt:i4>0</vt:i4>
      </vt:variant>
      <vt:variant>
        <vt:i4>5</vt:i4>
      </vt:variant>
      <vt:variant>
        <vt:lpwstr>https://fr.wikipedia.org/wiki/R%C3%A9publique_d%C3%A9mocratique_du_Congo</vt:lpwstr>
      </vt:variant>
      <vt:variant>
        <vt:lpwstr/>
      </vt:variant>
      <vt:variant>
        <vt:i4>4456462</vt:i4>
      </vt:variant>
      <vt:variant>
        <vt:i4>1272</vt:i4>
      </vt:variant>
      <vt:variant>
        <vt:i4>0</vt:i4>
      </vt:variant>
      <vt:variant>
        <vt:i4>5</vt:i4>
      </vt:variant>
      <vt:variant>
        <vt:lpwstr>https://fr.wikipedia.org/wiki/Banque</vt:lpwstr>
      </vt:variant>
      <vt:variant>
        <vt:lpwstr/>
      </vt:variant>
      <vt:variant>
        <vt:i4>4128809</vt:i4>
      </vt:variant>
      <vt:variant>
        <vt:i4>1269</vt:i4>
      </vt:variant>
      <vt:variant>
        <vt:i4>0</vt:i4>
      </vt:variant>
      <vt:variant>
        <vt:i4>5</vt:i4>
      </vt:variant>
      <vt:variant>
        <vt:lpwstr>https://fr.wikipedia.org/wiki/MasterCard_(carte_bancaire)</vt:lpwstr>
      </vt:variant>
      <vt:variant>
        <vt:lpwstr/>
      </vt:variant>
      <vt:variant>
        <vt:i4>786532</vt:i4>
      </vt:variant>
      <vt:variant>
        <vt:i4>1266</vt:i4>
      </vt:variant>
      <vt:variant>
        <vt:i4>0</vt:i4>
      </vt:variant>
      <vt:variant>
        <vt:i4>5</vt:i4>
      </vt:variant>
      <vt:variant>
        <vt:lpwstr>https://fr.wikipedia.org/wiki/Western_Union</vt:lpwstr>
      </vt:variant>
      <vt:variant>
        <vt:lpwstr/>
      </vt:variant>
      <vt:variant>
        <vt:i4>3407948</vt:i4>
      </vt:variant>
      <vt:variant>
        <vt:i4>1263</vt:i4>
      </vt:variant>
      <vt:variant>
        <vt:i4>0</vt:i4>
      </vt:variant>
      <vt:variant>
        <vt:i4>5</vt:i4>
      </vt:variant>
      <vt:variant>
        <vt:lpwstr>https://fr.wikipedia.org/wiki/Banque_%C3%A9lectronique</vt:lpwstr>
      </vt:variant>
      <vt:variant>
        <vt:lpwstr/>
      </vt:variant>
      <vt:variant>
        <vt:i4>5963810</vt:i4>
      </vt:variant>
      <vt:variant>
        <vt:i4>1260</vt:i4>
      </vt:variant>
      <vt:variant>
        <vt:i4>0</vt:i4>
      </vt:variant>
      <vt:variant>
        <vt:i4>5</vt:i4>
      </vt:variant>
      <vt:variant>
        <vt:lpwstr>https://fr.wikipedia.org/wiki/R%C3%A9publique_d%C3%A9mocratique_du_Congo</vt:lpwstr>
      </vt:variant>
      <vt:variant>
        <vt:lpwstr/>
      </vt:variant>
      <vt:variant>
        <vt:i4>3211382</vt:i4>
      </vt:variant>
      <vt:variant>
        <vt:i4>1257</vt:i4>
      </vt:variant>
      <vt:variant>
        <vt:i4>0</vt:i4>
      </vt:variant>
      <vt:variant>
        <vt:i4>5</vt:i4>
      </vt:variant>
      <vt:variant>
        <vt:lpwstr>https://fr.wikipedia.org/wiki/1909</vt:lpwstr>
      </vt:variant>
      <vt:variant>
        <vt:lpwstr/>
      </vt:variant>
      <vt:variant>
        <vt:i4>5963810</vt:i4>
      </vt:variant>
      <vt:variant>
        <vt:i4>1254</vt:i4>
      </vt:variant>
      <vt:variant>
        <vt:i4>0</vt:i4>
      </vt:variant>
      <vt:variant>
        <vt:i4>5</vt:i4>
      </vt:variant>
      <vt:variant>
        <vt:lpwstr>https://fr.wikipedia.org/wiki/R%C3%A9publique_d%C3%A9mocratique_du_Congo</vt:lpwstr>
      </vt:variant>
      <vt:variant>
        <vt:lpwstr/>
      </vt:variant>
      <vt:variant>
        <vt:i4>4456517</vt:i4>
      </vt:variant>
      <vt:variant>
        <vt:i4>1239</vt:i4>
      </vt:variant>
      <vt:variant>
        <vt:i4>0</vt:i4>
      </vt:variant>
      <vt:variant>
        <vt:i4>5</vt:i4>
      </vt:variant>
      <vt:variant>
        <vt:lpwstr>https://www.afro.who.int/fr/news/reapparition-du-virus-ebola-au-nord-kivu-en-republique-democratique-du-congo</vt:lpwstr>
      </vt:variant>
      <vt:variant>
        <vt:lpwstr/>
      </vt:variant>
      <vt:variant>
        <vt:i4>3080294</vt:i4>
      </vt:variant>
      <vt:variant>
        <vt:i4>1236</vt:i4>
      </vt:variant>
      <vt:variant>
        <vt:i4>0</vt:i4>
      </vt:variant>
      <vt:variant>
        <vt:i4>5</vt:i4>
      </vt:variant>
      <vt:variant>
        <vt:lpwstr>https://twitter.com/intent/tweet?text=Parce+que+le+virus+ne+touche+pas+les+femmes+et+les+hommes+de+la+m%C3%AAme+fa%C3%A7on%2C+notre+r%C3%A9ponse+doit+tenir+compte+de+ces+diff%C3%A9rences.&amp;url=https://blogs.worldbank.org/fr/voices/femmes-et-hommes-ne-sont-pas-egaux-face-au-coronavirus-covid-19?cid=ECR_E_newsletterweekly_FR_EXT&amp;deliveryName=DM62571/?cid=EXT_WBBlogTweetableShare_D_EXT&amp;via=WorldBank</vt:lpwstr>
      </vt:variant>
      <vt:variant>
        <vt:lpwstr/>
      </vt:variant>
      <vt:variant>
        <vt:i4>6881325</vt:i4>
      </vt:variant>
      <vt:variant>
        <vt:i4>1233</vt:i4>
      </vt:variant>
      <vt:variant>
        <vt:i4>0</vt:i4>
      </vt:variant>
      <vt:variant>
        <vt:i4>5</vt:i4>
      </vt:variant>
      <vt:variant>
        <vt:lpwstr>https://data.unwomen.org/resources/covid-19-emerging-gender-data-and-why-it-matters</vt:lpwstr>
      </vt:variant>
      <vt:variant>
        <vt:lpwstr/>
      </vt:variant>
      <vt:variant>
        <vt:i4>95</vt:i4>
      </vt:variant>
      <vt:variant>
        <vt:i4>1230</vt:i4>
      </vt:variant>
      <vt:variant>
        <vt:i4>0</vt:i4>
      </vt:variant>
      <vt:variant>
        <vt:i4>5</vt:i4>
      </vt:variant>
      <vt:variant>
        <vt:lpwstr>https://news.un.org/fr/story/2020/04/1065842</vt:lpwstr>
      </vt:variant>
      <vt:variant>
        <vt:lpwstr/>
      </vt:variant>
      <vt:variant>
        <vt:i4>196673</vt:i4>
      </vt:variant>
      <vt:variant>
        <vt:i4>1227</vt:i4>
      </vt:variant>
      <vt:variant>
        <vt:i4>0</vt:i4>
      </vt:variant>
      <vt:variant>
        <vt:i4>5</vt:i4>
      </vt:variant>
      <vt:variant>
        <vt:lpwstr>https://www.cgdev.org/blog/gender-lens-covid-19-pandemics-and-violence-against-women-and-children</vt:lpwstr>
      </vt:variant>
      <vt:variant>
        <vt:lpwstr/>
      </vt:variant>
      <vt:variant>
        <vt:i4>1966095</vt:i4>
      </vt:variant>
      <vt:variant>
        <vt:i4>1224</vt:i4>
      </vt:variant>
      <vt:variant>
        <vt:i4>0</vt:i4>
      </vt:variant>
      <vt:variant>
        <vt:i4>5</vt:i4>
      </vt:variant>
      <vt:variant>
        <vt:lpwstr>https://academic.oup.com/jpubhealth/article/38/4/673/2966926</vt:lpwstr>
      </vt:variant>
      <vt:variant>
        <vt:lpwstr/>
      </vt:variant>
      <vt:variant>
        <vt:i4>2097267</vt:i4>
      </vt:variant>
      <vt:variant>
        <vt:i4>1221</vt:i4>
      </vt:variant>
      <vt:variant>
        <vt:i4>0</vt:i4>
      </vt:variant>
      <vt:variant>
        <vt:i4>5</vt:i4>
      </vt:variant>
      <vt:variant>
        <vt:lpwstr>https://www.tandfonline.com/doi/full/10.1080/07399332.2016.1167896</vt:lpwstr>
      </vt:variant>
      <vt:variant>
        <vt:lpwstr/>
      </vt:variant>
      <vt:variant>
        <vt:i4>6881325</vt:i4>
      </vt:variant>
      <vt:variant>
        <vt:i4>1218</vt:i4>
      </vt:variant>
      <vt:variant>
        <vt:i4>0</vt:i4>
      </vt:variant>
      <vt:variant>
        <vt:i4>5</vt:i4>
      </vt:variant>
      <vt:variant>
        <vt:lpwstr>https://data.unwomen.org/resources/covid-19-emerging-gender-data-and-why-it-matters</vt:lpwstr>
      </vt:variant>
      <vt:variant>
        <vt:lpwstr/>
      </vt:variant>
      <vt:variant>
        <vt:i4>6881325</vt:i4>
      </vt:variant>
      <vt:variant>
        <vt:i4>1215</vt:i4>
      </vt:variant>
      <vt:variant>
        <vt:i4>0</vt:i4>
      </vt:variant>
      <vt:variant>
        <vt:i4>5</vt:i4>
      </vt:variant>
      <vt:variant>
        <vt:lpwstr>https://data.unwomen.org/resources/covid-19-emerging-gender-data-and-why-it-matters</vt:lpwstr>
      </vt:variant>
      <vt:variant>
        <vt:lpwstr/>
      </vt:variant>
      <vt:variant>
        <vt:i4>7012395</vt:i4>
      </vt:variant>
      <vt:variant>
        <vt:i4>1212</vt:i4>
      </vt:variant>
      <vt:variant>
        <vt:i4>0</vt:i4>
      </vt:variant>
      <vt:variant>
        <vt:i4>5</vt:i4>
      </vt:variant>
      <vt:variant>
        <vt:lpwstr>https://www.theguardian.com/commentisfree/2020/apr/07/coronavirus-hits-men-harder-evidence-risk</vt:lpwstr>
      </vt:variant>
      <vt:variant>
        <vt:lpwstr/>
      </vt:variant>
      <vt:variant>
        <vt:i4>7536694</vt:i4>
      </vt:variant>
      <vt:variant>
        <vt:i4>1209</vt:i4>
      </vt:variant>
      <vt:variant>
        <vt:i4>0</vt:i4>
      </vt:variant>
      <vt:variant>
        <vt:i4>5</vt:i4>
      </vt:variant>
      <vt:variant>
        <vt:lpwstr>https://www.cnn.com/2020/03/24/health/coronavirus-gender-mortality-intl/index.html</vt:lpwstr>
      </vt:variant>
      <vt:variant>
        <vt:lpwstr/>
      </vt:variant>
      <vt:variant>
        <vt:i4>4128806</vt:i4>
      </vt:variant>
      <vt:variant>
        <vt:i4>1206</vt:i4>
      </vt:variant>
      <vt:variant>
        <vt:i4>0</vt:i4>
      </vt:variant>
      <vt:variant>
        <vt:i4>5</vt:i4>
      </vt:variant>
      <vt:variant>
        <vt:lpwstr>http://documents.worldbank.org/curated/en/820851467992505410/pdf/102114-REVISED-PUBLIC-WBG-Gender-Strategy.pdf</vt:lpwstr>
      </vt:variant>
      <vt:variant>
        <vt:lpwstr/>
      </vt:variant>
      <vt:variant>
        <vt:i4>4915267</vt:i4>
      </vt:variant>
      <vt:variant>
        <vt:i4>1203</vt:i4>
      </vt:variant>
      <vt:variant>
        <vt:i4>0</vt:i4>
      </vt:variant>
      <vt:variant>
        <vt:i4>5</vt:i4>
      </vt:variant>
      <vt:variant>
        <vt:lpwstr>https://openknowledge.worldbank.org/handle/10986/4391?locale-attribute=fr</vt:lpwstr>
      </vt:variant>
      <vt:variant>
        <vt:lpwstr/>
      </vt:variant>
      <vt:variant>
        <vt:i4>5505221</vt:i4>
      </vt:variant>
      <vt:variant>
        <vt:i4>1194</vt:i4>
      </vt:variant>
      <vt:variant>
        <vt:i4>0</vt:i4>
      </vt:variant>
      <vt:variant>
        <vt:i4>5</vt:i4>
      </vt:variant>
      <vt:variant>
        <vt:lpwstr>http://dictionnaire.sensagent.leparisien.fr/Tshikapa (rivière)/fr-fr/</vt:lpwstr>
      </vt:variant>
      <vt:variant>
        <vt:lpwstr/>
      </vt:variant>
      <vt:variant>
        <vt:i4>5570642</vt:i4>
      </vt:variant>
      <vt:variant>
        <vt:i4>1191</vt:i4>
      </vt:variant>
      <vt:variant>
        <vt:i4>0</vt:i4>
      </vt:variant>
      <vt:variant>
        <vt:i4>5</vt:i4>
      </vt:variant>
      <vt:variant>
        <vt:lpwstr>http://dictionnaire.sensagent.leparisien.fr/Lwachimo (cours d'eau)/fr-fr/</vt:lpwstr>
      </vt:variant>
      <vt:variant>
        <vt:lpwstr/>
      </vt:variant>
      <vt:variant>
        <vt:i4>3735608</vt:i4>
      </vt:variant>
      <vt:variant>
        <vt:i4>1188</vt:i4>
      </vt:variant>
      <vt:variant>
        <vt:i4>0</vt:i4>
      </vt:variant>
      <vt:variant>
        <vt:i4>5</vt:i4>
      </vt:variant>
      <vt:variant>
        <vt:lpwstr>http://fr.wikipedia.org/w/index.php?title=Lubembe&amp;action=edit&amp;redlink=1</vt:lpwstr>
      </vt:variant>
      <vt:variant>
        <vt:lpwstr/>
      </vt:variant>
      <vt:variant>
        <vt:i4>327762</vt:i4>
      </vt:variant>
      <vt:variant>
        <vt:i4>1185</vt:i4>
      </vt:variant>
      <vt:variant>
        <vt:i4>0</vt:i4>
      </vt:variant>
      <vt:variant>
        <vt:i4>5</vt:i4>
      </vt:variant>
      <vt:variant>
        <vt:lpwstr>http://fr.wikipedia.org/w/index.php?title=Lutshima&amp;action=edit&amp;redlink=1</vt:lpwstr>
      </vt:variant>
      <vt:variant>
        <vt:lpwstr/>
      </vt:variant>
      <vt:variant>
        <vt:i4>4849746</vt:i4>
      </vt:variant>
      <vt:variant>
        <vt:i4>1182</vt:i4>
      </vt:variant>
      <vt:variant>
        <vt:i4>0</vt:i4>
      </vt:variant>
      <vt:variant>
        <vt:i4>5</vt:i4>
      </vt:variant>
      <vt:variant>
        <vt:lpwstr>http://fr.wikipedia.org/w/index.php?title=Luete&amp;action=edit&amp;redlink=1</vt:lpwstr>
      </vt:variant>
      <vt:variant>
        <vt:lpwstr/>
      </vt:variant>
      <vt:variant>
        <vt:i4>3997792</vt:i4>
      </vt:variant>
      <vt:variant>
        <vt:i4>1179</vt:i4>
      </vt:variant>
      <vt:variant>
        <vt:i4>0</vt:i4>
      </vt:variant>
      <vt:variant>
        <vt:i4>5</vt:i4>
      </vt:variant>
      <vt:variant>
        <vt:lpwstr>http://dictionnaire.sensagent.leparisien.fr/Fimi/fr-fr/</vt:lpwstr>
      </vt:variant>
      <vt:variant>
        <vt:lpwstr/>
      </vt:variant>
      <vt:variant>
        <vt:i4>393290</vt:i4>
      </vt:variant>
      <vt:variant>
        <vt:i4>1176</vt:i4>
      </vt:variant>
      <vt:variant>
        <vt:i4>0</vt:i4>
      </vt:variant>
      <vt:variant>
        <vt:i4>5</vt:i4>
      </vt:variant>
      <vt:variant>
        <vt:lpwstr>http://fr.wikipedia.org/w/index.php?title=Munyango&amp;action=edit&amp;redlink=1</vt:lpwstr>
      </vt:variant>
      <vt:variant>
        <vt:lpwstr/>
      </vt:variant>
      <vt:variant>
        <vt:i4>5570574</vt:i4>
      </vt:variant>
      <vt:variant>
        <vt:i4>1173</vt:i4>
      </vt:variant>
      <vt:variant>
        <vt:i4>0</vt:i4>
      </vt:variant>
      <vt:variant>
        <vt:i4>5</vt:i4>
      </vt:variant>
      <vt:variant>
        <vt:lpwstr>https://fr.wikipedia.org/wiki/Guin%C3%A9e</vt:lpwstr>
      </vt:variant>
      <vt:variant>
        <vt:lpwstr/>
      </vt:variant>
      <vt:variant>
        <vt:i4>5505052</vt:i4>
      </vt:variant>
      <vt:variant>
        <vt:i4>1170</vt:i4>
      </vt:variant>
      <vt:variant>
        <vt:i4>0</vt:i4>
      </vt:variant>
      <vt:variant>
        <vt:i4>5</vt:i4>
      </vt:variant>
      <vt:variant>
        <vt:lpwstr>https://fr.wikipedia.org/wiki/Savane</vt:lpwstr>
      </vt:variant>
      <vt:variant>
        <vt:lpwstr/>
      </vt:variant>
      <vt:variant>
        <vt:i4>3670118</vt:i4>
      </vt:variant>
      <vt:variant>
        <vt:i4>1167</vt:i4>
      </vt:variant>
      <vt:variant>
        <vt:i4>0</vt:i4>
      </vt:variant>
      <vt:variant>
        <vt:i4>5</vt:i4>
      </vt:variant>
      <vt:variant>
        <vt:lpwstr>https://fr.wikipedia.org/wiki/V%C3%A9g%C3%A9tation</vt:lpwstr>
      </vt:variant>
      <vt:variant>
        <vt:lpwstr/>
      </vt:variant>
      <vt:variant>
        <vt:i4>2949247</vt:i4>
      </vt:variant>
      <vt:variant>
        <vt:i4>1164</vt:i4>
      </vt:variant>
      <vt:variant>
        <vt:i4>0</vt:i4>
      </vt:variant>
      <vt:variant>
        <vt:i4>5</vt:i4>
      </vt:variant>
      <vt:variant>
        <vt:lpwstr>https://fr.wikipedia.org/wiki/Mweka</vt:lpwstr>
      </vt:variant>
      <vt:variant>
        <vt:lpwstr/>
      </vt:variant>
      <vt:variant>
        <vt:i4>2490494</vt:i4>
      </vt:variant>
      <vt:variant>
        <vt:i4>1161</vt:i4>
      </vt:variant>
      <vt:variant>
        <vt:i4>0</vt:i4>
      </vt:variant>
      <vt:variant>
        <vt:i4>5</vt:i4>
      </vt:variant>
      <vt:variant>
        <vt:lpwstr>https://fr.wikipedia.org/wiki/Luebo</vt:lpwstr>
      </vt:variant>
      <vt:variant>
        <vt:lpwstr/>
      </vt:variant>
      <vt:variant>
        <vt:i4>5636127</vt:i4>
      </vt:variant>
      <vt:variant>
        <vt:i4>1158</vt:i4>
      </vt:variant>
      <vt:variant>
        <vt:i4>0</vt:i4>
      </vt:variant>
      <vt:variant>
        <vt:i4>5</vt:i4>
      </vt:variant>
      <vt:variant>
        <vt:lpwstr>https://fr.wikipedia.org/wiki/Kamonia</vt:lpwstr>
      </vt:variant>
      <vt:variant>
        <vt:lpwstr/>
      </vt:variant>
      <vt:variant>
        <vt:i4>4128891</vt:i4>
      </vt:variant>
      <vt:variant>
        <vt:i4>1155</vt:i4>
      </vt:variant>
      <vt:variant>
        <vt:i4>0</vt:i4>
      </vt:variant>
      <vt:variant>
        <vt:i4>5</vt:i4>
      </vt:variant>
      <vt:variant>
        <vt:lpwstr>https://fr.wikipedia.org/wiki/Ilebo</vt:lpwstr>
      </vt:variant>
      <vt:variant>
        <vt:lpwstr/>
      </vt:variant>
      <vt:variant>
        <vt:i4>5505035</vt:i4>
      </vt:variant>
      <vt:variant>
        <vt:i4>1152</vt:i4>
      </vt:variant>
      <vt:variant>
        <vt:i4>0</vt:i4>
      </vt:variant>
      <vt:variant>
        <vt:i4>5</vt:i4>
      </vt:variant>
      <vt:variant>
        <vt:lpwstr>https://fr.wikipedia.org/wiki/Dekese</vt:lpwstr>
      </vt:variant>
      <vt:variant>
        <vt:lpwstr/>
      </vt:variant>
      <vt:variant>
        <vt:i4>2228294</vt:i4>
      </vt:variant>
      <vt:variant>
        <vt:i4>1149</vt:i4>
      </vt:variant>
      <vt:variant>
        <vt:i4>0</vt:i4>
      </vt:variant>
      <vt:variant>
        <vt:i4>5</vt:i4>
      </vt:variant>
      <vt:variant>
        <vt:lpwstr>https://fr.wikipedia.org/wiki/Kasa%C3%AF_(rivi%C3%A8re)</vt:lpwstr>
      </vt:variant>
      <vt:variant>
        <vt:lpwstr/>
      </vt:variant>
      <vt:variant>
        <vt:i4>7733294</vt:i4>
      </vt:variant>
      <vt:variant>
        <vt:i4>1146</vt:i4>
      </vt:variant>
      <vt:variant>
        <vt:i4>0</vt:i4>
      </vt:variant>
      <vt:variant>
        <vt:i4>5</vt:i4>
      </vt:variant>
      <vt:variant>
        <vt:lpwstr>https://fr.wikipedia.org/wiki/Kasa%C3%AF-Occidental</vt:lpwstr>
      </vt:variant>
      <vt:variant>
        <vt:lpwstr/>
      </vt:variant>
      <vt:variant>
        <vt:i4>5963810</vt:i4>
      </vt:variant>
      <vt:variant>
        <vt:i4>1143</vt:i4>
      </vt:variant>
      <vt:variant>
        <vt:i4>0</vt:i4>
      </vt:variant>
      <vt:variant>
        <vt:i4>5</vt:i4>
      </vt:variant>
      <vt:variant>
        <vt:lpwstr>https://fr.wikipedia.org/wiki/R%C3%A9publique_d%C3%A9mocratique_du_Congo</vt:lpwstr>
      </vt:variant>
      <vt:variant>
        <vt:lpwstr/>
      </vt:variant>
      <vt:variant>
        <vt:i4>4653087</vt:i4>
      </vt:variant>
      <vt:variant>
        <vt:i4>1137</vt:i4>
      </vt:variant>
      <vt:variant>
        <vt:i4>0</vt:i4>
      </vt:variant>
      <vt:variant>
        <vt:i4>5</vt:i4>
      </vt:variant>
      <vt:variant>
        <vt:lpwstr>https://fr.wikipedia.org/wiki/Buffle</vt:lpwstr>
      </vt:variant>
      <vt:variant>
        <vt:lpwstr/>
      </vt:variant>
      <vt:variant>
        <vt:i4>2818154</vt:i4>
      </vt:variant>
      <vt:variant>
        <vt:i4>1134</vt:i4>
      </vt:variant>
      <vt:variant>
        <vt:i4>0</vt:i4>
      </vt:variant>
      <vt:variant>
        <vt:i4>5</vt:i4>
      </vt:variant>
      <vt:variant>
        <vt:lpwstr>https://fr.wikipedia.org/wiki/Sitatunga</vt:lpwstr>
      </vt:variant>
      <vt:variant>
        <vt:lpwstr/>
      </vt:variant>
      <vt:variant>
        <vt:i4>4259854</vt:i4>
      </vt:variant>
      <vt:variant>
        <vt:i4>1131</vt:i4>
      </vt:variant>
      <vt:variant>
        <vt:i4>0</vt:i4>
      </vt:variant>
      <vt:variant>
        <vt:i4>5</vt:i4>
      </vt:variant>
      <vt:variant>
        <vt:lpwstr>https://fr.wikipedia.org/wiki/Hippopotame</vt:lpwstr>
      </vt:variant>
      <vt:variant>
        <vt:lpwstr/>
      </vt:variant>
      <vt:variant>
        <vt:i4>3801172</vt:i4>
      </vt:variant>
      <vt:variant>
        <vt:i4>1128</vt:i4>
      </vt:variant>
      <vt:variant>
        <vt:i4>0</vt:i4>
      </vt:variant>
      <vt:variant>
        <vt:i4>5</vt:i4>
      </vt:variant>
      <vt:variant>
        <vt:lpwstr>https://fr.wikipedia.org/wiki/Luiza_(territoire)</vt:lpwstr>
      </vt:variant>
      <vt:variant>
        <vt:lpwstr/>
      </vt:variant>
      <vt:variant>
        <vt:i4>5570574</vt:i4>
      </vt:variant>
      <vt:variant>
        <vt:i4>1125</vt:i4>
      </vt:variant>
      <vt:variant>
        <vt:i4>0</vt:i4>
      </vt:variant>
      <vt:variant>
        <vt:i4>5</vt:i4>
      </vt:variant>
      <vt:variant>
        <vt:lpwstr>https://fr.wikipedia.org/wiki/Guin%C3%A9e</vt:lpwstr>
      </vt:variant>
      <vt:variant>
        <vt:lpwstr/>
      </vt:variant>
      <vt:variant>
        <vt:i4>5505052</vt:i4>
      </vt:variant>
      <vt:variant>
        <vt:i4>1122</vt:i4>
      </vt:variant>
      <vt:variant>
        <vt:i4>0</vt:i4>
      </vt:variant>
      <vt:variant>
        <vt:i4>5</vt:i4>
      </vt:variant>
      <vt:variant>
        <vt:lpwstr>https://fr.wikipedia.org/wiki/Savane</vt:lpwstr>
      </vt:variant>
      <vt:variant>
        <vt:lpwstr/>
      </vt:variant>
      <vt:variant>
        <vt:i4>3670118</vt:i4>
      </vt:variant>
      <vt:variant>
        <vt:i4>1119</vt:i4>
      </vt:variant>
      <vt:variant>
        <vt:i4>0</vt:i4>
      </vt:variant>
      <vt:variant>
        <vt:i4>5</vt:i4>
      </vt:variant>
      <vt:variant>
        <vt:lpwstr>https://fr.wikipedia.org/wiki/V%C3%A9g%C3%A9tation</vt:lpwstr>
      </vt:variant>
      <vt:variant>
        <vt:lpwstr/>
      </vt:variant>
      <vt:variant>
        <vt:i4>2621513</vt:i4>
      </vt:variant>
      <vt:variant>
        <vt:i4>1116</vt:i4>
      </vt:variant>
      <vt:variant>
        <vt:i4>0</vt:i4>
      </vt:variant>
      <vt:variant>
        <vt:i4>5</vt:i4>
      </vt:variant>
      <vt:variant>
        <vt:lpwstr>https://fr.wikipedia.org/wiki/Saison_s%C3%A8che</vt:lpwstr>
      </vt:variant>
      <vt:variant>
        <vt:lpwstr/>
      </vt:variant>
      <vt:variant>
        <vt:i4>2883649</vt:i4>
      </vt:variant>
      <vt:variant>
        <vt:i4>1113</vt:i4>
      </vt:variant>
      <vt:variant>
        <vt:i4>0</vt:i4>
      </vt:variant>
      <vt:variant>
        <vt:i4>5</vt:i4>
      </vt:variant>
      <vt:variant>
        <vt:lpwstr>https://fr.wikipedia.org/wiki/Saison_humide</vt:lpwstr>
      </vt:variant>
      <vt:variant>
        <vt:lpwstr/>
      </vt:variant>
      <vt:variant>
        <vt:i4>5046274</vt:i4>
      </vt:variant>
      <vt:variant>
        <vt:i4>1110</vt:i4>
      </vt:variant>
      <vt:variant>
        <vt:i4>0</vt:i4>
      </vt:variant>
      <vt:variant>
        <vt:i4>5</vt:i4>
      </vt:variant>
      <vt:variant>
        <vt:lpwstr>https://fr.wikipedia.org/wiki/Saison</vt:lpwstr>
      </vt:variant>
      <vt:variant>
        <vt:lpwstr/>
      </vt:variant>
      <vt:variant>
        <vt:i4>5701666</vt:i4>
      </vt:variant>
      <vt:variant>
        <vt:i4>1107</vt:i4>
      </vt:variant>
      <vt:variant>
        <vt:i4>0</vt:i4>
      </vt:variant>
      <vt:variant>
        <vt:i4>5</vt:i4>
      </vt:variant>
      <vt:variant>
        <vt:lpwstr>https://fr.wikipedia.org/wiki/Climat_tropical</vt:lpwstr>
      </vt:variant>
      <vt:variant>
        <vt:lpwstr/>
      </vt:variant>
      <vt:variant>
        <vt:i4>4456476</vt:i4>
      </vt:variant>
      <vt:variant>
        <vt:i4>1104</vt:i4>
      </vt:variant>
      <vt:variant>
        <vt:i4>0</vt:i4>
      </vt:variant>
      <vt:variant>
        <vt:i4>5</vt:i4>
      </vt:variant>
      <vt:variant>
        <vt:lpwstr>https://fr.wikipedia.org/wiki/Climat</vt:lpwstr>
      </vt:variant>
      <vt:variant>
        <vt:lpwstr/>
      </vt:variant>
      <vt:variant>
        <vt:i4>2687081</vt:i4>
      </vt:variant>
      <vt:variant>
        <vt:i4>1101</vt:i4>
      </vt:variant>
      <vt:variant>
        <vt:i4>0</vt:i4>
      </vt:variant>
      <vt:variant>
        <vt:i4>5</vt:i4>
      </vt:variant>
      <vt:variant>
        <vt:lpwstr>https://fr.wikipedia.org/wiki/Longitude</vt:lpwstr>
      </vt:variant>
      <vt:variant>
        <vt:lpwstr/>
      </vt:variant>
      <vt:variant>
        <vt:i4>3473509</vt:i4>
      </vt:variant>
      <vt:variant>
        <vt:i4>1098</vt:i4>
      </vt:variant>
      <vt:variant>
        <vt:i4>0</vt:i4>
      </vt:variant>
      <vt:variant>
        <vt:i4>5</vt:i4>
      </vt:variant>
      <vt:variant>
        <vt:lpwstr>https://fr.wikipedia.org/wiki/M%C3%A9ridien</vt:lpwstr>
      </vt:variant>
      <vt:variant>
        <vt:lpwstr/>
      </vt:variant>
      <vt:variant>
        <vt:i4>2687103</vt:i4>
      </vt:variant>
      <vt:variant>
        <vt:i4>1095</vt:i4>
      </vt:variant>
      <vt:variant>
        <vt:i4>0</vt:i4>
      </vt:variant>
      <vt:variant>
        <vt:i4>5</vt:i4>
      </vt:variant>
      <vt:variant>
        <vt:lpwstr>https://fr.wikipedia.org/wiki/Latitude</vt:lpwstr>
      </vt:variant>
      <vt:variant>
        <vt:lpwstr/>
      </vt:variant>
      <vt:variant>
        <vt:i4>3407950</vt:i4>
      </vt:variant>
      <vt:variant>
        <vt:i4>1092</vt:i4>
      </vt:variant>
      <vt:variant>
        <vt:i4>0</vt:i4>
      </vt:variant>
      <vt:variant>
        <vt:i4>5</vt:i4>
      </vt:variant>
      <vt:variant>
        <vt:lpwstr>https://fr.wikipedia.org/wiki/Parall%C3%A8le_(g%C3%A9ographie)</vt:lpwstr>
      </vt:variant>
      <vt:variant>
        <vt:lpwstr/>
      </vt:variant>
      <vt:variant>
        <vt:i4>3735618</vt:i4>
      </vt:variant>
      <vt:variant>
        <vt:i4>1089</vt:i4>
      </vt:variant>
      <vt:variant>
        <vt:i4>0</vt:i4>
      </vt:variant>
      <vt:variant>
        <vt:i4>5</vt:i4>
      </vt:variant>
      <vt:variant>
        <vt:lpwstr>https://fr.wikipedia.org/wiki/Sankuru_(district)</vt:lpwstr>
      </vt:variant>
      <vt:variant>
        <vt:lpwstr/>
      </vt:variant>
      <vt:variant>
        <vt:i4>5636124</vt:i4>
      </vt:variant>
      <vt:variant>
        <vt:i4>1086</vt:i4>
      </vt:variant>
      <vt:variant>
        <vt:i4>0</vt:i4>
      </vt:variant>
      <vt:variant>
        <vt:i4>5</vt:i4>
      </vt:variant>
      <vt:variant>
        <vt:lpwstr>https://fr.wikipedia.org/wiki/Kananga</vt:lpwstr>
      </vt:variant>
      <vt:variant>
        <vt:lpwstr/>
      </vt:variant>
      <vt:variant>
        <vt:i4>7733294</vt:i4>
      </vt:variant>
      <vt:variant>
        <vt:i4>1083</vt:i4>
      </vt:variant>
      <vt:variant>
        <vt:i4>0</vt:i4>
      </vt:variant>
      <vt:variant>
        <vt:i4>5</vt:i4>
      </vt:variant>
      <vt:variant>
        <vt:lpwstr>https://fr.wikipedia.org/wiki/Kasa%C3%AF-Occidental</vt:lpwstr>
      </vt:variant>
      <vt:variant>
        <vt:lpwstr/>
      </vt:variant>
      <vt:variant>
        <vt:i4>5963810</vt:i4>
      </vt:variant>
      <vt:variant>
        <vt:i4>1080</vt:i4>
      </vt:variant>
      <vt:variant>
        <vt:i4>0</vt:i4>
      </vt:variant>
      <vt:variant>
        <vt:i4>5</vt:i4>
      </vt:variant>
      <vt:variant>
        <vt:lpwstr>https://fr.wikipedia.org/wiki/R%C3%A9publique_d%C3%A9mocratique_du_Congo</vt:lpwstr>
      </vt:variant>
      <vt:variant>
        <vt:lpwstr/>
      </vt:variant>
      <vt:variant>
        <vt:i4>6750317</vt:i4>
      </vt:variant>
      <vt:variant>
        <vt:i4>1074</vt:i4>
      </vt:variant>
      <vt:variant>
        <vt:i4>0</vt:i4>
      </vt:variant>
      <vt:variant>
        <vt:i4>5</vt:i4>
      </vt:variant>
      <vt:variant>
        <vt:lpwstr>https://www.caid.cd/index.php/donnees-par-province-administrative/province-de-kongo-central/?donnees=fiche</vt:lpwstr>
      </vt:variant>
      <vt:variant>
        <vt:lpwstr/>
      </vt:variant>
      <vt:variant>
        <vt:i4>5439508</vt:i4>
      </vt:variant>
      <vt:variant>
        <vt:i4>1071</vt:i4>
      </vt:variant>
      <vt:variant>
        <vt:i4>0</vt:i4>
      </vt:variant>
      <vt:variant>
        <vt:i4>5</vt:i4>
      </vt:variant>
      <vt:variant>
        <vt:lpwstr>https://fr.wikipedia.org/wiki/Lingala</vt:lpwstr>
      </vt:variant>
      <vt:variant>
        <vt:lpwstr/>
      </vt:variant>
      <vt:variant>
        <vt:i4>5242905</vt:i4>
      </vt:variant>
      <vt:variant>
        <vt:i4>1068</vt:i4>
      </vt:variant>
      <vt:variant>
        <vt:i4>0</vt:i4>
      </vt:variant>
      <vt:variant>
        <vt:i4>5</vt:i4>
      </vt:variant>
      <vt:variant>
        <vt:lpwstr>https://fr.wikipedia.org/wiki/Kikongo</vt:lpwstr>
      </vt:variant>
      <vt:variant>
        <vt:lpwstr/>
      </vt:variant>
      <vt:variant>
        <vt:i4>327785</vt:i4>
      </vt:variant>
      <vt:variant>
        <vt:i4>1065</vt:i4>
      </vt:variant>
      <vt:variant>
        <vt:i4>0</vt:i4>
      </vt:variant>
      <vt:variant>
        <vt:i4>5</vt:i4>
      </vt:variant>
      <vt:variant>
        <vt:lpwstr>https://fr.wikipedia.org/wiki/Royaume_Kongo</vt:lpwstr>
      </vt:variant>
      <vt:variant>
        <vt:lpwstr/>
      </vt:variant>
      <vt:variant>
        <vt:i4>6160409</vt:i4>
      </vt:variant>
      <vt:variant>
        <vt:i4>1059</vt:i4>
      </vt:variant>
      <vt:variant>
        <vt:i4>0</vt:i4>
      </vt:variant>
      <vt:variant>
        <vt:i4>5</vt:i4>
      </vt:variant>
      <vt:variant>
        <vt:lpwstr>https://fr.wikipedia.org/wiki/Bonobo</vt:lpwstr>
      </vt:variant>
      <vt:variant>
        <vt:lpwstr/>
      </vt:variant>
      <vt:variant>
        <vt:i4>4259854</vt:i4>
      </vt:variant>
      <vt:variant>
        <vt:i4>1056</vt:i4>
      </vt:variant>
      <vt:variant>
        <vt:i4>0</vt:i4>
      </vt:variant>
      <vt:variant>
        <vt:i4>5</vt:i4>
      </vt:variant>
      <vt:variant>
        <vt:lpwstr>https://fr.wikipedia.org/wiki/Hippopotame</vt:lpwstr>
      </vt:variant>
      <vt:variant>
        <vt:lpwstr/>
      </vt:variant>
      <vt:variant>
        <vt:i4>524320</vt:i4>
      </vt:variant>
      <vt:variant>
        <vt:i4>1053</vt:i4>
      </vt:variant>
      <vt:variant>
        <vt:i4>0</vt:i4>
      </vt:variant>
      <vt:variant>
        <vt:i4>5</vt:i4>
      </vt:variant>
      <vt:variant>
        <vt:lpwstr>https://fr.wikipedia.org/wiki/Bandundu_(province)</vt:lpwstr>
      </vt:variant>
      <vt:variant>
        <vt:lpwstr/>
      </vt:variant>
      <vt:variant>
        <vt:i4>5963810</vt:i4>
      </vt:variant>
      <vt:variant>
        <vt:i4>1050</vt:i4>
      </vt:variant>
      <vt:variant>
        <vt:i4>0</vt:i4>
      </vt:variant>
      <vt:variant>
        <vt:i4>5</vt:i4>
      </vt:variant>
      <vt:variant>
        <vt:lpwstr>https://fr.wikipedia.org/wiki/R%C3%A9publique_d%C3%A9mocratique_du_Congo</vt:lpwstr>
      </vt:variant>
      <vt:variant>
        <vt:lpwstr/>
      </vt:variant>
      <vt:variant>
        <vt:i4>1507389</vt:i4>
      </vt:variant>
      <vt:variant>
        <vt:i4>1031</vt:i4>
      </vt:variant>
      <vt:variant>
        <vt:i4>0</vt:i4>
      </vt:variant>
      <vt:variant>
        <vt:i4>5</vt:i4>
      </vt:variant>
      <vt:variant>
        <vt:lpwstr/>
      </vt:variant>
      <vt:variant>
        <vt:lpwstr>_Toc70320597</vt:lpwstr>
      </vt:variant>
      <vt:variant>
        <vt:i4>1441853</vt:i4>
      </vt:variant>
      <vt:variant>
        <vt:i4>1025</vt:i4>
      </vt:variant>
      <vt:variant>
        <vt:i4>0</vt:i4>
      </vt:variant>
      <vt:variant>
        <vt:i4>5</vt:i4>
      </vt:variant>
      <vt:variant>
        <vt:lpwstr/>
      </vt:variant>
      <vt:variant>
        <vt:lpwstr>_Toc70320596</vt:lpwstr>
      </vt:variant>
      <vt:variant>
        <vt:i4>1835066</vt:i4>
      </vt:variant>
      <vt:variant>
        <vt:i4>1016</vt:i4>
      </vt:variant>
      <vt:variant>
        <vt:i4>0</vt:i4>
      </vt:variant>
      <vt:variant>
        <vt:i4>5</vt:i4>
      </vt:variant>
      <vt:variant>
        <vt:lpwstr/>
      </vt:variant>
      <vt:variant>
        <vt:lpwstr>_Toc70451688</vt:lpwstr>
      </vt:variant>
      <vt:variant>
        <vt:i4>1245242</vt:i4>
      </vt:variant>
      <vt:variant>
        <vt:i4>1010</vt:i4>
      </vt:variant>
      <vt:variant>
        <vt:i4>0</vt:i4>
      </vt:variant>
      <vt:variant>
        <vt:i4>5</vt:i4>
      </vt:variant>
      <vt:variant>
        <vt:lpwstr/>
      </vt:variant>
      <vt:variant>
        <vt:lpwstr>_Toc70451687</vt:lpwstr>
      </vt:variant>
      <vt:variant>
        <vt:i4>1179706</vt:i4>
      </vt:variant>
      <vt:variant>
        <vt:i4>1004</vt:i4>
      </vt:variant>
      <vt:variant>
        <vt:i4>0</vt:i4>
      </vt:variant>
      <vt:variant>
        <vt:i4>5</vt:i4>
      </vt:variant>
      <vt:variant>
        <vt:lpwstr/>
      </vt:variant>
      <vt:variant>
        <vt:lpwstr>_Toc70451686</vt:lpwstr>
      </vt:variant>
      <vt:variant>
        <vt:i4>1114170</vt:i4>
      </vt:variant>
      <vt:variant>
        <vt:i4>998</vt:i4>
      </vt:variant>
      <vt:variant>
        <vt:i4>0</vt:i4>
      </vt:variant>
      <vt:variant>
        <vt:i4>5</vt:i4>
      </vt:variant>
      <vt:variant>
        <vt:lpwstr/>
      </vt:variant>
      <vt:variant>
        <vt:lpwstr>_Toc70451685</vt:lpwstr>
      </vt:variant>
      <vt:variant>
        <vt:i4>1048634</vt:i4>
      </vt:variant>
      <vt:variant>
        <vt:i4>992</vt:i4>
      </vt:variant>
      <vt:variant>
        <vt:i4>0</vt:i4>
      </vt:variant>
      <vt:variant>
        <vt:i4>5</vt:i4>
      </vt:variant>
      <vt:variant>
        <vt:lpwstr/>
      </vt:variant>
      <vt:variant>
        <vt:lpwstr>_Toc70451684</vt:lpwstr>
      </vt:variant>
      <vt:variant>
        <vt:i4>1507386</vt:i4>
      </vt:variant>
      <vt:variant>
        <vt:i4>986</vt:i4>
      </vt:variant>
      <vt:variant>
        <vt:i4>0</vt:i4>
      </vt:variant>
      <vt:variant>
        <vt:i4>5</vt:i4>
      </vt:variant>
      <vt:variant>
        <vt:lpwstr/>
      </vt:variant>
      <vt:variant>
        <vt:lpwstr>_Toc70451683</vt:lpwstr>
      </vt:variant>
      <vt:variant>
        <vt:i4>1441850</vt:i4>
      </vt:variant>
      <vt:variant>
        <vt:i4>980</vt:i4>
      </vt:variant>
      <vt:variant>
        <vt:i4>0</vt:i4>
      </vt:variant>
      <vt:variant>
        <vt:i4>5</vt:i4>
      </vt:variant>
      <vt:variant>
        <vt:lpwstr/>
      </vt:variant>
      <vt:variant>
        <vt:lpwstr>_Toc70451682</vt:lpwstr>
      </vt:variant>
      <vt:variant>
        <vt:i4>1376314</vt:i4>
      </vt:variant>
      <vt:variant>
        <vt:i4>974</vt:i4>
      </vt:variant>
      <vt:variant>
        <vt:i4>0</vt:i4>
      </vt:variant>
      <vt:variant>
        <vt:i4>5</vt:i4>
      </vt:variant>
      <vt:variant>
        <vt:lpwstr/>
      </vt:variant>
      <vt:variant>
        <vt:lpwstr>_Toc70451681</vt:lpwstr>
      </vt:variant>
      <vt:variant>
        <vt:i4>1310778</vt:i4>
      </vt:variant>
      <vt:variant>
        <vt:i4>968</vt:i4>
      </vt:variant>
      <vt:variant>
        <vt:i4>0</vt:i4>
      </vt:variant>
      <vt:variant>
        <vt:i4>5</vt:i4>
      </vt:variant>
      <vt:variant>
        <vt:lpwstr/>
      </vt:variant>
      <vt:variant>
        <vt:lpwstr>_Toc70451680</vt:lpwstr>
      </vt:variant>
      <vt:variant>
        <vt:i4>1900597</vt:i4>
      </vt:variant>
      <vt:variant>
        <vt:i4>962</vt:i4>
      </vt:variant>
      <vt:variant>
        <vt:i4>0</vt:i4>
      </vt:variant>
      <vt:variant>
        <vt:i4>5</vt:i4>
      </vt:variant>
      <vt:variant>
        <vt:lpwstr/>
      </vt:variant>
      <vt:variant>
        <vt:lpwstr>_Toc70451679</vt:lpwstr>
      </vt:variant>
      <vt:variant>
        <vt:i4>1835061</vt:i4>
      </vt:variant>
      <vt:variant>
        <vt:i4>956</vt:i4>
      </vt:variant>
      <vt:variant>
        <vt:i4>0</vt:i4>
      </vt:variant>
      <vt:variant>
        <vt:i4>5</vt:i4>
      </vt:variant>
      <vt:variant>
        <vt:lpwstr/>
      </vt:variant>
      <vt:variant>
        <vt:lpwstr>_Toc70451678</vt:lpwstr>
      </vt:variant>
      <vt:variant>
        <vt:i4>1245237</vt:i4>
      </vt:variant>
      <vt:variant>
        <vt:i4>950</vt:i4>
      </vt:variant>
      <vt:variant>
        <vt:i4>0</vt:i4>
      </vt:variant>
      <vt:variant>
        <vt:i4>5</vt:i4>
      </vt:variant>
      <vt:variant>
        <vt:lpwstr/>
      </vt:variant>
      <vt:variant>
        <vt:lpwstr>_Toc70451677</vt:lpwstr>
      </vt:variant>
      <vt:variant>
        <vt:i4>1179701</vt:i4>
      </vt:variant>
      <vt:variant>
        <vt:i4>944</vt:i4>
      </vt:variant>
      <vt:variant>
        <vt:i4>0</vt:i4>
      </vt:variant>
      <vt:variant>
        <vt:i4>5</vt:i4>
      </vt:variant>
      <vt:variant>
        <vt:lpwstr/>
      </vt:variant>
      <vt:variant>
        <vt:lpwstr>_Toc70451676</vt:lpwstr>
      </vt:variant>
      <vt:variant>
        <vt:i4>1114165</vt:i4>
      </vt:variant>
      <vt:variant>
        <vt:i4>938</vt:i4>
      </vt:variant>
      <vt:variant>
        <vt:i4>0</vt:i4>
      </vt:variant>
      <vt:variant>
        <vt:i4>5</vt:i4>
      </vt:variant>
      <vt:variant>
        <vt:lpwstr/>
      </vt:variant>
      <vt:variant>
        <vt:lpwstr>_Toc70451675</vt:lpwstr>
      </vt:variant>
      <vt:variant>
        <vt:i4>1048629</vt:i4>
      </vt:variant>
      <vt:variant>
        <vt:i4>932</vt:i4>
      </vt:variant>
      <vt:variant>
        <vt:i4>0</vt:i4>
      </vt:variant>
      <vt:variant>
        <vt:i4>5</vt:i4>
      </vt:variant>
      <vt:variant>
        <vt:lpwstr/>
      </vt:variant>
      <vt:variant>
        <vt:lpwstr>_Toc70451674</vt:lpwstr>
      </vt:variant>
      <vt:variant>
        <vt:i4>1507381</vt:i4>
      </vt:variant>
      <vt:variant>
        <vt:i4>926</vt:i4>
      </vt:variant>
      <vt:variant>
        <vt:i4>0</vt:i4>
      </vt:variant>
      <vt:variant>
        <vt:i4>5</vt:i4>
      </vt:variant>
      <vt:variant>
        <vt:lpwstr/>
      </vt:variant>
      <vt:variant>
        <vt:lpwstr>_Toc70451673</vt:lpwstr>
      </vt:variant>
      <vt:variant>
        <vt:i4>1441845</vt:i4>
      </vt:variant>
      <vt:variant>
        <vt:i4>920</vt:i4>
      </vt:variant>
      <vt:variant>
        <vt:i4>0</vt:i4>
      </vt:variant>
      <vt:variant>
        <vt:i4>5</vt:i4>
      </vt:variant>
      <vt:variant>
        <vt:lpwstr/>
      </vt:variant>
      <vt:variant>
        <vt:lpwstr>_Toc70451672</vt:lpwstr>
      </vt:variant>
      <vt:variant>
        <vt:i4>1376309</vt:i4>
      </vt:variant>
      <vt:variant>
        <vt:i4>914</vt:i4>
      </vt:variant>
      <vt:variant>
        <vt:i4>0</vt:i4>
      </vt:variant>
      <vt:variant>
        <vt:i4>5</vt:i4>
      </vt:variant>
      <vt:variant>
        <vt:lpwstr/>
      </vt:variant>
      <vt:variant>
        <vt:lpwstr>_Toc70451671</vt:lpwstr>
      </vt:variant>
      <vt:variant>
        <vt:i4>1310773</vt:i4>
      </vt:variant>
      <vt:variant>
        <vt:i4>908</vt:i4>
      </vt:variant>
      <vt:variant>
        <vt:i4>0</vt:i4>
      </vt:variant>
      <vt:variant>
        <vt:i4>5</vt:i4>
      </vt:variant>
      <vt:variant>
        <vt:lpwstr/>
      </vt:variant>
      <vt:variant>
        <vt:lpwstr>_Toc70451670</vt:lpwstr>
      </vt:variant>
      <vt:variant>
        <vt:i4>1900596</vt:i4>
      </vt:variant>
      <vt:variant>
        <vt:i4>902</vt:i4>
      </vt:variant>
      <vt:variant>
        <vt:i4>0</vt:i4>
      </vt:variant>
      <vt:variant>
        <vt:i4>5</vt:i4>
      </vt:variant>
      <vt:variant>
        <vt:lpwstr/>
      </vt:variant>
      <vt:variant>
        <vt:lpwstr>_Toc70451669</vt:lpwstr>
      </vt:variant>
      <vt:variant>
        <vt:i4>1835060</vt:i4>
      </vt:variant>
      <vt:variant>
        <vt:i4>896</vt:i4>
      </vt:variant>
      <vt:variant>
        <vt:i4>0</vt:i4>
      </vt:variant>
      <vt:variant>
        <vt:i4>5</vt:i4>
      </vt:variant>
      <vt:variant>
        <vt:lpwstr/>
      </vt:variant>
      <vt:variant>
        <vt:lpwstr>_Toc70451668</vt:lpwstr>
      </vt:variant>
      <vt:variant>
        <vt:i4>1245236</vt:i4>
      </vt:variant>
      <vt:variant>
        <vt:i4>890</vt:i4>
      </vt:variant>
      <vt:variant>
        <vt:i4>0</vt:i4>
      </vt:variant>
      <vt:variant>
        <vt:i4>5</vt:i4>
      </vt:variant>
      <vt:variant>
        <vt:lpwstr/>
      </vt:variant>
      <vt:variant>
        <vt:lpwstr>_Toc70451667</vt:lpwstr>
      </vt:variant>
      <vt:variant>
        <vt:i4>1179700</vt:i4>
      </vt:variant>
      <vt:variant>
        <vt:i4>884</vt:i4>
      </vt:variant>
      <vt:variant>
        <vt:i4>0</vt:i4>
      </vt:variant>
      <vt:variant>
        <vt:i4>5</vt:i4>
      </vt:variant>
      <vt:variant>
        <vt:lpwstr/>
      </vt:variant>
      <vt:variant>
        <vt:lpwstr>_Toc70451666</vt:lpwstr>
      </vt:variant>
      <vt:variant>
        <vt:i4>1114164</vt:i4>
      </vt:variant>
      <vt:variant>
        <vt:i4>878</vt:i4>
      </vt:variant>
      <vt:variant>
        <vt:i4>0</vt:i4>
      </vt:variant>
      <vt:variant>
        <vt:i4>5</vt:i4>
      </vt:variant>
      <vt:variant>
        <vt:lpwstr/>
      </vt:variant>
      <vt:variant>
        <vt:lpwstr>_Toc70451665</vt:lpwstr>
      </vt:variant>
      <vt:variant>
        <vt:i4>1048628</vt:i4>
      </vt:variant>
      <vt:variant>
        <vt:i4>872</vt:i4>
      </vt:variant>
      <vt:variant>
        <vt:i4>0</vt:i4>
      </vt:variant>
      <vt:variant>
        <vt:i4>5</vt:i4>
      </vt:variant>
      <vt:variant>
        <vt:lpwstr/>
      </vt:variant>
      <vt:variant>
        <vt:lpwstr>_Toc70451664</vt:lpwstr>
      </vt:variant>
      <vt:variant>
        <vt:i4>1507380</vt:i4>
      </vt:variant>
      <vt:variant>
        <vt:i4>866</vt:i4>
      </vt:variant>
      <vt:variant>
        <vt:i4>0</vt:i4>
      </vt:variant>
      <vt:variant>
        <vt:i4>5</vt:i4>
      </vt:variant>
      <vt:variant>
        <vt:lpwstr/>
      </vt:variant>
      <vt:variant>
        <vt:lpwstr>_Toc70451663</vt:lpwstr>
      </vt:variant>
      <vt:variant>
        <vt:i4>1441844</vt:i4>
      </vt:variant>
      <vt:variant>
        <vt:i4>860</vt:i4>
      </vt:variant>
      <vt:variant>
        <vt:i4>0</vt:i4>
      </vt:variant>
      <vt:variant>
        <vt:i4>5</vt:i4>
      </vt:variant>
      <vt:variant>
        <vt:lpwstr/>
      </vt:variant>
      <vt:variant>
        <vt:lpwstr>_Toc70451662</vt:lpwstr>
      </vt:variant>
      <vt:variant>
        <vt:i4>1376308</vt:i4>
      </vt:variant>
      <vt:variant>
        <vt:i4>854</vt:i4>
      </vt:variant>
      <vt:variant>
        <vt:i4>0</vt:i4>
      </vt:variant>
      <vt:variant>
        <vt:i4>5</vt:i4>
      </vt:variant>
      <vt:variant>
        <vt:lpwstr/>
      </vt:variant>
      <vt:variant>
        <vt:lpwstr>_Toc70451661</vt:lpwstr>
      </vt:variant>
      <vt:variant>
        <vt:i4>1310772</vt:i4>
      </vt:variant>
      <vt:variant>
        <vt:i4>848</vt:i4>
      </vt:variant>
      <vt:variant>
        <vt:i4>0</vt:i4>
      </vt:variant>
      <vt:variant>
        <vt:i4>5</vt:i4>
      </vt:variant>
      <vt:variant>
        <vt:lpwstr/>
      </vt:variant>
      <vt:variant>
        <vt:lpwstr>_Toc70451660</vt:lpwstr>
      </vt:variant>
      <vt:variant>
        <vt:i4>1900599</vt:i4>
      </vt:variant>
      <vt:variant>
        <vt:i4>842</vt:i4>
      </vt:variant>
      <vt:variant>
        <vt:i4>0</vt:i4>
      </vt:variant>
      <vt:variant>
        <vt:i4>5</vt:i4>
      </vt:variant>
      <vt:variant>
        <vt:lpwstr/>
      </vt:variant>
      <vt:variant>
        <vt:lpwstr>_Toc70451659</vt:lpwstr>
      </vt:variant>
      <vt:variant>
        <vt:i4>1835063</vt:i4>
      </vt:variant>
      <vt:variant>
        <vt:i4>836</vt:i4>
      </vt:variant>
      <vt:variant>
        <vt:i4>0</vt:i4>
      </vt:variant>
      <vt:variant>
        <vt:i4>5</vt:i4>
      </vt:variant>
      <vt:variant>
        <vt:lpwstr/>
      </vt:variant>
      <vt:variant>
        <vt:lpwstr>_Toc70451658</vt:lpwstr>
      </vt:variant>
      <vt:variant>
        <vt:i4>1245239</vt:i4>
      </vt:variant>
      <vt:variant>
        <vt:i4>830</vt:i4>
      </vt:variant>
      <vt:variant>
        <vt:i4>0</vt:i4>
      </vt:variant>
      <vt:variant>
        <vt:i4>5</vt:i4>
      </vt:variant>
      <vt:variant>
        <vt:lpwstr/>
      </vt:variant>
      <vt:variant>
        <vt:lpwstr>_Toc70451657</vt:lpwstr>
      </vt:variant>
      <vt:variant>
        <vt:i4>1179703</vt:i4>
      </vt:variant>
      <vt:variant>
        <vt:i4>824</vt:i4>
      </vt:variant>
      <vt:variant>
        <vt:i4>0</vt:i4>
      </vt:variant>
      <vt:variant>
        <vt:i4>5</vt:i4>
      </vt:variant>
      <vt:variant>
        <vt:lpwstr/>
      </vt:variant>
      <vt:variant>
        <vt:lpwstr>_Toc70451656</vt:lpwstr>
      </vt:variant>
      <vt:variant>
        <vt:i4>1114167</vt:i4>
      </vt:variant>
      <vt:variant>
        <vt:i4>818</vt:i4>
      </vt:variant>
      <vt:variant>
        <vt:i4>0</vt:i4>
      </vt:variant>
      <vt:variant>
        <vt:i4>5</vt:i4>
      </vt:variant>
      <vt:variant>
        <vt:lpwstr/>
      </vt:variant>
      <vt:variant>
        <vt:lpwstr>_Toc70451655</vt:lpwstr>
      </vt:variant>
      <vt:variant>
        <vt:i4>1048631</vt:i4>
      </vt:variant>
      <vt:variant>
        <vt:i4>812</vt:i4>
      </vt:variant>
      <vt:variant>
        <vt:i4>0</vt:i4>
      </vt:variant>
      <vt:variant>
        <vt:i4>5</vt:i4>
      </vt:variant>
      <vt:variant>
        <vt:lpwstr/>
      </vt:variant>
      <vt:variant>
        <vt:lpwstr>_Toc70451654</vt:lpwstr>
      </vt:variant>
      <vt:variant>
        <vt:i4>1507383</vt:i4>
      </vt:variant>
      <vt:variant>
        <vt:i4>806</vt:i4>
      </vt:variant>
      <vt:variant>
        <vt:i4>0</vt:i4>
      </vt:variant>
      <vt:variant>
        <vt:i4>5</vt:i4>
      </vt:variant>
      <vt:variant>
        <vt:lpwstr/>
      </vt:variant>
      <vt:variant>
        <vt:lpwstr>_Toc70451653</vt:lpwstr>
      </vt:variant>
      <vt:variant>
        <vt:i4>1441847</vt:i4>
      </vt:variant>
      <vt:variant>
        <vt:i4>800</vt:i4>
      </vt:variant>
      <vt:variant>
        <vt:i4>0</vt:i4>
      </vt:variant>
      <vt:variant>
        <vt:i4>5</vt:i4>
      </vt:variant>
      <vt:variant>
        <vt:lpwstr/>
      </vt:variant>
      <vt:variant>
        <vt:lpwstr>_Toc70451652</vt:lpwstr>
      </vt:variant>
      <vt:variant>
        <vt:i4>1376311</vt:i4>
      </vt:variant>
      <vt:variant>
        <vt:i4>794</vt:i4>
      </vt:variant>
      <vt:variant>
        <vt:i4>0</vt:i4>
      </vt:variant>
      <vt:variant>
        <vt:i4>5</vt:i4>
      </vt:variant>
      <vt:variant>
        <vt:lpwstr/>
      </vt:variant>
      <vt:variant>
        <vt:lpwstr>_Toc70451651</vt:lpwstr>
      </vt:variant>
      <vt:variant>
        <vt:i4>1310775</vt:i4>
      </vt:variant>
      <vt:variant>
        <vt:i4>788</vt:i4>
      </vt:variant>
      <vt:variant>
        <vt:i4>0</vt:i4>
      </vt:variant>
      <vt:variant>
        <vt:i4>5</vt:i4>
      </vt:variant>
      <vt:variant>
        <vt:lpwstr/>
      </vt:variant>
      <vt:variant>
        <vt:lpwstr>_Toc70451650</vt:lpwstr>
      </vt:variant>
      <vt:variant>
        <vt:i4>1900598</vt:i4>
      </vt:variant>
      <vt:variant>
        <vt:i4>782</vt:i4>
      </vt:variant>
      <vt:variant>
        <vt:i4>0</vt:i4>
      </vt:variant>
      <vt:variant>
        <vt:i4>5</vt:i4>
      </vt:variant>
      <vt:variant>
        <vt:lpwstr/>
      </vt:variant>
      <vt:variant>
        <vt:lpwstr>_Toc70451649</vt:lpwstr>
      </vt:variant>
      <vt:variant>
        <vt:i4>1835062</vt:i4>
      </vt:variant>
      <vt:variant>
        <vt:i4>776</vt:i4>
      </vt:variant>
      <vt:variant>
        <vt:i4>0</vt:i4>
      </vt:variant>
      <vt:variant>
        <vt:i4>5</vt:i4>
      </vt:variant>
      <vt:variant>
        <vt:lpwstr/>
      </vt:variant>
      <vt:variant>
        <vt:lpwstr>_Toc70451648</vt:lpwstr>
      </vt:variant>
      <vt:variant>
        <vt:i4>1245238</vt:i4>
      </vt:variant>
      <vt:variant>
        <vt:i4>770</vt:i4>
      </vt:variant>
      <vt:variant>
        <vt:i4>0</vt:i4>
      </vt:variant>
      <vt:variant>
        <vt:i4>5</vt:i4>
      </vt:variant>
      <vt:variant>
        <vt:lpwstr/>
      </vt:variant>
      <vt:variant>
        <vt:lpwstr>_Toc70451647</vt:lpwstr>
      </vt:variant>
      <vt:variant>
        <vt:i4>1638454</vt:i4>
      </vt:variant>
      <vt:variant>
        <vt:i4>761</vt:i4>
      </vt:variant>
      <vt:variant>
        <vt:i4>0</vt:i4>
      </vt:variant>
      <vt:variant>
        <vt:i4>5</vt:i4>
      </vt:variant>
      <vt:variant>
        <vt:lpwstr/>
      </vt:variant>
      <vt:variant>
        <vt:lpwstr>_Toc70330528</vt:lpwstr>
      </vt:variant>
      <vt:variant>
        <vt:i4>1441846</vt:i4>
      </vt:variant>
      <vt:variant>
        <vt:i4>755</vt:i4>
      </vt:variant>
      <vt:variant>
        <vt:i4>0</vt:i4>
      </vt:variant>
      <vt:variant>
        <vt:i4>5</vt:i4>
      </vt:variant>
      <vt:variant>
        <vt:lpwstr/>
      </vt:variant>
      <vt:variant>
        <vt:lpwstr>_Toc70330527</vt:lpwstr>
      </vt:variant>
      <vt:variant>
        <vt:i4>1507382</vt:i4>
      </vt:variant>
      <vt:variant>
        <vt:i4>749</vt:i4>
      </vt:variant>
      <vt:variant>
        <vt:i4>0</vt:i4>
      </vt:variant>
      <vt:variant>
        <vt:i4>5</vt:i4>
      </vt:variant>
      <vt:variant>
        <vt:lpwstr/>
      </vt:variant>
      <vt:variant>
        <vt:lpwstr>_Toc70330526</vt:lpwstr>
      </vt:variant>
      <vt:variant>
        <vt:i4>1638453</vt:i4>
      </vt:variant>
      <vt:variant>
        <vt:i4>743</vt:i4>
      </vt:variant>
      <vt:variant>
        <vt:i4>0</vt:i4>
      </vt:variant>
      <vt:variant>
        <vt:i4>5</vt:i4>
      </vt:variant>
      <vt:variant>
        <vt:lpwstr/>
      </vt:variant>
      <vt:variant>
        <vt:lpwstr>_Toc70330518</vt:lpwstr>
      </vt:variant>
      <vt:variant>
        <vt:i4>1441845</vt:i4>
      </vt:variant>
      <vt:variant>
        <vt:i4>737</vt:i4>
      </vt:variant>
      <vt:variant>
        <vt:i4>0</vt:i4>
      </vt:variant>
      <vt:variant>
        <vt:i4>5</vt:i4>
      </vt:variant>
      <vt:variant>
        <vt:lpwstr/>
      </vt:variant>
      <vt:variant>
        <vt:lpwstr>_Toc70330517</vt:lpwstr>
      </vt:variant>
      <vt:variant>
        <vt:i4>1507381</vt:i4>
      </vt:variant>
      <vt:variant>
        <vt:i4>731</vt:i4>
      </vt:variant>
      <vt:variant>
        <vt:i4>0</vt:i4>
      </vt:variant>
      <vt:variant>
        <vt:i4>5</vt:i4>
      </vt:variant>
      <vt:variant>
        <vt:lpwstr/>
      </vt:variant>
      <vt:variant>
        <vt:lpwstr>_Toc70330516</vt:lpwstr>
      </vt:variant>
      <vt:variant>
        <vt:i4>1310773</vt:i4>
      </vt:variant>
      <vt:variant>
        <vt:i4>725</vt:i4>
      </vt:variant>
      <vt:variant>
        <vt:i4>0</vt:i4>
      </vt:variant>
      <vt:variant>
        <vt:i4>5</vt:i4>
      </vt:variant>
      <vt:variant>
        <vt:lpwstr/>
      </vt:variant>
      <vt:variant>
        <vt:lpwstr>_Toc70330515</vt:lpwstr>
      </vt:variant>
      <vt:variant>
        <vt:i4>1376309</vt:i4>
      </vt:variant>
      <vt:variant>
        <vt:i4>719</vt:i4>
      </vt:variant>
      <vt:variant>
        <vt:i4>0</vt:i4>
      </vt:variant>
      <vt:variant>
        <vt:i4>5</vt:i4>
      </vt:variant>
      <vt:variant>
        <vt:lpwstr/>
      </vt:variant>
      <vt:variant>
        <vt:lpwstr>_Toc70330514</vt:lpwstr>
      </vt:variant>
      <vt:variant>
        <vt:i4>1179701</vt:i4>
      </vt:variant>
      <vt:variant>
        <vt:i4>713</vt:i4>
      </vt:variant>
      <vt:variant>
        <vt:i4>0</vt:i4>
      </vt:variant>
      <vt:variant>
        <vt:i4>5</vt:i4>
      </vt:variant>
      <vt:variant>
        <vt:lpwstr/>
      </vt:variant>
      <vt:variant>
        <vt:lpwstr>_Toc70330513</vt:lpwstr>
      </vt:variant>
      <vt:variant>
        <vt:i4>1245237</vt:i4>
      </vt:variant>
      <vt:variant>
        <vt:i4>707</vt:i4>
      </vt:variant>
      <vt:variant>
        <vt:i4>0</vt:i4>
      </vt:variant>
      <vt:variant>
        <vt:i4>5</vt:i4>
      </vt:variant>
      <vt:variant>
        <vt:lpwstr/>
      </vt:variant>
      <vt:variant>
        <vt:lpwstr>_Toc70330512</vt:lpwstr>
      </vt:variant>
      <vt:variant>
        <vt:i4>1048629</vt:i4>
      </vt:variant>
      <vt:variant>
        <vt:i4>701</vt:i4>
      </vt:variant>
      <vt:variant>
        <vt:i4>0</vt:i4>
      </vt:variant>
      <vt:variant>
        <vt:i4>5</vt:i4>
      </vt:variant>
      <vt:variant>
        <vt:lpwstr/>
      </vt:variant>
      <vt:variant>
        <vt:lpwstr>_Toc70330511</vt:lpwstr>
      </vt:variant>
      <vt:variant>
        <vt:i4>1114165</vt:i4>
      </vt:variant>
      <vt:variant>
        <vt:i4>695</vt:i4>
      </vt:variant>
      <vt:variant>
        <vt:i4>0</vt:i4>
      </vt:variant>
      <vt:variant>
        <vt:i4>5</vt:i4>
      </vt:variant>
      <vt:variant>
        <vt:lpwstr/>
      </vt:variant>
      <vt:variant>
        <vt:lpwstr>_Toc70330510</vt:lpwstr>
      </vt:variant>
      <vt:variant>
        <vt:i4>1572916</vt:i4>
      </vt:variant>
      <vt:variant>
        <vt:i4>689</vt:i4>
      </vt:variant>
      <vt:variant>
        <vt:i4>0</vt:i4>
      </vt:variant>
      <vt:variant>
        <vt:i4>5</vt:i4>
      </vt:variant>
      <vt:variant>
        <vt:lpwstr/>
      </vt:variant>
      <vt:variant>
        <vt:lpwstr>_Toc70330509</vt:lpwstr>
      </vt:variant>
      <vt:variant>
        <vt:i4>1638452</vt:i4>
      </vt:variant>
      <vt:variant>
        <vt:i4>683</vt:i4>
      </vt:variant>
      <vt:variant>
        <vt:i4>0</vt:i4>
      </vt:variant>
      <vt:variant>
        <vt:i4>5</vt:i4>
      </vt:variant>
      <vt:variant>
        <vt:lpwstr/>
      </vt:variant>
      <vt:variant>
        <vt:lpwstr>_Toc70330508</vt:lpwstr>
      </vt:variant>
      <vt:variant>
        <vt:i4>1507380</vt:i4>
      </vt:variant>
      <vt:variant>
        <vt:i4>677</vt:i4>
      </vt:variant>
      <vt:variant>
        <vt:i4>0</vt:i4>
      </vt:variant>
      <vt:variant>
        <vt:i4>5</vt:i4>
      </vt:variant>
      <vt:variant>
        <vt:lpwstr/>
      </vt:variant>
      <vt:variant>
        <vt:lpwstr>_Toc70330506</vt:lpwstr>
      </vt:variant>
      <vt:variant>
        <vt:i4>1310772</vt:i4>
      </vt:variant>
      <vt:variant>
        <vt:i4>671</vt:i4>
      </vt:variant>
      <vt:variant>
        <vt:i4>0</vt:i4>
      </vt:variant>
      <vt:variant>
        <vt:i4>5</vt:i4>
      </vt:variant>
      <vt:variant>
        <vt:lpwstr/>
      </vt:variant>
      <vt:variant>
        <vt:lpwstr>_Toc70330505</vt:lpwstr>
      </vt:variant>
      <vt:variant>
        <vt:i4>1376308</vt:i4>
      </vt:variant>
      <vt:variant>
        <vt:i4>665</vt:i4>
      </vt:variant>
      <vt:variant>
        <vt:i4>0</vt:i4>
      </vt:variant>
      <vt:variant>
        <vt:i4>5</vt:i4>
      </vt:variant>
      <vt:variant>
        <vt:lpwstr/>
      </vt:variant>
      <vt:variant>
        <vt:lpwstr>_Toc70330504</vt:lpwstr>
      </vt:variant>
      <vt:variant>
        <vt:i4>1179709</vt:i4>
      </vt:variant>
      <vt:variant>
        <vt:i4>659</vt:i4>
      </vt:variant>
      <vt:variant>
        <vt:i4>0</vt:i4>
      </vt:variant>
      <vt:variant>
        <vt:i4>5</vt:i4>
      </vt:variant>
      <vt:variant>
        <vt:lpwstr/>
      </vt:variant>
      <vt:variant>
        <vt:lpwstr>_Toc70330492</vt:lpwstr>
      </vt:variant>
      <vt:variant>
        <vt:i4>1114173</vt:i4>
      </vt:variant>
      <vt:variant>
        <vt:i4>653</vt:i4>
      </vt:variant>
      <vt:variant>
        <vt:i4>0</vt:i4>
      </vt:variant>
      <vt:variant>
        <vt:i4>5</vt:i4>
      </vt:variant>
      <vt:variant>
        <vt:lpwstr/>
      </vt:variant>
      <vt:variant>
        <vt:lpwstr>_Toc70330491</vt:lpwstr>
      </vt:variant>
      <vt:variant>
        <vt:i4>1048637</vt:i4>
      </vt:variant>
      <vt:variant>
        <vt:i4>647</vt:i4>
      </vt:variant>
      <vt:variant>
        <vt:i4>0</vt:i4>
      </vt:variant>
      <vt:variant>
        <vt:i4>5</vt:i4>
      </vt:variant>
      <vt:variant>
        <vt:lpwstr/>
      </vt:variant>
      <vt:variant>
        <vt:lpwstr>_Toc70330490</vt:lpwstr>
      </vt:variant>
      <vt:variant>
        <vt:i4>1638460</vt:i4>
      </vt:variant>
      <vt:variant>
        <vt:i4>641</vt:i4>
      </vt:variant>
      <vt:variant>
        <vt:i4>0</vt:i4>
      </vt:variant>
      <vt:variant>
        <vt:i4>5</vt:i4>
      </vt:variant>
      <vt:variant>
        <vt:lpwstr/>
      </vt:variant>
      <vt:variant>
        <vt:lpwstr>_Toc70330489</vt:lpwstr>
      </vt:variant>
      <vt:variant>
        <vt:i4>1572924</vt:i4>
      </vt:variant>
      <vt:variant>
        <vt:i4>635</vt:i4>
      </vt:variant>
      <vt:variant>
        <vt:i4>0</vt:i4>
      </vt:variant>
      <vt:variant>
        <vt:i4>5</vt:i4>
      </vt:variant>
      <vt:variant>
        <vt:lpwstr/>
      </vt:variant>
      <vt:variant>
        <vt:lpwstr>_Toc70330488</vt:lpwstr>
      </vt:variant>
      <vt:variant>
        <vt:i4>1507388</vt:i4>
      </vt:variant>
      <vt:variant>
        <vt:i4>629</vt:i4>
      </vt:variant>
      <vt:variant>
        <vt:i4>0</vt:i4>
      </vt:variant>
      <vt:variant>
        <vt:i4>5</vt:i4>
      </vt:variant>
      <vt:variant>
        <vt:lpwstr/>
      </vt:variant>
      <vt:variant>
        <vt:lpwstr>_Toc70330487</vt:lpwstr>
      </vt:variant>
      <vt:variant>
        <vt:i4>1441852</vt:i4>
      </vt:variant>
      <vt:variant>
        <vt:i4>623</vt:i4>
      </vt:variant>
      <vt:variant>
        <vt:i4>0</vt:i4>
      </vt:variant>
      <vt:variant>
        <vt:i4>5</vt:i4>
      </vt:variant>
      <vt:variant>
        <vt:lpwstr/>
      </vt:variant>
      <vt:variant>
        <vt:lpwstr>_Toc70330486</vt:lpwstr>
      </vt:variant>
      <vt:variant>
        <vt:i4>1048636</vt:i4>
      </vt:variant>
      <vt:variant>
        <vt:i4>617</vt:i4>
      </vt:variant>
      <vt:variant>
        <vt:i4>0</vt:i4>
      </vt:variant>
      <vt:variant>
        <vt:i4>5</vt:i4>
      </vt:variant>
      <vt:variant>
        <vt:lpwstr/>
      </vt:variant>
      <vt:variant>
        <vt:lpwstr>_Toc70330480</vt:lpwstr>
      </vt:variant>
      <vt:variant>
        <vt:i4>1114163</vt:i4>
      </vt:variant>
      <vt:variant>
        <vt:i4>611</vt:i4>
      </vt:variant>
      <vt:variant>
        <vt:i4>0</vt:i4>
      </vt:variant>
      <vt:variant>
        <vt:i4>5</vt:i4>
      </vt:variant>
      <vt:variant>
        <vt:lpwstr/>
      </vt:variant>
      <vt:variant>
        <vt:lpwstr>_Toc70330471</vt:lpwstr>
      </vt:variant>
      <vt:variant>
        <vt:i4>1048627</vt:i4>
      </vt:variant>
      <vt:variant>
        <vt:i4>605</vt:i4>
      </vt:variant>
      <vt:variant>
        <vt:i4>0</vt:i4>
      </vt:variant>
      <vt:variant>
        <vt:i4>5</vt:i4>
      </vt:variant>
      <vt:variant>
        <vt:lpwstr/>
      </vt:variant>
      <vt:variant>
        <vt:lpwstr>_Toc70330470</vt:lpwstr>
      </vt:variant>
      <vt:variant>
        <vt:i4>1638450</vt:i4>
      </vt:variant>
      <vt:variant>
        <vt:i4>599</vt:i4>
      </vt:variant>
      <vt:variant>
        <vt:i4>0</vt:i4>
      </vt:variant>
      <vt:variant>
        <vt:i4>5</vt:i4>
      </vt:variant>
      <vt:variant>
        <vt:lpwstr/>
      </vt:variant>
      <vt:variant>
        <vt:lpwstr>_Toc70330469</vt:lpwstr>
      </vt:variant>
      <vt:variant>
        <vt:i4>1572914</vt:i4>
      </vt:variant>
      <vt:variant>
        <vt:i4>593</vt:i4>
      </vt:variant>
      <vt:variant>
        <vt:i4>0</vt:i4>
      </vt:variant>
      <vt:variant>
        <vt:i4>5</vt:i4>
      </vt:variant>
      <vt:variant>
        <vt:lpwstr/>
      </vt:variant>
      <vt:variant>
        <vt:lpwstr>_Toc70330468</vt:lpwstr>
      </vt:variant>
      <vt:variant>
        <vt:i4>1507378</vt:i4>
      </vt:variant>
      <vt:variant>
        <vt:i4>587</vt:i4>
      </vt:variant>
      <vt:variant>
        <vt:i4>0</vt:i4>
      </vt:variant>
      <vt:variant>
        <vt:i4>5</vt:i4>
      </vt:variant>
      <vt:variant>
        <vt:lpwstr/>
      </vt:variant>
      <vt:variant>
        <vt:lpwstr>_Toc70330467</vt:lpwstr>
      </vt:variant>
      <vt:variant>
        <vt:i4>1441842</vt:i4>
      </vt:variant>
      <vt:variant>
        <vt:i4>581</vt:i4>
      </vt:variant>
      <vt:variant>
        <vt:i4>0</vt:i4>
      </vt:variant>
      <vt:variant>
        <vt:i4>5</vt:i4>
      </vt:variant>
      <vt:variant>
        <vt:lpwstr/>
      </vt:variant>
      <vt:variant>
        <vt:lpwstr>_Toc70330466</vt:lpwstr>
      </vt:variant>
      <vt:variant>
        <vt:i4>1376306</vt:i4>
      </vt:variant>
      <vt:variant>
        <vt:i4>575</vt:i4>
      </vt:variant>
      <vt:variant>
        <vt:i4>0</vt:i4>
      </vt:variant>
      <vt:variant>
        <vt:i4>5</vt:i4>
      </vt:variant>
      <vt:variant>
        <vt:lpwstr/>
      </vt:variant>
      <vt:variant>
        <vt:lpwstr>_Toc70330465</vt:lpwstr>
      </vt:variant>
      <vt:variant>
        <vt:i4>1310770</vt:i4>
      </vt:variant>
      <vt:variant>
        <vt:i4>569</vt:i4>
      </vt:variant>
      <vt:variant>
        <vt:i4>0</vt:i4>
      </vt:variant>
      <vt:variant>
        <vt:i4>5</vt:i4>
      </vt:variant>
      <vt:variant>
        <vt:lpwstr/>
      </vt:variant>
      <vt:variant>
        <vt:lpwstr>_Toc70330464</vt:lpwstr>
      </vt:variant>
      <vt:variant>
        <vt:i4>1507377</vt:i4>
      </vt:variant>
      <vt:variant>
        <vt:i4>563</vt:i4>
      </vt:variant>
      <vt:variant>
        <vt:i4>0</vt:i4>
      </vt:variant>
      <vt:variant>
        <vt:i4>5</vt:i4>
      </vt:variant>
      <vt:variant>
        <vt:lpwstr/>
      </vt:variant>
      <vt:variant>
        <vt:lpwstr>_Toc70330457</vt:lpwstr>
      </vt:variant>
      <vt:variant>
        <vt:i4>1441841</vt:i4>
      </vt:variant>
      <vt:variant>
        <vt:i4>557</vt:i4>
      </vt:variant>
      <vt:variant>
        <vt:i4>0</vt:i4>
      </vt:variant>
      <vt:variant>
        <vt:i4>5</vt:i4>
      </vt:variant>
      <vt:variant>
        <vt:lpwstr/>
      </vt:variant>
      <vt:variant>
        <vt:lpwstr>_Toc70330456</vt:lpwstr>
      </vt:variant>
      <vt:variant>
        <vt:i4>1245233</vt:i4>
      </vt:variant>
      <vt:variant>
        <vt:i4>551</vt:i4>
      </vt:variant>
      <vt:variant>
        <vt:i4>0</vt:i4>
      </vt:variant>
      <vt:variant>
        <vt:i4>5</vt:i4>
      </vt:variant>
      <vt:variant>
        <vt:lpwstr/>
      </vt:variant>
      <vt:variant>
        <vt:lpwstr>_Toc70330453</vt:lpwstr>
      </vt:variant>
      <vt:variant>
        <vt:i4>1179697</vt:i4>
      </vt:variant>
      <vt:variant>
        <vt:i4>545</vt:i4>
      </vt:variant>
      <vt:variant>
        <vt:i4>0</vt:i4>
      </vt:variant>
      <vt:variant>
        <vt:i4>5</vt:i4>
      </vt:variant>
      <vt:variant>
        <vt:lpwstr/>
      </vt:variant>
      <vt:variant>
        <vt:lpwstr>_Toc70330452</vt:lpwstr>
      </vt:variant>
      <vt:variant>
        <vt:i4>1114161</vt:i4>
      </vt:variant>
      <vt:variant>
        <vt:i4>539</vt:i4>
      </vt:variant>
      <vt:variant>
        <vt:i4>0</vt:i4>
      </vt:variant>
      <vt:variant>
        <vt:i4>5</vt:i4>
      </vt:variant>
      <vt:variant>
        <vt:lpwstr/>
      </vt:variant>
      <vt:variant>
        <vt:lpwstr>_Toc70330451</vt:lpwstr>
      </vt:variant>
      <vt:variant>
        <vt:i4>1572912</vt:i4>
      </vt:variant>
      <vt:variant>
        <vt:i4>533</vt:i4>
      </vt:variant>
      <vt:variant>
        <vt:i4>0</vt:i4>
      </vt:variant>
      <vt:variant>
        <vt:i4>5</vt:i4>
      </vt:variant>
      <vt:variant>
        <vt:lpwstr/>
      </vt:variant>
      <vt:variant>
        <vt:lpwstr>_Toc70330448</vt:lpwstr>
      </vt:variant>
      <vt:variant>
        <vt:i4>1376304</vt:i4>
      </vt:variant>
      <vt:variant>
        <vt:i4>527</vt:i4>
      </vt:variant>
      <vt:variant>
        <vt:i4>0</vt:i4>
      </vt:variant>
      <vt:variant>
        <vt:i4>5</vt:i4>
      </vt:variant>
      <vt:variant>
        <vt:lpwstr/>
      </vt:variant>
      <vt:variant>
        <vt:lpwstr>_Toc70330445</vt:lpwstr>
      </vt:variant>
      <vt:variant>
        <vt:i4>1310768</vt:i4>
      </vt:variant>
      <vt:variant>
        <vt:i4>521</vt:i4>
      </vt:variant>
      <vt:variant>
        <vt:i4>0</vt:i4>
      </vt:variant>
      <vt:variant>
        <vt:i4>5</vt:i4>
      </vt:variant>
      <vt:variant>
        <vt:lpwstr/>
      </vt:variant>
      <vt:variant>
        <vt:lpwstr>_Toc70330444</vt:lpwstr>
      </vt:variant>
      <vt:variant>
        <vt:i4>1245232</vt:i4>
      </vt:variant>
      <vt:variant>
        <vt:i4>515</vt:i4>
      </vt:variant>
      <vt:variant>
        <vt:i4>0</vt:i4>
      </vt:variant>
      <vt:variant>
        <vt:i4>5</vt:i4>
      </vt:variant>
      <vt:variant>
        <vt:lpwstr/>
      </vt:variant>
      <vt:variant>
        <vt:lpwstr>_Toc70330443</vt:lpwstr>
      </vt:variant>
      <vt:variant>
        <vt:i4>1179696</vt:i4>
      </vt:variant>
      <vt:variant>
        <vt:i4>509</vt:i4>
      </vt:variant>
      <vt:variant>
        <vt:i4>0</vt:i4>
      </vt:variant>
      <vt:variant>
        <vt:i4>5</vt:i4>
      </vt:variant>
      <vt:variant>
        <vt:lpwstr/>
      </vt:variant>
      <vt:variant>
        <vt:lpwstr>_Toc70330442</vt:lpwstr>
      </vt:variant>
      <vt:variant>
        <vt:i4>1114160</vt:i4>
      </vt:variant>
      <vt:variant>
        <vt:i4>503</vt:i4>
      </vt:variant>
      <vt:variant>
        <vt:i4>0</vt:i4>
      </vt:variant>
      <vt:variant>
        <vt:i4>5</vt:i4>
      </vt:variant>
      <vt:variant>
        <vt:lpwstr/>
      </vt:variant>
      <vt:variant>
        <vt:lpwstr>_Toc70330441</vt:lpwstr>
      </vt:variant>
      <vt:variant>
        <vt:i4>1048624</vt:i4>
      </vt:variant>
      <vt:variant>
        <vt:i4>497</vt:i4>
      </vt:variant>
      <vt:variant>
        <vt:i4>0</vt:i4>
      </vt:variant>
      <vt:variant>
        <vt:i4>5</vt:i4>
      </vt:variant>
      <vt:variant>
        <vt:lpwstr/>
      </vt:variant>
      <vt:variant>
        <vt:lpwstr>_Toc70330440</vt:lpwstr>
      </vt:variant>
      <vt:variant>
        <vt:i4>1638455</vt:i4>
      </vt:variant>
      <vt:variant>
        <vt:i4>491</vt:i4>
      </vt:variant>
      <vt:variant>
        <vt:i4>0</vt:i4>
      </vt:variant>
      <vt:variant>
        <vt:i4>5</vt:i4>
      </vt:variant>
      <vt:variant>
        <vt:lpwstr/>
      </vt:variant>
      <vt:variant>
        <vt:lpwstr>_Toc70330439</vt:lpwstr>
      </vt:variant>
      <vt:variant>
        <vt:i4>1572919</vt:i4>
      </vt:variant>
      <vt:variant>
        <vt:i4>485</vt:i4>
      </vt:variant>
      <vt:variant>
        <vt:i4>0</vt:i4>
      </vt:variant>
      <vt:variant>
        <vt:i4>5</vt:i4>
      </vt:variant>
      <vt:variant>
        <vt:lpwstr/>
      </vt:variant>
      <vt:variant>
        <vt:lpwstr>_Toc70330438</vt:lpwstr>
      </vt:variant>
      <vt:variant>
        <vt:i4>1507383</vt:i4>
      </vt:variant>
      <vt:variant>
        <vt:i4>479</vt:i4>
      </vt:variant>
      <vt:variant>
        <vt:i4>0</vt:i4>
      </vt:variant>
      <vt:variant>
        <vt:i4>5</vt:i4>
      </vt:variant>
      <vt:variant>
        <vt:lpwstr/>
      </vt:variant>
      <vt:variant>
        <vt:lpwstr>_Toc70330437</vt:lpwstr>
      </vt:variant>
      <vt:variant>
        <vt:i4>1441847</vt:i4>
      </vt:variant>
      <vt:variant>
        <vt:i4>473</vt:i4>
      </vt:variant>
      <vt:variant>
        <vt:i4>0</vt:i4>
      </vt:variant>
      <vt:variant>
        <vt:i4>5</vt:i4>
      </vt:variant>
      <vt:variant>
        <vt:lpwstr/>
      </vt:variant>
      <vt:variant>
        <vt:lpwstr>_Toc70330436</vt:lpwstr>
      </vt:variant>
      <vt:variant>
        <vt:i4>1376311</vt:i4>
      </vt:variant>
      <vt:variant>
        <vt:i4>467</vt:i4>
      </vt:variant>
      <vt:variant>
        <vt:i4>0</vt:i4>
      </vt:variant>
      <vt:variant>
        <vt:i4>5</vt:i4>
      </vt:variant>
      <vt:variant>
        <vt:lpwstr/>
      </vt:variant>
      <vt:variant>
        <vt:lpwstr>_Toc70330435</vt:lpwstr>
      </vt:variant>
      <vt:variant>
        <vt:i4>1310775</vt:i4>
      </vt:variant>
      <vt:variant>
        <vt:i4>461</vt:i4>
      </vt:variant>
      <vt:variant>
        <vt:i4>0</vt:i4>
      </vt:variant>
      <vt:variant>
        <vt:i4>5</vt:i4>
      </vt:variant>
      <vt:variant>
        <vt:lpwstr/>
      </vt:variant>
      <vt:variant>
        <vt:lpwstr>_Toc70330434</vt:lpwstr>
      </vt:variant>
      <vt:variant>
        <vt:i4>1245239</vt:i4>
      </vt:variant>
      <vt:variant>
        <vt:i4>455</vt:i4>
      </vt:variant>
      <vt:variant>
        <vt:i4>0</vt:i4>
      </vt:variant>
      <vt:variant>
        <vt:i4>5</vt:i4>
      </vt:variant>
      <vt:variant>
        <vt:lpwstr/>
      </vt:variant>
      <vt:variant>
        <vt:lpwstr>_Toc70330433</vt:lpwstr>
      </vt:variant>
      <vt:variant>
        <vt:i4>1179703</vt:i4>
      </vt:variant>
      <vt:variant>
        <vt:i4>449</vt:i4>
      </vt:variant>
      <vt:variant>
        <vt:i4>0</vt:i4>
      </vt:variant>
      <vt:variant>
        <vt:i4>5</vt:i4>
      </vt:variant>
      <vt:variant>
        <vt:lpwstr/>
      </vt:variant>
      <vt:variant>
        <vt:lpwstr>_Toc70330432</vt:lpwstr>
      </vt:variant>
      <vt:variant>
        <vt:i4>1114167</vt:i4>
      </vt:variant>
      <vt:variant>
        <vt:i4>443</vt:i4>
      </vt:variant>
      <vt:variant>
        <vt:i4>0</vt:i4>
      </vt:variant>
      <vt:variant>
        <vt:i4>5</vt:i4>
      </vt:variant>
      <vt:variant>
        <vt:lpwstr/>
      </vt:variant>
      <vt:variant>
        <vt:lpwstr>_Toc70330431</vt:lpwstr>
      </vt:variant>
      <vt:variant>
        <vt:i4>1048631</vt:i4>
      </vt:variant>
      <vt:variant>
        <vt:i4>437</vt:i4>
      </vt:variant>
      <vt:variant>
        <vt:i4>0</vt:i4>
      </vt:variant>
      <vt:variant>
        <vt:i4>5</vt:i4>
      </vt:variant>
      <vt:variant>
        <vt:lpwstr/>
      </vt:variant>
      <vt:variant>
        <vt:lpwstr>_Toc70330430</vt:lpwstr>
      </vt:variant>
      <vt:variant>
        <vt:i4>1638454</vt:i4>
      </vt:variant>
      <vt:variant>
        <vt:i4>431</vt:i4>
      </vt:variant>
      <vt:variant>
        <vt:i4>0</vt:i4>
      </vt:variant>
      <vt:variant>
        <vt:i4>5</vt:i4>
      </vt:variant>
      <vt:variant>
        <vt:lpwstr/>
      </vt:variant>
      <vt:variant>
        <vt:lpwstr>_Toc70330429</vt:lpwstr>
      </vt:variant>
      <vt:variant>
        <vt:i4>1572918</vt:i4>
      </vt:variant>
      <vt:variant>
        <vt:i4>425</vt:i4>
      </vt:variant>
      <vt:variant>
        <vt:i4>0</vt:i4>
      </vt:variant>
      <vt:variant>
        <vt:i4>5</vt:i4>
      </vt:variant>
      <vt:variant>
        <vt:lpwstr/>
      </vt:variant>
      <vt:variant>
        <vt:lpwstr>_Toc70330428</vt:lpwstr>
      </vt:variant>
      <vt:variant>
        <vt:i4>1507382</vt:i4>
      </vt:variant>
      <vt:variant>
        <vt:i4>419</vt:i4>
      </vt:variant>
      <vt:variant>
        <vt:i4>0</vt:i4>
      </vt:variant>
      <vt:variant>
        <vt:i4>5</vt:i4>
      </vt:variant>
      <vt:variant>
        <vt:lpwstr/>
      </vt:variant>
      <vt:variant>
        <vt:lpwstr>_Toc70330427</vt:lpwstr>
      </vt:variant>
      <vt:variant>
        <vt:i4>1310774</vt:i4>
      </vt:variant>
      <vt:variant>
        <vt:i4>413</vt:i4>
      </vt:variant>
      <vt:variant>
        <vt:i4>0</vt:i4>
      </vt:variant>
      <vt:variant>
        <vt:i4>5</vt:i4>
      </vt:variant>
      <vt:variant>
        <vt:lpwstr/>
      </vt:variant>
      <vt:variant>
        <vt:lpwstr>_Toc70330424</vt:lpwstr>
      </vt:variant>
      <vt:variant>
        <vt:i4>1245238</vt:i4>
      </vt:variant>
      <vt:variant>
        <vt:i4>407</vt:i4>
      </vt:variant>
      <vt:variant>
        <vt:i4>0</vt:i4>
      </vt:variant>
      <vt:variant>
        <vt:i4>5</vt:i4>
      </vt:variant>
      <vt:variant>
        <vt:lpwstr/>
      </vt:variant>
      <vt:variant>
        <vt:lpwstr>_Toc70330423</vt:lpwstr>
      </vt:variant>
      <vt:variant>
        <vt:i4>1179702</vt:i4>
      </vt:variant>
      <vt:variant>
        <vt:i4>401</vt:i4>
      </vt:variant>
      <vt:variant>
        <vt:i4>0</vt:i4>
      </vt:variant>
      <vt:variant>
        <vt:i4>5</vt:i4>
      </vt:variant>
      <vt:variant>
        <vt:lpwstr/>
      </vt:variant>
      <vt:variant>
        <vt:lpwstr>_Toc70330422</vt:lpwstr>
      </vt:variant>
      <vt:variant>
        <vt:i4>1114166</vt:i4>
      </vt:variant>
      <vt:variant>
        <vt:i4>395</vt:i4>
      </vt:variant>
      <vt:variant>
        <vt:i4>0</vt:i4>
      </vt:variant>
      <vt:variant>
        <vt:i4>5</vt:i4>
      </vt:variant>
      <vt:variant>
        <vt:lpwstr/>
      </vt:variant>
      <vt:variant>
        <vt:lpwstr>_Toc70330421</vt:lpwstr>
      </vt:variant>
      <vt:variant>
        <vt:i4>1048630</vt:i4>
      </vt:variant>
      <vt:variant>
        <vt:i4>389</vt:i4>
      </vt:variant>
      <vt:variant>
        <vt:i4>0</vt:i4>
      </vt:variant>
      <vt:variant>
        <vt:i4>5</vt:i4>
      </vt:variant>
      <vt:variant>
        <vt:lpwstr/>
      </vt:variant>
      <vt:variant>
        <vt:lpwstr>_Toc70330420</vt:lpwstr>
      </vt:variant>
      <vt:variant>
        <vt:i4>1638453</vt:i4>
      </vt:variant>
      <vt:variant>
        <vt:i4>383</vt:i4>
      </vt:variant>
      <vt:variant>
        <vt:i4>0</vt:i4>
      </vt:variant>
      <vt:variant>
        <vt:i4>5</vt:i4>
      </vt:variant>
      <vt:variant>
        <vt:lpwstr/>
      </vt:variant>
      <vt:variant>
        <vt:lpwstr>_Toc70330419</vt:lpwstr>
      </vt:variant>
      <vt:variant>
        <vt:i4>1572917</vt:i4>
      </vt:variant>
      <vt:variant>
        <vt:i4>377</vt:i4>
      </vt:variant>
      <vt:variant>
        <vt:i4>0</vt:i4>
      </vt:variant>
      <vt:variant>
        <vt:i4>5</vt:i4>
      </vt:variant>
      <vt:variant>
        <vt:lpwstr/>
      </vt:variant>
      <vt:variant>
        <vt:lpwstr>_Toc70330418</vt:lpwstr>
      </vt:variant>
      <vt:variant>
        <vt:i4>1507381</vt:i4>
      </vt:variant>
      <vt:variant>
        <vt:i4>371</vt:i4>
      </vt:variant>
      <vt:variant>
        <vt:i4>0</vt:i4>
      </vt:variant>
      <vt:variant>
        <vt:i4>5</vt:i4>
      </vt:variant>
      <vt:variant>
        <vt:lpwstr/>
      </vt:variant>
      <vt:variant>
        <vt:lpwstr>_Toc70330417</vt:lpwstr>
      </vt:variant>
      <vt:variant>
        <vt:i4>1572916</vt:i4>
      </vt:variant>
      <vt:variant>
        <vt:i4>365</vt:i4>
      </vt:variant>
      <vt:variant>
        <vt:i4>0</vt:i4>
      </vt:variant>
      <vt:variant>
        <vt:i4>5</vt:i4>
      </vt:variant>
      <vt:variant>
        <vt:lpwstr/>
      </vt:variant>
      <vt:variant>
        <vt:lpwstr>_Toc70330408</vt:lpwstr>
      </vt:variant>
      <vt:variant>
        <vt:i4>1507380</vt:i4>
      </vt:variant>
      <vt:variant>
        <vt:i4>359</vt:i4>
      </vt:variant>
      <vt:variant>
        <vt:i4>0</vt:i4>
      </vt:variant>
      <vt:variant>
        <vt:i4>5</vt:i4>
      </vt:variant>
      <vt:variant>
        <vt:lpwstr/>
      </vt:variant>
      <vt:variant>
        <vt:lpwstr>_Toc70330407</vt:lpwstr>
      </vt:variant>
      <vt:variant>
        <vt:i4>1441844</vt:i4>
      </vt:variant>
      <vt:variant>
        <vt:i4>353</vt:i4>
      </vt:variant>
      <vt:variant>
        <vt:i4>0</vt:i4>
      </vt:variant>
      <vt:variant>
        <vt:i4>5</vt:i4>
      </vt:variant>
      <vt:variant>
        <vt:lpwstr/>
      </vt:variant>
      <vt:variant>
        <vt:lpwstr>_Toc70330406</vt:lpwstr>
      </vt:variant>
      <vt:variant>
        <vt:i4>1376317</vt:i4>
      </vt:variant>
      <vt:variant>
        <vt:i4>347</vt:i4>
      </vt:variant>
      <vt:variant>
        <vt:i4>0</vt:i4>
      </vt:variant>
      <vt:variant>
        <vt:i4>5</vt:i4>
      </vt:variant>
      <vt:variant>
        <vt:lpwstr/>
      </vt:variant>
      <vt:variant>
        <vt:lpwstr>_Toc70330392</vt:lpwstr>
      </vt:variant>
      <vt:variant>
        <vt:i4>1441853</vt:i4>
      </vt:variant>
      <vt:variant>
        <vt:i4>341</vt:i4>
      </vt:variant>
      <vt:variant>
        <vt:i4>0</vt:i4>
      </vt:variant>
      <vt:variant>
        <vt:i4>5</vt:i4>
      </vt:variant>
      <vt:variant>
        <vt:lpwstr/>
      </vt:variant>
      <vt:variant>
        <vt:lpwstr>_Toc70330391</vt:lpwstr>
      </vt:variant>
      <vt:variant>
        <vt:i4>1048636</vt:i4>
      </vt:variant>
      <vt:variant>
        <vt:i4>335</vt:i4>
      </vt:variant>
      <vt:variant>
        <vt:i4>0</vt:i4>
      </vt:variant>
      <vt:variant>
        <vt:i4>5</vt:i4>
      </vt:variant>
      <vt:variant>
        <vt:lpwstr/>
      </vt:variant>
      <vt:variant>
        <vt:lpwstr>_Toc70330387</vt:lpwstr>
      </vt:variant>
      <vt:variant>
        <vt:i4>1114172</vt:i4>
      </vt:variant>
      <vt:variant>
        <vt:i4>329</vt:i4>
      </vt:variant>
      <vt:variant>
        <vt:i4>0</vt:i4>
      </vt:variant>
      <vt:variant>
        <vt:i4>5</vt:i4>
      </vt:variant>
      <vt:variant>
        <vt:lpwstr/>
      </vt:variant>
      <vt:variant>
        <vt:lpwstr>_Toc70330386</vt:lpwstr>
      </vt:variant>
      <vt:variant>
        <vt:i4>1179708</vt:i4>
      </vt:variant>
      <vt:variant>
        <vt:i4>323</vt:i4>
      </vt:variant>
      <vt:variant>
        <vt:i4>0</vt:i4>
      </vt:variant>
      <vt:variant>
        <vt:i4>5</vt:i4>
      </vt:variant>
      <vt:variant>
        <vt:lpwstr/>
      </vt:variant>
      <vt:variant>
        <vt:lpwstr>_Toc70330385</vt:lpwstr>
      </vt:variant>
      <vt:variant>
        <vt:i4>1245244</vt:i4>
      </vt:variant>
      <vt:variant>
        <vt:i4>317</vt:i4>
      </vt:variant>
      <vt:variant>
        <vt:i4>0</vt:i4>
      </vt:variant>
      <vt:variant>
        <vt:i4>5</vt:i4>
      </vt:variant>
      <vt:variant>
        <vt:lpwstr/>
      </vt:variant>
      <vt:variant>
        <vt:lpwstr>_Toc70330384</vt:lpwstr>
      </vt:variant>
      <vt:variant>
        <vt:i4>1310780</vt:i4>
      </vt:variant>
      <vt:variant>
        <vt:i4>311</vt:i4>
      </vt:variant>
      <vt:variant>
        <vt:i4>0</vt:i4>
      </vt:variant>
      <vt:variant>
        <vt:i4>5</vt:i4>
      </vt:variant>
      <vt:variant>
        <vt:lpwstr/>
      </vt:variant>
      <vt:variant>
        <vt:lpwstr>_Toc70330383</vt:lpwstr>
      </vt:variant>
      <vt:variant>
        <vt:i4>1376316</vt:i4>
      </vt:variant>
      <vt:variant>
        <vt:i4>305</vt:i4>
      </vt:variant>
      <vt:variant>
        <vt:i4>0</vt:i4>
      </vt:variant>
      <vt:variant>
        <vt:i4>5</vt:i4>
      </vt:variant>
      <vt:variant>
        <vt:lpwstr/>
      </vt:variant>
      <vt:variant>
        <vt:lpwstr>_Toc70330382</vt:lpwstr>
      </vt:variant>
      <vt:variant>
        <vt:i4>1441852</vt:i4>
      </vt:variant>
      <vt:variant>
        <vt:i4>299</vt:i4>
      </vt:variant>
      <vt:variant>
        <vt:i4>0</vt:i4>
      </vt:variant>
      <vt:variant>
        <vt:i4>5</vt:i4>
      </vt:variant>
      <vt:variant>
        <vt:lpwstr/>
      </vt:variant>
      <vt:variant>
        <vt:lpwstr>_Toc70330381</vt:lpwstr>
      </vt:variant>
      <vt:variant>
        <vt:i4>1507388</vt:i4>
      </vt:variant>
      <vt:variant>
        <vt:i4>293</vt:i4>
      </vt:variant>
      <vt:variant>
        <vt:i4>0</vt:i4>
      </vt:variant>
      <vt:variant>
        <vt:i4>5</vt:i4>
      </vt:variant>
      <vt:variant>
        <vt:lpwstr/>
      </vt:variant>
      <vt:variant>
        <vt:lpwstr>_Toc70330380</vt:lpwstr>
      </vt:variant>
      <vt:variant>
        <vt:i4>1966131</vt:i4>
      </vt:variant>
      <vt:variant>
        <vt:i4>287</vt:i4>
      </vt:variant>
      <vt:variant>
        <vt:i4>0</vt:i4>
      </vt:variant>
      <vt:variant>
        <vt:i4>5</vt:i4>
      </vt:variant>
      <vt:variant>
        <vt:lpwstr/>
      </vt:variant>
      <vt:variant>
        <vt:lpwstr>_Toc70330379</vt:lpwstr>
      </vt:variant>
      <vt:variant>
        <vt:i4>1310771</vt:i4>
      </vt:variant>
      <vt:variant>
        <vt:i4>281</vt:i4>
      </vt:variant>
      <vt:variant>
        <vt:i4>0</vt:i4>
      </vt:variant>
      <vt:variant>
        <vt:i4>5</vt:i4>
      </vt:variant>
      <vt:variant>
        <vt:lpwstr/>
      </vt:variant>
      <vt:variant>
        <vt:lpwstr>_Toc70330373</vt:lpwstr>
      </vt:variant>
      <vt:variant>
        <vt:i4>1441843</vt:i4>
      </vt:variant>
      <vt:variant>
        <vt:i4>275</vt:i4>
      </vt:variant>
      <vt:variant>
        <vt:i4>0</vt:i4>
      </vt:variant>
      <vt:variant>
        <vt:i4>5</vt:i4>
      </vt:variant>
      <vt:variant>
        <vt:lpwstr/>
      </vt:variant>
      <vt:variant>
        <vt:lpwstr>_Toc70330371</vt:lpwstr>
      </vt:variant>
      <vt:variant>
        <vt:i4>1507379</vt:i4>
      </vt:variant>
      <vt:variant>
        <vt:i4>269</vt:i4>
      </vt:variant>
      <vt:variant>
        <vt:i4>0</vt:i4>
      </vt:variant>
      <vt:variant>
        <vt:i4>5</vt:i4>
      </vt:variant>
      <vt:variant>
        <vt:lpwstr/>
      </vt:variant>
      <vt:variant>
        <vt:lpwstr>_Toc70330370</vt:lpwstr>
      </vt:variant>
      <vt:variant>
        <vt:i4>1966130</vt:i4>
      </vt:variant>
      <vt:variant>
        <vt:i4>263</vt:i4>
      </vt:variant>
      <vt:variant>
        <vt:i4>0</vt:i4>
      </vt:variant>
      <vt:variant>
        <vt:i4>5</vt:i4>
      </vt:variant>
      <vt:variant>
        <vt:lpwstr/>
      </vt:variant>
      <vt:variant>
        <vt:lpwstr>_Toc70330369</vt:lpwstr>
      </vt:variant>
      <vt:variant>
        <vt:i4>1048626</vt:i4>
      </vt:variant>
      <vt:variant>
        <vt:i4>257</vt:i4>
      </vt:variant>
      <vt:variant>
        <vt:i4>0</vt:i4>
      </vt:variant>
      <vt:variant>
        <vt:i4>5</vt:i4>
      </vt:variant>
      <vt:variant>
        <vt:lpwstr/>
      </vt:variant>
      <vt:variant>
        <vt:lpwstr>_Toc70330367</vt:lpwstr>
      </vt:variant>
      <vt:variant>
        <vt:i4>1114162</vt:i4>
      </vt:variant>
      <vt:variant>
        <vt:i4>251</vt:i4>
      </vt:variant>
      <vt:variant>
        <vt:i4>0</vt:i4>
      </vt:variant>
      <vt:variant>
        <vt:i4>5</vt:i4>
      </vt:variant>
      <vt:variant>
        <vt:lpwstr/>
      </vt:variant>
      <vt:variant>
        <vt:lpwstr>_Toc70330366</vt:lpwstr>
      </vt:variant>
      <vt:variant>
        <vt:i4>1179698</vt:i4>
      </vt:variant>
      <vt:variant>
        <vt:i4>245</vt:i4>
      </vt:variant>
      <vt:variant>
        <vt:i4>0</vt:i4>
      </vt:variant>
      <vt:variant>
        <vt:i4>5</vt:i4>
      </vt:variant>
      <vt:variant>
        <vt:lpwstr/>
      </vt:variant>
      <vt:variant>
        <vt:lpwstr>_Toc70330365</vt:lpwstr>
      </vt:variant>
      <vt:variant>
        <vt:i4>1310770</vt:i4>
      </vt:variant>
      <vt:variant>
        <vt:i4>239</vt:i4>
      </vt:variant>
      <vt:variant>
        <vt:i4>0</vt:i4>
      </vt:variant>
      <vt:variant>
        <vt:i4>5</vt:i4>
      </vt:variant>
      <vt:variant>
        <vt:lpwstr/>
      </vt:variant>
      <vt:variant>
        <vt:lpwstr>_Toc70330363</vt:lpwstr>
      </vt:variant>
      <vt:variant>
        <vt:i4>1507378</vt:i4>
      </vt:variant>
      <vt:variant>
        <vt:i4>233</vt:i4>
      </vt:variant>
      <vt:variant>
        <vt:i4>0</vt:i4>
      </vt:variant>
      <vt:variant>
        <vt:i4>5</vt:i4>
      </vt:variant>
      <vt:variant>
        <vt:lpwstr/>
      </vt:variant>
      <vt:variant>
        <vt:lpwstr>_Toc70330360</vt:lpwstr>
      </vt:variant>
      <vt:variant>
        <vt:i4>1966129</vt:i4>
      </vt:variant>
      <vt:variant>
        <vt:i4>227</vt:i4>
      </vt:variant>
      <vt:variant>
        <vt:i4>0</vt:i4>
      </vt:variant>
      <vt:variant>
        <vt:i4>5</vt:i4>
      </vt:variant>
      <vt:variant>
        <vt:lpwstr/>
      </vt:variant>
      <vt:variant>
        <vt:lpwstr>_Toc70330359</vt:lpwstr>
      </vt:variant>
      <vt:variant>
        <vt:i4>2031665</vt:i4>
      </vt:variant>
      <vt:variant>
        <vt:i4>221</vt:i4>
      </vt:variant>
      <vt:variant>
        <vt:i4>0</vt:i4>
      </vt:variant>
      <vt:variant>
        <vt:i4>5</vt:i4>
      </vt:variant>
      <vt:variant>
        <vt:lpwstr/>
      </vt:variant>
      <vt:variant>
        <vt:lpwstr>_Toc70330358</vt:lpwstr>
      </vt:variant>
      <vt:variant>
        <vt:i4>1048625</vt:i4>
      </vt:variant>
      <vt:variant>
        <vt:i4>215</vt:i4>
      </vt:variant>
      <vt:variant>
        <vt:i4>0</vt:i4>
      </vt:variant>
      <vt:variant>
        <vt:i4>5</vt:i4>
      </vt:variant>
      <vt:variant>
        <vt:lpwstr/>
      </vt:variant>
      <vt:variant>
        <vt:lpwstr>_Toc70330357</vt:lpwstr>
      </vt:variant>
      <vt:variant>
        <vt:i4>1114161</vt:i4>
      </vt:variant>
      <vt:variant>
        <vt:i4>209</vt:i4>
      </vt:variant>
      <vt:variant>
        <vt:i4>0</vt:i4>
      </vt:variant>
      <vt:variant>
        <vt:i4>5</vt:i4>
      </vt:variant>
      <vt:variant>
        <vt:lpwstr/>
      </vt:variant>
      <vt:variant>
        <vt:lpwstr>_Toc70330356</vt:lpwstr>
      </vt:variant>
      <vt:variant>
        <vt:i4>1179697</vt:i4>
      </vt:variant>
      <vt:variant>
        <vt:i4>203</vt:i4>
      </vt:variant>
      <vt:variant>
        <vt:i4>0</vt:i4>
      </vt:variant>
      <vt:variant>
        <vt:i4>5</vt:i4>
      </vt:variant>
      <vt:variant>
        <vt:lpwstr/>
      </vt:variant>
      <vt:variant>
        <vt:lpwstr>_Toc70330355</vt:lpwstr>
      </vt:variant>
      <vt:variant>
        <vt:i4>1245233</vt:i4>
      </vt:variant>
      <vt:variant>
        <vt:i4>197</vt:i4>
      </vt:variant>
      <vt:variant>
        <vt:i4>0</vt:i4>
      </vt:variant>
      <vt:variant>
        <vt:i4>5</vt:i4>
      </vt:variant>
      <vt:variant>
        <vt:lpwstr/>
      </vt:variant>
      <vt:variant>
        <vt:lpwstr>_Toc70330354</vt:lpwstr>
      </vt:variant>
      <vt:variant>
        <vt:i4>1310769</vt:i4>
      </vt:variant>
      <vt:variant>
        <vt:i4>191</vt:i4>
      </vt:variant>
      <vt:variant>
        <vt:i4>0</vt:i4>
      </vt:variant>
      <vt:variant>
        <vt:i4>5</vt:i4>
      </vt:variant>
      <vt:variant>
        <vt:lpwstr/>
      </vt:variant>
      <vt:variant>
        <vt:lpwstr>_Toc70330353</vt:lpwstr>
      </vt:variant>
      <vt:variant>
        <vt:i4>1376305</vt:i4>
      </vt:variant>
      <vt:variant>
        <vt:i4>185</vt:i4>
      </vt:variant>
      <vt:variant>
        <vt:i4>0</vt:i4>
      </vt:variant>
      <vt:variant>
        <vt:i4>5</vt:i4>
      </vt:variant>
      <vt:variant>
        <vt:lpwstr/>
      </vt:variant>
      <vt:variant>
        <vt:lpwstr>_Toc70330352</vt:lpwstr>
      </vt:variant>
      <vt:variant>
        <vt:i4>1441841</vt:i4>
      </vt:variant>
      <vt:variant>
        <vt:i4>179</vt:i4>
      </vt:variant>
      <vt:variant>
        <vt:i4>0</vt:i4>
      </vt:variant>
      <vt:variant>
        <vt:i4>5</vt:i4>
      </vt:variant>
      <vt:variant>
        <vt:lpwstr/>
      </vt:variant>
      <vt:variant>
        <vt:lpwstr>_Toc70330351</vt:lpwstr>
      </vt:variant>
      <vt:variant>
        <vt:i4>1507377</vt:i4>
      </vt:variant>
      <vt:variant>
        <vt:i4>173</vt:i4>
      </vt:variant>
      <vt:variant>
        <vt:i4>0</vt:i4>
      </vt:variant>
      <vt:variant>
        <vt:i4>5</vt:i4>
      </vt:variant>
      <vt:variant>
        <vt:lpwstr/>
      </vt:variant>
      <vt:variant>
        <vt:lpwstr>_Toc70330350</vt:lpwstr>
      </vt:variant>
      <vt:variant>
        <vt:i4>1966128</vt:i4>
      </vt:variant>
      <vt:variant>
        <vt:i4>167</vt:i4>
      </vt:variant>
      <vt:variant>
        <vt:i4>0</vt:i4>
      </vt:variant>
      <vt:variant>
        <vt:i4>5</vt:i4>
      </vt:variant>
      <vt:variant>
        <vt:lpwstr/>
      </vt:variant>
      <vt:variant>
        <vt:lpwstr>_Toc70330349</vt:lpwstr>
      </vt:variant>
      <vt:variant>
        <vt:i4>2031664</vt:i4>
      </vt:variant>
      <vt:variant>
        <vt:i4>161</vt:i4>
      </vt:variant>
      <vt:variant>
        <vt:i4>0</vt:i4>
      </vt:variant>
      <vt:variant>
        <vt:i4>5</vt:i4>
      </vt:variant>
      <vt:variant>
        <vt:lpwstr/>
      </vt:variant>
      <vt:variant>
        <vt:lpwstr>_Toc70330348</vt:lpwstr>
      </vt:variant>
      <vt:variant>
        <vt:i4>1048624</vt:i4>
      </vt:variant>
      <vt:variant>
        <vt:i4>155</vt:i4>
      </vt:variant>
      <vt:variant>
        <vt:i4>0</vt:i4>
      </vt:variant>
      <vt:variant>
        <vt:i4>5</vt:i4>
      </vt:variant>
      <vt:variant>
        <vt:lpwstr/>
      </vt:variant>
      <vt:variant>
        <vt:lpwstr>_Toc70330347</vt:lpwstr>
      </vt:variant>
      <vt:variant>
        <vt:i4>1114160</vt:i4>
      </vt:variant>
      <vt:variant>
        <vt:i4>149</vt:i4>
      </vt:variant>
      <vt:variant>
        <vt:i4>0</vt:i4>
      </vt:variant>
      <vt:variant>
        <vt:i4>5</vt:i4>
      </vt:variant>
      <vt:variant>
        <vt:lpwstr/>
      </vt:variant>
      <vt:variant>
        <vt:lpwstr>_Toc70330346</vt:lpwstr>
      </vt:variant>
      <vt:variant>
        <vt:i4>1179696</vt:i4>
      </vt:variant>
      <vt:variant>
        <vt:i4>143</vt:i4>
      </vt:variant>
      <vt:variant>
        <vt:i4>0</vt:i4>
      </vt:variant>
      <vt:variant>
        <vt:i4>5</vt:i4>
      </vt:variant>
      <vt:variant>
        <vt:lpwstr/>
      </vt:variant>
      <vt:variant>
        <vt:lpwstr>_Toc70330345</vt:lpwstr>
      </vt:variant>
      <vt:variant>
        <vt:i4>1245232</vt:i4>
      </vt:variant>
      <vt:variant>
        <vt:i4>137</vt:i4>
      </vt:variant>
      <vt:variant>
        <vt:i4>0</vt:i4>
      </vt:variant>
      <vt:variant>
        <vt:i4>5</vt:i4>
      </vt:variant>
      <vt:variant>
        <vt:lpwstr/>
      </vt:variant>
      <vt:variant>
        <vt:lpwstr>_Toc70330344</vt:lpwstr>
      </vt:variant>
      <vt:variant>
        <vt:i4>1310768</vt:i4>
      </vt:variant>
      <vt:variant>
        <vt:i4>131</vt:i4>
      </vt:variant>
      <vt:variant>
        <vt:i4>0</vt:i4>
      </vt:variant>
      <vt:variant>
        <vt:i4>5</vt:i4>
      </vt:variant>
      <vt:variant>
        <vt:lpwstr/>
      </vt:variant>
      <vt:variant>
        <vt:lpwstr>_Toc70330343</vt:lpwstr>
      </vt:variant>
      <vt:variant>
        <vt:i4>1376304</vt:i4>
      </vt:variant>
      <vt:variant>
        <vt:i4>125</vt:i4>
      </vt:variant>
      <vt:variant>
        <vt:i4>0</vt:i4>
      </vt:variant>
      <vt:variant>
        <vt:i4>5</vt:i4>
      </vt:variant>
      <vt:variant>
        <vt:lpwstr/>
      </vt:variant>
      <vt:variant>
        <vt:lpwstr>_Toc70330342</vt:lpwstr>
      </vt:variant>
      <vt:variant>
        <vt:i4>1441840</vt:i4>
      </vt:variant>
      <vt:variant>
        <vt:i4>119</vt:i4>
      </vt:variant>
      <vt:variant>
        <vt:i4>0</vt:i4>
      </vt:variant>
      <vt:variant>
        <vt:i4>5</vt:i4>
      </vt:variant>
      <vt:variant>
        <vt:lpwstr/>
      </vt:variant>
      <vt:variant>
        <vt:lpwstr>_Toc70330341</vt:lpwstr>
      </vt:variant>
      <vt:variant>
        <vt:i4>1507376</vt:i4>
      </vt:variant>
      <vt:variant>
        <vt:i4>113</vt:i4>
      </vt:variant>
      <vt:variant>
        <vt:i4>0</vt:i4>
      </vt:variant>
      <vt:variant>
        <vt:i4>5</vt:i4>
      </vt:variant>
      <vt:variant>
        <vt:lpwstr/>
      </vt:variant>
      <vt:variant>
        <vt:lpwstr>_Toc70330340</vt:lpwstr>
      </vt:variant>
      <vt:variant>
        <vt:i4>1966135</vt:i4>
      </vt:variant>
      <vt:variant>
        <vt:i4>107</vt:i4>
      </vt:variant>
      <vt:variant>
        <vt:i4>0</vt:i4>
      </vt:variant>
      <vt:variant>
        <vt:i4>5</vt:i4>
      </vt:variant>
      <vt:variant>
        <vt:lpwstr/>
      </vt:variant>
      <vt:variant>
        <vt:lpwstr>_Toc70330339</vt:lpwstr>
      </vt:variant>
      <vt:variant>
        <vt:i4>2031671</vt:i4>
      </vt:variant>
      <vt:variant>
        <vt:i4>101</vt:i4>
      </vt:variant>
      <vt:variant>
        <vt:i4>0</vt:i4>
      </vt:variant>
      <vt:variant>
        <vt:i4>5</vt:i4>
      </vt:variant>
      <vt:variant>
        <vt:lpwstr/>
      </vt:variant>
      <vt:variant>
        <vt:lpwstr>_Toc70330338</vt:lpwstr>
      </vt:variant>
      <vt:variant>
        <vt:i4>1048631</vt:i4>
      </vt:variant>
      <vt:variant>
        <vt:i4>95</vt:i4>
      </vt:variant>
      <vt:variant>
        <vt:i4>0</vt:i4>
      </vt:variant>
      <vt:variant>
        <vt:i4>5</vt:i4>
      </vt:variant>
      <vt:variant>
        <vt:lpwstr/>
      </vt:variant>
      <vt:variant>
        <vt:lpwstr>_Toc70330337</vt:lpwstr>
      </vt:variant>
      <vt:variant>
        <vt:i4>1114167</vt:i4>
      </vt:variant>
      <vt:variant>
        <vt:i4>89</vt:i4>
      </vt:variant>
      <vt:variant>
        <vt:i4>0</vt:i4>
      </vt:variant>
      <vt:variant>
        <vt:i4>5</vt:i4>
      </vt:variant>
      <vt:variant>
        <vt:lpwstr/>
      </vt:variant>
      <vt:variant>
        <vt:lpwstr>_Toc70330336</vt:lpwstr>
      </vt:variant>
      <vt:variant>
        <vt:i4>1179703</vt:i4>
      </vt:variant>
      <vt:variant>
        <vt:i4>83</vt:i4>
      </vt:variant>
      <vt:variant>
        <vt:i4>0</vt:i4>
      </vt:variant>
      <vt:variant>
        <vt:i4>5</vt:i4>
      </vt:variant>
      <vt:variant>
        <vt:lpwstr/>
      </vt:variant>
      <vt:variant>
        <vt:lpwstr>_Toc70330335</vt:lpwstr>
      </vt:variant>
      <vt:variant>
        <vt:i4>1245239</vt:i4>
      </vt:variant>
      <vt:variant>
        <vt:i4>77</vt:i4>
      </vt:variant>
      <vt:variant>
        <vt:i4>0</vt:i4>
      </vt:variant>
      <vt:variant>
        <vt:i4>5</vt:i4>
      </vt:variant>
      <vt:variant>
        <vt:lpwstr/>
      </vt:variant>
      <vt:variant>
        <vt:lpwstr>_Toc70330334</vt:lpwstr>
      </vt:variant>
      <vt:variant>
        <vt:i4>1310775</vt:i4>
      </vt:variant>
      <vt:variant>
        <vt:i4>71</vt:i4>
      </vt:variant>
      <vt:variant>
        <vt:i4>0</vt:i4>
      </vt:variant>
      <vt:variant>
        <vt:i4>5</vt:i4>
      </vt:variant>
      <vt:variant>
        <vt:lpwstr/>
      </vt:variant>
      <vt:variant>
        <vt:lpwstr>_Toc70330333</vt:lpwstr>
      </vt:variant>
      <vt:variant>
        <vt:i4>1376311</vt:i4>
      </vt:variant>
      <vt:variant>
        <vt:i4>65</vt:i4>
      </vt:variant>
      <vt:variant>
        <vt:i4>0</vt:i4>
      </vt:variant>
      <vt:variant>
        <vt:i4>5</vt:i4>
      </vt:variant>
      <vt:variant>
        <vt:lpwstr/>
      </vt:variant>
      <vt:variant>
        <vt:lpwstr>_Toc70330332</vt:lpwstr>
      </vt:variant>
      <vt:variant>
        <vt:i4>1441847</vt:i4>
      </vt:variant>
      <vt:variant>
        <vt:i4>59</vt:i4>
      </vt:variant>
      <vt:variant>
        <vt:i4>0</vt:i4>
      </vt:variant>
      <vt:variant>
        <vt:i4>5</vt:i4>
      </vt:variant>
      <vt:variant>
        <vt:lpwstr/>
      </vt:variant>
      <vt:variant>
        <vt:lpwstr>_Toc70330331</vt:lpwstr>
      </vt:variant>
      <vt:variant>
        <vt:i4>1507383</vt:i4>
      </vt:variant>
      <vt:variant>
        <vt:i4>53</vt:i4>
      </vt:variant>
      <vt:variant>
        <vt:i4>0</vt:i4>
      </vt:variant>
      <vt:variant>
        <vt:i4>5</vt:i4>
      </vt:variant>
      <vt:variant>
        <vt:lpwstr/>
      </vt:variant>
      <vt:variant>
        <vt:lpwstr>_Toc70330330</vt:lpwstr>
      </vt:variant>
      <vt:variant>
        <vt:i4>1966134</vt:i4>
      </vt:variant>
      <vt:variant>
        <vt:i4>47</vt:i4>
      </vt:variant>
      <vt:variant>
        <vt:i4>0</vt:i4>
      </vt:variant>
      <vt:variant>
        <vt:i4>5</vt:i4>
      </vt:variant>
      <vt:variant>
        <vt:lpwstr/>
      </vt:variant>
      <vt:variant>
        <vt:lpwstr>_Toc70330329</vt:lpwstr>
      </vt:variant>
      <vt:variant>
        <vt:i4>1245238</vt:i4>
      </vt:variant>
      <vt:variant>
        <vt:i4>41</vt:i4>
      </vt:variant>
      <vt:variant>
        <vt:i4>0</vt:i4>
      </vt:variant>
      <vt:variant>
        <vt:i4>5</vt:i4>
      </vt:variant>
      <vt:variant>
        <vt:lpwstr/>
      </vt:variant>
      <vt:variant>
        <vt:lpwstr>_Toc70330324</vt:lpwstr>
      </vt:variant>
      <vt:variant>
        <vt:i4>1966133</vt:i4>
      </vt:variant>
      <vt:variant>
        <vt:i4>35</vt:i4>
      </vt:variant>
      <vt:variant>
        <vt:i4>0</vt:i4>
      </vt:variant>
      <vt:variant>
        <vt:i4>5</vt:i4>
      </vt:variant>
      <vt:variant>
        <vt:lpwstr/>
      </vt:variant>
      <vt:variant>
        <vt:lpwstr>_Toc70330319</vt:lpwstr>
      </vt:variant>
      <vt:variant>
        <vt:i4>2031669</vt:i4>
      </vt:variant>
      <vt:variant>
        <vt:i4>29</vt:i4>
      </vt:variant>
      <vt:variant>
        <vt:i4>0</vt:i4>
      </vt:variant>
      <vt:variant>
        <vt:i4>5</vt:i4>
      </vt:variant>
      <vt:variant>
        <vt:lpwstr/>
      </vt:variant>
      <vt:variant>
        <vt:lpwstr>_Toc70330318</vt:lpwstr>
      </vt:variant>
      <vt:variant>
        <vt:i4>1310773</vt:i4>
      </vt:variant>
      <vt:variant>
        <vt:i4>23</vt:i4>
      </vt:variant>
      <vt:variant>
        <vt:i4>0</vt:i4>
      </vt:variant>
      <vt:variant>
        <vt:i4>5</vt:i4>
      </vt:variant>
      <vt:variant>
        <vt:lpwstr/>
      </vt:variant>
      <vt:variant>
        <vt:lpwstr>_Toc70330313</vt:lpwstr>
      </vt:variant>
      <vt:variant>
        <vt:i4>1376309</vt:i4>
      </vt:variant>
      <vt:variant>
        <vt:i4>17</vt:i4>
      </vt:variant>
      <vt:variant>
        <vt:i4>0</vt:i4>
      </vt:variant>
      <vt:variant>
        <vt:i4>5</vt:i4>
      </vt:variant>
      <vt:variant>
        <vt:lpwstr/>
      </vt:variant>
      <vt:variant>
        <vt:lpwstr>_Toc70330312</vt:lpwstr>
      </vt:variant>
      <vt:variant>
        <vt:i4>1441845</vt:i4>
      </vt:variant>
      <vt:variant>
        <vt:i4>11</vt:i4>
      </vt:variant>
      <vt:variant>
        <vt:i4>0</vt:i4>
      </vt:variant>
      <vt:variant>
        <vt:i4>5</vt:i4>
      </vt:variant>
      <vt:variant>
        <vt:lpwstr/>
      </vt:variant>
      <vt:variant>
        <vt:lpwstr>_Toc70330311</vt:lpwstr>
      </vt:variant>
      <vt:variant>
        <vt:i4>1507381</vt:i4>
      </vt:variant>
      <vt:variant>
        <vt:i4>5</vt:i4>
      </vt:variant>
      <vt:variant>
        <vt:i4>0</vt:i4>
      </vt:variant>
      <vt:variant>
        <vt:i4>5</vt:i4>
      </vt:variant>
      <vt:variant>
        <vt:lpwstr/>
      </vt:variant>
      <vt:variant>
        <vt:lpwstr>_Toc70330310</vt:lpwstr>
      </vt:variant>
      <vt:variant>
        <vt:i4>6291564</vt:i4>
      </vt:variant>
      <vt:variant>
        <vt:i4>0</vt:i4>
      </vt:variant>
      <vt:variant>
        <vt:i4>0</vt:i4>
      </vt:variant>
      <vt:variant>
        <vt:i4>5</vt:i4>
      </vt:variant>
      <vt:variant>
        <vt:lpwstr>javascript:void(0)</vt:lpwstr>
      </vt:variant>
      <vt:variant>
        <vt:lpwstr/>
      </vt:variant>
      <vt:variant>
        <vt:i4>3473463</vt:i4>
      </vt:variant>
      <vt:variant>
        <vt:i4>21</vt:i4>
      </vt:variant>
      <vt:variant>
        <vt:i4>0</vt:i4>
      </vt:variant>
      <vt:variant>
        <vt:i4>5</vt:i4>
      </vt:variant>
      <vt:variant>
        <vt:lpwstr>http://www.gbvims.com/wp/wp-content/uploads/BestPractices2.pdf</vt:lpwstr>
      </vt:variant>
      <vt:variant>
        <vt:lpwstr/>
      </vt:variant>
      <vt:variant>
        <vt:i4>2228334</vt:i4>
      </vt:variant>
      <vt:variant>
        <vt:i4>18</vt:i4>
      </vt:variant>
      <vt:variant>
        <vt:i4>0</vt:i4>
      </vt:variant>
      <vt:variant>
        <vt:i4>5</vt:i4>
      </vt:variant>
      <vt:variant>
        <vt:lpwstr>http://www.pnmls.cd/doc/Lois portant protection des PVV et PA, Protection de l'enfant et contre VS J.O. n%C2%B0 Sp%C3%A9cial du 25 mai 2009.pdf</vt:lpwstr>
      </vt:variant>
      <vt:variant>
        <vt:lpwstr/>
      </vt:variant>
      <vt:variant>
        <vt:i4>8257620</vt:i4>
      </vt:variant>
      <vt:variant>
        <vt:i4>15</vt:i4>
      </vt:variant>
      <vt:variant>
        <vt:i4>0</vt:i4>
      </vt:variant>
      <vt:variant>
        <vt:i4>5</vt:i4>
      </vt:variant>
      <vt:variant>
        <vt:lpwstr>https://www.ifc.org/wps/wcm/connect/d4260b19-30f2-466d-9c7e-86ac0ece7e89/010_General%2BGuidelines.pdf?MOD=AJPERES&amp;CVID=jkD2Am7&amp;ContentCache=NONE&amp;CACHE=NONE</vt:lpwstr>
      </vt:variant>
      <vt:variant>
        <vt:lpwstr/>
      </vt:variant>
      <vt:variant>
        <vt:i4>3932259</vt:i4>
      </vt:variant>
      <vt:variant>
        <vt:i4>12</vt:i4>
      </vt:variant>
      <vt:variant>
        <vt:i4>0</vt:i4>
      </vt:variant>
      <vt:variant>
        <vt:i4>5</vt:i4>
      </vt:variant>
      <vt:variant>
        <vt:lpwstr>http://pubdocs.worldbank.org/en/936531525368193913/Environmental-Social-Framework-French2.pdf</vt:lpwstr>
      </vt:variant>
      <vt:variant>
        <vt:lpwstr>page=29&amp;zoom=80</vt:lpwstr>
      </vt:variant>
      <vt:variant>
        <vt:i4>1835036</vt:i4>
      </vt:variant>
      <vt:variant>
        <vt:i4>9</vt:i4>
      </vt:variant>
      <vt:variant>
        <vt:i4>0</vt:i4>
      </vt:variant>
      <vt:variant>
        <vt:i4>5</vt:i4>
      </vt:variant>
      <vt:variant>
        <vt:lpwstr>http://pubdocs.worldbank.org/en/296041548955886585/Good-Practice-Note-Addressing-Gender-Based-Violence-french.pdf</vt:lpwstr>
      </vt:variant>
      <vt:variant>
        <vt:lpwstr/>
      </vt:variant>
      <vt:variant>
        <vt:i4>1835036</vt:i4>
      </vt:variant>
      <vt:variant>
        <vt:i4>6</vt:i4>
      </vt:variant>
      <vt:variant>
        <vt:i4>0</vt:i4>
      </vt:variant>
      <vt:variant>
        <vt:i4>5</vt:i4>
      </vt:variant>
      <vt:variant>
        <vt:lpwstr>http://pubdocs.worldbank.org/en/296041548955886585/Good-Practice-Note-Addressing-Gender-Based-Violence-french.pdf</vt:lpwstr>
      </vt:variant>
      <vt:variant>
        <vt:lpwstr/>
      </vt:variant>
      <vt:variant>
        <vt:i4>1835036</vt:i4>
      </vt:variant>
      <vt:variant>
        <vt:i4>3</vt:i4>
      </vt:variant>
      <vt:variant>
        <vt:i4>0</vt:i4>
      </vt:variant>
      <vt:variant>
        <vt:i4>5</vt:i4>
      </vt:variant>
      <vt:variant>
        <vt:lpwstr>http://pubdocs.worldbank.org/en/296041548955886585/Good-Practice-Note-Addressing-Gender-Based-Violence-french.pdf</vt:lpwstr>
      </vt:variant>
      <vt:variant>
        <vt:lpwstr/>
      </vt:variant>
      <vt:variant>
        <vt:i4>4587615</vt:i4>
      </vt:variant>
      <vt:variant>
        <vt:i4>0</vt:i4>
      </vt:variant>
      <vt:variant>
        <vt:i4>0</vt:i4>
      </vt:variant>
      <vt:variant>
        <vt:i4>5</vt:i4>
      </vt:variant>
      <vt:variant>
        <vt:lpwstr>http://pubdocs.worldbank.org/en/215761593706525660/ESF-GPN-SEASH-in-major-civil-works-French.pdf</vt:lpwstr>
      </vt:variant>
      <vt:variant>
        <vt:lpwstr/>
      </vt:variant>
      <vt:variant>
        <vt:i4>6422617</vt:i4>
      </vt:variant>
      <vt:variant>
        <vt:i4>0</vt:i4>
      </vt:variant>
      <vt:variant>
        <vt:i4>0</vt:i4>
      </vt:variant>
      <vt:variant>
        <vt:i4>5</vt:i4>
      </vt:variant>
      <vt:variant>
        <vt:lpwstr>mailto:cmuzyumba@worldbank.org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Bolek</dc:creator>
  <cp:keywords/>
  <dc:description/>
  <cp:lastModifiedBy>Mek Nzuzi</cp:lastModifiedBy>
  <cp:revision>2</cp:revision>
  <dcterms:created xsi:type="dcterms:W3CDTF">2021-05-13T08:10:00Z</dcterms:created>
  <dcterms:modified xsi:type="dcterms:W3CDTF">2021-05-13T08:10:00Z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0008003c0f0100000000010290310207f7000400038000</vt:lpwstr>
  </property>
  <property fmtid="{D5CDD505-2E9C-101B-9397-08002B2CF9AE}" pid="3" name="ContentTypeId">
    <vt:lpwstr>0x0101007787EA3DE823DC489E44BF4CD2C2AF9F</vt:lpwstr>
  </property>
</Properties>
</file>